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64" w:rsidRPr="008939F1" w:rsidRDefault="00295D64" w:rsidP="008939F1">
      <w:pPr>
        <w:jc w:val="center"/>
        <w:rPr>
          <w:rFonts w:ascii="Arial" w:hAnsi="Arial" w:cs="Arial"/>
          <w:b/>
          <w:sz w:val="22"/>
          <w:szCs w:val="22"/>
        </w:rPr>
      </w:pPr>
    </w:p>
    <w:p w:rsidR="006C004F" w:rsidRPr="008939F1" w:rsidRDefault="0090718B" w:rsidP="008939F1">
      <w:pPr>
        <w:jc w:val="center"/>
        <w:rPr>
          <w:rFonts w:ascii="Arial" w:hAnsi="Arial" w:cs="Arial"/>
          <w:b/>
          <w:sz w:val="22"/>
          <w:szCs w:val="22"/>
        </w:rPr>
      </w:pPr>
      <w:r w:rsidRPr="008939F1">
        <w:rPr>
          <w:rFonts w:ascii="Arial" w:hAnsi="Arial" w:cs="Arial"/>
          <w:b/>
          <w:sz w:val="22"/>
          <w:szCs w:val="22"/>
        </w:rPr>
        <w:t>ΠΕΡΙΛΗΨΗ ΤΩΝ ΧΑΡΑΚΤΗΡΙΣΤΙΚΩΝ ΤΟΥ ΠΡΟΙΟΝΤΟΣ</w:t>
      </w:r>
    </w:p>
    <w:p w:rsidR="00660B75" w:rsidRPr="008939F1" w:rsidRDefault="00660B75" w:rsidP="008939F1">
      <w:pPr>
        <w:rPr>
          <w:rFonts w:ascii="Arial" w:hAnsi="Arial" w:cs="Arial"/>
          <w:sz w:val="22"/>
          <w:szCs w:val="22"/>
        </w:rPr>
      </w:pPr>
    </w:p>
    <w:p w:rsidR="00164A7D" w:rsidRPr="00164A7D" w:rsidRDefault="00405573" w:rsidP="008939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b/>
          <w:sz w:val="22"/>
          <w:szCs w:val="22"/>
          <w:u w:val="single"/>
        </w:rPr>
        <w:t>ΕΜΠΟΡΙΚΗ ΟΝΟΜΑΣΙΑ ΤΟΥ ΦΑΡΜΑΚΕΥΤΙΚΟΥ ΠΡΟ</w:t>
      </w:r>
      <w:r w:rsidR="008B558A" w:rsidRPr="008939F1">
        <w:rPr>
          <w:rFonts w:ascii="Arial" w:hAnsi="Arial" w:cs="Arial"/>
          <w:b/>
          <w:sz w:val="22"/>
          <w:szCs w:val="22"/>
          <w:u w:val="single"/>
        </w:rPr>
        <w:t>Ϊ</w:t>
      </w:r>
      <w:r w:rsidRPr="008939F1">
        <w:rPr>
          <w:rFonts w:ascii="Arial" w:hAnsi="Arial" w:cs="Arial"/>
          <w:b/>
          <w:sz w:val="22"/>
          <w:szCs w:val="22"/>
          <w:u w:val="single"/>
        </w:rPr>
        <w:t>ΟΝΤΟΣ</w:t>
      </w:r>
      <w:r w:rsidR="00660B75" w:rsidRPr="008939F1">
        <w:rPr>
          <w:rFonts w:ascii="Arial" w:hAnsi="Arial" w:cs="Arial"/>
          <w:b/>
          <w:sz w:val="22"/>
          <w:szCs w:val="22"/>
        </w:rPr>
        <w:t>:</w:t>
      </w:r>
      <w:r w:rsidR="00660B75" w:rsidRPr="008939F1">
        <w:rPr>
          <w:rFonts w:ascii="Arial" w:hAnsi="Arial" w:cs="Arial"/>
          <w:sz w:val="22"/>
          <w:szCs w:val="22"/>
        </w:rPr>
        <w:t xml:space="preserve"> </w:t>
      </w:r>
    </w:p>
    <w:p w:rsidR="00660B75" w:rsidRPr="008939F1" w:rsidRDefault="00660B75" w:rsidP="00164A7D">
      <w:pPr>
        <w:ind w:left="600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  <w:lang w:val="en-GB"/>
        </w:rPr>
        <w:t>PYRALVEX</w:t>
      </w:r>
    </w:p>
    <w:p w:rsidR="00660B75" w:rsidRPr="008939F1" w:rsidRDefault="00660B75" w:rsidP="008939F1">
      <w:pPr>
        <w:rPr>
          <w:rFonts w:ascii="Arial" w:hAnsi="Arial" w:cs="Arial"/>
          <w:sz w:val="22"/>
          <w:szCs w:val="22"/>
        </w:rPr>
      </w:pPr>
    </w:p>
    <w:p w:rsidR="00660B75" w:rsidRPr="008939F1" w:rsidRDefault="00405573" w:rsidP="008939F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939F1">
        <w:rPr>
          <w:rFonts w:ascii="Arial" w:hAnsi="Arial" w:cs="Arial"/>
          <w:b/>
          <w:sz w:val="22"/>
          <w:szCs w:val="22"/>
          <w:u w:val="single"/>
        </w:rPr>
        <w:t>ΠΟΙΟΤΙΚΗ ΚΑΙ ΠΟΣΟΤΙΚΗ ΣΥΝΘΕΣΗ σε δραστικά συστατικά</w:t>
      </w:r>
      <w:r w:rsidR="008B558A" w:rsidRPr="008939F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60B75" w:rsidRPr="008939F1">
        <w:rPr>
          <w:rFonts w:ascii="Arial" w:hAnsi="Arial" w:cs="Arial"/>
          <w:b/>
          <w:sz w:val="22"/>
          <w:szCs w:val="22"/>
        </w:rPr>
        <w:t xml:space="preserve">: </w:t>
      </w:r>
    </w:p>
    <w:p w:rsidR="00660B75" w:rsidRPr="008939F1" w:rsidRDefault="00164A7D" w:rsidP="008939F1">
      <w:pPr>
        <w:rPr>
          <w:rFonts w:ascii="Arial" w:hAnsi="Arial" w:cs="Arial"/>
          <w:sz w:val="22"/>
          <w:szCs w:val="22"/>
        </w:rPr>
      </w:pPr>
      <w:r w:rsidRPr="00164A7D">
        <w:rPr>
          <w:rFonts w:ascii="Arial" w:hAnsi="Arial" w:cs="Arial"/>
          <w:sz w:val="22"/>
          <w:szCs w:val="22"/>
        </w:rPr>
        <w:t xml:space="preserve">          </w:t>
      </w:r>
      <w:r w:rsidR="00660B75" w:rsidRPr="008939F1">
        <w:rPr>
          <w:rFonts w:ascii="Arial" w:hAnsi="Arial" w:cs="Arial"/>
          <w:sz w:val="22"/>
          <w:szCs w:val="22"/>
          <w:lang w:val="en-GB"/>
        </w:rPr>
        <w:t>Salicylic</w:t>
      </w:r>
      <w:r w:rsidR="00660B75" w:rsidRPr="008939F1">
        <w:rPr>
          <w:rFonts w:ascii="Arial" w:hAnsi="Arial" w:cs="Arial"/>
          <w:sz w:val="22"/>
          <w:szCs w:val="22"/>
        </w:rPr>
        <w:t xml:space="preserve"> </w:t>
      </w:r>
      <w:r w:rsidR="00660B75" w:rsidRPr="008939F1">
        <w:rPr>
          <w:rFonts w:ascii="Arial" w:hAnsi="Arial" w:cs="Arial"/>
          <w:sz w:val="22"/>
          <w:szCs w:val="22"/>
          <w:lang w:val="en-GB"/>
        </w:rPr>
        <w:t>Acid</w:t>
      </w:r>
      <w:r w:rsidR="00660B75" w:rsidRPr="008939F1">
        <w:rPr>
          <w:rFonts w:ascii="Arial" w:hAnsi="Arial" w:cs="Arial"/>
          <w:sz w:val="22"/>
          <w:szCs w:val="22"/>
        </w:rPr>
        <w:t xml:space="preserve"> 10</w:t>
      </w:r>
      <w:r w:rsidR="007B7CCE" w:rsidRPr="008939F1">
        <w:rPr>
          <w:rFonts w:ascii="Arial" w:hAnsi="Arial" w:cs="Arial"/>
          <w:sz w:val="22"/>
          <w:szCs w:val="22"/>
        </w:rPr>
        <w:t xml:space="preserve"> </w:t>
      </w:r>
      <w:r w:rsidR="00660B75" w:rsidRPr="008939F1">
        <w:rPr>
          <w:rFonts w:ascii="Arial" w:hAnsi="Arial" w:cs="Arial"/>
          <w:sz w:val="22"/>
          <w:szCs w:val="22"/>
          <w:lang w:val="en-GB"/>
        </w:rPr>
        <w:t>mg</w:t>
      </w:r>
      <w:r w:rsidR="00BE43F3" w:rsidRPr="008939F1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="00BE43F3" w:rsidRPr="008939F1">
        <w:rPr>
          <w:rFonts w:ascii="Arial" w:hAnsi="Arial" w:cs="Arial"/>
          <w:sz w:val="22"/>
          <w:szCs w:val="22"/>
          <w:lang w:val="en-GB"/>
        </w:rPr>
        <w:t>Extractum</w:t>
      </w:r>
      <w:proofErr w:type="spellEnd"/>
      <w:r w:rsidR="00BE43F3" w:rsidRPr="00893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43F3" w:rsidRPr="008939F1">
        <w:rPr>
          <w:rFonts w:ascii="Arial" w:hAnsi="Arial" w:cs="Arial"/>
          <w:sz w:val="22"/>
          <w:szCs w:val="22"/>
          <w:lang w:val="en-GB"/>
        </w:rPr>
        <w:t>Rhei</w:t>
      </w:r>
      <w:proofErr w:type="spellEnd"/>
      <w:r w:rsidR="00BE43F3" w:rsidRPr="008939F1">
        <w:rPr>
          <w:rFonts w:ascii="Arial" w:hAnsi="Arial" w:cs="Arial"/>
          <w:sz w:val="22"/>
          <w:szCs w:val="22"/>
        </w:rPr>
        <w:t xml:space="preserve"> 50 </w:t>
      </w:r>
      <w:r w:rsidR="00BE43F3" w:rsidRPr="008939F1">
        <w:rPr>
          <w:rFonts w:ascii="Arial" w:hAnsi="Arial" w:cs="Arial"/>
          <w:sz w:val="22"/>
          <w:szCs w:val="22"/>
          <w:lang w:val="en-GB"/>
        </w:rPr>
        <w:t>mg</w:t>
      </w:r>
      <w:r w:rsidR="00BE43F3" w:rsidRPr="008939F1">
        <w:rPr>
          <w:rFonts w:ascii="Arial" w:hAnsi="Arial" w:cs="Arial"/>
          <w:sz w:val="22"/>
          <w:szCs w:val="22"/>
        </w:rPr>
        <w:t xml:space="preserve"> ανά </w:t>
      </w:r>
      <w:r w:rsidR="00BE43F3" w:rsidRPr="008939F1">
        <w:rPr>
          <w:rFonts w:ascii="Arial" w:hAnsi="Arial" w:cs="Arial"/>
          <w:sz w:val="22"/>
          <w:szCs w:val="22"/>
          <w:lang w:val="en-US"/>
        </w:rPr>
        <w:t>ml</w:t>
      </w:r>
      <w:r w:rsidR="00BE43F3" w:rsidRPr="008939F1">
        <w:rPr>
          <w:rFonts w:ascii="Arial" w:hAnsi="Arial" w:cs="Arial"/>
          <w:sz w:val="22"/>
          <w:szCs w:val="22"/>
        </w:rPr>
        <w:t xml:space="preserve"> διαλύματος</w:t>
      </w:r>
    </w:p>
    <w:p w:rsidR="00660B75" w:rsidRPr="00164A7D" w:rsidRDefault="00660B75" w:rsidP="008939F1">
      <w:p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ab/>
      </w:r>
      <w:r w:rsidRPr="008939F1">
        <w:rPr>
          <w:rFonts w:ascii="Arial" w:hAnsi="Arial" w:cs="Arial"/>
          <w:sz w:val="22"/>
          <w:szCs w:val="22"/>
        </w:rPr>
        <w:tab/>
      </w:r>
      <w:r w:rsidRPr="008939F1">
        <w:rPr>
          <w:rFonts w:ascii="Arial" w:hAnsi="Arial" w:cs="Arial"/>
          <w:sz w:val="22"/>
          <w:szCs w:val="22"/>
        </w:rPr>
        <w:tab/>
      </w:r>
      <w:r w:rsidRPr="008939F1">
        <w:rPr>
          <w:rFonts w:ascii="Arial" w:hAnsi="Arial" w:cs="Arial"/>
          <w:sz w:val="22"/>
          <w:szCs w:val="22"/>
        </w:rPr>
        <w:tab/>
      </w:r>
      <w:r w:rsidRPr="008939F1">
        <w:rPr>
          <w:rFonts w:ascii="Arial" w:hAnsi="Arial" w:cs="Arial"/>
          <w:sz w:val="22"/>
          <w:szCs w:val="22"/>
        </w:rPr>
        <w:tab/>
      </w:r>
    </w:p>
    <w:p w:rsidR="00660B75" w:rsidRPr="008939F1" w:rsidRDefault="008939F1" w:rsidP="008939F1">
      <w:pPr>
        <w:numPr>
          <w:ilvl w:val="0"/>
          <w:numId w:val="1"/>
        </w:numPr>
        <w:tabs>
          <w:tab w:val="clear" w:pos="600"/>
          <w:tab w:val="num" w:pos="480"/>
        </w:tabs>
        <w:rPr>
          <w:rFonts w:ascii="Arial" w:hAnsi="Arial" w:cs="Arial"/>
          <w:sz w:val="22"/>
          <w:szCs w:val="22"/>
        </w:rPr>
      </w:pPr>
      <w:r w:rsidRPr="00164A7D">
        <w:rPr>
          <w:rFonts w:ascii="Arial" w:hAnsi="Arial" w:cs="Arial"/>
          <w:b/>
          <w:sz w:val="22"/>
          <w:szCs w:val="22"/>
        </w:rPr>
        <w:t xml:space="preserve"> </w:t>
      </w:r>
      <w:r w:rsidR="00164A7D" w:rsidRPr="00164A7D">
        <w:rPr>
          <w:rFonts w:ascii="Arial" w:hAnsi="Arial" w:cs="Arial"/>
          <w:b/>
          <w:sz w:val="22"/>
          <w:szCs w:val="22"/>
        </w:rPr>
        <w:t xml:space="preserve"> </w:t>
      </w:r>
      <w:r w:rsidR="00405573" w:rsidRPr="008939F1">
        <w:rPr>
          <w:rFonts w:ascii="Arial" w:hAnsi="Arial" w:cs="Arial"/>
          <w:b/>
          <w:sz w:val="22"/>
          <w:szCs w:val="22"/>
          <w:u w:val="single"/>
        </w:rPr>
        <w:t>ΦΑΡΜΑΚΟΤΕΧΝΙΚΗ ΜΟΡΦΗ</w:t>
      </w:r>
      <w:r w:rsidR="008B558A" w:rsidRPr="008939F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60B75" w:rsidRPr="008939F1">
        <w:rPr>
          <w:rFonts w:ascii="Arial" w:hAnsi="Arial" w:cs="Arial"/>
          <w:b/>
          <w:sz w:val="22"/>
          <w:szCs w:val="22"/>
        </w:rPr>
        <w:t>:</w:t>
      </w:r>
      <w:r w:rsidR="00660B75" w:rsidRPr="008939F1">
        <w:rPr>
          <w:rFonts w:ascii="Arial" w:hAnsi="Arial" w:cs="Arial"/>
          <w:sz w:val="22"/>
          <w:szCs w:val="22"/>
        </w:rPr>
        <w:t xml:space="preserve"> </w:t>
      </w:r>
      <w:r w:rsidR="0011245F" w:rsidRPr="008939F1">
        <w:rPr>
          <w:rFonts w:ascii="Arial" w:hAnsi="Arial" w:cs="Arial"/>
          <w:sz w:val="22"/>
          <w:szCs w:val="22"/>
        </w:rPr>
        <w:t xml:space="preserve">Στοματικό διάλυμα </w:t>
      </w:r>
    </w:p>
    <w:p w:rsidR="00660B75" w:rsidRPr="008939F1" w:rsidRDefault="00660B75" w:rsidP="008939F1">
      <w:pPr>
        <w:rPr>
          <w:rFonts w:ascii="Arial" w:hAnsi="Arial" w:cs="Arial"/>
          <w:sz w:val="22"/>
          <w:szCs w:val="22"/>
        </w:rPr>
      </w:pPr>
    </w:p>
    <w:p w:rsidR="00660B75" w:rsidRPr="008939F1" w:rsidRDefault="0011245F" w:rsidP="008939F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8939F1">
        <w:rPr>
          <w:rFonts w:ascii="Arial" w:hAnsi="Arial" w:cs="Arial"/>
          <w:b/>
          <w:sz w:val="22"/>
          <w:szCs w:val="22"/>
          <w:u w:val="single"/>
        </w:rPr>
        <w:t>ΚΛΙΝΙΚΑ ΣΤΟΙΧΕΙΑ</w:t>
      </w:r>
      <w:r w:rsidR="008B558A" w:rsidRPr="008939F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60B75" w:rsidRPr="008939F1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</w:p>
    <w:p w:rsidR="00660B75" w:rsidRPr="008939F1" w:rsidRDefault="00660B75" w:rsidP="008939F1">
      <w:pPr>
        <w:ind w:left="720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b/>
          <w:sz w:val="22"/>
          <w:szCs w:val="22"/>
        </w:rPr>
        <w:t xml:space="preserve">4.1 </w:t>
      </w:r>
      <w:r w:rsidR="001F1175" w:rsidRPr="008939F1">
        <w:rPr>
          <w:rFonts w:ascii="Arial" w:hAnsi="Arial" w:cs="Arial"/>
          <w:b/>
          <w:sz w:val="22"/>
          <w:szCs w:val="22"/>
        </w:rPr>
        <w:t>Θεραπευτικές ενδείξεις</w:t>
      </w:r>
      <w:r w:rsidRPr="008939F1">
        <w:rPr>
          <w:rFonts w:ascii="Arial" w:hAnsi="Arial" w:cs="Arial"/>
          <w:b/>
          <w:sz w:val="22"/>
          <w:szCs w:val="22"/>
        </w:rPr>
        <w:t>:</w:t>
      </w:r>
      <w:r w:rsidRPr="008939F1">
        <w:rPr>
          <w:rFonts w:ascii="Arial" w:hAnsi="Arial" w:cs="Arial"/>
          <w:sz w:val="22"/>
          <w:szCs w:val="22"/>
        </w:rPr>
        <w:t xml:space="preserve"> </w:t>
      </w:r>
      <w:r w:rsidRPr="008939F1">
        <w:rPr>
          <w:rFonts w:ascii="Arial" w:hAnsi="Arial" w:cs="Arial"/>
          <w:sz w:val="22"/>
          <w:szCs w:val="22"/>
        </w:rPr>
        <w:br/>
      </w:r>
      <w:r w:rsidR="00CD15F0" w:rsidRPr="008939F1">
        <w:rPr>
          <w:rFonts w:ascii="Arial" w:hAnsi="Arial" w:cs="Arial"/>
          <w:sz w:val="22"/>
          <w:szCs w:val="22"/>
        </w:rPr>
        <w:t>Θεραπεία φλεγμονωδών καταστάσεων του στοματικού βλεννογόνου.</w:t>
      </w:r>
    </w:p>
    <w:p w:rsidR="00461812" w:rsidRPr="008939F1" w:rsidRDefault="00461812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</w:p>
    <w:p w:rsidR="00461812" w:rsidRPr="008939F1" w:rsidRDefault="007B7CCE" w:rsidP="008939F1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22"/>
          <w:szCs w:val="22"/>
        </w:rPr>
      </w:pPr>
      <w:r w:rsidRPr="008939F1">
        <w:rPr>
          <w:rFonts w:ascii="Arial" w:hAnsi="Arial" w:cs="Arial"/>
          <w:b/>
          <w:sz w:val="22"/>
          <w:szCs w:val="22"/>
        </w:rPr>
        <w:t>4.2</w:t>
      </w:r>
      <w:r w:rsidR="000F2991" w:rsidRPr="008939F1">
        <w:rPr>
          <w:rFonts w:ascii="Arial" w:hAnsi="Arial" w:cs="Arial"/>
          <w:b/>
          <w:sz w:val="22"/>
          <w:szCs w:val="22"/>
        </w:rPr>
        <w:t xml:space="preserve"> </w:t>
      </w:r>
      <w:r w:rsidR="00516831" w:rsidRPr="008939F1">
        <w:rPr>
          <w:rFonts w:ascii="Arial" w:hAnsi="Arial" w:cs="Arial"/>
          <w:b/>
          <w:sz w:val="22"/>
          <w:szCs w:val="22"/>
        </w:rPr>
        <w:t>Δοσολογία και τρόπος χορήγησης</w:t>
      </w:r>
      <w:r w:rsidR="00660B75" w:rsidRPr="008939F1">
        <w:rPr>
          <w:rFonts w:ascii="Arial" w:hAnsi="Arial" w:cs="Arial"/>
          <w:b/>
          <w:sz w:val="22"/>
          <w:szCs w:val="22"/>
        </w:rPr>
        <w:t>:</w:t>
      </w:r>
      <w:r w:rsidR="00660B75" w:rsidRPr="008939F1">
        <w:rPr>
          <w:rFonts w:ascii="Arial" w:hAnsi="Arial" w:cs="Arial"/>
          <w:sz w:val="22"/>
          <w:szCs w:val="22"/>
        </w:rPr>
        <w:br/>
      </w:r>
      <w:r w:rsidR="007F6C30" w:rsidRPr="008939F1">
        <w:rPr>
          <w:rFonts w:ascii="Arial" w:hAnsi="Arial" w:cs="Arial"/>
          <w:sz w:val="22"/>
          <w:szCs w:val="22"/>
        </w:rPr>
        <w:t xml:space="preserve">Ενήλικες, ηλικιωμένοι και παιδιά </w:t>
      </w:r>
      <w:r w:rsidR="00BE43F3" w:rsidRPr="008939F1">
        <w:rPr>
          <w:rFonts w:ascii="Arial" w:hAnsi="Arial" w:cs="Arial"/>
          <w:sz w:val="22"/>
          <w:szCs w:val="22"/>
        </w:rPr>
        <w:t xml:space="preserve">16 ετών </w:t>
      </w:r>
      <w:r w:rsidR="007F6C30" w:rsidRPr="008939F1">
        <w:rPr>
          <w:rFonts w:ascii="Arial" w:hAnsi="Arial" w:cs="Arial"/>
          <w:sz w:val="22"/>
          <w:szCs w:val="22"/>
        </w:rPr>
        <w:t>και άνω</w:t>
      </w:r>
      <w:r w:rsidR="00660B75" w:rsidRPr="008939F1">
        <w:rPr>
          <w:rFonts w:ascii="Arial" w:hAnsi="Arial" w:cs="Arial"/>
          <w:sz w:val="22"/>
          <w:szCs w:val="22"/>
        </w:rPr>
        <w:t xml:space="preserve">: </w:t>
      </w:r>
      <w:r w:rsidR="007F6C30" w:rsidRPr="008939F1">
        <w:rPr>
          <w:rFonts w:ascii="Arial" w:hAnsi="Arial" w:cs="Arial"/>
          <w:sz w:val="22"/>
          <w:szCs w:val="22"/>
        </w:rPr>
        <w:t>Να εφαρμόζεται στο βλεννογόνο</w:t>
      </w:r>
      <w:r w:rsidR="000F2991" w:rsidRPr="008939F1">
        <w:rPr>
          <w:rFonts w:ascii="Arial" w:hAnsi="Arial" w:cs="Arial"/>
          <w:sz w:val="22"/>
          <w:szCs w:val="22"/>
        </w:rPr>
        <w:t xml:space="preserve"> που φλεγμαίνει</w:t>
      </w:r>
      <w:r w:rsidR="007F6C30" w:rsidRPr="008939F1">
        <w:rPr>
          <w:rFonts w:ascii="Arial" w:hAnsi="Arial" w:cs="Arial"/>
          <w:sz w:val="22"/>
          <w:szCs w:val="22"/>
        </w:rPr>
        <w:t xml:space="preserve"> (αφού αφαιρεθο</w:t>
      </w:r>
      <w:r w:rsidR="007C6F59" w:rsidRPr="008939F1">
        <w:rPr>
          <w:rFonts w:ascii="Arial" w:hAnsi="Arial" w:cs="Arial"/>
          <w:sz w:val="22"/>
          <w:szCs w:val="22"/>
        </w:rPr>
        <w:t>ύν οι οδοντοστοιχ</w:t>
      </w:r>
      <w:r w:rsidR="007F6C30" w:rsidRPr="008939F1">
        <w:rPr>
          <w:rFonts w:ascii="Arial" w:hAnsi="Arial" w:cs="Arial"/>
          <w:sz w:val="22"/>
          <w:szCs w:val="22"/>
        </w:rPr>
        <w:t xml:space="preserve">ίες εάν </w:t>
      </w:r>
      <w:r w:rsidR="007C6F59" w:rsidRPr="008939F1">
        <w:rPr>
          <w:rFonts w:ascii="Arial" w:hAnsi="Arial" w:cs="Arial"/>
          <w:sz w:val="22"/>
          <w:szCs w:val="22"/>
        </w:rPr>
        <w:t>υπάρχουν) τρεις ή τέσσερεις φορές την ημέρα χρησιμοποιώντας τη βούρτσα. Μην ξεπλένετε το στόμα και μην τρώτε ή πίνετε αμέσως μετά τη χρήση.</w:t>
      </w:r>
      <w:r w:rsidR="000F2991" w:rsidRPr="008939F1" w:rsidDel="007C6F59">
        <w:rPr>
          <w:rFonts w:ascii="Arial" w:hAnsi="Arial" w:cs="Arial"/>
          <w:sz w:val="22"/>
          <w:szCs w:val="22"/>
        </w:rPr>
        <w:t xml:space="preserve"> </w:t>
      </w:r>
    </w:p>
    <w:p w:rsidR="00461812" w:rsidRPr="008939F1" w:rsidRDefault="007C6F59" w:rsidP="008939F1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22"/>
          <w:szCs w:val="22"/>
        </w:rPr>
      </w:pPr>
      <w:r w:rsidRPr="008939F1">
        <w:rPr>
          <w:rFonts w:ascii="Arial" w:hAnsi="Arial" w:cs="Arial"/>
          <w:iCs/>
          <w:sz w:val="22"/>
          <w:szCs w:val="22"/>
        </w:rPr>
        <w:t xml:space="preserve">Συμβουλευθείτε τον ιατρό σας εάν η κατάστασή σας δεν παρουσιάζει βελτίωση-  η μέγιστη διάρκεια θεραπείας είναι </w:t>
      </w:r>
      <w:r w:rsidR="00BE43F3" w:rsidRPr="008939F1">
        <w:rPr>
          <w:rFonts w:ascii="Arial" w:hAnsi="Arial" w:cs="Arial"/>
          <w:iCs/>
          <w:sz w:val="22"/>
          <w:szCs w:val="22"/>
        </w:rPr>
        <w:t>7</w:t>
      </w:r>
      <w:r w:rsidRPr="008939F1">
        <w:rPr>
          <w:rFonts w:ascii="Arial" w:hAnsi="Arial" w:cs="Arial"/>
          <w:iCs/>
          <w:sz w:val="22"/>
          <w:szCs w:val="22"/>
        </w:rPr>
        <w:t>ημέρες.</w:t>
      </w:r>
    </w:p>
    <w:p w:rsidR="00461812" w:rsidRPr="008939F1" w:rsidRDefault="00461812" w:rsidP="008939F1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22"/>
          <w:szCs w:val="22"/>
        </w:rPr>
      </w:pPr>
    </w:p>
    <w:p w:rsidR="00461812" w:rsidRPr="008939F1" w:rsidRDefault="002D667C" w:rsidP="008939F1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22"/>
          <w:szCs w:val="22"/>
        </w:rPr>
      </w:pPr>
      <w:r w:rsidRPr="008939F1">
        <w:rPr>
          <w:rFonts w:ascii="Arial" w:hAnsi="Arial" w:cs="Arial"/>
          <w:b/>
          <w:iCs/>
          <w:sz w:val="22"/>
          <w:szCs w:val="22"/>
        </w:rPr>
        <w:t xml:space="preserve">Παιδιά κάτω των </w:t>
      </w:r>
      <w:r w:rsidR="00BE43F3" w:rsidRPr="008939F1">
        <w:rPr>
          <w:rFonts w:ascii="Arial" w:hAnsi="Arial" w:cs="Arial"/>
          <w:b/>
          <w:iCs/>
          <w:sz w:val="22"/>
          <w:szCs w:val="22"/>
        </w:rPr>
        <w:t>16</w:t>
      </w:r>
      <w:r w:rsidRPr="008939F1">
        <w:rPr>
          <w:rFonts w:ascii="Arial" w:hAnsi="Arial" w:cs="Arial"/>
          <w:b/>
          <w:iCs/>
          <w:sz w:val="22"/>
          <w:szCs w:val="22"/>
        </w:rPr>
        <w:t xml:space="preserve"> ετών</w:t>
      </w:r>
      <w:r w:rsidR="00461812" w:rsidRPr="008939F1">
        <w:rPr>
          <w:rFonts w:ascii="Arial" w:hAnsi="Arial" w:cs="Arial"/>
          <w:iCs/>
          <w:sz w:val="22"/>
          <w:szCs w:val="22"/>
        </w:rPr>
        <w:t xml:space="preserve">: </w:t>
      </w:r>
      <w:r w:rsidRPr="008939F1">
        <w:rPr>
          <w:rFonts w:ascii="Arial" w:hAnsi="Arial" w:cs="Arial"/>
          <w:iCs/>
          <w:sz w:val="22"/>
          <w:szCs w:val="22"/>
        </w:rPr>
        <w:t xml:space="preserve">Αντενδείκνυται η χρήση σε παιδιά κάτω των </w:t>
      </w:r>
      <w:r w:rsidR="00BE43F3" w:rsidRPr="008939F1">
        <w:rPr>
          <w:rFonts w:ascii="Arial" w:hAnsi="Arial" w:cs="Arial"/>
          <w:iCs/>
          <w:sz w:val="22"/>
          <w:szCs w:val="22"/>
        </w:rPr>
        <w:t xml:space="preserve">16 </w:t>
      </w:r>
      <w:r w:rsidRPr="008939F1">
        <w:rPr>
          <w:rFonts w:ascii="Arial" w:hAnsi="Arial" w:cs="Arial"/>
          <w:iCs/>
          <w:sz w:val="22"/>
          <w:szCs w:val="22"/>
        </w:rPr>
        <w:t xml:space="preserve">ετών. </w:t>
      </w:r>
    </w:p>
    <w:p w:rsidR="00660B75" w:rsidRPr="008939F1" w:rsidRDefault="00660B75" w:rsidP="008939F1">
      <w:pPr>
        <w:numPr>
          <w:ilvl w:val="1"/>
          <w:numId w:val="1"/>
        </w:numPr>
        <w:ind w:left="720" w:hanging="360"/>
        <w:rPr>
          <w:rFonts w:ascii="Arial" w:hAnsi="Arial" w:cs="Arial"/>
          <w:sz w:val="22"/>
          <w:szCs w:val="22"/>
        </w:rPr>
      </w:pPr>
    </w:p>
    <w:p w:rsidR="00461812" w:rsidRPr="008939F1" w:rsidRDefault="00461812" w:rsidP="008939F1">
      <w:pPr>
        <w:numPr>
          <w:ilvl w:val="1"/>
          <w:numId w:val="1"/>
        </w:numPr>
        <w:ind w:left="720" w:hanging="360"/>
        <w:rPr>
          <w:rFonts w:ascii="Arial" w:hAnsi="Arial" w:cs="Arial"/>
          <w:sz w:val="22"/>
          <w:szCs w:val="22"/>
        </w:rPr>
      </w:pPr>
    </w:p>
    <w:p w:rsidR="007B7CCE" w:rsidRPr="008939F1" w:rsidRDefault="00660B75" w:rsidP="008939F1">
      <w:pPr>
        <w:numPr>
          <w:ilvl w:val="8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8939F1">
        <w:rPr>
          <w:rFonts w:ascii="Arial" w:hAnsi="Arial" w:cs="Arial"/>
          <w:b/>
          <w:sz w:val="22"/>
          <w:szCs w:val="22"/>
          <w:lang w:val="en-GB"/>
        </w:rPr>
        <w:t xml:space="preserve">4.3 </w:t>
      </w:r>
      <w:r w:rsidR="002D667C" w:rsidRPr="008939F1">
        <w:rPr>
          <w:rFonts w:ascii="Arial" w:hAnsi="Arial" w:cs="Arial"/>
          <w:b/>
          <w:sz w:val="22"/>
          <w:szCs w:val="22"/>
        </w:rPr>
        <w:t>Αντενδείξεις</w:t>
      </w:r>
      <w:r w:rsidRPr="008939F1">
        <w:rPr>
          <w:rFonts w:ascii="Arial" w:hAnsi="Arial" w:cs="Arial"/>
          <w:b/>
          <w:sz w:val="22"/>
          <w:szCs w:val="22"/>
          <w:lang w:val="en-GB"/>
        </w:rPr>
        <w:t>:</w:t>
      </w:r>
    </w:p>
    <w:p w:rsidR="004A0D39" w:rsidRPr="008939F1" w:rsidRDefault="004A0D39" w:rsidP="008939F1">
      <w:pPr>
        <w:pStyle w:val="a7"/>
        <w:spacing w:after="0"/>
        <w:rPr>
          <w:rFonts w:ascii="Arial" w:hAnsi="Arial" w:cs="Arial"/>
          <w:szCs w:val="22"/>
        </w:rPr>
      </w:pPr>
    </w:p>
    <w:p w:rsidR="00461812" w:rsidRPr="008939F1" w:rsidRDefault="002D667C" w:rsidP="008939F1">
      <w:pPr>
        <w:pStyle w:val="a7"/>
        <w:spacing w:after="0"/>
        <w:rPr>
          <w:rFonts w:ascii="Arial" w:hAnsi="Arial" w:cs="Arial"/>
          <w:szCs w:val="22"/>
          <w:lang w:val="el-GR"/>
        </w:rPr>
      </w:pPr>
      <w:r w:rsidRPr="008939F1">
        <w:rPr>
          <w:rFonts w:ascii="Arial" w:hAnsi="Arial" w:cs="Arial"/>
          <w:szCs w:val="22"/>
          <w:lang w:val="el-GR"/>
        </w:rPr>
        <w:t xml:space="preserve">Υπερευαισθησία σε ένα από τα συστατικά του. </w:t>
      </w:r>
    </w:p>
    <w:p w:rsidR="00971B69" w:rsidRPr="008939F1" w:rsidRDefault="00971B69" w:rsidP="008939F1">
      <w:pPr>
        <w:pStyle w:val="a7"/>
        <w:spacing w:after="0"/>
        <w:rPr>
          <w:rFonts w:ascii="Arial" w:hAnsi="Arial" w:cs="Arial"/>
          <w:szCs w:val="22"/>
          <w:lang w:val="el-GR"/>
        </w:rPr>
      </w:pPr>
    </w:p>
    <w:p w:rsidR="00660B75" w:rsidRPr="008939F1" w:rsidRDefault="002D667C" w:rsidP="008939F1">
      <w:pPr>
        <w:pStyle w:val="a7"/>
        <w:spacing w:after="0"/>
        <w:rPr>
          <w:rFonts w:ascii="Arial" w:hAnsi="Arial" w:cs="Arial"/>
          <w:szCs w:val="22"/>
          <w:lang w:val="el-GR"/>
        </w:rPr>
      </w:pPr>
      <w:r w:rsidRPr="008939F1">
        <w:rPr>
          <w:rFonts w:ascii="Arial" w:hAnsi="Arial" w:cs="Arial"/>
          <w:szCs w:val="22"/>
          <w:lang w:val="el-GR"/>
        </w:rPr>
        <w:t xml:space="preserve">Να μην χρησιμοποιείται σε παιδιά κάτω των </w:t>
      </w:r>
      <w:r w:rsidR="00BE43F3" w:rsidRPr="008939F1">
        <w:rPr>
          <w:rFonts w:ascii="Arial" w:hAnsi="Arial" w:cs="Arial"/>
          <w:szCs w:val="22"/>
          <w:lang w:val="el-GR"/>
        </w:rPr>
        <w:t>16</w:t>
      </w:r>
      <w:r w:rsidRPr="008939F1">
        <w:rPr>
          <w:rFonts w:ascii="Arial" w:hAnsi="Arial" w:cs="Arial"/>
          <w:szCs w:val="22"/>
          <w:lang w:val="el-GR"/>
        </w:rPr>
        <w:t xml:space="preserve"> ετών.</w:t>
      </w:r>
      <w:r w:rsidR="00461812" w:rsidRPr="008939F1">
        <w:rPr>
          <w:rFonts w:ascii="Arial" w:hAnsi="Arial" w:cs="Arial"/>
          <w:szCs w:val="22"/>
          <w:lang w:val="el-GR"/>
        </w:rPr>
        <w:t xml:space="preserve"> </w:t>
      </w:r>
      <w:r w:rsidRPr="008939F1">
        <w:rPr>
          <w:rFonts w:ascii="Arial" w:hAnsi="Arial" w:cs="Arial"/>
          <w:szCs w:val="22"/>
          <w:lang w:val="el-GR"/>
        </w:rPr>
        <w:t xml:space="preserve">Ο λόγος είναι ότι υπάρχει συσχετισμός μεταξύ των συστηματικώς χορηγούμενων σαλικυλικών και του Συνδρόμου </w:t>
      </w:r>
      <w:r w:rsidR="00461812" w:rsidRPr="008939F1">
        <w:rPr>
          <w:rFonts w:ascii="Arial" w:hAnsi="Arial" w:cs="Arial"/>
          <w:szCs w:val="22"/>
        </w:rPr>
        <w:t>Reye</w:t>
      </w:r>
      <w:r w:rsidR="00461812" w:rsidRPr="008939F1">
        <w:rPr>
          <w:rFonts w:ascii="Arial" w:hAnsi="Arial" w:cs="Arial"/>
          <w:szCs w:val="22"/>
          <w:lang w:val="el-GR"/>
        </w:rPr>
        <w:t>’</w:t>
      </w:r>
      <w:r w:rsidR="00461812" w:rsidRPr="008939F1">
        <w:rPr>
          <w:rFonts w:ascii="Arial" w:hAnsi="Arial" w:cs="Arial"/>
          <w:szCs w:val="22"/>
        </w:rPr>
        <w:t>s</w:t>
      </w:r>
      <w:r w:rsidR="00461812" w:rsidRPr="008939F1">
        <w:rPr>
          <w:rFonts w:ascii="Arial" w:hAnsi="Arial" w:cs="Arial"/>
          <w:szCs w:val="22"/>
          <w:lang w:val="el-GR"/>
        </w:rPr>
        <w:t xml:space="preserve"> </w:t>
      </w:r>
      <w:r w:rsidRPr="008939F1">
        <w:rPr>
          <w:rFonts w:ascii="Arial" w:hAnsi="Arial" w:cs="Arial"/>
          <w:szCs w:val="22"/>
          <w:lang w:val="el-GR"/>
        </w:rPr>
        <w:t>στα παιδιά</w:t>
      </w:r>
      <w:r w:rsidR="00461812" w:rsidRPr="008939F1">
        <w:rPr>
          <w:rFonts w:ascii="Arial" w:hAnsi="Arial" w:cs="Arial"/>
          <w:szCs w:val="22"/>
          <w:lang w:val="el-GR"/>
        </w:rPr>
        <w:t>.</w:t>
      </w:r>
      <w:r w:rsidRPr="008939F1">
        <w:rPr>
          <w:rFonts w:ascii="Arial" w:hAnsi="Arial" w:cs="Arial"/>
          <w:szCs w:val="22"/>
          <w:lang w:val="el-GR"/>
        </w:rPr>
        <w:t xml:space="preserve"> Το Σύνδρομο</w:t>
      </w:r>
      <w:r w:rsidR="00461812" w:rsidRPr="008939F1">
        <w:rPr>
          <w:rFonts w:ascii="Arial" w:hAnsi="Arial" w:cs="Arial"/>
          <w:szCs w:val="22"/>
          <w:lang w:val="el-GR"/>
        </w:rPr>
        <w:t xml:space="preserve"> </w:t>
      </w:r>
      <w:r w:rsidR="00461812" w:rsidRPr="008939F1">
        <w:rPr>
          <w:rFonts w:ascii="Arial" w:hAnsi="Arial" w:cs="Arial"/>
          <w:szCs w:val="22"/>
        </w:rPr>
        <w:t>Reye</w:t>
      </w:r>
      <w:r w:rsidR="00461812" w:rsidRPr="008939F1">
        <w:rPr>
          <w:rFonts w:ascii="Arial" w:hAnsi="Arial" w:cs="Arial"/>
          <w:szCs w:val="22"/>
          <w:lang w:val="el-GR"/>
        </w:rPr>
        <w:t>’</w:t>
      </w:r>
      <w:r w:rsidR="00461812" w:rsidRPr="008939F1">
        <w:rPr>
          <w:rFonts w:ascii="Arial" w:hAnsi="Arial" w:cs="Arial"/>
          <w:szCs w:val="22"/>
        </w:rPr>
        <w:t>s</w:t>
      </w:r>
      <w:r w:rsidR="00461812" w:rsidRPr="008939F1">
        <w:rPr>
          <w:rFonts w:ascii="Arial" w:hAnsi="Arial" w:cs="Arial"/>
          <w:szCs w:val="22"/>
          <w:lang w:val="el-GR"/>
        </w:rPr>
        <w:t xml:space="preserve"> </w:t>
      </w:r>
      <w:r w:rsidRPr="008939F1">
        <w:rPr>
          <w:rFonts w:ascii="Arial" w:hAnsi="Arial" w:cs="Arial"/>
          <w:szCs w:val="22"/>
          <w:lang w:val="el-GR"/>
        </w:rPr>
        <w:t>είναι μια πολύ σπάνια ασθένεια η οποία</w:t>
      </w:r>
      <w:r w:rsidR="00584433" w:rsidRPr="008939F1">
        <w:rPr>
          <w:rFonts w:ascii="Arial" w:hAnsi="Arial" w:cs="Arial"/>
          <w:szCs w:val="22"/>
          <w:lang w:val="el-GR"/>
        </w:rPr>
        <w:t xml:space="preserve"> επηρεάζει τον εγκέφαλο και το </w:t>
      </w:r>
      <w:r w:rsidR="00EA3EFF" w:rsidRPr="008939F1">
        <w:rPr>
          <w:rFonts w:ascii="Arial" w:hAnsi="Arial" w:cs="Arial"/>
          <w:szCs w:val="22"/>
          <w:lang w:val="el-GR"/>
        </w:rPr>
        <w:t xml:space="preserve">;ήπαρ </w:t>
      </w:r>
      <w:r w:rsidR="00584433" w:rsidRPr="008939F1">
        <w:rPr>
          <w:rFonts w:ascii="Arial" w:hAnsi="Arial" w:cs="Arial"/>
          <w:szCs w:val="22"/>
          <w:lang w:val="el-GR"/>
        </w:rPr>
        <w:t xml:space="preserve">και μπορεί να αποβεί μοιραία. </w:t>
      </w:r>
    </w:p>
    <w:p w:rsidR="00461812" w:rsidRPr="008939F1" w:rsidRDefault="00461812" w:rsidP="008939F1">
      <w:pPr>
        <w:numPr>
          <w:ilvl w:val="8"/>
          <w:numId w:val="1"/>
        </w:numPr>
        <w:ind w:left="480"/>
        <w:rPr>
          <w:rFonts w:ascii="Arial" w:hAnsi="Arial" w:cs="Arial"/>
          <w:sz w:val="22"/>
          <w:szCs w:val="22"/>
        </w:rPr>
      </w:pPr>
    </w:p>
    <w:p w:rsidR="004A0D39" w:rsidRPr="00DD50FA" w:rsidRDefault="00660B75" w:rsidP="008939F1">
      <w:pPr>
        <w:ind w:left="426"/>
        <w:rPr>
          <w:rFonts w:ascii="Arial" w:hAnsi="Arial" w:cs="Arial"/>
          <w:b/>
          <w:sz w:val="22"/>
          <w:szCs w:val="22"/>
        </w:rPr>
      </w:pPr>
      <w:r w:rsidRPr="008939F1">
        <w:rPr>
          <w:rFonts w:ascii="Arial" w:hAnsi="Arial" w:cs="Arial"/>
          <w:b/>
          <w:sz w:val="22"/>
          <w:szCs w:val="22"/>
        </w:rPr>
        <w:t xml:space="preserve">4.4 </w:t>
      </w:r>
      <w:r w:rsidR="00750221" w:rsidRPr="008939F1">
        <w:rPr>
          <w:rFonts w:ascii="Arial" w:hAnsi="Arial" w:cs="Arial"/>
          <w:b/>
          <w:sz w:val="22"/>
          <w:szCs w:val="22"/>
        </w:rPr>
        <w:t>Ιδιαίτερες προειδοποιήσεις και ιδιαίτερες προφυλάξεις κατά τη χρήση</w:t>
      </w:r>
      <w:r w:rsidR="000F2991" w:rsidRPr="008939F1">
        <w:rPr>
          <w:rFonts w:ascii="Arial" w:hAnsi="Arial" w:cs="Arial"/>
          <w:b/>
          <w:sz w:val="22"/>
          <w:szCs w:val="22"/>
        </w:rPr>
        <w:t xml:space="preserve"> </w:t>
      </w:r>
      <w:r w:rsidRPr="008939F1">
        <w:rPr>
          <w:rFonts w:ascii="Arial" w:hAnsi="Arial" w:cs="Arial"/>
          <w:b/>
          <w:sz w:val="22"/>
          <w:szCs w:val="22"/>
        </w:rPr>
        <w:t>:</w:t>
      </w:r>
      <w:r w:rsidRPr="008939F1">
        <w:rPr>
          <w:rFonts w:ascii="Arial" w:hAnsi="Arial" w:cs="Arial"/>
          <w:b/>
          <w:sz w:val="22"/>
          <w:szCs w:val="22"/>
        </w:rPr>
        <w:br/>
      </w:r>
    </w:p>
    <w:p w:rsidR="003B2B89" w:rsidRPr="008939F1" w:rsidRDefault="0079098D" w:rsidP="008939F1">
      <w:pPr>
        <w:ind w:left="720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>Αν υπερβαίνεται η συχνότητα εφαρμογής μπορεί να εμφανισθεί τοξικότητα από τα σαλικυλικά.</w:t>
      </w:r>
      <w:r w:rsidR="00DB657F" w:rsidRPr="008939F1">
        <w:rPr>
          <w:rFonts w:ascii="Arial" w:hAnsi="Arial" w:cs="Arial"/>
          <w:sz w:val="22"/>
          <w:szCs w:val="22"/>
        </w:rPr>
        <w:t xml:space="preserve"> </w:t>
      </w:r>
      <w:r w:rsidRPr="008939F1">
        <w:rPr>
          <w:rFonts w:ascii="Arial" w:hAnsi="Arial" w:cs="Arial"/>
          <w:sz w:val="22"/>
          <w:szCs w:val="22"/>
        </w:rPr>
        <w:t>Μην υπερβαίνετε τη συνιστώμενη δοσολογία εφαρμογής.</w:t>
      </w:r>
    </w:p>
    <w:p w:rsidR="003B2B89" w:rsidRPr="008939F1" w:rsidRDefault="0079098D" w:rsidP="008939F1">
      <w:pPr>
        <w:ind w:left="720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>Χρωματισμός των δοντιών, των οδοντοστοιχιών και των οδοντικών προσθέσεων (δείτε παράγραφο 4.8).</w:t>
      </w:r>
      <w:r w:rsidR="00E11A15" w:rsidRPr="008939F1">
        <w:rPr>
          <w:rFonts w:ascii="Arial" w:hAnsi="Arial" w:cs="Arial"/>
          <w:sz w:val="22"/>
          <w:szCs w:val="22"/>
        </w:rPr>
        <w:t xml:space="preserve"> </w:t>
      </w:r>
    </w:p>
    <w:p w:rsidR="00443C6B" w:rsidRPr="008939F1" w:rsidRDefault="00443C6B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ab/>
      </w:r>
      <w:r w:rsidR="00E11A15" w:rsidRPr="008939F1">
        <w:rPr>
          <w:rFonts w:ascii="Arial" w:hAnsi="Arial" w:cs="Arial"/>
          <w:sz w:val="22"/>
          <w:szCs w:val="22"/>
        </w:rPr>
        <w:t>Το προϊόν περιέχει αιθανόλη, λιγότερο από 100</w:t>
      </w:r>
      <w:r w:rsidR="00E11A15" w:rsidRPr="008939F1">
        <w:rPr>
          <w:rFonts w:ascii="Arial" w:hAnsi="Arial" w:cs="Arial"/>
          <w:sz w:val="22"/>
          <w:szCs w:val="22"/>
          <w:lang w:val="en-US"/>
        </w:rPr>
        <w:t>mg</w:t>
      </w:r>
      <w:r w:rsidR="00E11A15" w:rsidRPr="008939F1">
        <w:rPr>
          <w:rFonts w:ascii="Arial" w:hAnsi="Arial" w:cs="Arial"/>
          <w:sz w:val="22"/>
          <w:szCs w:val="22"/>
        </w:rPr>
        <w:t xml:space="preserve"> ανά δόση.</w:t>
      </w:r>
      <w:r w:rsidR="00E11A15" w:rsidRPr="008939F1" w:rsidDel="00E11A15">
        <w:rPr>
          <w:rFonts w:ascii="Arial" w:hAnsi="Arial" w:cs="Arial"/>
          <w:sz w:val="22"/>
          <w:szCs w:val="22"/>
        </w:rPr>
        <w:t xml:space="preserve"> </w:t>
      </w:r>
    </w:p>
    <w:p w:rsidR="005E5BB5" w:rsidRPr="008939F1" w:rsidRDefault="00443C6B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ab/>
      </w:r>
      <w:r w:rsidR="00E11A15" w:rsidRPr="008939F1">
        <w:rPr>
          <w:rFonts w:ascii="Arial" w:hAnsi="Arial" w:cs="Arial"/>
          <w:sz w:val="22"/>
          <w:szCs w:val="22"/>
        </w:rPr>
        <w:t xml:space="preserve">Αποφεύγετε να ξεπλένετε το στόμα αμέσως μετά την επάλειψη. </w:t>
      </w:r>
      <w:r w:rsidR="00660B75" w:rsidRPr="008939F1">
        <w:rPr>
          <w:rFonts w:ascii="Arial" w:hAnsi="Arial" w:cs="Arial"/>
          <w:sz w:val="22"/>
          <w:szCs w:val="22"/>
        </w:rPr>
        <w:br/>
      </w:r>
      <w:r w:rsidR="00660B75" w:rsidRPr="008939F1">
        <w:rPr>
          <w:rFonts w:ascii="Arial" w:hAnsi="Arial" w:cs="Arial"/>
          <w:sz w:val="22"/>
          <w:szCs w:val="22"/>
        </w:rPr>
        <w:tab/>
      </w:r>
      <w:r w:rsidR="00660B75" w:rsidRPr="008939F1">
        <w:rPr>
          <w:rFonts w:ascii="Arial" w:hAnsi="Arial" w:cs="Arial"/>
          <w:sz w:val="22"/>
          <w:szCs w:val="22"/>
        </w:rPr>
        <w:tab/>
      </w:r>
      <w:r w:rsidR="00E11A15" w:rsidRPr="008939F1">
        <w:rPr>
          <w:rFonts w:ascii="Arial" w:hAnsi="Arial" w:cs="Arial"/>
          <w:sz w:val="22"/>
          <w:szCs w:val="22"/>
        </w:rPr>
        <w:t>Μετά τη χρήση το φιαλίδιο πρέπει να πωματίζεται καλά και να φυλάσσεται</w:t>
      </w:r>
      <w:r w:rsidR="005E5BB5" w:rsidRPr="008939F1">
        <w:rPr>
          <w:rFonts w:ascii="Arial" w:hAnsi="Arial" w:cs="Arial"/>
          <w:sz w:val="22"/>
          <w:szCs w:val="22"/>
        </w:rPr>
        <w:t xml:space="preserve"> </w:t>
      </w:r>
      <w:r w:rsidR="00E11A15" w:rsidRPr="008939F1">
        <w:rPr>
          <w:rFonts w:ascii="Arial" w:hAnsi="Arial" w:cs="Arial"/>
          <w:sz w:val="22"/>
          <w:szCs w:val="22"/>
        </w:rPr>
        <w:t xml:space="preserve">σε </w:t>
      </w:r>
      <w:r w:rsidR="005E5BB5" w:rsidRPr="008939F1">
        <w:rPr>
          <w:rFonts w:ascii="Arial" w:hAnsi="Arial" w:cs="Arial"/>
          <w:sz w:val="22"/>
          <w:szCs w:val="22"/>
        </w:rPr>
        <w:t xml:space="preserve">                             </w:t>
      </w:r>
    </w:p>
    <w:p w:rsidR="00660B75" w:rsidRPr="008939F1" w:rsidRDefault="005E5BB5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D50FA">
        <w:rPr>
          <w:rFonts w:ascii="Arial" w:hAnsi="Arial" w:cs="Arial"/>
          <w:sz w:val="22"/>
          <w:szCs w:val="22"/>
        </w:rPr>
        <w:t xml:space="preserve">      </w:t>
      </w:r>
      <w:r w:rsidR="00E11A15" w:rsidRPr="008939F1">
        <w:rPr>
          <w:rFonts w:ascii="Arial" w:hAnsi="Arial" w:cs="Arial"/>
          <w:sz w:val="22"/>
          <w:szCs w:val="22"/>
        </w:rPr>
        <w:t>μέρος δροσερό.</w:t>
      </w:r>
    </w:p>
    <w:p w:rsidR="00461812" w:rsidRPr="008939F1" w:rsidRDefault="00461812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</w:p>
    <w:p w:rsidR="008939F1" w:rsidRPr="008939F1" w:rsidRDefault="00660B75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b/>
          <w:sz w:val="22"/>
          <w:szCs w:val="22"/>
        </w:rPr>
        <w:t xml:space="preserve">4.5 </w:t>
      </w:r>
      <w:r w:rsidR="00ED73F0" w:rsidRPr="008939F1">
        <w:rPr>
          <w:rFonts w:ascii="Arial" w:hAnsi="Arial" w:cs="Arial"/>
          <w:b/>
          <w:sz w:val="22"/>
          <w:szCs w:val="22"/>
        </w:rPr>
        <w:t>Αλληλεπιδράσεις με άλλα φάρμακα και άλλες μορφές αλληλεπίδρασης:</w:t>
      </w:r>
      <w:r w:rsidR="00DC3EC8" w:rsidRPr="008939F1" w:rsidDel="00ED73F0">
        <w:rPr>
          <w:rFonts w:ascii="Arial" w:hAnsi="Arial" w:cs="Arial"/>
          <w:b/>
          <w:sz w:val="22"/>
          <w:szCs w:val="22"/>
        </w:rPr>
        <w:t xml:space="preserve"> </w:t>
      </w:r>
    </w:p>
    <w:p w:rsidR="008939F1" w:rsidRDefault="008939F1" w:rsidP="008939F1">
      <w:pPr>
        <w:pStyle w:val="ab"/>
        <w:rPr>
          <w:rFonts w:ascii="Arial" w:hAnsi="Arial" w:cs="Arial"/>
          <w:b/>
          <w:sz w:val="22"/>
          <w:szCs w:val="22"/>
        </w:rPr>
      </w:pPr>
    </w:p>
    <w:p w:rsidR="00660B75" w:rsidRPr="008939F1" w:rsidRDefault="008939F1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D50FA">
        <w:rPr>
          <w:rFonts w:ascii="Arial" w:hAnsi="Arial" w:cs="Arial"/>
          <w:sz w:val="22"/>
          <w:szCs w:val="22"/>
        </w:rPr>
        <w:t xml:space="preserve">     </w:t>
      </w:r>
      <w:r w:rsidR="00ED73F0" w:rsidRPr="008939F1">
        <w:rPr>
          <w:rFonts w:ascii="Arial" w:hAnsi="Arial" w:cs="Arial"/>
          <w:sz w:val="22"/>
          <w:szCs w:val="22"/>
        </w:rPr>
        <w:t>Δεν έχουν αναφερθεί.</w:t>
      </w:r>
      <w:r w:rsidR="00461812" w:rsidRPr="008939F1">
        <w:rPr>
          <w:rFonts w:ascii="Arial" w:hAnsi="Arial" w:cs="Arial"/>
          <w:sz w:val="22"/>
          <w:szCs w:val="22"/>
        </w:rPr>
        <w:t xml:space="preserve"> </w:t>
      </w:r>
    </w:p>
    <w:p w:rsidR="003B2B89" w:rsidRPr="008939F1" w:rsidRDefault="003B2B89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</w:p>
    <w:p w:rsidR="00433348" w:rsidRPr="008939F1" w:rsidRDefault="00660B75" w:rsidP="008939F1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8939F1">
        <w:rPr>
          <w:rFonts w:ascii="Arial" w:hAnsi="Arial" w:cs="Arial"/>
          <w:b/>
          <w:sz w:val="22"/>
          <w:szCs w:val="22"/>
          <w:lang w:val="en-GB"/>
        </w:rPr>
        <w:t xml:space="preserve">4.6 </w:t>
      </w:r>
      <w:r w:rsidR="00F30863" w:rsidRPr="008939F1">
        <w:rPr>
          <w:rFonts w:ascii="Arial" w:hAnsi="Arial" w:cs="Arial"/>
          <w:b/>
          <w:sz w:val="22"/>
          <w:szCs w:val="22"/>
        </w:rPr>
        <w:t>Κύηση</w:t>
      </w:r>
      <w:r w:rsidR="00F30863" w:rsidRPr="008939F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30863" w:rsidRPr="008939F1">
        <w:rPr>
          <w:rFonts w:ascii="Arial" w:hAnsi="Arial" w:cs="Arial"/>
          <w:b/>
          <w:sz w:val="22"/>
          <w:szCs w:val="22"/>
        </w:rPr>
        <w:t>και</w:t>
      </w:r>
      <w:r w:rsidR="00F30863" w:rsidRPr="008939F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30863" w:rsidRPr="008939F1">
        <w:rPr>
          <w:rFonts w:ascii="Arial" w:hAnsi="Arial" w:cs="Arial"/>
          <w:b/>
          <w:sz w:val="22"/>
          <w:szCs w:val="22"/>
        </w:rPr>
        <w:t>Γαλουχία</w:t>
      </w:r>
      <w:r w:rsidR="00F30863" w:rsidRPr="008939F1">
        <w:rPr>
          <w:rFonts w:ascii="Arial" w:hAnsi="Arial" w:cs="Arial"/>
          <w:b/>
          <w:sz w:val="22"/>
          <w:szCs w:val="22"/>
          <w:lang w:val="en-GB"/>
        </w:rPr>
        <w:t>:</w:t>
      </w:r>
      <w:r w:rsidRPr="008939F1">
        <w:rPr>
          <w:rFonts w:ascii="Arial" w:hAnsi="Arial" w:cs="Arial"/>
          <w:b/>
          <w:sz w:val="22"/>
          <w:szCs w:val="22"/>
          <w:lang w:val="en-GB"/>
        </w:rPr>
        <w:br/>
      </w:r>
      <w:r w:rsidRPr="008939F1">
        <w:rPr>
          <w:rFonts w:ascii="Arial" w:hAnsi="Arial" w:cs="Arial"/>
          <w:b/>
          <w:sz w:val="22"/>
          <w:szCs w:val="22"/>
          <w:lang w:val="en-GB"/>
        </w:rPr>
        <w:tab/>
      </w:r>
      <w:r w:rsidRPr="008939F1">
        <w:rPr>
          <w:rFonts w:ascii="Arial" w:hAnsi="Arial" w:cs="Arial"/>
          <w:b/>
          <w:sz w:val="22"/>
          <w:szCs w:val="22"/>
          <w:lang w:val="en-GB"/>
        </w:rPr>
        <w:tab/>
      </w:r>
    </w:p>
    <w:p w:rsidR="00461812" w:rsidRPr="008939F1" w:rsidRDefault="00F30863" w:rsidP="008939F1">
      <w:pPr>
        <w:ind w:left="720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>Οι μελέτες</w:t>
      </w:r>
      <w:r w:rsidR="00A57227" w:rsidRPr="008939F1">
        <w:rPr>
          <w:rFonts w:ascii="Arial" w:hAnsi="Arial" w:cs="Arial"/>
          <w:sz w:val="22"/>
          <w:szCs w:val="22"/>
        </w:rPr>
        <w:t xml:space="preserve"> σε ζώα είναι ανεπαρκείς όσο αφορά </w:t>
      </w:r>
      <w:r w:rsidR="00BE43F3" w:rsidRPr="008939F1">
        <w:rPr>
          <w:rFonts w:ascii="Arial" w:hAnsi="Arial" w:cs="Arial"/>
          <w:sz w:val="22"/>
          <w:szCs w:val="22"/>
        </w:rPr>
        <w:t>σ</w:t>
      </w:r>
      <w:r w:rsidR="00D17ED9" w:rsidRPr="008939F1">
        <w:rPr>
          <w:rFonts w:ascii="Arial" w:hAnsi="Arial" w:cs="Arial"/>
          <w:sz w:val="22"/>
          <w:szCs w:val="22"/>
        </w:rPr>
        <w:t xml:space="preserve">τις επιπτώσεις </w:t>
      </w:r>
      <w:r w:rsidR="00B91002" w:rsidRPr="008939F1">
        <w:rPr>
          <w:rFonts w:ascii="Arial" w:hAnsi="Arial" w:cs="Arial"/>
          <w:sz w:val="22"/>
          <w:szCs w:val="22"/>
        </w:rPr>
        <w:t xml:space="preserve">στην εγκυμοσύνη και/ή στην ανάπτυξη του εμβρύου/νεογνού. Ο πιθανός κίνδυνος στον άνθρωπο </w:t>
      </w:r>
      <w:r w:rsidR="00B91002" w:rsidRPr="008939F1">
        <w:rPr>
          <w:rFonts w:ascii="Arial" w:hAnsi="Arial" w:cs="Arial"/>
          <w:sz w:val="22"/>
          <w:szCs w:val="22"/>
        </w:rPr>
        <w:lastRenderedPageBreak/>
        <w:t>είναι άγνωστος. Πρέπει να δίνετ</w:t>
      </w:r>
      <w:r w:rsidR="00516434" w:rsidRPr="008939F1">
        <w:rPr>
          <w:rFonts w:ascii="Arial" w:hAnsi="Arial" w:cs="Arial"/>
          <w:sz w:val="22"/>
          <w:szCs w:val="22"/>
        </w:rPr>
        <w:t>αι</w:t>
      </w:r>
      <w:r w:rsidR="00B91002" w:rsidRPr="008939F1">
        <w:rPr>
          <w:rFonts w:ascii="Arial" w:hAnsi="Arial" w:cs="Arial"/>
          <w:sz w:val="22"/>
          <w:szCs w:val="22"/>
        </w:rPr>
        <w:t xml:space="preserve"> ιδια</w:t>
      </w:r>
      <w:r w:rsidR="0038383B" w:rsidRPr="008939F1">
        <w:rPr>
          <w:rFonts w:ascii="Arial" w:hAnsi="Arial" w:cs="Arial"/>
          <w:sz w:val="22"/>
          <w:szCs w:val="22"/>
        </w:rPr>
        <w:t>ίτερη προσοχή</w:t>
      </w:r>
      <w:r w:rsidR="00516434" w:rsidRPr="008939F1">
        <w:rPr>
          <w:rFonts w:ascii="Arial" w:hAnsi="Arial" w:cs="Arial"/>
          <w:sz w:val="22"/>
          <w:szCs w:val="22"/>
        </w:rPr>
        <w:t xml:space="preserve"> όταν συνταγογραφείται σε έγκυες γυναίκες.</w:t>
      </w:r>
      <w:r w:rsidR="008170A7" w:rsidRPr="008939F1">
        <w:rPr>
          <w:rFonts w:ascii="Arial" w:hAnsi="Arial" w:cs="Arial"/>
          <w:sz w:val="22"/>
          <w:szCs w:val="22"/>
          <w:lang w:val="en-US"/>
        </w:rPr>
        <w:t>O</w:t>
      </w:r>
      <w:r w:rsidR="008170A7" w:rsidRPr="008939F1">
        <w:rPr>
          <w:rFonts w:ascii="Arial" w:hAnsi="Arial" w:cs="Arial"/>
          <w:sz w:val="22"/>
          <w:szCs w:val="22"/>
        </w:rPr>
        <w:t>ι γλυκοσίδες των ανθρακινονών που προέρχονται από το φυτό</w:t>
      </w:r>
      <w:r w:rsidR="00461812" w:rsidRPr="008939F1">
        <w:rPr>
          <w:rFonts w:ascii="Arial" w:hAnsi="Arial" w:cs="Arial"/>
          <w:sz w:val="22"/>
          <w:szCs w:val="22"/>
        </w:rPr>
        <w:t xml:space="preserve"> </w:t>
      </w:r>
      <w:r w:rsidR="00461812" w:rsidRPr="008939F1">
        <w:rPr>
          <w:rFonts w:ascii="Arial" w:hAnsi="Arial" w:cs="Arial"/>
          <w:sz w:val="22"/>
          <w:szCs w:val="22"/>
          <w:lang w:val="en-GB"/>
        </w:rPr>
        <w:t>rhubarb</w:t>
      </w:r>
      <w:r w:rsidR="008170A7" w:rsidRPr="008939F1">
        <w:rPr>
          <w:rFonts w:ascii="Arial" w:hAnsi="Arial" w:cs="Arial"/>
          <w:sz w:val="22"/>
          <w:szCs w:val="22"/>
        </w:rPr>
        <w:t xml:space="preserve"> μπορεί να εκκρίνονται στο μητρικό γάλα. Εντούτοις</w:t>
      </w:r>
      <w:r w:rsidR="007A56F9" w:rsidRPr="008939F1">
        <w:rPr>
          <w:rFonts w:ascii="Arial" w:hAnsi="Arial" w:cs="Arial"/>
          <w:sz w:val="22"/>
          <w:szCs w:val="22"/>
        </w:rPr>
        <w:t xml:space="preserve">, δεν είναι γνωστό </w:t>
      </w:r>
      <w:r w:rsidR="00BE43F3" w:rsidRPr="008939F1">
        <w:rPr>
          <w:rFonts w:ascii="Arial" w:hAnsi="Arial" w:cs="Arial"/>
          <w:sz w:val="22"/>
          <w:szCs w:val="22"/>
        </w:rPr>
        <w:t xml:space="preserve">εάν </w:t>
      </w:r>
      <w:r w:rsidR="008170A7" w:rsidRPr="008939F1">
        <w:rPr>
          <w:rFonts w:ascii="Arial" w:hAnsi="Arial" w:cs="Arial"/>
          <w:sz w:val="22"/>
          <w:szCs w:val="22"/>
        </w:rPr>
        <w:t>σε θεραπευτικές δόσεις</w:t>
      </w:r>
      <w:r w:rsidR="007A56F9" w:rsidRPr="008939F1">
        <w:rPr>
          <w:rFonts w:ascii="Arial" w:hAnsi="Arial" w:cs="Arial"/>
          <w:sz w:val="22"/>
          <w:szCs w:val="22"/>
        </w:rPr>
        <w:t xml:space="preserve"> του </w:t>
      </w:r>
      <w:r w:rsidR="007A56F9" w:rsidRPr="008939F1">
        <w:rPr>
          <w:rFonts w:ascii="Arial" w:hAnsi="Arial" w:cs="Arial"/>
          <w:sz w:val="22"/>
          <w:szCs w:val="22"/>
          <w:lang w:val="en-US"/>
        </w:rPr>
        <w:t>PYRALVEX</w:t>
      </w:r>
      <w:r w:rsidR="008170A7" w:rsidRPr="008939F1">
        <w:rPr>
          <w:rFonts w:ascii="Arial" w:hAnsi="Arial" w:cs="Arial"/>
          <w:sz w:val="22"/>
          <w:szCs w:val="22"/>
        </w:rPr>
        <w:t>, οι παραπ</w:t>
      </w:r>
      <w:r w:rsidR="007A56F9" w:rsidRPr="008939F1">
        <w:rPr>
          <w:rFonts w:ascii="Arial" w:hAnsi="Arial" w:cs="Arial"/>
          <w:sz w:val="22"/>
          <w:szCs w:val="22"/>
        </w:rPr>
        <w:t xml:space="preserve">άνω ουσίες ή το σαλικυλικό οξύ εκκρίνονται στο μητρικό γάλα. Προκειμένου να αποφασισθεί αν θα συνεχισθεί ο θηλασμός ή η θεραπεία με το </w:t>
      </w:r>
      <w:r w:rsidR="007A56F9" w:rsidRPr="008939F1">
        <w:rPr>
          <w:rFonts w:ascii="Arial" w:hAnsi="Arial" w:cs="Arial"/>
          <w:sz w:val="22"/>
          <w:szCs w:val="22"/>
          <w:lang w:val="en-US"/>
        </w:rPr>
        <w:t>PYRALVEX</w:t>
      </w:r>
      <w:r w:rsidR="007A56F9" w:rsidRPr="008939F1">
        <w:rPr>
          <w:rFonts w:ascii="Arial" w:hAnsi="Arial" w:cs="Arial"/>
          <w:sz w:val="22"/>
          <w:szCs w:val="22"/>
        </w:rPr>
        <w:t xml:space="preserve">, πρέπει να ληφθούν υπόψη τα οφέλη του θηλασμού στο παιδί και τα οφέλη της θεραπείας με </w:t>
      </w:r>
      <w:r w:rsidR="007A56F9" w:rsidRPr="008939F1">
        <w:rPr>
          <w:rFonts w:ascii="Arial" w:hAnsi="Arial" w:cs="Arial"/>
          <w:sz w:val="22"/>
          <w:szCs w:val="22"/>
          <w:lang w:val="en-US"/>
        </w:rPr>
        <w:t>PYRALVEX</w:t>
      </w:r>
      <w:r w:rsidR="007A56F9" w:rsidRPr="008939F1">
        <w:rPr>
          <w:rFonts w:ascii="Arial" w:hAnsi="Arial" w:cs="Arial"/>
          <w:sz w:val="22"/>
          <w:szCs w:val="22"/>
        </w:rPr>
        <w:t xml:space="preserve"> στη γυναίκα.</w:t>
      </w:r>
      <w:r w:rsidR="008170A7" w:rsidRPr="008939F1">
        <w:rPr>
          <w:rFonts w:ascii="Arial" w:hAnsi="Arial" w:cs="Arial"/>
          <w:sz w:val="22"/>
          <w:szCs w:val="22"/>
        </w:rPr>
        <w:t xml:space="preserve"> </w:t>
      </w:r>
    </w:p>
    <w:p w:rsidR="00461812" w:rsidRPr="008939F1" w:rsidRDefault="00461812" w:rsidP="008939F1">
      <w:pPr>
        <w:rPr>
          <w:rFonts w:ascii="Arial" w:hAnsi="Arial" w:cs="Arial"/>
          <w:sz w:val="22"/>
          <w:szCs w:val="22"/>
        </w:rPr>
      </w:pPr>
    </w:p>
    <w:p w:rsidR="00660B75" w:rsidRPr="00164A7D" w:rsidRDefault="00660B75" w:rsidP="008939F1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164A7D">
        <w:rPr>
          <w:rFonts w:ascii="Arial" w:hAnsi="Arial" w:cs="Arial"/>
          <w:b/>
          <w:sz w:val="22"/>
          <w:szCs w:val="22"/>
        </w:rPr>
        <w:t xml:space="preserve">4.7 </w:t>
      </w:r>
      <w:r w:rsidR="005119AC" w:rsidRPr="005119AC">
        <w:rPr>
          <w:rFonts w:ascii="Arial" w:hAnsi="Arial" w:cs="Arial"/>
          <w:b/>
          <w:sz w:val="22"/>
          <w:szCs w:val="22"/>
        </w:rPr>
        <w:t xml:space="preserve"> </w:t>
      </w:r>
      <w:r w:rsidR="001D4962" w:rsidRPr="00164A7D">
        <w:rPr>
          <w:rFonts w:ascii="Arial" w:hAnsi="Arial" w:cs="Arial"/>
          <w:b/>
          <w:sz w:val="22"/>
          <w:szCs w:val="22"/>
        </w:rPr>
        <w:t>Επίδραση στην ικανότητα οδήγησης και χειρισμού μηχανημάτων</w:t>
      </w:r>
      <w:r w:rsidR="00295D64" w:rsidRPr="00164A7D">
        <w:rPr>
          <w:rFonts w:ascii="Arial" w:hAnsi="Arial" w:cs="Arial"/>
          <w:b/>
          <w:sz w:val="22"/>
          <w:szCs w:val="22"/>
        </w:rPr>
        <w:t xml:space="preserve"> </w:t>
      </w:r>
      <w:r w:rsidRPr="00164A7D">
        <w:rPr>
          <w:rFonts w:ascii="Arial" w:hAnsi="Arial" w:cs="Arial"/>
          <w:b/>
          <w:sz w:val="22"/>
          <w:szCs w:val="22"/>
        </w:rPr>
        <w:br/>
      </w:r>
      <w:r w:rsidRPr="00164A7D">
        <w:rPr>
          <w:rFonts w:ascii="Arial" w:hAnsi="Arial" w:cs="Arial"/>
          <w:b/>
          <w:sz w:val="22"/>
          <w:szCs w:val="22"/>
        </w:rPr>
        <w:tab/>
      </w:r>
      <w:r w:rsidRPr="00164A7D">
        <w:rPr>
          <w:rFonts w:ascii="Arial" w:hAnsi="Arial" w:cs="Arial"/>
          <w:b/>
          <w:sz w:val="22"/>
          <w:szCs w:val="22"/>
        </w:rPr>
        <w:tab/>
      </w:r>
    </w:p>
    <w:p w:rsidR="00D452A7" w:rsidRPr="008939F1" w:rsidRDefault="006053EE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      </w:t>
      </w:r>
      <w:r w:rsidR="00D452A7" w:rsidRPr="008939F1">
        <w:rPr>
          <w:rFonts w:ascii="Arial" w:hAnsi="Arial" w:cs="Arial"/>
          <w:sz w:val="22"/>
          <w:szCs w:val="22"/>
        </w:rPr>
        <w:t xml:space="preserve">Το </w:t>
      </w:r>
      <w:r w:rsidR="00D452A7" w:rsidRPr="008939F1">
        <w:rPr>
          <w:rFonts w:ascii="Arial" w:hAnsi="Arial" w:cs="Arial"/>
          <w:sz w:val="22"/>
          <w:szCs w:val="22"/>
          <w:lang w:val="en-US"/>
        </w:rPr>
        <w:t>PYRALVEX</w:t>
      </w:r>
      <w:r w:rsidR="00D452A7" w:rsidRPr="008939F1">
        <w:rPr>
          <w:rFonts w:ascii="Arial" w:hAnsi="Arial" w:cs="Arial"/>
          <w:sz w:val="22"/>
          <w:szCs w:val="22"/>
        </w:rPr>
        <w:t xml:space="preserve"> δεν έχει επίδραση στην ικανότητα οδήγησης και χειρισμού     </w:t>
      </w:r>
    </w:p>
    <w:p w:rsidR="00D452A7" w:rsidRPr="008939F1" w:rsidRDefault="00D452A7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 </w:t>
      </w:r>
      <w:r w:rsidR="006053EE" w:rsidRPr="008939F1">
        <w:rPr>
          <w:rFonts w:ascii="Arial" w:hAnsi="Arial" w:cs="Arial"/>
          <w:sz w:val="22"/>
          <w:szCs w:val="22"/>
        </w:rPr>
        <w:t xml:space="preserve">     </w:t>
      </w:r>
      <w:r w:rsidRPr="008939F1">
        <w:rPr>
          <w:rFonts w:ascii="Arial" w:hAnsi="Arial" w:cs="Arial"/>
          <w:sz w:val="22"/>
          <w:szCs w:val="22"/>
        </w:rPr>
        <w:t>μηχανημάτων.</w:t>
      </w:r>
    </w:p>
    <w:p w:rsidR="00461812" w:rsidRPr="008939F1" w:rsidRDefault="00461812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</w:p>
    <w:p w:rsidR="00461812" w:rsidRPr="00164A7D" w:rsidRDefault="00FC2197" w:rsidP="005119AC">
      <w:pPr>
        <w:numPr>
          <w:ilvl w:val="1"/>
          <w:numId w:val="3"/>
        </w:numPr>
        <w:tabs>
          <w:tab w:val="clear" w:pos="1170"/>
          <w:tab w:val="num" w:pos="851"/>
        </w:tabs>
        <w:ind w:hanging="744"/>
        <w:rPr>
          <w:rFonts w:ascii="Arial" w:hAnsi="Arial" w:cs="Arial"/>
          <w:b/>
          <w:sz w:val="22"/>
          <w:szCs w:val="22"/>
        </w:rPr>
      </w:pPr>
      <w:r w:rsidRPr="00164A7D">
        <w:rPr>
          <w:rFonts w:ascii="Arial" w:hAnsi="Arial" w:cs="Arial"/>
          <w:b/>
          <w:sz w:val="22"/>
          <w:szCs w:val="22"/>
        </w:rPr>
        <w:t xml:space="preserve">Ανεπιθύμητες ενέργειες: </w:t>
      </w:r>
      <w:r w:rsidR="00461812" w:rsidRPr="00164A7D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CE1ED1" w:rsidRPr="008939F1" w:rsidRDefault="00CE1ED1" w:rsidP="008939F1">
      <w:pPr>
        <w:rPr>
          <w:rFonts w:ascii="Arial" w:hAnsi="Arial" w:cs="Arial"/>
          <w:sz w:val="22"/>
          <w:szCs w:val="22"/>
        </w:rPr>
      </w:pPr>
    </w:p>
    <w:p w:rsidR="00461812" w:rsidRPr="008939F1" w:rsidRDefault="00CE1ED1" w:rsidP="008939F1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          </w:t>
      </w:r>
      <w:r w:rsidR="008939F1" w:rsidRPr="008939F1">
        <w:rPr>
          <w:rFonts w:ascii="Arial" w:hAnsi="Arial" w:cs="Arial"/>
          <w:sz w:val="22"/>
          <w:szCs w:val="22"/>
          <w:lang w:val="en-US"/>
        </w:rPr>
        <w:t xml:space="preserve"> </w:t>
      </w:r>
      <w:r w:rsidR="00FC2197" w:rsidRPr="008939F1">
        <w:rPr>
          <w:rFonts w:ascii="Arial" w:hAnsi="Arial" w:cs="Arial"/>
          <w:sz w:val="22"/>
          <w:szCs w:val="22"/>
        </w:rPr>
        <w:t>Περιληπτικός Πίνακας των Ανεπιθύμητων Ενεργειών</w:t>
      </w:r>
    </w:p>
    <w:p w:rsidR="00FC2197" w:rsidRPr="008939F1" w:rsidRDefault="00FC2197" w:rsidP="008939F1">
      <w:p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           Οι συχνότητες βασίζονται στην παρακάτω παραδοχή:</w:t>
      </w:r>
    </w:p>
    <w:p w:rsidR="00FC2197" w:rsidRPr="008939F1" w:rsidRDefault="00FC2197" w:rsidP="008939F1">
      <w:pPr>
        <w:rPr>
          <w:rFonts w:ascii="Arial" w:hAnsi="Arial" w:cs="Arial"/>
          <w:sz w:val="22"/>
          <w:szCs w:val="22"/>
        </w:rPr>
      </w:pPr>
    </w:p>
    <w:p w:rsidR="00461812" w:rsidRPr="008939F1" w:rsidRDefault="00FC2197" w:rsidP="008939F1">
      <w:pPr>
        <w:ind w:left="720" w:firstLine="648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>Πολύ συχνές</w:t>
      </w:r>
      <w:r w:rsidR="00461812" w:rsidRPr="008939F1">
        <w:rPr>
          <w:rFonts w:ascii="Arial" w:hAnsi="Arial" w:cs="Arial"/>
          <w:sz w:val="22"/>
          <w:szCs w:val="22"/>
        </w:rPr>
        <w:t xml:space="preserve"> (≥1/10)</w:t>
      </w:r>
    </w:p>
    <w:p w:rsidR="00461812" w:rsidRPr="008939F1" w:rsidRDefault="00FC2197" w:rsidP="008939F1">
      <w:pPr>
        <w:ind w:left="720" w:firstLine="648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>Συχνές</w:t>
      </w:r>
      <w:r w:rsidR="00461812" w:rsidRPr="008939F1">
        <w:rPr>
          <w:rFonts w:ascii="Arial" w:hAnsi="Arial" w:cs="Arial"/>
          <w:sz w:val="22"/>
          <w:szCs w:val="22"/>
        </w:rPr>
        <w:t xml:space="preserve"> (≥1/100 to &lt;1/10)</w:t>
      </w:r>
    </w:p>
    <w:p w:rsidR="00461812" w:rsidRPr="008939F1" w:rsidRDefault="00FC2197" w:rsidP="008939F1">
      <w:pPr>
        <w:ind w:left="720" w:firstLine="648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>Μη συχνές</w:t>
      </w:r>
      <w:r w:rsidR="00461812" w:rsidRPr="008939F1">
        <w:rPr>
          <w:rFonts w:ascii="Arial" w:hAnsi="Arial" w:cs="Arial"/>
          <w:sz w:val="22"/>
          <w:szCs w:val="22"/>
        </w:rPr>
        <w:t xml:space="preserve"> (≥1/1,000 to &lt;1/100)</w:t>
      </w:r>
    </w:p>
    <w:p w:rsidR="00461812" w:rsidRPr="008939F1" w:rsidRDefault="00FC2197" w:rsidP="008939F1">
      <w:pPr>
        <w:ind w:left="720" w:firstLine="648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>Σπάνιες</w:t>
      </w:r>
      <w:r w:rsidR="00461812" w:rsidRPr="008939F1">
        <w:rPr>
          <w:rFonts w:ascii="Arial" w:hAnsi="Arial" w:cs="Arial"/>
          <w:sz w:val="22"/>
          <w:szCs w:val="22"/>
        </w:rPr>
        <w:t xml:space="preserve"> (≥1/10,000 </w:t>
      </w:r>
      <w:r w:rsidR="00461812" w:rsidRPr="008939F1">
        <w:rPr>
          <w:rFonts w:ascii="Arial" w:hAnsi="Arial" w:cs="Arial"/>
          <w:sz w:val="22"/>
          <w:szCs w:val="22"/>
          <w:lang w:val="en-GB"/>
        </w:rPr>
        <w:t>to</w:t>
      </w:r>
      <w:r w:rsidR="00461812" w:rsidRPr="008939F1">
        <w:rPr>
          <w:rFonts w:ascii="Arial" w:hAnsi="Arial" w:cs="Arial"/>
          <w:sz w:val="22"/>
          <w:szCs w:val="22"/>
        </w:rPr>
        <w:t xml:space="preserve"> &lt;1/1,000)</w:t>
      </w:r>
    </w:p>
    <w:p w:rsidR="00461812" w:rsidRPr="008939F1" w:rsidRDefault="00FC2197" w:rsidP="008939F1">
      <w:pPr>
        <w:ind w:left="720" w:firstLine="648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>Πολύ σπάνιες</w:t>
      </w:r>
      <w:r w:rsidR="00461812" w:rsidRPr="008939F1">
        <w:rPr>
          <w:rFonts w:ascii="Arial" w:hAnsi="Arial" w:cs="Arial"/>
          <w:sz w:val="22"/>
          <w:szCs w:val="22"/>
        </w:rPr>
        <w:t xml:space="preserve"> (&lt;1/10,000)</w:t>
      </w:r>
    </w:p>
    <w:p w:rsidR="00461812" w:rsidRPr="008939F1" w:rsidRDefault="00FC2197" w:rsidP="008939F1">
      <w:pPr>
        <w:ind w:left="720" w:firstLine="648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Μη γνωστές </w:t>
      </w:r>
      <w:r w:rsidR="00461812" w:rsidRPr="008939F1">
        <w:rPr>
          <w:rFonts w:ascii="Arial" w:hAnsi="Arial" w:cs="Arial"/>
          <w:sz w:val="22"/>
          <w:szCs w:val="22"/>
        </w:rPr>
        <w:t>(</w:t>
      </w:r>
      <w:r w:rsidRPr="008939F1">
        <w:rPr>
          <w:rFonts w:ascii="Arial" w:hAnsi="Arial" w:cs="Arial"/>
          <w:sz w:val="22"/>
          <w:szCs w:val="22"/>
        </w:rPr>
        <w:t xml:space="preserve">δεν μπορούν να προσδιορισθούν από τα διαθέσιμα δεδομένα) </w:t>
      </w:r>
    </w:p>
    <w:p w:rsidR="00461812" w:rsidRPr="008939F1" w:rsidRDefault="00461812" w:rsidP="008939F1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696"/>
        <w:gridCol w:w="3240"/>
      </w:tblGrid>
      <w:tr w:rsidR="00461812" w:rsidRPr="008939F1" w:rsidTr="0070775F">
        <w:tc>
          <w:tcPr>
            <w:tcW w:w="2520" w:type="dxa"/>
            <w:shd w:val="clear" w:color="auto" w:fill="auto"/>
          </w:tcPr>
          <w:p w:rsidR="00461812" w:rsidRPr="008939F1" w:rsidRDefault="00097277" w:rsidP="00893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9F1">
              <w:rPr>
                <w:rFonts w:ascii="Arial" w:hAnsi="Arial" w:cs="Arial"/>
                <w:b/>
                <w:sz w:val="22"/>
                <w:szCs w:val="22"/>
              </w:rPr>
              <w:t xml:space="preserve">Ταξινόμηση κατά Σύστημα/ όργανο </w:t>
            </w:r>
          </w:p>
          <w:p w:rsidR="00211919" w:rsidRPr="008939F1" w:rsidRDefault="00211919" w:rsidP="008939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461812" w:rsidRPr="008939F1" w:rsidRDefault="00BA78F7" w:rsidP="00893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9F1">
              <w:rPr>
                <w:rFonts w:ascii="Arial" w:hAnsi="Arial" w:cs="Arial"/>
                <w:b/>
                <w:sz w:val="22"/>
                <w:szCs w:val="22"/>
              </w:rPr>
              <w:t>Συχνότητα</w:t>
            </w:r>
          </w:p>
        </w:tc>
        <w:tc>
          <w:tcPr>
            <w:tcW w:w="3240" w:type="dxa"/>
            <w:shd w:val="clear" w:color="auto" w:fill="auto"/>
          </w:tcPr>
          <w:p w:rsidR="00BA78F7" w:rsidRPr="008939F1" w:rsidRDefault="00BA78F7" w:rsidP="008939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78F7" w:rsidRPr="008939F1" w:rsidRDefault="00BA78F7" w:rsidP="00893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9F1">
              <w:rPr>
                <w:rFonts w:ascii="Arial" w:hAnsi="Arial" w:cs="Arial"/>
                <w:b/>
                <w:sz w:val="22"/>
                <w:szCs w:val="22"/>
              </w:rPr>
              <w:t>Ανεπιθύμητη Ενέργεια</w:t>
            </w:r>
          </w:p>
        </w:tc>
      </w:tr>
      <w:tr w:rsidR="008939F1" w:rsidRPr="008939F1" w:rsidTr="0070775F">
        <w:tc>
          <w:tcPr>
            <w:tcW w:w="2520" w:type="dxa"/>
            <w:shd w:val="clear" w:color="auto" w:fill="auto"/>
          </w:tcPr>
          <w:p w:rsidR="00461812" w:rsidRPr="008939F1" w:rsidRDefault="00097277" w:rsidP="008939F1">
            <w:pPr>
              <w:rPr>
                <w:rFonts w:ascii="Arial" w:hAnsi="Arial" w:cs="Arial"/>
                <w:sz w:val="22"/>
                <w:szCs w:val="22"/>
              </w:rPr>
            </w:pPr>
            <w:r w:rsidRPr="008939F1">
              <w:rPr>
                <w:rFonts w:ascii="Arial" w:hAnsi="Arial" w:cs="Arial"/>
                <w:sz w:val="22"/>
                <w:szCs w:val="22"/>
              </w:rPr>
              <w:t>Διαταρα</w:t>
            </w:r>
            <w:r w:rsidR="00A7531F" w:rsidRPr="008939F1">
              <w:rPr>
                <w:rFonts w:ascii="Arial" w:hAnsi="Arial" w:cs="Arial"/>
                <w:sz w:val="22"/>
                <w:szCs w:val="22"/>
              </w:rPr>
              <w:t>χές του ανοσοποιητικού συστήματ</w:t>
            </w:r>
            <w:r w:rsidRPr="008939F1">
              <w:rPr>
                <w:rFonts w:ascii="Arial" w:hAnsi="Arial" w:cs="Arial"/>
                <w:sz w:val="22"/>
                <w:szCs w:val="22"/>
              </w:rPr>
              <w:t>ος</w:t>
            </w:r>
          </w:p>
        </w:tc>
        <w:tc>
          <w:tcPr>
            <w:tcW w:w="1696" w:type="dxa"/>
            <w:shd w:val="clear" w:color="auto" w:fill="auto"/>
          </w:tcPr>
          <w:p w:rsidR="00461812" w:rsidRPr="008939F1" w:rsidRDefault="00BE43F3" w:rsidP="008939F1">
            <w:pPr>
              <w:rPr>
                <w:rFonts w:ascii="Arial" w:hAnsi="Arial" w:cs="Arial"/>
                <w:sz w:val="22"/>
                <w:szCs w:val="22"/>
              </w:rPr>
            </w:pPr>
            <w:r w:rsidRPr="008939F1">
              <w:rPr>
                <w:rFonts w:ascii="Arial" w:hAnsi="Arial" w:cs="Arial"/>
                <w:sz w:val="22"/>
                <w:szCs w:val="22"/>
              </w:rPr>
              <w:t>Πολύ σπάνιες</w:t>
            </w:r>
          </w:p>
        </w:tc>
        <w:tc>
          <w:tcPr>
            <w:tcW w:w="3240" w:type="dxa"/>
            <w:shd w:val="clear" w:color="auto" w:fill="auto"/>
          </w:tcPr>
          <w:p w:rsidR="00461812" w:rsidRPr="008939F1" w:rsidRDefault="00097277" w:rsidP="008939F1">
            <w:pPr>
              <w:rPr>
                <w:rFonts w:ascii="Arial" w:hAnsi="Arial" w:cs="Arial"/>
                <w:sz w:val="22"/>
                <w:szCs w:val="22"/>
              </w:rPr>
            </w:pPr>
            <w:r w:rsidRPr="008939F1">
              <w:rPr>
                <w:rFonts w:ascii="Arial" w:hAnsi="Arial" w:cs="Arial"/>
                <w:sz w:val="22"/>
                <w:szCs w:val="22"/>
              </w:rPr>
              <w:t xml:space="preserve">Αλλεργικές αντιδράσεις συμπεριλαμβάνοντας </w:t>
            </w:r>
          </w:p>
        </w:tc>
      </w:tr>
      <w:tr w:rsidR="002F1E2B" w:rsidRPr="008939F1" w:rsidTr="00FF4660">
        <w:tc>
          <w:tcPr>
            <w:tcW w:w="2520" w:type="dxa"/>
            <w:shd w:val="clear" w:color="auto" w:fill="auto"/>
          </w:tcPr>
          <w:p w:rsidR="002F1E2B" w:rsidRPr="008939F1" w:rsidRDefault="002F1E2B" w:rsidP="008939F1">
            <w:pPr>
              <w:rPr>
                <w:rFonts w:ascii="Arial" w:hAnsi="Arial" w:cs="Arial"/>
                <w:sz w:val="22"/>
                <w:szCs w:val="22"/>
              </w:rPr>
            </w:pPr>
            <w:r w:rsidRPr="008939F1">
              <w:rPr>
                <w:rFonts w:ascii="Arial" w:hAnsi="Arial" w:cs="Arial"/>
                <w:sz w:val="22"/>
                <w:szCs w:val="22"/>
              </w:rPr>
              <w:t xml:space="preserve">Διαταραχές δέρματος και υποδόριων ιστών   </w:t>
            </w:r>
          </w:p>
        </w:tc>
        <w:tc>
          <w:tcPr>
            <w:tcW w:w="1696" w:type="dxa"/>
            <w:shd w:val="clear" w:color="auto" w:fill="auto"/>
          </w:tcPr>
          <w:p w:rsidR="002F1E2B" w:rsidRPr="008939F1" w:rsidRDefault="002F1E2B" w:rsidP="008939F1">
            <w:pPr>
              <w:rPr>
                <w:rFonts w:ascii="Arial" w:hAnsi="Arial" w:cs="Arial"/>
                <w:sz w:val="22"/>
                <w:szCs w:val="22"/>
              </w:rPr>
            </w:pPr>
            <w:r w:rsidRPr="008939F1">
              <w:rPr>
                <w:rFonts w:ascii="Arial" w:hAnsi="Arial" w:cs="Arial"/>
                <w:sz w:val="22"/>
                <w:szCs w:val="22"/>
              </w:rPr>
              <w:t>Η συχνότητα δεν είναι γνωστή</w:t>
            </w:r>
          </w:p>
        </w:tc>
        <w:tc>
          <w:tcPr>
            <w:tcW w:w="3240" w:type="dxa"/>
            <w:shd w:val="clear" w:color="auto" w:fill="auto"/>
          </w:tcPr>
          <w:p w:rsidR="002F1E2B" w:rsidRPr="008939F1" w:rsidRDefault="002F1E2B" w:rsidP="008939F1">
            <w:pPr>
              <w:rPr>
                <w:rFonts w:ascii="Arial" w:hAnsi="Arial" w:cs="Arial"/>
                <w:sz w:val="22"/>
                <w:szCs w:val="22"/>
              </w:rPr>
            </w:pPr>
            <w:r w:rsidRPr="008939F1">
              <w:rPr>
                <w:rFonts w:ascii="Arial" w:hAnsi="Arial" w:cs="Arial"/>
                <w:sz w:val="22"/>
                <w:szCs w:val="22"/>
              </w:rPr>
              <w:t>Εξάνθημα και κνίδωση</w:t>
            </w:r>
          </w:p>
        </w:tc>
      </w:tr>
      <w:tr w:rsidR="00461812" w:rsidRPr="008939F1" w:rsidTr="0070775F">
        <w:tc>
          <w:tcPr>
            <w:tcW w:w="2520" w:type="dxa"/>
            <w:vMerge w:val="restart"/>
            <w:shd w:val="clear" w:color="auto" w:fill="auto"/>
          </w:tcPr>
          <w:p w:rsidR="00097277" w:rsidRPr="008939F1" w:rsidRDefault="00097277" w:rsidP="008939F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  <w:r w:rsidRPr="008939F1"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Γαστρεντερικές διαταραχές</w:t>
            </w:r>
          </w:p>
          <w:p w:rsidR="002F1E2B" w:rsidRPr="008939F1" w:rsidRDefault="002F1E2B" w:rsidP="008939F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 w:rsidR="002F1E2B" w:rsidRPr="008939F1" w:rsidRDefault="002F1E2B" w:rsidP="008939F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 w:rsidR="002F1E2B" w:rsidRPr="008939F1" w:rsidRDefault="002F1E2B" w:rsidP="008939F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 w:rsidR="002F1E2B" w:rsidRPr="008939F1" w:rsidRDefault="002F1E2B" w:rsidP="008939F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  <w:p w:rsidR="002F1E2B" w:rsidRPr="008939F1" w:rsidRDefault="002F1E2B" w:rsidP="008939F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696" w:type="dxa"/>
            <w:shd w:val="clear" w:color="auto" w:fill="auto"/>
          </w:tcPr>
          <w:p w:rsidR="00461812" w:rsidRPr="008939F1" w:rsidRDefault="00461812" w:rsidP="008939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461812" w:rsidRPr="008939F1" w:rsidRDefault="00461812" w:rsidP="008939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9F1" w:rsidRPr="008939F1" w:rsidTr="0070775F">
        <w:tc>
          <w:tcPr>
            <w:tcW w:w="2520" w:type="dxa"/>
            <w:vMerge/>
            <w:shd w:val="clear" w:color="auto" w:fill="auto"/>
          </w:tcPr>
          <w:p w:rsidR="00461812" w:rsidRPr="008939F1" w:rsidRDefault="00461812" w:rsidP="008939F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696" w:type="dxa"/>
            <w:shd w:val="clear" w:color="auto" w:fill="auto"/>
          </w:tcPr>
          <w:p w:rsidR="00461812" w:rsidRPr="008939F1" w:rsidRDefault="00C33A4E" w:rsidP="008939F1">
            <w:pPr>
              <w:rPr>
                <w:rFonts w:ascii="Arial" w:hAnsi="Arial" w:cs="Arial"/>
                <w:sz w:val="22"/>
                <w:szCs w:val="22"/>
              </w:rPr>
            </w:pPr>
            <w:r w:rsidRPr="008939F1">
              <w:rPr>
                <w:rFonts w:ascii="Arial" w:hAnsi="Arial" w:cs="Arial"/>
                <w:sz w:val="22"/>
                <w:szCs w:val="22"/>
              </w:rPr>
              <w:t xml:space="preserve">Συχνή </w:t>
            </w:r>
          </w:p>
        </w:tc>
        <w:tc>
          <w:tcPr>
            <w:tcW w:w="3240" w:type="dxa"/>
            <w:shd w:val="clear" w:color="auto" w:fill="auto"/>
          </w:tcPr>
          <w:p w:rsidR="00461812" w:rsidRPr="008939F1" w:rsidRDefault="00C33A4E" w:rsidP="008939F1">
            <w:pPr>
              <w:rPr>
                <w:rFonts w:ascii="Arial" w:hAnsi="Arial" w:cs="Arial"/>
                <w:sz w:val="22"/>
                <w:szCs w:val="22"/>
              </w:rPr>
            </w:pPr>
            <w:r w:rsidRPr="008939F1">
              <w:rPr>
                <w:rFonts w:ascii="Arial" w:hAnsi="Arial" w:cs="Arial"/>
                <w:sz w:val="22"/>
                <w:szCs w:val="22"/>
              </w:rPr>
              <w:t xml:space="preserve">Παροδικός </w:t>
            </w:r>
            <w:r w:rsidR="002F1E2B" w:rsidRPr="008939F1">
              <w:rPr>
                <w:rFonts w:ascii="Arial" w:hAnsi="Arial" w:cs="Arial"/>
                <w:sz w:val="22"/>
                <w:szCs w:val="22"/>
              </w:rPr>
              <w:t>απο</w:t>
            </w:r>
            <w:r w:rsidRPr="008939F1">
              <w:rPr>
                <w:rFonts w:ascii="Arial" w:hAnsi="Arial" w:cs="Arial"/>
                <w:sz w:val="22"/>
                <w:szCs w:val="22"/>
              </w:rPr>
              <w:t xml:space="preserve">χρωματισμός των δοντιών ή του στοματικού βλενογόννου. </w:t>
            </w:r>
          </w:p>
          <w:p w:rsidR="002F1E2B" w:rsidRPr="008939F1" w:rsidRDefault="002F1E2B" w:rsidP="008939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1E2B" w:rsidRPr="008939F1" w:rsidRDefault="002F1E2B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696"/>
        <w:gridCol w:w="3240"/>
      </w:tblGrid>
      <w:tr w:rsidR="008939F1" w:rsidRPr="008939F1" w:rsidTr="00FF4660">
        <w:tc>
          <w:tcPr>
            <w:tcW w:w="2520" w:type="dxa"/>
            <w:shd w:val="clear" w:color="auto" w:fill="auto"/>
          </w:tcPr>
          <w:p w:rsidR="002F1E2B" w:rsidRPr="008939F1" w:rsidRDefault="002F1E2B" w:rsidP="008939F1">
            <w:pPr>
              <w:rPr>
                <w:rFonts w:ascii="Arial" w:hAnsi="Arial" w:cs="Arial"/>
                <w:sz w:val="22"/>
                <w:szCs w:val="22"/>
              </w:rPr>
            </w:pPr>
            <w:r w:rsidRPr="008939F1">
              <w:rPr>
                <w:rFonts w:ascii="Arial" w:hAnsi="Arial" w:cs="Arial"/>
                <w:sz w:val="22"/>
                <w:szCs w:val="22"/>
              </w:rPr>
              <w:t>Γενικές    διαταραχές και καταστάσεις της οδού χορήγησης</w:t>
            </w:r>
          </w:p>
        </w:tc>
        <w:tc>
          <w:tcPr>
            <w:tcW w:w="1696" w:type="dxa"/>
            <w:shd w:val="clear" w:color="auto" w:fill="auto"/>
          </w:tcPr>
          <w:p w:rsidR="002F1E2B" w:rsidRPr="008939F1" w:rsidRDefault="002F1E2B" w:rsidP="008939F1">
            <w:pPr>
              <w:rPr>
                <w:rFonts w:ascii="Arial" w:hAnsi="Arial" w:cs="Arial"/>
                <w:sz w:val="22"/>
                <w:szCs w:val="22"/>
              </w:rPr>
            </w:pPr>
            <w:r w:rsidRPr="008939F1">
              <w:rPr>
                <w:rFonts w:ascii="Arial" w:hAnsi="Arial" w:cs="Arial"/>
                <w:sz w:val="22"/>
                <w:szCs w:val="22"/>
              </w:rPr>
              <w:t>Πολύ συχνές</w:t>
            </w:r>
          </w:p>
        </w:tc>
        <w:tc>
          <w:tcPr>
            <w:tcW w:w="3240" w:type="dxa"/>
            <w:shd w:val="clear" w:color="auto" w:fill="auto"/>
          </w:tcPr>
          <w:p w:rsidR="002F1E2B" w:rsidRPr="008939F1" w:rsidRDefault="002F1E2B" w:rsidP="008939F1">
            <w:pPr>
              <w:rPr>
                <w:rFonts w:ascii="Arial" w:hAnsi="Arial" w:cs="Arial"/>
                <w:sz w:val="22"/>
                <w:szCs w:val="22"/>
              </w:rPr>
            </w:pPr>
            <w:r w:rsidRPr="008939F1">
              <w:rPr>
                <w:rFonts w:ascii="Arial" w:hAnsi="Arial" w:cs="Arial"/>
                <w:sz w:val="22"/>
                <w:szCs w:val="22"/>
              </w:rPr>
              <w:t>Παροδικό τοπικό αίσθημα καύσου στο σημείο εφαρμογής.</w:t>
            </w:r>
          </w:p>
        </w:tc>
      </w:tr>
    </w:tbl>
    <w:p w:rsidR="00461812" w:rsidRPr="008939F1" w:rsidRDefault="00461812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</w:p>
    <w:p w:rsidR="007B7CCE" w:rsidRPr="008939F1" w:rsidRDefault="00660B75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939F1">
        <w:rPr>
          <w:rFonts w:ascii="Arial" w:hAnsi="Arial" w:cs="Arial"/>
          <w:b/>
          <w:sz w:val="22"/>
          <w:szCs w:val="22"/>
          <w:lang w:val="en-GB"/>
        </w:rPr>
        <w:t xml:space="preserve">4.9 </w:t>
      </w:r>
      <w:r w:rsidR="00C33A4E" w:rsidRPr="008939F1">
        <w:rPr>
          <w:rFonts w:ascii="Arial" w:hAnsi="Arial" w:cs="Arial"/>
          <w:b/>
          <w:sz w:val="22"/>
          <w:szCs w:val="22"/>
        </w:rPr>
        <w:t>Υπερδοσολογία</w:t>
      </w:r>
      <w:r w:rsidRPr="008939F1">
        <w:rPr>
          <w:rFonts w:ascii="Arial" w:hAnsi="Arial" w:cs="Arial"/>
          <w:sz w:val="22"/>
          <w:szCs w:val="22"/>
          <w:lang w:val="en-GB"/>
        </w:rPr>
        <w:t>:</w:t>
      </w:r>
    </w:p>
    <w:p w:rsidR="00D23118" w:rsidRPr="008939F1" w:rsidRDefault="00D23118" w:rsidP="008939F1">
      <w:p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    </w:t>
      </w:r>
    </w:p>
    <w:p w:rsidR="00461812" w:rsidRPr="008939F1" w:rsidRDefault="00744123" w:rsidP="008939F1">
      <w:pPr>
        <w:ind w:left="720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Τοξικότητα από τα σαλικυλικά μπορεί να προκληθεί αν γίνει υπέρβαση της συχνότητας δοσολογίας. </w:t>
      </w:r>
    </w:p>
    <w:p w:rsidR="00461812" w:rsidRPr="008939F1" w:rsidRDefault="00461812" w:rsidP="008939F1">
      <w:pPr>
        <w:ind w:left="720"/>
        <w:rPr>
          <w:rFonts w:ascii="Arial" w:hAnsi="Arial" w:cs="Arial"/>
          <w:sz w:val="22"/>
          <w:szCs w:val="22"/>
        </w:rPr>
      </w:pPr>
    </w:p>
    <w:p w:rsidR="00461812" w:rsidRPr="008939F1" w:rsidRDefault="00816735" w:rsidP="008939F1">
      <w:pPr>
        <w:tabs>
          <w:tab w:val="left" w:pos="540"/>
          <w:tab w:val="left" w:pos="2520"/>
          <w:tab w:val="left" w:pos="4320"/>
          <w:tab w:val="left" w:pos="8280"/>
        </w:tabs>
        <w:ind w:left="720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>Υπερδοσολογία σχετική με τοπική εφαρμογή είναι</w:t>
      </w:r>
      <w:r w:rsidR="005D1989" w:rsidRPr="008939F1">
        <w:rPr>
          <w:rFonts w:ascii="Arial" w:hAnsi="Arial" w:cs="Arial"/>
          <w:sz w:val="22"/>
          <w:szCs w:val="22"/>
        </w:rPr>
        <w:t xml:space="preserve"> απίθανο να εμφανισθεί, αν και ο βαθμός</w:t>
      </w:r>
      <w:r w:rsidR="006053EE" w:rsidRPr="008939F1">
        <w:rPr>
          <w:rFonts w:ascii="Arial" w:hAnsi="Arial" w:cs="Arial"/>
          <w:sz w:val="22"/>
          <w:szCs w:val="22"/>
        </w:rPr>
        <w:t xml:space="preserve"> της</w:t>
      </w:r>
      <w:r w:rsidR="005D1989" w:rsidRPr="008939F1">
        <w:rPr>
          <w:rFonts w:ascii="Arial" w:hAnsi="Arial" w:cs="Arial"/>
          <w:sz w:val="22"/>
          <w:szCs w:val="22"/>
        </w:rPr>
        <w:t xml:space="preserve"> συστηματικής απορρόφησης του σαλικυκλικού οξέως και των παραγώγων της ανθρακινόνης δεν είναι γνωστός. Συστηματική υπερδοσολογία </w:t>
      </w:r>
      <w:r w:rsidR="005D1989" w:rsidRPr="008939F1">
        <w:rPr>
          <w:rFonts w:ascii="Arial" w:hAnsi="Arial" w:cs="Arial"/>
          <w:sz w:val="22"/>
          <w:szCs w:val="22"/>
        </w:rPr>
        <w:lastRenderedPageBreak/>
        <w:t>μετά από κατάποση</w:t>
      </w:r>
      <w:r w:rsidR="006053EE" w:rsidRPr="008939F1">
        <w:rPr>
          <w:rFonts w:ascii="Arial" w:hAnsi="Arial" w:cs="Arial"/>
          <w:sz w:val="22"/>
          <w:szCs w:val="22"/>
        </w:rPr>
        <w:t xml:space="preserve"> μπορεί να οδηγήσει σε</w:t>
      </w:r>
      <w:r w:rsidR="00DE56FF" w:rsidRPr="008939F1">
        <w:rPr>
          <w:rFonts w:ascii="Arial" w:hAnsi="Arial" w:cs="Arial"/>
          <w:sz w:val="22"/>
          <w:szCs w:val="22"/>
        </w:rPr>
        <w:t xml:space="preserve"> κολικακές</w:t>
      </w:r>
      <w:r w:rsidR="006053EE" w:rsidRPr="008939F1">
        <w:rPr>
          <w:rFonts w:ascii="Arial" w:hAnsi="Arial" w:cs="Arial"/>
          <w:sz w:val="22"/>
          <w:szCs w:val="22"/>
        </w:rPr>
        <w:t xml:space="preserve"> κράμπες</w:t>
      </w:r>
      <w:r w:rsidR="00DE56FF" w:rsidRPr="008939F1">
        <w:rPr>
          <w:rFonts w:ascii="Arial" w:hAnsi="Arial" w:cs="Arial"/>
          <w:sz w:val="22"/>
          <w:szCs w:val="22"/>
        </w:rPr>
        <w:t>, διάρροια και πιθανότητα σαλικυλισμού (εμφανίζεται σαν υπεραερισμός, εμβοή, κώφωση, αγγειοδιαστολή, εφίδρωση)</w:t>
      </w:r>
      <w:r w:rsidR="005D1989" w:rsidRPr="008939F1">
        <w:rPr>
          <w:rFonts w:ascii="Arial" w:hAnsi="Arial" w:cs="Arial"/>
          <w:sz w:val="22"/>
          <w:szCs w:val="22"/>
        </w:rPr>
        <w:t xml:space="preserve"> </w:t>
      </w:r>
    </w:p>
    <w:p w:rsidR="00461812" w:rsidRPr="008939F1" w:rsidRDefault="00461812" w:rsidP="008939F1">
      <w:pPr>
        <w:ind w:left="720"/>
        <w:rPr>
          <w:rFonts w:ascii="Arial" w:hAnsi="Arial" w:cs="Arial"/>
          <w:sz w:val="22"/>
          <w:szCs w:val="22"/>
        </w:rPr>
      </w:pPr>
    </w:p>
    <w:p w:rsidR="00461812" w:rsidRPr="008939F1" w:rsidRDefault="009D586E" w:rsidP="008939F1">
      <w:pPr>
        <w:ind w:left="720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 Η αντιμετώπιση είναι συστηματική</w:t>
      </w:r>
      <w:r w:rsidR="00461812" w:rsidRPr="008939F1">
        <w:rPr>
          <w:rFonts w:ascii="Arial" w:hAnsi="Arial" w:cs="Arial"/>
          <w:sz w:val="22"/>
          <w:szCs w:val="22"/>
        </w:rPr>
        <w:t>.</w:t>
      </w:r>
    </w:p>
    <w:p w:rsidR="00660B75" w:rsidRPr="008939F1" w:rsidRDefault="00660B75" w:rsidP="008939F1">
      <w:pPr>
        <w:rPr>
          <w:rFonts w:ascii="Arial" w:hAnsi="Arial" w:cs="Arial"/>
          <w:sz w:val="22"/>
          <w:szCs w:val="22"/>
        </w:rPr>
      </w:pPr>
    </w:p>
    <w:p w:rsidR="00660B75" w:rsidRPr="008939F1" w:rsidRDefault="0027763C" w:rsidP="008939F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8939F1">
        <w:rPr>
          <w:rFonts w:ascii="Arial" w:hAnsi="Arial" w:cs="Arial"/>
          <w:b/>
          <w:sz w:val="22"/>
          <w:szCs w:val="22"/>
          <w:u w:val="single"/>
        </w:rPr>
        <w:t>ΦΑΡΜΑΚΟΛΟΓΙΚΕΣ ΙΔΙΟΤΗΤΕΣ</w:t>
      </w:r>
    </w:p>
    <w:p w:rsidR="008939F1" w:rsidRPr="008939F1" w:rsidRDefault="008939F1" w:rsidP="008939F1">
      <w:pPr>
        <w:ind w:left="60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8939F1" w:rsidRPr="005119AC" w:rsidRDefault="00660B75" w:rsidP="008939F1">
      <w:pPr>
        <w:ind w:left="709" w:hanging="283"/>
        <w:rPr>
          <w:rFonts w:ascii="Arial" w:hAnsi="Arial" w:cs="Arial"/>
          <w:b/>
          <w:sz w:val="22"/>
          <w:szCs w:val="22"/>
          <w:lang w:val="en-US"/>
        </w:rPr>
      </w:pPr>
      <w:r w:rsidRPr="005119AC">
        <w:rPr>
          <w:rFonts w:ascii="Arial" w:hAnsi="Arial" w:cs="Arial"/>
          <w:b/>
          <w:sz w:val="22"/>
          <w:szCs w:val="22"/>
        </w:rPr>
        <w:t xml:space="preserve">5.1 </w:t>
      </w:r>
      <w:r w:rsidR="0027763C" w:rsidRPr="005119AC">
        <w:rPr>
          <w:rFonts w:ascii="Arial" w:hAnsi="Arial" w:cs="Arial"/>
          <w:b/>
          <w:sz w:val="22"/>
          <w:szCs w:val="22"/>
        </w:rPr>
        <w:t>Φαρμακοδυναμικές ιδιότητες</w:t>
      </w:r>
    </w:p>
    <w:p w:rsidR="008939F1" w:rsidRPr="008939F1" w:rsidRDefault="008939F1" w:rsidP="008939F1">
      <w:pPr>
        <w:ind w:left="709" w:hanging="283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     </w:t>
      </w:r>
    </w:p>
    <w:p w:rsidR="00EC1DEB" w:rsidRPr="008939F1" w:rsidRDefault="008939F1" w:rsidP="008939F1">
      <w:pPr>
        <w:ind w:left="709" w:hanging="283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     </w:t>
      </w:r>
      <w:r w:rsidR="0027763C" w:rsidRPr="008939F1">
        <w:rPr>
          <w:rFonts w:ascii="Arial" w:hAnsi="Arial" w:cs="Arial"/>
          <w:sz w:val="22"/>
          <w:szCs w:val="22"/>
        </w:rPr>
        <w:t xml:space="preserve">Το </w:t>
      </w:r>
      <w:proofErr w:type="spellStart"/>
      <w:r w:rsidR="00660B75" w:rsidRPr="008939F1">
        <w:rPr>
          <w:rFonts w:ascii="Arial" w:hAnsi="Arial" w:cs="Arial"/>
          <w:sz w:val="22"/>
          <w:szCs w:val="22"/>
          <w:lang w:val="en-GB"/>
        </w:rPr>
        <w:t>Pyralvex</w:t>
      </w:r>
      <w:proofErr w:type="spellEnd"/>
      <w:r w:rsidR="0027763C" w:rsidRPr="008939F1">
        <w:rPr>
          <w:rFonts w:ascii="Arial" w:hAnsi="Arial" w:cs="Arial"/>
          <w:sz w:val="22"/>
          <w:szCs w:val="22"/>
        </w:rPr>
        <w:t xml:space="preserve"> είναι αλκοολο-σαλικυλικούχο διάλυμα ανθρακινογλυκοσιδών.</w:t>
      </w:r>
      <w:r w:rsidR="002D7C5A" w:rsidRPr="008939F1">
        <w:rPr>
          <w:rFonts w:ascii="Arial" w:hAnsi="Arial" w:cs="Arial"/>
          <w:sz w:val="22"/>
          <w:szCs w:val="22"/>
        </w:rPr>
        <w:t xml:space="preserve"> </w:t>
      </w:r>
      <w:r w:rsidR="0027763C" w:rsidRPr="008939F1">
        <w:rPr>
          <w:rFonts w:ascii="Arial" w:hAnsi="Arial" w:cs="Arial"/>
          <w:sz w:val="22"/>
          <w:szCs w:val="22"/>
        </w:rPr>
        <w:t>Ασκεί αντιφλεγμονώδη</w:t>
      </w:r>
      <w:r w:rsidR="00D47413" w:rsidRPr="008939F1">
        <w:rPr>
          <w:rFonts w:ascii="Arial" w:hAnsi="Arial" w:cs="Arial"/>
          <w:sz w:val="22"/>
          <w:szCs w:val="22"/>
        </w:rPr>
        <w:t xml:space="preserve">, αναλγητική </w:t>
      </w:r>
      <w:r w:rsidR="0027763C" w:rsidRPr="008939F1">
        <w:rPr>
          <w:rFonts w:ascii="Arial" w:hAnsi="Arial" w:cs="Arial"/>
          <w:sz w:val="22"/>
          <w:szCs w:val="22"/>
        </w:rPr>
        <w:t xml:space="preserve"> και αντιβακτηριδιακή δράση σε όλους του</w:t>
      </w:r>
      <w:r w:rsidR="002D7C5A" w:rsidRPr="008939F1">
        <w:rPr>
          <w:rFonts w:ascii="Arial" w:hAnsi="Arial" w:cs="Arial"/>
          <w:sz w:val="22"/>
          <w:szCs w:val="22"/>
        </w:rPr>
        <w:t>ς</w:t>
      </w:r>
      <w:r w:rsidR="0027763C" w:rsidRPr="008939F1">
        <w:rPr>
          <w:rFonts w:ascii="Arial" w:hAnsi="Arial" w:cs="Arial"/>
          <w:sz w:val="22"/>
          <w:szCs w:val="22"/>
        </w:rPr>
        <w:t xml:space="preserve"> φλεγμαίνοντες ιστούς του στοματικού βλενογόννου.</w:t>
      </w:r>
      <w:r w:rsidR="00660B75" w:rsidRPr="008939F1">
        <w:rPr>
          <w:rFonts w:ascii="Arial" w:hAnsi="Arial" w:cs="Arial"/>
          <w:sz w:val="22"/>
          <w:szCs w:val="22"/>
        </w:rPr>
        <w:t xml:space="preserve">  </w:t>
      </w:r>
      <w:r w:rsidR="00660B75" w:rsidRPr="008939F1">
        <w:rPr>
          <w:rFonts w:ascii="Arial" w:hAnsi="Arial" w:cs="Arial"/>
          <w:sz w:val="22"/>
          <w:szCs w:val="22"/>
        </w:rPr>
        <w:br/>
      </w:r>
    </w:p>
    <w:p w:rsidR="002D7C5A" w:rsidRPr="005119AC" w:rsidRDefault="00660B75" w:rsidP="008939F1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5119AC">
        <w:rPr>
          <w:rFonts w:ascii="Arial" w:hAnsi="Arial" w:cs="Arial"/>
          <w:b/>
          <w:sz w:val="22"/>
          <w:szCs w:val="22"/>
          <w:lang w:val="en-GB"/>
        </w:rPr>
        <w:t>5.2</w:t>
      </w:r>
      <w:r w:rsidR="007B7CCE" w:rsidRPr="005119A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30C6E" w:rsidRPr="005119AC">
        <w:rPr>
          <w:rFonts w:ascii="Arial" w:hAnsi="Arial" w:cs="Arial"/>
          <w:b/>
          <w:sz w:val="22"/>
          <w:szCs w:val="22"/>
        </w:rPr>
        <w:t>Φαρμακοκινητικές ιδιότητες</w:t>
      </w:r>
      <w:r w:rsidRPr="005119AC">
        <w:rPr>
          <w:rFonts w:ascii="Arial" w:hAnsi="Arial" w:cs="Arial"/>
          <w:b/>
          <w:sz w:val="22"/>
          <w:szCs w:val="22"/>
          <w:lang w:val="en-GB"/>
        </w:rPr>
        <w:t>:</w:t>
      </w:r>
    </w:p>
    <w:p w:rsidR="00660B75" w:rsidRPr="008939F1" w:rsidRDefault="00660B75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939F1">
        <w:rPr>
          <w:rFonts w:ascii="Arial" w:hAnsi="Arial" w:cs="Arial"/>
          <w:sz w:val="22"/>
          <w:szCs w:val="22"/>
          <w:lang w:val="en-GB"/>
        </w:rPr>
        <w:tab/>
      </w:r>
      <w:r w:rsidRPr="008939F1">
        <w:rPr>
          <w:rFonts w:ascii="Arial" w:hAnsi="Arial" w:cs="Arial"/>
          <w:sz w:val="22"/>
          <w:szCs w:val="22"/>
          <w:lang w:val="en-GB"/>
        </w:rPr>
        <w:tab/>
      </w:r>
    </w:p>
    <w:p w:rsidR="00C8675F" w:rsidRPr="008939F1" w:rsidRDefault="00230C6E" w:rsidP="008939F1">
      <w:pPr>
        <w:ind w:firstLine="720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Δεν έχουν πραγματοποιηθεί μελέτες φαρμακοκινητικής με το </w:t>
      </w:r>
      <w:r w:rsidRPr="008939F1">
        <w:rPr>
          <w:rFonts w:ascii="Arial" w:hAnsi="Arial" w:cs="Arial"/>
          <w:sz w:val="22"/>
          <w:szCs w:val="22"/>
          <w:lang w:val="en-US"/>
        </w:rPr>
        <w:t>PYRALVEX</w:t>
      </w:r>
      <w:r w:rsidR="00C8675F" w:rsidRPr="008939F1">
        <w:rPr>
          <w:rFonts w:ascii="Arial" w:hAnsi="Arial" w:cs="Arial"/>
          <w:sz w:val="22"/>
          <w:szCs w:val="22"/>
        </w:rPr>
        <w:t>.</w:t>
      </w:r>
    </w:p>
    <w:p w:rsidR="008939F1" w:rsidRPr="008939F1" w:rsidRDefault="008939F1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</w:p>
    <w:p w:rsidR="00EC4C36" w:rsidRPr="005119AC" w:rsidRDefault="00660B75" w:rsidP="008939F1">
      <w:pPr>
        <w:numPr>
          <w:ilvl w:val="1"/>
          <w:numId w:val="1"/>
        </w:numPr>
        <w:rPr>
          <w:rFonts w:ascii="Arial" w:hAnsi="Arial" w:cs="Arial"/>
          <w:b/>
          <w:strike/>
          <w:sz w:val="22"/>
          <w:szCs w:val="22"/>
        </w:rPr>
      </w:pPr>
      <w:r w:rsidRPr="005119AC">
        <w:rPr>
          <w:rFonts w:ascii="Arial" w:hAnsi="Arial" w:cs="Arial"/>
          <w:b/>
          <w:sz w:val="22"/>
          <w:szCs w:val="22"/>
        </w:rPr>
        <w:t xml:space="preserve">5.3 </w:t>
      </w:r>
      <w:r w:rsidR="00230C6E" w:rsidRPr="005119AC">
        <w:rPr>
          <w:rFonts w:ascii="Arial" w:hAnsi="Arial" w:cs="Arial"/>
          <w:b/>
          <w:sz w:val="22"/>
          <w:szCs w:val="22"/>
        </w:rPr>
        <w:t>Προκλινικά στοιχεία για την ασφάλεια</w:t>
      </w:r>
      <w:r w:rsidRPr="005119AC">
        <w:rPr>
          <w:rFonts w:ascii="Arial" w:hAnsi="Arial" w:cs="Arial"/>
          <w:b/>
          <w:sz w:val="22"/>
          <w:szCs w:val="22"/>
        </w:rPr>
        <w:t>:</w:t>
      </w:r>
    </w:p>
    <w:p w:rsidR="005119AC" w:rsidRPr="00DD50FA" w:rsidRDefault="005119AC" w:rsidP="008939F1">
      <w:pPr>
        <w:ind w:left="720"/>
        <w:rPr>
          <w:rFonts w:ascii="Arial" w:hAnsi="Arial" w:cs="Arial"/>
          <w:sz w:val="22"/>
          <w:szCs w:val="22"/>
        </w:rPr>
      </w:pPr>
      <w:bookmarkStart w:id="0" w:name="OLE_LINK7"/>
      <w:bookmarkStart w:id="1" w:name="OLE_LINK8"/>
    </w:p>
    <w:p w:rsidR="00C8675F" w:rsidRPr="00CF37EC" w:rsidRDefault="00230C6E" w:rsidP="008939F1">
      <w:pPr>
        <w:ind w:left="720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Δεν υπάρχουν ειδικά τοξικολογικά δεδομένα για το </w:t>
      </w:r>
      <w:r w:rsidRPr="008939F1">
        <w:rPr>
          <w:rFonts w:ascii="Arial" w:hAnsi="Arial" w:cs="Arial"/>
          <w:sz w:val="22"/>
          <w:szCs w:val="22"/>
          <w:lang w:val="en-US"/>
        </w:rPr>
        <w:t>PYRALVEX</w:t>
      </w:r>
      <w:r w:rsidRPr="008939F1">
        <w:rPr>
          <w:rFonts w:ascii="Arial" w:hAnsi="Arial" w:cs="Arial"/>
          <w:sz w:val="22"/>
          <w:szCs w:val="22"/>
        </w:rPr>
        <w:t>.</w:t>
      </w:r>
      <w:r w:rsidR="00EB2EDE" w:rsidRPr="008939F1">
        <w:rPr>
          <w:rFonts w:ascii="Arial" w:hAnsi="Arial" w:cs="Arial"/>
          <w:sz w:val="22"/>
          <w:szCs w:val="22"/>
        </w:rPr>
        <w:t xml:space="preserve">Υπάρχουν ορισμένα δεδομένα που υποδεικνύουν κίνδυνο γονοτοξικότητας από το </w:t>
      </w:r>
      <w:r w:rsidR="00B509D4" w:rsidRPr="008939F1">
        <w:rPr>
          <w:rFonts w:ascii="Arial" w:hAnsi="Arial" w:cs="Arial"/>
          <w:sz w:val="22"/>
          <w:szCs w:val="22"/>
        </w:rPr>
        <w:t xml:space="preserve">εκχύλισμα </w:t>
      </w:r>
      <w:proofErr w:type="spellStart"/>
      <w:r w:rsidR="00EB2EDE" w:rsidRPr="008939F1">
        <w:rPr>
          <w:rFonts w:ascii="Arial" w:hAnsi="Arial" w:cs="Arial"/>
          <w:sz w:val="22"/>
          <w:szCs w:val="22"/>
          <w:lang w:val="en-US"/>
        </w:rPr>
        <w:t>rhoubarb</w:t>
      </w:r>
      <w:proofErr w:type="spellEnd"/>
      <w:r w:rsidR="00EB2EDE" w:rsidRPr="008939F1">
        <w:rPr>
          <w:rFonts w:ascii="Arial" w:hAnsi="Arial" w:cs="Arial"/>
          <w:sz w:val="22"/>
          <w:szCs w:val="22"/>
        </w:rPr>
        <w:t xml:space="preserve">  και </w:t>
      </w:r>
      <w:r w:rsidR="00B509D4" w:rsidRPr="008939F1">
        <w:rPr>
          <w:rFonts w:ascii="Arial" w:hAnsi="Arial" w:cs="Arial"/>
          <w:sz w:val="22"/>
          <w:szCs w:val="22"/>
        </w:rPr>
        <w:t>τους σχετιζόμενους γλυκοσίδες ανθρακινόνης</w:t>
      </w:r>
      <w:r w:rsidR="00EB2EDE" w:rsidRPr="008939F1">
        <w:rPr>
          <w:rFonts w:ascii="Arial" w:hAnsi="Arial" w:cs="Arial"/>
          <w:sz w:val="22"/>
          <w:szCs w:val="22"/>
        </w:rPr>
        <w:t xml:space="preserve">, </w:t>
      </w:r>
      <w:r w:rsidR="000C234E" w:rsidRPr="008939F1">
        <w:rPr>
          <w:rFonts w:ascii="Arial" w:hAnsi="Arial" w:cs="Arial"/>
          <w:sz w:val="22"/>
          <w:szCs w:val="22"/>
        </w:rPr>
        <w:t xml:space="preserve">η συσχέτιση ωστόσο των συγκεκριμένων στοιχείων με το </w:t>
      </w:r>
      <w:r w:rsidR="000C234E" w:rsidRPr="008939F1">
        <w:rPr>
          <w:rFonts w:ascii="Arial" w:hAnsi="Arial" w:cs="Arial"/>
          <w:sz w:val="22"/>
          <w:szCs w:val="22"/>
          <w:lang w:val="en-US"/>
        </w:rPr>
        <w:t>PYRALVEX</w:t>
      </w:r>
      <w:r w:rsidR="000C234E" w:rsidRPr="008939F1">
        <w:rPr>
          <w:rFonts w:ascii="Arial" w:hAnsi="Arial" w:cs="Arial"/>
          <w:sz w:val="22"/>
          <w:szCs w:val="22"/>
        </w:rPr>
        <w:t xml:space="preserve"> δεν είναι γνωστή.</w:t>
      </w:r>
      <w:r w:rsidR="00EB2EDE" w:rsidRPr="008939F1"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</w:p>
    <w:p w:rsidR="00C8675F" w:rsidRPr="008939F1" w:rsidRDefault="00C8675F" w:rsidP="008939F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</w:p>
    <w:p w:rsidR="00660B75" w:rsidRPr="005119AC" w:rsidRDefault="00230C6E" w:rsidP="008939F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8939F1">
        <w:rPr>
          <w:rFonts w:ascii="Arial" w:hAnsi="Arial" w:cs="Arial"/>
          <w:b/>
          <w:sz w:val="22"/>
          <w:szCs w:val="22"/>
          <w:u w:val="single"/>
        </w:rPr>
        <w:t>ΦΑΡΜΑΚΕΥΤΙΚΑ ΣΤΟΙΧΕΙΑ</w:t>
      </w:r>
      <w:r w:rsidR="00660B75" w:rsidRPr="008939F1">
        <w:rPr>
          <w:rFonts w:ascii="Arial" w:hAnsi="Arial" w:cs="Arial"/>
          <w:b/>
          <w:sz w:val="22"/>
          <w:szCs w:val="22"/>
          <w:u w:val="single"/>
        </w:rPr>
        <w:t>:</w:t>
      </w:r>
    </w:p>
    <w:p w:rsidR="005119AC" w:rsidRPr="008939F1" w:rsidRDefault="005119AC" w:rsidP="005119AC">
      <w:pPr>
        <w:ind w:left="600"/>
        <w:rPr>
          <w:rFonts w:ascii="Arial" w:hAnsi="Arial" w:cs="Arial"/>
          <w:b/>
          <w:sz w:val="22"/>
          <w:szCs w:val="22"/>
          <w:u w:val="single"/>
        </w:rPr>
      </w:pPr>
    </w:p>
    <w:p w:rsidR="00660B75" w:rsidRPr="008939F1" w:rsidRDefault="00660B75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6.1 </w:t>
      </w:r>
      <w:r w:rsidR="00230C6E" w:rsidRPr="008939F1">
        <w:rPr>
          <w:rFonts w:ascii="Arial" w:hAnsi="Arial" w:cs="Arial"/>
          <w:sz w:val="22"/>
          <w:szCs w:val="22"/>
        </w:rPr>
        <w:t xml:space="preserve">Κατάλογος εκδόχων: Αιθανόλη, Νερό </w:t>
      </w:r>
    </w:p>
    <w:p w:rsidR="00660B75" w:rsidRPr="008939F1" w:rsidRDefault="00660B75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6.2 </w:t>
      </w:r>
      <w:r w:rsidR="00230C6E" w:rsidRPr="008939F1">
        <w:rPr>
          <w:rFonts w:ascii="Arial" w:hAnsi="Arial" w:cs="Arial"/>
          <w:sz w:val="22"/>
          <w:szCs w:val="22"/>
        </w:rPr>
        <w:t>Ασυμβατότητες: Καμία γνωστή</w:t>
      </w:r>
      <w:r w:rsidRPr="008939F1">
        <w:rPr>
          <w:rFonts w:ascii="Arial" w:hAnsi="Arial" w:cs="Arial"/>
          <w:sz w:val="22"/>
          <w:szCs w:val="22"/>
        </w:rPr>
        <w:t>.</w:t>
      </w:r>
    </w:p>
    <w:p w:rsidR="00C50D23" w:rsidRPr="008939F1" w:rsidRDefault="00660B75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6.3 </w:t>
      </w:r>
      <w:r w:rsidR="00E5624E" w:rsidRPr="008939F1">
        <w:rPr>
          <w:rFonts w:ascii="Arial" w:hAnsi="Arial" w:cs="Arial"/>
          <w:sz w:val="22"/>
          <w:szCs w:val="22"/>
        </w:rPr>
        <w:t xml:space="preserve">Διάρκεια ζωής: 48 μήνες </w:t>
      </w:r>
    </w:p>
    <w:p w:rsidR="00C50D23" w:rsidRPr="008939F1" w:rsidRDefault="00660B75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6.4 </w:t>
      </w:r>
      <w:r w:rsidR="00E5624E" w:rsidRPr="008939F1">
        <w:rPr>
          <w:rFonts w:ascii="Arial" w:hAnsi="Arial" w:cs="Arial"/>
          <w:sz w:val="22"/>
          <w:szCs w:val="22"/>
        </w:rPr>
        <w:t>Ιδιαίτερες προφυλάξεις κατά τη φύλαξη:</w:t>
      </w:r>
    </w:p>
    <w:p w:rsidR="00A46323" w:rsidRPr="008939F1" w:rsidRDefault="00E5624E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 </w:t>
      </w:r>
      <w:r w:rsidR="00A46323" w:rsidRPr="008939F1">
        <w:rPr>
          <w:rFonts w:ascii="Arial" w:hAnsi="Arial" w:cs="Arial"/>
          <w:sz w:val="22"/>
          <w:szCs w:val="22"/>
        </w:rPr>
        <w:t xml:space="preserve">     </w:t>
      </w:r>
      <w:r w:rsidR="00935409" w:rsidRPr="008939F1">
        <w:rPr>
          <w:rFonts w:ascii="Arial" w:hAnsi="Arial" w:cs="Arial"/>
          <w:sz w:val="22"/>
          <w:szCs w:val="22"/>
        </w:rPr>
        <w:t>Να φυλάσσεται σε θερμοκρασία δωματίου (κάτω των</w:t>
      </w:r>
      <w:r w:rsidR="00151E0B" w:rsidRPr="008939F1">
        <w:rPr>
          <w:rFonts w:ascii="Arial" w:hAnsi="Arial" w:cs="Arial"/>
          <w:sz w:val="22"/>
          <w:szCs w:val="22"/>
        </w:rPr>
        <w:t xml:space="preserve"> 25</w:t>
      </w:r>
      <w:r w:rsidR="00151E0B" w:rsidRPr="008939F1">
        <w:rPr>
          <w:rFonts w:ascii="Arial" w:hAnsi="Arial" w:cs="Arial"/>
          <w:sz w:val="22"/>
          <w:szCs w:val="22"/>
          <w:vertAlign w:val="superscript"/>
        </w:rPr>
        <w:t>ο</w:t>
      </w:r>
      <w:r w:rsidR="00151E0B" w:rsidRPr="008939F1">
        <w:rPr>
          <w:rFonts w:ascii="Arial" w:hAnsi="Arial" w:cs="Arial"/>
          <w:sz w:val="22"/>
          <w:szCs w:val="22"/>
        </w:rPr>
        <w:t xml:space="preserve"> </w:t>
      </w:r>
      <w:r w:rsidR="00151E0B" w:rsidRPr="008939F1">
        <w:rPr>
          <w:rFonts w:ascii="Arial" w:hAnsi="Arial" w:cs="Arial"/>
          <w:sz w:val="22"/>
          <w:szCs w:val="22"/>
          <w:lang w:val="en-US"/>
        </w:rPr>
        <w:t>C</w:t>
      </w:r>
      <w:r w:rsidR="00151E0B" w:rsidRPr="008939F1">
        <w:rPr>
          <w:rFonts w:ascii="Arial" w:hAnsi="Arial" w:cs="Arial"/>
          <w:sz w:val="22"/>
          <w:szCs w:val="22"/>
        </w:rPr>
        <w:t xml:space="preserve">). </w:t>
      </w:r>
      <w:r w:rsidR="00151E0B" w:rsidRPr="008939F1">
        <w:rPr>
          <w:rFonts w:ascii="Arial" w:hAnsi="Arial" w:cs="Arial"/>
          <w:sz w:val="22"/>
          <w:szCs w:val="22"/>
          <w:lang w:val="en-US"/>
        </w:rPr>
        <w:t>M</w:t>
      </w:r>
      <w:r w:rsidR="00151E0B" w:rsidRPr="008939F1">
        <w:rPr>
          <w:rFonts w:ascii="Arial" w:hAnsi="Arial" w:cs="Arial"/>
          <w:sz w:val="22"/>
          <w:szCs w:val="22"/>
        </w:rPr>
        <w:t xml:space="preserve">ετά το </w:t>
      </w:r>
      <w:r w:rsidR="00A46323" w:rsidRPr="008939F1">
        <w:rPr>
          <w:rFonts w:ascii="Arial" w:hAnsi="Arial" w:cs="Arial"/>
          <w:sz w:val="22"/>
          <w:szCs w:val="22"/>
        </w:rPr>
        <w:t xml:space="preserve">    </w:t>
      </w:r>
    </w:p>
    <w:p w:rsidR="00660B75" w:rsidRPr="008939F1" w:rsidRDefault="00A46323" w:rsidP="008939F1">
      <w:p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           </w:t>
      </w:r>
      <w:r w:rsidR="00151E0B" w:rsidRPr="008939F1">
        <w:rPr>
          <w:rFonts w:ascii="Arial" w:hAnsi="Arial" w:cs="Arial"/>
          <w:sz w:val="22"/>
          <w:szCs w:val="22"/>
        </w:rPr>
        <w:t>άνοιγμα,</w:t>
      </w:r>
      <w:r w:rsidR="00CF37EC" w:rsidRPr="00CF37EC">
        <w:rPr>
          <w:rFonts w:ascii="Arial" w:hAnsi="Arial" w:cs="Arial"/>
          <w:sz w:val="22"/>
          <w:szCs w:val="22"/>
        </w:rPr>
        <w:t xml:space="preserve"> </w:t>
      </w:r>
      <w:r w:rsidR="00151E0B" w:rsidRPr="008939F1">
        <w:rPr>
          <w:rFonts w:ascii="Arial" w:hAnsi="Arial" w:cs="Arial"/>
          <w:sz w:val="22"/>
          <w:szCs w:val="22"/>
        </w:rPr>
        <w:t xml:space="preserve">το φιαλίδιο να φυλάσσεται σε μέρος δροσερό. </w:t>
      </w:r>
    </w:p>
    <w:p w:rsidR="00A46323" w:rsidRPr="008939F1" w:rsidRDefault="00660B75" w:rsidP="008939F1">
      <w:pPr>
        <w:ind w:left="360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6.5 </w:t>
      </w:r>
      <w:r w:rsidR="00151E0B" w:rsidRPr="008939F1">
        <w:rPr>
          <w:rFonts w:ascii="Arial" w:hAnsi="Arial" w:cs="Arial"/>
          <w:sz w:val="22"/>
          <w:szCs w:val="22"/>
        </w:rPr>
        <w:t xml:space="preserve">Φύση και συστατικά του περιέκτη: Γυάλινα φιαλίδια (τύπου ΙΙΙ </w:t>
      </w:r>
      <w:r w:rsidR="00151E0B" w:rsidRPr="008939F1">
        <w:rPr>
          <w:rFonts w:ascii="Arial" w:hAnsi="Arial" w:cs="Arial"/>
          <w:sz w:val="22"/>
          <w:szCs w:val="22"/>
          <w:lang w:val="en-US"/>
        </w:rPr>
        <w:t>USP</w:t>
      </w:r>
      <w:r w:rsidR="00151E0B" w:rsidRPr="008939F1">
        <w:rPr>
          <w:rFonts w:ascii="Arial" w:hAnsi="Arial" w:cs="Arial"/>
          <w:sz w:val="22"/>
          <w:szCs w:val="22"/>
        </w:rPr>
        <w:t xml:space="preserve">) με </w:t>
      </w:r>
      <w:r w:rsidR="00A46323" w:rsidRPr="008939F1">
        <w:rPr>
          <w:rFonts w:ascii="Arial" w:hAnsi="Arial" w:cs="Arial"/>
          <w:sz w:val="22"/>
          <w:szCs w:val="22"/>
        </w:rPr>
        <w:t xml:space="preserve">    </w:t>
      </w:r>
    </w:p>
    <w:p w:rsidR="00A46323" w:rsidRPr="008939F1" w:rsidRDefault="00A46323" w:rsidP="008939F1">
      <w:pPr>
        <w:ind w:left="360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      </w:t>
      </w:r>
      <w:r w:rsidR="00151E0B" w:rsidRPr="008939F1">
        <w:rPr>
          <w:rFonts w:ascii="Arial" w:hAnsi="Arial" w:cs="Arial"/>
          <w:sz w:val="22"/>
          <w:szCs w:val="22"/>
        </w:rPr>
        <w:t xml:space="preserve">πώμα που έχει ενσωματωμένο χρωστήρα, που περιέχουν 10 </w:t>
      </w:r>
      <w:r w:rsidR="00151E0B" w:rsidRPr="008939F1">
        <w:rPr>
          <w:rFonts w:ascii="Arial" w:hAnsi="Arial" w:cs="Arial"/>
          <w:sz w:val="22"/>
          <w:szCs w:val="22"/>
          <w:lang w:val="en-US"/>
        </w:rPr>
        <w:t>ml</w:t>
      </w:r>
      <w:r w:rsidR="00151E0B" w:rsidRPr="008939F1">
        <w:rPr>
          <w:rFonts w:ascii="Arial" w:hAnsi="Arial" w:cs="Arial"/>
          <w:sz w:val="22"/>
          <w:szCs w:val="22"/>
        </w:rPr>
        <w:t xml:space="preserve"> </w:t>
      </w:r>
      <w:r w:rsidRPr="008939F1">
        <w:rPr>
          <w:rFonts w:ascii="Arial" w:hAnsi="Arial" w:cs="Arial"/>
          <w:sz w:val="22"/>
          <w:szCs w:val="22"/>
        </w:rPr>
        <w:t xml:space="preserve">     </w:t>
      </w:r>
    </w:p>
    <w:p w:rsidR="00660B75" w:rsidRPr="008939F1" w:rsidRDefault="00A46323" w:rsidP="008939F1">
      <w:pPr>
        <w:ind w:left="360"/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      </w:t>
      </w:r>
      <w:r w:rsidR="0001056E" w:rsidRPr="008939F1">
        <w:rPr>
          <w:rFonts w:ascii="Arial" w:hAnsi="Arial" w:cs="Arial"/>
          <w:sz w:val="22"/>
          <w:szCs w:val="22"/>
        </w:rPr>
        <w:t>διαλύματος.</w:t>
      </w:r>
    </w:p>
    <w:p w:rsidR="00660B75" w:rsidRPr="00DD50FA" w:rsidRDefault="00660B75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6.6 </w:t>
      </w:r>
      <w:r w:rsidR="0001056E" w:rsidRPr="008939F1">
        <w:rPr>
          <w:rFonts w:ascii="Arial" w:hAnsi="Arial" w:cs="Arial"/>
          <w:sz w:val="22"/>
          <w:szCs w:val="22"/>
        </w:rPr>
        <w:t xml:space="preserve">Οδηγίες χρήσης/χειρισμού: Δεν απαιτούνται. </w:t>
      </w:r>
    </w:p>
    <w:p w:rsidR="00C50D23" w:rsidRPr="008939F1" w:rsidRDefault="00660B75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6.7 </w:t>
      </w:r>
      <w:r w:rsidR="0001056E" w:rsidRPr="008939F1">
        <w:rPr>
          <w:rFonts w:ascii="Arial" w:hAnsi="Arial" w:cs="Arial"/>
          <w:sz w:val="22"/>
          <w:szCs w:val="22"/>
        </w:rPr>
        <w:t xml:space="preserve">Κάτοχος Άδειας Κυκλοφορίας στην Ελλάδα: </w:t>
      </w:r>
    </w:p>
    <w:p w:rsidR="00C50D23" w:rsidRPr="008939F1" w:rsidRDefault="00A46323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sz w:val="22"/>
          <w:szCs w:val="22"/>
        </w:rPr>
        <w:t xml:space="preserve">                         </w:t>
      </w:r>
      <w:r w:rsidR="00CB4E66" w:rsidRPr="008939F1" w:rsidDel="00CB4E66">
        <w:rPr>
          <w:rFonts w:ascii="Arial" w:hAnsi="Arial" w:cs="Arial"/>
          <w:sz w:val="22"/>
          <w:szCs w:val="22"/>
        </w:rPr>
        <w:t xml:space="preserve"> </w:t>
      </w:r>
    </w:p>
    <w:p w:rsidR="00660B75" w:rsidRDefault="00564D13" w:rsidP="008939F1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DD50FA">
        <w:rPr>
          <w:rFonts w:ascii="Arial" w:hAnsi="Arial" w:cs="Arial"/>
          <w:sz w:val="22"/>
          <w:szCs w:val="22"/>
        </w:rPr>
        <w:t xml:space="preserve">      </w:t>
      </w:r>
      <w:r w:rsidR="0001056E" w:rsidRPr="00CF37EC">
        <w:rPr>
          <w:rFonts w:ascii="Arial" w:hAnsi="Arial" w:cs="Arial"/>
          <w:sz w:val="22"/>
          <w:szCs w:val="22"/>
        </w:rPr>
        <w:t>ΝΟ</w:t>
      </w:r>
      <w:r w:rsidR="0001056E" w:rsidRPr="00CF37EC">
        <w:rPr>
          <w:rFonts w:ascii="Arial" w:hAnsi="Arial" w:cs="Arial"/>
          <w:sz w:val="22"/>
          <w:szCs w:val="22"/>
          <w:lang w:val="en-US"/>
        </w:rPr>
        <w:t>RGINE</w:t>
      </w:r>
      <w:r w:rsidR="0001056E" w:rsidRPr="00CF37E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BV</w:t>
      </w:r>
    </w:p>
    <w:p w:rsidR="00CF37EC" w:rsidRPr="00CF37EC" w:rsidRDefault="00CF37EC" w:rsidP="00CF37EC">
      <w:pPr>
        <w:rPr>
          <w:rFonts w:ascii="Arial" w:hAnsi="Arial" w:cs="Arial"/>
          <w:sz w:val="22"/>
          <w:szCs w:val="22"/>
          <w:lang w:val="en-GB"/>
        </w:rPr>
      </w:pPr>
    </w:p>
    <w:p w:rsidR="00660B75" w:rsidRPr="008939F1" w:rsidRDefault="0001056E" w:rsidP="008939F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939F1">
        <w:rPr>
          <w:rFonts w:ascii="Arial" w:hAnsi="Arial" w:cs="Arial"/>
          <w:b/>
          <w:sz w:val="22"/>
          <w:szCs w:val="22"/>
          <w:u w:val="single"/>
          <w:lang w:val="en-GB"/>
        </w:rPr>
        <w:t>A</w:t>
      </w:r>
      <w:r w:rsidRPr="008939F1">
        <w:rPr>
          <w:rFonts w:ascii="Arial" w:hAnsi="Arial" w:cs="Arial"/>
          <w:b/>
          <w:sz w:val="22"/>
          <w:szCs w:val="22"/>
          <w:u w:val="single"/>
        </w:rPr>
        <w:t>ΡΙΘΜΟΣ</w:t>
      </w:r>
      <w:r w:rsidRPr="008939F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8939F1">
        <w:rPr>
          <w:rFonts w:ascii="Arial" w:hAnsi="Arial" w:cs="Arial"/>
          <w:b/>
          <w:sz w:val="22"/>
          <w:szCs w:val="22"/>
          <w:u w:val="single"/>
        </w:rPr>
        <w:t>ΑΔΕΙΑΣ</w:t>
      </w:r>
      <w:r w:rsidRPr="008939F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8939F1">
        <w:rPr>
          <w:rFonts w:ascii="Arial" w:hAnsi="Arial" w:cs="Arial"/>
          <w:b/>
          <w:sz w:val="22"/>
          <w:szCs w:val="22"/>
          <w:u w:val="single"/>
        </w:rPr>
        <w:t>ΚΥΚΛΟΦΟΡΙΑΣ</w:t>
      </w:r>
      <w:r w:rsidR="00CB4E66" w:rsidRPr="008939F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660B75" w:rsidRPr="008939F1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  <w:r w:rsidR="00660B75" w:rsidRPr="008939F1">
        <w:rPr>
          <w:rFonts w:ascii="Arial" w:hAnsi="Arial" w:cs="Arial"/>
          <w:sz w:val="22"/>
          <w:szCs w:val="22"/>
          <w:lang w:val="en-GB"/>
        </w:rPr>
        <w:t xml:space="preserve"> 12703/20-4-90</w:t>
      </w:r>
    </w:p>
    <w:p w:rsidR="00660B75" w:rsidRPr="008939F1" w:rsidRDefault="00660B75" w:rsidP="008939F1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660B75" w:rsidRPr="008939F1" w:rsidRDefault="0001056E" w:rsidP="008939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39F1">
        <w:rPr>
          <w:rFonts w:ascii="Arial" w:hAnsi="Arial" w:cs="Arial"/>
          <w:b/>
          <w:sz w:val="22"/>
          <w:szCs w:val="22"/>
          <w:u w:val="single"/>
        </w:rPr>
        <w:t>ΗΜΕΡΟΜΗΝΙΑ ΤΗΣ ΠΡΩΤΗΣ ΑΔΕΙΑΣ ΚΥΚΛΟΦΟΡΙΑΣ/ΤΕΛΕΥΤΑΙΑΣ ΑΝΑΝΕΩΣΗΣ</w:t>
      </w:r>
      <w:r w:rsidR="00660B75" w:rsidRPr="008939F1">
        <w:rPr>
          <w:rFonts w:ascii="Arial" w:hAnsi="Arial" w:cs="Arial"/>
          <w:b/>
          <w:sz w:val="22"/>
          <w:szCs w:val="22"/>
          <w:u w:val="single"/>
        </w:rPr>
        <w:t>:</w:t>
      </w:r>
      <w:r w:rsidR="00660B75" w:rsidRPr="008939F1">
        <w:rPr>
          <w:rFonts w:ascii="Arial" w:hAnsi="Arial" w:cs="Arial"/>
          <w:sz w:val="22"/>
          <w:szCs w:val="22"/>
        </w:rPr>
        <w:t xml:space="preserve"> 25-2-61/20-4-90</w:t>
      </w:r>
    </w:p>
    <w:p w:rsidR="00660B75" w:rsidRPr="008939F1" w:rsidRDefault="00660B75" w:rsidP="008939F1">
      <w:pPr>
        <w:rPr>
          <w:rFonts w:ascii="Arial" w:hAnsi="Arial" w:cs="Arial"/>
          <w:sz w:val="22"/>
          <w:szCs w:val="22"/>
        </w:rPr>
      </w:pPr>
    </w:p>
    <w:p w:rsidR="00660B75" w:rsidRPr="008939F1" w:rsidRDefault="0001056E" w:rsidP="008939F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939F1">
        <w:rPr>
          <w:rFonts w:ascii="Arial" w:hAnsi="Arial" w:cs="Arial"/>
          <w:b/>
          <w:sz w:val="22"/>
          <w:szCs w:val="22"/>
        </w:rPr>
        <w:t>ΗΜΕΡΟΜΗΝΙΑ ΤΗΣ (ΜΕΡΙΚΗΣ) ΑΝΑΘΕΩΡΗΣΗΣ ΤΟΥ ΚΕΙΜΕΝΟΥ</w:t>
      </w:r>
      <w:r w:rsidR="00660B75" w:rsidRPr="008939F1">
        <w:rPr>
          <w:rFonts w:ascii="Arial" w:hAnsi="Arial" w:cs="Arial"/>
          <w:b/>
          <w:sz w:val="22"/>
          <w:szCs w:val="22"/>
        </w:rPr>
        <w:t>:</w:t>
      </w:r>
    </w:p>
    <w:sectPr w:rsidR="00660B75" w:rsidRPr="008939F1" w:rsidSect="00B04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4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1C" w:rsidRDefault="00AF321C">
      <w:r>
        <w:separator/>
      </w:r>
    </w:p>
  </w:endnote>
  <w:endnote w:type="continuationSeparator" w:id="0">
    <w:p w:rsidR="00AF321C" w:rsidRDefault="00AF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0D" w:rsidRDefault="000F14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0D" w:rsidRDefault="000F140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0D" w:rsidRDefault="000F14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1C" w:rsidRDefault="00AF321C">
      <w:r>
        <w:separator/>
      </w:r>
    </w:p>
  </w:footnote>
  <w:footnote w:type="continuationSeparator" w:id="0">
    <w:p w:rsidR="00AF321C" w:rsidRDefault="00AF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0D" w:rsidRDefault="000F140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0D" w:rsidRPr="005F3480" w:rsidRDefault="000F140D">
    <w:pPr>
      <w:pStyle w:val="a9"/>
      <w:rPr>
        <w:sz w:val="16"/>
        <w:szCs w:val="16"/>
        <w:lang w:val="en-GB"/>
      </w:rPr>
    </w:pPr>
    <w:r w:rsidRPr="005F3480">
      <w:rPr>
        <w:sz w:val="16"/>
        <w:szCs w:val="16"/>
        <w:lang w:val="en-GB"/>
      </w:rPr>
      <w:t>PYRALVEX EL</w:t>
    </w:r>
  </w:p>
  <w:p w:rsidR="000F140D" w:rsidRPr="005F3480" w:rsidRDefault="000F140D" w:rsidP="000F140D">
    <w:pPr>
      <w:pStyle w:val="a9"/>
      <w:pBdr>
        <w:bottom w:val="single" w:sz="4" w:space="1" w:color="auto"/>
      </w:pBdr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0D" w:rsidRDefault="000F14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A4D"/>
    <w:multiLevelType w:val="multilevel"/>
    <w:tmpl w:val="EDE4D6B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13C2D1F"/>
    <w:multiLevelType w:val="hybridMultilevel"/>
    <w:tmpl w:val="11E019DA"/>
    <w:lvl w:ilvl="0" w:tplc="2646B8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/>
        <w:bCs/>
        <w:color w:val="auto"/>
      </w:rPr>
    </w:lvl>
    <w:lvl w:ilvl="1" w:tplc="78B06F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ACE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C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894E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36E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4EE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98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5C9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BF71306"/>
    <w:multiLevelType w:val="multilevel"/>
    <w:tmpl w:val="E66ECFF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auto"/>
        <w:sz w:val="24"/>
      </w:rPr>
    </w:lvl>
    <w:lvl w:ilvl="1">
      <w:start w:val="8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DDF"/>
    <w:rsid w:val="00002F17"/>
    <w:rsid w:val="0001056E"/>
    <w:rsid w:val="00026CD1"/>
    <w:rsid w:val="00027301"/>
    <w:rsid w:val="00061F4C"/>
    <w:rsid w:val="00063BA4"/>
    <w:rsid w:val="000922F1"/>
    <w:rsid w:val="00097277"/>
    <w:rsid w:val="000B2861"/>
    <w:rsid w:val="000C234E"/>
    <w:rsid w:val="000F140D"/>
    <w:rsid w:val="000F2991"/>
    <w:rsid w:val="001103EA"/>
    <w:rsid w:val="0011245F"/>
    <w:rsid w:val="00113BFE"/>
    <w:rsid w:val="0012577D"/>
    <w:rsid w:val="00151E0B"/>
    <w:rsid w:val="0015394D"/>
    <w:rsid w:val="00155037"/>
    <w:rsid w:val="00157E9F"/>
    <w:rsid w:val="00161225"/>
    <w:rsid w:val="00164A7D"/>
    <w:rsid w:val="0018564E"/>
    <w:rsid w:val="00191E37"/>
    <w:rsid w:val="001932D5"/>
    <w:rsid w:val="001A1938"/>
    <w:rsid w:val="001D4962"/>
    <w:rsid w:val="001E2DDF"/>
    <w:rsid w:val="001E541F"/>
    <w:rsid w:val="001F1175"/>
    <w:rsid w:val="00211919"/>
    <w:rsid w:val="00224AD7"/>
    <w:rsid w:val="00230C6E"/>
    <w:rsid w:val="00247AF3"/>
    <w:rsid w:val="002517EA"/>
    <w:rsid w:val="0027763C"/>
    <w:rsid w:val="00284901"/>
    <w:rsid w:val="00295D64"/>
    <w:rsid w:val="002B55FF"/>
    <w:rsid w:val="002D667C"/>
    <w:rsid w:val="002D7C5A"/>
    <w:rsid w:val="002F1E2B"/>
    <w:rsid w:val="00306100"/>
    <w:rsid w:val="00306391"/>
    <w:rsid w:val="00323CF8"/>
    <w:rsid w:val="00334C83"/>
    <w:rsid w:val="00355581"/>
    <w:rsid w:val="00356C8C"/>
    <w:rsid w:val="00371CF4"/>
    <w:rsid w:val="0038383B"/>
    <w:rsid w:val="003A49FA"/>
    <w:rsid w:val="003B06DB"/>
    <w:rsid w:val="003B1AB4"/>
    <w:rsid w:val="003B2B89"/>
    <w:rsid w:val="00405573"/>
    <w:rsid w:val="00411798"/>
    <w:rsid w:val="00411D63"/>
    <w:rsid w:val="00414720"/>
    <w:rsid w:val="00433348"/>
    <w:rsid w:val="00435D94"/>
    <w:rsid w:val="00443C6B"/>
    <w:rsid w:val="00461812"/>
    <w:rsid w:val="00473EEB"/>
    <w:rsid w:val="004A0D39"/>
    <w:rsid w:val="004A4FD6"/>
    <w:rsid w:val="004D406C"/>
    <w:rsid w:val="004F4248"/>
    <w:rsid w:val="005119AC"/>
    <w:rsid w:val="00516434"/>
    <w:rsid w:val="005166D8"/>
    <w:rsid w:val="00516831"/>
    <w:rsid w:val="00532702"/>
    <w:rsid w:val="00555003"/>
    <w:rsid w:val="005643EB"/>
    <w:rsid w:val="00564D13"/>
    <w:rsid w:val="005746BC"/>
    <w:rsid w:val="0057693F"/>
    <w:rsid w:val="005806D2"/>
    <w:rsid w:val="00581B31"/>
    <w:rsid w:val="0058354D"/>
    <w:rsid w:val="00584143"/>
    <w:rsid w:val="00584433"/>
    <w:rsid w:val="005C52B4"/>
    <w:rsid w:val="005D154B"/>
    <w:rsid w:val="005D1989"/>
    <w:rsid w:val="005D6914"/>
    <w:rsid w:val="005E5BB5"/>
    <w:rsid w:val="005E7DA7"/>
    <w:rsid w:val="005F3480"/>
    <w:rsid w:val="006053EE"/>
    <w:rsid w:val="00607004"/>
    <w:rsid w:val="00607B8C"/>
    <w:rsid w:val="00625518"/>
    <w:rsid w:val="00660B75"/>
    <w:rsid w:val="006653D3"/>
    <w:rsid w:val="00671E56"/>
    <w:rsid w:val="0067504C"/>
    <w:rsid w:val="006A09E5"/>
    <w:rsid w:val="006A7A73"/>
    <w:rsid w:val="006B6C20"/>
    <w:rsid w:val="006C004F"/>
    <w:rsid w:val="0070775F"/>
    <w:rsid w:val="00711E8A"/>
    <w:rsid w:val="00725F03"/>
    <w:rsid w:val="00727B3D"/>
    <w:rsid w:val="00744123"/>
    <w:rsid w:val="00747233"/>
    <w:rsid w:val="00747363"/>
    <w:rsid w:val="00750221"/>
    <w:rsid w:val="0079098D"/>
    <w:rsid w:val="007A48F9"/>
    <w:rsid w:val="007A56F9"/>
    <w:rsid w:val="007B7CCE"/>
    <w:rsid w:val="007C6F59"/>
    <w:rsid w:val="007D005F"/>
    <w:rsid w:val="007F6C30"/>
    <w:rsid w:val="00816735"/>
    <w:rsid w:val="008170A7"/>
    <w:rsid w:val="00855D92"/>
    <w:rsid w:val="008921E5"/>
    <w:rsid w:val="008939F1"/>
    <w:rsid w:val="008A4E42"/>
    <w:rsid w:val="008B558A"/>
    <w:rsid w:val="008D4B93"/>
    <w:rsid w:val="00906BF3"/>
    <w:rsid w:val="0090718B"/>
    <w:rsid w:val="00935409"/>
    <w:rsid w:val="00971B69"/>
    <w:rsid w:val="009D586E"/>
    <w:rsid w:val="009E17AA"/>
    <w:rsid w:val="009E7794"/>
    <w:rsid w:val="00A07824"/>
    <w:rsid w:val="00A2025F"/>
    <w:rsid w:val="00A46323"/>
    <w:rsid w:val="00A53F3C"/>
    <w:rsid w:val="00A57227"/>
    <w:rsid w:val="00A60860"/>
    <w:rsid w:val="00A7531F"/>
    <w:rsid w:val="00AA7FE6"/>
    <w:rsid w:val="00AB1BE6"/>
    <w:rsid w:val="00AC7C14"/>
    <w:rsid w:val="00AF321C"/>
    <w:rsid w:val="00AF70F1"/>
    <w:rsid w:val="00B03823"/>
    <w:rsid w:val="00B04AC7"/>
    <w:rsid w:val="00B32040"/>
    <w:rsid w:val="00B509D4"/>
    <w:rsid w:val="00B81F74"/>
    <w:rsid w:val="00B91002"/>
    <w:rsid w:val="00BA1B62"/>
    <w:rsid w:val="00BA78F7"/>
    <w:rsid w:val="00BB6563"/>
    <w:rsid w:val="00BB669E"/>
    <w:rsid w:val="00BE43F3"/>
    <w:rsid w:val="00C05974"/>
    <w:rsid w:val="00C1458B"/>
    <w:rsid w:val="00C14B5C"/>
    <w:rsid w:val="00C33A4E"/>
    <w:rsid w:val="00C50D23"/>
    <w:rsid w:val="00C5755E"/>
    <w:rsid w:val="00C77809"/>
    <w:rsid w:val="00C8454A"/>
    <w:rsid w:val="00C86729"/>
    <w:rsid w:val="00C8675F"/>
    <w:rsid w:val="00C926D3"/>
    <w:rsid w:val="00CA31A8"/>
    <w:rsid w:val="00CB4E66"/>
    <w:rsid w:val="00CB5495"/>
    <w:rsid w:val="00CB6D37"/>
    <w:rsid w:val="00CD15F0"/>
    <w:rsid w:val="00CE1ED1"/>
    <w:rsid w:val="00CE3EE7"/>
    <w:rsid w:val="00CE6495"/>
    <w:rsid w:val="00CF37EC"/>
    <w:rsid w:val="00D17ED9"/>
    <w:rsid w:val="00D23118"/>
    <w:rsid w:val="00D33B8E"/>
    <w:rsid w:val="00D452A7"/>
    <w:rsid w:val="00D47413"/>
    <w:rsid w:val="00D47BBD"/>
    <w:rsid w:val="00D47E42"/>
    <w:rsid w:val="00D919C4"/>
    <w:rsid w:val="00D97670"/>
    <w:rsid w:val="00DB657F"/>
    <w:rsid w:val="00DC3EC8"/>
    <w:rsid w:val="00DD50FA"/>
    <w:rsid w:val="00DE1F47"/>
    <w:rsid w:val="00DE56FF"/>
    <w:rsid w:val="00E07DD2"/>
    <w:rsid w:val="00E11A15"/>
    <w:rsid w:val="00E5624E"/>
    <w:rsid w:val="00E65B9F"/>
    <w:rsid w:val="00E8450F"/>
    <w:rsid w:val="00E93327"/>
    <w:rsid w:val="00EA3EFF"/>
    <w:rsid w:val="00EB2EDE"/>
    <w:rsid w:val="00EC1DEB"/>
    <w:rsid w:val="00EC4C36"/>
    <w:rsid w:val="00ED483F"/>
    <w:rsid w:val="00ED71BA"/>
    <w:rsid w:val="00ED73F0"/>
    <w:rsid w:val="00EE7CDD"/>
    <w:rsid w:val="00EF4C99"/>
    <w:rsid w:val="00EF50D7"/>
    <w:rsid w:val="00F3019B"/>
    <w:rsid w:val="00F30863"/>
    <w:rsid w:val="00F479BD"/>
    <w:rsid w:val="00F8668C"/>
    <w:rsid w:val="00FB1B0D"/>
    <w:rsid w:val="00FC2197"/>
    <w:rsid w:val="00FD4603"/>
    <w:rsid w:val="00FF0250"/>
    <w:rsid w:val="00FF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BBD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B7CCE"/>
    <w:rPr>
      <w:sz w:val="16"/>
      <w:szCs w:val="16"/>
    </w:rPr>
  </w:style>
  <w:style w:type="paragraph" w:styleId="a5">
    <w:name w:val="annotation text"/>
    <w:basedOn w:val="a"/>
    <w:semiHidden/>
    <w:rsid w:val="007B7CCE"/>
    <w:rPr>
      <w:sz w:val="20"/>
      <w:szCs w:val="20"/>
    </w:rPr>
  </w:style>
  <w:style w:type="paragraph" w:styleId="a6">
    <w:name w:val="annotation subject"/>
    <w:basedOn w:val="a5"/>
    <w:next w:val="a5"/>
    <w:semiHidden/>
    <w:rsid w:val="007B7CCE"/>
    <w:rPr>
      <w:b/>
      <w:bCs/>
    </w:rPr>
  </w:style>
  <w:style w:type="paragraph" w:styleId="a7">
    <w:name w:val="Normal Indent"/>
    <w:basedOn w:val="a"/>
    <w:rsid w:val="00461812"/>
    <w:pPr>
      <w:spacing w:after="120"/>
      <w:ind w:left="720"/>
    </w:pPr>
    <w:rPr>
      <w:sz w:val="22"/>
      <w:szCs w:val="20"/>
      <w:lang w:val="en-GB" w:eastAsia="en-GB"/>
    </w:rPr>
  </w:style>
  <w:style w:type="paragraph" w:customStyle="1" w:styleId="Default">
    <w:name w:val="Default"/>
    <w:rsid w:val="00461812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val="en-GB" w:eastAsia="en-GB"/>
    </w:rPr>
  </w:style>
  <w:style w:type="table" w:styleId="a8">
    <w:name w:val="Table Grid"/>
    <w:basedOn w:val="a1"/>
    <w:rsid w:val="0046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747233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747233"/>
    <w:pPr>
      <w:tabs>
        <w:tab w:val="center" w:pos="4153"/>
        <w:tab w:val="right" w:pos="8306"/>
      </w:tabs>
    </w:pPr>
  </w:style>
  <w:style w:type="paragraph" w:styleId="ab">
    <w:name w:val="List Paragraph"/>
    <w:basedOn w:val="a"/>
    <w:uiPriority w:val="34"/>
    <w:qFormat/>
    <w:rsid w:val="008939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6AC69-A62C-4A3D-9D0B-085D4B41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SUMMARY OF PRODUCT CHARACTERISTICS (SPC)</vt:lpstr>
      <vt:lpstr>SUMMARY OF PRODUCT CHARACTERISTICS (SPC)</vt:lpstr>
    </vt:vector>
  </TitlesOfParts>
  <Company>Hewlett-Packard Company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PRODUCT CHARACTERISTICS (SPC)</dc:title>
  <dc:creator>Maria Myroni</dc:creator>
  <cp:lastModifiedBy>user146</cp:lastModifiedBy>
  <cp:revision>4</cp:revision>
  <cp:lastPrinted>2010-10-08T12:18:00Z</cp:lastPrinted>
  <dcterms:created xsi:type="dcterms:W3CDTF">2013-11-29T07:52:00Z</dcterms:created>
  <dcterms:modified xsi:type="dcterms:W3CDTF">2014-01-27T09:05:00Z</dcterms:modified>
</cp:coreProperties>
</file>