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0C" w:rsidRPr="006730C1" w:rsidRDefault="008E130C">
      <w:pPr>
        <w:jc w:val="center"/>
        <w:rPr>
          <w:b/>
          <w:lang w:val="en-US"/>
        </w:rPr>
      </w:pPr>
      <w:bookmarkStart w:id="0" w:name="_GoBack"/>
      <w:bookmarkEnd w:id="0"/>
    </w:p>
    <w:p w:rsidR="008E130C" w:rsidRDefault="008E130C">
      <w:pPr>
        <w:jc w:val="center"/>
        <w:rPr>
          <w:b/>
        </w:rPr>
      </w:pPr>
    </w:p>
    <w:p w:rsidR="008B1027" w:rsidRDefault="008E130C" w:rsidP="0078351A">
      <w:pPr>
        <w:jc w:val="center"/>
        <w:rPr>
          <w:b/>
          <w:noProof/>
        </w:rPr>
      </w:pPr>
      <w:r>
        <w:rPr>
          <w:b/>
          <w:noProof/>
        </w:rPr>
        <w:t>ΠΕΡΙΛΗΨΗ ΤΩΝ ΧΑΡΑΚΤΗΡΙΣΤΙΚΩΝ ΤΟΥ ΠΡΟΪΟΝΤΟΣ</w:t>
      </w:r>
    </w:p>
    <w:p w:rsidR="00546E5F" w:rsidRPr="001957DB" w:rsidRDefault="00546E5F" w:rsidP="00D55FEA">
      <w:pPr>
        <w:numPr>
          <w:ilvl w:val="12"/>
          <w:numId w:val="0"/>
        </w:numPr>
        <w:jc w:val="right"/>
        <w:rPr>
          <w:b/>
          <w:bCs/>
          <w:noProof/>
          <w:color w:val="0000FF"/>
          <w:sz w:val="24"/>
          <w:szCs w:val="24"/>
        </w:rPr>
      </w:pPr>
    </w:p>
    <w:p w:rsidR="00E6399C" w:rsidRPr="001957DB" w:rsidRDefault="00E6399C" w:rsidP="00D55FEA">
      <w:pPr>
        <w:numPr>
          <w:ilvl w:val="12"/>
          <w:numId w:val="0"/>
        </w:numPr>
        <w:jc w:val="right"/>
        <w:rPr>
          <w:b/>
          <w:bCs/>
          <w:noProof/>
          <w:color w:val="0000FF"/>
          <w:sz w:val="24"/>
          <w:szCs w:val="24"/>
        </w:rPr>
      </w:pPr>
    </w:p>
    <w:p w:rsidR="00E6399C" w:rsidRPr="001957DB" w:rsidRDefault="00E6399C" w:rsidP="00D55FEA">
      <w:pPr>
        <w:numPr>
          <w:ilvl w:val="12"/>
          <w:numId w:val="0"/>
        </w:numPr>
        <w:jc w:val="right"/>
        <w:rPr>
          <w:b/>
          <w:bCs/>
          <w:noProof/>
          <w:color w:val="0000FF"/>
          <w:sz w:val="24"/>
          <w:szCs w:val="24"/>
        </w:rPr>
      </w:pPr>
    </w:p>
    <w:p w:rsidR="008E130C" w:rsidRPr="008B1027" w:rsidRDefault="008E130C" w:rsidP="0078351A">
      <w:pPr>
        <w:jc w:val="center"/>
        <w:rPr>
          <w:b/>
        </w:rPr>
      </w:pPr>
      <w:r>
        <w:rPr>
          <w:b/>
        </w:rPr>
        <w:t>1.</w:t>
      </w:r>
      <w:r>
        <w:rPr>
          <w:b/>
        </w:rPr>
        <w:tab/>
        <w:t>ΟΝΟΜΑΣΙΑ ΤΟΥ ΦΑΡΜΑΚΕΥΤΙΚΟΥ ΠΡΟΪΟΝΤΟΣ</w:t>
      </w:r>
    </w:p>
    <w:p w:rsidR="008E130C" w:rsidRDefault="008E130C"/>
    <w:p w:rsidR="004430A2" w:rsidRPr="00ED381E" w:rsidRDefault="004430A2" w:rsidP="004430A2">
      <w:pPr>
        <w:spacing w:before="120"/>
        <w:rPr>
          <w:sz w:val="24"/>
          <w:szCs w:val="24"/>
        </w:rPr>
      </w:pPr>
      <w:r w:rsidRPr="004430A2">
        <w:t xml:space="preserve"> </w:t>
      </w:r>
      <w:bookmarkStart w:id="1" w:name="_Toc23134199"/>
      <w:r w:rsidR="006730C1">
        <w:rPr>
          <w:sz w:val="24"/>
          <w:szCs w:val="24"/>
          <w:lang w:val="en-GB"/>
        </w:rPr>
        <w:t>V</w:t>
      </w:r>
      <w:r w:rsidRPr="00091F04">
        <w:rPr>
          <w:sz w:val="24"/>
          <w:szCs w:val="24"/>
          <w:lang w:val="en-GB"/>
        </w:rPr>
        <w:t>oltaflex</w:t>
      </w:r>
      <w:r w:rsidRPr="00ED381E">
        <w:rPr>
          <w:sz w:val="24"/>
          <w:szCs w:val="24"/>
        </w:rPr>
        <w:t xml:space="preserve">  </w:t>
      </w:r>
      <w:r w:rsidR="006730C1">
        <w:rPr>
          <w:sz w:val="24"/>
          <w:szCs w:val="24"/>
          <w:lang w:val="en-GB"/>
        </w:rPr>
        <w:t>glucosamine</w:t>
      </w:r>
      <w:r w:rsidR="006730C1" w:rsidRPr="00ED381E">
        <w:rPr>
          <w:sz w:val="24"/>
          <w:szCs w:val="24"/>
        </w:rPr>
        <w:t xml:space="preserve"> </w:t>
      </w:r>
      <w:r w:rsidRPr="00ED381E">
        <w:rPr>
          <w:sz w:val="24"/>
          <w:szCs w:val="24"/>
        </w:rPr>
        <w:t xml:space="preserve"> </w:t>
      </w:r>
      <w:r w:rsidRPr="008D50ED">
        <w:rPr>
          <w:sz w:val="24"/>
          <w:szCs w:val="24"/>
        </w:rPr>
        <w:t xml:space="preserve"> </w:t>
      </w:r>
      <w:r w:rsidR="00ED381E" w:rsidRPr="00ED381E">
        <w:rPr>
          <w:sz w:val="24"/>
          <w:szCs w:val="24"/>
        </w:rPr>
        <w:t xml:space="preserve"> </w:t>
      </w:r>
    </w:p>
    <w:p w:rsidR="004430A2" w:rsidRPr="008D50ED" w:rsidRDefault="004430A2" w:rsidP="004430A2">
      <w:pPr>
        <w:spacing w:before="120"/>
        <w:rPr>
          <w:sz w:val="24"/>
          <w:szCs w:val="24"/>
        </w:rPr>
      </w:pPr>
      <w:r w:rsidRPr="008D50ED">
        <w:rPr>
          <w:sz w:val="24"/>
          <w:szCs w:val="24"/>
        </w:rPr>
        <w:t xml:space="preserve"> </w:t>
      </w:r>
      <w:r w:rsidR="00ED381E"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πικαλυμμένα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λεπτό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υμένιο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δισκία</w:t>
      </w:r>
    </w:p>
    <w:bookmarkEnd w:id="1"/>
    <w:p w:rsidR="008E130C" w:rsidRPr="004430A2" w:rsidRDefault="008E130C"/>
    <w:p w:rsidR="008E130C" w:rsidRDefault="008E130C"/>
    <w:p w:rsidR="008E130C" w:rsidRDefault="008E130C">
      <w:r>
        <w:rPr>
          <w:b/>
        </w:rPr>
        <w:t>2.</w:t>
      </w:r>
      <w:r>
        <w:rPr>
          <w:b/>
        </w:rPr>
        <w:tab/>
        <w:t>ΠΟΙΟΤΙΚΗ ΚΑΙ ΠΟΣΟΤΙΚΗ ΣΥΝΘΕΣΗ</w:t>
      </w:r>
    </w:p>
    <w:p w:rsidR="008E130C" w:rsidRPr="001957DB" w:rsidRDefault="008E130C"/>
    <w:p w:rsidR="004430A2" w:rsidRPr="00ED381E" w:rsidRDefault="004430A2" w:rsidP="004430A2">
      <w:pPr>
        <w:pStyle w:val="a7"/>
        <w:spacing w:before="120"/>
        <w:ind w:left="0"/>
        <w:rPr>
          <w:lang w:val="el-GR"/>
        </w:rPr>
      </w:pPr>
      <w:r>
        <w:rPr>
          <w:lang w:val="el-GR"/>
        </w:rPr>
        <w:t>Κάθε</w:t>
      </w:r>
      <w:r w:rsidRPr="008D50ED">
        <w:rPr>
          <w:lang w:val="el-GR"/>
        </w:rPr>
        <w:t xml:space="preserve"> </w:t>
      </w:r>
      <w:r>
        <w:rPr>
          <w:lang w:val="el-GR"/>
        </w:rPr>
        <w:t>επικαλυμμένο</w:t>
      </w:r>
      <w:r w:rsidRPr="008D50ED">
        <w:rPr>
          <w:lang w:val="el-GR"/>
        </w:rPr>
        <w:t xml:space="preserve"> </w:t>
      </w:r>
      <w:r>
        <w:rPr>
          <w:lang w:val="el-GR"/>
        </w:rPr>
        <w:t>με</w:t>
      </w:r>
      <w:r w:rsidRPr="008D50ED">
        <w:rPr>
          <w:lang w:val="el-GR"/>
        </w:rPr>
        <w:t xml:space="preserve"> </w:t>
      </w:r>
      <w:r>
        <w:rPr>
          <w:lang w:val="el-GR"/>
        </w:rPr>
        <w:t>λεπτό</w:t>
      </w:r>
      <w:r w:rsidRPr="008D50ED">
        <w:rPr>
          <w:lang w:val="el-GR"/>
        </w:rPr>
        <w:t xml:space="preserve"> </w:t>
      </w:r>
      <w:r>
        <w:rPr>
          <w:lang w:val="el-GR"/>
        </w:rPr>
        <w:t>υμένιο</w:t>
      </w:r>
      <w:r w:rsidRPr="008D50ED">
        <w:rPr>
          <w:lang w:val="el-GR"/>
        </w:rPr>
        <w:t xml:space="preserve"> </w:t>
      </w:r>
      <w:r>
        <w:rPr>
          <w:lang w:val="el-GR"/>
        </w:rPr>
        <w:t>δισκίο</w:t>
      </w:r>
      <w:r w:rsidRPr="008D50ED">
        <w:rPr>
          <w:lang w:val="el-GR"/>
        </w:rPr>
        <w:t xml:space="preserve"> </w:t>
      </w:r>
      <w:r>
        <w:rPr>
          <w:lang w:val="el-GR"/>
        </w:rPr>
        <w:t>περιέχει</w:t>
      </w:r>
      <w:r w:rsidRPr="008D50ED">
        <w:rPr>
          <w:lang w:val="el-GR"/>
        </w:rPr>
        <w:t xml:space="preserve"> 625 </w:t>
      </w:r>
      <w:r w:rsidRPr="00091F04">
        <w:t>mg</w:t>
      </w:r>
      <w:r w:rsidRPr="008D50ED">
        <w:rPr>
          <w:lang w:val="el-GR"/>
        </w:rPr>
        <w:t xml:space="preserve"> </w:t>
      </w:r>
      <w:r>
        <w:rPr>
          <w:lang w:val="el-GR"/>
        </w:rPr>
        <w:t>γλυκοζαμίνης</w:t>
      </w:r>
      <w:r w:rsidRPr="008D50ED">
        <w:rPr>
          <w:lang w:val="el-GR"/>
        </w:rPr>
        <w:t xml:space="preserve"> (</w:t>
      </w:r>
      <w:r>
        <w:rPr>
          <w:lang w:val="el-GR"/>
        </w:rPr>
        <w:t>ως</w:t>
      </w:r>
      <w:r w:rsidR="00ED381E" w:rsidRPr="00ED381E">
        <w:rPr>
          <w:lang w:val="el-GR"/>
        </w:rPr>
        <w:t xml:space="preserve"> 750 </w:t>
      </w:r>
      <w:r w:rsidR="00ED381E">
        <w:rPr>
          <w:lang w:val="en-US"/>
        </w:rPr>
        <w:t>mg</w:t>
      </w:r>
      <w:r w:rsidRPr="008D50ED">
        <w:rPr>
          <w:lang w:val="el-GR"/>
        </w:rPr>
        <w:t xml:space="preserve"> </w:t>
      </w:r>
      <w:r>
        <w:rPr>
          <w:lang w:val="el-GR"/>
        </w:rPr>
        <w:t>υδροχλωρική</w:t>
      </w:r>
      <w:r w:rsidRPr="008D50ED">
        <w:rPr>
          <w:lang w:val="el-GR"/>
        </w:rPr>
        <w:t xml:space="preserve"> </w:t>
      </w:r>
      <w:r>
        <w:rPr>
          <w:lang w:val="el-GR"/>
        </w:rPr>
        <w:t>γλυκοζαμίνη</w:t>
      </w:r>
      <w:r w:rsidRPr="008D50ED">
        <w:rPr>
          <w:lang w:val="el-GR"/>
        </w:rPr>
        <w:t>).</w:t>
      </w:r>
    </w:p>
    <w:p w:rsidR="00FC46DE" w:rsidRPr="00ED381E" w:rsidRDefault="00FC46DE" w:rsidP="004430A2">
      <w:pPr>
        <w:pStyle w:val="a7"/>
        <w:spacing w:before="120"/>
        <w:ind w:left="0"/>
        <w:rPr>
          <w:lang w:val="el-GR"/>
        </w:rPr>
      </w:pPr>
      <w:r>
        <w:rPr>
          <w:lang w:val="el-GR"/>
        </w:rPr>
        <w:t>Έκδοχα</w:t>
      </w:r>
      <w:r w:rsidRPr="00ED381E">
        <w:rPr>
          <w:lang w:val="el-GR"/>
        </w:rPr>
        <w:t xml:space="preserve"> :</w:t>
      </w:r>
      <w:r>
        <w:t>sunset</w:t>
      </w:r>
      <w:r w:rsidRPr="00ED381E">
        <w:rPr>
          <w:lang w:val="el-GR"/>
        </w:rPr>
        <w:t xml:space="preserve"> </w:t>
      </w:r>
      <w:r>
        <w:t>yellow</w:t>
      </w:r>
      <w:r w:rsidRPr="00ED381E">
        <w:rPr>
          <w:lang w:val="el-GR"/>
        </w:rPr>
        <w:t xml:space="preserve"> </w:t>
      </w:r>
      <w:r>
        <w:t>FCF</w:t>
      </w:r>
      <w:r w:rsidR="00ED381E" w:rsidRPr="00ED381E">
        <w:rPr>
          <w:lang w:val="el-GR"/>
        </w:rPr>
        <w:t xml:space="preserve"> </w:t>
      </w:r>
      <w:r w:rsidR="00ED381E">
        <w:t>aluminium</w:t>
      </w:r>
      <w:r w:rsidR="00ED381E" w:rsidRPr="00ED381E">
        <w:rPr>
          <w:lang w:val="el-GR"/>
        </w:rPr>
        <w:t xml:space="preserve"> </w:t>
      </w:r>
      <w:r w:rsidR="00ED381E">
        <w:t>lake</w:t>
      </w:r>
      <w:r w:rsidR="00ED381E" w:rsidRPr="00ED381E">
        <w:rPr>
          <w:lang w:val="el-GR"/>
        </w:rPr>
        <w:t xml:space="preserve"> (</w:t>
      </w:r>
      <w:r w:rsidR="00ED381E">
        <w:t>E</w:t>
      </w:r>
      <w:r w:rsidR="00ED381E" w:rsidRPr="00ED381E">
        <w:rPr>
          <w:lang w:val="el-GR"/>
        </w:rPr>
        <w:t xml:space="preserve">110)  </w:t>
      </w:r>
      <w:r w:rsidRPr="00ED381E">
        <w:rPr>
          <w:lang w:val="el-GR"/>
        </w:rPr>
        <w:t>0,1</w:t>
      </w:r>
      <w:r>
        <w:t>mg</w:t>
      </w:r>
    </w:p>
    <w:p w:rsidR="00FC46DE" w:rsidRPr="001957DB" w:rsidRDefault="00FC46DE" w:rsidP="004430A2">
      <w:pPr>
        <w:pStyle w:val="a7"/>
        <w:spacing w:before="120"/>
        <w:ind w:left="0"/>
        <w:rPr>
          <w:lang w:val="el-GR"/>
        </w:rPr>
      </w:pPr>
      <w:r>
        <w:t>Lecithin</w:t>
      </w:r>
      <w:r w:rsidRPr="001957DB">
        <w:rPr>
          <w:lang w:val="el-GR"/>
        </w:rPr>
        <w:t xml:space="preserve"> (</w:t>
      </w:r>
      <w:r>
        <w:t>soya</w:t>
      </w:r>
      <w:r w:rsidRPr="001957DB">
        <w:rPr>
          <w:lang w:val="el-GR"/>
        </w:rPr>
        <w:t>) (</w:t>
      </w:r>
      <w:r>
        <w:t>E</w:t>
      </w:r>
      <w:r w:rsidRPr="001957DB">
        <w:rPr>
          <w:lang w:val="el-GR"/>
        </w:rPr>
        <w:t xml:space="preserve">322) 1,1 </w:t>
      </w:r>
      <w:r>
        <w:t>mg</w:t>
      </w:r>
    </w:p>
    <w:p w:rsidR="004430A2" w:rsidRPr="008D50ED" w:rsidRDefault="004430A2" w:rsidP="004430A2">
      <w:pPr>
        <w:pStyle w:val="a7"/>
        <w:spacing w:before="120"/>
        <w:ind w:left="0"/>
        <w:rPr>
          <w:lang w:val="el-GR"/>
        </w:rPr>
      </w:pPr>
      <w:bookmarkStart w:id="2" w:name="_Toc23134200"/>
      <w:r>
        <w:rPr>
          <w:lang w:val="el-GR"/>
        </w:rPr>
        <w:t>Για</w:t>
      </w:r>
      <w:r w:rsidRPr="008D50ED">
        <w:rPr>
          <w:lang w:val="el-GR"/>
        </w:rPr>
        <w:t xml:space="preserve"> </w:t>
      </w:r>
      <w:r>
        <w:rPr>
          <w:lang w:val="el-GR"/>
        </w:rPr>
        <w:t>τον</w:t>
      </w:r>
      <w:r w:rsidRPr="008D50ED">
        <w:rPr>
          <w:lang w:val="el-GR"/>
        </w:rPr>
        <w:t xml:space="preserve"> </w:t>
      </w:r>
      <w:r>
        <w:rPr>
          <w:lang w:val="el-GR"/>
        </w:rPr>
        <w:t>πλήρη</w:t>
      </w:r>
      <w:r w:rsidRPr="008D50ED">
        <w:rPr>
          <w:lang w:val="el-GR"/>
        </w:rPr>
        <w:t xml:space="preserve"> </w:t>
      </w:r>
      <w:r>
        <w:rPr>
          <w:lang w:val="el-GR"/>
        </w:rPr>
        <w:t>κατάλογο</w:t>
      </w:r>
      <w:r w:rsidRPr="008D50ED">
        <w:rPr>
          <w:lang w:val="el-GR"/>
        </w:rPr>
        <w:t xml:space="preserve"> </w:t>
      </w:r>
      <w:r>
        <w:rPr>
          <w:lang w:val="el-GR"/>
        </w:rPr>
        <w:t>των</w:t>
      </w:r>
      <w:r w:rsidRPr="008D50ED">
        <w:rPr>
          <w:lang w:val="el-GR"/>
        </w:rPr>
        <w:t xml:space="preserve"> </w:t>
      </w:r>
      <w:r>
        <w:rPr>
          <w:lang w:val="el-GR"/>
        </w:rPr>
        <w:t>εκδόχων</w:t>
      </w:r>
      <w:r w:rsidRPr="008D50ED">
        <w:rPr>
          <w:lang w:val="el-GR"/>
        </w:rPr>
        <w:t xml:space="preserve">, </w:t>
      </w:r>
      <w:r>
        <w:rPr>
          <w:lang w:val="el-GR"/>
        </w:rPr>
        <w:t>βλ</w:t>
      </w:r>
      <w:r w:rsidRPr="008D50ED">
        <w:rPr>
          <w:lang w:val="el-GR"/>
        </w:rPr>
        <w:t xml:space="preserve">. </w:t>
      </w:r>
      <w:r>
        <w:rPr>
          <w:lang w:val="el-GR"/>
        </w:rPr>
        <w:t>παράγραφο</w:t>
      </w:r>
      <w:r w:rsidRPr="008D50ED">
        <w:rPr>
          <w:lang w:val="el-GR"/>
        </w:rPr>
        <w:t xml:space="preserve"> 6.1.</w:t>
      </w:r>
    </w:p>
    <w:bookmarkEnd w:id="2"/>
    <w:p w:rsidR="008E130C" w:rsidRPr="00FC46DE" w:rsidRDefault="004430A2">
      <w:r w:rsidRPr="00FC46DE">
        <w:t xml:space="preserve"> </w:t>
      </w:r>
    </w:p>
    <w:p w:rsidR="008E130C" w:rsidRDefault="008E130C"/>
    <w:p w:rsidR="008E130C" w:rsidRDefault="008E130C">
      <w:r>
        <w:rPr>
          <w:b/>
        </w:rPr>
        <w:t>3.</w:t>
      </w:r>
      <w:r>
        <w:rPr>
          <w:b/>
        </w:rPr>
        <w:tab/>
        <w:t>ΦΑΡΜΑΚΟΤΕΧΝΙΚΗ ΜΟΡΦΗ</w:t>
      </w:r>
    </w:p>
    <w:p w:rsidR="004430A2" w:rsidRPr="008D50ED" w:rsidRDefault="004430A2" w:rsidP="004430A2">
      <w:pPr>
        <w:pStyle w:val="a7"/>
        <w:spacing w:before="120"/>
        <w:ind w:left="0"/>
        <w:rPr>
          <w:lang w:val="el-GR"/>
        </w:rPr>
      </w:pPr>
      <w:r>
        <w:rPr>
          <w:lang w:val="el-GR"/>
        </w:rPr>
        <w:t>Επικαλυμμένο</w:t>
      </w:r>
      <w:r w:rsidRPr="008D50ED">
        <w:rPr>
          <w:lang w:val="el-GR"/>
        </w:rPr>
        <w:t xml:space="preserve"> </w:t>
      </w:r>
      <w:r>
        <w:rPr>
          <w:lang w:val="el-GR"/>
        </w:rPr>
        <w:t>με</w:t>
      </w:r>
      <w:r w:rsidRPr="008D50ED">
        <w:rPr>
          <w:lang w:val="el-GR"/>
        </w:rPr>
        <w:t xml:space="preserve"> </w:t>
      </w:r>
      <w:r>
        <w:rPr>
          <w:lang w:val="el-GR"/>
        </w:rPr>
        <w:t>λεπτό</w:t>
      </w:r>
      <w:r w:rsidRPr="008D50ED">
        <w:rPr>
          <w:lang w:val="el-GR"/>
        </w:rPr>
        <w:t xml:space="preserve"> </w:t>
      </w:r>
      <w:r>
        <w:rPr>
          <w:lang w:val="el-GR"/>
        </w:rPr>
        <w:t>υμένιο</w:t>
      </w:r>
      <w:r w:rsidRPr="008D50ED">
        <w:rPr>
          <w:lang w:val="el-GR"/>
        </w:rPr>
        <w:t xml:space="preserve"> </w:t>
      </w:r>
      <w:r>
        <w:rPr>
          <w:lang w:val="el-GR"/>
        </w:rPr>
        <w:t>δισκίο</w:t>
      </w:r>
      <w:r w:rsidRPr="008D50ED">
        <w:rPr>
          <w:lang w:val="el-GR"/>
        </w:rPr>
        <w:t>.</w:t>
      </w:r>
    </w:p>
    <w:p w:rsidR="004430A2" w:rsidRPr="008D50ED" w:rsidRDefault="004430A2" w:rsidP="00FC46DE">
      <w:pPr>
        <w:pStyle w:val="a7"/>
        <w:spacing w:before="120"/>
        <w:ind w:left="0"/>
        <w:rPr>
          <w:lang w:val="el-GR"/>
        </w:rPr>
      </w:pPr>
      <w:bookmarkStart w:id="3" w:name="_Toc23134202"/>
      <w:bookmarkStart w:id="4" w:name="_Toc23134201"/>
      <w:r>
        <w:rPr>
          <w:lang w:val="el-GR"/>
        </w:rPr>
        <w:t>Το</w:t>
      </w:r>
      <w:r w:rsidRPr="008D50ED">
        <w:rPr>
          <w:lang w:val="el-GR"/>
        </w:rPr>
        <w:t xml:space="preserve"> </w:t>
      </w:r>
      <w:r>
        <w:rPr>
          <w:lang w:val="el-GR"/>
        </w:rPr>
        <w:t>δισκίο</w:t>
      </w:r>
      <w:r w:rsidRPr="008D50ED">
        <w:rPr>
          <w:lang w:val="el-GR"/>
        </w:rPr>
        <w:t xml:space="preserve"> </w:t>
      </w:r>
      <w:r>
        <w:rPr>
          <w:lang w:val="el-GR"/>
        </w:rPr>
        <w:t>είναι</w:t>
      </w:r>
      <w:r w:rsidRPr="008D50ED">
        <w:rPr>
          <w:lang w:val="el-GR"/>
        </w:rPr>
        <w:t xml:space="preserve"> </w:t>
      </w:r>
      <w:r>
        <w:rPr>
          <w:lang w:val="el-GR"/>
        </w:rPr>
        <w:t>κίτρινο</w:t>
      </w:r>
      <w:r w:rsidRPr="008D50ED">
        <w:rPr>
          <w:lang w:val="el-GR"/>
        </w:rPr>
        <w:t xml:space="preserve">, </w:t>
      </w:r>
      <w:r>
        <w:rPr>
          <w:lang w:val="el-GR"/>
        </w:rPr>
        <w:t>επίμηκες</w:t>
      </w:r>
      <w:r w:rsidRPr="008D50ED">
        <w:rPr>
          <w:lang w:val="el-GR"/>
        </w:rPr>
        <w:t xml:space="preserve"> </w:t>
      </w:r>
      <w:r w:rsidR="00FC46DE">
        <w:rPr>
          <w:lang w:val="el-GR"/>
        </w:rPr>
        <w:t xml:space="preserve"> </w:t>
      </w:r>
      <w:r>
        <w:rPr>
          <w:lang w:val="el-GR"/>
        </w:rPr>
        <w:t>και</w:t>
      </w:r>
      <w:r w:rsidRPr="008D50ED">
        <w:rPr>
          <w:lang w:val="el-GR"/>
        </w:rPr>
        <w:t xml:space="preserve"> </w:t>
      </w:r>
      <w:r>
        <w:rPr>
          <w:lang w:val="el-GR"/>
        </w:rPr>
        <w:t>με</w:t>
      </w:r>
      <w:r w:rsidR="00FC46DE">
        <w:rPr>
          <w:lang w:val="el-GR"/>
        </w:rPr>
        <w:t xml:space="preserve"> ανάγλυφο</w:t>
      </w:r>
      <w:r w:rsidRPr="008D50ED">
        <w:rPr>
          <w:lang w:val="el-GR"/>
        </w:rPr>
        <w:t xml:space="preserve"> </w:t>
      </w:r>
      <w:r>
        <w:rPr>
          <w:lang w:val="el-GR"/>
        </w:rPr>
        <w:t>το</w:t>
      </w:r>
      <w:r w:rsidRPr="008D50ED">
        <w:rPr>
          <w:lang w:val="el-GR"/>
        </w:rPr>
        <w:t xml:space="preserve"> </w:t>
      </w:r>
      <w:r>
        <w:rPr>
          <w:lang w:val="el-GR"/>
        </w:rPr>
        <w:t>γράμμα</w:t>
      </w:r>
      <w:r w:rsidRPr="008D50ED">
        <w:rPr>
          <w:lang w:val="el-GR"/>
        </w:rPr>
        <w:t xml:space="preserve"> </w:t>
      </w:r>
      <w:r w:rsidRPr="00D905F3">
        <w:t>V</w:t>
      </w:r>
      <w:r w:rsidRPr="008D50ED">
        <w:rPr>
          <w:lang w:val="el-GR"/>
        </w:rPr>
        <w:t>.</w:t>
      </w:r>
    </w:p>
    <w:bookmarkEnd w:id="3"/>
    <w:bookmarkEnd w:id="4"/>
    <w:p w:rsidR="008E130C" w:rsidRPr="00FC46DE" w:rsidRDefault="008E130C"/>
    <w:p w:rsidR="008E130C" w:rsidRPr="00FC46DE" w:rsidRDefault="008E130C"/>
    <w:p w:rsidR="008E130C" w:rsidRDefault="008E130C">
      <w:r>
        <w:rPr>
          <w:b/>
        </w:rPr>
        <w:t>4.</w:t>
      </w:r>
      <w:r>
        <w:rPr>
          <w:b/>
        </w:rPr>
        <w:tab/>
        <w:t>ΚΛΙΝΙΚΕΣ ΠΛΗΡΟΦΟΡΙΕΣ</w:t>
      </w:r>
    </w:p>
    <w:p w:rsidR="008E130C" w:rsidRDefault="008E130C"/>
    <w:p w:rsidR="008E130C" w:rsidRDefault="008E130C">
      <w:r>
        <w:rPr>
          <w:b/>
        </w:rPr>
        <w:t>4.1</w:t>
      </w:r>
      <w:r>
        <w:rPr>
          <w:b/>
        </w:rPr>
        <w:tab/>
        <w:t>Θεραπευτικές ενδείξεις</w:t>
      </w:r>
    </w:p>
    <w:p w:rsidR="008E130C" w:rsidRDefault="008E130C"/>
    <w:p w:rsidR="008E130C" w:rsidRPr="00367D9E" w:rsidRDefault="004430A2" w:rsidP="004430A2">
      <w:pPr>
        <w:rPr>
          <w:sz w:val="24"/>
          <w:szCs w:val="24"/>
        </w:rPr>
      </w:pPr>
      <w:r w:rsidRPr="00367D9E">
        <w:rPr>
          <w:sz w:val="24"/>
          <w:szCs w:val="24"/>
        </w:rPr>
        <w:t xml:space="preserve">Ανακούφιση των συμπτωμάτων οστεοαρθρίτιδας ήπιας έως μέτριας βαρύτητας στο γόνατο </w:t>
      </w:r>
    </w:p>
    <w:p w:rsidR="008E130C" w:rsidRPr="00367D9E" w:rsidRDefault="008E130C">
      <w:pPr>
        <w:rPr>
          <w:sz w:val="24"/>
          <w:szCs w:val="24"/>
        </w:rPr>
      </w:pPr>
    </w:p>
    <w:p w:rsidR="008E130C" w:rsidRDefault="008E130C">
      <w:r>
        <w:rPr>
          <w:b/>
        </w:rPr>
        <w:t>4.2</w:t>
      </w:r>
      <w:r>
        <w:rPr>
          <w:b/>
        </w:rPr>
        <w:tab/>
        <w:t>Δοσολογία και τρόπος χορήγησης</w:t>
      </w:r>
    </w:p>
    <w:p w:rsidR="008E130C" w:rsidRDefault="008E130C"/>
    <w:p w:rsidR="009F00FD" w:rsidRPr="008D50ED" w:rsidRDefault="00FC46DE" w:rsidP="00FC46DE">
      <w:pPr>
        <w:pStyle w:val="a7"/>
        <w:spacing w:line="280" w:lineRule="auto"/>
        <w:ind w:left="0"/>
        <w:rPr>
          <w:strike/>
          <w:lang w:val="el-GR"/>
        </w:rPr>
      </w:pPr>
      <w:r>
        <w:rPr>
          <w:lang w:val="el-GR"/>
        </w:rPr>
        <w:t xml:space="preserve"> </w:t>
      </w:r>
      <w:r w:rsidR="009F00FD" w:rsidRPr="008D50ED">
        <w:rPr>
          <w:lang w:val="el-GR"/>
        </w:rPr>
        <w:t xml:space="preserve">1250 </w:t>
      </w:r>
      <w:r w:rsidR="009F00FD" w:rsidRPr="00A77FED">
        <w:t>mg</w:t>
      </w:r>
      <w:r w:rsidR="009F00FD" w:rsidRPr="008D50ED">
        <w:rPr>
          <w:lang w:val="el-GR"/>
        </w:rPr>
        <w:t xml:space="preserve"> </w:t>
      </w:r>
      <w:r w:rsidR="009F00FD">
        <w:rPr>
          <w:lang w:val="el-GR"/>
        </w:rPr>
        <w:t>γλυκοζαμίνης</w:t>
      </w:r>
      <w:r>
        <w:rPr>
          <w:lang w:val="el-GR"/>
        </w:rPr>
        <w:t xml:space="preserve"> </w:t>
      </w:r>
      <w:r w:rsidR="009F00FD">
        <w:rPr>
          <w:lang w:val="el-GR"/>
        </w:rPr>
        <w:t>άπαξ</w:t>
      </w:r>
      <w:r w:rsidR="009F00FD" w:rsidRPr="008D50ED">
        <w:rPr>
          <w:lang w:val="el-GR"/>
        </w:rPr>
        <w:t xml:space="preserve"> </w:t>
      </w:r>
      <w:r w:rsidR="009F00FD">
        <w:rPr>
          <w:lang w:val="el-GR"/>
        </w:rPr>
        <w:t>ημερησίως</w:t>
      </w:r>
      <w:r w:rsidR="009F00FD" w:rsidRPr="008D50ED">
        <w:rPr>
          <w:lang w:val="el-GR"/>
        </w:rPr>
        <w:t xml:space="preserve"> </w:t>
      </w:r>
      <w:r w:rsidR="009F00FD">
        <w:rPr>
          <w:lang w:val="el-GR"/>
        </w:rPr>
        <w:t>για</w:t>
      </w:r>
      <w:r w:rsidR="009F00FD" w:rsidRPr="008D50ED">
        <w:rPr>
          <w:lang w:val="el-GR"/>
        </w:rPr>
        <w:t xml:space="preserve"> </w:t>
      </w:r>
      <w:r w:rsidR="009F00FD">
        <w:rPr>
          <w:lang w:val="el-GR"/>
        </w:rPr>
        <w:t>ανακούφιση</w:t>
      </w:r>
      <w:r w:rsidR="009F00FD" w:rsidRPr="008D50ED">
        <w:rPr>
          <w:lang w:val="el-GR"/>
        </w:rPr>
        <w:t xml:space="preserve"> </w:t>
      </w:r>
      <w:r w:rsidR="009F00FD">
        <w:rPr>
          <w:lang w:val="el-GR"/>
        </w:rPr>
        <w:t>των</w:t>
      </w:r>
      <w:r w:rsidR="009F00FD" w:rsidRPr="008D50ED">
        <w:rPr>
          <w:lang w:val="el-GR"/>
        </w:rPr>
        <w:t xml:space="preserve"> </w:t>
      </w:r>
      <w:r w:rsidR="009F00FD">
        <w:rPr>
          <w:lang w:val="el-GR"/>
        </w:rPr>
        <w:t>συμπτωμάτων</w:t>
      </w:r>
      <w:r w:rsidR="009F00FD" w:rsidRPr="008D50ED">
        <w:rPr>
          <w:lang w:val="el-GR"/>
        </w:rPr>
        <w:t>.</w:t>
      </w:r>
    </w:p>
    <w:p w:rsidR="009F00FD" w:rsidRPr="008D50ED" w:rsidRDefault="009F00FD" w:rsidP="009F00FD">
      <w:pPr>
        <w:spacing w:line="280" w:lineRule="auto"/>
      </w:pPr>
      <w:r>
        <w:rPr>
          <w:sz w:val="24"/>
          <w:szCs w:val="24"/>
        </w:rPr>
        <w:t>Η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γλυκοζαμίνη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ενδείκνυται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αντιμετώπιση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οξέων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επώδυνων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συμπτωμάτων</w:t>
      </w:r>
      <w:r w:rsidRPr="008D50ED">
        <w:rPr>
          <w:sz w:val="24"/>
          <w:szCs w:val="24"/>
        </w:rPr>
        <w:t xml:space="preserve">. </w:t>
      </w:r>
      <w:r>
        <w:rPr>
          <w:sz w:val="24"/>
          <w:szCs w:val="24"/>
        </w:rPr>
        <w:t>Η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ανακούφιση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των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συμπτωμάτων</w:t>
      </w:r>
      <w:r w:rsidRPr="008D50ED">
        <w:rPr>
          <w:sz w:val="24"/>
          <w:szCs w:val="24"/>
        </w:rPr>
        <w:t xml:space="preserve"> (</w:t>
      </w:r>
      <w:r>
        <w:rPr>
          <w:sz w:val="24"/>
          <w:szCs w:val="24"/>
        </w:rPr>
        <w:t>κυρίως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άλγους</w:t>
      </w:r>
      <w:r w:rsidRPr="008D50ED">
        <w:rPr>
          <w:sz w:val="24"/>
          <w:szCs w:val="24"/>
        </w:rPr>
        <w:t xml:space="preserve">) </w:t>
      </w:r>
      <w:r>
        <w:rPr>
          <w:sz w:val="24"/>
          <w:szCs w:val="24"/>
        </w:rPr>
        <w:t>εκδηλώνεται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αρκετές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εβδομάδες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μετά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θεραπεία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ακόμη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αργότερα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μερικές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περιπτώσεις</w:t>
      </w:r>
      <w:r w:rsidRPr="008D50ED">
        <w:rPr>
          <w:sz w:val="24"/>
          <w:szCs w:val="24"/>
        </w:rPr>
        <w:t xml:space="preserve">. </w:t>
      </w:r>
      <w:r>
        <w:rPr>
          <w:sz w:val="24"/>
          <w:szCs w:val="24"/>
        </w:rPr>
        <w:t>Εάν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συμπτώματα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ανακουφιστούν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μετά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 w:rsidRPr="008D50ED">
        <w:rPr>
          <w:sz w:val="24"/>
          <w:szCs w:val="24"/>
        </w:rPr>
        <w:t xml:space="preserve"> 2-3 </w:t>
      </w:r>
      <w:r>
        <w:rPr>
          <w:sz w:val="24"/>
          <w:szCs w:val="24"/>
        </w:rPr>
        <w:t>μήνες</w:t>
      </w:r>
      <w:r w:rsidRPr="008D50ED">
        <w:rPr>
          <w:sz w:val="24"/>
          <w:szCs w:val="24"/>
        </w:rPr>
        <w:t xml:space="preserve">, </w:t>
      </w:r>
      <w:r>
        <w:rPr>
          <w:sz w:val="24"/>
          <w:szCs w:val="24"/>
        </w:rPr>
        <w:t>θα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πρέπει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επανεκτιμηθεί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συνέχιση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χορήγησης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γλυκοζαμίνης</w:t>
      </w:r>
      <w:r w:rsidRPr="008D50ED">
        <w:rPr>
          <w:sz w:val="24"/>
          <w:szCs w:val="24"/>
        </w:rPr>
        <w:t>.</w:t>
      </w:r>
    </w:p>
    <w:p w:rsidR="009F00FD" w:rsidRPr="008D50ED" w:rsidRDefault="009F00FD" w:rsidP="00FC46DE">
      <w:pPr>
        <w:spacing w:line="280" w:lineRule="auto"/>
      </w:pPr>
      <w:r>
        <w:rPr>
          <w:sz w:val="24"/>
          <w:szCs w:val="24"/>
        </w:rPr>
        <w:t>Τα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δισκία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μπορούν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καταπίνονται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χωρίς</w:t>
      </w:r>
      <w:r w:rsidRPr="008D50ED">
        <w:rPr>
          <w:sz w:val="24"/>
          <w:szCs w:val="24"/>
        </w:rPr>
        <w:t xml:space="preserve"> </w:t>
      </w:r>
      <w:r w:rsidR="00FC46DE">
        <w:rPr>
          <w:sz w:val="24"/>
          <w:szCs w:val="24"/>
        </w:rPr>
        <w:t xml:space="preserve"> τροφή</w:t>
      </w:r>
      <w:r w:rsidRPr="008D50ED">
        <w:rPr>
          <w:sz w:val="24"/>
          <w:szCs w:val="24"/>
        </w:rPr>
        <w:t xml:space="preserve">. </w:t>
      </w:r>
    </w:p>
    <w:p w:rsidR="009F00FD" w:rsidRPr="008D50ED" w:rsidRDefault="009F00FD" w:rsidP="009F00FD">
      <w:pPr>
        <w:spacing w:before="1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Ηλικιωμένοι</w:t>
      </w:r>
      <w:r w:rsidRPr="008D50ED">
        <w:rPr>
          <w:b/>
          <w:bCs/>
          <w:i/>
          <w:iCs/>
          <w:sz w:val="24"/>
          <w:szCs w:val="24"/>
        </w:rPr>
        <w:t xml:space="preserve">: </w:t>
      </w:r>
    </w:p>
    <w:p w:rsidR="009F00FD" w:rsidRPr="008D50ED" w:rsidRDefault="009F00FD" w:rsidP="009F00FD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Δεν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έχουν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διεξαχθεί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ειδικές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μελέτες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ηλικιωμένους</w:t>
      </w:r>
      <w:r w:rsidRPr="008D50ED">
        <w:rPr>
          <w:sz w:val="24"/>
          <w:szCs w:val="24"/>
        </w:rPr>
        <w:t xml:space="preserve">, </w:t>
      </w:r>
      <w:r>
        <w:rPr>
          <w:sz w:val="24"/>
          <w:szCs w:val="24"/>
        </w:rPr>
        <w:t>ωστόσο</w:t>
      </w:r>
      <w:r w:rsidRPr="008D50ED">
        <w:rPr>
          <w:sz w:val="24"/>
          <w:szCs w:val="24"/>
        </w:rPr>
        <w:t xml:space="preserve">, </w:t>
      </w:r>
      <w:r>
        <w:rPr>
          <w:sz w:val="24"/>
          <w:szCs w:val="24"/>
        </w:rPr>
        <w:t>σύμφωνα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κλινική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εμπειρία</w:t>
      </w:r>
      <w:r w:rsidRPr="008D50ED">
        <w:rPr>
          <w:sz w:val="24"/>
          <w:szCs w:val="24"/>
        </w:rPr>
        <w:t xml:space="preserve">, </w:t>
      </w:r>
      <w:r>
        <w:rPr>
          <w:sz w:val="24"/>
          <w:szCs w:val="24"/>
        </w:rPr>
        <w:t>δεν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απαιτείται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προσαρμογή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δόσης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θεραπεία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κατά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άλλα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υγιών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ηλικιωμένων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ασθενών</w:t>
      </w:r>
      <w:r w:rsidRPr="008D50ED">
        <w:rPr>
          <w:sz w:val="24"/>
          <w:szCs w:val="24"/>
        </w:rPr>
        <w:t xml:space="preserve">. </w:t>
      </w:r>
    </w:p>
    <w:p w:rsidR="009F00FD" w:rsidRPr="008D50ED" w:rsidRDefault="009F00FD" w:rsidP="009F00FD">
      <w:pPr>
        <w:spacing w:before="120"/>
      </w:pPr>
      <w:r>
        <w:rPr>
          <w:b/>
          <w:bCs/>
          <w:i/>
          <w:iCs/>
          <w:sz w:val="24"/>
          <w:szCs w:val="24"/>
        </w:rPr>
        <w:t>Βεβαρημένη</w:t>
      </w:r>
      <w:r w:rsidRPr="008D50E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νεφρική</w:t>
      </w:r>
      <w:r w:rsidRPr="008D50E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ή</w:t>
      </w:r>
      <w:r w:rsidRPr="008D50ED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και</w:t>
      </w:r>
      <w:r w:rsidRPr="008D50E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ηπατική</w:t>
      </w:r>
      <w:r w:rsidRPr="008D50E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λειτουργία</w:t>
      </w:r>
      <w:r w:rsidRPr="008D50ED">
        <w:rPr>
          <w:b/>
          <w:bCs/>
          <w:i/>
          <w:iCs/>
          <w:sz w:val="24"/>
          <w:szCs w:val="24"/>
        </w:rPr>
        <w:t xml:space="preserve">: </w:t>
      </w:r>
    </w:p>
    <w:p w:rsidR="009F00FD" w:rsidRPr="008D50ED" w:rsidRDefault="009F00FD" w:rsidP="009F00FD">
      <w:pPr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Σε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ασθενείς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βεβαρημένη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νεφρική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 w:rsidRPr="008D50ED">
        <w:rPr>
          <w:sz w:val="24"/>
          <w:szCs w:val="24"/>
        </w:rPr>
        <w:t>/</w:t>
      </w:r>
      <w:r>
        <w:rPr>
          <w:sz w:val="24"/>
          <w:szCs w:val="24"/>
        </w:rPr>
        <w:t>και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ηπατική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λειτουργία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μπορούν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γίνουν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συστάσεις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δόση</w:t>
      </w:r>
      <w:r w:rsidRPr="008D50ED">
        <w:rPr>
          <w:sz w:val="24"/>
          <w:szCs w:val="24"/>
        </w:rPr>
        <w:t xml:space="preserve">, </w:t>
      </w:r>
      <w:r>
        <w:rPr>
          <w:sz w:val="24"/>
          <w:szCs w:val="24"/>
        </w:rPr>
        <w:t>καθώς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έχουν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διεξαχθεί</w:t>
      </w:r>
      <w:r w:rsidRPr="008D50ED">
        <w:rPr>
          <w:sz w:val="24"/>
          <w:szCs w:val="24"/>
        </w:rPr>
        <w:t xml:space="preserve"> </w:t>
      </w:r>
      <w:r>
        <w:rPr>
          <w:sz w:val="24"/>
          <w:szCs w:val="24"/>
        </w:rPr>
        <w:t>μελέτες</w:t>
      </w:r>
      <w:r w:rsidRPr="008D50ED">
        <w:rPr>
          <w:sz w:val="24"/>
          <w:szCs w:val="24"/>
        </w:rPr>
        <w:t>.</w:t>
      </w:r>
    </w:p>
    <w:p w:rsidR="00367D9E" w:rsidRDefault="00367D9E" w:rsidP="009F00FD">
      <w:pPr>
        <w:pStyle w:val="a7"/>
        <w:spacing w:before="120"/>
        <w:ind w:left="0"/>
        <w:rPr>
          <w:b/>
          <w:bCs/>
          <w:i/>
          <w:iCs/>
          <w:lang w:val="el-GR"/>
        </w:rPr>
      </w:pPr>
    </w:p>
    <w:p w:rsidR="009F00FD" w:rsidRPr="00B73C85" w:rsidRDefault="009F00FD" w:rsidP="009F00FD">
      <w:pPr>
        <w:pStyle w:val="a7"/>
        <w:spacing w:before="120"/>
        <w:ind w:left="0"/>
        <w:rPr>
          <w:b/>
          <w:bCs/>
          <w:i/>
          <w:iCs/>
          <w:lang w:val="el-GR"/>
        </w:rPr>
      </w:pPr>
      <w:r>
        <w:rPr>
          <w:b/>
          <w:bCs/>
          <w:i/>
          <w:iCs/>
          <w:lang w:val="el-GR"/>
        </w:rPr>
        <w:t>Παιδιά</w:t>
      </w:r>
      <w:r w:rsidRPr="00B73C85">
        <w:rPr>
          <w:b/>
          <w:bCs/>
          <w:i/>
          <w:iCs/>
          <w:lang w:val="el-GR"/>
        </w:rPr>
        <w:t xml:space="preserve"> </w:t>
      </w:r>
      <w:r>
        <w:rPr>
          <w:b/>
          <w:bCs/>
          <w:i/>
          <w:iCs/>
          <w:lang w:val="el-GR"/>
        </w:rPr>
        <w:t>και</w:t>
      </w:r>
      <w:r w:rsidRPr="00B73C85">
        <w:rPr>
          <w:b/>
          <w:bCs/>
          <w:i/>
          <w:iCs/>
          <w:lang w:val="el-GR"/>
        </w:rPr>
        <w:t xml:space="preserve"> </w:t>
      </w:r>
      <w:r>
        <w:rPr>
          <w:b/>
          <w:bCs/>
          <w:i/>
          <w:iCs/>
          <w:lang w:val="el-GR"/>
        </w:rPr>
        <w:t>έφηβοι</w:t>
      </w:r>
      <w:r w:rsidRPr="00B73C85">
        <w:rPr>
          <w:b/>
          <w:bCs/>
          <w:i/>
          <w:iCs/>
          <w:lang w:val="el-GR"/>
        </w:rPr>
        <w:t>:</w:t>
      </w:r>
    </w:p>
    <w:p w:rsidR="008E130C" w:rsidRPr="00367D9E" w:rsidRDefault="009F00FD" w:rsidP="00367D9E">
      <w:pPr>
        <w:pStyle w:val="a7"/>
        <w:spacing w:before="120"/>
        <w:ind w:left="0"/>
        <w:rPr>
          <w:lang w:val="el-GR"/>
        </w:rPr>
      </w:pPr>
      <w:r w:rsidRPr="001957DB">
        <w:rPr>
          <w:lang w:val="el-GR"/>
        </w:rPr>
        <w:t xml:space="preserve">Το </w:t>
      </w:r>
      <w:r w:rsidRPr="005665BD">
        <w:t>Voltaflex</w:t>
      </w:r>
      <w:r w:rsidRPr="001957DB">
        <w:rPr>
          <w:lang w:val="el-GR"/>
        </w:rPr>
        <w:t xml:space="preserve"> </w:t>
      </w:r>
      <w:r w:rsidR="00FC46DE">
        <w:t>glucosamine</w:t>
      </w:r>
      <w:r w:rsidR="00FC46DE" w:rsidRPr="001957DB">
        <w:rPr>
          <w:lang w:val="el-GR"/>
        </w:rPr>
        <w:t xml:space="preserve"> </w:t>
      </w:r>
      <w:r w:rsidRPr="001957DB">
        <w:rPr>
          <w:lang w:val="el-GR"/>
        </w:rPr>
        <w:t>δεν θα πρέπει να χορηγείται σε παιδιά και σε εφήβους κάτω των 18 ετών, λόγω έλλειψης στοιχείων για την ασφάλεια και την αποτελεσματικότητα.</w:t>
      </w:r>
    </w:p>
    <w:p w:rsidR="008E130C" w:rsidRDefault="008E130C"/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4.3</w:t>
      </w:r>
      <w:r w:rsidRPr="00367D9E">
        <w:rPr>
          <w:b/>
          <w:sz w:val="24"/>
          <w:szCs w:val="24"/>
        </w:rPr>
        <w:tab/>
        <w:t>Αντενδείξεις</w:t>
      </w:r>
    </w:p>
    <w:p w:rsidR="008E130C" w:rsidRPr="00367D9E" w:rsidRDefault="008E130C">
      <w:pPr>
        <w:rPr>
          <w:sz w:val="24"/>
          <w:szCs w:val="24"/>
        </w:rPr>
      </w:pPr>
    </w:p>
    <w:p w:rsidR="00625F3D" w:rsidRPr="00B73C85" w:rsidRDefault="00FC46DE" w:rsidP="00625F3D">
      <w:pPr>
        <w:pStyle w:val="Text"/>
        <w:jc w:val="left"/>
        <w:rPr>
          <w:b/>
          <w:bCs/>
          <w:i/>
          <w:iCs/>
          <w:lang w:val="el-GR"/>
        </w:rPr>
      </w:pPr>
      <w:r>
        <w:rPr>
          <w:lang w:val="el-GR"/>
        </w:rPr>
        <w:t>Γνωστή υ</w:t>
      </w:r>
      <w:r w:rsidR="009F00FD">
        <w:rPr>
          <w:lang w:val="el-GR"/>
        </w:rPr>
        <w:t>περευαισθησία</w:t>
      </w:r>
      <w:r w:rsidR="009F00FD" w:rsidRPr="00B73C85">
        <w:rPr>
          <w:lang w:val="el-GR"/>
        </w:rPr>
        <w:t xml:space="preserve"> </w:t>
      </w:r>
      <w:r w:rsidR="009F00FD">
        <w:rPr>
          <w:lang w:val="el-GR"/>
        </w:rPr>
        <w:t>στη</w:t>
      </w:r>
      <w:r w:rsidR="009F00FD" w:rsidRPr="00B73C85">
        <w:rPr>
          <w:lang w:val="el-GR"/>
        </w:rPr>
        <w:t xml:space="preserve"> </w:t>
      </w:r>
      <w:r w:rsidR="009F00FD">
        <w:rPr>
          <w:lang w:val="el-GR"/>
        </w:rPr>
        <w:t>γλυκοζαμίνη</w:t>
      </w:r>
      <w:r w:rsidR="009F00FD" w:rsidRPr="00B73C85">
        <w:rPr>
          <w:lang w:val="el-GR"/>
        </w:rPr>
        <w:t xml:space="preserve"> </w:t>
      </w:r>
      <w:r w:rsidR="009F00FD">
        <w:rPr>
          <w:lang w:val="el-GR"/>
        </w:rPr>
        <w:t>ή</w:t>
      </w:r>
      <w:r w:rsidR="009F00FD" w:rsidRPr="00B73C85">
        <w:rPr>
          <w:lang w:val="el-GR"/>
        </w:rPr>
        <w:t xml:space="preserve"> </w:t>
      </w:r>
      <w:r w:rsidR="009F00FD">
        <w:rPr>
          <w:lang w:val="el-GR"/>
        </w:rPr>
        <w:t>σε</w:t>
      </w:r>
      <w:r w:rsidR="009F00FD" w:rsidRPr="00B73C85">
        <w:rPr>
          <w:lang w:val="el-GR"/>
        </w:rPr>
        <w:t xml:space="preserve"> </w:t>
      </w:r>
      <w:r w:rsidR="009F00FD">
        <w:rPr>
          <w:lang w:val="el-GR"/>
        </w:rPr>
        <w:t>οποιοδήποτε</w:t>
      </w:r>
      <w:r w:rsidR="009F00FD" w:rsidRPr="00B73C85">
        <w:rPr>
          <w:lang w:val="el-GR"/>
        </w:rPr>
        <w:t xml:space="preserve"> </w:t>
      </w:r>
      <w:r w:rsidR="009F00FD">
        <w:rPr>
          <w:lang w:val="el-GR"/>
        </w:rPr>
        <w:t>από</w:t>
      </w:r>
      <w:r w:rsidR="009F00FD" w:rsidRPr="00B73C85">
        <w:rPr>
          <w:lang w:val="el-GR"/>
        </w:rPr>
        <w:t xml:space="preserve"> </w:t>
      </w:r>
      <w:r w:rsidR="009F00FD">
        <w:rPr>
          <w:lang w:val="el-GR"/>
        </w:rPr>
        <w:t>τα</w:t>
      </w:r>
      <w:r w:rsidR="009F00FD" w:rsidRPr="00B73C85">
        <w:rPr>
          <w:lang w:val="el-GR"/>
        </w:rPr>
        <w:t xml:space="preserve"> </w:t>
      </w:r>
      <w:r w:rsidR="009F00FD">
        <w:rPr>
          <w:lang w:val="el-GR"/>
        </w:rPr>
        <w:t>έκδοχα</w:t>
      </w:r>
      <w:r>
        <w:rPr>
          <w:lang w:val="el-GR"/>
        </w:rPr>
        <w:t xml:space="preserve"> ( ειδικά σε </w:t>
      </w:r>
      <w:r w:rsidR="00625F3D">
        <w:rPr>
          <w:lang w:val="el-GR"/>
        </w:rPr>
        <w:t>φυστίκια (αραχίδες) ή στη</w:t>
      </w:r>
      <w:r w:rsidR="00625F3D" w:rsidRPr="00B73C85">
        <w:rPr>
          <w:lang w:val="el-GR"/>
        </w:rPr>
        <w:t xml:space="preserve"> </w:t>
      </w:r>
      <w:r w:rsidR="00625F3D">
        <w:rPr>
          <w:lang w:val="el-GR"/>
        </w:rPr>
        <w:t>σόγια</w:t>
      </w:r>
      <w:r w:rsidR="00625F3D" w:rsidRPr="00B73C85">
        <w:rPr>
          <w:lang w:val="el-GR"/>
        </w:rPr>
        <w:t xml:space="preserve">, </w:t>
      </w:r>
      <w:r w:rsidR="00625F3D">
        <w:rPr>
          <w:lang w:val="el-GR"/>
        </w:rPr>
        <w:t>καθώς</w:t>
      </w:r>
      <w:r w:rsidR="00625F3D" w:rsidRPr="00B73C85">
        <w:rPr>
          <w:lang w:val="el-GR"/>
        </w:rPr>
        <w:t xml:space="preserve"> </w:t>
      </w:r>
      <w:r w:rsidR="00625F3D">
        <w:rPr>
          <w:lang w:val="el-GR"/>
        </w:rPr>
        <w:t>αυτό</w:t>
      </w:r>
      <w:r w:rsidR="00625F3D" w:rsidRPr="00B73C85">
        <w:rPr>
          <w:lang w:val="el-GR"/>
        </w:rPr>
        <w:t xml:space="preserve"> </w:t>
      </w:r>
      <w:r w:rsidR="00625F3D">
        <w:rPr>
          <w:lang w:val="el-GR"/>
        </w:rPr>
        <w:t>το</w:t>
      </w:r>
      <w:r w:rsidR="00625F3D" w:rsidRPr="00B73C85">
        <w:rPr>
          <w:lang w:val="el-GR"/>
        </w:rPr>
        <w:t xml:space="preserve"> </w:t>
      </w:r>
      <w:r w:rsidR="00625F3D">
        <w:rPr>
          <w:lang w:val="el-GR"/>
        </w:rPr>
        <w:t>φαρμακευτικό</w:t>
      </w:r>
      <w:r w:rsidR="00625F3D" w:rsidRPr="00B73C85">
        <w:rPr>
          <w:lang w:val="el-GR"/>
        </w:rPr>
        <w:t xml:space="preserve"> </w:t>
      </w:r>
      <w:r w:rsidR="00625F3D">
        <w:rPr>
          <w:lang w:val="el-GR"/>
        </w:rPr>
        <w:t>προϊόν</w:t>
      </w:r>
      <w:r w:rsidR="00625F3D" w:rsidRPr="00B73C85">
        <w:rPr>
          <w:lang w:val="el-GR"/>
        </w:rPr>
        <w:t xml:space="preserve"> </w:t>
      </w:r>
      <w:r w:rsidR="00625F3D">
        <w:rPr>
          <w:lang w:val="el-GR"/>
        </w:rPr>
        <w:t>περιέχει</w:t>
      </w:r>
      <w:r w:rsidR="00625F3D" w:rsidRPr="00B73C85">
        <w:rPr>
          <w:lang w:val="el-GR"/>
        </w:rPr>
        <w:t xml:space="preserve"> </w:t>
      </w:r>
      <w:r w:rsidR="00625F3D">
        <w:rPr>
          <w:lang w:val="el-GR"/>
        </w:rPr>
        <w:t>παράγωγο</w:t>
      </w:r>
      <w:r w:rsidR="00625F3D" w:rsidRPr="00B73C85">
        <w:rPr>
          <w:lang w:val="el-GR"/>
        </w:rPr>
        <w:t xml:space="preserve"> </w:t>
      </w:r>
      <w:r w:rsidR="00625F3D">
        <w:rPr>
          <w:lang w:val="el-GR"/>
        </w:rPr>
        <w:t>σόγιας)</w:t>
      </w:r>
      <w:r w:rsidR="00625F3D" w:rsidRPr="00B73C85">
        <w:rPr>
          <w:lang w:val="el-GR"/>
        </w:rPr>
        <w:t>.</w:t>
      </w:r>
    </w:p>
    <w:p w:rsidR="009F00FD" w:rsidRPr="00B73C85" w:rsidRDefault="009F00FD" w:rsidP="009F00FD">
      <w:pPr>
        <w:pStyle w:val="Text"/>
        <w:jc w:val="left"/>
        <w:rPr>
          <w:lang w:val="el-GR"/>
        </w:rPr>
      </w:pPr>
      <w:r>
        <w:rPr>
          <w:lang w:val="el-GR"/>
        </w:rPr>
        <w:t>Το</w:t>
      </w:r>
      <w:r w:rsidRPr="00B73C85">
        <w:rPr>
          <w:lang w:val="el-GR"/>
        </w:rPr>
        <w:t xml:space="preserve"> </w:t>
      </w:r>
      <w:r w:rsidRPr="0064412A">
        <w:t>Voltaflex</w:t>
      </w:r>
      <w:r w:rsidR="00625F3D">
        <w:rPr>
          <w:lang w:val="el-GR"/>
        </w:rPr>
        <w:t xml:space="preserve"> </w:t>
      </w:r>
      <w:r w:rsidR="00625F3D">
        <w:t>glucosamine</w:t>
      </w:r>
      <w:r w:rsidR="00625F3D" w:rsidRPr="00625F3D">
        <w:rPr>
          <w:lang w:val="el-GR"/>
        </w:rPr>
        <w:t xml:space="preserve"> </w:t>
      </w:r>
      <w:r w:rsidRPr="00B73C85">
        <w:rPr>
          <w:lang w:val="el-GR"/>
        </w:rPr>
        <w:t xml:space="preserve"> </w:t>
      </w:r>
      <w:r>
        <w:rPr>
          <w:lang w:val="el-GR"/>
        </w:rPr>
        <w:t>δεν</w:t>
      </w:r>
      <w:r w:rsidRPr="00B73C85">
        <w:rPr>
          <w:lang w:val="el-GR"/>
        </w:rPr>
        <w:t xml:space="preserve"> </w:t>
      </w:r>
      <w:r>
        <w:rPr>
          <w:lang w:val="el-GR"/>
        </w:rPr>
        <w:t>πρέπει</w:t>
      </w:r>
      <w:r w:rsidRPr="00B73C85">
        <w:rPr>
          <w:lang w:val="el-GR"/>
        </w:rPr>
        <w:t xml:space="preserve"> </w:t>
      </w:r>
      <w:r>
        <w:rPr>
          <w:lang w:val="el-GR"/>
        </w:rPr>
        <w:t>να</w:t>
      </w:r>
      <w:r w:rsidRPr="00B73C85">
        <w:rPr>
          <w:lang w:val="el-GR"/>
        </w:rPr>
        <w:t xml:space="preserve"> </w:t>
      </w:r>
      <w:r>
        <w:rPr>
          <w:lang w:val="el-GR"/>
        </w:rPr>
        <w:t>χορηγείται</w:t>
      </w:r>
      <w:r w:rsidRPr="00B73C85">
        <w:rPr>
          <w:lang w:val="el-GR"/>
        </w:rPr>
        <w:t xml:space="preserve"> </w:t>
      </w:r>
      <w:r>
        <w:rPr>
          <w:lang w:val="el-GR"/>
        </w:rPr>
        <w:t>σε</w:t>
      </w:r>
      <w:r w:rsidRPr="00B73C85">
        <w:rPr>
          <w:lang w:val="el-GR"/>
        </w:rPr>
        <w:t xml:space="preserve"> </w:t>
      </w:r>
      <w:r>
        <w:rPr>
          <w:lang w:val="el-GR"/>
        </w:rPr>
        <w:t>ασθενείς</w:t>
      </w:r>
      <w:r w:rsidRPr="00B73C85">
        <w:rPr>
          <w:lang w:val="el-GR"/>
        </w:rPr>
        <w:t xml:space="preserve"> </w:t>
      </w:r>
      <w:r>
        <w:rPr>
          <w:lang w:val="el-GR"/>
        </w:rPr>
        <w:t>οι</w:t>
      </w:r>
      <w:r w:rsidRPr="00B73C85">
        <w:rPr>
          <w:lang w:val="el-GR"/>
        </w:rPr>
        <w:t xml:space="preserve"> </w:t>
      </w:r>
      <w:r>
        <w:rPr>
          <w:lang w:val="el-GR"/>
        </w:rPr>
        <w:t>οποίοι</w:t>
      </w:r>
      <w:r w:rsidRPr="00B73C85">
        <w:rPr>
          <w:lang w:val="el-GR"/>
        </w:rPr>
        <w:t xml:space="preserve"> </w:t>
      </w:r>
      <w:r>
        <w:rPr>
          <w:lang w:val="el-GR"/>
        </w:rPr>
        <w:t>είναι</w:t>
      </w:r>
      <w:r w:rsidRPr="00B73C85">
        <w:rPr>
          <w:lang w:val="el-GR"/>
        </w:rPr>
        <w:t xml:space="preserve"> </w:t>
      </w:r>
      <w:r>
        <w:rPr>
          <w:lang w:val="el-GR"/>
        </w:rPr>
        <w:t>αλλεργικοί</w:t>
      </w:r>
      <w:r w:rsidRPr="00B73C85">
        <w:rPr>
          <w:lang w:val="el-GR"/>
        </w:rPr>
        <w:t xml:space="preserve"> </w:t>
      </w:r>
      <w:r>
        <w:rPr>
          <w:lang w:val="el-GR"/>
        </w:rPr>
        <w:t>στα</w:t>
      </w:r>
      <w:r w:rsidRPr="00B73C85">
        <w:rPr>
          <w:lang w:val="el-GR"/>
        </w:rPr>
        <w:t xml:space="preserve"> </w:t>
      </w:r>
      <w:r>
        <w:rPr>
          <w:lang w:val="el-GR"/>
        </w:rPr>
        <w:t>οστρακοειδή</w:t>
      </w:r>
      <w:r w:rsidRPr="00B73C85">
        <w:rPr>
          <w:lang w:val="el-GR"/>
        </w:rPr>
        <w:t xml:space="preserve">, </w:t>
      </w:r>
      <w:r>
        <w:rPr>
          <w:lang w:val="el-GR"/>
        </w:rPr>
        <w:t>καθώς</w:t>
      </w:r>
      <w:r w:rsidRPr="00B73C85">
        <w:rPr>
          <w:lang w:val="el-GR"/>
        </w:rPr>
        <w:t xml:space="preserve"> </w:t>
      </w:r>
      <w:r>
        <w:rPr>
          <w:lang w:val="el-GR"/>
        </w:rPr>
        <w:t>η</w:t>
      </w:r>
      <w:r w:rsidRPr="00B73C85">
        <w:rPr>
          <w:lang w:val="el-GR"/>
        </w:rPr>
        <w:t xml:space="preserve"> </w:t>
      </w:r>
      <w:r>
        <w:rPr>
          <w:lang w:val="el-GR"/>
        </w:rPr>
        <w:t>δραστική</w:t>
      </w:r>
      <w:r w:rsidRPr="00B73C85">
        <w:rPr>
          <w:lang w:val="el-GR"/>
        </w:rPr>
        <w:t xml:space="preserve"> </w:t>
      </w:r>
      <w:r>
        <w:rPr>
          <w:lang w:val="el-GR"/>
        </w:rPr>
        <w:t>ουσία</w:t>
      </w:r>
      <w:r w:rsidRPr="00B73C85">
        <w:rPr>
          <w:lang w:val="el-GR"/>
        </w:rPr>
        <w:t xml:space="preserve"> </w:t>
      </w:r>
      <w:r>
        <w:rPr>
          <w:lang w:val="el-GR"/>
        </w:rPr>
        <w:t>προέρχεται</w:t>
      </w:r>
      <w:r w:rsidRPr="00B73C85">
        <w:rPr>
          <w:lang w:val="el-GR"/>
        </w:rPr>
        <w:t xml:space="preserve"> </w:t>
      </w:r>
      <w:r>
        <w:rPr>
          <w:lang w:val="el-GR"/>
        </w:rPr>
        <w:t>από</w:t>
      </w:r>
      <w:r w:rsidRPr="00B73C85">
        <w:rPr>
          <w:lang w:val="el-GR"/>
        </w:rPr>
        <w:t xml:space="preserve"> </w:t>
      </w:r>
      <w:r>
        <w:rPr>
          <w:lang w:val="el-GR"/>
        </w:rPr>
        <w:t>οστρακοειδή</w:t>
      </w:r>
      <w:r w:rsidRPr="00B73C85">
        <w:rPr>
          <w:lang w:val="el-GR"/>
        </w:rPr>
        <w:t>.</w:t>
      </w:r>
    </w:p>
    <w:p w:rsidR="008E130C" w:rsidRPr="001957DB" w:rsidRDefault="00625F3D">
      <w:r w:rsidRPr="001957DB">
        <w:t xml:space="preserve"> </w:t>
      </w:r>
    </w:p>
    <w:p w:rsidR="008E130C" w:rsidRDefault="008E130C"/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4.4</w:t>
      </w:r>
      <w:r w:rsidRPr="00367D9E">
        <w:rPr>
          <w:b/>
          <w:sz w:val="24"/>
          <w:szCs w:val="24"/>
        </w:rPr>
        <w:tab/>
        <w:t>Ειδικές προειδοποιήσεις και προφυλάξεις κατά τη χρήση</w:t>
      </w:r>
    </w:p>
    <w:p w:rsidR="009F00FD" w:rsidRPr="0064412A" w:rsidRDefault="009F00FD" w:rsidP="009F00FD">
      <w:pPr>
        <w:pStyle w:val="a7"/>
        <w:spacing w:before="120"/>
        <w:ind w:left="0"/>
        <w:rPr>
          <w:lang w:val="el-GR"/>
        </w:rPr>
      </w:pPr>
      <w:r>
        <w:rPr>
          <w:lang w:val="el-GR"/>
        </w:rPr>
        <w:t>Ο ασθενής θα πρέπει να συμβουλεύεται γιατρό, ώστε να αποκλεισθεί η παρουσία αρθροπαθειών για τις οποίες θα πρέπει να εξεταστεί άλλη θεραπεία.</w:t>
      </w:r>
    </w:p>
    <w:p w:rsidR="009F00FD" w:rsidRPr="0064412A" w:rsidRDefault="009F00FD" w:rsidP="009F00FD">
      <w:pPr>
        <w:pStyle w:val="a7"/>
        <w:spacing w:before="120"/>
        <w:ind w:left="0"/>
        <w:rPr>
          <w:lang w:val="el-GR"/>
        </w:rPr>
      </w:pPr>
      <w:r>
        <w:rPr>
          <w:lang w:val="el-GR"/>
        </w:rPr>
        <w:t>Σε ασθενείς με δυσανεξία στη γλυκόζη, συστήνεται παρακολούθηση των επιπέδων γλυκόζης αίματος και, εφόσον ισχύει, των απαιτήσεων σε ινσουλίνη πριν από την έναρξη της θεραπείας και περιοδικά κατά την διάρκεια αυτής.</w:t>
      </w:r>
    </w:p>
    <w:p w:rsidR="009F00FD" w:rsidRPr="0064412A" w:rsidRDefault="009F00FD" w:rsidP="009F00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Σε ασθενείς με γνωστό παράγοντα κινδύνου για καρδιαγγειακή νόσο, συστήνεται παρακολούθηση των επιπέδων λιπιδίων στο αίμα, καθώς έχουν παρατηρηθεί περιπτώσεις υπερχοληστερολαιμίας σε ασθενείς που ελάμβαναν γλυκοζαμίνη.</w:t>
      </w:r>
    </w:p>
    <w:p w:rsidR="009F00FD" w:rsidRDefault="009F00FD" w:rsidP="009F00FD">
      <w:pPr>
        <w:rPr>
          <w:sz w:val="24"/>
          <w:szCs w:val="24"/>
        </w:rPr>
      </w:pPr>
      <w:r>
        <w:rPr>
          <w:sz w:val="24"/>
          <w:szCs w:val="24"/>
        </w:rPr>
        <w:t xml:space="preserve">Έχουν αναφερθεί συμπτώματα παροξυσμού άσθματος μετά την έναρξη της θεραπείας με γλυκοζαμίνη (τα συμπτώματα υποχώρησαν μετά τη διακοπή της χορήγησης γλυκοζαμίνης). </w:t>
      </w:r>
    </w:p>
    <w:p w:rsidR="008E130C" w:rsidRDefault="009F00FD" w:rsidP="009F00FD">
      <w:pPr>
        <w:rPr>
          <w:sz w:val="24"/>
          <w:szCs w:val="24"/>
        </w:rPr>
      </w:pPr>
      <w:r>
        <w:rPr>
          <w:sz w:val="24"/>
          <w:szCs w:val="24"/>
        </w:rPr>
        <w:t>Οι ασθματικοί ασθενείς που ξεκινούν θεραπεία με γλυκοζαμίνη θα πρέπει άρα να είναι ενήμεροι για την πιθανότητα επιδείνωσης των συμπτωμάτων</w:t>
      </w:r>
    </w:p>
    <w:p w:rsidR="00ED381E" w:rsidRDefault="00ED381E" w:rsidP="009F00FD"/>
    <w:p w:rsidR="009F00FD" w:rsidRDefault="00ED381E" w:rsidP="009F00FD">
      <w:r>
        <w:rPr>
          <w:lang w:val="en-US"/>
        </w:rPr>
        <w:t>To</w:t>
      </w:r>
      <w:r w:rsidRPr="00ED381E">
        <w:t xml:space="preserve"> </w:t>
      </w:r>
      <w:r>
        <w:t>προϊόν αυτό περιέχει «</w:t>
      </w:r>
      <w:r>
        <w:rPr>
          <w:lang w:val="en-US"/>
        </w:rPr>
        <w:t>sunset</w:t>
      </w:r>
      <w:r w:rsidRPr="00ED381E">
        <w:t xml:space="preserve"> </w:t>
      </w:r>
      <w:r>
        <w:rPr>
          <w:lang w:val="en-US"/>
        </w:rPr>
        <w:t>yellow</w:t>
      </w:r>
      <w:r w:rsidRPr="00ED381E">
        <w:t xml:space="preserve"> </w:t>
      </w:r>
      <w:r>
        <w:rPr>
          <w:lang w:val="en-US"/>
        </w:rPr>
        <w:t>FCF</w:t>
      </w:r>
      <w:r w:rsidRPr="00ED381E">
        <w:t xml:space="preserve"> </w:t>
      </w:r>
      <w:r>
        <w:rPr>
          <w:lang w:val="en-US"/>
        </w:rPr>
        <w:t>aluminum</w:t>
      </w:r>
      <w:r w:rsidRPr="00ED381E">
        <w:t xml:space="preserve"> </w:t>
      </w:r>
      <w:r>
        <w:rPr>
          <w:lang w:val="en-US"/>
        </w:rPr>
        <w:t>lake</w:t>
      </w:r>
      <w:r w:rsidRPr="00ED381E">
        <w:t xml:space="preserve"> (</w:t>
      </w:r>
      <w:r>
        <w:rPr>
          <w:lang w:val="en-US"/>
        </w:rPr>
        <w:t>E</w:t>
      </w:r>
      <w:r w:rsidRPr="00ED381E">
        <w:t>110)”</w:t>
      </w:r>
      <w:r>
        <w:t xml:space="preserve">, η οποία μπορεί να προκαλέσει αλλεργικές αντιδράσεις </w:t>
      </w:r>
    </w:p>
    <w:p w:rsidR="00ED381E" w:rsidRPr="00ED381E" w:rsidRDefault="00ED381E" w:rsidP="009F00FD"/>
    <w:p w:rsidR="008E130C" w:rsidRDefault="008E130C">
      <w:r>
        <w:rPr>
          <w:b/>
        </w:rPr>
        <w:t>4.5</w:t>
      </w:r>
      <w:r>
        <w:rPr>
          <w:b/>
        </w:rPr>
        <w:tab/>
        <w:t>Αλληλεπιδράσεις με άλλα φαρμακευτικά προϊόντα και άλλες μορφές αλληλεπίδρασης</w:t>
      </w:r>
    </w:p>
    <w:p w:rsidR="008E130C" w:rsidRDefault="008E130C"/>
    <w:p w:rsidR="000B7269" w:rsidRPr="00F756BE" w:rsidRDefault="00ED381E" w:rsidP="000B7269">
      <w:pPr>
        <w:pStyle w:val="a7"/>
        <w:spacing w:before="120"/>
        <w:ind w:left="0"/>
        <w:rPr>
          <w:lang w:val="el-GR"/>
        </w:rPr>
      </w:pPr>
      <w:r>
        <w:rPr>
          <w:lang w:val="el-GR"/>
        </w:rPr>
        <w:t>Αυξημέν</w:t>
      </w:r>
      <w:r w:rsidR="0072307C">
        <w:rPr>
          <w:lang w:val="el-GR"/>
        </w:rPr>
        <w:t>ες επιδράσεις</w:t>
      </w:r>
      <w:r>
        <w:rPr>
          <w:lang w:val="el-GR"/>
        </w:rPr>
        <w:t xml:space="preserve"> με αντιπηκτικά παράγωγα κουμαρίνης (π.χ. βαρφαρίνη)</w:t>
      </w:r>
      <w:r w:rsidR="0072307C">
        <w:rPr>
          <w:lang w:val="el-GR"/>
        </w:rPr>
        <w:t xml:space="preserve"> κατά την διάρκεια ταυτόχρονης θεραπείας με γλυκοζαμίνη έχουν αναφερθεί. </w:t>
      </w:r>
      <w:r w:rsidR="000B7269">
        <w:rPr>
          <w:lang w:val="el-GR"/>
        </w:rPr>
        <w:t>Οι ασθενείς που λαμβάνουν αντιπηκτικά παράγωγα κουμαρίνης θα πρέπει άρα να παρακολουθούνται στενά κατά την έναρξη ή κατά τη λήξη της θεραπείας με γλυκοζαμίνη.</w:t>
      </w:r>
      <w:r w:rsidR="000B7269" w:rsidRPr="00F756BE">
        <w:rPr>
          <w:lang w:val="el-GR"/>
        </w:rPr>
        <w:t xml:space="preserve"> </w:t>
      </w:r>
    </w:p>
    <w:p w:rsidR="000B7269" w:rsidRPr="00F756BE" w:rsidRDefault="000B7269" w:rsidP="000B7269">
      <w:pPr>
        <w:pStyle w:val="a7"/>
        <w:spacing w:before="120"/>
        <w:ind w:left="0"/>
        <w:rPr>
          <w:lang w:val="el-GR"/>
        </w:rPr>
      </w:pPr>
      <w:r>
        <w:rPr>
          <w:lang w:val="el-GR"/>
        </w:rPr>
        <w:t>Η συγχορήγηση με γλυκοζαμίνη μπορεί να αυξήσει την απορρόφηση και τη συγκέντρωση των τετρακυκλινών στον ορό, ωστόσο η κλινική σχετικότητα αυτής της αλληλεπίδρασης είναι πιθανώς περιορισμένη.</w:t>
      </w:r>
      <w:r w:rsidRPr="00F756BE">
        <w:rPr>
          <w:lang w:val="el-GR"/>
        </w:rPr>
        <w:t xml:space="preserve"> </w:t>
      </w:r>
    </w:p>
    <w:p w:rsidR="008E130C" w:rsidRPr="00367D9E" w:rsidRDefault="000B7269" w:rsidP="000B7269">
      <w:pPr>
        <w:rPr>
          <w:sz w:val="24"/>
          <w:szCs w:val="24"/>
        </w:rPr>
      </w:pPr>
      <w:r w:rsidRPr="00367D9E">
        <w:rPr>
          <w:sz w:val="24"/>
          <w:szCs w:val="24"/>
        </w:rPr>
        <w:t>Λόγω περιορισμένης τεκμηρίωσης σχετικά με τις δυνητικές αλληλεπιδράσεις της γλυκοζαμίνης με άλλα φάρμακα, ο ασθενής και ο γιατρός θα πρέπει να είναι γενικά ενήμεροι για το ενδεχόμενο τροποποίησης της ανταπόκρισης ή της συγκέντρωσης των συγχορηγούμενων φαρμακευτικών προϊόντων</w:t>
      </w:r>
      <w:r w:rsidRPr="00367D9E">
        <w:rPr>
          <w:noProof/>
          <w:sz w:val="24"/>
          <w:szCs w:val="24"/>
        </w:rPr>
        <w:t xml:space="preserve"> </w:t>
      </w:r>
      <w:r w:rsidR="008E130C" w:rsidRPr="00367D9E">
        <w:rPr>
          <w:noProof/>
          <w:sz w:val="24"/>
          <w:szCs w:val="24"/>
        </w:rPr>
        <w:t xml:space="preserve"> </w:t>
      </w:r>
      <w:r w:rsidRPr="00367D9E">
        <w:rPr>
          <w:noProof/>
          <w:sz w:val="24"/>
          <w:szCs w:val="24"/>
        </w:rPr>
        <w:t xml:space="preserve"> </w:t>
      </w:r>
    </w:p>
    <w:p w:rsidR="008E130C" w:rsidRDefault="008E130C"/>
    <w:p w:rsidR="008E130C" w:rsidRPr="001957DB" w:rsidRDefault="008E130C">
      <w:r w:rsidRPr="001957DB">
        <w:rPr>
          <w:b/>
        </w:rPr>
        <w:t>4.6</w:t>
      </w:r>
      <w:r w:rsidRPr="001957DB">
        <w:rPr>
          <w:b/>
        </w:rPr>
        <w:tab/>
      </w:r>
      <w:r>
        <w:rPr>
          <w:b/>
          <w:lang w:val="en-US"/>
        </w:rPr>
        <w:t>K</w:t>
      </w:r>
      <w:r>
        <w:rPr>
          <w:b/>
        </w:rPr>
        <w:t>ύηση</w:t>
      </w:r>
      <w:r w:rsidRPr="001957DB">
        <w:rPr>
          <w:b/>
        </w:rPr>
        <w:t xml:space="preserve"> </w:t>
      </w:r>
      <w:r>
        <w:rPr>
          <w:b/>
        </w:rPr>
        <w:t>και</w:t>
      </w:r>
      <w:r w:rsidRPr="001957DB">
        <w:rPr>
          <w:b/>
        </w:rPr>
        <w:t xml:space="preserve"> </w:t>
      </w:r>
      <w:r>
        <w:rPr>
          <w:b/>
        </w:rPr>
        <w:t>γαλουχία</w:t>
      </w:r>
    </w:p>
    <w:p w:rsidR="000B7269" w:rsidRPr="003823BF" w:rsidRDefault="000B7269" w:rsidP="000B7269">
      <w:pPr>
        <w:spacing w:before="120" w:line="280" w:lineRule="auto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Κύηση</w:t>
      </w:r>
    </w:p>
    <w:p w:rsidR="000B7269" w:rsidRPr="003823BF" w:rsidRDefault="000B7269" w:rsidP="000B7269">
      <w:pPr>
        <w:pStyle w:val="Text"/>
        <w:spacing w:before="0" w:after="120"/>
        <w:jc w:val="left"/>
        <w:rPr>
          <w:strike/>
          <w:lang w:val="el-GR"/>
        </w:rPr>
      </w:pPr>
      <w:r>
        <w:rPr>
          <w:lang w:val="el-GR"/>
        </w:rPr>
        <w:lastRenderedPageBreak/>
        <w:t>Δεν</w:t>
      </w:r>
      <w:r w:rsidRPr="003823BF">
        <w:rPr>
          <w:lang w:val="el-GR"/>
        </w:rPr>
        <w:t xml:space="preserve"> </w:t>
      </w:r>
      <w:r>
        <w:rPr>
          <w:lang w:val="el-GR"/>
        </w:rPr>
        <w:t>υπάρχουν</w:t>
      </w:r>
      <w:r w:rsidRPr="003823BF">
        <w:rPr>
          <w:lang w:val="el-GR"/>
        </w:rPr>
        <w:t xml:space="preserve"> </w:t>
      </w:r>
      <w:r>
        <w:rPr>
          <w:lang w:val="el-GR"/>
        </w:rPr>
        <w:t>επαρκή</w:t>
      </w:r>
      <w:r w:rsidRPr="003823BF">
        <w:rPr>
          <w:lang w:val="el-GR"/>
        </w:rPr>
        <w:t xml:space="preserve"> </w:t>
      </w:r>
      <w:r>
        <w:rPr>
          <w:lang w:val="el-GR"/>
        </w:rPr>
        <w:t>στοιχεία</w:t>
      </w:r>
      <w:r w:rsidRPr="003823BF">
        <w:rPr>
          <w:lang w:val="el-GR"/>
        </w:rPr>
        <w:t xml:space="preserve"> </w:t>
      </w:r>
      <w:r>
        <w:rPr>
          <w:lang w:val="el-GR"/>
        </w:rPr>
        <w:t>από</w:t>
      </w:r>
      <w:r w:rsidRPr="003823BF">
        <w:rPr>
          <w:lang w:val="el-GR"/>
        </w:rPr>
        <w:t xml:space="preserve"> </w:t>
      </w:r>
      <w:r>
        <w:rPr>
          <w:lang w:val="el-GR"/>
        </w:rPr>
        <w:t>τη</w:t>
      </w:r>
      <w:r w:rsidRPr="003823BF">
        <w:rPr>
          <w:lang w:val="el-GR"/>
        </w:rPr>
        <w:t xml:space="preserve"> </w:t>
      </w:r>
      <w:r>
        <w:rPr>
          <w:lang w:val="el-GR"/>
        </w:rPr>
        <w:t>χρήση</w:t>
      </w:r>
      <w:r w:rsidRPr="003823BF">
        <w:rPr>
          <w:lang w:val="el-GR"/>
        </w:rPr>
        <w:t xml:space="preserve"> </w:t>
      </w:r>
      <w:r>
        <w:rPr>
          <w:lang w:val="el-GR"/>
        </w:rPr>
        <w:t>της</w:t>
      </w:r>
      <w:r w:rsidRPr="003823BF">
        <w:rPr>
          <w:lang w:val="el-GR"/>
        </w:rPr>
        <w:t xml:space="preserve"> </w:t>
      </w:r>
      <w:r>
        <w:rPr>
          <w:lang w:val="el-GR"/>
        </w:rPr>
        <w:t>γλυκοζαμίνης</w:t>
      </w:r>
      <w:r w:rsidRPr="003823BF">
        <w:rPr>
          <w:lang w:val="el-GR"/>
        </w:rPr>
        <w:t xml:space="preserve"> </w:t>
      </w:r>
      <w:r>
        <w:rPr>
          <w:lang w:val="el-GR"/>
        </w:rPr>
        <w:t>σε</w:t>
      </w:r>
      <w:r w:rsidRPr="003823BF">
        <w:rPr>
          <w:lang w:val="el-GR"/>
        </w:rPr>
        <w:t xml:space="preserve"> </w:t>
      </w:r>
      <w:r>
        <w:rPr>
          <w:lang w:val="el-GR"/>
        </w:rPr>
        <w:t>έγκυες</w:t>
      </w:r>
      <w:r w:rsidRPr="003823BF">
        <w:rPr>
          <w:lang w:val="el-GR"/>
        </w:rPr>
        <w:t xml:space="preserve"> </w:t>
      </w:r>
      <w:r>
        <w:rPr>
          <w:lang w:val="el-GR"/>
        </w:rPr>
        <w:t>γυναίκες</w:t>
      </w:r>
      <w:r w:rsidRPr="003823BF">
        <w:rPr>
          <w:lang w:val="el-GR"/>
        </w:rPr>
        <w:t xml:space="preserve">. </w:t>
      </w:r>
      <w:r>
        <w:rPr>
          <w:lang w:val="el-GR"/>
        </w:rPr>
        <w:t>Τα</w:t>
      </w:r>
      <w:r w:rsidRPr="003823BF">
        <w:rPr>
          <w:lang w:val="el-GR"/>
        </w:rPr>
        <w:t xml:space="preserve"> </w:t>
      </w:r>
      <w:r>
        <w:rPr>
          <w:lang w:val="el-GR"/>
        </w:rPr>
        <w:t>διαθέσιμα</w:t>
      </w:r>
      <w:r w:rsidRPr="003823BF">
        <w:rPr>
          <w:lang w:val="el-GR"/>
        </w:rPr>
        <w:t xml:space="preserve"> </w:t>
      </w:r>
      <w:r>
        <w:rPr>
          <w:lang w:val="el-GR"/>
        </w:rPr>
        <w:t>στοιχεία</w:t>
      </w:r>
      <w:r w:rsidRPr="003823BF">
        <w:rPr>
          <w:lang w:val="el-GR"/>
        </w:rPr>
        <w:t xml:space="preserve"> </w:t>
      </w:r>
      <w:r>
        <w:rPr>
          <w:lang w:val="el-GR"/>
        </w:rPr>
        <w:t>από</w:t>
      </w:r>
      <w:r w:rsidRPr="003823BF">
        <w:rPr>
          <w:lang w:val="el-GR"/>
        </w:rPr>
        <w:t xml:space="preserve"> </w:t>
      </w:r>
      <w:r>
        <w:rPr>
          <w:lang w:val="el-GR"/>
        </w:rPr>
        <w:t>μελέτες</w:t>
      </w:r>
      <w:r w:rsidRPr="003823BF">
        <w:rPr>
          <w:lang w:val="el-GR"/>
        </w:rPr>
        <w:t xml:space="preserve"> </w:t>
      </w:r>
      <w:r>
        <w:rPr>
          <w:lang w:val="el-GR"/>
        </w:rPr>
        <w:t>σε</w:t>
      </w:r>
      <w:r w:rsidRPr="003823BF">
        <w:rPr>
          <w:lang w:val="el-GR"/>
        </w:rPr>
        <w:t xml:space="preserve"> </w:t>
      </w:r>
      <w:r>
        <w:rPr>
          <w:lang w:val="el-GR"/>
        </w:rPr>
        <w:t>ζώα</w:t>
      </w:r>
      <w:r w:rsidRPr="003823BF">
        <w:rPr>
          <w:lang w:val="el-GR"/>
        </w:rPr>
        <w:t xml:space="preserve"> </w:t>
      </w:r>
      <w:r>
        <w:rPr>
          <w:lang w:val="el-GR"/>
        </w:rPr>
        <w:t>είναι</w:t>
      </w:r>
      <w:r w:rsidRPr="003823BF">
        <w:rPr>
          <w:lang w:val="el-GR"/>
        </w:rPr>
        <w:t xml:space="preserve"> </w:t>
      </w:r>
      <w:r>
        <w:rPr>
          <w:lang w:val="el-GR"/>
        </w:rPr>
        <w:t>ανεπαρκή</w:t>
      </w:r>
      <w:r w:rsidRPr="003823BF">
        <w:rPr>
          <w:lang w:val="el-GR"/>
        </w:rPr>
        <w:t xml:space="preserve">. </w:t>
      </w:r>
      <w:r>
        <w:rPr>
          <w:lang w:val="el-GR"/>
        </w:rPr>
        <w:t>Η</w:t>
      </w:r>
      <w:r w:rsidRPr="003823BF">
        <w:rPr>
          <w:lang w:val="el-GR"/>
        </w:rPr>
        <w:t xml:space="preserve"> </w:t>
      </w:r>
      <w:r>
        <w:rPr>
          <w:lang w:val="el-GR"/>
        </w:rPr>
        <w:t>γλυκοζαμίνη</w:t>
      </w:r>
      <w:r w:rsidRPr="003823BF">
        <w:rPr>
          <w:lang w:val="el-GR"/>
        </w:rPr>
        <w:t xml:space="preserve"> </w:t>
      </w:r>
      <w:r>
        <w:rPr>
          <w:lang w:val="el-GR"/>
        </w:rPr>
        <w:t>δεν</w:t>
      </w:r>
      <w:r w:rsidRPr="003823BF">
        <w:rPr>
          <w:lang w:val="el-GR"/>
        </w:rPr>
        <w:t xml:space="preserve"> </w:t>
      </w:r>
      <w:r>
        <w:rPr>
          <w:lang w:val="el-GR"/>
        </w:rPr>
        <w:t>θα</w:t>
      </w:r>
      <w:r w:rsidRPr="003823BF">
        <w:rPr>
          <w:lang w:val="el-GR"/>
        </w:rPr>
        <w:t xml:space="preserve"> </w:t>
      </w:r>
      <w:r>
        <w:rPr>
          <w:lang w:val="el-GR"/>
        </w:rPr>
        <w:t>πρέπει</w:t>
      </w:r>
      <w:r w:rsidRPr="003823BF">
        <w:rPr>
          <w:lang w:val="el-GR"/>
        </w:rPr>
        <w:t xml:space="preserve"> </w:t>
      </w:r>
      <w:r>
        <w:rPr>
          <w:lang w:val="el-GR"/>
        </w:rPr>
        <w:t>να</w:t>
      </w:r>
      <w:r w:rsidRPr="003823BF">
        <w:rPr>
          <w:lang w:val="el-GR"/>
        </w:rPr>
        <w:t xml:space="preserve"> </w:t>
      </w:r>
      <w:r>
        <w:rPr>
          <w:lang w:val="el-GR"/>
        </w:rPr>
        <w:t>χρησιμοποιείται</w:t>
      </w:r>
      <w:r w:rsidRPr="003823BF">
        <w:rPr>
          <w:lang w:val="el-GR"/>
        </w:rPr>
        <w:t xml:space="preserve"> </w:t>
      </w:r>
      <w:r>
        <w:rPr>
          <w:lang w:val="el-GR"/>
        </w:rPr>
        <w:t>κατά</w:t>
      </w:r>
      <w:r w:rsidRPr="003823BF">
        <w:rPr>
          <w:lang w:val="el-GR"/>
        </w:rPr>
        <w:t xml:space="preserve"> </w:t>
      </w:r>
      <w:r>
        <w:rPr>
          <w:lang w:val="el-GR"/>
        </w:rPr>
        <w:t>τη</w:t>
      </w:r>
      <w:r w:rsidRPr="003823BF">
        <w:rPr>
          <w:lang w:val="el-GR"/>
        </w:rPr>
        <w:t xml:space="preserve"> </w:t>
      </w:r>
      <w:r>
        <w:rPr>
          <w:lang w:val="el-GR"/>
        </w:rPr>
        <w:t>διάρκεια</w:t>
      </w:r>
      <w:r w:rsidRPr="003823BF">
        <w:rPr>
          <w:lang w:val="el-GR"/>
        </w:rPr>
        <w:t xml:space="preserve"> </w:t>
      </w:r>
      <w:r>
        <w:rPr>
          <w:lang w:val="el-GR"/>
        </w:rPr>
        <w:t>της</w:t>
      </w:r>
      <w:r w:rsidRPr="003823BF">
        <w:rPr>
          <w:lang w:val="el-GR"/>
        </w:rPr>
        <w:t xml:space="preserve"> </w:t>
      </w:r>
      <w:r>
        <w:rPr>
          <w:lang w:val="el-GR"/>
        </w:rPr>
        <w:t>κύησης</w:t>
      </w:r>
      <w:r w:rsidRPr="003823BF">
        <w:rPr>
          <w:lang w:val="el-GR"/>
        </w:rPr>
        <w:t>.</w:t>
      </w:r>
    </w:p>
    <w:p w:rsidR="000B7269" w:rsidRPr="003823BF" w:rsidRDefault="000B7269" w:rsidP="000B7269">
      <w:pPr>
        <w:spacing w:line="28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Γαλουχία</w:t>
      </w:r>
    </w:p>
    <w:p w:rsidR="000B7269" w:rsidRPr="003823BF" w:rsidRDefault="000B7269" w:rsidP="000B7269">
      <w:pPr>
        <w:spacing w:after="120"/>
        <w:rPr>
          <w:sz w:val="24"/>
          <w:szCs w:val="24"/>
        </w:rPr>
      </w:pPr>
      <w:bookmarkStart w:id="5" w:name="_Toc315660223"/>
      <w:bookmarkStart w:id="6" w:name="_Toc23134208"/>
      <w:r>
        <w:rPr>
          <w:sz w:val="24"/>
          <w:szCs w:val="24"/>
        </w:rPr>
        <w:t>Δεν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υπάρχουν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διαθέσιμα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στοιχεία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σχετικά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απέκκριση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γλυκοζαμίνης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στο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μητρικό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γάλα</w:t>
      </w:r>
      <w:r w:rsidRPr="003823BF">
        <w:rPr>
          <w:sz w:val="24"/>
          <w:szCs w:val="24"/>
        </w:rPr>
        <w:t xml:space="preserve">. </w:t>
      </w:r>
      <w:r>
        <w:rPr>
          <w:sz w:val="24"/>
          <w:szCs w:val="24"/>
        </w:rPr>
        <w:t>Συνεπώς</w:t>
      </w:r>
      <w:r w:rsidRPr="003823BF">
        <w:rPr>
          <w:sz w:val="24"/>
          <w:szCs w:val="24"/>
        </w:rPr>
        <w:t xml:space="preserve">, </w:t>
      </w:r>
      <w:r>
        <w:rPr>
          <w:sz w:val="24"/>
          <w:szCs w:val="24"/>
        </w:rPr>
        <w:t>δεν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συνιστάται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χρήση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γλυκοζαμίνης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κατά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διάρκεια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γαλουχίας</w:t>
      </w:r>
      <w:r w:rsidRPr="003823BF">
        <w:rPr>
          <w:sz w:val="24"/>
          <w:szCs w:val="24"/>
        </w:rPr>
        <w:t xml:space="preserve">, </w:t>
      </w:r>
      <w:r>
        <w:rPr>
          <w:sz w:val="24"/>
          <w:szCs w:val="24"/>
        </w:rPr>
        <w:t>καθώς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δεν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υπάρχουν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στοιχεία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ασφάλεια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 w:rsidRPr="003823BF">
        <w:rPr>
          <w:sz w:val="24"/>
          <w:szCs w:val="24"/>
        </w:rPr>
        <w:t xml:space="preserve"> </w:t>
      </w:r>
      <w:r>
        <w:rPr>
          <w:sz w:val="24"/>
          <w:szCs w:val="24"/>
        </w:rPr>
        <w:t>νεογνού</w:t>
      </w:r>
      <w:r w:rsidRPr="003823BF">
        <w:rPr>
          <w:sz w:val="24"/>
          <w:szCs w:val="24"/>
        </w:rPr>
        <w:t>.</w:t>
      </w:r>
    </w:p>
    <w:bookmarkEnd w:id="5"/>
    <w:bookmarkEnd w:id="6"/>
    <w:p w:rsidR="008E130C" w:rsidRPr="001957DB" w:rsidRDefault="000B7269" w:rsidP="000B7269">
      <w:pPr>
        <w:rPr>
          <w:i/>
          <w:color w:val="008000"/>
        </w:rPr>
      </w:pPr>
      <w:r>
        <w:rPr>
          <w:i/>
          <w:color w:val="008000"/>
        </w:rPr>
        <w:t xml:space="preserve"> </w:t>
      </w:r>
    </w:p>
    <w:p w:rsidR="008E130C" w:rsidRPr="001957DB" w:rsidRDefault="008E130C"/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4.7</w:t>
      </w:r>
      <w:r w:rsidRPr="00367D9E">
        <w:rPr>
          <w:b/>
          <w:sz w:val="24"/>
          <w:szCs w:val="24"/>
        </w:rPr>
        <w:tab/>
        <w:t>Επιδράσεις στην ικανότητα οδήγησης και χειρισμού μηχανών</w:t>
      </w:r>
    </w:p>
    <w:p w:rsidR="008E130C" w:rsidRPr="00367D9E" w:rsidRDefault="008E130C">
      <w:pPr>
        <w:rPr>
          <w:sz w:val="24"/>
          <w:szCs w:val="24"/>
        </w:rPr>
      </w:pPr>
    </w:p>
    <w:p w:rsidR="000B7269" w:rsidRPr="00367D9E" w:rsidRDefault="000B7269" w:rsidP="000B7269">
      <w:pPr>
        <w:pStyle w:val="a7"/>
        <w:spacing w:before="120"/>
        <w:ind w:left="0"/>
        <w:rPr>
          <w:lang w:val="el-GR"/>
        </w:rPr>
      </w:pPr>
      <w:bookmarkStart w:id="7" w:name="_Toc315660224"/>
      <w:bookmarkStart w:id="8" w:name="_Toc23134209"/>
      <w:r w:rsidRPr="00367D9E">
        <w:rPr>
          <w:lang w:val="el-GR"/>
        </w:rPr>
        <w:t xml:space="preserve">Δεν πραγματοποιήθηκαν μελέτες σχετικά με τις επιδράσεις στην ικανότητα οδήγησης και χειρισμού μηχανών. </w:t>
      </w:r>
      <w:r w:rsidR="007D6066">
        <w:rPr>
          <w:lang w:val="el-GR"/>
        </w:rPr>
        <w:t>Εάν αισθανθείτε ζάλη</w:t>
      </w:r>
      <w:r w:rsidR="00FE530D" w:rsidRPr="00367D9E">
        <w:rPr>
          <w:lang w:val="el-GR"/>
        </w:rPr>
        <w:t xml:space="preserve"> ή υπνηλ</w:t>
      </w:r>
      <w:r w:rsidR="007D6066">
        <w:rPr>
          <w:lang w:val="el-GR"/>
        </w:rPr>
        <w:t>ία</w:t>
      </w:r>
      <w:r w:rsidRPr="00367D9E">
        <w:rPr>
          <w:lang w:val="el-GR"/>
        </w:rPr>
        <w:t>, δεν συνιστάται η οδήγηση και ο χειρισμός μηχανών.</w:t>
      </w:r>
    </w:p>
    <w:bookmarkEnd w:id="7"/>
    <w:bookmarkEnd w:id="8"/>
    <w:p w:rsidR="008E130C" w:rsidRPr="00367D9E" w:rsidRDefault="000B7269">
      <w:pPr>
        <w:rPr>
          <w:sz w:val="24"/>
          <w:szCs w:val="24"/>
        </w:rPr>
      </w:pPr>
      <w:r w:rsidRPr="00367D9E">
        <w:rPr>
          <w:sz w:val="24"/>
          <w:szCs w:val="24"/>
        </w:rPr>
        <w:t xml:space="preserve"> </w:t>
      </w:r>
    </w:p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4.8</w:t>
      </w:r>
      <w:r w:rsidRPr="00367D9E">
        <w:rPr>
          <w:b/>
          <w:sz w:val="24"/>
          <w:szCs w:val="24"/>
        </w:rPr>
        <w:tab/>
        <w:t>Ανεπιθύμητες ενέργειες</w:t>
      </w:r>
    </w:p>
    <w:p w:rsidR="000B7269" w:rsidRDefault="000B7269" w:rsidP="000B7269">
      <w:pPr>
        <w:pStyle w:val="a7"/>
        <w:spacing w:before="120" w:after="120"/>
        <w:ind w:left="0"/>
        <w:rPr>
          <w:lang w:val="el-GR"/>
        </w:rPr>
      </w:pPr>
      <w:r w:rsidRPr="00367D9E">
        <w:rPr>
          <w:lang w:val="el-GR"/>
        </w:rPr>
        <w:t>Οι πιο</w:t>
      </w:r>
      <w:r w:rsidRPr="00B73C85">
        <w:rPr>
          <w:lang w:val="el-GR"/>
        </w:rPr>
        <w:t xml:space="preserve"> </w:t>
      </w:r>
      <w:r>
        <w:rPr>
          <w:lang w:val="el-GR"/>
        </w:rPr>
        <w:t>συχνές</w:t>
      </w:r>
      <w:r w:rsidRPr="00B73C85">
        <w:rPr>
          <w:lang w:val="el-GR"/>
        </w:rPr>
        <w:t xml:space="preserve"> </w:t>
      </w:r>
      <w:r>
        <w:rPr>
          <w:lang w:val="el-GR"/>
        </w:rPr>
        <w:t>ανεπιθύμητες</w:t>
      </w:r>
      <w:r w:rsidRPr="00B73C85">
        <w:rPr>
          <w:lang w:val="el-GR"/>
        </w:rPr>
        <w:t xml:space="preserve"> </w:t>
      </w:r>
      <w:r>
        <w:rPr>
          <w:lang w:val="el-GR"/>
        </w:rPr>
        <w:t>ενέργειες</w:t>
      </w:r>
      <w:r w:rsidRPr="00B73C85">
        <w:rPr>
          <w:lang w:val="el-GR"/>
        </w:rPr>
        <w:t xml:space="preserve"> </w:t>
      </w:r>
      <w:r>
        <w:rPr>
          <w:lang w:val="el-GR"/>
        </w:rPr>
        <w:t>που</w:t>
      </w:r>
      <w:r w:rsidRPr="00B73C85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B73C85">
        <w:rPr>
          <w:lang w:val="el-GR"/>
        </w:rPr>
        <w:t xml:space="preserve"> </w:t>
      </w:r>
      <w:r>
        <w:rPr>
          <w:lang w:val="el-GR"/>
        </w:rPr>
        <w:t>με</w:t>
      </w:r>
      <w:r w:rsidRPr="00B73C85">
        <w:rPr>
          <w:lang w:val="el-GR"/>
        </w:rPr>
        <w:t xml:space="preserve"> </w:t>
      </w:r>
      <w:r>
        <w:rPr>
          <w:lang w:val="el-GR"/>
        </w:rPr>
        <w:t>τη</w:t>
      </w:r>
      <w:r w:rsidRPr="00B73C85">
        <w:rPr>
          <w:lang w:val="el-GR"/>
        </w:rPr>
        <w:t xml:space="preserve"> </w:t>
      </w:r>
      <w:r>
        <w:rPr>
          <w:lang w:val="el-GR"/>
        </w:rPr>
        <w:t>χορήγηση</w:t>
      </w:r>
      <w:r w:rsidRPr="00B73C85">
        <w:rPr>
          <w:lang w:val="el-GR"/>
        </w:rPr>
        <w:t xml:space="preserve"> </w:t>
      </w:r>
      <w:r>
        <w:rPr>
          <w:lang w:val="el-GR"/>
        </w:rPr>
        <w:t>γλυκοζαμίνης</w:t>
      </w:r>
      <w:r w:rsidRPr="00B73C85">
        <w:rPr>
          <w:lang w:val="el-GR"/>
        </w:rPr>
        <w:t xml:space="preserve"> </w:t>
      </w:r>
      <w:r>
        <w:rPr>
          <w:lang w:val="el-GR"/>
        </w:rPr>
        <w:t>είναι</w:t>
      </w:r>
      <w:r w:rsidRPr="00B73C85">
        <w:rPr>
          <w:lang w:val="el-GR"/>
        </w:rPr>
        <w:t xml:space="preserve"> </w:t>
      </w:r>
      <w:r>
        <w:rPr>
          <w:lang w:val="el-GR"/>
        </w:rPr>
        <w:t>ναυτία</w:t>
      </w:r>
      <w:r w:rsidRPr="00B73C85">
        <w:rPr>
          <w:lang w:val="el-GR"/>
        </w:rPr>
        <w:t xml:space="preserve">, </w:t>
      </w:r>
      <w:r>
        <w:rPr>
          <w:lang w:val="el-GR"/>
        </w:rPr>
        <w:t>κοιλιακό</w:t>
      </w:r>
      <w:r w:rsidRPr="00B73C85">
        <w:rPr>
          <w:lang w:val="el-GR"/>
        </w:rPr>
        <w:t xml:space="preserve"> </w:t>
      </w:r>
      <w:r>
        <w:rPr>
          <w:lang w:val="el-GR"/>
        </w:rPr>
        <w:t>άλγος</w:t>
      </w:r>
      <w:r w:rsidRPr="00B73C85">
        <w:rPr>
          <w:lang w:val="el-GR"/>
        </w:rPr>
        <w:t xml:space="preserve">, </w:t>
      </w:r>
      <w:r>
        <w:rPr>
          <w:lang w:val="el-GR"/>
        </w:rPr>
        <w:t>δυσπεψία</w:t>
      </w:r>
      <w:r w:rsidRPr="00B73C85">
        <w:rPr>
          <w:lang w:val="el-GR"/>
        </w:rPr>
        <w:t xml:space="preserve">, </w:t>
      </w:r>
      <w:r>
        <w:rPr>
          <w:lang w:val="el-GR"/>
        </w:rPr>
        <w:t>δυσκοιλιότητα</w:t>
      </w:r>
      <w:r w:rsidRPr="00B73C85">
        <w:rPr>
          <w:lang w:val="el-GR"/>
        </w:rPr>
        <w:t xml:space="preserve"> </w:t>
      </w:r>
      <w:r>
        <w:rPr>
          <w:lang w:val="el-GR"/>
        </w:rPr>
        <w:t>και</w:t>
      </w:r>
      <w:r w:rsidRPr="00B73C85">
        <w:rPr>
          <w:lang w:val="el-GR"/>
        </w:rPr>
        <w:t xml:space="preserve"> </w:t>
      </w:r>
      <w:r>
        <w:rPr>
          <w:lang w:val="el-GR"/>
        </w:rPr>
        <w:t>διάρροια</w:t>
      </w:r>
      <w:r w:rsidRPr="00B73C85">
        <w:rPr>
          <w:lang w:val="el-GR"/>
        </w:rPr>
        <w:t xml:space="preserve">. </w:t>
      </w:r>
      <w:r>
        <w:rPr>
          <w:lang w:val="el-GR"/>
        </w:rPr>
        <w:t>Επίσης, έχουν αναφερθεί κεφαλαλγία, κόπωση, εξάνθημα, κνησμός και ερυθρότητα. Οι αναφερόμενες ανεπιθύμητες ενέργειες είναι συνήθως ήπιας βαρύτητας και παροδικές.</w:t>
      </w:r>
    </w:p>
    <w:p w:rsidR="0072307C" w:rsidRPr="00B6665F" w:rsidRDefault="0072307C" w:rsidP="000B7269">
      <w:pPr>
        <w:pStyle w:val="a7"/>
        <w:spacing w:before="120" w:after="120"/>
        <w:ind w:left="0"/>
        <w:rPr>
          <w:lang w:val="el-GR"/>
        </w:rPr>
      </w:pPr>
      <w:r>
        <w:rPr>
          <w:lang w:val="el-GR"/>
        </w:rPr>
        <w:t xml:space="preserve">Στον παρακάτω πίνακα όλες οι </w:t>
      </w:r>
      <w:r w:rsidR="00E138D6">
        <w:rPr>
          <w:lang w:val="el-GR"/>
        </w:rPr>
        <w:t xml:space="preserve">αιτιολογημένες </w:t>
      </w:r>
      <w:r>
        <w:rPr>
          <w:lang w:val="el-GR"/>
        </w:rPr>
        <w:t xml:space="preserve">ανεπιθύμητες ενέργειες αναφέρονται βάσει </w:t>
      </w:r>
      <w:r w:rsidR="000037E0">
        <w:rPr>
          <w:lang w:val="el-GR"/>
        </w:rPr>
        <w:t>οργανικού</w:t>
      </w:r>
      <w:r>
        <w:rPr>
          <w:lang w:val="el-GR"/>
        </w:rPr>
        <w:t xml:space="preserve"> </w:t>
      </w:r>
      <w:r w:rsidR="000037E0">
        <w:rPr>
          <w:lang w:val="el-GR"/>
        </w:rPr>
        <w:t>συστήματος</w:t>
      </w:r>
      <w:r w:rsidR="00546E5F">
        <w:rPr>
          <w:lang w:val="el-GR"/>
        </w:rPr>
        <w:t xml:space="preserve"> και συχνότητας: </w:t>
      </w:r>
      <w:r w:rsidR="00546E5F">
        <w:rPr>
          <w:sz w:val="22"/>
          <w:szCs w:val="22"/>
          <w:lang w:val="el-GR"/>
        </w:rPr>
        <w:t xml:space="preserve">πολύ συχνές </w:t>
      </w:r>
      <w:r w:rsidRPr="000037E0">
        <w:rPr>
          <w:sz w:val="22"/>
          <w:szCs w:val="22"/>
          <w:lang w:val="el-GR"/>
        </w:rPr>
        <w:t>≥ 1/10, συχνές (≥ 1/100 έως &lt; 1/10</w:t>
      </w:r>
      <w:r w:rsidR="00546E5F">
        <w:rPr>
          <w:sz w:val="22"/>
          <w:szCs w:val="22"/>
          <w:lang w:val="el-GR"/>
        </w:rPr>
        <w:t>)</w:t>
      </w:r>
      <w:r w:rsidRPr="000037E0">
        <w:rPr>
          <w:sz w:val="22"/>
          <w:szCs w:val="22"/>
          <w:lang w:val="el-GR"/>
        </w:rPr>
        <w:t>, όχι συχνές (≥ 1/1.000 έως ≤ 1/100</w:t>
      </w:r>
      <w:r w:rsidR="00546E5F">
        <w:rPr>
          <w:sz w:val="22"/>
          <w:szCs w:val="22"/>
          <w:lang w:val="el-GR"/>
        </w:rPr>
        <w:t>)</w:t>
      </w:r>
      <w:r w:rsidRPr="000037E0">
        <w:rPr>
          <w:sz w:val="22"/>
          <w:szCs w:val="22"/>
          <w:lang w:val="el-GR"/>
        </w:rPr>
        <w:t>, σπάνιες (≥ 1/1.0000 έως ≤ 1/1000</w:t>
      </w:r>
      <w:r w:rsidR="00546E5F">
        <w:rPr>
          <w:sz w:val="22"/>
          <w:szCs w:val="22"/>
          <w:lang w:val="el-GR"/>
        </w:rPr>
        <w:t>)</w:t>
      </w:r>
      <w:r w:rsidRPr="000037E0">
        <w:rPr>
          <w:sz w:val="22"/>
          <w:szCs w:val="22"/>
          <w:lang w:val="el-GR"/>
        </w:rPr>
        <w:t>, πολύ σπάνιες &lt;1/10.000, μη γνωστ</w:t>
      </w:r>
      <w:r w:rsidR="000037E0">
        <w:rPr>
          <w:sz w:val="22"/>
          <w:szCs w:val="22"/>
          <w:lang w:val="el-GR"/>
        </w:rPr>
        <w:t xml:space="preserve">ή </w:t>
      </w:r>
      <w:r w:rsidR="00E138D6">
        <w:rPr>
          <w:sz w:val="22"/>
          <w:szCs w:val="22"/>
          <w:lang w:val="el-GR"/>
        </w:rPr>
        <w:t xml:space="preserve"> </w:t>
      </w:r>
      <w:r w:rsidRPr="000037E0">
        <w:rPr>
          <w:sz w:val="22"/>
          <w:szCs w:val="22"/>
          <w:lang w:val="el-GR"/>
        </w:rPr>
        <w:t xml:space="preserve"> </w:t>
      </w:r>
      <w:r w:rsidR="000037E0" w:rsidRPr="000037E0">
        <w:rPr>
          <w:sz w:val="22"/>
          <w:szCs w:val="22"/>
          <w:lang w:val="el-GR"/>
        </w:rPr>
        <w:t>(δεν μπορούν να εκτιμηθούν από τα διαθέσιμα στοιχεία))</w:t>
      </w:r>
      <w:r>
        <w:rPr>
          <w:sz w:val="22"/>
          <w:szCs w:val="22"/>
          <w:lang w:val="el-GR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1960"/>
        <w:gridCol w:w="1909"/>
        <w:gridCol w:w="1298"/>
        <w:gridCol w:w="2349"/>
      </w:tblGrid>
      <w:tr w:rsidR="00FD66D9" w:rsidRPr="00FD66D9" w:rsidTr="001957DB">
        <w:tc>
          <w:tcPr>
            <w:tcW w:w="1948" w:type="dxa"/>
          </w:tcPr>
          <w:p w:rsidR="000037E0" w:rsidRPr="00FD66D9" w:rsidRDefault="000037E0" w:rsidP="00FD66D9">
            <w:pPr>
              <w:pStyle w:val="a7"/>
              <w:ind w:left="0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Κατηγορία Οργανικού Συστήματος</w:t>
            </w:r>
          </w:p>
        </w:tc>
        <w:tc>
          <w:tcPr>
            <w:tcW w:w="1960" w:type="dxa"/>
          </w:tcPr>
          <w:p w:rsidR="000037E0" w:rsidRPr="00FD66D9" w:rsidRDefault="000037E0" w:rsidP="00FD66D9">
            <w:pPr>
              <w:pStyle w:val="a7"/>
              <w:ind w:left="0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 xml:space="preserve">Συχνές </w:t>
            </w:r>
            <w:r w:rsidRPr="00FD66D9">
              <w:rPr>
                <w:sz w:val="22"/>
                <w:szCs w:val="22"/>
                <w:lang w:val="el-GR"/>
              </w:rPr>
              <w:br/>
              <w:t>(≥ 1/100 έως &lt; 1/10)</w:t>
            </w:r>
          </w:p>
        </w:tc>
        <w:tc>
          <w:tcPr>
            <w:tcW w:w="1909" w:type="dxa"/>
          </w:tcPr>
          <w:p w:rsidR="000037E0" w:rsidRPr="00FD66D9" w:rsidRDefault="000037E0" w:rsidP="00FD66D9">
            <w:pPr>
              <w:pStyle w:val="a7"/>
              <w:ind w:left="0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Όχι συχνές</w:t>
            </w:r>
            <w:r w:rsidRPr="00FD66D9">
              <w:rPr>
                <w:sz w:val="22"/>
                <w:szCs w:val="22"/>
                <w:lang w:val="el-GR"/>
              </w:rPr>
              <w:br/>
              <w:t>(≥ 1/1.000 έως ≤ 1/100)</w:t>
            </w:r>
          </w:p>
        </w:tc>
        <w:tc>
          <w:tcPr>
            <w:tcW w:w="1298" w:type="dxa"/>
          </w:tcPr>
          <w:p w:rsidR="000037E0" w:rsidRPr="00FD66D9" w:rsidRDefault="000037E0" w:rsidP="00FD66D9">
            <w:pPr>
              <w:pStyle w:val="a7"/>
              <w:ind w:left="0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Πολύ σπάνιες  &lt;1/10.000</w:t>
            </w:r>
          </w:p>
        </w:tc>
        <w:tc>
          <w:tcPr>
            <w:tcW w:w="2349" w:type="dxa"/>
          </w:tcPr>
          <w:p w:rsidR="000037E0" w:rsidRPr="00FD66D9" w:rsidRDefault="000037E0" w:rsidP="00FD66D9">
            <w:pPr>
              <w:pStyle w:val="a7"/>
              <w:ind w:left="0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 xml:space="preserve">  Μη γνωστή </w:t>
            </w:r>
            <w:r w:rsidR="00E138D6" w:rsidRPr="00FD66D9">
              <w:rPr>
                <w:sz w:val="22"/>
                <w:szCs w:val="22"/>
                <w:lang w:val="el-GR"/>
              </w:rPr>
              <w:t xml:space="preserve"> </w:t>
            </w:r>
          </w:p>
          <w:p w:rsidR="000037E0" w:rsidRPr="00FD66D9" w:rsidRDefault="000037E0" w:rsidP="00FD66D9">
            <w:pPr>
              <w:pStyle w:val="a7"/>
              <w:ind w:left="0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 xml:space="preserve">Δεν μπορούν να εκτιμηθούν  </w:t>
            </w:r>
            <w:r w:rsidR="00E138D6" w:rsidRPr="00FD66D9">
              <w:rPr>
                <w:sz w:val="22"/>
                <w:szCs w:val="22"/>
                <w:lang w:val="el-GR"/>
              </w:rPr>
              <w:t xml:space="preserve">από </w:t>
            </w:r>
            <w:r w:rsidRPr="00FD66D9">
              <w:rPr>
                <w:sz w:val="22"/>
                <w:szCs w:val="22"/>
                <w:lang w:val="el-GR"/>
              </w:rPr>
              <w:t xml:space="preserve">τα διαθέσιμα στοιχεία       </w:t>
            </w:r>
          </w:p>
        </w:tc>
      </w:tr>
      <w:tr w:rsidR="00FD66D9" w:rsidRPr="00FD66D9" w:rsidTr="001957DB">
        <w:tc>
          <w:tcPr>
            <w:tcW w:w="1948" w:type="dxa"/>
          </w:tcPr>
          <w:p w:rsidR="008B1027" w:rsidRPr="00FD66D9" w:rsidRDefault="008B1027" w:rsidP="00FD66D9">
            <w:pPr>
              <w:pStyle w:val="a7"/>
              <w:ind w:left="0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 xml:space="preserve">Διαταραχές μεταβολισμού και </w:t>
            </w:r>
            <w:r w:rsidR="00546E5F" w:rsidRPr="00FD66D9">
              <w:rPr>
                <w:sz w:val="22"/>
                <w:szCs w:val="22"/>
                <w:lang w:val="el-GR"/>
              </w:rPr>
              <w:t>θρέψης</w:t>
            </w:r>
          </w:p>
        </w:tc>
        <w:tc>
          <w:tcPr>
            <w:tcW w:w="1960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trike/>
                <w:sz w:val="22"/>
                <w:szCs w:val="22"/>
                <w:lang w:val="sv-SE"/>
              </w:rPr>
            </w:pPr>
          </w:p>
        </w:tc>
        <w:tc>
          <w:tcPr>
            <w:tcW w:w="1909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298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8B1027" w:rsidRPr="001957DB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Ανεπαρκής έλεγχος σακχαρώδους διαβήτη</w:t>
            </w:r>
            <w:r w:rsidR="001957DB" w:rsidRPr="001957DB">
              <w:rPr>
                <w:sz w:val="22"/>
                <w:szCs w:val="22"/>
                <w:lang w:val="el-GR"/>
              </w:rPr>
              <w:t>,</w:t>
            </w:r>
          </w:p>
          <w:p w:rsidR="001957DB" w:rsidRPr="001957DB" w:rsidRDefault="001957DB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1957DB">
              <w:rPr>
                <w:sz w:val="22"/>
                <w:szCs w:val="22"/>
              </w:rPr>
              <w:t>υπερχοληστερολαιμία</w:t>
            </w:r>
          </w:p>
        </w:tc>
      </w:tr>
      <w:tr w:rsidR="00FD66D9" w:rsidRPr="00FD66D9" w:rsidTr="001957DB">
        <w:tc>
          <w:tcPr>
            <w:tcW w:w="1948" w:type="dxa"/>
          </w:tcPr>
          <w:p w:rsidR="008B1027" w:rsidRPr="00FD66D9" w:rsidRDefault="008B1027" w:rsidP="00FD66D9">
            <w:pPr>
              <w:pStyle w:val="a7"/>
              <w:ind w:left="0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Διαταραχές του νευρικού συστήματος</w:t>
            </w:r>
          </w:p>
        </w:tc>
        <w:tc>
          <w:tcPr>
            <w:tcW w:w="1960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D66D9">
              <w:rPr>
                <w:sz w:val="22"/>
                <w:szCs w:val="22"/>
                <w:lang w:val="el-GR"/>
              </w:rPr>
              <w:t>Κεφαλαλγία</w:t>
            </w:r>
          </w:p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Κόπωση</w:t>
            </w:r>
          </w:p>
        </w:tc>
        <w:tc>
          <w:tcPr>
            <w:tcW w:w="1909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trike/>
                <w:sz w:val="22"/>
                <w:szCs w:val="22"/>
              </w:rPr>
            </w:pPr>
            <w:r w:rsidRPr="00FD66D9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298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349" w:type="dxa"/>
          </w:tcPr>
          <w:p w:rsidR="008B1027" w:rsidRPr="00FD66D9" w:rsidRDefault="00546E5F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Ζ</w:t>
            </w:r>
            <w:r w:rsidR="008B1027" w:rsidRPr="00FD66D9">
              <w:rPr>
                <w:sz w:val="22"/>
                <w:szCs w:val="22"/>
                <w:lang w:val="el-GR"/>
              </w:rPr>
              <w:t>άλη</w:t>
            </w:r>
          </w:p>
        </w:tc>
      </w:tr>
      <w:tr w:rsidR="00FD66D9" w:rsidRPr="00FD66D9" w:rsidTr="001957DB">
        <w:tc>
          <w:tcPr>
            <w:tcW w:w="1948" w:type="dxa"/>
          </w:tcPr>
          <w:p w:rsidR="008B1027" w:rsidRPr="00FD66D9" w:rsidRDefault="008B1027" w:rsidP="00FD66D9">
            <w:pPr>
              <w:pStyle w:val="a7"/>
              <w:ind w:left="0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 xml:space="preserve">Διαταραχές αναπνευστικού, θωρακικού και μεσοθωράκιου  </w:t>
            </w:r>
          </w:p>
        </w:tc>
        <w:tc>
          <w:tcPr>
            <w:tcW w:w="1960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909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trike/>
                <w:sz w:val="22"/>
                <w:szCs w:val="22"/>
                <w:lang w:val="sv-SE"/>
              </w:rPr>
            </w:pPr>
          </w:p>
        </w:tc>
        <w:tc>
          <w:tcPr>
            <w:tcW w:w="1298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trike/>
                <w:sz w:val="22"/>
                <w:szCs w:val="22"/>
                <w:lang w:val="sv-SE"/>
              </w:rPr>
            </w:pPr>
          </w:p>
        </w:tc>
        <w:tc>
          <w:tcPr>
            <w:tcW w:w="2349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Επιδείνωση άσθματος</w:t>
            </w:r>
          </w:p>
        </w:tc>
      </w:tr>
      <w:tr w:rsidR="00FD66D9" w:rsidRPr="00FD66D9" w:rsidTr="001957DB">
        <w:tc>
          <w:tcPr>
            <w:tcW w:w="1948" w:type="dxa"/>
          </w:tcPr>
          <w:p w:rsidR="008B1027" w:rsidRPr="00FD66D9" w:rsidRDefault="008B1027" w:rsidP="00FD66D9">
            <w:pPr>
              <w:pStyle w:val="a7"/>
              <w:ind w:left="0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Διαταραχές του γαστρεντερικού συστήματος</w:t>
            </w:r>
          </w:p>
        </w:tc>
        <w:tc>
          <w:tcPr>
            <w:tcW w:w="1960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Ναυτία</w:t>
            </w:r>
          </w:p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 xml:space="preserve">Κοιλιακό άλγος </w:t>
            </w:r>
            <w:r w:rsidRPr="00FD66D9">
              <w:rPr>
                <w:sz w:val="22"/>
                <w:szCs w:val="22"/>
                <w:lang w:val="el-GR"/>
              </w:rPr>
              <w:br/>
              <w:t>Δυσπεψία</w:t>
            </w:r>
          </w:p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Διάρροια</w:t>
            </w:r>
          </w:p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Δυσκοιλιότητα</w:t>
            </w:r>
          </w:p>
        </w:tc>
        <w:tc>
          <w:tcPr>
            <w:tcW w:w="1909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trike/>
                <w:sz w:val="22"/>
                <w:szCs w:val="22"/>
                <w:lang w:val="sv-SE"/>
              </w:rPr>
            </w:pPr>
            <w:r w:rsidRPr="00FD66D9">
              <w:rPr>
                <w:strike/>
                <w:sz w:val="22"/>
                <w:szCs w:val="22"/>
                <w:lang w:val="sv-SE"/>
              </w:rPr>
              <w:t>-</w:t>
            </w:r>
          </w:p>
        </w:tc>
        <w:tc>
          <w:tcPr>
            <w:tcW w:w="1298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trike/>
                <w:sz w:val="22"/>
                <w:szCs w:val="22"/>
                <w:lang w:val="sv-SE"/>
              </w:rPr>
            </w:pPr>
          </w:p>
        </w:tc>
        <w:tc>
          <w:tcPr>
            <w:tcW w:w="2349" w:type="dxa"/>
          </w:tcPr>
          <w:p w:rsidR="008B1027" w:rsidRPr="00FD66D9" w:rsidRDefault="00546E5F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 xml:space="preserve"> Έ</w:t>
            </w:r>
            <w:r w:rsidR="008B1027" w:rsidRPr="00FD66D9">
              <w:rPr>
                <w:sz w:val="22"/>
                <w:szCs w:val="22"/>
                <w:lang w:val="el-GR"/>
              </w:rPr>
              <w:t>μετος</w:t>
            </w:r>
          </w:p>
        </w:tc>
      </w:tr>
      <w:tr w:rsidR="00FD66D9" w:rsidRPr="00FD66D9" w:rsidTr="001957DB">
        <w:tc>
          <w:tcPr>
            <w:tcW w:w="1948" w:type="dxa"/>
          </w:tcPr>
          <w:p w:rsidR="008B1027" w:rsidRPr="00FD66D9" w:rsidRDefault="008B1027" w:rsidP="00FD66D9">
            <w:pPr>
              <w:pStyle w:val="a7"/>
              <w:ind w:left="0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Διαταραχές</w:t>
            </w:r>
            <w:r w:rsidRPr="00FD66D9">
              <w:rPr>
                <w:sz w:val="22"/>
                <w:szCs w:val="22"/>
                <w:lang w:val="sv-SE"/>
              </w:rPr>
              <w:t xml:space="preserve"> </w:t>
            </w:r>
            <w:r w:rsidRPr="00FD66D9">
              <w:rPr>
                <w:sz w:val="22"/>
                <w:szCs w:val="22"/>
                <w:lang w:val="el-GR"/>
              </w:rPr>
              <w:t>του ήπατος και των χοληφόρων</w:t>
            </w:r>
          </w:p>
        </w:tc>
        <w:tc>
          <w:tcPr>
            <w:tcW w:w="1960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trike/>
                <w:sz w:val="22"/>
                <w:szCs w:val="22"/>
                <w:lang w:val="sv-SE"/>
              </w:rPr>
            </w:pPr>
          </w:p>
        </w:tc>
        <w:tc>
          <w:tcPr>
            <w:tcW w:w="1909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298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2349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Αύξηση ηπατικών ενζύμων, ίκτερος</w:t>
            </w:r>
          </w:p>
        </w:tc>
      </w:tr>
      <w:tr w:rsidR="00FD66D9" w:rsidRPr="00FD66D9" w:rsidTr="001957DB">
        <w:tc>
          <w:tcPr>
            <w:tcW w:w="1948" w:type="dxa"/>
          </w:tcPr>
          <w:p w:rsidR="008B1027" w:rsidRPr="00FD66D9" w:rsidRDefault="008B1027" w:rsidP="00FD66D9">
            <w:pPr>
              <w:pStyle w:val="a7"/>
              <w:ind w:left="0"/>
              <w:rPr>
                <w:sz w:val="22"/>
                <w:szCs w:val="22"/>
                <w:lang w:val="sv-SE"/>
              </w:rPr>
            </w:pPr>
            <w:r w:rsidRPr="00FD66D9">
              <w:rPr>
                <w:sz w:val="22"/>
                <w:szCs w:val="22"/>
                <w:lang w:val="el-GR"/>
              </w:rPr>
              <w:t>Διαταραχές</w:t>
            </w:r>
            <w:r w:rsidRPr="00FD66D9">
              <w:rPr>
                <w:sz w:val="22"/>
                <w:szCs w:val="22"/>
                <w:lang w:val="sv-SE"/>
              </w:rPr>
              <w:t xml:space="preserve"> </w:t>
            </w:r>
            <w:r w:rsidRPr="00FD66D9">
              <w:rPr>
                <w:sz w:val="22"/>
                <w:szCs w:val="22"/>
                <w:lang w:val="el-GR"/>
              </w:rPr>
              <w:t>του</w:t>
            </w:r>
            <w:r w:rsidRPr="00FD66D9">
              <w:rPr>
                <w:sz w:val="22"/>
                <w:szCs w:val="22"/>
                <w:lang w:val="sv-SE"/>
              </w:rPr>
              <w:t xml:space="preserve"> </w:t>
            </w:r>
            <w:r w:rsidRPr="00FD66D9">
              <w:rPr>
                <w:sz w:val="22"/>
                <w:szCs w:val="22"/>
                <w:lang w:val="el-GR"/>
              </w:rPr>
              <w:t>δέρματος</w:t>
            </w:r>
            <w:r w:rsidRPr="00FD66D9">
              <w:rPr>
                <w:sz w:val="22"/>
                <w:szCs w:val="22"/>
                <w:lang w:val="sv-SE"/>
              </w:rPr>
              <w:t xml:space="preserve"> </w:t>
            </w:r>
            <w:r w:rsidRPr="00FD66D9">
              <w:rPr>
                <w:sz w:val="22"/>
                <w:szCs w:val="22"/>
                <w:lang w:val="el-GR"/>
              </w:rPr>
              <w:t>και</w:t>
            </w:r>
            <w:r w:rsidRPr="00FD66D9">
              <w:rPr>
                <w:sz w:val="22"/>
                <w:szCs w:val="22"/>
                <w:lang w:val="sv-SE"/>
              </w:rPr>
              <w:t xml:space="preserve"> </w:t>
            </w:r>
            <w:r w:rsidRPr="00FD66D9">
              <w:rPr>
                <w:sz w:val="22"/>
                <w:szCs w:val="22"/>
                <w:lang w:val="el-GR"/>
              </w:rPr>
              <w:t>του</w:t>
            </w:r>
            <w:r w:rsidRPr="00FD66D9">
              <w:rPr>
                <w:sz w:val="22"/>
                <w:szCs w:val="22"/>
                <w:lang w:val="sv-SE"/>
              </w:rPr>
              <w:t xml:space="preserve"> </w:t>
            </w:r>
            <w:r w:rsidRPr="00FD66D9">
              <w:rPr>
                <w:sz w:val="22"/>
                <w:szCs w:val="22"/>
                <w:lang w:val="el-GR"/>
              </w:rPr>
              <w:t>υποδόριου</w:t>
            </w:r>
            <w:r w:rsidRPr="00FD66D9">
              <w:rPr>
                <w:sz w:val="22"/>
                <w:szCs w:val="22"/>
                <w:lang w:val="sv-SE"/>
              </w:rPr>
              <w:t xml:space="preserve"> </w:t>
            </w:r>
            <w:r w:rsidRPr="00FD66D9">
              <w:rPr>
                <w:sz w:val="22"/>
                <w:szCs w:val="22"/>
                <w:lang w:val="el-GR"/>
              </w:rPr>
              <w:t>ιστού</w:t>
            </w:r>
          </w:p>
        </w:tc>
        <w:tc>
          <w:tcPr>
            <w:tcW w:w="1960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trike/>
                <w:sz w:val="22"/>
                <w:szCs w:val="22"/>
                <w:lang w:val="sv-SE"/>
              </w:rPr>
            </w:pPr>
            <w:r w:rsidRPr="00FD66D9">
              <w:rPr>
                <w:strike/>
                <w:sz w:val="22"/>
                <w:szCs w:val="22"/>
                <w:lang w:val="sv-SE"/>
              </w:rPr>
              <w:t>-</w:t>
            </w:r>
          </w:p>
        </w:tc>
        <w:tc>
          <w:tcPr>
            <w:tcW w:w="1909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sv-SE"/>
              </w:rPr>
            </w:pPr>
            <w:r w:rsidRPr="00FD66D9">
              <w:rPr>
                <w:sz w:val="22"/>
                <w:szCs w:val="22"/>
                <w:lang w:val="el-GR"/>
              </w:rPr>
              <w:t>Εξάνθημα</w:t>
            </w:r>
          </w:p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sv-SE"/>
              </w:rPr>
            </w:pPr>
            <w:r w:rsidRPr="00FD66D9">
              <w:rPr>
                <w:sz w:val="22"/>
                <w:szCs w:val="22"/>
                <w:lang w:val="el-GR"/>
              </w:rPr>
              <w:t>Κνησμός</w:t>
            </w:r>
          </w:p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sv-SE"/>
              </w:rPr>
            </w:pPr>
            <w:r w:rsidRPr="00FD66D9">
              <w:rPr>
                <w:sz w:val="22"/>
                <w:szCs w:val="22"/>
                <w:lang w:val="el-GR"/>
              </w:rPr>
              <w:t>Ερυθρότητα</w:t>
            </w:r>
          </w:p>
        </w:tc>
        <w:tc>
          <w:tcPr>
            <w:tcW w:w="1298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49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 xml:space="preserve"> Αγγειοοίδημα</w:t>
            </w:r>
          </w:p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>Κνίδωσις</w:t>
            </w:r>
          </w:p>
        </w:tc>
      </w:tr>
      <w:tr w:rsidR="00FD66D9" w:rsidRPr="00FD66D9" w:rsidTr="001957DB">
        <w:tc>
          <w:tcPr>
            <w:tcW w:w="1948" w:type="dxa"/>
          </w:tcPr>
          <w:p w:rsidR="008B1027" w:rsidRPr="00FD66D9" w:rsidRDefault="008B1027" w:rsidP="00FD66D9">
            <w:pPr>
              <w:pStyle w:val="a7"/>
              <w:ind w:left="0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 xml:space="preserve">Γενικές διαταραχές και συνθήκες  τόπου χορήγησης    </w:t>
            </w:r>
          </w:p>
        </w:tc>
        <w:tc>
          <w:tcPr>
            <w:tcW w:w="1960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trike/>
                <w:sz w:val="22"/>
                <w:szCs w:val="22"/>
                <w:lang w:val="sv-SE"/>
              </w:rPr>
            </w:pPr>
          </w:p>
        </w:tc>
        <w:tc>
          <w:tcPr>
            <w:tcW w:w="1909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298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2349" w:type="dxa"/>
          </w:tcPr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 xml:space="preserve">Οίδημα </w:t>
            </w:r>
          </w:p>
          <w:p w:rsidR="008B1027" w:rsidRPr="00FD66D9" w:rsidRDefault="008B1027" w:rsidP="00FD66D9">
            <w:pPr>
              <w:pStyle w:val="a7"/>
              <w:ind w:left="0"/>
              <w:jc w:val="center"/>
              <w:rPr>
                <w:sz w:val="22"/>
                <w:szCs w:val="22"/>
                <w:lang w:val="el-GR"/>
              </w:rPr>
            </w:pPr>
            <w:r w:rsidRPr="00FD66D9">
              <w:rPr>
                <w:sz w:val="22"/>
                <w:szCs w:val="22"/>
                <w:lang w:val="el-GR"/>
              </w:rPr>
              <w:t xml:space="preserve">Περιφερικό οίδημα </w:t>
            </w:r>
          </w:p>
        </w:tc>
      </w:tr>
    </w:tbl>
    <w:p w:rsidR="008E130C" w:rsidRDefault="008E130C"/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4.9</w:t>
      </w:r>
      <w:r w:rsidRPr="00367D9E">
        <w:rPr>
          <w:b/>
          <w:sz w:val="24"/>
          <w:szCs w:val="24"/>
        </w:rPr>
        <w:tab/>
        <w:t>Υπερδοσολογία</w:t>
      </w:r>
    </w:p>
    <w:p w:rsidR="008E130C" w:rsidRPr="00367D9E" w:rsidRDefault="008E130C">
      <w:pPr>
        <w:rPr>
          <w:sz w:val="24"/>
          <w:szCs w:val="24"/>
        </w:rPr>
      </w:pPr>
    </w:p>
    <w:p w:rsidR="008E130C" w:rsidRDefault="00E138D6">
      <w:pPr>
        <w:rPr>
          <w:sz w:val="24"/>
          <w:szCs w:val="24"/>
        </w:rPr>
      </w:pPr>
      <w:r>
        <w:rPr>
          <w:sz w:val="24"/>
          <w:szCs w:val="24"/>
        </w:rPr>
        <w:t xml:space="preserve"> Ενδείξεις  και συμπτώματα τυχαίας ή εκ προθέσεως υπερδοσολόγησης με γλυκοζαμίνη μπορεί να περιλαμβάνουν πονοκέφαλο, ζάλη, ανικανότητα προσανατολισμού, αρθραλγία, ναυτία, έμετο, διάρροια ή δυσκοιλιότητα</w:t>
      </w:r>
      <w:r w:rsidR="000B7269" w:rsidRPr="00367D9E">
        <w:rPr>
          <w:sz w:val="24"/>
          <w:szCs w:val="24"/>
        </w:rPr>
        <w:t>.</w:t>
      </w:r>
    </w:p>
    <w:p w:rsidR="00E138D6" w:rsidRDefault="00E138D6">
      <w:pPr>
        <w:rPr>
          <w:sz w:val="24"/>
          <w:szCs w:val="24"/>
        </w:rPr>
      </w:pPr>
      <w:r>
        <w:rPr>
          <w:sz w:val="24"/>
          <w:szCs w:val="24"/>
        </w:rPr>
        <w:t>Σε περίπτωσ</w:t>
      </w:r>
      <w:r w:rsidR="00297431">
        <w:rPr>
          <w:sz w:val="24"/>
          <w:szCs w:val="24"/>
        </w:rPr>
        <w:t>η υπερδοσολόγησης με γλυκο</w:t>
      </w:r>
      <w:r>
        <w:rPr>
          <w:sz w:val="24"/>
          <w:szCs w:val="24"/>
        </w:rPr>
        <w:t>ζαμίνη η θεραπεία πρέπει να διακόπτεται και  συνήθη υποστηρικτικά μέτρα να εφαρμόζονται ανάλογα με τις ανάγκες.</w:t>
      </w:r>
    </w:p>
    <w:p w:rsidR="00E138D6" w:rsidRPr="00E138D6" w:rsidRDefault="00E138D6">
      <w:pPr>
        <w:rPr>
          <w:sz w:val="24"/>
          <w:szCs w:val="24"/>
        </w:rPr>
      </w:pPr>
      <w:r>
        <w:rPr>
          <w:sz w:val="24"/>
          <w:szCs w:val="24"/>
        </w:rPr>
        <w:t>Σε κλινικές μελέτες ένας στους πέντε υγιείς νεαρούς εθελοντές αισθανόταν πονοκέφαλο μετά από έγχυση γλυκοζαμίνης έως 30</w:t>
      </w:r>
      <w:r>
        <w:rPr>
          <w:sz w:val="24"/>
          <w:szCs w:val="24"/>
          <w:lang w:val="en-US"/>
        </w:rPr>
        <w:t>g</w:t>
      </w:r>
      <w:r w:rsidRPr="00E138D6">
        <w:rPr>
          <w:sz w:val="24"/>
          <w:szCs w:val="24"/>
        </w:rPr>
        <w:t>.</w:t>
      </w:r>
    </w:p>
    <w:p w:rsidR="00E138D6" w:rsidRPr="00AB22C8" w:rsidRDefault="00E138D6">
      <w:pPr>
        <w:rPr>
          <w:sz w:val="24"/>
          <w:szCs w:val="24"/>
        </w:rPr>
      </w:pPr>
      <w:r>
        <w:rPr>
          <w:sz w:val="24"/>
          <w:szCs w:val="24"/>
        </w:rPr>
        <w:t xml:space="preserve">Επιπροσθέτως </w:t>
      </w:r>
      <w:r w:rsidR="00AB22C8">
        <w:rPr>
          <w:sz w:val="24"/>
          <w:szCs w:val="24"/>
        </w:rPr>
        <w:t xml:space="preserve">έχει αναφερθεί </w:t>
      </w:r>
      <w:r>
        <w:rPr>
          <w:sz w:val="24"/>
          <w:szCs w:val="24"/>
        </w:rPr>
        <w:t xml:space="preserve">μία περίπτωση υπερδοσολόγησης </w:t>
      </w:r>
      <w:r w:rsidR="00AB22C8">
        <w:rPr>
          <w:sz w:val="24"/>
          <w:szCs w:val="24"/>
        </w:rPr>
        <w:t>σε 12χρονη γυναίκα,</w:t>
      </w:r>
      <w:r>
        <w:rPr>
          <w:sz w:val="24"/>
          <w:szCs w:val="24"/>
        </w:rPr>
        <w:t xml:space="preserve"> </w:t>
      </w:r>
      <w:r w:rsidR="00AB22C8">
        <w:rPr>
          <w:sz w:val="24"/>
          <w:szCs w:val="24"/>
        </w:rPr>
        <w:t>η οποία  έλαβε από το στόμα 28</w:t>
      </w:r>
      <w:r w:rsidR="00AB22C8">
        <w:rPr>
          <w:sz w:val="24"/>
          <w:szCs w:val="24"/>
          <w:lang w:val="en-US"/>
        </w:rPr>
        <w:t>g</w:t>
      </w:r>
      <w:r w:rsidR="00AB22C8" w:rsidRPr="00AB22C8">
        <w:rPr>
          <w:sz w:val="24"/>
          <w:szCs w:val="24"/>
        </w:rPr>
        <w:t xml:space="preserve"> </w:t>
      </w:r>
      <w:r w:rsidR="00AB22C8">
        <w:rPr>
          <w:sz w:val="24"/>
          <w:szCs w:val="24"/>
        </w:rPr>
        <w:t>υδροχλωρικής γλυκοζαμίνης. Ανέπτυξε αρθραλγία, έμετο και ανικανότητα προσανατολισμού . Η ασθενής ανέρρωσε πλήρως.</w:t>
      </w:r>
    </w:p>
    <w:p w:rsidR="008E130C" w:rsidRPr="00367D9E" w:rsidRDefault="000B7269">
      <w:pPr>
        <w:rPr>
          <w:sz w:val="24"/>
          <w:szCs w:val="24"/>
        </w:rPr>
      </w:pPr>
      <w:r w:rsidRPr="00367D9E">
        <w:rPr>
          <w:sz w:val="24"/>
          <w:szCs w:val="24"/>
        </w:rPr>
        <w:t xml:space="preserve"> </w:t>
      </w:r>
    </w:p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5.</w:t>
      </w:r>
      <w:r w:rsidRPr="00367D9E">
        <w:rPr>
          <w:b/>
          <w:sz w:val="24"/>
          <w:szCs w:val="24"/>
        </w:rPr>
        <w:tab/>
        <w:t>ΦΑΡΜΑΚΟΛΟΓΙΚΕΣ ΙΔΙΟΤΗΤΕΣ</w:t>
      </w:r>
    </w:p>
    <w:p w:rsidR="008E130C" w:rsidRPr="00367D9E" w:rsidRDefault="008E130C">
      <w:pPr>
        <w:rPr>
          <w:sz w:val="24"/>
          <w:szCs w:val="24"/>
        </w:rPr>
      </w:pPr>
    </w:p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5.1</w:t>
      </w:r>
      <w:r w:rsidRPr="00367D9E">
        <w:rPr>
          <w:b/>
          <w:sz w:val="24"/>
          <w:szCs w:val="24"/>
        </w:rPr>
        <w:tab/>
        <w:t>Φαρμακοδυναμικές ιδιότητες</w:t>
      </w:r>
    </w:p>
    <w:p w:rsidR="008E130C" w:rsidRPr="00367D9E" w:rsidRDefault="000B7269">
      <w:pPr>
        <w:rPr>
          <w:sz w:val="24"/>
          <w:szCs w:val="24"/>
        </w:rPr>
      </w:pPr>
      <w:r w:rsidRPr="00367D9E">
        <w:rPr>
          <w:sz w:val="24"/>
          <w:szCs w:val="24"/>
        </w:rPr>
        <w:t xml:space="preserve"> </w:t>
      </w:r>
    </w:p>
    <w:p w:rsidR="000B7269" w:rsidRPr="00367D9E" w:rsidRDefault="000B7269" w:rsidP="000B7269">
      <w:pPr>
        <w:pStyle w:val="Text"/>
        <w:jc w:val="left"/>
        <w:rPr>
          <w:lang w:val="el-GR"/>
        </w:rPr>
      </w:pPr>
      <w:r w:rsidRPr="00367D9E">
        <w:rPr>
          <w:lang w:val="el-GR"/>
        </w:rPr>
        <w:t xml:space="preserve">Φαρμακοθεραπευτική κατηγορία: Άλλοι αντιφλεγμονώδεις και αντιρρευματικοί παράγοντες, μη στεροειδείς. Κωδικός </w:t>
      </w:r>
      <w:r w:rsidRPr="00367D9E">
        <w:t>ATC</w:t>
      </w:r>
      <w:r w:rsidRPr="00367D9E">
        <w:rPr>
          <w:lang w:val="el-GR"/>
        </w:rPr>
        <w:t xml:space="preserve">: </w:t>
      </w:r>
      <w:r w:rsidRPr="00367D9E">
        <w:t>M</w:t>
      </w:r>
      <w:r w:rsidRPr="00367D9E">
        <w:rPr>
          <w:lang w:val="el-GR"/>
        </w:rPr>
        <w:t>01</w:t>
      </w:r>
      <w:r w:rsidRPr="00367D9E">
        <w:t>AX</w:t>
      </w:r>
      <w:r w:rsidRPr="00367D9E">
        <w:rPr>
          <w:lang w:val="el-GR"/>
        </w:rPr>
        <w:t>05</w:t>
      </w:r>
    </w:p>
    <w:p w:rsidR="000B7269" w:rsidRPr="00367D9E" w:rsidRDefault="000B7269" w:rsidP="000B7269">
      <w:pPr>
        <w:pStyle w:val="Text"/>
        <w:jc w:val="left"/>
        <w:rPr>
          <w:lang w:val="el-GR"/>
        </w:rPr>
      </w:pPr>
      <w:r w:rsidRPr="00367D9E">
        <w:rPr>
          <w:lang w:val="el-GR"/>
        </w:rPr>
        <w:t xml:space="preserve">Η γλυκοζαμίνη είναι μια ενδογενής ουσία, ένα φυσικό συστατικό των </w:t>
      </w:r>
      <w:r w:rsidR="00F8369C" w:rsidRPr="00367D9E">
        <w:rPr>
          <w:lang w:val="el-GR"/>
        </w:rPr>
        <w:t xml:space="preserve">πολυσακχαριδικών </w:t>
      </w:r>
      <w:r w:rsidRPr="00367D9E">
        <w:rPr>
          <w:lang w:val="el-GR"/>
        </w:rPr>
        <w:t xml:space="preserve">αλυσίδων της μεσοκυττάριας ουσίας του χόνδρου και των γλυκοζαμινογλυκανών του αρθρικού υγρού. Σε </w:t>
      </w:r>
      <w:r w:rsidRPr="00546E5F">
        <w:rPr>
          <w:i/>
        </w:rPr>
        <w:t>in</w:t>
      </w:r>
      <w:r w:rsidRPr="00546E5F">
        <w:rPr>
          <w:i/>
          <w:lang w:val="el-GR"/>
        </w:rPr>
        <w:t xml:space="preserve"> </w:t>
      </w:r>
      <w:r w:rsidRPr="00546E5F">
        <w:rPr>
          <w:i/>
        </w:rPr>
        <w:t>vitro</w:t>
      </w:r>
      <w:r w:rsidRPr="00367D9E">
        <w:rPr>
          <w:lang w:val="el-GR"/>
        </w:rPr>
        <w:t xml:space="preserve"> </w:t>
      </w:r>
      <w:r w:rsidRPr="00367D9E">
        <w:t>and</w:t>
      </w:r>
      <w:r w:rsidRPr="00367D9E">
        <w:rPr>
          <w:lang w:val="el-GR"/>
        </w:rPr>
        <w:t xml:space="preserve"> </w:t>
      </w:r>
      <w:r w:rsidRPr="00546E5F">
        <w:rPr>
          <w:i/>
        </w:rPr>
        <w:t>in</w:t>
      </w:r>
      <w:r w:rsidRPr="00546E5F">
        <w:rPr>
          <w:i/>
          <w:lang w:val="el-GR"/>
        </w:rPr>
        <w:t xml:space="preserve"> </w:t>
      </w:r>
      <w:r w:rsidRPr="00546E5F">
        <w:rPr>
          <w:i/>
        </w:rPr>
        <w:t>vivo</w:t>
      </w:r>
      <w:r w:rsidRPr="00367D9E">
        <w:rPr>
          <w:lang w:val="el-GR"/>
        </w:rPr>
        <w:t xml:space="preserve"> μελέτες έχει δειχθεί ότι η γλυκοζαμίνη διεγείρει τη σύνθεση φυσιολογικών γλυκοζαμινογλυκανών και πρωτεογλυκανών από τα κύτταρα του χόνδρου και </w:t>
      </w:r>
      <w:r w:rsidR="00F8369C" w:rsidRPr="00367D9E">
        <w:rPr>
          <w:lang w:val="el-GR"/>
        </w:rPr>
        <w:t xml:space="preserve"> του </w:t>
      </w:r>
      <w:r w:rsidRPr="00367D9E">
        <w:rPr>
          <w:lang w:val="el-GR"/>
        </w:rPr>
        <w:t>υαλουρονικού οξέος από τα κύτταρα του αρθρικού υμένα.</w:t>
      </w:r>
    </w:p>
    <w:p w:rsidR="000B7269" w:rsidRPr="00B73C85" w:rsidRDefault="000B7269" w:rsidP="000B7269">
      <w:pPr>
        <w:pStyle w:val="Text"/>
        <w:jc w:val="left"/>
        <w:rPr>
          <w:lang w:val="el-GR"/>
        </w:rPr>
      </w:pPr>
      <w:r>
        <w:rPr>
          <w:lang w:val="el-GR"/>
        </w:rPr>
        <w:t>Ο</w:t>
      </w:r>
      <w:r w:rsidRPr="00B73C85">
        <w:rPr>
          <w:lang w:val="el-GR"/>
        </w:rPr>
        <w:t xml:space="preserve"> </w:t>
      </w:r>
      <w:r>
        <w:rPr>
          <w:lang w:val="el-GR"/>
        </w:rPr>
        <w:t>μηχανισμός</w:t>
      </w:r>
      <w:r w:rsidRPr="00B73C85">
        <w:rPr>
          <w:lang w:val="el-GR"/>
        </w:rPr>
        <w:t xml:space="preserve"> </w:t>
      </w:r>
      <w:r>
        <w:rPr>
          <w:lang w:val="el-GR"/>
        </w:rPr>
        <w:t>δράσης</w:t>
      </w:r>
      <w:r w:rsidRPr="00B73C85">
        <w:rPr>
          <w:lang w:val="el-GR"/>
        </w:rPr>
        <w:t xml:space="preserve"> </w:t>
      </w:r>
      <w:r>
        <w:rPr>
          <w:lang w:val="el-GR"/>
        </w:rPr>
        <w:t>της</w:t>
      </w:r>
      <w:r w:rsidRPr="00B73C85">
        <w:rPr>
          <w:lang w:val="el-GR"/>
        </w:rPr>
        <w:t xml:space="preserve"> </w:t>
      </w:r>
      <w:r>
        <w:rPr>
          <w:lang w:val="el-GR"/>
        </w:rPr>
        <w:t>γλυκοζαμίνης</w:t>
      </w:r>
      <w:r w:rsidRPr="00B73C85">
        <w:rPr>
          <w:lang w:val="el-GR"/>
        </w:rPr>
        <w:t xml:space="preserve"> </w:t>
      </w:r>
      <w:r>
        <w:rPr>
          <w:lang w:val="el-GR"/>
        </w:rPr>
        <w:t>στον</w:t>
      </w:r>
      <w:r w:rsidRPr="00B73C85">
        <w:rPr>
          <w:lang w:val="el-GR"/>
        </w:rPr>
        <w:t xml:space="preserve"> </w:t>
      </w:r>
      <w:r>
        <w:rPr>
          <w:lang w:val="el-GR"/>
        </w:rPr>
        <w:t>άνθρωπο</w:t>
      </w:r>
      <w:r w:rsidRPr="00B73C85">
        <w:rPr>
          <w:lang w:val="el-GR"/>
        </w:rPr>
        <w:t xml:space="preserve"> </w:t>
      </w:r>
      <w:r>
        <w:rPr>
          <w:lang w:val="el-GR"/>
        </w:rPr>
        <w:t>δεν</w:t>
      </w:r>
      <w:r w:rsidRPr="00B73C85">
        <w:rPr>
          <w:lang w:val="el-GR"/>
        </w:rPr>
        <w:t xml:space="preserve"> </w:t>
      </w:r>
      <w:r>
        <w:rPr>
          <w:lang w:val="el-GR"/>
        </w:rPr>
        <w:t>είναι</w:t>
      </w:r>
      <w:r w:rsidRPr="00B73C85">
        <w:rPr>
          <w:lang w:val="el-GR"/>
        </w:rPr>
        <w:t xml:space="preserve"> </w:t>
      </w:r>
      <w:r>
        <w:rPr>
          <w:lang w:val="el-GR"/>
        </w:rPr>
        <w:t>γνωστός</w:t>
      </w:r>
      <w:r w:rsidRPr="00B73C85">
        <w:rPr>
          <w:lang w:val="el-GR"/>
        </w:rPr>
        <w:t>.</w:t>
      </w:r>
      <w:r w:rsidRPr="00B73C85">
        <w:rPr>
          <w:lang w:val="el-GR"/>
        </w:rPr>
        <w:br/>
      </w:r>
      <w:r>
        <w:rPr>
          <w:lang w:val="el-GR"/>
        </w:rPr>
        <w:t>Το</w:t>
      </w:r>
      <w:r w:rsidRPr="00B73C85">
        <w:rPr>
          <w:lang w:val="el-GR"/>
        </w:rPr>
        <w:t xml:space="preserve"> </w:t>
      </w:r>
      <w:r>
        <w:rPr>
          <w:lang w:val="el-GR"/>
        </w:rPr>
        <w:t>χρονικό</w:t>
      </w:r>
      <w:r w:rsidRPr="00B73C85">
        <w:rPr>
          <w:lang w:val="el-GR"/>
        </w:rPr>
        <w:t xml:space="preserve"> </w:t>
      </w:r>
      <w:r>
        <w:rPr>
          <w:lang w:val="el-GR"/>
        </w:rPr>
        <w:t>διάστημα</w:t>
      </w:r>
      <w:r w:rsidRPr="00B73C85">
        <w:rPr>
          <w:lang w:val="el-GR"/>
        </w:rPr>
        <w:t xml:space="preserve"> </w:t>
      </w:r>
      <w:r>
        <w:rPr>
          <w:lang w:val="el-GR"/>
        </w:rPr>
        <w:t>μέχρι</w:t>
      </w:r>
      <w:r w:rsidRPr="00B73C85">
        <w:rPr>
          <w:lang w:val="el-GR"/>
        </w:rPr>
        <w:t xml:space="preserve"> </w:t>
      </w:r>
      <w:r>
        <w:rPr>
          <w:lang w:val="el-GR"/>
        </w:rPr>
        <w:t>την</w:t>
      </w:r>
      <w:r w:rsidRPr="00B73C85">
        <w:rPr>
          <w:lang w:val="el-GR"/>
        </w:rPr>
        <w:t xml:space="preserve"> </w:t>
      </w:r>
      <w:r>
        <w:rPr>
          <w:lang w:val="el-GR"/>
        </w:rPr>
        <w:t>εκδήλωση</w:t>
      </w:r>
      <w:r w:rsidRPr="00B73C85">
        <w:rPr>
          <w:lang w:val="el-GR"/>
        </w:rPr>
        <w:t xml:space="preserve"> </w:t>
      </w:r>
      <w:r>
        <w:rPr>
          <w:lang w:val="el-GR"/>
        </w:rPr>
        <w:t>της</w:t>
      </w:r>
      <w:r w:rsidRPr="00B73C85">
        <w:rPr>
          <w:lang w:val="el-GR"/>
        </w:rPr>
        <w:t xml:space="preserve"> </w:t>
      </w:r>
      <w:r>
        <w:rPr>
          <w:lang w:val="el-GR"/>
        </w:rPr>
        <w:t>δράσης</w:t>
      </w:r>
      <w:r w:rsidRPr="00B73C85">
        <w:rPr>
          <w:lang w:val="el-GR"/>
        </w:rPr>
        <w:t xml:space="preserve"> </w:t>
      </w:r>
      <w:r>
        <w:rPr>
          <w:lang w:val="el-GR"/>
        </w:rPr>
        <w:t>δεν</w:t>
      </w:r>
      <w:r w:rsidRPr="00B73C85">
        <w:rPr>
          <w:lang w:val="el-GR"/>
        </w:rPr>
        <w:t xml:space="preserve"> </w:t>
      </w:r>
      <w:r>
        <w:rPr>
          <w:lang w:val="el-GR"/>
        </w:rPr>
        <w:t>μπορεί</w:t>
      </w:r>
      <w:r w:rsidRPr="00B73C85">
        <w:rPr>
          <w:lang w:val="el-GR"/>
        </w:rPr>
        <w:t xml:space="preserve"> </w:t>
      </w:r>
      <w:r>
        <w:rPr>
          <w:lang w:val="el-GR"/>
        </w:rPr>
        <w:t>να</w:t>
      </w:r>
      <w:r w:rsidRPr="00B73C85">
        <w:rPr>
          <w:lang w:val="el-GR"/>
        </w:rPr>
        <w:t xml:space="preserve"> </w:t>
      </w:r>
      <w:r w:rsidR="00F8369C">
        <w:rPr>
          <w:lang w:val="el-GR"/>
        </w:rPr>
        <w:t>εκτιμηθεί</w:t>
      </w:r>
      <w:r w:rsidRPr="00B73C85">
        <w:rPr>
          <w:lang w:val="el-GR"/>
        </w:rPr>
        <w:t>.</w:t>
      </w:r>
    </w:p>
    <w:p w:rsidR="008E130C" w:rsidRDefault="008E130C"/>
    <w:p w:rsidR="00546E5F" w:rsidRDefault="00546E5F"/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5.2</w:t>
      </w:r>
      <w:r w:rsidRPr="00367D9E">
        <w:rPr>
          <w:b/>
          <w:sz w:val="24"/>
          <w:szCs w:val="24"/>
        </w:rPr>
        <w:tab/>
        <w:t>Φαρμακοκινητικές ιδιότητες</w:t>
      </w:r>
    </w:p>
    <w:p w:rsidR="000B7269" w:rsidRPr="00367D9E" w:rsidRDefault="000B7269" w:rsidP="000B7269">
      <w:pPr>
        <w:pStyle w:val="a7"/>
        <w:spacing w:before="120"/>
        <w:ind w:left="0"/>
        <w:rPr>
          <w:lang w:val="el-GR"/>
        </w:rPr>
      </w:pPr>
      <w:r w:rsidRPr="00367D9E">
        <w:rPr>
          <w:lang w:val="el-GR"/>
        </w:rPr>
        <w:t>Η γλυκοζαμίνη είναι ένα σχετικά μικρό μόριο (μοριακό βάρος 179), το οποίο διαλύεται εύκολα στο νερό και σε υδρόφιλους οργανικούς διαλύτες.</w:t>
      </w:r>
    </w:p>
    <w:p w:rsidR="000B7269" w:rsidRPr="00367D9E" w:rsidRDefault="000B7269" w:rsidP="000B7269">
      <w:pPr>
        <w:pStyle w:val="a7"/>
        <w:spacing w:before="120"/>
        <w:ind w:left="0"/>
        <w:rPr>
          <w:lang w:val="el-GR"/>
        </w:rPr>
      </w:pPr>
      <w:bookmarkStart w:id="9" w:name="_Toc315660229"/>
      <w:bookmarkStart w:id="10" w:name="_Toc23134214"/>
      <w:r w:rsidRPr="00367D9E">
        <w:rPr>
          <w:lang w:val="el-GR"/>
        </w:rPr>
        <w:t>Τα διαθέσιμα στοιχεία για τη φαρμακοκινητική της γλυκοζαμίνης είναι περιορισμένα. Η απόλυτη βιοδιαθεσιμότητα δεν είναι γνωστή. Ο όγκος κατανομής είναι περίπου 5 λίτρα και η ημίσεια ζωή μετά από ενδοφλέβια χορήγηση 2 ώρες περίπου. Ποσοστό 38% κατά προσέγγιση της ενδοφλέβιας δόσης απεκκρίνεται στα ούρα σε μη μεταβολισμένη μορφή.</w:t>
      </w:r>
    </w:p>
    <w:bookmarkEnd w:id="9"/>
    <w:bookmarkEnd w:id="10"/>
    <w:p w:rsidR="008E130C" w:rsidRPr="00367D9E" w:rsidRDefault="008E130C">
      <w:pPr>
        <w:rPr>
          <w:sz w:val="24"/>
          <w:szCs w:val="24"/>
        </w:rPr>
      </w:pPr>
    </w:p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5.3</w:t>
      </w:r>
      <w:r w:rsidRPr="00367D9E">
        <w:rPr>
          <w:b/>
          <w:sz w:val="24"/>
          <w:szCs w:val="24"/>
        </w:rPr>
        <w:tab/>
        <w:t>Προκλινικά δεδομένα για την ασφάλεια</w:t>
      </w:r>
    </w:p>
    <w:p w:rsidR="008E130C" w:rsidRPr="00367D9E" w:rsidRDefault="008E130C">
      <w:pPr>
        <w:rPr>
          <w:sz w:val="24"/>
          <w:szCs w:val="24"/>
        </w:rPr>
      </w:pPr>
    </w:p>
    <w:p w:rsidR="000B7269" w:rsidRPr="00C42571" w:rsidRDefault="000B7269" w:rsidP="000B7269">
      <w:pPr>
        <w:pStyle w:val="Text"/>
        <w:jc w:val="left"/>
        <w:rPr>
          <w:lang w:val="el-GR"/>
        </w:rPr>
      </w:pPr>
      <w:r>
        <w:rPr>
          <w:lang w:val="el-GR"/>
        </w:rPr>
        <w:t>Η D-γλυκοζαμίνη έχει χαμηλή οξεία τοξικότητα.</w:t>
      </w:r>
      <w:r w:rsidRPr="00C42571">
        <w:rPr>
          <w:lang w:val="el-GR"/>
        </w:rPr>
        <w:t xml:space="preserve"> </w:t>
      </w:r>
    </w:p>
    <w:p w:rsidR="000B7269" w:rsidRPr="00C42571" w:rsidRDefault="000B7269" w:rsidP="000B7269">
      <w:pPr>
        <w:pStyle w:val="Text"/>
        <w:jc w:val="left"/>
        <w:rPr>
          <w:lang w:val="el-GR"/>
        </w:rPr>
      </w:pPr>
      <w:r>
        <w:rPr>
          <w:lang w:val="el-GR"/>
        </w:rPr>
        <w:t xml:space="preserve">Τα στοιχεία από πειράματα σε ζώα σχετικά με τη γενική τοξικότητα κατά τη διάρκεια χρόνιας χορήγησης,   τοξικότητα </w:t>
      </w:r>
      <w:r w:rsidR="00546E5F">
        <w:rPr>
          <w:lang w:val="el-GR"/>
        </w:rPr>
        <w:t xml:space="preserve">στην αναπαραγωγική ικανότητα, </w:t>
      </w:r>
      <w:r>
        <w:rPr>
          <w:lang w:val="el-GR"/>
        </w:rPr>
        <w:t>τη μεταλλαξογένεση και την καρκινογένεση είναι ελλιπή για τη γλυκοζαμίνη.</w:t>
      </w:r>
    </w:p>
    <w:p w:rsidR="000B7269" w:rsidRPr="00C42571" w:rsidRDefault="000B7269" w:rsidP="000B7269">
      <w:pPr>
        <w:pStyle w:val="Text"/>
        <w:jc w:val="left"/>
        <w:rPr>
          <w:lang w:val="el-GR"/>
        </w:rPr>
      </w:pPr>
      <w:bookmarkStart w:id="11" w:name="_Toc315660230"/>
      <w:bookmarkStart w:id="12" w:name="_Toc23134215"/>
      <w:r>
        <w:rPr>
          <w:lang w:val="el-GR"/>
        </w:rPr>
        <w:t xml:space="preserve">Τα αποτελέσματα από </w:t>
      </w:r>
      <w:r w:rsidRPr="00546E5F">
        <w:rPr>
          <w:i/>
          <w:lang w:val="el-GR"/>
        </w:rPr>
        <w:t>in vitro</w:t>
      </w:r>
      <w:r>
        <w:rPr>
          <w:lang w:val="el-GR"/>
        </w:rPr>
        <w:t xml:space="preserve"> και </w:t>
      </w:r>
      <w:r w:rsidRPr="00546E5F">
        <w:rPr>
          <w:i/>
          <w:lang w:val="el-GR"/>
        </w:rPr>
        <w:t>in vivo</w:t>
      </w:r>
      <w:r>
        <w:rPr>
          <w:lang w:val="el-GR"/>
        </w:rPr>
        <w:t xml:space="preserve"> μελέτες σε ζώα έχουν δείξει ότι η γλυκοζαμίνη μειώνει την έκκριση ινσουλίνης και επάγει αντίσταση στην ινσουλίνη, πιθανώς μέσω αναστολής της γλυκοκινάσης στα βήτα κύτταρα. Η κλινική σχετικότητα δεν είναι γνωστή.</w:t>
      </w:r>
    </w:p>
    <w:bookmarkEnd w:id="11"/>
    <w:bookmarkEnd w:id="12"/>
    <w:p w:rsidR="000B7269" w:rsidRDefault="000B7269"/>
    <w:p w:rsidR="008E130C" w:rsidRDefault="000B7269">
      <w:r>
        <w:t xml:space="preserve"> </w:t>
      </w:r>
    </w:p>
    <w:p w:rsidR="008E130C" w:rsidRDefault="008E130C"/>
    <w:p w:rsidR="008E130C" w:rsidRDefault="008E130C">
      <w:r>
        <w:rPr>
          <w:b/>
        </w:rPr>
        <w:lastRenderedPageBreak/>
        <w:t>6.</w:t>
      </w:r>
      <w:r>
        <w:rPr>
          <w:b/>
        </w:rPr>
        <w:tab/>
        <w:t>ΦΑΡΜΑΚΕΥΤΙΚΕΣ ΠΛΗΡΟΦΟΡΙΕΣ</w:t>
      </w:r>
    </w:p>
    <w:p w:rsidR="008E130C" w:rsidRDefault="008E130C">
      <w:pPr>
        <w:pStyle w:val="a3"/>
        <w:tabs>
          <w:tab w:val="clear" w:pos="4153"/>
          <w:tab w:val="clear" w:pos="8306"/>
        </w:tabs>
      </w:pPr>
    </w:p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6.1</w:t>
      </w:r>
      <w:r w:rsidRPr="00367D9E">
        <w:rPr>
          <w:b/>
          <w:sz w:val="24"/>
          <w:szCs w:val="24"/>
        </w:rPr>
        <w:tab/>
        <w:t>Κατάλογος εκδόχων</w:t>
      </w:r>
    </w:p>
    <w:p w:rsidR="008E130C" w:rsidRPr="00002D43" w:rsidRDefault="00002D43">
      <w:pPr>
        <w:rPr>
          <w:b/>
          <w:bCs/>
        </w:rPr>
      </w:pPr>
      <w:r w:rsidRPr="00002D43">
        <w:rPr>
          <w:b/>
          <w:bCs/>
        </w:rPr>
        <w:t>Πυρήνας</w:t>
      </w:r>
    </w:p>
    <w:p w:rsidR="000B7269" w:rsidRDefault="000B7269" w:rsidP="00D60AB3">
      <w:pPr>
        <w:pStyle w:val="Text"/>
        <w:spacing w:before="0"/>
        <w:jc w:val="left"/>
        <w:rPr>
          <w:lang w:val="el-GR"/>
        </w:rPr>
      </w:pPr>
      <w:r w:rsidRPr="000B7269">
        <w:rPr>
          <w:color w:val="FF0000"/>
          <w:lang w:val="el-GR"/>
        </w:rPr>
        <w:t xml:space="preserve"> </w:t>
      </w:r>
      <w:r w:rsidR="00002D43">
        <w:rPr>
          <w:lang w:val="el-GR"/>
        </w:rPr>
        <w:t>Π</w:t>
      </w:r>
      <w:r>
        <w:rPr>
          <w:lang w:val="el-GR"/>
        </w:rPr>
        <w:t>οβιδόνη</w:t>
      </w:r>
      <w:r w:rsidR="00002D43">
        <w:rPr>
          <w:lang w:val="el-GR"/>
        </w:rPr>
        <w:t xml:space="preserve"> Κ30</w:t>
      </w:r>
      <w:r>
        <w:rPr>
          <w:lang w:val="el-GR"/>
        </w:rPr>
        <w:t>,</w:t>
      </w:r>
      <w:r w:rsidR="00002D43">
        <w:rPr>
          <w:lang w:val="el-GR"/>
        </w:rPr>
        <w:t xml:space="preserve"> </w:t>
      </w:r>
      <w:r w:rsidR="00002D43">
        <w:rPr>
          <w:lang w:val="el-GR"/>
        </w:rPr>
        <w:br/>
      </w:r>
      <w:r w:rsidR="00D60AB3">
        <w:rPr>
          <w:lang w:val="el-GR"/>
        </w:rPr>
        <w:t xml:space="preserve">ασβέστιο </w:t>
      </w:r>
      <w:r>
        <w:rPr>
          <w:lang w:val="el-GR"/>
        </w:rPr>
        <w:t xml:space="preserve">φωσφορικό </w:t>
      </w:r>
      <w:r w:rsidR="00D60AB3" w:rsidRPr="00D60AB3">
        <w:rPr>
          <w:lang w:val="el-GR"/>
        </w:rPr>
        <w:t xml:space="preserve"> </w:t>
      </w:r>
      <w:r>
        <w:rPr>
          <w:lang w:val="el-GR"/>
        </w:rPr>
        <w:br/>
      </w:r>
      <w:r w:rsidR="00D60AB3">
        <w:rPr>
          <w:lang w:val="el-GR"/>
        </w:rPr>
        <w:t xml:space="preserve">κυτταρίνη </w:t>
      </w:r>
      <w:r>
        <w:rPr>
          <w:lang w:val="el-GR"/>
        </w:rPr>
        <w:t xml:space="preserve">μικροκρυσταλλική , </w:t>
      </w:r>
      <w:r>
        <w:rPr>
          <w:lang w:val="el-GR"/>
        </w:rPr>
        <w:br/>
        <w:t xml:space="preserve">κροσποβιδόνη, </w:t>
      </w:r>
    </w:p>
    <w:p w:rsidR="000B7269" w:rsidRPr="00752855" w:rsidRDefault="00446BBA" w:rsidP="00D60AB3">
      <w:pPr>
        <w:pStyle w:val="Text"/>
        <w:spacing w:before="0"/>
        <w:jc w:val="left"/>
        <w:rPr>
          <w:lang w:val="el-GR"/>
        </w:rPr>
      </w:pPr>
      <w:r>
        <w:rPr>
          <w:lang w:val="el-GR"/>
        </w:rPr>
        <w:t xml:space="preserve">Στατικό </w:t>
      </w:r>
      <w:r w:rsidR="00D60AB3">
        <w:rPr>
          <w:lang w:val="el-GR"/>
        </w:rPr>
        <w:t xml:space="preserve">μαγνήσιο </w:t>
      </w:r>
      <w:r>
        <w:rPr>
          <w:lang w:val="el-GR"/>
        </w:rPr>
        <w:t xml:space="preserve"> </w:t>
      </w:r>
    </w:p>
    <w:p w:rsidR="00002D43" w:rsidRPr="00002D43" w:rsidRDefault="00002D43" w:rsidP="000B7269">
      <w:pPr>
        <w:pStyle w:val="Text"/>
        <w:spacing w:before="0"/>
        <w:jc w:val="left"/>
        <w:rPr>
          <w:b/>
          <w:bCs/>
          <w:lang w:val="el-GR"/>
        </w:rPr>
      </w:pPr>
      <w:r w:rsidRPr="00002D43">
        <w:rPr>
          <w:b/>
          <w:bCs/>
          <w:lang w:val="el-GR"/>
        </w:rPr>
        <w:t>Επικάλυψη</w:t>
      </w:r>
    </w:p>
    <w:p w:rsidR="000B7269" w:rsidRDefault="00446BBA" w:rsidP="000B7269">
      <w:pPr>
        <w:pStyle w:val="Text"/>
        <w:spacing w:before="0"/>
        <w:jc w:val="left"/>
        <w:rPr>
          <w:lang w:val="el-GR"/>
        </w:rPr>
      </w:pPr>
      <w:r>
        <w:rPr>
          <w:lang w:val="el-GR"/>
        </w:rPr>
        <w:t>Π</w:t>
      </w:r>
      <w:r w:rsidR="00D60AB3">
        <w:rPr>
          <w:lang w:val="el-GR"/>
        </w:rPr>
        <w:t>ολυβινυλ</w:t>
      </w:r>
      <w:r>
        <w:rPr>
          <w:lang w:val="el-GR"/>
        </w:rPr>
        <w:t xml:space="preserve">ική </w:t>
      </w:r>
      <w:r w:rsidR="000B7269">
        <w:rPr>
          <w:lang w:val="el-GR"/>
        </w:rPr>
        <w:t>αλκοόλη,</w:t>
      </w:r>
    </w:p>
    <w:p w:rsidR="000B7269" w:rsidRDefault="000B7269" w:rsidP="000B7269">
      <w:pPr>
        <w:pStyle w:val="Text"/>
        <w:spacing w:before="0"/>
        <w:jc w:val="left"/>
        <w:rPr>
          <w:lang w:val="el-GR"/>
        </w:rPr>
      </w:pPr>
      <w:r>
        <w:rPr>
          <w:lang w:val="el-GR"/>
        </w:rPr>
        <w:t xml:space="preserve">τάλκη, </w:t>
      </w:r>
    </w:p>
    <w:p w:rsidR="000B7269" w:rsidRDefault="000B7269" w:rsidP="000B7269">
      <w:pPr>
        <w:pStyle w:val="Text"/>
        <w:spacing w:before="0"/>
        <w:jc w:val="left"/>
        <w:rPr>
          <w:lang w:val="el-GR"/>
        </w:rPr>
      </w:pPr>
      <w:r>
        <w:rPr>
          <w:lang w:val="el-GR"/>
        </w:rPr>
        <w:t xml:space="preserve">λεκιθίνη (E322), </w:t>
      </w:r>
    </w:p>
    <w:p w:rsidR="000B7269" w:rsidRDefault="00446BBA" w:rsidP="00D60AB3">
      <w:pPr>
        <w:pStyle w:val="Text"/>
        <w:spacing w:before="0"/>
        <w:jc w:val="left"/>
        <w:rPr>
          <w:lang w:val="el-GR"/>
        </w:rPr>
      </w:pPr>
      <w:r>
        <w:rPr>
          <w:lang w:val="el-GR"/>
        </w:rPr>
        <w:t xml:space="preserve"> μακρογόλη</w:t>
      </w:r>
      <w:r w:rsidR="00002D43">
        <w:rPr>
          <w:lang w:val="el-GR"/>
        </w:rPr>
        <w:t xml:space="preserve"> 4000/-</w:t>
      </w:r>
      <w:r w:rsidR="00D60AB3">
        <w:rPr>
          <w:lang w:val="el-GR"/>
        </w:rPr>
        <w:t xml:space="preserve"> </w:t>
      </w:r>
      <w:r>
        <w:rPr>
          <w:lang w:val="el-GR"/>
        </w:rPr>
        <w:t xml:space="preserve"> μακρογόλη</w:t>
      </w:r>
      <w:r w:rsidR="00002D43">
        <w:rPr>
          <w:lang w:val="el-GR"/>
        </w:rPr>
        <w:t>3000</w:t>
      </w:r>
      <w:r w:rsidR="000B7269">
        <w:rPr>
          <w:lang w:val="el-GR"/>
        </w:rPr>
        <w:t xml:space="preserve">, </w:t>
      </w:r>
    </w:p>
    <w:p w:rsidR="000B7269" w:rsidRPr="00752855" w:rsidRDefault="000B7269" w:rsidP="00D60AB3">
      <w:pPr>
        <w:pStyle w:val="Text"/>
        <w:spacing w:before="0"/>
        <w:jc w:val="left"/>
        <w:rPr>
          <w:lang w:val="el-GR"/>
        </w:rPr>
      </w:pPr>
      <w:r>
        <w:rPr>
          <w:lang w:val="el-GR"/>
        </w:rPr>
        <w:t xml:space="preserve"> </w:t>
      </w:r>
      <w:r w:rsidR="00D60AB3">
        <w:rPr>
          <w:lang w:val="el-GR"/>
        </w:rPr>
        <w:t>Τ</w:t>
      </w:r>
      <w:r>
        <w:rPr>
          <w:lang w:val="el-GR"/>
        </w:rPr>
        <w:t xml:space="preserve">ιτανίου </w:t>
      </w:r>
      <w:r w:rsidR="00D60AB3">
        <w:rPr>
          <w:lang w:val="el-GR"/>
        </w:rPr>
        <w:t xml:space="preserve">διοξείδιο </w:t>
      </w:r>
      <w:r>
        <w:rPr>
          <w:lang w:val="el-GR"/>
        </w:rPr>
        <w:t>(E171),</w:t>
      </w:r>
    </w:p>
    <w:p w:rsidR="000B7269" w:rsidRPr="00186FE7" w:rsidRDefault="000B7269" w:rsidP="000B7269">
      <w:pPr>
        <w:pStyle w:val="Text"/>
        <w:jc w:val="left"/>
        <w:rPr>
          <w:lang w:val="el-GR"/>
        </w:rPr>
      </w:pPr>
      <w:r>
        <w:rPr>
          <w:lang w:val="el-GR"/>
        </w:rPr>
        <w:t xml:space="preserve">κίτρινο sunset FCF λάκκας αργιλίου (E110), </w:t>
      </w:r>
    </w:p>
    <w:p w:rsidR="000B7269" w:rsidRPr="00B73C85" w:rsidRDefault="000B7269" w:rsidP="000B7269">
      <w:pPr>
        <w:pStyle w:val="Text"/>
        <w:spacing w:before="0"/>
        <w:jc w:val="left"/>
        <w:rPr>
          <w:lang w:val="el-GR"/>
        </w:rPr>
      </w:pPr>
      <w:r>
        <w:rPr>
          <w:lang w:val="el-GR"/>
        </w:rPr>
        <w:t>κίτρινο</w:t>
      </w:r>
      <w:r w:rsidRPr="00186FE7">
        <w:rPr>
          <w:lang w:val="el-GR"/>
        </w:rPr>
        <w:t xml:space="preserve"> </w:t>
      </w:r>
      <w:r>
        <w:rPr>
          <w:lang w:val="el-GR"/>
        </w:rPr>
        <w:t>κινολίνης</w:t>
      </w:r>
      <w:r w:rsidRPr="00186FE7">
        <w:rPr>
          <w:lang w:val="el-GR"/>
        </w:rPr>
        <w:t xml:space="preserve"> </w:t>
      </w:r>
      <w:r>
        <w:rPr>
          <w:lang w:val="el-GR"/>
        </w:rPr>
        <w:t>λάκκας</w:t>
      </w:r>
      <w:r w:rsidRPr="00186FE7">
        <w:rPr>
          <w:lang w:val="el-GR"/>
        </w:rPr>
        <w:t xml:space="preserve"> </w:t>
      </w:r>
      <w:r>
        <w:rPr>
          <w:lang w:val="el-GR"/>
        </w:rPr>
        <w:t>αργιλίου</w:t>
      </w:r>
      <w:r w:rsidRPr="00186FE7">
        <w:rPr>
          <w:lang w:val="el-GR"/>
        </w:rPr>
        <w:t xml:space="preserve"> (</w:t>
      </w:r>
      <w:r w:rsidRPr="00D905F3">
        <w:t>E</w:t>
      </w:r>
      <w:r w:rsidRPr="00186FE7">
        <w:rPr>
          <w:lang w:val="el-GR"/>
        </w:rPr>
        <w:t xml:space="preserve">104), </w:t>
      </w:r>
    </w:p>
    <w:p w:rsidR="000B7269" w:rsidRPr="00B73C85" w:rsidRDefault="000B7269" w:rsidP="000B7269">
      <w:pPr>
        <w:pStyle w:val="Text"/>
        <w:spacing w:before="0"/>
        <w:jc w:val="left"/>
        <w:rPr>
          <w:lang w:val="el-GR"/>
        </w:rPr>
      </w:pPr>
      <w:bookmarkStart w:id="13" w:name="_Toc315660232"/>
      <w:bookmarkStart w:id="14" w:name="_Toc23134217"/>
      <w:r>
        <w:rPr>
          <w:lang w:val="el-GR"/>
        </w:rPr>
        <w:t>κίτρινο</w:t>
      </w:r>
      <w:r w:rsidRPr="00B73C85">
        <w:rPr>
          <w:lang w:val="el-GR"/>
        </w:rPr>
        <w:t xml:space="preserve"> </w:t>
      </w:r>
      <w:r>
        <w:rPr>
          <w:lang w:val="el-GR"/>
        </w:rPr>
        <w:t>οξειδίου</w:t>
      </w:r>
      <w:r w:rsidRPr="00B73C85">
        <w:rPr>
          <w:lang w:val="el-GR"/>
        </w:rPr>
        <w:t xml:space="preserve"> </w:t>
      </w:r>
      <w:r>
        <w:rPr>
          <w:lang w:val="el-GR"/>
        </w:rPr>
        <w:t>του</w:t>
      </w:r>
      <w:r w:rsidRPr="00B73C85">
        <w:rPr>
          <w:lang w:val="el-GR"/>
        </w:rPr>
        <w:t xml:space="preserve"> </w:t>
      </w:r>
      <w:r>
        <w:rPr>
          <w:lang w:val="el-GR"/>
        </w:rPr>
        <w:t>σιδήρου</w:t>
      </w:r>
      <w:r w:rsidRPr="00B73C85">
        <w:rPr>
          <w:lang w:val="el-GR"/>
        </w:rPr>
        <w:t xml:space="preserve"> (</w:t>
      </w:r>
      <w:r w:rsidRPr="00A44884">
        <w:rPr>
          <w:lang w:val="it-IT"/>
        </w:rPr>
        <w:t>E</w:t>
      </w:r>
      <w:r w:rsidRPr="00B73C85">
        <w:rPr>
          <w:lang w:val="el-GR"/>
        </w:rPr>
        <w:t>172).</w:t>
      </w:r>
    </w:p>
    <w:bookmarkEnd w:id="13"/>
    <w:bookmarkEnd w:id="14"/>
    <w:p w:rsidR="008E130C" w:rsidRDefault="008E130C"/>
    <w:p w:rsidR="008E130C" w:rsidRDefault="008E130C"/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6.2</w:t>
      </w:r>
      <w:r w:rsidRPr="00367D9E">
        <w:rPr>
          <w:b/>
          <w:sz w:val="24"/>
          <w:szCs w:val="24"/>
        </w:rPr>
        <w:tab/>
        <w:t>Ασυμβατότητες</w:t>
      </w:r>
    </w:p>
    <w:p w:rsidR="008E130C" w:rsidRDefault="008E130C"/>
    <w:p w:rsidR="00191746" w:rsidRPr="00B73C85" w:rsidRDefault="00191746" w:rsidP="00191746">
      <w:pPr>
        <w:pStyle w:val="Text"/>
        <w:jc w:val="left"/>
        <w:rPr>
          <w:lang w:val="el-GR"/>
        </w:rPr>
      </w:pPr>
      <w:bookmarkStart w:id="15" w:name="_Toc315660233"/>
      <w:bookmarkStart w:id="16" w:name="_Toc23134218"/>
      <w:r>
        <w:rPr>
          <w:lang w:val="el-GR"/>
        </w:rPr>
        <w:t>Δεν</w:t>
      </w:r>
      <w:r w:rsidRPr="00B73C85">
        <w:rPr>
          <w:lang w:val="el-GR"/>
        </w:rPr>
        <w:t xml:space="preserve"> </w:t>
      </w:r>
      <w:r>
        <w:rPr>
          <w:lang w:val="el-GR"/>
        </w:rPr>
        <w:t>εφαρμόζεται</w:t>
      </w:r>
      <w:r w:rsidRPr="00B73C85">
        <w:rPr>
          <w:lang w:val="el-GR"/>
        </w:rPr>
        <w:t>.</w:t>
      </w:r>
    </w:p>
    <w:bookmarkEnd w:id="15"/>
    <w:bookmarkEnd w:id="16"/>
    <w:p w:rsidR="008E130C" w:rsidRDefault="00191746">
      <w:r>
        <w:t xml:space="preserve"> </w:t>
      </w:r>
    </w:p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6.3</w:t>
      </w:r>
      <w:r w:rsidRPr="00367D9E">
        <w:rPr>
          <w:b/>
          <w:sz w:val="24"/>
          <w:szCs w:val="24"/>
        </w:rPr>
        <w:tab/>
        <w:t>Διάρκεια ζωής</w:t>
      </w:r>
    </w:p>
    <w:p w:rsidR="008E130C" w:rsidRPr="00E6399C" w:rsidRDefault="006D3E30" w:rsidP="00191746">
      <w:pPr>
        <w:rPr>
          <w:sz w:val="24"/>
          <w:szCs w:val="24"/>
        </w:rPr>
      </w:pPr>
      <w:r w:rsidRPr="00E6399C">
        <w:rPr>
          <w:sz w:val="24"/>
          <w:szCs w:val="24"/>
        </w:rPr>
        <w:t>3</w:t>
      </w:r>
      <w:r w:rsidR="002D335B" w:rsidRPr="00E6399C">
        <w:rPr>
          <w:sz w:val="24"/>
          <w:szCs w:val="24"/>
        </w:rPr>
        <w:t xml:space="preserve"> χρόνια</w:t>
      </w:r>
      <w:r w:rsidR="00191746" w:rsidRPr="00E6399C">
        <w:rPr>
          <w:sz w:val="24"/>
          <w:szCs w:val="24"/>
        </w:rPr>
        <w:t xml:space="preserve"> </w:t>
      </w:r>
    </w:p>
    <w:p w:rsidR="008E130C" w:rsidRPr="00367D9E" w:rsidRDefault="008E130C">
      <w:pPr>
        <w:rPr>
          <w:sz w:val="24"/>
          <w:szCs w:val="24"/>
        </w:rPr>
      </w:pPr>
    </w:p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6.4</w:t>
      </w:r>
      <w:r w:rsidRPr="00367D9E">
        <w:rPr>
          <w:b/>
          <w:sz w:val="24"/>
          <w:szCs w:val="24"/>
        </w:rPr>
        <w:tab/>
        <w:t>Ιδιαίτερες προφυλάξεις κατά την φύλαξη του προϊόντος</w:t>
      </w:r>
    </w:p>
    <w:p w:rsidR="008E130C" w:rsidRPr="00367D9E" w:rsidRDefault="00191746">
      <w:pPr>
        <w:rPr>
          <w:i/>
          <w:color w:val="008000"/>
          <w:sz w:val="24"/>
          <w:szCs w:val="24"/>
        </w:rPr>
      </w:pPr>
      <w:r w:rsidRPr="00367D9E">
        <w:rPr>
          <w:i/>
          <w:color w:val="008000"/>
          <w:sz w:val="24"/>
          <w:szCs w:val="24"/>
        </w:rPr>
        <w:t xml:space="preserve"> </w:t>
      </w:r>
    </w:p>
    <w:p w:rsidR="008E130C" w:rsidRPr="00367D9E" w:rsidRDefault="008E130C">
      <w:pPr>
        <w:rPr>
          <w:sz w:val="24"/>
          <w:szCs w:val="24"/>
          <w:highlight w:val="yellow"/>
        </w:rPr>
      </w:pPr>
    </w:p>
    <w:p w:rsidR="00191746" w:rsidRPr="00367D9E" w:rsidRDefault="00191746" w:rsidP="00191746">
      <w:pPr>
        <w:spacing w:before="120"/>
        <w:rPr>
          <w:sz w:val="24"/>
          <w:szCs w:val="24"/>
        </w:rPr>
      </w:pPr>
      <w:bookmarkStart w:id="17" w:name="_Toc315660235"/>
      <w:bookmarkStart w:id="18" w:name="_Toc23134220"/>
      <w:r w:rsidRPr="00367D9E">
        <w:rPr>
          <w:sz w:val="24"/>
          <w:szCs w:val="24"/>
        </w:rPr>
        <w:t>Να μην  φυλάσσετε σε θερμοκρασία  πάνω από  30°C.</w:t>
      </w:r>
    </w:p>
    <w:bookmarkEnd w:id="17"/>
    <w:bookmarkEnd w:id="18"/>
    <w:p w:rsidR="008E130C" w:rsidRPr="00367D9E" w:rsidRDefault="00191746">
      <w:pPr>
        <w:rPr>
          <w:sz w:val="24"/>
          <w:szCs w:val="24"/>
          <w:highlight w:val="yellow"/>
        </w:rPr>
      </w:pPr>
      <w:r w:rsidRPr="00367D9E">
        <w:rPr>
          <w:noProof/>
          <w:sz w:val="24"/>
          <w:szCs w:val="24"/>
        </w:rPr>
        <w:t xml:space="preserve"> </w:t>
      </w:r>
    </w:p>
    <w:p w:rsidR="008E130C" w:rsidRPr="00367D9E" w:rsidRDefault="00191746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367D9E">
        <w:rPr>
          <w:sz w:val="24"/>
          <w:szCs w:val="24"/>
        </w:rPr>
        <w:t xml:space="preserve"> </w:t>
      </w:r>
    </w:p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6.5</w:t>
      </w:r>
      <w:r w:rsidRPr="00367D9E">
        <w:rPr>
          <w:b/>
          <w:sz w:val="24"/>
          <w:szCs w:val="24"/>
        </w:rPr>
        <w:tab/>
        <w:t>Φύση και συστατικά του περιέκτη</w:t>
      </w:r>
    </w:p>
    <w:p w:rsidR="008E130C" w:rsidRDefault="008E130C"/>
    <w:p w:rsidR="00191746" w:rsidRPr="00B73C85" w:rsidRDefault="00191746" w:rsidP="00191746">
      <w:pPr>
        <w:pStyle w:val="a7"/>
        <w:spacing w:before="120"/>
        <w:ind w:left="0"/>
        <w:rPr>
          <w:lang w:val="el-GR"/>
        </w:rPr>
      </w:pPr>
      <w:r w:rsidRPr="00191746">
        <w:rPr>
          <w:color w:val="FF0000"/>
          <w:lang w:val="el-GR"/>
        </w:rPr>
        <w:t xml:space="preserve"> </w:t>
      </w:r>
      <w:r>
        <w:rPr>
          <w:lang w:val="el-GR"/>
        </w:rPr>
        <w:t>Συσκευασίες</w:t>
      </w:r>
      <w:r w:rsidRPr="00B73C85">
        <w:rPr>
          <w:lang w:val="el-GR"/>
        </w:rPr>
        <w:t xml:space="preserve"> </w:t>
      </w:r>
      <w:r>
        <w:t>blister</w:t>
      </w:r>
      <w:r w:rsidRPr="00B73C85">
        <w:rPr>
          <w:lang w:val="el-GR"/>
        </w:rPr>
        <w:t xml:space="preserve"> </w:t>
      </w:r>
      <w:r>
        <w:t>PVC</w:t>
      </w:r>
      <w:r w:rsidRPr="00B73C85">
        <w:rPr>
          <w:lang w:val="el-GR"/>
        </w:rPr>
        <w:t>/</w:t>
      </w:r>
      <w:r>
        <w:t>PVDC</w:t>
      </w:r>
      <w:r w:rsidRPr="00B73C85">
        <w:rPr>
          <w:lang w:val="el-GR"/>
        </w:rPr>
        <w:t>/</w:t>
      </w:r>
      <w:r>
        <w:rPr>
          <w:lang w:val="el-GR"/>
        </w:rPr>
        <w:t>Αλουμινίου</w:t>
      </w:r>
      <w:r w:rsidRPr="00B73C85">
        <w:rPr>
          <w:lang w:val="el-GR"/>
        </w:rPr>
        <w:t xml:space="preserve">: </w:t>
      </w:r>
      <w:r>
        <w:rPr>
          <w:lang w:val="el-GR"/>
        </w:rPr>
        <w:t>Μεγέθη</w:t>
      </w:r>
      <w:r w:rsidRPr="00B73C85">
        <w:rPr>
          <w:lang w:val="el-GR"/>
        </w:rPr>
        <w:t xml:space="preserve"> </w:t>
      </w:r>
      <w:r>
        <w:rPr>
          <w:lang w:val="el-GR"/>
        </w:rPr>
        <w:t>συσκευασί</w:t>
      </w:r>
      <w:r w:rsidRPr="00E6399C">
        <w:rPr>
          <w:lang w:val="el-GR"/>
        </w:rPr>
        <w:t xml:space="preserve">ας: </w:t>
      </w:r>
      <w:r w:rsidR="006D3E30" w:rsidRPr="00E6399C">
        <w:rPr>
          <w:lang w:val="el-GR"/>
        </w:rPr>
        <w:t xml:space="preserve">30, </w:t>
      </w:r>
      <w:r w:rsidRPr="00E6399C">
        <w:rPr>
          <w:lang w:val="el-GR"/>
        </w:rPr>
        <w:t>60 κ</w:t>
      </w:r>
      <w:r>
        <w:rPr>
          <w:lang w:val="el-GR"/>
        </w:rPr>
        <w:t>αι</w:t>
      </w:r>
      <w:r w:rsidRPr="00B73C85">
        <w:rPr>
          <w:lang w:val="el-GR"/>
        </w:rPr>
        <w:t xml:space="preserve"> 180 </w:t>
      </w:r>
      <w:r>
        <w:rPr>
          <w:lang w:val="el-GR"/>
        </w:rPr>
        <w:t>δισκία</w:t>
      </w:r>
      <w:r w:rsidRPr="00B73C85">
        <w:rPr>
          <w:lang w:val="el-GR"/>
        </w:rPr>
        <w:t>.</w:t>
      </w:r>
    </w:p>
    <w:p w:rsidR="00191746" w:rsidRPr="00A44884" w:rsidRDefault="00191746" w:rsidP="00191746">
      <w:pPr>
        <w:pStyle w:val="a7"/>
        <w:spacing w:before="120"/>
        <w:ind w:left="0"/>
        <w:rPr>
          <w:lang w:val="el-GR"/>
        </w:rPr>
      </w:pPr>
      <w:r>
        <w:rPr>
          <w:lang w:val="el-GR"/>
        </w:rPr>
        <w:t>Μπορεί να μη κυκλοφορούν όλες οι συσκευασίες.</w:t>
      </w:r>
      <w:r w:rsidRPr="00A44884">
        <w:rPr>
          <w:lang w:val="el-GR"/>
        </w:rPr>
        <w:t xml:space="preserve"> </w:t>
      </w:r>
    </w:p>
    <w:p w:rsidR="008E130C" w:rsidRPr="001957DB" w:rsidRDefault="008E130C"/>
    <w:p w:rsidR="00E6399C" w:rsidRPr="001957DB" w:rsidRDefault="00E6399C"/>
    <w:p w:rsidR="00E6399C" w:rsidRPr="001957DB" w:rsidRDefault="00E6399C"/>
    <w:p w:rsidR="008E130C" w:rsidRDefault="008E130C">
      <w:pPr>
        <w:rPr>
          <w:b/>
        </w:rPr>
      </w:pPr>
    </w:p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6.6</w:t>
      </w:r>
      <w:r w:rsidRPr="00367D9E">
        <w:rPr>
          <w:b/>
          <w:sz w:val="24"/>
          <w:szCs w:val="24"/>
        </w:rPr>
        <w:tab/>
      </w:r>
      <w:r w:rsidRPr="00367D9E">
        <w:rPr>
          <w:b/>
          <w:noProof/>
          <w:sz w:val="24"/>
          <w:szCs w:val="24"/>
        </w:rPr>
        <w:t>Ιδιαίτερες προφυλάξεις απόρριψης</w:t>
      </w:r>
    </w:p>
    <w:p w:rsidR="008E130C" w:rsidRPr="00367D9E" w:rsidRDefault="008E130C">
      <w:pPr>
        <w:rPr>
          <w:sz w:val="24"/>
          <w:szCs w:val="24"/>
        </w:rPr>
      </w:pPr>
    </w:p>
    <w:p w:rsidR="008E130C" w:rsidRPr="00367D9E" w:rsidRDefault="008E130C">
      <w:pPr>
        <w:rPr>
          <w:sz w:val="24"/>
          <w:szCs w:val="24"/>
        </w:rPr>
      </w:pPr>
      <w:r w:rsidRPr="00367D9E">
        <w:rPr>
          <w:sz w:val="24"/>
          <w:szCs w:val="24"/>
        </w:rPr>
        <w:t>Καμία ειδική υποχρέωση</w:t>
      </w:r>
    </w:p>
    <w:p w:rsidR="008E130C" w:rsidRDefault="008E130C"/>
    <w:p w:rsidR="008E130C" w:rsidRDefault="008E130C"/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7.</w:t>
      </w:r>
      <w:r w:rsidRPr="00367D9E">
        <w:rPr>
          <w:b/>
          <w:sz w:val="24"/>
          <w:szCs w:val="24"/>
        </w:rPr>
        <w:tab/>
        <w:t>ΚΑΤΟΧΟΣ ΤΗΣ ΑΔΕΙΑΣ ΚΥΚΛΟΦΟΡΙΑΣ</w:t>
      </w:r>
    </w:p>
    <w:p w:rsidR="008E130C" w:rsidRPr="00367D9E" w:rsidRDefault="008E130C">
      <w:pPr>
        <w:rPr>
          <w:sz w:val="24"/>
          <w:szCs w:val="24"/>
        </w:rPr>
      </w:pPr>
    </w:p>
    <w:p w:rsidR="008E130C" w:rsidRPr="00532A5E" w:rsidRDefault="00191746">
      <w:pPr>
        <w:rPr>
          <w:sz w:val="24"/>
          <w:szCs w:val="24"/>
        </w:rPr>
      </w:pPr>
      <w:r w:rsidRPr="00532A5E">
        <w:rPr>
          <w:sz w:val="24"/>
          <w:szCs w:val="24"/>
        </w:rPr>
        <w:t xml:space="preserve"> </w:t>
      </w:r>
      <w:r w:rsidRPr="00532A5E">
        <w:rPr>
          <w:sz w:val="24"/>
          <w:szCs w:val="24"/>
          <w:lang w:val="en-GB"/>
        </w:rPr>
        <w:t>Novartis</w:t>
      </w:r>
      <w:r w:rsidRPr="00532A5E">
        <w:rPr>
          <w:sz w:val="24"/>
          <w:szCs w:val="24"/>
        </w:rPr>
        <w:t xml:space="preserve"> (</w:t>
      </w:r>
      <w:smartTag w:uri="urn:schemas-microsoft-com:office:smarttags" w:element="place">
        <w:r w:rsidRPr="00532A5E">
          <w:rPr>
            <w:sz w:val="24"/>
            <w:szCs w:val="24"/>
            <w:lang w:val="en-US"/>
          </w:rPr>
          <w:t>Hellas</w:t>
        </w:r>
      </w:smartTag>
      <w:r w:rsidRPr="00532A5E">
        <w:rPr>
          <w:sz w:val="24"/>
          <w:szCs w:val="24"/>
        </w:rPr>
        <w:t xml:space="preserve">) </w:t>
      </w:r>
      <w:r w:rsidRPr="00532A5E">
        <w:rPr>
          <w:sz w:val="24"/>
          <w:szCs w:val="24"/>
          <w:lang w:val="en-US"/>
        </w:rPr>
        <w:t>AEBE</w:t>
      </w:r>
    </w:p>
    <w:p w:rsidR="00191746" w:rsidRPr="00367D9E" w:rsidRDefault="00191746">
      <w:pPr>
        <w:rPr>
          <w:sz w:val="24"/>
          <w:szCs w:val="24"/>
        </w:rPr>
      </w:pPr>
      <w:r w:rsidRPr="00367D9E">
        <w:rPr>
          <w:sz w:val="24"/>
          <w:szCs w:val="24"/>
        </w:rPr>
        <w:t xml:space="preserve"> 12</w:t>
      </w:r>
      <w:r w:rsidRPr="00367D9E">
        <w:rPr>
          <w:sz w:val="24"/>
          <w:szCs w:val="24"/>
          <w:vertAlign w:val="superscript"/>
        </w:rPr>
        <w:t>ο</w:t>
      </w:r>
      <w:r w:rsidRPr="00367D9E">
        <w:rPr>
          <w:sz w:val="24"/>
          <w:szCs w:val="24"/>
        </w:rPr>
        <w:t xml:space="preserve"> χλμ Εθνικής οδού Αθηνών Λαμίας</w:t>
      </w:r>
    </w:p>
    <w:p w:rsidR="00191746" w:rsidRPr="00367D9E" w:rsidRDefault="00191746">
      <w:pPr>
        <w:rPr>
          <w:sz w:val="24"/>
          <w:szCs w:val="24"/>
        </w:rPr>
      </w:pPr>
      <w:r w:rsidRPr="00367D9E">
        <w:rPr>
          <w:sz w:val="24"/>
          <w:szCs w:val="24"/>
        </w:rPr>
        <w:t>14451 Μεταμόρφωση Αττικής</w:t>
      </w:r>
    </w:p>
    <w:p w:rsidR="008E130C" w:rsidRPr="00367D9E" w:rsidRDefault="00191746">
      <w:pPr>
        <w:rPr>
          <w:sz w:val="24"/>
          <w:szCs w:val="24"/>
        </w:rPr>
      </w:pPr>
      <w:r w:rsidRPr="00367D9E">
        <w:rPr>
          <w:sz w:val="24"/>
          <w:szCs w:val="24"/>
        </w:rPr>
        <w:lastRenderedPageBreak/>
        <w:t>ΤΗΛ 210 2811712</w:t>
      </w:r>
    </w:p>
    <w:p w:rsidR="008E130C" w:rsidRPr="00367D9E" w:rsidRDefault="00191746">
      <w:pPr>
        <w:rPr>
          <w:sz w:val="24"/>
          <w:szCs w:val="24"/>
        </w:rPr>
      </w:pPr>
      <w:r w:rsidRPr="00367D9E">
        <w:rPr>
          <w:sz w:val="24"/>
          <w:szCs w:val="24"/>
        </w:rPr>
        <w:t xml:space="preserve"> </w:t>
      </w:r>
    </w:p>
    <w:p w:rsidR="008E130C" w:rsidRPr="001957DB" w:rsidRDefault="008E130C">
      <w:pPr>
        <w:rPr>
          <w:sz w:val="24"/>
          <w:szCs w:val="24"/>
        </w:rPr>
      </w:pPr>
    </w:p>
    <w:p w:rsidR="008E130C" w:rsidRPr="00E6399C" w:rsidRDefault="008E130C">
      <w:pPr>
        <w:rPr>
          <w:sz w:val="24"/>
          <w:szCs w:val="24"/>
        </w:rPr>
      </w:pPr>
      <w:r w:rsidRPr="00E6399C">
        <w:rPr>
          <w:b/>
          <w:sz w:val="24"/>
          <w:szCs w:val="24"/>
        </w:rPr>
        <w:t>8.</w:t>
      </w:r>
      <w:r w:rsidRPr="00E6399C">
        <w:rPr>
          <w:b/>
          <w:sz w:val="24"/>
          <w:szCs w:val="24"/>
        </w:rPr>
        <w:tab/>
        <w:t>ΑΡΙΘΜΟΣ(ΟΙ) ΑΔΕΙΑΣ ΚΥΚΛΟΦΟΡΙΑΣ</w:t>
      </w:r>
    </w:p>
    <w:p w:rsidR="008E130C" w:rsidRPr="00E6399C" w:rsidRDefault="00D55FEA">
      <w:pPr>
        <w:rPr>
          <w:sz w:val="24"/>
          <w:szCs w:val="24"/>
        </w:rPr>
      </w:pPr>
      <w:r w:rsidRPr="00E6399C">
        <w:rPr>
          <w:sz w:val="24"/>
          <w:szCs w:val="24"/>
        </w:rPr>
        <w:t>19971/20-3-2009</w:t>
      </w:r>
    </w:p>
    <w:p w:rsidR="008E130C" w:rsidRPr="00E6399C" w:rsidRDefault="00191746">
      <w:pPr>
        <w:rPr>
          <w:sz w:val="24"/>
          <w:szCs w:val="24"/>
        </w:rPr>
      </w:pPr>
      <w:r w:rsidRPr="00E6399C">
        <w:rPr>
          <w:sz w:val="24"/>
          <w:szCs w:val="24"/>
        </w:rPr>
        <w:t xml:space="preserve"> </w:t>
      </w:r>
    </w:p>
    <w:p w:rsidR="008E130C" w:rsidRPr="00E6399C" w:rsidRDefault="008E130C">
      <w:pPr>
        <w:rPr>
          <w:sz w:val="24"/>
          <w:szCs w:val="24"/>
        </w:rPr>
      </w:pPr>
      <w:r w:rsidRPr="00E6399C">
        <w:rPr>
          <w:b/>
          <w:sz w:val="24"/>
          <w:szCs w:val="24"/>
        </w:rPr>
        <w:t>9.</w:t>
      </w:r>
      <w:r w:rsidRPr="00E6399C">
        <w:rPr>
          <w:b/>
          <w:sz w:val="24"/>
          <w:szCs w:val="24"/>
        </w:rPr>
        <w:tab/>
        <w:t>ΗΜΕΡΟΜΗΝΙΑ ΠΡΩΤΗΣ ΕΓΚΡΙΣΗΣ / ΑΝΑΝΕΩΣΗΣ ΤΗΣ ΑΔΕΙΑΣ</w:t>
      </w:r>
    </w:p>
    <w:p w:rsidR="008E130C" w:rsidRPr="00E6399C" w:rsidRDefault="00D55FEA">
      <w:pPr>
        <w:rPr>
          <w:sz w:val="24"/>
          <w:szCs w:val="24"/>
        </w:rPr>
      </w:pPr>
      <w:r w:rsidRPr="00E6399C">
        <w:rPr>
          <w:sz w:val="24"/>
          <w:szCs w:val="24"/>
        </w:rPr>
        <w:t>20</w:t>
      </w:r>
      <w:r w:rsidR="00446BBA" w:rsidRPr="00E6399C">
        <w:rPr>
          <w:sz w:val="24"/>
          <w:szCs w:val="24"/>
        </w:rPr>
        <w:t xml:space="preserve"> </w:t>
      </w:r>
      <w:r w:rsidRPr="00E6399C">
        <w:rPr>
          <w:sz w:val="24"/>
          <w:szCs w:val="24"/>
        </w:rPr>
        <w:t>Μαρτίου 2009</w:t>
      </w:r>
    </w:p>
    <w:p w:rsidR="008E130C" w:rsidRPr="002A6A7F" w:rsidRDefault="00191746">
      <w:pPr>
        <w:rPr>
          <w:i/>
          <w:iCs/>
          <w:sz w:val="24"/>
          <w:szCs w:val="24"/>
        </w:rPr>
      </w:pPr>
      <w:r w:rsidRPr="00367D9E">
        <w:rPr>
          <w:noProof/>
          <w:sz w:val="24"/>
          <w:szCs w:val="24"/>
        </w:rPr>
        <w:t xml:space="preserve"> </w:t>
      </w:r>
    </w:p>
    <w:p w:rsidR="008E130C" w:rsidRPr="00367D9E" w:rsidRDefault="008E130C">
      <w:pPr>
        <w:rPr>
          <w:sz w:val="24"/>
          <w:szCs w:val="24"/>
        </w:rPr>
      </w:pPr>
      <w:r w:rsidRPr="00367D9E">
        <w:rPr>
          <w:b/>
          <w:sz w:val="24"/>
          <w:szCs w:val="24"/>
        </w:rPr>
        <w:t>10.</w:t>
      </w:r>
      <w:r w:rsidRPr="00367D9E">
        <w:rPr>
          <w:b/>
          <w:sz w:val="24"/>
          <w:szCs w:val="24"/>
        </w:rPr>
        <w:tab/>
        <w:t>ΗΜΕΡΟΜΗΝΙΑ ΑΝΑΘΕΩΡΗΣΗΣ ΤΟΥ ΚΕΙΜΕΝΟΥ</w:t>
      </w:r>
    </w:p>
    <w:p w:rsidR="008E130C" w:rsidRPr="00367D9E" w:rsidRDefault="008E130C">
      <w:pPr>
        <w:rPr>
          <w:noProof/>
          <w:sz w:val="24"/>
          <w:szCs w:val="24"/>
          <w:lang w:val="en-GB"/>
        </w:rPr>
      </w:pPr>
    </w:p>
    <w:p w:rsidR="008E130C" w:rsidRPr="00367D9E" w:rsidRDefault="00191746">
      <w:pPr>
        <w:rPr>
          <w:b/>
          <w:bCs/>
          <w:noProof/>
          <w:sz w:val="24"/>
          <w:szCs w:val="24"/>
          <w:lang w:val="en-GB"/>
        </w:rPr>
      </w:pPr>
      <w:r w:rsidRPr="00367D9E">
        <w:rPr>
          <w:b/>
          <w:bCs/>
          <w:noProof/>
          <w:sz w:val="24"/>
          <w:szCs w:val="24"/>
        </w:rPr>
        <w:t xml:space="preserve"> </w:t>
      </w: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Pr="00191746" w:rsidRDefault="008E130C" w:rsidP="00191746">
      <w:pPr>
        <w:rPr>
          <w:b/>
          <w:bCs/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p w:rsidR="008E130C" w:rsidRDefault="008E130C">
      <w:pPr>
        <w:rPr>
          <w:noProof/>
        </w:rPr>
      </w:pPr>
    </w:p>
    <w:sectPr w:rsidR="008E130C" w:rsidSect="00C01912">
      <w:footerReference w:type="default" r:id="rId7"/>
      <w:footerReference w:type="first" r:id="rId8"/>
      <w:endnotePr>
        <w:numFmt w:val="decimal"/>
      </w:endnotePr>
      <w:pgSz w:w="11896" w:h="16834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82" w:rsidRDefault="00520C82">
      <w:r>
        <w:separator/>
      </w:r>
    </w:p>
  </w:endnote>
  <w:endnote w:type="continuationSeparator" w:id="0">
    <w:p w:rsidR="00520C82" w:rsidRDefault="0052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9C" w:rsidRDefault="00C01912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Helvetica" w:hAnsi="Helvetica"/>
        <w:sz w:val="16"/>
        <w:lang w:val="fr-FR"/>
      </w:rPr>
    </w:pPr>
    <w:r>
      <w:rPr>
        <w:rFonts w:ascii="Helvetica" w:hAnsi="Helvetica"/>
        <w:sz w:val="16"/>
        <w:lang w:val="fr-FR"/>
      </w:rPr>
      <w:fldChar w:fldCharType="begin"/>
    </w:r>
    <w:r w:rsidR="00E6399C">
      <w:rPr>
        <w:rFonts w:ascii="Helvetica" w:hAnsi="Helvetica"/>
        <w:sz w:val="16"/>
        <w:lang w:val="fr-FR"/>
      </w:rPr>
      <w:instrText xml:space="preserve">PAGE  </w:instrText>
    </w:r>
    <w:r>
      <w:rPr>
        <w:rFonts w:ascii="Helvetica" w:hAnsi="Helvetica"/>
        <w:sz w:val="16"/>
        <w:lang w:val="fr-FR"/>
      </w:rPr>
      <w:fldChar w:fldCharType="separate"/>
    </w:r>
    <w:r w:rsidR="00DB7C1E">
      <w:rPr>
        <w:rFonts w:ascii="Helvetica" w:hAnsi="Helvetica"/>
        <w:noProof/>
        <w:sz w:val="16"/>
        <w:lang w:val="fr-FR"/>
      </w:rPr>
      <w:t>6</w:t>
    </w:r>
    <w:r>
      <w:rPr>
        <w:rFonts w:ascii="Helvetica" w:hAnsi="Helvetica"/>
        <w:sz w:val="16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9C" w:rsidRDefault="00C01912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Helvetica" w:hAnsi="Helvetica"/>
        <w:sz w:val="16"/>
        <w:lang w:val="fr-FR"/>
      </w:rPr>
    </w:pPr>
    <w:r>
      <w:rPr>
        <w:rFonts w:ascii="Helvetica" w:hAnsi="Helvetica"/>
        <w:sz w:val="16"/>
        <w:lang w:val="fr-FR"/>
      </w:rPr>
      <w:fldChar w:fldCharType="begin"/>
    </w:r>
    <w:r w:rsidR="00E6399C">
      <w:rPr>
        <w:rFonts w:ascii="Helvetica" w:hAnsi="Helvetica"/>
        <w:sz w:val="16"/>
        <w:lang w:val="fr-FR"/>
      </w:rPr>
      <w:instrText xml:space="preserve">PAGE  </w:instrText>
    </w:r>
    <w:r>
      <w:rPr>
        <w:rFonts w:ascii="Helvetica" w:hAnsi="Helvetica"/>
        <w:sz w:val="16"/>
        <w:lang w:val="fr-FR"/>
      </w:rPr>
      <w:fldChar w:fldCharType="separate"/>
    </w:r>
    <w:r w:rsidR="00DB7C1E">
      <w:rPr>
        <w:rFonts w:ascii="Helvetica" w:hAnsi="Helvetica"/>
        <w:noProof/>
        <w:sz w:val="16"/>
        <w:lang w:val="fr-FR"/>
      </w:rPr>
      <w:t>1</w:t>
    </w:r>
    <w:r>
      <w:rPr>
        <w:rFonts w:ascii="Helvetica" w:hAnsi="Helvetica"/>
        <w:sz w:val="16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82" w:rsidRDefault="00520C82">
      <w:r>
        <w:separator/>
      </w:r>
    </w:p>
  </w:footnote>
  <w:footnote w:type="continuationSeparator" w:id="0">
    <w:p w:rsidR="00520C82" w:rsidRDefault="00520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">
    <w:nsid w:val="250039AE"/>
    <w:multiLevelType w:val="hybridMultilevel"/>
    <w:tmpl w:val="B0589876"/>
    <w:lvl w:ilvl="0" w:tplc="437E9E4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07258"/>
    <w:multiLevelType w:val="multilevel"/>
    <w:tmpl w:val="F75069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4AA4312D"/>
    <w:multiLevelType w:val="hybridMultilevel"/>
    <w:tmpl w:val="D0B8DB20"/>
    <w:lvl w:ilvl="0" w:tplc="81A03DD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6F433B24"/>
    <w:multiLevelType w:val="hybridMultilevel"/>
    <w:tmpl w:val="AD1A2EDE"/>
    <w:lvl w:ilvl="0" w:tplc="415263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13DB5"/>
    <w:multiLevelType w:val="hybridMultilevel"/>
    <w:tmpl w:val="82929552"/>
    <w:lvl w:ilvl="0" w:tplc="3D8CB4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465FC6"/>
    <w:multiLevelType w:val="hybridMultilevel"/>
    <w:tmpl w:val="97503EA2"/>
    <w:lvl w:ilvl="0" w:tplc="7124FE8A">
      <w:start w:val="6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  <w:num w:numId="14">
    <w:abstractNumId w:val="17"/>
  </w:num>
  <w:num w:numId="15">
    <w:abstractNumId w:val="4"/>
  </w:num>
  <w:num w:numId="16">
    <w:abstractNumId w:val="6"/>
  </w:num>
  <w:num w:numId="17">
    <w:abstractNumId w:val="15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sv-SE" w:vendorID="22" w:dllVersion="513" w:checkStyle="1"/>
  <w:stylePaneFormatFilter w:val="3F01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Registered" w:val="-1"/>
    <w:docVar w:name="Version" w:val="0"/>
  </w:docVars>
  <w:rsids>
    <w:rsidRoot w:val="008E130C"/>
    <w:rsid w:val="00002D43"/>
    <w:rsid w:val="000037E0"/>
    <w:rsid w:val="000B7269"/>
    <w:rsid w:val="000E0EF1"/>
    <w:rsid w:val="00116485"/>
    <w:rsid w:val="00191746"/>
    <w:rsid w:val="001957DB"/>
    <w:rsid w:val="00207F9B"/>
    <w:rsid w:val="002676E9"/>
    <w:rsid w:val="0029532F"/>
    <w:rsid w:val="00297431"/>
    <w:rsid w:val="002A6A7F"/>
    <w:rsid w:val="002D335B"/>
    <w:rsid w:val="00367D9E"/>
    <w:rsid w:val="00387F2A"/>
    <w:rsid w:val="003D6893"/>
    <w:rsid w:val="004430A2"/>
    <w:rsid w:val="00446BBA"/>
    <w:rsid w:val="00456853"/>
    <w:rsid w:val="00477477"/>
    <w:rsid w:val="004C115E"/>
    <w:rsid w:val="004C4DDC"/>
    <w:rsid w:val="00520C82"/>
    <w:rsid w:val="00532A5E"/>
    <w:rsid w:val="00546E5F"/>
    <w:rsid w:val="00625F3D"/>
    <w:rsid w:val="006730C1"/>
    <w:rsid w:val="006D3E30"/>
    <w:rsid w:val="00705A29"/>
    <w:rsid w:val="0072307C"/>
    <w:rsid w:val="007628C4"/>
    <w:rsid w:val="0078351A"/>
    <w:rsid w:val="00792CB7"/>
    <w:rsid w:val="007C6FCB"/>
    <w:rsid w:val="007D6066"/>
    <w:rsid w:val="008B1027"/>
    <w:rsid w:val="008C0257"/>
    <w:rsid w:val="008E130C"/>
    <w:rsid w:val="00983777"/>
    <w:rsid w:val="009F00FD"/>
    <w:rsid w:val="009F4A10"/>
    <w:rsid w:val="00AB22C8"/>
    <w:rsid w:val="00BA0F2C"/>
    <w:rsid w:val="00BE672E"/>
    <w:rsid w:val="00C01912"/>
    <w:rsid w:val="00D55FEA"/>
    <w:rsid w:val="00D60AB3"/>
    <w:rsid w:val="00DB7C1E"/>
    <w:rsid w:val="00DC727C"/>
    <w:rsid w:val="00E138D6"/>
    <w:rsid w:val="00E52E22"/>
    <w:rsid w:val="00E6399C"/>
    <w:rsid w:val="00ED381E"/>
    <w:rsid w:val="00EF0CC4"/>
    <w:rsid w:val="00F31CFA"/>
    <w:rsid w:val="00F8369C"/>
    <w:rsid w:val="00FC46DE"/>
    <w:rsid w:val="00FD66D9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12"/>
    <w:pPr>
      <w:widowControl w:val="0"/>
    </w:pPr>
    <w:rPr>
      <w:sz w:val="22"/>
      <w:lang w:val="el-GR"/>
    </w:rPr>
  </w:style>
  <w:style w:type="paragraph" w:styleId="1">
    <w:name w:val="heading 1"/>
    <w:basedOn w:val="a"/>
    <w:next w:val="a"/>
    <w:qFormat/>
    <w:rsid w:val="00C0191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01912"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rsid w:val="00C01912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rsid w:val="00C01912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191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0191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1912"/>
  </w:style>
  <w:style w:type="character" w:styleId="-">
    <w:name w:val="Hyperlink"/>
    <w:basedOn w:val="a0"/>
    <w:rsid w:val="00C01912"/>
    <w:rPr>
      <w:color w:val="0000FF"/>
      <w:u w:val="single"/>
    </w:rPr>
  </w:style>
  <w:style w:type="paragraph" w:styleId="a6">
    <w:name w:val="Body Text"/>
    <w:basedOn w:val="a"/>
    <w:rsid w:val="00C01912"/>
    <w:pPr>
      <w:jc w:val="center"/>
    </w:pPr>
  </w:style>
  <w:style w:type="paragraph" w:styleId="20">
    <w:name w:val="Body Text 2"/>
    <w:basedOn w:val="a"/>
    <w:rsid w:val="00C01912"/>
    <w:rPr>
      <w:color w:val="FF0000"/>
    </w:rPr>
  </w:style>
  <w:style w:type="paragraph" w:customStyle="1" w:styleId="EMEAEnBodyText">
    <w:name w:val="EMEA En Body Text"/>
    <w:basedOn w:val="a"/>
    <w:rsid w:val="00C01912"/>
    <w:pPr>
      <w:widowControl/>
      <w:spacing w:before="120" w:after="120"/>
      <w:jc w:val="both"/>
    </w:pPr>
    <w:rPr>
      <w:lang w:val="en-US"/>
    </w:rPr>
  </w:style>
  <w:style w:type="paragraph" w:styleId="a7">
    <w:name w:val="Normal Indent"/>
    <w:basedOn w:val="a"/>
    <w:rsid w:val="004430A2"/>
    <w:pPr>
      <w:widowControl/>
      <w:ind w:left="700"/>
      <w:jc w:val="both"/>
    </w:pPr>
    <w:rPr>
      <w:sz w:val="24"/>
      <w:szCs w:val="24"/>
      <w:lang w:val="en-GB"/>
    </w:rPr>
  </w:style>
  <w:style w:type="paragraph" w:customStyle="1" w:styleId="Text">
    <w:name w:val="Text"/>
    <w:basedOn w:val="a"/>
    <w:link w:val="TextChar1"/>
    <w:rsid w:val="009F00FD"/>
    <w:pPr>
      <w:widowControl/>
      <w:spacing w:before="120"/>
      <w:jc w:val="both"/>
    </w:pPr>
    <w:rPr>
      <w:sz w:val="24"/>
      <w:szCs w:val="24"/>
      <w:lang w:val="en-GB"/>
    </w:rPr>
  </w:style>
  <w:style w:type="character" w:customStyle="1" w:styleId="TextChar1">
    <w:name w:val="Text Char1"/>
    <w:basedOn w:val="a0"/>
    <w:link w:val="Text"/>
    <w:rsid w:val="009F00FD"/>
    <w:rPr>
      <w:sz w:val="24"/>
      <w:szCs w:val="24"/>
      <w:lang w:val="en-GB" w:eastAsia="en-US" w:bidi="ar-SA"/>
    </w:rPr>
  </w:style>
  <w:style w:type="table" w:styleId="a8">
    <w:name w:val="Table Grid"/>
    <w:basedOn w:val="a1"/>
    <w:rsid w:val="000B7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387F2A"/>
    <w:pPr>
      <w:widowControl/>
      <w:jc w:val="center"/>
    </w:pPr>
    <w:rPr>
      <w:b/>
      <w:sz w:val="28"/>
      <w:szCs w:val="24"/>
    </w:rPr>
  </w:style>
  <w:style w:type="paragraph" w:customStyle="1" w:styleId="CharCharChar">
    <w:name w:val="Char Char Char"/>
    <w:basedOn w:val="a"/>
    <w:rsid w:val="00D55FEA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styleId="aa">
    <w:name w:val="Balloon Text"/>
    <w:basedOn w:val="a"/>
    <w:link w:val="Char"/>
    <w:uiPriority w:val="99"/>
    <w:semiHidden/>
    <w:unhideWhenUsed/>
    <w:rsid w:val="001957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1957DB"/>
    <w:rPr>
      <w:rFonts w:ascii="Tahoma" w:hAnsi="Tahoma" w:cs="Tahoma"/>
      <w:sz w:val="16"/>
      <w:szCs w:val="16"/>
      <w:lang w:val="el-GR"/>
    </w:rPr>
  </w:style>
  <w:style w:type="character" w:customStyle="1" w:styleId="hps">
    <w:name w:val="hps"/>
    <w:rsid w:val="0019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2"/>
      <w:lang w:val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basedOn w:val="a0"/>
    <w:rPr>
      <w:color w:val="0000FF"/>
      <w:u w:val="single"/>
    </w:rPr>
  </w:style>
  <w:style w:type="paragraph" w:styleId="a6">
    <w:name w:val="Body Text"/>
    <w:basedOn w:val="a"/>
    <w:pPr>
      <w:jc w:val="center"/>
    </w:pPr>
  </w:style>
  <w:style w:type="paragraph" w:styleId="20">
    <w:name w:val="Body Text 2"/>
    <w:basedOn w:val="a"/>
    <w:rPr>
      <w:color w:val="FF0000"/>
    </w:rPr>
  </w:style>
  <w:style w:type="paragraph" w:customStyle="1" w:styleId="EMEAEnBodyText">
    <w:name w:val="EMEA En Body Text"/>
    <w:basedOn w:val="a"/>
    <w:pPr>
      <w:widowControl/>
      <w:spacing w:before="120" w:after="120"/>
      <w:jc w:val="both"/>
    </w:pPr>
    <w:rPr>
      <w:lang w:val="en-US"/>
    </w:rPr>
  </w:style>
  <w:style w:type="paragraph" w:styleId="a7">
    <w:name w:val="Normal Indent"/>
    <w:basedOn w:val="a"/>
    <w:rsid w:val="004430A2"/>
    <w:pPr>
      <w:widowControl/>
      <w:ind w:left="700"/>
      <w:jc w:val="both"/>
    </w:pPr>
    <w:rPr>
      <w:sz w:val="24"/>
      <w:szCs w:val="24"/>
      <w:lang w:val="en-GB"/>
    </w:rPr>
  </w:style>
  <w:style w:type="paragraph" w:customStyle="1" w:styleId="Text">
    <w:name w:val="Text"/>
    <w:basedOn w:val="a"/>
    <w:link w:val="TextChar1"/>
    <w:rsid w:val="009F00FD"/>
    <w:pPr>
      <w:widowControl/>
      <w:spacing w:before="120"/>
      <w:jc w:val="both"/>
    </w:pPr>
    <w:rPr>
      <w:sz w:val="24"/>
      <w:szCs w:val="24"/>
      <w:lang w:val="en-GB"/>
    </w:rPr>
  </w:style>
  <w:style w:type="character" w:customStyle="1" w:styleId="TextChar1">
    <w:name w:val="Text Char1"/>
    <w:basedOn w:val="a0"/>
    <w:link w:val="Text"/>
    <w:rsid w:val="009F00FD"/>
    <w:rPr>
      <w:sz w:val="24"/>
      <w:szCs w:val="24"/>
      <w:lang w:val="en-GB" w:eastAsia="en-US" w:bidi="ar-SA"/>
    </w:rPr>
  </w:style>
  <w:style w:type="table" w:styleId="a8">
    <w:name w:val="Table Grid"/>
    <w:basedOn w:val="a1"/>
    <w:rsid w:val="000B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387F2A"/>
    <w:pPr>
      <w:widowControl/>
      <w:jc w:val="center"/>
    </w:pPr>
    <w:rPr>
      <w:b/>
      <w:sz w:val="28"/>
      <w:szCs w:val="24"/>
    </w:rPr>
  </w:style>
  <w:style w:type="paragraph" w:customStyle="1" w:styleId="CharCharChar">
    <w:name w:val="Char Char Char"/>
    <w:basedOn w:val="a"/>
    <w:rsid w:val="00D55FEA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styleId="aa">
    <w:name w:val="Balloon Text"/>
    <w:basedOn w:val="a"/>
    <w:link w:val="Char"/>
    <w:uiPriority w:val="99"/>
    <w:semiHidden/>
    <w:unhideWhenUsed/>
    <w:rsid w:val="001957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1957DB"/>
    <w:rPr>
      <w:rFonts w:ascii="Tahoma" w:hAnsi="Tahoma" w:cs="Tahoma"/>
      <w:sz w:val="16"/>
      <w:szCs w:val="16"/>
      <w:lang w:val="el-GR"/>
    </w:rPr>
  </w:style>
  <w:style w:type="character" w:customStyle="1" w:styleId="hps">
    <w:name w:val="hps"/>
    <w:rsid w:val="00195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[Version 1, 12/2005]</vt:lpstr>
      <vt:lpstr>[Version 1, 12/2005]</vt:lpstr>
    </vt:vector>
  </TitlesOfParts>
  <Company>EMEA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1, 12/2005]</dc:title>
  <dc:subject>General-EMEA/402257/2005</dc:subject>
  <dc:creator>Nikolakaki, Anastasia</dc:creator>
  <cp:lastModifiedBy>user146</cp:lastModifiedBy>
  <cp:revision>2</cp:revision>
  <cp:lastPrinted>2010-11-08T14:21:00Z</cp:lastPrinted>
  <dcterms:created xsi:type="dcterms:W3CDTF">2015-05-27T07:06:00Z</dcterms:created>
  <dcterms:modified xsi:type="dcterms:W3CDTF">2015-05-27T07:06:00Z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General-EMEA/402257/2005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H-EL_ referral_SPC-lab-pl_v.2</vt:lpwstr>
  </property>
  <property fmtid="{D5CDD505-2E9C-101B-9397-08002B2CF9AE}" pid="9" name="DM_Owner">
    <vt:lpwstr>Holemarova Zuzana</vt:lpwstr>
  </property>
  <property fmtid="{D5CDD505-2E9C-101B-9397-08002B2CF9AE}" pid="10" name="DM_Creation_Date">
    <vt:lpwstr>30/11/2005 12:57:45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02/12/2005 13:25:30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EMEA/402257/2005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402257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2005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</Properties>
</file>