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95" w:rsidRPr="003F23DE" w:rsidRDefault="00012495" w:rsidP="003F23DE">
      <w:pPr>
        <w:spacing w:line="360" w:lineRule="auto"/>
        <w:jc w:val="center"/>
        <w:rPr>
          <w:rFonts w:ascii="Arial" w:hAnsi="Arial" w:cs="Arial"/>
          <w:b/>
          <w:iCs/>
          <w:sz w:val="30"/>
        </w:rPr>
      </w:pPr>
      <w:r w:rsidRPr="003F23DE">
        <w:rPr>
          <w:rFonts w:ascii="Arial" w:hAnsi="Arial" w:cs="Arial"/>
          <w:b/>
          <w:iCs/>
          <w:sz w:val="30"/>
        </w:rPr>
        <w:t>ΠΕΡΙΛΗΨΗ ΤΩΝ ΧΑΡΑΚΤΗΡΙΣΤΙΚΩΝ ΤΟΥ ΠΡΟΪΟΝΤΟΣ</w:t>
      </w:r>
    </w:p>
    <w:p w:rsidR="00012495" w:rsidRPr="004460CD" w:rsidRDefault="00923497" w:rsidP="003F23DE">
      <w:pPr>
        <w:pStyle w:val="1"/>
        <w:spacing w:line="360" w:lineRule="auto"/>
        <w:rPr>
          <w:b/>
          <w:bCs/>
          <w:i w:val="0"/>
          <w:smallCaps/>
          <w:sz w:val="40"/>
          <w:szCs w:val="40"/>
        </w:rPr>
      </w:pPr>
      <w:r w:rsidRPr="003F23DE">
        <w:rPr>
          <w:b/>
          <w:bCs/>
          <w:i w:val="0"/>
          <w:smallCaps/>
          <w:sz w:val="40"/>
          <w:szCs w:val="40"/>
          <w:lang w:val="en-US"/>
        </w:rPr>
        <w:t>PAIN</w:t>
      </w:r>
      <w:r w:rsidRPr="004460CD">
        <w:rPr>
          <w:b/>
          <w:bCs/>
          <w:i w:val="0"/>
          <w:smallCaps/>
          <w:sz w:val="40"/>
          <w:szCs w:val="40"/>
        </w:rPr>
        <w:t>-</w:t>
      </w:r>
      <w:r w:rsidRPr="003F23DE">
        <w:rPr>
          <w:b/>
          <w:bCs/>
          <w:i w:val="0"/>
          <w:smallCaps/>
          <w:sz w:val="40"/>
          <w:szCs w:val="40"/>
          <w:lang w:val="en-US"/>
        </w:rPr>
        <w:t>OUT</w:t>
      </w:r>
    </w:p>
    <w:p w:rsidR="003822D7" w:rsidRPr="004460CD" w:rsidRDefault="003822D7" w:rsidP="003F23DE">
      <w:pPr>
        <w:spacing w:line="360" w:lineRule="auto"/>
        <w:jc w:val="both"/>
        <w:rPr>
          <w:rFonts w:ascii="Arial" w:hAnsi="Arial" w:cs="Arial"/>
          <w:iCs/>
        </w:rPr>
      </w:pPr>
    </w:p>
    <w:p w:rsidR="00012495" w:rsidRPr="003F23DE" w:rsidRDefault="00012495" w:rsidP="003F23DE">
      <w:pPr>
        <w:spacing w:line="360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b/>
          <w:iCs/>
          <w:sz w:val="22"/>
          <w:szCs w:val="22"/>
        </w:rPr>
        <w:t xml:space="preserve">1. </w:t>
      </w:r>
      <w:r w:rsidRPr="003F23DE">
        <w:rPr>
          <w:rFonts w:ascii="Arial" w:hAnsi="Arial" w:cs="Arial"/>
          <w:b/>
          <w:iCs/>
          <w:sz w:val="22"/>
          <w:szCs w:val="22"/>
        </w:rPr>
        <w:tab/>
        <w:t>ΟΝΟΜΑΣΙΑ ΤΟΥ ΦΑΡΜΑΚΕΥΤΙΚΟΥ ΠΡΟΪΟΝΤΟΣ</w:t>
      </w:r>
    </w:p>
    <w:p w:rsidR="00012495" w:rsidRPr="00A17DF2" w:rsidRDefault="00012495" w:rsidP="003F23DE">
      <w:pPr>
        <w:spacing w:line="360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 xml:space="preserve"> </w:t>
      </w:r>
      <w:r w:rsidRPr="003F23DE">
        <w:rPr>
          <w:rFonts w:ascii="Arial" w:hAnsi="Arial" w:cs="Arial"/>
          <w:iCs/>
          <w:sz w:val="22"/>
          <w:szCs w:val="22"/>
        </w:rPr>
        <w:tab/>
      </w:r>
      <w:r w:rsidR="00A17DF2">
        <w:rPr>
          <w:rFonts w:ascii="Arial" w:hAnsi="Arial" w:cs="Arial"/>
          <w:iCs/>
          <w:sz w:val="22"/>
          <w:szCs w:val="22"/>
          <w:lang w:val="en-US"/>
        </w:rPr>
        <w:t>PAIN</w:t>
      </w:r>
      <w:r w:rsidR="00A17DF2" w:rsidRPr="00A17DF2">
        <w:rPr>
          <w:rFonts w:ascii="Arial" w:hAnsi="Arial" w:cs="Arial"/>
          <w:iCs/>
          <w:sz w:val="22"/>
          <w:szCs w:val="22"/>
        </w:rPr>
        <w:t>-</w:t>
      </w:r>
      <w:r w:rsidR="00A17DF2">
        <w:rPr>
          <w:rFonts w:ascii="Arial" w:hAnsi="Arial" w:cs="Arial"/>
          <w:iCs/>
          <w:sz w:val="22"/>
          <w:szCs w:val="22"/>
          <w:lang w:val="en-US"/>
        </w:rPr>
        <w:t>OUT</w:t>
      </w:r>
      <w:r w:rsidR="00A17DF2" w:rsidRPr="00A17DF2">
        <w:rPr>
          <w:rFonts w:ascii="Arial" w:hAnsi="Arial" w:cs="Arial"/>
          <w:iCs/>
          <w:sz w:val="22"/>
          <w:szCs w:val="22"/>
        </w:rPr>
        <w:t xml:space="preserve">, </w:t>
      </w:r>
      <w:r w:rsidR="00A17DF2">
        <w:rPr>
          <w:rFonts w:ascii="Arial" w:hAnsi="Arial" w:cs="Arial"/>
          <w:iCs/>
          <w:sz w:val="22"/>
          <w:szCs w:val="22"/>
        </w:rPr>
        <w:t xml:space="preserve">Δερματικό διάλυμα 4% </w:t>
      </w:r>
      <w:r w:rsidR="00A17DF2">
        <w:rPr>
          <w:rFonts w:ascii="Arial" w:hAnsi="Arial" w:cs="Arial"/>
          <w:iCs/>
          <w:sz w:val="22"/>
          <w:szCs w:val="22"/>
          <w:lang w:val="en-US"/>
        </w:rPr>
        <w:t>w</w:t>
      </w:r>
      <w:r w:rsidR="00A17DF2" w:rsidRPr="00A17DF2">
        <w:rPr>
          <w:rFonts w:ascii="Arial" w:hAnsi="Arial" w:cs="Arial"/>
          <w:iCs/>
          <w:sz w:val="22"/>
          <w:szCs w:val="22"/>
        </w:rPr>
        <w:t>/</w:t>
      </w:r>
      <w:r w:rsidR="00A17DF2">
        <w:rPr>
          <w:rFonts w:ascii="Arial" w:hAnsi="Arial" w:cs="Arial"/>
          <w:iCs/>
          <w:sz w:val="22"/>
          <w:szCs w:val="22"/>
          <w:lang w:val="en-US"/>
        </w:rPr>
        <w:t>w</w:t>
      </w:r>
      <w:r w:rsidR="00A17DF2" w:rsidRPr="00A17DF2">
        <w:rPr>
          <w:rFonts w:ascii="Arial" w:hAnsi="Arial" w:cs="Arial"/>
          <w:iCs/>
          <w:sz w:val="22"/>
          <w:szCs w:val="22"/>
        </w:rPr>
        <w:t xml:space="preserve">. </w:t>
      </w:r>
    </w:p>
    <w:p w:rsidR="00012495" w:rsidRPr="009F4E24" w:rsidRDefault="00012495" w:rsidP="003F23DE">
      <w:pPr>
        <w:spacing w:line="360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</w:p>
    <w:p w:rsidR="00012495" w:rsidRPr="003F23DE" w:rsidRDefault="00012495" w:rsidP="003F23DE">
      <w:pPr>
        <w:spacing w:line="360" w:lineRule="auto"/>
        <w:ind w:left="567" w:hanging="567"/>
        <w:jc w:val="both"/>
        <w:rPr>
          <w:rFonts w:ascii="Arial" w:hAnsi="Arial" w:cs="Arial"/>
          <w:b/>
          <w:iCs/>
          <w:sz w:val="22"/>
          <w:szCs w:val="22"/>
        </w:rPr>
      </w:pPr>
      <w:r w:rsidRPr="003F23DE">
        <w:rPr>
          <w:rFonts w:ascii="Arial" w:hAnsi="Arial" w:cs="Arial"/>
          <w:b/>
          <w:iCs/>
          <w:sz w:val="22"/>
          <w:szCs w:val="22"/>
        </w:rPr>
        <w:t xml:space="preserve">2. </w:t>
      </w:r>
      <w:r w:rsidRPr="003F23DE">
        <w:rPr>
          <w:rFonts w:ascii="Arial" w:hAnsi="Arial" w:cs="Arial"/>
          <w:b/>
          <w:iCs/>
          <w:sz w:val="22"/>
          <w:szCs w:val="22"/>
        </w:rPr>
        <w:tab/>
        <w:t xml:space="preserve">ΠΟΙΟΤΙΚΗ ΚΑΙ ΠΟΣΟΤΙΚΗ ΣΥΝΘΕΣΗ </w:t>
      </w:r>
    </w:p>
    <w:p w:rsidR="00B133CC" w:rsidRDefault="00B133CC" w:rsidP="00B133CC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tab/>
      </w:r>
      <w:r w:rsidRPr="00B133CC">
        <w:rPr>
          <w:sz w:val="22"/>
          <w:szCs w:val="22"/>
        </w:rPr>
        <w:t xml:space="preserve">     </w:t>
      </w:r>
      <w:r w:rsidRPr="00B133CC">
        <w:rPr>
          <w:rFonts w:ascii="Arial" w:hAnsi="Arial" w:cs="Arial"/>
          <w:sz w:val="22"/>
          <w:szCs w:val="22"/>
        </w:rPr>
        <w:t xml:space="preserve">1 </w:t>
      </w:r>
      <w:r w:rsidRPr="00B133CC">
        <w:rPr>
          <w:rFonts w:ascii="Arial" w:hAnsi="Arial" w:cs="Arial"/>
          <w:sz w:val="22"/>
          <w:szCs w:val="22"/>
          <w:lang w:val="en-US"/>
        </w:rPr>
        <w:t>g</w:t>
      </w:r>
      <w:r w:rsidRPr="00B133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δερματικού διαλύματος περιέχει 40 </w:t>
      </w:r>
      <w:r>
        <w:rPr>
          <w:rFonts w:ascii="Arial" w:hAnsi="Arial" w:cs="Arial"/>
          <w:sz w:val="22"/>
          <w:szCs w:val="22"/>
          <w:lang w:val="en-US"/>
        </w:rPr>
        <w:t>mg</w:t>
      </w:r>
      <w:r w:rsidRPr="00B133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Diclofenac</w:t>
      </w:r>
      <w:r w:rsidRPr="00B133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sodium</w:t>
      </w:r>
      <w:r w:rsidRPr="00B133CC">
        <w:rPr>
          <w:rFonts w:ascii="Arial" w:hAnsi="Arial" w:cs="Arial"/>
          <w:sz w:val="22"/>
          <w:szCs w:val="22"/>
        </w:rPr>
        <w:t xml:space="preserve">. </w:t>
      </w:r>
    </w:p>
    <w:p w:rsidR="00A17DF2" w:rsidRPr="00A17DF2" w:rsidRDefault="00A17DF2" w:rsidP="00B133CC">
      <w:pPr>
        <w:tabs>
          <w:tab w:val="left" w:pos="284"/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Για τον πλήρη κατάλογο των εκδόχων, βλ. παράγραφο 6.1. </w:t>
      </w:r>
    </w:p>
    <w:p w:rsidR="00012495" w:rsidRPr="00B133CC" w:rsidRDefault="00012495" w:rsidP="003F23DE">
      <w:pPr>
        <w:spacing w:line="360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</w:p>
    <w:p w:rsidR="00012495" w:rsidRPr="003F23DE" w:rsidRDefault="00012495" w:rsidP="003F23DE">
      <w:pPr>
        <w:spacing w:line="360" w:lineRule="auto"/>
        <w:ind w:left="567" w:hanging="567"/>
        <w:jc w:val="both"/>
        <w:rPr>
          <w:rFonts w:ascii="Arial" w:hAnsi="Arial" w:cs="Arial"/>
          <w:b/>
          <w:iCs/>
          <w:sz w:val="22"/>
          <w:szCs w:val="22"/>
        </w:rPr>
      </w:pPr>
      <w:r w:rsidRPr="003F23DE">
        <w:rPr>
          <w:rFonts w:ascii="Arial" w:hAnsi="Arial" w:cs="Arial"/>
          <w:b/>
          <w:iCs/>
          <w:sz w:val="22"/>
          <w:szCs w:val="22"/>
        </w:rPr>
        <w:t xml:space="preserve">3. </w:t>
      </w:r>
      <w:r w:rsidRPr="003F23DE">
        <w:rPr>
          <w:rFonts w:ascii="Arial" w:hAnsi="Arial" w:cs="Arial"/>
          <w:b/>
          <w:iCs/>
          <w:sz w:val="22"/>
          <w:szCs w:val="22"/>
        </w:rPr>
        <w:tab/>
        <w:t>ΦΑΡΜΑΚΟΤΕΧΝΙΚΗ ΜΟΡΦΗ</w:t>
      </w:r>
    </w:p>
    <w:p w:rsidR="00012495" w:rsidRPr="003F23DE" w:rsidRDefault="00012495" w:rsidP="003F23DE">
      <w:pPr>
        <w:spacing w:line="360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 xml:space="preserve">   </w:t>
      </w:r>
      <w:r w:rsidRPr="003F23DE">
        <w:rPr>
          <w:rFonts w:ascii="Arial" w:hAnsi="Arial" w:cs="Arial"/>
          <w:iCs/>
          <w:sz w:val="22"/>
          <w:szCs w:val="22"/>
        </w:rPr>
        <w:tab/>
        <w:t>Δερματικό διάλυμα</w:t>
      </w:r>
    </w:p>
    <w:p w:rsidR="00012495" w:rsidRDefault="00B133CC" w:rsidP="003F23DE">
      <w:pPr>
        <w:spacing w:line="360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lang w:val="en-US"/>
        </w:rPr>
        <w:tab/>
        <w:t>To</w:t>
      </w:r>
      <w:r w:rsidRPr="00B133CC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  <w:lang w:val="en-US"/>
        </w:rPr>
        <w:t>PAIN</w:t>
      </w:r>
      <w:r w:rsidRPr="00B133CC">
        <w:rPr>
          <w:rFonts w:ascii="Arial" w:hAnsi="Arial" w:cs="Arial"/>
          <w:iCs/>
          <w:sz w:val="22"/>
          <w:szCs w:val="22"/>
        </w:rPr>
        <w:t>-</w:t>
      </w:r>
      <w:r>
        <w:rPr>
          <w:rFonts w:ascii="Arial" w:hAnsi="Arial" w:cs="Arial"/>
          <w:iCs/>
          <w:sz w:val="22"/>
          <w:szCs w:val="22"/>
          <w:lang w:val="en-US"/>
        </w:rPr>
        <w:t>OUT</w:t>
      </w:r>
      <w:r w:rsidRPr="00B133CC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είναι ένα χρυσο- κίτρινο, διαφανές διάλυμα. </w:t>
      </w:r>
    </w:p>
    <w:p w:rsidR="00B133CC" w:rsidRPr="00B133CC" w:rsidRDefault="00B133CC" w:rsidP="003F23DE">
      <w:pPr>
        <w:spacing w:line="360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</w:p>
    <w:p w:rsidR="00012495" w:rsidRPr="003F23DE" w:rsidRDefault="00012495" w:rsidP="003F23DE">
      <w:pPr>
        <w:spacing w:line="360" w:lineRule="auto"/>
        <w:ind w:left="567" w:hanging="567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3F23DE">
        <w:rPr>
          <w:rFonts w:ascii="Arial" w:hAnsi="Arial" w:cs="Arial"/>
          <w:b/>
          <w:iCs/>
          <w:sz w:val="22"/>
          <w:szCs w:val="22"/>
        </w:rPr>
        <w:t xml:space="preserve">4. </w:t>
      </w:r>
      <w:r w:rsidRPr="003F23DE">
        <w:rPr>
          <w:rFonts w:ascii="Arial" w:hAnsi="Arial" w:cs="Arial"/>
          <w:b/>
          <w:iCs/>
          <w:sz w:val="22"/>
          <w:szCs w:val="22"/>
        </w:rPr>
        <w:tab/>
      </w:r>
      <w:r w:rsidRPr="00601896">
        <w:rPr>
          <w:rFonts w:ascii="Arial" w:hAnsi="Arial" w:cs="Arial"/>
          <w:b/>
          <w:iCs/>
          <w:sz w:val="22"/>
          <w:szCs w:val="22"/>
        </w:rPr>
        <w:t>ΚΛΙΝΙΚ</w:t>
      </w:r>
      <w:r w:rsidR="00A17DF2" w:rsidRPr="00601896">
        <w:rPr>
          <w:rFonts w:ascii="Arial" w:hAnsi="Arial" w:cs="Arial"/>
          <w:b/>
          <w:iCs/>
          <w:sz w:val="22"/>
          <w:szCs w:val="22"/>
        </w:rPr>
        <w:t>ΕΣ ΠΛΗΡΟΦΟΡΙΕΣ</w:t>
      </w:r>
    </w:p>
    <w:p w:rsidR="00012495" w:rsidRPr="003F23DE" w:rsidRDefault="00012495" w:rsidP="003F23DE">
      <w:pPr>
        <w:spacing w:line="360" w:lineRule="auto"/>
        <w:ind w:left="567" w:hanging="567"/>
        <w:jc w:val="both"/>
        <w:rPr>
          <w:rFonts w:ascii="Arial" w:hAnsi="Arial" w:cs="Arial"/>
          <w:b/>
          <w:iCs/>
          <w:sz w:val="22"/>
          <w:szCs w:val="22"/>
        </w:rPr>
      </w:pPr>
      <w:r w:rsidRPr="003F23DE">
        <w:rPr>
          <w:rFonts w:ascii="Arial" w:hAnsi="Arial" w:cs="Arial"/>
          <w:b/>
          <w:iCs/>
          <w:sz w:val="22"/>
          <w:szCs w:val="22"/>
        </w:rPr>
        <w:t xml:space="preserve">4.1. </w:t>
      </w:r>
      <w:r w:rsidRPr="003F23DE">
        <w:rPr>
          <w:rFonts w:ascii="Arial" w:hAnsi="Arial" w:cs="Arial"/>
          <w:b/>
          <w:iCs/>
          <w:sz w:val="22"/>
          <w:szCs w:val="22"/>
        </w:rPr>
        <w:tab/>
        <w:t>Θεραπευτικές ενδείξεις</w:t>
      </w:r>
    </w:p>
    <w:p w:rsidR="00012495" w:rsidRPr="003F23DE" w:rsidRDefault="00012495" w:rsidP="003F23DE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>Το φάρμακο ενδείκνυται για τη</w:t>
      </w:r>
      <w:r w:rsidR="00B133CC">
        <w:rPr>
          <w:rFonts w:ascii="Arial" w:hAnsi="Arial" w:cs="Arial"/>
          <w:iCs/>
          <w:sz w:val="22"/>
          <w:szCs w:val="22"/>
        </w:rPr>
        <w:t>ν</w:t>
      </w:r>
      <w:r w:rsidRPr="003F23DE">
        <w:rPr>
          <w:rFonts w:ascii="Arial" w:hAnsi="Arial" w:cs="Arial"/>
          <w:iCs/>
          <w:sz w:val="22"/>
          <w:szCs w:val="22"/>
        </w:rPr>
        <w:t xml:space="preserve"> </w:t>
      </w:r>
      <w:r w:rsidR="00B133CC">
        <w:rPr>
          <w:rFonts w:ascii="Arial" w:hAnsi="Arial" w:cs="Arial"/>
          <w:iCs/>
          <w:sz w:val="22"/>
          <w:szCs w:val="22"/>
        </w:rPr>
        <w:t xml:space="preserve">τοπική </w:t>
      </w:r>
      <w:r w:rsidR="00C34DAD" w:rsidRPr="003F23DE">
        <w:rPr>
          <w:rFonts w:ascii="Arial" w:hAnsi="Arial" w:cs="Arial"/>
          <w:iCs/>
          <w:sz w:val="22"/>
          <w:szCs w:val="22"/>
        </w:rPr>
        <w:t>σ</w:t>
      </w:r>
      <w:r w:rsidR="0013770E" w:rsidRPr="003F23DE">
        <w:rPr>
          <w:rFonts w:ascii="Arial" w:hAnsi="Arial" w:cs="Arial"/>
          <w:iCs/>
          <w:sz w:val="22"/>
          <w:szCs w:val="22"/>
        </w:rPr>
        <w:t>υ</w:t>
      </w:r>
      <w:r w:rsidR="00C34DAD" w:rsidRPr="003F23DE">
        <w:rPr>
          <w:rFonts w:ascii="Arial" w:hAnsi="Arial" w:cs="Arial"/>
          <w:iCs/>
          <w:sz w:val="22"/>
          <w:szCs w:val="22"/>
        </w:rPr>
        <w:t xml:space="preserve">μπτωματική </w:t>
      </w:r>
      <w:r w:rsidR="00B133CC">
        <w:rPr>
          <w:rFonts w:ascii="Arial" w:hAnsi="Arial" w:cs="Arial"/>
          <w:iCs/>
          <w:sz w:val="22"/>
          <w:szCs w:val="22"/>
        </w:rPr>
        <w:t>ανακούφιση του</w:t>
      </w:r>
      <w:r w:rsidR="00B133CC" w:rsidRPr="003F23DE">
        <w:rPr>
          <w:rFonts w:ascii="Arial" w:hAnsi="Arial" w:cs="Arial"/>
          <w:iCs/>
          <w:sz w:val="22"/>
          <w:szCs w:val="22"/>
        </w:rPr>
        <w:t xml:space="preserve"> ήπιου</w:t>
      </w:r>
      <w:r w:rsidR="00C34DAD" w:rsidRPr="003F23DE">
        <w:rPr>
          <w:rFonts w:ascii="Arial" w:hAnsi="Arial" w:cs="Arial"/>
          <w:iCs/>
          <w:sz w:val="22"/>
          <w:szCs w:val="22"/>
        </w:rPr>
        <w:t xml:space="preserve"> </w:t>
      </w:r>
      <w:r w:rsidR="00B133CC" w:rsidRPr="003F23DE">
        <w:rPr>
          <w:rFonts w:ascii="Arial" w:hAnsi="Arial" w:cs="Arial"/>
          <w:iCs/>
          <w:sz w:val="22"/>
          <w:szCs w:val="22"/>
        </w:rPr>
        <w:t xml:space="preserve">έως </w:t>
      </w:r>
      <w:r w:rsidR="00C41F96" w:rsidRPr="003F23DE">
        <w:rPr>
          <w:rFonts w:ascii="Arial" w:hAnsi="Arial" w:cs="Arial"/>
          <w:iCs/>
          <w:sz w:val="22"/>
          <w:szCs w:val="22"/>
        </w:rPr>
        <w:t xml:space="preserve">μέτριου </w:t>
      </w:r>
      <w:r w:rsidR="00C34DAD" w:rsidRPr="003F23DE">
        <w:rPr>
          <w:rFonts w:ascii="Arial" w:hAnsi="Arial" w:cs="Arial"/>
          <w:iCs/>
          <w:sz w:val="22"/>
          <w:szCs w:val="22"/>
        </w:rPr>
        <w:t xml:space="preserve">πόνου </w:t>
      </w:r>
      <w:r w:rsidR="00C41F96" w:rsidRPr="003F23DE">
        <w:rPr>
          <w:rFonts w:ascii="Arial" w:hAnsi="Arial" w:cs="Arial"/>
          <w:iCs/>
          <w:sz w:val="22"/>
          <w:szCs w:val="22"/>
        </w:rPr>
        <w:t xml:space="preserve">και της </w:t>
      </w:r>
      <w:r w:rsidR="00C25987">
        <w:rPr>
          <w:rFonts w:ascii="Arial" w:hAnsi="Arial" w:cs="Arial"/>
          <w:iCs/>
          <w:sz w:val="22"/>
          <w:szCs w:val="22"/>
        </w:rPr>
        <w:t>φλεγμονής</w:t>
      </w:r>
      <w:r w:rsidR="00C41F96" w:rsidRPr="003F23DE">
        <w:rPr>
          <w:rFonts w:ascii="Arial" w:hAnsi="Arial" w:cs="Arial"/>
          <w:iCs/>
          <w:sz w:val="22"/>
          <w:szCs w:val="22"/>
        </w:rPr>
        <w:t xml:space="preserve"> που ακολουθεί το οξύ αμβλύ τραύμα των μικρών και μεσαίων αρθρώσεων και </w:t>
      </w:r>
      <w:r w:rsidR="00A17DF2">
        <w:rPr>
          <w:rFonts w:ascii="Arial" w:hAnsi="Arial" w:cs="Arial"/>
          <w:iCs/>
          <w:sz w:val="22"/>
          <w:szCs w:val="22"/>
        </w:rPr>
        <w:t xml:space="preserve">των </w:t>
      </w:r>
      <w:r w:rsidR="00C34DAD" w:rsidRPr="003F23DE">
        <w:rPr>
          <w:rFonts w:ascii="Arial" w:hAnsi="Arial" w:cs="Arial"/>
          <w:iCs/>
          <w:sz w:val="22"/>
          <w:szCs w:val="22"/>
        </w:rPr>
        <w:t>π</w:t>
      </w:r>
      <w:r w:rsidR="00C41F96" w:rsidRPr="003F23DE">
        <w:rPr>
          <w:rFonts w:ascii="Arial" w:hAnsi="Arial" w:cs="Arial"/>
          <w:iCs/>
          <w:sz w:val="22"/>
          <w:szCs w:val="22"/>
        </w:rPr>
        <w:t xml:space="preserve">εριαρθρικών </w:t>
      </w:r>
      <w:r w:rsidR="002A6206" w:rsidRPr="003F23DE">
        <w:rPr>
          <w:rFonts w:ascii="Arial" w:hAnsi="Arial" w:cs="Arial"/>
          <w:iCs/>
          <w:sz w:val="22"/>
          <w:szCs w:val="22"/>
        </w:rPr>
        <w:t xml:space="preserve">δομών. </w:t>
      </w:r>
    </w:p>
    <w:p w:rsidR="00012495" w:rsidRPr="003F23DE" w:rsidRDefault="00012495" w:rsidP="003F23DE">
      <w:pPr>
        <w:tabs>
          <w:tab w:val="left" w:pos="-426"/>
        </w:tabs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</w:p>
    <w:p w:rsidR="0027305D" w:rsidRPr="003F23DE" w:rsidRDefault="00012495" w:rsidP="003F23DE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3F23DE">
        <w:rPr>
          <w:rFonts w:ascii="Arial" w:hAnsi="Arial" w:cs="Arial"/>
          <w:b/>
          <w:iCs/>
          <w:sz w:val="22"/>
          <w:szCs w:val="22"/>
        </w:rPr>
        <w:t>Δοσολογία και τρόπος χ</w:t>
      </w:r>
      <w:r w:rsidR="00A17DF2">
        <w:rPr>
          <w:rFonts w:ascii="Arial" w:hAnsi="Arial" w:cs="Arial"/>
          <w:b/>
          <w:iCs/>
          <w:sz w:val="22"/>
          <w:szCs w:val="22"/>
        </w:rPr>
        <w:t xml:space="preserve">ορήγησης </w:t>
      </w:r>
    </w:p>
    <w:p w:rsidR="002A6206" w:rsidRPr="004460CD" w:rsidRDefault="00C25987" w:rsidP="004460CD">
      <w:pPr>
        <w:spacing w:line="360" w:lineRule="auto"/>
        <w:ind w:left="57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Για δερματική χρήση μόνο. Να μη</w:t>
      </w:r>
      <w:r w:rsidR="002A6206" w:rsidRPr="003F23DE">
        <w:rPr>
          <w:rFonts w:ascii="Arial" w:hAnsi="Arial" w:cs="Arial"/>
          <w:iCs/>
          <w:sz w:val="22"/>
          <w:szCs w:val="22"/>
        </w:rPr>
        <w:t xml:space="preserve"> χορηγείται από το στόμα. </w:t>
      </w:r>
    </w:p>
    <w:p w:rsidR="0027305D" w:rsidRPr="003F23DE" w:rsidRDefault="0027305D" w:rsidP="003F23DE">
      <w:pPr>
        <w:spacing w:line="360" w:lineRule="auto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3F23DE">
        <w:rPr>
          <w:rFonts w:ascii="Arial" w:hAnsi="Arial" w:cs="Arial"/>
          <w:b/>
          <w:iCs/>
          <w:sz w:val="22"/>
          <w:szCs w:val="22"/>
        </w:rPr>
        <w:t xml:space="preserve">          </w:t>
      </w:r>
      <w:r w:rsidRPr="003F23DE">
        <w:rPr>
          <w:rFonts w:ascii="Arial" w:hAnsi="Arial" w:cs="Arial"/>
          <w:iCs/>
          <w:sz w:val="22"/>
          <w:szCs w:val="22"/>
          <w:u w:val="single"/>
        </w:rPr>
        <w:t>Ενήλικες</w:t>
      </w:r>
    </w:p>
    <w:p w:rsidR="002A6206" w:rsidRPr="003F23DE" w:rsidRDefault="00A17DF2" w:rsidP="003F23DE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Ε</w:t>
      </w:r>
      <w:r w:rsidR="002A6206" w:rsidRPr="003F23DE">
        <w:rPr>
          <w:rFonts w:ascii="Arial" w:hAnsi="Arial" w:cs="Arial"/>
          <w:iCs/>
          <w:sz w:val="22"/>
          <w:szCs w:val="22"/>
        </w:rPr>
        <w:t xml:space="preserve">φαρμόζεται επαρκής ποσότητα του </w:t>
      </w:r>
      <w:r w:rsidR="002A6206" w:rsidRPr="003F23DE">
        <w:rPr>
          <w:rFonts w:ascii="Arial" w:hAnsi="Arial" w:cs="Arial"/>
          <w:iCs/>
          <w:sz w:val="22"/>
          <w:szCs w:val="22"/>
          <w:lang w:val="en-US"/>
        </w:rPr>
        <w:t>PAIN</w:t>
      </w:r>
      <w:r w:rsidR="002A6206" w:rsidRPr="003F23DE">
        <w:rPr>
          <w:rFonts w:ascii="Arial" w:hAnsi="Arial" w:cs="Arial"/>
          <w:iCs/>
          <w:sz w:val="22"/>
          <w:szCs w:val="22"/>
        </w:rPr>
        <w:t>-</w:t>
      </w:r>
      <w:r w:rsidR="002A6206" w:rsidRPr="003F23DE">
        <w:rPr>
          <w:rFonts w:ascii="Arial" w:hAnsi="Arial" w:cs="Arial"/>
          <w:iCs/>
          <w:sz w:val="22"/>
          <w:szCs w:val="22"/>
          <w:lang w:val="en-US"/>
        </w:rPr>
        <w:t>OUT</w:t>
      </w:r>
      <w:r w:rsidR="002A6206" w:rsidRPr="003F23DE">
        <w:rPr>
          <w:rFonts w:ascii="Arial" w:hAnsi="Arial" w:cs="Arial"/>
          <w:iCs/>
          <w:sz w:val="22"/>
          <w:szCs w:val="22"/>
        </w:rPr>
        <w:t xml:space="preserve"> τ</w:t>
      </w:r>
      <w:r w:rsidR="002B255A" w:rsidRPr="003F23DE">
        <w:rPr>
          <w:rFonts w:ascii="Arial" w:hAnsi="Arial" w:cs="Arial"/>
          <w:iCs/>
          <w:sz w:val="22"/>
          <w:szCs w:val="22"/>
        </w:rPr>
        <w:t xml:space="preserve">οπικά στην </w:t>
      </w:r>
      <w:r w:rsidR="00B133CC">
        <w:rPr>
          <w:rFonts w:ascii="Arial" w:hAnsi="Arial" w:cs="Arial"/>
          <w:iCs/>
          <w:sz w:val="22"/>
          <w:szCs w:val="22"/>
        </w:rPr>
        <w:t>πάσχουσα</w:t>
      </w:r>
      <w:r w:rsidR="00E6378E" w:rsidRPr="003F23DE">
        <w:rPr>
          <w:rFonts w:ascii="Arial" w:hAnsi="Arial" w:cs="Arial"/>
          <w:iCs/>
          <w:sz w:val="22"/>
          <w:szCs w:val="22"/>
        </w:rPr>
        <w:t xml:space="preserve"> </w:t>
      </w:r>
      <w:r w:rsidR="002B255A" w:rsidRPr="003F23DE">
        <w:rPr>
          <w:rFonts w:ascii="Arial" w:hAnsi="Arial" w:cs="Arial"/>
          <w:iCs/>
          <w:sz w:val="22"/>
          <w:szCs w:val="22"/>
        </w:rPr>
        <w:t>περιοχή.</w:t>
      </w:r>
      <w:r w:rsidR="002A6206" w:rsidRPr="003F23DE">
        <w:rPr>
          <w:rFonts w:ascii="Arial" w:hAnsi="Arial" w:cs="Arial"/>
          <w:iCs/>
          <w:sz w:val="22"/>
          <w:szCs w:val="22"/>
        </w:rPr>
        <w:t xml:space="preserve"> Κανονικά, 0,8 </w:t>
      </w:r>
      <w:r w:rsidR="002A6206" w:rsidRPr="003F23DE">
        <w:rPr>
          <w:rFonts w:ascii="Arial" w:hAnsi="Arial" w:cs="Arial"/>
          <w:iCs/>
          <w:sz w:val="22"/>
          <w:szCs w:val="22"/>
          <w:lang w:val="en-US"/>
        </w:rPr>
        <w:t>g</w:t>
      </w:r>
      <w:r w:rsidR="002A6206" w:rsidRPr="003F23DE">
        <w:rPr>
          <w:rFonts w:ascii="Arial" w:hAnsi="Arial" w:cs="Arial"/>
          <w:iCs/>
          <w:sz w:val="22"/>
          <w:szCs w:val="22"/>
        </w:rPr>
        <w:t xml:space="preserve"> – 1 </w:t>
      </w:r>
      <w:r w:rsidR="002A6206" w:rsidRPr="003F23DE">
        <w:rPr>
          <w:rFonts w:ascii="Arial" w:hAnsi="Arial" w:cs="Arial"/>
          <w:iCs/>
          <w:sz w:val="22"/>
          <w:szCs w:val="22"/>
          <w:lang w:val="en-US"/>
        </w:rPr>
        <w:t>g</w:t>
      </w:r>
      <w:r w:rsidR="002A6206" w:rsidRPr="003F23DE">
        <w:rPr>
          <w:rFonts w:ascii="Arial" w:hAnsi="Arial" w:cs="Arial"/>
          <w:iCs/>
          <w:sz w:val="22"/>
          <w:szCs w:val="22"/>
        </w:rPr>
        <w:t xml:space="preserve"> του διαλύματος (32 </w:t>
      </w:r>
      <w:r w:rsidR="002A6206" w:rsidRPr="003F23DE">
        <w:rPr>
          <w:rFonts w:ascii="Arial" w:hAnsi="Arial" w:cs="Arial"/>
          <w:iCs/>
          <w:sz w:val="22"/>
          <w:szCs w:val="22"/>
          <w:lang w:val="en-US"/>
        </w:rPr>
        <w:t>mg</w:t>
      </w:r>
      <w:r w:rsidR="002A6206" w:rsidRPr="003F23DE">
        <w:rPr>
          <w:rFonts w:ascii="Arial" w:hAnsi="Arial" w:cs="Arial"/>
          <w:iCs/>
          <w:sz w:val="22"/>
          <w:szCs w:val="22"/>
        </w:rPr>
        <w:t xml:space="preserve">- 40 </w:t>
      </w:r>
      <w:r w:rsidR="002A6206" w:rsidRPr="003F23DE">
        <w:rPr>
          <w:rFonts w:ascii="Arial" w:hAnsi="Arial" w:cs="Arial"/>
          <w:iCs/>
          <w:sz w:val="22"/>
          <w:szCs w:val="22"/>
          <w:lang w:val="en-US"/>
        </w:rPr>
        <w:t>mg</w:t>
      </w:r>
      <w:r w:rsidR="002A6206" w:rsidRPr="003F23DE">
        <w:rPr>
          <w:rFonts w:ascii="Arial" w:hAnsi="Arial" w:cs="Arial"/>
          <w:iCs/>
          <w:sz w:val="22"/>
          <w:szCs w:val="22"/>
        </w:rPr>
        <w:t xml:space="preserve"> </w:t>
      </w:r>
      <w:r w:rsidR="002A6206" w:rsidRPr="003F23DE">
        <w:rPr>
          <w:rFonts w:ascii="Arial" w:hAnsi="Arial" w:cs="Arial"/>
          <w:iCs/>
          <w:sz w:val="22"/>
          <w:szCs w:val="22"/>
          <w:lang w:val="en-US"/>
        </w:rPr>
        <w:t>diclofenac</w:t>
      </w:r>
      <w:r w:rsidR="002A6206" w:rsidRPr="003F23DE">
        <w:rPr>
          <w:rFonts w:ascii="Arial" w:hAnsi="Arial" w:cs="Arial"/>
          <w:iCs/>
          <w:sz w:val="22"/>
          <w:szCs w:val="22"/>
        </w:rPr>
        <w:t xml:space="preserve"> </w:t>
      </w:r>
      <w:r w:rsidR="002A6206" w:rsidRPr="003F23DE">
        <w:rPr>
          <w:rFonts w:ascii="Arial" w:hAnsi="Arial" w:cs="Arial"/>
          <w:iCs/>
          <w:sz w:val="22"/>
          <w:szCs w:val="22"/>
          <w:lang w:val="en-US"/>
        </w:rPr>
        <w:t>sodium</w:t>
      </w:r>
      <w:r w:rsidR="002A6206" w:rsidRPr="003F23DE">
        <w:rPr>
          <w:rFonts w:ascii="Arial" w:hAnsi="Arial" w:cs="Arial"/>
          <w:iCs/>
          <w:sz w:val="22"/>
          <w:szCs w:val="22"/>
        </w:rPr>
        <w:t xml:space="preserve">) επαρκούν. Η </w:t>
      </w:r>
      <w:r>
        <w:rPr>
          <w:rFonts w:ascii="Arial" w:hAnsi="Arial" w:cs="Arial"/>
          <w:iCs/>
          <w:sz w:val="22"/>
          <w:szCs w:val="22"/>
        </w:rPr>
        <w:t>θεραπεία</w:t>
      </w:r>
      <w:r w:rsidR="002A6206" w:rsidRPr="003F23DE">
        <w:rPr>
          <w:rFonts w:ascii="Arial" w:hAnsi="Arial" w:cs="Arial"/>
          <w:iCs/>
          <w:sz w:val="22"/>
          <w:szCs w:val="22"/>
        </w:rPr>
        <w:t xml:space="preserve"> θα πρέπει να επαναλαμβάνεται 3 φορές τη μέρα, σε τακτά χρονικά διαστήματα. Η μέγιστη ημερήσια δόση είναι 3,0 </w:t>
      </w:r>
      <w:r w:rsidR="002A6206" w:rsidRPr="003F23DE">
        <w:rPr>
          <w:rFonts w:ascii="Arial" w:hAnsi="Arial" w:cs="Arial"/>
          <w:iCs/>
          <w:sz w:val="22"/>
          <w:szCs w:val="22"/>
          <w:lang w:val="en-US"/>
        </w:rPr>
        <w:t>g</w:t>
      </w:r>
      <w:r w:rsidR="002A6206" w:rsidRPr="003F23DE">
        <w:rPr>
          <w:rFonts w:ascii="Arial" w:hAnsi="Arial" w:cs="Arial"/>
          <w:iCs/>
          <w:sz w:val="22"/>
          <w:szCs w:val="22"/>
        </w:rPr>
        <w:t xml:space="preserve"> δερματικού διαλύματος (120 </w:t>
      </w:r>
      <w:r w:rsidR="002A6206" w:rsidRPr="003F23DE">
        <w:rPr>
          <w:rFonts w:ascii="Arial" w:hAnsi="Arial" w:cs="Arial"/>
          <w:iCs/>
          <w:sz w:val="22"/>
          <w:szCs w:val="22"/>
          <w:lang w:val="en-US"/>
        </w:rPr>
        <w:t>mg</w:t>
      </w:r>
      <w:r w:rsidR="002A6206" w:rsidRPr="003F23DE">
        <w:rPr>
          <w:rFonts w:ascii="Arial" w:hAnsi="Arial" w:cs="Arial"/>
          <w:iCs/>
          <w:sz w:val="22"/>
          <w:szCs w:val="22"/>
        </w:rPr>
        <w:t xml:space="preserve"> </w:t>
      </w:r>
      <w:r w:rsidR="002A6206" w:rsidRPr="003F23DE">
        <w:rPr>
          <w:rFonts w:ascii="Arial" w:hAnsi="Arial" w:cs="Arial"/>
          <w:iCs/>
          <w:sz w:val="22"/>
          <w:szCs w:val="22"/>
          <w:lang w:val="en-US"/>
        </w:rPr>
        <w:t>diclofenac</w:t>
      </w:r>
      <w:r w:rsidR="002A6206" w:rsidRPr="003F23DE">
        <w:rPr>
          <w:rFonts w:ascii="Arial" w:hAnsi="Arial" w:cs="Arial"/>
          <w:iCs/>
          <w:sz w:val="22"/>
          <w:szCs w:val="22"/>
        </w:rPr>
        <w:t xml:space="preserve"> </w:t>
      </w:r>
      <w:r w:rsidR="002A6206" w:rsidRPr="003F23DE">
        <w:rPr>
          <w:rFonts w:ascii="Arial" w:hAnsi="Arial" w:cs="Arial"/>
          <w:iCs/>
          <w:sz w:val="22"/>
          <w:szCs w:val="22"/>
          <w:lang w:val="en-US"/>
        </w:rPr>
        <w:t>sodium</w:t>
      </w:r>
      <w:r w:rsidR="002A6206" w:rsidRPr="003F23DE">
        <w:rPr>
          <w:rFonts w:ascii="Arial" w:hAnsi="Arial" w:cs="Arial"/>
          <w:iCs/>
          <w:sz w:val="22"/>
          <w:szCs w:val="22"/>
        </w:rPr>
        <w:t xml:space="preserve">). </w:t>
      </w:r>
    </w:p>
    <w:p w:rsidR="0027305D" w:rsidRPr="003F23DE" w:rsidRDefault="0027305D" w:rsidP="003F23DE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 xml:space="preserve">Το </w:t>
      </w:r>
      <w:r w:rsidR="002A6206" w:rsidRPr="003F23DE">
        <w:rPr>
          <w:rFonts w:ascii="Arial" w:hAnsi="Arial" w:cs="Arial"/>
          <w:iCs/>
          <w:sz w:val="22"/>
          <w:szCs w:val="22"/>
          <w:lang w:val="en-US"/>
        </w:rPr>
        <w:t>PAIN</w:t>
      </w:r>
      <w:r w:rsidR="002A6206" w:rsidRPr="003F23DE">
        <w:rPr>
          <w:rFonts w:ascii="Arial" w:hAnsi="Arial" w:cs="Arial"/>
          <w:iCs/>
          <w:sz w:val="22"/>
          <w:szCs w:val="22"/>
        </w:rPr>
        <w:t>-</w:t>
      </w:r>
      <w:r w:rsidR="002A6206" w:rsidRPr="003F23DE">
        <w:rPr>
          <w:rFonts w:ascii="Arial" w:hAnsi="Arial" w:cs="Arial"/>
          <w:iCs/>
          <w:sz w:val="22"/>
          <w:szCs w:val="22"/>
          <w:lang w:val="en-US"/>
        </w:rPr>
        <w:t>OUT</w:t>
      </w:r>
      <w:r w:rsidR="002A6206" w:rsidRPr="003F23DE">
        <w:rPr>
          <w:rFonts w:ascii="Arial" w:hAnsi="Arial" w:cs="Arial"/>
          <w:iCs/>
          <w:sz w:val="22"/>
          <w:szCs w:val="22"/>
        </w:rPr>
        <w:t xml:space="preserve"> </w:t>
      </w:r>
      <w:r w:rsidRPr="003F23DE">
        <w:rPr>
          <w:rFonts w:ascii="Arial" w:hAnsi="Arial" w:cs="Arial"/>
          <w:iCs/>
          <w:sz w:val="22"/>
          <w:szCs w:val="22"/>
        </w:rPr>
        <w:t xml:space="preserve">διαχέεται ομοιόμορφα στην </w:t>
      </w:r>
      <w:r w:rsidR="002A6206" w:rsidRPr="003F23DE">
        <w:rPr>
          <w:rFonts w:ascii="Arial" w:hAnsi="Arial" w:cs="Arial"/>
          <w:iCs/>
          <w:sz w:val="22"/>
          <w:szCs w:val="22"/>
        </w:rPr>
        <w:t>πάσχουσα</w:t>
      </w:r>
      <w:r w:rsidRPr="003F23DE">
        <w:rPr>
          <w:rFonts w:ascii="Arial" w:hAnsi="Arial" w:cs="Arial"/>
          <w:iCs/>
          <w:sz w:val="22"/>
          <w:szCs w:val="22"/>
        </w:rPr>
        <w:t xml:space="preserve"> περιοχή </w:t>
      </w:r>
      <w:r w:rsidR="00090B5B">
        <w:rPr>
          <w:rFonts w:ascii="Arial" w:hAnsi="Arial" w:cs="Arial"/>
          <w:iCs/>
          <w:sz w:val="22"/>
          <w:szCs w:val="22"/>
        </w:rPr>
        <w:t>κάνοντας ελαφρό μασάζ με τα χέρια</w:t>
      </w:r>
      <w:r w:rsidRPr="003F23DE">
        <w:rPr>
          <w:rFonts w:ascii="Arial" w:hAnsi="Arial" w:cs="Arial"/>
          <w:iCs/>
          <w:sz w:val="22"/>
          <w:szCs w:val="22"/>
        </w:rPr>
        <w:t xml:space="preserve">. </w:t>
      </w:r>
      <w:r w:rsidR="002A6206" w:rsidRPr="003F23DE">
        <w:rPr>
          <w:rFonts w:ascii="Arial" w:hAnsi="Arial" w:cs="Arial"/>
          <w:iCs/>
          <w:sz w:val="22"/>
          <w:szCs w:val="22"/>
        </w:rPr>
        <w:t xml:space="preserve">Μετά την εφαρμογή, πρέπει να πλένονται καλά τα χέρια, εκτός και </w:t>
      </w:r>
      <w:r w:rsidR="00F671C2">
        <w:rPr>
          <w:rFonts w:ascii="Arial" w:hAnsi="Arial" w:cs="Arial"/>
          <w:iCs/>
          <w:sz w:val="22"/>
          <w:szCs w:val="22"/>
        </w:rPr>
        <w:t>αν</w:t>
      </w:r>
      <w:r w:rsidR="00F671C2" w:rsidRPr="00F671C2">
        <w:rPr>
          <w:rFonts w:ascii="Arial" w:hAnsi="Arial" w:cs="Arial"/>
          <w:iCs/>
          <w:sz w:val="22"/>
          <w:szCs w:val="22"/>
        </w:rPr>
        <w:t xml:space="preserve"> </w:t>
      </w:r>
      <w:r w:rsidR="00090B5B">
        <w:rPr>
          <w:rFonts w:ascii="Arial" w:hAnsi="Arial" w:cs="Arial"/>
          <w:iCs/>
          <w:sz w:val="22"/>
          <w:szCs w:val="22"/>
        </w:rPr>
        <w:t xml:space="preserve">τα χέρια αποτελούν την </w:t>
      </w:r>
      <w:r w:rsidR="002A6206" w:rsidRPr="003F23DE">
        <w:rPr>
          <w:rFonts w:ascii="Arial" w:hAnsi="Arial" w:cs="Arial"/>
          <w:iCs/>
          <w:sz w:val="22"/>
          <w:szCs w:val="22"/>
        </w:rPr>
        <w:t xml:space="preserve">πάσχουσα περιοχή. </w:t>
      </w:r>
      <w:r w:rsidR="00090B5B">
        <w:rPr>
          <w:rFonts w:ascii="Arial" w:hAnsi="Arial" w:cs="Arial"/>
          <w:iCs/>
          <w:sz w:val="22"/>
          <w:szCs w:val="22"/>
        </w:rPr>
        <w:t>Μετά την εφαρμογή, θα πρέπει να περιμένετε μερικά λεπτά μέχρι</w:t>
      </w:r>
      <w:r w:rsidR="00C25987">
        <w:rPr>
          <w:rFonts w:ascii="Arial" w:hAnsi="Arial" w:cs="Arial"/>
          <w:iCs/>
          <w:sz w:val="22"/>
          <w:szCs w:val="22"/>
        </w:rPr>
        <w:t xml:space="preserve"> να στεγνώσει πλήρως το διάλυμα</w:t>
      </w:r>
      <w:r w:rsidR="00090B5B">
        <w:rPr>
          <w:rFonts w:ascii="Arial" w:hAnsi="Arial" w:cs="Arial"/>
          <w:iCs/>
          <w:sz w:val="22"/>
          <w:szCs w:val="22"/>
        </w:rPr>
        <w:t>, πριν καλύψετε το δέρμα με ρούχα</w:t>
      </w:r>
      <w:r w:rsidR="00C25987">
        <w:rPr>
          <w:rFonts w:ascii="Arial" w:hAnsi="Arial" w:cs="Arial"/>
          <w:iCs/>
          <w:sz w:val="22"/>
          <w:szCs w:val="22"/>
        </w:rPr>
        <w:t xml:space="preserve"> ή τοποθετήσετε επίδεσμο</w:t>
      </w:r>
      <w:r w:rsidR="00090B5B">
        <w:rPr>
          <w:rFonts w:ascii="Arial" w:hAnsi="Arial" w:cs="Arial"/>
          <w:iCs/>
          <w:sz w:val="22"/>
          <w:szCs w:val="22"/>
        </w:rPr>
        <w:t xml:space="preserve">. </w:t>
      </w:r>
    </w:p>
    <w:p w:rsidR="002A6206" w:rsidRPr="003F23DE" w:rsidRDefault="002A6206" w:rsidP="003F23DE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 xml:space="preserve">Η θεραπεία μπορεί να διακοπεί όταν υποχωρήσουν τα συμπτώματα (το πρήξιμο και ο πόνος). </w:t>
      </w:r>
      <w:r w:rsidR="00FC7784" w:rsidRPr="003F23DE">
        <w:rPr>
          <w:rFonts w:ascii="Arial" w:hAnsi="Arial" w:cs="Arial"/>
          <w:iCs/>
          <w:sz w:val="22"/>
          <w:szCs w:val="22"/>
        </w:rPr>
        <w:t>Η χορήγηση δεν θα πρέπει να συνεχ</w:t>
      </w:r>
      <w:r w:rsidR="00090B5B">
        <w:rPr>
          <w:rFonts w:ascii="Arial" w:hAnsi="Arial" w:cs="Arial"/>
          <w:iCs/>
          <w:sz w:val="22"/>
          <w:szCs w:val="22"/>
        </w:rPr>
        <w:t xml:space="preserve">ιστεί πέραν των </w:t>
      </w:r>
      <w:r w:rsidR="00FC7784" w:rsidRPr="003F23DE">
        <w:rPr>
          <w:rFonts w:ascii="Arial" w:hAnsi="Arial" w:cs="Arial"/>
          <w:iCs/>
          <w:sz w:val="22"/>
          <w:szCs w:val="22"/>
        </w:rPr>
        <w:t>7</w:t>
      </w:r>
      <w:r w:rsidR="00090B5B">
        <w:rPr>
          <w:rFonts w:ascii="Arial" w:hAnsi="Arial" w:cs="Arial"/>
          <w:iCs/>
          <w:sz w:val="22"/>
          <w:szCs w:val="22"/>
        </w:rPr>
        <w:t>-8</w:t>
      </w:r>
      <w:r w:rsidR="00FC7784" w:rsidRPr="003F23DE">
        <w:rPr>
          <w:rFonts w:ascii="Arial" w:hAnsi="Arial" w:cs="Arial"/>
          <w:iCs/>
          <w:sz w:val="22"/>
          <w:szCs w:val="22"/>
        </w:rPr>
        <w:t xml:space="preserve"> </w:t>
      </w:r>
      <w:r w:rsidR="00090B5B">
        <w:rPr>
          <w:rFonts w:ascii="Arial" w:hAnsi="Arial" w:cs="Arial"/>
          <w:iCs/>
          <w:sz w:val="22"/>
          <w:szCs w:val="22"/>
        </w:rPr>
        <w:t>ημερών</w:t>
      </w:r>
      <w:r w:rsidR="00FC7784" w:rsidRPr="003F23DE">
        <w:rPr>
          <w:rFonts w:ascii="Arial" w:hAnsi="Arial" w:cs="Arial"/>
          <w:iCs/>
          <w:sz w:val="22"/>
          <w:szCs w:val="22"/>
        </w:rPr>
        <w:t>, χωρίς επανεξέταση. Εάν μετά την 3</w:t>
      </w:r>
      <w:r w:rsidR="00FC7784" w:rsidRPr="003F23DE">
        <w:rPr>
          <w:rFonts w:ascii="Arial" w:hAnsi="Arial" w:cs="Arial"/>
          <w:iCs/>
          <w:sz w:val="22"/>
          <w:szCs w:val="22"/>
          <w:vertAlign w:val="superscript"/>
        </w:rPr>
        <w:t>η</w:t>
      </w:r>
      <w:r w:rsidR="00FC7784" w:rsidRPr="003F23DE">
        <w:rPr>
          <w:rFonts w:ascii="Arial" w:hAnsi="Arial" w:cs="Arial"/>
          <w:iCs/>
          <w:sz w:val="22"/>
          <w:szCs w:val="22"/>
        </w:rPr>
        <w:t xml:space="preserve"> ημέρα δεν εμφανιστεί βελτίωση, ο ασθενής θα πρέπει να συμβουλευτεί το γιατρό του. </w:t>
      </w:r>
    </w:p>
    <w:p w:rsidR="00FC7784" w:rsidRPr="003F23DE" w:rsidRDefault="00FC7784" w:rsidP="003F23DE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</w:p>
    <w:p w:rsidR="00FC7784" w:rsidRPr="003F23DE" w:rsidRDefault="00FC7784" w:rsidP="003F23DE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3F23DE">
        <w:rPr>
          <w:rFonts w:ascii="Arial" w:hAnsi="Arial" w:cs="Arial"/>
          <w:iCs/>
          <w:sz w:val="22"/>
          <w:szCs w:val="22"/>
          <w:u w:val="single"/>
        </w:rPr>
        <w:lastRenderedPageBreak/>
        <w:t>Ηλικιωμένοι</w:t>
      </w:r>
    </w:p>
    <w:p w:rsidR="00FC7784" w:rsidRPr="003F23DE" w:rsidRDefault="00B133CC" w:rsidP="003F23DE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 xml:space="preserve">Να ακολουθείται </w:t>
      </w:r>
      <w:r>
        <w:rPr>
          <w:rFonts w:ascii="Arial" w:hAnsi="Arial" w:cs="Arial"/>
          <w:iCs/>
          <w:sz w:val="22"/>
          <w:szCs w:val="22"/>
        </w:rPr>
        <w:t>η</w:t>
      </w:r>
      <w:r w:rsidR="00FC7784" w:rsidRPr="003F23DE">
        <w:rPr>
          <w:rFonts w:ascii="Arial" w:hAnsi="Arial" w:cs="Arial"/>
          <w:iCs/>
          <w:sz w:val="22"/>
          <w:szCs w:val="22"/>
        </w:rPr>
        <w:t xml:space="preserve"> ίδια δοσολογία όπως στους ενήλικες. </w:t>
      </w:r>
    </w:p>
    <w:p w:rsidR="002A6206" w:rsidRPr="003F23DE" w:rsidRDefault="002A6206" w:rsidP="003F23DE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</w:p>
    <w:p w:rsidR="00012495" w:rsidRPr="003F23DE" w:rsidRDefault="0027305D" w:rsidP="003F23DE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3F23DE">
        <w:rPr>
          <w:rFonts w:ascii="Arial" w:hAnsi="Arial" w:cs="Arial"/>
          <w:iCs/>
          <w:sz w:val="22"/>
          <w:szCs w:val="22"/>
          <w:u w:val="single"/>
        </w:rPr>
        <w:t>Παιδιά</w:t>
      </w:r>
    </w:p>
    <w:p w:rsidR="0027305D" w:rsidRPr="003F23DE" w:rsidRDefault="00FC7784" w:rsidP="003F23DE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 xml:space="preserve">Η χρήση σε παιδιά κάτω των 15 ετών δεν έχει μελετηθεί. Επομένως, δεν συνιστάται η χορήγηση σε αυτές τις ηλικίες. </w:t>
      </w:r>
    </w:p>
    <w:p w:rsidR="00A554A2" w:rsidRPr="003F23DE" w:rsidRDefault="00A554A2" w:rsidP="003F23DE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</w:p>
    <w:p w:rsidR="00A554A2" w:rsidRPr="003F23DE" w:rsidRDefault="00A554A2" w:rsidP="003F23DE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3F23DE">
        <w:rPr>
          <w:rFonts w:ascii="Arial" w:hAnsi="Arial" w:cs="Arial"/>
          <w:iCs/>
          <w:sz w:val="22"/>
          <w:szCs w:val="22"/>
          <w:u w:val="single"/>
        </w:rPr>
        <w:t>Ασθενείς με ηπατική ή νεφρική ανεπάρκεια</w:t>
      </w:r>
    </w:p>
    <w:p w:rsidR="00A554A2" w:rsidRPr="003F23DE" w:rsidRDefault="00A554A2" w:rsidP="003F23DE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 xml:space="preserve">Για τη χρήση του φαρμάκου σε ασθενείς με ηπατική ή νεφρική ανεπάρκεια, βλέπε παράγραφο 4.4. </w:t>
      </w:r>
    </w:p>
    <w:p w:rsidR="0027305D" w:rsidRPr="003F23DE" w:rsidRDefault="0027305D" w:rsidP="003F23DE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12495" w:rsidRPr="003F23DE" w:rsidRDefault="00012495" w:rsidP="003F23DE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3F23DE">
        <w:rPr>
          <w:rFonts w:ascii="Arial" w:hAnsi="Arial" w:cs="Arial"/>
          <w:b/>
          <w:iCs/>
          <w:sz w:val="22"/>
          <w:szCs w:val="22"/>
        </w:rPr>
        <w:t>Αντενδείξεις</w:t>
      </w:r>
    </w:p>
    <w:p w:rsidR="00A554A2" w:rsidRPr="003F23DE" w:rsidRDefault="00A554A2" w:rsidP="00B133CC">
      <w:pPr>
        <w:numPr>
          <w:ilvl w:val="0"/>
          <w:numId w:val="12"/>
        </w:numPr>
        <w:tabs>
          <w:tab w:val="clear" w:pos="808"/>
          <w:tab w:val="num" w:pos="709"/>
        </w:tabs>
        <w:spacing w:line="360" w:lineRule="auto"/>
        <w:ind w:left="709" w:hanging="142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>Υπερευαισθησία στη δραστική ου</w:t>
      </w:r>
      <w:r w:rsidR="006F4A05" w:rsidRPr="003F23DE">
        <w:rPr>
          <w:rFonts w:ascii="Arial" w:hAnsi="Arial" w:cs="Arial"/>
          <w:iCs/>
          <w:sz w:val="22"/>
          <w:szCs w:val="22"/>
        </w:rPr>
        <w:t>σία, στο ακετυλοσαλικυλικό οξύ ή σε άλλα μη στεροειδή αντιφλεγμονώδη φάρμακα (</w:t>
      </w:r>
      <w:r w:rsidR="00875E28">
        <w:rPr>
          <w:rFonts w:ascii="Arial" w:hAnsi="Arial" w:cs="Arial"/>
          <w:iCs/>
          <w:sz w:val="22"/>
          <w:szCs w:val="22"/>
        </w:rPr>
        <w:t>ΜΣΑΦ</w:t>
      </w:r>
      <w:r w:rsidR="006F4A05" w:rsidRPr="003F23DE">
        <w:rPr>
          <w:rFonts w:ascii="Arial" w:hAnsi="Arial" w:cs="Arial"/>
          <w:iCs/>
          <w:sz w:val="22"/>
          <w:szCs w:val="22"/>
        </w:rPr>
        <w:t xml:space="preserve">) ή σε κάποιο από τα συστατικά του προϊόντος. </w:t>
      </w:r>
    </w:p>
    <w:p w:rsidR="006F4A05" w:rsidRPr="003F23DE" w:rsidRDefault="00B133CC" w:rsidP="00B133CC">
      <w:pPr>
        <w:numPr>
          <w:ilvl w:val="0"/>
          <w:numId w:val="12"/>
        </w:numPr>
        <w:tabs>
          <w:tab w:val="clear" w:pos="808"/>
          <w:tab w:val="num" w:pos="709"/>
        </w:tabs>
        <w:spacing w:line="360" w:lineRule="auto"/>
        <w:ind w:left="709" w:hanging="142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Ασθενείς με ή χωρίς άσθμα, στους οποίους προκαλούνται ασθματικές κρίσεις, κνίδωση ή οξεία ρινίτιδα από την ασπιρίνη ή άλλα </w:t>
      </w:r>
      <w:r w:rsidRPr="003F23DE">
        <w:rPr>
          <w:rFonts w:ascii="Arial" w:hAnsi="Arial" w:cs="Arial"/>
          <w:iCs/>
          <w:sz w:val="22"/>
          <w:szCs w:val="22"/>
        </w:rPr>
        <w:t>μη στεροειδή αντιφλεγμονώδη φάρμακα</w:t>
      </w:r>
      <w:r>
        <w:rPr>
          <w:rFonts w:ascii="Arial" w:hAnsi="Arial" w:cs="Arial"/>
          <w:iCs/>
          <w:sz w:val="22"/>
          <w:szCs w:val="22"/>
        </w:rPr>
        <w:t xml:space="preserve">. </w:t>
      </w:r>
    </w:p>
    <w:p w:rsidR="00012495" w:rsidRPr="003F23DE" w:rsidRDefault="006F4A05" w:rsidP="00B133CC">
      <w:pPr>
        <w:numPr>
          <w:ilvl w:val="0"/>
          <w:numId w:val="12"/>
        </w:numPr>
        <w:tabs>
          <w:tab w:val="clear" w:pos="808"/>
          <w:tab w:val="num" w:pos="709"/>
        </w:tabs>
        <w:spacing w:line="360" w:lineRule="auto"/>
        <w:ind w:left="709" w:hanging="142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 xml:space="preserve">Στο τελευταίο τρίμηνο της κυήσεως. </w:t>
      </w:r>
    </w:p>
    <w:p w:rsidR="00012495" w:rsidRPr="003F23DE" w:rsidRDefault="00012495" w:rsidP="003F23DE">
      <w:pPr>
        <w:spacing w:line="360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</w:p>
    <w:p w:rsidR="00012495" w:rsidRPr="003F23DE" w:rsidRDefault="00875E28" w:rsidP="003F23DE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Ειδικές</w:t>
      </w:r>
      <w:r w:rsidR="00012495" w:rsidRPr="003F23DE">
        <w:rPr>
          <w:rFonts w:ascii="Arial" w:hAnsi="Arial" w:cs="Arial"/>
          <w:b/>
          <w:iCs/>
          <w:sz w:val="22"/>
          <w:szCs w:val="22"/>
        </w:rPr>
        <w:t xml:space="preserve"> προειδοποιήσεις και προφυλάξεις κατά τη χρήση</w:t>
      </w:r>
    </w:p>
    <w:p w:rsidR="00EC3465" w:rsidRPr="003F23DE" w:rsidRDefault="00EC3465" w:rsidP="003F23DE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 xml:space="preserve">Οι ασθενείς θα πρέπει να αποφεύγουν την υπερβολική έκθεση στον ήλιο, προκειμένου να μειωθεί η πιθανότητα εκδήλωσης φωτοευαισθησίας. Η θεραπεία θα πρέπει να διακοπεί αν εμφανιστούν εξανθήματα. Να μη χρησιμοποιείται με </w:t>
      </w:r>
      <w:r w:rsidR="00C25987">
        <w:rPr>
          <w:rFonts w:ascii="Arial" w:hAnsi="Arial" w:cs="Arial"/>
          <w:iCs/>
          <w:sz w:val="22"/>
          <w:szCs w:val="22"/>
        </w:rPr>
        <w:t>κλειστή επίδεση</w:t>
      </w:r>
      <w:r w:rsidRPr="003F23DE">
        <w:rPr>
          <w:rFonts w:ascii="Arial" w:hAnsi="Arial" w:cs="Arial"/>
          <w:iCs/>
          <w:sz w:val="22"/>
          <w:szCs w:val="22"/>
        </w:rPr>
        <w:t xml:space="preserve">. </w:t>
      </w:r>
    </w:p>
    <w:p w:rsidR="00A737DD" w:rsidRPr="003F23DE" w:rsidRDefault="00A737DD" w:rsidP="003F23DE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 xml:space="preserve">Η εφαρμογή του δερματικού διαλύματος </w:t>
      </w:r>
      <w:r w:rsidRPr="003F23DE">
        <w:rPr>
          <w:rFonts w:ascii="Arial" w:hAnsi="Arial" w:cs="Arial"/>
          <w:iCs/>
          <w:sz w:val="22"/>
          <w:szCs w:val="22"/>
          <w:lang w:val="en-US"/>
        </w:rPr>
        <w:t>PAIN</w:t>
      </w:r>
      <w:r w:rsidRPr="003F23DE">
        <w:rPr>
          <w:rFonts w:ascii="Arial" w:hAnsi="Arial" w:cs="Arial"/>
          <w:iCs/>
          <w:sz w:val="22"/>
          <w:szCs w:val="22"/>
        </w:rPr>
        <w:t>-</w:t>
      </w:r>
      <w:r w:rsidRPr="003F23DE">
        <w:rPr>
          <w:rFonts w:ascii="Arial" w:hAnsi="Arial" w:cs="Arial"/>
          <w:iCs/>
          <w:sz w:val="22"/>
          <w:szCs w:val="22"/>
          <w:lang w:val="en-US"/>
        </w:rPr>
        <w:t>OUT</w:t>
      </w:r>
      <w:r w:rsidRPr="003F23DE">
        <w:rPr>
          <w:rFonts w:ascii="Arial" w:hAnsi="Arial" w:cs="Arial"/>
          <w:iCs/>
          <w:sz w:val="22"/>
          <w:szCs w:val="22"/>
        </w:rPr>
        <w:t xml:space="preserve"> θα πρέπει να γίνεται μόνο σε άθικτο δέρμα, όχι σε ανοιχτές πληγές ή μολυσμένες περιοχές. Πρέπει</w:t>
      </w:r>
      <w:r w:rsidR="00931CF6" w:rsidRPr="003F23DE">
        <w:rPr>
          <w:rFonts w:ascii="Arial" w:hAnsi="Arial" w:cs="Arial"/>
          <w:iCs/>
          <w:sz w:val="22"/>
          <w:szCs w:val="22"/>
        </w:rPr>
        <w:t xml:space="preserve"> να αποφεύγεται η επαφή με τα μάτια, τις μεμβράνες των βλεννογόνων</w:t>
      </w:r>
      <w:r w:rsidRPr="003F23DE">
        <w:rPr>
          <w:rFonts w:ascii="Arial" w:hAnsi="Arial" w:cs="Arial"/>
          <w:iCs/>
          <w:sz w:val="22"/>
          <w:szCs w:val="22"/>
        </w:rPr>
        <w:t xml:space="preserve">, </w:t>
      </w:r>
      <w:r w:rsidR="00C25987">
        <w:rPr>
          <w:rFonts w:ascii="Arial" w:hAnsi="Arial" w:cs="Arial"/>
          <w:iCs/>
          <w:sz w:val="22"/>
          <w:szCs w:val="22"/>
        </w:rPr>
        <w:t>καθώς</w:t>
      </w:r>
      <w:r w:rsidRPr="003F23DE">
        <w:rPr>
          <w:rFonts w:ascii="Arial" w:hAnsi="Arial" w:cs="Arial"/>
          <w:iCs/>
          <w:sz w:val="22"/>
          <w:szCs w:val="22"/>
        </w:rPr>
        <w:t xml:space="preserve"> και η χορήγηση από το στόμα. </w:t>
      </w:r>
      <w:r w:rsidR="00931CF6" w:rsidRPr="003F23DE">
        <w:rPr>
          <w:rFonts w:ascii="Arial" w:hAnsi="Arial" w:cs="Arial"/>
          <w:iCs/>
          <w:sz w:val="22"/>
          <w:szCs w:val="22"/>
        </w:rPr>
        <w:t xml:space="preserve"> </w:t>
      </w:r>
    </w:p>
    <w:p w:rsidR="00377765" w:rsidRPr="00875E28" w:rsidRDefault="00377765" w:rsidP="003F23DE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>Η ταυτόχρονη χορήγηση του φαρμάκου με από του στόματος χορηγούμενα μη στεροειδή αντιφλεγμονώδη φάρμακα (</w:t>
      </w:r>
      <w:r w:rsidR="00875E28">
        <w:rPr>
          <w:rFonts w:ascii="Arial" w:hAnsi="Arial" w:cs="Arial"/>
          <w:iCs/>
          <w:sz w:val="22"/>
          <w:szCs w:val="22"/>
        </w:rPr>
        <w:t>ΜΣΑΦ</w:t>
      </w:r>
      <w:r w:rsidRPr="003F23DE">
        <w:rPr>
          <w:rFonts w:ascii="Arial" w:hAnsi="Arial" w:cs="Arial"/>
          <w:iCs/>
          <w:sz w:val="22"/>
          <w:szCs w:val="22"/>
        </w:rPr>
        <w:t xml:space="preserve">) πρέπει να γίνεται με προσοχή, </w:t>
      </w:r>
      <w:r w:rsidR="00875E28">
        <w:rPr>
          <w:rFonts w:ascii="Arial" w:hAnsi="Arial" w:cs="Arial"/>
          <w:iCs/>
          <w:sz w:val="22"/>
          <w:szCs w:val="22"/>
        </w:rPr>
        <w:t>επειδή</w:t>
      </w:r>
      <w:r w:rsidRPr="003F23DE">
        <w:rPr>
          <w:rFonts w:ascii="Arial" w:hAnsi="Arial" w:cs="Arial"/>
          <w:iCs/>
          <w:sz w:val="22"/>
          <w:szCs w:val="22"/>
        </w:rPr>
        <w:t xml:space="preserve"> μπορεί να αυξηθεί η συχνότητα εμφάνισης συστ</w:t>
      </w:r>
      <w:r w:rsidR="00C25987">
        <w:rPr>
          <w:rFonts w:ascii="Arial" w:hAnsi="Arial" w:cs="Arial"/>
          <w:iCs/>
          <w:sz w:val="22"/>
          <w:szCs w:val="22"/>
        </w:rPr>
        <w:t>ηματικών ανεπιθύμητων ενεργειών</w:t>
      </w:r>
      <w:r w:rsidRPr="003F23DE">
        <w:rPr>
          <w:rFonts w:ascii="Arial" w:hAnsi="Arial" w:cs="Arial"/>
          <w:iCs/>
          <w:sz w:val="22"/>
          <w:szCs w:val="22"/>
        </w:rPr>
        <w:t xml:space="preserve"> (βλέπε </w:t>
      </w:r>
      <w:r w:rsidR="00C25987">
        <w:rPr>
          <w:rFonts w:ascii="Arial" w:hAnsi="Arial" w:cs="Arial"/>
          <w:iCs/>
          <w:sz w:val="22"/>
          <w:szCs w:val="22"/>
        </w:rPr>
        <w:t>αλληλεπιδράσεις).</w:t>
      </w:r>
    </w:p>
    <w:p w:rsidR="00963B9E" w:rsidRPr="003F23DE" w:rsidRDefault="00C25C59" w:rsidP="003F23DE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Υπάρχει</w:t>
      </w:r>
      <w:r w:rsidRPr="003F23DE">
        <w:rPr>
          <w:rFonts w:ascii="Arial" w:hAnsi="Arial" w:cs="Arial"/>
          <w:iCs/>
          <w:sz w:val="22"/>
          <w:szCs w:val="22"/>
        </w:rPr>
        <w:t xml:space="preserve"> η πιθανότητα εμφάνισης συστηματικών ανεπιθύμητων ενεργειών </w:t>
      </w:r>
      <w:r>
        <w:rPr>
          <w:rFonts w:ascii="Arial" w:hAnsi="Arial" w:cs="Arial"/>
          <w:iCs/>
          <w:sz w:val="22"/>
          <w:szCs w:val="22"/>
        </w:rPr>
        <w:t>όταν</w:t>
      </w:r>
      <w:r w:rsidR="00963B9E" w:rsidRPr="003F23DE">
        <w:rPr>
          <w:rFonts w:ascii="Arial" w:hAnsi="Arial" w:cs="Arial"/>
          <w:iCs/>
          <w:sz w:val="22"/>
          <w:szCs w:val="22"/>
        </w:rPr>
        <w:t xml:space="preserve"> το δερματικό διάλυμα </w:t>
      </w:r>
      <w:r w:rsidR="00963B9E" w:rsidRPr="003F23DE">
        <w:rPr>
          <w:rFonts w:ascii="Arial" w:hAnsi="Arial" w:cs="Arial"/>
          <w:iCs/>
          <w:sz w:val="22"/>
          <w:szCs w:val="22"/>
          <w:lang w:val="en-US"/>
        </w:rPr>
        <w:t>PAIN</w:t>
      </w:r>
      <w:r w:rsidR="00963B9E" w:rsidRPr="003F23DE">
        <w:rPr>
          <w:rFonts w:ascii="Arial" w:hAnsi="Arial" w:cs="Arial"/>
          <w:iCs/>
          <w:sz w:val="22"/>
          <w:szCs w:val="22"/>
        </w:rPr>
        <w:t>-</w:t>
      </w:r>
      <w:r w:rsidR="00963B9E" w:rsidRPr="003F23DE">
        <w:rPr>
          <w:rFonts w:ascii="Arial" w:hAnsi="Arial" w:cs="Arial"/>
          <w:iCs/>
          <w:sz w:val="22"/>
          <w:szCs w:val="22"/>
          <w:lang w:val="en-US"/>
        </w:rPr>
        <w:t>OUT</w:t>
      </w:r>
      <w:r w:rsidR="00963B9E" w:rsidRPr="003F23DE">
        <w:rPr>
          <w:rFonts w:ascii="Arial" w:hAnsi="Arial" w:cs="Arial"/>
          <w:iCs/>
          <w:sz w:val="22"/>
          <w:szCs w:val="22"/>
        </w:rPr>
        <w:t xml:space="preserve"> εφαρμόζεται σε μια σχετικά μεγάλη περιοχή (</w:t>
      </w:r>
      <w:r w:rsidR="00C25987">
        <w:rPr>
          <w:rFonts w:ascii="Arial" w:hAnsi="Arial" w:cs="Arial"/>
          <w:iCs/>
          <w:sz w:val="22"/>
          <w:szCs w:val="22"/>
        </w:rPr>
        <w:t>δηλ.</w:t>
      </w:r>
      <w:r w:rsidR="00963B9E" w:rsidRPr="003F23DE">
        <w:rPr>
          <w:rFonts w:ascii="Arial" w:hAnsi="Arial" w:cs="Arial"/>
          <w:iCs/>
          <w:sz w:val="22"/>
          <w:szCs w:val="22"/>
        </w:rPr>
        <w:t xml:space="preserve"> πάνω από 600 τετραγωνικά εκατοστά δέρματος) και για μεγάλο χρονικό διάστημα (</w:t>
      </w:r>
      <w:r w:rsidR="00C25987">
        <w:rPr>
          <w:rFonts w:ascii="Arial" w:hAnsi="Arial" w:cs="Arial"/>
          <w:iCs/>
          <w:sz w:val="22"/>
          <w:szCs w:val="22"/>
        </w:rPr>
        <w:t>δηλ. για</w:t>
      </w:r>
      <w:r w:rsidR="00963B9E" w:rsidRPr="003F23DE">
        <w:rPr>
          <w:rFonts w:ascii="Arial" w:hAnsi="Arial" w:cs="Arial"/>
          <w:iCs/>
          <w:sz w:val="22"/>
          <w:szCs w:val="22"/>
        </w:rPr>
        <w:t xml:space="preserve"> περισσότερο από 4 εβδομάδες). Εάν απαιτείται τέτοια χρήση, ο ασθενής θα πρέπει να συμβουλε</w:t>
      </w:r>
      <w:r w:rsidR="00875E28">
        <w:rPr>
          <w:rFonts w:ascii="Arial" w:hAnsi="Arial" w:cs="Arial"/>
          <w:iCs/>
          <w:sz w:val="22"/>
          <w:szCs w:val="22"/>
        </w:rPr>
        <w:t>υθεί</w:t>
      </w:r>
      <w:r w:rsidR="00963B9E" w:rsidRPr="003F23DE">
        <w:rPr>
          <w:rFonts w:ascii="Arial" w:hAnsi="Arial" w:cs="Arial"/>
          <w:iCs/>
          <w:sz w:val="22"/>
          <w:szCs w:val="22"/>
        </w:rPr>
        <w:t xml:space="preserve"> το φύλλο οδηγιών των από του στόματος </w:t>
      </w:r>
      <w:r w:rsidR="00875E28">
        <w:rPr>
          <w:rFonts w:ascii="Arial" w:hAnsi="Arial" w:cs="Arial"/>
          <w:iCs/>
          <w:sz w:val="22"/>
          <w:szCs w:val="22"/>
        </w:rPr>
        <w:t xml:space="preserve">χορηγούμενων </w:t>
      </w:r>
      <w:r w:rsidR="00963B9E" w:rsidRPr="003F23DE">
        <w:rPr>
          <w:rFonts w:ascii="Arial" w:hAnsi="Arial" w:cs="Arial"/>
          <w:iCs/>
          <w:sz w:val="22"/>
          <w:szCs w:val="22"/>
        </w:rPr>
        <w:t xml:space="preserve">μορφών του </w:t>
      </w:r>
      <w:r w:rsidR="00963B9E" w:rsidRPr="003F23DE">
        <w:rPr>
          <w:rFonts w:ascii="Arial" w:hAnsi="Arial" w:cs="Arial"/>
          <w:iCs/>
          <w:sz w:val="22"/>
          <w:szCs w:val="22"/>
          <w:lang w:val="en-US"/>
        </w:rPr>
        <w:t>Diclofenac</w:t>
      </w:r>
      <w:r w:rsidR="00963B9E" w:rsidRPr="003F23DE">
        <w:rPr>
          <w:rFonts w:ascii="Arial" w:hAnsi="Arial" w:cs="Arial"/>
          <w:iCs/>
          <w:sz w:val="22"/>
          <w:szCs w:val="22"/>
        </w:rPr>
        <w:t xml:space="preserve"> </w:t>
      </w:r>
      <w:r w:rsidR="00963B9E" w:rsidRPr="003F23DE">
        <w:rPr>
          <w:rFonts w:ascii="Arial" w:hAnsi="Arial" w:cs="Arial"/>
          <w:iCs/>
          <w:sz w:val="22"/>
          <w:szCs w:val="22"/>
          <w:lang w:val="en-US"/>
        </w:rPr>
        <w:t>sodium</w:t>
      </w:r>
      <w:r w:rsidR="00963B9E" w:rsidRPr="003F23DE">
        <w:rPr>
          <w:rFonts w:ascii="Arial" w:hAnsi="Arial" w:cs="Arial"/>
          <w:iCs/>
          <w:sz w:val="22"/>
          <w:szCs w:val="22"/>
        </w:rPr>
        <w:t xml:space="preserve"> (για παράδειγμα, υπάρχει η πιθανότητα</w:t>
      </w:r>
      <w:r w:rsidR="00875E28">
        <w:rPr>
          <w:rFonts w:ascii="Arial" w:hAnsi="Arial" w:cs="Arial"/>
          <w:iCs/>
          <w:sz w:val="22"/>
          <w:szCs w:val="22"/>
        </w:rPr>
        <w:t xml:space="preserve"> εμφάνισης</w:t>
      </w:r>
      <w:r w:rsidR="00963B9E" w:rsidRPr="003F23DE">
        <w:rPr>
          <w:rFonts w:ascii="Arial" w:hAnsi="Arial" w:cs="Arial"/>
          <w:iCs/>
          <w:sz w:val="22"/>
          <w:szCs w:val="22"/>
        </w:rPr>
        <w:t xml:space="preserve"> </w:t>
      </w:r>
      <w:r w:rsidR="00C25987">
        <w:rPr>
          <w:rFonts w:ascii="Arial" w:hAnsi="Arial" w:cs="Arial"/>
          <w:iCs/>
          <w:sz w:val="22"/>
          <w:szCs w:val="22"/>
        </w:rPr>
        <w:t xml:space="preserve">αντιδράσεων </w:t>
      </w:r>
      <w:r w:rsidR="00963B9E" w:rsidRPr="003F23DE">
        <w:rPr>
          <w:rFonts w:ascii="Arial" w:hAnsi="Arial" w:cs="Arial"/>
          <w:iCs/>
          <w:sz w:val="22"/>
          <w:szCs w:val="22"/>
        </w:rPr>
        <w:t xml:space="preserve">υπερευαισθησίας, </w:t>
      </w:r>
      <w:r w:rsidR="00C25987" w:rsidRPr="003F23DE">
        <w:rPr>
          <w:rFonts w:ascii="Arial" w:hAnsi="Arial" w:cs="Arial"/>
          <w:iCs/>
          <w:sz w:val="22"/>
          <w:szCs w:val="22"/>
        </w:rPr>
        <w:t>ασθματ</w:t>
      </w:r>
      <w:r w:rsidR="00C25987">
        <w:rPr>
          <w:rFonts w:ascii="Arial" w:hAnsi="Arial" w:cs="Arial"/>
          <w:iCs/>
          <w:sz w:val="22"/>
          <w:szCs w:val="22"/>
        </w:rPr>
        <w:t>ικών</w:t>
      </w:r>
      <w:r w:rsidR="00963B9E" w:rsidRPr="003F23DE">
        <w:rPr>
          <w:rFonts w:ascii="Arial" w:hAnsi="Arial" w:cs="Arial"/>
          <w:iCs/>
          <w:sz w:val="22"/>
          <w:szCs w:val="22"/>
        </w:rPr>
        <w:t xml:space="preserve"> και νεφρικ</w:t>
      </w:r>
      <w:r w:rsidR="00875E28">
        <w:rPr>
          <w:rFonts w:ascii="Arial" w:hAnsi="Arial" w:cs="Arial"/>
          <w:iCs/>
          <w:sz w:val="22"/>
          <w:szCs w:val="22"/>
        </w:rPr>
        <w:t>ών</w:t>
      </w:r>
      <w:r w:rsidR="00963B9E" w:rsidRPr="003F23D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αν</w:t>
      </w:r>
      <w:r w:rsidR="00C25987">
        <w:rPr>
          <w:rFonts w:ascii="Arial" w:hAnsi="Arial" w:cs="Arial"/>
          <w:iCs/>
          <w:sz w:val="22"/>
          <w:szCs w:val="22"/>
        </w:rPr>
        <w:t>επιθύμητων ενεργειών</w:t>
      </w:r>
      <w:r w:rsidR="00963B9E" w:rsidRPr="003F23DE">
        <w:rPr>
          <w:rFonts w:ascii="Arial" w:hAnsi="Arial" w:cs="Arial"/>
          <w:iCs/>
          <w:sz w:val="22"/>
          <w:szCs w:val="22"/>
        </w:rPr>
        <w:t xml:space="preserve">). </w:t>
      </w:r>
    </w:p>
    <w:p w:rsidR="00963B9E" w:rsidRPr="003F23DE" w:rsidRDefault="00963B9E" w:rsidP="003F23DE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>Σε ασθενείς που πάσχουν ή που έχουν ιστορικό βρογχικού άσθματος ή αλλεργικών αντιδράσεων, μπορεί να εμφανιστ</w:t>
      </w:r>
      <w:r w:rsidR="00875E28">
        <w:rPr>
          <w:rFonts w:ascii="Arial" w:hAnsi="Arial" w:cs="Arial"/>
          <w:iCs/>
          <w:sz w:val="22"/>
          <w:szCs w:val="22"/>
        </w:rPr>
        <w:t>εί</w:t>
      </w:r>
      <w:r w:rsidRPr="003F23DE">
        <w:rPr>
          <w:rFonts w:ascii="Arial" w:hAnsi="Arial" w:cs="Arial"/>
          <w:iCs/>
          <w:sz w:val="22"/>
          <w:szCs w:val="22"/>
        </w:rPr>
        <w:t xml:space="preserve"> βρογχόσπασμο</w:t>
      </w:r>
      <w:r w:rsidR="00875E28">
        <w:rPr>
          <w:rFonts w:ascii="Arial" w:hAnsi="Arial" w:cs="Arial"/>
          <w:iCs/>
          <w:sz w:val="22"/>
          <w:szCs w:val="22"/>
        </w:rPr>
        <w:t>ς</w:t>
      </w:r>
      <w:r w:rsidRPr="003F23DE">
        <w:rPr>
          <w:rFonts w:ascii="Arial" w:hAnsi="Arial" w:cs="Arial"/>
          <w:iCs/>
          <w:sz w:val="22"/>
          <w:szCs w:val="22"/>
        </w:rPr>
        <w:t xml:space="preserve">. </w:t>
      </w:r>
    </w:p>
    <w:p w:rsidR="00963B9E" w:rsidRPr="00C25C59" w:rsidRDefault="00963B9E" w:rsidP="003F23DE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lastRenderedPageBreak/>
        <w:t xml:space="preserve">Το δερματικό διάλυμα </w:t>
      </w:r>
      <w:r w:rsidRPr="003F23DE">
        <w:rPr>
          <w:rFonts w:ascii="Arial" w:hAnsi="Arial" w:cs="Arial"/>
          <w:iCs/>
          <w:sz w:val="22"/>
          <w:szCs w:val="22"/>
          <w:lang w:val="en-US"/>
        </w:rPr>
        <w:t>PAIN</w:t>
      </w:r>
      <w:r w:rsidRPr="003F23DE">
        <w:rPr>
          <w:rFonts w:ascii="Arial" w:hAnsi="Arial" w:cs="Arial"/>
          <w:iCs/>
          <w:sz w:val="22"/>
          <w:szCs w:val="22"/>
        </w:rPr>
        <w:t>-</w:t>
      </w:r>
      <w:r w:rsidRPr="003F23DE">
        <w:rPr>
          <w:rFonts w:ascii="Arial" w:hAnsi="Arial" w:cs="Arial"/>
          <w:iCs/>
          <w:sz w:val="22"/>
          <w:szCs w:val="22"/>
          <w:lang w:val="en-US"/>
        </w:rPr>
        <w:t>OUT</w:t>
      </w:r>
      <w:r w:rsidRPr="003F23DE">
        <w:rPr>
          <w:rFonts w:ascii="Arial" w:hAnsi="Arial" w:cs="Arial"/>
          <w:iCs/>
          <w:sz w:val="22"/>
          <w:szCs w:val="22"/>
        </w:rPr>
        <w:t xml:space="preserve">, </w:t>
      </w:r>
      <w:r w:rsidRPr="003F23DE">
        <w:rPr>
          <w:rFonts w:ascii="Arial" w:hAnsi="Arial" w:cs="Arial"/>
          <w:iCs/>
          <w:sz w:val="22"/>
          <w:szCs w:val="22"/>
          <w:lang w:val="en-US"/>
        </w:rPr>
        <w:t>Diclofenac</w:t>
      </w:r>
      <w:r w:rsidRPr="003F23DE">
        <w:rPr>
          <w:rFonts w:ascii="Arial" w:hAnsi="Arial" w:cs="Arial"/>
          <w:iCs/>
          <w:sz w:val="22"/>
          <w:szCs w:val="22"/>
        </w:rPr>
        <w:t xml:space="preserve"> </w:t>
      </w:r>
      <w:r w:rsidRPr="003F23DE">
        <w:rPr>
          <w:rFonts w:ascii="Arial" w:hAnsi="Arial" w:cs="Arial"/>
          <w:iCs/>
          <w:sz w:val="22"/>
          <w:szCs w:val="22"/>
          <w:lang w:val="en-US"/>
        </w:rPr>
        <w:t>sodium</w:t>
      </w:r>
      <w:r w:rsidRPr="003F23DE">
        <w:rPr>
          <w:rFonts w:ascii="Arial" w:hAnsi="Arial" w:cs="Arial"/>
          <w:iCs/>
          <w:sz w:val="22"/>
          <w:szCs w:val="22"/>
        </w:rPr>
        <w:t xml:space="preserve"> 4% θα πρέπει να χρησιμοποιείται με προσοχή σε ασθενείς με πεπτικό έλκος, ηπατική ή νεφρική ανεπάρκεια, ή αιμορραγική προδιάθεση, ή με φλεγμονώδη </w:t>
      </w:r>
      <w:r w:rsidR="00C25987">
        <w:rPr>
          <w:rFonts w:ascii="Arial" w:hAnsi="Arial" w:cs="Arial"/>
          <w:iCs/>
          <w:sz w:val="22"/>
          <w:szCs w:val="22"/>
        </w:rPr>
        <w:t>νόσο</w:t>
      </w:r>
      <w:r w:rsidRPr="003F23DE">
        <w:rPr>
          <w:rFonts w:ascii="Arial" w:hAnsi="Arial" w:cs="Arial"/>
          <w:iCs/>
          <w:sz w:val="22"/>
          <w:szCs w:val="22"/>
        </w:rPr>
        <w:t xml:space="preserve"> </w:t>
      </w:r>
      <w:r w:rsidR="00C25987">
        <w:rPr>
          <w:rFonts w:ascii="Arial" w:hAnsi="Arial" w:cs="Arial"/>
          <w:iCs/>
          <w:sz w:val="22"/>
          <w:szCs w:val="22"/>
        </w:rPr>
        <w:t>του</w:t>
      </w:r>
      <w:r w:rsidRPr="003F23DE">
        <w:rPr>
          <w:rFonts w:ascii="Arial" w:hAnsi="Arial" w:cs="Arial"/>
          <w:iCs/>
          <w:sz w:val="22"/>
          <w:szCs w:val="22"/>
        </w:rPr>
        <w:t xml:space="preserve"> </w:t>
      </w:r>
      <w:r w:rsidR="00C25987">
        <w:rPr>
          <w:rFonts w:ascii="Arial" w:hAnsi="Arial" w:cs="Arial"/>
          <w:iCs/>
          <w:sz w:val="22"/>
          <w:szCs w:val="22"/>
        </w:rPr>
        <w:t>ε</w:t>
      </w:r>
      <w:r w:rsidRPr="003F23DE">
        <w:rPr>
          <w:rFonts w:ascii="Arial" w:hAnsi="Arial" w:cs="Arial"/>
          <w:iCs/>
          <w:sz w:val="22"/>
          <w:szCs w:val="22"/>
        </w:rPr>
        <w:t>ντ</w:t>
      </w:r>
      <w:r w:rsidR="00C25987">
        <w:rPr>
          <w:rFonts w:ascii="Arial" w:hAnsi="Arial" w:cs="Arial"/>
          <w:iCs/>
          <w:sz w:val="22"/>
          <w:szCs w:val="22"/>
        </w:rPr>
        <w:t>έ</w:t>
      </w:r>
      <w:r w:rsidRPr="003F23DE">
        <w:rPr>
          <w:rFonts w:ascii="Arial" w:hAnsi="Arial" w:cs="Arial"/>
          <w:iCs/>
          <w:sz w:val="22"/>
          <w:szCs w:val="22"/>
        </w:rPr>
        <w:t>ρο</w:t>
      </w:r>
      <w:r w:rsidR="00C25987">
        <w:rPr>
          <w:rFonts w:ascii="Arial" w:hAnsi="Arial" w:cs="Arial"/>
          <w:iCs/>
          <w:sz w:val="22"/>
          <w:szCs w:val="22"/>
        </w:rPr>
        <w:t>υ</w:t>
      </w:r>
      <w:r w:rsidRPr="003F23DE">
        <w:rPr>
          <w:rFonts w:ascii="Arial" w:hAnsi="Arial" w:cs="Arial"/>
          <w:iCs/>
          <w:sz w:val="22"/>
          <w:szCs w:val="22"/>
        </w:rPr>
        <w:t>,</w:t>
      </w:r>
      <w:r w:rsidR="00875E28">
        <w:rPr>
          <w:rFonts w:ascii="Arial" w:hAnsi="Arial" w:cs="Arial"/>
          <w:iCs/>
          <w:sz w:val="22"/>
          <w:szCs w:val="22"/>
        </w:rPr>
        <w:t xml:space="preserve"> </w:t>
      </w:r>
      <w:r w:rsidR="00C25C59">
        <w:rPr>
          <w:rFonts w:ascii="Arial" w:hAnsi="Arial" w:cs="Arial"/>
          <w:iCs/>
          <w:sz w:val="22"/>
          <w:szCs w:val="22"/>
        </w:rPr>
        <w:t>εφόσον</w:t>
      </w:r>
      <w:r w:rsidRPr="003F23DE">
        <w:rPr>
          <w:rFonts w:ascii="Arial" w:hAnsi="Arial" w:cs="Arial"/>
          <w:iCs/>
          <w:sz w:val="22"/>
          <w:szCs w:val="22"/>
        </w:rPr>
        <w:t xml:space="preserve"> </w:t>
      </w:r>
      <w:r w:rsidR="00875E28">
        <w:rPr>
          <w:rFonts w:ascii="Arial" w:hAnsi="Arial" w:cs="Arial"/>
          <w:iCs/>
          <w:sz w:val="22"/>
          <w:szCs w:val="22"/>
        </w:rPr>
        <w:t xml:space="preserve">έχουν </w:t>
      </w:r>
      <w:r w:rsidRPr="003F23DE">
        <w:rPr>
          <w:rFonts w:ascii="Arial" w:hAnsi="Arial" w:cs="Arial"/>
          <w:iCs/>
          <w:sz w:val="22"/>
          <w:szCs w:val="22"/>
        </w:rPr>
        <w:t>αναφερθεί μεμονωμένες περιπτώσεις με τοπικά χορηγούμεν</w:t>
      </w:r>
      <w:r w:rsidR="00875E28">
        <w:rPr>
          <w:rFonts w:ascii="Arial" w:hAnsi="Arial" w:cs="Arial"/>
          <w:iCs/>
          <w:sz w:val="22"/>
          <w:szCs w:val="22"/>
        </w:rPr>
        <w:t>α σκευάσματα</w:t>
      </w:r>
      <w:r w:rsidRPr="003F23DE">
        <w:rPr>
          <w:rFonts w:ascii="Arial" w:hAnsi="Arial" w:cs="Arial"/>
          <w:iCs/>
          <w:sz w:val="22"/>
          <w:szCs w:val="22"/>
        </w:rPr>
        <w:t xml:space="preserve"> </w:t>
      </w:r>
      <w:r w:rsidRPr="003F23DE">
        <w:rPr>
          <w:rFonts w:ascii="Arial" w:hAnsi="Arial" w:cs="Arial"/>
          <w:iCs/>
          <w:sz w:val="22"/>
          <w:szCs w:val="22"/>
          <w:lang w:val="en-US"/>
        </w:rPr>
        <w:t>Diclofenac</w:t>
      </w:r>
      <w:r w:rsidRPr="003F23DE">
        <w:rPr>
          <w:rFonts w:ascii="Arial" w:hAnsi="Arial" w:cs="Arial"/>
          <w:iCs/>
          <w:sz w:val="22"/>
          <w:szCs w:val="22"/>
        </w:rPr>
        <w:t xml:space="preserve">. </w:t>
      </w:r>
    </w:p>
    <w:p w:rsidR="00D4689E" w:rsidRPr="003F23DE" w:rsidRDefault="00D4689E" w:rsidP="003F23DE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 xml:space="preserve">Το δερματικό διάλυμα </w:t>
      </w:r>
      <w:r w:rsidRPr="003F23DE">
        <w:rPr>
          <w:rFonts w:ascii="Arial" w:hAnsi="Arial" w:cs="Arial"/>
          <w:iCs/>
          <w:sz w:val="22"/>
          <w:szCs w:val="22"/>
          <w:lang w:val="en-US"/>
        </w:rPr>
        <w:t>PAIN</w:t>
      </w:r>
      <w:r w:rsidRPr="003F23DE">
        <w:rPr>
          <w:rFonts w:ascii="Arial" w:hAnsi="Arial" w:cs="Arial"/>
          <w:iCs/>
          <w:sz w:val="22"/>
          <w:szCs w:val="22"/>
        </w:rPr>
        <w:t>-</w:t>
      </w:r>
      <w:r w:rsidRPr="003F23DE">
        <w:rPr>
          <w:rFonts w:ascii="Arial" w:hAnsi="Arial" w:cs="Arial"/>
          <w:iCs/>
          <w:sz w:val="22"/>
          <w:szCs w:val="22"/>
          <w:lang w:val="en-US"/>
        </w:rPr>
        <w:t>OUT</w:t>
      </w:r>
      <w:r w:rsidRPr="003F23DE">
        <w:rPr>
          <w:rFonts w:ascii="Arial" w:hAnsi="Arial" w:cs="Arial"/>
          <w:iCs/>
          <w:sz w:val="22"/>
          <w:szCs w:val="22"/>
        </w:rPr>
        <w:t xml:space="preserve"> περιέχει προπυλενογλυκόλη, που μπορεί να προκαλέσει ερεθισμό στο δέρμα. </w:t>
      </w:r>
    </w:p>
    <w:p w:rsidR="00D4689E" w:rsidRPr="003F23DE" w:rsidRDefault="00D4689E" w:rsidP="003F23DE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 xml:space="preserve">Το δερματικό διάλυμα </w:t>
      </w:r>
      <w:r w:rsidRPr="003F23DE">
        <w:rPr>
          <w:rFonts w:ascii="Arial" w:hAnsi="Arial" w:cs="Arial"/>
          <w:iCs/>
          <w:sz w:val="22"/>
          <w:szCs w:val="22"/>
          <w:lang w:val="en-US"/>
        </w:rPr>
        <w:t>PAIN</w:t>
      </w:r>
      <w:r w:rsidRPr="003F23DE">
        <w:rPr>
          <w:rFonts w:ascii="Arial" w:hAnsi="Arial" w:cs="Arial"/>
          <w:iCs/>
          <w:sz w:val="22"/>
          <w:szCs w:val="22"/>
        </w:rPr>
        <w:t>-</w:t>
      </w:r>
      <w:r w:rsidRPr="003F23DE">
        <w:rPr>
          <w:rFonts w:ascii="Arial" w:hAnsi="Arial" w:cs="Arial"/>
          <w:iCs/>
          <w:sz w:val="22"/>
          <w:szCs w:val="22"/>
          <w:lang w:val="en-US"/>
        </w:rPr>
        <w:t>OUT</w:t>
      </w:r>
      <w:r w:rsidRPr="003F23DE">
        <w:rPr>
          <w:rFonts w:ascii="Arial" w:hAnsi="Arial" w:cs="Arial"/>
          <w:iCs/>
          <w:sz w:val="22"/>
          <w:szCs w:val="22"/>
        </w:rPr>
        <w:t xml:space="preserve"> περιέχει έλαιο μέντας, που μπορεί να προκαλέσει αλλεργικές αντιδράσεις. </w:t>
      </w:r>
    </w:p>
    <w:p w:rsidR="00D4689E" w:rsidRPr="003F23DE" w:rsidRDefault="00D4689E" w:rsidP="003F23DE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</w:p>
    <w:p w:rsidR="00012495" w:rsidRPr="003F23DE" w:rsidRDefault="00012495" w:rsidP="003F23DE">
      <w:pPr>
        <w:spacing w:line="360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b/>
          <w:iCs/>
          <w:sz w:val="22"/>
          <w:szCs w:val="22"/>
        </w:rPr>
        <w:t xml:space="preserve">4.5. </w:t>
      </w:r>
      <w:r w:rsidRPr="003F23DE">
        <w:rPr>
          <w:rFonts w:ascii="Arial" w:hAnsi="Arial" w:cs="Arial"/>
          <w:b/>
          <w:iCs/>
          <w:sz w:val="22"/>
          <w:szCs w:val="22"/>
        </w:rPr>
        <w:tab/>
        <w:t xml:space="preserve">Αλληλεπιδράσεις με άλλα </w:t>
      </w:r>
      <w:r w:rsidR="00875E28">
        <w:rPr>
          <w:rFonts w:ascii="Arial" w:hAnsi="Arial" w:cs="Arial"/>
          <w:b/>
          <w:iCs/>
          <w:sz w:val="22"/>
          <w:szCs w:val="22"/>
        </w:rPr>
        <w:t>φαρμακευτικά προϊόντα</w:t>
      </w:r>
      <w:r w:rsidRPr="003F23DE">
        <w:rPr>
          <w:rFonts w:ascii="Arial" w:hAnsi="Arial" w:cs="Arial"/>
          <w:b/>
          <w:iCs/>
          <w:sz w:val="22"/>
          <w:szCs w:val="22"/>
        </w:rPr>
        <w:t xml:space="preserve"> και άλλες μορφές αλληλεπ</w:t>
      </w:r>
      <w:r w:rsidR="00875E28">
        <w:rPr>
          <w:rFonts w:ascii="Arial" w:hAnsi="Arial" w:cs="Arial"/>
          <w:b/>
          <w:iCs/>
          <w:sz w:val="22"/>
          <w:szCs w:val="22"/>
        </w:rPr>
        <w:t>ί</w:t>
      </w:r>
      <w:r w:rsidRPr="003F23DE">
        <w:rPr>
          <w:rFonts w:ascii="Arial" w:hAnsi="Arial" w:cs="Arial"/>
          <w:b/>
          <w:iCs/>
          <w:sz w:val="22"/>
          <w:szCs w:val="22"/>
        </w:rPr>
        <w:t>δρ</w:t>
      </w:r>
      <w:r w:rsidR="00875E28">
        <w:rPr>
          <w:rFonts w:ascii="Arial" w:hAnsi="Arial" w:cs="Arial"/>
          <w:b/>
          <w:iCs/>
          <w:sz w:val="22"/>
          <w:szCs w:val="22"/>
        </w:rPr>
        <w:t>α</w:t>
      </w:r>
      <w:r w:rsidRPr="003F23DE">
        <w:rPr>
          <w:rFonts w:ascii="Arial" w:hAnsi="Arial" w:cs="Arial"/>
          <w:b/>
          <w:iCs/>
          <w:sz w:val="22"/>
          <w:szCs w:val="22"/>
        </w:rPr>
        <w:t>σ</w:t>
      </w:r>
      <w:r w:rsidR="00875E28">
        <w:rPr>
          <w:rFonts w:ascii="Arial" w:hAnsi="Arial" w:cs="Arial"/>
          <w:b/>
          <w:iCs/>
          <w:sz w:val="22"/>
          <w:szCs w:val="22"/>
        </w:rPr>
        <w:t xml:space="preserve">ης </w:t>
      </w:r>
    </w:p>
    <w:p w:rsidR="00EE5917" w:rsidRPr="003F23DE" w:rsidRDefault="00C25C59" w:rsidP="003F23DE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Σε</w:t>
      </w:r>
      <w:r w:rsidRPr="003F23DE">
        <w:rPr>
          <w:rFonts w:ascii="Arial" w:hAnsi="Arial" w:cs="Arial"/>
          <w:iCs/>
          <w:sz w:val="22"/>
          <w:szCs w:val="22"/>
        </w:rPr>
        <w:t xml:space="preserve"> αυτή τη φαρμακ</w:t>
      </w:r>
      <w:r w:rsidR="00C25987">
        <w:rPr>
          <w:rFonts w:ascii="Arial" w:hAnsi="Arial" w:cs="Arial"/>
          <w:iCs/>
          <w:sz w:val="22"/>
          <w:szCs w:val="22"/>
        </w:rPr>
        <w:t>οτεχνική</w:t>
      </w:r>
      <w:r w:rsidRPr="003F23DE">
        <w:rPr>
          <w:rFonts w:ascii="Arial" w:hAnsi="Arial" w:cs="Arial"/>
          <w:iCs/>
          <w:sz w:val="22"/>
          <w:szCs w:val="22"/>
        </w:rPr>
        <w:t xml:space="preserve"> μορφή</w:t>
      </w:r>
      <w:r>
        <w:rPr>
          <w:rFonts w:ascii="Arial" w:hAnsi="Arial" w:cs="Arial"/>
          <w:iCs/>
          <w:sz w:val="22"/>
          <w:szCs w:val="22"/>
        </w:rPr>
        <w:t>, η</w:t>
      </w:r>
      <w:r w:rsidR="00EE5917" w:rsidRPr="003F23DE">
        <w:rPr>
          <w:rFonts w:ascii="Arial" w:hAnsi="Arial" w:cs="Arial"/>
          <w:iCs/>
          <w:sz w:val="22"/>
          <w:szCs w:val="22"/>
        </w:rPr>
        <w:t xml:space="preserve"> συστηματική διαθεσιμότητα του </w:t>
      </w:r>
      <w:r w:rsidR="00EE5917" w:rsidRPr="003F23DE">
        <w:rPr>
          <w:rFonts w:ascii="Arial" w:hAnsi="Arial" w:cs="Arial"/>
          <w:iCs/>
          <w:sz w:val="22"/>
          <w:szCs w:val="22"/>
          <w:lang w:val="en-US"/>
        </w:rPr>
        <w:t>Diclofenac</w:t>
      </w:r>
      <w:r w:rsidR="00EE5917" w:rsidRPr="003F23DE">
        <w:rPr>
          <w:rFonts w:ascii="Arial" w:hAnsi="Arial" w:cs="Arial"/>
          <w:iCs/>
          <w:sz w:val="22"/>
          <w:szCs w:val="22"/>
        </w:rPr>
        <w:t xml:space="preserve"> είναι πολ</w:t>
      </w:r>
      <w:r w:rsidR="00875E28">
        <w:rPr>
          <w:rFonts w:ascii="Arial" w:hAnsi="Arial" w:cs="Arial"/>
          <w:iCs/>
          <w:sz w:val="22"/>
          <w:szCs w:val="22"/>
        </w:rPr>
        <w:t xml:space="preserve">ύ </w:t>
      </w:r>
      <w:r w:rsidR="00EE5917" w:rsidRPr="003F23DE">
        <w:rPr>
          <w:rFonts w:ascii="Arial" w:hAnsi="Arial" w:cs="Arial"/>
          <w:iCs/>
          <w:sz w:val="22"/>
          <w:szCs w:val="22"/>
        </w:rPr>
        <w:t>χαμηλ</w:t>
      </w:r>
      <w:r>
        <w:rPr>
          <w:rFonts w:ascii="Arial" w:hAnsi="Arial" w:cs="Arial"/>
          <w:iCs/>
          <w:sz w:val="22"/>
          <w:szCs w:val="22"/>
        </w:rPr>
        <w:t>ή.</w:t>
      </w:r>
      <w:r w:rsidR="00EE5917" w:rsidRPr="003F23DE">
        <w:rPr>
          <w:rFonts w:ascii="Arial" w:hAnsi="Arial" w:cs="Arial"/>
          <w:iCs/>
          <w:sz w:val="22"/>
          <w:szCs w:val="22"/>
        </w:rPr>
        <w:t xml:space="preserve"> Επομένως, είναι </w:t>
      </w:r>
      <w:r w:rsidR="00C25987">
        <w:rPr>
          <w:rFonts w:ascii="Arial" w:hAnsi="Arial" w:cs="Arial"/>
          <w:iCs/>
          <w:sz w:val="22"/>
          <w:szCs w:val="22"/>
        </w:rPr>
        <w:t>μικρός ο κίνδυνος</w:t>
      </w:r>
      <w:r w:rsidR="00EE5917" w:rsidRPr="003F23DE">
        <w:rPr>
          <w:rFonts w:ascii="Arial" w:hAnsi="Arial" w:cs="Arial"/>
          <w:iCs/>
          <w:sz w:val="22"/>
          <w:szCs w:val="22"/>
        </w:rPr>
        <w:t xml:space="preserve"> αλληλεπιδράσεων με άλλα φαρμακευτικά προϊόντα. Ταυτόχρονη χορήγηση ασπιρίνης ή άλλων μη στεροειδών αντιφλεγμονωδών φαρμάκων (</w:t>
      </w:r>
      <w:r w:rsidR="00875E28">
        <w:rPr>
          <w:rFonts w:ascii="Arial" w:hAnsi="Arial" w:cs="Arial"/>
          <w:iCs/>
          <w:sz w:val="22"/>
          <w:szCs w:val="22"/>
        </w:rPr>
        <w:t>ΜΣΑΦ</w:t>
      </w:r>
      <w:r w:rsidR="00EE5917" w:rsidRPr="003F23DE">
        <w:rPr>
          <w:rFonts w:ascii="Arial" w:hAnsi="Arial" w:cs="Arial"/>
          <w:iCs/>
          <w:sz w:val="22"/>
          <w:szCs w:val="22"/>
        </w:rPr>
        <w:t xml:space="preserve">) μπορεί να </w:t>
      </w:r>
      <w:r w:rsidR="00AF2249" w:rsidRPr="003F23DE">
        <w:rPr>
          <w:rFonts w:ascii="Arial" w:hAnsi="Arial" w:cs="Arial"/>
          <w:iCs/>
          <w:sz w:val="22"/>
          <w:szCs w:val="22"/>
        </w:rPr>
        <w:t xml:space="preserve">έχει ως αποτέλεσμα αυξημένη εμφάνιση ανεπιθύμητων ενεργειών. </w:t>
      </w:r>
    </w:p>
    <w:p w:rsidR="003822D7" w:rsidRPr="00875E28" w:rsidRDefault="003822D7" w:rsidP="003F23DE">
      <w:pPr>
        <w:spacing w:line="360" w:lineRule="auto"/>
        <w:ind w:left="567" w:hanging="567"/>
        <w:jc w:val="both"/>
        <w:rPr>
          <w:rFonts w:ascii="Arial" w:hAnsi="Arial" w:cs="Arial"/>
          <w:b/>
          <w:iCs/>
          <w:sz w:val="22"/>
          <w:szCs w:val="22"/>
        </w:rPr>
      </w:pPr>
    </w:p>
    <w:p w:rsidR="00012495" w:rsidRPr="003F23DE" w:rsidRDefault="00012495" w:rsidP="003F23DE">
      <w:pPr>
        <w:spacing w:line="360" w:lineRule="auto"/>
        <w:ind w:left="567" w:hanging="567"/>
        <w:jc w:val="both"/>
        <w:rPr>
          <w:rFonts w:ascii="Arial" w:hAnsi="Arial" w:cs="Arial"/>
          <w:b/>
          <w:iCs/>
          <w:sz w:val="22"/>
          <w:szCs w:val="22"/>
        </w:rPr>
      </w:pPr>
      <w:r w:rsidRPr="003F23DE">
        <w:rPr>
          <w:rFonts w:ascii="Arial" w:hAnsi="Arial" w:cs="Arial"/>
          <w:b/>
          <w:iCs/>
          <w:sz w:val="22"/>
          <w:szCs w:val="22"/>
        </w:rPr>
        <w:t xml:space="preserve">4.6. </w:t>
      </w:r>
      <w:r w:rsidRPr="003F23DE">
        <w:rPr>
          <w:rFonts w:ascii="Arial" w:hAnsi="Arial" w:cs="Arial"/>
          <w:b/>
          <w:iCs/>
          <w:sz w:val="22"/>
          <w:szCs w:val="22"/>
        </w:rPr>
        <w:tab/>
      </w:r>
      <w:r w:rsidR="00875E28" w:rsidRPr="003F23DE">
        <w:rPr>
          <w:rFonts w:ascii="Arial" w:hAnsi="Arial" w:cs="Arial"/>
          <w:b/>
          <w:iCs/>
          <w:sz w:val="22"/>
          <w:szCs w:val="22"/>
        </w:rPr>
        <w:t xml:space="preserve">Κύηση </w:t>
      </w:r>
      <w:r w:rsidRPr="003F23DE">
        <w:rPr>
          <w:rFonts w:ascii="Arial" w:hAnsi="Arial" w:cs="Arial"/>
          <w:b/>
          <w:iCs/>
          <w:sz w:val="22"/>
          <w:szCs w:val="22"/>
        </w:rPr>
        <w:t>και</w:t>
      </w:r>
      <w:r w:rsidR="00601896">
        <w:rPr>
          <w:rFonts w:ascii="Arial" w:hAnsi="Arial" w:cs="Arial"/>
          <w:b/>
          <w:iCs/>
          <w:sz w:val="22"/>
          <w:szCs w:val="22"/>
        </w:rPr>
        <w:t xml:space="preserve"> </w:t>
      </w:r>
      <w:r w:rsidR="00875E28">
        <w:rPr>
          <w:rFonts w:ascii="Arial" w:hAnsi="Arial" w:cs="Arial"/>
          <w:b/>
          <w:iCs/>
          <w:sz w:val="22"/>
          <w:szCs w:val="22"/>
        </w:rPr>
        <w:t>γαλουχία</w:t>
      </w:r>
    </w:p>
    <w:p w:rsidR="00AF1779" w:rsidRPr="003F23DE" w:rsidRDefault="001A4FA5" w:rsidP="003F23DE">
      <w:pPr>
        <w:spacing w:line="360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 xml:space="preserve">         </w:t>
      </w:r>
      <w:r w:rsidR="00A10084" w:rsidRPr="003F23DE">
        <w:rPr>
          <w:rFonts w:ascii="Arial" w:hAnsi="Arial" w:cs="Arial"/>
          <w:iCs/>
          <w:sz w:val="22"/>
          <w:szCs w:val="22"/>
        </w:rPr>
        <w:t xml:space="preserve">Δεν υπάρχει επαρκής εμπειρία για τη χρήση κατά τη διάρκεια της κύησης και της γαλουχίας. Επομένως, δε </w:t>
      </w:r>
      <w:r w:rsidR="00C25987" w:rsidRPr="003F23DE">
        <w:rPr>
          <w:rFonts w:ascii="Arial" w:hAnsi="Arial" w:cs="Arial"/>
          <w:iCs/>
          <w:sz w:val="22"/>
          <w:szCs w:val="22"/>
        </w:rPr>
        <w:t>συνιστ</w:t>
      </w:r>
      <w:r w:rsidR="00C25987">
        <w:rPr>
          <w:rFonts w:ascii="Arial" w:hAnsi="Arial" w:cs="Arial"/>
          <w:iCs/>
          <w:sz w:val="22"/>
          <w:szCs w:val="22"/>
        </w:rPr>
        <w:t>ά</w:t>
      </w:r>
      <w:r w:rsidR="00C25987" w:rsidRPr="003F23DE">
        <w:rPr>
          <w:rFonts w:ascii="Arial" w:hAnsi="Arial" w:cs="Arial"/>
          <w:iCs/>
          <w:sz w:val="22"/>
          <w:szCs w:val="22"/>
        </w:rPr>
        <w:t>ται</w:t>
      </w:r>
      <w:r w:rsidRPr="003F23DE">
        <w:rPr>
          <w:rFonts w:ascii="Arial" w:hAnsi="Arial" w:cs="Arial"/>
          <w:iCs/>
          <w:sz w:val="22"/>
          <w:szCs w:val="22"/>
        </w:rPr>
        <w:t xml:space="preserve"> η χρήση του </w:t>
      </w:r>
      <w:r w:rsidR="00A10084" w:rsidRPr="003F23DE">
        <w:rPr>
          <w:rFonts w:ascii="Arial" w:hAnsi="Arial" w:cs="Arial"/>
          <w:iCs/>
          <w:sz w:val="22"/>
          <w:szCs w:val="22"/>
        </w:rPr>
        <w:t xml:space="preserve">φαρμάκου σε αυτές τις περιπτώσεις. </w:t>
      </w:r>
    </w:p>
    <w:p w:rsidR="00A10084" w:rsidRPr="003F23DE" w:rsidRDefault="00A10084" w:rsidP="003F23DE">
      <w:pPr>
        <w:spacing w:line="360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</w:p>
    <w:p w:rsidR="00A10084" w:rsidRPr="00C25987" w:rsidRDefault="00A10084" w:rsidP="003F23DE">
      <w:pPr>
        <w:spacing w:line="360" w:lineRule="auto"/>
        <w:ind w:left="567" w:hanging="567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3F23DE">
        <w:rPr>
          <w:rFonts w:ascii="Arial" w:hAnsi="Arial" w:cs="Arial"/>
          <w:iCs/>
          <w:sz w:val="22"/>
          <w:szCs w:val="22"/>
        </w:rPr>
        <w:tab/>
      </w:r>
      <w:r w:rsidR="00C25987" w:rsidRPr="00C25987">
        <w:rPr>
          <w:rFonts w:ascii="Arial" w:hAnsi="Arial" w:cs="Arial"/>
          <w:iCs/>
          <w:sz w:val="22"/>
          <w:szCs w:val="22"/>
          <w:u w:val="single"/>
        </w:rPr>
        <w:t>Χρήση κατά την κ</w:t>
      </w:r>
      <w:r w:rsidRPr="00C25987">
        <w:rPr>
          <w:rFonts w:ascii="Arial" w:hAnsi="Arial" w:cs="Arial"/>
          <w:iCs/>
          <w:sz w:val="22"/>
          <w:szCs w:val="22"/>
          <w:u w:val="single"/>
        </w:rPr>
        <w:t>ύηση</w:t>
      </w:r>
    </w:p>
    <w:p w:rsidR="00A10084" w:rsidRPr="003F23DE" w:rsidRDefault="00A10084" w:rsidP="003F23DE">
      <w:pPr>
        <w:spacing w:line="360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ab/>
        <w:t xml:space="preserve">Δεν έχουν παρατηρηθεί </w:t>
      </w:r>
      <w:r w:rsidR="00C25C59" w:rsidRPr="003F23DE">
        <w:rPr>
          <w:rFonts w:ascii="Arial" w:hAnsi="Arial" w:cs="Arial"/>
          <w:iCs/>
          <w:sz w:val="22"/>
          <w:szCs w:val="22"/>
        </w:rPr>
        <w:t>δυσμορφ</w:t>
      </w:r>
      <w:r w:rsidR="00C25C59">
        <w:rPr>
          <w:rFonts w:ascii="Arial" w:hAnsi="Arial" w:cs="Arial"/>
          <w:iCs/>
          <w:sz w:val="22"/>
          <w:szCs w:val="22"/>
        </w:rPr>
        <w:t>ικές</w:t>
      </w:r>
      <w:r w:rsidR="00C25C59" w:rsidRPr="003F23DE">
        <w:rPr>
          <w:rFonts w:ascii="Arial" w:hAnsi="Arial" w:cs="Arial"/>
          <w:iCs/>
          <w:sz w:val="22"/>
          <w:szCs w:val="22"/>
        </w:rPr>
        <w:t xml:space="preserve"> </w:t>
      </w:r>
      <w:r w:rsidRPr="003F23DE">
        <w:rPr>
          <w:rFonts w:ascii="Arial" w:hAnsi="Arial" w:cs="Arial"/>
          <w:iCs/>
          <w:sz w:val="22"/>
          <w:szCs w:val="22"/>
        </w:rPr>
        <w:t xml:space="preserve">επιδράσεις με το </w:t>
      </w:r>
      <w:r w:rsidRPr="003F23DE">
        <w:rPr>
          <w:rFonts w:ascii="Arial" w:hAnsi="Arial" w:cs="Arial"/>
          <w:iCs/>
          <w:sz w:val="22"/>
          <w:szCs w:val="22"/>
          <w:lang w:val="en-US"/>
        </w:rPr>
        <w:t>Diclofenac</w:t>
      </w:r>
      <w:r w:rsidRPr="003F23DE">
        <w:rPr>
          <w:rFonts w:ascii="Arial" w:hAnsi="Arial" w:cs="Arial"/>
          <w:iCs/>
          <w:sz w:val="22"/>
          <w:szCs w:val="22"/>
        </w:rPr>
        <w:t xml:space="preserve">. Εντούτοις, απαιτούνται </w:t>
      </w:r>
      <w:r w:rsidR="00166F85">
        <w:rPr>
          <w:rFonts w:ascii="Arial" w:hAnsi="Arial" w:cs="Arial"/>
          <w:iCs/>
          <w:sz w:val="22"/>
          <w:szCs w:val="22"/>
        </w:rPr>
        <w:t>επιπρόσθετα</w:t>
      </w:r>
      <w:r w:rsidRPr="003F23DE">
        <w:rPr>
          <w:rFonts w:ascii="Arial" w:hAnsi="Arial" w:cs="Arial"/>
          <w:iCs/>
          <w:sz w:val="22"/>
          <w:szCs w:val="22"/>
        </w:rPr>
        <w:t xml:space="preserve"> επιδημιολογικά δεδομένα για να εκτιμηθεί η ασφάλεια. Κατά τη διάρκεια του τελευταίου τριμήνου της εγκυμοσύνης, η χρήση των αναστολέων της σύνθεσης της προσταγλανδίνης μπορεί να έχει </w:t>
      </w:r>
      <w:r w:rsidR="00875E28">
        <w:rPr>
          <w:rFonts w:ascii="Arial" w:hAnsi="Arial" w:cs="Arial"/>
          <w:iCs/>
          <w:sz w:val="22"/>
          <w:szCs w:val="22"/>
        </w:rPr>
        <w:t>τα ακόλουθα αποτελέσματα</w:t>
      </w:r>
      <w:r w:rsidRPr="003F23DE">
        <w:rPr>
          <w:rFonts w:ascii="Arial" w:hAnsi="Arial" w:cs="Arial"/>
          <w:iCs/>
          <w:sz w:val="22"/>
          <w:szCs w:val="22"/>
        </w:rPr>
        <w:t>:</w:t>
      </w:r>
    </w:p>
    <w:p w:rsidR="00A10084" w:rsidRPr="003F23DE" w:rsidRDefault="00A10084" w:rsidP="003F23DE">
      <w:pPr>
        <w:numPr>
          <w:ilvl w:val="0"/>
          <w:numId w:val="11"/>
        </w:numPr>
        <w:tabs>
          <w:tab w:val="clear" w:pos="1830"/>
          <w:tab w:val="num" w:pos="851"/>
        </w:tabs>
        <w:spacing w:line="360" w:lineRule="auto"/>
        <w:ind w:left="851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 xml:space="preserve">Πνευμονική και καρδιακή τοξικότητα στο έμβρυο (πνευμονική υπέρταση </w:t>
      </w:r>
      <w:r w:rsidR="009855AB" w:rsidRPr="003F23DE">
        <w:rPr>
          <w:rFonts w:ascii="Arial" w:hAnsi="Arial" w:cs="Arial"/>
          <w:iCs/>
          <w:sz w:val="22"/>
          <w:szCs w:val="22"/>
        </w:rPr>
        <w:t>με πρόωρ</w:t>
      </w:r>
      <w:r w:rsidR="00166F85">
        <w:rPr>
          <w:rFonts w:ascii="Arial" w:hAnsi="Arial" w:cs="Arial"/>
          <w:iCs/>
          <w:sz w:val="22"/>
          <w:szCs w:val="22"/>
        </w:rPr>
        <w:t>η</w:t>
      </w:r>
      <w:r w:rsidR="009855AB" w:rsidRPr="003F23DE">
        <w:rPr>
          <w:rFonts w:ascii="Arial" w:hAnsi="Arial" w:cs="Arial"/>
          <w:iCs/>
          <w:sz w:val="22"/>
          <w:szCs w:val="22"/>
        </w:rPr>
        <w:t xml:space="preserve"> </w:t>
      </w:r>
      <w:r w:rsidR="00166F85">
        <w:rPr>
          <w:rFonts w:ascii="Arial" w:hAnsi="Arial" w:cs="Arial"/>
          <w:iCs/>
          <w:sz w:val="22"/>
          <w:szCs w:val="22"/>
        </w:rPr>
        <w:t>σύγκλιση</w:t>
      </w:r>
      <w:r w:rsidR="009855AB" w:rsidRPr="003F23DE">
        <w:rPr>
          <w:rFonts w:ascii="Arial" w:hAnsi="Arial" w:cs="Arial"/>
          <w:iCs/>
          <w:sz w:val="22"/>
          <w:szCs w:val="22"/>
        </w:rPr>
        <w:t xml:space="preserve"> τ</w:t>
      </w:r>
      <w:r w:rsidR="00166F85">
        <w:rPr>
          <w:rFonts w:ascii="Arial" w:hAnsi="Arial" w:cs="Arial"/>
          <w:iCs/>
          <w:sz w:val="22"/>
          <w:szCs w:val="22"/>
        </w:rPr>
        <w:t>ου</w:t>
      </w:r>
      <w:r w:rsidR="009855AB" w:rsidRPr="003F23DE">
        <w:rPr>
          <w:rFonts w:ascii="Arial" w:hAnsi="Arial" w:cs="Arial"/>
          <w:iCs/>
          <w:sz w:val="22"/>
          <w:szCs w:val="22"/>
        </w:rPr>
        <w:t xml:space="preserve"> αρτηριακ</w:t>
      </w:r>
      <w:r w:rsidR="00166F85">
        <w:rPr>
          <w:rFonts w:ascii="Arial" w:hAnsi="Arial" w:cs="Arial"/>
          <w:iCs/>
          <w:sz w:val="22"/>
          <w:szCs w:val="22"/>
        </w:rPr>
        <w:t>ού</w:t>
      </w:r>
      <w:r w:rsidR="009855AB" w:rsidRPr="003F23DE">
        <w:rPr>
          <w:rFonts w:ascii="Arial" w:hAnsi="Arial" w:cs="Arial"/>
          <w:iCs/>
          <w:sz w:val="22"/>
          <w:szCs w:val="22"/>
        </w:rPr>
        <w:t xml:space="preserve"> πόρ</w:t>
      </w:r>
      <w:r w:rsidR="00166F85">
        <w:rPr>
          <w:rFonts w:ascii="Arial" w:hAnsi="Arial" w:cs="Arial"/>
          <w:iCs/>
          <w:sz w:val="22"/>
          <w:szCs w:val="22"/>
        </w:rPr>
        <w:t>ου</w:t>
      </w:r>
      <w:r w:rsidR="009855AB" w:rsidRPr="003F23DE">
        <w:rPr>
          <w:rFonts w:ascii="Arial" w:hAnsi="Arial" w:cs="Arial"/>
          <w:iCs/>
          <w:sz w:val="22"/>
          <w:szCs w:val="22"/>
        </w:rPr>
        <w:t>)</w:t>
      </w:r>
    </w:p>
    <w:p w:rsidR="009855AB" w:rsidRPr="003F23DE" w:rsidRDefault="009855AB" w:rsidP="003F23DE">
      <w:pPr>
        <w:numPr>
          <w:ilvl w:val="0"/>
          <w:numId w:val="11"/>
        </w:numPr>
        <w:tabs>
          <w:tab w:val="clear" w:pos="1830"/>
          <w:tab w:val="num" w:pos="851"/>
        </w:tabs>
        <w:spacing w:line="360" w:lineRule="auto"/>
        <w:ind w:left="851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>Νεφρική ανεπάρκεια στο έμβρυο με ολιγ</w:t>
      </w:r>
      <w:r w:rsidR="00166F85">
        <w:rPr>
          <w:rFonts w:ascii="Arial" w:hAnsi="Arial" w:cs="Arial"/>
          <w:iCs/>
          <w:sz w:val="22"/>
          <w:szCs w:val="22"/>
        </w:rPr>
        <w:t>οϋδράμνιο και</w:t>
      </w:r>
    </w:p>
    <w:p w:rsidR="009855AB" w:rsidRPr="003F23DE" w:rsidRDefault="009855AB" w:rsidP="003F23DE">
      <w:pPr>
        <w:numPr>
          <w:ilvl w:val="0"/>
          <w:numId w:val="11"/>
        </w:numPr>
        <w:tabs>
          <w:tab w:val="clear" w:pos="1830"/>
          <w:tab w:val="num" w:pos="851"/>
        </w:tabs>
        <w:spacing w:line="360" w:lineRule="auto"/>
        <w:ind w:left="851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 xml:space="preserve">Αυξημένη πιθανότητα αιμορραγίας στη μητέρα και το παιδί. </w:t>
      </w:r>
    </w:p>
    <w:p w:rsidR="009855AB" w:rsidRPr="003F23DE" w:rsidRDefault="009855AB" w:rsidP="003F23DE">
      <w:pPr>
        <w:spacing w:line="360" w:lineRule="auto"/>
        <w:ind w:left="491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 xml:space="preserve">Επομένως, το δερματικό διάλυμα </w:t>
      </w:r>
      <w:r w:rsidRPr="003F23DE">
        <w:rPr>
          <w:rFonts w:ascii="Arial" w:hAnsi="Arial" w:cs="Arial"/>
          <w:iCs/>
          <w:sz w:val="22"/>
          <w:szCs w:val="22"/>
          <w:lang w:val="en-US"/>
        </w:rPr>
        <w:t>PAIN</w:t>
      </w:r>
      <w:r w:rsidRPr="003F23DE">
        <w:rPr>
          <w:rFonts w:ascii="Arial" w:hAnsi="Arial" w:cs="Arial"/>
          <w:iCs/>
          <w:sz w:val="22"/>
          <w:szCs w:val="22"/>
        </w:rPr>
        <w:t>-</w:t>
      </w:r>
      <w:r w:rsidRPr="003F23DE">
        <w:rPr>
          <w:rFonts w:ascii="Arial" w:hAnsi="Arial" w:cs="Arial"/>
          <w:iCs/>
          <w:sz w:val="22"/>
          <w:szCs w:val="22"/>
          <w:lang w:val="en-US"/>
        </w:rPr>
        <w:t>OUT</w:t>
      </w:r>
      <w:r w:rsidRPr="003F23DE">
        <w:rPr>
          <w:rFonts w:ascii="Arial" w:hAnsi="Arial" w:cs="Arial"/>
          <w:iCs/>
          <w:sz w:val="22"/>
          <w:szCs w:val="22"/>
        </w:rPr>
        <w:t xml:space="preserve">, </w:t>
      </w:r>
      <w:r w:rsidRPr="003F23DE">
        <w:rPr>
          <w:rFonts w:ascii="Arial" w:hAnsi="Arial" w:cs="Arial"/>
          <w:iCs/>
          <w:sz w:val="22"/>
          <w:szCs w:val="22"/>
          <w:lang w:val="en-US"/>
        </w:rPr>
        <w:t>Diclofenac</w:t>
      </w:r>
      <w:r w:rsidRPr="003F23DE">
        <w:rPr>
          <w:rFonts w:ascii="Arial" w:hAnsi="Arial" w:cs="Arial"/>
          <w:iCs/>
          <w:sz w:val="22"/>
          <w:szCs w:val="22"/>
        </w:rPr>
        <w:t xml:space="preserve"> </w:t>
      </w:r>
      <w:r w:rsidRPr="003F23DE">
        <w:rPr>
          <w:rFonts w:ascii="Arial" w:hAnsi="Arial" w:cs="Arial"/>
          <w:iCs/>
          <w:sz w:val="22"/>
          <w:szCs w:val="22"/>
          <w:lang w:val="en-US"/>
        </w:rPr>
        <w:t>sodium</w:t>
      </w:r>
      <w:r w:rsidRPr="003F23DE">
        <w:rPr>
          <w:rFonts w:ascii="Arial" w:hAnsi="Arial" w:cs="Arial"/>
          <w:iCs/>
          <w:sz w:val="22"/>
          <w:szCs w:val="22"/>
        </w:rPr>
        <w:t xml:space="preserve"> 4% θα πρέπει να χρησιμοποιείται με προσοχή και μόνο όταν είναι απολύτως απαραίτητο κατά τη διάρκεια των πρώτων έξι μηνών της εγκυμοσύνης και να μην εφαρμόζεται σε μεγάλη επιφάνεια του δέρματος (</w:t>
      </w:r>
      <w:r w:rsidR="00166F85">
        <w:rPr>
          <w:rFonts w:ascii="Arial" w:hAnsi="Arial" w:cs="Arial"/>
          <w:iCs/>
          <w:sz w:val="22"/>
          <w:szCs w:val="22"/>
        </w:rPr>
        <w:t>δηλ.</w:t>
      </w:r>
      <w:r w:rsidRPr="003F23DE">
        <w:rPr>
          <w:rFonts w:ascii="Arial" w:hAnsi="Arial" w:cs="Arial"/>
          <w:iCs/>
          <w:sz w:val="22"/>
          <w:szCs w:val="22"/>
        </w:rPr>
        <w:t xml:space="preserve"> περισσότερο από 600 </w:t>
      </w:r>
      <w:r w:rsidRPr="003F23DE">
        <w:rPr>
          <w:rFonts w:ascii="Arial" w:hAnsi="Arial" w:cs="Arial"/>
          <w:iCs/>
          <w:sz w:val="22"/>
          <w:szCs w:val="22"/>
          <w:lang w:val="en-US"/>
        </w:rPr>
        <w:t>cm</w:t>
      </w:r>
      <w:r w:rsidRPr="003F23DE">
        <w:rPr>
          <w:rFonts w:ascii="Arial" w:hAnsi="Arial" w:cs="Arial"/>
          <w:iCs/>
          <w:sz w:val="22"/>
          <w:szCs w:val="22"/>
          <w:vertAlign w:val="superscript"/>
        </w:rPr>
        <w:t>2</w:t>
      </w:r>
      <w:r w:rsidRPr="003F23DE">
        <w:rPr>
          <w:rFonts w:ascii="Arial" w:hAnsi="Arial" w:cs="Arial"/>
          <w:iCs/>
          <w:sz w:val="22"/>
          <w:szCs w:val="22"/>
        </w:rPr>
        <w:t xml:space="preserve">). Δεν πρέπει να χρησιμοποιείται για μακροχρόνια θεραπεία (περισσότερο από τρεις εβδομάδες). Η θεραπεία με δερματικό διάλυμα </w:t>
      </w:r>
      <w:r w:rsidRPr="003F23DE">
        <w:rPr>
          <w:rFonts w:ascii="Arial" w:hAnsi="Arial" w:cs="Arial"/>
          <w:iCs/>
          <w:sz w:val="22"/>
          <w:szCs w:val="22"/>
          <w:lang w:val="en-US"/>
        </w:rPr>
        <w:t>PAIN</w:t>
      </w:r>
      <w:r w:rsidRPr="003F23DE">
        <w:rPr>
          <w:rFonts w:ascii="Arial" w:hAnsi="Arial" w:cs="Arial"/>
          <w:iCs/>
          <w:sz w:val="22"/>
          <w:szCs w:val="22"/>
        </w:rPr>
        <w:t>-</w:t>
      </w:r>
      <w:r w:rsidRPr="003F23DE">
        <w:rPr>
          <w:rFonts w:ascii="Arial" w:hAnsi="Arial" w:cs="Arial"/>
          <w:iCs/>
          <w:sz w:val="22"/>
          <w:szCs w:val="22"/>
          <w:lang w:val="en-US"/>
        </w:rPr>
        <w:t>OUT</w:t>
      </w:r>
      <w:r w:rsidRPr="003F23DE">
        <w:rPr>
          <w:rFonts w:ascii="Arial" w:hAnsi="Arial" w:cs="Arial"/>
          <w:iCs/>
          <w:sz w:val="22"/>
          <w:szCs w:val="22"/>
        </w:rPr>
        <w:t xml:space="preserve">, </w:t>
      </w:r>
      <w:r w:rsidRPr="003F23DE">
        <w:rPr>
          <w:rFonts w:ascii="Arial" w:hAnsi="Arial" w:cs="Arial"/>
          <w:iCs/>
          <w:sz w:val="22"/>
          <w:szCs w:val="22"/>
          <w:lang w:val="en-US"/>
        </w:rPr>
        <w:t>Diclofenac</w:t>
      </w:r>
      <w:r w:rsidRPr="003F23DE">
        <w:rPr>
          <w:rFonts w:ascii="Arial" w:hAnsi="Arial" w:cs="Arial"/>
          <w:iCs/>
          <w:sz w:val="22"/>
          <w:szCs w:val="22"/>
        </w:rPr>
        <w:t xml:space="preserve"> </w:t>
      </w:r>
      <w:r w:rsidRPr="003F23DE">
        <w:rPr>
          <w:rFonts w:ascii="Arial" w:hAnsi="Arial" w:cs="Arial"/>
          <w:iCs/>
          <w:sz w:val="22"/>
          <w:szCs w:val="22"/>
          <w:lang w:val="en-US"/>
        </w:rPr>
        <w:t>sodium</w:t>
      </w:r>
      <w:r w:rsidRPr="003F23DE">
        <w:rPr>
          <w:rFonts w:ascii="Arial" w:hAnsi="Arial" w:cs="Arial"/>
          <w:iCs/>
          <w:sz w:val="22"/>
          <w:szCs w:val="22"/>
        </w:rPr>
        <w:t xml:space="preserve"> 4% αντενδείκνυται κατά τη διάρκεια του τελευταίου τριμήνου της κύησης. </w:t>
      </w:r>
    </w:p>
    <w:p w:rsidR="009855AB" w:rsidRPr="003F23DE" w:rsidRDefault="009855AB" w:rsidP="003F23DE">
      <w:pPr>
        <w:spacing w:line="360" w:lineRule="auto"/>
        <w:ind w:left="491"/>
        <w:jc w:val="both"/>
        <w:rPr>
          <w:rFonts w:ascii="Arial" w:hAnsi="Arial" w:cs="Arial"/>
          <w:iCs/>
          <w:sz w:val="22"/>
          <w:szCs w:val="22"/>
        </w:rPr>
      </w:pPr>
    </w:p>
    <w:p w:rsidR="009855AB" w:rsidRPr="003F23DE" w:rsidRDefault="00166F85" w:rsidP="003F23DE">
      <w:pPr>
        <w:spacing w:line="360" w:lineRule="auto"/>
        <w:ind w:left="491"/>
        <w:jc w:val="both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  <w:u w:val="single"/>
        </w:rPr>
        <w:t>Χρήση κατά τη γ</w:t>
      </w:r>
      <w:r w:rsidR="009855AB" w:rsidRPr="003F23DE">
        <w:rPr>
          <w:rFonts w:ascii="Arial" w:hAnsi="Arial" w:cs="Arial"/>
          <w:iCs/>
          <w:sz w:val="22"/>
          <w:szCs w:val="22"/>
          <w:u w:val="single"/>
        </w:rPr>
        <w:t>αλουχία</w:t>
      </w:r>
    </w:p>
    <w:p w:rsidR="00F92340" w:rsidRPr="004460CD" w:rsidRDefault="009855AB" w:rsidP="004460CD">
      <w:pPr>
        <w:spacing w:line="360" w:lineRule="auto"/>
        <w:ind w:left="491"/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3F23DE">
        <w:rPr>
          <w:rFonts w:ascii="Arial" w:hAnsi="Arial" w:cs="Arial"/>
          <w:iCs/>
          <w:sz w:val="22"/>
          <w:szCs w:val="22"/>
        </w:rPr>
        <w:lastRenderedPageBreak/>
        <w:t xml:space="preserve">Μετά από τοπική εφαρμογή, δεν αναμένεται να ανιχνευτεί μετρήσιμη ποσότητα </w:t>
      </w:r>
      <w:r w:rsidRPr="003F23DE">
        <w:rPr>
          <w:rFonts w:ascii="Arial" w:hAnsi="Arial" w:cs="Arial"/>
          <w:iCs/>
          <w:sz w:val="22"/>
          <w:szCs w:val="22"/>
          <w:lang w:val="en-US"/>
        </w:rPr>
        <w:t>Diclofenac</w:t>
      </w:r>
      <w:r w:rsidRPr="003F23DE">
        <w:rPr>
          <w:rFonts w:ascii="Arial" w:hAnsi="Arial" w:cs="Arial"/>
          <w:iCs/>
          <w:sz w:val="22"/>
          <w:szCs w:val="22"/>
        </w:rPr>
        <w:t xml:space="preserve"> στο μητρικό γάλα. Εντούτοις, τα μη στεροειδή αντιφλεγμονώδη φάρμακα (</w:t>
      </w:r>
      <w:r w:rsidR="00875E28">
        <w:rPr>
          <w:rFonts w:ascii="Arial" w:hAnsi="Arial" w:cs="Arial"/>
          <w:iCs/>
          <w:sz w:val="22"/>
          <w:szCs w:val="22"/>
        </w:rPr>
        <w:t>ΜΣΑΦ</w:t>
      </w:r>
      <w:r w:rsidRPr="003F23DE">
        <w:rPr>
          <w:rFonts w:ascii="Arial" w:hAnsi="Arial" w:cs="Arial"/>
          <w:iCs/>
          <w:sz w:val="22"/>
          <w:szCs w:val="22"/>
        </w:rPr>
        <w:t xml:space="preserve">) εκκρίνονται στο μητρικό γάλα. Επομένως, το δερματικό διάλυμα </w:t>
      </w:r>
      <w:r w:rsidRPr="003F23DE">
        <w:rPr>
          <w:rFonts w:ascii="Arial" w:hAnsi="Arial" w:cs="Arial"/>
          <w:iCs/>
          <w:sz w:val="22"/>
          <w:szCs w:val="22"/>
          <w:lang w:val="en-US"/>
        </w:rPr>
        <w:t>PAIN</w:t>
      </w:r>
      <w:r w:rsidRPr="003F23DE">
        <w:rPr>
          <w:rFonts w:ascii="Arial" w:hAnsi="Arial" w:cs="Arial"/>
          <w:iCs/>
          <w:sz w:val="22"/>
          <w:szCs w:val="22"/>
        </w:rPr>
        <w:t>-</w:t>
      </w:r>
      <w:r w:rsidRPr="003F23DE">
        <w:rPr>
          <w:rFonts w:ascii="Arial" w:hAnsi="Arial" w:cs="Arial"/>
          <w:iCs/>
          <w:sz w:val="22"/>
          <w:szCs w:val="22"/>
          <w:lang w:val="en-US"/>
        </w:rPr>
        <w:t>OUT</w:t>
      </w:r>
      <w:r w:rsidRPr="003F23DE">
        <w:rPr>
          <w:rFonts w:ascii="Arial" w:hAnsi="Arial" w:cs="Arial"/>
          <w:iCs/>
          <w:sz w:val="22"/>
          <w:szCs w:val="22"/>
        </w:rPr>
        <w:t xml:space="preserve">, </w:t>
      </w:r>
      <w:r w:rsidRPr="003F23DE">
        <w:rPr>
          <w:rFonts w:ascii="Arial" w:hAnsi="Arial" w:cs="Arial"/>
          <w:iCs/>
          <w:sz w:val="22"/>
          <w:szCs w:val="22"/>
          <w:lang w:val="en-US"/>
        </w:rPr>
        <w:t>Diclofenac</w:t>
      </w:r>
      <w:r w:rsidRPr="003F23DE">
        <w:rPr>
          <w:rFonts w:ascii="Arial" w:hAnsi="Arial" w:cs="Arial"/>
          <w:iCs/>
          <w:sz w:val="22"/>
          <w:szCs w:val="22"/>
        </w:rPr>
        <w:t xml:space="preserve"> </w:t>
      </w:r>
      <w:r w:rsidRPr="003F23DE">
        <w:rPr>
          <w:rFonts w:ascii="Arial" w:hAnsi="Arial" w:cs="Arial"/>
          <w:iCs/>
          <w:sz w:val="22"/>
          <w:szCs w:val="22"/>
          <w:lang w:val="en-US"/>
        </w:rPr>
        <w:t>sodium</w:t>
      </w:r>
      <w:r w:rsidRPr="003F23DE">
        <w:rPr>
          <w:rFonts w:ascii="Arial" w:hAnsi="Arial" w:cs="Arial"/>
          <w:iCs/>
          <w:sz w:val="22"/>
          <w:szCs w:val="22"/>
        </w:rPr>
        <w:t xml:space="preserve"> 4%, δεν συν</w:t>
      </w:r>
      <w:r w:rsidR="00166F85">
        <w:rPr>
          <w:rFonts w:ascii="Arial" w:hAnsi="Arial" w:cs="Arial"/>
          <w:iCs/>
          <w:sz w:val="22"/>
          <w:szCs w:val="22"/>
        </w:rPr>
        <w:t>ι</w:t>
      </w:r>
      <w:r w:rsidRPr="003F23DE">
        <w:rPr>
          <w:rFonts w:ascii="Arial" w:hAnsi="Arial" w:cs="Arial"/>
          <w:iCs/>
          <w:sz w:val="22"/>
          <w:szCs w:val="22"/>
        </w:rPr>
        <w:t>στ</w:t>
      </w:r>
      <w:r w:rsidR="00166F85">
        <w:rPr>
          <w:rFonts w:ascii="Arial" w:hAnsi="Arial" w:cs="Arial"/>
          <w:iCs/>
          <w:sz w:val="22"/>
          <w:szCs w:val="22"/>
        </w:rPr>
        <w:t>ά</w:t>
      </w:r>
      <w:r w:rsidRPr="003F23DE">
        <w:rPr>
          <w:rFonts w:ascii="Arial" w:hAnsi="Arial" w:cs="Arial"/>
          <w:iCs/>
          <w:sz w:val="22"/>
          <w:szCs w:val="22"/>
        </w:rPr>
        <w:t xml:space="preserve">ται να χρησιμοποιείται από μητέρες που θηλάζουν. </w:t>
      </w:r>
      <w:r w:rsidR="00C25C59" w:rsidRPr="003F23DE">
        <w:rPr>
          <w:rFonts w:ascii="Arial" w:hAnsi="Arial" w:cs="Arial"/>
          <w:iCs/>
          <w:sz w:val="22"/>
          <w:szCs w:val="22"/>
        </w:rPr>
        <w:t xml:space="preserve">Σε θηλάζουσες μητέρες </w:t>
      </w:r>
      <w:r w:rsidR="00C25C59">
        <w:rPr>
          <w:rFonts w:ascii="Arial" w:hAnsi="Arial" w:cs="Arial"/>
          <w:iCs/>
          <w:sz w:val="22"/>
          <w:szCs w:val="22"/>
        </w:rPr>
        <w:t>,α</w:t>
      </w:r>
      <w:r w:rsidRPr="003F23DE">
        <w:rPr>
          <w:rFonts w:ascii="Arial" w:hAnsi="Arial" w:cs="Arial"/>
          <w:iCs/>
          <w:sz w:val="22"/>
          <w:szCs w:val="22"/>
        </w:rPr>
        <w:t>ντενδείκνυται η εφαρμογή στη</w:t>
      </w:r>
      <w:r w:rsidR="00875E28">
        <w:rPr>
          <w:rFonts w:ascii="Arial" w:hAnsi="Arial" w:cs="Arial"/>
          <w:iCs/>
          <w:sz w:val="22"/>
          <w:szCs w:val="22"/>
        </w:rPr>
        <w:t>ν</w:t>
      </w:r>
      <w:r w:rsidRPr="003F23DE">
        <w:rPr>
          <w:rFonts w:ascii="Arial" w:hAnsi="Arial" w:cs="Arial"/>
          <w:iCs/>
          <w:sz w:val="22"/>
          <w:szCs w:val="22"/>
        </w:rPr>
        <w:t xml:space="preserve"> περιοχή του στήθους. </w:t>
      </w:r>
    </w:p>
    <w:p w:rsidR="00F92340" w:rsidRPr="003F23DE" w:rsidRDefault="00F92340" w:rsidP="003F23DE">
      <w:pPr>
        <w:spacing w:line="360" w:lineRule="auto"/>
        <w:ind w:left="491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 xml:space="preserve">Σε προκλινικές μελέτες τοξικότητας στην αναπαραγωγή, το </w:t>
      </w:r>
      <w:r w:rsidRPr="003F23DE">
        <w:rPr>
          <w:rFonts w:ascii="Arial" w:hAnsi="Arial" w:cs="Arial"/>
          <w:iCs/>
          <w:sz w:val="22"/>
          <w:szCs w:val="22"/>
          <w:lang w:val="en-US"/>
        </w:rPr>
        <w:t>Diclofenac</w:t>
      </w:r>
      <w:r w:rsidRPr="003F23DE">
        <w:rPr>
          <w:rFonts w:ascii="Arial" w:hAnsi="Arial" w:cs="Arial"/>
          <w:iCs/>
          <w:sz w:val="22"/>
          <w:szCs w:val="22"/>
        </w:rPr>
        <w:t xml:space="preserve"> </w:t>
      </w:r>
      <w:r w:rsidR="003416A2" w:rsidRPr="003F23DE">
        <w:rPr>
          <w:rFonts w:ascii="Arial" w:hAnsi="Arial" w:cs="Arial"/>
          <w:iCs/>
          <w:sz w:val="22"/>
          <w:szCs w:val="22"/>
        </w:rPr>
        <w:t>έδειξε ανεπιθύμητες ενέργειες</w:t>
      </w:r>
      <w:r w:rsidR="00166F85">
        <w:rPr>
          <w:rFonts w:ascii="Arial" w:hAnsi="Arial" w:cs="Arial"/>
          <w:iCs/>
          <w:sz w:val="22"/>
          <w:szCs w:val="22"/>
        </w:rPr>
        <w:t xml:space="preserve"> (βλέπε παράγραφο 5.3).</w:t>
      </w:r>
    </w:p>
    <w:p w:rsidR="00012495" w:rsidRPr="00166F85" w:rsidRDefault="00012495" w:rsidP="003F23DE">
      <w:pPr>
        <w:spacing w:line="360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ab/>
      </w:r>
    </w:p>
    <w:p w:rsidR="00012495" w:rsidRPr="003F23DE" w:rsidRDefault="00012495" w:rsidP="003F23DE">
      <w:pPr>
        <w:spacing w:line="360" w:lineRule="auto"/>
        <w:ind w:left="567" w:hanging="567"/>
        <w:jc w:val="both"/>
        <w:rPr>
          <w:rFonts w:ascii="Arial" w:hAnsi="Arial" w:cs="Arial"/>
          <w:b/>
          <w:iCs/>
          <w:sz w:val="22"/>
          <w:szCs w:val="22"/>
        </w:rPr>
      </w:pPr>
      <w:r w:rsidRPr="003F23DE">
        <w:rPr>
          <w:rFonts w:ascii="Arial" w:hAnsi="Arial" w:cs="Arial"/>
          <w:b/>
          <w:iCs/>
          <w:sz w:val="22"/>
          <w:szCs w:val="22"/>
        </w:rPr>
        <w:t xml:space="preserve">4.7. </w:t>
      </w:r>
      <w:r w:rsidRPr="003F23DE">
        <w:rPr>
          <w:rFonts w:ascii="Arial" w:hAnsi="Arial" w:cs="Arial"/>
          <w:b/>
          <w:iCs/>
          <w:sz w:val="22"/>
          <w:szCs w:val="22"/>
        </w:rPr>
        <w:tab/>
        <w:t>Επ</w:t>
      </w:r>
      <w:r w:rsidR="00601896">
        <w:rPr>
          <w:rFonts w:ascii="Arial" w:hAnsi="Arial" w:cs="Arial"/>
          <w:b/>
          <w:iCs/>
          <w:sz w:val="22"/>
          <w:szCs w:val="22"/>
        </w:rPr>
        <w:t>ιδράσεις</w:t>
      </w:r>
      <w:r w:rsidRPr="003F23DE">
        <w:rPr>
          <w:rFonts w:ascii="Arial" w:hAnsi="Arial" w:cs="Arial"/>
          <w:b/>
          <w:iCs/>
          <w:sz w:val="22"/>
          <w:szCs w:val="22"/>
        </w:rPr>
        <w:t xml:space="preserve"> στην ικανότη</w:t>
      </w:r>
      <w:r w:rsidR="00875E28">
        <w:rPr>
          <w:rFonts w:ascii="Arial" w:hAnsi="Arial" w:cs="Arial"/>
          <w:b/>
          <w:iCs/>
          <w:sz w:val="22"/>
          <w:szCs w:val="22"/>
        </w:rPr>
        <w:t>τα οδήγησης και χειρισμού μηχανώ</w:t>
      </w:r>
      <w:r w:rsidRPr="003F23DE">
        <w:rPr>
          <w:rFonts w:ascii="Arial" w:hAnsi="Arial" w:cs="Arial"/>
          <w:b/>
          <w:iCs/>
          <w:sz w:val="22"/>
          <w:szCs w:val="22"/>
        </w:rPr>
        <w:t>ν</w:t>
      </w:r>
    </w:p>
    <w:p w:rsidR="00012495" w:rsidRPr="003F23DE" w:rsidRDefault="00920997" w:rsidP="003F23DE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 xml:space="preserve">Ασθενείς που νιώθουν ζάλη ή άλλες διαταραχές </w:t>
      </w:r>
      <w:r w:rsidR="00C25C59">
        <w:rPr>
          <w:rFonts w:ascii="Arial" w:hAnsi="Arial" w:cs="Arial"/>
          <w:iCs/>
          <w:sz w:val="22"/>
          <w:szCs w:val="22"/>
        </w:rPr>
        <w:t xml:space="preserve">του κεντρικού νευρικού συστήματος </w:t>
      </w:r>
      <w:r w:rsidRPr="003F23DE">
        <w:rPr>
          <w:rFonts w:ascii="Arial" w:hAnsi="Arial" w:cs="Arial"/>
          <w:iCs/>
          <w:sz w:val="22"/>
          <w:szCs w:val="22"/>
        </w:rPr>
        <w:t>όταν τους χορηγούνται μη στεροειδή αντιφλεγμονώδη φάρμακα (</w:t>
      </w:r>
      <w:r w:rsidR="00875E28">
        <w:rPr>
          <w:rFonts w:ascii="Arial" w:hAnsi="Arial" w:cs="Arial"/>
          <w:iCs/>
          <w:sz w:val="22"/>
          <w:szCs w:val="22"/>
        </w:rPr>
        <w:t>ΜΣΑΦ</w:t>
      </w:r>
      <w:r w:rsidRPr="003F23DE">
        <w:rPr>
          <w:rFonts w:ascii="Arial" w:hAnsi="Arial" w:cs="Arial"/>
          <w:iCs/>
          <w:sz w:val="22"/>
          <w:szCs w:val="22"/>
        </w:rPr>
        <w:t>)</w:t>
      </w:r>
      <w:r w:rsidR="00875E28">
        <w:rPr>
          <w:rFonts w:ascii="Arial" w:hAnsi="Arial" w:cs="Arial"/>
          <w:iCs/>
          <w:sz w:val="22"/>
          <w:szCs w:val="22"/>
        </w:rPr>
        <w:t>, δεν</w:t>
      </w:r>
      <w:r w:rsidRPr="003F23DE">
        <w:rPr>
          <w:rFonts w:ascii="Arial" w:hAnsi="Arial" w:cs="Arial"/>
          <w:iCs/>
          <w:sz w:val="22"/>
          <w:szCs w:val="22"/>
        </w:rPr>
        <w:t xml:space="preserve"> πρέπει να οδηγούν </w:t>
      </w:r>
      <w:r w:rsidR="00875E28">
        <w:rPr>
          <w:rFonts w:ascii="Arial" w:hAnsi="Arial" w:cs="Arial"/>
          <w:iCs/>
          <w:sz w:val="22"/>
          <w:szCs w:val="22"/>
        </w:rPr>
        <w:t>ή να</w:t>
      </w:r>
      <w:r w:rsidRPr="003F23DE">
        <w:rPr>
          <w:rFonts w:ascii="Arial" w:hAnsi="Arial" w:cs="Arial"/>
          <w:iCs/>
          <w:sz w:val="22"/>
          <w:szCs w:val="22"/>
        </w:rPr>
        <w:t xml:space="preserve"> χειρίζονται μηχανήματα, αν και αυτό είναι μάλλον απίθανο να συμβεί με τοπικά χορηγούμενα φάρμακα. </w:t>
      </w:r>
    </w:p>
    <w:p w:rsidR="00920997" w:rsidRPr="003F23DE" w:rsidRDefault="00920997" w:rsidP="003F23DE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</w:p>
    <w:p w:rsidR="00012495" w:rsidRPr="003F23DE" w:rsidRDefault="00012495" w:rsidP="003F23DE">
      <w:pPr>
        <w:spacing w:line="360" w:lineRule="auto"/>
        <w:ind w:left="567" w:hanging="567"/>
        <w:jc w:val="both"/>
        <w:rPr>
          <w:rFonts w:ascii="Arial" w:hAnsi="Arial" w:cs="Arial"/>
          <w:b/>
          <w:iCs/>
          <w:sz w:val="22"/>
          <w:szCs w:val="22"/>
        </w:rPr>
      </w:pPr>
      <w:r w:rsidRPr="003F23DE">
        <w:rPr>
          <w:rFonts w:ascii="Arial" w:hAnsi="Arial" w:cs="Arial"/>
          <w:b/>
          <w:iCs/>
          <w:sz w:val="22"/>
          <w:szCs w:val="22"/>
        </w:rPr>
        <w:t xml:space="preserve">4.8. </w:t>
      </w:r>
      <w:r w:rsidRPr="003F23DE">
        <w:rPr>
          <w:rFonts w:ascii="Arial" w:hAnsi="Arial" w:cs="Arial"/>
          <w:b/>
          <w:iCs/>
          <w:sz w:val="22"/>
          <w:szCs w:val="22"/>
        </w:rPr>
        <w:tab/>
        <w:t>Ανεπιθύμητες ενέργειες</w:t>
      </w:r>
    </w:p>
    <w:p w:rsidR="00012495" w:rsidRPr="003F23DE" w:rsidRDefault="00301220" w:rsidP="003F23DE">
      <w:pPr>
        <w:spacing w:line="360" w:lineRule="auto"/>
        <w:ind w:left="851" w:hanging="284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 xml:space="preserve">Έχουν αναφερθεί συχνά δερματικές διαταραχές. </w:t>
      </w:r>
    </w:p>
    <w:p w:rsidR="00301220" w:rsidRPr="003F23DE" w:rsidRDefault="00301220" w:rsidP="003F23DE">
      <w:pPr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  <w:u w:val="single"/>
        </w:rPr>
        <w:t>Δέρμα</w:t>
      </w:r>
      <w:r w:rsidRPr="003F23DE">
        <w:rPr>
          <w:rFonts w:ascii="Arial" w:hAnsi="Arial" w:cs="Arial"/>
          <w:iCs/>
          <w:sz w:val="22"/>
          <w:szCs w:val="22"/>
        </w:rPr>
        <w:t>: αντιδράσεις στο σημείο της εφαρμογής, εξανθήματα, κνησμός</w:t>
      </w:r>
      <w:r w:rsidR="00166F85">
        <w:rPr>
          <w:rFonts w:ascii="Arial" w:hAnsi="Arial" w:cs="Arial"/>
          <w:iCs/>
          <w:sz w:val="22"/>
          <w:szCs w:val="22"/>
        </w:rPr>
        <w:t xml:space="preserve"> και κνίδωση</w:t>
      </w:r>
      <w:r w:rsidRPr="003F23DE">
        <w:rPr>
          <w:rFonts w:ascii="Arial" w:hAnsi="Arial" w:cs="Arial"/>
          <w:iCs/>
          <w:sz w:val="22"/>
          <w:szCs w:val="22"/>
        </w:rPr>
        <w:t xml:space="preserve">, ξηρότητα, </w:t>
      </w:r>
      <w:r w:rsidR="00166F85">
        <w:rPr>
          <w:rFonts w:ascii="Arial" w:hAnsi="Arial" w:cs="Arial"/>
          <w:iCs/>
          <w:sz w:val="22"/>
          <w:szCs w:val="22"/>
        </w:rPr>
        <w:t>ερυθρότητα,</w:t>
      </w:r>
      <w:r w:rsidRPr="003F23DE">
        <w:rPr>
          <w:rFonts w:ascii="Arial" w:hAnsi="Arial" w:cs="Arial"/>
          <w:iCs/>
          <w:sz w:val="22"/>
          <w:szCs w:val="22"/>
        </w:rPr>
        <w:t xml:space="preserve"> αίσθημα καύσου, δερματίτιδα εξ επαφής. </w:t>
      </w:r>
    </w:p>
    <w:p w:rsidR="00F76327" w:rsidRPr="003F23DE" w:rsidRDefault="00301220" w:rsidP="003F23DE">
      <w:pPr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 xml:space="preserve">Σε μια κλινική μελέτη σε 236 ασθενείς με προβλήματα στον αστράγαλο χορηγήθηκαν 0,8- 1,0 </w:t>
      </w:r>
      <w:r w:rsidRPr="003F23DE">
        <w:rPr>
          <w:rFonts w:ascii="Arial" w:hAnsi="Arial" w:cs="Arial"/>
          <w:iCs/>
          <w:sz w:val="22"/>
          <w:szCs w:val="22"/>
          <w:lang w:val="en-US"/>
        </w:rPr>
        <w:t>g</w:t>
      </w:r>
      <w:r w:rsidRPr="003F23DE">
        <w:rPr>
          <w:rFonts w:ascii="Arial" w:hAnsi="Arial" w:cs="Arial"/>
          <w:iCs/>
          <w:sz w:val="22"/>
          <w:szCs w:val="22"/>
        </w:rPr>
        <w:t xml:space="preserve"> του </w:t>
      </w:r>
      <w:r w:rsidR="00C25C59">
        <w:rPr>
          <w:rFonts w:ascii="Arial" w:hAnsi="Arial" w:cs="Arial"/>
          <w:iCs/>
          <w:sz w:val="22"/>
          <w:szCs w:val="22"/>
        </w:rPr>
        <w:t>δερματικού</w:t>
      </w:r>
      <w:r w:rsidRPr="003F23DE">
        <w:rPr>
          <w:rFonts w:ascii="Arial" w:hAnsi="Arial" w:cs="Arial"/>
          <w:iCs/>
          <w:sz w:val="22"/>
          <w:szCs w:val="22"/>
        </w:rPr>
        <w:t xml:space="preserve"> δι</w:t>
      </w:r>
      <w:r w:rsidR="00C25C59">
        <w:rPr>
          <w:rFonts w:ascii="Arial" w:hAnsi="Arial" w:cs="Arial"/>
          <w:iCs/>
          <w:sz w:val="22"/>
          <w:szCs w:val="22"/>
        </w:rPr>
        <w:t>αλύ</w:t>
      </w:r>
      <w:r w:rsidRPr="003F23DE">
        <w:rPr>
          <w:rFonts w:ascii="Arial" w:hAnsi="Arial" w:cs="Arial"/>
          <w:iCs/>
          <w:sz w:val="22"/>
          <w:szCs w:val="22"/>
        </w:rPr>
        <w:t>μα</w:t>
      </w:r>
      <w:r w:rsidR="00C25C59">
        <w:rPr>
          <w:rFonts w:ascii="Arial" w:hAnsi="Arial" w:cs="Arial"/>
          <w:iCs/>
          <w:sz w:val="22"/>
          <w:szCs w:val="22"/>
        </w:rPr>
        <w:t>τος</w:t>
      </w:r>
      <w:r w:rsidRPr="003F23DE">
        <w:rPr>
          <w:rFonts w:ascii="Arial" w:hAnsi="Arial" w:cs="Arial"/>
          <w:iCs/>
          <w:sz w:val="22"/>
          <w:szCs w:val="22"/>
        </w:rPr>
        <w:t xml:space="preserve"> </w:t>
      </w:r>
      <w:r w:rsidRPr="003F23DE">
        <w:rPr>
          <w:rFonts w:ascii="Arial" w:hAnsi="Arial" w:cs="Arial"/>
          <w:iCs/>
          <w:sz w:val="22"/>
          <w:szCs w:val="22"/>
          <w:lang w:val="en-US"/>
        </w:rPr>
        <w:t>Diclofenac</w:t>
      </w:r>
      <w:r w:rsidRPr="003F23DE">
        <w:rPr>
          <w:rFonts w:ascii="Arial" w:hAnsi="Arial" w:cs="Arial"/>
          <w:iCs/>
          <w:sz w:val="22"/>
          <w:szCs w:val="22"/>
        </w:rPr>
        <w:t xml:space="preserve"> </w:t>
      </w:r>
      <w:r w:rsidRPr="003F23DE">
        <w:rPr>
          <w:rFonts w:ascii="Arial" w:hAnsi="Arial" w:cs="Arial"/>
          <w:iCs/>
          <w:sz w:val="22"/>
          <w:szCs w:val="22"/>
          <w:lang w:val="en-US"/>
        </w:rPr>
        <w:t>sodium</w:t>
      </w:r>
      <w:r w:rsidRPr="003F23DE">
        <w:rPr>
          <w:rFonts w:ascii="Arial" w:hAnsi="Arial" w:cs="Arial"/>
          <w:iCs/>
          <w:sz w:val="22"/>
          <w:szCs w:val="22"/>
        </w:rPr>
        <w:t xml:space="preserve"> 4% (120 ασθενείς) ή </w:t>
      </w:r>
      <w:r w:rsidR="00C25C59" w:rsidRPr="003F23DE">
        <w:rPr>
          <w:rFonts w:ascii="Arial" w:hAnsi="Arial" w:cs="Arial"/>
          <w:iCs/>
          <w:sz w:val="22"/>
          <w:szCs w:val="22"/>
        </w:rPr>
        <w:t xml:space="preserve">εικονικό φάρμακο </w:t>
      </w:r>
      <w:r w:rsidRPr="003F23DE">
        <w:rPr>
          <w:rFonts w:ascii="Arial" w:hAnsi="Arial" w:cs="Arial"/>
          <w:iCs/>
          <w:sz w:val="22"/>
          <w:szCs w:val="22"/>
        </w:rPr>
        <w:t xml:space="preserve">(116 ασθενείς) για 14 ημέρες. </w:t>
      </w:r>
      <w:r w:rsidR="00F76327" w:rsidRPr="003F23DE">
        <w:rPr>
          <w:rFonts w:ascii="Arial" w:hAnsi="Arial" w:cs="Arial"/>
          <w:iCs/>
          <w:sz w:val="22"/>
          <w:szCs w:val="22"/>
        </w:rPr>
        <w:t>Αναφέρθηκαν οι ακόλουθες ανεπιθύμητες ενέργειες</w:t>
      </w:r>
      <w:r w:rsidR="009D7068">
        <w:rPr>
          <w:rFonts w:ascii="Arial" w:hAnsi="Arial" w:cs="Arial"/>
          <w:iCs/>
          <w:sz w:val="22"/>
          <w:szCs w:val="22"/>
        </w:rPr>
        <w:t xml:space="preserve"> για το </w:t>
      </w:r>
      <w:r w:rsidR="009D7068" w:rsidRPr="009D7068">
        <w:rPr>
          <w:rFonts w:ascii="Arial" w:hAnsi="Arial" w:cs="Arial"/>
          <w:iCs/>
          <w:sz w:val="22"/>
          <w:szCs w:val="22"/>
          <w:lang w:val="en-US"/>
        </w:rPr>
        <w:t>Diclofenac</w:t>
      </w:r>
      <w:r w:rsidR="009D7068" w:rsidRPr="009D7068">
        <w:rPr>
          <w:rFonts w:ascii="Arial" w:hAnsi="Arial" w:cs="Arial"/>
          <w:iCs/>
          <w:sz w:val="22"/>
          <w:szCs w:val="22"/>
        </w:rPr>
        <w:t xml:space="preserve"> </w:t>
      </w:r>
      <w:r w:rsidR="009D7068" w:rsidRPr="009D7068">
        <w:rPr>
          <w:rFonts w:ascii="Arial" w:hAnsi="Arial" w:cs="Arial"/>
          <w:iCs/>
          <w:sz w:val="22"/>
          <w:szCs w:val="22"/>
          <w:lang w:val="en-US"/>
        </w:rPr>
        <w:t>sodium</w:t>
      </w:r>
      <w:r w:rsidR="009D7068" w:rsidRPr="009D7068">
        <w:rPr>
          <w:rFonts w:ascii="Arial" w:hAnsi="Arial" w:cs="Arial"/>
          <w:iCs/>
          <w:sz w:val="22"/>
          <w:szCs w:val="22"/>
        </w:rPr>
        <w:t xml:space="preserve"> 4%</w:t>
      </w:r>
      <w:r w:rsidR="00F76327" w:rsidRPr="003F23DE">
        <w:rPr>
          <w:rFonts w:ascii="Arial" w:hAnsi="Arial" w:cs="Arial"/>
          <w:iCs/>
          <w:sz w:val="22"/>
          <w:szCs w:val="22"/>
        </w:rPr>
        <w:t>: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5"/>
        <w:gridCol w:w="1721"/>
        <w:gridCol w:w="2011"/>
        <w:gridCol w:w="2011"/>
        <w:gridCol w:w="2347"/>
      </w:tblGrid>
      <w:tr w:rsidR="00F76327" w:rsidRPr="00BA3388" w:rsidTr="00AE72B9">
        <w:tc>
          <w:tcPr>
            <w:tcW w:w="1629" w:type="dxa"/>
          </w:tcPr>
          <w:p w:rsidR="00F76327" w:rsidRPr="00BA3388" w:rsidRDefault="00F76327" w:rsidP="00BA3388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b/>
                <w:iCs/>
              </w:rPr>
            </w:pPr>
            <w:r w:rsidRPr="00BA3388">
              <w:rPr>
                <w:rFonts w:ascii="Arial" w:hAnsi="Arial" w:cs="Arial"/>
                <w:b/>
                <w:iCs/>
              </w:rPr>
              <w:t>Οργανικό σύστημα</w:t>
            </w:r>
          </w:p>
        </w:tc>
        <w:tc>
          <w:tcPr>
            <w:tcW w:w="1456" w:type="dxa"/>
            <w:vAlign w:val="center"/>
          </w:tcPr>
          <w:p w:rsidR="00F76327" w:rsidRPr="00BA3388" w:rsidRDefault="00F76327" w:rsidP="00AE72B9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BA3388">
              <w:rPr>
                <w:rFonts w:ascii="Arial" w:hAnsi="Arial" w:cs="Arial"/>
                <w:b/>
                <w:iCs/>
              </w:rPr>
              <w:t>Πολύ συχνή</w:t>
            </w:r>
          </w:p>
          <w:p w:rsidR="00F76327" w:rsidRPr="00BA3388" w:rsidRDefault="00F76327" w:rsidP="00AE72B9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BA3388">
              <w:rPr>
                <w:rFonts w:ascii="Arial" w:hAnsi="Arial" w:cs="Arial"/>
                <w:b/>
                <w:iCs/>
              </w:rPr>
              <w:t>(&gt;1/10)</w:t>
            </w:r>
          </w:p>
        </w:tc>
        <w:tc>
          <w:tcPr>
            <w:tcW w:w="1701" w:type="dxa"/>
            <w:vAlign w:val="center"/>
          </w:tcPr>
          <w:p w:rsidR="00F76327" w:rsidRPr="00BA3388" w:rsidRDefault="00F76327" w:rsidP="00AE72B9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BA3388">
              <w:rPr>
                <w:rFonts w:ascii="Arial" w:hAnsi="Arial" w:cs="Arial"/>
                <w:b/>
                <w:iCs/>
              </w:rPr>
              <w:t>Συχνή</w:t>
            </w:r>
          </w:p>
          <w:p w:rsidR="00F76327" w:rsidRPr="00BA3388" w:rsidRDefault="00F76327" w:rsidP="00AE72B9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BA3388">
              <w:rPr>
                <w:rFonts w:ascii="Arial" w:hAnsi="Arial" w:cs="Arial"/>
                <w:b/>
                <w:iCs/>
              </w:rPr>
              <w:t>(&gt;1/100, &lt;1/10)</w:t>
            </w:r>
          </w:p>
        </w:tc>
        <w:tc>
          <w:tcPr>
            <w:tcW w:w="1701" w:type="dxa"/>
            <w:vAlign w:val="center"/>
          </w:tcPr>
          <w:p w:rsidR="00F76327" w:rsidRPr="00BA3388" w:rsidRDefault="00F76327" w:rsidP="00AE72B9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BA3388">
              <w:rPr>
                <w:rFonts w:ascii="Arial" w:hAnsi="Arial" w:cs="Arial"/>
                <w:b/>
                <w:iCs/>
              </w:rPr>
              <w:t>Μη συχνές</w:t>
            </w:r>
          </w:p>
          <w:p w:rsidR="00F76327" w:rsidRPr="00BA3388" w:rsidRDefault="00F76327" w:rsidP="00AE72B9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BA3388">
              <w:rPr>
                <w:rFonts w:ascii="Arial" w:hAnsi="Arial" w:cs="Arial"/>
                <w:b/>
                <w:iCs/>
              </w:rPr>
              <w:t>(&gt;1/1000, 1/100)</w:t>
            </w:r>
          </w:p>
        </w:tc>
        <w:tc>
          <w:tcPr>
            <w:tcW w:w="1985" w:type="dxa"/>
            <w:vAlign w:val="center"/>
          </w:tcPr>
          <w:p w:rsidR="00F76327" w:rsidRPr="00BA3388" w:rsidRDefault="00F76327" w:rsidP="00AE72B9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iCs/>
              </w:rPr>
            </w:pPr>
            <w:r w:rsidRPr="00BA3388">
              <w:rPr>
                <w:rFonts w:ascii="Arial" w:hAnsi="Arial" w:cs="Arial"/>
                <w:b/>
                <w:iCs/>
              </w:rPr>
              <w:t>Σπάνιες (&gt;1/10000, 1/1000)</w:t>
            </w:r>
          </w:p>
        </w:tc>
      </w:tr>
      <w:tr w:rsidR="00F76327" w:rsidRPr="00BA3388" w:rsidTr="00AE72B9">
        <w:tc>
          <w:tcPr>
            <w:tcW w:w="1629" w:type="dxa"/>
          </w:tcPr>
          <w:p w:rsidR="00F76327" w:rsidRPr="00BA3388" w:rsidRDefault="00F76327" w:rsidP="00BA3388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BA3388">
              <w:rPr>
                <w:rFonts w:ascii="Arial" w:hAnsi="Arial" w:cs="Arial"/>
                <w:iCs/>
              </w:rPr>
              <w:t>Δερματικές και υποδόριες διαταραχές</w:t>
            </w:r>
          </w:p>
        </w:tc>
        <w:tc>
          <w:tcPr>
            <w:tcW w:w="1456" w:type="dxa"/>
            <w:vAlign w:val="center"/>
          </w:tcPr>
          <w:p w:rsidR="00F76327" w:rsidRPr="00BA3388" w:rsidRDefault="00F76327" w:rsidP="00AE72B9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  <w:vAlign w:val="center"/>
          </w:tcPr>
          <w:p w:rsidR="00F76327" w:rsidRPr="00BA3388" w:rsidRDefault="00F76327" w:rsidP="00AE72B9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  <w:vAlign w:val="center"/>
          </w:tcPr>
          <w:p w:rsidR="00F76327" w:rsidRPr="00BA3388" w:rsidRDefault="00F76327" w:rsidP="00AE72B9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85" w:type="dxa"/>
            <w:vAlign w:val="center"/>
          </w:tcPr>
          <w:p w:rsidR="00F76327" w:rsidRPr="00BA3388" w:rsidRDefault="00F76327" w:rsidP="00AE72B9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</w:p>
        </w:tc>
      </w:tr>
      <w:tr w:rsidR="00F76327" w:rsidRPr="00BA3388" w:rsidTr="00AE72B9">
        <w:tc>
          <w:tcPr>
            <w:tcW w:w="1629" w:type="dxa"/>
          </w:tcPr>
          <w:p w:rsidR="00F76327" w:rsidRPr="00BA3388" w:rsidRDefault="00F76327" w:rsidP="00BA3388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BA3388">
              <w:rPr>
                <w:rFonts w:ascii="Arial" w:hAnsi="Arial" w:cs="Arial"/>
                <w:iCs/>
              </w:rPr>
              <w:t>Κνησμός</w:t>
            </w:r>
          </w:p>
        </w:tc>
        <w:tc>
          <w:tcPr>
            <w:tcW w:w="1456" w:type="dxa"/>
            <w:vAlign w:val="center"/>
          </w:tcPr>
          <w:p w:rsidR="00F76327" w:rsidRPr="00BA3388" w:rsidRDefault="00F76327" w:rsidP="00AE72B9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  <w:vAlign w:val="center"/>
          </w:tcPr>
          <w:p w:rsidR="00F76327" w:rsidRPr="00BA3388" w:rsidRDefault="00F76327" w:rsidP="00AE72B9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701" w:type="dxa"/>
            <w:vAlign w:val="center"/>
          </w:tcPr>
          <w:p w:rsidR="00F76327" w:rsidRPr="00BA3388" w:rsidRDefault="00F76327" w:rsidP="00AE72B9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BA3388">
              <w:rPr>
                <w:rFonts w:ascii="Arial" w:hAnsi="Arial" w:cs="Arial"/>
                <w:iCs/>
              </w:rPr>
              <w:t>0,9%</w:t>
            </w:r>
          </w:p>
        </w:tc>
        <w:tc>
          <w:tcPr>
            <w:tcW w:w="1985" w:type="dxa"/>
            <w:vAlign w:val="center"/>
          </w:tcPr>
          <w:p w:rsidR="00F76327" w:rsidRPr="00BA3388" w:rsidRDefault="00F76327" w:rsidP="00AE72B9">
            <w:pPr>
              <w:tabs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F76327" w:rsidRPr="003F23DE" w:rsidRDefault="00F76327" w:rsidP="003F23DE">
      <w:pPr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>Οι ανεπιθύμητες ενέργειες μπορεί να μειωθούν χρησιμοποιώντας τη</w:t>
      </w:r>
      <w:r w:rsidR="009D7068">
        <w:rPr>
          <w:rFonts w:ascii="Arial" w:hAnsi="Arial" w:cs="Arial"/>
          <w:iCs/>
          <w:sz w:val="22"/>
          <w:szCs w:val="22"/>
        </w:rPr>
        <w:t>ν</w:t>
      </w:r>
      <w:r w:rsidRPr="003F23DE">
        <w:rPr>
          <w:rFonts w:ascii="Arial" w:hAnsi="Arial" w:cs="Arial"/>
          <w:iCs/>
          <w:sz w:val="22"/>
          <w:szCs w:val="22"/>
        </w:rPr>
        <w:t xml:space="preserve"> </w:t>
      </w:r>
      <w:r w:rsidR="009D7068">
        <w:rPr>
          <w:rFonts w:ascii="Arial" w:hAnsi="Arial" w:cs="Arial"/>
          <w:iCs/>
          <w:sz w:val="22"/>
          <w:szCs w:val="22"/>
        </w:rPr>
        <w:t>ελάχιστη αποτελεσματική</w:t>
      </w:r>
      <w:r w:rsidRPr="003F23DE">
        <w:rPr>
          <w:rFonts w:ascii="Arial" w:hAnsi="Arial" w:cs="Arial"/>
          <w:iCs/>
          <w:sz w:val="22"/>
          <w:szCs w:val="22"/>
        </w:rPr>
        <w:t xml:space="preserve"> δόση και το μικρότερο δυνατόν χρονικό διάστημα</w:t>
      </w:r>
      <w:r w:rsidR="00875E28">
        <w:rPr>
          <w:rFonts w:ascii="Arial" w:hAnsi="Arial" w:cs="Arial"/>
          <w:iCs/>
          <w:sz w:val="22"/>
          <w:szCs w:val="22"/>
        </w:rPr>
        <w:t xml:space="preserve"> θεραπείας</w:t>
      </w:r>
      <w:r w:rsidRPr="003F23DE">
        <w:rPr>
          <w:rFonts w:ascii="Arial" w:hAnsi="Arial" w:cs="Arial"/>
          <w:iCs/>
          <w:sz w:val="22"/>
          <w:szCs w:val="22"/>
        </w:rPr>
        <w:t xml:space="preserve">. Η συνολική δόση του φαρμάκου δεν θα πρέπει να υπερβαίνει το 1 </w:t>
      </w:r>
      <w:r w:rsidRPr="003F23DE">
        <w:rPr>
          <w:rFonts w:ascii="Arial" w:hAnsi="Arial" w:cs="Arial"/>
          <w:iCs/>
          <w:sz w:val="22"/>
          <w:szCs w:val="22"/>
          <w:lang w:val="en-US"/>
        </w:rPr>
        <w:t>g</w:t>
      </w:r>
      <w:r w:rsidRPr="003F23DE">
        <w:rPr>
          <w:rFonts w:ascii="Arial" w:hAnsi="Arial" w:cs="Arial"/>
          <w:iCs/>
          <w:sz w:val="22"/>
          <w:szCs w:val="22"/>
        </w:rPr>
        <w:t xml:space="preserve">. </w:t>
      </w:r>
    </w:p>
    <w:p w:rsidR="00F76327" w:rsidRPr="003F23DE" w:rsidRDefault="00F76327" w:rsidP="003F23DE">
      <w:pPr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 xml:space="preserve">Παρόλα αυτά, </w:t>
      </w:r>
      <w:r w:rsidR="009D7068">
        <w:rPr>
          <w:rFonts w:ascii="Arial" w:hAnsi="Arial" w:cs="Arial"/>
          <w:iCs/>
          <w:sz w:val="22"/>
          <w:szCs w:val="22"/>
        </w:rPr>
        <w:t>κατά τη</w:t>
      </w:r>
      <w:r w:rsidRPr="003F23DE">
        <w:rPr>
          <w:rFonts w:ascii="Arial" w:hAnsi="Arial" w:cs="Arial"/>
          <w:iCs/>
          <w:sz w:val="22"/>
          <w:szCs w:val="22"/>
        </w:rPr>
        <w:t xml:space="preserve"> μακροχρόνια θεραπεία (&gt;3 εβδομάδες) και/ ή όταν θεραπεύονται μεγάλες επιφάνειες (</w:t>
      </w:r>
      <w:r w:rsidR="009D7068">
        <w:rPr>
          <w:rFonts w:ascii="Arial" w:hAnsi="Arial" w:cs="Arial"/>
          <w:iCs/>
          <w:sz w:val="22"/>
          <w:szCs w:val="22"/>
        </w:rPr>
        <w:t xml:space="preserve">δηλ. </w:t>
      </w:r>
      <w:r w:rsidRPr="003F23DE">
        <w:rPr>
          <w:rFonts w:ascii="Arial" w:hAnsi="Arial" w:cs="Arial"/>
          <w:iCs/>
          <w:sz w:val="22"/>
          <w:szCs w:val="22"/>
        </w:rPr>
        <w:t xml:space="preserve">περισσότερο από 600 </w:t>
      </w:r>
      <w:r w:rsidRPr="003F23DE">
        <w:rPr>
          <w:rFonts w:ascii="Arial" w:hAnsi="Arial" w:cs="Arial"/>
          <w:iCs/>
          <w:sz w:val="22"/>
          <w:szCs w:val="22"/>
          <w:lang w:val="en-US"/>
        </w:rPr>
        <w:t>cm</w:t>
      </w:r>
      <w:r w:rsidRPr="003F23DE">
        <w:rPr>
          <w:rFonts w:ascii="Arial" w:hAnsi="Arial" w:cs="Arial"/>
          <w:iCs/>
          <w:sz w:val="22"/>
          <w:szCs w:val="22"/>
          <w:vertAlign w:val="superscript"/>
        </w:rPr>
        <w:t>2</w:t>
      </w:r>
      <w:r w:rsidR="00C25C59">
        <w:rPr>
          <w:rFonts w:ascii="Arial" w:hAnsi="Arial" w:cs="Arial"/>
          <w:iCs/>
          <w:sz w:val="22"/>
          <w:szCs w:val="22"/>
        </w:rPr>
        <w:t xml:space="preserve"> δέρματος</w:t>
      </w:r>
      <w:r w:rsidRPr="003F23DE">
        <w:rPr>
          <w:rFonts w:ascii="Arial" w:hAnsi="Arial" w:cs="Arial"/>
          <w:iCs/>
          <w:sz w:val="22"/>
          <w:szCs w:val="22"/>
        </w:rPr>
        <w:t xml:space="preserve">) υπάρχει η πιθανότητα να εμφανιστούν συστηματικές </w:t>
      </w:r>
      <w:r w:rsidR="009D7068">
        <w:rPr>
          <w:rFonts w:ascii="Arial" w:hAnsi="Arial" w:cs="Arial"/>
          <w:iCs/>
          <w:sz w:val="22"/>
          <w:szCs w:val="22"/>
        </w:rPr>
        <w:t>ανεπιθύμητες ενέργειες</w:t>
      </w:r>
      <w:r w:rsidRPr="003F23DE">
        <w:rPr>
          <w:rFonts w:ascii="Arial" w:hAnsi="Arial" w:cs="Arial"/>
          <w:iCs/>
          <w:sz w:val="22"/>
          <w:szCs w:val="22"/>
        </w:rPr>
        <w:t xml:space="preserve">. Αντιδράσεις όπως κοιλιακό άλγος, δυσπεψία, γαστρικές ή νεφρικές διαταραχές μπορεί να εμφανιστούν. </w:t>
      </w:r>
    </w:p>
    <w:p w:rsidR="00F76327" w:rsidRPr="003F23DE" w:rsidRDefault="00F76327" w:rsidP="003F23DE">
      <w:pPr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>Σπανίως, έχει αναφερθεί η εκδήλωση άσθματος σε ασθενείς που χρησιμοποιούν μη στεροειδή αντιφλεγμονώδη φάρμακα (</w:t>
      </w:r>
      <w:r w:rsidR="00875E28">
        <w:rPr>
          <w:rFonts w:ascii="Arial" w:hAnsi="Arial" w:cs="Arial"/>
          <w:iCs/>
          <w:sz w:val="22"/>
          <w:szCs w:val="22"/>
        </w:rPr>
        <w:t>ΜΣΑΦ</w:t>
      </w:r>
      <w:r w:rsidRPr="003F23DE">
        <w:rPr>
          <w:rFonts w:ascii="Arial" w:hAnsi="Arial" w:cs="Arial"/>
          <w:iCs/>
          <w:sz w:val="22"/>
          <w:szCs w:val="22"/>
        </w:rPr>
        <w:t>). Σε μεμονωμένες περιπτώσεις έχ</w:t>
      </w:r>
      <w:r w:rsidR="009D7068">
        <w:rPr>
          <w:rFonts w:ascii="Arial" w:hAnsi="Arial" w:cs="Arial"/>
          <w:iCs/>
          <w:sz w:val="22"/>
          <w:szCs w:val="22"/>
        </w:rPr>
        <w:t>ουν</w:t>
      </w:r>
      <w:r w:rsidRPr="003F23DE">
        <w:rPr>
          <w:rFonts w:ascii="Arial" w:hAnsi="Arial" w:cs="Arial"/>
          <w:iCs/>
          <w:sz w:val="22"/>
          <w:szCs w:val="22"/>
        </w:rPr>
        <w:t xml:space="preserve"> αναφερθεί γενικευμένο δερματικό εξάνθημα, αντιδράσεις υπερευ</w:t>
      </w:r>
      <w:r w:rsidR="001D3A98" w:rsidRPr="003F23DE">
        <w:rPr>
          <w:rFonts w:ascii="Arial" w:hAnsi="Arial" w:cs="Arial"/>
          <w:iCs/>
          <w:sz w:val="22"/>
          <w:szCs w:val="22"/>
        </w:rPr>
        <w:t xml:space="preserve">αισθησίας όπως αγγειοοίδημα και αντιδράσεις φωτοευαισθησίας. </w:t>
      </w:r>
    </w:p>
    <w:p w:rsidR="003636D0" w:rsidRPr="003F23DE" w:rsidRDefault="003636D0" w:rsidP="003F23DE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</w:p>
    <w:p w:rsidR="00012495" w:rsidRPr="003F23DE" w:rsidRDefault="00F46D83" w:rsidP="003F23DE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 xml:space="preserve"> </w:t>
      </w:r>
      <w:r w:rsidR="00012495" w:rsidRPr="003F23DE">
        <w:rPr>
          <w:rFonts w:ascii="Arial" w:hAnsi="Arial" w:cs="Arial"/>
          <w:b/>
          <w:iCs/>
          <w:sz w:val="22"/>
          <w:szCs w:val="22"/>
        </w:rPr>
        <w:t xml:space="preserve">4.9. </w:t>
      </w:r>
      <w:r w:rsidR="00012495" w:rsidRPr="003F23DE">
        <w:rPr>
          <w:rFonts w:ascii="Arial" w:hAnsi="Arial" w:cs="Arial"/>
          <w:b/>
          <w:iCs/>
          <w:sz w:val="22"/>
          <w:szCs w:val="22"/>
        </w:rPr>
        <w:tab/>
        <w:t>Υπερδοσολογία</w:t>
      </w:r>
    </w:p>
    <w:p w:rsidR="00E20F32" w:rsidRPr="003F23DE" w:rsidRDefault="001D3A98" w:rsidP="003F23DE">
      <w:pPr>
        <w:spacing w:line="360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b/>
          <w:iCs/>
          <w:sz w:val="22"/>
          <w:szCs w:val="22"/>
        </w:rPr>
        <w:tab/>
      </w:r>
      <w:r w:rsidRPr="003F23DE">
        <w:rPr>
          <w:rFonts w:ascii="Arial" w:hAnsi="Arial" w:cs="Arial"/>
          <w:iCs/>
          <w:sz w:val="22"/>
          <w:szCs w:val="22"/>
        </w:rPr>
        <w:t xml:space="preserve">Όταν χορηγείται η συνιστώμενη δοσολογία, δεν υπάρχει ουσιαστικά κίνδυνος υπερδοσολογίας. Αν </w:t>
      </w:r>
      <w:r w:rsidR="00F671C2">
        <w:rPr>
          <w:rFonts w:ascii="Arial" w:hAnsi="Arial" w:cs="Arial"/>
          <w:iCs/>
          <w:sz w:val="22"/>
          <w:szCs w:val="22"/>
        </w:rPr>
        <w:t xml:space="preserve">κατά λάθος </w:t>
      </w:r>
      <w:r w:rsidRPr="003F23DE">
        <w:rPr>
          <w:rFonts w:ascii="Arial" w:hAnsi="Arial" w:cs="Arial"/>
          <w:iCs/>
          <w:sz w:val="22"/>
          <w:szCs w:val="22"/>
        </w:rPr>
        <w:t xml:space="preserve">χορηγηθεί το δερματικό διάλυμα </w:t>
      </w:r>
      <w:r w:rsidRPr="003F23DE">
        <w:rPr>
          <w:rFonts w:ascii="Arial" w:hAnsi="Arial" w:cs="Arial"/>
          <w:iCs/>
          <w:sz w:val="22"/>
          <w:szCs w:val="22"/>
          <w:lang w:val="en-US"/>
        </w:rPr>
        <w:t>PAIN</w:t>
      </w:r>
      <w:r w:rsidRPr="003F23DE">
        <w:rPr>
          <w:rFonts w:ascii="Arial" w:hAnsi="Arial" w:cs="Arial"/>
          <w:iCs/>
          <w:sz w:val="22"/>
          <w:szCs w:val="22"/>
        </w:rPr>
        <w:t>-</w:t>
      </w:r>
      <w:r w:rsidRPr="003F23DE">
        <w:rPr>
          <w:rFonts w:ascii="Arial" w:hAnsi="Arial" w:cs="Arial"/>
          <w:iCs/>
          <w:sz w:val="22"/>
          <w:szCs w:val="22"/>
          <w:lang w:val="en-US"/>
        </w:rPr>
        <w:t>OUT</w:t>
      </w:r>
      <w:r w:rsidRPr="003F23DE">
        <w:rPr>
          <w:rFonts w:ascii="Arial" w:hAnsi="Arial" w:cs="Arial"/>
          <w:iCs/>
          <w:sz w:val="22"/>
          <w:szCs w:val="22"/>
        </w:rPr>
        <w:t xml:space="preserve">, </w:t>
      </w:r>
      <w:r w:rsidRPr="003F23DE">
        <w:rPr>
          <w:rFonts w:ascii="Arial" w:hAnsi="Arial" w:cs="Arial"/>
          <w:iCs/>
          <w:sz w:val="22"/>
          <w:szCs w:val="22"/>
          <w:lang w:val="en-US"/>
        </w:rPr>
        <w:t>Diclofenac</w:t>
      </w:r>
      <w:r w:rsidRPr="003F23DE">
        <w:rPr>
          <w:rFonts w:ascii="Arial" w:hAnsi="Arial" w:cs="Arial"/>
          <w:iCs/>
          <w:sz w:val="22"/>
          <w:szCs w:val="22"/>
        </w:rPr>
        <w:t xml:space="preserve"> </w:t>
      </w:r>
      <w:r w:rsidRPr="003F23DE">
        <w:rPr>
          <w:rFonts w:ascii="Arial" w:hAnsi="Arial" w:cs="Arial"/>
          <w:iCs/>
          <w:sz w:val="22"/>
          <w:szCs w:val="22"/>
          <w:lang w:val="en-US"/>
        </w:rPr>
        <w:t>sodium</w:t>
      </w:r>
      <w:r w:rsidRPr="003F23DE">
        <w:rPr>
          <w:rFonts w:ascii="Arial" w:hAnsi="Arial" w:cs="Arial"/>
          <w:iCs/>
          <w:sz w:val="22"/>
          <w:szCs w:val="22"/>
        </w:rPr>
        <w:t xml:space="preserve"> 4% από το στόμα, συνιστάται συμπτωματική θεραπεία. </w:t>
      </w:r>
    </w:p>
    <w:p w:rsidR="001D3A98" w:rsidRDefault="001D3A98" w:rsidP="003F23DE">
      <w:pPr>
        <w:spacing w:line="360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</w:p>
    <w:p w:rsidR="00012495" w:rsidRPr="003F23DE" w:rsidRDefault="00012495" w:rsidP="003F23DE">
      <w:pPr>
        <w:spacing w:line="360" w:lineRule="auto"/>
        <w:ind w:left="567" w:hanging="567"/>
        <w:jc w:val="both"/>
        <w:rPr>
          <w:rFonts w:ascii="Arial" w:hAnsi="Arial" w:cs="Arial"/>
          <w:b/>
          <w:iCs/>
          <w:sz w:val="22"/>
          <w:szCs w:val="22"/>
          <w:u w:val="single"/>
          <w:lang w:val="en-US"/>
        </w:rPr>
      </w:pPr>
      <w:r w:rsidRPr="003F23DE">
        <w:rPr>
          <w:rFonts w:ascii="Arial" w:hAnsi="Arial" w:cs="Arial"/>
          <w:b/>
          <w:iCs/>
          <w:sz w:val="22"/>
          <w:szCs w:val="22"/>
        </w:rPr>
        <w:t xml:space="preserve">5. </w:t>
      </w:r>
      <w:r w:rsidRPr="003F23DE">
        <w:rPr>
          <w:rFonts w:ascii="Arial" w:hAnsi="Arial" w:cs="Arial"/>
          <w:b/>
          <w:iCs/>
          <w:sz w:val="22"/>
          <w:szCs w:val="22"/>
        </w:rPr>
        <w:tab/>
        <w:t>ΦΑΡΜΑΚΟΛΟΓΙΚΕΣ ΙΔΙΟΤΗΤΕΣ</w:t>
      </w:r>
    </w:p>
    <w:p w:rsidR="00012495" w:rsidRPr="003F23DE" w:rsidRDefault="00012495" w:rsidP="003F23DE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3F23DE">
        <w:rPr>
          <w:rFonts w:ascii="Arial" w:hAnsi="Arial" w:cs="Arial"/>
          <w:b/>
          <w:iCs/>
          <w:sz w:val="22"/>
          <w:szCs w:val="22"/>
        </w:rPr>
        <w:t>Φαρμακοδυναμικές ιδιότητες</w:t>
      </w:r>
    </w:p>
    <w:p w:rsidR="007460B6" w:rsidRPr="003F23DE" w:rsidRDefault="007460B6" w:rsidP="003F23DE">
      <w:pPr>
        <w:spacing w:line="360" w:lineRule="auto"/>
        <w:ind w:left="570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3F23DE">
        <w:rPr>
          <w:rFonts w:ascii="Arial" w:hAnsi="Arial" w:cs="Arial"/>
          <w:iCs/>
          <w:sz w:val="22"/>
          <w:szCs w:val="22"/>
          <w:u w:val="single"/>
        </w:rPr>
        <w:t xml:space="preserve">Φαρμακοθεραπευτική </w:t>
      </w:r>
      <w:r w:rsidR="00875E28">
        <w:rPr>
          <w:rFonts w:ascii="Arial" w:hAnsi="Arial" w:cs="Arial"/>
          <w:iCs/>
          <w:sz w:val="22"/>
          <w:szCs w:val="22"/>
          <w:u w:val="single"/>
        </w:rPr>
        <w:t>κατηγορία</w:t>
      </w:r>
    </w:p>
    <w:p w:rsidR="002946E4" w:rsidRPr="003F23DE" w:rsidRDefault="00395217" w:rsidP="003F23DE">
      <w:pPr>
        <w:spacing w:line="360" w:lineRule="auto"/>
        <w:ind w:left="570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>Αντιφλεγμονώδη σκευάσματα, μη-στεροειδή για τοπική χρήση</w:t>
      </w:r>
      <w:r w:rsidR="002946E4" w:rsidRPr="003F23DE">
        <w:rPr>
          <w:rFonts w:ascii="Arial" w:hAnsi="Arial" w:cs="Arial"/>
          <w:iCs/>
          <w:sz w:val="22"/>
          <w:szCs w:val="22"/>
        </w:rPr>
        <w:t>.</w:t>
      </w:r>
    </w:p>
    <w:p w:rsidR="00395217" w:rsidRPr="003F23DE" w:rsidRDefault="00875E28" w:rsidP="003F23DE">
      <w:pPr>
        <w:spacing w:line="360" w:lineRule="auto"/>
        <w:ind w:left="570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>Κωδικός</w:t>
      </w:r>
      <w:r w:rsidRPr="00875E28">
        <w:rPr>
          <w:rFonts w:ascii="Arial" w:hAnsi="Arial" w:cs="Arial"/>
          <w:iCs/>
          <w:sz w:val="22"/>
          <w:szCs w:val="22"/>
        </w:rPr>
        <w:t xml:space="preserve"> </w:t>
      </w:r>
      <w:r w:rsidR="00395217" w:rsidRPr="003F23DE">
        <w:rPr>
          <w:rFonts w:ascii="Arial" w:hAnsi="Arial" w:cs="Arial"/>
          <w:iCs/>
          <w:sz w:val="22"/>
          <w:szCs w:val="22"/>
          <w:lang w:val="en-US"/>
        </w:rPr>
        <w:t>ATC</w:t>
      </w:r>
      <w:r w:rsidR="00395217" w:rsidRPr="003F23DE">
        <w:rPr>
          <w:rFonts w:ascii="Arial" w:hAnsi="Arial" w:cs="Arial"/>
          <w:iCs/>
          <w:sz w:val="22"/>
          <w:szCs w:val="22"/>
        </w:rPr>
        <w:t xml:space="preserve">: </w:t>
      </w:r>
      <w:r w:rsidR="00395217" w:rsidRPr="003F23DE">
        <w:rPr>
          <w:rFonts w:ascii="Arial" w:hAnsi="Arial" w:cs="Arial"/>
          <w:iCs/>
          <w:sz w:val="22"/>
          <w:szCs w:val="22"/>
          <w:lang w:val="en-US"/>
        </w:rPr>
        <w:t>M</w:t>
      </w:r>
      <w:r w:rsidR="00395217" w:rsidRPr="003F23DE">
        <w:rPr>
          <w:rFonts w:ascii="Arial" w:hAnsi="Arial" w:cs="Arial"/>
          <w:iCs/>
          <w:sz w:val="22"/>
          <w:szCs w:val="22"/>
        </w:rPr>
        <w:t>02</w:t>
      </w:r>
      <w:r w:rsidR="00395217" w:rsidRPr="003F23DE">
        <w:rPr>
          <w:rFonts w:ascii="Arial" w:hAnsi="Arial" w:cs="Arial"/>
          <w:iCs/>
          <w:sz w:val="22"/>
          <w:szCs w:val="22"/>
          <w:lang w:val="en-US"/>
        </w:rPr>
        <w:t>A</w:t>
      </w:r>
      <w:r w:rsidR="00395217" w:rsidRPr="003F23DE">
        <w:rPr>
          <w:rFonts w:ascii="Arial" w:hAnsi="Arial" w:cs="Arial"/>
          <w:iCs/>
          <w:sz w:val="22"/>
          <w:szCs w:val="22"/>
        </w:rPr>
        <w:t xml:space="preserve"> </w:t>
      </w:r>
      <w:r w:rsidR="00395217" w:rsidRPr="003F23DE">
        <w:rPr>
          <w:rFonts w:ascii="Arial" w:hAnsi="Arial" w:cs="Arial"/>
          <w:iCs/>
          <w:sz w:val="22"/>
          <w:szCs w:val="22"/>
          <w:lang w:val="en-US"/>
        </w:rPr>
        <w:t>A</w:t>
      </w:r>
      <w:r w:rsidR="00395217" w:rsidRPr="003F23DE">
        <w:rPr>
          <w:rFonts w:ascii="Arial" w:hAnsi="Arial" w:cs="Arial"/>
          <w:iCs/>
          <w:sz w:val="22"/>
          <w:szCs w:val="22"/>
        </w:rPr>
        <w:t>15</w:t>
      </w:r>
    </w:p>
    <w:p w:rsidR="002946E4" w:rsidRPr="003F23DE" w:rsidRDefault="00395217" w:rsidP="003F23DE">
      <w:pPr>
        <w:spacing w:line="360" w:lineRule="auto"/>
        <w:ind w:left="570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 xml:space="preserve">Το </w:t>
      </w:r>
      <w:r w:rsidR="00CE3A54" w:rsidRPr="003F23DE">
        <w:rPr>
          <w:rFonts w:ascii="Arial" w:hAnsi="Arial" w:cs="Arial"/>
          <w:iCs/>
          <w:sz w:val="22"/>
          <w:szCs w:val="22"/>
        </w:rPr>
        <w:t xml:space="preserve"> </w:t>
      </w:r>
      <w:r w:rsidRPr="003F23DE">
        <w:rPr>
          <w:rFonts w:ascii="Arial" w:hAnsi="Arial" w:cs="Arial"/>
          <w:iCs/>
          <w:sz w:val="22"/>
          <w:szCs w:val="22"/>
          <w:lang w:val="en-US"/>
        </w:rPr>
        <w:t>Diclofenac</w:t>
      </w:r>
      <w:r w:rsidRPr="003F23DE">
        <w:rPr>
          <w:rFonts w:ascii="Arial" w:hAnsi="Arial" w:cs="Arial"/>
          <w:iCs/>
          <w:sz w:val="22"/>
          <w:szCs w:val="22"/>
        </w:rPr>
        <w:t xml:space="preserve"> </w:t>
      </w:r>
      <w:r w:rsidRPr="003F23DE">
        <w:rPr>
          <w:rFonts w:ascii="Arial" w:hAnsi="Arial" w:cs="Arial"/>
          <w:iCs/>
          <w:sz w:val="22"/>
          <w:szCs w:val="22"/>
          <w:lang w:val="en-US"/>
        </w:rPr>
        <w:t>sodium</w:t>
      </w:r>
      <w:r w:rsidRPr="003F23DE">
        <w:rPr>
          <w:rFonts w:ascii="Arial" w:hAnsi="Arial" w:cs="Arial"/>
          <w:iCs/>
          <w:sz w:val="22"/>
          <w:szCs w:val="22"/>
        </w:rPr>
        <w:t xml:space="preserve"> </w:t>
      </w:r>
      <w:r w:rsidR="00CE3A54" w:rsidRPr="003F23DE">
        <w:rPr>
          <w:rFonts w:ascii="Arial" w:hAnsi="Arial" w:cs="Arial"/>
          <w:iCs/>
          <w:sz w:val="22"/>
          <w:szCs w:val="22"/>
        </w:rPr>
        <w:t>είναι ένα μη στεροειδές</w:t>
      </w:r>
      <w:r w:rsidRPr="003F23DE">
        <w:rPr>
          <w:rFonts w:ascii="Arial" w:hAnsi="Arial" w:cs="Arial"/>
          <w:iCs/>
          <w:sz w:val="22"/>
          <w:szCs w:val="22"/>
        </w:rPr>
        <w:t>,</w:t>
      </w:r>
      <w:r w:rsidR="00CE3A54" w:rsidRPr="003F23DE">
        <w:rPr>
          <w:rFonts w:ascii="Arial" w:hAnsi="Arial" w:cs="Arial"/>
          <w:iCs/>
          <w:sz w:val="22"/>
          <w:szCs w:val="22"/>
        </w:rPr>
        <w:t xml:space="preserve"> αντιφλεγμονώδες</w:t>
      </w:r>
      <w:r w:rsidRPr="003F23DE">
        <w:rPr>
          <w:rFonts w:ascii="Arial" w:hAnsi="Arial" w:cs="Arial"/>
          <w:iCs/>
          <w:sz w:val="22"/>
          <w:szCs w:val="22"/>
        </w:rPr>
        <w:t xml:space="preserve"> φάρμακο</w:t>
      </w:r>
      <w:r w:rsidR="00CE3A54" w:rsidRPr="003F23DE">
        <w:rPr>
          <w:rFonts w:ascii="Arial" w:hAnsi="Arial" w:cs="Arial"/>
          <w:iCs/>
          <w:sz w:val="22"/>
          <w:szCs w:val="22"/>
        </w:rPr>
        <w:t xml:space="preserve"> </w:t>
      </w:r>
      <w:r w:rsidRPr="003F23DE">
        <w:rPr>
          <w:rFonts w:ascii="Arial" w:hAnsi="Arial" w:cs="Arial"/>
          <w:iCs/>
          <w:sz w:val="22"/>
          <w:szCs w:val="22"/>
        </w:rPr>
        <w:t xml:space="preserve">που έχει </w:t>
      </w:r>
      <w:r w:rsidR="009D7068">
        <w:rPr>
          <w:rFonts w:ascii="Arial" w:hAnsi="Arial" w:cs="Arial"/>
          <w:iCs/>
          <w:sz w:val="22"/>
          <w:szCs w:val="22"/>
        </w:rPr>
        <w:t xml:space="preserve">επίσης </w:t>
      </w:r>
      <w:r w:rsidR="00875E28">
        <w:rPr>
          <w:rFonts w:ascii="Arial" w:hAnsi="Arial" w:cs="Arial"/>
          <w:iCs/>
          <w:sz w:val="22"/>
          <w:szCs w:val="22"/>
        </w:rPr>
        <w:t>και</w:t>
      </w:r>
      <w:r w:rsidRPr="003F23DE">
        <w:rPr>
          <w:rFonts w:ascii="Arial" w:hAnsi="Arial" w:cs="Arial"/>
          <w:iCs/>
          <w:sz w:val="22"/>
          <w:szCs w:val="22"/>
        </w:rPr>
        <w:t xml:space="preserve"> </w:t>
      </w:r>
      <w:r w:rsidR="00CE3A54" w:rsidRPr="003F23DE">
        <w:rPr>
          <w:rFonts w:ascii="Arial" w:hAnsi="Arial" w:cs="Arial"/>
          <w:iCs/>
          <w:sz w:val="22"/>
          <w:szCs w:val="22"/>
        </w:rPr>
        <w:t>αναλγητικές ιδιότητες.</w:t>
      </w:r>
      <w:r w:rsidRPr="003F23DE">
        <w:rPr>
          <w:rFonts w:ascii="Arial" w:hAnsi="Arial" w:cs="Arial"/>
          <w:iCs/>
          <w:sz w:val="22"/>
          <w:szCs w:val="22"/>
        </w:rPr>
        <w:t xml:space="preserve"> </w:t>
      </w:r>
      <w:r w:rsidR="002946E4" w:rsidRPr="003F23DE">
        <w:rPr>
          <w:rFonts w:ascii="Arial" w:hAnsi="Arial" w:cs="Arial"/>
          <w:iCs/>
          <w:sz w:val="22"/>
          <w:szCs w:val="22"/>
        </w:rPr>
        <w:t xml:space="preserve">Η αναστολή της σύνθεσης των προσταγλανδινών </w:t>
      </w:r>
      <w:r w:rsidR="008928F7" w:rsidRPr="003F23DE">
        <w:rPr>
          <w:rFonts w:ascii="Arial" w:hAnsi="Arial" w:cs="Arial"/>
          <w:iCs/>
          <w:sz w:val="22"/>
          <w:szCs w:val="22"/>
        </w:rPr>
        <w:t xml:space="preserve">θεωρείται σημαντικό </w:t>
      </w:r>
      <w:r w:rsidR="00875E28">
        <w:rPr>
          <w:rFonts w:ascii="Arial" w:hAnsi="Arial" w:cs="Arial"/>
          <w:iCs/>
          <w:sz w:val="22"/>
          <w:szCs w:val="22"/>
        </w:rPr>
        <w:t>μέρος</w:t>
      </w:r>
      <w:r w:rsidR="008928F7" w:rsidRPr="003F23DE">
        <w:rPr>
          <w:rFonts w:ascii="Arial" w:hAnsi="Arial" w:cs="Arial"/>
          <w:iCs/>
          <w:sz w:val="22"/>
          <w:szCs w:val="22"/>
        </w:rPr>
        <w:t xml:space="preserve"> του μηχανισμού δράσης τ</w:t>
      </w:r>
      <w:r w:rsidR="00875E28">
        <w:rPr>
          <w:rFonts w:ascii="Arial" w:hAnsi="Arial" w:cs="Arial"/>
          <w:iCs/>
          <w:sz w:val="22"/>
          <w:szCs w:val="22"/>
        </w:rPr>
        <w:t xml:space="preserve">ου </w:t>
      </w:r>
      <w:r w:rsidR="00875E28">
        <w:rPr>
          <w:rFonts w:ascii="Arial" w:hAnsi="Arial" w:cs="Arial"/>
          <w:iCs/>
          <w:sz w:val="22"/>
          <w:szCs w:val="22"/>
          <w:lang w:val="en-US"/>
        </w:rPr>
        <w:t>Diclofenac</w:t>
      </w:r>
      <w:r w:rsidR="00875E28" w:rsidRPr="00875E28">
        <w:rPr>
          <w:rFonts w:ascii="Arial" w:hAnsi="Arial" w:cs="Arial"/>
          <w:iCs/>
          <w:sz w:val="22"/>
          <w:szCs w:val="22"/>
        </w:rPr>
        <w:t xml:space="preserve"> </w:t>
      </w:r>
      <w:r w:rsidR="00875E28">
        <w:rPr>
          <w:rFonts w:ascii="Arial" w:hAnsi="Arial" w:cs="Arial"/>
          <w:iCs/>
          <w:sz w:val="22"/>
          <w:szCs w:val="22"/>
          <w:lang w:val="en-US"/>
        </w:rPr>
        <w:t>sodium</w:t>
      </w:r>
      <w:r w:rsidR="008928F7" w:rsidRPr="003F23DE">
        <w:rPr>
          <w:rFonts w:ascii="Arial" w:hAnsi="Arial" w:cs="Arial"/>
          <w:iCs/>
          <w:sz w:val="22"/>
          <w:szCs w:val="22"/>
        </w:rPr>
        <w:t>.</w:t>
      </w:r>
    </w:p>
    <w:p w:rsidR="00F671C2" w:rsidRPr="004460CD" w:rsidRDefault="00F671C2" w:rsidP="003F23DE">
      <w:pPr>
        <w:spacing w:line="360" w:lineRule="auto"/>
        <w:jc w:val="both"/>
        <w:rPr>
          <w:rFonts w:ascii="Arial" w:hAnsi="Arial" w:cs="Arial"/>
          <w:iCs/>
          <w:sz w:val="22"/>
          <w:szCs w:val="22"/>
          <w:lang w:val="en-US"/>
        </w:rPr>
      </w:pPr>
    </w:p>
    <w:p w:rsidR="00705BAF" w:rsidRPr="003F23DE" w:rsidRDefault="00012495" w:rsidP="003F23DE">
      <w:pPr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iCs/>
          <w:sz w:val="22"/>
          <w:szCs w:val="22"/>
          <w:lang w:val="en-US"/>
        </w:rPr>
      </w:pPr>
      <w:r w:rsidRPr="003F23DE">
        <w:rPr>
          <w:rFonts w:ascii="Arial" w:hAnsi="Arial" w:cs="Arial"/>
          <w:b/>
          <w:iCs/>
          <w:sz w:val="22"/>
          <w:szCs w:val="22"/>
        </w:rPr>
        <w:t>Φαρμακοκινητικές ιδιότητες</w:t>
      </w:r>
    </w:p>
    <w:p w:rsidR="00012495" w:rsidRPr="003F23DE" w:rsidRDefault="00705BAF" w:rsidP="003F23DE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F23DE">
        <w:rPr>
          <w:rFonts w:ascii="Arial" w:hAnsi="Arial" w:cs="Arial"/>
          <w:sz w:val="22"/>
          <w:szCs w:val="22"/>
        </w:rPr>
        <w:t xml:space="preserve">Μετά από την τοπική εφαρμογή </w:t>
      </w:r>
      <w:r w:rsidR="003873AE" w:rsidRPr="003F23DE">
        <w:rPr>
          <w:rFonts w:ascii="Arial" w:hAnsi="Arial" w:cs="Arial"/>
          <w:sz w:val="22"/>
          <w:szCs w:val="22"/>
        </w:rPr>
        <w:t xml:space="preserve">1,5 </w:t>
      </w:r>
      <w:r w:rsidR="003873AE" w:rsidRPr="003F23DE">
        <w:rPr>
          <w:rFonts w:ascii="Arial" w:hAnsi="Arial" w:cs="Arial"/>
          <w:sz w:val="22"/>
          <w:szCs w:val="22"/>
          <w:lang w:val="en-US"/>
        </w:rPr>
        <w:t>g</w:t>
      </w:r>
      <w:r w:rsidR="003873AE" w:rsidRPr="003F23DE">
        <w:rPr>
          <w:rFonts w:ascii="Arial" w:hAnsi="Arial" w:cs="Arial"/>
          <w:sz w:val="22"/>
          <w:szCs w:val="22"/>
        </w:rPr>
        <w:t xml:space="preserve"> δερματικού διαλύματος </w:t>
      </w:r>
      <w:r w:rsidR="003873AE" w:rsidRPr="003F23DE">
        <w:rPr>
          <w:rFonts w:ascii="Arial" w:hAnsi="Arial" w:cs="Arial"/>
          <w:sz w:val="22"/>
          <w:szCs w:val="22"/>
          <w:lang w:val="en-US"/>
        </w:rPr>
        <w:t>Diclofenac</w:t>
      </w:r>
      <w:r w:rsidR="003873AE" w:rsidRPr="003F23DE">
        <w:rPr>
          <w:rFonts w:ascii="Arial" w:hAnsi="Arial" w:cs="Arial"/>
          <w:sz w:val="22"/>
          <w:szCs w:val="22"/>
        </w:rPr>
        <w:t xml:space="preserve"> </w:t>
      </w:r>
      <w:r w:rsidR="003873AE" w:rsidRPr="003F23DE">
        <w:rPr>
          <w:rFonts w:ascii="Arial" w:hAnsi="Arial" w:cs="Arial"/>
          <w:sz w:val="22"/>
          <w:szCs w:val="22"/>
          <w:lang w:val="en-US"/>
        </w:rPr>
        <w:t>sodium</w:t>
      </w:r>
      <w:r w:rsidR="003873AE" w:rsidRPr="003F23DE">
        <w:rPr>
          <w:rFonts w:ascii="Arial" w:hAnsi="Arial" w:cs="Arial"/>
          <w:sz w:val="22"/>
          <w:szCs w:val="22"/>
        </w:rPr>
        <w:t xml:space="preserve"> 4% παρατηρείται ταχεία έναρξη της απορρόφησης της </w:t>
      </w:r>
      <w:r w:rsidR="003873AE" w:rsidRPr="003F23DE">
        <w:rPr>
          <w:rFonts w:ascii="Arial" w:hAnsi="Arial" w:cs="Arial"/>
          <w:sz w:val="22"/>
          <w:szCs w:val="22"/>
          <w:lang w:val="en-US"/>
        </w:rPr>
        <w:t>Diclofenac</w:t>
      </w:r>
      <w:r w:rsidR="003873AE" w:rsidRPr="003F23DE">
        <w:rPr>
          <w:rFonts w:ascii="Arial" w:hAnsi="Arial" w:cs="Arial"/>
          <w:sz w:val="22"/>
          <w:szCs w:val="22"/>
        </w:rPr>
        <w:t xml:space="preserve">, με αποτέλεσμα μετρήσιμα επίπεδα στο πλάσμα </w:t>
      </w:r>
      <w:r w:rsidR="00875E28" w:rsidRPr="00875E28">
        <w:rPr>
          <w:rFonts w:ascii="Arial" w:hAnsi="Arial" w:cs="Arial"/>
          <w:sz w:val="22"/>
          <w:szCs w:val="22"/>
        </w:rPr>
        <w:t>(</w:t>
      </w:r>
      <w:r w:rsidR="003873AE" w:rsidRPr="003F23DE">
        <w:rPr>
          <w:rFonts w:ascii="Arial" w:hAnsi="Arial" w:cs="Arial"/>
          <w:sz w:val="22"/>
          <w:szCs w:val="22"/>
        </w:rPr>
        <w:t xml:space="preserve">περίπου 1 </w:t>
      </w:r>
      <w:r w:rsidR="003873AE" w:rsidRPr="003F23DE">
        <w:rPr>
          <w:rFonts w:ascii="Arial" w:hAnsi="Arial" w:cs="Arial"/>
          <w:sz w:val="22"/>
          <w:szCs w:val="22"/>
          <w:lang w:val="en-US"/>
        </w:rPr>
        <w:t>ng</w:t>
      </w:r>
      <w:r w:rsidR="003873AE" w:rsidRPr="003F23DE">
        <w:rPr>
          <w:rFonts w:ascii="Arial" w:hAnsi="Arial" w:cs="Arial"/>
          <w:sz w:val="22"/>
          <w:szCs w:val="22"/>
        </w:rPr>
        <w:t>/</w:t>
      </w:r>
      <w:r w:rsidR="003873AE" w:rsidRPr="003F23DE">
        <w:rPr>
          <w:rFonts w:ascii="Arial" w:hAnsi="Arial" w:cs="Arial"/>
          <w:sz w:val="22"/>
          <w:szCs w:val="22"/>
          <w:lang w:val="en-US"/>
        </w:rPr>
        <w:t>ml</w:t>
      </w:r>
      <w:r w:rsidR="00875E28" w:rsidRPr="00875E28">
        <w:rPr>
          <w:rFonts w:ascii="Arial" w:hAnsi="Arial" w:cs="Arial"/>
          <w:sz w:val="22"/>
          <w:szCs w:val="22"/>
        </w:rPr>
        <w:t>)</w:t>
      </w:r>
      <w:r w:rsidR="003873AE" w:rsidRPr="003F23DE">
        <w:rPr>
          <w:rFonts w:ascii="Arial" w:hAnsi="Arial" w:cs="Arial"/>
          <w:sz w:val="22"/>
          <w:szCs w:val="22"/>
        </w:rPr>
        <w:t xml:space="preserve"> μέσα σε 30 λεπτά και μέγιστα επίπεδα </w:t>
      </w:r>
      <w:r w:rsidR="00875E28" w:rsidRPr="00875E28">
        <w:rPr>
          <w:rFonts w:ascii="Arial" w:hAnsi="Arial" w:cs="Arial"/>
          <w:sz w:val="22"/>
          <w:szCs w:val="22"/>
        </w:rPr>
        <w:t>(</w:t>
      </w:r>
      <w:r w:rsidR="003873AE" w:rsidRPr="003F23DE">
        <w:rPr>
          <w:rFonts w:ascii="Arial" w:hAnsi="Arial" w:cs="Arial"/>
          <w:sz w:val="22"/>
          <w:szCs w:val="22"/>
        </w:rPr>
        <w:t xml:space="preserve">περίπου 3 </w:t>
      </w:r>
      <w:r w:rsidR="003873AE" w:rsidRPr="003F23DE">
        <w:rPr>
          <w:rFonts w:ascii="Arial" w:hAnsi="Arial" w:cs="Arial"/>
          <w:sz w:val="22"/>
          <w:szCs w:val="22"/>
          <w:lang w:val="en-US"/>
        </w:rPr>
        <w:t>ng</w:t>
      </w:r>
      <w:r w:rsidR="003873AE" w:rsidRPr="003F23DE">
        <w:rPr>
          <w:rFonts w:ascii="Arial" w:hAnsi="Arial" w:cs="Arial"/>
          <w:sz w:val="22"/>
          <w:szCs w:val="22"/>
        </w:rPr>
        <w:t>/</w:t>
      </w:r>
      <w:r w:rsidR="003873AE" w:rsidRPr="003F23DE">
        <w:rPr>
          <w:rFonts w:ascii="Arial" w:hAnsi="Arial" w:cs="Arial"/>
          <w:sz w:val="22"/>
          <w:szCs w:val="22"/>
          <w:lang w:val="en-US"/>
        </w:rPr>
        <w:t>ml</w:t>
      </w:r>
      <w:r w:rsidR="00875E28" w:rsidRPr="00875E28">
        <w:rPr>
          <w:rFonts w:ascii="Arial" w:hAnsi="Arial" w:cs="Arial"/>
          <w:sz w:val="22"/>
          <w:szCs w:val="22"/>
        </w:rPr>
        <w:t>)</w:t>
      </w:r>
      <w:r w:rsidR="003873AE" w:rsidRPr="003F23DE">
        <w:rPr>
          <w:rFonts w:ascii="Arial" w:hAnsi="Arial" w:cs="Arial"/>
          <w:sz w:val="22"/>
          <w:szCs w:val="22"/>
        </w:rPr>
        <w:t xml:space="preserve"> </w:t>
      </w:r>
      <w:r w:rsidR="009D7068">
        <w:rPr>
          <w:rFonts w:ascii="Arial" w:hAnsi="Arial" w:cs="Arial"/>
          <w:sz w:val="22"/>
          <w:szCs w:val="22"/>
        </w:rPr>
        <w:t xml:space="preserve">σε </w:t>
      </w:r>
      <w:r w:rsidR="003873AE" w:rsidRPr="003F23DE">
        <w:rPr>
          <w:rFonts w:ascii="Arial" w:hAnsi="Arial" w:cs="Arial"/>
          <w:sz w:val="22"/>
          <w:szCs w:val="22"/>
        </w:rPr>
        <w:t xml:space="preserve">περίπου 24 ώρες μετά την εφαρμογή. </w:t>
      </w:r>
    </w:p>
    <w:p w:rsidR="003873AE" w:rsidRPr="003F23DE" w:rsidRDefault="003873AE" w:rsidP="003F23DE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F23DE">
        <w:rPr>
          <w:rFonts w:ascii="Arial" w:hAnsi="Arial" w:cs="Arial"/>
          <w:sz w:val="22"/>
          <w:szCs w:val="22"/>
        </w:rPr>
        <w:t>Οι σ</w:t>
      </w:r>
      <w:r w:rsidR="00C25C59">
        <w:rPr>
          <w:rFonts w:ascii="Arial" w:hAnsi="Arial" w:cs="Arial"/>
          <w:sz w:val="22"/>
          <w:szCs w:val="22"/>
        </w:rPr>
        <w:t>υ</w:t>
      </w:r>
      <w:r w:rsidRPr="003F23DE">
        <w:rPr>
          <w:rFonts w:ascii="Arial" w:hAnsi="Arial" w:cs="Arial"/>
          <w:sz w:val="22"/>
          <w:szCs w:val="22"/>
        </w:rPr>
        <w:t xml:space="preserve">στηματικές συγκεντρώσεις του </w:t>
      </w:r>
      <w:r w:rsidR="00C25C59">
        <w:rPr>
          <w:rFonts w:ascii="Arial" w:hAnsi="Arial" w:cs="Arial"/>
          <w:sz w:val="22"/>
          <w:szCs w:val="22"/>
        </w:rPr>
        <w:t xml:space="preserve">δερματικού διαλύματος </w:t>
      </w:r>
      <w:r w:rsidRPr="003F23DE">
        <w:rPr>
          <w:rFonts w:ascii="Arial" w:hAnsi="Arial" w:cs="Arial"/>
          <w:sz w:val="22"/>
          <w:szCs w:val="22"/>
          <w:lang w:val="en-US"/>
        </w:rPr>
        <w:t>Diclofenac</w:t>
      </w:r>
      <w:r w:rsidR="00C8417F" w:rsidRPr="00C8417F">
        <w:rPr>
          <w:rFonts w:ascii="Arial" w:hAnsi="Arial" w:cs="Arial"/>
          <w:sz w:val="22"/>
          <w:szCs w:val="22"/>
        </w:rPr>
        <w:t xml:space="preserve"> </w:t>
      </w:r>
      <w:r w:rsidR="00C8417F">
        <w:rPr>
          <w:rFonts w:ascii="Arial" w:hAnsi="Arial" w:cs="Arial"/>
          <w:sz w:val="22"/>
          <w:szCs w:val="22"/>
          <w:lang w:val="en-US"/>
        </w:rPr>
        <w:t>sodium</w:t>
      </w:r>
      <w:r w:rsidRPr="003F23DE">
        <w:rPr>
          <w:rFonts w:ascii="Arial" w:hAnsi="Arial" w:cs="Arial"/>
          <w:sz w:val="22"/>
          <w:szCs w:val="22"/>
        </w:rPr>
        <w:t xml:space="preserve"> που επιτυγχάνονται είναι περίπου 50 φορές χαμηλότερες από αυτές μετά </w:t>
      </w:r>
      <w:r w:rsidR="009D7068">
        <w:rPr>
          <w:rFonts w:ascii="Arial" w:hAnsi="Arial" w:cs="Arial"/>
          <w:sz w:val="22"/>
          <w:szCs w:val="22"/>
        </w:rPr>
        <w:t xml:space="preserve">τη </w:t>
      </w:r>
      <w:r w:rsidRPr="003F23DE">
        <w:rPr>
          <w:rFonts w:ascii="Arial" w:hAnsi="Arial" w:cs="Arial"/>
          <w:sz w:val="22"/>
          <w:szCs w:val="22"/>
        </w:rPr>
        <w:t xml:space="preserve">χορήγηση αντίστοιχων ποσοτήτων </w:t>
      </w:r>
      <w:r w:rsidRPr="003F23DE">
        <w:rPr>
          <w:rFonts w:ascii="Arial" w:hAnsi="Arial" w:cs="Arial"/>
          <w:sz w:val="22"/>
          <w:szCs w:val="22"/>
          <w:lang w:val="en-US"/>
        </w:rPr>
        <w:t>Diclofenac</w:t>
      </w:r>
      <w:r w:rsidR="00C8417F" w:rsidRPr="00C8417F">
        <w:rPr>
          <w:rFonts w:ascii="Arial" w:hAnsi="Arial" w:cs="Arial"/>
          <w:sz w:val="22"/>
          <w:szCs w:val="22"/>
        </w:rPr>
        <w:t xml:space="preserve"> </w:t>
      </w:r>
      <w:r w:rsidR="00C8417F" w:rsidRPr="003F23DE">
        <w:rPr>
          <w:rFonts w:ascii="Arial" w:hAnsi="Arial" w:cs="Arial"/>
          <w:sz w:val="22"/>
          <w:szCs w:val="22"/>
        </w:rPr>
        <w:t>από το στόμα</w:t>
      </w:r>
      <w:r w:rsidRPr="003F23DE">
        <w:rPr>
          <w:rFonts w:ascii="Arial" w:hAnsi="Arial" w:cs="Arial"/>
          <w:sz w:val="22"/>
          <w:szCs w:val="22"/>
        </w:rPr>
        <w:t xml:space="preserve">. Τα συστηματικά επίπεδα στο πλάσμα δεν </w:t>
      </w:r>
      <w:r w:rsidR="009D7068">
        <w:rPr>
          <w:rFonts w:ascii="Arial" w:hAnsi="Arial" w:cs="Arial"/>
          <w:sz w:val="22"/>
          <w:szCs w:val="22"/>
        </w:rPr>
        <w:t xml:space="preserve">θεωρείται ότι </w:t>
      </w:r>
      <w:r w:rsidRPr="003F23DE">
        <w:rPr>
          <w:rFonts w:ascii="Arial" w:hAnsi="Arial" w:cs="Arial"/>
          <w:sz w:val="22"/>
          <w:szCs w:val="22"/>
        </w:rPr>
        <w:t xml:space="preserve">συμβάλλουν στην αποτελεσματικότητα του φαρμάκου. </w:t>
      </w:r>
    </w:p>
    <w:p w:rsidR="003873AE" w:rsidRPr="003F23DE" w:rsidRDefault="003873AE" w:rsidP="003F23DE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F23DE">
        <w:rPr>
          <w:rFonts w:ascii="Arial" w:hAnsi="Arial" w:cs="Arial"/>
          <w:sz w:val="22"/>
          <w:szCs w:val="22"/>
        </w:rPr>
        <w:t xml:space="preserve">Το </w:t>
      </w:r>
      <w:r w:rsidRPr="003F23DE">
        <w:rPr>
          <w:rFonts w:ascii="Arial" w:hAnsi="Arial" w:cs="Arial"/>
          <w:sz w:val="22"/>
          <w:szCs w:val="22"/>
          <w:lang w:val="en-US"/>
        </w:rPr>
        <w:t>Diclofenac</w:t>
      </w:r>
      <w:r w:rsidRPr="003F23DE">
        <w:rPr>
          <w:rFonts w:ascii="Arial" w:hAnsi="Arial" w:cs="Arial"/>
          <w:sz w:val="22"/>
          <w:szCs w:val="22"/>
        </w:rPr>
        <w:t xml:space="preserve"> συνδέεται ισχυρά με τις πρωτεΐνες του πλάσματος (περίπου 99%). </w:t>
      </w:r>
    </w:p>
    <w:p w:rsidR="00352598" w:rsidRPr="003F23DE" w:rsidRDefault="00352598" w:rsidP="003F23DE">
      <w:pPr>
        <w:spacing w:line="360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012495" w:rsidRPr="003F23DE" w:rsidRDefault="005153A9" w:rsidP="003F23DE">
      <w:pPr>
        <w:spacing w:line="360" w:lineRule="auto"/>
        <w:ind w:left="567" w:hanging="567"/>
        <w:jc w:val="both"/>
        <w:rPr>
          <w:rFonts w:ascii="Arial" w:hAnsi="Arial" w:cs="Arial"/>
          <w:b/>
          <w:iCs/>
          <w:sz w:val="22"/>
          <w:szCs w:val="22"/>
        </w:rPr>
      </w:pPr>
      <w:r w:rsidRPr="003F23DE">
        <w:rPr>
          <w:rFonts w:ascii="Arial" w:hAnsi="Arial" w:cs="Arial"/>
          <w:b/>
          <w:iCs/>
          <w:sz w:val="22"/>
          <w:szCs w:val="22"/>
        </w:rPr>
        <w:t xml:space="preserve">5.3   </w:t>
      </w:r>
      <w:r w:rsidR="008D160F" w:rsidRPr="003F23DE">
        <w:rPr>
          <w:rFonts w:ascii="Arial" w:hAnsi="Arial" w:cs="Arial"/>
          <w:b/>
          <w:iCs/>
          <w:sz w:val="22"/>
          <w:szCs w:val="22"/>
        </w:rPr>
        <w:t xml:space="preserve">  </w:t>
      </w:r>
      <w:r w:rsidRPr="003F23DE">
        <w:rPr>
          <w:rFonts w:ascii="Arial" w:hAnsi="Arial" w:cs="Arial"/>
          <w:b/>
          <w:iCs/>
          <w:sz w:val="22"/>
          <w:szCs w:val="22"/>
        </w:rPr>
        <w:t xml:space="preserve">Προκλινικά δεδομένα </w:t>
      </w:r>
      <w:r w:rsidR="00C8417F">
        <w:rPr>
          <w:rFonts w:ascii="Arial" w:hAnsi="Arial" w:cs="Arial"/>
          <w:b/>
          <w:iCs/>
          <w:sz w:val="22"/>
          <w:szCs w:val="22"/>
        </w:rPr>
        <w:t>για</w:t>
      </w:r>
      <w:r w:rsidRPr="003F23DE">
        <w:rPr>
          <w:rFonts w:ascii="Arial" w:hAnsi="Arial" w:cs="Arial"/>
          <w:b/>
          <w:iCs/>
          <w:sz w:val="22"/>
          <w:szCs w:val="22"/>
        </w:rPr>
        <w:t xml:space="preserve"> την ασφάλεια</w:t>
      </w:r>
    </w:p>
    <w:p w:rsidR="00384ADD" w:rsidRPr="003F23DE" w:rsidRDefault="00384ADD" w:rsidP="003F23DE">
      <w:pPr>
        <w:tabs>
          <w:tab w:val="left" w:pos="4845"/>
        </w:tabs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 xml:space="preserve">Στο δέρμα των κουνελιών, το δερματικό διάλυμα </w:t>
      </w:r>
      <w:r w:rsidRPr="003F23DE">
        <w:rPr>
          <w:rFonts w:ascii="Arial" w:hAnsi="Arial" w:cs="Arial"/>
          <w:iCs/>
          <w:sz w:val="22"/>
          <w:szCs w:val="22"/>
          <w:lang w:val="en-US"/>
        </w:rPr>
        <w:t>Diclofenac</w:t>
      </w:r>
      <w:r w:rsidRPr="003F23DE">
        <w:rPr>
          <w:rFonts w:ascii="Arial" w:hAnsi="Arial" w:cs="Arial"/>
          <w:iCs/>
          <w:sz w:val="22"/>
          <w:szCs w:val="22"/>
        </w:rPr>
        <w:t xml:space="preserve"> </w:t>
      </w:r>
      <w:r w:rsidRPr="003F23DE">
        <w:rPr>
          <w:rFonts w:ascii="Arial" w:hAnsi="Arial" w:cs="Arial"/>
          <w:iCs/>
          <w:sz w:val="22"/>
          <w:szCs w:val="22"/>
          <w:lang w:val="en-US"/>
        </w:rPr>
        <w:t>sodium</w:t>
      </w:r>
      <w:r w:rsidRPr="003F23DE">
        <w:rPr>
          <w:rFonts w:ascii="Arial" w:hAnsi="Arial" w:cs="Arial"/>
          <w:iCs/>
          <w:sz w:val="22"/>
          <w:szCs w:val="22"/>
        </w:rPr>
        <w:t xml:space="preserve"> 4% κατατάσσεται ως μη ερεθιστικό. </w:t>
      </w:r>
    </w:p>
    <w:p w:rsidR="00384ADD" w:rsidRPr="003F23DE" w:rsidRDefault="00384ADD" w:rsidP="003F23DE">
      <w:pPr>
        <w:tabs>
          <w:tab w:val="left" w:pos="4845"/>
        </w:tabs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>Τα προκλινικά δεδομένα που βασίζονται σε συμβατικές μελέτες της φαρμακολογίας</w:t>
      </w:r>
      <w:r w:rsidR="009D7068">
        <w:rPr>
          <w:rFonts w:ascii="Arial" w:hAnsi="Arial" w:cs="Arial"/>
          <w:iCs/>
          <w:sz w:val="22"/>
          <w:szCs w:val="22"/>
        </w:rPr>
        <w:t xml:space="preserve"> αφάλειας</w:t>
      </w:r>
      <w:r w:rsidRPr="003F23DE">
        <w:rPr>
          <w:rFonts w:ascii="Arial" w:hAnsi="Arial" w:cs="Arial"/>
          <w:iCs/>
          <w:sz w:val="22"/>
          <w:szCs w:val="22"/>
        </w:rPr>
        <w:t>, τοξικότητας</w:t>
      </w:r>
      <w:r w:rsidR="009D7068">
        <w:rPr>
          <w:rFonts w:ascii="Arial" w:hAnsi="Arial" w:cs="Arial"/>
          <w:iCs/>
          <w:sz w:val="22"/>
          <w:szCs w:val="22"/>
        </w:rPr>
        <w:t xml:space="preserve"> επαναλαμβανόμενης δόσης</w:t>
      </w:r>
      <w:r w:rsidRPr="003F23DE">
        <w:rPr>
          <w:rFonts w:ascii="Arial" w:hAnsi="Arial" w:cs="Arial"/>
          <w:iCs/>
          <w:sz w:val="22"/>
          <w:szCs w:val="22"/>
        </w:rPr>
        <w:t>, γ</w:t>
      </w:r>
      <w:r w:rsidR="009D7068">
        <w:rPr>
          <w:rFonts w:ascii="Arial" w:hAnsi="Arial" w:cs="Arial"/>
          <w:iCs/>
          <w:sz w:val="22"/>
          <w:szCs w:val="22"/>
        </w:rPr>
        <w:t>ο</w:t>
      </w:r>
      <w:r w:rsidRPr="003F23DE">
        <w:rPr>
          <w:rFonts w:ascii="Arial" w:hAnsi="Arial" w:cs="Arial"/>
          <w:iCs/>
          <w:sz w:val="22"/>
          <w:szCs w:val="22"/>
        </w:rPr>
        <w:t>νοτοξικότητας και καρκινογ</w:t>
      </w:r>
      <w:r w:rsidR="009D7068">
        <w:rPr>
          <w:rFonts w:ascii="Arial" w:hAnsi="Arial" w:cs="Arial"/>
          <w:iCs/>
          <w:sz w:val="22"/>
          <w:szCs w:val="22"/>
        </w:rPr>
        <w:t>όνου δράσης</w:t>
      </w:r>
      <w:r w:rsidRPr="003F23DE">
        <w:rPr>
          <w:rFonts w:ascii="Arial" w:hAnsi="Arial" w:cs="Arial"/>
          <w:iCs/>
          <w:sz w:val="22"/>
          <w:szCs w:val="22"/>
        </w:rPr>
        <w:t xml:space="preserve"> του </w:t>
      </w:r>
      <w:r w:rsidRPr="003F23DE">
        <w:rPr>
          <w:rFonts w:ascii="Arial" w:hAnsi="Arial" w:cs="Arial"/>
          <w:iCs/>
          <w:sz w:val="22"/>
          <w:szCs w:val="22"/>
          <w:lang w:val="en-US"/>
        </w:rPr>
        <w:t>Diclofenac</w:t>
      </w:r>
      <w:r w:rsidRPr="003F23DE">
        <w:rPr>
          <w:rFonts w:ascii="Arial" w:hAnsi="Arial" w:cs="Arial"/>
          <w:iCs/>
          <w:sz w:val="22"/>
          <w:szCs w:val="22"/>
        </w:rPr>
        <w:t xml:space="preserve"> δεν έδειξαν ιδιαίτερο κίνδυνο για τους ανθρώπους, εκτός από αυτά που ήδη αναφέρον</w:t>
      </w:r>
      <w:r w:rsidR="00C25C59" w:rsidRPr="003F23DE">
        <w:rPr>
          <w:rFonts w:ascii="Arial" w:hAnsi="Arial" w:cs="Arial"/>
          <w:iCs/>
          <w:sz w:val="22"/>
          <w:szCs w:val="22"/>
        </w:rPr>
        <w:t>τ</w:t>
      </w:r>
      <w:r w:rsidRPr="003F23DE">
        <w:rPr>
          <w:rFonts w:ascii="Arial" w:hAnsi="Arial" w:cs="Arial"/>
          <w:iCs/>
          <w:sz w:val="22"/>
          <w:szCs w:val="22"/>
        </w:rPr>
        <w:t xml:space="preserve">αι σε </w:t>
      </w:r>
      <w:r w:rsidR="009D7068">
        <w:rPr>
          <w:rFonts w:ascii="Arial" w:hAnsi="Arial" w:cs="Arial"/>
          <w:iCs/>
          <w:sz w:val="22"/>
          <w:szCs w:val="22"/>
        </w:rPr>
        <w:t>προηγούμενες παραγράφους της Περίληψης Χαρακτηριστικών του Προϊόντος.</w:t>
      </w:r>
      <w:r w:rsidR="00C25C59">
        <w:rPr>
          <w:rFonts w:ascii="Arial" w:hAnsi="Arial" w:cs="Arial"/>
          <w:iCs/>
          <w:sz w:val="22"/>
          <w:szCs w:val="22"/>
        </w:rPr>
        <w:t xml:space="preserve"> </w:t>
      </w:r>
    </w:p>
    <w:p w:rsidR="00384ADD" w:rsidRPr="003F23DE" w:rsidRDefault="00384ADD" w:rsidP="003F23DE">
      <w:pPr>
        <w:tabs>
          <w:tab w:val="left" w:pos="4845"/>
        </w:tabs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 xml:space="preserve">Σε αρουραίους και κουνέλια, οι από του στόματος </w:t>
      </w:r>
      <w:r w:rsidR="00C8417F">
        <w:rPr>
          <w:rFonts w:ascii="Arial" w:hAnsi="Arial" w:cs="Arial"/>
          <w:iCs/>
          <w:sz w:val="22"/>
          <w:szCs w:val="22"/>
        </w:rPr>
        <w:t xml:space="preserve">χορηγούμενες </w:t>
      </w:r>
      <w:r w:rsidRPr="003F23DE">
        <w:rPr>
          <w:rFonts w:ascii="Arial" w:hAnsi="Arial" w:cs="Arial"/>
          <w:iCs/>
          <w:sz w:val="22"/>
          <w:szCs w:val="22"/>
        </w:rPr>
        <w:t>δόσεις δεν ήταν τερατογ</w:t>
      </w:r>
      <w:r w:rsidR="009D7068">
        <w:rPr>
          <w:rFonts w:ascii="Arial" w:hAnsi="Arial" w:cs="Arial"/>
          <w:iCs/>
          <w:sz w:val="22"/>
          <w:szCs w:val="22"/>
        </w:rPr>
        <w:t>όνες</w:t>
      </w:r>
      <w:r w:rsidRPr="003F23DE">
        <w:rPr>
          <w:rFonts w:ascii="Arial" w:hAnsi="Arial" w:cs="Arial"/>
          <w:iCs/>
          <w:sz w:val="22"/>
          <w:szCs w:val="22"/>
        </w:rPr>
        <w:t xml:space="preserve">, αλλά προκάλεσαν εμβρυοτοξικότητα σε τοξικές για τη μητέρα δόσεις. </w:t>
      </w:r>
    </w:p>
    <w:p w:rsidR="00B86F16" w:rsidRPr="003F23DE" w:rsidRDefault="00384ADD" w:rsidP="003F23DE">
      <w:pPr>
        <w:tabs>
          <w:tab w:val="left" w:pos="4845"/>
        </w:tabs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 xml:space="preserve">Το </w:t>
      </w:r>
      <w:r w:rsidRPr="003F23DE">
        <w:rPr>
          <w:rFonts w:ascii="Arial" w:hAnsi="Arial" w:cs="Arial"/>
          <w:iCs/>
          <w:sz w:val="22"/>
          <w:szCs w:val="22"/>
          <w:lang w:val="en-US"/>
        </w:rPr>
        <w:t>Diclofenac</w:t>
      </w:r>
      <w:r w:rsidRPr="003F23DE">
        <w:rPr>
          <w:rFonts w:ascii="Arial" w:hAnsi="Arial" w:cs="Arial"/>
          <w:iCs/>
          <w:sz w:val="22"/>
          <w:szCs w:val="22"/>
        </w:rPr>
        <w:t xml:space="preserve"> δεν επηρέασε τη γονιμότητα σε αρουραίους, αλλά ανέστειλε την ωορρηξία σε κουνέλια και μείωσε την εμφύτευση σε αρουραίους. </w:t>
      </w:r>
    </w:p>
    <w:p w:rsidR="00B86F16" w:rsidRPr="003F23DE" w:rsidRDefault="00B86F16" w:rsidP="003F23DE">
      <w:pPr>
        <w:tabs>
          <w:tab w:val="left" w:pos="4845"/>
        </w:tabs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lastRenderedPageBreak/>
        <w:t xml:space="preserve">Σε αρουραίους, το </w:t>
      </w:r>
      <w:r w:rsidRPr="003F23DE">
        <w:rPr>
          <w:rFonts w:ascii="Arial" w:hAnsi="Arial" w:cs="Arial"/>
          <w:iCs/>
          <w:sz w:val="22"/>
          <w:szCs w:val="22"/>
          <w:lang w:val="en-US"/>
        </w:rPr>
        <w:t>Diclofenac</w:t>
      </w:r>
      <w:r w:rsidRPr="003F23DE">
        <w:rPr>
          <w:rFonts w:ascii="Arial" w:hAnsi="Arial" w:cs="Arial"/>
          <w:iCs/>
          <w:sz w:val="22"/>
          <w:szCs w:val="22"/>
        </w:rPr>
        <w:t xml:space="preserve"> οδήγησε σε δοσοεξαρτώμενη σύσφιξη του εμβρυϊκού αρτηριακού πόρου, δυστοκία και σε καθυστερημένο τοκετό. </w:t>
      </w:r>
    </w:p>
    <w:p w:rsidR="004D7642" w:rsidRPr="003F23DE" w:rsidRDefault="00384ADD" w:rsidP="003F23DE">
      <w:pPr>
        <w:tabs>
          <w:tab w:val="left" w:pos="4845"/>
        </w:tabs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ab/>
      </w:r>
    </w:p>
    <w:p w:rsidR="00012495" w:rsidRPr="004460CD" w:rsidRDefault="00012495" w:rsidP="003F23DE">
      <w:pPr>
        <w:spacing w:line="360" w:lineRule="auto"/>
        <w:ind w:left="567" w:hanging="567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3F23DE">
        <w:rPr>
          <w:rFonts w:ascii="Arial" w:hAnsi="Arial" w:cs="Arial"/>
          <w:b/>
          <w:iCs/>
          <w:sz w:val="22"/>
          <w:szCs w:val="22"/>
        </w:rPr>
        <w:t xml:space="preserve">6. </w:t>
      </w:r>
      <w:r w:rsidRPr="003F23DE">
        <w:rPr>
          <w:rFonts w:ascii="Arial" w:hAnsi="Arial" w:cs="Arial"/>
          <w:b/>
          <w:iCs/>
          <w:sz w:val="22"/>
          <w:szCs w:val="22"/>
        </w:rPr>
        <w:tab/>
        <w:t>ΦΑΡΜΑΚΕΥΤΙΚ</w:t>
      </w:r>
      <w:r w:rsidR="00C8417F">
        <w:rPr>
          <w:rFonts w:ascii="Arial" w:hAnsi="Arial" w:cs="Arial"/>
          <w:b/>
          <w:iCs/>
          <w:sz w:val="22"/>
          <w:szCs w:val="22"/>
        </w:rPr>
        <w:t>ΕΣ ΠΛΗΡΟΦΟΡΙΕΣ</w:t>
      </w:r>
    </w:p>
    <w:p w:rsidR="00012495" w:rsidRPr="003F23DE" w:rsidRDefault="00012495" w:rsidP="003F23DE">
      <w:pPr>
        <w:spacing w:line="360" w:lineRule="auto"/>
        <w:ind w:left="567" w:hanging="567"/>
        <w:jc w:val="both"/>
        <w:rPr>
          <w:rFonts w:ascii="Arial" w:hAnsi="Arial" w:cs="Arial"/>
          <w:b/>
          <w:iCs/>
          <w:sz w:val="22"/>
          <w:szCs w:val="22"/>
        </w:rPr>
      </w:pPr>
      <w:r w:rsidRPr="003F23DE">
        <w:rPr>
          <w:rFonts w:ascii="Arial" w:hAnsi="Arial" w:cs="Arial"/>
          <w:b/>
          <w:iCs/>
          <w:sz w:val="22"/>
          <w:szCs w:val="22"/>
        </w:rPr>
        <w:t xml:space="preserve">6.1. </w:t>
      </w:r>
      <w:r w:rsidRPr="003F23DE">
        <w:rPr>
          <w:rFonts w:ascii="Arial" w:hAnsi="Arial" w:cs="Arial"/>
          <w:b/>
          <w:iCs/>
          <w:sz w:val="22"/>
          <w:szCs w:val="22"/>
        </w:rPr>
        <w:tab/>
        <w:t xml:space="preserve">Κατάλογος </w:t>
      </w:r>
      <w:r w:rsidR="00C8417F">
        <w:rPr>
          <w:rFonts w:ascii="Arial" w:hAnsi="Arial" w:cs="Arial"/>
          <w:b/>
          <w:iCs/>
          <w:sz w:val="22"/>
          <w:szCs w:val="22"/>
        </w:rPr>
        <w:t>των εκδόχων</w:t>
      </w:r>
    </w:p>
    <w:p w:rsidR="00012495" w:rsidRPr="004460CD" w:rsidRDefault="00B86F16" w:rsidP="003F23DE">
      <w:pPr>
        <w:spacing w:line="360" w:lineRule="auto"/>
        <w:ind w:left="567" w:hanging="1418"/>
        <w:jc w:val="both"/>
        <w:rPr>
          <w:rFonts w:ascii="Arial" w:hAnsi="Arial" w:cs="Arial"/>
          <w:sz w:val="22"/>
          <w:szCs w:val="22"/>
        </w:rPr>
      </w:pPr>
      <w:r w:rsidRPr="004460CD">
        <w:rPr>
          <w:rFonts w:ascii="Arial" w:hAnsi="Arial" w:cs="Arial"/>
          <w:sz w:val="22"/>
          <w:szCs w:val="22"/>
        </w:rPr>
        <w:t xml:space="preserve">                    </w:t>
      </w:r>
      <w:r w:rsidR="00417205" w:rsidRPr="004460CD">
        <w:rPr>
          <w:rFonts w:ascii="Arial" w:hAnsi="Arial" w:cs="Arial"/>
          <w:sz w:val="22"/>
          <w:szCs w:val="22"/>
        </w:rPr>
        <w:tab/>
      </w:r>
      <w:r w:rsidRPr="004460CD">
        <w:rPr>
          <w:rFonts w:ascii="Arial" w:hAnsi="Arial" w:cs="Arial"/>
          <w:sz w:val="22"/>
          <w:szCs w:val="22"/>
        </w:rPr>
        <w:t xml:space="preserve"> </w:t>
      </w:r>
      <w:r w:rsidRPr="003F23DE">
        <w:rPr>
          <w:rFonts w:ascii="Arial" w:hAnsi="Arial" w:cs="Arial"/>
          <w:sz w:val="22"/>
          <w:szCs w:val="22"/>
          <w:lang w:val="en-US"/>
        </w:rPr>
        <w:t>Isopropyl</w:t>
      </w:r>
      <w:r w:rsidRPr="004460CD">
        <w:rPr>
          <w:rFonts w:ascii="Arial" w:hAnsi="Arial" w:cs="Arial"/>
          <w:sz w:val="22"/>
          <w:szCs w:val="22"/>
        </w:rPr>
        <w:t xml:space="preserve"> </w:t>
      </w:r>
      <w:r w:rsidRPr="003F23DE">
        <w:rPr>
          <w:rFonts w:ascii="Arial" w:hAnsi="Arial" w:cs="Arial"/>
          <w:sz w:val="22"/>
          <w:szCs w:val="22"/>
          <w:lang w:val="en-US"/>
        </w:rPr>
        <w:t>alcohol</w:t>
      </w:r>
      <w:r w:rsidRPr="004460CD">
        <w:rPr>
          <w:rFonts w:ascii="Arial" w:hAnsi="Arial" w:cs="Arial"/>
          <w:sz w:val="22"/>
          <w:szCs w:val="22"/>
        </w:rPr>
        <w:t xml:space="preserve">, </w:t>
      </w:r>
      <w:r w:rsidRPr="003F23DE">
        <w:rPr>
          <w:rFonts w:ascii="Arial" w:hAnsi="Arial" w:cs="Arial"/>
          <w:sz w:val="22"/>
          <w:szCs w:val="22"/>
          <w:lang w:val="en-US"/>
        </w:rPr>
        <w:t>Soybean</w:t>
      </w:r>
      <w:r w:rsidRPr="004460CD">
        <w:rPr>
          <w:rFonts w:ascii="Arial" w:hAnsi="Arial" w:cs="Arial"/>
          <w:sz w:val="22"/>
          <w:szCs w:val="22"/>
        </w:rPr>
        <w:t xml:space="preserve"> </w:t>
      </w:r>
      <w:r w:rsidRPr="003F23DE">
        <w:rPr>
          <w:rFonts w:ascii="Arial" w:hAnsi="Arial" w:cs="Arial"/>
          <w:sz w:val="22"/>
          <w:szCs w:val="22"/>
          <w:lang w:val="en-US"/>
        </w:rPr>
        <w:t>lecithin</w:t>
      </w:r>
      <w:r w:rsidRPr="004460CD">
        <w:rPr>
          <w:rFonts w:ascii="Arial" w:hAnsi="Arial" w:cs="Arial"/>
          <w:sz w:val="22"/>
          <w:szCs w:val="22"/>
        </w:rPr>
        <w:t xml:space="preserve">, </w:t>
      </w:r>
      <w:r w:rsidRPr="003F23DE">
        <w:rPr>
          <w:rFonts w:ascii="Arial" w:hAnsi="Arial" w:cs="Arial"/>
          <w:sz w:val="22"/>
          <w:szCs w:val="22"/>
          <w:lang w:val="en-US"/>
        </w:rPr>
        <w:t>Ethanol</w:t>
      </w:r>
      <w:r w:rsidRPr="004460CD">
        <w:rPr>
          <w:rFonts w:ascii="Arial" w:hAnsi="Arial" w:cs="Arial"/>
          <w:sz w:val="22"/>
          <w:szCs w:val="22"/>
        </w:rPr>
        <w:t xml:space="preserve">, </w:t>
      </w:r>
      <w:r w:rsidRPr="003F23DE">
        <w:rPr>
          <w:rFonts w:ascii="Arial" w:hAnsi="Arial" w:cs="Arial"/>
          <w:sz w:val="22"/>
          <w:szCs w:val="22"/>
          <w:lang w:val="en-US"/>
        </w:rPr>
        <w:t>Disodium</w:t>
      </w:r>
      <w:r w:rsidRPr="004460CD">
        <w:rPr>
          <w:rFonts w:ascii="Arial" w:hAnsi="Arial" w:cs="Arial"/>
          <w:sz w:val="22"/>
          <w:szCs w:val="22"/>
        </w:rPr>
        <w:t xml:space="preserve"> </w:t>
      </w:r>
      <w:r w:rsidRPr="003F23DE">
        <w:rPr>
          <w:rFonts w:ascii="Arial" w:hAnsi="Arial" w:cs="Arial"/>
          <w:sz w:val="22"/>
          <w:szCs w:val="22"/>
          <w:lang w:val="en-US"/>
        </w:rPr>
        <w:t>phosphate</w:t>
      </w:r>
      <w:r w:rsidRPr="004460CD">
        <w:rPr>
          <w:rFonts w:ascii="Arial" w:hAnsi="Arial" w:cs="Arial"/>
          <w:sz w:val="22"/>
          <w:szCs w:val="22"/>
        </w:rPr>
        <w:t xml:space="preserve"> </w:t>
      </w:r>
      <w:r w:rsidRPr="003F23DE">
        <w:rPr>
          <w:rFonts w:ascii="Arial" w:hAnsi="Arial" w:cs="Arial"/>
          <w:sz w:val="22"/>
          <w:szCs w:val="22"/>
          <w:lang w:val="en-US"/>
        </w:rPr>
        <w:t>heptahydrate</w:t>
      </w:r>
      <w:r w:rsidRPr="004460CD">
        <w:rPr>
          <w:rFonts w:ascii="Arial" w:hAnsi="Arial" w:cs="Arial"/>
          <w:sz w:val="22"/>
          <w:szCs w:val="22"/>
        </w:rPr>
        <w:t xml:space="preserve">, </w:t>
      </w:r>
      <w:r w:rsidRPr="003F23DE">
        <w:rPr>
          <w:rFonts w:ascii="Arial" w:hAnsi="Arial" w:cs="Arial"/>
          <w:sz w:val="22"/>
          <w:szCs w:val="22"/>
          <w:lang w:val="en-US"/>
        </w:rPr>
        <w:t>Sodium</w:t>
      </w:r>
      <w:r w:rsidRPr="004460CD">
        <w:rPr>
          <w:rFonts w:ascii="Arial" w:hAnsi="Arial" w:cs="Arial"/>
          <w:sz w:val="22"/>
          <w:szCs w:val="22"/>
        </w:rPr>
        <w:t xml:space="preserve"> </w:t>
      </w:r>
      <w:r w:rsidRPr="003F23DE">
        <w:rPr>
          <w:rFonts w:ascii="Arial" w:hAnsi="Arial" w:cs="Arial"/>
          <w:sz w:val="22"/>
          <w:szCs w:val="22"/>
          <w:lang w:val="en-US"/>
        </w:rPr>
        <w:t>dihydrogen</w:t>
      </w:r>
      <w:r w:rsidRPr="004460CD">
        <w:rPr>
          <w:rFonts w:ascii="Arial" w:hAnsi="Arial" w:cs="Arial"/>
          <w:sz w:val="22"/>
          <w:szCs w:val="22"/>
        </w:rPr>
        <w:t xml:space="preserve"> </w:t>
      </w:r>
      <w:r w:rsidRPr="003F23DE">
        <w:rPr>
          <w:rFonts w:ascii="Arial" w:hAnsi="Arial" w:cs="Arial"/>
          <w:sz w:val="22"/>
          <w:szCs w:val="22"/>
          <w:lang w:val="en-US"/>
        </w:rPr>
        <w:t>phosphate</w:t>
      </w:r>
      <w:r w:rsidRPr="004460CD">
        <w:rPr>
          <w:rFonts w:ascii="Arial" w:hAnsi="Arial" w:cs="Arial"/>
          <w:sz w:val="22"/>
          <w:szCs w:val="22"/>
        </w:rPr>
        <w:t xml:space="preserve"> </w:t>
      </w:r>
      <w:r w:rsidRPr="003F23DE">
        <w:rPr>
          <w:rFonts w:ascii="Arial" w:hAnsi="Arial" w:cs="Arial"/>
          <w:sz w:val="22"/>
          <w:szCs w:val="22"/>
          <w:lang w:val="en-US"/>
        </w:rPr>
        <w:t>monohydrate</w:t>
      </w:r>
      <w:r w:rsidRPr="004460CD">
        <w:rPr>
          <w:rFonts w:ascii="Arial" w:hAnsi="Arial" w:cs="Arial"/>
          <w:sz w:val="22"/>
          <w:szCs w:val="22"/>
        </w:rPr>
        <w:t xml:space="preserve">, </w:t>
      </w:r>
      <w:r w:rsidRPr="003F23DE">
        <w:rPr>
          <w:rFonts w:ascii="Arial" w:hAnsi="Arial" w:cs="Arial"/>
          <w:sz w:val="22"/>
          <w:szCs w:val="22"/>
          <w:lang w:val="en-US"/>
        </w:rPr>
        <w:t>Disodium</w:t>
      </w:r>
      <w:r w:rsidRPr="004460CD">
        <w:rPr>
          <w:rFonts w:ascii="Arial" w:hAnsi="Arial" w:cs="Arial"/>
          <w:sz w:val="22"/>
          <w:szCs w:val="22"/>
        </w:rPr>
        <w:t xml:space="preserve"> </w:t>
      </w:r>
      <w:r w:rsidRPr="003F23DE">
        <w:rPr>
          <w:rFonts w:ascii="Arial" w:hAnsi="Arial" w:cs="Arial"/>
          <w:sz w:val="22"/>
          <w:szCs w:val="22"/>
          <w:lang w:val="en-US"/>
        </w:rPr>
        <w:t>edetate</w:t>
      </w:r>
      <w:r w:rsidRPr="004460CD">
        <w:rPr>
          <w:rFonts w:ascii="Arial" w:hAnsi="Arial" w:cs="Arial"/>
          <w:sz w:val="22"/>
          <w:szCs w:val="22"/>
        </w:rPr>
        <w:t xml:space="preserve">, </w:t>
      </w:r>
      <w:r w:rsidRPr="003F23DE">
        <w:rPr>
          <w:rFonts w:ascii="Arial" w:hAnsi="Arial" w:cs="Arial"/>
          <w:sz w:val="22"/>
          <w:szCs w:val="22"/>
          <w:lang w:val="en-US"/>
        </w:rPr>
        <w:t>Propylene</w:t>
      </w:r>
      <w:r w:rsidRPr="004460CD">
        <w:rPr>
          <w:rFonts w:ascii="Arial" w:hAnsi="Arial" w:cs="Arial"/>
          <w:sz w:val="22"/>
          <w:szCs w:val="22"/>
        </w:rPr>
        <w:t xml:space="preserve"> </w:t>
      </w:r>
      <w:r w:rsidRPr="003F23DE">
        <w:rPr>
          <w:rFonts w:ascii="Arial" w:hAnsi="Arial" w:cs="Arial"/>
          <w:sz w:val="22"/>
          <w:szCs w:val="22"/>
          <w:lang w:val="en-US"/>
        </w:rPr>
        <w:t>glycol</w:t>
      </w:r>
      <w:r w:rsidRPr="004460CD">
        <w:rPr>
          <w:rFonts w:ascii="Arial" w:hAnsi="Arial" w:cs="Arial"/>
          <w:sz w:val="22"/>
          <w:szCs w:val="22"/>
        </w:rPr>
        <w:t xml:space="preserve">, </w:t>
      </w:r>
      <w:r w:rsidRPr="003F23DE">
        <w:rPr>
          <w:rFonts w:ascii="Arial" w:hAnsi="Arial" w:cs="Arial"/>
          <w:sz w:val="22"/>
          <w:szCs w:val="22"/>
          <w:lang w:val="en-US"/>
        </w:rPr>
        <w:t>Peppermint</w:t>
      </w:r>
      <w:r w:rsidRPr="004460CD">
        <w:rPr>
          <w:rFonts w:ascii="Arial" w:hAnsi="Arial" w:cs="Arial"/>
          <w:sz w:val="22"/>
          <w:szCs w:val="22"/>
        </w:rPr>
        <w:t xml:space="preserve"> </w:t>
      </w:r>
      <w:r w:rsidRPr="003F23DE">
        <w:rPr>
          <w:rFonts w:ascii="Arial" w:hAnsi="Arial" w:cs="Arial"/>
          <w:sz w:val="22"/>
          <w:szCs w:val="22"/>
          <w:lang w:val="en-US"/>
        </w:rPr>
        <w:t>oil</w:t>
      </w:r>
      <w:r w:rsidRPr="004460CD">
        <w:rPr>
          <w:rFonts w:ascii="Arial" w:hAnsi="Arial" w:cs="Arial"/>
          <w:sz w:val="22"/>
          <w:szCs w:val="22"/>
        </w:rPr>
        <w:t xml:space="preserve">, </w:t>
      </w:r>
      <w:r w:rsidRPr="003F23DE">
        <w:rPr>
          <w:rFonts w:ascii="Arial" w:hAnsi="Arial" w:cs="Arial"/>
          <w:sz w:val="22"/>
          <w:szCs w:val="22"/>
          <w:lang w:val="en-US"/>
        </w:rPr>
        <w:t>Ascorbyl</w:t>
      </w:r>
      <w:r w:rsidRPr="004460CD">
        <w:rPr>
          <w:rFonts w:ascii="Arial" w:hAnsi="Arial" w:cs="Arial"/>
          <w:sz w:val="22"/>
          <w:szCs w:val="22"/>
        </w:rPr>
        <w:t xml:space="preserve"> </w:t>
      </w:r>
      <w:r w:rsidRPr="003F23DE">
        <w:rPr>
          <w:rFonts w:ascii="Arial" w:hAnsi="Arial" w:cs="Arial"/>
          <w:sz w:val="22"/>
          <w:szCs w:val="22"/>
          <w:lang w:val="en-US"/>
        </w:rPr>
        <w:t>palmitate</w:t>
      </w:r>
      <w:r w:rsidRPr="004460CD">
        <w:rPr>
          <w:rFonts w:ascii="Arial" w:hAnsi="Arial" w:cs="Arial"/>
          <w:sz w:val="22"/>
          <w:szCs w:val="22"/>
        </w:rPr>
        <w:t xml:space="preserve">, </w:t>
      </w:r>
      <w:r w:rsidRPr="003F23DE">
        <w:rPr>
          <w:rFonts w:ascii="Arial" w:hAnsi="Arial" w:cs="Arial"/>
          <w:sz w:val="22"/>
          <w:szCs w:val="22"/>
          <w:lang w:val="en-US"/>
        </w:rPr>
        <w:t>Hydrochloric</w:t>
      </w:r>
      <w:r w:rsidRPr="004460CD">
        <w:rPr>
          <w:rFonts w:ascii="Arial" w:hAnsi="Arial" w:cs="Arial"/>
          <w:sz w:val="22"/>
          <w:szCs w:val="22"/>
        </w:rPr>
        <w:t xml:space="preserve"> </w:t>
      </w:r>
      <w:r w:rsidRPr="003F23DE">
        <w:rPr>
          <w:rFonts w:ascii="Arial" w:hAnsi="Arial" w:cs="Arial"/>
          <w:sz w:val="22"/>
          <w:szCs w:val="22"/>
          <w:lang w:val="en-US"/>
        </w:rPr>
        <w:t>acid</w:t>
      </w:r>
      <w:r w:rsidRPr="004460CD">
        <w:rPr>
          <w:rFonts w:ascii="Arial" w:hAnsi="Arial" w:cs="Arial"/>
          <w:sz w:val="22"/>
          <w:szCs w:val="22"/>
        </w:rPr>
        <w:t xml:space="preserve"> 10% (</w:t>
      </w:r>
      <w:r w:rsidRPr="003F23DE">
        <w:rPr>
          <w:rFonts w:ascii="Arial" w:hAnsi="Arial" w:cs="Arial"/>
          <w:sz w:val="22"/>
          <w:szCs w:val="22"/>
          <w:lang w:val="en-US"/>
        </w:rPr>
        <w:t>w</w:t>
      </w:r>
      <w:r w:rsidRPr="004460CD">
        <w:rPr>
          <w:rFonts w:ascii="Arial" w:hAnsi="Arial" w:cs="Arial"/>
          <w:sz w:val="22"/>
          <w:szCs w:val="22"/>
        </w:rPr>
        <w:t>/</w:t>
      </w:r>
      <w:r w:rsidRPr="003F23DE">
        <w:rPr>
          <w:rFonts w:ascii="Arial" w:hAnsi="Arial" w:cs="Arial"/>
          <w:sz w:val="22"/>
          <w:szCs w:val="22"/>
          <w:lang w:val="en-US"/>
        </w:rPr>
        <w:t>v</w:t>
      </w:r>
      <w:r w:rsidRPr="004460CD">
        <w:rPr>
          <w:rFonts w:ascii="Arial" w:hAnsi="Arial" w:cs="Arial"/>
          <w:sz w:val="22"/>
          <w:szCs w:val="22"/>
        </w:rPr>
        <w:t xml:space="preserve">), </w:t>
      </w:r>
      <w:r w:rsidRPr="003F23DE">
        <w:rPr>
          <w:rFonts w:ascii="Arial" w:hAnsi="Arial" w:cs="Arial"/>
          <w:sz w:val="22"/>
          <w:szCs w:val="22"/>
          <w:lang w:val="en-US"/>
        </w:rPr>
        <w:t>Sodium</w:t>
      </w:r>
      <w:r w:rsidRPr="004460CD">
        <w:rPr>
          <w:rFonts w:ascii="Arial" w:hAnsi="Arial" w:cs="Arial"/>
          <w:sz w:val="22"/>
          <w:szCs w:val="22"/>
        </w:rPr>
        <w:t xml:space="preserve"> </w:t>
      </w:r>
      <w:r w:rsidRPr="003F23DE">
        <w:rPr>
          <w:rFonts w:ascii="Arial" w:hAnsi="Arial" w:cs="Arial"/>
          <w:sz w:val="22"/>
          <w:szCs w:val="22"/>
          <w:lang w:val="en-US"/>
        </w:rPr>
        <w:t>hydroxide</w:t>
      </w:r>
      <w:r w:rsidRPr="004460CD">
        <w:rPr>
          <w:rFonts w:ascii="Arial" w:hAnsi="Arial" w:cs="Arial"/>
          <w:sz w:val="22"/>
          <w:szCs w:val="22"/>
        </w:rPr>
        <w:t xml:space="preserve"> 10% (</w:t>
      </w:r>
      <w:r w:rsidRPr="003F23DE">
        <w:rPr>
          <w:rFonts w:ascii="Arial" w:hAnsi="Arial" w:cs="Arial"/>
          <w:sz w:val="22"/>
          <w:szCs w:val="22"/>
          <w:lang w:val="en-US"/>
        </w:rPr>
        <w:t>w</w:t>
      </w:r>
      <w:r w:rsidRPr="004460CD">
        <w:rPr>
          <w:rFonts w:ascii="Arial" w:hAnsi="Arial" w:cs="Arial"/>
          <w:sz w:val="22"/>
          <w:szCs w:val="22"/>
        </w:rPr>
        <w:t>/</w:t>
      </w:r>
      <w:r w:rsidRPr="003F23DE">
        <w:rPr>
          <w:rFonts w:ascii="Arial" w:hAnsi="Arial" w:cs="Arial"/>
          <w:sz w:val="22"/>
          <w:szCs w:val="22"/>
          <w:lang w:val="en-US"/>
        </w:rPr>
        <w:t>v</w:t>
      </w:r>
      <w:r w:rsidRPr="004460CD">
        <w:rPr>
          <w:rFonts w:ascii="Arial" w:hAnsi="Arial" w:cs="Arial"/>
          <w:sz w:val="22"/>
          <w:szCs w:val="22"/>
        </w:rPr>
        <w:t xml:space="preserve">), </w:t>
      </w:r>
      <w:r w:rsidRPr="003F23DE">
        <w:rPr>
          <w:rFonts w:ascii="Arial" w:hAnsi="Arial" w:cs="Arial"/>
          <w:sz w:val="22"/>
          <w:szCs w:val="22"/>
          <w:lang w:val="en-US"/>
        </w:rPr>
        <w:t>Water</w:t>
      </w:r>
      <w:r w:rsidRPr="004460CD">
        <w:rPr>
          <w:rFonts w:ascii="Arial" w:hAnsi="Arial" w:cs="Arial"/>
          <w:sz w:val="22"/>
          <w:szCs w:val="22"/>
        </w:rPr>
        <w:t xml:space="preserve"> </w:t>
      </w:r>
      <w:r w:rsidRPr="003F23DE">
        <w:rPr>
          <w:rFonts w:ascii="Arial" w:hAnsi="Arial" w:cs="Arial"/>
          <w:sz w:val="22"/>
          <w:szCs w:val="22"/>
          <w:lang w:val="en-US"/>
        </w:rPr>
        <w:t>purified</w:t>
      </w:r>
      <w:r w:rsidRPr="004460CD">
        <w:rPr>
          <w:rFonts w:ascii="Arial" w:hAnsi="Arial" w:cs="Arial"/>
          <w:sz w:val="22"/>
          <w:szCs w:val="22"/>
        </w:rPr>
        <w:t xml:space="preserve">.  </w:t>
      </w:r>
    </w:p>
    <w:p w:rsidR="00012495" w:rsidRPr="004460CD" w:rsidRDefault="00012495" w:rsidP="003F23DE">
      <w:pPr>
        <w:spacing w:line="360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</w:p>
    <w:p w:rsidR="00012495" w:rsidRPr="003F23DE" w:rsidRDefault="00C8417F" w:rsidP="003F23DE">
      <w:pPr>
        <w:spacing w:line="360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6.2.  </w:t>
      </w:r>
      <w:r>
        <w:rPr>
          <w:rFonts w:ascii="Arial" w:hAnsi="Arial" w:cs="Arial"/>
          <w:b/>
          <w:iCs/>
          <w:sz w:val="22"/>
          <w:szCs w:val="22"/>
        </w:rPr>
        <w:tab/>
        <w:t>Ασυμβατότητ</w:t>
      </w:r>
      <w:r w:rsidR="00601896">
        <w:rPr>
          <w:rFonts w:ascii="Arial" w:hAnsi="Arial" w:cs="Arial"/>
          <w:b/>
          <w:iCs/>
          <w:sz w:val="22"/>
          <w:szCs w:val="22"/>
        </w:rPr>
        <w:t>ες</w:t>
      </w:r>
    </w:p>
    <w:p w:rsidR="00012495" w:rsidRPr="003F23DE" w:rsidRDefault="00012495" w:rsidP="003F23DE">
      <w:pPr>
        <w:spacing w:line="360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 xml:space="preserve">      </w:t>
      </w:r>
      <w:r w:rsidRPr="003F23DE">
        <w:rPr>
          <w:rFonts w:ascii="Arial" w:hAnsi="Arial" w:cs="Arial"/>
          <w:iCs/>
          <w:sz w:val="22"/>
          <w:szCs w:val="22"/>
        </w:rPr>
        <w:tab/>
      </w:r>
      <w:r w:rsidR="00601896">
        <w:rPr>
          <w:rFonts w:ascii="Arial" w:hAnsi="Arial" w:cs="Arial"/>
          <w:iCs/>
          <w:sz w:val="22"/>
          <w:szCs w:val="22"/>
        </w:rPr>
        <w:t xml:space="preserve">Δεν εφαρμόζεται. </w:t>
      </w:r>
    </w:p>
    <w:p w:rsidR="00012495" w:rsidRPr="003F23DE" w:rsidRDefault="00012495" w:rsidP="003F23DE">
      <w:pPr>
        <w:spacing w:line="360" w:lineRule="auto"/>
        <w:ind w:left="567" w:hanging="567"/>
        <w:jc w:val="both"/>
        <w:rPr>
          <w:rFonts w:ascii="Arial" w:hAnsi="Arial" w:cs="Arial"/>
          <w:b/>
          <w:iCs/>
          <w:sz w:val="22"/>
          <w:szCs w:val="22"/>
        </w:rPr>
      </w:pPr>
      <w:r w:rsidRPr="003F23DE">
        <w:rPr>
          <w:rFonts w:ascii="Arial" w:hAnsi="Arial" w:cs="Arial"/>
          <w:b/>
          <w:iCs/>
          <w:sz w:val="22"/>
          <w:szCs w:val="22"/>
        </w:rPr>
        <w:t xml:space="preserve">6.3.  </w:t>
      </w:r>
      <w:r w:rsidRPr="003F23DE">
        <w:rPr>
          <w:rFonts w:ascii="Arial" w:hAnsi="Arial" w:cs="Arial"/>
          <w:b/>
          <w:iCs/>
          <w:sz w:val="22"/>
          <w:szCs w:val="22"/>
        </w:rPr>
        <w:tab/>
        <w:t>Διάρκεια ζωής</w:t>
      </w:r>
    </w:p>
    <w:p w:rsidR="00012495" w:rsidRPr="003F23DE" w:rsidRDefault="00012495" w:rsidP="003F23DE">
      <w:pPr>
        <w:spacing w:line="360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 xml:space="preserve">      </w:t>
      </w:r>
      <w:r w:rsidRPr="003F23DE">
        <w:rPr>
          <w:rFonts w:ascii="Arial" w:hAnsi="Arial" w:cs="Arial"/>
          <w:iCs/>
          <w:sz w:val="22"/>
          <w:szCs w:val="22"/>
        </w:rPr>
        <w:tab/>
        <w:t xml:space="preserve">Το φάρμακο έχει διάρκεια ζωής 36 μήνες </w:t>
      </w:r>
      <w:r w:rsidR="00C8417F">
        <w:rPr>
          <w:rFonts w:ascii="Arial" w:hAnsi="Arial" w:cs="Arial"/>
          <w:iCs/>
          <w:sz w:val="22"/>
          <w:szCs w:val="22"/>
        </w:rPr>
        <w:t xml:space="preserve">με τη προς διάθεση </w:t>
      </w:r>
      <w:r w:rsidRPr="003F23DE">
        <w:rPr>
          <w:rFonts w:ascii="Arial" w:hAnsi="Arial" w:cs="Arial"/>
          <w:iCs/>
          <w:sz w:val="22"/>
          <w:szCs w:val="22"/>
        </w:rPr>
        <w:t>συσκευασία.</w:t>
      </w:r>
    </w:p>
    <w:p w:rsidR="00012495" w:rsidRPr="003F23DE" w:rsidRDefault="00012495" w:rsidP="003F23DE">
      <w:pPr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>Ο χρόνος ζωής του προϊόντος ισχύει υπό την προϋπόθεση ότι το προϊόν φυλάσσεται σύμφωνα με τις προτεινόμενες οδηγίες φύλαξης.</w:t>
      </w:r>
    </w:p>
    <w:p w:rsidR="00012495" w:rsidRPr="003F23DE" w:rsidRDefault="00012495" w:rsidP="003F23DE">
      <w:pPr>
        <w:spacing w:line="360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</w:p>
    <w:p w:rsidR="00012495" w:rsidRPr="003F23DE" w:rsidRDefault="00012495" w:rsidP="003F23DE">
      <w:pPr>
        <w:spacing w:line="360" w:lineRule="auto"/>
        <w:ind w:left="567" w:hanging="567"/>
        <w:jc w:val="both"/>
        <w:rPr>
          <w:rFonts w:ascii="Arial" w:hAnsi="Arial" w:cs="Arial"/>
          <w:b/>
          <w:iCs/>
          <w:sz w:val="22"/>
          <w:szCs w:val="22"/>
        </w:rPr>
      </w:pPr>
      <w:r w:rsidRPr="003F23DE">
        <w:rPr>
          <w:rFonts w:ascii="Arial" w:hAnsi="Arial" w:cs="Arial"/>
          <w:b/>
          <w:iCs/>
          <w:sz w:val="22"/>
          <w:szCs w:val="22"/>
        </w:rPr>
        <w:t xml:space="preserve">6.4.  </w:t>
      </w:r>
      <w:r w:rsidRPr="003F23DE">
        <w:rPr>
          <w:rFonts w:ascii="Arial" w:hAnsi="Arial" w:cs="Arial"/>
          <w:b/>
          <w:iCs/>
          <w:sz w:val="22"/>
          <w:szCs w:val="22"/>
        </w:rPr>
        <w:tab/>
        <w:t xml:space="preserve">Ιδιαίτερες προφυλάξεις </w:t>
      </w:r>
      <w:r w:rsidR="00C8417F">
        <w:rPr>
          <w:rFonts w:ascii="Arial" w:hAnsi="Arial" w:cs="Arial"/>
          <w:b/>
          <w:iCs/>
          <w:sz w:val="22"/>
          <w:szCs w:val="22"/>
        </w:rPr>
        <w:t>κατά τη φύλαξη</w:t>
      </w:r>
      <w:r w:rsidRPr="003F23DE">
        <w:rPr>
          <w:rFonts w:ascii="Arial" w:hAnsi="Arial" w:cs="Arial"/>
          <w:b/>
          <w:iCs/>
          <w:sz w:val="22"/>
          <w:szCs w:val="22"/>
        </w:rPr>
        <w:t xml:space="preserve"> του προϊόντος</w:t>
      </w:r>
    </w:p>
    <w:p w:rsidR="00012495" w:rsidRPr="003F23DE" w:rsidRDefault="00012495" w:rsidP="003F23DE">
      <w:pPr>
        <w:spacing w:line="360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 xml:space="preserve">      </w:t>
      </w:r>
      <w:r w:rsidRPr="003F23DE">
        <w:rPr>
          <w:rFonts w:ascii="Arial" w:hAnsi="Arial" w:cs="Arial"/>
          <w:iCs/>
          <w:sz w:val="22"/>
          <w:szCs w:val="22"/>
        </w:rPr>
        <w:tab/>
        <w:t>Το φάρμακο πρέπει να φυλάσσεται σε θερμοκρασία περιβάλλοντος (&lt;25</w:t>
      </w:r>
      <w:r w:rsidR="009D7068">
        <w:rPr>
          <w:rFonts w:ascii="Arial" w:hAnsi="Arial" w:cs="Arial"/>
          <w:iCs/>
          <w:sz w:val="22"/>
          <w:szCs w:val="22"/>
        </w:rPr>
        <w:t xml:space="preserve"> </w:t>
      </w:r>
      <w:r w:rsidRPr="003F23DE">
        <w:rPr>
          <w:rFonts w:ascii="Arial" w:hAnsi="Arial" w:cs="Arial"/>
          <w:iCs/>
          <w:sz w:val="22"/>
          <w:szCs w:val="22"/>
          <w:vertAlign w:val="superscript"/>
        </w:rPr>
        <w:t>º</w:t>
      </w:r>
      <w:r w:rsidRPr="003F23DE">
        <w:rPr>
          <w:rFonts w:ascii="Arial" w:hAnsi="Arial" w:cs="Arial"/>
          <w:iCs/>
          <w:sz w:val="22"/>
          <w:szCs w:val="22"/>
        </w:rPr>
        <w:t>C), προστατευμένο από το φως και μακριά από τα παιδιά.</w:t>
      </w:r>
    </w:p>
    <w:p w:rsidR="00012495" w:rsidRPr="003F23DE" w:rsidRDefault="00012495" w:rsidP="003F23DE">
      <w:pPr>
        <w:spacing w:line="360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</w:p>
    <w:p w:rsidR="00012495" w:rsidRPr="003F23DE" w:rsidRDefault="00012495" w:rsidP="003F23DE">
      <w:pPr>
        <w:spacing w:line="360" w:lineRule="auto"/>
        <w:ind w:left="567" w:hanging="567"/>
        <w:jc w:val="both"/>
        <w:rPr>
          <w:rFonts w:ascii="Arial" w:hAnsi="Arial" w:cs="Arial"/>
          <w:b/>
          <w:iCs/>
          <w:sz w:val="22"/>
          <w:szCs w:val="22"/>
        </w:rPr>
      </w:pPr>
      <w:r w:rsidRPr="003F23DE">
        <w:rPr>
          <w:rFonts w:ascii="Arial" w:hAnsi="Arial" w:cs="Arial"/>
          <w:b/>
          <w:iCs/>
          <w:sz w:val="22"/>
          <w:szCs w:val="22"/>
        </w:rPr>
        <w:t xml:space="preserve">6.5.  </w:t>
      </w:r>
      <w:r w:rsidRPr="003F23DE">
        <w:rPr>
          <w:rFonts w:ascii="Arial" w:hAnsi="Arial" w:cs="Arial"/>
          <w:b/>
          <w:iCs/>
          <w:sz w:val="22"/>
          <w:szCs w:val="22"/>
        </w:rPr>
        <w:tab/>
        <w:t>Φύση και συστατικά του περιέκτη</w:t>
      </w:r>
    </w:p>
    <w:p w:rsidR="00012495" w:rsidRPr="004460CD" w:rsidRDefault="00012495" w:rsidP="003F23DE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ab/>
        <w:t>Το  φάρμακο</w:t>
      </w:r>
      <w:r w:rsidR="00D33A08" w:rsidRPr="003F23DE">
        <w:rPr>
          <w:rFonts w:ascii="Arial" w:hAnsi="Arial" w:cs="Arial"/>
          <w:iCs/>
          <w:sz w:val="22"/>
          <w:szCs w:val="22"/>
        </w:rPr>
        <w:t xml:space="preserve">  συσκευάζεται σ</w:t>
      </w:r>
      <w:r w:rsidRPr="003F23DE">
        <w:rPr>
          <w:rFonts w:ascii="Arial" w:hAnsi="Arial" w:cs="Arial"/>
          <w:sz w:val="22"/>
          <w:szCs w:val="22"/>
        </w:rPr>
        <w:t>ε φιάλη. Η φιάλη φέρει ετικέτα με τυπωμένα τα χαρακτηριστικά του προϊόντος και τα χαρακτηριστικά της παρτίδας. Κάθε κουτί περιέχει μία φιάλη και ένα φύλλο οδηγιών για το χρήστη.</w:t>
      </w:r>
    </w:p>
    <w:p w:rsidR="003822D7" w:rsidRPr="004460CD" w:rsidRDefault="003822D7" w:rsidP="003F23DE">
      <w:pPr>
        <w:spacing w:line="360" w:lineRule="auto"/>
        <w:ind w:left="567" w:hanging="567"/>
        <w:jc w:val="both"/>
        <w:rPr>
          <w:rFonts w:ascii="Arial" w:hAnsi="Arial" w:cs="Arial"/>
          <w:sz w:val="22"/>
          <w:szCs w:val="22"/>
        </w:rPr>
      </w:pPr>
    </w:p>
    <w:p w:rsidR="00012495" w:rsidRPr="003F23DE" w:rsidRDefault="00012495" w:rsidP="003F23DE">
      <w:pPr>
        <w:spacing w:line="360" w:lineRule="auto"/>
        <w:ind w:left="567" w:hanging="567"/>
        <w:jc w:val="both"/>
        <w:rPr>
          <w:rFonts w:ascii="Arial" w:hAnsi="Arial" w:cs="Arial"/>
          <w:b/>
          <w:iCs/>
          <w:sz w:val="22"/>
          <w:szCs w:val="22"/>
        </w:rPr>
      </w:pPr>
      <w:r w:rsidRPr="003F23DE">
        <w:rPr>
          <w:rFonts w:ascii="Arial" w:hAnsi="Arial" w:cs="Arial"/>
          <w:b/>
          <w:iCs/>
          <w:sz w:val="22"/>
          <w:szCs w:val="22"/>
        </w:rPr>
        <w:t xml:space="preserve">6.6.  </w:t>
      </w:r>
      <w:r w:rsidRPr="003F23DE">
        <w:rPr>
          <w:rFonts w:ascii="Arial" w:hAnsi="Arial" w:cs="Arial"/>
          <w:b/>
          <w:iCs/>
          <w:sz w:val="22"/>
          <w:szCs w:val="22"/>
        </w:rPr>
        <w:tab/>
        <w:t xml:space="preserve">Ειδικές προφυλάξεις </w:t>
      </w:r>
      <w:r w:rsidR="00C8417F">
        <w:rPr>
          <w:rFonts w:ascii="Arial" w:hAnsi="Arial" w:cs="Arial"/>
          <w:b/>
          <w:iCs/>
          <w:sz w:val="22"/>
          <w:szCs w:val="22"/>
        </w:rPr>
        <w:t xml:space="preserve">απόρριψης και άλλος χειρισμός </w:t>
      </w:r>
    </w:p>
    <w:p w:rsidR="00012495" w:rsidRPr="003F23DE" w:rsidRDefault="00012495" w:rsidP="003F23DE">
      <w:pPr>
        <w:spacing w:line="360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3F23DE">
        <w:rPr>
          <w:rFonts w:ascii="Arial" w:hAnsi="Arial" w:cs="Arial"/>
          <w:iCs/>
          <w:sz w:val="22"/>
          <w:szCs w:val="22"/>
        </w:rPr>
        <w:t xml:space="preserve">      </w:t>
      </w:r>
      <w:r w:rsidRPr="003F23DE">
        <w:rPr>
          <w:rFonts w:ascii="Arial" w:hAnsi="Arial" w:cs="Arial"/>
          <w:iCs/>
          <w:sz w:val="22"/>
          <w:szCs w:val="22"/>
        </w:rPr>
        <w:tab/>
        <w:t xml:space="preserve">Δεν </w:t>
      </w:r>
      <w:r w:rsidR="009D7068">
        <w:rPr>
          <w:rFonts w:ascii="Arial" w:hAnsi="Arial" w:cs="Arial"/>
          <w:iCs/>
          <w:sz w:val="22"/>
          <w:szCs w:val="22"/>
        </w:rPr>
        <w:t>υπάρχουν ειδικές απαιτήσεις</w:t>
      </w:r>
      <w:r w:rsidR="00C8417F">
        <w:rPr>
          <w:rFonts w:ascii="Arial" w:hAnsi="Arial" w:cs="Arial"/>
          <w:iCs/>
          <w:sz w:val="22"/>
          <w:szCs w:val="22"/>
        </w:rPr>
        <w:t>.</w:t>
      </w:r>
    </w:p>
    <w:p w:rsidR="00012495" w:rsidRPr="003F23DE" w:rsidRDefault="00012495" w:rsidP="003F23DE">
      <w:pPr>
        <w:spacing w:line="360" w:lineRule="auto"/>
        <w:ind w:left="567" w:hanging="567"/>
        <w:jc w:val="both"/>
        <w:rPr>
          <w:rFonts w:ascii="Arial" w:hAnsi="Arial" w:cs="Arial"/>
          <w:b/>
          <w:iCs/>
          <w:sz w:val="22"/>
          <w:szCs w:val="22"/>
        </w:rPr>
      </w:pPr>
    </w:p>
    <w:p w:rsidR="00012495" w:rsidRPr="003F23DE" w:rsidRDefault="00C8417F" w:rsidP="00C8417F">
      <w:pPr>
        <w:numPr>
          <w:ilvl w:val="1"/>
          <w:numId w:val="13"/>
        </w:num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  ΚΑΤΟΧΟΣ ΑΔΕΙΑΣ ΚΥΚΛΟΦΟΡΙΑΣ </w:t>
      </w:r>
    </w:p>
    <w:p w:rsidR="00012495" w:rsidRPr="00F671C2" w:rsidRDefault="00012495" w:rsidP="003F23DE">
      <w:pPr>
        <w:pStyle w:val="3"/>
        <w:ind w:right="0"/>
        <w:rPr>
          <w:i w:val="0"/>
          <w:iCs/>
          <w:spacing w:val="0"/>
          <w:sz w:val="22"/>
          <w:szCs w:val="22"/>
          <w:lang w:val="el-GR"/>
        </w:rPr>
      </w:pPr>
      <w:r w:rsidRPr="003F23DE">
        <w:rPr>
          <w:b/>
          <w:i w:val="0"/>
          <w:iCs/>
          <w:spacing w:val="0"/>
          <w:sz w:val="22"/>
          <w:szCs w:val="22"/>
        </w:rPr>
        <w:t>Verisfield (UK) Ltd</w:t>
      </w:r>
      <w:r w:rsidR="00F671C2">
        <w:rPr>
          <w:i w:val="0"/>
          <w:iCs/>
          <w:spacing w:val="0"/>
          <w:sz w:val="22"/>
          <w:szCs w:val="22"/>
          <w:lang w:val="el-GR"/>
        </w:rPr>
        <w:t>.</w:t>
      </w:r>
    </w:p>
    <w:p w:rsidR="00012495" w:rsidRPr="003F23DE" w:rsidRDefault="00012495" w:rsidP="003F23DE">
      <w:pPr>
        <w:spacing w:line="360" w:lineRule="auto"/>
        <w:ind w:left="567" w:hanging="567"/>
        <w:jc w:val="both"/>
        <w:rPr>
          <w:rFonts w:ascii="Arial" w:hAnsi="Arial" w:cs="Arial"/>
          <w:b/>
          <w:iCs/>
          <w:sz w:val="22"/>
          <w:szCs w:val="22"/>
          <w:u w:val="single"/>
          <w:lang w:val="en-US"/>
        </w:rPr>
      </w:pPr>
    </w:p>
    <w:p w:rsidR="00012495" w:rsidRPr="00270B8F" w:rsidRDefault="00C8417F" w:rsidP="00C8417F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 w:rsidRPr="00C8417F">
        <w:rPr>
          <w:rFonts w:ascii="Arial" w:hAnsi="Arial" w:cs="Arial"/>
          <w:b/>
          <w:iCs/>
          <w:sz w:val="22"/>
          <w:szCs w:val="22"/>
        </w:rPr>
        <w:t xml:space="preserve">  </w:t>
      </w:r>
      <w:r w:rsidRPr="00270B8F">
        <w:rPr>
          <w:rFonts w:ascii="Arial" w:hAnsi="Arial" w:cs="Arial"/>
          <w:b/>
          <w:iCs/>
          <w:sz w:val="22"/>
          <w:szCs w:val="22"/>
        </w:rPr>
        <w:t xml:space="preserve"> </w:t>
      </w:r>
      <w:r w:rsidR="00012495" w:rsidRPr="00270B8F">
        <w:rPr>
          <w:rFonts w:ascii="Arial" w:hAnsi="Arial" w:cs="Arial"/>
          <w:b/>
          <w:iCs/>
          <w:sz w:val="22"/>
          <w:szCs w:val="22"/>
        </w:rPr>
        <w:t>ΑΡΙΘΜΟΣ ΑΔΕΙΑΣ ΚΥΚΛΟΦΟΡΙΑΣ</w:t>
      </w:r>
    </w:p>
    <w:p w:rsidR="00012495" w:rsidRPr="003F23DE" w:rsidRDefault="00012495" w:rsidP="003F23DE">
      <w:pPr>
        <w:spacing w:line="360" w:lineRule="auto"/>
        <w:ind w:left="567" w:hanging="567"/>
        <w:jc w:val="both"/>
        <w:rPr>
          <w:rFonts w:ascii="Arial" w:hAnsi="Arial" w:cs="Arial"/>
          <w:b/>
          <w:iCs/>
          <w:sz w:val="22"/>
          <w:szCs w:val="22"/>
          <w:lang w:val="en-US"/>
        </w:rPr>
      </w:pPr>
    </w:p>
    <w:p w:rsidR="00012495" w:rsidRPr="00270B8F" w:rsidRDefault="00C8417F" w:rsidP="003F23DE">
      <w:pPr>
        <w:spacing w:line="360" w:lineRule="auto"/>
        <w:ind w:left="567" w:hanging="567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9</w:t>
      </w:r>
      <w:r w:rsidR="00012495" w:rsidRPr="003F23DE">
        <w:rPr>
          <w:rFonts w:ascii="Arial" w:hAnsi="Arial" w:cs="Arial"/>
          <w:b/>
          <w:iCs/>
          <w:sz w:val="22"/>
          <w:szCs w:val="22"/>
        </w:rPr>
        <w:t>.</w:t>
      </w:r>
      <w:r w:rsidR="00012495" w:rsidRPr="003F23DE">
        <w:rPr>
          <w:rFonts w:ascii="Arial" w:hAnsi="Arial" w:cs="Arial"/>
          <w:iCs/>
          <w:sz w:val="22"/>
          <w:szCs w:val="22"/>
        </w:rPr>
        <w:t xml:space="preserve"> </w:t>
      </w:r>
      <w:r w:rsidR="00012495" w:rsidRPr="003F23DE">
        <w:rPr>
          <w:rFonts w:ascii="Arial" w:hAnsi="Arial" w:cs="Arial"/>
          <w:iCs/>
          <w:sz w:val="22"/>
          <w:szCs w:val="22"/>
        </w:rPr>
        <w:tab/>
      </w:r>
      <w:r w:rsidR="00012495" w:rsidRPr="00270B8F">
        <w:rPr>
          <w:rFonts w:ascii="Arial" w:hAnsi="Arial" w:cs="Arial"/>
          <w:b/>
          <w:iCs/>
          <w:sz w:val="22"/>
          <w:szCs w:val="22"/>
        </w:rPr>
        <w:t xml:space="preserve">ΗΜΕΡΟΜΗΝΙΑ ΠΡΩΤΗΣ </w:t>
      </w:r>
      <w:r w:rsidRPr="00270B8F">
        <w:rPr>
          <w:rFonts w:ascii="Arial" w:hAnsi="Arial" w:cs="Arial"/>
          <w:b/>
          <w:iCs/>
          <w:sz w:val="22"/>
          <w:szCs w:val="22"/>
        </w:rPr>
        <w:t xml:space="preserve">ΕΓΚΡΙΣΗΣ/ </w:t>
      </w:r>
      <w:r w:rsidR="00012495" w:rsidRPr="00270B8F">
        <w:rPr>
          <w:rFonts w:ascii="Arial" w:hAnsi="Arial" w:cs="Arial"/>
          <w:b/>
          <w:iCs/>
          <w:sz w:val="22"/>
          <w:szCs w:val="22"/>
        </w:rPr>
        <w:t xml:space="preserve">ΑΝΑΝΕΩΣΗ THΣ  ΑΔΕΙΑΣ </w:t>
      </w:r>
    </w:p>
    <w:p w:rsidR="00012495" w:rsidRPr="00270B8F" w:rsidRDefault="00012495" w:rsidP="003F23DE">
      <w:pPr>
        <w:spacing w:line="360" w:lineRule="auto"/>
        <w:ind w:left="567" w:hanging="567"/>
        <w:jc w:val="both"/>
        <w:rPr>
          <w:rFonts w:ascii="Arial" w:hAnsi="Arial" w:cs="Arial"/>
          <w:b/>
          <w:iCs/>
          <w:sz w:val="22"/>
          <w:szCs w:val="22"/>
        </w:rPr>
      </w:pPr>
    </w:p>
    <w:p w:rsidR="00012495" w:rsidRPr="00270B8F" w:rsidRDefault="00C8417F" w:rsidP="003F23DE">
      <w:pPr>
        <w:spacing w:line="360" w:lineRule="auto"/>
        <w:ind w:left="567" w:hanging="567"/>
        <w:jc w:val="both"/>
        <w:rPr>
          <w:rFonts w:ascii="Arial" w:hAnsi="Arial" w:cs="Arial"/>
          <w:iCs/>
          <w:sz w:val="22"/>
          <w:szCs w:val="22"/>
        </w:rPr>
      </w:pPr>
      <w:r w:rsidRPr="00270B8F">
        <w:rPr>
          <w:rFonts w:ascii="Arial" w:hAnsi="Arial" w:cs="Arial"/>
          <w:b/>
          <w:iCs/>
          <w:sz w:val="22"/>
          <w:szCs w:val="22"/>
        </w:rPr>
        <w:t>10</w:t>
      </w:r>
      <w:r w:rsidR="00012495" w:rsidRPr="00270B8F">
        <w:rPr>
          <w:rFonts w:ascii="Arial" w:hAnsi="Arial" w:cs="Arial"/>
          <w:b/>
          <w:iCs/>
          <w:sz w:val="22"/>
          <w:szCs w:val="22"/>
        </w:rPr>
        <w:t xml:space="preserve">. </w:t>
      </w:r>
      <w:r w:rsidR="00012495" w:rsidRPr="00270B8F">
        <w:rPr>
          <w:rFonts w:ascii="Arial" w:hAnsi="Arial" w:cs="Arial"/>
          <w:b/>
          <w:iCs/>
          <w:sz w:val="22"/>
          <w:szCs w:val="22"/>
        </w:rPr>
        <w:tab/>
        <w:t>ΗΜΕΡΟΜΗΝΙΑ (ΜΕΡΙΚΗΣ) ΑΝΑΘΕΩΡΗΣΗΣ ΤΟΥ ΚΕΙΜΕΝΟΥ</w:t>
      </w:r>
      <w:r w:rsidR="00012495" w:rsidRPr="00270B8F">
        <w:rPr>
          <w:rFonts w:ascii="Arial" w:hAnsi="Arial" w:cs="Arial"/>
          <w:iCs/>
          <w:sz w:val="22"/>
          <w:szCs w:val="22"/>
        </w:rPr>
        <w:t xml:space="preserve"> </w:t>
      </w:r>
    </w:p>
    <w:p w:rsidR="00012495" w:rsidRPr="00270B8F" w:rsidRDefault="00012495" w:rsidP="003F23DE">
      <w:pPr>
        <w:spacing w:line="360" w:lineRule="auto"/>
        <w:ind w:left="567" w:hanging="567"/>
        <w:jc w:val="both"/>
        <w:rPr>
          <w:rFonts w:ascii="Arial" w:hAnsi="Arial" w:cs="Arial"/>
          <w:b/>
          <w:iCs/>
          <w:sz w:val="22"/>
          <w:szCs w:val="22"/>
        </w:rPr>
      </w:pPr>
    </w:p>
    <w:sectPr w:rsidR="00012495" w:rsidRPr="00270B8F" w:rsidSect="004460CD">
      <w:headerReference w:type="even" r:id="rId7"/>
      <w:headerReference w:type="default" r:id="rId8"/>
      <w:footerReference w:type="default" r:id="rId9"/>
      <w:pgSz w:w="11906" w:h="16838"/>
      <w:pgMar w:top="1134" w:right="1133" w:bottom="1135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197" w:rsidRDefault="00E67197">
      <w:r>
        <w:separator/>
      </w:r>
    </w:p>
  </w:endnote>
  <w:endnote w:type="continuationSeparator" w:id="0">
    <w:p w:rsidR="00E67197" w:rsidRDefault="00E67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85" w:rsidRDefault="00166F85">
    <w:pPr>
      <w:pStyle w:val="a7"/>
      <w:pBdr>
        <w:top w:val="single" w:sz="18" w:space="1" w:color="auto"/>
      </w:pBdr>
      <w:rPr>
        <w:rFonts w:ascii="Arial" w:hAnsi="Arial" w:cs="Arial"/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197" w:rsidRDefault="00E67197">
      <w:r>
        <w:separator/>
      </w:r>
    </w:p>
  </w:footnote>
  <w:footnote w:type="continuationSeparator" w:id="0">
    <w:p w:rsidR="00E67197" w:rsidRDefault="00E67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85" w:rsidRDefault="004A3F3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66F8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6F85" w:rsidRDefault="00166F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F85" w:rsidRDefault="00166F85">
    <w:pPr>
      <w:pStyle w:val="a3"/>
      <w:pBdr>
        <w:bottom w:val="single" w:sz="18" w:space="1" w:color="auto"/>
      </w:pBdr>
      <w:ind w:right="4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965"/>
    <w:multiLevelType w:val="singleLevel"/>
    <w:tmpl w:val="0AB05E68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1">
    <w:nsid w:val="1CCE5178"/>
    <w:multiLevelType w:val="singleLevel"/>
    <w:tmpl w:val="0AB05E68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2">
    <w:nsid w:val="1D545536"/>
    <w:multiLevelType w:val="multilevel"/>
    <w:tmpl w:val="9894E812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8F7177"/>
    <w:multiLevelType w:val="hybridMultilevel"/>
    <w:tmpl w:val="7D0A533E"/>
    <w:lvl w:ilvl="0" w:tplc="D68C427C">
      <w:start w:val="1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2BDC42A0"/>
    <w:multiLevelType w:val="multilevel"/>
    <w:tmpl w:val="57B0634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C1D7131"/>
    <w:multiLevelType w:val="singleLevel"/>
    <w:tmpl w:val="70060964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6">
    <w:nsid w:val="4513240F"/>
    <w:multiLevelType w:val="multilevel"/>
    <w:tmpl w:val="89421A3A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764F87"/>
    <w:multiLevelType w:val="multilevel"/>
    <w:tmpl w:val="55F61196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9A177B1"/>
    <w:multiLevelType w:val="singleLevel"/>
    <w:tmpl w:val="449CA20C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hint="default"/>
      </w:rPr>
    </w:lvl>
  </w:abstractNum>
  <w:abstractNum w:abstractNumId="9">
    <w:nsid w:val="57203861"/>
    <w:multiLevelType w:val="multilevel"/>
    <w:tmpl w:val="57B0634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C766230"/>
    <w:multiLevelType w:val="singleLevel"/>
    <w:tmpl w:val="17F45912"/>
    <w:lvl w:ilvl="0">
      <w:start w:val="4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1">
    <w:nsid w:val="5CBC71B5"/>
    <w:multiLevelType w:val="hybridMultilevel"/>
    <w:tmpl w:val="01A8FA48"/>
    <w:lvl w:ilvl="0" w:tplc="4C7CBB6C">
      <w:start w:val="1"/>
      <w:numFmt w:val="bullet"/>
      <w:lvlText w:val=""/>
      <w:lvlJc w:val="left"/>
      <w:pPr>
        <w:tabs>
          <w:tab w:val="num" w:pos="808"/>
        </w:tabs>
        <w:ind w:left="2233" w:hanging="22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73FF50E5"/>
    <w:multiLevelType w:val="hybridMultilevel"/>
    <w:tmpl w:val="30348EBE"/>
    <w:lvl w:ilvl="0" w:tplc="199CB7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684308"/>
    <w:multiLevelType w:val="multilevel"/>
    <w:tmpl w:val="9894E812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EDF0436"/>
    <w:multiLevelType w:val="singleLevel"/>
    <w:tmpl w:val="0AB05E68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14"/>
  </w:num>
  <w:num w:numId="9">
    <w:abstractNumId w:val="4"/>
  </w:num>
  <w:num w:numId="10">
    <w:abstractNumId w:val="9"/>
  </w:num>
  <w:num w:numId="11">
    <w:abstractNumId w:val="3"/>
  </w:num>
  <w:num w:numId="12">
    <w:abstractNumId w:val="11"/>
  </w:num>
  <w:num w:numId="13">
    <w:abstractNumId w:val="6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A73"/>
    <w:rsid w:val="00012495"/>
    <w:rsid w:val="00021D02"/>
    <w:rsid w:val="0006226C"/>
    <w:rsid w:val="00090B5B"/>
    <w:rsid w:val="000B045C"/>
    <w:rsid w:val="000C58BD"/>
    <w:rsid w:val="000D7C58"/>
    <w:rsid w:val="000E4A3D"/>
    <w:rsid w:val="000F355C"/>
    <w:rsid w:val="001245CC"/>
    <w:rsid w:val="0013770E"/>
    <w:rsid w:val="00162C87"/>
    <w:rsid w:val="00163D8B"/>
    <w:rsid w:val="00166F85"/>
    <w:rsid w:val="001951B3"/>
    <w:rsid w:val="001A4FA5"/>
    <w:rsid w:val="001C2C6C"/>
    <w:rsid w:val="001D3A98"/>
    <w:rsid w:val="001F2109"/>
    <w:rsid w:val="00214A73"/>
    <w:rsid w:val="002175A2"/>
    <w:rsid w:val="002203E7"/>
    <w:rsid w:val="002615E6"/>
    <w:rsid w:val="00270B8F"/>
    <w:rsid w:val="0027305D"/>
    <w:rsid w:val="0028399A"/>
    <w:rsid w:val="00286B48"/>
    <w:rsid w:val="002946E4"/>
    <w:rsid w:val="002A4950"/>
    <w:rsid w:val="002A6206"/>
    <w:rsid w:val="002B255A"/>
    <w:rsid w:val="002B4014"/>
    <w:rsid w:val="002C0AF9"/>
    <w:rsid w:val="002C16CA"/>
    <w:rsid w:val="002D3136"/>
    <w:rsid w:val="00301220"/>
    <w:rsid w:val="00316016"/>
    <w:rsid w:val="003177F7"/>
    <w:rsid w:val="003416A2"/>
    <w:rsid w:val="00352598"/>
    <w:rsid w:val="003636D0"/>
    <w:rsid w:val="00375BE8"/>
    <w:rsid w:val="00377765"/>
    <w:rsid w:val="003822D7"/>
    <w:rsid w:val="00384ADD"/>
    <w:rsid w:val="003873AE"/>
    <w:rsid w:val="00391DD5"/>
    <w:rsid w:val="00395217"/>
    <w:rsid w:val="003A54DB"/>
    <w:rsid w:val="003B17E6"/>
    <w:rsid w:val="003B74B6"/>
    <w:rsid w:val="003F23DE"/>
    <w:rsid w:val="00417205"/>
    <w:rsid w:val="004460CD"/>
    <w:rsid w:val="00463278"/>
    <w:rsid w:val="00464811"/>
    <w:rsid w:val="00481AFE"/>
    <w:rsid w:val="00484227"/>
    <w:rsid w:val="004A3F38"/>
    <w:rsid w:val="004D7642"/>
    <w:rsid w:val="00504F19"/>
    <w:rsid w:val="005153A9"/>
    <w:rsid w:val="005266E5"/>
    <w:rsid w:val="00536B10"/>
    <w:rsid w:val="00537213"/>
    <w:rsid w:val="00544043"/>
    <w:rsid w:val="00551BC1"/>
    <w:rsid w:val="00557340"/>
    <w:rsid w:val="00593745"/>
    <w:rsid w:val="00594923"/>
    <w:rsid w:val="005D2A77"/>
    <w:rsid w:val="005E111B"/>
    <w:rsid w:val="005E52BD"/>
    <w:rsid w:val="00601896"/>
    <w:rsid w:val="00623671"/>
    <w:rsid w:val="006238CE"/>
    <w:rsid w:val="00630F41"/>
    <w:rsid w:val="006346C5"/>
    <w:rsid w:val="0063737D"/>
    <w:rsid w:val="0064395B"/>
    <w:rsid w:val="006455A0"/>
    <w:rsid w:val="0064742C"/>
    <w:rsid w:val="0066097A"/>
    <w:rsid w:val="00660AA5"/>
    <w:rsid w:val="00684BBA"/>
    <w:rsid w:val="00685783"/>
    <w:rsid w:val="00696E94"/>
    <w:rsid w:val="006D2D3C"/>
    <w:rsid w:val="006E228F"/>
    <w:rsid w:val="006F4A05"/>
    <w:rsid w:val="00705BAF"/>
    <w:rsid w:val="00730015"/>
    <w:rsid w:val="007460B6"/>
    <w:rsid w:val="00766BF1"/>
    <w:rsid w:val="0078052B"/>
    <w:rsid w:val="007828B5"/>
    <w:rsid w:val="00785ECB"/>
    <w:rsid w:val="00797D64"/>
    <w:rsid w:val="007E0D9B"/>
    <w:rsid w:val="00803A43"/>
    <w:rsid w:val="00814372"/>
    <w:rsid w:val="00837C80"/>
    <w:rsid w:val="00837E2A"/>
    <w:rsid w:val="00862A61"/>
    <w:rsid w:val="00875E28"/>
    <w:rsid w:val="0088058D"/>
    <w:rsid w:val="00883808"/>
    <w:rsid w:val="008851BF"/>
    <w:rsid w:val="00885448"/>
    <w:rsid w:val="008928F7"/>
    <w:rsid w:val="008D160F"/>
    <w:rsid w:val="008D22EF"/>
    <w:rsid w:val="008E43F1"/>
    <w:rsid w:val="008E55A5"/>
    <w:rsid w:val="008F1125"/>
    <w:rsid w:val="00920997"/>
    <w:rsid w:val="00923497"/>
    <w:rsid w:val="00931CF6"/>
    <w:rsid w:val="00963B9E"/>
    <w:rsid w:val="0096572B"/>
    <w:rsid w:val="00976C9C"/>
    <w:rsid w:val="00981137"/>
    <w:rsid w:val="009855AB"/>
    <w:rsid w:val="009A1391"/>
    <w:rsid w:val="009A6563"/>
    <w:rsid w:val="009C36E3"/>
    <w:rsid w:val="009C3FAB"/>
    <w:rsid w:val="009D7068"/>
    <w:rsid w:val="009D7C74"/>
    <w:rsid w:val="009F4E24"/>
    <w:rsid w:val="00A10084"/>
    <w:rsid w:val="00A17DF2"/>
    <w:rsid w:val="00A20832"/>
    <w:rsid w:val="00A554A2"/>
    <w:rsid w:val="00A56D85"/>
    <w:rsid w:val="00A67EA7"/>
    <w:rsid w:val="00A72CF9"/>
    <w:rsid w:val="00A737DD"/>
    <w:rsid w:val="00A82E93"/>
    <w:rsid w:val="00AD405D"/>
    <w:rsid w:val="00AE72B9"/>
    <w:rsid w:val="00AF1662"/>
    <w:rsid w:val="00AF1779"/>
    <w:rsid w:val="00AF2249"/>
    <w:rsid w:val="00AF4392"/>
    <w:rsid w:val="00B0562E"/>
    <w:rsid w:val="00B133CC"/>
    <w:rsid w:val="00B17C43"/>
    <w:rsid w:val="00B32FF8"/>
    <w:rsid w:val="00B33B6F"/>
    <w:rsid w:val="00B470D7"/>
    <w:rsid w:val="00B548CB"/>
    <w:rsid w:val="00B86F16"/>
    <w:rsid w:val="00B93DD8"/>
    <w:rsid w:val="00B973B6"/>
    <w:rsid w:val="00BA3388"/>
    <w:rsid w:val="00BB38E9"/>
    <w:rsid w:val="00BD583B"/>
    <w:rsid w:val="00BD60E6"/>
    <w:rsid w:val="00BE2BBF"/>
    <w:rsid w:val="00BE7891"/>
    <w:rsid w:val="00C217C7"/>
    <w:rsid w:val="00C2586C"/>
    <w:rsid w:val="00C25987"/>
    <w:rsid w:val="00C25C59"/>
    <w:rsid w:val="00C34DAD"/>
    <w:rsid w:val="00C41F96"/>
    <w:rsid w:val="00C8417F"/>
    <w:rsid w:val="00C967F1"/>
    <w:rsid w:val="00CB5317"/>
    <w:rsid w:val="00CC31DE"/>
    <w:rsid w:val="00CC6883"/>
    <w:rsid w:val="00CD30E5"/>
    <w:rsid w:val="00CD5655"/>
    <w:rsid w:val="00CE0500"/>
    <w:rsid w:val="00CE2C54"/>
    <w:rsid w:val="00CE3A54"/>
    <w:rsid w:val="00D11BD0"/>
    <w:rsid w:val="00D15612"/>
    <w:rsid w:val="00D33A08"/>
    <w:rsid w:val="00D40B75"/>
    <w:rsid w:val="00D40FB8"/>
    <w:rsid w:val="00D4689E"/>
    <w:rsid w:val="00D47C24"/>
    <w:rsid w:val="00DC02B0"/>
    <w:rsid w:val="00DC2172"/>
    <w:rsid w:val="00DC21FB"/>
    <w:rsid w:val="00DD1133"/>
    <w:rsid w:val="00DE216B"/>
    <w:rsid w:val="00DF6388"/>
    <w:rsid w:val="00E12CFD"/>
    <w:rsid w:val="00E20F32"/>
    <w:rsid w:val="00E6378E"/>
    <w:rsid w:val="00E67197"/>
    <w:rsid w:val="00E97D7A"/>
    <w:rsid w:val="00EC3465"/>
    <w:rsid w:val="00ED5CC3"/>
    <w:rsid w:val="00EE5917"/>
    <w:rsid w:val="00F10DB4"/>
    <w:rsid w:val="00F11BBC"/>
    <w:rsid w:val="00F144BF"/>
    <w:rsid w:val="00F32EDF"/>
    <w:rsid w:val="00F46D83"/>
    <w:rsid w:val="00F51165"/>
    <w:rsid w:val="00F671C2"/>
    <w:rsid w:val="00F73987"/>
    <w:rsid w:val="00F74811"/>
    <w:rsid w:val="00F76327"/>
    <w:rsid w:val="00F84045"/>
    <w:rsid w:val="00F92340"/>
    <w:rsid w:val="00FB0532"/>
    <w:rsid w:val="00FC7784"/>
    <w:rsid w:val="00FD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2B0"/>
  </w:style>
  <w:style w:type="paragraph" w:styleId="1">
    <w:name w:val="heading 1"/>
    <w:basedOn w:val="a"/>
    <w:next w:val="a"/>
    <w:qFormat/>
    <w:rsid w:val="00DC02B0"/>
    <w:pPr>
      <w:keepNext/>
      <w:spacing w:line="360" w:lineRule="exact"/>
      <w:jc w:val="center"/>
      <w:outlineLvl w:val="0"/>
    </w:pPr>
    <w:rPr>
      <w:rFonts w:ascii="Arial" w:hAnsi="Arial" w:cs="Arial"/>
      <w:i/>
      <w:iCs/>
      <w:sz w:val="24"/>
    </w:rPr>
  </w:style>
  <w:style w:type="paragraph" w:styleId="2">
    <w:name w:val="heading 2"/>
    <w:basedOn w:val="a"/>
    <w:next w:val="a"/>
    <w:qFormat/>
    <w:rsid w:val="00DC02B0"/>
    <w:pPr>
      <w:keepNext/>
      <w:spacing w:line="360" w:lineRule="auto"/>
      <w:ind w:left="567"/>
      <w:jc w:val="both"/>
      <w:outlineLvl w:val="1"/>
    </w:pPr>
    <w:rPr>
      <w:rFonts w:ascii="Arial" w:hAnsi="Arial" w:cs="Arial"/>
      <w:b/>
      <w:i/>
      <w:iCs/>
      <w:color w:val="FF0000"/>
      <w:u w:val="single"/>
    </w:rPr>
  </w:style>
  <w:style w:type="paragraph" w:styleId="3">
    <w:name w:val="heading 3"/>
    <w:basedOn w:val="a"/>
    <w:next w:val="a"/>
    <w:qFormat/>
    <w:rsid w:val="00DC02B0"/>
    <w:pPr>
      <w:keepNext/>
      <w:overflowPunct w:val="0"/>
      <w:autoSpaceDE w:val="0"/>
      <w:autoSpaceDN w:val="0"/>
      <w:adjustRightInd w:val="0"/>
      <w:spacing w:line="360" w:lineRule="auto"/>
      <w:ind w:left="567" w:right="-625"/>
      <w:jc w:val="both"/>
      <w:textAlignment w:val="baseline"/>
      <w:outlineLvl w:val="2"/>
    </w:pPr>
    <w:rPr>
      <w:rFonts w:ascii="Arial" w:hAnsi="Arial" w:cs="Arial"/>
      <w:i/>
      <w:spacing w:val="6"/>
      <w:lang w:val="en-US"/>
    </w:rPr>
  </w:style>
  <w:style w:type="paragraph" w:styleId="4">
    <w:name w:val="heading 4"/>
    <w:basedOn w:val="a"/>
    <w:next w:val="a"/>
    <w:qFormat/>
    <w:rsid w:val="00DC02B0"/>
    <w:pPr>
      <w:keepNext/>
      <w:spacing w:line="360" w:lineRule="auto"/>
      <w:ind w:left="567"/>
      <w:jc w:val="both"/>
      <w:outlineLvl w:val="3"/>
    </w:pPr>
    <w:rPr>
      <w:rFonts w:ascii="Arial" w:hAnsi="Arial" w:cs="Arial"/>
      <w:i/>
      <w:iCs/>
    </w:rPr>
  </w:style>
  <w:style w:type="paragraph" w:styleId="5">
    <w:name w:val="heading 5"/>
    <w:basedOn w:val="a"/>
    <w:next w:val="a"/>
    <w:qFormat/>
    <w:rsid w:val="00DC02B0"/>
    <w:pPr>
      <w:keepNext/>
      <w:spacing w:line="360" w:lineRule="auto"/>
      <w:ind w:left="567"/>
      <w:jc w:val="both"/>
      <w:outlineLvl w:val="4"/>
    </w:pPr>
    <w:rPr>
      <w:rFonts w:ascii="Arial" w:hAnsi="Arial" w:cs="Arial"/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02B0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DC02B0"/>
  </w:style>
  <w:style w:type="paragraph" w:styleId="a5">
    <w:name w:val="Body Text Indent"/>
    <w:basedOn w:val="a"/>
    <w:rsid w:val="00DC02B0"/>
    <w:pPr>
      <w:tabs>
        <w:tab w:val="left" w:pos="-426"/>
      </w:tabs>
      <w:spacing w:line="360" w:lineRule="auto"/>
      <w:ind w:left="993" w:hanging="360"/>
      <w:jc w:val="both"/>
    </w:pPr>
    <w:rPr>
      <w:rFonts w:ascii="Arial" w:hAnsi="Arial"/>
    </w:rPr>
  </w:style>
  <w:style w:type="paragraph" w:styleId="20">
    <w:name w:val="Body Text Indent 2"/>
    <w:basedOn w:val="a"/>
    <w:rsid w:val="00DC02B0"/>
    <w:pPr>
      <w:spacing w:line="360" w:lineRule="auto"/>
      <w:ind w:left="567"/>
      <w:jc w:val="both"/>
    </w:pPr>
    <w:rPr>
      <w:rFonts w:ascii="Arial" w:hAnsi="Arial"/>
    </w:rPr>
  </w:style>
  <w:style w:type="paragraph" w:styleId="a6">
    <w:name w:val="Title"/>
    <w:basedOn w:val="a"/>
    <w:qFormat/>
    <w:rsid w:val="00DC02B0"/>
    <w:pPr>
      <w:overflowPunct w:val="0"/>
      <w:autoSpaceDE w:val="0"/>
      <w:autoSpaceDN w:val="0"/>
      <w:adjustRightInd w:val="0"/>
      <w:spacing w:line="360" w:lineRule="auto"/>
      <w:ind w:left="567"/>
      <w:jc w:val="center"/>
      <w:textAlignment w:val="baseline"/>
    </w:pPr>
    <w:rPr>
      <w:rFonts w:ascii="Arial" w:hAnsi="Arial" w:cs="Arial"/>
      <w:b/>
      <w:i/>
      <w:iCs/>
      <w:sz w:val="30"/>
    </w:rPr>
  </w:style>
  <w:style w:type="paragraph" w:styleId="a7">
    <w:name w:val="footer"/>
    <w:basedOn w:val="a"/>
    <w:rsid w:val="00DC02B0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DC02B0"/>
    <w:pPr>
      <w:spacing w:line="360" w:lineRule="auto"/>
      <w:ind w:left="851" w:hanging="284"/>
      <w:jc w:val="both"/>
    </w:pPr>
    <w:rPr>
      <w:rFonts w:ascii="Arial" w:hAnsi="Arial" w:cs="Arial"/>
      <w:i/>
      <w:iCs/>
    </w:rPr>
  </w:style>
  <w:style w:type="table" w:styleId="a8">
    <w:name w:val="Table Grid"/>
    <w:basedOn w:val="a1"/>
    <w:rsid w:val="00F76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1868</Words>
  <Characters>10092</Characters>
  <Application>Microsoft Office Word</Application>
  <DocSecurity>0</DocSecurity>
  <Lines>84</Lines>
  <Paragraphs>23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spc</vt:lpstr>
      <vt:lpstr>spc</vt:lpstr>
    </vt:vector>
  </TitlesOfParts>
  <Company>KLEVA</Company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</dc:title>
  <dc:creator>KLEVA L.T.D.</dc:creator>
  <cp:lastModifiedBy>user146</cp:lastModifiedBy>
  <cp:revision>4</cp:revision>
  <cp:lastPrinted>2007-10-09T09:27:00Z</cp:lastPrinted>
  <dcterms:created xsi:type="dcterms:W3CDTF">2013-01-31T12:52:00Z</dcterms:created>
  <dcterms:modified xsi:type="dcterms:W3CDTF">2013-02-13T11:51:00Z</dcterms:modified>
</cp:coreProperties>
</file>