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40" w:rsidRPr="0017656E" w:rsidRDefault="001D1440" w:rsidP="00D81F0F">
      <w:pPr>
        <w:widowControl w:val="0"/>
        <w:tabs>
          <w:tab w:val="clear" w:pos="567"/>
        </w:tabs>
        <w:spacing w:line="240" w:lineRule="auto"/>
        <w:jc w:val="both"/>
        <w:rPr>
          <w:b/>
          <w:lang w:val="en-US"/>
        </w:rPr>
      </w:pPr>
    </w:p>
    <w:p w:rsidR="001D1440" w:rsidRPr="005D77D3" w:rsidRDefault="001D1440" w:rsidP="00D81F0F">
      <w:pPr>
        <w:jc w:val="both"/>
        <w:outlineLvl w:val="0"/>
        <w:rPr>
          <w:b/>
          <w:lang w:val="el-GR"/>
        </w:rPr>
      </w:pPr>
    </w:p>
    <w:p w:rsidR="001D1440" w:rsidRPr="005D77D3" w:rsidRDefault="001D1440" w:rsidP="00D81F0F">
      <w:pPr>
        <w:jc w:val="both"/>
        <w:outlineLvl w:val="0"/>
        <w:rPr>
          <w:b/>
          <w:lang w:val="el-GR"/>
        </w:rPr>
      </w:pPr>
    </w:p>
    <w:p w:rsidR="001D1440" w:rsidRPr="005D77D3" w:rsidRDefault="001D1440" w:rsidP="00D81F0F">
      <w:pPr>
        <w:jc w:val="both"/>
        <w:outlineLvl w:val="0"/>
        <w:rPr>
          <w:b/>
          <w:lang w:val="el-GR"/>
        </w:rPr>
      </w:pPr>
    </w:p>
    <w:p w:rsidR="001D1440" w:rsidRPr="005D77D3" w:rsidRDefault="001D1440" w:rsidP="00D81F0F">
      <w:pPr>
        <w:tabs>
          <w:tab w:val="left" w:pos="-1440"/>
          <w:tab w:val="left" w:pos="-720"/>
        </w:tabs>
        <w:jc w:val="both"/>
        <w:rPr>
          <w:b/>
          <w:lang w:val="el-GR"/>
        </w:rPr>
      </w:pPr>
    </w:p>
    <w:p w:rsidR="001D1440" w:rsidRPr="005D77D3" w:rsidRDefault="001D1440" w:rsidP="00D81F0F">
      <w:pPr>
        <w:tabs>
          <w:tab w:val="left" w:pos="-1440"/>
          <w:tab w:val="left" w:pos="-720"/>
        </w:tabs>
        <w:jc w:val="both"/>
        <w:rPr>
          <w:b/>
          <w:lang w:val="el-GR"/>
        </w:rPr>
      </w:pPr>
    </w:p>
    <w:p w:rsidR="001D1440" w:rsidRPr="005D77D3" w:rsidRDefault="001D1440" w:rsidP="00D81F0F">
      <w:pPr>
        <w:tabs>
          <w:tab w:val="left" w:pos="-1440"/>
          <w:tab w:val="left" w:pos="-720"/>
        </w:tabs>
        <w:jc w:val="both"/>
        <w:rPr>
          <w:b/>
          <w:lang w:val="el-GR"/>
        </w:rPr>
      </w:pPr>
    </w:p>
    <w:p w:rsidR="001D1440" w:rsidRPr="005D77D3" w:rsidRDefault="001D1440" w:rsidP="00D81F0F">
      <w:pPr>
        <w:tabs>
          <w:tab w:val="left" w:pos="-1440"/>
          <w:tab w:val="left" w:pos="-720"/>
        </w:tabs>
        <w:jc w:val="both"/>
        <w:rPr>
          <w:b/>
          <w:lang w:val="el-GR"/>
        </w:rPr>
      </w:pPr>
    </w:p>
    <w:p w:rsidR="001D1440" w:rsidRPr="005D77D3" w:rsidRDefault="001D1440" w:rsidP="00D81F0F">
      <w:pPr>
        <w:tabs>
          <w:tab w:val="left" w:pos="-1440"/>
          <w:tab w:val="left" w:pos="-720"/>
        </w:tabs>
        <w:jc w:val="both"/>
        <w:rPr>
          <w:b/>
          <w:lang w:val="el-GR"/>
        </w:rPr>
      </w:pPr>
    </w:p>
    <w:p w:rsidR="001D1440" w:rsidRPr="005D77D3" w:rsidRDefault="001D1440" w:rsidP="00D81F0F">
      <w:pPr>
        <w:tabs>
          <w:tab w:val="left" w:pos="-1440"/>
          <w:tab w:val="left" w:pos="-720"/>
        </w:tabs>
        <w:jc w:val="both"/>
        <w:rPr>
          <w:b/>
          <w:lang w:val="el-GR"/>
        </w:rPr>
      </w:pPr>
    </w:p>
    <w:p w:rsidR="001D1440" w:rsidRPr="005D77D3" w:rsidRDefault="001D1440" w:rsidP="00D81F0F">
      <w:pPr>
        <w:tabs>
          <w:tab w:val="left" w:pos="-1440"/>
          <w:tab w:val="left" w:pos="-720"/>
        </w:tabs>
        <w:jc w:val="both"/>
        <w:rPr>
          <w:b/>
          <w:lang w:val="el-GR"/>
        </w:rPr>
      </w:pPr>
    </w:p>
    <w:p w:rsidR="001D1440" w:rsidRPr="005D77D3" w:rsidRDefault="001D1440" w:rsidP="00D81F0F">
      <w:pPr>
        <w:tabs>
          <w:tab w:val="left" w:pos="-1440"/>
          <w:tab w:val="left" w:pos="-720"/>
        </w:tabs>
        <w:jc w:val="both"/>
        <w:rPr>
          <w:b/>
          <w:lang w:val="el-GR"/>
        </w:rPr>
      </w:pPr>
    </w:p>
    <w:p w:rsidR="001D1440" w:rsidRPr="005D77D3" w:rsidRDefault="001D1440" w:rsidP="00D81F0F">
      <w:pPr>
        <w:tabs>
          <w:tab w:val="left" w:pos="-1440"/>
          <w:tab w:val="left" w:pos="-720"/>
        </w:tabs>
        <w:jc w:val="both"/>
        <w:rPr>
          <w:b/>
          <w:lang w:val="el-GR"/>
        </w:rPr>
      </w:pPr>
    </w:p>
    <w:p w:rsidR="001D1440" w:rsidRPr="005D77D3" w:rsidRDefault="001D1440" w:rsidP="00D81F0F">
      <w:pPr>
        <w:tabs>
          <w:tab w:val="left" w:pos="-1440"/>
          <w:tab w:val="left" w:pos="-720"/>
        </w:tabs>
        <w:jc w:val="both"/>
        <w:rPr>
          <w:b/>
          <w:lang w:val="el-GR"/>
        </w:rPr>
      </w:pPr>
    </w:p>
    <w:p w:rsidR="001D1440" w:rsidRPr="005D77D3" w:rsidRDefault="001D1440" w:rsidP="00D81F0F">
      <w:pPr>
        <w:tabs>
          <w:tab w:val="left" w:pos="-1440"/>
          <w:tab w:val="left" w:pos="-720"/>
        </w:tabs>
        <w:jc w:val="both"/>
        <w:rPr>
          <w:b/>
          <w:lang w:val="el-GR"/>
        </w:rPr>
      </w:pPr>
    </w:p>
    <w:p w:rsidR="001D1440" w:rsidRPr="005D77D3" w:rsidRDefault="001D1440" w:rsidP="00D81F0F">
      <w:pPr>
        <w:tabs>
          <w:tab w:val="left" w:pos="-1440"/>
          <w:tab w:val="left" w:pos="-720"/>
        </w:tabs>
        <w:jc w:val="both"/>
        <w:rPr>
          <w:b/>
          <w:lang w:val="el-GR"/>
        </w:rPr>
      </w:pPr>
    </w:p>
    <w:p w:rsidR="001D1440" w:rsidRPr="005D77D3" w:rsidRDefault="001D1440" w:rsidP="00D81F0F">
      <w:pPr>
        <w:tabs>
          <w:tab w:val="left" w:pos="-1440"/>
          <w:tab w:val="left" w:pos="-720"/>
        </w:tabs>
        <w:jc w:val="both"/>
        <w:rPr>
          <w:b/>
          <w:lang w:val="el-GR"/>
        </w:rPr>
      </w:pPr>
    </w:p>
    <w:p w:rsidR="001D1440" w:rsidRPr="005D77D3" w:rsidRDefault="001D1440" w:rsidP="00D81F0F">
      <w:pPr>
        <w:tabs>
          <w:tab w:val="left" w:pos="-1440"/>
          <w:tab w:val="left" w:pos="-720"/>
        </w:tabs>
        <w:jc w:val="both"/>
        <w:rPr>
          <w:b/>
          <w:lang w:val="el-GR"/>
        </w:rPr>
      </w:pPr>
    </w:p>
    <w:p w:rsidR="001D1440" w:rsidRPr="005D77D3" w:rsidRDefault="001D1440" w:rsidP="00D81F0F">
      <w:pPr>
        <w:tabs>
          <w:tab w:val="left" w:pos="-1440"/>
          <w:tab w:val="left" w:pos="-720"/>
        </w:tabs>
        <w:jc w:val="both"/>
        <w:rPr>
          <w:b/>
          <w:lang w:val="el-GR"/>
        </w:rPr>
      </w:pPr>
    </w:p>
    <w:p w:rsidR="001D1440" w:rsidRPr="005D77D3" w:rsidRDefault="001D1440" w:rsidP="00D81F0F">
      <w:pPr>
        <w:tabs>
          <w:tab w:val="left" w:pos="-1440"/>
          <w:tab w:val="left" w:pos="-720"/>
        </w:tabs>
        <w:jc w:val="both"/>
        <w:rPr>
          <w:b/>
          <w:lang w:val="el-GR"/>
        </w:rPr>
      </w:pPr>
    </w:p>
    <w:p w:rsidR="001D1440" w:rsidRPr="005D77D3" w:rsidRDefault="001D1440" w:rsidP="00D81F0F">
      <w:pPr>
        <w:tabs>
          <w:tab w:val="left" w:pos="-1440"/>
          <w:tab w:val="left" w:pos="-720"/>
        </w:tabs>
        <w:jc w:val="both"/>
        <w:rPr>
          <w:b/>
          <w:lang w:val="el-GR"/>
        </w:rPr>
      </w:pPr>
    </w:p>
    <w:p w:rsidR="001D1440" w:rsidRPr="005D77D3" w:rsidRDefault="001D1440" w:rsidP="00D81F0F">
      <w:pPr>
        <w:tabs>
          <w:tab w:val="left" w:pos="-1440"/>
          <w:tab w:val="left" w:pos="-720"/>
        </w:tabs>
        <w:jc w:val="both"/>
        <w:rPr>
          <w:b/>
          <w:lang w:val="el-GR"/>
        </w:rPr>
      </w:pPr>
    </w:p>
    <w:p w:rsidR="001D1440" w:rsidRPr="005D77D3" w:rsidRDefault="001D1440" w:rsidP="00D81F0F">
      <w:pPr>
        <w:jc w:val="both"/>
        <w:rPr>
          <w:b/>
          <w:lang w:val="el-GR"/>
        </w:rPr>
      </w:pPr>
    </w:p>
    <w:p w:rsidR="001D1440" w:rsidRPr="005D77D3" w:rsidRDefault="001D1440" w:rsidP="00F95232">
      <w:pPr>
        <w:jc w:val="center"/>
        <w:rPr>
          <w:b/>
          <w:lang w:val="el-GR"/>
        </w:rPr>
      </w:pPr>
      <w:r w:rsidRPr="005D77D3">
        <w:rPr>
          <w:b/>
          <w:lang w:val="el-GR"/>
        </w:rPr>
        <w:t>ΠΕΡΙΛΗΨΗ ΤΩΝ ΧΑΡΑΚΤΗΡΙΣΤΙΚΩΝ ΤΟΥ ΠΡΟΪΟΝΤΟΣ</w:t>
      </w:r>
    </w:p>
    <w:p w:rsidR="001D1440" w:rsidRPr="005D77D3" w:rsidRDefault="001D1440" w:rsidP="00D81F0F">
      <w:pPr>
        <w:tabs>
          <w:tab w:val="left" w:pos="-1440"/>
          <w:tab w:val="left" w:pos="-720"/>
        </w:tabs>
        <w:jc w:val="both"/>
        <w:rPr>
          <w:lang w:val="el-GR"/>
        </w:rPr>
      </w:pPr>
    </w:p>
    <w:p w:rsidR="001D1440" w:rsidRPr="00F95232" w:rsidRDefault="001D1440" w:rsidP="00D81F0F">
      <w:pPr>
        <w:jc w:val="both"/>
        <w:rPr>
          <w:szCs w:val="22"/>
          <w:lang w:val="el-GR"/>
        </w:rPr>
      </w:pPr>
      <w:r w:rsidRPr="00684E83">
        <w:rPr>
          <w:noProof/>
          <w:color w:val="008000"/>
          <w:szCs w:val="22"/>
          <w:lang w:val="el-GR"/>
        </w:rPr>
        <w:br w:type="page"/>
      </w:r>
    </w:p>
    <w:p w:rsidR="001D1440" w:rsidRPr="005D77D3" w:rsidRDefault="001D1440" w:rsidP="00D81F0F">
      <w:pPr>
        <w:jc w:val="both"/>
        <w:rPr>
          <w:lang w:val="el-GR"/>
        </w:rPr>
      </w:pPr>
      <w:r w:rsidRPr="005D77D3">
        <w:rPr>
          <w:b/>
          <w:lang w:val="el-GR"/>
        </w:rPr>
        <w:t>1.</w:t>
      </w:r>
      <w:r w:rsidRPr="005D77D3">
        <w:rPr>
          <w:b/>
          <w:lang w:val="el-GR"/>
        </w:rPr>
        <w:tab/>
        <w:t>ΟΝΟΜΑΣΙΑ ΤΟΥ ΦΑΡΜΑΚΕΥΤΙΚΟΥ ΠΡΟΪΟΝΤΟΣ</w:t>
      </w:r>
    </w:p>
    <w:p w:rsidR="001D1440" w:rsidRPr="005D77D3" w:rsidRDefault="001D1440" w:rsidP="00D81F0F">
      <w:pPr>
        <w:jc w:val="both"/>
        <w:rPr>
          <w:lang w:val="el-GR"/>
        </w:rPr>
      </w:pPr>
    </w:p>
    <w:p w:rsidR="00B250AB" w:rsidRDefault="00B250AB" w:rsidP="00D81F0F">
      <w:pPr>
        <w:jc w:val="both"/>
        <w:rPr>
          <w:rFonts w:ascii="Arial" w:hAnsi="Arial" w:cs="Arial"/>
          <w:b/>
          <w:szCs w:val="22"/>
          <w:lang w:val="el-GR" w:eastAsia="it-IT"/>
        </w:rPr>
      </w:pPr>
      <w:proofErr w:type="spellStart"/>
      <w:r w:rsidRPr="00D81F0F">
        <w:rPr>
          <w:b/>
          <w:szCs w:val="22"/>
          <w:lang w:eastAsia="it-IT"/>
        </w:rPr>
        <w:t>Condromed</w:t>
      </w:r>
      <w:proofErr w:type="spellEnd"/>
      <w:r w:rsidRPr="00B250AB">
        <w:rPr>
          <w:rFonts w:ascii="Arial" w:hAnsi="Arial" w:cs="Arial"/>
          <w:b/>
          <w:vertAlign w:val="superscript"/>
          <w:lang w:val="el-GR" w:eastAsia="it-IT"/>
        </w:rPr>
        <w:t>®</w:t>
      </w:r>
      <w:r w:rsidRPr="00B250AB">
        <w:rPr>
          <w:rFonts w:ascii="Arial" w:hAnsi="Arial" w:cs="Arial"/>
          <w:b/>
          <w:szCs w:val="22"/>
          <w:lang w:val="el-GR" w:eastAsia="it-IT"/>
        </w:rPr>
        <w:t xml:space="preserve">, </w:t>
      </w:r>
    </w:p>
    <w:p w:rsidR="001D1440" w:rsidRPr="00B250AB" w:rsidRDefault="00B250AB" w:rsidP="00D81F0F">
      <w:pPr>
        <w:jc w:val="both"/>
        <w:rPr>
          <w:lang w:val="el-GR"/>
        </w:rPr>
      </w:pPr>
      <w:r w:rsidRPr="00B250AB">
        <w:rPr>
          <w:lang w:val="el-GR"/>
        </w:rPr>
        <w:t xml:space="preserve">400 </w:t>
      </w:r>
      <w:r>
        <w:rPr>
          <w:lang w:val="en-US"/>
        </w:rPr>
        <w:t>mg</w:t>
      </w:r>
      <w:r w:rsidRPr="00B250AB">
        <w:rPr>
          <w:lang w:val="el-GR"/>
        </w:rPr>
        <w:t>/</w:t>
      </w:r>
      <w:r>
        <w:rPr>
          <w:lang w:val="en-US"/>
        </w:rPr>
        <w:t>cap</w:t>
      </w:r>
      <w:r w:rsidRPr="00B250AB">
        <w:rPr>
          <w:lang w:val="el-GR"/>
        </w:rPr>
        <w:t xml:space="preserve">, </w:t>
      </w:r>
      <w:r>
        <w:rPr>
          <w:lang w:val="el-GR"/>
        </w:rPr>
        <w:t>σκληρά καψάκια</w:t>
      </w:r>
    </w:p>
    <w:p w:rsidR="001D1440" w:rsidRPr="005D77D3" w:rsidRDefault="001D1440" w:rsidP="00D81F0F">
      <w:pPr>
        <w:widowControl w:val="0"/>
        <w:jc w:val="both"/>
        <w:rPr>
          <w:i/>
          <w:lang w:val="el-GR"/>
        </w:rPr>
      </w:pPr>
    </w:p>
    <w:p w:rsidR="001D1440" w:rsidRPr="005D77D3" w:rsidRDefault="001D1440" w:rsidP="00D81F0F">
      <w:pPr>
        <w:jc w:val="both"/>
        <w:rPr>
          <w:i/>
          <w:lang w:val="el-GR"/>
        </w:rPr>
      </w:pPr>
    </w:p>
    <w:p w:rsidR="001D1440" w:rsidRPr="00166D11" w:rsidRDefault="001D1440" w:rsidP="00D81F0F">
      <w:pPr>
        <w:widowControl w:val="0"/>
        <w:jc w:val="both"/>
        <w:rPr>
          <w:b/>
          <w:szCs w:val="22"/>
          <w:lang w:val="el-GR"/>
        </w:rPr>
      </w:pPr>
      <w:r w:rsidRPr="005D77D3">
        <w:rPr>
          <w:b/>
          <w:lang w:val="el-GR"/>
        </w:rPr>
        <w:t>2.</w:t>
      </w:r>
      <w:r w:rsidRPr="005D77D3">
        <w:rPr>
          <w:b/>
          <w:lang w:val="el-GR"/>
        </w:rPr>
        <w:tab/>
        <w:t>ΠΟΙΟΤΙΚΗ ΚΑΙ ΠΟΣΟΤΙΚΗ ΣΥΝΘΕΣΗ</w:t>
      </w:r>
    </w:p>
    <w:p w:rsidR="001D1440" w:rsidRPr="005D77D3" w:rsidRDefault="001D1440" w:rsidP="00D81F0F">
      <w:pPr>
        <w:widowControl w:val="0"/>
        <w:jc w:val="both"/>
        <w:rPr>
          <w:lang w:val="el-GR"/>
        </w:rPr>
      </w:pPr>
    </w:p>
    <w:p w:rsidR="001D1440" w:rsidRDefault="00B250AB" w:rsidP="00D81F0F">
      <w:pPr>
        <w:widowControl w:val="0"/>
        <w:jc w:val="both"/>
        <w:rPr>
          <w:lang w:val="el-GR"/>
        </w:rPr>
      </w:pPr>
      <w:r w:rsidRPr="00B250AB">
        <w:rPr>
          <w:lang w:val="el-GR"/>
        </w:rPr>
        <w:t xml:space="preserve">1 </w:t>
      </w:r>
      <w:r>
        <w:rPr>
          <w:lang w:val="el-GR"/>
        </w:rPr>
        <w:t xml:space="preserve">καψάκιο περιέχει 400 </w:t>
      </w:r>
      <w:r>
        <w:rPr>
          <w:lang w:val="en-US"/>
        </w:rPr>
        <w:t>mg</w:t>
      </w:r>
      <w:r w:rsidRPr="00B250AB">
        <w:rPr>
          <w:lang w:val="el-GR"/>
        </w:rPr>
        <w:t xml:space="preserve"> </w:t>
      </w:r>
      <w:r>
        <w:rPr>
          <w:lang w:val="el-GR"/>
        </w:rPr>
        <w:t>θειικής χονδροϊτίνης.</w:t>
      </w:r>
    </w:p>
    <w:p w:rsidR="00B250AB" w:rsidRPr="00B250AB" w:rsidRDefault="00B250AB" w:rsidP="00D81F0F">
      <w:pPr>
        <w:widowControl w:val="0"/>
        <w:jc w:val="both"/>
        <w:rPr>
          <w:lang w:val="el-GR"/>
        </w:rPr>
      </w:pPr>
    </w:p>
    <w:p w:rsidR="001D1440" w:rsidRPr="005D77D3" w:rsidRDefault="001D1440" w:rsidP="00D81F0F">
      <w:pPr>
        <w:spacing w:line="240" w:lineRule="auto"/>
        <w:jc w:val="both"/>
        <w:outlineLvl w:val="0"/>
        <w:rPr>
          <w:lang w:val="el-GR"/>
        </w:rPr>
      </w:pPr>
      <w:r w:rsidRPr="005D77D3">
        <w:rPr>
          <w:lang w:val="el-GR"/>
        </w:rPr>
        <w:t xml:space="preserve">Για τον πλήρη κατάλογο </w:t>
      </w:r>
      <w:r w:rsidR="00B250AB">
        <w:rPr>
          <w:lang w:val="el-GR"/>
        </w:rPr>
        <w:t>των εκδόχων, βλ. παράγραφο 6.1.</w:t>
      </w:r>
    </w:p>
    <w:p w:rsidR="001D1440" w:rsidRPr="005D77D3" w:rsidRDefault="001D1440" w:rsidP="00D81F0F">
      <w:pPr>
        <w:spacing w:line="240" w:lineRule="auto"/>
        <w:jc w:val="both"/>
        <w:rPr>
          <w:lang w:val="el-GR"/>
        </w:rPr>
      </w:pPr>
    </w:p>
    <w:p w:rsidR="001D1440" w:rsidRPr="005D77D3" w:rsidRDefault="001D1440" w:rsidP="00D81F0F">
      <w:pPr>
        <w:jc w:val="both"/>
        <w:rPr>
          <w:lang w:val="el-GR"/>
        </w:rPr>
      </w:pPr>
    </w:p>
    <w:p w:rsidR="001D1440" w:rsidRPr="005D77D3" w:rsidRDefault="001D1440" w:rsidP="00D81F0F">
      <w:pPr>
        <w:ind w:left="567" w:hanging="567"/>
        <w:jc w:val="both"/>
        <w:rPr>
          <w:caps/>
          <w:lang w:val="el-GR"/>
        </w:rPr>
      </w:pPr>
      <w:r w:rsidRPr="005D77D3">
        <w:rPr>
          <w:b/>
          <w:lang w:val="el-GR"/>
        </w:rPr>
        <w:t>3.</w:t>
      </w:r>
      <w:r w:rsidRPr="005D77D3">
        <w:rPr>
          <w:b/>
          <w:lang w:val="el-GR"/>
        </w:rPr>
        <w:tab/>
        <w:t>ΦΑΡΜΑΚΟΤΕΧΝΙΚΗ ΜΟΡΦΗ</w:t>
      </w:r>
    </w:p>
    <w:p w:rsidR="001D1440" w:rsidRPr="005D77D3" w:rsidRDefault="001D1440" w:rsidP="00D81F0F">
      <w:pPr>
        <w:autoSpaceDE w:val="0"/>
        <w:autoSpaceDN w:val="0"/>
        <w:adjustRightInd w:val="0"/>
        <w:jc w:val="both"/>
        <w:rPr>
          <w:lang w:val="el-GR"/>
        </w:rPr>
      </w:pPr>
    </w:p>
    <w:p w:rsidR="001D1440" w:rsidRPr="005D77D3" w:rsidRDefault="00B250AB" w:rsidP="00D81F0F">
      <w:pPr>
        <w:jc w:val="both"/>
        <w:rPr>
          <w:lang w:val="el-GR"/>
        </w:rPr>
      </w:pPr>
      <w:r>
        <w:rPr>
          <w:lang w:val="el-GR"/>
        </w:rPr>
        <w:t>Σκληρό καψάκιο</w:t>
      </w:r>
    </w:p>
    <w:p w:rsidR="001D1440" w:rsidRPr="005D77D3" w:rsidRDefault="001D1440" w:rsidP="00D81F0F">
      <w:pPr>
        <w:autoSpaceDE w:val="0"/>
        <w:autoSpaceDN w:val="0"/>
        <w:adjustRightInd w:val="0"/>
        <w:jc w:val="both"/>
        <w:rPr>
          <w:lang w:val="el-GR"/>
        </w:rPr>
      </w:pPr>
    </w:p>
    <w:p w:rsidR="001D1440" w:rsidRPr="005D77D3" w:rsidRDefault="001D1440" w:rsidP="00D81F0F">
      <w:pPr>
        <w:jc w:val="both"/>
        <w:rPr>
          <w:lang w:val="el-GR"/>
        </w:rPr>
      </w:pPr>
    </w:p>
    <w:p w:rsidR="001D1440" w:rsidRPr="005D77D3" w:rsidRDefault="001D1440" w:rsidP="00D81F0F">
      <w:pPr>
        <w:ind w:left="567" w:hanging="567"/>
        <w:jc w:val="both"/>
        <w:rPr>
          <w:caps/>
          <w:lang w:val="el-GR"/>
        </w:rPr>
      </w:pPr>
      <w:r w:rsidRPr="005D77D3">
        <w:rPr>
          <w:b/>
          <w:caps/>
          <w:lang w:val="el-GR"/>
        </w:rPr>
        <w:t>4.</w:t>
      </w:r>
      <w:r w:rsidRPr="005D77D3">
        <w:rPr>
          <w:b/>
          <w:caps/>
          <w:lang w:val="el-GR"/>
        </w:rPr>
        <w:tab/>
      </w:r>
      <w:r w:rsidRPr="005D77D3">
        <w:rPr>
          <w:b/>
          <w:lang w:val="el-GR"/>
        </w:rPr>
        <w:t>ΚΛΙΝΙΚΕΣ ΠΛΗΡΟΦΟΡΙΕΣ</w:t>
      </w:r>
    </w:p>
    <w:p w:rsidR="001D1440" w:rsidRPr="005D77D3" w:rsidRDefault="001D1440" w:rsidP="00D81F0F">
      <w:pPr>
        <w:jc w:val="both"/>
        <w:rPr>
          <w:lang w:val="el-GR"/>
        </w:rPr>
      </w:pPr>
    </w:p>
    <w:p w:rsidR="001D1440" w:rsidRPr="005D77D3" w:rsidRDefault="001D1440" w:rsidP="00D81F0F">
      <w:pPr>
        <w:ind w:left="567" w:hanging="567"/>
        <w:jc w:val="both"/>
        <w:outlineLvl w:val="0"/>
        <w:rPr>
          <w:lang w:val="el-GR"/>
        </w:rPr>
      </w:pPr>
      <w:r w:rsidRPr="005D77D3">
        <w:rPr>
          <w:b/>
          <w:lang w:val="el-GR"/>
        </w:rPr>
        <w:t>4.1</w:t>
      </w:r>
      <w:r w:rsidRPr="005D77D3">
        <w:rPr>
          <w:b/>
          <w:lang w:val="el-GR"/>
        </w:rPr>
        <w:tab/>
        <w:t>Θεραπευτικές ενδείξεις</w:t>
      </w:r>
    </w:p>
    <w:p w:rsidR="001D1440" w:rsidRPr="00166D11" w:rsidRDefault="001D1440" w:rsidP="00D81F0F">
      <w:pPr>
        <w:jc w:val="both"/>
        <w:rPr>
          <w:i/>
          <w:szCs w:val="22"/>
          <w:lang w:val="el-GR"/>
        </w:rPr>
      </w:pPr>
    </w:p>
    <w:p w:rsidR="00B250AB" w:rsidRPr="00B250AB" w:rsidRDefault="00B250AB" w:rsidP="00D81F0F">
      <w:pPr>
        <w:jc w:val="both"/>
        <w:rPr>
          <w:noProof/>
          <w:szCs w:val="22"/>
          <w:lang w:val="el-GR"/>
        </w:rPr>
      </w:pPr>
      <w:r w:rsidRPr="00B250AB">
        <w:rPr>
          <w:noProof/>
          <w:szCs w:val="22"/>
          <w:lang w:val="el-GR"/>
        </w:rPr>
        <w:t>•</w:t>
      </w:r>
      <w:r w:rsidRPr="00B250AB">
        <w:rPr>
          <w:noProof/>
          <w:szCs w:val="22"/>
          <w:lang w:val="el-GR"/>
        </w:rPr>
        <w:tab/>
        <w:t>Βραδείας-δράσης συμπτωματική θεραπεία της οστεοαρθρίτιδας</w:t>
      </w:r>
    </w:p>
    <w:p w:rsidR="001D1440" w:rsidRDefault="00B250AB" w:rsidP="00D81F0F">
      <w:pPr>
        <w:jc w:val="both"/>
        <w:rPr>
          <w:noProof/>
          <w:szCs w:val="22"/>
          <w:lang w:val="el-GR"/>
        </w:rPr>
      </w:pPr>
      <w:r w:rsidRPr="00B250AB">
        <w:rPr>
          <w:noProof/>
          <w:szCs w:val="22"/>
          <w:lang w:val="el-GR"/>
        </w:rPr>
        <w:t>•</w:t>
      </w:r>
      <w:r w:rsidRPr="00B250AB">
        <w:rPr>
          <w:noProof/>
          <w:szCs w:val="22"/>
          <w:lang w:val="el-GR"/>
        </w:rPr>
        <w:tab/>
        <w:t>Ιδιότητες τροποποίησης (βελτίωσης) της ασθένειας κατά τη διάρκεια της θεραπείας της οστεοαρθρίτιδας των γονάτων.</w:t>
      </w:r>
    </w:p>
    <w:p w:rsidR="00B250AB" w:rsidRPr="00684E83" w:rsidRDefault="00B250AB" w:rsidP="00D81F0F">
      <w:pPr>
        <w:jc w:val="both"/>
        <w:rPr>
          <w:noProof/>
          <w:szCs w:val="22"/>
          <w:lang w:val="el-GR"/>
        </w:rPr>
      </w:pPr>
    </w:p>
    <w:p w:rsidR="001D1440" w:rsidRPr="00684E83" w:rsidRDefault="001D1440" w:rsidP="00D81F0F">
      <w:pPr>
        <w:spacing w:line="240" w:lineRule="auto"/>
        <w:jc w:val="both"/>
        <w:outlineLvl w:val="0"/>
        <w:rPr>
          <w:b/>
          <w:noProof/>
          <w:szCs w:val="22"/>
          <w:lang w:val="el-GR"/>
        </w:rPr>
      </w:pPr>
      <w:r w:rsidRPr="00684E83">
        <w:rPr>
          <w:b/>
          <w:noProof/>
          <w:szCs w:val="22"/>
          <w:lang w:val="el-GR"/>
        </w:rPr>
        <w:t>4.2</w:t>
      </w:r>
      <w:r w:rsidRPr="00684E83">
        <w:rPr>
          <w:b/>
          <w:noProof/>
          <w:szCs w:val="22"/>
          <w:lang w:val="el-GR"/>
        </w:rPr>
        <w:tab/>
        <w:t>Δοσολογία και τρόπος χορήγησης</w:t>
      </w:r>
    </w:p>
    <w:p w:rsidR="001D1440" w:rsidRPr="00166D11" w:rsidRDefault="001D1440" w:rsidP="00D81F0F">
      <w:pPr>
        <w:jc w:val="both"/>
        <w:rPr>
          <w:b/>
          <w:i/>
          <w:szCs w:val="22"/>
          <w:lang w:val="el-GR"/>
        </w:rPr>
      </w:pPr>
    </w:p>
    <w:p w:rsidR="001D1440" w:rsidRPr="00166D11" w:rsidRDefault="001D1440" w:rsidP="00D81F0F">
      <w:pPr>
        <w:jc w:val="both"/>
        <w:rPr>
          <w:szCs w:val="22"/>
          <w:u w:val="single"/>
          <w:lang w:val="el-GR"/>
        </w:rPr>
      </w:pPr>
      <w:r w:rsidRPr="00684E83">
        <w:rPr>
          <w:noProof/>
          <w:szCs w:val="22"/>
          <w:u w:val="single"/>
          <w:lang w:val="el-GR"/>
        </w:rPr>
        <w:t>Δοσολογία</w:t>
      </w:r>
    </w:p>
    <w:p w:rsidR="001D1440" w:rsidRPr="005D77D3" w:rsidRDefault="001D1440" w:rsidP="00D81F0F">
      <w:pPr>
        <w:autoSpaceDE w:val="0"/>
        <w:autoSpaceDN w:val="0"/>
        <w:adjustRightInd w:val="0"/>
        <w:jc w:val="both"/>
        <w:rPr>
          <w:noProof/>
          <w:szCs w:val="22"/>
          <w:lang w:val="el-GR"/>
        </w:rPr>
      </w:pPr>
    </w:p>
    <w:p w:rsidR="001D1440" w:rsidRPr="00684E83" w:rsidRDefault="001D1440" w:rsidP="00D81F0F">
      <w:pPr>
        <w:jc w:val="both"/>
        <w:rPr>
          <w:i/>
          <w:noProof/>
          <w:szCs w:val="22"/>
          <w:lang w:val="el-GR"/>
        </w:rPr>
      </w:pPr>
      <w:r w:rsidRPr="00684E83">
        <w:rPr>
          <w:i/>
          <w:noProof/>
          <w:szCs w:val="22"/>
          <w:lang w:val="el-GR"/>
        </w:rPr>
        <w:t>Παιδιατρικός πληθυσμός</w:t>
      </w:r>
    </w:p>
    <w:p w:rsidR="001D1440" w:rsidRPr="00684E83" w:rsidRDefault="001D1440" w:rsidP="00D81F0F">
      <w:pPr>
        <w:jc w:val="both"/>
        <w:rPr>
          <w:noProof/>
          <w:szCs w:val="22"/>
          <w:lang w:val="el-GR"/>
        </w:rPr>
      </w:pPr>
    </w:p>
    <w:p w:rsidR="001D1440" w:rsidRPr="00D81F0F" w:rsidRDefault="001D1440" w:rsidP="00D81F0F">
      <w:pPr>
        <w:jc w:val="both"/>
        <w:rPr>
          <w:noProof/>
          <w:szCs w:val="22"/>
          <w:lang w:val="el-GR"/>
        </w:rPr>
      </w:pPr>
      <w:r w:rsidRPr="00684E83">
        <w:rPr>
          <w:noProof/>
          <w:szCs w:val="22"/>
          <w:lang w:val="el-GR"/>
        </w:rPr>
        <w:t xml:space="preserve">Το </w:t>
      </w:r>
      <w:r w:rsidR="00D81F0F">
        <w:rPr>
          <w:noProof/>
          <w:szCs w:val="22"/>
          <w:lang w:val="en-US"/>
        </w:rPr>
        <w:t>Condromed</w:t>
      </w:r>
      <w:r w:rsidRPr="00684E83">
        <w:rPr>
          <w:noProof/>
          <w:szCs w:val="22"/>
          <w:lang w:val="el-GR"/>
        </w:rPr>
        <w:t xml:space="preserve"> αντενδείκνυται σε παιδιά </w:t>
      </w:r>
      <w:r w:rsidR="00D81F0F">
        <w:rPr>
          <w:noProof/>
          <w:szCs w:val="22"/>
          <w:lang w:val="el-GR"/>
        </w:rPr>
        <w:t>(βλ. παράγραφο 4.3).</w:t>
      </w:r>
    </w:p>
    <w:p w:rsidR="001D1440" w:rsidRPr="00684E83" w:rsidRDefault="001D1440" w:rsidP="00D81F0F">
      <w:pPr>
        <w:jc w:val="both"/>
        <w:rPr>
          <w:noProof/>
          <w:szCs w:val="22"/>
          <w:lang w:val="el-GR"/>
        </w:rPr>
      </w:pPr>
    </w:p>
    <w:p w:rsidR="001D1440" w:rsidRPr="00684E83" w:rsidRDefault="001D1440" w:rsidP="00D81F0F">
      <w:pPr>
        <w:jc w:val="both"/>
        <w:rPr>
          <w:noProof/>
          <w:szCs w:val="22"/>
          <w:u w:val="single"/>
          <w:lang w:val="el-GR"/>
        </w:rPr>
      </w:pPr>
      <w:r w:rsidRPr="00684E83">
        <w:rPr>
          <w:noProof/>
          <w:szCs w:val="22"/>
          <w:u w:val="single"/>
          <w:lang w:val="el-GR"/>
        </w:rPr>
        <w:t>Τρόπος χορήγησης</w:t>
      </w:r>
    </w:p>
    <w:p w:rsidR="001D1440" w:rsidRPr="00684E83" w:rsidRDefault="001D1440" w:rsidP="00D81F0F">
      <w:pPr>
        <w:jc w:val="both"/>
        <w:rPr>
          <w:noProof/>
          <w:szCs w:val="22"/>
          <w:u w:val="single"/>
          <w:lang w:val="el-GR"/>
        </w:rPr>
      </w:pPr>
    </w:p>
    <w:p w:rsidR="00D81F0F" w:rsidRPr="00D81F0F" w:rsidRDefault="00D81F0F" w:rsidP="00D81F0F">
      <w:pPr>
        <w:jc w:val="both"/>
        <w:rPr>
          <w:noProof/>
          <w:szCs w:val="22"/>
          <w:u w:val="single"/>
          <w:lang w:val="el-GR"/>
        </w:rPr>
      </w:pPr>
      <w:r w:rsidRPr="00D81F0F">
        <w:rPr>
          <w:noProof/>
          <w:szCs w:val="22"/>
          <w:u w:val="single"/>
          <w:lang w:val="el-GR"/>
        </w:rPr>
        <w:t>Βραδείας-δράσης συμπτωματική θεραπεία της οστεοαρθρίτιδας</w:t>
      </w:r>
    </w:p>
    <w:p w:rsidR="00D81F0F" w:rsidRPr="00D81F0F" w:rsidRDefault="00D81F0F" w:rsidP="00D81F0F">
      <w:pPr>
        <w:jc w:val="both"/>
        <w:rPr>
          <w:i/>
          <w:noProof/>
          <w:szCs w:val="22"/>
          <w:lang w:val="el-GR"/>
        </w:rPr>
      </w:pPr>
      <w:r w:rsidRPr="00D81F0F">
        <w:rPr>
          <w:i/>
          <w:noProof/>
          <w:szCs w:val="22"/>
          <w:lang w:val="el-GR"/>
        </w:rPr>
        <w:t>Ενήλικοι (συμπεριλαμβανομένων των ηλικιωμένων):</w:t>
      </w:r>
    </w:p>
    <w:p w:rsidR="00D81F0F" w:rsidRPr="00D81F0F" w:rsidRDefault="00D81F0F" w:rsidP="00D81F0F">
      <w:pPr>
        <w:jc w:val="both"/>
        <w:rPr>
          <w:noProof/>
          <w:szCs w:val="22"/>
          <w:lang w:val="el-GR"/>
        </w:rPr>
      </w:pPr>
      <w:r w:rsidRPr="00D81F0F">
        <w:rPr>
          <w:noProof/>
          <w:szCs w:val="22"/>
          <w:lang w:val="el-GR"/>
        </w:rPr>
        <w:t>Η συνιστώμενη δόση είναι 800 mg, δηλ. 2 καψάκια, σε μία εφάπαξ καθημερινή δόση για τρεις μήνες.</w:t>
      </w:r>
    </w:p>
    <w:p w:rsidR="00D81F0F" w:rsidRPr="00D81F0F" w:rsidRDefault="00D81F0F" w:rsidP="00D81F0F">
      <w:pPr>
        <w:jc w:val="both"/>
        <w:rPr>
          <w:noProof/>
          <w:szCs w:val="22"/>
          <w:lang w:val="el-GR"/>
        </w:rPr>
      </w:pPr>
      <w:r w:rsidRPr="00D81F0F">
        <w:rPr>
          <w:noProof/>
          <w:szCs w:val="22"/>
          <w:lang w:val="el-GR"/>
        </w:rPr>
        <w:t>Σε πιο σοβαρές περιπτώσεις, η συνιστώμενη δόση είναι 1200 mg, δηλ. 3 καψάκια, καθημερινά για τις πρώτες 4-6 εβδομάδες της θεραπείας, που στην συνέχεια ακολουθείται από μείωση της δοσολογίας σε 800 mg καθημερινά μέχρι το τέλος της τρίμηνης περιόδου θεραπείας. Η καθημερινή δόση των 1200 mg μπορεί να ληφθεί ως εφάπαξ δόση ή να διαιρεθεί σε τρεις δόσεις, δηλ. 1 καψάκιο τρεις φορές καθημερινά.</w:t>
      </w:r>
    </w:p>
    <w:p w:rsidR="00D81F0F" w:rsidRPr="00F95232" w:rsidRDefault="00D81F0F" w:rsidP="00D81F0F">
      <w:pPr>
        <w:jc w:val="both"/>
        <w:rPr>
          <w:noProof/>
          <w:szCs w:val="22"/>
          <w:lang w:val="el-GR"/>
        </w:rPr>
      </w:pPr>
      <w:r w:rsidRPr="00D81F0F">
        <w:rPr>
          <w:noProof/>
          <w:szCs w:val="22"/>
          <w:lang w:val="el-GR"/>
        </w:rPr>
        <w:t>Η θεραπεία αποτελείται από τρίμηνες επαναλαμβανόμενες περιόδους, μεταξύ των οποίων πρέπει να υπάρχει διακοπή της φαρμακευτικής αγωγής για ένα χρονικό διάστημα δύο μηνών.</w:t>
      </w:r>
    </w:p>
    <w:p w:rsidR="00D81F0F" w:rsidRPr="00F95232" w:rsidRDefault="00D81F0F" w:rsidP="00D81F0F">
      <w:pPr>
        <w:jc w:val="both"/>
        <w:rPr>
          <w:noProof/>
          <w:szCs w:val="22"/>
          <w:lang w:val="el-GR"/>
        </w:rPr>
      </w:pPr>
    </w:p>
    <w:p w:rsidR="00D81F0F" w:rsidRPr="00D81F0F" w:rsidRDefault="00D81F0F" w:rsidP="00D81F0F">
      <w:pPr>
        <w:jc w:val="both"/>
        <w:rPr>
          <w:noProof/>
          <w:szCs w:val="22"/>
          <w:u w:val="single"/>
          <w:lang w:val="el-GR"/>
        </w:rPr>
      </w:pPr>
      <w:r w:rsidRPr="00D81F0F">
        <w:rPr>
          <w:noProof/>
          <w:szCs w:val="22"/>
          <w:u w:val="single"/>
          <w:lang w:val="el-GR"/>
        </w:rPr>
        <w:t>Ιδιότητες τροποποίησης (βελτίωσης) της ασθένειας κατά τη διάρκεια της θεραπείας της οστεοαρθρίτιδας των γονάτων.</w:t>
      </w:r>
    </w:p>
    <w:p w:rsidR="00D81F0F" w:rsidRPr="00D81F0F" w:rsidRDefault="00D81F0F" w:rsidP="00D81F0F">
      <w:pPr>
        <w:jc w:val="both"/>
        <w:rPr>
          <w:i/>
          <w:noProof/>
          <w:szCs w:val="22"/>
          <w:lang w:val="el-GR"/>
        </w:rPr>
      </w:pPr>
      <w:r w:rsidRPr="00D81F0F">
        <w:rPr>
          <w:i/>
          <w:noProof/>
          <w:szCs w:val="22"/>
          <w:lang w:val="el-GR"/>
        </w:rPr>
        <w:t>Ενήλικοι (συμπεριλαμβανομένων των ηλικιωμένων):</w:t>
      </w:r>
    </w:p>
    <w:p w:rsidR="00D81F0F" w:rsidRPr="00D81F0F" w:rsidRDefault="00D81F0F" w:rsidP="00D81F0F">
      <w:pPr>
        <w:jc w:val="both"/>
        <w:rPr>
          <w:noProof/>
          <w:szCs w:val="22"/>
          <w:lang w:val="el-GR"/>
        </w:rPr>
      </w:pPr>
      <w:r w:rsidRPr="00D81F0F">
        <w:rPr>
          <w:noProof/>
          <w:szCs w:val="22"/>
          <w:lang w:val="el-GR"/>
        </w:rPr>
        <w:t>Η συνιστώμενη δόση είναι 800 mg, δηλ. 3 καψάκια, σε μία εφάπαξ καθημερινή δόση για τουλάχιστον δύο χρόνια χωρίς διακοπές της φαρμακευτικής αγωγής.</w:t>
      </w:r>
    </w:p>
    <w:p w:rsidR="00D81F0F" w:rsidRPr="00F95232" w:rsidRDefault="00D81F0F" w:rsidP="00D81F0F">
      <w:pPr>
        <w:jc w:val="both"/>
        <w:rPr>
          <w:noProof/>
          <w:szCs w:val="22"/>
          <w:lang w:val="el-GR"/>
        </w:rPr>
      </w:pPr>
    </w:p>
    <w:p w:rsidR="00D81F0F" w:rsidRPr="00D81F0F" w:rsidRDefault="00D81F0F" w:rsidP="00D81F0F">
      <w:pPr>
        <w:jc w:val="both"/>
        <w:rPr>
          <w:noProof/>
          <w:szCs w:val="22"/>
          <w:u w:val="single"/>
          <w:lang w:val="el-GR"/>
        </w:rPr>
      </w:pPr>
      <w:r w:rsidRPr="00D81F0F">
        <w:rPr>
          <w:noProof/>
          <w:szCs w:val="22"/>
          <w:u w:val="single"/>
          <w:lang w:val="el-GR"/>
        </w:rPr>
        <w:t>Ασθενείς με νεφρική ανεπάρκεια:</w:t>
      </w:r>
    </w:p>
    <w:p w:rsidR="00D81F0F" w:rsidRPr="00D81F0F" w:rsidRDefault="00D81F0F" w:rsidP="00D81F0F">
      <w:pPr>
        <w:jc w:val="both"/>
        <w:rPr>
          <w:noProof/>
          <w:szCs w:val="22"/>
          <w:lang w:val="el-GR"/>
        </w:rPr>
      </w:pPr>
      <w:r w:rsidRPr="00D81F0F">
        <w:rPr>
          <w:noProof/>
          <w:szCs w:val="22"/>
          <w:lang w:val="el-GR"/>
        </w:rPr>
        <w:t>Υπάρχει μικρή εμπειρία όσον αφορά στη χορήγηση του Condromed σε ασθενείς που πάσχουν από νε</w:t>
      </w:r>
      <w:r w:rsidR="00DA5F83">
        <w:rPr>
          <w:noProof/>
          <w:szCs w:val="22"/>
          <w:lang w:val="el-GR"/>
        </w:rPr>
        <w:t>φρική ανεπάρκεια. Επομένως, συνιστά</w:t>
      </w:r>
      <w:r w:rsidRPr="00D81F0F">
        <w:rPr>
          <w:noProof/>
          <w:szCs w:val="22"/>
          <w:lang w:val="el-GR"/>
        </w:rPr>
        <w:t>ται ιδιαίτερη προσοχή σε αυτή την ομάδα ασθενών (βλέπε παράγραφο 4.4).</w:t>
      </w:r>
    </w:p>
    <w:p w:rsidR="00D81F0F" w:rsidRPr="00D81F0F" w:rsidRDefault="00D81F0F" w:rsidP="00D81F0F">
      <w:pPr>
        <w:jc w:val="both"/>
        <w:rPr>
          <w:noProof/>
          <w:szCs w:val="22"/>
          <w:u w:val="single"/>
          <w:lang w:val="el-GR"/>
        </w:rPr>
      </w:pPr>
      <w:r w:rsidRPr="00D81F0F">
        <w:rPr>
          <w:noProof/>
          <w:szCs w:val="22"/>
          <w:u w:val="single"/>
          <w:lang w:val="el-GR"/>
        </w:rPr>
        <w:lastRenderedPageBreak/>
        <w:t>Ασθενείς με ηπατική ανεπάρκεια:</w:t>
      </w:r>
    </w:p>
    <w:p w:rsidR="00D81F0F" w:rsidRPr="00D81F0F" w:rsidRDefault="00D81F0F" w:rsidP="00D81F0F">
      <w:pPr>
        <w:jc w:val="both"/>
        <w:rPr>
          <w:noProof/>
          <w:szCs w:val="22"/>
          <w:lang w:val="el-GR"/>
        </w:rPr>
      </w:pPr>
      <w:r w:rsidRPr="00D81F0F">
        <w:rPr>
          <w:noProof/>
          <w:szCs w:val="22"/>
          <w:lang w:val="el-GR"/>
        </w:rPr>
        <w:t>Δεν υπάρχει διαθέσιμη εμπειρία όσον αφορά την χορήγηση του Condromed σε ασθενείς που πάσχουν από ηπατικ</w:t>
      </w:r>
      <w:r w:rsidR="00DA5F83">
        <w:rPr>
          <w:noProof/>
          <w:szCs w:val="22"/>
          <w:lang w:val="el-GR"/>
        </w:rPr>
        <w:t>ή ανεπάρκεια. Επομένως, δεν συνιστά</w:t>
      </w:r>
      <w:r w:rsidRPr="00D81F0F">
        <w:rPr>
          <w:noProof/>
          <w:szCs w:val="22"/>
          <w:lang w:val="el-GR"/>
        </w:rPr>
        <w:t>ται η χορήγηση του σε αυτή την ομάδα ασθενών (βλέπε παράγραφο 4.4).</w:t>
      </w:r>
    </w:p>
    <w:p w:rsidR="00D81F0F" w:rsidRPr="00D81F0F" w:rsidRDefault="00D81F0F" w:rsidP="00D81F0F">
      <w:pPr>
        <w:jc w:val="both"/>
        <w:rPr>
          <w:noProof/>
          <w:szCs w:val="22"/>
          <w:lang w:val="el-GR"/>
        </w:rPr>
      </w:pPr>
      <w:r w:rsidRPr="00D81F0F">
        <w:rPr>
          <w:noProof/>
          <w:szCs w:val="22"/>
          <w:lang w:val="el-GR"/>
        </w:rPr>
        <w:t>Το Condromed μπορεί να ληφθεί πριν, κατά τη διάρκεια ή μετά από τα γεύματα. Σε ασθενείς με ιστορικό γαστρικής δυσανεξίας στα φάρμακα συστήνεται να το λαμβάνουν μετά από το γεύμα.</w:t>
      </w:r>
    </w:p>
    <w:p w:rsidR="001D1440" w:rsidRPr="00F95232" w:rsidRDefault="00D81F0F" w:rsidP="00D81F0F">
      <w:pPr>
        <w:jc w:val="both"/>
        <w:rPr>
          <w:noProof/>
          <w:szCs w:val="22"/>
          <w:lang w:val="el-GR"/>
        </w:rPr>
      </w:pPr>
      <w:r w:rsidRPr="00D81F0F">
        <w:rPr>
          <w:noProof/>
          <w:szCs w:val="22"/>
          <w:lang w:val="el-GR"/>
        </w:rPr>
        <w:t>Τα καψάκια πρέπει να καταποθούν, χωρίς να μασηθούν, με αρκετό νερό.</w:t>
      </w:r>
    </w:p>
    <w:p w:rsidR="00D81F0F" w:rsidRPr="00F95232" w:rsidRDefault="00D81F0F" w:rsidP="00D81F0F">
      <w:pPr>
        <w:jc w:val="both"/>
        <w:rPr>
          <w:noProof/>
          <w:szCs w:val="22"/>
          <w:lang w:val="el-GR"/>
        </w:rPr>
      </w:pPr>
    </w:p>
    <w:p w:rsidR="001D1440" w:rsidRPr="00684E83" w:rsidRDefault="001D1440" w:rsidP="00D81F0F">
      <w:pPr>
        <w:jc w:val="both"/>
        <w:rPr>
          <w:noProof/>
          <w:szCs w:val="22"/>
          <w:lang w:val="el-GR"/>
        </w:rPr>
      </w:pPr>
      <w:r w:rsidRPr="00684E83">
        <w:rPr>
          <w:b/>
          <w:noProof/>
          <w:szCs w:val="22"/>
          <w:lang w:val="el-GR"/>
        </w:rPr>
        <w:t>4.3</w:t>
      </w:r>
      <w:r w:rsidRPr="00684E83">
        <w:rPr>
          <w:b/>
          <w:noProof/>
          <w:szCs w:val="22"/>
          <w:lang w:val="el-GR"/>
        </w:rPr>
        <w:tab/>
        <w:t>Αντενδείξεις</w:t>
      </w:r>
    </w:p>
    <w:p w:rsidR="001D1440" w:rsidRPr="00684E83" w:rsidRDefault="001D1440" w:rsidP="00D81F0F">
      <w:pPr>
        <w:jc w:val="both"/>
        <w:rPr>
          <w:noProof/>
          <w:szCs w:val="22"/>
          <w:lang w:val="el-GR"/>
        </w:rPr>
      </w:pPr>
    </w:p>
    <w:p w:rsidR="001D1440" w:rsidRPr="00D81F0F" w:rsidRDefault="00D81F0F" w:rsidP="00D81F0F">
      <w:pPr>
        <w:jc w:val="both"/>
        <w:rPr>
          <w:noProof/>
          <w:szCs w:val="22"/>
          <w:lang w:val="el-GR"/>
        </w:rPr>
      </w:pPr>
      <w:r>
        <w:rPr>
          <w:noProof/>
          <w:szCs w:val="22"/>
          <w:lang w:val="el-GR"/>
        </w:rPr>
        <w:t>Υπερευαισθησία στη δραστική ουσία</w:t>
      </w:r>
      <w:r w:rsidR="001D1440" w:rsidRPr="00684E83">
        <w:rPr>
          <w:noProof/>
          <w:szCs w:val="22"/>
          <w:lang w:val="el-GR"/>
        </w:rPr>
        <w:t xml:space="preserve"> ή σε κάποιο από τα έκδοχα που</w:t>
      </w:r>
      <w:r>
        <w:rPr>
          <w:noProof/>
          <w:szCs w:val="22"/>
          <w:lang w:val="el-GR"/>
        </w:rPr>
        <w:t xml:space="preserve"> αναφέρονται στην παράγραφο 6.1</w:t>
      </w:r>
      <w:r w:rsidRPr="00D81F0F">
        <w:rPr>
          <w:noProof/>
          <w:szCs w:val="22"/>
          <w:lang w:val="el-GR"/>
        </w:rPr>
        <w:t>.</w:t>
      </w:r>
    </w:p>
    <w:p w:rsidR="00D81F0F" w:rsidRPr="00D81F0F" w:rsidRDefault="00D81F0F" w:rsidP="00D81F0F">
      <w:pPr>
        <w:jc w:val="both"/>
        <w:rPr>
          <w:noProof/>
          <w:szCs w:val="22"/>
          <w:lang w:val="el-GR"/>
        </w:rPr>
      </w:pPr>
    </w:p>
    <w:p w:rsidR="001D1440" w:rsidRPr="00684E83" w:rsidRDefault="001D1440" w:rsidP="00D81F0F">
      <w:pPr>
        <w:jc w:val="both"/>
        <w:rPr>
          <w:b/>
          <w:noProof/>
          <w:szCs w:val="22"/>
          <w:lang w:val="el-GR"/>
        </w:rPr>
      </w:pPr>
      <w:r w:rsidRPr="00684E83">
        <w:rPr>
          <w:b/>
          <w:noProof/>
          <w:szCs w:val="22"/>
          <w:lang w:val="el-GR"/>
        </w:rPr>
        <w:t>4.4</w:t>
      </w:r>
      <w:r w:rsidRPr="00684E83">
        <w:rPr>
          <w:b/>
          <w:noProof/>
          <w:szCs w:val="22"/>
          <w:lang w:val="el-GR"/>
        </w:rPr>
        <w:tab/>
        <w:t>Ειδικές προειδοποιήσεις και προφυλάξεις κατά τη χρήση</w:t>
      </w:r>
    </w:p>
    <w:p w:rsidR="001D1440" w:rsidRPr="00684E83" w:rsidRDefault="001D1440" w:rsidP="00D81F0F">
      <w:pPr>
        <w:jc w:val="both"/>
        <w:rPr>
          <w:b/>
          <w:noProof/>
          <w:szCs w:val="22"/>
          <w:lang w:val="el-GR"/>
        </w:rPr>
      </w:pPr>
    </w:p>
    <w:p w:rsidR="001D1440" w:rsidRPr="00F95232" w:rsidRDefault="001D1440" w:rsidP="00D81F0F">
      <w:pPr>
        <w:jc w:val="both"/>
        <w:rPr>
          <w:i/>
          <w:noProof/>
          <w:szCs w:val="22"/>
          <w:lang w:val="el-GR"/>
        </w:rPr>
      </w:pPr>
      <w:r w:rsidRPr="00D81F0F">
        <w:rPr>
          <w:i/>
          <w:noProof/>
          <w:szCs w:val="22"/>
          <w:lang w:val="el-GR"/>
        </w:rPr>
        <w:t>Παιδιατρικός πληθυσμός</w:t>
      </w:r>
    </w:p>
    <w:p w:rsidR="00D81F0F" w:rsidRPr="00F95232" w:rsidRDefault="00D81F0F" w:rsidP="00D81F0F">
      <w:pPr>
        <w:jc w:val="both"/>
        <w:rPr>
          <w:noProof/>
          <w:szCs w:val="22"/>
          <w:lang w:val="el-GR"/>
        </w:rPr>
      </w:pPr>
    </w:p>
    <w:p w:rsidR="00D81F0F" w:rsidRPr="00F95232" w:rsidRDefault="00D81F0F" w:rsidP="00D81F0F">
      <w:pPr>
        <w:jc w:val="both"/>
        <w:rPr>
          <w:noProof/>
          <w:szCs w:val="22"/>
          <w:lang w:val="el-GR"/>
        </w:rPr>
      </w:pPr>
      <w:r w:rsidRPr="00684E83">
        <w:rPr>
          <w:noProof/>
          <w:szCs w:val="22"/>
          <w:lang w:val="el-GR"/>
        </w:rPr>
        <w:t xml:space="preserve">Το </w:t>
      </w:r>
      <w:r>
        <w:rPr>
          <w:noProof/>
          <w:szCs w:val="22"/>
          <w:lang w:val="en-US"/>
        </w:rPr>
        <w:t>Condromed</w:t>
      </w:r>
      <w:r w:rsidRPr="00684E83">
        <w:rPr>
          <w:noProof/>
          <w:szCs w:val="22"/>
          <w:lang w:val="el-GR"/>
        </w:rPr>
        <w:t xml:space="preserve"> αντενδείκνυται σε παιδιά</w:t>
      </w:r>
      <w:r w:rsidRPr="00D81F0F">
        <w:rPr>
          <w:noProof/>
          <w:szCs w:val="22"/>
          <w:lang w:val="el-GR"/>
        </w:rPr>
        <w:t>.</w:t>
      </w:r>
    </w:p>
    <w:p w:rsidR="00D81F0F" w:rsidRPr="00F95232" w:rsidRDefault="00D81F0F" w:rsidP="00D81F0F">
      <w:pPr>
        <w:jc w:val="both"/>
        <w:rPr>
          <w:noProof/>
          <w:szCs w:val="22"/>
          <w:lang w:val="el-GR"/>
        </w:rPr>
      </w:pPr>
    </w:p>
    <w:p w:rsidR="00D81F0F" w:rsidRPr="00D81F0F" w:rsidRDefault="00D81F0F" w:rsidP="00D81F0F">
      <w:pPr>
        <w:jc w:val="both"/>
        <w:rPr>
          <w:i/>
          <w:szCs w:val="22"/>
          <w:lang w:val="el-GR"/>
        </w:rPr>
      </w:pPr>
      <w:r w:rsidRPr="00D81F0F">
        <w:rPr>
          <w:i/>
          <w:szCs w:val="22"/>
          <w:lang w:val="el-GR"/>
        </w:rPr>
        <w:t>Καρδιακή και νεφρική ανεπάρκεια</w:t>
      </w:r>
    </w:p>
    <w:p w:rsidR="00D81F0F" w:rsidRPr="00D81F0F" w:rsidRDefault="00D81F0F" w:rsidP="00D81F0F">
      <w:pPr>
        <w:jc w:val="both"/>
        <w:rPr>
          <w:szCs w:val="22"/>
          <w:lang w:val="el-GR"/>
        </w:rPr>
      </w:pPr>
    </w:p>
    <w:p w:rsidR="00D81F0F" w:rsidRPr="00D81F0F" w:rsidRDefault="00D81F0F" w:rsidP="00D81F0F">
      <w:pPr>
        <w:jc w:val="both"/>
        <w:rPr>
          <w:szCs w:val="22"/>
          <w:lang w:val="el-GR"/>
        </w:rPr>
      </w:pPr>
      <w:r w:rsidRPr="00D81F0F">
        <w:rPr>
          <w:szCs w:val="22"/>
          <w:lang w:val="el-GR"/>
        </w:rPr>
        <w:t xml:space="preserve">Σε πολύ σπάνιες περιπτώσεις (&lt;1/10.000), σε ασθενείς με καρδιακή ή νεφρική ανεπάρκεια, το Condromed προκάλεσε οίδημα και / ή  κατακράτηση υγρών. Αυτό μπορεί να αποδοθεί στην ωσμωτική επίδραση της θειϊκής χονδροϊτίνης.  </w:t>
      </w:r>
    </w:p>
    <w:p w:rsidR="00D81F0F" w:rsidRPr="00D81F0F" w:rsidRDefault="00D81F0F" w:rsidP="00D81F0F">
      <w:pPr>
        <w:jc w:val="both"/>
        <w:rPr>
          <w:szCs w:val="22"/>
          <w:lang w:val="el-GR"/>
        </w:rPr>
      </w:pPr>
    </w:p>
    <w:p w:rsidR="00D81F0F" w:rsidRPr="00D81F0F" w:rsidRDefault="00D81F0F" w:rsidP="00D81F0F">
      <w:pPr>
        <w:jc w:val="both"/>
        <w:rPr>
          <w:i/>
          <w:szCs w:val="22"/>
          <w:lang w:val="el-GR"/>
        </w:rPr>
      </w:pPr>
      <w:r w:rsidRPr="00D81F0F">
        <w:rPr>
          <w:i/>
          <w:szCs w:val="22"/>
          <w:lang w:val="el-GR"/>
        </w:rPr>
        <w:t>Ηπατική Ανεπάρκεια</w:t>
      </w:r>
    </w:p>
    <w:p w:rsidR="00D81F0F" w:rsidRPr="00D81F0F" w:rsidRDefault="00D81F0F" w:rsidP="00D81F0F">
      <w:pPr>
        <w:jc w:val="both"/>
        <w:rPr>
          <w:szCs w:val="22"/>
          <w:lang w:val="el-GR"/>
        </w:rPr>
      </w:pPr>
    </w:p>
    <w:p w:rsidR="00D81F0F" w:rsidRPr="00D81F0F" w:rsidRDefault="00D81F0F" w:rsidP="00D81F0F">
      <w:pPr>
        <w:jc w:val="both"/>
        <w:rPr>
          <w:szCs w:val="22"/>
          <w:lang w:val="el-GR"/>
        </w:rPr>
      </w:pPr>
      <w:r w:rsidRPr="00D81F0F">
        <w:rPr>
          <w:szCs w:val="22"/>
          <w:lang w:val="el-GR"/>
        </w:rPr>
        <w:t>Δεν υπάρχει διαθέσιμη εμπειρία της χρήσης του Condromed σε ασθενείς που πάσχουν από ηπατι</w:t>
      </w:r>
      <w:r w:rsidR="00DA5F83">
        <w:rPr>
          <w:szCs w:val="22"/>
          <w:lang w:val="el-GR"/>
        </w:rPr>
        <w:t>κή ανεπάρκεια. Επομένως δεν συνιστά</w:t>
      </w:r>
      <w:r w:rsidRPr="00D81F0F">
        <w:rPr>
          <w:szCs w:val="22"/>
          <w:lang w:val="el-GR"/>
        </w:rPr>
        <w:t xml:space="preserve">ται η χρήση σε αυτήν την ομάδα ασθενών. </w:t>
      </w:r>
    </w:p>
    <w:p w:rsidR="00D81F0F" w:rsidRPr="00D81F0F" w:rsidRDefault="00D81F0F" w:rsidP="00D81F0F">
      <w:pPr>
        <w:jc w:val="both"/>
        <w:rPr>
          <w:szCs w:val="22"/>
          <w:lang w:val="el-GR"/>
        </w:rPr>
      </w:pPr>
    </w:p>
    <w:p w:rsidR="001D1440" w:rsidRDefault="00D81F0F" w:rsidP="00D81F0F">
      <w:pPr>
        <w:jc w:val="both"/>
        <w:rPr>
          <w:szCs w:val="22"/>
          <w:lang w:val="el-GR"/>
        </w:rPr>
      </w:pPr>
      <w:r w:rsidRPr="00D81F0F">
        <w:rPr>
          <w:szCs w:val="22"/>
          <w:lang w:val="el-GR"/>
        </w:rPr>
        <w:t xml:space="preserve">Δεν έχει παρατηρηθεί καμία επίδραση στα επίπεδα των αιμοπεταλίων στις συνιστώμενες δόσεις. Εντούτοις, στους αρουραίους και σε δόσεις πολύ ανώτερες από την συνιστώμενη των 50 mg/kg/ημέρα (που θα αντιστοιχούσαν σε 4.000 mg στους ανθρώπους/ημέρα), παρατηρήθηκε μια ελαφριά αντιπηκτική δράση των αιμοπεταλίων. Αυτή η δράση θα πρέπει να ληφθεί υπόψη όταν συγχορηγείται το Condromed με αντιπηκτικά (ακετυλσαλικυλικό οξύ, </w:t>
      </w:r>
      <w:r w:rsidR="00367A8C">
        <w:rPr>
          <w:szCs w:val="22"/>
          <w:lang w:val="el-GR"/>
        </w:rPr>
        <w:t xml:space="preserve">διπυριδαμόλη, κλοπιδογρέλη, διταζόλη, τριφουζάλη και τρικλοπιδίνη).    </w:t>
      </w:r>
    </w:p>
    <w:p w:rsidR="00367A8C" w:rsidRPr="00684E83" w:rsidRDefault="00367A8C" w:rsidP="00D81F0F">
      <w:pPr>
        <w:jc w:val="both"/>
        <w:rPr>
          <w:noProof/>
          <w:szCs w:val="22"/>
          <w:lang w:val="el-GR"/>
        </w:rPr>
      </w:pPr>
    </w:p>
    <w:p w:rsidR="001D1440" w:rsidRPr="00684E83" w:rsidRDefault="001D1440" w:rsidP="00D81F0F">
      <w:pPr>
        <w:jc w:val="both"/>
        <w:rPr>
          <w:noProof/>
          <w:szCs w:val="22"/>
          <w:lang w:val="el-GR"/>
        </w:rPr>
      </w:pPr>
      <w:r w:rsidRPr="00684E83">
        <w:rPr>
          <w:b/>
          <w:noProof/>
          <w:szCs w:val="22"/>
          <w:lang w:val="el-GR"/>
        </w:rPr>
        <w:t>4.5</w:t>
      </w:r>
      <w:r w:rsidRPr="00684E83">
        <w:rPr>
          <w:b/>
          <w:noProof/>
          <w:szCs w:val="22"/>
          <w:lang w:val="el-GR"/>
        </w:rPr>
        <w:tab/>
        <w:t>Αλληλεπιδράσεις με άλλα φαρμακευτικά προϊόντα και άλλες μορφές αλληλεπίδρασης</w:t>
      </w:r>
    </w:p>
    <w:p w:rsidR="001D1440" w:rsidRPr="00684E83" w:rsidRDefault="001D1440" w:rsidP="00D81F0F">
      <w:pPr>
        <w:jc w:val="both"/>
        <w:rPr>
          <w:noProof/>
          <w:szCs w:val="22"/>
          <w:lang w:val="el-GR"/>
        </w:rPr>
      </w:pPr>
    </w:p>
    <w:p w:rsidR="001D1440" w:rsidRPr="00684E83" w:rsidRDefault="00D81F0F" w:rsidP="00D81F0F">
      <w:pPr>
        <w:jc w:val="both"/>
        <w:rPr>
          <w:noProof/>
          <w:szCs w:val="22"/>
          <w:lang w:val="el-GR"/>
        </w:rPr>
      </w:pPr>
      <w:r w:rsidRPr="00D81F0F">
        <w:rPr>
          <w:noProof/>
          <w:szCs w:val="22"/>
          <w:lang w:val="el-GR"/>
        </w:rPr>
        <w:t>Σε περίπτωση συγχορήγησης με αντιπηκτικούς παράγοντες, βλέπε παράγραφο 4.4.</w:t>
      </w:r>
    </w:p>
    <w:p w:rsidR="001D1440" w:rsidRPr="00684E83" w:rsidRDefault="001D1440" w:rsidP="00D81F0F">
      <w:pPr>
        <w:jc w:val="both"/>
        <w:rPr>
          <w:noProof/>
          <w:szCs w:val="22"/>
          <w:lang w:val="el-GR"/>
        </w:rPr>
      </w:pPr>
    </w:p>
    <w:p w:rsidR="001D1440" w:rsidRPr="00684E83" w:rsidRDefault="001D1440" w:rsidP="00D81F0F">
      <w:pPr>
        <w:jc w:val="both"/>
        <w:rPr>
          <w:noProof/>
          <w:szCs w:val="22"/>
          <w:lang w:val="el-GR"/>
        </w:rPr>
      </w:pPr>
      <w:r w:rsidRPr="00684E83">
        <w:rPr>
          <w:b/>
          <w:noProof/>
          <w:szCs w:val="22"/>
          <w:lang w:val="el-GR"/>
        </w:rPr>
        <w:t>4.6</w:t>
      </w:r>
      <w:r w:rsidRPr="00684E83">
        <w:rPr>
          <w:b/>
          <w:noProof/>
          <w:szCs w:val="22"/>
          <w:lang w:val="el-GR"/>
        </w:rPr>
        <w:tab/>
        <w:t>Γονιμότητα, κύηση και γαλουχία</w:t>
      </w:r>
    </w:p>
    <w:p w:rsidR="001D1440" w:rsidRPr="00684E83" w:rsidRDefault="001D1440" w:rsidP="00D81F0F">
      <w:pPr>
        <w:jc w:val="both"/>
        <w:rPr>
          <w:noProof/>
          <w:szCs w:val="22"/>
          <w:lang w:val="el-GR"/>
        </w:rPr>
      </w:pPr>
    </w:p>
    <w:p w:rsidR="001D1440" w:rsidRPr="00F95232" w:rsidRDefault="00D81F0F" w:rsidP="00D81F0F">
      <w:pPr>
        <w:jc w:val="both"/>
        <w:rPr>
          <w:noProof/>
          <w:szCs w:val="22"/>
          <w:lang w:val="el-GR"/>
        </w:rPr>
      </w:pPr>
      <w:r w:rsidRPr="00D81F0F">
        <w:rPr>
          <w:noProof/>
          <w:szCs w:val="22"/>
          <w:lang w:val="el-GR"/>
        </w:rPr>
        <w:t>Δεν υ</w:t>
      </w:r>
      <w:r>
        <w:rPr>
          <w:noProof/>
          <w:szCs w:val="22"/>
          <w:lang w:val="el-GR"/>
        </w:rPr>
        <w:t>πάρχουν κλινικά δεδομένα για τη</w:t>
      </w:r>
      <w:r w:rsidRPr="00D81F0F">
        <w:rPr>
          <w:noProof/>
          <w:szCs w:val="22"/>
          <w:lang w:val="el-GR"/>
        </w:rPr>
        <w:t xml:space="preserve"> χ</w:t>
      </w:r>
      <w:r>
        <w:rPr>
          <w:noProof/>
          <w:szCs w:val="22"/>
          <w:lang w:val="el-GR"/>
        </w:rPr>
        <w:t>ρήση του Condromed κατά τη</w:t>
      </w:r>
      <w:r w:rsidRPr="00D81F0F">
        <w:rPr>
          <w:noProof/>
          <w:szCs w:val="22"/>
          <w:lang w:val="el-GR"/>
        </w:rPr>
        <w:t xml:space="preserve"> διάρκεια της κύησης ή της γαλουχίας. Συνεπώς, η χορήγηση του θα πρέπει να αποφεύγεται κατά την διάρκεια αυτών των περιόδων.</w:t>
      </w:r>
    </w:p>
    <w:p w:rsidR="00D81F0F" w:rsidRPr="00F95232" w:rsidRDefault="00D81F0F" w:rsidP="00D81F0F">
      <w:pPr>
        <w:jc w:val="both"/>
        <w:rPr>
          <w:i/>
          <w:noProof/>
          <w:szCs w:val="22"/>
          <w:lang w:val="el-GR"/>
        </w:rPr>
      </w:pPr>
    </w:p>
    <w:p w:rsidR="001D1440" w:rsidRPr="00684E83" w:rsidRDefault="001D1440" w:rsidP="00D81F0F">
      <w:pPr>
        <w:jc w:val="both"/>
        <w:rPr>
          <w:noProof/>
          <w:szCs w:val="22"/>
          <w:lang w:val="el-GR"/>
        </w:rPr>
      </w:pPr>
      <w:r w:rsidRPr="00684E83">
        <w:rPr>
          <w:b/>
          <w:noProof/>
          <w:szCs w:val="22"/>
          <w:lang w:val="el-GR"/>
        </w:rPr>
        <w:t>4.7</w:t>
      </w:r>
      <w:r w:rsidRPr="00684E83">
        <w:rPr>
          <w:b/>
          <w:noProof/>
          <w:szCs w:val="22"/>
          <w:lang w:val="el-GR"/>
        </w:rPr>
        <w:tab/>
        <w:t>Επιδράσεις στην ικανότητα οδήγησης και χειρισμού μηχανών</w:t>
      </w:r>
    </w:p>
    <w:p w:rsidR="001D1440" w:rsidRPr="00684E83" w:rsidRDefault="001D1440" w:rsidP="00D81F0F">
      <w:pPr>
        <w:jc w:val="both"/>
        <w:rPr>
          <w:noProof/>
          <w:szCs w:val="22"/>
          <w:lang w:val="el-GR"/>
        </w:rPr>
      </w:pPr>
    </w:p>
    <w:p w:rsidR="001D1440" w:rsidRPr="00D81F0F" w:rsidRDefault="001D1440" w:rsidP="00D81F0F">
      <w:pPr>
        <w:jc w:val="both"/>
        <w:rPr>
          <w:noProof/>
          <w:szCs w:val="22"/>
          <w:lang w:val="el-GR"/>
        </w:rPr>
      </w:pPr>
      <w:r w:rsidRPr="00684E83">
        <w:rPr>
          <w:noProof/>
          <w:szCs w:val="22"/>
          <w:lang w:val="el-GR"/>
        </w:rPr>
        <w:t xml:space="preserve">Το </w:t>
      </w:r>
      <w:r w:rsidR="00D81F0F">
        <w:rPr>
          <w:noProof/>
          <w:szCs w:val="22"/>
          <w:lang w:val="en-US"/>
        </w:rPr>
        <w:t>Condromed</w:t>
      </w:r>
      <w:r w:rsidR="00D81F0F" w:rsidRPr="00D81F0F">
        <w:rPr>
          <w:noProof/>
          <w:szCs w:val="22"/>
          <w:lang w:val="el-GR"/>
        </w:rPr>
        <w:t xml:space="preserve"> </w:t>
      </w:r>
      <w:r w:rsidRPr="00684E83">
        <w:rPr>
          <w:noProof/>
          <w:szCs w:val="22"/>
          <w:lang w:val="el-GR"/>
        </w:rPr>
        <w:t xml:space="preserve">δεν έχει καμία επίδραση στην ικανότητα </w:t>
      </w:r>
      <w:r w:rsidR="00D81F0F">
        <w:rPr>
          <w:noProof/>
          <w:szCs w:val="22"/>
          <w:lang w:val="el-GR"/>
        </w:rPr>
        <w:t>οδήγησης και χειρισμού μηχανών.</w:t>
      </w:r>
    </w:p>
    <w:p w:rsidR="001D1440" w:rsidRPr="00F95232" w:rsidRDefault="001D1440" w:rsidP="00D81F0F">
      <w:pPr>
        <w:jc w:val="both"/>
        <w:rPr>
          <w:noProof/>
          <w:szCs w:val="22"/>
          <w:lang w:val="el-GR"/>
        </w:rPr>
      </w:pPr>
    </w:p>
    <w:p w:rsidR="001D1440" w:rsidRPr="00684E83" w:rsidRDefault="001D1440" w:rsidP="00D81F0F">
      <w:pPr>
        <w:jc w:val="both"/>
        <w:rPr>
          <w:noProof/>
          <w:szCs w:val="22"/>
          <w:lang w:val="el-GR"/>
        </w:rPr>
      </w:pPr>
      <w:r w:rsidRPr="00684E83">
        <w:rPr>
          <w:b/>
          <w:noProof/>
          <w:szCs w:val="22"/>
          <w:lang w:val="el-GR"/>
        </w:rPr>
        <w:t>4.8</w:t>
      </w:r>
      <w:r w:rsidRPr="00684E83">
        <w:rPr>
          <w:b/>
          <w:noProof/>
          <w:szCs w:val="22"/>
          <w:lang w:val="el-GR"/>
        </w:rPr>
        <w:tab/>
        <w:t>Ανεπιθύμητες ενέργειες</w:t>
      </w:r>
    </w:p>
    <w:p w:rsidR="001D1440" w:rsidRPr="00F95232" w:rsidRDefault="001D1440" w:rsidP="00D81F0F">
      <w:pPr>
        <w:jc w:val="both"/>
        <w:rPr>
          <w:noProof/>
          <w:szCs w:val="22"/>
          <w:lang w:val="el-GR"/>
        </w:rPr>
      </w:pPr>
    </w:p>
    <w:p w:rsidR="001D1440" w:rsidRPr="00684E83" w:rsidRDefault="001D1440" w:rsidP="00D81F0F">
      <w:pPr>
        <w:autoSpaceDE w:val="0"/>
        <w:autoSpaceDN w:val="0"/>
        <w:adjustRightInd w:val="0"/>
        <w:jc w:val="both"/>
        <w:rPr>
          <w:szCs w:val="22"/>
          <w:u w:val="single"/>
          <w:lang w:val="el-GR"/>
        </w:rPr>
      </w:pPr>
      <w:r w:rsidRPr="00684E83">
        <w:rPr>
          <w:noProof/>
          <w:szCs w:val="22"/>
          <w:u w:val="single"/>
          <w:lang w:val="el-GR"/>
        </w:rPr>
        <w:t>Αναφορά πιθανολογούμενων ανεπιθύμητων ενεργειών</w:t>
      </w:r>
    </w:p>
    <w:p w:rsidR="001D1440" w:rsidRPr="00D81F0F" w:rsidRDefault="001D1440" w:rsidP="00D81F0F">
      <w:pPr>
        <w:autoSpaceDE w:val="0"/>
        <w:autoSpaceDN w:val="0"/>
        <w:adjustRightInd w:val="0"/>
        <w:jc w:val="both"/>
        <w:rPr>
          <w:noProof/>
          <w:szCs w:val="22"/>
          <w:lang w:val="el-GR"/>
        </w:rPr>
      </w:pPr>
      <w:r w:rsidRPr="00166D11">
        <w:rPr>
          <w:szCs w:val="22"/>
          <w:lang w:val="el-GR"/>
        </w:rPr>
        <w:t>Η αναφορά πιθανολογούμενων ανεπιθύμητων ενεργειών μετά από τη χορήγηση άδειας κυκλοφορίας του φαρμακευτικού προϊόντος είναι σημαντική</w:t>
      </w:r>
      <w:r w:rsidRPr="00684E83">
        <w:rPr>
          <w:noProof/>
          <w:szCs w:val="22"/>
          <w:lang w:val="el-GR"/>
        </w:rPr>
        <w:t>.</w:t>
      </w:r>
      <w:r w:rsidRPr="00684E83">
        <w:rPr>
          <w:szCs w:val="22"/>
          <w:lang w:val="el-GR"/>
        </w:rPr>
        <w:t xml:space="preserve"> </w:t>
      </w:r>
      <w:r w:rsidRPr="00166D11">
        <w:rPr>
          <w:szCs w:val="22"/>
          <w:lang w:val="el-GR"/>
        </w:rPr>
        <w:t>Επιτρέπει τη συνεχή παρακολούθηση της σχέσης οφέλους-κινδύνου του φαρμακευτικού προϊόντος</w:t>
      </w:r>
      <w:r w:rsidRPr="00684E83">
        <w:rPr>
          <w:noProof/>
          <w:szCs w:val="22"/>
          <w:lang w:val="el-GR"/>
        </w:rPr>
        <w:t>.</w:t>
      </w:r>
      <w:r w:rsidRPr="00684E83">
        <w:rPr>
          <w:szCs w:val="22"/>
          <w:lang w:val="el-GR"/>
        </w:rPr>
        <w:t xml:space="preserve"> </w:t>
      </w:r>
      <w:r w:rsidRPr="00166D11">
        <w:rPr>
          <w:szCs w:val="22"/>
          <w:lang w:val="el-GR"/>
        </w:rPr>
        <w:t>Ζητείται από τους επαγγελματίες του τομέα της υγειονομικής περίθαλψης να αναφέρουν ο</w:t>
      </w:r>
      <w:r w:rsidR="00205B89">
        <w:rPr>
          <w:szCs w:val="22"/>
          <w:lang w:val="el-GR"/>
        </w:rPr>
        <w:t>πο</w:t>
      </w:r>
      <w:r w:rsidRPr="00166D11">
        <w:rPr>
          <w:szCs w:val="22"/>
          <w:lang w:val="el-GR"/>
        </w:rPr>
        <w:t>ιεσδήποτε πιθανολογούμενες ανεπιθύμητες ενέργειες</w:t>
      </w:r>
      <w:r w:rsidR="00D81F0F" w:rsidRPr="00D81F0F">
        <w:rPr>
          <w:szCs w:val="22"/>
          <w:lang w:val="el-GR"/>
        </w:rPr>
        <w:t xml:space="preserve">. Σε περίπτωση που </w:t>
      </w:r>
      <w:r w:rsidR="00D81F0F" w:rsidRPr="00D81F0F">
        <w:rPr>
          <w:szCs w:val="22"/>
          <w:lang w:val="el-GR"/>
        </w:rPr>
        <w:lastRenderedPageBreak/>
        <w:t xml:space="preserve">θεωρείτε ότι το φάρμακο προκάλεσε κάποια ανεπιθύμητη ενέργεια παρακαλούμε να τη γνωστοποιήσετε απευθείας στον Εθνικό Οργανισμό Φαρμάκων (Μεσογείων 284, 15562, Χολαργός, </w:t>
      </w:r>
      <w:hyperlink r:id="rId8" w:history="1">
        <w:r w:rsidR="00D81F0F" w:rsidRPr="009E05E6">
          <w:rPr>
            <w:rStyle w:val="-"/>
            <w:szCs w:val="22"/>
            <w:lang w:val="el-GR"/>
          </w:rPr>
          <w:t>www.eof.gr</w:t>
        </w:r>
      </w:hyperlink>
      <w:r w:rsidR="00D81F0F" w:rsidRPr="00D81F0F">
        <w:rPr>
          <w:szCs w:val="22"/>
          <w:lang w:val="el-GR"/>
        </w:rPr>
        <w:t xml:space="preserve"> ).</w:t>
      </w:r>
    </w:p>
    <w:p w:rsidR="001D1440" w:rsidRPr="00F95232" w:rsidRDefault="001D1440" w:rsidP="00D81F0F">
      <w:pPr>
        <w:jc w:val="both"/>
        <w:rPr>
          <w:noProof/>
          <w:szCs w:val="22"/>
          <w:lang w:val="el-GR"/>
        </w:rPr>
      </w:pPr>
    </w:p>
    <w:p w:rsidR="00D81F0F" w:rsidRPr="00D81F0F" w:rsidRDefault="00D81F0F" w:rsidP="00D81F0F">
      <w:pPr>
        <w:jc w:val="both"/>
        <w:rPr>
          <w:noProof/>
          <w:szCs w:val="22"/>
          <w:lang w:val="el-GR"/>
        </w:rPr>
      </w:pPr>
      <w:r w:rsidRPr="00D81F0F">
        <w:rPr>
          <w:noProof/>
          <w:szCs w:val="22"/>
          <w:lang w:val="el-GR"/>
        </w:rPr>
        <w:t xml:space="preserve">Στον ακόλουθο πίνακα παρατίθενται οι ανεπιθύμητες ενέργειες που παρατηρήθηκαν κατά την διάρκεια των κλινικών μελετών* (σε συνολικά 1826 ασθενείς, από τους οποίους 1264 ήταν σε θεραπεία με Condromed) και κατά τη διάρκεια της μετεγκριτικής παρακολούθησης. Οι ανεπιθύμητες ενέργειες ομαδοποιήθηκαν σύμφωνα με τις κατηγορίες συστημάτων των οργάνων (System Organ Class). </w:t>
      </w:r>
    </w:p>
    <w:p w:rsidR="00D81F0F" w:rsidRPr="00D81F0F" w:rsidRDefault="00D81F0F" w:rsidP="00D81F0F">
      <w:pPr>
        <w:jc w:val="both"/>
        <w:rPr>
          <w:noProof/>
          <w:szCs w:val="22"/>
          <w:lang w:val="el-GR"/>
        </w:rPr>
      </w:pPr>
    </w:p>
    <w:p w:rsidR="00D81F0F" w:rsidRPr="00F95232" w:rsidRDefault="00D81F0F" w:rsidP="00D81F0F">
      <w:pPr>
        <w:jc w:val="both"/>
        <w:rPr>
          <w:noProof/>
          <w:szCs w:val="22"/>
          <w:lang w:val="el-GR"/>
        </w:rPr>
      </w:pPr>
      <w:r w:rsidRPr="00D81F0F">
        <w:rPr>
          <w:noProof/>
          <w:szCs w:val="22"/>
          <w:lang w:val="el-GR"/>
        </w:rPr>
        <w:t>Εντός κάθε κατηγορίας των συστημάτων των οργάνων (System Organ Class), οι ανεπιθύμητες ενέργειες είναι ταξινομημένες σύμφωνα με τη συχνότητα εμφάνισης, χρησιμοποιώντας το ακόλουθο πρότυπο: πολύ συχνές (&gt;1/10), συχνές (≥1/100, &lt;1/10), όχι συχνές (≥1/1000, &lt;1/100), σπάνιες (≥1/10,000, &lt;1/1000), πολύ σπάνιες (&lt;1/10.000).</w:t>
      </w:r>
    </w:p>
    <w:p w:rsidR="00D81F0F" w:rsidRPr="00F95232" w:rsidRDefault="00D81F0F" w:rsidP="00D81F0F">
      <w:pPr>
        <w:jc w:val="both"/>
        <w:rPr>
          <w:noProof/>
          <w:szCs w:val="22"/>
          <w:lang w:val="el-GR"/>
        </w:rPr>
      </w:pPr>
    </w:p>
    <w:tbl>
      <w:tblPr>
        <w:tblW w:w="73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984"/>
        <w:gridCol w:w="2977"/>
      </w:tblGrid>
      <w:tr w:rsidR="00D81F0F" w:rsidRPr="00D81F0F" w:rsidTr="003C7ADC">
        <w:tc>
          <w:tcPr>
            <w:tcW w:w="2410" w:type="dxa"/>
          </w:tcPr>
          <w:p w:rsidR="00D81F0F" w:rsidRPr="00D81F0F" w:rsidRDefault="00D81F0F" w:rsidP="003C7ADC">
            <w:pPr>
              <w:widowControl w:val="0"/>
              <w:tabs>
                <w:tab w:val="left" w:pos="709"/>
              </w:tabs>
              <w:rPr>
                <w:szCs w:val="22"/>
                <w:lang w:eastAsia="fi-FI"/>
              </w:rPr>
            </w:pPr>
            <w:proofErr w:type="spellStart"/>
            <w:r w:rsidRPr="00D81F0F">
              <w:rPr>
                <w:szCs w:val="22"/>
                <w:lang w:eastAsia="fi-FI"/>
              </w:rPr>
              <w:t>Γαστρεντερικές</w:t>
            </w:r>
            <w:proofErr w:type="spellEnd"/>
            <w:r w:rsidRPr="00D81F0F">
              <w:rPr>
                <w:szCs w:val="22"/>
                <w:lang w:eastAsia="fi-FI"/>
              </w:rPr>
              <w:t xml:space="preserve"> </w:t>
            </w:r>
            <w:proofErr w:type="spellStart"/>
            <w:r w:rsidRPr="00D81F0F">
              <w:rPr>
                <w:szCs w:val="22"/>
                <w:lang w:eastAsia="fi-FI"/>
              </w:rPr>
              <w:t>διαταραχές</w:t>
            </w:r>
            <w:proofErr w:type="spellEnd"/>
          </w:p>
          <w:p w:rsidR="00D81F0F" w:rsidRPr="00D81F0F" w:rsidRDefault="00D81F0F" w:rsidP="003C7ADC">
            <w:pPr>
              <w:widowControl w:val="0"/>
              <w:tabs>
                <w:tab w:val="left" w:pos="709"/>
              </w:tabs>
              <w:rPr>
                <w:szCs w:val="22"/>
                <w:lang w:eastAsia="fi-FI"/>
              </w:rPr>
            </w:pPr>
          </w:p>
        </w:tc>
        <w:tc>
          <w:tcPr>
            <w:tcW w:w="1984" w:type="dxa"/>
          </w:tcPr>
          <w:p w:rsidR="00D81F0F" w:rsidRPr="00D81F0F" w:rsidRDefault="00D81F0F" w:rsidP="003C7ADC">
            <w:pPr>
              <w:widowControl w:val="0"/>
              <w:tabs>
                <w:tab w:val="left" w:pos="709"/>
              </w:tabs>
              <w:rPr>
                <w:szCs w:val="22"/>
                <w:lang w:eastAsia="fi-FI"/>
              </w:rPr>
            </w:pPr>
            <w:proofErr w:type="spellStart"/>
            <w:r w:rsidRPr="00D81F0F">
              <w:rPr>
                <w:szCs w:val="22"/>
                <w:lang w:eastAsia="fi-FI"/>
              </w:rPr>
              <w:t>Σπάνιες</w:t>
            </w:r>
            <w:proofErr w:type="spellEnd"/>
            <w:r w:rsidRPr="00D81F0F">
              <w:rPr>
                <w:szCs w:val="22"/>
                <w:lang w:eastAsia="fi-FI"/>
              </w:rPr>
              <w:t xml:space="preserve"> </w:t>
            </w:r>
          </w:p>
        </w:tc>
        <w:tc>
          <w:tcPr>
            <w:tcW w:w="2977" w:type="dxa"/>
          </w:tcPr>
          <w:p w:rsidR="00D81F0F" w:rsidRPr="00D81F0F" w:rsidRDefault="00D81F0F" w:rsidP="003C7ADC">
            <w:pPr>
              <w:widowControl w:val="0"/>
              <w:tabs>
                <w:tab w:val="left" w:pos="709"/>
              </w:tabs>
              <w:rPr>
                <w:szCs w:val="22"/>
                <w:lang w:val="el-GR" w:eastAsia="fi-FI"/>
              </w:rPr>
            </w:pPr>
            <w:r w:rsidRPr="00D81F0F">
              <w:rPr>
                <w:szCs w:val="22"/>
                <w:lang w:val="el-GR" w:eastAsia="fi-FI"/>
              </w:rPr>
              <w:t>Γαστρεντερικές διαταραχές*</w:t>
            </w:r>
          </w:p>
          <w:p w:rsidR="00D81F0F" w:rsidRPr="00D81F0F" w:rsidRDefault="00D81F0F" w:rsidP="003C7ADC">
            <w:pPr>
              <w:widowControl w:val="0"/>
              <w:tabs>
                <w:tab w:val="left" w:pos="709"/>
              </w:tabs>
              <w:rPr>
                <w:szCs w:val="22"/>
                <w:lang w:val="el-GR" w:eastAsia="fi-FI"/>
              </w:rPr>
            </w:pPr>
            <w:r w:rsidRPr="00D81F0F">
              <w:rPr>
                <w:szCs w:val="22"/>
                <w:lang w:val="el-GR" w:eastAsia="fi-FI"/>
              </w:rPr>
              <w:t>Ανώτερος κοιλιακός πόνος*</w:t>
            </w:r>
          </w:p>
          <w:p w:rsidR="00D81F0F" w:rsidRPr="00D81F0F" w:rsidRDefault="00D81F0F" w:rsidP="003C7ADC">
            <w:pPr>
              <w:widowControl w:val="0"/>
              <w:tabs>
                <w:tab w:val="left" w:pos="709"/>
              </w:tabs>
              <w:rPr>
                <w:szCs w:val="22"/>
                <w:lang w:eastAsia="fi-FI"/>
              </w:rPr>
            </w:pPr>
            <w:proofErr w:type="spellStart"/>
            <w:r w:rsidRPr="00D81F0F">
              <w:rPr>
                <w:szCs w:val="22"/>
                <w:lang w:eastAsia="fi-FI"/>
              </w:rPr>
              <w:t>ναυτία</w:t>
            </w:r>
            <w:proofErr w:type="spellEnd"/>
            <w:r w:rsidRPr="00D81F0F">
              <w:rPr>
                <w:szCs w:val="22"/>
                <w:lang w:eastAsia="fi-FI"/>
              </w:rPr>
              <w:t>*</w:t>
            </w:r>
          </w:p>
          <w:p w:rsidR="00D81F0F" w:rsidRPr="00D81F0F" w:rsidRDefault="00D81F0F" w:rsidP="003C7ADC">
            <w:pPr>
              <w:widowControl w:val="0"/>
              <w:tabs>
                <w:tab w:val="left" w:pos="709"/>
              </w:tabs>
              <w:rPr>
                <w:szCs w:val="22"/>
                <w:lang w:eastAsia="fi-FI"/>
              </w:rPr>
            </w:pPr>
            <w:proofErr w:type="spellStart"/>
            <w:r w:rsidRPr="00D81F0F">
              <w:rPr>
                <w:szCs w:val="22"/>
                <w:lang w:eastAsia="fi-FI"/>
              </w:rPr>
              <w:t>διάρροια</w:t>
            </w:r>
            <w:proofErr w:type="spellEnd"/>
            <w:r w:rsidRPr="00D81F0F">
              <w:rPr>
                <w:szCs w:val="22"/>
                <w:lang w:eastAsia="fi-FI"/>
              </w:rPr>
              <w:t>*</w:t>
            </w:r>
          </w:p>
        </w:tc>
      </w:tr>
      <w:tr w:rsidR="00D81F0F" w:rsidRPr="00D81F0F" w:rsidTr="003C7ADC">
        <w:trPr>
          <w:trHeight w:val="1503"/>
        </w:trPr>
        <w:tc>
          <w:tcPr>
            <w:tcW w:w="2410" w:type="dxa"/>
          </w:tcPr>
          <w:p w:rsidR="00D81F0F" w:rsidRPr="00D81F0F" w:rsidRDefault="00D81F0F" w:rsidP="003C7ADC">
            <w:pPr>
              <w:widowControl w:val="0"/>
              <w:tabs>
                <w:tab w:val="left" w:pos="709"/>
              </w:tabs>
              <w:rPr>
                <w:szCs w:val="22"/>
                <w:lang w:eastAsia="fi-FI"/>
              </w:rPr>
            </w:pPr>
            <w:proofErr w:type="spellStart"/>
            <w:r w:rsidRPr="00D81F0F">
              <w:rPr>
                <w:szCs w:val="22"/>
                <w:lang w:eastAsia="fi-FI"/>
              </w:rPr>
              <w:t>Δερματικές</w:t>
            </w:r>
            <w:proofErr w:type="spellEnd"/>
            <w:r w:rsidRPr="00D81F0F">
              <w:rPr>
                <w:szCs w:val="22"/>
                <w:lang w:eastAsia="fi-FI"/>
              </w:rPr>
              <w:t xml:space="preserve"> </w:t>
            </w:r>
            <w:proofErr w:type="spellStart"/>
            <w:r w:rsidRPr="00D81F0F">
              <w:rPr>
                <w:szCs w:val="22"/>
                <w:lang w:eastAsia="fi-FI"/>
              </w:rPr>
              <w:t>και</w:t>
            </w:r>
            <w:proofErr w:type="spellEnd"/>
            <w:r w:rsidRPr="00D81F0F">
              <w:rPr>
                <w:szCs w:val="22"/>
                <w:lang w:eastAsia="fi-FI"/>
              </w:rPr>
              <w:t xml:space="preserve"> </w:t>
            </w:r>
            <w:proofErr w:type="spellStart"/>
            <w:r w:rsidRPr="00D81F0F">
              <w:rPr>
                <w:szCs w:val="22"/>
                <w:lang w:eastAsia="fi-FI"/>
              </w:rPr>
              <w:t>υποδόριες</w:t>
            </w:r>
            <w:proofErr w:type="spellEnd"/>
            <w:r w:rsidRPr="00D81F0F">
              <w:rPr>
                <w:szCs w:val="22"/>
                <w:lang w:eastAsia="fi-FI"/>
              </w:rPr>
              <w:t xml:space="preserve"> </w:t>
            </w:r>
            <w:proofErr w:type="spellStart"/>
            <w:r w:rsidRPr="00D81F0F">
              <w:rPr>
                <w:szCs w:val="22"/>
                <w:lang w:eastAsia="fi-FI"/>
              </w:rPr>
              <w:t>διαταραχές</w:t>
            </w:r>
            <w:proofErr w:type="spellEnd"/>
          </w:p>
          <w:p w:rsidR="00D81F0F" w:rsidRPr="00D81F0F" w:rsidRDefault="00D81F0F" w:rsidP="003C7ADC">
            <w:pPr>
              <w:widowControl w:val="0"/>
              <w:tabs>
                <w:tab w:val="left" w:pos="709"/>
              </w:tabs>
              <w:rPr>
                <w:szCs w:val="22"/>
                <w:lang w:eastAsia="fi-FI"/>
              </w:rPr>
            </w:pPr>
          </w:p>
        </w:tc>
        <w:tc>
          <w:tcPr>
            <w:tcW w:w="1984" w:type="dxa"/>
          </w:tcPr>
          <w:p w:rsidR="00D81F0F" w:rsidRPr="00D81F0F" w:rsidRDefault="00D81F0F" w:rsidP="003C7ADC">
            <w:pPr>
              <w:widowControl w:val="0"/>
              <w:tabs>
                <w:tab w:val="left" w:pos="709"/>
              </w:tabs>
              <w:rPr>
                <w:szCs w:val="22"/>
                <w:lang w:eastAsia="fi-FI"/>
              </w:rPr>
            </w:pPr>
            <w:proofErr w:type="spellStart"/>
            <w:r w:rsidRPr="00D81F0F">
              <w:rPr>
                <w:szCs w:val="22"/>
                <w:lang w:eastAsia="fi-FI"/>
              </w:rPr>
              <w:t>Σπάνιες</w:t>
            </w:r>
            <w:proofErr w:type="spellEnd"/>
            <w:r w:rsidRPr="00D81F0F">
              <w:rPr>
                <w:szCs w:val="22"/>
                <w:lang w:eastAsia="fi-FI"/>
              </w:rPr>
              <w:t xml:space="preserve"> </w:t>
            </w:r>
          </w:p>
          <w:p w:rsidR="00D81F0F" w:rsidRPr="00D81F0F" w:rsidRDefault="00D81F0F" w:rsidP="003C7ADC">
            <w:pPr>
              <w:widowControl w:val="0"/>
              <w:tabs>
                <w:tab w:val="left" w:pos="709"/>
              </w:tabs>
              <w:rPr>
                <w:szCs w:val="22"/>
                <w:lang w:eastAsia="fi-FI"/>
              </w:rPr>
            </w:pPr>
          </w:p>
          <w:p w:rsidR="00D81F0F" w:rsidRPr="00D81F0F" w:rsidRDefault="00D81F0F" w:rsidP="003C7ADC">
            <w:pPr>
              <w:widowControl w:val="0"/>
              <w:tabs>
                <w:tab w:val="left" w:pos="709"/>
              </w:tabs>
              <w:rPr>
                <w:szCs w:val="22"/>
                <w:lang w:eastAsia="fi-FI"/>
              </w:rPr>
            </w:pPr>
          </w:p>
          <w:p w:rsidR="00D81F0F" w:rsidRPr="00D81F0F" w:rsidRDefault="00D81F0F" w:rsidP="003C7ADC">
            <w:pPr>
              <w:widowControl w:val="0"/>
              <w:tabs>
                <w:tab w:val="left" w:pos="709"/>
              </w:tabs>
              <w:rPr>
                <w:szCs w:val="22"/>
                <w:lang w:eastAsia="fi-FI"/>
              </w:rPr>
            </w:pPr>
          </w:p>
          <w:p w:rsidR="00D81F0F" w:rsidRPr="00D81F0F" w:rsidRDefault="00D81F0F" w:rsidP="003C7ADC">
            <w:pPr>
              <w:widowControl w:val="0"/>
              <w:tabs>
                <w:tab w:val="left" w:pos="709"/>
              </w:tabs>
              <w:rPr>
                <w:szCs w:val="22"/>
                <w:lang w:eastAsia="fi-FI"/>
              </w:rPr>
            </w:pPr>
            <w:proofErr w:type="spellStart"/>
            <w:r w:rsidRPr="00D81F0F">
              <w:rPr>
                <w:szCs w:val="22"/>
                <w:lang w:eastAsia="fi-FI"/>
              </w:rPr>
              <w:t>Πολύ</w:t>
            </w:r>
            <w:proofErr w:type="spellEnd"/>
            <w:r w:rsidRPr="00D81F0F">
              <w:rPr>
                <w:szCs w:val="22"/>
                <w:lang w:eastAsia="fi-FI"/>
              </w:rPr>
              <w:t xml:space="preserve"> </w:t>
            </w:r>
            <w:proofErr w:type="spellStart"/>
            <w:r w:rsidRPr="00D81F0F">
              <w:rPr>
                <w:szCs w:val="22"/>
                <w:lang w:eastAsia="fi-FI"/>
              </w:rPr>
              <w:t>σπάνιες</w:t>
            </w:r>
            <w:proofErr w:type="spellEnd"/>
          </w:p>
        </w:tc>
        <w:tc>
          <w:tcPr>
            <w:tcW w:w="2977" w:type="dxa"/>
          </w:tcPr>
          <w:p w:rsidR="00D81F0F" w:rsidRPr="00D81F0F" w:rsidRDefault="00D81F0F" w:rsidP="003C7ADC">
            <w:pPr>
              <w:widowControl w:val="0"/>
              <w:tabs>
                <w:tab w:val="left" w:pos="709"/>
              </w:tabs>
              <w:rPr>
                <w:szCs w:val="22"/>
                <w:lang w:val="el-GR" w:eastAsia="fi-FI"/>
              </w:rPr>
            </w:pPr>
            <w:r w:rsidRPr="00D81F0F">
              <w:rPr>
                <w:szCs w:val="22"/>
                <w:lang w:val="el-GR" w:eastAsia="fi-FI"/>
              </w:rPr>
              <w:t xml:space="preserve">Ερύθημα </w:t>
            </w:r>
          </w:p>
          <w:p w:rsidR="00D81F0F" w:rsidRPr="00D81F0F" w:rsidRDefault="00D81F0F" w:rsidP="003C7ADC">
            <w:pPr>
              <w:widowControl w:val="0"/>
              <w:tabs>
                <w:tab w:val="left" w:pos="709"/>
              </w:tabs>
              <w:rPr>
                <w:szCs w:val="22"/>
                <w:lang w:val="fi-FI" w:eastAsia="fi-FI"/>
              </w:rPr>
            </w:pPr>
            <w:r w:rsidRPr="00D81F0F">
              <w:rPr>
                <w:szCs w:val="22"/>
                <w:lang w:val="el-GR" w:eastAsia="fi-FI"/>
              </w:rPr>
              <w:t>Εξάνθημα</w:t>
            </w:r>
            <w:r w:rsidRPr="00D81F0F">
              <w:rPr>
                <w:szCs w:val="22"/>
                <w:lang w:val="fi-FI" w:eastAsia="fi-FI"/>
              </w:rPr>
              <w:t>*</w:t>
            </w:r>
          </w:p>
          <w:p w:rsidR="00D81F0F" w:rsidRPr="00D81F0F" w:rsidRDefault="00D81F0F" w:rsidP="003C7ADC">
            <w:pPr>
              <w:widowControl w:val="0"/>
              <w:tabs>
                <w:tab w:val="left" w:pos="709"/>
              </w:tabs>
              <w:rPr>
                <w:szCs w:val="22"/>
                <w:lang w:val="el-GR"/>
              </w:rPr>
            </w:pPr>
            <w:r w:rsidRPr="00D81F0F">
              <w:rPr>
                <w:szCs w:val="22"/>
                <w:lang w:val="el-GR"/>
              </w:rPr>
              <w:t>Κηλιδοβλατιδώδες εξάνθημα</w:t>
            </w:r>
          </w:p>
          <w:p w:rsidR="00D81F0F" w:rsidRPr="00D81F0F" w:rsidRDefault="00D81F0F" w:rsidP="003C7ADC">
            <w:pPr>
              <w:widowControl w:val="0"/>
              <w:tabs>
                <w:tab w:val="left" w:pos="709"/>
              </w:tabs>
              <w:rPr>
                <w:szCs w:val="22"/>
                <w:lang w:val="el-GR" w:eastAsia="fi-FI"/>
              </w:rPr>
            </w:pPr>
          </w:p>
          <w:p w:rsidR="00D81F0F" w:rsidRPr="00D81F0F" w:rsidRDefault="00D81F0F" w:rsidP="003C7ADC">
            <w:pPr>
              <w:widowControl w:val="0"/>
              <w:tabs>
                <w:tab w:val="left" w:pos="709"/>
              </w:tabs>
              <w:rPr>
                <w:szCs w:val="22"/>
                <w:lang w:val="el-GR" w:eastAsia="fi-FI"/>
              </w:rPr>
            </w:pPr>
            <w:r w:rsidRPr="00D81F0F">
              <w:rPr>
                <w:szCs w:val="22"/>
                <w:lang w:val="el-GR"/>
              </w:rPr>
              <w:t>Κνίδωση</w:t>
            </w:r>
            <w:r w:rsidRPr="00D81F0F">
              <w:rPr>
                <w:szCs w:val="22"/>
                <w:lang w:val="fi-FI" w:eastAsia="fi-FI"/>
              </w:rPr>
              <w:t xml:space="preserve"> </w:t>
            </w:r>
            <w:r w:rsidRPr="00D81F0F">
              <w:rPr>
                <w:szCs w:val="22"/>
                <w:lang w:val="el-GR" w:eastAsia="fi-FI"/>
              </w:rPr>
              <w:t xml:space="preserve"> </w:t>
            </w:r>
          </w:p>
          <w:p w:rsidR="00D81F0F" w:rsidRPr="00D81F0F" w:rsidRDefault="00D81F0F" w:rsidP="003C7ADC">
            <w:pPr>
              <w:widowControl w:val="0"/>
              <w:tabs>
                <w:tab w:val="left" w:pos="709"/>
              </w:tabs>
              <w:rPr>
                <w:szCs w:val="22"/>
                <w:lang w:val="el-GR" w:eastAsia="fi-FI"/>
              </w:rPr>
            </w:pPr>
            <w:r w:rsidRPr="00D81F0F">
              <w:rPr>
                <w:szCs w:val="22"/>
                <w:lang w:val="el-GR" w:eastAsia="fi-FI"/>
              </w:rPr>
              <w:t xml:space="preserve">Έκζεμα </w:t>
            </w:r>
          </w:p>
          <w:p w:rsidR="00D81F0F" w:rsidRPr="00D81F0F" w:rsidRDefault="00D81F0F" w:rsidP="003C7ADC">
            <w:pPr>
              <w:widowControl w:val="0"/>
              <w:tabs>
                <w:tab w:val="left" w:pos="709"/>
              </w:tabs>
              <w:rPr>
                <w:szCs w:val="22"/>
                <w:lang w:eastAsia="fi-FI"/>
              </w:rPr>
            </w:pPr>
            <w:proofErr w:type="spellStart"/>
            <w:r w:rsidRPr="00D81F0F">
              <w:rPr>
                <w:szCs w:val="22"/>
                <w:lang w:eastAsia="fi-FI"/>
              </w:rPr>
              <w:t>Κνησμός</w:t>
            </w:r>
            <w:proofErr w:type="spellEnd"/>
            <w:r w:rsidRPr="00D81F0F">
              <w:rPr>
                <w:szCs w:val="22"/>
                <w:lang w:eastAsia="fi-FI"/>
              </w:rPr>
              <w:t xml:space="preserve"> </w:t>
            </w:r>
          </w:p>
        </w:tc>
      </w:tr>
      <w:tr w:rsidR="00D81F0F" w:rsidRPr="00D81F0F" w:rsidTr="003C7ADC">
        <w:tc>
          <w:tcPr>
            <w:tcW w:w="2410" w:type="dxa"/>
          </w:tcPr>
          <w:p w:rsidR="00D81F0F" w:rsidRPr="00D81F0F" w:rsidRDefault="00D81F0F" w:rsidP="003C7ADC">
            <w:pPr>
              <w:widowControl w:val="0"/>
              <w:tabs>
                <w:tab w:val="left" w:pos="709"/>
              </w:tabs>
              <w:rPr>
                <w:szCs w:val="22"/>
                <w:lang w:val="el-GR" w:eastAsia="fi-FI"/>
              </w:rPr>
            </w:pPr>
            <w:r w:rsidRPr="00D81F0F">
              <w:rPr>
                <w:szCs w:val="22"/>
                <w:lang w:val="el-GR" w:eastAsia="fi-FI"/>
              </w:rPr>
              <w:t xml:space="preserve">Γενικές διαταραχές και παθήσεις σχετικές με την οδό χορήγησης </w:t>
            </w:r>
          </w:p>
        </w:tc>
        <w:tc>
          <w:tcPr>
            <w:tcW w:w="1984" w:type="dxa"/>
          </w:tcPr>
          <w:p w:rsidR="00D81F0F" w:rsidRPr="00D81F0F" w:rsidRDefault="00D81F0F" w:rsidP="003C7ADC">
            <w:pPr>
              <w:widowControl w:val="0"/>
              <w:tabs>
                <w:tab w:val="left" w:pos="709"/>
              </w:tabs>
              <w:rPr>
                <w:szCs w:val="22"/>
                <w:lang w:eastAsia="fi-FI"/>
              </w:rPr>
            </w:pPr>
            <w:proofErr w:type="spellStart"/>
            <w:r w:rsidRPr="00D81F0F">
              <w:rPr>
                <w:szCs w:val="22"/>
                <w:lang w:eastAsia="fi-FI"/>
              </w:rPr>
              <w:t>Πολύ</w:t>
            </w:r>
            <w:proofErr w:type="spellEnd"/>
            <w:r w:rsidRPr="00D81F0F">
              <w:rPr>
                <w:szCs w:val="22"/>
                <w:lang w:eastAsia="fi-FI"/>
              </w:rPr>
              <w:t xml:space="preserve"> </w:t>
            </w:r>
            <w:proofErr w:type="spellStart"/>
            <w:r w:rsidRPr="00D81F0F">
              <w:rPr>
                <w:szCs w:val="22"/>
                <w:lang w:eastAsia="fi-FI"/>
              </w:rPr>
              <w:t>σπάνιες</w:t>
            </w:r>
            <w:proofErr w:type="spellEnd"/>
          </w:p>
        </w:tc>
        <w:tc>
          <w:tcPr>
            <w:tcW w:w="2977" w:type="dxa"/>
          </w:tcPr>
          <w:p w:rsidR="00D81F0F" w:rsidRPr="00D81F0F" w:rsidRDefault="00D81F0F" w:rsidP="003C7ADC">
            <w:pPr>
              <w:widowControl w:val="0"/>
              <w:tabs>
                <w:tab w:val="left" w:pos="709"/>
              </w:tabs>
              <w:rPr>
                <w:szCs w:val="22"/>
                <w:lang w:eastAsia="fi-FI"/>
              </w:rPr>
            </w:pPr>
            <w:proofErr w:type="spellStart"/>
            <w:r w:rsidRPr="00D81F0F">
              <w:rPr>
                <w:szCs w:val="22"/>
                <w:lang w:eastAsia="fi-FI"/>
              </w:rPr>
              <w:t>Οίδημα</w:t>
            </w:r>
            <w:proofErr w:type="spellEnd"/>
            <w:r w:rsidRPr="00D81F0F">
              <w:rPr>
                <w:szCs w:val="22"/>
                <w:lang w:eastAsia="fi-FI"/>
              </w:rPr>
              <w:t xml:space="preserve"> </w:t>
            </w:r>
          </w:p>
        </w:tc>
      </w:tr>
    </w:tbl>
    <w:p w:rsidR="00D81F0F" w:rsidRPr="00D81F0F" w:rsidRDefault="00D81F0F" w:rsidP="00D81F0F">
      <w:pPr>
        <w:jc w:val="both"/>
        <w:rPr>
          <w:noProof/>
          <w:szCs w:val="22"/>
          <w:lang w:val="el-GR"/>
        </w:rPr>
      </w:pPr>
      <w:r w:rsidRPr="00D81F0F">
        <w:rPr>
          <w:noProof/>
          <w:szCs w:val="22"/>
          <w:lang w:val="el-GR"/>
        </w:rPr>
        <w:t>* ανεπιθύμητες ενέργειες που παρατηρήθηκαν κατά την διάρκεια των κλινικών μελετών</w:t>
      </w:r>
    </w:p>
    <w:p w:rsidR="00B53E07" w:rsidRPr="00D81F0F" w:rsidRDefault="00B53E07" w:rsidP="00D81F0F">
      <w:pPr>
        <w:jc w:val="both"/>
        <w:rPr>
          <w:noProof/>
          <w:szCs w:val="22"/>
          <w:lang w:val="el-GR"/>
        </w:rPr>
      </w:pPr>
    </w:p>
    <w:p w:rsidR="001D1440" w:rsidRPr="00684E83" w:rsidRDefault="001D1440" w:rsidP="00D81F0F">
      <w:pPr>
        <w:jc w:val="both"/>
        <w:rPr>
          <w:noProof/>
          <w:szCs w:val="22"/>
          <w:lang w:val="el-GR"/>
        </w:rPr>
      </w:pPr>
      <w:r w:rsidRPr="00684E83">
        <w:rPr>
          <w:b/>
          <w:noProof/>
          <w:szCs w:val="22"/>
          <w:lang w:val="el-GR"/>
        </w:rPr>
        <w:t>4.9</w:t>
      </w:r>
      <w:r w:rsidRPr="00684E83">
        <w:rPr>
          <w:b/>
          <w:noProof/>
          <w:szCs w:val="22"/>
          <w:lang w:val="el-GR"/>
        </w:rPr>
        <w:tab/>
        <w:t>Υπερδοσολογία</w:t>
      </w:r>
    </w:p>
    <w:p w:rsidR="001D1440" w:rsidRPr="00684E83" w:rsidRDefault="001D1440" w:rsidP="00D81F0F">
      <w:pPr>
        <w:jc w:val="both"/>
        <w:rPr>
          <w:noProof/>
          <w:szCs w:val="22"/>
          <w:lang w:val="el-GR"/>
        </w:rPr>
      </w:pPr>
    </w:p>
    <w:p w:rsidR="001D1440" w:rsidRPr="00684E83" w:rsidRDefault="00D81F0F" w:rsidP="00D81F0F">
      <w:pPr>
        <w:jc w:val="both"/>
        <w:rPr>
          <w:noProof/>
          <w:szCs w:val="22"/>
          <w:lang w:val="el-GR"/>
        </w:rPr>
      </w:pPr>
      <w:r w:rsidRPr="00D81F0F">
        <w:rPr>
          <w:noProof/>
          <w:szCs w:val="22"/>
          <w:lang w:val="el-GR"/>
        </w:rPr>
        <w:t>Κατά τη διάρκεια της μετεγκριτικής παρακολούθησης, παρατηρήθηκε μόνο μια περίπτωση υπερβολικής δόσης με πρόθεση αυτοκτονίας. Μετά από μια δόση 64g, ο ασθενής δεν παρουσίασε καμία ανεπιθύμητη ενέργεια και οι εργαστηριακές αναλύσεις παρουσίασαν φυσιολογικές τιμές ηλεκτρολυτών.</w:t>
      </w:r>
    </w:p>
    <w:p w:rsidR="001D1440" w:rsidRPr="00684E83" w:rsidRDefault="001D1440" w:rsidP="00D81F0F">
      <w:pPr>
        <w:jc w:val="both"/>
        <w:rPr>
          <w:noProof/>
          <w:szCs w:val="22"/>
          <w:lang w:val="el-GR"/>
        </w:rPr>
      </w:pPr>
    </w:p>
    <w:p w:rsidR="001D1440" w:rsidRPr="00684E83" w:rsidRDefault="001D1440" w:rsidP="00D81F0F">
      <w:pPr>
        <w:ind w:left="567" w:hanging="567"/>
        <w:jc w:val="both"/>
        <w:rPr>
          <w:noProof/>
          <w:szCs w:val="22"/>
          <w:lang w:val="el-GR"/>
        </w:rPr>
      </w:pPr>
      <w:r w:rsidRPr="00684E83">
        <w:rPr>
          <w:b/>
          <w:noProof/>
          <w:szCs w:val="22"/>
          <w:lang w:val="el-GR"/>
        </w:rPr>
        <w:t>5.</w:t>
      </w:r>
      <w:r w:rsidRPr="00684E83">
        <w:rPr>
          <w:b/>
          <w:noProof/>
          <w:szCs w:val="22"/>
          <w:lang w:val="el-GR"/>
        </w:rPr>
        <w:tab/>
        <w:t>ΦΑΡΜΑΚΟΛΟΓΙΚΕΣ ΙΔΙΟΤΗΤΕΣ</w:t>
      </w:r>
    </w:p>
    <w:p w:rsidR="001D1440" w:rsidRPr="00684E83" w:rsidRDefault="001D1440" w:rsidP="00D81F0F">
      <w:pPr>
        <w:jc w:val="both"/>
        <w:rPr>
          <w:noProof/>
          <w:szCs w:val="22"/>
          <w:lang w:val="el-GR"/>
        </w:rPr>
      </w:pPr>
    </w:p>
    <w:p w:rsidR="001D1440" w:rsidRPr="00684E83" w:rsidRDefault="001D1440" w:rsidP="00D81F0F">
      <w:pPr>
        <w:ind w:left="567" w:hanging="567"/>
        <w:jc w:val="both"/>
        <w:outlineLvl w:val="0"/>
        <w:rPr>
          <w:noProof/>
          <w:szCs w:val="22"/>
          <w:lang w:val="el-GR"/>
        </w:rPr>
      </w:pPr>
      <w:r w:rsidRPr="00684E83">
        <w:rPr>
          <w:b/>
          <w:noProof/>
          <w:szCs w:val="22"/>
          <w:lang w:val="el-GR"/>
        </w:rPr>
        <w:t xml:space="preserve">5.1 </w:t>
      </w:r>
      <w:r w:rsidRPr="00684E83">
        <w:rPr>
          <w:b/>
          <w:noProof/>
          <w:szCs w:val="22"/>
          <w:lang w:val="el-GR"/>
        </w:rPr>
        <w:tab/>
        <w:t>Φαρμακοδυναμικές ιδιότητες</w:t>
      </w:r>
    </w:p>
    <w:p w:rsidR="001D1440" w:rsidRPr="00684E83" w:rsidRDefault="001D1440" w:rsidP="00D81F0F">
      <w:pPr>
        <w:jc w:val="both"/>
        <w:rPr>
          <w:noProof/>
          <w:szCs w:val="22"/>
          <w:lang w:val="el-GR"/>
        </w:rPr>
      </w:pPr>
    </w:p>
    <w:p w:rsidR="001D1440" w:rsidRPr="00684E83" w:rsidRDefault="001D1440" w:rsidP="00D81F0F">
      <w:pPr>
        <w:jc w:val="both"/>
        <w:outlineLvl w:val="0"/>
        <w:rPr>
          <w:noProof/>
          <w:szCs w:val="22"/>
          <w:lang w:val="el-GR"/>
        </w:rPr>
      </w:pPr>
      <w:r w:rsidRPr="00684E83">
        <w:rPr>
          <w:noProof/>
          <w:szCs w:val="22"/>
          <w:lang w:val="el-GR"/>
        </w:rPr>
        <w:t xml:space="preserve">Φαρμακοθεραπευτική κατηγορία: </w:t>
      </w:r>
      <w:r w:rsidR="00DA5F83">
        <w:rPr>
          <w:noProof/>
          <w:szCs w:val="22"/>
          <w:lang w:val="el-GR"/>
        </w:rPr>
        <w:t>: Αλλα</w:t>
      </w:r>
      <w:r w:rsidR="00D81F0F" w:rsidRPr="00D81F0F">
        <w:rPr>
          <w:noProof/>
          <w:szCs w:val="22"/>
          <w:lang w:val="el-GR"/>
        </w:rPr>
        <w:t xml:space="preserve"> μη στεροειδή αντιφλεγμονώδη και αντιρρευματικά φάρμακα. </w:t>
      </w:r>
      <w:r w:rsidRPr="00684E83">
        <w:rPr>
          <w:noProof/>
          <w:szCs w:val="22"/>
          <w:lang w:val="el-GR"/>
        </w:rPr>
        <w:t xml:space="preserve">κωδικός </w:t>
      </w:r>
      <w:r w:rsidRPr="00166D11">
        <w:rPr>
          <w:noProof/>
          <w:szCs w:val="22"/>
          <w:lang w:val="en-US"/>
        </w:rPr>
        <w:t>ATC</w:t>
      </w:r>
      <w:r w:rsidRPr="00684E83">
        <w:rPr>
          <w:noProof/>
          <w:szCs w:val="22"/>
          <w:lang w:val="el-GR"/>
        </w:rPr>
        <w:t xml:space="preserve">: </w:t>
      </w:r>
      <w:r w:rsidR="00D81F0F" w:rsidRPr="00711D58">
        <w:rPr>
          <w:bCs/>
          <w:iCs/>
          <w:szCs w:val="22"/>
        </w:rPr>
        <w:t>M</w:t>
      </w:r>
      <w:r w:rsidR="00D81F0F" w:rsidRPr="00711D58">
        <w:rPr>
          <w:bCs/>
          <w:iCs/>
          <w:szCs w:val="22"/>
          <w:lang w:val="el-GR"/>
        </w:rPr>
        <w:t>01</w:t>
      </w:r>
      <w:r w:rsidR="00D81F0F" w:rsidRPr="00711D58">
        <w:rPr>
          <w:bCs/>
          <w:iCs/>
          <w:szCs w:val="22"/>
        </w:rPr>
        <w:t>AX</w:t>
      </w:r>
      <w:r w:rsidR="00D81F0F" w:rsidRPr="00711D58">
        <w:rPr>
          <w:bCs/>
          <w:iCs/>
          <w:szCs w:val="22"/>
          <w:lang w:val="el-GR"/>
        </w:rPr>
        <w:t>25</w:t>
      </w:r>
      <w:r w:rsidR="00D81F0F" w:rsidRPr="00D81F0F">
        <w:rPr>
          <w:rFonts w:ascii="Arial" w:hAnsi="Arial" w:cs="Arial"/>
          <w:bCs/>
          <w:iCs/>
          <w:szCs w:val="22"/>
          <w:lang w:val="el-GR"/>
        </w:rPr>
        <w:t xml:space="preserve"> </w:t>
      </w:r>
    </w:p>
    <w:p w:rsidR="001D1440" w:rsidRPr="00F95232" w:rsidRDefault="001D1440" w:rsidP="00D81F0F">
      <w:pPr>
        <w:autoSpaceDE w:val="0"/>
        <w:autoSpaceDN w:val="0"/>
        <w:adjustRightInd w:val="0"/>
        <w:jc w:val="both"/>
        <w:rPr>
          <w:b/>
          <w:i/>
          <w:szCs w:val="22"/>
          <w:lang w:val="el-GR"/>
        </w:rPr>
      </w:pPr>
    </w:p>
    <w:p w:rsidR="001D1440" w:rsidRPr="00F95232" w:rsidRDefault="001D1440" w:rsidP="00D81F0F">
      <w:pPr>
        <w:jc w:val="both"/>
        <w:rPr>
          <w:noProof/>
          <w:szCs w:val="22"/>
          <w:lang w:val="el-GR"/>
        </w:rPr>
      </w:pPr>
      <w:r w:rsidRPr="00166D11">
        <w:rPr>
          <w:szCs w:val="22"/>
          <w:u w:val="single"/>
          <w:lang w:val="el-GR"/>
        </w:rPr>
        <w:t>Μηχανισμός δράσης</w:t>
      </w:r>
    </w:p>
    <w:p w:rsidR="00E1512F" w:rsidRPr="00F95232" w:rsidRDefault="00E1512F" w:rsidP="00D81F0F">
      <w:pPr>
        <w:jc w:val="both"/>
        <w:rPr>
          <w:noProof/>
          <w:szCs w:val="22"/>
          <w:lang w:val="el-GR"/>
        </w:rPr>
      </w:pPr>
    </w:p>
    <w:p w:rsidR="00E1512F" w:rsidRPr="00E1512F" w:rsidRDefault="00E1512F" w:rsidP="00E1512F">
      <w:pPr>
        <w:jc w:val="both"/>
        <w:rPr>
          <w:noProof/>
          <w:szCs w:val="22"/>
          <w:lang w:val="el-GR"/>
        </w:rPr>
      </w:pPr>
      <w:r w:rsidRPr="00E1512F">
        <w:rPr>
          <w:noProof/>
          <w:szCs w:val="22"/>
          <w:lang w:val="el-GR"/>
        </w:rPr>
        <w:t xml:space="preserve">Η θειϊκή χονδροϊτίνη, η δραστική ουσία του Condromed, ανήκει στην υποομάδα των πολυσακχαριτών, τις γλυκοζαμινογλυκάνες. </w:t>
      </w:r>
    </w:p>
    <w:p w:rsidR="00E1512F" w:rsidRPr="00E1512F" w:rsidRDefault="00E1512F" w:rsidP="00E1512F">
      <w:pPr>
        <w:jc w:val="both"/>
        <w:rPr>
          <w:noProof/>
          <w:szCs w:val="22"/>
          <w:lang w:val="el-GR"/>
        </w:rPr>
      </w:pPr>
    </w:p>
    <w:p w:rsidR="00E1512F" w:rsidRPr="00E1512F" w:rsidRDefault="00E1512F" w:rsidP="00E1512F">
      <w:pPr>
        <w:jc w:val="both"/>
        <w:rPr>
          <w:noProof/>
          <w:szCs w:val="22"/>
          <w:lang w:val="el-GR"/>
        </w:rPr>
      </w:pPr>
      <w:r w:rsidRPr="00E1512F">
        <w:rPr>
          <w:noProof/>
          <w:szCs w:val="22"/>
          <w:lang w:val="el-GR"/>
        </w:rPr>
        <w:t xml:space="preserve">Η θειϊκή χονδροϊτίνη είναι ένα από τα κυρία συστατικά του χόνδρου, όπου ενώνεται με μια κεντρική πρωτεΐνη, σχηματίζοντας  τις πρωτεογλυκάνες, οι οποίες αποδίδουν στους χόνδρους τις μηχανικές και ελαστικές ιδιότητες τους. </w:t>
      </w:r>
    </w:p>
    <w:p w:rsidR="00E1512F" w:rsidRPr="00E1512F" w:rsidRDefault="00E1512F" w:rsidP="00E1512F">
      <w:pPr>
        <w:jc w:val="both"/>
        <w:rPr>
          <w:noProof/>
          <w:szCs w:val="22"/>
          <w:lang w:val="el-GR"/>
        </w:rPr>
      </w:pPr>
    </w:p>
    <w:p w:rsidR="00E1512F" w:rsidRPr="00E1512F" w:rsidRDefault="00E1512F" w:rsidP="00E1512F">
      <w:pPr>
        <w:jc w:val="both"/>
        <w:rPr>
          <w:noProof/>
          <w:szCs w:val="22"/>
          <w:lang w:val="el-GR"/>
        </w:rPr>
      </w:pPr>
      <w:r w:rsidRPr="00E1512F">
        <w:rPr>
          <w:noProof/>
          <w:szCs w:val="22"/>
          <w:lang w:val="el-GR"/>
        </w:rPr>
        <w:t>Η θεραπευτική δράση της θειϊκής χονδροϊτίνης σε ασθενείς που πάσχουν από αρθρίτιδα, οφείλεται στην αντιφλεγμονώδη δράση της σε επίπεδο των κυτταρικών συστατικών της φλεγμονής (in vivo), στην ενεργοποίηση της σύνθεσης των ενδογενών προ</w:t>
      </w:r>
      <w:r w:rsidR="00DA5F83">
        <w:rPr>
          <w:noProof/>
          <w:szCs w:val="22"/>
          <w:lang w:val="el-GR"/>
        </w:rPr>
        <w:t>τεογλυκανών (in vitro) και του υ</w:t>
      </w:r>
      <w:r w:rsidRPr="00E1512F">
        <w:rPr>
          <w:noProof/>
          <w:szCs w:val="22"/>
          <w:lang w:val="el-GR"/>
        </w:rPr>
        <w:t xml:space="preserve">αλουρονικού οξέος (in vivo) και σε μια μείωση της καταβολικής δραστηριότητας των χονδροκυττάρων (in vivo) καταστέλλοντας </w:t>
      </w:r>
      <w:r w:rsidRPr="00E1512F">
        <w:rPr>
          <w:noProof/>
          <w:szCs w:val="22"/>
          <w:lang w:val="el-GR"/>
        </w:rPr>
        <w:lastRenderedPageBreak/>
        <w:t xml:space="preserve">μερικά πρωτεολυτικά ένζυμα (κολλαγενάση, ελαστάση, προτεογλυκανάση,  φωσφολιπάση Α2, Ν-ακετυλ-γλυκοσαμιδαση κ.λπ.) (in vivo, in vitro) και τον σχηματισμό άλλων ουσιών που βλάπτουν το χόνδρο (in vitro).  </w:t>
      </w:r>
    </w:p>
    <w:p w:rsidR="00E1512F" w:rsidRPr="00F95232" w:rsidRDefault="00E1512F" w:rsidP="00D81F0F">
      <w:pPr>
        <w:jc w:val="both"/>
        <w:rPr>
          <w:noProof/>
          <w:szCs w:val="22"/>
          <w:lang w:val="el-GR"/>
        </w:rPr>
      </w:pPr>
    </w:p>
    <w:p w:rsidR="001D1440" w:rsidRPr="00F95232" w:rsidRDefault="001D1440" w:rsidP="00D81F0F">
      <w:pPr>
        <w:jc w:val="both"/>
        <w:rPr>
          <w:noProof/>
          <w:szCs w:val="22"/>
          <w:lang w:val="el-GR"/>
        </w:rPr>
      </w:pPr>
      <w:r w:rsidRPr="00166D11">
        <w:rPr>
          <w:szCs w:val="22"/>
          <w:u w:val="single"/>
          <w:lang w:val="el-GR"/>
        </w:rPr>
        <w:t>Κλινική αποτελεσματικότητα και ασφάλεια</w:t>
      </w:r>
    </w:p>
    <w:p w:rsidR="00E1512F" w:rsidRPr="00F95232" w:rsidRDefault="00E1512F" w:rsidP="00D81F0F">
      <w:pPr>
        <w:jc w:val="both"/>
        <w:rPr>
          <w:noProof/>
          <w:szCs w:val="22"/>
          <w:lang w:val="el-GR"/>
        </w:rPr>
      </w:pPr>
    </w:p>
    <w:p w:rsidR="00E1512F" w:rsidRPr="00F95232" w:rsidRDefault="00E1512F" w:rsidP="00D81F0F">
      <w:pPr>
        <w:jc w:val="both"/>
        <w:rPr>
          <w:noProof/>
          <w:szCs w:val="22"/>
          <w:lang w:val="el-GR"/>
        </w:rPr>
      </w:pPr>
      <w:r w:rsidRPr="00E1512F">
        <w:rPr>
          <w:noProof/>
          <w:szCs w:val="22"/>
          <w:lang w:val="el-GR"/>
        </w:rPr>
        <w:t>Κλινικές μελέτες που πραγματοποιήθηκαν σε ασθενείς με οστεοαρθρίτιδα έδειξαν  ότι η θεραπεία με θειϊκή χονδροϊτίνη βελτιώνει τα συμπτώματα όπως ο πόνος και η λειτουργική ανικανότητα, ή προκαλεί εξαφάνιση όλων αυτών των συμπτωμάτων. Η κίνηση των προσβεβλημένων αρθρώσεων βελτιώνεται. Τα αποτελέσματα της θεραπείας με θειϊκή χονδροϊτίνη παραμένουν, διαρκώντας 2 με 3 μήνες μετά την διακοπή της θεραπείας.</w:t>
      </w:r>
    </w:p>
    <w:p w:rsidR="001D1440" w:rsidRPr="00F95232" w:rsidRDefault="001D1440" w:rsidP="00D81F0F">
      <w:pPr>
        <w:numPr>
          <w:ilvl w:val="12"/>
          <w:numId w:val="0"/>
        </w:numPr>
        <w:ind w:right="-2"/>
        <w:jc w:val="both"/>
        <w:rPr>
          <w:i/>
          <w:noProof/>
          <w:szCs w:val="22"/>
          <w:lang w:val="el-GR"/>
        </w:rPr>
      </w:pPr>
    </w:p>
    <w:p w:rsidR="001D1440" w:rsidRPr="00684E83" w:rsidRDefault="001D1440" w:rsidP="00D81F0F">
      <w:pPr>
        <w:jc w:val="both"/>
        <w:rPr>
          <w:b/>
          <w:noProof/>
          <w:szCs w:val="22"/>
          <w:lang w:val="el-GR"/>
        </w:rPr>
      </w:pPr>
      <w:r w:rsidRPr="00684E83">
        <w:rPr>
          <w:b/>
          <w:noProof/>
          <w:szCs w:val="22"/>
          <w:lang w:val="el-GR"/>
        </w:rPr>
        <w:t>5.2</w:t>
      </w:r>
      <w:r w:rsidRPr="00684E83">
        <w:rPr>
          <w:b/>
          <w:noProof/>
          <w:szCs w:val="22"/>
          <w:lang w:val="el-GR"/>
        </w:rPr>
        <w:tab/>
        <w:t>Φαρμακοκινητικές ιδιότητες</w:t>
      </w:r>
    </w:p>
    <w:p w:rsidR="001D1440" w:rsidRPr="00684E83" w:rsidRDefault="001D1440" w:rsidP="00D81F0F">
      <w:pPr>
        <w:jc w:val="both"/>
        <w:rPr>
          <w:b/>
          <w:noProof/>
          <w:szCs w:val="22"/>
          <w:lang w:val="el-GR"/>
        </w:rPr>
      </w:pPr>
    </w:p>
    <w:p w:rsidR="001D1440" w:rsidRPr="00F95232" w:rsidRDefault="00E1512F" w:rsidP="00D81F0F">
      <w:pPr>
        <w:jc w:val="both"/>
        <w:rPr>
          <w:i/>
          <w:noProof/>
          <w:szCs w:val="22"/>
          <w:lang w:val="el-GR"/>
        </w:rPr>
      </w:pPr>
      <w:r w:rsidRPr="00E1512F">
        <w:rPr>
          <w:i/>
          <w:noProof/>
          <w:szCs w:val="22"/>
          <w:lang w:val="el-GR"/>
        </w:rPr>
        <w:t>Απορρόφηση</w:t>
      </w:r>
    </w:p>
    <w:p w:rsidR="00E1512F" w:rsidRPr="00F95232" w:rsidRDefault="00E1512F" w:rsidP="00D81F0F">
      <w:pPr>
        <w:jc w:val="both"/>
        <w:rPr>
          <w:noProof/>
          <w:szCs w:val="22"/>
          <w:lang w:val="el-GR"/>
        </w:rPr>
      </w:pPr>
    </w:p>
    <w:p w:rsidR="00E1512F" w:rsidRPr="00F95232" w:rsidRDefault="00E1512F" w:rsidP="00D81F0F">
      <w:pPr>
        <w:jc w:val="both"/>
        <w:rPr>
          <w:noProof/>
          <w:szCs w:val="22"/>
          <w:lang w:val="el-GR"/>
        </w:rPr>
      </w:pPr>
      <w:r w:rsidRPr="00E1512F">
        <w:rPr>
          <w:noProof/>
          <w:szCs w:val="22"/>
          <w:lang w:val="el-GR"/>
        </w:rPr>
        <w:t>Διάφορες μελέτες έδειξαν ότι η βιοδιαθεσιμότητα της από του στόματος χορηγούμενης  θειϊκής χονδροϊτίνης είναι 15-24%. 10% της απορροφούμενης θειϊκής χονδροϊτίνης παραμένει αμετάβλητο ενώ το 90% βρίσκεται ως αποπολυμερισμένο  παράγωγο με χαμηλότερο μοριακό βάρος. Αυτό δείχνει έναν  μεταβολισμό πρώτης-διόδου</w:t>
      </w:r>
      <w:r w:rsidR="00367A8C">
        <w:rPr>
          <w:noProof/>
          <w:szCs w:val="22"/>
          <w:lang w:val="el-GR"/>
        </w:rPr>
        <w:t>.</w:t>
      </w:r>
      <w:r w:rsidRPr="00E1512F">
        <w:rPr>
          <w:noProof/>
          <w:szCs w:val="22"/>
          <w:lang w:val="el-GR"/>
        </w:rPr>
        <w:t xml:space="preserve"> Η μέγιστη συγκέντρωση πλάσματος επιτυγχάνεται μέσα σε περίπου 4 ώρες μετά από μία από του στόματος χορήγηση.</w:t>
      </w:r>
    </w:p>
    <w:p w:rsidR="00E1512F" w:rsidRPr="00F95232" w:rsidRDefault="00E1512F" w:rsidP="00D81F0F">
      <w:pPr>
        <w:jc w:val="both"/>
        <w:rPr>
          <w:noProof/>
          <w:szCs w:val="22"/>
          <w:lang w:val="el-GR"/>
        </w:rPr>
      </w:pPr>
    </w:p>
    <w:p w:rsidR="001D1440" w:rsidRPr="00F95232" w:rsidRDefault="00E1512F" w:rsidP="00D81F0F">
      <w:pPr>
        <w:jc w:val="both"/>
        <w:rPr>
          <w:i/>
          <w:noProof/>
          <w:szCs w:val="22"/>
          <w:lang w:val="el-GR"/>
        </w:rPr>
      </w:pPr>
      <w:r w:rsidRPr="00E1512F">
        <w:rPr>
          <w:i/>
          <w:noProof/>
          <w:szCs w:val="22"/>
          <w:lang w:val="el-GR"/>
        </w:rPr>
        <w:t>Κατανομή</w:t>
      </w:r>
    </w:p>
    <w:p w:rsidR="00E1512F" w:rsidRPr="00F95232" w:rsidRDefault="00E1512F" w:rsidP="00D81F0F">
      <w:pPr>
        <w:jc w:val="both"/>
        <w:rPr>
          <w:i/>
          <w:noProof/>
          <w:szCs w:val="22"/>
          <w:lang w:val="el-GR"/>
        </w:rPr>
      </w:pPr>
    </w:p>
    <w:p w:rsidR="00E1512F" w:rsidRPr="00E1512F" w:rsidRDefault="00E1512F" w:rsidP="00D81F0F">
      <w:pPr>
        <w:jc w:val="both"/>
        <w:rPr>
          <w:noProof/>
          <w:szCs w:val="22"/>
          <w:lang w:val="el-GR"/>
        </w:rPr>
      </w:pPr>
      <w:r w:rsidRPr="00E1512F">
        <w:rPr>
          <w:noProof/>
          <w:szCs w:val="22"/>
          <w:lang w:val="el-GR"/>
        </w:rPr>
        <w:t>Στο αίμα, το 85% της συγκέντρωσης της θειϊκής χονδροϊτίνης και των αποπολυμερισμένων παραγωγών είναι συνδεδεμένο με τις πρωτεΐνες του  πλάσματος. Ο όγκος κατανομής της θειϊκής χονδροϊτίνης είναι σχετικά μικρός, κατά προσέγγιση 0.3 l/kg. Στους ανθρώπους, η θειϊκή χονδροϊτίνη παρουσιάζει μια συγγένεια για τον ιστό των αρθρώσεων. Στους αρουραίους, όπως και στον ιστό των αρθρώσεων, η θειϊκή χονδροϊτίνη παρουσιάζει μια συγγένεια για τον τοίχο του λεπτού εντέρου, του ήπατος,  του εγκεφάλου και των νεφρών.</w:t>
      </w:r>
    </w:p>
    <w:p w:rsidR="00E1512F" w:rsidRPr="00E1512F" w:rsidRDefault="00E1512F" w:rsidP="00D81F0F">
      <w:pPr>
        <w:jc w:val="both"/>
        <w:rPr>
          <w:noProof/>
          <w:szCs w:val="22"/>
          <w:lang w:val="el-GR"/>
        </w:rPr>
      </w:pPr>
    </w:p>
    <w:p w:rsidR="001D1440" w:rsidRPr="00F95232" w:rsidRDefault="00E1512F" w:rsidP="00D81F0F">
      <w:pPr>
        <w:jc w:val="both"/>
        <w:rPr>
          <w:i/>
          <w:noProof/>
          <w:szCs w:val="22"/>
          <w:lang w:val="el-GR"/>
        </w:rPr>
      </w:pPr>
      <w:r w:rsidRPr="00E1512F">
        <w:rPr>
          <w:i/>
          <w:noProof/>
          <w:szCs w:val="22"/>
          <w:lang w:val="el-GR"/>
        </w:rPr>
        <w:t>Βιομετασχηματισμός</w:t>
      </w:r>
    </w:p>
    <w:p w:rsidR="00E1512F" w:rsidRPr="00F95232" w:rsidRDefault="00E1512F" w:rsidP="00D81F0F">
      <w:pPr>
        <w:jc w:val="both"/>
        <w:rPr>
          <w:i/>
          <w:noProof/>
          <w:szCs w:val="22"/>
          <w:lang w:val="el-GR"/>
        </w:rPr>
      </w:pPr>
    </w:p>
    <w:p w:rsidR="00E1512F" w:rsidRPr="00E1512F" w:rsidRDefault="00E1512F" w:rsidP="00D81F0F">
      <w:pPr>
        <w:jc w:val="both"/>
        <w:rPr>
          <w:noProof/>
          <w:szCs w:val="22"/>
          <w:lang w:val="el-GR"/>
        </w:rPr>
      </w:pPr>
      <w:r w:rsidRPr="00E1512F">
        <w:rPr>
          <w:noProof/>
          <w:szCs w:val="22"/>
          <w:lang w:val="el-GR"/>
        </w:rPr>
        <w:t>Τουλάχιστον το 90% της θειϊκής χονδροϊτίνης μεταβολίζεται αρχικά από τις λυσοσομιακές σουλφατάσες, και έ</w:t>
      </w:r>
      <w:r w:rsidR="00DA5F83">
        <w:rPr>
          <w:noProof/>
          <w:szCs w:val="22"/>
          <w:lang w:val="el-GR"/>
        </w:rPr>
        <w:t>πειτα αποπολυμερίζεται από τις υ</w:t>
      </w:r>
      <w:r w:rsidRPr="00E1512F">
        <w:rPr>
          <w:noProof/>
          <w:szCs w:val="22"/>
          <w:lang w:val="el-GR"/>
        </w:rPr>
        <w:t>αλουρονιδάσες, β-γλουκουρονιδασες και β- Ν-ακετυλ-εξωζο-αμιδάσες.  Το ήπαρ, τα νεφρά και άλλα όργανα συμμετέχουν στον αποπολυμερ</w:t>
      </w:r>
      <w:r w:rsidR="00367A8C">
        <w:rPr>
          <w:noProof/>
          <w:szCs w:val="22"/>
          <w:lang w:val="el-GR"/>
        </w:rPr>
        <w:t xml:space="preserve">ισμό της θειϊκής χονδροϊτίνης. </w:t>
      </w:r>
      <w:r w:rsidRPr="00E1512F">
        <w:rPr>
          <w:noProof/>
          <w:szCs w:val="22"/>
          <w:lang w:val="el-GR"/>
        </w:rPr>
        <w:t xml:space="preserve">Δεν έχει υπάρξει καμία αλληλεπίδραση με άλλα φάρμακα σε επίπεδο μεταβολισμού. Η θειϊκή χονδροϊτίνη δεν μεταβολίζεται από το Κυτόχρωμα </w:t>
      </w:r>
      <w:r w:rsidRPr="00E1512F">
        <w:rPr>
          <w:noProof/>
          <w:szCs w:val="22"/>
          <w:lang w:val="en-US"/>
        </w:rPr>
        <w:t>P</w:t>
      </w:r>
      <w:r w:rsidRPr="00E1512F">
        <w:rPr>
          <w:noProof/>
          <w:szCs w:val="22"/>
          <w:lang w:val="el-GR"/>
        </w:rPr>
        <w:t>-450.</w:t>
      </w:r>
    </w:p>
    <w:p w:rsidR="00E1512F" w:rsidRPr="00E1512F" w:rsidRDefault="00E1512F" w:rsidP="00D81F0F">
      <w:pPr>
        <w:jc w:val="both"/>
        <w:rPr>
          <w:noProof/>
          <w:szCs w:val="22"/>
          <w:lang w:val="el-GR"/>
        </w:rPr>
      </w:pPr>
    </w:p>
    <w:p w:rsidR="001D1440" w:rsidRPr="00F95232" w:rsidRDefault="00E1512F" w:rsidP="00D81F0F">
      <w:pPr>
        <w:jc w:val="both"/>
        <w:rPr>
          <w:i/>
          <w:noProof/>
          <w:szCs w:val="22"/>
          <w:lang w:val="el-GR"/>
        </w:rPr>
      </w:pPr>
      <w:r w:rsidRPr="00E1512F">
        <w:rPr>
          <w:i/>
          <w:noProof/>
          <w:szCs w:val="22"/>
          <w:lang w:val="el-GR"/>
        </w:rPr>
        <w:t>Αποβολή</w:t>
      </w:r>
    </w:p>
    <w:p w:rsidR="00E1512F" w:rsidRPr="00F95232" w:rsidRDefault="00E1512F" w:rsidP="00D81F0F">
      <w:pPr>
        <w:jc w:val="both"/>
        <w:rPr>
          <w:noProof/>
          <w:szCs w:val="22"/>
          <w:lang w:val="el-GR"/>
        </w:rPr>
      </w:pPr>
    </w:p>
    <w:p w:rsidR="00E1512F" w:rsidRPr="00F95232" w:rsidRDefault="00E1512F" w:rsidP="00D81F0F">
      <w:pPr>
        <w:jc w:val="both"/>
        <w:rPr>
          <w:noProof/>
          <w:szCs w:val="22"/>
          <w:lang w:val="el-GR"/>
        </w:rPr>
      </w:pPr>
      <w:r w:rsidRPr="00E1512F">
        <w:rPr>
          <w:noProof/>
          <w:szCs w:val="22"/>
          <w:lang w:val="el-GR"/>
        </w:rPr>
        <w:t>Η συστηματική κάθαρση της θειϊκής χονδροϊτίνης είναι 30.5 ml/min, ή 0.43 ml/min/kg. Η μέση διάρκεια ζωής κυμαίνεται μεταξύ των 5 και 15 ωρών, ανάλογα με το πειραματικό πρωτόκολλο. Η αποβολή θειϊκής χονδροϊτίνης και του αποπολυμερισμένων παραγόντων  της γίνεται κυρίως μέσω των νεφρών.</w:t>
      </w:r>
    </w:p>
    <w:p w:rsidR="00E1512F" w:rsidRPr="00F95232" w:rsidRDefault="00E1512F" w:rsidP="00D81F0F">
      <w:pPr>
        <w:jc w:val="both"/>
        <w:rPr>
          <w:noProof/>
          <w:szCs w:val="22"/>
          <w:lang w:val="el-GR"/>
        </w:rPr>
      </w:pPr>
    </w:p>
    <w:p w:rsidR="001D1440" w:rsidRPr="00F95232" w:rsidRDefault="00E1512F" w:rsidP="00D81F0F">
      <w:pPr>
        <w:jc w:val="both"/>
        <w:rPr>
          <w:i/>
          <w:noProof/>
          <w:szCs w:val="22"/>
          <w:lang w:val="el-GR"/>
        </w:rPr>
      </w:pPr>
      <w:r w:rsidRPr="00E1512F">
        <w:rPr>
          <w:i/>
          <w:noProof/>
          <w:szCs w:val="22"/>
          <w:lang w:val="el-GR"/>
        </w:rPr>
        <w:t>Γραμμικότητα/μη γραμμικότητα</w:t>
      </w:r>
    </w:p>
    <w:p w:rsidR="00E1512F" w:rsidRPr="00F95232" w:rsidRDefault="00E1512F" w:rsidP="00D81F0F">
      <w:pPr>
        <w:jc w:val="both"/>
        <w:rPr>
          <w:i/>
          <w:noProof/>
          <w:szCs w:val="22"/>
          <w:lang w:val="el-GR"/>
        </w:rPr>
      </w:pPr>
    </w:p>
    <w:p w:rsidR="00E1512F" w:rsidRPr="00E1512F" w:rsidRDefault="00DA5F83" w:rsidP="00D81F0F">
      <w:pPr>
        <w:jc w:val="both"/>
        <w:rPr>
          <w:noProof/>
          <w:szCs w:val="22"/>
          <w:lang w:val="el-GR"/>
        </w:rPr>
      </w:pPr>
      <w:r>
        <w:rPr>
          <w:noProof/>
          <w:szCs w:val="22"/>
          <w:lang w:val="el-GR"/>
        </w:rPr>
        <w:t>Η</w:t>
      </w:r>
      <w:r w:rsidR="00E1512F" w:rsidRPr="00E1512F">
        <w:rPr>
          <w:noProof/>
          <w:szCs w:val="22"/>
          <w:lang w:val="el-GR"/>
        </w:rPr>
        <w:t xml:space="preserve"> κινητική της θειϊκής χονδροϊτίνης είναι πρώτης γραμμής έως τις εφάπαξ δόσεις των 3000 mg. Οι πολλαπλές δόσεις των 800 mg σε ασθενείς που πάσχουν από οστεοαρθρίτιδα δεν αλλάζουν την κινητική της θειϊκής χονδροϊτίνης.</w:t>
      </w:r>
    </w:p>
    <w:p w:rsidR="001D1440" w:rsidRPr="00F95232" w:rsidRDefault="001D1440" w:rsidP="00D81F0F">
      <w:pPr>
        <w:jc w:val="both"/>
        <w:rPr>
          <w:noProof/>
          <w:szCs w:val="22"/>
          <w:lang w:val="el-GR"/>
        </w:rPr>
      </w:pPr>
    </w:p>
    <w:p w:rsidR="001D1440" w:rsidRPr="00684E83" w:rsidRDefault="001D1440" w:rsidP="00D81F0F">
      <w:pPr>
        <w:jc w:val="both"/>
        <w:rPr>
          <w:noProof/>
          <w:szCs w:val="22"/>
          <w:lang w:val="el-GR"/>
        </w:rPr>
      </w:pPr>
      <w:r w:rsidRPr="00684E83">
        <w:rPr>
          <w:b/>
          <w:noProof/>
          <w:szCs w:val="22"/>
          <w:lang w:val="el-GR"/>
        </w:rPr>
        <w:t>5.3</w:t>
      </w:r>
      <w:r w:rsidRPr="00684E83">
        <w:rPr>
          <w:b/>
          <w:noProof/>
          <w:szCs w:val="22"/>
          <w:lang w:val="el-GR"/>
        </w:rPr>
        <w:tab/>
        <w:t>Προκλινικά δεδομένα για την ασφάλεια</w:t>
      </w:r>
    </w:p>
    <w:p w:rsidR="001D1440" w:rsidRPr="00684E83" w:rsidRDefault="001D1440" w:rsidP="00D81F0F">
      <w:pPr>
        <w:jc w:val="both"/>
        <w:rPr>
          <w:noProof/>
          <w:szCs w:val="22"/>
          <w:lang w:val="el-GR"/>
        </w:rPr>
      </w:pPr>
    </w:p>
    <w:p w:rsidR="001D1440" w:rsidRPr="00E1512F" w:rsidRDefault="001D1440" w:rsidP="00D81F0F">
      <w:pPr>
        <w:jc w:val="both"/>
        <w:rPr>
          <w:noProof/>
          <w:szCs w:val="22"/>
          <w:lang w:val="el-GR"/>
        </w:rPr>
      </w:pPr>
      <w:r w:rsidRPr="00684E83">
        <w:rPr>
          <w:noProof/>
          <w:szCs w:val="22"/>
          <w:lang w:val="el-GR"/>
        </w:rPr>
        <w:t>Τα μη κλινικά δεδομένα δεν αποκαλύπτουν ιδιαίτερο κίνδυνο για τον άνθρωπο με βάση τις συμβατικές μελέτες φαρμακολογικής ασφάλειας, τοξικότητας επαναλαμβανόμενων δόσεων, γονοτοξικότητας, ενδεχόμενης καρκινογόνου δράσης, τοξικότητας στην αναπαρ</w:t>
      </w:r>
      <w:r w:rsidR="00E1512F">
        <w:rPr>
          <w:noProof/>
          <w:szCs w:val="22"/>
          <w:lang w:val="el-GR"/>
        </w:rPr>
        <w:t>αγωγική ικανότητα και ανάπτυξη.</w:t>
      </w:r>
    </w:p>
    <w:p w:rsidR="001D1440" w:rsidRPr="00684E83" w:rsidRDefault="001D1440" w:rsidP="00D81F0F">
      <w:pPr>
        <w:jc w:val="both"/>
        <w:rPr>
          <w:noProof/>
          <w:szCs w:val="22"/>
          <w:lang w:val="el-GR"/>
        </w:rPr>
      </w:pPr>
    </w:p>
    <w:p w:rsidR="001D1440" w:rsidRPr="00684E83" w:rsidRDefault="001D1440" w:rsidP="00D81F0F">
      <w:pPr>
        <w:jc w:val="both"/>
        <w:rPr>
          <w:noProof/>
          <w:szCs w:val="22"/>
          <w:lang w:val="el-GR"/>
        </w:rPr>
      </w:pPr>
      <w:r w:rsidRPr="00684E83">
        <w:rPr>
          <w:b/>
          <w:noProof/>
          <w:szCs w:val="22"/>
          <w:lang w:val="el-GR"/>
        </w:rPr>
        <w:lastRenderedPageBreak/>
        <w:t>6.</w:t>
      </w:r>
      <w:r w:rsidRPr="00684E83">
        <w:rPr>
          <w:b/>
          <w:noProof/>
          <w:szCs w:val="22"/>
          <w:lang w:val="el-GR"/>
        </w:rPr>
        <w:tab/>
        <w:t>ΦΑΡΜΑΚΕΥΤΙΚΕΣ ΠΛΗΡΟΦΟΡΙΕΣ</w:t>
      </w:r>
    </w:p>
    <w:p w:rsidR="001D1440" w:rsidRPr="00684E83" w:rsidRDefault="001D1440" w:rsidP="00D81F0F">
      <w:pPr>
        <w:jc w:val="both"/>
        <w:rPr>
          <w:noProof/>
          <w:szCs w:val="22"/>
          <w:lang w:val="el-GR"/>
        </w:rPr>
      </w:pPr>
    </w:p>
    <w:p w:rsidR="001D1440" w:rsidRPr="00684E83" w:rsidRDefault="001D1440" w:rsidP="00D81F0F">
      <w:pPr>
        <w:jc w:val="both"/>
        <w:rPr>
          <w:noProof/>
          <w:szCs w:val="22"/>
          <w:lang w:val="el-GR"/>
        </w:rPr>
      </w:pPr>
      <w:r w:rsidRPr="00684E83">
        <w:rPr>
          <w:b/>
          <w:noProof/>
          <w:szCs w:val="22"/>
          <w:lang w:val="el-GR"/>
        </w:rPr>
        <w:t>6.1</w:t>
      </w:r>
      <w:r w:rsidRPr="00684E83">
        <w:rPr>
          <w:b/>
          <w:noProof/>
          <w:szCs w:val="22"/>
          <w:lang w:val="el-GR"/>
        </w:rPr>
        <w:tab/>
        <w:t>Κατάλογος εκδόχων</w:t>
      </w:r>
    </w:p>
    <w:p w:rsidR="001D1440" w:rsidRPr="00684E83" w:rsidRDefault="001D1440" w:rsidP="00D81F0F">
      <w:pPr>
        <w:jc w:val="both"/>
        <w:rPr>
          <w:noProof/>
          <w:szCs w:val="22"/>
          <w:lang w:val="el-GR"/>
        </w:rPr>
      </w:pPr>
    </w:p>
    <w:p w:rsidR="00E1512F" w:rsidRPr="00E1512F" w:rsidRDefault="00367A8C" w:rsidP="00E1512F">
      <w:pPr>
        <w:jc w:val="both"/>
        <w:rPr>
          <w:noProof/>
          <w:szCs w:val="22"/>
          <w:lang w:val="el-GR"/>
        </w:rPr>
      </w:pPr>
      <w:r>
        <w:rPr>
          <w:noProof/>
          <w:szCs w:val="22"/>
          <w:lang w:val="el-GR"/>
        </w:rPr>
        <w:t>Στεατικό μαγνήσιο</w:t>
      </w:r>
    </w:p>
    <w:p w:rsidR="00E1512F" w:rsidRPr="00E1512F" w:rsidRDefault="00E1512F" w:rsidP="00E1512F">
      <w:pPr>
        <w:jc w:val="both"/>
        <w:rPr>
          <w:noProof/>
          <w:szCs w:val="22"/>
          <w:lang w:val="el-GR"/>
        </w:rPr>
      </w:pPr>
    </w:p>
    <w:p w:rsidR="00E1512F" w:rsidRPr="00F95232" w:rsidRDefault="00E1512F" w:rsidP="00E1512F">
      <w:pPr>
        <w:jc w:val="both"/>
        <w:rPr>
          <w:noProof/>
          <w:szCs w:val="22"/>
          <w:lang w:val="en-US"/>
        </w:rPr>
      </w:pPr>
      <w:r w:rsidRPr="00E1512F">
        <w:rPr>
          <w:noProof/>
          <w:szCs w:val="22"/>
          <w:lang w:val="el-GR"/>
        </w:rPr>
        <w:t>Σύνθεση</w:t>
      </w:r>
      <w:r w:rsidRPr="00F95232">
        <w:rPr>
          <w:noProof/>
          <w:szCs w:val="22"/>
          <w:lang w:val="en-US"/>
        </w:rPr>
        <w:t xml:space="preserve"> </w:t>
      </w:r>
      <w:r w:rsidRPr="00E1512F">
        <w:rPr>
          <w:noProof/>
          <w:szCs w:val="22"/>
          <w:lang w:val="el-GR"/>
        </w:rPr>
        <w:t>κενής</w:t>
      </w:r>
      <w:r w:rsidRPr="00F95232">
        <w:rPr>
          <w:noProof/>
          <w:szCs w:val="22"/>
          <w:lang w:val="en-US"/>
        </w:rPr>
        <w:t xml:space="preserve"> </w:t>
      </w:r>
      <w:r w:rsidRPr="00E1512F">
        <w:rPr>
          <w:noProof/>
          <w:szCs w:val="22"/>
          <w:lang w:val="el-GR"/>
        </w:rPr>
        <w:t>κάψουλας</w:t>
      </w:r>
      <w:r w:rsidRPr="00F95232">
        <w:rPr>
          <w:noProof/>
          <w:szCs w:val="22"/>
          <w:lang w:val="en-US"/>
        </w:rPr>
        <w:t xml:space="preserve">: </w:t>
      </w:r>
    </w:p>
    <w:p w:rsidR="001D1440" w:rsidRDefault="00E1512F" w:rsidP="00E1512F">
      <w:pPr>
        <w:jc w:val="both"/>
        <w:rPr>
          <w:noProof/>
          <w:szCs w:val="22"/>
          <w:lang w:val="en-US"/>
        </w:rPr>
      </w:pPr>
      <w:r w:rsidRPr="00E1512F">
        <w:rPr>
          <w:noProof/>
          <w:szCs w:val="22"/>
          <w:lang w:val="en-US"/>
        </w:rPr>
        <w:t>gelatin, titanium dioxide (E171), quinoline yellow (E104), indigo carmine (E132).</w:t>
      </w:r>
    </w:p>
    <w:p w:rsidR="00E1512F" w:rsidRPr="00E1512F" w:rsidRDefault="00E1512F" w:rsidP="00E1512F">
      <w:pPr>
        <w:jc w:val="both"/>
        <w:rPr>
          <w:noProof/>
          <w:szCs w:val="22"/>
          <w:lang w:val="en-US"/>
        </w:rPr>
      </w:pPr>
    </w:p>
    <w:p w:rsidR="001D1440" w:rsidRPr="00684E83" w:rsidRDefault="001D1440" w:rsidP="00D81F0F">
      <w:pPr>
        <w:jc w:val="both"/>
        <w:rPr>
          <w:noProof/>
          <w:szCs w:val="22"/>
          <w:lang w:val="el-GR"/>
        </w:rPr>
      </w:pPr>
      <w:r w:rsidRPr="00684E83">
        <w:rPr>
          <w:b/>
          <w:noProof/>
          <w:szCs w:val="22"/>
          <w:lang w:val="el-GR"/>
        </w:rPr>
        <w:t>6.2</w:t>
      </w:r>
      <w:r w:rsidRPr="00684E83">
        <w:rPr>
          <w:b/>
          <w:noProof/>
          <w:szCs w:val="22"/>
          <w:lang w:val="el-GR"/>
        </w:rPr>
        <w:tab/>
        <w:t>Ασυμβατότητες</w:t>
      </w:r>
    </w:p>
    <w:p w:rsidR="001D1440" w:rsidRPr="00684E83" w:rsidRDefault="001D1440" w:rsidP="00D81F0F">
      <w:pPr>
        <w:jc w:val="both"/>
        <w:rPr>
          <w:noProof/>
          <w:szCs w:val="22"/>
          <w:lang w:val="el-GR"/>
        </w:rPr>
      </w:pPr>
    </w:p>
    <w:p w:rsidR="001D1440" w:rsidRPr="00F95232" w:rsidRDefault="00E1512F" w:rsidP="00D81F0F">
      <w:pPr>
        <w:jc w:val="both"/>
        <w:rPr>
          <w:noProof/>
          <w:szCs w:val="22"/>
          <w:lang w:val="el-GR"/>
        </w:rPr>
      </w:pPr>
      <w:r>
        <w:rPr>
          <w:noProof/>
          <w:szCs w:val="22"/>
          <w:lang w:val="el-GR"/>
        </w:rPr>
        <w:t>Δεν εφαρμόζεται.</w:t>
      </w:r>
    </w:p>
    <w:p w:rsidR="001D1440" w:rsidRPr="00F95232" w:rsidRDefault="001D1440" w:rsidP="00D81F0F">
      <w:pPr>
        <w:jc w:val="both"/>
        <w:rPr>
          <w:noProof/>
          <w:szCs w:val="22"/>
          <w:lang w:val="el-GR"/>
        </w:rPr>
      </w:pPr>
    </w:p>
    <w:p w:rsidR="001D1440" w:rsidRPr="00684E83" w:rsidRDefault="001D1440" w:rsidP="00D81F0F">
      <w:pPr>
        <w:jc w:val="both"/>
        <w:rPr>
          <w:noProof/>
          <w:szCs w:val="22"/>
          <w:lang w:val="el-GR"/>
        </w:rPr>
      </w:pPr>
      <w:r w:rsidRPr="00684E83">
        <w:rPr>
          <w:b/>
          <w:noProof/>
          <w:szCs w:val="22"/>
          <w:lang w:val="el-GR"/>
        </w:rPr>
        <w:t>6.3</w:t>
      </w:r>
      <w:r w:rsidRPr="00684E83">
        <w:rPr>
          <w:b/>
          <w:noProof/>
          <w:szCs w:val="22"/>
          <w:lang w:val="el-GR"/>
        </w:rPr>
        <w:tab/>
        <w:t>Διάρκεια ζωής</w:t>
      </w:r>
    </w:p>
    <w:p w:rsidR="001D1440" w:rsidRPr="00684E83" w:rsidRDefault="001D1440" w:rsidP="00D81F0F">
      <w:pPr>
        <w:jc w:val="both"/>
        <w:rPr>
          <w:noProof/>
          <w:szCs w:val="22"/>
          <w:lang w:val="el-GR"/>
        </w:rPr>
      </w:pPr>
    </w:p>
    <w:p w:rsidR="001D1440" w:rsidRPr="00F95232" w:rsidRDefault="00E1512F" w:rsidP="00D81F0F">
      <w:pPr>
        <w:jc w:val="both"/>
        <w:rPr>
          <w:noProof/>
          <w:szCs w:val="22"/>
          <w:lang w:val="el-GR"/>
        </w:rPr>
      </w:pPr>
      <w:r>
        <w:rPr>
          <w:noProof/>
          <w:szCs w:val="22"/>
          <w:lang w:val="el-GR"/>
        </w:rPr>
        <w:t>3 χρόνια</w:t>
      </w:r>
    </w:p>
    <w:p w:rsidR="001D1440" w:rsidRPr="00684E83" w:rsidRDefault="001D1440" w:rsidP="00D81F0F">
      <w:pPr>
        <w:jc w:val="both"/>
        <w:rPr>
          <w:noProof/>
          <w:szCs w:val="22"/>
          <w:lang w:val="el-GR"/>
        </w:rPr>
      </w:pPr>
    </w:p>
    <w:p w:rsidR="001D1440" w:rsidRPr="00684E83" w:rsidRDefault="001D1440" w:rsidP="00D81F0F">
      <w:pPr>
        <w:jc w:val="both"/>
        <w:rPr>
          <w:noProof/>
          <w:szCs w:val="22"/>
          <w:lang w:val="el-GR"/>
        </w:rPr>
      </w:pPr>
      <w:r w:rsidRPr="00684E83">
        <w:rPr>
          <w:b/>
          <w:noProof/>
          <w:szCs w:val="22"/>
          <w:lang w:val="el-GR"/>
        </w:rPr>
        <w:t>6.4</w:t>
      </w:r>
      <w:r w:rsidRPr="00684E83">
        <w:rPr>
          <w:b/>
          <w:noProof/>
          <w:szCs w:val="22"/>
          <w:lang w:val="el-GR"/>
        </w:rPr>
        <w:tab/>
        <w:t>Ιδιαίτερες προφυλάξεις κατά τη φύλαξη του προϊόντος</w:t>
      </w:r>
    </w:p>
    <w:p w:rsidR="001D1440" w:rsidRPr="00684E83" w:rsidRDefault="001D1440" w:rsidP="00D81F0F">
      <w:pPr>
        <w:jc w:val="both"/>
        <w:rPr>
          <w:noProof/>
          <w:szCs w:val="22"/>
          <w:lang w:val="el-GR"/>
        </w:rPr>
      </w:pPr>
    </w:p>
    <w:p w:rsidR="001D1440" w:rsidRPr="00F95232" w:rsidRDefault="00AE1A6E" w:rsidP="00D81F0F">
      <w:pPr>
        <w:jc w:val="both"/>
        <w:rPr>
          <w:noProof/>
          <w:szCs w:val="22"/>
          <w:lang w:val="el-GR"/>
        </w:rPr>
      </w:pPr>
      <w:r w:rsidRPr="00AE1A6E">
        <w:rPr>
          <w:noProof/>
          <w:szCs w:val="22"/>
          <w:lang w:val="el-GR"/>
        </w:rPr>
        <w:t>Διατηρείται στην αρχική συσκευασία προκειμένου να προστατευτεί από την υγρασία.</w:t>
      </w:r>
    </w:p>
    <w:p w:rsidR="00AE1A6E" w:rsidRPr="00F95232" w:rsidRDefault="00AE1A6E" w:rsidP="00D81F0F">
      <w:pPr>
        <w:jc w:val="both"/>
        <w:rPr>
          <w:noProof/>
          <w:szCs w:val="22"/>
          <w:lang w:val="el-GR"/>
        </w:rPr>
      </w:pPr>
    </w:p>
    <w:p w:rsidR="00AE1A6E" w:rsidRPr="00F95232" w:rsidRDefault="001D1440" w:rsidP="00D81F0F">
      <w:pPr>
        <w:jc w:val="both"/>
        <w:rPr>
          <w:b/>
          <w:noProof/>
          <w:szCs w:val="22"/>
          <w:lang w:val="el-GR"/>
        </w:rPr>
      </w:pPr>
      <w:r w:rsidRPr="00684E83">
        <w:rPr>
          <w:b/>
          <w:noProof/>
          <w:szCs w:val="22"/>
          <w:lang w:val="el-GR"/>
        </w:rPr>
        <w:t>6.5</w:t>
      </w:r>
      <w:r w:rsidRPr="00684E83">
        <w:rPr>
          <w:b/>
          <w:noProof/>
          <w:szCs w:val="22"/>
          <w:lang w:val="el-GR"/>
        </w:rPr>
        <w:tab/>
        <w:t xml:space="preserve">Φύση και συστατικά του περιέκτη </w:t>
      </w:r>
    </w:p>
    <w:p w:rsidR="00AE1A6E" w:rsidRPr="00F95232" w:rsidRDefault="00AE1A6E" w:rsidP="00D81F0F">
      <w:pPr>
        <w:jc w:val="both"/>
        <w:rPr>
          <w:b/>
          <w:szCs w:val="22"/>
          <w:lang w:val="el-GR"/>
        </w:rPr>
      </w:pPr>
    </w:p>
    <w:p w:rsidR="001D1440" w:rsidRPr="00F95232" w:rsidRDefault="00AE1A6E" w:rsidP="00D81F0F">
      <w:pPr>
        <w:jc w:val="both"/>
        <w:rPr>
          <w:noProof/>
          <w:szCs w:val="22"/>
          <w:lang w:val="el-GR"/>
        </w:rPr>
      </w:pPr>
      <w:r w:rsidRPr="00AE1A6E">
        <w:rPr>
          <w:noProof/>
          <w:szCs w:val="22"/>
          <w:lang w:val="el-GR"/>
        </w:rPr>
        <w:t>Τα δισκία συσκευάζονται σε Al/PVC blisters με τυπωμένα τα χαρακτηριστικά του προϊόντος και της παρτίδας. Κάθε κουτί περιέχει 60 καψάκια  και μία οδηγία χρήσης.</w:t>
      </w:r>
    </w:p>
    <w:p w:rsidR="00AE1A6E" w:rsidRPr="00F95232" w:rsidRDefault="00AE1A6E" w:rsidP="00D81F0F">
      <w:pPr>
        <w:jc w:val="both"/>
        <w:rPr>
          <w:b/>
          <w:noProof/>
          <w:szCs w:val="22"/>
          <w:lang w:val="el-GR"/>
        </w:rPr>
      </w:pPr>
    </w:p>
    <w:p w:rsidR="001D1440" w:rsidRPr="00684E83" w:rsidRDefault="001D1440" w:rsidP="00D81F0F">
      <w:pPr>
        <w:jc w:val="both"/>
        <w:rPr>
          <w:noProof/>
          <w:szCs w:val="22"/>
          <w:lang w:val="el-GR"/>
        </w:rPr>
      </w:pPr>
      <w:r w:rsidRPr="00684E83">
        <w:rPr>
          <w:b/>
          <w:noProof/>
          <w:szCs w:val="22"/>
          <w:lang w:val="el-GR"/>
        </w:rPr>
        <w:t>6.6</w:t>
      </w:r>
      <w:r w:rsidRPr="00684E83">
        <w:rPr>
          <w:b/>
          <w:noProof/>
          <w:szCs w:val="22"/>
          <w:lang w:val="el-GR"/>
        </w:rPr>
        <w:tab/>
        <w:t xml:space="preserve">Ιδιαίτερες προφυλάξεις απόρριψης </w:t>
      </w:r>
    </w:p>
    <w:p w:rsidR="006361A2" w:rsidRPr="00F95232" w:rsidRDefault="006361A2" w:rsidP="00D81F0F">
      <w:pPr>
        <w:jc w:val="both"/>
        <w:rPr>
          <w:noProof/>
          <w:szCs w:val="22"/>
          <w:lang w:val="el-GR"/>
        </w:rPr>
      </w:pPr>
    </w:p>
    <w:p w:rsidR="00367A8C" w:rsidRPr="005D77D3" w:rsidRDefault="00367A8C" w:rsidP="00367A8C">
      <w:pPr>
        <w:jc w:val="both"/>
        <w:rPr>
          <w:lang w:val="el-GR"/>
        </w:rPr>
      </w:pPr>
      <w:r w:rsidRPr="005D77D3">
        <w:rPr>
          <w:lang w:val="el-GR"/>
        </w:rPr>
        <w:t>Μην πετάτε φά</w:t>
      </w:r>
      <w:r>
        <w:rPr>
          <w:lang w:val="el-GR"/>
        </w:rPr>
        <w:t>ρμακα στο νερό της αποχέτευσης ή στα σκουπίδια</w:t>
      </w:r>
      <w:r w:rsidRPr="005D77D3">
        <w:rPr>
          <w:lang w:val="el-GR"/>
        </w:rPr>
        <w:t>. Ρωτήστε τον φαρμακοποιό σας για το πώς να πετάξετε τα φάρμακα που δεν χρησιμοποιείτε πια. Αυτά τα μέτρα θα βοηθήσουν στη</w:t>
      </w:r>
      <w:r>
        <w:rPr>
          <w:lang w:val="el-GR"/>
        </w:rPr>
        <w:t>ν  προστασία του περιβάλλοντος.</w:t>
      </w:r>
    </w:p>
    <w:p w:rsidR="001D1440" w:rsidRPr="00684E83" w:rsidRDefault="001D1440" w:rsidP="00D81F0F">
      <w:pPr>
        <w:jc w:val="both"/>
        <w:rPr>
          <w:noProof/>
          <w:szCs w:val="22"/>
          <w:lang w:val="el-GR"/>
        </w:rPr>
      </w:pPr>
    </w:p>
    <w:p w:rsidR="001D1440" w:rsidRPr="00684E83" w:rsidRDefault="001D1440" w:rsidP="00D81F0F">
      <w:pPr>
        <w:jc w:val="both"/>
        <w:rPr>
          <w:noProof/>
          <w:szCs w:val="22"/>
          <w:lang w:val="el-GR"/>
        </w:rPr>
      </w:pPr>
    </w:p>
    <w:p w:rsidR="001D1440" w:rsidRPr="00684E83" w:rsidRDefault="001D1440" w:rsidP="00D81F0F">
      <w:pPr>
        <w:jc w:val="both"/>
        <w:rPr>
          <w:noProof/>
          <w:szCs w:val="22"/>
          <w:lang w:val="el-GR"/>
        </w:rPr>
      </w:pPr>
      <w:r w:rsidRPr="00684E83">
        <w:rPr>
          <w:b/>
          <w:noProof/>
          <w:szCs w:val="22"/>
          <w:lang w:val="el-GR"/>
        </w:rPr>
        <w:t>7.</w:t>
      </w:r>
      <w:r w:rsidRPr="00684E83">
        <w:rPr>
          <w:b/>
          <w:noProof/>
          <w:szCs w:val="22"/>
          <w:lang w:val="el-GR"/>
        </w:rPr>
        <w:tab/>
        <w:t>ΚΑΤΟΧΟΣ ΤΗΣ ΑΔΕΙΑΣ ΚΥΚΛΟΦΟΡΙΑΣ</w:t>
      </w:r>
    </w:p>
    <w:p w:rsidR="001D1440" w:rsidRPr="00684E83" w:rsidRDefault="001D1440" w:rsidP="00D81F0F">
      <w:pPr>
        <w:jc w:val="both"/>
        <w:rPr>
          <w:noProof/>
          <w:szCs w:val="22"/>
          <w:lang w:val="el-GR"/>
        </w:rPr>
      </w:pPr>
    </w:p>
    <w:p w:rsidR="00AE1A6E" w:rsidRPr="00AE1A6E" w:rsidRDefault="00AE1A6E" w:rsidP="00AE1A6E">
      <w:pPr>
        <w:jc w:val="both"/>
        <w:rPr>
          <w:noProof/>
          <w:szCs w:val="22"/>
          <w:lang w:val="el-GR"/>
        </w:rPr>
      </w:pPr>
      <w:r w:rsidRPr="00AE1A6E">
        <w:rPr>
          <w:noProof/>
          <w:szCs w:val="22"/>
          <w:lang w:val="el-GR"/>
        </w:rPr>
        <w:t xml:space="preserve">ΦΑΡΜΑΣΥΝ Α.Ε., </w:t>
      </w:r>
    </w:p>
    <w:p w:rsidR="00AE1A6E" w:rsidRPr="00AE1A6E" w:rsidRDefault="00AE1A6E" w:rsidP="00AE1A6E">
      <w:pPr>
        <w:jc w:val="both"/>
        <w:rPr>
          <w:noProof/>
          <w:szCs w:val="22"/>
          <w:lang w:val="el-GR"/>
        </w:rPr>
      </w:pPr>
      <w:r w:rsidRPr="00AE1A6E">
        <w:rPr>
          <w:noProof/>
          <w:szCs w:val="22"/>
          <w:lang w:val="el-GR"/>
        </w:rPr>
        <w:t xml:space="preserve">Μονής Δαμάστας 6, 121 33 Περιστέρι </w:t>
      </w:r>
    </w:p>
    <w:p w:rsidR="00AE1A6E" w:rsidRPr="00DA5F83" w:rsidRDefault="00AE1A6E" w:rsidP="00D81F0F">
      <w:pPr>
        <w:jc w:val="both"/>
        <w:rPr>
          <w:noProof/>
          <w:szCs w:val="22"/>
          <w:lang w:val="en-US"/>
        </w:rPr>
      </w:pPr>
      <w:r w:rsidRPr="00F95232">
        <w:rPr>
          <w:noProof/>
          <w:szCs w:val="22"/>
          <w:lang w:val="el-GR"/>
        </w:rPr>
        <w:t>Τηλ</w:t>
      </w:r>
      <w:r w:rsidRPr="00DA5F83">
        <w:rPr>
          <w:noProof/>
          <w:szCs w:val="22"/>
          <w:lang w:val="en-US"/>
        </w:rPr>
        <w:t>.:</w:t>
      </w:r>
      <w:r w:rsidRPr="00DA5F83">
        <w:rPr>
          <w:noProof/>
          <w:szCs w:val="22"/>
          <w:lang w:val="en-US"/>
        </w:rPr>
        <w:tab/>
        <w:t>210-5777140</w:t>
      </w:r>
    </w:p>
    <w:p w:rsidR="001D1440" w:rsidRPr="00DA5F83" w:rsidRDefault="00AE1A6E" w:rsidP="00D81F0F">
      <w:pPr>
        <w:jc w:val="both"/>
        <w:rPr>
          <w:noProof/>
          <w:szCs w:val="22"/>
          <w:lang w:val="en-US"/>
        </w:rPr>
      </w:pPr>
      <w:r>
        <w:rPr>
          <w:noProof/>
          <w:szCs w:val="22"/>
          <w:lang w:val="el-GR"/>
        </w:rPr>
        <w:t>Φαξ</w:t>
      </w:r>
      <w:r w:rsidRPr="00DA5F83">
        <w:rPr>
          <w:noProof/>
          <w:szCs w:val="22"/>
          <w:lang w:val="en-US"/>
        </w:rPr>
        <w:t>: 210-5788791</w:t>
      </w:r>
    </w:p>
    <w:p w:rsidR="00AE1A6E" w:rsidRPr="00DA5F83" w:rsidRDefault="00AE1A6E" w:rsidP="00D81F0F">
      <w:pPr>
        <w:jc w:val="both"/>
        <w:rPr>
          <w:noProof/>
          <w:szCs w:val="22"/>
          <w:lang w:val="en-US"/>
        </w:rPr>
      </w:pPr>
      <w:r>
        <w:rPr>
          <w:noProof/>
          <w:szCs w:val="22"/>
          <w:lang w:val="en-US"/>
        </w:rPr>
        <w:t>Email</w:t>
      </w:r>
      <w:r w:rsidRPr="00DA5F83">
        <w:rPr>
          <w:noProof/>
          <w:szCs w:val="22"/>
          <w:lang w:val="en-US"/>
        </w:rPr>
        <w:t xml:space="preserve">: </w:t>
      </w:r>
      <w:hyperlink r:id="rId9" w:history="1">
        <w:r w:rsidRPr="009E05E6">
          <w:rPr>
            <w:rStyle w:val="-"/>
            <w:noProof/>
            <w:szCs w:val="22"/>
            <w:lang w:val="en-US"/>
          </w:rPr>
          <w:t>farmasyn</w:t>
        </w:r>
        <w:r w:rsidRPr="00DA5F83">
          <w:rPr>
            <w:rStyle w:val="-"/>
            <w:noProof/>
            <w:szCs w:val="22"/>
            <w:lang w:val="en-US"/>
          </w:rPr>
          <w:t>@</w:t>
        </w:r>
        <w:r w:rsidRPr="009E05E6">
          <w:rPr>
            <w:rStyle w:val="-"/>
            <w:noProof/>
            <w:szCs w:val="22"/>
            <w:lang w:val="en-US"/>
          </w:rPr>
          <w:t>otenet</w:t>
        </w:r>
        <w:r w:rsidRPr="00DA5F83">
          <w:rPr>
            <w:rStyle w:val="-"/>
            <w:noProof/>
            <w:szCs w:val="22"/>
            <w:lang w:val="en-US"/>
          </w:rPr>
          <w:t>.</w:t>
        </w:r>
        <w:r w:rsidRPr="009E05E6">
          <w:rPr>
            <w:rStyle w:val="-"/>
            <w:noProof/>
            <w:szCs w:val="22"/>
            <w:lang w:val="en-US"/>
          </w:rPr>
          <w:t>gr</w:t>
        </w:r>
      </w:hyperlink>
      <w:r w:rsidRPr="00DA5F83">
        <w:rPr>
          <w:noProof/>
          <w:szCs w:val="22"/>
          <w:lang w:val="en-US"/>
        </w:rPr>
        <w:t xml:space="preserve"> </w:t>
      </w:r>
    </w:p>
    <w:p w:rsidR="001D1440" w:rsidRPr="00DA5F83" w:rsidRDefault="001D1440" w:rsidP="00D81F0F">
      <w:pPr>
        <w:jc w:val="both"/>
        <w:rPr>
          <w:noProof/>
          <w:szCs w:val="22"/>
          <w:lang w:val="en-US"/>
        </w:rPr>
      </w:pPr>
    </w:p>
    <w:p w:rsidR="001D1440" w:rsidRPr="00AE1A6E" w:rsidRDefault="001D1440" w:rsidP="00D81F0F">
      <w:pPr>
        <w:jc w:val="both"/>
        <w:rPr>
          <w:noProof/>
          <w:szCs w:val="22"/>
          <w:lang w:val="el-GR"/>
        </w:rPr>
      </w:pPr>
      <w:r w:rsidRPr="00684E83">
        <w:rPr>
          <w:b/>
          <w:noProof/>
          <w:szCs w:val="22"/>
          <w:lang w:val="el-GR"/>
        </w:rPr>
        <w:t>8.</w:t>
      </w:r>
      <w:r w:rsidRPr="00684E83">
        <w:rPr>
          <w:b/>
          <w:noProof/>
          <w:szCs w:val="22"/>
          <w:lang w:val="el-GR"/>
        </w:rPr>
        <w:tab/>
        <w:t>ΑΡΙΘΜΟΣ(ΟΙ) ΑΔΕΙΑΣ ΚΥΚΛΟΦΟΡΙΑΣ</w:t>
      </w:r>
    </w:p>
    <w:p w:rsidR="001D1440" w:rsidRPr="00684E83" w:rsidRDefault="001D1440" w:rsidP="00D81F0F">
      <w:pPr>
        <w:jc w:val="both"/>
        <w:rPr>
          <w:noProof/>
          <w:szCs w:val="22"/>
          <w:lang w:val="el-GR"/>
        </w:rPr>
      </w:pPr>
    </w:p>
    <w:p w:rsidR="001D1440" w:rsidRPr="00AE1A6E" w:rsidRDefault="001D1440" w:rsidP="00D81F0F">
      <w:pPr>
        <w:jc w:val="both"/>
        <w:rPr>
          <w:noProof/>
          <w:szCs w:val="22"/>
          <w:lang w:val="el-GR"/>
        </w:rPr>
      </w:pPr>
      <w:r w:rsidRPr="00684E83">
        <w:rPr>
          <w:b/>
          <w:noProof/>
          <w:szCs w:val="22"/>
          <w:lang w:val="el-GR"/>
        </w:rPr>
        <w:t>9.</w:t>
      </w:r>
      <w:r w:rsidRPr="00684E83">
        <w:rPr>
          <w:b/>
          <w:noProof/>
          <w:szCs w:val="22"/>
          <w:lang w:val="el-GR"/>
        </w:rPr>
        <w:tab/>
        <w:t>ΗΜΕΡΟΜΗΝΙΑ ΠΡΩΤΗΣ ΕΓΚΡΙΣΗΣ/ΑΝΑΝΕΩΣΗΣ ΤΗΣ ΑΔΕΙΑΣ</w:t>
      </w:r>
    </w:p>
    <w:p w:rsidR="001D1440" w:rsidRPr="00684E83" w:rsidRDefault="001D1440" w:rsidP="00D81F0F">
      <w:pPr>
        <w:jc w:val="both"/>
        <w:rPr>
          <w:noProof/>
          <w:szCs w:val="22"/>
          <w:lang w:val="el-GR"/>
        </w:rPr>
      </w:pPr>
    </w:p>
    <w:p w:rsidR="001D1440" w:rsidRPr="00684E83" w:rsidRDefault="001D1440" w:rsidP="00D81F0F">
      <w:pPr>
        <w:jc w:val="both"/>
        <w:rPr>
          <w:b/>
          <w:noProof/>
          <w:szCs w:val="22"/>
          <w:lang w:val="el-GR"/>
        </w:rPr>
      </w:pPr>
      <w:r w:rsidRPr="00684E83">
        <w:rPr>
          <w:b/>
          <w:noProof/>
          <w:szCs w:val="22"/>
          <w:lang w:val="el-GR"/>
        </w:rPr>
        <w:t>10.</w:t>
      </w:r>
      <w:r w:rsidRPr="00684E83">
        <w:rPr>
          <w:b/>
          <w:noProof/>
          <w:szCs w:val="22"/>
          <w:lang w:val="el-GR"/>
        </w:rPr>
        <w:tab/>
        <w:t>ΗΜΕΡΟΜΗΝΙΑ ΑΝΑΘΕΩΡΗΣΗΣ ΤΟΥ ΚΕΙΜΕΝΟΥ</w:t>
      </w:r>
    </w:p>
    <w:p w:rsidR="001D1440" w:rsidRPr="00F95232" w:rsidRDefault="001D1440" w:rsidP="00D81F0F">
      <w:pPr>
        <w:jc w:val="both"/>
        <w:rPr>
          <w:b/>
          <w:noProof/>
          <w:szCs w:val="22"/>
          <w:lang w:val="el-GR"/>
        </w:rPr>
      </w:pPr>
    </w:p>
    <w:p w:rsidR="001D1440" w:rsidRPr="00684E83" w:rsidRDefault="001D1440" w:rsidP="00D81F0F">
      <w:pPr>
        <w:jc w:val="both"/>
        <w:rPr>
          <w:b/>
          <w:noProof/>
          <w:szCs w:val="22"/>
          <w:lang w:val="el-GR"/>
        </w:rPr>
      </w:pPr>
    </w:p>
    <w:p w:rsidR="001D1440" w:rsidRPr="00684E83" w:rsidRDefault="001D1440" w:rsidP="00D81F0F">
      <w:pPr>
        <w:jc w:val="both"/>
        <w:rPr>
          <w:noProof/>
          <w:szCs w:val="22"/>
          <w:lang w:val="el-GR"/>
        </w:rPr>
      </w:pPr>
    </w:p>
    <w:p w:rsidR="001D1440" w:rsidRPr="00684E83" w:rsidRDefault="001D1440" w:rsidP="00D81F0F">
      <w:pPr>
        <w:jc w:val="both"/>
        <w:rPr>
          <w:noProof/>
          <w:szCs w:val="22"/>
          <w:lang w:val="el-GR"/>
        </w:rPr>
      </w:pPr>
    </w:p>
    <w:p w:rsidR="001D1440" w:rsidRPr="00684E83" w:rsidRDefault="001D1440" w:rsidP="00D81F0F">
      <w:pPr>
        <w:jc w:val="both"/>
        <w:rPr>
          <w:noProof/>
          <w:szCs w:val="22"/>
          <w:lang w:val="el-GR"/>
        </w:rPr>
      </w:pPr>
    </w:p>
    <w:p w:rsidR="001D1440" w:rsidRPr="00684E83" w:rsidRDefault="001D1440" w:rsidP="00D81F0F">
      <w:pPr>
        <w:jc w:val="both"/>
        <w:rPr>
          <w:noProof/>
          <w:szCs w:val="22"/>
          <w:lang w:val="el-GR"/>
        </w:rPr>
      </w:pPr>
    </w:p>
    <w:p w:rsidR="001D1440" w:rsidRPr="00684E83" w:rsidRDefault="001D1440" w:rsidP="00D81F0F">
      <w:pPr>
        <w:jc w:val="both"/>
        <w:rPr>
          <w:noProof/>
          <w:szCs w:val="22"/>
          <w:lang w:val="el-GR"/>
        </w:rPr>
      </w:pPr>
    </w:p>
    <w:p w:rsidR="001D1440" w:rsidRPr="00684E83" w:rsidRDefault="001D1440" w:rsidP="00D81F0F">
      <w:pPr>
        <w:jc w:val="both"/>
        <w:rPr>
          <w:noProof/>
          <w:szCs w:val="22"/>
          <w:lang w:val="el-GR"/>
        </w:rPr>
      </w:pPr>
    </w:p>
    <w:p w:rsidR="001D1440" w:rsidRPr="00684E83" w:rsidRDefault="001D1440" w:rsidP="00D81F0F">
      <w:pPr>
        <w:jc w:val="both"/>
        <w:rPr>
          <w:noProof/>
          <w:szCs w:val="22"/>
          <w:lang w:val="el-GR"/>
        </w:rPr>
      </w:pPr>
    </w:p>
    <w:p w:rsidR="001D1440" w:rsidRPr="00DF44DF" w:rsidRDefault="001D1440" w:rsidP="00D81F0F">
      <w:pPr>
        <w:jc w:val="both"/>
        <w:rPr>
          <w:noProof/>
          <w:szCs w:val="22"/>
          <w:lang w:val="en-US"/>
        </w:rPr>
      </w:pPr>
    </w:p>
    <w:sectPr w:rsidR="001D1440" w:rsidRPr="00DF44DF" w:rsidSect="00B53E07">
      <w:footerReference w:type="default" r:id="rId10"/>
      <w:footerReference w:type="first" r:id="rId11"/>
      <w:endnotePr>
        <w:numFmt w:val="decimal"/>
      </w:endnotePr>
      <w:pgSz w:w="11907" w:h="16840" w:code="9"/>
      <w:pgMar w:top="1134" w:right="1134" w:bottom="1134" w:left="1134"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B27" w:rsidRDefault="00D06B27">
      <w:pPr>
        <w:rPr>
          <w:szCs w:val="24"/>
        </w:rPr>
      </w:pPr>
      <w:r>
        <w:rPr>
          <w:szCs w:val="24"/>
        </w:rPr>
        <w:separator/>
      </w:r>
    </w:p>
  </w:endnote>
  <w:endnote w:type="continuationSeparator" w:id="0">
    <w:p w:rsidR="00D06B27" w:rsidRDefault="00D06B27">
      <w:pPr>
        <w:rPr>
          <w:szCs w:val="24"/>
        </w:rPr>
      </w:pPr>
      <w:r>
        <w:rPr>
          <w:szCs w:val="24"/>
        </w:rPr>
        <w:continuationSeparator/>
      </w:r>
    </w:p>
  </w:endnote>
  <w:endnote w:type="continuationNotice" w:id="1">
    <w:p w:rsidR="00D06B27" w:rsidRDefault="00D06B27">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DC" w:rsidRPr="005D77D3" w:rsidRDefault="001717C0">
    <w:pPr>
      <w:pStyle w:val="a3"/>
      <w:tabs>
        <w:tab w:val="right" w:pos="8931"/>
      </w:tabs>
      <w:ind w:right="96"/>
      <w:jc w:val="center"/>
      <w:rPr>
        <w:rFonts w:ascii="Arial" w:hAnsi="Arial" w:cs="Arial"/>
        <w:sz w:val="16"/>
        <w:szCs w:val="16"/>
      </w:rPr>
    </w:pPr>
    <w:r w:rsidRPr="005D77D3">
      <w:rPr>
        <w:rFonts w:ascii="Arial" w:hAnsi="Arial" w:cs="Arial"/>
        <w:sz w:val="16"/>
        <w:szCs w:val="16"/>
      </w:rPr>
      <w:fldChar w:fldCharType="begin"/>
    </w:r>
    <w:r w:rsidR="003C7ADC" w:rsidRPr="005D77D3">
      <w:rPr>
        <w:rFonts w:ascii="Arial" w:hAnsi="Arial" w:cs="Arial"/>
        <w:sz w:val="16"/>
        <w:szCs w:val="16"/>
      </w:rPr>
      <w:instrText xml:space="preserve"> EQ </w:instrText>
    </w:r>
    <w:r w:rsidRPr="005D77D3">
      <w:rPr>
        <w:rFonts w:ascii="Arial" w:hAnsi="Arial" w:cs="Arial"/>
        <w:sz w:val="16"/>
        <w:szCs w:val="16"/>
      </w:rPr>
      <w:fldChar w:fldCharType="end"/>
    </w:r>
    <w:r w:rsidRPr="005D77D3">
      <w:rPr>
        <w:rStyle w:val="a5"/>
        <w:rFonts w:ascii="Arial" w:hAnsi="Arial" w:cs="Arial"/>
        <w:sz w:val="16"/>
        <w:szCs w:val="16"/>
      </w:rPr>
      <w:fldChar w:fldCharType="begin"/>
    </w:r>
    <w:r w:rsidR="003C7ADC" w:rsidRPr="005D77D3">
      <w:rPr>
        <w:rStyle w:val="a5"/>
        <w:rFonts w:ascii="Arial" w:hAnsi="Arial" w:cs="Arial"/>
        <w:sz w:val="16"/>
        <w:szCs w:val="16"/>
      </w:rPr>
      <w:instrText xml:space="preserve">PAGE  </w:instrText>
    </w:r>
    <w:r w:rsidRPr="005D77D3">
      <w:rPr>
        <w:rStyle w:val="a5"/>
        <w:rFonts w:ascii="Arial" w:hAnsi="Arial" w:cs="Arial"/>
        <w:sz w:val="16"/>
        <w:szCs w:val="16"/>
      </w:rPr>
      <w:fldChar w:fldCharType="separate"/>
    </w:r>
    <w:r w:rsidR="00DF44DF">
      <w:rPr>
        <w:rStyle w:val="a5"/>
        <w:rFonts w:ascii="Arial" w:hAnsi="Arial" w:cs="Arial"/>
        <w:noProof/>
        <w:sz w:val="16"/>
        <w:szCs w:val="16"/>
      </w:rPr>
      <w:t>6</w:t>
    </w:r>
    <w:r w:rsidRPr="005D77D3">
      <w:rPr>
        <w:rStyle w:val="a5"/>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DC" w:rsidRPr="005D77D3" w:rsidRDefault="001717C0">
    <w:pPr>
      <w:pStyle w:val="a3"/>
      <w:tabs>
        <w:tab w:val="right" w:pos="8931"/>
      </w:tabs>
      <w:ind w:right="96"/>
      <w:jc w:val="center"/>
      <w:rPr>
        <w:rFonts w:ascii="Arial" w:hAnsi="Arial" w:cs="Arial"/>
        <w:sz w:val="16"/>
        <w:szCs w:val="16"/>
      </w:rPr>
    </w:pPr>
    <w:r w:rsidRPr="005D77D3">
      <w:rPr>
        <w:rFonts w:ascii="Arial" w:hAnsi="Arial" w:cs="Arial"/>
        <w:sz w:val="16"/>
        <w:szCs w:val="16"/>
      </w:rPr>
      <w:fldChar w:fldCharType="begin"/>
    </w:r>
    <w:r w:rsidR="003C7ADC" w:rsidRPr="005D77D3">
      <w:rPr>
        <w:rFonts w:ascii="Arial" w:hAnsi="Arial" w:cs="Arial"/>
        <w:sz w:val="16"/>
        <w:szCs w:val="16"/>
      </w:rPr>
      <w:instrText xml:space="preserve"> EQ </w:instrText>
    </w:r>
    <w:r w:rsidRPr="005D77D3">
      <w:rPr>
        <w:rFonts w:ascii="Arial" w:hAnsi="Arial" w:cs="Arial"/>
        <w:sz w:val="16"/>
        <w:szCs w:val="16"/>
      </w:rPr>
      <w:fldChar w:fldCharType="end"/>
    </w:r>
    <w:r w:rsidRPr="005D77D3">
      <w:rPr>
        <w:rStyle w:val="a5"/>
        <w:rFonts w:ascii="Arial" w:hAnsi="Arial" w:cs="Arial"/>
        <w:sz w:val="16"/>
        <w:szCs w:val="16"/>
      </w:rPr>
      <w:fldChar w:fldCharType="begin"/>
    </w:r>
    <w:r w:rsidR="003C7ADC" w:rsidRPr="005D77D3">
      <w:rPr>
        <w:rStyle w:val="a5"/>
        <w:rFonts w:ascii="Arial" w:hAnsi="Arial" w:cs="Arial"/>
        <w:sz w:val="16"/>
        <w:szCs w:val="16"/>
      </w:rPr>
      <w:instrText xml:space="preserve">PAGE  </w:instrText>
    </w:r>
    <w:r w:rsidRPr="005D77D3">
      <w:rPr>
        <w:rStyle w:val="a5"/>
        <w:rFonts w:ascii="Arial" w:hAnsi="Arial" w:cs="Arial"/>
        <w:sz w:val="16"/>
        <w:szCs w:val="16"/>
      </w:rPr>
      <w:fldChar w:fldCharType="separate"/>
    </w:r>
    <w:r w:rsidR="00510359">
      <w:rPr>
        <w:rStyle w:val="a5"/>
        <w:rFonts w:ascii="Arial" w:hAnsi="Arial" w:cs="Arial"/>
        <w:noProof/>
        <w:sz w:val="16"/>
        <w:szCs w:val="16"/>
      </w:rPr>
      <w:t>1</w:t>
    </w:r>
    <w:r w:rsidRPr="005D77D3">
      <w:rPr>
        <w:rStyle w:val="a5"/>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B27" w:rsidRDefault="00D06B27">
      <w:pPr>
        <w:rPr>
          <w:szCs w:val="24"/>
        </w:rPr>
      </w:pPr>
      <w:r>
        <w:rPr>
          <w:szCs w:val="24"/>
        </w:rPr>
        <w:separator/>
      </w:r>
    </w:p>
  </w:footnote>
  <w:footnote w:type="continuationSeparator" w:id="0">
    <w:p w:rsidR="00D06B27" w:rsidRDefault="00D06B27">
      <w:pPr>
        <w:rPr>
          <w:szCs w:val="24"/>
        </w:rPr>
      </w:pPr>
      <w:r>
        <w:rPr>
          <w:szCs w:val="24"/>
        </w:rPr>
        <w:continuationSeparator/>
      </w:r>
    </w:p>
  </w:footnote>
  <w:footnote w:type="continuationNotice" w:id="1">
    <w:p w:rsidR="00D06B27" w:rsidRDefault="00D06B27">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900ED"/>
    <w:multiLevelType w:val="hybridMultilevel"/>
    <w:tmpl w:val="3D08C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590322"/>
    <w:multiLevelType w:val="singleLevel"/>
    <w:tmpl w:val="A8F43FF2"/>
    <w:lvl w:ilvl="0">
      <w:start w:val="1"/>
      <w:numFmt w:val="decimal"/>
      <w:lvlText w:val="Figure: %1. "/>
      <w:lvlJc w:val="left"/>
      <w:pPr>
        <w:tabs>
          <w:tab w:val="num" w:pos="1080"/>
        </w:tabs>
        <w:ind w:left="360" w:hanging="360"/>
      </w:pPr>
      <w:rPr>
        <w:rFonts w:cs="Times New Roman"/>
      </w:rPr>
    </w:lvl>
  </w:abstractNum>
  <w:abstractNum w:abstractNumId="3">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2AD90FFB"/>
    <w:multiLevelType w:val="hybridMultilevel"/>
    <w:tmpl w:val="A172083A"/>
    <w:lvl w:ilvl="0" w:tplc="FFFFFFFF">
      <w:start w:val="1"/>
      <w:numFmt w:val="bullet"/>
      <w:lvlText w:val="-"/>
      <w:lvlJc w:val="lef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E135BD9"/>
    <w:multiLevelType w:val="hybridMultilevel"/>
    <w:tmpl w:val="DAD6C0E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E7422D0"/>
    <w:multiLevelType w:val="singleLevel"/>
    <w:tmpl w:val="FFFFFFFF"/>
    <w:lvl w:ilvl="0">
      <w:start w:val="1"/>
      <w:numFmt w:val="bullet"/>
      <w:lvlText w:val=""/>
      <w:lvlJc w:val="left"/>
      <w:pPr>
        <w:ind w:left="283" w:hanging="283"/>
      </w:pPr>
      <w:rPr>
        <w:rFonts w:ascii="Symbol" w:hAnsi="Symbol" w:hint="default"/>
      </w:rPr>
    </w:lvl>
  </w:abstractNum>
  <w:abstractNum w:abstractNumId="11">
    <w:nsid w:val="4A810019"/>
    <w:multiLevelType w:val="singleLevel"/>
    <w:tmpl w:val="FFFFFFFF"/>
    <w:lvl w:ilvl="0">
      <w:start w:val="1"/>
      <w:numFmt w:val="bullet"/>
      <w:lvlText w:val="-"/>
      <w:lvlJc w:val="left"/>
      <w:pPr>
        <w:ind w:left="1800" w:hanging="360"/>
      </w:pPr>
    </w:lvl>
  </w:abstractNum>
  <w:abstractNum w:abstractNumId="12">
    <w:nsid w:val="560C4365"/>
    <w:multiLevelType w:val="singleLevel"/>
    <w:tmpl w:val="FFFFFFFF"/>
    <w:lvl w:ilvl="0">
      <w:start w:val="1"/>
      <w:numFmt w:val="bullet"/>
      <w:lvlText w:val="-"/>
      <w:lvlJc w:val="left"/>
      <w:pPr>
        <w:ind w:left="1800" w:hanging="360"/>
      </w:pPr>
    </w:lvl>
  </w:abstractNum>
  <w:abstractNum w:abstractNumId="13">
    <w:nsid w:val="58B56C73"/>
    <w:multiLevelType w:val="hybridMultilevel"/>
    <w:tmpl w:val="5BA42128"/>
    <w:lvl w:ilvl="0" w:tplc="EF94C522">
      <w:start w:val="2"/>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642D6557"/>
    <w:multiLevelType w:val="multilevel"/>
    <w:tmpl w:val="1E5AABE8"/>
    <w:lvl w:ilvl="0">
      <w:start w:val="1"/>
      <w:numFmt w:val="decimal"/>
      <w:lvlText w:val="%1."/>
      <w:lvlJc w:val="left"/>
      <w:pPr>
        <w:tabs>
          <w:tab w:val="num" w:pos="570"/>
        </w:tabs>
        <w:ind w:left="570" w:hanging="57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658C02A1"/>
    <w:multiLevelType w:val="singleLevel"/>
    <w:tmpl w:val="E7D22186"/>
    <w:lvl w:ilvl="0">
      <w:start w:val="1"/>
      <w:numFmt w:val="upperRoman"/>
      <w:lvlText w:val="%1."/>
      <w:lvlJc w:val="left"/>
      <w:pPr>
        <w:tabs>
          <w:tab w:val="num" w:pos="720"/>
        </w:tabs>
        <w:ind w:left="360" w:hanging="360"/>
      </w:pPr>
      <w:rPr>
        <w:rFonts w:cs="Times New Roman"/>
      </w:rPr>
    </w:lvl>
  </w:abstractNum>
  <w:abstractNum w:abstractNumId="16">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17">
    <w:nsid w:val="69E95A54"/>
    <w:multiLevelType w:val="hybridMultilevel"/>
    <w:tmpl w:val="3C18EFB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abstractNum w:abstractNumId="2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AB50F1"/>
    <w:multiLevelType w:val="hybridMultilevel"/>
    <w:tmpl w:val="64CEA6C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78726D2E"/>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
  </w:num>
  <w:num w:numId="2">
    <w:abstractNumId w:val="15"/>
  </w:num>
  <w:num w:numId="3">
    <w:abstractNumId w:val="0"/>
    <w:lvlOverride w:ilvl="0">
      <w:lvl w:ilvl="0">
        <w:start w:val="1"/>
        <w:numFmt w:val="bullet"/>
        <w:lvlText w:val="-"/>
        <w:lvlJc w:val="left"/>
        <w:pPr>
          <w:ind w:left="360" w:hanging="360"/>
        </w:pPr>
      </w:lvl>
    </w:lvlOverride>
  </w:num>
  <w:num w:numId="4">
    <w:abstractNumId w:val="0"/>
    <w:lvlOverride w:ilvl="0">
      <w:lvl w:ilvl="0">
        <w:start w:val="1"/>
        <w:numFmt w:val="bullet"/>
        <w:lvlText w:val=""/>
        <w:lvlJc w:val="left"/>
        <w:pPr>
          <w:ind w:left="360" w:hanging="360"/>
        </w:pPr>
        <w:rPr>
          <w:rFonts w:ascii="Symbol" w:hAnsi="Symbol" w:hint="default"/>
        </w:rPr>
      </w:lvl>
    </w:lvlOverride>
  </w:num>
  <w:num w:numId="5">
    <w:abstractNumId w:val="16"/>
  </w:num>
  <w:num w:numId="6">
    <w:abstractNumId w:val="13"/>
  </w:num>
  <w:num w:numId="7">
    <w:abstractNumId w:val="7"/>
  </w:num>
  <w:num w:numId="8">
    <w:abstractNumId w:val="10"/>
  </w:num>
  <w:num w:numId="9">
    <w:abstractNumId w:val="21"/>
  </w:num>
  <w:num w:numId="10">
    <w:abstractNumId w:val="1"/>
  </w:num>
  <w:num w:numId="11">
    <w:abstractNumId w:val="18"/>
  </w:num>
  <w:num w:numId="12">
    <w:abstractNumId w:val="8"/>
  </w:num>
  <w:num w:numId="13">
    <w:abstractNumId w:val="4"/>
  </w:num>
  <w:num w:numId="14">
    <w:abstractNumId w:val="3"/>
  </w:num>
  <w:num w:numId="15">
    <w:abstractNumId w:val="0"/>
    <w:lvlOverride w:ilvl="0">
      <w:lvl w:ilvl="0">
        <w:start w:val="1"/>
        <w:numFmt w:val="bullet"/>
        <w:lvlText w:val="-"/>
        <w:lvlJc w:val="left"/>
        <w:pPr>
          <w:ind w:left="360" w:hanging="360"/>
        </w:pPr>
      </w:lvl>
    </w:lvlOverride>
  </w:num>
  <w:num w:numId="16">
    <w:abstractNumId w:val="19"/>
  </w:num>
  <w:num w:numId="17">
    <w:abstractNumId w:val="11"/>
  </w:num>
  <w:num w:numId="18">
    <w:abstractNumId w:val="12"/>
  </w:num>
  <w:num w:numId="19">
    <w:abstractNumId w:val="22"/>
  </w:num>
  <w:num w:numId="20">
    <w:abstractNumId w:val="14"/>
  </w:num>
  <w:num w:numId="21">
    <w:abstractNumId w:val="20"/>
  </w:num>
  <w:num w:numId="22">
    <w:abstractNumId w:val="17"/>
  </w:num>
  <w:num w:numId="23">
    <w:abstractNumId w:val="6"/>
  </w:num>
  <w:num w:numId="24">
    <w:abstractNumId w:val="20"/>
  </w:num>
  <w:num w:numId="25">
    <w:abstractNumId w:val="3"/>
  </w:num>
  <w:num w:numId="26">
    <w:abstractNumId w:val="20"/>
  </w:num>
  <w:num w:numId="27">
    <w:abstractNumId w:val="9"/>
  </w:num>
  <w:num w:numId="28">
    <w:abstractNumId w:val="0"/>
    <w:lvlOverride w:ilvl="0">
      <w:lvl w:ilvl="0">
        <w:start w:val="1"/>
        <w:numFmt w:val="bullet"/>
        <w:lvlText w:val="-"/>
        <w:lvlJc w:val="left"/>
        <w:pPr>
          <w:ind w:left="360" w:hanging="360"/>
        </w:pPr>
      </w:lvl>
    </w:lvlOverride>
  </w:num>
  <w:num w:numId="29">
    <w:abstractNumId w:val="3"/>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Registered" w:val="-1"/>
    <w:docVar w:name="Version" w:val="0"/>
  </w:docVars>
  <w:rsids>
    <w:rsidRoot w:val="00072B3C"/>
    <w:rsid w:val="00000D62"/>
    <w:rsid w:val="00001587"/>
    <w:rsid w:val="0000362A"/>
    <w:rsid w:val="00005701"/>
    <w:rsid w:val="00007528"/>
    <w:rsid w:val="0001164F"/>
    <w:rsid w:val="00014869"/>
    <w:rsid w:val="000150D3"/>
    <w:rsid w:val="000166C1"/>
    <w:rsid w:val="0002006B"/>
    <w:rsid w:val="00020AE8"/>
    <w:rsid w:val="00024106"/>
    <w:rsid w:val="00025EBE"/>
    <w:rsid w:val="00026BF2"/>
    <w:rsid w:val="000271F6"/>
    <w:rsid w:val="00030445"/>
    <w:rsid w:val="000318C7"/>
    <w:rsid w:val="00033FDB"/>
    <w:rsid w:val="000344F6"/>
    <w:rsid w:val="000364EC"/>
    <w:rsid w:val="00041CC9"/>
    <w:rsid w:val="00042263"/>
    <w:rsid w:val="00043505"/>
    <w:rsid w:val="00044042"/>
    <w:rsid w:val="00046EB7"/>
    <w:rsid w:val="000474D2"/>
    <w:rsid w:val="00047814"/>
    <w:rsid w:val="000479C5"/>
    <w:rsid w:val="00050DFD"/>
    <w:rsid w:val="000515B3"/>
    <w:rsid w:val="00053809"/>
    <w:rsid w:val="00053914"/>
    <w:rsid w:val="00054756"/>
    <w:rsid w:val="000560C5"/>
    <w:rsid w:val="00056C49"/>
    <w:rsid w:val="00056FE0"/>
    <w:rsid w:val="000603C8"/>
    <w:rsid w:val="000608A4"/>
    <w:rsid w:val="00060AA1"/>
    <w:rsid w:val="000631FD"/>
    <w:rsid w:val="00071F8A"/>
    <w:rsid w:val="00072B3C"/>
    <w:rsid w:val="00073E04"/>
    <w:rsid w:val="0007628D"/>
    <w:rsid w:val="00081DAB"/>
    <w:rsid w:val="0009351E"/>
    <w:rsid w:val="0009479A"/>
    <w:rsid w:val="00095E44"/>
    <w:rsid w:val="00096D8D"/>
    <w:rsid w:val="0009755A"/>
    <w:rsid w:val="000A1232"/>
    <w:rsid w:val="000A40D0"/>
    <w:rsid w:val="000A6E1F"/>
    <w:rsid w:val="000B0097"/>
    <w:rsid w:val="000B101F"/>
    <w:rsid w:val="000B1F4B"/>
    <w:rsid w:val="000B2F27"/>
    <w:rsid w:val="000B2F58"/>
    <w:rsid w:val="000B37A8"/>
    <w:rsid w:val="000B51D9"/>
    <w:rsid w:val="000C03FB"/>
    <w:rsid w:val="000C308F"/>
    <w:rsid w:val="000C449B"/>
    <w:rsid w:val="000C5A4E"/>
    <w:rsid w:val="000C635D"/>
    <w:rsid w:val="000C7F49"/>
    <w:rsid w:val="000D1AEE"/>
    <w:rsid w:val="000D1F4F"/>
    <w:rsid w:val="000D4D07"/>
    <w:rsid w:val="000D7535"/>
    <w:rsid w:val="000E165D"/>
    <w:rsid w:val="000E1BAF"/>
    <w:rsid w:val="000E223E"/>
    <w:rsid w:val="000E2491"/>
    <w:rsid w:val="000E2EA9"/>
    <w:rsid w:val="000E46A3"/>
    <w:rsid w:val="000E4E88"/>
    <w:rsid w:val="000E5726"/>
    <w:rsid w:val="000E6C94"/>
    <w:rsid w:val="000E7806"/>
    <w:rsid w:val="000F1BB2"/>
    <w:rsid w:val="000F3F94"/>
    <w:rsid w:val="00103501"/>
    <w:rsid w:val="00103B2D"/>
    <w:rsid w:val="00103CD2"/>
    <w:rsid w:val="00104061"/>
    <w:rsid w:val="00104322"/>
    <w:rsid w:val="00107236"/>
    <w:rsid w:val="001101A2"/>
    <w:rsid w:val="001106F7"/>
    <w:rsid w:val="001108A9"/>
    <w:rsid w:val="00112EDA"/>
    <w:rsid w:val="00114174"/>
    <w:rsid w:val="00117C1D"/>
    <w:rsid w:val="00123688"/>
    <w:rsid w:val="00123EE6"/>
    <w:rsid w:val="00127F47"/>
    <w:rsid w:val="00130819"/>
    <w:rsid w:val="00133572"/>
    <w:rsid w:val="00135D69"/>
    <w:rsid w:val="00136D7A"/>
    <w:rsid w:val="00141470"/>
    <w:rsid w:val="00141540"/>
    <w:rsid w:val="001449DF"/>
    <w:rsid w:val="0014569B"/>
    <w:rsid w:val="001470E0"/>
    <w:rsid w:val="00150060"/>
    <w:rsid w:val="00154C69"/>
    <w:rsid w:val="0015565B"/>
    <w:rsid w:val="0015704C"/>
    <w:rsid w:val="00161701"/>
    <w:rsid w:val="00161E87"/>
    <w:rsid w:val="0016566C"/>
    <w:rsid w:val="00166D11"/>
    <w:rsid w:val="001710BA"/>
    <w:rsid w:val="001717C0"/>
    <w:rsid w:val="001727F0"/>
    <w:rsid w:val="00172B06"/>
    <w:rsid w:val="0017347E"/>
    <w:rsid w:val="001752D8"/>
    <w:rsid w:val="00175931"/>
    <w:rsid w:val="0017656E"/>
    <w:rsid w:val="00176B25"/>
    <w:rsid w:val="0018238B"/>
    <w:rsid w:val="00183419"/>
    <w:rsid w:val="0018394A"/>
    <w:rsid w:val="00184DCC"/>
    <w:rsid w:val="00186A9D"/>
    <w:rsid w:val="001874A6"/>
    <w:rsid w:val="0018765B"/>
    <w:rsid w:val="00190913"/>
    <w:rsid w:val="00193DD3"/>
    <w:rsid w:val="00195F65"/>
    <w:rsid w:val="001A07E2"/>
    <w:rsid w:val="001A2018"/>
    <w:rsid w:val="001A56F1"/>
    <w:rsid w:val="001B01C8"/>
    <w:rsid w:val="001B0B52"/>
    <w:rsid w:val="001B13F6"/>
    <w:rsid w:val="001B1747"/>
    <w:rsid w:val="001B228F"/>
    <w:rsid w:val="001B2D44"/>
    <w:rsid w:val="001B752A"/>
    <w:rsid w:val="001C0693"/>
    <w:rsid w:val="001C12FB"/>
    <w:rsid w:val="001C2DB4"/>
    <w:rsid w:val="001C3228"/>
    <w:rsid w:val="001C35E9"/>
    <w:rsid w:val="001C36BD"/>
    <w:rsid w:val="001C3733"/>
    <w:rsid w:val="001C49B3"/>
    <w:rsid w:val="001C5B30"/>
    <w:rsid w:val="001D1440"/>
    <w:rsid w:val="001D3C05"/>
    <w:rsid w:val="001D6AF4"/>
    <w:rsid w:val="001E0CC1"/>
    <w:rsid w:val="001E1C10"/>
    <w:rsid w:val="001E3CC0"/>
    <w:rsid w:val="001E4125"/>
    <w:rsid w:val="001E77C3"/>
    <w:rsid w:val="001F090B"/>
    <w:rsid w:val="001F180A"/>
    <w:rsid w:val="001F1A28"/>
    <w:rsid w:val="001F1AD0"/>
    <w:rsid w:val="001F35E8"/>
    <w:rsid w:val="001F3758"/>
    <w:rsid w:val="001F4014"/>
    <w:rsid w:val="001F445E"/>
    <w:rsid w:val="00201213"/>
    <w:rsid w:val="0020165E"/>
    <w:rsid w:val="00202E50"/>
    <w:rsid w:val="00205180"/>
    <w:rsid w:val="00205B89"/>
    <w:rsid w:val="00207F81"/>
    <w:rsid w:val="002109F4"/>
    <w:rsid w:val="00211FDA"/>
    <w:rsid w:val="00215FDA"/>
    <w:rsid w:val="002160C2"/>
    <w:rsid w:val="00222BB9"/>
    <w:rsid w:val="002258D6"/>
    <w:rsid w:val="002274FB"/>
    <w:rsid w:val="002309D2"/>
    <w:rsid w:val="00231B61"/>
    <w:rsid w:val="0023315B"/>
    <w:rsid w:val="002347FE"/>
    <w:rsid w:val="0024178D"/>
    <w:rsid w:val="00242F67"/>
    <w:rsid w:val="0024392B"/>
    <w:rsid w:val="002450C6"/>
    <w:rsid w:val="00245DCF"/>
    <w:rsid w:val="00246C65"/>
    <w:rsid w:val="002542A8"/>
    <w:rsid w:val="00260A11"/>
    <w:rsid w:val="0026169A"/>
    <w:rsid w:val="00262763"/>
    <w:rsid w:val="00264BEA"/>
    <w:rsid w:val="00267850"/>
    <w:rsid w:val="00271032"/>
    <w:rsid w:val="00273E3E"/>
    <w:rsid w:val="00274147"/>
    <w:rsid w:val="00275189"/>
    <w:rsid w:val="002756DC"/>
    <w:rsid w:val="00276412"/>
    <w:rsid w:val="00276437"/>
    <w:rsid w:val="0028063F"/>
    <w:rsid w:val="00280740"/>
    <w:rsid w:val="00283B02"/>
    <w:rsid w:val="00283C5D"/>
    <w:rsid w:val="002844B0"/>
    <w:rsid w:val="00286322"/>
    <w:rsid w:val="0029145A"/>
    <w:rsid w:val="00296B03"/>
    <w:rsid w:val="00296C1F"/>
    <w:rsid w:val="002A26FF"/>
    <w:rsid w:val="002A41E6"/>
    <w:rsid w:val="002A44C8"/>
    <w:rsid w:val="002A5E48"/>
    <w:rsid w:val="002B0059"/>
    <w:rsid w:val="002B0455"/>
    <w:rsid w:val="002B261C"/>
    <w:rsid w:val="002B2BEE"/>
    <w:rsid w:val="002B35C5"/>
    <w:rsid w:val="002B3935"/>
    <w:rsid w:val="002B406A"/>
    <w:rsid w:val="002B41D4"/>
    <w:rsid w:val="002B543F"/>
    <w:rsid w:val="002B7D73"/>
    <w:rsid w:val="002C06E3"/>
    <w:rsid w:val="002C0801"/>
    <w:rsid w:val="002C33B3"/>
    <w:rsid w:val="002C44B0"/>
    <w:rsid w:val="002C4E07"/>
    <w:rsid w:val="002D0586"/>
    <w:rsid w:val="002D1023"/>
    <w:rsid w:val="002D1459"/>
    <w:rsid w:val="002D1470"/>
    <w:rsid w:val="002D21CF"/>
    <w:rsid w:val="002D4705"/>
    <w:rsid w:val="002D5B65"/>
    <w:rsid w:val="002D6396"/>
    <w:rsid w:val="002D653D"/>
    <w:rsid w:val="002D7E5E"/>
    <w:rsid w:val="002E07EF"/>
    <w:rsid w:val="002E0D06"/>
    <w:rsid w:val="002E1810"/>
    <w:rsid w:val="002E4E94"/>
    <w:rsid w:val="002F1F28"/>
    <w:rsid w:val="002F43CA"/>
    <w:rsid w:val="002F57AA"/>
    <w:rsid w:val="002F714C"/>
    <w:rsid w:val="002F77BF"/>
    <w:rsid w:val="00300143"/>
    <w:rsid w:val="003004A2"/>
    <w:rsid w:val="00303DD5"/>
    <w:rsid w:val="003044F4"/>
    <w:rsid w:val="00307B74"/>
    <w:rsid w:val="00310764"/>
    <w:rsid w:val="00313059"/>
    <w:rsid w:val="00320203"/>
    <w:rsid w:val="00321AA8"/>
    <w:rsid w:val="00321B26"/>
    <w:rsid w:val="00322002"/>
    <w:rsid w:val="003247B0"/>
    <w:rsid w:val="00325E81"/>
    <w:rsid w:val="00326948"/>
    <w:rsid w:val="00327052"/>
    <w:rsid w:val="0033486D"/>
    <w:rsid w:val="003367C4"/>
    <w:rsid w:val="00336D8E"/>
    <w:rsid w:val="003376B3"/>
    <w:rsid w:val="00345F9C"/>
    <w:rsid w:val="00347776"/>
    <w:rsid w:val="00351A91"/>
    <w:rsid w:val="003520C4"/>
    <w:rsid w:val="003533AE"/>
    <w:rsid w:val="00355E14"/>
    <w:rsid w:val="00361280"/>
    <w:rsid w:val="003615F1"/>
    <w:rsid w:val="00361A6E"/>
    <w:rsid w:val="00363D7F"/>
    <w:rsid w:val="00367A8C"/>
    <w:rsid w:val="00367C66"/>
    <w:rsid w:val="003700B2"/>
    <w:rsid w:val="0037233D"/>
    <w:rsid w:val="003736EF"/>
    <w:rsid w:val="003737E3"/>
    <w:rsid w:val="00380A1A"/>
    <w:rsid w:val="00380D80"/>
    <w:rsid w:val="00380F13"/>
    <w:rsid w:val="0038500E"/>
    <w:rsid w:val="0038761D"/>
    <w:rsid w:val="003906F8"/>
    <w:rsid w:val="003935EE"/>
    <w:rsid w:val="0039408A"/>
    <w:rsid w:val="003945F5"/>
    <w:rsid w:val="0039673D"/>
    <w:rsid w:val="003975DA"/>
    <w:rsid w:val="00397893"/>
    <w:rsid w:val="003A2407"/>
    <w:rsid w:val="003A2CF0"/>
    <w:rsid w:val="003A33D3"/>
    <w:rsid w:val="003A3880"/>
    <w:rsid w:val="003A5BC5"/>
    <w:rsid w:val="003A5D55"/>
    <w:rsid w:val="003A75E6"/>
    <w:rsid w:val="003B0CCD"/>
    <w:rsid w:val="003B255B"/>
    <w:rsid w:val="003B3317"/>
    <w:rsid w:val="003B4B2F"/>
    <w:rsid w:val="003B52D4"/>
    <w:rsid w:val="003C1CA5"/>
    <w:rsid w:val="003C1EC7"/>
    <w:rsid w:val="003C3D8E"/>
    <w:rsid w:val="003C4B06"/>
    <w:rsid w:val="003C64A0"/>
    <w:rsid w:val="003C6F0B"/>
    <w:rsid w:val="003C7ADC"/>
    <w:rsid w:val="003C7BA3"/>
    <w:rsid w:val="003D4E9C"/>
    <w:rsid w:val="003E0118"/>
    <w:rsid w:val="003E0D78"/>
    <w:rsid w:val="003E1CB1"/>
    <w:rsid w:val="003E3A1D"/>
    <w:rsid w:val="003E6CA0"/>
    <w:rsid w:val="003F0409"/>
    <w:rsid w:val="003F1F41"/>
    <w:rsid w:val="003F2FDE"/>
    <w:rsid w:val="003F330B"/>
    <w:rsid w:val="003F6FDF"/>
    <w:rsid w:val="00400B9E"/>
    <w:rsid w:val="004016F5"/>
    <w:rsid w:val="004045AA"/>
    <w:rsid w:val="0040549A"/>
    <w:rsid w:val="00405CC9"/>
    <w:rsid w:val="00407D67"/>
    <w:rsid w:val="004138DE"/>
    <w:rsid w:val="00414B2F"/>
    <w:rsid w:val="00415E58"/>
    <w:rsid w:val="00416231"/>
    <w:rsid w:val="004208AB"/>
    <w:rsid w:val="004219EF"/>
    <w:rsid w:val="00426330"/>
    <w:rsid w:val="00426CD9"/>
    <w:rsid w:val="00430FEB"/>
    <w:rsid w:val="004310EE"/>
    <w:rsid w:val="00433677"/>
    <w:rsid w:val="00433C65"/>
    <w:rsid w:val="004340D5"/>
    <w:rsid w:val="00434880"/>
    <w:rsid w:val="0043526D"/>
    <w:rsid w:val="004460E9"/>
    <w:rsid w:val="00447B6F"/>
    <w:rsid w:val="00453623"/>
    <w:rsid w:val="00453C11"/>
    <w:rsid w:val="004557B0"/>
    <w:rsid w:val="00457946"/>
    <w:rsid w:val="00457D8B"/>
    <w:rsid w:val="00460A17"/>
    <w:rsid w:val="00463ECE"/>
    <w:rsid w:val="00470CB5"/>
    <w:rsid w:val="00471EAB"/>
    <w:rsid w:val="004723EE"/>
    <w:rsid w:val="00475A92"/>
    <w:rsid w:val="00477BB9"/>
    <w:rsid w:val="00487366"/>
    <w:rsid w:val="004873E4"/>
    <w:rsid w:val="0049072C"/>
    <w:rsid w:val="00490FD1"/>
    <w:rsid w:val="00491AD2"/>
    <w:rsid w:val="004935C0"/>
    <w:rsid w:val="00493B43"/>
    <w:rsid w:val="00494EB1"/>
    <w:rsid w:val="00495465"/>
    <w:rsid w:val="004960A0"/>
    <w:rsid w:val="00496414"/>
    <w:rsid w:val="00497A38"/>
    <w:rsid w:val="004A0115"/>
    <w:rsid w:val="004A399D"/>
    <w:rsid w:val="004A45BD"/>
    <w:rsid w:val="004A4656"/>
    <w:rsid w:val="004A77B0"/>
    <w:rsid w:val="004B08A9"/>
    <w:rsid w:val="004B1CED"/>
    <w:rsid w:val="004B34A7"/>
    <w:rsid w:val="004B3B06"/>
    <w:rsid w:val="004B4643"/>
    <w:rsid w:val="004B7F67"/>
    <w:rsid w:val="004C1994"/>
    <w:rsid w:val="004D4080"/>
    <w:rsid w:val="004E05FD"/>
    <w:rsid w:val="004E1A0D"/>
    <w:rsid w:val="004E23F5"/>
    <w:rsid w:val="004E5418"/>
    <w:rsid w:val="004E63E5"/>
    <w:rsid w:val="004E6B76"/>
    <w:rsid w:val="004F3540"/>
    <w:rsid w:val="004F52DB"/>
    <w:rsid w:val="004F5624"/>
    <w:rsid w:val="004F5DA4"/>
    <w:rsid w:val="004F62B2"/>
    <w:rsid w:val="004F6424"/>
    <w:rsid w:val="004F7839"/>
    <w:rsid w:val="005040CD"/>
    <w:rsid w:val="00505229"/>
    <w:rsid w:val="00507F18"/>
    <w:rsid w:val="00507F98"/>
    <w:rsid w:val="00510359"/>
    <w:rsid w:val="005108A3"/>
    <w:rsid w:val="00510F6E"/>
    <w:rsid w:val="005118AE"/>
    <w:rsid w:val="0051587A"/>
    <w:rsid w:val="005158FA"/>
    <w:rsid w:val="005169AD"/>
    <w:rsid w:val="005208B9"/>
    <w:rsid w:val="005221F0"/>
    <w:rsid w:val="00524807"/>
    <w:rsid w:val="00525FF9"/>
    <w:rsid w:val="00532C41"/>
    <w:rsid w:val="00532D3F"/>
    <w:rsid w:val="0053386D"/>
    <w:rsid w:val="00534700"/>
    <w:rsid w:val="00535550"/>
    <w:rsid w:val="0053791F"/>
    <w:rsid w:val="00547538"/>
    <w:rsid w:val="00553AB0"/>
    <w:rsid w:val="00553BFA"/>
    <w:rsid w:val="00554D05"/>
    <w:rsid w:val="0056077E"/>
    <w:rsid w:val="00560EDA"/>
    <w:rsid w:val="005616EB"/>
    <w:rsid w:val="005629EE"/>
    <w:rsid w:val="005648FA"/>
    <w:rsid w:val="00564D50"/>
    <w:rsid w:val="00567346"/>
    <w:rsid w:val="0057371B"/>
    <w:rsid w:val="00575EB8"/>
    <w:rsid w:val="00582A9B"/>
    <w:rsid w:val="005832AB"/>
    <w:rsid w:val="0058437C"/>
    <w:rsid w:val="005935F4"/>
    <w:rsid w:val="00593E0A"/>
    <w:rsid w:val="005A167F"/>
    <w:rsid w:val="005A346E"/>
    <w:rsid w:val="005A73CF"/>
    <w:rsid w:val="005B0A75"/>
    <w:rsid w:val="005B3F6F"/>
    <w:rsid w:val="005B798B"/>
    <w:rsid w:val="005C1FAE"/>
    <w:rsid w:val="005C39E8"/>
    <w:rsid w:val="005C5660"/>
    <w:rsid w:val="005C5813"/>
    <w:rsid w:val="005D3AAA"/>
    <w:rsid w:val="005D4B68"/>
    <w:rsid w:val="005D77D3"/>
    <w:rsid w:val="005E11C1"/>
    <w:rsid w:val="005E2563"/>
    <w:rsid w:val="005E394C"/>
    <w:rsid w:val="005E42BF"/>
    <w:rsid w:val="005E4E70"/>
    <w:rsid w:val="005E65BB"/>
    <w:rsid w:val="005F0DA0"/>
    <w:rsid w:val="005F4914"/>
    <w:rsid w:val="005F4F83"/>
    <w:rsid w:val="005F62B7"/>
    <w:rsid w:val="005F6869"/>
    <w:rsid w:val="005F6BB9"/>
    <w:rsid w:val="00603148"/>
    <w:rsid w:val="00603F07"/>
    <w:rsid w:val="00606FC7"/>
    <w:rsid w:val="00607769"/>
    <w:rsid w:val="00610456"/>
    <w:rsid w:val="00611473"/>
    <w:rsid w:val="00611B36"/>
    <w:rsid w:val="00613A34"/>
    <w:rsid w:val="00614F8B"/>
    <w:rsid w:val="00615ADA"/>
    <w:rsid w:val="00615C2A"/>
    <w:rsid w:val="006221CD"/>
    <w:rsid w:val="00622633"/>
    <w:rsid w:val="006266A9"/>
    <w:rsid w:val="00630426"/>
    <w:rsid w:val="006316C1"/>
    <w:rsid w:val="00631ED4"/>
    <w:rsid w:val="00633BC7"/>
    <w:rsid w:val="00635E9C"/>
    <w:rsid w:val="006361A2"/>
    <w:rsid w:val="00637B41"/>
    <w:rsid w:val="006414EE"/>
    <w:rsid w:val="00642524"/>
    <w:rsid w:val="00642D0A"/>
    <w:rsid w:val="00646FE1"/>
    <w:rsid w:val="00655477"/>
    <w:rsid w:val="0065581D"/>
    <w:rsid w:val="00655C2F"/>
    <w:rsid w:val="00660403"/>
    <w:rsid w:val="00661140"/>
    <w:rsid w:val="006710DD"/>
    <w:rsid w:val="00673200"/>
    <w:rsid w:val="0067501E"/>
    <w:rsid w:val="006773D2"/>
    <w:rsid w:val="00680581"/>
    <w:rsid w:val="00681A41"/>
    <w:rsid w:val="006821B2"/>
    <w:rsid w:val="006838C0"/>
    <w:rsid w:val="00684E83"/>
    <w:rsid w:val="00685901"/>
    <w:rsid w:val="00685BB9"/>
    <w:rsid w:val="00690127"/>
    <w:rsid w:val="00691BFF"/>
    <w:rsid w:val="006953C1"/>
    <w:rsid w:val="00695E37"/>
    <w:rsid w:val="00696EB2"/>
    <w:rsid w:val="006A16E9"/>
    <w:rsid w:val="006A3583"/>
    <w:rsid w:val="006A5450"/>
    <w:rsid w:val="006B0199"/>
    <w:rsid w:val="006B0A32"/>
    <w:rsid w:val="006B0BD8"/>
    <w:rsid w:val="006C0251"/>
    <w:rsid w:val="006C2B9A"/>
    <w:rsid w:val="006C39BB"/>
    <w:rsid w:val="006C4502"/>
    <w:rsid w:val="006C6D0D"/>
    <w:rsid w:val="006D2D52"/>
    <w:rsid w:val="006D3526"/>
    <w:rsid w:val="006D5E91"/>
    <w:rsid w:val="006E14B1"/>
    <w:rsid w:val="006E14E6"/>
    <w:rsid w:val="006E1AEE"/>
    <w:rsid w:val="006E2F52"/>
    <w:rsid w:val="006E3B9C"/>
    <w:rsid w:val="006E51A2"/>
    <w:rsid w:val="006F0DE2"/>
    <w:rsid w:val="006F3495"/>
    <w:rsid w:val="006F417D"/>
    <w:rsid w:val="006F5C83"/>
    <w:rsid w:val="006F67CC"/>
    <w:rsid w:val="006F7591"/>
    <w:rsid w:val="00701C2D"/>
    <w:rsid w:val="00702162"/>
    <w:rsid w:val="00703930"/>
    <w:rsid w:val="0070610E"/>
    <w:rsid w:val="00707759"/>
    <w:rsid w:val="00710081"/>
    <w:rsid w:val="00710B0D"/>
    <w:rsid w:val="00710FFC"/>
    <w:rsid w:val="00711D58"/>
    <w:rsid w:val="00713CB5"/>
    <w:rsid w:val="0071558B"/>
    <w:rsid w:val="00721189"/>
    <w:rsid w:val="007221C3"/>
    <w:rsid w:val="00722F2C"/>
    <w:rsid w:val="007254D1"/>
    <w:rsid w:val="00725B32"/>
    <w:rsid w:val="00725B3C"/>
    <w:rsid w:val="007324E4"/>
    <w:rsid w:val="00733D54"/>
    <w:rsid w:val="00736A4F"/>
    <w:rsid w:val="00737753"/>
    <w:rsid w:val="00740CE9"/>
    <w:rsid w:val="00742460"/>
    <w:rsid w:val="007428E3"/>
    <w:rsid w:val="0074394E"/>
    <w:rsid w:val="00750D0A"/>
    <w:rsid w:val="00751D93"/>
    <w:rsid w:val="00752300"/>
    <w:rsid w:val="007546F8"/>
    <w:rsid w:val="00755BAB"/>
    <w:rsid w:val="00757F8E"/>
    <w:rsid w:val="0076080E"/>
    <w:rsid w:val="00760D29"/>
    <w:rsid w:val="0076411D"/>
    <w:rsid w:val="007670F8"/>
    <w:rsid w:val="007671D4"/>
    <w:rsid w:val="00770A85"/>
    <w:rsid w:val="00773DC9"/>
    <w:rsid w:val="00774497"/>
    <w:rsid w:val="00774EBC"/>
    <w:rsid w:val="0077572E"/>
    <w:rsid w:val="00776B5C"/>
    <w:rsid w:val="0078031B"/>
    <w:rsid w:val="00784F44"/>
    <w:rsid w:val="00786672"/>
    <w:rsid w:val="007872CF"/>
    <w:rsid w:val="0079201C"/>
    <w:rsid w:val="007927E6"/>
    <w:rsid w:val="0079307F"/>
    <w:rsid w:val="007940C5"/>
    <w:rsid w:val="007947C4"/>
    <w:rsid w:val="00795425"/>
    <w:rsid w:val="00795CE1"/>
    <w:rsid w:val="007A06AC"/>
    <w:rsid w:val="007B0D81"/>
    <w:rsid w:val="007B1014"/>
    <w:rsid w:val="007B103F"/>
    <w:rsid w:val="007B1484"/>
    <w:rsid w:val="007B1A10"/>
    <w:rsid w:val="007B4EFE"/>
    <w:rsid w:val="007B6659"/>
    <w:rsid w:val="007B76AB"/>
    <w:rsid w:val="007B7DBD"/>
    <w:rsid w:val="007C45D3"/>
    <w:rsid w:val="007C597B"/>
    <w:rsid w:val="007C6574"/>
    <w:rsid w:val="007C760C"/>
    <w:rsid w:val="007D08FD"/>
    <w:rsid w:val="007D1584"/>
    <w:rsid w:val="007D2044"/>
    <w:rsid w:val="007D4F33"/>
    <w:rsid w:val="007D65C7"/>
    <w:rsid w:val="007D74D2"/>
    <w:rsid w:val="007D79B5"/>
    <w:rsid w:val="007E17BE"/>
    <w:rsid w:val="007E2334"/>
    <w:rsid w:val="007E23CE"/>
    <w:rsid w:val="007E2CE7"/>
    <w:rsid w:val="007E43D0"/>
    <w:rsid w:val="007E48D6"/>
    <w:rsid w:val="007E4F00"/>
    <w:rsid w:val="007E54F8"/>
    <w:rsid w:val="007E5987"/>
    <w:rsid w:val="007E5BD8"/>
    <w:rsid w:val="007E7BF9"/>
    <w:rsid w:val="007F02BC"/>
    <w:rsid w:val="007F1D17"/>
    <w:rsid w:val="007F2E65"/>
    <w:rsid w:val="007F43BA"/>
    <w:rsid w:val="007F45D1"/>
    <w:rsid w:val="007F5F3E"/>
    <w:rsid w:val="007F64BE"/>
    <w:rsid w:val="007F6DC3"/>
    <w:rsid w:val="008006B4"/>
    <w:rsid w:val="008015B6"/>
    <w:rsid w:val="00803FD4"/>
    <w:rsid w:val="0080481C"/>
    <w:rsid w:val="00804C54"/>
    <w:rsid w:val="008056DD"/>
    <w:rsid w:val="0081104C"/>
    <w:rsid w:val="00812D16"/>
    <w:rsid w:val="008159D2"/>
    <w:rsid w:val="00816C51"/>
    <w:rsid w:val="00821865"/>
    <w:rsid w:val="0082327D"/>
    <w:rsid w:val="0082433D"/>
    <w:rsid w:val="00826509"/>
    <w:rsid w:val="0083354D"/>
    <w:rsid w:val="0083561B"/>
    <w:rsid w:val="00837D78"/>
    <w:rsid w:val="00840D79"/>
    <w:rsid w:val="00842A21"/>
    <w:rsid w:val="00843ADF"/>
    <w:rsid w:val="00845DAD"/>
    <w:rsid w:val="00851377"/>
    <w:rsid w:val="00854B2F"/>
    <w:rsid w:val="00855481"/>
    <w:rsid w:val="00856354"/>
    <w:rsid w:val="008568E1"/>
    <w:rsid w:val="00856BE9"/>
    <w:rsid w:val="008578F8"/>
    <w:rsid w:val="00860566"/>
    <w:rsid w:val="0086165C"/>
    <w:rsid w:val="00861B26"/>
    <w:rsid w:val="00862EED"/>
    <w:rsid w:val="008643FC"/>
    <w:rsid w:val="008649B9"/>
    <w:rsid w:val="00866BE8"/>
    <w:rsid w:val="0086784F"/>
    <w:rsid w:val="00870394"/>
    <w:rsid w:val="0087073B"/>
    <w:rsid w:val="00873967"/>
    <w:rsid w:val="008770D4"/>
    <w:rsid w:val="0088127F"/>
    <w:rsid w:val="008815EF"/>
    <w:rsid w:val="00885273"/>
    <w:rsid w:val="00885F2C"/>
    <w:rsid w:val="00886386"/>
    <w:rsid w:val="0088701C"/>
    <w:rsid w:val="008877B0"/>
    <w:rsid w:val="00892AA5"/>
    <w:rsid w:val="0089499B"/>
    <w:rsid w:val="00894ACA"/>
    <w:rsid w:val="00894EC5"/>
    <w:rsid w:val="00896658"/>
    <w:rsid w:val="008967B5"/>
    <w:rsid w:val="008A03AC"/>
    <w:rsid w:val="008A345A"/>
    <w:rsid w:val="008A3DB9"/>
    <w:rsid w:val="008A6A5C"/>
    <w:rsid w:val="008A7316"/>
    <w:rsid w:val="008B0C4D"/>
    <w:rsid w:val="008B500A"/>
    <w:rsid w:val="008C1541"/>
    <w:rsid w:val="008C1610"/>
    <w:rsid w:val="008C2F1E"/>
    <w:rsid w:val="008C30E5"/>
    <w:rsid w:val="008C3B5B"/>
    <w:rsid w:val="008C409F"/>
    <w:rsid w:val="008C54B2"/>
    <w:rsid w:val="008C602D"/>
    <w:rsid w:val="008C6BCC"/>
    <w:rsid w:val="008D098D"/>
    <w:rsid w:val="008D135A"/>
    <w:rsid w:val="008D2205"/>
    <w:rsid w:val="008D2331"/>
    <w:rsid w:val="008D36CD"/>
    <w:rsid w:val="008D4380"/>
    <w:rsid w:val="008D48D1"/>
    <w:rsid w:val="008D6BE8"/>
    <w:rsid w:val="008E27E9"/>
    <w:rsid w:val="008F2BD2"/>
    <w:rsid w:val="008F2C49"/>
    <w:rsid w:val="008F36F0"/>
    <w:rsid w:val="008F7CFF"/>
    <w:rsid w:val="008F7ED1"/>
    <w:rsid w:val="009000CC"/>
    <w:rsid w:val="00901183"/>
    <w:rsid w:val="00901C8D"/>
    <w:rsid w:val="00903659"/>
    <w:rsid w:val="00904A4D"/>
    <w:rsid w:val="00905EE9"/>
    <w:rsid w:val="009065F4"/>
    <w:rsid w:val="009075A7"/>
    <w:rsid w:val="00907DFB"/>
    <w:rsid w:val="00910624"/>
    <w:rsid w:val="00910FBA"/>
    <w:rsid w:val="00911D39"/>
    <w:rsid w:val="00912B9F"/>
    <w:rsid w:val="00917C0F"/>
    <w:rsid w:val="0092040E"/>
    <w:rsid w:val="00920C6C"/>
    <w:rsid w:val="00921C6D"/>
    <w:rsid w:val="009227D9"/>
    <w:rsid w:val="00923C44"/>
    <w:rsid w:val="00927791"/>
    <w:rsid w:val="00930607"/>
    <w:rsid w:val="00930D0A"/>
    <w:rsid w:val="009329BA"/>
    <w:rsid w:val="0093304D"/>
    <w:rsid w:val="00934F10"/>
    <w:rsid w:val="00935FAA"/>
    <w:rsid w:val="00936939"/>
    <w:rsid w:val="0094053B"/>
    <w:rsid w:val="00941054"/>
    <w:rsid w:val="00942040"/>
    <w:rsid w:val="00942C9F"/>
    <w:rsid w:val="00945631"/>
    <w:rsid w:val="00947549"/>
    <w:rsid w:val="0095793C"/>
    <w:rsid w:val="0096045D"/>
    <w:rsid w:val="0096111E"/>
    <w:rsid w:val="00961125"/>
    <w:rsid w:val="00963362"/>
    <w:rsid w:val="00963BD1"/>
    <w:rsid w:val="00966B1F"/>
    <w:rsid w:val="0097116E"/>
    <w:rsid w:val="00974518"/>
    <w:rsid w:val="00975617"/>
    <w:rsid w:val="00980FE0"/>
    <w:rsid w:val="00990C3B"/>
    <w:rsid w:val="00991CBD"/>
    <w:rsid w:val="009928B7"/>
    <w:rsid w:val="0099321A"/>
    <w:rsid w:val="009947E8"/>
    <w:rsid w:val="009960B7"/>
    <w:rsid w:val="009972FE"/>
    <w:rsid w:val="009B0B67"/>
    <w:rsid w:val="009B536C"/>
    <w:rsid w:val="009B5C19"/>
    <w:rsid w:val="009B6496"/>
    <w:rsid w:val="009C01DA"/>
    <w:rsid w:val="009C1528"/>
    <w:rsid w:val="009C20CC"/>
    <w:rsid w:val="009C3558"/>
    <w:rsid w:val="009C562E"/>
    <w:rsid w:val="009C7531"/>
    <w:rsid w:val="009D1694"/>
    <w:rsid w:val="009D220C"/>
    <w:rsid w:val="009D221F"/>
    <w:rsid w:val="009E09F0"/>
    <w:rsid w:val="009E19E8"/>
    <w:rsid w:val="009E346F"/>
    <w:rsid w:val="009E377C"/>
    <w:rsid w:val="009E411C"/>
    <w:rsid w:val="009E458A"/>
    <w:rsid w:val="009E5316"/>
    <w:rsid w:val="009E5D7C"/>
    <w:rsid w:val="009E5DFC"/>
    <w:rsid w:val="009E735E"/>
    <w:rsid w:val="009F1789"/>
    <w:rsid w:val="009F2E3B"/>
    <w:rsid w:val="009F36D2"/>
    <w:rsid w:val="009F3B6B"/>
    <w:rsid w:val="009F4504"/>
    <w:rsid w:val="009F502C"/>
    <w:rsid w:val="009F603B"/>
    <w:rsid w:val="009F6987"/>
    <w:rsid w:val="009F720F"/>
    <w:rsid w:val="00A00162"/>
    <w:rsid w:val="00A010E7"/>
    <w:rsid w:val="00A01A17"/>
    <w:rsid w:val="00A01A60"/>
    <w:rsid w:val="00A076F9"/>
    <w:rsid w:val="00A07997"/>
    <w:rsid w:val="00A07F87"/>
    <w:rsid w:val="00A11027"/>
    <w:rsid w:val="00A16734"/>
    <w:rsid w:val="00A206ED"/>
    <w:rsid w:val="00A20806"/>
    <w:rsid w:val="00A20C7F"/>
    <w:rsid w:val="00A21D41"/>
    <w:rsid w:val="00A22DBA"/>
    <w:rsid w:val="00A2329D"/>
    <w:rsid w:val="00A25BFF"/>
    <w:rsid w:val="00A27522"/>
    <w:rsid w:val="00A27FC2"/>
    <w:rsid w:val="00A34D0C"/>
    <w:rsid w:val="00A34D76"/>
    <w:rsid w:val="00A365D0"/>
    <w:rsid w:val="00A402B8"/>
    <w:rsid w:val="00A4043E"/>
    <w:rsid w:val="00A40A1A"/>
    <w:rsid w:val="00A443A6"/>
    <w:rsid w:val="00A45A1A"/>
    <w:rsid w:val="00A45E61"/>
    <w:rsid w:val="00A47F32"/>
    <w:rsid w:val="00A53220"/>
    <w:rsid w:val="00A538E6"/>
    <w:rsid w:val="00A56102"/>
    <w:rsid w:val="00A56800"/>
    <w:rsid w:val="00A56D7E"/>
    <w:rsid w:val="00A57404"/>
    <w:rsid w:val="00A575BD"/>
    <w:rsid w:val="00A60EEC"/>
    <w:rsid w:val="00A65BD9"/>
    <w:rsid w:val="00A66718"/>
    <w:rsid w:val="00A70B31"/>
    <w:rsid w:val="00A73A74"/>
    <w:rsid w:val="00A759FE"/>
    <w:rsid w:val="00A76D67"/>
    <w:rsid w:val="00A776B8"/>
    <w:rsid w:val="00A81EB6"/>
    <w:rsid w:val="00A837FE"/>
    <w:rsid w:val="00A85357"/>
    <w:rsid w:val="00A902DD"/>
    <w:rsid w:val="00A91617"/>
    <w:rsid w:val="00A95EA1"/>
    <w:rsid w:val="00A96FA8"/>
    <w:rsid w:val="00A97595"/>
    <w:rsid w:val="00A9770A"/>
    <w:rsid w:val="00AA0187"/>
    <w:rsid w:val="00AA0A43"/>
    <w:rsid w:val="00AA0DD3"/>
    <w:rsid w:val="00AA1C07"/>
    <w:rsid w:val="00AA3688"/>
    <w:rsid w:val="00AA52EB"/>
    <w:rsid w:val="00AA5887"/>
    <w:rsid w:val="00AB19F8"/>
    <w:rsid w:val="00AB2A61"/>
    <w:rsid w:val="00AB3A12"/>
    <w:rsid w:val="00AB5A8D"/>
    <w:rsid w:val="00AB6642"/>
    <w:rsid w:val="00AC2EFE"/>
    <w:rsid w:val="00AC3930"/>
    <w:rsid w:val="00AC3AB1"/>
    <w:rsid w:val="00AC68C6"/>
    <w:rsid w:val="00AC79C1"/>
    <w:rsid w:val="00AC7CA4"/>
    <w:rsid w:val="00AD4A64"/>
    <w:rsid w:val="00AD598F"/>
    <w:rsid w:val="00AD6D09"/>
    <w:rsid w:val="00AE07DA"/>
    <w:rsid w:val="00AE098E"/>
    <w:rsid w:val="00AE0BBA"/>
    <w:rsid w:val="00AE1A6E"/>
    <w:rsid w:val="00AE2291"/>
    <w:rsid w:val="00AE25C8"/>
    <w:rsid w:val="00AE4113"/>
    <w:rsid w:val="00AE4380"/>
    <w:rsid w:val="00AE4D0C"/>
    <w:rsid w:val="00AE4FAC"/>
    <w:rsid w:val="00AE5525"/>
    <w:rsid w:val="00AE5FCC"/>
    <w:rsid w:val="00AE6381"/>
    <w:rsid w:val="00AE6550"/>
    <w:rsid w:val="00AE656F"/>
    <w:rsid w:val="00AE6866"/>
    <w:rsid w:val="00AE7D78"/>
    <w:rsid w:val="00AF41F6"/>
    <w:rsid w:val="00AF438E"/>
    <w:rsid w:val="00AF45CA"/>
    <w:rsid w:val="00AF5CEE"/>
    <w:rsid w:val="00AF72E5"/>
    <w:rsid w:val="00AF7506"/>
    <w:rsid w:val="00B007DD"/>
    <w:rsid w:val="00B0098A"/>
    <w:rsid w:val="00B01016"/>
    <w:rsid w:val="00B0146E"/>
    <w:rsid w:val="00B02160"/>
    <w:rsid w:val="00B027CB"/>
    <w:rsid w:val="00B0352B"/>
    <w:rsid w:val="00B073E6"/>
    <w:rsid w:val="00B074F8"/>
    <w:rsid w:val="00B121B0"/>
    <w:rsid w:val="00B17FAB"/>
    <w:rsid w:val="00B209A6"/>
    <w:rsid w:val="00B22C5F"/>
    <w:rsid w:val="00B23687"/>
    <w:rsid w:val="00B250AB"/>
    <w:rsid w:val="00B25710"/>
    <w:rsid w:val="00B27B03"/>
    <w:rsid w:val="00B31B62"/>
    <w:rsid w:val="00B3210E"/>
    <w:rsid w:val="00B33711"/>
    <w:rsid w:val="00B34889"/>
    <w:rsid w:val="00B37550"/>
    <w:rsid w:val="00B402C6"/>
    <w:rsid w:val="00B41DC1"/>
    <w:rsid w:val="00B46EC7"/>
    <w:rsid w:val="00B477E6"/>
    <w:rsid w:val="00B50A91"/>
    <w:rsid w:val="00B516B3"/>
    <w:rsid w:val="00B51761"/>
    <w:rsid w:val="00B52022"/>
    <w:rsid w:val="00B52187"/>
    <w:rsid w:val="00B53E07"/>
    <w:rsid w:val="00B54691"/>
    <w:rsid w:val="00B60CCD"/>
    <w:rsid w:val="00B627E6"/>
    <w:rsid w:val="00B62854"/>
    <w:rsid w:val="00B62EF1"/>
    <w:rsid w:val="00B640CC"/>
    <w:rsid w:val="00B645B6"/>
    <w:rsid w:val="00B64B2F"/>
    <w:rsid w:val="00B667BF"/>
    <w:rsid w:val="00B6797D"/>
    <w:rsid w:val="00B735B8"/>
    <w:rsid w:val="00B74858"/>
    <w:rsid w:val="00B752EB"/>
    <w:rsid w:val="00B77BE4"/>
    <w:rsid w:val="00B8089C"/>
    <w:rsid w:val="00B812BE"/>
    <w:rsid w:val="00B813D5"/>
    <w:rsid w:val="00B83758"/>
    <w:rsid w:val="00B86608"/>
    <w:rsid w:val="00B87847"/>
    <w:rsid w:val="00B90477"/>
    <w:rsid w:val="00B92AA5"/>
    <w:rsid w:val="00B93008"/>
    <w:rsid w:val="00B955FE"/>
    <w:rsid w:val="00B96744"/>
    <w:rsid w:val="00BA0B9F"/>
    <w:rsid w:val="00BA6419"/>
    <w:rsid w:val="00BA6550"/>
    <w:rsid w:val="00BB3642"/>
    <w:rsid w:val="00BB59F6"/>
    <w:rsid w:val="00BB66AB"/>
    <w:rsid w:val="00BC0AD6"/>
    <w:rsid w:val="00BC122E"/>
    <w:rsid w:val="00BC3584"/>
    <w:rsid w:val="00BD3316"/>
    <w:rsid w:val="00BE3E34"/>
    <w:rsid w:val="00BE4ED6"/>
    <w:rsid w:val="00BE54F3"/>
    <w:rsid w:val="00BE5F67"/>
    <w:rsid w:val="00BE7920"/>
    <w:rsid w:val="00BF1E46"/>
    <w:rsid w:val="00BF2CD1"/>
    <w:rsid w:val="00BF4B6A"/>
    <w:rsid w:val="00BF5135"/>
    <w:rsid w:val="00BF6D0A"/>
    <w:rsid w:val="00C00312"/>
    <w:rsid w:val="00C009F5"/>
    <w:rsid w:val="00C01129"/>
    <w:rsid w:val="00C02239"/>
    <w:rsid w:val="00C022E1"/>
    <w:rsid w:val="00C0398D"/>
    <w:rsid w:val="00C071AC"/>
    <w:rsid w:val="00C11E4C"/>
    <w:rsid w:val="00C14954"/>
    <w:rsid w:val="00C179B0"/>
    <w:rsid w:val="00C20CA6"/>
    <w:rsid w:val="00C226F9"/>
    <w:rsid w:val="00C23398"/>
    <w:rsid w:val="00C23B23"/>
    <w:rsid w:val="00C26C22"/>
    <w:rsid w:val="00C27B03"/>
    <w:rsid w:val="00C3089B"/>
    <w:rsid w:val="00C34B40"/>
    <w:rsid w:val="00C34EDA"/>
    <w:rsid w:val="00C35836"/>
    <w:rsid w:val="00C41CD3"/>
    <w:rsid w:val="00C43438"/>
    <w:rsid w:val="00C44264"/>
    <w:rsid w:val="00C454EC"/>
    <w:rsid w:val="00C46251"/>
    <w:rsid w:val="00C4790F"/>
    <w:rsid w:val="00C47FC0"/>
    <w:rsid w:val="00C528CC"/>
    <w:rsid w:val="00C53ABD"/>
    <w:rsid w:val="00C53AD3"/>
    <w:rsid w:val="00C53C94"/>
    <w:rsid w:val="00C57741"/>
    <w:rsid w:val="00C6074F"/>
    <w:rsid w:val="00C62568"/>
    <w:rsid w:val="00C62AA0"/>
    <w:rsid w:val="00C64143"/>
    <w:rsid w:val="00C6434D"/>
    <w:rsid w:val="00C652E5"/>
    <w:rsid w:val="00C67446"/>
    <w:rsid w:val="00C749A5"/>
    <w:rsid w:val="00C7697F"/>
    <w:rsid w:val="00C770CD"/>
    <w:rsid w:val="00C8136C"/>
    <w:rsid w:val="00C82FFA"/>
    <w:rsid w:val="00C85521"/>
    <w:rsid w:val="00C863EE"/>
    <w:rsid w:val="00C92646"/>
    <w:rsid w:val="00C9316A"/>
    <w:rsid w:val="00C93B5E"/>
    <w:rsid w:val="00C95D8D"/>
    <w:rsid w:val="00C97C7F"/>
    <w:rsid w:val="00CA2283"/>
    <w:rsid w:val="00CA2AEF"/>
    <w:rsid w:val="00CA325F"/>
    <w:rsid w:val="00CA33B8"/>
    <w:rsid w:val="00CB1582"/>
    <w:rsid w:val="00CB22B7"/>
    <w:rsid w:val="00CB31DA"/>
    <w:rsid w:val="00CB5032"/>
    <w:rsid w:val="00CB7DF6"/>
    <w:rsid w:val="00CC303F"/>
    <w:rsid w:val="00CC3C96"/>
    <w:rsid w:val="00CD077C"/>
    <w:rsid w:val="00CD342A"/>
    <w:rsid w:val="00CD3940"/>
    <w:rsid w:val="00CD7215"/>
    <w:rsid w:val="00CE6A0B"/>
    <w:rsid w:val="00CF0950"/>
    <w:rsid w:val="00CF3B07"/>
    <w:rsid w:val="00CF4C13"/>
    <w:rsid w:val="00CF6384"/>
    <w:rsid w:val="00CF6902"/>
    <w:rsid w:val="00D004A0"/>
    <w:rsid w:val="00D06B27"/>
    <w:rsid w:val="00D06E88"/>
    <w:rsid w:val="00D10CCF"/>
    <w:rsid w:val="00D11F90"/>
    <w:rsid w:val="00D13527"/>
    <w:rsid w:val="00D15E4E"/>
    <w:rsid w:val="00D17601"/>
    <w:rsid w:val="00D20D6E"/>
    <w:rsid w:val="00D21300"/>
    <w:rsid w:val="00D22F7B"/>
    <w:rsid w:val="00D230DC"/>
    <w:rsid w:val="00D253C0"/>
    <w:rsid w:val="00D26C9A"/>
    <w:rsid w:val="00D3012C"/>
    <w:rsid w:val="00D303E8"/>
    <w:rsid w:val="00D31BA6"/>
    <w:rsid w:val="00D335E1"/>
    <w:rsid w:val="00D340CC"/>
    <w:rsid w:val="00D3545E"/>
    <w:rsid w:val="00D35FEA"/>
    <w:rsid w:val="00D366E4"/>
    <w:rsid w:val="00D423AC"/>
    <w:rsid w:val="00D42C71"/>
    <w:rsid w:val="00D42FA5"/>
    <w:rsid w:val="00D437F0"/>
    <w:rsid w:val="00D44DC6"/>
    <w:rsid w:val="00D514E5"/>
    <w:rsid w:val="00D53589"/>
    <w:rsid w:val="00D539D5"/>
    <w:rsid w:val="00D544D5"/>
    <w:rsid w:val="00D56AE8"/>
    <w:rsid w:val="00D57B43"/>
    <w:rsid w:val="00D602DE"/>
    <w:rsid w:val="00D6096A"/>
    <w:rsid w:val="00D60ABE"/>
    <w:rsid w:val="00D60CE5"/>
    <w:rsid w:val="00D60D67"/>
    <w:rsid w:val="00D61811"/>
    <w:rsid w:val="00D63F9F"/>
    <w:rsid w:val="00D646D3"/>
    <w:rsid w:val="00D662F2"/>
    <w:rsid w:val="00D665F1"/>
    <w:rsid w:val="00D6711E"/>
    <w:rsid w:val="00D676B9"/>
    <w:rsid w:val="00D73B08"/>
    <w:rsid w:val="00D80127"/>
    <w:rsid w:val="00D804E2"/>
    <w:rsid w:val="00D805D1"/>
    <w:rsid w:val="00D81F0F"/>
    <w:rsid w:val="00D82FD7"/>
    <w:rsid w:val="00D84FA6"/>
    <w:rsid w:val="00D85C5F"/>
    <w:rsid w:val="00D85ECC"/>
    <w:rsid w:val="00D864C7"/>
    <w:rsid w:val="00D86EB7"/>
    <w:rsid w:val="00D92B5E"/>
    <w:rsid w:val="00D93388"/>
    <w:rsid w:val="00D95457"/>
    <w:rsid w:val="00D97A7B"/>
    <w:rsid w:val="00D97DCE"/>
    <w:rsid w:val="00DA1259"/>
    <w:rsid w:val="00DA1AAD"/>
    <w:rsid w:val="00DA1E08"/>
    <w:rsid w:val="00DA4A52"/>
    <w:rsid w:val="00DA4FBC"/>
    <w:rsid w:val="00DA5F83"/>
    <w:rsid w:val="00DA7457"/>
    <w:rsid w:val="00DB1083"/>
    <w:rsid w:val="00DB2995"/>
    <w:rsid w:val="00DB2ED0"/>
    <w:rsid w:val="00DB2FF0"/>
    <w:rsid w:val="00DB38F0"/>
    <w:rsid w:val="00DB3EE8"/>
    <w:rsid w:val="00DB4701"/>
    <w:rsid w:val="00DB59C0"/>
    <w:rsid w:val="00DC0146"/>
    <w:rsid w:val="00DC03EE"/>
    <w:rsid w:val="00DC36B8"/>
    <w:rsid w:val="00DC53F2"/>
    <w:rsid w:val="00DC6B01"/>
    <w:rsid w:val="00DC7797"/>
    <w:rsid w:val="00DD078A"/>
    <w:rsid w:val="00DD1737"/>
    <w:rsid w:val="00DD34E1"/>
    <w:rsid w:val="00DD4E64"/>
    <w:rsid w:val="00DD7667"/>
    <w:rsid w:val="00DD777C"/>
    <w:rsid w:val="00DE0D2F"/>
    <w:rsid w:val="00DE0D75"/>
    <w:rsid w:val="00DE19EB"/>
    <w:rsid w:val="00DE5B0F"/>
    <w:rsid w:val="00DF0FE3"/>
    <w:rsid w:val="00DF2CB1"/>
    <w:rsid w:val="00DF44DF"/>
    <w:rsid w:val="00DF69F9"/>
    <w:rsid w:val="00E02579"/>
    <w:rsid w:val="00E02B50"/>
    <w:rsid w:val="00E04B3F"/>
    <w:rsid w:val="00E060C1"/>
    <w:rsid w:val="00E06B1E"/>
    <w:rsid w:val="00E07787"/>
    <w:rsid w:val="00E10AAF"/>
    <w:rsid w:val="00E147D5"/>
    <w:rsid w:val="00E14C0E"/>
    <w:rsid w:val="00E1512F"/>
    <w:rsid w:val="00E16642"/>
    <w:rsid w:val="00E1787C"/>
    <w:rsid w:val="00E2249E"/>
    <w:rsid w:val="00E22B76"/>
    <w:rsid w:val="00E234F1"/>
    <w:rsid w:val="00E24E3A"/>
    <w:rsid w:val="00E25AF8"/>
    <w:rsid w:val="00E26C55"/>
    <w:rsid w:val="00E26F6C"/>
    <w:rsid w:val="00E31BD0"/>
    <w:rsid w:val="00E34CA3"/>
    <w:rsid w:val="00E35C4A"/>
    <w:rsid w:val="00E37DA6"/>
    <w:rsid w:val="00E37FE3"/>
    <w:rsid w:val="00E43AAA"/>
    <w:rsid w:val="00E4499B"/>
    <w:rsid w:val="00E44C62"/>
    <w:rsid w:val="00E47D8C"/>
    <w:rsid w:val="00E54EF2"/>
    <w:rsid w:val="00E556B2"/>
    <w:rsid w:val="00E608FA"/>
    <w:rsid w:val="00E60DC5"/>
    <w:rsid w:val="00E63559"/>
    <w:rsid w:val="00E67180"/>
    <w:rsid w:val="00E676E2"/>
    <w:rsid w:val="00E74FA5"/>
    <w:rsid w:val="00E756A8"/>
    <w:rsid w:val="00E76032"/>
    <w:rsid w:val="00E768F2"/>
    <w:rsid w:val="00E77E9E"/>
    <w:rsid w:val="00E81DED"/>
    <w:rsid w:val="00E82316"/>
    <w:rsid w:val="00E825B3"/>
    <w:rsid w:val="00E849DE"/>
    <w:rsid w:val="00E85948"/>
    <w:rsid w:val="00E86536"/>
    <w:rsid w:val="00E9167E"/>
    <w:rsid w:val="00E922A4"/>
    <w:rsid w:val="00E925CE"/>
    <w:rsid w:val="00E93F3F"/>
    <w:rsid w:val="00EA05D9"/>
    <w:rsid w:val="00EA1104"/>
    <w:rsid w:val="00EA5257"/>
    <w:rsid w:val="00EA59B6"/>
    <w:rsid w:val="00EA6C00"/>
    <w:rsid w:val="00EB0433"/>
    <w:rsid w:val="00EB1B8B"/>
    <w:rsid w:val="00EB3C54"/>
    <w:rsid w:val="00EB4951"/>
    <w:rsid w:val="00EC098E"/>
    <w:rsid w:val="00EC0BCB"/>
    <w:rsid w:val="00EC0E71"/>
    <w:rsid w:val="00EC1E85"/>
    <w:rsid w:val="00EC733A"/>
    <w:rsid w:val="00ED613A"/>
    <w:rsid w:val="00ED6CFA"/>
    <w:rsid w:val="00ED6D53"/>
    <w:rsid w:val="00ED747A"/>
    <w:rsid w:val="00EE1855"/>
    <w:rsid w:val="00EE2B68"/>
    <w:rsid w:val="00EE3733"/>
    <w:rsid w:val="00EE6D70"/>
    <w:rsid w:val="00EF1386"/>
    <w:rsid w:val="00EF2491"/>
    <w:rsid w:val="00EF256B"/>
    <w:rsid w:val="00EF5277"/>
    <w:rsid w:val="00EF557D"/>
    <w:rsid w:val="00EF5CAD"/>
    <w:rsid w:val="00EF611F"/>
    <w:rsid w:val="00EF76E1"/>
    <w:rsid w:val="00F00A2E"/>
    <w:rsid w:val="00F10012"/>
    <w:rsid w:val="00F1030E"/>
    <w:rsid w:val="00F10925"/>
    <w:rsid w:val="00F12F6C"/>
    <w:rsid w:val="00F13DAE"/>
    <w:rsid w:val="00F157D8"/>
    <w:rsid w:val="00F201AD"/>
    <w:rsid w:val="00F20610"/>
    <w:rsid w:val="00F21481"/>
    <w:rsid w:val="00F21B21"/>
    <w:rsid w:val="00F222BB"/>
    <w:rsid w:val="00F2491A"/>
    <w:rsid w:val="00F24EF6"/>
    <w:rsid w:val="00F254E4"/>
    <w:rsid w:val="00F26F5D"/>
    <w:rsid w:val="00F2720E"/>
    <w:rsid w:val="00F35D19"/>
    <w:rsid w:val="00F3756B"/>
    <w:rsid w:val="00F41269"/>
    <w:rsid w:val="00F41319"/>
    <w:rsid w:val="00F4432E"/>
    <w:rsid w:val="00F44B13"/>
    <w:rsid w:val="00F45BE7"/>
    <w:rsid w:val="00F463D7"/>
    <w:rsid w:val="00F50163"/>
    <w:rsid w:val="00F510E2"/>
    <w:rsid w:val="00F515F1"/>
    <w:rsid w:val="00F5273A"/>
    <w:rsid w:val="00F52D6B"/>
    <w:rsid w:val="00F52E18"/>
    <w:rsid w:val="00F546FB"/>
    <w:rsid w:val="00F55335"/>
    <w:rsid w:val="00F55CF7"/>
    <w:rsid w:val="00F57D1C"/>
    <w:rsid w:val="00F6086A"/>
    <w:rsid w:val="00F6169B"/>
    <w:rsid w:val="00F6170C"/>
    <w:rsid w:val="00F62824"/>
    <w:rsid w:val="00F62D7C"/>
    <w:rsid w:val="00F634C8"/>
    <w:rsid w:val="00F67155"/>
    <w:rsid w:val="00F7058F"/>
    <w:rsid w:val="00F70D21"/>
    <w:rsid w:val="00F70FEF"/>
    <w:rsid w:val="00F74F3A"/>
    <w:rsid w:val="00F75C02"/>
    <w:rsid w:val="00F77ECB"/>
    <w:rsid w:val="00F81E47"/>
    <w:rsid w:val="00F824EF"/>
    <w:rsid w:val="00F84408"/>
    <w:rsid w:val="00F86474"/>
    <w:rsid w:val="00F868B4"/>
    <w:rsid w:val="00F8730A"/>
    <w:rsid w:val="00F9016F"/>
    <w:rsid w:val="00F90601"/>
    <w:rsid w:val="00F95232"/>
    <w:rsid w:val="00FA78FD"/>
    <w:rsid w:val="00FB11BE"/>
    <w:rsid w:val="00FB1357"/>
    <w:rsid w:val="00FB1B56"/>
    <w:rsid w:val="00FB27F1"/>
    <w:rsid w:val="00FB4C6F"/>
    <w:rsid w:val="00FC5E76"/>
    <w:rsid w:val="00FC69CF"/>
    <w:rsid w:val="00FC7214"/>
    <w:rsid w:val="00FD0B70"/>
    <w:rsid w:val="00FD11B8"/>
    <w:rsid w:val="00FD1440"/>
    <w:rsid w:val="00FD1489"/>
    <w:rsid w:val="00FD17D7"/>
    <w:rsid w:val="00FD2DA9"/>
    <w:rsid w:val="00FD35FA"/>
    <w:rsid w:val="00FD59F1"/>
    <w:rsid w:val="00FD6129"/>
    <w:rsid w:val="00FD6FE2"/>
    <w:rsid w:val="00FD74CB"/>
    <w:rsid w:val="00FD7543"/>
    <w:rsid w:val="00FD7BF5"/>
    <w:rsid w:val="00FE185C"/>
    <w:rsid w:val="00FE3C5F"/>
    <w:rsid w:val="00FE401B"/>
    <w:rsid w:val="00FE4705"/>
    <w:rsid w:val="00FE557C"/>
    <w:rsid w:val="00FF4C3A"/>
    <w:rsid w:val="00FF62F4"/>
    <w:rsid w:val="00FF65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A2E"/>
    <w:pPr>
      <w:tabs>
        <w:tab w:val="left" w:pos="567"/>
      </w:tabs>
      <w:spacing w:line="260" w:lineRule="exact"/>
    </w:pPr>
    <w:rPr>
      <w:snapToGrid w:val="0"/>
      <w:sz w:val="22"/>
      <w:lang w:val="en-GB" w:eastAsia="en-US"/>
    </w:rPr>
  </w:style>
  <w:style w:type="paragraph" w:styleId="3">
    <w:name w:val="heading 3"/>
    <w:basedOn w:val="a"/>
    <w:next w:val="a"/>
    <w:link w:val="3Char"/>
    <w:semiHidden/>
    <w:unhideWhenUsed/>
    <w:qFormat/>
    <w:rsid w:val="00AE1A6E"/>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Char"/>
    <w:uiPriority w:val="9"/>
    <w:qFormat/>
    <w:rsid w:val="00C454EC"/>
    <w:pPr>
      <w:keepNext/>
      <w:widowControl w:val="0"/>
      <w:tabs>
        <w:tab w:val="left" w:pos="-720"/>
        <w:tab w:val="left" w:pos="4536"/>
      </w:tabs>
      <w:suppressAutoHyphens/>
      <w:spacing w:line="-260" w:lineRule="auto"/>
      <w:jc w:val="both"/>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link w:val="7"/>
    <w:uiPriority w:val="9"/>
    <w:rsid w:val="00F00A2E"/>
    <w:rPr>
      <w:rFonts w:ascii="Calibri" w:hAnsi="Calibri"/>
      <w:snapToGrid w:val="0"/>
      <w:sz w:val="24"/>
      <w:szCs w:val="24"/>
      <w:lang w:val="en-GB"/>
    </w:rPr>
  </w:style>
  <w:style w:type="paragraph" w:styleId="a3">
    <w:name w:val="footer"/>
    <w:basedOn w:val="a"/>
    <w:link w:val="Char"/>
    <w:uiPriority w:val="99"/>
    <w:rsid w:val="00C454EC"/>
    <w:pPr>
      <w:tabs>
        <w:tab w:val="center" w:pos="4536"/>
        <w:tab w:val="right" w:pos="8306"/>
      </w:tabs>
    </w:pPr>
  </w:style>
  <w:style w:type="character" w:customStyle="1" w:styleId="Char">
    <w:name w:val="Υποσέλιδο Char"/>
    <w:link w:val="a3"/>
    <w:uiPriority w:val="99"/>
    <w:rsid w:val="00F00A2E"/>
    <w:rPr>
      <w:snapToGrid w:val="0"/>
      <w:sz w:val="22"/>
      <w:lang w:val="en-GB"/>
    </w:rPr>
  </w:style>
  <w:style w:type="paragraph" w:styleId="a4">
    <w:name w:val="header"/>
    <w:basedOn w:val="a"/>
    <w:link w:val="Char0"/>
    <w:uiPriority w:val="99"/>
    <w:rsid w:val="00C454EC"/>
    <w:pPr>
      <w:tabs>
        <w:tab w:val="center" w:pos="4153"/>
        <w:tab w:val="right" w:pos="8306"/>
      </w:tabs>
    </w:pPr>
  </w:style>
  <w:style w:type="character" w:customStyle="1" w:styleId="Char0">
    <w:name w:val="Κεφαλίδα Char"/>
    <w:link w:val="a4"/>
    <w:uiPriority w:val="99"/>
    <w:rsid w:val="00F00A2E"/>
    <w:rPr>
      <w:snapToGrid w:val="0"/>
      <w:sz w:val="22"/>
      <w:lang w:val="en-GB"/>
    </w:rPr>
  </w:style>
  <w:style w:type="character" w:styleId="a5">
    <w:name w:val="page number"/>
    <w:uiPriority w:val="99"/>
    <w:rsid w:val="00F00A2E"/>
    <w:rPr>
      <w:rFonts w:cs="Times New Roman"/>
    </w:rPr>
  </w:style>
  <w:style w:type="character" w:styleId="-">
    <w:name w:val="Hyperlink"/>
    <w:uiPriority w:val="99"/>
    <w:rsid w:val="00F00A2E"/>
    <w:rPr>
      <w:color w:val="0000FF"/>
      <w:u w:val="single"/>
    </w:rPr>
  </w:style>
  <w:style w:type="paragraph" w:customStyle="1" w:styleId="EMEAEnBodyText">
    <w:name w:val="EMEA En Body Text"/>
    <w:basedOn w:val="a"/>
    <w:rsid w:val="00F00A2E"/>
    <w:pPr>
      <w:tabs>
        <w:tab w:val="clear" w:pos="567"/>
      </w:tabs>
      <w:spacing w:before="120" w:after="120" w:line="240" w:lineRule="auto"/>
      <w:jc w:val="both"/>
    </w:pPr>
    <w:rPr>
      <w:lang w:val="en-US"/>
    </w:rPr>
  </w:style>
  <w:style w:type="paragraph" w:customStyle="1" w:styleId="BodytextAgency">
    <w:name w:val="Body text (Agency)"/>
    <w:basedOn w:val="a"/>
    <w:rsid w:val="00F00A2E"/>
    <w:pPr>
      <w:tabs>
        <w:tab w:val="clear" w:pos="567"/>
      </w:tabs>
      <w:spacing w:after="140" w:line="280" w:lineRule="atLeast"/>
    </w:pPr>
    <w:rPr>
      <w:rFonts w:ascii="Verdana" w:hAnsi="Verdana"/>
      <w:sz w:val="18"/>
    </w:rPr>
  </w:style>
  <w:style w:type="paragraph" w:customStyle="1" w:styleId="NormalAgency">
    <w:name w:val="Normal (Agency)"/>
    <w:rsid w:val="00F00A2E"/>
    <w:rPr>
      <w:rFonts w:ascii="Verdana" w:hAnsi="Verdana"/>
      <w:snapToGrid w:val="0"/>
      <w:sz w:val="18"/>
      <w:lang w:val="en-GB" w:eastAsia="en-US"/>
    </w:rPr>
  </w:style>
  <w:style w:type="paragraph" w:customStyle="1" w:styleId="TabletextrowsAgency">
    <w:name w:val="Table text rows (Agency)"/>
    <w:basedOn w:val="a"/>
    <w:rsid w:val="00F00A2E"/>
    <w:pPr>
      <w:tabs>
        <w:tab w:val="clear" w:pos="567"/>
      </w:tabs>
      <w:spacing w:line="280" w:lineRule="exact"/>
    </w:pPr>
    <w:rPr>
      <w:rFonts w:ascii="Verdana" w:hAnsi="Verdana"/>
      <w:sz w:val="18"/>
    </w:rPr>
  </w:style>
  <w:style w:type="character" w:customStyle="1" w:styleId="hps">
    <w:name w:val="hps"/>
    <w:rsid w:val="00F00A2E"/>
  </w:style>
  <w:style w:type="character" w:customStyle="1" w:styleId="tw4winMark">
    <w:name w:val="tw4winMark"/>
    <w:uiPriority w:val="99"/>
    <w:rsid w:val="00C454EC"/>
    <w:rPr>
      <w:rFonts w:ascii="Courier New" w:hAnsi="Courier New"/>
      <w:vanish/>
      <w:color w:val="800080"/>
      <w:vertAlign w:val="subscript"/>
    </w:rPr>
  </w:style>
  <w:style w:type="character" w:customStyle="1" w:styleId="tw4winError">
    <w:name w:val="tw4winError"/>
    <w:uiPriority w:val="99"/>
    <w:rsid w:val="00F00A2E"/>
    <w:rPr>
      <w:rFonts w:ascii="Courier New" w:hAnsi="Courier New"/>
      <w:color w:val="00FF00"/>
      <w:sz w:val="40"/>
    </w:rPr>
  </w:style>
  <w:style w:type="character" w:customStyle="1" w:styleId="tw4winTerm">
    <w:name w:val="tw4winTerm"/>
    <w:uiPriority w:val="99"/>
    <w:rsid w:val="00F00A2E"/>
    <w:rPr>
      <w:color w:val="0000FF"/>
    </w:rPr>
  </w:style>
  <w:style w:type="character" w:customStyle="1" w:styleId="tw4winPopup">
    <w:name w:val="tw4winPopup"/>
    <w:uiPriority w:val="99"/>
    <w:rsid w:val="00F00A2E"/>
    <w:rPr>
      <w:rFonts w:ascii="Courier New" w:hAnsi="Courier New"/>
      <w:noProof/>
      <w:color w:val="008000"/>
    </w:rPr>
  </w:style>
  <w:style w:type="character" w:customStyle="1" w:styleId="tw4winJump">
    <w:name w:val="tw4winJump"/>
    <w:uiPriority w:val="99"/>
    <w:rsid w:val="00F00A2E"/>
    <w:rPr>
      <w:rFonts w:ascii="Courier New" w:hAnsi="Courier New"/>
      <w:noProof/>
      <w:color w:val="008080"/>
    </w:rPr>
  </w:style>
  <w:style w:type="character" w:customStyle="1" w:styleId="tw4winExternal">
    <w:name w:val="tw4winExternal"/>
    <w:uiPriority w:val="99"/>
    <w:rsid w:val="00F00A2E"/>
    <w:rPr>
      <w:rFonts w:ascii="Courier New" w:hAnsi="Courier New"/>
      <w:noProof/>
      <w:color w:val="808080"/>
    </w:rPr>
  </w:style>
  <w:style w:type="character" w:customStyle="1" w:styleId="tw4winInternal">
    <w:name w:val="tw4winInternal"/>
    <w:uiPriority w:val="99"/>
    <w:rsid w:val="00F00A2E"/>
    <w:rPr>
      <w:rFonts w:ascii="Courier New" w:hAnsi="Courier New"/>
      <w:noProof/>
      <w:color w:val="FF0000"/>
    </w:rPr>
  </w:style>
  <w:style w:type="character" w:customStyle="1" w:styleId="DONOTTRANSLATE">
    <w:name w:val="DO_NOT_TRANSLATE"/>
    <w:uiPriority w:val="99"/>
    <w:rsid w:val="00F00A2E"/>
    <w:rPr>
      <w:rFonts w:ascii="Courier New" w:hAnsi="Courier New"/>
      <w:noProof/>
      <w:color w:val="800000"/>
    </w:rPr>
  </w:style>
  <w:style w:type="paragraph" w:styleId="a6">
    <w:name w:val="Balloon Text"/>
    <w:basedOn w:val="a"/>
    <w:link w:val="Char1"/>
    <w:rsid w:val="00D60D67"/>
    <w:pPr>
      <w:spacing w:line="240" w:lineRule="auto"/>
    </w:pPr>
    <w:rPr>
      <w:rFonts w:ascii="Tahoma" w:hAnsi="Tahoma"/>
      <w:sz w:val="16"/>
      <w:szCs w:val="16"/>
    </w:rPr>
  </w:style>
  <w:style w:type="character" w:customStyle="1" w:styleId="Char1">
    <w:name w:val="Κείμενο πλαισίου Char"/>
    <w:link w:val="a6"/>
    <w:rsid w:val="00D60D67"/>
    <w:rPr>
      <w:rFonts w:ascii="Tahoma" w:hAnsi="Tahoma" w:cs="Tahoma"/>
      <w:snapToGrid w:val="0"/>
      <w:sz w:val="16"/>
      <w:szCs w:val="16"/>
      <w:lang w:val="en-GB" w:eastAsia="en-US"/>
    </w:rPr>
  </w:style>
  <w:style w:type="character" w:customStyle="1" w:styleId="shorttext">
    <w:name w:val="short_text"/>
    <w:rsid w:val="00C454EC"/>
  </w:style>
  <w:style w:type="paragraph" w:styleId="a7">
    <w:name w:val="Revision"/>
    <w:hidden/>
    <w:uiPriority w:val="99"/>
    <w:semiHidden/>
    <w:rsid w:val="00C454EC"/>
    <w:rPr>
      <w:snapToGrid w:val="0"/>
      <w:sz w:val="22"/>
      <w:lang w:val="en-GB" w:eastAsia="en-US"/>
    </w:rPr>
  </w:style>
  <w:style w:type="character" w:customStyle="1" w:styleId="3Char">
    <w:name w:val="Επικεφαλίδα 3 Char"/>
    <w:basedOn w:val="a0"/>
    <w:link w:val="3"/>
    <w:semiHidden/>
    <w:rsid w:val="00AE1A6E"/>
    <w:rPr>
      <w:rFonts w:asciiTheme="majorHAnsi" w:eastAsiaTheme="majorEastAsia" w:hAnsiTheme="majorHAnsi" w:cstheme="majorBidi"/>
      <w:b/>
      <w:bCs/>
      <w:snapToGrid w:val="0"/>
      <w:color w:val="4F81BD" w:themeColor="accent1"/>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tabs>
        <w:tab w:val="left" w:pos="567"/>
      </w:tabs>
      <w:spacing w:line="260" w:lineRule="exact"/>
    </w:pPr>
    <w:rPr>
      <w:snapToGrid w:val="0"/>
      <w:sz w:val="22"/>
      <w:lang w:val="en-GB" w:eastAsia="en-US"/>
    </w:rPr>
  </w:style>
  <w:style w:type="paragraph" w:styleId="3">
    <w:name w:val="heading 3"/>
    <w:basedOn w:val="a"/>
    <w:next w:val="a"/>
    <w:link w:val="3Char"/>
    <w:semiHidden/>
    <w:unhideWhenUsed/>
    <w:qFormat/>
    <w:rsid w:val="00AE1A6E"/>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Char"/>
    <w:uiPriority w:val="9"/>
    <w:qFormat/>
    <w:rsid w:val="00C454EC"/>
    <w:pPr>
      <w:keepNext/>
      <w:widowControl w:val="0"/>
      <w:tabs>
        <w:tab w:val="left" w:pos="-720"/>
        <w:tab w:val="left" w:pos="4536"/>
      </w:tabs>
      <w:suppressAutoHyphens/>
      <w:spacing w:line="-260" w:lineRule="auto"/>
      <w:jc w:val="both"/>
      <w:outlineLvl w:val="6"/>
    </w:pPr>
    <w:rPr>
      <w:rFonts w:ascii="Calibri" w:hAnsi="Calibri"/>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link w:val="7"/>
    <w:uiPriority w:val="9"/>
    <w:rPr>
      <w:rFonts w:ascii="Calibri" w:hAnsi="Calibri"/>
      <w:snapToGrid w:val="0"/>
      <w:sz w:val="24"/>
      <w:szCs w:val="24"/>
      <w:lang w:val="en-GB" w:eastAsia="x-none"/>
    </w:rPr>
  </w:style>
  <w:style w:type="paragraph" w:styleId="a3">
    <w:name w:val="footer"/>
    <w:basedOn w:val="a"/>
    <w:link w:val="Char"/>
    <w:uiPriority w:val="99"/>
    <w:rsid w:val="00C454EC"/>
    <w:pPr>
      <w:tabs>
        <w:tab w:val="center" w:pos="4536"/>
        <w:tab w:val="right" w:pos="8306"/>
      </w:tabs>
    </w:pPr>
    <w:rPr>
      <w:lang w:eastAsia="x-none"/>
    </w:rPr>
  </w:style>
  <w:style w:type="character" w:customStyle="1" w:styleId="Char">
    <w:name w:val="Υποσέλιδο Char"/>
    <w:link w:val="a3"/>
    <w:uiPriority w:val="99"/>
    <w:rPr>
      <w:snapToGrid w:val="0"/>
      <w:sz w:val="22"/>
      <w:lang w:val="en-GB" w:eastAsia="x-none"/>
    </w:rPr>
  </w:style>
  <w:style w:type="paragraph" w:styleId="a4">
    <w:name w:val="header"/>
    <w:basedOn w:val="a"/>
    <w:link w:val="Char0"/>
    <w:uiPriority w:val="99"/>
    <w:rsid w:val="00C454EC"/>
    <w:pPr>
      <w:tabs>
        <w:tab w:val="center" w:pos="4153"/>
        <w:tab w:val="right" w:pos="8306"/>
      </w:tabs>
    </w:pPr>
    <w:rPr>
      <w:lang w:eastAsia="x-none"/>
    </w:rPr>
  </w:style>
  <w:style w:type="character" w:customStyle="1" w:styleId="Char0">
    <w:name w:val="Κεφαλίδα Char"/>
    <w:link w:val="a4"/>
    <w:uiPriority w:val="99"/>
    <w:rPr>
      <w:snapToGrid w:val="0"/>
      <w:sz w:val="22"/>
      <w:lang w:val="en-GB" w:eastAsia="x-none"/>
    </w:rPr>
  </w:style>
  <w:style w:type="character" w:styleId="a5">
    <w:name w:val="page number"/>
    <w:uiPriority w:val="99"/>
    <w:rPr>
      <w:rFonts w:cs="Times New Roman"/>
    </w:rPr>
  </w:style>
  <w:style w:type="character" w:styleId="-">
    <w:name w:val="Hyperlink"/>
    <w:uiPriority w:val="99"/>
    <w:rPr>
      <w:color w:val="0000FF"/>
      <w:u w:val="single"/>
    </w:rPr>
  </w:style>
  <w:style w:type="paragraph" w:customStyle="1" w:styleId="EMEAEnBodyText">
    <w:name w:val="EMEA En Body Text"/>
    <w:basedOn w:val="a"/>
    <w:pPr>
      <w:tabs>
        <w:tab w:val="clear" w:pos="567"/>
      </w:tabs>
      <w:spacing w:before="120" w:after="120" w:line="240" w:lineRule="auto"/>
      <w:jc w:val="both"/>
    </w:pPr>
    <w:rPr>
      <w:lang w:val="en-US"/>
    </w:rPr>
  </w:style>
  <w:style w:type="paragraph" w:customStyle="1" w:styleId="BodytextAgency">
    <w:name w:val="Body text (Agency)"/>
    <w:basedOn w:val="a"/>
    <w:pPr>
      <w:tabs>
        <w:tab w:val="clear" w:pos="567"/>
      </w:tabs>
      <w:spacing w:after="140" w:line="280" w:lineRule="atLeast"/>
    </w:pPr>
    <w:rPr>
      <w:rFonts w:ascii="Verdana" w:hAnsi="Verdana"/>
      <w:sz w:val="18"/>
    </w:rPr>
  </w:style>
  <w:style w:type="paragraph" w:customStyle="1" w:styleId="NormalAgency">
    <w:name w:val="Normal (Agency)"/>
    <w:rPr>
      <w:rFonts w:ascii="Verdana" w:hAnsi="Verdana"/>
      <w:snapToGrid w:val="0"/>
      <w:sz w:val="18"/>
      <w:lang w:val="en-GB" w:eastAsia="en-US"/>
    </w:rPr>
  </w:style>
  <w:style w:type="paragraph" w:customStyle="1" w:styleId="TabletextrowsAgency">
    <w:name w:val="Table text rows (Agency)"/>
    <w:basedOn w:val="a"/>
    <w:pPr>
      <w:tabs>
        <w:tab w:val="clear" w:pos="567"/>
      </w:tabs>
      <w:spacing w:line="280" w:lineRule="exact"/>
    </w:pPr>
    <w:rPr>
      <w:rFonts w:ascii="Verdana" w:hAnsi="Verdana"/>
      <w:sz w:val="18"/>
    </w:rPr>
  </w:style>
  <w:style w:type="character" w:customStyle="1" w:styleId="hps">
    <w:name w:val="hps"/>
  </w:style>
  <w:style w:type="character" w:customStyle="1" w:styleId="tw4winMark">
    <w:name w:val="tw4winMark"/>
    <w:uiPriority w:val="99"/>
    <w:rsid w:val="00C454EC"/>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a6">
    <w:name w:val="Balloon Text"/>
    <w:basedOn w:val="a"/>
    <w:link w:val="Char1"/>
    <w:rsid w:val="00D60D67"/>
    <w:pPr>
      <w:spacing w:line="240" w:lineRule="auto"/>
    </w:pPr>
    <w:rPr>
      <w:rFonts w:ascii="Tahoma" w:hAnsi="Tahoma"/>
      <w:sz w:val="16"/>
      <w:szCs w:val="16"/>
    </w:rPr>
  </w:style>
  <w:style w:type="character" w:customStyle="1" w:styleId="Char1">
    <w:name w:val="Κείμενο πλαισίου Char"/>
    <w:link w:val="a6"/>
    <w:rsid w:val="00D60D67"/>
    <w:rPr>
      <w:rFonts w:ascii="Tahoma" w:hAnsi="Tahoma" w:cs="Tahoma"/>
      <w:snapToGrid w:val="0"/>
      <w:sz w:val="16"/>
      <w:szCs w:val="16"/>
      <w:lang w:val="en-GB" w:eastAsia="en-US"/>
    </w:rPr>
  </w:style>
  <w:style w:type="character" w:customStyle="1" w:styleId="shorttext">
    <w:name w:val="short_text"/>
    <w:rsid w:val="00C454EC"/>
  </w:style>
  <w:style w:type="paragraph" w:styleId="a7">
    <w:name w:val="Revision"/>
    <w:hidden/>
    <w:uiPriority w:val="99"/>
    <w:semiHidden/>
    <w:rsid w:val="00C454EC"/>
    <w:rPr>
      <w:snapToGrid w:val="0"/>
      <w:sz w:val="22"/>
      <w:lang w:val="en-GB" w:eastAsia="en-US"/>
    </w:rPr>
  </w:style>
  <w:style w:type="character" w:customStyle="1" w:styleId="3Char">
    <w:name w:val="Επικεφαλίδα 3 Char"/>
    <w:basedOn w:val="a0"/>
    <w:link w:val="3"/>
    <w:semiHidden/>
    <w:rsid w:val="00AE1A6E"/>
    <w:rPr>
      <w:rFonts w:asciiTheme="majorHAnsi" w:eastAsiaTheme="majorEastAsia" w:hAnsiTheme="majorHAnsi" w:cstheme="majorBidi"/>
      <w:b/>
      <w:bCs/>
      <w:snapToGrid w:val="0"/>
      <w:color w:val="4F81BD" w:themeColor="accent1"/>
      <w:sz w:val="22"/>
      <w:lang w:val="en-GB" w:eastAsia="en-US"/>
    </w:rPr>
  </w:style>
</w:styles>
</file>

<file path=word/webSettings.xml><?xml version="1.0" encoding="utf-8"?>
<w:webSettings xmlns:r="http://schemas.openxmlformats.org/officeDocument/2006/relationships" xmlns:w="http://schemas.openxmlformats.org/wordprocessingml/2006/main">
  <w:divs>
    <w:div w:id="1643460181">
      <w:marLeft w:val="0"/>
      <w:marRight w:val="0"/>
      <w:marTop w:val="0"/>
      <w:marBottom w:val="0"/>
      <w:divBdr>
        <w:top w:val="none" w:sz="0" w:space="0" w:color="auto"/>
        <w:left w:val="none" w:sz="0" w:space="0" w:color="auto"/>
        <w:bottom w:val="none" w:sz="0" w:space="0" w:color="auto"/>
        <w:right w:val="none" w:sz="0" w:space="0" w:color="auto"/>
      </w:divBdr>
    </w:div>
    <w:div w:id="1643460182">
      <w:marLeft w:val="0"/>
      <w:marRight w:val="0"/>
      <w:marTop w:val="0"/>
      <w:marBottom w:val="0"/>
      <w:divBdr>
        <w:top w:val="none" w:sz="0" w:space="0" w:color="auto"/>
        <w:left w:val="none" w:sz="0" w:space="0" w:color="auto"/>
        <w:bottom w:val="none" w:sz="0" w:space="0" w:color="auto"/>
        <w:right w:val="none" w:sz="0" w:space="0" w:color="auto"/>
      </w:divBdr>
    </w:div>
    <w:div w:id="1643460183">
      <w:marLeft w:val="0"/>
      <w:marRight w:val="0"/>
      <w:marTop w:val="0"/>
      <w:marBottom w:val="0"/>
      <w:divBdr>
        <w:top w:val="none" w:sz="0" w:space="0" w:color="auto"/>
        <w:left w:val="none" w:sz="0" w:space="0" w:color="auto"/>
        <w:bottom w:val="none" w:sz="0" w:space="0" w:color="auto"/>
        <w:right w:val="none" w:sz="0" w:space="0" w:color="auto"/>
      </w:divBdr>
    </w:div>
    <w:div w:id="1643460184">
      <w:marLeft w:val="0"/>
      <w:marRight w:val="0"/>
      <w:marTop w:val="0"/>
      <w:marBottom w:val="0"/>
      <w:divBdr>
        <w:top w:val="none" w:sz="0" w:space="0" w:color="auto"/>
        <w:left w:val="none" w:sz="0" w:space="0" w:color="auto"/>
        <w:bottom w:val="none" w:sz="0" w:space="0" w:color="auto"/>
        <w:right w:val="none" w:sz="0" w:space="0" w:color="auto"/>
      </w:divBdr>
    </w:div>
    <w:div w:id="1643460185">
      <w:marLeft w:val="0"/>
      <w:marRight w:val="0"/>
      <w:marTop w:val="0"/>
      <w:marBottom w:val="0"/>
      <w:divBdr>
        <w:top w:val="none" w:sz="0" w:space="0" w:color="auto"/>
        <w:left w:val="none" w:sz="0" w:space="0" w:color="auto"/>
        <w:bottom w:val="none" w:sz="0" w:space="0" w:color="auto"/>
        <w:right w:val="none" w:sz="0" w:space="0" w:color="auto"/>
      </w:divBdr>
    </w:div>
    <w:div w:id="1643460186">
      <w:marLeft w:val="0"/>
      <w:marRight w:val="0"/>
      <w:marTop w:val="0"/>
      <w:marBottom w:val="0"/>
      <w:divBdr>
        <w:top w:val="none" w:sz="0" w:space="0" w:color="auto"/>
        <w:left w:val="none" w:sz="0" w:space="0" w:color="auto"/>
        <w:bottom w:val="none" w:sz="0" w:space="0" w:color="auto"/>
        <w:right w:val="none" w:sz="0" w:space="0" w:color="auto"/>
      </w:divBdr>
    </w:div>
    <w:div w:id="1643460187">
      <w:marLeft w:val="0"/>
      <w:marRight w:val="0"/>
      <w:marTop w:val="0"/>
      <w:marBottom w:val="0"/>
      <w:divBdr>
        <w:top w:val="none" w:sz="0" w:space="0" w:color="auto"/>
        <w:left w:val="none" w:sz="0" w:space="0" w:color="auto"/>
        <w:bottom w:val="none" w:sz="0" w:space="0" w:color="auto"/>
        <w:right w:val="none" w:sz="0" w:space="0" w:color="auto"/>
      </w:divBdr>
    </w:div>
    <w:div w:id="1643460188">
      <w:marLeft w:val="0"/>
      <w:marRight w:val="0"/>
      <w:marTop w:val="0"/>
      <w:marBottom w:val="0"/>
      <w:divBdr>
        <w:top w:val="none" w:sz="0" w:space="0" w:color="auto"/>
        <w:left w:val="none" w:sz="0" w:space="0" w:color="auto"/>
        <w:bottom w:val="none" w:sz="0" w:space="0" w:color="auto"/>
        <w:right w:val="none" w:sz="0" w:space="0" w:color="auto"/>
      </w:divBdr>
    </w:div>
    <w:div w:id="1643460189">
      <w:marLeft w:val="0"/>
      <w:marRight w:val="0"/>
      <w:marTop w:val="0"/>
      <w:marBottom w:val="0"/>
      <w:divBdr>
        <w:top w:val="none" w:sz="0" w:space="0" w:color="auto"/>
        <w:left w:val="none" w:sz="0" w:space="0" w:color="auto"/>
        <w:bottom w:val="none" w:sz="0" w:space="0" w:color="auto"/>
        <w:right w:val="none" w:sz="0" w:space="0" w:color="auto"/>
      </w:divBdr>
    </w:div>
    <w:div w:id="1690906780">
      <w:marLeft w:val="0"/>
      <w:marRight w:val="0"/>
      <w:marTop w:val="0"/>
      <w:marBottom w:val="0"/>
      <w:divBdr>
        <w:top w:val="none" w:sz="0" w:space="0" w:color="auto"/>
        <w:left w:val="none" w:sz="0" w:space="0" w:color="auto"/>
        <w:bottom w:val="none" w:sz="0" w:space="0" w:color="auto"/>
        <w:right w:val="none" w:sz="0" w:space="0" w:color="auto"/>
      </w:divBdr>
    </w:div>
    <w:div w:id="1690906781">
      <w:marLeft w:val="0"/>
      <w:marRight w:val="0"/>
      <w:marTop w:val="0"/>
      <w:marBottom w:val="0"/>
      <w:divBdr>
        <w:top w:val="none" w:sz="0" w:space="0" w:color="auto"/>
        <w:left w:val="none" w:sz="0" w:space="0" w:color="auto"/>
        <w:bottom w:val="none" w:sz="0" w:space="0" w:color="auto"/>
        <w:right w:val="none" w:sz="0" w:space="0" w:color="auto"/>
      </w:divBdr>
    </w:div>
    <w:div w:id="1690906782">
      <w:marLeft w:val="0"/>
      <w:marRight w:val="0"/>
      <w:marTop w:val="0"/>
      <w:marBottom w:val="0"/>
      <w:divBdr>
        <w:top w:val="none" w:sz="0" w:space="0" w:color="auto"/>
        <w:left w:val="none" w:sz="0" w:space="0" w:color="auto"/>
        <w:bottom w:val="none" w:sz="0" w:space="0" w:color="auto"/>
        <w:right w:val="none" w:sz="0" w:space="0" w:color="auto"/>
      </w:divBdr>
    </w:div>
    <w:div w:id="1690906783">
      <w:marLeft w:val="0"/>
      <w:marRight w:val="0"/>
      <w:marTop w:val="0"/>
      <w:marBottom w:val="0"/>
      <w:divBdr>
        <w:top w:val="none" w:sz="0" w:space="0" w:color="auto"/>
        <w:left w:val="none" w:sz="0" w:space="0" w:color="auto"/>
        <w:bottom w:val="none" w:sz="0" w:space="0" w:color="auto"/>
        <w:right w:val="none" w:sz="0" w:space="0" w:color="auto"/>
      </w:divBdr>
    </w:div>
    <w:div w:id="1690906784">
      <w:marLeft w:val="0"/>
      <w:marRight w:val="0"/>
      <w:marTop w:val="0"/>
      <w:marBottom w:val="0"/>
      <w:divBdr>
        <w:top w:val="none" w:sz="0" w:space="0" w:color="auto"/>
        <w:left w:val="none" w:sz="0" w:space="0" w:color="auto"/>
        <w:bottom w:val="none" w:sz="0" w:space="0" w:color="auto"/>
        <w:right w:val="none" w:sz="0" w:space="0" w:color="auto"/>
      </w:divBdr>
    </w:div>
    <w:div w:id="1690906785">
      <w:marLeft w:val="0"/>
      <w:marRight w:val="0"/>
      <w:marTop w:val="0"/>
      <w:marBottom w:val="0"/>
      <w:divBdr>
        <w:top w:val="none" w:sz="0" w:space="0" w:color="auto"/>
        <w:left w:val="none" w:sz="0" w:space="0" w:color="auto"/>
        <w:bottom w:val="none" w:sz="0" w:space="0" w:color="auto"/>
        <w:right w:val="none" w:sz="0" w:space="0" w:color="auto"/>
      </w:divBdr>
    </w:div>
    <w:div w:id="1690906786">
      <w:marLeft w:val="0"/>
      <w:marRight w:val="0"/>
      <w:marTop w:val="0"/>
      <w:marBottom w:val="0"/>
      <w:divBdr>
        <w:top w:val="none" w:sz="0" w:space="0" w:color="auto"/>
        <w:left w:val="none" w:sz="0" w:space="0" w:color="auto"/>
        <w:bottom w:val="none" w:sz="0" w:space="0" w:color="auto"/>
        <w:right w:val="none" w:sz="0" w:space="0" w:color="auto"/>
      </w:divBdr>
    </w:div>
    <w:div w:id="1690906787">
      <w:marLeft w:val="0"/>
      <w:marRight w:val="0"/>
      <w:marTop w:val="0"/>
      <w:marBottom w:val="0"/>
      <w:divBdr>
        <w:top w:val="none" w:sz="0" w:space="0" w:color="auto"/>
        <w:left w:val="none" w:sz="0" w:space="0" w:color="auto"/>
        <w:bottom w:val="none" w:sz="0" w:space="0" w:color="auto"/>
        <w:right w:val="none" w:sz="0" w:space="0" w:color="auto"/>
      </w:divBdr>
    </w:div>
    <w:div w:id="16909067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rmasyn@otene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95E85-A94C-466F-AD47-6CB74617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1767</Words>
  <Characters>9542</Characters>
  <Application>Microsoft Office Word</Application>
  <DocSecurity>0</DocSecurity>
  <Lines>79</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EMA-2012-0479-00-00-ENEL</vt:lpstr>
      <vt:lpstr>EMA-2012-0479-00-00-ENEL</vt:lpstr>
    </vt:vector>
  </TitlesOfParts>
  <Company>Translation Centre</Company>
  <LinksUpToDate>false</LinksUpToDate>
  <CharactersWithSpaces>11287</CharactersWithSpaces>
  <SharedDoc>false</SharedDoc>
  <HLinks>
    <vt:vector size="18" baseType="variant">
      <vt:variant>
        <vt:i4>3407968</vt:i4>
      </vt:variant>
      <vt:variant>
        <vt:i4>6</vt:i4>
      </vt:variant>
      <vt:variant>
        <vt:i4>0</vt:i4>
      </vt:variant>
      <vt:variant>
        <vt:i4>5</vt:i4>
      </vt:variant>
      <vt:variant>
        <vt:lpwstr>http://www.emea.europa.eu/</vt:lpwstr>
      </vt:variant>
      <vt:variant>
        <vt:lpwstr/>
      </vt:variant>
      <vt:variant>
        <vt:i4>3407968</vt:i4>
      </vt:variant>
      <vt:variant>
        <vt:i4>3</vt:i4>
      </vt:variant>
      <vt:variant>
        <vt:i4>0</vt:i4>
      </vt:variant>
      <vt:variant>
        <vt:i4>5</vt:i4>
      </vt:variant>
      <vt:variant>
        <vt:lpwstr>http://www.emea.europa.eu/</vt:lpwstr>
      </vt:variant>
      <vt:variant>
        <vt:lpwstr/>
      </vt:variant>
      <vt:variant>
        <vt:i4>1245197</vt:i4>
      </vt:variant>
      <vt:variant>
        <vt:i4>0</vt:i4>
      </vt:variant>
      <vt:variant>
        <vt:i4>0</vt:i4>
      </vt:variant>
      <vt:variant>
        <vt:i4>5</vt:i4>
      </vt:variant>
      <vt:variant>
        <vt:lpwstr>http://www.ema.europa.eu/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EMA-2012-0479-00-00-ENEL</dc:title>
  <dc:creator>Translation Centre</dc:creator>
  <cp:lastModifiedBy>user146</cp:lastModifiedBy>
  <cp:revision>4</cp:revision>
  <cp:lastPrinted>2014-07-24T05:32:00Z</cp:lastPrinted>
  <dcterms:created xsi:type="dcterms:W3CDTF">2014-12-08T09:14:00Z</dcterms:created>
  <dcterms:modified xsi:type="dcterms:W3CDTF">2014-12-08T09:15:00Z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_x000d_</vt:lpwstr>
  </property>
  <property fmtid="{D5CDD505-2E9C-101B-9397-08002B2CF9AE}" pid="3" name="DM_Authors">
    <vt:lpwstr>_x000d_</vt:lpwstr>
  </property>
  <property fmtid="{D5CDD505-2E9C-101B-9397-08002B2CF9AE}" pid="4" name="DM_Keywords">
    <vt:lpwstr>_x000d_</vt:lpwstr>
  </property>
  <property fmtid="{D5CDD505-2E9C-101B-9397-08002B2CF9AE}" pid="5" name="DM_Subject">
    <vt:lpwstr>General-EMA/423415/2010</vt:lpwstr>
  </property>
  <property fmtid="{D5CDD505-2E9C-101B-9397-08002B2CF9AE}" pid="6" name="DM_Title">
    <vt:lpwstr>_x000d_</vt:lpwstr>
  </property>
  <property fmtid="{D5CDD505-2E9C-101B-9397-08002B2CF9AE}" pid="7" name="DM_Language">
    <vt:lpwstr>_x000d_</vt:lpwstr>
  </property>
  <property fmtid="{D5CDD505-2E9C-101B-9397-08002B2CF9AE}" pid="8" name="DM_Owner">
    <vt:lpwstr>Espinasse Claire</vt:lpwstr>
  </property>
  <property fmtid="{D5CDD505-2E9C-101B-9397-08002B2CF9AE}" pid="9" name="DM_emea_cc">
    <vt:lpwstr>_x000d_</vt:lpwstr>
  </property>
  <property fmtid="{D5CDD505-2E9C-101B-9397-08002B2CF9AE}" pid="10" name="DM_emea_message_subject">
    <vt:lpwstr>_x000d_</vt:lpwstr>
  </property>
  <property fmtid="{D5CDD505-2E9C-101B-9397-08002B2CF9AE}" pid="11" name="DM_emea_doc_number">
    <vt:lpwstr>423415</vt:lpwstr>
  </property>
  <property fmtid="{D5CDD505-2E9C-101B-9397-08002B2CF9AE}" pid="12" name="DM_emea_received_date">
    <vt:lpwstr>nulldate</vt:lpwstr>
  </property>
  <property fmtid="{D5CDD505-2E9C-101B-9397-08002B2CF9AE}" pid="13" name="DM_emea_resp_body">
    <vt:lpwstr>_x000d_</vt:lpwstr>
  </property>
  <property fmtid="{D5CDD505-2E9C-101B-9397-08002B2CF9AE}" pid="14" name="DM_emea_revision_label">
    <vt:lpwstr>_x000d_</vt:lpwstr>
  </property>
  <property fmtid="{D5CDD505-2E9C-101B-9397-08002B2CF9AE}" pid="15" name="DM_emea_to">
    <vt:lpwstr>_x000d_</vt:lpwstr>
  </property>
  <property fmtid="{D5CDD505-2E9C-101B-9397-08002B2CF9AE}" pid="16" name="DM_emea_bcc">
    <vt:lpwstr>_x000d_</vt:lpwstr>
  </property>
  <property fmtid="{D5CDD505-2E9C-101B-9397-08002B2CF9AE}" pid="17" name="DM_emea_doc_category">
    <vt:lpwstr>General</vt:lpwstr>
  </property>
  <property fmtid="{D5CDD505-2E9C-101B-9397-08002B2CF9AE}" pid="18" name="DM_emea_from">
    <vt:lpwstr>_x000d_</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_x000d_</vt:lpwstr>
  </property>
  <property fmtid="{D5CDD505-2E9C-101B-9397-08002B2CF9AE}" pid="24" name="DM_emea_meeting_status">
    <vt:lpwstr>_x000d_</vt:lpwstr>
  </property>
  <property fmtid="{D5CDD505-2E9C-101B-9397-08002B2CF9AE}" pid="25" name="DM_emea_meeting_action">
    <vt:lpwstr>_x000d_</vt:lpwstr>
  </property>
  <property fmtid="{D5CDD505-2E9C-101B-9397-08002B2CF9AE}" pid="26" name="DM_emea_meeting_hyperlink">
    <vt:lpwstr>_x000d_</vt:lpwstr>
  </property>
  <property fmtid="{D5CDD505-2E9C-101B-9397-08002B2CF9AE}" pid="27" name="DM_emea_meeting_title">
    <vt:lpwstr>_x000d_</vt:lpwstr>
  </property>
  <property fmtid="{D5CDD505-2E9C-101B-9397-08002B2CF9AE}" pid="28" name="DM_emea_meeting_ref">
    <vt:lpwstr>_x000d_</vt:lpwstr>
  </property>
  <property fmtid="{D5CDD505-2E9C-101B-9397-08002B2CF9AE}" pid="29" name="DM_emea_meeting_flags">
    <vt:lpwstr>_x000d_</vt:lpwstr>
  </property>
  <property fmtid="{D5CDD505-2E9C-101B-9397-08002B2CF9AE}" pid="30" name="DM_Version">
    <vt:lpwstr>CURRENT,1.0</vt:lpwstr>
  </property>
  <property fmtid="{D5CDD505-2E9C-101B-9397-08002B2CF9AE}" pid="31" name="DM_Name">
    <vt:lpwstr>EMA-2012-0479-00-00-ENEL</vt:lpwstr>
  </property>
  <property fmtid="{D5CDD505-2E9C-101B-9397-08002B2CF9AE}" pid="32" name="DM_Creation_Date">
    <vt:lpwstr>17/01/2013 16:12:38</vt:lpwstr>
  </property>
  <property fmtid="{D5CDD505-2E9C-101B-9397-08002B2CF9AE}" pid="33" name="DM_Modify_Date">
    <vt:lpwstr>17/01/2013 16:12:39</vt:lpwstr>
  </property>
  <property fmtid="{D5CDD505-2E9C-101B-9397-08002B2CF9AE}" pid="34" name="DM_Creator_Name">
    <vt:lpwstr>Espinasse Claire</vt:lpwstr>
  </property>
  <property fmtid="{D5CDD505-2E9C-101B-9397-08002B2CF9AE}" pid="35" name="DM_Modifier_Name">
    <vt:lpwstr>Espinasse Claire</vt:lpwstr>
  </property>
  <property fmtid="{D5CDD505-2E9C-101B-9397-08002B2CF9AE}" pid="36" name="DM_Type">
    <vt:lpwstr>emea_document</vt:lpwstr>
  </property>
  <property fmtid="{D5CDD505-2E9C-101B-9397-08002B2CF9AE}" pid="37" name="DM_DocRefId">
    <vt:lpwstr>EMA/35894/2013</vt:lpwstr>
  </property>
  <property fmtid="{D5CDD505-2E9C-101B-9397-08002B2CF9AE}" pid="38" name="DM_Category">
    <vt:lpwstr>Comments</vt:lpwstr>
  </property>
  <property fmtid="{D5CDD505-2E9C-101B-9397-08002B2CF9AE}" pid="39" name="DM_Path">
    <vt:lpwstr>/02b. Administration of Scientific Meeting/WPs SAGs DGs and other WGs/CxMP - QRD/3. Other activities/02. Procedures/01. QRD PI templates/01 QRD Human Templates/04 H-qrd template v9/PhVig impact on PI/05- Translations received from CdT</vt:lpwstr>
  </property>
  <property fmtid="{D5CDD505-2E9C-101B-9397-08002B2CF9AE}" pid="40" name="DM_emea_doc_ref_id">
    <vt:lpwstr>EMA/35894/2013</vt:lpwstr>
  </property>
  <property fmtid="{D5CDD505-2E9C-101B-9397-08002B2CF9AE}" pid="41" name="DM_Modifer_Name">
    <vt:lpwstr>Espinasse Claire</vt:lpwstr>
  </property>
  <property fmtid="{D5CDD505-2E9C-101B-9397-08002B2CF9AE}" pid="42" name="DM_Modified_Date">
    <vt:lpwstr>17/01/2013 16:12:39</vt:lpwstr>
  </property>
</Properties>
</file>