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B6" w:rsidRPr="00477CFD" w:rsidRDefault="003A04B6" w:rsidP="00731C1C">
      <w:pPr>
        <w:spacing w:line="360" w:lineRule="auto"/>
        <w:jc w:val="center"/>
        <w:rPr>
          <w:b/>
          <w:sz w:val="32"/>
          <w:szCs w:val="32"/>
          <w:lang w:val="el-GR"/>
        </w:rPr>
      </w:pPr>
      <w:r w:rsidRPr="00477CFD">
        <w:rPr>
          <w:b/>
          <w:sz w:val="32"/>
          <w:szCs w:val="32"/>
          <w:lang w:val="el-GR"/>
        </w:rPr>
        <w:t>ΠΕΡΙΛΗΨΗ ΤΩΝ ΧΑΡΑΚΤΗΡΙΣΤΙΚΩΝ ΤΟΥ ΠΡΟΪΟΝΤΟΣ</w:t>
      </w:r>
    </w:p>
    <w:p w:rsidR="00195FEB" w:rsidRPr="00477CFD" w:rsidRDefault="007B7415" w:rsidP="00731C1C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LIPEMIA FORTE</w:t>
      </w:r>
    </w:p>
    <w:p w:rsidR="00195FEB" w:rsidRPr="00237B2F" w:rsidRDefault="00195FEB" w:rsidP="00731C1C">
      <w:pPr>
        <w:tabs>
          <w:tab w:val="left" w:pos="567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:rsidR="00195FEB" w:rsidRPr="00B16477" w:rsidRDefault="00195FEB" w:rsidP="00357FA3">
      <w:pPr>
        <w:numPr>
          <w:ilvl w:val="0"/>
          <w:numId w:val="23"/>
        </w:numPr>
        <w:tabs>
          <w:tab w:val="clear" w:pos="720"/>
          <w:tab w:val="num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B16477">
        <w:rPr>
          <w:b/>
          <w:bCs/>
          <w:lang w:val="el-GR"/>
        </w:rPr>
        <w:t>ΟΝΟΜΑΣΙΑ ΤΟΥ ΦΑΡΜΑΚΕΥΤΙΚΟΥ ΠΡΟΪΟΝΤΟΣ</w:t>
      </w:r>
    </w:p>
    <w:p w:rsidR="00195FEB" w:rsidRPr="00477CFD" w:rsidRDefault="007B7415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>LIPEMIA FORTE</w:t>
      </w:r>
    </w:p>
    <w:p w:rsidR="00195FEB" w:rsidRPr="00477CFD" w:rsidRDefault="00195FEB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n-GB"/>
        </w:rPr>
      </w:pPr>
    </w:p>
    <w:p w:rsidR="00195FEB" w:rsidRPr="00B16477" w:rsidRDefault="00195FEB" w:rsidP="00357FA3">
      <w:pPr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B16477">
        <w:rPr>
          <w:b/>
          <w:bCs/>
          <w:lang w:val="el-GR"/>
        </w:rPr>
        <w:t>ΠΟΙΟΤΙΚΗ ΚΑΙ ΠΟΣΟΤΙΚΗ ΣΥΝΘΕΣΗ</w:t>
      </w:r>
    </w:p>
    <w:p w:rsidR="007B7415" w:rsidRPr="00964031" w:rsidRDefault="007B7415" w:rsidP="00357FA3">
      <w:pPr>
        <w:shd w:val="clear" w:color="auto" w:fill="FFFFFF"/>
        <w:tabs>
          <w:tab w:val="left" w:pos="5155"/>
        </w:tabs>
        <w:spacing w:line="360" w:lineRule="auto"/>
        <w:jc w:val="both"/>
        <w:rPr>
          <w:sz w:val="22"/>
          <w:szCs w:val="22"/>
          <w:lang w:val="el-GR"/>
        </w:rPr>
      </w:pPr>
      <w:r w:rsidRPr="00964031">
        <w:rPr>
          <w:color w:val="000000"/>
          <w:sz w:val="22"/>
          <w:szCs w:val="22"/>
          <w:lang w:val="el-GR"/>
        </w:rPr>
        <w:t>Αιθυλεστέρες των Ω-3 -λιπαρών οξέων 90</w:t>
      </w:r>
      <w:r w:rsidRPr="00964031">
        <w:rPr>
          <w:color w:val="000000"/>
          <w:sz w:val="22"/>
          <w:szCs w:val="22"/>
          <w:lang w:val="el-GR"/>
        </w:rPr>
        <w:tab/>
        <w:t xml:space="preserve">           1000 mg</w:t>
      </w:r>
    </w:p>
    <w:p w:rsidR="007B7415" w:rsidRPr="00964031" w:rsidRDefault="007B7415" w:rsidP="00357FA3">
      <w:pPr>
        <w:shd w:val="clear" w:color="auto" w:fill="FFFFFF"/>
        <w:spacing w:line="360" w:lineRule="auto"/>
        <w:jc w:val="both"/>
        <w:rPr>
          <w:sz w:val="22"/>
          <w:szCs w:val="22"/>
          <w:lang w:val="el-GR"/>
        </w:rPr>
      </w:pPr>
      <w:r w:rsidRPr="00964031">
        <w:rPr>
          <w:color w:val="000000"/>
          <w:sz w:val="22"/>
          <w:szCs w:val="22"/>
          <w:lang w:val="el-GR"/>
        </w:rPr>
        <w:t>που περιέχουν 840</w:t>
      </w:r>
      <w:r w:rsidRPr="00964031">
        <w:rPr>
          <w:color w:val="000000"/>
          <w:sz w:val="22"/>
          <w:szCs w:val="22"/>
          <w:lang w:val="en-US"/>
        </w:rPr>
        <w:t>mg</w:t>
      </w:r>
      <w:r w:rsidRPr="00964031">
        <w:rPr>
          <w:color w:val="000000"/>
          <w:sz w:val="22"/>
          <w:szCs w:val="22"/>
          <w:lang w:val="el-GR"/>
        </w:rPr>
        <w:t xml:space="preserve"> των αιθυλεστέρων, του </w:t>
      </w:r>
      <w:r w:rsidRPr="00964031">
        <w:rPr>
          <w:color w:val="000000"/>
          <w:sz w:val="22"/>
          <w:szCs w:val="22"/>
          <w:lang w:val="en-US"/>
        </w:rPr>
        <w:t>eicosapentaenoic</w:t>
      </w:r>
      <w:r w:rsidRPr="00964031">
        <w:rPr>
          <w:color w:val="000000"/>
          <w:sz w:val="22"/>
          <w:szCs w:val="22"/>
          <w:lang w:val="el-GR"/>
        </w:rPr>
        <w:t xml:space="preserve"> </w:t>
      </w:r>
      <w:r w:rsidRPr="00964031">
        <w:rPr>
          <w:color w:val="000000"/>
          <w:sz w:val="22"/>
          <w:szCs w:val="22"/>
          <w:lang w:val="en-US"/>
        </w:rPr>
        <w:t>acid</w:t>
      </w:r>
      <w:r w:rsidRPr="00964031">
        <w:rPr>
          <w:color w:val="000000"/>
          <w:sz w:val="22"/>
          <w:szCs w:val="22"/>
          <w:lang w:val="el-GR"/>
        </w:rPr>
        <w:t xml:space="preserve"> (</w:t>
      </w:r>
      <w:r w:rsidRPr="00964031">
        <w:rPr>
          <w:color w:val="000000"/>
          <w:sz w:val="22"/>
          <w:szCs w:val="22"/>
          <w:lang w:val="en-US"/>
        </w:rPr>
        <w:t>EPA</w:t>
      </w:r>
      <w:r w:rsidRPr="00964031">
        <w:rPr>
          <w:color w:val="000000"/>
          <w:sz w:val="22"/>
          <w:szCs w:val="22"/>
          <w:lang w:val="el-GR"/>
        </w:rPr>
        <w:t>) κατά (460</w:t>
      </w:r>
      <w:r w:rsidRPr="00964031">
        <w:rPr>
          <w:color w:val="000000"/>
          <w:sz w:val="22"/>
          <w:szCs w:val="22"/>
          <w:lang w:val="en-US"/>
        </w:rPr>
        <w:t>mg</w:t>
      </w:r>
      <w:r w:rsidRPr="00964031">
        <w:rPr>
          <w:color w:val="000000"/>
          <w:sz w:val="22"/>
          <w:szCs w:val="22"/>
          <w:lang w:val="el-GR"/>
        </w:rPr>
        <w:t xml:space="preserve">) και του </w:t>
      </w:r>
      <w:r w:rsidRPr="00964031">
        <w:rPr>
          <w:color w:val="000000"/>
          <w:sz w:val="22"/>
          <w:szCs w:val="22"/>
          <w:lang w:val="en-US"/>
        </w:rPr>
        <w:t>docosahexaenoic</w:t>
      </w:r>
      <w:r w:rsidRPr="00964031">
        <w:rPr>
          <w:color w:val="000000"/>
          <w:sz w:val="22"/>
          <w:szCs w:val="22"/>
          <w:lang w:val="el-GR"/>
        </w:rPr>
        <w:t xml:space="preserve"> </w:t>
      </w:r>
      <w:r w:rsidRPr="00964031">
        <w:rPr>
          <w:color w:val="000000"/>
          <w:sz w:val="22"/>
          <w:szCs w:val="22"/>
          <w:lang w:val="en-US"/>
        </w:rPr>
        <w:t>acid</w:t>
      </w:r>
      <w:r w:rsidRPr="00964031">
        <w:rPr>
          <w:color w:val="000000"/>
          <w:sz w:val="22"/>
          <w:szCs w:val="22"/>
          <w:lang w:val="el-GR"/>
        </w:rPr>
        <w:t xml:space="preserve"> (</w:t>
      </w:r>
      <w:r w:rsidRPr="00964031">
        <w:rPr>
          <w:color w:val="000000"/>
          <w:sz w:val="22"/>
          <w:szCs w:val="22"/>
          <w:lang w:val="en-US"/>
        </w:rPr>
        <w:t>DHA</w:t>
      </w:r>
      <w:r w:rsidRPr="00964031">
        <w:rPr>
          <w:color w:val="000000"/>
          <w:sz w:val="22"/>
          <w:szCs w:val="22"/>
          <w:lang w:val="el-GR"/>
        </w:rPr>
        <w:t>) κατά (380</w:t>
      </w:r>
      <w:r w:rsidRPr="00964031">
        <w:rPr>
          <w:color w:val="000000"/>
          <w:sz w:val="22"/>
          <w:szCs w:val="22"/>
          <w:lang w:val="en-US"/>
        </w:rPr>
        <w:t>mg</w:t>
      </w:r>
      <w:r w:rsidRPr="00964031">
        <w:rPr>
          <w:color w:val="000000"/>
          <w:sz w:val="22"/>
          <w:szCs w:val="22"/>
          <w:lang w:val="el-GR"/>
        </w:rPr>
        <w:t>).</w:t>
      </w:r>
    </w:p>
    <w:p w:rsidR="00195FEB" w:rsidRPr="00964031" w:rsidRDefault="007B7415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  <w:proofErr w:type="gramStart"/>
      <w:r w:rsidRPr="00964031">
        <w:rPr>
          <w:color w:val="000000"/>
          <w:sz w:val="22"/>
          <w:szCs w:val="22"/>
          <w:lang w:val="en-US"/>
        </w:rPr>
        <w:t>H</w:t>
      </w:r>
      <w:r w:rsidRPr="00964031">
        <w:rPr>
          <w:color w:val="000000"/>
          <w:sz w:val="22"/>
          <w:szCs w:val="22"/>
          <w:lang w:val="el-GR"/>
        </w:rPr>
        <w:t xml:space="preserve"> σύνθεση αφορά </w:t>
      </w:r>
      <w:r w:rsidR="008852C5">
        <w:rPr>
          <w:color w:val="000000"/>
          <w:sz w:val="22"/>
          <w:szCs w:val="22"/>
          <w:lang w:val="el-GR"/>
        </w:rPr>
        <w:t>ένα καψάκιο</w:t>
      </w:r>
      <w:r w:rsidRPr="00964031">
        <w:rPr>
          <w:color w:val="000000"/>
          <w:sz w:val="22"/>
          <w:szCs w:val="22"/>
          <w:lang w:val="el-GR"/>
        </w:rPr>
        <w:t>.</w:t>
      </w:r>
      <w:proofErr w:type="gramEnd"/>
    </w:p>
    <w:p w:rsidR="00195FEB" w:rsidRPr="00964031" w:rsidRDefault="00195FEB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  <w:r w:rsidRPr="00964031">
        <w:rPr>
          <w:sz w:val="22"/>
          <w:szCs w:val="22"/>
          <w:lang w:val="el-GR"/>
        </w:rPr>
        <w:t>Για τον πλήρη κατάλογο των εκδόχων, βλ. παράγραφο 6.1</w:t>
      </w:r>
    </w:p>
    <w:p w:rsidR="00195FEB" w:rsidRPr="00477CFD" w:rsidRDefault="00195FEB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</w:p>
    <w:p w:rsidR="00195FEB" w:rsidRPr="00B16477" w:rsidRDefault="00195FEB" w:rsidP="00357FA3">
      <w:pPr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B16477">
        <w:rPr>
          <w:b/>
          <w:bCs/>
          <w:lang w:val="el-GR"/>
        </w:rPr>
        <w:t>ΦΑΡΜΑΚΟΤΕΧΝΙΚΗ ΜΟΡΦΗ</w:t>
      </w:r>
    </w:p>
    <w:p w:rsidR="008852C5" w:rsidRPr="008852C5" w:rsidRDefault="008852C5" w:rsidP="008852C5">
      <w:pPr>
        <w:tabs>
          <w:tab w:val="left" w:pos="567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8852C5">
        <w:rPr>
          <w:color w:val="000000"/>
          <w:sz w:val="22"/>
          <w:szCs w:val="22"/>
          <w:lang w:val="el-GR"/>
        </w:rPr>
        <w:t>Καψάκιο, μαλακό</w:t>
      </w:r>
      <w:r w:rsidRPr="008852C5">
        <w:rPr>
          <w:color w:val="000000"/>
          <w:sz w:val="22"/>
          <w:szCs w:val="22"/>
          <w:lang w:val="el-GR"/>
        </w:rPr>
        <w:tab/>
      </w:r>
    </w:p>
    <w:p w:rsidR="00195FEB" w:rsidRPr="00477CFD" w:rsidRDefault="008852C5" w:rsidP="008852C5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  <w:r w:rsidRPr="008852C5">
        <w:rPr>
          <w:color w:val="000000"/>
          <w:sz w:val="22"/>
          <w:szCs w:val="22"/>
          <w:lang w:val="el-GR"/>
        </w:rPr>
        <w:t>Καψάκια μαλακά ωχρού κίτρινου χρώματος.</w:t>
      </w:r>
    </w:p>
    <w:p w:rsidR="00195FEB" w:rsidRPr="00B16477" w:rsidRDefault="00195FEB" w:rsidP="00357FA3">
      <w:pPr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B16477">
        <w:rPr>
          <w:b/>
          <w:bCs/>
          <w:lang w:val="el-GR"/>
        </w:rPr>
        <w:t>ΚΛΙΝΙΚΕΣ ΠΛΗΡΟΦΟΡΙΕΣ</w:t>
      </w:r>
    </w:p>
    <w:p w:rsidR="00195FEB" w:rsidRPr="00B16477" w:rsidRDefault="00322CD5" w:rsidP="00357FA3">
      <w:pPr>
        <w:numPr>
          <w:ilvl w:val="1"/>
          <w:numId w:val="23"/>
        </w:numPr>
        <w:tabs>
          <w:tab w:val="clear" w:pos="720"/>
          <w:tab w:val="num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B16477">
        <w:rPr>
          <w:b/>
          <w:bCs/>
          <w:lang w:val="el-GR"/>
        </w:rPr>
        <w:t>Θεραπευτικές Ενδείξεις</w:t>
      </w:r>
    </w:p>
    <w:p w:rsidR="00660578" w:rsidRPr="00ED6642" w:rsidRDefault="00660578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ED6642">
        <w:rPr>
          <w:color w:val="000000"/>
          <w:sz w:val="22"/>
          <w:szCs w:val="22"/>
          <w:u w:val="single"/>
          <w:lang w:val="el-GR"/>
        </w:rPr>
        <w:t>Μετά από έμ</w:t>
      </w:r>
      <w:r>
        <w:rPr>
          <w:color w:val="000000"/>
          <w:sz w:val="22"/>
          <w:szCs w:val="22"/>
          <w:u w:val="single"/>
          <w:lang w:val="el-GR"/>
        </w:rPr>
        <w:t xml:space="preserve">φραγμα </w:t>
      </w:r>
      <w:r w:rsidRPr="00ED6642">
        <w:rPr>
          <w:color w:val="000000"/>
          <w:sz w:val="22"/>
          <w:szCs w:val="22"/>
          <w:u w:val="single"/>
          <w:lang w:val="el-GR"/>
        </w:rPr>
        <w:t>του μυοκαρδίου</w:t>
      </w:r>
    </w:p>
    <w:p w:rsidR="00660578" w:rsidRPr="00ED6642" w:rsidRDefault="00660578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ED6642">
        <w:rPr>
          <w:color w:val="000000"/>
          <w:sz w:val="22"/>
          <w:szCs w:val="22"/>
          <w:lang w:val="el-GR"/>
        </w:rPr>
        <w:t>Επικουρική αγωγή για δευτερογενή πρόληψη μετά από έμφραγμα του μυοκαρδίου ως συμπλήρωμα της κύριας αγωγής (π.χ. στατίνες, αντιαιμοπεταλιακά φαρμακευτικά ιδιοσκευάσματα, β-αποκλειστές, αναστολείς του μετατρεπτικού ενζύμου της αγγειοτασίνης (α ΜΕΑ)).</w:t>
      </w:r>
    </w:p>
    <w:p w:rsidR="00660578" w:rsidRDefault="00660578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u w:val="single"/>
          <w:lang w:val="el-GR"/>
        </w:rPr>
      </w:pPr>
    </w:p>
    <w:p w:rsidR="00660578" w:rsidRPr="00ED6642" w:rsidRDefault="00660578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ED6642">
        <w:rPr>
          <w:color w:val="000000"/>
          <w:sz w:val="22"/>
          <w:szCs w:val="22"/>
          <w:u w:val="single"/>
          <w:lang w:val="el-GR"/>
        </w:rPr>
        <w:t>Υπερτριγλυκερ</w:t>
      </w:r>
      <w:r>
        <w:rPr>
          <w:color w:val="000000"/>
          <w:sz w:val="22"/>
          <w:szCs w:val="22"/>
          <w:u w:val="single"/>
          <w:lang w:val="el-GR"/>
        </w:rPr>
        <w:t>ι</w:t>
      </w:r>
      <w:r w:rsidRPr="00ED6642">
        <w:rPr>
          <w:color w:val="000000"/>
          <w:sz w:val="22"/>
          <w:szCs w:val="22"/>
          <w:u w:val="single"/>
          <w:lang w:val="el-GR"/>
        </w:rPr>
        <w:t>δαιμία</w:t>
      </w:r>
    </w:p>
    <w:p w:rsidR="00660578" w:rsidRPr="00ED6642" w:rsidRDefault="00660578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ED6642">
        <w:rPr>
          <w:color w:val="000000"/>
          <w:sz w:val="22"/>
          <w:szCs w:val="22"/>
          <w:lang w:val="el-GR"/>
        </w:rPr>
        <w:t>Ενδογενής υπερτριγλυκεριδαιμία σαν συμπλήρωμα στη δίαιτα όταν τα διαιτητικά μέτρα</w:t>
      </w:r>
      <w:r>
        <w:rPr>
          <w:lang w:val="el-GR"/>
        </w:rPr>
        <w:t xml:space="preserve"> </w:t>
      </w:r>
      <w:r w:rsidRPr="00ED6642">
        <w:rPr>
          <w:color w:val="000000"/>
          <w:sz w:val="22"/>
          <w:szCs w:val="22"/>
          <w:lang w:val="el-GR"/>
        </w:rPr>
        <w:t>από μόνα τους κρίνονται ανεπαρκή για να φέρουν ικανοποιητική απόκριση:</w:t>
      </w:r>
    </w:p>
    <w:p w:rsidR="00660578" w:rsidRPr="00ED6642" w:rsidRDefault="00660578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ED6642">
        <w:rPr>
          <w:color w:val="000000"/>
          <w:sz w:val="22"/>
          <w:szCs w:val="22"/>
          <w:lang w:val="el-GR"/>
        </w:rPr>
        <w:t xml:space="preserve">-τύπου </w:t>
      </w:r>
      <w:r>
        <w:rPr>
          <w:color w:val="000000"/>
          <w:sz w:val="22"/>
          <w:szCs w:val="22"/>
          <w:lang w:val="en-US"/>
        </w:rPr>
        <w:t>IV</w:t>
      </w:r>
      <w:r w:rsidRPr="00ED6642">
        <w:rPr>
          <w:color w:val="000000"/>
          <w:sz w:val="22"/>
          <w:szCs w:val="22"/>
          <w:lang w:val="el-GR"/>
        </w:rPr>
        <w:t xml:space="preserve"> σε μονοθεραπεία,</w:t>
      </w:r>
    </w:p>
    <w:p w:rsidR="00195FEB" w:rsidRPr="00477CFD" w:rsidRDefault="00660578" w:rsidP="00357FA3">
      <w:pPr>
        <w:tabs>
          <w:tab w:val="left" w:pos="480"/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  <w:r w:rsidRPr="00ED6642">
        <w:rPr>
          <w:color w:val="000000"/>
          <w:sz w:val="22"/>
          <w:szCs w:val="22"/>
          <w:lang w:val="el-GR"/>
        </w:rPr>
        <w:t xml:space="preserve">-τύπου </w:t>
      </w:r>
      <w:r>
        <w:rPr>
          <w:color w:val="000000"/>
          <w:sz w:val="22"/>
          <w:szCs w:val="22"/>
          <w:lang w:val="en-US"/>
        </w:rPr>
        <w:t>IIb</w:t>
      </w:r>
      <w:r w:rsidRPr="00ED6642">
        <w:rPr>
          <w:color w:val="000000"/>
          <w:sz w:val="22"/>
          <w:szCs w:val="22"/>
          <w:lang w:val="el-GR"/>
        </w:rPr>
        <w:t>/ΠΙ σε συνδυασμό με στατίνες, όταν ο έλεγχος των τριγλυκεριδίων είναι</w:t>
      </w:r>
      <w:r>
        <w:rPr>
          <w:lang w:val="el-GR"/>
        </w:rPr>
        <w:t xml:space="preserve"> </w:t>
      </w:r>
      <w:r w:rsidRPr="00640489">
        <w:rPr>
          <w:color w:val="000000"/>
          <w:sz w:val="22"/>
          <w:szCs w:val="22"/>
          <w:lang w:val="el-GR"/>
        </w:rPr>
        <w:t>ανεπαρκής.</w:t>
      </w:r>
      <w:r w:rsidR="000F2450" w:rsidRPr="00477CFD">
        <w:rPr>
          <w:sz w:val="22"/>
          <w:szCs w:val="22"/>
          <w:lang w:val="el-GR"/>
        </w:rPr>
        <w:t xml:space="preserve"> </w:t>
      </w:r>
      <w:r w:rsidR="000D52D7" w:rsidRPr="00477CFD">
        <w:rPr>
          <w:sz w:val="22"/>
          <w:szCs w:val="22"/>
          <w:lang w:val="el-GR"/>
        </w:rPr>
        <w:t xml:space="preserve"> </w:t>
      </w:r>
    </w:p>
    <w:p w:rsidR="0047673D" w:rsidRPr="00477CFD" w:rsidRDefault="0047673D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</w:p>
    <w:p w:rsidR="00195FEB" w:rsidRPr="00357FA3" w:rsidRDefault="00322CD5" w:rsidP="00357FA3">
      <w:pPr>
        <w:numPr>
          <w:ilvl w:val="1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357FA3">
        <w:rPr>
          <w:b/>
          <w:bCs/>
          <w:lang w:val="el-GR"/>
        </w:rPr>
        <w:t xml:space="preserve">Δοσολογία Και Τρόπος Χορήγησης </w:t>
      </w:r>
    </w:p>
    <w:p w:rsidR="00660578" w:rsidRPr="00ED6642" w:rsidRDefault="00660578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ED6642">
        <w:rPr>
          <w:color w:val="000000"/>
          <w:sz w:val="22"/>
          <w:szCs w:val="22"/>
          <w:u w:val="single"/>
          <w:lang w:val="el-GR"/>
        </w:rPr>
        <w:t>Μετά από έμ</w:t>
      </w:r>
      <w:r>
        <w:rPr>
          <w:color w:val="000000"/>
          <w:sz w:val="22"/>
          <w:szCs w:val="22"/>
          <w:u w:val="single"/>
          <w:lang w:val="el-GR"/>
        </w:rPr>
        <w:t xml:space="preserve">φραγμα </w:t>
      </w:r>
      <w:r w:rsidRPr="00ED6642">
        <w:rPr>
          <w:color w:val="000000"/>
          <w:sz w:val="22"/>
          <w:szCs w:val="22"/>
          <w:u w:val="single"/>
          <w:lang w:val="el-GR"/>
        </w:rPr>
        <w:t>του μυοκαρδίου</w:t>
      </w:r>
    </w:p>
    <w:p w:rsidR="00660578" w:rsidRPr="000853BF" w:rsidRDefault="00660578" w:rsidP="00357FA3">
      <w:pPr>
        <w:shd w:val="clear" w:color="auto" w:fill="FFFFFF"/>
        <w:spacing w:line="360" w:lineRule="auto"/>
        <w:ind w:right="4752"/>
        <w:jc w:val="both"/>
        <w:rPr>
          <w:lang w:val="el-GR"/>
        </w:rPr>
      </w:pPr>
      <w:r>
        <w:rPr>
          <w:color w:val="000000"/>
          <w:sz w:val="22"/>
          <w:szCs w:val="22"/>
          <w:lang w:val="el-GR"/>
        </w:rPr>
        <w:t xml:space="preserve">Μία κάψουλα </w:t>
      </w:r>
      <w:r w:rsidRPr="000853BF">
        <w:rPr>
          <w:color w:val="000000"/>
          <w:sz w:val="22"/>
          <w:szCs w:val="22"/>
          <w:lang w:val="el-GR"/>
        </w:rPr>
        <w:t>ημερησίως.</w:t>
      </w:r>
    </w:p>
    <w:p w:rsidR="00660578" w:rsidRPr="000853BF" w:rsidRDefault="00E53BBB" w:rsidP="00357FA3">
      <w:pPr>
        <w:shd w:val="clear" w:color="auto" w:fill="FFFFFF"/>
        <w:spacing w:line="360" w:lineRule="auto"/>
        <w:jc w:val="both"/>
        <w:rPr>
          <w:lang w:val="el-GR"/>
        </w:rPr>
      </w:pPr>
      <w:r>
        <w:rPr>
          <w:color w:val="000000"/>
          <w:sz w:val="22"/>
          <w:szCs w:val="22"/>
          <w:u w:val="single"/>
          <w:lang w:val="el-GR"/>
        </w:rPr>
        <w:br w:type="page"/>
      </w:r>
      <w:r w:rsidR="00660578" w:rsidRPr="000853BF">
        <w:rPr>
          <w:color w:val="000000"/>
          <w:sz w:val="22"/>
          <w:szCs w:val="22"/>
          <w:u w:val="single"/>
          <w:lang w:val="el-GR"/>
        </w:rPr>
        <w:lastRenderedPageBreak/>
        <w:t>Υπερτριγλυκεριδαιμία</w:t>
      </w:r>
    </w:p>
    <w:p w:rsidR="00660578" w:rsidRPr="000853BF" w:rsidRDefault="00660578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853BF">
        <w:rPr>
          <w:color w:val="000000"/>
          <w:sz w:val="22"/>
          <w:szCs w:val="22"/>
          <w:lang w:val="el-GR"/>
        </w:rPr>
        <w:t xml:space="preserve">Αγωγή έναρξης με δύο </w:t>
      </w:r>
      <w:r>
        <w:rPr>
          <w:color w:val="000000"/>
          <w:sz w:val="22"/>
          <w:szCs w:val="22"/>
          <w:lang w:val="el-GR"/>
        </w:rPr>
        <w:t>κάψουλες</w:t>
      </w:r>
      <w:r w:rsidRPr="000853BF">
        <w:rPr>
          <w:color w:val="000000"/>
          <w:sz w:val="22"/>
          <w:szCs w:val="22"/>
          <w:lang w:val="el-GR"/>
        </w:rPr>
        <w:t xml:space="preserve"> ημερησίως. Αν δεν επιτευχθεί ικανοποιητική</w:t>
      </w:r>
      <w:r>
        <w:rPr>
          <w:color w:val="000000"/>
          <w:sz w:val="22"/>
          <w:szCs w:val="22"/>
          <w:lang w:val="el-GR"/>
        </w:rPr>
        <w:t xml:space="preserve"> </w:t>
      </w:r>
      <w:r w:rsidRPr="000853BF">
        <w:rPr>
          <w:color w:val="000000"/>
          <w:sz w:val="22"/>
          <w:szCs w:val="22"/>
          <w:lang w:val="el-GR"/>
        </w:rPr>
        <w:t>απόκριση, η δόση μπορεί να αυξηθεί στ</w:t>
      </w:r>
      <w:r>
        <w:rPr>
          <w:color w:val="000000"/>
          <w:sz w:val="22"/>
          <w:szCs w:val="22"/>
          <w:lang w:val="el-GR"/>
        </w:rPr>
        <w:t>ις</w:t>
      </w:r>
      <w:r w:rsidRPr="000853BF">
        <w:rPr>
          <w:color w:val="000000"/>
          <w:sz w:val="22"/>
          <w:szCs w:val="22"/>
          <w:lang w:val="el-GR"/>
        </w:rPr>
        <w:t xml:space="preserve"> τέσσερ</w:t>
      </w:r>
      <w:r>
        <w:rPr>
          <w:color w:val="000000"/>
          <w:sz w:val="22"/>
          <w:szCs w:val="22"/>
          <w:lang w:val="el-GR"/>
        </w:rPr>
        <w:t>ις κάψουλες</w:t>
      </w:r>
      <w:r w:rsidRPr="000853BF">
        <w:rPr>
          <w:color w:val="000000"/>
          <w:sz w:val="22"/>
          <w:szCs w:val="22"/>
          <w:lang w:val="el-GR"/>
        </w:rPr>
        <w:t xml:space="preserve"> ημερησίως.</w:t>
      </w:r>
    </w:p>
    <w:p w:rsidR="00660578" w:rsidRPr="000853BF" w:rsidRDefault="00660578" w:rsidP="00357FA3">
      <w:pPr>
        <w:shd w:val="clear" w:color="auto" w:fill="FFFFFF"/>
        <w:spacing w:line="360" w:lineRule="auto"/>
        <w:jc w:val="both"/>
        <w:rPr>
          <w:lang w:val="el-GR"/>
        </w:rPr>
      </w:pPr>
      <w:r>
        <w:rPr>
          <w:color w:val="000000"/>
          <w:sz w:val="22"/>
          <w:szCs w:val="22"/>
          <w:lang w:val="el-GR"/>
        </w:rPr>
        <w:t>Οι κάψουλες</w:t>
      </w:r>
      <w:r w:rsidRPr="000853BF">
        <w:rPr>
          <w:color w:val="000000"/>
          <w:sz w:val="22"/>
          <w:szCs w:val="22"/>
          <w:lang w:val="el-GR"/>
        </w:rPr>
        <w:t xml:space="preserve"> πρέπει να λαμβάνονται μαζί με τροφή προκειμένου να αποφεύγονται γαστρεντερικές </w:t>
      </w:r>
      <w:r>
        <w:rPr>
          <w:color w:val="000000"/>
          <w:sz w:val="22"/>
          <w:szCs w:val="22"/>
          <w:lang w:val="el-GR"/>
        </w:rPr>
        <w:t>δ</w:t>
      </w:r>
      <w:r w:rsidRPr="000853BF">
        <w:rPr>
          <w:color w:val="000000"/>
          <w:sz w:val="22"/>
          <w:szCs w:val="22"/>
          <w:lang w:val="el-GR"/>
        </w:rPr>
        <w:t>ιαταραχές.</w:t>
      </w:r>
    </w:p>
    <w:p w:rsidR="00D30C10" w:rsidRPr="00477CFD" w:rsidRDefault="00660578" w:rsidP="00357FA3">
      <w:pPr>
        <w:spacing w:line="360" w:lineRule="auto"/>
        <w:jc w:val="both"/>
        <w:rPr>
          <w:sz w:val="22"/>
          <w:szCs w:val="22"/>
          <w:lang w:val="el-GR"/>
        </w:rPr>
      </w:pPr>
      <w:r w:rsidRPr="000853BF">
        <w:rPr>
          <w:color w:val="000000"/>
          <w:sz w:val="22"/>
          <w:szCs w:val="22"/>
          <w:lang w:val="el-GR"/>
        </w:rPr>
        <w:t xml:space="preserve">Δεν   υπάρχουν   πληροφορίες   αναφορικά   με   τη   </w:t>
      </w:r>
      <w:r w:rsidRPr="000C6E52">
        <w:rPr>
          <w:color w:val="000000"/>
          <w:sz w:val="22"/>
          <w:szCs w:val="22"/>
          <w:lang w:val="el-GR"/>
        </w:rPr>
        <w:t xml:space="preserve">χρήση   των </w:t>
      </w:r>
      <w:r w:rsidRPr="000C6E52">
        <w:rPr>
          <w:sz w:val="22"/>
          <w:szCs w:val="22"/>
          <w:lang w:val="el-GR"/>
        </w:rPr>
        <w:t>αιθυλεστέρων των Ω-3- πολυακόρεστων λιπαρών οξέων</w:t>
      </w:r>
      <w:r w:rsidRPr="000C6E52">
        <w:rPr>
          <w:bCs/>
          <w:color w:val="000000"/>
          <w:sz w:val="22"/>
          <w:szCs w:val="22"/>
          <w:lang w:val="el-GR"/>
        </w:rPr>
        <w:t xml:space="preserve"> </w:t>
      </w:r>
      <w:r w:rsidRPr="000C6E52">
        <w:rPr>
          <w:color w:val="000000"/>
          <w:sz w:val="22"/>
          <w:szCs w:val="22"/>
          <w:lang w:val="el-GR"/>
        </w:rPr>
        <w:t>σε   παιδιά, ηλικιωμένους άνω των 70 ετών ή σε ασθενείς με</w:t>
      </w:r>
      <w:r w:rsidRPr="000C21A0">
        <w:rPr>
          <w:color w:val="000000"/>
          <w:sz w:val="22"/>
          <w:szCs w:val="22"/>
          <w:lang w:val="el-GR"/>
        </w:rPr>
        <w:t xml:space="preserve"> ηπατική ανεπάρκεια (βλ. παραγρ. 4.4.)</w:t>
      </w:r>
      <w:r>
        <w:rPr>
          <w:sz w:val="22"/>
          <w:szCs w:val="22"/>
          <w:lang w:val="el-GR"/>
        </w:rPr>
        <w:t xml:space="preserve"> </w:t>
      </w:r>
      <w:r w:rsidRPr="00AA6EF3">
        <w:rPr>
          <w:color w:val="000000"/>
          <w:sz w:val="22"/>
          <w:szCs w:val="22"/>
          <w:lang w:val="el-GR"/>
        </w:rPr>
        <w:t>κα</w:t>
      </w:r>
      <w:r>
        <w:rPr>
          <w:color w:val="000000"/>
          <w:sz w:val="22"/>
          <w:szCs w:val="22"/>
          <w:lang w:val="el-GR"/>
        </w:rPr>
        <w:t>ι</w:t>
      </w:r>
      <w:r w:rsidRPr="00AA6EF3">
        <w:rPr>
          <w:color w:val="000000"/>
          <w:sz w:val="22"/>
          <w:szCs w:val="22"/>
          <w:lang w:val="el-GR"/>
        </w:rPr>
        <w:t xml:space="preserve"> υπάρχουν μόνον περ</w:t>
      </w:r>
      <w:r>
        <w:rPr>
          <w:color w:val="000000"/>
          <w:sz w:val="22"/>
          <w:szCs w:val="22"/>
          <w:lang w:val="el-GR"/>
        </w:rPr>
        <w:t>ι</w:t>
      </w:r>
      <w:r w:rsidRPr="00AA6EF3">
        <w:rPr>
          <w:color w:val="000000"/>
          <w:sz w:val="22"/>
          <w:szCs w:val="22"/>
          <w:lang w:val="el-GR"/>
        </w:rPr>
        <w:t>ορ</w:t>
      </w:r>
      <w:r>
        <w:rPr>
          <w:color w:val="000000"/>
          <w:sz w:val="22"/>
          <w:szCs w:val="22"/>
          <w:lang w:val="el-GR"/>
        </w:rPr>
        <w:t>ι</w:t>
      </w:r>
      <w:r w:rsidRPr="00AA6EF3">
        <w:rPr>
          <w:color w:val="000000"/>
          <w:sz w:val="22"/>
          <w:szCs w:val="22"/>
          <w:lang w:val="el-GR"/>
        </w:rPr>
        <w:t>σμένες πληροφορίες αναφορ</w:t>
      </w:r>
      <w:r>
        <w:rPr>
          <w:color w:val="000000"/>
          <w:sz w:val="22"/>
          <w:szCs w:val="22"/>
          <w:lang w:val="el-GR"/>
        </w:rPr>
        <w:t>ι</w:t>
      </w:r>
      <w:r w:rsidRPr="00AA6EF3">
        <w:rPr>
          <w:color w:val="000000"/>
          <w:sz w:val="22"/>
          <w:szCs w:val="22"/>
          <w:lang w:val="el-GR"/>
        </w:rPr>
        <w:t>κά με τη χρήση σε ασθενείς με νεφρ</w:t>
      </w:r>
      <w:r>
        <w:rPr>
          <w:color w:val="000000"/>
          <w:sz w:val="22"/>
          <w:szCs w:val="22"/>
          <w:lang w:val="el-GR"/>
        </w:rPr>
        <w:t>ι</w:t>
      </w:r>
      <w:r w:rsidRPr="00AA6EF3">
        <w:rPr>
          <w:color w:val="000000"/>
          <w:sz w:val="22"/>
          <w:szCs w:val="22"/>
          <w:lang w:val="el-GR"/>
        </w:rPr>
        <w:t>κή ανεπάρκεια.</w:t>
      </w:r>
    </w:p>
    <w:p w:rsidR="00D153BA" w:rsidRPr="00477CFD" w:rsidRDefault="00D153BA" w:rsidP="00357FA3">
      <w:pPr>
        <w:spacing w:line="360" w:lineRule="auto"/>
        <w:ind w:hanging="567"/>
        <w:jc w:val="both"/>
        <w:rPr>
          <w:sz w:val="22"/>
          <w:szCs w:val="22"/>
          <w:lang w:val="el-GR"/>
        </w:rPr>
      </w:pPr>
    </w:p>
    <w:p w:rsidR="00195FEB" w:rsidRPr="00357FA3" w:rsidRDefault="001D08C2" w:rsidP="00357FA3">
      <w:pPr>
        <w:numPr>
          <w:ilvl w:val="1"/>
          <w:numId w:val="23"/>
        </w:numPr>
        <w:tabs>
          <w:tab w:val="clear" w:pos="720"/>
          <w:tab w:val="num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357FA3">
        <w:rPr>
          <w:b/>
          <w:bCs/>
          <w:lang w:val="el-GR"/>
        </w:rPr>
        <w:t>Αντενδείξεις</w:t>
      </w:r>
    </w:p>
    <w:p w:rsidR="00093FC9" w:rsidRPr="00660578" w:rsidRDefault="00660578" w:rsidP="00357FA3">
      <w:pPr>
        <w:pStyle w:val="20"/>
        <w:spacing w:line="360" w:lineRule="auto"/>
        <w:ind w:left="0"/>
        <w:jc w:val="both"/>
        <w:rPr>
          <w:i w:val="0"/>
          <w:sz w:val="22"/>
          <w:szCs w:val="22"/>
        </w:rPr>
      </w:pPr>
      <w:r w:rsidRPr="00660578">
        <w:rPr>
          <w:i w:val="0"/>
          <w:color w:val="000000"/>
          <w:sz w:val="22"/>
          <w:szCs w:val="22"/>
        </w:rPr>
        <w:t>Υπερευαισθησία στο δραστικό συστατικό, στ</w:t>
      </w:r>
      <w:r w:rsidRPr="00660578">
        <w:rPr>
          <w:i w:val="0"/>
          <w:color w:val="000000"/>
          <w:sz w:val="22"/>
          <w:szCs w:val="22"/>
          <w:lang w:val="en-US"/>
        </w:rPr>
        <w:t>o</w:t>
      </w:r>
      <w:r w:rsidRPr="00660578">
        <w:rPr>
          <w:i w:val="0"/>
          <w:color w:val="000000"/>
          <w:sz w:val="22"/>
          <w:szCs w:val="22"/>
        </w:rPr>
        <w:t xml:space="preserve"> ηλιοτρόπιο ή σε οποιοδήποτε από τα έκδοχα του προϊόντος.</w:t>
      </w:r>
      <w:r w:rsidR="00093FC9" w:rsidRPr="00660578">
        <w:rPr>
          <w:i w:val="0"/>
          <w:sz w:val="22"/>
          <w:szCs w:val="22"/>
        </w:rPr>
        <w:t xml:space="preserve"> </w:t>
      </w:r>
    </w:p>
    <w:p w:rsidR="00D35A59" w:rsidRPr="00477CFD" w:rsidRDefault="00D35A59" w:rsidP="00357FA3">
      <w:pPr>
        <w:tabs>
          <w:tab w:val="left" w:pos="567"/>
        </w:tabs>
        <w:spacing w:line="360" w:lineRule="auto"/>
        <w:jc w:val="both"/>
        <w:rPr>
          <w:b/>
          <w:bCs/>
          <w:sz w:val="22"/>
          <w:szCs w:val="22"/>
          <w:lang w:val="el-GR"/>
        </w:rPr>
      </w:pPr>
    </w:p>
    <w:p w:rsidR="00195FEB" w:rsidRPr="00357FA3" w:rsidRDefault="00195FEB" w:rsidP="00357FA3">
      <w:pPr>
        <w:tabs>
          <w:tab w:val="left" w:pos="567"/>
        </w:tabs>
        <w:spacing w:line="360" w:lineRule="auto"/>
        <w:jc w:val="both"/>
        <w:rPr>
          <w:lang w:val="el-GR"/>
        </w:rPr>
      </w:pPr>
      <w:r w:rsidRPr="00357FA3">
        <w:rPr>
          <w:b/>
          <w:bCs/>
          <w:lang w:val="el-GR"/>
        </w:rPr>
        <w:t>4.4</w:t>
      </w:r>
      <w:r w:rsidRPr="00357FA3">
        <w:rPr>
          <w:b/>
          <w:bCs/>
          <w:lang w:val="el-GR"/>
        </w:rPr>
        <w:tab/>
      </w:r>
      <w:r w:rsidR="00660578" w:rsidRPr="00357FA3">
        <w:rPr>
          <w:b/>
          <w:bCs/>
          <w:lang w:val="el-GR"/>
        </w:rPr>
        <w:t>Ιδιαίτερες</w:t>
      </w:r>
      <w:r w:rsidR="00DE7514" w:rsidRPr="00357FA3">
        <w:rPr>
          <w:b/>
          <w:bCs/>
          <w:lang w:val="el-GR"/>
        </w:rPr>
        <w:t xml:space="preserve"> Προειδοποιήσεις Και </w:t>
      </w:r>
      <w:r w:rsidR="00660578" w:rsidRPr="00357FA3">
        <w:rPr>
          <w:b/>
          <w:bCs/>
          <w:lang w:val="el-GR"/>
        </w:rPr>
        <w:t xml:space="preserve">Ιδιαίτερες </w:t>
      </w:r>
      <w:r w:rsidR="00DE7514" w:rsidRPr="00357FA3">
        <w:rPr>
          <w:b/>
          <w:bCs/>
          <w:lang w:val="el-GR"/>
        </w:rPr>
        <w:t>Προφυλάξεις Κατά Την Χρήση</w:t>
      </w:r>
    </w:p>
    <w:p w:rsidR="00660578" w:rsidRPr="002946F7" w:rsidRDefault="00660578" w:rsidP="00357FA3">
      <w:pPr>
        <w:shd w:val="clear" w:color="auto" w:fill="FFFFFF"/>
        <w:spacing w:line="360" w:lineRule="auto"/>
        <w:jc w:val="both"/>
        <w:rPr>
          <w:sz w:val="22"/>
          <w:szCs w:val="22"/>
          <w:lang w:val="el-GR"/>
        </w:rPr>
      </w:pPr>
      <w:r w:rsidRPr="002946F7">
        <w:rPr>
          <w:b/>
          <w:bCs/>
          <w:color w:val="000000"/>
          <w:sz w:val="22"/>
          <w:szCs w:val="22"/>
          <w:u w:val="single"/>
          <w:lang w:val="el-GR"/>
        </w:rPr>
        <w:t>Προειδοποι</w:t>
      </w:r>
      <w:r>
        <w:rPr>
          <w:b/>
          <w:bCs/>
          <w:color w:val="000000"/>
          <w:sz w:val="22"/>
          <w:szCs w:val="22"/>
          <w:u w:val="single"/>
          <w:lang w:val="el-GR"/>
        </w:rPr>
        <w:t>ήσεις</w:t>
      </w:r>
      <w:r w:rsidRPr="002946F7">
        <w:rPr>
          <w:b/>
          <w:bCs/>
          <w:color w:val="000000"/>
          <w:sz w:val="22"/>
          <w:szCs w:val="22"/>
          <w:u w:val="single"/>
          <w:lang w:val="el-GR"/>
        </w:rPr>
        <w:t>:</w:t>
      </w:r>
    </w:p>
    <w:p w:rsidR="00660578" w:rsidRPr="00204B4B" w:rsidRDefault="00660578" w:rsidP="00357FA3">
      <w:pPr>
        <w:shd w:val="clear" w:color="auto" w:fill="FFFFFF"/>
        <w:spacing w:line="360" w:lineRule="auto"/>
        <w:jc w:val="both"/>
        <w:rPr>
          <w:sz w:val="22"/>
          <w:szCs w:val="22"/>
          <w:lang w:val="el-GR"/>
        </w:rPr>
      </w:pPr>
      <w:r w:rsidRPr="00204B4B">
        <w:rPr>
          <w:color w:val="000000"/>
          <w:sz w:val="22"/>
          <w:szCs w:val="22"/>
          <w:lang w:val="el-GR"/>
        </w:rPr>
        <w:t>Λόγω της μέτρ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ας αύξησης του χρόνου ροής (στην υψηλή δοσολογία, δηλ. 4 κ</w:t>
      </w:r>
      <w:r>
        <w:rPr>
          <w:color w:val="000000"/>
          <w:sz w:val="22"/>
          <w:szCs w:val="22"/>
          <w:lang w:val="el-GR"/>
        </w:rPr>
        <w:t>άψουλες</w:t>
      </w:r>
      <w:r w:rsidRPr="00204B4B">
        <w:rPr>
          <w:color w:val="000000"/>
          <w:sz w:val="22"/>
          <w:szCs w:val="22"/>
          <w:lang w:val="el-GR"/>
        </w:rPr>
        <w:t>) οι ασθενείς που λαμβάνουν αγωγή με αντιπηκτικά πρέπε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 xml:space="preserve"> να παρακολουθούντα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 xml:space="preserve"> κα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, αν χρειαστεί, η δοσολογία του αντιπηκτικού να προσαρμόζετα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 xml:space="preserve"> (βλ. παρ. 4.5 «Αλληλεπιδράσεις με άλλα φάρμακα και άλλες μορφές αλληλεπίδρασης»). Η χρήση αυτής της φαρμακευτικής αγωγής δεν καταργεί την ανάγκη παρακολούθησης που συνήθως απαιτείται γ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α ασθενείς αυτού του τύπου.</w:t>
      </w:r>
    </w:p>
    <w:p w:rsidR="00660578" w:rsidRDefault="00660578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el-GR"/>
        </w:rPr>
      </w:pPr>
    </w:p>
    <w:p w:rsidR="00660578" w:rsidRPr="00204B4B" w:rsidRDefault="00660578" w:rsidP="00357FA3">
      <w:pPr>
        <w:shd w:val="clear" w:color="auto" w:fill="FFFFFF"/>
        <w:spacing w:line="360" w:lineRule="auto"/>
        <w:jc w:val="both"/>
        <w:rPr>
          <w:sz w:val="22"/>
          <w:szCs w:val="22"/>
          <w:lang w:val="el-GR"/>
        </w:rPr>
      </w:pPr>
      <w:r w:rsidRPr="00204B4B">
        <w:rPr>
          <w:color w:val="000000"/>
          <w:sz w:val="22"/>
          <w:szCs w:val="22"/>
          <w:lang w:val="el-GR"/>
        </w:rPr>
        <w:t xml:space="preserve">Να λαμβάνεται υπ' όψη ο αυξημένος χρόνος ροής στους ασθενείς με υψηλό </w:t>
      </w:r>
      <w:r>
        <w:rPr>
          <w:color w:val="000000"/>
          <w:sz w:val="22"/>
          <w:szCs w:val="22"/>
          <w:lang w:val="el-GR"/>
        </w:rPr>
        <w:t xml:space="preserve">κίνδυνο </w:t>
      </w:r>
      <w:r w:rsidRPr="00204B4B">
        <w:rPr>
          <w:color w:val="000000"/>
          <w:sz w:val="22"/>
          <w:szCs w:val="22"/>
          <w:lang w:val="el-GR"/>
        </w:rPr>
        <w:t>για αιμορραγία (εξαι</w:t>
      </w:r>
      <w:r>
        <w:rPr>
          <w:color w:val="000000"/>
          <w:sz w:val="22"/>
          <w:szCs w:val="22"/>
          <w:lang w:val="el-GR"/>
        </w:rPr>
        <w:t>τίας</w:t>
      </w:r>
      <w:r w:rsidRPr="00204B4B">
        <w:rPr>
          <w:color w:val="000000"/>
          <w:sz w:val="22"/>
          <w:szCs w:val="22"/>
          <w:lang w:val="el-GR"/>
        </w:rPr>
        <w:t xml:space="preserve"> σοβαρού τραύματος, χε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ρουργ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 xml:space="preserve">κής επέμβασης, </w:t>
      </w:r>
      <w:r w:rsidRPr="00C332DA">
        <w:rPr>
          <w:iCs/>
          <w:color w:val="000000"/>
          <w:sz w:val="22"/>
          <w:szCs w:val="22"/>
          <w:lang w:val="el-GR"/>
        </w:rPr>
        <w:t>κλπ</w:t>
      </w:r>
      <w:r w:rsidRPr="00E6266C">
        <w:rPr>
          <w:iCs/>
          <w:color w:val="000000"/>
          <w:sz w:val="22"/>
          <w:szCs w:val="22"/>
          <w:lang w:val="el-GR"/>
        </w:rPr>
        <w:t>)</w:t>
      </w:r>
    </w:p>
    <w:p w:rsidR="00660578" w:rsidRDefault="00660578" w:rsidP="00357FA3">
      <w:pPr>
        <w:shd w:val="clear" w:color="auto" w:fill="FFFFFF"/>
        <w:spacing w:line="360" w:lineRule="auto"/>
        <w:ind w:right="864"/>
        <w:jc w:val="both"/>
        <w:rPr>
          <w:color w:val="000000"/>
          <w:sz w:val="22"/>
          <w:szCs w:val="22"/>
          <w:lang w:val="el-GR"/>
        </w:rPr>
      </w:pPr>
    </w:p>
    <w:p w:rsidR="00660578" w:rsidRPr="00204B4B" w:rsidRDefault="00660578" w:rsidP="00357FA3">
      <w:pPr>
        <w:shd w:val="clear" w:color="auto" w:fill="FFFFFF"/>
        <w:spacing w:line="360" w:lineRule="auto"/>
        <w:ind w:right="34"/>
        <w:jc w:val="both"/>
        <w:rPr>
          <w:sz w:val="22"/>
          <w:szCs w:val="22"/>
          <w:lang w:val="el-GR"/>
        </w:rPr>
      </w:pPr>
      <w:r w:rsidRPr="00204B4B">
        <w:rPr>
          <w:color w:val="000000"/>
          <w:sz w:val="22"/>
          <w:szCs w:val="22"/>
          <w:lang w:val="el-GR"/>
        </w:rPr>
        <w:t>Επειδή δεν υπάρχουν σχετικά στοιχεία αποτελεσματικότητας κα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 xml:space="preserve"> ασφάλειας, δεν συν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στάτα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 xml:space="preserve"> η</w:t>
      </w:r>
      <w:r>
        <w:rPr>
          <w:color w:val="000000"/>
          <w:sz w:val="22"/>
          <w:szCs w:val="22"/>
          <w:lang w:val="el-GR"/>
        </w:rPr>
        <w:t xml:space="preserve"> </w:t>
      </w:r>
      <w:r w:rsidRPr="00204B4B">
        <w:rPr>
          <w:color w:val="000000"/>
          <w:sz w:val="22"/>
          <w:szCs w:val="22"/>
          <w:lang w:val="el-GR"/>
        </w:rPr>
        <w:t>χορήγηση αυτού του φαρμάκου σε πα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δ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ά.</w:t>
      </w:r>
    </w:p>
    <w:p w:rsidR="00660578" w:rsidRDefault="00660578" w:rsidP="00357FA3">
      <w:pPr>
        <w:shd w:val="clear" w:color="auto" w:fill="FFFFFF"/>
        <w:spacing w:line="360" w:lineRule="auto"/>
        <w:ind w:right="432"/>
        <w:jc w:val="both"/>
        <w:rPr>
          <w:color w:val="000000"/>
          <w:sz w:val="22"/>
          <w:szCs w:val="22"/>
          <w:lang w:val="el-GR"/>
        </w:rPr>
      </w:pPr>
    </w:p>
    <w:p w:rsidR="00660578" w:rsidRPr="00204B4B" w:rsidRDefault="00660578" w:rsidP="00357FA3">
      <w:pPr>
        <w:shd w:val="clear" w:color="auto" w:fill="FFFFFF"/>
        <w:spacing w:line="360" w:lineRule="auto"/>
        <w:jc w:val="both"/>
        <w:rPr>
          <w:sz w:val="22"/>
          <w:szCs w:val="22"/>
          <w:lang w:val="el-GR"/>
        </w:rPr>
      </w:pPr>
      <w:r w:rsidRPr="000F5056">
        <w:rPr>
          <w:sz w:val="22"/>
          <w:szCs w:val="22"/>
          <w:lang w:val="el-GR"/>
        </w:rPr>
        <w:t>Οι αιθυλεστέρες των Ω-3- πολυακόρεστων λιπαρών οξέων</w:t>
      </w:r>
      <w:r w:rsidRPr="000F5056">
        <w:rPr>
          <w:bCs/>
          <w:color w:val="000000"/>
          <w:sz w:val="22"/>
          <w:szCs w:val="22"/>
          <w:lang w:val="el-GR"/>
        </w:rPr>
        <w:t xml:space="preserve"> </w:t>
      </w:r>
      <w:r w:rsidRPr="000F5056">
        <w:rPr>
          <w:color w:val="000000"/>
          <w:sz w:val="22"/>
          <w:szCs w:val="22"/>
          <w:lang w:val="el-GR"/>
        </w:rPr>
        <w:t>δεν ενδείκνυνται στην εξωγενή υπερτριγλυκεριδαιμία (τύπου 1 υπερχυλομικροναιμίας). Δεν υπάρχει επαρκής εμπειρία σε</w:t>
      </w:r>
      <w:r w:rsidRPr="00204B4B">
        <w:rPr>
          <w:color w:val="000000"/>
          <w:sz w:val="22"/>
          <w:szCs w:val="22"/>
          <w:lang w:val="el-GR"/>
        </w:rPr>
        <w:t xml:space="preserve"> δευτερογενή ενδογενή υπερτρ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γλυκερ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δα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μία (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δ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αίτερα σε μη ρυθμισμένο δ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αβήτη).</w:t>
      </w:r>
    </w:p>
    <w:p w:rsidR="00660578" w:rsidRDefault="00660578" w:rsidP="00357FA3">
      <w:pPr>
        <w:shd w:val="clear" w:color="auto" w:fill="FFFFFF"/>
        <w:spacing w:line="360" w:lineRule="auto"/>
        <w:ind w:right="432"/>
        <w:jc w:val="both"/>
        <w:rPr>
          <w:color w:val="000000"/>
          <w:sz w:val="22"/>
          <w:szCs w:val="22"/>
          <w:lang w:val="el-GR"/>
        </w:rPr>
      </w:pPr>
    </w:p>
    <w:p w:rsidR="00660578" w:rsidRDefault="00660578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204B4B">
        <w:rPr>
          <w:color w:val="000000"/>
          <w:sz w:val="22"/>
          <w:szCs w:val="22"/>
          <w:lang w:val="el-GR"/>
        </w:rPr>
        <w:t>Δεν υπάρχει εμπειρία όσον αφορά στην αντ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μετώπ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ση της υπερτριγλυκεριδα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μίας με αγωγή συνδυασμού με φ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μπράτες.</w:t>
      </w:r>
    </w:p>
    <w:p w:rsidR="00660578" w:rsidRPr="00204B4B" w:rsidRDefault="00660578" w:rsidP="00357FA3">
      <w:pPr>
        <w:shd w:val="clear" w:color="auto" w:fill="FFFFFF"/>
        <w:spacing w:line="360" w:lineRule="auto"/>
        <w:ind w:right="432"/>
        <w:jc w:val="both"/>
        <w:rPr>
          <w:sz w:val="22"/>
          <w:szCs w:val="22"/>
          <w:lang w:val="el-GR"/>
        </w:rPr>
      </w:pPr>
    </w:p>
    <w:p w:rsidR="00660578" w:rsidRPr="00660578" w:rsidRDefault="00660578" w:rsidP="00357FA3">
      <w:pPr>
        <w:shd w:val="clear" w:color="auto" w:fill="FFFFFF"/>
        <w:spacing w:line="360" w:lineRule="auto"/>
        <w:jc w:val="both"/>
        <w:rPr>
          <w:b/>
          <w:sz w:val="22"/>
          <w:szCs w:val="22"/>
          <w:lang w:val="el-GR"/>
        </w:rPr>
      </w:pPr>
      <w:r w:rsidRPr="00660578">
        <w:rPr>
          <w:b/>
          <w:color w:val="000000"/>
          <w:sz w:val="22"/>
          <w:szCs w:val="22"/>
          <w:u w:val="single"/>
          <w:lang w:val="el-GR"/>
        </w:rPr>
        <w:t>Ιδιαίτερες προφυλάξεις</w:t>
      </w:r>
    </w:p>
    <w:p w:rsidR="00811521" w:rsidRPr="00477CFD" w:rsidRDefault="00660578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  <w:r w:rsidRPr="00204B4B">
        <w:rPr>
          <w:color w:val="000000"/>
          <w:sz w:val="22"/>
          <w:szCs w:val="22"/>
          <w:lang w:val="el-GR"/>
        </w:rPr>
        <w:t>Απαιτείται τακτική παρακολούθησ</w:t>
      </w:r>
      <w:r>
        <w:rPr>
          <w:color w:val="000000"/>
          <w:sz w:val="22"/>
          <w:szCs w:val="22"/>
          <w:lang w:val="el-GR"/>
        </w:rPr>
        <w:t>η</w:t>
      </w:r>
      <w:r w:rsidRPr="00204B4B">
        <w:rPr>
          <w:color w:val="000000"/>
          <w:sz w:val="22"/>
          <w:szCs w:val="22"/>
          <w:lang w:val="el-GR"/>
        </w:rPr>
        <w:t xml:space="preserve"> της ηπατ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κής λειτουργίας (</w:t>
      </w:r>
      <w:r w:rsidRPr="00204B4B">
        <w:rPr>
          <w:color w:val="000000"/>
          <w:sz w:val="22"/>
          <w:szCs w:val="22"/>
          <w:lang w:val="en-US"/>
        </w:rPr>
        <w:t>ASAT</w:t>
      </w:r>
      <w:r w:rsidRPr="00204B4B">
        <w:rPr>
          <w:color w:val="000000"/>
          <w:sz w:val="22"/>
          <w:szCs w:val="22"/>
          <w:lang w:val="el-GR"/>
        </w:rPr>
        <w:t xml:space="preserve"> και </w:t>
      </w:r>
      <w:r w:rsidRPr="00204B4B">
        <w:rPr>
          <w:color w:val="000000"/>
          <w:sz w:val="22"/>
          <w:szCs w:val="22"/>
          <w:lang w:val="en-US"/>
        </w:rPr>
        <w:t>ALAT</w:t>
      </w:r>
      <w:r w:rsidRPr="00204B4B">
        <w:rPr>
          <w:color w:val="000000"/>
          <w:sz w:val="22"/>
          <w:szCs w:val="22"/>
          <w:lang w:val="el-GR"/>
        </w:rPr>
        <w:t>) σε</w:t>
      </w:r>
      <w:r>
        <w:rPr>
          <w:color w:val="000000"/>
          <w:sz w:val="22"/>
          <w:szCs w:val="22"/>
          <w:lang w:val="el-GR"/>
        </w:rPr>
        <w:t xml:space="preserve"> </w:t>
      </w:r>
      <w:r w:rsidRPr="00204B4B">
        <w:rPr>
          <w:color w:val="000000"/>
          <w:sz w:val="22"/>
          <w:szCs w:val="22"/>
          <w:lang w:val="el-GR"/>
        </w:rPr>
        <w:t>ασθενείς με ηπατική δυσλειτουργία (ε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δ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>κά στ</w:t>
      </w:r>
      <w:r>
        <w:rPr>
          <w:color w:val="000000"/>
          <w:sz w:val="22"/>
          <w:szCs w:val="22"/>
          <w:lang w:val="el-GR"/>
        </w:rPr>
        <w:t>ι</w:t>
      </w:r>
      <w:r w:rsidRPr="00204B4B">
        <w:rPr>
          <w:color w:val="000000"/>
          <w:sz w:val="22"/>
          <w:szCs w:val="22"/>
          <w:lang w:val="el-GR"/>
        </w:rPr>
        <w:t xml:space="preserve">ς υψηλές δόσεις, δηλ. 4 </w:t>
      </w:r>
      <w:r>
        <w:rPr>
          <w:color w:val="000000"/>
          <w:sz w:val="22"/>
          <w:szCs w:val="22"/>
          <w:lang w:val="el-GR"/>
        </w:rPr>
        <w:t>κάψουλες</w:t>
      </w:r>
      <w:r w:rsidRPr="00204B4B">
        <w:rPr>
          <w:color w:val="000000"/>
          <w:sz w:val="22"/>
          <w:szCs w:val="22"/>
          <w:lang w:val="el-GR"/>
        </w:rPr>
        <w:t>).</w:t>
      </w:r>
    </w:p>
    <w:p w:rsidR="00195FEB" w:rsidRPr="00357FA3" w:rsidRDefault="003E08DE" w:rsidP="00357FA3">
      <w:pPr>
        <w:numPr>
          <w:ilvl w:val="1"/>
          <w:numId w:val="26"/>
        </w:numPr>
        <w:tabs>
          <w:tab w:val="left" w:pos="567"/>
        </w:tabs>
        <w:spacing w:line="360" w:lineRule="auto"/>
        <w:ind w:left="567" w:hanging="567"/>
        <w:jc w:val="both"/>
        <w:rPr>
          <w:b/>
          <w:bCs/>
          <w:lang w:val="el-GR"/>
        </w:rPr>
      </w:pPr>
      <w:r w:rsidRPr="00357FA3">
        <w:rPr>
          <w:b/>
          <w:bCs/>
          <w:lang w:val="el-GR"/>
        </w:rPr>
        <w:lastRenderedPageBreak/>
        <w:t>Αλληλεπιδράσεις Με Άλλα Φαρμακευτικά Προϊόντα Και Άλλες Μορφές Αλληλεπίδρασης</w:t>
      </w:r>
    </w:p>
    <w:p w:rsidR="00660578" w:rsidRPr="00660578" w:rsidRDefault="00660578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660578">
        <w:rPr>
          <w:color w:val="000000"/>
          <w:sz w:val="22"/>
          <w:szCs w:val="22"/>
          <w:lang w:val="el-GR"/>
        </w:rPr>
        <w:t>Από του στόματος αντιπηκτικά: Βλ. παραγρ. 4.4.: «Ιδιαίτερες προειδοποιήσεις και ιδιαίτερες προφυλάξεις κατά τη χρήση».</w:t>
      </w:r>
    </w:p>
    <w:p w:rsidR="00660578" w:rsidRDefault="00660578" w:rsidP="00357FA3">
      <w:pPr>
        <w:pStyle w:val="HEADING3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0000"/>
          <w:u w:val="none"/>
          <w:lang w:val="el-GR"/>
        </w:rPr>
      </w:pPr>
      <w:r w:rsidRPr="00660578">
        <w:rPr>
          <w:rFonts w:ascii="Times New Roman" w:hAnsi="Times New Roman"/>
          <w:u w:val="none"/>
          <w:lang w:val="el-GR"/>
        </w:rPr>
        <w:t>Οι αιθυλεστέρες των Ω-3- πολυακόρεστων λιπαρών οξέων</w:t>
      </w:r>
      <w:r w:rsidRPr="00660578">
        <w:rPr>
          <w:rFonts w:ascii="Times New Roman" w:hAnsi="Times New Roman"/>
          <w:bCs/>
          <w:color w:val="000000"/>
          <w:u w:val="none"/>
          <w:lang w:val="el-GR"/>
        </w:rPr>
        <w:t xml:space="preserve"> </w:t>
      </w:r>
      <w:r w:rsidRPr="00660578">
        <w:rPr>
          <w:rFonts w:ascii="Times New Roman" w:hAnsi="Times New Roman"/>
          <w:color w:val="000000"/>
          <w:u w:val="none"/>
          <w:lang w:val="el-GR"/>
        </w:rPr>
        <w:t>έχουν συγχορηγηθεί με βαρφαρίνη χωρί</w:t>
      </w:r>
      <w:r>
        <w:rPr>
          <w:rFonts w:ascii="Times New Roman" w:hAnsi="Times New Roman"/>
          <w:color w:val="000000"/>
          <w:u w:val="none"/>
          <w:lang w:val="el-GR"/>
        </w:rPr>
        <w:t>ς να</w:t>
      </w:r>
    </w:p>
    <w:p w:rsidR="00660578" w:rsidRDefault="00660578" w:rsidP="00357FA3">
      <w:pPr>
        <w:pStyle w:val="HEADING3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u w:val="none"/>
          <w:lang w:val="el-GR"/>
        </w:rPr>
      </w:pPr>
      <w:r w:rsidRPr="00660578">
        <w:rPr>
          <w:rFonts w:ascii="Times New Roman" w:hAnsi="Times New Roman"/>
          <w:color w:val="000000"/>
          <w:u w:val="none"/>
          <w:lang w:val="el-GR"/>
        </w:rPr>
        <w:t xml:space="preserve">παρουσιαστούν αιμορραγικές επιπλοκές. Πρέπει, όμως, να ελέγχεται ο χρόνος προθρομβίνης όταν </w:t>
      </w:r>
      <w:r>
        <w:rPr>
          <w:rFonts w:ascii="Times New Roman" w:hAnsi="Times New Roman"/>
          <w:u w:val="none"/>
          <w:lang w:val="el-GR"/>
        </w:rPr>
        <w:t>οι</w:t>
      </w:r>
    </w:p>
    <w:p w:rsidR="00660578" w:rsidRDefault="00660578" w:rsidP="00357FA3">
      <w:pPr>
        <w:pStyle w:val="HEADING3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0000"/>
          <w:u w:val="none"/>
          <w:lang w:val="el-GR"/>
        </w:rPr>
      </w:pPr>
      <w:r w:rsidRPr="00660578">
        <w:rPr>
          <w:rFonts w:ascii="Times New Roman" w:hAnsi="Times New Roman"/>
          <w:u w:val="none"/>
          <w:lang w:val="el-GR"/>
        </w:rPr>
        <w:t>αιθυλεστέρες των Ω-3- πολυακόρεστων λιπαρών οξέων</w:t>
      </w:r>
      <w:r w:rsidRPr="00660578">
        <w:rPr>
          <w:rFonts w:ascii="Times New Roman" w:hAnsi="Times New Roman"/>
          <w:bCs/>
          <w:color w:val="000000"/>
          <w:u w:val="none"/>
          <w:lang w:val="el-GR"/>
        </w:rPr>
        <w:t xml:space="preserve"> </w:t>
      </w:r>
      <w:r w:rsidRPr="00660578">
        <w:rPr>
          <w:rFonts w:ascii="Times New Roman" w:hAnsi="Times New Roman"/>
          <w:color w:val="000000"/>
          <w:u w:val="none"/>
          <w:lang w:val="el-GR"/>
        </w:rPr>
        <w:t>συγχορηγούνται με βαρφαρίνη ή όταν διακόπτεται</w:t>
      </w:r>
      <w:r>
        <w:rPr>
          <w:rFonts w:ascii="Times New Roman" w:hAnsi="Times New Roman"/>
          <w:color w:val="000000"/>
          <w:u w:val="none"/>
          <w:lang w:val="el-GR"/>
        </w:rPr>
        <w:t xml:space="preserve"> η</w:t>
      </w:r>
    </w:p>
    <w:p w:rsidR="00FA4E1B" w:rsidRPr="00660578" w:rsidRDefault="00660578" w:rsidP="00357FA3">
      <w:pPr>
        <w:pStyle w:val="HEADING3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u w:val="none"/>
          <w:lang w:val="el-GR"/>
        </w:rPr>
      </w:pPr>
      <w:r w:rsidRPr="00660578">
        <w:rPr>
          <w:rFonts w:ascii="Times New Roman" w:hAnsi="Times New Roman"/>
          <w:color w:val="000000"/>
          <w:u w:val="none"/>
          <w:lang w:val="el-GR"/>
        </w:rPr>
        <w:t xml:space="preserve">αγωγή με </w:t>
      </w:r>
      <w:r w:rsidRPr="00660578">
        <w:rPr>
          <w:rFonts w:ascii="Times New Roman" w:hAnsi="Times New Roman"/>
          <w:u w:val="none"/>
          <w:lang w:val="el-GR"/>
        </w:rPr>
        <w:t>αιθυλεστέρες των Ω-3- πολυακόρεστων λιπαρών οξέων</w:t>
      </w:r>
      <w:r w:rsidRPr="00660578">
        <w:rPr>
          <w:rFonts w:ascii="Times New Roman" w:hAnsi="Times New Roman"/>
          <w:color w:val="000000"/>
          <w:u w:val="none"/>
          <w:lang w:val="el-GR"/>
        </w:rPr>
        <w:t>.</w:t>
      </w:r>
    </w:p>
    <w:p w:rsidR="008A01E7" w:rsidRPr="00477CFD" w:rsidRDefault="008A01E7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</w:p>
    <w:p w:rsidR="00195FEB" w:rsidRPr="00E53BBB" w:rsidRDefault="00660578" w:rsidP="00357FA3">
      <w:pPr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E53BBB">
        <w:rPr>
          <w:b/>
          <w:bCs/>
          <w:lang w:val="el-GR"/>
        </w:rPr>
        <w:t xml:space="preserve">Χορήγηση κατά τη </w:t>
      </w:r>
      <w:r w:rsidR="00F2527D" w:rsidRPr="00E53BBB">
        <w:rPr>
          <w:b/>
          <w:bCs/>
          <w:lang w:val="el-GR"/>
        </w:rPr>
        <w:t>Κύηση Και Γαλουχία</w:t>
      </w:r>
    </w:p>
    <w:p w:rsidR="00660578" w:rsidRPr="00B01C31" w:rsidRDefault="00660578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AD34CF">
        <w:rPr>
          <w:color w:val="000000"/>
          <w:sz w:val="22"/>
          <w:szCs w:val="22"/>
          <w:u w:val="single"/>
          <w:lang w:val="el-GR"/>
        </w:rPr>
        <w:t>Κύηση</w:t>
      </w:r>
    </w:p>
    <w:p w:rsidR="00660578" w:rsidRPr="00D4752B" w:rsidRDefault="00660578" w:rsidP="00357FA3">
      <w:pPr>
        <w:shd w:val="clear" w:color="auto" w:fill="FFFFFF"/>
        <w:spacing w:line="360" w:lineRule="auto"/>
        <w:jc w:val="both"/>
        <w:rPr>
          <w:sz w:val="22"/>
          <w:szCs w:val="22"/>
          <w:lang w:val="el-GR"/>
        </w:rPr>
      </w:pPr>
      <w:r w:rsidRPr="00D4752B">
        <w:rPr>
          <w:color w:val="000000"/>
          <w:sz w:val="22"/>
          <w:szCs w:val="22"/>
          <w:lang w:val="el-GR"/>
        </w:rPr>
        <w:t xml:space="preserve">Δεν υπάρχουν επαρκή στοιχεία από τη χρήση </w:t>
      </w:r>
      <w:r w:rsidRPr="000C6E52">
        <w:rPr>
          <w:color w:val="000000"/>
          <w:sz w:val="22"/>
          <w:szCs w:val="22"/>
          <w:lang w:val="el-GR"/>
        </w:rPr>
        <w:t xml:space="preserve">των </w:t>
      </w:r>
      <w:r w:rsidRPr="000C6E52">
        <w:rPr>
          <w:sz w:val="22"/>
          <w:szCs w:val="22"/>
          <w:lang w:val="el-GR"/>
        </w:rPr>
        <w:t>αιθυλεστέρων των Ω-3- πολυακόρεστων λιπαρών οξέων</w:t>
      </w:r>
      <w:r>
        <w:rPr>
          <w:bCs/>
          <w:color w:val="000000"/>
          <w:sz w:val="22"/>
          <w:szCs w:val="22"/>
          <w:lang w:val="el-GR"/>
        </w:rPr>
        <w:t xml:space="preserve"> </w:t>
      </w:r>
      <w:r w:rsidRPr="00D4752B">
        <w:rPr>
          <w:color w:val="000000"/>
          <w:sz w:val="22"/>
          <w:szCs w:val="22"/>
          <w:lang w:val="el-GR"/>
        </w:rPr>
        <w:t>σε εγκύους. Μελέτες σε ζώα δεν έχουν δείξε</w:t>
      </w:r>
      <w:r>
        <w:rPr>
          <w:color w:val="000000"/>
          <w:sz w:val="22"/>
          <w:szCs w:val="22"/>
          <w:lang w:val="el-GR"/>
        </w:rPr>
        <w:t>ι</w:t>
      </w:r>
      <w:r w:rsidRPr="00D4752B">
        <w:rPr>
          <w:color w:val="000000"/>
          <w:sz w:val="22"/>
          <w:szCs w:val="22"/>
          <w:lang w:val="el-GR"/>
        </w:rPr>
        <w:t xml:space="preserve"> τοξ</w:t>
      </w:r>
      <w:r>
        <w:rPr>
          <w:color w:val="000000"/>
          <w:sz w:val="22"/>
          <w:szCs w:val="22"/>
          <w:lang w:val="el-GR"/>
        </w:rPr>
        <w:t>ι</w:t>
      </w:r>
      <w:r w:rsidRPr="00D4752B">
        <w:rPr>
          <w:color w:val="000000"/>
          <w:sz w:val="22"/>
          <w:szCs w:val="22"/>
          <w:lang w:val="el-GR"/>
        </w:rPr>
        <w:t>κή επίδραση στην αναπαραγωγή. Είνα</w:t>
      </w:r>
      <w:r>
        <w:rPr>
          <w:color w:val="000000"/>
          <w:sz w:val="22"/>
          <w:szCs w:val="22"/>
          <w:lang w:val="el-GR"/>
        </w:rPr>
        <w:t>ι</w:t>
      </w:r>
      <w:r w:rsidRPr="00D4752B">
        <w:rPr>
          <w:color w:val="000000"/>
          <w:sz w:val="22"/>
          <w:szCs w:val="22"/>
          <w:lang w:val="el-GR"/>
        </w:rPr>
        <w:t xml:space="preserve"> άγνωστο εάν υφίστατα</w:t>
      </w:r>
      <w:r>
        <w:rPr>
          <w:color w:val="000000"/>
          <w:sz w:val="22"/>
          <w:szCs w:val="22"/>
          <w:lang w:val="el-GR"/>
        </w:rPr>
        <w:t>ι</w:t>
      </w:r>
      <w:r w:rsidRPr="00D4752B">
        <w:rPr>
          <w:color w:val="000000"/>
          <w:sz w:val="22"/>
          <w:szCs w:val="22"/>
          <w:lang w:val="el-GR"/>
        </w:rPr>
        <w:t xml:space="preserve"> π</w:t>
      </w:r>
      <w:r>
        <w:rPr>
          <w:color w:val="000000"/>
          <w:sz w:val="22"/>
          <w:szCs w:val="22"/>
          <w:lang w:val="el-GR"/>
        </w:rPr>
        <w:t>ι</w:t>
      </w:r>
      <w:r w:rsidRPr="00D4752B">
        <w:rPr>
          <w:color w:val="000000"/>
          <w:sz w:val="22"/>
          <w:szCs w:val="22"/>
          <w:lang w:val="el-GR"/>
        </w:rPr>
        <w:t>θανός κίνδυνος γ</w:t>
      </w:r>
      <w:r>
        <w:rPr>
          <w:color w:val="000000"/>
          <w:sz w:val="22"/>
          <w:szCs w:val="22"/>
          <w:lang w:val="el-GR"/>
        </w:rPr>
        <w:t>ι</w:t>
      </w:r>
      <w:r w:rsidRPr="00D4752B">
        <w:rPr>
          <w:color w:val="000000"/>
          <w:sz w:val="22"/>
          <w:szCs w:val="22"/>
          <w:lang w:val="el-GR"/>
        </w:rPr>
        <w:t>α τους ανθρώπους κα</w:t>
      </w:r>
      <w:r>
        <w:rPr>
          <w:color w:val="000000"/>
          <w:sz w:val="22"/>
          <w:szCs w:val="22"/>
          <w:lang w:val="el-GR"/>
        </w:rPr>
        <w:t>ι</w:t>
      </w:r>
      <w:r w:rsidRPr="00D4752B">
        <w:rPr>
          <w:color w:val="000000"/>
          <w:sz w:val="22"/>
          <w:szCs w:val="22"/>
          <w:lang w:val="el-GR"/>
        </w:rPr>
        <w:t xml:space="preserve"> συνεπώς </w:t>
      </w:r>
      <w:r>
        <w:rPr>
          <w:sz w:val="22"/>
          <w:szCs w:val="22"/>
          <w:lang w:val="el-GR"/>
        </w:rPr>
        <w:t>ο</w:t>
      </w:r>
      <w:r w:rsidRPr="000F5056">
        <w:rPr>
          <w:sz w:val="22"/>
          <w:szCs w:val="22"/>
          <w:lang w:val="el-GR"/>
        </w:rPr>
        <w:t>ι αιθυλεστέρες των Ω-3- πολυακόρεστων λιπαρών οξέων</w:t>
      </w:r>
      <w:r w:rsidRPr="000F5056">
        <w:rPr>
          <w:bCs/>
          <w:color w:val="000000"/>
          <w:sz w:val="22"/>
          <w:szCs w:val="22"/>
          <w:lang w:val="el-GR"/>
        </w:rPr>
        <w:t xml:space="preserve"> </w:t>
      </w:r>
      <w:r w:rsidRPr="00D4752B">
        <w:rPr>
          <w:color w:val="000000"/>
          <w:sz w:val="22"/>
          <w:szCs w:val="22"/>
          <w:lang w:val="el-GR"/>
        </w:rPr>
        <w:t>δεν πρέπε</w:t>
      </w:r>
      <w:r>
        <w:rPr>
          <w:color w:val="000000"/>
          <w:sz w:val="22"/>
          <w:szCs w:val="22"/>
          <w:lang w:val="el-GR"/>
        </w:rPr>
        <w:t>ι</w:t>
      </w:r>
      <w:r w:rsidRPr="00D4752B">
        <w:rPr>
          <w:color w:val="000000"/>
          <w:sz w:val="22"/>
          <w:szCs w:val="22"/>
          <w:lang w:val="el-GR"/>
        </w:rPr>
        <w:t xml:space="preserve"> να χρησ</w:t>
      </w:r>
      <w:r>
        <w:rPr>
          <w:color w:val="000000"/>
          <w:sz w:val="22"/>
          <w:szCs w:val="22"/>
          <w:lang w:val="el-GR"/>
        </w:rPr>
        <w:t>ι</w:t>
      </w:r>
      <w:r w:rsidRPr="00D4752B">
        <w:rPr>
          <w:color w:val="000000"/>
          <w:sz w:val="22"/>
          <w:szCs w:val="22"/>
          <w:lang w:val="el-GR"/>
        </w:rPr>
        <w:t>μοπο</w:t>
      </w:r>
      <w:r>
        <w:rPr>
          <w:color w:val="000000"/>
          <w:sz w:val="22"/>
          <w:szCs w:val="22"/>
          <w:lang w:val="el-GR"/>
        </w:rPr>
        <w:t xml:space="preserve">ιούνται </w:t>
      </w:r>
      <w:r w:rsidRPr="00D4752B">
        <w:rPr>
          <w:color w:val="000000"/>
          <w:sz w:val="22"/>
          <w:szCs w:val="22"/>
          <w:lang w:val="el-GR"/>
        </w:rPr>
        <w:t>κατά την εγκυμοσύνη εκτός κα</w:t>
      </w:r>
      <w:r>
        <w:rPr>
          <w:color w:val="000000"/>
          <w:sz w:val="22"/>
          <w:szCs w:val="22"/>
          <w:lang w:val="el-GR"/>
        </w:rPr>
        <w:t>ι</w:t>
      </w:r>
      <w:r w:rsidRPr="00D4752B">
        <w:rPr>
          <w:color w:val="000000"/>
          <w:sz w:val="22"/>
          <w:szCs w:val="22"/>
          <w:lang w:val="el-GR"/>
        </w:rPr>
        <w:t xml:space="preserve"> είνα</w:t>
      </w:r>
      <w:r>
        <w:rPr>
          <w:color w:val="000000"/>
          <w:sz w:val="22"/>
          <w:szCs w:val="22"/>
          <w:lang w:val="el-GR"/>
        </w:rPr>
        <w:t>ι</w:t>
      </w:r>
      <w:r w:rsidRPr="00D4752B">
        <w:rPr>
          <w:color w:val="000000"/>
          <w:sz w:val="22"/>
          <w:szCs w:val="22"/>
          <w:lang w:val="el-GR"/>
        </w:rPr>
        <w:t xml:space="preserve"> απολύτως απαραίτητο.</w:t>
      </w:r>
    </w:p>
    <w:p w:rsidR="00660578" w:rsidRPr="00D4752B" w:rsidRDefault="00660578" w:rsidP="00357FA3">
      <w:pPr>
        <w:shd w:val="clear" w:color="auto" w:fill="FFFFFF"/>
        <w:spacing w:line="360" w:lineRule="auto"/>
        <w:ind w:left="360"/>
        <w:jc w:val="both"/>
        <w:rPr>
          <w:color w:val="000000"/>
          <w:spacing w:val="-1"/>
          <w:sz w:val="22"/>
          <w:szCs w:val="22"/>
          <w:highlight w:val="yellow"/>
          <w:u w:val="single"/>
          <w:lang w:val="el-GR"/>
        </w:rPr>
      </w:pPr>
    </w:p>
    <w:p w:rsidR="00660578" w:rsidRPr="007F2478" w:rsidRDefault="00660578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7F2478">
        <w:rPr>
          <w:color w:val="000000"/>
          <w:sz w:val="22"/>
          <w:szCs w:val="22"/>
          <w:u w:val="single"/>
          <w:lang w:val="el-GR"/>
        </w:rPr>
        <w:t>Γαλου</w:t>
      </w:r>
      <w:r>
        <w:rPr>
          <w:color w:val="000000"/>
          <w:sz w:val="22"/>
          <w:szCs w:val="22"/>
          <w:u w:val="single"/>
          <w:lang w:val="el-GR"/>
        </w:rPr>
        <w:t>χ</w:t>
      </w:r>
      <w:r w:rsidRPr="007F2478">
        <w:rPr>
          <w:color w:val="000000"/>
          <w:sz w:val="22"/>
          <w:szCs w:val="22"/>
          <w:u w:val="single"/>
          <w:lang w:val="el-GR"/>
        </w:rPr>
        <w:t>ία</w:t>
      </w:r>
    </w:p>
    <w:p w:rsidR="00DD6FD0" w:rsidRPr="00477CFD" w:rsidRDefault="00660578" w:rsidP="00357FA3">
      <w:pPr>
        <w:spacing w:line="360" w:lineRule="auto"/>
        <w:jc w:val="both"/>
        <w:rPr>
          <w:b/>
          <w:iCs/>
          <w:sz w:val="22"/>
          <w:szCs w:val="22"/>
          <w:lang w:val="el-GR"/>
        </w:rPr>
      </w:pPr>
      <w:r w:rsidRPr="007F2478">
        <w:rPr>
          <w:color w:val="000000"/>
          <w:sz w:val="22"/>
          <w:szCs w:val="22"/>
          <w:lang w:val="el-GR"/>
        </w:rPr>
        <w:t xml:space="preserve">Δεν υπάρχουν στοιχεία αναφορικά με την έκκριση </w:t>
      </w:r>
      <w:r w:rsidRPr="000C6E52">
        <w:rPr>
          <w:sz w:val="22"/>
          <w:szCs w:val="22"/>
          <w:lang w:val="el-GR"/>
        </w:rPr>
        <w:t>αιθυλεστέρων των Ω-3- πολυακόρεστων λιπαρών οξέων</w:t>
      </w:r>
      <w:r>
        <w:rPr>
          <w:bCs/>
          <w:color w:val="000000"/>
          <w:sz w:val="22"/>
          <w:szCs w:val="22"/>
          <w:lang w:val="el-GR"/>
        </w:rPr>
        <w:t xml:space="preserve"> </w:t>
      </w:r>
      <w:r w:rsidRPr="007F2478">
        <w:rPr>
          <w:color w:val="000000"/>
          <w:sz w:val="22"/>
          <w:szCs w:val="22"/>
          <w:lang w:val="el-GR"/>
        </w:rPr>
        <w:t>στο γάλα των ανθρώπων</w:t>
      </w:r>
      <w:r>
        <w:rPr>
          <w:color w:val="000000"/>
          <w:sz w:val="22"/>
          <w:szCs w:val="22"/>
          <w:lang w:val="el-GR"/>
        </w:rPr>
        <w:t xml:space="preserve"> </w:t>
      </w:r>
      <w:r w:rsidRPr="00E65EAD">
        <w:rPr>
          <w:bCs/>
          <w:color w:val="000000"/>
          <w:sz w:val="22"/>
          <w:szCs w:val="22"/>
          <w:lang w:val="el-GR"/>
        </w:rPr>
        <w:t xml:space="preserve">ή </w:t>
      </w:r>
      <w:r w:rsidRPr="007F2478">
        <w:rPr>
          <w:color w:val="000000"/>
          <w:sz w:val="22"/>
          <w:szCs w:val="22"/>
          <w:lang w:val="el-GR"/>
        </w:rPr>
        <w:t xml:space="preserve">των ζώων. </w:t>
      </w:r>
      <w:r>
        <w:rPr>
          <w:sz w:val="22"/>
          <w:szCs w:val="22"/>
          <w:lang w:val="el-GR"/>
        </w:rPr>
        <w:t>Ο</w:t>
      </w:r>
      <w:r w:rsidRPr="000F5056">
        <w:rPr>
          <w:sz w:val="22"/>
          <w:szCs w:val="22"/>
          <w:lang w:val="el-GR"/>
        </w:rPr>
        <w:t>ι αιθυλεστέρες των Ω-3- πολυακόρεστων λιπαρών οξέων</w:t>
      </w:r>
      <w:r>
        <w:rPr>
          <w:bCs/>
          <w:color w:val="000000"/>
          <w:sz w:val="22"/>
          <w:szCs w:val="22"/>
          <w:lang w:val="el-GR"/>
        </w:rPr>
        <w:t xml:space="preserve"> </w:t>
      </w:r>
      <w:r w:rsidRPr="007F2478">
        <w:rPr>
          <w:color w:val="000000"/>
          <w:sz w:val="22"/>
          <w:szCs w:val="22"/>
          <w:lang w:val="el-GR"/>
        </w:rPr>
        <w:t>δεν πρέπει</w:t>
      </w:r>
      <w:r>
        <w:rPr>
          <w:color w:val="000000"/>
          <w:sz w:val="22"/>
          <w:szCs w:val="22"/>
          <w:lang w:val="el-GR"/>
        </w:rPr>
        <w:t xml:space="preserve"> </w:t>
      </w:r>
      <w:r w:rsidRPr="007F2478">
        <w:rPr>
          <w:color w:val="000000"/>
          <w:sz w:val="22"/>
          <w:szCs w:val="22"/>
          <w:lang w:val="el-GR"/>
        </w:rPr>
        <w:t>να χρησιμοποιού</w:t>
      </w:r>
      <w:r>
        <w:rPr>
          <w:color w:val="000000"/>
          <w:sz w:val="22"/>
          <w:szCs w:val="22"/>
          <w:lang w:val="el-GR"/>
        </w:rPr>
        <w:t>νται</w:t>
      </w:r>
      <w:r w:rsidRPr="007F2478">
        <w:rPr>
          <w:color w:val="000000"/>
          <w:sz w:val="22"/>
          <w:szCs w:val="22"/>
          <w:lang w:val="el-GR"/>
        </w:rPr>
        <w:t xml:space="preserve"> κατά τη γαλουχία.</w:t>
      </w:r>
    </w:p>
    <w:p w:rsidR="00C718DD" w:rsidRPr="00477CFD" w:rsidRDefault="00C718DD" w:rsidP="00357FA3">
      <w:pPr>
        <w:spacing w:line="360" w:lineRule="auto"/>
        <w:jc w:val="both"/>
        <w:rPr>
          <w:sz w:val="22"/>
          <w:szCs w:val="22"/>
        </w:rPr>
      </w:pPr>
    </w:p>
    <w:p w:rsidR="00195FEB" w:rsidRPr="00E53BBB" w:rsidRDefault="00F2527D" w:rsidP="00357FA3">
      <w:pPr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E53BBB">
        <w:rPr>
          <w:b/>
          <w:bCs/>
          <w:lang w:val="el-GR"/>
        </w:rPr>
        <w:t>Επιδράσεις Στην Ικανότητα Οδήγησης Και Χειρισμού Μηχανών</w:t>
      </w:r>
    </w:p>
    <w:p w:rsidR="000F04C7" w:rsidRPr="00660578" w:rsidRDefault="00660578" w:rsidP="00357FA3">
      <w:pPr>
        <w:pStyle w:val="HEADING3"/>
        <w:numPr>
          <w:ilvl w:val="0"/>
          <w:numId w:val="0"/>
        </w:numPr>
        <w:jc w:val="both"/>
        <w:rPr>
          <w:rFonts w:ascii="Times New Roman" w:hAnsi="Times New Roman" w:cs="Times New Roman"/>
          <w:iCs/>
          <w:u w:val="none"/>
          <w:lang w:val="el-GR"/>
        </w:rPr>
      </w:pPr>
      <w:proofErr w:type="gramStart"/>
      <w:r w:rsidRPr="00660578">
        <w:rPr>
          <w:rFonts w:ascii="Times New Roman" w:hAnsi="Times New Roman"/>
          <w:color w:val="000000"/>
          <w:u w:val="none"/>
        </w:rPr>
        <w:t>Δεν σχετίζεται.</w:t>
      </w:r>
      <w:proofErr w:type="gramEnd"/>
    </w:p>
    <w:p w:rsidR="001948A2" w:rsidRPr="00477CFD" w:rsidRDefault="001948A2" w:rsidP="00357FA3">
      <w:pPr>
        <w:pStyle w:val="HEADING3"/>
        <w:numPr>
          <w:ilvl w:val="0"/>
          <w:numId w:val="0"/>
        </w:numPr>
        <w:jc w:val="both"/>
        <w:rPr>
          <w:rFonts w:ascii="Times New Roman" w:hAnsi="Times New Roman" w:cs="Times New Roman"/>
          <w:u w:val="none"/>
          <w:lang w:val="el-GR"/>
        </w:rPr>
      </w:pPr>
    </w:p>
    <w:p w:rsidR="00195FEB" w:rsidRPr="00E53BBB" w:rsidRDefault="006507B7" w:rsidP="00357FA3">
      <w:pPr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E53BBB">
        <w:rPr>
          <w:b/>
          <w:bCs/>
          <w:lang w:val="el-GR"/>
        </w:rPr>
        <w:t>Ανεπιθύμητες Ενέργειες</w:t>
      </w:r>
    </w:p>
    <w:p w:rsidR="0029143F" w:rsidRDefault="0029143F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03620B">
        <w:rPr>
          <w:bCs/>
          <w:color w:val="000000"/>
          <w:sz w:val="22"/>
          <w:szCs w:val="22"/>
          <w:lang w:val="el-GR"/>
        </w:rPr>
        <w:t>Οι</w:t>
      </w:r>
      <w:r w:rsidRPr="0003620B">
        <w:rPr>
          <w:b/>
          <w:bCs/>
          <w:color w:val="000000"/>
          <w:sz w:val="22"/>
          <w:szCs w:val="22"/>
          <w:lang w:val="el-GR"/>
        </w:rPr>
        <w:t xml:space="preserve"> </w:t>
      </w:r>
      <w:r w:rsidRPr="0003620B">
        <w:rPr>
          <w:color w:val="000000"/>
          <w:sz w:val="22"/>
          <w:szCs w:val="22"/>
          <w:lang w:val="el-GR"/>
        </w:rPr>
        <w:t>συχνότητες των ανεπιθύμητων ενεργειών ιεραρχούνται σύμφωνα με τα ακόλουθα: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color w:val="000000"/>
          <w:sz w:val="22"/>
          <w:szCs w:val="22"/>
          <w:lang w:val="el-GR"/>
        </w:rPr>
        <w:t xml:space="preserve"> Συχνές (&gt;1/100, &lt;1/10), Ασυνήθεις (&gt;1/1000, &lt;1/100), Σπάνιες (&gt;1/10000, &lt;1/1000), Πολύ σπάνιες (&lt;1/10000), περιλαμβανομένων μεμονωμένων αναφορών.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b/>
          <w:bCs/>
          <w:color w:val="000000"/>
          <w:sz w:val="22"/>
          <w:szCs w:val="22"/>
          <w:lang w:val="el-GR"/>
        </w:rPr>
        <w:t>Λοιμώξεις και παρασιτώσεις: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color w:val="000000"/>
          <w:sz w:val="22"/>
          <w:szCs w:val="22"/>
          <w:lang w:val="el-GR"/>
        </w:rPr>
        <w:t>Ασυνήθεις: Γαστρεντερίτιδα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b/>
          <w:bCs/>
          <w:color w:val="000000"/>
          <w:sz w:val="22"/>
          <w:szCs w:val="22"/>
          <w:lang w:val="el-GR"/>
        </w:rPr>
        <w:t>Διαταραχές του ανοσοποιητικού συστήματος: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color w:val="000000"/>
          <w:sz w:val="22"/>
          <w:szCs w:val="22"/>
          <w:lang w:val="el-GR"/>
        </w:rPr>
        <w:t>Ασυνήθεις: Υπερευαισθησία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b/>
          <w:bCs/>
          <w:color w:val="000000"/>
          <w:sz w:val="22"/>
          <w:szCs w:val="22"/>
          <w:lang w:val="el-GR"/>
        </w:rPr>
        <w:t>Διαταραχές του μεταβολισμού και της θρέψης: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color w:val="000000"/>
          <w:sz w:val="22"/>
          <w:szCs w:val="22"/>
          <w:lang w:val="el-GR"/>
        </w:rPr>
        <w:t>Σπάνιες: Υπεργλυκαιμία.</w:t>
      </w:r>
    </w:p>
    <w:p w:rsidR="0029143F" w:rsidRPr="0003620B" w:rsidRDefault="007F5E28" w:rsidP="00357FA3">
      <w:pPr>
        <w:shd w:val="clear" w:color="auto" w:fill="FFFFFF"/>
        <w:spacing w:line="360" w:lineRule="auto"/>
        <w:jc w:val="both"/>
        <w:rPr>
          <w:lang w:val="el-GR"/>
        </w:rPr>
      </w:pPr>
      <w:r>
        <w:rPr>
          <w:b/>
          <w:bCs/>
          <w:color w:val="000000"/>
          <w:sz w:val="22"/>
          <w:szCs w:val="22"/>
          <w:lang w:val="el-GR"/>
        </w:rPr>
        <w:br w:type="page"/>
      </w:r>
      <w:r w:rsidR="0029143F" w:rsidRPr="0003620B">
        <w:rPr>
          <w:b/>
          <w:bCs/>
          <w:color w:val="000000"/>
          <w:sz w:val="22"/>
          <w:szCs w:val="22"/>
          <w:lang w:val="el-GR"/>
        </w:rPr>
        <w:lastRenderedPageBreak/>
        <w:t>Διαταραχές του νευρικού συστήματος:</w:t>
      </w:r>
    </w:p>
    <w:p w:rsidR="0029143F" w:rsidRDefault="0029143F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03620B">
        <w:rPr>
          <w:color w:val="000000"/>
          <w:sz w:val="22"/>
          <w:szCs w:val="22"/>
          <w:lang w:val="el-GR"/>
        </w:rPr>
        <w:t xml:space="preserve">Ασυνήθεις: Ζάλη, δυσγευσία 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color w:val="000000"/>
          <w:sz w:val="22"/>
          <w:szCs w:val="22"/>
          <w:lang w:val="el-GR"/>
        </w:rPr>
        <w:t>Σπάνιες: Κεφαλαλγία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b/>
          <w:bCs/>
          <w:color w:val="000000"/>
          <w:sz w:val="22"/>
          <w:szCs w:val="22"/>
          <w:lang w:val="el-GR"/>
        </w:rPr>
        <w:t>Διαταραχές αγγειακού συστήματος: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color w:val="000000"/>
          <w:sz w:val="22"/>
          <w:szCs w:val="22"/>
          <w:lang w:val="el-GR"/>
        </w:rPr>
        <w:t>Πολύ σπάνιες: Υπόταση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b/>
          <w:bCs/>
          <w:color w:val="000000"/>
          <w:sz w:val="22"/>
          <w:szCs w:val="22"/>
          <w:lang w:val="el-GR"/>
        </w:rPr>
        <w:t>Διαταραχές του αναπνευστικού συστήματος, το</w:t>
      </w:r>
      <w:r>
        <w:rPr>
          <w:b/>
          <w:bCs/>
          <w:color w:val="000000"/>
          <w:sz w:val="22"/>
          <w:szCs w:val="22"/>
          <w:lang w:val="el-GR"/>
        </w:rPr>
        <w:t>υ</w:t>
      </w:r>
      <w:r w:rsidRPr="0003620B">
        <w:rPr>
          <w:b/>
          <w:bCs/>
          <w:color w:val="000000"/>
          <w:sz w:val="22"/>
          <w:szCs w:val="22"/>
          <w:lang w:val="el-GR"/>
        </w:rPr>
        <w:t xml:space="preserve"> θώρακα και του μεσοθωρακίου: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color w:val="000000"/>
          <w:sz w:val="22"/>
          <w:szCs w:val="22"/>
          <w:lang w:val="el-GR"/>
        </w:rPr>
        <w:t>Πολύ σπάνιες: Ξηρότητα ρινικού βλεννογόνου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b/>
          <w:bCs/>
          <w:color w:val="000000"/>
          <w:sz w:val="22"/>
          <w:szCs w:val="22"/>
          <w:lang w:val="el-GR"/>
        </w:rPr>
        <w:t>Διαταραχές του γαστρεντερικού συστήματος: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color w:val="000000"/>
          <w:sz w:val="22"/>
          <w:szCs w:val="22"/>
          <w:lang w:val="el-GR"/>
        </w:rPr>
        <w:t>Συχνές: Δυσπεψία, ναυτία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color w:val="000000"/>
          <w:sz w:val="22"/>
          <w:szCs w:val="22"/>
          <w:lang w:val="el-GR"/>
        </w:rPr>
        <w:t>Ασυνήθεις: Κοιλιακό άλγος, διαταραχές του γαστρεντερικού συστήματος, γαστρίτιδα,</w:t>
      </w:r>
      <w:r>
        <w:rPr>
          <w:lang w:val="el-GR"/>
        </w:rPr>
        <w:t xml:space="preserve"> </w:t>
      </w:r>
      <w:r w:rsidRPr="0003620B">
        <w:rPr>
          <w:color w:val="000000"/>
          <w:sz w:val="22"/>
          <w:szCs w:val="22"/>
          <w:lang w:val="el-GR"/>
        </w:rPr>
        <w:t>άλγος επιγαστρίου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color w:val="000000"/>
          <w:sz w:val="22"/>
          <w:szCs w:val="22"/>
          <w:lang w:val="el-GR"/>
        </w:rPr>
        <w:t>Σπάνιες: Γαστρεντερικό άλγος</w:t>
      </w:r>
    </w:p>
    <w:p w:rsidR="0029143F" w:rsidRPr="0003620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03620B">
        <w:rPr>
          <w:color w:val="000000"/>
          <w:sz w:val="22"/>
          <w:szCs w:val="22"/>
          <w:lang w:val="el-GR"/>
        </w:rPr>
        <w:t>Πολύ σπάνιες: Αιμορραγία του κατώτερου γαστρεντερικού σωλήνα</w:t>
      </w:r>
    </w:p>
    <w:p w:rsidR="0029143F" w:rsidRPr="00C51DDE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C51DDE">
        <w:rPr>
          <w:b/>
          <w:bCs/>
          <w:color w:val="000000"/>
          <w:sz w:val="22"/>
          <w:szCs w:val="22"/>
          <w:lang w:val="el-GR"/>
        </w:rPr>
        <w:t>Διαταραχές ήπατος και</w:t>
      </w:r>
      <w:r>
        <w:rPr>
          <w:b/>
          <w:bCs/>
          <w:color w:val="000000"/>
          <w:sz w:val="22"/>
          <w:szCs w:val="22"/>
          <w:lang w:val="el-GR"/>
        </w:rPr>
        <w:t xml:space="preserve"> </w:t>
      </w:r>
      <w:r w:rsidRPr="00C51DDE">
        <w:rPr>
          <w:b/>
          <w:bCs/>
          <w:color w:val="000000"/>
          <w:sz w:val="22"/>
          <w:szCs w:val="22"/>
          <w:lang w:val="el-GR"/>
        </w:rPr>
        <w:t>χοληφόρων:</w:t>
      </w:r>
    </w:p>
    <w:p w:rsidR="0029143F" w:rsidRPr="00C51DDE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C51DDE">
        <w:rPr>
          <w:color w:val="000000"/>
          <w:sz w:val="22"/>
          <w:szCs w:val="22"/>
          <w:lang w:val="el-GR"/>
        </w:rPr>
        <w:t>Σπάνιες: Ηπατικές διαταραχές.</w:t>
      </w:r>
    </w:p>
    <w:p w:rsidR="0029143F" w:rsidRPr="00C51DDE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C51DDE">
        <w:rPr>
          <w:b/>
          <w:bCs/>
          <w:color w:val="000000"/>
          <w:sz w:val="22"/>
          <w:szCs w:val="22"/>
          <w:lang w:val="el-GR"/>
        </w:rPr>
        <w:t xml:space="preserve">Διαταραχές του δέρματος και </w:t>
      </w:r>
      <w:r w:rsidRPr="00C51DDE">
        <w:rPr>
          <w:color w:val="000000"/>
          <w:sz w:val="22"/>
          <w:szCs w:val="22"/>
          <w:lang w:val="el-GR"/>
        </w:rPr>
        <w:t xml:space="preserve">του </w:t>
      </w:r>
      <w:r w:rsidRPr="00C51DDE">
        <w:rPr>
          <w:b/>
          <w:bCs/>
          <w:color w:val="000000"/>
          <w:sz w:val="22"/>
          <w:szCs w:val="22"/>
          <w:lang w:val="el-GR"/>
        </w:rPr>
        <w:t>υποδόριου ιστού:</w:t>
      </w:r>
    </w:p>
    <w:p w:rsidR="0029143F" w:rsidRDefault="0029143F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C51DDE">
        <w:rPr>
          <w:color w:val="000000"/>
          <w:sz w:val="22"/>
          <w:szCs w:val="22"/>
          <w:lang w:val="el-GR"/>
        </w:rPr>
        <w:t xml:space="preserve">Σπάνιες: Ακμή, κνησμώδες εξάνθημα </w:t>
      </w:r>
    </w:p>
    <w:p w:rsidR="0029143F" w:rsidRPr="00C51DDE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C51DDE">
        <w:rPr>
          <w:color w:val="000000"/>
          <w:sz w:val="22"/>
          <w:szCs w:val="22"/>
          <w:lang w:val="el-GR"/>
        </w:rPr>
        <w:t>Πολύ σπάνιες: Κνίδωση</w:t>
      </w:r>
    </w:p>
    <w:p w:rsidR="0029143F" w:rsidRPr="00C51DDE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C51DDE">
        <w:rPr>
          <w:b/>
          <w:bCs/>
          <w:color w:val="000000"/>
          <w:sz w:val="22"/>
          <w:szCs w:val="22"/>
          <w:lang w:val="el-GR"/>
        </w:rPr>
        <w:t>Γενικές διαταραχές και καταστάσεις της οδού χορήγησης:</w:t>
      </w:r>
    </w:p>
    <w:p w:rsidR="0029143F" w:rsidRPr="00CB1A56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CB1A56">
        <w:rPr>
          <w:color w:val="000000"/>
          <w:sz w:val="22"/>
          <w:szCs w:val="22"/>
          <w:lang w:val="el-GR"/>
        </w:rPr>
        <w:t>Σπάνιες: Ασαφώς καθοριζόμενες διαταραχές.</w:t>
      </w:r>
    </w:p>
    <w:p w:rsidR="0029143F" w:rsidRPr="00CB1A56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CB1A56">
        <w:rPr>
          <w:b/>
          <w:bCs/>
          <w:color w:val="000000"/>
          <w:sz w:val="22"/>
          <w:szCs w:val="22"/>
          <w:lang w:val="el-GR"/>
        </w:rPr>
        <w:t xml:space="preserve">Εργαστηριακές </w:t>
      </w:r>
      <w:r w:rsidRPr="00CB1A56">
        <w:rPr>
          <w:color w:val="000000"/>
          <w:sz w:val="22"/>
          <w:szCs w:val="22"/>
          <w:lang w:val="el-GR"/>
        </w:rPr>
        <w:t>εξετάσεις:</w:t>
      </w:r>
    </w:p>
    <w:p w:rsidR="0029143F" w:rsidRPr="00CB1A56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CB1A56">
        <w:rPr>
          <w:color w:val="000000"/>
          <w:sz w:val="22"/>
          <w:szCs w:val="22"/>
          <w:lang w:val="el-GR"/>
        </w:rPr>
        <w:t>Πολύ σπάνιες: Αυξημένος αριθμός λευκοκυττάρων, αυξημένη γαλακτική αφυδρογονάση</w:t>
      </w:r>
      <w:r>
        <w:rPr>
          <w:lang w:val="el-GR"/>
        </w:rPr>
        <w:t xml:space="preserve"> </w:t>
      </w:r>
      <w:r w:rsidRPr="00CB1A56">
        <w:rPr>
          <w:color w:val="000000"/>
          <w:sz w:val="22"/>
          <w:szCs w:val="22"/>
          <w:lang w:val="el-GR"/>
        </w:rPr>
        <w:t>του αίματος.</w:t>
      </w:r>
    </w:p>
    <w:p w:rsidR="006147F1" w:rsidRPr="00477CFD" w:rsidRDefault="0029143F" w:rsidP="00357FA3">
      <w:pPr>
        <w:tabs>
          <w:tab w:val="left" w:pos="360"/>
        </w:tabs>
        <w:spacing w:line="360" w:lineRule="auto"/>
        <w:jc w:val="both"/>
        <w:outlineLvl w:val="0"/>
        <w:rPr>
          <w:iCs/>
          <w:sz w:val="22"/>
          <w:szCs w:val="22"/>
        </w:rPr>
      </w:pPr>
      <w:r w:rsidRPr="00CB1A56">
        <w:rPr>
          <w:color w:val="000000"/>
          <w:sz w:val="22"/>
          <w:szCs w:val="22"/>
          <w:lang w:val="el-GR"/>
        </w:rPr>
        <w:t>Μέτρια αύξηση των τρανσαμινασών έχει αναφερθεί σε ασθενείς με υπερτριγλυκεριδαιμία.</w:t>
      </w:r>
    </w:p>
    <w:p w:rsidR="00846997" w:rsidRPr="00477CFD" w:rsidRDefault="00846997" w:rsidP="00357FA3">
      <w:pPr>
        <w:tabs>
          <w:tab w:val="left" w:pos="360"/>
        </w:tabs>
        <w:spacing w:line="360" w:lineRule="auto"/>
        <w:jc w:val="both"/>
        <w:outlineLvl w:val="0"/>
        <w:rPr>
          <w:sz w:val="22"/>
          <w:szCs w:val="22"/>
          <w:lang w:val="el-GR"/>
        </w:rPr>
      </w:pPr>
    </w:p>
    <w:p w:rsidR="00195FEB" w:rsidRPr="007F5E28" w:rsidRDefault="006F4696" w:rsidP="00357FA3">
      <w:pPr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Υπερδοσολογία</w:t>
      </w:r>
    </w:p>
    <w:p w:rsidR="0029143F" w:rsidRDefault="0029143F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66694E">
        <w:rPr>
          <w:color w:val="000000"/>
          <w:sz w:val="22"/>
          <w:szCs w:val="22"/>
          <w:lang w:val="el-GR"/>
        </w:rPr>
        <w:t xml:space="preserve">Δεν υπάρχουν </w:t>
      </w:r>
      <w:r>
        <w:rPr>
          <w:color w:val="000000"/>
          <w:sz w:val="22"/>
          <w:szCs w:val="22"/>
          <w:lang w:val="el-GR"/>
        </w:rPr>
        <w:t>ι</w:t>
      </w:r>
      <w:r w:rsidRPr="0066694E">
        <w:rPr>
          <w:color w:val="000000"/>
          <w:sz w:val="22"/>
          <w:szCs w:val="22"/>
          <w:lang w:val="el-GR"/>
        </w:rPr>
        <w:t>δ</w:t>
      </w:r>
      <w:r>
        <w:rPr>
          <w:color w:val="000000"/>
          <w:sz w:val="22"/>
          <w:szCs w:val="22"/>
          <w:lang w:val="el-GR"/>
        </w:rPr>
        <w:t>ι</w:t>
      </w:r>
      <w:r w:rsidRPr="0066694E">
        <w:rPr>
          <w:color w:val="000000"/>
          <w:sz w:val="22"/>
          <w:szCs w:val="22"/>
          <w:lang w:val="el-GR"/>
        </w:rPr>
        <w:t xml:space="preserve">αίτερες συστάσεις. </w:t>
      </w:r>
    </w:p>
    <w:p w:rsidR="00195FEB" w:rsidRPr="00477CFD" w:rsidRDefault="0029143F" w:rsidP="00357FA3">
      <w:pPr>
        <w:tabs>
          <w:tab w:val="left" w:pos="567"/>
        </w:tabs>
        <w:spacing w:line="360" w:lineRule="auto"/>
        <w:jc w:val="both"/>
        <w:rPr>
          <w:iCs/>
          <w:sz w:val="22"/>
          <w:szCs w:val="22"/>
        </w:rPr>
      </w:pPr>
      <w:r w:rsidRPr="0066694E">
        <w:rPr>
          <w:color w:val="000000"/>
          <w:sz w:val="22"/>
          <w:szCs w:val="22"/>
          <w:lang w:val="el-GR"/>
        </w:rPr>
        <w:t>Παρέχεται συμπτωματική θεραπεία.</w:t>
      </w:r>
    </w:p>
    <w:p w:rsidR="00846997" w:rsidRPr="00477CFD" w:rsidRDefault="00846997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</w:p>
    <w:p w:rsidR="00195FEB" w:rsidRPr="007F5E28" w:rsidRDefault="00195FEB" w:rsidP="00357FA3">
      <w:pPr>
        <w:numPr>
          <w:ilvl w:val="0"/>
          <w:numId w:val="23"/>
        </w:numPr>
        <w:tabs>
          <w:tab w:val="left" w:pos="567"/>
        </w:tabs>
        <w:spacing w:line="360" w:lineRule="auto"/>
        <w:ind w:hanging="720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ΦΑΡΜΑΚΟΛΟΓΙΚΕΣ ΙΔΙΟΤΗΤΕΣ</w:t>
      </w:r>
    </w:p>
    <w:p w:rsidR="00195FEB" w:rsidRPr="007F5E28" w:rsidRDefault="00195FEB" w:rsidP="00357FA3">
      <w:pPr>
        <w:tabs>
          <w:tab w:val="left" w:pos="567"/>
        </w:tabs>
        <w:spacing w:line="360" w:lineRule="auto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5.1</w:t>
      </w:r>
      <w:r w:rsidRPr="007F5E28">
        <w:rPr>
          <w:b/>
          <w:bCs/>
          <w:lang w:val="el-GR"/>
        </w:rPr>
        <w:tab/>
        <w:t>Φαρμακοδυναμικές ιδιότητες</w:t>
      </w:r>
    </w:p>
    <w:p w:rsidR="005F53DC" w:rsidRPr="007F5E28" w:rsidRDefault="005F53DC" w:rsidP="00357FA3">
      <w:pPr>
        <w:spacing w:line="360" w:lineRule="auto"/>
        <w:jc w:val="both"/>
        <w:rPr>
          <w:b/>
          <w:iCs/>
          <w:sz w:val="22"/>
          <w:szCs w:val="22"/>
        </w:rPr>
      </w:pPr>
      <w:r w:rsidRPr="007F5E28">
        <w:rPr>
          <w:b/>
          <w:iCs/>
          <w:sz w:val="22"/>
          <w:szCs w:val="22"/>
        </w:rPr>
        <w:t xml:space="preserve">Κωδικό </w:t>
      </w:r>
      <w:r w:rsidRPr="007F5E28">
        <w:rPr>
          <w:b/>
          <w:iCs/>
          <w:sz w:val="22"/>
          <w:szCs w:val="22"/>
          <w:lang w:val="en-US"/>
        </w:rPr>
        <w:t>ATC</w:t>
      </w:r>
      <w:r w:rsidRPr="007F5E28">
        <w:rPr>
          <w:b/>
          <w:iCs/>
          <w:sz w:val="22"/>
          <w:szCs w:val="22"/>
        </w:rPr>
        <w:t xml:space="preserve"> </w:t>
      </w:r>
      <w:r w:rsidR="0029143F" w:rsidRPr="007F5E28">
        <w:rPr>
          <w:b/>
          <w:bCs/>
          <w:spacing w:val="-1"/>
          <w:sz w:val="22"/>
          <w:szCs w:val="22"/>
          <w:lang w:val="el-GR"/>
        </w:rPr>
        <w:t>C10ΑΧ06</w:t>
      </w:r>
    </w:p>
    <w:p w:rsidR="0029143F" w:rsidRPr="007E5785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7E5785">
        <w:rPr>
          <w:color w:val="000000"/>
          <w:sz w:val="22"/>
          <w:szCs w:val="22"/>
          <w:lang w:val="el-GR"/>
        </w:rPr>
        <w:t>Κωδ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κός κατά </w:t>
      </w:r>
      <w:r>
        <w:rPr>
          <w:color w:val="000000"/>
          <w:sz w:val="22"/>
          <w:szCs w:val="22"/>
          <w:lang w:val="en-US"/>
        </w:rPr>
        <w:t>ATC</w:t>
      </w:r>
      <w:r w:rsidRPr="0012497B">
        <w:rPr>
          <w:color w:val="000000"/>
          <w:sz w:val="22"/>
          <w:szCs w:val="22"/>
          <w:lang w:val="el-GR"/>
        </w:rPr>
        <w:t xml:space="preserve">: </w:t>
      </w:r>
      <w:r>
        <w:rPr>
          <w:color w:val="000000"/>
          <w:sz w:val="22"/>
          <w:szCs w:val="22"/>
          <w:lang w:val="en-US"/>
        </w:rPr>
        <w:t>C</w:t>
      </w:r>
      <w:r w:rsidRPr="0012497B">
        <w:rPr>
          <w:color w:val="000000"/>
          <w:sz w:val="22"/>
          <w:szCs w:val="22"/>
          <w:lang w:val="el-GR"/>
        </w:rPr>
        <w:t>10</w:t>
      </w:r>
      <w:r>
        <w:rPr>
          <w:color w:val="000000"/>
          <w:sz w:val="22"/>
          <w:szCs w:val="22"/>
          <w:lang w:val="en-US"/>
        </w:rPr>
        <w:t>AX</w:t>
      </w:r>
      <w:r w:rsidRPr="0012497B">
        <w:rPr>
          <w:color w:val="000000"/>
          <w:sz w:val="22"/>
          <w:szCs w:val="22"/>
          <w:lang w:val="el-GR"/>
        </w:rPr>
        <w:t xml:space="preserve">06, </w:t>
      </w:r>
      <w:r w:rsidRPr="007E5785">
        <w:rPr>
          <w:color w:val="000000"/>
          <w:sz w:val="22"/>
          <w:szCs w:val="22"/>
          <w:lang w:val="el-GR"/>
        </w:rPr>
        <w:t>«Άλλοι παράγοντες μείωσης της χοληστερόλης και των τριγλυκεριδί ων».</w:t>
      </w:r>
    </w:p>
    <w:p w:rsidR="0029143F" w:rsidRPr="007E5785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>
        <w:rPr>
          <w:sz w:val="22"/>
          <w:szCs w:val="22"/>
          <w:lang w:val="el-GR"/>
        </w:rPr>
        <w:t>Ο</w:t>
      </w:r>
      <w:r w:rsidRPr="000F5056">
        <w:rPr>
          <w:sz w:val="22"/>
          <w:szCs w:val="22"/>
          <w:lang w:val="el-GR"/>
        </w:rPr>
        <w:t>ι αιθυλεστέρες των Ω-3- πολυακόρεστων λιπαρών οξέων</w:t>
      </w:r>
      <w:r w:rsidRPr="007E5785">
        <w:rPr>
          <w:color w:val="000000"/>
          <w:sz w:val="22"/>
          <w:szCs w:val="22"/>
          <w:lang w:val="el-GR"/>
        </w:rPr>
        <w:t xml:space="preserve"> αποτελούν απαραίτητα λιπαρά οξέα.</w:t>
      </w:r>
    </w:p>
    <w:p w:rsidR="0029143F" w:rsidRPr="007E5785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>
        <w:rPr>
          <w:sz w:val="22"/>
          <w:szCs w:val="22"/>
          <w:lang w:val="el-GR"/>
        </w:rPr>
        <w:t>Ο</w:t>
      </w:r>
      <w:r w:rsidRPr="000F5056">
        <w:rPr>
          <w:sz w:val="22"/>
          <w:szCs w:val="22"/>
          <w:lang w:val="el-GR"/>
        </w:rPr>
        <w:t>ι αιθυλεστέρες των Ω-3- πολυακόρεστων λιπαρών οξέων</w:t>
      </w:r>
      <w:r w:rsidRPr="007E5785">
        <w:rPr>
          <w:color w:val="000000"/>
          <w:sz w:val="22"/>
          <w:szCs w:val="22"/>
          <w:lang w:val="el-GR"/>
        </w:rPr>
        <w:t xml:space="preserve"> δρ</w:t>
      </w:r>
      <w:r>
        <w:rPr>
          <w:color w:val="000000"/>
          <w:sz w:val="22"/>
          <w:szCs w:val="22"/>
          <w:lang w:val="el-GR"/>
        </w:rPr>
        <w:t>ουν</w:t>
      </w:r>
      <w:r w:rsidRPr="007E5785">
        <w:rPr>
          <w:color w:val="000000"/>
          <w:sz w:val="22"/>
          <w:szCs w:val="22"/>
          <w:lang w:val="el-GR"/>
        </w:rPr>
        <w:t xml:space="preserve"> στα λιπίδια του πλάσματος ελαττώνοντας τα επίπεδα των τρ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γλυκερ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δίων ως συνέπε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α της μείωσης της </w:t>
      </w:r>
      <w:r>
        <w:rPr>
          <w:color w:val="000000"/>
          <w:sz w:val="22"/>
          <w:szCs w:val="22"/>
          <w:lang w:val="en-US"/>
        </w:rPr>
        <w:t>VLDL</w:t>
      </w:r>
      <w:r>
        <w:rPr>
          <w:color w:val="000000"/>
          <w:sz w:val="22"/>
          <w:szCs w:val="22"/>
          <w:lang w:val="el-GR"/>
        </w:rPr>
        <w:t xml:space="preserve"> </w:t>
      </w:r>
      <w:r w:rsidRPr="0012497B">
        <w:rPr>
          <w:color w:val="000000"/>
          <w:sz w:val="22"/>
          <w:szCs w:val="22"/>
          <w:lang w:val="el-GR"/>
        </w:rPr>
        <w:t>(</w:t>
      </w:r>
      <w:r>
        <w:rPr>
          <w:color w:val="000000"/>
          <w:sz w:val="22"/>
          <w:szCs w:val="22"/>
          <w:lang w:val="el-GR"/>
        </w:rPr>
        <w:t>πολύ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7E5785">
        <w:rPr>
          <w:color w:val="000000"/>
          <w:sz w:val="22"/>
          <w:szCs w:val="22"/>
          <w:lang w:val="el-GR"/>
        </w:rPr>
        <w:t>χαμηλής πυκνότητας λιποπρωτεΐνη) και έχ</w:t>
      </w:r>
      <w:r>
        <w:rPr>
          <w:color w:val="000000"/>
          <w:sz w:val="22"/>
          <w:szCs w:val="22"/>
          <w:lang w:val="el-GR"/>
        </w:rPr>
        <w:t>ουν</w:t>
      </w:r>
      <w:r w:rsidRPr="007E5785">
        <w:rPr>
          <w:color w:val="000000"/>
          <w:sz w:val="22"/>
          <w:szCs w:val="22"/>
          <w:lang w:val="el-GR"/>
        </w:rPr>
        <w:t xml:space="preserve"> επίσης δράση επί της αιμόστασης κα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 της αρτηρ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ακής πίεσης.</w:t>
      </w:r>
    </w:p>
    <w:p w:rsidR="0029143F" w:rsidRPr="007E5785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>
        <w:rPr>
          <w:sz w:val="22"/>
          <w:szCs w:val="22"/>
          <w:lang w:val="el-GR"/>
        </w:rPr>
        <w:t>Ο</w:t>
      </w:r>
      <w:r w:rsidRPr="000F5056">
        <w:rPr>
          <w:sz w:val="22"/>
          <w:szCs w:val="22"/>
          <w:lang w:val="el-GR"/>
        </w:rPr>
        <w:t>ι αιθυλεστέρες των Ω-3- πολυακόρεστων λιπαρών οξέων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7E5785">
        <w:rPr>
          <w:color w:val="000000"/>
          <w:sz w:val="22"/>
          <w:szCs w:val="22"/>
          <w:lang w:val="el-GR"/>
        </w:rPr>
        <w:t>προκαλ</w:t>
      </w:r>
      <w:r>
        <w:rPr>
          <w:color w:val="000000"/>
          <w:sz w:val="22"/>
          <w:szCs w:val="22"/>
          <w:lang w:val="el-GR"/>
        </w:rPr>
        <w:t>ούν</w:t>
      </w:r>
      <w:r w:rsidRPr="007E5785">
        <w:rPr>
          <w:color w:val="000000"/>
          <w:sz w:val="22"/>
          <w:szCs w:val="22"/>
          <w:lang w:val="el-GR"/>
        </w:rPr>
        <w:t xml:space="preserve"> μείωση της σύνθεσης των τριγλυκεριδίων στο ήπαρ γιατί το ΕΡΑ και το </w:t>
      </w:r>
      <w:r>
        <w:rPr>
          <w:color w:val="000000"/>
          <w:sz w:val="22"/>
          <w:szCs w:val="22"/>
          <w:lang w:val="en-US"/>
        </w:rPr>
        <w:t>DHA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7E5785">
        <w:rPr>
          <w:color w:val="000000"/>
          <w:sz w:val="22"/>
          <w:szCs w:val="22"/>
          <w:lang w:val="el-GR"/>
        </w:rPr>
        <w:t xml:space="preserve">δεν αποτελούν καλά </w:t>
      </w:r>
      <w:r>
        <w:rPr>
          <w:color w:val="000000"/>
          <w:sz w:val="22"/>
          <w:szCs w:val="22"/>
          <w:lang w:val="el-GR"/>
        </w:rPr>
        <w:t>υ</w:t>
      </w:r>
      <w:r w:rsidRPr="007E5785">
        <w:rPr>
          <w:color w:val="000000"/>
          <w:sz w:val="22"/>
          <w:szCs w:val="22"/>
          <w:lang w:val="el-GR"/>
        </w:rPr>
        <w:t xml:space="preserve">ποστρώματα για τα ένζυμα που </w:t>
      </w:r>
      <w:r w:rsidRPr="007E5785">
        <w:rPr>
          <w:color w:val="000000"/>
          <w:sz w:val="22"/>
          <w:szCs w:val="22"/>
          <w:lang w:val="el-GR"/>
        </w:rPr>
        <w:lastRenderedPageBreak/>
        <w:t>είναι υπεύθυνα για τη σύνθεση τριγλυκεριδίων και αναστέλλουν την εστεροποίηση άλλων λ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παρών οξέων. Η αύξηση της β-οξείδωσης των λ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παρών οξέων, στα υπεροξυσωμάτια, του ήπατος μπορεί επίσης να συμβάλλει στην πτώση των τριγλυκεριδίων, αφού με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ώνοντα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 τα διαθέσιμα λ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παρά οξέα για τη σύνθεση τρ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γλυκερ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δίων. Η αναστολή αυτή της σύνθεσης τρ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γλυκεριδίων έχει σαν συνέπεια τη μείωση της πολύ χαμηλής </w:t>
      </w:r>
      <w:r>
        <w:rPr>
          <w:color w:val="000000"/>
          <w:sz w:val="22"/>
          <w:szCs w:val="22"/>
          <w:lang w:val="el-GR"/>
        </w:rPr>
        <w:t>πυκνότητας</w:t>
      </w:r>
      <w:r w:rsidRPr="007E5785">
        <w:rPr>
          <w:color w:val="000000"/>
          <w:sz w:val="22"/>
          <w:szCs w:val="22"/>
          <w:lang w:val="el-GR"/>
        </w:rPr>
        <w:t xml:space="preserve"> λ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ποπρωτε</w:t>
      </w:r>
      <w:r>
        <w:rPr>
          <w:color w:val="000000"/>
          <w:sz w:val="22"/>
          <w:szCs w:val="22"/>
          <w:lang w:val="el-GR"/>
        </w:rPr>
        <w:t>ΐ</w:t>
      </w:r>
      <w:r w:rsidRPr="007E5785">
        <w:rPr>
          <w:color w:val="000000"/>
          <w:sz w:val="22"/>
          <w:szCs w:val="22"/>
          <w:lang w:val="el-GR"/>
        </w:rPr>
        <w:t xml:space="preserve">νης </w:t>
      </w:r>
      <w:r w:rsidRPr="0012497B">
        <w:rPr>
          <w:color w:val="000000"/>
          <w:sz w:val="22"/>
          <w:szCs w:val="22"/>
          <w:lang w:val="el-GR"/>
        </w:rPr>
        <w:t>(</w:t>
      </w:r>
      <w:r>
        <w:rPr>
          <w:color w:val="000000"/>
          <w:sz w:val="22"/>
          <w:szCs w:val="22"/>
          <w:lang w:val="en-US"/>
        </w:rPr>
        <w:t>VLDL</w:t>
      </w:r>
      <w:r w:rsidRPr="0012497B">
        <w:rPr>
          <w:color w:val="000000"/>
          <w:sz w:val="22"/>
          <w:szCs w:val="22"/>
          <w:lang w:val="el-GR"/>
        </w:rPr>
        <w:t>).</w:t>
      </w:r>
    </w:p>
    <w:p w:rsidR="0029143F" w:rsidRPr="007E5785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7E5785">
        <w:rPr>
          <w:color w:val="000000"/>
          <w:sz w:val="22"/>
          <w:szCs w:val="22"/>
          <w:lang w:val="el-GR"/>
        </w:rPr>
        <w:t>Σε μερικούς ασθενείς με υπερτρ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γλυκερ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δα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μία, </w:t>
      </w:r>
      <w:r>
        <w:rPr>
          <w:sz w:val="22"/>
          <w:szCs w:val="22"/>
          <w:lang w:val="el-GR"/>
        </w:rPr>
        <w:t>ο</w:t>
      </w:r>
      <w:r w:rsidRPr="000F5056">
        <w:rPr>
          <w:sz w:val="22"/>
          <w:szCs w:val="22"/>
          <w:lang w:val="el-GR"/>
        </w:rPr>
        <w:t>ι αιθυλεστέρες των Ω-3- πολυακόρεστων λιπαρών οξέων</w:t>
      </w:r>
      <w:r>
        <w:rPr>
          <w:color w:val="000000"/>
          <w:sz w:val="22"/>
          <w:szCs w:val="22"/>
          <w:lang w:val="el-GR"/>
        </w:rPr>
        <w:t xml:space="preserve"> </w:t>
      </w:r>
      <w:r w:rsidRPr="007E5785">
        <w:rPr>
          <w:color w:val="000000"/>
          <w:sz w:val="22"/>
          <w:szCs w:val="22"/>
          <w:lang w:val="el-GR"/>
        </w:rPr>
        <w:t>αυξάν</w:t>
      </w:r>
      <w:r>
        <w:rPr>
          <w:color w:val="000000"/>
          <w:sz w:val="22"/>
          <w:szCs w:val="22"/>
          <w:lang w:val="el-GR"/>
        </w:rPr>
        <w:t>ουν</w:t>
      </w:r>
      <w:r w:rsidRPr="007E5785">
        <w:rPr>
          <w:color w:val="000000"/>
          <w:sz w:val="22"/>
          <w:szCs w:val="22"/>
          <w:lang w:val="el-GR"/>
        </w:rPr>
        <w:t xml:space="preserve"> την </w:t>
      </w:r>
      <w:r>
        <w:rPr>
          <w:color w:val="000000"/>
          <w:sz w:val="22"/>
          <w:szCs w:val="22"/>
          <w:lang w:val="en-US"/>
        </w:rPr>
        <w:t>LDL</w:t>
      </w:r>
      <w:r w:rsidRPr="0012497B">
        <w:rPr>
          <w:color w:val="000000"/>
          <w:sz w:val="22"/>
          <w:szCs w:val="22"/>
          <w:lang w:val="el-GR"/>
        </w:rPr>
        <w:t>-</w:t>
      </w:r>
      <w:r w:rsidRPr="007E5785">
        <w:rPr>
          <w:color w:val="000000"/>
          <w:sz w:val="22"/>
          <w:szCs w:val="22"/>
          <w:lang w:val="el-GR"/>
        </w:rPr>
        <w:t xml:space="preserve">χοληστερόλη. Η αύξηση της </w:t>
      </w:r>
      <w:r>
        <w:rPr>
          <w:color w:val="000000"/>
          <w:sz w:val="22"/>
          <w:szCs w:val="22"/>
          <w:lang w:val="en-US"/>
        </w:rPr>
        <w:t>HDL</w:t>
      </w:r>
      <w:r w:rsidRPr="007E5785">
        <w:rPr>
          <w:color w:val="000000"/>
          <w:sz w:val="22"/>
          <w:szCs w:val="22"/>
          <w:lang w:val="el-GR"/>
        </w:rPr>
        <w:t>-χοληστερόλης είναι μικρή - σημαντικά μ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κρότερη εκείνης που παρατηρείται μετά από χορήγηση φιμπρατών - κα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 δεν είνα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 σταθερή.</w:t>
      </w:r>
    </w:p>
    <w:p w:rsidR="0029143F" w:rsidRPr="00D4424E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7E5785">
        <w:rPr>
          <w:color w:val="000000"/>
          <w:sz w:val="22"/>
          <w:szCs w:val="22"/>
          <w:lang w:val="el-GR"/>
        </w:rPr>
        <w:t xml:space="preserve">Η μακροχρόνια </w:t>
      </w:r>
      <w:r w:rsidRPr="00970FF4">
        <w:rPr>
          <w:color w:val="000000"/>
          <w:sz w:val="22"/>
          <w:szCs w:val="22"/>
          <w:lang w:val="el-GR"/>
        </w:rPr>
        <w:t xml:space="preserve">υπολιπιδαιμική δράση </w:t>
      </w:r>
      <w:r w:rsidRPr="000C6E52">
        <w:rPr>
          <w:color w:val="000000"/>
          <w:sz w:val="22"/>
          <w:szCs w:val="22"/>
          <w:lang w:val="el-GR"/>
        </w:rPr>
        <w:t xml:space="preserve">των </w:t>
      </w:r>
      <w:r w:rsidRPr="000C6E52">
        <w:rPr>
          <w:sz w:val="22"/>
          <w:szCs w:val="22"/>
          <w:lang w:val="el-GR"/>
        </w:rPr>
        <w:t>αιθυλεστέρων των Ω-3- πολυακόρεστων λιπαρών οξέων</w:t>
      </w:r>
      <w:r w:rsidRPr="00970FF4">
        <w:rPr>
          <w:color w:val="000000"/>
          <w:sz w:val="22"/>
          <w:szCs w:val="22"/>
          <w:lang w:val="el-GR"/>
        </w:rPr>
        <w:t xml:space="preserve"> (</w:t>
      </w:r>
      <w:r w:rsidRPr="00D4424E">
        <w:rPr>
          <w:sz w:val="22"/>
          <w:szCs w:val="22"/>
          <w:lang w:val="el-GR"/>
        </w:rPr>
        <w:t>για περισσότερο από ένα χρόνο) δεν</w:t>
      </w:r>
      <w:r w:rsidRPr="00DB6EAE">
        <w:rPr>
          <w:color w:val="C00000"/>
          <w:sz w:val="22"/>
          <w:szCs w:val="22"/>
          <w:lang w:val="el-GR"/>
        </w:rPr>
        <w:t xml:space="preserve"> </w:t>
      </w:r>
      <w:r w:rsidRPr="00D4424E">
        <w:rPr>
          <w:sz w:val="22"/>
          <w:szCs w:val="22"/>
          <w:lang w:val="el-GR"/>
        </w:rPr>
        <w:t>είναι γνωστή.</w:t>
      </w:r>
    </w:p>
    <w:p w:rsidR="0029143F" w:rsidRPr="007E5785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7E5785">
        <w:rPr>
          <w:color w:val="000000"/>
          <w:sz w:val="22"/>
          <w:szCs w:val="22"/>
          <w:lang w:val="el-GR"/>
        </w:rPr>
        <w:t xml:space="preserve">Κατά τα άλλα δεν υπάρχει 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σχυρή ένδειξη ότι η μείωση των τρ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γλυκερ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δίων ελαττώνε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 τον κίνδυνο ισχα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μικής καρδ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ακής νόσου.</w:t>
      </w:r>
    </w:p>
    <w:p w:rsidR="0029143F" w:rsidRPr="007E5785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7E5785">
        <w:rPr>
          <w:color w:val="000000"/>
          <w:sz w:val="22"/>
          <w:szCs w:val="22"/>
          <w:lang w:val="el-GR"/>
        </w:rPr>
        <w:t>Κατά τη δ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άρκε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α της αγωγής με </w:t>
      </w:r>
      <w:r w:rsidRPr="000F5056">
        <w:rPr>
          <w:sz w:val="22"/>
          <w:szCs w:val="22"/>
          <w:lang w:val="el-GR"/>
        </w:rPr>
        <w:t>αιθυλεστέρες των Ω-3- πολυακόρεστων λιπαρών οξέων</w:t>
      </w:r>
      <w:r w:rsidRPr="007E5785">
        <w:rPr>
          <w:color w:val="000000"/>
          <w:sz w:val="22"/>
          <w:szCs w:val="22"/>
          <w:lang w:val="el-GR"/>
        </w:rPr>
        <w:t xml:space="preserve"> παρατηρείτα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 μ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α πτώση στην παραγωγή θρομβοξάνης Α2 και μια μικρή αύξηση του χρόνου ροής. Δεν έχε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 παρατηρηθεί σημαντική επίδραση στους άλλους παράγοντες πήξης.</w:t>
      </w:r>
    </w:p>
    <w:p w:rsidR="0029143F" w:rsidRDefault="0029143F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el-GR"/>
        </w:rPr>
      </w:pPr>
    </w:p>
    <w:p w:rsidR="0029143F" w:rsidRDefault="0029143F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7E5785">
        <w:rPr>
          <w:color w:val="000000"/>
          <w:sz w:val="22"/>
          <w:szCs w:val="22"/>
          <w:lang w:val="el-GR"/>
        </w:rPr>
        <w:t>11324 ασθενείς με πρόσφατο έμφραγμα του μυοκαρδίου (&lt; 3 μήνες) υπό προφυλακτ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κή αγωγή κα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 μεσογε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ακού τύπου δ</w:t>
      </w:r>
      <w:r>
        <w:rPr>
          <w:color w:val="000000"/>
          <w:sz w:val="22"/>
          <w:szCs w:val="22"/>
          <w:lang w:val="el-GR"/>
        </w:rPr>
        <w:t>ίαιτα</w:t>
      </w:r>
      <w:r w:rsidRPr="007E5785">
        <w:rPr>
          <w:color w:val="000000"/>
          <w:sz w:val="22"/>
          <w:szCs w:val="22"/>
          <w:lang w:val="el-GR"/>
        </w:rPr>
        <w:t>,</w:t>
      </w:r>
      <w:r>
        <w:rPr>
          <w:color w:val="000000"/>
          <w:sz w:val="22"/>
          <w:szCs w:val="22"/>
          <w:lang w:val="el-GR"/>
        </w:rPr>
        <w:t xml:space="preserve"> </w:t>
      </w:r>
      <w:r w:rsidRPr="007E5785">
        <w:rPr>
          <w:color w:val="000000"/>
          <w:sz w:val="22"/>
          <w:szCs w:val="22"/>
          <w:lang w:val="el-GR"/>
        </w:rPr>
        <w:t>αφού τυχα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>οπο</w:t>
      </w:r>
      <w:r>
        <w:rPr>
          <w:color w:val="000000"/>
          <w:sz w:val="22"/>
          <w:szCs w:val="22"/>
          <w:lang w:val="el-GR"/>
        </w:rPr>
        <w:t>ι</w:t>
      </w:r>
      <w:r w:rsidRPr="007E5785">
        <w:rPr>
          <w:color w:val="000000"/>
          <w:sz w:val="22"/>
          <w:szCs w:val="22"/>
          <w:lang w:val="el-GR"/>
        </w:rPr>
        <w:t xml:space="preserve">ήθηκαν πήραν μέρος στην μελέτη </w:t>
      </w:r>
      <w:r>
        <w:rPr>
          <w:color w:val="000000"/>
          <w:sz w:val="22"/>
          <w:szCs w:val="22"/>
          <w:lang w:val="en-US"/>
        </w:rPr>
        <w:t>GISSI</w:t>
      </w:r>
      <w:r w:rsidRPr="0012497B">
        <w:rPr>
          <w:color w:val="000000"/>
          <w:sz w:val="22"/>
          <w:szCs w:val="22"/>
          <w:lang w:val="el-GR"/>
        </w:rPr>
        <w:t>-</w:t>
      </w:r>
      <w:r>
        <w:rPr>
          <w:color w:val="000000"/>
          <w:sz w:val="22"/>
          <w:szCs w:val="22"/>
          <w:lang w:val="en-US"/>
        </w:rPr>
        <w:t>Prevenzione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7E5785">
        <w:rPr>
          <w:color w:val="000000"/>
          <w:sz w:val="22"/>
          <w:szCs w:val="22"/>
          <w:lang w:val="el-GR"/>
        </w:rPr>
        <w:t>όπου τους χορηγήθηκ</w:t>
      </w:r>
      <w:r>
        <w:rPr>
          <w:color w:val="000000"/>
          <w:sz w:val="22"/>
          <w:szCs w:val="22"/>
          <w:lang w:val="el-GR"/>
        </w:rPr>
        <w:t xml:space="preserve">αν: </w:t>
      </w:r>
    </w:p>
    <w:p w:rsidR="0029143F" w:rsidRDefault="0029143F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0F5056">
        <w:rPr>
          <w:sz w:val="22"/>
          <w:szCs w:val="22"/>
          <w:lang w:val="el-GR"/>
        </w:rPr>
        <w:t>αιθυλεστέρες των Ω-3- πολυακόρεστων λιπαρών οξέων</w:t>
      </w:r>
      <w:r w:rsidRPr="0012497B">
        <w:rPr>
          <w:color w:val="000000"/>
          <w:sz w:val="22"/>
          <w:szCs w:val="22"/>
          <w:lang w:val="el-GR"/>
        </w:rPr>
        <w:t xml:space="preserve"> (</w:t>
      </w:r>
      <w:r>
        <w:rPr>
          <w:color w:val="000000"/>
          <w:sz w:val="22"/>
          <w:szCs w:val="22"/>
          <w:lang w:val="en-US"/>
        </w:rPr>
        <w:t>n</w:t>
      </w:r>
      <w:r w:rsidRPr="0012497B">
        <w:rPr>
          <w:color w:val="000000"/>
          <w:sz w:val="22"/>
          <w:szCs w:val="22"/>
          <w:lang w:val="el-GR"/>
        </w:rPr>
        <w:t xml:space="preserve">=2836), </w:t>
      </w:r>
    </w:p>
    <w:p w:rsidR="0029143F" w:rsidRDefault="0029143F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n-US"/>
        </w:rPr>
        <w:t>Vitamin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7E5785">
        <w:rPr>
          <w:color w:val="000000"/>
          <w:sz w:val="22"/>
          <w:szCs w:val="22"/>
          <w:lang w:val="el-GR"/>
        </w:rPr>
        <w:t xml:space="preserve">Ε (η=2830), </w:t>
      </w:r>
    </w:p>
    <w:p w:rsidR="0029143F" w:rsidRDefault="0029143F" w:rsidP="00357FA3">
      <w:pPr>
        <w:shd w:val="clear" w:color="auto" w:fill="FFFFFF"/>
        <w:spacing w:line="360" w:lineRule="auto"/>
        <w:jc w:val="both"/>
        <w:rPr>
          <w:smallCaps/>
          <w:color w:val="000000"/>
          <w:sz w:val="22"/>
          <w:szCs w:val="22"/>
          <w:lang w:val="el-GR"/>
        </w:rPr>
      </w:pPr>
      <w:r w:rsidRPr="000F5056">
        <w:rPr>
          <w:sz w:val="22"/>
          <w:szCs w:val="22"/>
          <w:lang w:val="el-GR"/>
        </w:rPr>
        <w:t>αιθυλεστέρες των Ω-3- πολυακόρεστων λιπαρών οξέων</w:t>
      </w:r>
      <w:r w:rsidRPr="007E5785">
        <w:rPr>
          <w:color w:val="000000"/>
          <w:sz w:val="22"/>
          <w:szCs w:val="22"/>
          <w:lang w:val="el-GR"/>
        </w:rPr>
        <w:t xml:space="preserve"> </w:t>
      </w:r>
      <w:r w:rsidRPr="0012497B">
        <w:rPr>
          <w:color w:val="000000"/>
          <w:sz w:val="22"/>
          <w:szCs w:val="22"/>
          <w:lang w:val="el-GR"/>
        </w:rPr>
        <w:t>+</w:t>
      </w:r>
      <w:r>
        <w:rPr>
          <w:color w:val="000000"/>
          <w:sz w:val="22"/>
          <w:szCs w:val="22"/>
          <w:lang w:val="en-US"/>
        </w:rPr>
        <w:t>Vitamin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n-US"/>
        </w:rPr>
        <w:t>E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12497B">
        <w:rPr>
          <w:smallCaps/>
          <w:color w:val="000000"/>
          <w:sz w:val="22"/>
          <w:szCs w:val="22"/>
          <w:lang w:val="el-GR"/>
        </w:rPr>
        <w:t>(</w:t>
      </w:r>
      <w:r w:rsidRPr="007E5785">
        <w:rPr>
          <w:color w:val="000000"/>
          <w:sz w:val="22"/>
          <w:szCs w:val="22"/>
          <w:lang w:val="el-GR"/>
        </w:rPr>
        <w:t>η=2830</w:t>
      </w:r>
      <w:r w:rsidRPr="0012497B">
        <w:rPr>
          <w:smallCaps/>
          <w:color w:val="000000"/>
          <w:sz w:val="22"/>
          <w:szCs w:val="22"/>
          <w:lang w:val="el-GR"/>
        </w:rPr>
        <w:t xml:space="preserve">) </w:t>
      </w:r>
    </w:p>
    <w:p w:rsidR="0029143F" w:rsidRPr="007E5785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7E5785">
        <w:rPr>
          <w:color w:val="000000"/>
          <w:sz w:val="22"/>
          <w:szCs w:val="22"/>
          <w:lang w:val="el-GR"/>
        </w:rPr>
        <w:t>ή καθόλου θεραπεία (η=2828).</w:t>
      </w:r>
    </w:p>
    <w:p w:rsidR="0029143F" w:rsidRPr="00F34108" w:rsidRDefault="0029143F" w:rsidP="00357FA3">
      <w:pPr>
        <w:spacing w:line="360" w:lineRule="auto"/>
        <w:jc w:val="both"/>
        <w:rPr>
          <w:spacing w:val="-1"/>
          <w:lang w:val="el-GR"/>
        </w:rPr>
      </w:pPr>
    </w:p>
    <w:p w:rsidR="0029143F" w:rsidRPr="00141CF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>
        <w:rPr>
          <w:color w:val="000000"/>
          <w:sz w:val="22"/>
          <w:szCs w:val="22"/>
          <w:lang w:val="en-US"/>
        </w:rPr>
        <w:t>H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n-US"/>
        </w:rPr>
        <w:t>GISSI</w:t>
      </w:r>
      <w:r w:rsidRPr="0012497B">
        <w:rPr>
          <w:color w:val="000000"/>
          <w:sz w:val="22"/>
          <w:szCs w:val="22"/>
          <w:lang w:val="el-GR"/>
        </w:rPr>
        <w:t>-</w:t>
      </w:r>
      <w:r>
        <w:rPr>
          <w:color w:val="000000"/>
          <w:sz w:val="22"/>
          <w:szCs w:val="22"/>
          <w:lang w:val="en-US"/>
        </w:rPr>
        <w:t>P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141CFB">
        <w:rPr>
          <w:color w:val="000000"/>
          <w:sz w:val="22"/>
          <w:szCs w:val="22"/>
          <w:lang w:val="el-GR"/>
        </w:rPr>
        <w:t>ήταν μία πολυκεντρικ</w:t>
      </w:r>
      <w:r>
        <w:rPr>
          <w:color w:val="000000"/>
          <w:sz w:val="22"/>
          <w:szCs w:val="22"/>
          <w:lang w:val="el-GR"/>
        </w:rPr>
        <w:t>ή</w:t>
      </w:r>
      <w:r w:rsidRPr="00141CFB">
        <w:rPr>
          <w:color w:val="000000"/>
          <w:sz w:val="22"/>
          <w:szCs w:val="22"/>
          <w:lang w:val="el-GR"/>
        </w:rPr>
        <w:t>,</w:t>
      </w:r>
      <w:r>
        <w:rPr>
          <w:color w:val="000000"/>
          <w:sz w:val="22"/>
          <w:szCs w:val="22"/>
          <w:lang w:val="el-GR"/>
        </w:rPr>
        <w:t xml:space="preserve"> </w:t>
      </w:r>
      <w:r w:rsidRPr="00141CFB">
        <w:rPr>
          <w:color w:val="000000"/>
          <w:sz w:val="22"/>
          <w:szCs w:val="22"/>
          <w:lang w:val="el-GR"/>
        </w:rPr>
        <w:t>τυχαιοποιημένη, ανοιχτή μελέτη που δ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εξήχθη στην Ιταλία.</w:t>
      </w:r>
      <w:r>
        <w:rPr>
          <w:color w:val="000000"/>
          <w:sz w:val="22"/>
          <w:szCs w:val="22"/>
          <w:lang w:val="el-GR"/>
        </w:rPr>
        <w:t xml:space="preserve"> </w:t>
      </w:r>
      <w:r w:rsidRPr="00141CFB">
        <w:rPr>
          <w:color w:val="000000"/>
          <w:sz w:val="22"/>
          <w:szCs w:val="22"/>
          <w:lang w:val="el-GR"/>
        </w:rPr>
        <w:t>Τα αποτελέσματα που παρατηρήθηκαν σε χρονική διάρκε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 xml:space="preserve">α μεγαλύτερη των 3,5 χρόνων μετά τη χορήγηση </w:t>
      </w:r>
      <w:r w:rsidRPr="00970FF4">
        <w:rPr>
          <w:bCs/>
          <w:color w:val="000000"/>
          <w:sz w:val="22"/>
          <w:szCs w:val="22"/>
          <w:lang w:val="el-GR"/>
        </w:rPr>
        <w:t xml:space="preserve">των </w:t>
      </w:r>
      <w:r w:rsidRPr="000C6E52">
        <w:rPr>
          <w:sz w:val="22"/>
          <w:szCs w:val="22"/>
          <w:lang w:val="el-GR"/>
        </w:rPr>
        <w:t>αιθυλεστέρων των Ω-3- πολυακόρεστων λιπαρών οξέων</w:t>
      </w:r>
      <w:r w:rsidRPr="00535930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n-US"/>
        </w:rPr>
        <w:t>lg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141CFB">
        <w:rPr>
          <w:color w:val="000000"/>
          <w:sz w:val="22"/>
          <w:szCs w:val="22"/>
          <w:lang w:val="el-GR"/>
        </w:rPr>
        <w:t>/ ημέρα, έδειξαν σημαντ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κή μείωση ως προς το συνδυασμένο καταληκτικό σημείο αξ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ολόγησης που συμπεριλάμβανε θάνατο από κάθε αι</w:t>
      </w:r>
      <w:r>
        <w:rPr>
          <w:color w:val="000000"/>
          <w:sz w:val="22"/>
          <w:szCs w:val="22"/>
          <w:lang w:val="el-GR"/>
        </w:rPr>
        <w:t>τία</w:t>
      </w:r>
      <w:r w:rsidRPr="00141CFB">
        <w:rPr>
          <w:color w:val="000000"/>
          <w:sz w:val="22"/>
          <w:szCs w:val="22"/>
          <w:lang w:val="el-GR"/>
        </w:rPr>
        <w:t>, μη θανατηφόρο έμφραγμα του μυοκαρδίου κα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 xml:space="preserve"> μη θανατηφόρο αγγε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ακό εγκεφαλικό επεισόδιο (μείωση του σχετ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 xml:space="preserve">κού </w:t>
      </w:r>
      <w:r>
        <w:rPr>
          <w:color w:val="000000"/>
          <w:sz w:val="22"/>
          <w:szCs w:val="22"/>
          <w:lang w:val="el-GR"/>
        </w:rPr>
        <w:t>κινδύνου κατά 15</w:t>
      </w:r>
      <w:r w:rsidRPr="00141CFB">
        <w:rPr>
          <w:color w:val="000000"/>
          <w:sz w:val="22"/>
          <w:szCs w:val="22"/>
          <w:lang w:val="el-GR"/>
        </w:rPr>
        <w:t>% [2-26] ρ=0.0226 σε ασθενείς στους οποίους χορηγήθηκ</w:t>
      </w:r>
      <w:r>
        <w:rPr>
          <w:color w:val="000000"/>
          <w:sz w:val="22"/>
          <w:szCs w:val="22"/>
          <w:lang w:val="el-GR"/>
        </w:rPr>
        <w:t>αν</w:t>
      </w:r>
      <w:r w:rsidRPr="00141CFB">
        <w:rPr>
          <w:color w:val="000000"/>
          <w:sz w:val="22"/>
          <w:szCs w:val="22"/>
          <w:lang w:val="el-GR"/>
        </w:rPr>
        <w:t xml:space="preserve"> μόνο </w:t>
      </w:r>
      <w:r w:rsidRPr="000F5056">
        <w:rPr>
          <w:sz w:val="22"/>
          <w:szCs w:val="22"/>
          <w:lang w:val="el-GR"/>
        </w:rPr>
        <w:t>αιθυλεστέρες των Ω-3- πολυακόρεστων λιπαρών οξέων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141CFB">
        <w:rPr>
          <w:color w:val="000000"/>
          <w:sz w:val="22"/>
          <w:szCs w:val="22"/>
          <w:lang w:val="el-GR"/>
        </w:rPr>
        <w:t xml:space="preserve">σε σύγκριση με την ομάδα ελέγχου και κατά 10 </w:t>
      </w:r>
      <w:r w:rsidRPr="00141CFB">
        <w:rPr>
          <w:i/>
          <w:iCs/>
          <w:color w:val="000000"/>
          <w:sz w:val="22"/>
          <w:szCs w:val="22"/>
          <w:lang w:val="el-GR"/>
        </w:rPr>
        <w:t xml:space="preserve">% </w:t>
      </w:r>
      <w:r w:rsidRPr="00141CFB">
        <w:rPr>
          <w:color w:val="000000"/>
          <w:sz w:val="22"/>
          <w:szCs w:val="22"/>
          <w:lang w:val="el-GR"/>
        </w:rPr>
        <w:t>[1-18] ρ=0.0482 σε ασθενείς που χορηγήθηκ</w:t>
      </w:r>
      <w:r>
        <w:rPr>
          <w:color w:val="000000"/>
          <w:sz w:val="22"/>
          <w:szCs w:val="22"/>
          <w:lang w:val="el-GR"/>
        </w:rPr>
        <w:t>αν</w:t>
      </w:r>
      <w:r w:rsidRPr="00141CFB">
        <w:rPr>
          <w:color w:val="000000"/>
          <w:sz w:val="22"/>
          <w:szCs w:val="22"/>
          <w:lang w:val="el-GR"/>
        </w:rPr>
        <w:t xml:space="preserve"> </w:t>
      </w:r>
      <w:r w:rsidRPr="000F5056">
        <w:rPr>
          <w:sz w:val="22"/>
          <w:szCs w:val="22"/>
          <w:lang w:val="el-GR"/>
        </w:rPr>
        <w:t>αιθυλεστέρες των Ω-3- πολυακόρεστων λιπαρών οξέων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141CFB">
        <w:rPr>
          <w:color w:val="000000"/>
          <w:sz w:val="22"/>
          <w:szCs w:val="22"/>
          <w:lang w:val="el-GR"/>
        </w:rPr>
        <w:t xml:space="preserve">με ή χωρίς </w:t>
      </w:r>
      <w:r>
        <w:rPr>
          <w:color w:val="000000"/>
          <w:sz w:val="22"/>
          <w:szCs w:val="22"/>
          <w:lang w:val="en-US"/>
        </w:rPr>
        <w:t>Vitamin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n-US"/>
        </w:rPr>
        <w:t>E</w:t>
      </w:r>
      <w:r w:rsidRPr="0012497B">
        <w:rPr>
          <w:color w:val="000000"/>
          <w:sz w:val="22"/>
          <w:szCs w:val="22"/>
          <w:lang w:val="el-GR"/>
        </w:rPr>
        <w:t>).</w:t>
      </w:r>
    </w:p>
    <w:p w:rsidR="0029143F" w:rsidRDefault="0029143F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el-GR"/>
        </w:rPr>
      </w:pPr>
    </w:p>
    <w:p w:rsidR="0029143F" w:rsidRDefault="0029143F" w:rsidP="00357FA3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141CFB">
        <w:rPr>
          <w:color w:val="000000"/>
          <w:sz w:val="22"/>
          <w:szCs w:val="22"/>
          <w:lang w:val="el-GR"/>
        </w:rPr>
        <w:t>Παρατηρήθηκε με</w:t>
      </w:r>
      <w:r>
        <w:rPr>
          <w:color w:val="000000"/>
          <w:sz w:val="22"/>
          <w:szCs w:val="22"/>
          <w:lang w:val="el-GR"/>
        </w:rPr>
        <w:t>ίω</w:t>
      </w:r>
      <w:r w:rsidRPr="00141CFB">
        <w:rPr>
          <w:color w:val="000000"/>
          <w:sz w:val="22"/>
          <w:szCs w:val="22"/>
          <w:lang w:val="el-GR"/>
        </w:rPr>
        <w:t>ση του δευτερεύοντος καταληκτικού σημείου αξιολόγησης που συμπεριλάμβανε τους καρδ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αγγειακούς θανάτους, το μη θανατηφόρο έμφραγμα του μυοκαρδίου και</w:t>
      </w:r>
      <w:r>
        <w:rPr>
          <w:color w:val="000000"/>
          <w:sz w:val="22"/>
          <w:szCs w:val="22"/>
          <w:lang w:val="el-GR"/>
        </w:rPr>
        <w:t xml:space="preserve"> </w:t>
      </w:r>
      <w:r w:rsidRPr="00141CFB">
        <w:rPr>
          <w:color w:val="000000"/>
          <w:sz w:val="22"/>
          <w:szCs w:val="22"/>
          <w:lang w:val="el-GR"/>
        </w:rPr>
        <w:t xml:space="preserve">το μη </w:t>
      </w:r>
      <w:r>
        <w:rPr>
          <w:color w:val="000000"/>
          <w:sz w:val="22"/>
          <w:szCs w:val="22"/>
          <w:lang w:val="el-GR"/>
        </w:rPr>
        <w:t>θ</w:t>
      </w:r>
      <w:r w:rsidRPr="00141CFB">
        <w:rPr>
          <w:color w:val="000000"/>
          <w:sz w:val="22"/>
          <w:szCs w:val="22"/>
          <w:lang w:val="el-GR"/>
        </w:rPr>
        <w:t xml:space="preserve">ανατηφόρο αγγειακό εγκεφαλικό επεισόδιο (μείωση του σχετικού κινδύνου κατά 20 </w:t>
      </w:r>
      <w:r w:rsidRPr="00141CFB">
        <w:rPr>
          <w:i/>
          <w:iCs/>
          <w:color w:val="000000"/>
          <w:sz w:val="22"/>
          <w:szCs w:val="22"/>
          <w:lang w:val="el-GR"/>
        </w:rPr>
        <w:t xml:space="preserve">% </w:t>
      </w:r>
      <w:r w:rsidRPr="00141CFB">
        <w:rPr>
          <w:color w:val="000000"/>
          <w:sz w:val="22"/>
          <w:szCs w:val="22"/>
          <w:lang w:val="el-GR"/>
        </w:rPr>
        <w:t xml:space="preserve">[5-32] ρ=0.0082 σε ασθενείς που </w:t>
      </w:r>
      <w:r w:rsidRPr="00141CFB">
        <w:rPr>
          <w:color w:val="000000"/>
          <w:sz w:val="22"/>
          <w:szCs w:val="22"/>
          <w:lang w:val="el-GR"/>
        </w:rPr>
        <w:lastRenderedPageBreak/>
        <w:t>χορηγήθηκ</w:t>
      </w:r>
      <w:r>
        <w:rPr>
          <w:color w:val="000000"/>
          <w:sz w:val="22"/>
          <w:szCs w:val="22"/>
          <w:lang w:val="el-GR"/>
        </w:rPr>
        <w:t>αν</w:t>
      </w:r>
      <w:r w:rsidRPr="00141CFB">
        <w:rPr>
          <w:color w:val="000000"/>
          <w:sz w:val="22"/>
          <w:szCs w:val="22"/>
          <w:lang w:val="el-GR"/>
        </w:rPr>
        <w:t xml:space="preserve"> μόνο </w:t>
      </w:r>
      <w:r w:rsidRPr="000F5056">
        <w:rPr>
          <w:sz w:val="22"/>
          <w:szCs w:val="22"/>
          <w:lang w:val="el-GR"/>
        </w:rPr>
        <w:t>αιθυλεστέρες των Ω-3- πολυακόρεστων λιπαρών οξέων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141CFB">
        <w:rPr>
          <w:color w:val="000000"/>
          <w:sz w:val="22"/>
          <w:szCs w:val="22"/>
          <w:lang w:val="el-GR"/>
        </w:rPr>
        <w:t>σε σύγκρ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ση με την ομάδα ελέγχου και κατά</w:t>
      </w:r>
      <w:r>
        <w:rPr>
          <w:color w:val="000000"/>
          <w:sz w:val="22"/>
          <w:szCs w:val="22"/>
          <w:lang w:val="el-GR"/>
        </w:rPr>
        <w:t xml:space="preserve"> 11</w:t>
      </w:r>
      <w:r w:rsidRPr="00141CFB">
        <w:rPr>
          <w:color w:val="000000"/>
          <w:sz w:val="22"/>
          <w:szCs w:val="22"/>
          <w:lang w:val="el-GR"/>
        </w:rPr>
        <w:t>% [1-20] ρ=0.0526 σε ασθενείς που χορηγήθηκ</w:t>
      </w:r>
      <w:r>
        <w:rPr>
          <w:color w:val="000000"/>
          <w:sz w:val="22"/>
          <w:szCs w:val="22"/>
          <w:lang w:val="el-GR"/>
        </w:rPr>
        <w:t>αν</w:t>
      </w:r>
      <w:r w:rsidRPr="00141CFB">
        <w:rPr>
          <w:color w:val="000000"/>
          <w:sz w:val="22"/>
          <w:szCs w:val="22"/>
          <w:lang w:val="el-GR"/>
        </w:rPr>
        <w:t xml:space="preserve"> </w:t>
      </w:r>
      <w:r w:rsidRPr="000F5056">
        <w:rPr>
          <w:sz w:val="22"/>
          <w:szCs w:val="22"/>
          <w:lang w:val="el-GR"/>
        </w:rPr>
        <w:t>αιθυλεστέρες των Ω-3- πολυακόρεστων λιπαρών οξέων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141CFB">
        <w:rPr>
          <w:color w:val="000000"/>
          <w:sz w:val="22"/>
          <w:szCs w:val="22"/>
          <w:lang w:val="el-GR"/>
        </w:rPr>
        <w:t xml:space="preserve">με ή χωρίς </w:t>
      </w:r>
      <w:r>
        <w:rPr>
          <w:color w:val="000000"/>
          <w:sz w:val="22"/>
          <w:szCs w:val="22"/>
          <w:lang w:val="en-US"/>
        </w:rPr>
        <w:t>Vitamin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n-US"/>
        </w:rPr>
        <w:t>E</w:t>
      </w:r>
      <w:r w:rsidRPr="0012497B">
        <w:rPr>
          <w:color w:val="000000"/>
          <w:sz w:val="22"/>
          <w:szCs w:val="22"/>
          <w:lang w:val="el-GR"/>
        </w:rPr>
        <w:t>).</w:t>
      </w:r>
    </w:p>
    <w:p w:rsidR="0029143F" w:rsidRPr="00141CFB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</w:p>
    <w:p w:rsidR="005F53DC" w:rsidRPr="00477CFD" w:rsidRDefault="0029143F" w:rsidP="00357FA3">
      <w:pPr>
        <w:spacing w:line="360" w:lineRule="auto"/>
        <w:jc w:val="both"/>
        <w:rPr>
          <w:iCs/>
          <w:sz w:val="22"/>
          <w:szCs w:val="22"/>
        </w:rPr>
      </w:pPr>
      <w:r w:rsidRPr="00141CFB">
        <w:rPr>
          <w:color w:val="000000"/>
          <w:sz w:val="22"/>
          <w:szCs w:val="22"/>
          <w:lang w:val="el-GR"/>
        </w:rPr>
        <w:t xml:space="preserve">Δευτερογενής ανάλυση </w:t>
      </w:r>
      <w:r>
        <w:rPr>
          <w:color w:val="000000"/>
          <w:sz w:val="22"/>
          <w:szCs w:val="22"/>
          <w:lang w:val="el-GR"/>
        </w:rPr>
        <w:t>μεμονωμένα</w:t>
      </w:r>
      <w:r w:rsidRPr="00141CFB">
        <w:rPr>
          <w:color w:val="000000"/>
          <w:sz w:val="22"/>
          <w:szCs w:val="22"/>
          <w:lang w:val="el-GR"/>
        </w:rPr>
        <w:t xml:space="preserve"> κάθε κρ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τηρίου από τα πρωτεύοντα κριτήρια αξ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ολόγησης, έδε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ξε σημαντική μείωση των θανάτων από κάθε α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τία κα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 xml:space="preserve"> των καρδ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αγγε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ακών θανάτων αλλά δεν έδε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ξε μείωση των μη θανατηφόρων καρδ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αγγειακών επε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σοδίων κα</w:t>
      </w:r>
      <w:r>
        <w:rPr>
          <w:color w:val="000000"/>
          <w:sz w:val="22"/>
          <w:szCs w:val="22"/>
          <w:lang w:val="el-GR"/>
        </w:rPr>
        <w:t xml:space="preserve">ι </w:t>
      </w:r>
      <w:r w:rsidRPr="00141CFB">
        <w:rPr>
          <w:color w:val="000000"/>
          <w:sz w:val="22"/>
          <w:szCs w:val="22"/>
          <w:lang w:val="el-GR"/>
        </w:rPr>
        <w:t>των θανατηφόρων ή μη αγγε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ακών εγκεφαλικών επε</w:t>
      </w:r>
      <w:r>
        <w:rPr>
          <w:color w:val="000000"/>
          <w:sz w:val="22"/>
          <w:szCs w:val="22"/>
          <w:lang w:val="el-GR"/>
        </w:rPr>
        <w:t>ι</w:t>
      </w:r>
      <w:r w:rsidRPr="00141CFB">
        <w:rPr>
          <w:color w:val="000000"/>
          <w:sz w:val="22"/>
          <w:szCs w:val="22"/>
          <w:lang w:val="el-GR"/>
        </w:rPr>
        <w:t>σοδίων.</w:t>
      </w:r>
    </w:p>
    <w:p w:rsidR="00D84C14" w:rsidRPr="00477CFD" w:rsidRDefault="00D84C14" w:rsidP="00357FA3">
      <w:pPr>
        <w:tabs>
          <w:tab w:val="left" w:pos="567"/>
        </w:tabs>
        <w:spacing w:line="360" w:lineRule="auto"/>
        <w:jc w:val="both"/>
        <w:rPr>
          <w:bCs/>
          <w:sz w:val="22"/>
          <w:szCs w:val="22"/>
        </w:rPr>
      </w:pPr>
    </w:p>
    <w:p w:rsidR="00D84C14" w:rsidRPr="007F5E28" w:rsidRDefault="00D84C14" w:rsidP="00357FA3">
      <w:pPr>
        <w:tabs>
          <w:tab w:val="left" w:pos="567"/>
        </w:tabs>
        <w:spacing w:line="360" w:lineRule="auto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5.2</w:t>
      </w:r>
      <w:r w:rsidRPr="007F5E28">
        <w:rPr>
          <w:b/>
          <w:bCs/>
          <w:lang w:val="el-GR"/>
        </w:rPr>
        <w:tab/>
        <w:t>Φαρμακοκινητικές ιδιότητες</w:t>
      </w:r>
    </w:p>
    <w:p w:rsidR="0029143F" w:rsidRPr="005B6E2F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5B6E2F">
        <w:rPr>
          <w:color w:val="000000"/>
          <w:sz w:val="22"/>
          <w:szCs w:val="22"/>
          <w:lang w:val="el-GR"/>
        </w:rPr>
        <w:t>Κατά τη δ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άρκε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α της απορρόφησης αλλά κα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 μετά από αυτήν, υπάρχουν τρείς βασ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κές οδο</w:t>
      </w:r>
      <w:r>
        <w:rPr>
          <w:color w:val="000000"/>
          <w:sz w:val="22"/>
          <w:szCs w:val="22"/>
          <w:lang w:val="el-GR"/>
        </w:rPr>
        <w:t>ί για τ</w:t>
      </w:r>
      <w:r w:rsidRPr="005B6E2F">
        <w:rPr>
          <w:color w:val="000000"/>
          <w:sz w:val="22"/>
          <w:szCs w:val="22"/>
          <w:lang w:val="el-GR"/>
        </w:rPr>
        <w:t>ο μεταβολ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σμ</w:t>
      </w:r>
      <w:r>
        <w:rPr>
          <w:color w:val="000000"/>
          <w:sz w:val="22"/>
          <w:szCs w:val="22"/>
          <w:lang w:val="el-GR"/>
        </w:rPr>
        <w:t>ό</w:t>
      </w:r>
      <w:r w:rsidRPr="005B6E2F">
        <w:rPr>
          <w:color w:val="000000"/>
          <w:sz w:val="22"/>
          <w:szCs w:val="22"/>
          <w:lang w:val="el-GR"/>
        </w:rPr>
        <w:t xml:space="preserve"> των </w:t>
      </w:r>
      <w:r w:rsidRPr="000C6E52">
        <w:rPr>
          <w:sz w:val="22"/>
          <w:szCs w:val="22"/>
          <w:lang w:val="el-GR"/>
        </w:rPr>
        <w:t>αιθυλεστέρων των Ω-3- πολυακόρεστων λιπαρών οξέων</w:t>
      </w:r>
      <w:r w:rsidRPr="005B6E2F">
        <w:rPr>
          <w:color w:val="000000"/>
          <w:sz w:val="22"/>
          <w:szCs w:val="22"/>
          <w:lang w:val="el-GR"/>
        </w:rPr>
        <w:t>:</w:t>
      </w:r>
    </w:p>
    <w:p w:rsidR="0029143F" w:rsidRPr="005B6E2F" w:rsidRDefault="0029143F" w:rsidP="00357FA3">
      <w:pPr>
        <w:shd w:val="clear" w:color="auto" w:fill="FFFFFF"/>
        <w:spacing w:line="360" w:lineRule="auto"/>
        <w:jc w:val="both"/>
        <w:rPr>
          <w:lang w:val="el-GR"/>
        </w:rPr>
      </w:pPr>
      <w:r w:rsidRPr="005B6E2F">
        <w:rPr>
          <w:color w:val="000000"/>
          <w:sz w:val="22"/>
          <w:szCs w:val="22"/>
          <w:lang w:val="el-GR"/>
        </w:rPr>
        <w:t>Τα λ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παρά οξέα μεταφέρονται αρχ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κά στο ήπαρ όπου ενσωματώνοντα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 σε δ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άφορες</w:t>
      </w:r>
      <w:r>
        <w:rPr>
          <w:lang w:val="el-GR"/>
        </w:rPr>
        <w:t xml:space="preserve"> </w:t>
      </w:r>
      <w:r w:rsidRPr="005B6E2F">
        <w:rPr>
          <w:color w:val="000000"/>
          <w:sz w:val="22"/>
          <w:szCs w:val="22"/>
          <w:lang w:val="el-GR"/>
        </w:rPr>
        <w:t>κατηγορ</w:t>
      </w:r>
      <w:r>
        <w:rPr>
          <w:color w:val="000000"/>
          <w:sz w:val="22"/>
          <w:szCs w:val="22"/>
          <w:lang w:val="el-GR"/>
        </w:rPr>
        <w:t>ί</w:t>
      </w:r>
      <w:r w:rsidRPr="005B6E2F">
        <w:rPr>
          <w:color w:val="000000"/>
          <w:sz w:val="22"/>
          <w:szCs w:val="22"/>
          <w:lang w:val="el-GR"/>
        </w:rPr>
        <w:t>ες   λιποπρωτε</w:t>
      </w:r>
      <w:r>
        <w:rPr>
          <w:color w:val="000000"/>
          <w:sz w:val="22"/>
          <w:szCs w:val="22"/>
          <w:lang w:val="el-GR"/>
        </w:rPr>
        <w:t>ϊ</w:t>
      </w:r>
      <w:r w:rsidRPr="005B6E2F">
        <w:rPr>
          <w:color w:val="000000"/>
          <w:sz w:val="22"/>
          <w:szCs w:val="22"/>
          <w:lang w:val="el-GR"/>
        </w:rPr>
        <w:t>νών   κα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   στη   συνέχεια   δ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οχετεύονται   στ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ς   περ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φερ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κές</w:t>
      </w:r>
      <w:r>
        <w:rPr>
          <w:lang w:val="el-GR"/>
        </w:rPr>
        <w:t xml:space="preserve"> </w:t>
      </w:r>
      <w:r w:rsidRPr="005B6E2F">
        <w:rPr>
          <w:color w:val="000000"/>
          <w:sz w:val="22"/>
          <w:szCs w:val="22"/>
          <w:lang w:val="el-GR"/>
        </w:rPr>
        <w:t>αποθήκες λ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πιδ</w:t>
      </w:r>
      <w:r>
        <w:rPr>
          <w:color w:val="000000"/>
          <w:sz w:val="22"/>
          <w:szCs w:val="22"/>
          <w:lang w:val="el-GR"/>
        </w:rPr>
        <w:t>ί</w:t>
      </w:r>
      <w:r w:rsidRPr="005B6E2F">
        <w:rPr>
          <w:color w:val="000000"/>
          <w:sz w:val="22"/>
          <w:szCs w:val="22"/>
          <w:lang w:val="el-GR"/>
        </w:rPr>
        <w:t>ων.</w:t>
      </w:r>
      <w:r>
        <w:rPr>
          <w:color w:val="000000"/>
          <w:sz w:val="22"/>
          <w:szCs w:val="22"/>
          <w:lang w:val="el-GR"/>
        </w:rPr>
        <w:t xml:space="preserve"> </w:t>
      </w:r>
      <w:r w:rsidRPr="005B6E2F">
        <w:rPr>
          <w:color w:val="000000"/>
          <w:sz w:val="22"/>
          <w:szCs w:val="22"/>
          <w:lang w:val="el-GR"/>
        </w:rPr>
        <w:t>Τα φωσφολ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π</w:t>
      </w:r>
      <w:r>
        <w:rPr>
          <w:color w:val="000000"/>
          <w:sz w:val="22"/>
          <w:szCs w:val="22"/>
          <w:lang w:val="el-GR"/>
        </w:rPr>
        <w:t>ί</w:t>
      </w:r>
      <w:r w:rsidRPr="005B6E2F">
        <w:rPr>
          <w:color w:val="000000"/>
          <w:sz w:val="22"/>
          <w:szCs w:val="22"/>
          <w:lang w:val="el-GR"/>
        </w:rPr>
        <w:t>δ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α των κυτταρ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κών μεμβρανών αντ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καθίσταντα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 από λ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ποπρωτεϊνικά</w:t>
      </w:r>
      <w:r>
        <w:rPr>
          <w:color w:val="000000"/>
          <w:sz w:val="22"/>
          <w:szCs w:val="22"/>
          <w:lang w:val="el-GR"/>
        </w:rPr>
        <w:t xml:space="preserve"> </w:t>
      </w:r>
      <w:r w:rsidRPr="005B6E2F">
        <w:rPr>
          <w:color w:val="000000"/>
          <w:sz w:val="22"/>
          <w:szCs w:val="22"/>
          <w:lang w:val="el-GR"/>
        </w:rPr>
        <w:t>φωσφολ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πίδ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α  και  τα  λ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παρά  οξέα  μπορούν  τότε να  δράσουν  σαν  πρόδρομο</w:t>
      </w:r>
      <w:r>
        <w:rPr>
          <w:color w:val="000000"/>
          <w:sz w:val="22"/>
          <w:szCs w:val="22"/>
          <w:lang w:val="el-GR"/>
        </w:rPr>
        <w:t>ι</w:t>
      </w:r>
      <w:r>
        <w:rPr>
          <w:lang w:val="el-GR"/>
        </w:rPr>
        <w:t xml:space="preserve"> </w:t>
      </w:r>
      <w:r w:rsidRPr="005B6E2F">
        <w:rPr>
          <w:color w:val="000000"/>
          <w:sz w:val="22"/>
          <w:szCs w:val="22"/>
          <w:lang w:val="el-GR"/>
        </w:rPr>
        <w:t>δ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αφόρων ε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κοσανιοειδών.</w:t>
      </w:r>
      <w:r>
        <w:rPr>
          <w:color w:val="000000"/>
          <w:sz w:val="22"/>
          <w:szCs w:val="22"/>
          <w:lang w:val="el-GR"/>
        </w:rPr>
        <w:t xml:space="preserve"> </w:t>
      </w:r>
      <w:r w:rsidRPr="005B6E2F">
        <w:rPr>
          <w:color w:val="000000"/>
          <w:sz w:val="22"/>
          <w:szCs w:val="22"/>
          <w:lang w:val="el-GR"/>
        </w:rPr>
        <w:t>Η πλε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οψηφ</w:t>
      </w:r>
      <w:r>
        <w:rPr>
          <w:color w:val="000000"/>
          <w:sz w:val="22"/>
          <w:szCs w:val="22"/>
          <w:lang w:val="el-GR"/>
        </w:rPr>
        <w:t>ί</w:t>
      </w:r>
      <w:r w:rsidRPr="005B6E2F">
        <w:rPr>
          <w:color w:val="000000"/>
          <w:sz w:val="22"/>
          <w:szCs w:val="22"/>
          <w:lang w:val="el-GR"/>
        </w:rPr>
        <w:t>α τους οξειδώνεται γ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α να 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κανοπο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ήσε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 ενεργε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ακές ανάγκες.</w:t>
      </w:r>
      <w:r>
        <w:rPr>
          <w:color w:val="000000"/>
          <w:sz w:val="22"/>
          <w:szCs w:val="22"/>
          <w:lang w:val="el-GR"/>
        </w:rPr>
        <w:t xml:space="preserve"> </w:t>
      </w:r>
      <w:r w:rsidRPr="005B6E2F">
        <w:rPr>
          <w:color w:val="000000"/>
          <w:sz w:val="22"/>
          <w:szCs w:val="22"/>
          <w:lang w:val="el-GR"/>
        </w:rPr>
        <w:t xml:space="preserve">Η συγκέντρωση </w:t>
      </w:r>
      <w:r w:rsidRPr="0012497B">
        <w:rPr>
          <w:smallCaps/>
          <w:color w:val="000000"/>
          <w:sz w:val="22"/>
          <w:szCs w:val="22"/>
          <w:lang w:val="el-GR"/>
        </w:rPr>
        <w:t xml:space="preserve"> </w:t>
      </w:r>
      <w:r w:rsidRPr="005B6E2F">
        <w:rPr>
          <w:color w:val="000000"/>
          <w:sz w:val="22"/>
          <w:szCs w:val="22"/>
          <w:lang w:val="el-GR"/>
        </w:rPr>
        <w:t xml:space="preserve">των </w:t>
      </w:r>
      <w:r w:rsidRPr="000C6E52">
        <w:rPr>
          <w:sz w:val="22"/>
          <w:szCs w:val="22"/>
          <w:lang w:val="el-GR"/>
        </w:rPr>
        <w:t>αιθυλεστέρων των Ω-3- πολυακόρεστων λιπαρών οξέων</w:t>
      </w:r>
      <w:r w:rsidRPr="005B6E2F">
        <w:rPr>
          <w:color w:val="000000"/>
          <w:sz w:val="22"/>
          <w:szCs w:val="22"/>
          <w:lang w:val="el-GR"/>
        </w:rPr>
        <w:t>, στα</w:t>
      </w:r>
      <w:r>
        <w:rPr>
          <w:lang w:val="el-GR"/>
        </w:rPr>
        <w:t xml:space="preserve"> </w:t>
      </w:r>
      <w:r w:rsidRPr="005B6E2F">
        <w:rPr>
          <w:color w:val="000000"/>
          <w:sz w:val="22"/>
          <w:szCs w:val="22"/>
          <w:lang w:val="el-GR"/>
        </w:rPr>
        <w:t>φωσφολ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πίδια του </w:t>
      </w:r>
      <w:r>
        <w:rPr>
          <w:color w:val="000000"/>
          <w:sz w:val="22"/>
          <w:szCs w:val="22"/>
          <w:lang w:val="el-GR"/>
        </w:rPr>
        <w:t>π</w:t>
      </w:r>
      <w:r w:rsidRPr="005B6E2F">
        <w:rPr>
          <w:color w:val="000000"/>
          <w:sz w:val="22"/>
          <w:szCs w:val="22"/>
          <w:lang w:val="el-GR"/>
        </w:rPr>
        <w:t>λάσματο</w:t>
      </w:r>
      <w:r>
        <w:rPr>
          <w:color w:val="000000"/>
          <w:sz w:val="22"/>
          <w:szCs w:val="22"/>
          <w:lang w:val="el-GR"/>
        </w:rPr>
        <w:t>ς</w:t>
      </w:r>
      <w:r w:rsidRPr="005B6E2F">
        <w:rPr>
          <w:color w:val="000000"/>
          <w:sz w:val="22"/>
          <w:szCs w:val="22"/>
          <w:lang w:val="el-GR"/>
        </w:rPr>
        <w:t xml:space="preserve"> αντ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στοιχεί στα ΕΡΑ κα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n-US"/>
        </w:rPr>
        <w:t>DHA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5B6E2F">
        <w:rPr>
          <w:color w:val="000000"/>
          <w:sz w:val="22"/>
          <w:szCs w:val="22"/>
          <w:lang w:val="el-GR"/>
        </w:rPr>
        <w:t>που</w:t>
      </w:r>
      <w:r>
        <w:rPr>
          <w:lang w:val="el-GR"/>
        </w:rPr>
        <w:t xml:space="preserve"> </w:t>
      </w:r>
      <w:r w:rsidRPr="005B6E2F">
        <w:rPr>
          <w:color w:val="000000"/>
          <w:sz w:val="22"/>
          <w:szCs w:val="22"/>
          <w:lang w:val="el-GR"/>
        </w:rPr>
        <w:t>ενσωματώθηκαν στις κυτταρικές μεμβράνες.</w:t>
      </w:r>
    </w:p>
    <w:p w:rsidR="00D84C14" w:rsidRPr="00477CFD" w:rsidRDefault="0029143F" w:rsidP="00357FA3">
      <w:pPr>
        <w:spacing w:line="360" w:lineRule="auto"/>
        <w:jc w:val="both"/>
        <w:rPr>
          <w:iCs/>
          <w:sz w:val="22"/>
          <w:szCs w:val="22"/>
        </w:rPr>
      </w:pPr>
      <w:r w:rsidRPr="005B6E2F">
        <w:rPr>
          <w:color w:val="000000"/>
          <w:sz w:val="22"/>
          <w:szCs w:val="22"/>
          <w:lang w:val="el-GR"/>
        </w:rPr>
        <w:t>Φαρμακοκ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νητ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κές μελέτες σ</w:t>
      </w:r>
      <w:r>
        <w:rPr>
          <w:color w:val="000000"/>
          <w:sz w:val="22"/>
          <w:szCs w:val="22"/>
          <w:lang w:val="el-GR"/>
        </w:rPr>
        <w:t>ε</w:t>
      </w:r>
      <w:r w:rsidRPr="005B6E2F">
        <w:rPr>
          <w:color w:val="000000"/>
          <w:sz w:val="22"/>
          <w:szCs w:val="22"/>
          <w:lang w:val="el-GR"/>
        </w:rPr>
        <w:t xml:space="preserve"> ζώα απέδε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ξαν ότ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 υπάρχε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 πλήρης υδρόλυση του α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θυλεστέρα </w:t>
      </w:r>
      <w:r>
        <w:rPr>
          <w:color w:val="000000"/>
          <w:sz w:val="22"/>
          <w:szCs w:val="22"/>
          <w:lang w:val="el-GR"/>
        </w:rPr>
        <w:t>που</w:t>
      </w:r>
      <w:r w:rsidRPr="0012497B">
        <w:rPr>
          <w:color w:val="000000"/>
          <w:sz w:val="22"/>
          <w:szCs w:val="22"/>
          <w:lang w:val="el-GR"/>
        </w:rPr>
        <w:t xml:space="preserve"> </w:t>
      </w:r>
      <w:r w:rsidRPr="005B6E2F">
        <w:rPr>
          <w:color w:val="000000"/>
          <w:sz w:val="22"/>
          <w:szCs w:val="22"/>
          <w:lang w:val="el-GR"/>
        </w:rPr>
        <w:t>συνοδεύετα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 από 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κανοποιητική απορρόφηση κα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 ενσωμάτωση των ΕΡΑ κα</w:t>
      </w:r>
      <w:r>
        <w:rPr>
          <w:color w:val="000000"/>
          <w:sz w:val="22"/>
          <w:szCs w:val="22"/>
          <w:lang w:val="el-GR"/>
        </w:rPr>
        <w:t xml:space="preserve">ι </w:t>
      </w:r>
      <w:r>
        <w:rPr>
          <w:color w:val="000000"/>
          <w:sz w:val="22"/>
          <w:szCs w:val="22"/>
          <w:lang w:val="en-US"/>
        </w:rPr>
        <w:t>DHA</w:t>
      </w:r>
      <w:r w:rsidRPr="005B6E2F">
        <w:rPr>
          <w:color w:val="000000"/>
          <w:sz w:val="22"/>
          <w:szCs w:val="22"/>
          <w:lang w:val="el-GR"/>
        </w:rPr>
        <w:t xml:space="preserve"> στα φωσφολιπίδ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>α του πλάσματος κα</w:t>
      </w:r>
      <w:r>
        <w:rPr>
          <w:color w:val="000000"/>
          <w:sz w:val="22"/>
          <w:szCs w:val="22"/>
          <w:lang w:val="el-GR"/>
        </w:rPr>
        <w:t>ι</w:t>
      </w:r>
      <w:r w:rsidRPr="005B6E2F">
        <w:rPr>
          <w:color w:val="000000"/>
          <w:sz w:val="22"/>
          <w:szCs w:val="22"/>
          <w:lang w:val="el-GR"/>
        </w:rPr>
        <w:t xml:space="preserve"> τους εστέρες της χολησ</w:t>
      </w:r>
      <w:r>
        <w:rPr>
          <w:color w:val="000000"/>
          <w:sz w:val="22"/>
          <w:szCs w:val="22"/>
          <w:lang w:val="el-GR"/>
        </w:rPr>
        <w:t>τ</w:t>
      </w:r>
      <w:r w:rsidRPr="005B6E2F">
        <w:rPr>
          <w:color w:val="000000"/>
          <w:sz w:val="22"/>
          <w:szCs w:val="22"/>
          <w:lang w:val="el-GR"/>
        </w:rPr>
        <w:t>ερόλης.</w:t>
      </w:r>
    </w:p>
    <w:p w:rsidR="005F53DC" w:rsidRPr="00477CFD" w:rsidRDefault="005F53DC" w:rsidP="00357FA3">
      <w:pPr>
        <w:tabs>
          <w:tab w:val="left" w:pos="567"/>
        </w:tabs>
        <w:spacing w:line="360" w:lineRule="auto"/>
        <w:jc w:val="both"/>
        <w:rPr>
          <w:b/>
          <w:bCs/>
          <w:sz w:val="22"/>
          <w:szCs w:val="22"/>
          <w:lang w:val="el-GR"/>
        </w:rPr>
      </w:pPr>
    </w:p>
    <w:p w:rsidR="00D84C14" w:rsidRPr="007F5E28" w:rsidRDefault="00D84C14" w:rsidP="00357FA3">
      <w:pPr>
        <w:tabs>
          <w:tab w:val="left" w:pos="567"/>
        </w:tabs>
        <w:spacing w:line="360" w:lineRule="auto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5.3</w:t>
      </w:r>
      <w:r w:rsidRPr="007F5E28">
        <w:rPr>
          <w:b/>
          <w:bCs/>
          <w:lang w:val="el-GR"/>
        </w:rPr>
        <w:tab/>
        <w:t>Προκλινικά δεδομένα για την ασφάλεια</w:t>
      </w:r>
    </w:p>
    <w:p w:rsidR="00081D90" w:rsidRPr="00477CFD" w:rsidRDefault="0029143F" w:rsidP="00357FA3">
      <w:pPr>
        <w:spacing w:line="360" w:lineRule="auto"/>
        <w:jc w:val="both"/>
        <w:rPr>
          <w:iCs/>
          <w:sz w:val="22"/>
          <w:szCs w:val="22"/>
        </w:rPr>
      </w:pPr>
      <w:r w:rsidRPr="00B371CC">
        <w:rPr>
          <w:color w:val="000000"/>
          <w:sz w:val="22"/>
          <w:szCs w:val="22"/>
          <w:lang w:val="el-GR"/>
        </w:rPr>
        <w:t>Δεν έχε</w:t>
      </w:r>
      <w:r>
        <w:rPr>
          <w:color w:val="000000"/>
          <w:sz w:val="22"/>
          <w:szCs w:val="22"/>
          <w:lang w:val="el-GR"/>
        </w:rPr>
        <w:t>ι</w:t>
      </w:r>
      <w:r w:rsidRPr="00B371CC">
        <w:rPr>
          <w:color w:val="000000"/>
          <w:sz w:val="22"/>
          <w:szCs w:val="22"/>
          <w:lang w:val="el-GR"/>
        </w:rPr>
        <w:t xml:space="preserve"> προκύψε</w:t>
      </w:r>
      <w:r>
        <w:rPr>
          <w:color w:val="000000"/>
          <w:sz w:val="22"/>
          <w:szCs w:val="22"/>
          <w:lang w:val="el-GR"/>
        </w:rPr>
        <w:t>ι</w:t>
      </w:r>
      <w:r w:rsidRPr="00B371CC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l-GR"/>
        </w:rPr>
        <w:t>κ</w:t>
      </w:r>
      <w:r w:rsidRPr="00B371CC">
        <w:rPr>
          <w:color w:val="000000"/>
          <w:sz w:val="22"/>
          <w:szCs w:val="22"/>
          <w:lang w:val="el-GR"/>
        </w:rPr>
        <w:t>ανένα θέμα αναφορ</w:t>
      </w:r>
      <w:r>
        <w:rPr>
          <w:color w:val="000000"/>
          <w:sz w:val="22"/>
          <w:szCs w:val="22"/>
          <w:lang w:val="el-GR"/>
        </w:rPr>
        <w:t>ι</w:t>
      </w:r>
      <w:r w:rsidRPr="00B371CC">
        <w:rPr>
          <w:color w:val="000000"/>
          <w:sz w:val="22"/>
          <w:szCs w:val="22"/>
          <w:lang w:val="el-GR"/>
        </w:rPr>
        <w:t>κά με την ασφάλεια του προϊόντος</w:t>
      </w:r>
      <w:r>
        <w:rPr>
          <w:color w:val="000000"/>
          <w:sz w:val="22"/>
          <w:szCs w:val="22"/>
          <w:lang w:val="el-GR"/>
        </w:rPr>
        <w:t xml:space="preserve"> στον άνθρωπο στη </w:t>
      </w:r>
      <w:r w:rsidRPr="00B371CC">
        <w:rPr>
          <w:color w:val="000000"/>
          <w:sz w:val="22"/>
          <w:szCs w:val="22"/>
          <w:lang w:val="el-GR"/>
        </w:rPr>
        <w:t>συνιστώμενη ημερήσ</w:t>
      </w:r>
      <w:r>
        <w:rPr>
          <w:color w:val="000000"/>
          <w:sz w:val="22"/>
          <w:szCs w:val="22"/>
          <w:lang w:val="el-GR"/>
        </w:rPr>
        <w:t>ι</w:t>
      </w:r>
      <w:r w:rsidRPr="00B371CC">
        <w:rPr>
          <w:color w:val="000000"/>
          <w:sz w:val="22"/>
          <w:szCs w:val="22"/>
          <w:lang w:val="el-GR"/>
        </w:rPr>
        <w:t>α δοσολογία.</w:t>
      </w:r>
    </w:p>
    <w:p w:rsidR="00D36895" w:rsidRPr="00477CFD" w:rsidRDefault="00D36895" w:rsidP="00357FA3">
      <w:pPr>
        <w:spacing w:line="360" w:lineRule="auto"/>
        <w:jc w:val="both"/>
        <w:outlineLvl w:val="0"/>
        <w:rPr>
          <w:sz w:val="22"/>
          <w:szCs w:val="22"/>
        </w:rPr>
      </w:pPr>
    </w:p>
    <w:p w:rsidR="00195FEB" w:rsidRPr="007F5E28" w:rsidRDefault="00262914" w:rsidP="00357FA3">
      <w:pPr>
        <w:numPr>
          <w:ilvl w:val="0"/>
          <w:numId w:val="23"/>
        </w:numPr>
        <w:tabs>
          <w:tab w:val="left" w:pos="567"/>
        </w:tabs>
        <w:spacing w:line="360" w:lineRule="auto"/>
        <w:ind w:hanging="720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ΦΑΡΜΑΚΕΥΤΙΚΕΣ ΠΛΗΡΟΦΟΡΙΕΣ</w:t>
      </w:r>
    </w:p>
    <w:p w:rsidR="00195FEB" w:rsidRPr="007F5E28" w:rsidRDefault="00195FEB" w:rsidP="00357FA3">
      <w:pPr>
        <w:numPr>
          <w:ilvl w:val="1"/>
          <w:numId w:val="28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Κατάλογος εκδόχων</w:t>
      </w:r>
    </w:p>
    <w:p w:rsidR="0029143F" w:rsidRDefault="0029143F" w:rsidP="00357FA3">
      <w:pPr>
        <w:shd w:val="clear" w:color="auto" w:fill="FFFFFF"/>
        <w:spacing w:line="360" w:lineRule="auto"/>
        <w:ind w:left="360"/>
        <w:jc w:val="both"/>
        <w:rPr>
          <w:color w:val="000000"/>
          <w:sz w:val="22"/>
          <w:szCs w:val="22"/>
          <w:u w:val="single"/>
          <w:lang w:val="el-GR"/>
        </w:rPr>
      </w:pPr>
      <w:r w:rsidRPr="004E4704">
        <w:rPr>
          <w:color w:val="000000"/>
          <w:sz w:val="22"/>
          <w:szCs w:val="22"/>
          <w:u w:val="single"/>
        </w:rPr>
        <w:t>Περ</w:t>
      </w:r>
      <w:r>
        <w:rPr>
          <w:color w:val="000000"/>
          <w:sz w:val="22"/>
          <w:szCs w:val="22"/>
          <w:u w:val="single"/>
          <w:lang w:val="el-GR"/>
        </w:rPr>
        <w:t>ι</w:t>
      </w:r>
      <w:r w:rsidRPr="004E4704">
        <w:rPr>
          <w:color w:val="000000"/>
          <w:sz w:val="22"/>
          <w:szCs w:val="22"/>
          <w:u w:val="single"/>
        </w:rPr>
        <w:t xml:space="preserve">εγόμενο </w:t>
      </w:r>
      <w:r>
        <w:rPr>
          <w:color w:val="000000"/>
          <w:sz w:val="22"/>
          <w:szCs w:val="22"/>
          <w:u w:val="single"/>
          <w:lang w:val="el-GR"/>
        </w:rPr>
        <w:t>κάψουλας</w:t>
      </w:r>
      <w:r w:rsidRPr="004E4704">
        <w:rPr>
          <w:color w:val="000000"/>
          <w:sz w:val="22"/>
          <w:szCs w:val="22"/>
          <w:u w:val="single"/>
        </w:rPr>
        <w:t xml:space="preserve">: </w:t>
      </w:r>
    </w:p>
    <w:p w:rsidR="0029143F" w:rsidRPr="007E5C5A" w:rsidRDefault="0029143F" w:rsidP="00357FA3">
      <w:pPr>
        <w:shd w:val="clear" w:color="auto" w:fill="FFFFFF"/>
        <w:spacing w:line="360" w:lineRule="auto"/>
        <w:ind w:left="360"/>
        <w:jc w:val="both"/>
        <w:rPr>
          <w:lang w:val="el-GR"/>
        </w:rPr>
      </w:pPr>
      <w:r w:rsidRPr="004E4704">
        <w:rPr>
          <w:color w:val="000000"/>
          <w:sz w:val="22"/>
          <w:szCs w:val="22"/>
          <w:lang w:val="en-US"/>
        </w:rPr>
        <w:t>Alpha</w:t>
      </w:r>
      <w:r w:rsidRPr="004E4704">
        <w:rPr>
          <w:color w:val="000000"/>
          <w:sz w:val="22"/>
          <w:szCs w:val="22"/>
          <w:lang w:val="el-GR"/>
        </w:rPr>
        <w:t>-</w:t>
      </w:r>
      <w:r w:rsidRPr="004E4704">
        <w:rPr>
          <w:color w:val="000000"/>
          <w:sz w:val="22"/>
          <w:szCs w:val="22"/>
          <w:lang w:val="en-US"/>
        </w:rPr>
        <w:t>tocopherol</w:t>
      </w:r>
      <w:r w:rsidR="007E5C5A">
        <w:rPr>
          <w:color w:val="000000"/>
          <w:sz w:val="22"/>
          <w:szCs w:val="22"/>
          <w:lang w:val="el-GR"/>
        </w:rPr>
        <w:t xml:space="preserve"> </w:t>
      </w:r>
      <w:r w:rsidR="007E5C5A" w:rsidRPr="007E5C5A">
        <w:rPr>
          <w:color w:val="000000"/>
          <w:sz w:val="22"/>
          <w:szCs w:val="22"/>
          <w:lang w:val="el-GR"/>
        </w:rPr>
        <w:t>(μπορεί να περιέχει φυτικά έλαια π.χ. σογιέλαιο)</w:t>
      </w:r>
    </w:p>
    <w:p w:rsidR="0029143F" w:rsidRPr="00F34108" w:rsidRDefault="0029143F" w:rsidP="00357FA3">
      <w:pPr>
        <w:spacing w:line="360" w:lineRule="auto"/>
        <w:ind w:left="360"/>
        <w:jc w:val="both"/>
        <w:rPr>
          <w:spacing w:val="-1"/>
          <w:lang w:val="el-GR"/>
        </w:rPr>
      </w:pPr>
    </w:p>
    <w:p w:rsidR="0029143F" w:rsidRPr="000A3E75" w:rsidRDefault="0029143F" w:rsidP="00357FA3">
      <w:pPr>
        <w:shd w:val="clear" w:color="auto" w:fill="FFFFFF"/>
        <w:spacing w:line="360" w:lineRule="auto"/>
        <w:ind w:left="360"/>
        <w:jc w:val="both"/>
        <w:rPr>
          <w:lang w:val="el-GR"/>
        </w:rPr>
      </w:pPr>
      <w:r w:rsidRPr="000A3E75">
        <w:rPr>
          <w:color w:val="000000"/>
          <w:u w:val="single"/>
          <w:lang w:val="el-GR"/>
        </w:rPr>
        <w:t>Κέλυφ</w:t>
      </w:r>
      <w:r>
        <w:rPr>
          <w:color w:val="000000"/>
          <w:u w:val="single"/>
          <w:lang w:val="el-GR"/>
        </w:rPr>
        <w:t>ος κάψουλας</w:t>
      </w:r>
      <w:r w:rsidRPr="000A3E75">
        <w:rPr>
          <w:color w:val="000000"/>
          <w:u w:val="single"/>
          <w:lang w:val="el-GR"/>
        </w:rPr>
        <w:t>:</w:t>
      </w:r>
    </w:p>
    <w:p w:rsidR="0029143F" w:rsidRPr="000A3E75" w:rsidRDefault="0029143F" w:rsidP="00357FA3">
      <w:pPr>
        <w:shd w:val="clear" w:color="auto" w:fill="FFFFFF"/>
        <w:spacing w:line="360" w:lineRule="auto"/>
        <w:ind w:left="360"/>
        <w:jc w:val="both"/>
        <w:rPr>
          <w:lang w:val="el-GR"/>
        </w:rPr>
      </w:pPr>
      <w:r w:rsidRPr="000A3E75">
        <w:rPr>
          <w:color w:val="000000"/>
          <w:lang w:val="el-GR"/>
        </w:rPr>
        <w:t>Ζελατίνη</w:t>
      </w:r>
    </w:p>
    <w:p w:rsidR="0029143F" w:rsidRPr="000A3E75" w:rsidRDefault="0029143F" w:rsidP="00357FA3">
      <w:pPr>
        <w:shd w:val="clear" w:color="auto" w:fill="FFFFFF"/>
        <w:spacing w:line="360" w:lineRule="auto"/>
        <w:ind w:left="360"/>
        <w:jc w:val="both"/>
        <w:rPr>
          <w:lang w:val="el-GR"/>
        </w:rPr>
      </w:pPr>
      <w:r w:rsidRPr="000A3E75">
        <w:rPr>
          <w:color w:val="000000"/>
          <w:lang w:val="el-GR"/>
        </w:rPr>
        <w:t>Γλυκερόλη</w:t>
      </w:r>
    </w:p>
    <w:p w:rsidR="0029143F" w:rsidRPr="000A3E75" w:rsidRDefault="0029143F" w:rsidP="00357FA3">
      <w:pPr>
        <w:shd w:val="clear" w:color="auto" w:fill="FFFFFF"/>
        <w:spacing w:line="360" w:lineRule="auto"/>
        <w:ind w:left="360"/>
        <w:jc w:val="both"/>
        <w:rPr>
          <w:lang w:val="el-GR"/>
        </w:rPr>
      </w:pPr>
      <w:r w:rsidRPr="000A3E75">
        <w:rPr>
          <w:color w:val="000000"/>
          <w:lang w:val="el-GR"/>
        </w:rPr>
        <w:t>Ύδωρ κεκαθαρμένο.</w:t>
      </w:r>
    </w:p>
    <w:p w:rsidR="0029143F" w:rsidRPr="000A3E75" w:rsidRDefault="0029143F" w:rsidP="00357FA3">
      <w:pPr>
        <w:shd w:val="clear" w:color="auto" w:fill="FFFFFF"/>
        <w:spacing w:line="360" w:lineRule="auto"/>
        <w:ind w:left="360"/>
        <w:jc w:val="both"/>
        <w:rPr>
          <w:lang w:val="el-GR"/>
        </w:rPr>
      </w:pPr>
      <w:r w:rsidRPr="000A3E75">
        <w:rPr>
          <w:color w:val="000000"/>
          <w:lang w:val="el-GR"/>
        </w:rPr>
        <w:lastRenderedPageBreak/>
        <w:t>Τριγλυκερίδια μέσου μοριακού βάρους</w:t>
      </w:r>
    </w:p>
    <w:p w:rsidR="00D36895" w:rsidRPr="00EE0DE5" w:rsidRDefault="0029143F" w:rsidP="00357FA3">
      <w:pPr>
        <w:tabs>
          <w:tab w:val="left" w:pos="567"/>
        </w:tabs>
        <w:spacing w:line="360" w:lineRule="auto"/>
        <w:ind w:left="360"/>
        <w:jc w:val="both"/>
        <w:rPr>
          <w:sz w:val="22"/>
          <w:szCs w:val="22"/>
          <w:lang w:val="el-GR"/>
        </w:rPr>
      </w:pPr>
      <w:r>
        <w:rPr>
          <w:color w:val="000000"/>
        </w:rPr>
        <w:t>Λεκιθίνη (</w:t>
      </w:r>
      <w:r w:rsidR="007E5C5A">
        <w:rPr>
          <w:color w:val="000000"/>
          <w:lang w:val="el-GR"/>
        </w:rPr>
        <w:t>ηλιάνθου</w:t>
      </w:r>
      <w:r>
        <w:rPr>
          <w:color w:val="000000"/>
        </w:rPr>
        <w:t>)</w:t>
      </w:r>
    </w:p>
    <w:p w:rsidR="00195FEB" w:rsidRPr="00EE0DE5" w:rsidRDefault="00195FEB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</w:p>
    <w:p w:rsidR="00195FEB" w:rsidRPr="007F5E28" w:rsidRDefault="00195FEB" w:rsidP="00357FA3">
      <w:pPr>
        <w:numPr>
          <w:ilvl w:val="1"/>
          <w:numId w:val="28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Ασυμβατότητες</w:t>
      </w:r>
    </w:p>
    <w:p w:rsidR="00195FEB" w:rsidRPr="00477CFD" w:rsidRDefault="0029143F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  <w:r>
        <w:rPr>
          <w:color w:val="000000"/>
        </w:rPr>
        <w:t>Δεν εφαρμόζεται</w:t>
      </w:r>
    </w:p>
    <w:p w:rsidR="00195FEB" w:rsidRPr="00477CFD" w:rsidRDefault="00195FEB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</w:p>
    <w:p w:rsidR="00195FEB" w:rsidRPr="007F5E28" w:rsidRDefault="00195FEB" w:rsidP="00357FA3">
      <w:pPr>
        <w:numPr>
          <w:ilvl w:val="1"/>
          <w:numId w:val="28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Διάρκεια ζωής</w:t>
      </w:r>
    </w:p>
    <w:p w:rsidR="00470382" w:rsidRPr="00477CFD" w:rsidRDefault="007A7185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  <w:r w:rsidRPr="00477CFD">
        <w:rPr>
          <w:sz w:val="22"/>
          <w:szCs w:val="22"/>
        </w:rPr>
        <w:t xml:space="preserve">Χρόνος ζωής του ετοίμου προϊόντος: </w:t>
      </w:r>
      <w:r w:rsidR="00D93A8E" w:rsidRPr="00477CFD">
        <w:rPr>
          <w:sz w:val="22"/>
          <w:szCs w:val="22"/>
        </w:rPr>
        <w:t>36</w:t>
      </w:r>
      <w:r w:rsidRPr="00477CFD">
        <w:rPr>
          <w:sz w:val="22"/>
          <w:szCs w:val="22"/>
        </w:rPr>
        <w:t xml:space="preserve"> μήνες</w:t>
      </w:r>
    </w:p>
    <w:p w:rsidR="00195FEB" w:rsidRPr="00477CFD" w:rsidRDefault="008852C5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  <w:r w:rsidRPr="008852C5">
        <w:rPr>
          <w:sz w:val="22"/>
          <w:szCs w:val="22"/>
          <w:lang w:val="el-GR"/>
        </w:rPr>
        <w:t>Το μαλακό καψάκιο 1000mg θα πρέπει να χρησιμοποηθεί  μέσα σε 100 ημέρες από το άνοιγμα του φιαλιδίου.</w:t>
      </w:r>
    </w:p>
    <w:p w:rsidR="00195FEB" w:rsidRPr="007F5E28" w:rsidRDefault="00195FEB" w:rsidP="00357FA3">
      <w:pPr>
        <w:numPr>
          <w:ilvl w:val="1"/>
          <w:numId w:val="28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Ιδιαίτερες προφυλάξεις κατά την φύλαξη του προϊόντος</w:t>
      </w:r>
    </w:p>
    <w:p w:rsidR="008852C5" w:rsidRPr="008852C5" w:rsidRDefault="008852C5" w:rsidP="008852C5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  <w:r w:rsidRPr="008852C5">
        <w:rPr>
          <w:sz w:val="22"/>
          <w:szCs w:val="22"/>
          <w:lang w:val="el-GR"/>
        </w:rPr>
        <w:t>Να μην φυλάσσεται σε θερμοκρασία άνω των 25</w:t>
      </w:r>
      <w:r w:rsidRPr="008852C5">
        <w:rPr>
          <w:sz w:val="22"/>
          <w:szCs w:val="22"/>
          <w:vertAlign w:val="superscript"/>
          <w:lang w:val="el-GR"/>
        </w:rPr>
        <w:t>ο</w:t>
      </w:r>
      <w:r w:rsidRPr="008852C5">
        <w:rPr>
          <w:sz w:val="22"/>
          <w:szCs w:val="22"/>
          <w:lang w:val="el-GR"/>
        </w:rPr>
        <w:t xml:space="preserve">C. Να μην </w:t>
      </w:r>
      <w:r>
        <w:rPr>
          <w:sz w:val="22"/>
          <w:szCs w:val="22"/>
          <w:lang w:val="el-GR"/>
        </w:rPr>
        <w:t xml:space="preserve">ψύχεται και να μην </w:t>
      </w:r>
      <w:r w:rsidRPr="008852C5">
        <w:rPr>
          <w:sz w:val="22"/>
          <w:szCs w:val="22"/>
          <w:lang w:val="el-GR"/>
        </w:rPr>
        <w:t>καταψύχεται.</w:t>
      </w:r>
    </w:p>
    <w:p w:rsidR="00195FEB" w:rsidRDefault="008852C5" w:rsidP="008852C5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  <w:r w:rsidRPr="008852C5">
        <w:rPr>
          <w:sz w:val="22"/>
          <w:szCs w:val="22"/>
          <w:lang w:val="el-GR"/>
        </w:rPr>
        <w:t>Για τις συνθήκες διατήρησης μετά το 1ο άνοιγμα του φαρμακευτικού προϊόντος, βλ. Παράγραφο 6.3.</w:t>
      </w:r>
    </w:p>
    <w:p w:rsidR="00876E20" w:rsidRPr="00477CFD" w:rsidRDefault="00876E20" w:rsidP="008852C5">
      <w:pPr>
        <w:tabs>
          <w:tab w:val="left" w:pos="567"/>
        </w:tabs>
        <w:spacing w:line="360" w:lineRule="auto"/>
        <w:jc w:val="both"/>
        <w:rPr>
          <w:sz w:val="22"/>
          <w:szCs w:val="22"/>
          <w:lang w:val="el-GR"/>
        </w:rPr>
      </w:pPr>
    </w:p>
    <w:p w:rsidR="00195FEB" w:rsidRPr="00876E20" w:rsidRDefault="00195FEB" w:rsidP="00876E20">
      <w:pPr>
        <w:numPr>
          <w:ilvl w:val="1"/>
          <w:numId w:val="28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876E20">
        <w:rPr>
          <w:b/>
          <w:bCs/>
          <w:lang w:val="el-GR"/>
        </w:rPr>
        <w:t>Φύση και συστατικά του περιέκτη</w:t>
      </w:r>
    </w:p>
    <w:p w:rsidR="000F5433" w:rsidRPr="00477CFD" w:rsidRDefault="000F5433" w:rsidP="00357FA3">
      <w:pPr>
        <w:tabs>
          <w:tab w:val="left" w:pos="567"/>
          <w:tab w:val="left" w:pos="9696"/>
        </w:tabs>
        <w:spacing w:line="360" w:lineRule="auto"/>
        <w:jc w:val="both"/>
        <w:rPr>
          <w:bCs/>
          <w:iCs/>
          <w:sz w:val="22"/>
          <w:szCs w:val="22"/>
          <w:lang w:val="el-GR"/>
        </w:rPr>
      </w:pPr>
      <w:r w:rsidRPr="00477CFD">
        <w:rPr>
          <w:bCs/>
          <w:iCs/>
          <w:sz w:val="22"/>
          <w:szCs w:val="22"/>
          <w:lang w:val="el-GR"/>
        </w:rPr>
        <w:t xml:space="preserve">Κουτί που περιέχει </w:t>
      </w:r>
      <w:r w:rsidR="0029143F">
        <w:rPr>
          <w:bCs/>
          <w:iCs/>
          <w:sz w:val="22"/>
          <w:szCs w:val="22"/>
          <w:lang w:val="el-GR"/>
        </w:rPr>
        <w:t xml:space="preserve"> 28, 60 </w:t>
      </w:r>
      <w:r w:rsidRPr="00477CFD">
        <w:rPr>
          <w:bCs/>
          <w:iCs/>
          <w:sz w:val="22"/>
          <w:szCs w:val="22"/>
          <w:lang w:val="el-GR"/>
        </w:rPr>
        <w:t xml:space="preserve">ή </w:t>
      </w:r>
      <w:r w:rsidR="0029143F">
        <w:rPr>
          <w:bCs/>
          <w:iCs/>
          <w:sz w:val="22"/>
          <w:szCs w:val="22"/>
          <w:lang w:val="el-GR"/>
        </w:rPr>
        <w:t>100</w:t>
      </w:r>
      <w:r w:rsidRPr="00477CFD">
        <w:rPr>
          <w:bCs/>
          <w:iCs/>
          <w:sz w:val="22"/>
          <w:szCs w:val="22"/>
          <w:lang w:val="el-GR"/>
        </w:rPr>
        <w:t xml:space="preserve"> </w:t>
      </w:r>
      <w:r w:rsidR="0029143F">
        <w:rPr>
          <w:bCs/>
          <w:iCs/>
          <w:sz w:val="22"/>
          <w:szCs w:val="22"/>
          <w:lang w:val="el-GR"/>
        </w:rPr>
        <w:t>μαλακά καψάκια</w:t>
      </w:r>
      <w:r w:rsidRPr="00477CFD">
        <w:rPr>
          <w:bCs/>
          <w:iCs/>
          <w:sz w:val="22"/>
          <w:szCs w:val="22"/>
          <w:lang w:val="el-GR"/>
        </w:rPr>
        <w:t xml:space="preserve"> συσκευασμέν</w:t>
      </w:r>
      <w:r w:rsidR="0029143F">
        <w:rPr>
          <w:bCs/>
          <w:iCs/>
          <w:sz w:val="22"/>
          <w:szCs w:val="22"/>
          <w:lang w:val="el-GR"/>
        </w:rPr>
        <w:t>α</w:t>
      </w:r>
      <w:r w:rsidRPr="00477CFD">
        <w:rPr>
          <w:bCs/>
          <w:iCs/>
          <w:sz w:val="22"/>
          <w:szCs w:val="22"/>
          <w:lang w:val="el-GR"/>
        </w:rPr>
        <w:t xml:space="preserve"> σε πλαστικό φιαλίδιο με πλαστικό πώμα.</w:t>
      </w:r>
    </w:p>
    <w:p w:rsidR="00262914" w:rsidRPr="00477CFD" w:rsidRDefault="00262914" w:rsidP="00357FA3">
      <w:pPr>
        <w:tabs>
          <w:tab w:val="left" w:pos="567"/>
        </w:tabs>
        <w:spacing w:line="360" w:lineRule="auto"/>
        <w:jc w:val="both"/>
        <w:rPr>
          <w:b/>
          <w:iCs/>
          <w:sz w:val="22"/>
          <w:szCs w:val="22"/>
          <w:lang w:val="el-GR"/>
        </w:rPr>
      </w:pPr>
    </w:p>
    <w:p w:rsidR="00470382" w:rsidRPr="007F5E28" w:rsidRDefault="00470382" w:rsidP="00357FA3">
      <w:pPr>
        <w:tabs>
          <w:tab w:val="left" w:pos="567"/>
        </w:tabs>
        <w:spacing w:line="360" w:lineRule="auto"/>
        <w:jc w:val="both"/>
        <w:rPr>
          <w:b/>
          <w:iCs/>
          <w:lang w:val="el-GR"/>
        </w:rPr>
      </w:pPr>
      <w:r w:rsidRPr="007F5E28">
        <w:rPr>
          <w:b/>
          <w:iCs/>
          <w:lang w:val="el-GR"/>
        </w:rPr>
        <w:t xml:space="preserve">6.6 </w:t>
      </w:r>
      <w:r w:rsidR="00357FA3" w:rsidRPr="007F5E28">
        <w:rPr>
          <w:b/>
          <w:iCs/>
          <w:lang w:val="el-GR"/>
        </w:rPr>
        <w:t xml:space="preserve">    </w:t>
      </w:r>
      <w:r w:rsidRPr="007F5E28">
        <w:rPr>
          <w:b/>
          <w:iCs/>
          <w:lang w:val="el-GR"/>
        </w:rPr>
        <w:t xml:space="preserve">Ιδιαίτερες προφυλάξεις </w:t>
      </w:r>
      <w:r w:rsidR="00205D76" w:rsidRPr="007F5E28">
        <w:rPr>
          <w:b/>
          <w:iCs/>
          <w:lang w:val="el-GR"/>
        </w:rPr>
        <w:t xml:space="preserve">απόρριψης </w:t>
      </w:r>
    </w:p>
    <w:p w:rsidR="00205D76" w:rsidRPr="00477CFD" w:rsidRDefault="000F672C" w:rsidP="00357FA3">
      <w:pPr>
        <w:tabs>
          <w:tab w:val="left" w:pos="567"/>
        </w:tabs>
        <w:spacing w:line="360" w:lineRule="auto"/>
        <w:jc w:val="both"/>
        <w:rPr>
          <w:iCs/>
          <w:sz w:val="22"/>
          <w:szCs w:val="22"/>
        </w:rPr>
      </w:pPr>
      <w:r w:rsidRPr="00477CFD">
        <w:rPr>
          <w:iCs/>
          <w:sz w:val="22"/>
          <w:szCs w:val="22"/>
        </w:rPr>
        <w:t>Καμία ειδική υποχρέωση.</w:t>
      </w:r>
    </w:p>
    <w:p w:rsidR="000F5433" w:rsidRPr="00477CFD" w:rsidRDefault="000F5433" w:rsidP="00357FA3">
      <w:pPr>
        <w:tabs>
          <w:tab w:val="left" w:pos="567"/>
        </w:tabs>
        <w:spacing w:line="360" w:lineRule="auto"/>
        <w:jc w:val="both"/>
        <w:rPr>
          <w:iCs/>
          <w:sz w:val="22"/>
          <w:szCs w:val="22"/>
        </w:rPr>
      </w:pPr>
    </w:p>
    <w:p w:rsidR="00195FEB" w:rsidRPr="007F5E28" w:rsidRDefault="00205D76" w:rsidP="00357FA3">
      <w:pPr>
        <w:numPr>
          <w:ilvl w:val="0"/>
          <w:numId w:val="28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ΚΑΤΟΧΟΣ ΤΗΣ ΑΔΕΙΑΣ ΚΥΚΛΟΦΟΡΙΑΣ</w:t>
      </w:r>
    </w:p>
    <w:p w:rsidR="00357FA3" w:rsidRPr="00357FA3" w:rsidRDefault="000F5433" w:rsidP="007F5E28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357FA3">
        <w:rPr>
          <w:b/>
          <w:bCs/>
          <w:iCs/>
          <w:sz w:val="22"/>
          <w:szCs w:val="22"/>
          <w:lang w:val="en-GB"/>
        </w:rPr>
        <w:t>V</w:t>
      </w:r>
      <w:r w:rsidR="00394C5B" w:rsidRPr="00357FA3">
        <w:rPr>
          <w:b/>
          <w:bCs/>
          <w:iCs/>
          <w:sz w:val="22"/>
          <w:szCs w:val="22"/>
          <w:lang w:val="en-GB"/>
        </w:rPr>
        <w:t>ERISFIELD</w:t>
      </w:r>
      <w:r w:rsidRPr="00357FA3">
        <w:rPr>
          <w:b/>
          <w:bCs/>
          <w:iCs/>
          <w:sz w:val="22"/>
          <w:szCs w:val="22"/>
          <w:lang w:val="en-GB"/>
        </w:rPr>
        <w:t xml:space="preserve"> (UK) Ltd</w:t>
      </w:r>
      <w:r w:rsidRPr="00357FA3">
        <w:rPr>
          <w:iCs/>
          <w:sz w:val="22"/>
          <w:szCs w:val="22"/>
          <w:lang w:val="en-GB"/>
        </w:rPr>
        <w:t xml:space="preserve">, </w:t>
      </w:r>
      <w:r w:rsidR="00357FA3" w:rsidRPr="00357FA3">
        <w:rPr>
          <w:bCs/>
          <w:sz w:val="22"/>
          <w:szCs w:val="22"/>
          <w:lang w:val="en-US"/>
        </w:rPr>
        <w:t xml:space="preserve">41 Chalton </w:t>
      </w:r>
      <w:proofErr w:type="gramStart"/>
      <w:r w:rsidR="00357FA3" w:rsidRPr="00357FA3">
        <w:rPr>
          <w:bCs/>
          <w:sz w:val="22"/>
          <w:szCs w:val="22"/>
          <w:lang w:val="en-US"/>
        </w:rPr>
        <w:t>street</w:t>
      </w:r>
      <w:proofErr w:type="gramEnd"/>
      <w:r w:rsidR="00357FA3" w:rsidRPr="00357FA3">
        <w:rPr>
          <w:bCs/>
          <w:sz w:val="22"/>
          <w:szCs w:val="22"/>
          <w:lang w:val="en-US"/>
        </w:rPr>
        <w:t>, London, NW1 1JD, United Kingdom</w:t>
      </w:r>
    </w:p>
    <w:p w:rsidR="00195FEB" w:rsidRPr="00357FA3" w:rsidRDefault="00357FA3" w:rsidP="007F5E28">
      <w:pPr>
        <w:tabs>
          <w:tab w:val="left" w:pos="567"/>
        </w:tabs>
        <w:spacing w:line="360" w:lineRule="auto"/>
        <w:jc w:val="both"/>
        <w:rPr>
          <w:iCs/>
          <w:sz w:val="22"/>
          <w:szCs w:val="22"/>
          <w:lang w:val="en-GB"/>
        </w:rPr>
      </w:pPr>
      <w:r w:rsidRPr="00357FA3">
        <w:rPr>
          <w:bCs/>
          <w:sz w:val="22"/>
          <w:szCs w:val="22"/>
        </w:rPr>
        <w:t>Tel +44 207 5542222, Fax +44 207 5542201</w:t>
      </w:r>
    </w:p>
    <w:p w:rsidR="000F5433" w:rsidRPr="00357FA3" w:rsidRDefault="000F5433" w:rsidP="00357FA3">
      <w:pPr>
        <w:tabs>
          <w:tab w:val="left" w:pos="567"/>
        </w:tabs>
        <w:spacing w:line="360" w:lineRule="auto"/>
        <w:jc w:val="both"/>
        <w:rPr>
          <w:sz w:val="22"/>
          <w:szCs w:val="22"/>
          <w:lang w:val="en-GB"/>
        </w:rPr>
      </w:pPr>
    </w:p>
    <w:p w:rsidR="00195FEB" w:rsidRPr="007F5E28" w:rsidRDefault="00205D76" w:rsidP="00357FA3">
      <w:pPr>
        <w:numPr>
          <w:ilvl w:val="0"/>
          <w:numId w:val="28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ΑΡΙΘΜΟΣ ΑΔΕΙΑΣ ΚΥΚΛΟΦΟΡΙΑΣ</w:t>
      </w:r>
    </w:p>
    <w:p w:rsidR="007F5E28" w:rsidRDefault="00205D76" w:rsidP="00357FA3">
      <w:pPr>
        <w:numPr>
          <w:ilvl w:val="0"/>
          <w:numId w:val="28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lang w:val="el-GR"/>
        </w:rPr>
      </w:pPr>
      <w:r w:rsidRPr="007F5E28">
        <w:rPr>
          <w:b/>
          <w:bCs/>
          <w:lang w:val="el-GR"/>
        </w:rPr>
        <w:t>ΗΜΕΡΟΜΗΝΙΑ ΠΡΩΤΗΣ ΕΓΚΡΙΣΗΣ / ΑΝΑΝΕΩΣΗ ΤΗΣ ΑΔΕΙΑΣ</w:t>
      </w:r>
      <w:r w:rsidR="000F672C" w:rsidRPr="007F5E28">
        <w:rPr>
          <w:b/>
          <w:bCs/>
          <w:lang w:val="el-GR"/>
        </w:rPr>
        <w:t xml:space="preserve"> </w:t>
      </w:r>
    </w:p>
    <w:p w:rsidR="00195FEB" w:rsidRPr="007F5E28" w:rsidRDefault="007F5E28" w:rsidP="007F5E28">
      <w:pPr>
        <w:tabs>
          <w:tab w:val="left" w:pos="567"/>
        </w:tabs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</w:t>
      </w:r>
      <w:r w:rsidR="000F672C" w:rsidRPr="007F5E28">
        <w:rPr>
          <w:b/>
          <w:bCs/>
          <w:lang w:val="el-GR"/>
        </w:rPr>
        <w:t>ΚΥΚΛΟΦΟΡΙΑΣ</w:t>
      </w:r>
    </w:p>
    <w:p w:rsidR="00195FEB" w:rsidRPr="00477CFD" w:rsidRDefault="00205D76" w:rsidP="00357FA3">
      <w:pPr>
        <w:numPr>
          <w:ilvl w:val="0"/>
          <w:numId w:val="28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sz w:val="22"/>
          <w:szCs w:val="22"/>
          <w:lang w:val="el-GR"/>
        </w:rPr>
      </w:pPr>
      <w:r w:rsidRPr="007F5E28">
        <w:rPr>
          <w:b/>
          <w:bCs/>
          <w:lang w:val="el-GR"/>
        </w:rPr>
        <w:t>ΗΜΕΡΟΜΗΝΙΑ ΑΝΑΘΕΩΡΗΣΗΣ ΤΟΥ ΚΕΙΜΕΝΟΥ</w:t>
      </w:r>
      <w:r w:rsidR="00195FEB" w:rsidRPr="007F5E28">
        <w:rPr>
          <w:b/>
          <w:bCs/>
          <w:lang w:val="el-GR"/>
        </w:rPr>
        <w:t xml:space="preserve"> </w:t>
      </w:r>
    </w:p>
    <w:sectPr w:rsidR="00195FEB" w:rsidRPr="00477CFD">
      <w:headerReference w:type="default" r:id="rId7"/>
      <w:footerReference w:type="even" r:id="rId8"/>
      <w:footerReference w:type="default" r:id="rId9"/>
      <w:pgSz w:w="11906" w:h="16838" w:code="9"/>
      <w:pgMar w:top="1418" w:right="851" w:bottom="1134" w:left="1418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C3" w:rsidRDefault="00D915C3">
      <w:r>
        <w:separator/>
      </w:r>
    </w:p>
  </w:endnote>
  <w:endnote w:type="continuationSeparator" w:id="0">
    <w:p w:rsidR="00D915C3" w:rsidRDefault="00D9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94" w:rsidRDefault="005C0A94" w:rsidP="004030D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A94" w:rsidRDefault="005C0A94" w:rsidP="00731C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94" w:rsidRDefault="005C0A94" w:rsidP="004030D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578A">
      <w:rPr>
        <w:rStyle w:val="a7"/>
        <w:noProof/>
      </w:rPr>
      <w:t>6</w:t>
    </w:r>
    <w:r>
      <w:rPr>
        <w:rStyle w:val="a7"/>
      </w:rPr>
      <w:fldChar w:fldCharType="end"/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853"/>
    </w:tblGrid>
    <w:tr w:rsidR="005C0A94" w:rsidRPr="00541813" w:rsidTr="00541813">
      <w:tc>
        <w:tcPr>
          <w:tcW w:w="9853" w:type="dxa"/>
        </w:tcPr>
        <w:p w:rsidR="005C0A94" w:rsidRPr="00541813" w:rsidRDefault="005C0A94" w:rsidP="00541813">
          <w:pPr>
            <w:pStyle w:val="a4"/>
            <w:ind w:right="360"/>
            <w:rPr>
              <w:sz w:val="20"/>
              <w:szCs w:val="20"/>
              <w:lang w:val="el-GR"/>
            </w:rPr>
          </w:pPr>
          <w:r w:rsidRPr="00541813">
            <w:rPr>
              <w:sz w:val="20"/>
              <w:szCs w:val="20"/>
              <w:lang w:val="el-GR"/>
            </w:rPr>
            <w:t>ΠΕΡΙΛΗΨΗ ΤΩΝ ΧΑΡΑΚΤΗΡΙΣΤΙΚΩΝ ΤΟΥ ΠΡΟΪΟΝΤΟΣ</w:t>
          </w:r>
        </w:p>
      </w:tc>
    </w:tr>
  </w:tbl>
  <w:p w:rsidR="005C0A94" w:rsidRPr="003A04B6" w:rsidRDefault="005C0A94" w:rsidP="00731C1C">
    <w:pPr>
      <w:pStyle w:val="a4"/>
      <w:ind w:right="360"/>
      <w:rPr>
        <w:rFonts w:ascii="Comic Sans MS" w:hAnsi="Comic Sans MS"/>
        <w:i/>
        <w:sz w:val="20"/>
        <w:szCs w:val="20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C3" w:rsidRDefault="00D915C3">
      <w:r>
        <w:separator/>
      </w:r>
    </w:p>
  </w:footnote>
  <w:footnote w:type="continuationSeparator" w:id="0">
    <w:p w:rsidR="00D915C3" w:rsidRDefault="00D91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853"/>
    </w:tblGrid>
    <w:tr w:rsidR="005C0A94" w:rsidRPr="00541813" w:rsidTr="00541813">
      <w:tc>
        <w:tcPr>
          <w:tcW w:w="9853" w:type="dxa"/>
        </w:tcPr>
        <w:p w:rsidR="005C0A94" w:rsidRPr="00541813" w:rsidRDefault="007B7415" w:rsidP="00541813">
          <w:pPr>
            <w:pStyle w:val="a3"/>
            <w:jc w:val="both"/>
            <w:rPr>
              <w:lang w:val="el-GR"/>
            </w:rPr>
          </w:pPr>
          <w:r w:rsidRPr="00541813">
            <w:rPr>
              <w:lang w:val="en-US"/>
            </w:rPr>
            <w:t>LIPEMIA FORTE</w:t>
          </w:r>
        </w:p>
      </w:tc>
    </w:tr>
  </w:tbl>
  <w:p w:rsidR="005C0A94" w:rsidRDefault="005C0A94" w:rsidP="00731C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0000003"/>
    <w:multiLevelType w:val="singleLevel"/>
    <w:tmpl w:val="00000000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E3F3C3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>
    <w:nsid w:val="0FD35753"/>
    <w:multiLevelType w:val="hybridMultilevel"/>
    <w:tmpl w:val="3ED6EE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93646"/>
    <w:multiLevelType w:val="singleLevel"/>
    <w:tmpl w:val="C3D0B0D0"/>
    <w:lvl w:ilvl="0">
      <w:start w:val="2"/>
      <w:numFmt w:val="bullet"/>
      <w:lvlText w:val="-"/>
      <w:lvlJc w:val="left"/>
      <w:pPr>
        <w:tabs>
          <w:tab w:val="num" w:pos="2263"/>
        </w:tabs>
        <w:ind w:left="2263" w:hanging="420"/>
      </w:pPr>
      <w:rPr>
        <w:rFonts w:ascii="Times New Roman" w:hAnsi="Times New Roman" w:cs="Times New Roman" w:hint="default"/>
      </w:rPr>
    </w:lvl>
  </w:abstractNum>
  <w:abstractNum w:abstractNumId="7">
    <w:nsid w:val="1A7812E5"/>
    <w:multiLevelType w:val="hybridMultilevel"/>
    <w:tmpl w:val="3EC09510"/>
    <w:lvl w:ilvl="0" w:tplc="879E551C">
      <w:start w:val="3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41615"/>
    <w:multiLevelType w:val="hybridMultilevel"/>
    <w:tmpl w:val="3C7CB6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706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EB00FF1"/>
    <w:multiLevelType w:val="singleLevel"/>
    <w:tmpl w:val="64A2384A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11">
    <w:nsid w:val="20E470D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2">
    <w:nsid w:val="22750AE5"/>
    <w:multiLevelType w:val="multilevel"/>
    <w:tmpl w:val="BE1832B6"/>
    <w:lvl w:ilvl="0">
      <w:start w:val="1"/>
      <w:numFmt w:val="bullet"/>
      <w:lvlText w:val=""/>
      <w:lvlJc w:val="left"/>
      <w:pPr>
        <w:tabs>
          <w:tab w:val="num" w:pos="241"/>
        </w:tabs>
        <w:ind w:left="1666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F765A"/>
    <w:multiLevelType w:val="hybridMultilevel"/>
    <w:tmpl w:val="3336F95E"/>
    <w:lvl w:ilvl="0" w:tplc="ACB8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D66AC"/>
    <w:multiLevelType w:val="hybridMultilevel"/>
    <w:tmpl w:val="61DA7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E53C4"/>
    <w:multiLevelType w:val="multilevel"/>
    <w:tmpl w:val="7ED6405C"/>
    <w:lvl w:ilvl="0">
      <w:start w:val="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45"/>
        </w:tabs>
        <w:ind w:left="1845" w:hanging="127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415"/>
        </w:tabs>
        <w:ind w:left="241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85"/>
        </w:tabs>
        <w:ind w:left="298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50"/>
        </w:tabs>
        <w:ind w:left="61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520"/>
      </w:pPr>
      <w:rPr>
        <w:rFonts w:hint="default"/>
      </w:rPr>
    </w:lvl>
  </w:abstractNum>
  <w:abstractNum w:abstractNumId="16">
    <w:nsid w:val="2EE11FB7"/>
    <w:multiLevelType w:val="multilevel"/>
    <w:tmpl w:val="4E04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3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022588"/>
    <w:multiLevelType w:val="hybridMultilevel"/>
    <w:tmpl w:val="212632B4"/>
    <w:lvl w:ilvl="0" w:tplc="879E551C">
      <w:start w:val="3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1844A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9">
    <w:nsid w:val="30A43831"/>
    <w:multiLevelType w:val="hybridMultilevel"/>
    <w:tmpl w:val="F04AD188"/>
    <w:lvl w:ilvl="0" w:tplc="40DCA3FE">
      <w:start w:val="5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34845AA8"/>
    <w:multiLevelType w:val="multilevel"/>
    <w:tmpl w:val="4830C7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1">
    <w:nsid w:val="34F2759F"/>
    <w:multiLevelType w:val="multilevel"/>
    <w:tmpl w:val="D4E60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6663864"/>
    <w:multiLevelType w:val="multilevel"/>
    <w:tmpl w:val="BE1832B6"/>
    <w:lvl w:ilvl="0">
      <w:start w:val="1"/>
      <w:numFmt w:val="bullet"/>
      <w:lvlText w:val=""/>
      <w:lvlJc w:val="left"/>
      <w:pPr>
        <w:tabs>
          <w:tab w:val="num" w:pos="241"/>
        </w:tabs>
        <w:ind w:left="1666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1447A5"/>
    <w:multiLevelType w:val="singleLevel"/>
    <w:tmpl w:val="8F8EC7BA"/>
    <w:lvl w:ilvl="0">
      <w:start w:val="2"/>
      <w:numFmt w:val="decimal"/>
      <w:lvlText w:val="%1."/>
      <w:lvlJc w:val="left"/>
      <w:pPr>
        <w:tabs>
          <w:tab w:val="num" w:pos="1845"/>
        </w:tabs>
        <w:ind w:left="1845" w:hanging="1275"/>
      </w:pPr>
      <w:rPr>
        <w:rFonts w:hint="default"/>
      </w:rPr>
    </w:lvl>
  </w:abstractNum>
  <w:abstractNum w:abstractNumId="24">
    <w:nsid w:val="3C1D7131"/>
    <w:multiLevelType w:val="singleLevel"/>
    <w:tmpl w:val="70060964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5">
    <w:nsid w:val="43E0317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26">
    <w:nsid w:val="44CC1747"/>
    <w:multiLevelType w:val="multilevel"/>
    <w:tmpl w:val="51B85C28"/>
    <w:lvl w:ilvl="0">
      <w:start w:val="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845"/>
        </w:tabs>
        <w:ind w:left="1845" w:hanging="1275"/>
      </w:pPr>
      <w:rPr>
        <w:rFonts w:hint="default"/>
        <w:u w:val="none"/>
      </w:rPr>
    </w:lvl>
    <w:lvl w:ilvl="2">
      <w:start w:val="1"/>
      <w:numFmt w:val="lowerLetter"/>
      <w:lvlText w:val="%1.%2.%3"/>
      <w:lvlJc w:val="left"/>
      <w:pPr>
        <w:tabs>
          <w:tab w:val="num" w:pos="2415"/>
        </w:tabs>
        <w:ind w:left="2415" w:hanging="127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85"/>
        </w:tabs>
        <w:ind w:left="2985" w:hanging="127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150"/>
        </w:tabs>
        <w:ind w:left="615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520"/>
      </w:pPr>
      <w:rPr>
        <w:rFonts w:hint="default"/>
        <w:u w:val="none"/>
      </w:rPr>
    </w:lvl>
  </w:abstractNum>
  <w:abstractNum w:abstractNumId="27">
    <w:nsid w:val="49A177B1"/>
    <w:multiLevelType w:val="singleLevel"/>
    <w:tmpl w:val="449CA20C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</w:abstractNum>
  <w:abstractNum w:abstractNumId="28">
    <w:nsid w:val="4E3F7F62"/>
    <w:multiLevelType w:val="hybridMultilevel"/>
    <w:tmpl w:val="FDFEAC68"/>
    <w:lvl w:ilvl="0" w:tplc="B62E8B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5F48A3"/>
    <w:multiLevelType w:val="hybridMultilevel"/>
    <w:tmpl w:val="A0FC82D8"/>
    <w:lvl w:ilvl="0" w:tplc="879E551C">
      <w:start w:val="3"/>
      <w:numFmt w:val="bullet"/>
      <w:lvlText w:val=""/>
      <w:lvlJc w:val="left"/>
      <w:pPr>
        <w:tabs>
          <w:tab w:val="num" w:pos="2033"/>
        </w:tabs>
        <w:ind w:left="2033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3673CF"/>
    <w:multiLevelType w:val="multilevel"/>
    <w:tmpl w:val="E2CA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51323377"/>
    <w:multiLevelType w:val="hybridMultilevel"/>
    <w:tmpl w:val="C090E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AF81B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29267FC"/>
    <w:multiLevelType w:val="singleLevel"/>
    <w:tmpl w:val="16C04BB6"/>
    <w:lvl w:ilvl="0">
      <w:start w:val="3"/>
      <w:numFmt w:val="decimal"/>
      <w:lvlText w:val="%1."/>
      <w:lvlJc w:val="left"/>
      <w:pPr>
        <w:tabs>
          <w:tab w:val="num" w:pos="1845"/>
        </w:tabs>
        <w:ind w:left="1845" w:hanging="1275"/>
      </w:pPr>
      <w:rPr>
        <w:rFonts w:hint="default"/>
      </w:rPr>
    </w:lvl>
  </w:abstractNum>
  <w:abstractNum w:abstractNumId="33">
    <w:nsid w:val="5A390BD8"/>
    <w:multiLevelType w:val="singleLevel"/>
    <w:tmpl w:val="BBC64E9C"/>
    <w:lvl w:ilvl="0">
      <w:start w:val="1"/>
      <w:numFmt w:val="bullet"/>
      <w:lvlText w:val="-"/>
      <w:lvlJc w:val="left"/>
      <w:pPr>
        <w:tabs>
          <w:tab w:val="num" w:pos="1418"/>
        </w:tabs>
        <w:ind w:left="1418" w:hanging="567"/>
      </w:pPr>
      <w:rPr>
        <w:sz w:val="16"/>
        <w:szCs w:val="16"/>
      </w:rPr>
    </w:lvl>
  </w:abstractNum>
  <w:abstractNum w:abstractNumId="34">
    <w:nsid w:val="5C766230"/>
    <w:multiLevelType w:val="singleLevel"/>
    <w:tmpl w:val="17F45912"/>
    <w:lvl w:ilvl="0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5">
    <w:nsid w:val="63B143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69355DAD"/>
    <w:multiLevelType w:val="multilevel"/>
    <w:tmpl w:val="C090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A2C580A"/>
    <w:multiLevelType w:val="multilevel"/>
    <w:tmpl w:val="FAEE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AA32CA4"/>
    <w:multiLevelType w:val="singleLevel"/>
    <w:tmpl w:val="8E3652CA"/>
    <w:lvl w:ilvl="0">
      <w:start w:val="2"/>
      <w:numFmt w:val="decimal"/>
      <w:lvlText w:val="%1."/>
      <w:lvlJc w:val="left"/>
      <w:pPr>
        <w:tabs>
          <w:tab w:val="num" w:pos="1842"/>
        </w:tabs>
        <w:ind w:left="1842" w:hanging="1275"/>
      </w:pPr>
      <w:rPr>
        <w:rFonts w:hint="default"/>
        <w:u w:val="none"/>
      </w:rPr>
    </w:lvl>
  </w:abstractNum>
  <w:abstractNum w:abstractNumId="39">
    <w:nsid w:val="6F1665CF"/>
    <w:multiLevelType w:val="hybridMultilevel"/>
    <w:tmpl w:val="D0A24B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D84EF1"/>
    <w:multiLevelType w:val="hybridMultilevel"/>
    <w:tmpl w:val="50B6D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C54750"/>
    <w:multiLevelType w:val="hybridMultilevel"/>
    <w:tmpl w:val="20FA6D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1E348F"/>
    <w:multiLevelType w:val="multilevel"/>
    <w:tmpl w:val="21447A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9D1295D"/>
    <w:multiLevelType w:val="hybridMultilevel"/>
    <w:tmpl w:val="4D0E86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4">
    <w:nsid w:val="79D93AC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45">
    <w:nsid w:val="7E2352F4"/>
    <w:multiLevelType w:val="hybridMultilevel"/>
    <w:tmpl w:val="BE1832B6"/>
    <w:lvl w:ilvl="0" w:tplc="DFFC56EA">
      <w:start w:val="1"/>
      <w:numFmt w:val="bullet"/>
      <w:lvlText w:val=""/>
      <w:lvlJc w:val="left"/>
      <w:pPr>
        <w:tabs>
          <w:tab w:val="num" w:pos="241"/>
        </w:tabs>
        <w:ind w:left="1666" w:hanging="227"/>
      </w:pPr>
      <w:rPr>
        <w:rFonts w:ascii="Wingdings" w:hAnsi="Wingdings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126" w:hanging="283"/>
        </w:pPr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2183" w:hanging="425"/>
        </w:pPr>
        <w:rPr>
          <w:rFonts w:ascii="Symbol" w:hAnsi="Symbol" w:cs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700"/>
        <w:lvlJc w:val="left"/>
        <w:pPr>
          <w:ind w:left="700" w:hanging="700"/>
        </w:pPr>
      </w:lvl>
    </w:lvlOverride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786" w:hanging="360"/>
        </w:pPr>
        <w:rPr>
          <w:sz w:val="16"/>
          <w:szCs w:val="16"/>
        </w:rPr>
      </w:lvl>
    </w:lvlOverride>
  </w:num>
  <w:num w:numId="9">
    <w:abstractNumId w:val="35"/>
  </w:num>
  <w:num w:numId="10">
    <w:abstractNumId w:val="4"/>
  </w:num>
  <w:num w:numId="11">
    <w:abstractNumId w:val="3"/>
  </w:num>
  <w:num w:numId="12">
    <w:abstractNumId w:val="11"/>
  </w:num>
  <w:num w:numId="13">
    <w:abstractNumId w:val="25"/>
  </w:num>
  <w:num w:numId="14">
    <w:abstractNumId w:val="18"/>
  </w:num>
  <w:num w:numId="15">
    <w:abstractNumId w:val="33"/>
  </w:num>
  <w:num w:numId="16">
    <w:abstractNumId w:val="10"/>
  </w:num>
  <w:num w:numId="17">
    <w:abstractNumId w:val="38"/>
  </w:num>
  <w:num w:numId="18">
    <w:abstractNumId w:val="23"/>
  </w:num>
  <w:num w:numId="19">
    <w:abstractNumId w:val="32"/>
  </w:num>
  <w:num w:numId="20">
    <w:abstractNumId w:val="44"/>
  </w:num>
  <w:num w:numId="21">
    <w:abstractNumId w:val="9"/>
  </w:num>
  <w:num w:numId="22">
    <w:abstractNumId w:val="6"/>
  </w:num>
  <w:num w:numId="23">
    <w:abstractNumId w:val="37"/>
  </w:num>
  <w:num w:numId="24">
    <w:abstractNumId w:val="31"/>
  </w:num>
  <w:num w:numId="25">
    <w:abstractNumId w:val="43"/>
  </w:num>
  <w:num w:numId="26">
    <w:abstractNumId w:val="42"/>
  </w:num>
  <w:num w:numId="27">
    <w:abstractNumId w:val="40"/>
  </w:num>
  <w:num w:numId="28">
    <w:abstractNumId w:val="21"/>
  </w:num>
  <w:num w:numId="29">
    <w:abstractNumId w:val="19"/>
  </w:num>
  <w:num w:numId="30">
    <w:abstractNumId w:val="14"/>
  </w:num>
  <w:num w:numId="31">
    <w:abstractNumId w:val="36"/>
  </w:num>
  <w:num w:numId="32">
    <w:abstractNumId w:val="45"/>
  </w:num>
  <w:num w:numId="33">
    <w:abstractNumId w:val="22"/>
  </w:num>
  <w:num w:numId="34">
    <w:abstractNumId w:val="7"/>
  </w:num>
  <w:num w:numId="35">
    <w:abstractNumId w:val="12"/>
  </w:num>
  <w:num w:numId="36">
    <w:abstractNumId w:val="17"/>
  </w:num>
  <w:num w:numId="37">
    <w:abstractNumId w:val="29"/>
  </w:num>
  <w:num w:numId="38">
    <w:abstractNumId w:val="16"/>
  </w:num>
  <w:num w:numId="39">
    <w:abstractNumId w:val="28"/>
  </w:num>
  <w:num w:numId="40">
    <w:abstractNumId w:val="30"/>
  </w:num>
  <w:num w:numId="41">
    <w:abstractNumId w:val="13"/>
  </w:num>
  <w:num w:numId="42">
    <w:abstractNumId w:val="20"/>
  </w:num>
  <w:num w:numId="43">
    <w:abstractNumId w:val="8"/>
  </w:num>
  <w:num w:numId="44">
    <w:abstractNumId w:val="39"/>
  </w:num>
  <w:num w:numId="45">
    <w:abstractNumId w:val="5"/>
  </w:num>
  <w:num w:numId="46">
    <w:abstractNumId w:val="24"/>
  </w:num>
  <w:num w:numId="47">
    <w:abstractNumId w:val="34"/>
  </w:num>
  <w:num w:numId="48">
    <w:abstractNumId w:val="27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3B2C"/>
    <w:rsid w:val="0000771F"/>
    <w:rsid w:val="00022EAA"/>
    <w:rsid w:val="00063FAE"/>
    <w:rsid w:val="00076FC1"/>
    <w:rsid w:val="00081111"/>
    <w:rsid w:val="00081D90"/>
    <w:rsid w:val="00093FC9"/>
    <w:rsid w:val="000A14B3"/>
    <w:rsid w:val="000B47BC"/>
    <w:rsid w:val="000B6F97"/>
    <w:rsid w:val="000C6822"/>
    <w:rsid w:val="000D00C9"/>
    <w:rsid w:val="000D07EC"/>
    <w:rsid w:val="000D52D7"/>
    <w:rsid w:val="000F04C7"/>
    <w:rsid w:val="000F2450"/>
    <w:rsid w:val="000F5433"/>
    <w:rsid w:val="000F672C"/>
    <w:rsid w:val="00103600"/>
    <w:rsid w:val="001053C4"/>
    <w:rsid w:val="00107FFA"/>
    <w:rsid w:val="0011696E"/>
    <w:rsid w:val="00121C6D"/>
    <w:rsid w:val="001502C9"/>
    <w:rsid w:val="00157342"/>
    <w:rsid w:val="00162D25"/>
    <w:rsid w:val="001644EA"/>
    <w:rsid w:val="00164CB7"/>
    <w:rsid w:val="001752FA"/>
    <w:rsid w:val="00180D11"/>
    <w:rsid w:val="001948A2"/>
    <w:rsid w:val="00195FEB"/>
    <w:rsid w:val="001A4148"/>
    <w:rsid w:val="001A7B47"/>
    <w:rsid w:val="001B5633"/>
    <w:rsid w:val="001B701A"/>
    <w:rsid w:val="001C313A"/>
    <w:rsid w:val="001C38AD"/>
    <w:rsid w:val="001D08C2"/>
    <w:rsid w:val="00205D76"/>
    <w:rsid w:val="00212F5C"/>
    <w:rsid w:val="00237B2F"/>
    <w:rsid w:val="002541FB"/>
    <w:rsid w:val="00262914"/>
    <w:rsid w:val="0026496D"/>
    <w:rsid w:val="00265ECE"/>
    <w:rsid w:val="00274992"/>
    <w:rsid w:val="00274C5C"/>
    <w:rsid w:val="002767CE"/>
    <w:rsid w:val="0029143F"/>
    <w:rsid w:val="002B458F"/>
    <w:rsid w:val="002D48A8"/>
    <w:rsid w:val="002D79C8"/>
    <w:rsid w:val="002E3323"/>
    <w:rsid w:val="002F6C81"/>
    <w:rsid w:val="00302912"/>
    <w:rsid w:val="00304F66"/>
    <w:rsid w:val="00307E28"/>
    <w:rsid w:val="00313131"/>
    <w:rsid w:val="00322CD5"/>
    <w:rsid w:val="003335A6"/>
    <w:rsid w:val="00335D0E"/>
    <w:rsid w:val="00341AE7"/>
    <w:rsid w:val="0034695B"/>
    <w:rsid w:val="00350F45"/>
    <w:rsid w:val="00354ABF"/>
    <w:rsid w:val="00357FA3"/>
    <w:rsid w:val="00361925"/>
    <w:rsid w:val="0038300D"/>
    <w:rsid w:val="00390353"/>
    <w:rsid w:val="0039058A"/>
    <w:rsid w:val="00394C5B"/>
    <w:rsid w:val="003A04B6"/>
    <w:rsid w:val="003A5E5E"/>
    <w:rsid w:val="003B465F"/>
    <w:rsid w:val="003E08DE"/>
    <w:rsid w:val="003E22DC"/>
    <w:rsid w:val="003E3E2C"/>
    <w:rsid w:val="003E4DB8"/>
    <w:rsid w:val="003F2FB3"/>
    <w:rsid w:val="003F4050"/>
    <w:rsid w:val="003F723A"/>
    <w:rsid w:val="004030D2"/>
    <w:rsid w:val="00406D1F"/>
    <w:rsid w:val="00420EE2"/>
    <w:rsid w:val="004215B7"/>
    <w:rsid w:val="00426A55"/>
    <w:rsid w:val="004315D7"/>
    <w:rsid w:val="00446CE4"/>
    <w:rsid w:val="004501D3"/>
    <w:rsid w:val="004635F0"/>
    <w:rsid w:val="0046459A"/>
    <w:rsid w:val="0046471E"/>
    <w:rsid w:val="00470382"/>
    <w:rsid w:val="0047673D"/>
    <w:rsid w:val="00477CFD"/>
    <w:rsid w:val="004823CD"/>
    <w:rsid w:val="00491CC7"/>
    <w:rsid w:val="00491DA8"/>
    <w:rsid w:val="004927B5"/>
    <w:rsid w:val="00496B96"/>
    <w:rsid w:val="004A0228"/>
    <w:rsid w:val="004A364F"/>
    <w:rsid w:val="004B0895"/>
    <w:rsid w:val="004B3962"/>
    <w:rsid w:val="00506BCB"/>
    <w:rsid w:val="00514DBB"/>
    <w:rsid w:val="005162B1"/>
    <w:rsid w:val="00516CEA"/>
    <w:rsid w:val="005268DD"/>
    <w:rsid w:val="00526A0E"/>
    <w:rsid w:val="00541813"/>
    <w:rsid w:val="005505EC"/>
    <w:rsid w:val="00554C28"/>
    <w:rsid w:val="00554F0E"/>
    <w:rsid w:val="00564A43"/>
    <w:rsid w:val="0056630D"/>
    <w:rsid w:val="00573CBB"/>
    <w:rsid w:val="00574785"/>
    <w:rsid w:val="00574C35"/>
    <w:rsid w:val="005A1251"/>
    <w:rsid w:val="005B7146"/>
    <w:rsid w:val="005C0A94"/>
    <w:rsid w:val="005C3900"/>
    <w:rsid w:val="005C3B2C"/>
    <w:rsid w:val="005E4312"/>
    <w:rsid w:val="005F53DC"/>
    <w:rsid w:val="00601351"/>
    <w:rsid w:val="0060608B"/>
    <w:rsid w:val="006069AA"/>
    <w:rsid w:val="006147F1"/>
    <w:rsid w:val="00624C44"/>
    <w:rsid w:val="00633924"/>
    <w:rsid w:val="00646719"/>
    <w:rsid w:val="006507B7"/>
    <w:rsid w:val="006547B2"/>
    <w:rsid w:val="00660578"/>
    <w:rsid w:val="00670E33"/>
    <w:rsid w:val="0068181D"/>
    <w:rsid w:val="0068198D"/>
    <w:rsid w:val="00695C09"/>
    <w:rsid w:val="006972CF"/>
    <w:rsid w:val="006A578A"/>
    <w:rsid w:val="006B10F8"/>
    <w:rsid w:val="006B53DF"/>
    <w:rsid w:val="006C0ED6"/>
    <w:rsid w:val="006C1653"/>
    <w:rsid w:val="006D5129"/>
    <w:rsid w:val="006D6C51"/>
    <w:rsid w:val="006F2460"/>
    <w:rsid w:val="006F4696"/>
    <w:rsid w:val="006F778F"/>
    <w:rsid w:val="00706F34"/>
    <w:rsid w:val="00717896"/>
    <w:rsid w:val="0072196C"/>
    <w:rsid w:val="00731C1C"/>
    <w:rsid w:val="00740EB2"/>
    <w:rsid w:val="00744C8D"/>
    <w:rsid w:val="00755575"/>
    <w:rsid w:val="00781C7E"/>
    <w:rsid w:val="007940BC"/>
    <w:rsid w:val="007A7185"/>
    <w:rsid w:val="007B7415"/>
    <w:rsid w:val="007C441F"/>
    <w:rsid w:val="007D30D1"/>
    <w:rsid w:val="007D526D"/>
    <w:rsid w:val="007D7357"/>
    <w:rsid w:val="007E225F"/>
    <w:rsid w:val="007E5C5A"/>
    <w:rsid w:val="007F5E28"/>
    <w:rsid w:val="00800A95"/>
    <w:rsid w:val="00807640"/>
    <w:rsid w:val="00811521"/>
    <w:rsid w:val="00842CCE"/>
    <w:rsid w:val="00846997"/>
    <w:rsid w:val="00851728"/>
    <w:rsid w:val="0085229E"/>
    <w:rsid w:val="008524E6"/>
    <w:rsid w:val="00852ADD"/>
    <w:rsid w:val="00863936"/>
    <w:rsid w:val="00867886"/>
    <w:rsid w:val="00867C57"/>
    <w:rsid w:val="00876E20"/>
    <w:rsid w:val="0088499D"/>
    <w:rsid w:val="008852C5"/>
    <w:rsid w:val="008A01E7"/>
    <w:rsid w:val="008F70AB"/>
    <w:rsid w:val="008F7943"/>
    <w:rsid w:val="00904DCB"/>
    <w:rsid w:val="00911536"/>
    <w:rsid w:val="00913922"/>
    <w:rsid w:val="00915867"/>
    <w:rsid w:val="009266BF"/>
    <w:rsid w:val="0092693D"/>
    <w:rsid w:val="00933B9E"/>
    <w:rsid w:val="00952748"/>
    <w:rsid w:val="00963B76"/>
    <w:rsid w:val="00964031"/>
    <w:rsid w:val="00965709"/>
    <w:rsid w:val="009730A2"/>
    <w:rsid w:val="009A46D4"/>
    <w:rsid w:val="009B38B6"/>
    <w:rsid w:val="009C238D"/>
    <w:rsid w:val="009F3DDB"/>
    <w:rsid w:val="009F4647"/>
    <w:rsid w:val="00A06183"/>
    <w:rsid w:val="00A7767E"/>
    <w:rsid w:val="00A8082B"/>
    <w:rsid w:val="00A8719E"/>
    <w:rsid w:val="00A930D4"/>
    <w:rsid w:val="00AA1D18"/>
    <w:rsid w:val="00AB5147"/>
    <w:rsid w:val="00AB7849"/>
    <w:rsid w:val="00AC03C1"/>
    <w:rsid w:val="00AC27A5"/>
    <w:rsid w:val="00AC46C4"/>
    <w:rsid w:val="00AD12CE"/>
    <w:rsid w:val="00AE1D82"/>
    <w:rsid w:val="00AE4CF7"/>
    <w:rsid w:val="00AE73D5"/>
    <w:rsid w:val="00AF146F"/>
    <w:rsid w:val="00AF7F8E"/>
    <w:rsid w:val="00B07925"/>
    <w:rsid w:val="00B15193"/>
    <w:rsid w:val="00B16477"/>
    <w:rsid w:val="00B349A5"/>
    <w:rsid w:val="00B51AD5"/>
    <w:rsid w:val="00B84081"/>
    <w:rsid w:val="00B94001"/>
    <w:rsid w:val="00BC26DD"/>
    <w:rsid w:val="00BD67BC"/>
    <w:rsid w:val="00BE09BA"/>
    <w:rsid w:val="00BF77C4"/>
    <w:rsid w:val="00C01F3D"/>
    <w:rsid w:val="00C073A8"/>
    <w:rsid w:val="00C120F7"/>
    <w:rsid w:val="00C15403"/>
    <w:rsid w:val="00C2265F"/>
    <w:rsid w:val="00C3771F"/>
    <w:rsid w:val="00C718DD"/>
    <w:rsid w:val="00C745A7"/>
    <w:rsid w:val="00CA479F"/>
    <w:rsid w:val="00CA4B36"/>
    <w:rsid w:val="00CA7D51"/>
    <w:rsid w:val="00CC3D49"/>
    <w:rsid w:val="00CC65FC"/>
    <w:rsid w:val="00CD5889"/>
    <w:rsid w:val="00CE5D22"/>
    <w:rsid w:val="00CF02E5"/>
    <w:rsid w:val="00CF0907"/>
    <w:rsid w:val="00CF0A58"/>
    <w:rsid w:val="00CF637D"/>
    <w:rsid w:val="00D03678"/>
    <w:rsid w:val="00D04320"/>
    <w:rsid w:val="00D153BA"/>
    <w:rsid w:val="00D157C5"/>
    <w:rsid w:val="00D20DE8"/>
    <w:rsid w:val="00D30C10"/>
    <w:rsid w:val="00D3166A"/>
    <w:rsid w:val="00D32584"/>
    <w:rsid w:val="00D35A59"/>
    <w:rsid w:val="00D36895"/>
    <w:rsid w:val="00D42ED4"/>
    <w:rsid w:val="00D83090"/>
    <w:rsid w:val="00D839C0"/>
    <w:rsid w:val="00D84C14"/>
    <w:rsid w:val="00D915C3"/>
    <w:rsid w:val="00D93A8E"/>
    <w:rsid w:val="00DA3B28"/>
    <w:rsid w:val="00DB1BAF"/>
    <w:rsid w:val="00DD4516"/>
    <w:rsid w:val="00DD6FD0"/>
    <w:rsid w:val="00DE3EC0"/>
    <w:rsid w:val="00DE7514"/>
    <w:rsid w:val="00DF2ECB"/>
    <w:rsid w:val="00E247D2"/>
    <w:rsid w:val="00E45826"/>
    <w:rsid w:val="00E46DA0"/>
    <w:rsid w:val="00E53BBB"/>
    <w:rsid w:val="00E55881"/>
    <w:rsid w:val="00E67FD8"/>
    <w:rsid w:val="00E7233F"/>
    <w:rsid w:val="00E8141A"/>
    <w:rsid w:val="00EA67DA"/>
    <w:rsid w:val="00EE0DE5"/>
    <w:rsid w:val="00EE6446"/>
    <w:rsid w:val="00EE6710"/>
    <w:rsid w:val="00EF696B"/>
    <w:rsid w:val="00F157F7"/>
    <w:rsid w:val="00F2527D"/>
    <w:rsid w:val="00F303B6"/>
    <w:rsid w:val="00F34563"/>
    <w:rsid w:val="00F35CDD"/>
    <w:rsid w:val="00F52480"/>
    <w:rsid w:val="00F56B1C"/>
    <w:rsid w:val="00F616CE"/>
    <w:rsid w:val="00F62448"/>
    <w:rsid w:val="00F62612"/>
    <w:rsid w:val="00F635D1"/>
    <w:rsid w:val="00F6466E"/>
    <w:rsid w:val="00FA45DD"/>
    <w:rsid w:val="00FA4E1B"/>
    <w:rsid w:val="00FB18BD"/>
    <w:rsid w:val="00FB74D7"/>
    <w:rsid w:val="00FE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DStandard"/>
    <w:next w:val="DStandard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Standard">
    <w:name w:val="!DStandard"/>
    <w:rPr>
      <w:sz w:val="24"/>
      <w:szCs w:val="24"/>
      <w:lang w:val="de-DE" w:eastAsia="de-DE"/>
    </w:rPr>
  </w:style>
  <w:style w:type="paragraph" w:customStyle="1" w:styleId="Dberschrift1">
    <w:name w:val="!DÜberschrift 1"/>
    <w:basedOn w:val="DStandard"/>
    <w:next w:val="DStandar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customStyle="1" w:styleId="Dberschrift2">
    <w:name w:val="!DÜberschrift 2"/>
    <w:basedOn w:val="DStandard"/>
    <w:next w:val="DStandard"/>
    <w:pPr>
      <w:keepNext/>
      <w:spacing w:before="240" w:after="60"/>
      <w:outlineLvl w:val="1"/>
    </w:pPr>
    <w:rPr>
      <w:b/>
      <w:bCs/>
      <w:sz w:val="28"/>
      <w:szCs w:val="28"/>
    </w:rPr>
  </w:style>
  <w:style w:type="paragraph" w:customStyle="1" w:styleId="Dberschrift3">
    <w:name w:val="!DÜberschrift 3"/>
    <w:basedOn w:val="DStandard"/>
    <w:next w:val="DStandard"/>
    <w:pPr>
      <w:keepNext/>
      <w:spacing w:before="240" w:after="60"/>
      <w:outlineLvl w:val="2"/>
    </w:pPr>
    <w:rPr>
      <w:b/>
      <w:bCs/>
    </w:rPr>
  </w:style>
  <w:style w:type="paragraph" w:customStyle="1" w:styleId="Dberschrift4">
    <w:name w:val="!DÜberschrift 4"/>
    <w:basedOn w:val="DStandard"/>
    <w:next w:val="DStandard"/>
    <w:pPr>
      <w:keepNext/>
      <w:spacing w:before="240" w:after="60"/>
      <w:outlineLvl w:val="3"/>
    </w:pPr>
    <w:rPr>
      <w:b/>
      <w:bCs/>
      <w:sz w:val="20"/>
      <w:szCs w:val="20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DTab1">
    <w:name w:val="!DTab 1"/>
    <w:basedOn w:val="DStandard"/>
    <w:rPr>
      <w:sz w:val="22"/>
      <w:szCs w:val="22"/>
    </w:rPr>
  </w:style>
  <w:style w:type="paragraph" w:customStyle="1" w:styleId="DTab2">
    <w:name w:val="!DTab 2"/>
    <w:basedOn w:val="DStandard"/>
    <w:rPr>
      <w:sz w:val="18"/>
      <w:szCs w:val="18"/>
    </w:r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DTitel3">
    <w:name w:val="!DTitel3"/>
    <w:basedOn w:val="a"/>
    <w:next w:val="a"/>
    <w:pPr>
      <w:autoSpaceDE/>
      <w:autoSpaceDN/>
      <w:spacing w:before="60" w:after="60" w:line="360" w:lineRule="auto"/>
      <w:ind w:left="2835" w:hanging="2268"/>
      <w:outlineLvl w:val="2"/>
    </w:pPr>
    <w:rPr>
      <w:b/>
      <w:bCs/>
      <w:sz w:val="32"/>
      <w:szCs w:val="32"/>
      <w:lang w:val="en-GB"/>
    </w:rPr>
  </w:style>
  <w:style w:type="paragraph" w:customStyle="1" w:styleId="DKopf-Fuzeile">
    <w:name w:val="!DKopf-Fußzeile"/>
    <w:basedOn w:val="DStandard"/>
    <w:pPr>
      <w:tabs>
        <w:tab w:val="right" w:pos="2268"/>
        <w:tab w:val="left" w:pos="3402"/>
        <w:tab w:val="left" w:pos="4536"/>
        <w:tab w:val="right" w:pos="5670"/>
        <w:tab w:val="left" w:pos="6804"/>
        <w:tab w:val="left" w:pos="7938"/>
        <w:tab w:val="right" w:pos="9497"/>
      </w:tabs>
      <w:spacing w:before="60" w:after="60"/>
    </w:pPr>
    <w:rPr>
      <w:sz w:val="20"/>
      <w:szCs w:val="20"/>
    </w:rPr>
  </w:style>
  <w:style w:type="paragraph" w:customStyle="1" w:styleId="DTitel1">
    <w:name w:val="!DTitel1"/>
    <w:basedOn w:val="DTitel3"/>
    <w:next w:val="a"/>
    <w:pPr>
      <w:spacing w:before="2000" w:after="2000"/>
      <w:outlineLvl w:val="0"/>
    </w:pPr>
    <w:rPr>
      <w:sz w:val="72"/>
      <w:szCs w:val="72"/>
    </w:rPr>
  </w:style>
  <w:style w:type="paragraph" w:customStyle="1" w:styleId="DTitel2">
    <w:name w:val="!DTitel2"/>
    <w:basedOn w:val="DTitel3"/>
    <w:next w:val="DTitel3"/>
    <w:pPr>
      <w:outlineLvl w:val="1"/>
    </w:pPr>
    <w:rPr>
      <w:sz w:val="52"/>
      <w:szCs w:val="52"/>
    </w:rPr>
  </w:style>
  <w:style w:type="paragraph" w:customStyle="1" w:styleId="DSeitenKopf">
    <w:name w:val="!DSeitenKopf"/>
    <w:basedOn w:val="DStandard"/>
    <w:next w:val="Dberschrift1"/>
    <w:pPr>
      <w:tabs>
        <w:tab w:val="left" w:pos="567"/>
      </w:tabs>
      <w:spacing w:before="120" w:line="360" w:lineRule="auto"/>
    </w:pPr>
    <w:rPr>
      <w:b/>
      <w:bCs/>
      <w:kern w:val="28"/>
      <w:sz w:val="36"/>
      <w:szCs w:val="36"/>
      <w:lang w:val="en-GB"/>
    </w:rPr>
  </w:style>
  <w:style w:type="paragraph" w:customStyle="1" w:styleId="knZulassung01">
    <w:name w:val="knZulassung01"/>
    <w:basedOn w:val="a"/>
    <w:pPr>
      <w:tabs>
        <w:tab w:val="left" w:pos="567"/>
      </w:tabs>
      <w:autoSpaceDE/>
      <w:autoSpaceDN/>
      <w:ind w:left="1843" w:right="284" w:hanging="1843"/>
    </w:pPr>
    <w:rPr>
      <w:rFonts w:ascii="Courier" w:hAnsi="Courier" w:cs="Courier"/>
    </w:rPr>
  </w:style>
  <w:style w:type="paragraph" w:customStyle="1" w:styleId="knZulassung02">
    <w:name w:val="knZulassung02"/>
    <w:basedOn w:val="a"/>
    <w:pPr>
      <w:ind w:left="1843" w:right="284"/>
    </w:pPr>
    <w:rPr>
      <w:rFonts w:ascii="Courier" w:hAnsi="Courier" w:cs="Courier"/>
    </w:rPr>
  </w:style>
  <w:style w:type="paragraph" w:customStyle="1" w:styleId="KNBrief">
    <w:name w:val="KNBrief"/>
    <w:basedOn w:val="a"/>
    <w:pPr>
      <w:autoSpaceDE/>
      <w:autoSpaceDN/>
      <w:ind w:left="567" w:right="284"/>
    </w:pPr>
    <w:rPr>
      <w:rFonts w:ascii="Courier" w:hAnsi="Courier" w:cs="Courier"/>
    </w:rPr>
  </w:style>
  <w:style w:type="paragraph" w:customStyle="1" w:styleId="Tabelle">
    <w:name w:val="Tabelle"/>
    <w:next w:val="a"/>
    <w:rPr>
      <w:rFonts w:ascii="Arial" w:hAnsi="Arial" w:cs="Arial"/>
      <w:noProof/>
      <w:lang w:val="de-DE" w:eastAsia="de-DE"/>
    </w:rPr>
  </w:style>
  <w:style w:type="paragraph" w:customStyle="1" w:styleId="KNTabellenFormat">
    <w:name w:val="KNTabellenFormat"/>
    <w:basedOn w:val="KNBrief"/>
    <w:pPr>
      <w:ind w:left="0" w:right="0"/>
    </w:pPr>
  </w:style>
  <w:style w:type="paragraph" w:customStyle="1" w:styleId="KNAufzhlung10-99">
    <w:name w:val="KNAufzählung (10.-99.)"/>
    <w:basedOn w:val="KNBrief"/>
    <w:pPr>
      <w:overflowPunct w:val="0"/>
      <w:autoSpaceDE w:val="0"/>
      <w:autoSpaceDN w:val="0"/>
      <w:adjustRightInd w:val="0"/>
      <w:spacing w:line="240" w:lineRule="atLeast"/>
      <w:ind w:left="1134" w:hanging="567"/>
      <w:textAlignment w:val="baseline"/>
    </w:pPr>
  </w:style>
  <w:style w:type="paragraph" w:customStyle="1" w:styleId="KNVerfgungspunkt">
    <w:name w:val="KNVerfügungspunkt"/>
    <w:basedOn w:val="KNBrief"/>
    <w:pPr>
      <w:overflowPunct w:val="0"/>
      <w:autoSpaceDE w:val="0"/>
      <w:autoSpaceDN w:val="0"/>
      <w:adjustRightInd w:val="0"/>
      <w:ind w:hanging="567"/>
      <w:textAlignment w:val="baseline"/>
    </w:pPr>
    <w:rPr>
      <w:vanish/>
    </w:rPr>
  </w:style>
  <w:style w:type="paragraph" w:customStyle="1" w:styleId="KNSpiegelstrich">
    <w:name w:val="KNSpiegelstrich"/>
    <w:basedOn w:val="KNBrief"/>
    <w:pPr>
      <w:overflowPunct w:val="0"/>
      <w:autoSpaceDE w:val="0"/>
      <w:autoSpaceDN w:val="0"/>
      <w:adjustRightInd w:val="0"/>
      <w:spacing w:line="240" w:lineRule="atLeast"/>
      <w:ind w:left="851" w:hanging="284"/>
      <w:textAlignment w:val="baseline"/>
    </w:pPr>
  </w:style>
  <w:style w:type="paragraph" w:customStyle="1" w:styleId="KNAufzhlung1-9">
    <w:name w:val="KNAufzählung (1.-9.)"/>
    <w:basedOn w:val="KNBrief"/>
    <w:pPr>
      <w:overflowPunct w:val="0"/>
      <w:autoSpaceDE w:val="0"/>
      <w:autoSpaceDN w:val="0"/>
      <w:adjustRightInd w:val="0"/>
      <w:spacing w:line="240" w:lineRule="atLeast"/>
      <w:ind w:left="1134" w:hanging="425"/>
      <w:textAlignment w:val="baseline"/>
    </w:pPr>
  </w:style>
  <w:style w:type="paragraph" w:customStyle="1" w:styleId="knZulassung03">
    <w:name w:val="knZulassung03"/>
    <w:basedOn w:val="KNBrief"/>
    <w:pPr>
      <w:overflowPunct w:val="0"/>
      <w:autoSpaceDE w:val="0"/>
      <w:autoSpaceDN w:val="0"/>
      <w:adjustRightInd w:val="0"/>
      <w:ind w:left="2269" w:hanging="426"/>
      <w:textAlignment w:val="baseline"/>
    </w:pPr>
  </w:style>
  <w:style w:type="paragraph" w:customStyle="1" w:styleId="knZulassung04">
    <w:name w:val="knZulassung04"/>
    <w:basedOn w:val="KNBrief"/>
    <w:pPr>
      <w:tabs>
        <w:tab w:val="left" w:pos="851"/>
        <w:tab w:val="left" w:pos="1843"/>
        <w:tab w:val="left" w:pos="2552"/>
      </w:tabs>
      <w:overflowPunct w:val="0"/>
      <w:autoSpaceDE w:val="0"/>
      <w:autoSpaceDN w:val="0"/>
      <w:adjustRightInd w:val="0"/>
      <w:ind w:left="2269" w:hanging="2269"/>
      <w:textAlignment w:val="baseline"/>
    </w:pPr>
  </w:style>
  <w:style w:type="paragraph" w:customStyle="1" w:styleId="knZulassung05">
    <w:name w:val="knZulassung05"/>
    <w:basedOn w:val="KNBrief"/>
    <w:pPr>
      <w:overflowPunct w:val="0"/>
      <w:autoSpaceDE w:val="0"/>
      <w:autoSpaceDN w:val="0"/>
      <w:adjustRightInd w:val="0"/>
      <w:ind w:left="2269" w:hanging="426"/>
      <w:textAlignment w:val="baseline"/>
    </w:pPr>
  </w:style>
  <w:style w:type="paragraph" w:customStyle="1" w:styleId="knZulassung06">
    <w:name w:val="knZulassung06"/>
    <w:basedOn w:val="knZulassung02"/>
    <w:pPr>
      <w:overflowPunct w:val="0"/>
      <w:adjustRightInd w:val="0"/>
      <w:ind w:left="2268"/>
      <w:textAlignment w:val="baseline"/>
    </w:pPr>
  </w:style>
  <w:style w:type="paragraph" w:customStyle="1" w:styleId="ANAbsnormal">
    <w:name w:val="AN   (Abs. normal)"/>
    <w:basedOn w:val="a"/>
    <w:pPr>
      <w:overflowPunct w:val="0"/>
      <w:adjustRightInd w:val="0"/>
      <w:spacing w:line="260" w:lineRule="exact"/>
      <w:ind w:left="567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OTberschrTabohn">
    <w:name w:val="OT   (Überschr. Tab. ohn"/>
    <w:basedOn w:val="a"/>
    <w:pPr>
      <w:keepNext/>
      <w:keepLines/>
      <w:overflowPunct w:val="0"/>
      <w:adjustRightInd w:val="0"/>
      <w:spacing w:after="60" w:line="260" w:lineRule="exact"/>
      <w:ind w:left="567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AAAbsmAbst">
    <w:name w:val="AA   (Abs. m. Abst.)"/>
    <w:basedOn w:val="ANAbsnormal"/>
    <w:pPr>
      <w:spacing w:before="120"/>
    </w:pPr>
  </w:style>
  <w:style w:type="paragraph" w:customStyle="1" w:styleId="O11berschrohne">
    <w:name w:val="O1   (1. Überschr. ohne"/>
    <w:basedOn w:val="a"/>
    <w:pPr>
      <w:keepNext/>
      <w:keepLines/>
      <w:tabs>
        <w:tab w:val="left" w:pos="567"/>
      </w:tabs>
      <w:overflowPunct w:val="0"/>
      <w:adjustRightInd w:val="0"/>
      <w:spacing w:after="360" w:line="260" w:lineRule="exact"/>
      <w:ind w:left="567" w:hanging="567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O44berschrohne">
    <w:name w:val="O4   (4. Überschr. ohne"/>
    <w:basedOn w:val="a"/>
    <w:pPr>
      <w:keepNext/>
      <w:keepLines/>
      <w:tabs>
        <w:tab w:val="left" w:pos="851"/>
        <w:tab w:val="left" w:pos="1134"/>
        <w:tab w:val="left" w:pos="1701"/>
        <w:tab w:val="right" w:pos="3969"/>
        <w:tab w:val="right" w:pos="5670"/>
        <w:tab w:val="right" w:pos="7056"/>
      </w:tabs>
      <w:overflowPunct w:val="0"/>
      <w:adjustRightInd w:val="0"/>
      <w:spacing w:line="260" w:lineRule="exact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UEberschreinger">
    <w:name w:val="UE   (Überschr. einger.)"/>
    <w:basedOn w:val="a"/>
    <w:pPr>
      <w:keepNext/>
      <w:keepLines/>
      <w:overflowPunct w:val="0"/>
      <w:adjustRightInd w:val="0"/>
      <w:spacing w:before="180" w:after="180" w:line="260" w:lineRule="exact"/>
      <w:ind w:left="851" w:hanging="284"/>
      <w:textAlignment w:val="baseline"/>
    </w:pPr>
    <w:rPr>
      <w:rFonts w:ascii="Arial" w:hAnsi="Arial" w:cs="Arial"/>
      <w:sz w:val="20"/>
      <w:szCs w:val="20"/>
    </w:rPr>
  </w:style>
  <w:style w:type="paragraph" w:customStyle="1" w:styleId="OEberschreinger">
    <w:name w:val="OE   (Überschr. einger."/>
    <w:basedOn w:val="UEberschreinger"/>
    <w:pPr>
      <w:spacing w:before="0"/>
    </w:pPr>
  </w:style>
  <w:style w:type="paragraph" w:customStyle="1" w:styleId="UTberschrTabelle">
    <w:name w:val="UT   (Überschr. Tabelle)"/>
    <w:basedOn w:val="a"/>
    <w:pPr>
      <w:keepNext/>
      <w:keepLines/>
      <w:overflowPunct w:val="0"/>
      <w:adjustRightInd w:val="0"/>
      <w:spacing w:before="360" w:after="60" w:line="260" w:lineRule="exact"/>
      <w:ind w:left="567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BKBV-TabelleKopf">
    <w:name w:val="BK   (BV-Tabelle Kopf)"/>
    <w:basedOn w:val="a"/>
    <w:pPr>
      <w:pBdr>
        <w:top w:val="single" w:sz="6" w:space="4" w:color="auto"/>
        <w:bottom w:val="single" w:sz="6" w:space="4" w:color="auto"/>
      </w:pBdr>
      <w:tabs>
        <w:tab w:val="left" w:pos="567"/>
        <w:tab w:val="center" w:pos="3402"/>
        <w:tab w:val="center" w:pos="4536"/>
        <w:tab w:val="center" w:pos="5670"/>
        <w:tab w:val="center" w:pos="6804"/>
      </w:tabs>
      <w:overflowPunct w:val="0"/>
      <w:adjustRightInd w:val="0"/>
      <w:spacing w:line="300" w:lineRule="exact"/>
      <w:ind w:left="567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BZBV-TabelleZahlen">
    <w:name w:val="BZ   (BV-Tabelle Zahlen)"/>
    <w:basedOn w:val="a"/>
    <w:pPr>
      <w:tabs>
        <w:tab w:val="left" w:pos="567"/>
        <w:tab w:val="decimal" w:pos="3402"/>
        <w:tab w:val="decimal" w:pos="4536"/>
        <w:tab w:val="decimal" w:pos="5670"/>
        <w:tab w:val="decimal" w:pos="6804"/>
      </w:tabs>
      <w:overflowPunct w:val="0"/>
      <w:adjustRightInd w:val="0"/>
      <w:spacing w:line="260" w:lineRule="exact"/>
      <w:ind w:left="567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BFBV-TabelleFu">
    <w:name w:val="BF   (BV-Tabelle Fuß)"/>
    <w:basedOn w:val="a"/>
    <w:pPr>
      <w:pBdr>
        <w:bottom w:val="single" w:sz="6" w:space="4" w:color="auto"/>
      </w:pBdr>
      <w:tabs>
        <w:tab w:val="left" w:pos="567"/>
        <w:tab w:val="center" w:pos="3402"/>
        <w:tab w:val="center" w:pos="4536"/>
        <w:tab w:val="center" w:pos="5670"/>
        <w:tab w:val="center" w:pos="6804"/>
      </w:tabs>
      <w:overflowPunct w:val="0"/>
      <w:adjustRightInd w:val="0"/>
      <w:spacing w:line="260" w:lineRule="exact"/>
      <w:ind w:left="567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a5">
    <w:name w:val="Document Map"/>
    <w:basedOn w:val="a"/>
    <w:semiHidden/>
    <w:pPr>
      <w:shd w:val="clear" w:color="auto" w:fill="000080"/>
      <w:overflowPunct w:val="0"/>
      <w:adjustRightInd w:val="0"/>
      <w:textAlignment w:val="baseline"/>
    </w:pPr>
    <w:rPr>
      <w:rFonts w:ascii="Tahoma" w:hAnsi="Tahoma" w:cs="Tahoma"/>
    </w:rPr>
  </w:style>
  <w:style w:type="paragraph" w:customStyle="1" w:styleId="Text2">
    <w:name w:val="Text 2"/>
    <w:pPr>
      <w:autoSpaceDE w:val="0"/>
      <w:autoSpaceDN w:val="0"/>
      <w:spacing w:line="200" w:lineRule="exact"/>
      <w:ind w:left="623" w:right="56"/>
      <w:jc w:val="both"/>
    </w:pPr>
    <w:rPr>
      <w:rFonts w:ascii="Helvetica" w:hAnsi="Helvetica" w:cs="Helvetica"/>
      <w:noProof/>
      <w:sz w:val="16"/>
      <w:szCs w:val="16"/>
      <w:lang w:val="en-US" w:eastAsia="de-DE"/>
    </w:rPr>
  </w:style>
  <w:style w:type="paragraph" w:customStyle="1" w:styleId="Text3">
    <w:name w:val="Text 3"/>
    <w:pPr>
      <w:autoSpaceDE w:val="0"/>
      <w:autoSpaceDN w:val="0"/>
      <w:spacing w:line="200" w:lineRule="exact"/>
      <w:ind w:left="737" w:right="56"/>
      <w:jc w:val="both"/>
    </w:pPr>
    <w:rPr>
      <w:rFonts w:ascii="Helvetica" w:hAnsi="Helvetica" w:cs="Helvetica"/>
      <w:noProof/>
      <w:sz w:val="16"/>
      <w:szCs w:val="16"/>
      <w:lang w:val="en-US" w:eastAsia="de-DE"/>
    </w:rPr>
  </w:style>
  <w:style w:type="paragraph" w:styleId="20">
    <w:name w:val="Body Text 2"/>
    <w:basedOn w:val="a"/>
    <w:pPr>
      <w:autoSpaceDE/>
      <w:autoSpaceDN/>
      <w:ind w:left="720"/>
    </w:pPr>
    <w:rPr>
      <w:i/>
      <w:iCs/>
      <w:lang w:val="el-GR" w:eastAsia="en-US"/>
    </w:rPr>
  </w:style>
  <w:style w:type="paragraph" w:styleId="a6">
    <w:name w:val="Body Text"/>
    <w:basedOn w:val="a"/>
    <w:pPr>
      <w:tabs>
        <w:tab w:val="left" w:pos="567"/>
      </w:tabs>
      <w:jc w:val="both"/>
    </w:pPr>
    <w:rPr>
      <w:lang w:val="el-GR"/>
    </w:rPr>
  </w:style>
  <w:style w:type="character" w:styleId="a7">
    <w:name w:val="page number"/>
    <w:basedOn w:val="a0"/>
    <w:rsid w:val="00731C1C"/>
  </w:style>
  <w:style w:type="table" w:styleId="a8">
    <w:name w:val="Table Grid"/>
    <w:basedOn w:val="a1"/>
    <w:rsid w:val="003A04B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a"/>
    <w:rsid w:val="00A8719E"/>
    <w:pPr>
      <w:numPr>
        <w:ilvl w:val="1"/>
        <w:numId w:val="38"/>
      </w:numPr>
      <w:overflowPunct w:val="0"/>
      <w:adjustRightInd w:val="0"/>
      <w:spacing w:line="360" w:lineRule="auto"/>
      <w:textAlignment w:val="baseline"/>
    </w:pPr>
    <w:rPr>
      <w:rFonts w:ascii="Arial" w:hAnsi="Arial" w:cs="Arial"/>
      <w:sz w:val="22"/>
      <w:szCs w:val="22"/>
      <w:u w:val="single"/>
      <w:lang w:val="en-US" w:eastAsia="el-GR"/>
    </w:rPr>
  </w:style>
  <w:style w:type="paragraph" w:styleId="a9">
    <w:name w:val="Body Text Indent"/>
    <w:basedOn w:val="a"/>
    <w:rsid w:val="001502C9"/>
    <w:pPr>
      <w:spacing w:after="120"/>
      <w:ind w:left="283"/>
    </w:pPr>
  </w:style>
  <w:style w:type="character" w:customStyle="1" w:styleId="WW8Num17z1">
    <w:name w:val="WW8Num17z1"/>
    <w:rsid w:val="00D30C10"/>
    <w:rPr>
      <w:rFonts w:ascii="Courier New" w:hAnsi="Courier New" w:cs="Courier New"/>
    </w:rPr>
  </w:style>
  <w:style w:type="paragraph" w:styleId="21">
    <w:name w:val="Body Text Indent 2"/>
    <w:basedOn w:val="a"/>
    <w:rsid w:val="004501D3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1917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Stamm CTD</vt:lpstr>
    </vt:vector>
  </TitlesOfParts>
  <Company>IIP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 CTD</dc:title>
  <dc:creator>Schreiner</dc:creator>
  <cp:lastModifiedBy>user146</cp:lastModifiedBy>
  <cp:revision>3</cp:revision>
  <cp:lastPrinted>2013-04-05T09:28:00Z</cp:lastPrinted>
  <dcterms:created xsi:type="dcterms:W3CDTF">2013-04-05T09:28:00Z</dcterms:created>
  <dcterms:modified xsi:type="dcterms:W3CDTF">2013-04-05T09:28:00Z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ulnurnr">
    <vt:lpwstr>62108.01.00</vt:lpwstr>
  </property>
  <property fmtid="{D5CDD505-2E9C-101B-9397-08002B2CF9AE}" pid="3" name="ENR">
    <vt:lpwstr>          </vt:lpwstr>
  </property>
  <property fmtid="{D5CDD505-2E9C-101B-9397-08002B2CF9AE}" pid="4" name="ZVorgang">
    <vt:lpwstr>          </vt:lpwstr>
  </property>
  <property fmtid="{D5CDD505-2E9C-101B-9397-08002B2CF9AE}" pid="5" name="CTDindex">
    <vt:lpwstr>1.3.1</vt:lpwstr>
  </property>
  <property fmtid="{D5CDD505-2E9C-101B-9397-08002B2CF9AE}" pid="6" name="CTDname">
    <vt:lpwstr>Summary of Product Characteristics</vt:lpwstr>
  </property>
  <property fmtid="{D5CDD505-2E9C-101B-9397-08002B2CF9AE}" pid="7" name="ProjektName">
    <vt:lpwstr>Metformin hydrochloride film-coated tablets</vt:lpwstr>
  </property>
  <property fmtid="{D5CDD505-2E9C-101B-9397-08002B2CF9AE}" pid="8" name="Stärke">
    <vt:lpwstr>850 mg</vt:lpwstr>
  </property>
  <property fmtid="{D5CDD505-2E9C-101B-9397-08002B2CF9AE}" pid="9" name="DossierVersion">
    <vt:lpwstr>108.3-q</vt:lpwstr>
  </property>
  <property fmtid="{D5CDD505-2E9C-101B-9397-08002B2CF9AE}" pid="10" name="Datum">
    <vt:lpwstr>    </vt:lpwstr>
  </property>
  <property fmtid="{D5CDD505-2E9C-101B-9397-08002B2CF9AE}" pid="11" name="linkprev">
    <vt:lpwstr>0</vt:lpwstr>
  </property>
  <property fmtid="{D5CDD505-2E9C-101B-9397-08002B2CF9AE}" pid="12" name="BezeichnungArzneimittel">
    <vt:lpwstr>Metwik 850 mg</vt:lpwstr>
  </property>
  <property fmtid="{D5CDD505-2E9C-101B-9397-08002B2CF9AE}" pid="13" name="Wirkstoff">
    <vt:lpwstr>Metformin hydrochloride</vt:lpwstr>
  </property>
  <property fmtid="{D5CDD505-2E9C-101B-9397-08002B2CF9AE}" pid="14" name="PUName">
    <vt:lpwstr>Farmasyn S.A.</vt:lpwstr>
  </property>
  <property fmtid="{D5CDD505-2E9C-101B-9397-08002B2CF9AE}" pid="15" name="PUStrasse">
    <vt:lpwstr>8 Monis Damastas street</vt:lpwstr>
  </property>
  <property fmtid="{D5CDD505-2E9C-101B-9397-08002B2CF9AE}" pid="16" name="PUOrt">
    <vt:lpwstr>12133 Peristeri</vt:lpwstr>
  </property>
  <property fmtid="{D5CDD505-2E9C-101B-9397-08002B2CF9AE}" pid="17" name="PUTel">
    <vt:lpwstr>+30 210 5157349</vt:lpwstr>
  </property>
  <property fmtid="{D5CDD505-2E9C-101B-9397-08002B2CF9AE}" pid="18" name="PUFax">
    <vt:lpwstr>+30 210 5157349</vt:lpwstr>
  </property>
  <property fmtid="{D5CDD505-2E9C-101B-9397-08002B2CF9AE}" pid="19" name="PUEmail">
    <vt:lpwstr>farmasyn@otenet.gr</vt:lpwstr>
  </property>
  <property fmtid="{D5CDD505-2E9C-101B-9397-08002B2CF9AE}" pid="20" name="BezeichnungAMGruppe">
    <vt:lpwstr>Metwik</vt:lpwstr>
  </property>
  <property fmtid="{D5CDD505-2E9C-101B-9397-08002B2CF9AE}" pid="21" name="pag 1">
    <vt:lpwstr>01</vt:lpwstr>
  </property>
  <property fmtid="{D5CDD505-2E9C-101B-9397-08002B2CF9AE}" pid="22" name="pag 2">
    <vt:lpwstr>02</vt:lpwstr>
  </property>
  <property fmtid="{D5CDD505-2E9C-101B-9397-08002B2CF9AE}" pid="23" name="pag 3">
    <vt:lpwstr>03</vt:lpwstr>
  </property>
  <property fmtid="{D5CDD505-2E9C-101B-9397-08002B2CF9AE}" pid="24" name="pag 4">
    <vt:lpwstr>04</vt:lpwstr>
  </property>
  <property fmtid="{D5CDD505-2E9C-101B-9397-08002B2CF9AE}" pid="25" name="pag 5">
    <vt:lpwstr>05</vt:lpwstr>
  </property>
  <property fmtid="{D5CDD505-2E9C-101B-9397-08002B2CF9AE}" pid="26" name="pag 6">
    <vt:lpwstr>06</vt:lpwstr>
  </property>
  <property fmtid="{D5CDD505-2E9C-101B-9397-08002B2CF9AE}" pid="27" name="pag 7">
    <vt:lpwstr>07</vt:lpwstr>
  </property>
  <property fmtid="{D5CDD505-2E9C-101B-9397-08002B2CF9AE}" pid="28" name="pag 8">
    <vt:lpwstr>08</vt:lpwstr>
  </property>
  <property fmtid="{D5CDD505-2E9C-101B-9397-08002B2CF9AE}" pid="29" name="pag 9">
    <vt:lpwstr>09</vt:lpwstr>
  </property>
  <property fmtid="{D5CDD505-2E9C-101B-9397-08002B2CF9AE}" pid="30" name="pag 10">
    <vt:lpwstr>10</vt:lpwstr>
  </property>
  <property fmtid="{D5CDD505-2E9C-101B-9397-08002B2CF9AE}" pid="31" name="pag 11">
    <vt:lpwstr>11</vt:lpwstr>
  </property>
  <property fmtid="{D5CDD505-2E9C-101B-9397-08002B2CF9AE}" pid="32" name="pag 12">
    <vt:lpwstr>12</vt:lpwstr>
  </property>
  <property fmtid="{D5CDD505-2E9C-101B-9397-08002B2CF9AE}" pid="33" name="pag 13">
    <vt:lpwstr>13</vt:lpwstr>
  </property>
  <property fmtid="{D5CDD505-2E9C-101B-9397-08002B2CF9AE}" pid="34" name="pag 14">
    <vt:lpwstr>14</vt:lpwstr>
  </property>
  <property fmtid="{D5CDD505-2E9C-101B-9397-08002B2CF9AE}" pid="35" name="pag 15">
    <vt:lpwstr>15</vt:lpwstr>
  </property>
  <property fmtid="{D5CDD505-2E9C-101B-9397-08002B2CF9AE}" pid="36" name="ZVorgang3">
    <vt:lpwstr>          </vt:lpwstr>
  </property>
</Properties>
</file>