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5DD" w:rsidRPr="008F0F70" w:rsidRDefault="00FF55DD" w:rsidP="00FF55DD">
      <w:pPr>
        <w:jc w:val="center"/>
        <w:rPr>
          <w:sz w:val="22"/>
          <w:szCs w:val="22"/>
        </w:rPr>
      </w:pPr>
    </w:p>
    <w:p w:rsidR="00FF55DD" w:rsidRPr="008F0F70" w:rsidRDefault="00FF55DD" w:rsidP="00FF55DD">
      <w:pPr>
        <w:jc w:val="center"/>
        <w:rPr>
          <w:sz w:val="22"/>
          <w:szCs w:val="22"/>
        </w:rPr>
      </w:pPr>
    </w:p>
    <w:p w:rsidR="00FF55DD" w:rsidRPr="008F0F70" w:rsidRDefault="00FF55DD" w:rsidP="00FF55DD">
      <w:pPr>
        <w:jc w:val="center"/>
        <w:rPr>
          <w:sz w:val="22"/>
          <w:szCs w:val="22"/>
        </w:rPr>
      </w:pPr>
    </w:p>
    <w:p w:rsidR="00FF55DD" w:rsidRPr="008F0F70" w:rsidRDefault="00FF55DD" w:rsidP="00FF55DD">
      <w:pPr>
        <w:jc w:val="center"/>
        <w:rPr>
          <w:sz w:val="22"/>
          <w:szCs w:val="22"/>
        </w:rPr>
      </w:pPr>
    </w:p>
    <w:p w:rsidR="00FF55DD" w:rsidRPr="008F0F70" w:rsidRDefault="00FF55DD" w:rsidP="00FF55DD">
      <w:pPr>
        <w:jc w:val="center"/>
        <w:rPr>
          <w:sz w:val="22"/>
          <w:szCs w:val="22"/>
        </w:rPr>
      </w:pPr>
    </w:p>
    <w:p w:rsidR="00FF55DD" w:rsidRPr="008F0F70" w:rsidRDefault="00FF55DD" w:rsidP="00FF55DD">
      <w:pPr>
        <w:jc w:val="center"/>
        <w:rPr>
          <w:sz w:val="22"/>
          <w:szCs w:val="22"/>
        </w:rPr>
      </w:pPr>
    </w:p>
    <w:p w:rsidR="00FF55DD" w:rsidRPr="008F0F70" w:rsidRDefault="00FF55DD" w:rsidP="00FF55DD">
      <w:pPr>
        <w:jc w:val="center"/>
        <w:rPr>
          <w:sz w:val="22"/>
          <w:szCs w:val="22"/>
        </w:rPr>
      </w:pPr>
    </w:p>
    <w:p w:rsidR="00FF55DD" w:rsidRPr="008F0F70" w:rsidRDefault="00FF55DD" w:rsidP="00FF55DD">
      <w:pPr>
        <w:jc w:val="center"/>
        <w:rPr>
          <w:sz w:val="22"/>
          <w:szCs w:val="22"/>
        </w:rPr>
      </w:pPr>
    </w:p>
    <w:p w:rsidR="00FF55DD" w:rsidRPr="008F0F70" w:rsidRDefault="00FF55DD" w:rsidP="00FF55DD">
      <w:pPr>
        <w:jc w:val="center"/>
        <w:rPr>
          <w:sz w:val="22"/>
          <w:szCs w:val="22"/>
        </w:rPr>
      </w:pPr>
    </w:p>
    <w:p w:rsidR="00FF55DD" w:rsidRPr="008F0F70" w:rsidRDefault="00FF55DD" w:rsidP="00FF55DD">
      <w:pPr>
        <w:jc w:val="center"/>
        <w:rPr>
          <w:sz w:val="22"/>
          <w:szCs w:val="22"/>
        </w:rPr>
      </w:pPr>
    </w:p>
    <w:p w:rsidR="00FF55DD" w:rsidRPr="008F0F70" w:rsidRDefault="00FF55DD" w:rsidP="00FF55DD">
      <w:pPr>
        <w:jc w:val="center"/>
        <w:rPr>
          <w:sz w:val="22"/>
          <w:szCs w:val="22"/>
        </w:rPr>
      </w:pPr>
    </w:p>
    <w:p w:rsidR="00FF55DD" w:rsidRPr="008F0F70" w:rsidRDefault="00FF55DD" w:rsidP="00FF55DD">
      <w:pPr>
        <w:jc w:val="center"/>
        <w:rPr>
          <w:sz w:val="22"/>
          <w:szCs w:val="22"/>
        </w:rPr>
      </w:pPr>
    </w:p>
    <w:p w:rsidR="00FF55DD" w:rsidRPr="008F0F70" w:rsidRDefault="00FF55DD" w:rsidP="00FF55DD">
      <w:pPr>
        <w:jc w:val="center"/>
        <w:rPr>
          <w:sz w:val="22"/>
          <w:szCs w:val="22"/>
        </w:rPr>
      </w:pPr>
    </w:p>
    <w:p w:rsidR="00FF55DD" w:rsidRPr="008F0F70" w:rsidRDefault="00FF55DD" w:rsidP="00FF55DD">
      <w:pPr>
        <w:jc w:val="center"/>
        <w:rPr>
          <w:sz w:val="22"/>
          <w:szCs w:val="22"/>
        </w:rPr>
      </w:pPr>
    </w:p>
    <w:p w:rsidR="00FF55DD" w:rsidRPr="008F0F70" w:rsidRDefault="00FF55DD" w:rsidP="00FF55DD">
      <w:pPr>
        <w:jc w:val="center"/>
        <w:rPr>
          <w:sz w:val="22"/>
          <w:szCs w:val="22"/>
        </w:rPr>
      </w:pPr>
    </w:p>
    <w:p w:rsidR="00FF55DD" w:rsidRPr="008F0F70" w:rsidRDefault="00FF55DD" w:rsidP="00FF55DD">
      <w:pPr>
        <w:jc w:val="center"/>
        <w:rPr>
          <w:sz w:val="22"/>
          <w:szCs w:val="22"/>
        </w:rPr>
      </w:pPr>
    </w:p>
    <w:p w:rsidR="00010CE3" w:rsidRPr="008F0F70" w:rsidRDefault="00010CE3" w:rsidP="00FF55DD">
      <w:pPr>
        <w:jc w:val="center"/>
        <w:rPr>
          <w:sz w:val="22"/>
          <w:szCs w:val="22"/>
        </w:rPr>
      </w:pPr>
    </w:p>
    <w:p w:rsidR="00010CE3" w:rsidRPr="008F0F70" w:rsidRDefault="00010CE3" w:rsidP="00FF55DD">
      <w:pPr>
        <w:jc w:val="center"/>
        <w:rPr>
          <w:sz w:val="22"/>
          <w:szCs w:val="22"/>
        </w:rPr>
      </w:pPr>
    </w:p>
    <w:p w:rsidR="00010CE3" w:rsidRPr="008F0F70" w:rsidRDefault="00010CE3" w:rsidP="00FF55DD">
      <w:pPr>
        <w:jc w:val="center"/>
        <w:rPr>
          <w:sz w:val="22"/>
          <w:szCs w:val="22"/>
        </w:rPr>
      </w:pPr>
    </w:p>
    <w:p w:rsidR="00010CE3" w:rsidRPr="008F0F70" w:rsidRDefault="00010CE3" w:rsidP="00FF55DD">
      <w:pPr>
        <w:jc w:val="center"/>
        <w:rPr>
          <w:sz w:val="22"/>
          <w:szCs w:val="22"/>
        </w:rPr>
      </w:pPr>
    </w:p>
    <w:p w:rsidR="00010CE3" w:rsidRPr="008F0F70" w:rsidRDefault="00010CE3" w:rsidP="00FF55DD">
      <w:pPr>
        <w:jc w:val="center"/>
        <w:rPr>
          <w:sz w:val="22"/>
          <w:szCs w:val="22"/>
        </w:rPr>
      </w:pPr>
    </w:p>
    <w:p w:rsidR="00010CE3" w:rsidRPr="008F0F70" w:rsidRDefault="00010CE3" w:rsidP="00FF55DD">
      <w:pPr>
        <w:jc w:val="center"/>
        <w:rPr>
          <w:sz w:val="22"/>
          <w:szCs w:val="22"/>
        </w:rPr>
      </w:pPr>
    </w:p>
    <w:p w:rsidR="00010CE3" w:rsidRPr="008F0F70" w:rsidRDefault="00010CE3" w:rsidP="00FF55DD">
      <w:pPr>
        <w:jc w:val="center"/>
        <w:rPr>
          <w:sz w:val="22"/>
          <w:szCs w:val="22"/>
        </w:rPr>
      </w:pPr>
    </w:p>
    <w:p w:rsidR="00E8429E" w:rsidRPr="008F0F70" w:rsidRDefault="00E8429E" w:rsidP="00E8429E">
      <w:pPr>
        <w:widowControl w:val="0"/>
        <w:jc w:val="center"/>
        <w:rPr>
          <w:b/>
          <w:i/>
          <w:sz w:val="22"/>
          <w:szCs w:val="22"/>
        </w:rPr>
      </w:pPr>
      <w:r w:rsidRPr="008F0F70">
        <w:rPr>
          <w:b/>
          <w:sz w:val="22"/>
          <w:szCs w:val="22"/>
        </w:rPr>
        <w:t xml:space="preserve"> ΠΕΡΙΛΗΨΗ TΩΝ ΧΑΡΑΚΤΗΡΙΣΤΙΚΩΝ ΤΟΥ ΠΡΟΙΟΝΤΟΣ</w:t>
      </w:r>
    </w:p>
    <w:p w:rsidR="00FF55DD" w:rsidRPr="008F0F70" w:rsidRDefault="00FF55DD" w:rsidP="00FF55DD">
      <w:pPr>
        <w:tabs>
          <w:tab w:val="left" w:pos="-1440"/>
          <w:tab w:val="left" w:pos="-720"/>
        </w:tabs>
        <w:jc w:val="center"/>
        <w:rPr>
          <w:sz w:val="22"/>
          <w:szCs w:val="22"/>
        </w:rPr>
      </w:pPr>
    </w:p>
    <w:p w:rsidR="000C27AA" w:rsidRPr="008F0F70" w:rsidRDefault="000C27AA" w:rsidP="000C27AA">
      <w:pPr>
        <w:shd w:val="clear" w:color="auto" w:fill="FFFFFF"/>
        <w:tabs>
          <w:tab w:val="left" w:pos="0"/>
        </w:tabs>
        <w:jc w:val="both"/>
        <w:rPr>
          <w:sz w:val="22"/>
          <w:szCs w:val="22"/>
        </w:rPr>
      </w:pPr>
    </w:p>
    <w:p w:rsidR="00364710" w:rsidRPr="008F0F70" w:rsidRDefault="00364710" w:rsidP="00FF55DD">
      <w:pPr>
        <w:jc w:val="center"/>
        <w:rPr>
          <w:b/>
          <w:sz w:val="22"/>
          <w:szCs w:val="22"/>
        </w:rPr>
      </w:pPr>
    </w:p>
    <w:p w:rsidR="00DB65E0" w:rsidRPr="008F0F70" w:rsidRDefault="00364710" w:rsidP="00DB65E0">
      <w:pPr>
        <w:shd w:val="clear" w:color="auto" w:fill="FFFFFF"/>
        <w:tabs>
          <w:tab w:val="left" w:pos="0"/>
        </w:tabs>
        <w:jc w:val="both"/>
        <w:rPr>
          <w:b/>
          <w:sz w:val="22"/>
          <w:szCs w:val="22"/>
        </w:rPr>
      </w:pPr>
      <w:r w:rsidRPr="008F0F70">
        <w:rPr>
          <w:sz w:val="22"/>
          <w:szCs w:val="22"/>
        </w:rPr>
        <w:br w:type="page"/>
      </w:r>
      <w:r w:rsidR="00DB65E0" w:rsidRPr="008F0F70">
        <w:rPr>
          <w:b/>
          <w:iCs/>
          <w:sz w:val="22"/>
          <w:szCs w:val="22"/>
        </w:rPr>
        <w:lastRenderedPageBreak/>
        <w:t>1.</w:t>
      </w:r>
      <w:r w:rsidR="00DB65E0" w:rsidRPr="008F0F70">
        <w:rPr>
          <w:b/>
          <w:i/>
          <w:sz w:val="22"/>
          <w:szCs w:val="22"/>
        </w:rPr>
        <w:t xml:space="preserve"> </w:t>
      </w:r>
      <w:r w:rsidR="00DB65E0" w:rsidRPr="008F0F70">
        <w:rPr>
          <w:b/>
          <w:sz w:val="22"/>
          <w:szCs w:val="22"/>
        </w:rPr>
        <w:t>ΟΝΟΜΑΣΙΑ ΤΟΥ ΦΑΡΜΑΚΕΥΤΙΚΟΥ ΠΡΟΙΟΝΤΟΣ</w:t>
      </w:r>
    </w:p>
    <w:p w:rsidR="00367424" w:rsidRPr="008F0F70" w:rsidRDefault="00367424" w:rsidP="006C4353">
      <w:pPr>
        <w:shd w:val="clear" w:color="auto" w:fill="FFFFFF"/>
        <w:jc w:val="both"/>
        <w:rPr>
          <w:sz w:val="22"/>
          <w:szCs w:val="22"/>
        </w:rPr>
      </w:pPr>
    </w:p>
    <w:p w:rsidR="00DB65E0" w:rsidRPr="008F0F70" w:rsidRDefault="000E2AD4" w:rsidP="00DB65E0">
      <w:pPr>
        <w:widowControl w:val="0"/>
        <w:jc w:val="both"/>
        <w:rPr>
          <w:sz w:val="22"/>
          <w:szCs w:val="22"/>
        </w:rPr>
      </w:pPr>
      <w:bookmarkStart w:id="0" w:name="COMPOSITION"/>
      <w:r>
        <w:rPr>
          <w:sz w:val="22"/>
          <w:szCs w:val="22"/>
          <w:lang w:val="en-US"/>
        </w:rPr>
        <w:t>LEXAVON</w:t>
      </w:r>
      <w:r w:rsidRPr="000E2AD4">
        <w:rPr>
          <w:sz w:val="22"/>
          <w:szCs w:val="22"/>
        </w:rPr>
        <w:t xml:space="preserve"> </w:t>
      </w:r>
      <w:r w:rsidR="00DB65E0" w:rsidRPr="008F0F70">
        <w:rPr>
          <w:sz w:val="22"/>
          <w:szCs w:val="22"/>
        </w:rPr>
        <w:t>5 mg/ml οφθαλμικές σταγόνες, διάλυμα</w:t>
      </w:r>
    </w:p>
    <w:bookmarkEnd w:id="0"/>
    <w:p w:rsidR="000166F1" w:rsidRDefault="000166F1" w:rsidP="00DB65E0">
      <w:pPr>
        <w:widowControl w:val="0"/>
        <w:jc w:val="both"/>
        <w:rPr>
          <w:b/>
          <w:sz w:val="22"/>
          <w:szCs w:val="22"/>
        </w:rPr>
      </w:pPr>
    </w:p>
    <w:p w:rsidR="00DB65E0" w:rsidRPr="008F0F70" w:rsidRDefault="00DB65E0" w:rsidP="00DB65E0">
      <w:pPr>
        <w:widowControl w:val="0"/>
        <w:jc w:val="both"/>
        <w:rPr>
          <w:b/>
          <w:sz w:val="22"/>
          <w:szCs w:val="22"/>
        </w:rPr>
      </w:pPr>
      <w:r w:rsidRPr="008F0F70">
        <w:rPr>
          <w:b/>
          <w:sz w:val="22"/>
          <w:szCs w:val="22"/>
        </w:rPr>
        <w:t>2. ΠΟΙΟΤΙΚΗ ΚΑΙ ΠΟΣΟΤΙΚΗ ΣΥΝΘΕΣΗ</w:t>
      </w:r>
    </w:p>
    <w:p w:rsidR="003F4CA4" w:rsidRPr="008F0F70" w:rsidRDefault="003F4CA4" w:rsidP="006C4353">
      <w:pPr>
        <w:widowControl w:val="0"/>
        <w:jc w:val="both"/>
        <w:rPr>
          <w:sz w:val="22"/>
          <w:szCs w:val="22"/>
        </w:rPr>
      </w:pPr>
    </w:p>
    <w:p w:rsidR="00DB65E0" w:rsidRPr="008F0F70" w:rsidRDefault="00DB65E0" w:rsidP="00010CE3">
      <w:pPr>
        <w:pStyle w:val="a4"/>
        <w:tabs>
          <w:tab w:val="clear" w:pos="4153"/>
          <w:tab w:val="clear" w:pos="8306"/>
        </w:tabs>
        <w:jc w:val="both"/>
        <w:rPr>
          <w:sz w:val="22"/>
          <w:szCs w:val="22"/>
          <w:lang w:val="el-GR"/>
        </w:rPr>
      </w:pPr>
      <w:r w:rsidRPr="008F0F70">
        <w:rPr>
          <w:sz w:val="22"/>
          <w:szCs w:val="22"/>
          <w:lang w:val="el-GR"/>
        </w:rPr>
        <w:t>Ένα ml διαλύματος οφθαλμικ</w:t>
      </w:r>
      <w:r w:rsidR="00010CE3" w:rsidRPr="008F0F70">
        <w:rPr>
          <w:sz w:val="22"/>
          <w:szCs w:val="22"/>
          <w:lang w:val="el-GR"/>
        </w:rPr>
        <w:t xml:space="preserve">ών </w:t>
      </w:r>
      <w:r w:rsidRPr="008F0F70">
        <w:rPr>
          <w:sz w:val="22"/>
          <w:szCs w:val="22"/>
          <w:lang w:val="el-GR"/>
        </w:rPr>
        <w:t>σταγόν</w:t>
      </w:r>
      <w:r w:rsidR="00010CE3" w:rsidRPr="008F0F70">
        <w:rPr>
          <w:sz w:val="22"/>
          <w:szCs w:val="22"/>
          <w:lang w:val="el-GR"/>
        </w:rPr>
        <w:t>ων</w:t>
      </w:r>
      <w:r w:rsidRPr="008F0F70">
        <w:rPr>
          <w:sz w:val="22"/>
          <w:szCs w:val="22"/>
          <w:lang w:val="el-GR"/>
        </w:rPr>
        <w:t xml:space="preserve"> περιέχει 5,12 mg ημιυδρική</w:t>
      </w:r>
      <w:r w:rsidR="00010CE3" w:rsidRPr="008F0F70">
        <w:rPr>
          <w:sz w:val="22"/>
          <w:szCs w:val="22"/>
          <w:lang w:val="el-GR"/>
        </w:rPr>
        <w:t>ς</w:t>
      </w:r>
      <w:r w:rsidRPr="008F0F70">
        <w:rPr>
          <w:sz w:val="22"/>
          <w:szCs w:val="22"/>
          <w:lang w:val="el-GR"/>
        </w:rPr>
        <w:t xml:space="preserve"> λεβοφλοξασίνη</w:t>
      </w:r>
      <w:r w:rsidR="00010CE3" w:rsidRPr="008F0F70">
        <w:rPr>
          <w:sz w:val="22"/>
          <w:szCs w:val="22"/>
          <w:lang w:val="el-GR"/>
        </w:rPr>
        <w:t>ς</w:t>
      </w:r>
      <w:r w:rsidRPr="008F0F70">
        <w:rPr>
          <w:sz w:val="22"/>
          <w:szCs w:val="22"/>
          <w:lang w:val="el-GR"/>
        </w:rPr>
        <w:t xml:space="preserve"> </w:t>
      </w:r>
      <w:r w:rsidR="00010CE3" w:rsidRPr="008F0F70">
        <w:rPr>
          <w:sz w:val="22"/>
          <w:szCs w:val="22"/>
          <w:lang w:val="el-GR"/>
        </w:rPr>
        <w:t xml:space="preserve">που </w:t>
      </w:r>
      <w:r w:rsidRPr="008F0F70">
        <w:rPr>
          <w:sz w:val="22"/>
          <w:szCs w:val="22"/>
          <w:lang w:val="el-GR"/>
        </w:rPr>
        <w:t>ισοδ</w:t>
      </w:r>
      <w:r w:rsidR="00010CE3" w:rsidRPr="008F0F70">
        <w:rPr>
          <w:sz w:val="22"/>
          <w:szCs w:val="22"/>
          <w:lang w:val="el-GR"/>
        </w:rPr>
        <w:t xml:space="preserve">υναμεί με </w:t>
      </w:r>
      <w:r w:rsidRPr="008F0F70">
        <w:rPr>
          <w:sz w:val="22"/>
          <w:szCs w:val="22"/>
          <w:lang w:val="el-GR"/>
        </w:rPr>
        <w:t>5,0 mg λεβοφλοξασίνης.</w:t>
      </w:r>
    </w:p>
    <w:p w:rsidR="00DB65E0" w:rsidRPr="008F0F70" w:rsidRDefault="00DB65E0" w:rsidP="003638BD">
      <w:pPr>
        <w:pStyle w:val="a4"/>
        <w:tabs>
          <w:tab w:val="clear" w:pos="4153"/>
          <w:tab w:val="clear" w:pos="8306"/>
        </w:tabs>
        <w:jc w:val="both"/>
        <w:rPr>
          <w:sz w:val="22"/>
          <w:szCs w:val="22"/>
          <w:lang w:val="el-GR"/>
        </w:rPr>
      </w:pPr>
      <w:r w:rsidRPr="008F0F70">
        <w:rPr>
          <w:sz w:val="22"/>
          <w:szCs w:val="22"/>
          <w:lang w:val="el-GR"/>
        </w:rPr>
        <w:t>Για το θεωρητικό όγκο μίας σταγόνας που ισοδυναμεί με 0,05 ml, η ποσότητα της φαρμακευτικής ουσίας είναι 0,256 mg ημιυδρική</w:t>
      </w:r>
      <w:r w:rsidR="003638BD" w:rsidRPr="008F0F70">
        <w:rPr>
          <w:sz w:val="22"/>
          <w:szCs w:val="22"/>
          <w:lang w:val="el-GR"/>
        </w:rPr>
        <w:t>ς</w:t>
      </w:r>
      <w:r w:rsidRPr="008F0F70">
        <w:rPr>
          <w:sz w:val="22"/>
          <w:szCs w:val="22"/>
          <w:lang w:val="el-GR"/>
        </w:rPr>
        <w:t xml:space="preserve"> λεβοφλοξασίνη</w:t>
      </w:r>
      <w:r w:rsidR="003638BD" w:rsidRPr="008F0F70">
        <w:rPr>
          <w:sz w:val="22"/>
          <w:szCs w:val="22"/>
          <w:lang w:val="el-GR"/>
        </w:rPr>
        <w:t>ς</w:t>
      </w:r>
      <w:r w:rsidRPr="008F0F70">
        <w:rPr>
          <w:sz w:val="22"/>
          <w:szCs w:val="22"/>
          <w:lang w:val="el-GR"/>
        </w:rPr>
        <w:t xml:space="preserve"> </w:t>
      </w:r>
      <w:r w:rsidR="003638BD" w:rsidRPr="008F0F70">
        <w:rPr>
          <w:sz w:val="22"/>
          <w:szCs w:val="22"/>
          <w:lang w:val="el-GR"/>
        </w:rPr>
        <w:t xml:space="preserve">που ισοδυναμεί </w:t>
      </w:r>
      <w:r w:rsidRPr="008F0F70">
        <w:rPr>
          <w:sz w:val="22"/>
          <w:szCs w:val="22"/>
          <w:lang w:val="el-GR"/>
        </w:rPr>
        <w:t>με 0,250 mg λεβοφλοξασίνης.</w:t>
      </w:r>
    </w:p>
    <w:p w:rsidR="00E77179" w:rsidRPr="008F0F70" w:rsidRDefault="00E77179" w:rsidP="006C4353">
      <w:pPr>
        <w:pStyle w:val="a4"/>
        <w:tabs>
          <w:tab w:val="clear" w:pos="4153"/>
          <w:tab w:val="clear" w:pos="8306"/>
        </w:tabs>
        <w:jc w:val="both"/>
        <w:rPr>
          <w:sz w:val="22"/>
          <w:szCs w:val="22"/>
          <w:lang w:val="el-GR"/>
        </w:rPr>
      </w:pPr>
    </w:p>
    <w:p w:rsidR="00DB65E0" w:rsidRPr="008F0F70" w:rsidRDefault="00DB65E0" w:rsidP="00DB65E0">
      <w:pPr>
        <w:rPr>
          <w:b/>
          <w:i/>
          <w:spacing w:val="-3"/>
          <w:sz w:val="22"/>
          <w:szCs w:val="22"/>
          <w:u w:val="single"/>
        </w:rPr>
      </w:pPr>
      <w:r w:rsidRPr="008F0F70">
        <w:rPr>
          <w:spacing w:val="-3"/>
          <w:sz w:val="22"/>
          <w:szCs w:val="22"/>
          <w:u w:val="single"/>
        </w:rPr>
        <w:t>Έκδοχο με γνωστές δράσεις:</w:t>
      </w:r>
    </w:p>
    <w:p w:rsidR="00DB65E0" w:rsidRPr="008F0F70" w:rsidRDefault="00DB65E0" w:rsidP="00133D96">
      <w:pPr>
        <w:pStyle w:val="a4"/>
        <w:tabs>
          <w:tab w:val="clear" w:pos="4153"/>
          <w:tab w:val="clear" w:pos="8306"/>
        </w:tabs>
        <w:jc w:val="both"/>
        <w:rPr>
          <w:sz w:val="22"/>
          <w:szCs w:val="22"/>
          <w:lang w:val="el-GR"/>
        </w:rPr>
      </w:pPr>
      <w:r w:rsidRPr="008F0F70">
        <w:rPr>
          <w:spacing w:val="-3"/>
          <w:sz w:val="22"/>
          <w:szCs w:val="22"/>
          <w:lang w:val="el-GR"/>
        </w:rPr>
        <w:t xml:space="preserve">Ένα ml </w:t>
      </w:r>
      <w:r w:rsidR="00000733" w:rsidRPr="008F0F70">
        <w:rPr>
          <w:sz w:val="22"/>
          <w:szCs w:val="22"/>
          <w:lang w:val="el-GR"/>
        </w:rPr>
        <w:t xml:space="preserve">διαλύματος οφθαλμικών σταγόνων </w:t>
      </w:r>
      <w:r w:rsidRPr="008F0F70">
        <w:rPr>
          <w:spacing w:val="-3"/>
          <w:sz w:val="22"/>
          <w:szCs w:val="22"/>
          <w:lang w:val="el-GR"/>
        </w:rPr>
        <w:t>περιέχει 0,05 mg χ</w:t>
      </w:r>
      <w:r w:rsidRPr="008F0F70">
        <w:rPr>
          <w:sz w:val="22"/>
          <w:szCs w:val="22"/>
          <w:lang w:val="el-GR"/>
        </w:rPr>
        <w:t>λωριούχο</w:t>
      </w:r>
      <w:r w:rsidR="00133D96" w:rsidRPr="008F0F70">
        <w:rPr>
          <w:sz w:val="22"/>
          <w:szCs w:val="22"/>
          <w:lang w:val="el-GR"/>
        </w:rPr>
        <w:t>υ</w:t>
      </w:r>
      <w:r w:rsidRPr="008F0F70">
        <w:rPr>
          <w:sz w:val="22"/>
          <w:szCs w:val="22"/>
          <w:lang w:val="el-GR"/>
        </w:rPr>
        <w:t xml:space="preserve"> βενζαλκ</w:t>
      </w:r>
      <w:r w:rsidR="00133D96" w:rsidRPr="008F0F70">
        <w:rPr>
          <w:sz w:val="22"/>
          <w:szCs w:val="22"/>
          <w:lang w:val="el-GR"/>
        </w:rPr>
        <w:t>ωνίου</w:t>
      </w:r>
      <w:r w:rsidRPr="008F0F70">
        <w:rPr>
          <w:i/>
          <w:spacing w:val="-3"/>
          <w:sz w:val="22"/>
          <w:szCs w:val="22"/>
          <w:lang w:val="el-GR"/>
        </w:rPr>
        <w:t>.</w:t>
      </w:r>
    </w:p>
    <w:p w:rsidR="00C43CA7" w:rsidRPr="008F0F70" w:rsidRDefault="00C43CA7" w:rsidP="006C4353">
      <w:pPr>
        <w:pStyle w:val="a4"/>
        <w:tabs>
          <w:tab w:val="clear" w:pos="4153"/>
          <w:tab w:val="clear" w:pos="8306"/>
        </w:tabs>
        <w:jc w:val="both"/>
        <w:rPr>
          <w:sz w:val="22"/>
          <w:szCs w:val="22"/>
          <w:lang w:val="el-GR" w:eastAsia="el-GR"/>
        </w:rPr>
      </w:pPr>
    </w:p>
    <w:p w:rsidR="00DB65E0" w:rsidRPr="008F0F70" w:rsidRDefault="00DB65E0" w:rsidP="00DB65E0">
      <w:pPr>
        <w:jc w:val="both"/>
        <w:rPr>
          <w:sz w:val="22"/>
          <w:szCs w:val="22"/>
        </w:rPr>
      </w:pPr>
      <w:r w:rsidRPr="008F0F70">
        <w:rPr>
          <w:sz w:val="22"/>
          <w:szCs w:val="22"/>
        </w:rPr>
        <w:t>Για τον πλήρη κατάλογο των εκδόχων, βλ. παράγραφο 6.1.</w:t>
      </w:r>
    </w:p>
    <w:p w:rsidR="00301742" w:rsidRPr="008F0F70" w:rsidRDefault="00301742" w:rsidP="006C4353">
      <w:pPr>
        <w:jc w:val="both"/>
        <w:rPr>
          <w:sz w:val="22"/>
          <w:szCs w:val="22"/>
        </w:rPr>
      </w:pPr>
    </w:p>
    <w:p w:rsidR="00DB65E0" w:rsidRPr="008F0F70" w:rsidRDefault="00DB65E0" w:rsidP="00DB65E0">
      <w:pPr>
        <w:ind w:left="567" w:hanging="567"/>
        <w:jc w:val="both"/>
        <w:rPr>
          <w:b/>
          <w:caps/>
          <w:sz w:val="22"/>
          <w:szCs w:val="22"/>
        </w:rPr>
      </w:pPr>
      <w:r w:rsidRPr="008F0F70">
        <w:rPr>
          <w:b/>
          <w:sz w:val="22"/>
          <w:szCs w:val="22"/>
        </w:rPr>
        <w:t>3.</w:t>
      </w:r>
      <w:r w:rsidRPr="008F0F70">
        <w:rPr>
          <w:b/>
          <w:sz w:val="22"/>
          <w:szCs w:val="22"/>
        </w:rPr>
        <w:tab/>
        <w:t>ΦΑΡΜΑΚΟΤΕΧΝΙΚΗ ΜΟΡΦΗ</w:t>
      </w:r>
    </w:p>
    <w:p w:rsidR="00E77179" w:rsidRPr="008F0F70" w:rsidRDefault="00E77179" w:rsidP="006C4353">
      <w:pPr>
        <w:jc w:val="both"/>
        <w:rPr>
          <w:sz w:val="22"/>
          <w:szCs w:val="22"/>
        </w:rPr>
      </w:pPr>
    </w:p>
    <w:p w:rsidR="00DB65E0" w:rsidRPr="008F0F70" w:rsidRDefault="00050963" w:rsidP="00050963">
      <w:pPr>
        <w:jc w:val="both"/>
        <w:rPr>
          <w:sz w:val="22"/>
          <w:szCs w:val="22"/>
        </w:rPr>
      </w:pPr>
      <w:r w:rsidRPr="008F0F70">
        <w:rPr>
          <w:sz w:val="22"/>
          <w:szCs w:val="22"/>
        </w:rPr>
        <w:t>Ο</w:t>
      </w:r>
      <w:r w:rsidR="00DB65E0" w:rsidRPr="008F0F70">
        <w:rPr>
          <w:sz w:val="22"/>
          <w:szCs w:val="22"/>
        </w:rPr>
        <w:t xml:space="preserve">φθαλμικές σταγόνες, διάλυμα. </w:t>
      </w:r>
    </w:p>
    <w:p w:rsidR="00DB65E0" w:rsidRPr="008F0F70" w:rsidRDefault="00DB65E0" w:rsidP="00DB65E0">
      <w:pPr>
        <w:ind w:left="567" w:hanging="567"/>
        <w:jc w:val="both"/>
        <w:rPr>
          <w:sz w:val="22"/>
          <w:szCs w:val="22"/>
        </w:rPr>
      </w:pPr>
      <w:r w:rsidRPr="008F0F70">
        <w:rPr>
          <w:sz w:val="22"/>
          <w:szCs w:val="22"/>
        </w:rPr>
        <w:t>Διαυγές, πρασινοκίτρινο υδατικό διάλυμα.</w:t>
      </w:r>
    </w:p>
    <w:p w:rsidR="00DB65E0" w:rsidRPr="008F0F70" w:rsidRDefault="00DB65E0" w:rsidP="00663EED">
      <w:pPr>
        <w:jc w:val="both"/>
        <w:rPr>
          <w:sz w:val="22"/>
          <w:szCs w:val="22"/>
        </w:rPr>
      </w:pPr>
      <w:r w:rsidRPr="008F0F70">
        <w:rPr>
          <w:spacing w:val="-3"/>
          <w:sz w:val="22"/>
          <w:szCs w:val="22"/>
        </w:rPr>
        <w:t xml:space="preserve">Ισότονο διάλυμα </w:t>
      </w:r>
      <w:r w:rsidR="00663EED" w:rsidRPr="008F0F70">
        <w:rPr>
          <w:spacing w:val="-3"/>
          <w:sz w:val="22"/>
          <w:szCs w:val="22"/>
        </w:rPr>
        <w:t xml:space="preserve">ρυθμισμένο </w:t>
      </w:r>
      <w:r w:rsidRPr="008F0F70">
        <w:rPr>
          <w:spacing w:val="-3"/>
          <w:sz w:val="22"/>
          <w:szCs w:val="22"/>
        </w:rPr>
        <w:t>στο φυσιολογικό εύρος τιμών του pH.</w:t>
      </w:r>
    </w:p>
    <w:p w:rsidR="00C43CA7" w:rsidRPr="008F0F70" w:rsidRDefault="00C43CA7" w:rsidP="006C4353">
      <w:pPr>
        <w:ind w:left="567" w:hanging="567"/>
        <w:jc w:val="both"/>
        <w:rPr>
          <w:b/>
          <w:caps/>
          <w:sz w:val="22"/>
          <w:szCs w:val="22"/>
        </w:rPr>
      </w:pPr>
    </w:p>
    <w:p w:rsidR="00DB65E0" w:rsidRPr="008F0F70" w:rsidRDefault="00DB65E0" w:rsidP="00DB65E0">
      <w:pPr>
        <w:ind w:left="567" w:hanging="567"/>
        <w:jc w:val="both"/>
        <w:rPr>
          <w:caps/>
          <w:sz w:val="22"/>
          <w:szCs w:val="22"/>
        </w:rPr>
      </w:pPr>
      <w:r w:rsidRPr="008F0F70">
        <w:rPr>
          <w:b/>
          <w:caps/>
          <w:sz w:val="22"/>
          <w:szCs w:val="22"/>
        </w:rPr>
        <w:t>4.</w:t>
      </w:r>
      <w:r w:rsidRPr="008F0F70">
        <w:rPr>
          <w:b/>
          <w:caps/>
          <w:sz w:val="22"/>
          <w:szCs w:val="22"/>
        </w:rPr>
        <w:tab/>
        <w:t>Κλινικά ΠΛΗΡΟΦΟΡΙΕΣ</w:t>
      </w:r>
    </w:p>
    <w:p w:rsidR="00301742" w:rsidRPr="008F0F70" w:rsidRDefault="00301742" w:rsidP="006C4353">
      <w:pPr>
        <w:jc w:val="both"/>
        <w:rPr>
          <w:sz w:val="22"/>
          <w:szCs w:val="22"/>
        </w:rPr>
      </w:pPr>
    </w:p>
    <w:p w:rsidR="00DB65E0" w:rsidRDefault="00DB65E0" w:rsidP="00DB65E0">
      <w:pPr>
        <w:ind w:left="567" w:hanging="567"/>
        <w:jc w:val="both"/>
        <w:rPr>
          <w:b/>
          <w:sz w:val="22"/>
          <w:szCs w:val="22"/>
          <w:lang w:val="en-US"/>
        </w:rPr>
      </w:pPr>
      <w:r w:rsidRPr="008F0F70">
        <w:rPr>
          <w:b/>
          <w:sz w:val="22"/>
          <w:szCs w:val="22"/>
        </w:rPr>
        <w:t>4.1</w:t>
      </w:r>
      <w:r w:rsidRPr="008F0F70">
        <w:rPr>
          <w:b/>
          <w:sz w:val="22"/>
          <w:szCs w:val="22"/>
        </w:rPr>
        <w:tab/>
        <w:t>Θεραπευτικές ενδείξεις</w:t>
      </w:r>
    </w:p>
    <w:p w:rsidR="001B713B" w:rsidRPr="001B713B" w:rsidRDefault="001B713B" w:rsidP="00DB65E0">
      <w:pPr>
        <w:ind w:left="567" w:hanging="567"/>
        <w:jc w:val="both"/>
        <w:rPr>
          <w:sz w:val="22"/>
          <w:szCs w:val="22"/>
          <w:lang w:val="en-US"/>
        </w:rPr>
      </w:pPr>
    </w:p>
    <w:p w:rsidR="00DB65E0" w:rsidRPr="000E2AD4" w:rsidRDefault="000E2AD4" w:rsidP="00FE5C4B">
      <w:pPr>
        <w:pStyle w:val="Web"/>
        <w:spacing w:before="0" w:beforeAutospacing="0" w:after="0"/>
        <w:jc w:val="both"/>
        <w:rPr>
          <w:color w:val="auto"/>
          <w:sz w:val="22"/>
          <w:szCs w:val="22"/>
          <w:lang w:val="en-US"/>
        </w:rPr>
      </w:pPr>
      <w:proofErr w:type="gramStart"/>
      <w:r>
        <w:rPr>
          <w:color w:val="auto"/>
          <w:sz w:val="22"/>
          <w:szCs w:val="22"/>
          <w:lang w:val="en-US"/>
        </w:rPr>
        <w:t xml:space="preserve">To LEXAVON </w:t>
      </w:r>
      <w:r w:rsidRPr="000E2AD4">
        <w:rPr>
          <w:color w:val="auto"/>
          <w:sz w:val="22"/>
          <w:szCs w:val="22"/>
        </w:rPr>
        <w:t>5 mg/ml οφθαλμικές σταγόνες, διάλυμα</w:t>
      </w:r>
      <w:r>
        <w:rPr>
          <w:color w:val="auto"/>
          <w:sz w:val="22"/>
          <w:szCs w:val="22"/>
          <w:lang w:val="en-US"/>
        </w:rPr>
        <w:t xml:space="preserve"> </w:t>
      </w:r>
      <w:r w:rsidR="00DB65E0" w:rsidRPr="008F0F70">
        <w:rPr>
          <w:color w:val="auto"/>
          <w:sz w:val="22"/>
          <w:szCs w:val="22"/>
        </w:rPr>
        <w:t xml:space="preserve">ενδείκνυται για την τοπική θεραπεία των εξωοφθαλμικών βακτηριακών λοιμώξεων σε ασθενείς ηλικίας ≥1 έτους </w:t>
      </w:r>
      <w:r w:rsidR="00FE5C4B" w:rsidRPr="008F0F70">
        <w:rPr>
          <w:color w:val="auto"/>
          <w:sz w:val="22"/>
          <w:szCs w:val="22"/>
        </w:rPr>
        <w:t xml:space="preserve">οι οποίες </w:t>
      </w:r>
      <w:r w:rsidR="00DB65E0" w:rsidRPr="008F0F70">
        <w:rPr>
          <w:color w:val="auto"/>
          <w:sz w:val="22"/>
          <w:szCs w:val="22"/>
        </w:rPr>
        <w:t>προκαλούνται από ευαίσθητους στη λεβοφλοξασίνη μικροοργανισμούς (βλ. επίσης παραγράφους 4.4 και 5.1).</w:t>
      </w:r>
      <w:proofErr w:type="gramEnd"/>
    </w:p>
    <w:p w:rsidR="00DB65E0" w:rsidRPr="000E2AD4" w:rsidRDefault="000E2AD4" w:rsidP="00DB65E0">
      <w:pPr>
        <w:pStyle w:val="Web"/>
        <w:spacing w:before="0" w:beforeAutospacing="0" w:after="0"/>
        <w:jc w:val="both"/>
        <w:rPr>
          <w:color w:val="auto"/>
          <w:sz w:val="22"/>
          <w:szCs w:val="22"/>
        </w:rPr>
      </w:pPr>
      <w:r>
        <w:rPr>
          <w:color w:val="auto"/>
          <w:sz w:val="22"/>
          <w:szCs w:val="22"/>
          <w:lang w:val="en-US"/>
        </w:rPr>
        <w:t>To</w:t>
      </w:r>
      <w:r w:rsidRPr="000E2AD4">
        <w:rPr>
          <w:color w:val="auto"/>
          <w:sz w:val="22"/>
          <w:szCs w:val="22"/>
        </w:rPr>
        <w:t xml:space="preserve"> </w:t>
      </w:r>
      <w:r>
        <w:rPr>
          <w:color w:val="auto"/>
          <w:sz w:val="22"/>
          <w:szCs w:val="22"/>
          <w:lang w:val="en-US"/>
        </w:rPr>
        <w:t>LEXAVON</w:t>
      </w:r>
      <w:r w:rsidRPr="000E2AD4">
        <w:rPr>
          <w:color w:val="auto"/>
          <w:sz w:val="22"/>
          <w:szCs w:val="22"/>
        </w:rPr>
        <w:t xml:space="preserve"> 5 mg/ml οφθαλμικές σταγόνες, διάλυμα </w:t>
      </w:r>
      <w:r w:rsidR="00DB65E0" w:rsidRPr="008F0F70">
        <w:rPr>
          <w:color w:val="auto"/>
          <w:sz w:val="22"/>
          <w:szCs w:val="22"/>
        </w:rPr>
        <w:t xml:space="preserve">ενδείκνυται σε ενήλικες, παιδιά ηλικίας </w:t>
      </w:r>
      <w:r w:rsidR="00DB65E0" w:rsidRPr="008F0F70">
        <w:rPr>
          <w:color w:val="auto"/>
          <w:sz w:val="22"/>
          <w:szCs w:val="22"/>
        </w:rPr>
        <w:sym w:font="Symbol" w:char="F0B3"/>
      </w:r>
      <w:r w:rsidR="00DB65E0" w:rsidRPr="008F0F70">
        <w:rPr>
          <w:color w:val="auto"/>
          <w:sz w:val="22"/>
          <w:szCs w:val="22"/>
        </w:rPr>
        <w:t> 1 έως 12 ετών και εφήβους ηλικίας 12 έως 18 ετών.</w:t>
      </w:r>
    </w:p>
    <w:p w:rsidR="00DB65E0" w:rsidRPr="008F0F70" w:rsidRDefault="00DB65E0" w:rsidP="00722AEB">
      <w:pPr>
        <w:pStyle w:val="Web"/>
        <w:spacing w:before="0" w:beforeAutospacing="0" w:after="0"/>
        <w:jc w:val="both"/>
        <w:rPr>
          <w:sz w:val="22"/>
          <w:szCs w:val="22"/>
        </w:rPr>
      </w:pPr>
      <w:r w:rsidRPr="008F0F70">
        <w:rPr>
          <w:color w:val="auto"/>
          <w:sz w:val="22"/>
          <w:szCs w:val="22"/>
        </w:rPr>
        <w:t xml:space="preserve">Θα πρέπει να λαμβάνονται υπόψη οι επίσημες οδηγίες αναφορικά με τη </w:t>
      </w:r>
      <w:r w:rsidR="00722AEB" w:rsidRPr="008F0F70">
        <w:rPr>
          <w:color w:val="auto"/>
          <w:sz w:val="22"/>
          <w:szCs w:val="22"/>
        </w:rPr>
        <w:t xml:space="preserve">σωστή </w:t>
      </w:r>
      <w:r w:rsidRPr="008F0F70">
        <w:rPr>
          <w:color w:val="auto"/>
          <w:sz w:val="22"/>
          <w:szCs w:val="22"/>
        </w:rPr>
        <w:t xml:space="preserve">χρήση </w:t>
      </w:r>
      <w:r w:rsidR="00722AEB" w:rsidRPr="008F0F70">
        <w:rPr>
          <w:color w:val="auto"/>
          <w:sz w:val="22"/>
          <w:szCs w:val="22"/>
        </w:rPr>
        <w:t xml:space="preserve">των </w:t>
      </w:r>
      <w:r w:rsidRPr="008F0F70">
        <w:rPr>
          <w:color w:val="auto"/>
          <w:sz w:val="22"/>
          <w:szCs w:val="22"/>
        </w:rPr>
        <w:t xml:space="preserve">αντιβακτηριακών παραγόντων. </w:t>
      </w:r>
    </w:p>
    <w:p w:rsidR="002168FC" w:rsidRPr="008F0F70" w:rsidRDefault="002168FC" w:rsidP="006C4353">
      <w:pPr>
        <w:pStyle w:val="Web"/>
        <w:jc w:val="both"/>
        <w:rPr>
          <w:color w:val="auto"/>
          <w:sz w:val="22"/>
          <w:szCs w:val="22"/>
        </w:rPr>
      </w:pPr>
    </w:p>
    <w:p w:rsidR="00DB65E0" w:rsidRPr="008F0F70" w:rsidRDefault="00DB65E0" w:rsidP="00DB65E0">
      <w:pPr>
        <w:jc w:val="both"/>
        <w:rPr>
          <w:b/>
          <w:sz w:val="22"/>
          <w:szCs w:val="22"/>
        </w:rPr>
      </w:pPr>
      <w:bookmarkStart w:id="1" w:name="POSOLOGY"/>
      <w:r w:rsidRPr="008F0F70">
        <w:rPr>
          <w:b/>
          <w:sz w:val="22"/>
          <w:szCs w:val="22"/>
        </w:rPr>
        <w:t>4.2</w:t>
      </w:r>
      <w:r w:rsidRPr="008F0F70">
        <w:rPr>
          <w:b/>
          <w:sz w:val="22"/>
          <w:szCs w:val="22"/>
        </w:rPr>
        <w:tab/>
        <w:t>Δοσολογία και τρόπος χορήγησης</w:t>
      </w:r>
    </w:p>
    <w:bookmarkEnd w:id="1"/>
    <w:p w:rsidR="00734152" w:rsidRPr="008F0F70" w:rsidRDefault="00734152" w:rsidP="006C4353">
      <w:pPr>
        <w:jc w:val="both"/>
        <w:rPr>
          <w:i/>
          <w:iCs/>
          <w:sz w:val="22"/>
          <w:szCs w:val="22"/>
        </w:rPr>
      </w:pPr>
    </w:p>
    <w:p w:rsidR="00DB65E0" w:rsidRPr="008F0F70" w:rsidRDefault="00DB65E0" w:rsidP="00DB65E0">
      <w:pPr>
        <w:jc w:val="both"/>
        <w:rPr>
          <w:i/>
          <w:sz w:val="22"/>
          <w:szCs w:val="22"/>
        </w:rPr>
      </w:pPr>
      <w:r w:rsidRPr="008F0F70">
        <w:rPr>
          <w:i/>
          <w:sz w:val="22"/>
          <w:szCs w:val="22"/>
        </w:rPr>
        <w:t>Δοσολογία</w:t>
      </w:r>
    </w:p>
    <w:p w:rsidR="00DB65E0" w:rsidRPr="008F0F70" w:rsidRDefault="00DB65E0" w:rsidP="00DB65E0">
      <w:pPr>
        <w:jc w:val="both"/>
        <w:rPr>
          <w:i/>
          <w:sz w:val="22"/>
          <w:szCs w:val="22"/>
        </w:rPr>
      </w:pPr>
      <w:r w:rsidRPr="008F0F70">
        <w:rPr>
          <w:sz w:val="22"/>
          <w:szCs w:val="22"/>
        </w:rPr>
        <w:t>Για όλους τους ασθενείς ενστάλαξη μίας ή δύο σταγόνων στον προσβεβλημένο οφθαλμό (οφθαλμούς) κάθε δύο ώρες έως και 8 φορές την ημέρα με τον ασθενή αφυπνισμένο για τις πρώτες δύο ημέρες και</w:t>
      </w:r>
      <w:r w:rsidR="00145535" w:rsidRPr="008F0F70">
        <w:rPr>
          <w:sz w:val="22"/>
          <w:szCs w:val="22"/>
        </w:rPr>
        <w:t>,</w:t>
      </w:r>
      <w:r w:rsidRPr="008F0F70">
        <w:rPr>
          <w:sz w:val="22"/>
          <w:szCs w:val="22"/>
        </w:rPr>
        <w:t xml:space="preserve"> στη συνέχεια</w:t>
      </w:r>
      <w:r w:rsidR="00145535" w:rsidRPr="008F0F70">
        <w:rPr>
          <w:sz w:val="22"/>
          <w:szCs w:val="22"/>
        </w:rPr>
        <w:t>,</w:t>
      </w:r>
      <w:r w:rsidRPr="008F0F70">
        <w:rPr>
          <w:sz w:val="22"/>
          <w:szCs w:val="22"/>
        </w:rPr>
        <w:t xml:space="preserve"> τέσσερις φορές ημερησίως τις ημέρες 3 έως 5.</w:t>
      </w:r>
    </w:p>
    <w:p w:rsidR="00DB65E0" w:rsidRPr="008F0F70" w:rsidRDefault="00DB65E0" w:rsidP="00DB65E0">
      <w:pPr>
        <w:jc w:val="both"/>
        <w:rPr>
          <w:sz w:val="22"/>
          <w:szCs w:val="22"/>
        </w:rPr>
      </w:pPr>
      <w:r w:rsidRPr="008F0F70">
        <w:rPr>
          <w:sz w:val="22"/>
          <w:szCs w:val="22"/>
        </w:rPr>
        <w:t>Σε περίπτωση που χρησιμοποιούνται ταυτόχρονα διαφορετικά τοπικά οφθαλμολογικά φάρμακα, απαιτείται μεσοδιάστημα τουλάχιστον 15 λεπτών μεταξύ των ενσταλάξεων.</w:t>
      </w:r>
    </w:p>
    <w:p w:rsidR="0034551F" w:rsidRPr="008F0F70" w:rsidRDefault="0034551F" w:rsidP="006C4353">
      <w:pPr>
        <w:jc w:val="both"/>
        <w:rPr>
          <w:sz w:val="22"/>
          <w:szCs w:val="22"/>
        </w:rPr>
      </w:pPr>
    </w:p>
    <w:p w:rsidR="00DB65E0" w:rsidRPr="008F0F70" w:rsidRDefault="00DB65E0" w:rsidP="008A2911">
      <w:pPr>
        <w:jc w:val="both"/>
        <w:rPr>
          <w:sz w:val="22"/>
          <w:szCs w:val="22"/>
        </w:rPr>
      </w:pPr>
      <w:r w:rsidRPr="008F0F70">
        <w:rPr>
          <w:sz w:val="22"/>
          <w:szCs w:val="22"/>
        </w:rPr>
        <w:t xml:space="preserve">Για να αποφευχθεί η </w:t>
      </w:r>
      <w:r w:rsidR="00145535" w:rsidRPr="008F0F70">
        <w:rPr>
          <w:sz w:val="22"/>
          <w:szCs w:val="22"/>
        </w:rPr>
        <w:t>επι</w:t>
      </w:r>
      <w:r w:rsidRPr="008F0F70">
        <w:rPr>
          <w:sz w:val="22"/>
          <w:szCs w:val="22"/>
        </w:rPr>
        <w:t xml:space="preserve">μόλυνση του ρύγχους </w:t>
      </w:r>
      <w:r w:rsidR="008A2911" w:rsidRPr="008F0F70">
        <w:rPr>
          <w:sz w:val="22"/>
          <w:szCs w:val="22"/>
        </w:rPr>
        <w:t xml:space="preserve">του σταγονόμετρου </w:t>
      </w:r>
      <w:r w:rsidRPr="008F0F70">
        <w:rPr>
          <w:sz w:val="22"/>
          <w:szCs w:val="22"/>
        </w:rPr>
        <w:t>και του διαλύματος, το ρύγχος του σταγονόμετρου δεν πρέπει να έρθει σε επαφή με τα βλέφαρα ή τις περιβάλλουσες περιοχές.</w:t>
      </w:r>
    </w:p>
    <w:p w:rsidR="0042649C" w:rsidRPr="008F0F70" w:rsidRDefault="0042649C" w:rsidP="006C4353">
      <w:pPr>
        <w:autoSpaceDE w:val="0"/>
        <w:autoSpaceDN w:val="0"/>
        <w:adjustRightInd w:val="0"/>
        <w:jc w:val="both"/>
        <w:rPr>
          <w:sz w:val="22"/>
          <w:szCs w:val="22"/>
        </w:rPr>
      </w:pPr>
    </w:p>
    <w:p w:rsidR="00DB65E0" w:rsidRPr="008F0F70" w:rsidRDefault="00DB65E0" w:rsidP="00DB65E0">
      <w:pPr>
        <w:jc w:val="both"/>
        <w:rPr>
          <w:sz w:val="22"/>
          <w:szCs w:val="22"/>
        </w:rPr>
      </w:pPr>
      <w:r w:rsidRPr="008F0F70">
        <w:rPr>
          <w:sz w:val="22"/>
          <w:szCs w:val="22"/>
        </w:rPr>
        <w:t>Η διάρκεια της θεραπείας εξαρτάται από τη σοβαρότητα της διαταραχής και την κλινική και βακτηριολογική πορεία της λοίμωξης. Η συνήθης διάρκεια της θεραπείας είναι 5 ημέρες.</w:t>
      </w:r>
    </w:p>
    <w:p w:rsidR="004F2E9B" w:rsidRPr="008F0F70" w:rsidRDefault="004F2E9B" w:rsidP="006C4353">
      <w:pPr>
        <w:jc w:val="both"/>
        <w:rPr>
          <w:sz w:val="22"/>
          <w:szCs w:val="22"/>
        </w:rPr>
      </w:pPr>
    </w:p>
    <w:p w:rsidR="00DB65E0" w:rsidRPr="008F0F70" w:rsidRDefault="00DB65E0" w:rsidP="00DB65E0">
      <w:pPr>
        <w:jc w:val="both"/>
        <w:rPr>
          <w:sz w:val="22"/>
          <w:szCs w:val="22"/>
        </w:rPr>
      </w:pPr>
      <w:r w:rsidRPr="008F0F70">
        <w:rPr>
          <w:sz w:val="22"/>
          <w:szCs w:val="22"/>
        </w:rPr>
        <w:t xml:space="preserve">Η ασφάλεια και </w:t>
      </w:r>
      <w:r w:rsidR="008430A4" w:rsidRPr="008F0F70">
        <w:rPr>
          <w:sz w:val="22"/>
          <w:szCs w:val="22"/>
        </w:rPr>
        <w:t xml:space="preserve">η </w:t>
      </w:r>
      <w:r w:rsidRPr="008F0F70">
        <w:rPr>
          <w:sz w:val="22"/>
          <w:szCs w:val="22"/>
        </w:rPr>
        <w:t xml:space="preserve">αποτελεσματικότητα στη θεραπεία ελκών του κερατοειδούς και νεογνικής οφθαλμίας δεν έχουν τεκμηριωθεί. </w:t>
      </w:r>
    </w:p>
    <w:p w:rsidR="002168FC" w:rsidRPr="008F0F70" w:rsidRDefault="002168FC" w:rsidP="006C4353">
      <w:pPr>
        <w:ind w:hanging="567"/>
        <w:jc w:val="both"/>
        <w:rPr>
          <w:sz w:val="22"/>
          <w:szCs w:val="22"/>
        </w:rPr>
      </w:pPr>
    </w:p>
    <w:p w:rsidR="00DB65E0" w:rsidRPr="008F0F70" w:rsidRDefault="000E2AD4" w:rsidP="00DB65E0">
      <w:pPr>
        <w:jc w:val="both"/>
        <w:rPr>
          <w:sz w:val="22"/>
          <w:szCs w:val="22"/>
        </w:rPr>
      </w:pPr>
      <w:proofErr w:type="gramStart"/>
      <w:r>
        <w:rPr>
          <w:sz w:val="22"/>
          <w:szCs w:val="22"/>
          <w:lang w:val="en-US"/>
        </w:rPr>
        <w:lastRenderedPageBreak/>
        <w:t>To</w:t>
      </w:r>
      <w:r w:rsidRPr="000E2AD4">
        <w:rPr>
          <w:sz w:val="22"/>
          <w:szCs w:val="22"/>
        </w:rPr>
        <w:t xml:space="preserve"> </w:t>
      </w:r>
      <w:r w:rsidR="00CA19B6">
        <w:rPr>
          <w:sz w:val="22"/>
          <w:szCs w:val="22"/>
          <w:lang w:val="en-US"/>
        </w:rPr>
        <w:t>LEXAVON</w:t>
      </w:r>
      <w:r w:rsidR="00CA19B6" w:rsidRPr="00CA19B6">
        <w:rPr>
          <w:sz w:val="22"/>
          <w:szCs w:val="22"/>
        </w:rPr>
        <w:t xml:space="preserve"> </w:t>
      </w:r>
      <w:r w:rsidRPr="000E2AD4">
        <w:rPr>
          <w:sz w:val="22"/>
          <w:szCs w:val="22"/>
        </w:rPr>
        <w:t xml:space="preserve">5 mg/ml οφθαλμικές σταγόνες, διάλυμα </w:t>
      </w:r>
      <w:r w:rsidR="00DB65E0" w:rsidRPr="008F0F70">
        <w:rPr>
          <w:sz w:val="22"/>
          <w:szCs w:val="22"/>
        </w:rPr>
        <w:t xml:space="preserve">δεν συνιστάται για χρήση σε παιδιά </w:t>
      </w:r>
      <w:r w:rsidR="008430A4" w:rsidRPr="008F0F70">
        <w:rPr>
          <w:sz w:val="22"/>
          <w:szCs w:val="22"/>
        </w:rPr>
        <w:t xml:space="preserve">ηλικίας </w:t>
      </w:r>
      <w:r w:rsidR="00DB65E0" w:rsidRPr="008F0F70">
        <w:rPr>
          <w:sz w:val="22"/>
          <w:szCs w:val="22"/>
        </w:rPr>
        <w:t>κάτω του 1 έτους λόγω έλλειψης στοιχείων για την ασφάλεια και την αποτελεσματικότητα.</w:t>
      </w:r>
      <w:proofErr w:type="gramEnd"/>
    </w:p>
    <w:p w:rsidR="00961002" w:rsidRPr="008F0F70" w:rsidRDefault="00961002" w:rsidP="00961002">
      <w:pPr>
        <w:jc w:val="both"/>
        <w:rPr>
          <w:sz w:val="22"/>
          <w:szCs w:val="22"/>
        </w:rPr>
      </w:pPr>
    </w:p>
    <w:p w:rsidR="00DB65E0" w:rsidRPr="008F0F70" w:rsidRDefault="00DB65E0" w:rsidP="00DB65E0">
      <w:pPr>
        <w:jc w:val="both"/>
        <w:rPr>
          <w:b/>
          <w:i/>
          <w:sz w:val="22"/>
          <w:szCs w:val="22"/>
        </w:rPr>
      </w:pPr>
      <w:r w:rsidRPr="008F0F70">
        <w:rPr>
          <w:i/>
          <w:sz w:val="22"/>
          <w:szCs w:val="22"/>
        </w:rPr>
        <w:t>Παιδιατρικός πληθυσμός</w:t>
      </w:r>
    </w:p>
    <w:p w:rsidR="00DB65E0" w:rsidRPr="008F0F70" w:rsidRDefault="00DB65E0" w:rsidP="00DB65E0">
      <w:pPr>
        <w:jc w:val="both"/>
        <w:rPr>
          <w:b/>
          <w:i/>
          <w:sz w:val="22"/>
          <w:szCs w:val="22"/>
        </w:rPr>
      </w:pPr>
      <w:r w:rsidRPr="008F0F70">
        <w:rPr>
          <w:sz w:val="22"/>
          <w:szCs w:val="22"/>
        </w:rPr>
        <w:t xml:space="preserve">Η δοσολογία είναι ίδια με αυτήν των ενηλίκων και των παιδιών ηλικίας </w:t>
      </w:r>
      <w:r w:rsidRPr="008F0F70">
        <w:rPr>
          <w:sz w:val="22"/>
          <w:szCs w:val="22"/>
        </w:rPr>
        <w:sym w:font="Symbol" w:char="F0B3"/>
      </w:r>
      <w:r w:rsidRPr="008F0F70">
        <w:rPr>
          <w:sz w:val="22"/>
          <w:szCs w:val="22"/>
        </w:rPr>
        <w:t> 1 έτους.</w:t>
      </w:r>
    </w:p>
    <w:p w:rsidR="00301046" w:rsidRPr="008F0F70" w:rsidRDefault="00301046" w:rsidP="00301046">
      <w:pPr>
        <w:jc w:val="both"/>
        <w:rPr>
          <w:sz w:val="22"/>
          <w:szCs w:val="22"/>
        </w:rPr>
      </w:pPr>
      <w:r w:rsidRPr="008F0F70">
        <w:rPr>
          <w:sz w:val="22"/>
          <w:szCs w:val="22"/>
        </w:rPr>
        <w:t xml:space="preserve">Η ασφάλεια και η αποτελεσματικότητα της λεβοφλοξασίνης 5 mg/ml σε παιδιά ηλικίας </w:t>
      </w:r>
      <w:r w:rsidRPr="008F0F70">
        <w:rPr>
          <w:sz w:val="22"/>
          <w:szCs w:val="22"/>
        </w:rPr>
        <w:sym w:font="Symbol" w:char="F0B3"/>
      </w:r>
      <w:r w:rsidRPr="008F0F70">
        <w:rPr>
          <w:sz w:val="22"/>
          <w:szCs w:val="22"/>
        </w:rPr>
        <w:t> 1 έτους έχουν τεκμηριωθεί.</w:t>
      </w:r>
    </w:p>
    <w:p w:rsidR="007D6148" w:rsidRPr="008F0F70" w:rsidRDefault="007D6148" w:rsidP="007D6148">
      <w:pPr>
        <w:jc w:val="both"/>
        <w:rPr>
          <w:b/>
          <w:i/>
          <w:sz w:val="22"/>
          <w:szCs w:val="22"/>
        </w:rPr>
      </w:pPr>
      <w:r w:rsidRPr="008F0F70">
        <w:rPr>
          <w:sz w:val="22"/>
          <w:szCs w:val="22"/>
        </w:rPr>
        <w:t>Η ασφάλεια και η αποτελεσματικότητα της λεβοφλοξασίνης 5 mg/ml σε παιδιά ηλικίας &lt; 1 έτους δεν έχουν ακόμη τεκμηριωθεί.</w:t>
      </w:r>
    </w:p>
    <w:p w:rsidR="00DB65E0" w:rsidRPr="008F0F70" w:rsidRDefault="00DB65E0" w:rsidP="00DB65E0">
      <w:pPr>
        <w:jc w:val="both"/>
        <w:rPr>
          <w:sz w:val="22"/>
          <w:szCs w:val="22"/>
        </w:rPr>
      </w:pPr>
      <w:r w:rsidRPr="008F0F70">
        <w:rPr>
          <w:sz w:val="22"/>
          <w:szCs w:val="22"/>
        </w:rPr>
        <w:t>Δεν υπάρχουν διαθέσιμα δεδομένα.</w:t>
      </w:r>
    </w:p>
    <w:p w:rsidR="00961002" w:rsidRPr="008F0F70" w:rsidRDefault="00961002" w:rsidP="00961002">
      <w:pPr>
        <w:ind w:hanging="567"/>
        <w:jc w:val="both"/>
        <w:rPr>
          <w:sz w:val="22"/>
          <w:szCs w:val="22"/>
        </w:rPr>
      </w:pPr>
    </w:p>
    <w:p w:rsidR="00DB65E0" w:rsidRPr="008F0F70" w:rsidRDefault="00DB65E0" w:rsidP="00DB65E0">
      <w:pPr>
        <w:ind w:left="567" w:hanging="567"/>
        <w:jc w:val="both"/>
        <w:rPr>
          <w:i/>
          <w:sz w:val="22"/>
          <w:szCs w:val="22"/>
        </w:rPr>
      </w:pPr>
      <w:r w:rsidRPr="008F0F70">
        <w:rPr>
          <w:i/>
          <w:sz w:val="22"/>
          <w:szCs w:val="22"/>
        </w:rPr>
        <w:t>Χρήση σε ηλικιωμένους ασθενείς</w:t>
      </w:r>
    </w:p>
    <w:p w:rsidR="00DB65E0" w:rsidRPr="008F0F70" w:rsidRDefault="00DB65E0" w:rsidP="00DB65E0">
      <w:pPr>
        <w:ind w:left="567" w:hanging="567"/>
        <w:jc w:val="both"/>
        <w:rPr>
          <w:sz w:val="22"/>
          <w:szCs w:val="22"/>
        </w:rPr>
      </w:pPr>
      <w:r w:rsidRPr="008F0F70">
        <w:rPr>
          <w:sz w:val="22"/>
          <w:szCs w:val="22"/>
        </w:rPr>
        <w:t>Δεν απαιτείται προσαρμογή της δοσολογίας.</w:t>
      </w:r>
    </w:p>
    <w:p w:rsidR="002168FC" w:rsidRPr="008F0F70" w:rsidRDefault="002168FC" w:rsidP="006C4353">
      <w:pPr>
        <w:ind w:left="567" w:hanging="567"/>
        <w:jc w:val="both"/>
        <w:rPr>
          <w:sz w:val="22"/>
          <w:szCs w:val="22"/>
        </w:rPr>
      </w:pPr>
    </w:p>
    <w:p w:rsidR="00DB65E0" w:rsidRPr="008F0F70" w:rsidRDefault="00DB65E0" w:rsidP="00DB65E0">
      <w:pPr>
        <w:ind w:left="567" w:hanging="567"/>
        <w:jc w:val="both"/>
        <w:rPr>
          <w:i/>
          <w:sz w:val="22"/>
          <w:szCs w:val="22"/>
        </w:rPr>
      </w:pPr>
      <w:r w:rsidRPr="008F0F70">
        <w:rPr>
          <w:i/>
          <w:sz w:val="22"/>
          <w:szCs w:val="22"/>
        </w:rPr>
        <w:t>Τρόπος χορήγησης</w:t>
      </w:r>
    </w:p>
    <w:p w:rsidR="00DB65E0" w:rsidRPr="008F0F70" w:rsidRDefault="00DB65E0" w:rsidP="00DB65E0">
      <w:pPr>
        <w:jc w:val="both"/>
        <w:rPr>
          <w:sz w:val="22"/>
          <w:szCs w:val="22"/>
        </w:rPr>
      </w:pPr>
      <w:r w:rsidRPr="008F0F70">
        <w:rPr>
          <w:sz w:val="22"/>
          <w:szCs w:val="22"/>
        </w:rPr>
        <w:t>Οφθαλμική χρήση.</w:t>
      </w:r>
    </w:p>
    <w:p w:rsidR="00734152" w:rsidRPr="008F0F70" w:rsidRDefault="00734152" w:rsidP="006C4353">
      <w:pPr>
        <w:jc w:val="both"/>
        <w:rPr>
          <w:sz w:val="22"/>
          <w:szCs w:val="22"/>
        </w:rPr>
      </w:pPr>
    </w:p>
    <w:p w:rsidR="002168FC" w:rsidRPr="008F0F70" w:rsidRDefault="002168FC" w:rsidP="006C4353">
      <w:pPr>
        <w:jc w:val="both"/>
        <w:rPr>
          <w:b/>
          <w:sz w:val="22"/>
          <w:szCs w:val="22"/>
        </w:rPr>
      </w:pPr>
    </w:p>
    <w:p w:rsidR="00DB65E0" w:rsidRPr="008F0F70" w:rsidRDefault="00CA19B6" w:rsidP="00DB65E0">
      <w:pPr>
        <w:ind w:left="567" w:hanging="567"/>
        <w:jc w:val="both"/>
        <w:rPr>
          <w:b/>
          <w:sz w:val="22"/>
          <w:szCs w:val="22"/>
        </w:rPr>
      </w:pPr>
      <w:r>
        <w:rPr>
          <w:b/>
          <w:sz w:val="22"/>
          <w:szCs w:val="22"/>
        </w:rPr>
        <w:t>4.3</w:t>
      </w:r>
      <w:r>
        <w:rPr>
          <w:b/>
          <w:sz w:val="22"/>
          <w:szCs w:val="22"/>
        </w:rPr>
        <w:tab/>
      </w:r>
      <w:r w:rsidR="00DB65E0" w:rsidRPr="008F0F70">
        <w:rPr>
          <w:b/>
          <w:sz w:val="22"/>
          <w:szCs w:val="22"/>
        </w:rPr>
        <w:t>Αντενδείξεις</w:t>
      </w:r>
    </w:p>
    <w:p w:rsidR="00BA17BB" w:rsidRPr="008F0F70" w:rsidRDefault="00BA17BB" w:rsidP="006C4353">
      <w:pPr>
        <w:ind w:left="567" w:hanging="567"/>
        <w:jc w:val="both"/>
        <w:rPr>
          <w:b/>
          <w:sz w:val="22"/>
          <w:szCs w:val="22"/>
        </w:rPr>
      </w:pPr>
    </w:p>
    <w:p w:rsidR="00DB65E0" w:rsidRPr="008F0F70" w:rsidRDefault="00DB65E0" w:rsidP="00DB65E0">
      <w:pPr>
        <w:jc w:val="both"/>
        <w:rPr>
          <w:sz w:val="22"/>
          <w:szCs w:val="22"/>
        </w:rPr>
      </w:pPr>
      <w:r w:rsidRPr="008F0F70">
        <w:rPr>
          <w:sz w:val="22"/>
          <w:szCs w:val="22"/>
        </w:rPr>
        <w:t>Υπερευαισθησία στη δραστική ουσία λεβοφλοξασίνη, σε άλλες κινολόνες, ή σε κάποιο από τα έκδοχα που αναφέρονται στην παράγραφο 6.1, π.χ., χλωριούχο βενζαλκώνιο.</w:t>
      </w:r>
    </w:p>
    <w:p w:rsidR="008A4B55" w:rsidRPr="008F0F70" w:rsidRDefault="008A4B55" w:rsidP="006C4353">
      <w:pPr>
        <w:jc w:val="both"/>
        <w:rPr>
          <w:sz w:val="22"/>
          <w:szCs w:val="22"/>
        </w:rPr>
      </w:pPr>
    </w:p>
    <w:p w:rsidR="00DB65E0" w:rsidRPr="008F0F70" w:rsidRDefault="00DB65E0" w:rsidP="00DB65E0">
      <w:pPr>
        <w:jc w:val="both"/>
        <w:rPr>
          <w:sz w:val="22"/>
          <w:szCs w:val="22"/>
        </w:rPr>
      </w:pPr>
      <w:r w:rsidRPr="008F0F70">
        <w:rPr>
          <w:sz w:val="22"/>
          <w:szCs w:val="22"/>
        </w:rPr>
        <w:t>Οι οφθαλμικές σταγόνες λεβοφλοξασίνης 5 mg/ml δεν πρέπει να χορηγούνται κατά την κύηση και το θηλασμό.</w:t>
      </w:r>
    </w:p>
    <w:p w:rsidR="00E3278C" w:rsidRPr="008F0F70" w:rsidRDefault="00E3278C" w:rsidP="006C4353">
      <w:pPr>
        <w:ind w:left="567" w:hanging="567"/>
        <w:jc w:val="both"/>
        <w:rPr>
          <w:sz w:val="22"/>
          <w:szCs w:val="22"/>
        </w:rPr>
      </w:pPr>
    </w:p>
    <w:p w:rsidR="0086551C" w:rsidRPr="008F0F70" w:rsidRDefault="0086551C" w:rsidP="006C4353">
      <w:pPr>
        <w:ind w:left="567" w:hanging="567"/>
        <w:jc w:val="both"/>
        <w:rPr>
          <w:b/>
          <w:sz w:val="22"/>
          <w:szCs w:val="22"/>
        </w:rPr>
      </w:pPr>
    </w:p>
    <w:p w:rsidR="008508B5" w:rsidRPr="008F0F70" w:rsidRDefault="008508B5" w:rsidP="008508B5">
      <w:pPr>
        <w:ind w:left="567" w:hanging="567"/>
        <w:jc w:val="both"/>
        <w:rPr>
          <w:b/>
          <w:sz w:val="22"/>
          <w:szCs w:val="22"/>
        </w:rPr>
      </w:pPr>
      <w:r w:rsidRPr="008F0F70">
        <w:rPr>
          <w:b/>
          <w:sz w:val="22"/>
          <w:szCs w:val="22"/>
        </w:rPr>
        <w:t>4.4</w:t>
      </w:r>
      <w:r w:rsidRPr="008F0F70">
        <w:rPr>
          <w:b/>
          <w:sz w:val="22"/>
          <w:szCs w:val="22"/>
        </w:rPr>
        <w:tab/>
        <w:t>Ειδικές προειδοποιήσεις και προφυλάξεις κατά τη χρήση</w:t>
      </w:r>
    </w:p>
    <w:p w:rsidR="00C531F8" w:rsidRPr="008F0F70" w:rsidRDefault="00C531F8" w:rsidP="006C4353">
      <w:pPr>
        <w:ind w:left="567" w:hanging="567"/>
        <w:jc w:val="both"/>
        <w:rPr>
          <w:sz w:val="22"/>
          <w:szCs w:val="22"/>
        </w:rPr>
      </w:pPr>
    </w:p>
    <w:p w:rsidR="00DB65E0" w:rsidRPr="008F0F70" w:rsidRDefault="00CA19B6" w:rsidP="00DB65E0">
      <w:pPr>
        <w:jc w:val="both"/>
        <w:rPr>
          <w:sz w:val="22"/>
          <w:szCs w:val="22"/>
        </w:rPr>
      </w:pPr>
      <w:bookmarkStart w:id="2" w:name="CLINICAL_PRECAUTIONS"/>
      <w:r w:rsidRPr="00CA19B6">
        <w:rPr>
          <w:sz w:val="22"/>
          <w:szCs w:val="22"/>
        </w:rPr>
        <w:t xml:space="preserve">To LEXAVON 5 mg/ml οφθαλμικές σταγόνες, διάλυμα </w:t>
      </w:r>
      <w:r w:rsidR="00DB65E0" w:rsidRPr="008F0F70">
        <w:rPr>
          <w:sz w:val="22"/>
          <w:szCs w:val="22"/>
        </w:rPr>
        <w:t xml:space="preserve">δεν πρέπει να ενίονται κάτω από τον επιπεφυκότα. Το διάλυμα δεν πρέπει να εισάγεται απευθείας στον εμπρόσθιο θάλαμο του οφθαλμού. </w:t>
      </w:r>
    </w:p>
    <w:bookmarkEnd w:id="2"/>
    <w:p w:rsidR="00734152" w:rsidRPr="008F0F70" w:rsidRDefault="00734152" w:rsidP="006C4353">
      <w:pPr>
        <w:shd w:val="clear" w:color="auto" w:fill="FFFFFF"/>
        <w:jc w:val="both"/>
        <w:rPr>
          <w:sz w:val="22"/>
          <w:szCs w:val="22"/>
        </w:rPr>
      </w:pPr>
    </w:p>
    <w:p w:rsidR="00DB65E0" w:rsidRPr="008F0F70" w:rsidRDefault="00DB65E0" w:rsidP="004C7274">
      <w:pPr>
        <w:shd w:val="clear" w:color="auto" w:fill="FFFFFF"/>
        <w:jc w:val="both"/>
        <w:rPr>
          <w:sz w:val="22"/>
          <w:szCs w:val="22"/>
        </w:rPr>
      </w:pPr>
      <w:r w:rsidRPr="008F0F70">
        <w:rPr>
          <w:sz w:val="22"/>
          <w:szCs w:val="22"/>
        </w:rPr>
        <w:t>Οι συστηματικ</w:t>
      </w:r>
      <w:r w:rsidR="008508B5" w:rsidRPr="008F0F70">
        <w:rPr>
          <w:sz w:val="22"/>
          <w:szCs w:val="22"/>
        </w:rPr>
        <w:t>ώς χορηγούμενες</w:t>
      </w:r>
      <w:r w:rsidRPr="008F0F70">
        <w:rPr>
          <w:sz w:val="22"/>
          <w:szCs w:val="22"/>
        </w:rPr>
        <w:t xml:space="preserve"> φθοροκινολόνες έχουν συσχετιστεί με αντιδράσεις υπερευαισθησίας</w:t>
      </w:r>
      <w:r w:rsidR="004C7274" w:rsidRPr="008F0F70">
        <w:rPr>
          <w:sz w:val="22"/>
          <w:szCs w:val="22"/>
        </w:rPr>
        <w:t>,</w:t>
      </w:r>
      <w:r w:rsidRPr="008F0F70">
        <w:rPr>
          <w:sz w:val="22"/>
          <w:szCs w:val="22"/>
        </w:rPr>
        <w:t xml:space="preserve"> ακόμη και μετά από εφάπαξ δόση. Εάν εμφανιστεί αλλεργική αντίδραση με τη λεβοφλοξασίνη, </w:t>
      </w:r>
      <w:r w:rsidR="004C7274" w:rsidRPr="008F0F70">
        <w:rPr>
          <w:sz w:val="22"/>
          <w:szCs w:val="22"/>
        </w:rPr>
        <w:t xml:space="preserve">η φαρμακευτική αγωγή </w:t>
      </w:r>
      <w:r w:rsidRPr="008F0F70">
        <w:rPr>
          <w:sz w:val="22"/>
          <w:szCs w:val="22"/>
        </w:rPr>
        <w:t>θα πρέπει να διακοπεί.</w:t>
      </w:r>
    </w:p>
    <w:p w:rsidR="00F9192C" w:rsidRPr="008F0F70" w:rsidRDefault="00F9192C" w:rsidP="006C4353">
      <w:pPr>
        <w:shd w:val="clear" w:color="auto" w:fill="FFFFFF"/>
        <w:jc w:val="both"/>
        <w:rPr>
          <w:sz w:val="22"/>
          <w:szCs w:val="22"/>
        </w:rPr>
      </w:pPr>
    </w:p>
    <w:p w:rsidR="00DB65E0" w:rsidRPr="008F0F70" w:rsidRDefault="00DB65E0" w:rsidP="000F5FB0">
      <w:pPr>
        <w:shd w:val="clear" w:color="auto" w:fill="FFFFFF"/>
        <w:jc w:val="both"/>
        <w:rPr>
          <w:sz w:val="22"/>
          <w:szCs w:val="22"/>
        </w:rPr>
      </w:pPr>
      <w:r w:rsidRPr="008F0F70">
        <w:rPr>
          <w:sz w:val="22"/>
          <w:szCs w:val="22"/>
        </w:rPr>
        <w:t xml:space="preserve">Όπως </w:t>
      </w:r>
      <w:r w:rsidR="00B11481" w:rsidRPr="008F0F70">
        <w:rPr>
          <w:sz w:val="22"/>
          <w:szCs w:val="22"/>
        </w:rPr>
        <w:t xml:space="preserve">συμβαίνει και </w:t>
      </w:r>
      <w:r w:rsidRPr="008F0F70">
        <w:rPr>
          <w:sz w:val="22"/>
          <w:szCs w:val="22"/>
        </w:rPr>
        <w:t>με άλλα αντιλοιμώδη, η παρατεταμένη χρήση μπορεί να προκαλέσει υπέρμετρη ανάπτυξη μη ευαίσθητων μικροοργανισμών, συμπεριλαμβανομένων των μυκήτων. Εάν παρουσιαστεί επιδείνωση της λοίμωξης, ή αν δεν σημειωθεί κλινική βελτίωση εντός ευλόγου χρονικού διαστήματος, η χρήση πρέπει να διακοπεί και να χορηγηθεί εναλλακτική θεραπεία. Όποτε το υπαγορεύει η κλινική αξιολόγηση, ο ασθεν</w:t>
      </w:r>
      <w:r w:rsidR="000F5FB0" w:rsidRPr="008F0F70">
        <w:rPr>
          <w:sz w:val="22"/>
          <w:szCs w:val="22"/>
        </w:rPr>
        <w:t xml:space="preserve">ής </w:t>
      </w:r>
      <w:r w:rsidRPr="008F0F70">
        <w:rPr>
          <w:sz w:val="22"/>
          <w:szCs w:val="22"/>
        </w:rPr>
        <w:t xml:space="preserve">θα πρέπει να εξετάζεται με τη βοήθεια </w:t>
      </w:r>
      <w:r w:rsidR="000903AB" w:rsidRPr="008F0F70">
        <w:rPr>
          <w:sz w:val="22"/>
          <w:szCs w:val="22"/>
        </w:rPr>
        <w:t xml:space="preserve">τεχνικών </w:t>
      </w:r>
      <w:r w:rsidRPr="008F0F70">
        <w:rPr>
          <w:sz w:val="22"/>
          <w:szCs w:val="22"/>
        </w:rPr>
        <w:t>μεγέθυνσης, όπως είναι η βιομικροσκοπία με σχισμοειδή λυχνία και</w:t>
      </w:r>
      <w:r w:rsidR="000F5FB0" w:rsidRPr="008F0F70">
        <w:rPr>
          <w:sz w:val="22"/>
          <w:szCs w:val="22"/>
        </w:rPr>
        <w:t>,</w:t>
      </w:r>
      <w:r w:rsidRPr="008F0F70">
        <w:rPr>
          <w:sz w:val="22"/>
          <w:szCs w:val="22"/>
        </w:rPr>
        <w:t xml:space="preserve"> όπου απαιτείται, με χρώση φλουορεσκεΐνης.</w:t>
      </w:r>
    </w:p>
    <w:p w:rsidR="0049578E" w:rsidRPr="008F0F70" w:rsidRDefault="0049578E" w:rsidP="006C4353">
      <w:pPr>
        <w:shd w:val="clear" w:color="auto" w:fill="FFFFFF"/>
        <w:jc w:val="both"/>
        <w:rPr>
          <w:sz w:val="22"/>
          <w:szCs w:val="22"/>
        </w:rPr>
      </w:pPr>
    </w:p>
    <w:p w:rsidR="00CA19B6" w:rsidRPr="00CA19B6" w:rsidRDefault="00DB65E0" w:rsidP="00CA19B6">
      <w:pPr>
        <w:shd w:val="clear" w:color="auto" w:fill="FFFFFF"/>
        <w:jc w:val="both"/>
        <w:rPr>
          <w:sz w:val="22"/>
          <w:szCs w:val="22"/>
        </w:rPr>
      </w:pPr>
      <w:bookmarkStart w:id="3" w:name="PREGNANCY"/>
      <w:r w:rsidRPr="008F0F70">
        <w:rPr>
          <w:sz w:val="22"/>
          <w:szCs w:val="22"/>
        </w:rPr>
        <w:t>Οι ασθενείς με εξωοφθαλμικές βακτηριακές λοιμώξεις δεν πρέπει να φορούν φακούς επαφής.</w:t>
      </w:r>
      <w:bookmarkEnd w:id="3"/>
    </w:p>
    <w:p w:rsidR="00DB65E0" w:rsidRPr="008F0F70" w:rsidRDefault="00CA19B6" w:rsidP="00DB65E0">
      <w:pPr>
        <w:tabs>
          <w:tab w:val="left" w:pos="0"/>
        </w:tabs>
        <w:jc w:val="both"/>
        <w:rPr>
          <w:sz w:val="22"/>
          <w:szCs w:val="22"/>
        </w:rPr>
      </w:pPr>
      <w:r w:rsidRPr="00CA19B6">
        <w:rPr>
          <w:sz w:val="22"/>
          <w:szCs w:val="22"/>
        </w:rPr>
        <w:t xml:space="preserve">To LEXAVON 5 mg/ml οφθαλμικές σταγόνες, διάλυμα </w:t>
      </w:r>
      <w:r w:rsidR="00DB65E0" w:rsidRPr="008F0F70">
        <w:rPr>
          <w:sz w:val="22"/>
          <w:szCs w:val="22"/>
        </w:rPr>
        <w:t>περιέχ</w:t>
      </w:r>
      <w:r>
        <w:rPr>
          <w:sz w:val="22"/>
          <w:szCs w:val="22"/>
        </w:rPr>
        <w:t>ει</w:t>
      </w:r>
      <w:r w:rsidR="00DB65E0" w:rsidRPr="008F0F70">
        <w:rPr>
          <w:sz w:val="22"/>
          <w:szCs w:val="22"/>
        </w:rPr>
        <w:t xml:space="preserve"> χλωριούχο βενζαλκώνιο, το οποίο ενδέχεται να προκαλέσει οφθαλμικό ερεθισμό.</w:t>
      </w:r>
    </w:p>
    <w:p w:rsidR="00C77546" w:rsidRPr="008F0F70" w:rsidRDefault="00C77546" w:rsidP="006C4353">
      <w:pPr>
        <w:tabs>
          <w:tab w:val="left" w:pos="0"/>
        </w:tabs>
        <w:jc w:val="both"/>
        <w:rPr>
          <w:sz w:val="22"/>
          <w:szCs w:val="22"/>
        </w:rPr>
      </w:pPr>
    </w:p>
    <w:p w:rsidR="00DB65E0" w:rsidRPr="008F0F70" w:rsidRDefault="00DB65E0" w:rsidP="00DB65E0">
      <w:pPr>
        <w:rPr>
          <w:b/>
          <w:i/>
          <w:spacing w:val="-3"/>
          <w:sz w:val="22"/>
          <w:szCs w:val="22"/>
        </w:rPr>
      </w:pPr>
      <w:r w:rsidRPr="008F0F70">
        <w:rPr>
          <w:i/>
          <w:spacing w:val="-3"/>
          <w:sz w:val="22"/>
          <w:szCs w:val="22"/>
        </w:rPr>
        <w:t>Παιδιατρικός πληθυσμός</w:t>
      </w:r>
    </w:p>
    <w:p w:rsidR="00DB65E0" w:rsidRPr="008F0F70" w:rsidRDefault="00DB65E0" w:rsidP="00DB65E0">
      <w:pPr>
        <w:tabs>
          <w:tab w:val="left" w:pos="0"/>
        </w:tabs>
        <w:jc w:val="both"/>
        <w:rPr>
          <w:sz w:val="22"/>
          <w:szCs w:val="22"/>
        </w:rPr>
      </w:pPr>
      <w:r w:rsidRPr="008F0F70">
        <w:rPr>
          <w:spacing w:val="-3"/>
          <w:sz w:val="22"/>
          <w:szCs w:val="22"/>
        </w:rPr>
        <w:t xml:space="preserve">Οι ειδικές προειδοποιήσεις και προφυλάξεις κατά τη χρήση είναι ίδιες για τους ενήλικες και τα παιδιά ηλικίας </w:t>
      </w:r>
      <w:r w:rsidRPr="008F0F70">
        <w:rPr>
          <w:spacing w:val="-3"/>
          <w:sz w:val="22"/>
          <w:szCs w:val="22"/>
        </w:rPr>
        <w:sym w:font="Symbol" w:char="F0B3"/>
      </w:r>
      <w:r w:rsidRPr="008F0F70">
        <w:rPr>
          <w:spacing w:val="-3"/>
          <w:sz w:val="22"/>
          <w:szCs w:val="22"/>
        </w:rPr>
        <w:t> 1 έτους.</w:t>
      </w:r>
    </w:p>
    <w:p w:rsidR="0086551C" w:rsidRPr="008F0F70" w:rsidRDefault="0086551C" w:rsidP="006C4353">
      <w:pPr>
        <w:tabs>
          <w:tab w:val="left" w:pos="0"/>
          <w:tab w:val="left" w:pos="720"/>
        </w:tabs>
        <w:jc w:val="both"/>
        <w:rPr>
          <w:sz w:val="22"/>
          <w:szCs w:val="22"/>
        </w:rPr>
      </w:pPr>
    </w:p>
    <w:p w:rsidR="00DB65E0" w:rsidRPr="008F0F70" w:rsidRDefault="00DB65E0" w:rsidP="00DB65E0">
      <w:pPr>
        <w:ind w:left="567" w:hanging="567"/>
        <w:jc w:val="both"/>
        <w:rPr>
          <w:b/>
          <w:sz w:val="22"/>
          <w:szCs w:val="22"/>
        </w:rPr>
      </w:pPr>
      <w:r w:rsidRPr="008F0F70">
        <w:rPr>
          <w:b/>
          <w:sz w:val="22"/>
          <w:szCs w:val="22"/>
        </w:rPr>
        <w:t>4.5</w:t>
      </w:r>
      <w:r w:rsidRPr="008F0F70">
        <w:rPr>
          <w:b/>
          <w:sz w:val="22"/>
          <w:szCs w:val="22"/>
        </w:rPr>
        <w:tab/>
        <w:t>Αλληλεπιδράσεις με άλλα φαρμακευτικά προϊόντα και άλλες μορφές αλληλεπίδρασης</w:t>
      </w:r>
    </w:p>
    <w:p w:rsidR="00417E29" w:rsidRPr="008F0F70" w:rsidRDefault="00417E29" w:rsidP="006C4353">
      <w:pPr>
        <w:jc w:val="both"/>
        <w:rPr>
          <w:sz w:val="22"/>
          <w:szCs w:val="22"/>
        </w:rPr>
      </w:pPr>
    </w:p>
    <w:p w:rsidR="00DB65E0" w:rsidRPr="008F0F70" w:rsidRDefault="00DB65E0" w:rsidP="006A5883">
      <w:pPr>
        <w:jc w:val="both"/>
        <w:rPr>
          <w:sz w:val="22"/>
          <w:szCs w:val="22"/>
        </w:rPr>
      </w:pPr>
      <w:r w:rsidRPr="008F0F70">
        <w:rPr>
          <w:sz w:val="22"/>
          <w:szCs w:val="22"/>
        </w:rPr>
        <w:t>Δεν έχουν διεξαχθεί ειδικές μελέτες αλληλεπίδρασης με</w:t>
      </w:r>
      <w:r w:rsidR="00CA19B6" w:rsidRPr="00CA19B6">
        <w:t xml:space="preserve"> </w:t>
      </w:r>
      <w:r w:rsidR="00CA19B6" w:rsidRPr="00CA19B6">
        <w:rPr>
          <w:sz w:val="22"/>
          <w:szCs w:val="22"/>
        </w:rPr>
        <w:t>LEXAVON 5 mg/ml οφθαλμικές σταγόνες, διάλυμα</w:t>
      </w:r>
      <w:r w:rsidRPr="008F0F70">
        <w:rPr>
          <w:sz w:val="22"/>
          <w:szCs w:val="22"/>
        </w:rPr>
        <w:t xml:space="preserve">. Δεδομένου ότι οι μέγιστες συγκεντρώσεις της λεβοφλοξασίνης στο πλάσμα μετά από οφθαλμική χορήγηση είναι τουλάχιστον 1000 φορές χαμηλότερες από εκείνες που έχουν αναφερθεί μετά από τις τυπικές από του στόματος δόσεις, οι αλληλεπιδράσεις που έχουν αναφερθεί </w:t>
      </w:r>
      <w:r w:rsidR="006A5883" w:rsidRPr="008F0F70">
        <w:rPr>
          <w:sz w:val="22"/>
          <w:szCs w:val="22"/>
        </w:rPr>
        <w:t xml:space="preserve">για τη </w:t>
      </w:r>
      <w:r w:rsidRPr="008F0F70">
        <w:rPr>
          <w:sz w:val="22"/>
          <w:szCs w:val="22"/>
        </w:rPr>
        <w:t xml:space="preserve">συστηματική χρήση δεν αναμένονται να είναι κλινικά σημαντικές κατά τη χρήση των οφθαλμικών σταγόνων </w:t>
      </w:r>
      <w:r w:rsidR="006A5883" w:rsidRPr="008F0F70">
        <w:rPr>
          <w:sz w:val="22"/>
          <w:szCs w:val="22"/>
        </w:rPr>
        <w:t>λ</w:t>
      </w:r>
      <w:r w:rsidRPr="008F0F70">
        <w:rPr>
          <w:sz w:val="22"/>
          <w:szCs w:val="22"/>
        </w:rPr>
        <w:t>εβοφλοξασίνης 5 mg/ml. Σε περίπτωση που χρησιμοποιούνται ταυτόχρονα διαφορετικά τοπικά οφθαλμολογικά φάρμακα, απαιτείται μεσοδιάστημα τουλάχιστον 15 λεπτών μεταξύ των ενσταλάξεων.</w:t>
      </w:r>
    </w:p>
    <w:p w:rsidR="00E3278C" w:rsidRPr="008F0F70" w:rsidRDefault="00E3278C" w:rsidP="006C4353">
      <w:pPr>
        <w:jc w:val="both"/>
        <w:rPr>
          <w:sz w:val="22"/>
          <w:szCs w:val="22"/>
        </w:rPr>
      </w:pPr>
    </w:p>
    <w:p w:rsidR="00DB65E0" w:rsidRPr="008F0F70" w:rsidRDefault="00DB65E0" w:rsidP="00DB65E0">
      <w:pPr>
        <w:rPr>
          <w:b/>
          <w:i/>
          <w:spacing w:val="-3"/>
          <w:sz w:val="22"/>
          <w:szCs w:val="22"/>
        </w:rPr>
      </w:pPr>
      <w:r w:rsidRPr="008F0F70">
        <w:rPr>
          <w:i/>
          <w:spacing w:val="-3"/>
          <w:sz w:val="22"/>
          <w:szCs w:val="22"/>
        </w:rPr>
        <w:t>Παιδιατρικός πληθυσμός</w:t>
      </w:r>
    </w:p>
    <w:p w:rsidR="00DB65E0" w:rsidRPr="008F0F70" w:rsidRDefault="00DB65E0" w:rsidP="00DB65E0">
      <w:pPr>
        <w:jc w:val="both"/>
        <w:rPr>
          <w:sz w:val="22"/>
          <w:szCs w:val="22"/>
        </w:rPr>
      </w:pPr>
      <w:r w:rsidRPr="008F0F70">
        <w:rPr>
          <w:spacing w:val="-3"/>
          <w:sz w:val="22"/>
          <w:szCs w:val="22"/>
        </w:rPr>
        <w:t>Δεν έχουν πραγματοποιηθεί μελέτες αλληλεπίδρασης.</w:t>
      </w:r>
    </w:p>
    <w:p w:rsidR="00D92540" w:rsidRPr="008F0F70" w:rsidRDefault="00D92540" w:rsidP="006C4353">
      <w:pPr>
        <w:jc w:val="both"/>
        <w:rPr>
          <w:sz w:val="22"/>
          <w:szCs w:val="22"/>
        </w:rPr>
      </w:pPr>
    </w:p>
    <w:p w:rsidR="00DB65E0" w:rsidRPr="008F0F70" w:rsidRDefault="00DB65E0" w:rsidP="00DB65E0">
      <w:pPr>
        <w:tabs>
          <w:tab w:val="left" w:pos="0"/>
          <w:tab w:val="left" w:pos="567"/>
        </w:tabs>
        <w:ind w:left="360" w:hanging="360"/>
        <w:jc w:val="both"/>
        <w:rPr>
          <w:b/>
          <w:sz w:val="22"/>
          <w:szCs w:val="22"/>
        </w:rPr>
      </w:pPr>
      <w:r w:rsidRPr="008F0F70">
        <w:rPr>
          <w:b/>
          <w:sz w:val="22"/>
          <w:szCs w:val="22"/>
        </w:rPr>
        <w:t>4.6</w:t>
      </w:r>
      <w:r w:rsidRPr="008F0F70">
        <w:rPr>
          <w:b/>
          <w:sz w:val="22"/>
          <w:szCs w:val="22"/>
        </w:rPr>
        <w:tab/>
      </w:r>
      <w:r w:rsidRPr="008F0F70">
        <w:rPr>
          <w:b/>
          <w:sz w:val="22"/>
          <w:szCs w:val="22"/>
        </w:rPr>
        <w:tab/>
        <w:t>Γονιμότητα, κύηση και γαλουχία</w:t>
      </w:r>
    </w:p>
    <w:p w:rsidR="004B4F42" w:rsidRPr="008F0F70" w:rsidRDefault="004B4F42" w:rsidP="006C4353">
      <w:pPr>
        <w:jc w:val="both"/>
        <w:rPr>
          <w:sz w:val="22"/>
          <w:szCs w:val="22"/>
        </w:rPr>
      </w:pPr>
    </w:p>
    <w:p w:rsidR="00DB65E0" w:rsidRPr="008F0F70" w:rsidRDefault="00DB65E0" w:rsidP="006A5883">
      <w:pPr>
        <w:jc w:val="both"/>
        <w:rPr>
          <w:sz w:val="22"/>
          <w:szCs w:val="22"/>
        </w:rPr>
      </w:pPr>
      <w:r w:rsidRPr="008F0F70">
        <w:rPr>
          <w:sz w:val="22"/>
          <w:szCs w:val="22"/>
        </w:rPr>
        <w:t xml:space="preserve">Η χορήγηση </w:t>
      </w:r>
      <w:r w:rsidR="00CA19B6" w:rsidRPr="00CA19B6">
        <w:rPr>
          <w:sz w:val="22"/>
          <w:szCs w:val="22"/>
        </w:rPr>
        <w:t>LEXAVON 5 mg/ml οφθαλμικές σταγόνες, διάλυμα</w:t>
      </w:r>
      <w:r w:rsidR="00CA19B6">
        <w:rPr>
          <w:sz w:val="22"/>
          <w:szCs w:val="22"/>
        </w:rPr>
        <w:t xml:space="preserve"> </w:t>
      </w:r>
      <w:r w:rsidRPr="008F0F70">
        <w:rPr>
          <w:sz w:val="22"/>
          <w:szCs w:val="22"/>
        </w:rPr>
        <w:t xml:space="preserve">κατά τη διάρκεια της κύησης και της γαλουχίας αντενδείκνυται καθώς σε μελέτες σε ζώα έχει αποδειχθεί ότι οι αναστολείς της γυράσης προκαλούν διαταραχές της ανάπτυξης των αρθρώσεων που φέρουν βάρος. Μέχρι σήμερα, δεν είναι γνωστές οι συγκεντρώσεις της λεβοφλοξασίνης που επιτυγχάνονται </w:t>
      </w:r>
      <w:r w:rsidR="006A5883" w:rsidRPr="008F0F70">
        <w:rPr>
          <w:sz w:val="22"/>
          <w:szCs w:val="22"/>
        </w:rPr>
        <w:t xml:space="preserve">στο πλάσμα </w:t>
      </w:r>
      <w:r w:rsidRPr="008F0F70">
        <w:rPr>
          <w:sz w:val="22"/>
          <w:szCs w:val="22"/>
        </w:rPr>
        <w:t>μετά την εφαρμογή σε προσβεβλημένους οφθαλμούς.</w:t>
      </w:r>
    </w:p>
    <w:p w:rsidR="005F7383" w:rsidRPr="008F0F70" w:rsidRDefault="005F7383" w:rsidP="006C4353">
      <w:pPr>
        <w:jc w:val="both"/>
        <w:rPr>
          <w:sz w:val="22"/>
          <w:szCs w:val="22"/>
        </w:rPr>
      </w:pPr>
    </w:p>
    <w:p w:rsidR="00DB65E0" w:rsidRPr="008F0F70" w:rsidRDefault="00DB65E0" w:rsidP="00DB65E0">
      <w:pPr>
        <w:jc w:val="both"/>
        <w:rPr>
          <w:i/>
          <w:sz w:val="22"/>
          <w:szCs w:val="22"/>
        </w:rPr>
      </w:pPr>
      <w:r w:rsidRPr="008F0F70">
        <w:rPr>
          <w:i/>
          <w:sz w:val="22"/>
          <w:szCs w:val="22"/>
        </w:rPr>
        <w:t>Εγκυμοσύνη</w:t>
      </w:r>
    </w:p>
    <w:p w:rsidR="00DB65E0" w:rsidRPr="008F0F70" w:rsidRDefault="00DB65E0" w:rsidP="00DB65E0">
      <w:pPr>
        <w:jc w:val="both"/>
        <w:rPr>
          <w:sz w:val="22"/>
          <w:szCs w:val="22"/>
        </w:rPr>
      </w:pPr>
      <w:r w:rsidRPr="008F0F70">
        <w:rPr>
          <w:sz w:val="22"/>
          <w:szCs w:val="22"/>
        </w:rPr>
        <w:t>Δεν υπάρχουν επαρκή στοιχεία από τη χρήση της λεβοφλοξασίνης σε έγκυες γυναίκες. Μελέτες σε πειραματόζωα δεν δείχνουν άμεσες ή έμμεσες επιβλαβείς επιδράσεις όσον αφορά την τοξικότητα του αναπαραγωγικού (βλ. παράγραφο 5.3). Ο ενδεχόμενος κίνδυνος για τον άνθρωπο δεν είναι γνωστός.</w:t>
      </w:r>
    </w:p>
    <w:p w:rsidR="00DB65E0" w:rsidRPr="008F0F70" w:rsidRDefault="00CA19B6" w:rsidP="006A5883">
      <w:pPr>
        <w:jc w:val="both"/>
        <w:rPr>
          <w:sz w:val="22"/>
          <w:szCs w:val="22"/>
        </w:rPr>
      </w:pPr>
      <w:r w:rsidRPr="00CA19B6">
        <w:rPr>
          <w:sz w:val="22"/>
          <w:szCs w:val="22"/>
        </w:rPr>
        <w:t xml:space="preserve">To LEXAVON 5 mg/ml οφθαλμικές σταγόνες, διάλυμα </w:t>
      </w:r>
      <w:r>
        <w:rPr>
          <w:sz w:val="22"/>
          <w:szCs w:val="22"/>
        </w:rPr>
        <w:t xml:space="preserve">θα πρέπει να χρησιμοποιείται </w:t>
      </w:r>
      <w:r w:rsidR="00DB65E0" w:rsidRPr="008F0F70">
        <w:rPr>
          <w:sz w:val="22"/>
          <w:szCs w:val="22"/>
        </w:rPr>
        <w:t xml:space="preserve">κατά τη διάρκεια της εγκυμοσύνης μόνο εάν το δυνητικό όφελος για τη μητέρα υπερτερεί του δυνητικού κινδύνου για το έμβρυο. </w:t>
      </w:r>
    </w:p>
    <w:p w:rsidR="005926A7" w:rsidRPr="008F0F70" w:rsidRDefault="005926A7" w:rsidP="005926A7">
      <w:pPr>
        <w:jc w:val="both"/>
        <w:rPr>
          <w:sz w:val="22"/>
          <w:szCs w:val="22"/>
        </w:rPr>
      </w:pPr>
    </w:p>
    <w:p w:rsidR="00DB65E0" w:rsidRPr="008F0F70" w:rsidRDefault="00DB65E0" w:rsidP="00DB65E0">
      <w:pPr>
        <w:jc w:val="both"/>
        <w:rPr>
          <w:i/>
          <w:sz w:val="22"/>
          <w:szCs w:val="22"/>
        </w:rPr>
      </w:pPr>
      <w:r w:rsidRPr="008F0F70">
        <w:rPr>
          <w:i/>
          <w:sz w:val="22"/>
          <w:szCs w:val="22"/>
        </w:rPr>
        <w:t>Θηλασμός</w:t>
      </w:r>
    </w:p>
    <w:p w:rsidR="00DB65E0" w:rsidRPr="008F0F70" w:rsidRDefault="00DB65E0" w:rsidP="00DD3C5D">
      <w:pPr>
        <w:jc w:val="both"/>
        <w:rPr>
          <w:sz w:val="22"/>
          <w:szCs w:val="22"/>
        </w:rPr>
      </w:pPr>
      <w:r w:rsidRPr="008F0F70">
        <w:rPr>
          <w:sz w:val="22"/>
          <w:szCs w:val="22"/>
        </w:rPr>
        <w:t xml:space="preserve">Η λεβοφλοξασίνη απεκκρίνεται στο ανθρώπινο γάλα. Σε θεραπευτικές δόσεις λεβοφλοξασίνης, ωστόσο, δεν αναμένονται επιδράσεις στο παιδί που θηλάζει. </w:t>
      </w:r>
      <w:r w:rsidR="00CA19B6" w:rsidRPr="00CA19B6">
        <w:rPr>
          <w:sz w:val="22"/>
          <w:szCs w:val="22"/>
        </w:rPr>
        <w:t xml:space="preserve">To LEXAVON 5 mg/ml οφθαλμικές σταγόνες, διάλυμα </w:t>
      </w:r>
      <w:r w:rsidRPr="008F0F70">
        <w:rPr>
          <w:sz w:val="22"/>
          <w:szCs w:val="22"/>
        </w:rPr>
        <w:t>θα πρέπει να χρησιμοποι</w:t>
      </w:r>
      <w:r w:rsidR="00CA19B6">
        <w:rPr>
          <w:sz w:val="22"/>
          <w:szCs w:val="22"/>
        </w:rPr>
        <w:t>είται</w:t>
      </w:r>
      <w:r w:rsidRPr="008F0F70">
        <w:rPr>
          <w:sz w:val="22"/>
          <w:szCs w:val="22"/>
        </w:rPr>
        <w:t xml:space="preserve"> κατά τη διάρκεια της γαλουχίας μόνο εάν το δυνητικό όφελος για τη μητέρα υπερτερεί του δυνητικού κινδύνου για το παιδί που θηλάζει.</w:t>
      </w:r>
    </w:p>
    <w:p w:rsidR="005926A7" w:rsidRPr="008F0F70" w:rsidRDefault="005926A7" w:rsidP="009B612F">
      <w:pPr>
        <w:jc w:val="both"/>
        <w:rPr>
          <w:sz w:val="22"/>
          <w:szCs w:val="22"/>
        </w:rPr>
      </w:pPr>
    </w:p>
    <w:p w:rsidR="00DB65E0" w:rsidRPr="008F0F70" w:rsidRDefault="00DB65E0" w:rsidP="00DB65E0">
      <w:pPr>
        <w:pStyle w:val="a3"/>
        <w:rPr>
          <w:i/>
          <w:sz w:val="22"/>
          <w:szCs w:val="22"/>
        </w:rPr>
      </w:pPr>
      <w:r w:rsidRPr="008F0F70">
        <w:rPr>
          <w:i/>
          <w:sz w:val="22"/>
          <w:szCs w:val="22"/>
        </w:rPr>
        <w:t>Γονιμότητα</w:t>
      </w:r>
    </w:p>
    <w:p w:rsidR="00DB65E0" w:rsidRPr="008F0F70" w:rsidRDefault="00DB65E0" w:rsidP="00DB65E0">
      <w:pPr>
        <w:jc w:val="both"/>
        <w:rPr>
          <w:sz w:val="22"/>
          <w:szCs w:val="22"/>
        </w:rPr>
      </w:pPr>
      <w:r w:rsidRPr="008F0F70">
        <w:rPr>
          <w:spacing w:val="-3"/>
          <w:sz w:val="22"/>
          <w:szCs w:val="22"/>
        </w:rPr>
        <w:t>Η λεβοφλοξασίνη δεν προκάλεσε διαταραχή της γονιμότητας σε αρουραίους σε εκθέσεις σημαντικά μεγαλύτερες της μέγιστης έκθεσης στον άνθρωπο μετά από οφθαλμική χορήγηση (βλ. παράγραφο 5.3).</w:t>
      </w:r>
    </w:p>
    <w:p w:rsidR="009B612F" w:rsidRPr="008F0F70" w:rsidRDefault="009B612F" w:rsidP="006C4353">
      <w:pPr>
        <w:jc w:val="both"/>
        <w:rPr>
          <w:sz w:val="22"/>
          <w:szCs w:val="22"/>
        </w:rPr>
      </w:pPr>
    </w:p>
    <w:p w:rsidR="000342D1" w:rsidRPr="008F0F70" w:rsidRDefault="000342D1" w:rsidP="006C4353">
      <w:pPr>
        <w:jc w:val="both"/>
        <w:rPr>
          <w:sz w:val="22"/>
          <w:szCs w:val="22"/>
        </w:rPr>
      </w:pPr>
    </w:p>
    <w:p w:rsidR="00DB65E0" w:rsidRPr="008F0F70" w:rsidRDefault="00DB65E0" w:rsidP="00DB65E0">
      <w:pPr>
        <w:tabs>
          <w:tab w:val="left" w:pos="0"/>
          <w:tab w:val="left" w:pos="720"/>
        </w:tabs>
        <w:jc w:val="both"/>
        <w:rPr>
          <w:b/>
          <w:sz w:val="22"/>
          <w:szCs w:val="22"/>
        </w:rPr>
      </w:pPr>
      <w:r w:rsidRPr="008F0F70">
        <w:rPr>
          <w:b/>
          <w:sz w:val="22"/>
          <w:szCs w:val="22"/>
        </w:rPr>
        <w:t>4.7</w:t>
      </w:r>
      <w:r w:rsidRPr="008F0F70">
        <w:rPr>
          <w:b/>
          <w:sz w:val="22"/>
          <w:szCs w:val="22"/>
        </w:rPr>
        <w:tab/>
        <w:t>Επίδραση στην ικανότητα οδήγησης και χειρισμού μηχανημάτων</w:t>
      </w:r>
    </w:p>
    <w:p w:rsidR="008C2D7A" w:rsidRPr="008F0F70" w:rsidRDefault="008C2D7A" w:rsidP="006C4353">
      <w:pPr>
        <w:jc w:val="both"/>
        <w:rPr>
          <w:sz w:val="22"/>
          <w:szCs w:val="22"/>
        </w:rPr>
      </w:pPr>
    </w:p>
    <w:p w:rsidR="00DB65E0" w:rsidRPr="008F0F70" w:rsidRDefault="00DB65E0" w:rsidP="00DB65E0">
      <w:pPr>
        <w:jc w:val="both"/>
        <w:rPr>
          <w:b/>
          <w:i/>
          <w:spacing w:val="-3"/>
          <w:sz w:val="22"/>
          <w:szCs w:val="22"/>
        </w:rPr>
      </w:pPr>
      <w:r w:rsidRPr="008F0F70">
        <w:rPr>
          <w:spacing w:val="-3"/>
          <w:sz w:val="22"/>
          <w:szCs w:val="22"/>
        </w:rPr>
        <w:t>Η λεβοφλοξασίνη έχει ασήμαντη επίδραση στην ικανότητα οδήγησης και χειρισμού μηχανών.</w:t>
      </w:r>
    </w:p>
    <w:p w:rsidR="004D16F1" w:rsidRPr="008F0F70" w:rsidRDefault="004D16F1" w:rsidP="006C4353">
      <w:pPr>
        <w:jc w:val="both"/>
        <w:rPr>
          <w:sz w:val="22"/>
          <w:szCs w:val="22"/>
        </w:rPr>
      </w:pPr>
    </w:p>
    <w:p w:rsidR="00360B1F" w:rsidRPr="008F0F70" w:rsidRDefault="00360B1F" w:rsidP="00DD3C5D">
      <w:pPr>
        <w:jc w:val="both"/>
        <w:rPr>
          <w:sz w:val="22"/>
          <w:szCs w:val="22"/>
        </w:rPr>
      </w:pPr>
      <w:r w:rsidRPr="008F0F70">
        <w:rPr>
          <w:sz w:val="22"/>
          <w:szCs w:val="22"/>
        </w:rPr>
        <w:t xml:space="preserve">Σε περίπτωση που εμφανιστούν παροδικές επιδράσεις στην όραση, ο ασθενής θα πρέπει να ενημερώνεται να περιμένει </w:t>
      </w:r>
      <w:r w:rsidR="00DD3C5D" w:rsidRPr="008F0F70">
        <w:rPr>
          <w:sz w:val="22"/>
          <w:szCs w:val="22"/>
        </w:rPr>
        <w:t xml:space="preserve">έως ότου υποχωρήσει </w:t>
      </w:r>
      <w:r w:rsidRPr="008F0F70">
        <w:rPr>
          <w:sz w:val="22"/>
          <w:szCs w:val="22"/>
        </w:rPr>
        <w:t>η επίδραση προτού να οδηγήσει ή να χειριστεί μηχανές.</w:t>
      </w:r>
    </w:p>
    <w:p w:rsidR="00B13415" w:rsidRPr="008F0F70" w:rsidRDefault="00B13415" w:rsidP="006C4353">
      <w:pPr>
        <w:jc w:val="both"/>
        <w:rPr>
          <w:sz w:val="22"/>
          <w:szCs w:val="22"/>
        </w:rPr>
      </w:pPr>
    </w:p>
    <w:p w:rsidR="00360B1F" w:rsidRPr="008F0F70" w:rsidRDefault="00360B1F" w:rsidP="00360B1F">
      <w:pPr>
        <w:tabs>
          <w:tab w:val="left" w:pos="0"/>
          <w:tab w:val="left" w:pos="720"/>
        </w:tabs>
        <w:jc w:val="both"/>
        <w:rPr>
          <w:b/>
          <w:sz w:val="22"/>
          <w:szCs w:val="22"/>
        </w:rPr>
      </w:pPr>
      <w:r w:rsidRPr="008F0F70">
        <w:rPr>
          <w:b/>
          <w:sz w:val="22"/>
          <w:szCs w:val="22"/>
        </w:rPr>
        <w:t>4.8</w:t>
      </w:r>
      <w:r w:rsidRPr="008F0F70">
        <w:rPr>
          <w:b/>
          <w:sz w:val="22"/>
          <w:szCs w:val="22"/>
        </w:rPr>
        <w:tab/>
        <w:t>Ανεπιθύμητες ενέργειες</w:t>
      </w:r>
    </w:p>
    <w:p w:rsidR="009E7E3F" w:rsidRPr="008F0F70" w:rsidRDefault="009E7E3F" w:rsidP="006C4353">
      <w:pPr>
        <w:jc w:val="both"/>
        <w:rPr>
          <w:sz w:val="22"/>
          <w:szCs w:val="22"/>
        </w:rPr>
      </w:pPr>
    </w:p>
    <w:p w:rsidR="00360B1F" w:rsidRPr="008F0F70" w:rsidRDefault="00360B1F" w:rsidP="00374DAC">
      <w:pPr>
        <w:jc w:val="both"/>
        <w:rPr>
          <w:sz w:val="22"/>
          <w:szCs w:val="22"/>
        </w:rPr>
      </w:pPr>
      <w:r w:rsidRPr="008F0F70">
        <w:rPr>
          <w:sz w:val="22"/>
          <w:szCs w:val="22"/>
        </w:rPr>
        <w:t>Περίπου το 10% των ασθενών αναμένεται να εμφανίσουν ανεπιθύμητες ενέργειες</w:t>
      </w:r>
      <w:r w:rsidR="00374DAC" w:rsidRPr="008F0F70">
        <w:rPr>
          <w:sz w:val="22"/>
          <w:szCs w:val="22"/>
        </w:rPr>
        <w:t>.</w:t>
      </w:r>
      <w:r w:rsidRPr="008F0F70">
        <w:rPr>
          <w:sz w:val="22"/>
          <w:szCs w:val="22"/>
        </w:rPr>
        <w:t xml:space="preserve"> </w:t>
      </w:r>
    </w:p>
    <w:p w:rsidR="00360B1F" w:rsidRPr="008F0F70" w:rsidRDefault="00360B1F" w:rsidP="00360B1F">
      <w:pPr>
        <w:jc w:val="both"/>
        <w:rPr>
          <w:sz w:val="22"/>
          <w:szCs w:val="22"/>
        </w:rPr>
      </w:pPr>
      <w:r w:rsidRPr="008F0F70">
        <w:rPr>
          <w:sz w:val="22"/>
          <w:szCs w:val="22"/>
        </w:rPr>
        <w:t>Οι ανεπιθύμητες ενέργειες συνήθως κατατάσσονται ως ήπιας ή μέτριας βαρύτητας, είναι παροδικές και γενικά περιορίζονται στον οφθαλμό.</w:t>
      </w:r>
    </w:p>
    <w:p w:rsidR="005D175C" w:rsidRPr="008F0F70" w:rsidRDefault="005D175C" w:rsidP="006C4353">
      <w:pPr>
        <w:jc w:val="both"/>
        <w:rPr>
          <w:sz w:val="22"/>
          <w:szCs w:val="22"/>
        </w:rPr>
      </w:pPr>
    </w:p>
    <w:p w:rsidR="00360B1F" w:rsidRPr="008F0F70" w:rsidRDefault="00360B1F" w:rsidP="00360B1F">
      <w:pPr>
        <w:jc w:val="both"/>
        <w:rPr>
          <w:sz w:val="22"/>
          <w:szCs w:val="22"/>
        </w:rPr>
      </w:pPr>
      <w:r w:rsidRPr="008F0F70">
        <w:rPr>
          <w:sz w:val="22"/>
          <w:szCs w:val="22"/>
        </w:rPr>
        <w:t>Δεδομένου ότι το προϊόν περιέχει χλωριούχο βενζαλκώνιο, το έκζεμα εξ επαφής και/ή ο ερεθισμός μπορεί να οφείλονται στο δραστικό συστατικό ή σε αυτό το συντηρητικό.</w:t>
      </w:r>
    </w:p>
    <w:p w:rsidR="00FC0296" w:rsidRPr="008F0F70" w:rsidRDefault="00FC0296" w:rsidP="006C4353">
      <w:pPr>
        <w:jc w:val="both"/>
        <w:rPr>
          <w:sz w:val="22"/>
          <w:szCs w:val="22"/>
        </w:rPr>
      </w:pPr>
    </w:p>
    <w:p w:rsidR="00A16E04" w:rsidRPr="008F0F70" w:rsidRDefault="00A16E04" w:rsidP="00A16E04">
      <w:pPr>
        <w:jc w:val="both"/>
        <w:rPr>
          <w:sz w:val="22"/>
          <w:szCs w:val="22"/>
        </w:rPr>
      </w:pPr>
      <w:r w:rsidRPr="008F0F70">
        <w:rPr>
          <w:sz w:val="22"/>
          <w:szCs w:val="22"/>
        </w:rPr>
        <w:t>Κατά τη διάρκεια κλινικών μελετών και μ</w:t>
      </w:r>
      <w:r w:rsidR="00CA19B6">
        <w:rPr>
          <w:sz w:val="22"/>
          <w:szCs w:val="22"/>
        </w:rPr>
        <w:t>ετά την κυκλοφορία του</w:t>
      </w:r>
      <w:r w:rsidR="00CA19B6" w:rsidRPr="00CA19B6">
        <w:rPr>
          <w:sz w:val="22"/>
          <w:szCs w:val="22"/>
        </w:rPr>
        <w:t xml:space="preserve"> LEXAVON 5 mg/ml οφθαλμικές σταγόνες, διάλυμα </w:t>
      </w:r>
      <w:r w:rsidRPr="008F0F70">
        <w:rPr>
          <w:sz w:val="22"/>
          <w:szCs w:val="22"/>
        </w:rPr>
        <w:t xml:space="preserve">αναφέρθηκαν οι ακόλουθες ανεπιθύμητες ενέργειες, οι οποίες με βάση την αξιολόγηση σχετίζονται μετά βεβαιότητας, πιθανώς σχετίζονται ή είναι δυνατόν να σχετίζονται με τη θεραπεία. </w:t>
      </w:r>
    </w:p>
    <w:p w:rsidR="00367417" w:rsidRPr="008F0F70" w:rsidRDefault="00367417" w:rsidP="006C4353">
      <w:pPr>
        <w:jc w:val="both"/>
        <w:rPr>
          <w:sz w:val="22"/>
          <w:szCs w:val="22"/>
        </w:rPr>
      </w:pPr>
    </w:p>
    <w:p w:rsidR="00360B1F" w:rsidRPr="008F0F70" w:rsidRDefault="00360B1F" w:rsidP="00360B1F">
      <w:pPr>
        <w:spacing w:line="260" w:lineRule="exact"/>
        <w:jc w:val="both"/>
        <w:rPr>
          <w:i/>
          <w:sz w:val="22"/>
          <w:szCs w:val="22"/>
        </w:rPr>
      </w:pPr>
      <w:r w:rsidRPr="008F0F70">
        <w:rPr>
          <w:i/>
          <w:sz w:val="22"/>
          <w:szCs w:val="22"/>
        </w:rPr>
        <w:t xml:space="preserve">Διαταραχές του </w:t>
      </w:r>
      <w:r w:rsidR="00A16E04" w:rsidRPr="008F0F70">
        <w:rPr>
          <w:i/>
          <w:sz w:val="22"/>
          <w:szCs w:val="22"/>
        </w:rPr>
        <w:t>ανοσοποιητικού</w:t>
      </w:r>
      <w:r w:rsidRPr="008F0F70">
        <w:rPr>
          <w:i/>
          <w:sz w:val="22"/>
          <w:szCs w:val="22"/>
        </w:rPr>
        <w:t xml:space="preserve"> συστήματος</w:t>
      </w:r>
    </w:p>
    <w:p w:rsidR="00360B1F" w:rsidRPr="008F0F70" w:rsidRDefault="00360B1F" w:rsidP="00461B3A">
      <w:pPr>
        <w:spacing w:line="260" w:lineRule="exact"/>
        <w:rPr>
          <w:sz w:val="22"/>
          <w:szCs w:val="22"/>
        </w:rPr>
      </w:pPr>
      <w:r w:rsidRPr="008F0F70">
        <w:rPr>
          <w:sz w:val="22"/>
          <w:szCs w:val="22"/>
        </w:rPr>
        <w:t>Σπάνιες (</w:t>
      </w:r>
      <w:r w:rsidRPr="008F0F70">
        <w:rPr>
          <w:sz w:val="22"/>
          <w:szCs w:val="22"/>
        </w:rPr>
        <w:sym w:font="Symbol" w:char="F0B3"/>
      </w:r>
      <w:r w:rsidRPr="008F0F70">
        <w:rPr>
          <w:sz w:val="22"/>
          <w:szCs w:val="22"/>
        </w:rPr>
        <w:t xml:space="preserve">1/10.000, &lt;1/1.000): </w:t>
      </w:r>
      <w:r w:rsidRPr="008F0F70">
        <w:rPr>
          <w:sz w:val="22"/>
          <w:szCs w:val="22"/>
        </w:rPr>
        <w:tab/>
        <w:t>Εξωοφθαλμικές αλλεργικές αντιδράσεις</w:t>
      </w:r>
      <w:r w:rsidR="00E35DBF" w:rsidRPr="008F0F70">
        <w:rPr>
          <w:sz w:val="22"/>
          <w:szCs w:val="22"/>
        </w:rPr>
        <w:t>,</w:t>
      </w:r>
      <w:r w:rsidRPr="008F0F70">
        <w:rPr>
          <w:sz w:val="22"/>
          <w:szCs w:val="22"/>
        </w:rPr>
        <w:t xml:space="preserve"> συμπεριλαμβανομένου του δερματικού εξανθήματος. </w:t>
      </w:r>
    </w:p>
    <w:p w:rsidR="00360B1F" w:rsidRPr="008F0F70" w:rsidRDefault="00360B1F" w:rsidP="00461B3A">
      <w:pPr>
        <w:spacing w:line="260" w:lineRule="exact"/>
        <w:rPr>
          <w:sz w:val="22"/>
          <w:szCs w:val="22"/>
        </w:rPr>
      </w:pPr>
      <w:r w:rsidRPr="008F0F70">
        <w:rPr>
          <w:sz w:val="22"/>
          <w:szCs w:val="22"/>
        </w:rPr>
        <w:t xml:space="preserve">Πολύ σπάνιες (&lt;1/10.000), μη γνωστές (δεν μπορούν να υπολογιστούν από τα διαθέσιμα δεδομένα): </w:t>
      </w:r>
    </w:p>
    <w:p w:rsidR="00360B1F" w:rsidRPr="008F0F70" w:rsidRDefault="00360B1F" w:rsidP="00461B3A">
      <w:pPr>
        <w:spacing w:line="260" w:lineRule="exact"/>
        <w:rPr>
          <w:sz w:val="22"/>
          <w:szCs w:val="22"/>
        </w:rPr>
      </w:pPr>
      <w:r w:rsidRPr="008F0F70">
        <w:rPr>
          <w:sz w:val="22"/>
          <w:szCs w:val="22"/>
        </w:rPr>
        <w:t>Αναφυλαξία.</w:t>
      </w:r>
    </w:p>
    <w:p w:rsidR="002451CA" w:rsidRPr="008F0F70" w:rsidRDefault="002451CA" w:rsidP="006C4353">
      <w:pPr>
        <w:jc w:val="both"/>
        <w:rPr>
          <w:sz w:val="22"/>
          <w:szCs w:val="22"/>
        </w:rPr>
      </w:pPr>
    </w:p>
    <w:p w:rsidR="00360B1F" w:rsidRPr="008F0F70" w:rsidRDefault="00360B1F" w:rsidP="00360B1F">
      <w:pPr>
        <w:spacing w:line="260" w:lineRule="exact"/>
        <w:jc w:val="both"/>
        <w:rPr>
          <w:sz w:val="22"/>
          <w:szCs w:val="22"/>
        </w:rPr>
      </w:pPr>
      <w:r w:rsidRPr="008F0F70">
        <w:rPr>
          <w:i/>
          <w:sz w:val="22"/>
          <w:szCs w:val="22"/>
        </w:rPr>
        <w:t>Διαταραχές του Νευρικού συστήματος</w:t>
      </w:r>
    </w:p>
    <w:p w:rsidR="00360B1F" w:rsidRPr="008F0F70" w:rsidRDefault="00360B1F" w:rsidP="00360B1F">
      <w:pPr>
        <w:tabs>
          <w:tab w:val="left" w:pos="3420"/>
        </w:tabs>
        <w:spacing w:line="260" w:lineRule="exact"/>
        <w:jc w:val="both"/>
        <w:rPr>
          <w:sz w:val="22"/>
          <w:szCs w:val="22"/>
        </w:rPr>
      </w:pPr>
      <w:r w:rsidRPr="008F0F70">
        <w:rPr>
          <w:sz w:val="22"/>
          <w:szCs w:val="22"/>
        </w:rPr>
        <w:t>Όχι συχνές (</w:t>
      </w:r>
      <w:r w:rsidRPr="008F0F70">
        <w:rPr>
          <w:sz w:val="22"/>
          <w:szCs w:val="22"/>
        </w:rPr>
        <w:sym w:font="Symbol" w:char="F0B3"/>
      </w:r>
      <w:r w:rsidRPr="008F0F70">
        <w:rPr>
          <w:sz w:val="22"/>
          <w:szCs w:val="22"/>
        </w:rPr>
        <w:t xml:space="preserve">1/1.000, &lt;1/100): </w:t>
      </w:r>
      <w:r w:rsidRPr="008F0F70">
        <w:rPr>
          <w:sz w:val="22"/>
          <w:szCs w:val="22"/>
        </w:rPr>
        <w:tab/>
        <w:t>Κεφαλαλγία.</w:t>
      </w:r>
    </w:p>
    <w:p w:rsidR="00367417" w:rsidRPr="008F0F70" w:rsidRDefault="00367417" w:rsidP="00367417">
      <w:pPr>
        <w:spacing w:line="260" w:lineRule="exact"/>
        <w:jc w:val="both"/>
        <w:rPr>
          <w:b/>
          <w:sz w:val="22"/>
          <w:szCs w:val="22"/>
        </w:rPr>
      </w:pPr>
    </w:p>
    <w:p w:rsidR="00360B1F" w:rsidRPr="008F0F70" w:rsidRDefault="00360B1F" w:rsidP="00360B1F">
      <w:pPr>
        <w:spacing w:line="260" w:lineRule="exact"/>
        <w:jc w:val="both"/>
        <w:rPr>
          <w:sz w:val="22"/>
          <w:szCs w:val="22"/>
        </w:rPr>
      </w:pPr>
      <w:r w:rsidRPr="008F0F70">
        <w:rPr>
          <w:i/>
          <w:sz w:val="22"/>
          <w:szCs w:val="22"/>
        </w:rPr>
        <w:t>Οφθαλμικές διαταραχές</w:t>
      </w:r>
    </w:p>
    <w:p w:rsidR="003007B0" w:rsidRPr="008F0F70" w:rsidRDefault="003007B0" w:rsidP="003007B0">
      <w:pPr>
        <w:spacing w:line="260" w:lineRule="exact"/>
        <w:jc w:val="both"/>
        <w:rPr>
          <w:sz w:val="22"/>
          <w:szCs w:val="22"/>
        </w:rPr>
      </w:pPr>
      <w:r w:rsidRPr="008F0F70">
        <w:rPr>
          <w:sz w:val="22"/>
          <w:szCs w:val="22"/>
        </w:rPr>
        <w:t>Συχνές (</w:t>
      </w:r>
      <w:r w:rsidRPr="008F0F70">
        <w:rPr>
          <w:sz w:val="22"/>
          <w:szCs w:val="22"/>
        </w:rPr>
        <w:sym w:font="Symbol" w:char="F0B3"/>
      </w:r>
      <w:r w:rsidRPr="008F0F70">
        <w:rPr>
          <w:sz w:val="22"/>
          <w:szCs w:val="22"/>
        </w:rPr>
        <w:t xml:space="preserve">1/100, &lt;1/10): </w:t>
      </w:r>
      <w:r w:rsidRPr="008F0F70">
        <w:rPr>
          <w:sz w:val="22"/>
          <w:szCs w:val="22"/>
        </w:rPr>
        <w:tab/>
        <w:t>Αίσθημα καύσου στους οφθαλμούς, μειωμένη όραση και νημάτια βλέννης.</w:t>
      </w:r>
    </w:p>
    <w:p w:rsidR="00360B1F" w:rsidRPr="008F0F70" w:rsidRDefault="00360B1F" w:rsidP="00360B1F">
      <w:pPr>
        <w:spacing w:line="260" w:lineRule="exact"/>
        <w:jc w:val="both"/>
        <w:rPr>
          <w:sz w:val="22"/>
          <w:szCs w:val="22"/>
        </w:rPr>
      </w:pPr>
      <w:r w:rsidRPr="008F0F70">
        <w:rPr>
          <w:sz w:val="22"/>
          <w:szCs w:val="22"/>
        </w:rPr>
        <w:t>Όχι συχνές (</w:t>
      </w:r>
      <w:r w:rsidRPr="008F0F70">
        <w:rPr>
          <w:sz w:val="22"/>
          <w:szCs w:val="22"/>
        </w:rPr>
        <w:sym w:font="Symbol" w:char="F0B3"/>
      </w:r>
      <w:r w:rsidRPr="008F0F70">
        <w:rPr>
          <w:sz w:val="22"/>
          <w:szCs w:val="22"/>
        </w:rPr>
        <w:t>1/1.000, &lt;1/100):</w:t>
      </w:r>
    </w:p>
    <w:p w:rsidR="009E6470" w:rsidRPr="008F0F70" w:rsidRDefault="009E6470" w:rsidP="00113A21">
      <w:pPr>
        <w:spacing w:line="260" w:lineRule="exact"/>
        <w:jc w:val="both"/>
        <w:rPr>
          <w:sz w:val="22"/>
          <w:szCs w:val="22"/>
        </w:rPr>
      </w:pPr>
      <w:r w:rsidRPr="008F0F70">
        <w:rPr>
          <w:sz w:val="22"/>
          <w:szCs w:val="22"/>
        </w:rPr>
        <w:t>Συγκόλληση βλεφάρων, χύμωση, θηλώδης αντίδραση του επιπεφυκότα, οίδημα βλεφάρου, δυσφορία του οφθαλμού, οφθαλμικός κνησμός, οφθαλμικό άλγος, ένεση επιπεφυκότα, θυλάκια του επιπεφυκότα, οφθαλμική ξηρότητα, ερύθημα βλεφάρου και φωτοφοβία.</w:t>
      </w:r>
    </w:p>
    <w:p w:rsidR="009E6470" w:rsidRPr="008F0F70" w:rsidRDefault="009E6470" w:rsidP="009E6470">
      <w:pPr>
        <w:spacing w:line="260" w:lineRule="exact"/>
        <w:jc w:val="both"/>
        <w:rPr>
          <w:sz w:val="22"/>
          <w:szCs w:val="22"/>
        </w:rPr>
      </w:pPr>
      <w:r w:rsidRPr="008F0F70">
        <w:rPr>
          <w:sz w:val="22"/>
          <w:szCs w:val="22"/>
        </w:rPr>
        <w:t>Δεν παρατηρήθηκαν ιζήματα κερατοειδούς σε κλινικές μελέτες.</w:t>
      </w:r>
    </w:p>
    <w:p w:rsidR="001828F7" w:rsidRPr="008F0F70" w:rsidRDefault="001828F7" w:rsidP="006C4353">
      <w:pPr>
        <w:spacing w:line="260" w:lineRule="exact"/>
        <w:jc w:val="both"/>
        <w:rPr>
          <w:sz w:val="22"/>
          <w:szCs w:val="22"/>
        </w:rPr>
      </w:pPr>
    </w:p>
    <w:p w:rsidR="00360B1F" w:rsidRPr="008F0F70" w:rsidRDefault="00360B1F" w:rsidP="00360B1F">
      <w:pPr>
        <w:spacing w:line="260" w:lineRule="exact"/>
        <w:jc w:val="both"/>
        <w:rPr>
          <w:i/>
          <w:sz w:val="22"/>
          <w:szCs w:val="22"/>
        </w:rPr>
      </w:pPr>
      <w:r w:rsidRPr="008F0F70">
        <w:rPr>
          <w:i/>
          <w:sz w:val="22"/>
          <w:szCs w:val="22"/>
        </w:rPr>
        <w:t>Διαταραχές του αναπνευστικού συστήματος, του θώρακα και του μεσοθωράκιου</w:t>
      </w:r>
    </w:p>
    <w:p w:rsidR="00360B1F" w:rsidRPr="008F0F70" w:rsidRDefault="00360B1F" w:rsidP="00360B1F">
      <w:pPr>
        <w:spacing w:line="260" w:lineRule="exact"/>
        <w:jc w:val="both"/>
        <w:rPr>
          <w:sz w:val="22"/>
          <w:szCs w:val="22"/>
        </w:rPr>
      </w:pPr>
      <w:r w:rsidRPr="008F0F70">
        <w:rPr>
          <w:sz w:val="22"/>
          <w:szCs w:val="22"/>
        </w:rPr>
        <w:t>Όχι συχνές (</w:t>
      </w:r>
      <w:r w:rsidRPr="008F0F70">
        <w:rPr>
          <w:sz w:val="22"/>
          <w:szCs w:val="22"/>
        </w:rPr>
        <w:sym w:font="Symbol" w:char="F0B3"/>
      </w:r>
      <w:r w:rsidRPr="008F0F70">
        <w:rPr>
          <w:sz w:val="22"/>
          <w:szCs w:val="22"/>
        </w:rPr>
        <w:t xml:space="preserve">1/1.000, &lt;1/100): </w:t>
      </w:r>
      <w:r w:rsidRPr="008F0F70">
        <w:rPr>
          <w:sz w:val="22"/>
          <w:szCs w:val="22"/>
        </w:rPr>
        <w:tab/>
      </w:r>
      <w:r w:rsidRPr="008F0F70">
        <w:rPr>
          <w:sz w:val="22"/>
          <w:szCs w:val="22"/>
        </w:rPr>
        <w:tab/>
        <w:t>Ρινίτιδα</w:t>
      </w:r>
    </w:p>
    <w:p w:rsidR="00360B1F" w:rsidRPr="008F0F70" w:rsidRDefault="00360B1F" w:rsidP="00360B1F">
      <w:pPr>
        <w:spacing w:line="260" w:lineRule="exact"/>
        <w:jc w:val="both"/>
        <w:rPr>
          <w:sz w:val="22"/>
          <w:szCs w:val="22"/>
        </w:rPr>
      </w:pPr>
      <w:bookmarkStart w:id="4" w:name="UNDESIRABLE_EFFECTS"/>
      <w:r w:rsidRPr="008F0F70">
        <w:rPr>
          <w:sz w:val="22"/>
          <w:szCs w:val="22"/>
        </w:rPr>
        <w:t>Πολύ σπάνιες (&lt;1/10.000), μη γνωστές (δεν μπορούν να υπολογιστούν από τα διαθέσιμα δεδομένα):</w:t>
      </w:r>
    </w:p>
    <w:bookmarkEnd w:id="4"/>
    <w:p w:rsidR="00360B1F" w:rsidRPr="008F0F70" w:rsidRDefault="00360B1F" w:rsidP="00360B1F">
      <w:pPr>
        <w:spacing w:line="260" w:lineRule="exact"/>
        <w:rPr>
          <w:sz w:val="22"/>
          <w:szCs w:val="22"/>
        </w:rPr>
      </w:pPr>
      <w:r w:rsidRPr="008F0F70">
        <w:rPr>
          <w:sz w:val="22"/>
          <w:szCs w:val="22"/>
        </w:rPr>
        <w:t>Οίδημα λάρυγγα.</w:t>
      </w:r>
    </w:p>
    <w:p w:rsidR="00E55505" w:rsidRPr="008F0F70" w:rsidRDefault="00E55505" w:rsidP="009433FA">
      <w:pPr>
        <w:spacing w:line="260" w:lineRule="exact"/>
        <w:rPr>
          <w:sz w:val="22"/>
          <w:szCs w:val="22"/>
        </w:rPr>
      </w:pPr>
    </w:p>
    <w:p w:rsidR="00360B1F" w:rsidRPr="008F0F70" w:rsidRDefault="00360B1F" w:rsidP="00360B1F">
      <w:pPr>
        <w:autoSpaceDE w:val="0"/>
        <w:autoSpaceDN w:val="0"/>
        <w:adjustRightInd w:val="0"/>
        <w:rPr>
          <w:b/>
          <w:i/>
          <w:spacing w:val="-3"/>
          <w:sz w:val="22"/>
          <w:szCs w:val="22"/>
        </w:rPr>
      </w:pPr>
      <w:r w:rsidRPr="008F0F70">
        <w:rPr>
          <w:i/>
          <w:spacing w:val="-3"/>
          <w:sz w:val="22"/>
          <w:szCs w:val="22"/>
        </w:rPr>
        <w:t>Παιδιατρικός πληθυσμός</w:t>
      </w:r>
    </w:p>
    <w:p w:rsidR="00360B1F" w:rsidRPr="008F0F70" w:rsidRDefault="00360B1F" w:rsidP="00360B1F">
      <w:pPr>
        <w:spacing w:line="260" w:lineRule="exact"/>
        <w:rPr>
          <w:sz w:val="22"/>
          <w:szCs w:val="22"/>
        </w:rPr>
      </w:pPr>
      <w:r w:rsidRPr="008F0F70">
        <w:rPr>
          <w:spacing w:val="-3"/>
          <w:sz w:val="22"/>
          <w:szCs w:val="22"/>
        </w:rPr>
        <w:t>Η συχνότητα εμφάνισης, ο τύπος και η βαρύτητα των ανεπιθύμητων ενεργειών αναμένονται να είναι ίδια με εκείνα σε ενήλικες.</w:t>
      </w:r>
    </w:p>
    <w:p w:rsidR="002F4EAC" w:rsidRPr="008F0F70" w:rsidRDefault="002F4EAC" w:rsidP="009433FA">
      <w:pPr>
        <w:spacing w:line="260" w:lineRule="exact"/>
        <w:rPr>
          <w:b/>
          <w:sz w:val="22"/>
          <w:szCs w:val="22"/>
        </w:rPr>
      </w:pPr>
    </w:p>
    <w:p w:rsidR="00360B1F" w:rsidRPr="009C1103" w:rsidRDefault="00360B1F" w:rsidP="00113A21">
      <w:pPr>
        <w:spacing w:line="280" w:lineRule="exact"/>
        <w:jc w:val="both"/>
        <w:rPr>
          <w:color w:val="000000"/>
          <w:sz w:val="22"/>
          <w:szCs w:val="22"/>
          <w:u w:val="single"/>
        </w:rPr>
      </w:pPr>
      <w:bookmarkStart w:id="5" w:name="_Hlt351112701"/>
      <w:bookmarkStart w:id="6" w:name="_Hlt352070183"/>
      <w:bookmarkStart w:id="7" w:name="_Hlt352070184"/>
      <w:bookmarkStart w:id="8" w:name="_Hlt351121725"/>
      <w:bookmarkStart w:id="9" w:name="_Hlt351121726"/>
      <w:r w:rsidRPr="009C1103">
        <w:rPr>
          <w:color w:val="000000"/>
          <w:sz w:val="22"/>
          <w:szCs w:val="22"/>
          <w:u w:val="single"/>
        </w:rPr>
        <w:t>Αναφορά πιθανολογούμενων ανεπιθύμητων ενεργειών</w:t>
      </w:r>
    </w:p>
    <w:bookmarkEnd w:id="5"/>
    <w:bookmarkEnd w:id="6"/>
    <w:bookmarkEnd w:id="7"/>
    <w:bookmarkEnd w:id="8"/>
    <w:bookmarkEnd w:id="9"/>
    <w:p w:rsidR="00360B1F" w:rsidRPr="009C1103" w:rsidRDefault="00360B1F" w:rsidP="00113A21">
      <w:pPr>
        <w:spacing w:line="260" w:lineRule="exact"/>
        <w:jc w:val="both"/>
        <w:rPr>
          <w:b/>
          <w:color w:val="000000"/>
          <w:sz w:val="22"/>
          <w:szCs w:val="22"/>
        </w:rPr>
      </w:pPr>
      <w:r w:rsidRPr="009C1103">
        <w:rPr>
          <w:color w:val="000000"/>
          <w:sz w:val="22"/>
          <w:szCs w:val="22"/>
        </w:rPr>
        <w:t>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w:t>
      </w:r>
      <w:r w:rsidR="00EE436B" w:rsidRPr="009C1103">
        <w:rPr>
          <w:color w:val="000000"/>
          <w:sz w:val="22"/>
          <w:szCs w:val="22"/>
        </w:rPr>
        <w:noBreakHyphen/>
      </w:r>
      <w:r w:rsidRPr="009C1103">
        <w:rPr>
          <w:color w:val="000000"/>
          <w:sz w:val="22"/>
          <w:szCs w:val="22"/>
        </w:rPr>
        <w:t>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μέσω</w:t>
      </w:r>
      <w:r w:rsidR="00F151DD" w:rsidRPr="009C1103">
        <w:rPr>
          <w:color w:val="000000"/>
          <w:sz w:val="22"/>
          <w:szCs w:val="22"/>
        </w:rPr>
        <w:t xml:space="preserve"> του Εθνικού Συστήματος Αναφοράς Ανεπιθύμητων Ενεργειών</w:t>
      </w:r>
      <w:r w:rsidRPr="009C1103">
        <w:rPr>
          <w:color w:val="000000"/>
          <w:sz w:val="22"/>
          <w:szCs w:val="22"/>
        </w:rPr>
        <w:t xml:space="preserve"> </w:t>
      </w:r>
      <w:r w:rsidR="00F151DD" w:rsidRPr="009C1103">
        <w:rPr>
          <w:color w:val="000000"/>
          <w:sz w:val="22"/>
          <w:szCs w:val="22"/>
        </w:rPr>
        <w:t>(</w:t>
      </w:r>
      <w:r w:rsidR="003C0984" w:rsidRPr="009C1103">
        <w:rPr>
          <w:color w:val="000000"/>
          <w:sz w:val="22"/>
          <w:szCs w:val="22"/>
        </w:rPr>
        <w:t>Εθνικ</w:t>
      </w:r>
      <w:r w:rsidR="00F151DD" w:rsidRPr="009C1103">
        <w:rPr>
          <w:color w:val="000000"/>
          <w:sz w:val="22"/>
          <w:szCs w:val="22"/>
        </w:rPr>
        <w:t>ός  Οργανισμός</w:t>
      </w:r>
      <w:r w:rsidR="00E57BDC" w:rsidRPr="009C1103">
        <w:rPr>
          <w:color w:val="000000"/>
          <w:sz w:val="22"/>
          <w:szCs w:val="22"/>
        </w:rPr>
        <w:t xml:space="preserve"> Φαρμάκων</w:t>
      </w:r>
      <w:r w:rsidR="00F151DD" w:rsidRPr="009C1103">
        <w:rPr>
          <w:color w:val="000000"/>
          <w:sz w:val="22"/>
          <w:szCs w:val="22"/>
        </w:rPr>
        <w:t xml:space="preserve">, </w:t>
      </w:r>
      <w:r w:rsidR="00E57BDC" w:rsidRPr="009C1103">
        <w:rPr>
          <w:color w:val="000000"/>
          <w:sz w:val="22"/>
          <w:szCs w:val="22"/>
        </w:rPr>
        <w:t>Μεσογείων 2</w:t>
      </w:r>
      <w:r w:rsidR="00F151DD" w:rsidRPr="009C1103">
        <w:rPr>
          <w:color w:val="000000"/>
          <w:sz w:val="22"/>
          <w:szCs w:val="22"/>
        </w:rPr>
        <w:t>84, 15562, Χολαργός, www.eof.gr)</w:t>
      </w:r>
      <w:r w:rsidR="00E57BDC" w:rsidRPr="009C1103">
        <w:rPr>
          <w:color w:val="000000"/>
          <w:sz w:val="22"/>
          <w:szCs w:val="22"/>
        </w:rPr>
        <w:t>.</w:t>
      </w:r>
    </w:p>
    <w:p w:rsidR="00D1532B" w:rsidRPr="008F0F70" w:rsidRDefault="00D1532B" w:rsidP="009433FA">
      <w:pPr>
        <w:spacing w:line="260" w:lineRule="exact"/>
        <w:rPr>
          <w:b/>
          <w:sz w:val="22"/>
          <w:szCs w:val="22"/>
        </w:rPr>
      </w:pPr>
    </w:p>
    <w:p w:rsidR="00360B1F" w:rsidRPr="008F0F70" w:rsidRDefault="00360B1F" w:rsidP="00360B1F">
      <w:pPr>
        <w:tabs>
          <w:tab w:val="left" w:pos="0"/>
          <w:tab w:val="left" w:pos="720"/>
        </w:tabs>
        <w:jc w:val="both"/>
        <w:rPr>
          <w:b/>
          <w:sz w:val="22"/>
          <w:szCs w:val="22"/>
        </w:rPr>
      </w:pPr>
      <w:bookmarkStart w:id="10" w:name="OVERDOSE"/>
      <w:r w:rsidRPr="008F0F70">
        <w:rPr>
          <w:b/>
          <w:sz w:val="22"/>
          <w:szCs w:val="22"/>
        </w:rPr>
        <w:t>4.9</w:t>
      </w:r>
      <w:r w:rsidRPr="008F0F70">
        <w:rPr>
          <w:b/>
          <w:sz w:val="22"/>
          <w:szCs w:val="22"/>
        </w:rPr>
        <w:tab/>
        <w:t>Υπερδοσολογία</w:t>
      </w:r>
    </w:p>
    <w:bookmarkEnd w:id="10"/>
    <w:p w:rsidR="004B4F42" w:rsidRPr="008F0F70" w:rsidRDefault="004B4F42" w:rsidP="0066255C">
      <w:pPr>
        <w:spacing w:line="260" w:lineRule="exact"/>
        <w:jc w:val="both"/>
        <w:rPr>
          <w:sz w:val="22"/>
          <w:szCs w:val="22"/>
        </w:rPr>
      </w:pPr>
    </w:p>
    <w:p w:rsidR="00360B1F" w:rsidRPr="008F0F70" w:rsidRDefault="00360B1F" w:rsidP="00452237">
      <w:pPr>
        <w:spacing w:line="260" w:lineRule="exact"/>
        <w:jc w:val="both"/>
        <w:rPr>
          <w:sz w:val="22"/>
          <w:szCs w:val="22"/>
        </w:rPr>
      </w:pPr>
      <w:r w:rsidRPr="008F0F70">
        <w:rPr>
          <w:sz w:val="22"/>
          <w:szCs w:val="22"/>
        </w:rPr>
        <w:t>Η συνολική ποσότητα λεβοφλοξασίνης σε ένα φιαλίδιο οφθαλμικών σταγόνων είναι πολύ μικρή για να προκαλέσει τοξικές επιδράσεις μετά από τυχαία κατάποση. Εφόσον κρίνεται απαραίτητο, ο ασθενής μπορεί να παρα</w:t>
      </w:r>
      <w:r w:rsidR="00FC320A" w:rsidRPr="008F0F70">
        <w:rPr>
          <w:sz w:val="22"/>
          <w:szCs w:val="22"/>
        </w:rPr>
        <w:t xml:space="preserve">κολουθείται </w:t>
      </w:r>
      <w:r w:rsidRPr="008F0F70">
        <w:rPr>
          <w:sz w:val="22"/>
          <w:szCs w:val="22"/>
        </w:rPr>
        <w:t xml:space="preserve">κλινικώς και να ληφθούν υποστηρικτικά μέτρα. Μετά από τοπική υπερδοσολογία με </w:t>
      </w:r>
      <w:r w:rsidR="00475EA1" w:rsidRPr="00475EA1">
        <w:rPr>
          <w:sz w:val="22"/>
          <w:szCs w:val="22"/>
        </w:rPr>
        <w:t>LEXAVON 5 mg/ml οφθαλμικές σταγόνες, διάλυμα</w:t>
      </w:r>
      <w:r w:rsidRPr="008F0F70">
        <w:rPr>
          <w:sz w:val="22"/>
          <w:szCs w:val="22"/>
        </w:rPr>
        <w:t>, οι οφθαλμοί μπορούν να ξεπλυθούν με καθαρό νερό (βρύσης) σε θερμοκρασία δωματίου.</w:t>
      </w:r>
    </w:p>
    <w:p w:rsidR="0075124D" w:rsidRPr="008F0F70" w:rsidRDefault="0075124D" w:rsidP="0066255C">
      <w:pPr>
        <w:spacing w:line="260" w:lineRule="exact"/>
        <w:jc w:val="both"/>
        <w:rPr>
          <w:sz w:val="22"/>
          <w:szCs w:val="22"/>
        </w:rPr>
      </w:pPr>
    </w:p>
    <w:p w:rsidR="00360B1F" w:rsidRPr="008F0F70" w:rsidRDefault="00360B1F" w:rsidP="00360B1F">
      <w:pPr>
        <w:autoSpaceDE w:val="0"/>
        <w:autoSpaceDN w:val="0"/>
        <w:adjustRightInd w:val="0"/>
        <w:rPr>
          <w:b/>
          <w:i/>
          <w:spacing w:val="-3"/>
          <w:sz w:val="22"/>
          <w:szCs w:val="22"/>
        </w:rPr>
      </w:pPr>
      <w:r w:rsidRPr="008F0F70">
        <w:rPr>
          <w:spacing w:val="-3"/>
          <w:sz w:val="22"/>
          <w:szCs w:val="22"/>
        </w:rPr>
        <w:t>Παιδιατρικός πληθυσμός</w:t>
      </w:r>
    </w:p>
    <w:p w:rsidR="00360B1F" w:rsidRPr="008F0F70" w:rsidRDefault="00360B1F" w:rsidP="00452237">
      <w:pPr>
        <w:spacing w:line="260" w:lineRule="exact"/>
        <w:rPr>
          <w:b/>
          <w:i/>
          <w:spacing w:val="-3"/>
          <w:sz w:val="22"/>
          <w:szCs w:val="22"/>
        </w:rPr>
      </w:pPr>
      <w:r w:rsidRPr="008F0F70">
        <w:rPr>
          <w:spacing w:val="-3"/>
          <w:sz w:val="22"/>
          <w:szCs w:val="22"/>
        </w:rPr>
        <w:t xml:space="preserve">Οι ενέργειες που πρέπει να πραγματοποιηθούν σε περίπτωση υπερδοσολογίας είναι οι ίδιες με εκείνες </w:t>
      </w:r>
      <w:r w:rsidR="00452237" w:rsidRPr="008F0F70">
        <w:rPr>
          <w:spacing w:val="-3"/>
          <w:sz w:val="22"/>
          <w:szCs w:val="22"/>
        </w:rPr>
        <w:t xml:space="preserve">για τους </w:t>
      </w:r>
      <w:r w:rsidRPr="008F0F70">
        <w:rPr>
          <w:spacing w:val="-3"/>
          <w:sz w:val="22"/>
          <w:szCs w:val="22"/>
        </w:rPr>
        <w:t xml:space="preserve">ενήλικες και </w:t>
      </w:r>
      <w:r w:rsidR="00452237" w:rsidRPr="008F0F70">
        <w:rPr>
          <w:spacing w:val="-3"/>
          <w:sz w:val="22"/>
          <w:szCs w:val="22"/>
        </w:rPr>
        <w:t xml:space="preserve">τα </w:t>
      </w:r>
      <w:r w:rsidRPr="008F0F70">
        <w:rPr>
          <w:spacing w:val="-3"/>
          <w:sz w:val="22"/>
          <w:szCs w:val="22"/>
        </w:rPr>
        <w:t xml:space="preserve">παιδιά ηλικίας </w:t>
      </w:r>
      <w:r w:rsidRPr="008F0F70">
        <w:rPr>
          <w:spacing w:val="-3"/>
          <w:sz w:val="22"/>
          <w:szCs w:val="22"/>
        </w:rPr>
        <w:sym w:font="Symbol" w:char="F0B3"/>
      </w:r>
      <w:r w:rsidRPr="008F0F70">
        <w:rPr>
          <w:spacing w:val="-3"/>
          <w:sz w:val="22"/>
          <w:szCs w:val="22"/>
        </w:rPr>
        <w:t>1 έτους</w:t>
      </w:r>
    </w:p>
    <w:p w:rsidR="00D431C7" w:rsidRPr="008F0F70" w:rsidRDefault="00DE3E8B" w:rsidP="0066255C">
      <w:pPr>
        <w:spacing w:line="260" w:lineRule="exact"/>
        <w:jc w:val="both"/>
        <w:rPr>
          <w:sz w:val="22"/>
          <w:szCs w:val="22"/>
        </w:rPr>
      </w:pPr>
      <w:r w:rsidRPr="008F0F70">
        <w:rPr>
          <w:sz w:val="22"/>
          <w:szCs w:val="22"/>
        </w:rPr>
        <w:t xml:space="preserve"> </w:t>
      </w:r>
    </w:p>
    <w:p w:rsidR="00B13415" w:rsidRPr="008F0F70" w:rsidRDefault="00B13415" w:rsidP="0066255C">
      <w:pPr>
        <w:spacing w:line="260" w:lineRule="exact"/>
        <w:jc w:val="both"/>
        <w:rPr>
          <w:sz w:val="22"/>
          <w:szCs w:val="22"/>
        </w:rPr>
      </w:pPr>
    </w:p>
    <w:p w:rsidR="00360B1F" w:rsidRPr="008F0F70" w:rsidRDefault="00360B1F" w:rsidP="00360B1F">
      <w:pPr>
        <w:ind w:left="567" w:hanging="567"/>
        <w:jc w:val="both"/>
        <w:rPr>
          <w:b/>
          <w:caps/>
          <w:sz w:val="22"/>
          <w:szCs w:val="22"/>
        </w:rPr>
      </w:pPr>
      <w:r w:rsidRPr="008F0F70">
        <w:rPr>
          <w:b/>
          <w:caps/>
          <w:sz w:val="22"/>
          <w:szCs w:val="22"/>
        </w:rPr>
        <w:t>5.</w:t>
      </w:r>
      <w:r w:rsidRPr="008F0F70">
        <w:rPr>
          <w:b/>
          <w:caps/>
          <w:sz w:val="22"/>
          <w:szCs w:val="22"/>
        </w:rPr>
        <w:tab/>
        <w:t>ΦΑΡΜΑΚΟΛΟΠΚΕΣ ΙΔΙΟΤΗΤΕΣ</w:t>
      </w:r>
    </w:p>
    <w:p w:rsidR="00D431C7" w:rsidRPr="008F0F70" w:rsidRDefault="00D431C7" w:rsidP="006C4353">
      <w:pPr>
        <w:jc w:val="both"/>
        <w:rPr>
          <w:b/>
          <w:sz w:val="22"/>
          <w:szCs w:val="22"/>
        </w:rPr>
      </w:pPr>
    </w:p>
    <w:p w:rsidR="00360B1F" w:rsidRPr="008F0F70" w:rsidRDefault="00360B1F" w:rsidP="00360B1F">
      <w:pPr>
        <w:tabs>
          <w:tab w:val="left" w:pos="0"/>
          <w:tab w:val="left" w:pos="720"/>
        </w:tabs>
        <w:jc w:val="both"/>
        <w:rPr>
          <w:b/>
          <w:sz w:val="22"/>
          <w:szCs w:val="22"/>
        </w:rPr>
      </w:pPr>
      <w:bookmarkStart w:id="11" w:name="PHARMACOLOGICAL_PROPS"/>
      <w:r w:rsidRPr="008F0F70">
        <w:rPr>
          <w:b/>
          <w:sz w:val="22"/>
          <w:szCs w:val="22"/>
        </w:rPr>
        <w:t xml:space="preserve">5.1 </w:t>
      </w:r>
      <w:r w:rsidRPr="008F0F70">
        <w:rPr>
          <w:b/>
          <w:sz w:val="22"/>
          <w:szCs w:val="22"/>
        </w:rPr>
        <w:tab/>
        <w:t>Φαρμακοδυναμικές ιδιότητες</w:t>
      </w:r>
    </w:p>
    <w:bookmarkEnd w:id="11"/>
    <w:p w:rsidR="00B13415" w:rsidRPr="008F0F70" w:rsidRDefault="00B13415" w:rsidP="006C4353">
      <w:pPr>
        <w:jc w:val="both"/>
        <w:rPr>
          <w:sz w:val="22"/>
          <w:szCs w:val="22"/>
        </w:rPr>
      </w:pPr>
    </w:p>
    <w:p w:rsidR="00360B1F" w:rsidRPr="008F0F70" w:rsidRDefault="00360B1F" w:rsidP="00190670">
      <w:pPr>
        <w:jc w:val="both"/>
        <w:rPr>
          <w:sz w:val="22"/>
          <w:szCs w:val="22"/>
        </w:rPr>
      </w:pPr>
      <w:bookmarkStart w:id="12" w:name="PHARMACOKINETIC_PROPS"/>
      <w:r w:rsidRPr="008F0F70">
        <w:rPr>
          <w:sz w:val="22"/>
          <w:szCs w:val="22"/>
        </w:rPr>
        <w:t xml:space="preserve">Φαρμακοθεραπευτική </w:t>
      </w:r>
      <w:r w:rsidR="00190670" w:rsidRPr="008F0F70">
        <w:rPr>
          <w:sz w:val="22"/>
          <w:szCs w:val="22"/>
        </w:rPr>
        <w:t>κατηγορία</w:t>
      </w:r>
      <w:r w:rsidRPr="008F0F70">
        <w:rPr>
          <w:sz w:val="22"/>
          <w:szCs w:val="22"/>
        </w:rPr>
        <w:t>: Οφθαλμολογικός, άλλος αντιλοιμώδης, συνθετικός αντιβακτηριακός παράγοντας της τάξης των φθοροκινολονών</w:t>
      </w:r>
    </w:p>
    <w:bookmarkEnd w:id="12"/>
    <w:p w:rsidR="00360B1F" w:rsidRPr="008F0F70" w:rsidRDefault="00360B1F" w:rsidP="00360B1F">
      <w:pPr>
        <w:shd w:val="clear" w:color="auto" w:fill="FFFFFF"/>
        <w:jc w:val="both"/>
        <w:rPr>
          <w:sz w:val="22"/>
          <w:szCs w:val="22"/>
        </w:rPr>
      </w:pPr>
      <w:r w:rsidRPr="008F0F70">
        <w:rPr>
          <w:sz w:val="22"/>
          <w:szCs w:val="22"/>
        </w:rPr>
        <w:t xml:space="preserve">Κωδικός ATC: S01AX19 </w:t>
      </w:r>
    </w:p>
    <w:p w:rsidR="00360B1F" w:rsidRPr="008F0F70" w:rsidRDefault="00360B1F" w:rsidP="007D6925">
      <w:pPr>
        <w:jc w:val="both"/>
        <w:rPr>
          <w:sz w:val="22"/>
          <w:szCs w:val="22"/>
        </w:rPr>
      </w:pPr>
      <w:r w:rsidRPr="008F0F70">
        <w:rPr>
          <w:sz w:val="22"/>
          <w:szCs w:val="22"/>
        </w:rPr>
        <w:t>Η λεβοφλοξασίνη είναι το L</w:t>
      </w:r>
      <w:r w:rsidR="00EE436B">
        <w:rPr>
          <w:sz w:val="22"/>
          <w:szCs w:val="22"/>
        </w:rPr>
        <w:noBreakHyphen/>
      </w:r>
      <w:r w:rsidRPr="008F0F70">
        <w:rPr>
          <w:sz w:val="22"/>
          <w:szCs w:val="22"/>
        </w:rPr>
        <w:t xml:space="preserve">ισομερές της ρακεμικής φαρμακευτικής ουσίας οφλοξασίνη. Η αντιβακτηριακή δράση της οφλοξασίνης </w:t>
      </w:r>
      <w:r w:rsidR="007D6925" w:rsidRPr="008F0F70">
        <w:rPr>
          <w:sz w:val="22"/>
          <w:szCs w:val="22"/>
        </w:rPr>
        <w:t xml:space="preserve">οφείλεται </w:t>
      </w:r>
      <w:r w:rsidRPr="008F0F70">
        <w:rPr>
          <w:sz w:val="22"/>
          <w:szCs w:val="22"/>
        </w:rPr>
        <w:t>κυρίως στο L</w:t>
      </w:r>
      <w:r w:rsidR="00EE436B">
        <w:rPr>
          <w:sz w:val="22"/>
          <w:szCs w:val="22"/>
        </w:rPr>
        <w:noBreakHyphen/>
      </w:r>
      <w:r w:rsidRPr="008F0F70">
        <w:rPr>
          <w:sz w:val="22"/>
          <w:szCs w:val="22"/>
        </w:rPr>
        <w:t>ισομερές.</w:t>
      </w:r>
    </w:p>
    <w:p w:rsidR="00565611" w:rsidRPr="008F0F70" w:rsidRDefault="00565611" w:rsidP="006C4353">
      <w:pPr>
        <w:jc w:val="both"/>
        <w:rPr>
          <w:sz w:val="22"/>
          <w:szCs w:val="22"/>
        </w:rPr>
      </w:pPr>
    </w:p>
    <w:p w:rsidR="00360B1F" w:rsidRPr="008F0F70" w:rsidRDefault="00360B1F" w:rsidP="00360B1F">
      <w:pPr>
        <w:jc w:val="both"/>
        <w:rPr>
          <w:i/>
          <w:sz w:val="22"/>
          <w:szCs w:val="22"/>
        </w:rPr>
      </w:pPr>
      <w:r w:rsidRPr="008F0F70">
        <w:rPr>
          <w:i/>
          <w:sz w:val="22"/>
          <w:szCs w:val="22"/>
        </w:rPr>
        <w:t>Μηχανισμός δράσης</w:t>
      </w:r>
    </w:p>
    <w:p w:rsidR="00401235" w:rsidRPr="008F0F70" w:rsidRDefault="00401235" w:rsidP="005464A6">
      <w:pPr>
        <w:jc w:val="both"/>
        <w:rPr>
          <w:sz w:val="22"/>
          <w:szCs w:val="22"/>
        </w:rPr>
      </w:pPr>
      <w:r w:rsidRPr="008F0F70">
        <w:rPr>
          <w:sz w:val="22"/>
          <w:szCs w:val="22"/>
        </w:rPr>
        <w:t>Ως αντιβακτηριακός παράγοντας της κατηγορίας των φθοροκινολονών, η λεβοφλοξασίνη αναστέλλει τις βακτηριακές τύπου ΙΙ τοποϊσομεράσες DNA γυράση και τοποϊσομ</w:t>
      </w:r>
      <w:r w:rsidR="009F4F93">
        <w:rPr>
          <w:sz w:val="22"/>
          <w:szCs w:val="22"/>
        </w:rPr>
        <w:t xml:space="preserve">εράση </w:t>
      </w:r>
      <w:r w:rsidRPr="008F0F70">
        <w:rPr>
          <w:sz w:val="22"/>
          <w:szCs w:val="22"/>
        </w:rPr>
        <w:t>IV. Η λεβοφλοξασίνη στοχεύει κατά προτίμηση την DNA γυράση στα Gram</w:t>
      </w:r>
      <w:r w:rsidR="00EE436B">
        <w:rPr>
          <w:sz w:val="22"/>
          <w:szCs w:val="22"/>
        </w:rPr>
        <w:noBreakHyphen/>
      </w:r>
      <w:r w:rsidRPr="008F0F70">
        <w:rPr>
          <w:sz w:val="22"/>
          <w:szCs w:val="22"/>
        </w:rPr>
        <w:t>αρνητικά βακτήρια και την τοποϊσομέραση IV στα Gram</w:t>
      </w:r>
      <w:r w:rsidR="00EE436B">
        <w:rPr>
          <w:sz w:val="22"/>
          <w:szCs w:val="22"/>
        </w:rPr>
        <w:noBreakHyphen/>
      </w:r>
      <w:r w:rsidRPr="008F0F70">
        <w:rPr>
          <w:sz w:val="22"/>
          <w:szCs w:val="22"/>
        </w:rPr>
        <w:t>θετικά βακτήρια.</w:t>
      </w:r>
    </w:p>
    <w:p w:rsidR="0025487E" w:rsidRPr="008F0F70" w:rsidRDefault="0025487E" w:rsidP="006C4353">
      <w:pPr>
        <w:jc w:val="both"/>
        <w:rPr>
          <w:sz w:val="22"/>
          <w:szCs w:val="22"/>
        </w:rPr>
      </w:pPr>
    </w:p>
    <w:p w:rsidR="00360B1F" w:rsidRPr="008F0F70" w:rsidRDefault="00360B1F" w:rsidP="00360B1F">
      <w:pPr>
        <w:jc w:val="both"/>
        <w:rPr>
          <w:i/>
          <w:sz w:val="22"/>
          <w:szCs w:val="22"/>
        </w:rPr>
      </w:pPr>
      <w:r w:rsidRPr="008F0F70">
        <w:rPr>
          <w:i/>
          <w:sz w:val="22"/>
          <w:szCs w:val="22"/>
        </w:rPr>
        <w:t>Μηχανισµοί ανθεκτικότητας</w:t>
      </w:r>
    </w:p>
    <w:p w:rsidR="00360B1F" w:rsidRPr="008F0F70" w:rsidRDefault="00401235" w:rsidP="005464A6">
      <w:pPr>
        <w:widowControl w:val="0"/>
        <w:autoSpaceDE w:val="0"/>
        <w:autoSpaceDN w:val="0"/>
        <w:adjustRightInd w:val="0"/>
        <w:jc w:val="both"/>
        <w:rPr>
          <w:sz w:val="22"/>
          <w:szCs w:val="22"/>
        </w:rPr>
      </w:pPr>
      <w:r w:rsidRPr="008F0F70">
        <w:rPr>
          <w:sz w:val="22"/>
          <w:szCs w:val="22"/>
        </w:rPr>
        <w:t>Β</w:t>
      </w:r>
      <w:r w:rsidR="00360B1F" w:rsidRPr="008F0F70">
        <w:rPr>
          <w:sz w:val="22"/>
          <w:szCs w:val="22"/>
        </w:rPr>
        <w:t>ακτηριακή ανθεκτικότητα σ</w:t>
      </w:r>
      <w:r w:rsidRPr="008F0F70">
        <w:rPr>
          <w:sz w:val="22"/>
          <w:szCs w:val="22"/>
        </w:rPr>
        <w:t xml:space="preserve">τη </w:t>
      </w:r>
      <w:r w:rsidR="00360B1F" w:rsidRPr="008F0F70">
        <w:rPr>
          <w:sz w:val="22"/>
          <w:szCs w:val="22"/>
        </w:rPr>
        <w:t xml:space="preserve">λεβοφλοξασίνη μπορεί να αναπτυχθεί κυρίως </w:t>
      </w:r>
      <w:r w:rsidRPr="008F0F70">
        <w:rPr>
          <w:sz w:val="22"/>
          <w:szCs w:val="22"/>
        </w:rPr>
        <w:t xml:space="preserve">μέσω </w:t>
      </w:r>
      <w:r w:rsidR="00360B1F" w:rsidRPr="008F0F70">
        <w:rPr>
          <w:sz w:val="22"/>
          <w:szCs w:val="22"/>
        </w:rPr>
        <w:t>δύο κύριων μηχανισμών</w:t>
      </w:r>
      <w:r w:rsidRPr="008F0F70">
        <w:rPr>
          <w:sz w:val="22"/>
          <w:szCs w:val="22"/>
        </w:rPr>
        <w:t>:</w:t>
      </w:r>
      <w:r w:rsidR="00360B1F" w:rsidRPr="008F0F70">
        <w:rPr>
          <w:sz w:val="22"/>
          <w:szCs w:val="22"/>
        </w:rPr>
        <w:t xml:space="preserve"> τη</w:t>
      </w:r>
      <w:r w:rsidRPr="008F0F70">
        <w:rPr>
          <w:sz w:val="22"/>
          <w:szCs w:val="22"/>
        </w:rPr>
        <w:t>ς</w:t>
      </w:r>
      <w:r w:rsidR="00360B1F" w:rsidRPr="008F0F70">
        <w:rPr>
          <w:sz w:val="22"/>
          <w:szCs w:val="22"/>
        </w:rPr>
        <w:t xml:space="preserve"> μείωση</w:t>
      </w:r>
      <w:r w:rsidRPr="008F0F70">
        <w:rPr>
          <w:sz w:val="22"/>
          <w:szCs w:val="22"/>
        </w:rPr>
        <w:t>ς</w:t>
      </w:r>
      <w:r w:rsidR="00360B1F" w:rsidRPr="008F0F70">
        <w:rPr>
          <w:sz w:val="22"/>
          <w:szCs w:val="22"/>
        </w:rPr>
        <w:t xml:space="preserve"> της ενδοβακτηριακής συγκέντρωσης </w:t>
      </w:r>
      <w:r w:rsidRPr="008F0F70">
        <w:rPr>
          <w:sz w:val="22"/>
          <w:szCs w:val="22"/>
        </w:rPr>
        <w:t xml:space="preserve">του </w:t>
      </w:r>
      <w:r w:rsidR="00360B1F" w:rsidRPr="008F0F70">
        <w:rPr>
          <w:sz w:val="22"/>
          <w:szCs w:val="22"/>
        </w:rPr>
        <w:t>φαρμάκου, ή των μεταβολών στα ένζυμα</w:t>
      </w:r>
      <w:r w:rsidR="00EE436B">
        <w:rPr>
          <w:sz w:val="22"/>
          <w:szCs w:val="22"/>
        </w:rPr>
        <w:noBreakHyphen/>
      </w:r>
      <w:r w:rsidR="00360B1F" w:rsidRPr="008F0F70">
        <w:rPr>
          <w:sz w:val="22"/>
          <w:szCs w:val="22"/>
        </w:rPr>
        <w:t>στόχους του φαρμάκου. Οι μεταβολές του σημείου</w:t>
      </w:r>
      <w:r w:rsidR="00EE436B">
        <w:rPr>
          <w:sz w:val="22"/>
          <w:szCs w:val="22"/>
        </w:rPr>
        <w:noBreakHyphen/>
      </w:r>
      <w:r w:rsidR="00360B1F" w:rsidRPr="008F0F70">
        <w:rPr>
          <w:sz w:val="22"/>
          <w:szCs w:val="22"/>
        </w:rPr>
        <w:t>στόχου είναι αποτέλεσμα των μεταλλάξεων στα χρωμοσωμικά γονίδια που κωδικοποιούν τη DNA γυράση (</w:t>
      </w:r>
      <w:r w:rsidR="00360B1F" w:rsidRPr="008F0F70">
        <w:rPr>
          <w:i/>
          <w:sz w:val="22"/>
          <w:szCs w:val="22"/>
        </w:rPr>
        <w:t xml:space="preserve">gyrA </w:t>
      </w:r>
      <w:r w:rsidR="00360B1F" w:rsidRPr="008F0F70">
        <w:rPr>
          <w:sz w:val="22"/>
          <w:szCs w:val="22"/>
        </w:rPr>
        <w:t xml:space="preserve">και </w:t>
      </w:r>
      <w:r w:rsidR="00360B1F" w:rsidRPr="008F0F70">
        <w:rPr>
          <w:i/>
          <w:sz w:val="22"/>
          <w:szCs w:val="22"/>
        </w:rPr>
        <w:t>gyrB</w:t>
      </w:r>
      <w:r w:rsidR="00360B1F" w:rsidRPr="008F0F70">
        <w:rPr>
          <w:sz w:val="22"/>
          <w:szCs w:val="22"/>
        </w:rPr>
        <w:t>) και την τοποϊσομεράση IV (</w:t>
      </w:r>
      <w:r w:rsidR="00360B1F" w:rsidRPr="008F0F70">
        <w:rPr>
          <w:i/>
          <w:sz w:val="22"/>
          <w:szCs w:val="22"/>
        </w:rPr>
        <w:t>parC</w:t>
      </w:r>
      <w:r w:rsidR="00360B1F" w:rsidRPr="008F0F70">
        <w:rPr>
          <w:sz w:val="22"/>
          <w:szCs w:val="22"/>
        </w:rPr>
        <w:t xml:space="preserve"> και </w:t>
      </w:r>
      <w:r w:rsidR="006C3F5F" w:rsidRPr="008F0F70">
        <w:rPr>
          <w:i/>
          <w:sz w:val="22"/>
          <w:szCs w:val="22"/>
        </w:rPr>
        <w:t>pare,</w:t>
      </w:r>
      <w:r w:rsidR="00360B1F" w:rsidRPr="008F0F70">
        <w:rPr>
          <w:sz w:val="22"/>
          <w:szCs w:val="22"/>
        </w:rPr>
        <w:t xml:space="preserve"> </w:t>
      </w:r>
      <w:r w:rsidR="00360B1F" w:rsidRPr="008F0F70">
        <w:rPr>
          <w:i/>
          <w:sz w:val="22"/>
          <w:szCs w:val="22"/>
        </w:rPr>
        <w:t>grlA</w:t>
      </w:r>
      <w:r w:rsidR="00360B1F" w:rsidRPr="008F0F70">
        <w:rPr>
          <w:sz w:val="22"/>
          <w:szCs w:val="22"/>
        </w:rPr>
        <w:t xml:space="preserve"> και </w:t>
      </w:r>
      <w:r w:rsidR="00360B1F" w:rsidRPr="008F0F70">
        <w:rPr>
          <w:i/>
          <w:sz w:val="22"/>
          <w:szCs w:val="22"/>
        </w:rPr>
        <w:t>grlB</w:t>
      </w:r>
      <w:r w:rsidR="00360B1F" w:rsidRPr="008F0F70">
        <w:rPr>
          <w:sz w:val="22"/>
          <w:szCs w:val="22"/>
        </w:rPr>
        <w:t xml:space="preserve"> στον </w:t>
      </w:r>
      <w:r w:rsidR="00360B1F" w:rsidRPr="008F0F70">
        <w:rPr>
          <w:i/>
          <w:sz w:val="22"/>
          <w:szCs w:val="22"/>
        </w:rPr>
        <w:t>Staphylococcus aureus</w:t>
      </w:r>
      <w:r w:rsidR="00360B1F" w:rsidRPr="008F0F70">
        <w:rPr>
          <w:sz w:val="22"/>
          <w:szCs w:val="22"/>
        </w:rPr>
        <w:t xml:space="preserve">). Η ανθεκτικότητα λόγω της χαμηλής ενδοβακτηριακής συγκέντρωσης του φαρμάκου </w:t>
      </w:r>
      <w:r w:rsidR="00D40256" w:rsidRPr="008F0F70">
        <w:rPr>
          <w:sz w:val="22"/>
          <w:szCs w:val="22"/>
        </w:rPr>
        <w:t xml:space="preserve">οφείλεται </w:t>
      </w:r>
      <w:r w:rsidR="00360B1F" w:rsidRPr="008F0F70">
        <w:rPr>
          <w:sz w:val="22"/>
          <w:szCs w:val="22"/>
        </w:rPr>
        <w:t xml:space="preserve">είτε </w:t>
      </w:r>
      <w:r w:rsidR="00D40256" w:rsidRPr="008F0F70">
        <w:rPr>
          <w:sz w:val="22"/>
          <w:szCs w:val="22"/>
        </w:rPr>
        <w:t>σ</w:t>
      </w:r>
      <w:r w:rsidR="00760108" w:rsidRPr="008F0F70">
        <w:rPr>
          <w:sz w:val="22"/>
          <w:szCs w:val="22"/>
        </w:rPr>
        <w:t xml:space="preserve">την </w:t>
      </w:r>
      <w:r w:rsidR="0098742D" w:rsidRPr="008F0F70">
        <w:rPr>
          <w:sz w:val="22"/>
          <w:szCs w:val="22"/>
        </w:rPr>
        <w:t xml:space="preserve">αλλαγή των πορινών </w:t>
      </w:r>
      <w:r w:rsidR="00360B1F" w:rsidRPr="008F0F70">
        <w:rPr>
          <w:sz w:val="22"/>
          <w:szCs w:val="22"/>
        </w:rPr>
        <w:t>της εξωτερικής μεμβράνης (OmpF) που οδηγ</w:t>
      </w:r>
      <w:r w:rsidR="00274666" w:rsidRPr="008F0F70">
        <w:rPr>
          <w:sz w:val="22"/>
          <w:szCs w:val="22"/>
        </w:rPr>
        <w:t xml:space="preserve">εί </w:t>
      </w:r>
      <w:r w:rsidR="00360B1F" w:rsidRPr="008F0F70">
        <w:rPr>
          <w:sz w:val="22"/>
          <w:szCs w:val="22"/>
        </w:rPr>
        <w:t>σ</w:t>
      </w:r>
      <w:r w:rsidR="00E42AAC" w:rsidRPr="008F0F70">
        <w:rPr>
          <w:sz w:val="22"/>
          <w:szCs w:val="22"/>
        </w:rPr>
        <w:t xml:space="preserve">ε </w:t>
      </w:r>
      <w:r w:rsidR="00360B1F" w:rsidRPr="008F0F70">
        <w:rPr>
          <w:sz w:val="22"/>
          <w:szCs w:val="22"/>
        </w:rPr>
        <w:t>μειωμένη είσοδο των φθοροκινολονών στα Gram</w:t>
      </w:r>
      <w:r w:rsidR="00EE436B">
        <w:rPr>
          <w:sz w:val="22"/>
          <w:szCs w:val="22"/>
        </w:rPr>
        <w:noBreakHyphen/>
      </w:r>
      <w:r w:rsidR="00360B1F" w:rsidRPr="008F0F70">
        <w:rPr>
          <w:sz w:val="22"/>
          <w:szCs w:val="22"/>
        </w:rPr>
        <w:t>αρνητικά βακτήρια</w:t>
      </w:r>
      <w:r w:rsidR="00DC60F3" w:rsidRPr="008F0F70">
        <w:rPr>
          <w:sz w:val="22"/>
          <w:szCs w:val="22"/>
        </w:rPr>
        <w:t>,</w:t>
      </w:r>
      <w:r w:rsidR="00360B1F" w:rsidRPr="008F0F70">
        <w:rPr>
          <w:sz w:val="22"/>
          <w:szCs w:val="22"/>
        </w:rPr>
        <w:t xml:space="preserve"> είτε </w:t>
      </w:r>
      <w:r w:rsidR="00DC60F3" w:rsidRPr="008F0F70">
        <w:rPr>
          <w:sz w:val="22"/>
          <w:szCs w:val="22"/>
        </w:rPr>
        <w:t>σ</w:t>
      </w:r>
      <w:r w:rsidR="00360B1F" w:rsidRPr="008F0F70">
        <w:rPr>
          <w:sz w:val="22"/>
          <w:szCs w:val="22"/>
        </w:rPr>
        <w:t xml:space="preserve">τις αντλίες εκροής. </w:t>
      </w:r>
      <w:r w:rsidR="00603182" w:rsidRPr="008F0F70">
        <w:rPr>
          <w:sz w:val="22"/>
          <w:szCs w:val="22"/>
        </w:rPr>
        <w:t>Ο</w:t>
      </w:r>
      <w:r w:rsidR="004277A4" w:rsidRPr="008F0F70">
        <w:rPr>
          <w:sz w:val="22"/>
          <w:szCs w:val="22"/>
        </w:rPr>
        <w:t xml:space="preserve">φειλόμενη </w:t>
      </w:r>
      <w:r w:rsidR="00467BAD" w:rsidRPr="008F0F70">
        <w:rPr>
          <w:sz w:val="22"/>
          <w:szCs w:val="22"/>
        </w:rPr>
        <w:t>στις αντλίες εκροής</w:t>
      </w:r>
      <w:r w:rsidR="00360B1F" w:rsidRPr="008F0F70">
        <w:rPr>
          <w:sz w:val="22"/>
          <w:szCs w:val="22"/>
        </w:rPr>
        <w:t xml:space="preserve"> ανθεκτικότητα έχει περιγραφεί σε πνευμονόκοκκους (PmrA), σταφυλόκοκκους (NorA), αναερόβια και Gram</w:t>
      </w:r>
      <w:r w:rsidR="00EE436B">
        <w:rPr>
          <w:sz w:val="22"/>
          <w:szCs w:val="22"/>
        </w:rPr>
        <w:noBreakHyphen/>
      </w:r>
      <w:r w:rsidR="00360B1F" w:rsidRPr="008F0F70">
        <w:rPr>
          <w:sz w:val="22"/>
          <w:szCs w:val="22"/>
        </w:rPr>
        <w:t xml:space="preserve">αρνητικά βακτήρια. Τέλος, </w:t>
      </w:r>
      <w:r w:rsidR="00D618A0" w:rsidRPr="008F0F70">
        <w:rPr>
          <w:sz w:val="22"/>
          <w:szCs w:val="22"/>
        </w:rPr>
        <w:t xml:space="preserve">οφειλόμενη </w:t>
      </w:r>
      <w:r w:rsidR="003A0DDB" w:rsidRPr="008F0F70">
        <w:rPr>
          <w:sz w:val="22"/>
          <w:szCs w:val="22"/>
        </w:rPr>
        <w:t xml:space="preserve">σε </w:t>
      </w:r>
      <w:r w:rsidR="00360B1F" w:rsidRPr="008F0F70">
        <w:rPr>
          <w:sz w:val="22"/>
          <w:szCs w:val="22"/>
        </w:rPr>
        <w:t xml:space="preserve">πλασμίδιο ανθεκτικότητα </w:t>
      </w:r>
      <w:r w:rsidR="003A0DDB" w:rsidRPr="008F0F70">
        <w:rPr>
          <w:sz w:val="22"/>
          <w:szCs w:val="22"/>
        </w:rPr>
        <w:t xml:space="preserve">στις </w:t>
      </w:r>
      <w:r w:rsidR="00360B1F" w:rsidRPr="008F0F70">
        <w:rPr>
          <w:sz w:val="22"/>
          <w:szCs w:val="22"/>
        </w:rPr>
        <w:t xml:space="preserve">κινολόνες (καθορίζεται από το γονίδιο </w:t>
      </w:r>
      <w:r w:rsidR="00360B1F" w:rsidRPr="008F0F70">
        <w:rPr>
          <w:i/>
          <w:sz w:val="22"/>
          <w:szCs w:val="22"/>
        </w:rPr>
        <w:t>qnr</w:t>
      </w:r>
      <w:r w:rsidR="00360B1F" w:rsidRPr="008F0F70">
        <w:rPr>
          <w:sz w:val="22"/>
          <w:szCs w:val="22"/>
        </w:rPr>
        <w:t xml:space="preserve">) έχει αναφερθεί σε </w:t>
      </w:r>
      <w:r w:rsidR="00360B1F" w:rsidRPr="008F0F70">
        <w:rPr>
          <w:i/>
          <w:sz w:val="22"/>
          <w:szCs w:val="22"/>
        </w:rPr>
        <w:t>Klebsiella pneumoniae</w:t>
      </w:r>
      <w:r w:rsidR="00360B1F" w:rsidRPr="008F0F70">
        <w:rPr>
          <w:sz w:val="22"/>
          <w:szCs w:val="22"/>
        </w:rPr>
        <w:t xml:space="preserve"> και σε </w:t>
      </w:r>
      <w:r w:rsidR="00360B1F" w:rsidRPr="008F0F70">
        <w:rPr>
          <w:i/>
          <w:sz w:val="22"/>
          <w:szCs w:val="22"/>
        </w:rPr>
        <w:t>E. coli</w:t>
      </w:r>
      <w:r w:rsidR="00360B1F" w:rsidRPr="008F0F70">
        <w:rPr>
          <w:sz w:val="22"/>
          <w:szCs w:val="22"/>
        </w:rPr>
        <w:t>.</w:t>
      </w:r>
    </w:p>
    <w:p w:rsidR="00FB4AA6" w:rsidRPr="008F0F70" w:rsidRDefault="00FB4AA6" w:rsidP="006C4353">
      <w:pPr>
        <w:jc w:val="both"/>
        <w:rPr>
          <w:sz w:val="22"/>
          <w:szCs w:val="22"/>
        </w:rPr>
      </w:pPr>
    </w:p>
    <w:p w:rsidR="00360B1F" w:rsidRPr="008F0F70" w:rsidRDefault="00360B1F" w:rsidP="00360B1F">
      <w:pPr>
        <w:jc w:val="both"/>
        <w:rPr>
          <w:i/>
          <w:sz w:val="22"/>
          <w:szCs w:val="22"/>
        </w:rPr>
      </w:pPr>
      <w:r w:rsidRPr="008F0F70">
        <w:rPr>
          <w:i/>
          <w:sz w:val="22"/>
          <w:szCs w:val="22"/>
        </w:rPr>
        <w:t>Διασταυρούμενη ανθεκτικότητα</w:t>
      </w:r>
    </w:p>
    <w:p w:rsidR="001D2769" w:rsidRPr="008F0F70" w:rsidRDefault="001D2769" w:rsidP="007872A4">
      <w:pPr>
        <w:jc w:val="both"/>
        <w:rPr>
          <w:sz w:val="22"/>
          <w:szCs w:val="22"/>
        </w:rPr>
      </w:pPr>
      <w:r w:rsidRPr="008F0F70">
        <w:rPr>
          <w:sz w:val="22"/>
          <w:szCs w:val="22"/>
        </w:rPr>
        <w:t xml:space="preserve">Μπορεί να εμφανιστεί διασταυρούμενη ανθεκτικότητα μεταξύ των φθοροκινολονών. </w:t>
      </w:r>
      <w:r w:rsidR="00E67C02" w:rsidRPr="008F0F70">
        <w:rPr>
          <w:sz w:val="22"/>
          <w:szCs w:val="22"/>
        </w:rPr>
        <w:t>Οι μ</w:t>
      </w:r>
      <w:r w:rsidRPr="008F0F70">
        <w:rPr>
          <w:sz w:val="22"/>
          <w:szCs w:val="22"/>
        </w:rPr>
        <w:t xml:space="preserve">εμονωμένες μεταλλάξεις μπορεί να μην οδηγήσουν σε κλινική ανθεκτικότητα, αλλά οι πολλαπλές μεταλλάξεις γενικά οδηγούν σε κλινική ανθεκτικότητα σε όλα τα φάρμακα της κατηγορίας των φθοροκινολονών. Οι </w:t>
      </w:r>
      <w:r w:rsidR="007872A4" w:rsidRPr="008F0F70">
        <w:rPr>
          <w:sz w:val="22"/>
          <w:szCs w:val="22"/>
        </w:rPr>
        <w:t xml:space="preserve">αλλαγές στις </w:t>
      </w:r>
      <w:r w:rsidRPr="008F0F70">
        <w:rPr>
          <w:sz w:val="22"/>
          <w:szCs w:val="22"/>
        </w:rPr>
        <w:t xml:space="preserve">πορίνες της εξωτερικής μεμβράνης και </w:t>
      </w:r>
      <w:r w:rsidR="002326B2" w:rsidRPr="008F0F70">
        <w:rPr>
          <w:sz w:val="22"/>
          <w:szCs w:val="22"/>
        </w:rPr>
        <w:t>σ</w:t>
      </w:r>
      <w:r w:rsidRPr="008F0F70">
        <w:rPr>
          <w:sz w:val="22"/>
          <w:szCs w:val="22"/>
        </w:rPr>
        <w:t xml:space="preserve">τα συστήματα εκροής μπορεί να έχουν μία ευρεία ειδικότητα υποστρώματος, στοχεύοντας </w:t>
      </w:r>
      <w:r w:rsidR="000D1D40" w:rsidRPr="008F0F70">
        <w:rPr>
          <w:sz w:val="22"/>
          <w:szCs w:val="22"/>
        </w:rPr>
        <w:t xml:space="preserve">σε </w:t>
      </w:r>
      <w:r w:rsidRPr="008F0F70">
        <w:rPr>
          <w:sz w:val="22"/>
          <w:szCs w:val="22"/>
        </w:rPr>
        <w:t xml:space="preserve">διάφορες κατηγορίες αντιβακτηριακών παραγόντων </w:t>
      </w:r>
      <w:r w:rsidR="000D1D40" w:rsidRPr="008F0F70">
        <w:rPr>
          <w:sz w:val="22"/>
          <w:szCs w:val="22"/>
        </w:rPr>
        <w:t xml:space="preserve">και </w:t>
      </w:r>
      <w:r w:rsidRPr="008F0F70">
        <w:rPr>
          <w:sz w:val="22"/>
          <w:szCs w:val="22"/>
        </w:rPr>
        <w:t>οδηγώντας σε πολυανθεκτικότητα.</w:t>
      </w:r>
    </w:p>
    <w:p w:rsidR="00565611" w:rsidRPr="008F0F70" w:rsidRDefault="00565611" w:rsidP="006C4353">
      <w:pPr>
        <w:jc w:val="both"/>
        <w:rPr>
          <w:i/>
          <w:iCs/>
          <w:sz w:val="22"/>
          <w:szCs w:val="22"/>
          <w:highlight w:val="yellow"/>
        </w:rPr>
      </w:pPr>
    </w:p>
    <w:p w:rsidR="001D2769" w:rsidRPr="008F0F70" w:rsidRDefault="001D2769" w:rsidP="001D2769">
      <w:pPr>
        <w:jc w:val="both"/>
        <w:rPr>
          <w:i/>
          <w:sz w:val="22"/>
          <w:szCs w:val="22"/>
        </w:rPr>
      </w:pPr>
      <w:r w:rsidRPr="008F0F70">
        <w:rPr>
          <w:i/>
          <w:sz w:val="22"/>
          <w:szCs w:val="22"/>
        </w:rPr>
        <w:t>Όρια ευαισθησίας</w:t>
      </w:r>
    </w:p>
    <w:p w:rsidR="001D2769" w:rsidRPr="008F0F70" w:rsidRDefault="001D2769" w:rsidP="001D2769">
      <w:pPr>
        <w:widowControl w:val="0"/>
        <w:autoSpaceDE w:val="0"/>
        <w:autoSpaceDN w:val="0"/>
        <w:adjustRightInd w:val="0"/>
        <w:jc w:val="both"/>
        <w:rPr>
          <w:sz w:val="22"/>
          <w:szCs w:val="22"/>
        </w:rPr>
      </w:pPr>
      <w:r w:rsidRPr="008F0F70">
        <w:rPr>
          <w:sz w:val="22"/>
          <w:szCs w:val="22"/>
        </w:rPr>
        <w:t>Τα όρια ευαισθησίας MIC τα οποία διαχωρίζουν τους ευαίσθητους οργανισμούς από τους ενδιάμεσης ευαισθησίας οργανισμούς και τους ενδιάμεσης ευαισθησίας οργανισμούς από τους ανθεκτικούς οργανισμούς σύμφωνα με τα όρια ευαισθησίας της EUCAST (Ευρωπαϊκής Επιτροπής Δοκιμής της Ευαισθησίας) είναι τα εξής:</w:t>
      </w:r>
    </w:p>
    <w:p w:rsidR="001D2769" w:rsidRPr="008F0F70" w:rsidRDefault="001D2769" w:rsidP="001D2769">
      <w:pPr>
        <w:widowControl w:val="0"/>
        <w:autoSpaceDE w:val="0"/>
        <w:autoSpaceDN w:val="0"/>
        <w:adjustRightInd w:val="0"/>
        <w:jc w:val="both"/>
        <w:rPr>
          <w:sz w:val="22"/>
          <w:szCs w:val="22"/>
        </w:rPr>
      </w:pPr>
      <w:r w:rsidRPr="008F0F70">
        <w:rPr>
          <w:i/>
          <w:sz w:val="22"/>
          <w:szCs w:val="22"/>
        </w:rPr>
        <w:t>Pseudomonas</w:t>
      </w:r>
      <w:r w:rsidRPr="008F0F70">
        <w:rPr>
          <w:sz w:val="22"/>
          <w:szCs w:val="22"/>
        </w:rPr>
        <w:t xml:space="preserve"> spp., </w:t>
      </w:r>
      <w:r w:rsidRPr="008F0F70">
        <w:rPr>
          <w:i/>
          <w:sz w:val="22"/>
          <w:szCs w:val="22"/>
        </w:rPr>
        <w:t>Staphylococcus</w:t>
      </w:r>
      <w:r w:rsidRPr="008F0F70">
        <w:rPr>
          <w:sz w:val="22"/>
          <w:szCs w:val="22"/>
        </w:rPr>
        <w:t xml:space="preserve"> spp., </w:t>
      </w:r>
      <w:r w:rsidRPr="008F0F70">
        <w:rPr>
          <w:i/>
          <w:sz w:val="22"/>
          <w:szCs w:val="22"/>
        </w:rPr>
        <w:t xml:space="preserve">Streptococcus </w:t>
      </w:r>
      <w:r w:rsidRPr="008F0F70">
        <w:rPr>
          <w:sz w:val="22"/>
          <w:szCs w:val="22"/>
        </w:rPr>
        <w:t>A,B,C,G:</w:t>
      </w:r>
    </w:p>
    <w:p w:rsidR="001D2769" w:rsidRPr="008F0F70" w:rsidRDefault="001D2769" w:rsidP="001D2769">
      <w:pPr>
        <w:widowControl w:val="0"/>
        <w:autoSpaceDE w:val="0"/>
        <w:autoSpaceDN w:val="0"/>
        <w:adjustRightInd w:val="0"/>
        <w:jc w:val="both"/>
        <w:rPr>
          <w:sz w:val="22"/>
          <w:szCs w:val="22"/>
        </w:rPr>
      </w:pPr>
      <w:r w:rsidRPr="008F0F70">
        <w:rPr>
          <w:sz w:val="22"/>
          <w:szCs w:val="22"/>
        </w:rPr>
        <w:t>Ευαίσθητοι ≤ 1 mg/L, ανθεκτικοί &gt; 2 mg/L</w:t>
      </w:r>
    </w:p>
    <w:p w:rsidR="001D2769" w:rsidRPr="008F0F70" w:rsidRDefault="001D2769" w:rsidP="001D2769">
      <w:pPr>
        <w:widowControl w:val="0"/>
        <w:autoSpaceDE w:val="0"/>
        <w:autoSpaceDN w:val="0"/>
        <w:adjustRightInd w:val="0"/>
        <w:jc w:val="both"/>
        <w:rPr>
          <w:sz w:val="22"/>
          <w:szCs w:val="22"/>
        </w:rPr>
      </w:pPr>
      <w:r w:rsidRPr="008F0F70">
        <w:rPr>
          <w:i/>
          <w:sz w:val="22"/>
          <w:szCs w:val="22"/>
        </w:rPr>
        <w:t>Streptococcus pneumoniae</w:t>
      </w:r>
      <w:r w:rsidRPr="008F0F70">
        <w:rPr>
          <w:sz w:val="22"/>
          <w:szCs w:val="22"/>
        </w:rPr>
        <w:t>: Ευαίσθητοι ≤ 2 mg/L, ανθεκτικοί &gt; 2 mg/L</w:t>
      </w:r>
    </w:p>
    <w:p w:rsidR="001D2769" w:rsidRPr="008F0F70" w:rsidRDefault="001D2769" w:rsidP="001D2769">
      <w:pPr>
        <w:widowControl w:val="0"/>
        <w:autoSpaceDE w:val="0"/>
        <w:autoSpaceDN w:val="0"/>
        <w:adjustRightInd w:val="0"/>
        <w:jc w:val="both"/>
        <w:rPr>
          <w:sz w:val="22"/>
          <w:szCs w:val="22"/>
        </w:rPr>
      </w:pPr>
      <w:r w:rsidRPr="008F0F70">
        <w:rPr>
          <w:i/>
          <w:sz w:val="22"/>
          <w:szCs w:val="22"/>
        </w:rPr>
        <w:t>Haemophilus influenzae</w:t>
      </w:r>
      <w:r w:rsidRPr="008F0F70">
        <w:rPr>
          <w:sz w:val="22"/>
          <w:szCs w:val="22"/>
        </w:rPr>
        <w:t xml:space="preserve">, </w:t>
      </w:r>
      <w:r w:rsidRPr="008F0F70">
        <w:rPr>
          <w:i/>
          <w:sz w:val="22"/>
          <w:szCs w:val="22"/>
        </w:rPr>
        <w:t>Moraxella catarrhalis</w:t>
      </w:r>
      <w:r w:rsidRPr="008F0F70">
        <w:rPr>
          <w:sz w:val="22"/>
          <w:szCs w:val="22"/>
        </w:rPr>
        <w:t>: Ευαίσθητοι ≤ 1mg/L, ανθεκτικοί &gt; 1mg/L</w:t>
      </w:r>
    </w:p>
    <w:p w:rsidR="001D2769" w:rsidRPr="008F0F70" w:rsidRDefault="001D2769" w:rsidP="001D2769">
      <w:pPr>
        <w:widowControl w:val="0"/>
        <w:autoSpaceDE w:val="0"/>
        <w:autoSpaceDN w:val="0"/>
        <w:adjustRightInd w:val="0"/>
        <w:jc w:val="both"/>
        <w:rPr>
          <w:i/>
          <w:sz w:val="22"/>
          <w:szCs w:val="22"/>
        </w:rPr>
      </w:pPr>
      <w:r w:rsidRPr="008F0F70">
        <w:rPr>
          <w:sz w:val="22"/>
          <w:szCs w:val="22"/>
        </w:rPr>
        <w:t>Όλα τα άλλα παθογόνα: Ευαίσθητοι ≤ 1mg/L, ανθεκτικοί &gt; 2mg/L</w:t>
      </w:r>
    </w:p>
    <w:p w:rsidR="006C449E" w:rsidRPr="008F0F70" w:rsidRDefault="006C449E" w:rsidP="006C4353">
      <w:pPr>
        <w:jc w:val="both"/>
        <w:rPr>
          <w:i/>
          <w:iCs/>
          <w:sz w:val="22"/>
          <w:szCs w:val="22"/>
        </w:rPr>
      </w:pPr>
    </w:p>
    <w:p w:rsidR="001D2769" w:rsidRPr="008F0F70" w:rsidRDefault="001D2769" w:rsidP="001D2769">
      <w:pPr>
        <w:jc w:val="both"/>
        <w:rPr>
          <w:i/>
          <w:sz w:val="22"/>
          <w:szCs w:val="22"/>
        </w:rPr>
      </w:pPr>
      <w:r w:rsidRPr="008F0F70">
        <w:rPr>
          <w:i/>
          <w:sz w:val="22"/>
          <w:szCs w:val="22"/>
        </w:rPr>
        <w:t>Αντιβακτηριακό φάσμα</w:t>
      </w:r>
    </w:p>
    <w:p w:rsidR="001D2769" w:rsidRPr="008F0F70" w:rsidRDefault="001D2769" w:rsidP="003B6230">
      <w:pPr>
        <w:widowControl w:val="0"/>
        <w:autoSpaceDE w:val="0"/>
        <w:autoSpaceDN w:val="0"/>
        <w:adjustRightInd w:val="0"/>
        <w:jc w:val="both"/>
        <w:rPr>
          <w:sz w:val="22"/>
          <w:szCs w:val="22"/>
        </w:rPr>
      </w:pPr>
      <w:r w:rsidRPr="008F0F70">
        <w:rPr>
          <w:sz w:val="22"/>
          <w:szCs w:val="22"/>
        </w:rPr>
        <w:t xml:space="preserve">Ο επιπολασµός της επίκτητης ανθεκτικότητας µπορεί να ποικίλλει ανάλογα με τη γεωγραφική περιοχή και το χρόνο για </w:t>
      </w:r>
      <w:r w:rsidR="009F4F93" w:rsidRPr="008F0F70">
        <w:rPr>
          <w:sz w:val="22"/>
          <w:szCs w:val="22"/>
        </w:rPr>
        <w:t>επιλεγμένα</w:t>
      </w:r>
      <w:r w:rsidRPr="008F0F70">
        <w:rPr>
          <w:sz w:val="22"/>
          <w:szCs w:val="22"/>
        </w:rPr>
        <w:t xml:space="preserve"> είδη και</w:t>
      </w:r>
      <w:r w:rsidR="005416AF" w:rsidRPr="008F0F70">
        <w:rPr>
          <w:sz w:val="22"/>
          <w:szCs w:val="22"/>
        </w:rPr>
        <w:t>, ως εκ τούτου,</w:t>
      </w:r>
      <w:r w:rsidRPr="008F0F70">
        <w:rPr>
          <w:sz w:val="22"/>
          <w:szCs w:val="22"/>
        </w:rPr>
        <w:t xml:space="preserve"> </w:t>
      </w:r>
      <w:r w:rsidR="005416AF" w:rsidRPr="008F0F70">
        <w:rPr>
          <w:sz w:val="22"/>
          <w:szCs w:val="22"/>
        </w:rPr>
        <w:t xml:space="preserve">οι ιατροί </w:t>
      </w:r>
      <w:r w:rsidRPr="008F0F70">
        <w:rPr>
          <w:sz w:val="22"/>
          <w:szCs w:val="22"/>
        </w:rPr>
        <w:t xml:space="preserve">είναι προτιμότερο να ανατρέχουν </w:t>
      </w:r>
      <w:r w:rsidR="005416AF" w:rsidRPr="008F0F70">
        <w:rPr>
          <w:sz w:val="22"/>
          <w:szCs w:val="22"/>
        </w:rPr>
        <w:t xml:space="preserve">στις </w:t>
      </w:r>
      <w:r w:rsidRPr="008F0F70">
        <w:rPr>
          <w:sz w:val="22"/>
          <w:szCs w:val="22"/>
        </w:rPr>
        <w:t xml:space="preserve">τοπικές πληροφορίες σχετικά µε την ανθεκτικότητα, ιδιαίτερα όταν έχουν να αντιμετωπίσουν σοβαρές λοιμώξεις. </w:t>
      </w:r>
      <w:r w:rsidR="00D90E8E" w:rsidRPr="008F0F70">
        <w:rPr>
          <w:sz w:val="22"/>
          <w:szCs w:val="22"/>
        </w:rPr>
        <w:t>Συνεπώς</w:t>
      </w:r>
      <w:r w:rsidRPr="008F0F70">
        <w:rPr>
          <w:sz w:val="22"/>
          <w:szCs w:val="22"/>
        </w:rPr>
        <w:t xml:space="preserve">, οι πληροφορίες που παρουσιάζονται παρέχουν μόνο μία κατά προσέγγιση </w:t>
      </w:r>
      <w:r w:rsidR="001273AF" w:rsidRPr="008F0F70">
        <w:rPr>
          <w:sz w:val="22"/>
          <w:szCs w:val="22"/>
        </w:rPr>
        <w:t xml:space="preserve">καθοδήγηση </w:t>
      </w:r>
      <w:r w:rsidRPr="008F0F70">
        <w:rPr>
          <w:sz w:val="22"/>
          <w:szCs w:val="22"/>
        </w:rPr>
        <w:t xml:space="preserve">ως προς τις πιθανότητες </w:t>
      </w:r>
      <w:r w:rsidR="001273AF" w:rsidRPr="008F0F70">
        <w:rPr>
          <w:sz w:val="22"/>
          <w:szCs w:val="22"/>
        </w:rPr>
        <w:t xml:space="preserve">να είναι </w:t>
      </w:r>
      <w:r w:rsidRPr="008F0F70">
        <w:rPr>
          <w:sz w:val="22"/>
          <w:szCs w:val="22"/>
        </w:rPr>
        <w:t xml:space="preserve">ένας μικροοργανισμός ευαίσθητος στη λεβοφλοξασίνη ή όχι. </w:t>
      </w:r>
      <w:r w:rsidR="00764077" w:rsidRPr="008F0F70">
        <w:rPr>
          <w:sz w:val="22"/>
          <w:szCs w:val="22"/>
        </w:rPr>
        <w:t>Αναλόγως των αναγκών</w:t>
      </w:r>
      <w:r w:rsidRPr="008F0F70">
        <w:rPr>
          <w:sz w:val="22"/>
          <w:szCs w:val="22"/>
        </w:rPr>
        <w:t>, θα πρέπει να ζητ</w:t>
      </w:r>
      <w:r w:rsidR="00764077" w:rsidRPr="008F0F70">
        <w:rPr>
          <w:sz w:val="22"/>
          <w:szCs w:val="22"/>
        </w:rPr>
        <w:t xml:space="preserve">είται </w:t>
      </w:r>
      <w:r w:rsidR="009F4F93" w:rsidRPr="008F0F70">
        <w:rPr>
          <w:sz w:val="22"/>
          <w:szCs w:val="22"/>
        </w:rPr>
        <w:t>συμβουλή</w:t>
      </w:r>
      <w:r w:rsidRPr="008F0F70">
        <w:rPr>
          <w:sz w:val="22"/>
          <w:szCs w:val="22"/>
        </w:rPr>
        <w:t xml:space="preserve"> </w:t>
      </w:r>
      <w:r w:rsidR="00764077" w:rsidRPr="008F0F70">
        <w:rPr>
          <w:sz w:val="22"/>
          <w:szCs w:val="22"/>
        </w:rPr>
        <w:t xml:space="preserve">ειδικού </w:t>
      </w:r>
      <w:r w:rsidRPr="008F0F70">
        <w:rPr>
          <w:sz w:val="22"/>
          <w:szCs w:val="22"/>
        </w:rPr>
        <w:t xml:space="preserve">όταν ο τοπικός επιπολασµός της ανθεκτικότητας είναι τέτοιος που να καθιστά </w:t>
      </w:r>
      <w:r w:rsidR="009F4F93" w:rsidRPr="008F0F70">
        <w:rPr>
          <w:sz w:val="22"/>
          <w:szCs w:val="22"/>
        </w:rPr>
        <w:t>αμφισβητήσιμη</w:t>
      </w:r>
      <w:r w:rsidR="003B6230" w:rsidRPr="008F0F70">
        <w:rPr>
          <w:sz w:val="22"/>
          <w:szCs w:val="22"/>
        </w:rPr>
        <w:t xml:space="preserve"> </w:t>
      </w:r>
      <w:r w:rsidRPr="008F0F70">
        <w:rPr>
          <w:sz w:val="22"/>
          <w:szCs w:val="22"/>
        </w:rPr>
        <w:t xml:space="preserve">τη </w:t>
      </w:r>
      <w:r w:rsidR="009F4F93" w:rsidRPr="008F0F70">
        <w:rPr>
          <w:sz w:val="22"/>
          <w:szCs w:val="22"/>
        </w:rPr>
        <w:t>χρησιμότητα</w:t>
      </w:r>
      <w:r w:rsidRPr="008F0F70">
        <w:rPr>
          <w:sz w:val="22"/>
          <w:szCs w:val="22"/>
        </w:rPr>
        <w:t xml:space="preserve"> του παράγοντα τουλάχιστον σε κάποιους τύπους </w:t>
      </w:r>
      <w:r w:rsidR="009F4F93" w:rsidRPr="008F0F70">
        <w:rPr>
          <w:sz w:val="22"/>
          <w:szCs w:val="22"/>
        </w:rPr>
        <w:t>λοιμώξεων</w:t>
      </w:r>
      <w:r w:rsidRPr="008F0F70">
        <w:rPr>
          <w:sz w:val="22"/>
          <w:szCs w:val="22"/>
        </w:rPr>
        <w:t>.</w:t>
      </w:r>
    </w:p>
    <w:p w:rsidR="001D2769" w:rsidRPr="008F0F70" w:rsidRDefault="00CA7A29" w:rsidP="00CA7A29">
      <w:pPr>
        <w:widowControl w:val="0"/>
        <w:autoSpaceDE w:val="0"/>
        <w:autoSpaceDN w:val="0"/>
        <w:adjustRightInd w:val="0"/>
        <w:jc w:val="both"/>
        <w:rPr>
          <w:sz w:val="22"/>
          <w:szCs w:val="22"/>
        </w:rPr>
      </w:pPr>
      <w:r w:rsidRPr="008F0F70">
        <w:rPr>
          <w:sz w:val="22"/>
          <w:szCs w:val="22"/>
        </w:rPr>
        <w:t>Στον παρακάτω πίνακα παρουσιάζονται μ</w:t>
      </w:r>
      <w:r w:rsidR="001D2769" w:rsidRPr="008F0F70">
        <w:rPr>
          <w:sz w:val="22"/>
          <w:szCs w:val="22"/>
        </w:rPr>
        <w:t>όνο τα είδη των βακτηρίων που κατά κανόνα ευθύνονται για εξωοφθαλμικές λοιμώξεις</w:t>
      </w:r>
      <w:r w:rsidRPr="008F0F70">
        <w:rPr>
          <w:sz w:val="22"/>
          <w:szCs w:val="22"/>
        </w:rPr>
        <w:t xml:space="preserve">, </w:t>
      </w:r>
      <w:r w:rsidR="001D2769" w:rsidRPr="008F0F70">
        <w:rPr>
          <w:sz w:val="22"/>
          <w:szCs w:val="22"/>
        </w:rPr>
        <w:t>όπως η επιπεφυκίτιδα.</w:t>
      </w:r>
    </w:p>
    <w:p w:rsidR="005978B2" w:rsidRPr="008F0F70" w:rsidRDefault="005978B2" w:rsidP="006C4353">
      <w:pPr>
        <w:widowControl w:val="0"/>
        <w:autoSpaceDE w:val="0"/>
        <w:autoSpaceDN w:val="0"/>
        <w:adjustRightInd w:val="0"/>
        <w:jc w:val="both"/>
        <w:rPr>
          <w:sz w:val="22"/>
          <w:szCs w:val="22"/>
        </w:rPr>
      </w:pPr>
    </w:p>
    <w:p w:rsidR="001D2769" w:rsidRPr="008F0F70" w:rsidRDefault="001D2769" w:rsidP="001D2769">
      <w:pPr>
        <w:widowControl w:val="0"/>
        <w:autoSpaceDE w:val="0"/>
        <w:autoSpaceDN w:val="0"/>
        <w:adjustRightInd w:val="0"/>
        <w:jc w:val="both"/>
        <w:rPr>
          <w:sz w:val="22"/>
          <w:szCs w:val="22"/>
        </w:rPr>
      </w:pPr>
      <w:r w:rsidRPr="008F0F70">
        <w:rPr>
          <w:sz w:val="22"/>
          <w:szCs w:val="22"/>
        </w:rPr>
        <w:t>Αντιβακτηριακό φάσμα – κατηγορία ευαισθησίας και χαρακτηριστικά ανθεκτικότητας σύμφωνα με τη EUCAST</w:t>
      </w:r>
    </w:p>
    <w:p w:rsidR="00A2442C" w:rsidRPr="008F0F70" w:rsidRDefault="00A2442C" w:rsidP="006C4353">
      <w:pPr>
        <w:autoSpaceDE w:val="0"/>
        <w:autoSpaceDN w:val="0"/>
        <w:adjustRightInd w:val="0"/>
        <w:jc w:val="both"/>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92"/>
        <w:gridCol w:w="2735"/>
        <w:gridCol w:w="4261"/>
      </w:tblGrid>
      <w:tr w:rsidR="00A2442C" w:rsidRPr="008F0F70">
        <w:tc>
          <w:tcPr>
            <w:tcW w:w="8522" w:type="dxa"/>
            <w:gridSpan w:val="4"/>
          </w:tcPr>
          <w:p w:rsidR="00A2442C" w:rsidRPr="008F0F70" w:rsidRDefault="001D2769" w:rsidP="001D2769">
            <w:pPr>
              <w:autoSpaceDE w:val="0"/>
              <w:autoSpaceDN w:val="0"/>
              <w:adjustRightInd w:val="0"/>
              <w:jc w:val="center"/>
              <w:rPr>
                <w:sz w:val="22"/>
                <w:szCs w:val="22"/>
              </w:rPr>
            </w:pPr>
            <w:r w:rsidRPr="008F0F70">
              <w:rPr>
                <w:b/>
                <w:sz w:val="22"/>
                <w:szCs w:val="22"/>
              </w:rPr>
              <w:t>Κατηγορία Ι: Συνήθη ευαίσθητα είδη</w:t>
            </w:r>
          </w:p>
        </w:tc>
      </w:tr>
      <w:tr w:rsidR="00A2442C" w:rsidRPr="008F0F70">
        <w:tc>
          <w:tcPr>
            <w:tcW w:w="8522" w:type="dxa"/>
            <w:gridSpan w:val="4"/>
          </w:tcPr>
          <w:p w:rsidR="00A2442C" w:rsidRPr="008F0F70" w:rsidRDefault="001D2769" w:rsidP="001D2769">
            <w:pPr>
              <w:autoSpaceDE w:val="0"/>
              <w:autoSpaceDN w:val="0"/>
              <w:adjustRightInd w:val="0"/>
              <w:jc w:val="both"/>
              <w:rPr>
                <w:sz w:val="22"/>
                <w:szCs w:val="22"/>
              </w:rPr>
            </w:pPr>
            <w:r w:rsidRPr="008F0F70">
              <w:rPr>
                <w:b/>
                <w:sz w:val="22"/>
                <w:szCs w:val="22"/>
              </w:rPr>
              <w:t>Αερόβιοι Gram</w:t>
            </w:r>
            <w:r w:rsidR="00EE436B">
              <w:rPr>
                <w:b/>
                <w:sz w:val="22"/>
                <w:szCs w:val="22"/>
              </w:rPr>
              <w:noBreakHyphen/>
            </w:r>
            <w:r w:rsidRPr="008F0F70">
              <w:rPr>
                <w:b/>
                <w:sz w:val="22"/>
                <w:szCs w:val="22"/>
              </w:rPr>
              <w:t>θετικοί μικροοργανισμοί</w:t>
            </w:r>
          </w:p>
        </w:tc>
      </w:tr>
      <w:tr w:rsidR="00A2442C" w:rsidRPr="008F0F70">
        <w:tc>
          <w:tcPr>
            <w:tcW w:w="8522" w:type="dxa"/>
            <w:gridSpan w:val="4"/>
          </w:tcPr>
          <w:p w:rsidR="00A2442C" w:rsidRPr="008F0F70" w:rsidRDefault="00A2442C" w:rsidP="00E41E82">
            <w:pPr>
              <w:autoSpaceDE w:val="0"/>
              <w:autoSpaceDN w:val="0"/>
              <w:adjustRightInd w:val="0"/>
              <w:jc w:val="both"/>
              <w:rPr>
                <w:sz w:val="22"/>
                <w:szCs w:val="22"/>
              </w:rPr>
            </w:pPr>
            <w:r w:rsidRPr="008F0F70">
              <w:rPr>
                <w:i/>
                <w:sz w:val="22"/>
                <w:szCs w:val="22"/>
              </w:rPr>
              <w:t>Staphylococcus aureus</w:t>
            </w:r>
            <w:r w:rsidRPr="008F0F70">
              <w:rPr>
                <w:sz w:val="22"/>
                <w:szCs w:val="22"/>
              </w:rPr>
              <w:t xml:space="preserve"> (MSSA)*</w:t>
            </w:r>
          </w:p>
        </w:tc>
      </w:tr>
      <w:tr w:rsidR="00A2442C" w:rsidRPr="008F0F70">
        <w:tc>
          <w:tcPr>
            <w:tcW w:w="8522" w:type="dxa"/>
            <w:gridSpan w:val="4"/>
          </w:tcPr>
          <w:p w:rsidR="00A2442C" w:rsidRPr="008F0F70" w:rsidRDefault="00A2442C" w:rsidP="00E41E82">
            <w:pPr>
              <w:autoSpaceDE w:val="0"/>
              <w:autoSpaceDN w:val="0"/>
              <w:adjustRightInd w:val="0"/>
              <w:jc w:val="both"/>
              <w:rPr>
                <w:i/>
                <w:sz w:val="22"/>
                <w:szCs w:val="22"/>
              </w:rPr>
            </w:pPr>
            <w:r w:rsidRPr="008F0F70">
              <w:rPr>
                <w:i/>
                <w:sz w:val="22"/>
                <w:szCs w:val="22"/>
              </w:rPr>
              <w:t xml:space="preserve">Streptococcus </w:t>
            </w:r>
            <w:r w:rsidR="005828C4" w:rsidRPr="008F0F70">
              <w:rPr>
                <w:i/>
                <w:sz w:val="22"/>
                <w:szCs w:val="22"/>
              </w:rPr>
              <w:t>pneumoniae</w:t>
            </w:r>
          </w:p>
        </w:tc>
      </w:tr>
      <w:tr w:rsidR="00A2442C" w:rsidRPr="008F0F70">
        <w:tc>
          <w:tcPr>
            <w:tcW w:w="8522" w:type="dxa"/>
            <w:gridSpan w:val="4"/>
          </w:tcPr>
          <w:p w:rsidR="00A2442C" w:rsidRPr="008F0F70" w:rsidRDefault="00A2442C" w:rsidP="00E41E82">
            <w:pPr>
              <w:autoSpaceDE w:val="0"/>
              <w:autoSpaceDN w:val="0"/>
              <w:adjustRightInd w:val="0"/>
              <w:jc w:val="both"/>
              <w:rPr>
                <w:i/>
                <w:sz w:val="22"/>
                <w:szCs w:val="22"/>
              </w:rPr>
            </w:pPr>
            <w:r w:rsidRPr="008F0F70">
              <w:rPr>
                <w:i/>
                <w:sz w:val="22"/>
                <w:szCs w:val="22"/>
              </w:rPr>
              <w:t>Streptococcus pyogenes</w:t>
            </w:r>
          </w:p>
        </w:tc>
      </w:tr>
      <w:tr w:rsidR="00A2442C" w:rsidRPr="008F0F70">
        <w:tc>
          <w:tcPr>
            <w:tcW w:w="8522" w:type="dxa"/>
            <w:gridSpan w:val="4"/>
          </w:tcPr>
          <w:p w:rsidR="00A2442C" w:rsidRPr="008F0F70" w:rsidRDefault="00EE2CD0" w:rsidP="00EE2CD0">
            <w:pPr>
              <w:autoSpaceDE w:val="0"/>
              <w:autoSpaceDN w:val="0"/>
              <w:adjustRightInd w:val="0"/>
              <w:jc w:val="both"/>
              <w:rPr>
                <w:sz w:val="22"/>
                <w:szCs w:val="22"/>
              </w:rPr>
            </w:pPr>
            <w:r w:rsidRPr="008F0F70">
              <w:rPr>
                <w:sz w:val="22"/>
                <w:szCs w:val="22"/>
              </w:rPr>
              <w:t>Στρεπτόκοκκοι της ομάδας Viridans</w:t>
            </w:r>
          </w:p>
        </w:tc>
      </w:tr>
      <w:tr w:rsidR="00A2442C" w:rsidRPr="008F0F70">
        <w:tc>
          <w:tcPr>
            <w:tcW w:w="8522" w:type="dxa"/>
            <w:gridSpan w:val="4"/>
          </w:tcPr>
          <w:p w:rsidR="00A2442C" w:rsidRPr="008F0F70" w:rsidRDefault="00EE2CD0" w:rsidP="00EE2CD0">
            <w:pPr>
              <w:autoSpaceDE w:val="0"/>
              <w:autoSpaceDN w:val="0"/>
              <w:adjustRightInd w:val="0"/>
              <w:jc w:val="both"/>
              <w:rPr>
                <w:sz w:val="22"/>
                <w:szCs w:val="22"/>
              </w:rPr>
            </w:pPr>
            <w:r w:rsidRPr="008F0F70">
              <w:rPr>
                <w:b/>
                <w:sz w:val="22"/>
                <w:szCs w:val="22"/>
              </w:rPr>
              <w:t>Αερόβιοι Gram</w:t>
            </w:r>
            <w:r w:rsidR="00EE436B">
              <w:rPr>
                <w:b/>
                <w:sz w:val="22"/>
                <w:szCs w:val="22"/>
              </w:rPr>
              <w:noBreakHyphen/>
            </w:r>
            <w:r w:rsidRPr="008F0F70">
              <w:rPr>
                <w:b/>
                <w:sz w:val="22"/>
                <w:szCs w:val="22"/>
              </w:rPr>
              <w:t>αρνητικοί μικροοργανισμοί</w:t>
            </w:r>
          </w:p>
        </w:tc>
      </w:tr>
      <w:tr w:rsidR="00A2442C" w:rsidRPr="008F0F70">
        <w:tc>
          <w:tcPr>
            <w:tcW w:w="8522" w:type="dxa"/>
            <w:gridSpan w:val="4"/>
          </w:tcPr>
          <w:p w:rsidR="00A2442C" w:rsidRPr="008F0F70" w:rsidRDefault="00A2442C" w:rsidP="00E41E82">
            <w:pPr>
              <w:autoSpaceDE w:val="0"/>
              <w:autoSpaceDN w:val="0"/>
              <w:adjustRightInd w:val="0"/>
              <w:jc w:val="both"/>
              <w:rPr>
                <w:i/>
                <w:sz w:val="22"/>
                <w:szCs w:val="22"/>
              </w:rPr>
            </w:pPr>
            <w:r w:rsidRPr="008F0F70">
              <w:rPr>
                <w:i/>
                <w:sz w:val="22"/>
                <w:szCs w:val="22"/>
              </w:rPr>
              <w:t>Escherichia coli</w:t>
            </w:r>
          </w:p>
        </w:tc>
      </w:tr>
      <w:tr w:rsidR="00A2442C" w:rsidRPr="008F0F70">
        <w:tc>
          <w:tcPr>
            <w:tcW w:w="8522" w:type="dxa"/>
            <w:gridSpan w:val="4"/>
          </w:tcPr>
          <w:p w:rsidR="00A2442C" w:rsidRPr="008F0F70" w:rsidRDefault="00A2442C" w:rsidP="00E41E82">
            <w:pPr>
              <w:autoSpaceDE w:val="0"/>
              <w:autoSpaceDN w:val="0"/>
              <w:adjustRightInd w:val="0"/>
              <w:jc w:val="both"/>
              <w:rPr>
                <w:i/>
                <w:sz w:val="22"/>
                <w:szCs w:val="22"/>
              </w:rPr>
            </w:pPr>
            <w:r w:rsidRPr="008F0F70">
              <w:rPr>
                <w:i/>
                <w:sz w:val="22"/>
                <w:szCs w:val="22"/>
              </w:rPr>
              <w:t>Haemophilus influenzae</w:t>
            </w:r>
          </w:p>
        </w:tc>
      </w:tr>
      <w:tr w:rsidR="00A2442C" w:rsidRPr="008F0F70">
        <w:tc>
          <w:tcPr>
            <w:tcW w:w="8522" w:type="dxa"/>
            <w:gridSpan w:val="4"/>
          </w:tcPr>
          <w:p w:rsidR="00A2442C" w:rsidRPr="008F0F70" w:rsidRDefault="00A2442C" w:rsidP="00E41E82">
            <w:pPr>
              <w:autoSpaceDE w:val="0"/>
              <w:autoSpaceDN w:val="0"/>
              <w:adjustRightInd w:val="0"/>
              <w:jc w:val="both"/>
              <w:rPr>
                <w:i/>
                <w:sz w:val="22"/>
                <w:szCs w:val="22"/>
              </w:rPr>
            </w:pPr>
            <w:r w:rsidRPr="008F0F70">
              <w:rPr>
                <w:i/>
                <w:sz w:val="22"/>
                <w:szCs w:val="22"/>
              </w:rPr>
              <w:t>Moraxella catarrhalis</w:t>
            </w:r>
          </w:p>
        </w:tc>
      </w:tr>
      <w:tr w:rsidR="00B809EE" w:rsidRPr="008F0F70">
        <w:tc>
          <w:tcPr>
            <w:tcW w:w="4261" w:type="dxa"/>
            <w:gridSpan w:val="3"/>
          </w:tcPr>
          <w:p w:rsidR="00B809EE" w:rsidRPr="008F0F70" w:rsidRDefault="00B809EE" w:rsidP="00E41E82">
            <w:pPr>
              <w:autoSpaceDE w:val="0"/>
              <w:autoSpaceDN w:val="0"/>
              <w:adjustRightInd w:val="0"/>
              <w:jc w:val="both"/>
              <w:rPr>
                <w:sz w:val="22"/>
                <w:szCs w:val="22"/>
              </w:rPr>
            </w:pPr>
            <w:r w:rsidRPr="008F0F70">
              <w:rPr>
                <w:i/>
                <w:sz w:val="22"/>
                <w:szCs w:val="22"/>
              </w:rPr>
              <w:t>Pseudomonas aeruginosa</w:t>
            </w:r>
          </w:p>
        </w:tc>
        <w:tc>
          <w:tcPr>
            <w:tcW w:w="4261" w:type="dxa"/>
          </w:tcPr>
          <w:p w:rsidR="00B809EE" w:rsidRPr="008F0F70" w:rsidRDefault="00EE2CD0" w:rsidP="00EE2CD0">
            <w:pPr>
              <w:autoSpaceDE w:val="0"/>
              <w:autoSpaceDN w:val="0"/>
              <w:adjustRightInd w:val="0"/>
              <w:jc w:val="both"/>
              <w:rPr>
                <w:sz w:val="22"/>
                <w:szCs w:val="22"/>
              </w:rPr>
            </w:pPr>
            <w:r w:rsidRPr="008F0F70">
              <w:rPr>
                <w:sz w:val="22"/>
                <w:szCs w:val="22"/>
              </w:rPr>
              <w:t>(Εξωνοσοκομειακά απομονωθέντα στελέχη)</w:t>
            </w:r>
          </w:p>
        </w:tc>
      </w:tr>
      <w:tr w:rsidR="00A2442C" w:rsidRPr="008F0F70">
        <w:tc>
          <w:tcPr>
            <w:tcW w:w="8522" w:type="dxa"/>
            <w:gridSpan w:val="4"/>
          </w:tcPr>
          <w:p w:rsidR="00A2442C" w:rsidRPr="008F0F70" w:rsidRDefault="00EE2CD0" w:rsidP="00EE2CD0">
            <w:pPr>
              <w:autoSpaceDE w:val="0"/>
              <w:autoSpaceDN w:val="0"/>
              <w:adjustRightInd w:val="0"/>
              <w:jc w:val="both"/>
              <w:rPr>
                <w:sz w:val="22"/>
                <w:szCs w:val="22"/>
              </w:rPr>
            </w:pPr>
            <w:r w:rsidRPr="008F0F70">
              <w:rPr>
                <w:b/>
                <w:sz w:val="22"/>
                <w:szCs w:val="22"/>
              </w:rPr>
              <w:t>Άλλοι μικροοργανισμοί</w:t>
            </w:r>
          </w:p>
        </w:tc>
      </w:tr>
      <w:tr w:rsidR="00B809EE" w:rsidRPr="008F0F70">
        <w:tc>
          <w:tcPr>
            <w:tcW w:w="4261" w:type="dxa"/>
            <w:gridSpan w:val="3"/>
          </w:tcPr>
          <w:p w:rsidR="00B809EE" w:rsidRPr="008F0F70" w:rsidRDefault="00B809EE" w:rsidP="00E41E82">
            <w:pPr>
              <w:autoSpaceDE w:val="0"/>
              <w:autoSpaceDN w:val="0"/>
              <w:adjustRightInd w:val="0"/>
              <w:jc w:val="both"/>
              <w:rPr>
                <w:sz w:val="22"/>
                <w:szCs w:val="22"/>
              </w:rPr>
            </w:pPr>
            <w:r w:rsidRPr="008F0F70">
              <w:rPr>
                <w:i/>
                <w:sz w:val="22"/>
                <w:szCs w:val="22"/>
              </w:rPr>
              <w:t>Chlamydia trachomatis</w:t>
            </w:r>
          </w:p>
        </w:tc>
        <w:tc>
          <w:tcPr>
            <w:tcW w:w="4261" w:type="dxa"/>
          </w:tcPr>
          <w:p w:rsidR="00B809EE" w:rsidRPr="008F0F70" w:rsidRDefault="00CA003E" w:rsidP="00CA003E">
            <w:pPr>
              <w:autoSpaceDE w:val="0"/>
              <w:autoSpaceDN w:val="0"/>
              <w:adjustRightInd w:val="0"/>
              <w:jc w:val="both"/>
              <w:rPr>
                <w:sz w:val="22"/>
                <w:szCs w:val="22"/>
              </w:rPr>
            </w:pPr>
            <w:r w:rsidRPr="008F0F70">
              <w:rPr>
                <w:sz w:val="22"/>
                <w:szCs w:val="22"/>
              </w:rPr>
              <w:t>(Η θεραπεία των ασθενών με επιπεφυκίτιδα από χλαμύδια απαιτεί συγχορηγούμενη συστηματική αντιμικροβιακή θεραπεία)</w:t>
            </w:r>
          </w:p>
        </w:tc>
      </w:tr>
      <w:tr w:rsidR="00A2442C" w:rsidRPr="008F0F70">
        <w:tc>
          <w:tcPr>
            <w:tcW w:w="8522" w:type="dxa"/>
            <w:gridSpan w:val="4"/>
          </w:tcPr>
          <w:p w:rsidR="00A2442C" w:rsidRPr="008F0F70" w:rsidRDefault="00CA003E" w:rsidP="00CA003E">
            <w:pPr>
              <w:autoSpaceDE w:val="0"/>
              <w:autoSpaceDN w:val="0"/>
              <w:adjustRightInd w:val="0"/>
              <w:jc w:val="center"/>
              <w:rPr>
                <w:sz w:val="22"/>
                <w:szCs w:val="22"/>
              </w:rPr>
            </w:pPr>
            <w:bookmarkStart w:id="13" w:name="_GoBack"/>
            <w:r w:rsidRPr="008F0F70">
              <w:rPr>
                <w:b/>
                <w:sz w:val="22"/>
                <w:szCs w:val="22"/>
              </w:rPr>
              <w:t>Κατηγορία ΙΙ: Είδη για τα οποία η επίκτητη ανθεκτικότητα μπορεί να αποτελεί πρόβλημα</w:t>
            </w:r>
            <w:bookmarkEnd w:id="13"/>
          </w:p>
        </w:tc>
      </w:tr>
      <w:tr w:rsidR="00A2442C" w:rsidRPr="008F0F70">
        <w:tc>
          <w:tcPr>
            <w:tcW w:w="8522" w:type="dxa"/>
            <w:gridSpan w:val="4"/>
          </w:tcPr>
          <w:p w:rsidR="00A2442C" w:rsidRPr="008F0F70" w:rsidRDefault="00CA003E" w:rsidP="00CA003E">
            <w:pPr>
              <w:autoSpaceDE w:val="0"/>
              <w:autoSpaceDN w:val="0"/>
              <w:adjustRightInd w:val="0"/>
              <w:jc w:val="both"/>
              <w:rPr>
                <w:sz w:val="22"/>
                <w:szCs w:val="22"/>
              </w:rPr>
            </w:pPr>
            <w:r w:rsidRPr="008F0F70">
              <w:rPr>
                <w:b/>
                <w:sz w:val="22"/>
                <w:szCs w:val="22"/>
              </w:rPr>
              <w:t>Αερόβιοι Gram</w:t>
            </w:r>
            <w:r w:rsidR="00EE436B">
              <w:rPr>
                <w:b/>
                <w:sz w:val="22"/>
                <w:szCs w:val="22"/>
              </w:rPr>
              <w:noBreakHyphen/>
            </w:r>
            <w:r w:rsidRPr="008F0F70">
              <w:rPr>
                <w:b/>
                <w:sz w:val="22"/>
                <w:szCs w:val="22"/>
              </w:rPr>
              <w:t>θετικοί μικροοργανισμοί</w:t>
            </w:r>
          </w:p>
        </w:tc>
      </w:tr>
      <w:tr w:rsidR="0037484C" w:rsidRPr="008F0F70">
        <w:tc>
          <w:tcPr>
            <w:tcW w:w="4261" w:type="dxa"/>
            <w:gridSpan w:val="3"/>
          </w:tcPr>
          <w:p w:rsidR="0037484C" w:rsidRPr="008F0F70" w:rsidRDefault="0037484C" w:rsidP="00E41E82">
            <w:pPr>
              <w:autoSpaceDE w:val="0"/>
              <w:autoSpaceDN w:val="0"/>
              <w:adjustRightInd w:val="0"/>
              <w:jc w:val="both"/>
              <w:rPr>
                <w:sz w:val="22"/>
                <w:szCs w:val="22"/>
              </w:rPr>
            </w:pPr>
            <w:r w:rsidRPr="008F0F70">
              <w:rPr>
                <w:i/>
                <w:sz w:val="22"/>
                <w:szCs w:val="22"/>
              </w:rPr>
              <w:t>Staphylococcus aureus</w:t>
            </w:r>
            <w:r w:rsidRPr="008F0F70">
              <w:rPr>
                <w:sz w:val="22"/>
                <w:szCs w:val="22"/>
              </w:rPr>
              <w:t xml:space="preserve"> (MRSA)**</w:t>
            </w:r>
          </w:p>
        </w:tc>
        <w:tc>
          <w:tcPr>
            <w:tcW w:w="4261" w:type="dxa"/>
          </w:tcPr>
          <w:p w:rsidR="0037484C" w:rsidRPr="008F0F70" w:rsidRDefault="0037484C" w:rsidP="00E41E82">
            <w:pPr>
              <w:autoSpaceDE w:val="0"/>
              <w:autoSpaceDN w:val="0"/>
              <w:adjustRightInd w:val="0"/>
              <w:jc w:val="both"/>
              <w:rPr>
                <w:sz w:val="22"/>
                <w:szCs w:val="22"/>
              </w:rPr>
            </w:pPr>
          </w:p>
        </w:tc>
      </w:tr>
      <w:tr w:rsidR="0037484C" w:rsidRPr="008F0F70">
        <w:tc>
          <w:tcPr>
            <w:tcW w:w="4261" w:type="dxa"/>
            <w:gridSpan w:val="3"/>
          </w:tcPr>
          <w:p w:rsidR="0037484C" w:rsidRPr="008F0F70" w:rsidRDefault="0037484C" w:rsidP="00E41E82">
            <w:pPr>
              <w:autoSpaceDE w:val="0"/>
              <w:autoSpaceDN w:val="0"/>
              <w:adjustRightInd w:val="0"/>
              <w:jc w:val="both"/>
              <w:rPr>
                <w:i/>
                <w:sz w:val="22"/>
                <w:szCs w:val="22"/>
              </w:rPr>
            </w:pPr>
            <w:r w:rsidRPr="008F0F70">
              <w:rPr>
                <w:i/>
                <w:sz w:val="22"/>
                <w:szCs w:val="22"/>
              </w:rPr>
              <w:t>Staphylococcus epidermidis</w:t>
            </w:r>
          </w:p>
        </w:tc>
        <w:tc>
          <w:tcPr>
            <w:tcW w:w="4261" w:type="dxa"/>
          </w:tcPr>
          <w:p w:rsidR="0037484C" w:rsidRPr="008F0F70" w:rsidRDefault="0037484C" w:rsidP="00E41E82">
            <w:pPr>
              <w:autoSpaceDE w:val="0"/>
              <w:autoSpaceDN w:val="0"/>
              <w:adjustRightInd w:val="0"/>
              <w:jc w:val="both"/>
              <w:rPr>
                <w:sz w:val="22"/>
                <w:szCs w:val="22"/>
              </w:rPr>
            </w:pPr>
          </w:p>
        </w:tc>
      </w:tr>
      <w:tr w:rsidR="00A2442C" w:rsidRPr="008F0F70">
        <w:tc>
          <w:tcPr>
            <w:tcW w:w="8522" w:type="dxa"/>
            <w:gridSpan w:val="4"/>
          </w:tcPr>
          <w:p w:rsidR="00A2442C" w:rsidRPr="008F0F70" w:rsidRDefault="00CA003E" w:rsidP="00CA003E">
            <w:pPr>
              <w:autoSpaceDE w:val="0"/>
              <w:autoSpaceDN w:val="0"/>
              <w:adjustRightInd w:val="0"/>
              <w:jc w:val="both"/>
              <w:rPr>
                <w:sz w:val="22"/>
                <w:szCs w:val="22"/>
              </w:rPr>
            </w:pPr>
            <w:r w:rsidRPr="008F0F70">
              <w:rPr>
                <w:b/>
                <w:sz w:val="22"/>
                <w:szCs w:val="22"/>
              </w:rPr>
              <w:t>Αερόβιοι Gram</w:t>
            </w:r>
            <w:r w:rsidR="00EE436B">
              <w:rPr>
                <w:b/>
                <w:sz w:val="22"/>
                <w:szCs w:val="22"/>
              </w:rPr>
              <w:noBreakHyphen/>
            </w:r>
            <w:r w:rsidRPr="008F0F70">
              <w:rPr>
                <w:b/>
                <w:sz w:val="22"/>
                <w:szCs w:val="22"/>
              </w:rPr>
              <w:t>αρνητικοί μικροοργανισμοί</w:t>
            </w:r>
          </w:p>
        </w:tc>
      </w:tr>
      <w:tr w:rsidR="0037484C" w:rsidRPr="008F0F70">
        <w:tc>
          <w:tcPr>
            <w:tcW w:w="4261" w:type="dxa"/>
            <w:gridSpan w:val="3"/>
            <w:tcBorders>
              <w:bottom w:val="single" w:sz="4" w:space="0" w:color="auto"/>
            </w:tcBorders>
          </w:tcPr>
          <w:p w:rsidR="0037484C" w:rsidRPr="008F0F70" w:rsidRDefault="0037484C" w:rsidP="00E41E82">
            <w:pPr>
              <w:autoSpaceDE w:val="0"/>
              <w:autoSpaceDN w:val="0"/>
              <w:adjustRightInd w:val="0"/>
              <w:jc w:val="both"/>
              <w:rPr>
                <w:sz w:val="22"/>
                <w:szCs w:val="22"/>
              </w:rPr>
            </w:pPr>
            <w:r w:rsidRPr="008F0F70">
              <w:rPr>
                <w:i/>
                <w:sz w:val="22"/>
                <w:szCs w:val="22"/>
              </w:rPr>
              <w:t>Pseudomonas aeruginosa</w:t>
            </w:r>
          </w:p>
        </w:tc>
        <w:tc>
          <w:tcPr>
            <w:tcW w:w="4261" w:type="dxa"/>
            <w:tcBorders>
              <w:bottom w:val="single" w:sz="4" w:space="0" w:color="auto"/>
            </w:tcBorders>
          </w:tcPr>
          <w:p w:rsidR="0037484C" w:rsidRPr="008F0F70" w:rsidRDefault="00CA003E" w:rsidP="00CA003E">
            <w:pPr>
              <w:autoSpaceDE w:val="0"/>
              <w:autoSpaceDN w:val="0"/>
              <w:adjustRightInd w:val="0"/>
              <w:jc w:val="both"/>
              <w:rPr>
                <w:sz w:val="22"/>
                <w:szCs w:val="22"/>
              </w:rPr>
            </w:pPr>
            <w:r w:rsidRPr="008F0F70">
              <w:rPr>
                <w:sz w:val="22"/>
                <w:szCs w:val="22"/>
              </w:rPr>
              <w:t>(Νοσοκομειακά απομονωθέντα στελέχη)</w:t>
            </w:r>
          </w:p>
        </w:tc>
      </w:tr>
      <w:tr w:rsidR="003669CD" w:rsidRPr="008F0F70">
        <w:tc>
          <w:tcPr>
            <w:tcW w:w="534" w:type="dxa"/>
            <w:tcBorders>
              <w:left w:val="nil"/>
              <w:bottom w:val="nil"/>
              <w:right w:val="nil"/>
            </w:tcBorders>
          </w:tcPr>
          <w:p w:rsidR="003669CD" w:rsidRPr="008F0F70" w:rsidRDefault="003669CD" w:rsidP="00E41E82">
            <w:pPr>
              <w:tabs>
                <w:tab w:val="left" w:pos="142"/>
                <w:tab w:val="left" w:pos="284"/>
              </w:tabs>
              <w:autoSpaceDE w:val="0"/>
              <w:autoSpaceDN w:val="0"/>
              <w:adjustRightInd w:val="0"/>
              <w:jc w:val="both"/>
              <w:rPr>
                <w:sz w:val="22"/>
                <w:szCs w:val="22"/>
              </w:rPr>
            </w:pPr>
            <w:r w:rsidRPr="008F0F70">
              <w:rPr>
                <w:sz w:val="22"/>
                <w:szCs w:val="22"/>
              </w:rPr>
              <w:t>*</w:t>
            </w:r>
          </w:p>
        </w:tc>
        <w:tc>
          <w:tcPr>
            <w:tcW w:w="992" w:type="dxa"/>
            <w:tcBorders>
              <w:left w:val="nil"/>
              <w:bottom w:val="nil"/>
              <w:right w:val="nil"/>
            </w:tcBorders>
          </w:tcPr>
          <w:p w:rsidR="003669CD" w:rsidRPr="008F0F70" w:rsidRDefault="00CA003E" w:rsidP="00CA003E">
            <w:pPr>
              <w:tabs>
                <w:tab w:val="left" w:pos="284"/>
              </w:tabs>
              <w:autoSpaceDE w:val="0"/>
              <w:autoSpaceDN w:val="0"/>
              <w:adjustRightInd w:val="0"/>
              <w:ind w:hanging="108"/>
              <w:jc w:val="both"/>
              <w:rPr>
                <w:sz w:val="22"/>
                <w:szCs w:val="22"/>
              </w:rPr>
            </w:pPr>
            <w:r w:rsidRPr="008F0F70">
              <w:rPr>
                <w:sz w:val="22"/>
                <w:szCs w:val="22"/>
              </w:rPr>
              <w:t>MSSA =</w:t>
            </w:r>
          </w:p>
        </w:tc>
        <w:tc>
          <w:tcPr>
            <w:tcW w:w="6996" w:type="dxa"/>
            <w:gridSpan w:val="2"/>
            <w:tcBorders>
              <w:left w:val="nil"/>
              <w:bottom w:val="nil"/>
              <w:right w:val="nil"/>
            </w:tcBorders>
          </w:tcPr>
          <w:p w:rsidR="003669CD" w:rsidRPr="008F0F70" w:rsidRDefault="00CA003E" w:rsidP="00CA003E">
            <w:pPr>
              <w:tabs>
                <w:tab w:val="left" w:pos="284"/>
              </w:tabs>
              <w:autoSpaceDE w:val="0"/>
              <w:autoSpaceDN w:val="0"/>
              <w:adjustRightInd w:val="0"/>
              <w:ind w:hanging="108"/>
              <w:jc w:val="both"/>
              <w:rPr>
                <w:sz w:val="22"/>
                <w:szCs w:val="22"/>
              </w:rPr>
            </w:pPr>
            <w:r w:rsidRPr="008F0F70">
              <w:rPr>
                <w:sz w:val="22"/>
                <w:szCs w:val="22"/>
              </w:rPr>
              <w:t xml:space="preserve">στελέχη </w:t>
            </w:r>
            <w:r w:rsidRPr="008F0F70">
              <w:rPr>
                <w:i/>
                <w:sz w:val="22"/>
                <w:szCs w:val="22"/>
              </w:rPr>
              <w:t xml:space="preserve">Staphylococcus aureus </w:t>
            </w:r>
            <w:r w:rsidRPr="008F0F70">
              <w:rPr>
                <w:sz w:val="22"/>
                <w:szCs w:val="22"/>
              </w:rPr>
              <w:t>ευαίσθητα στη μεθικιλλίνη</w:t>
            </w:r>
          </w:p>
        </w:tc>
      </w:tr>
      <w:tr w:rsidR="003669CD" w:rsidRPr="008F0F70">
        <w:tc>
          <w:tcPr>
            <w:tcW w:w="534" w:type="dxa"/>
            <w:tcBorders>
              <w:top w:val="nil"/>
              <w:left w:val="nil"/>
              <w:bottom w:val="nil"/>
              <w:right w:val="nil"/>
            </w:tcBorders>
          </w:tcPr>
          <w:p w:rsidR="003669CD" w:rsidRPr="008F0F70" w:rsidRDefault="003669CD" w:rsidP="00E41E82">
            <w:pPr>
              <w:tabs>
                <w:tab w:val="left" w:pos="142"/>
                <w:tab w:val="left" w:pos="284"/>
              </w:tabs>
              <w:autoSpaceDE w:val="0"/>
              <w:autoSpaceDN w:val="0"/>
              <w:adjustRightInd w:val="0"/>
              <w:jc w:val="both"/>
              <w:rPr>
                <w:i/>
                <w:iCs/>
                <w:sz w:val="22"/>
                <w:szCs w:val="22"/>
              </w:rPr>
            </w:pPr>
            <w:r w:rsidRPr="008F0F70">
              <w:rPr>
                <w:sz w:val="22"/>
                <w:szCs w:val="22"/>
              </w:rPr>
              <w:t>**</w:t>
            </w:r>
          </w:p>
        </w:tc>
        <w:tc>
          <w:tcPr>
            <w:tcW w:w="992" w:type="dxa"/>
            <w:tcBorders>
              <w:top w:val="nil"/>
              <w:left w:val="nil"/>
              <w:bottom w:val="nil"/>
              <w:right w:val="nil"/>
            </w:tcBorders>
          </w:tcPr>
          <w:p w:rsidR="003669CD" w:rsidRPr="008F0F70" w:rsidRDefault="00CA003E" w:rsidP="00CA003E">
            <w:pPr>
              <w:autoSpaceDE w:val="0"/>
              <w:autoSpaceDN w:val="0"/>
              <w:adjustRightInd w:val="0"/>
              <w:ind w:hanging="108"/>
              <w:jc w:val="both"/>
              <w:rPr>
                <w:sz w:val="22"/>
                <w:szCs w:val="22"/>
              </w:rPr>
            </w:pPr>
            <w:r w:rsidRPr="008F0F70">
              <w:rPr>
                <w:sz w:val="22"/>
                <w:szCs w:val="22"/>
              </w:rPr>
              <w:t>MRSA =</w:t>
            </w:r>
          </w:p>
        </w:tc>
        <w:tc>
          <w:tcPr>
            <w:tcW w:w="6996" w:type="dxa"/>
            <w:gridSpan w:val="2"/>
            <w:tcBorders>
              <w:top w:val="nil"/>
              <w:left w:val="nil"/>
              <w:bottom w:val="nil"/>
              <w:right w:val="nil"/>
            </w:tcBorders>
          </w:tcPr>
          <w:p w:rsidR="003669CD" w:rsidRPr="008F0F70" w:rsidRDefault="00CA003E" w:rsidP="00CA003E">
            <w:pPr>
              <w:tabs>
                <w:tab w:val="left" w:pos="284"/>
              </w:tabs>
              <w:autoSpaceDE w:val="0"/>
              <w:autoSpaceDN w:val="0"/>
              <w:adjustRightInd w:val="0"/>
              <w:ind w:hanging="108"/>
              <w:jc w:val="both"/>
              <w:rPr>
                <w:sz w:val="22"/>
                <w:szCs w:val="22"/>
              </w:rPr>
            </w:pPr>
            <w:r w:rsidRPr="008F0F70">
              <w:rPr>
                <w:sz w:val="22"/>
                <w:szCs w:val="22"/>
              </w:rPr>
              <w:t xml:space="preserve">στελέχη </w:t>
            </w:r>
            <w:r w:rsidRPr="008F0F70">
              <w:rPr>
                <w:i/>
                <w:sz w:val="22"/>
                <w:szCs w:val="22"/>
              </w:rPr>
              <w:t xml:space="preserve">Staphylococcus aureus </w:t>
            </w:r>
            <w:r w:rsidRPr="008F0F70">
              <w:rPr>
                <w:sz w:val="22"/>
                <w:szCs w:val="22"/>
              </w:rPr>
              <w:t>ανθεκτικά στη μεθικιλλίνη</w:t>
            </w:r>
          </w:p>
        </w:tc>
      </w:tr>
    </w:tbl>
    <w:p w:rsidR="00A2442C" w:rsidRPr="008F0F70" w:rsidRDefault="00A2442C" w:rsidP="006C4353">
      <w:pPr>
        <w:autoSpaceDE w:val="0"/>
        <w:autoSpaceDN w:val="0"/>
        <w:adjustRightInd w:val="0"/>
        <w:jc w:val="both"/>
        <w:rPr>
          <w:i/>
          <w:iCs/>
          <w:sz w:val="22"/>
          <w:szCs w:val="22"/>
        </w:rPr>
      </w:pPr>
    </w:p>
    <w:p w:rsidR="00C56CE7" w:rsidRPr="008F0F70" w:rsidRDefault="00C56CE7" w:rsidP="003849B7">
      <w:pPr>
        <w:autoSpaceDE w:val="0"/>
        <w:autoSpaceDN w:val="0"/>
        <w:adjustRightInd w:val="0"/>
        <w:jc w:val="both"/>
        <w:rPr>
          <w:sz w:val="22"/>
          <w:szCs w:val="22"/>
        </w:rPr>
      </w:pPr>
      <w:r w:rsidRPr="008F0F70">
        <w:rPr>
          <w:sz w:val="22"/>
          <w:szCs w:val="22"/>
        </w:rPr>
        <w:t xml:space="preserve">Τα δεδομένα ανθεκτικότητας στον πίνακα βασίζονται στα αποτελέσματα μίας πολυκεντρικής μελέτης παρατήρησης (Οφθαλμολογική Μελέτη) </w:t>
      </w:r>
      <w:r w:rsidR="002577B3" w:rsidRPr="008F0F70">
        <w:rPr>
          <w:sz w:val="22"/>
          <w:szCs w:val="22"/>
        </w:rPr>
        <w:t xml:space="preserve">του </w:t>
      </w:r>
      <w:r w:rsidRPr="008F0F70">
        <w:rPr>
          <w:sz w:val="22"/>
          <w:szCs w:val="22"/>
        </w:rPr>
        <w:t>επιπολασμ</w:t>
      </w:r>
      <w:r w:rsidR="002577B3" w:rsidRPr="008F0F70">
        <w:rPr>
          <w:sz w:val="22"/>
          <w:szCs w:val="22"/>
        </w:rPr>
        <w:t xml:space="preserve">ού </w:t>
      </w:r>
      <w:r w:rsidRPr="008F0F70">
        <w:rPr>
          <w:sz w:val="22"/>
          <w:szCs w:val="22"/>
        </w:rPr>
        <w:t xml:space="preserve">της ανθεκτικότητας </w:t>
      </w:r>
      <w:r w:rsidR="003849B7" w:rsidRPr="008F0F70">
        <w:rPr>
          <w:sz w:val="22"/>
          <w:szCs w:val="22"/>
        </w:rPr>
        <w:t xml:space="preserve">διαφόρων </w:t>
      </w:r>
      <w:r w:rsidRPr="008F0F70">
        <w:rPr>
          <w:sz w:val="22"/>
          <w:szCs w:val="22"/>
        </w:rPr>
        <w:t>βακτηριακών στελεχών που απομονώθηκαν από ασθενείς με οφθαλμικές λοιμώξεις στη Γερμανία</w:t>
      </w:r>
      <w:r w:rsidR="003849B7" w:rsidRPr="008F0F70">
        <w:rPr>
          <w:sz w:val="22"/>
          <w:szCs w:val="22"/>
        </w:rPr>
        <w:t xml:space="preserve"> το διάστημα Ιουνίου</w:t>
      </w:r>
      <w:r w:rsidRPr="008F0F70">
        <w:rPr>
          <w:sz w:val="22"/>
          <w:szCs w:val="22"/>
        </w:rPr>
        <w:t xml:space="preserve"> – Νο</w:t>
      </w:r>
      <w:r w:rsidR="003849B7" w:rsidRPr="008F0F70">
        <w:rPr>
          <w:sz w:val="22"/>
          <w:szCs w:val="22"/>
        </w:rPr>
        <w:t xml:space="preserve">εμβρίου του </w:t>
      </w:r>
      <w:r w:rsidRPr="008F0F70">
        <w:rPr>
          <w:sz w:val="22"/>
          <w:szCs w:val="22"/>
        </w:rPr>
        <w:t>2004.</w:t>
      </w:r>
    </w:p>
    <w:p w:rsidR="0065406A" w:rsidRPr="008F0F70" w:rsidRDefault="0065406A" w:rsidP="006C4353">
      <w:pPr>
        <w:jc w:val="both"/>
        <w:rPr>
          <w:sz w:val="22"/>
          <w:szCs w:val="22"/>
        </w:rPr>
      </w:pPr>
    </w:p>
    <w:p w:rsidR="00C56CE7" w:rsidRPr="008F0F70" w:rsidRDefault="00C56CE7" w:rsidP="00C004E1">
      <w:pPr>
        <w:autoSpaceDE w:val="0"/>
        <w:autoSpaceDN w:val="0"/>
        <w:adjustRightInd w:val="0"/>
        <w:jc w:val="both"/>
        <w:rPr>
          <w:sz w:val="22"/>
          <w:szCs w:val="22"/>
        </w:rPr>
      </w:pPr>
      <w:r w:rsidRPr="008F0F70">
        <w:rPr>
          <w:sz w:val="22"/>
          <w:szCs w:val="22"/>
        </w:rPr>
        <w:t xml:space="preserve">Οι οργανισμοί έχουν ταξινομηθεί ως ευαίσθητοι στη λεβοφλοξασίνη με βάση την </w:t>
      </w:r>
      <w:r w:rsidRPr="008F0F70">
        <w:rPr>
          <w:i/>
          <w:sz w:val="22"/>
          <w:szCs w:val="22"/>
        </w:rPr>
        <w:t>in</w:t>
      </w:r>
      <w:r w:rsidR="009F4F93">
        <w:rPr>
          <w:i/>
          <w:sz w:val="22"/>
          <w:szCs w:val="22"/>
        </w:rPr>
        <w:t xml:space="preserve"> </w:t>
      </w:r>
      <w:r w:rsidRPr="008F0F70">
        <w:rPr>
          <w:i/>
          <w:sz w:val="22"/>
          <w:szCs w:val="22"/>
        </w:rPr>
        <w:t>vitro</w:t>
      </w:r>
      <w:r w:rsidRPr="008F0F70">
        <w:rPr>
          <w:sz w:val="22"/>
          <w:szCs w:val="22"/>
        </w:rPr>
        <w:t xml:space="preserve"> ευαισθησία και </w:t>
      </w:r>
      <w:r w:rsidR="003849B7" w:rsidRPr="008F0F70">
        <w:rPr>
          <w:sz w:val="22"/>
          <w:szCs w:val="22"/>
        </w:rPr>
        <w:t xml:space="preserve">τις </w:t>
      </w:r>
      <w:r w:rsidRPr="008F0F70">
        <w:rPr>
          <w:sz w:val="22"/>
          <w:szCs w:val="22"/>
        </w:rPr>
        <w:t>συγκεντρώσε</w:t>
      </w:r>
      <w:r w:rsidR="003849B7" w:rsidRPr="008F0F70">
        <w:rPr>
          <w:sz w:val="22"/>
          <w:szCs w:val="22"/>
        </w:rPr>
        <w:t xml:space="preserve">ις </w:t>
      </w:r>
      <w:r w:rsidRPr="008F0F70">
        <w:rPr>
          <w:sz w:val="22"/>
          <w:szCs w:val="22"/>
        </w:rPr>
        <w:t>στο πλάσμα που επ</w:t>
      </w:r>
      <w:r w:rsidR="003849B7" w:rsidRPr="008F0F70">
        <w:rPr>
          <w:sz w:val="22"/>
          <w:szCs w:val="22"/>
        </w:rPr>
        <w:t xml:space="preserve">ιτεύχθηκαν </w:t>
      </w:r>
      <w:r w:rsidRPr="008F0F70">
        <w:rPr>
          <w:sz w:val="22"/>
          <w:szCs w:val="22"/>
        </w:rPr>
        <w:t xml:space="preserve">μετά από συστηματική θεραπεία. Η τοπική θεραπεία επιτυγχάνει υψηλότερες μέγιστες συγκεντρώσεις από αυτές που βρέθηκαν στο πλάσμα. Ωστόσο, δεν είναι γνωστό εάν η κινητική του φαρμάκου ή ο τρόπος με το οποίο τροποποιείται η κινητική του φαρμάκου μετά από τοπική εφαρμογή στον οφθαλμό μπορεί να </w:t>
      </w:r>
      <w:r w:rsidR="00C004E1" w:rsidRPr="008F0F70">
        <w:rPr>
          <w:sz w:val="22"/>
          <w:szCs w:val="22"/>
        </w:rPr>
        <w:t xml:space="preserve">επηρεάσει </w:t>
      </w:r>
      <w:r w:rsidRPr="008F0F70">
        <w:rPr>
          <w:sz w:val="22"/>
          <w:szCs w:val="22"/>
        </w:rPr>
        <w:t>την αντιβακτηριακή δράση της λεβοφλοξασίνης.</w:t>
      </w:r>
    </w:p>
    <w:p w:rsidR="00B13415" w:rsidRPr="008F0F70" w:rsidRDefault="00B13415" w:rsidP="006C4353">
      <w:pPr>
        <w:autoSpaceDE w:val="0"/>
        <w:autoSpaceDN w:val="0"/>
        <w:adjustRightInd w:val="0"/>
        <w:jc w:val="both"/>
        <w:rPr>
          <w:sz w:val="22"/>
          <w:szCs w:val="22"/>
        </w:rPr>
      </w:pPr>
    </w:p>
    <w:p w:rsidR="00C56CE7" w:rsidRPr="008F0F70" w:rsidRDefault="00C56CE7" w:rsidP="00C56CE7">
      <w:pPr>
        <w:jc w:val="both"/>
        <w:rPr>
          <w:b/>
          <w:i/>
          <w:iCs/>
          <w:spacing w:val="-3"/>
          <w:sz w:val="22"/>
          <w:szCs w:val="22"/>
        </w:rPr>
      </w:pPr>
      <w:r w:rsidRPr="008F0F70">
        <w:rPr>
          <w:i/>
          <w:iCs/>
          <w:spacing w:val="-3"/>
          <w:sz w:val="22"/>
          <w:szCs w:val="22"/>
        </w:rPr>
        <w:t>Παιδιατρικός πληθυσμός</w:t>
      </w:r>
    </w:p>
    <w:p w:rsidR="00C56CE7" w:rsidRPr="008F0F70" w:rsidRDefault="00C56CE7" w:rsidP="00C56CE7">
      <w:pPr>
        <w:jc w:val="both"/>
        <w:rPr>
          <w:b/>
          <w:i/>
          <w:spacing w:val="-3"/>
          <w:sz w:val="22"/>
          <w:szCs w:val="22"/>
        </w:rPr>
      </w:pPr>
      <w:r w:rsidRPr="008F0F70">
        <w:rPr>
          <w:spacing w:val="-3"/>
          <w:sz w:val="22"/>
          <w:szCs w:val="22"/>
        </w:rPr>
        <w:lastRenderedPageBreak/>
        <w:t xml:space="preserve">Οι φαρμακοδυναμικές ιδιότητες είναι ίδιες με αυτές των ενηλίκων και των παιδιών ηλικίας </w:t>
      </w:r>
      <w:r w:rsidRPr="008F0F70">
        <w:rPr>
          <w:spacing w:val="-3"/>
          <w:sz w:val="22"/>
          <w:szCs w:val="22"/>
        </w:rPr>
        <w:sym w:font="Symbol" w:char="F0B3"/>
      </w:r>
      <w:r w:rsidRPr="008F0F70">
        <w:rPr>
          <w:spacing w:val="-3"/>
          <w:sz w:val="22"/>
          <w:szCs w:val="22"/>
        </w:rPr>
        <w:t> 1 έτους.</w:t>
      </w:r>
    </w:p>
    <w:p w:rsidR="00210253" w:rsidRPr="008F0F70" w:rsidRDefault="00210253" w:rsidP="006C4353">
      <w:pPr>
        <w:autoSpaceDE w:val="0"/>
        <w:autoSpaceDN w:val="0"/>
        <w:adjustRightInd w:val="0"/>
        <w:jc w:val="both"/>
        <w:rPr>
          <w:sz w:val="22"/>
          <w:szCs w:val="22"/>
        </w:rPr>
      </w:pPr>
    </w:p>
    <w:p w:rsidR="00210253" w:rsidRPr="008F0F70" w:rsidRDefault="00210253" w:rsidP="006C4353">
      <w:pPr>
        <w:autoSpaceDE w:val="0"/>
        <w:autoSpaceDN w:val="0"/>
        <w:adjustRightInd w:val="0"/>
        <w:jc w:val="both"/>
        <w:rPr>
          <w:sz w:val="22"/>
          <w:szCs w:val="22"/>
        </w:rPr>
      </w:pPr>
    </w:p>
    <w:p w:rsidR="00C56CE7" w:rsidRPr="008F0F70" w:rsidRDefault="00C56CE7" w:rsidP="00C56CE7">
      <w:pPr>
        <w:tabs>
          <w:tab w:val="left" w:pos="0"/>
          <w:tab w:val="left" w:pos="720"/>
        </w:tabs>
        <w:jc w:val="both"/>
        <w:rPr>
          <w:b/>
          <w:sz w:val="22"/>
          <w:szCs w:val="22"/>
        </w:rPr>
      </w:pPr>
      <w:r w:rsidRPr="008F0F70">
        <w:rPr>
          <w:b/>
          <w:sz w:val="22"/>
          <w:szCs w:val="22"/>
        </w:rPr>
        <w:t>5.2</w:t>
      </w:r>
      <w:r w:rsidRPr="008F0F70">
        <w:rPr>
          <w:b/>
          <w:sz w:val="22"/>
          <w:szCs w:val="22"/>
        </w:rPr>
        <w:tab/>
        <w:t>Φαρμακοκινητικές Ιδιότητες</w:t>
      </w:r>
    </w:p>
    <w:p w:rsidR="007D4A40" w:rsidRPr="008F0F70" w:rsidRDefault="007D4A40" w:rsidP="006C4353">
      <w:pPr>
        <w:tabs>
          <w:tab w:val="left" w:pos="0"/>
          <w:tab w:val="left" w:pos="720"/>
        </w:tabs>
        <w:jc w:val="both"/>
        <w:rPr>
          <w:b/>
          <w:sz w:val="22"/>
          <w:szCs w:val="22"/>
        </w:rPr>
      </w:pPr>
    </w:p>
    <w:p w:rsidR="00C56CE7" w:rsidRPr="008F0F70" w:rsidRDefault="00C56CE7" w:rsidP="00C56CE7">
      <w:pPr>
        <w:tabs>
          <w:tab w:val="left" w:pos="0"/>
          <w:tab w:val="left" w:pos="720"/>
        </w:tabs>
        <w:jc w:val="both"/>
        <w:rPr>
          <w:sz w:val="22"/>
          <w:szCs w:val="22"/>
        </w:rPr>
      </w:pPr>
      <w:r w:rsidRPr="008F0F70">
        <w:rPr>
          <w:sz w:val="22"/>
          <w:szCs w:val="22"/>
        </w:rPr>
        <w:t>Μετά από οφθαλμική ενστάλαξη, η λεβοφλοξασίνη διατηρείται καλά στη δακρυϊκή στιβάδα.</w:t>
      </w:r>
    </w:p>
    <w:p w:rsidR="007D4A40" w:rsidRPr="008F0F70" w:rsidRDefault="007D4A40" w:rsidP="006C4353">
      <w:pPr>
        <w:tabs>
          <w:tab w:val="left" w:pos="0"/>
          <w:tab w:val="left" w:pos="720"/>
        </w:tabs>
        <w:jc w:val="both"/>
        <w:rPr>
          <w:sz w:val="22"/>
          <w:szCs w:val="22"/>
        </w:rPr>
      </w:pPr>
    </w:p>
    <w:p w:rsidR="00C56CE7" w:rsidRPr="008F0F70" w:rsidRDefault="00C56CE7" w:rsidP="00C56CE7">
      <w:pPr>
        <w:tabs>
          <w:tab w:val="left" w:pos="0"/>
          <w:tab w:val="left" w:pos="720"/>
        </w:tabs>
        <w:jc w:val="both"/>
        <w:rPr>
          <w:sz w:val="22"/>
          <w:szCs w:val="22"/>
        </w:rPr>
      </w:pPr>
      <w:r w:rsidRPr="008F0F70">
        <w:rPr>
          <w:sz w:val="22"/>
          <w:szCs w:val="22"/>
        </w:rPr>
        <w:t>Σε μία μελέτη σε υγιείς εθελοντές, οι μέσες συγκεντρώσεις της λεβοφλοξασίνης στη δακρυϊκή στιβάδα οι οποίες μετρήθηκαν τέσσερις και έξι ώρες μετά από τοπική χορήγηση της δόσης ήταν 17,0 και 6,6 μg/mL, αντίστοιχα. Τα πέντε από τα έξι άτομα είχαν συγκεντρώσεις 2 μg/mL ή μεγαλύτερες στις 4 ώρες μετά τη δόση. Τέσσερα από τα έξι άτομα διατήρησαν αυτή τη συγκέντρωση στις 6 ώρες μετά τη δόση.</w:t>
      </w:r>
    </w:p>
    <w:p w:rsidR="00B13415" w:rsidRPr="008F0F70" w:rsidRDefault="00B13415" w:rsidP="006C4353">
      <w:pPr>
        <w:shd w:val="clear" w:color="auto" w:fill="FFFFFF"/>
        <w:jc w:val="both"/>
        <w:rPr>
          <w:sz w:val="22"/>
          <w:szCs w:val="22"/>
        </w:rPr>
      </w:pPr>
    </w:p>
    <w:p w:rsidR="00C56CE7" w:rsidRPr="008F0F70" w:rsidRDefault="00C56CE7" w:rsidP="00AF527D">
      <w:pPr>
        <w:shd w:val="clear" w:color="auto" w:fill="FFFFFF"/>
        <w:jc w:val="both"/>
        <w:rPr>
          <w:sz w:val="22"/>
          <w:szCs w:val="22"/>
        </w:rPr>
      </w:pPr>
      <w:r w:rsidRPr="008F0F70">
        <w:rPr>
          <w:sz w:val="22"/>
          <w:szCs w:val="22"/>
        </w:rPr>
        <w:t xml:space="preserve">Η συγκέντρωση της λεβοφλοξασίνης στο πλάσμα μετρήθηκε σε 15 υγιείς ενήλικες εθελοντές σε διάφορα χρονικά σημεία κατά τη διάρκεια </w:t>
      </w:r>
      <w:r w:rsidR="00C50942" w:rsidRPr="008F0F70">
        <w:rPr>
          <w:sz w:val="22"/>
          <w:szCs w:val="22"/>
        </w:rPr>
        <w:t xml:space="preserve">ενός </w:t>
      </w:r>
      <w:r w:rsidRPr="008F0F70">
        <w:rPr>
          <w:sz w:val="22"/>
          <w:szCs w:val="22"/>
        </w:rPr>
        <w:t xml:space="preserve">κύκλου θεραπείας 15 ημερών με διάλυμα οφθαλμικών σταγόνων </w:t>
      </w:r>
      <w:r w:rsidR="00573CBC" w:rsidRPr="008F0F70">
        <w:rPr>
          <w:sz w:val="22"/>
          <w:szCs w:val="22"/>
        </w:rPr>
        <w:t>λ</w:t>
      </w:r>
      <w:r w:rsidRPr="008F0F70">
        <w:rPr>
          <w:sz w:val="22"/>
          <w:szCs w:val="22"/>
        </w:rPr>
        <w:t xml:space="preserve">εβοφλοξασίνης 5 mg/ml. Η μέση συγκέντρωση της λεβοφλοξασίνης στο πλάσμα 1 ώρα μετά τη χορήγηση της δόσης κυμάνθηκε από 0,86 ng/mL την Ημέρα 1 έως 2,05 ng/mL την Ημέρα 15. Η υψηλότερη μέγιστη συγκέντρωση λεβοφλοξασίνης των 2,25 ng/mL μετρήθηκε την Ημέρα 4 μετά από 2 ημέρες χορήγησης της δόσης κάθε 2 ώρες για συνολικά 8 δόσεις ημερησίως. Οι μέγιστες συγκεντρώσεις λεβοφλοξασίνης αυξήθηκαν από 0,94 ng/mL την Ημέρα 1 </w:t>
      </w:r>
      <w:r w:rsidR="00573CBC" w:rsidRPr="008F0F70">
        <w:rPr>
          <w:sz w:val="22"/>
          <w:szCs w:val="22"/>
        </w:rPr>
        <w:t xml:space="preserve">σε </w:t>
      </w:r>
      <w:r w:rsidRPr="008F0F70">
        <w:rPr>
          <w:sz w:val="22"/>
          <w:szCs w:val="22"/>
        </w:rPr>
        <w:t xml:space="preserve">2,15 ng/mL την Ημέρα 15, συγκεντρώσεις οι οποίες είναι </w:t>
      </w:r>
      <w:r w:rsidR="009B4F34" w:rsidRPr="008F0F70">
        <w:rPr>
          <w:sz w:val="22"/>
          <w:szCs w:val="22"/>
        </w:rPr>
        <w:t xml:space="preserve">τουλάχιστον </w:t>
      </w:r>
      <w:r w:rsidRPr="008F0F70">
        <w:rPr>
          <w:sz w:val="22"/>
          <w:szCs w:val="22"/>
        </w:rPr>
        <w:t xml:space="preserve">1000 φορές χαμηλότερες από αυτές που αναφέρθηκαν μετά από τυπικές από του στόματος </w:t>
      </w:r>
      <w:r w:rsidR="002751F8" w:rsidRPr="008F0F70">
        <w:rPr>
          <w:sz w:val="22"/>
          <w:szCs w:val="22"/>
        </w:rPr>
        <w:t xml:space="preserve">χορηγούμενες </w:t>
      </w:r>
      <w:r w:rsidRPr="008F0F70">
        <w:rPr>
          <w:sz w:val="22"/>
          <w:szCs w:val="22"/>
        </w:rPr>
        <w:t xml:space="preserve">δόσεις λεβοφλοξασίνης. </w:t>
      </w:r>
    </w:p>
    <w:p w:rsidR="00B13415" w:rsidRPr="008F0F70" w:rsidRDefault="00B13415" w:rsidP="006C4353">
      <w:pPr>
        <w:shd w:val="clear" w:color="auto" w:fill="FFFFFF"/>
        <w:jc w:val="both"/>
        <w:rPr>
          <w:sz w:val="22"/>
          <w:szCs w:val="22"/>
        </w:rPr>
      </w:pPr>
    </w:p>
    <w:p w:rsidR="00A8118A" w:rsidRPr="008F0F70" w:rsidRDefault="00A8118A" w:rsidP="00A8118A">
      <w:pPr>
        <w:widowControl w:val="0"/>
        <w:autoSpaceDE w:val="0"/>
        <w:autoSpaceDN w:val="0"/>
        <w:adjustRightInd w:val="0"/>
        <w:jc w:val="both"/>
        <w:rPr>
          <w:sz w:val="22"/>
          <w:szCs w:val="22"/>
        </w:rPr>
      </w:pPr>
      <w:r w:rsidRPr="008F0F70">
        <w:rPr>
          <w:sz w:val="22"/>
          <w:szCs w:val="22"/>
        </w:rPr>
        <w:t>Μέχρι σήμερα, δεν είναι γνωστές οι συγκεντρώσεις της λεβοφλοξασίνης που επιτυγχάνονται στο πλάσμα μετά την εφαρμογή σε προσβεβλημένους οφθαλμούς.</w:t>
      </w:r>
    </w:p>
    <w:p w:rsidR="002931B8" w:rsidRPr="008F0F70" w:rsidRDefault="002931B8" w:rsidP="006C4353">
      <w:pPr>
        <w:autoSpaceDE w:val="0"/>
        <w:autoSpaceDN w:val="0"/>
        <w:adjustRightInd w:val="0"/>
        <w:jc w:val="both"/>
        <w:rPr>
          <w:sz w:val="22"/>
          <w:szCs w:val="22"/>
        </w:rPr>
      </w:pPr>
    </w:p>
    <w:p w:rsidR="00C56CE7" w:rsidRPr="008F0F70" w:rsidRDefault="00C56CE7" w:rsidP="00C56CE7">
      <w:pPr>
        <w:tabs>
          <w:tab w:val="left" w:pos="0"/>
          <w:tab w:val="left" w:pos="720"/>
        </w:tabs>
        <w:jc w:val="both"/>
        <w:rPr>
          <w:b/>
          <w:sz w:val="22"/>
          <w:szCs w:val="22"/>
        </w:rPr>
      </w:pPr>
      <w:r w:rsidRPr="008F0F70">
        <w:rPr>
          <w:b/>
          <w:sz w:val="22"/>
          <w:szCs w:val="22"/>
        </w:rPr>
        <w:t>5.3</w:t>
      </w:r>
      <w:r w:rsidRPr="008F0F70">
        <w:rPr>
          <w:b/>
          <w:sz w:val="22"/>
          <w:szCs w:val="22"/>
        </w:rPr>
        <w:tab/>
        <w:t>Προκλινικά δεδομένα για την ασφάλεια</w:t>
      </w:r>
    </w:p>
    <w:p w:rsidR="00B13415" w:rsidRPr="008F0F70" w:rsidRDefault="00B13415" w:rsidP="006C4353">
      <w:pPr>
        <w:tabs>
          <w:tab w:val="left" w:pos="0"/>
          <w:tab w:val="left" w:pos="720"/>
        </w:tabs>
        <w:jc w:val="both"/>
        <w:rPr>
          <w:b/>
          <w:sz w:val="22"/>
          <w:szCs w:val="22"/>
        </w:rPr>
      </w:pPr>
    </w:p>
    <w:p w:rsidR="00C56CE7" w:rsidRPr="001955DB" w:rsidRDefault="00C56CE7" w:rsidP="00375CB8">
      <w:pPr>
        <w:pStyle w:val="Default"/>
        <w:jc w:val="both"/>
        <w:rPr>
          <w:color w:val="auto"/>
          <w:sz w:val="22"/>
          <w:szCs w:val="22"/>
          <w:lang w:val="el-GR"/>
        </w:rPr>
      </w:pPr>
      <w:r w:rsidRPr="008F0F70">
        <w:rPr>
          <w:color w:val="auto"/>
          <w:sz w:val="22"/>
          <w:szCs w:val="22"/>
          <w:lang w:val="el-GR"/>
        </w:rPr>
        <w:t xml:space="preserve">Προκλινικές επιδράσεις παρατηρήθηκαν μόνο </w:t>
      </w:r>
      <w:r w:rsidR="00F262F7" w:rsidRPr="008F0F70">
        <w:rPr>
          <w:color w:val="auto"/>
          <w:sz w:val="22"/>
          <w:szCs w:val="22"/>
          <w:lang w:val="el-GR"/>
        </w:rPr>
        <w:t xml:space="preserve">σε </w:t>
      </w:r>
      <w:r w:rsidRPr="008F0F70">
        <w:rPr>
          <w:color w:val="auto"/>
          <w:sz w:val="22"/>
          <w:szCs w:val="22"/>
          <w:lang w:val="el-GR"/>
        </w:rPr>
        <w:t xml:space="preserve">έκθεση που </w:t>
      </w:r>
      <w:r w:rsidR="00A8118A" w:rsidRPr="008F0F70">
        <w:rPr>
          <w:color w:val="auto"/>
          <w:sz w:val="22"/>
          <w:szCs w:val="22"/>
          <w:lang w:val="el-GR"/>
        </w:rPr>
        <w:t xml:space="preserve">υπερέβαινε </w:t>
      </w:r>
      <w:r w:rsidRPr="008F0F70">
        <w:rPr>
          <w:color w:val="auto"/>
          <w:sz w:val="22"/>
          <w:szCs w:val="22"/>
          <w:lang w:val="el-GR"/>
        </w:rPr>
        <w:t xml:space="preserve">σημαντικά τη μέγιστη έκθεση στον άνθρωπο μετά από ενστάλαξη </w:t>
      </w:r>
      <w:r w:rsidR="001B713B">
        <w:rPr>
          <w:color w:val="auto"/>
          <w:sz w:val="22"/>
          <w:szCs w:val="22"/>
          <w:lang w:val="el-GR"/>
        </w:rPr>
        <w:t xml:space="preserve">λεβοφλοξασίνης </w:t>
      </w:r>
      <w:r w:rsidR="001955DB" w:rsidRPr="001955DB">
        <w:rPr>
          <w:color w:val="auto"/>
          <w:sz w:val="22"/>
          <w:szCs w:val="22"/>
          <w:lang w:val="el-GR"/>
        </w:rPr>
        <w:t>5 mg/ml οφθαλμικές σταγόνες, διάλυμα</w:t>
      </w:r>
      <w:r w:rsidRPr="008F0F70">
        <w:rPr>
          <w:color w:val="auto"/>
          <w:sz w:val="22"/>
          <w:szCs w:val="22"/>
          <w:lang w:val="el-GR"/>
        </w:rPr>
        <w:t xml:space="preserve">, υποδηλώνοντας μικρή συσχέτιση με την κλινική χρήση. </w:t>
      </w:r>
    </w:p>
    <w:p w:rsidR="00C56CE7" w:rsidRPr="008F0F70" w:rsidRDefault="00C56CE7" w:rsidP="00C56CE7">
      <w:pPr>
        <w:pStyle w:val="Default"/>
        <w:jc w:val="both"/>
        <w:rPr>
          <w:color w:val="auto"/>
          <w:sz w:val="22"/>
          <w:szCs w:val="22"/>
          <w:lang w:val="el-GR"/>
        </w:rPr>
      </w:pPr>
      <w:r w:rsidRPr="008F0F70">
        <w:rPr>
          <w:color w:val="auto"/>
          <w:sz w:val="22"/>
          <w:szCs w:val="22"/>
          <w:lang w:val="el-GR"/>
        </w:rPr>
        <w:t xml:space="preserve">Σε μελέτες σε ζώα έχει αποδειχθεί ότι οι αναστολείς </w:t>
      </w:r>
      <w:r w:rsidR="00375CB8" w:rsidRPr="008F0F70">
        <w:rPr>
          <w:color w:val="auto"/>
          <w:sz w:val="22"/>
          <w:szCs w:val="22"/>
          <w:lang w:val="el-GR"/>
        </w:rPr>
        <w:t xml:space="preserve">της </w:t>
      </w:r>
      <w:r w:rsidRPr="008F0F70">
        <w:rPr>
          <w:color w:val="auto"/>
          <w:sz w:val="22"/>
          <w:szCs w:val="22"/>
          <w:lang w:val="el-GR"/>
        </w:rPr>
        <w:t>γυράσης προκαλούν διαταραχές στην ανάπτυξη των αρθρώσεων που φέρουν βάρος.</w:t>
      </w:r>
    </w:p>
    <w:p w:rsidR="00C56CE7" w:rsidRPr="008F0F70" w:rsidRDefault="00C56CE7" w:rsidP="00FF78DD">
      <w:pPr>
        <w:pStyle w:val="Default"/>
        <w:jc w:val="both"/>
        <w:rPr>
          <w:sz w:val="22"/>
          <w:szCs w:val="22"/>
          <w:lang w:val="el-GR"/>
        </w:rPr>
      </w:pPr>
      <w:r w:rsidRPr="008F0F70">
        <w:rPr>
          <w:color w:val="auto"/>
          <w:sz w:val="22"/>
          <w:szCs w:val="22"/>
          <w:lang w:val="el-GR"/>
        </w:rPr>
        <w:t xml:space="preserve">Όπως </w:t>
      </w:r>
      <w:r w:rsidR="00AC4A0C" w:rsidRPr="008F0F70">
        <w:rPr>
          <w:color w:val="auto"/>
          <w:sz w:val="22"/>
          <w:szCs w:val="22"/>
          <w:lang w:val="el-GR"/>
        </w:rPr>
        <w:t xml:space="preserve">συμβαίνει </w:t>
      </w:r>
      <w:r w:rsidRPr="008F0F70">
        <w:rPr>
          <w:color w:val="auto"/>
          <w:sz w:val="22"/>
          <w:szCs w:val="22"/>
          <w:lang w:val="el-GR"/>
        </w:rPr>
        <w:t xml:space="preserve">και </w:t>
      </w:r>
      <w:r w:rsidR="00AC4A0C" w:rsidRPr="008F0F70">
        <w:rPr>
          <w:color w:val="auto"/>
          <w:sz w:val="22"/>
          <w:szCs w:val="22"/>
          <w:lang w:val="el-GR"/>
        </w:rPr>
        <w:t xml:space="preserve">με </w:t>
      </w:r>
      <w:r w:rsidRPr="008F0F70">
        <w:rPr>
          <w:color w:val="auto"/>
          <w:sz w:val="22"/>
          <w:szCs w:val="22"/>
          <w:lang w:val="el-GR"/>
        </w:rPr>
        <w:t xml:space="preserve">άλλες φθοροκινολόνες, η λεβοφλοξασίνη παρουσίασε </w:t>
      </w:r>
      <w:r w:rsidR="00FF78DD" w:rsidRPr="008F0F70">
        <w:rPr>
          <w:color w:val="auto"/>
          <w:sz w:val="22"/>
          <w:szCs w:val="22"/>
          <w:lang w:val="el-GR"/>
        </w:rPr>
        <w:t>επι</w:t>
      </w:r>
      <w:r w:rsidRPr="008F0F70">
        <w:rPr>
          <w:color w:val="auto"/>
          <w:sz w:val="22"/>
          <w:szCs w:val="22"/>
          <w:lang w:val="el-GR"/>
        </w:rPr>
        <w:t>δράσεις στο χόνδρο (σχηματισμός φλυκταινών και κοιλ</w:t>
      </w:r>
      <w:r w:rsidR="00FF78DD" w:rsidRPr="008F0F70">
        <w:rPr>
          <w:color w:val="auto"/>
          <w:sz w:val="22"/>
          <w:szCs w:val="22"/>
          <w:lang w:val="el-GR"/>
        </w:rPr>
        <w:t>οτήτων</w:t>
      </w:r>
      <w:r w:rsidRPr="008F0F70">
        <w:rPr>
          <w:color w:val="auto"/>
          <w:sz w:val="22"/>
          <w:szCs w:val="22"/>
          <w:lang w:val="el-GR"/>
        </w:rPr>
        <w:t xml:space="preserve">) σε αρουραίους και σκύλους έπειτα από υψηλές από του στόματος δόσεις. </w:t>
      </w:r>
    </w:p>
    <w:p w:rsidR="00C56CE7" w:rsidRPr="008F0F70" w:rsidRDefault="00FF78DD" w:rsidP="009B6092">
      <w:pPr>
        <w:pStyle w:val="Default"/>
        <w:jc w:val="both"/>
        <w:rPr>
          <w:color w:val="auto"/>
          <w:sz w:val="22"/>
          <w:szCs w:val="22"/>
          <w:lang w:val="el-GR"/>
        </w:rPr>
      </w:pPr>
      <w:r w:rsidRPr="008F0F70">
        <w:rPr>
          <w:color w:val="auto"/>
          <w:sz w:val="22"/>
          <w:szCs w:val="22"/>
          <w:lang w:val="el-GR"/>
        </w:rPr>
        <w:t xml:space="preserve">Η πιθανότητα πρόκλησης καταρράκτη </w:t>
      </w:r>
      <w:r w:rsidR="00C56CE7" w:rsidRPr="008F0F70">
        <w:rPr>
          <w:color w:val="auto"/>
          <w:sz w:val="22"/>
          <w:szCs w:val="22"/>
          <w:lang w:val="el-GR"/>
        </w:rPr>
        <w:t>δεν μπορεί να αποκλειστεί λόγω έλλειψης ειδικών ερευνών.</w:t>
      </w:r>
    </w:p>
    <w:p w:rsidR="00C56CE7" w:rsidRPr="008F0F70" w:rsidRDefault="009B6092" w:rsidP="009B6092">
      <w:pPr>
        <w:pStyle w:val="Default"/>
        <w:jc w:val="both"/>
        <w:rPr>
          <w:color w:val="auto"/>
          <w:sz w:val="22"/>
          <w:szCs w:val="22"/>
          <w:lang w:val="el-GR"/>
        </w:rPr>
      </w:pPr>
      <w:r w:rsidRPr="008F0F70">
        <w:rPr>
          <w:color w:val="auto"/>
          <w:sz w:val="22"/>
          <w:szCs w:val="22"/>
          <w:lang w:val="el-GR"/>
        </w:rPr>
        <w:t>Η εκδήλωση ο</w:t>
      </w:r>
      <w:r w:rsidR="00C56CE7" w:rsidRPr="008F0F70">
        <w:rPr>
          <w:color w:val="auto"/>
          <w:sz w:val="22"/>
          <w:szCs w:val="22"/>
          <w:lang w:val="el-GR"/>
        </w:rPr>
        <w:t>φθαλμικ</w:t>
      </w:r>
      <w:r w:rsidRPr="008F0F70">
        <w:rPr>
          <w:color w:val="auto"/>
          <w:sz w:val="22"/>
          <w:szCs w:val="22"/>
          <w:lang w:val="el-GR"/>
        </w:rPr>
        <w:t xml:space="preserve">ών </w:t>
      </w:r>
      <w:r w:rsidR="00C56CE7" w:rsidRPr="008F0F70">
        <w:rPr>
          <w:color w:val="auto"/>
          <w:sz w:val="22"/>
          <w:szCs w:val="22"/>
          <w:lang w:val="el-GR"/>
        </w:rPr>
        <w:t>διαταραχ</w:t>
      </w:r>
      <w:r w:rsidRPr="008F0F70">
        <w:rPr>
          <w:color w:val="auto"/>
          <w:sz w:val="22"/>
          <w:szCs w:val="22"/>
          <w:lang w:val="el-GR"/>
        </w:rPr>
        <w:t xml:space="preserve">ών </w:t>
      </w:r>
      <w:r w:rsidR="00C56CE7" w:rsidRPr="008F0F70">
        <w:rPr>
          <w:color w:val="auto"/>
          <w:sz w:val="22"/>
          <w:szCs w:val="22"/>
          <w:lang w:val="el-GR"/>
        </w:rPr>
        <w:t>σε ζώα δεν μπορ</w:t>
      </w:r>
      <w:r w:rsidRPr="008F0F70">
        <w:rPr>
          <w:color w:val="auto"/>
          <w:sz w:val="22"/>
          <w:szCs w:val="22"/>
          <w:lang w:val="el-GR"/>
        </w:rPr>
        <w:t xml:space="preserve">εί </w:t>
      </w:r>
      <w:r w:rsidR="00C56CE7" w:rsidRPr="008F0F70">
        <w:rPr>
          <w:color w:val="auto"/>
          <w:sz w:val="22"/>
          <w:szCs w:val="22"/>
          <w:lang w:val="el-GR"/>
        </w:rPr>
        <w:t xml:space="preserve">να </w:t>
      </w:r>
      <w:r w:rsidRPr="008F0F70">
        <w:rPr>
          <w:color w:val="auto"/>
          <w:sz w:val="22"/>
          <w:szCs w:val="22"/>
          <w:lang w:val="el-GR"/>
        </w:rPr>
        <w:t xml:space="preserve">αποκλειστεί </w:t>
      </w:r>
      <w:r w:rsidR="00C56CE7" w:rsidRPr="008F0F70">
        <w:rPr>
          <w:color w:val="auto"/>
          <w:sz w:val="22"/>
          <w:szCs w:val="22"/>
          <w:lang w:val="el-GR"/>
        </w:rPr>
        <w:t>με βεβαιότητα με βάση τα υπάρχοντα δεδομένα.</w:t>
      </w:r>
    </w:p>
    <w:p w:rsidR="004865F2" w:rsidRPr="008F0F70" w:rsidRDefault="004865F2" w:rsidP="007C3239">
      <w:pPr>
        <w:pStyle w:val="Default"/>
        <w:jc w:val="both"/>
        <w:rPr>
          <w:strike/>
          <w:color w:val="auto"/>
          <w:sz w:val="22"/>
          <w:szCs w:val="22"/>
          <w:lang w:val="el-GR"/>
        </w:rPr>
      </w:pPr>
    </w:p>
    <w:p w:rsidR="00C56CE7" w:rsidRPr="008F0F70" w:rsidRDefault="00C56CE7" w:rsidP="00C56CE7">
      <w:pPr>
        <w:pStyle w:val="Default"/>
        <w:jc w:val="both"/>
        <w:rPr>
          <w:i/>
          <w:color w:val="auto"/>
          <w:sz w:val="22"/>
          <w:szCs w:val="22"/>
          <w:lang w:val="el-GR"/>
        </w:rPr>
      </w:pPr>
      <w:r w:rsidRPr="008F0F70">
        <w:rPr>
          <w:i/>
          <w:color w:val="auto"/>
          <w:sz w:val="22"/>
          <w:szCs w:val="22"/>
          <w:lang w:val="el-GR"/>
        </w:rPr>
        <w:t>Αναπαραγωγική τοξικότητα:</w:t>
      </w:r>
    </w:p>
    <w:p w:rsidR="00C56CE7" w:rsidRPr="001955DB" w:rsidRDefault="00C56CE7" w:rsidP="004F1307">
      <w:pPr>
        <w:pStyle w:val="Default"/>
        <w:jc w:val="both"/>
        <w:rPr>
          <w:color w:val="auto"/>
          <w:sz w:val="22"/>
          <w:szCs w:val="22"/>
          <w:lang w:val="el-GR"/>
        </w:rPr>
      </w:pPr>
      <w:r w:rsidRPr="008F0F70">
        <w:rPr>
          <w:color w:val="auto"/>
          <w:sz w:val="22"/>
          <w:szCs w:val="22"/>
          <w:lang w:val="el-GR"/>
        </w:rPr>
        <w:t xml:space="preserve">Η λεβοφλοξασίνη δεν ήταν τερατογόνος σε αρουραίους σε από του στόματος δόσεις έως και 810 mg/kg/ημέρα. Δεδομένου ότι η λεβοφλοξασίνη έχει αποδειχθεί ότι απορροφάται πλήρως, η κινητική είναι γραμμική. Δεν παρατηρήθηκαν διαφορές στις παραμέτρους φαρμακοκινητικής μεταξύ </w:t>
      </w:r>
      <w:r w:rsidR="00DB40E3" w:rsidRPr="008F0F70">
        <w:rPr>
          <w:color w:val="auto"/>
          <w:sz w:val="22"/>
          <w:szCs w:val="22"/>
          <w:lang w:val="el-GR"/>
        </w:rPr>
        <w:t xml:space="preserve">εφάπαξ και πολλαπλών </w:t>
      </w:r>
      <w:r w:rsidRPr="008F0F70">
        <w:rPr>
          <w:color w:val="auto"/>
          <w:sz w:val="22"/>
          <w:szCs w:val="22"/>
          <w:lang w:val="el-GR"/>
        </w:rPr>
        <w:t>από του στόματος δόσεων. Η συστηματική έκθεση σε αρουραίους που έλαβαν δόση 810 mg/kg/ημέρα είναι περίπου 50.000 φορές μεγαλύτερη από αυτή που επιτυγχάνεται στ</w:t>
      </w:r>
      <w:r w:rsidR="007E7DD6" w:rsidRPr="008F0F70">
        <w:rPr>
          <w:color w:val="auto"/>
          <w:sz w:val="22"/>
          <w:szCs w:val="22"/>
          <w:lang w:val="el-GR"/>
        </w:rPr>
        <w:t xml:space="preserve">ον άνθρωπο </w:t>
      </w:r>
      <w:r w:rsidRPr="008F0F70">
        <w:rPr>
          <w:color w:val="auto"/>
          <w:sz w:val="22"/>
          <w:szCs w:val="22"/>
          <w:lang w:val="el-GR"/>
        </w:rPr>
        <w:t>μετά από 2 σταγόν</w:t>
      </w:r>
      <w:r w:rsidR="00A45C79" w:rsidRPr="008F0F70">
        <w:rPr>
          <w:color w:val="auto"/>
          <w:sz w:val="22"/>
          <w:szCs w:val="22"/>
          <w:lang w:val="el-GR"/>
        </w:rPr>
        <w:t>ες</w:t>
      </w:r>
      <w:r w:rsidRPr="008F0F70">
        <w:rPr>
          <w:color w:val="auto"/>
          <w:sz w:val="22"/>
          <w:szCs w:val="22"/>
          <w:lang w:val="el-GR"/>
        </w:rPr>
        <w:t xml:space="preserve"> </w:t>
      </w:r>
      <w:r w:rsidR="001B713B">
        <w:rPr>
          <w:color w:val="auto"/>
          <w:sz w:val="22"/>
          <w:szCs w:val="22"/>
          <w:lang w:val="el-GR"/>
        </w:rPr>
        <w:t xml:space="preserve">λεβοφλοξασίνης </w:t>
      </w:r>
      <w:r w:rsidR="001955DB" w:rsidRPr="001955DB">
        <w:rPr>
          <w:color w:val="auto"/>
          <w:sz w:val="22"/>
          <w:szCs w:val="22"/>
          <w:lang w:val="el-GR"/>
        </w:rPr>
        <w:t xml:space="preserve">5 mg/ml οφθαλμικές σταγόνες, διάλυμα </w:t>
      </w:r>
      <w:r w:rsidRPr="008F0F70">
        <w:rPr>
          <w:color w:val="auto"/>
          <w:sz w:val="22"/>
          <w:szCs w:val="22"/>
          <w:lang w:val="el-GR"/>
        </w:rPr>
        <w:t xml:space="preserve">και στους δύο οφθαλμούς. </w:t>
      </w:r>
      <w:r w:rsidRPr="008F0F70">
        <w:rPr>
          <w:color w:val="auto"/>
          <w:sz w:val="22"/>
          <w:szCs w:val="22"/>
          <w:u w:val="single"/>
          <w:lang w:val="el-GR"/>
        </w:rPr>
        <w:t>Σε αρουραίους η υψηλότερη δόση προκάλεσε αυξημένη εμβρυ</w:t>
      </w:r>
      <w:r w:rsidR="00B82179" w:rsidRPr="008F0F70">
        <w:rPr>
          <w:color w:val="auto"/>
          <w:sz w:val="22"/>
          <w:szCs w:val="22"/>
          <w:u w:val="single"/>
          <w:lang w:val="el-GR"/>
        </w:rPr>
        <w:t>ϊ</w:t>
      </w:r>
      <w:r w:rsidRPr="008F0F70">
        <w:rPr>
          <w:color w:val="auto"/>
          <w:sz w:val="22"/>
          <w:szCs w:val="22"/>
          <w:u w:val="single"/>
          <w:lang w:val="el-GR"/>
        </w:rPr>
        <w:t>κή θνητότητα και καθυστερημένη ωρίμανση που συμπίπτει με τη μητρική τοξικότητα.</w:t>
      </w:r>
      <w:r w:rsidRPr="008F0F70">
        <w:rPr>
          <w:color w:val="auto"/>
          <w:sz w:val="22"/>
          <w:szCs w:val="22"/>
          <w:lang w:val="el-GR"/>
        </w:rPr>
        <w:t xml:space="preserve"> Δεν παρατηρήθηκε τερατογόνος δράση όταν χορηγήθηκε από του στόματος σε κουνέλια </w:t>
      </w:r>
      <w:r w:rsidR="004A4ACF" w:rsidRPr="008F0F70">
        <w:rPr>
          <w:color w:val="auto"/>
          <w:sz w:val="22"/>
          <w:szCs w:val="22"/>
          <w:lang w:val="el-GR"/>
        </w:rPr>
        <w:t xml:space="preserve">σε δόση </w:t>
      </w:r>
      <w:r w:rsidRPr="008F0F70">
        <w:rPr>
          <w:color w:val="auto"/>
          <w:sz w:val="22"/>
          <w:szCs w:val="22"/>
          <w:lang w:val="el-GR"/>
        </w:rPr>
        <w:t xml:space="preserve">έως 50 mg/kg/ημέρα ή ενδοφλεβίως </w:t>
      </w:r>
      <w:r w:rsidR="004A4ACF" w:rsidRPr="008F0F70">
        <w:rPr>
          <w:color w:val="auto"/>
          <w:sz w:val="22"/>
          <w:szCs w:val="22"/>
          <w:lang w:val="el-GR"/>
        </w:rPr>
        <w:t>σ</w:t>
      </w:r>
      <w:r w:rsidRPr="008F0F70">
        <w:rPr>
          <w:color w:val="auto"/>
          <w:sz w:val="22"/>
          <w:szCs w:val="22"/>
          <w:lang w:val="el-GR"/>
        </w:rPr>
        <w:t xml:space="preserve">ε δόση έως 25 mg/kg/ημέρα. Η λεβοφλοξασίνη δεν προκάλεσε διαταραχή της γονιμότητας σε αρουραίους σε από του στόματος δόσεις έως και </w:t>
      </w:r>
      <w:r w:rsidRPr="008F0F70">
        <w:rPr>
          <w:color w:val="auto"/>
          <w:sz w:val="22"/>
          <w:szCs w:val="22"/>
          <w:lang w:val="el-GR"/>
        </w:rPr>
        <w:lastRenderedPageBreak/>
        <w:t xml:space="preserve">360 mg/kg/ημέρα, </w:t>
      </w:r>
      <w:r w:rsidR="00683D51" w:rsidRPr="008F0F70">
        <w:rPr>
          <w:color w:val="auto"/>
          <w:sz w:val="22"/>
          <w:szCs w:val="22"/>
          <w:lang w:val="el-GR"/>
        </w:rPr>
        <w:t xml:space="preserve">που οδηγούν </w:t>
      </w:r>
      <w:r w:rsidRPr="008F0F70">
        <w:rPr>
          <w:color w:val="auto"/>
          <w:sz w:val="22"/>
          <w:szCs w:val="22"/>
          <w:lang w:val="el-GR"/>
        </w:rPr>
        <w:t>σε περίπου 16.000 φορές υψηλότερες συγκεντρώσεις στο πλάσμα από αυτές που επιτ</w:t>
      </w:r>
      <w:r w:rsidR="004F1307" w:rsidRPr="008F0F70">
        <w:rPr>
          <w:color w:val="auto"/>
          <w:sz w:val="22"/>
          <w:szCs w:val="22"/>
          <w:lang w:val="el-GR"/>
        </w:rPr>
        <w:t xml:space="preserve">υγχάνονται </w:t>
      </w:r>
      <w:r w:rsidRPr="008F0F70">
        <w:rPr>
          <w:color w:val="auto"/>
          <w:sz w:val="22"/>
          <w:szCs w:val="22"/>
          <w:lang w:val="el-GR"/>
        </w:rPr>
        <w:t>μετά από 8 οφθαλμικές δόσεις σ</w:t>
      </w:r>
      <w:r w:rsidR="00573DD1" w:rsidRPr="008F0F70">
        <w:rPr>
          <w:color w:val="auto"/>
          <w:sz w:val="22"/>
          <w:szCs w:val="22"/>
          <w:lang w:val="el-GR"/>
        </w:rPr>
        <w:t>τον άνθρωπο</w:t>
      </w:r>
      <w:r w:rsidRPr="008F0F70">
        <w:rPr>
          <w:color w:val="auto"/>
          <w:sz w:val="22"/>
          <w:szCs w:val="22"/>
          <w:lang w:val="el-GR"/>
        </w:rPr>
        <w:t>.</w:t>
      </w:r>
    </w:p>
    <w:p w:rsidR="004865F2" w:rsidRPr="008F0F70" w:rsidRDefault="004865F2" w:rsidP="007C3239">
      <w:pPr>
        <w:pStyle w:val="Default"/>
        <w:jc w:val="both"/>
        <w:rPr>
          <w:i/>
          <w:iCs/>
          <w:color w:val="auto"/>
          <w:sz w:val="22"/>
          <w:szCs w:val="22"/>
          <w:lang w:val="el-GR"/>
        </w:rPr>
      </w:pPr>
    </w:p>
    <w:p w:rsidR="00C56CE7" w:rsidRPr="008F0F70" w:rsidRDefault="00C56CE7" w:rsidP="00C56CE7">
      <w:pPr>
        <w:pStyle w:val="Default"/>
        <w:jc w:val="both"/>
        <w:rPr>
          <w:i/>
          <w:color w:val="auto"/>
          <w:sz w:val="22"/>
          <w:szCs w:val="22"/>
          <w:lang w:val="el-GR"/>
        </w:rPr>
      </w:pPr>
      <w:r w:rsidRPr="008F0F70">
        <w:rPr>
          <w:i/>
          <w:color w:val="auto"/>
          <w:sz w:val="22"/>
          <w:szCs w:val="22"/>
          <w:lang w:val="el-GR"/>
        </w:rPr>
        <w:t>Γονοτοξικότητα:</w:t>
      </w:r>
    </w:p>
    <w:p w:rsidR="00C56CE7" w:rsidRPr="008F0F70" w:rsidRDefault="00C56CE7" w:rsidP="006F3A10">
      <w:pPr>
        <w:pStyle w:val="Default"/>
        <w:jc w:val="both"/>
        <w:rPr>
          <w:i/>
          <w:strike/>
          <w:sz w:val="22"/>
          <w:szCs w:val="22"/>
          <w:lang w:val="el-GR"/>
        </w:rPr>
      </w:pPr>
      <w:r w:rsidRPr="008F0F70">
        <w:rPr>
          <w:color w:val="auto"/>
          <w:sz w:val="22"/>
          <w:szCs w:val="22"/>
          <w:lang w:val="el-GR"/>
        </w:rPr>
        <w:t>Η λεβοφλοξασίνη δεν επήγαγε γονιδιακές μεταλλάξεις σε κύτταρα βακτηρίων ή θηλαστικών, αλλά επήγαγε χρωμοσωμικές ανωμαλίες σε κύτταρα πνεύμονα κιν</w:t>
      </w:r>
      <w:r w:rsidR="007F0942" w:rsidRPr="008F0F70">
        <w:rPr>
          <w:color w:val="auto"/>
          <w:sz w:val="22"/>
          <w:szCs w:val="22"/>
          <w:lang w:val="el-GR"/>
        </w:rPr>
        <w:t xml:space="preserve">έζικου </w:t>
      </w:r>
      <w:r w:rsidRPr="008F0F70">
        <w:rPr>
          <w:color w:val="auto"/>
          <w:sz w:val="22"/>
          <w:szCs w:val="22"/>
          <w:lang w:val="el-GR"/>
        </w:rPr>
        <w:t xml:space="preserve">χάμστερ (CHL) </w:t>
      </w:r>
      <w:r w:rsidRPr="008F0F70">
        <w:rPr>
          <w:i/>
          <w:color w:val="auto"/>
          <w:sz w:val="22"/>
          <w:szCs w:val="22"/>
          <w:lang w:val="el-GR"/>
        </w:rPr>
        <w:t>in vitro</w:t>
      </w:r>
      <w:r w:rsidRPr="008F0F70">
        <w:rPr>
          <w:color w:val="auto"/>
          <w:sz w:val="22"/>
          <w:szCs w:val="22"/>
          <w:lang w:val="el-GR"/>
        </w:rPr>
        <w:t xml:space="preserve"> σ</w:t>
      </w:r>
      <w:r w:rsidR="006F3A10" w:rsidRPr="008F0F70">
        <w:rPr>
          <w:color w:val="auto"/>
          <w:sz w:val="22"/>
          <w:szCs w:val="22"/>
          <w:lang w:val="el-GR"/>
        </w:rPr>
        <w:t xml:space="preserve">ε συγκεντρώσεις </w:t>
      </w:r>
      <w:r w:rsidRPr="008F0F70">
        <w:rPr>
          <w:color w:val="auto"/>
          <w:sz w:val="22"/>
          <w:szCs w:val="22"/>
          <w:lang w:val="el-GR"/>
        </w:rPr>
        <w:t xml:space="preserve">100 μg/mL ή </w:t>
      </w:r>
      <w:r w:rsidR="006F3A10" w:rsidRPr="008F0F70">
        <w:rPr>
          <w:color w:val="auto"/>
          <w:sz w:val="22"/>
          <w:szCs w:val="22"/>
          <w:lang w:val="el-GR"/>
        </w:rPr>
        <w:t>μεγαλύτερες</w:t>
      </w:r>
      <w:r w:rsidRPr="008F0F70">
        <w:rPr>
          <w:color w:val="auto"/>
          <w:sz w:val="22"/>
          <w:szCs w:val="22"/>
          <w:lang w:val="el-GR"/>
        </w:rPr>
        <w:t xml:space="preserve">, απουσία μεταβολικής ενεργοποίησης. Δοκιμασίες </w:t>
      </w:r>
      <w:r w:rsidRPr="008F0F70">
        <w:rPr>
          <w:i/>
          <w:iCs/>
          <w:color w:val="auto"/>
          <w:sz w:val="22"/>
          <w:szCs w:val="22"/>
          <w:lang w:val="el-GR"/>
        </w:rPr>
        <w:t>in</w:t>
      </w:r>
      <w:r w:rsidR="00EE436B">
        <w:rPr>
          <w:i/>
          <w:iCs/>
          <w:color w:val="auto"/>
          <w:sz w:val="22"/>
          <w:szCs w:val="22"/>
          <w:lang w:val="el-GR"/>
        </w:rPr>
        <w:t xml:space="preserve"> </w:t>
      </w:r>
      <w:r w:rsidRPr="008F0F70">
        <w:rPr>
          <w:i/>
          <w:iCs/>
          <w:color w:val="auto"/>
          <w:sz w:val="22"/>
          <w:szCs w:val="22"/>
          <w:lang w:val="el-GR"/>
        </w:rPr>
        <w:t>vivo</w:t>
      </w:r>
      <w:r w:rsidRPr="008F0F70">
        <w:rPr>
          <w:color w:val="auto"/>
          <w:sz w:val="22"/>
          <w:szCs w:val="22"/>
          <w:lang w:val="el-GR"/>
        </w:rPr>
        <w:t xml:space="preserve"> δεν έδειξαν γονοτοξική δυνατότητα. </w:t>
      </w:r>
    </w:p>
    <w:p w:rsidR="007C3239" w:rsidRPr="008F0F70" w:rsidRDefault="007C3239" w:rsidP="007C3239">
      <w:pPr>
        <w:pStyle w:val="Default"/>
        <w:jc w:val="both"/>
        <w:rPr>
          <w:i/>
          <w:strike/>
          <w:color w:val="auto"/>
          <w:sz w:val="22"/>
          <w:szCs w:val="22"/>
          <w:lang w:val="el-GR"/>
        </w:rPr>
      </w:pPr>
    </w:p>
    <w:p w:rsidR="00C56CE7" w:rsidRPr="008F0F70" w:rsidRDefault="00C56CE7" w:rsidP="00C56CE7">
      <w:pPr>
        <w:pStyle w:val="Default"/>
        <w:jc w:val="both"/>
        <w:rPr>
          <w:sz w:val="22"/>
          <w:szCs w:val="22"/>
          <w:lang w:val="el-GR"/>
        </w:rPr>
      </w:pPr>
      <w:r w:rsidRPr="008F0F70">
        <w:rPr>
          <w:i/>
          <w:color w:val="auto"/>
          <w:sz w:val="22"/>
          <w:szCs w:val="22"/>
          <w:lang w:val="el-GR"/>
        </w:rPr>
        <w:t xml:space="preserve">Φωτοτοξική δυνατότητα: </w:t>
      </w:r>
    </w:p>
    <w:p w:rsidR="00C56CE7" w:rsidRPr="008F0F70" w:rsidRDefault="00C56CE7" w:rsidP="0025750E">
      <w:pPr>
        <w:pStyle w:val="Default"/>
        <w:jc w:val="both"/>
        <w:rPr>
          <w:sz w:val="22"/>
          <w:szCs w:val="22"/>
          <w:lang w:val="el-GR"/>
        </w:rPr>
      </w:pPr>
      <w:r w:rsidRPr="008F0F70">
        <w:rPr>
          <w:color w:val="auto"/>
          <w:sz w:val="22"/>
          <w:szCs w:val="22"/>
          <w:lang w:val="el-GR"/>
        </w:rPr>
        <w:t xml:space="preserve">Μελέτες σε ποντικούς </w:t>
      </w:r>
      <w:r w:rsidR="000D0301" w:rsidRPr="008F0F70">
        <w:rPr>
          <w:color w:val="auto"/>
          <w:sz w:val="22"/>
          <w:szCs w:val="22"/>
          <w:lang w:val="el-GR"/>
        </w:rPr>
        <w:t xml:space="preserve">κατόπιν </w:t>
      </w:r>
      <w:r w:rsidRPr="008F0F70">
        <w:rPr>
          <w:color w:val="auto"/>
          <w:sz w:val="22"/>
          <w:szCs w:val="22"/>
          <w:lang w:val="el-GR"/>
        </w:rPr>
        <w:t>από του στόματος και ενδοφλέβια</w:t>
      </w:r>
      <w:r w:rsidR="000D0301" w:rsidRPr="008F0F70">
        <w:rPr>
          <w:color w:val="auto"/>
          <w:sz w:val="22"/>
          <w:szCs w:val="22"/>
          <w:lang w:val="el-GR"/>
        </w:rPr>
        <w:t>ς</w:t>
      </w:r>
      <w:r w:rsidRPr="008F0F70">
        <w:rPr>
          <w:color w:val="auto"/>
          <w:sz w:val="22"/>
          <w:szCs w:val="22"/>
          <w:lang w:val="el-GR"/>
        </w:rPr>
        <w:t xml:space="preserve"> χορήγηση</w:t>
      </w:r>
      <w:r w:rsidR="000D0301" w:rsidRPr="008F0F70">
        <w:rPr>
          <w:color w:val="auto"/>
          <w:sz w:val="22"/>
          <w:szCs w:val="22"/>
          <w:lang w:val="el-GR"/>
        </w:rPr>
        <w:t>ς</w:t>
      </w:r>
      <w:r w:rsidRPr="008F0F70">
        <w:rPr>
          <w:color w:val="auto"/>
          <w:sz w:val="22"/>
          <w:szCs w:val="22"/>
          <w:lang w:val="el-GR"/>
        </w:rPr>
        <w:t xml:space="preserve"> έδειξαν ότι η λεβοφλοξασίνη </w:t>
      </w:r>
      <w:r w:rsidR="00A74A36" w:rsidRPr="008F0F70">
        <w:rPr>
          <w:color w:val="auto"/>
          <w:sz w:val="22"/>
          <w:szCs w:val="22"/>
          <w:lang w:val="el-GR"/>
        </w:rPr>
        <w:t xml:space="preserve">έχει </w:t>
      </w:r>
      <w:r w:rsidRPr="008F0F70">
        <w:rPr>
          <w:color w:val="auto"/>
          <w:sz w:val="22"/>
          <w:szCs w:val="22"/>
          <w:lang w:val="el-GR"/>
        </w:rPr>
        <w:t xml:space="preserve">φωτοτοξική δράση μόνο σε πολύ υψηλές δόσεις. </w:t>
      </w:r>
      <w:r w:rsidR="003167FB" w:rsidRPr="008F0F70">
        <w:rPr>
          <w:color w:val="auto"/>
          <w:sz w:val="22"/>
          <w:szCs w:val="22"/>
          <w:lang w:val="el-GR"/>
        </w:rPr>
        <w:t>Δ</w:t>
      </w:r>
      <w:r w:rsidRPr="008F0F70">
        <w:rPr>
          <w:color w:val="auto"/>
          <w:sz w:val="22"/>
          <w:szCs w:val="22"/>
          <w:lang w:val="el-GR"/>
        </w:rPr>
        <w:t xml:space="preserve">εν παρατηρήθηκε </w:t>
      </w:r>
      <w:r w:rsidR="00227F1C" w:rsidRPr="008F0F70">
        <w:rPr>
          <w:color w:val="auto"/>
          <w:sz w:val="22"/>
          <w:szCs w:val="22"/>
          <w:lang w:val="el-GR"/>
        </w:rPr>
        <w:t xml:space="preserve">δυνατότητα </w:t>
      </w:r>
      <w:r w:rsidRPr="008F0F70">
        <w:rPr>
          <w:color w:val="auto"/>
          <w:sz w:val="22"/>
          <w:szCs w:val="22"/>
          <w:lang w:val="el-GR"/>
        </w:rPr>
        <w:t>φωτοευαισθητοπο</w:t>
      </w:r>
      <w:r w:rsidR="00227F1C" w:rsidRPr="008F0F70">
        <w:rPr>
          <w:color w:val="auto"/>
          <w:sz w:val="22"/>
          <w:szCs w:val="22"/>
          <w:lang w:val="el-GR"/>
        </w:rPr>
        <w:t xml:space="preserve">ίησης του δέρματος </w:t>
      </w:r>
      <w:r w:rsidRPr="008F0F70">
        <w:rPr>
          <w:color w:val="auto"/>
          <w:sz w:val="22"/>
          <w:szCs w:val="22"/>
          <w:lang w:val="el-GR"/>
        </w:rPr>
        <w:t>ή φωτοτοξικ</w:t>
      </w:r>
      <w:r w:rsidR="00227F1C" w:rsidRPr="008F0F70">
        <w:rPr>
          <w:color w:val="auto"/>
          <w:sz w:val="22"/>
          <w:szCs w:val="22"/>
          <w:lang w:val="el-GR"/>
        </w:rPr>
        <w:t xml:space="preserve">ότητας του δέρματος </w:t>
      </w:r>
      <w:r w:rsidRPr="008F0F70">
        <w:rPr>
          <w:color w:val="auto"/>
          <w:sz w:val="22"/>
          <w:szCs w:val="22"/>
          <w:lang w:val="el-GR"/>
        </w:rPr>
        <w:t xml:space="preserve">μετά από εφαρμογή οφθαλμικού διαλύματος λεβοφλοξασίνης </w:t>
      </w:r>
      <w:r w:rsidR="0018464F" w:rsidRPr="008F0F70">
        <w:rPr>
          <w:color w:val="auto"/>
          <w:sz w:val="22"/>
          <w:szCs w:val="22"/>
          <w:lang w:val="el-GR"/>
        </w:rPr>
        <w:t xml:space="preserve">3% </w:t>
      </w:r>
      <w:r w:rsidRPr="008F0F70">
        <w:rPr>
          <w:color w:val="auto"/>
          <w:sz w:val="22"/>
          <w:szCs w:val="22"/>
          <w:lang w:val="el-GR"/>
        </w:rPr>
        <w:t>σ</w:t>
      </w:r>
      <w:r w:rsidR="0018464F" w:rsidRPr="008F0F70">
        <w:rPr>
          <w:color w:val="auto"/>
          <w:sz w:val="22"/>
          <w:szCs w:val="22"/>
          <w:lang w:val="el-GR"/>
        </w:rPr>
        <w:t xml:space="preserve">ε </w:t>
      </w:r>
      <w:r w:rsidRPr="008F0F70">
        <w:rPr>
          <w:color w:val="auto"/>
          <w:sz w:val="22"/>
          <w:szCs w:val="22"/>
          <w:lang w:val="el-GR"/>
        </w:rPr>
        <w:t xml:space="preserve">ξυρισμένο δέρμα ινδικών χοιριδίων. Η λεβοφλοξασίνη δεν παρουσίασε γονοτοξική δυνατότητα σε δοκιμασία φωτομεταλλαξιογένεσης και μείωσε την ανάπτυξη όγκων σε δοκιμασία φωτοκαρκινογένεσης. </w:t>
      </w:r>
    </w:p>
    <w:p w:rsidR="007C3239" w:rsidRPr="008F0F70" w:rsidRDefault="007C3239" w:rsidP="007C3239">
      <w:pPr>
        <w:pStyle w:val="Default"/>
        <w:jc w:val="both"/>
        <w:rPr>
          <w:strike/>
          <w:color w:val="auto"/>
          <w:sz w:val="22"/>
          <w:szCs w:val="22"/>
          <w:lang w:val="el-GR"/>
        </w:rPr>
      </w:pPr>
    </w:p>
    <w:p w:rsidR="00C56CE7" w:rsidRPr="008F0F70" w:rsidRDefault="00C56CE7" w:rsidP="00C56CE7">
      <w:pPr>
        <w:pStyle w:val="Default"/>
        <w:jc w:val="both"/>
        <w:rPr>
          <w:sz w:val="22"/>
          <w:szCs w:val="22"/>
          <w:lang w:val="el-GR"/>
        </w:rPr>
      </w:pPr>
      <w:r w:rsidRPr="008F0F70">
        <w:rPr>
          <w:i/>
          <w:color w:val="auto"/>
          <w:sz w:val="22"/>
          <w:szCs w:val="22"/>
          <w:lang w:val="el-GR"/>
        </w:rPr>
        <w:t xml:space="preserve">Καρκινογόνος δυνατότητα: </w:t>
      </w:r>
    </w:p>
    <w:p w:rsidR="001D00F9" w:rsidRPr="008F0F70" w:rsidRDefault="001D00F9" w:rsidP="001D00F9">
      <w:pPr>
        <w:pStyle w:val="Default"/>
        <w:jc w:val="both"/>
        <w:rPr>
          <w:sz w:val="22"/>
          <w:szCs w:val="22"/>
          <w:lang w:val="el-GR"/>
        </w:rPr>
      </w:pPr>
      <w:r w:rsidRPr="008F0F70">
        <w:rPr>
          <w:color w:val="auto"/>
          <w:sz w:val="22"/>
          <w:szCs w:val="22"/>
          <w:lang w:val="el-GR"/>
        </w:rPr>
        <w:t xml:space="preserve">Σε μία μακροχρόνια μελέτη καρκινογένεσης σε αρουραίους, η λεβοφλοξασίνη δεν παρουσίασε καρκινογόνο ή ογκογόνο δυνατότητα μετά από ημερήσια διατροφική χορήγηση έως και 100 mg/kg/ημέρα για 2 έτη. </w:t>
      </w:r>
    </w:p>
    <w:p w:rsidR="007C3239" w:rsidRPr="008F0F70" w:rsidRDefault="007C3239" w:rsidP="006C4353">
      <w:pPr>
        <w:widowControl w:val="0"/>
        <w:autoSpaceDE w:val="0"/>
        <w:autoSpaceDN w:val="0"/>
        <w:adjustRightInd w:val="0"/>
        <w:jc w:val="both"/>
        <w:rPr>
          <w:sz w:val="22"/>
          <w:szCs w:val="22"/>
        </w:rPr>
      </w:pPr>
    </w:p>
    <w:p w:rsidR="001D00F9" w:rsidRPr="008F0F70" w:rsidRDefault="001D00F9" w:rsidP="001D00F9">
      <w:pPr>
        <w:rPr>
          <w:i/>
          <w:sz w:val="22"/>
          <w:szCs w:val="22"/>
        </w:rPr>
      </w:pPr>
      <w:r w:rsidRPr="008F0F70">
        <w:rPr>
          <w:i/>
          <w:sz w:val="22"/>
          <w:szCs w:val="22"/>
        </w:rPr>
        <w:t>Αξιολόγηση περιβαλλοντικού κινδύνου (ERA)</w:t>
      </w:r>
    </w:p>
    <w:p w:rsidR="001D00F9" w:rsidRPr="008F0F70" w:rsidRDefault="001D00F9" w:rsidP="00D73FF7">
      <w:pPr>
        <w:pStyle w:val="Para0s"/>
        <w:spacing w:after="0"/>
        <w:jc w:val="both"/>
        <w:rPr>
          <w:sz w:val="22"/>
          <w:szCs w:val="22"/>
          <w:lang w:val="el-GR"/>
        </w:rPr>
      </w:pPr>
      <w:r w:rsidRPr="008F0F70">
        <w:rPr>
          <w:sz w:val="22"/>
          <w:szCs w:val="22"/>
          <w:lang w:val="el-GR"/>
        </w:rPr>
        <w:t xml:space="preserve">Η υπολογιζόμενη προβλεπόμενη περιβαλλοντική συγκέντρωση (PECSurfacewater) </w:t>
      </w:r>
      <w:r w:rsidR="001955DB">
        <w:rPr>
          <w:sz w:val="22"/>
          <w:szCs w:val="22"/>
          <w:lang w:val="el-GR"/>
        </w:rPr>
        <w:t xml:space="preserve"> του </w:t>
      </w:r>
      <w:r w:rsidR="001955DB" w:rsidRPr="001955DB">
        <w:rPr>
          <w:sz w:val="22"/>
          <w:szCs w:val="22"/>
          <w:lang w:val="el-GR"/>
        </w:rPr>
        <w:t>LEXAVON 5 mg/ml οφθαλμικές σταγόνες, διάλυμα</w:t>
      </w:r>
      <w:r w:rsidRPr="008F0F70">
        <w:rPr>
          <w:sz w:val="22"/>
          <w:szCs w:val="22"/>
          <w:lang w:val="el-GR"/>
        </w:rPr>
        <w:t xml:space="preserve"> </w:t>
      </w:r>
      <w:r w:rsidR="008A12DE" w:rsidRPr="008F0F70">
        <w:rPr>
          <w:sz w:val="22"/>
          <w:szCs w:val="22"/>
          <w:lang w:val="el-GR"/>
        </w:rPr>
        <w:t xml:space="preserve">είναι κάτω από το όριο δράσης του </w:t>
      </w:r>
      <w:r w:rsidRPr="008F0F70">
        <w:rPr>
          <w:sz w:val="22"/>
          <w:szCs w:val="22"/>
          <w:lang w:val="el-GR"/>
        </w:rPr>
        <w:t xml:space="preserve">0,01 µg/l και η τιμή LogKow της λεβοφλοξασίνης είναι κάτω από το όριο δράσης </w:t>
      </w:r>
      <w:r w:rsidR="00A43D43" w:rsidRPr="008F0F70">
        <w:rPr>
          <w:sz w:val="22"/>
          <w:szCs w:val="22"/>
          <w:lang w:val="el-GR"/>
        </w:rPr>
        <w:t>τ</w:t>
      </w:r>
      <w:r w:rsidR="008A12DE" w:rsidRPr="008F0F70">
        <w:rPr>
          <w:sz w:val="22"/>
          <w:szCs w:val="22"/>
          <w:lang w:val="el-GR"/>
        </w:rPr>
        <w:t xml:space="preserve">ου </w:t>
      </w:r>
      <w:r w:rsidRPr="008F0F70">
        <w:rPr>
          <w:sz w:val="22"/>
          <w:szCs w:val="22"/>
          <w:lang w:val="el-GR"/>
        </w:rPr>
        <w:t>4.5.</w:t>
      </w:r>
    </w:p>
    <w:p w:rsidR="001D00F9" w:rsidRPr="008F0F70" w:rsidRDefault="001D00F9" w:rsidP="00D73FF7">
      <w:pPr>
        <w:widowControl w:val="0"/>
        <w:autoSpaceDE w:val="0"/>
        <w:autoSpaceDN w:val="0"/>
        <w:adjustRightInd w:val="0"/>
        <w:jc w:val="both"/>
        <w:rPr>
          <w:sz w:val="22"/>
          <w:szCs w:val="22"/>
        </w:rPr>
      </w:pPr>
      <w:r w:rsidRPr="008F0F70">
        <w:rPr>
          <w:sz w:val="22"/>
          <w:szCs w:val="22"/>
        </w:rPr>
        <w:t xml:space="preserve">Είναι πολύ απίθανο οι οφθαλμικές σταγόνες </w:t>
      </w:r>
      <w:r w:rsidR="008A12DE" w:rsidRPr="008F0F70">
        <w:rPr>
          <w:sz w:val="22"/>
          <w:szCs w:val="22"/>
        </w:rPr>
        <w:t>λ</w:t>
      </w:r>
      <w:r w:rsidRPr="008F0F70">
        <w:rPr>
          <w:sz w:val="22"/>
          <w:szCs w:val="22"/>
        </w:rPr>
        <w:t xml:space="preserve">εβοφλοξασίνης 5 mg/ml να αποτελέσουν κίνδυνο </w:t>
      </w:r>
      <w:r w:rsidR="008A12DE" w:rsidRPr="008F0F70">
        <w:rPr>
          <w:sz w:val="22"/>
          <w:szCs w:val="22"/>
        </w:rPr>
        <w:t xml:space="preserve">για </w:t>
      </w:r>
      <w:r w:rsidRPr="008F0F70">
        <w:rPr>
          <w:sz w:val="22"/>
          <w:szCs w:val="22"/>
        </w:rPr>
        <w:t>το περιβάλλον διότι δεν υπάρχουν άλλες εμφανείς περιβαλλοντικές ανησυχίες σχετικά με αυτό το προϊόν και τη δραστική ουσίας λεβοφλοξασίνη.</w:t>
      </w:r>
    </w:p>
    <w:p w:rsidR="00D13422" w:rsidRPr="008F0F70" w:rsidRDefault="00D13422" w:rsidP="006C4353">
      <w:pPr>
        <w:widowControl w:val="0"/>
        <w:autoSpaceDE w:val="0"/>
        <w:autoSpaceDN w:val="0"/>
        <w:adjustRightInd w:val="0"/>
        <w:jc w:val="both"/>
        <w:rPr>
          <w:sz w:val="22"/>
          <w:szCs w:val="22"/>
        </w:rPr>
      </w:pPr>
    </w:p>
    <w:p w:rsidR="007C3239" w:rsidRPr="008F0F70" w:rsidRDefault="007C3239" w:rsidP="006C4353">
      <w:pPr>
        <w:widowControl w:val="0"/>
        <w:autoSpaceDE w:val="0"/>
        <w:autoSpaceDN w:val="0"/>
        <w:adjustRightInd w:val="0"/>
        <w:jc w:val="both"/>
        <w:rPr>
          <w:sz w:val="22"/>
          <w:szCs w:val="22"/>
        </w:rPr>
      </w:pPr>
    </w:p>
    <w:p w:rsidR="001D00F9" w:rsidRPr="008F0F70" w:rsidRDefault="001D00F9" w:rsidP="001D00F9">
      <w:pPr>
        <w:ind w:left="567" w:hanging="567"/>
        <w:jc w:val="both"/>
        <w:rPr>
          <w:b/>
          <w:caps/>
          <w:sz w:val="22"/>
          <w:szCs w:val="22"/>
        </w:rPr>
      </w:pPr>
      <w:bookmarkStart w:id="14" w:name="EXCIPIENTS"/>
      <w:r w:rsidRPr="008F0F70">
        <w:rPr>
          <w:b/>
          <w:caps/>
          <w:sz w:val="22"/>
          <w:szCs w:val="22"/>
        </w:rPr>
        <w:t>6</w:t>
      </w:r>
      <w:r w:rsidRPr="008F0F70">
        <w:rPr>
          <w:b/>
          <w:caps/>
          <w:sz w:val="22"/>
          <w:szCs w:val="22"/>
        </w:rPr>
        <w:tab/>
        <w:t>ΦΑΡΜΑΚΕΥΤΙΚΕΣ ΠΛΗΡΟΦΟΡΙΕς</w:t>
      </w:r>
    </w:p>
    <w:bookmarkEnd w:id="14"/>
    <w:p w:rsidR="00B13415" w:rsidRPr="008F0F70" w:rsidRDefault="00B13415" w:rsidP="006C4353">
      <w:pPr>
        <w:ind w:left="567" w:hanging="567"/>
        <w:jc w:val="both"/>
        <w:rPr>
          <w:b/>
          <w:sz w:val="22"/>
          <w:szCs w:val="22"/>
        </w:rPr>
      </w:pPr>
    </w:p>
    <w:p w:rsidR="001D00F9" w:rsidRPr="008F0F70" w:rsidRDefault="001D00F9" w:rsidP="001D00F9">
      <w:pPr>
        <w:tabs>
          <w:tab w:val="left" w:pos="0"/>
          <w:tab w:val="left" w:pos="720"/>
        </w:tabs>
        <w:jc w:val="both"/>
        <w:rPr>
          <w:b/>
          <w:sz w:val="22"/>
          <w:szCs w:val="22"/>
        </w:rPr>
      </w:pPr>
      <w:r w:rsidRPr="008F0F70">
        <w:rPr>
          <w:b/>
          <w:sz w:val="22"/>
          <w:szCs w:val="22"/>
        </w:rPr>
        <w:t>6.1</w:t>
      </w:r>
      <w:r w:rsidRPr="008F0F70">
        <w:rPr>
          <w:b/>
          <w:sz w:val="22"/>
          <w:szCs w:val="22"/>
        </w:rPr>
        <w:tab/>
        <w:t>Κατάλογος εκδόχων</w:t>
      </w:r>
    </w:p>
    <w:p w:rsidR="00EC17EF" w:rsidRPr="008F0F70" w:rsidRDefault="00EC17EF" w:rsidP="006C4353">
      <w:pPr>
        <w:shd w:val="clear" w:color="auto" w:fill="FFFFFF"/>
        <w:jc w:val="both"/>
        <w:rPr>
          <w:sz w:val="22"/>
          <w:szCs w:val="22"/>
        </w:rPr>
      </w:pPr>
    </w:p>
    <w:p w:rsidR="001D00F9" w:rsidRPr="008F0F70" w:rsidRDefault="001D00F9" w:rsidP="00FD5D28">
      <w:pPr>
        <w:rPr>
          <w:sz w:val="22"/>
          <w:szCs w:val="22"/>
        </w:rPr>
      </w:pPr>
      <w:r w:rsidRPr="008F0F70">
        <w:rPr>
          <w:sz w:val="22"/>
          <w:szCs w:val="22"/>
        </w:rPr>
        <w:t xml:space="preserve">Χλωριούχο βενζαλκώνιο </w:t>
      </w:r>
      <w:r w:rsidRPr="008F0F70">
        <w:rPr>
          <w:spacing w:val="-3"/>
          <w:sz w:val="22"/>
          <w:szCs w:val="22"/>
        </w:rPr>
        <w:t>(0,05 mg σε 1 ml οφθαλμικ</w:t>
      </w:r>
      <w:r w:rsidR="00FD5D28" w:rsidRPr="008F0F70">
        <w:rPr>
          <w:spacing w:val="-3"/>
          <w:sz w:val="22"/>
          <w:szCs w:val="22"/>
        </w:rPr>
        <w:t>ών</w:t>
      </w:r>
      <w:r w:rsidRPr="008F0F70">
        <w:rPr>
          <w:spacing w:val="-3"/>
          <w:sz w:val="22"/>
          <w:szCs w:val="22"/>
        </w:rPr>
        <w:t xml:space="preserve"> σταγόν</w:t>
      </w:r>
      <w:r w:rsidR="00FD5D28" w:rsidRPr="008F0F70">
        <w:rPr>
          <w:spacing w:val="-3"/>
          <w:sz w:val="22"/>
          <w:szCs w:val="22"/>
        </w:rPr>
        <w:t>ων</w:t>
      </w:r>
      <w:r w:rsidRPr="008F0F70">
        <w:rPr>
          <w:spacing w:val="-3"/>
          <w:sz w:val="22"/>
          <w:szCs w:val="22"/>
        </w:rPr>
        <w:t>, διάλυμα),</w:t>
      </w:r>
    </w:p>
    <w:p w:rsidR="001D00F9" w:rsidRPr="008F0F70" w:rsidRDefault="001D00F9" w:rsidP="001D00F9">
      <w:pPr>
        <w:shd w:val="clear" w:color="auto" w:fill="FFFFFF"/>
        <w:jc w:val="both"/>
        <w:rPr>
          <w:sz w:val="22"/>
          <w:szCs w:val="22"/>
        </w:rPr>
      </w:pPr>
      <w:r w:rsidRPr="008F0F70">
        <w:rPr>
          <w:sz w:val="22"/>
          <w:szCs w:val="22"/>
        </w:rPr>
        <w:t>Χλωριούχο νάτριο,</w:t>
      </w:r>
    </w:p>
    <w:p w:rsidR="001D00F9" w:rsidRPr="008F0F70" w:rsidRDefault="001D00F9" w:rsidP="001D00F9">
      <w:pPr>
        <w:shd w:val="clear" w:color="auto" w:fill="FFFFFF"/>
        <w:jc w:val="both"/>
        <w:rPr>
          <w:sz w:val="22"/>
          <w:szCs w:val="22"/>
        </w:rPr>
      </w:pPr>
      <w:r w:rsidRPr="008F0F70">
        <w:rPr>
          <w:sz w:val="22"/>
          <w:szCs w:val="22"/>
        </w:rPr>
        <w:t>Διάλυμα υδροξειδίου του νατρίου ή υδροχλωρικό οξύ,</w:t>
      </w:r>
    </w:p>
    <w:p w:rsidR="001D00F9" w:rsidRPr="008F0F70" w:rsidRDefault="001D00F9" w:rsidP="001D00F9">
      <w:pPr>
        <w:shd w:val="clear" w:color="auto" w:fill="FFFFFF"/>
        <w:jc w:val="both"/>
        <w:rPr>
          <w:sz w:val="22"/>
          <w:szCs w:val="22"/>
        </w:rPr>
      </w:pPr>
      <w:r w:rsidRPr="008F0F70">
        <w:rPr>
          <w:sz w:val="22"/>
          <w:szCs w:val="22"/>
        </w:rPr>
        <w:t>Ενέσιμο ύδωρ.</w:t>
      </w:r>
    </w:p>
    <w:p w:rsidR="00B13415" w:rsidRPr="008F0F70" w:rsidRDefault="00B13415" w:rsidP="006C4353">
      <w:pPr>
        <w:shd w:val="clear" w:color="auto" w:fill="FFFFFF"/>
        <w:jc w:val="both"/>
        <w:rPr>
          <w:sz w:val="22"/>
          <w:szCs w:val="22"/>
        </w:rPr>
      </w:pPr>
    </w:p>
    <w:p w:rsidR="001D00F9" w:rsidRPr="008F0F70" w:rsidRDefault="001D00F9" w:rsidP="001D00F9">
      <w:pPr>
        <w:tabs>
          <w:tab w:val="left" w:pos="0"/>
          <w:tab w:val="left" w:pos="720"/>
        </w:tabs>
        <w:jc w:val="both"/>
        <w:rPr>
          <w:b/>
          <w:sz w:val="22"/>
          <w:szCs w:val="22"/>
        </w:rPr>
      </w:pPr>
      <w:bookmarkStart w:id="15" w:name="INCOMPATIBILITIES"/>
      <w:r w:rsidRPr="008F0F70">
        <w:rPr>
          <w:b/>
          <w:sz w:val="22"/>
          <w:szCs w:val="22"/>
        </w:rPr>
        <w:t>6.2</w:t>
      </w:r>
      <w:r w:rsidRPr="008F0F70">
        <w:rPr>
          <w:b/>
          <w:sz w:val="22"/>
          <w:szCs w:val="22"/>
        </w:rPr>
        <w:tab/>
        <w:t>Aσυμβατότητες</w:t>
      </w:r>
    </w:p>
    <w:bookmarkEnd w:id="15"/>
    <w:p w:rsidR="009714D9" w:rsidRPr="008F0F70" w:rsidRDefault="009714D9" w:rsidP="006C4353">
      <w:pPr>
        <w:shd w:val="clear" w:color="auto" w:fill="FFFFFF"/>
        <w:jc w:val="both"/>
        <w:rPr>
          <w:sz w:val="22"/>
          <w:szCs w:val="22"/>
        </w:rPr>
      </w:pPr>
    </w:p>
    <w:p w:rsidR="001D00F9" w:rsidRPr="008F0F70" w:rsidRDefault="001D00F9" w:rsidP="001D00F9">
      <w:pPr>
        <w:shd w:val="clear" w:color="auto" w:fill="FFFFFF"/>
        <w:jc w:val="both"/>
        <w:rPr>
          <w:sz w:val="22"/>
          <w:szCs w:val="22"/>
        </w:rPr>
      </w:pPr>
      <w:r w:rsidRPr="008F0F70">
        <w:rPr>
          <w:sz w:val="22"/>
          <w:szCs w:val="22"/>
        </w:rPr>
        <w:t>Ελλείψει μελετών σχετικά με τη συμβατότητα, το παρόν φαρμακευτικό προϊόν δεν πρέπει να αναμειγνύεται με άλλα φαρμακευτικά προϊόντα.</w:t>
      </w:r>
    </w:p>
    <w:p w:rsidR="003609DD" w:rsidRPr="008F0F70" w:rsidRDefault="003609DD" w:rsidP="006C4353">
      <w:pPr>
        <w:shd w:val="clear" w:color="auto" w:fill="FFFFFF"/>
        <w:jc w:val="both"/>
        <w:rPr>
          <w:sz w:val="22"/>
          <w:szCs w:val="22"/>
        </w:rPr>
      </w:pPr>
    </w:p>
    <w:p w:rsidR="001D00F9" w:rsidRPr="008F0F70" w:rsidRDefault="001D00F9" w:rsidP="001D00F9">
      <w:pPr>
        <w:tabs>
          <w:tab w:val="left" w:pos="0"/>
          <w:tab w:val="left" w:pos="720"/>
        </w:tabs>
        <w:jc w:val="both"/>
        <w:rPr>
          <w:b/>
          <w:sz w:val="22"/>
          <w:szCs w:val="22"/>
        </w:rPr>
      </w:pPr>
      <w:r w:rsidRPr="008F0F70">
        <w:rPr>
          <w:b/>
          <w:sz w:val="22"/>
          <w:szCs w:val="22"/>
        </w:rPr>
        <w:t>6.3</w:t>
      </w:r>
      <w:r w:rsidRPr="008F0F70">
        <w:rPr>
          <w:b/>
          <w:sz w:val="22"/>
          <w:szCs w:val="22"/>
        </w:rPr>
        <w:tab/>
        <w:t>Διάρκεια ζωής</w:t>
      </w:r>
    </w:p>
    <w:p w:rsidR="009714D9" w:rsidRPr="008F0F70" w:rsidRDefault="009714D9" w:rsidP="006C4353">
      <w:pPr>
        <w:shd w:val="clear" w:color="auto" w:fill="FFFFFF"/>
        <w:jc w:val="both"/>
        <w:rPr>
          <w:sz w:val="22"/>
          <w:szCs w:val="22"/>
        </w:rPr>
      </w:pPr>
    </w:p>
    <w:p w:rsidR="001D00F9" w:rsidRPr="008F0F70" w:rsidRDefault="001D00F9" w:rsidP="001D00F9">
      <w:pPr>
        <w:shd w:val="clear" w:color="auto" w:fill="FFFFFF"/>
        <w:jc w:val="both"/>
        <w:rPr>
          <w:sz w:val="22"/>
          <w:szCs w:val="22"/>
        </w:rPr>
      </w:pPr>
      <w:bookmarkStart w:id="16" w:name="STORAGE"/>
      <w:r w:rsidRPr="008F0F70">
        <w:rPr>
          <w:sz w:val="22"/>
          <w:szCs w:val="22"/>
        </w:rPr>
        <w:t>3 χρόνια.</w:t>
      </w:r>
    </w:p>
    <w:bookmarkEnd w:id="16"/>
    <w:p w:rsidR="001D00F9" w:rsidRPr="008F0F70" w:rsidRDefault="001D00F9" w:rsidP="001D00F9">
      <w:pPr>
        <w:shd w:val="clear" w:color="auto" w:fill="FFFFFF"/>
        <w:jc w:val="both"/>
        <w:rPr>
          <w:sz w:val="22"/>
          <w:szCs w:val="22"/>
        </w:rPr>
      </w:pPr>
      <w:r w:rsidRPr="008F0F70">
        <w:rPr>
          <w:sz w:val="22"/>
          <w:szCs w:val="22"/>
        </w:rPr>
        <w:t>Μετά από το πρώτο άνοιγμα: να χρησιμοποιηθεί εντός 28 ημερών.</w:t>
      </w:r>
    </w:p>
    <w:p w:rsidR="003609DD" w:rsidRPr="008F0F70" w:rsidRDefault="003609DD" w:rsidP="006C4353">
      <w:pPr>
        <w:shd w:val="clear" w:color="auto" w:fill="FFFFFF"/>
        <w:jc w:val="both"/>
        <w:rPr>
          <w:sz w:val="22"/>
          <w:szCs w:val="22"/>
        </w:rPr>
      </w:pPr>
    </w:p>
    <w:p w:rsidR="001D00F9" w:rsidRPr="008F0F70" w:rsidRDefault="001D00F9" w:rsidP="001D00F9">
      <w:pPr>
        <w:tabs>
          <w:tab w:val="left" w:pos="0"/>
          <w:tab w:val="left" w:pos="720"/>
        </w:tabs>
        <w:jc w:val="both"/>
        <w:rPr>
          <w:b/>
          <w:sz w:val="22"/>
          <w:szCs w:val="22"/>
        </w:rPr>
      </w:pPr>
      <w:r w:rsidRPr="008F0F70">
        <w:rPr>
          <w:b/>
          <w:sz w:val="22"/>
          <w:szCs w:val="22"/>
        </w:rPr>
        <w:t>6.4</w:t>
      </w:r>
      <w:r w:rsidRPr="008F0F70">
        <w:rPr>
          <w:b/>
          <w:sz w:val="22"/>
          <w:szCs w:val="22"/>
        </w:rPr>
        <w:tab/>
        <w:t>Ιδιαίτερες προφυλάξεις κατά την φύλαξη του προϊόντος</w:t>
      </w:r>
    </w:p>
    <w:p w:rsidR="00D919A4" w:rsidRPr="008F0F70" w:rsidRDefault="00D919A4" w:rsidP="006C4353">
      <w:pPr>
        <w:shd w:val="clear" w:color="auto" w:fill="FFFFFF"/>
        <w:jc w:val="both"/>
        <w:rPr>
          <w:sz w:val="22"/>
          <w:szCs w:val="22"/>
        </w:rPr>
      </w:pPr>
    </w:p>
    <w:p w:rsidR="001D00F9" w:rsidRPr="008F0F70" w:rsidRDefault="001D00F9" w:rsidP="001D00F9">
      <w:pPr>
        <w:shd w:val="clear" w:color="auto" w:fill="FFFFFF"/>
        <w:jc w:val="both"/>
        <w:rPr>
          <w:sz w:val="22"/>
          <w:szCs w:val="22"/>
        </w:rPr>
      </w:pPr>
      <w:r w:rsidRPr="008F0F70">
        <w:rPr>
          <w:sz w:val="22"/>
          <w:szCs w:val="22"/>
        </w:rPr>
        <w:t>Δεν υπάρχουν ειδικές οδηγίες διατήρησης για το προϊόν αυτό.</w:t>
      </w:r>
    </w:p>
    <w:p w:rsidR="001D00F9" w:rsidRPr="008F0F70" w:rsidRDefault="001D00F9" w:rsidP="001D00F9">
      <w:pPr>
        <w:shd w:val="clear" w:color="auto" w:fill="FFFFFF"/>
        <w:jc w:val="both"/>
        <w:rPr>
          <w:sz w:val="22"/>
          <w:szCs w:val="22"/>
        </w:rPr>
      </w:pPr>
      <w:r w:rsidRPr="008F0F70">
        <w:rPr>
          <w:sz w:val="22"/>
          <w:szCs w:val="22"/>
        </w:rPr>
        <w:t>Διατηρείτε τον περιέκτη κλεισμένο ερμητικά.</w:t>
      </w:r>
    </w:p>
    <w:p w:rsidR="004E2931" w:rsidRPr="008F0F70" w:rsidRDefault="004E2931" w:rsidP="006C4353">
      <w:pPr>
        <w:shd w:val="clear" w:color="auto" w:fill="FFFFFF"/>
        <w:jc w:val="both"/>
        <w:rPr>
          <w:sz w:val="22"/>
          <w:szCs w:val="22"/>
        </w:rPr>
      </w:pPr>
    </w:p>
    <w:p w:rsidR="001D00F9" w:rsidRPr="008F0F70" w:rsidRDefault="001D00F9" w:rsidP="001D00F9">
      <w:pPr>
        <w:tabs>
          <w:tab w:val="left" w:pos="0"/>
          <w:tab w:val="left" w:pos="567"/>
        </w:tabs>
        <w:jc w:val="both"/>
        <w:rPr>
          <w:b/>
          <w:sz w:val="22"/>
          <w:szCs w:val="22"/>
        </w:rPr>
      </w:pPr>
      <w:r w:rsidRPr="008F0F70">
        <w:rPr>
          <w:b/>
          <w:sz w:val="22"/>
          <w:szCs w:val="22"/>
        </w:rPr>
        <w:lastRenderedPageBreak/>
        <w:t>6.5</w:t>
      </w:r>
      <w:r w:rsidRPr="008F0F70">
        <w:rPr>
          <w:b/>
          <w:sz w:val="22"/>
          <w:szCs w:val="22"/>
        </w:rPr>
        <w:tab/>
        <w:t>Φύση και συστατικά του περιέκτη</w:t>
      </w:r>
    </w:p>
    <w:p w:rsidR="001063CB" w:rsidRPr="008F0F70" w:rsidRDefault="001063CB" w:rsidP="006C4353">
      <w:pPr>
        <w:shd w:val="clear" w:color="auto" w:fill="FFFFFF"/>
        <w:jc w:val="both"/>
        <w:rPr>
          <w:sz w:val="22"/>
          <w:szCs w:val="22"/>
        </w:rPr>
      </w:pPr>
    </w:p>
    <w:p w:rsidR="001D00F9" w:rsidRPr="008F0F70" w:rsidRDefault="001D00F9" w:rsidP="001D00F9">
      <w:pPr>
        <w:shd w:val="clear" w:color="auto" w:fill="FFFFFF"/>
        <w:jc w:val="both"/>
        <w:rPr>
          <w:sz w:val="22"/>
          <w:szCs w:val="22"/>
        </w:rPr>
      </w:pPr>
      <w:r w:rsidRPr="008F0F70">
        <w:rPr>
          <w:sz w:val="22"/>
          <w:szCs w:val="22"/>
        </w:rPr>
        <w:t>5 ml αποστειρωμένο φιαλίδιο πολυαιθυλενίου χαμηλής πυκνότητας (LDPE), με σταγονομετρικό ρύγχος LDPE και βιδωτό καπάκι πολυαιθυλενίου υψηλής πυκνότητας (HDPE).</w:t>
      </w:r>
    </w:p>
    <w:p w:rsidR="001063CB" w:rsidRPr="008F0F70" w:rsidRDefault="001063CB" w:rsidP="006C4353">
      <w:pPr>
        <w:shd w:val="clear" w:color="auto" w:fill="FFFFFF"/>
        <w:jc w:val="both"/>
        <w:rPr>
          <w:sz w:val="22"/>
          <w:szCs w:val="22"/>
        </w:rPr>
      </w:pPr>
    </w:p>
    <w:p w:rsidR="001D00F9" w:rsidRPr="008F0F70" w:rsidRDefault="001D00F9" w:rsidP="001D00F9">
      <w:pPr>
        <w:shd w:val="clear" w:color="auto" w:fill="FFFFFF"/>
        <w:jc w:val="both"/>
        <w:rPr>
          <w:sz w:val="22"/>
          <w:szCs w:val="22"/>
        </w:rPr>
      </w:pPr>
      <w:r w:rsidRPr="008F0F70">
        <w:rPr>
          <w:sz w:val="22"/>
          <w:szCs w:val="22"/>
        </w:rPr>
        <w:t>Μεγέθη συσκευασίας: 1 φιαλίδιο x 5 ml</w:t>
      </w:r>
    </w:p>
    <w:p w:rsidR="00B13415" w:rsidRPr="008F0F70" w:rsidRDefault="00B13415" w:rsidP="006C4353">
      <w:pPr>
        <w:shd w:val="clear" w:color="auto" w:fill="FFFFFF"/>
        <w:jc w:val="both"/>
        <w:rPr>
          <w:sz w:val="22"/>
          <w:szCs w:val="22"/>
        </w:rPr>
      </w:pPr>
    </w:p>
    <w:p w:rsidR="001D00F9" w:rsidRPr="008F0F70" w:rsidRDefault="001D00F9" w:rsidP="001D00F9">
      <w:pPr>
        <w:tabs>
          <w:tab w:val="left" w:pos="0"/>
          <w:tab w:val="left" w:pos="720"/>
        </w:tabs>
        <w:jc w:val="both"/>
        <w:rPr>
          <w:b/>
          <w:sz w:val="22"/>
          <w:szCs w:val="22"/>
        </w:rPr>
      </w:pPr>
      <w:r w:rsidRPr="008F0F70">
        <w:rPr>
          <w:b/>
          <w:sz w:val="22"/>
          <w:szCs w:val="22"/>
        </w:rPr>
        <w:t>6.6</w:t>
      </w:r>
      <w:r w:rsidRPr="008F0F70">
        <w:rPr>
          <w:b/>
          <w:sz w:val="22"/>
          <w:szCs w:val="22"/>
        </w:rPr>
        <w:tab/>
        <w:t>Ιδιαίτερες προφυλάξεις απόρριψης και άλλος χειρισμός</w:t>
      </w:r>
    </w:p>
    <w:p w:rsidR="0040392A" w:rsidRPr="008F0F70" w:rsidRDefault="0040392A" w:rsidP="006C4353">
      <w:pPr>
        <w:shd w:val="clear" w:color="auto" w:fill="FFFFFF"/>
        <w:jc w:val="both"/>
        <w:rPr>
          <w:sz w:val="22"/>
          <w:szCs w:val="22"/>
        </w:rPr>
      </w:pPr>
    </w:p>
    <w:p w:rsidR="001D00F9" w:rsidRPr="008F0F70" w:rsidRDefault="001D00F9" w:rsidP="001D00F9">
      <w:pPr>
        <w:shd w:val="clear" w:color="auto" w:fill="FFFFFF"/>
        <w:jc w:val="both"/>
        <w:rPr>
          <w:sz w:val="22"/>
          <w:szCs w:val="22"/>
        </w:rPr>
      </w:pPr>
      <w:r w:rsidRPr="008F0F70">
        <w:rPr>
          <w:sz w:val="22"/>
          <w:szCs w:val="22"/>
        </w:rPr>
        <w:t>Καμία ειδική υποχρέωση για απόρριψη.</w:t>
      </w:r>
    </w:p>
    <w:p w:rsidR="005136BC" w:rsidRPr="008F0F70" w:rsidRDefault="005136BC" w:rsidP="006C4353">
      <w:pPr>
        <w:shd w:val="clear" w:color="auto" w:fill="FFFFFF"/>
        <w:jc w:val="both"/>
        <w:rPr>
          <w:sz w:val="22"/>
          <w:szCs w:val="22"/>
        </w:rPr>
      </w:pPr>
    </w:p>
    <w:p w:rsidR="001D00F9" w:rsidRPr="008F0F70" w:rsidRDefault="001D00F9" w:rsidP="001D00F9">
      <w:pPr>
        <w:shd w:val="clear" w:color="auto" w:fill="FFFFFF"/>
        <w:jc w:val="both"/>
        <w:rPr>
          <w:sz w:val="22"/>
          <w:szCs w:val="22"/>
        </w:rPr>
      </w:pPr>
      <w:r w:rsidRPr="008F0F70">
        <w:rPr>
          <w:spacing w:val="-3"/>
          <w:sz w:val="22"/>
          <w:szCs w:val="22"/>
        </w:rPr>
        <w:t>Κάθε αχρησιμοποίητο φαρμακευτικό προϊόν ή υπόλειμμα πρέπει να απορρίπτεται σύμφωνα με τις κατά τόπους ισχύουσες σχετικές διατάξεις.</w:t>
      </w:r>
    </w:p>
    <w:p w:rsidR="002E5BC5" w:rsidRPr="008F0F70" w:rsidRDefault="002E5BC5" w:rsidP="006C4353">
      <w:pPr>
        <w:shd w:val="clear" w:color="auto" w:fill="FFFFFF"/>
        <w:jc w:val="both"/>
        <w:rPr>
          <w:sz w:val="22"/>
          <w:szCs w:val="22"/>
        </w:rPr>
      </w:pPr>
    </w:p>
    <w:p w:rsidR="001D00F9" w:rsidRPr="008F0F70" w:rsidRDefault="001D00F9" w:rsidP="001D00F9">
      <w:pPr>
        <w:ind w:left="567" w:hanging="567"/>
        <w:jc w:val="both"/>
        <w:rPr>
          <w:b/>
          <w:caps/>
          <w:sz w:val="22"/>
          <w:szCs w:val="22"/>
        </w:rPr>
      </w:pPr>
      <w:bookmarkStart w:id="17" w:name="ORIGINAL"/>
      <w:r w:rsidRPr="008F0F70">
        <w:rPr>
          <w:b/>
          <w:caps/>
          <w:sz w:val="22"/>
          <w:szCs w:val="22"/>
        </w:rPr>
        <w:t>7.</w:t>
      </w:r>
      <w:r w:rsidRPr="008F0F70">
        <w:rPr>
          <w:b/>
          <w:caps/>
          <w:sz w:val="22"/>
          <w:szCs w:val="22"/>
        </w:rPr>
        <w:tab/>
        <w:t>ΚΑΤΟΧΟΣ ΤΗΣ ΑΔΕΙΑΣ ΚΥΚΛΟΦΟΡΙΑΣ</w:t>
      </w:r>
    </w:p>
    <w:bookmarkEnd w:id="17"/>
    <w:p w:rsidR="00513787" w:rsidRPr="008F0F70" w:rsidRDefault="00513787" w:rsidP="006C4353">
      <w:pPr>
        <w:shd w:val="clear" w:color="auto" w:fill="FFFFFF"/>
        <w:jc w:val="both"/>
        <w:rPr>
          <w:sz w:val="22"/>
          <w:szCs w:val="22"/>
        </w:rPr>
      </w:pPr>
    </w:p>
    <w:p w:rsidR="00B6127A" w:rsidRPr="00B6127A" w:rsidRDefault="00B6127A" w:rsidP="00B6127A">
      <w:pPr>
        <w:shd w:val="clear" w:color="auto" w:fill="FFFFFF"/>
        <w:jc w:val="both"/>
        <w:rPr>
          <w:sz w:val="22"/>
          <w:szCs w:val="22"/>
        </w:rPr>
      </w:pPr>
      <w:r>
        <w:rPr>
          <w:sz w:val="22"/>
          <w:szCs w:val="22"/>
        </w:rPr>
        <w:t xml:space="preserve">RAFARM AEBE, </w:t>
      </w:r>
      <w:r w:rsidRPr="00B6127A">
        <w:rPr>
          <w:sz w:val="22"/>
          <w:szCs w:val="22"/>
        </w:rPr>
        <w:t>Κορίνθου 12, 154 51,</w:t>
      </w:r>
      <w:r w:rsidRPr="00E57BDC">
        <w:rPr>
          <w:sz w:val="22"/>
          <w:szCs w:val="22"/>
        </w:rPr>
        <w:t xml:space="preserve"> </w:t>
      </w:r>
      <w:r w:rsidRPr="00B6127A">
        <w:rPr>
          <w:sz w:val="22"/>
          <w:szCs w:val="22"/>
        </w:rPr>
        <w:t xml:space="preserve">Ν. Ψυχικό, Αθήνα. </w:t>
      </w:r>
    </w:p>
    <w:p w:rsidR="00513787" w:rsidRDefault="00B6127A" w:rsidP="00B6127A">
      <w:pPr>
        <w:shd w:val="clear" w:color="auto" w:fill="FFFFFF"/>
        <w:jc w:val="both"/>
        <w:rPr>
          <w:sz w:val="22"/>
          <w:szCs w:val="22"/>
          <w:lang w:val="en-US"/>
        </w:rPr>
      </w:pPr>
      <w:r w:rsidRPr="00B6127A">
        <w:rPr>
          <w:sz w:val="22"/>
          <w:szCs w:val="22"/>
        </w:rPr>
        <w:t>Τηλ.: 210 6776550-1</w:t>
      </w:r>
    </w:p>
    <w:p w:rsidR="00B6127A" w:rsidRPr="00B6127A" w:rsidRDefault="00B6127A" w:rsidP="00B6127A">
      <w:pPr>
        <w:shd w:val="clear" w:color="auto" w:fill="FFFFFF"/>
        <w:jc w:val="both"/>
        <w:rPr>
          <w:sz w:val="22"/>
          <w:szCs w:val="22"/>
          <w:lang w:val="en-US"/>
        </w:rPr>
      </w:pPr>
    </w:p>
    <w:p w:rsidR="001D00F9" w:rsidRPr="008F0F70" w:rsidRDefault="001D00F9" w:rsidP="001D00F9">
      <w:pPr>
        <w:ind w:left="567" w:hanging="567"/>
        <w:jc w:val="both"/>
        <w:rPr>
          <w:b/>
          <w:caps/>
          <w:sz w:val="22"/>
          <w:szCs w:val="22"/>
        </w:rPr>
      </w:pPr>
      <w:bookmarkStart w:id="18" w:name="NUMBER"/>
      <w:r w:rsidRPr="008F0F70">
        <w:rPr>
          <w:b/>
          <w:caps/>
          <w:sz w:val="22"/>
          <w:szCs w:val="22"/>
        </w:rPr>
        <w:t>8.</w:t>
      </w:r>
      <w:r w:rsidRPr="008F0F70">
        <w:rPr>
          <w:b/>
          <w:caps/>
          <w:sz w:val="22"/>
          <w:szCs w:val="22"/>
        </w:rPr>
        <w:tab/>
        <w:t>ΑΡΙΘΜΟΣ(ΟΙ ) ΑΔΕΙΑΣ ΚΥΚΛΟΦΟΡΙΑΣ</w:t>
      </w:r>
    </w:p>
    <w:bookmarkEnd w:id="18"/>
    <w:p w:rsidR="00513787" w:rsidRPr="008F0F70" w:rsidRDefault="00513787" w:rsidP="006C4353">
      <w:pPr>
        <w:shd w:val="clear" w:color="auto" w:fill="FFFFFF"/>
        <w:jc w:val="both"/>
        <w:rPr>
          <w:sz w:val="22"/>
          <w:szCs w:val="22"/>
        </w:rPr>
      </w:pPr>
    </w:p>
    <w:p w:rsidR="001D00F9" w:rsidRPr="008F0F70" w:rsidRDefault="001D00F9" w:rsidP="001D00F9">
      <w:pPr>
        <w:shd w:val="clear" w:color="auto" w:fill="FFFFFF"/>
        <w:jc w:val="both"/>
        <w:rPr>
          <w:sz w:val="22"/>
          <w:szCs w:val="22"/>
        </w:rPr>
      </w:pPr>
      <w:r w:rsidRPr="008F0F70">
        <w:rPr>
          <w:sz w:val="22"/>
          <w:szCs w:val="22"/>
        </w:rPr>
        <w:t>&lt;[Να συμπληρωθεί σε εθνικό επίπεδο]&gt;</w:t>
      </w:r>
    </w:p>
    <w:p w:rsidR="00513787" w:rsidRPr="008F0F70" w:rsidRDefault="00513787" w:rsidP="006C4353">
      <w:pPr>
        <w:shd w:val="clear" w:color="auto" w:fill="FFFFFF"/>
        <w:jc w:val="both"/>
        <w:rPr>
          <w:b/>
          <w:sz w:val="22"/>
          <w:szCs w:val="22"/>
        </w:rPr>
      </w:pPr>
    </w:p>
    <w:p w:rsidR="001D00F9" w:rsidRPr="008F0F70" w:rsidRDefault="001D00F9" w:rsidP="001D00F9">
      <w:pPr>
        <w:shd w:val="clear" w:color="auto" w:fill="FFFFFF"/>
        <w:jc w:val="both"/>
        <w:rPr>
          <w:b/>
          <w:caps/>
          <w:sz w:val="22"/>
          <w:szCs w:val="22"/>
        </w:rPr>
      </w:pPr>
      <w:bookmarkStart w:id="19" w:name="AUTHDATE"/>
      <w:r w:rsidRPr="008F0F70">
        <w:rPr>
          <w:b/>
          <w:caps/>
          <w:sz w:val="22"/>
          <w:szCs w:val="22"/>
        </w:rPr>
        <w:t>9.</w:t>
      </w:r>
      <w:r w:rsidRPr="008F0F70">
        <w:rPr>
          <w:b/>
          <w:caps/>
          <w:sz w:val="22"/>
          <w:szCs w:val="22"/>
        </w:rPr>
        <w:tab/>
        <w:t>ΗΜΕΡΟΜΗΝΙΑ ΠΡΩΤΗΣ ΕΓΚΡΙΣΗΣ / ΑΝΑΝΕΩΣΗΣ ΤΗΣ ΑΔΕΙΑΣ</w:t>
      </w:r>
    </w:p>
    <w:bookmarkEnd w:id="19"/>
    <w:p w:rsidR="00513787" w:rsidRPr="008F0F70" w:rsidRDefault="00513787" w:rsidP="006C4353">
      <w:pPr>
        <w:shd w:val="clear" w:color="auto" w:fill="FFFFFF"/>
        <w:jc w:val="both"/>
        <w:rPr>
          <w:sz w:val="22"/>
          <w:szCs w:val="22"/>
        </w:rPr>
      </w:pPr>
    </w:p>
    <w:p w:rsidR="001D00F9" w:rsidRPr="008F0F70" w:rsidRDefault="001D00F9" w:rsidP="001D00F9">
      <w:pPr>
        <w:shd w:val="clear" w:color="auto" w:fill="FFFFFF"/>
        <w:jc w:val="both"/>
        <w:rPr>
          <w:sz w:val="22"/>
          <w:szCs w:val="22"/>
        </w:rPr>
      </w:pPr>
      <w:r w:rsidRPr="008F0F70">
        <w:rPr>
          <w:sz w:val="22"/>
          <w:szCs w:val="22"/>
        </w:rPr>
        <w:t>&lt;Ημερομηνία πρώτης έγκρισης: {ΗΗ μήνας ΕΕΕΕ}&gt;</w:t>
      </w:r>
    </w:p>
    <w:p w:rsidR="001D00F9" w:rsidRPr="008F0F70" w:rsidRDefault="001D00F9" w:rsidP="001D00F9">
      <w:pPr>
        <w:shd w:val="clear" w:color="auto" w:fill="FFFFFF"/>
        <w:jc w:val="both"/>
        <w:rPr>
          <w:sz w:val="22"/>
          <w:szCs w:val="22"/>
        </w:rPr>
      </w:pPr>
      <w:r w:rsidRPr="008F0F70">
        <w:rPr>
          <w:sz w:val="22"/>
          <w:szCs w:val="22"/>
        </w:rPr>
        <w:t>&lt;[Να συμπληρωθεί σε εθνικό επίπεδο]&gt;</w:t>
      </w:r>
    </w:p>
    <w:p w:rsidR="00513787" w:rsidRPr="008F0F70" w:rsidRDefault="00513787" w:rsidP="006C4353">
      <w:pPr>
        <w:shd w:val="clear" w:color="auto" w:fill="FFFFFF"/>
        <w:jc w:val="both"/>
        <w:rPr>
          <w:sz w:val="22"/>
          <w:szCs w:val="22"/>
        </w:rPr>
      </w:pPr>
    </w:p>
    <w:p w:rsidR="001D00F9" w:rsidRPr="008F0F70" w:rsidRDefault="001D00F9" w:rsidP="001D00F9">
      <w:pPr>
        <w:shd w:val="clear" w:color="auto" w:fill="FFFFFF"/>
        <w:jc w:val="both"/>
        <w:rPr>
          <w:b/>
          <w:sz w:val="22"/>
          <w:szCs w:val="22"/>
        </w:rPr>
      </w:pPr>
      <w:r w:rsidRPr="008F0F70">
        <w:rPr>
          <w:b/>
          <w:sz w:val="22"/>
          <w:szCs w:val="22"/>
        </w:rPr>
        <w:t>10.</w:t>
      </w:r>
      <w:r w:rsidRPr="008F0F70">
        <w:rPr>
          <w:b/>
          <w:sz w:val="22"/>
          <w:szCs w:val="22"/>
        </w:rPr>
        <w:tab/>
        <w:t>ΗΜΕΡΟΜΗΝΙΑ ΑΝΑΘΕΩΡΗΣΗΣ TOY ΚΕΙΜΕΝΟΥ</w:t>
      </w:r>
    </w:p>
    <w:p w:rsidR="004B4F42" w:rsidRPr="008F0F70" w:rsidRDefault="004B4F42" w:rsidP="006C4353">
      <w:pPr>
        <w:shd w:val="clear" w:color="auto" w:fill="FFFFFF"/>
        <w:jc w:val="both"/>
        <w:rPr>
          <w:b/>
          <w:sz w:val="22"/>
          <w:szCs w:val="22"/>
        </w:rPr>
      </w:pPr>
    </w:p>
    <w:p w:rsidR="00513787" w:rsidRPr="008F0F70" w:rsidRDefault="001D00F9" w:rsidP="001D00F9">
      <w:pPr>
        <w:shd w:val="clear" w:color="auto" w:fill="FFFFFF"/>
        <w:jc w:val="both"/>
        <w:rPr>
          <w:sz w:val="22"/>
          <w:szCs w:val="22"/>
        </w:rPr>
      </w:pPr>
      <w:r w:rsidRPr="008F0F70">
        <w:rPr>
          <w:sz w:val="22"/>
          <w:szCs w:val="22"/>
        </w:rPr>
        <w:t>&lt;{MM/ΕΕΕΕ}&gt;</w:t>
      </w:r>
    </w:p>
    <w:sectPr w:rsidR="00513787" w:rsidRPr="008F0F70" w:rsidSect="00695D5A">
      <w:pgSz w:w="11906" w:h="16838"/>
      <w:pgMar w:top="1440" w:right="1800" w:bottom="10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62800F51"/>
    <w:multiLevelType w:val="multilevel"/>
    <w:tmpl w:val="B53098A6"/>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8234C6B"/>
    <w:multiLevelType w:val="multilevel"/>
    <w:tmpl w:val="C9AAF2F0"/>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B4F42"/>
    <w:rsid w:val="00000733"/>
    <w:rsid w:val="00005A78"/>
    <w:rsid w:val="0000706C"/>
    <w:rsid w:val="00010CE3"/>
    <w:rsid w:val="000135D9"/>
    <w:rsid w:val="000156AD"/>
    <w:rsid w:val="000166F1"/>
    <w:rsid w:val="0001672B"/>
    <w:rsid w:val="00020E17"/>
    <w:rsid w:val="00021A48"/>
    <w:rsid w:val="00022299"/>
    <w:rsid w:val="00022985"/>
    <w:rsid w:val="0002366F"/>
    <w:rsid w:val="000342D1"/>
    <w:rsid w:val="000345A0"/>
    <w:rsid w:val="00035E8D"/>
    <w:rsid w:val="00042917"/>
    <w:rsid w:val="00042B18"/>
    <w:rsid w:val="0004320A"/>
    <w:rsid w:val="00047F41"/>
    <w:rsid w:val="00050963"/>
    <w:rsid w:val="00052808"/>
    <w:rsid w:val="0005397E"/>
    <w:rsid w:val="000562FC"/>
    <w:rsid w:val="00060163"/>
    <w:rsid w:val="00060908"/>
    <w:rsid w:val="000626ED"/>
    <w:rsid w:val="00062C7D"/>
    <w:rsid w:val="000645AB"/>
    <w:rsid w:val="00064C5B"/>
    <w:rsid w:val="000658B3"/>
    <w:rsid w:val="00070661"/>
    <w:rsid w:val="0007361E"/>
    <w:rsid w:val="000804D6"/>
    <w:rsid w:val="00082196"/>
    <w:rsid w:val="000828F9"/>
    <w:rsid w:val="000844D6"/>
    <w:rsid w:val="00084A1A"/>
    <w:rsid w:val="0008515D"/>
    <w:rsid w:val="00085CF8"/>
    <w:rsid w:val="00087895"/>
    <w:rsid w:val="000903AB"/>
    <w:rsid w:val="00096D6D"/>
    <w:rsid w:val="000A084A"/>
    <w:rsid w:val="000A4634"/>
    <w:rsid w:val="000A64B0"/>
    <w:rsid w:val="000A6924"/>
    <w:rsid w:val="000A762D"/>
    <w:rsid w:val="000B063F"/>
    <w:rsid w:val="000B2B85"/>
    <w:rsid w:val="000B3D36"/>
    <w:rsid w:val="000C0CF9"/>
    <w:rsid w:val="000C0F97"/>
    <w:rsid w:val="000C27AA"/>
    <w:rsid w:val="000C2B6F"/>
    <w:rsid w:val="000C5D72"/>
    <w:rsid w:val="000C5E82"/>
    <w:rsid w:val="000C60A5"/>
    <w:rsid w:val="000D0301"/>
    <w:rsid w:val="000D1D40"/>
    <w:rsid w:val="000D5B70"/>
    <w:rsid w:val="000D7C4A"/>
    <w:rsid w:val="000E2AD4"/>
    <w:rsid w:val="000E3295"/>
    <w:rsid w:val="000F3102"/>
    <w:rsid w:val="000F3FA1"/>
    <w:rsid w:val="000F41BF"/>
    <w:rsid w:val="000F4CD4"/>
    <w:rsid w:val="000F5FB0"/>
    <w:rsid w:val="00100272"/>
    <w:rsid w:val="001008BD"/>
    <w:rsid w:val="00102CDC"/>
    <w:rsid w:val="0010344F"/>
    <w:rsid w:val="001055EC"/>
    <w:rsid w:val="001063CB"/>
    <w:rsid w:val="00111C59"/>
    <w:rsid w:val="0011330C"/>
    <w:rsid w:val="00113A21"/>
    <w:rsid w:val="00121A04"/>
    <w:rsid w:val="001221E0"/>
    <w:rsid w:val="00122316"/>
    <w:rsid w:val="0012526C"/>
    <w:rsid w:val="00125B38"/>
    <w:rsid w:val="001273AF"/>
    <w:rsid w:val="00131BE6"/>
    <w:rsid w:val="0013267A"/>
    <w:rsid w:val="00133D96"/>
    <w:rsid w:val="001367E4"/>
    <w:rsid w:val="0013687A"/>
    <w:rsid w:val="00136C09"/>
    <w:rsid w:val="001375A9"/>
    <w:rsid w:val="00137788"/>
    <w:rsid w:val="00142183"/>
    <w:rsid w:val="00143A39"/>
    <w:rsid w:val="00145535"/>
    <w:rsid w:val="00146646"/>
    <w:rsid w:val="0014680F"/>
    <w:rsid w:val="0015099F"/>
    <w:rsid w:val="001546C3"/>
    <w:rsid w:val="001548EE"/>
    <w:rsid w:val="00154C42"/>
    <w:rsid w:val="00154F70"/>
    <w:rsid w:val="001618A8"/>
    <w:rsid w:val="00163F02"/>
    <w:rsid w:val="001653C0"/>
    <w:rsid w:val="00165FC8"/>
    <w:rsid w:val="00166636"/>
    <w:rsid w:val="00175638"/>
    <w:rsid w:val="001769C1"/>
    <w:rsid w:val="0018082D"/>
    <w:rsid w:val="001828F7"/>
    <w:rsid w:val="0018464F"/>
    <w:rsid w:val="00185ADC"/>
    <w:rsid w:val="00187435"/>
    <w:rsid w:val="00190670"/>
    <w:rsid w:val="00191288"/>
    <w:rsid w:val="001945AF"/>
    <w:rsid w:val="001955DB"/>
    <w:rsid w:val="00196CB3"/>
    <w:rsid w:val="001972C8"/>
    <w:rsid w:val="001A21C2"/>
    <w:rsid w:val="001A594C"/>
    <w:rsid w:val="001A5E9D"/>
    <w:rsid w:val="001B2BB0"/>
    <w:rsid w:val="001B6E21"/>
    <w:rsid w:val="001B713B"/>
    <w:rsid w:val="001C0225"/>
    <w:rsid w:val="001C143F"/>
    <w:rsid w:val="001C2990"/>
    <w:rsid w:val="001C4571"/>
    <w:rsid w:val="001D00F9"/>
    <w:rsid w:val="001D122A"/>
    <w:rsid w:val="001D2769"/>
    <w:rsid w:val="001D2775"/>
    <w:rsid w:val="001E0D4D"/>
    <w:rsid w:val="001E1C85"/>
    <w:rsid w:val="001E4ADC"/>
    <w:rsid w:val="001E4D2F"/>
    <w:rsid w:val="001F3BDC"/>
    <w:rsid w:val="001F48E2"/>
    <w:rsid w:val="001F6314"/>
    <w:rsid w:val="001F6697"/>
    <w:rsid w:val="001F7B71"/>
    <w:rsid w:val="0020098E"/>
    <w:rsid w:val="002037C2"/>
    <w:rsid w:val="00210253"/>
    <w:rsid w:val="00211648"/>
    <w:rsid w:val="002117E1"/>
    <w:rsid w:val="00213506"/>
    <w:rsid w:val="00215EAF"/>
    <w:rsid w:val="002168FC"/>
    <w:rsid w:val="002169D2"/>
    <w:rsid w:val="00221277"/>
    <w:rsid w:val="00224C24"/>
    <w:rsid w:val="002279F1"/>
    <w:rsid w:val="00227F1C"/>
    <w:rsid w:val="002312D9"/>
    <w:rsid w:val="00232412"/>
    <w:rsid w:val="002326B2"/>
    <w:rsid w:val="0023329D"/>
    <w:rsid w:val="00234DD7"/>
    <w:rsid w:val="00235C27"/>
    <w:rsid w:val="002366AD"/>
    <w:rsid w:val="00237E72"/>
    <w:rsid w:val="00241583"/>
    <w:rsid w:val="0024228B"/>
    <w:rsid w:val="00242565"/>
    <w:rsid w:val="00243A6D"/>
    <w:rsid w:val="0024427E"/>
    <w:rsid w:val="002451CA"/>
    <w:rsid w:val="00253827"/>
    <w:rsid w:val="002547B3"/>
    <w:rsid w:val="0025487E"/>
    <w:rsid w:val="002553AC"/>
    <w:rsid w:val="0025750E"/>
    <w:rsid w:val="002577B3"/>
    <w:rsid w:val="0026071F"/>
    <w:rsid w:val="00263166"/>
    <w:rsid w:val="0026744B"/>
    <w:rsid w:val="00272C53"/>
    <w:rsid w:val="00274666"/>
    <w:rsid w:val="002751F8"/>
    <w:rsid w:val="00277178"/>
    <w:rsid w:val="00277596"/>
    <w:rsid w:val="00282CB3"/>
    <w:rsid w:val="002833C6"/>
    <w:rsid w:val="00283C0E"/>
    <w:rsid w:val="00290DD0"/>
    <w:rsid w:val="002931B8"/>
    <w:rsid w:val="0029392F"/>
    <w:rsid w:val="002A145C"/>
    <w:rsid w:val="002A1B54"/>
    <w:rsid w:val="002A248B"/>
    <w:rsid w:val="002A353E"/>
    <w:rsid w:val="002A51FA"/>
    <w:rsid w:val="002A59F2"/>
    <w:rsid w:val="002B1305"/>
    <w:rsid w:val="002B4965"/>
    <w:rsid w:val="002B50DA"/>
    <w:rsid w:val="002B5459"/>
    <w:rsid w:val="002B5BF4"/>
    <w:rsid w:val="002B6D3F"/>
    <w:rsid w:val="002B7727"/>
    <w:rsid w:val="002C00DF"/>
    <w:rsid w:val="002C1206"/>
    <w:rsid w:val="002C2A30"/>
    <w:rsid w:val="002C659B"/>
    <w:rsid w:val="002D07A6"/>
    <w:rsid w:val="002D11FC"/>
    <w:rsid w:val="002D2451"/>
    <w:rsid w:val="002D307D"/>
    <w:rsid w:val="002E1299"/>
    <w:rsid w:val="002E28CA"/>
    <w:rsid w:val="002E5BC5"/>
    <w:rsid w:val="002F15BF"/>
    <w:rsid w:val="002F2D70"/>
    <w:rsid w:val="002F4EAC"/>
    <w:rsid w:val="002F5A17"/>
    <w:rsid w:val="003007B0"/>
    <w:rsid w:val="00301046"/>
    <w:rsid w:val="00301742"/>
    <w:rsid w:val="00301DA4"/>
    <w:rsid w:val="00301FC7"/>
    <w:rsid w:val="0030328F"/>
    <w:rsid w:val="00307B81"/>
    <w:rsid w:val="00310BC5"/>
    <w:rsid w:val="00311B83"/>
    <w:rsid w:val="00314ECC"/>
    <w:rsid w:val="003167FB"/>
    <w:rsid w:val="00320A8D"/>
    <w:rsid w:val="00322FB6"/>
    <w:rsid w:val="00324185"/>
    <w:rsid w:val="00326197"/>
    <w:rsid w:val="00327767"/>
    <w:rsid w:val="00327C7E"/>
    <w:rsid w:val="00330A2E"/>
    <w:rsid w:val="00331AAF"/>
    <w:rsid w:val="00331F00"/>
    <w:rsid w:val="00334647"/>
    <w:rsid w:val="003347ED"/>
    <w:rsid w:val="00336D50"/>
    <w:rsid w:val="00341E33"/>
    <w:rsid w:val="003420EB"/>
    <w:rsid w:val="00343F70"/>
    <w:rsid w:val="0034551F"/>
    <w:rsid w:val="003469BF"/>
    <w:rsid w:val="0035025C"/>
    <w:rsid w:val="00353AD1"/>
    <w:rsid w:val="00357B02"/>
    <w:rsid w:val="003609DD"/>
    <w:rsid w:val="00360B1F"/>
    <w:rsid w:val="00362695"/>
    <w:rsid w:val="003638BD"/>
    <w:rsid w:val="00364710"/>
    <w:rsid w:val="003669CD"/>
    <w:rsid w:val="00366D2F"/>
    <w:rsid w:val="00367417"/>
    <w:rsid w:val="00367424"/>
    <w:rsid w:val="0037484C"/>
    <w:rsid w:val="00374DAC"/>
    <w:rsid w:val="00375CB8"/>
    <w:rsid w:val="00376FA5"/>
    <w:rsid w:val="00377044"/>
    <w:rsid w:val="00380225"/>
    <w:rsid w:val="003849B7"/>
    <w:rsid w:val="0038500F"/>
    <w:rsid w:val="003905E6"/>
    <w:rsid w:val="0039158D"/>
    <w:rsid w:val="003921D4"/>
    <w:rsid w:val="00393B62"/>
    <w:rsid w:val="003959EE"/>
    <w:rsid w:val="00396EB5"/>
    <w:rsid w:val="0039727D"/>
    <w:rsid w:val="003A0DDB"/>
    <w:rsid w:val="003A1B96"/>
    <w:rsid w:val="003A20AC"/>
    <w:rsid w:val="003A2E9B"/>
    <w:rsid w:val="003B01AA"/>
    <w:rsid w:val="003B07D8"/>
    <w:rsid w:val="003B0ED6"/>
    <w:rsid w:val="003B0F0D"/>
    <w:rsid w:val="003B6230"/>
    <w:rsid w:val="003B738F"/>
    <w:rsid w:val="003C0984"/>
    <w:rsid w:val="003C181F"/>
    <w:rsid w:val="003C6E3B"/>
    <w:rsid w:val="003D04E8"/>
    <w:rsid w:val="003D2F61"/>
    <w:rsid w:val="003D3B78"/>
    <w:rsid w:val="003D568A"/>
    <w:rsid w:val="003D5A6C"/>
    <w:rsid w:val="003D5F84"/>
    <w:rsid w:val="003E29C7"/>
    <w:rsid w:val="003E3451"/>
    <w:rsid w:val="003E5064"/>
    <w:rsid w:val="003E7CBF"/>
    <w:rsid w:val="003F1C56"/>
    <w:rsid w:val="003F2ECB"/>
    <w:rsid w:val="003F4CA4"/>
    <w:rsid w:val="003F522E"/>
    <w:rsid w:val="003F57B1"/>
    <w:rsid w:val="003F6AA4"/>
    <w:rsid w:val="003F7A2D"/>
    <w:rsid w:val="00401235"/>
    <w:rsid w:val="004013D8"/>
    <w:rsid w:val="00403293"/>
    <w:rsid w:val="0040333C"/>
    <w:rsid w:val="0040392A"/>
    <w:rsid w:val="00414443"/>
    <w:rsid w:val="0041453A"/>
    <w:rsid w:val="00417E29"/>
    <w:rsid w:val="004209DF"/>
    <w:rsid w:val="00422432"/>
    <w:rsid w:val="00423F65"/>
    <w:rsid w:val="004241FD"/>
    <w:rsid w:val="004243E4"/>
    <w:rsid w:val="0042649C"/>
    <w:rsid w:val="00426A23"/>
    <w:rsid w:val="00426DA0"/>
    <w:rsid w:val="004277A4"/>
    <w:rsid w:val="00433D4A"/>
    <w:rsid w:val="00434A77"/>
    <w:rsid w:val="0043634C"/>
    <w:rsid w:val="00444472"/>
    <w:rsid w:val="0044466C"/>
    <w:rsid w:val="0044706F"/>
    <w:rsid w:val="00447870"/>
    <w:rsid w:val="00450114"/>
    <w:rsid w:val="00452237"/>
    <w:rsid w:val="00452F21"/>
    <w:rsid w:val="00457CD1"/>
    <w:rsid w:val="00461B3A"/>
    <w:rsid w:val="004625F4"/>
    <w:rsid w:val="00463842"/>
    <w:rsid w:val="00464F78"/>
    <w:rsid w:val="004651DE"/>
    <w:rsid w:val="00466079"/>
    <w:rsid w:val="00467BAD"/>
    <w:rsid w:val="00471A33"/>
    <w:rsid w:val="00471C38"/>
    <w:rsid w:val="00471FD0"/>
    <w:rsid w:val="00475EA1"/>
    <w:rsid w:val="004762A5"/>
    <w:rsid w:val="004865F2"/>
    <w:rsid w:val="0049163E"/>
    <w:rsid w:val="00492320"/>
    <w:rsid w:val="0049261C"/>
    <w:rsid w:val="0049275A"/>
    <w:rsid w:val="00493E38"/>
    <w:rsid w:val="0049578E"/>
    <w:rsid w:val="00496B35"/>
    <w:rsid w:val="00496BFC"/>
    <w:rsid w:val="004A3071"/>
    <w:rsid w:val="004A4ACF"/>
    <w:rsid w:val="004A5E85"/>
    <w:rsid w:val="004A7A1D"/>
    <w:rsid w:val="004B29CF"/>
    <w:rsid w:val="004B2DF5"/>
    <w:rsid w:val="004B4F42"/>
    <w:rsid w:val="004C0B2E"/>
    <w:rsid w:val="004C237C"/>
    <w:rsid w:val="004C6607"/>
    <w:rsid w:val="004C7274"/>
    <w:rsid w:val="004C767B"/>
    <w:rsid w:val="004D0DAA"/>
    <w:rsid w:val="004D16F1"/>
    <w:rsid w:val="004D6B67"/>
    <w:rsid w:val="004D7D65"/>
    <w:rsid w:val="004E21DD"/>
    <w:rsid w:val="004E2931"/>
    <w:rsid w:val="004E32F0"/>
    <w:rsid w:val="004E37AE"/>
    <w:rsid w:val="004E79F9"/>
    <w:rsid w:val="004E7B25"/>
    <w:rsid w:val="004F108A"/>
    <w:rsid w:val="004F1307"/>
    <w:rsid w:val="004F2E9B"/>
    <w:rsid w:val="004F4523"/>
    <w:rsid w:val="004F5066"/>
    <w:rsid w:val="004F7ACB"/>
    <w:rsid w:val="00500370"/>
    <w:rsid w:val="00501959"/>
    <w:rsid w:val="005075B6"/>
    <w:rsid w:val="00512ADA"/>
    <w:rsid w:val="00512CF9"/>
    <w:rsid w:val="005136BC"/>
    <w:rsid w:val="00513787"/>
    <w:rsid w:val="00514413"/>
    <w:rsid w:val="0051495C"/>
    <w:rsid w:val="005152D9"/>
    <w:rsid w:val="00522771"/>
    <w:rsid w:val="005233CD"/>
    <w:rsid w:val="0052588C"/>
    <w:rsid w:val="005307D8"/>
    <w:rsid w:val="00530E13"/>
    <w:rsid w:val="00531113"/>
    <w:rsid w:val="00535BE9"/>
    <w:rsid w:val="00540622"/>
    <w:rsid w:val="00540A67"/>
    <w:rsid w:val="005416AF"/>
    <w:rsid w:val="00542A4D"/>
    <w:rsid w:val="00543B3B"/>
    <w:rsid w:val="0054466E"/>
    <w:rsid w:val="00546190"/>
    <w:rsid w:val="005464A6"/>
    <w:rsid w:val="00547AF9"/>
    <w:rsid w:val="005538C6"/>
    <w:rsid w:val="00554E2C"/>
    <w:rsid w:val="00562E14"/>
    <w:rsid w:val="00565199"/>
    <w:rsid w:val="00565611"/>
    <w:rsid w:val="00573A7E"/>
    <w:rsid w:val="00573CBC"/>
    <w:rsid w:val="00573DD1"/>
    <w:rsid w:val="0057406A"/>
    <w:rsid w:val="00577810"/>
    <w:rsid w:val="005805E8"/>
    <w:rsid w:val="005828C4"/>
    <w:rsid w:val="0058310E"/>
    <w:rsid w:val="0058383B"/>
    <w:rsid w:val="00590482"/>
    <w:rsid w:val="005926A7"/>
    <w:rsid w:val="00592E65"/>
    <w:rsid w:val="0059302C"/>
    <w:rsid w:val="00594BC1"/>
    <w:rsid w:val="00594FA0"/>
    <w:rsid w:val="00595861"/>
    <w:rsid w:val="0059612D"/>
    <w:rsid w:val="00597449"/>
    <w:rsid w:val="005978B2"/>
    <w:rsid w:val="005A1015"/>
    <w:rsid w:val="005A13F4"/>
    <w:rsid w:val="005A510B"/>
    <w:rsid w:val="005A666B"/>
    <w:rsid w:val="005B15C0"/>
    <w:rsid w:val="005B33C9"/>
    <w:rsid w:val="005B7352"/>
    <w:rsid w:val="005C0F6A"/>
    <w:rsid w:val="005C17DA"/>
    <w:rsid w:val="005C3756"/>
    <w:rsid w:val="005C3F76"/>
    <w:rsid w:val="005C5344"/>
    <w:rsid w:val="005D0F0B"/>
    <w:rsid w:val="005D175C"/>
    <w:rsid w:val="005D45AB"/>
    <w:rsid w:val="005D5BBB"/>
    <w:rsid w:val="005E02DC"/>
    <w:rsid w:val="005E68FD"/>
    <w:rsid w:val="005F2540"/>
    <w:rsid w:val="005F27AE"/>
    <w:rsid w:val="005F47DA"/>
    <w:rsid w:val="005F4E3B"/>
    <w:rsid w:val="005F7383"/>
    <w:rsid w:val="006019F8"/>
    <w:rsid w:val="00602A1D"/>
    <w:rsid w:val="00603182"/>
    <w:rsid w:val="006038A5"/>
    <w:rsid w:val="006067DD"/>
    <w:rsid w:val="00606ABD"/>
    <w:rsid w:val="006116CA"/>
    <w:rsid w:val="006127B4"/>
    <w:rsid w:val="0061295A"/>
    <w:rsid w:val="00612AFD"/>
    <w:rsid w:val="00615D85"/>
    <w:rsid w:val="00622672"/>
    <w:rsid w:val="006231C0"/>
    <w:rsid w:val="006315BF"/>
    <w:rsid w:val="0064156C"/>
    <w:rsid w:val="006421F8"/>
    <w:rsid w:val="00644812"/>
    <w:rsid w:val="00650B6B"/>
    <w:rsid w:val="0065406A"/>
    <w:rsid w:val="006544B2"/>
    <w:rsid w:val="006552C9"/>
    <w:rsid w:val="00657E5A"/>
    <w:rsid w:val="0066255C"/>
    <w:rsid w:val="00663EED"/>
    <w:rsid w:val="006724F3"/>
    <w:rsid w:val="006740E6"/>
    <w:rsid w:val="00674E19"/>
    <w:rsid w:val="006761E3"/>
    <w:rsid w:val="00680E69"/>
    <w:rsid w:val="00681C6A"/>
    <w:rsid w:val="00683566"/>
    <w:rsid w:val="00683D51"/>
    <w:rsid w:val="00683F4B"/>
    <w:rsid w:val="006856AC"/>
    <w:rsid w:val="006910F1"/>
    <w:rsid w:val="00695D5A"/>
    <w:rsid w:val="006966BA"/>
    <w:rsid w:val="0069795F"/>
    <w:rsid w:val="006A06D0"/>
    <w:rsid w:val="006A29AF"/>
    <w:rsid w:val="006A2DCA"/>
    <w:rsid w:val="006A3095"/>
    <w:rsid w:val="006A3493"/>
    <w:rsid w:val="006A4B30"/>
    <w:rsid w:val="006A4E4C"/>
    <w:rsid w:val="006A5210"/>
    <w:rsid w:val="006A52A1"/>
    <w:rsid w:val="006A5883"/>
    <w:rsid w:val="006B067C"/>
    <w:rsid w:val="006B0CEA"/>
    <w:rsid w:val="006B1D4E"/>
    <w:rsid w:val="006B2754"/>
    <w:rsid w:val="006B4BBB"/>
    <w:rsid w:val="006B4E5A"/>
    <w:rsid w:val="006B5151"/>
    <w:rsid w:val="006C1AF0"/>
    <w:rsid w:val="006C3F5F"/>
    <w:rsid w:val="006C4353"/>
    <w:rsid w:val="006C445F"/>
    <w:rsid w:val="006C449E"/>
    <w:rsid w:val="006D55E0"/>
    <w:rsid w:val="006D7057"/>
    <w:rsid w:val="006E1718"/>
    <w:rsid w:val="006E1F2A"/>
    <w:rsid w:val="006F1BA7"/>
    <w:rsid w:val="006F3A10"/>
    <w:rsid w:val="006F411F"/>
    <w:rsid w:val="006F4B78"/>
    <w:rsid w:val="007004B0"/>
    <w:rsid w:val="0070427F"/>
    <w:rsid w:val="007062E0"/>
    <w:rsid w:val="00710FBB"/>
    <w:rsid w:val="00712BEA"/>
    <w:rsid w:val="00713B57"/>
    <w:rsid w:val="007175BB"/>
    <w:rsid w:val="00722AEB"/>
    <w:rsid w:val="00722CFE"/>
    <w:rsid w:val="007257CB"/>
    <w:rsid w:val="0073305A"/>
    <w:rsid w:val="00734152"/>
    <w:rsid w:val="007417D3"/>
    <w:rsid w:val="00745157"/>
    <w:rsid w:val="0074679F"/>
    <w:rsid w:val="00746B0D"/>
    <w:rsid w:val="00746D74"/>
    <w:rsid w:val="00747CFC"/>
    <w:rsid w:val="007504F9"/>
    <w:rsid w:val="0075124D"/>
    <w:rsid w:val="007526B0"/>
    <w:rsid w:val="00755C7E"/>
    <w:rsid w:val="00756F05"/>
    <w:rsid w:val="00760108"/>
    <w:rsid w:val="00760529"/>
    <w:rsid w:val="0076307B"/>
    <w:rsid w:val="00764077"/>
    <w:rsid w:val="00767078"/>
    <w:rsid w:val="0076753E"/>
    <w:rsid w:val="00780903"/>
    <w:rsid w:val="007828D2"/>
    <w:rsid w:val="007872A4"/>
    <w:rsid w:val="00787EBC"/>
    <w:rsid w:val="00795436"/>
    <w:rsid w:val="007957AF"/>
    <w:rsid w:val="00796A40"/>
    <w:rsid w:val="00797E19"/>
    <w:rsid w:val="007A1A2E"/>
    <w:rsid w:val="007B33E0"/>
    <w:rsid w:val="007B3474"/>
    <w:rsid w:val="007C024E"/>
    <w:rsid w:val="007C3239"/>
    <w:rsid w:val="007D08D5"/>
    <w:rsid w:val="007D4A40"/>
    <w:rsid w:val="007D6148"/>
    <w:rsid w:val="007D64CA"/>
    <w:rsid w:val="007D6925"/>
    <w:rsid w:val="007D72AB"/>
    <w:rsid w:val="007D7452"/>
    <w:rsid w:val="007E28D0"/>
    <w:rsid w:val="007E6172"/>
    <w:rsid w:val="007E7DD6"/>
    <w:rsid w:val="007F08EE"/>
    <w:rsid w:val="007F0942"/>
    <w:rsid w:val="007F0A3A"/>
    <w:rsid w:val="007F26D6"/>
    <w:rsid w:val="007F33A8"/>
    <w:rsid w:val="007F5C72"/>
    <w:rsid w:val="008022DF"/>
    <w:rsid w:val="008072D4"/>
    <w:rsid w:val="00811D5F"/>
    <w:rsid w:val="00812C01"/>
    <w:rsid w:val="00813036"/>
    <w:rsid w:val="00813242"/>
    <w:rsid w:val="0081468B"/>
    <w:rsid w:val="00815A74"/>
    <w:rsid w:val="0081741C"/>
    <w:rsid w:val="008206E1"/>
    <w:rsid w:val="008241DE"/>
    <w:rsid w:val="00827391"/>
    <w:rsid w:val="00830670"/>
    <w:rsid w:val="0083136C"/>
    <w:rsid w:val="00836827"/>
    <w:rsid w:val="0084005E"/>
    <w:rsid w:val="00841307"/>
    <w:rsid w:val="008430A4"/>
    <w:rsid w:val="008459CE"/>
    <w:rsid w:val="0084747A"/>
    <w:rsid w:val="008508B5"/>
    <w:rsid w:val="0085715F"/>
    <w:rsid w:val="008576B6"/>
    <w:rsid w:val="00862370"/>
    <w:rsid w:val="008645B4"/>
    <w:rsid w:val="00864EAF"/>
    <w:rsid w:val="0086551C"/>
    <w:rsid w:val="008663AC"/>
    <w:rsid w:val="008701F9"/>
    <w:rsid w:val="00870587"/>
    <w:rsid w:val="00873F4F"/>
    <w:rsid w:val="00874A87"/>
    <w:rsid w:val="00876B92"/>
    <w:rsid w:val="00881EBD"/>
    <w:rsid w:val="008849AA"/>
    <w:rsid w:val="00887E94"/>
    <w:rsid w:val="008A0F61"/>
    <w:rsid w:val="008A12DE"/>
    <w:rsid w:val="008A1412"/>
    <w:rsid w:val="008A234D"/>
    <w:rsid w:val="008A2911"/>
    <w:rsid w:val="008A3284"/>
    <w:rsid w:val="008A4B55"/>
    <w:rsid w:val="008A525B"/>
    <w:rsid w:val="008A58CE"/>
    <w:rsid w:val="008A5B3B"/>
    <w:rsid w:val="008A62CD"/>
    <w:rsid w:val="008A7DD4"/>
    <w:rsid w:val="008B43AF"/>
    <w:rsid w:val="008B4581"/>
    <w:rsid w:val="008B4AA4"/>
    <w:rsid w:val="008B53B5"/>
    <w:rsid w:val="008B6B90"/>
    <w:rsid w:val="008C2D7A"/>
    <w:rsid w:val="008C3F6D"/>
    <w:rsid w:val="008D6DCB"/>
    <w:rsid w:val="008F0C35"/>
    <w:rsid w:val="008F0F70"/>
    <w:rsid w:val="008F5753"/>
    <w:rsid w:val="008F6572"/>
    <w:rsid w:val="008F78B6"/>
    <w:rsid w:val="009047AE"/>
    <w:rsid w:val="00904E0B"/>
    <w:rsid w:val="00906E19"/>
    <w:rsid w:val="00921353"/>
    <w:rsid w:val="00922286"/>
    <w:rsid w:val="009255B5"/>
    <w:rsid w:val="009261B3"/>
    <w:rsid w:val="00926F29"/>
    <w:rsid w:val="009304AD"/>
    <w:rsid w:val="00930AA4"/>
    <w:rsid w:val="009433FA"/>
    <w:rsid w:val="00943E2C"/>
    <w:rsid w:val="009477F8"/>
    <w:rsid w:val="0095699C"/>
    <w:rsid w:val="00961002"/>
    <w:rsid w:val="00970856"/>
    <w:rsid w:val="009714D9"/>
    <w:rsid w:val="00971514"/>
    <w:rsid w:val="0097573C"/>
    <w:rsid w:val="009818ED"/>
    <w:rsid w:val="00985351"/>
    <w:rsid w:val="00986718"/>
    <w:rsid w:val="00986CBE"/>
    <w:rsid w:val="009872AA"/>
    <w:rsid w:val="0098742D"/>
    <w:rsid w:val="009878A0"/>
    <w:rsid w:val="00994509"/>
    <w:rsid w:val="009A1F66"/>
    <w:rsid w:val="009A28C1"/>
    <w:rsid w:val="009A4558"/>
    <w:rsid w:val="009B1309"/>
    <w:rsid w:val="009B4F34"/>
    <w:rsid w:val="009B5F3C"/>
    <w:rsid w:val="009B6092"/>
    <w:rsid w:val="009B612F"/>
    <w:rsid w:val="009B73D4"/>
    <w:rsid w:val="009C0298"/>
    <w:rsid w:val="009C1103"/>
    <w:rsid w:val="009C3384"/>
    <w:rsid w:val="009C4D01"/>
    <w:rsid w:val="009C66DF"/>
    <w:rsid w:val="009D2026"/>
    <w:rsid w:val="009D232A"/>
    <w:rsid w:val="009D5B06"/>
    <w:rsid w:val="009D77D3"/>
    <w:rsid w:val="009D7BDD"/>
    <w:rsid w:val="009E17F2"/>
    <w:rsid w:val="009E1CDD"/>
    <w:rsid w:val="009E2A75"/>
    <w:rsid w:val="009E6470"/>
    <w:rsid w:val="009E77AD"/>
    <w:rsid w:val="009E7E3F"/>
    <w:rsid w:val="009F05E6"/>
    <w:rsid w:val="009F1508"/>
    <w:rsid w:val="009F4F93"/>
    <w:rsid w:val="009F50B0"/>
    <w:rsid w:val="009F7F04"/>
    <w:rsid w:val="00A0325A"/>
    <w:rsid w:val="00A05CBE"/>
    <w:rsid w:val="00A05F6F"/>
    <w:rsid w:val="00A06119"/>
    <w:rsid w:val="00A11A4D"/>
    <w:rsid w:val="00A16E04"/>
    <w:rsid w:val="00A171E2"/>
    <w:rsid w:val="00A17DE0"/>
    <w:rsid w:val="00A22925"/>
    <w:rsid w:val="00A241AB"/>
    <w:rsid w:val="00A2442C"/>
    <w:rsid w:val="00A24C55"/>
    <w:rsid w:val="00A2547C"/>
    <w:rsid w:val="00A3003E"/>
    <w:rsid w:val="00A306F6"/>
    <w:rsid w:val="00A339A6"/>
    <w:rsid w:val="00A35333"/>
    <w:rsid w:val="00A40B1B"/>
    <w:rsid w:val="00A43255"/>
    <w:rsid w:val="00A43D43"/>
    <w:rsid w:val="00A45C79"/>
    <w:rsid w:val="00A46760"/>
    <w:rsid w:val="00A47916"/>
    <w:rsid w:val="00A5497B"/>
    <w:rsid w:val="00A558C2"/>
    <w:rsid w:val="00A57E85"/>
    <w:rsid w:val="00A609D3"/>
    <w:rsid w:val="00A61B69"/>
    <w:rsid w:val="00A62013"/>
    <w:rsid w:val="00A62206"/>
    <w:rsid w:val="00A63123"/>
    <w:rsid w:val="00A64898"/>
    <w:rsid w:val="00A66740"/>
    <w:rsid w:val="00A668A2"/>
    <w:rsid w:val="00A70B1E"/>
    <w:rsid w:val="00A74A36"/>
    <w:rsid w:val="00A75B55"/>
    <w:rsid w:val="00A76A5C"/>
    <w:rsid w:val="00A777E7"/>
    <w:rsid w:val="00A8118A"/>
    <w:rsid w:val="00A84719"/>
    <w:rsid w:val="00A84A74"/>
    <w:rsid w:val="00A9237C"/>
    <w:rsid w:val="00A93E81"/>
    <w:rsid w:val="00A9564E"/>
    <w:rsid w:val="00AA3DDB"/>
    <w:rsid w:val="00AA73AF"/>
    <w:rsid w:val="00AB2E3D"/>
    <w:rsid w:val="00AB597B"/>
    <w:rsid w:val="00AB7D46"/>
    <w:rsid w:val="00AC2A7B"/>
    <w:rsid w:val="00AC4A0C"/>
    <w:rsid w:val="00AC546A"/>
    <w:rsid w:val="00AC730F"/>
    <w:rsid w:val="00AD2B9A"/>
    <w:rsid w:val="00AD5D53"/>
    <w:rsid w:val="00AE0070"/>
    <w:rsid w:val="00AE2A14"/>
    <w:rsid w:val="00AE2A1A"/>
    <w:rsid w:val="00AE4724"/>
    <w:rsid w:val="00AF2C82"/>
    <w:rsid w:val="00AF4266"/>
    <w:rsid w:val="00AF4650"/>
    <w:rsid w:val="00AF517B"/>
    <w:rsid w:val="00AF527D"/>
    <w:rsid w:val="00AF76D2"/>
    <w:rsid w:val="00B0126B"/>
    <w:rsid w:val="00B03659"/>
    <w:rsid w:val="00B06306"/>
    <w:rsid w:val="00B11481"/>
    <w:rsid w:val="00B13415"/>
    <w:rsid w:val="00B136AE"/>
    <w:rsid w:val="00B13D9E"/>
    <w:rsid w:val="00B140BF"/>
    <w:rsid w:val="00B16E4D"/>
    <w:rsid w:val="00B20308"/>
    <w:rsid w:val="00B223AE"/>
    <w:rsid w:val="00B24887"/>
    <w:rsid w:val="00B25F88"/>
    <w:rsid w:val="00B272B0"/>
    <w:rsid w:val="00B31660"/>
    <w:rsid w:val="00B32D4C"/>
    <w:rsid w:val="00B334DB"/>
    <w:rsid w:val="00B346B7"/>
    <w:rsid w:val="00B35845"/>
    <w:rsid w:val="00B37925"/>
    <w:rsid w:val="00B42D77"/>
    <w:rsid w:val="00B44384"/>
    <w:rsid w:val="00B447BD"/>
    <w:rsid w:val="00B470A5"/>
    <w:rsid w:val="00B569BC"/>
    <w:rsid w:val="00B6100A"/>
    <w:rsid w:val="00B6127A"/>
    <w:rsid w:val="00B631C1"/>
    <w:rsid w:val="00B70574"/>
    <w:rsid w:val="00B724B8"/>
    <w:rsid w:val="00B75DB1"/>
    <w:rsid w:val="00B809EE"/>
    <w:rsid w:val="00B819B2"/>
    <w:rsid w:val="00B81C1C"/>
    <w:rsid w:val="00B82179"/>
    <w:rsid w:val="00B844E4"/>
    <w:rsid w:val="00B93F98"/>
    <w:rsid w:val="00B94BC9"/>
    <w:rsid w:val="00BA17BB"/>
    <w:rsid w:val="00BA3347"/>
    <w:rsid w:val="00BA3A6F"/>
    <w:rsid w:val="00BA3A94"/>
    <w:rsid w:val="00BA53DC"/>
    <w:rsid w:val="00BB2119"/>
    <w:rsid w:val="00BB4298"/>
    <w:rsid w:val="00BB7127"/>
    <w:rsid w:val="00BC5A47"/>
    <w:rsid w:val="00BC7570"/>
    <w:rsid w:val="00BD1024"/>
    <w:rsid w:val="00BD3FDD"/>
    <w:rsid w:val="00BD44FA"/>
    <w:rsid w:val="00BD4687"/>
    <w:rsid w:val="00BE1E6F"/>
    <w:rsid w:val="00BE68DA"/>
    <w:rsid w:val="00C004E1"/>
    <w:rsid w:val="00C018A4"/>
    <w:rsid w:val="00C01E11"/>
    <w:rsid w:val="00C023EC"/>
    <w:rsid w:val="00C044CE"/>
    <w:rsid w:val="00C06027"/>
    <w:rsid w:val="00C061E1"/>
    <w:rsid w:val="00C074EE"/>
    <w:rsid w:val="00C10143"/>
    <w:rsid w:val="00C112B2"/>
    <w:rsid w:val="00C112CA"/>
    <w:rsid w:val="00C12024"/>
    <w:rsid w:val="00C1208B"/>
    <w:rsid w:val="00C12714"/>
    <w:rsid w:val="00C157B4"/>
    <w:rsid w:val="00C15A0C"/>
    <w:rsid w:val="00C202B1"/>
    <w:rsid w:val="00C3020D"/>
    <w:rsid w:val="00C33473"/>
    <w:rsid w:val="00C337E5"/>
    <w:rsid w:val="00C34E1E"/>
    <w:rsid w:val="00C36221"/>
    <w:rsid w:val="00C41A0C"/>
    <w:rsid w:val="00C41AC8"/>
    <w:rsid w:val="00C43CA7"/>
    <w:rsid w:val="00C468E6"/>
    <w:rsid w:val="00C47E72"/>
    <w:rsid w:val="00C501F7"/>
    <w:rsid w:val="00C50942"/>
    <w:rsid w:val="00C51F03"/>
    <w:rsid w:val="00C527C8"/>
    <w:rsid w:val="00C531F8"/>
    <w:rsid w:val="00C55C99"/>
    <w:rsid w:val="00C56156"/>
    <w:rsid w:val="00C56CE7"/>
    <w:rsid w:val="00C61A6D"/>
    <w:rsid w:val="00C61AB0"/>
    <w:rsid w:val="00C636CD"/>
    <w:rsid w:val="00C653AD"/>
    <w:rsid w:val="00C71427"/>
    <w:rsid w:val="00C71BB3"/>
    <w:rsid w:val="00C77546"/>
    <w:rsid w:val="00C80FAC"/>
    <w:rsid w:val="00C81D8F"/>
    <w:rsid w:val="00C82DC3"/>
    <w:rsid w:val="00C833DC"/>
    <w:rsid w:val="00C83BB3"/>
    <w:rsid w:val="00C84ABF"/>
    <w:rsid w:val="00C84E4C"/>
    <w:rsid w:val="00C8790B"/>
    <w:rsid w:val="00C94B93"/>
    <w:rsid w:val="00C9630A"/>
    <w:rsid w:val="00CA003E"/>
    <w:rsid w:val="00CA088E"/>
    <w:rsid w:val="00CA1305"/>
    <w:rsid w:val="00CA17C1"/>
    <w:rsid w:val="00CA19B6"/>
    <w:rsid w:val="00CA2593"/>
    <w:rsid w:val="00CA2CF2"/>
    <w:rsid w:val="00CA3BB0"/>
    <w:rsid w:val="00CA4EA4"/>
    <w:rsid w:val="00CA79BB"/>
    <w:rsid w:val="00CA7A29"/>
    <w:rsid w:val="00CB0B59"/>
    <w:rsid w:val="00CB40EF"/>
    <w:rsid w:val="00CB5654"/>
    <w:rsid w:val="00CC0FE4"/>
    <w:rsid w:val="00CC42DD"/>
    <w:rsid w:val="00CC647B"/>
    <w:rsid w:val="00CC7A64"/>
    <w:rsid w:val="00CD3A50"/>
    <w:rsid w:val="00CD465A"/>
    <w:rsid w:val="00CE6FF1"/>
    <w:rsid w:val="00CF20F6"/>
    <w:rsid w:val="00CF40B7"/>
    <w:rsid w:val="00CF58E4"/>
    <w:rsid w:val="00CF58E7"/>
    <w:rsid w:val="00D03144"/>
    <w:rsid w:val="00D04B1A"/>
    <w:rsid w:val="00D058B0"/>
    <w:rsid w:val="00D06E9A"/>
    <w:rsid w:val="00D06FE9"/>
    <w:rsid w:val="00D0799F"/>
    <w:rsid w:val="00D10EC0"/>
    <w:rsid w:val="00D12797"/>
    <w:rsid w:val="00D13422"/>
    <w:rsid w:val="00D1532B"/>
    <w:rsid w:val="00D1571D"/>
    <w:rsid w:val="00D177EA"/>
    <w:rsid w:val="00D2031F"/>
    <w:rsid w:val="00D20CE1"/>
    <w:rsid w:val="00D2206D"/>
    <w:rsid w:val="00D30C17"/>
    <w:rsid w:val="00D317F9"/>
    <w:rsid w:val="00D32072"/>
    <w:rsid w:val="00D336A3"/>
    <w:rsid w:val="00D34F17"/>
    <w:rsid w:val="00D36B7E"/>
    <w:rsid w:val="00D40256"/>
    <w:rsid w:val="00D431C7"/>
    <w:rsid w:val="00D464BC"/>
    <w:rsid w:val="00D52300"/>
    <w:rsid w:val="00D547C1"/>
    <w:rsid w:val="00D569AE"/>
    <w:rsid w:val="00D56D8A"/>
    <w:rsid w:val="00D5771C"/>
    <w:rsid w:val="00D618A0"/>
    <w:rsid w:val="00D61902"/>
    <w:rsid w:val="00D639C7"/>
    <w:rsid w:val="00D646E3"/>
    <w:rsid w:val="00D6496D"/>
    <w:rsid w:val="00D65364"/>
    <w:rsid w:val="00D65FD5"/>
    <w:rsid w:val="00D663DB"/>
    <w:rsid w:val="00D66A6D"/>
    <w:rsid w:val="00D6764D"/>
    <w:rsid w:val="00D67A79"/>
    <w:rsid w:val="00D70438"/>
    <w:rsid w:val="00D71E0E"/>
    <w:rsid w:val="00D73FF7"/>
    <w:rsid w:val="00D7454D"/>
    <w:rsid w:val="00D7725D"/>
    <w:rsid w:val="00D77B61"/>
    <w:rsid w:val="00D8090A"/>
    <w:rsid w:val="00D85699"/>
    <w:rsid w:val="00D90124"/>
    <w:rsid w:val="00D90E8E"/>
    <w:rsid w:val="00D919A4"/>
    <w:rsid w:val="00D92540"/>
    <w:rsid w:val="00D968CF"/>
    <w:rsid w:val="00DA0905"/>
    <w:rsid w:val="00DA2340"/>
    <w:rsid w:val="00DA386C"/>
    <w:rsid w:val="00DA6265"/>
    <w:rsid w:val="00DA6B8B"/>
    <w:rsid w:val="00DA7304"/>
    <w:rsid w:val="00DB0767"/>
    <w:rsid w:val="00DB40E3"/>
    <w:rsid w:val="00DB44D0"/>
    <w:rsid w:val="00DB5201"/>
    <w:rsid w:val="00DB65E0"/>
    <w:rsid w:val="00DC15CA"/>
    <w:rsid w:val="00DC212A"/>
    <w:rsid w:val="00DC60F3"/>
    <w:rsid w:val="00DD1FD1"/>
    <w:rsid w:val="00DD3C5D"/>
    <w:rsid w:val="00DD587F"/>
    <w:rsid w:val="00DD759C"/>
    <w:rsid w:val="00DE1E35"/>
    <w:rsid w:val="00DE388A"/>
    <w:rsid w:val="00DE3E8B"/>
    <w:rsid w:val="00DE7398"/>
    <w:rsid w:val="00DF144D"/>
    <w:rsid w:val="00DF28E0"/>
    <w:rsid w:val="00DF2EC7"/>
    <w:rsid w:val="00DF5849"/>
    <w:rsid w:val="00DF5CF2"/>
    <w:rsid w:val="00DF5FC4"/>
    <w:rsid w:val="00E01D0A"/>
    <w:rsid w:val="00E039D1"/>
    <w:rsid w:val="00E03CD0"/>
    <w:rsid w:val="00E04512"/>
    <w:rsid w:val="00E05461"/>
    <w:rsid w:val="00E11A90"/>
    <w:rsid w:val="00E15862"/>
    <w:rsid w:val="00E16ED0"/>
    <w:rsid w:val="00E21657"/>
    <w:rsid w:val="00E25B04"/>
    <w:rsid w:val="00E25FCF"/>
    <w:rsid w:val="00E3278C"/>
    <w:rsid w:val="00E35DBF"/>
    <w:rsid w:val="00E41E82"/>
    <w:rsid w:val="00E42AAC"/>
    <w:rsid w:val="00E46613"/>
    <w:rsid w:val="00E5380F"/>
    <w:rsid w:val="00E5439B"/>
    <w:rsid w:val="00E55505"/>
    <w:rsid w:val="00E579E8"/>
    <w:rsid w:val="00E57BDC"/>
    <w:rsid w:val="00E6031D"/>
    <w:rsid w:val="00E60E04"/>
    <w:rsid w:val="00E613AF"/>
    <w:rsid w:val="00E62117"/>
    <w:rsid w:val="00E6256D"/>
    <w:rsid w:val="00E67C02"/>
    <w:rsid w:val="00E706BF"/>
    <w:rsid w:val="00E720FE"/>
    <w:rsid w:val="00E72F31"/>
    <w:rsid w:val="00E76ACB"/>
    <w:rsid w:val="00E77179"/>
    <w:rsid w:val="00E803C8"/>
    <w:rsid w:val="00E8179E"/>
    <w:rsid w:val="00E82172"/>
    <w:rsid w:val="00E82611"/>
    <w:rsid w:val="00E83725"/>
    <w:rsid w:val="00E8429E"/>
    <w:rsid w:val="00E84BBC"/>
    <w:rsid w:val="00E84CAC"/>
    <w:rsid w:val="00E84FBF"/>
    <w:rsid w:val="00E86242"/>
    <w:rsid w:val="00E919F8"/>
    <w:rsid w:val="00E92769"/>
    <w:rsid w:val="00E94A5C"/>
    <w:rsid w:val="00E95AC9"/>
    <w:rsid w:val="00EA0873"/>
    <w:rsid w:val="00EA3ED9"/>
    <w:rsid w:val="00EA5321"/>
    <w:rsid w:val="00EA6121"/>
    <w:rsid w:val="00EA66B5"/>
    <w:rsid w:val="00EA769F"/>
    <w:rsid w:val="00EB0F4A"/>
    <w:rsid w:val="00EB23EB"/>
    <w:rsid w:val="00EB5FE7"/>
    <w:rsid w:val="00EB62A5"/>
    <w:rsid w:val="00EB6F49"/>
    <w:rsid w:val="00EC17EF"/>
    <w:rsid w:val="00EC312C"/>
    <w:rsid w:val="00ED05D5"/>
    <w:rsid w:val="00ED5755"/>
    <w:rsid w:val="00EE2CD0"/>
    <w:rsid w:val="00EE3E50"/>
    <w:rsid w:val="00EE436B"/>
    <w:rsid w:val="00EE65CC"/>
    <w:rsid w:val="00EF0CF9"/>
    <w:rsid w:val="00EF5403"/>
    <w:rsid w:val="00EF7A9A"/>
    <w:rsid w:val="00F02185"/>
    <w:rsid w:val="00F05EF2"/>
    <w:rsid w:val="00F0712A"/>
    <w:rsid w:val="00F121B1"/>
    <w:rsid w:val="00F13B4F"/>
    <w:rsid w:val="00F151DD"/>
    <w:rsid w:val="00F1689C"/>
    <w:rsid w:val="00F2218E"/>
    <w:rsid w:val="00F25DE6"/>
    <w:rsid w:val="00F262F7"/>
    <w:rsid w:val="00F33B12"/>
    <w:rsid w:val="00F34E88"/>
    <w:rsid w:val="00F37CCA"/>
    <w:rsid w:val="00F40984"/>
    <w:rsid w:val="00F423D6"/>
    <w:rsid w:val="00F44D40"/>
    <w:rsid w:val="00F4730A"/>
    <w:rsid w:val="00F47344"/>
    <w:rsid w:val="00F516C6"/>
    <w:rsid w:val="00F5546F"/>
    <w:rsid w:val="00F56545"/>
    <w:rsid w:val="00F57F62"/>
    <w:rsid w:val="00F62B70"/>
    <w:rsid w:val="00F65E28"/>
    <w:rsid w:val="00F70BD5"/>
    <w:rsid w:val="00F70F8E"/>
    <w:rsid w:val="00F71269"/>
    <w:rsid w:val="00F74AAD"/>
    <w:rsid w:val="00F847C4"/>
    <w:rsid w:val="00F84FB1"/>
    <w:rsid w:val="00F9192C"/>
    <w:rsid w:val="00F91A2C"/>
    <w:rsid w:val="00F91D28"/>
    <w:rsid w:val="00F924AA"/>
    <w:rsid w:val="00FA08BB"/>
    <w:rsid w:val="00FA4149"/>
    <w:rsid w:val="00FA4B3A"/>
    <w:rsid w:val="00FA5FD8"/>
    <w:rsid w:val="00FA705A"/>
    <w:rsid w:val="00FB0CDD"/>
    <w:rsid w:val="00FB4AA6"/>
    <w:rsid w:val="00FB5CC1"/>
    <w:rsid w:val="00FC0296"/>
    <w:rsid w:val="00FC1CFB"/>
    <w:rsid w:val="00FC2935"/>
    <w:rsid w:val="00FC320A"/>
    <w:rsid w:val="00FC5D54"/>
    <w:rsid w:val="00FC6931"/>
    <w:rsid w:val="00FD2BEE"/>
    <w:rsid w:val="00FD31DD"/>
    <w:rsid w:val="00FD5D28"/>
    <w:rsid w:val="00FD7417"/>
    <w:rsid w:val="00FE5B30"/>
    <w:rsid w:val="00FE5C4B"/>
    <w:rsid w:val="00FE62F2"/>
    <w:rsid w:val="00FE70B7"/>
    <w:rsid w:val="00FE73E8"/>
    <w:rsid w:val="00FF0938"/>
    <w:rsid w:val="00FF185B"/>
    <w:rsid w:val="00FF55DD"/>
    <w:rsid w:val="00FF65D7"/>
    <w:rsid w:val="00FF78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A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4B4F42"/>
    <w:rPr>
      <w:color w:val="399B83"/>
      <w:u w:val="single"/>
    </w:rPr>
  </w:style>
  <w:style w:type="paragraph" w:styleId="Web">
    <w:name w:val="Normal (Web)"/>
    <w:basedOn w:val="a"/>
    <w:rsid w:val="004B4F42"/>
    <w:pPr>
      <w:spacing w:before="100" w:beforeAutospacing="1" w:after="75"/>
    </w:pPr>
    <w:rPr>
      <w:color w:val="000000"/>
    </w:rPr>
  </w:style>
  <w:style w:type="character" w:styleId="-0">
    <w:name w:val="FollowedHyperlink"/>
    <w:rsid w:val="00367424"/>
    <w:rPr>
      <w:color w:val="800080"/>
      <w:u w:val="single"/>
    </w:rPr>
  </w:style>
  <w:style w:type="paragraph" w:styleId="a3">
    <w:name w:val="Normal Indent"/>
    <w:basedOn w:val="a"/>
    <w:next w:val="a"/>
    <w:rsid w:val="003B0ED6"/>
    <w:pPr>
      <w:autoSpaceDE w:val="0"/>
      <w:autoSpaceDN w:val="0"/>
      <w:adjustRightInd w:val="0"/>
    </w:pPr>
  </w:style>
  <w:style w:type="paragraph" w:styleId="a4">
    <w:name w:val="footer"/>
    <w:basedOn w:val="a"/>
    <w:rsid w:val="00C43CA7"/>
    <w:pPr>
      <w:tabs>
        <w:tab w:val="center" w:pos="4153"/>
        <w:tab w:val="right" w:pos="8306"/>
      </w:tabs>
    </w:pPr>
    <w:rPr>
      <w:lang w:val="en-GB" w:eastAsia="en-US"/>
    </w:rPr>
  </w:style>
  <w:style w:type="character" w:styleId="a5">
    <w:name w:val="annotation reference"/>
    <w:semiHidden/>
    <w:rsid w:val="00B844E4"/>
    <w:rPr>
      <w:sz w:val="16"/>
      <w:szCs w:val="16"/>
    </w:rPr>
  </w:style>
  <w:style w:type="paragraph" w:styleId="a6">
    <w:name w:val="annotation text"/>
    <w:basedOn w:val="a"/>
    <w:semiHidden/>
    <w:rsid w:val="00B844E4"/>
    <w:rPr>
      <w:sz w:val="20"/>
      <w:szCs w:val="20"/>
    </w:rPr>
  </w:style>
  <w:style w:type="paragraph" w:styleId="a7">
    <w:name w:val="annotation subject"/>
    <w:basedOn w:val="a6"/>
    <w:next w:val="a6"/>
    <w:semiHidden/>
    <w:rsid w:val="00B844E4"/>
    <w:rPr>
      <w:b/>
      <w:bCs/>
    </w:rPr>
  </w:style>
  <w:style w:type="paragraph" w:styleId="a8">
    <w:name w:val="Balloon Text"/>
    <w:basedOn w:val="a"/>
    <w:semiHidden/>
    <w:rsid w:val="00B844E4"/>
    <w:rPr>
      <w:rFonts w:ascii="Tahoma" w:hAnsi="Tahoma" w:cs="Tahoma"/>
      <w:sz w:val="16"/>
      <w:szCs w:val="16"/>
    </w:rPr>
  </w:style>
  <w:style w:type="table" w:styleId="a9">
    <w:name w:val="Table Grid"/>
    <w:basedOn w:val="a1"/>
    <w:rsid w:val="00A24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5C99"/>
    <w:pPr>
      <w:autoSpaceDE w:val="0"/>
      <w:autoSpaceDN w:val="0"/>
      <w:adjustRightInd w:val="0"/>
    </w:pPr>
    <w:rPr>
      <w:color w:val="000000"/>
      <w:sz w:val="24"/>
      <w:szCs w:val="24"/>
      <w:lang w:val="en-US" w:eastAsia="en-US"/>
    </w:rPr>
  </w:style>
  <w:style w:type="paragraph" w:styleId="aa">
    <w:name w:val="Document Map"/>
    <w:basedOn w:val="a"/>
    <w:semiHidden/>
    <w:rsid w:val="00E77179"/>
    <w:pPr>
      <w:shd w:val="clear" w:color="auto" w:fill="000080"/>
    </w:pPr>
    <w:rPr>
      <w:rFonts w:ascii="Arial" w:hAnsi="Arial"/>
      <w:b/>
      <w:color w:val="000000"/>
      <w:sz w:val="18"/>
      <w:szCs w:val="20"/>
      <w:lang w:val="en-GB" w:eastAsia="en-US"/>
    </w:rPr>
  </w:style>
  <w:style w:type="paragraph" w:customStyle="1" w:styleId="Para0s">
    <w:name w:val="Para:0:s"/>
    <w:basedOn w:val="a"/>
    <w:rsid w:val="00D13422"/>
    <w:pPr>
      <w:spacing w:after="220"/>
    </w:pPr>
    <w:rPr>
      <w:szCs w:val="20"/>
      <w:lang w:val="en-US" w:eastAsia="de-DE"/>
    </w:rPr>
  </w:style>
  <w:style w:type="character" w:customStyle="1" w:styleId="tw4winMark">
    <w:name w:val="tw4winMark"/>
    <w:rsid w:val="00E8429E"/>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1012978">
      <w:bodyDiv w:val="1"/>
      <w:marLeft w:val="0"/>
      <w:marRight w:val="0"/>
      <w:marTop w:val="0"/>
      <w:marBottom w:val="0"/>
      <w:divBdr>
        <w:top w:val="none" w:sz="0" w:space="0" w:color="auto"/>
        <w:left w:val="none" w:sz="0" w:space="0" w:color="auto"/>
        <w:bottom w:val="none" w:sz="0" w:space="0" w:color="auto"/>
        <w:right w:val="none" w:sz="0" w:space="0" w:color="auto"/>
      </w:divBdr>
      <w:divsChild>
        <w:div w:id="398333867">
          <w:marLeft w:val="0"/>
          <w:marRight w:val="0"/>
          <w:marTop w:val="100"/>
          <w:marBottom w:val="100"/>
          <w:divBdr>
            <w:top w:val="single" w:sz="6" w:space="0" w:color="E0E0E0"/>
            <w:left w:val="single" w:sz="6" w:space="4" w:color="E0E0E0"/>
            <w:bottom w:val="single" w:sz="6" w:space="0" w:color="E0E0E0"/>
            <w:right w:val="single" w:sz="6" w:space="4" w:color="E0E0E0"/>
          </w:divBdr>
          <w:divsChild>
            <w:div w:id="1815945913">
              <w:marLeft w:val="0"/>
              <w:marRight w:val="0"/>
              <w:marTop w:val="0"/>
              <w:marBottom w:val="0"/>
              <w:divBdr>
                <w:top w:val="none" w:sz="0" w:space="0" w:color="auto"/>
                <w:left w:val="none" w:sz="0" w:space="0" w:color="auto"/>
                <w:bottom w:val="none" w:sz="0" w:space="0" w:color="auto"/>
                <w:right w:val="none" w:sz="0" w:space="0" w:color="auto"/>
              </w:divBdr>
              <w:divsChild>
                <w:div w:id="294988932">
                  <w:marLeft w:val="0"/>
                  <w:marRight w:val="0"/>
                  <w:marTop w:val="0"/>
                  <w:marBottom w:val="0"/>
                  <w:divBdr>
                    <w:top w:val="none" w:sz="0" w:space="0" w:color="auto"/>
                    <w:left w:val="none" w:sz="0" w:space="0" w:color="auto"/>
                    <w:bottom w:val="none" w:sz="0" w:space="0" w:color="auto"/>
                    <w:right w:val="none" w:sz="0" w:space="0" w:color="auto"/>
                  </w:divBdr>
                  <w:divsChild>
                    <w:div w:id="1131359606">
                      <w:marLeft w:val="0"/>
                      <w:marRight w:val="0"/>
                      <w:marTop w:val="0"/>
                      <w:marBottom w:val="0"/>
                      <w:divBdr>
                        <w:top w:val="none" w:sz="0" w:space="0" w:color="auto"/>
                        <w:left w:val="none" w:sz="0" w:space="0" w:color="auto"/>
                        <w:bottom w:val="none" w:sz="0" w:space="0" w:color="auto"/>
                        <w:right w:val="none" w:sz="0" w:space="0" w:color="auto"/>
                      </w:divBdr>
                      <w:divsChild>
                        <w:div w:id="241254963">
                          <w:marLeft w:val="0"/>
                          <w:marRight w:val="0"/>
                          <w:marTop w:val="0"/>
                          <w:marBottom w:val="0"/>
                          <w:divBdr>
                            <w:top w:val="none" w:sz="0" w:space="0" w:color="auto"/>
                            <w:left w:val="none" w:sz="0" w:space="0" w:color="auto"/>
                            <w:bottom w:val="none" w:sz="0" w:space="0" w:color="auto"/>
                            <w:right w:val="none" w:sz="0" w:space="0" w:color="auto"/>
                          </w:divBdr>
                          <w:divsChild>
                            <w:div w:id="705107323">
                              <w:marLeft w:val="0"/>
                              <w:marRight w:val="0"/>
                              <w:marTop w:val="0"/>
                              <w:marBottom w:val="0"/>
                              <w:divBdr>
                                <w:top w:val="none" w:sz="0" w:space="0" w:color="auto"/>
                                <w:left w:val="none" w:sz="0" w:space="0" w:color="auto"/>
                                <w:bottom w:val="none" w:sz="0" w:space="0" w:color="auto"/>
                                <w:right w:val="none" w:sz="0" w:space="0" w:color="auto"/>
                              </w:divBdr>
                              <w:divsChild>
                                <w:div w:id="1049496621">
                                  <w:marLeft w:val="0"/>
                                  <w:marRight w:val="0"/>
                                  <w:marTop w:val="0"/>
                                  <w:marBottom w:val="0"/>
                                  <w:divBdr>
                                    <w:top w:val="none" w:sz="0" w:space="0" w:color="auto"/>
                                    <w:left w:val="none" w:sz="0" w:space="0" w:color="auto"/>
                                    <w:bottom w:val="none" w:sz="0" w:space="0" w:color="auto"/>
                                    <w:right w:val="none" w:sz="0" w:space="0" w:color="auto"/>
                                  </w:divBdr>
                                </w:div>
                                <w:div w:id="2126070620">
                                  <w:marLeft w:val="0"/>
                                  <w:marRight w:val="0"/>
                                  <w:marTop w:val="0"/>
                                  <w:marBottom w:val="0"/>
                                  <w:divBdr>
                                    <w:top w:val="none" w:sz="0" w:space="0" w:color="auto"/>
                                    <w:left w:val="none" w:sz="0" w:space="0" w:color="auto"/>
                                    <w:bottom w:val="none" w:sz="0" w:space="0" w:color="auto"/>
                                    <w:right w:val="none" w:sz="0" w:space="0" w:color="auto"/>
                                  </w:divBdr>
                                  <w:divsChild>
                                    <w:div w:id="1215894819">
                                      <w:marLeft w:val="0"/>
                                      <w:marRight w:val="0"/>
                                      <w:marTop w:val="0"/>
                                      <w:marBottom w:val="0"/>
                                      <w:divBdr>
                                        <w:top w:val="none" w:sz="0" w:space="0" w:color="auto"/>
                                        <w:left w:val="none" w:sz="0" w:space="0" w:color="auto"/>
                                        <w:bottom w:val="none" w:sz="0" w:space="0" w:color="auto"/>
                                        <w:right w:val="none" w:sz="0" w:space="0" w:color="auto"/>
                                      </w:divBdr>
                                      <w:divsChild>
                                        <w:div w:id="1590431710">
                                          <w:marLeft w:val="0"/>
                                          <w:marRight w:val="0"/>
                                          <w:marTop w:val="0"/>
                                          <w:marBottom w:val="0"/>
                                          <w:divBdr>
                                            <w:top w:val="none" w:sz="0" w:space="0" w:color="auto"/>
                                            <w:left w:val="none" w:sz="0" w:space="0" w:color="auto"/>
                                            <w:bottom w:val="none" w:sz="0" w:space="0" w:color="auto"/>
                                            <w:right w:val="none" w:sz="0" w:space="0" w:color="auto"/>
                                          </w:divBdr>
                                          <w:divsChild>
                                            <w:div w:id="124783979">
                                              <w:marLeft w:val="150"/>
                                              <w:marRight w:val="0"/>
                                              <w:marTop w:val="0"/>
                                              <w:marBottom w:val="0"/>
                                              <w:divBdr>
                                                <w:top w:val="none" w:sz="0" w:space="0" w:color="auto"/>
                                                <w:left w:val="none" w:sz="0" w:space="0" w:color="auto"/>
                                                <w:bottom w:val="none" w:sz="0" w:space="0" w:color="auto"/>
                                                <w:right w:val="none" w:sz="0" w:space="0" w:color="auto"/>
                                              </w:divBdr>
                                            </w:div>
                                            <w:div w:id="354886181">
                                              <w:marLeft w:val="150"/>
                                              <w:marRight w:val="0"/>
                                              <w:marTop w:val="0"/>
                                              <w:marBottom w:val="0"/>
                                              <w:divBdr>
                                                <w:top w:val="none" w:sz="0" w:space="0" w:color="auto"/>
                                                <w:left w:val="none" w:sz="0" w:space="0" w:color="auto"/>
                                                <w:bottom w:val="none" w:sz="0" w:space="0" w:color="auto"/>
                                                <w:right w:val="none" w:sz="0" w:space="0" w:color="auto"/>
                                              </w:divBdr>
                                            </w:div>
                                            <w:div w:id="433945664">
                                              <w:marLeft w:val="0"/>
                                              <w:marRight w:val="0"/>
                                              <w:marTop w:val="0"/>
                                              <w:marBottom w:val="0"/>
                                              <w:divBdr>
                                                <w:top w:val="none" w:sz="0" w:space="0" w:color="auto"/>
                                                <w:left w:val="none" w:sz="0" w:space="0" w:color="auto"/>
                                                <w:bottom w:val="none" w:sz="0" w:space="0" w:color="auto"/>
                                                <w:right w:val="none" w:sz="0" w:space="0" w:color="auto"/>
                                              </w:divBdr>
                                            </w:div>
                                            <w:div w:id="470948882">
                                              <w:marLeft w:val="0"/>
                                              <w:marRight w:val="0"/>
                                              <w:marTop w:val="0"/>
                                              <w:marBottom w:val="0"/>
                                              <w:divBdr>
                                                <w:top w:val="none" w:sz="0" w:space="0" w:color="auto"/>
                                                <w:left w:val="none" w:sz="0" w:space="0" w:color="auto"/>
                                                <w:bottom w:val="none" w:sz="0" w:space="0" w:color="auto"/>
                                                <w:right w:val="none" w:sz="0" w:space="0" w:color="auto"/>
                                              </w:divBdr>
                                            </w:div>
                                            <w:div w:id="985628551">
                                              <w:marLeft w:val="150"/>
                                              <w:marRight w:val="0"/>
                                              <w:marTop w:val="0"/>
                                              <w:marBottom w:val="0"/>
                                              <w:divBdr>
                                                <w:top w:val="none" w:sz="0" w:space="0" w:color="auto"/>
                                                <w:left w:val="none" w:sz="0" w:space="0" w:color="auto"/>
                                                <w:bottom w:val="none" w:sz="0" w:space="0" w:color="auto"/>
                                                <w:right w:val="none" w:sz="0" w:space="0" w:color="auto"/>
                                              </w:divBdr>
                                            </w:div>
                                            <w:div w:id="1046369379">
                                              <w:marLeft w:val="150"/>
                                              <w:marRight w:val="0"/>
                                              <w:marTop w:val="0"/>
                                              <w:marBottom w:val="0"/>
                                              <w:divBdr>
                                                <w:top w:val="none" w:sz="0" w:space="0" w:color="auto"/>
                                                <w:left w:val="none" w:sz="0" w:space="0" w:color="auto"/>
                                                <w:bottom w:val="none" w:sz="0" w:space="0" w:color="auto"/>
                                                <w:right w:val="none" w:sz="0" w:space="0" w:color="auto"/>
                                              </w:divBdr>
                                            </w:div>
                                            <w:div w:id="1319575430">
                                              <w:marLeft w:val="0"/>
                                              <w:marRight w:val="0"/>
                                              <w:marTop w:val="0"/>
                                              <w:marBottom w:val="0"/>
                                              <w:divBdr>
                                                <w:top w:val="none" w:sz="0" w:space="0" w:color="auto"/>
                                                <w:left w:val="none" w:sz="0" w:space="0" w:color="auto"/>
                                                <w:bottom w:val="none" w:sz="0" w:space="0" w:color="auto"/>
                                                <w:right w:val="none" w:sz="0" w:space="0" w:color="auto"/>
                                              </w:divBdr>
                                            </w:div>
                                            <w:div w:id="1447238907">
                                              <w:marLeft w:val="0"/>
                                              <w:marRight w:val="0"/>
                                              <w:marTop w:val="0"/>
                                              <w:marBottom w:val="0"/>
                                              <w:divBdr>
                                                <w:top w:val="none" w:sz="0" w:space="0" w:color="auto"/>
                                                <w:left w:val="none" w:sz="0" w:space="0" w:color="auto"/>
                                                <w:bottom w:val="none" w:sz="0" w:space="0" w:color="auto"/>
                                                <w:right w:val="none" w:sz="0" w:space="0" w:color="auto"/>
                                              </w:divBdr>
                                            </w:div>
                                            <w:div w:id="1810780493">
                                              <w:marLeft w:val="0"/>
                                              <w:marRight w:val="0"/>
                                              <w:marTop w:val="0"/>
                                              <w:marBottom w:val="0"/>
                                              <w:divBdr>
                                                <w:top w:val="none" w:sz="0" w:space="0" w:color="auto"/>
                                                <w:left w:val="none" w:sz="0" w:space="0" w:color="auto"/>
                                                <w:bottom w:val="none" w:sz="0" w:space="0" w:color="auto"/>
                                                <w:right w:val="none" w:sz="0" w:space="0" w:color="auto"/>
                                              </w:divBdr>
                                            </w:div>
                                            <w:div w:id="1863201100">
                                              <w:marLeft w:val="150"/>
                                              <w:marRight w:val="0"/>
                                              <w:marTop w:val="0"/>
                                              <w:marBottom w:val="0"/>
                                              <w:divBdr>
                                                <w:top w:val="none" w:sz="0" w:space="0" w:color="auto"/>
                                                <w:left w:val="none" w:sz="0" w:space="0" w:color="auto"/>
                                                <w:bottom w:val="none" w:sz="0" w:space="0" w:color="auto"/>
                                                <w:right w:val="none" w:sz="0" w:space="0" w:color="auto"/>
                                              </w:divBdr>
                                            </w:div>
                                            <w:div w:id="20167666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93330">
      <w:bodyDiv w:val="1"/>
      <w:marLeft w:val="0"/>
      <w:marRight w:val="0"/>
      <w:marTop w:val="0"/>
      <w:marBottom w:val="0"/>
      <w:divBdr>
        <w:top w:val="none" w:sz="0" w:space="0" w:color="auto"/>
        <w:left w:val="none" w:sz="0" w:space="0" w:color="auto"/>
        <w:bottom w:val="none" w:sz="0" w:space="0" w:color="auto"/>
        <w:right w:val="none" w:sz="0" w:space="0" w:color="auto"/>
      </w:divBdr>
      <w:divsChild>
        <w:div w:id="1331789613">
          <w:marLeft w:val="0"/>
          <w:marRight w:val="0"/>
          <w:marTop w:val="100"/>
          <w:marBottom w:val="100"/>
          <w:divBdr>
            <w:top w:val="single" w:sz="6" w:space="0" w:color="E0E0E0"/>
            <w:left w:val="single" w:sz="6" w:space="4" w:color="E0E0E0"/>
            <w:bottom w:val="single" w:sz="6" w:space="0" w:color="E0E0E0"/>
            <w:right w:val="single" w:sz="6" w:space="4" w:color="E0E0E0"/>
          </w:divBdr>
          <w:divsChild>
            <w:div w:id="462044863">
              <w:marLeft w:val="0"/>
              <w:marRight w:val="0"/>
              <w:marTop w:val="0"/>
              <w:marBottom w:val="0"/>
              <w:divBdr>
                <w:top w:val="none" w:sz="0" w:space="0" w:color="auto"/>
                <w:left w:val="none" w:sz="0" w:space="0" w:color="auto"/>
                <w:bottom w:val="none" w:sz="0" w:space="0" w:color="auto"/>
                <w:right w:val="none" w:sz="0" w:space="0" w:color="auto"/>
              </w:divBdr>
              <w:divsChild>
                <w:div w:id="2079671131">
                  <w:marLeft w:val="0"/>
                  <w:marRight w:val="0"/>
                  <w:marTop w:val="0"/>
                  <w:marBottom w:val="0"/>
                  <w:divBdr>
                    <w:top w:val="none" w:sz="0" w:space="0" w:color="auto"/>
                    <w:left w:val="none" w:sz="0" w:space="0" w:color="auto"/>
                    <w:bottom w:val="none" w:sz="0" w:space="0" w:color="auto"/>
                    <w:right w:val="none" w:sz="0" w:space="0" w:color="auto"/>
                  </w:divBdr>
                  <w:divsChild>
                    <w:div w:id="726076437">
                      <w:marLeft w:val="0"/>
                      <w:marRight w:val="0"/>
                      <w:marTop w:val="0"/>
                      <w:marBottom w:val="0"/>
                      <w:divBdr>
                        <w:top w:val="none" w:sz="0" w:space="0" w:color="auto"/>
                        <w:left w:val="none" w:sz="0" w:space="0" w:color="auto"/>
                        <w:bottom w:val="none" w:sz="0" w:space="0" w:color="auto"/>
                        <w:right w:val="none" w:sz="0" w:space="0" w:color="auto"/>
                      </w:divBdr>
                      <w:divsChild>
                        <w:div w:id="385951644">
                          <w:marLeft w:val="0"/>
                          <w:marRight w:val="0"/>
                          <w:marTop w:val="0"/>
                          <w:marBottom w:val="0"/>
                          <w:divBdr>
                            <w:top w:val="none" w:sz="0" w:space="0" w:color="auto"/>
                            <w:left w:val="none" w:sz="0" w:space="0" w:color="auto"/>
                            <w:bottom w:val="none" w:sz="0" w:space="0" w:color="auto"/>
                            <w:right w:val="none" w:sz="0" w:space="0" w:color="auto"/>
                          </w:divBdr>
                          <w:divsChild>
                            <w:div w:id="653218429">
                              <w:marLeft w:val="0"/>
                              <w:marRight w:val="0"/>
                              <w:marTop w:val="0"/>
                              <w:marBottom w:val="0"/>
                              <w:divBdr>
                                <w:top w:val="none" w:sz="0" w:space="0" w:color="auto"/>
                                <w:left w:val="none" w:sz="0" w:space="0" w:color="auto"/>
                                <w:bottom w:val="none" w:sz="0" w:space="0" w:color="auto"/>
                                <w:right w:val="none" w:sz="0" w:space="0" w:color="auto"/>
                              </w:divBdr>
                              <w:divsChild>
                                <w:div w:id="1226600620">
                                  <w:marLeft w:val="0"/>
                                  <w:marRight w:val="0"/>
                                  <w:marTop w:val="0"/>
                                  <w:marBottom w:val="0"/>
                                  <w:divBdr>
                                    <w:top w:val="none" w:sz="0" w:space="0" w:color="auto"/>
                                    <w:left w:val="none" w:sz="0" w:space="0" w:color="auto"/>
                                    <w:bottom w:val="none" w:sz="0" w:space="0" w:color="auto"/>
                                    <w:right w:val="none" w:sz="0" w:space="0" w:color="auto"/>
                                  </w:divBdr>
                                  <w:divsChild>
                                    <w:div w:id="2091849324">
                                      <w:marLeft w:val="0"/>
                                      <w:marRight w:val="0"/>
                                      <w:marTop w:val="0"/>
                                      <w:marBottom w:val="0"/>
                                      <w:divBdr>
                                        <w:top w:val="none" w:sz="0" w:space="0" w:color="auto"/>
                                        <w:left w:val="none" w:sz="0" w:space="0" w:color="auto"/>
                                        <w:bottom w:val="none" w:sz="0" w:space="0" w:color="auto"/>
                                        <w:right w:val="none" w:sz="0" w:space="0" w:color="auto"/>
                                      </w:divBdr>
                                      <w:divsChild>
                                        <w:div w:id="1441490391">
                                          <w:marLeft w:val="0"/>
                                          <w:marRight w:val="0"/>
                                          <w:marTop w:val="0"/>
                                          <w:marBottom w:val="0"/>
                                          <w:divBdr>
                                            <w:top w:val="none" w:sz="0" w:space="0" w:color="auto"/>
                                            <w:left w:val="none" w:sz="0" w:space="0" w:color="auto"/>
                                            <w:bottom w:val="none" w:sz="0" w:space="0" w:color="auto"/>
                                            <w:right w:val="none" w:sz="0" w:space="0" w:color="auto"/>
                                          </w:divBdr>
                                          <w:divsChild>
                                            <w:div w:id="603657002">
                                              <w:marLeft w:val="150"/>
                                              <w:marRight w:val="0"/>
                                              <w:marTop w:val="0"/>
                                              <w:marBottom w:val="0"/>
                                              <w:divBdr>
                                                <w:top w:val="none" w:sz="0" w:space="0" w:color="auto"/>
                                                <w:left w:val="none" w:sz="0" w:space="0" w:color="auto"/>
                                                <w:bottom w:val="none" w:sz="0" w:space="0" w:color="auto"/>
                                                <w:right w:val="none" w:sz="0" w:space="0" w:color="auto"/>
                                              </w:divBdr>
                                            </w:div>
                                            <w:div w:id="736706823">
                                              <w:marLeft w:val="150"/>
                                              <w:marRight w:val="0"/>
                                              <w:marTop w:val="0"/>
                                              <w:marBottom w:val="0"/>
                                              <w:divBdr>
                                                <w:top w:val="none" w:sz="0" w:space="0" w:color="auto"/>
                                                <w:left w:val="none" w:sz="0" w:space="0" w:color="auto"/>
                                                <w:bottom w:val="none" w:sz="0" w:space="0" w:color="auto"/>
                                                <w:right w:val="none" w:sz="0" w:space="0" w:color="auto"/>
                                              </w:divBdr>
                                            </w:div>
                                            <w:div w:id="1202011496">
                                              <w:marLeft w:val="150"/>
                                              <w:marRight w:val="0"/>
                                              <w:marTop w:val="0"/>
                                              <w:marBottom w:val="0"/>
                                              <w:divBdr>
                                                <w:top w:val="none" w:sz="0" w:space="0" w:color="auto"/>
                                                <w:left w:val="none" w:sz="0" w:space="0" w:color="auto"/>
                                                <w:bottom w:val="none" w:sz="0" w:space="0" w:color="auto"/>
                                                <w:right w:val="none" w:sz="0" w:space="0" w:color="auto"/>
                                              </w:divBdr>
                                            </w:div>
                                            <w:div w:id="1253969651">
                                              <w:marLeft w:val="150"/>
                                              <w:marRight w:val="0"/>
                                              <w:marTop w:val="0"/>
                                              <w:marBottom w:val="0"/>
                                              <w:divBdr>
                                                <w:top w:val="none" w:sz="0" w:space="0" w:color="auto"/>
                                                <w:left w:val="none" w:sz="0" w:space="0" w:color="auto"/>
                                                <w:bottom w:val="none" w:sz="0" w:space="0" w:color="auto"/>
                                                <w:right w:val="none" w:sz="0" w:space="0" w:color="auto"/>
                                              </w:divBdr>
                                            </w:div>
                                            <w:div w:id="1794328939">
                                              <w:marLeft w:val="150"/>
                                              <w:marRight w:val="0"/>
                                              <w:marTop w:val="0"/>
                                              <w:marBottom w:val="0"/>
                                              <w:divBdr>
                                                <w:top w:val="none" w:sz="0" w:space="0" w:color="auto"/>
                                                <w:left w:val="none" w:sz="0" w:space="0" w:color="auto"/>
                                                <w:bottom w:val="none" w:sz="0" w:space="0" w:color="auto"/>
                                                <w:right w:val="none" w:sz="0" w:space="0" w:color="auto"/>
                                              </w:divBdr>
                                            </w:div>
                                            <w:div w:id="1834298429">
                                              <w:marLeft w:val="0"/>
                                              <w:marRight w:val="0"/>
                                              <w:marTop w:val="0"/>
                                              <w:marBottom w:val="0"/>
                                              <w:divBdr>
                                                <w:top w:val="none" w:sz="0" w:space="0" w:color="auto"/>
                                                <w:left w:val="none" w:sz="0" w:space="0" w:color="auto"/>
                                                <w:bottom w:val="none" w:sz="0" w:space="0" w:color="auto"/>
                                                <w:right w:val="none" w:sz="0" w:space="0" w:color="auto"/>
                                              </w:divBdr>
                                            </w:div>
                                            <w:div w:id="1932932076">
                                              <w:marLeft w:val="150"/>
                                              <w:marRight w:val="0"/>
                                              <w:marTop w:val="0"/>
                                              <w:marBottom w:val="0"/>
                                              <w:divBdr>
                                                <w:top w:val="none" w:sz="0" w:space="0" w:color="auto"/>
                                                <w:left w:val="none" w:sz="0" w:space="0" w:color="auto"/>
                                                <w:bottom w:val="none" w:sz="0" w:space="0" w:color="auto"/>
                                                <w:right w:val="none" w:sz="0" w:space="0" w:color="auto"/>
                                              </w:divBdr>
                                            </w:div>
                                            <w:div w:id="2085911533">
                                              <w:marLeft w:val="150"/>
                                              <w:marRight w:val="0"/>
                                              <w:marTop w:val="0"/>
                                              <w:marBottom w:val="0"/>
                                              <w:divBdr>
                                                <w:top w:val="none" w:sz="0" w:space="0" w:color="auto"/>
                                                <w:left w:val="none" w:sz="0" w:space="0" w:color="auto"/>
                                                <w:bottom w:val="none" w:sz="0" w:space="0" w:color="auto"/>
                                                <w:right w:val="none" w:sz="0" w:space="0" w:color="auto"/>
                                              </w:divBdr>
                                            </w:div>
                                            <w:div w:id="21056831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51194">
      <w:bodyDiv w:val="1"/>
      <w:marLeft w:val="0"/>
      <w:marRight w:val="0"/>
      <w:marTop w:val="0"/>
      <w:marBottom w:val="0"/>
      <w:divBdr>
        <w:top w:val="none" w:sz="0" w:space="0" w:color="auto"/>
        <w:left w:val="none" w:sz="0" w:space="0" w:color="auto"/>
        <w:bottom w:val="none" w:sz="0" w:space="0" w:color="auto"/>
        <w:right w:val="none" w:sz="0" w:space="0" w:color="auto"/>
      </w:divBdr>
      <w:divsChild>
        <w:div w:id="2071537010">
          <w:marLeft w:val="0"/>
          <w:marRight w:val="0"/>
          <w:marTop w:val="100"/>
          <w:marBottom w:val="100"/>
          <w:divBdr>
            <w:top w:val="single" w:sz="6" w:space="0" w:color="E0E0E0"/>
            <w:left w:val="single" w:sz="6" w:space="4" w:color="E0E0E0"/>
            <w:bottom w:val="single" w:sz="6" w:space="0" w:color="E0E0E0"/>
            <w:right w:val="single" w:sz="6" w:space="4" w:color="E0E0E0"/>
          </w:divBdr>
          <w:divsChild>
            <w:div w:id="1794861153">
              <w:marLeft w:val="0"/>
              <w:marRight w:val="0"/>
              <w:marTop w:val="0"/>
              <w:marBottom w:val="0"/>
              <w:divBdr>
                <w:top w:val="none" w:sz="0" w:space="0" w:color="auto"/>
                <w:left w:val="none" w:sz="0" w:space="0" w:color="auto"/>
                <w:bottom w:val="none" w:sz="0" w:space="0" w:color="auto"/>
                <w:right w:val="none" w:sz="0" w:space="0" w:color="auto"/>
              </w:divBdr>
              <w:divsChild>
                <w:div w:id="786388951">
                  <w:marLeft w:val="0"/>
                  <w:marRight w:val="0"/>
                  <w:marTop w:val="0"/>
                  <w:marBottom w:val="0"/>
                  <w:divBdr>
                    <w:top w:val="none" w:sz="0" w:space="0" w:color="auto"/>
                    <w:left w:val="none" w:sz="0" w:space="0" w:color="auto"/>
                    <w:bottom w:val="none" w:sz="0" w:space="0" w:color="auto"/>
                    <w:right w:val="none" w:sz="0" w:space="0" w:color="auto"/>
                  </w:divBdr>
                  <w:divsChild>
                    <w:div w:id="815341608">
                      <w:marLeft w:val="0"/>
                      <w:marRight w:val="0"/>
                      <w:marTop w:val="0"/>
                      <w:marBottom w:val="0"/>
                      <w:divBdr>
                        <w:top w:val="none" w:sz="0" w:space="0" w:color="auto"/>
                        <w:left w:val="none" w:sz="0" w:space="0" w:color="auto"/>
                        <w:bottom w:val="none" w:sz="0" w:space="0" w:color="auto"/>
                        <w:right w:val="none" w:sz="0" w:space="0" w:color="auto"/>
                      </w:divBdr>
                      <w:divsChild>
                        <w:div w:id="1405374217">
                          <w:marLeft w:val="0"/>
                          <w:marRight w:val="0"/>
                          <w:marTop w:val="0"/>
                          <w:marBottom w:val="0"/>
                          <w:divBdr>
                            <w:top w:val="none" w:sz="0" w:space="0" w:color="auto"/>
                            <w:left w:val="none" w:sz="0" w:space="0" w:color="auto"/>
                            <w:bottom w:val="none" w:sz="0" w:space="0" w:color="auto"/>
                            <w:right w:val="none" w:sz="0" w:space="0" w:color="auto"/>
                          </w:divBdr>
                          <w:divsChild>
                            <w:div w:id="971406387">
                              <w:marLeft w:val="0"/>
                              <w:marRight w:val="0"/>
                              <w:marTop w:val="0"/>
                              <w:marBottom w:val="0"/>
                              <w:divBdr>
                                <w:top w:val="none" w:sz="0" w:space="0" w:color="auto"/>
                                <w:left w:val="none" w:sz="0" w:space="0" w:color="auto"/>
                                <w:bottom w:val="none" w:sz="0" w:space="0" w:color="auto"/>
                                <w:right w:val="none" w:sz="0" w:space="0" w:color="auto"/>
                              </w:divBdr>
                              <w:divsChild>
                                <w:div w:id="459617222">
                                  <w:marLeft w:val="0"/>
                                  <w:marRight w:val="0"/>
                                  <w:marTop w:val="0"/>
                                  <w:marBottom w:val="0"/>
                                  <w:divBdr>
                                    <w:top w:val="none" w:sz="0" w:space="0" w:color="auto"/>
                                    <w:left w:val="none" w:sz="0" w:space="0" w:color="auto"/>
                                    <w:bottom w:val="none" w:sz="0" w:space="0" w:color="auto"/>
                                    <w:right w:val="none" w:sz="0" w:space="0" w:color="auto"/>
                                  </w:divBdr>
                                  <w:divsChild>
                                    <w:div w:id="679966382">
                                      <w:marLeft w:val="0"/>
                                      <w:marRight w:val="0"/>
                                      <w:marTop w:val="0"/>
                                      <w:marBottom w:val="0"/>
                                      <w:divBdr>
                                        <w:top w:val="none" w:sz="0" w:space="0" w:color="auto"/>
                                        <w:left w:val="none" w:sz="0" w:space="0" w:color="auto"/>
                                        <w:bottom w:val="none" w:sz="0" w:space="0" w:color="auto"/>
                                        <w:right w:val="none" w:sz="0" w:space="0" w:color="auto"/>
                                      </w:divBdr>
                                      <w:divsChild>
                                        <w:div w:id="1496608183">
                                          <w:marLeft w:val="0"/>
                                          <w:marRight w:val="0"/>
                                          <w:marTop w:val="0"/>
                                          <w:marBottom w:val="0"/>
                                          <w:divBdr>
                                            <w:top w:val="none" w:sz="0" w:space="0" w:color="auto"/>
                                            <w:left w:val="none" w:sz="0" w:space="0" w:color="auto"/>
                                            <w:bottom w:val="none" w:sz="0" w:space="0" w:color="auto"/>
                                            <w:right w:val="none" w:sz="0" w:space="0" w:color="auto"/>
                                          </w:divBdr>
                                          <w:divsChild>
                                            <w:div w:id="1240796925">
                                              <w:marLeft w:val="0"/>
                                              <w:marRight w:val="0"/>
                                              <w:marTop w:val="0"/>
                                              <w:marBottom w:val="0"/>
                                              <w:divBdr>
                                                <w:top w:val="none" w:sz="0" w:space="0" w:color="auto"/>
                                                <w:left w:val="none" w:sz="0" w:space="0" w:color="auto"/>
                                                <w:bottom w:val="none" w:sz="0" w:space="0" w:color="auto"/>
                                                <w:right w:val="none" w:sz="0" w:space="0" w:color="auto"/>
                                              </w:divBdr>
                                            </w:div>
                                            <w:div w:id="1730110937">
                                              <w:marLeft w:val="150"/>
                                              <w:marRight w:val="0"/>
                                              <w:marTop w:val="0"/>
                                              <w:marBottom w:val="0"/>
                                              <w:divBdr>
                                                <w:top w:val="none" w:sz="0" w:space="0" w:color="auto"/>
                                                <w:left w:val="none" w:sz="0" w:space="0" w:color="auto"/>
                                                <w:bottom w:val="none" w:sz="0" w:space="0" w:color="auto"/>
                                                <w:right w:val="none" w:sz="0" w:space="0" w:color="auto"/>
                                              </w:divBdr>
                                            </w:div>
                                            <w:div w:id="21267348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378757">
      <w:bodyDiv w:val="1"/>
      <w:marLeft w:val="0"/>
      <w:marRight w:val="0"/>
      <w:marTop w:val="0"/>
      <w:marBottom w:val="0"/>
      <w:divBdr>
        <w:top w:val="none" w:sz="0" w:space="0" w:color="auto"/>
        <w:left w:val="none" w:sz="0" w:space="0" w:color="auto"/>
        <w:bottom w:val="none" w:sz="0" w:space="0" w:color="auto"/>
        <w:right w:val="none" w:sz="0" w:space="0" w:color="auto"/>
      </w:divBdr>
      <w:divsChild>
        <w:div w:id="1685550276">
          <w:marLeft w:val="0"/>
          <w:marRight w:val="0"/>
          <w:marTop w:val="100"/>
          <w:marBottom w:val="100"/>
          <w:divBdr>
            <w:top w:val="single" w:sz="6" w:space="0" w:color="E0E0E0"/>
            <w:left w:val="single" w:sz="6" w:space="4" w:color="E0E0E0"/>
            <w:bottom w:val="single" w:sz="6" w:space="0" w:color="E0E0E0"/>
            <w:right w:val="single" w:sz="6" w:space="4" w:color="E0E0E0"/>
          </w:divBdr>
          <w:divsChild>
            <w:div w:id="1633248799">
              <w:marLeft w:val="0"/>
              <w:marRight w:val="0"/>
              <w:marTop w:val="0"/>
              <w:marBottom w:val="0"/>
              <w:divBdr>
                <w:top w:val="none" w:sz="0" w:space="0" w:color="auto"/>
                <w:left w:val="none" w:sz="0" w:space="0" w:color="auto"/>
                <w:bottom w:val="none" w:sz="0" w:space="0" w:color="auto"/>
                <w:right w:val="none" w:sz="0" w:space="0" w:color="auto"/>
              </w:divBdr>
              <w:divsChild>
                <w:div w:id="47532153">
                  <w:marLeft w:val="0"/>
                  <w:marRight w:val="0"/>
                  <w:marTop w:val="0"/>
                  <w:marBottom w:val="0"/>
                  <w:divBdr>
                    <w:top w:val="none" w:sz="0" w:space="0" w:color="auto"/>
                    <w:left w:val="none" w:sz="0" w:space="0" w:color="auto"/>
                    <w:bottom w:val="none" w:sz="0" w:space="0" w:color="auto"/>
                    <w:right w:val="none" w:sz="0" w:space="0" w:color="auto"/>
                  </w:divBdr>
                  <w:divsChild>
                    <w:div w:id="1586762203">
                      <w:marLeft w:val="0"/>
                      <w:marRight w:val="0"/>
                      <w:marTop w:val="0"/>
                      <w:marBottom w:val="0"/>
                      <w:divBdr>
                        <w:top w:val="none" w:sz="0" w:space="0" w:color="auto"/>
                        <w:left w:val="none" w:sz="0" w:space="0" w:color="auto"/>
                        <w:bottom w:val="none" w:sz="0" w:space="0" w:color="auto"/>
                        <w:right w:val="none" w:sz="0" w:space="0" w:color="auto"/>
                      </w:divBdr>
                      <w:divsChild>
                        <w:div w:id="1421025678">
                          <w:marLeft w:val="0"/>
                          <w:marRight w:val="0"/>
                          <w:marTop w:val="0"/>
                          <w:marBottom w:val="0"/>
                          <w:divBdr>
                            <w:top w:val="none" w:sz="0" w:space="0" w:color="auto"/>
                            <w:left w:val="none" w:sz="0" w:space="0" w:color="auto"/>
                            <w:bottom w:val="none" w:sz="0" w:space="0" w:color="auto"/>
                            <w:right w:val="none" w:sz="0" w:space="0" w:color="auto"/>
                          </w:divBdr>
                          <w:divsChild>
                            <w:div w:id="770008280">
                              <w:marLeft w:val="0"/>
                              <w:marRight w:val="0"/>
                              <w:marTop w:val="0"/>
                              <w:marBottom w:val="0"/>
                              <w:divBdr>
                                <w:top w:val="none" w:sz="0" w:space="0" w:color="auto"/>
                                <w:left w:val="none" w:sz="0" w:space="0" w:color="auto"/>
                                <w:bottom w:val="none" w:sz="0" w:space="0" w:color="auto"/>
                                <w:right w:val="none" w:sz="0" w:space="0" w:color="auto"/>
                              </w:divBdr>
                              <w:divsChild>
                                <w:div w:id="1636792473">
                                  <w:marLeft w:val="0"/>
                                  <w:marRight w:val="0"/>
                                  <w:marTop w:val="0"/>
                                  <w:marBottom w:val="0"/>
                                  <w:divBdr>
                                    <w:top w:val="none" w:sz="0" w:space="0" w:color="auto"/>
                                    <w:left w:val="none" w:sz="0" w:space="0" w:color="auto"/>
                                    <w:bottom w:val="none" w:sz="0" w:space="0" w:color="auto"/>
                                    <w:right w:val="none" w:sz="0" w:space="0" w:color="auto"/>
                                  </w:divBdr>
                                  <w:divsChild>
                                    <w:div w:id="1956864513">
                                      <w:marLeft w:val="0"/>
                                      <w:marRight w:val="0"/>
                                      <w:marTop w:val="0"/>
                                      <w:marBottom w:val="0"/>
                                      <w:divBdr>
                                        <w:top w:val="none" w:sz="0" w:space="0" w:color="auto"/>
                                        <w:left w:val="none" w:sz="0" w:space="0" w:color="auto"/>
                                        <w:bottom w:val="none" w:sz="0" w:space="0" w:color="auto"/>
                                        <w:right w:val="none" w:sz="0" w:space="0" w:color="auto"/>
                                      </w:divBdr>
                                      <w:divsChild>
                                        <w:div w:id="788624065">
                                          <w:marLeft w:val="0"/>
                                          <w:marRight w:val="0"/>
                                          <w:marTop w:val="0"/>
                                          <w:marBottom w:val="0"/>
                                          <w:divBdr>
                                            <w:top w:val="none" w:sz="0" w:space="0" w:color="auto"/>
                                            <w:left w:val="none" w:sz="0" w:space="0" w:color="auto"/>
                                            <w:bottom w:val="none" w:sz="0" w:space="0" w:color="auto"/>
                                            <w:right w:val="none" w:sz="0" w:space="0" w:color="auto"/>
                                          </w:divBdr>
                                          <w:divsChild>
                                            <w:div w:id="2962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170601">
      <w:bodyDiv w:val="1"/>
      <w:marLeft w:val="0"/>
      <w:marRight w:val="0"/>
      <w:marTop w:val="0"/>
      <w:marBottom w:val="0"/>
      <w:divBdr>
        <w:top w:val="none" w:sz="0" w:space="0" w:color="auto"/>
        <w:left w:val="none" w:sz="0" w:space="0" w:color="auto"/>
        <w:bottom w:val="none" w:sz="0" w:space="0" w:color="auto"/>
        <w:right w:val="none" w:sz="0" w:space="0" w:color="auto"/>
      </w:divBdr>
      <w:divsChild>
        <w:div w:id="2100518700">
          <w:marLeft w:val="0"/>
          <w:marRight w:val="0"/>
          <w:marTop w:val="100"/>
          <w:marBottom w:val="100"/>
          <w:divBdr>
            <w:top w:val="single" w:sz="6" w:space="0" w:color="E0E0E0"/>
            <w:left w:val="single" w:sz="6" w:space="4" w:color="E0E0E0"/>
            <w:bottom w:val="single" w:sz="6" w:space="0" w:color="E0E0E0"/>
            <w:right w:val="single" w:sz="6" w:space="4" w:color="E0E0E0"/>
          </w:divBdr>
          <w:divsChild>
            <w:div w:id="1214461532">
              <w:marLeft w:val="0"/>
              <w:marRight w:val="0"/>
              <w:marTop w:val="0"/>
              <w:marBottom w:val="0"/>
              <w:divBdr>
                <w:top w:val="none" w:sz="0" w:space="0" w:color="auto"/>
                <w:left w:val="none" w:sz="0" w:space="0" w:color="auto"/>
                <w:bottom w:val="none" w:sz="0" w:space="0" w:color="auto"/>
                <w:right w:val="none" w:sz="0" w:space="0" w:color="auto"/>
              </w:divBdr>
              <w:divsChild>
                <w:div w:id="250508208">
                  <w:marLeft w:val="0"/>
                  <w:marRight w:val="0"/>
                  <w:marTop w:val="0"/>
                  <w:marBottom w:val="0"/>
                  <w:divBdr>
                    <w:top w:val="none" w:sz="0" w:space="0" w:color="auto"/>
                    <w:left w:val="none" w:sz="0" w:space="0" w:color="auto"/>
                    <w:bottom w:val="none" w:sz="0" w:space="0" w:color="auto"/>
                    <w:right w:val="none" w:sz="0" w:space="0" w:color="auto"/>
                  </w:divBdr>
                  <w:divsChild>
                    <w:div w:id="1871717425">
                      <w:marLeft w:val="0"/>
                      <w:marRight w:val="0"/>
                      <w:marTop w:val="0"/>
                      <w:marBottom w:val="0"/>
                      <w:divBdr>
                        <w:top w:val="none" w:sz="0" w:space="0" w:color="auto"/>
                        <w:left w:val="none" w:sz="0" w:space="0" w:color="auto"/>
                        <w:bottom w:val="none" w:sz="0" w:space="0" w:color="auto"/>
                        <w:right w:val="none" w:sz="0" w:space="0" w:color="auto"/>
                      </w:divBdr>
                      <w:divsChild>
                        <w:div w:id="580875338">
                          <w:marLeft w:val="0"/>
                          <w:marRight w:val="0"/>
                          <w:marTop w:val="0"/>
                          <w:marBottom w:val="0"/>
                          <w:divBdr>
                            <w:top w:val="none" w:sz="0" w:space="0" w:color="auto"/>
                            <w:left w:val="none" w:sz="0" w:space="0" w:color="auto"/>
                            <w:bottom w:val="none" w:sz="0" w:space="0" w:color="auto"/>
                            <w:right w:val="none" w:sz="0" w:space="0" w:color="auto"/>
                          </w:divBdr>
                          <w:divsChild>
                            <w:div w:id="1360862861">
                              <w:marLeft w:val="0"/>
                              <w:marRight w:val="0"/>
                              <w:marTop w:val="0"/>
                              <w:marBottom w:val="0"/>
                              <w:divBdr>
                                <w:top w:val="none" w:sz="0" w:space="0" w:color="auto"/>
                                <w:left w:val="none" w:sz="0" w:space="0" w:color="auto"/>
                                <w:bottom w:val="none" w:sz="0" w:space="0" w:color="auto"/>
                                <w:right w:val="none" w:sz="0" w:space="0" w:color="auto"/>
                              </w:divBdr>
                              <w:divsChild>
                                <w:div w:id="1410619273">
                                  <w:marLeft w:val="0"/>
                                  <w:marRight w:val="0"/>
                                  <w:marTop w:val="0"/>
                                  <w:marBottom w:val="0"/>
                                  <w:divBdr>
                                    <w:top w:val="none" w:sz="0" w:space="0" w:color="auto"/>
                                    <w:left w:val="none" w:sz="0" w:space="0" w:color="auto"/>
                                    <w:bottom w:val="none" w:sz="0" w:space="0" w:color="auto"/>
                                    <w:right w:val="none" w:sz="0" w:space="0" w:color="auto"/>
                                  </w:divBdr>
                                  <w:divsChild>
                                    <w:div w:id="931552892">
                                      <w:marLeft w:val="0"/>
                                      <w:marRight w:val="0"/>
                                      <w:marTop w:val="0"/>
                                      <w:marBottom w:val="0"/>
                                      <w:divBdr>
                                        <w:top w:val="none" w:sz="0" w:space="0" w:color="auto"/>
                                        <w:left w:val="none" w:sz="0" w:space="0" w:color="auto"/>
                                        <w:bottom w:val="none" w:sz="0" w:space="0" w:color="auto"/>
                                        <w:right w:val="none" w:sz="0" w:space="0" w:color="auto"/>
                                      </w:divBdr>
                                      <w:divsChild>
                                        <w:div w:id="827669663">
                                          <w:marLeft w:val="0"/>
                                          <w:marRight w:val="0"/>
                                          <w:marTop w:val="0"/>
                                          <w:marBottom w:val="0"/>
                                          <w:divBdr>
                                            <w:top w:val="none" w:sz="0" w:space="0" w:color="auto"/>
                                            <w:left w:val="none" w:sz="0" w:space="0" w:color="auto"/>
                                            <w:bottom w:val="none" w:sz="0" w:space="0" w:color="auto"/>
                                            <w:right w:val="none" w:sz="0" w:space="0" w:color="auto"/>
                                          </w:divBdr>
                                          <w:divsChild>
                                            <w:div w:id="23217974">
                                              <w:marLeft w:val="150"/>
                                              <w:marRight w:val="0"/>
                                              <w:marTop w:val="0"/>
                                              <w:marBottom w:val="0"/>
                                              <w:divBdr>
                                                <w:top w:val="none" w:sz="0" w:space="0" w:color="auto"/>
                                                <w:left w:val="none" w:sz="0" w:space="0" w:color="auto"/>
                                                <w:bottom w:val="none" w:sz="0" w:space="0" w:color="auto"/>
                                                <w:right w:val="none" w:sz="0" w:space="0" w:color="auto"/>
                                              </w:divBdr>
                                            </w:div>
                                            <w:div w:id="3160356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4143674">
      <w:bodyDiv w:val="1"/>
      <w:marLeft w:val="0"/>
      <w:marRight w:val="0"/>
      <w:marTop w:val="0"/>
      <w:marBottom w:val="0"/>
      <w:divBdr>
        <w:top w:val="none" w:sz="0" w:space="0" w:color="auto"/>
        <w:left w:val="none" w:sz="0" w:space="0" w:color="auto"/>
        <w:bottom w:val="none" w:sz="0" w:space="0" w:color="auto"/>
        <w:right w:val="none" w:sz="0" w:space="0" w:color="auto"/>
      </w:divBdr>
      <w:divsChild>
        <w:div w:id="269239994">
          <w:marLeft w:val="0"/>
          <w:marRight w:val="0"/>
          <w:marTop w:val="100"/>
          <w:marBottom w:val="100"/>
          <w:divBdr>
            <w:top w:val="single" w:sz="6" w:space="0" w:color="E0E0E0"/>
            <w:left w:val="single" w:sz="6" w:space="4" w:color="E0E0E0"/>
            <w:bottom w:val="single" w:sz="6" w:space="0" w:color="E0E0E0"/>
            <w:right w:val="single" w:sz="6" w:space="4" w:color="E0E0E0"/>
          </w:divBdr>
          <w:divsChild>
            <w:div w:id="1106804518">
              <w:marLeft w:val="0"/>
              <w:marRight w:val="0"/>
              <w:marTop w:val="0"/>
              <w:marBottom w:val="0"/>
              <w:divBdr>
                <w:top w:val="none" w:sz="0" w:space="0" w:color="auto"/>
                <w:left w:val="none" w:sz="0" w:space="0" w:color="auto"/>
                <w:bottom w:val="none" w:sz="0" w:space="0" w:color="auto"/>
                <w:right w:val="none" w:sz="0" w:space="0" w:color="auto"/>
              </w:divBdr>
              <w:divsChild>
                <w:div w:id="614023101">
                  <w:marLeft w:val="0"/>
                  <w:marRight w:val="0"/>
                  <w:marTop w:val="0"/>
                  <w:marBottom w:val="0"/>
                  <w:divBdr>
                    <w:top w:val="none" w:sz="0" w:space="0" w:color="auto"/>
                    <w:left w:val="none" w:sz="0" w:space="0" w:color="auto"/>
                    <w:bottom w:val="none" w:sz="0" w:space="0" w:color="auto"/>
                    <w:right w:val="none" w:sz="0" w:space="0" w:color="auto"/>
                  </w:divBdr>
                  <w:divsChild>
                    <w:div w:id="709189726">
                      <w:marLeft w:val="0"/>
                      <w:marRight w:val="0"/>
                      <w:marTop w:val="0"/>
                      <w:marBottom w:val="0"/>
                      <w:divBdr>
                        <w:top w:val="none" w:sz="0" w:space="0" w:color="auto"/>
                        <w:left w:val="none" w:sz="0" w:space="0" w:color="auto"/>
                        <w:bottom w:val="none" w:sz="0" w:space="0" w:color="auto"/>
                        <w:right w:val="none" w:sz="0" w:space="0" w:color="auto"/>
                      </w:divBdr>
                      <w:divsChild>
                        <w:div w:id="1563321886">
                          <w:marLeft w:val="0"/>
                          <w:marRight w:val="0"/>
                          <w:marTop w:val="0"/>
                          <w:marBottom w:val="0"/>
                          <w:divBdr>
                            <w:top w:val="none" w:sz="0" w:space="0" w:color="auto"/>
                            <w:left w:val="none" w:sz="0" w:space="0" w:color="auto"/>
                            <w:bottom w:val="none" w:sz="0" w:space="0" w:color="auto"/>
                            <w:right w:val="none" w:sz="0" w:space="0" w:color="auto"/>
                          </w:divBdr>
                          <w:divsChild>
                            <w:div w:id="136578091">
                              <w:marLeft w:val="0"/>
                              <w:marRight w:val="0"/>
                              <w:marTop w:val="0"/>
                              <w:marBottom w:val="0"/>
                              <w:divBdr>
                                <w:top w:val="none" w:sz="0" w:space="0" w:color="auto"/>
                                <w:left w:val="none" w:sz="0" w:space="0" w:color="auto"/>
                                <w:bottom w:val="none" w:sz="0" w:space="0" w:color="auto"/>
                                <w:right w:val="none" w:sz="0" w:space="0" w:color="auto"/>
                              </w:divBdr>
                              <w:divsChild>
                                <w:div w:id="162815470">
                                  <w:marLeft w:val="0"/>
                                  <w:marRight w:val="0"/>
                                  <w:marTop w:val="0"/>
                                  <w:marBottom w:val="0"/>
                                  <w:divBdr>
                                    <w:top w:val="none" w:sz="0" w:space="0" w:color="auto"/>
                                    <w:left w:val="none" w:sz="0" w:space="0" w:color="auto"/>
                                    <w:bottom w:val="none" w:sz="0" w:space="0" w:color="auto"/>
                                    <w:right w:val="none" w:sz="0" w:space="0" w:color="auto"/>
                                  </w:divBdr>
                                  <w:divsChild>
                                    <w:div w:id="1992782983">
                                      <w:marLeft w:val="0"/>
                                      <w:marRight w:val="0"/>
                                      <w:marTop w:val="0"/>
                                      <w:marBottom w:val="0"/>
                                      <w:divBdr>
                                        <w:top w:val="none" w:sz="0" w:space="0" w:color="auto"/>
                                        <w:left w:val="none" w:sz="0" w:space="0" w:color="auto"/>
                                        <w:bottom w:val="none" w:sz="0" w:space="0" w:color="auto"/>
                                        <w:right w:val="none" w:sz="0" w:space="0" w:color="auto"/>
                                      </w:divBdr>
                                      <w:divsChild>
                                        <w:div w:id="2064912905">
                                          <w:marLeft w:val="0"/>
                                          <w:marRight w:val="0"/>
                                          <w:marTop w:val="0"/>
                                          <w:marBottom w:val="0"/>
                                          <w:divBdr>
                                            <w:top w:val="none" w:sz="0" w:space="0" w:color="auto"/>
                                            <w:left w:val="none" w:sz="0" w:space="0" w:color="auto"/>
                                            <w:bottom w:val="none" w:sz="0" w:space="0" w:color="auto"/>
                                            <w:right w:val="none" w:sz="0" w:space="0" w:color="auto"/>
                                          </w:divBdr>
                                          <w:divsChild>
                                            <w:div w:id="699741184">
                                              <w:marLeft w:val="0"/>
                                              <w:marRight w:val="0"/>
                                              <w:marTop w:val="0"/>
                                              <w:marBottom w:val="0"/>
                                              <w:divBdr>
                                                <w:top w:val="none" w:sz="0" w:space="0" w:color="auto"/>
                                                <w:left w:val="none" w:sz="0" w:space="0" w:color="auto"/>
                                                <w:bottom w:val="none" w:sz="0" w:space="0" w:color="auto"/>
                                                <w:right w:val="none" w:sz="0" w:space="0" w:color="auto"/>
                                              </w:divBdr>
                                            </w:div>
                                            <w:div w:id="14190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476C2FF-6FCA-4E4D-92C0-1B701E20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3502</Words>
  <Characters>18916</Characters>
  <Application>Microsoft Office Word</Application>
  <DocSecurity>0</DocSecurity>
  <Lines>157</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Go to top of the page </vt:lpstr>
      <vt:lpstr>Go to top of the page </vt:lpstr>
    </vt:vector>
  </TitlesOfParts>
  <Company>Pharmabide</Company>
  <LinksUpToDate>false</LinksUpToDate>
  <CharactersWithSpaces>22374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to top of the page</dc:title>
  <dc:creator>Business</dc:creator>
  <cp:lastModifiedBy>user146</cp:lastModifiedBy>
  <cp:revision>2</cp:revision>
  <cp:lastPrinted>2014-03-31T05:35:00Z</cp:lastPrinted>
  <dcterms:created xsi:type="dcterms:W3CDTF">2014-03-31T05:35:00Z</dcterms:created>
  <dcterms:modified xsi:type="dcterms:W3CDTF">2014-03-31T05:35:00Z</dcterms:modified>
</cp:coreProperties>
</file>