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3A" w:rsidRPr="00893AB6" w:rsidRDefault="0019093A" w:rsidP="00FD4F71">
      <w:pPr>
        <w:rPr>
          <w:sz w:val="24"/>
          <w:szCs w:val="24"/>
          <w:lang w:val="en-US"/>
        </w:rPr>
      </w:pPr>
    </w:p>
    <w:p w:rsidR="0019093A" w:rsidRDefault="0019093A" w:rsidP="00FD4F71">
      <w:pPr>
        <w:rPr>
          <w:lang w:val="en-US"/>
        </w:rPr>
      </w:pPr>
    </w:p>
    <w:p w:rsidR="0019093A" w:rsidRPr="001456EE" w:rsidRDefault="0019093A" w:rsidP="00893AB6">
      <w:pPr>
        <w:pBdr>
          <w:top w:val="single" w:sz="4" w:space="1" w:color="auto"/>
          <w:left w:val="single" w:sz="4" w:space="4" w:color="auto"/>
          <w:bottom w:val="single" w:sz="4" w:space="1" w:color="auto"/>
          <w:right w:val="single" w:sz="4" w:space="4" w:color="auto"/>
        </w:pBdr>
        <w:jc w:val="center"/>
        <w:rPr>
          <w:rFonts w:ascii="TimesNewRomanPSMT" w:hAnsi="TimesNewRomanPSMT" w:cs="TimesNewRomanPSMT"/>
          <w:sz w:val="23"/>
          <w:szCs w:val="23"/>
        </w:rPr>
      </w:pPr>
      <w:r>
        <w:rPr>
          <w:rFonts w:ascii="TimesNewRomanPSMT Greek" w:hAnsi="TimesNewRomanPSMT Greek" w:cs="TimesNewRomanPSMT Greek"/>
          <w:sz w:val="23"/>
          <w:szCs w:val="23"/>
        </w:rPr>
        <w:t>ΠΕΡΙΛΗΨΗ ΤΩΝ ΧΑΡΑΚΤΗΡΙΣΤΙΚΩΝ ΤΟΥ ΠΡΟΙΟΝΤΟΣ</w:t>
      </w:r>
    </w:p>
    <w:p w:rsidR="0019093A" w:rsidRPr="003E44F7" w:rsidRDefault="0019093A" w:rsidP="00893AB6">
      <w:pPr>
        <w:spacing w:line="240" w:lineRule="auto"/>
        <w:rPr>
          <w:rFonts w:ascii="TimesNewRomanPSMT" w:hAnsi="TimesNewRomanPSMT" w:cs="TimesNewRomanPSMT"/>
          <w:b/>
          <w:sz w:val="24"/>
          <w:szCs w:val="24"/>
        </w:rPr>
      </w:pPr>
      <w:r w:rsidRPr="003E44F7">
        <w:rPr>
          <w:rFonts w:ascii="TimesNewRomanPSMT" w:hAnsi="TimesNewRomanPSMT" w:cs="TimesNewRomanPSMT"/>
          <w:b/>
          <w:sz w:val="24"/>
          <w:szCs w:val="24"/>
        </w:rPr>
        <w:t xml:space="preserve">                                                                      </w:t>
      </w:r>
      <w:r w:rsidRPr="00893AB6">
        <w:rPr>
          <w:rFonts w:ascii="TimesNewRomanPSMT" w:hAnsi="TimesNewRomanPSMT" w:cs="TimesNewRomanPSMT"/>
          <w:b/>
          <w:sz w:val="24"/>
          <w:szCs w:val="24"/>
          <w:lang w:val="en-US"/>
        </w:rPr>
        <w:t>DEZIAL</w:t>
      </w:r>
      <w:r w:rsidRPr="003E44F7">
        <w:rPr>
          <w:rFonts w:ascii="Times New Roman" w:hAnsi="Times New Roman"/>
          <w:b/>
          <w:sz w:val="24"/>
          <w:szCs w:val="24"/>
          <w:vertAlign w:val="superscript"/>
        </w:rPr>
        <w:t>®</w:t>
      </w:r>
    </w:p>
    <w:p w:rsidR="0019093A" w:rsidRPr="003E44F7" w:rsidRDefault="0019093A" w:rsidP="00893AB6">
      <w:pPr>
        <w:autoSpaceDE w:val="0"/>
        <w:autoSpaceDN w:val="0"/>
        <w:adjustRightInd w:val="0"/>
        <w:spacing w:after="0" w:line="240" w:lineRule="auto"/>
        <w:rPr>
          <w:rFonts w:ascii="Times New Roman" w:hAnsi="Times New Roman" w:cs="TimesNewRomanPSMT Greek"/>
          <w:sz w:val="23"/>
          <w:szCs w:val="23"/>
        </w:rPr>
      </w:pPr>
      <w:r w:rsidRPr="00893AB6">
        <w:rPr>
          <w:rFonts w:ascii="Times New Roman" w:hAnsi="Times New Roman" w:cs="TimesNewRomanPSMT Greek"/>
          <w:sz w:val="23"/>
          <w:szCs w:val="23"/>
        </w:rPr>
        <w:t xml:space="preserve">                                                            </w:t>
      </w:r>
      <w:r>
        <w:rPr>
          <w:rFonts w:ascii="TimesNewRomanPSMT Greek" w:hAnsi="TimesNewRomanPSMT Greek" w:cs="TimesNewRomanPSMT Greek"/>
          <w:sz w:val="23"/>
          <w:szCs w:val="23"/>
        </w:rPr>
        <w:t xml:space="preserve"> (Υδροχλωρική δονεπεζίλη)</w:t>
      </w:r>
      <w:r w:rsidRPr="00893AB6">
        <w:rPr>
          <w:rFonts w:ascii="Times New Roman" w:hAnsi="Times New Roman" w:cs="TimesNewRomanPSMT Greek"/>
          <w:sz w:val="23"/>
          <w:szCs w:val="23"/>
        </w:rPr>
        <w:t xml:space="preserve">    </w:t>
      </w:r>
    </w:p>
    <w:p w:rsidR="0019093A" w:rsidRPr="003E44F7" w:rsidRDefault="0019093A" w:rsidP="00893AB6">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1. ΟΝΟΜΑΣΙΑ ΤΟΥ ΦΑΡΜΑΚΕΥΤΙΚΟΥ ΠΡΟΪΟΝΤΟΣ</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sidRPr="00893AB6">
        <w:rPr>
          <w:rFonts w:ascii="Times New Roman" w:hAnsi="Times New Roman" w:cs="TimesNewRomanPSMT Greek"/>
          <w:sz w:val="23"/>
          <w:szCs w:val="23"/>
        </w:rPr>
        <w:t xml:space="preserve"> </w:t>
      </w:r>
      <w:r>
        <w:rPr>
          <w:rFonts w:ascii="TimesNewRomanPSMT Greek" w:hAnsi="TimesNewRomanPSMT Greek" w:cs="TimesNewRomanPSMT Greek"/>
          <w:sz w:val="23"/>
          <w:szCs w:val="23"/>
        </w:rPr>
        <w:t xml:space="preserve"> </w:t>
      </w:r>
    </w:p>
    <w:p w:rsidR="0019093A" w:rsidRPr="00DB6954" w:rsidRDefault="0019093A" w:rsidP="00FD4F71">
      <w:pPr>
        <w:autoSpaceDE w:val="0"/>
        <w:autoSpaceDN w:val="0"/>
        <w:adjustRightInd w:val="0"/>
        <w:spacing w:after="0" w:line="240" w:lineRule="auto"/>
        <w:rPr>
          <w:rFonts w:ascii="Times New Roman" w:hAnsi="Times New Roman" w:cs="TimesNewRomanPSMT Greek"/>
          <w:sz w:val="23"/>
          <w:szCs w:val="23"/>
        </w:rPr>
      </w:pPr>
      <w:r w:rsidRPr="00893AB6">
        <w:rPr>
          <w:rFonts w:ascii="TimesNewRomanPSMT" w:hAnsi="TimesNewRomanPSMT" w:cs="TimesNewRomanPSMT"/>
          <w:b/>
          <w:lang w:val="en-US"/>
        </w:rPr>
        <w:t>DEZIAL</w:t>
      </w:r>
      <w:r w:rsidRPr="00893AB6">
        <w:rPr>
          <w:rFonts w:ascii="Times New Roman" w:hAnsi="Times New Roman"/>
          <w:b/>
          <w:vertAlign w:val="superscript"/>
        </w:rPr>
        <w:t xml:space="preserve">® </w:t>
      </w:r>
      <w:r>
        <w:rPr>
          <w:rFonts w:ascii="TimesNewRomanPSMT Greek" w:hAnsi="TimesNewRomanPSMT Greek" w:cs="TimesNewRomanPSMT Greek"/>
          <w:sz w:val="23"/>
          <w:szCs w:val="23"/>
        </w:rPr>
        <w:t>5 &amp; 10 mg, επικαλυμμένα με λεπτό υμένιο δισκία</w:t>
      </w:r>
    </w:p>
    <w:p w:rsidR="0019093A" w:rsidRPr="00DB6954"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2. ΠΟΙΟΤΙΚΗ ΚΑΙ ΠΟΣΟΤΙΚΗ ΣΥΝΘΕΣΗ</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Pr="00A56BD2" w:rsidRDefault="0019093A" w:rsidP="00FD4F71">
      <w:pPr>
        <w:autoSpaceDE w:val="0"/>
        <w:autoSpaceDN w:val="0"/>
        <w:adjustRightInd w:val="0"/>
        <w:spacing w:after="0" w:line="240" w:lineRule="auto"/>
        <w:rPr>
          <w:rFonts w:ascii="Times New Roman" w:hAnsi="Times New Roman" w:cs="TimesNewRomanPSMT"/>
          <w:sz w:val="23"/>
          <w:szCs w:val="23"/>
        </w:rPr>
      </w:pPr>
      <w:r>
        <w:rPr>
          <w:rFonts w:ascii="SymbolMT" w:hAnsi="SymbolMT" w:cs="SymbolMT"/>
          <w:sz w:val="23"/>
          <w:szCs w:val="23"/>
        </w:rPr>
        <w:t xml:space="preserve">• </w:t>
      </w:r>
      <w:r>
        <w:rPr>
          <w:rFonts w:ascii="TimesNewRomanPSMT Greek" w:hAnsi="TimesNewRomanPSMT Greek" w:cs="TimesNewRomanPSMT Greek"/>
          <w:sz w:val="23"/>
          <w:szCs w:val="23"/>
        </w:rPr>
        <w:t>Κάθε δισκίο περιέχει 5 mg υδροχλωρικής δονεπεζίλης</w:t>
      </w:r>
      <w:r>
        <w:rPr>
          <w:rFonts w:ascii="Times New Roman" w:hAnsi="Times New Roman" w:cs="TimesNewRomanPSMT Greek"/>
          <w:sz w:val="23"/>
          <w:szCs w:val="23"/>
        </w:rPr>
        <w:t>, που ισοδυναμούν με 4,56</w:t>
      </w:r>
      <w:r w:rsidRPr="000127D6">
        <w:rPr>
          <w:rFonts w:ascii="Times New Roman" w:hAnsi="Times New Roman" w:cs="TimesNewRomanPSMT Greek"/>
          <w:sz w:val="23"/>
          <w:szCs w:val="23"/>
        </w:rPr>
        <w:t xml:space="preserve"> </w:t>
      </w:r>
      <w:r>
        <w:rPr>
          <w:rFonts w:ascii="Times New Roman" w:hAnsi="Times New Roman" w:cs="TimesNewRomanPSMT Greek"/>
          <w:sz w:val="23"/>
          <w:szCs w:val="23"/>
          <w:lang w:val="en-US"/>
        </w:rPr>
        <w:t>mg</w:t>
      </w:r>
      <w:r>
        <w:rPr>
          <w:rFonts w:ascii="Times New Roman" w:hAnsi="Times New Roman" w:cs="TimesNewRomanPSMT Greek"/>
          <w:sz w:val="23"/>
          <w:szCs w:val="23"/>
        </w:rPr>
        <w:t xml:space="preserve"> δονεπεζίλης.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Επίσης περιέχει 8</w:t>
      </w:r>
      <w:r w:rsidRPr="00DB6954">
        <w:rPr>
          <w:rFonts w:ascii="Times New Roman" w:hAnsi="Times New Roman" w:cs="TimesNewRomanPSMT Greek"/>
          <w:sz w:val="23"/>
          <w:szCs w:val="23"/>
        </w:rPr>
        <w:t>2</w:t>
      </w:r>
      <w:r>
        <w:rPr>
          <w:rFonts w:ascii="TimesNewRomanPSMT Greek" w:hAnsi="TimesNewRomanPSMT Greek" w:cs="TimesNewRomanPSMT Greek"/>
          <w:sz w:val="23"/>
          <w:szCs w:val="23"/>
        </w:rPr>
        <w:t>,</w:t>
      </w:r>
      <w:r w:rsidRPr="00DB6954">
        <w:rPr>
          <w:rFonts w:ascii="Times New Roman" w:hAnsi="Times New Roman" w:cs="TimesNewRomanPSMT Greek"/>
          <w:sz w:val="23"/>
          <w:szCs w:val="23"/>
        </w:rPr>
        <w:t>50</w:t>
      </w:r>
      <w:r>
        <w:rPr>
          <w:rFonts w:ascii="TimesNewRomanPSMT Greek" w:hAnsi="TimesNewRomanPSMT Greek" w:cs="TimesNewRomanPSMT Greek"/>
          <w:sz w:val="23"/>
          <w:szCs w:val="23"/>
        </w:rPr>
        <w:t xml:space="preserve"> mg λακτόζης ανά επικαλυμμένο με λεπτό υμένιο δισκίο</w:t>
      </w:r>
    </w:p>
    <w:p w:rsidR="0019093A" w:rsidRPr="00A56BD2" w:rsidRDefault="0019093A" w:rsidP="00FD4F71">
      <w:pPr>
        <w:autoSpaceDE w:val="0"/>
        <w:autoSpaceDN w:val="0"/>
        <w:adjustRightInd w:val="0"/>
        <w:spacing w:after="0" w:line="240" w:lineRule="auto"/>
        <w:rPr>
          <w:rFonts w:ascii="Times New Roman" w:hAnsi="Times New Roman" w:cs="TimesNewRomanPSMT"/>
          <w:sz w:val="23"/>
          <w:szCs w:val="23"/>
        </w:rPr>
      </w:pPr>
      <w:r>
        <w:rPr>
          <w:rFonts w:ascii="SymbolMT" w:hAnsi="SymbolMT" w:cs="SymbolMT"/>
          <w:sz w:val="23"/>
          <w:szCs w:val="23"/>
        </w:rPr>
        <w:t xml:space="preserve">• </w:t>
      </w:r>
      <w:r>
        <w:rPr>
          <w:rFonts w:ascii="TimesNewRomanPSMT Greek" w:hAnsi="TimesNewRomanPSMT Greek" w:cs="TimesNewRomanPSMT Greek"/>
          <w:sz w:val="23"/>
          <w:szCs w:val="23"/>
        </w:rPr>
        <w:t>Κάθε δισκίο περιέχει 10 mg υδροχλωρικής δονεπεζίλης</w:t>
      </w:r>
      <w:r>
        <w:rPr>
          <w:rFonts w:ascii="Times New Roman" w:hAnsi="Times New Roman" w:cs="TimesNewRomanPSMT Greek"/>
          <w:sz w:val="23"/>
          <w:szCs w:val="23"/>
        </w:rPr>
        <w:t>, που ισοδυναμούν με 9,12</w:t>
      </w:r>
      <w:r w:rsidRPr="000127D6">
        <w:rPr>
          <w:rFonts w:ascii="Times New Roman" w:hAnsi="Times New Roman" w:cs="TimesNewRomanPSMT Greek"/>
          <w:sz w:val="23"/>
          <w:szCs w:val="23"/>
        </w:rPr>
        <w:t xml:space="preserve"> </w:t>
      </w:r>
      <w:r>
        <w:rPr>
          <w:rFonts w:ascii="Times New Roman" w:hAnsi="Times New Roman" w:cs="TimesNewRomanPSMT Greek"/>
          <w:sz w:val="23"/>
          <w:szCs w:val="23"/>
          <w:lang w:val="en-US"/>
        </w:rPr>
        <w:t>mg</w:t>
      </w:r>
      <w:r>
        <w:rPr>
          <w:rFonts w:ascii="Times New Roman" w:hAnsi="Times New Roman" w:cs="TimesNewRomanPSMT Greek"/>
          <w:sz w:val="23"/>
          <w:szCs w:val="23"/>
        </w:rPr>
        <w:t xml:space="preserve"> δονεπεζίλης.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Επίσης περιέχει 1</w:t>
      </w:r>
      <w:r w:rsidRPr="00DB6954">
        <w:rPr>
          <w:rFonts w:ascii="Times New Roman" w:hAnsi="Times New Roman" w:cs="TimesNewRomanPSMT Greek"/>
          <w:sz w:val="23"/>
          <w:szCs w:val="23"/>
        </w:rPr>
        <w:t>65</w:t>
      </w:r>
      <w:r>
        <w:rPr>
          <w:rFonts w:ascii="TimesNewRomanPSMT Greek" w:hAnsi="TimesNewRomanPSMT Greek" w:cs="TimesNewRomanPSMT Greek"/>
          <w:sz w:val="23"/>
          <w:szCs w:val="23"/>
        </w:rPr>
        <w:t>,</w:t>
      </w:r>
      <w:r w:rsidRPr="00DB6954">
        <w:rPr>
          <w:rFonts w:ascii="Times New Roman" w:hAnsi="Times New Roman" w:cs="TimesNewRomanPSMT Greek"/>
          <w:sz w:val="23"/>
          <w:szCs w:val="23"/>
        </w:rPr>
        <w:t>00</w:t>
      </w:r>
      <w:r>
        <w:rPr>
          <w:rFonts w:ascii="TimesNewRomanPSMT Greek" w:hAnsi="TimesNewRomanPSMT Greek" w:cs="TimesNewRomanPSMT Greek"/>
          <w:sz w:val="23"/>
          <w:szCs w:val="23"/>
        </w:rPr>
        <w:t xml:space="preserve"> mg λακτόζης ανά επικαλυμμένο με λεπτό υμένιο δισκίο</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Για τον πλήρη κατάλογο των εκδόχων, βλ. παράγραφο 6.1.</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3. ΦΑΡΜΑΚΟΤΕΧΝΙΚΗ ΜΟΡΦΗ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Επικαλυμμένα με λεπτό υμένιο δισκία.</w:t>
      </w:r>
    </w:p>
    <w:p w:rsidR="0019093A" w:rsidRPr="00637692" w:rsidRDefault="0019093A" w:rsidP="00FD4F71">
      <w:pPr>
        <w:autoSpaceDE w:val="0"/>
        <w:autoSpaceDN w:val="0"/>
        <w:adjustRightInd w:val="0"/>
        <w:spacing w:after="0" w:line="240" w:lineRule="auto"/>
        <w:rPr>
          <w:rFonts w:ascii="Times New Roman" w:hAnsi="Times New Roman" w:cs="TimesNewRomanPSMT"/>
          <w:sz w:val="23"/>
          <w:szCs w:val="23"/>
        </w:rPr>
      </w:pPr>
      <w:r>
        <w:rPr>
          <w:rFonts w:ascii="TimesNewRomanPSMT Greek" w:hAnsi="TimesNewRomanPSMT Greek" w:cs="TimesNewRomanPSMT Greek"/>
          <w:sz w:val="23"/>
          <w:szCs w:val="23"/>
        </w:rPr>
        <w:t>Δισκία 5 mg: Λευκά, στρογγυλά</w:t>
      </w:r>
      <w:r w:rsidRPr="00870AF1">
        <w:rPr>
          <w:rFonts w:ascii="Times New Roman" w:hAnsi="Times New Roman" w:cs="TimesNewRomanPSMT Greek"/>
          <w:sz w:val="23"/>
          <w:szCs w:val="23"/>
        </w:rPr>
        <w:t xml:space="preserve"> </w:t>
      </w:r>
      <w:r>
        <w:rPr>
          <w:rFonts w:ascii="TimesNewRomanPSMT Greek" w:hAnsi="TimesNewRomanPSMT Greek" w:cs="TimesNewRomanPSMT Greek"/>
          <w:sz w:val="23"/>
          <w:szCs w:val="23"/>
        </w:rPr>
        <w:t xml:space="preserve"> δισκία</w:t>
      </w:r>
      <w:r w:rsidRPr="00637692">
        <w:rPr>
          <w:rFonts w:ascii="Times New Roman" w:hAnsi="Times New Roman" w:cs="TimesNewRomanPSMT Greek"/>
          <w:sz w:val="23"/>
          <w:szCs w:val="23"/>
        </w:rPr>
        <w:t>.</w:t>
      </w:r>
    </w:p>
    <w:p w:rsidR="0019093A" w:rsidRPr="00637692" w:rsidRDefault="0019093A" w:rsidP="00FD4F71">
      <w:pPr>
        <w:autoSpaceDE w:val="0"/>
        <w:autoSpaceDN w:val="0"/>
        <w:adjustRightInd w:val="0"/>
        <w:spacing w:after="0" w:line="240" w:lineRule="auto"/>
        <w:rPr>
          <w:rFonts w:ascii="Times New Roman" w:hAnsi="Times New Roman" w:cs="TimesNewRomanPSMT"/>
          <w:sz w:val="23"/>
          <w:szCs w:val="23"/>
        </w:rPr>
      </w:pPr>
      <w:r>
        <w:rPr>
          <w:rFonts w:ascii="TimesNewRomanPSMT Greek" w:hAnsi="TimesNewRomanPSMT Greek" w:cs="TimesNewRomanPSMT Greek"/>
          <w:sz w:val="23"/>
          <w:szCs w:val="23"/>
        </w:rPr>
        <w:t xml:space="preserve">Δισκία 10 mg: </w:t>
      </w:r>
      <w:r>
        <w:rPr>
          <w:rFonts w:ascii="Times New Roman" w:hAnsi="Times New Roman" w:cs="TimesNewRomanPSMT Greek"/>
          <w:sz w:val="23"/>
          <w:szCs w:val="23"/>
        </w:rPr>
        <w:t>Λευκά</w:t>
      </w:r>
      <w:r>
        <w:rPr>
          <w:rFonts w:ascii="TimesNewRomanPSMT Greek" w:hAnsi="TimesNewRomanPSMT Greek" w:cs="TimesNewRomanPSMT Greek"/>
          <w:sz w:val="23"/>
          <w:szCs w:val="23"/>
        </w:rPr>
        <w:t>, στρογγυλά, δισκία</w:t>
      </w:r>
      <w:r w:rsidRPr="00637692">
        <w:rPr>
          <w:rFonts w:ascii="Times New Roman" w:hAnsi="Times New Roman" w:cs="TimesNewRomanPSMT Greek"/>
          <w:sz w:val="23"/>
          <w:szCs w:val="23"/>
        </w:rPr>
        <w:t>.</w:t>
      </w: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 ΚΛΙΝΙΚΕΣ ΠΛΗΡΟΦΟΡΙΕΣ</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4.1 Θεραπευτικές ενδείξεις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Τα δισκία DEZIAL ενδείκνυνται για τη συμπτωματική θεραπεία ήπιας έως μέτριας</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βαρύτητας άνοιας Alzheimer.</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4.2 Δοσολογία και τρόπος χορήγησης</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Ενήλικες/Ηλικιωμένοι:</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θεραπεία αρχίζει με χορήγηση 5 mg (εφ’άπαξ ημερήσια δόση).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 DEZIAL πρέπει να λαμβάνεται από το στόμα το βράδυ, αμέσως πριν από την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κατάκλιση. Η ημερήσια δόση των 5 mg πρέπει να διατηρείται για τουλάχιστον 1 μήνα ώστε</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να εκτιμηθεί η αρχική κλινική αντίδραση στη θεραπεία με DEZIAL και να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σταθεροποιηθούν τα επίπεδα συγκέντρωσης της υδροχλωρικής δονεπεζίλης. Μετά από</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εκτίμηση της κλινικής ανταπόκρισης σε θεραπεία ενός μήνα με 5 mg DEZIAL την ημέρα, 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εφ’άπαξ ημερήσια δόση DEZIAL μπορεί να αυξηθεί σε 10 mg. Η μέγιστη ημερήσια</w:t>
      </w:r>
      <w:r w:rsidRPr="00FD4F71">
        <w:rPr>
          <w:rFonts w:ascii="TimesNewRomanPSMT" w:hAnsi="TimesNewRomanPSMT" w:cs="TimesNewRomanPSMT"/>
          <w:sz w:val="23"/>
          <w:szCs w:val="23"/>
        </w:rPr>
        <w:t xml:space="preserve"> </w:t>
      </w:r>
      <w:r>
        <w:rPr>
          <w:rFonts w:ascii="TimesNewRomanPSMT Greek" w:hAnsi="TimesNewRomanPSMT Greek" w:cs="TimesNewRomanPSMT Greek"/>
          <w:sz w:val="23"/>
          <w:szCs w:val="23"/>
        </w:rPr>
        <w:t>συνιστώμενη δόση είναι 10 mg. Δεν έχουν γίνει κλινικές μελέτες με δόσεις μεγαλύτερες των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10 mg την ημέρα.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έναρξη και η παρακολούθηση της θεραπείας πρέπει να γίνεται από ιατρό έμπειρο στην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διάγνωση και την θεραπεία της άνοιας Alzheimer. Η διάγνωση πρέπει να πραγματοποιείται</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σύμφωνα με τα αποδεκτά κριτήρια (π.χ. DSM IV, ICD 10). Η θεραπεία με δονεπεζίλη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πρέπει να αρχίζει μόνο εφόσον υπάρχει άτομο που θα φροντίζει τον ασθενή και θα ελέγχει</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τακτικά τη λήψη του φαρμάκου. Η θεραπεία συντήρησης μπορεί να συνεχίζεται για όσο</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διάστημα υπάρχουν θεραπευτικά οφέλη για τον ασθενή. Κατά συνέπεια, το κλινικό όφελος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της δονεπεζίλης πρέπει να επανεκτιμάται σε τακτική βάση. Η πιθανότητα διακοπής της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θεραπείας πρέπει να εξετάζεται όταν δεν παρατηρείται πλέον θεραπευτική δράση. 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ατομική ανταπόκριση στη δονεπεζίλη δεν είναι δυνατόν να προκαθοριστεί.</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Σε περίπτωση διακοπής του φαρμάκου παρατηρείται μια σταδιακή μείωση των ευεργετικών</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αποτελεσμάτων του DEZIAL.</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401CFF"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042B75"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042B75"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Greek" w:hAnsi="TimesNewRomanPSMT Greek" w:cs="TimesNewRomanPSMT Greek"/>
          <w:sz w:val="23"/>
          <w:szCs w:val="23"/>
          <w:u w:val="single"/>
        </w:rPr>
      </w:pPr>
    </w:p>
    <w:p w:rsidR="0019093A" w:rsidRDefault="0019093A" w:rsidP="00FD4F71">
      <w:pPr>
        <w:autoSpaceDE w:val="0"/>
        <w:autoSpaceDN w:val="0"/>
        <w:adjustRightInd w:val="0"/>
        <w:spacing w:after="0" w:line="240" w:lineRule="auto"/>
        <w:rPr>
          <w:rFonts w:ascii="TimesNewRomanPSMT Greek" w:hAnsi="TimesNewRomanPSMT Greek" w:cs="TimesNewRomanPSMT Greek"/>
          <w:sz w:val="23"/>
          <w:szCs w:val="23"/>
          <w:u w:val="single"/>
        </w:rPr>
      </w:pPr>
    </w:p>
    <w:p w:rsidR="0019093A" w:rsidRPr="000A2324" w:rsidRDefault="0019093A" w:rsidP="00FD4F71">
      <w:pPr>
        <w:autoSpaceDE w:val="0"/>
        <w:autoSpaceDN w:val="0"/>
        <w:adjustRightInd w:val="0"/>
        <w:spacing w:after="0" w:line="240" w:lineRule="auto"/>
        <w:rPr>
          <w:rFonts w:ascii="TimesNewRomanPSMT" w:hAnsi="TimesNewRomanPSMT" w:cs="TimesNewRomanPSMT"/>
          <w:sz w:val="23"/>
          <w:szCs w:val="23"/>
          <w:u w:val="single"/>
        </w:rPr>
      </w:pPr>
      <w:r w:rsidRPr="000A2324">
        <w:rPr>
          <w:rFonts w:ascii="TimesNewRomanPSMT Greek" w:hAnsi="TimesNewRomanPSMT Greek" w:cs="TimesNewRomanPSMT Greek"/>
          <w:sz w:val="23"/>
          <w:szCs w:val="23"/>
          <w:u w:val="single"/>
        </w:rPr>
        <w:t>Νεφρική και ηπατική ανεπάρκεια: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Παρόμοιο δοσολογικό σχήμα είναι δυνατόν να χρησιμοποιηθεί σε ασθενείς με νεφρική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ανεπάρκεια καθώς η κάθαρση της υδροχλωρικής δονεπεζίλης δεν επηρεάζεται από αυτήν την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κατάσταση.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Λόγω της πιθανής αυξημένης έκθεσης στο φάρμακο ασθενών με ήπιας έως μέτριας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βαρύτητας ηπατική ανεπάρκεια (βλέπε παράγραφο 5.2.) αύξηση της δόσης μπορεί να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πραγματοποιηθεί ανάλογα με την ανεκτικότητα του ασθενούς. Δεν υπάρχουν δεδομένα για</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ασθενείς με βαριά ηπατική ανεπάρκεια.</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Χρήση σε Παιδιά:</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Το DEZIAL δεν συνιστάται για χρήση σε παιδιά</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4.3 Αντενδείξεις</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 DEZIAL αντενδείκνυται σε ασθενείς με γνωστή υπερευαισθησία στην υδροχλωρική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δονεπεζίλη, στα παράγωγα πιπεριδίνης ή σε κάποιο από τα έκδοχα που περιέχονται στη</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σύνθεσή του.</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4.4 Ειδικές προειδοποιήσεις και προφυλάξεις κατά τη χρήση</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Η χρήση του DEZIAL σε ασθενείς με βαριάς μορφής άνοια Alzheimer, άλλων μορφών</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άνοιας ή άλλων δυσλειτουργιών της μνήμης (π.χ. εξασθένηση της γνωστικής λειτουργίας</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λόγω ηλικίας), δεν έχει ερευνηθεί.</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Αναισθησία</w:t>
      </w:r>
      <w:r>
        <w:rPr>
          <w:rFonts w:ascii="TimesNewRomanPSMT Greek" w:hAnsi="TimesNewRomanPSMT Greek" w:cs="TimesNewRomanPSMT Greek"/>
          <w:sz w:val="23"/>
          <w:szCs w:val="23"/>
        </w:rPr>
        <w:t>: Το DEZIAL, ως αναστολέας της χολινεστεράσης, είναι πιθανό να επιτείνει την</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μυοχάλαση τύπου σουκινυλοχολίνης κατά τη διάρκεια της αναισθησίας.</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 xml:space="preserve">Καρδιοαγγειακές Καταστάσεις </w:t>
      </w:r>
      <w:r>
        <w:rPr>
          <w:rFonts w:ascii="TimesNewRomanPSMT Greek" w:hAnsi="TimesNewRomanPSMT Greek" w:cs="TimesNewRomanPSMT Greek"/>
          <w:sz w:val="23"/>
          <w:szCs w:val="23"/>
        </w:rPr>
        <w:t>: Λόγω της φαρμακολογικής τους δράσης, οι αναστολείς της</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χολινεστεράσης μπορεί να έχουν παρασυμπαθητικομιμητική δράση στην καρδιακή</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συχνότητα (π.χ. βραδυκαρδία). Η πιθανότητα εμφάνισης της δράσης αυτής μπορεί να είναι</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ιδιαίτερα σημαντική σε ασθενείς με σύνδρομο νοσούντος φλεβόκομβου ή άλλες</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υπερκοιλιακές διαταραχές της καρδιακής αγωγιμότητας, όπως φλεβοκομβοκολπικός ή</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κολποκοιλιακός αποκλεισμός.</w:t>
      </w:r>
      <w:r w:rsidRPr="00FD4F71">
        <w:rPr>
          <w:rFonts w:ascii="TimesNewRomanPSMT" w:hAnsi="TimesNewRomanPSMT" w:cs="TimesNewRomanPSMT"/>
          <w:sz w:val="23"/>
          <w:szCs w:val="23"/>
        </w:rPr>
        <w:t xml:space="preserve"> </w:t>
      </w:r>
      <w:r>
        <w:rPr>
          <w:rFonts w:ascii="TimesNewRomanPSMT Greek" w:hAnsi="TimesNewRomanPSMT Greek" w:cs="TimesNewRomanPSMT Greek"/>
          <w:sz w:val="23"/>
          <w:szCs w:val="23"/>
        </w:rPr>
        <w:t xml:space="preserve">Υπάρχουν αναφορές αιφνίδιας απώλειας συνειδήσεως και </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σπασμών. Κατά τη μελέτη των</w:t>
      </w:r>
      <w:r w:rsidRPr="00776234">
        <w:rPr>
          <w:rFonts w:ascii="Times New Roman" w:hAnsi="Times New Roman" w:cs="TimesNewRomanPSMT Greek"/>
          <w:sz w:val="23"/>
          <w:szCs w:val="23"/>
        </w:rPr>
        <w:t xml:space="preserve"> </w:t>
      </w:r>
      <w:r>
        <w:rPr>
          <w:rFonts w:ascii="TimesNewRomanPSMT Greek" w:hAnsi="TimesNewRomanPSMT Greek" w:cs="TimesNewRomanPSMT Greek"/>
          <w:sz w:val="23"/>
          <w:szCs w:val="23"/>
        </w:rPr>
        <w:t xml:space="preserve">ασθενών αυτών πρέπει να εξετάζεται η πιθανότητα </w:t>
      </w:r>
    </w:p>
    <w:p w:rsidR="0019093A" w:rsidRPr="00776234"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ανάπτυξης κολποκοιλιακού αποκλεισμού</w:t>
      </w:r>
      <w:r w:rsidRPr="00776234">
        <w:rPr>
          <w:rFonts w:ascii="Times New Roman" w:hAnsi="Times New Roman" w:cs="TimesNewRomanPSMT Greek"/>
          <w:sz w:val="23"/>
          <w:szCs w:val="23"/>
        </w:rPr>
        <w:t xml:space="preserve"> </w:t>
      </w:r>
      <w:r>
        <w:rPr>
          <w:rFonts w:ascii="TimesNewRomanPSMT Greek" w:hAnsi="TimesNewRomanPSMT Greek" w:cs="TimesNewRomanPSMT Greek"/>
          <w:sz w:val="23"/>
          <w:szCs w:val="23"/>
        </w:rPr>
        <w:t>ή μακρών διακοπών της αγωγιμότητας</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 xml:space="preserve"> ως συνέπεια διαταραχών του φλεβόκομβου.</w:t>
      </w:r>
    </w:p>
    <w:p w:rsidR="0019093A" w:rsidRPr="003E44F7" w:rsidRDefault="0019093A" w:rsidP="00776234">
      <w:pPr>
        <w:tabs>
          <w:tab w:val="left" w:pos="8690"/>
        </w:tabs>
        <w:autoSpaceDE w:val="0"/>
        <w:autoSpaceDN w:val="0"/>
        <w:adjustRightInd w:val="0"/>
        <w:spacing w:after="0" w:line="240" w:lineRule="auto"/>
        <w:jc w:val="both"/>
        <w:rPr>
          <w:rFonts w:ascii="TimesNewRomanPS-ItalicMT" w:hAnsi="TimesNewRomanPS-ItalicMT" w:cs="TimesNewRomanPS-ItalicMT"/>
          <w:i/>
          <w:iCs/>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 xml:space="preserve">Γαστρεντερικές Καταστάσεις </w:t>
      </w:r>
      <w:r>
        <w:rPr>
          <w:rFonts w:ascii="TimesNewRomanPSMT Greek" w:hAnsi="TimesNewRomanPSMT Greek" w:cs="TimesNewRomanPSMT Greek"/>
          <w:sz w:val="23"/>
          <w:szCs w:val="23"/>
        </w:rPr>
        <w:t>: Ασθενείς με αυξημένο κίνδυνο για εμφάνιση έλκους, π.χ.,</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αυτοί με ιστορικό έλκους ή εκείνοι που λαμβάνουν ταυτόχρονα μη στεροειδή</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αντιφλεγμονώδη φάρμακα, πρέπει να παρακολουθούνται για τυχόν εμφάνιση σχετικών</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συμπτωμάτων. Ωστόσο, οι κλινικές μελέτες με DEZIAL δεν έδειξαν καμία αύξηση, σε</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σχέση με το εικονικό φάρμακο (placebo), της συχνότητας ανάπτυξης πεπτικού έλκους ή</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αιμορραγίας από το γαστρεντερικό στους ασθενείς.</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 xml:space="preserve">Ουροποιογεννητικό </w:t>
      </w:r>
      <w:r>
        <w:rPr>
          <w:rFonts w:ascii="TimesNewRomanPSMT Greek" w:hAnsi="TimesNewRomanPSMT Greek" w:cs="TimesNewRomanPSMT Greek"/>
          <w:sz w:val="23"/>
          <w:szCs w:val="23"/>
        </w:rPr>
        <w:t>: Αν και δεν έχει παρατηρηθεί σε κλινικές μελέτες με DEZIAL, τα</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χολινεργικά φάρμακα μπορούν να προκαλέσουν απόφραξη του αυχένα της ουροδόχου</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κύστης.</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 xml:space="preserve">Νευρολογικές Καταστάσεις </w:t>
      </w:r>
      <w:r>
        <w:rPr>
          <w:rFonts w:ascii="TimesNewRomanPSMT Greek" w:hAnsi="TimesNewRomanPSMT Greek" w:cs="TimesNewRomanPSMT Greek"/>
          <w:sz w:val="23"/>
          <w:szCs w:val="23"/>
        </w:rPr>
        <w:t>: Σπασμοί: Τα χολινεργικά φάρμακα πιστεύεται ότι έχουν τη</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δυνατότητα να προκαλούν γενικευμένους σπασμούς. Ωστόσο, η εμφάνιση σπασμών μπορεί</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επίσης να αποτελεί εκδήλωση της νόσου του Alzheimer.</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Τα χολινομιμητικά μπορεί να έχουν τη δυνατότητα να επιδεινώσουν ή να επάγουν</w:t>
      </w: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r>
        <w:rPr>
          <w:rFonts w:ascii="TimesNewRomanPSMT Greek" w:hAnsi="TimesNewRomanPSMT Greek" w:cs="TimesNewRomanPSMT Greek"/>
          <w:sz w:val="23"/>
          <w:szCs w:val="23"/>
        </w:rPr>
        <w:t>εξωπυραμιδικά συμπτώματα.</w:t>
      </w: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Greek" w:hAnsi="TimesNewRomanPSMT Greek" w:cs="TimesNewRomanPSMT Greek"/>
          <w:sz w:val="23"/>
          <w:szCs w:val="23"/>
        </w:rPr>
      </w:pP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ItalicMT Greek" w:hAnsi="TimesNewRomanPS-ItalicMT Greek" w:cs="TimesNewRomanPS-ItalicMT Greek"/>
          <w:i/>
          <w:iCs/>
          <w:sz w:val="23"/>
          <w:szCs w:val="23"/>
        </w:rPr>
        <w:t xml:space="preserve">Πνευμονικές Καταστάσεις </w:t>
      </w:r>
      <w:r>
        <w:rPr>
          <w:rFonts w:ascii="TimesNewRomanPSMT Greek" w:hAnsi="TimesNewRomanPSMT Greek" w:cs="TimesNewRomanPSMT Greek"/>
          <w:sz w:val="23"/>
          <w:szCs w:val="23"/>
        </w:rPr>
        <w:t>: Λόγω της χολινεργικής δράσης τους, οι αναστολείς της</w:t>
      </w: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χολινεστεράσης πρέπει να συνταγογραφούνται με προσοχή σε ασθενείς με ιστορικό</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Greek"/>
          <w:sz w:val="23"/>
          <w:szCs w:val="23"/>
        </w:rPr>
      </w:pPr>
      <w:r>
        <w:rPr>
          <w:rFonts w:ascii="TimesNewRomanPSMT Greek" w:hAnsi="TimesNewRomanPSMT Greek" w:cs="TimesNewRomanPSMT Greek"/>
          <w:sz w:val="23"/>
          <w:szCs w:val="23"/>
        </w:rPr>
        <w:t>άσθματος ή αποφρακτικής πνευμονοπάθειας.</w:t>
      </w:r>
    </w:p>
    <w:p w:rsidR="0019093A" w:rsidRPr="003E44F7" w:rsidRDefault="0019093A" w:rsidP="00776234">
      <w:pPr>
        <w:tabs>
          <w:tab w:val="left" w:pos="8690"/>
        </w:tabs>
        <w:autoSpaceDE w:val="0"/>
        <w:autoSpaceDN w:val="0"/>
        <w:adjustRightInd w:val="0"/>
        <w:spacing w:after="0" w:line="240" w:lineRule="auto"/>
        <w:jc w:val="both"/>
        <w:rPr>
          <w:rFonts w:ascii="Times New Roman" w:hAnsi="Times New Roman" w:cs="TimesNewRomanPSMT"/>
          <w:sz w:val="23"/>
          <w:szCs w:val="23"/>
        </w:rPr>
      </w:pPr>
    </w:p>
    <w:p w:rsidR="0019093A" w:rsidRDefault="0019093A" w:rsidP="00776234">
      <w:pPr>
        <w:tabs>
          <w:tab w:val="left" w:pos="8690"/>
        </w:tabs>
        <w:autoSpaceDE w:val="0"/>
        <w:autoSpaceDN w:val="0"/>
        <w:adjustRightInd w:val="0"/>
        <w:spacing w:after="0" w:line="240" w:lineRule="auto"/>
        <w:jc w:val="both"/>
        <w:rPr>
          <w:rFonts w:ascii="TimesNewRomanPSMT" w:hAnsi="TimesNewRomanPSMT" w:cs="TimesNewRomanPSMT"/>
          <w:sz w:val="23"/>
          <w:szCs w:val="23"/>
        </w:rPr>
      </w:pPr>
      <w:r>
        <w:rPr>
          <w:rFonts w:ascii="TimesNewRomanPSMT Greek" w:hAnsi="TimesNewRomanPSMT Greek" w:cs="TimesNewRomanPSMT Greek"/>
          <w:sz w:val="23"/>
          <w:szCs w:val="23"/>
        </w:rPr>
        <w:t>Η ταυτόχρονη χορήγηση του DEZIAL με άλλους αναστολείς της ακετυλοχολινεστεράσης,</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αγωνιστές ή ανταγωνιστές του χολινεργικού συστήματος πρέπει να αποφεύγεται.</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ItalicMT Greek" w:hAnsi="TimesNewRomanPS-ItalicMT Greek" w:cs="TimesNewRomanPS-ItalicMT Greek"/>
          <w:i/>
          <w:iCs/>
          <w:sz w:val="23"/>
          <w:szCs w:val="23"/>
        </w:rPr>
        <w:t>Βαριάς μορφής ηπατική ανεπάρκεια</w:t>
      </w:r>
      <w:r>
        <w:rPr>
          <w:rFonts w:ascii="TimesNewRomanPSMT Greek" w:hAnsi="TimesNewRomanPSMT Greek" w:cs="TimesNewRomanPSMT Greek"/>
          <w:sz w:val="23"/>
          <w:szCs w:val="23"/>
        </w:rPr>
        <w:t>: Δεν υπάρχουν στοιχεία για ασθενείς με βαριάς μορφής</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ηπατική ανεπάρκεια.</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BoldMT Greek" w:hAnsi="TimesNewRomanPS-BoldMT Greek" w:cs="TimesNewRomanPS-BoldMT Greek"/>
          <w:b/>
          <w:bCs/>
          <w:sz w:val="23"/>
          <w:szCs w:val="23"/>
        </w:rPr>
        <w:t xml:space="preserve">Αυτό το φαρμακευτικό προϊόν περιέχει λακτόζη. </w:t>
      </w:r>
      <w:r>
        <w:rPr>
          <w:rFonts w:ascii="TimesNewRomanPSMT Greek" w:hAnsi="TimesNewRomanPSMT Greek" w:cs="TimesNewRomanPSMT Greek"/>
          <w:sz w:val="23"/>
          <w:szCs w:val="23"/>
        </w:rPr>
        <w:t>Οι ασθενείς με σπάνια κληρονομικά</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προβλήματα δυσανεξίας στην γαλακτόζη, σε έλλειψη λακτάσης Lapp ή σε δυσαπορρόφηση</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γλυκόζης-γαλακτόζης, δεν θα πρέπει να λαμβάνουν αυτό το φάρμακο.</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NewRomanPS-BoldItalicMT" w:hAnsi="TimesNewRomanPS-BoldItalicMT" w:cs="TimesNewRomanPS-BoldItalicMT"/>
          <w:b/>
          <w:bCs/>
          <w:i/>
          <w:iCs/>
          <w:sz w:val="23"/>
          <w:szCs w:val="23"/>
        </w:rPr>
      </w:pPr>
      <w:r>
        <w:rPr>
          <w:rFonts w:ascii="TimesNewRomanPS-BoldItalicMT Gr" w:hAnsi="TimesNewRomanPS-BoldItalicMT Gr" w:cs="TimesNewRomanPS-BoldItalicMT Gr"/>
          <w:b/>
          <w:bCs/>
          <w:i/>
          <w:iCs/>
          <w:sz w:val="23"/>
          <w:szCs w:val="23"/>
        </w:rPr>
        <w:t>Èíçóéìüôçôá óå ÊëéíéêÝò ÄïêéìÝò  ÁããåéáêÞò  ¢íïéáò</w:t>
      </w:r>
    </w:p>
    <w:p w:rsidR="0019093A" w:rsidRPr="003E44F7" w:rsidRDefault="0019093A" w:rsidP="00FD4F71">
      <w:pPr>
        <w:autoSpaceDE w:val="0"/>
        <w:autoSpaceDN w:val="0"/>
        <w:adjustRightInd w:val="0"/>
        <w:spacing w:after="0" w:line="240" w:lineRule="auto"/>
        <w:rPr>
          <w:rFonts w:ascii="TimesNewRomanPS-BoldItalicMT" w:hAnsi="TimesNewRomanPS-BoldItalicMT" w:cs="TimesNewRomanPS-BoldItalicMT"/>
          <w:b/>
          <w:bCs/>
          <w:i/>
          <w:i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Διεξήχθησαν τρεις κλινικές δοκιμές, διάρκειας 6 μηνών, στις οποίες μελετήθηκαν άτομα που</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πληρούσαν τα διαγνωστικά κριτήρια NINDS-AIREN, για πολύ πιθανή ή πιθανή αγγειακή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άνοια (VaD-Vascular dementia). Τα κριτήρια NINDS-AIREN είναι σχεδιασμένα να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αναγνωρίζουν ασθενείς των οποίων η άνοια φαίνεται να οφείλεται μόνο σε αγγειακά αίτια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και να αποκλείουν ασθενείς με νόσο του Alzheimer. Στην πρώτη μελέτη, τα ποσοστά</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θνησιμότητας ήταν 2/198 (1,0%) υπό θεραπεία με υδροχλωρική δονεπεζίλη 5mg, 5/206</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(2,4%) υπό θεραπεία με υδροχλωρική δονεπεζίλη 10mg και 7/199 (3,5%) υπό θεραπεία με</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εικονικό φάρμακο. Στη δεύτερη μελέτη, τα ποσοστά θνησιμότητας ήταν 4/208 (1,9%) υπό</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θεραπεία με υδροχλωρική δονεπεζίλη 5mg, 3/215 (1,4%) υπό θεραπεία με υδροχλωρική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δονεπεζίλη 10mg και 1/193 (0,5%) υπό θεραπεία με εικονικό φάρμακο. Στην τρίτη μελέτη,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τα ποσοστά θνησιμότητας ήταν 11/648 (1,7%) υπό θεραπεία με υδροχλωρική δονεπεζίλη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5mg και 0/326 (0%) υπό θεραπεία με εικονικό φάρμακο (p&lt;0,02). Το ποσοστό θνησιμότητας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για τις τρεις συνδυασμένες μελέτες VaD στην ομάδα υδροχλωρικής δονεπεζίλης (1,7%)</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ήταν αριθμητικά υψηλότερο από αυτό της ομάδας υπό θεραπεία με εικονικό φάρμακο</w:t>
      </w:r>
      <w:r w:rsidRPr="00FD4F71">
        <w:rPr>
          <w:rFonts w:ascii="TimesNewRomanPSMT" w:hAnsi="TimesNewRomanPSMT" w:cs="TimesNewRomanPSMT"/>
          <w:sz w:val="23"/>
          <w:szCs w:val="23"/>
        </w:rPr>
        <w:t xml:space="preserve">. </w:t>
      </w:r>
      <w:r w:rsidRPr="00FD4F71">
        <w:rPr>
          <w:rFonts w:ascii="TimesNewRomanPSMT" w:hAnsi="TimesNewRomanPSMT" w:cs="TimesNewRomanPSMT"/>
          <w:sz w:val="20"/>
          <w:szCs w:val="20"/>
        </w:rPr>
        <w:t xml:space="preserve"> </w:t>
      </w:r>
      <w:r>
        <w:rPr>
          <w:rFonts w:ascii="TimesNewRomanPSMT Greek" w:hAnsi="TimesNewRomanPSMT Greek" w:cs="TimesNewRomanPSMT Greek"/>
          <w:sz w:val="23"/>
          <w:szCs w:val="23"/>
        </w:rPr>
        <w:t>(1,1%), ωστόσο, η διαφορά αυτή δεν ήταν στατιστικά σημαντική. Η πλειοψηφία των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θανάτων σε ασθενείς που λάμβαναν είτε υδροχλωρική δονεπεζίλη ή εικονικό φάρμακο,</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φαίνεται ότι απορρέει από διάφορες αγγειακά συσχετιζόμενες αιτίες, που θα μπορούσαν να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είναι αναμενόμενες σε αυτόν τον ηλικιωμένο πληθυσμό με υποκείμενη αγγειακή νόσο. Μία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ανάλυση όλων των σοβαρών, μη-θανατηφόρων και θανατηφόρων αγγειακών συμβαμάτων,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δεν υπέδειξε διαφορά στο ποσοστό εμφάνισης στην ομάδα υδροχλωρικής δονεπεζίλης, σε</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σχέση με την ομάδα υπό θεραπεία με εικονικό φάρμακο.</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Σε αθροιστικές μελέτες της νόσου Alzheimer (n=4146) και όταν αυτές οι μελέτες της νόσου</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Alzheimer αθροιστήκαν με άλλες μελέτες άνοιας, συμπεριλαμβανομένων των μελετών για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την αγγειακή άνοια (σύνολο n=6888), το ποσοστό θνησιμότητας στις ομάδες υπό θεραπεία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 εικονικό φάρμακο, υπερέβαινε αριθμητικά το ποσοστό των ομάδων υπό θεραπεία με</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υδροχλωρική δονεπεζίλη.</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4.5 Αλληλεπιδράσεις με άλλα φαρμακευτικά προϊόντα και άλλες μορφές</w:t>
      </w: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αλληλεπίδρασης</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υδροχλωρική δονεπεζίλη και/ή οι μεταβολίτες της δεν αναστέλλουν τον μεταβολισμό της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θεοφυλλίνης, βαρφαρίνης, σιμετιδίνης ή διγοξίνης στον άνθρωπο. Ο μεταβολισμός της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υδροχλωρικής δονεπεζίλης δεν επηρεάζεται από την ταυτόχρονη χορήγηση σιμετιδίνης 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διγοξίνης. Μελέτες </w:t>
      </w:r>
      <w:r>
        <w:rPr>
          <w:rFonts w:ascii="TimesNewRomanPS-ItalicMT" w:hAnsi="TimesNewRomanPS-ItalicMT" w:cs="TimesNewRomanPS-ItalicMT"/>
          <w:i/>
          <w:iCs/>
          <w:sz w:val="23"/>
          <w:szCs w:val="23"/>
        </w:rPr>
        <w:t xml:space="preserve">in vitro </w:t>
      </w:r>
      <w:r>
        <w:rPr>
          <w:rFonts w:ascii="TimesNewRomanPSMT Greek" w:hAnsi="TimesNewRomanPSMT Greek" w:cs="TimesNewRomanPSMT Greek"/>
          <w:sz w:val="23"/>
          <w:szCs w:val="23"/>
        </w:rPr>
        <w:t>έχουν δείξει ότι στο μεταβολισμό της δονεπεζίλης εμπλέκονται</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τα ισοένζυμα 3Α4 του κυτοχρώματος P450 και σε μικρότερο βαθμό τα ισοένζυμα 2D6.</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Μελέτες αλληλεπιδράσεων που πραγματοποιήθηκαν </w:t>
      </w:r>
      <w:r>
        <w:rPr>
          <w:rFonts w:ascii="TimesNewRomanPS-ItalicMT" w:hAnsi="TimesNewRomanPS-ItalicMT" w:cs="TimesNewRomanPS-ItalicMT"/>
          <w:i/>
          <w:iCs/>
          <w:sz w:val="23"/>
          <w:szCs w:val="23"/>
        </w:rPr>
        <w:t xml:space="preserve">in vitro </w:t>
      </w:r>
      <w:r>
        <w:rPr>
          <w:rFonts w:ascii="TimesNewRomanPSMT Greek" w:hAnsi="TimesNewRomanPSMT Greek" w:cs="TimesNewRomanPSMT Greek"/>
          <w:sz w:val="23"/>
          <w:szCs w:val="23"/>
        </w:rPr>
        <w:t>δείχνουν ότι η κετοκοναζόλη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και η κινιδίνη, ουσίες-αναστολείς των CYP 3Α4 και 2D6 αντίστοιχα, αναστέλλουν τον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μεταβολισμό της δονεπεζίλης. Επομένως, αυτές και άλλες ουσίες-αναστολείς του CYP 3Α4,</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όπως η ιτρακοναζόλη και η ερυθρομυκίνη, καθώς και αναστολείς του CYP 2D6, όπως η</w:t>
      </w:r>
    </w:p>
    <w:p w:rsidR="0019093A" w:rsidRPr="00E71BB4"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φλουοξετίνη μπορούν να αναστείλουν το μεταβολισμό της δονεπεζίλης.</w:t>
      </w: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 xml:space="preserve"> </w:t>
      </w: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Pr="00AB3CDC" w:rsidRDefault="0019093A" w:rsidP="00FD4F71">
      <w:pPr>
        <w:autoSpaceDE w:val="0"/>
        <w:autoSpaceDN w:val="0"/>
        <w:adjustRightInd w:val="0"/>
        <w:spacing w:after="0" w:line="240" w:lineRule="auto"/>
        <w:rPr>
          <w:rFonts w:ascii="Times New Roman" w:hAnsi="Times New Roman" w:cs="TimesNewRomanPSMT Greek"/>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Σε μία μελέτη με</w:t>
      </w:r>
      <w:r w:rsidRPr="00E71BB4">
        <w:rPr>
          <w:rFonts w:ascii="Times New Roman" w:hAnsi="Times New Roman" w:cs="TimesNewRomanPSMT Greek"/>
          <w:sz w:val="23"/>
          <w:szCs w:val="23"/>
        </w:rPr>
        <w:t xml:space="preserve"> </w:t>
      </w:r>
      <w:r>
        <w:rPr>
          <w:rFonts w:ascii="TimesNewRomanPSMT Greek" w:hAnsi="TimesNewRomanPSMT Greek" w:cs="TimesNewRomanPSMT Greek"/>
          <w:sz w:val="23"/>
          <w:szCs w:val="23"/>
        </w:rPr>
        <w:t>υγιείς εθελοντές, η κετοκοναζόλη αύξησε τη μέση συγκέντρωση της δονεπεζίλης περίπουκατά 30 %. Επαγωγείς ενζύμων, όπως η ριφαμπικίνη, η φαινυτοϊνη, η καρβαμαζεπίνη και το</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οινόπνευμα μπορεί να μειώσουν τα επίπεδα της δονεπεζίλης. Μια και το μέγεθος ενός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ανασταλτικού ή επαγωγικού αποτελέσματος δεν είναι γνωστό, τέτοιοι συνδυασμοί</w:t>
      </w:r>
    </w:p>
    <w:p w:rsidR="0019093A" w:rsidRPr="00E71BB4"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φαρμάκων πρέπει να χρησιμοποιούνται με προσοχή.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υδροχλωρική δονεπεζίλη μπορεί να αλληλεπιδράσει με φάρμακα που έχουν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αντιχολινεργική δράση. Υπάρχει επίσης η πιθανότητα συνεργικής δράσης σε ταυτόχρονη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θεραπεία που περιλαμβάνει φάρμακα, όπως σουκινυλοχολίνη και άλλους αναστολείς της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νευρομυϊκής σύναψης ή χολινεργικούς αγωνιστές ή βήτα αναστολείς, που έχουν επίδραση</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στην καρδιακή αγωγιμότητα.</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4.6 Κύηση και γαλουχία</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Χρήση στην κύηση: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Δεν υπάρχουν επαρκή δεδομένα από τη χρήση της δονεπεζίλης σε έγκυες γυναίκες.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Μελέτες σε ζώα, δεν έχουν παρουσιάσει τερατογόνο δράση, αλλά έχουν δείξει περί- και</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μεταγεννητική τοξικότητα (βλέπε παράγραφο 5.3 Προκλινικά δεδομένα για την ασφάλεια). Ο</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ενδεχόμενος κίνδυνος για τους ανθρώπους είναι άγνωστος.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 DEZIAL δεν πρέπει να χρησιμοποιείται κατά τη διάρκεια της κύησης, εκτός αν είναι</w:t>
      </w:r>
    </w:p>
    <w:p w:rsidR="0019093A" w:rsidRPr="003E44F7" w:rsidRDefault="0019093A" w:rsidP="00FD4F71">
      <w:pPr>
        <w:autoSpaceDE w:val="0"/>
        <w:autoSpaceDN w:val="0"/>
        <w:adjustRightInd w:val="0"/>
        <w:spacing w:after="0" w:line="240" w:lineRule="auto"/>
        <w:rPr>
          <w:rFonts w:ascii="TimesNewRomanPSMT" w:hAnsi="TimesNewRomanPSMT" w:cs="TimesNewRomanPSMT"/>
          <w:sz w:val="17"/>
          <w:szCs w:val="17"/>
        </w:rPr>
      </w:pPr>
      <w:r>
        <w:rPr>
          <w:rFonts w:ascii="TimesNewRomanPSMT Greek" w:hAnsi="TimesNewRomanPSMT Greek" w:cs="TimesNewRomanPSMT Greek"/>
          <w:sz w:val="23"/>
          <w:szCs w:val="23"/>
        </w:rPr>
        <w:t>απολύτως απαραίτητο</w:t>
      </w:r>
      <w:r>
        <w:rPr>
          <w:rFonts w:ascii="TimesNewRomanPSMT" w:hAnsi="TimesNewRomanPSMT" w:cs="TimesNewRomanPSMT"/>
          <w:sz w:val="17"/>
          <w:szCs w:val="17"/>
        </w:rPr>
        <w:t>.</w:t>
      </w:r>
      <w:r w:rsidRPr="00FD4F71">
        <w:rPr>
          <w:rFonts w:ascii="TimesNewRomanPSMT" w:hAnsi="TimesNewRomanPSMT" w:cs="TimesNewRomanPSMT"/>
          <w:sz w:val="17"/>
          <w:szCs w:val="17"/>
        </w:rPr>
        <w:t xml:space="preserve"> </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Χρήση στη γαλουχία:</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δονεπεζίλη απεκκρίνεται στο γάλα των αρουραίων. Δεν είναι γνωστό εάν η υδροχλωρική</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δονεπεζίλη απεκκρίνεται στο ανθρώπινο γάλα και δεν υπάρχουν μελέτες σε θηλάζουσες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μητέρες. Κατά συνέπεια το DEZIAL δεν πρέπει να χρησιμοποιείται από τη θηλάζουσα</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μητέρα.</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4.7 Επιδράσεις στην ικανότητα οδήγησης και χειρισμού μηχανών</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δονεπεζίλη έχει μικρή ή μέτρια επίδραση στην ικανότητα οδήγησης και χειρισμού</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μηχανών.</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άνοια μπορεί να προκαλέσει μείωση της ικανότητας οδήγησης ή χειρισμού μηχανών.</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Επιπλέον, η δονεπεζίλη μπορεί να προκαλέσει κόπωση, ζάλη και μυϊκές κράμπες, κυρίως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όταν ξεκινά η θεραπεία ή αυξάνεται η δόση. Ο θεράποντας ιατρός θα πρέπει να εκτιμά ανά</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τακτά διαστήματα την ικανότητα των ασθενών που βρίσκονται υπό θεραπεία με δονεπεζίλη,</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να συνεχίσουν να οδηγούν ή να χειρίζονται πολύπλοκες μηχανές.</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Pr="003E44F7" w:rsidRDefault="0019093A" w:rsidP="00FD4F71">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4.8 Ανεπιθύμητες ενέργειες</w:t>
      </w:r>
    </w:p>
    <w:p w:rsidR="0019093A" w:rsidRPr="003E44F7" w:rsidRDefault="0019093A" w:rsidP="00FD4F71">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Οι πιο συχνές ανεπιθύμητες ενέργειες είναι διάρροια, μυϊκές κράμπες, κόπωση, ναυτία,</w:t>
      </w:r>
    </w:p>
    <w:p w:rsidR="0019093A" w:rsidRPr="003E44F7" w:rsidRDefault="0019093A" w:rsidP="00FD4F71">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εμετός και αϋπνία.</w:t>
      </w:r>
    </w:p>
    <w:p w:rsidR="0019093A" w:rsidRPr="003E44F7" w:rsidRDefault="0019093A" w:rsidP="00FD4F71">
      <w:pPr>
        <w:autoSpaceDE w:val="0"/>
        <w:autoSpaceDN w:val="0"/>
        <w:adjustRightInd w:val="0"/>
        <w:spacing w:after="0" w:line="240" w:lineRule="auto"/>
        <w:rPr>
          <w:rFonts w:ascii="Times New Roman" w:hAnsi="Times New Roman" w:cs="TimesNewRomanPSMT"/>
          <w:sz w:val="23"/>
          <w:szCs w:val="23"/>
        </w:rPr>
      </w:pP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Ανεπιθύμητες ενέργειες που αναφέρθηκαν σε περισσότερες από μία μεμονωμένες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περιπτώσεις, κατατάσσονται παρακάτω, ανά οργανικό σύστημα και ανάλογα με τη</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συχνότητα εμφάνισης τους σε: πολύ συχνές (</w:t>
      </w:r>
      <w:r>
        <w:rPr>
          <w:rFonts w:ascii="ArialUnicodeMS" w:eastAsia="ArialUnicodeMS" w:hAnsi="TimesNewRomanPSMT" w:cs="ArialUnicodeMS" w:hint="eastAsia"/>
          <w:sz w:val="23"/>
          <w:szCs w:val="23"/>
        </w:rPr>
        <w:t>≥</w:t>
      </w:r>
      <w:r>
        <w:rPr>
          <w:rFonts w:ascii="ArialUnicodeMS" w:eastAsia="ArialUnicodeMS" w:hAnsi="TimesNewRomanPSMT" w:cs="ArialUnicodeMS"/>
          <w:sz w:val="23"/>
          <w:szCs w:val="23"/>
        </w:rPr>
        <w:t xml:space="preserve"> </w:t>
      </w:r>
      <w:r>
        <w:rPr>
          <w:rFonts w:ascii="TimesNewRomanPSMT Greek" w:hAnsi="TimesNewRomanPSMT Greek" w:cs="TimesNewRomanPSMT Greek"/>
          <w:sz w:val="23"/>
          <w:szCs w:val="23"/>
        </w:rPr>
        <w:t>1/10), συχνές (</w:t>
      </w:r>
      <w:r>
        <w:rPr>
          <w:rFonts w:ascii="ArialUnicodeMS" w:eastAsia="ArialUnicodeMS" w:hAnsi="TimesNewRomanPSMT" w:cs="ArialUnicodeMS" w:hint="eastAsia"/>
          <w:sz w:val="23"/>
          <w:szCs w:val="23"/>
        </w:rPr>
        <w:t>≥</w:t>
      </w:r>
      <w:r>
        <w:rPr>
          <w:rFonts w:ascii="ArialUnicodeMS" w:eastAsia="ArialUnicodeMS" w:hAnsi="TimesNewRomanPSMT" w:cs="ArialUnicodeMS"/>
          <w:sz w:val="23"/>
          <w:szCs w:val="23"/>
        </w:rPr>
        <w:t xml:space="preserve"> </w:t>
      </w:r>
      <w:r>
        <w:rPr>
          <w:rFonts w:ascii="TimesNewRomanPSMT Greek" w:hAnsi="TimesNewRomanPSMT Greek" w:cs="TimesNewRomanPSMT Greek"/>
          <w:sz w:val="23"/>
          <w:szCs w:val="23"/>
        </w:rPr>
        <w:t>1/100, &lt;1/10), όχι συχνές</w:t>
      </w:r>
    </w:p>
    <w:p w:rsidR="0019093A" w:rsidRDefault="0019093A" w:rsidP="00FD4F71">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w:t>
      </w:r>
      <w:r>
        <w:rPr>
          <w:rFonts w:ascii="ArialUnicodeMS" w:eastAsia="ArialUnicodeMS" w:hAnsi="TimesNewRomanPSMT" w:cs="ArialUnicodeMS" w:hint="eastAsia"/>
          <w:sz w:val="23"/>
          <w:szCs w:val="23"/>
        </w:rPr>
        <w:t>≥</w:t>
      </w:r>
      <w:r>
        <w:rPr>
          <w:rFonts w:ascii="ArialUnicodeMS" w:eastAsia="ArialUnicodeMS" w:hAnsi="TimesNewRomanPSMT" w:cs="ArialUnicodeMS"/>
          <w:sz w:val="23"/>
          <w:szCs w:val="23"/>
        </w:rPr>
        <w:t xml:space="preserve"> </w:t>
      </w:r>
      <w:r>
        <w:rPr>
          <w:rFonts w:ascii="TimesNewRomanPSMT Greek" w:hAnsi="TimesNewRomanPSMT Greek" w:cs="TimesNewRomanPSMT Greek"/>
          <w:sz w:val="23"/>
          <w:szCs w:val="23"/>
        </w:rPr>
        <w:t>1/1000, &lt;1/100), σπάνιες (</w:t>
      </w:r>
      <w:r>
        <w:rPr>
          <w:rFonts w:ascii="ArialUnicodeMS" w:eastAsia="ArialUnicodeMS" w:hAnsi="TimesNewRomanPSMT" w:cs="ArialUnicodeMS" w:hint="eastAsia"/>
          <w:sz w:val="23"/>
          <w:szCs w:val="23"/>
        </w:rPr>
        <w:t>≥</w:t>
      </w:r>
      <w:r>
        <w:rPr>
          <w:rFonts w:ascii="ArialUnicodeMS" w:eastAsia="ArialUnicodeMS" w:hAnsi="TimesNewRomanPSMT" w:cs="ArialUnicodeMS"/>
          <w:sz w:val="23"/>
          <w:szCs w:val="23"/>
        </w:rPr>
        <w:t xml:space="preserve"> </w:t>
      </w:r>
      <w:r>
        <w:rPr>
          <w:rFonts w:ascii="TimesNewRomanPSMT Greek" w:hAnsi="TimesNewRomanPSMT Greek" w:cs="TimesNewRomanPSMT Greek"/>
          <w:sz w:val="23"/>
          <w:szCs w:val="23"/>
        </w:rPr>
        <w:t>1/10000, &lt;1/1000), πολύ σπάνιες (&lt;1/10000) και άγνωστη</w:t>
      </w:r>
    </w:p>
    <w:p w:rsidR="0019093A" w:rsidRPr="001456EE" w:rsidRDefault="0019093A" w:rsidP="00FD4F71">
      <w:pPr>
        <w:rPr>
          <w:rFonts w:ascii="TimesNewRomanPSMT" w:hAnsi="TimesNewRomanPSMT" w:cs="TimesNewRomanPSMT"/>
          <w:sz w:val="23"/>
          <w:szCs w:val="23"/>
        </w:rPr>
      </w:pPr>
      <w:r>
        <w:rPr>
          <w:rFonts w:ascii="TimesNewRomanPSMT Greek" w:hAnsi="TimesNewRomanPSMT Greek" w:cs="TimesNewRomanPSMT Greek"/>
          <w:sz w:val="23"/>
          <w:szCs w:val="23"/>
        </w:rPr>
        <w:t>(δεν μπορεί να υπολογιστεί από τα διαθέσιμα στοιχεία).</w:t>
      </w:r>
    </w:p>
    <w:p w:rsidR="0019093A" w:rsidRPr="001456EE" w:rsidRDefault="0019093A" w:rsidP="00FD4F71">
      <w:pPr>
        <w:rPr>
          <w:rFonts w:ascii="TimesNewRomanPSMT" w:hAnsi="TimesNewRomanPSMT" w:cs="TimesNewRomanPSMT"/>
          <w:sz w:val="23"/>
          <w:szCs w:val="23"/>
        </w:rPr>
      </w:pPr>
    </w:p>
    <w:p w:rsidR="0019093A" w:rsidRPr="001456EE" w:rsidRDefault="0019093A" w:rsidP="00FD4F71">
      <w:pPr>
        <w:rPr>
          <w:rFonts w:ascii="TimesNewRomanPSMT" w:hAnsi="TimesNewRomanPSMT" w:cs="TimesNewRomanPSMT"/>
          <w:sz w:val="23"/>
          <w:szCs w:val="23"/>
        </w:rPr>
      </w:pPr>
    </w:p>
    <w:p w:rsidR="0019093A" w:rsidRPr="001456EE" w:rsidRDefault="0019093A" w:rsidP="00FD4F71">
      <w:pPr>
        <w:rPr>
          <w:rFonts w:ascii="TimesNewRomanPSMT" w:hAnsi="TimesNewRomanPSMT" w:cs="TimesNewRomanPSMT"/>
          <w:sz w:val="23"/>
          <w:szCs w:val="23"/>
        </w:rPr>
      </w:pPr>
    </w:p>
    <w:p w:rsidR="0019093A" w:rsidRPr="003E44F7" w:rsidRDefault="0019093A" w:rsidP="00FD4F71">
      <w:pPr>
        <w:rPr>
          <w:rFonts w:ascii="TimesNewRomanPSMT" w:hAnsi="TimesNewRomanPSMT" w:cs="TimesNewRomanPSMT"/>
          <w:sz w:val="23"/>
          <w:szCs w:val="23"/>
        </w:rPr>
      </w:pPr>
    </w:p>
    <w:p w:rsidR="0019093A" w:rsidRPr="003E44F7" w:rsidRDefault="0019093A" w:rsidP="00FD4F71">
      <w:pPr>
        <w:rPr>
          <w:rFonts w:ascii="TimesNewRomanPSMT" w:hAnsi="TimesNewRomanPSMT" w:cs="TimesNewRomanPSMT"/>
          <w:sz w:val="23"/>
          <w:szCs w:val="23"/>
        </w:rPr>
      </w:pPr>
    </w:p>
    <w:p w:rsidR="0019093A" w:rsidRPr="003E44F7" w:rsidRDefault="0019093A" w:rsidP="00FD4F71">
      <w:pPr>
        <w:rPr>
          <w:rFonts w:ascii="TimesNewRomanPSMT" w:hAnsi="TimesNewRomanPSMT" w:cs="TimesNewRomanPSMT"/>
          <w:sz w:val="23"/>
          <w:szCs w:val="23"/>
        </w:rPr>
      </w:pPr>
    </w:p>
    <w:p w:rsidR="0019093A" w:rsidRPr="003E44F7" w:rsidRDefault="0019093A" w:rsidP="00FD4F71">
      <w:pPr>
        <w:rPr>
          <w:rFonts w:ascii="TimesNewRomanPSMT" w:hAnsi="TimesNewRomanPSMT" w:cs="TimesNewRomanPSMT"/>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BoldMT" w:hAnsi="TimesNewRomanPS-BoldMT" w:cs="TimesNewRomanPS-BoldMT"/>
                <w:b/>
                <w:bCs/>
                <w:sz w:val="23"/>
                <w:szCs w:val="23"/>
              </w:rPr>
            </w:pPr>
            <w:r w:rsidRPr="001E3251">
              <w:rPr>
                <w:rFonts w:ascii="TimesNewRomanPS-BoldMT Greek" w:hAnsi="TimesNewRomanPS-BoldMT Greek" w:cs="TimesNewRomanPS-BoldMT Greek"/>
                <w:b/>
                <w:bCs/>
                <w:sz w:val="23"/>
                <w:szCs w:val="23"/>
              </w:rPr>
              <w:t>Οργανικό σύστημα</w:t>
            </w:r>
          </w:p>
        </w:tc>
        <w:tc>
          <w:tcPr>
            <w:tcW w:w="1914" w:type="dxa"/>
          </w:tcPr>
          <w:p w:rsidR="0019093A" w:rsidRPr="001E3251" w:rsidRDefault="0019093A" w:rsidP="00603489">
            <w:pPr>
              <w:autoSpaceDE w:val="0"/>
              <w:autoSpaceDN w:val="0"/>
              <w:adjustRightInd w:val="0"/>
              <w:spacing w:after="0" w:line="240" w:lineRule="auto"/>
              <w:jc w:val="center"/>
              <w:rPr>
                <w:rFonts w:ascii="TimesNewRomanPS-BoldMT" w:hAnsi="TimesNewRomanPS-BoldMT" w:cs="TimesNewRomanPS-BoldMT"/>
                <w:b/>
                <w:bCs/>
                <w:sz w:val="23"/>
                <w:szCs w:val="23"/>
              </w:rPr>
            </w:pPr>
            <w:r w:rsidRPr="001E3251">
              <w:rPr>
                <w:rFonts w:ascii="TimesNewRomanPS-BoldMT Greek" w:hAnsi="TimesNewRomanPS-BoldMT Greek" w:cs="TimesNewRomanPS-BoldMT Greek"/>
                <w:b/>
                <w:bCs/>
                <w:sz w:val="23"/>
                <w:szCs w:val="23"/>
              </w:rPr>
              <w:t>Πολύ Συχνές</w:t>
            </w:r>
          </w:p>
        </w:tc>
        <w:tc>
          <w:tcPr>
            <w:tcW w:w="1914" w:type="dxa"/>
          </w:tcPr>
          <w:p w:rsidR="0019093A" w:rsidRPr="001E3251" w:rsidRDefault="0019093A" w:rsidP="00603489">
            <w:pPr>
              <w:autoSpaceDE w:val="0"/>
              <w:autoSpaceDN w:val="0"/>
              <w:adjustRightInd w:val="0"/>
              <w:spacing w:after="0" w:line="240" w:lineRule="auto"/>
              <w:jc w:val="center"/>
              <w:rPr>
                <w:rFonts w:ascii="TimesNewRomanPS-BoldMT" w:hAnsi="TimesNewRomanPS-BoldMT" w:cs="TimesNewRomanPS-BoldMT"/>
                <w:b/>
                <w:bCs/>
                <w:sz w:val="23"/>
                <w:szCs w:val="23"/>
              </w:rPr>
            </w:pPr>
            <w:r w:rsidRPr="001E3251">
              <w:rPr>
                <w:rFonts w:ascii="TimesNewRomanPS-BoldMT Greek" w:hAnsi="TimesNewRomanPS-BoldMT Greek" w:cs="TimesNewRomanPS-BoldMT Greek"/>
                <w:b/>
                <w:bCs/>
                <w:sz w:val="23"/>
                <w:szCs w:val="23"/>
              </w:rPr>
              <w:t>Συχνές</w:t>
            </w:r>
          </w:p>
        </w:tc>
        <w:tc>
          <w:tcPr>
            <w:tcW w:w="1914" w:type="dxa"/>
          </w:tcPr>
          <w:p w:rsidR="0019093A" w:rsidRPr="001E3251" w:rsidRDefault="0019093A" w:rsidP="00603489">
            <w:pPr>
              <w:autoSpaceDE w:val="0"/>
              <w:autoSpaceDN w:val="0"/>
              <w:adjustRightInd w:val="0"/>
              <w:spacing w:after="0" w:line="240" w:lineRule="auto"/>
              <w:jc w:val="center"/>
              <w:rPr>
                <w:rFonts w:ascii="TimesNewRomanPS-BoldMT" w:hAnsi="TimesNewRomanPS-BoldMT" w:cs="TimesNewRomanPS-BoldMT"/>
                <w:b/>
                <w:bCs/>
                <w:sz w:val="23"/>
                <w:szCs w:val="23"/>
              </w:rPr>
            </w:pPr>
            <w:r w:rsidRPr="001E3251">
              <w:rPr>
                <w:rFonts w:ascii="TimesNewRomanPS-BoldMT Greek" w:hAnsi="TimesNewRomanPS-BoldMT Greek" w:cs="TimesNewRomanPS-BoldMT Greek"/>
                <w:b/>
                <w:bCs/>
                <w:sz w:val="23"/>
                <w:szCs w:val="23"/>
              </w:rPr>
              <w:t>Όχι συχνές</w:t>
            </w:r>
          </w:p>
        </w:tc>
        <w:tc>
          <w:tcPr>
            <w:tcW w:w="1915" w:type="dxa"/>
          </w:tcPr>
          <w:p w:rsidR="0019093A" w:rsidRPr="001E3251" w:rsidRDefault="0019093A" w:rsidP="00603489">
            <w:pPr>
              <w:spacing w:after="0" w:line="240" w:lineRule="auto"/>
              <w:jc w:val="center"/>
            </w:pPr>
            <w:r w:rsidRPr="001E3251">
              <w:rPr>
                <w:rFonts w:ascii="TimesNewRomanPS-BoldMT Greek" w:hAnsi="TimesNewRomanPS-BoldMT Greek" w:cs="TimesNewRomanPS-BoldMT Greek"/>
                <w:b/>
                <w:bCs/>
                <w:sz w:val="23"/>
                <w:szCs w:val="23"/>
              </w:rPr>
              <w:t>Σπάνιες</w:t>
            </w: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Λοιμώξεις και</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Παρασιτώσεις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Κοινό</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κρυολόγημα</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spacing w:after="0" w:line="240" w:lineRule="auto"/>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του</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μεταβολισμού</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και της θρέψης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Ανορεξία</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spacing w:after="0" w:line="240" w:lineRule="auto"/>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Ψυχιατρικές</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διαταραχές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Ψευδαισθήσεις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w:hAnsi="TimesNewRomanPSMT" w:cs="TimesNewRomanPSMT"/>
                <w:sz w:val="23"/>
                <w:szCs w:val="23"/>
              </w:rPr>
              <w:t>**,</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Ψυχοκινητική</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διέγερση**,</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Επιθετική</w:t>
            </w:r>
          </w:p>
          <w:p w:rsidR="0019093A" w:rsidRDefault="0019093A" w:rsidP="001E3251">
            <w:pPr>
              <w:spacing w:after="0" w:line="240" w:lineRule="auto"/>
              <w:rPr>
                <w:rFonts w:ascii="TimesNewRomanPSMT Greek" w:hAnsi="TimesNewRomanPSMT Greek" w:cs="TimesNewRomanPSMT Greek"/>
                <w:sz w:val="23"/>
                <w:szCs w:val="23"/>
              </w:rPr>
            </w:pPr>
            <w:r w:rsidRPr="001E3251">
              <w:rPr>
                <w:rFonts w:ascii="TimesNewRomanPSMT Greek" w:hAnsi="TimesNewRomanPSMT Greek" w:cs="TimesNewRomanPSMT Greek"/>
                <w:sz w:val="23"/>
                <w:szCs w:val="23"/>
              </w:rPr>
              <w:t>συμπεριφορά**</w:t>
            </w:r>
          </w:p>
          <w:p w:rsidR="0019093A" w:rsidRPr="00AB3CDC" w:rsidRDefault="0019093A" w:rsidP="001E3251">
            <w:pPr>
              <w:spacing w:after="0" w:line="240" w:lineRule="auto"/>
            </w:pPr>
            <w:r w:rsidRPr="00AB3CDC">
              <w:rPr>
                <w:rFonts w:ascii="TimesNewRomanPSMT Greek" w:hAnsi="TimesNewRomanPSMT Greek" w:cs="TimesNewRomanPSMT Greek"/>
                <w:sz w:val="23"/>
                <w:szCs w:val="23"/>
              </w:rPr>
              <w:t>Μη φυσιολογικά όνειρα και εφιάλτες **</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spacing w:after="0" w:line="240" w:lineRule="auto"/>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του</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νευρικού</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συστήματος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Συγκοπτικό</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επεισόδιο*,</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Ζάλη</w:t>
            </w:r>
            <w:r w:rsidRPr="001E3251">
              <w:rPr>
                <w:rFonts w:ascii="TimesNewRomanPSMT" w:hAnsi="TimesNewRomanPSMT" w:cs="TimesNewRomanPSMT"/>
                <w:sz w:val="23"/>
                <w:szCs w:val="23"/>
              </w:rPr>
              <w:t>,</w:t>
            </w:r>
            <w:r w:rsidRPr="001E3251">
              <w:rPr>
                <w:rFonts w:ascii="TimesNewRomanPSMT Greek" w:hAnsi="TimesNewRomanPSMT Greek" w:cs="TimesNewRomanPSMT Greek"/>
                <w:sz w:val="23"/>
                <w:szCs w:val="23"/>
              </w:rPr>
              <w:t>Αϋπνία</w:t>
            </w: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Σπασμοί*</w:t>
            </w: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Εξωπυραμιδικά</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συμπτώματα</w:t>
            </w: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Καρδιακές</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διαταραχές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Βραδυκαρδία</w:t>
            </w:r>
          </w:p>
        </w:tc>
        <w:tc>
          <w:tcPr>
            <w:tcW w:w="1915" w:type="dxa"/>
          </w:tcPr>
          <w:p w:rsidR="0019093A" w:rsidRDefault="0019093A" w:rsidP="001E3251">
            <w:pPr>
              <w:autoSpaceDE w:val="0"/>
              <w:autoSpaceDN w:val="0"/>
              <w:adjustRightInd w:val="0"/>
              <w:spacing w:after="0" w:line="240" w:lineRule="auto"/>
              <w:rPr>
                <w:rFonts w:ascii="Times New Roman" w:hAnsi="Times New Roman" w:cs="TimesNewRomanPSMT Greek"/>
                <w:sz w:val="23"/>
                <w:szCs w:val="23"/>
              </w:rPr>
            </w:pPr>
            <w:r w:rsidRPr="001E3251">
              <w:rPr>
                <w:rFonts w:ascii="TimesNewRomanPSMT Greek" w:hAnsi="TimesNewRomanPSMT Greek" w:cs="TimesNewRomanPSMT Greek"/>
                <w:sz w:val="23"/>
                <w:szCs w:val="23"/>
              </w:rPr>
              <w:t>Φλεβοκομβοκο</w:t>
            </w:r>
            <w:r>
              <w:rPr>
                <w:rFonts w:ascii="Times New Roman" w:hAnsi="Times New Roman" w:cs="TimesNewRomanPSMT Greek"/>
                <w:sz w:val="23"/>
                <w:szCs w:val="23"/>
              </w:rPr>
              <w:t>λ-</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πικός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αποκλεισμός,</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Κολποκοιλιακός αποκλεισμός</w:t>
            </w:r>
          </w:p>
        </w:tc>
      </w:tr>
      <w:tr w:rsidR="0019093A" w:rsidRPr="001E3251" w:rsidTr="00603489">
        <w:trPr>
          <w:jc w:val="center"/>
        </w:trPr>
        <w:tc>
          <w:tcPr>
            <w:tcW w:w="1914" w:type="dxa"/>
          </w:tcPr>
          <w:p w:rsidR="0019093A" w:rsidRPr="001E3251" w:rsidRDefault="0019093A" w:rsidP="001E3251">
            <w:pPr>
              <w:spacing w:after="0" w:line="240" w:lineRule="auto"/>
              <w:rPr>
                <w:lang w:val="en-US"/>
              </w:rPr>
            </w:pPr>
            <w:r w:rsidRPr="001E3251">
              <w:rPr>
                <w:rFonts w:ascii="TimesNewRomanPSMT Greek" w:hAnsi="TimesNewRomanPSMT Greek" w:cs="TimesNewRomanPSMT Greek"/>
                <w:sz w:val="23"/>
                <w:szCs w:val="23"/>
              </w:rPr>
              <w:t>Γαστρεντερικές</w:t>
            </w:r>
            <w:r w:rsidRPr="001E3251">
              <w:rPr>
                <w:rFonts w:ascii="TimesNewRomanPSMT" w:hAnsi="TimesNewRomanPSMT" w:cs="TimesNewRomanPSMT"/>
                <w:sz w:val="23"/>
                <w:szCs w:val="23"/>
                <w:lang w:val="en-US"/>
              </w:rPr>
              <w:t xml:space="preserve"> </w:t>
            </w:r>
            <w:r w:rsidRPr="001E3251">
              <w:rPr>
                <w:rFonts w:ascii="TimesNewRomanPSMT Greek" w:hAnsi="TimesNewRomanPSMT Greek" w:cs="TimesNewRomanPSMT Greek"/>
                <w:sz w:val="23"/>
                <w:szCs w:val="23"/>
              </w:rPr>
              <w:t>διαταραχές</w:t>
            </w: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Διάρροια, Ναυτία,</w:t>
            </w: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Έμετος,</w:t>
            </w:r>
          </w:p>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Κοιλιακές</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διαταραχές</w:t>
            </w: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Γαστρεντερική</w:t>
            </w:r>
            <w:r w:rsidRPr="00893AB6">
              <w:rPr>
                <w:rFonts w:ascii="TimesNewRomanPSMT" w:hAnsi="TimesNewRomanPSMT" w:cs="TimesNewRomanPSMT"/>
                <w:sz w:val="23"/>
                <w:szCs w:val="23"/>
              </w:rPr>
              <w:t xml:space="preserve"> </w:t>
            </w:r>
            <w:r w:rsidRPr="001E3251">
              <w:rPr>
                <w:rFonts w:ascii="TimesNewRomanPSMT Greek" w:hAnsi="TimesNewRomanPSMT Greek" w:cs="TimesNewRomanPSMT Greek"/>
                <w:sz w:val="23"/>
                <w:szCs w:val="23"/>
              </w:rPr>
              <w:t>αιμορραγία,</w:t>
            </w:r>
          </w:p>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Γαστρικό και</w:t>
            </w:r>
          </w:p>
          <w:p w:rsidR="0019093A" w:rsidRPr="00893AB6" w:rsidRDefault="0019093A" w:rsidP="00603489">
            <w:pPr>
              <w:spacing w:after="0" w:line="240" w:lineRule="auto"/>
              <w:jc w:val="center"/>
            </w:pPr>
            <w:r w:rsidRPr="001E3251">
              <w:rPr>
                <w:rFonts w:ascii="TimesNewRomanPSMT Greek" w:hAnsi="TimesNewRomanPSMT Greek" w:cs="TimesNewRomanPSMT Greek"/>
                <w:sz w:val="23"/>
                <w:szCs w:val="23"/>
              </w:rPr>
              <w:t>δωδεκαδακτυλικό έλκος</w:t>
            </w:r>
          </w:p>
        </w:tc>
        <w:tc>
          <w:tcPr>
            <w:tcW w:w="1915" w:type="dxa"/>
          </w:tcPr>
          <w:p w:rsidR="0019093A" w:rsidRPr="001E3251" w:rsidRDefault="0019093A" w:rsidP="001E3251">
            <w:pPr>
              <w:spacing w:after="0" w:line="240" w:lineRule="auto"/>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του</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ήπατος και των</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χοληφόρων</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1E3251">
            <w:pPr>
              <w:spacing w:after="0" w:line="240" w:lineRule="auto"/>
            </w:pP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Ηπατική</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δυσλειτουργία,</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συμπεριλαμβανο</w:t>
            </w:r>
            <w:r>
              <w:rPr>
                <w:rFonts w:ascii="TimesNewRomanPSMT Greek" w:hAnsi="TimesNewRomanPSMT Greek" w:cs="TimesNewRomanPSMT Greek"/>
                <w:sz w:val="23"/>
                <w:szCs w:val="23"/>
              </w:rPr>
              <w:t>-</w:t>
            </w:r>
            <w:r w:rsidRPr="001E3251">
              <w:rPr>
                <w:rFonts w:ascii="TimesNewRomanPSMT Greek" w:hAnsi="TimesNewRomanPSMT Greek" w:cs="TimesNewRomanPSMT Greek"/>
                <w:sz w:val="23"/>
                <w:szCs w:val="23"/>
              </w:rPr>
              <w:t>μένης της</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ηπατίτιδας***</w:t>
            </w: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του</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δέρματος και</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του υποδόριου</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ιστού</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Εξάνθημα,</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Κνησμός</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μυοσκελετικού</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συστήματος,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συνδετικού</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ιστού και</w:t>
            </w:r>
            <w:r w:rsidRPr="00893AB6">
              <w:rPr>
                <w:rFonts w:ascii="TimesNewRomanPSMT" w:hAnsi="TimesNewRomanPSMT" w:cs="TimesNewRomanPSMT"/>
                <w:sz w:val="23"/>
                <w:szCs w:val="23"/>
              </w:rPr>
              <w:t xml:space="preserve"> </w:t>
            </w:r>
            <w:r w:rsidRPr="001E3251">
              <w:rPr>
                <w:rFonts w:ascii="TimesNewRomanPSMT Greek" w:hAnsi="TimesNewRomanPSMT Greek" w:cs="TimesNewRomanPSMT Greek"/>
                <w:sz w:val="23"/>
                <w:szCs w:val="23"/>
              </w:rPr>
              <w:t>οστών</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Μυϊκές</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κράμπες</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των</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νεφρών και των</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ουροφόρων</w:t>
            </w:r>
            <w:r w:rsidRPr="00893AB6">
              <w:rPr>
                <w:rFonts w:ascii="TimesNewRomanPSMT" w:hAnsi="TimesNewRomanPSMT" w:cs="TimesNewRomanPSMT"/>
                <w:sz w:val="23"/>
                <w:szCs w:val="23"/>
              </w:rPr>
              <w:t xml:space="preserve"> </w:t>
            </w:r>
            <w:r w:rsidRPr="001E3251">
              <w:rPr>
                <w:rFonts w:ascii="TimesNewRomanPSMT Greek" w:hAnsi="TimesNewRomanPSMT Greek" w:cs="TimesNewRomanPSMT Greek"/>
                <w:sz w:val="23"/>
                <w:szCs w:val="23"/>
              </w:rPr>
              <w:t>οδών</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Ακράτεια</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ούρων</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Γενικές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διαταραχές και</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καταστάσεις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της οδού</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χορήγησης</w:t>
            </w: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Κεφαλαλγία</w:t>
            </w:r>
          </w:p>
        </w:tc>
        <w:tc>
          <w:tcPr>
            <w:tcW w:w="1914" w:type="dxa"/>
          </w:tcPr>
          <w:p w:rsidR="0019093A" w:rsidRPr="001E3251" w:rsidRDefault="0019093A" w:rsidP="00603489">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Κόπωση,</w:t>
            </w:r>
          </w:p>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Άλγος</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Παρακλινικές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εξετάσεις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spacing w:after="0" w:line="240" w:lineRule="auto"/>
              <w:jc w:val="center"/>
            </w:pPr>
          </w:p>
        </w:tc>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Μικρή αύξηση</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της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συγκέντρωσης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της μυϊκής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κινάσης της</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κρεατίνης στον</w:t>
            </w:r>
          </w:p>
          <w:p w:rsidR="0019093A" w:rsidRPr="001E3251" w:rsidRDefault="0019093A" w:rsidP="001E3251">
            <w:pPr>
              <w:spacing w:after="0" w:line="240" w:lineRule="auto"/>
            </w:pPr>
            <w:r w:rsidRPr="001E3251">
              <w:rPr>
                <w:rFonts w:ascii="TimesNewRomanPSMT Greek" w:hAnsi="TimesNewRomanPSMT Greek" w:cs="TimesNewRomanPSMT Greek"/>
                <w:sz w:val="23"/>
                <w:szCs w:val="23"/>
              </w:rPr>
              <w:t>ορό</w:t>
            </w: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r w:rsidR="0019093A" w:rsidRPr="001E3251" w:rsidTr="00603489">
        <w:trPr>
          <w:jc w:val="center"/>
        </w:trPr>
        <w:tc>
          <w:tcPr>
            <w:tcW w:w="1914"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Κακώσεις και</w:t>
            </w:r>
          </w:p>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Greek" w:hAnsi="TimesNewRomanPSMT Greek" w:cs="TimesNewRomanPSMT Greek"/>
                <w:sz w:val="23"/>
                <w:szCs w:val="23"/>
              </w:rPr>
              <w:t>δηλητηριάσεις</w:t>
            </w:r>
          </w:p>
        </w:tc>
        <w:tc>
          <w:tcPr>
            <w:tcW w:w="1914" w:type="dxa"/>
          </w:tcPr>
          <w:p w:rsidR="0019093A" w:rsidRPr="001E3251" w:rsidRDefault="0019093A" w:rsidP="001E3251">
            <w:pPr>
              <w:spacing w:after="0" w:line="240" w:lineRule="auto"/>
            </w:pPr>
          </w:p>
        </w:tc>
        <w:tc>
          <w:tcPr>
            <w:tcW w:w="1914" w:type="dxa"/>
          </w:tcPr>
          <w:p w:rsidR="0019093A" w:rsidRPr="001E3251" w:rsidRDefault="0019093A" w:rsidP="00603489">
            <w:pPr>
              <w:spacing w:after="0" w:line="240" w:lineRule="auto"/>
              <w:jc w:val="center"/>
            </w:pPr>
            <w:r w:rsidRPr="001E3251">
              <w:rPr>
                <w:rFonts w:ascii="TimesNewRomanPSMT Greek" w:hAnsi="TimesNewRomanPSMT Greek" w:cs="TimesNewRomanPSMT Greek"/>
                <w:sz w:val="23"/>
                <w:szCs w:val="23"/>
              </w:rPr>
              <w:t>Ατύχημα</w:t>
            </w:r>
          </w:p>
        </w:tc>
        <w:tc>
          <w:tcPr>
            <w:tcW w:w="1914" w:type="dxa"/>
          </w:tcPr>
          <w:p w:rsidR="0019093A" w:rsidRPr="001E3251" w:rsidRDefault="0019093A" w:rsidP="001E3251">
            <w:pPr>
              <w:spacing w:after="0" w:line="240" w:lineRule="auto"/>
            </w:pPr>
          </w:p>
        </w:tc>
        <w:tc>
          <w:tcPr>
            <w:tcW w:w="1915"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p>
        </w:tc>
      </w:tr>
    </w:tbl>
    <w:p w:rsidR="0019093A" w:rsidRDefault="0019093A" w:rsidP="00FD4F71">
      <w:pPr>
        <w:rPr>
          <w:lang w:val="en-US"/>
        </w:rPr>
      </w:pPr>
    </w:p>
    <w:p w:rsidR="0019093A" w:rsidRDefault="0019093A" w:rsidP="00FD4F71">
      <w:pPr>
        <w:rPr>
          <w:lang w:val="en-US"/>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Όταν ελέγχεται η περίπτωση συγκοπτικού επεισοδίου ή σπασμών, πρέπει να εξετάζεται η</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πιθανότητα καρδιακού αποκλεισμού ή παρατεταμένων φλεβοκομβικών παύσεων.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**Περιστατικά ψευδαισθήσεων, ψυχοκινητικής διέγερσης και επιθετικής συμπεριφοράς, που</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αναφέρθηκαν, εξαλείφθηκαν μετά από μείωση της δόσης ή διακοπή της θεραπείας.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***Σε περιπτώσεις εμφάνισης ανεξήγητων ηπατικών διαταραχών πρέπει να εξεταστεί το</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ενδεχόμενο διακοπής του φαρμάκου.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BoldMT Greek" w:hAnsi="TimesNewRomanPS-BoldMT Greek" w:cs="TimesNewRomanPS-BoldMT Greek"/>
          <w:b/>
          <w:bCs/>
          <w:sz w:val="23"/>
          <w:szCs w:val="23"/>
        </w:rPr>
      </w:pPr>
      <w:r>
        <w:rPr>
          <w:rFonts w:ascii="TimesNewRomanPS-BoldMT Greek" w:hAnsi="TimesNewRomanPS-BoldMT Greek" w:cs="TimesNewRomanPS-BoldMT Greek"/>
          <w:b/>
          <w:bCs/>
          <w:sz w:val="23"/>
          <w:szCs w:val="23"/>
        </w:rPr>
        <w:t>4.9 Υπερδοσολογία</w:t>
      </w: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υπολογισθείσα μέση θανατηφόρος δόση της υδροχλωρικής δονεπεζίλης μετά από</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 xml:space="preserve">χορήγηση μίας απλής, από του στόματος δόσης σε ποντικούς και αρουραίους είναι 45 </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και 32</w:t>
      </w:r>
      <w:r w:rsidRPr="00621A3C">
        <w:rPr>
          <w:rFonts w:ascii="TimesNewRomanPSMT" w:hAnsi="TimesNewRomanPSMT" w:cs="TimesNewRomanPSMT"/>
          <w:sz w:val="23"/>
          <w:szCs w:val="23"/>
        </w:rPr>
        <w:t xml:space="preserve"> </w:t>
      </w:r>
      <w:r>
        <w:rPr>
          <w:rFonts w:ascii="TimesNewRomanPSMT Greek" w:hAnsi="TimesNewRomanPSMT Greek" w:cs="TimesNewRomanPSMT Greek"/>
          <w:sz w:val="23"/>
          <w:szCs w:val="23"/>
        </w:rPr>
        <w:t>mg/kg, αντίστοιχα, ή περίπου 225 και 160 φορές μεγαλύτερη της μέγιστης συνιστώμενης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ανθρώπινης δόσης των 10 mg την ημέρα. Σημεία χολινεργικής διέγερσης, δοσοεξαρτώμενα,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παρατηρήθηκαν σε ζώα και περιλαμβάνουν μειωμένη αυτόματη κινητικότητα, πρηνή θέση,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ασταθή βηματισμό, δακρύρροια, κλονικούς σπασμούς, καταστολή της αναπνευστικής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λειτουργίας, σιελόρροια, μύση, ακούσιες μυϊκές συσπάσεις, μείωση επιφανειακής</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θερμοκρασίας σώματος.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Υπερδοσολογία με αναστολείς της χολινεστεράσης μπορεί να οδηγήσει σε χολινεργική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κρίση, που χαρακτηρίζεται από σοβαρή ναυτία, εμετό, σιελόρροια, εφίδρωση, βραδυκαρδία,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υπόταση, αναπνευστική καταστολή, collapsus και σπασμούς. Αυξανόμενη μυϊκή αδυναμία</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είναι πιθανή και μπορεί να οδηγήσει σε θάνατο εάν προσβληθούν οι αναπνευστικοί μυς.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Όπως σε όλες τις περιπτώσεις υπερδοσολογίας, γενικά μέτρα υποστήριξης πρέπει να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εφαρμοστούν. Τριτοταγή αντιχολινεργικά, όπως η ατροπίνη μπορούν να χρησιμοποιηθούν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σαν αντίδοτα σε περίπτωση υπερδοσολογίας με DEZIAL. Συνιστάται η ενδοφλέβια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χορήγηση θειικής ατροπίνης με τιτλοποίηση της δόσης μέχρι να επιτευχθεί το επιθυμητό</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αποτέλεσμα: μία αρχική δόση των 1.0 με 2.0 mg IV και ακολουθούν δόσεις που βασίζονται</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στην κλινική ανταπόκριση. Μη τυπικές ανταποκρίσεις στην πίεση του αίματος και στην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καρδιακή συχνότητα έχουν αναφερθεί με άλλα χολινεργικά φάρμακα όταν χορηγήθηκαν με</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τεταρτοταγή αντιχολινεργικά, όπως glycopyrrolate. Δεν είναι γνωστό εάν η υδροχλωρική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δονεπεζίλη και/ή οι μεταβολίτες της μπορούν να απομακρυνθούν με διύλιση (αιμοκάθαρση,</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περιτοναϊκή κάθαρση ή αιμοδιήθηση).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BoldMT Greek" w:hAnsi="TimesNewRomanPS-BoldMT Greek" w:cs="TimesNewRomanPS-BoldMT Greek"/>
          <w:b/>
          <w:bCs/>
          <w:sz w:val="23"/>
          <w:szCs w:val="23"/>
        </w:rPr>
      </w:pPr>
      <w:r>
        <w:rPr>
          <w:rFonts w:ascii="TimesNewRomanPS-BoldMT Greek" w:hAnsi="TimesNewRomanPS-BoldMT Greek" w:cs="TimesNewRomanPS-BoldMT Greek"/>
          <w:b/>
          <w:bCs/>
          <w:sz w:val="23"/>
          <w:szCs w:val="23"/>
        </w:rPr>
        <w:t>5. ΦΑΡΜΑΚΟΛΟΓΙΚΕΣ ΙΔΙΟΤΗΤΕΣ</w:t>
      </w: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p>
    <w:p w:rsidR="0019093A" w:rsidRDefault="0019093A" w:rsidP="00621A3C">
      <w:pPr>
        <w:autoSpaceDE w:val="0"/>
        <w:autoSpaceDN w:val="0"/>
        <w:adjustRightInd w:val="0"/>
        <w:spacing w:after="0" w:line="240" w:lineRule="auto"/>
        <w:rPr>
          <w:rFonts w:ascii="TimesNewRomanPS-BoldMT Greek" w:hAnsi="TimesNewRomanPS-BoldMT Greek" w:cs="TimesNewRomanPS-BoldMT Greek"/>
          <w:b/>
          <w:bCs/>
          <w:sz w:val="23"/>
          <w:szCs w:val="23"/>
        </w:rPr>
      </w:pPr>
      <w:r>
        <w:rPr>
          <w:rFonts w:ascii="TimesNewRomanPS-BoldMT Greek" w:hAnsi="TimesNewRomanPS-BoldMT Greek" w:cs="TimesNewRomanPS-BoldMT Greek"/>
          <w:b/>
          <w:bCs/>
          <w:sz w:val="23"/>
          <w:szCs w:val="23"/>
        </w:rPr>
        <w:t>5.1 Φαρμακοδυναμικές ιδιότητες</w:t>
      </w: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Φαρμακοθεραπευτική κατηγορία: φάρμακα κατά της άνοιας, αναστολέας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ακετυλοχολινεστεράσης, κωδικός ATC: N06DA02.</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υδροχλωρική δονεπεζίλη είναι ένας ειδικός και αναστρέψιμος αναστολέας της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ακετυλοχολινεστεράσης, που αποτελεί την προέχουσα χολινεστεράση στον εγκέφαλο. 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υδροχλωρική δονεπεζίλη είναι </w:t>
      </w:r>
      <w:r>
        <w:rPr>
          <w:rFonts w:ascii="TimesNewRomanPS-ItalicMT" w:hAnsi="TimesNewRomanPS-ItalicMT" w:cs="TimesNewRomanPS-ItalicMT"/>
          <w:i/>
          <w:iCs/>
          <w:sz w:val="23"/>
          <w:szCs w:val="23"/>
        </w:rPr>
        <w:t xml:space="preserve">in vitro </w:t>
      </w:r>
      <w:r>
        <w:rPr>
          <w:rFonts w:ascii="TimesNewRomanPSMT Greek" w:hAnsi="TimesNewRomanPSMT Greek" w:cs="TimesNewRomanPSMT Greek"/>
          <w:sz w:val="23"/>
          <w:szCs w:val="23"/>
        </w:rPr>
        <w:t>περισσότερο από 1000 φορές πιο ισχυρός αναστολέας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αυτού του ενζύμου από τη βουτυρυλχολινεστεράση, ένα ένζυμο που υπάρχει κυρίως εκτός</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του Κ.Ν.Σ.</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Άνοια Alzheimer</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Σε ασθενείς με άνοια Alzheimer που έλαβαν μέρος σε κλινικές δοκιμές, χορήγηση εφ’άπαξ</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ημερήσιων δόσεων των 5 ή 10 mg DEZIAL είχε σαν αποτέλεσμα την αναστολή της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δραστικότητας της ακετυλοχολινεστεράσης (στις μεμβράνες των ερυθροκυττάρων) σε</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σταθεροποιημένα επίπεδα, που ήταν ίση προς 63,6% και 77,3% αντίστοιχα, όταν μετρήθηκε</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μετά τη χορήγηση των δόσεων. Η προκαλούμενη από την υδροχλωρική δονεπεζίλη,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αναστολή της ακετυλοχολινεστεράσης (AChE) στα ερυθροκύτταρα έχει αποδειχτεί ότι</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σχετίζεται με αλλαγές της ADAS-cog, μίας ευαίσθητης κλίμακας που εξετάζει εκλεκτικά</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 xml:space="preserve">κάποιες πλευρές της γνωστικής λειτουργίας. </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Η δυνατότητα της υδροχλωρικής δονεπεζίλης να τροποποιεί την πορεία της υποκείμενης νευροπαθολογίας δεν έχει μελετηθεί. Κατά συνέπεια, το DEZIAL δεν μπορεί να θεωρηθεί ότι έχει κάποιο αποτέλεσμα επί της εξέλιξης της ασθένειας.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αποτελεσματικότητα της θεραπείας με DEZIAL έχει μελετηθεί σε τέσσερις ελεγχόμενες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 εικονικό φάρμακο μελέτες, δύο μελέτες διάρκειας 6 μηνών και δύο μελέτες διάρκειας</w:t>
      </w:r>
    </w:p>
    <w:p w:rsidR="0019093A" w:rsidRDefault="0019093A" w:rsidP="00621A3C">
      <w:pPr>
        <w:autoSpaceDE w:val="0"/>
        <w:autoSpaceDN w:val="0"/>
        <w:adjustRightInd w:val="0"/>
        <w:spacing w:after="0" w:line="240" w:lineRule="auto"/>
        <w:rPr>
          <w:rFonts w:ascii="Times New Roman" w:hAnsi="Times New Roman" w:cs="TimesNewRomanPSMT"/>
          <w:sz w:val="20"/>
          <w:szCs w:val="20"/>
        </w:rPr>
      </w:pPr>
      <w:r>
        <w:rPr>
          <w:rFonts w:ascii="TimesNewRomanPSMT Greek" w:hAnsi="TimesNewRomanPSMT Greek" w:cs="TimesNewRomanPSMT Greek"/>
          <w:sz w:val="23"/>
          <w:szCs w:val="23"/>
        </w:rPr>
        <w:t>ενός έτους.</w:t>
      </w:r>
      <w:r w:rsidRPr="00621A3C">
        <w:rPr>
          <w:rFonts w:ascii="TimesNewRomanPSMT" w:hAnsi="TimesNewRomanPSMT" w:cs="TimesNewRomanPSMT"/>
          <w:sz w:val="20"/>
          <w:szCs w:val="20"/>
        </w:rPr>
        <w:t xml:space="preserve"> </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Έγινε ανάλυση των αποτελεσμάτων κλινικών μελετών εξάμηνης θεραπείας με δονεπεζίλη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χρησιμοποιώντας συνδυασμό τριών κριτηρίων αποτελεσματικότητας: της ADAS-cog</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(κλίμακα της γνωστικής λειτουργίας), της CIBIC (κριτήριο της συνολικής λειτουργικότητας),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και την Υποκλίμακα ADL της Κλίμακας Κλινικής Σταδιοποίησης της Άνοιας (κριτήριο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ικανότητας σε θέματα κοινωνικά, οικιακά, προσωπικού ενδιαφέροντος καθώς και</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προσωπικής φροντίδας).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Οι ασθενείς που εκπλήρωσαν τα κάτωθι κριτήρια θεωρήθηκαν ως ανταποκρινόμενοι στη</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θεραπεία: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Ανταπόκριση = - Βελτίωση τουλάχιστον 4 βαθμών στην κλίμακα </w:t>
      </w:r>
      <w:r>
        <w:rPr>
          <w:rFonts w:ascii="TimesNewRomanPSMT" w:hAnsi="TimesNewRomanPSMT" w:cs="TimesNewRomanPSMT"/>
          <w:sz w:val="23"/>
          <w:szCs w:val="23"/>
        </w:rPr>
        <w:t>ADAS-cog</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                         - Μη επιδείνωση στη CIBIC</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                         - Μη επιδείνωση στην Υποκλίμακα ADL της Κλίμακας Κλινικής</w:t>
      </w:r>
    </w:p>
    <w:p w:rsidR="0019093A" w:rsidRDefault="0019093A" w:rsidP="00621A3C">
      <w:pPr>
        <w:rPr>
          <w:rFonts w:ascii="TimesNewRomanPSMT" w:hAnsi="TimesNewRomanPSMT" w:cs="TimesNewRomanPSMT"/>
          <w:sz w:val="23"/>
          <w:szCs w:val="23"/>
          <w:lang w:val="en-US"/>
        </w:rPr>
      </w:pPr>
      <w:r>
        <w:rPr>
          <w:rFonts w:ascii="TimesNewRomanPSMT Greek" w:hAnsi="TimesNewRomanPSMT Greek" w:cs="TimesNewRomanPSMT Greek"/>
          <w:sz w:val="23"/>
          <w:szCs w:val="23"/>
        </w:rPr>
        <w:t xml:space="preserve">                           Σταδιοποίησης της Άνοιας</w:t>
      </w:r>
    </w:p>
    <w:p w:rsidR="0019093A" w:rsidRDefault="0019093A" w:rsidP="00621A3C">
      <w:pPr>
        <w:rPr>
          <w:rFonts w:ascii="TimesNewRomanPSMT" w:hAnsi="TimesNewRomanPSMT" w:cs="TimesNewRomanPSMT"/>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9093A" w:rsidRPr="001E3251" w:rsidTr="001E3251">
        <w:tc>
          <w:tcPr>
            <w:tcW w:w="3190" w:type="dxa"/>
          </w:tcPr>
          <w:p w:rsidR="0019093A" w:rsidRPr="001E3251" w:rsidRDefault="0019093A" w:rsidP="001E3251">
            <w:pPr>
              <w:spacing w:after="0" w:line="240" w:lineRule="auto"/>
              <w:rPr>
                <w:lang w:val="en-US"/>
              </w:rPr>
            </w:pPr>
          </w:p>
        </w:tc>
        <w:tc>
          <w:tcPr>
            <w:tcW w:w="3190" w:type="dxa"/>
          </w:tcPr>
          <w:p w:rsidR="0019093A" w:rsidRPr="001E3251" w:rsidRDefault="0019093A" w:rsidP="00B20DAA">
            <w:pPr>
              <w:spacing w:after="0" w:line="240" w:lineRule="auto"/>
              <w:jc w:val="center"/>
              <w:rPr>
                <w:lang w:val="en-US"/>
              </w:rPr>
            </w:pPr>
            <w:r w:rsidRPr="001E3251">
              <w:rPr>
                <w:rFonts w:ascii="TimesNewRomanPSMT Greek" w:hAnsi="TimesNewRomanPSMT Greek" w:cs="TimesNewRomanPSMT Greek"/>
                <w:sz w:val="23"/>
                <w:szCs w:val="23"/>
              </w:rPr>
              <w:t>% Ανταπόκριση</w:t>
            </w:r>
          </w:p>
        </w:tc>
        <w:tc>
          <w:tcPr>
            <w:tcW w:w="3191" w:type="dxa"/>
          </w:tcPr>
          <w:p w:rsidR="0019093A" w:rsidRPr="001E3251" w:rsidRDefault="0019093A" w:rsidP="00B20DAA">
            <w:pPr>
              <w:spacing w:after="0" w:line="240" w:lineRule="auto"/>
              <w:jc w:val="center"/>
              <w:rPr>
                <w:lang w:val="en-US"/>
              </w:rPr>
            </w:pPr>
          </w:p>
        </w:tc>
      </w:tr>
      <w:tr w:rsidR="0019093A" w:rsidRPr="001E3251" w:rsidTr="001E3251">
        <w:tc>
          <w:tcPr>
            <w:tcW w:w="3190" w:type="dxa"/>
          </w:tcPr>
          <w:p w:rsidR="0019093A" w:rsidRPr="001E3251" w:rsidRDefault="0019093A" w:rsidP="001E3251">
            <w:pPr>
              <w:spacing w:after="0" w:line="240" w:lineRule="auto"/>
              <w:rPr>
                <w:lang w:val="en-US"/>
              </w:rPr>
            </w:pPr>
          </w:p>
        </w:tc>
        <w:tc>
          <w:tcPr>
            <w:tcW w:w="3190" w:type="dxa"/>
          </w:tcPr>
          <w:p w:rsidR="0019093A" w:rsidRPr="001E3251" w:rsidRDefault="0019093A" w:rsidP="00B20DAA">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Σύνολο</w:t>
            </w:r>
          </w:p>
          <w:p w:rsidR="0019093A" w:rsidRPr="001E3251" w:rsidRDefault="0019093A" w:rsidP="00B20DAA">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Προγραμματισμένων</w:t>
            </w:r>
          </w:p>
          <w:p w:rsidR="0019093A" w:rsidRPr="001E3251" w:rsidRDefault="0019093A" w:rsidP="00B20DAA">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Ασθενών για Θεραπεία</w:t>
            </w:r>
          </w:p>
          <w:p w:rsidR="0019093A" w:rsidRPr="00893AB6" w:rsidRDefault="0019093A" w:rsidP="00B20DAA">
            <w:pPr>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(ΙΤΤ analysis)</w:t>
            </w:r>
          </w:p>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n=365</w:t>
            </w:r>
          </w:p>
        </w:tc>
        <w:tc>
          <w:tcPr>
            <w:tcW w:w="3191" w:type="dxa"/>
          </w:tcPr>
          <w:p w:rsidR="0019093A" w:rsidRPr="001E3251" w:rsidRDefault="0019093A" w:rsidP="00B20DAA">
            <w:pPr>
              <w:autoSpaceDE w:val="0"/>
              <w:autoSpaceDN w:val="0"/>
              <w:adjustRightInd w:val="0"/>
              <w:spacing w:after="0" w:line="240" w:lineRule="auto"/>
              <w:jc w:val="center"/>
              <w:rPr>
                <w:rFonts w:ascii="TimesNewRomanPSMT" w:hAnsi="TimesNewRomanPSMT" w:cs="TimesNewRomanPSMT"/>
                <w:sz w:val="23"/>
                <w:szCs w:val="23"/>
              </w:rPr>
            </w:pPr>
            <w:r w:rsidRPr="001E3251">
              <w:rPr>
                <w:rFonts w:ascii="TimesNewRomanPSMT Greek" w:hAnsi="TimesNewRomanPSMT Greek" w:cs="TimesNewRomanPSMT Greek"/>
                <w:sz w:val="23"/>
                <w:szCs w:val="23"/>
              </w:rPr>
              <w:t>Πληθυσμός που</w:t>
            </w:r>
          </w:p>
          <w:p w:rsidR="0019093A" w:rsidRPr="001E3251" w:rsidRDefault="0019093A" w:rsidP="00B20DAA">
            <w:pPr>
              <w:spacing w:after="0" w:line="240" w:lineRule="auto"/>
              <w:jc w:val="center"/>
              <w:rPr>
                <w:rFonts w:ascii="TimesNewRomanPSMT" w:hAnsi="TimesNewRomanPSMT" w:cs="TimesNewRomanPSMT"/>
                <w:sz w:val="23"/>
                <w:szCs w:val="23"/>
                <w:lang w:val="en-US"/>
              </w:rPr>
            </w:pPr>
            <w:r w:rsidRPr="001E3251">
              <w:rPr>
                <w:rFonts w:ascii="TimesNewRomanPSMT Greek" w:hAnsi="TimesNewRomanPSMT Greek" w:cs="TimesNewRomanPSMT Greek"/>
                <w:sz w:val="23"/>
                <w:szCs w:val="23"/>
              </w:rPr>
              <w:t>αξιολογήθηκε</w:t>
            </w:r>
          </w:p>
          <w:p w:rsidR="0019093A" w:rsidRPr="001E3251" w:rsidRDefault="0019093A" w:rsidP="00B20DAA">
            <w:pPr>
              <w:spacing w:after="0" w:line="240" w:lineRule="auto"/>
              <w:jc w:val="center"/>
              <w:rPr>
                <w:rFonts w:ascii="TimesNewRomanPSMT" w:hAnsi="TimesNewRomanPSMT" w:cs="TimesNewRomanPSMT"/>
                <w:sz w:val="23"/>
                <w:szCs w:val="23"/>
                <w:lang w:val="en-US"/>
              </w:rPr>
            </w:pPr>
          </w:p>
          <w:p w:rsidR="0019093A" w:rsidRPr="001E3251" w:rsidRDefault="0019093A" w:rsidP="00B20DAA">
            <w:pPr>
              <w:spacing w:after="0" w:line="240" w:lineRule="auto"/>
              <w:jc w:val="center"/>
              <w:rPr>
                <w:rFonts w:ascii="TimesNewRomanPSMT" w:hAnsi="TimesNewRomanPSMT" w:cs="TimesNewRomanPSMT"/>
                <w:sz w:val="23"/>
                <w:szCs w:val="23"/>
                <w:lang w:val="en-US"/>
              </w:rPr>
            </w:pPr>
          </w:p>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n=352</w:t>
            </w:r>
          </w:p>
        </w:tc>
      </w:tr>
      <w:tr w:rsidR="0019093A" w:rsidRPr="001E3251" w:rsidTr="001E3251">
        <w:tc>
          <w:tcPr>
            <w:tcW w:w="3190"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sidRPr="001E3251">
              <w:rPr>
                <w:rFonts w:ascii="TimesNewRomanPSMT" w:hAnsi="TimesNewRomanPSMT" w:cs="TimesNewRomanPSMT"/>
                <w:sz w:val="23"/>
                <w:szCs w:val="23"/>
              </w:rPr>
              <w:t>Placebo</w:t>
            </w:r>
          </w:p>
          <w:p w:rsidR="0019093A" w:rsidRPr="001E3251" w:rsidRDefault="0019093A" w:rsidP="001E3251">
            <w:pPr>
              <w:spacing w:after="0" w:line="240" w:lineRule="auto"/>
              <w:rPr>
                <w:lang w:val="en-US"/>
              </w:rPr>
            </w:pPr>
            <w:r w:rsidRPr="001E3251">
              <w:rPr>
                <w:rFonts w:ascii="TimesNewRomanPSMT" w:hAnsi="TimesNewRomanPSMT" w:cs="TimesNewRomanPSMT"/>
                <w:sz w:val="23"/>
                <w:szCs w:val="23"/>
              </w:rPr>
              <w:t>Group</w:t>
            </w:r>
          </w:p>
        </w:tc>
        <w:tc>
          <w:tcPr>
            <w:tcW w:w="3190"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10%</w:t>
            </w:r>
          </w:p>
        </w:tc>
        <w:tc>
          <w:tcPr>
            <w:tcW w:w="3191"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10%</w:t>
            </w:r>
          </w:p>
        </w:tc>
      </w:tr>
      <w:tr w:rsidR="0019093A" w:rsidRPr="001E3251" w:rsidTr="001E3251">
        <w:tc>
          <w:tcPr>
            <w:tcW w:w="3190"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DEZIAL</w:t>
            </w:r>
            <w:r w:rsidRPr="001E3251">
              <w:rPr>
                <w:rFonts w:ascii="TimesNewRomanPSMT" w:hAnsi="TimesNewRomanPSMT" w:cs="TimesNewRomanPSMT"/>
                <w:sz w:val="23"/>
                <w:szCs w:val="23"/>
              </w:rPr>
              <w:t xml:space="preserve"> 5-mg</w:t>
            </w:r>
          </w:p>
          <w:p w:rsidR="0019093A" w:rsidRPr="001E3251" w:rsidRDefault="0019093A" w:rsidP="001E3251">
            <w:pPr>
              <w:spacing w:after="0" w:line="240" w:lineRule="auto"/>
              <w:rPr>
                <w:lang w:val="en-US"/>
              </w:rPr>
            </w:pPr>
            <w:r w:rsidRPr="001E3251">
              <w:rPr>
                <w:rFonts w:ascii="TimesNewRomanPSMT" w:hAnsi="TimesNewRomanPSMT" w:cs="TimesNewRomanPSMT"/>
                <w:sz w:val="23"/>
                <w:szCs w:val="23"/>
              </w:rPr>
              <w:t>Group</w:t>
            </w:r>
          </w:p>
        </w:tc>
        <w:tc>
          <w:tcPr>
            <w:tcW w:w="3190"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18%*</w:t>
            </w:r>
          </w:p>
        </w:tc>
        <w:tc>
          <w:tcPr>
            <w:tcW w:w="3191"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18%*</w:t>
            </w:r>
          </w:p>
        </w:tc>
      </w:tr>
      <w:tr w:rsidR="0019093A" w:rsidRPr="001E3251" w:rsidTr="001E3251">
        <w:tc>
          <w:tcPr>
            <w:tcW w:w="3190" w:type="dxa"/>
          </w:tcPr>
          <w:p w:rsidR="0019093A" w:rsidRPr="001E3251" w:rsidRDefault="0019093A" w:rsidP="001E3251">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DEZIAL</w:t>
            </w:r>
            <w:r w:rsidRPr="001E3251">
              <w:rPr>
                <w:rFonts w:ascii="TimesNewRomanPSMT" w:hAnsi="TimesNewRomanPSMT" w:cs="TimesNewRomanPSMT"/>
                <w:sz w:val="23"/>
                <w:szCs w:val="23"/>
              </w:rPr>
              <w:t xml:space="preserve"> 10-</w:t>
            </w:r>
          </w:p>
          <w:p w:rsidR="0019093A" w:rsidRPr="001E3251" w:rsidRDefault="0019093A" w:rsidP="001E3251">
            <w:pPr>
              <w:spacing w:after="0" w:line="240" w:lineRule="auto"/>
              <w:rPr>
                <w:lang w:val="en-US"/>
              </w:rPr>
            </w:pPr>
            <w:r w:rsidRPr="001E3251">
              <w:rPr>
                <w:rFonts w:ascii="TimesNewRomanPSMT" w:hAnsi="TimesNewRomanPSMT" w:cs="TimesNewRomanPSMT"/>
                <w:sz w:val="23"/>
                <w:szCs w:val="23"/>
              </w:rPr>
              <w:t>mg Group</w:t>
            </w:r>
          </w:p>
        </w:tc>
        <w:tc>
          <w:tcPr>
            <w:tcW w:w="3190"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21%*</w:t>
            </w:r>
          </w:p>
        </w:tc>
        <w:tc>
          <w:tcPr>
            <w:tcW w:w="3191" w:type="dxa"/>
          </w:tcPr>
          <w:p w:rsidR="0019093A" w:rsidRPr="001E3251" w:rsidRDefault="0019093A" w:rsidP="00B20DAA">
            <w:pPr>
              <w:spacing w:after="0" w:line="240" w:lineRule="auto"/>
              <w:jc w:val="center"/>
              <w:rPr>
                <w:lang w:val="en-US"/>
              </w:rPr>
            </w:pPr>
            <w:r w:rsidRPr="001E3251">
              <w:rPr>
                <w:rFonts w:ascii="TimesNewRomanPSMT" w:hAnsi="TimesNewRomanPSMT" w:cs="TimesNewRomanPSMT"/>
                <w:sz w:val="23"/>
                <w:szCs w:val="23"/>
              </w:rPr>
              <w:t>22%**</w:t>
            </w:r>
          </w:p>
        </w:tc>
      </w:tr>
    </w:tbl>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p&lt;0.05</w:t>
      </w:r>
    </w:p>
    <w:p w:rsidR="0019093A" w:rsidRDefault="0019093A" w:rsidP="00621A3C">
      <w:pPr>
        <w:rPr>
          <w:rFonts w:ascii="TimesNewRomanPSMT" w:hAnsi="TimesNewRomanPSMT" w:cs="TimesNewRomanPSMT"/>
          <w:sz w:val="23"/>
          <w:szCs w:val="23"/>
        </w:rPr>
      </w:pPr>
      <w:r>
        <w:rPr>
          <w:rFonts w:ascii="TimesNewRomanPSMT" w:hAnsi="TimesNewRomanPSMT" w:cs="TimesNewRomanPSMT"/>
          <w:sz w:val="23"/>
          <w:szCs w:val="23"/>
        </w:rPr>
        <w:t>** p&lt;0.01</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 DEZIAL προκάλεσε μία δοσοεξαρτώμενη στατιστικά σημαντική αύξηση στο ποσοστό</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των ασθενών που κρίθηκαν ως ανταποκρινόμενοι στη θεραπεία.</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Default="0019093A" w:rsidP="00621A3C">
      <w:pPr>
        <w:autoSpaceDE w:val="0"/>
        <w:autoSpaceDN w:val="0"/>
        <w:adjustRightInd w:val="0"/>
        <w:spacing w:after="0" w:line="240" w:lineRule="auto"/>
        <w:rPr>
          <w:rFonts w:ascii="TimesNewRomanPS-BoldMT Greek" w:hAnsi="TimesNewRomanPS-BoldMT Greek" w:cs="TimesNewRomanPS-BoldMT Greek"/>
          <w:b/>
          <w:bCs/>
          <w:sz w:val="23"/>
          <w:szCs w:val="23"/>
        </w:rPr>
      </w:pPr>
      <w:r>
        <w:rPr>
          <w:rFonts w:ascii="TimesNewRomanPS-BoldMT Greek" w:hAnsi="TimesNewRomanPS-BoldMT Greek" w:cs="TimesNewRomanPS-BoldMT Greek"/>
          <w:b/>
          <w:bCs/>
          <w:sz w:val="23"/>
          <w:szCs w:val="23"/>
        </w:rPr>
        <w:t>5.2 Φαρμακοκινητικές Ιδιότητες</w:t>
      </w: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ItalicMT Greek" w:hAnsi="TimesNewRomanPS-ItalicMT Greek" w:cs="TimesNewRomanPS-ItalicMT Greek"/>
          <w:i/>
          <w:iCs/>
          <w:sz w:val="23"/>
          <w:szCs w:val="23"/>
        </w:rPr>
        <w:t>Απορρόφηση</w:t>
      </w:r>
      <w:r>
        <w:rPr>
          <w:rFonts w:ascii="TimesNewRomanPSMT Greek" w:hAnsi="TimesNewRomanPSMT Greek" w:cs="TimesNewRomanPSMT Greek"/>
          <w:sz w:val="23"/>
          <w:szCs w:val="23"/>
        </w:rPr>
        <w:t>: Οι μέγιστες συγκεντρώσεις στο πλάσμα επιτυγχάνονται περίπου 3-4 ώρες μετά</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την από του στόματος χορήγηση. Η συγκέντρωση στο πλάσμα και η AUC αυξάνονται</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ανάλογα με τη δόση. Ο τελικός χρόνος ημίσειας ζωής της κατανομής του φαρμάκου στον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οργανισμό είναι περίπου 70 ώρες, κατά συνέπεια, η χορήγηση πολλαπλών εφ’άπαξ</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ημερήσιων δόσεων οδηγεί βαθμιαία σε σταθεροποιημένη κατάσταση. Κατά προσέγγιση, 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σταθεροποιημένη κατάσταση επιτυγχάνεται εντός 3 εβδομάδων από την έναρξη της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θεραπείας. Μετά την επίτευξή της, οι συγκεντρώσεις της υδροχλωρικής δονεπεζίλης στο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πλάσμα και η σχετική φαρμακοδυναμική της δραστηριότητα παρουσιάζουν πολύ μικρή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διαφοροποίηση κατά τη διάρκεια της ημέρας.</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Η λήψη τροφής δεν επηρεάζει την απορρόφηση της υδροχλωρικής δονεπεζίλης.</w:t>
      </w:r>
    </w:p>
    <w:p w:rsidR="0019093A" w:rsidRPr="0062709B"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ItalicMT Greek" w:hAnsi="TimesNewRomanPS-ItalicMT Greek" w:cs="TimesNewRomanPS-ItalicMT Greek"/>
          <w:i/>
          <w:iCs/>
          <w:sz w:val="23"/>
          <w:szCs w:val="23"/>
        </w:rPr>
        <w:t>Κατανομή</w:t>
      </w:r>
      <w:r>
        <w:rPr>
          <w:rFonts w:ascii="TimesNewRomanPSMT Greek" w:hAnsi="TimesNewRomanPSMT Greek" w:cs="TimesNewRomanPSMT Greek"/>
          <w:sz w:val="23"/>
          <w:szCs w:val="23"/>
        </w:rPr>
        <w:t>: Η υδροχλωρική δονεπεζίλη δεσμεύεται σε ποσοστό περίπου 95% με τις πρωτεϊνες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του πλάσματος. Δεν είναι γνωστός ο βαθμός δέσμευσης του ενεργού μεταβολίτη 6-Ο-</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 xml:space="preserve">απομεθυλιωμένη δονεπεζίλη με τις πρωτεϊνες του πλάσματος. </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κατανομή της υδροχλωρικής δονεπεζίλης στους διάφορους σωματικούς ιστούς δεν έχει μελετηθεί</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επακριβώς. Ωστόσο, σε μία μελέτη με αντικείμενο τη συνολική κατανομή του φαρμάκου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στο σώμα (“mass balance”) που έγινε σε υγιείς άρρενες εθελοντές, 240 ώρες μετά τη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χορήγηση απλής δόσης 5 mg </w:t>
      </w:r>
      <w:r w:rsidRPr="003E44F7">
        <w:rPr>
          <w:rFonts w:ascii="TimesNewRomanPSMT" w:hAnsi="TimesNewRomanPSMT" w:cs="TimesNewRomanPSMT"/>
          <w:sz w:val="18"/>
          <w:szCs w:val="18"/>
          <w:vertAlign w:val="superscript"/>
        </w:rPr>
        <w:t>14</w:t>
      </w:r>
      <w:r>
        <w:rPr>
          <w:rFonts w:ascii="TimesNewRomanPSMT Greek" w:hAnsi="TimesNewRomanPSMT Greek" w:cs="TimesNewRomanPSMT Greek"/>
          <w:sz w:val="23"/>
          <w:szCs w:val="23"/>
        </w:rPr>
        <w:t>C-ραδιοσημασμένης υδροχλωρικής δονεπεζίλης, περίπου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28% της ραδιοσημασμένης ποσότητας παρέμενε στον οργανισμό. Το γεγονός αυτό</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υποδεικνύει ότι η υδροχλωρική δονεπεζίλη και/ή οι μεταβολίτες της μπορούν να</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παραμείνουν στον οργανισμό για περισσότερο από 10 ημέρες.</w:t>
      </w:r>
    </w:p>
    <w:p w:rsidR="0019093A" w:rsidRPr="00A56BD2"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ItalicMT Greek" w:hAnsi="TimesNewRomanPS-ItalicMT Greek" w:cs="TimesNewRomanPS-ItalicMT Greek"/>
          <w:i/>
          <w:iCs/>
          <w:sz w:val="23"/>
          <w:szCs w:val="23"/>
        </w:rPr>
        <w:t>Μεταβολισμός/Απέκκριση</w:t>
      </w:r>
      <w:r>
        <w:rPr>
          <w:rFonts w:ascii="TimesNewRomanPSMT Greek" w:hAnsi="TimesNewRomanPSMT Greek" w:cs="TimesNewRomanPSMT Greek"/>
          <w:sz w:val="23"/>
          <w:szCs w:val="23"/>
        </w:rPr>
        <w:t>: Η υδροχλωρική δονεπεζίλη απεκκρίνεται αφ’ενός μεν αναλλοίωτη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στα ούρα, αφ’ετέρου δε μεταβολίζεται από το σύστημα του κυτοχρώματος P450 σε</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διάφορους μεταβολίτες, εκ των οποίων ορισμένοι δεν έχουν ταυτοποιηθεί. Μετά από</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χορήγηση μίας απλής δόσης 5 mg </w:t>
      </w:r>
      <w:r w:rsidRPr="003E44F7">
        <w:rPr>
          <w:rFonts w:ascii="TimesNewRomanPSMT" w:hAnsi="TimesNewRomanPSMT" w:cs="TimesNewRomanPSMT"/>
          <w:sz w:val="18"/>
          <w:szCs w:val="18"/>
          <w:vertAlign w:val="superscript"/>
        </w:rPr>
        <w:t>14</w:t>
      </w:r>
      <w:r>
        <w:rPr>
          <w:rFonts w:ascii="TimesNewRomanPSMT Greek" w:hAnsi="TimesNewRomanPSMT Greek" w:cs="TimesNewRomanPSMT Greek"/>
          <w:sz w:val="23"/>
          <w:szCs w:val="23"/>
        </w:rPr>
        <w:t>C-σημασμένης υδροχλωρικής δονεπεζίλης, η ραδιενεργή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δραστηριότητα στο πλάσμα, σαν ποσοστό της χορηγούμενης δόσης, οφείλεται κυρίως στην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αναλλοίωτη υδροχλωρική δονεπεζίλη (30%), στην 6-Ο-απομεθυλιωμένη δονεπεζίλη (11% - 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μόνος μεταβολίτης που επιδεικνύει παρόμοια δράση με την υδροχλωρική δονεπεζίλη), στο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donepezil-cis-N-oxide (9%), στην 5-Ο-απομεθυλιωμένη δονεπεζίλη (7%) και στο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συνεζευγμένο γλυκουρονίδιο της 5-Ο-απομεθυλιωμένης δονεπεζίλης (3%). Ποσοστό 57%</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περίπου της ολικής ραδιενεργού δόσης απομακρύνθηκε μέσω των ούρων (17% ως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αναλλοίωτη δονεπεζίλη) και 14,5% απομακρύνθηκε μέσω των κοπράνων, υποδεικνύοντας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ότι ο βιομεταβολισμός και η απέκκριση δια των ούρων είναι οι κύριες απεκκριτικές οδοί.</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Δεν υπάρχουν ενδείξεις εντεροηπατικής επανακυκλοφορίας της υδροχλωρικής δονεπεζίλης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και/ή των μεταβολιτών της. Ο χρόνος ημιζωής της δονεπεζίλης στο πλάσμα είναι περίπου 70</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ώρες.</w:t>
      </w:r>
    </w:p>
    <w:p w:rsidR="0019093A" w:rsidRPr="00A56BD2"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 φύλο, η φυλή και η ύπαρξη ιστορικού καπνίσματος δεν έχουν κλινικώς σημαντική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επίδραση επί των συγκεντρώσεων της υδροχλωρικής δονεπεζίλης στο πλάσμα. 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φαρμακοκινητική της δονεπεζίλης δεν έχει μελετηθεί επίσημα σε υγιή ηλικιωμένα άτομα ή</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ασθενείς με Alzheimer ή σε ασθενείς με αγγειακή άνοια. Ωστόσο, η μέση συγκέντρωση στο</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πλάσμα των ασθενών ήταν παρόμοια σε μεγάλο βαθμό με τη μέση συγκέντρωση στο πλάσμα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των νεαρών υγιών εθελοντών.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Ασθενείς με ήπιας έως μέτριας βαρύτητας ηπατική ανεπάρκεια εμφάνισαν αυξημένες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συγκεντρώσεις δονεπεζίλης στη σταθεροποιημένη κατάσταση, αύξηση της μέσης AUC κατά</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48% και της μέσης C</w:t>
      </w:r>
      <w:r>
        <w:rPr>
          <w:rFonts w:ascii="TimesNewRomanPSMT" w:hAnsi="TimesNewRomanPSMT" w:cs="TimesNewRomanPSMT"/>
          <w:sz w:val="15"/>
          <w:szCs w:val="15"/>
        </w:rPr>
        <w:t xml:space="preserve">max </w:t>
      </w:r>
      <w:r>
        <w:rPr>
          <w:rFonts w:ascii="TimesNewRomanPSMT Greek" w:hAnsi="TimesNewRomanPSMT Greek" w:cs="TimesNewRomanPSMT Greek"/>
          <w:sz w:val="23"/>
          <w:szCs w:val="23"/>
        </w:rPr>
        <w:t>κατά 39% (βλέπε παράγραφο 4.2).</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5.3 Προκλινικά δεδομένα για την ασφάλεια</w:t>
      </w:r>
    </w:p>
    <w:p w:rsidR="0019093A" w:rsidRPr="00A56BD2" w:rsidRDefault="0019093A" w:rsidP="00621A3C">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Εκτεταμένοι έλεγχοι σε πειραματόζωα έδειξαν ότι η δονεπεζίλη έχει ελάχιστες επιδράσεις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εκτός από την επιθυμητή φαρμακολογική δράση της, που είναι σύμφωνη με το ρόλο της ως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χολινεργικός διεγέρτης (βλέπε παράγραφο 4.9). Η δονεπεζίλη δεν είναι μεταλλαξιογόνος σε</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δοκιμασίες μετάλλαξης με βακτηριακά κύτταρα ή κύτταρα θηλαστικών. Θραύση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χρωματοσωμάτων </w:t>
      </w:r>
      <w:r>
        <w:rPr>
          <w:rFonts w:ascii="TimesNewRomanPS-ItalicMT" w:hAnsi="TimesNewRomanPS-ItalicMT" w:cs="TimesNewRomanPS-ItalicMT"/>
          <w:i/>
          <w:iCs/>
          <w:sz w:val="23"/>
          <w:szCs w:val="23"/>
        </w:rPr>
        <w:t xml:space="preserve">in vitro </w:t>
      </w:r>
      <w:r>
        <w:rPr>
          <w:rFonts w:ascii="TimesNewRomanPSMT Greek" w:hAnsi="TimesNewRomanPSMT Greek" w:cs="TimesNewRomanPSMT Greek"/>
          <w:sz w:val="23"/>
          <w:szCs w:val="23"/>
        </w:rPr>
        <w:t>παρουσιάστηκε σε κάποιο βαθμό, σε συγκεντρώσεις εμφανώς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τοξικές για τα κύτταρα και περισσότερο από 3000 φορές υψηλότερες από τις συγκεντρώσεις</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στη σταθεροποιημένη κατάσταση στο πλάσμα. Δεν παρατηρήθηκε θραύση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χρωματοσωμάτων ή άλλες γονιδιοτοξικές επιδράσεις στο μοντέλο μελέτης μικροπυρήνων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κυττάρων ποντικών </w:t>
      </w:r>
      <w:r>
        <w:rPr>
          <w:rFonts w:ascii="TimesNewRomanPS-ItalicMT" w:hAnsi="TimesNewRomanPS-ItalicMT" w:cs="TimesNewRomanPS-ItalicMT"/>
          <w:i/>
          <w:iCs/>
          <w:sz w:val="23"/>
          <w:szCs w:val="23"/>
        </w:rPr>
        <w:t>in vivo</w:t>
      </w:r>
      <w:r>
        <w:rPr>
          <w:rFonts w:ascii="TimesNewRomanPSMT Greek" w:hAnsi="TimesNewRomanPSMT Greek" w:cs="TimesNewRomanPSMT Greek"/>
          <w:sz w:val="23"/>
          <w:szCs w:val="23"/>
        </w:rPr>
        <w:t>. Μακροχρόνιες μελέτες καρκινογένεσης που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πραγματοποιήθηκαν σε αρουραίους και σε ποντίκια, δεν έδειξαν πιθανή ογκογόνο δράση.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Η υδροχλωρική δονεπεζίλη δεν είχε καμία επίδραση επί της γονιμότητας σε αρουραίους και</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δεν παρουσίασε τερατογόνο δράση σε αρουραίους ή κουνέλια, αλλά είχε μία μικρή επίδραση</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στον αριθμό των θνησιγενών εμβρύων και των νεογνών που επιβίωσαν, όταν χορηγήθηκε σε εγκύους αρουραίους, σε δόσεις 50 φορές μεγαλύτερες της ανθρώπινης δόσης (βλέπε</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r>
        <w:rPr>
          <w:rFonts w:ascii="TimesNewRomanPSMT Greek" w:hAnsi="TimesNewRomanPSMT Greek" w:cs="TimesNewRomanPSMT Greek"/>
          <w:sz w:val="23"/>
          <w:szCs w:val="23"/>
        </w:rPr>
        <w:t>παράγραφο 4.6).</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6. ΦΑΡΜΑΚΕΥΤΙΚΕΣ ΠΛΗΡΟΦΟΡΙΕΣ</w:t>
      </w: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6.1 Κατάλογος εκδόχων</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Lactose monohydrate</w:t>
      </w:r>
    </w:p>
    <w:p w:rsidR="0019093A" w:rsidRPr="00042B75" w:rsidRDefault="0019093A" w:rsidP="003E44F7">
      <w:pPr>
        <w:autoSpaceDE w:val="0"/>
        <w:autoSpaceDN w:val="0"/>
        <w:adjustRightInd w:val="0"/>
        <w:spacing w:after="0" w:line="240" w:lineRule="auto"/>
        <w:rPr>
          <w:rFonts w:ascii="TimesNewRomanPSMT" w:hAnsi="TimesNewRomanPSMT" w:cs="TimesNewRomanPSMT"/>
          <w:sz w:val="23"/>
          <w:szCs w:val="23"/>
          <w:lang w:val="en-GB"/>
        </w:rPr>
      </w:pPr>
      <w:r>
        <w:rPr>
          <w:rFonts w:ascii="TimesNewRomanPSMT" w:hAnsi="TimesNewRomanPSMT" w:cs="TimesNewRomanPSMT"/>
          <w:sz w:val="23"/>
          <w:szCs w:val="23"/>
          <w:lang w:val="en-US"/>
        </w:rPr>
        <w:t>C</w:t>
      </w:r>
      <w:r w:rsidRPr="00621A3C">
        <w:rPr>
          <w:rFonts w:ascii="TimesNewRomanPSMT" w:hAnsi="TimesNewRomanPSMT" w:cs="TimesNewRomanPSMT"/>
          <w:sz w:val="23"/>
          <w:szCs w:val="23"/>
          <w:lang w:val="en-US"/>
        </w:rPr>
        <w:t>ellulose</w:t>
      </w:r>
      <w:r w:rsidRPr="00042B75">
        <w:rPr>
          <w:rFonts w:ascii="TimesNewRomanPSMT" w:hAnsi="TimesNewRomanPSMT" w:cs="TimesNewRomanPSMT"/>
          <w:sz w:val="23"/>
          <w:szCs w:val="23"/>
          <w:lang w:val="en-GB"/>
        </w:rPr>
        <w:t xml:space="preserve"> </w:t>
      </w:r>
      <w:r w:rsidRPr="00621A3C">
        <w:rPr>
          <w:rFonts w:ascii="TimesNewRomanPSMT" w:hAnsi="TimesNewRomanPSMT" w:cs="TimesNewRomanPSMT"/>
          <w:sz w:val="23"/>
          <w:szCs w:val="23"/>
          <w:lang w:val="en-US"/>
        </w:rPr>
        <w:t>Microcrystalline</w:t>
      </w:r>
      <w:r w:rsidRPr="00042B75">
        <w:rPr>
          <w:rFonts w:ascii="TimesNewRomanPSMT" w:hAnsi="TimesNewRomanPSMT" w:cs="TimesNewRomanPSMT"/>
          <w:sz w:val="23"/>
          <w:szCs w:val="23"/>
          <w:lang w:val="en-GB"/>
        </w:rPr>
        <w:t xml:space="preserve"> </w:t>
      </w:r>
    </w:p>
    <w:p w:rsidR="0019093A" w:rsidRPr="00042B75" w:rsidRDefault="0019093A" w:rsidP="00621A3C">
      <w:pPr>
        <w:autoSpaceDE w:val="0"/>
        <w:autoSpaceDN w:val="0"/>
        <w:adjustRightInd w:val="0"/>
        <w:spacing w:after="0" w:line="240" w:lineRule="auto"/>
        <w:rPr>
          <w:rFonts w:ascii="TimesNewRomanPSMT" w:hAnsi="TimesNewRomanPSMT" w:cs="TimesNewRomanPSMT"/>
          <w:sz w:val="23"/>
          <w:szCs w:val="23"/>
          <w:lang w:val="en-GB"/>
        </w:rPr>
      </w:pPr>
      <w:r w:rsidRPr="00621A3C">
        <w:rPr>
          <w:rFonts w:ascii="TimesNewRomanPSMT" w:hAnsi="TimesNewRomanPSMT" w:cs="TimesNewRomanPSMT"/>
          <w:sz w:val="23"/>
          <w:szCs w:val="23"/>
          <w:lang w:val="en-US"/>
        </w:rPr>
        <w:t>Maize</w:t>
      </w:r>
      <w:r w:rsidRPr="00042B75">
        <w:rPr>
          <w:rFonts w:ascii="TimesNewRomanPSMT" w:hAnsi="TimesNewRomanPSMT" w:cs="TimesNewRomanPSMT"/>
          <w:sz w:val="23"/>
          <w:szCs w:val="23"/>
          <w:lang w:val="en-GB"/>
        </w:rPr>
        <w:t xml:space="preserve"> </w:t>
      </w:r>
      <w:r w:rsidRPr="00621A3C">
        <w:rPr>
          <w:rFonts w:ascii="TimesNewRomanPSMT" w:hAnsi="TimesNewRomanPSMT" w:cs="TimesNewRomanPSMT"/>
          <w:sz w:val="23"/>
          <w:szCs w:val="23"/>
          <w:lang w:val="en-US"/>
        </w:rPr>
        <w:t>starch</w:t>
      </w:r>
    </w:p>
    <w:p w:rsidR="0019093A" w:rsidRPr="00042B75" w:rsidRDefault="0019093A" w:rsidP="00621A3C">
      <w:pPr>
        <w:autoSpaceDE w:val="0"/>
        <w:autoSpaceDN w:val="0"/>
        <w:adjustRightInd w:val="0"/>
        <w:spacing w:after="0" w:line="240" w:lineRule="auto"/>
        <w:rPr>
          <w:rFonts w:ascii="TimesNewRomanPSMT" w:hAnsi="TimesNewRomanPSMT" w:cs="TimesNewRomanPSMT"/>
          <w:sz w:val="23"/>
          <w:szCs w:val="23"/>
          <w:lang w:val="en-GB"/>
        </w:rPr>
      </w:pPr>
      <w:r w:rsidRPr="00621A3C">
        <w:rPr>
          <w:rFonts w:ascii="TimesNewRomanPSMT" w:hAnsi="TimesNewRomanPSMT" w:cs="TimesNewRomanPSMT"/>
          <w:sz w:val="23"/>
          <w:szCs w:val="23"/>
          <w:lang w:val="en-US"/>
        </w:rPr>
        <w:t>Magnesium</w:t>
      </w:r>
      <w:r w:rsidRPr="00042B75">
        <w:rPr>
          <w:rFonts w:ascii="TimesNewRomanPSMT" w:hAnsi="TimesNewRomanPSMT" w:cs="TimesNewRomanPSMT"/>
          <w:sz w:val="23"/>
          <w:szCs w:val="23"/>
          <w:lang w:val="en-GB"/>
        </w:rPr>
        <w:t xml:space="preserve"> </w:t>
      </w:r>
      <w:r w:rsidRPr="00621A3C">
        <w:rPr>
          <w:rFonts w:ascii="TimesNewRomanPSMT" w:hAnsi="TimesNewRomanPSMT" w:cs="TimesNewRomanPSMT"/>
          <w:sz w:val="23"/>
          <w:szCs w:val="23"/>
          <w:lang w:val="en-US"/>
        </w:rPr>
        <w:t>stearate</w:t>
      </w:r>
      <w:r w:rsidRPr="00042B75">
        <w:rPr>
          <w:rFonts w:ascii="TimesNewRomanPSMT" w:hAnsi="TimesNewRomanPSMT" w:cs="TimesNewRomanPSMT"/>
          <w:sz w:val="23"/>
          <w:szCs w:val="23"/>
          <w:lang w:val="en-GB"/>
        </w:rPr>
        <w:t>.</w:t>
      </w:r>
    </w:p>
    <w:p w:rsidR="0019093A" w:rsidRPr="00042B75" w:rsidRDefault="0019093A" w:rsidP="00621A3C">
      <w:pPr>
        <w:autoSpaceDE w:val="0"/>
        <w:autoSpaceDN w:val="0"/>
        <w:adjustRightInd w:val="0"/>
        <w:spacing w:after="0" w:line="240" w:lineRule="auto"/>
        <w:rPr>
          <w:rFonts w:ascii="TimesNewRomanPSMT" w:hAnsi="TimesNewRomanPSMT" w:cs="TimesNewRomanPSMT"/>
          <w:sz w:val="23"/>
          <w:szCs w:val="23"/>
          <w:lang w:val="en-GB"/>
        </w:rPr>
      </w:pPr>
      <w:r>
        <w:rPr>
          <w:rFonts w:ascii="TimesNewRomanPSMT" w:hAnsi="TimesNewRomanPSMT" w:cs="TimesNewRomanPSMT"/>
          <w:sz w:val="23"/>
          <w:szCs w:val="23"/>
          <w:lang w:val="en-US"/>
        </w:rPr>
        <w:t>Hydroxypropylcellulose</w:t>
      </w:r>
    </w:p>
    <w:p w:rsidR="0019093A" w:rsidRPr="00042B75" w:rsidRDefault="0019093A" w:rsidP="00621A3C">
      <w:pPr>
        <w:autoSpaceDE w:val="0"/>
        <w:autoSpaceDN w:val="0"/>
        <w:adjustRightInd w:val="0"/>
        <w:spacing w:after="0" w:line="240" w:lineRule="auto"/>
        <w:rPr>
          <w:rFonts w:ascii="TimesNewRomanPSMT" w:hAnsi="TimesNewRomanPSMT" w:cs="TimesNewRomanPSMT"/>
          <w:sz w:val="23"/>
          <w:szCs w:val="23"/>
          <w:lang w:val="en-GB"/>
        </w:rPr>
      </w:pPr>
    </w:p>
    <w:p w:rsidR="0019093A" w:rsidRPr="00042B75" w:rsidRDefault="0019093A" w:rsidP="00621A3C">
      <w:pPr>
        <w:autoSpaceDE w:val="0"/>
        <w:autoSpaceDN w:val="0"/>
        <w:adjustRightInd w:val="0"/>
        <w:spacing w:after="0" w:line="240" w:lineRule="auto"/>
        <w:rPr>
          <w:rFonts w:ascii="TimesNewRomanPSMT" w:hAnsi="TimesNewRomanPSMT" w:cs="TimesNewRomanPSMT"/>
          <w:sz w:val="23"/>
          <w:szCs w:val="23"/>
          <w:u w:val="single"/>
          <w:lang w:val="en-GB"/>
        </w:rPr>
      </w:pPr>
      <w:r w:rsidRPr="003E44F7">
        <w:rPr>
          <w:rFonts w:ascii="TimesNewRomanPSMT" w:hAnsi="TimesNewRomanPSMT" w:cs="TimesNewRomanPSMT"/>
          <w:sz w:val="23"/>
          <w:szCs w:val="23"/>
          <w:u w:val="single"/>
          <w:lang w:val="en-US"/>
        </w:rPr>
        <w:t>E</w:t>
      </w:r>
      <w:r w:rsidRPr="003E44F7">
        <w:rPr>
          <w:rFonts w:ascii="TimesNewRomanPSMT Greek" w:hAnsi="TimesNewRomanPSMT Greek" w:cs="TimesNewRomanPSMT Greek"/>
          <w:sz w:val="23"/>
          <w:szCs w:val="23"/>
          <w:u w:val="single"/>
        </w:rPr>
        <w:t>πικάλυψη</w:t>
      </w:r>
    </w:p>
    <w:p w:rsidR="0019093A" w:rsidRPr="00042B75" w:rsidRDefault="0019093A" w:rsidP="003E44F7">
      <w:pPr>
        <w:autoSpaceDE w:val="0"/>
        <w:autoSpaceDN w:val="0"/>
        <w:adjustRightInd w:val="0"/>
        <w:spacing w:after="0" w:line="240" w:lineRule="auto"/>
        <w:rPr>
          <w:rFonts w:ascii="TimesNewRomanPSMT" w:hAnsi="TimesNewRomanPSMT" w:cs="TimesNewRomanPSMT"/>
          <w:sz w:val="23"/>
          <w:szCs w:val="23"/>
          <w:lang w:val="en-GB"/>
        </w:rPr>
      </w:pPr>
      <w:r w:rsidRPr="00621A3C">
        <w:rPr>
          <w:rFonts w:ascii="TimesNewRomanPSMT" w:hAnsi="TimesNewRomanPSMT" w:cs="TimesNewRomanPSMT"/>
          <w:sz w:val="23"/>
          <w:szCs w:val="23"/>
          <w:lang w:val="en-US"/>
        </w:rPr>
        <w:t>Hypromellose</w:t>
      </w:r>
    </w:p>
    <w:p w:rsidR="0019093A" w:rsidRPr="005175FE" w:rsidRDefault="0019093A" w:rsidP="00621A3C">
      <w:pPr>
        <w:autoSpaceDE w:val="0"/>
        <w:autoSpaceDN w:val="0"/>
        <w:adjustRightInd w:val="0"/>
        <w:spacing w:after="0" w:line="240" w:lineRule="auto"/>
        <w:rPr>
          <w:rFonts w:ascii="TimesNewRomanPSMT" w:hAnsi="TimesNewRomanPSMT" w:cs="TimesNewRomanPSMT"/>
          <w:sz w:val="23"/>
          <w:szCs w:val="23"/>
          <w:lang w:val="en-US"/>
        </w:rPr>
      </w:pPr>
      <w:r w:rsidRPr="00621A3C">
        <w:rPr>
          <w:rFonts w:ascii="TimesNewRomanPSMT" w:hAnsi="TimesNewRomanPSMT" w:cs="TimesNewRomanPSMT"/>
          <w:sz w:val="23"/>
          <w:szCs w:val="23"/>
          <w:lang w:val="en-US"/>
        </w:rPr>
        <w:t>Talc</w:t>
      </w:r>
    </w:p>
    <w:p w:rsidR="0019093A" w:rsidRPr="005175FE" w:rsidRDefault="0019093A" w:rsidP="00621A3C">
      <w:pPr>
        <w:autoSpaceDE w:val="0"/>
        <w:autoSpaceDN w:val="0"/>
        <w:adjustRightInd w:val="0"/>
        <w:spacing w:after="0" w:line="240" w:lineRule="auto"/>
        <w:rPr>
          <w:rFonts w:ascii="TimesNewRomanPSMT" w:hAnsi="TimesNewRomanPSMT" w:cs="TimesNewRomanPSMT"/>
          <w:sz w:val="23"/>
          <w:szCs w:val="23"/>
          <w:lang w:val="en-US"/>
        </w:rPr>
      </w:pPr>
      <w:r w:rsidRPr="00621A3C">
        <w:rPr>
          <w:rFonts w:ascii="TimesNewRomanPSMT" w:hAnsi="TimesNewRomanPSMT" w:cs="TimesNewRomanPSMT"/>
          <w:sz w:val="23"/>
          <w:szCs w:val="23"/>
          <w:lang w:val="en-US"/>
        </w:rPr>
        <w:t>Macrogol</w:t>
      </w:r>
    </w:p>
    <w:p w:rsidR="0019093A" w:rsidRPr="005175FE" w:rsidRDefault="0019093A" w:rsidP="00621A3C">
      <w:pPr>
        <w:autoSpaceDE w:val="0"/>
        <w:autoSpaceDN w:val="0"/>
        <w:adjustRightInd w:val="0"/>
        <w:spacing w:after="0" w:line="240" w:lineRule="auto"/>
        <w:rPr>
          <w:rFonts w:ascii="TimesNewRomanPSMT" w:hAnsi="TimesNewRomanPSMT" w:cs="TimesNewRomanPSMT"/>
          <w:sz w:val="23"/>
          <w:szCs w:val="23"/>
          <w:lang w:val="en-US"/>
        </w:rPr>
      </w:pPr>
      <w:r w:rsidRPr="00621A3C">
        <w:rPr>
          <w:rFonts w:ascii="TimesNewRomanPSMT" w:hAnsi="TimesNewRomanPSMT" w:cs="TimesNewRomanPSMT"/>
          <w:sz w:val="23"/>
          <w:szCs w:val="23"/>
          <w:lang w:val="en-US"/>
        </w:rPr>
        <w:t>Titanium</w:t>
      </w:r>
      <w:r w:rsidRPr="005175FE">
        <w:rPr>
          <w:rFonts w:ascii="TimesNewRomanPSMT" w:hAnsi="TimesNewRomanPSMT" w:cs="TimesNewRomanPSMT"/>
          <w:sz w:val="23"/>
          <w:szCs w:val="23"/>
          <w:lang w:val="en-US"/>
        </w:rPr>
        <w:t xml:space="preserve"> </w:t>
      </w:r>
      <w:r w:rsidRPr="00621A3C">
        <w:rPr>
          <w:rFonts w:ascii="TimesNewRomanPSMT" w:hAnsi="TimesNewRomanPSMT" w:cs="TimesNewRomanPSMT"/>
          <w:sz w:val="23"/>
          <w:szCs w:val="23"/>
          <w:lang w:val="en-US"/>
        </w:rPr>
        <w:t>dioxide</w:t>
      </w:r>
      <w:r w:rsidRPr="005175FE">
        <w:rPr>
          <w:rFonts w:ascii="TimesNewRomanPSMT" w:hAnsi="TimesNewRomanPSMT" w:cs="TimesNewRomanPSMT"/>
          <w:sz w:val="23"/>
          <w:szCs w:val="23"/>
          <w:lang w:val="en-US"/>
        </w:rPr>
        <w:t xml:space="preserve"> </w:t>
      </w:r>
    </w:p>
    <w:p w:rsidR="0019093A" w:rsidRPr="005175FE" w:rsidRDefault="0019093A" w:rsidP="00621A3C">
      <w:pPr>
        <w:autoSpaceDE w:val="0"/>
        <w:autoSpaceDN w:val="0"/>
        <w:adjustRightInd w:val="0"/>
        <w:spacing w:after="0" w:line="240" w:lineRule="auto"/>
        <w:rPr>
          <w:rFonts w:ascii="TimesNewRomanPS-BoldMT" w:hAnsi="TimesNewRomanPS-BoldMT" w:cs="TimesNewRomanPS-BoldMT"/>
          <w:b/>
          <w:bCs/>
          <w:sz w:val="23"/>
          <w:szCs w:val="23"/>
          <w:lang w:val="en-US"/>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6.2 </w:t>
      </w:r>
      <w:r>
        <w:rPr>
          <w:rFonts w:ascii="TimesNewRomanPS-BoldMT Greek" w:hAnsi="TimesNewRomanPS-BoldMT Greek" w:cs="TimesNewRomanPS-BoldMT Greek"/>
          <w:b/>
          <w:bCs/>
          <w:sz w:val="23"/>
          <w:szCs w:val="23"/>
        </w:rPr>
        <w:t>Ασυμβατότητες</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Δεν εφαρμόζεται.</w:t>
      </w: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6.3 Διάρκεια ζωής</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r w:rsidRPr="00A56BD2">
        <w:rPr>
          <w:rFonts w:ascii="Times New Roman" w:hAnsi="Times New Roman" w:cs="TimesNewRomanPSMT Greek"/>
          <w:sz w:val="23"/>
          <w:szCs w:val="23"/>
        </w:rPr>
        <w:t>2</w:t>
      </w:r>
      <w:r>
        <w:rPr>
          <w:rFonts w:ascii="TimesNewRomanPSMT Greek" w:hAnsi="TimesNewRomanPSMT Greek" w:cs="TimesNewRomanPSMT Greek"/>
          <w:sz w:val="23"/>
          <w:szCs w:val="23"/>
        </w:rPr>
        <w:t xml:space="preserve"> χρόνια</w:t>
      </w:r>
    </w:p>
    <w:p w:rsidR="0019093A" w:rsidRPr="00A56BD2" w:rsidRDefault="0019093A" w:rsidP="00621A3C">
      <w:pPr>
        <w:autoSpaceDE w:val="0"/>
        <w:autoSpaceDN w:val="0"/>
        <w:adjustRightInd w:val="0"/>
        <w:spacing w:after="0" w:line="240" w:lineRule="auto"/>
        <w:rPr>
          <w:rFonts w:ascii="Times New Roman" w:hAnsi="Times New Roman" w:cs="TimesNewRomanPSMT"/>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6.4 Ιδιαίτερες προφυλάξεις κατά τη φύλαξη του προϊόντος</w:t>
      </w:r>
    </w:p>
    <w:p w:rsidR="0019093A" w:rsidRPr="00A56BD2" w:rsidRDefault="0019093A" w:rsidP="00621A3C">
      <w:pPr>
        <w:autoSpaceDE w:val="0"/>
        <w:autoSpaceDN w:val="0"/>
        <w:adjustRightInd w:val="0"/>
        <w:spacing w:after="0" w:line="240" w:lineRule="auto"/>
        <w:rPr>
          <w:rFonts w:ascii="Times New Roman" w:hAnsi="Times New Roman" w:cs="TimesNewRomanPS-BoldMT"/>
          <w:b/>
          <w:bCs/>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Μη φυλάσσετε σε θερμοκρασία μεγαλύτερη των 30</w:t>
      </w:r>
      <w:r>
        <w:rPr>
          <w:rFonts w:ascii="SymbolMT" w:hAnsi="SymbolMT" w:cs="SymbolMT"/>
          <w:sz w:val="23"/>
          <w:szCs w:val="23"/>
        </w:rPr>
        <w:t xml:space="preserve">° </w:t>
      </w:r>
      <w:r>
        <w:rPr>
          <w:rFonts w:ascii="TimesNewRomanPSMT" w:hAnsi="TimesNewRomanPSMT" w:cs="TimesNewRomanPSMT"/>
          <w:sz w:val="23"/>
          <w:szCs w:val="23"/>
        </w:rPr>
        <w:t>C.</w:t>
      </w: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6.5 Φύση και συστατικά του περιέκτη</w:t>
      </w:r>
    </w:p>
    <w:p w:rsidR="0019093A" w:rsidRPr="00866442"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Δισκία 5 mg:</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Blister </w:t>
      </w:r>
      <w:r>
        <w:rPr>
          <w:rFonts w:ascii="TimesNewRomanPSMT Greek" w:hAnsi="TimesNewRomanPSMT Greek" w:cs="TimesNewRomanPSMT Greek"/>
          <w:sz w:val="23"/>
          <w:szCs w:val="23"/>
        </w:rPr>
        <w:t>(PVC/αλουμινίου)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Μεγέθη συσκευασίας:  30 δισκία</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Δισκία 10 mg:</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Blister (PVC/αλουμινίου)</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Μεγέθη συσκευασίας: 30 δισκία</w:t>
      </w:r>
    </w:p>
    <w:p w:rsidR="0019093A" w:rsidRPr="00A56BD2" w:rsidRDefault="0019093A" w:rsidP="00621A3C">
      <w:pPr>
        <w:autoSpaceDE w:val="0"/>
        <w:autoSpaceDN w:val="0"/>
        <w:adjustRightInd w:val="0"/>
        <w:spacing w:after="0" w:line="240" w:lineRule="auto"/>
        <w:rPr>
          <w:rFonts w:ascii="Times New Roman" w:hAnsi="Times New Roman"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r>
        <w:rPr>
          <w:rFonts w:ascii="TimesNewRomanPSMT Greek" w:hAnsi="TimesNewRomanPSMT Greek" w:cs="TimesNewRomanPSMT Greek"/>
          <w:sz w:val="23"/>
          <w:szCs w:val="23"/>
        </w:rPr>
        <w:t>Μπορεί να μη κυκλοφορούν όλες οι συσκευασίες.</w:t>
      </w: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bookmarkStart w:id="0" w:name="_GoBack"/>
      <w:bookmarkEnd w:id="0"/>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Greek" w:hAnsi="TimesNewRomanPSMT Greek"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Pr="0086644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6.6 Ιδιαίτερες προφυλάξεις απόρριψης</w:t>
      </w:r>
    </w:p>
    <w:p w:rsidR="0019093A" w:rsidRPr="00866442" w:rsidRDefault="0019093A" w:rsidP="00621A3C">
      <w:pPr>
        <w:autoSpaceDE w:val="0"/>
        <w:autoSpaceDN w:val="0"/>
        <w:adjustRightInd w:val="0"/>
        <w:spacing w:after="0" w:line="240" w:lineRule="auto"/>
        <w:rPr>
          <w:rFonts w:ascii="Times New Roman" w:hAnsi="Times New Roman" w:cs="TimesNewRomanPSMT Greek"/>
          <w:sz w:val="23"/>
          <w:szCs w:val="23"/>
        </w:rPr>
      </w:pP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r>
        <w:rPr>
          <w:rFonts w:ascii="TimesNewRomanPSMT Greek" w:hAnsi="TimesNewRomanPSMT Greek" w:cs="TimesNewRomanPSMT Greek"/>
          <w:sz w:val="23"/>
          <w:szCs w:val="23"/>
        </w:rPr>
        <w:t xml:space="preserve">Καμία ειδική υποχρέωση. </w:t>
      </w:r>
    </w:p>
    <w:p w:rsidR="0019093A" w:rsidRDefault="0019093A" w:rsidP="00621A3C">
      <w:pPr>
        <w:autoSpaceDE w:val="0"/>
        <w:autoSpaceDN w:val="0"/>
        <w:adjustRightInd w:val="0"/>
        <w:spacing w:after="0" w:line="240" w:lineRule="auto"/>
        <w:rPr>
          <w:rFonts w:ascii="TimesNewRomanPSMT" w:hAnsi="TimesNewRomanPSMT" w:cs="TimesNewRomanPSMT"/>
          <w:sz w:val="23"/>
          <w:szCs w:val="23"/>
        </w:rPr>
      </w:pP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r>
        <w:rPr>
          <w:rFonts w:ascii="TimesNewRomanPS-BoldMT Greek" w:hAnsi="TimesNewRomanPS-BoldMT Greek" w:cs="TimesNewRomanPS-BoldMT Greek"/>
          <w:b/>
          <w:bCs/>
          <w:sz w:val="23"/>
          <w:szCs w:val="23"/>
        </w:rPr>
        <w:t>7. ΚΑΤΟΧΟΣ ΤΗΣ ΑΔΕΙΑΣ ΚΥΚΛΟΦΟΡΙΑΣ</w:t>
      </w:r>
    </w:p>
    <w:p w:rsidR="0019093A" w:rsidRPr="00866442" w:rsidRDefault="0019093A" w:rsidP="00621A3C">
      <w:pPr>
        <w:autoSpaceDE w:val="0"/>
        <w:autoSpaceDN w:val="0"/>
        <w:adjustRightInd w:val="0"/>
        <w:spacing w:after="0" w:line="240" w:lineRule="auto"/>
        <w:rPr>
          <w:rFonts w:ascii="Times New Roman" w:hAnsi="Times New Roman" w:cs="TimesNewRomanPS-BoldMT Greek"/>
          <w:b/>
          <w:bCs/>
          <w:sz w:val="23"/>
          <w:szCs w:val="23"/>
        </w:rPr>
      </w:pPr>
      <w:r w:rsidRPr="00866442">
        <w:rPr>
          <w:rFonts w:ascii="Times New Roman" w:hAnsi="Times New Roman" w:cs="TimesNewRomanPS-BoldMT Greek"/>
          <w:b/>
          <w:bCs/>
          <w:sz w:val="23"/>
          <w:szCs w:val="23"/>
        </w:rPr>
        <w:t xml:space="preserve">    </w:t>
      </w:r>
      <w:r>
        <w:rPr>
          <w:rFonts w:ascii="Times New Roman" w:hAnsi="Times New Roman" w:cs="TimesNewRomanPS-BoldMT Greek"/>
          <w:b/>
          <w:bCs/>
          <w:sz w:val="23"/>
          <w:szCs w:val="23"/>
          <w:lang w:val="en-US"/>
        </w:rPr>
        <w:t>FARMEDIA</w:t>
      </w:r>
      <w:r w:rsidRPr="00866442">
        <w:rPr>
          <w:rFonts w:ascii="Times New Roman" w:hAnsi="Times New Roman" w:cs="TimesNewRomanPS-BoldMT Greek"/>
          <w:b/>
          <w:bCs/>
          <w:sz w:val="23"/>
          <w:szCs w:val="23"/>
        </w:rPr>
        <w:t xml:space="preserve"> </w:t>
      </w:r>
      <w:r>
        <w:rPr>
          <w:rFonts w:ascii="Times New Roman" w:hAnsi="Times New Roman" w:cs="TimesNewRomanPS-BoldMT Greek"/>
          <w:b/>
          <w:bCs/>
          <w:sz w:val="23"/>
          <w:szCs w:val="23"/>
          <w:lang w:val="en-US"/>
        </w:rPr>
        <w:t>A</w:t>
      </w:r>
      <w:r w:rsidRPr="00866442">
        <w:rPr>
          <w:rFonts w:ascii="Times New Roman" w:hAnsi="Times New Roman" w:cs="TimesNewRomanPS-BoldMT Greek"/>
          <w:b/>
          <w:bCs/>
          <w:sz w:val="23"/>
          <w:szCs w:val="23"/>
        </w:rPr>
        <w:t>.</w:t>
      </w:r>
      <w:r>
        <w:rPr>
          <w:rFonts w:ascii="Times New Roman" w:hAnsi="Times New Roman" w:cs="TimesNewRomanPS-BoldMT Greek"/>
          <w:b/>
          <w:bCs/>
          <w:sz w:val="23"/>
          <w:szCs w:val="23"/>
          <w:lang w:val="en-US"/>
        </w:rPr>
        <w:t>E</w:t>
      </w:r>
    </w:p>
    <w:p w:rsidR="0019093A" w:rsidRPr="00866442" w:rsidRDefault="0019093A" w:rsidP="00621A3C">
      <w:pPr>
        <w:autoSpaceDE w:val="0"/>
        <w:autoSpaceDN w:val="0"/>
        <w:adjustRightInd w:val="0"/>
        <w:spacing w:after="0" w:line="240" w:lineRule="auto"/>
        <w:rPr>
          <w:rFonts w:ascii="Times New Roman" w:hAnsi="Times New Roman" w:cs="TimesNewRomanPS-BoldMT Greek"/>
          <w:bCs/>
          <w:sz w:val="23"/>
          <w:szCs w:val="23"/>
        </w:rPr>
      </w:pPr>
      <w:r w:rsidRPr="00866442">
        <w:rPr>
          <w:rFonts w:ascii="Times New Roman" w:hAnsi="Times New Roman" w:cs="TimesNewRomanPS-BoldMT Greek"/>
          <w:b/>
          <w:bCs/>
          <w:sz w:val="23"/>
          <w:szCs w:val="23"/>
        </w:rPr>
        <w:t xml:space="preserve">    </w:t>
      </w:r>
      <w:r w:rsidRPr="00866442">
        <w:rPr>
          <w:rFonts w:ascii="Times New Roman" w:hAnsi="Times New Roman" w:cs="TimesNewRomanPS-BoldMT Greek"/>
          <w:bCs/>
          <w:sz w:val="23"/>
          <w:szCs w:val="23"/>
        </w:rPr>
        <w:t>Αθηνάς 22 &amp; Απόλλωνος, 15344 Γέρακας Αττικής</w:t>
      </w:r>
    </w:p>
    <w:p w:rsidR="0019093A" w:rsidRPr="00866442" w:rsidRDefault="0019093A" w:rsidP="00621A3C">
      <w:pPr>
        <w:autoSpaceDE w:val="0"/>
        <w:autoSpaceDN w:val="0"/>
        <w:adjustRightInd w:val="0"/>
        <w:spacing w:after="0" w:line="240" w:lineRule="auto"/>
        <w:rPr>
          <w:rFonts w:ascii="Times New Roman" w:hAnsi="Times New Roman" w:cs="TimesNewRomanPS-BoldMT Greek"/>
          <w:bCs/>
          <w:sz w:val="23"/>
          <w:szCs w:val="23"/>
        </w:rPr>
      </w:pPr>
      <w:r w:rsidRPr="00866442">
        <w:rPr>
          <w:rFonts w:ascii="Times New Roman" w:hAnsi="Times New Roman" w:cs="TimesNewRomanPS-BoldMT Greek"/>
          <w:bCs/>
          <w:sz w:val="23"/>
          <w:szCs w:val="23"/>
        </w:rPr>
        <w:t xml:space="preserve">    Τηλ.: 210 6015821   Φαξ: 210 6015822</w:t>
      </w:r>
    </w:p>
    <w:p w:rsidR="0019093A" w:rsidRPr="00866442" w:rsidRDefault="0019093A" w:rsidP="00621A3C">
      <w:pPr>
        <w:autoSpaceDE w:val="0"/>
        <w:autoSpaceDN w:val="0"/>
        <w:adjustRightInd w:val="0"/>
        <w:spacing w:after="0" w:line="240" w:lineRule="auto"/>
        <w:rPr>
          <w:rFonts w:ascii="Times New Roman" w:hAnsi="Times New Roman" w:cs="TimesNewRomanPS-BoldMT Greek"/>
          <w:b/>
          <w:bCs/>
          <w:sz w:val="23"/>
          <w:szCs w:val="23"/>
        </w:rPr>
      </w:pPr>
      <w:r>
        <w:rPr>
          <w:rFonts w:ascii="Times New Roman" w:hAnsi="Times New Roman" w:cs="TimesNewRomanPS-BoldMT Greek"/>
          <w:b/>
          <w:bCs/>
          <w:sz w:val="23"/>
          <w:szCs w:val="23"/>
        </w:rPr>
        <w:t xml:space="preserve">    </w:t>
      </w:r>
      <w:r w:rsidRPr="00866442">
        <w:rPr>
          <w:rFonts w:ascii="Times New Roman" w:hAnsi="Times New Roman" w:cs="TimesNewRomanPS-BoldMT Greek"/>
          <w:bCs/>
          <w:sz w:val="23"/>
          <w:szCs w:val="23"/>
        </w:rPr>
        <w:t>Ε-</w:t>
      </w:r>
      <w:r w:rsidRPr="00866442">
        <w:rPr>
          <w:rFonts w:ascii="Times New Roman" w:hAnsi="Times New Roman" w:cs="TimesNewRomanPS-BoldMT Greek"/>
          <w:bCs/>
          <w:sz w:val="23"/>
          <w:szCs w:val="23"/>
          <w:lang w:val="en-US"/>
        </w:rPr>
        <w:t>mail</w:t>
      </w:r>
      <w:r w:rsidRPr="00866442">
        <w:rPr>
          <w:rFonts w:ascii="Times New Roman" w:hAnsi="Times New Roman" w:cs="TimesNewRomanPS-BoldMT Greek"/>
          <w:b/>
          <w:bCs/>
          <w:sz w:val="23"/>
          <w:szCs w:val="23"/>
        </w:rPr>
        <w:t xml:space="preserve">: </w:t>
      </w:r>
      <w:hyperlink r:id="rId4" w:history="1">
        <w:r w:rsidRPr="00B75206">
          <w:rPr>
            <w:rStyle w:val="Hyperlink"/>
            <w:rFonts w:ascii="Times New Roman" w:hAnsi="Times New Roman" w:cs="TimesNewRomanPS-BoldMT Greek"/>
            <w:b/>
            <w:bCs/>
            <w:sz w:val="23"/>
            <w:szCs w:val="23"/>
            <w:lang w:val="en-US"/>
          </w:rPr>
          <w:t>info</w:t>
        </w:r>
        <w:r w:rsidRPr="00B75206">
          <w:rPr>
            <w:rStyle w:val="Hyperlink"/>
            <w:rFonts w:ascii="Times New Roman" w:hAnsi="Times New Roman" w:cs="TimesNewRomanPS-BoldMT Greek"/>
            <w:b/>
            <w:bCs/>
            <w:sz w:val="23"/>
            <w:szCs w:val="23"/>
          </w:rPr>
          <w:t>@</w:t>
        </w:r>
        <w:r w:rsidRPr="00B75206">
          <w:rPr>
            <w:rStyle w:val="Hyperlink"/>
            <w:rFonts w:ascii="Times New Roman" w:hAnsi="Times New Roman" w:cs="TimesNewRomanPS-BoldMT Greek"/>
            <w:b/>
            <w:bCs/>
            <w:sz w:val="23"/>
            <w:szCs w:val="23"/>
            <w:lang w:val="en-US"/>
          </w:rPr>
          <w:t>farmedia</w:t>
        </w:r>
        <w:r w:rsidRPr="00B75206">
          <w:rPr>
            <w:rStyle w:val="Hyperlink"/>
            <w:rFonts w:ascii="Times New Roman" w:hAnsi="Times New Roman" w:cs="TimesNewRomanPS-BoldMT Greek"/>
            <w:b/>
            <w:bCs/>
            <w:sz w:val="23"/>
            <w:szCs w:val="23"/>
          </w:rPr>
          <w:t>.</w:t>
        </w:r>
        <w:r w:rsidRPr="00B75206">
          <w:rPr>
            <w:rStyle w:val="Hyperlink"/>
            <w:rFonts w:ascii="Times New Roman" w:hAnsi="Times New Roman" w:cs="TimesNewRomanPS-BoldMT Greek"/>
            <w:b/>
            <w:bCs/>
            <w:sz w:val="23"/>
            <w:szCs w:val="23"/>
            <w:lang w:val="en-US"/>
          </w:rPr>
          <w:t>gr</w:t>
        </w:r>
      </w:hyperlink>
      <w:r w:rsidRPr="00866442">
        <w:rPr>
          <w:rFonts w:ascii="Times New Roman" w:hAnsi="Times New Roman" w:cs="TimesNewRomanPS-BoldMT Greek"/>
          <w:b/>
          <w:bCs/>
          <w:sz w:val="23"/>
          <w:szCs w:val="23"/>
        </w:rPr>
        <w:t xml:space="preserve">  </w:t>
      </w:r>
    </w:p>
    <w:p w:rsidR="0019093A" w:rsidRPr="0086644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8. ΑΡΙΘΜΟΣ(ΟΙ) ΑΔΕΙΑΣ ΚΥΚΛΟΦΟΡΙΑΣ</w:t>
      </w: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9. ΗΜΕΡΟΜΗΝΙΑ ΠΡΩΤΗΣ ΕΓΚΡΙΣΗΣ / ΑΝΑΝΕΩΣΗΣ ΤΗΣ ΑΔΕΙΑΣ</w:t>
      </w:r>
    </w:p>
    <w:p w:rsidR="0019093A" w:rsidRPr="00A56BD2" w:rsidRDefault="0019093A" w:rsidP="00621A3C">
      <w:pPr>
        <w:autoSpaceDE w:val="0"/>
        <w:autoSpaceDN w:val="0"/>
        <w:adjustRightInd w:val="0"/>
        <w:spacing w:after="0" w:line="240" w:lineRule="auto"/>
        <w:rPr>
          <w:rFonts w:ascii="Times New Roman" w:hAnsi="Times New Roman" w:cs="TimesNewRomanPS-BoldMT Greek"/>
          <w:b/>
          <w:bCs/>
          <w:sz w:val="23"/>
          <w:szCs w:val="23"/>
        </w:rPr>
      </w:pPr>
    </w:p>
    <w:p w:rsidR="0019093A" w:rsidRDefault="0019093A" w:rsidP="00621A3C">
      <w:pPr>
        <w:autoSpaceDE w:val="0"/>
        <w:autoSpaceDN w:val="0"/>
        <w:adjustRightInd w:val="0"/>
        <w:spacing w:after="0" w:line="240" w:lineRule="auto"/>
        <w:rPr>
          <w:rFonts w:ascii="TimesNewRomanPS-BoldMT" w:hAnsi="TimesNewRomanPS-BoldMT" w:cs="TimesNewRomanPS-BoldMT"/>
          <w:b/>
          <w:bCs/>
          <w:sz w:val="23"/>
          <w:szCs w:val="23"/>
        </w:rPr>
      </w:pPr>
      <w:r>
        <w:rPr>
          <w:rFonts w:ascii="TimesNewRomanPS-BoldMT Greek" w:hAnsi="TimesNewRomanPS-BoldMT Greek" w:cs="TimesNewRomanPS-BoldMT Greek"/>
          <w:b/>
          <w:bCs/>
          <w:sz w:val="23"/>
          <w:szCs w:val="23"/>
        </w:rPr>
        <w:t>10. ΗΜΕΡΟΜΗΝΙΑ ΑΝΑΘΕΩΡΗΣΗΣ ΤΟΥ ΚΕΙΜΕΝΟΥ: 9-2012</w:t>
      </w:r>
    </w:p>
    <w:p w:rsidR="0019093A" w:rsidRDefault="0019093A" w:rsidP="00621A3C">
      <w:pPr>
        <w:rPr>
          <w:rFonts w:ascii="TimesNewRomanPSMT" w:hAnsi="TimesNewRomanPSMT" w:cs="TimesNewRomanPSMT"/>
          <w:sz w:val="23"/>
          <w:szCs w:val="23"/>
        </w:rPr>
      </w:pPr>
    </w:p>
    <w:p w:rsidR="0019093A" w:rsidRDefault="0019093A" w:rsidP="00621A3C">
      <w:pPr>
        <w:rPr>
          <w:rFonts w:ascii="TimesNewRomanPSMT" w:hAnsi="TimesNewRomanPSMT" w:cs="TimesNewRomanPSMT"/>
          <w:sz w:val="23"/>
          <w:szCs w:val="23"/>
        </w:rPr>
      </w:pPr>
    </w:p>
    <w:p w:rsidR="0019093A" w:rsidRDefault="0019093A" w:rsidP="00621A3C"/>
    <w:p w:rsidR="0019093A" w:rsidRPr="00621A3C" w:rsidRDefault="0019093A" w:rsidP="00621A3C"/>
    <w:p w:rsidR="0019093A" w:rsidRPr="00621A3C" w:rsidRDefault="0019093A" w:rsidP="00FD4F71"/>
    <w:sectPr w:rsidR="0019093A" w:rsidRPr="00621A3C" w:rsidSect="00CA2CF2">
      <w:pgSz w:w="11907" w:h="16839" w:code="9"/>
      <w:pgMar w:top="142" w:right="851" w:bottom="142"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imesNewRomanPSMT Greek">
    <w:altName w:val="Times New Roman"/>
    <w:panose1 w:val="00000000000000000000"/>
    <w:charset w:val="A1"/>
    <w:family w:val="roman"/>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Greek">
    <w:altName w:val="Times New Roman"/>
    <w:panose1 w:val="00000000000000000000"/>
    <w:charset w:val="A1"/>
    <w:family w:val="roman"/>
    <w:notTrueType/>
    <w:pitch w:val="default"/>
    <w:sig w:usb0="00000081" w:usb1="00000000" w:usb2="00000000" w:usb3="00000000" w:csb0="00000008"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ItalicMT Greek">
    <w:altName w:val="Times New Roman"/>
    <w:panose1 w:val="00000000000000000000"/>
    <w:charset w:val="A1"/>
    <w:family w:val="roman"/>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Gr">
    <w:altName w:val="Times New Roman"/>
    <w:panose1 w:val="00000000000000000000"/>
    <w:charset w:val="A1"/>
    <w:family w:val="roman"/>
    <w:notTrueType/>
    <w:pitch w:val="default"/>
    <w:sig w:usb0="00000081" w:usb1="00000000" w:usb2="00000000" w:usb3="00000000" w:csb0="00000008"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F71"/>
    <w:rsid w:val="000127D6"/>
    <w:rsid w:val="00042B75"/>
    <w:rsid w:val="00046413"/>
    <w:rsid w:val="000529A8"/>
    <w:rsid w:val="000A2324"/>
    <w:rsid w:val="000B29CA"/>
    <w:rsid w:val="00123E27"/>
    <w:rsid w:val="00134F8E"/>
    <w:rsid w:val="001408E8"/>
    <w:rsid w:val="001456EE"/>
    <w:rsid w:val="0018693F"/>
    <w:rsid w:val="0019093A"/>
    <w:rsid w:val="001C6EEE"/>
    <w:rsid w:val="001E3251"/>
    <w:rsid w:val="0023493A"/>
    <w:rsid w:val="00283EA5"/>
    <w:rsid w:val="002E60E1"/>
    <w:rsid w:val="00363CFD"/>
    <w:rsid w:val="003C29B5"/>
    <w:rsid w:val="003D720C"/>
    <w:rsid w:val="003E44F7"/>
    <w:rsid w:val="00401CFF"/>
    <w:rsid w:val="00405D80"/>
    <w:rsid w:val="00452BA7"/>
    <w:rsid w:val="004828C2"/>
    <w:rsid w:val="004C54B6"/>
    <w:rsid w:val="004D11C1"/>
    <w:rsid w:val="004E597D"/>
    <w:rsid w:val="004F37F2"/>
    <w:rsid w:val="005175FE"/>
    <w:rsid w:val="005922CC"/>
    <w:rsid w:val="005A40CE"/>
    <w:rsid w:val="005A4E11"/>
    <w:rsid w:val="00603489"/>
    <w:rsid w:val="00621A3C"/>
    <w:rsid w:val="0062709B"/>
    <w:rsid w:val="00637692"/>
    <w:rsid w:val="00642D5E"/>
    <w:rsid w:val="0064610B"/>
    <w:rsid w:val="006D2636"/>
    <w:rsid w:val="006E1665"/>
    <w:rsid w:val="006F3639"/>
    <w:rsid w:val="0073121F"/>
    <w:rsid w:val="00745ECF"/>
    <w:rsid w:val="00763544"/>
    <w:rsid w:val="00776234"/>
    <w:rsid w:val="007C521C"/>
    <w:rsid w:val="007E7433"/>
    <w:rsid w:val="00846DE4"/>
    <w:rsid w:val="00866442"/>
    <w:rsid w:val="00870AF1"/>
    <w:rsid w:val="00893AB6"/>
    <w:rsid w:val="008A483E"/>
    <w:rsid w:val="008A4F98"/>
    <w:rsid w:val="008C5C22"/>
    <w:rsid w:val="008C67B3"/>
    <w:rsid w:val="008E65D2"/>
    <w:rsid w:val="00987C1B"/>
    <w:rsid w:val="00A02864"/>
    <w:rsid w:val="00A328B3"/>
    <w:rsid w:val="00A56BD2"/>
    <w:rsid w:val="00AB3CDC"/>
    <w:rsid w:val="00B20DAA"/>
    <w:rsid w:val="00B233C3"/>
    <w:rsid w:val="00B5084A"/>
    <w:rsid w:val="00B75206"/>
    <w:rsid w:val="00B941A3"/>
    <w:rsid w:val="00BA60B0"/>
    <w:rsid w:val="00C13CF5"/>
    <w:rsid w:val="00C16CDF"/>
    <w:rsid w:val="00C32F8B"/>
    <w:rsid w:val="00C57800"/>
    <w:rsid w:val="00CA2CF2"/>
    <w:rsid w:val="00CD1C7A"/>
    <w:rsid w:val="00D345BC"/>
    <w:rsid w:val="00D508A8"/>
    <w:rsid w:val="00D60607"/>
    <w:rsid w:val="00D95339"/>
    <w:rsid w:val="00DB6954"/>
    <w:rsid w:val="00E00884"/>
    <w:rsid w:val="00E10B5E"/>
    <w:rsid w:val="00E64D82"/>
    <w:rsid w:val="00E71BB4"/>
    <w:rsid w:val="00EA1C00"/>
    <w:rsid w:val="00EC6996"/>
    <w:rsid w:val="00EE1105"/>
    <w:rsid w:val="00F27EBD"/>
    <w:rsid w:val="00FD4F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4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64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armed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3643</Words>
  <Characters>19676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ΠΡΟΙΟΝΤΟΣ</dc:title>
  <dc:subject/>
  <dc:creator>user</dc:creator>
  <cp:keywords/>
  <dc:description/>
  <cp:lastModifiedBy>pc06</cp:lastModifiedBy>
  <cp:revision>2</cp:revision>
  <cp:lastPrinted>2014-07-28T07:04:00Z</cp:lastPrinted>
  <dcterms:created xsi:type="dcterms:W3CDTF">2015-05-19T11:35:00Z</dcterms:created>
  <dcterms:modified xsi:type="dcterms:W3CDTF">2015-05-19T11:35:00Z</dcterms:modified>
</cp:coreProperties>
</file>