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F7" w:rsidRPr="002B2CFC" w:rsidRDefault="00F278CF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  <w:bookmarkStart w:id="0" w:name="_GoBack"/>
      <w:bookmarkEnd w:id="0"/>
      <w:r w:rsidRPr="002B2CFC">
        <w:rPr>
          <w:rStyle w:val="FontStyle32"/>
          <w:kern w:val="2"/>
        </w:rPr>
        <w:t xml:space="preserve"> </w:t>
      </w: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7D75F7" w:rsidRPr="002B2CFC" w:rsidRDefault="007D75F7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</w:p>
    <w:p w:rsidR="00F278CF" w:rsidRPr="003C5479" w:rsidRDefault="00F278CF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ΠΕΡΙΛΗΨΗ ΤΩΝ ΧΑΡΑΚΤΗΡΙΣΤΙΚΩΝ ΤΟΥ ΠΡΟΪΟΝΤΟΣ</w:t>
      </w:r>
    </w:p>
    <w:p w:rsidR="00F278CF" w:rsidRPr="003C5479" w:rsidRDefault="00F278CF" w:rsidP="003E79D1">
      <w:pPr>
        <w:pStyle w:val="Style1"/>
        <w:widowControl/>
        <w:spacing w:line="240" w:lineRule="auto"/>
        <w:contextualSpacing/>
        <w:rPr>
          <w:rStyle w:val="FontStyle32"/>
          <w:kern w:val="2"/>
        </w:rPr>
        <w:sectPr w:rsidR="00F278CF" w:rsidRPr="003C5479" w:rsidSect="007D75F7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1134" w:bottom="1134" w:left="1134" w:header="720" w:footer="720" w:gutter="0"/>
          <w:cols w:space="60"/>
          <w:noEndnote/>
        </w:sectPr>
      </w:pPr>
    </w:p>
    <w:p w:rsidR="00F278CF" w:rsidRPr="003C5479" w:rsidRDefault="00F278CF" w:rsidP="003E79D1">
      <w:pPr>
        <w:pStyle w:val="Style8"/>
        <w:widowControl/>
        <w:contextualSpacing/>
        <w:jc w:val="both"/>
        <w:rPr>
          <w:rStyle w:val="FontStyle32"/>
          <w:kern w:val="2"/>
        </w:rPr>
      </w:pPr>
      <w:r w:rsidRPr="003C5479">
        <w:rPr>
          <w:rStyle w:val="FontStyle32"/>
          <w:kern w:val="2"/>
        </w:rPr>
        <w:lastRenderedPageBreak/>
        <w:t xml:space="preserve">1.     ΟΝΟΜΑΣΙΑ </w:t>
      </w:r>
      <w:r w:rsidRPr="003C5479">
        <w:rPr>
          <w:rStyle w:val="FontStyle32"/>
          <w:kern w:val="2"/>
          <w:lang w:val="en-US"/>
        </w:rPr>
        <w:t>TOY</w:t>
      </w:r>
      <w:r w:rsidRPr="003C5479">
        <w:rPr>
          <w:rStyle w:val="FontStyle32"/>
          <w:kern w:val="2"/>
        </w:rPr>
        <w:t xml:space="preserve"> ΦΑΡΜΑΚΕΥΤΙΚΟΥ ΠΡΟΪΟΝΤΟΣ</w:t>
      </w:r>
    </w:p>
    <w:p w:rsidR="00F278CF" w:rsidRPr="003C5479" w:rsidRDefault="00F278CF" w:rsidP="003E79D1">
      <w:pPr>
        <w:pStyle w:val="Style7"/>
        <w:widowControl/>
        <w:spacing w:line="240" w:lineRule="auto"/>
        <w:contextualSpacing/>
        <w:rPr>
          <w:kern w:val="2"/>
          <w:sz w:val="20"/>
          <w:szCs w:val="20"/>
        </w:rPr>
      </w:pPr>
    </w:p>
    <w:p w:rsidR="003E79D1" w:rsidRPr="003C5479" w:rsidRDefault="007D75F7" w:rsidP="003E79D1">
      <w:pPr>
        <w:pStyle w:val="Style8"/>
        <w:widowControl/>
        <w:contextualSpacing/>
        <w:rPr>
          <w:kern w:val="2"/>
          <w:sz w:val="20"/>
          <w:szCs w:val="20"/>
        </w:rPr>
      </w:pPr>
      <w:proofErr w:type="spellStart"/>
      <w:r w:rsidRPr="003C5479">
        <w:rPr>
          <w:kern w:val="2"/>
          <w:sz w:val="20"/>
          <w:szCs w:val="20"/>
          <w:lang w:val="en-US"/>
        </w:rPr>
        <w:t>Talorbin</w:t>
      </w:r>
      <w:proofErr w:type="spellEnd"/>
      <w:r w:rsidRPr="003C5479">
        <w:rPr>
          <w:kern w:val="2"/>
          <w:sz w:val="20"/>
          <w:szCs w:val="20"/>
        </w:rPr>
        <w:t>, 500</w:t>
      </w:r>
      <w:r w:rsidRPr="003C5479">
        <w:rPr>
          <w:kern w:val="2"/>
          <w:sz w:val="20"/>
          <w:szCs w:val="20"/>
          <w:lang w:val="en-US"/>
        </w:rPr>
        <w:t>mg</w:t>
      </w:r>
      <w:r w:rsidRPr="003C5479">
        <w:rPr>
          <w:kern w:val="2"/>
          <w:sz w:val="20"/>
          <w:szCs w:val="20"/>
        </w:rPr>
        <w:t>/200</w:t>
      </w:r>
      <w:r w:rsidRPr="003C5479">
        <w:rPr>
          <w:kern w:val="2"/>
          <w:sz w:val="20"/>
          <w:szCs w:val="20"/>
          <w:lang w:val="en-US"/>
        </w:rPr>
        <w:t>mg</w:t>
      </w:r>
      <w:r w:rsidRPr="003C5479">
        <w:rPr>
          <w:kern w:val="2"/>
          <w:sz w:val="20"/>
          <w:szCs w:val="20"/>
        </w:rPr>
        <w:t>/25</w:t>
      </w:r>
      <w:r w:rsidRPr="003C5479">
        <w:rPr>
          <w:kern w:val="2"/>
          <w:sz w:val="20"/>
          <w:szCs w:val="20"/>
          <w:lang w:val="en-US"/>
        </w:rPr>
        <w:t>mg</w:t>
      </w:r>
      <w:r w:rsidRPr="003C5479">
        <w:rPr>
          <w:kern w:val="2"/>
          <w:sz w:val="20"/>
          <w:szCs w:val="20"/>
        </w:rPr>
        <w:t>, κοκκία για πόσιμο διάλυμα</w:t>
      </w:r>
    </w:p>
    <w:p w:rsidR="007D75F7" w:rsidRPr="003C5479" w:rsidRDefault="007D75F7" w:rsidP="003E79D1">
      <w:pPr>
        <w:pStyle w:val="Style8"/>
        <w:widowControl/>
        <w:contextualSpacing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8"/>
        <w:widowControl/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2.     ΠΟΙΟΤΙΚΗ ΚΑΙ ΠΟΣΟΤΙΚΗ ΣΥΝΘΕΣΗ</w:t>
      </w:r>
    </w:p>
    <w:p w:rsidR="007D75F7" w:rsidRPr="003C5479" w:rsidRDefault="00434BB1" w:rsidP="007D75F7">
      <w:pPr>
        <w:pStyle w:val="Style7"/>
        <w:widowControl/>
        <w:spacing w:line="240" w:lineRule="auto"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  <w:lang w:val="en-US"/>
        </w:rPr>
        <w:t>Paracetamol</w:t>
      </w:r>
      <w:r w:rsidR="00BB1A37" w:rsidRPr="003C5479">
        <w:rPr>
          <w:rStyle w:val="FontStyle33"/>
          <w:kern w:val="2"/>
        </w:rPr>
        <w:t xml:space="preserve"> 500</w:t>
      </w:r>
      <w:r w:rsidRPr="003C5479">
        <w:rPr>
          <w:rStyle w:val="FontStyle33"/>
          <w:kern w:val="2"/>
          <w:lang w:val="en-US"/>
        </w:rPr>
        <w:t>mg</w:t>
      </w:r>
      <w:r w:rsidR="00BB1A37" w:rsidRPr="003C5479">
        <w:rPr>
          <w:rStyle w:val="FontStyle33"/>
          <w:kern w:val="2"/>
        </w:rPr>
        <w:t>,</w:t>
      </w:r>
    </w:p>
    <w:p w:rsidR="007D75F7" w:rsidRPr="003C5479" w:rsidRDefault="007D75F7" w:rsidP="007D75F7">
      <w:pPr>
        <w:pStyle w:val="Style7"/>
        <w:widowControl/>
        <w:spacing w:line="240" w:lineRule="auto"/>
        <w:contextualSpacing/>
        <w:rPr>
          <w:rStyle w:val="FontStyle33"/>
          <w:kern w:val="2"/>
          <w:lang w:val="en-US"/>
        </w:rPr>
      </w:pPr>
      <w:r w:rsidRPr="003C5479">
        <w:rPr>
          <w:rStyle w:val="FontStyle33"/>
          <w:kern w:val="2"/>
          <w:lang w:val="en-US"/>
        </w:rPr>
        <w:t>Ascorbic acid 200mg</w:t>
      </w:r>
    </w:p>
    <w:p w:rsidR="007D75F7" w:rsidRPr="003C5479" w:rsidRDefault="007D75F7" w:rsidP="007D75F7">
      <w:pPr>
        <w:pStyle w:val="Style7"/>
        <w:widowControl/>
        <w:spacing w:line="240" w:lineRule="auto"/>
        <w:contextualSpacing/>
        <w:jc w:val="left"/>
        <w:rPr>
          <w:rStyle w:val="FontStyle33"/>
          <w:kern w:val="2"/>
          <w:lang w:val="en-US"/>
        </w:rPr>
      </w:pPr>
      <w:proofErr w:type="spellStart"/>
      <w:r w:rsidRPr="003C5479">
        <w:rPr>
          <w:rStyle w:val="FontStyle33"/>
          <w:kern w:val="2"/>
          <w:lang w:val="en-US"/>
        </w:rPr>
        <w:t>Pheniramine</w:t>
      </w:r>
      <w:proofErr w:type="spellEnd"/>
      <w:r w:rsidRPr="003C5479">
        <w:rPr>
          <w:rStyle w:val="FontStyle33"/>
          <w:kern w:val="2"/>
          <w:lang w:val="en-US"/>
        </w:rPr>
        <w:t xml:space="preserve"> maleate 25mg </w:t>
      </w:r>
    </w:p>
    <w:p w:rsidR="007D75F7" w:rsidRPr="003C5479" w:rsidRDefault="007D75F7" w:rsidP="007D75F7">
      <w:pPr>
        <w:pStyle w:val="Style7"/>
        <w:widowControl/>
        <w:spacing w:line="240" w:lineRule="auto"/>
        <w:contextualSpacing/>
        <w:jc w:val="left"/>
        <w:rPr>
          <w:rStyle w:val="FontStyle33"/>
          <w:kern w:val="2"/>
          <w:lang w:val="en-US"/>
        </w:rPr>
      </w:pPr>
    </w:p>
    <w:p w:rsidR="003E79D1" w:rsidRPr="003C5479" w:rsidRDefault="003E79D1" w:rsidP="007D75F7">
      <w:pPr>
        <w:pStyle w:val="Style7"/>
        <w:widowControl/>
        <w:spacing w:line="240" w:lineRule="auto"/>
        <w:contextualSpacing/>
        <w:jc w:val="left"/>
        <w:rPr>
          <w:rStyle w:val="FontStyle33"/>
          <w:kern w:val="2"/>
        </w:rPr>
      </w:pPr>
      <w:r w:rsidRPr="003C5479">
        <w:rPr>
          <w:rStyle w:val="FontStyle33"/>
          <w:kern w:val="2"/>
        </w:rPr>
        <w:t>Έκδοχο (α) με γνωστές δράσεις:</w:t>
      </w:r>
      <w:r w:rsidRPr="003C5479">
        <w:rPr>
          <w:kern w:val="2"/>
        </w:rPr>
        <w:t xml:space="preserve"> </w:t>
      </w:r>
      <w:r w:rsidR="007D75F7" w:rsidRPr="003C5479">
        <w:rPr>
          <w:rStyle w:val="FontStyle33"/>
          <w:kern w:val="2"/>
        </w:rPr>
        <w:t>Sucrose 11.555 g</w:t>
      </w:r>
    </w:p>
    <w:p w:rsidR="00F278CF" w:rsidRPr="003C5479" w:rsidRDefault="00F278CF" w:rsidP="003E79D1">
      <w:pPr>
        <w:pStyle w:val="Style7"/>
        <w:widowControl/>
        <w:spacing w:line="240" w:lineRule="auto"/>
        <w:ind w:right="2342"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Για τον πλήρη κατάλογο των εκδόχων, βλ. παράγραφο 6.1.</w:t>
      </w:r>
    </w:p>
    <w:p w:rsidR="00F278CF" w:rsidRPr="003C5479" w:rsidRDefault="00F278CF" w:rsidP="003E79D1">
      <w:pPr>
        <w:pStyle w:val="Style8"/>
        <w:widowControl/>
        <w:contextualSpacing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8"/>
        <w:widowControl/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3.     ΦΑΡΜΑΚΟΤΕΧΝΙΚΗ ΜΟΡΦΗ</w:t>
      </w:r>
    </w:p>
    <w:p w:rsidR="00F278CF" w:rsidRPr="003C5479" w:rsidRDefault="007D75F7" w:rsidP="003E79D1">
      <w:pPr>
        <w:pStyle w:val="Style8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  <w:lang w:val="en-US"/>
        </w:rPr>
        <w:t>K</w:t>
      </w:r>
      <w:r w:rsidRPr="003C5479">
        <w:rPr>
          <w:rStyle w:val="FontStyle33"/>
          <w:kern w:val="2"/>
        </w:rPr>
        <w:t>οκκία για πόσιμο διάλυμα</w:t>
      </w:r>
    </w:p>
    <w:p w:rsidR="007D75F7" w:rsidRPr="003C5479" w:rsidRDefault="007D75F7" w:rsidP="003E79D1">
      <w:pPr>
        <w:pStyle w:val="Style8"/>
        <w:widowControl/>
        <w:contextualSpacing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>Λευκή έως ελαφρώς κίτρινη σκόνη με χαρακτηριστική οσμή εσπεριδοειδών.</w:t>
      </w:r>
    </w:p>
    <w:p w:rsidR="007D75F7" w:rsidRPr="003C5479" w:rsidRDefault="007D75F7" w:rsidP="003E79D1">
      <w:pPr>
        <w:pStyle w:val="Style8"/>
        <w:widowControl/>
        <w:contextualSpacing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8"/>
        <w:widowControl/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4.     ΚΛΙΝΙΚΕΣ ΠΛΗΡΟΦΟΡΙΕΣ</w:t>
      </w:r>
    </w:p>
    <w:p w:rsidR="008F64EE" w:rsidRPr="003C5479" w:rsidRDefault="008F64EE" w:rsidP="003E79D1">
      <w:pPr>
        <w:pStyle w:val="Style8"/>
        <w:widowControl/>
        <w:contextualSpacing/>
        <w:rPr>
          <w:rStyle w:val="FontStyle32"/>
          <w:kern w:val="2"/>
        </w:rPr>
      </w:pPr>
    </w:p>
    <w:p w:rsidR="00F278CF" w:rsidRPr="003C5479" w:rsidRDefault="00F278CF" w:rsidP="003E79D1">
      <w:pPr>
        <w:pStyle w:val="Style4"/>
        <w:widowControl/>
        <w:numPr>
          <w:ilvl w:val="0"/>
          <w:numId w:val="1"/>
        </w:numPr>
        <w:tabs>
          <w:tab w:val="left" w:pos="533"/>
        </w:tabs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Θεραπευτικές ενδείξεις</w:t>
      </w:r>
    </w:p>
    <w:p w:rsidR="00FE0CAB" w:rsidRPr="003C5479" w:rsidRDefault="00C6534E" w:rsidP="002A6C14">
      <w:pPr>
        <w:pStyle w:val="Style6"/>
        <w:widowControl/>
        <w:spacing w:line="240" w:lineRule="auto"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Βραχυ</w:t>
      </w:r>
      <w:r w:rsidR="005C424F" w:rsidRPr="003C5479">
        <w:rPr>
          <w:rStyle w:val="FontStyle33"/>
          <w:kern w:val="2"/>
        </w:rPr>
        <w:t>χρόνια</w:t>
      </w:r>
      <w:r w:rsidRPr="003C5479">
        <w:rPr>
          <w:rStyle w:val="FontStyle33"/>
          <w:kern w:val="2"/>
        </w:rPr>
        <w:t xml:space="preserve"> συμπτωματική θεραπεία του πυρετού ή / και του πόνο</w:t>
      </w:r>
      <w:r w:rsidR="00EF2BCC">
        <w:rPr>
          <w:rStyle w:val="FontStyle33"/>
          <w:kern w:val="2"/>
        </w:rPr>
        <w:t>υ</w:t>
      </w:r>
      <w:r w:rsidRPr="003C5479">
        <w:rPr>
          <w:rStyle w:val="FontStyle33"/>
          <w:kern w:val="2"/>
        </w:rPr>
        <w:t xml:space="preserve"> που σχετίζεται με ρινοφαρυγγίτιδα και ρινίτιδα σε ενήλικες και εφήβους ηλικίας 15 ετών και άνω.</w:t>
      </w:r>
    </w:p>
    <w:p w:rsidR="00C6534E" w:rsidRPr="003C5479" w:rsidRDefault="00C6534E" w:rsidP="002A6C14">
      <w:pPr>
        <w:pStyle w:val="Style6"/>
        <w:widowControl/>
        <w:spacing w:line="240" w:lineRule="auto"/>
        <w:contextualSpacing/>
        <w:rPr>
          <w:rStyle w:val="FontStyle33"/>
          <w:kern w:val="2"/>
        </w:rPr>
      </w:pPr>
    </w:p>
    <w:p w:rsidR="00F278CF" w:rsidRPr="003C5479" w:rsidRDefault="00F278CF" w:rsidP="003E79D1">
      <w:pPr>
        <w:pStyle w:val="Style4"/>
        <w:widowControl/>
        <w:numPr>
          <w:ilvl w:val="0"/>
          <w:numId w:val="2"/>
        </w:numPr>
        <w:tabs>
          <w:tab w:val="left" w:pos="533"/>
        </w:tabs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Δοσολογία και τρόπος χορήγησης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Δοσολογία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3C5479">
        <w:rPr>
          <w:rStyle w:val="FontStyle33"/>
          <w:kern w:val="2"/>
          <w:u w:val="single"/>
        </w:rPr>
        <w:t>Ενήλικες και έφηβοι ηλικίας 15 ετών και άνω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Η συνιστώμενη ημερήσια δόση είναι ένας φακελλίσκος 2 ή 3 φορές την ημέρα.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Πρέπει να υπάρχει χρονικό διάστημα τουλάχιστον 4 ωρών μεταξύ των δόσεων.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Στην περίπτωση της γρίπης, είναι καλύτερο να λάβετε το Talorbin διαλυμένο σε ζεστό νερό το βράδυ.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 xml:space="preserve">Η διάρκεια της </w:t>
      </w:r>
      <w:r w:rsidR="005C424F" w:rsidRPr="003C5479">
        <w:rPr>
          <w:rStyle w:val="FontStyle33"/>
          <w:kern w:val="2"/>
        </w:rPr>
        <w:t xml:space="preserve">αγωγής </w:t>
      </w:r>
      <w:r w:rsidRPr="003C5479">
        <w:rPr>
          <w:rStyle w:val="FontStyle33"/>
          <w:kern w:val="2"/>
        </w:rPr>
        <w:t>δεν θα πρέπει να υπερβαίνει τις 3 ημέρες.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3C5479">
        <w:rPr>
          <w:rStyle w:val="FontStyle33"/>
          <w:kern w:val="2"/>
          <w:u w:val="single"/>
        </w:rPr>
        <w:t>Νεφρική ανεπάρκεια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 xml:space="preserve">Στην περίπτωση </w:t>
      </w:r>
      <w:r w:rsidR="005C424F" w:rsidRPr="003C5479">
        <w:rPr>
          <w:rStyle w:val="FontStyle33"/>
          <w:kern w:val="2"/>
        </w:rPr>
        <w:t xml:space="preserve">σοβαρής </w:t>
      </w:r>
      <w:r w:rsidRPr="003C5479">
        <w:rPr>
          <w:rStyle w:val="FontStyle33"/>
          <w:kern w:val="2"/>
        </w:rPr>
        <w:t>νεφρικής ανεπάρκειας (κάθαρση κρεατινίνης κάτω από 10 ml/min), το διάστημα μεταξύ των δόσεων θα πρέπει να είναι τουλάχιστον 8 ώρες.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3C5479">
        <w:rPr>
          <w:rStyle w:val="FontStyle33"/>
          <w:kern w:val="2"/>
          <w:u w:val="single"/>
        </w:rPr>
        <w:t>Ηπατική ανεπάρκεια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Προσοχή θα πρέπει να δίνεται σε ασθενείς που πάσχουν από διαταραχή της ηπατικής λειτουργίας.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3C5479">
        <w:rPr>
          <w:rStyle w:val="FontStyle33"/>
          <w:kern w:val="2"/>
          <w:u w:val="single"/>
        </w:rPr>
        <w:t>Χρόνιο αλκοολισμό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Η μέγιστη ημερήσια δόση σε ασθενείς που πάσχουν από χρόνιο αλκοολισμό είναι 4 φακελλίσκοι (2 g παρακεταμόλη). Το διάστημα μεταξύ των δόσεων πρέπει να είναι τουλάχιστον 8 ώρες.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3C5479">
        <w:rPr>
          <w:rStyle w:val="FontStyle33"/>
          <w:kern w:val="2"/>
          <w:u w:val="single"/>
        </w:rPr>
        <w:t>Παιδιατρικός πληθυσμός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 xml:space="preserve">Τα κοκκία για πόσιμο διάλυμα Talorbin, δεν πρέπει να χορηγούνται σε παιδιά κάτω των 15 ετών εξαιτίας της έλλειψης επαρκών στοιχείων </w:t>
      </w:r>
      <w:r w:rsidR="005C424F" w:rsidRPr="003C5479">
        <w:rPr>
          <w:rStyle w:val="FontStyle33"/>
          <w:kern w:val="2"/>
        </w:rPr>
        <w:t>για</w:t>
      </w:r>
      <w:r w:rsidRPr="003C5479">
        <w:rPr>
          <w:rStyle w:val="FontStyle33"/>
          <w:kern w:val="2"/>
        </w:rPr>
        <w:t xml:space="preserve"> αυτή τη</w:t>
      </w:r>
      <w:r w:rsidR="005C424F" w:rsidRPr="003C5479">
        <w:rPr>
          <w:rStyle w:val="FontStyle33"/>
          <w:kern w:val="2"/>
        </w:rPr>
        <w:t>ν</w:t>
      </w:r>
      <w:r w:rsidRPr="003C5479">
        <w:rPr>
          <w:rStyle w:val="FontStyle33"/>
          <w:kern w:val="2"/>
        </w:rPr>
        <w:t xml:space="preserve">  πληθυσμ</w:t>
      </w:r>
      <w:r w:rsidR="005C424F" w:rsidRPr="003C5479">
        <w:rPr>
          <w:rStyle w:val="FontStyle33"/>
          <w:kern w:val="2"/>
        </w:rPr>
        <w:t>ιακή ομάδα</w:t>
      </w:r>
      <w:r w:rsidRPr="003C5479">
        <w:rPr>
          <w:rStyle w:val="FontStyle33"/>
          <w:kern w:val="2"/>
        </w:rPr>
        <w:t>.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</w:p>
    <w:p w:rsidR="00C6534E" w:rsidRPr="00EF2BCC" w:rsidRDefault="00C6534E" w:rsidP="00C6534E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EF2BCC">
        <w:rPr>
          <w:rStyle w:val="FontStyle33"/>
          <w:kern w:val="2"/>
          <w:u w:val="single"/>
        </w:rPr>
        <w:t>Τρόπος χορήγησης</w:t>
      </w:r>
    </w:p>
    <w:p w:rsidR="00C6534E" w:rsidRPr="003C5479" w:rsidRDefault="00C6534E" w:rsidP="00C6534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Από του στόματος χρήση.</w:t>
      </w:r>
    </w:p>
    <w:p w:rsidR="00E75F26" w:rsidRPr="003C5479" w:rsidRDefault="00C6534E" w:rsidP="00C6534E">
      <w:pPr>
        <w:pStyle w:val="Style6"/>
        <w:widowControl/>
        <w:spacing w:line="240" w:lineRule="auto"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Το περιεχόμενο του φακελλίσκου προορίζεται για την παρασκευή του διαλύματος - διαλύστε τη σκόνη σε μια επαρκή ποσότητα κρύου ή ζεστού νερού.</w:t>
      </w:r>
    </w:p>
    <w:p w:rsidR="00C6534E" w:rsidRPr="003C5479" w:rsidRDefault="00C6534E" w:rsidP="00C6534E">
      <w:pPr>
        <w:pStyle w:val="Style6"/>
        <w:widowControl/>
        <w:spacing w:line="240" w:lineRule="auto"/>
        <w:contextualSpacing/>
        <w:rPr>
          <w:rStyle w:val="FontStyle33"/>
          <w:kern w:val="2"/>
          <w:u w:val="single"/>
        </w:rPr>
      </w:pPr>
    </w:p>
    <w:p w:rsidR="00F278CF" w:rsidRPr="003C5479" w:rsidRDefault="00F278CF" w:rsidP="003E79D1">
      <w:pPr>
        <w:pStyle w:val="Style4"/>
        <w:widowControl/>
        <w:numPr>
          <w:ilvl w:val="0"/>
          <w:numId w:val="3"/>
        </w:numPr>
        <w:tabs>
          <w:tab w:val="left" w:pos="528"/>
        </w:tabs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Αντενδείξεις</w:t>
      </w:r>
    </w:p>
    <w:p w:rsidR="00E75F26" w:rsidRPr="003C5479" w:rsidRDefault="00E75F26" w:rsidP="00E75F26">
      <w:pPr>
        <w:pStyle w:val="Style4"/>
        <w:widowControl/>
        <w:tabs>
          <w:tab w:val="left" w:pos="528"/>
        </w:tabs>
        <w:contextualSpacing/>
        <w:rPr>
          <w:rStyle w:val="FontStyle32"/>
          <w:kern w:val="2"/>
        </w:rPr>
      </w:pPr>
    </w:p>
    <w:p w:rsidR="00C6534E" w:rsidRPr="003C5479" w:rsidRDefault="00C6534E" w:rsidP="00C6534E">
      <w:pPr>
        <w:pStyle w:val="Style4"/>
        <w:widowControl/>
        <w:tabs>
          <w:tab w:val="left" w:pos="528"/>
        </w:tabs>
        <w:contextualSpacing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- Υπερευαισθησία στις δραστικές ουσίες ή σε κάποιο από τα έκδοχα που αναφέρονται στην παράγραφο 6.1</w:t>
      </w:r>
    </w:p>
    <w:p w:rsidR="00C6534E" w:rsidRPr="003C5479" w:rsidRDefault="00C6534E" w:rsidP="00C6534E">
      <w:pPr>
        <w:pStyle w:val="Style4"/>
        <w:widowControl/>
        <w:tabs>
          <w:tab w:val="left" w:pos="528"/>
        </w:tabs>
        <w:contextualSpacing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 xml:space="preserve">- </w:t>
      </w:r>
      <w:r w:rsidR="003B78D5" w:rsidRPr="003C5479">
        <w:rPr>
          <w:rStyle w:val="FontStyle32"/>
          <w:b w:val="0"/>
          <w:kern w:val="2"/>
        </w:rPr>
        <w:t>Η</w:t>
      </w:r>
      <w:r w:rsidRPr="003C5479">
        <w:rPr>
          <w:rStyle w:val="FontStyle32"/>
          <w:b w:val="0"/>
          <w:kern w:val="2"/>
        </w:rPr>
        <w:t>πατοκυτταρικ</w:t>
      </w:r>
      <w:r w:rsidR="003B78D5" w:rsidRPr="003C5479">
        <w:rPr>
          <w:rStyle w:val="FontStyle32"/>
          <w:b w:val="0"/>
          <w:kern w:val="2"/>
        </w:rPr>
        <w:t>ή</w:t>
      </w:r>
      <w:r w:rsidRPr="003C5479">
        <w:rPr>
          <w:rStyle w:val="FontStyle32"/>
          <w:b w:val="0"/>
          <w:kern w:val="2"/>
        </w:rPr>
        <w:t xml:space="preserve"> ανεπάρκεια</w:t>
      </w:r>
    </w:p>
    <w:p w:rsidR="00C6534E" w:rsidRPr="003C5479" w:rsidRDefault="000F0D91" w:rsidP="00C6534E">
      <w:pPr>
        <w:pStyle w:val="Style4"/>
        <w:widowControl/>
        <w:tabs>
          <w:tab w:val="left" w:pos="528"/>
        </w:tabs>
        <w:contextualSpacing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- Γλαύκωμα κ</w:t>
      </w:r>
      <w:r w:rsidR="00C6534E" w:rsidRPr="003C5479">
        <w:rPr>
          <w:rStyle w:val="FontStyle32"/>
          <w:b w:val="0"/>
          <w:kern w:val="2"/>
        </w:rPr>
        <w:t>λειστ</w:t>
      </w:r>
      <w:r w:rsidRPr="003C5479">
        <w:rPr>
          <w:rStyle w:val="FontStyle32"/>
          <w:b w:val="0"/>
          <w:kern w:val="2"/>
        </w:rPr>
        <w:t xml:space="preserve">ής </w:t>
      </w:r>
      <w:r w:rsidR="00C6534E" w:rsidRPr="003C5479">
        <w:rPr>
          <w:rStyle w:val="FontStyle32"/>
          <w:b w:val="0"/>
          <w:kern w:val="2"/>
        </w:rPr>
        <w:t>γωνίας</w:t>
      </w:r>
    </w:p>
    <w:p w:rsidR="00C6534E" w:rsidRPr="003C5479" w:rsidRDefault="00C6534E" w:rsidP="00C6534E">
      <w:pPr>
        <w:pStyle w:val="Style4"/>
        <w:widowControl/>
        <w:tabs>
          <w:tab w:val="left" w:pos="528"/>
        </w:tabs>
        <w:contextualSpacing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 xml:space="preserve">- </w:t>
      </w:r>
      <w:r w:rsidR="000F0D91" w:rsidRPr="003C5479">
        <w:rPr>
          <w:rStyle w:val="FontStyle32"/>
          <w:b w:val="0"/>
          <w:kern w:val="2"/>
        </w:rPr>
        <w:t>Κατακράτηση</w:t>
      </w:r>
      <w:r w:rsidRPr="003C5479">
        <w:rPr>
          <w:rStyle w:val="FontStyle32"/>
          <w:b w:val="0"/>
          <w:kern w:val="2"/>
        </w:rPr>
        <w:t xml:space="preserve"> ούρων σχ</w:t>
      </w:r>
      <w:r w:rsidR="000F0D91" w:rsidRPr="003C5479">
        <w:rPr>
          <w:rStyle w:val="FontStyle32"/>
          <w:b w:val="0"/>
          <w:kern w:val="2"/>
        </w:rPr>
        <w:t>ετιζόμενη</w:t>
      </w:r>
      <w:r w:rsidRPr="003C5479">
        <w:rPr>
          <w:rStyle w:val="FontStyle32"/>
          <w:b w:val="0"/>
          <w:kern w:val="2"/>
        </w:rPr>
        <w:t xml:space="preserve"> με </w:t>
      </w:r>
      <w:r w:rsidR="000F0D91" w:rsidRPr="003C5479">
        <w:rPr>
          <w:rStyle w:val="FontStyle32"/>
          <w:b w:val="0"/>
          <w:kern w:val="2"/>
        </w:rPr>
        <w:t xml:space="preserve">προβλήματα </w:t>
      </w:r>
      <w:r w:rsidRPr="003C5479">
        <w:rPr>
          <w:rStyle w:val="FontStyle32"/>
          <w:b w:val="0"/>
          <w:kern w:val="2"/>
        </w:rPr>
        <w:t xml:space="preserve">προστάτη </w:t>
      </w:r>
    </w:p>
    <w:p w:rsidR="00C6534E" w:rsidRPr="003C5479" w:rsidRDefault="00C6534E" w:rsidP="00C6534E">
      <w:pPr>
        <w:pStyle w:val="Style4"/>
        <w:widowControl/>
        <w:tabs>
          <w:tab w:val="left" w:pos="528"/>
        </w:tabs>
        <w:contextualSpacing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- Παιδιά και έφηβοι κάτω των 15 ετών</w:t>
      </w:r>
    </w:p>
    <w:p w:rsidR="00CC366B" w:rsidRPr="003C5479" w:rsidRDefault="00C6534E" w:rsidP="00C6534E">
      <w:pPr>
        <w:pStyle w:val="Style4"/>
        <w:widowControl/>
        <w:tabs>
          <w:tab w:val="left" w:pos="528"/>
        </w:tabs>
        <w:contextualSpacing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- Χρήση σε ασθενείς που λαμβάνουν ή έχουν λάβει αναστολείς της μονοαμινοξειδάσης (ΜΑΟ) εντός των τελευταίων 2 εβδομάδων</w:t>
      </w:r>
    </w:p>
    <w:p w:rsidR="00C6534E" w:rsidRPr="003C5479" w:rsidRDefault="00C6534E" w:rsidP="00C6534E">
      <w:pPr>
        <w:pStyle w:val="Style4"/>
        <w:widowControl/>
        <w:tabs>
          <w:tab w:val="left" w:pos="528"/>
        </w:tabs>
        <w:contextualSpacing/>
        <w:rPr>
          <w:rStyle w:val="FontStyle32"/>
          <w:b w:val="0"/>
          <w:kern w:val="2"/>
        </w:rPr>
      </w:pPr>
    </w:p>
    <w:p w:rsidR="00F278CF" w:rsidRPr="003C5479" w:rsidRDefault="00F278CF" w:rsidP="003E79D1">
      <w:pPr>
        <w:pStyle w:val="Style4"/>
        <w:widowControl/>
        <w:numPr>
          <w:ilvl w:val="0"/>
          <w:numId w:val="4"/>
        </w:numPr>
        <w:tabs>
          <w:tab w:val="left" w:pos="528"/>
        </w:tabs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lastRenderedPageBreak/>
        <w:t>Ειδικές προειδοποιήσεις και προφυλάξεις κατά τη χρήση</w:t>
      </w:r>
    </w:p>
    <w:p w:rsidR="00F278CF" w:rsidRPr="003C5479" w:rsidRDefault="00F278CF" w:rsidP="003E79D1">
      <w:pPr>
        <w:pStyle w:val="Style6"/>
        <w:widowControl/>
        <w:spacing w:line="240" w:lineRule="auto"/>
        <w:contextualSpacing/>
        <w:rPr>
          <w:rStyle w:val="FontStyle33"/>
          <w:kern w:val="2"/>
        </w:rPr>
      </w:pPr>
    </w:p>
    <w:p w:rsidR="000F0D91" w:rsidRPr="003C5479" w:rsidRDefault="000457C9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  <w:r w:rsidRPr="003C5479">
        <w:rPr>
          <w:kern w:val="2"/>
          <w:sz w:val="20"/>
          <w:szCs w:val="20"/>
        </w:rPr>
        <w:t>Σ</w:t>
      </w:r>
      <w:r w:rsidRPr="003C5479">
        <w:rPr>
          <w:kern w:val="2"/>
          <w:sz w:val="20"/>
          <w:szCs w:val="20"/>
          <w:lang w:val="ro-RO"/>
        </w:rPr>
        <w:t xml:space="preserve">υνιστάται </w:t>
      </w:r>
      <w:r w:rsidRPr="003C5479">
        <w:rPr>
          <w:kern w:val="2"/>
          <w:sz w:val="20"/>
          <w:szCs w:val="20"/>
        </w:rPr>
        <w:t>ι</w:t>
      </w:r>
      <w:r w:rsidR="000F0D91" w:rsidRPr="003C5479">
        <w:rPr>
          <w:kern w:val="2"/>
          <w:sz w:val="20"/>
          <w:szCs w:val="20"/>
          <w:lang w:val="ro-RO"/>
        </w:rPr>
        <w:t xml:space="preserve">ατρική παρακολούθηση </w:t>
      </w:r>
      <w:r w:rsidRPr="003C5479">
        <w:rPr>
          <w:kern w:val="2"/>
          <w:sz w:val="20"/>
          <w:szCs w:val="20"/>
        </w:rPr>
        <w:t>κατά την χορήγηση</w:t>
      </w:r>
      <w:r w:rsidR="000F0D91" w:rsidRPr="003C5479">
        <w:rPr>
          <w:kern w:val="2"/>
          <w:sz w:val="20"/>
          <w:szCs w:val="20"/>
          <w:lang w:val="ro-RO"/>
        </w:rPr>
        <w:t xml:space="preserve"> παρακεταμόλης σε ασθενείς με νεφρική ή ηπατική ανεπάρκεια. Ο κίνδυνος</w:t>
      </w:r>
      <w:r w:rsidR="005C424F" w:rsidRPr="003C5479">
        <w:rPr>
          <w:kern w:val="2"/>
          <w:sz w:val="20"/>
          <w:szCs w:val="20"/>
        </w:rPr>
        <w:t xml:space="preserve"> από</w:t>
      </w:r>
      <w:r w:rsidR="000F0D91" w:rsidRPr="003C5479">
        <w:rPr>
          <w:kern w:val="2"/>
          <w:sz w:val="20"/>
          <w:szCs w:val="20"/>
          <w:lang w:val="ro-RO"/>
        </w:rPr>
        <w:t xml:space="preserve"> υπερδοσολογία είναι μεγαλύτερ</w:t>
      </w:r>
      <w:r w:rsidRPr="003C5479">
        <w:rPr>
          <w:kern w:val="2"/>
          <w:sz w:val="20"/>
          <w:szCs w:val="20"/>
        </w:rPr>
        <w:t>ος</w:t>
      </w:r>
      <w:r w:rsidR="000F0D91" w:rsidRPr="003C5479">
        <w:rPr>
          <w:kern w:val="2"/>
          <w:sz w:val="20"/>
          <w:szCs w:val="20"/>
          <w:lang w:val="ro-RO"/>
        </w:rPr>
        <w:t xml:space="preserve"> σε άτομα με μη</w:t>
      </w:r>
      <w:r w:rsidR="007812AF" w:rsidRPr="003C5479">
        <w:rPr>
          <w:kern w:val="2"/>
          <w:sz w:val="20"/>
          <w:szCs w:val="20"/>
          <w:lang w:val="ro-RO"/>
        </w:rPr>
        <w:t xml:space="preserve"> </w:t>
      </w:r>
      <w:r w:rsidR="000F0D91" w:rsidRPr="003C5479">
        <w:rPr>
          <w:kern w:val="2"/>
          <w:sz w:val="20"/>
          <w:szCs w:val="20"/>
          <w:lang w:val="ro-RO"/>
        </w:rPr>
        <w:t>κιρρωτικ</w:t>
      </w:r>
      <w:r w:rsidRPr="003C5479">
        <w:rPr>
          <w:kern w:val="2"/>
          <w:sz w:val="20"/>
          <w:szCs w:val="20"/>
        </w:rPr>
        <w:t>ή</w:t>
      </w:r>
      <w:r w:rsidR="000F0D91" w:rsidRPr="003C5479">
        <w:rPr>
          <w:kern w:val="2"/>
          <w:sz w:val="20"/>
          <w:szCs w:val="20"/>
          <w:lang w:val="ro-RO"/>
        </w:rPr>
        <w:t xml:space="preserve"> αλκοολική ηπατοπάθεια.</w:t>
      </w: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  <w:r w:rsidRPr="003C5479">
        <w:rPr>
          <w:kern w:val="2"/>
          <w:sz w:val="20"/>
          <w:szCs w:val="20"/>
          <w:lang w:val="ro-RO"/>
        </w:rPr>
        <w:t>Σε περίπτωση υψηλ</w:t>
      </w:r>
      <w:r w:rsidR="000457C9" w:rsidRPr="003C5479">
        <w:rPr>
          <w:kern w:val="2"/>
          <w:sz w:val="20"/>
          <w:szCs w:val="20"/>
        </w:rPr>
        <w:t>ού</w:t>
      </w:r>
      <w:r w:rsidRPr="003C5479">
        <w:rPr>
          <w:kern w:val="2"/>
          <w:sz w:val="20"/>
          <w:szCs w:val="20"/>
          <w:lang w:val="ro-RO"/>
        </w:rPr>
        <w:t xml:space="preserve"> ή επίμονο</w:t>
      </w:r>
      <w:r w:rsidR="000457C9" w:rsidRPr="003C5479">
        <w:rPr>
          <w:kern w:val="2"/>
          <w:sz w:val="20"/>
          <w:szCs w:val="20"/>
        </w:rPr>
        <w:t>υ</w:t>
      </w:r>
      <w:r w:rsidRPr="003C5479">
        <w:rPr>
          <w:kern w:val="2"/>
          <w:sz w:val="20"/>
          <w:szCs w:val="20"/>
          <w:lang w:val="ro-RO"/>
        </w:rPr>
        <w:t xml:space="preserve"> πυρετ</w:t>
      </w:r>
      <w:r w:rsidR="000457C9" w:rsidRPr="003C5479">
        <w:rPr>
          <w:kern w:val="2"/>
          <w:sz w:val="20"/>
          <w:szCs w:val="20"/>
        </w:rPr>
        <w:t>ού</w:t>
      </w:r>
      <w:r w:rsidRPr="003C5479">
        <w:rPr>
          <w:kern w:val="2"/>
          <w:sz w:val="20"/>
          <w:szCs w:val="20"/>
          <w:lang w:val="ro-RO"/>
        </w:rPr>
        <w:t>, εάν εμφανιστεί επι</w:t>
      </w:r>
      <w:r w:rsidR="007812AF" w:rsidRPr="003C5479">
        <w:rPr>
          <w:kern w:val="2"/>
          <w:sz w:val="20"/>
          <w:szCs w:val="20"/>
        </w:rPr>
        <w:t>λοίμωξη</w:t>
      </w:r>
      <w:r w:rsidRPr="003C5479">
        <w:rPr>
          <w:kern w:val="2"/>
          <w:sz w:val="20"/>
          <w:szCs w:val="20"/>
          <w:lang w:val="ro-RO"/>
        </w:rPr>
        <w:t xml:space="preserve"> ή εάν τα συμπτώματα επιμένουν για περισσότερο από 3 ημέρες, </w:t>
      </w:r>
      <w:r w:rsidR="000457C9" w:rsidRPr="003C5479">
        <w:rPr>
          <w:kern w:val="2"/>
          <w:sz w:val="20"/>
          <w:szCs w:val="20"/>
          <w:lang w:val="ro-RO"/>
        </w:rPr>
        <w:t xml:space="preserve">θα πρέπει να </w:t>
      </w:r>
      <w:r w:rsidR="000457C9" w:rsidRPr="003C5479">
        <w:rPr>
          <w:kern w:val="2"/>
          <w:sz w:val="20"/>
          <w:szCs w:val="20"/>
        </w:rPr>
        <w:t>εξεταστεί</w:t>
      </w:r>
      <w:r w:rsidR="007812AF" w:rsidRPr="003C5479">
        <w:rPr>
          <w:kern w:val="2"/>
          <w:sz w:val="20"/>
          <w:szCs w:val="20"/>
        </w:rPr>
        <w:t xml:space="preserve"> </w:t>
      </w:r>
      <w:r w:rsidRPr="003C5479">
        <w:rPr>
          <w:kern w:val="2"/>
          <w:sz w:val="20"/>
          <w:szCs w:val="20"/>
          <w:lang w:val="ro-RO"/>
        </w:rPr>
        <w:t>μια νέα θεραπεία.</w:t>
      </w: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  <w:r w:rsidRPr="003C5479">
        <w:rPr>
          <w:kern w:val="2"/>
          <w:sz w:val="20"/>
          <w:szCs w:val="20"/>
          <w:lang w:val="ro-RO"/>
        </w:rPr>
        <w:t xml:space="preserve">Ο κίνδυνος κυρίως ψυχολογικής εξάρτησης δεν εμφανίζεται, εκτός εάν οι δόσεις </w:t>
      </w:r>
      <w:r w:rsidR="00B744DD" w:rsidRPr="003C5479">
        <w:rPr>
          <w:kern w:val="2"/>
          <w:sz w:val="20"/>
          <w:szCs w:val="20"/>
        </w:rPr>
        <w:t xml:space="preserve">είναι </w:t>
      </w:r>
      <w:r w:rsidRPr="003C5479">
        <w:rPr>
          <w:kern w:val="2"/>
          <w:sz w:val="20"/>
          <w:szCs w:val="20"/>
          <w:lang w:val="ro-RO"/>
        </w:rPr>
        <w:t xml:space="preserve">υψηλότερες από τις συνιστώμενες, ή εάν το προϊόν έχει ληφθεί στο πλαίσιο </w:t>
      </w:r>
      <w:r w:rsidR="007812AF" w:rsidRPr="003C5479">
        <w:rPr>
          <w:kern w:val="2"/>
          <w:sz w:val="20"/>
          <w:szCs w:val="20"/>
        </w:rPr>
        <w:t>παρατεταμένης</w:t>
      </w:r>
      <w:r w:rsidRPr="003C5479">
        <w:rPr>
          <w:kern w:val="2"/>
          <w:sz w:val="20"/>
          <w:szCs w:val="20"/>
          <w:lang w:val="ro-RO"/>
        </w:rPr>
        <w:t xml:space="preserve"> </w:t>
      </w:r>
      <w:r w:rsidR="00B744DD" w:rsidRPr="003C5479">
        <w:rPr>
          <w:kern w:val="2"/>
          <w:sz w:val="20"/>
          <w:szCs w:val="20"/>
          <w:lang w:val="ro-RO"/>
        </w:rPr>
        <w:t>θεραπεί</w:t>
      </w:r>
      <w:r w:rsidR="00B744DD" w:rsidRPr="003C5479">
        <w:rPr>
          <w:kern w:val="2"/>
          <w:sz w:val="20"/>
          <w:szCs w:val="20"/>
        </w:rPr>
        <w:t>α</w:t>
      </w:r>
      <w:r w:rsidRPr="003C5479">
        <w:rPr>
          <w:kern w:val="2"/>
          <w:sz w:val="20"/>
          <w:szCs w:val="20"/>
          <w:lang w:val="ro-RO"/>
        </w:rPr>
        <w:t>ς.</w:t>
      </w: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  <w:r w:rsidRPr="003C5479">
        <w:rPr>
          <w:kern w:val="2"/>
          <w:sz w:val="20"/>
          <w:szCs w:val="20"/>
          <w:lang w:val="ro-RO"/>
        </w:rPr>
        <w:t xml:space="preserve">Για να αποφύγετε τον κίνδυνο υπερδοσολογίας, θα πρέπει να αποφεύγονται άλλα φάρμακα που περιέχουν παρακεταμόλη. Στους ενήλικες </w:t>
      </w:r>
      <w:r w:rsidR="00B744DD" w:rsidRPr="003C5479">
        <w:rPr>
          <w:kern w:val="2"/>
          <w:sz w:val="20"/>
          <w:szCs w:val="20"/>
        </w:rPr>
        <w:t>με βάρος</w:t>
      </w:r>
      <w:r w:rsidRPr="003C5479">
        <w:rPr>
          <w:kern w:val="2"/>
          <w:sz w:val="20"/>
          <w:szCs w:val="20"/>
          <w:lang w:val="ro-RO"/>
        </w:rPr>
        <w:t xml:space="preserve"> άνω των 50 kg</w:t>
      </w:r>
      <w:r w:rsidR="00B744DD" w:rsidRPr="003C5479">
        <w:rPr>
          <w:kern w:val="2"/>
          <w:sz w:val="20"/>
          <w:szCs w:val="20"/>
        </w:rPr>
        <w:t>, η</w:t>
      </w:r>
      <w:r w:rsidRPr="003C5479">
        <w:rPr>
          <w:kern w:val="2"/>
          <w:sz w:val="20"/>
          <w:szCs w:val="20"/>
          <w:lang w:val="ro-RO"/>
        </w:rPr>
        <w:t xml:space="preserve"> συνολική ημερήσια δόση δεν πρέπει να υπερβαίνει τα 4 γραμμάρια σε μία ημέρα (βλέπε παράγραφο 4.9).</w:t>
      </w: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  <w:r w:rsidRPr="003C5479">
        <w:rPr>
          <w:kern w:val="2"/>
          <w:sz w:val="20"/>
          <w:szCs w:val="20"/>
          <w:lang w:val="ro-RO"/>
        </w:rPr>
        <w:t>Θα πρέπει να ζητήσε</w:t>
      </w:r>
      <w:r w:rsidR="00B744DD" w:rsidRPr="003C5479">
        <w:rPr>
          <w:kern w:val="2"/>
          <w:sz w:val="20"/>
          <w:szCs w:val="20"/>
        </w:rPr>
        <w:t>τε</w:t>
      </w:r>
      <w:r w:rsidRPr="003C5479">
        <w:rPr>
          <w:kern w:val="2"/>
          <w:sz w:val="20"/>
          <w:szCs w:val="20"/>
          <w:lang w:val="ro-RO"/>
        </w:rPr>
        <w:t xml:space="preserve"> αμέσως ιατρική συμβουλή σε περίπτωση υπερδοσολογίας, ακόμη και αν ο ασθενής αισθάνεται καλά, </w:t>
      </w:r>
      <w:r w:rsidR="00B744DD" w:rsidRPr="003C5479">
        <w:rPr>
          <w:kern w:val="2"/>
          <w:sz w:val="20"/>
          <w:szCs w:val="20"/>
        </w:rPr>
        <w:t>λόγω</w:t>
      </w:r>
      <w:r w:rsidRPr="003C5479">
        <w:rPr>
          <w:kern w:val="2"/>
          <w:sz w:val="20"/>
          <w:szCs w:val="20"/>
          <w:lang w:val="ro-RO"/>
        </w:rPr>
        <w:t xml:space="preserve"> </w:t>
      </w:r>
      <w:r w:rsidR="00B744DD" w:rsidRPr="003C5479">
        <w:rPr>
          <w:kern w:val="2"/>
          <w:sz w:val="20"/>
          <w:szCs w:val="20"/>
        </w:rPr>
        <w:t>τ</w:t>
      </w:r>
      <w:r w:rsidRPr="003C5479">
        <w:rPr>
          <w:kern w:val="2"/>
          <w:sz w:val="20"/>
          <w:szCs w:val="20"/>
          <w:lang w:val="ro-RO"/>
        </w:rPr>
        <w:t>ο</w:t>
      </w:r>
      <w:r w:rsidR="00B744DD" w:rsidRPr="003C5479">
        <w:rPr>
          <w:kern w:val="2"/>
          <w:sz w:val="20"/>
          <w:szCs w:val="20"/>
        </w:rPr>
        <w:t>υ</w:t>
      </w:r>
      <w:r w:rsidRPr="003C5479">
        <w:rPr>
          <w:kern w:val="2"/>
          <w:sz w:val="20"/>
          <w:szCs w:val="20"/>
          <w:lang w:val="ro-RO"/>
        </w:rPr>
        <w:t xml:space="preserve"> κ</w:t>
      </w:r>
      <w:r w:rsidR="00B744DD" w:rsidRPr="003C5479">
        <w:rPr>
          <w:kern w:val="2"/>
          <w:sz w:val="20"/>
          <w:szCs w:val="20"/>
        </w:rPr>
        <w:t>ι</w:t>
      </w:r>
      <w:r w:rsidRPr="003C5479">
        <w:rPr>
          <w:kern w:val="2"/>
          <w:sz w:val="20"/>
          <w:szCs w:val="20"/>
          <w:lang w:val="ro-RO"/>
        </w:rPr>
        <w:t>νδ</w:t>
      </w:r>
      <w:r w:rsidR="00B744DD" w:rsidRPr="003C5479">
        <w:rPr>
          <w:kern w:val="2"/>
          <w:sz w:val="20"/>
          <w:szCs w:val="20"/>
        </w:rPr>
        <w:t>ύ</w:t>
      </w:r>
      <w:r w:rsidRPr="003C5479">
        <w:rPr>
          <w:kern w:val="2"/>
          <w:sz w:val="20"/>
          <w:szCs w:val="20"/>
          <w:lang w:val="ro-RO"/>
        </w:rPr>
        <w:t>νο</w:t>
      </w:r>
      <w:r w:rsidR="00B744DD" w:rsidRPr="003C5479">
        <w:rPr>
          <w:kern w:val="2"/>
          <w:sz w:val="20"/>
          <w:szCs w:val="20"/>
        </w:rPr>
        <w:t>υ</w:t>
      </w:r>
      <w:r w:rsidRPr="003C5479">
        <w:rPr>
          <w:kern w:val="2"/>
          <w:sz w:val="20"/>
          <w:szCs w:val="20"/>
          <w:lang w:val="ro-RO"/>
        </w:rPr>
        <w:t xml:space="preserve"> μη αναστρέψιμης βλάβης του ήπατος (βλέπε παράγραφο 4.9).</w:t>
      </w: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  <w:r w:rsidRPr="003C5479">
        <w:rPr>
          <w:kern w:val="2"/>
          <w:sz w:val="20"/>
          <w:szCs w:val="20"/>
          <w:lang w:val="ro-RO"/>
        </w:rPr>
        <w:t>Συνιστάται προσοχή σε ασθενείς με άσθμα που είναι ευαίσθητ</w:t>
      </w:r>
      <w:r w:rsidR="00A06BD1" w:rsidRPr="003C5479">
        <w:rPr>
          <w:kern w:val="2"/>
          <w:sz w:val="20"/>
          <w:szCs w:val="20"/>
        </w:rPr>
        <w:t>οι</w:t>
      </w:r>
      <w:r w:rsidRPr="003C5479">
        <w:rPr>
          <w:kern w:val="2"/>
          <w:sz w:val="20"/>
          <w:szCs w:val="20"/>
          <w:lang w:val="ro-RO"/>
        </w:rPr>
        <w:t xml:space="preserve"> στο ακετυλοσαλικυλικό οξύ, δεδομένου ότι ήπι</w:t>
      </w:r>
      <w:r w:rsidR="00A06BD1" w:rsidRPr="003C5479">
        <w:rPr>
          <w:kern w:val="2"/>
          <w:sz w:val="20"/>
          <w:szCs w:val="20"/>
        </w:rPr>
        <w:t>οι</w:t>
      </w:r>
      <w:r w:rsidRPr="003C5479">
        <w:rPr>
          <w:kern w:val="2"/>
          <w:sz w:val="20"/>
          <w:szCs w:val="20"/>
          <w:lang w:val="ro-RO"/>
        </w:rPr>
        <w:t xml:space="preserve"> βρογχ</w:t>
      </w:r>
      <w:r w:rsidR="00A06BD1" w:rsidRPr="003C5479">
        <w:rPr>
          <w:kern w:val="2"/>
          <w:sz w:val="20"/>
          <w:szCs w:val="20"/>
        </w:rPr>
        <w:t>ο</w:t>
      </w:r>
      <w:r w:rsidRPr="003C5479">
        <w:rPr>
          <w:kern w:val="2"/>
          <w:sz w:val="20"/>
          <w:szCs w:val="20"/>
          <w:lang w:val="ro-RO"/>
        </w:rPr>
        <w:t>σπασμ</w:t>
      </w:r>
      <w:r w:rsidR="00A06BD1" w:rsidRPr="003C5479">
        <w:rPr>
          <w:kern w:val="2"/>
          <w:sz w:val="20"/>
          <w:szCs w:val="20"/>
        </w:rPr>
        <w:t>οί έχουν</w:t>
      </w:r>
      <w:r w:rsidRPr="003C5479">
        <w:rPr>
          <w:kern w:val="2"/>
          <w:sz w:val="20"/>
          <w:szCs w:val="20"/>
          <w:lang w:val="ro-RO"/>
        </w:rPr>
        <w:t xml:space="preserve"> αναφερθεί με</w:t>
      </w:r>
      <w:r w:rsidR="00A06BD1" w:rsidRPr="003C5479">
        <w:rPr>
          <w:kern w:val="2"/>
          <w:sz w:val="20"/>
          <w:szCs w:val="20"/>
        </w:rPr>
        <w:t>τά</w:t>
      </w:r>
      <w:r w:rsidRPr="003C5479">
        <w:rPr>
          <w:kern w:val="2"/>
          <w:sz w:val="20"/>
          <w:szCs w:val="20"/>
          <w:lang w:val="ro-RO"/>
        </w:rPr>
        <w:t xml:space="preserve"> </w:t>
      </w:r>
      <w:r w:rsidR="00A06BD1" w:rsidRPr="003C5479">
        <w:rPr>
          <w:kern w:val="2"/>
          <w:sz w:val="20"/>
          <w:szCs w:val="20"/>
        </w:rPr>
        <w:t xml:space="preserve">την χορήγηση </w:t>
      </w:r>
      <w:r w:rsidRPr="003C5479">
        <w:rPr>
          <w:kern w:val="2"/>
          <w:sz w:val="20"/>
          <w:szCs w:val="20"/>
          <w:lang w:val="ro-RO"/>
        </w:rPr>
        <w:t>παρακεταμόλη (διασταυρούμενη αντίδραση).</w:t>
      </w: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  <w:r w:rsidRPr="003C5479">
        <w:rPr>
          <w:kern w:val="2"/>
          <w:sz w:val="20"/>
          <w:szCs w:val="20"/>
          <w:lang w:val="ro-RO"/>
        </w:rPr>
        <w:t>Αποφύγετε την κατανάλωση αλκοολούχων ποτών ή τη χρήση ηρεμιστικών (κυρίως βαρβιτουρικά) κατά τη διάρκεια της θεραπείας, διότι μπορεί να αυξήσ</w:t>
      </w:r>
      <w:r w:rsidR="00A06BD1" w:rsidRPr="003C5479">
        <w:rPr>
          <w:kern w:val="2"/>
          <w:sz w:val="20"/>
          <w:szCs w:val="20"/>
        </w:rPr>
        <w:t>ουν</w:t>
      </w:r>
      <w:r w:rsidRPr="003C5479">
        <w:rPr>
          <w:kern w:val="2"/>
          <w:sz w:val="20"/>
          <w:szCs w:val="20"/>
          <w:lang w:val="ro-RO"/>
        </w:rPr>
        <w:t xml:space="preserve"> τ</w:t>
      </w:r>
      <w:r w:rsidR="00A06BD1" w:rsidRPr="003C5479">
        <w:rPr>
          <w:kern w:val="2"/>
          <w:sz w:val="20"/>
          <w:szCs w:val="20"/>
        </w:rPr>
        <w:t>η</w:t>
      </w:r>
      <w:r w:rsidRPr="003C5479">
        <w:rPr>
          <w:kern w:val="2"/>
          <w:sz w:val="20"/>
          <w:szCs w:val="20"/>
          <w:lang w:val="ro-RO"/>
        </w:rPr>
        <w:t xml:space="preserve"> κατασταλτική δράση των αντιισταμινικών.</w:t>
      </w: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  <w:r w:rsidRPr="003C5479">
        <w:rPr>
          <w:kern w:val="2"/>
          <w:sz w:val="20"/>
          <w:szCs w:val="20"/>
          <w:lang w:val="ro-RO"/>
        </w:rPr>
        <w:t xml:space="preserve">Σε ασθενείς </w:t>
      </w:r>
      <w:r w:rsidR="00165452" w:rsidRPr="003C5479">
        <w:rPr>
          <w:kern w:val="2"/>
          <w:sz w:val="20"/>
          <w:szCs w:val="20"/>
          <w:lang w:val="ro-RO"/>
        </w:rPr>
        <w:t xml:space="preserve">ευαίσθητους </w:t>
      </w:r>
      <w:r w:rsidR="00165452" w:rsidRPr="003C5479">
        <w:rPr>
          <w:kern w:val="2"/>
          <w:sz w:val="20"/>
          <w:szCs w:val="20"/>
        </w:rPr>
        <w:t>στην</w:t>
      </w:r>
      <w:r w:rsidR="00FC7C63" w:rsidRPr="003C5479">
        <w:rPr>
          <w:kern w:val="2"/>
          <w:sz w:val="20"/>
          <w:szCs w:val="20"/>
        </w:rPr>
        <w:t xml:space="preserve"> </w:t>
      </w:r>
      <w:r w:rsidRPr="003C5479">
        <w:rPr>
          <w:kern w:val="2"/>
          <w:sz w:val="20"/>
          <w:szCs w:val="20"/>
          <w:lang w:val="ro-RO"/>
        </w:rPr>
        <w:t>αντιμουσκαρινικ</w:t>
      </w:r>
      <w:r w:rsidR="00165452" w:rsidRPr="003C5479">
        <w:rPr>
          <w:kern w:val="2"/>
          <w:sz w:val="20"/>
          <w:szCs w:val="20"/>
        </w:rPr>
        <w:t>ή δράση</w:t>
      </w:r>
      <w:r w:rsidRPr="003C5479">
        <w:rPr>
          <w:kern w:val="2"/>
          <w:sz w:val="20"/>
          <w:szCs w:val="20"/>
          <w:lang w:val="ro-RO"/>
        </w:rPr>
        <w:t xml:space="preserve"> </w:t>
      </w:r>
      <w:r w:rsidR="00FC7C63" w:rsidRPr="003C5479">
        <w:rPr>
          <w:kern w:val="2"/>
          <w:sz w:val="20"/>
          <w:szCs w:val="20"/>
        </w:rPr>
        <w:t xml:space="preserve">της </w:t>
      </w:r>
      <w:r w:rsidR="00FC7C63" w:rsidRPr="003C5479">
        <w:rPr>
          <w:kern w:val="2"/>
          <w:sz w:val="20"/>
          <w:szCs w:val="20"/>
          <w:lang w:val="ro-RO"/>
        </w:rPr>
        <w:t>φαινιραμίνη</w:t>
      </w:r>
      <w:r w:rsidR="00FC7C63" w:rsidRPr="003C5479">
        <w:rPr>
          <w:kern w:val="2"/>
          <w:sz w:val="20"/>
          <w:szCs w:val="20"/>
        </w:rPr>
        <w:t xml:space="preserve">ς, </w:t>
      </w:r>
      <w:r w:rsidRPr="003C5479">
        <w:rPr>
          <w:kern w:val="2"/>
          <w:sz w:val="20"/>
          <w:szCs w:val="20"/>
          <w:lang w:val="ro-RO"/>
        </w:rPr>
        <w:t>μπορεί να προκ</w:t>
      </w:r>
      <w:r w:rsidR="00FC7C63" w:rsidRPr="003C5479">
        <w:rPr>
          <w:kern w:val="2"/>
          <w:sz w:val="20"/>
          <w:szCs w:val="20"/>
        </w:rPr>
        <w:t xml:space="preserve">ληθεί </w:t>
      </w:r>
      <w:r w:rsidRPr="003C5479">
        <w:rPr>
          <w:kern w:val="2"/>
          <w:sz w:val="20"/>
          <w:szCs w:val="20"/>
          <w:lang w:val="ro-RO"/>
        </w:rPr>
        <w:t xml:space="preserve">αυξημένη ενδοφθάλμια πίεση, επιδείνωση </w:t>
      </w:r>
      <w:r w:rsidR="00FC7C63" w:rsidRPr="003C5479">
        <w:rPr>
          <w:kern w:val="2"/>
          <w:sz w:val="20"/>
          <w:szCs w:val="20"/>
        </w:rPr>
        <w:t xml:space="preserve">της απόφραξης του κατώτερου </w:t>
      </w:r>
      <w:r w:rsidRPr="003C5479">
        <w:rPr>
          <w:kern w:val="2"/>
          <w:sz w:val="20"/>
          <w:szCs w:val="20"/>
          <w:lang w:val="ro-RO"/>
        </w:rPr>
        <w:t>ουροποιητικού και μ</w:t>
      </w:r>
      <w:r w:rsidR="00FC7C63" w:rsidRPr="003C5479">
        <w:rPr>
          <w:kern w:val="2"/>
          <w:sz w:val="20"/>
          <w:szCs w:val="20"/>
          <w:lang w:val="ro-RO"/>
        </w:rPr>
        <w:t xml:space="preserve">ειωμένη γαστρική κένωση π.χ. </w:t>
      </w:r>
      <w:r w:rsidR="00FC7C63" w:rsidRPr="003C5479">
        <w:rPr>
          <w:kern w:val="2"/>
          <w:sz w:val="20"/>
          <w:szCs w:val="20"/>
        </w:rPr>
        <w:t>σ</w:t>
      </w:r>
      <w:r w:rsidRPr="003C5479">
        <w:rPr>
          <w:kern w:val="2"/>
          <w:sz w:val="20"/>
          <w:szCs w:val="20"/>
          <w:lang w:val="ro-RO"/>
        </w:rPr>
        <w:t>τένωση του πυλωρού (βλέπε παράγραφο 4.3).</w:t>
      </w: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  <w:r w:rsidRPr="003C5479">
        <w:rPr>
          <w:kern w:val="2"/>
          <w:sz w:val="20"/>
          <w:szCs w:val="20"/>
          <w:lang w:val="ro-RO"/>
        </w:rPr>
        <w:t xml:space="preserve">Συνιστάται προσοχή στη χορήγηση σε ασθενείς με ανεπάρκεια της αφυδρογονάσης της </w:t>
      </w:r>
      <w:r w:rsidR="00FC7C63" w:rsidRPr="003C5479">
        <w:rPr>
          <w:kern w:val="2"/>
          <w:sz w:val="20"/>
          <w:szCs w:val="20"/>
          <w:lang w:val="ro-RO"/>
        </w:rPr>
        <w:t>6-φωσφορικής</w:t>
      </w:r>
      <w:r w:rsidR="00FC7C63" w:rsidRPr="003C5479">
        <w:rPr>
          <w:kern w:val="2"/>
          <w:sz w:val="20"/>
          <w:szCs w:val="20"/>
        </w:rPr>
        <w:t xml:space="preserve"> </w:t>
      </w:r>
      <w:r w:rsidRPr="003C5479">
        <w:rPr>
          <w:kern w:val="2"/>
          <w:sz w:val="20"/>
          <w:szCs w:val="20"/>
          <w:lang w:val="ro-RO"/>
        </w:rPr>
        <w:t xml:space="preserve">γλυκόζης, αιμολυτική αναιμία, διαταραχές </w:t>
      </w:r>
      <w:r w:rsidR="00EB3DE3" w:rsidRPr="003C5479">
        <w:rPr>
          <w:kern w:val="2"/>
          <w:sz w:val="20"/>
          <w:szCs w:val="20"/>
        </w:rPr>
        <w:t>στο</w:t>
      </w:r>
      <w:r w:rsidRPr="003C5479">
        <w:rPr>
          <w:kern w:val="2"/>
          <w:sz w:val="20"/>
          <w:szCs w:val="20"/>
          <w:lang w:val="ro-RO"/>
        </w:rPr>
        <w:t xml:space="preserve"> μεταβολισμού του σιδήρου</w:t>
      </w:r>
      <w:r w:rsidR="00165452" w:rsidRPr="003C5479">
        <w:rPr>
          <w:kern w:val="2"/>
          <w:sz w:val="20"/>
          <w:szCs w:val="20"/>
        </w:rPr>
        <w:t xml:space="preserve">, </w:t>
      </w:r>
      <w:r w:rsidRPr="003C5479">
        <w:rPr>
          <w:kern w:val="2"/>
          <w:sz w:val="20"/>
          <w:szCs w:val="20"/>
          <w:lang w:val="ro-RO"/>
        </w:rPr>
        <w:t>σύνδρομο Gilbert,</w:t>
      </w:r>
      <w:r w:rsidR="0013266A" w:rsidRPr="003C5479">
        <w:rPr>
          <w:kern w:val="2"/>
          <w:sz w:val="20"/>
          <w:szCs w:val="20"/>
        </w:rPr>
        <w:t xml:space="preserve"> </w:t>
      </w:r>
      <w:r w:rsidR="00FC7C63" w:rsidRPr="003C5479">
        <w:rPr>
          <w:kern w:val="2"/>
          <w:sz w:val="20"/>
          <w:szCs w:val="20"/>
        </w:rPr>
        <w:t xml:space="preserve">λιθίαση </w:t>
      </w:r>
      <w:r w:rsidRPr="003C5479">
        <w:rPr>
          <w:kern w:val="2"/>
          <w:sz w:val="20"/>
          <w:szCs w:val="20"/>
          <w:lang w:val="ro-RO"/>
        </w:rPr>
        <w:t>του ουροποιητικού</w:t>
      </w:r>
      <w:r w:rsidR="0013266A" w:rsidRPr="003C5479">
        <w:rPr>
          <w:kern w:val="2"/>
          <w:sz w:val="20"/>
          <w:szCs w:val="20"/>
        </w:rPr>
        <w:t xml:space="preserve"> </w:t>
      </w:r>
      <w:r w:rsidRPr="003C5479">
        <w:rPr>
          <w:kern w:val="2"/>
          <w:sz w:val="20"/>
          <w:szCs w:val="20"/>
          <w:lang w:val="ro-RO"/>
        </w:rPr>
        <w:t>(</w:t>
      </w:r>
      <w:r w:rsidR="00FC7C63" w:rsidRPr="003C5479">
        <w:rPr>
          <w:kern w:val="2"/>
          <w:sz w:val="20"/>
          <w:szCs w:val="20"/>
        </w:rPr>
        <w:t xml:space="preserve">μη </w:t>
      </w:r>
      <w:r w:rsidRPr="003C5479">
        <w:rPr>
          <w:kern w:val="2"/>
          <w:sz w:val="20"/>
          <w:szCs w:val="20"/>
          <w:lang w:val="ro-RO"/>
        </w:rPr>
        <w:t xml:space="preserve"> χρησιμοποι</w:t>
      </w:r>
      <w:r w:rsidR="00FC7C63" w:rsidRPr="003C5479">
        <w:rPr>
          <w:kern w:val="2"/>
          <w:sz w:val="20"/>
          <w:szCs w:val="20"/>
        </w:rPr>
        <w:t>είτε</w:t>
      </w:r>
      <w:r w:rsidRPr="003C5479">
        <w:rPr>
          <w:kern w:val="2"/>
          <w:sz w:val="20"/>
          <w:szCs w:val="20"/>
          <w:lang w:val="ro-RO"/>
        </w:rPr>
        <w:t xml:space="preserve"> περισσότερο από 1 g ασκορβικού οξέος ανά ημέρα), αφυδάτωση, </w:t>
      </w:r>
      <w:r w:rsidR="00FC7C63" w:rsidRPr="003C5479">
        <w:rPr>
          <w:kern w:val="2"/>
          <w:sz w:val="20"/>
          <w:szCs w:val="20"/>
        </w:rPr>
        <w:t xml:space="preserve">κατάχρηση </w:t>
      </w:r>
      <w:r w:rsidRPr="003C5479">
        <w:rPr>
          <w:kern w:val="2"/>
          <w:sz w:val="20"/>
          <w:szCs w:val="20"/>
          <w:lang w:val="ro-RO"/>
        </w:rPr>
        <w:t>αλκοόλ και χρόνιο υποσιτισμ</w:t>
      </w:r>
      <w:r w:rsidR="00FC7C63" w:rsidRPr="003C5479">
        <w:rPr>
          <w:kern w:val="2"/>
          <w:sz w:val="20"/>
          <w:szCs w:val="20"/>
        </w:rPr>
        <w:t>ό</w:t>
      </w:r>
      <w:r w:rsidRPr="003C5479">
        <w:rPr>
          <w:kern w:val="2"/>
          <w:sz w:val="20"/>
          <w:szCs w:val="20"/>
          <w:lang w:val="ro-RO"/>
        </w:rPr>
        <w:t>.</w:t>
      </w: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  <w:lang w:val="ro-RO"/>
        </w:rPr>
      </w:pPr>
    </w:p>
    <w:p w:rsidR="0013351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  <w:lang w:val="ro-RO"/>
        </w:rPr>
        <w:t>Κάθε φακελάκι περιέχει 11,5</w:t>
      </w:r>
      <w:r w:rsidR="003A1868">
        <w:rPr>
          <w:kern w:val="2"/>
          <w:sz w:val="20"/>
          <w:szCs w:val="20"/>
          <w:lang w:val="ro-RO"/>
        </w:rPr>
        <w:t>55</w:t>
      </w:r>
      <w:r w:rsidRPr="003C5479">
        <w:rPr>
          <w:kern w:val="2"/>
          <w:sz w:val="20"/>
          <w:szCs w:val="20"/>
          <w:lang w:val="ro-RO"/>
        </w:rPr>
        <w:t xml:space="preserve"> g σακχαρόζης </w:t>
      </w:r>
      <w:r w:rsidR="00EB3DE3" w:rsidRPr="003C5479">
        <w:rPr>
          <w:kern w:val="2"/>
          <w:sz w:val="20"/>
          <w:szCs w:val="20"/>
          <w:lang w:val="ro-RO"/>
        </w:rPr>
        <w:t>–</w:t>
      </w:r>
      <w:r w:rsidRPr="003C5479">
        <w:rPr>
          <w:kern w:val="2"/>
          <w:sz w:val="20"/>
          <w:szCs w:val="20"/>
          <w:lang w:val="ro-RO"/>
        </w:rPr>
        <w:t xml:space="preserve"> </w:t>
      </w:r>
      <w:r w:rsidR="00EB3DE3" w:rsidRPr="003C5479">
        <w:rPr>
          <w:kern w:val="2"/>
          <w:sz w:val="20"/>
          <w:szCs w:val="20"/>
        </w:rPr>
        <w:t>να ληφθεί υπόψη</w:t>
      </w:r>
      <w:r w:rsidRPr="003C5479">
        <w:rPr>
          <w:kern w:val="2"/>
          <w:sz w:val="20"/>
          <w:szCs w:val="20"/>
          <w:lang w:val="ro-RO"/>
        </w:rPr>
        <w:t xml:space="preserve"> σε ασθενείς με σακχαρώδη διαβήτη ή σε περίπτωση δίαιτ</w:t>
      </w:r>
      <w:r w:rsidR="00FC7C63" w:rsidRPr="003C5479">
        <w:rPr>
          <w:kern w:val="2"/>
          <w:sz w:val="20"/>
          <w:szCs w:val="20"/>
        </w:rPr>
        <w:t>ας</w:t>
      </w:r>
      <w:r w:rsidRPr="003C5479">
        <w:rPr>
          <w:kern w:val="2"/>
          <w:sz w:val="20"/>
          <w:szCs w:val="20"/>
          <w:lang w:val="ro-RO"/>
        </w:rPr>
        <w:t xml:space="preserve"> χαμηλής περιεκτικότητας σε ζάχαρη. Οι ασθενείς με σπάνια κληρονομικά προβλήματα δυσανεξίας στη φρουκτόζη, δυσαπορρόφησης γλυκόζης-γαλακτόζης ή ανεπάρκεια σουκράσης-ισομαλτάσης δεν πρέπει να λαμβάνουν αυτό το φάρμακο.</w:t>
      </w:r>
    </w:p>
    <w:p w:rsidR="000F0D91" w:rsidRPr="003C5479" w:rsidRDefault="000F0D91" w:rsidP="000F0D91">
      <w:pPr>
        <w:pStyle w:val="Style8"/>
        <w:widowControl/>
        <w:contextualSpacing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8"/>
        <w:widowControl/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4.5    Αλληλεπιδράσεις με άλλα φαρμακευτικά προϊόντα και άλλες μορφές αλληλεπίδρασης</w:t>
      </w:r>
    </w:p>
    <w:p w:rsidR="00F278CF" w:rsidRPr="003C5479" w:rsidRDefault="00F278CF" w:rsidP="003E79D1">
      <w:pPr>
        <w:pStyle w:val="Style6"/>
        <w:widowControl/>
        <w:spacing w:line="240" w:lineRule="auto"/>
        <w:contextualSpacing/>
        <w:rPr>
          <w:rStyle w:val="FontStyle33"/>
          <w:kern w:val="2"/>
        </w:rPr>
      </w:pP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  <w:u w:val="single"/>
        </w:rPr>
      </w:pPr>
      <w:r w:rsidRPr="003C5479">
        <w:rPr>
          <w:kern w:val="2"/>
          <w:sz w:val="20"/>
          <w:szCs w:val="20"/>
          <w:u w:val="single"/>
        </w:rPr>
        <w:t>Παρακεταμόλη</w:t>
      </w: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 xml:space="preserve">Φάρμακα που επάγουν τα ηπατικά </w:t>
      </w:r>
      <w:proofErr w:type="spellStart"/>
      <w:r w:rsidRPr="003C5479">
        <w:rPr>
          <w:kern w:val="2"/>
          <w:sz w:val="20"/>
          <w:szCs w:val="20"/>
        </w:rPr>
        <w:t>μικροσωμι</w:t>
      </w:r>
      <w:r w:rsidR="00165452" w:rsidRPr="003C5479">
        <w:rPr>
          <w:kern w:val="2"/>
          <w:sz w:val="20"/>
          <w:szCs w:val="20"/>
        </w:rPr>
        <w:t>α</w:t>
      </w:r>
      <w:r w:rsidRPr="003C5479">
        <w:rPr>
          <w:kern w:val="2"/>
          <w:sz w:val="20"/>
          <w:szCs w:val="20"/>
        </w:rPr>
        <w:t>κά</w:t>
      </w:r>
      <w:proofErr w:type="spellEnd"/>
      <w:r w:rsidRPr="003C5479">
        <w:rPr>
          <w:kern w:val="2"/>
          <w:sz w:val="20"/>
          <w:szCs w:val="20"/>
        </w:rPr>
        <w:t xml:space="preserve"> ένζυμα, όπως το αλκοόλ, βαρβιτουρικά, αντισπασμωδικά, όπως </w:t>
      </w:r>
      <w:proofErr w:type="spellStart"/>
      <w:r w:rsidRPr="003C5479">
        <w:rPr>
          <w:kern w:val="2"/>
          <w:sz w:val="20"/>
          <w:szCs w:val="20"/>
        </w:rPr>
        <w:t>φαινυτοΐνη</w:t>
      </w:r>
      <w:proofErr w:type="spellEnd"/>
      <w:r w:rsidRPr="003C5479">
        <w:rPr>
          <w:kern w:val="2"/>
          <w:sz w:val="20"/>
          <w:szCs w:val="20"/>
        </w:rPr>
        <w:t xml:space="preserve">, </w:t>
      </w:r>
      <w:proofErr w:type="spellStart"/>
      <w:r w:rsidRPr="003C5479">
        <w:rPr>
          <w:kern w:val="2"/>
          <w:sz w:val="20"/>
          <w:szCs w:val="20"/>
        </w:rPr>
        <w:t>φαινοβαρβιτάλη</w:t>
      </w:r>
      <w:proofErr w:type="spellEnd"/>
      <w:r w:rsidRPr="003C5479">
        <w:rPr>
          <w:kern w:val="2"/>
          <w:sz w:val="20"/>
          <w:szCs w:val="20"/>
        </w:rPr>
        <w:t xml:space="preserve">, </w:t>
      </w:r>
      <w:proofErr w:type="spellStart"/>
      <w:r w:rsidRPr="003C5479">
        <w:rPr>
          <w:kern w:val="2"/>
          <w:sz w:val="20"/>
          <w:szCs w:val="20"/>
        </w:rPr>
        <w:t>μεθυλοφαινοβαρβιτάλη</w:t>
      </w:r>
      <w:proofErr w:type="spellEnd"/>
      <w:r w:rsidRPr="003C5479">
        <w:rPr>
          <w:kern w:val="2"/>
          <w:sz w:val="20"/>
          <w:szCs w:val="20"/>
        </w:rPr>
        <w:t xml:space="preserve"> και </w:t>
      </w:r>
      <w:proofErr w:type="spellStart"/>
      <w:r w:rsidRPr="003C5479">
        <w:rPr>
          <w:kern w:val="2"/>
          <w:sz w:val="20"/>
          <w:szCs w:val="20"/>
        </w:rPr>
        <w:t>πριμιδόνη</w:t>
      </w:r>
      <w:proofErr w:type="spellEnd"/>
      <w:r w:rsidRPr="003C5479">
        <w:rPr>
          <w:kern w:val="2"/>
          <w:sz w:val="20"/>
          <w:szCs w:val="20"/>
        </w:rPr>
        <w:t xml:space="preserve">, </w:t>
      </w:r>
      <w:proofErr w:type="spellStart"/>
      <w:r w:rsidRPr="003C5479">
        <w:rPr>
          <w:kern w:val="2"/>
          <w:sz w:val="20"/>
          <w:szCs w:val="20"/>
        </w:rPr>
        <w:t>ριφαμπικίνη</w:t>
      </w:r>
      <w:proofErr w:type="spellEnd"/>
      <w:r w:rsidRPr="003C5479">
        <w:rPr>
          <w:kern w:val="2"/>
          <w:sz w:val="20"/>
          <w:szCs w:val="20"/>
        </w:rPr>
        <w:t xml:space="preserve">, </w:t>
      </w:r>
      <w:proofErr w:type="spellStart"/>
      <w:r w:rsidRPr="003C5479">
        <w:rPr>
          <w:kern w:val="2"/>
          <w:sz w:val="20"/>
          <w:szCs w:val="20"/>
        </w:rPr>
        <w:t>βαλσαμόχορτο</w:t>
      </w:r>
      <w:proofErr w:type="spellEnd"/>
      <w:r w:rsidRPr="003C5479">
        <w:rPr>
          <w:kern w:val="2"/>
          <w:sz w:val="20"/>
          <w:szCs w:val="20"/>
        </w:rPr>
        <w:t xml:space="preserve"> (</w:t>
      </w:r>
      <w:proofErr w:type="spellStart"/>
      <w:r w:rsidRPr="003C5479">
        <w:rPr>
          <w:kern w:val="2"/>
          <w:sz w:val="20"/>
          <w:szCs w:val="20"/>
          <w:lang w:val="en-GB"/>
        </w:rPr>
        <w:t>Hypericum</w:t>
      </w:r>
      <w:proofErr w:type="spellEnd"/>
      <w:r w:rsidRPr="003C5479">
        <w:rPr>
          <w:kern w:val="2"/>
          <w:sz w:val="20"/>
          <w:szCs w:val="20"/>
        </w:rPr>
        <w:t xml:space="preserve"> </w:t>
      </w:r>
      <w:proofErr w:type="spellStart"/>
      <w:r w:rsidRPr="003C5479">
        <w:rPr>
          <w:kern w:val="2"/>
          <w:sz w:val="20"/>
          <w:szCs w:val="20"/>
          <w:lang w:val="en-GB"/>
        </w:rPr>
        <w:t>perforatum</w:t>
      </w:r>
      <w:proofErr w:type="spellEnd"/>
      <w:r w:rsidRPr="003C5479">
        <w:rPr>
          <w:kern w:val="2"/>
          <w:sz w:val="20"/>
          <w:szCs w:val="20"/>
        </w:rPr>
        <w:t>), αναστολείς της μονοαμινοξειδάσης και τα τρικυκλικά αντικαταθλιπτικά, μπορεί να αυξήσουν την ηπατοτοξικότητα της παρακεταμόλης,</w:t>
      </w:r>
      <w:r w:rsidR="0013266A" w:rsidRPr="003C5479">
        <w:rPr>
          <w:kern w:val="2"/>
          <w:sz w:val="20"/>
          <w:szCs w:val="20"/>
        </w:rPr>
        <w:t xml:space="preserve"> </w:t>
      </w:r>
      <w:r w:rsidRPr="003C5479">
        <w:rPr>
          <w:kern w:val="2"/>
          <w:sz w:val="20"/>
          <w:szCs w:val="20"/>
        </w:rPr>
        <w:t>ιδίως μετά από υπερδοσολογία.</w:t>
      </w: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 xml:space="preserve">Η ταχύτητα απορρόφησης της παρακεταμόλης μπορεί να μειωθεί με αντιχολινεργικά φάρμακα (π.χ. γλυκοπυρρόνιο, προπανθελίνη) και να αυξηθεί με μετοκλοπραμίδη ή  δομπεριδόνη και </w:t>
      </w:r>
      <w:r w:rsidR="00BF20D3" w:rsidRPr="003C5479">
        <w:rPr>
          <w:kern w:val="2"/>
          <w:sz w:val="20"/>
          <w:szCs w:val="20"/>
        </w:rPr>
        <w:t xml:space="preserve">να μειωθεί </w:t>
      </w:r>
      <w:r w:rsidR="00942640" w:rsidRPr="003C5479">
        <w:rPr>
          <w:kern w:val="2"/>
          <w:sz w:val="20"/>
          <w:szCs w:val="20"/>
        </w:rPr>
        <w:t xml:space="preserve">η </w:t>
      </w:r>
      <w:r w:rsidRPr="003C5479">
        <w:rPr>
          <w:kern w:val="2"/>
          <w:sz w:val="20"/>
          <w:szCs w:val="20"/>
        </w:rPr>
        <w:t>απορρόφη</w:t>
      </w:r>
      <w:r w:rsidR="00165452" w:rsidRPr="003C5479">
        <w:rPr>
          <w:kern w:val="2"/>
          <w:sz w:val="20"/>
          <w:szCs w:val="20"/>
        </w:rPr>
        <w:t>σή της</w:t>
      </w:r>
      <w:r w:rsidRPr="003C5479">
        <w:rPr>
          <w:kern w:val="2"/>
          <w:sz w:val="20"/>
          <w:szCs w:val="20"/>
        </w:rPr>
        <w:t xml:space="preserve"> από τη χολεστυραμίνη. </w:t>
      </w:r>
      <w:r w:rsidR="00942640" w:rsidRPr="003C5479">
        <w:rPr>
          <w:kern w:val="2"/>
          <w:sz w:val="20"/>
          <w:szCs w:val="20"/>
        </w:rPr>
        <w:t>Η ι</w:t>
      </w:r>
      <w:r w:rsidRPr="003C5479">
        <w:rPr>
          <w:kern w:val="2"/>
          <w:sz w:val="20"/>
          <w:szCs w:val="20"/>
        </w:rPr>
        <w:t xml:space="preserve">σονιαζίδη μειώνει </w:t>
      </w:r>
      <w:r w:rsidR="00942640" w:rsidRPr="003C5479">
        <w:rPr>
          <w:kern w:val="2"/>
          <w:sz w:val="20"/>
          <w:szCs w:val="20"/>
        </w:rPr>
        <w:t xml:space="preserve">την </w:t>
      </w:r>
      <w:r w:rsidRPr="003C5479">
        <w:rPr>
          <w:kern w:val="2"/>
          <w:sz w:val="20"/>
          <w:szCs w:val="20"/>
        </w:rPr>
        <w:t xml:space="preserve">κάθαρση </w:t>
      </w:r>
      <w:r w:rsidR="00942640" w:rsidRPr="003C5479">
        <w:rPr>
          <w:kern w:val="2"/>
          <w:sz w:val="20"/>
          <w:szCs w:val="20"/>
        </w:rPr>
        <w:t xml:space="preserve">της </w:t>
      </w:r>
      <w:r w:rsidRPr="003C5479">
        <w:rPr>
          <w:kern w:val="2"/>
          <w:sz w:val="20"/>
          <w:szCs w:val="20"/>
        </w:rPr>
        <w:t xml:space="preserve">παρακεταμόλης με πιθανή ενίσχυση της δράσης και / ή </w:t>
      </w:r>
      <w:r w:rsidR="00942640" w:rsidRPr="003C5479">
        <w:rPr>
          <w:kern w:val="2"/>
          <w:sz w:val="20"/>
          <w:szCs w:val="20"/>
        </w:rPr>
        <w:t xml:space="preserve">της </w:t>
      </w:r>
      <w:r w:rsidRPr="003C5479">
        <w:rPr>
          <w:kern w:val="2"/>
          <w:sz w:val="20"/>
          <w:szCs w:val="20"/>
        </w:rPr>
        <w:t>τοξικότητα</w:t>
      </w:r>
      <w:r w:rsidR="00942640" w:rsidRPr="003C5479">
        <w:rPr>
          <w:kern w:val="2"/>
          <w:sz w:val="20"/>
          <w:szCs w:val="20"/>
        </w:rPr>
        <w:t>ς</w:t>
      </w:r>
      <w:r w:rsidRPr="003C5479">
        <w:rPr>
          <w:kern w:val="2"/>
          <w:sz w:val="20"/>
          <w:szCs w:val="20"/>
        </w:rPr>
        <w:t xml:space="preserve">, </w:t>
      </w:r>
      <w:r w:rsidR="00942640" w:rsidRPr="003C5479">
        <w:rPr>
          <w:kern w:val="2"/>
          <w:sz w:val="20"/>
          <w:szCs w:val="20"/>
        </w:rPr>
        <w:t>λόγω</w:t>
      </w:r>
      <w:r w:rsidRPr="003C5479">
        <w:rPr>
          <w:kern w:val="2"/>
          <w:sz w:val="20"/>
          <w:szCs w:val="20"/>
        </w:rPr>
        <w:t xml:space="preserve"> αναστολή</w:t>
      </w:r>
      <w:r w:rsidR="00942640" w:rsidRPr="003C5479">
        <w:rPr>
          <w:kern w:val="2"/>
          <w:sz w:val="20"/>
          <w:szCs w:val="20"/>
        </w:rPr>
        <w:t>ς</w:t>
      </w:r>
      <w:r w:rsidRPr="003C5479">
        <w:rPr>
          <w:kern w:val="2"/>
          <w:sz w:val="20"/>
          <w:szCs w:val="20"/>
        </w:rPr>
        <w:t xml:space="preserve"> του μεταβολισμού της στο ήπαρ. Η αντιπηκτική δράση της βαρφαρίνης και ά</w:t>
      </w:r>
      <w:r w:rsidR="00942640" w:rsidRPr="003C5479">
        <w:rPr>
          <w:kern w:val="2"/>
          <w:sz w:val="20"/>
          <w:szCs w:val="20"/>
        </w:rPr>
        <w:t>λλων κουμαριν</w:t>
      </w:r>
      <w:r w:rsidR="00165452" w:rsidRPr="003C5479">
        <w:rPr>
          <w:kern w:val="2"/>
          <w:sz w:val="20"/>
          <w:szCs w:val="20"/>
        </w:rPr>
        <w:t>ικών αντιπηκτικών</w:t>
      </w:r>
      <w:r w:rsidR="00942640" w:rsidRPr="003C5479">
        <w:rPr>
          <w:kern w:val="2"/>
          <w:sz w:val="20"/>
          <w:szCs w:val="20"/>
        </w:rPr>
        <w:t xml:space="preserve"> μπορεί να ενισχυθ</w:t>
      </w:r>
      <w:r w:rsidR="00385877" w:rsidRPr="003C5479">
        <w:rPr>
          <w:kern w:val="2"/>
          <w:sz w:val="20"/>
          <w:szCs w:val="20"/>
        </w:rPr>
        <w:t>εί</w:t>
      </w:r>
      <w:r w:rsidRPr="003C5479">
        <w:rPr>
          <w:kern w:val="2"/>
          <w:sz w:val="20"/>
          <w:szCs w:val="20"/>
        </w:rPr>
        <w:t xml:space="preserve"> </w:t>
      </w:r>
      <w:r w:rsidR="00165452" w:rsidRPr="003C5479">
        <w:rPr>
          <w:kern w:val="2"/>
          <w:sz w:val="20"/>
          <w:szCs w:val="20"/>
        </w:rPr>
        <w:t>από</w:t>
      </w:r>
      <w:r w:rsidRPr="003C5479">
        <w:rPr>
          <w:kern w:val="2"/>
          <w:sz w:val="20"/>
          <w:szCs w:val="20"/>
        </w:rPr>
        <w:t xml:space="preserve"> την παρατεταμένη καθημερινή χρήση της παρακεταμόλης με αυξημένο κίνδυνο αιμορραγίας</w:t>
      </w:r>
      <w:r w:rsidR="00385877" w:rsidRPr="003C5479">
        <w:rPr>
          <w:kern w:val="2"/>
          <w:sz w:val="20"/>
          <w:szCs w:val="20"/>
        </w:rPr>
        <w:t>.</w:t>
      </w:r>
      <w:r w:rsidRPr="003C5479">
        <w:rPr>
          <w:kern w:val="2"/>
          <w:sz w:val="20"/>
          <w:szCs w:val="20"/>
        </w:rPr>
        <w:t xml:space="preserve"> </w:t>
      </w:r>
      <w:r w:rsidR="00385877" w:rsidRPr="003C5479">
        <w:rPr>
          <w:kern w:val="2"/>
          <w:sz w:val="20"/>
          <w:szCs w:val="20"/>
        </w:rPr>
        <w:t>Π</w:t>
      </w:r>
      <w:r w:rsidRPr="003C5479">
        <w:rPr>
          <w:kern w:val="2"/>
          <w:sz w:val="20"/>
          <w:szCs w:val="20"/>
        </w:rPr>
        <w:t>εριστασιακές δόσεις δεν έχουν καμία σημαντική επίδραση. Η προβενεσίδη μειώνει κάθαρση της παρακεταμόλης μ</w:t>
      </w:r>
      <w:r w:rsidR="00385877" w:rsidRPr="003C5479">
        <w:rPr>
          <w:kern w:val="2"/>
          <w:sz w:val="20"/>
          <w:szCs w:val="20"/>
        </w:rPr>
        <w:t>έσω</w:t>
      </w:r>
      <w:r w:rsidRPr="003C5479">
        <w:rPr>
          <w:kern w:val="2"/>
          <w:sz w:val="20"/>
          <w:szCs w:val="20"/>
        </w:rPr>
        <w:t xml:space="preserve"> αναστολή</w:t>
      </w:r>
      <w:r w:rsidR="00165452" w:rsidRPr="003C5479">
        <w:rPr>
          <w:kern w:val="2"/>
          <w:sz w:val="20"/>
          <w:szCs w:val="20"/>
        </w:rPr>
        <w:t>ς</w:t>
      </w:r>
      <w:r w:rsidRPr="003C5479">
        <w:rPr>
          <w:kern w:val="2"/>
          <w:sz w:val="20"/>
          <w:szCs w:val="20"/>
        </w:rPr>
        <w:t xml:space="preserve"> </w:t>
      </w:r>
      <w:r w:rsidR="00385877" w:rsidRPr="003C5479">
        <w:rPr>
          <w:kern w:val="2"/>
          <w:sz w:val="20"/>
          <w:szCs w:val="20"/>
        </w:rPr>
        <w:t xml:space="preserve">της </w:t>
      </w:r>
      <w:r w:rsidRPr="003C5479">
        <w:rPr>
          <w:kern w:val="2"/>
          <w:sz w:val="20"/>
          <w:szCs w:val="20"/>
        </w:rPr>
        <w:t>σύζευξη</w:t>
      </w:r>
      <w:r w:rsidR="00165452" w:rsidRPr="003C5479">
        <w:rPr>
          <w:kern w:val="2"/>
          <w:sz w:val="20"/>
          <w:szCs w:val="20"/>
        </w:rPr>
        <w:t>ς</w:t>
      </w:r>
      <w:r w:rsidRPr="003C5479">
        <w:rPr>
          <w:kern w:val="2"/>
          <w:sz w:val="20"/>
          <w:szCs w:val="20"/>
        </w:rPr>
        <w:t xml:space="preserve"> με </w:t>
      </w:r>
      <w:r w:rsidR="00385877" w:rsidRPr="003C5479">
        <w:rPr>
          <w:kern w:val="2"/>
          <w:sz w:val="20"/>
          <w:szCs w:val="20"/>
        </w:rPr>
        <w:t xml:space="preserve">το </w:t>
      </w:r>
      <w:r w:rsidRPr="003C5479">
        <w:rPr>
          <w:kern w:val="2"/>
          <w:sz w:val="20"/>
          <w:szCs w:val="20"/>
        </w:rPr>
        <w:t>γλυκουρονικό οξύ.</w:t>
      </w: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>Η τακτική χρήση παρακεταμόλης μειώνει πιθανώς το μεταβολισμό της ζιδοβουδίνης (αυξημένο</w:t>
      </w:r>
      <w:r w:rsidR="00385877" w:rsidRPr="003C5479">
        <w:rPr>
          <w:kern w:val="2"/>
          <w:sz w:val="20"/>
          <w:szCs w:val="20"/>
        </w:rPr>
        <w:t xml:space="preserve">ς κίνδυνος </w:t>
      </w:r>
      <w:r w:rsidRPr="003C5479">
        <w:rPr>
          <w:kern w:val="2"/>
          <w:sz w:val="20"/>
          <w:szCs w:val="20"/>
        </w:rPr>
        <w:t>ουδετεροπενίας).</w:t>
      </w: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</w:p>
    <w:p w:rsidR="00EB3DE3" w:rsidRPr="003C5479" w:rsidRDefault="00385877" w:rsidP="00EB3DE3">
      <w:pPr>
        <w:pStyle w:val="Style6"/>
        <w:widowControl/>
        <w:contextualSpacing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>Ο χρόνος ημι</w:t>
      </w:r>
      <w:r w:rsidR="00EB3DE3" w:rsidRPr="003C5479">
        <w:rPr>
          <w:kern w:val="2"/>
          <w:sz w:val="20"/>
          <w:szCs w:val="20"/>
        </w:rPr>
        <w:t xml:space="preserve">ζωής </w:t>
      </w:r>
      <w:r w:rsidRPr="003C5479">
        <w:rPr>
          <w:kern w:val="2"/>
          <w:sz w:val="20"/>
          <w:szCs w:val="20"/>
        </w:rPr>
        <w:t xml:space="preserve">για την απομάκρυνση </w:t>
      </w:r>
      <w:r w:rsidR="00EB3DE3" w:rsidRPr="003C5479">
        <w:rPr>
          <w:kern w:val="2"/>
          <w:sz w:val="20"/>
          <w:szCs w:val="20"/>
        </w:rPr>
        <w:t>της χλωραμφαινικόλη</w:t>
      </w:r>
      <w:r w:rsidRPr="003C5479">
        <w:rPr>
          <w:kern w:val="2"/>
          <w:sz w:val="20"/>
          <w:szCs w:val="20"/>
        </w:rPr>
        <w:t>ς</w:t>
      </w:r>
      <w:r w:rsidR="00EB3DE3" w:rsidRPr="003C5479">
        <w:rPr>
          <w:kern w:val="2"/>
          <w:sz w:val="20"/>
          <w:szCs w:val="20"/>
        </w:rPr>
        <w:t xml:space="preserve"> μπορεί να παραταθεί με </w:t>
      </w:r>
      <w:r w:rsidRPr="003C5479">
        <w:rPr>
          <w:kern w:val="2"/>
          <w:sz w:val="20"/>
          <w:szCs w:val="20"/>
        </w:rPr>
        <w:t xml:space="preserve">την </w:t>
      </w:r>
      <w:r w:rsidR="00EB3DE3" w:rsidRPr="003C5479">
        <w:rPr>
          <w:kern w:val="2"/>
          <w:sz w:val="20"/>
          <w:szCs w:val="20"/>
        </w:rPr>
        <w:t>παρακεταμόλη.</w:t>
      </w: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  <w:u w:val="single"/>
        </w:rPr>
      </w:pPr>
      <w:r w:rsidRPr="003C5479">
        <w:rPr>
          <w:kern w:val="2"/>
          <w:sz w:val="20"/>
          <w:szCs w:val="20"/>
          <w:u w:val="single"/>
        </w:rPr>
        <w:t>Φαινιραμίνη</w:t>
      </w:r>
    </w:p>
    <w:p w:rsidR="00EB3DE3" w:rsidRPr="003C5479" w:rsidRDefault="00EB3DE3" w:rsidP="00EB3DE3">
      <w:pPr>
        <w:pStyle w:val="Style6"/>
        <w:widowControl/>
        <w:contextualSpacing/>
        <w:rPr>
          <w:i/>
          <w:kern w:val="2"/>
          <w:sz w:val="20"/>
          <w:szCs w:val="20"/>
        </w:rPr>
      </w:pPr>
      <w:r w:rsidRPr="003C5479">
        <w:rPr>
          <w:i/>
          <w:kern w:val="2"/>
          <w:sz w:val="20"/>
          <w:szCs w:val="20"/>
        </w:rPr>
        <w:t>Μη συνιστώμενοι συνδυασμοί</w:t>
      </w:r>
    </w:p>
    <w:p w:rsidR="00165452" w:rsidRPr="003C5479" w:rsidRDefault="00165452" w:rsidP="00EB3DE3">
      <w:pPr>
        <w:pStyle w:val="Style6"/>
        <w:widowControl/>
        <w:contextualSpacing/>
        <w:rPr>
          <w:i/>
          <w:kern w:val="2"/>
          <w:sz w:val="20"/>
          <w:szCs w:val="20"/>
        </w:rPr>
      </w:pP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  <w:u w:val="single"/>
        </w:rPr>
      </w:pPr>
      <w:r w:rsidRPr="003C5479">
        <w:rPr>
          <w:kern w:val="2"/>
          <w:sz w:val="20"/>
          <w:szCs w:val="20"/>
          <w:u w:val="single"/>
        </w:rPr>
        <w:lastRenderedPageBreak/>
        <w:t>Αλκοόλ</w:t>
      </w: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 xml:space="preserve">Η κατασταλτική </w:t>
      </w:r>
      <w:r w:rsidR="002B2CFC" w:rsidRPr="003C5479">
        <w:rPr>
          <w:kern w:val="2"/>
          <w:sz w:val="20"/>
          <w:szCs w:val="20"/>
        </w:rPr>
        <w:t xml:space="preserve"> αντι</w:t>
      </w:r>
      <w:r w:rsidR="00187424" w:rsidRPr="003C5479">
        <w:rPr>
          <w:kern w:val="2"/>
          <w:sz w:val="20"/>
          <w:szCs w:val="20"/>
        </w:rPr>
        <w:t>-</w:t>
      </w:r>
      <w:r w:rsidR="00187424" w:rsidRPr="003C5479">
        <w:rPr>
          <w:kern w:val="2"/>
          <w:sz w:val="20"/>
          <w:szCs w:val="20"/>
          <w:lang w:val="en-GB"/>
        </w:rPr>
        <w:t>H</w:t>
      </w:r>
      <w:r w:rsidR="00187424" w:rsidRPr="003C5479">
        <w:rPr>
          <w:kern w:val="2"/>
          <w:sz w:val="20"/>
          <w:szCs w:val="20"/>
          <w:vertAlign w:val="subscript"/>
        </w:rPr>
        <w:t xml:space="preserve">1 </w:t>
      </w:r>
      <w:r w:rsidR="00187424" w:rsidRPr="003C5479">
        <w:rPr>
          <w:kern w:val="2"/>
          <w:sz w:val="20"/>
          <w:szCs w:val="20"/>
        </w:rPr>
        <w:t>ισταμινική δράση</w:t>
      </w:r>
      <w:r w:rsidRPr="003C5479">
        <w:rPr>
          <w:kern w:val="2"/>
          <w:sz w:val="20"/>
          <w:szCs w:val="20"/>
        </w:rPr>
        <w:t xml:space="preserve"> αυξ</w:t>
      </w:r>
      <w:r w:rsidR="002B2CFC" w:rsidRPr="003C5479">
        <w:rPr>
          <w:kern w:val="2"/>
          <w:sz w:val="20"/>
          <w:szCs w:val="20"/>
        </w:rPr>
        <w:t>άνεται</w:t>
      </w:r>
      <w:r w:rsidRPr="003C5479">
        <w:rPr>
          <w:kern w:val="2"/>
          <w:sz w:val="20"/>
          <w:szCs w:val="20"/>
        </w:rPr>
        <w:t xml:space="preserve"> </w:t>
      </w:r>
      <w:r w:rsidR="00187424" w:rsidRPr="003C5479">
        <w:rPr>
          <w:kern w:val="2"/>
          <w:sz w:val="20"/>
          <w:szCs w:val="20"/>
        </w:rPr>
        <w:t>με</w:t>
      </w:r>
      <w:r w:rsidRPr="003C5479">
        <w:rPr>
          <w:kern w:val="2"/>
          <w:sz w:val="20"/>
          <w:szCs w:val="20"/>
        </w:rPr>
        <w:t xml:space="preserve"> το αλκοόλ. Η μειωμένη εγρήγορση θα μπορούσε να καταστήσει την οδήγηση οχημάτων και τη χρήση μηχαν</w:t>
      </w:r>
      <w:r w:rsidR="00C86A0B" w:rsidRPr="003C5479">
        <w:rPr>
          <w:kern w:val="2"/>
          <w:sz w:val="20"/>
          <w:szCs w:val="20"/>
        </w:rPr>
        <w:t>ημάτω</w:t>
      </w:r>
      <w:r w:rsidRPr="003C5479">
        <w:rPr>
          <w:kern w:val="2"/>
          <w:sz w:val="20"/>
          <w:szCs w:val="20"/>
        </w:rPr>
        <w:t>ν επικίνδυνη.</w:t>
      </w: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>Αποφύγετε τα αλκοολούχα ποτά και τα φάρμακα που περιέχουν αλκοόλ.</w:t>
      </w: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</w:p>
    <w:p w:rsidR="00EB3DE3" w:rsidRPr="003C5479" w:rsidRDefault="00EB3DE3" w:rsidP="00EB3DE3">
      <w:pPr>
        <w:pStyle w:val="Style6"/>
        <w:widowControl/>
        <w:contextualSpacing/>
        <w:rPr>
          <w:i/>
          <w:kern w:val="2"/>
          <w:sz w:val="20"/>
          <w:szCs w:val="20"/>
        </w:rPr>
      </w:pPr>
      <w:r w:rsidRPr="003C5479">
        <w:rPr>
          <w:i/>
          <w:kern w:val="2"/>
          <w:sz w:val="20"/>
          <w:szCs w:val="20"/>
        </w:rPr>
        <w:t xml:space="preserve">Συνδυασμοί </w:t>
      </w:r>
      <w:r w:rsidR="00C86A0B" w:rsidRPr="003C5479">
        <w:rPr>
          <w:i/>
          <w:kern w:val="2"/>
          <w:sz w:val="20"/>
          <w:szCs w:val="20"/>
        </w:rPr>
        <w:t>όπου</w:t>
      </w:r>
      <w:r w:rsidRPr="003C5479">
        <w:rPr>
          <w:i/>
          <w:kern w:val="2"/>
          <w:sz w:val="20"/>
          <w:szCs w:val="20"/>
        </w:rPr>
        <w:t xml:space="preserve"> πρέπει να επιδεικνύεται προσοχή</w:t>
      </w: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  <w:u w:val="single"/>
        </w:rPr>
      </w:pPr>
      <w:r w:rsidRPr="003C5479">
        <w:rPr>
          <w:kern w:val="2"/>
          <w:sz w:val="20"/>
          <w:szCs w:val="20"/>
          <w:u w:val="single"/>
        </w:rPr>
        <w:t>Κατασταλτικά φάρμακα</w:t>
      </w: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>Παράγωγα μορφίνης (αναλγητι</w:t>
      </w:r>
      <w:r w:rsidR="00187424" w:rsidRPr="003C5479">
        <w:rPr>
          <w:kern w:val="2"/>
          <w:sz w:val="20"/>
          <w:szCs w:val="20"/>
        </w:rPr>
        <w:t>κά</w:t>
      </w:r>
      <w:r w:rsidRPr="003C5479">
        <w:rPr>
          <w:kern w:val="2"/>
          <w:sz w:val="20"/>
          <w:szCs w:val="20"/>
        </w:rPr>
        <w:t>, αντιβ</w:t>
      </w:r>
      <w:r w:rsidR="00C86A0B" w:rsidRPr="003C5479">
        <w:rPr>
          <w:kern w:val="2"/>
          <w:sz w:val="20"/>
          <w:szCs w:val="20"/>
        </w:rPr>
        <w:t>ηχικά</w:t>
      </w:r>
      <w:r w:rsidRPr="003C5479">
        <w:rPr>
          <w:kern w:val="2"/>
          <w:sz w:val="20"/>
          <w:szCs w:val="20"/>
        </w:rPr>
        <w:t xml:space="preserve"> φάρμακ</w:t>
      </w:r>
      <w:r w:rsidR="00C86A0B" w:rsidRPr="003C5479">
        <w:rPr>
          <w:kern w:val="2"/>
          <w:sz w:val="20"/>
          <w:szCs w:val="20"/>
        </w:rPr>
        <w:t xml:space="preserve">α και θεραπείες υποκατάστασης, </w:t>
      </w:r>
      <w:r w:rsidRPr="003C5479">
        <w:rPr>
          <w:kern w:val="2"/>
          <w:sz w:val="20"/>
          <w:szCs w:val="20"/>
        </w:rPr>
        <w:t>νευροληπτικά, βαρβιτουρικά, βενζοδιαζεπίνες, αγχολυτικ</w:t>
      </w:r>
      <w:r w:rsidR="00C86A0B" w:rsidRPr="003C5479">
        <w:rPr>
          <w:kern w:val="2"/>
          <w:sz w:val="20"/>
          <w:szCs w:val="20"/>
        </w:rPr>
        <w:t>ά</w:t>
      </w:r>
      <w:r w:rsidRPr="003C5479">
        <w:rPr>
          <w:kern w:val="2"/>
          <w:sz w:val="20"/>
          <w:szCs w:val="20"/>
        </w:rPr>
        <w:t xml:space="preserve"> εκτός των βενζοδιαζεπινών (για παράδειγμα </w:t>
      </w:r>
      <w:r w:rsidR="00C86A0B" w:rsidRPr="003C5479">
        <w:rPr>
          <w:kern w:val="2"/>
          <w:sz w:val="20"/>
          <w:szCs w:val="20"/>
        </w:rPr>
        <w:t>μεπροβαμάτη</w:t>
      </w:r>
      <w:r w:rsidRPr="003C5479">
        <w:rPr>
          <w:kern w:val="2"/>
          <w:sz w:val="20"/>
          <w:szCs w:val="20"/>
        </w:rPr>
        <w:t>), υπνωτικά, αντικαταθλιπτικά ηρεμιστικά (αμιτριπτυλίνη, δοξεπίνη, μιανσερίνη, μιρταζαπίνη, τριμιπραμίνη, αντι</w:t>
      </w:r>
      <w:r w:rsidR="00187424" w:rsidRPr="003C5479">
        <w:rPr>
          <w:kern w:val="2"/>
          <w:sz w:val="20"/>
          <w:szCs w:val="20"/>
        </w:rPr>
        <w:t>- Η</w:t>
      </w:r>
      <w:r w:rsidR="00187424" w:rsidRPr="003C5479">
        <w:rPr>
          <w:kern w:val="2"/>
          <w:sz w:val="20"/>
          <w:szCs w:val="20"/>
          <w:vertAlign w:val="subscript"/>
        </w:rPr>
        <w:t xml:space="preserve">1 </w:t>
      </w:r>
      <w:r w:rsidRPr="003C5479">
        <w:rPr>
          <w:kern w:val="2"/>
          <w:sz w:val="20"/>
          <w:szCs w:val="20"/>
        </w:rPr>
        <w:t>ισταμινικά</w:t>
      </w:r>
      <w:r w:rsidR="00187424" w:rsidRPr="003C5479">
        <w:rPr>
          <w:kern w:val="2"/>
          <w:sz w:val="20"/>
          <w:szCs w:val="20"/>
        </w:rPr>
        <w:t xml:space="preserve"> κατασταλτικά</w:t>
      </w:r>
      <w:r w:rsidRPr="003C5479">
        <w:rPr>
          <w:kern w:val="2"/>
          <w:sz w:val="20"/>
          <w:szCs w:val="20"/>
        </w:rPr>
        <w:t xml:space="preserve">, </w:t>
      </w:r>
      <w:r w:rsidR="00A53A0C" w:rsidRPr="003C5479">
        <w:rPr>
          <w:kern w:val="2"/>
          <w:sz w:val="20"/>
          <w:szCs w:val="20"/>
        </w:rPr>
        <w:t>κεντρικ</w:t>
      </w:r>
      <w:r w:rsidR="00187424" w:rsidRPr="003C5479">
        <w:rPr>
          <w:kern w:val="2"/>
          <w:sz w:val="20"/>
          <w:szCs w:val="20"/>
        </w:rPr>
        <w:t>ώς δ</w:t>
      </w:r>
      <w:r w:rsidR="0013266A" w:rsidRPr="003C5479">
        <w:rPr>
          <w:kern w:val="2"/>
          <w:sz w:val="20"/>
          <w:szCs w:val="20"/>
        </w:rPr>
        <w:t>ρώ</w:t>
      </w:r>
      <w:r w:rsidR="00187424" w:rsidRPr="003C5479">
        <w:rPr>
          <w:kern w:val="2"/>
          <w:sz w:val="20"/>
          <w:szCs w:val="20"/>
        </w:rPr>
        <w:t>ντα</w:t>
      </w:r>
      <w:r w:rsidR="00A53A0C" w:rsidRPr="003C5479">
        <w:rPr>
          <w:kern w:val="2"/>
          <w:sz w:val="20"/>
          <w:szCs w:val="20"/>
        </w:rPr>
        <w:t xml:space="preserve"> </w:t>
      </w:r>
      <w:proofErr w:type="spellStart"/>
      <w:r w:rsidRPr="003C5479">
        <w:rPr>
          <w:kern w:val="2"/>
          <w:sz w:val="20"/>
          <w:szCs w:val="20"/>
        </w:rPr>
        <w:t>αντιυπερτασικά</w:t>
      </w:r>
      <w:proofErr w:type="spellEnd"/>
      <w:r w:rsidRPr="003C5479">
        <w:rPr>
          <w:kern w:val="2"/>
          <w:sz w:val="20"/>
          <w:szCs w:val="20"/>
        </w:rPr>
        <w:t xml:space="preserve">, θαλιδομίδη και </w:t>
      </w:r>
      <w:proofErr w:type="spellStart"/>
      <w:r w:rsidR="00AA78CC">
        <w:rPr>
          <w:kern w:val="2"/>
          <w:sz w:val="20"/>
          <w:szCs w:val="20"/>
        </w:rPr>
        <w:t>β</w:t>
      </w:r>
      <w:r w:rsidRPr="003C5479">
        <w:rPr>
          <w:kern w:val="2"/>
          <w:sz w:val="20"/>
          <w:szCs w:val="20"/>
        </w:rPr>
        <w:t>ακλοφαίνη</w:t>
      </w:r>
      <w:proofErr w:type="spellEnd"/>
      <w:r w:rsidR="00FC1EA7">
        <w:rPr>
          <w:kern w:val="2"/>
          <w:sz w:val="20"/>
          <w:szCs w:val="20"/>
        </w:rPr>
        <w:t>)</w:t>
      </w:r>
      <w:r w:rsidRPr="003C5479">
        <w:rPr>
          <w:kern w:val="2"/>
          <w:sz w:val="20"/>
          <w:szCs w:val="20"/>
        </w:rPr>
        <w:t xml:space="preserve"> μπορ</w:t>
      </w:r>
      <w:r w:rsidR="00A53A0C" w:rsidRPr="003C5479">
        <w:rPr>
          <w:kern w:val="2"/>
          <w:sz w:val="20"/>
          <w:szCs w:val="20"/>
        </w:rPr>
        <w:t xml:space="preserve">ούν </w:t>
      </w:r>
      <w:r w:rsidRPr="003C5479">
        <w:rPr>
          <w:kern w:val="2"/>
          <w:sz w:val="20"/>
          <w:szCs w:val="20"/>
        </w:rPr>
        <w:t xml:space="preserve">να </w:t>
      </w:r>
      <w:r w:rsidR="00187424" w:rsidRPr="003C5479">
        <w:rPr>
          <w:kern w:val="2"/>
          <w:sz w:val="20"/>
          <w:szCs w:val="20"/>
        </w:rPr>
        <w:t xml:space="preserve">ενισχύσουν </w:t>
      </w:r>
      <w:r w:rsidRPr="003C5479">
        <w:rPr>
          <w:kern w:val="2"/>
          <w:sz w:val="20"/>
          <w:szCs w:val="20"/>
        </w:rPr>
        <w:t>την κατάθλιψη. Η μειωμένη εγρήγορση θα μπορούσε να κάνει την οδήγηση οχημάτων και τη χρήση μηχαν</w:t>
      </w:r>
      <w:r w:rsidR="00A53A0C" w:rsidRPr="003C5479">
        <w:rPr>
          <w:kern w:val="2"/>
          <w:sz w:val="20"/>
          <w:szCs w:val="20"/>
        </w:rPr>
        <w:t>ημάτων</w:t>
      </w:r>
      <w:r w:rsidRPr="003C5479">
        <w:rPr>
          <w:kern w:val="2"/>
          <w:sz w:val="20"/>
          <w:szCs w:val="20"/>
        </w:rPr>
        <w:t xml:space="preserve"> επικίνδυνη.</w:t>
      </w: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</w:rPr>
      </w:pPr>
    </w:p>
    <w:p w:rsidR="00EB3DE3" w:rsidRPr="003C5479" w:rsidRDefault="00EB3DE3" w:rsidP="00EB3DE3">
      <w:pPr>
        <w:pStyle w:val="Style6"/>
        <w:widowControl/>
        <w:contextualSpacing/>
        <w:rPr>
          <w:kern w:val="2"/>
          <w:sz w:val="20"/>
          <w:szCs w:val="20"/>
          <w:u w:val="single"/>
        </w:rPr>
      </w:pPr>
      <w:r w:rsidRPr="003C5479">
        <w:rPr>
          <w:kern w:val="2"/>
          <w:sz w:val="20"/>
          <w:szCs w:val="20"/>
          <w:u w:val="single"/>
          <w:lang w:val="en-GB"/>
        </w:rPr>
        <w:t>M</w:t>
      </w:r>
      <w:r w:rsidRPr="003C5479">
        <w:rPr>
          <w:kern w:val="2"/>
          <w:sz w:val="20"/>
          <w:szCs w:val="20"/>
          <w:u w:val="single"/>
        </w:rPr>
        <w:t>-</w:t>
      </w:r>
      <w:proofErr w:type="gramStart"/>
      <w:r w:rsidR="00B409C6" w:rsidRPr="003C5479">
        <w:rPr>
          <w:kern w:val="2"/>
          <w:sz w:val="20"/>
          <w:szCs w:val="20"/>
          <w:u w:val="single"/>
        </w:rPr>
        <w:t>χολιν</w:t>
      </w:r>
      <w:r w:rsidR="00187424" w:rsidRPr="003C5479">
        <w:rPr>
          <w:kern w:val="2"/>
          <w:sz w:val="20"/>
          <w:szCs w:val="20"/>
          <w:u w:val="single"/>
        </w:rPr>
        <w:t xml:space="preserve">εργικοί  </w:t>
      </w:r>
      <w:r w:rsidR="00B409C6" w:rsidRPr="003C5479">
        <w:rPr>
          <w:kern w:val="2"/>
          <w:sz w:val="20"/>
          <w:szCs w:val="20"/>
          <w:u w:val="single"/>
        </w:rPr>
        <w:t>αποκλειστές</w:t>
      </w:r>
      <w:proofErr w:type="gramEnd"/>
    </w:p>
    <w:p w:rsidR="003872AA" w:rsidRPr="003C5479" w:rsidRDefault="00EB3DE3" w:rsidP="00EB3DE3">
      <w:pPr>
        <w:pStyle w:val="Style6"/>
        <w:widowControl/>
        <w:spacing w:line="240" w:lineRule="auto"/>
        <w:contextualSpacing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>Τα τρικυκλικά αντικαταθλιπτικά, τα περισσότερα κατασταλτικά</w:t>
      </w:r>
      <w:r w:rsidR="00B409C6" w:rsidRPr="003C5479">
        <w:rPr>
          <w:kern w:val="2"/>
          <w:sz w:val="20"/>
          <w:szCs w:val="20"/>
        </w:rPr>
        <w:t xml:space="preserve"> αντιισταμινικά, αντιχολινεργικοί παράγοντες και παράγοντες κατά της νόσου του</w:t>
      </w:r>
      <w:r w:rsidRPr="003C5479">
        <w:rPr>
          <w:kern w:val="2"/>
          <w:sz w:val="20"/>
          <w:szCs w:val="20"/>
        </w:rPr>
        <w:t xml:space="preserve"> </w:t>
      </w:r>
      <w:r w:rsidR="00B409C6" w:rsidRPr="003C5479">
        <w:rPr>
          <w:kern w:val="2"/>
          <w:sz w:val="20"/>
          <w:szCs w:val="20"/>
          <w:lang w:val="en-US"/>
        </w:rPr>
        <w:t>Parkinson</w:t>
      </w:r>
      <w:r w:rsidRPr="003C5479">
        <w:rPr>
          <w:kern w:val="2"/>
          <w:sz w:val="20"/>
          <w:szCs w:val="20"/>
        </w:rPr>
        <w:t>, αντιχολινεργικ</w:t>
      </w:r>
      <w:r w:rsidR="00B409C6" w:rsidRPr="003C5479">
        <w:rPr>
          <w:kern w:val="2"/>
          <w:sz w:val="20"/>
          <w:szCs w:val="20"/>
        </w:rPr>
        <w:t>ά αντισπασμωδικά, δισοπυραμίδη, νευροληπτικά όπως φαινοθειαζίνες, καθώς και η κλοζαπίνη.</w:t>
      </w:r>
      <w:r w:rsidRPr="003C5479">
        <w:rPr>
          <w:kern w:val="2"/>
          <w:sz w:val="20"/>
          <w:szCs w:val="20"/>
        </w:rPr>
        <w:t xml:space="preserve"> Άλλες ανεπιθύμητες </w:t>
      </w:r>
      <w:r w:rsidR="00B409C6" w:rsidRPr="003C5479">
        <w:rPr>
          <w:kern w:val="2"/>
          <w:sz w:val="20"/>
          <w:szCs w:val="20"/>
        </w:rPr>
        <w:t>ατροπινικές</w:t>
      </w:r>
      <w:r w:rsidR="009C4F9F" w:rsidRPr="003C5479">
        <w:rPr>
          <w:kern w:val="2"/>
          <w:sz w:val="20"/>
          <w:szCs w:val="20"/>
        </w:rPr>
        <w:t xml:space="preserve"> </w:t>
      </w:r>
      <w:r w:rsidR="00187424" w:rsidRPr="003C5479">
        <w:rPr>
          <w:kern w:val="2"/>
          <w:sz w:val="20"/>
          <w:szCs w:val="20"/>
        </w:rPr>
        <w:t>δράσεις</w:t>
      </w:r>
      <w:r w:rsidRPr="003C5479">
        <w:rPr>
          <w:kern w:val="2"/>
          <w:sz w:val="20"/>
          <w:szCs w:val="20"/>
        </w:rPr>
        <w:t>, όπως κατακράτηση ούρων, δυσκοιλιότητ</w:t>
      </w:r>
      <w:r w:rsidR="00B409C6" w:rsidRPr="003C5479">
        <w:rPr>
          <w:kern w:val="2"/>
          <w:sz w:val="20"/>
          <w:szCs w:val="20"/>
        </w:rPr>
        <w:t>α και ξηροστομία μπορεί να συμβούν</w:t>
      </w:r>
      <w:r w:rsidRPr="003C5479">
        <w:rPr>
          <w:kern w:val="2"/>
          <w:sz w:val="20"/>
          <w:szCs w:val="20"/>
        </w:rPr>
        <w:t>.</w:t>
      </w:r>
    </w:p>
    <w:p w:rsidR="00B409C6" w:rsidRPr="003C5479" w:rsidRDefault="00B409C6" w:rsidP="00EB3DE3">
      <w:pPr>
        <w:pStyle w:val="Style6"/>
        <w:widowControl/>
        <w:spacing w:line="240" w:lineRule="auto"/>
        <w:contextualSpacing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8"/>
        <w:widowControl/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4.6    Γονιμότητα, κύηση και γαλουχία</w:t>
      </w:r>
    </w:p>
    <w:p w:rsidR="003872AA" w:rsidRPr="003C5479" w:rsidRDefault="003872AA" w:rsidP="003E79D1">
      <w:pPr>
        <w:pStyle w:val="Style8"/>
        <w:widowControl/>
        <w:contextualSpacing/>
        <w:rPr>
          <w:rStyle w:val="FontStyle32"/>
          <w:kern w:val="2"/>
        </w:rPr>
      </w:pPr>
    </w:p>
    <w:p w:rsidR="003872AA" w:rsidRPr="003C5479" w:rsidRDefault="00B409C6" w:rsidP="003872AA">
      <w:pPr>
        <w:pStyle w:val="Style8"/>
        <w:widowControl/>
        <w:contextualSpacing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Δεν υπάρχουν επαρκείς μελέτες σε ζώα και κλινικές μελέτες στον άνθρωπο, έτσι ο ενδεχόμενος κίνδυνος είναι άγνωστος. Δεν συνιστάται για εγκύους ή γυναίκες σε θηλασμό.</w:t>
      </w:r>
    </w:p>
    <w:p w:rsidR="00532610" w:rsidRPr="003C5479" w:rsidRDefault="00532610" w:rsidP="003872AA">
      <w:pPr>
        <w:pStyle w:val="Style8"/>
        <w:widowControl/>
        <w:contextualSpacing/>
        <w:rPr>
          <w:rStyle w:val="FontStyle32"/>
          <w:b w:val="0"/>
          <w:kern w:val="2"/>
        </w:rPr>
      </w:pPr>
    </w:p>
    <w:p w:rsidR="00F278CF" w:rsidRPr="003C5479" w:rsidRDefault="00F278CF" w:rsidP="003E79D1">
      <w:pPr>
        <w:pStyle w:val="Style4"/>
        <w:widowControl/>
        <w:numPr>
          <w:ilvl w:val="0"/>
          <w:numId w:val="5"/>
        </w:numPr>
        <w:tabs>
          <w:tab w:val="left" w:pos="528"/>
        </w:tabs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Επιδράσεις στην ικανότητα οδήγησης και χειρισμού μηχανών</w:t>
      </w:r>
    </w:p>
    <w:p w:rsidR="00B409C6" w:rsidRPr="003C5479" w:rsidRDefault="00B409C6" w:rsidP="00B409C6">
      <w:pPr>
        <w:pStyle w:val="Style4"/>
        <w:widowControl/>
        <w:tabs>
          <w:tab w:val="left" w:pos="528"/>
        </w:tabs>
        <w:contextualSpacing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 xml:space="preserve">Προσοχή </w:t>
      </w:r>
      <w:r w:rsidR="0013266A" w:rsidRPr="003C5479">
        <w:rPr>
          <w:rStyle w:val="FontStyle32"/>
          <w:b w:val="0"/>
          <w:kern w:val="2"/>
        </w:rPr>
        <w:t>απαιτείται</w:t>
      </w:r>
      <w:r w:rsidRPr="003C5479">
        <w:rPr>
          <w:rStyle w:val="FontStyle32"/>
          <w:b w:val="0"/>
          <w:kern w:val="2"/>
        </w:rPr>
        <w:t xml:space="preserve"> </w:t>
      </w:r>
      <w:r w:rsidR="0013266A" w:rsidRPr="003C5479">
        <w:rPr>
          <w:rStyle w:val="FontStyle32"/>
          <w:b w:val="0"/>
          <w:kern w:val="2"/>
        </w:rPr>
        <w:t>ιδιαίτερα</w:t>
      </w:r>
      <w:r w:rsidRPr="003C5479">
        <w:rPr>
          <w:rStyle w:val="FontStyle32"/>
          <w:b w:val="0"/>
          <w:kern w:val="2"/>
        </w:rPr>
        <w:t xml:space="preserve"> σε περίπτωση οδήγησης και τη χρήση μηχανημάτων εξαιτίας της υπνηλίας που σχετίζ</w:t>
      </w:r>
      <w:r w:rsidR="0013266A" w:rsidRPr="003C5479">
        <w:rPr>
          <w:rStyle w:val="FontStyle32"/>
          <w:b w:val="0"/>
          <w:kern w:val="2"/>
        </w:rPr>
        <w:t>ε</w:t>
      </w:r>
      <w:r w:rsidRPr="003C5479">
        <w:rPr>
          <w:rStyle w:val="FontStyle32"/>
          <w:b w:val="0"/>
          <w:kern w:val="2"/>
        </w:rPr>
        <w:t>ται με τη χρήση του φαρμάκου, κυρίως κατά την έναρξη της θεραπείας.</w:t>
      </w:r>
    </w:p>
    <w:p w:rsidR="00532610" w:rsidRPr="003C5479" w:rsidRDefault="00B409C6" w:rsidP="00B409C6">
      <w:pPr>
        <w:pStyle w:val="Style4"/>
        <w:widowControl/>
        <w:tabs>
          <w:tab w:val="left" w:pos="528"/>
        </w:tabs>
        <w:contextualSpacing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Αυτό το αποτέλεσμα ενισχύεται από την κατανάλωση αλκοολούχων ποτών, φαρμάκων που περιέχουν αλκοόλ ή ηρεμιστικών</w:t>
      </w:r>
      <w:r w:rsidR="009632CE" w:rsidRPr="003C5479">
        <w:rPr>
          <w:rStyle w:val="FontStyle32"/>
          <w:b w:val="0"/>
          <w:kern w:val="2"/>
        </w:rPr>
        <w:t>.</w:t>
      </w:r>
    </w:p>
    <w:p w:rsidR="00532610" w:rsidRPr="003C5479" w:rsidRDefault="00532610" w:rsidP="00532610">
      <w:pPr>
        <w:pStyle w:val="Style4"/>
        <w:widowControl/>
        <w:tabs>
          <w:tab w:val="left" w:pos="528"/>
        </w:tabs>
        <w:contextualSpacing/>
        <w:rPr>
          <w:rStyle w:val="FontStyle32"/>
          <w:kern w:val="2"/>
        </w:rPr>
      </w:pPr>
    </w:p>
    <w:p w:rsidR="00F278CF" w:rsidRPr="003C5479" w:rsidRDefault="00F278CF" w:rsidP="003E79D1">
      <w:pPr>
        <w:pStyle w:val="Style4"/>
        <w:widowControl/>
        <w:numPr>
          <w:ilvl w:val="0"/>
          <w:numId w:val="6"/>
        </w:numPr>
        <w:tabs>
          <w:tab w:val="left" w:pos="528"/>
        </w:tabs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Ανεπιθύμητες ενέργειες</w:t>
      </w:r>
    </w:p>
    <w:p w:rsidR="000C6DE6" w:rsidRPr="003C5479" w:rsidRDefault="000C6DE6" w:rsidP="003E79D1">
      <w:pPr>
        <w:pStyle w:val="Style6"/>
        <w:widowControl/>
        <w:spacing w:line="240" w:lineRule="auto"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 xml:space="preserve">Οι ανεπιθύμητες </w:t>
      </w:r>
      <w:r w:rsidR="00187424" w:rsidRPr="003C5479">
        <w:rPr>
          <w:rStyle w:val="FontStyle33"/>
          <w:kern w:val="2"/>
        </w:rPr>
        <w:t xml:space="preserve">ενέργειες </w:t>
      </w:r>
      <w:r w:rsidRPr="003C5479">
        <w:rPr>
          <w:rStyle w:val="FontStyle33"/>
          <w:kern w:val="2"/>
        </w:rPr>
        <w:t>που παρατίθενται στον παρακάτω πίνακα με ΚΟΣ (Κατηγορία Οργάνου Συστήματος) και από τη συχνότητα με τις ακόλουθες κατευθυντήριες γραμμές: πολύ συχνές (≥1/10), συχνές (≥1/100 έως &lt;1/10),</w:t>
      </w:r>
    </w:p>
    <w:p w:rsidR="001450EE" w:rsidRPr="003C5479" w:rsidRDefault="00FF6213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ό</w:t>
      </w:r>
      <w:r w:rsidR="001450EE" w:rsidRPr="003C5479">
        <w:rPr>
          <w:rStyle w:val="FontStyle33"/>
          <w:kern w:val="2"/>
        </w:rPr>
        <w:t>χι συχνές (≥1/1.000 έως &lt;1/100), σπάνιες (≥1/10.000 έως &lt;1/1.000), πολύ σπάνιες (&lt;1/10.000), μη γνωστές (δεν μπορούν να εκτιμηθούν με βάση τα διαθέσιμα δεδομένα).</w:t>
      </w:r>
    </w:p>
    <w:p w:rsidR="00FF6213" w:rsidRPr="003C5479" w:rsidRDefault="00FF6213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b/>
          <w:kern w:val="2"/>
          <w:u w:val="single"/>
        </w:rPr>
      </w:pPr>
      <w:r w:rsidRPr="003C5479">
        <w:rPr>
          <w:rStyle w:val="FontStyle33"/>
          <w:b/>
          <w:kern w:val="2"/>
          <w:u w:val="single"/>
        </w:rPr>
        <w:t>Φαινιραμίνη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Διαταραχές του αιμοποιητικού και του λεμφικού συστήματος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Μη γνωστές: λευκοπενία,</w:t>
      </w:r>
      <w:r w:rsidR="0013266A" w:rsidRPr="003C5479">
        <w:rPr>
          <w:rStyle w:val="FontStyle33"/>
          <w:kern w:val="2"/>
        </w:rPr>
        <w:t xml:space="preserve"> </w:t>
      </w:r>
      <w:r w:rsidRPr="003C5479">
        <w:rPr>
          <w:rStyle w:val="FontStyle33"/>
          <w:kern w:val="2"/>
        </w:rPr>
        <w:t>ουδετεροπενία, θρομβοπενία, αιμολυτική αναιμία.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Διαταραχές του ανοσοποιητικού συστήματος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Σπάνιες: ερύθημα, κνησμός, έκζεμα, πορφύρα, κνίδωση, οίδημα, αγγειοοίδημα, αναφυλακτικό σοκ.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Ψυχιατρικές διαταραχές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 xml:space="preserve">Μη γνωστές: ταραχή, άγχος, αϋπνία, διανοητική σύγχυση, ψευδαισθήσεις και τη </w:t>
      </w:r>
      <w:r w:rsidR="00FF6213" w:rsidRPr="003C5479">
        <w:rPr>
          <w:rStyle w:val="FontStyle33"/>
          <w:kern w:val="2"/>
        </w:rPr>
        <w:t>μείωση της μνήμη ή της</w:t>
      </w:r>
      <w:r w:rsidRPr="003C5479">
        <w:rPr>
          <w:rStyle w:val="FontStyle33"/>
          <w:kern w:val="2"/>
        </w:rPr>
        <w:t xml:space="preserve"> ικανότητα συγκέντρωσης (ειδικά στους ηλικιωμένους).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Διαταραχές του νευρικού συστήματος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Μη γνωστές: υπνηλία (ειδικά στην αρχή της θεραπείας), ίλιγγος, διαταραχή συντονισμού των κινήσεων, τρόμο</w:t>
      </w:r>
      <w:r w:rsidR="00FF6213" w:rsidRPr="003C5479">
        <w:rPr>
          <w:rStyle w:val="FontStyle33"/>
          <w:kern w:val="2"/>
        </w:rPr>
        <w:t>ς</w:t>
      </w:r>
      <w:r w:rsidRPr="003C5479">
        <w:rPr>
          <w:rStyle w:val="FontStyle33"/>
          <w:kern w:val="2"/>
        </w:rPr>
        <w:t>.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Διαταραχές των οφθαλμών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Μη γνωστές: μη φυσιολογική προσαρμογή, μυδρίαση.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Αγγειακές διαταραχές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Μη γνωστές: ορθοστατική υπόταση.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Διαταραχές του γαστρεντερικού συστήματος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Μη γνωστές: δυσκοιλιότητα.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Διαταραχές των νεφρών και των ουροφόρων οδών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lastRenderedPageBreak/>
        <w:t>Μη γνωστές: κατακράτηση ούρων.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FF6213" w:rsidP="001450EE">
      <w:pPr>
        <w:pStyle w:val="Style6"/>
        <w:widowControl/>
        <w:contextualSpacing/>
        <w:rPr>
          <w:rStyle w:val="FontStyle33"/>
          <w:b/>
          <w:kern w:val="2"/>
          <w:u w:val="single"/>
        </w:rPr>
      </w:pPr>
      <w:r w:rsidRPr="003C5479">
        <w:rPr>
          <w:rStyle w:val="FontStyle33"/>
          <w:b/>
          <w:kern w:val="2"/>
          <w:u w:val="single"/>
        </w:rPr>
        <w:t>Π</w:t>
      </w:r>
      <w:r w:rsidR="001450EE" w:rsidRPr="003C5479">
        <w:rPr>
          <w:rStyle w:val="FontStyle33"/>
          <w:b/>
          <w:kern w:val="2"/>
          <w:u w:val="single"/>
        </w:rPr>
        <w:t>αρακεταμόλη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Διαταραχές του αιμοποιητικού και του λεμφικού συστήματος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Πολύ σπάνια: θρομβοπενία, λευκοπενία, ουδετεροπενία.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Διαταραχές του ανοσοποιητικού συστήματος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Σπάνιες: αντιδράσεις υπερευαισθησίας, αγγειοοίδημα, αναφυλακτικό σοκ.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 xml:space="preserve">Παθήσεις των μαλακών ιστών </w:t>
      </w:r>
      <w:r w:rsidR="00FF6213" w:rsidRPr="003C5479">
        <w:rPr>
          <w:rStyle w:val="FontStyle33"/>
          <w:i/>
          <w:kern w:val="2"/>
        </w:rPr>
        <w:t xml:space="preserve">και </w:t>
      </w:r>
      <w:r w:rsidRPr="003C5479">
        <w:rPr>
          <w:rStyle w:val="FontStyle33"/>
          <w:i/>
          <w:kern w:val="2"/>
        </w:rPr>
        <w:t xml:space="preserve">του δέρματος 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Σπάνιες: εξάνθημα, κνίδωση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Πολύ σπάνιες: σοβαρές δερματικές αντιδράσεις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b/>
          <w:kern w:val="2"/>
          <w:u w:val="single"/>
        </w:rPr>
      </w:pPr>
      <w:r w:rsidRPr="003C5479">
        <w:rPr>
          <w:rStyle w:val="FontStyle33"/>
          <w:b/>
          <w:kern w:val="2"/>
          <w:u w:val="single"/>
        </w:rPr>
        <w:t>Ασκορβικό οξύ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Διαταραχές των νεφρών και των ουροφόρων οδών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 xml:space="preserve">Μη γνωστές: </w:t>
      </w:r>
      <w:r w:rsidR="0008134B" w:rsidRPr="003C5479">
        <w:rPr>
          <w:rStyle w:val="FontStyle33"/>
          <w:kern w:val="2"/>
        </w:rPr>
        <w:t>λίθοι</w:t>
      </w:r>
      <w:r w:rsidR="00267CB5" w:rsidRPr="003C5479">
        <w:rPr>
          <w:rStyle w:val="FontStyle33"/>
          <w:kern w:val="2"/>
        </w:rPr>
        <w:t xml:space="preserve"> οξαλικού</w:t>
      </w:r>
      <w:r w:rsidRPr="003C5479">
        <w:rPr>
          <w:rStyle w:val="FontStyle33"/>
          <w:kern w:val="2"/>
        </w:rPr>
        <w:t xml:space="preserve"> και ουρικού οξέος (</w:t>
      </w:r>
      <w:r w:rsidR="00CC4C0A" w:rsidRPr="003C5479">
        <w:rPr>
          <w:rStyle w:val="FontStyle33"/>
          <w:kern w:val="2"/>
        </w:rPr>
        <w:t xml:space="preserve">για δόσεις μεγαλύτερες </w:t>
      </w:r>
      <w:r w:rsidRPr="003C5479">
        <w:rPr>
          <w:rStyle w:val="FontStyle33"/>
          <w:kern w:val="2"/>
        </w:rPr>
        <w:t>από 1 g).</w:t>
      </w: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</w:p>
    <w:p w:rsidR="001450EE" w:rsidRPr="003C5479" w:rsidRDefault="001450EE" w:rsidP="001450EE">
      <w:pPr>
        <w:pStyle w:val="Style6"/>
        <w:widowControl/>
        <w:contextualSpacing/>
        <w:rPr>
          <w:rStyle w:val="FontStyle33"/>
          <w:i/>
          <w:kern w:val="2"/>
        </w:rPr>
      </w:pPr>
      <w:r w:rsidRPr="003C5479">
        <w:rPr>
          <w:rStyle w:val="FontStyle33"/>
          <w:i/>
          <w:kern w:val="2"/>
        </w:rPr>
        <w:t>Διαταραχές του αιμοποιητικού και του λεμφικού συστήματος</w:t>
      </w:r>
    </w:p>
    <w:p w:rsidR="006632FA" w:rsidRPr="003C5479" w:rsidRDefault="001450EE" w:rsidP="001450EE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 xml:space="preserve">Μη γνωστές: </w:t>
      </w:r>
      <w:r w:rsidR="0008134B" w:rsidRPr="003C5479">
        <w:rPr>
          <w:rStyle w:val="FontStyle33"/>
          <w:kern w:val="2"/>
        </w:rPr>
        <w:t>Χ</w:t>
      </w:r>
      <w:r w:rsidRPr="003C5479">
        <w:rPr>
          <w:rStyle w:val="FontStyle33"/>
          <w:kern w:val="2"/>
        </w:rPr>
        <w:t xml:space="preserve">ρόνια αιμόλυση (αν </w:t>
      </w:r>
      <w:r w:rsidR="00267CB5" w:rsidRPr="003C5479">
        <w:rPr>
          <w:rStyle w:val="FontStyle33"/>
          <w:kern w:val="2"/>
        </w:rPr>
        <w:t>υπάρχει</w:t>
      </w:r>
      <w:r w:rsidRPr="003C5479">
        <w:rPr>
          <w:rStyle w:val="FontStyle33"/>
          <w:kern w:val="2"/>
        </w:rPr>
        <w:t xml:space="preserve"> έλλειψη της αφυδρογονάσης της 6-φωσφορικής</w:t>
      </w:r>
      <w:r w:rsidR="00267CB5" w:rsidRPr="003C5479">
        <w:rPr>
          <w:rStyle w:val="FontStyle33"/>
          <w:kern w:val="2"/>
        </w:rPr>
        <w:t xml:space="preserve"> γλυκόζης</w:t>
      </w:r>
      <w:r w:rsidRPr="003C5479">
        <w:rPr>
          <w:rStyle w:val="FontStyle33"/>
          <w:kern w:val="2"/>
        </w:rPr>
        <w:t>).</w:t>
      </w:r>
    </w:p>
    <w:p w:rsidR="006632FA" w:rsidRPr="003C5479" w:rsidRDefault="006632FA" w:rsidP="006632FA">
      <w:pPr>
        <w:pStyle w:val="Style6"/>
        <w:widowControl/>
        <w:contextualSpacing/>
        <w:rPr>
          <w:rStyle w:val="FontStyle33"/>
          <w:kern w:val="2"/>
        </w:rPr>
      </w:pPr>
    </w:p>
    <w:p w:rsidR="006632FA" w:rsidRPr="003C5479" w:rsidRDefault="006632FA" w:rsidP="006632FA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3C5479">
        <w:rPr>
          <w:rStyle w:val="FontStyle33"/>
          <w:kern w:val="2"/>
          <w:u w:val="single"/>
        </w:rPr>
        <w:t xml:space="preserve">Αναφορά </w:t>
      </w:r>
      <w:r w:rsidR="00DE1E43" w:rsidRPr="003C5479">
        <w:rPr>
          <w:rStyle w:val="FontStyle33"/>
          <w:kern w:val="2"/>
          <w:u w:val="single"/>
        </w:rPr>
        <w:t xml:space="preserve">πιθανών </w:t>
      </w:r>
      <w:r w:rsidRPr="003C5479">
        <w:rPr>
          <w:rStyle w:val="FontStyle33"/>
          <w:kern w:val="2"/>
          <w:u w:val="single"/>
        </w:rPr>
        <w:t>ανεπιθύμητων ενεργειών</w:t>
      </w:r>
    </w:p>
    <w:p w:rsidR="009A61E2" w:rsidRPr="003C5479" w:rsidRDefault="00DE1E43" w:rsidP="009A61E2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Η α</w:t>
      </w:r>
      <w:r w:rsidR="006632FA" w:rsidRPr="003C5479">
        <w:rPr>
          <w:rStyle w:val="FontStyle33"/>
          <w:kern w:val="2"/>
        </w:rPr>
        <w:t xml:space="preserve">ναφορά </w:t>
      </w:r>
      <w:r w:rsidRPr="003C5479">
        <w:rPr>
          <w:rStyle w:val="FontStyle33"/>
          <w:kern w:val="2"/>
        </w:rPr>
        <w:t xml:space="preserve">πιθανών </w:t>
      </w:r>
      <w:r w:rsidR="006632FA" w:rsidRPr="003C5479">
        <w:rPr>
          <w:rStyle w:val="FontStyle33"/>
          <w:kern w:val="2"/>
        </w:rPr>
        <w:t>ανεπιθύμητων ενεργειών μετά την έγκριση του φαρμακευτι</w:t>
      </w:r>
      <w:r w:rsidRPr="003C5479">
        <w:rPr>
          <w:rStyle w:val="FontStyle33"/>
          <w:kern w:val="2"/>
        </w:rPr>
        <w:t>κού προϊόντος είναι σημαντική. Ε</w:t>
      </w:r>
      <w:r w:rsidR="006632FA" w:rsidRPr="003C5479">
        <w:rPr>
          <w:rStyle w:val="FontStyle33"/>
          <w:kern w:val="2"/>
        </w:rPr>
        <w:t>πιτρέπει</w:t>
      </w:r>
      <w:r w:rsidRPr="003C5479">
        <w:rPr>
          <w:rStyle w:val="FontStyle33"/>
          <w:kern w:val="2"/>
        </w:rPr>
        <w:t xml:space="preserve"> τη </w:t>
      </w:r>
      <w:r w:rsidR="006632FA" w:rsidRPr="003C5479">
        <w:rPr>
          <w:rStyle w:val="FontStyle33"/>
          <w:kern w:val="2"/>
        </w:rPr>
        <w:t xml:space="preserve">συνεχή παρακολούθηση της σχέσης οφέλους/κινδύνου του φαρμακευτικού προϊόντος. Οι επαγγελματίες της υγείας καλούνται να αναφέρουν οποιεσδήποτε </w:t>
      </w:r>
      <w:r w:rsidRPr="003C5479">
        <w:rPr>
          <w:rStyle w:val="FontStyle33"/>
          <w:kern w:val="2"/>
        </w:rPr>
        <w:t>πιθανές</w:t>
      </w:r>
      <w:r w:rsidR="006632FA" w:rsidRPr="003C5479">
        <w:rPr>
          <w:rStyle w:val="FontStyle33"/>
          <w:kern w:val="2"/>
        </w:rPr>
        <w:t xml:space="preserve"> ανεπιθύμητες</w:t>
      </w:r>
      <w:r w:rsidR="000F7B41" w:rsidRPr="003C5479">
        <w:rPr>
          <w:kern w:val="2"/>
        </w:rPr>
        <w:t xml:space="preserve"> </w:t>
      </w:r>
      <w:r w:rsidR="000F7B41" w:rsidRPr="003C5479">
        <w:rPr>
          <w:rStyle w:val="FontStyle33"/>
          <w:kern w:val="2"/>
        </w:rPr>
        <w:t>ενέργειες μέσω του εθνικού συστήματος αναφοράς: Εθνικός Οργανισμός Φαρμάκων, Μεσογείων 284, GR-15562 Χολαργός, Αθήνα Τηλ: + 30 21 32040380/337, Φαξ: + 30 21 06549585,  Ιστότοπος: http://www.eof.gr</w:t>
      </w:r>
      <w:r w:rsidR="006632FA" w:rsidRPr="003C5479">
        <w:rPr>
          <w:rStyle w:val="FontStyle33"/>
          <w:kern w:val="2"/>
        </w:rPr>
        <w:t xml:space="preserve"> </w:t>
      </w:r>
    </w:p>
    <w:p w:rsidR="009A61E2" w:rsidRPr="003C5479" w:rsidRDefault="009A61E2" w:rsidP="003E79D1">
      <w:pPr>
        <w:pStyle w:val="Style3"/>
        <w:widowControl/>
        <w:spacing w:line="240" w:lineRule="auto"/>
        <w:contextualSpacing/>
        <w:rPr>
          <w:rStyle w:val="FontStyle32"/>
          <w:kern w:val="2"/>
        </w:rPr>
      </w:pPr>
    </w:p>
    <w:p w:rsidR="009A61E2" w:rsidRPr="003C5479" w:rsidRDefault="009A61E2" w:rsidP="003E79D1">
      <w:pPr>
        <w:pStyle w:val="Style3"/>
        <w:widowControl/>
        <w:spacing w:line="240" w:lineRule="auto"/>
        <w:contextualSpacing/>
        <w:rPr>
          <w:rStyle w:val="FontStyle32"/>
          <w:kern w:val="2"/>
        </w:rPr>
      </w:pPr>
    </w:p>
    <w:p w:rsidR="00F278CF" w:rsidRPr="003C5479" w:rsidRDefault="00F278CF" w:rsidP="003E79D1">
      <w:pPr>
        <w:pStyle w:val="Style3"/>
        <w:widowControl/>
        <w:spacing w:line="240" w:lineRule="auto"/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4.9 Υπερδοσολογία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3C5479">
        <w:rPr>
          <w:rStyle w:val="FontStyle33"/>
          <w:kern w:val="2"/>
          <w:u w:val="single"/>
        </w:rPr>
        <w:t>Σχετικά με τη φαινιραμίνη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Η υπερδοσολογία μπορεί να έχει ως αποτέλεσμα: σπασμούς (ειδικά στα παιδιά), απώλεια συνείδησης, κώμα.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3C5479">
        <w:rPr>
          <w:rStyle w:val="FontStyle33"/>
          <w:kern w:val="2"/>
          <w:u w:val="single"/>
        </w:rPr>
        <w:t>Σχετικά με την παρακεταμόλη</w:t>
      </w:r>
    </w:p>
    <w:p w:rsidR="00267CB5" w:rsidRPr="003C5479" w:rsidRDefault="00440D92" w:rsidP="00267CB5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Υπάρχει ο φόβος δ</w:t>
      </w:r>
      <w:r w:rsidR="00267CB5" w:rsidRPr="003C5479">
        <w:rPr>
          <w:rStyle w:val="FontStyle33"/>
          <w:kern w:val="2"/>
        </w:rPr>
        <w:t>ηλητηρίαση</w:t>
      </w:r>
      <w:r w:rsidRPr="003C5479">
        <w:rPr>
          <w:rStyle w:val="FontStyle33"/>
          <w:kern w:val="2"/>
        </w:rPr>
        <w:t>ς</w:t>
      </w:r>
      <w:r w:rsidR="00267CB5" w:rsidRPr="003C5479">
        <w:rPr>
          <w:rStyle w:val="FontStyle33"/>
          <w:kern w:val="2"/>
        </w:rPr>
        <w:t xml:space="preserve"> στους ηλικιωμένους και ειδικά σε νεαρά παιδιά (θεραπευτική υπερδοσολογία ή συχν</w:t>
      </w:r>
      <w:r w:rsidRPr="003C5479">
        <w:rPr>
          <w:rStyle w:val="FontStyle33"/>
          <w:kern w:val="2"/>
        </w:rPr>
        <w:t>ά</w:t>
      </w:r>
      <w:r w:rsidR="00267CB5" w:rsidRPr="003C5479">
        <w:rPr>
          <w:rStyle w:val="FontStyle33"/>
          <w:kern w:val="2"/>
        </w:rPr>
        <w:t xml:space="preserve"> τυχαία δηλητηρίαση), όπου μπορεί να αποβεί μοιραία.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3C5479">
        <w:rPr>
          <w:rStyle w:val="FontStyle33"/>
          <w:kern w:val="2"/>
          <w:u w:val="single"/>
        </w:rPr>
        <w:t>Συμπτώματα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Ναυτία, έμετος, ανορεξία, ωχρότητα, κοιλιακός πόνος συνήθως εμφανίζονται εντός των πρώτων 24 ωρών.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Υπερδοσολ</w:t>
      </w:r>
      <w:r w:rsidR="009C4F9F" w:rsidRPr="003C5479">
        <w:rPr>
          <w:rStyle w:val="FontStyle33"/>
          <w:kern w:val="2"/>
        </w:rPr>
        <w:t>ό</w:t>
      </w:r>
      <w:r w:rsidR="00401C5E" w:rsidRPr="003C5479">
        <w:rPr>
          <w:rStyle w:val="FontStyle33"/>
          <w:kern w:val="2"/>
        </w:rPr>
        <w:t>γηση</w:t>
      </w:r>
      <w:r w:rsidRPr="003C5479">
        <w:rPr>
          <w:rStyle w:val="FontStyle33"/>
          <w:kern w:val="2"/>
        </w:rPr>
        <w:t xml:space="preserve"> </w:t>
      </w:r>
      <w:r w:rsidR="00401C5E" w:rsidRPr="003C5479">
        <w:rPr>
          <w:rStyle w:val="FontStyle33"/>
          <w:kern w:val="2"/>
        </w:rPr>
        <w:t>με</w:t>
      </w:r>
      <w:r w:rsidRPr="003C5479">
        <w:rPr>
          <w:rStyle w:val="FontStyle33"/>
          <w:kern w:val="2"/>
        </w:rPr>
        <w:t xml:space="preserve"> 10 g της παρακεταμόλης σε μία μόνο δόση σε ενήλικες και </w:t>
      </w:r>
      <w:r w:rsidR="00401C5E" w:rsidRPr="003C5479">
        <w:rPr>
          <w:rStyle w:val="FontStyle33"/>
          <w:kern w:val="2"/>
        </w:rPr>
        <w:t xml:space="preserve">με </w:t>
      </w:r>
      <w:r w:rsidRPr="003C5479">
        <w:rPr>
          <w:rStyle w:val="FontStyle33"/>
          <w:kern w:val="2"/>
        </w:rPr>
        <w:t xml:space="preserve">150 mg / kg βάρους σώματος σε μία μόνο δόση σε παιδιά προκαλεί ηπατική κυτόλυση που είναι πιθανό να οδηγήσει σε μια πλήρη και μη αναστρέψιμη νέκρωση </w:t>
      </w:r>
      <w:r w:rsidR="00CC4C0A" w:rsidRPr="003C5479">
        <w:rPr>
          <w:rStyle w:val="FontStyle33"/>
          <w:kern w:val="2"/>
        </w:rPr>
        <w:t>με αποτέλεσμα</w:t>
      </w:r>
      <w:r w:rsidRPr="003C5479">
        <w:rPr>
          <w:rStyle w:val="FontStyle33"/>
          <w:kern w:val="2"/>
        </w:rPr>
        <w:t xml:space="preserve"> ηπατική ανεπάρκεια, μεταβολική οξέωση</w:t>
      </w:r>
      <w:r w:rsidR="00401C5E" w:rsidRPr="003C5479">
        <w:rPr>
          <w:rStyle w:val="FontStyle33"/>
          <w:kern w:val="2"/>
        </w:rPr>
        <w:t xml:space="preserve"> και </w:t>
      </w:r>
      <w:r w:rsidRPr="003C5479">
        <w:rPr>
          <w:rStyle w:val="FontStyle33"/>
          <w:kern w:val="2"/>
        </w:rPr>
        <w:t xml:space="preserve">εγκεφαλοπάθεια </w:t>
      </w:r>
      <w:r w:rsidR="00CC4C0A" w:rsidRPr="003C5479">
        <w:rPr>
          <w:rStyle w:val="FontStyle33"/>
          <w:kern w:val="2"/>
        </w:rPr>
        <w:t>που</w:t>
      </w:r>
      <w:r w:rsidR="009C4F9F" w:rsidRPr="003C5479">
        <w:rPr>
          <w:rStyle w:val="FontStyle33"/>
          <w:kern w:val="2"/>
        </w:rPr>
        <w:t xml:space="preserve"> </w:t>
      </w:r>
      <w:r w:rsidRPr="003C5479">
        <w:rPr>
          <w:rStyle w:val="FontStyle33"/>
          <w:kern w:val="2"/>
        </w:rPr>
        <w:t>μπορεί να οδηγήσ</w:t>
      </w:r>
      <w:r w:rsidR="00401C5E" w:rsidRPr="003C5479">
        <w:rPr>
          <w:rStyle w:val="FontStyle33"/>
          <w:kern w:val="2"/>
        </w:rPr>
        <w:t>ουν</w:t>
      </w:r>
      <w:r w:rsidRPr="003C5479">
        <w:rPr>
          <w:rStyle w:val="FontStyle33"/>
          <w:kern w:val="2"/>
        </w:rPr>
        <w:t xml:space="preserve"> σε κώμα και θάνατο</w:t>
      </w:r>
      <w:r w:rsidR="00440D92" w:rsidRPr="003C5479">
        <w:rPr>
          <w:rStyle w:val="FontStyle33"/>
          <w:kern w:val="2"/>
        </w:rPr>
        <w:t>.</w:t>
      </w:r>
      <w:r w:rsidR="00FD12FC" w:rsidRPr="003C5479">
        <w:rPr>
          <w:rStyle w:val="FontStyle33"/>
          <w:kern w:val="2"/>
        </w:rPr>
        <w:t xml:space="preserve"> </w:t>
      </w:r>
      <w:r w:rsidRPr="003C5479">
        <w:rPr>
          <w:rStyle w:val="FontStyle33"/>
          <w:kern w:val="2"/>
        </w:rPr>
        <w:t xml:space="preserve">Ταυτόχρονα, </w:t>
      </w:r>
      <w:r w:rsidR="00FD12FC" w:rsidRPr="003C5479">
        <w:rPr>
          <w:rStyle w:val="FontStyle33"/>
          <w:kern w:val="2"/>
        </w:rPr>
        <w:t>είναι δυνατό να παρατηρηθούν αυξήσεις</w:t>
      </w:r>
      <w:r w:rsidRPr="003C5479">
        <w:rPr>
          <w:rStyle w:val="FontStyle33"/>
          <w:kern w:val="2"/>
        </w:rPr>
        <w:t xml:space="preserve"> </w:t>
      </w:r>
      <w:r w:rsidR="009D075D" w:rsidRPr="003C5479">
        <w:rPr>
          <w:rStyle w:val="FontStyle33"/>
          <w:kern w:val="2"/>
        </w:rPr>
        <w:t xml:space="preserve">της </w:t>
      </w:r>
      <w:r w:rsidRPr="003C5479">
        <w:rPr>
          <w:rStyle w:val="FontStyle33"/>
          <w:kern w:val="2"/>
        </w:rPr>
        <w:t>γαλακτική</w:t>
      </w:r>
      <w:r w:rsidR="00FD12FC" w:rsidRPr="003C5479">
        <w:rPr>
          <w:rStyle w:val="FontStyle33"/>
          <w:kern w:val="2"/>
        </w:rPr>
        <w:t>ς</w:t>
      </w:r>
      <w:r w:rsidRPr="003C5479">
        <w:rPr>
          <w:rStyle w:val="FontStyle33"/>
          <w:kern w:val="2"/>
        </w:rPr>
        <w:t xml:space="preserve"> </w:t>
      </w:r>
      <w:r w:rsidR="00401C5E" w:rsidRPr="003C5479">
        <w:rPr>
          <w:rStyle w:val="FontStyle33"/>
          <w:kern w:val="2"/>
        </w:rPr>
        <w:t>δεΰδρογενάσης</w:t>
      </w:r>
      <w:r w:rsidR="00D01FD5" w:rsidRPr="00D01FD5">
        <w:rPr>
          <w:rStyle w:val="FontStyle33"/>
          <w:kern w:val="2"/>
        </w:rPr>
        <w:t>,</w:t>
      </w:r>
      <w:r w:rsidR="00FD12FC" w:rsidRPr="003C5479">
        <w:rPr>
          <w:rStyle w:val="FontStyle33"/>
          <w:kern w:val="2"/>
        </w:rPr>
        <w:t xml:space="preserve"> </w:t>
      </w:r>
      <w:r w:rsidR="009D075D" w:rsidRPr="003C5479">
        <w:rPr>
          <w:rStyle w:val="FontStyle33"/>
          <w:kern w:val="2"/>
        </w:rPr>
        <w:t xml:space="preserve">της </w:t>
      </w:r>
      <w:r w:rsidRPr="003C5479">
        <w:rPr>
          <w:rStyle w:val="FontStyle33"/>
          <w:kern w:val="2"/>
        </w:rPr>
        <w:t>χολερυθρίνη</w:t>
      </w:r>
      <w:r w:rsidR="00401C5E" w:rsidRPr="003C5479">
        <w:rPr>
          <w:rStyle w:val="FontStyle33"/>
          <w:kern w:val="2"/>
        </w:rPr>
        <w:t xml:space="preserve">ς </w:t>
      </w:r>
      <w:r w:rsidR="00D01FD5" w:rsidRPr="003C5479">
        <w:rPr>
          <w:rStyle w:val="FontStyle33"/>
          <w:kern w:val="2"/>
        </w:rPr>
        <w:t xml:space="preserve">και </w:t>
      </w:r>
      <w:r w:rsidR="00D01FD5">
        <w:rPr>
          <w:rStyle w:val="FontStyle33"/>
          <w:kern w:val="2"/>
        </w:rPr>
        <w:t xml:space="preserve">των τρανσαμινασών </w:t>
      </w:r>
      <w:r w:rsidR="00401C5E" w:rsidRPr="003C5479">
        <w:rPr>
          <w:rStyle w:val="FontStyle33"/>
          <w:kern w:val="2"/>
        </w:rPr>
        <w:t>στο ήπαρ</w:t>
      </w:r>
      <w:r w:rsidRPr="003C5479">
        <w:rPr>
          <w:rStyle w:val="FontStyle33"/>
          <w:kern w:val="2"/>
        </w:rPr>
        <w:t xml:space="preserve"> και μειωμέν</w:t>
      </w:r>
      <w:r w:rsidR="00401C5E" w:rsidRPr="003C5479">
        <w:rPr>
          <w:rStyle w:val="FontStyle33"/>
          <w:kern w:val="2"/>
        </w:rPr>
        <w:t>α</w:t>
      </w:r>
      <w:r w:rsidRPr="003C5479">
        <w:rPr>
          <w:rStyle w:val="FontStyle33"/>
          <w:kern w:val="2"/>
        </w:rPr>
        <w:t xml:space="preserve"> επίπεδ</w:t>
      </w:r>
      <w:r w:rsidR="00401C5E" w:rsidRPr="003C5479">
        <w:rPr>
          <w:rStyle w:val="FontStyle33"/>
          <w:kern w:val="2"/>
        </w:rPr>
        <w:t>α</w:t>
      </w:r>
      <w:r w:rsidRPr="003C5479">
        <w:rPr>
          <w:rStyle w:val="FontStyle33"/>
          <w:kern w:val="2"/>
        </w:rPr>
        <w:t xml:space="preserve"> προθρομβίνης που μπορεί να εμφανιστ</w:t>
      </w:r>
      <w:r w:rsidR="00401C5E" w:rsidRPr="003C5479">
        <w:rPr>
          <w:rStyle w:val="FontStyle33"/>
          <w:kern w:val="2"/>
        </w:rPr>
        <w:t>ούν μέσα σε</w:t>
      </w:r>
      <w:r w:rsidRPr="003C5479">
        <w:rPr>
          <w:rStyle w:val="FontStyle33"/>
          <w:kern w:val="2"/>
        </w:rPr>
        <w:t xml:space="preserve"> 12 έως</w:t>
      </w:r>
      <w:r w:rsidR="00FD12FC" w:rsidRPr="003C5479">
        <w:rPr>
          <w:rStyle w:val="FontStyle33"/>
          <w:kern w:val="2"/>
        </w:rPr>
        <w:t xml:space="preserve"> </w:t>
      </w:r>
      <w:r w:rsidRPr="003C5479">
        <w:rPr>
          <w:rStyle w:val="FontStyle33"/>
          <w:kern w:val="2"/>
        </w:rPr>
        <w:t>48 ώρες μετά την κατάποση.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3C5479">
        <w:rPr>
          <w:rStyle w:val="FontStyle33"/>
          <w:kern w:val="2"/>
          <w:u w:val="single"/>
        </w:rPr>
        <w:t>Διαδικασίες έκτακτης ανάγκης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Άμεση μεταφορά σε νοσοκομείο.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 xml:space="preserve">- Πάρτε ένα </w:t>
      </w:r>
      <w:r w:rsidR="009D075D" w:rsidRPr="003C5479">
        <w:rPr>
          <w:rStyle w:val="FontStyle33"/>
          <w:kern w:val="2"/>
        </w:rPr>
        <w:t>δείγμα</w:t>
      </w:r>
      <w:r w:rsidRPr="003C5479">
        <w:rPr>
          <w:rStyle w:val="FontStyle33"/>
          <w:kern w:val="2"/>
        </w:rPr>
        <w:t xml:space="preserve"> αίματος για να </w:t>
      </w:r>
      <w:r w:rsidR="00401C5E" w:rsidRPr="003C5479">
        <w:rPr>
          <w:rStyle w:val="FontStyle33"/>
          <w:kern w:val="2"/>
        </w:rPr>
        <w:t xml:space="preserve">προσδιορίσετε </w:t>
      </w:r>
      <w:r w:rsidRPr="003C5479">
        <w:rPr>
          <w:rStyle w:val="FontStyle33"/>
          <w:kern w:val="2"/>
        </w:rPr>
        <w:t>τ</w:t>
      </w:r>
      <w:r w:rsidR="00401C5E" w:rsidRPr="003C5479">
        <w:rPr>
          <w:rStyle w:val="FontStyle33"/>
          <w:kern w:val="2"/>
        </w:rPr>
        <w:t>α</w:t>
      </w:r>
      <w:r w:rsidRPr="003C5479">
        <w:rPr>
          <w:rStyle w:val="FontStyle33"/>
          <w:kern w:val="2"/>
        </w:rPr>
        <w:t xml:space="preserve"> αρχικ</w:t>
      </w:r>
      <w:r w:rsidR="00401C5E" w:rsidRPr="003C5479">
        <w:rPr>
          <w:rStyle w:val="FontStyle33"/>
          <w:kern w:val="2"/>
        </w:rPr>
        <w:t>ά</w:t>
      </w:r>
      <w:r w:rsidRPr="003C5479">
        <w:rPr>
          <w:rStyle w:val="FontStyle33"/>
          <w:kern w:val="2"/>
        </w:rPr>
        <w:t xml:space="preserve"> επίπεδ</w:t>
      </w:r>
      <w:r w:rsidR="00401C5E" w:rsidRPr="003C5479">
        <w:rPr>
          <w:rStyle w:val="FontStyle33"/>
          <w:kern w:val="2"/>
        </w:rPr>
        <w:t>α</w:t>
      </w:r>
      <w:r w:rsidRPr="003C5479">
        <w:rPr>
          <w:rStyle w:val="FontStyle33"/>
          <w:kern w:val="2"/>
        </w:rPr>
        <w:t xml:space="preserve"> παρακεταμόλης στο πλάσμα.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 xml:space="preserve">- </w:t>
      </w:r>
      <w:r w:rsidR="009D075D" w:rsidRPr="003C5479">
        <w:rPr>
          <w:rStyle w:val="FontStyle33"/>
          <w:kern w:val="2"/>
        </w:rPr>
        <w:t>Τ</w:t>
      </w:r>
      <w:r w:rsidRPr="003C5479">
        <w:rPr>
          <w:rStyle w:val="FontStyle33"/>
          <w:kern w:val="2"/>
        </w:rPr>
        <w:t>αχεία απομάκρυνση τ</w:t>
      </w:r>
      <w:r w:rsidR="009D075D" w:rsidRPr="003C5479">
        <w:rPr>
          <w:rStyle w:val="FontStyle33"/>
          <w:kern w:val="2"/>
        </w:rPr>
        <w:t>ου</w:t>
      </w:r>
      <w:r w:rsidRPr="003C5479">
        <w:rPr>
          <w:rStyle w:val="FontStyle33"/>
          <w:kern w:val="2"/>
        </w:rPr>
        <w:t xml:space="preserve"> προσλαμβανόμ</w:t>
      </w:r>
      <w:r w:rsidR="009D075D" w:rsidRPr="003C5479">
        <w:rPr>
          <w:rStyle w:val="FontStyle33"/>
          <w:kern w:val="2"/>
        </w:rPr>
        <w:t>ενου</w:t>
      </w:r>
      <w:r w:rsidRPr="003C5479">
        <w:rPr>
          <w:rStyle w:val="FontStyle33"/>
          <w:kern w:val="2"/>
        </w:rPr>
        <w:t xml:space="preserve"> φ</w:t>
      </w:r>
      <w:r w:rsidR="009D075D" w:rsidRPr="003C5479">
        <w:rPr>
          <w:rStyle w:val="FontStyle33"/>
          <w:kern w:val="2"/>
        </w:rPr>
        <w:t>α</w:t>
      </w:r>
      <w:r w:rsidRPr="003C5479">
        <w:rPr>
          <w:rStyle w:val="FontStyle33"/>
          <w:kern w:val="2"/>
        </w:rPr>
        <w:t>ρμ</w:t>
      </w:r>
      <w:r w:rsidR="009D075D" w:rsidRPr="003C5479">
        <w:rPr>
          <w:rStyle w:val="FontStyle33"/>
          <w:kern w:val="2"/>
        </w:rPr>
        <w:t>ά</w:t>
      </w:r>
      <w:r w:rsidRPr="003C5479">
        <w:rPr>
          <w:rStyle w:val="FontStyle33"/>
          <w:kern w:val="2"/>
        </w:rPr>
        <w:t>κο</w:t>
      </w:r>
      <w:r w:rsidR="009D075D" w:rsidRPr="003C5479">
        <w:rPr>
          <w:rStyle w:val="FontStyle33"/>
          <w:kern w:val="2"/>
        </w:rPr>
        <w:t>υ</w:t>
      </w:r>
      <w:r w:rsidRPr="003C5479">
        <w:rPr>
          <w:rStyle w:val="FontStyle33"/>
          <w:kern w:val="2"/>
        </w:rPr>
        <w:t xml:space="preserve"> με πλύση στομάχου.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-</w:t>
      </w:r>
      <w:r w:rsidR="009D075D" w:rsidRPr="003C5479">
        <w:rPr>
          <w:rStyle w:val="FontStyle33"/>
          <w:kern w:val="2"/>
        </w:rPr>
        <w:t xml:space="preserve"> Η θ</w:t>
      </w:r>
      <w:r w:rsidRPr="003C5479">
        <w:rPr>
          <w:rStyle w:val="FontStyle33"/>
          <w:kern w:val="2"/>
        </w:rPr>
        <w:t xml:space="preserve">εραπεία </w:t>
      </w:r>
      <w:r w:rsidR="009D075D" w:rsidRPr="003C5479">
        <w:rPr>
          <w:rStyle w:val="FontStyle33"/>
          <w:kern w:val="2"/>
        </w:rPr>
        <w:t>τ</w:t>
      </w:r>
      <w:r w:rsidRPr="003C5479">
        <w:rPr>
          <w:rStyle w:val="FontStyle33"/>
          <w:kern w:val="2"/>
        </w:rPr>
        <w:t>ης υπερδοσολ</w:t>
      </w:r>
      <w:r w:rsidR="00401C5E" w:rsidRPr="003C5479">
        <w:rPr>
          <w:rStyle w:val="FontStyle33"/>
          <w:kern w:val="2"/>
        </w:rPr>
        <w:t>όγησης</w:t>
      </w:r>
      <w:r w:rsidRPr="003C5479">
        <w:rPr>
          <w:rStyle w:val="FontStyle33"/>
          <w:kern w:val="2"/>
        </w:rPr>
        <w:t xml:space="preserve"> συνήθως περιλαμβάνει τη</w:t>
      </w:r>
      <w:r w:rsidR="009D075D" w:rsidRPr="003C5479">
        <w:rPr>
          <w:rStyle w:val="FontStyle33"/>
          <w:kern w:val="2"/>
        </w:rPr>
        <w:t xml:space="preserve"> χορήγηση</w:t>
      </w:r>
      <w:r w:rsidRPr="003C5479">
        <w:rPr>
          <w:rStyle w:val="FontStyle33"/>
          <w:kern w:val="2"/>
        </w:rPr>
        <w:t xml:space="preserve"> </w:t>
      </w:r>
      <w:r w:rsidR="009D075D" w:rsidRPr="003C5479">
        <w:rPr>
          <w:rStyle w:val="FontStyle33"/>
          <w:kern w:val="2"/>
        </w:rPr>
        <w:t>του</w:t>
      </w:r>
      <w:r w:rsidRPr="003C5479">
        <w:rPr>
          <w:rStyle w:val="FontStyle33"/>
          <w:kern w:val="2"/>
        </w:rPr>
        <w:t xml:space="preserve"> αντίδοτο</w:t>
      </w:r>
      <w:r w:rsidR="009D075D" w:rsidRPr="003C5479">
        <w:rPr>
          <w:rStyle w:val="FontStyle33"/>
          <w:kern w:val="2"/>
        </w:rPr>
        <w:t>υ</w:t>
      </w:r>
      <w:r w:rsidRPr="003C5479">
        <w:rPr>
          <w:rStyle w:val="FontStyle33"/>
          <w:kern w:val="2"/>
        </w:rPr>
        <w:t xml:space="preserve"> Ν- ακετυλοκυστεΐνη το συντομότερο </w:t>
      </w:r>
      <w:r w:rsidR="009D075D" w:rsidRPr="003C5479">
        <w:rPr>
          <w:rStyle w:val="FontStyle33"/>
          <w:kern w:val="2"/>
        </w:rPr>
        <w:t>δυνατό,</w:t>
      </w:r>
      <w:r w:rsidRPr="003C5479">
        <w:rPr>
          <w:rStyle w:val="FontStyle33"/>
          <w:kern w:val="2"/>
        </w:rPr>
        <w:t xml:space="preserve"> είτε ενδοφλεβίως ή από το στόμα, αν είναι δυνατόν πριν από τη δέκατη ώρα</w:t>
      </w:r>
      <w:r w:rsidR="009D075D" w:rsidRPr="003C5479">
        <w:rPr>
          <w:rStyle w:val="FontStyle33"/>
          <w:kern w:val="2"/>
        </w:rPr>
        <w:t xml:space="preserve"> μετά την κατάποση.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-</w:t>
      </w:r>
      <w:r w:rsidR="009D075D" w:rsidRPr="003C5479">
        <w:rPr>
          <w:rStyle w:val="FontStyle33"/>
          <w:kern w:val="2"/>
        </w:rPr>
        <w:t xml:space="preserve"> Συμπτωματική</w:t>
      </w:r>
      <w:r w:rsidRPr="003C5479">
        <w:rPr>
          <w:rStyle w:val="FontStyle33"/>
          <w:kern w:val="2"/>
        </w:rPr>
        <w:t xml:space="preserve"> </w:t>
      </w:r>
      <w:r w:rsidR="009D075D" w:rsidRPr="003C5479">
        <w:rPr>
          <w:rStyle w:val="FontStyle33"/>
          <w:kern w:val="2"/>
        </w:rPr>
        <w:t>θ</w:t>
      </w:r>
      <w:r w:rsidRPr="003C5479">
        <w:rPr>
          <w:rStyle w:val="FontStyle33"/>
          <w:kern w:val="2"/>
        </w:rPr>
        <w:t>εραπεία.</w:t>
      </w: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</w:rPr>
      </w:pPr>
    </w:p>
    <w:p w:rsidR="00267CB5" w:rsidRPr="003C5479" w:rsidRDefault="00267CB5" w:rsidP="00267CB5">
      <w:pPr>
        <w:pStyle w:val="Style6"/>
        <w:widowControl/>
        <w:contextualSpacing/>
        <w:rPr>
          <w:rStyle w:val="FontStyle33"/>
          <w:kern w:val="2"/>
          <w:u w:val="single"/>
        </w:rPr>
      </w:pPr>
      <w:r w:rsidRPr="003C5479">
        <w:rPr>
          <w:rStyle w:val="FontStyle33"/>
          <w:kern w:val="2"/>
          <w:u w:val="single"/>
        </w:rPr>
        <w:t>Σχετικά με το ασκορβικό οξύ</w:t>
      </w:r>
    </w:p>
    <w:p w:rsidR="00F278CF" w:rsidRPr="003C5479" w:rsidRDefault="00267CB5" w:rsidP="009D075D">
      <w:pPr>
        <w:pStyle w:val="Style6"/>
        <w:widowControl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Το ασκορβικό οξύ είναι μια υδατοδιαλυτή βιταμίνη και πρακτικά μη τοξικ</w:t>
      </w:r>
      <w:r w:rsidR="009D075D" w:rsidRPr="003C5479">
        <w:rPr>
          <w:rStyle w:val="FontStyle33"/>
          <w:kern w:val="2"/>
        </w:rPr>
        <w:t>ή</w:t>
      </w:r>
      <w:r w:rsidRPr="003C5479">
        <w:rPr>
          <w:rStyle w:val="FontStyle33"/>
          <w:kern w:val="2"/>
        </w:rPr>
        <w:t>. Δόσεις μεγαλύτερες από 200 mg ανά ημέρα</w:t>
      </w:r>
      <w:r w:rsidR="009D075D" w:rsidRPr="003C5479">
        <w:rPr>
          <w:rStyle w:val="FontStyle33"/>
          <w:kern w:val="2"/>
        </w:rPr>
        <w:t xml:space="preserve"> </w:t>
      </w:r>
      <w:r w:rsidRPr="003C5479">
        <w:rPr>
          <w:rStyle w:val="FontStyle33"/>
          <w:kern w:val="2"/>
        </w:rPr>
        <w:t>απεκκρίνονται στα ούρα αναλλοίωτ</w:t>
      </w:r>
      <w:r w:rsidR="009D075D" w:rsidRPr="003C5479">
        <w:rPr>
          <w:rStyle w:val="FontStyle33"/>
          <w:kern w:val="2"/>
        </w:rPr>
        <w:t>ες</w:t>
      </w:r>
      <w:r w:rsidRPr="003C5479">
        <w:rPr>
          <w:rStyle w:val="FontStyle33"/>
          <w:kern w:val="2"/>
        </w:rPr>
        <w:t>. Ωστόσο, μεγάλες δόσεις ασκορβικού οξέος (&gt; 3 g ημερησίως) μπορεί να προκαλέσ</w:t>
      </w:r>
      <w:r w:rsidR="009D075D" w:rsidRPr="003C5479">
        <w:rPr>
          <w:rStyle w:val="FontStyle33"/>
          <w:kern w:val="2"/>
        </w:rPr>
        <w:t xml:space="preserve">ουν </w:t>
      </w:r>
      <w:r w:rsidRPr="003C5479">
        <w:rPr>
          <w:rStyle w:val="FontStyle33"/>
          <w:kern w:val="2"/>
        </w:rPr>
        <w:t xml:space="preserve">αιμόλυση </w:t>
      </w:r>
      <w:r w:rsidR="009D075D" w:rsidRPr="003C5479">
        <w:rPr>
          <w:rStyle w:val="FontStyle33"/>
          <w:kern w:val="2"/>
        </w:rPr>
        <w:t xml:space="preserve">σε ασθενείς </w:t>
      </w:r>
      <w:r w:rsidR="00FD12FC" w:rsidRPr="003C5479">
        <w:rPr>
          <w:rStyle w:val="FontStyle33"/>
          <w:kern w:val="2"/>
        </w:rPr>
        <w:t>με έλλειψη</w:t>
      </w:r>
      <w:r w:rsidR="009D075D" w:rsidRPr="003C5479">
        <w:rPr>
          <w:rStyle w:val="FontStyle33"/>
          <w:kern w:val="2"/>
        </w:rPr>
        <w:t xml:space="preserve"> 6-φωσφορική</w:t>
      </w:r>
      <w:r w:rsidR="00FD12FC" w:rsidRPr="003C5479">
        <w:rPr>
          <w:rStyle w:val="FontStyle33"/>
          <w:kern w:val="2"/>
        </w:rPr>
        <w:t>ς</w:t>
      </w:r>
      <w:r w:rsidR="009D075D" w:rsidRPr="003C5479">
        <w:rPr>
          <w:rStyle w:val="FontStyle33"/>
          <w:kern w:val="2"/>
        </w:rPr>
        <w:t xml:space="preserve"> </w:t>
      </w:r>
      <w:r w:rsidRPr="003C5479">
        <w:rPr>
          <w:rStyle w:val="FontStyle33"/>
          <w:kern w:val="2"/>
        </w:rPr>
        <w:t>αφυδρογονάση</w:t>
      </w:r>
      <w:r w:rsidR="00FD12FC" w:rsidRPr="003C5479">
        <w:rPr>
          <w:rStyle w:val="FontStyle33"/>
          <w:kern w:val="2"/>
        </w:rPr>
        <w:t>ς</w:t>
      </w:r>
      <w:r w:rsidRPr="003C5479">
        <w:rPr>
          <w:rStyle w:val="FontStyle33"/>
          <w:kern w:val="2"/>
        </w:rPr>
        <w:t xml:space="preserve"> </w:t>
      </w:r>
      <w:r w:rsidR="009D075D" w:rsidRPr="003C5479">
        <w:rPr>
          <w:rStyle w:val="FontStyle33"/>
          <w:kern w:val="2"/>
        </w:rPr>
        <w:t>της γλυκόζης</w:t>
      </w:r>
      <w:r w:rsidRPr="003C5479">
        <w:rPr>
          <w:rStyle w:val="FontStyle33"/>
          <w:kern w:val="2"/>
        </w:rPr>
        <w:t>.</w:t>
      </w:r>
    </w:p>
    <w:p w:rsidR="00771A07" w:rsidRPr="003C5479" w:rsidRDefault="00771A07" w:rsidP="003E79D1">
      <w:pPr>
        <w:pStyle w:val="Style6"/>
        <w:widowControl/>
        <w:spacing w:line="240" w:lineRule="auto"/>
        <w:contextualSpacing/>
        <w:rPr>
          <w:rStyle w:val="FontStyle33"/>
          <w:kern w:val="2"/>
        </w:rPr>
      </w:pPr>
    </w:p>
    <w:p w:rsidR="009D075D" w:rsidRPr="003C5479" w:rsidRDefault="00771A07" w:rsidP="009D075D">
      <w:pPr>
        <w:widowControl/>
        <w:autoSpaceDE/>
        <w:autoSpaceDN/>
        <w:adjustRightInd/>
        <w:rPr>
          <w:rFonts w:eastAsia="Times New Roman"/>
          <w:kern w:val="2"/>
          <w:sz w:val="20"/>
        </w:rPr>
      </w:pPr>
      <w:r w:rsidRPr="003C5479">
        <w:rPr>
          <w:rFonts w:eastAsia="Times New Roman"/>
          <w:b/>
          <w:kern w:val="2"/>
          <w:sz w:val="20"/>
        </w:rPr>
        <w:lastRenderedPageBreak/>
        <w:t>5. ΦΑΡΜΑΚΟΛΟΓΙΚΕΣ ΙΔΙΟΤΗΤΕΣ</w:t>
      </w:r>
      <w:r w:rsidRPr="003C5479">
        <w:rPr>
          <w:rFonts w:eastAsia="Times New Roman"/>
          <w:kern w:val="2"/>
          <w:sz w:val="20"/>
        </w:rPr>
        <w:br/>
      </w:r>
      <w:r w:rsidRPr="003C5479">
        <w:rPr>
          <w:rFonts w:eastAsia="Times New Roman"/>
          <w:kern w:val="2"/>
          <w:sz w:val="20"/>
        </w:rPr>
        <w:br/>
      </w:r>
      <w:r w:rsidRPr="003C5479">
        <w:rPr>
          <w:rFonts w:eastAsia="Times New Roman"/>
          <w:b/>
          <w:kern w:val="2"/>
          <w:sz w:val="20"/>
        </w:rPr>
        <w:t>5.1 Φαρμακοδυναμικές ιδιότητες</w:t>
      </w:r>
      <w:r w:rsidRPr="003C5479">
        <w:rPr>
          <w:rFonts w:eastAsia="Times New Roman"/>
          <w:kern w:val="2"/>
          <w:sz w:val="20"/>
        </w:rPr>
        <w:br/>
      </w:r>
      <w:r w:rsidR="009D075D" w:rsidRPr="003C5479">
        <w:rPr>
          <w:rFonts w:eastAsia="Times New Roman"/>
          <w:kern w:val="2"/>
          <w:sz w:val="20"/>
        </w:rPr>
        <w:t xml:space="preserve">Άλλα αναλγητικά και αντιπυρετικά, παρακεταμόλη, συνδυασμοί χωρίς ψυχοτρόπα. </w:t>
      </w:r>
    </w:p>
    <w:p w:rsidR="009D075D" w:rsidRPr="003C5479" w:rsidRDefault="009D075D" w:rsidP="009D075D">
      <w:pPr>
        <w:widowControl/>
        <w:autoSpaceDE/>
        <w:autoSpaceDN/>
        <w:adjustRightInd/>
        <w:rPr>
          <w:rFonts w:eastAsia="Times New Roman"/>
          <w:kern w:val="2"/>
          <w:sz w:val="20"/>
        </w:rPr>
      </w:pPr>
      <w:r w:rsidRPr="003C5479">
        <w:rPr>
          <w:rFonts w:eastAsia="Times New Roman"/>
          <w:kern w:val="2"/>
          <w:sz w:val="20"/>
        </w:rPr>
        <w:t>Κωδικός ATC: N02BE51</w:t>
      </w:r>
    </w:p>
    <w:p w:rsidR="009D075D" w:rsidRPr="003C5479" w:rsidRDefault="009D075D" w:rsidP="009D075D">
      <w:pPr>
        <w:widowControl/>
        <w:autoSpaceDE/>
        <w:autoSpaceDN/>
        <w:adjustRightInd/>
        <w:rPr>
          <w:rFonts w:eastAsia="Times New Roman"/>
          <w:kern w:val="2"/>
          <w:sz w:val="20"/>
        </w:rPr>
      </w:pPr>
    </w:p>
    <w:p w:rsidR="009D075D" w:rsidRPr="003C5479" w:rsidRDefault="009D075D" w:rsidP="009D075D">
      <w:pPr>
        <w:widowControl/>
        <w:autoSpaceDE/>
        <w:autoSpaceDN/>
        <w:adjustRightInd/>
        <w:rPr>
          <w:rFonts w:eastAsia="Times New Roman"/>
          <w:kern w:val="2"/>
          <w:sz w:val="20"/>
        </w:rPr>
      </w:pPr>
      <w:r w:rsidRPr="003C5479">
        <w:rPr>
          <w:rFonts w:eastAsia="Times New Roman"/>
          <w:kern w:val="2"/>
          <w:sz w:val="20"/>
        </w:rPr>
        <w:t>Το Talorbin είναι ενεργό σε 3 φαρμακολογικές δράσεις:</w:t>
      </w:r>
    </w:p>
    <w:p w:rsidR="009D075D" w:rsidRPr="003C5479" w:rsidRDefault="009D075D" w:rsidP="009D075D">
      <w:pPr>
        <w:widowControl/>
        <w:autoSpaceDE/>
        <w:autoSpaceDN/>
        <w:adjustRightInd/>
        <w:rPr>
          <w:rFonts w:eastAsia="Times New Roman"/>
          <w:kern w:val="2"/>
          <w:sz w:val="20"/>
        </w:rPr>
      </w:pPr>
      <w:r w:rsidRPr="003C5479">
        <w:rPr>
          <w:rFonts w:eastAsia="Times New Roman"/>
          <w:kern w:val="2"/>
          <w:sz w:val="20"/>
        </w:rPr>
        <w:t>- αντισταμινική δράση</w:t>
      </w:r>
      <w:r w:rsidR="0010599A" w:rsidRPr="003C5479">
        <w:rPr>
          <w:rFonts w:eastAsia="Times New Roman"/>
          <w:kern w:val="2"/>
          <w:sz w:val="20"/>
        </w:rPr>
        <w:t>,</w:t>
      </w:r>
      <w:r w:rsidRPr="003C5479">
        <w:rPr>
          <w:rFonts w:eastAsia="Times New Roman"/>
          <w:kern w:val="2"/>
          <w:sz w:val="20"/>
        </w:rPr>
        <w:t xml:space="preserve"> </w:t>
      </w:r>
      <w:r w:rsidR="0010599A" w:rsidRPr="003C5479">
        <w:rPr>
          <w:rFonts w:eastAsia="Times New Roman"/>
          <w:kern w:val="2"/>
          <w:sz w:val="20"/>
        </w:rPr>
        <w:t xml:space="preserve">η </w:t>
      </w:r>
      <w:r w:rsidRPr="003C5479">
        <w:rPr>
          <w:rFonts w:eastAsia="Times New Roman"/>
          <w:kern w:val="2"/>
          <w:sz w:val="20"/>
        </w:rPr>
        <w:t xml:space="preserve">οποία μειώνει την </w:t>
      </w:r>
      <w:r w:rsidR="0010599A" w:rsidRPr="003C5479">
        <w:rPr>
          <w:rFonts w:eastAsia="Times New Roman"/>
          <w:kern w:val="2"/>
          <w:sz w:val="20"/>
        </w:rPr>
        <w:t>ρινική καταρροή και συχνά συνδέετ</w:t>
      </w:r>
      <w:r w:rsidRPr="003C5479">
        <w:rPr>
          <w:rFonts w:eastAsia="Times New Roman"/>
          <w:kern w:val="2"/>
          <w:sz w:val="20"/>
        </w:rPr>
        <w:t xml:space="preserve">αι </w:t>
      </w:r>
      <w:r w:rsidR="0010599A" w:rsidRPr="003C5479">
        <w:rPr>
          <w:rFonts w:eastAsia="Times New Roman"/>
          <w:kern w:val="2"/>
          <w:sz w:val="20"/>
        </w:rPr>
        <w:t>με δακρύρροια και</w:t>
      </w:r>
      <w:r w:rsidR="00633192" w:rsidRPr="003C5479">
        <w:rPr>
          <w:rFonts w:eastAsia="Times New Roman"/>
          <w:kern w:val="2"/>
          <w:sz w:val="20"/>
        </w:rPr>
        <w:t xml:space="preserve"> μειώνει επίσης σπασμωδικά</w:t>
      </w:r>
      <w:r w:rsidRPr="003C5479">
        <w:rPr>
          <w:rFonts w:eastAsia="Times New Roman"/>
          <w:kern w:val="2"/>
          <w:sz w:val="20"/>
        </w:rPr>
        <w:t xml:space="preserve"> φαινόμενα, όπως τ</w:t>
      </w:r>
      <w:r w:rsidR="00633192" w:rsidRPr="003C5479">
        <w:rPr>
          <w:rFonts w:eastAsia="Times New Roman"/>
          <w:kern w:val="2"/>
          <w:sz w:val="20"/>
        </w:rPr>
        <w:t>α</w:t>
      </w:r>
      <w:r w:rsidRPr="003C5479">
        <w:rPr>
          <w:rFonts w:eastAsia="Times New Roman"/>
          <w:kern w:val="2"/>
          <w:sz w:val="20"/>
        </w:rPr>
        <w:t xml:space="preserve"> </w:t>
      </w:r>
      <w:r w:rsidR="00633192" w:rsidRPr="003C5479">
        <w:rPr>
          <w:rFonts w:eastAsia="Times New Roman"/>
          <w:kern w:val="2"/>
          <w:sz w:val="20"/>
        </w:rPr>
        <w:t xml:space="preserve">συνεχόμενα </w:t>
      </w:r>
      <w:r w:rsidRPr="003C5479">
        <w:rPr>
          <w:rFonts w:eastAsia="Times New Roman"/>
          <w:kern w:val="2"/>
          <w:sz w:val="20"/>
        </w:rPr>
        <w:t>φτ</w:t>
      </w:r>
      <w:r w:rsidR="00633192" w:rsidRPr="003C5479">
        <w:rPr>
          <w:rFonts w:eastAsia="Times New Roman"/>
          <w:kern w:val="2"/>
          <w:sz w:val="20"/>
        </w:rPr>
        <w:t>ε</w:t>
      </w:r>
      <w:r w:rsidRPr="003C5479">
        <w:rPr>
          <w:rFonts w:eastAsia="Times New Roman"/>
          <w:kern w:val="2"/>
          <w:sz w:val="20"/>
        </w:rPr>
        <w:t>ρν</w:t>
      </w:r>
      <w:r w:rsidR="00633192" w:rsidRPr="003C5479">
        <w:rPr>
          <w:rFonts w:eastAsia="Times New Roman"/>
          <w:kern w:val="2"/>
          <w:sz w:val="20"/>
        </w:rPr>
        <w:t>ί</w:t>
      </w:r>
      <w:r w:rsidRPr="003C5479">
        <w:rPr>
          <w:rFonts w:eastAsia="Times New Roman"/>
          <w:kern w:val="2"/>
          <w:sz w:val="20"/>
        </w:rPr>
        <w:t>σμα</w:t>
      </w:r>
      <w:r w:rsidR="00633192" w:rsidRPr="003C5479">
        <w:rPr>
          <w:rFonts w:eastAsia="Times New Roman"/>
          <w:kern w:val="2"/>
          <w:sz w:val="20"/>
        </w:rPr>
        <w:t>τα</w:t>
      </w:r>
      <w:r w:rsidRPr="003C5479">
        <w:rPr>
          <w:rFonts w:eastAsia="Times New Roman"/>
          <w:kern w:val="2"/>
          <w:sz w:val="20"/>
        </w:rPr>
        <w:t>.</w:t>
      </w:r>
    </w:p>
    <w:p w:rsidR="009D075D" w:rsidRPr="003C5479" w:rsidRDefault="009D075D" w:rsidP="009D075D">
      <w:pPr>
        <w:widowControl/>
        <w:autoSpaceDE/>
        <w:autoSpaceDN/>
        <w:adjustRightInd/>
        <w:rPr>
          <w:rFonts w:eastAsia="Times New Roman"/>
          <w:kern w:val="2"/>
          <w:sz w:val="20"/>
        </w:rPr>
      </w:pPr>
      <w:r w:rsidRPr="003C5479">
        <w:rPr>
          <w:rFonts w:eastAsia="Times New Roman"/>
          <w:kern w:val="2"/>
          <w:sz w:val="20"/>
        </w:rPr>
        <w:t>-</w:t>
      </w:r>
      <w:r w:rsidR="00633192" w:rsidRPr="003C5479">
        <w:rPr>
          <w:rFonts w:eastAsia="Times New Roman"/>
          <w:kern w:val="2"/>
          <w:sz w:val="20"/>
        </w:rPr>
        <w:t xml:space="preserve"> αντιπυρετική </w:t>
      </w:r>
      <w:r w:rsidRPr="003C5479">
        <w:rPr>
          <w:rFonts w:eastAsia="Times New Roman"/>
          <w:kern w:val="2"/>
          <w:sz w:val="20"/>
        </w:rPr>
        <w:t>αλγητική δράση</w:t>
      </w:r>
      <w:r w:rsidR="00633192" w:rsidRPr="003C5479">
        <w:rPr>
          <w:rFonts w:eastAsia="Times New Roman"/>
          <w:kern w:val="2"/>
          <w:sz w:val="20"/>
        </w:rPr>
        <w:t>,</w:t>
      </w:r>
      <w:r w:rsidRPr="003C5479">
        <w:rPr>
          <w:rFonts w:eastAsia="Times New Roman"/>
          <w:kern w:val="2"/>
          <w:sz w:val="20"/>
        </w:rPr>
        <w:t xml:space="preserve"> η οποία επιτρέπει </w:t>
      </w:r>
      <w:r w:rsidR="00633192" w:rsidRPr="003C5479">
        <w:rPr>
          <w:rFonts w:eastAsia="Times New Roman"/>
          <w:kern w:val="2"/>
          <w:sz w:val="20"/>
        </w:rPr>
        <w:t>την</w:t>
      </w:r>
      <w:r w:rsidRPr="003C5479">
        <w:rPr>
          <w:rFonts w:eastAsia="Times New Roman"/>
          <w:kern w:val="2"/>
          <w:sz w:val="20"/>
        </w:rPr>
        <w:t xml:space="preserve"> καταστολή το</w:t>
      </w:r>
      <w:r w:rsidR="00633192" w:rsidRPr="003C5479">
        <w:rPr>
          <w:rFonts w:eastAsia="Times New Roman"/>
          <w:kern w:val="2"/>
          <w:sz w:val="20"/>
        </w:rPr>
        <w:t>υ</w:t>
      </w:r>
      <w:r w:rsidRPr="003C5479">
        <w:rPr>
          <w:rFonts w:eastAsia="Times New Roman"/>
          <w:kern w:val="2"/>
          <w:sz w:val="20"/>
        </w:rPr>
        <w:t xml:space="preserve"> πυρετ</w:t>
      </w:r>
      <w:r w:rsidR="00633192" w:rsidRPr="003C5479">
        <w:rPr>
          <w:rFonts w:eastAsia="Times New Roman"/>
          <w:kern w:val="2"/>
          <w:sz w:val="20"/>
        </w:rPr>
        <w:t>ού</w:t>
      </w:r>
      <w:r w:rsidRPr="003C5479">
        <w:rPr>
          <w:rFonts w:eastAsia="Times New Roman"/>
          <w:kern w:val="2"/>
          <w:sz w:val="20"/>
        </w:rPr>
        <w:t xml:space="preserve"> και το</w:t>
      </w:r>
      <w:r w:rsidR="00633192" w:rsidRPr="003C5479">
        <w:rPr>
          <w:rFonts w:eastAsia="Times New Roman"/>
          <w:kern w:val="2"/>
          <w:sz w:val="20"/>
        </w:rPr>
        <w:t>υ</w:t>
      </w:r>
      <w:r w:rsidRPr="003C5479">
        <w:rPr>
          <w:rFonts w:eastAsia="Times New Roman"/>
          <w:kern w:val="2"/>
          <w:sz w:val="20"/>
        </w:rPr>
        <w:t xml:space="preserve"> πόνο</w:t>
      </w:r>
      <w:r w:rsidR="00633192" w:rsidRPr="003C5479">
        <w:rPr>
          <w:rFonts w:eastAsia="Times New Roman"/>
          <w:kern w:val="2"/>
          <w:sz w:val="20"/>
        </w:rPr>
        <w:t>υ</w:t>
      </w:r>
      <w:r w:rsidRPr="003C5479">
        <w:rPr>
          <w:rFonts w:eastAsia="Times New Roman"/>
          <w:kern w:val="2"/>
          <w:sz w:val="20"/>
        </w:rPr>
        <w:t xml:space="preserve"> (κεφαλαλγία, μυαλγία).</w:t>
      </w:r>
    </w:p>
    <w:p w:rsidR="00771A07" w:rsidRPr="003C5479" w:rsidRDefault="009D075D" w:rsidP="009D075D">
      <w:pPr>
        <w:widowControl/>
        <w:autoSpaceDE/>
        <w:autoSpaceDN/>
        <w:adjustRightInd/>
        <w:rPr>
          <w:rFonts w:eastAsia="Times New Roman"/>
          <w:kern w:val="2"/>
          <w:sz w:val="20"/>
        </w:rPr>
      </w:pPr>
      <w:r w:rsidRPr="003C5479">
        <w:rPr>
          <w:rFonts w:eastAsia="Times New Roman"/>
          <w:kern w:val="2"/>
          <w:sz w:val="20"/>
        </w:rPr>
        <w:t>-</w:t>
      </w:r>
      <w:r w:rsidR="00633192" w:rsidRPr="003C5479">
        <w:rPr>
          <w:rFonts w:eastAsia="Times New Roman"/>
          <w:kern w:val="2"/>
          <w:sz w:val="20"/>
        </w:rPr>
        <w:t xml:space="preserve"> αν</w:t>
      </w:r>
      <w:r w:rsidR="00FD12FC" w:rsidRPr="003C5479">
        <w:rPr>
          <w:rFonts w:eastAsia="Times New Roman"/>
          <w:kern w:val="2"/>
          <w:sz w:val="20"/>
        </w:rPr>
        <w:t>απλήρωση</w:t>
      </w:r>
      <w:r w:rsidR="00633192" w:rsidRPr="003C5479">
        <w:rPr>
          <w:rFonts w:eastAsia="Times New Roman"/>
          <w:kern w:val="2"/>
          <w:sz w:val="20"/>
        </w:rPr>
        <w:t xml:space="preserve"> τ</w:t>
      </w:r>
      <w:r w:rsidRPr="003C5479">
        <w:rPr>
          <w:rFonts w:eastAsia="Times New Roman"/>
          <w:kern w:val="2"/>
          <w:sz w:val="20"/>
        </w:rPr>
        <w:t>ου ασκορβικού οξέος στο σώμα.</w:t>
      </w:r>
      <w:r w:rsidR="00771A07" w:rsidRPr="003C5479">
        <w:rPr>
          <w:rFonts w:eastAsia="Times New Roman"/>
          <w:kern w:val="2"/>
          <w:sz w:val="20"/>
        </w:rPr>
        <w:br/>
      </w:r>
    </w:p>
    <w:p w:rsidR="00771A07" w:rsidRPr="003C5479" w:rsidRDefault="00771A07" w:rsidP="003E79D1">
      <w:pPr>
        <w:pStyle w:val="Style1"/>
        <w:widowControl/>
        <w:spacing w:line="240" w:lineRule="auto"/>
        <w:contextualSpacing/>
        <w:jc w:val="left"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left"/>
        <w:rPr>
          <w:rStyle w:val="FontStyle32"/>
          <w:kern w:val="2"/>
        </w:rPr>
      </w:pPr>
      <w:r w:rsidRPr="003C5479">
        <w:rPr>
          <w:rStyle w:val="FontStyle32"/>
          <w:kern w:val="2"/>
        </w:rPr>
        <w:t>5.2    Φαρμακοκινητικές ιδιότητες</w:t>
      </w:r>
    </w:p>
    <w:p w:rsidR="003A0A96" w:rsidRPr="003C5479" w:rsidRDefault="003A0A96" w:rsidP="003E79D1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  <w:sz w:val="16"/>
        </w:rPr>
      </w:pP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  <w:u w:val="single"/>
        </w:rPr>
      </w:pPr>
      <w:r w:rsidRPr="003C5479">
        <w:rPr>
          <w:rStyle w:val="FontStyle32"/>
          <w:b w:val="0"/>
          <w:kern w:val="2"/>
          <w:u w:val="single"/>
        </w:rPr>
        <w:t>Παρακεταμόλη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  <w:u w:val="single"/>
        </w:rPr>
      </w:pPr>
      <w:r w:rsidRPr="003C5479">
        <w:rPr>
          <w:rStyle w:val="FontStyle32"/>
          <w:b w:val="0"/>
          <w:kern w:val="2"/>
          <w:u w:val="single"/>
        </w:rPr>
        <w:t>Απορρόφηση: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Η απορρόφηση της παρακεταμόλης από το στόμα είναι πλήρης και γρήγορη. Οι μέγιστες συγκεντρώσεις στο πλάσμα επιτυγχάνονται σε 30-60 λεπτά μετά την κατάποση.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  <w:u w:val="single"/>
        </w:rPr>
      </w:pPr>
      <w:r w:rsidRPr="003C5479">
        <w:rPr>
          <w:rStyle w:val="FontStyle32"/>
          <w:b w:val="0"/>
          <w:kern w:val="2"/>
          <w:u w:val="single"/>
        </w:rPr>
        <w:t>Κατανομή: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Η παρακεταμόλη κατανέμεται ταχέως σε όλους τους ιστούς. Οι συγκεντρώσεις είναι συγκρίσιμ</w:t>
      </w:r>
      <w:r w:rsidR="008F27F7" w:rsidRPr="003C5479">
        <w:rPr>
          <w:rStyle w:val="FontStyle32"/>
          <w:b w:val="0"/>
          <w:kern w:val="2"/>
        </w:rPr>
        <w:t>ες</w:t>
      </w:r>
      <w:r w:rsidRPr="003C5479">
        <w:rPr>
          <w:rStyle w:val="FontStyle32"/>
          <w:b w:val="0"/>
          <w:kern w:val="2"/>
        </w:rPr>
        <w:t xml:space="preserve"> στο αίμα, </w:t>
      </w:r>
      <w:r w:rsidR="008F27F7" w:rsidRPr="003C5479">
        <w:rPr>
          <w:rStyle w:val="FontStyle32"/>
          <w:b w:val="0"/>
          <w:kern w:val="2"/>
        </w:rPr>
        <w:t>σ</w:t>
      </w:r>
      <w:r w:rsidRPr="003C5479">
        <w:rPr>
          <w:rStyle w:val="FontStyle32"/>
          <w:b w:val="0"/>
          <w:kern w:val="2"/>
        </w:rPr>
        <w:t xml:space="preserve">το σάλιο και </w:t>
      </w:r>
      <w:r w:rsidR="008F27F7" w:rsidRPr="003C5479">
        <w:rPr>
          <w:rStyle w:val="FontStyle32"/>
          <w:b w:val="0"/>
          <w:kern w:val="2"/>
        </w:rPr>
        <w:t>σ</w:t>
      </w:r>
      <w:r w:rsidRPr="003C5479">
        <w:rPr>
          <w:rStyle w:val="FontStyle32"/>
          <w:b w:val="0"/>
          <w:kern w:val="2"/>
        </w:rPr>
        <w:t>το πλάσμα. Η σύνδεση με τις πρωτεΐνες του πλάσματος είναι χαμηλή.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  <w:u w:val="single"/>
        </w:rPr>
      </w:pPr>
      <w:r w:rsidRPr="003C5479">
        <w:rPr>
          <w:rStyle w:val="FontStyle32"/>
          <w:b w:val="0"/>
          <w:kern w:val="2"/>
          <w:u w:val="single"/>
        </w:rPr>
        <w:t>Βιομετατροπή:</w:t>
      </w:r>
    </w:p>
    <w:p w:rsidR="00633192" w:rsidRPr="003C5479" w:rsidRDefault="008F27F7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Η π</w:t>
      </w:r>
      <w:r w:rsidR="00633192" w:rsidRPr="003C5479">
        <w:rPr>
          <w:rStyle w:val="FontStyle32"/>
          <w:b w:val="0"/>
          <w:kern w:val="2"/>
        </w:rPr>
        <w:t xml:space="preserve">αρακεταμόλη μεταβολίζεται στο ήπαρ. Οι δύο κύριες μεταβολικές οδοί είναι η γλυκουρονίωση και </w:t>
      </w:r>
      <w:r w:rsidR="005D7CDC" w:rsidRPr="003C5479">
        <w:rPr>
          <w:rStyle w:val="FontStyle32"/>
          <w:b w:val="0"/>
          <w:kern w:val="2"/>
        </w:rPr>
        <w:t>η θείωσ</w:t>
      </w:r>
      <w:r w:rsidR="00401C5E" w:rsidRPr="003C5479">
        <w:rPr>
          <w:rStyle w:val="FontStyle32"/>
          <w:b w:val="0"/>
          <w:kern w:val="2"/>
        </w:rPr>
        <w:t>η</w:t>
      </w:r>
      <w:r w:rsidR="005D7CDC" w:rsidRPr="003C5479">
        <w:rPr>
          <w:rStyle w:val="FontStyle32"/>
          <w:b w:val="0"/>
          <w:kern w:val="2"/>
        </w:rPr>
        <w:t>. Η</w:t>
      </w:r>
      <w:r w:rsidR="00633192" w:rsidRPr="003C5479">
        <w:rPr>
          <w:rStyle w:val="FontStyle32"/>
          <w:b w:val="0"/>
          <w:kern w:val="2"/>
        </w:rPr>
        <w:t xml:space="preserve"> </w:t>
      </w:r>
      <w:r w:rsidRPr="003C5479">
        <w:rPr>
          <w:rStyle w:val="FontStyle32"/>
          <w:b w:val="0"/>
          <w:kern w:val="2"/>
        </w:rPr>
        <w:t>δεύτερη</w:t>
      </w:r>
      <w:r w:rsidR="00633192" w:rsidRPr="003C5479">
        <w:rPr>
          <w:rStyle w:val="FontStyle32"/>
          <w:b w:val="0"/>
          <w:kern w:val="2"/>
        </w:rPr>
        <w:t xml:space="preserve"> </w:t>
      </w:r>
      <w:r w:rsidRPr="003C5479">
        <w:rPr>
          <w:rStyle w:val="FontStyle32"/>
          <w:b w:val="0"/>
          <w:kern w:val="2"/>
        </w:rPr>
        <w:t>οδός</w:t>
      </w:r>
      <w:r w:rsidR="00633192" w:rsidRPr="003C5479">
        <w:rPr>
          <w:rStyle w:val="FontStyle32"/>
          <w:b w:val="0"/>
          <w:kern w:val="2"/>
        </w:rPr>
        <w:t xml:space="preserve"> </w:t>
      </w:r>
      <w:r w:rsidR="005D7CDC" w:rsidRPr="003C5479">
        <w:rPr>
          <w:rStyle w:val="FontStyle32"/>
          <w:b w:val="0"/>
          <w:kern w:val="2"/>
        </w:rPr>
        <w:t>εμφανίζει γρήγορα κορεσμό</w:t>
      </w:r>
      <w:r w:rsidRPr="003C5479">
        <w:rPr>
          <w:rStyle w:val="FontStyle32"/>
          <w:b w:val="0"/>
          <w:kern w:val="2"/>
        </w:rPr>
        <w:t>,</w:t>
      </w:r>
      <w:r w:rsidR="00633192" w:rsidRPr="003C5479">
        <w:rPr>
          <w:rStyle w:val="FontStyle32"/>
          <w:b w:val="0"/>
          <w:kern w:val="2"/>
        </w:rPr>
        <w:t xml:space="preserve"> </w:t>
      </w:r>
      <w:r w:rsidR="00F401F7" w:rsidRPr="003C5479">
        <w:rPr>
          <w:rStyle w:val="FontStyle32"/>
          <w:b w:val="0"/>
          <w:kern w:val="2"/>
        </w:rPr>
        <w:t>όταν χρησιμοποιούνται</w:t>
      </w:r>
      <w:r w:rsidR="00633192" w:rsidRPr="003C5479">
        <w:rPr>
          <w:rStyle w:val="FontStyle32"/>
          <w:b w:val="0"/>
          <w:kern w:val="2"/>
        </w:rPr>
        <w:t xml:space="preserve"> </w:t>
      </w:r>
      <w:r w:rsidR="005D7CDC" w:rsidRPr="003C5479">
        <w:rPr>
          <w:rStyle w:val="FontStyle32"/>
          <w:b w:val="0"/>
          <w:kern w:val="2"/>
        </w:rPr>
        <w:t>μεγαλύτερες</w:t>
      </w:r>
      <w:r w:rsidR="00633192" w:rsidRPr="003C5479">
        <w:rPr>
          <w:rStyle w:val="FontStyle32"/>
          <w:b w:val="0"/>
          <w:kern w:val="2"/>
        </w:rPr>
        <w:t xml:space="preserve"> </w:t>
      </w:r>
      <w:r w:rsidRPr="003C5479">
        <w:rPr>
          <w:rStyle w:val="FontStyle32"/>
          <w:b w:val="0"/>
          <w:kern w:val="2"/>
        </w:rPr>
        <w:t xml:space="preserve">δόσεις </w:t>
      </w:r>
      <w:r w:rsidR="00633192" w:rsidRPr="003C5479">
        <w:rPr>
          <w:rStyle w:val="FontStyle32"/>
          <w:b w:val="0"/>
          <w:kern w:val="2"/>
        </w:rPr>
        <w:t xml:space="preserve">από </w:t>
      </w:r>
      <w:r w:rsidRPr="003C5479">
        <w:rPr>
          <w:rStyle w:val="FontStyle32"/>
          <w:b w:val="0"/>
          <w:kern w:val="2"/>
        </w:rPr>
        <w:t xml:space="preserve">τις </w:t>
      </w:r>
      <w:r w:rsidR="00633192" w:rsidRPr="003C5479">
        <w:rPr>
          <w:rStyle w:val="FontStyle32"/>
          <w:b w:val="0"/>
          <w:kern w:val="2"/>
        </w:rPr>
        <w:t xml:space="preserve">θεραπευτικές. Μια </w:t>
      </w:r>
      <w:r w:rsidRPr="003C5479">
        <w:rPr>
          <w:rStyle w:val="FontStyle32"/>
          <w:b w:val="0"/>
          <w:kern w:val="2"/>
        </w:rPr>
        <w:t>δευτερεύουσα</w:t>
      </w:r>
      <w:r w:rsidR="00633192" w:rsidRPr="003C5479">
        <w:rPr>
          <w:rStyle w:val="FontStyle32"/>
          <w:b w:val="0"/>
          <w:kern w:val="2"/>
        </w:rPr>
        <w:t xml:space="preserve"> </w:t>
      </w:r>
      <w:r w:rsidRPr="003C5479">
        <w:rPr>
          <w:rStyle w:val="FontStyle32"/>
          <w:b w:val="0"/>
          <w:kern w:val="2"/>
        </w:rPr>
        <w:t>οδός μεταβολισμού</w:t>
      </w:r>
      <w:r w:rsidR="005D7CDC" w:rsidRPr="003C5479">
        <w:rPr>
          <w:rStyle w:val="FontStyle32"/>
          <w:b w:val="0"/>
          <w:kern w:val="2"/>
        </w:rPr>
        <w:t>,</w:t>
      </w:r>
      <w:r w:rsidR="00633192" w:rsidRPr="003C5479">
        <w:rPr>
          <w:rStyle w:val="FontStyle32"/>
          <w:b w:val="0"/>
          <w:kern w:val="2"/>
        </w:rPr>
        <w:t xml:space="preserve"> που καταλύεται από το κυτόχρωμα Ρ45</w:t>
      </w:r>
      <w:r w:rsidRPr="003C5479">
        <w:rPr>
          <w:rStyle w:val="FontStyle32"/>
          <w:b w:val="0"/>
          <w:kern w:val="2"/>
        </w:rPr>
        <w:t xml:space="preserve">0, είναι ο σχηματισμός ενός </w:t>
      </w:r>
      <w:r w:rsidR="00633192" w:rsidRPr="003C5479">
        <w:rPr>
          <w:rStyle w:val="FontStyle32"/>
          <w:b w:val="0"/>
          <w:kern w:val="2"/>
        </w:rPr>
        <w:t>δραστικού εν</w:t>
      </w:r>
      <w:r w:rsidRPr="003C5479">
        <w:rPr>
          <w:rStyle w:val="FontStyle32"/>
          <w:b w:val="0"/>
          <w:kern w:val="2"/>
        </w:rPr>
        <w:t xml:space="preserve">διαμέσου </w:t>
      </w:r>
      <w:r w:rsidR="005D7CDC" w:rsidRPr="003C5479">
        <w:rPr>
          <w:rStyle w:val="FontStyle32"/>
          <w:b w:val="0"/>
          <w:kern w:val="2"/>
        </w:rPr>
        <w:t xml:space="preserve">μεταβολίτη </w:t>
      </w:r>
      <w:r w:rsidRPr="003C5479">
        <w:rPr>
          <w:rStyle w:val="FontStyle32"/>
          <w:b w:val="0"/>
          <w:kern w:val="2"/>
        </w:rPr>
        <w:t>(Ν-ακετυλο</w:t>
      </w:r>
      <w:r w:rsidR="00D522B4" w:rsidRPr="003C5479">
        <w:rPr>
          <w:rStyle w:val="FontStyle32"/>
          <w:b w:val="0"/>
          <w:kern w:val="2"/>
        </w:rPr>
        <w:t>-</w:t>
      </w:r>
      <w:r w:rsidR="00D522B4" w:rsidRPr="003C5479">
        <w:rPr>
          <w:rStyle w:val="FontStyle32"/>
          <w:b w:val="0"/>
          <w:kern w:val="2"/>
          <w:lang w:val="en-US"/>
        </w:rPr>
        <w:t>p</w:t>
      </w:r>
      <w:r w:rsidR="00D522B4" w:rsidRPr="003C5479">
        <w:rPr>
          <w:rStyle w:val="FontStyle32"/>
          <w:b w:val="0"/>
          <w:kern w:val="2"/>
        </w:rPr>
        <w:t>-</w:t>
      </w:r>
      <w:r w:rsidRPr="003C5479">
        <w:rPr>
          <w:rStyle w:val="FontStyle32"/>
          <w:b w:val="0"/>
          <w:kern w:val="2"/>
        </w:rPr>
        <w:t>βενζοκι</w:t>
      </w:r>
      <w:r w:rsidR="00D522B4" w:rsidRPr="003C5479">
        <w:rPr>
          <w:rStyle w:val="FontStyle32"/>
          <w:b w:val="0"/>
          <w:kern w:val="2"/>
        </w:rPr>
        <w:t>νο</w:t>
      </w:r>
      <w:r w:rsidRPr="003C5479">
        <w:rPr>
          <w:rStyle w:val="FontStyle32"/>
          <w:b w:val="0"/>
          <w:kern w:val="2"/>
        </w:rPr>
        <w:t>ν</w:t>
      </w:r>
      <w:r w:rsidR="00633192" w:rsidRPr="003C5479">
        <w:rPr>
          <w:rStyle w:val="FontStyle32"/>
          <w:b w:val="0"/>
          <w:kern w:val="2"/>
        </w:rPr>
        <w:t>ιμίνη</w:t>
      </w:r>
      <w:r w:rsidR="00D522B4" w:rsidRPr="003C5479">
        <w:rPr>
          <w:rStyle w:val="FontStyle32"/>
          <w:b w:val="0"/>
          <w:kern w:val="2"/>
        </w:rPr>
        <w:t xml:space="preserve"> [</w:t>
      </w:r>
      <w:r w:rsidR="00D522B4" w:rsidRPr="003C5479">
        <w:rPr>
          <w:rStyle w:val="FontStyle32"/>
          <w:b w:val="0"/>
          <w:kern w:val="2"/>
          <w:lang w:val="en-US"/>
        </w:rPr>
        <w:t>NAPQI</w:t>
      </w:r>
      <w:r w:rsidR="00633192" w:rsidRPr="003C5479">
        <w:rPr>
          <w:rStyle w:val="FontStyle32"/>
          <w:b w:val="0"/>
          <w:kern w:val="2"/>
        </w:rPr>
        <w:t xml:space="preserve">), που υπό κανονικές συνθήκες χρήσης, </w:t>
      </w:r>
      <w:r w:rsidR="00401C5E" w:rsidRPr="003C5479">
        <w:rPr>
          <w:rStyle w:val="FontStyle32"/>
          <w:b w:val="0"/>
          <w:kern w:val="2"/>
        </w:rPr>
        <w:t xml:space="preserve">αδρανοποιείται </w:t>
      </w:r>
      <w:r w:rsidR="00633192" w:rsidRPr="003C5479">
        <w:rPr>
          <w:rStyle w:val="FontStyle32"/>
          <w:b w:val="0"/>
          <w:kern w:val="2"/>
        </w:rPr>
        <w:t xml:space="preserve">γρήγορα  </w:t>
      </w:r>
      <w:r w:rsidR="00CF5C2D" w:rsidRPr="003C5479">
        <w:rPr>
          <w:rStyle w:val="FontStyle32"/>
          <w:b w:val="0"/>
          <w:kern w:val="2"/>
        </w:rPr>
        <w:t>από τη</w:t>
      </w:r>
      <w:r w:rsidR="00633192" w:rsidRPr="003C5479">
        <w:rPr>
          <w:rStyle w:val="FontStyle32"/>
          <w:b w:val="0"/>
          <w:kern w:val="2"/>
        </w:rPr>
        <w:t xml:space="preserve"> γλουταθειόνη και αποβάλλεται στα ούρα μετά από σύζευξη με κυστεΐνη και μερκαπτουρικ</w:t>
      </w:r>
      <w:r w:rsidR="00F401F7" w:rsidRPr="003C5479">
        <w:rPr>
          <w:rStyle w:val="FontStyle32"/>
          <w:b w:val="0"/>
          <w:kern w:val="2"/>
        </w:rPr>
        <w:t>ό</w:t>
      </w:r>
      <w:r w:rsidR="00633192" w:rsidRPr="003C5479">
        <w:rPr>
          <w:rStyle w:val="FontStyle32"/>
          <w:b w:val="0"/>
          <w:kern w:val="2"/>
        </w:rPr>
        <w:t xml:space="preserve"> οξύ. </w:t>
      </w:r>
      <w:r w:rsidR="00401C5E" w:rsidRPr="003C5479">
        <w:rPr>
          <w:rStyle w:val="FontStyle32"/>
          <w:b w:val="0"/>
          <w:kern w:val="2"/>
        </w:rPr>
        <w:t>Α</w:t>
      </w:r>
      <w:r w:rsidR="00633192" w:rsidRPr="003C5479">
        <w:rPr>
          <w:rStyle w:val="FontStyle32"/>
          <w:b w:val="0"/>
          <w:kern w:val="2"/>
        </w:rPr>
        <w:t>ντίθε</w:t>
      </w:r>
      <w:r w:rsidR="00401C5E" w:rsidRPr="003C5479">
        <w:rPr>
          <w:rStyle w:val="FontStyle32"/>
          <w:b w:val="0"/>
          <w:kern w:val="2"/>
        </w:rPr>
        <w:t>τα</w:t>
      </w:r>
      <w:r w:rsidR="00633192" w:rsidRPr="003C5479">
        <w:rPr>
          <w:rStyle w:val="FontStyle32"/>
          <w:b w:val="0"/>
          <w:kern w:val="2"/>
        </w:rPr>
        <w:t xml:space="preserve">, κατά τη διάρκεια </w:t>
      </w:r>
      <w:r w:rsidR="00F401F7" w:rsidRPr="003C5479">
        <w:rPr>
          <w:rStyle w:val="FontStyle32"/>
          <w:b w:val="0"/>
          <w:kern w:val="2"/>
        </w:rPr>
        <w:t>οξείας</w:t>
      </w:r>
      <w:r w:rsidR="00633192" w:rsidRPr="003C5479">
        <w:rPr>
          <w:rStyle w:val="FontStyle32"/>
          <w:b w:val="0"/>
          <w:kern w:val="2"/>
        </w:rPr>
        <w:t xml:space="preserve"> δηλητηρίασης, η ποσότητα </w:t>
      </w:r>
      <w:r w:rsidR="00F401F7" w:rsidRPr="003C5479">
        <w:rPr>
          <w:rStyle w:val="FontStyle32"/>
          <w:b w:val="0"/>
          <w:kern w:val="2"/>
        </w:rPr>
        <w:t xml:space="preserve">αυτού </w:t>
      </w:r>
      <w:r w:rsidR="00633192" w:rsidRPr="003C5479">
        <w:rPr>
          <w:rStyle w:val="FontStyle32"/>
          <w:b w:val="0"/>
          <w:kern w:val="2"/>
        </w:rPr>
        <w:t>του τοξικού μεταβολίτη αυξάνεται</w:t>
      </w:r>
      <w:r w:rsidR="00CF5C2D" w:rsidRPr="003C5479">
        <w:rPr>
          <w:rStyle w:val="FontStyle32"/>
          <w:b w:val="0"/>
          <w:kern w:val="2"/>
        </w:rPr>
        <w:t>, γιατί τα</w:t>
      </w:r>
      <w:r w:rsidR="00D522B4" w:rsidRPr="003C5479">
        <w:rPr>
          <w:rStyle w:val="FontStyle32"/>
          <w:b w:val="0"/>
          <w:kern w:val="2"/>
        </w:rPr>
        <w:t xml:space="preserve"> ηπατικά </w:t>
      </w:r>
      <w:r w:rsidR="00CF5C2D" w:rsidRPr="003C5479">
        <w:rPr>
          <w:rStyle w:val="FontStyle32"/>
          <w:b w:val="0"/>
          <w:kern w:val="2"/>
        </w:rPr>
        <w:t>αποθέματα της γλουταθειόνης εξαντλούνται</w:t>
      </w:r>
      <w:r w:rsidR="00633192" w:rsidRPr="003C5479">
        <w:rPr>
          <w:rStyle w:val="FontStyle32"/>
          <w:b w:val="0"/>
          <w:kern w:val="2"/>
        </w:rPr>
        <w:t>.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  <w:u w:val="single"/>
        </w:rPr>
      </w:pPr>
      <w:r w:rsidRPr="003C5479">
        <w:rPr>
          <w:rStyle w:val="FontStyle32"/>
          <w:b w:val="0"/>
          <w:kern w:val="2"/>
          <w:u w:val="single"/>
        </w:rPr>
        <w:t>Απ</w:t>
      </w:r>
      <w:r w:rsidR="00F401F7" w:rsidRPr="003C5479">
        <w:rPr>
          <w:rStyle w:val="FontStyle32"/>
          <w:b w:val="0"/>
          <w:kern w:val="2"/>
          <w:u w:val="single"/>
        </w:rPr>
        <w:t>έκκριση</w:t>
      </w:r>
      <w:r w:rsidRPr="003C5479">
        <w:rPr>
          <w:rStyle w:val="FontStyle32"/>
          <w:b w:val="0"/>
          <w:kern w:val="2"/>
          <w:u w:val="single"/>
        </w:rPr>
        <w:t>:</w:t>
      </w:r>
    </w:p>
    <w:p w:rsidR="00633192" w:rsidRPr="003C5479" w:rsidRDefault="00F401F7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Η α</w:t>
      </w:r>
      <w:r w:rsidR="00633192" w:rsidRPr="003C5479">
        <w:rPr>
          <w:rStyle w:val="FontStyle32"/>
          <w:b w:val="0"/>
          <w:kern w:val="2"/>
        </w:rPr>
        <w:t xml:space="preserve">ποβολή </w:t>
      </w:r>
      <w:r w:rsidRPr="003C5479">
        <w:rPr>
          <w:rStyle w:val="FontStyle32"/>
          <w:b w:val="0"/>
          <w:kern w:val="2"/>
        </w:rPr>
        <w:t xml:space="preserve">γίνεται </w:t>
      </w:r>
      <w:r w:rsidR="00633192" w:rsidRPr="003C5479">
        <w:rPr>
          <w:rStyle w:val="FontStyle32"/>
          <w:b w:val="0"/>
          <w:kern w:val="2"/>
        </w:rPr>
        <w:t xml:space="preserve">κυρίως </w:t>
      </w:r>
      <w:r w:rsidRPr="003C5479">
        <w:rPr>
          <w:rStyle w:val="FontStyle32"/>
          <w:b w:val="0"/>
          <w:kern w:val="2"/>
        </w:rPr>
        <w:t xml:space="preserve">μέσω του </w:t>
      </w:r>
      <w:r w:rsidR="00633192" w:rsidRPr="003C5479">
        <w:rPr>
          <w:rStyle w:val="FontStyle32"/>
          <w:b w:val="0"/>
          <w:kern w:val="2"/>
        </w:rPr>
        <w:t xml:space="preserve">ουροποιητικού. Το 90% της λαμβανόμενης δόσης απεκκρίνεται από τα νεφρά μέσα σε 24 ώρες, κυρίως </w:t>
      </w:r>
      <w:r w:rsidRPr="003C5479">
        <w:rPr>
          <w:rStyle w:val="FontStyle32"/>
          <w:b w:val="0"/>
          <w:kern w:val="2"/>
        </w:rPr>
        <w:t>μέσω</w:t>
      </w:r>
      <w:r w:rsidR="00CF5C2D" w:rsidRPr="003C5479">
        <w:rPr>
          <w:rStyle w:val="FontStyle32"/>
          <w:b w:val="0"/>
          <w:kern w:val="2"/>
        </w:rPr>
        <w:t xml:space="preserve"> γλυκουρονίωσης</w:t>
      </w:r>
      <w:r w:rsidR="00633192" w:rsidRPr="003C5479">
        <w:rPr>
          <w:rStyle w:val="FontStyle32"/>
          <w:b w:val="0"/>
          <w:kern w:val="2"/>
        </w:rPr>
        <w:t xml:space="preserve"> (60-80%) και σ</w:t>
      </w:r>
      <w:r w:rsidRPr="003C5479">
        <w:rPr>
          <w:rStyle w:val="FontStyle32"/>
          <w:b w:val="0"/>
          <w:kern w:val="2"/>
        </w:rPr>
        <w:t>ύ</w:t>
      </w:r>
      <w:r w:rsidR="00633192" w:rsidRPr="003C5479">
        <w:rPr>
          <w:rStyle w:val="FontStyle32"/>
          <w:b w:val="0"/>
          <w:kern w:val="2"/>
        </w:rPr>
        <w:t>ζευ</w:t>
      </w:r>
      <w:r w:rsidRPr="003C5479">
        <w:rPr>
          <w:rStyle w:val="FontStyle32"/>
          <w:b w:val="0"/>
          <w:kern w:val="2"/>
        </w:rPr>
        <w:t>ξης</w:t>
      </w:r>
      <w:r w:rsidR="00633192" w:rsidRPr="003C5479">
        <w:rPr>
          <w:rStyle w:val="FontStyle32"/>
          <w:b w:val="0"/>
          <w:kern w:val="2"/>
        </w:rPr>
        <w:t xml:space="preserve"> με θειικ</w:t>
      </w:r>
      <w:r w:rsidR="00CF5C2D" w:rsidRPr="003C5479">
        <w:rPr>
          <w:rStyle w:val="FontStyle32"/>
          <w:b w:val="0"/>
          <w:kern w:val="2"/>
        </w:rPr>
        <w:t>ές</w:t>
      </w:r>
      <w:r w:rsidR="008B1628" w:rsidRPr="003C5479">
        <w:rPr>
          <w:rStyle w:val="FontStyle32"/>
          <w:b w:val="0"/>
          <w:kern w:val="2"/>
        </w:rPr>
        <w:t xml:space="preserve"> </w:t>
      </w:r>
      <w:r w:rsidR="00CF5C2D" w:rsidRPr="003C5479">
        <w:rPr>
          <w:rStyle w:val="FontStyle32"/>
          <w:b w:val="0"/>
          <w:kern w:val="2"/>
        </w:rPr>
        <w:t>ρίζες</w:t>
      </w:r>
      <w:r w:rsidR="00633192" w:rsidRPr="003C5479">
        <w:rPr>
          <w:rStyle w:val="FontStyle32"/>
          <w:b w:val="0"/>
          <w:kern w:val="2"/>
        </w:rPr>
        <w:t xml:space="preserve"> (20-30%).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Λιγότερο από 5% αποβάλλεται αμετάβλητη. Ο χρόνος ημίσειας ζωής είναι περίπου 2 ώρες.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  <w:u w:val="single"/>
        </w:rPr>
      </w:pPr>
      <w:r w:rsidRPr="003C5479">
        <w:rPr>
          <w:rStyle w:val="FontStyle32"/>
          <w:b w:val="0"/>
          <w:kern w:val="2"/>
          <w:u w:val="single"/>
        </w:rPr>
        <w:t>Νεφρική ανεπάρκεια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 xml:space="preserve">Σε ασθενείς με σοβαρή νεφρική ανεπάρκεια (κάθαρση κρεατινίνης κάτω από 10 ml/min), η </w:t>
      </w:r>
      <w:r w:rsidR="00F401F7" w:rsidRPr="003C5479">
        <w:rPr>
          <w:rStyle w:val="FontStyle32"/>
          <w:b w:val="0"/>
          <w:kern w:val="2"/>
        </w:rPr>
        <w:t>απέκκριση</w:t>
      </w:r>
      <w:r w:rsidRPr="003C5479">
        <w:rPr>
          <w:rStyle w:val="FontStyle32"/>
          <w:b w:val="0"/>
          <w:kern w:val="2"/>
        </w:rPr>
        <w:t xml:space="preserve"> της παρα</w:t>
      </w:r>
      <w:r w:rsidR="00F401F7" w:rsidRPr="003C5479">
        <w:rPr>
          <w:rStyle w:val="FontStyle32"/>
          <w:b w:val="0"/>
          <w:kern w:val="2"/>
        </w:rPr>
        <w:t>κεταμόλης και των μεταβολιτών της</w:t>
      </w:r>
      <w:r w:rsidRPr="003C5479">
        <w:rPr>
          <w:rStyle w:val="FontStyle32"/>
          <w:b w:val="0"/>
          <w:kern w:val="2"/>
        </w:rPr>
        <w:t xml:space="preserve"> καθυστερ</w:t>
      </w:r>
      <w:r w:rsidR="00F401F7" w:rsidRPr="003C5479">
        <w:rPr>
          <w:rStyle w:val="FontStyle32"/>
          <w:b w:val="0"/>
          <w:kern w:val="2"/>
        </w:rPr>
        <w:t>εί</w:t>
      </w:r>
      <w:r w:rsidRPr="003C5479">
        <w:rPr>
          <w:rStyle w:val="FontStyle32"/>
          <w:b w:val="0"/>
          <w:kern w:val="2"/>
        </w:rPr>
        <w:t>.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  <w:u w:val="single"/>
        </w:rPr>
      </w:pPr>
      <w:r w:rsidRPr="003C5479">
        <w:rPr>
          <w:rStyle w:val="FontStyle32"/>
          <w:b w:val="0"/>
          <w:kern w:val="2"/>
          <w:u w:val="single"/>
        </w:rPr>
        <w:t>Ηλικιωμένο</w:t>
      </w:r>
      <w:r w:rsidR="00F401F7" w:rsidRPr="003C5479">
        <w:rPr>
          <w:rStyle w:val="FontStyle32"/>
          <w:b w:val="0"/>
          <w:kern w:val="2"/>
          <w:u w:val="single"/>
        </w:rPr>
        <w:t>ι</w:t>
      </w:r>
    </w:p>
    <w:p w:rsidR="00633192" w:rsidRPr="003C5479" w:rsidRDefault="006B70D4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Η ικαν</w:t>
      </w:r>
      <w:r w:rsidR="00633192" w:rsidRPr="003C5479">
        <w:rPr>
          <w:rStyle w:val="FontStyle32"/>
          <w:b w:val="0"/>
          <w:kern w:val="2"/>
        </w:rPr>
        <w:t xml:space="preserve">ότητα σύζευξης δεν </w:t>
      </w:r>
      <w:r w:rsidRPr="003C5479">
        <w:rPr>
          <w:rStyle w:val="FontStyle32"/>
          <w:b w:val="0"/>
          <w:kern w:val="2"/>
        </w:rPr>
        <w:t>αλλάζ</w:t>
      </w:r>
      <w:r w:rsidR="00633192" w:rsidRPr="003C5479">
        <w:rPr>
          <w:rStyle w:val="FontStyle32"/>
          <w:b w:val="0"/>
          <w:kern w:val="2"/>
        </w:rPr>
        <w:t>ει.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</w:p>
    <w:p w:rsidR="00633192" w:rsidRPr="003C5479" w:rsidRDefault="006B70D4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>Η μηλεϊνική φ</w:t>
      </w:r>
      <w:r w:rsidR="00633192" w:rsidRPr="003C5479">
        <w:rPr>
          <w:rStyle w:val="FontStyle32"/>
          <w:b w:val="0"/>
          <w:kern w:val="2"/>
        </w:rPr>
        <w:t xml:space="preserve">αινιραμίνη απορροφάται καλά από το γαστρεντερικό σωλήνα. </w:t>
      </w:r>
      <w:r w:rsidRPr="003C5479">
        <w:rPr>
          <w:rStyle w:val="FontStyle32"/>
          <w:b w:val="0"/>
          <w:kern w:val="2"/>
        </w:rPr>
        <w:t>Ο χρόνος η</w:t>
      </w:r>
      <w:r w:rsidR="00633192" w:rsidRPr="003C5479">
        <w:rPr>
          <w:rStyle w:val="FontStyle32"/>
          <w:b w:val="0"/>
          <w:kern w:val="2"/>
        </w:rPr>
        <w:t>μιζωής στο πλάσμα είναι 1</w:t>
      </w:r>
      <w:r w:rsidRPr="003C5479">
        <w:rPr>
          <w:rStyle w:val="FontStyle32"/>
          <w:b w:val="0"/>
          <w:kern w:val="2"/>
        </w:rPr>
        <w:t xml:space="preserve"> έως μιάμιση </w:t>
      </w:r>
      <w:r w:rsidR="00633192" w:rsidRPr="003C5479">
        <w:rPr>
          <w:rStyle w:val="FontStyle32"/>
          <w:b w:val="0"/>
          <w:kern w:val="2"/>
        </w:rPr>
        <w:t xml:space="preserve">ώρα. Έχει υψηλή συγγένεια </w:t>
      </w:r>
      <w:r w:rsidRPr="003C5479">
        <w:rPr>
          <w:rStyle w:val="FontStyle32"/>
          <w:b w:val="0"/>
          <w:kern w:val="2"/>
        </w:rPr>
        <w:t xml:space="preserve">για δέσμευση στους </w:t>
      </w:r>
      <w:r w:rsidR="00633192" w:rsidRPr="003C5479">
        <w:rPr>
          <w:rStyle w:val="FontStyle32"/>
          <w:b w:val="0"/>
          <w:kern w:val="2"/>
        </w:rPr>
        <w:t>ιστ</w:t>
      </w:r>
      <w:r w:rsidRPr="003C5479">
        <w:rPr>
          <w:rStyle w:val="FontStyle32"/>
          <w:b w:val="0"/>
          <w:kern w:val="2"/>
        </w:rPr>
        <w:t>ούς</w:t>
      </w:r>
      <w:r w:rsidR="00633192" w:rsidRPr="003C5479">
        <w:rPr>
          <w:rStyle w:val="FontStyle32"/>
          <w:b w:val="0"/>
          <w:kern w:val="2"/>
        </w:rPr>
        <w:t xml:space="preserve"> και αποβάλλεται κυρίως από τα νεφρά.</w:t>
      </w:r>
    </w:p>
    <w:p w:rsidR="00633192" w:rsidRPr="003C5479" w:rsidRDefault="00633192" w:rsidP="00633192">
      <w:pPr>
        <w:pStyle w:val="Style1"/>
        <w:widowControl/>
        <w:spacing w:line="240" w:lineRule="auto"/>
        <w:contextualSpacing/>
        <w:rPr>
          <w:rStyle w:val="FontStyle32"/>
          <w:b w:val="0"/>
          <w:kern w:val="2"/>
        </w:rPr>
      </w:pPr>
    </w:p>
    <w:p w:rsidR="00633192" w:rsidRPr="003C5479" w:rsidRDefault="00CF5C2D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  <w:r w:rsidRPr="003C5479">
        <w:rPr>
          <w:rStyle w:val="FontStyle32"/>
          <w:b w:val="0"/>
          <w:kern w:val="2"/>
        </w:rPr>
        <w:t xml:space="preserve">Η </w:t>
      </w:r>
      <w:r w:rsidR="00633192" w:rsidRPr="003C5479">
        <w:rPr>
          <w:rStyle w:val="FontStyle32"/>
          <w:b w:val="0"/>
          <w:kern w:val="2"/>
        </w:rPr>
        <w:t xml:space="preserve">γαστρεντερική απορρόφηση </w:t>
      </w:r>
      <w:r w:rsidRPr="003C5479">
        <w:rPr>
          <w:rStyle w:val="FontStyle32"/>
          <w:b w:val="0"/>
          <w:kern w:val="2"/>
        </w:rPr>
        <w:t xml:space="preserve">του ασκορβικού οξέος </w:t>
      </w:r>
      <w:r w:rsidR="00633192" w:rsidRPr="003C5479">
        <w:rPr>
          <w:rStyle w:val="FontStyle32"/>
          <w:b w:val="0"/>
          <w:kern w:val="2"/>
        </w:rPr>
        <w:t>είναι καλ</w:t>
      </w:r>
      <w:r w:rsidR="006B70D4" w:rsidRPr="003C5479">
        <w:rPr>
          <w:rStyle w:val="FontStyle32"/>
          <w:b w:val="0"/>
          <w:kern w:val="2"/>
        </w:rPr>
        <w:t>ή</w:t>
      </w:r>
      <w:r w:rsidR="00633192" w:rsidRPr="003C5479">
        <w:rPr>
          <w:rStyle w:val="FontStyle32"/>
          <w:b w:val="0"/>
          <w:kern w:val="2"/>
        </w:rPr>
        <w:t xml:space="preserve">. Αν η </w:t>
      </w:r>
      <w:r w:rsidR="006B70D4" w:rsidRPr="003C5479">
        <w:rPr>
          <w:rStyle w:val="FontStyle32"/>
          <w:b w:val="0"/>
          <w:kern w:val="2"/>
        </w:rPr>
        <w:t>πρόσληψη</w:t>
      </w:r>
      <w:r w:rsidR="00633192" w:rsidRPr="003C5479">
        <w:rPr>
          <w:rStyle w:val="FontStyle32"/>
          <w:b w:val="0"/>
          <w:kern w:val="2"/>
        </w:rPr>
        <w:t xml:space="preserve"> υπερβαίνει τις ανάγκες, η περίσσεια αποβάλλεται με τα ούρα.</w:t>
      </w:r>
    </w:p>
    <w:p w:rsidR="006B70D4" w:rsidRPr="003C5479" w:rsidRDefault="006B70D4" w:rsidP="00633192">
      <w:pPr>
        <w:pStyle w:val="Style1"/>
        <w:widowControl/>
        <w:spacing w:line="240" w:lineRule="auto"/>
        <w:contextualSpacing/>
        <w:jc w:val="left"/>
        <w:rPr>
          <w:rStyle w:val="FontStyle32"/>
          <w:b w:val="0"/>
          <w:kern w:val="2"/>
        </w:rPr>
      </w:pP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left"/>
        <w:rPr>
          <w:rStyle w:val="FontStyle32"/>
          <w:kern w:val="2"/>
        </w:rPr>
      </w:pPr>
      <w:r w:rsidRPr="003C5479">
        <w:rPr>
          <w:rStyle w:val="FontStyle32"/>
          <w:kern w:val="2"/>
        </w:rPr>
        <w:t>5.3    Προκλινικά δεδομένα για την ασφάλεια</w:t>
      </w:r>
    </w:p>
    <w:p w:rsidR="00F278CF" w:rsidRPr="003C5479" w:rsidRDefault="003A0A96" w:rsidP="003E79D1">
      <w:pPr>
        <w:pStyle w:val="Style1"/>
        <w:widowControl/>
        <w:spacing w:line="240" w:lineRule="auto"/>
        <w:contextualSpacing/>
        <w:jc w:val="both"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 xml:space="preserve">Δεν </w:t>
      </w:r>
      <w:r w:rsidR="006B70D4" w:rsidRPr="003C5479">
        <w:rPr>
          <w:kern w:val="2"/>
          <w:sz w:val="20"/>
          <w:szCs w:val="20"/>
        </w:rPr>
        <w:t>εφαρμόζεται.</w:t>
      </w:r>
    </w:p>
    <w:p w:rsidR="003A0A96" w:rsidRPr="003C5479" w:rsidRDefault="003A0A96" w:rsidP="003E79D1">
      <w:pPr>
        <w:pStyle w:val="Style1"/>
        <w:widowControl/>
        <w:spacing w:line="240" w:lineRule="auto"/>
        <w:contextualSpacing/>
        <w:jc w:val="both"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both"/>
        <w:rPr>
          <w:rStyle w:val="FontStyle32"/>
          <w:kern w:val="2"/>
        </w:rPr>
      </w:pPr>
      <w:r w:rsidRPr="003C5479">
        <w:rPr>
          <w:rStyle w:val="FontStyle32"/>
          <w:kern w:val="2"/>
        </w:rPr>
        <w:t>6.     ΦAPMAKEYTIKEΣ ΠΛΗΡΟΦΟΡΙΕΣ</w:t>
      </w: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left"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left"/>
        <w:rPr>
          <w:rStyle w:val="FontStyle32"/>
          <w:kern w:val="2"/>
        </w:rPr>
      </w:pPr>
      <w:r w:rsidRPr="003C5479">
        <w:rPr>
          <w:rStyle w:val="FontStyle32"/>
          <w:kern w:val="2"/>
        </w:rPr>
        <w:t>6.1    Κατάλογος εκδόχων</w:t>
      </w:r>
    </w:p>
    <w:p w:rsidR="006B70D4" w:rsidRPr="003C5479" w:rsidRDefault="006B70D4" w:rsidP="006B70D4">
      <w:pPr>
        <w:rPr>
          <w:i/>
          <w:kern w:val="2"/>
          <w:sz w:val="20"/>
          <w:szCs w:val="22"/>
          <w:lang w:val="en-US"/>
        </w:rPr>
      </w:pPr>
      <w:r w:rsidRPr="003C5479">
        <w:rPr>
          <w:i/>
          <w:kern w:val="2"/>
          <w:sz w:val="20"/>
          <w:szCs w:val="22"/>
          <w:lang w:val="en-US"/>
        </w:rPr>
        <w:t>Sucrose</w:t>
      </w:r>
    </w:p>
    <w:p w:rsidR="006B70D4" w:rsidRPr="003C5479" w:rsidRDefault="006B70D4" w:rsidP="006B70D4">
      <w:pPr>
        <w:rPr>
          <w:i/>
          <w:kern w:val="2"/>
          <w:sz w:val="20"/>
          <w:szCs w:val="22"/>
          <w:lang w:val="en-US"/>
        </w:rPr>
      </w:pPr>
      <w:proofErr w:type="spellStart"/>
      <w:r w:rsidRPr="003C5479">
        <w:rPr>
          <w:i/>
          <w:kern w:val="2"/>
          <w:sz w:val="20"/>
          <w:szCs w:val="22"/>
          <w:lang w:val="en-US"/>
        </w:rPr>
        <w:t>Carribbean</w:t>
      </w:r>
      <w:proofErr w:type="spellEnd"/>
      <w:r w:rsidRPr="003C5479">
        <w:rPr>
          <w:i/>
          <w:kern w:val="2"/>
          <w:sz w:val="20"/>
          <w:szCs w:val="22"/>
          <w:lang w:val="en-US"/>
        </w:rPr>
        <w:t xml:space="preserve"> </w:t>
      </w:r>
      <w:proofErr w:type="spellStart"/>
      <w:r w:rsidRPr="003C5479">
        <w:rPr>
          <w:i/>
          <w:kern w:val="2"/>
          <w:sz w:val="20"/>
          <w:szCs w:val="22"/>
          <w:lang w:val="en-US"/>
        </w:rPr>
        <w:t>flavour</w:t>
      </w:r>
      <w:proofErr w:type="spellEnd"/>
      <w:r w:rsidRPr="003C5479">
        <w:rPr>
          <w:i/>
          <w:kern w:val="2"/>
          <w:sz w:val="20"/>
          <w:szCs w:val="22"/>
          <w:lang w:val="en-US"/>
        </w:rPr>
        <w:t xml:space="preserve"> (lemon oil, sweet orange oil, orange pulp, rum extract, vanillin, </w:t>
      </w:r>
      <w:proofErr w:type="spellStart"/>
      <w:r w:rsidRPr="003C5479">
        <w:rPr>
          <w:i/>
          <w:kern w:val="2"/>
          <w:sz w:val="20"/>
          <w:szCs w:val="22"/>
          <w:lang w:val="en-US"/>
        </w:rPr>
        <w:t>maltol</w:t>
      </w:r>
      <w:proofErr w:type="spellEnd"/>
      <w:r w:rsidRPr="003C5479">
        <w:rPr>
          <w:i/>
          <w:kern w:val="2"/>
          <w:sz w:val="20"/>
          <w:szCs w:val="22"/>
          <w:lang w:val="en-US"/>
        </w:rPr>
        <w:t xml:space="preserve">, </w:t>
      </w:r>
      <w:proofErr w:type="spellStart"/>
      <w:r w:rsidRPr="003C5479">
        <w:rPr>
          <w:i/>
          <w:kern w:val="2"/>
          <w:sz w:val="20"/>
          <w:szCs w:val="22"/>
          <w:lang w:val="en-US"/>
        </w:rPr>
        <w:t>citral</w:t>
      </w:r>
      <w:proofErr w:type="spellEnd"/>
      <w:r w:rsidRPr="003C5479">
        <w:rPr>
          <w:i/>
          <w:kern w:val="2"/>
          <w:sz w:val="20"/>
          <w:szCs w:val="22"/>
          <w:lang w:val="en-US"/>
        </w:rPr>
        <w:t xml:space="preserve">, gamma </w:t>
      </w:r>
      <w:proofErr w:type="spellStart"/>
      <w:r w:rsidRPr="003C5479">
        <w:rPr>
          <w:i/>
          <w:kern w:val="2"/>
          <w:sz w:val="20"/>
          <w:szCs w:val="22"/>
          <w:lang w:val="en-US"/>
        </w:rPr>
        <w:t>lactons</w:t>
      </w:r>
      <w:proofErr w:type="spellEnd"/>
      <w:r w:rsidRPr="003C5479">
        <w:rPr>
          <w:i/>
          <w:kern w:val="2"/>
          <w:sz w:val="20"/>
          <w:szCs w:val="22"/>
          <w:lang w:val="en-US"/>
        </w:rPr>
        <w:t xml:space="preserve">, citric acid (E330), maltodextrin, acacia, </w:t>
      </w:r>
      <w:proofErr w:type="gramStart"/>
      <w:r w:rsidRPr="003C5479">
        <w:rPr>
          <w:i/>
          <w:kern w:val="2"/>
          <w:sz w:val="20"/>
          <w:szCs w:val="22"/>
          <w:lang w:val="en-US"/>
        </w:rPr>
        <w:t>sucrose</w:t>
      </w:r>
      <w:proofErr w:type="gramEnd"/>
      <w:r w:rsidRPr="003C5479">
        <w:rPr>
          <w:i/>
          <w:kern w:val="2"/>
          <w:sz w:val="20"/>
          <w:szCs w:val="22"/>
          <w:lang w:val="en-US"/>
        </w:rPr>
        <w:t>).</w:t>
      </w:r>
    </w:p>
    <w:p w:rsidR="006B70D4" w:rsidRPr="003C5479" w:rsidRDefault="006B70D4" w:rsidP="006B70D4">
      <w:pPr>
        <w:rPr>
          <w:i/>
          <w:kern w:val="2"/>
          <w:sz w:val="20"/>
          <w:szCs w:val="22"/>
          <w:lang w:val="en-US"/>
        </w:rPr>
      </w:pPr>
      <w:r w:rsidRPr="003C5479">
        <w:rPr>
          <w:i/>
          <w:kern w:val="2"/>
          <w:sz w:val="20"/>
          <w:szCs w:val="22"/>
          <w:lang w:val="en-US"/>
        </w:rPr>
        <w:t>Anhydrous citric acid</w:t>
      </w:r>
    </w:p>
    <w:p w:rsidR="006B70D4" w:rsidRPr="003C5479" w:rsidRDefault="006B70D4" w:rsidP="006B70D4">
      <w:pPr>
        <w:rPr>
          <w:i/>
          <w:kern w:val="2"/>
          <w:sz w:val="20"/>
          <w:szCs w:val="22"/>
          <w:lang w:val="en-US"/>
        </w:rPr>
      </w:pPr>
      <w:r w:rsidRPr="003C5479">
        <w:rPr>
          <w:i/>
          <w:kern w:val="2"/>
          <w:sz w:val="20"/>
          <w:szCs w:val="22"/>
          <w:lang w:val="en-US"/>
        </w:rPr>
        <w:t>Acacia, spray dried</w:t>
      </w:r>
    </w:p>
    <w:p w:rsidR="006B70D4" w:rsidRPr="003C5479" w:rsidRDefault="006B70D4" w:rsidP="006B70D4">
      <w:pPr>
        <w:rPr>
          <w:i/>
          <w:kern w:val="2"/>
          <w:sz w:val="20"/>
          <w:szCs w:val="22"/>
        </w:rPr>
      </w:pPr>
      <w:r w:rsidRPr="003C5479">
        <w:rPr>
          <w:i/>
          <w:kern w:val="2"/>
          <w:sz w:val="20"/>
          <w:szCs w:val="22"/>
        </w:rPr>
        <w:lastRenderedPageBreak/>
        <w:t>Saccharin sodium</w:t>
      </w:r>
    </w:p>
    <w:p w:rsidR="006B70D4" w:rsidRPr="003C5479" w:rsidRDefault="006B70D4" w:rsidP="006B70D4">
      <w:pPr>
        <w:rPr>
          <w:i/>
          <w:kern w:val="2"/>
          <w:sz w:val="20"/>
          <w:szCs w:val="22"/>
        </w:rPr>
      </w:pPr>
    </w:p>
    <w:p w:rsidR="00F278CF" w:rsidRPr="003C5479" w:rsidRDefault="00F278CF" w:rsidP="003E79D1">
      <w:pPr>
        <w:pStyle w:val="Style4"/>
        <w:widowControl/>
        <w:numPr>
          <w:ilvl w:val="0"/>
          <w:numId w:val="7"/>
        </w:numPr>
        <w:tabs>
          <w:tab w:val="left" w:pos="528"/>
        </w:tabs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Aσυμβατότητες</w:t>
      </w:r>
    </w:p>
    <w:p w:rsidR="00F278CF" w:rsidRPr="003C5479" w:rsidRDefault="00F278CF" w:rsidP="003E79D1">
      <w:pPr>
        <w:pStyle w:val="Style5"/>
        <w:widowControl/>
        <w:spacing w:line="240" w:lineRule="auto"/>
        <w:contextualSpacing/>
        <w:jc w:val="left"/>
        <w:rPr>
          <w:rStyle w:val="FontStyle33"/>
          <w:kern w:val="2"/>
        </w:rPr>
      </w:pPr>
      <w:r w:rsidRPr="003C5479">
        <w:rPr>
          <w:rStyle w:val="FontStyle33"/>
          <w:kern w:val="2"/>
        </w:rPr>
        <w:t xml:space="preserve">Δεν </w:t>
      </w:r>
      <w:r w:rsidR="000862B8" w:rsidRPr="003C5479">
        <w:rPr>
          <w:rStyle w:val="FontStyle33"/>
          <w:kern w:val="2"/>
        </w:rPr>
        <w:t>υπάρχουν</w:t>
      </w:r>
      <w:r w:rsidRPr="003C5479">
        <w:rPr>
          <w:rStyle w:val="FontStyle33"/>
          <w:kern w:val="2"/>
        </w:rPr>
        <w:t>.</w:t>
      </w:r>
    </w:p>
    <w:p w:rsidR="003A0A96" w:rsidRPr="003C5479" w:rsidRDefault="003A0A96" w:rsidP="003E79D1">
      <w:pPr>
        <w:pStyle w:val="Style5"/>
        <w:widowControl/>
        <w:spacing w:line="240" w:lineRule="auto"/>
        <w:contextualSpacing/>
        <w:jc w:val="left"/>
        <w:rPr>
          <w:rStyle w:val="FontStyle33"/>
          <w:kern w:val="2"/>
        </w:rPr>
      </w:pPr>
    </w:p>
    <w:p w:rsidR="00F278CF" w:rsidRPr="003C5479" w:rsidRDefault="00F278CF" w:rsidP="003E79D1">
      <w:pPr>
        <w:pStyle w:val="Style4"/>
        <w:widowControl/>
        <w:numPr>
          <w:ilvl w:val="0"/>
          <w:numId w:val="8"/>
        </w:numPr>
        <w:tabs>
          <w:tab w:val="left" w:pos="528"/>
        </w:tabs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Διάρκεια ζωής</w:t>
      </w:r>
    </w:p>
    <w:p w:rsidR="00F278CF" w:rsidRPr="003C5479" w:rsidRDefault="003A0A96" w:rsidP="003E79D1">
      <w:pPr>
        <w:pStyle w:val="Style5"/>
        <w:widowControl/>
        <w:spacing w:line="240" w:lineRule="auto"/>
        <w:contextualSpacing/>
        <w:jc w:val="left"/>
        <w:rPr>
          <w:rStyle w:val="FontStyle33"/>
          <w:kern w:val="2"/>
        </w:rPr>
      </w:pPr>
      <w:r w:rsidRPr="003C5479">
        <w:rPr>
          <w:rStyle w:val="FontStyle33"/>
          <w:kern w:val="2"/>
        </w:rPr>
        <w:t>2</w:t>
      </w:r>
      <w:r w:rsidR="006B70D4" w:rsidRPr="003C5479">
        <w:rPr>
          <w:rStyle w:val="FontStyle33"/>
          <w:kern w:val="2"/>
        </w:rPr>
        <w:t>4 μήνες</w:t>
      </w:r>
      <w:r w:rsidR="00F278CF" w:rsidRPr="003C5479">
        <w:rPr>
          <w:rStyle w:val="FontStyle33"/>
          <w:kern w:val="2"/>
        </w:rPr>
        <w:t>.</w:t>
      </w:r>
    </w:p>
    <w:p w:rsidR="00CC366B" w:rsidRPr="003C5479" w:rsidRDefault="00CC366B" w:rsidP="003E79D1">
      <w:pPr>
        <w:pStyle w:val="Style5"/>
        <w:widowControl/>
        <w:spacing w:line="240" w:lineRule="auto"/>
        <w:contextualSpacing/>
        <w:jc w:val="left"/>
        <w:rPr>
          <w:rStyle w:val="FontStyle33"/>
          <w:kern w:val="2"/>
        </w:rPr>
      </w:pPr>
    </w:p>
    <w:p w:rsidR="003A0A96" w:rsidRPr="003C5479" w:rsidRDefault="006B70D4" w:rsidP="003E79D1">
      <w:pPr>
        <w:pStyle w:val="Style5"/>
        <w:widowControl/>
        <w:spacing w:line="240" w:lineRule="auto"/>
        <w:contextualSpacing/>
        <w:jc w:val="left"/>
        <w:rPr>
          <w:rStyle w:val="FontStyle33"/>
          <w:kern w:val="2"/>
        </w:rPr>
      </w:pPr>
      <w:r w:rsidRPr="003C5479">
        <w:rPr>
          <w:rStyle w:val="FontStyle33"/>
          <w:kern w:val="2"/>
        </w:rPr>
        <w:t>Το ανασυσταθέν διάλυμα σε ζεστό ή κρύο νερό, πρέπει να χρησιμοποιηθεί αμέσως.</w:t>
      </w:r>
    </w:p>
    <w:p w:rsidR="006B70D4" w:rsidRPr="003C5479" w:rsidRDefault="006B70D4" w:rsidP="003E79D1">
      <w:pPr>
        <w:pStyle w:val="Style5"/>
        <w:widowControl/>
        <w:spacing w:line="240" w:lineRule="auto"/>
        <w:contextualSpacing/>
        <w:jc w:val="left"/>
        <w:rPr>
          <w:rStyle w:val="FontStyle33"/>
          <w:kern w:val="2"/>
        </w:rPr>
      </w:pPr>
    </w:p>
    <w:p w:rsidR="003A0A96" w:rsidRPr="003C5479" w:rsidRDefault="00F278CF" w:rsidP="003E79D1">
      <w:pPr>
        <w:pStyle w:val="Style4"/>
        <w:widowControl/>
        <w:numPr>
          <w:ilvl w:val="0"/>
          <w:numId w:val="9"/>
        </w:numPr>
        <w:tabs>
          <w:tab w:val="left" w:pos="528"/>
        </w:tabs>
        <w:ind w:right="2419"/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 xml:space="preserve">Ιδιαίτερες προφυλάξεις κατά την φύλαξη του προϊόντος </w:t>
      </w:r>
    </w:p>
    <w:p w:rsidR="003A0A96" w:rsidRPr="003C5479" w:rsidRDefault="003A0A96" w:rsidP="003A0A96">
      <w:pPr>
        <w:pStyle w:val="Style4"/>
        <w:widowControl/>
        <w:tabs>
          <w:tab w:val="left" w:pos="528"/>
        </w:tabs>
        <w:ind w:right="2419"/>
        <w:contextualSpacing/>
        <w:rPr>
          <w:rStyle w:val="FontStyle32"/>
          <w:kern w:val="2"/>
        </w:rPr>
      </w:pPr>
    </w:p>
    <w:p w:rsidR="00F278CF" w:rsidRPr="003C5479" w:rsidRDefault="003A0A96" w:rsidP="003A0A96">
      <w:pPr>
        <w:pStyle w:val="Style4"/>
        <w:widowControl/>
        <w:tabs>
          <w:tab w:val="left" w:pos="528"/>
        </w:tabs>
        <w:ind w:right="2419"/>
        <w:contextualSpacing/>
        <w:rPr>
          <w:rStyle w:val="FontStyle33"/>
          <w:kern w:val="2"/>
        </w:rPr>
      </w:pPr>
      <w:r w:rsidRPr="003C5479">
        <w:rPr>
          <w:rStyle w:val="FontStyle32"/>
          <w:b w:val="0"/>
          <w:kern w:val="2"/>
        </w:rPr>
        <w:t>Να μ</w:t>
      </w:r>
      <w:r w:rsidR="00F278CF" w:rsidRPr="003C5479">
        <w:rPr>
          <w:rStyle w:val="FontStyle33"/>
          <w:kern w:val="2"/>
        </w:rPr>
        <w:t xml:space="preserve">η φυλάσσεται </w:t>
      </w:r>
      <w:r w:rsidR="000862B8" w:rsidRPr="003C5479">
        <w:rPr>
          <w:rStyle w:val="FontStyle33"/>
          <w:kern w:val="2"/>
        </w:rPr>
        <w:t xml:space="preserve">σε θερμοκρασία </w:t>
      </w:r>
      <w:r w:rsidR="00F278CF" w:rsidRPr="003C5479">
        <w:rPr>
          <w:rStyle w:val="FontStyle33"/>
          <w:kern w:val="2"/>
        </w:rPr>
        <w:t>πάνω από 30°</w:t>
      </w:r>
      <w:r w:rsidR="00F278CF" w:rsidRPr="003C5479">
        <w:rPr>
          <w:rStyle w:val="FontStyle33"/>
          <w:kern w:val="2"/>
          <w:lang w:val="en-US"/>
        </w:rPr>
        <w:t>C</w:t>
      </w:r>
      <w:r w:rsidR="00F278CF" w:rsidRPr="003C5479">
        <w:rPr>
          <w:rStyle w:val="FontStyle33"/>
          <w:kern w:val="2"/>
        </w:rPr>
        <w:t>.</w:t>
      </w:r>
    </w:p>
    <w:p w:rsidR="003A0A96" w:rsidRPr="003C5479" w:rsidRDefault="003A0A96" w:rsidP="003A0A96">
      <w:pPr>
        <w:pStyle w:val="Style4"/>
        <w:widowControl/>
        <w:tabs>
          <w:tab w:val="left" w:pos="528"/>
        </w:tabs>
        <w:ind w:right="2419"/>
        <w:contextualSpacing/>
        <w:rPr>
          <w:rStyle w:val="FontStyle32"/>
          <w:kern w:val="2"/>
        </w:rPr>
      </w:pPr>
    </w:p>
    <w:p w:rsidR="00F278CF" w:rsidRPr="003C5479" w:rsidRDefault="00F278CF" w:rsidP="003E79D1">
      <w:pPr>
        <w:pStyle w:val="Style4"/>
        <w:widowControl/>
        <w:numPr>
          <w:ilvl w:val="0"/>
          <w:numId w:val="9"/>
        </w:numPr>
        <w:tabs>
          <w:tab w:val="left" w:pos="528"/>
        </w:tabs>
        <w:contextualSpacing/>
        <w:rPr>
          <w:rStyle w:val="FontStyle32"/>
          <w:kern w:val="2"/>
          <w:lang w:val="en-US" w:eastAsia="en-US"/>
        </w:rPr>
      </w:pPr>
      <w:r w:rsidRPr="003C5479">
        <w:rPr>
          <w:rStyle w:val="FontStyle32"/>
          <w:kern w:val="2"/>
        </w:rPr>
        <w:t>Φύση και συστατικά του περιέκτη</w:t>
      </w:r>
    </w:p>
    <w:p w:rsidR="003A0A96" w:rsidRPr="003C5479" w:rsidRDefault="006B70D4" w:rsidP="003A0A96">
      <w:pPr>
        <w:pStyle w:val="Style7"/>
        <w:widowControl/>
        <w:spacing w:line="240" w:lineRule="auto"/>
        <w:contextualSpacing/>
        <w:rPr>
          <w:rStyle w:val="FontStyle33"/>
          <w:kern w:val="2"/>
        </w:rPr>
      </w:pPr>
      <w:r w:rsidRPr="003C5479">
        <w:rPr>
          <w:rStyle w:val="FontStyle33"/>
          <w:kern w:val="2"/>
        </w:rPr>
        <w:t>Φακελίσκοι Χαρτιού/Α</w:t>
      </w:r>
      <w:r w:rsidRPr="003C5479">
        <w:rPr>
          <w:rStyle w:val="FontStyle33"/>
          <w:kern w:val="2"/>
          <w:lang w:val="en-US"/>
        </w:rPr>
        <w:t>l/PE</w:t>
      </w:r>
      <w:r w:rsidRPr="003C5479">
        <w:rPr>
          <w:rStyle w:val="FontStyle33"/>
          <w:kern w:val="2"/>
        </w:rPr>
        <w:t>.</w:t>
      </w:r>
    </w:p>
    <w:p w:rsidR="006B70D4" w:rsidRPr="003C5479" w:rsidRDefault="006B70D4" w:rsidP="003A0A96">
      <w:pPr>
        <w:pStyle w:val="Style7"/>
        <w:widowControl/>
        <w:spacing w:line="240" w:lineRule="auto"/>
        <w:contextualSpacing/>
        <w:rPr>
          <w:rStyle w:val="FontStyle33"/>
          <w:kern w:val="2"/>
        </w:rPr>
      </w:pPr>
      <w:proofErr w:type="gramStart"/>
      <w:r w:rsidRPr="003C5479">
        <w:rPr>
          <w:rStyle w:val="FontStyle33"/>
          <w:kern w:val="2"/>
          <w:lang w:val="en-US"/>
        </w:rPr>
        <w:t>8,</w:t>
      </w:r>
      <w:r w:rsidRPr="003C5479">
        <w:rPr>
          <w:rStyle w:val="FontStyle33"/>
          <w:kern w:val="2"/>
        </w:rPr>
        <w:t xml:space="preserve"> </w:t>
      </w:r>
      <w:r w:rsidRPr="003C5479">
        <w:rPr>
          <w:rStyle w:val="FontStyle33"/>
          <w:kern w:val="2"/>
          <w:lang w:val="en-US"/>
        </w:rPr>
        <w:t xml:space="preserve">10 </w:t>
      </w:r>
      <w:r w:rsidRPr="003C5479">
        <w:rPr>
          <w:rStyle w:val="FontStyle33"/>
          <w:kern w:val="2"/>
        </w:rPr>
        <w:t>και 15 φακελίσκοι.</w:t>
      </w:r>
      <w:proofErr w:type="gramEnd"/>
    </w:p>
    <w:p w:rsidR="00F278CF" w:rsidRPr="003C5479" w:rsidRDefault="00172C89" w:rsidP="003A0A96">
      <w:pPr>
        <w:pStyle w:val="Style7"/>
        <w:widowControl/>
        <w:spacing w:line="240" w:lineRule="auto"/>
        <w:contextualSpacing/>
        <w:jc w:val="left"/>
        <w:rPr>
          <w:rStyle w:val="FontStyle33"/>
          <w:kern w:val="2"/>
        </w:rPr>
      </w:pPr>
      <w:r w:rsidRPr="003C5479">
        <w:rPr>
          <w:rStyle w:val="FontStyle33"/>
          <w:kern w:val="2"/>
        </w:rPr>
        <w:t>Μπορεί να μην κυκλοφορούν όλες οι συσκευασίες.</w:t>
      </w:r>
    </w:p>
    <w:p w:rsidR="00172C89" w:rsidRPr="003C5479" w:rsidRDefault="00172C89" w:rsidP="003A0A96">
      <w:pPr>
        <w:pStyle w:val="Style7"/>
        <w:widowControl/>
        <w:spacing w:line="240" w:lineRule="auto"/>
        <w:contextualSpacing/>
        <w:jc w:val="left"/>
        <w:rPr>
          <w:rStyle w:val="FontStyle33"/>
          <w:kern w:val="2"/>
        </w:rPr>
      </w:pPr>
    </w:p>
    <w:p w:rsidR="00F278CF" w:rsidRPr="003C5479" w:rsidRDefault="00F278CF" w:rsidP="003E79D1">
      <w:pPr>
        <w:pStyle w:val="Style4"/>
        <w:widowControl/>
        <w:numPr>
          <w:ilvl w:val="0"/>
          <w:numId w:val="10"/>
        </w:numPr>
        <w:tabs>
          <w:tab w:val="left" w:pos="528"/>
        </w:tabs>
        <w:contextualSpacing/>
        <w:rPr>
          <w:rStyle w:val="FontStyle32"/>
          <w:kern w:val="2"/>
        </w:rPr>
      </w:pPr>
      <w:r w:rsidRPr="003C5479">
        <w:rPr>
          <w:rStyle w:val="FontStyle32"/>
          <w:kern w:val="2"/>
        </w:rPr>
        <w:t>Ιδιαίτερες προφυλάξεις απόρριψης</w:t>
      </w:r>
    </w:p>
    <w:p w:rsidR="006B70D4" w:rsidRPr="003C5479" w:rsidRDefault="006B70D4" w:rsidP="003E79D1">
      <w:pPr>
        <w:pStyle w:val="Style1"/>
        <w:widowControl/>
        <w:spacing w:line="240" w:lineRule="auto"/>
        <w:contextualSpacing/>
        <w:jc w:val="both"/>
        <w:rPr>
          <w:rStyle w:val="FontStyle33"/>
          <w:kern w:val="2"/>
        </w:rPr>
      </w:pPr>
      <w:r w:rsidRPr="003C5479">
        <w:rPr>
          <w:rStyle w:val="FontStyle33"/>
          <w:kern w:val="2"/>
        </w:rPr>
        <w:t>Το ανασυσταθέν διάλυμα σε νερό είναι λευκό έως ελαφρώς κίτρινο ιριδίζον διάλυμα.</w:t>
      </w:r>
    </w:p>
    <w:p w:rsidR="00F278CF" w:rsidRPr="003C5479" w:rsidRDefault="00172C89" w:rsidP="003E79D1">
      <w:pPr>
        <w:pStyle w:val="Style1"/>
        <w:widowControl/>
        <w:spacing w:line="240" w:lineRule="auto"/>
        <w:contextualSpacing/>
        <w:jc w:val="both"/>
        <w:rPr>
          <w:kern w:val="2"/>
          <w:sz w:val="20"/>
          <w:szCs w:val="20"/>
        </w:rPr>
      </w:pPr>
      <w:r w:rsidRPr="003C5479">
        <w:rPr>
          <w:rStyle w:val="FontStyle33"/>
          <w:kern w:val="2"/>
        </w:rPr>
        <w:t>Δεν υπάρχουν ειδικές απαιτήσεις.</w:t>
      </w:r>
    </w:p>
    <w:p w:rsidR="00F278CF" w:rsidRPr="003C5479" w:rsidRDefault="006B70D4" w:rsidP="003E79D1">
      <w:pPr>
        <w:pStyle w:val="Style1"/>
        <w:widowControl/>
        <w:spacing w:line="240" w:lineRule="auto"/>
        <w:contextualSpacing/>
        <w:jc w:val="both"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>Κάθε αχρησιμοποίητο φαρμακευτικό προϊόν ή υπόλειμμα πρέπει να απορρ</w:t>
      </w:r>
      <w:r w:rsidR="00CF5C2D" w:rsidRPr="003C5479">
        <w:rPr>
          <w:kern w:val="2"/>
          <w:sz w:val="20"/>
          <w:szCs w:val="20"/>
        </w:rPr>
        <w:t>ίπτεται</w:t>
      </w:r>
      <w:r w:rsidRPr="003C5479">
        <w:rPr>
          <w:kern w:val="2"/>
          <w:sz w:val="20"/>
          <w:szCs w:val="20"/>
        </w:rPr>
        <w:t xml:space="preserve"> σύμφωνα με τις τοπικές ισχύουσες σχετικές διατάξεις.</w:t>
      </w:r>
    </w:p>
    <w:p w:rsidR="006B70D4" w:rsidRPr="003C5479" w:rsidRDefault="006B70D4" w:rsidP="003E79D1">
      <w:pPr>
        <w:pStyle w:val="Style1"/>
        <w:widowControl/>
        <w:spacing w:line="240" w:lineRule="auto"/>
        <w:contextualSpacing/>
        <w:jc w:val="both"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both"/>
        <w:rPr>
          <w:rStyle w:val="FontStyle32"/>
          <w:kern w:val="2"/>
        </w:rPr>
      </w:pPr>
      <w:r w:rsidRPr="003C5479">
        <w:rPr>
          <w:rStyle w:val="FontStyle32"/>
          <w:kern w:val="2"/>
        </w:rPr>
        <w:t>7.     KATOXOΣ AΔEIAΣ KYKΛOΦOPIAΣ</w:t>
      </w:r>
    </w:p>
    <w:p w:rsidR="00F278CF" w:rsidRPr="003C5479" w:rsidRDefault="00172C89" w:rsidP="00172C89">
      <w:pPr>
        <w:pStyle w:val="Style1"/>
        <w:widowControl/>
        <w:spacing w:line="240" w:lineRule="auto"/>
        <w:contextualSpacing/>
        <w:jc w:val="both"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>ΦΑΡΜΑΝΕΛ ΕΜΠΟΡΙΚΗ ΦΑΡΜΑΚΕΥΤΙΚΗ Α.Ε.</w:t>
      </w:r>
    </w:p>
    <w:p w:rsidR="00172C89" w:rsidRPr="003C5479" w:rsidRDefault="00172C89" w:rsidP="00172C89">
      <w:pPr>
        <w:pStyle w:val="Style1"/>
        <w:widowControl/>
        <w:spacing w:line="240" w:lineRule="auto"/>
        <w:contextualSpacing/>
        <w:jc w:val="both"/>
        <w:rPr>
          <w:kern w:val="2"/>
          <w:sz w:val="20"/>
          <w:szCs w:val="20"/>
        </w:rPr>
      </w:pPr>
      <w:r w:rsidRPr="003C5479">
        <w:rPr>
          <w:kern w:val="2"/>
          <w:sz w:val="20"/>
          <w:szCs w:val="20"/>
        </w:rPr>
        <w:t>Λεωφ. Μαραθώνος 106, 15344 Γερακάς, Αττική</w:t>
      </w: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both"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both"/>
        <w:rPr>
          <w:rStyle w:val="FontStyle32"/>
          <w:kern w:val="2"/>
        </w:rPr>
      </w:pPr>
      <w:r w:rsidRPr="003C5479">
        <w:rPr>
          <w:rStyle w:val="FontStyle32"/>
          <w:kern w:val="2"/>
        </w:rPr>
        <w:t>8.     ΑΡΙΘΜΟΙ ΑΔΕΙΑΣ ΚΥΚΛΟΦΟΡΙΑΣ</w:t>
      </w: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both"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both"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both"/>
        <w:rPr>
          <w:rStyle w:val="FontStyle32"/>
          <w:kern w:val="2"/>
        </w:rPr>
      </w:pPr>
      <w:r w:rsidRPr="003C5479">
        <w:rPr>
          <w:rStyle w:val="FontStyle32"/>
          <w:kern w:val="2"/>
        </w:rPr>
        <w:t xml:space="preserve">9.     </w:t>
      </w:r>
      <w:r w:rsidRPr="003C5479">
        <w:rPr>
          <w:rStyle w:val="FontStyle32"/>
          <w:kern w:val="2"/>
          <w:lang w:val="en-US"/>
        </w:rPr>
        <w:t>HMEPOMHNIA</w:t>
      </w:r>
      <w:r w:rsidRPr="003C5479">
        <w:rPr>
          <w:rStyle w:val="FontStyle32"/>
          <w:kern w:val="2"/>
        </w:rPr>
        <w:t xml:space="preserve"> ΠΡΩΤΗΣ ΕΓΚΡΙΣΗΣ / ΑΝΑΝΕΩΣΗΣ AΔEIAΣ</w:t>
      </w: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left"/>
        <w:rPr>
          <w:kern w:val="2"/>
          <w:sz w:val="20"/>
          <w:szCs w:val="20"/>
        </w:rPr>
      </w:pPr>
    </w:p>
    <w:p w:rsidR="00F278CF" w:rsidRPr="003C5479" w:rsidRDefault="00F278CF" w:rsidP="003E79D1">
      <w:pPr>
        <w:pStyle w:val="Style1"/>
        <w:widowControl/>
        <w:spacing w:line="240" w:lineRule="auto"/>
        <w:contextualSpacing/>
        <w:jc w:val="left"/>
        <w:rPr>
          <w:rStyle w:val="FontStyle32"/>
          <w:kern w:val="2"/>
        </w:rPr>
      </w:pPr>
      <w:r w:rsidRPr="003C5479">
        <w:rPr>
          <w:rStyle w:val="FontStyle32"/>
          <w:kern w:val="2"/>
        </w:rPr>
        <w:t xml:space="preserve">10.    </w:t>
      </w:r>
      <w:r w:rsidRPr="003C5479">
        <w:rPr>
          <w:rStyle w:val="FontStyle32"/>
          <w:kern w:val="2"/>
          <w:lang w:val="en-US"/>
        </w:rPr>
        <w:t>HMEPOMHNIA</w:t>
      </w:r>
      <w:r w:rsidRPr="003C5479">
        <w:rPr>
          <w:rStyle w:val="FontStyle32"/>
          <w:kern w:val="2"/>
        </w:rPr>
        <w:t xml:space="preserve"> ANAΘEΩPHΣHΣ </w:t>
      </w:r>
      <w:r w:rsidRPr="003C5479">
        <w:rPr>
          <w:rStyle w:val="FontStyle32"/>
          <w:kern w:val="2"/>
          <w:lang w:val="en-US"/>
        </w:rPr>
        <w:t>TOY</w:t>
      </w:r>
      <w:r w:rsidRPr="003C5479">
        <w:rPr>
          <w:rStyle w:val="FontStyle32"/>
          <w:kern w:val="2"/>
        </w:rPr>
        <w:t xml:space="preserve"> </w:t>
      </w:r>
      <w:r w:rsidRPr="003C5479">
        <w:rPr>
          <w:rStyle w:val="FontStyle32"/>
          <w:kern w:val="2"/>
          <w:lang w:val="en-US"/>
        </w:rPr>
        <w:t>KEIMENOY</w:t>
      </w:r>
    </w:p>
    <w:p w:rsidR="001342A8" w:rsidRPr="00244C0B" w:rsidRDefault="00244C0B" w:rsidP="003E79D1">
      <w:pPr>
        <w:contextualSpacing/>
        <w:rPr>
          <w:kern w:val="2"/>
          <w:sz w:val="20"/>
        </w:rPr>
      </w:pPr>
      <w:r w:rsidRPr="003C5479">
        <w:rPr>
          <w:kern w:val="2"/>
          <w:sz w:val="20"/>
        </w:rPr>
        <w:t>9-7-2015</w:t>
      </w:r>
    </w:p>
    <w:sectPr w:rsidR="001342A8" w:rsidRPr="00244C0B" w:rsidSect="007D75F7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57" w:rsidRDefault="00477457">
      <w:r>
        <w:separator/>
      </w:r>
    </w:p>
  </w:endnote>
  <w:endnote w:type="continuationSeparator" w:id="0">
    <w:p w:rsidR="00477457" w:rsidRDefault="0047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E" w:rsidRDefault="00434BB1">
    <w:pPr>
      <w:pStyle w:val="Style2"/>
      <w:widowControl/>
      <w:ind w:left="2765"/>
      <w:jc w:val="both"/>
      <w:rPr>
        <w:rStyle w:val="FontStyle34"/>
      </w:rPr>
    </w:pPr>
    <w:r>
      <w:rPr>
        <w:rStyle w:val="FontStyle34"/>
      </w:rPr>
      <w:fldChar w:fldCharType="begin"/>
    </w:r>
    <w:r w:rsidR="00401C5E">
      <w:rPr>
        <w:rStyle w:val="FontStyle34"/>
      </w:rPr>
      <w:instrText>PAGE</w:instrText>
    </w:r>
    <w:r>
      <w:rPr>
        <w:rStyle w:val="FontStyle34"/>
      </w:rPr>
      <w:fldChar w:fldCharType="separate"/>
    </w:r>
    <w:r w:rsidR="00401C5E">
      <w:rPr>
        <w:rStyle w:val="FontStyle34"/>
      </w:rPr>
      <w:t>1</w:t>
    </w:r>
    <w:r>
      <w:rPr>
        <w:rStyle w:val="FontStyle3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E" w:rsidRDefault="00434BB1">
    <w:pPr>
      <w:pStyle w:val="Style2"/>
      <w:widowControl/>
      <w:ind w:left="2765"/>
      <w:jc w:val="both"/>
      <w:rPr>
        <w:rStyle w:val="FontStyle34"/>
      </w:rPr>
    </w:pPr>
    <w:r>
      <w:rPr>
        <w:rStyle w:val="FontStyle34"/>
      </w:rPr>
      <w:fldChar w:fldCharType="begin"/>
    </w:r>
    <w:r w:rsidR="00401C5E">
      <w:rPr>
        <w:rStyle w:val="FontStyle34"/>
      </w:rPr>
      <w:instrText>PAGE</w:instrText>
    </w:r>
    <w:r>
      <w:rPr>
        <w:rStyle w:val="FontStyle34"/>
      </w:rPr>
      <w:fldChar w:fldCharType="separate"/>
    </w:r>
    <w:r w:rsidR="00F635C5">
      <w:rPr>
        <w:rStyle w:val="FontStyle34"/>
        <w:noProof/>
      </w:rPr>
      <w:t>1</w:t>
    </w:r>
    <w:r>
      <w:rPr>
        <w:rStyle w:val="FontStyle3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E" w:rsidRDefault="00434BB1">
    <w:pPr>
      <w:pStyle w:val="Style2"/>
      <w:widowControl/>
      <w:ind w:left="4248"/>
      <w:jc w:val="both"/>
      <w:rPr>
        <w:rStyle w:val="FontStyle34"/>
      </w:rPr>
    </w:pPr>
    <w:r>
      <w:rPr>
        <w:rStyle w:val="FontStyle34"/>
      </w:rPr>
      <w:fldChar w:fldCharType="begin"/>
    </w:r>
    <w:r w:rsidR="00401C5E">
      <w:rPr>
        <w:rStyle w:val="FontStyle34"/>
      </w:rPr>
      <w:instrText>PAGE</w:instrText>
    </w:r>
    <w:r>
      <w:rPr>
        <w:rStyle w:val="FontStyle34"/>
      </w:rPr>
      <w:fldChar w:fldCharType="separate"/>
    </w:r>
    <w:r w:rsidR="00401C5E">
      <w:rPr>
        <w:rStyle w:val="FontStyle34"/>
        <w:noProof/>
      </w:rPr>
      <w:t>2</w:t>
    </w:r>
    <w:r>
      <w:rPr>
        <w:rStyle w:val="FontStyle3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E" w:rsidRDefault="00434BB1">
    <w:pPr>
      <w:pStyle w:val="Style2"/>
      <w:widowControl/>
      <w:ind w:left="4248"/>
      <w:jc w:val="both"/>
      <w:rPr>
        <w:rStyle w:val="FontStyle34"/>
      </w:rPr>
    </w:pPr>
    <w:r>
      <w:rPr>
        <w:rStyle w:val="FontStyle34"/>
      </w:rPr>
      <w:fldChar w:fldCharType="begin"/>
    </w:r>
    <w:r w:rsidR="00401C5E">
      <w:rPr>
        <w:rStyle w:val="FontStyle34"/>
      </w:rPr>
      <w:instrText>PAGE</w:instrText>
    </w:r>
    <w:r>
      <w:rPr>
        <w:rStyle w:val="FontStyle34"/>
      </w:rPr>
      <w:fldChar w:fldCharType="separate"/>
    </w:r>
    <w:r w:rsidR="00F635C5">
      <w:rPr>
        <w:rStyle w:val="FontStyle34"/>
        <w:noProof/>
      </w:rPr>
      <w:t>7</w:t>
    </w:r>
    <w:r>
      <w:rPr>
        <w:rStyle w:val="FontStyle3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57" w:rsidRDefault="00477457">
      <w:r>
        <w:separator/>
      </w:r>
    </w:p>
  </w:footnote>
  <w:footnote w:type="continuationSeparator" w:id="0">
    <w:p w:rsidR="00477457" w:rsidRDefault="0047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E" w:rsidRDefault="00401C5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E" w:rsidRDefault="00401C5E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E" w:rsidRDefault="00401C5E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E" w:rsidRDefault="00401C5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162"/>
    <w:multiLevelType w:val="singleLevel"/>
    <w:tmpl w:val="9A9CFB16"/>
    <w:lvl w:ilvl="0">
      <w:start w:val="1"/>
      <w:numFmt w:val="decimal"/>
      <w:lvlText w:val="4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>
    <w:nsid w:val="039942A1"/>
    <w:multiLevelType w:val="singleLevel"/>
    <w:tmpl w:val="DBC25514"/>
    <w:lvl w:ilvl="0">
      <w:start w:val="2"/>
      <w:numFmt w:val="decimal"/>
      <w:lvlText w:val="4.%1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47A596F"/>
    <w:multiLevelType w:val="singleLevel"/>
    <w:tmpl w:val="5D60895E"/>
    <w:lvl w:ilvl="0">
      <w:start w:val="4"/>
      <w:numFmt w:val="decimal"/>
      <w:lvlText w:val="6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131A6EE9"/>
    <w:multiLevelType w:val="singleLevel"/>
    <w:tmpl w:val="671C2C4E"/>
    <w:lvl w:ilvl="0">
      <w:start w:val="3"/>
      <w:numFmt w:val="decimal"/>
      <w:lvlText w:val="6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28C13390"/>
    <w:multiLevelType w:val="singleLevel"/>
    <w:tmpl w:val="960E0F12"/>
    <w:lvl w:ilvl="0">
      <w:start w:val="6"/>
      <w:numFmt w:val="decimal"/>
      <w:lvlText w:val="6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5">
    <w:nsid w:val="36B03669"/>
    <w:multiLevelType w:val="singleLevel"/>
    <w:tmpl w:val="2DD815C0"/>
    <w:lvl w:ilvl="0">
      <w:start w:val="3"/>
      <w:numFmt w:val="decimal"/>
      <w:lvlText w:val="4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3F915F0F"/>
    <w:multiLevelType w:val="singleLevel"/>
    <w:tmpl w:val="1C6CD2DC"/>
    <w:lvl w:ilvl="0">
      <w:start w:val="7"/>
      <w:numFmt w:val="decimal"/>
      <w:lvlText w:val="4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46B97091"/>
    <w:multiLevelType w:val="singleLevel"/>
    <w:tmpl w:val="83780AF2"/>
    <w:lvl w:ilvl="0">
      <w:start w:val="2"/>
      <w:numFmt w:val="decimal"/>
      <w:lvlText w:val="6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56B05886"/>
    <w:multiLevelType w:val="singleLevel"/>
    <w:tmpl w:val="AC9660F8"/>
    <w:lvl w:ilvl="0">
      <w:start w:val="4"/>
      <w:numFmt w:val="decimal"/>
      <w:lvlText w:val="4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9">
    <w:nsid w:val="7E4314FD"/>
    <w:multiLevelType w:val="singleLevel"/>
    <w:tmpl w:val="AD98225C"/>
    <w:lvl w:ilvl="0">
      <w:start w:val="8"/>
      <w:numFmt w:val="decimal"/>
      <w:lvlText w:val="4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CF"/>
    <w:rsid w:val="00016FFB"/>
    <w:rsid w:val="00031B18"/>
    <w:rsid w:val="000457C9"/>
    <w:rsid w:val="00072E8C"/>
    <w:rsid w:val="00073FDA"/>
    <w:rsid w:val="00077270"/>
    <w:rsid w:val="0008134B"/>
    <w:rsid w:val="000862B8"/>
    <w:rsid w:val="000B29C6"/>
    <w:rsid w:val="000C447F"/>
    <w:rsid w:val="000C6DE6"/>
    <w:rsid w:val="000F0D91"/>
    <w:rsid w:val="000F7B41"/>
    <w:rsid w:val="00101D55"/>
    <w:rsid w:val="0010599A"/>
    <w:rsid w:val="0013266A"/>
    <w:rsid w:val="001334B6"/>
    <w:rsid w:val="00133511"/>
    <w:rsid w:val="001342A8"/>
    <w:rsid w:val="00137C79"/>
    <w:rsid w:val="00142AB0"/>
    <w:rsid w:val="0014363C"/>
    <w:rsid w:val="001450EE"/>
    <w:rsid w:val="00165452"/>
    <w:rsid w:val="00172C89"/>
    <w:rsid w:val="001753D7"/>
    <w:rsid w:val="0017724F"/>
    <w:rsid w:val="00187424"/>
    <w:rsid w:val="001931EF"/>
    <w:rsid w:val="001A4779"/>
    <w:rsid w:val="001B2028"/>
    <w:rsid w:val="001D0EC7"/>
    <w:rsid w:val="001E06BF"/>
    <w:rsid w:val="001E478F"/>
    <w:rsid w:val="002415B1"/>
    <w:rsid w:val="00244C0B"/>
    <w:rsid w:val="00246C13"/>
    <w:rsid w:val="002541AF"/>
    <w:rsid w:val="00267CB5"/>
    <w:rsid w:val="002A6C14"/>
    <w:rsid w:val="002B2CFC"/>
    <w:rsid w:val="002C629A"/>
    <w:rsid w:val="002C6FEF"/>
    <w:rsid w:val="002D4762"/>
    <w:rsid w:val="002F3E30"/>
    <w:rsid w:val="00340BBA"/>
    <w:rsid w:val="00346D79"/>
    <w:rsid w:val="00385877"/>
    <w:rsid w:val="003872AA"/>
    <w:rsid w:val="003A0A96"/>
    <w:rsid w:val="003A1868"/>
    <w:rsid w:val="003B78D5"/>
    <w:rsid w:val="003C5479"/>
    <w:rsid w:val="003C5E44"/>
    <w:rsid w:val="003E79D1"/>
    <w:rsid w:val="003F3DA1"/>
    <w:rsid w:val="00401C5E"/>
    <w:rsid w:val="00413BA1"/>
    <w:rsid w:val="00417314"/>
    <w:rsid w:val="00424E5A"/>
    <w:rsid w:val="00434BB1"/>
    <w:rsid w:val="004406B6"/>
    <w:rsid w:val="00440D92"/>
    <w:rsid w:val="00453D68"/>
    <w:rsid w:val="00477457"/>
    <w:rsid w:val="00477854"/>
    <w:rsid w:val="0048235C"/>
    <w:rsid w:val="004A1124"/>
    <w:rsid w:val="004B18A8"/>
    <w:rsid w:val="004B37B6"/>
    <w:rsid w:val="004D42CB"/>
    <w:rsid w:val="004F4C66"/>
    <w:rsid w:val="00507CCB"/>
    <w:rsid w:val="00532610"/>
    <w:rsid w:val="00592CF5"/>
    <w:rsid w:val="00597821"/>
    <w:rsid w:val="005B0831"/>
    <w:rsid w:val="005B17BF"/>
    <w:rsid w:val="005B7630"/>
    <w:rsid w:val="005C1453"/>
    <w:rsid w:val="005C424F"/>
    <w:rsid w:val="005D7CDC"/>
    <w:rsid w:val="00630BF8"/>
    <w:rsid w:val="00633192"/>
    <w:rsid w:val="006632FA"/>
    <w:rsid w:val="006A23DA"/>
    <w:rsid w:val="006B70D4"/>
    <w:rsid w:val="006C49B7"/>
    <w:rsid w:val="006D2A63"/>
    <w:rsid w:val="006F3881"/>
    <w:rsid w:val="00710BEB"/>
    <w:rsid w:val="0072659F"/>
    <w:rsid w:val="00730436"/>
    <w:rsid w:val="0073060E"/>
    <w:rsid w:val="00763142"/>
    <w:rsid w:val="00771A07"/>
    <w:rsid w:val="007812AF"/>
    <w:rsid w:val="00782ABB"/>
    <w:rsid w:val="007B72CA"/>
    <w:rsid w:val="007C11D8"/>
    <w:rsid w:val="007D75F7"/>
    <w:rsid w:val="007E0D39"/>
    <w:rsid w:val="007E1725"/>
    <w:rsid w:val="007E471A"/>
    <w:rsid w:val="00830C65"/>
    <w:rsid w:val="00846FFA"/>
    <w:rsid w:val="008555E2"/>
    <w:rsid w:val="00855CC6"/>
    <w:rsid w:val="008A0961"/>
    <w:rsid w:val="008B1628"/>
    <w:rsid w:val="008F27F7"/>
    <w:rsid w:val="008F64EE"/>
    <w:rsid w:val="00942640"/>
    <w:rsid w:val="00943F3A"/>
    <w:rsid w:val="00944E6B"/>
    <w:rsid w:val="009632CE"/>
    <w:rsid w:val="009A61E2"/>
    <w:rsid w:val="009A6399"/>
    <w:rsid w:val="009C4F9F"/>
    <w:rsid w:val="009D075D"/>
    <w:rsid w:val="00A06BD1"/>
    <w:rsid w:val="00A13B08"/>
    <w:rsid w:val="00A30601"/>
    <w:rsid w:val="00A53A0C"/>
    <w:rsid w:val="00A54A2A"/>
    <w:rsid w:val="00A62862"/>
    <w:rsid w:val="00A664DA"/>
    <w:rsid w:val="00A73690"/>
    <w:rsid w:val="00AA332B"/>
    <w:rsid w:val="00AA78CC"/>
    <w:rsid w:val="00AB4A43"/>
    <w:rsid w:val="00AD3FD6"/>
    <w:rsid w:val="00B12B0C"/>
    <w:rsid w:val="00B21207"/>
    <w:rsid w:val="00B2644D"/>
    <w:rsid w:val="00B3068A"/>
    <w:rsid w:val="00B409C6"/>
    <w:rsid w:val="00B64926"/>
    <w:rsid w:val="00B744DD"/>
    <w:rsid w:val="00BB1A37"/>
    <w:rsid w:val="00BB2BA6"/>
    <w:rsid w:val="00BB4271"/>
    <w:rsid w:val="00BC5BFF"/>
    <w:rsid w:val="00BF20D3"/>
    <w:rsid w:val="00C40546"/>
    <w:rsid w:val="00C43C64"/>
    <w:rsid w:val="00C4523D"/>
    <w:rsid w:val="00C63007"/>
    <w:rsid w:val="00C6534E"/>
    <w:rsid w:val="00C70661"/>
    <w:rsid w:val="00C86A0B"/>
    <w:rsid w:val="00CC2C55"/>
    <w:rsid w:val="00CC366B"/>
    <w:rsid w:val="00CC4C0A"/>
    <w:rsid w:val="00CF5C2D"/>
    <w:rsid w:val="00CF6153"/>
    <w:rsid w:val="00D01FD5"/>
    <w:rsid w:val="00D25E44"/>
    <w:rsid w:val="00D522B4"/>
    <w:rsid w:val="00D522CF"/>
    <w:rsid w:val="00D77056"/>
    <w:rsid w:val="00DD4959"/>
    <w:rsid w:val="00DE1E43"/>
    <w:rsid w:val="00DE389F"/>
    <w:rsid w:val="00E24B58"/>
    <w:rsid w:val="00E30419"/>
    <w:rsid w:val="00E3316F"/>
    <w:rsid w:val="00E34084"/>
    <w:rsid w:val="00E36DD7"/>
    <w:rsid w:val="00E75F26"/>
    <w:rsid w:val="00E92EAC"/>
    <w:rsid w:val="00EA1B23"/>
    <w:rsid w:val="00EB038A"/>
    <w:rsid w:val="00EB3DE3"/>
    <w:rsid w:val="00EB6FD2"/>
    <w:rsid w:val="00EF2BCC"/>
    <w:rsid w:val="00F01B62"/>
    <w:rsid w:val="00F062DE"/>
    <w:rsid w:val="00F20462"/>
    <w:rsid w:val="00F26384"/>
    <w:rsid w:val="00F278CF"/>
    <w:rsid w:val="00F35491"/>
    <w:rsid w:val="00F401F7"/>
    <w:rsid w:val="00F456E6"/>
    <w:rsid w:val="00F5132E"/>
    <w:rsid w:val="00F62847"/>
    <w:rsid w:val="00F635C5"/>
    <w:rsid w:val="00F731DC"/>
    <w:rsid w:val="00F733BC"/>
    <w:rsid w:val="00F807D0"/>
    <w:rsid w:val="00F94036"/>
    <w:rsid w:val="00FB2D33"/>
    <w:rsid w:val="00FC1DB3"/>
    <w:rsid w:val="00FC1EA7"/>
    <w:rsid w:val="00FC7C63"/>
    <w:rsid w:val="00FD12FC"/>
    <w:rsid w:val="00FE0CAB"/>
    <w:rsid w:val="00FF15F9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278CF"/>
    <w:pPr>
      <w:spacing w:line="475" w:lineRule="exact"/>
      <w:jc w:val="center"/>
    </w:pPr>
  </w:style>
  <w:style w:type="paragraph" w:customStyle="1" w:styleId="Style2">
    <w:name w:val="Style2"/>
    <w:basedOn w:val="a"/>
    <w:uiPriority w:val="99"/>
    <w:rsid w:val="00F278CF"/>
  </w:style>
  <w:style w:type="paragraph" w:customStyle="1" w:styleId="Style3">
    <w:name w:val="Style3"/>
    <w:basedOn w:val="a"/>
    <w:uiPriority w:val="99"/>
    <w:rsid w:val="00F278CF"/>
    <w:pPr>
      <w:spacing w:line="480" w:lineRule="exact"/>
    </w:pPr>
  </w:style>
  <w:style w:type="paragraph" w:customStyle="1" w:styleId="Style4">
    <w:name w:val="Style4"/>
    <w:basedOn w:val="a"/>
    <w:uiPriority w:val="99"/>
    <w:rsid w:val="00F278CF"/>
  </w:style>
  <w:style w:type="paragraph" w:customStyle="1" w:styleId="Style5">
    <w:name w:val="Style5"/>
    <w:basedOn w:val="a"/>
    <w:uiPriority w:val="99"/>
    <w:rsid w:val="00F278CF"/>
    <w:pPr>
      <w:spacing w:line="240" w:lineRule="exact"/>
      <w:jc w:val="both"/>
    </w:pPr>
  </w:style>
  <w:style w:type="paragraph" w:customStyle="1" w:styleId="Style6">
    <w:name w:val="Style6"/>
    <w:basedOn w:val="a"/>
    <w:uiPriority w:val="99"/>
    <w:rsid w:val="00F278CF"/>
    <w:pPr>
      <w:spacing w:line="238" w:lineRule="exact"/>
    </w:pPr>
  </w:style>
  <w:style w:type="paragraph" w:customStyle="1" w:styleId="Style7">
    <w:name w:val="Style7"/>
    <w:basedOn w:val="a"/>
    <w:uiPriority w:val="99"/>
    <w:rsid w:val="00F278CF"/>
    <w:pPr>
      <w:spacing w:line="475" w:lineRule="exact"/>
      <w:jc w:val="both"/>
    </w:pPr>
  </w:style>
  <w:style w:type="paragraph" w:customStyle="1" w:styleId="Style8">
    <w:name w:val="Style8"/>
    <w:basedOn w:val="a"/>
    <w:uiPriority w:val="99"/>
    <w:rsid w:val="00F278CF"/>
  </w:style>
  <w:style w:type="paragraph" w:customStyle="1" w:styleId="Style9">
    <w:name w:val="Style9"/>
    <w:basedOn w:val="a"/>
    <w:uiPriority w:val="99"/>
    <w:rsid w:val="00F278CF"/>
    <w:pPr>
      <w:spacing w:line="240" w:lineRule="exact"/>
      <w:jc w:val="both"/>
    </w:pPr>
  </w:style>
  <w:style w:type="paragraph" w:customStyle="1" w:styleId="Style11">
    <w:name w:val="Style11"/>
    <w:basedOn w:val="a"/>
    <w:uiPriority w:val="99"/>
    <w:rsid w:val="00F278CF"/>
    <w:pPr>
      <w:spacing w:line="240" w:lineRule="exact"/>
      <w:ind w:hanging="1598"/>
    </w:pPr>
  </w:style>
  <w:style w:type="character" w:customStyle="1" w:styleId="FontStyle27">
    <w:name w:val="Font Style27"/>
    <w:basedOn w:val="a0"/>
    <w:uiPriority w:val="99"/>
    <w:rsid w:val="00F278CF"/>
    <w:rPr>
      <w:rFonts w:ascii="Georgia" w:hAnsi="Georgia" w:cs="Georgia"/>
      <w:b/>
      <w:bCs/>
      <w:color w:val="000000"/>
      <w:sz w:val="28"/>
      <w:szCs w:val="28"/>
    </w:rPr>
  </w:style>
  <w:style w:type="character" w:customStyle="1" w:styleId="FontStyle29">
    <w:name w:val="Font Style29"/>
    <w:basedOn w:val="a0"/>
    <w:uiPriority w:val="99"/>
    <w:rsid w:val="00F278CF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30">
    <w:name w:val="Font Style30"/>
    <w:basedOn w:val="a0"/>
    <w:uiPriority w:val="99"/>
    <w:rsid w:val="00F278C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sid w:val="00F278C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rsid w:val="00F278C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F278C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sid w:val="00F278CF"/>
    <w:rPr>
      <w:rFonts w:ascii="Arial" w:hAnsi="Arial" w:cs="Arial"/>
      <w:color w:val="000000"/>
      <w:sz w:val="14"/>
      <w:szCs w:val="14"/>
    </w:rPr>
  </w:style>
  <w:style w:type="character" w:styleId="-">
    <w:name w:val="Hyperlink"/>
    <w:basedOn w:val="a0"/>
    <w:uiPriority w:val="99"/>
    <w:unhideWhenUsed/>
    <w:rsid w:val="009A61E2"/>
    <w:rPr>
      <w:color w:val="0000FF" w:themeColor="hyperlink"/>
      <w:u w:val="single"/>
    </w:rPr>
  </w:style>
  <w:style w:type="character" w:customStyle="1" w:styleId="hps">
    <w:name w:val="hps"/>
    <w:basedOn w:val="a0"/>
    <w:rsid w:val="00771A07"/>
  </w:style>
  <w:style w:type="character" w:customStyle="1" w:styleId="atn">
    <w:name w:val="atn"/>
    <w:basedOn w:val="a0"/>
    <w:rsid w:val="00771A07"/>
  </w:style>
  <w:style w:type="character" w:styleId="a3">
    <w:name w:val="annotation reference"/>
    <w:basedOn w:val="a0"/>
    <w:uiPriority w:val="99"/>
    <w:semiHidden/>
    <w:unhideWhenUsed/>
    <w:rsid w:val="0016545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65452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65452"/>
    <w:rPr>
      <w:rFonts w:ascii="Times New Roman" w:eastAsiaTheme="minorEastAsia" w:hAnsi="Times New Roman" w:cs="Times New Roman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6545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65452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6545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65452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278CF"/>
    <w:pPr>
      <w:spacing w:line="475" w:lineRule="exact"/>
      <w:jc w:val="center"/>
    </w:pPr>
  </w:style>
  <w:style w:type="paragraph" w:customStyle="1" w:styleId="Style2">
    <w:name w:val="Style2"/>
    <w:basedOn w:val="a"/>
    <w:uiPriority w:val="99"/>
    <w:rsid w:val="00F278CF"/>
  </w:style>
  <w:style w:type="paragraph" w:customStyle="1" w:styleId="Style3">
    <w:name w:val="Style3"/>
    <w:basedOn w:val="a"/>
    <w:uiPriority w:val="99"/>
    <w:rsid w:val="00F278CF"/>
    <w:pPr>
      <w:spacing w:line="480" w:lineRule="exact"/>
    </w:pPr>
  </w:style>
  <w:style w:type="paragraph" w:customStyle="1" w:styleId="Style4">
    <w:name w:val="Style4"/>
    <w:basedOn w:val="a"/>
    <w:uiPriority w:val="99"/>
    <w:rsid w:val="00F278CF"/>
  </w:style>
  <w:style w:type="paragraph" w:customStyle="1" w:styleId="Style5">
    <w:name w:val="Style5"/>
    <w:basedOn w:val="a"/>
    <w:uiPriority w:val="99"/>
    <w:rsid w:val="00F278CF"/>
    <w:pPr>
      <w:spacing w:line="240" w:lineRule="exact"/>
      <w:jc w:val="both"/>
    </w:pPr>
  </w:style>
  <w:style w:type="paragraph" w:customStyle="1" w:styleId="Style6">
    <w:name w:val="Style6"/>
    <w:basedOn w:val="a"/>
    <w:uiPriority w:val="99"/>
    <w:rsid w:val="00F278CF"/>
    <w:pPr>
      <w:spacing w:line="238" w:lineRule="exact"/>
    </w:pPr>
  </w:style>
  <w:style w:type="paragraph" w:customStyle="1" w:styleId="Style7">
    <w:name w:val="Style7"/>
    <w:basedOn w:val="a"/>
    <w:uiPriority w:val="99"/>
    <w:rsid w:val="00F278CF"/>
    <w:pPr>
      <w:spacing w:line="475" w:lineRule="exact"/>
      <w:jc w:val="both"/>
    </w:pPr>
  </w:style>
  <w:style w:type="paragraph" w:customStyle="1" w:styleId="Style8">
    <w:name w:val="Style8"/>
    <w:basedOn w:val="a"/>
    <w:uiPriority w:val="99"/>
    <w:rsid w:val="00F278CF"/>
  </w:style>
  <w:style w:type="paragraph" w:customStyle="1" w:styleId="Style9">
    <w:name w:val="Style9"/>
    <w:basedOn w:val="a"/>
    <w:uiPriority w:val="99"/>
    <w:rsid w:val="00F278CF"/>
    <w:pPr>
      <w:spacing w:line="240" w:lineRule="exact"/>
      <w:jc w:val="both"/>
    </w:pPr>
  </w:style>
  <w:style w:type="paragraph" w:customStyle="1" w:styleId="Style11">
    <w:name w:val="Style11"/>
    <w:basedOn w:val="a"/>
    <w:uiPriority w:val="99"/>
    <w:rsid w:val="00F278CF"/>
    <w:pPr>
      <w:spacing w:line="240" w:lineRule="exact"/>
      <w:ind w:hanging="1598"/>
    </w:pPr>
  </w:style>
  <w:style w:type="character" w:customStyle="1" w:styleId="FontStyle27">
    <w:name w:val="Font Style27"/>
    <w:basedOn w:val="a0"/>
    <w:uiPriority w:val="99"/>
    <w:rsid w:val="00F278CF"/>
    <w:rPr>
      <w:rFonts w:ascii="Georgia" w:hAnsi="Georgia" w:cs="Georgia"/>
      <w:b/>
      <w:bCs/>
      <w:color w:val="000000"/>
      <w:sz w:val="28"/>
      <w:szCs w:val="28"/>
    </w:rPr>
  </w:style>
  <w:style w:type="character" w:customStyle="1" w:styleId="FontStyle29">
    <w:name w:val="Font Style29"/>
    <w:basedOn w:val="a0"/>
    <w:uiPriority w:val="99"/>
    <w:rsid w:val="00F278CF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30">
    <w:name w:val="Font Style30"/>
    <w:basedOn w:val="a0"/>
    <w:uiPriority w:val="99"/>
    <w:rsid w:val="00F278C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1">
    <w:name w:val="Font Style31"/>
    <w:basedOn w:val="a0"/>
    <w:uiPriority w:val="99"/>
    <w:rsid w:val="00F278C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2">
    <w:name w:val="Font Style32"/>
    <w:basedOn w:val="a0"/>
    <w:uiPriority w:val="99"/>
    <w:rsid w:val="00F278C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F278C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4">
    <w:name w:val="Font Style34"/>
    <w:basedOn w:val="a0"/>
    <w:uiPriority w:val="99"/>
    <w:rsid w:val="00F278CF"/>
    <w:rPr>
      <w:rFonts w:ascii="Arial" w:hAnsi="Arial" w:cs="Arial"/>
      <w:color w:val="000000"/>
      <w:sz w:val="14"/>
      <w:szCs w:val="14"/>
    </w:rPr>
  </w:style>
  <w:style w:type="character" w:styleId="-">
    <w:name w:val="Hyperlink"/>
    <w:basedOn w:val="a0"/>
    <w:uiPriority w:val="99"/>
    <w:unhideWhenUsed/>
    <w:rsid w:val="009A61E2"/>
    <w:rPr>
      <w:color w:val="0000FF" w:themeColor="hyperlink"/>
      <w:u w:val="single"/>
    </w:rPr>
  </w:style>
  <w:style w:type="character" w:customStyle="1" w:styleId="hps">
    <w:name w:val="hps"/>
    <w:basedOn w:val="a0"/>
    <w:rsid w:val="00771A07"/>
  </w:style>
  <w:style w:type="character" w:customStyle="1" w:styleId="atn">
    <w:name w:val="atn"/>
    <w:basedOn w:val="a0"/>
    <w:rsid w:val="00771A07"/>
  </w:style>
  <w:style w:type="character" w:styleId="a3">
    <w:name w:val="annotation reference"/>
    <w:basedOn w:val="a0"/>
    <w:uiPriority w:val="99"/>
    <w:semiHidden/>
    <w:unhideWhenUsed/>
    <w:rsid w:val="00165452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165452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165452"/>
    <w:rPr>
      <w:rFonts w:ascii="Times New Roman" w:eastAsiaTheme="minorEastAsia" w:hAnsi="Times New Roman" w:cs="Times New Roman"/>
      <w:sz w:val="20"/>
      <w:szCs w:val="20"/>
      <w:lang w:eastAsia="el-GR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16545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165452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16545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65452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2491</Words>
  <Characters>13456</Characters>
  <Application>Microsoft Office Word</Application>
  <DocSecurity>0</DocSecurity>
  <Lines>112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Mpelekoukias Kyriakos</dc:creator>
  <cp:lastModifiedBy>user146</cp:lastModifiedBy>
  <cp:revision>2</cp:revision>
  <cp:lastPrinted>2016-07-28T07:39:00Z</cp:lastPrinted>
  <dcterms:created xsi:type="dcterms:W3CDTF">2016-07-28T07:39:00Z</dcterms:created>
  <dcterms:modified xsi:type="dcterms:W3CDTF">2016-07-28T07:39:00Z</dcterms:modified>
</cp:coreProperties>
</file>