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33" w:rsidRPr="00973533" w:rsidRDefault="00973533" w:rsidP="00973533">
      <w:pPr>
        <w:jc w:val="center"/>
        <w:rPr>
          <w:b/>
        </w:rPr>
      </w:pPr>
      <w:bookmarkStart w:id="0" w:name="_GoBack"/>
      <w:bookmarkEnd w:id="0"/>
    </w:p>
    <w:p w:rsidR="00973533" w:rsidRPr="00973533" w:rsidRDefault="00973533" w:rsidP="00973533">
      <w:pPr>
        <w:jc w:val="center"/>
        <w:rPr>
          <w:b/>
          <w:lang w:val="el-GR"/>
        </w:rPr>
      </w:pPr>
    </w:p>
    <w:p w:rsidR="00973533" w:rsidRPr="00973533" w:rsidRDefault="00973533" w:rsidP="00973533">
      <w:pPr>
        <w:jc w:val="center"/>
        <w:rPr>
          <w:b/>
        </w:rPr>
      </w:pPr>
    </w:p>
    <w:p w:rsidR="00973533" w:rsidRPr="00973533" w:rsidRDefault="00973533" w:rsidP="00973533">
      <w:pPr>
        <w:jc w:val="center"/>
        <w:rPr>
          <w:b/>
        </w:rPr>
      </w:pPr>
    </w:p>
    <w:p w:rsidR="00973533" w:rsidRPr="00973533" w:rsidRDefault="00973533" w:rsidP="00973533">
      <w:pPr>
        <w:jc w:val="center"/>
        <w:rPr>
          <w:b/>
        </w:rPr>
      </w:pPr>
    </w:p>
    <w:p w:rsidR="00973533" w:rsidRPr="00973533" w:rsidRDefault="00973533" w:rsidP="00973533">
      <w:pPr>
        <w:jc w:val="center"/>
        <w:rPr>
          <w:b/>
        </w:rPr>
      </w:pPr>
    </w:p>
    <w:p w:rsidR="00973533" w:rsidRPr="00973533" w:rsidRDefault="00973533" w:rsidP="00973533">
      <w:pPr>
        <w:jc w:val="center"/>
        <w:rPr>
          <w:b/>
        </w:rPr>
      </w:pPr>
    </w:p>
    <w:p w:rsidR="00973533" w:rsidRPr="00973533" w:rsidRDefault="00973533" w:rsidP="00973533">
      <w:pPr>
        <w:jc w:val="center"/>
        <w:rPr>
          <w:b/>
        </w:rPr>
      </w:pPr>
    </w:p>
    <w:p w:rsidR="00973533" w:rsidRPr="00973533" w:rsidRDefault="00973533" w:rsidP="00973533">
      <w:pPr>
        <w:jc w:val="center"/>
        <w:rPr>
          <w:b/>
        </w:rPr>
      </w:pPr>
    </w:p>
    <w:p w:rsidR="00973533" w:rsidRPr="00973533" w:rsidRDefault="00973533" w:rsidP="00973533">
      <w:pPr>
        <w:jc w:val="center"/>
        <w:rPr>
          <w:b/>
        </w:rPr>
      </w:pPr>
    </w:p>
    <w:p w:rsidR="00973533" w:rsidRPr="00973533" w:rsidRDefault="00973533" w:rsidP="00973533">
      <w:pPr>
        <w:jc w:val="center"/>
        <w:rPr>
          <w:b/>
        </w:rPr>
      </w:pPr>
    </w:p>
    <w:p w:rsidR="00973533" w:rsidRPr="00973533" w:rsidRDefault="00973533" w:rsidP="00973533">
      <w:pPr>
        <w:jc w:val="center"/>
        <w:rPr>
          <w:b/>
        </w:rPr>
      </w:pPr>
    </w:p>
    <w:p w:rsidR="00973533" w:rsidRPr="00973533" w:rsidRDefault="00973533" w:rsidP="00973533">
      <w:pPr>
        <w:jc w:val="center"/>
        <w:rPr>
          <w:b/>
          <w:lang w:val="el-GR"/>
        </w:rPr>
      </w:pPr>
      <w:r w:rsidRPr="00973533">
        <w:rPr>
          <w:b/>
          <w:lang w:val="el-GR"/>
        </w:rPr>
        <w:t>ΠΕΡΙΛΗΨΗ ΤΩΝ ΧΑΡΑΚΤΗΡΙΣΤΙΚΩΝ ΤΟΥ ΠΡΟΪΟΝΤΟΣ</w:t>
      </w:r>
    </w:p>
    <w:p w:rsidR="00973533" w:rsidRDefault="00973533">
      <w:pPr>
        <w:rPr>
          <w:lang w:val="el-GR"/>
        </w:rPr>
      </w:pPr>
      <w:r>
        <w:rPr>
          <w:lang w:val="el-GR"/>
        </w:rPr>
        <w:br w:type="page"/>
      </w:r>
    </w:p>
    <w:p w:rsidR="005707DA" w:rsidRPr="005707DA" w:rsidRDefault="005707DA" w:rsidP="005707DA">
      <w:pPr>
        <w:spacing w:line="240" w:lineRule="auto"/>
        <w:jc w:val="both"/>
        <w:rPr>
          <w:b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198755" cy="174625"/>
            <wp:effectExtent l="0" t="0" r="0" b="0"/>
            <wp:docPr id="1" name="Picture 1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T_1000x858p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7DA">
        <w:rPr>
          <w:szCs w:val="22"/>
          <w:lang w:val="el-GR"/>
        </w:rPr>
        <w:t xml:space="preserve"> Το φάρμακο αυτό τελεί υπό συμπληρωματική παρακολούθηση</w:t>
      </w:r>
      <w:r w:rsidRPr="005707DA">
        <w:rPr>
          <w:noProof/>
          <w:szCs w:val="22"/>
          <w:lang w:val="el-GR"/>
        </w:rPr>
        <w:t>.</w:t>
      </w:r>
      <w:r w:rsidRPr="005707DA">
        <w:rPr>
          <w:szCs w:val="22"/>
          <w:lang w:val="el-GR"/>
        </w:rPr>
        <w:t xml:space="preserve"> Αυτό θα επιτρέψει</w:t>
      </w:r>
      <w:r w:rsidRPr="005707DA">
        <w:rPr>
          <w:noProof/>
          <w:szCs w:val="22"/>
          <w:lang w:val="el-GR"/>
        </w:rPr>
        <w:t xml:space="preserve"> </w:t>
      </w:r>
      <w:r w:rsidRPr="005707DA">
        <w:rPr>
          <w:szCs w:val="22"/>
          <w:lang w:val="el-GR"/>
        </w:rPr>
        <w:t xml:space="preserve">τον </w:t>
      </w:r>
      <w:r w:rsidRPr="005707DA">
        <w:rPr>
          <w:rStyle w:val="a4"/>
          <w:sz w:val="22"/>
          <w:szCs w:val="22"/>
          <w:lang w:val="el-GR"/>
        </w:rPr>
        <w:t>γρήγορο</w:t>
      </w:r>
      <w:r w:rsidRPr="005707DA">
        <w:rPr>
          <w:rStyle w:val="a4"/>
          <w:szCs w:val="24"/>
          <w:lang w:val="el-GR"/>
        </w:rPr>
        <w:t xml:space="preserve"> </w:t>
      </w:r>
      <w:r w:rsidRPr="005707DA">
        <w:rPr>
          <w:szCs w:val="22"/>
          <w:lang w:val="el-GR"/>
        </w:rPr>
        <w:t>προσδιορισμό</w:t>
      </w:r>
      <w:r w:rsidRPr="005707DA">
        <w:rPr>
          <w:noProof/>
          <w:szCs w:val="22"/>
          <w:lang w:val="el-GR"/>
        </w:rPr>
        <w:t xml:space="preserve"> </w:t>
      </w:r>
      <w:r w:rsidRPr="005707DA">
        <w:rPr>
          <w:szCs w:val="22"/>
          <w:lang w:val="el-GR"/>
        </w:rPr>
        <w:t>νέων πληροφοριών ασφάλειας</w:t>
      </w:r>
      <w:r w:rsidRPr="005707DA">
        <w:rPr>
          <w:noProof/>
          <w:szCs w:val="22"/>
          <w:lang w:val="el-GR"/>
        </w:rPr>
        <w:t>.</w:t>
      </w:r>
      <w:r w:rsidRPr="005707DA">
        <w:rPr>
          <w:szCs w:val="22"/>
          <w:lang w:val="el-GR"/>
        </w:rPr>
        <w:t xml:space="preserve"> Ζητείται από τους επαγγελματίες υγείας να αναφέρουν</w:t>
      </w:r>
      <w:r w:rsidRPr="005707DA">
        <w:rPr>
          <w:noProof/>
          <w:szCs w:val="22"/>
          <w:lang w:val="el-GR"/>
        </w:rPr>
        <w:t xml:space="preserve"> </w:t>
      </w:r>
      <w:r w:rsidRPr="005707DA">
        <w:rPr>
          <w:szCs w:val="22"/>
          <w:lang w:val="el-GR"/>
        </w:rPr>
        <w:t>οποιεσδήποτε πιθανολογούμενες ανεπιθύμητες ενέργειες</w:t>
      </w:r>
      <w:r w:rsidRPr="005707DA">
        <w:rPr>
          <w:noProof/>
          <w:szCs w:val="22"/>
          <w:lang w:val="el-GR"/>
        </w:rPr>
        <w:t>.</w:t>
      </w:r>
      <w:r w:rsidRPr="005707DA">
        <w:rPr>
          <w:szCs w:val="22"/>
          <w:lang w:val="el-GR"/>
        </w:rPr>
        <w:t xml:space="preserve"> Βλ. παράγραφο</w:t>
      </w:r>
      <w:r w:rsidRPr="005707DA">
        <w:rPr>
          <w:noProof/>
          <w:szCs w:val="22"/>
          <w:lang w:val="el-GR"/>
        </w:rPr>
        <w:t xml:space="preserve"> 4.8 </w:t>
      </w:r>
      <w:r w:rsidRPr="005707DA">
        <w:rPr>
          <w:szCs w:val="22"/>
          <w:lang w:val="el-GR"/>
        </w:rPr>
        <w:t>για τον τρόπο αναφοράς ανεπιθύμητων ενεργειών</w:t>
      </w:r>
      <w:r>
        <w:rPr>
          <w:szCs w:val="22"/>
        </w:rPr>
        <w:t>.</w:t>
      </w:r>
    </w:p>
    <w:p w:rsidR="00901F87" w:rsidRPr="00973533" w:rsidRDefault="00901F87" w:rsidP="00973533">
      <w:pPr>
        <w:pStyle w:val="a3"/>
        <w:numPr>
          <w:ilvl w:val="0"/>
          <w:numId w:val="2"/>
        </w:numPr>
        <w:spacing w:line="240" w:lineRule="auto"/>
        <w:ind w:left="357" w:hanging="357"/>
        <w:jc w:val="both"/>
        <w:rPr>
          <w:b/>
          <w:lang w:val="el-GR"/>
        </w:rPr>
      </w:pPr>
      <w:r w:rsidRPr="00973533">
        <w:rPr>
          <w:b/>
          <w:lang w:val="el-GR"/>
        </w:rPr>
        <w:t>ΟΝΟΜΑΣΙΑ ΤΟΥ ΦΑΡΜΑΚΕΥΤΙΚΟΥ ΠΡΟΪΟΝΤΟΣ</w:t>
      </w:r>
    </w:p>
    <w:p w:rsidR="00901F87" w:rsidRPr="00901F87" w:rsidRDefault="00951922" w:rsidP="00B84472">
      <w:pPr>
        <w:spacing w:after="0" w:line="240" w:lineRule="auto"/>
        <w:jc w:val="both"/>
        <w:rPr>
          <w:lang w:val="el-GR"/>
        </w:rPr>
      </w:pPr>
      <w:r>
        <w:t>Bravigo</w:t>
      </w:r>
      <w:r w:rsidR="00901F87" w:rsidRPr="00901F87">
        <w:rPr>
          <w:lang w:val="el-GR"/>
        </w:rPr>
        <w:t xml:space="preserve"> 5 </w:t>
      </w:r>
      <w:r w:rsidR="00901F87">
        <w:t>mg</w:t>
      </w:r>
      <w:r w:rsidR="00901F87" w:rsidRPr="00901F87">
        <w:rPr>
          <w:lang w:val="el-GR"/>
        </w:rPr>
        <w:t xml:space="preserve"> επικαλυμμένα με λεπτό υμένιο δισκία</w:t>
      </w:r>
    </w:p>
    <w:p w:rsidR="00901F87" w:rsidRPr="00951922" w:rsidRDefault="00951922" w:rsidP="00973533">
      <w:pPr>
        <w:spacing w:line="240" w:lineRule="auto"/>
        <w:jc w:val="both"/>
        <w:rPr>
          <w:lang w:val="el-GR"/>
        </w:rPr>
      </w:pPr>
      <w:r w:rsidRPr="00B84472">
        <w:rPr>
          <w:highlight w:val="lightGray"/>
        </w:rPr>
        <w:t>Bravigo</w:t>
      </w:r>
      <w:r w:rsidR="00901F87" w:rsidRPr="00B84472">
        <w:rPr>
          <w:highlight w:val="lightGray"/>
          <w:lang w:val="el-GR"/>
        </w:rPr>
        <w:t xml:space="preserve"> 7,5 </w:t>
      </w:r>
      <w:r w:rsidR="00901F87" w:rsidRPr="00B84472">
        <w:rPr>
          <w:highlight w:val="lightGray"/>
        </w:rPr>
        <w:t>mg</w:t>
      </w:r>
      <w:r w:rsidR="00901F87" w:rsidRPr="00B84472">
        <w:rPr>
          <w:highlight w:val="lightGray"/>
          <w:lang w:val="el-GR"/>
        </w:rPr>
        <w:t xml:space="preserve"> επικαλυμμένα με λεπτό υμένιο δισκία</w:t>
      </w:r>
    </w:p>
    <w:p w:rsidR="00901F87" w:rsidRPr="00BA0173" w:rsidRDefault="00901F87" w:rsidP="00BA0173">
      <w:pPr>
        <w:pStyle w:val="a3"/>
        <w:numPr>
          <w:ilvl w:val="0"/>
          <w:numId w:val="2"/>
        </w:numPr>
        <w:spacing w:line="240" w:lineRule="auto"/>
        <w:ind w:left="357" w:hanging="357"/>
        <w:jc w:val="both"/>
        <w:rPr>
          <w:b/>
          <w:lang w:val="el-GR"/>
        </w:rPr>
      </w:pPr>
      <w:r w:rsidRPr="00BA0173">
        <w:rPr>
          <w:b/>
          <w:lang w:val="el-GR"/>
        </w:rPr>
        <w:t>ΠΟΙΟΤΙΚΗ ΚΑΙ ΠΟΣΟΤΙΚΗ ΣΥΝΘΕΣΗ</w:t>
      </w:r>
    </w:p>
    <w:p w:rsidR="00901F87" w:rsidRPr="00951922" w:rsidRDefault="00951922" w:rsidP="00951922">
      <w:pPr>
        <w:spacing w:after="0" w:line="240" w:lineRule="auto"/>
        <w:jc w:val="both"/>
        <w:rPr>
          <w:lang w:val="el-GR"/>
        </w:rPr>
      </w:pPr>
      <w:r>
        <w:t>Bravigo</w:t>
      </w:r>
      <w:r w:rsidR="00901F87" w:rsidRPr="00951922">
        <w:rPr>
          <w:lang w:val="el-GR"/>
        </w:rPr>
        <w:t xml:space="preserve"> 5 </w:t>
      </w:r>
      <w:r w:rsidR="00901F87">
        <w:t>mg</w:t>
      </w:r>
      <w:r w:rsidR="00901F87" w:rsidRPr="00951922">
        <w:rPr>
          <w:lang w:val="el-GR"/>
        </w:rPr>
        <w:t xml:space="preserve"> επικαλυμμένα με λεπτό υμένιο δισκία</w:t>
      </w:r>
    </w:p>
    <w:p w:rsidR="00901F87" w:rsidRPr="00FF402A" w:rsidRDefault="00901F87" w:rsidP="00FA3DF9">
      <w:pPr>
        <w:spacing w:line="240" w:lineRule="auto"/>
        <w:jc w:val="both"/>
        <w:rPr>
          <w:lang w:val="el-GR"/>
        </w:rPr>
      </w:pPr>
      <w:r w:rsidRPr="00FF402A">
        <w:rPr>
          <w:lang w:val="el-GR"/>
        </w:rPr>
        <w:t xml:space="preserve">Ένα επικαλυμμένο με λεπτό υμένιο δισκίο περιέχει 5 </w:t>
      </w:r>
      <w:r>
        <w:t>mg</w:t>
      </w:r>
      <w:r w:rsidRPr="00FF402A">
        <w:rPr>
          <w:lang w:val="el-GR"/>
        </w:rPr>
        <w:t xml:space="preserve"> </w:t>
      </w:r>
      <w:r w:rsidR="009312EB" w:rsidRPr="009312EB">
        <w:rPr>
          <w:lang w:val="el-GR"/>
        </w:rPr>
        <w:t>ιβαμπραδίνη</w:t>
      </w:r>
      <w:r w:rsidR="009312EB">
        <w:rPr>
          <w:lang w:val="el-GR"/>
        </w:rPr>
        <w:t xml:space="preserve"> (που ισοδυναμούν με 5,39</w:t>
      </w:r>
      <w:r w:rsidRPr="00FF402A">
        <w:rPr>
          <w:lang w:val="el-GR"/>
        </w:rPr>
        <w:t xml:space="preserve"> </w:t>
      </w:r>
      <w:r>
        <w:t>mg</w:t>
      </w:r>
      <w:r w:rsidR="00FF402A">
        <w:rPr>
          <w:lang w:val="el-GR"/>
        </w:rPr>
        <w:t xml:space="preserve"> </w:t>
      </w:r>
      <w:r w:rsidR="009312EB" w:rsidRPr="009312EB">
        <w:rPr>
          <w:lang w:val="el-GR"/>
        </w:rPr>
        <w:t>ιβαμπραδίνη</w:t>
      </w:r>
      <w:r w:rsidRPr="00FF402A">
        <w:rPr>
          <w:lang w:val="el-GR"/>
        </w:rPr>
        <w:t xml:space="preserve"> ως </w:t>
      </w:r>
      <w:r w:rsidR="009312EB">
        <w:rPr>
          <w:lang w:val="el-GR"/>
        </w:rPr>
        <w:t>υδροχλωρική</w:t>
      </w:r>
      <w:r w:rsidRPr="00FF402A">
        <w:rPr>
          <w:lang w:val="el-GR"/>
        </w:rPr>
        <w:t>).</w:t>
      </w:r>
    </w:p>
    <w:p w:rsidR="00901F87" w:rsidRPr="009312EB" w:rsidRDefault="00901F87" w:rsidP="00FA3DF9">
      <w:pPr>
        <w:spacing w:line="240" w:lineRule="auto"/>
        <w:jc w:val="both"/>
        <w:rPr>
          <w:lang w:val="el-GR"/>
        </w:rPr>
      </w:pPr>
      <w:r w:rsidRPr="009312EB">
        <w:rPr>
          <w:lang w:val="el-GR"/>
        </w:rPr>
        <w:t xml:space="preserve">Έκδοχο με γνωστές δράσεις: </w:t>
      </w:r>
      <w:r w:rsidR="009312EB" w:rsidRPr="009312EB">
        <w:rPr>
          <w:lang w:val="el-GR"/>
        </w:rPr>
        <w:t>50</w:t>
      </w:r>
      <w:r w:rsidRPr="009312EB">
        <w:rPr>
          <w:lang w:val="el-GR"/>
        </w:rPr>
        <w:t xml:space="preserve"> </w:t>
      </w:r>
      <w:r>
        <w:t>mg</w:t>
      </w:r>
      <w:r w:rsidRPr="009312EB">
        <w:rPr>
          <w:lang w:val="el-GR"/>
        </w:rPr>
        <w:t xml:space="preserve"> λακτόζη μονοϋδρική.</w:t>
      </w:r>
    </w:p>
    <w:p w:rsidR="00901F87" w:rsidRPr="00B84472" w:rsidRDefault="00951922" w:rsidP="00951922">
      <w:pPr>
        <w:spacing w:after="0" w:line="240" w:lineRule="auto"/>
        <w:jc w:val="both"/>
        <w:rPr>
          <w:highlight w:val="lightGray"/>
          <w:lang w:val="el-GR"/>
        </w:rPr>
      </w:pPr>
      <w:r w:rsidRPr="00B84472">
        <w:rPr>
          <w:highlight w:val="lightGray"/>
        </w:rPr>
        <w:t>Bravigo</w:t>
      </w:r>
      <w:r w:rsidR="00901F87" w:rsidRPr="00B84472">
        <w:rPr>
          <w:highlight w:val="lightGray"/>
          <w:lang w:val="el-GR"/>
        </w:rPr>
        <w:t xml:space="preserve"> 7,5 </w:t>
      </w:r>
      <w:r w:rsidR="00901F87" w:rsidRPr="00B84472">
        <w:rPr>
          <w:highlight w:val="lightGray"/>
        </w:rPr>
        <w:t>mg</w:t>
      </w:r>
      <w:r w:rsidR="00901F87" w:rsidRPr="00B84472">
        <w:rPr>
          <w:highlight w:val="lightGray"/>
          <w:lang w:val="el-GR"/>
        </w:rPr>
        <w:t xml:space="preserve"> επικαλυμμένα με λεπτό υμένιο δισκία</w:t>
      </w:r>
    </w:p>
    <w:p w:rsidR="00901F87" w:rsidRPr="00B84472" w:rsidRDefault="00901F87" w:rsidP="00FA3DF9">
      <w:pPr>
        <w:spacing w:line="240" w:lineRule="auto"/>
        <w:jc w:val="both"/>
        <w:rPr>
          <w:highlight w:val="lightGray"/>
          <w:lang w:val="el-GR"/>
        </w:rPr>
      </w:pPr>
      <w:r w:rsidRPr="00B84472">
        <w:rPr>
          <w:highlight w:val="lightGray"/>
          <w:lang w:val="el-GR"/>
        </w:rPr>
        <w:t xml:space="preserve">Ένα επικαλυμμένο με λεπτό υμένιο δισκίο περιέχει 7,5 </w:t>
      </w:r>
      <w:r w:rsidRPr="00B84472">
        <w:rPr>
          <w:highlight w:val="lightGray"/>
        </w:rPr>
        <w:t>mg</w:t>
      </w:r>
      <w:r w:rsidRPr="00B84472">
        <w:rPr>
          <w:highlight w:val="lightGray"/>
          <w:lang w:val="el-GR"/>
        </w:rPr>
        <w:t xml:space="preserve"> </w:t>
      </w:r>
      <w:r w:rsidR="009312EB" w:rsidRPr="00B84472">
        <w:rPr>
          <w:highlight w:val="lightGray"/>
          <w:lang w:val="el-GR"/>
        </w:rPr>
        <w:t>ιβαμπραδίνη</w:t>
      </w:r>
      <w:r w:rsidRPr="00B84472">
        <w:rPr>
          <w:highlight w:val="lightGray"/>
          <w:lang w:val="el-GR"/>
        </w:rPr>
        <w:t xml:space="preserve"> (που ισοδυναμούν με</w:t>
      </w:r>
      <w:r w:rsidR="00FF402A" w:rsidRPr="00B84472">
        <w:rPr>
          <w:highlight w:val="lightGray"/>
          <w:lang w:val="el-GR"/>
        </w:rPr>
        <w:t xml:space="preserve"> </w:t>
      </w:r>
      <w:r w:rsidRPr="00B84472">
        <w:rPr>
          <w:highlight w:val="lightGray"/>
          <w:lang w:val="el-GR"/>
        </w:rPr>
        <w:t xml:space="preserve">8,085 </w:t>
      </w:r>
      <w:r w:rsidRPr="00B84472">
        <w:rPr>
          <w:highlight w:val="lightGray"/>
        </w:rPr>
        <w:t>mg</w:t>
      </w:r>
      <w:r w:rsidRPr="00B84472">
        <w:rPr>
          <w:highlight w:val="lightGray"/>
          <w:lang w:val="el-GR"/>
        </w:rPr>
        <w:t xml:space="preserve"> </w:t>
      </w:r>
      <w:r w:rsidR="009312EB" w:rsidRPr="00B84472">
        <w:rPr>
          <w:highlight w:val="lightGray"/>
          <w:lang w:val="el-GR"/>
        </w:rPr>
        <w:t>ιβαμπραδίνη</w:t>
      </w:r>
      <w:r w:rsidRPr="00B84472">
        <w:rPr>
          <w:highlight w:val="lightGray"/>
          <w:lang w:val="el-GR"/>
        </w:rPr>
        <w:t xml:space="preserve"> ως </w:t>
      </w:r>
      <w:r w:rsidR="009312EB" w:rsidRPr="00B84472">
        <w:rPr>
          <w:highlight w:val="lightGray"/>
          <w:lang w:val="el-GR"/>
        </w:rPr>
        <w:t>υδροχλωρική</w:t>
      </w:r>
      <w:r w:rsidRPr="00B84472">
        <w:rPr>
          <w:highlight w:val="lightGray"/>
          <w:lang w:val="el-GR"/>
        </w:rPr>
        <w:t>).</w:t>
      </w:r>
    </w:p>
    <w:p w:rsidR="00901F87" w:rsidRPr="00D13AC3" w:rsidRDefault="00901F87" w:rsidP="00FA3DF9">
      <w:pPr>
        <w:spacing w:line="240" w:lineRule="auto"/>
        <w:jc w:val="both"/>
        <w:rPr>
          <w:lang w:val="el-GR"/>
        </w:rPr>
      </w:pPr>
      <w:r w:rsidRPr="00B84472">
        <w:rPr>
          <w:highlight w:val="lightGray"/>
          <w:lang w:val="el-GR"/>
        </w:rPr>
        <w:t xml:space="preserve">Έκδοχο με γνωστές δράσεις: </w:t>
      </w:r>
      <w:r w:rsidR="009312EB" w:rsidRPr="00B84472">
        <w:rPr>
          <w:highlight w:val="lightGray"/>
          <w:lang w:val="el-GR"/>
        </w:rPr>
        <w:t>75</w:t>
      </w:r>
      <w:r w:rsidRPr="00B84472">
        <w:rPr>
          <w:highlight w:val="lightGray"/>
          <w:lang w:val="el-GR"/>
        </w:rPr>
        <w:t xml:space="preserve"> </w:t>
      </w:r>
      <w:r w:rsidRPr="00B84472">
        <w:rPr>
          <w:highlight w:val="lightGray"/>
        </w:rPr>
        <w:t>mg</w:t>
      </w:r>
      <w:r w:rsidRPr="00B84472">
        <w:rPr>
          <w:highlight w:val="lightGray"/>
          <w:lang w:val="el-GR"/>
        </w:rPr>
        <w:t xml:space="preserve"> λακτόζη μονοϋδρική</w:t>
      </w:r>
    </w:p>
    <w:p w:rsidR="00901F87" w:rsidRPr="005707DA" w:rsidRDefault="00901F87" w:rsidP="00FA3DF9">
      <w:pPr>
        <w:spacing w:line="240" w:lineRule="auto"/>
        <w:jc w:val="both"/>
        <w:rPr>
          <w:lang w:val="el-GR"/>
        </w:rPr>
      </w:pPr>
      <w:r w:rsidRPr="005707DA">
        <w:rPr>
          <w:lang w:val="el-GR"/>
        </w:rPr>
        <w:t>Για τον πλήρη κατάλογο των εκδόχων, βλ. παράγραφο 6.1.</w:t>
      </w:r>
    </w:p>
    <w:p w:rsidR="00901F87" w:rsidRPr="00BA0173" w:rsidRDefault="00901F87" w:rsidP="00BA0173">
      <w:pPr>
        <w:pStyle w:val="a3"/>
        <w:numPr>
          <w:ilvl w:val="0"/>
          <w:numId w:val="2"/>
        </w:numPr>
        <w:spacing w:line="240" w:lineRule="auto"/>
        <w:ind w:left="357" w:hanging="357"/>
        <w:jc w:val="both"/>
        <w:rPr>
          <w:b/>
          <w:lang w:val="el-GR"/>
        </w:rPr>
      </w:pPr>
      <w:r w:rsidRPr="00BA0173">
        <w:rPr>
          <w:b/>
          <w:lang w:val="el-GR"/>
        </w:rPr>
        <w:t>ΦΑΡΜΑΚΟΤΕΧΝΙΚΗ ΜΟΡΦΗ</w:t>
      </w:r>
    </w:p>
    <w:p w:rsidR="00901F87" w:rsidRPr="005707DA" w:rsidRDefault="00901F87" w:rsidP="00FA3DF9">
      <w:pPr>
        <w:spacing w:line="240" w:lineRule="auto"/>
        <w:jc w:val="both"/>
        <w:rPr>
          <w:lang w:val="el-GR"/>
        </w:rPr>
      </w:pPr>
      <w:r w:rsidRPr="005707DA">
        <w:rPr>
          <w:lang w:val="el-GR"/>
        </w:rPr>
        <w:t>Επικαλυμμένο με λεπτό υμένιο δισκίο.</w:t>
      </w:r>
    </w:p>
    <w:p w:rsidR="00901F87" w:rsidRPr="00951922" w:rsidRDefault="00951922" w:rsidP="0080254C">
      <w:pPr>
        <w:spacing w:after="0" w:line="240" w:lineRule="auto"/>
        <w:jc w:val="both"/>
        <w:rPr>
          <w:lang w:val="el-GR"/>
        </w:rPr>
      </w:pPr>
      <w:r>
        <w:t>Bravigo</w:t>
      </w:r>
      <w:r w:rsidR="00901F87" w:rsidRPr="00951922">
        <w:rPr>
          <w:lang w:val="el-GR"/>
        </w:rPr>
        <w:t xml:space="preserve"> 5 </w:t>
      </w:r>
      <w:r w:rsidR="00901F87">
        <w:t>mg</w:t>
      </w:r>
      <w:r w:rsidR="00901F87" w:rsidRPr="00951922">
        <w:rPr>
          <w:lang w:val="el-GR"/>
        </w:rPr>
        <w:t xml:space="preserve"> επικαλυμμένα με λεπτό υμένιο δισκία</w:t>
      </w:r>
    </w:p>
    <w:p w:rsidR="00901F87" w:rsidRPr="00FF402A" w:rsidRDefault="00D13AC3" w:rsidP="00FA3DF9">
      <w:pPr>
        <w:spacing w:line="240" w:lineRule="auto"/>
        <w:jc w:val="both"/>
        <w:rPr>
          <w:lang w:val="el-GR"/>
        </w:rPr>
      </w:pPr>
      <w:r>
        <w:rPr>
          <w:lang w:val="el-GR"/>
        </w:rPr>
        <w:t>Λευκού</w:t>
      </w:r>
      <w:r w:rsidR="00901F87" w:rsidRPr="00FF402A">
        <w:rPr>
          <w:lang w:val="el-GR"/>
        </w:rPr>
        <w:t xml:space="preserve"> χρώματος, </w:t>
      </w:r>
      <w:r>
        <w:rPr>
          <w:lang w:val="el-GR"/>
        </w:rPr>
        <w:t>ωοειδούς σχήματος, αμφίκυρτα</w:t>
      </w:r>
      <w:r w:rsidR="00901F87" w:rsidRPr="00FF402A">
        <w:rPr>
          <w:lang w:val="el-GR"/>
        </w:rPr>
        <w:t>, επικαλυμμέν</w:t>
      </w:r>
      <w:r>
        <w:rPr>
          <w:lang w:val="el-GR"/>
        </w:rPr>
        <w:t>α</w:t>
      </w:r>
      <w:r w:rsidR="00901F87" w:rsidRPr="00FF402A">
        <w:rPr>
          <w:lang w:val="el-GR"/>
        </w:rPr>
        <w:t xml:space="preserve"> με λεπτό υμένιο δισκί</w:t>
      </w:r>
      <w:r>
        <w:rPr>
          <w:lang w:val="el-GR"/>
        </w:rPr>
        <w:t>α</w:t>
      </w:r>
      <w:r w:rsidR="00901F87" w:rsidRPr="00FF402A">
        <w:rPr>
          <w:lang w:val="el-GR"/>
        </w:rPr>
        <w:t xml:space="preserve"> </w:t>
      </w:r>
      <w:r>
        <w:rPr>
          <w:lang w:val="el-GR"/>
        </w:rPr>
        <w:t xml:space="preserve">με χαραγή και </w:t>
      </w:r>
      <w:r w:rsidR="00901F87" w:rsidRPr="00FF402A">
        <w:rPr>
          <w:lang w:val="el-GR"/>
        </w:rPr>
        <w:t>χαραγμέν</w:t>
      </w:r>
      <w:r>
        <w:rPr>
          <w:lang w:val="el-GR"/>
        </w:rPr>
        <w:t>α</w:t>
      </w:r>
      <w:r w:rsidR="00901F87" w:rsidRPr="00FF402A">
        <w:rPr>
          <w:lang w:val="el-GR"/>
        </w:rPr>
        <w:t xml:space="preserve"> με την ένδειξη «5» στη μία όψη και </w:t>
      </w:r>
      <w:r>
        <w:rPr>
          <w:lang w:val="el-GR"/>
        </w:rPr>
        <w:t xml:space="preserve">κενά </w:t>
      </w:r>
      <w:r w:rsidR="00901F87" w:rsidRPr="00FF402A">
        <w:rPr>
          <w:lang w:val="el-GR"/>
        </w:rPr>
        <w:t>στην άλλη όψη.</w:t>
      </w:r>
    </w:p>
    <w:p w:rsidR="00901F87" w:rsidRPr="00B84472" w:rsidRDefault="00951922" w:rsidP="0080254C">
      <w:pPr>
        <w:spacing w:after="0" w:line="240" w:lineRule="auto"/>
        <w:jc w:val="both"/>
        <w:rPr>
          <w:highlight w:val="lightGray"/>
          <w:lang w:val="el-GR"/>
        </w:rPr>
      </w:pPr>
      <w:r w:rsidRPr="00B84472">
        <w:rPr>
          <w:highlight w:val="lightGray"/>
        </w:rPr>
        <w:t>Bravigo</w:t>
      </w:r>
      <w:r w:rsidR="00901F87" w:rsidRPr="00B84472">
        <w:rPr>
          <w:highlight w:val="lightGray"/>
          <w:lang w:val="el-GR"/>
        </w:rPr>
        <w:t xml:space="preserve"> 7,5 </w:t>
      </w:r>
      <w:r w:rsidR="00901F87" w:rsidRPr="00B84472">
        <w:rPr>
          <w:highlight w:val="lightGray"/>
        </w:rPr>
        <w:t>mg</w:t>
      </w:r>
      <w:r w:rsidR="00901F87" w:rsidRPr="00B84472">
        <w:rPr>
          <w:highlight w:val="lightGray"/>
          <w:lang w:val="el-GR"/>
        </w:rPr>
        <w:t xml:space="preserve"> επικαλυμμένα με λεπτό υμένιο δισκία</w:t>
      </w:r>
    </w:p>
    <w:p w:rsidR="00901F87" w:rsidRPr="00FF402A" w:rsidRDefault="00D13AC3" w:rsidP="00FA3DF9">
      <w:pPr>
        <w:spacing w:line="240" w:lineRule="auto"/>
        <w:jc w:val="both"/>
        <w:rPr>
          <w:lang w:val="el-GR"/>
        </w:rPr>
      </w:pPr>
      <w:r w:rsidRPr="00B84472">
        <w:rPr>
          <w:highlight w:val="lightGray"/>
          <w:lang w:val="el-GR"/>
        </w:rPr>
        <w:t>Λευκού χρώματος, στρογγυλού σχήματος, αμφίκυρτα, επικαλυμμένα με λεπτό υμένιο δισκία χαραγμένα με την ένδειξη «7,5» στη μία όψη και κενά στην άλλη όψη.</w:t>
      </w:r>
    </w:p>
    <w:p w:rsidR="00901F87" w:rsidRPr="00BA0173" w:rsidRDefault="00901F87" w:rsidP="006B1892">
      <w:pPr>
        <w:pStyle w:val="a3"/>
        <w:numPr>
          <w:ilvl w:val="0"/>
          <w:numId w:val="2"/>
        </w:numPr>
        <w:spacing w:line="240" w:lineRule="auto"/>
        <w:ind w:left="357" w:hanging="357"/>
        <w:contextualSpacing w:val="0"/>
        <w:jc w:val="both"/>
        <w:rPr>
          <w:b/>
          <w:lang w:val="el-GR"/>
        </w:rPr>
      </w:pPr>
      <w:r w:rsidRPr="00BA0173">
        <w:rPr>
          <w:b/>
          <w:lang w:val="el-GR"/>
        </w:rPr>
        <w:t>ΚΛΙΝΙΚΕΣ ΠΛΗΡΟΦΟΡΙΕΣ</w:t>
      </w:r>
    </w:p>
    <w:p w:rsidR="00901F87" w:rsidRPr="006B1892" w:rsidRDefault="00901F87" w:rsidP="006B1892">
      <w:pPr>
        <w:pStyle w:val="a3"/>
        <w:numPr>
          <w:ilvl w:val="1"/>
          <w:numId w:val="2"/>
        </w:numPr>
        <w:spacing w:line="240" w:lineRule="auto"/>
        <w:ind w:left="357" w:hanging="357"/>
        <w:contextualSpacing w:val="0"/>
        <w:jc w:val="both"/>
        <w:rPr>
          <w:b/>
          <w:lang w:val="el-GR"/>
        </w:rPr>
      </w:pPr>
      <w:r w:rsidRPr="006B1892">
        <w:rPr>
          <w:b/>
          <w:lang w:val="el-GR"/>
        </w:rPr>
        <w:t>Θεραπευτικές ενδείξεις</w:t>
      </w:r>
    </w:p>
    <w:p w:rsidR="00901F87" w:rsidRPr="005707DA" w:rsidRDefault="00901F87" w:rsidP="00FF402A">
      <w:pPr>
        <w:spacing w:after="0" w:line="240" w:lineRule="auto"/>
        <w:jc w:val="both"/>
        <w:rPr>
          <w:lang w:val="el-GR"/>
        </w:rPr>
      </w:pPr>
      <w:r w:rsidRPr="005707DA">
        <w:rPr>
          <w:lang w:val="el-GR"/>
        </w:rPr>
        <w:t>Συμπτωματική αγωγή της χρόνιας σταθερής στηθάγχης.</w:t>
      </w:r>
    </w:p>
    <w:p w:rsidR="00901F87" w:rsidRPr="00FA3DF9" w:rsidRDefault="00901F87" w:rsidP="00FF402A">
      <w:pPr>
        <w:spacing w:after="0" w:line="240" w:lineRule="auto"/>
        <w:jc w:val="both"/>
      </w:pPr>
      <w:r w:rsidRPr="00FF402A">
        <w:rPr>
          <w:lang w:val="el-GR"/>
        </w:rPr>
        <w:t xml:space="preserve">Η </w:t>
      </w:r>
      <w:r w:rsidR="009312EB" w:rsidRPr="009312EB">
        <w:rPr>
          <w:lang w:val="el-GR"/>
        </w:rPr>
        <w:t>ιβαμπραδίνη</w:t>
      </w:r>
      <w:r w:rsidRPr="00FF402A">
        <w:rPr>
          <w:lang w:val="el-GR"/>
        </w:rPr>
        <w:t xml:space="preserve"> ενδείκνυται για τη συμπτωματική αγωγή της χρόνιας σταθερής στηθάγχης στη</w:t>
      </w:r>
      <w:r w:rsidR="00FF402A">
        <w:rPr>
          <w:lang w:val="el-GR"/>
        </w:rPr>
        <w:t xml:space="preserve"> </w:t>
      </w:r>
      <w:r w:rsidRPr="00FF402A">
        <w:rPr>
          <w:lang w:val="el-GR"/>
        </w:rPr>
        <w:t>στεφανιαία νόσο σε ενήλικες με φυσιολογικό φλεβοκομβικό ρυθμό και καρδιακή συχνότητα ≥ 70</w:t>
      </w:r>
      <w:r w:rsidR="00FF402A">
        <w:rPr>
          <w:lang w:val="el-GR"/>
        </w:rPr>
        <w:t xml:space="preserve"> </w:t>
      </w:r>
      <w:r>
        <w:t>bpm</w:t>
      </w:r>
      <w:r w:rsidRPr="00FF402A">
        <w:rPr>
          <w:lang w:val="el-GR"/>
        </w:rPr>
        <w:t xml:space="preserve">. </w:t>
      </w:r>
      <w:r w:rsidRPr="00FA3DF9">
        <w:t xml:space="preserve">Η </w:t>
      </w:r>
      <w:r w:rsidR="009312EB">
        <w:t>ιβαμπραδίνη</w:t>
      </w:r>
      <w:r w:rsidRPr="00FA3DF9">
        <w:t xml:space="preserve"> ενδείκνυται:</w:t>
      </w:r>
    </w:p>
    <w:p w:rsidR="00901F87" w:rsidRPr="00FF402A" w:rsidRDefault="00901F87" w:rsidP="00FF402A">
      <w:pPr>
        <w:pStyle w:val="a3"/>
        <w:numPr>
          <w:ilvl w:val="0"/>
          <w:numId w:val="3"/>
        </w:numPr>
        <w:spacing w:line="240" w:lineRule="auto"/>
        <w:ind w:left="357" w:hanging="357"/>
        <w:jc w:val="both"/>
        <w:rPr>
          <w:lang w:val="el-GR"/>
        </w:rPr>
      </w:pPr>
      <w:r w:rsidRPr="00FF402A">
        <w:rPr>
          <w:lang w:val="el-GR"/>
        </w:rPr>
        <w:t>σε ενήλικες οι οποίοι έχουν δυσανεξία ή αντένδειξη στη χρήση των β-αποκλειστών</w:t>
      </w:r>
    </w:p>
    <w:p w:rsidR="00901F87" w:rsidRPr="00FF402A" w:rsidRDefault="00901F87" w:rsidP="00FA3DF9">
      <w:pPr>
        <w:pStyle w:val="a3"/>
        <w:numPr>
          <w:ilvl w:val="0"/>
          <w:numId w:val="3"/>
        </w:numPr>
        <w:spacing w:line="240" w:lineRule="auto"/>
        <w:ind w:left="357" w:hanging="357"/>
        <w:jc w:val="both"/>
        <w:rPr>
          <w:lang w:val="el-GR"/>
        </w:rPr>
      </w:pPr>
      <w:r w:rsidRPr="00FF402A">
        <w:rPr>
          <w:lang w:val="el-GR"/>
        </w:rPr>
        <w:t>ή σε συνδυασμό με β-αποκλειστές σε ασθενείς που δεν ελέγχονται επαρκώς με τη βέλτιστη δόση β-αποκλειστή.</w:t>
      </w:r>
    </w:p>
    <w:p w:rsidR="00901F87" w:rsidRPr="00FF402A" w:rsidRDefault="00901F87" w:rsidP="00FF402A">
      <w:pPr>
        <w:spacing w:after="0" w:line="240" w:lineRule="auto"/>
        <w:jc w:val="both"/>
        <w:rPr>
          <w:lang w:val="el-GR"/>
        </w:rPr>
      </w:pPr>
      <w:r w:rsidRPr="00FF402A">
        <w:rPr>
          <w:lang w:val="el-GR"/>
        </w:rPr>
        <w:t>Θεραπευτική αγωγή της χρόνιας καρδιακής ανεπάρκειας</w:t>
      </w:r>
    </w:p>
    <w:p w:rsidR="00901F87" w:rsidRPr="00FF402A" w:rsidRDefault="00901F87" w:rsidP="00FA3DF9">
      <w:pPr>
        <w:spacing w:line="240" w:lineRule="auto"/>
        <w:jc w:val="both"/>
        <w:rPr>
          <w:lang w:val="el-GR"/>
        </w:rPr>
      </w:pPr>
      <w:r w:rsidRPr="00FF402A">
        <w:rPr>
          <w:lang w:val="el-GR"/>
        </w:rPr>
        <w:lastRenderedPageBreak/>
        <w:t xml:space="preserve">Η </w:t>
      </w:r>
      <w:r w:rsidR="009312EB" w:rsidRPr="009312EB">
        <w:rPr>
          <w:lang w:val="el-GR"/>
        </w:rPr>
        <w:t>ιβαμπραδίνη</w:t>
      </w:r>
      <w:r w:rsidRPr="00FF402A">
        <w:rPr>
          <w:lang w:val="el-GR"/>
        </w:rPr>
        <w:t xml:space="preserve"> ενδείκνυται στη χρόνια καρδιακή ανεπάρκεια κατηγορίας ΙΙ έως </w:t>
      </w:r>
      <w:r>
        <w:t>IV</w:t>
      </w:r>
      <w:r w:rsidRPr="00FF402A">
        <w:rPr>
          <w:lang w:val="el-GR"/>
        </w:rPr>
        <w:t xml:space="preserve"> κατά ΝΥΗΑ, με</w:t>
      </w:r>
      <w:r w:rsidR="00FF402A">
        <w:rPr>
          <w:lang w:val="el-GR"/>
        </w:rPr>
        <w:t xml:space="preserve"> </w:t>
      </w:r>
      <w:r w:rsidRPr="00FF402A">
        <w:rPr>
          <w:lang w:val="el-GR"/>
        </w:rPr>
        <w:t xml:space="preserve">συστολική δυσλειτουργία, σε ασθενείς με φλεβοκομβικό ρυθμό και καρδιακή συχνότητα ≥ 75 </w:t>
      </w:r>
      <w:r>
        <w:t>bpm</w:t>
      </w:r>
      <w:r w:rsidRPr="00FF402A">
        <w:rPr>
          <w:lang w:val="el-GR"/>
        </w:rPr>
        <w:t>,</w:t>
      </w:r>
      <w:r w:rsidR="00FF402A">
        <w:rPr>
          <w:lang w:val="el-GR"/>
        </w:rPr>
        <w:t xml:space="preserve"> </w:t>
      </w:r>
      <w:r w:rsidRPr="00FF402A">
        <w:rPr>
          <w:lang w:val="el-GR"/>
        </w:rPr>
        <w:t>σε συνδυασμό με τυπική αγωγή συμπεριλαμβανομένης της αγωγής με β-αποκλειστή ή όταν η αγωγή</w:t>
      </w:r>
      <w:r w:rsidR="00FF402A">
        <w:rPr>
          <w:lang w:val="el-GR"/>
        </w:rPr>
        <w:t xml:space="preserve"> </w:t>
      </w:r>
      <w:r w:rsidRPr="00FF402A">
        <w:rPr>
          <w:lang w:val="el-GR"/>
        </w:rPr>
        <w:t>με β-αποκλειστή αντενδείκνυται ή δεν γίνεται ανεκτή (βλ παράγραφο 5.1).</w:t>
      </w:r>
    </w:p>
    <w:p w:rsidR="00901F87" w:rsidRPr="006B1892" w:rsidRDefault="00901F87" w:rsidP="006B1892">
      <w:pPr>
        <w:pStyle w:val="a3"/>
        <w:numPr>
          <w:ilvl w:val="1"/>
          <w:numId w:val="2"/>
        </w:numPr>
        <w:spacing w:line="240" w:lineRule="auto"/>
        <w:ind w:left="357" w:hanging="357"/>
        <w:contextualSpacing w:val="0"/>
        <w:jc w:val="both"/>
        <w:rPr>
          <w:b/>
          <w:lang w:val="el-GR"/>
        </w:rPr>
      </w:pPr>
      <w:r w:rsidRPr="006B1892">
        <w:rPr>
          <w:b/>
          <w:lang w:val="el-GR"/>
        </w:rPr>
        <w:t>Δοσολογία και τρόπος χορήγησης</w:t>
      </w:r>
    </w:p>
    <w:p w:rsidR="00901F87" w:rsidRPr="0080254C" w:rsidRDefault="00901F87" w:rsidP="00FA3DF9">
      <w:pPr>
        <w:spacing w:line="240" w:lineRule="auto"/>
        <w:jc w:val="both"/>
        <w:rPr>
          <w:u w:val="single"/>
        </w:rPr>
      </w:pPr>
      <w:r w:rsidRPr="0080254C">
        <w:rPr>
          <w:u w:val="single"/>
        </w:rPr>
        <w:t>Δοσολογία</w:t>
      </w:r>
    </w:p>
    <w:p w:rsidR="00901F87" w:rsidRPr="000874B4" w:rsidRDefault="00901F87" w:rsidP="00FA3DF9">
      <w:pPr>
        <w:spacing w:line="240" w:lineRule="auto"/>
        <w:jc w:val="both"/>
        <w:rPr>
          <w:lang w:val="el-GR"/>
        </w:rPr>
      </w:pPr>
      <w:r w:rsidRPr="000874B4">
        <w:rPr>
          <w:lang w:val="el-GR"/>
        </w:rPr>
        <w:t>Για τις διαφορετικές δοσολογίες, διατίθενται επικαλυμμένα με λεπτό υμένιο δισκία που περιέχουν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 xml:space="preserve">5 </w:t>
      </w:r>
      <w:r>
        <w:t>mg</w:t>
      </w:r>
      <w:r w:rsidRPr="000874B4">
        <w:rPr>
          <w:lang w:val="el-GR"/>
        </w:rPr>
        <w:t xml:space="preserve"> και 7,5 </w:t>
      </w:r>
      <w:r>
        <w:t>mg</w:t>
      </w:r>
      <w:r w:rsidRPr="000874B4">
        <w:rPr>
          <w:lang w:val="el-GR"/>
        </w:rPr>
        <w:t xml:space="preserve">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0874B4">
        <w:rPr>
          <w:lang w:val="el-GR"/>
        </w:rPr>
        <w:t>.</w:t>
      </w:r>
    </w:p>
    <w:p w:rsidR="00901F87" w:rsidRPr="005707DA" w:rsidRDefault="00901F87" w:rsidP="0080254C">
      <w:pPr>
        <w:spacing w:after="0" w:line="240" w:lineRule="auto"/>
        <w:jc w:val="both"/>
        <w:rPr>
          <w:lang w:val="el-GR"/>
        </w:rPr>
      </w:pPr>
      <w:r w:rsidRPr="005707DA">
        <w:rPr>
          <w:lang w:val="el-GR"/>
        </w:rPr>
        <w:t>Συμπτωματική αγωγή της χρόνιας σταθερής στηθάγχης</w:t>
      </w:r>
    </w:p>
    <w:p w:rsidR="00901F87" w:rsidRPr="000874B4" w:rsidRDefault="00901F87" w:rsidP="00FA3DF9">
      <w:pPr>
        <w:spacing w:line="240" w:lineRule="auto"/>
        <w:jc w:val="both"/>
        <w:rPr>
          <w:lang w:val="el-GR"/>
        </w:rPr>
      </w:pPr>
      <w:r w:rsidRPr="000874B4">
        <w:rPr>
          <w:lang w:val="el-GR"/>
        </w:rPr>
        <w:t>Συνιστάται να λαμβάνεται η απόφαση για έναρξη ή τιτλοποίηση της αγωγής όταν υπάρχουν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διαδοχικές μετρήσεις της καρδιακής συχνότητας, ΗΚΓ ή περιπατητική 24ωρη παρακολούθηση.</w:t>
      </w:r>
    </w:p>
    <w:p w:rsidR="00901F87" w:rsidRPr="000874B4" w:rsidRDefault="00901F87" w:rsidP="00FA3DF9">
      <w:pPr>
        <w:spacing w:line="240" w:lineRule="auto"/>
        <w:jc w:val="both"/>
        <w:rPr>
          <w:lang w:val="el-GR"/>
        </w:rPr>
      </w:pPr>
      <w:r w:rsidRPr="000874B4">
        <w:rPr>
          <w:lang w:val="el-GR"/>
        </w:rPr>
        <w:t xml:space="preserve">Η δόση έναρξης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0874B4">
        <w:rPr>
          <w:lang w:val="el-GR"/>
        </w:rPr>
        <w:t xml:space="preserve"> δεν πρέπει να υπερβαίνει τα 5 </w:t>
      </w:r>
      <w:r>
        <w:t>mg</w:t>
      </w:r>
      <w:r w:rsidRPr="000874B4">
        <w:rPr>
          <w:lang w:val="el-GR"/>
        </w:rPr>
        <w:t xml:space="preserve"> δύο φορές την ημέρα σε ασθενείς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ηλικίας κάτω των 75 ετών. Μετά από τρεις έως τέσσερις εβδομάδες αγωγής, εάν ο ασθενής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εξακολουθεί να είναι συμπτωματικός, εάν η αρχική δόση γίνεται καλά ανεκτή και εάν η καρδιακή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 xml:space="preserve">συχνότητα ηρεμίας παραμένει πάνω από 60 </w:t>
      </w:r>
      <w:r>
        <w:t>bpm</w:t>
      </w:r>
      <w:r w:rsidRPr="000874B4">
        <w:rPr>
          <w:lang w:val="el-GR"/>
        </w:rPr>
        <w:t>, η δόση μπορεί να αυξηθεί στην επόμενη υψηλότερη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 xml:space="preserve">δόση, σε ασθενείς που λαμβάνουν 2,5 </w:t>
      </w:r>
      <w:r>
        <w:t>mg</w:t>
      </w:r>
      <w:r w:rsidRPr="000874B4">
        <w:rPr>
          <w:lang w:val="el-GR"/>
        </w:rPr>
        <w:t xml:space="preserve"> δύο φορές την ημέρα ή 5 </w:t>
      </w:r>
      <w:r>
        <w:t>mg</w:t>
      </w:r>
      <w:r w:rsidRPr="000874B4">
        <w:rPr>
          <w:lang w:val="el-GR"/>
        </w:rPr>
        <w:t xml:space="preserve"> δύο φορές την ημέρα. Η δόση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 xml:space="preserve">συντήρησης δεν πρέπει να υπερβαίνει τα 7,5 </w:t>
      </w:r>
      <w:r>
        <w:t>mg</w:t>
      </w:r>
      <w:r w:rsidRPr="000874B4">
        <w:rPr>
          <w:lang w:val="el-GR"/>
        </w:rPr>
        <w:t xml:space="preserve"> δύο φορές την ημέρα.</w:t>
      </w:r>
    </w:p>
    <w:p w:rsidR="00901F87" w:rsidRPr="000874B4" w:rsidRDefault="00901F87" w:rsidP="00FA3DF9">
      <w:pPr>
        <w:spacing w:line="240" w:lineRule="auto"/>
        <w:jc w:val="both"/>
        <w:rPr>
          <w:lang w:val="el-GR"/>
        </w:rPr>
      </w:pPr>
      <w:r w:rsidRPr="000874B4">
        <w:rPr>
          <w:lang w:val="el-GR"/>
        </w:rPr>
        <w:t>Εάν δεν σημειωθεί βελτίωση των στηθαγχικών συμπτωμάτων μέσα σε 3 μήνες από την έναρξη της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 xml:space="preserve">αγωγής, η αγωγή με </w:t>
      </w:r>
      <w:r w:rsidR="009312EB" w:rsidRPr="009312EB">
        <w:rPr>
          <w:lang w:val="el-GR"/>
        </w:rPr>
        <w:t>ιβαμπραδίνη</w:t>
      </w:r>
      <w:r w:rsidRPr="000874B4">
        <w:rPr>
          <w:lang w:val="el-GR"/>
        </w:rPr>
        <w:t xml:space="preserve"> πρέπει να διακόπτεται.</w:t>
      </w:r>
    </w:p>
    <w:p w:rsidR="00901F87" w:rsidRPr="000874B4" w:rsidRDefault="00901F87" w:rsidP="00FA3DF9">
      <w:pPr>
        <w:spacing w:line="240" w:lineRule="auto"/>
        <w:jc w:val="both"/>
        <w:rPr>
          <w:lang w:val="el-GR"/>
        </w:rPr>
      </w:pPr>
      <w:r w:rsidRPr="000874B4">
        <w:rPr>
          <w:lang w:val="el-GR"/>
        </w:rPr>
        <w:t>Επιπλέον, πρέπει να εξετάζεται η διακοπή της αγωγής, εάν η συμπτωματική ανταπόκριση είναι μόνο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περιορισμένη και όταν δεν σημειώνεται κλινικά σχετική μείωση της καρδιακής συχνότητας ηρεμίας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μέσα σε τρεις μήνες.</w:t>
      </w:r>
    </w:p>
    <w:p w:rsidR="00901F87" w:rsidRPr="000874B4" w:rsidRDefault="00901F87" w:rsidP="00FA3DF9">
      <w:pPr>
        <w:spacing w:line="240" w:lineRule="auto"/>
        <w:jc w:val="both"/>
        <w:rPr>
          <w:lang w:val="el-GR"/>
        </w:rPr>
      </w:pPr>
      <w:r w:rsidRPr="000874B4">
        <w:rPr>
          <w:lang w:val="el-GR"/>
        </w:rPr>
        <w:t>Εάν κατά τη διάρκεια της αγωγής μειωθεί η καρδιακή συχνότητα κάτω από 50 παλμούς ανά λεπτό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(</w:t>
      </w:r>
      <w:r>
        <w:t>bpm</w:t>
      </w:r>
      <w:r w:rsidRPr="000874B4">
        <w:rPr>
          <w:lang w:val="el-GR"/>
        </w:rPr>
        <w:t>) σε ηρεμία ή εάν ο ασθενής εκδηλώσει συμπτώματα που σχετίζονται με βραδυκαρδία, όπως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ζάλη, κόπωση ή υπόταση, η δόση πρέπει να τιτλοποιηθεί σε χαμηλότερα επίπεδα,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 xml:space="preserve">συμπεριλαμβανομένης και της ελάχιστης δόσης των 2,5 </w:t>
      </w:r>
      <w:r>
        <w:t>mg</w:t>
      </w:r>
      <w:r w:rsidRPr="000874B4">
        <w:rPr>
          <w:lang w:val="el-GR"/>
        </w:rPr>
        <w:t xml:space="preserve"> δύο φορές την ημέρα (μισό δισκίο των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 xml:space="preserve">5 </w:t>
      </w:r>
      <w:r>
        <w:t>mg</w:t>
      </w:r>
      <w:r w:rsidRPr="000874B4">
        <w:rPr>
          <w:lang w:val="el-GR"/>
        </w:rPr>
        <w:t xml:space="preserve"> δύο φορές την ημέρα). Μετά τη μείωση της δόσης, πρέπει να παρακολουθείται η καρδιακή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συχνότητα (βλ. παράγραφο 4.4). Η αγωγή πρέπει να διακόπτεται εάν η καρδιακή συχνότητα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 xml:space="preserve">παραμένει κάτω από 50 </w:t>
      </w:r>
      <w:r>
        <w:t>bpm</w:t>
      </w:r>
      <w:r w:rsidRPr="000874B4">
        <w:rPr>
          <w:lang w:val="el-GR"/>
        </w:rPr>
        <w:t xml:space="preserve"> ή εάν επιμένουν τα συμπτώματα της βραδυκαρδίας, παρά τη μείωση της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δόσης.</w:t>
      </w:r>
    </w:p>
    <w:p w:rsidR="00901F87" w:rsidRPr="005707DA" w:rsidRDefault="00901F87" w:rsidP="0080254C">
      <w:pPr>
        <w:spacing w:after="0" w:line="240" w:lineRule="auto"/>
        <w:jc w:val="both"/>
        <w:rPr>
          <w:lang w:val="el-GR"/>
        </w:rPr>
      </w:pPr>
      <w:r w:rsidRPr="005707DA">
        <w:rPr>
          <w:lang w:val="el-GR"/>
        </w:rPr>
        <w:t>Θεραπευτική αγωγή της χρόνιας καρδιακής ανεπάρκειας</w:t>
      </w:r>
    </w:p>
    <w:p w:rsidR="00901F87" w:rsidRPr="000874B4" w:rsidRDefault="00901F87" w:rsidP="00FA3DF9">
      <w:pPr>
        <w:spacing w:line="240" w:lineRule="auto"/>
        <w:jc w:val="both"/>
        <w:rPr>
          <w:lang w:val="el-GR"/>
        </w:rPr>
      </w:pPr>
      <w:r w:rsidRPr="005707DA">
        <w:rPr>
          <w:lang w:val="el-GR"/>
        </w:rPr>
        <w:t xml:space="preserve">Η αγωγή πρέπει να ξεκινάει μόνο σε ασθενή με σταθερή καρδιακή ανεπάρκεια. </w:t>
      </w:r>
      <w:r w:rsidRPr="000874B4">
        <w:rPr>
          <w:lang w:val="el-GR"/>
        </w:rPr>
        <w:t>Συνιστάται, ο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θεράπων ιατρός να είναι έμπειρος στην αντιμετώπιση της χρόνιας καρδιακής ανεπάρκειας.</w:t>
      </w:r>
    </w:p>
    <w:p w:rsidR="00901F87" w:rsidRPr="000874B4" w:rsidRDefault="00901F87" w:rsidP="00FA3DF9">
      <w:pPr>
        <w:spacing w:line="240" w:lineRule="auto"/>
        <w:jc w:val="both"/>
        <w:rPr>
          <w:lang w:val="el-GR"/>
        </w:rPr>
      </w:pPr>
      <w:r w:rsidRPr="009312EB">
        <w:rPr>
          <w:lang w:val="el-GR"/>
        </w:rPr>
        <w:t xml:space="preserve">Η συνήθης συνιστώμενη δόση έναρξης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9312EB">
        <w:rPr>
          <w:lang w:val="el-GR"/>
        </w:rPr>
        <w:t xml:space="preserve"> είναι 5 </w:t>
      </w:r>
      <w:r>
        <w:t>mg</w:t>
      </w:r>
      <w:r w:rsidRPr="009312EB">
        <w:rPr>
          <w:lang w:val="el-GR"/>
        </w:rPr>
        <w:t xml:space="preserve"> δύο φορές την ημέρα. </w:t>
      </w:r>
      <w:r w:rsidRPr="000874B4">
        <w:rPr>
          <w:lang w:val="el-GR"/>
        </w:rPr>
        <w:t>Μετά από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 xml:space="preserve">δύο εβδομάδες αγωγής, η δόση μπορεί να αυξηθεί στα 7,5 </w:t>
      </w:r>
      <w:r>
        <w:t>mg</w:t>
      </w:r>
      <w:r w:rsidRPr="000874B4">
        <w:rPr>
          <w:lang w:val="el-GR"/>
        </w:rPr>
        <w:t xml:space="preserve"> δύο φορές την ημέρα, εάν η καρδιακή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 xml:space="preserve">συχνότητα σε ηρεμία παραμένει σταθερά πάνω από 60 </w:t>
      </w:r>
      <w:r>
        <w:t>bpm</w:t>
      </w:r>
      <w:r w:rsidRPr="000874B4">
        <w:rPr>
          <w:lang w:val="el-GR"/>
        </w:rPr>
        <w:t xml:space="preserve"> ή να μειωθεί στα 2,5 </w:t>
      </w:r>
      <w:r>
        <w:t>mg</w:t>
      </w:r>
      <w:r w:rsidRPr="000874B4">
        <w:rPr>
          <w:lang w:val="el-GR"/>
        </w:rPr>
        <w:t xml:space="preserve"> δύο φορές την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 xml:space="preserve">ημέρα (μισό δισκίο των 5 </w:t>
      </w:r>
      <w:r>
        <w:t>mg</w:t>
      </w:r>
      <w:r w:rsidRPr="000874B4">
        <w:rPr>
          <w:lang w:val="el-GR"/>
        </w:rPr>
        <w:t xml:space="preserve"> δύο φορές την ημέρα), εάν η καρδιακή συχνότητα σε ηρεμία είναι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 xml:space="preserve">σταθερά κάτω από 50 </w:t>
      </w:r>
      <w:r>
        <w:t>bpm</w:t>
      </w:r>
      <w:r w:rsidRPr="000874B4">
        <w:rPr>
          <w:lang w:val="el-GR"/>
        </w:rPr>
        <w:t xml:space="preserve"> ή σε περίπτωση συμπτωμάτων που σχετίζονται με βραδυκαρδία, όπως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 xml:space="preserve">ζάλη, κόπωση ή υπόταση. Εάν η καρδιακή συχνότητα είναι μεταξύ 50 και </w:t>
      </w:r>
      <w:r w:rsidRPr="000874B4">
        <w:rPr>
          <w:lang w:val="el-GR"/>
        </w:rPr>
        <w:lastRenderedPageBreak/>
        <w:t xml:space="preserve">60 </w:t>
      </w:r>
      <w:r>
        <w:t>bpm</w:t>
      </w:r>
      <w:r w:rsidRPr="000874B4">
        <w:rPr>
          <w:lang w:val="el-GR"/>
        </w:rPr>
        <w:t>, πρέπει να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 xml:space="preserve">διατηρείται η δόση των 5 </w:t>
      </w:r>
      <w:r>
        <w:t>mg</w:t>
      </w:r>
      <w:r w:rsidRPr="000874B4">
        <w:rPr>
          <w:lang w:val="el-GR"/>
        </w:rPr>
        <w:t xml:space="preserve"> δύο φορές την ημέρα. Εάν κατά τη διάρκεια της αγωγής, η καρδιακή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συχνότητα μειώνεται σταθερά κάτω από 50 παλμούς το λεπτό (</w:t>
      </w:r>
      <w:r>
        <w:t>bpm</w:t>
      </w:r>
      <w:r w:rsidRPr="000874B4">
        <w:rPr>
          <w:lang w:val="el-GR"/>
        </w:rPr>
        <w:t>) σε ηρεμία ή εάν ο ασθενής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εκδηλώσει συμπτώματα που σχετίζονται με βραδυκαρδία, η δόση πρέπει να μειώνεται στην επόμενη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 xml:space="preserve">χαμηλότερη δόση στους ασθενείς που λαμβάνουν 7,5 </w:t>
      </w:r>
      <w:r>
        <w:t>mg</w:t>
      </w:r>
      <w:r w:rsidRPr="000874B4">
        <w:rPr>
          <w:lang w:val="el-GR"/>
        </w:rPr>
        <w:t xml:space="preserve"> δύο φορές την ημέρα ή 5 </w:t>
      </w:r>
      <w:r>
        <w:t>mg</w:t>
      </w:r>
      <w:r w:rsidRPr="000874B4">
        <w:rPr>
          <w:lang w:val="el-GR"/>
        </w:rPr>
        <w:t xml:space="preserve"> δύο φορές την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ημέρα. Εάν η καρδιακή συχνότητα αυξάνεται σταθερά πάνω από 60 παλμούς το λεπτό σε ηρεμία, η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 xml:space="preserve">δόση μπορεί να αυξάνεται στην επόμενη υψηλότερη δόση σε ασθενείς που λαμβάνουν 2,5 </w:t>
      </w:r>
      <w:r>
        <w:t>mg</w:t>
      </w:r>
      <w:r w:rsidRPr="000874B4">
        <w:rPr>
          <w:lang w:val="el-GR"/>
        </w:rPr>
        <w:t xml:space="preserve"> δύο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 xml:space="preserve">φορές την ημέρα ή 5 </w:t>
      </w:r>
      <w:r>
        <w:t>mg</w:t>
      </w:r>
      <w:r w:rsidRPr="000874B4">
        <w:rPr>
          <w:lang w:val="el-GR"/>
        </w:rPr>
        <w:t xml:space="preserve"> δύο φορές την ημέρα.</w:t>
      </w:r>
    </w:p>
    <w:p w:rsidR="00901F87" w:rsidRPr="000874B4" w:rsidRDefault="00901F87" w:rsidP="00FA3DF9">
      <w:pPr>
        <w:spacing w:line="240" w:lineRule="auto"/>
        <w:jc w:val="both"/>
        <w:rPr>
          <w:lang w:val="el-GR"/>
        </w:rPr>
      </w:pPr>
      <w:r w:rsidRPr="000874B4">
        <w:rPr>
          <w:lang w:val="el-GR"/>
        </w:rPr>
        <w:t xml:space="preserve">Η αγωγή πρέπει να διακόπτεται εάν η καρδιακή συχνότητα παραμένει κάτω από 50 </w:t>
      </w:r>
      <w:r>
        <w:t>bpm</w:t>
      </w:r>
      <w:r w:rsidRPr="000874B4">
        <w:rPr>
          <w:lang w:val="el-GR"/>
        </w:rPr>
        <w:t xml:space="preserve"> ή εάν τα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συμπτώματα της βραδυκαρδίας επιμένουν (βλ. παράγραφο 4.4).</w:t>
      </w:r>
    </w:p>
    <w:p w:rsidR="00901F87" w:rsidRPr="005707DA" w:rsidRDefault="00901F87" w:rsidP="00FA3DF9">
      <w:pPr>
        <w:spacing w:line="240" w:lineRule="auto"/>
        <w:jc w:val="both"/>
        <w:rPr>
          <w:u w:val="single"/>
          <w:lang w:val="el-GR"/>
        </w:rPr>
      </w:pPr>
      <w:r w:rsidRPr="005707DA">
        <w:rPr>
          <w:u w:val="single"/>
          <w:lang w:val="el-GR"/>
        </w:rPr>
        <w:t>Ειδικοί πληθυσμοί</w:t>
      </w:r>
    </w:p>
    <w:p w:rsidR="00901F87" w:rsidRPr="005707DA" w:rsidRDefault="00901F87" w:rsidP="0080254C">
      <w:pPr>
        <w:spacing w:after="0" w:line="240" w:lineRule="auto"/>
        <w:jc w:val="both"/>
        <w:rPr>
          <w:i/>
          <w:lang w:val="el-GR"/>
        </w:rPr>
      </w:pPr>
      <w:r w:rsidRPr="005707DA">
        <w:rPr>
          <w:i/>
          <w:lang w:val="el-GR"/>
        </w:rPr>
        <w:t>Ηλικιωμένοι</w:t>
      </w:r>
    </w:p>
    <w:p w:rsidR="00901F87" w:rsidRPr="000874B4" w:rsidRDefault="00901F87" w:rsidP="00FA3DF9">
      <w:pPr>
        <w:spacing w:line="240" w:lineRule="auto"/>
        <w:jc w:val="both"/>
        <w:rPr>
          <w:lang w:val="el-GR"/>
        </w:rPr>
      </w:pPr>
      <w:r w:rsidRPr="000874B4">
        <w:rPr>
          <w:lang w:val="el-GR"/>
        </w:rPr>
        <w:t xml:space="preserve">Σε ασθενείς ηλικίας 75 ετών και άνω, συνιστάται χαμηλότερη δόση έναρξης (2,5 </w:t>
      </w:r>
      <w:r>
        <w:t>mg</w:t>
      </w:r>
      <w:r w:rsidRPr="000874B4">
        <w:rPr>
          <w:lang w:val="el-GR"/>
        </w:rPr>
        <w:t xml:space="preserve"> δύο φορές την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 xml:space="preserve">ημέρα, δηλαδή μισό δισκίο των 5 </w:t>
      </w:r>
      <w:r>
        <w:t>mg</w:t>
      </w:r>
      <w:r w:rsidRPr="000874B4">
        <w:rPr>
          <w:lang w:val="el-GR"/>
        </w:rPr>
        <w:t xml:space="preserve"> δύο φορές την ημέρα) πριν την αύξηση της δόσης με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τιτλοποίηση, εάν χρειαστεί.</w:t>
      </w:r>
    </w:p>
    <w:p w:rsidR="00901F87" w:rsidRPr="005707DA" w:rsidRDefault="00901F87" w:rsidP="0080254C">
      <w:pPr>
        <w:spacing w:after="0" w:line="240" w:lineRule="auto"/>
        <w:jc w:val="both"/>
        <w:rPr>
          <w:i/>
          <w:lang w:val="el-GR"/>
        </w:rPr>
      </w:pPr>
      <w:r w:rsidRPr="005707DA">
        <w:rPr>
          <w:i/>
          <w:lang w:val="el-GR"/>
        </w:rPr>
        <w:t>Νεφρική ανεπάρκεια</w:t>
      </w:r>
    </w:p>
    <w:p w:rsidR="00901F87" w:rsidRPr="000874B4" w:rsidRDefault="00901F87" w:rsidP="00FA3DF9">
      <w:pPr>
        <w:spacing w:line="240" w:lineRule="auto"/>
        <w:jc w:val="both"/>
        <w:rPr>
          <w:lang w:val="el-GR"/>
        </w:rPr>
      </w:pPr>
      <w:r w:rsidRPr="000874B4">
        <w:rPr>
          <w:lang w:val="el-GR"/>
        </w:rPr>
        <w:t>Δεν απαιτείται προσαρμογή της δόσης σε ασθενείς με νεφρική ανεπάρκεια και κάθαρση κρεατινίνης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 xml:space="preserve">πάνω από 15 </w:t>
      </w:r>
      <w:r>
        <w:t>ml</w:t>
      </w:r>
      <w:r w:rsidRPr="000874B4">
        <w:rPr>
          <w:lang w:val="el-GR"/>
        </w:rPr>
        <w:t>/</w:t>
      </w:r>
      <w:r>
        <w:t>min</w:t>
      </w:r>
      <w:r w:rsidRPr="000874B4">
        <w:rPr>
          <w:lang w:val="el-GR"/>
        </w:rPr>
        <w:t xml:space="preserve"> (βλ. παράγραφο 5.2).</w:t>
      </w:r>
    </w:p>
    <w:p w:rsidR="00901F87" w:rsidRPr="000874B4" w:rsidRDefault="00901F87" w:rsidP="00FA3DF9">
      <w:pPr>
        <w:spacing w:line="240" w:lineRule="auto"/>
        <w:jc w:val="both"/>
        <w:rPr>
          <w:lang w:val="el-GR"/>
        </w:rPr>
      </w:pPr>
      <w:r w:rsidRPr="005707DA">
        <w:rPr>
          <w:lang w:val="el-GR"/>
        </w:rPr>
        <w:t xml:space="preserve">Δεν υπάρχουν στοιχεία για ασθενείς με κάθαρση κρεατινίνης χαμηλότερη από 15 </w:t>
      </w:r>
      <w:r>
        <w:t>ml</w:t>
      </w:r>
      <w:r w:rsidRPr="005707DA">
        <w:rPr>
          <w:lang w:val="el-GR"/>
        </w:rPr>
        <w:t>/</w:t>
      </w:r>
      <w:r>
        <w:t>min</w:t>
      </w:r>
      <w:r w:rsidRPr="005707DA">
        <w:rPr>
          <w:lang w:val="el-GR"/>
        </w:rPr>
        <w:t xml:space="preserve">. </w:t>
      </w:r>
      <w:r w:rsidRPr="000874B4">
        <w:rPr>
          <w:lang w:val="el-GR"/>
        </w:rPr>
        <w:t>Η</w:t>
      </w:r>
      <w:r w:rsidR="000874B4" w:rsidRPr="000874B4">
        <w:rPr>
          <w:lang w:val="el-GR"/>
        </w:rPr>
        <w:t xml:space="preserve"> </w:t>
      </w:r>
      <w:r w:rsidR="009312EB" w:rsidRPr="009312EB">
        <w:rPr>
          <w:lang w:val="el-GR"/>
        </w:rPr>
        <w:t>ιβαμπραδίνη</w:t>
      </w:r>
      <w:r w:rsidRPr="000874B4">
        <w:rPr>
          <w:lang w:val="el-GR"/>
        </w:rPr>
        <w:t xml:space="preserve"> πρέπει, επομένως, να χρησιμοποιείται προσεκτικά σε αυτόν τον πληθυσμό.</w:t>
      </w:r>
    </w:p>
    <w:p w:rsidR="00901F87" w:rsidRPr="00CF173D" w:rsidRDefault="00901F87" w:rsidP="0080254C">
      <w:pPr>
        <w:spacing w:after="0" w:line="240" w:lineRule="auto"/>
        <w:jc w:val="both"/>
        <w:rPr>
          <w:i/>
          <w:lang w:val="el-GR"/>
        </w:rPr>
      </w:pPr>
      <w:r w:rsidRPr="00CF173D">
        <w:rPr>
          <w:i/>
          <w:lang w:val="el-GR"/>
        </w:rPr>
        <w:t>Ηπατική ανεπάρκεια</w:t>
      </w:r>
    </w:p>
    <w:p w:rsidR="00901F87" w:rsidRPr="000874B4" w:rsidRDefault="00901F87" w:rsidP="00FA3DF9">
      <w:pPr>
        <w:spacing w:line="240" w:lineRule="auto"/>
        <w:jc w:val="both"/>
        <w:rPr>
          <w:lang w:val="el-GR"/>
        </w:rPr>
      </w:pPr>
      <w:r w:rsidRPr="005707DA">
        <w:rPr>
          <w:lang w:val="el-GR"/>
        </w:rPr>
        <w:t xml:space="preserve">Δεν απαιτείται προσαρμογή της δόσης σε ασθενείς με ήπια ηπατική ανεπάρκεια. </w:t>
      </w:r>
      <w:r w:rsidRPr="000874B4">
        <w:rPr>
          <w:lang w:val="el-GR"/>
        </w:rPr>
        <w:t>Προσοχή πρέπει να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 xml:space="preserve">δίνεται κατά τη χορήγηση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0874B4">
        <w:rPr>
          <w:lang w:val="el-GR"/>
        </w:rPr>
        <w:t xml:space="preserve"> σε ασθενείς με μέτρια ηπατική ανεπάρκεια. Η </w:t>
      </w:r>
      <w:r w:rsidR="009312EB" w:rsidRPr="009312EB">
        <w:rPr>
          <w:lang w:val="el-GR"/>
        </w:rPr>
        <w:t>ιβαμπραδίνη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αντενδείκνυται σε ασθενείς με σοβαρή ηπατική ανεπάρκεια, αφού δεν έχει μελετηθεί σε αυτόν τον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πληθυσμό και αναμένεται μεγάλη αύξηση της συστηματικής έκθεσης (βλ. παραγράφους 4.3 και 5.2).</w:t>
      </w:r>
    </w:p>
    <w:p w:rsidR="00901F87" w:rsidRPr="005707DA" w:rsidRDefault="00901F87" w:rsidP="0080254C">
      <w:pPr>
        <w:spacing w:after="0" w:line="240" w:lineRule="auto"/>
        <w:jc w:val="both"/>
        <w:rPr>
          <w:i/>
          <w:lang w:val="el-GR"/>
        </w:rPr>
      </w:pPr>
      <w:r w:rsidRPr="005707DA">
        <w:rPr>
          <w:i/>
          <w:lang w:val="el-GR"/>
        </w:rPr>
        <w:t>Παιδιατρικός πληθυσμός</w:t>
      </w:r>
    </w:p>
    <w:p w:rsidR="00901F87" w:rsidRPr="000874B4" w:rsidRDefault="00901F87" w:rsidP="00FA3DF9">
      <w:pPr>
        <w:spacing w:line="240" w:lineRule="auto"/>
        <w:jc w:val="both"/>
        <w:rPr>
          <w:lang w:val="el-GR"/>
        </w:rPr>
      </w:pPr>
      <w:r w:rsidRPr="000874B4">
        <w:rPr>
          <w:lang w:val="el-GR"/>
        </w:rPr>
        <w:t xml:space="preserve">Η ασφάλεια και αποτελεσματικότητα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0874B4">
        <w:rPr>
          <w:lang w:val="el-GR"/>
        </w:rPr>
        <w:t xml:space="preserve"> ως αγωγή για τη χρόνια καρδιακή ανεπάρκεια σε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παιδιά ηλικίας κάτω των 18 ετών δεν έχουν τεκμηριωθεί.</w:t>
      </w:r>
    </w:p>
    <w:p w:rsidR="00901F87" w:rsidRPr="000874B4" w:rsidRDefault="00901F87" w:rsidP="00FA3DF9">
      <w:pPr>
        <w:spacing w:line="240" w:lineRule="auto"/>
        <w:jc w:val="both"/>
        <w:rPr>
          <w:lang w:val="el-GR"/>
        </w:rPr>
      </w:pPr>
      <w:r w:rsidRPr="000874B4">
        <w:rPr>
          <w:lang w:val="el-GR"/>
        </w:rPr>
        <w:t>Διαθέσιμα δεδομένα περιγράφονται στις παραγράφους 5.1 και 5.2 αλλά δεν μπορεί να γίνει σύσταση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για τη δοσολογία.</w:t>
      </w:r>
    </w:p>
    <w:p w:rsidR="00901F87" w:rsidRPr="005707DA" w:rsidRDefault="00901F87" w:rsidP="00FA3DF9">
      <w:pPr>
        <w:spacing w:line="240" w:lineRule="auto"/>
        <w:jc w:val="both"/>
        <w:rPr>
          <w:u w:val="single"/>
          <w:lang w:val="el-GR"/>
        </w:rPr>
      </w:pPr>
      <w:r w:rsidRPr="005707DA">
        <w:rPr>
          <w:u w:val="single"/>
          <w:lang w:val="el-GR"/>
        </w:rPr>
        <w:t>Τρόπος χορήγησης</w:t>
      </w:r>
    </w:p>
    <w:p w:rsidR="00901F87" w:rsidRPr="000874B4" w:rsidRDefault="00901F87" w:rsidP="00FA3DF9">
      <w:pPr>
        <w:spacing w:line="240" w:lineRule="auto"/>
        <w:jc w:val="both"/>
        <w:rPr>
          <w:lang w:val="el-GR"/>
        </w:rPr>
      </w:pPr>
      <w:r w:rsidRPr="000874B4">
        <w:rPr>
          <w:lang w:val="el-GR"/>
        </w:rPr>
        <w:t>Τα δισκία πρέπει να λαμβάνονται από του στόματος δύο φορές την ημέρα, δηλαδή μία φορά το πρωί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και μία το βράδυ, κατά τη διάρκεια των γευμάτων (βλ. παράγραφο 5.2)</w:t>
      </w:r>
    </w:p>
    <w:p w:rsidR="00901F87" w:rsidRPr="006B1892" w:rsidRDefault="00901F87" w:rsidP="006B1892">
      <w:pPr>
        <w:pStyle w:val="a3"/>
        <w:numPr>
          <w:ilvl w:val="1"/>
          <w:numId w:val="2"/>
        </w:numPr>
        <w:spacing w:line="240" w:lineRule="auto"/>
        <w:ind w:left="357" w:hanging="357"/>
        <w:contextualSpacing w:val="0"/>
        <w:jc w:val="both"/>
        <w:rPr>
          <w:b/>
          <w:lang w:val="el-GR"/>
        </w:rPr>
      </w:pPr>
      <w:r w:rsidRPr="006B1892">
        <w:rPr>
          <w:b/>
          <w:lang w:val="el-GR"/>
        </w:rPr>
        <w:t>Αντενδείξεις</w:t>
      </w:r>
    </w:p>
    <w:p w:rsidR="00901F87" w:rsidRPr="000874B4" w:rsidRDefault="00901F87" w:rsidP="000874B4">
      <w:pPr>
        <w:pStyle w:val="a3"/>
        <w:numPr>
          <w:ilvl w:val="0"/>
          <w:numId w:val="3"/>
        </w:numPr>
        <w:spacing w:line="240" w:lineRule="auto"/>
        <w:ind w:left="357" w:hanging="357"/>
        <w:jc w:val="both"/>
        <w:rPr>
          <w:lang w:val="el-GR"/>
        </w:rPr>
      </w:pPr>
      <w:r w:rsidRPr="000874B4">
        <w:rPr>
          <w:lang w:val="el-GR"/>
        </w:rPr>
        <w:t>Υπερευαισθησία στη δραστική ουσία ή σε κάποιο από τα έκδοχα που αναφέρονται στην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παράγραφο 6.1</w:t>
      </w:r>
    </w:p>
    <w:p w:rsidR="00901F87" w:rsidRPr="000874B4" w:rsidRDefault="00901F87" w:rsidP="000874B4">
      <w:pPr>
        <w:pStyle w:val="a3"/>
        <w:numPr>
          <w:ilvl w:val="0"/>
          <w:numId w:val="3"/>
        </w:numPr>
        <w:spacing w:line="240" w:lineRule="auto"/>
        <w:ind w:left="357" w:hanging="357"/>
        <w:jc w:val="both"/>
        <w:rPr>
          <w:lang w:val="el-GR"/>
        </w:rPr>
      </w:pPr>
      <w:r w:rsidRPr="000874B4">
        <w:rPr>
          <w:lang w:val="el-GR"/>
        </w:rPr>
        <w:t>Καρδιακή συχνότητα σε ηρεμία χαμηλότερη από 70 παλμούς ανά λεπτό πριν την αγωγή</w:t>
      </w:r>
    </w:p>
    <w:p w:rsidR="00901F87" w:rsidRPr="000874B4" w:rsidRDefault="00901F87" w:rsidP="000874B4">
      <w:pPr>
        <w:pStyle w:val="a3"/>
        <w:numPr>
          <w:ilvl w:val="0"/>
          <w:numId w:val="3"/>
        </w:numPr>
        <w:spacing w:line="240" w:lineRule="auto"/>
        <w:ind w:left="357" w:hanging="357"/>
        <w:jc w:val="both"/>
        <w:rPr>
          <w:lang w:val="el-GR"/>
        </w:rPr>
      </w:pPr>
      <w:r w:rsidRPr="000874B4">
        <w:rPr>
          <w:lang w:val="el-GR"/>
        </w:rPr>
        <w:t>Καρδιογενής καταπληξία</w:t>
      </w:r>
    </w:p>
    <w:p w:rsidR="00901F87" w:rsidRPr="000874B4" w:rsidRDefault="00901F87" w:rsidP="000874B4">
      <w:pPr>
        <w:pStyle w:val="a3"/>
        <w:numPr>
          <w:ilvl w:val="0"/>
          <w:numId w:val="3"/>
        </w:numPr>
        <w:spacing w:line="240" w:lineRule="auto"/>
        <w:ind w:left="357" w:hanging="357"/>
        <w:jc w:val="both"/>
        <w:rPr>
          <w:lang w:val="el-GR"/>
        </w:rPr>
      </w:pPr>
      <w:r w:rsidRPr="000874B4">
        <w:rPr>
          <w:lang w:val="el-GR"/>
        </w:rPr>
        <w:lastRenderedPageBreak/>
        <w:t>Οξύ έμφραγμα του μυοκαρδίου</w:t>
      </w:r>
    </w:p>
    <w:p w:rsidR="00901F87" w:rsidRPr="000874B4" w:rsidRDefault="00901F87" w:rsidP="000874B4">
      <w:pPr>
        <w:pStyle w:val="a3"/>
        <w:numPr>
          <w:ilvl w:val="0"/>
          <w:numId w:val="3"/>
        </w:numPr>
        <w:spacing w:line="240" w:lineRule="auto"/>
        <w:ind w:left="357" w:hanging="357"/>
        <w:jc w:val="both"/>
        <w:rPr>
          <w:lang w:val="el-GR"/>
        </w:rPr>
      </w:pPr>
      <w:r w:rsidRPr="000874B4">
        <w:rPr>
          <w:lang w:val="el-GR"/>
        </w:rPr>
        <w:t>Σοβαρή υπόταση (&lt;90/50 mmHg)</w:t>
      </w:r>
    </w:p>
    <w:p w:rsidR="00901F87" w:rsidRPr="000874B4" w:rsidRDefault="00901F87" w:rsidP="000874B4">
      <w:pPr>
        <w:pStyle w:val="a3"/>
        <w:numPr>
          <w:ilvl w:val="0"/>
          <w:numId w:val="3"/>
        </w:numPr>
        <w:spacing w:line="240" w:lineRule="auto"/>
        <w:ind w:left="357" w:hanging="357"/>
        <w:jc w:val="both"/>
        <w:rPr>
          <w:lang w:val="el-GR"/>
        </w:rPr>
      </w:pPr>
      <w:r w:rsidRPr="000874B4">
        <w:rPr>
          <w:lang w:val="el-GR"/>
        </w:rPr>
        <w:t>Σοβαρή ηπατική ανεπάρκεια</w:t>
      </w:r>
    </w:p>
    <w:p w:rsidR="00901F87" w:rsidRPr="000874B4" w:rsidRDefault="00901F87" w:rsidP="000874B4">
      <w:pPr>
        <w:pStyle w:val="a3"/>
        <w:numPr>
          <w:ilvl w:val="0"/>
          <w:numId w:val="3"/>
        </w:numPr>
        <w:spacing w:line="240" w:lineRule="auto"/>
        <w:ind w:left="357" w:hanging="357"/>
        <w:jc w:val="both"/>
        <w:rPr>
          <w:lang w:val="el-GR"/>
        </w:rPr>
      </w:pPr>
      <w:r w:rsidRPr="000874B4">
        <w:rPr>
          <w:lang w:val="el-GR"/>
        </w:rPr>
        <w:t>Σύνδρομο νοσούντος φλεβοκόμβου</w:t>
      </w:r>
    </w:p>
    <w:p w:rsidR="00901F87" w:rsidRPr="000874B4" w:rsidRDefault="00901F87" w:rsidP="000874B4">
      <w:pPr>
        <w:pStyle w:val="a3"/>
        <w:numPr>
          <w:ilvl w:val="0"/>
          <w:numId w:val="3"/>
        </w:numPr>
        <w:spacing w:line="240" w:lineRule="auto"/>
        <w:ind w:left="357" w:hanging="357"/>
        <w:jc w:val="both"/>
        <w:rPr>
          <w:lang w:val="el-GR"/>
        </w:rPr>
      </w:pPr>
      <w:r w:rsidRPr="000874B4">
        <w:rPr>
          <w:lang w:val="el-GR"/>
        </w:rPr>
        <w:t>Φλεβοκομβοκολπικός αποκλεισμός</w:t>
      </w:r>
    </w:p>
    <w:p w:rsidR="00901F87" w:rsidRPr="000874B4" w:rsidRDefault="00901F87" w:rsidP="000874B4">
      <w:pPr>
        <w:pStyle w:val="a3"/>
        <w:numPr>
          <w:ilvl w:val="0"/>
          <w:numId w:val="3"/>
        </w:numPr>
        <w:spacing w:line="240" w:lineRule="auto"/>
        <w:ind w:left="357" w:hanging="357"/>
        <w:jc w:val="both"/>
        <w:rPr>
          <w:lang w:val="el-GR"/>
        </w:rPr>
      </w:pPr>
      <w:r w:rsidRPr="000874B4">
        <w:rPr>
          <w:lang w:val="el-GR"/>
        </w:rPr>
        <w:t>Ασταθής ή οξεία καρδιακή ανεπάρκεια</w:t>
      </w:r>
    </w:p>
    <w:p w:rsidR="00901F87" w:rsidRPr="000874B4" w:rsidRDefault="00901F87" w:rsidP="000874B4">
      <w:pPr>
        <w:pStyle w:val="a3"/>
        <w:numPr>
          <w:ilvl w:val="0"/>
          <w:numId w:val="3"/>
        </w:numPr>
        <w:spacing w:line="240" w:lineRule="auto"/>
        <w:ind w:left="357" w:hanging="357"/>
        <w:jc w:val="both"/>
        <w:rPr>
          <w:lang w:val="el-GR"/>
        </w:rPr>
      </w:pPr>
      <w:r w:rsidRPr="000874B4">
        <w:rPr>
          <w:lang w:val="el-GR"/>
        </w:rPr>
        <w:t>Εξάρτηση από βηματοδότη (καρδιακή συχνότητα που επιβάλλεται αποκλειστικά από το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βηματοδότη)</w:t>
      </w:r>
    </w:p>
    <w:p w:rsidR="00901F87" w:rsidRPr="000874B4" w:rsidRDefault="00901F87" w:rsidP="000874B4">
      <w:pPr>
        <w:pStyle w:val="a3"/>
        <w:numPr>
          <w:ilvl w:val="0"/>
          <w:numId w:val="3"/>
        </w:numPr>
        <w:spacing w:line="240" w:lineRule="auto"/>
        <w:ind w:left="357" w:hanging="357"/>
        <w:jc w:val="both"/>
        <w:rPr>
          <w:lang w:val="el-GR"/>
        </w:rPr>
      </w:pPr>
      <w:r w:rsidRPr="000874B4">
        <w:rPr>
          <w:lang w:val="el-GR"/>
        </w:rPr>
        <w:t>Ασταθής στηθάγχη</w:t>
      </w:r>
    </w:p>
    <w:p w:rsidR="00901F87" w:rsidRPr="000874B4" w:rsidRDefault="00901F87" w:rsidP="000874B4">
      <w:pPr>
        <w:pStyle w:val="a3"/>
        <w:numPr>
          <w:ilvl w:val="0"/>
          <w:numId w:val="3"/>
        </w:numPr>
        <w:spacing w:line="240" w:lineRule="auto"/>
        <w:ind w:left="357" w:hanging="357"/>
        <w:jc w:val="both"/>
        <w:rPr>
          <w:lang w:val="el-GR"/>
        </w:rPr>
      </w:pPr>
      <w:r w:rsidRPr="000874B4">
        <w:rPr>
          <w:lang w:val="el-GR"/>
        </w:rPr>
        <w:t>Κολποκοιλιακός αποκλεισμός 3ου βαθμού</w:t>
      </w:r>
    </w:p>
    <w:p w:rsidR="00901F87" w:rsidRPr="000874B4" w:rsidRDefault="00901F87" w:rsidP="000874B4">
      <w:pPr>
        <w:pStyle w:val="a3"/>
        <w:numPr>
          <w:ilvl w:val="0"/>
          <w:numId w:val="3"/>
        </w:numPr>
        <w:spacing w:line="240" w:lineRule="auto"/>
        <w:ind w:left="357" w:hanging="357"/>
        <w:jc w:val="both"/>
        <w:rPr>
          <w:lang w:val="el-GR"/>
        </w:rPr>
      </w:pPr>
      <w:r w:rsidRPr="000874B4">
        <w:rPr>
          <w:lang w:val="el-GR"/>
        </w:rPr>
        <w:t>Συνδυασμός με ισχυρούς αναστολείς του κυτοχρώματος Ρ450 3Α4 όπως αζολικά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αντιμυκητησιακά (κετοκοναζόλη, ιτρακοναζόλη), μακρολιδικά αντιβιοτικά (κλαριθρομυκίνη,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ερυθρομυκίνη χορηγούμενη από του στόματος, ζοσαμυκίνη, τελιθρομυκίνη), αναστολείς HIV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πρωτεάσης (νελφιναβίρη, ριτοναβίρη) και νεφαζοδόνη (βλ. παραγράφους 4.5 και 5.2)</w:t>
      </w:r>
    </w:p>
    <w:p w:rsidR="00901F87" w:rsidRPr="000874B4" w:rsidRDefault="00901F87" w:rsidP="000874B4">
      <w:pPr>
        <w:pStyle w:val="a3"/>
        <w:numPr>
          <w:ilvl w:val="0"/>
          <w:numId w:val="3"/>
        </w:numPr>
        <w:spacing w:line="240" w:lineRule="auto"/>
        <w:ind w:left="357" w:hanging="357"/>
        <w:jc w:val="both"/>
        <w:rPr>
          <w:lang w:val="el-GR"/>
        </w:rPr>
      </w:pPr>
      <w:r w:rsidRPr="000874B4">
        <w:rPr>
          <w:lang w:val="el-GR"/>
        </w:rPr>
        <w:t>Συνδυασμός με βεραπαμίλη ή διλτιαζέμη, που είναι μέτριοι αναστολείς του CYP3A4 με ιδιότητες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μείωσης της καρδιακής συχνότητας (βλ. παράγραφο 4.5)</w:t>
      </w:r>
    </w:p>
    <w:p w:rsidR="00901F87" w:rsidRPr="000874B4" w:rsidRDefault="00901F87" w:rsidP="000874B4">
      <w:pPr>
        <w:pStyle w:val="a3"/>
        <w:numPr>
          <w:ilvl w:val="0"/>
          <w:numId w:val="3"/>
        </w:numPr>
        <w:spacing w:line="240" w:lineRule="auto"/>
        <w:ind w:left="357" w:hanging="357"/>
        <w:contextualSpacing w:val="0"/>
        <w:jc w:val="both"/>
        <w:rPr>
          <w:lang w:val="el-GR"/>
        </w:rPr>
      </w:pPr>
      <w:r w:rsidRPr="000874B4">
        <w:rPr>
          <w:lang w:val="el-GR"/>
        </w:rPr>
        <w:t>Κύηση, γαλουχία και γυναίκες με δυνατότητα τεκνοποίησης οι οποίες δεν χρησιμοποιούν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κατάλληλα αντισυλληπτικά μέτρα (βλ. παράγραφο 4.6)</w:t>
      </w:r>
    </w:p>
    <w:p w:rsidR="00901F87" w:rsidRPr="006B1892" w:rsidRDefault="00901F87" w:rsidP="006B1892">
      <w:pPr>
        <w:pStyle w:val="a3"/>
        <w:numPr>
          <w:ilvl w:val="1"/>
          <w:numId w:val="2"/>
        </w:numPr>
        <w:spacing w:line="240" w:lineRule="auto"/>
        <w:ind w:left="357" w:hanging="357"/>
        <w:contextualSpacing w:val="0"/>
        <w:jc w:val="both"/>
        <w:rPr>
          <w:b/>
          <w:lang w:val="el-GR"/>
        </w:rPr>
      </w:pPr>
      <w:r w:rsidRPr="006B1892">
        <w:rPr>
          <w:b/>
          <w:lang w:val="el-GR"/>
        </w:rPr>
        <w:t>Ειδικές προειδοποιήσεις και προφυλάξεις κατά τη χρήση</w:t>
      </w:r>
    </w:p>
    <w:p w:rsidR="00901F87" w:rsidRPr="005707DA" w:rsidRDefault="00901F87" w:rsidP="00FA3DF9">
      <w:pPr>
        <w:spacing w:line="240" w:lineRule="auto"/>
        <w:jc w:val="both"/>
        <w:rPr>
          <w:u w:val="single"/>
          <w:lang w:val="el-GR"/>
        </w:rPr>
      </w:pPr>
      <w:r w:rsidRPr="005707DA">
        <w:rPr>
          <w:u w:val="single"/>
          <w:lang w:val="el-GR"/>
        </w:rPr>
        <w:t>Ειδικές προειδοποιήσεις</w:t>
      </w:r>
    </w:p>
    <w:p w:rsidR="00901F87" w:rsidRPr="005707DA" w:rsidRDefault="00901F87" w:rsidP="0080254C">
      <w:pPr>
        <w:spacing w:after="0" w:line="240" w:lineRule="auto"/>
        <w:jc w:val="both"/>
        <w:rPr>
          <w:i/>
          <w:lang w:val="el-GR"/>
        </w:rPr>
      </w:pPr>
      <w:r w:rsidRPr="005707DA">
        <w:rPr>
          <w:i/>
          <w:lang w:val="el-GR"/>
        </w:rPr>
        <w:t>Απουσία οφέλους στις κλινικές εκβάσεις σε ασθενείς με συμπτωματική χρόνια σταθερή στηθάγχη</w:t>
      </w:r>
    </w:p>
    <w:p w:rsidR="00901F87" w:rsidRPr="000874B4" w:rsidRDefault="00901F87" w:rsidP="00FA3DF9">
      <w:pPr>
        <w:spacing w:line="240" w:lineRule="auto"/>
        <w:jc w:val="both"/>
        <w:rPr>
          <w:lang w:val="el-GR"/>
        </w:rPr>
      </w:pPr>
      <w:r w:rsidRPr="000874B4">
        <w:rPr>
          <w:lang w:val="el-GR"/>
        </w:rPr>
        <w:t xml:space="preserve">Η </w:t>
      </w:r>
      <w:r w:rsidR="009312EB" w:rsidRPr="009312EB">
        <w:rPr>
          <w:lang w:val="el-GR"/>
        </w:rPr>
        <w:t>ιβαμπραδίνη</w:t>
      </w:r>
      <w:r w:rsidRPr="000874B4">
        <w:rPr>
          <w:lang w:val="el-GR"/>
        </w:rPr>
        <w:t xml:space="preserve"> ενδείκνυται μόνο για τη συμπτωματική αγωγή της χρόνιας σταθερής στηθάγχης, γιατί η</w:t>
      </w:r>
      <w:r w:rsidR="000874B4" w:rsidRPr="000874B4">
        <w:rPr>
          <w:lang w:val="el-GR"/>
        </w:rPr>
        <w:t xml:space="preserve"> </w:t>
      </w:r>
      <w:r w:rsidR="009312EB" w:rsidRPr="009312EB">
        <w:rPr>
          <w:lang w:val="el-GR"/>
        </w:rPr>
        <w:t>ιβαμπραδίνη</w:t>
      </w:r>
      <w:r w:rsidRPr="000874B4">
        <w:rPr>
          <w:lang w:val="el-GR"/>
        </w:rPr>
        <w:t xml:space="preserve"> δεν έχει οφέλη για τις καρδιαγγειακές εκβάσεις (π.χ. έμφραγμα του μυοκαρδίου ή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καρδιαγγειακός θάνατος) (βλ. παράγραφο 5.1).</w:t>
      </w:r>
    </w:p>
    <w:p w:rsidR="00901F87" w:rsidRPr="005707DA" w:rsidRDefault="00901F87" w:rsidP="0080254C">
      <w:pPr>
        <w:spacing w:after="0" w:line="240" w:lineRule="auto"/>
        <w:jc w:val="both"/>
        <w:rPr>
          <w:i/>
          <w:lang w:val="el-GR"/>
        </w:rPr>
      </w:pPr>
      <w:r w:rsidRPr="005707DA">
        <w:rPr>
          <w:i/>
          <w:lang w:val="el-GR"/>
        </w:rPr>
        <w:t>Μέτρηση της καρδιακής συχνότητας</w:t>
      </w:r>
    </w:p>
    <w:p w:rsidR="00901F87" w:rsidRPr="000874B4" w:rsidRDefault="00901F87" w:rsidP="00FA3DF9">
      <w:pPr>
        <w:spacing w:line="240" w:lineRule="auto"/>
        <w:jc w:val="both"/>
        <w:rPr>
          <w:lang w:val="el-GR"/>
        </w:rPr>
      </w:pPr>
      <w:r w:rsidRPr="000874B4">
        <w:rPr>
          <w:lang w:val="el-GR"/>
        </w:rPr>
        <w:t>Δεδομένου ότι η καρδιακή συχνότητα μπορεί να παρουσιάζει σημαντικές διακυμάνσεις με τον χρόνο,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πρέπει να λαμβάνονται υπ’ όψιν διαδοχικές μετρήσεις της καρδιακής συχνότητας, ΗΚΓ ή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περιπατητική 24ωρη παρακολούθηση, όταν καθορίζεται η καρδιακή συχνότητα, πριν την έναρξη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 xml:space="preserve">αγωγής με </w:t>
      </w:r>
      <w:r w:rsidR="009312EB" w:rsidRPr="009312EB">
        <w:rPr>
          <w:lang w:val="el-GR"/>
        </w:rPr>
        <w:t>ιβαμπραδίνη</w:t>
      </w:r>
      <w:r w:rsidRPr="000874B4">
        <w:rPr>
          <w:lang w:val="el-GR"/>
        </w:rPr>
        <w:t xml:space="preserve"> και σε ασθενείς υπό αγωγή με </w:t>
      </w:r>
      <w:r w:rsidR="009312EB" w:rsidRPr="009312EB">
        <w:rPr>
          <w:lang w:val="el-GR"/>
        </w:rPr>
        <w:t>ιβαμπραδίνη</w:t>
      </w:r>
      <w:r w:rsidRPr="000874B4">
        <w:rPr>
          <w:lang w:val="el-GR"/>
        </w:rPr>
        <w:t xml:space="preserve"> όταν εξετάζεται η περίπτωση της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τιτλοποίησης. Αυτό ισχύει και για ασθενείς με χαμηλή καρδιακή συχνότητα, ιδιαίτερα όταν η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 xml:space="preserve">καρδιακή συχνότητα μειώνεται κάτω από 50 </w:t>
      </w:r>
      <w:r>
        <w:t>bpm</w:t>
      </w:r>
      <w:r w:rsidRPr="000874B4">
        <w:rPr>
          <w:lang w:val="el-GR"/>
        </w:rPr>
        <w:t xml:space="preserve"> ή μετά από μείωση της δόσης (βλ. παράγραφο 4.2).</w:t>
      </w:r>
    </w:p>
    <w:p w:rsidR="00901F87" w:rsidRPr="005707DA" w:rsidRDefault="00901F87" w:rsidP="0080254C">
      <w:pPr>
        <w:spacing w:after="0" w:line="240" w:lineRule="auto"/>
        <w:jc w:val="both"/>
        <w:rPr>
          <w:i/>
          <w:lang w:val="el-GR"/>
        </w:rPr>
      </w:pPr>
      <w:r w:rsidRPr="005707DA">
        <w:rPr>
          <w:i/>
          <w:lang w:val="el-GR"/>
        </w:rPr>
        <w:t>Καρδιακές αρρυθμίες</w:t>
      </w:r>
    </w:p>
    <w:p w:rsidR="00901F87" w:rsidRPr="000874B4" w:rsidRDefault="00901F87" w:rsidP="00FA3DF9">
      <w:pPr>
        <w:spacing w:line="240" w:lineRule="auto"/>
        <w:jc w:val="both"/>
        <w:rPr>
          <w:lang w:val="el-GR"/>
        </w:rPr>
      </w:pPr>
      <w:r w:rsidRPr="000874B4">
        <w:rPr>
          <w:lang w:val="el-GR"/>
        </w:rPr>
        <w:t xml:space="preserve">Η </w:t>
      </w:r>
      <w:r w:rsidR="009312EB" w:rsidRPr="009312EB">
        <w:rPr>
          <w:lang w:val="el-GR"/>
        </w:rPr>
        <w:t>ιβαμπραδίνη</w:t>
      </w:r>
      <w:r w:rsidRPr="000874B4">
        <w:rPr>
          <w:lang w:val="el-GR"/>
        </w:rPr>
        <w:t xml:space="preserve"> δεν είναι αποτελεσματική στη θεραπευτική αγωγή ή πρόληψη των καρδιακών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αρρυθμιών και πιθανώς χάνει την αποτελεσματικότητά της όταν εκδηλώνεται ταχυαρρυθμία (π.χ.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 xml:space="preserve">κοιλιακή ή υπερκοιλιακή ταχυκαρδία). Συνεπώς η </w:t>
      </w:r>
      <w:r w:rsidR="009312EB" w:rsidRPr="009312EB">
        <w:rPr>
          <w:lang w:val="el-GR"/>
        </w:rPr>
        <w:t>ιβαμπραδίνη</w:t>
      </w:r>
      <w:r w:rsidRPr="000874B4">
        <w:rPr>
          <w:lang w:val="el-GR"/>
        </w:rPr>
        <w:t xml:space="preserve"> δεν συνιστάται σε ασθενείς με κολπική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μαρμαρυγή ή άλλες καρδιακές αρρυθμίες που επηρεάζουν τη λειτουργία του φλεβοκόμβου.</w:t>
      </w:r>
    </w:p>
    <w:p w:rsidR="00901F87" w:rsidRPr="000874B4" w:rsidRDefault="00901F87" w:rsidP="00FA3DF9">
      <w:pPr>
        <w:spacing w:line="240" w:lineRule="auto"/>
        <w:jc w:val="both"/>
        <w:rPr>
          <w:lang w:val="el-GR"/>
        </w:rPr>
      </w:pPr>
      <w:r w:rsidRPr="000874B4">
        <w:rPr>
          <w:lang w:val="el-GR"/>
        </w:rPr>
        <w:t xml:space="preserve">Σε ασθενείς που ακολουθούν αγωγή με </w:t>
      </w:r>
      <w:r w:rsidR="009312EB" w:rsidRPr="009312EB">
        <w:rPr>
          <w:lang w:val="el-GR"/>
        </w:rPr>
        <w:t>ιβαμπραδίνη</w:t>
      </w:r>
      <w:r w:rsidRPr="000874B4">
        <w:rPr>
          <w:lang w:val="el-GR"/>
        </w:rPr>
        <w:t>, είναι αυξημένος ο κίνδυνος εκδήλωσης κολπικής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 xml:space="preserve">μαρμαρυγής (βλ. παράγραφο 4.8). Η κολπική μαρμαρυγή είναι συχνότερη σε ασθενείς </w:t>
      </w:r>
      <w:r w:rsidRPr="000874B4">
        <w:rPr>
          <w:lang w:val="el-GR"/>
        </w:rPr>
        <w:lastRenderedPageBreak/>
        <w:t>που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λαμβάνουν ταυτόχρονα αμιοδαρόνη ή ισχυρά αντιαρρυθμικά κατηγορίας Ι. Συνιστάται να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 xml:space="preserve">παρακολουθούνται κλινικά σε τακτική βάση οι ασθενείς που λαμβάνουν αγωγή με </w:t>
      </w:r>
      <w:r w:rsidR="009312EB" w:rsidRPr="009312EB">
        <w:rPr>
          <w:lang w:val="el-GR"/>
        </w:rPr>
        <w:t>ιβαμπραδίνη</w:t>
      </w:r>
      <w:r w:rsidRPr="000874B4">
        <w:rPr>
          <w:lang w:val="el-GR"/>
        </w:rPr>
        <w:t xml:space="preserve"> για την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εμφάνιση κολπικής μαρμαρυγής (εμμένουσας ή παροξυσμικής), ενώ πρέπει να συμπεριλαμβάνεται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και ΗΚΓ παρακολούθηση εφόσον υπάρχει κλινική ένδειξη (π.χ. σε περίπτωση επιδεινωθείσας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στηθάγχης, αισθήματος παλμών, άτακτου σφυγμού). Οι ασθενείς πρέπει να ενημερώνονται για τα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σημεία και συμπτώματα της κολπικής μαρμαρυγής και να τους δίνεται η συμβουλή να επικοινωνούν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με τον γιατρό τους, εάν αυτά εκδηλωθούν.</w:t>
      </w:r>
    </w:p>
    <w:p w:rsidR="00901F87" w:rsidRPr="000874B4" w:rsidRDefault="00901F87" w:rsidP="00FA3DF9">
      <w:pPr>
        <w:spacing w:line="240" w:lineRule="auto"/>
        <w:jc w:val="both"/>
        <w:rPr>
          <w:lang w:val="el-GR"/>
        </w:rPr>
      </w:pPr>
      <w:r w:rsidRPr="000874B4">
        <w:rPr>
          <w:lang w:val="el-GR"/>
        </w:rPr>
        <w:t>Εάν εκδηλωθεί κολπική μαρμαρυγή κατά τη διάρκεια της αγωγής, πρέπει να επανεξετάζεται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 xml:space="preserve">προσεκτικά η σχέση οφέλους – κινδύνου της εξακολούθησης της αγωγής με </w:t>
      </w:r>
      <w:r w:rsidR="009312EB" w:rsidRPr="009312EB">
        <w:rPr>
          <w:lang w:val="el-GR"/>
        </w:rPr>
        <w:t>ιβαμπραδίνη</w:t>
      </w:r>
      <w:r w:rsidRPr="000874B4">
        <w:rPr>
          <w:lang w:val="el-GR"/>
        </w:rPr>
        <w:t>.</w:t>
      </w:r>
    </w:p>
    <w:p w:rsidR="00901F87" w:rsidRPr="000874B4" w:rsidRDefault="00901F87" w:rsidP="00FA3DF9">
      <w:pPr>
        <w:spacing w:line="240" w:lineRule="auto"/>
        <w:jc w:val="both"/>
        <w:rPr>
          <w:lang w:val="el-GR"/>
        </w:rPr>
      </w:pPr>
      <w:r w:rsidRPr="000874B4">
        <w:rPr>
          <w:lang w:val="el-GR"/>
        </w:rPr>
        <w:t>Ασθενείς με χρόνια καρδιακή ανεπάρκεια, που συνοδεύεται από διαταραχές της ενδοκοιλιακής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επαγωγής (αποκλεισμός αριστερού σκέλους, αποκλεισμός δεξιού σκέλους) και κοιλιακό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δυσυγχρονισμό πρέπει να παρακολουθούνται στενά.</w:t>
      </w:r>
    </w:p>
    <w:p w:rsidR="00901F87" w:rsidRPr="005707DA" w:rsidRDefault="00901F87" w:rsidP="0080254C">
      <w:pPr>
        <w:spacing w:after="0" w:line="240" w:lineRule="auto"/>
        <w:jc w:val="both"/>
        <w:rPr>
          <w:i/>
          <w:lang w:val="el-GR"/>
        </w:rPr>
      </w:pPr>
      <w:r w:rsidRPr="005707DA">
        <w:rPr>
          <w:i/>
          <w:lang w:val="el-GR"/>
        </w:rPr>
        <w:t>Χρήση σε ασθενείς με κολποκοιλιακό αποκλεισμό 2ου βαθμού</w:t>
      </w:r>
    </w:p>
    <w:p w:rsidR="00901F87" w:rsidRPr="009312EB" w:rsidRDefault="00901F87" w:rsidP="00FA3DF9">
      <w:pPr>
        <w:spacing w:line="240" w:lineRule="auto"/>
        <w:jc w:val="both"/>
        <w:rPr>
          <w:lang w:val="el-GR"/>
        </w:rPr>
      </w:pPr>
      <w:r w:rsidRPr="009312EB">
        <w:rPr>
          <w:lang w:val="el-GR"/>
        </w:rPr>
        <w:t xml:space="preserve">Η </w:t>
      </w:r>
      <w:r w:rsidR="009312EB" w:rsidRPr="009312EB">
        <w:rPr>
          <w:lang w:val="el-GR"/>
        </w:rPr>
        <w:t>ιβαμπραδίνη</w:t>
      </w:r>
      <w:r w:rsidRPr="009312EB">
        <w:rPr>
          <w:lang w:val="el-GR"/>
        </w:rPr>
        <w:t xml:space="preserve"> δεν συνιστάται σε ασθενείς με κολποκοιλιακό αποκλεισμό 2ου βαθμού.</w:t>
      </w:r>
    </w:p>
    <w:p w:rsidR="00901F87" w:rsidRPr="005707DA" w:rsidRDefault="00901F87" w:rsidP="0080254C">
      <w:pPr>
        <w:spacing w:after="0" w:line="240" w:lineRule="auto"/>
        <w:jc w:val="both"/>
        <w:rPr>
          <w:i/>
          <w:lang w:val="el-GR"/>
        </w:rPr>
      </w:pPr>
      <w:r w:rsidRPr="005707DA">
        <w:rPr>
          <w:i/>
          <w:lang w:val="el-GR"/>
        </w:rPr>
        <w:t>Χρήση σε ασθενείς με χαμηλή καρδιακή συχνότητα</w:t>
      </w:r>
    </w:p>
    <w:p w:rsidR="00901F87" w:rsidRPr="000874B4" w:rsidRDefault="00901F87" w:rsidP="00FA3DF9">
      <w:pPr>
        <w:spacing w:line="240" w:lineRule="auto"/>
        <w:jc w:val="both"/>
        <w:rPr>
          <w:lang w:val="el-GR"/>
        </w:rPr>
      </w:pPr>
      <w:r w:rsidRPr="000874B4">
        <w:rPr>
          <w:lang w:val="el-GR"/>
        </w:rPr>
        <w:t xml:space="preserve">Η </w:t>
      </w:r>
      <w:r w:rsidR="009312EB" w:rsidRPr="009312EB">
        <w:rPr>
          <w:lang w:val="el-GR"/>
        </w:rPr>
        <w:t>ιβαμπραδίνη</w:t>
      </w:r>
      <w:r w:rsidRPr="000874B4">
        <w:rPr>
          <w:lang w:val="el-GR"/>
        </w:rPr>
        <w:t xml:space="preserve"> δεν πρέπει να χορηγείται σε ασθενείς που πριν την έναρξη της αγωγής έχουν καρδιακή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συχνότητα χαμηλότερη από 70 παλμούς ανά λεπτό σε ηρεμία (βλ. παράγραφο 4.3).</w:t>
      </w:r>
    </w:p>
    <w:p w:rsidR="00901F87" w:rsidRPr="000874B4" w:rsidRDefault="00901F87" w:rsidP="00FA3DF9">
      <w:pPr>
        <w:spacing w:line="240" w:lineRule="auto"/>
        <w:jc w:val="both"/>
        <w:rPr>
          <w:lang w:val="el-GR"/>
        </w:rPr>
      </w:pPr>
      <w:r w:rsidRPr="000874B4">
        <w:rPr>
          <w:lang w:val="el-GR"/>
        </w:rPr>
        <w:t>Εάν κατά τη διάρκεια της αγωγής η καρδιακή συχνότητα σε ηρεμία μειωθεί σταθερά κάτω από 50</w:t>
      </w:r>
      <w:r w:rsidR="000874B4" w:rsidRPr="000874B4">
        <w:rPr>
          <w:lang w:val="el-GR"/>
        </w:rPr>
        <w:t xml:space="preserve"> </w:t>
      </w:r>
      <w:r>
        <w:t>bpm</w:t>
      </w:r>
      <w:r w:rsidRPr="000874B4">
        <w:rPr>
          <w:lang w:val="el-GR"/>
        </w:rPr>
        <w:t xml:space="preserve"> ή εάν ο ασθενής εκδηλώσει συμπτώματα που σχετίζονται με βραδυκαρδία, όπως ζάλη, κόπωση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ή υπόταση, πρέπει να μειωθεί σταδιακά η δόση ή να διακοπεί η αγωγή, εάν η καρδιακή συχνότητα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 xml:space="preserve">παραμείνει κάτω από 50 </w:t>
      </w:r>
      <w:r>
        <w:t>bpm</w:t>
      </w:r>
      <w:r w:rsidRPr="000874B4">
        <w:rPr>
          <w:lang w:val="el-GR"/>
        </w:rPr>
        <w:t xml:space="preserve"> ή τα συμπτώματα της βραδυκαρδίας επιμένουν (βλ. παράγραφο 4.2).</w:t>
      </w:r>
    </w:p>
    <w:p w:rsidR="00901F87" w:rsidRPr="005707DA" w:rsidRDefault="00901F87" w:rsidP="0080254C">
      <w:pPr>
        <w:spacing w:after="0" w:line="240" w:lineRule="auto"/>
        <w:jc w:val="both"/>
        <w:rPr>
          <w:i/>
          <w:lang w:val="el-GR"/>
        </w:rPr>
      </w:pPr>
      <w:r w:rsidRPr="005707DA">
        <w:rPr>
          <w:i/>
          <w:lang w:val="el-GR"/>
        </w:rPr>
        <w:t>Συνδυασμός με αποκλειστές διαύλων ασβεστίου</w:t>
      </w:r>
    </w:p>
    <w:p w:rsidR="00901F87" w:rsidRPr="000874B4" w:rsidRDefault="00901F87" w:rsidP="00FA3DF9">
      <w:pPr>
        <w:spacing w:line="240" w:lineRule="auto"/>
        <w:jc w:val="both"/>
        <w:rPr>
          <w:lang w:val="el-GR"/>
        </w:rPr>
      </w:pPr>
      <w:r w:rsidRPr="000874B4">
        <w:rPr>
          <w:lang w:val="el-GR"/>
        </w:rPr>
        <w:t xml:space="preserve">Η ταυτόχρονη χορήγηση της </w:t>
      </w:r>
      <w:r w:rsidR="009312EB" w:rsidRPr="009312EB">
        <w:rPr>
          <w:lang w:val="el-GR"/>
        </w:rPr>
        <w:t>ιβαμπραδίνη</w:t>
      </w:r>
      <w:r w:rsidRPr="000874B4">
        <w:rPr>
          <w:lang w:val="el-GR"/>
        </w:rPr>
        <w:t xml:space="preserve"> με αποκλειστές διαύλων ασβεστίου που μειώνουν την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καρδιακή συχνότητα όπως η βεραπαμίλη ή η διλτιαζέμη αντενδείκνυται (βλ. παραγράφους 4.3 και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 xml:space="preserve">4.5). Δεν έχει τεθεί θέμα ασφάλειας αναφορικά με το συνδυασμό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0874B4">
        <w:rPr>
          <w:lang w:val="el-GR"/>
        </w:rPr>
        <w:t xml:space="preserve"> με νιτρώδη και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διϋδροπυριδινικού τύπου αποκλειστές διαύλων ασβεστίου όπως η αμλοδιπίνη. Η επιπρόσθετη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 xml:space="preserve">αποτελεσματικότητα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0874B4">
        <w:rPr>
          <w:lang w:val="el-GR"/>
        </w:rPr>
        <w:t xml:space="preserve"> σε συνδυασμό με διϋδροπυριδινικού τύπου αποκλειστές διαύλων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ασβεστίου δεν έχει τεκμηριωθεί (βλ. παράγραφο 5.1).</w:t>
      </w:r>
    </w:p>
    <w:p w:rsidR="00901F87" w:rsidRPr="009312EB" w:rsidRDefault="00901F87" w:rsidP="0080254C">
      <w:pPr>
        <w:spacing w:after="0" w:line="240" w:lineRule="auto"/>
        <w:jc w:val="both"/>
        <w:rPr>
          <w:i/>
          <w:lang w:val="el-GR"/>
        </w:rPr>
      </w:pPr>
      <w:r w:rsidRPr="009312EB">
        <w:rPr>
          <w:i/>
          <w:lang w:val="el-GR"/>
        </w:rPr>
        <w:t>Χρόνια καρδιακή ανεπάρκεια</w:t>
      </w:r>
    </w:p>
    <w:p w:rsidR="00901F87" w:rsidRPr="000874B4" w:rsidRDefault="00901F87" w:rsidP="00FA3DF9">
      <w:pPr>
        <w:spacing w:line="240" w:lineRule="auto"/>
        <w:jc w:val="both"/>
        <w:rPr>
          <w:lang w:val="el-GR"/>
        </w:rPr>
      </w:pPr>
      <w:r w:rsidRPr="009312EB">
        <w:rPr>
          <w:lang w:val="el-GR"/>
        </w:rPr>
        <w:t xml:space="preserve">Η καρδιακή ανεπάρκεια πρέπει να είναι σταθερή, πριν εξεταστεί η χορήγηση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9312EB">
        <w:rPr>
          <w:lang w:val="el-GR"/>
        </w:rPr>
        <w:t xml:space="preserve">. </w:t>
      </w:r>
      <w:r>
        <w:t>H</w:t>
      </w:r>
      <w:r w:rsidR="000874B4" w:rsidRPr="000874B4">
        <w:rPr>
          <w:lang w:val="el-GR"/>
        </w:rPr>
        <w:t xml:space="preserve"> </w:t>
      </w:r>
      <w:r w:rsidR="009312EB" w:rsidRPr="009312EB">
        <w:rPr>
          <w:lang w:val="el-GR"/>
        </w:rPr>
        <w:t>ιβαμπραδίνη</w:t>
      </w:r>
      <w:r w:rsidRPr="000874B4">
        <w:rPr>
          <w:lang w:val="el-GR"/>
        </w:rPr>
        <w:t xml:space="preserve"> πρέπει να χορηγείται με προσοχή σε ασθενείς με καρδιακή ανεπάρκεια λειτουργικής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 xml:space="preserve">κατάταξης </w:t>
      </w:r>
      <w:r>
        <w:t>IV</w:t>
      </w:r>
      <w:r w:rsidRPr="000874B4">
        <w:rPr>
          <w:lang w:val="el-GR"/>
        </w:rPr>
        <w:t xml:space="preserve"> κατά ΝΥΗΑ, λόγω των περιορισμένων δεδομένων σε αυτόν τον πληθυσμό.</w:t>
      </w:r>
    </w:p>
    <w:p w:rsidR="00901F87" w:rsidRPr="005707DA" w:rsidRDefault="00901F87" w:rsidP="0080254C">
      <w:pPr>
        <w:spacing w:after="0" w:line="240" w:lineRule="auto"/>
        <w:jc w:val="both"/>
        <w:rPr>
          <w:i/>
          <w:lang w:val="el-GR"/>
        </w:rPr>
      </w:pPr>
      <w:r w:rsidRPr="005707DA">
        <w:rPr>
          <w:i/>
          <w:lang w:val="el-GR"/>
        </w:rPr>
        <w:t>Εγκεφαλικό επεισόδιο</w:t>
      </w:r>
    </w:p>
    <w:p w:rsidR="00901F87" w:rsidRPr="000874B4" w:rsidRDefault="00901F87" w:rsidP="00FA3DF9">
      <w:pPr>
        <w:spacing w:line="240" w:lineRule="auto"/>
        <w:jc w:val="both"/>
        <w:rPr>
          <w:lang w:val="el-GR"/>
        </w:rPr>
      </w:pPr>
      <w:r w:rsidRPr="000874B4">
        <w:rPr>
          <w:lang w:val="el-GR"/>
        </w:rPr>
        <w:t xml:space="preserve">Η χρήση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0874B4">
        <w:rPr>
          <w:lang w:val="el-GR"/>
        </w:rPr>
        <w:t xml:space="preserve"> δεν συνιστάται αμέσως μετά από εγκεφαλικό επεισόδιο καθώς δεν υπάρχουν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στοιχεία γι’ αυτές τις περιπτώσεις.</w:t>
      </w:r>
    </w:p>
    <w:p w:rsidR="00901F87" w:rsidRPr="005707DA" w:rsidRDefault="00901F87" w:rsidP="0080254C">
      <w:pPr>
        <w:spacing w:after="0" w:line="240" w:lineRule="auto"/>
        <w:jc w:val="both"/>
        <w:rPr>
          <w:i/>
          <w:lang w:val="el-GR"/>
        </w:rPr>
      </w:pPr>
      <w:r w:rsidRPr="005707DA">
        <w:rPr>
          <w:i/>
          <w:lang w:val="el-GR"/>
        </w:rPr>
        <w:t>Οπτική λειτουργία</w:t>
      </w:r>
    </w:p>
    <w:p w:rsidR="00901F87" w:rsidRPr="000874B4" w:rsidRDefault="00901F87" w:rsidP="00FA3DF9">
      <w:pPr>
        <w:spacing w:line="240" w:lineRule="auto"/>
        <w:jc w:val="both"/>
        <w:rPr>
          <w:lang w:val="el-GR"/>
        </w:rPr>
      </w:pPr>
      <w:r w:rsidRPr="009312EB">
        <w:rPr>
          <w:lang w:val="el-GR"/>
        </w:rPr>
        <w:t xml:space="preserve">Η </w:t>
      </w:r>
      <w:r w:rsidR="009312EB" w:rsidRPr="009312EB">
        <w:rPr>
          <w:lang w:val="el-GR"/>
        </w:rPr>
        <w:t>ιβαμπραδίνη</w:t>
      </w:r>
      <w:r w:rsidRPr="009312EB">
        <w:rPr>
          <w:lang w:val="el-GR"/>
        </w:rPr>
        <w:t xml:space="preserve"> επηρεάζει τ</w:t>
      </w:r>
      <w:r w:rsidR="00CF173D">
        <w:rPr>
          <w:lang w:val="el-GR"/>
        </w:rPr>
        <w:t>η λειτουργία του αμφιβληστροειδούς</w:t>
      </w:r>
      <w:r w:rsidRPr="009312EB">
        <w:rPr>
          <w:lang w:val="el-GR"/>
        </w:rPr>
        <w:t xml:space="preserve"> . </w:t>
      </w:r>
      <w:r w:rsidRPr="000874B4">
        <w:rPr>
          <w:lang w:val="el-GR"/>
        </w:rPr>
        <w:t>Δεν υπάρχουν ενδείξεις τοξικής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 xml:space="preserve">επίδρασης από τη μακροχρόνια αγωγή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0874B4">
        <w:rPr>
          <w:lang w:val="el-GR"/>
        </w:rPr>
        <w:t xml:space="preserve"> στον αμφιβληστροειδή </w:t>
      </w:r>
      <w:r w:rsidRPr="000874B4">
        <w:rPr>
          <w:lang w:val="el-GR"/>
        </w:rPr>
        <w:lastRenderedPageBreak/>
        <w:t>(βλ.παράγραφο 5.1). Αν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εμφανιστεί μη αναμενόμενη επιδείνωση της οπτικής λειτουργίας, πρέπει να εξετάζεται το ενδεχόμενο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διακοπής της αγωγής. Ιδιαίτερη προσοχή πρέπει να ασκείται σε ασθενείς με μελαγχρωστική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αμφιβληστροειδοπάθεια.</w:t>
      </w:r>
    </w:p>
    <w:p w:rsidR="00901F87" w:rsidRPr="005707DA" w:rsidRDefault="00901F87" w:rsidP="00FA3DF9">
      <w:pPr>
        <w:spacing w:line="240" w:lineRule="auto"/>
        <w:jc w:val="both"/>
        <w:rPr>
          <w:u w:val="single"/>
          <w:lang w:val="el-GR"/>
        </w:rPr>
      </w:pPr>
      <w:r w:rsidRPr="005707DA">
        <w:rPr>
          <w:u w:val="single"/>
          <w:lang w:val="el-GR"/>
        </w:rPr>
        <w:t>Προφυλάξεις για τη χρήση</w:t>
      </w:r>
    </w:p>
    <w:p w:rsidR="00901F87" w:rsidRPr="005707DA" w:rsidRDefault="00901F87" w:rsidP="0080254C">
      <w:pPr>
        <w:spacing w:after="0" w:line="240" w:lineRule="auto"/>
        <w:jc w:val="both"/>
        <w:rPr>
          <w:i/>
          <w:lang w:val="el-GR"/>
        </w:rPr>
      </w:pPr>
      <w:r w:rsidRPr="005707DA">
        <w:rPr>
          <w:i/>
          <w:lang w:val="el-GR"/>
        </w:rPr>
        <w:t>Ασθενείς με υπόταση</w:t>
      </w:r>
    </w:p>
    <w:p w:rsidR="00901F87" w:rsidRPr="000874B4" w:rsidRDefault="00901F87" w:rsidP="00FA3DF9">
      <w:pPr>
        <w:spacing w:line="240" w:lineRule="auto"/>
        <w:jc w:val="both"/>
        <w:rPr>
          <w:lang w:val="el-GR"/>
        </w:rPr>
      </w:pPr>
      <w:r w:rsidRPr="000874B4">
        <w:rPr>
          <w:lang w:val="el-GR"/>
        </w:rPr>
        <w:t>Τα στοιχεία που υπάρχουν για ασθενείς με ήπια έως μέτρια υπόταση είναι περιορισμένα και συνεπώς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 xml:space="preserve">η </w:t>
      </w:r>
      <w:r w:rsidR="009312EB" w:rsidRPr="009312EB">
        <w:rPr>
          <w:lang w:val="el-GR"/>
        </w:rPr>
        <w:t>ιβαμπραδίνη</w:t>
      </w:r>
      <w:r w:rsidRPr="000874B4">
        <w:rPr>
          <w:lang w:val="el-GR"/>
        </w:rPr>
        <w:t xml:space="preserve"> πρέπει να χορηγείται με προσοχή σε αυτούς τους ασθενείς. Η </w:t>
      </w:r>
      <w:r w:rsidR="009312EB" w:rsidRPr="009312EB">
        <w:rPr>
          <w:lang w:val="el-GR"/>
        </w:rPr>
        <w:t>ιβαμπραδίνη</w:t>
      </w:r>
      <w:r w:rsidRPr="000874B4">
        <w:rPr>
          <w:lang w:val="el-GR"/>
        </w:rPr>
        <w:t xml:space="preserve"> αντενδείκνυται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 xml:space="preserve">σε ασθενείς με σοβαρή υπόταση (αρτηριακή πίεση &lt; 90/50 </w:t>
      </w:r>
      <w:r>
        <w:t>mmHg</w:t>
      </w:r>
      <w:r w:rsidRPr="000874B4">
        <w:rPr>
          <w:lang w:val="el-GR"/>
        </w:rPr>
        <w:t>) (βλ. παράγραφο 4.3).</w:t>
      </w:r>
    </w:p>
    <w:p w:rsidR="00901F87" w:rsidRPr="005707DA" w:rsidRDefault="00901F87" w:rsidP="0080254C">
      <w:pPr>
        <w:spacing w:after="0" w:line="240" w:lineRule="auto"/>
        <w:jc w:val="both"/>
        <w:rPr>
          <w:i/>
          <w:lang w:val="el-GR"/>
        </w:rPr>
      </w:pPr>
      <w:r w:rsidRPr="005707DA">
        <w:rPr>
          <w:i/>
          <w:lang w:val="el-GR"/>
        </w:rPr>
        <w:t>Κολπική μαρμαρυγή – Καρδιακές αρρυθμίες</w:t>
      </w:r>
    </w:p>
    <w:p w:rsidR="00901F87" w:rsidRPr="000874B4" w:rsidRDefault="00901F87" w:rsidP="00FA3DF9">
      <w:pPr>
        <w:spacing w:line="240" w:lineRule="auto"/>
        <w:jc w:val="both"/>
        <w:rPr>
          <w:lang w:val="el-GR"/>
        </w:rPr>
      </w:pPr>
      <w:r w:rsidRPr="000874B4">
        <w:rPr>
          <w:lang w:val="el-GR"/>
        </w:rPr>
        <w:t>Δεν υπάρχουν στοιχεία κινδύνου εμφάνισης (υπερβολικής) βραδυκαρδίας κατά την επαναφορά του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φλεβοκομβικού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ρυθμού, όταν ξεκινά η φαρμακολογική καρδιοανάταξη σε ασθενείς που ακολουθούν αγωγή με</w:t>
      </w:r>
      <w:r w:rsidR="000874B4" w:rsidRPr="000874B4">
        <w:rPr>
          <w:lang w:val="el-GR"/>
        </w:rPr>
        <w:t xml:space="preserve"> </w:t>
      </w:r>
      <w:r w:rsidR="009312EB" w:rsidRPr="009312EB">
        <w:rPr>
          <w:lang w:val="el-GR"/>
        </w:rPr>
        <w:t>ιβαμπραδίνη</w:t>
      </w:r>
      <w:r w:rsidRPr="000874B4">
        <w:rPr>
          <w:lang w:val="el-GR"/>
        </w:rPr>
        <w:t>. Ωστόσο, λόγω απουσίας εκτεταμένων στοιχείων, το ενδεχόμενο μη επείγουσας</w:t>
      </w:r>
      <w:r w:rsidR="000874B4" w:rsidRPr="000874B4">
        <w:rPr>
          <w:lang w:val="el-GR"/>
        </w:rPr>
        <w:t xml:space="preserve"> </w:t>
      </w:r>
      <w:r w:rsidRPr="000874B4">
        <w:rPr>
          <w:lang w:val="el-GR"/>
        </w:rPr>
        <w:t>καρδιοανάταξης με συνεχόμενο ρεύμα θα πρέπει να εξετάζεται 24 ώρες μετά την τελευταία δόση</w:t>
      </w:r>
      <w:r w:rsidR="000874B4" w:rsidRPr="000874B4">
        <w:rPr>
          <w:lang w:val="el-GR"/>
        </w:rPr>
        <w:t xml:space="preserve">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0874B4">
        <w:rPr>
          <w:lang w:val="el-GR"/>
        </w:rPr>
        <w:t>.</w:t>
      </w:r>
    </w:p>
    <w:p w:rsidR="00901F87" w:rsidRPr="005707DA" w:rsidRDefault="00901F87" w:rsidP="0080254C">
      <w:pPr>
        <w:spacing w:after="0" w:line="240" w:lineRule="auto"/>
        <w:jc w:val="both"/>
        <w:rPr>
          <w:i/>
          <w:lang w:val="el-GR"/>
        </w:rPr>
      </w:pPr>
      <w:r w:rsidRPr="005707DA">
        <w:rPr>
          <w:i/>
          <w:lang w:val="el-GR"/>
        </w:rPr>
        <w:t xml:space="preserve">Χρήση σε ασθενείς με συγγενές σύνδρομο </w:t>
      </w:r>
      <w:r w:rsidRPr="0080254C">
        <w:rPr>
          <w:i/>
        </w:rPr>
        <w:t>QT</w:t>
      </w:r>
      <w:r w:rsidRPr="005707DA">
        <w:rPr>
          <w:i/>
          <w:lang w:val="el-GR"/>
        </w:rPr>
        <w:t xml:space="preserve"> ή που ακολουθούν αγωγή με φαρμακευτικά προϊόντα που</w:t>
      </w:r>
      <w:r w:rsidR="00E123FC" w:rsidRPr="005707DA">
        <w:rPr>
          <w:i/>
          <w:lang w:val="el-GR"/>
        </w:rPr>
        <w:t xml:space="preserve"> </w:t>
      </w:r>
      <w:r w:rsidRPr="005707DA">
        <w:rPr>
          <w:i/>
          <w:lang w:val="el-GR"/>
        </w:rPr>
        <w:t xml:space="preserve">επιμηκύνουν το διάστημα </w:t>
      </w:r>
      <w:r w:rsidRPr="0080254C">
        <w:rPr>
          <w:i/>
        </w:rPr>
        <w:t>QT</w:t>
      </w:r>
    </w:p>
    <w:p w:rsidR="00901F87" w:rsidRPr="00E123FC" w:rsidRDefault="00901F87" w:rsidP="00FA3DF9">
      <w:pPr>
        <w:spacing w:line="240" w:lineRule="auto"/>
        <w:jc w:val="both"/>
        <w:rPr>
          <w:lang w:val="el-GR"/>
        </w:rPr>
      </w:pPr>
      <w:r w:rsidRPr="00E123FC">
        <w:rPr>
          <w:lang w:val="el-GR"/>
        </w:rPr>
        <w:t xml:space="preserve">Η χρήση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E123FC">
        <w:rPr>
          <w:lang w:val="el-GR"/>
        </w:rPr>
        <w:t xml:space="preserve"> σε ασθενείς με συγγενές σύνδρομο </w:t>
      </w:r>
      <w:r>
        <w:t>QT</w:t>
      </w:r>
      <w:r w:rsidRPr="00E123FC">
        <w:rPr>
          <w:lang w:val="el-GR"/>
        </w:rPr>
        <w:t xml:space="preserve"> ή που ακολουθούν αγωγή με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 xml:space="preserve">φαρμακευτικά προϊόντα τα οποία επιμηκύνουν το διάστημα </w:t>
      </w:r>
      <w:r>
        <w:t>QT</w:t>
      </w:r>
      <w:r w:rsidRPr="00E123FC">
        <w:rPr>
          <w:lang w:val="el-GR"/>
        </w:rPr>
        <w:t xml:space="preserve"> πρέπει να αποφεύγεται (βλ.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>παράγραφο 4.5). Εάν ο συνδυασμός είναι απαραίτητος, απαιτείται στενή καρδιολογική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>παρακολούθηση.</w:t>
      </w:r>
    </w:p>
    <w:p w:rsidR="00901F87" w:rsidRPr="00E123FC" w:rsidRDefault="00901F87" w:rsidP="00FA3DF9">
      <w:pPr>
        <w:spacing w:line="240" w:lineRule="auto"/>
        <w:jc w:val="both"/>
        <w:rPr>
          <w:lang w:val="el-GR"/>
        </w:rPr>
      </w:pPr>
      <w:r w:rsidRPr="00E123FC">
        <w:rPr>
          <w:lang w:val="el-GR"/>
        </w:rPr>
        <w:t xml:space="preserve">Η μείωση της καρδιακής συχνότητας που προκαλείται από την </w:t>
      </w:r>
      <w:r w:rsidR="009312EB" w:rsidRPr="009312EB">
        <w:rPr>
          <w:lang w:val="el-GR"/>
        </w:rPr>
        <w:t>ιβαμπραδίνη</w:t>
      </w:r>
      <w:r w:rsidRPr="00E123FC">
        <w:rPr>
          <w:lang w:val="el-GR"/>
        </w:rPr>
        <w:t>, μπορεί να επιδεινώσει την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 xml:space="preserve">επιμήκυνση του διαστήματος </w:t>
      </w:r>
      <w:r>
        <w:t>QT</w:t>
      </w:r>
      <w:r w:rsidRPr="00E123FC">
        <w:rPr>
          <w:lang w:val="el-GR"/>
        </w:rPr>
        <w:t xml:space="preserve"> το οποίο μπορεί να προκαλέσει σοβαρές αρρυθμίες, ειδικότερα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>την κοιλιακή ταχυκαρδία δίκην ριπιδίου (Τ</w:t>
      </w:r>
      <w:r>
        <w:t>orsade</w:t>
      </w:r>
      <w:r w:rsidRPr="00E123FC">
        <w:rPr>
          <w:lang w:val="el-GR"/>
        </w:rPr>
        <w:t xml:space="preserve"> </w:t>
      </w:r>
      <w:r>
        <w:t>de</w:t>
      </w:r>
      <w:r w:rsidRPr="00E123FC">
        <w:rPr>
          <w:lang w:val="el-GR"/>
        </w:rPr>
        <w:t xml:space="preserve"> </w:t>
      </w:r>
      <w:r>
        <w:t>pointes</w:t>
      </w:r>
      <w:r w:rsidRPr="00E123FC">
        <w:rPr>
          <w:lang w:val="el-GR"/>
        </w:rPr>
        <w:t>).</w:t>
      </w:r>
    </w:p>
    <w:p w:rsidR="00901F87" w:rsidRPr="005707DA" w:rsidRDefault="00901F87" w:rsidP="0080254C">
      <w:pPr>
        <w:spacing w:after="0" w:line="240" w:lineRule="auto"/>
        <w:jc w:val="both"/>
        <w:rPr>
          <w:i/>
          <w:lang w:val="el-GR"/>
        </w:rPr>
      </w:pPr>
      <w:r w:rsidRPr="005707DA">
        <w:rPr>
          <w:i/>
          <w:lang w:val="el-GR"/>
        </w:rPr>
        <w:t>Υπερτασικοί ασθενείς που χρειάζονται αλλαγές στην αντιυπερτασική αγωγή τους</w:t>
      </w:r>
    </w:p>
    <w:p w:rsidR="00901F87" w:rsidRPr="00E123FC" w:rsidRDefault="00901F87" w:rsidP="00FA3DF9">
      <w:pPr>
        <w:spacing w:line="240" w:lineRule="auto"/>
        <w:jc w:val="both"/>
        <w:rPr>
          <w:lang w:val="el-GR"/>
        </w:rPr>
      </w:pPr>
      <w:r w:rsidRPr="00E123FC">
        <w:rPr>
          <w:lang w:val="el-GR"/>
        </w:rPr>
        <w:t xml:space="preserve">Στη μελέτη </w:t>
      </w:r>
      <w:r>
        <w:t>SHIFT</w:t>
      </w:r>
      <w:r w:rsidRPr="00E123FC">
        <w:rPr>
          <w:lang w:val="el-GR"/>
        </w:rPr>
        <w:t>, περισσότεροι ασθενείς εκδήλωσαν επεισόδια αυξημένης αρτηριακής πίεσης ενώ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 xml:space="preserve">ακολουθούσαν αγωγή με </w:t>
      </w:r>
      <w:r w:rsidR="009312EB" w:rsidRPr="009312EB">
        <w:rPr>
          <w:lang w:val="el-GR"/>
        </w:rPr>
        <w:t>ιβαμπραδίνη</w:t>
      </w:r>
      <w:r w:rsidRPr="00E123FC">
        <w:rPr>
          <w:lang w:val="el-GR"/>
        </w:rPr>
        <w:t xml:space="preserve"> (7,1%), συγκριτικά με τους ασθενείς που λάμβαναν εικονικό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>φάρμακο (6,1%). Τα επεισόδια αυτά ήταν πιο συχνά αμέσως μετά την αλλαγή της αντιυπερτασικής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 xml:space="preserve">αγωγής, ήταν παροδικά και δεν επηρέασαν τη θεραπευτική δράση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E123FC">
        <w:rPr>
          <w:lang w:val="el-GR"/>
        </w:rPr>
        <w:t>. Όταν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>πραγματοποιούνται αλλαγές στη θεραπεία ασθενών με χρόνια καρδιακή ανεπάρκεια, οι οποίοι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 xml:space="preserve">ακολουθούν αγωγή με </w:t>
      </w:r>
      <w:r w:rsidR="009312EB" w:rsidRPr="009312EB">
        <w:rPr>
          <w:lang w:val="el-GR"/>
        </w:rPr>
        <w:t>ιβαμπραδίνη</w:t>
      </w:r>
      <w:r w:rsidRPr="00E123FC">
        <w:rPr>
          <w:lang w:val="el-GR"/>
        </w:rPr>
        <w:t>, η αρτηριακή πίεση θα πρέπει να παρακολουθείται ανά τακτά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>διαστήματα (βλ. παράγραφο 4.8).</w:t>
      </w:r>
    </w:p>
    <w:p w:rsidR="00901F87" w:rsidRPr="005707DA" w:rsidRDefault="00901F87" w:rsidP="0080254C">
      <w:pPr>
        <w:spacing w:after="0" w:line="240" w:lineRule="auto"/>
        <w:jc w:val="both"/>
        <w:rPr>
          <w:i/>
          <w:lang w:val="el-GR"/>
        </w:rPr>
      </w:pPr>
      <w:r w:rsidRPr="005707DA">
        <w:rPr>
          <w:i/>
          <w:lang w:val="el-GR"/>
        </w:rPr>
        <w:t>Έκδοχα</w:t>
      </w:r>
    </w:p>
    <w:p w:rsidR="00901F87" w:rsidRPr="00E123FC" w:rsidRDefault="00901F87" w:rsidP="00FA3DF9">
      <w:pPr>
        <w:spacing w:line="240" w:lineRule="auto"/>
        <w:jc w:val="both"/>
        <w:rPr>
          <w:lang w:val="el-GR"/>
        </w:rPr>
      </w:pPr>
      <w:r w:rsidRPr="00E123FC">
        <w:rPr>
          <w:lang w:val="el-GR"/>
        </w:rPr>
        <w:t>Επειδή τα δισκία περιέχουν λακτόζη, οι ασθενείς με σπάνια κληρονομικά προβλήματα δυσανεξίας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 xml:space="preserve">στη γαλακτόζη, με ανεπάρκεια λακτάσης κατά </w:t>
      </w:r>
      <w:r>
        <w:t>Lapp</w:t>
      </w:r>
      <w:r w:rsidRPr="00E123FC">
        <w:rPr>
          <w:lang w:val="el-GR"/>
        </w:rPr>
        <w:t xml:space="preserve"> ή δυσαπορρόφηση γλυκόζης – γαλακτόζης δεν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>πρέπει να παίρνουν αυτό το φαρμακευτικό προϊόν.</w:t>
      </w:r>
    </w:p>
    <w:p w:rsidR="00901F87" w:rsidRPr="006B1892" w:rsidRDefault="00901F87" w:rsidP="006B1892">
      <w:pPr>
        <w:pStyle w:val="a3"/>
        <w:numPr>
          <w:ilvl w:val="1"/>
          <w:numId w:val="2"/>
        </w:numPr>
        <w:spacing w:line="240" w:lineRule="auto"/>
        <w:ind w:left="357" w:hanging="357"/>
        <w:contextualSpacing w:val="0"/>
        <w:jc w:val="both"/>
        <w:rPr>
          <w:b/>
          <w:lang w:val="el-GR"/>
        </w:rPr>
      </w:pPr>
      <w:r w:rsidRPr="006B1892">
        <w:rPr>
          <w:b/>
          <w:lang w:val="el-GR"/>
        </w:rPr>
        <w:t>Αλληλεπιδράσεις με άλλα φαρμακευτικά προϊόντα και άλλες μορφές αλληλεπίδρασης</w:t>
      </w:r>
    </w:p>
    <w:p w:rsidR="00901F87" w:rsidRPr="005707DA" w:rsidRDefault="00901F87" w:rsidP="00FA3DF9">
      <w:pPr>
        <w:spacing w:line="240" w:lineRule="auto"/>
        <w:jc w:val="both"/>
        <w:rPr>
          <w:u w:val="single"/>
          <w:lang w:val="el-GR"/>
        </w:rPr>
      </w:pPr>
      <w:r w:rsidRPr="005707DA">
        <w:rPr>
          <w:u w:val="single"/>
          <w:lang w:val="el-GR"/>
        </w:rPr>
        <w:t>Φαρμακοδυναμικές αλληλεπιδράσεις</w:t>
      </w:r>
    </w:p>
    <w:p w:rsidR="00901F87" w:rsidRPr="005707DA" w:rsidRDefault="00901F87" w:rsidP="0080254C">
      <w:pPr>
        <w:spacing w:after="0" w:line="240" w:lineRule="auto"/>
        <w:jc w:val="both"/>
        <w:rPr>
          <w:i/>
          <w:lang w:val="el-GR"/>
        </w:rPr>
      </w:pPr>
      <w:r w:rsidRPr="005707DA">
        <w:rPr>
          <w:i/>
          <w:lang w:val="el-GR"/>
        </w:rPr>
        <w:t>Δεν συνιστάται ταυτόχρονη χορήγηση</w:t>
      </w:r>
    </w:p>
    <w:p w:rsidR="00901F87" w:rsidRPr="005707DA" w:rsidRDefault="00901F87" w:rsidP="00FA3DF9">
      <w:pPr>
        <w:spacing w:line="240" w:lineRule="auto"/>
        <w:jc w:val="both"/>
        <w:rPr>
          <w:lang w:val="el-GR"/>
        </w:rPr>
      </w:pPr>
      <w:r w:rsidRPr="005707DA">
        <w:rPr>
          <w:lang w:val="el-GR"/>
        </w:rPr>
        <w:lastRenderedPageBreak/>
        <w:t xml:space="preserve">Φαρμακευτικά προϊόντα που επιμηκύνουν το διάστημα </w:t>
      </w:r>
      <w:r>
        <w:t>QT</w:t>
      </w:r>
    </w:p>
    <w:p w:rsidR="00901F87" w:rsidRPr="00E123FC" w:rsidRDefault="00901F87" w:rsidP="00E123FC">
      <w:pPr>
        <w:pStyle w:val="a3"/>
        <w:numPr>
          <w:ilvl w:val="0"/>
          <w:numId w:val="3"/>
        </w:numPr>
        <w:spacing w:line="240" w:lineRule="auto"/>
        <w:ind w:left="357" w:hanging="357"/>
        <w:jc w:val="both"/>
        <w:rPr>
          <w:lang w:val="el-GR"/>
        </w:rPr>
      </w:pPr>
      <w:r w:rsidRPr="00E123FC">
        <w:rPr>
          <w:lang w:val="el-GR"/>
        </w:rPr>
        <w:t>Καρδιαγγειακά φαρμακευτικά προϊόντα που επιμηκύνουν το διάστημα QT (π.χ. κινιδίνη,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>δισοπυραμίδη, μπεπριδίλη, σοταλόλη, ιβουτιλίδη, αμιοδαρόνη)</w:t>
      </w:r>
    </w:p>
    <w:p w:rsidR="00901F87" w:rsidRPr="00E123FC" w:rsidRDefault="00901F87" w:rsidP="00C738A4">
      <w:pPr>
        <w:pStyle w:val="a3"/>
        <w:numPr>
          <w:ilvl w:val="0"/>
          <w:numId w:val="3"/>
        </w:numPr>
        <w:spacing w:line="240" w:lineRule="auto"/>
        <w:ind w:left="357" w:hanging="357"/>
        <w:jc w:val="both"/>
        <w:rPr>
          <w:lang w:val="el-GR"/>
        </w:rPr>
      </w:pPr>
      <w:r w:rsidRPr="00E123FC">
        <w:rPr>
          <w:lang w:val="el-GR"/>
        </w:rPr>
        <w:t xml:space="preserve">Μη καρδιαγγειακά φαρμακευτικά προϊόντα, που επιμηκύνουν το διάστημα </w:t>
      </w:r>
      <w:r w:rsidRPr="00C738A4">
        <w:rPr>
          <w:lang w:val="el-GR"/>
        </w:rPr>
        <w:t>QT</w:t>
      </w:r>
      <w:r w:rsidRPr="00E123FC">
        <w:rPr>
          <w:lang w:val="el-GR"/>
        </w:rPr>
        <w:t xml:space="preserve"> (π.χ. πιμοζίδη,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>ζιπρασιδόνη, σερτινδόλη, μεφλοκίνη, αλοφαντρίνη, πενταμιδίνη, σιζαπρίδη, ερυθρομυκίνη με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>ενδοφλέβια χορήγηση)</w:t>
      </w:r>
    </w:p>
    <w:p w:rsidR="00901F87" w:rsidRPr="00E123FC" w:rsidRDefault="00901F87" w:rsidP="00FA3DF9">
      <w:pPr>
        <w:spacing w:line="240" w:lineRule="auto"/>
        <w:jc w:val="both"/>
        <w:rPr>
          <w:lang w:val="el-GR"/>
        </w:rPr>
      </w:pPr>
      <w:r w:rsidRPr="00E123FC">
        <w:rPr>
          <w:lang w:val="el-GR"/>
        </w:rPr>
        <w:t>Η ταυτόχρονη χορήγηση καρδιαγγειακών και μη καρδιαγγειακών φαρμακευτικών προϊόντων που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 xml:space="preserve">επιμηκύνουν το διάστημα </w:t>
      </w:r>
      <w:r>
        <w:t>QT</w:t>
      </w:r>
      <w:r w:rsidRPr="00E123FC">
        <w:rPr>
          <w:lang w:val="el-GR"/>
        </w:rPr>
        <w:t xml:space="preserve"> με </w:t>
      </w:r>
      <w:r w:rsidR="009312EB" w:rsidRPr="009312EB">
        <w:rPr>
          <w:lang w:val="el-GR"/>
        </w:rPr>
        <w:t>ιβαμπραδίνη</w:t>
      </w:r>
      <w:r w:rsidRPr="00E123FC">
        <w:rPr>
          <w:lang w:val="el-GR"/>
        </w:rPr>
        <w:t xml:space="preserve"> πρέπει να αποφεύγεται, γιατί μπορεί η επιμήκυνση του</w:t>
      </w:r>
      <w:r w:rsidR="00E123FC" w:rsidRPr="00E123FC">
        <w:rPr>
          <w:lang w:val="el-GR"/>
        </w:rPr>
        <w:t xml:space="preserve"> </w:t>
      </w:r>
      <w:r>
        <w:t>QT</w:t>
      </w:r>
      <w:r w:rsidRPr="00E123FC">
        <w:rPr>
          <w:lang w:val="el-GR"/>
        </w:rPr>
        <w:t xml:space="preserve"> να επιδεινωθεί από τη μείωση της καρδιακής συχνότητας. Εάν ο συνδυασμός είναι απαραίτητος,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>απαιτείται στενή καρδιολογική παρακολούθηση (βλ. παράγραφο 4.4).</w:t>
      </w:r>
    </w:p>
    <w:p w:rsidR="00901F87" w:rsidRPr="005707DA" w:rsidRDefault="00901F87" w:rsidP="0080254C">
      <w:pPr>
        <w:spacing w:after="0" w:line="240" w:lineRule="auto"/>
        <w:jc w:val="both"/>
        <w:rPr>
          <w:i/>
          <w:lang w:val="el-GR"/>
        </w:rPr>
      </w:pPr>
      <w:r w:rsidRPr="005707DA">
        <w:rPr>
          <w:i/>
          <w:lang w:val="el-GR"/>
        </w:rPr>
        <w:t>Ταυτόχρονη χρήση με προσοχή</w:t>
      </w:r>
    </w:p>
    <w:p w:rsidR="00901F87" w:rsidRPr="00E123FC" w:rsidRDefault="00901F87" w:rsidP="00FA3DF9">
      <w:pPr>
        <w:spacing w:line="240" w:lineRule="auto"/>
        <w:jc w:val="both"/>
        <w:rPr>
          <w:lang w:val="el-GR"/>
        </w:rPr>
      </w:pPr>
      <w:r w:rsidRPr="00E123FC">
        <w:rPr>
          <w:lang w:val="el-GR"/>
        </w:rPr>
        <w:t>Διουρητικά που μειώνουν το κάλιο (θειαζιδικά διουρητικά και διουρητικά της αγκύλης): η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 xml:space="preserve">υποκαλιαιμία μπορεί να αυξήσει τον κίνδυνο αρρυθμιών. Καθώς η </w:t>
      </w:r>
      <w:r w:rsidR="009312EB" w:rsidRPr="009312EB">
        <w:rPr>
          <w:lang w:val="el-GR"/>
        </w:rPr>
        <w:t>ιβαμπραδίνη</w:t>
      </w:r>
      <w:r w:rsidRPr="00E123FC">
        <w:rPr>
          <w:lang w:val="el-GR"/>
        </w:rPr>
        <w:t xml:space="preserve"> μπορεί να προκαλέσει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>βραδυκαρδία, το αποτέλεσμα του συνδυασμού υποκαλιαιμίας και βραδυκαρδίας αποτελεί παράγοντα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>προδιάθεσης για την εμφάνιση σοβαρών αρρυθμιών, ιδιαίτερα σε ασθενείς που είτε λόγω συγγενής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 xml:space="preserve">ανωμαλίας είτε προκαλούμενο από κάποια ουσία εμφανίζουν παρατεταμένο το διάστημα </w:t>
      </w:r>
      <w:r>
        <w:t>QT</w:t>
      </w:r>
      <w:r w:rsidRPr="00E123FC">
        <w:rPr>
          <w:lang w:val="el-GR"/>
        </w:rPr>
        <w:t>.</w:t>
      </w:r>
    </w:p>
    <w:p w:rsidR="00901F87" w:rsidRPr="005707DA" w:rsidRDefault="00901F87" w:rsidP="00FA3DF9">
      <w:pPr>
        <w:spacing w:line="240" w:lineRule="auto"/>
        <w:jc w:val="both"/>
        <w:rPr>
          <w:u w:val="single"/>
          <w:lang w:val="el-GR"/>
        </w:rPr>
      </w:pPr>
      <w:r w:rsidRPr="005707DA">
        <w:rPr>
          <w:u w:val="single"/>
          <w:lang w:val="el-GR"/>
        </w:rPr>
        <w:t>Φαρμακοκινητικές αλληλεπιδράσεις</w:t>
      </w:r>
    </w:p>
    <w:p w:rsidR="00901F87" w:rsidRPr="005707DA" w:rsidRDefault="00901F87" w:rsidP="0080254C">
      <w:pPr>
        <w:spacing w:after="0" w:line="240" w:lineRule="auto"/>
        <w:jc w:val="both"/>
        <w:rPr>
          <w:i/>
          <w:lang w:val="el-GR"/>
        </w:rPr>
      </w:pPr>
      <w:r w:rsidRPr="005707DA">
        <w:rPr>
          <w:i/>
          <w:lang w:val="el-GR"/>
        </w:rPr>
        <w:t>Κυτόχρωμα Ρ450 3Α4 (</w:t>
      </w:r>
      <w:r w:rsidRPr="0080254C">
        <w:rPr>
          <w:i/>
        </w:rPr>
        <w:t>CYP</w:t>
      </w:r>
      <w:r w:rsidRPr="005707DA">
        <w:rPr>
          <w:i/>
          <w:lang w:val="el-GR"/>
        </w:rPr>
        <w:t>3</w:t>
      </w:r>
      <w:r w:rsidRPr="0080254C">
        <w:rPr>
          <w:i/>
        </w:rPr>
        <w:t>A</w:t>
      </w:r>
      <w:r w:rsidRPr="005707DA">
        <w:rPr>
          <w:i/>
          <w:lang w:val="el-GR"/>
        </w:rPr>
        <w:t>4)</w:t>
      </w:r>
    </w:p>
    <w:p w:rsidR="00901F87" w:rsidRPr="00E123FC" w:rsidRDefault="00901F87" w:rsidP="00FA3DF9">
      <w:pPr>
        <w:spacing w:line="240" w:lineRule="auto"/>
        <w:jc w:val="both"/>
        <w:rPr>
          <w:lang w:val="el-GR"/>
        </w:rPr>
      </w:pPr>
      <w:r>
        <w:t>H</w:t>
      </w:r>
      <w:r w:rsidRPr="00E123FC">
        <w:rPr>
          <w:lang w:val="el-GR"/>
        </w:rPr>
        <w:t xml:space="preserve"> </w:t>
      </w:r>
      <w:r w:rsidR="009312EB" w:rsidRPr="009312EB">
        <w:rPr>
          <w:lang w:val="el-GR"/>
        </w:rPr>
        <w:t>ιβαμπραδίνη</w:t>
      </w:r>
      <w:r w:rsidRPr="00E123FC">
        <w:rPr>
          <w:lang w:val="el-GR"/>
        </w:rPr>
        <w:t xml:space="preserve"> μεταβολίζεται μόνο από το </w:t>
      </w:r>
      <w:r>
        <w:t>CYP</w:t>
      </w:r>
      <w:r w:rsidRPr="00E123FC">
        <w:rPr>
          <w:lang w:val="el-GR"/>
        </w:rPr>
        <w:t>3</w:t>
      </w:r>
      <w:r>
        <w:t>A</w:t>
      </w:r>
      <w:r w:rsidRPr="00E123FC">
        <w:rPr>
          <w:lang w:val="el-GR"/>
        </w:rPr>
        <w:t>4 και είναι πολύ ασθενής αναστολέας αυτού του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>κυτοχρώματος.</w:t>
      </w:r>
    </w:p>
    <w:p w:rsidR="00901F87" w:rsidRPr="00E123FC" w:rsidRDefault="00901F87" w:rsidP="00FA3DF9">
      <w:pPr>
        <w:spacing w:line="240" w:lineRule="auto"/>
        <w:jc w:val="both"/>
        <w:rPr>
          <w:lang w:val="el-GR"/>
        </w:rPr>
      </w:pPr>
      <w:r w:rsidRPr="00E123FC">
        <w:rPr>
          <w:lang w:val="el-GR"/>
        </w:rPr>
        <w:t xml:space="preserve">Έχει αποδειχτεί ότι η </w:t>
      </w:r>
      <w:r w:rsidR="009312EB" w:rsidRPr="009312EB">
        <w:rPr>
          <w:lang w:val="el-GR"/>
        </w:rPr>
        <w:t>ιβαμπραδίνη</w:t>
      </w:r>
      <w:r w:rsidRPr="00E123FC">
        <w:rPr>
          <w:lang w:val="el-GR"/>
        </w:rPr>
        <w:t xml:space="preserve"> δεν επηρεάζει το μεταβολισμό και τις συγκεντρώσεις των άλλων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 xml:space="preserve">υποστρωμάτων του </w:t>
      </w:r>
      <w:r>
        <w:t>CYP</w:t>
      </w:r>
      <w:r w:rsidRPr="00E123FC">
        <w:rPr>
          <w:lang w:val="el-GR"/>
        </w:rPr>
        <w:t>3</w:t>
      </w:r>
      <w:r>
        <w:t>A</w:t>
      </w:r>
      <w:r w:rsidRPr="00E123FC">
        <w:rPr>
          <w:lang w:val="el-GR"/>
        </w:rPr>
        <w:t>4 (ήπιων, μέτριων και ισχυρών αναστολέων) στο πλάσμα. Οι αναστολείς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 xml:space="preserve">και επαγωγείς του </w:t>
      </w:r>
      <w:r>
        <w:t>CYP</w:t>
      </w:r>
      <w:r w:rsidRPr="00E123FC">
        <w:rPr>
          <w:lang w:val="el-GR"/>
        </w:rPr>
        <w:t>3</w:t>
      </w:r>
      <w:r>
        <w:t>A</w:t>
      </w:r>
      <w:r w:rsidRPr="00E123FC">
        <w:rPr>
          <w:lang w:val="el-GR"/>
        </w:rPr>
        <w:t xml:space="preserve">4 τείνουν να αλληλεπιδρούν με την </w:t>
      </w:r>
      <w:r w:rsidR="009312EB" w:rsidRPr="009312EB">
        <w:rPr>
          <w:lang w:val="el-GR"/>
        </w:rPr>
        <w:t>ιβαμπραδίνη</w:t>
      </w:r>
      <w:r w:rsidRPr="00E123FC">
        <w:rPr>
          <w:lang w:val="el-GR"/>
        </w:rPr>
        <w:t xml:space="preserve"> και να επηρεάζουν το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>μεταβολισμό και τη φαρμακοκινητική της σε βαθμό κλινικά σημαντικό. Μελέτες φαρμακευτικών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 xml:space="preserve">αλληλεπιδράσεων έχουν αποδείξει ότι οι αναστολείς του </w:t>
      </w:r>
      <w:r>
        <w:t>CYP</w:t>
      </w:r>
      <w:r w:rsidRPr="00E123FC">
        <w:rPr>
          <w:lang w:val="el-GR"/>
        </w:rPr>
        <w:t>3</w:t>
      </w:r>
      <w:r>
        <w:t>A</w:t>
      </w:r>
      <w:r w:rsidRPr="00E123FC">
        <w:rPr>
          <w:lang w:val="el-GR"/>
        </w:rPr>
        <w:t>4 αυξάνουν τις συγκεντρώσεις</w:t>
      </w:r>
      <w:r w:rsidR="00E123FC" w:rsidRPr="00E123FC">
        <w:rPr>
          <w:lang w:val="el-GR"/>
        </w:rPr>
        <w:t xml:space="preserve">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E123FC">
        <w:rPr>
          <w:lang w:val="el-GR"/>
        </w:rPr>
        <w:t xml:space="preserve"> στο πλάσμα, ενώ οι επαγωγείς τις μειώνουν. Οι αυξημένες συγκεντρώσεις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E123FC">
        <w:rPr>
          <w:lang w:val="el-GR"/>
        </w:rPr>
        <w:t xml:space="preserve"> στο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>πλάσμα μπορεί να συνδέονται με κίνδυνο υπερβολικής βραδυκαρδίας (βλ. παράγραφο 4.4).</w:t>
      </w:r>
    </w:p>
    <w:p w:rsidR="00901F87" w:rsidRPr="005707DA" w:rsidRDefault="00901F87" w:rsidP="0080254C">
      <w:pPr>
        <w:spacing w:after="0" w:line="240" w:lineRule="auto"/>
        <w:jc w:val="both"/>
        <w:rPr>
          <w:i/>
          <w:lang w:val="el-GR"/>
        </w:rPr>
      </w:pPr>
      <w:r w:rsidRPr="005707DA">
        <w:rPr>
          <w:i/>
          <w:lang w:val="el-GR"/>
        </w:rPr>
        <w:t>Αντενδείξεις ταυτόχρονης χορήγησης</w:t>
      </w:r>
    </w:p>
    <w:p w:rsidR="00901F87" w:rsidRPr="00E123FC" w:rsidRDefault="00901F87" w:rsidP="00FA3DF9">
      <w:pPr>
        <w:spacing w:line="240" w:lineRule="auto"/>
        <w:jc w:val="both"/>
        <w:rPr>
          <w:lang w:val="el-GR"/>
        </w:rPr>
      </w:pPr>
      <w:r w:rsidRPr="00E123FC">
        <w:rPr>
          <w:lang w:val="el-GR"/>
        </w:rPr>
        <w:t xml:space="preserve">Η ταυτόχρονη χορήγηση ισχυρών αναστολέων του </w:t>
      </w:r>
      <w:r>
        <w:t>CYP</w:t>
      </w:r>
      <w:r w:rsidRPr="00E123FC">
        <w:rPr>
          <w:lang w:val="el-GR"/>
        </w:rPr>
        <w:t>3</w:t>
      </w:r>
      <w:r>
        <w:t>A</w:t>
      </w:r>
      <w:r w:rsidRPr="00E123FC">
        <w:rPr>
          <w:lang w:val="el-GR"/>
        </w:rPr>
        <w:t>4, όπως αζολικά αντιμυκητησιακά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>(κετοκοναζόλη, ιτρακοναζόλη), μακρολιδικά αντιβιοτικά (κλαριθρομυκίνη, ερυθρομυκίνη από του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 xml:space="preserve">στόματος, ζοσαμυκίνη, τελιθρομυκίνη), αναστολείς της </w:t>
      </w:r>
      <w:r>
        <w:t>HIV</w:t>
      </w:r>
      <w:r w:rsidRPr="00E123FC">
        <w:rPr>
          <w:lang w:val="el-GR"/>
        </w:rPr>
        <w:t xml:space="preserve"> πρωτεάσης (νελφιναβίρη, ριτοναβίρη)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 xml:space="preserve">και νεφαζοδόνη αντενδείκνυται (βλ. παράγραφο 4.3). Οι ισχυροί αναστολείς του </w:t>
      </w:r>
      <w:r>
        <w:t>CYP</w:t>
      </w:r>
      <w:r w:rsidRPr="00E123FC">
        <w:rPr>
          <w:lang w:val="el-GR"/>
        </w:rPr>
        <w:t>3</w:t>
      </w:r>
      <w:r>
        <w:t>A</w:t>
      </w:r>
      <w:r w:rsidRPr="00E123FC">
        <w:rPr>
          <w:lang w:val="el-GR"/>
        </w:rPr>
        <w:t>4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 xml:space="preserve">κετοκοναζόλη (200 </w:t>
      </w:r>
      <w:r>
        <w:t>mg</w:t>
      </w:r>
      <w:r w:rsidRPr="00E123FC">
        <w:rPr>
          <w:lang w:val="el-GR"/>
        </w:rPr>
        <w:t xml:space="preserve"> μία φορά την ημέρα) και ζοσαμυκίνη (1 </w:t>
      </w:r>
      <w:r>
        <w:t>g</w:t>
      </w:r>
      <w:r w:rsidRPr="00E123FC">
        <w:rPr>
          <w:lang w:val="el-GR"/>
        </w:rPr>
        <w:t xml:space="preserve"> δύο φορές την ημέρα) αύξησαν τη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 xml:space="preserve">μέση έκθεση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E123FC">
        <w:rPr>
          <w:lang w:val="el-GR"/>
        </w:rPr>
        <w:t xml:space="preserve"> στο πλάσμα κατά 7 έως 8 φορές.</w:t>
      </w:r>
    </w:p>
    <w:p w:rsidR="00901F87" w:rsidRPr="00E123FC" w:rsidRDefault="00901F87" w:rsidP="00FA3DF9">
      <w:pPr>
        <w:spacing w:line="240" w:lineRule="auto"/>
        <w:jc w:val="both"/>
        <w:rPr>
          <w:lang w:val="el-GR"/>
        </w:rPr>
      </w:pPr>
      <w:r w:rsidRPr="00E123FC">
        <w:rPr>
          <w:lang w:val="el-GR"/>
        </w:rPr>
        <w:t xml:space="preserve">Μέτριοι αναστολείς του </w:t>
      </w:r>
      <w:r>
        <w:t>CYP</w:t>
      </w:r>
      <w:r w:rsidRPr="00E123FC">
        <w:rPr>
          <w:lang w:val="el-GR"/>
        </w:rPr>
        <w:t>3</w:t>
      </w:r>
      <w:r>
        <w:t>A</w:t>
      </w:r>
      <w:r w:rsidRPr="00E123FC">
        <w:rPr>
          <w:lang w:val="el-GR"/>
        </w:rPr>
        <w:t>4: ειδικές μελέτες αλληλεπίδρασης σε υγιείς εθελοντές και ασθενείς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 xml:space="preserve">έδειξαν ότι ο συνδυασμός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E123FC">
        <w:rPr>
          <w:lang w:val="el-GR"/>
        </w:rPr>
        <w:t xml:space="preserve"> με τους παράγοντες διλτιαζέμη ή βεραπαμίλη που μειώνουν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 xml:space="preserve">την καρδιακή συχνότητα είχε σαν αποτέλεσμα την αύξηση της έκθεσης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E123FC">
        <w:rPr>
          <w:lang w:val="el-GR"/>
        </w:rPr>
        <w:t xml:space="preserve"> (αύξηση της</w:t>
      </w:r>
      <w:r w:rsidR="00E123FC" w:rsidRPr="00E123FC">
        <w:rPr>
          <w:lang w:val="el-GR"/>
        </w:rPr>
        <w:t xml:space="preserve"> </w:t>
      </w:r>
      <w:r>
        <w:t>AUC</w:t>
      </w:r>
      <w:r w:rsidRPr="00E123FC">
        <w:rPr>
          <w:lang w:val="el-GR"/>
        </w:rPr>
        <w:t xml:space="preserve"> κατά 2 έως 3 φορές) και επιπλέον τη μείωση της </w:t>
      </w:r>
      <w:r w:rsidRPr="00E123FC">
        <w:rPr>
          <w:lang w:val="el-GR"/>
        </w:rPr>
        <w:lastRenderedPageBreak/>
        <w:t xml:space="preserve">καρδιακής συχνότητας κατά 5 </w:t>
      </w:r>
      <w:r>
        <w:t>bpm</w:t>
      </w:r>
      <w:r w:rsidRPr="00E123FC">
        <w:rPr>
          <w:lang w:val="el-GR"/>
        </w:rPr>
        <w:t>. Η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 xml:space="preserve">ταυτόχρονη χορήγηση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E123FC">
        <w:rPr>
          <w:lang w:val="el-GR"/>
        </w:rPr>
        <w:t xml:space="preserve"> με αυτά τα φαρμακευτικά προϊόντα αντενδείκνυται (βλ.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>παράγραφο 4.3).</w:t>
      </w:r>
    </w:p>
    <w:p w:rsidR="00901F87" w:rsidRPr="005707DA" w:rsidRDefault="00901F87" w:rsidP="0080254C">
      <w:pPr>
        <w:spacing w:after="0" w:line="240" w:lineRule="auto"/>
        <w:jc w:val="both"/>
        <w:rPr>
          <w:i/>
          <w:lang w:val="el-GR"/>
        </w:rPr>
      </w:pPr>
      <w:r w:rsidRPr="005707DA">
        <w:rPr>
          <w:i/>
          <w:lang w:val="el-GR"/>
        </w:rPr>
        <w:t>Δεν συνιστάται ταυτόχρονη χορήγηση</w:t>
      </w:r>
    </w:p>
    <w:p w:rsidR="00901F87" w:rsidRPr="0080254C" w:rsidRDefault="00901F87" w:rsidP="00FA3DF9">
      <w:pPr>
        <w:spacing w:line="240" w:lineRule="auto"/>
        <w:jc w:val="both"/>
        <w:rPr>
          <w:lang w:val="el-GR"/>
        </w:rPr>
      </w:pPr>
      <w:r w:rsidRPr="00E123FC">
        <w:rPr>
          <w:lang w:val="el-GR"/>
        </w:rPr>
        <w:t xml:space="preserve">Χυμός γκρέιπφρουτ: η έκθεση στην </w:t>
      </w:r>
      <w:r w:rsidR="009312EB" w:rsidRPr="009312EB">
        <w:rPr>
          <w:lang w:val="el-GR"/>
        </w:rPr>
        <w:t>ιβαμπραδίνη</w:t>
      </w:r>
      <w:r w:rsidRPr="00E123FC">
        <w:rPr>
          <w:lang w:val="el-GR"/>
        </w:rPr>
        <w:t xml:space="preserve"> διπλασιάστηκε μετά από συγχορήγηση με χυμό</w:t>
      </w:r>
      <w:r w:rsidR="00E123FC" w:rsidRPr="00E123FC">
        <w:rPr>
          <w:lang w:val="el-GR"/>
        </w:rPr>
        <w:t xml:space="preserve"> </w:t>
      </w:r>
      <w:r w:rsidRPr="00E123FC">
        <w:rPr>
          <w:lang w:val="el-GR"/>
        </w:rPr>
        <w:t xml:space="preserve">γκρέιπφρουτ. </w:t>
      </w:r>
      <w:r w:rsidRPr="0080254C">
        <w:rPr>
          <w:lang w:val="el-GR"/>
        </w:rPr>
        <w:t xml:space="preserve">Επομένως, πρέπει να αποφεύγεται </w:t>
      </w:r>
      <w:r w:rsidR="00C738A4" w:rsidRPr="0080254C">
        <w:rPr>
          <w:lang w:val="el-GR"/>
        </w:rPr>
        <w:t>η κατανάλωση χυμού γκρέιπφρουτ.</w:t>
      </w:r>
    </w:p>
    <w:p w:rsidR="00901F87" w:rsidRPr="0080254C" w:rsidRDefault="00901F87" w:rsidP="0080254C">
      <w:pPr>
        <w:spacing w:after="0" w:line="240" w:lineRule="auto"/>
        <w:jc w:val="both"/>
        <w:rPr>
          <w:i/>
          <w:lang w:val="el-GR"/>
        </w:rPr>
      </w:pPr>
      <w:r w:rsidRPr="0080254C">
        <w:rPr>
          <w:i/>
          <w:lang w:val="el-GR"/>
        </w:rPr>
        <w:t>Ταυτόχρονη χορήγηση με προφυλάξεις</w:t>
      </w:r>
    </w:p>
    <w:p w:rsidR="00901F87" w:rsidRPr="0080254C" w:rsidRDefault="00901F87" w:rsidP="0080254C">
      <w:pPr>
        <w:pStyle w:val="a3"/>
        <w:numPr>
          <w:ilvl w:val="0"/>
          <w:numId w:val="3"/>
        </w:numPr>
        <w:spacing w:line="240" w:lineRule="auto"/>
        <w:ind w:left="357" w:hanging="357"/>
        <w:jc w:val="both"/>
        <w:rPr>
          <w:lang w:val="el-GR"/>
        </w:rPr>
      </w:pPr>
      <w:r w:rsidRPr="0080254C">
        <w:rPr>
          <w:lang w:val="el-GR"/>
        </w:rPr>
        <w:t xml:space="preserve">Μέτριοι αναστολείς του CYP3A4: η ταυτόχρονη χορήγηση </w:t>
      </w:r>
      <w:r w:rsid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80254C">
        <w:rPr>
          <w:lang w:val="el-GR"/>
        </w:rPr>
        <w:t xml:space="preserve"> με άλλους μέτριους</w:t>
      </w:r>
      <w:r w:rsidR="0080254C">
        <w:rPr>
          <w:lang w:val="el-GR"/>
        </w:rPr>
        <w:t xml:space="preserve"> </w:t>
      </w:r>
      <w:r w:rsidRPr="0080254C">
        <w:rPr>
          <w:lang w:val="el-GR"/>
        </w:rPr>
        <w:t>αναστολείς του CYP3A4 (π.χ. φλουκοναζόλη) μπορεί να επιτραπεί με δόση έναρξης τα 2,5 mg</w:t>
      </w:r>
      <w:r w:rsidR="0080254C">
        <w:rPr>
          <w:lang w:val="el-GR"/>
        </w:rPr>
        <w:t xml:space="preserve"> </w:t>
      </w:r>
      <w:r w:rsidRPr="0080254C">
        <w:rPr>
          <w:lang w:val="el-GR"/>
        </w:rPr>
        <w:t>δύο φορές την ημέρα και εφόσον η καρδιακή συχνότητα ηρεμίας είναι μεγαλύτερη από 70 bpm,</w:t>
      </w:r>
      <w:r w:rsidR="0080254C">
        <w:rPr>
          <w:lang w:val="el-GR"/>
        </w:rPr>
        <w:t xml:space="preserve"> </w:t>
      </w:r>
      <w:r w:rsidRPr="0080254C">
        <w:rPr>
          <w:lang w:val="el-GR"/>
        </w:rPr>
        <w:t>με παρακολούθηση της καρδιακής συχνότητας.</w:t>
      </w:r>
    </w:p>
    <w:p w:rsidR="00901F87" w:rsidRPr="0080254C" w:rsidRDefault="00901F87" w:rsidP="00FA3DF9">
      <w:pPr>
        <w:pStyle w:val="a3"/>
        <w:numPr>
          <w:ilvl w:val="0"/>
          <w:numId w:val="3"/>
        </w:numPr>
        <w:spacing w:line="240" w:lineRule="auto"/>
        <w:ind w:left="357" w:hanging="357"/>
        <w:jc w:val="both"/>
        <w:rPr>
          <w:lang w:val="el-GR"/>
        </w:rPr>
      </w:pPr>
      <w:r w:rsidRPr="00C738A4">
        <w:rPr>
          <w:lang w:val="el-GR"/>
        </w:rPr>
        <w:t>Επαγωγείς του CYP3A4: οι επαγωγείς του CYP3A4 (π.χ. ριφαμπικίνη, βαρβιτουρικά, φαινυτοΐνη,</w:t>
      </w:r>
      <w:r w:rsidR="00C738A4" w:rsidRPr="00C738A4">
        <w:rPr>
          <w:lang w:val="el-GR"/>
        </w:rPr>
        <w:t xml:space="preserve"> </w:t>
      </w:r>
      <w:r w:rsidRPr="00C738A4">
        <w:rPr>
          <w:lang w:val="el-GR"/>
        </w:rPr>
        <w:t>Hypericum perforatum [St John’s Wort]) μπορεί να μειώσουν την έκθεση και τη δραστικότητα της</w:t>
      </w:r>
      <w:r w:rsidR="00C738A4" w:rsidRPr="00C738A4">
        <w:rPr>
          <w:lang w:val="el-GR"/>
        </w:rPr>
        <w:t xml:space="preserve"> </w:t>
      </w:r>
      <w:r w:rsid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C738A4">
        <w:rPr>
          <w:lang w:val="el-GR"/>
        </w:rPr>
        <w:t>. Η ταυτόχρονη χορήγηση φαρμακευτικών προϊόντων που επάγουν το CYP3A4 μπορεί</w:t>
      </w:r>
      <w:r w:rsidR="00C738A4" w:rsidRPr="00C738A4">
        <w:rPr>
          <w:lang w:val="el-GR"/>
        </w:rPr>
        <w:t xml:space="preserve"> </w:t>
      </w:r>
      <w:r w:rsidRPr="00C738A4">
        <w:rPr>
          <w:lang w:val="el-GR"/>
        </w:rPr>
        <w:t xml:space="preserve">να απαιτεί προσαρμογή της δόσης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C738A4">
        <w:rPr>
          <w:lang w:val="el-GR"/>
        </w:rPr>
        <w:t xml:space="preserve">. Έχει αποδειχτεί ότι ο συνδυασμός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="00C738A4" w:rsidRPr="00C738A4">
        <w:rPr>
          <w:lang w:val="el-GR"/>
        </w:rPr>
        <w:t xml:space="preserve"> </w:t>
      </w:r>
      <w:r w:rsidRPr="00C738A4">
        <w:rPr>
          <w:lang w:val="el-GR"/>
        </w:rPr>
        <w:t xml:space="preserve">10 </w:t>
      </w:r>
      <w:r>
        <w:t>mg</w:t>
      </w:r>
      <w:r w:rsidRPr="00C738A4">
        <w:rPr>
          <w:lang w:val="el-GR"/>
        </w:rPr>
        <w:t xml:space="preserve"> δύο φορές την ημέρα με </w:t>
      </w:r>
      <w:r>
        <w:t>St</w:t>
      </w:r>
      <w:r w:rsidRPr="00C738A4">
        <w:rPr>
          <w:lang w:val="el-GR"/>
        </w:rPr>
        <w:t xml:space="preserve"> </w:t>
      </w:r>
      <w:r>
        <w:t>John</w:t>
      </w:r>
      <w:r w:rsidRPr="00C738A4">
        <w:rPr>
          <w:lang w:val="el-GR"/>
        </w:rPr>
        <w:t>’</w:t>
      </w:r>
      <w:r>
        <w:t>s</w:t>
      </w:r>
      <w:r w:rsidRPr="00C738A4">
        <w:rPr>
          <w:lang w:val="el-GR"/>
        </w:rPr>
        <w:t xml:space="preserve"> </w:t>
      </w:r>
      <w:r>
        <w:t>Wort</w:t>
      </w:r>
      <w:r w:rsidRPr="00C738A4">
        <w:rPr>
          <w:lang w:val="el-GR"/>
        </w:rPr>
        <w:t xml:space="preserve"> υποδιπλασιάζει την </w:t>
      </w:r>
      <w:r>
        <w:t>AUC</w:t>
      </w:r>
      <w:r w:rsidRPr="00C738A4">
        <w:rPr>
          <w:lang w:val="el-GR"/>
        </w:rPr>
        <w:t xml:space="preserve">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C738A4">
        <w:rPr>
          <w:lang w:val="el-GR"/>
        </w:rPr>
        <w:t xml:space="preserve">. </w:t>
      </w:r>
      <w:r w:rsidRPr="0080254C">
        <w:rPr>
          <w:lang w:val="el-GR"/>
        </w:rPr>
        <w:t>Η λήψη</w:t>
      </w:r>
      <w:r w:rsidR="00C738A4" w:rsidRPr="0080254C">
        <w:rPr>
          <w:lang w:val="el-GR"/>
        </w:rPr>
        <w:t xml:space="preserve"> </w:t>
      </w:r>
      <w:r>
        <w:t>St</w:t>
      </w:r>
      <w:r w:rsidRPr="0080254C">
        <w:rPr>
          <w:lang w:val="el-GR"/>
        </w:rPr>
        <w:t xml:space="preserve"> </w:t>
      </w:r>
      <w:r>
        <w:t>John</w:t>
      </w:r>
      <w:r w:rsidRPr="0080254C">
        <w:rPr>
          <w:lang w:val="el-GR"/>
        </w:rPr>
        <w:t>’</w:t>
      </w:r>
      <w:r>
        <w:t>s</w:t>
      </w:r>
      <w:r w:rsidRPr="0080254C">
        <w:rPr>
          <w:lang w:val="el-GR"/>
        </w:rPr>
        <w:t xml:space="preserve"> </w:t>
      </w:r>
      <w:r>
        <w:t>Wort</w:t>
      </w:r>
      <w:r w:rsidRPr="0080254C">
        <w:rPr>
          <w:lang w:val="el-GR"/>
        </w:rPr>
        <w:t xml:space="preserve"> πρέπει να περιορίζεται κατά την αγωγή με </w:t>
      </w:r>
      <w:r w:rsidR="009312EB" w:rsidRPr="009312EB">
        <w:rPr>
          <w:lang w:val="el-GR"/>
        </w:rPr>
        <w:t>ιβαμπραδίνη</w:t>
      </w:r>
      <w:r w:rsidRPr="0080254C">
        <w:rPr>
          <w:lang w:val="el-GR"/>
        </w:rPr>
        <w:t>.</w:t>
      </w:r>
    </w:p>
    <w:p w:rsidR="00901F87" w:rsidRPr="0080254C" w:rsidRDefault="00901F87" w:rsidP="0080254C">
      <w:pPr>
        <w:spacing w:after="0" w:line="240" w:lineRule="auto"/>
        <w:jc w:val="both"/>
        <w:rPr>
          <w:i/>
          <w:lang w:val="el-GR"/>
        </w:rPr>
      </w:pPr>
      <w:r w:rsidRPr="0080254C">
        <w:rPr>
          <w:i/>
          <w:lang w:val="el-GR"/>
        </w:rPr>
        <w:t>Άλλες συγχορηγήσεις</w:t>
      </w:r>
    </w:p>
    <w:p w:rsidR="00901F87" w:rsidRPr="0080254C" w:rsidRDefault="00901F87" w:rsidP="00FA3DF9">
      <w:pPr>
        <w:spacing w:line="240" w:lineRule="auto"/>
        <w:jc w:val="both"/>
        <w:rPr>
          <w:lang w:val="el-GR"/>
        </w:rPr>
      </w:pPr>
      <w:r w:rsidRPr="0080254C">
        <w:rPr>
          <w:lang w:val="el-GR"/>
        </w:rPr>
        <w:t>Ειδικές μελέτες φαρμακευτικών αλληλεπιδράσεων δεν έχουν αποδείξει κλινικά σημαντική επίδραση</w:t>
      </w:r>
      <w:r w:rsidR="0080254C">
        <w:rPr>
          <w:lang w:val="el-GR"/>
        </w:rPr>
        <w:t xml:space="preserve"> </w:t>
      </w:r>
      <w:r w:rsidRPr="0080254C">
        <w:rPr>
          <w:lang w:val="el-GR"/>
        </w:rPr>
        <w:t xml:space="preserve">των ακόλουθων φαρμακευτικών προϊόντων στη φαρμακοκινητική και φαρμακοδυναμική </w:t>
      </w:r>
      <w:r w:rsidR="0080254C" w:rsidRPr="0080254C">
        <w:rPr>
          <w:lang w:val="el-GR"/>
        </w:rPr>
        <w:t>της</w:t>
      </w:r>
      <w:r w:rsidR="0080254C">
        <w:rPr>
          <w:lang w:val="el-GR"/>
        </w:rPr>
        <w:t xml:space="preserve">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80254C">
        <w:rPr>
          <w:lang w:val="el-GR"/>
        </w:rPr>
        <w:t>: αναστολείς αντλίας πρωτονίων (ομεπραζόλη, λανσοπραζόλη), σιλδεναφίλη, αναστολείς</w:t>
      </w:r>
      <w:r w:rsidR="0080254C">
        <w:rPr>
          <w:lang w:val="el-GR"/>
        </w:rPr>
        <w:t xml:space="preserve"> </w:t>
      </w:r>
      <w:r w:rsidRPr="0080254C">
        <w:rPr>
          <w:lang w:val="el-GR"/>
        </w:rPr>
        <w:t xml:space="preserve">της </w:t>
      </w:r>
      <w:r>
        <w:t>HMG</w:t>
      </w:r>
      <w:r w:rsidRPr="0080254C">
        <w:rPr>
          <w:lang w:val="el-GR"/>
        </w:rPr>
        <w:t xml:space="preserve"> </w:t>
      </w:r>
      <w:r>
        <w:t>CoA</w:t>
      </w:r>
      <w:r w:rsidRPr="0080254C">
        <w:rPr>
          <w:lang w:val="el-GR"/>
        </w:rPr>
        <w:t xml:space="preserve"> ρεδουκτάσης (σιμβαστατίνη), διϋδροπυριδινικού τύπου αποκλειστές διαύλων</w:t>
      </w:r>
      <w:r w:rsidR="0080254C">
        <w:rPr>
          <w:lang w:val="el-GR"/>
        </w:rPr>
        <w:t xml:space="preserve"> </w:t>
      </w:r>
      <w:r w:rsidRPr="0080254C">
        <w:rPr>
          <w:lang w:val="el-GR"/>
        </w:rPr>
        <w:t>ασβεστίου (αμλοδιπίνη, λασιδιπίνη), διγοξίνη και βαρφαρίνη. Επιπλέον, δεν σημειώθηκε κλινικά</w:t>
      </w:r>
      <w:r w:rsidR="0080254C">
        <w:rPr>
          <w:lang w:val="el-GR"/>
        </w:rPr>
        <w:t xml:space="preserve"> </w:t>
      </w:r>
      <w:r w:rsidRPr="0080254C">
        <w:rPr>
          <w:lang w:val="el-GR"/>
        </w:rPr>
        <w:t xml:space="preserve">σημαντική επίδραση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80254C">
        <w:rPr>
          <w:lang w:val="el-GR"/>
        </w:rPr>
        <w:t xml:space="preserve"> στη φαρμακοκινητική της σιμβαστατίνης, αμλοδιπίνης,</w:t>
      </w:r>
      <w:r w:rsidR="0080254C">
        <w:rPr>
          <w:lang w:val="el-GR"/>
        </w:rPr>
        <w:t xml:space="preserve"> </w:t>
      </w:r>
      <w:r w:rsidRPr="0080254C">
        <w:rPr>
          <w:lang w:val="el-GR"/>
        </w:rPr>
        <w:t>λασιδιπίνης, στη φαρμακοκινητική και φαρμακοδυναμική της διγοξίνης, βαρφαρίνης και στη</w:t>
      </w:r>
      <w:r w:rsidR="0080254C">
        <w:rPr>
          <w:lang w:val="el-GR"/>
        </w:rPr>
        <w:t xml:space="preserve"> </w:t>
      </w:r>
      <w:r w:rsidRPr="0080254C">
        <w:rPr>
          <w:lang w:val="el-GR"/>
        </w:rPr>
        <w:t>φαρμακοδυναμική της ασπιρίνης.</w:t>
      </w:r>
    </w:p>
    <w:p w:rsidR="00901F87" w:rsidRPr="0080254C" w:rsidRDefault="00901F87" w:rsidP="00FA3DF9">
      <w:pPr>
        <w:spacing w:line="240" w:lineRule="auto"/>
        <w:jc w:val="both"/>
        <w:rPr>
          <w:lang w:val="el-GR"/>
        </w:rPr>
      </w:pPr>
      <w:r w:rsidRPr="0080254C">
        <w:rPr>
          <w:lang w:val="el-GR"/>
        </w:rPr>
        <w:t>Σε βασικές κλινικές μελέτες φάσης ΙΙΙ, τα ακόλουθα φαρμακευτικά προϊόντα συνδυάστηκαν</w:t>
      </w:r>
      <w:r w:rsidR="0080254C">
        <w:rPr>
          <w:lang w:val="el-GR"/>
        </w:rPr>
        <w:t xml:space="preserve"> </w:t>
      </w:r>
      <w:r w:rsidRPr="0080254C">
        <w:rPr>
          <w:lang w:val="el-GR"/>
        </w:rPr>
        <w:t xml:space="preserve">κανονικά με </w:t>
      </w:r>
      <w:r w:rsidR="009312EB" w:rsidRPr="009312EB">
        <w:rPr>
          <w:lang w:val="el-GR"/>
        </w:rPr>
        <w:t>ιβαμπραδίνη</w:t>
      </w:r>
      <w:r w:rsidRPr="0080254C">
        <w:rPr>
          <w:lang w:val="el-GR"/>
        </w:rPr>
        <w:t>, χωρίς να παρατηρηθούν ανησυχητικές ενδείξεις: αναστολείς του</w:t>
      </w:r>
      <w:r w:rsidR="0080254C">
        <w:rPr>
          <w:lang w:val="el-GR"/>
        </w:rPr>
        <w:t xml:space="preserve"> </w:t>
      </w:r>
      <w:r w:rsidRPr="0080254C">
        <w:rPr>
          <w:lang w:val="el-GR"/>
        </w:rPr>
        <w:t>μετατρεπτικού ενζύμου της αγγειοτασίνης, ανταγωνιστές αγγειοτασίνης ΙΙ, β-αποκλειστές,</w:t>
      </w:r>
      <w:r w:rsidR="0080254C">
        <w:rPr>
          <w:lang w:val="el-GR"/>
        </w:rPr>
        <w:t xml:space="preserve"> </w:t>
      </w:r>
      <w:r w:rsidRPr="0080254C">
        <w:rPr>
          <w:lang w:val="el-GR"/>
        </w:rPr>
        <w:t>διουρητικά, παράγοντες αντι-αλδοστερόνης, νιτρικά μακράς και βραχείας διάρκειας δράσης,</w:t>
      </w:r>
      <w:r w:rsidR="0080254C">
        <w:rPr>
          <w:lang w:val="el-GR"/>
        </w:rPr>
        <w:t xml:space="preserve"> </w:t>
      </w:r>
      <w:r w:rsidRPr="0080254C">
        <w:rPr>
          <w:lang w:val="el-GR"/>
        </w:rPr>
        <w:t xml:space="preserve">αναστολείς </w:t>
      </w:r>
      <w:r>
        <w:t>HMG</w:t>
      </w:r>
      <w:r w:rsidRPr="0080254C">
        <w:rPr>
          <w:lang w:val="el-GR"/>
        </w:rPr>
        <w:t xml:space="preserve"> </w:t>
      </w:r>
      <w:r>
        <w:t>CoA</w:t>
      </w:r>
      <w:r w:rsidRPr="0080254C">
        <w:rPr>
          <w:lang w:val="el-GR"/>
        </w:rPr>
        <w:t xml:space="preserve"> ρεδουκτάσης, φιμπράτες, αναστολείς αντλίας πρωτονίων, αντιδιαβητικά από</w:t>
      </w:r>
      <w:r w:rsidR="0080254C">
        <w:rPr>
          <w:lang w:val="el-GR"/>
        </w:rPr>
        <w:t xml:space="preserve"> </w:t>
      </w:r>
      <w:r w:rsidRPr="0080254C">
        <w:rPr>
          <w:lang w:val="el-GR"/>
        </w:rPr>
        <w:t>του στόματος, ασπιρίνη και άλλα αντι-αιμοπεταλιακά φαρμακευτικά προϊόντα.</w:t>
      </w:r>
    </w:p>
    <w:p w:rsidR="00901F87" w:rsidRPr="00B74553" w:rsidRDefault="00901F87" w:rsidP="0080254C">
      <w:pPr>
        <w:spacing w:after="0" w:line="240" w:lineRule="auto"/>
        <w:jc w:val="both"/>
        <w:rPr>
          <w:i/>
          <w:u w:val="single"/>
          <w:lang w:val="el-GR"/>
        </w:rPr>
      </w:pPr>
      <w:r w:rsidRPr="00B74553">
        <w:rPr>
          <w:i/>
          <w:u w:val="single"/>
          <w:lang w:val="el-GR"/>
        </w:rPr>
        <w:t>Παιδιατρικός πληθυσμός</w:t>
      </w:r>
    </w:p>
    <w:p w:rsidR="00901F87" w:rsidRPr="005707DA" w:rsidRDefault="00901F87" w:rsidP="00FA3DF9">
      <w:pPr>
        <w:spacing w:line="240" w:lineRule="auto"/>
        <w:jc w:val="both"/>
        <w:rPr>
          <w:lang w:val="el-GR"/>
        </w:rPr>
      </w:pPr>
      <w:r w:rsidRPr="005707DA">
        <w:rPr>
          <w:lang w:val="el-GR"/>
        </w:rPr>
        <w:t>Μελέτες αλληλεπίδρασης έχουν πραγματοποιηθεί μόνο σε ενήλικες.</w:t>
      </w:r>
    </w:p>
    <w:p w:rsidR="00901F87" w:rsidRPr="006B1892" w:rsidRDefault="00901F87" w:rsidP="006B1892">
      <w:pPr>
        <w:pStyle w:val="a3"/>
        <w:numPr>
          <w:ilvl w:val="1"/>
          <w:numId w:val="2"/>
        </w:numPr>
        <w:spacing w:line="240" w:lineRule="auto"/>
        <w:ind w:left="357" w:hanging="357"/>
        <w:contextualSpacing w:val="0"/>
        <w:jc w:val="both"/>
        <w:rPr>
          <w:b/>
          <w:lang w:val="el-GR"/>
        </w:rPr>
      </w:pPr>
      <w:r w:rsidRPr="006B1892">
        <w:rPr>
          <w:b/>
          <w:lang w:val="el-GR"/>
        </w:rPr>
        <w:t>Γονιμότητα, κύηση και γαλουχία</w:t>
      </w:r>
    </w:p>
    <w:p w:rsidR="00901F87" w:rsidRPr="00B74553" w:rsidRDefault="00901F87" w:rsidP="00B74553">
      <w:pPr>
        <w:spacing w:after="0" w:line="240" w:lineRule="auto"/>
        <w:jc w:val="both"/>
        <w:rPr>
          <w:u w:val="single"/>
        </w:rPr>
      </w:pPr>
      <w:r w:rsidRPr="00B74553">
        <w:rPr>
          <w:u w:val="single"/>
        </w:rPr>
        <w:t>Γυναίκες με δυνατότητα τεκνοποίησης</w:t>
      </w:r>
    </w:p>
    <w:p w:rsidR="00901F87" w:rsidRPr="00B74553" w:rsidRDefault="00901F87" w:rsidP="00FA3DF9">
      <w:pPr>
        <w:spacing w:line="240" w:lineRule="auto"/>
        <w:jc w:val="both"/>
        <w:rPr>
          <w:lang w:val="el-GR"/>
        </w:rPr>
      </w:pPr>
      <w:r w:rsidRPr="00B74553">
        <w:rPr>
          <w:lang w:val="el-GR"/>
        </w:rPr>
        <w:t>Οι γυναίκες με δυνατότητα τεκνοποίησης, θα πρέπει κατά τη διάρκεια της αγωγής, να χρησιμοποιούν</w:t>
      </w:r>
      <w:r w:rsidR="00B74553">
        <w:rPr>
          <w:lang w:val="el-GR"/>
        </w:rPr>
        <w:t xml:space="preserve"> </w:t>
      </w:r>
      <w:r w:rsidRPr="00B74553">
        <w:rPr>
          <w:lang w:val="el-GR"/>
        </w:rPr>
        <w:t>κατάλληλα αντισυλληπτικά μέτρα (βλ. παράγραφο 4.3)</w:t>
      </w:r>
    </w:p>
    <w:p w:rsidR="00901F87" w:rsidRPr="005707DA" w:rsidRDefault="00901F87" w:rsidP="00B74553">
      <w:pPr>
        <w:spacing w:after="0" w:line="240" w:lineRule="auto"/>
        <w:jc w:val="both"/>
        <w:rPr>
          <w:u w:val="single"/>
          <w:lang w:val="el-GR"/>
        </w:rPr>
      </w:pPr>
      <w:r w:rsidRPr="005707DA">
        <w:rPr>
          <w:u w:val="single"/>
          <w:lang w:val="el-GR"/>
        </w:rPr>
        <w:t>Κύηση</w:t>
      </w:r>
    </w:p>
    <w:p w:rsidR="00901F87" w:rsidRPr="009312EB" w:rsidRDefault="00901F87" w:rsidP="00FA3DF9">
      <w:pPr>
        <w:spacing w:line="240" w:lineRule="auto"/>
        <w:jc w:val="both"/>
        <w:rPr>
          <w:lang w:val="el-GR"/>
        </w:rPr>
      </w:pPr>
      <w:r w:rsidRPr="009312EB">
        <w:rPr>
          <w:lang w:val="el-GR"/>
        </w:rPr>
        <w:t xml:space="preserve">Δεν υπάρχουν ή είναι περιορισμένα τα στοιχεία για τη χρήση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9312EB">
        <w:rPr>
          <w:lang w:val="el-GR"/>
        </w:rPr>
        <w:t xml:space="preserve"> σε εγκύους.</w:t>
      </w:r>
    </w:p>
    <w:p w:rsidR="00901F87" w:rsidRPr="00B74553" w:rsidRDefault="00901F87" w:rsidP="00FA3DF9">
      <w:pPr>
        <w:spacing w:line="240" w:lineRule="auto"/>
        <w:jc w:val="both"/>
        <w:rPr>
          <w:lang w:val="el-GR"/>
        </w:rPr>
      </w:pPr>
      <w:r w:rsidRPr="005707DA">
        <w:rPr>
          <w:lang w:val="el-GR"/>
        </w:rPr>
        <w:lastRenderedPageBreak/>
        <w:t xml:space="preserve">Μελέτες σε πειραματόζωα έχουν δείξει τοξικότητα στην αναπαραγωγική ικανότητα. </w:t>
      </w:r>
      <w:r w:rsidRPr="00B74553">
        <w:rPr>
          <w:lang w:val="el-GR"/>
        </w:rPr>
        <w:t>Οι μελέτες αυτές</w:t>
      </w:r>
      <w:r w:rsidR="00B74553">
        <w:rPr>
          <w:lang w:val="el-GR"/>
        </w:rPr>
        <w:t xml:space="preserve"> </w:t>
      </w:r>
      <w:r w:rsidRPr="00B74553">
        <w:rPr>
          <w:lang w:val="el-GR"/>
        </w:rPr>
        <w:t>έχουν δείξει εμβρυοτοξικότητα και τερατογενετικές επιδράσεις (βλ. παράγραφο 5.3). Ο ενδεχόμενος</w:t>
      </w:r>
      <w:r w:rsidR="00B74553">
        <w:rPr>
          <w:lang w:val="el-GR"/>
        </w:rPr>
        <w:t xml:space="preserve"> </w:t>
      </w:r>
      <w:r w:rsidRPr="00B74553">
        <w:rPr>
          <w:lang w:val="el-GR"/>
        </w:rPr>
        <w:t xml:space="preserve">κίνδυνος για τον άνθρωπο είναι άγνωστος. Επομένως, η </w:t>
      </w:r>
      <w:r w:rsidR="009312EB" w:rsidRPr="005707DA">
        <w:rPr>
          <w:lang w:val="el-GR"/>
        </w:rPr>
        <w:t>ιβαμπραδίνη</w:t>
      </w:r>
      <w:r w:rsidRPr="00B74553">
        <w:rPr>
          <w:lang w:val="el-GR"/>
        </w:rPr>
        <w:t xml:space="preserve"> αντενδείκνυται κατά την κύηση</w:t>
      </w:r>
      <w:r w:rsidR="00B74553">
        <w:rPr>
          <w:lang w:val="el-GR"/>
        </w:rPr>
        <w:t xml:space="preserve"> </w:t>
      </w:r>
      <w:r w:rsidRPr="00B74553">
        <w:rPr>
          <w:lang w:val="el-GR"/>
        </w:rPr>
        <w:t>(βλ. παράγραφο 4.3).</w:t>
      </w:r>
    </w:p>
    <w:p w:rsidR="00901F87" w:rsidRPr="005707DA" w:rsidRDefault="00901F87" w:rsidP="00B74553">
      <w:pPr>
        <w:spacing w:after="0" w:line="240" w:lineRule="auto"/>
        <w:jc w:val="both"/>
        <w:rPr>
          <w:u w:val="single"/>
          <w:lang w:val="el-GR"/>
        </w:rPr>
      </w:pPr>
      <w:r w:rsidRPr="005707DA">
        <w:rPr>
          <w:u w:val="single"/>
          <w:lang w:val="el-GR"/>
        </w:rPr>
        <w:t>Γαλουχία</w:t>
      </w:r>
    </w:p>
    <w:p w:rsidR="00901F87" w:rsidRPr="00B74553" w:rsidRDefault="00901F87" w:rsidP="00FA3DF9">
      <w:pPr>
        <w:spacing w:line="240" w:lineRule="auto"/>
        <w:jc w:val="both"/>
        <w:rPr>
          <w:lang w:val="el-GR"/>
        </w:rPr>
      </w:pPr>
      <w:r w:rsidRPr="009312EB">
        <w:rPr>
          <w:lang w:val="el-GR"/>
        </w:rPr>
        <w:t xml:space="preserve">Μελέτες σε πειραματόζωα δείχνουν ότι η </w:t>
      </w:r>
      <w:r w:rsidR="009312EB" w:rsidRPr="009312EB">
        <w:rPr>
          <w:lang w:val="el-GR"/>
        </w:rPr>
        <w:t>ιβαμπραδίνη</w:t>
      </w:r>
      <w:r w:rsidRPr="009312EB">
        <w:rPr>
          <w:lang w:val="el-GR"/>
        </w:rPr>
        <w:t xml:space="preserve"> απεκκρίνεται στο μητρικό γάλα. </w:t>
      </w:r>
      <w:r w:rsidRPr="00B74553">
        <w:rPr>
          <w:lang w:val="el-GR"/>
        </w:rPr>
        <w:t>Επομένως, η</w:t>
      </w:r>
      <w:r w:rsidR="00B74553">
        <w:rPr>
          <w:lang w:val="el-GR"/>
        </w:rPr>
        <w:t xml:space="preserve"> </w:t>
      </w:r>
      <w:r w:rsidR="009312EB" w:rsidRPr="009312EB">
        <w:rPr>
          <w:lang w:val="el-GR"/>
        </w:rPr>
        <w:t>ιβαμπραδίνη</w:t>
      </w:r>
      <w:r w:rsidRPr="00B74553">
        <w:rPr>
          <w:lang w:val="el-GR"/>
        </w:rPr>
        <w:t xml:space="preserve"> αντενδείκνυται κατά τη διάρκεια του θηλασμού.</w:t>
      </w:r>
    </w:p>
    <w:p w:rsidR="00901F87" w:rsidRPr="00B74553" w:rsidRDefault="00901F87" w:rsidP="00FA3DF9">
      <w:pPr>
        <w:spacing w:line="240" w:lineRule="auto"/>
        <w:jc w:val="both"/>
        <w:rPr>
          <w:lang w:val="el-GR"/>
        </w:rPr>
      </w:pPr>
      <w:r w:rsidRPr="00B74553">
        <w:rPr>
          <w:lang w:val="el-GR"/>
        </w:rPr>
        <w:t xml:space="preserve">Οι γυναίκες που χρήζουν θεραπείας με </w:t>
      </w:r>
      <w:r w:rsidR="009312EB" w:rsidRPr="009312EB">
        <w:rPr>
          <w:lang w:val="el-GR"/>
        </w:rPr>
        <w:t>ιβαμπραδίνη</w:t>
      </w:r>
      <w:r w:rsidRPr="00B74553">
        <w:rPr>
          <w:lang w:val="el-GR"/>
        </w:rPr>
        <w:t>, θα πρέπει να διακόψουν τη γαλουχία και να</w:t>
      </w:r>
      <w:r w:rsidR="00B74553">
        <w:rPr>
          <w:lang w:val="el-GR"/>
        </w:rPr>
        <w:t xml:space="preserve"> </w:t>
      </w:r>
      <w:r w:rsidRPr="00B74553">
        <w:rPr>
          <w:lang w:val="el-GR"/>
        </w:rPr>
        <w:t>επιλέξουν εναλλακτικό τρόπο διατροφής του παιδιού.</w:t>
      </w:r>
    </w:p>
    <w:p w:rsidR="00901F87" w:rsidRPr="005707DA" w:rsidRDefault="00901F87" w:rsidP="00B74553">
      <w:pPr>
        <w:spacing w:after="0" w:line="240" w:lineRule="auto"/>
        <w:jc w:val="both"/>
        <w:rPr>
          <w:u w:val="single"/>
          <w:lang w:val="el-GR"/>
        </w:rPr>
      </w:pPr>
      <w:r w:rsidRPr="005707DA">
        <w:rPr>
          <w:u w:val="single"/>
          <w:lang w:val="el-GR"/>
        </w:rPr>
        <w:t>Γονιμότητα</w:t>
      </w:r>
    </w:p>
    <w:p w:rsidR="00901F87" w:rsidRPr="00B74553" w:rsidRDefault="00901F87" w:rsidP="00FA3DF9">
      <w:pPr>
        <w:spacing w:line="240" w:lineRule="auto"/>
        <w:jc w:val="both"/>
        <w:rPr>
          <w:lang w:val="el-GR"/>
        </w:rPr>
      </w:pPr>
      <w:r w:rsidRPr="00B74553">
        <w:rPr>
          <w:lang w:val="el-GR"/>
        </w:rPr>
        <w:t>Μελέτες σε αρουραίους δεν έχουν δείξει επίδραση στη γονιμότητα αρσενικών και θηλυκών (βλ.</w:t>
      </w:r>
      <w:r w:rsidR="00B74553">
        <w:rPr>
          <w:lang w:val="el-GR"/>
        </w:rPr>
        <w:t xml:space="preserve"> </w:t>
      </w:r>
      <w:r w:rsidRPr="00B74553">
        <w:rPr>
          <w:lang w:val="el-GR"/>
        </w:rPr>
        <w:t>παράγραφο 5.3).</w:t>
      </w:r>
    </w:p>
    <w:p w:rsidR="00901F87" w:rsidRPr="006B1892" w:rsidRDefault="00901F87" w:rsidP="006B1892">
      <w:pPr>
        <w:pStyle w:val="a3"/>
        <w:numPr>
          <w:ilvl w:val="1"/>
          <w:numId w:val="2"/>
        </w:numPr>
        <w:spacing w:line="240" w:lineRule="auto"/>
        <w:ind w:left="357" w:hanging="357"/>
        <w:contextualSpacing w:val="0"/>
        <w:jc w:val="both"/>
        <w:rPr>
          <w:b/>
          <w:lang w:val="el-GR"/>
        </w:rPr>
      </w:pPr>
      <w:r w:rsidRPr="006B1892">
        <w:rPr>
          <w:b/>
          <w:lang w:val="el-GR"/>
        </w:rPr>
        <w:t>Επιδράσεις στην ικανότητα οδήγησης και χειρισμού μηχανών</w:t>
      </w:r>
    </w:p>
    <w:p w:rsidR="00901F87" w:rsidRPr="004847CC" w:rsidRDefault="00901F87" w:rsidP="00FA3DF9">
      <w:pPr>
        <w:spacing w:line="240" w:lineRule="auto"/>
        <w:jc w:val="both"/>
        <w:rPr>
          <w:lang w:val="el-GR"/>
        </w:rPr>
      </w:pPr>
      <w:r w:rsidRPr="004847CC">
        <w:rPr>
          <w:lang w:val="el-GR"/>
        </w:rPr>
        <w:t xml:space="preserve">Μία ειδική μελέτη για την αξιολόγηση της πιθανής επίδρασης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4847CC">
        <w:rPr>
          <w:lang w:val="el-GR"/>
        </w:rPr>
        <w:t xml:space="preserve"> στην ικανότητα</w:t>
      </w:r>
      <w:r w:rsidR="004847CC">
        <w:rPr>
          <w:lang w:val="el-GR"/>
        </w:rPr>
        <w:t xml:space="preserve"> </w:t>
      </w:r>
      <w:r w:rsidRPr="004847CC">
        <w:rPr>
          <w:lang w:val="el-GR"/>
        </w:rPr>
        <w:t xml:space="preserve">οδήγησης πραγματοποιήθηκε σε υγιείς εθελοντές, στους οποίους δεν διαπιστώθηκε μεταβολή </w:t>
      </w:r>
      <w:r w:rsidR="004847CC" w:rsidRPr="004847CC">
        <w:rPr>
          <w:lang w:val="el-GR"/>
        </w:rPr>
        <w:t>της</w:t>
      </w:r>
      <w:r w:rsidR="004847CC">
        <w:rPr>
          <w:lang w:val="el-GR"/>
        </w:rPr>
        <w:t xml:space="preserve"> </w:t>
      </w:r>
      <w:r w:rsidRPr="004847CC">
        <w:rPr>
          <w:lang w:val="el-GR"/>
        </w:rPr>
        <w:t>απόδοσης στην οδήγηση. Εντούτοις, αναφέρθηκαν, μετά την κυκλοφορία του προϊόντος, περιστατικά</w:t>
      </w:r>
      <w:r w:rsidR="004847CC">
        <w:rPr>
          <w:lang w:val="el-GR"/>
        </w:rPr>
        <w:t xml:space="preserve"> </w:t>
      </w:r>
      <w:r w:rsidRPr="004847CC">
        <w:rPr>
          <w:lang w:val="el-GR"/>
        </w:rPr>
        <w:t xml:space="preserve">διαταραγμένης ικανότητας οδήγησης λόγω οφθαλμικών συμπτωμάτων. Η </w:t>
      </w:r>
      <w:r w:rsidR="009312EB" w:rsidRPr="009312EB">
        <w:rPr>
          <w:lang w:val="el-GR"/>
        </w:rPr>
        <w:t>ιβαμπραδίνη</w:t>
      </w:r>
      <w:r w:rsidRPr="004847CC">
        <w:rPr>
          <w:lang w:val="el-GR"/>
        </w:rPr>
        <w:t xml:space="preserve"> μπορεί να</w:t>
      </w:r>
      <w:r w:rsidR="004847CC">
        <w:rPr>
          <w:lang w:val="el-GR"/>
        </w:rPr>
        <w:t xml:space="preserve"> </w:t>
      </w:r>
      <w:r w:rsidRPr="004847CC">
        <w:rPr>
          <w:lang w:val="el-GR"/>
        </w:rPr>
        <w:t>προκαλέσει παροδικά φωτεινά φαινόμενα, που συνίστανται κυρίως σε φωτοψίες (βλ. παράγραφο</w:t>
      </w:r>
      <w:r w:rsidR="004847CC">
        <w:rPr>
          <w:lang w:val="el-GR"/>
        </w:rPr>
        <w:t xml:space="preserve"> </w:t>
      </w:r>
      <w:r w:rsidRPr="004847CC">
        <w:rPr>
          <w:lang w:val="el-GR"/>
        </w:rPr>
        <w:t>4.8). Η πιθανή εκδήλωση τέτοιων φωτεινών φαινομένων πρέπει να λαμβάνεται υπ’ όψη κατά την</w:t>
      </w:r>
      <w:r w:rsidR="004847CC">
        <w:rPr>
          <w:lang w:val="el-GR"/>
        </w:rPr>
        <w:t xml:space="preserve"> </w:t>
      </w:r>
      <w:r w:rsidRPr="004847CC">
        <w:rPr>
          <w:lang w:val="el-GR"/>
        </w:rPr>
        <w:t xml:space="preserve">οδήγηση ή το χειρισμό μηχανών, σε συνθήκες όπου μπορεί να συμβούν αιφνίδιες μεταβολές </w:t>
      </w:r>
      <w:r w:rsidR="004847CC" w:rsidRPr="004847CC">
        <w:rPr>
          <w:lang w:val="el-GR"/>
        </w:rPr>
        <w:t>της</w:t>
      </w:r>
      <w:r w:rsidR="004847CC">
        <w:rPr>
          <w:lang w:val="el-GR"/>
        </w:rPr>
        <w:t xml:space="preserve"> </w:t>
      </w:r>
      <w:r w:rsidRPr="004847CC">
        <w:rPr>
          <w:lang w:val="el-GR"/>
        </w:rPr>
        <w:t>έντασης του φωτός, ιδιαίτερα κατά τη νυχτερινή οδήγηση.</w:t>
      </w:r>
    </w:p>
    <w:p w:rsidR="00901F87" w:rsidRPr="009312EB" w:rsidRDefault="00901F87" w:rsidP="00FA3DF9">
      <w:pPr>
        <w:spacing w:line="240" w:lineRule="auto"/>
        <w:jc w:val="both"/>
        <w:rPr>
          <w:lang w:val="el-GR"/>
        </w:rPr>
      </w:pPr>
      <w:r w:rsidRPr="009312EB">
        <w:rPr>
          <w:lang w:val="el-GR"/>
        </w:rPr>
        <w:t xml:space="preserve">Η </w:t>
      </w:r>
      <w:r w:rsidR="009312EB" w:rsidRPr="009312EB">
        <w:rPr>
          <w:lang w:val="el-GR"/>
        </w:rPr>
        <w:t>ιβαμπραδίνη</w:t>
      </w:r>
      <w:r w:rsidRPr="009312EB">
        <w:rPr>
          <w:lang w:val="el-GR"/>
        </w:rPr>
        <w:t xml:space="preserve"> δεν επηρεάζει την ικανότητα χειρισμού μηχανών.</w:t>
      </w:r>
    </w:p>
    <w:p w:rsidR="00901F87" w:rsidRPr="006B1892" w:rsidRDefault="00901F87" w:rsidP="006B1892">
      <w:pPr>
        <w:pStyle w:val="a3"/>
        <w:numPr>
          <w:ilvl w:val="1"/>
          <w:numId w:val="2"/>
        </w:numPr>
        <w:spacing w:line="240" w:lineRule="auto"/>
        <w:ind w:left="357" w:hanging="357"/>
        <w:contextualSpacing w:val="0"/>
        <w:jc w:val="both"/>
        <w:rPr>
          <w:b/>
          <w:lang w:val="el-GR"/>
        </w:rPr>
      </w:pPr>
      <w:r w:rsidRPr="006B1892">
        <w:rPr>
          <w:b/>
          <w:lang w:val="el-GR"/>
        </w:rPr>
        <w:t>Ανεπιθύμητες ενέργειες</w:t>
      </w:r>
    </w:p>
    <w:p w:rsidR="00901F87" w:rsidRPr="004847CC" w:rsidRDefault="00901F87" w:rsidP="004847CC">
      <w:pPr>
        <w:spacing w:after="0" w:line="240" w:lineRule="auto"/>
        <w:jc w:val="both"/>
        <w:rPr>
          <w:u w:val="single"/>
        </w:rPr>
      </w:pPr>
      <w:r w:rsidRPr="004847CC">
        <w:rPr>
          <w:u w:val="single"/>
        </w:rPr>
        <w:t>Περίληψη του προφίλ ασφάλειας</w:t>
      </w:r>
    </w:p>
    <w:p w:rsidR="00901F87" w:rsidRPr="009312EB" w:rsidRDefault="00901F87" w:rsidP="00FA3DF9">
      <w:pPr>
        <w:spacing w:line="240" w:lineRule="auto"/>
        <w:jc w:val="both"/>
        <w:rPr>
          <w:lang w:val="el-GR"/>
        </w:rPr>
      </w:pPr>
      <w:r w:rsidRPr="009312EB">
        <w:rPr>
          <w:lang w:val="el-GR"/>
        </w:rPr>
        <w:t xml:space="preserve">Η </w:t>
      </w:r>
      <w:r w:rsidR="009312EB" w:rsidRPr="009312EB">
        <w:rPr>
          <w:lang w:val="el-GR"/>
        </w:rPr>
        <w:t>ιβαμπραδίνη</w:t>
      </w:r>
      <w:r w:rsidRPr="009312EB">
        <w:rPr>
          <w:lang w:val="el-GR"/>
        </w:rPr>
        <w:t xml:space="preserve"> έχει μελετηθεί σε κλινικές μελέτες οι οποίες περιέλαβαν σχεδόν 45.000 συμμετέχοντες.</w:t>
      </w:r>
    </w:p>
    <w:p w:rsidR="00901F87" w:rsidRPr="004847CC" w:rsidRDefault="00901F87" w:rsidP="00FA3DF9">
      <w:pPr>
        <w:spacing w:line="240" w:lineRule="auto"/>
        <w:jc w:val="both"/>
        <w:rPr>
          <w:lang w:val="el-GR"/>
        </w:rPr>
      </w:pPr>
      <w:r w:rsidRPr="004847CC">
        <w:rPr>
          <w:lang w:val="el-GR"/>
        </w:rPr>
        <w:t xml:space="preserve">Οι πιο συνήθεις ανεπιθύμητες ενέργειες με </w:t>
      </w:r>
      <w:r w:rsidR="009312EB" w:rsidRPr="009312EB">
        <w:rPr>
          <w:lang w:val="el-GR"/>
        </w:rPr>
        <w:t>ιβαμπραδίνη</w:t>
      </w:r>
      <w:r w:rsidRPr="004847CC">
        <w:rPr>
          <w:lang w:val="el-GR"/>
        </w:rPr>
        <w:t>, φωτεινά φαινόμενα (φωτοψίες) και</w:t>
      </w:r>
      <w:r w:rsidR="004847CC">
        <w:rPr>
          <w:lang w:val="el-GR"/>
        </w:rPr>
        <w:t xml:space="preserve"> </w:t>
      </w:r>
      <w:r w:rsidRPr="004847CC">
        <w:rPr>
          <w:lang w:val="el-GR"/>
        </w:rPr>
        <w:t>βραδυκαρδία, είναι δοσοεξαρτώμενες και σχετίζονται με τη φαρμακολογική δράση του</w:t>
      </w:r>
      <w:r w:rsidR="004847CC">
        <w:rPr>
          <w:lang w:val="el-GR"/>
        </w:rPr>
        <w:t xml:space="preserve"> </w:t>
      </w:r>
      <w:r w:rsidRPr="004847CC">
        <w:rPr>
          <w:lang w:val="el-GR"/>
        </w:rPr>
        <w:t>φαρμακευτικού προϊόντος.</w:t>
      </w:r>
    </w:p>
    <w:p w:rsidR="00901F87" w:rsidRPr="005707DA" w:rsidRDefault="00901F87" w:rsidP="004847CC">
      <w:pPr>
        <w:spacing w:after="0" w:line="240" w:lineRule="auto"/>
        <w:jc w:val="both"/>
        <w:rPr>
          <w:u w:val="single"/>
          <w:lang w:val="el-GR"/>
        </w:rPr>
      </w:pPr>
      <w:r w:rsidRPr="005707DA">
        <w:rPr>
          <w:u w:val="single"/>
          <w:lang w:val="el-GR"/>
        </w:rPr>
        <w:t>Πίνακας των ανεπιθύμητων ενεργειών</w:t>
      </w:r>
    </w:p>
    <w:p w:rsidR="00211A43" w:rsidRPr="004847CC" w:rsidRDefault="00901F87" w:rsidP="00FA3DF9">
      <w:pPr>
        <w:spacing w:line="240" w:lineRule="auto"/>
        <w:jc w:val="both"/>
        <w:rPr>
          <w:lang w:val="el-GR"/>
        </w:rPr>
      </w:pPr>
      <w:r w:rsidRPr="004847CC">
        <w:rPr>
          <w:lang w:val="el-GR"/>
        </w:rPr>
        <w:t>Οι ακόλουθες ανεπιθύμητες ενέργειες αναφέρθηκαν κατά τη διάρκεια κλινικών δοκιμών και</w:t>
      </w:r>
      <w:r w:rsidR="004847CC">
        <w:rPr>
          <w:lang w:val="el-GR"/>
        </w:rPr>
        <w:t xml:space="preserve"> </w:t>
      </w:r>
      <w:r w:rsidRPr="004847CC">
        <w:rPr>
          <w:lang w:val="el-GR"/>
        </w:rPr>
        <w:t>κατατάσσονται με βάση την ακόλουθη συχνότητα: πολύ συχνές (≥1/10), συχνές (≥1/100 έως &lt;1/10),</w:t>
      </w:r>
      <w:r w:rsidR="004847CC">
        <w:rPr>
          <w:lang w:val="el-GR"/>
        </w:rPr>
        <w:t xml:space="preserve"> </w:t>
      </w:r>
      <w:r w:rsidRPr="004847CC">
        <w:rPr>
          <w:lang w:val="el-GR"/>
        </w:rPr>
        <w:t>όχι συχνές (≥1/1000 έως &lt;1/100), σπάνιες (≥1/10.000 έως &lt;1/1000), πολύ σπάνιες (&lt;1/10.000), μη</w:t>
      </w:r>
      <w:r w:rsidR="004847CC">
        <w:rPr>
          <w:lang w:val="el-GR"/>
        </w:rPr>
        <w:t xml:space="preserve"> </w:t>
      </w:r>
      <w:r w:rsidRPr="004847CC">
        <w:rPr>
          <w:lang w:val="el-GR"/>
        </w:rPr>
        <w:t>γνωστές (δεν μπορούν να εκτιμηθούν με βάση τα διαθέσιμα δεδομένα).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3124"/>
        <w:gridCol w:w="3123"/>
      </w:tblGrid>
      <w:tr w:rsidR="004847CC" w:rsidRPr="004847CC" w:rsidTr="00BF0051">
        <w:trPr>
          <w:trHeight w:hRule="exact" w:val="269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Κατηγορία / Οργανικό σύστημα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Συχνότητα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Προτιμώμενος όρος</w:t>
            </w:r>
          </w:p>
        </w:tc>
      </w:tr>
      <w:tr w:rsidR="004847CC" w:rsidRPr="004847CC" w:rsidTr="00BF0051">
        <w:trPr>
          <w:trHeight w:hRule="exact" w:val="528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4" w:lineRule="auto"/>
              <w:ind w:left="103" w:right="244"/>
              <w:rPr>
                <w:szCs w:val="24"/>
                <w:lang w:val="el-GR"/>
              </w:rPr>
            </w:pPr>
            <w:r w:rsidRPr="004847CC">
              <w:rPr>
                <w:sz w:val="22"/>
                <w:szCs w:val="22"/>
                <w:lang w:val="el-GR"/>
              </w:rPr>
              <w:t>Διαταραχές του αιμοποιητικού και του λεμφικού συστήματος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Όχι συχνές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Ηωσινοφιλία</w:t>
            </w:r>
          </w:p>
        </w:tc>
      </w:tr>
      <w:tr w:rsidR="004847CC" w:rsidRPr="004847CC" w:rsidTr="00BF0051">
        <w:trPr>
          <w:trHeight w:hRule="exact" w:val="528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4" w:lineRule="auto"/>
              <w:ind w:left="103" w:right="262"/>
              <w:rPr>
                <w:szCs w:val="24"/>
                <w:lang w:val="el-GR"/>
              </w:rPr>
            </w:pPr>
            <w:r w:rsidRPr="004847CC">
              <w:rPr>
                <w:sz w:val="22"/>
                <w:szCs w:val="22"/>
                <w:lang w:val="el-GR"/>
              </w:rPr>
              <w:t>Διαταραχές του μεταβολισμού και της θρέψης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Όχι συχνές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Υπερουριχαιμία</w:t>
            </w:r>
          </w:p>
        </w:tc>
      </w:tr>
      <w:tr w:rsidR="004847CC" w:rsidRPr="00CF173D" w:rsidTr="00BF0051">
        <w:trPr>
          <w:trHeight w:hRule="exact" w:val="528"/>
          <w:jc w:val="center"/>
        </w:trPr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4" w:lineRule="auto"/>
              <w:ind w:left="103" w:right="719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lastRenderedPageBreak/>
              <w:t>Διαταραχές του νευρικού συστήματος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58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Συχνές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4" w:lineRule="auto"/>
              <w:ind w:left="103" w:right="622"/>
              <w:rPr>
                <w:szCs w:val="24"/>
                <w:lang w:val="el-GR"/>
              </w:rPr>
            </w:pPr>
            <w:r w:rsidRPr="004847CC">
              <w:rPr>
                <w:sz w:val="22"/>
                <w:szCs w:val="22"/>
                <w:lang w:val="el-GR"/>
              </w:rPr>
              <w:t>Κεφαλαλγία, συνήθως τον πρώτο μήνα αγωγής</w:t>
            </w:r>
          </w:p>
        </w:tc>
      </w:tr>
      <w:tr w:rsidR="004847CC" w:rsidRPr="004847CC" w:rsidTr="00BF0051">
        <w:trPr>
          <w:trHeight w:hRule="exact" w:val="528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4" w:lineRule="auto"/>
              <w:ind w:left="103" w:right="622"/>
              <w:rPr>
                <w:szCs w:val="24"/>
                <w:lang w:val="el-GR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4" w:lineRule="auto"/>
              <w:ind w:left="103" w:right="622"/>
              <w:rPr>
                <w:szCs w:val="24"/>
                <w:lang w:val="el-GR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4" w:lineRule="auto"/>
              <w:ind w:left="103" w:right="1312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Ζάλη πιθανά λόγω βραδυκαρδίας</w:t>
            </w:r>
          </w:p>
        </w:tc>
      </w:tr>
      <w:tr w:rsidR="004847CC" w:rsidRPr="004847CC" w:rsidTr="00BF0051">
        <w:trPr>
          <w:trHeight w:hRule="exact" w:val="528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4" w:lineRule="auto"/>
              <w:ind w:left="103" w:right="1312"/>
              <w:rPr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Όχι συχνές*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4" w:lineRule="auto"/>
              <w:ind w:left="103" w:right="948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Συγκοπή, πιθανά λόγω βραδυκαρδίας</w:t>
            </w:r>
          </w:p>
        </w:tc>
      </w:tr>
      <w:tr w:rsidR="004847CC" w:rsidRPr="004847CC" w:rsidTr="00BF0051">
        <w:trPr>
          <w:trHeight w:hRule="exact" w:val="269"/>
          <w:jc w:val="center"/>
        </w:trPr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Οφθαλμικές διαταραχές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Πολύ συχνές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Φωτεινά φαινόμενα (φωτοψίες)</w:t>
            </w:r>
          </w:p>
        </w:tc>
      </w:tr>
      <w:tr w:rsidR="004847CC" w:rsidRPr="004847CC" w:rsidTr="00BF0051">
        <w:trPr>
          <w:trHeight w:hRule="exact" w:val="269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Συχνές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Θαμπή όραση</w:t>
            </w:r>
          </w:p>
        </w:tc>
      </w:tr>
      <w:tr w:rsidR="004847CC" w:rsidRPr="004847CC" w:rsidTr="00BF0051">
        <w:trPr>
          <w:trHeight w:hRule="exact" w:val="269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Όχι συχνές*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Διπλωπία</w:t>
            </w:r>
          </w:p>
        </w:tc>
      </w:tr>
      <w:tr w:rsidR="004847CC" w:rsidRPr="004847CC" w:rsidTr="00BF0051">
        <w:trPr>
          <w:trHeight w:hRule="exact" w:val="269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Οπτική διαταραχή</w:t>
            </w:r>
          </w:p>
        </w:tc>
      </w:tr>
      <w:tr w:rsidR="004847CC" w:rsidRPr="004847CC" w:rsidTr="00BF0051">
        <w:trPr>
          <w:trHeight w:hRule="exact" w:val="528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4" w:lineRule="auto"/>
              <w:ind w:left="103" w:right="386"/>
              <w:rPr>
                <w:szCs w:val="24"/>
                <w:lang w:val="el-GR"/>
              </w:rPr>
            </w:pPr>
            <w:r w:rsidRPr="004847CC">
              <w:rPr>
                <w:sz w:val="22"/>
                <w:szCs w:val="22"/>
                <w:lang w:val="el-GR"/>
              </w:rPr>
              <w:t>Διαταραχές του ωτός και του λαβυρίνθου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Όχι συχνές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Ίλιγγος</w:t>
            </w:r>
          </w:p>
        </w:tc>
      </w:tr>
      <w:tr w:rsidR="004847CC" w:rsidRPr="004847CC" w:rsidTr="00BF0051">
        <w:trPr>
          <w:trHeight w:hRule="exact" w:val="269"/>
          <w:jc w:val="center"/>
        </w:trPr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Καρδιακές διαταραχές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Συχνές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Βραδυκαρδία</w:t>
            </w:r>
          </w:p>
        </w:tc>
      </w:tr>
      <w:tr w:rsidR="004847CC" w:rsidRPr="00CF173D" w:rsidTr="00BF0051">
        <w:trPr>
          <w:trHeight w:hRule="exact" w:val="787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32" w:lineRule="auto"/>
              <w:ind w:left="103" w:right="89"/>
              <w:rPr>
                <w:szCs w:val="24"/>
                <w:lang w:val="el-GR"/>
              </w:rPr>
            </w:pPr>
            <w:r w:rsidRPr="004847CC">
              <w:rPr>
                <w:sz w:val="22"/>
                <w:szCs w:val="22"/>
                <w:lang w:val="el-GR"/>
              </w:rPr>
              <w:t>Κολποκοιλιακός αποκλεισμός 1</w:t>
            </w:r>
            <w:r w:rsidRPr="004847CC">
              <w:rPr>
                <w:position w:val="10"/>
                <w:sz w:val="14"/>
                <w:szCs w:val="14"/>
                <w:lang w:val="el-GR"/>
              </w:rPr>
              <w:t xml:space="preserve">ου </w:t>
            </w:r>
            <w:r w:rsidRPr="004847CC">
              <w:rPr>
                <w:sz w:val="22"/>
                <w:szCs w:val="22"/>
                <w:lang w:val="el-GR"/>
              </w:rPr>
              <w:t xml:space="preserve">βαθμού (ΗΚΓ παρατεταμένο διάστημα </w:t>
            </w:r>
            <w:r w:rsidRPr="004847CC">
              <w:rPr>
                <w:sz w:val="22"/>
                <w:szCs w:val="22"/>
              </w:rPr>
              <w:t>QT</w:t>
            </w:r>
            <w:r w:rsidRPr="004847CC">
              <w:rPr>
                <w:sz w:val="22"/>
                <w:szCs w:val="22"/>
                <w:lang w:val="el-GR"/>
              </w:rPr>
              <w:t>)</w:t>
            </w:r>
          </w:p>
        </w:tc>
      </w:tr>
      <w:tr w:rsidR="004847CC" w:rsidRPr="004847CC" w:rsidTr="00BF0051">
        <w:trPr>
          <w:trHeight w:hRule="exact" w:val="269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32" w:lineRule="auto"/>
              <w:ind w:left="103" w:right="89"/>
              <w:rPr>
                <w:szCs w:val="24"/>
                <w:lang w:val="el-GR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32" w:lineRule="auto"/>
              <w:ind w:left="103" w:right="89"/>
              <w:rPr>
                <w:szCs w:val="24"/>
                <w:lang w:val="el-GR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Κοιλιακές έκτακτες συστολές</w:t>
            </w:r>
          </w:p>
        </w:tc>
      </w:tr>
      <w:tr w:rsidR="004847CC" w:rsidRPr="004847CC" w:rsidTr="00BF0051">
        <w:trPr>
          <w:trHeight w:hRule="exact" w:val="269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Κολπική μαρμαρυγή</w:t>
            </w:r>
          </w:p>
        </w:tc>
      </w:tr>
      <w:tr w:rsidR="004847CC" w:rsidRPr="00CF173D" w:rsidTr="00BF0051">
        <w:trPr>
          <w:trHeight w:hRule="exact" w:val="787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Όχι συχνές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4" w:lineRule="auto"/>
              <w:ind w:left="103" w:right="844"/>
              <w:rPr>
                <w:szCs w:val="24"/>
                <w:lang w:val="el-GR"/>
              </w:rPr>
            </w:pPr>
            <w:r w:rsidRPr="004847CC">
              <w:rPr>
                <w:sz w:val="22"/>
                <w:szCs w:val="22"/>
                <w:lang w:val="el-GR"/>
              </w:rPr>
              <w:t>Αίσθημα παλμών, υπερκοιλιακές έκτακτες συστολές</w:t>
            </w:r>
          </w:p>
        </w:tc>
      </w:tr>
      <w:tr w:rsidR="004847CC" w:rsidRPr="004847CC" w:rsidTr="00BF0051">
        <w:trPr>
          <w:trHeight w:hRule="exact" w:val="1323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4" w:lineRule="auto"/>
              <w:ind w:left="103" w:right="844"/>
              <w:rPr>
                <w:szCs w:val="24"/>
                <w:lang w:val="el-GR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Πολύ σπάνιες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20" w:lineRule="auto"/>
              <w:ind w:left="103" w:right="298"/>
              <w:rPr>
                <w:sz w:val="22"/>
                <w:szCs w:val="22"/>
                <w:lang w:val="el-GR"/>
              </w:rPr>
            </w:pPr>
            <w:r w:rsidRPr="004847CC">
              <w:rPr>
                <w:sz w:val="22"/>
                <w:szCs w:val="22"/>
                <w:lang w:val="el-GR"/>
              </w:rPr>
              <w:t>Κολποκοιλιακός αποκλεισμός 2</w:t>
            </w:r>
            <w:r w:rsidRPr="004847CC">
              <w:rPr>
                <w:position w:val="10"/>
                <w:sz w:val="14"/>
                <w:szCs w:val="14"/>
                <w:lang w:val="el-GR"/>
              </w:rPr>
              <w:t xml:space="preserve">ου </w:t>
            </w:r>
            <w:r w:rsidRPr="004847CC">
              <w:rPr>
                <w:sz w:val="22"/>
                <w:szCs w:val="22"/>
                <w:lang w:val="el-GR"/>
              </w:rPr>
              <w:t>βαθμού. Κολποκοιλιακός αποκλεισμός 3</w:t>
            </w:r>
            <w:r w:rsidRPr="004847CC">
              <w:rPr>
                <w:position w:val="10"/>
                <w:sz w:val="14"/>
                <w:szCs w:val="14"/>
                <w:lang w:val="el-GR"/>
              </w:rPr>
              <w:t xml:space="preserve">ου </w:t>
            </w:r>
            <w:r w:rsidRPr="004847CC">
              <w:rPr>
                <w:sz w:val="22"/>
                <w:szCs w:val="22"/>
                <w:lang w:val="el-GR"/>
              </w:rPr>
              <w:t>βαθμού</w:t>
            </w:r>
          </w:p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20" w:lineRule="auto"/>
              <w:ind w:left="103" w:right="298"/>
              <w:rPr>
                <w:szCs w:val="24"/>
                <w:lang w:val="el-GR"/>
              </w:rPr>
            </w:pPr>
            <w:r w:rsidRPr="004847CC">
              <w:rPr>
                <w:szCs w:val="24"/>
                <w:lang w:val="el-GR"/>
              </w:rPr>
              <w:t>Σύνδρομο νοσούντος</w:t>
            </w:r>
          </w:p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20" w:lineRule="auto"/>
              <w:ind w:left="103" w:right="298"/>
              <w:rPr>
                <w:szCs w:val="24"/>
                <w:lang w:val="el-GR"/>
              </w:rPr>
            </w:pPr>
            <w:r w:rsidRPr="004847CC">
              <w:rPr>
                <w:szCs w:val="24"/>
                <w:lang w:val="el-GR"/>
              </w:rPr>
              <w:t>φλεβόκομβου</w:t>
            </w:r>
          </w:p>
        </w:tc>
      </w:tr>
      <w:tr w:rsidR="004847CC" w:rsidRPr="004847CC" w:rsidTr="00BF0051">
        <w:trPr>
          <w:jc w:val="center"/>
        </w:trPr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 w:val="22"/>
                <w:szCs w:val="22"/>
              </w:rPr>
            </w:pPr>
            <w:r w:rsidRPr="004847CC">
              <w:rPr>
                <w:sz w:val="22"/>
                <w:szCs w:val="22"/>
              </w:rPr>
              <w:t>Αγγειακές διαταραχές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 w:val="22"/>
                <w:szCs w:val="22"/>
              </w:rPr>
            </w:pPr>
            <w:r w:rsidRPr="004847CC">
              <w:rPr>
                <w:sz w:val="22"/>
                <w:szCs w:val="22"/>
              </w:rPr>
              <w:t>Συχνές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 w:val="22"/>
                <w:szCs w:val="22"/>
              </w:rPr>
            </w:pPr>
            <w:r w:rsidRPr="004847CC">
              <w:rPr>
                <w:sz w:val="22"/>
                <w:szCs w:val="22"/>
              </w:rPr>
              <w:t>Μη ρυθμιζόμενη αρτηριακή πίεση</w:t>
            </w:r>
          </w:p>
        </w:tc>
      </w:tr>
      <w:tr w:rsidR="004847CC" w:rsidRPr="004847CC" w:rsidTr="00BF0051">
        <w:trPr>
          <w:jc w:val="center"/>
        </w:trPr>
        <w:tc>
          <w:tcPr>
            <w:tcW w:w="3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 w:val="22"/>
                <w:szCs w:val="22"/>
              </w:rPr>
            </w:pPr>
            <w:r w:rsidRPr="004847CC">
              <w:rPr>
                <w:sz w:val="22"/>
                <w:szCs w:val="22"/>
              </w:rPr>
              <w:t>Όχι συχνές*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 w:val="22"/>
                <w:szCs w:val="22"/>
              </w:rPr>
            </w:pPr>
            <w:r w:rsidRPr="004847CC">
              <w:rPr>
                <w:sz w:val="22"/>
                <w:szCs w:val="22"/>
              </w:rPr>
              <w:t>Υπόταση, πιθανά λόγω βραδυκαρδίας</w:t>
            </w:r>
          </w:p>
        </w:tc>
      </w:tr>
      <w:tr w:rsidR="004847CC" w:rsidRPr="004847CC" w:rsidTr="00BF0051">
        <w:trPr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 w:val="22"/>
                <w:szCs w:val="22"/>
                <w:lang w:val="el-GR"/>
              </w:rPr>
            </w:pPr>
            <w:r w:rsidRPr="004847CC">
              <w:rPr>
                <w:sz w:val="22"/>
                <w:szCs w:val="22"/>
                <w:lang w:val="el-GR"/>
              </w:rPr>
              <w:t>Διαταραχές του αναπνευστικού συστήματος του θώρακα και του μεσοθωρακίου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 w:val="22"/>
                <w:szCs w:val="22"/>
                <w:lang w:val="el-GR"/>
              </w:rPr>
            </w:pPr>
            <w:r w:rsidRPr="004847CC">
              <w:rPr>
                <w:sz w:val="22"/>
                <w:szCs w:val="22"/>
              </w:rPr>
              <w:t>Όχι συχνές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 w:val="22"/>
                <w:szCs w:val="22"/>
                <w:lang w:val="el-GR"/>
              </w:rPr>
            </w:pPr>
            <w:r w:rsidRPr="004847CC">
              <w:rPr>
                <w:sz w:val="22"/>
                <w:szCs w:val="22"/>
              </w:rPr>
              <w:t>Δύσπνοια</w:t>
            </w:r>
          </w:p>
        </w:tc>
      </w:tr>
      <w:tr w:rsidR="00BF0051" w:rsidRPr="004847CC" w:rsidTr="00D13AC3">
        <w:trPr>
          <w:jc w:val="center"/>
        </w:trPr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051" w:rsidRPr="004847CC" w:rsidRDefault="00BF0051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 w:val="22"/>
                <w:szCs w:val="22"/>
                <w:lang w:val="el-GR"/>
              </w:rPr>
            </w:pPr>
            <w:r w:rsidRPr="004847CC">
              <w:rPr>
                <w:sz w:val="22"/>
                <w:szCs w:val="22"/>
              </w:rPr>
              <w:t>Διαταραχές του γαστρεντερικού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051" w:rsidRPr="004847CC" w:rsidRDefault="00BF0051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 w:val="22"/>
                <w:szCs w:val="22"/>
                <w:lang w:val="el-GR"/>
              </w:rPr>
            </w:pPr>
            <w:r w:rsidRPr="004847CC">
              <w:rPr>
                <w:sz w:val="22"/>
                <w:szCs w:val="22"/>
              </w:rPr>
              <w:t>Όχι συχνές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51" w:rsidRPr="004847CC" w:rsidRDefault="00BF0051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 w:val="22"/>
                <w:szCs w:val="22"/>
                <w:lang w:val="el-GR"/>
              </w:rPr>
            </w:pPr>
            <w:r w:rsidRPr="004847CC">
              <w:rPr>
                <w:sz w:val="22"/>
                <w:szCs w:val="22"/>
              </w:rPr>
              <w:t>Ναυτία</w:t>
            </w:r>
          </w:p>
        </w:tc>
      </w:tr>
      <w:tr w:rsidR="00BF0051" w:rsidRPr="004847CC" w:rsidTr="00D13AC3">
        <w:trPr>
          <w:jc w:val="center"/>
        </w:trPr>
        <w:tc>
          <w:tcPr>
            <w:tcW w:w="3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051" w:rsidRPr="004847CC" w:rsidRDefault="00BF0051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 w:val="22"/>
                <w:szCs w:val="22"/>
                <w:lang w:val="el-GR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051" w:rsidRPr="004847CC" w:rsidRDefault="00BF0051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 w:val="22"/>
                <w:szCs w:val="22"/>
                <w:lang w:val="el-GR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51" w:rsidRPr="004847CC" w:rsidRDefault="00BF0051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 w:val="22"/>
                <w:szCs w:val="22"/>
                <w:lang w:val="el-GR"/>
              </w:rPr>
            </w:pPr>
            <w:r w:rsidRPr="004847CC">
              <w:rPr>
                <w:sz w:val="22"/>
                <w:szCs w:val="22"/>
              </w:rPr>
              <w:t>Δυσκοιλιότητα</w:t>
            </w:r>
          </w:p>
        </w:tc>
      </w:tr>
      <w:tr w:rsidR="00BF0051" w:rsidRPr="004847CC" w:rsidTr="00D13AC3">
        <w:trPr>
          <w:jc w:val="center"/>
        </w:trPr>
        <w:tc>
          <w:tcPr>
            <w:tcW w:w="3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051" w:rsidRPr="004847CC" w:rsidRDefault="00BF0051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 w:val="22"/>
                <w:szCs w:val="22"/>
                <w:lang w:val="el-GR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051" w:rsidRPr="004847CC" w:rsidRDefault="00BF0051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 w:val="22"/>
                <w:szCs w:val="22"/>
                <w:lang w:val="el-GR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51" w:rsidRPr="004847CC" w:rsidRDefault="00BF0051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 w:val="22"/>
                <w:szCs w:val="22"/>
                <w:lang w:val="el-GR"/>
              </w:rPr>
            </w:pPr>
            <w:r w:rsidRPr="004847CC">
              <w:rPr>
                <w:sz w:val="22"/>
                <w:szCs w:val="22"/>
              </w:rPr>
              <w:t>Διάρροια</w:t>
            </w:r>
          </w:p>
        </w:tc>
      </w:tr>
      <w:tr w:rsidR="00BF0051" w:rsidRPr="004847CC" w:rsidTr="00D13AC3">
        <w:trPr>
          <w:jc w:val="center"/>
        </w:trPr>
        <w:tc>
          <w:tcPr>
            <w:tcW w:w="3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51" w:rsidRPr="004847CC" w:rsidRDefault="00BF0051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 w:val="22"/>
                <w:szCs w:val="22"/>
                <w:lang w:val="el-GR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51" w:rsidRPr="004847CC" w:rsidRDefault="00BF0051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 w:val="22"/>
                <w:szCs w:val="22"/>
                <w:lang w:val="el-GR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51" w:rsidRPr="004847CC" w:rsidRDefault="00BF0051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 w:val="22"/>
                <w:szCs w:val="22"/>
                <w:lang w:val="el-GR"/>
              </w:rPr>
            </w:pPr>
            <w:r w:rsidRPr="004847CC">
              <w:rPr>
                <w:sz w:val="22"/>
                <w:szCs w:val="22"/>
              </w:rPr>
              <w:t>Κοιλιακό άλγος*</w:t>
            </w:r>
          </w:p>
        </w:tc>
      </w:tr>
    </w:tbl>
    <w:p w:rsidR="00901F87" w:rsidRDefault="00901F87" w:rsidP="00FA3DF9">
      <w:pPr>
        <w:spacing w:line="240" w:lineRule="auto"/>
        <w:jc w:val="both"/>
        <w:rPr>
          <w:lang w:val="el-GR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1"/>
        <w:gridCol w:w="3163"/>
        <w:gridCol w:w="3046"/>
      </w:tblGrid>
      <w:tr w:rsidR="004847CC" w:rsidRPr="004847CC" w:rsidTr="00245E2B">
        <w:trPr>
          <w:trHeight w:hRule="exact" w:val="269"/>
          <w:jc w:val="center"/>
        </w:trPr>
        <w:tc>
          <w:tcPr>
            <w:tcW w:w="3091" w:type="dxa"/>
            <w:vMerge w:val="restart"/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4" w:lineRule="auto"/>
              <w:ind w:left="103" w:right="354"/>
              <w:rPr>
                <w:szCs w:val="24"/>
                <w:lang w:val="el-GR"/>
              </w:rPr>
            </w:pPr>
            <w:r w:rsidRPr="004847CC">
              <w:rPr>
                <w:sz w:val="22"/>
                <w:szCs w:val="22"/>
                <w:lang w:val="el-GR"/>
              </w:rPr>
              <w:t>Διαταραχές του δέρματος και του υποδόριου ιστού</w:t>
            </w:r>
          </w:p>
        </w:tc>
        <w:tc>
          <w:tcPr>
            <w:tcW w:w="3093" w:type="dxa"/>
            <w:vMerge w:val="restart"/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Όχι συχνές*</w:t>
            </w:r>
          </w:p>
        </w:tc>
        <w:tc>
          <w:tcPr>
            <w:tcW w:w="2979" w:type="dxa"/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Αγγειοοίδημα</w:t>
            </w:r>
          </w:p>
        </w:tc>
      </w:tr>
      <w:tr w:rsidR="004847CC" w:rsidRPr="004847CC" w:rsidTr="00245E2B">
        <w:trPr>
          <w:trHeight w:hRule="exact" w:val="528"/>
          <w:jc w:val="center"/>
        </w:trPr>
        <w:tc>
          <w:tcPr>
            <w:tcW w:w="3091" w:type="dxa"/>
            <w:vMerge/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</w:p>
        </w:tc>
        <w:tc>
          <w:tcPr>
            <w:tcW w:w="3093" w:type="dxa"/>
            <w:vMerge/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</w:p>
        </w:tc>
        <w:tc>
          <w:tcPr>
            <w:tcW w:w="2979" w:type="dxa"/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Εξάνθημα</w:t>
            </w:r>
          </w:p>
        </w:tc>
      </w:tr>
      <w:tr w:rsidR="004847CC" w:rsidRPr="004847CC" w:rsidTr="00245E2B">
        <w:trPr>
          <w:trHeight w:hRule="exact" w:val="269"/>
          <w:jc w:val="center"/>
        </w:trPr>
        <w:tc>
          <w:tcPr>
            <w:tcW w:w="3091" w:type="dxa"/>
            <w:vMerge/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</w:p>
        </w:tc>
        <w:tc>
          <w:tcPr>
            <w:tcW w:w="3093" w:type="dxa"/>
            <w:vMerge w:val="restart"/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Σπάνιες*</w:t>
            </w:r>
          </w:p>
        </w:tc>
        <w:tc>
          <w:tcPr>
            <w:tcW w:w="2979" w:type="dxa"/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Ερύθημα</w:t>
            </w:r>
          </w:p>
        </w:tc>
      </w:tr>
      <w:tr w:rsidR="004847CC" w:rsidRPr="004847CC" w:rsidTr="00245E2B">
        <w:trPr>
          <w:trHeight w:hRule="exact" w:val="269"/>
          <w:jc w:val="center"/>
        </w:trPr>
        <w:tc>
          <w:tcPr>
            <w:tcW w:w="3091" w:type="dxa"/>
            <w:vMerge/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</w:p>
        </w:tc>
        <w:tc>
          <w:tcPr>
            <w:tcW w:w="3093" w:type="dxa"/>
            <w:vMerge/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</w:p>
        </w:tc>
        <w:tc>
          <w:tcPr>
            <w:tcW w:w="2979" w:type="dxa"/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Κνησμός</w:t>
            </w:r>
          </w:p>
        </w:tc>
      </w:tr>
      <w:tr w:rsidR="004847CC" w:rsidRPr="004847CC" w:rsidTr="00245E2B">
        <w:trPr>
          <w:trHeight w:hRule="exact" w:val="269"/>
          <w:jc w:val="center"/>
        </w:trPr>
        <w:tc>
          <w:tcPr>
            <w:tcW w:w="3091" w:type="dxa"/>
            <w:vMerge/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</w:p>
        </w:tc>
        <w:tc>
          <w:tcPr>
            <w:tcW w:w="3093" w:type="dxa"/>
            <w:vMerge/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</w:p>
        </w:tc>
        <w:tc>
          <w:tcPr>
            <w:tcW w:w="2979" w:type="dxa"/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Κνίδωση</w:t>
            </w:r>
          </w:p>
        </w:tc>
      </w:tr>
      <w:tr w:rsidR="004847CC" w:rsidRPr="004847CC" w:rsidTr="00245E2B">
        <w:trPr>
          <w:trHeight w:hRule="exact" w:val="787"/>
          <w:jc w:val="center"/>
        </w:trPr>
        <w:tc>
          <w:tcPr>
            <w:tcW w:w="3091" w:type="dxa"/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4" w:lineRule="auto"/>
              <w:ind w:left="103" w:right="136"/>
              <w:jc w:val="both"/>
              <w:rPr>
                <w:szCs w:val="24"/>
                <w:lang w:val="el-GR"/>
              </w:rPr>
            </w:pPr>
            <w:r w:rsidRPr="004847CC">
              <w:rPr>
                <w:sz w:val="22"/>
                <w:szCs w:val="22"/>
                <w:lang w:val="el-GR"/>
              </w:rPr>
              <w:t>Διαταραχές του μυοσκελετικού συστήματος και του συνδετικού ιστού</w:t>
            </w:r>
          </w:p>
        </w:tc>
        <w:tc>
          <w:tcPr>
            <w:tcW w:w="3093" w:type="dxa"/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Όχι συχνές</w:t>
            </w:r>
          </w:p>
        </w:tc>
        <w:tc>
          <w:tcPr>
            <w:tcW w:w="2979" w:type="dxa"/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Μυϊκές κράμπες</w:t>
            </w:r>
          </w:p>
        </w:tc>
      </w:tr>
      <w:tr w:rsidR="004847CC" w:rsidRPr="00CF173D" w:rsidTr="00245E2B">
        <w:trPr>
          <w:trHeight w:hRule="exact" w:val="1046"/>
          <w:jc w:val="center"/>
        </w:trPr>
        <w:tc>
          <w:tcPr>
            <w:tcW w:w="3091" w:type="dxa"/>
            <w:vMerge w:val="restart"/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4" w:lineRule="auto"/>
              <w:ind w:left="103" w:right="910"/>
              <w:rPr>
                <w:szCs w:val="24"/>
                <w:lang w:val="el-GR"/>
              </w:rPr>
            </w:pPr>
            <w:r w:rsidRPr="004847CC">
              <w:rPr>
                <w:sz w:val="22"/>
                <w:szCs w:val="22"/>
                <w:lang w:val="el-GR"/>
              </w:rPr>
              <w:lastRenderedPageBreak/>
              <w:t>Γενικές διαταραχές και καταστάσεις της οδού χορήγησης</w:t>
            </w:r>
          </w:p>
        </w:tc>
        <w:tc>
          <w:tcPr>
            <w:tcW w:w="3093" w:type="dxa"/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Όχι συχνές*</w:t>
            </w:r>
          </w:p>
        </w:tc>
        <w:tc>
          <w:tcPr>
            <w:tcW w:w="2979" w:type="dxa"/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4" w:lineRule="auto"/>
              <w:ind w:left="103" w:right="367"/>
              <w:rPr>
                <w:szCs w:val="24"/>
                <w:lang w:val="el-GR"/>
              </w:rPr>
            </w:pPr>
            <w:r w:rsidRPr="004847CC">
              <w:rPr>
                <w:sz w:val="22"/>
                <w:szCs w:val="22"/>
                <w:lang w:val="el-GR"/>
              </w:rPr>
              <w:t>Αίσθημα αδυναμίας, πιθανά λόγω βραδυκαρδίας Αίσθημα κόπωσης, πιθανά λόγω βραδυκαρδίας</w:t>
            </w:r>
          </w:p>
        </w:tc>
      </w:tr>
      <w:tr w:rsidR="004847CC" w:rsidRPr="00CF173D" w:rsidTr="00245E2B">
        <w:trPr>
          <w:trHeight w:hRule="exact" w:val="528"/>
          <w:jc w:val="center"/>
        </w:trPr>
        <w:tc>
          <w:tcPr>
            <w:tcW w:w="3091" w:type="dxa"/>
            <w:vMerge/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4" w:lineRule="auto"/>
              <w:ind w:left="103" w:right="367"/>
              <w:rPr>
                <w:szCs w:val="24"/>
                <w:lang w:val="el-GR"/>
              </w:rPr>
            </w:pPr>
          </w:p>
        </w:tc>
        <w:tc>
          <w:tcPr>
            <w:tcW w:w="3093" w:type="dxa"/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Σπάνιες*</w:t>
            </w:r>
          </w:p>
        </w:tc>
        <w:tc>
          <w:tcPr>
            <w:tcW w:w="2979" w:type="dxa"/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4" w:lineRule="auto"/>
              <w:ind w:left="103" w:right="374"/>
              <w:rPr>
                <w:szCs w:val="24"/>
                <w:lang w:val="el-GR"/>
              </w:rPr>
            </w:pPr>
            <w:r w:rsidRPr="004847CC">
              <w:rPr>
                <w:sz w:val="22"/>
                <w:szCs w:val="22"/>
                <w:lang w:val="el-GR"/>
              </w:rPr>
              <w:t>Αίσθημα κακουχίας, πιθανά λόγω βραδυκαρδίας</w:t>
            </w:r>
          </w:p>
        </w:tc>
      </w:tr>
      <w:tr w:rsidR="004847CC" w:rsidRPr="004847CC" w:rsidTr="00245E2B">
        <w:trPr>
          <w:trHeight w:hRule="exact" w:val="269"/>
          <w:jc w:val="center"/>
        </w:trPr>
        <w:tc>
          <w:tcPr>
            <w:tcW w:w="3091" w:type="dxa"/>
            <w:vMerge w:val="restart"/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Παρακλινικές εξετάσεις</w:t>
            </w:r>
          </w:p>
        </w:tc>
        <w:tc>
          <w:tcPr>
            <w:tcW w:w="3093" w:type="dxa"/>
            <w:vMerge w:val="restart"/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Όχι συχνές</w:t>
            </w:r>
          </w:p>
        </w:tc>
        <w:tc>
          <w:tcPr>
            <w:tcW w:w="2979" w:type="dxa"/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  <w:r w:rsidRPr="004847CC">
              <w:rPr>
                <w:sz w:val="22"/>
                <w:szCs w:val="22"/>
              </w:rPr>
              <w:t>Αυξημένη κρεατινίνη αίματος</w:t>
            </w:r>
          </w:p>
        </w:tc>
      </w:tr>
      <w:tr w:rsidR="004847CC" w:rsidRPr="00CF173D" w:rsidTr="00245E2B">
        <w:trPr>
          <w:trHeight w:hRule="exact" w:val="528"/>
          <w:jc w:val="center"/>
        </w:trPr>
        <w:tc>
          <w:tcPr>
            <w:tcW w:w="3091" w:type="dxa"/>
            <w:vMerge/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</w:p>
        </w:tc>
        <w:tc>
          <w:tcPr>
            <w:tcW w:w="3093" w:type="dxa"/>
            <w:vMerge/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Cs w:val="24"/>
              </w:rPr>
            </w:pPr>
          </w:p>
        </w:tc>
        <w:tc>
          <w:tcPr>
            <w:tcW w:w="2979" w:type="dxa"/>
          </w:tcPr>
          <w:p w:rsidR="004847CC" w:rsidRPr="004847CC" w:rsidRDefault="004847CC" w:rsidP="004847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4" w:lineRule="auto"/>
              <w:ind w:left="103" w:right="310"/>
              <w:rPr>
                <w:szCs w:val="24"/>
                <w:lang w:val="el-GR"/>
              </w:rPr>
            </w:pPr>
            <w:r w:rsidRPr="004847CC">
              <w:rPr>
                <w:sz w:val="22"/>
                <w:szCs w:val="22"/>
                <w:lang w:val="el-GR"/>
              </w:rPr>
              <w:t xml:space="preserve">Παρατεταμένο διάστημα </w:t>
            </w:r>
            <w:r w:rsidRPr="004847CC">
              <w:rPr>
                <w:sz w:val="22"/>
                <w:szCs w:val="22"/>
              </w:rPr>
              <w:t>QT</w:t>
            </w:r>
            <w:r w:rsidRPr="004847CC">
              <w:rPr>
                <w:sz w:val="22"/>
                <w:szCs w:val="22"/>
                <w:lang w:val="el-GR"/>
              </w:rPr>
              <w:t xml:space="preserve"> στο ηλεκτροκαρδιογράφημα</w:t>
            </w:r>
          </w:p>
        </w:tc>
      </w:tr>
    </w:tbl>
    <w:p w:rsidR="00901F87" w:rsidRPr="004847CC" w:rsidRDefault="00901F87" w:rsidP="00FA3DF9">
      <w:pPr>
        <w:spacing w:line="240" w:lineRule="auto"/>
        <w:jc w:val="both"/>
        <w:rPr>
          <w:lang w:val="el-GR"/>
        </w:rPr>
      </w:pPr>
    </w:p>
    <w:p w:rsidR="00901F87" w:rsidRPr="00295DE2" w:rsidRDefault="00901F87" w:rsidP="00FA3DF9">
      <w:pPr>
        <w:spacing w:line="240" w:lineRule="auto"/>
        <w:jc w:val="both"/>
        <w:rPr>
          <w:lang w:val="el-GR"/>
        </w:rPr>
      </w:pPr>
      <w:r w:rsidRPr="00245E2B">
        <w:rPr>
          <w:lang w:val="el-GR"/>
        </w:rPr>
        <w:t>* Συχνότητα που υπολογίζεται από κλινικές μελέτες, για ανεπιθύμητες ενέργειες από αυθόρμητες</w:t>
      </w:r>
      <w:r w:rsidR="00295DE2" w:rsidRPr="00295DE2">
        <w:rPr>
          <w:lang w:val="el-GR"/>
        </w:rPr>
        <w:t xml:space="preserve"> </w:t>
      </w:r>
      <w:r w:rsidRPr="00295DE2">
        <w:rPr>
          <w:lang w:val="el-GR"/>
        </w:rPr>
        <w:t>αναφορές</w:t>
      </w:r>
    </w:p>
    <w:p w:rsidR="00901F87" w:rsidRPr="005707DA" w:rsidRDefault="00901F87" w:rsidP="00245E2B">
      <w:pPr>
        <w:spacing w:after="0" w:line="240" w:lineRule="auto"/>
        <w:jc w:val="both"/>
        <w:rPr>
          <w:u w:val="single"/>
          <w:lang w:val="el-GR"/>
        </w:rPr>
      </w:pPr>
      <w:r w:rsidRPr="005707DA">
        <w:rPr>
          <w:u w:val="single"/>
          <w:lang w:val="el-GR"/>
        </w:rPr>
        <w:t>Περιγραφή επιλεγμένων ανεπιθύμητων ενεργειών</w:t>
      </w:r>
    </w:p>
    <w:p w:rsidR="00901F87" w:rsidRPr="00295DE2" w:rsidRDefault="00901F87" w:rsidP="00FA3DF9">
      <w:pPr>
        <w:spacing w:line="240" w:lineRule="auto"/>
        <w:jc w:val="both"/>
        <w:rPr>
          <w:lang w:val="el-GR"/>
        </w:rPr>
      </w:pPr>
      <w:r w:rsidRPr="00295DE2">
        <w:rPr>
          <w:lang w:val="el-GR"/>
        </w:rPr>
        <w:t>Φωτεινά φαινόμενα (φωτοψίες) αναφέρθηκαν από το 14,5% των ασθενών και περιγράφονται ως</w:t>
      </w:r>
      <w:r w:rsidR="00295DE2" w:rsidRPr="00295DE2">
        <w:rPr>
          <w:lang w:val="el-GR"/>
        </w:rPr>
        <w:t xml:space="preserve"> </w:t>
      </w:r>
      <w:r w:rsidRPr="00295DE2">
        <w:rPr>
          <w:lang w:val="el-GR"/>
        </w:rPr>
        <w:t>παροδική αυξημένη φωτεινότητα σε περιορισμένη περιοχή του οπτικού πεδίου. Πυροδοτούνται</w:t>
      </w:r>
      <w:r w:rsidR="00295DE2" w:rsidRPr="00295DE2">
        <w:rPr>
          <w:lang w:val="el-GR"/>
        </w:rPr>
        <w:t xml:space="preserve"> </w:t>
      </w:r>
      <w:r w:rsidRPr="00295DE2">
        <w:rPr>
          <w:lang w:val="el-GR"/>
        </w:rPr>
        <w:t>συνήθως από αιφνίδιες διακυμάνσεις της έντασης του φωτός. Οι φωτοψίες μπορεί επίσης να</w:t>
      </w:r>
      <w:r w:rsidR="00295DE2" w:rsidRPr="00295DE2">
        <w:rPr>
          <w:lang w:val="el-GR"/>
        </w:rPr>
        <w:t xml:space="preserve"> </w:t>
      </w:r>
      <w:r w:rsidRPr="00295DE2">
        <w:rPr>
          <w:lang w:val="el-GR"/>
        </w:rPr>
        <w:t>περιγράφονται ως άλω, διάσπαση εικόνας (φαινόμενο στροβοσκοπίου ή καλειδοσκοπίου), λαμπρό</w:t>
      </w:r>
      <w:r w:rsidR="00295DE2" w:rsidRPr="00295DE2">
        <w:rPr>
          <w:lang w:val="el-GR"/>
        </w:rPr>
        <w:t xml:space="preserve"> </w:t>
      </w:r>
      <w:r w:rsidRPr="00295DE2">
        <w:rPr>
          <w:lang w:val="el-GR"/>
        </w:rPr>
        <w:t>χρωματιστό φως ή πολλαπλά είδωλα (διατήρηση της εικόνας στον αμφιβληστροειδή). Οι φωτοψίες</w:t>
      </w:r>
      <w:r w:rsidR="00295DE2" w:rsidRPr="00295DE2">
        <w:rPr>
          <w:lang w:val="el-GR"/>
        </w:rPr>
        <w:t xml:space="preserve"> </w:t>
      </w:r>
      <w:r w:rsidRPr="00295DE2">
        <w:rPr>
          <w:lang w:val="el-GR"/>
        </w:rPr>
        <w:t>ξεκινούν συνήθως μέσα στους πρώτους δύο μήνες της αγωγής και, μετά από αυτό το διάστημα,</w:t>
      </w:r>
      <w:r w:rsidR="00295DE2" w:rsidRPr="00295DE2">
        <w:rPr>
          <w:lang w:val="el-GR"/>
        </w:rPr>
        <w:t xml:space="preserve"> </w:t>
      </w:r>
      <w:r w:rsidRPr="00295DE2">
        <w:rPr>
          <w:lang w:val="el-GR"/>
        </w:rPr>
        <w:t xml:space="preserve">μπορεί να επαναλαμβάνονται. </w:t>
      </w:r>
      <w:r w:rsidRPr="005707DA">
        <w:rPr>
          <w:lang w:val="el-GR"/>
        </w:rPr>
        <w:t xml:space="preserve">Οι φωτοψίες αναφέρθηκαν ως ήπιας έως μέτριας έντασης. </w:t>
      </w:r>
      <w:r w:rsidRPr="00295DE2">
        <w:rPr>
          <w:lang w:val="el-GR"/>
        </w:rPr>
        <w:t>Όλες οι</w:t>
      </w:r>
      <w:r w:rsidR="00295DE2" w:rsidRPr="00295DE2">
        <w:rPr>
          <w:lang w:val="el-GR"/>
        </w:rPr>
        <w:t xml:space="preserve"> </w:t>
      </w:r>
      <w:r w:rsidRPr="00295DE2">
        <w:rPr>
          <w:lang w:val="el-GR"/>
        </w:rPr>
        <w:t>φωτοψίες υποχώρησαν κατά τη διάρκεια ή μετά την αγωγή, με την πλειονότητα (77,5%) να έχει</w:t>
      </w:r>
      <w:r w:rsidR="00295DE2" w:rsidRPr="00295DE2">
        <w:rPr>
          <w:lang w:val="el-GR"/>
        </w:rPr>
        <w:t xml:space="preserve"> </w:t>
      </w:r>
      <w:r w:rsidRPr="00295DE2">
        <w:rPr>
          <w:lang w:val="el-GR"/>
        </w:rPr>
        <w:t>υποχωρήσει κατά τη διάρκεια της αγωγής. Λιγότερο από το 1% των ασθενών άλλαξε τις καθημερινές</w:t>
      </w:r>
      <w:r w:rsidR="00295DE2" w:rsidRPr="00295DE2">
        <w:rPr>
          <w:lang w:val="el-GR"/>
        </w:rPr>
        <w:t xml:space="preserve"> </w:t>
      </w:r>
      <w:r w:rsidRPr="00295DE2">
        <w:rPr>
          <w:lang w:val="el-GR"/>
        </w:rPr>
        <w:t>του συνήθειες ή διέκοψε την αγωγή για τις φωτοψίες.</w:t>
      </w:r>
    </w:p>
    <w:p w:rsidR="00901F87" w:rsidRPr="005707DA" w:rsidRDefault="00901F87" w:rsidP="00FA3DF9">
      <w:pPr>
        <w:spacing w:line="240" w:lineRule="auto"/>
        <w:jc w:val="both"/>
        <w:rPr>
          <w:lang w:val="el-GR"/>
        </w:rPr>
      </w:pPr>
      <w:r w:rsidRPr="00295DE2">
        <w:rPr>
          <w:lang w:val="el-GR"/>
        </w:rPr>
        <w:t>Βραδυκαρδία αναφέρθηκε από το 3,3% των ασθενών, ιδιαίτερα κατά τους πρώτους 2 με 3 μήνες</w:t>
      </w:r>
      <w:r w:rsidR="00295DE2" w:rsidRPr="00295DE2">
        <w:rPr>
          <w:lang w:val="el-GR"/>
        </w:rPr>
        <w:t xml:space="preserve"> </w:t>
      </w:r>
      <w:r w:rsidRPr="00295DE2">
        <w:rPr>
          <w:lang w:val="el-GR"/>
        </w:rPr>
        <w:t xml:space="preserve">αγωγής. Το 0,5% των ασθενών εκδήλωσε σοβαρή βραδυκαρδία κάτω από ή ίση με 40 </w:t>
      </w:r>
      <w:r>
        <w:t>bpm</w:t>
      </w:r>
      <w:r w:rsidRPr="00295DE2">
        <w:rPr>
          <w:lang w:val="el-GR"/>
        </w:rPr>
        <w:t>.</w:t>
      </w:r>
      <w:r w:rsidR="00295DE2" w:rsidRPr="00295DE2">
        <w:rPr>
          <w:lang w:val="el-GR"/>
        </w:rPr>
        <w:t xml:space="preserve"> </w:t>
      </w:r>
    </w:p>
    <w:p w:rsidR="00901F87" w:rsidRPr="00295DE2" w:rsidRDefault="00901F87" w:rsidP="00FA3DF9">
      <w:pPr>
        <w:spacing w:line="240" w:lineRule="auto"/>
        <w:jc w:val="both"/>
        <w:rPr>
          <w:lang w:val="el-GR"/>
        </w:rPr>
      </w:pPr>
      <w:r w:rsidRPr="00295DE2">
        <w:rPr>
          <w:lang w:val="el-GR"/>
        </w:rPr>
        <w:t xml:space="preserve">Στη μελέτη </w:t>
      </w:r>
      <w:r>
        <w:t>SIGNIFY</w:t>
      </w:r>
      <w:r w:rsidRPr="00295DE2">
        <w:rPr>
          <w:lang w:val="el-GR"/>
        </w:rPr>
        <w:t xml:space="preserve"> παρατηρήθηκε κολπική μαρμαρυγή στο 5,3% των ασθενών που λάμβαναν</w:t>
      </w:r>
      <w:r w:rsidR="00295DE2" w:rsidRPr="00295DE2">
        <w:rPr>
          <w:lang w:val="el-GR"/>
        </w:rPr>
        <w:t xml:space="preserve"> </w:t>
      </w:r>
      <w:r w:rsidR="009312EB" w:rsidRPr="009312EB">
        <w:rPr>
          <w:lang w:val="el-GR"/>
        </w:rPr>
        <w:t>ιβαμπραδίνη</w:t>
      </w:r>
      <w:r w:rsidRPr="00295DE2">
        <w:rPr>
          <w:lang w:val="el-GR"/>
        </w:rPr>
        <w:t xml:space="preserve"> σε σύγκριση με 3,8% της ομάδας εικονικού φαρμάκου. Σε μετα-ανάλυση όλων των Φάσης</w:t>
      </w:r>
      <w:r w:rsidR="00295DE2" w:rsidRPr="00295DE2">
        <w:rPr>
          <w:lang w:val="el-GR"/>
        </w:rPr>
        <w:t xml:space="preserve"> </w:t>
      </w:r>
      <w:r w:rsidRPr="00295DE2">
        <w:rPr>
          <w:lang w:val="el-GR"/>
        </w:rPr>
        <w:t>ΙΙ/ΙΙΙ διπλά τυφλών ελεγχόμενων κλινικών μελετών, διάρκειας τουλάχιστον 3 μηνών, όπου</w:t>
      </w:r>
      <w:r w:rsidR="00295DE2" w:rsidRPr="00295DE2">
        <w:rPr>
          <w:lang w:val="el-GR"/>
        </w:rPr>
        <w:t xml:space="preserve"> </w:t>
      </w:r>
      <w:r w:rsidRPr="00295DE2">
        <w:rPr>
          <w:lang w:val="el-GR"/>
        </w:rPr>
        <w:t>συμπεριλήφθηκαν πάνω από 40.000 ασθενείς, η συχνότητα εμφάνισης κολπικής μαρμαρυγής ήταν</w:t>
      </w:r>
      <w:r w:rsidR="00295DE2" w:rsidRPr="00295DE2">
        <w:rPr>
          <w:lang w:val="el-GR"/>
        </w:rPr>
        <w:t xml:space="preserve"> </w:t>
      </w:r>
      <w:r w:rsidRPr="00295DE2">
        <w:rPr>
          <w:lang w:val="el-GR"/>
        </w:rPr>
        <w:t xml:space="preserve">4,86% στους ασθενείς που έλαβαν </w:t>
      </w:r>
      <w:r w:rsidR="009312EB" w:rsidRPr="009312EB">
        <w:rPr>
          <w:lang w:val="el-GR"/>
        </w:rPr>
        <w:t>ιβαμπραδίνη</w:t>
      </w:r>
      <w:r w:rsidRPr="00295DE2">
        <w:rPr>
          <w:lang w:val="el-GR"/>
        </w:rPr>
        <w:t>, συγκριτικά με 4,08% στους μάρτυρες ελέγχου, που</w:t>
      </w:r>
      <w:r w:rsidR="00295DE2" w:rsidRPr="00295DE2">
        <w:rPr>
          <w:lang w:val="el-GR"/>
        </w:rPr>
        <w:t xml:space="preserve"> </w:t>
      </w:r>
      <w:r w:rsidRPr="00295DE2">
        <w:rPr>
          <w:lang w:val="el-GR"/>
        </w:rPr>
        <w:t xml:space="preserve">αντιστοιχεί σε αναλογία κινδύνου 1,26, 95% </w:t>
      </w:r>
      <w:r>
        <w:t>CI</w:t>
      </w:r>
      <w:r w:rsidRPr="00295DE2">
        <w:rPr>
          <w:lang w:val="el-GR"/>
        </w:rPr>
        <w:t xml:space="preserve"> [1,15-1,39].</w:t>
      </w:r>
    </w:p>
    <w:p w:rsidR="00901F87" w:rsidRPr="005707DA" w:rsidRDefault="00901F87" w:rsidP="00295DE2">
      <w:pPr>
        <w:spacing w:after="0" w:line="240" w:lineRule="auto"/>
        <w:jc w:val="both"/>
        <w:rPr>
          <w:u w:val="single"/>
          <w:lang w:val="el-GR"/>
        </w:rPr>
      </w:pPr>
      <w:r w:rsidRPr="005707DA">
        <w:rPr>
          <w:u w:val="single"/>
          <w:lang w:val="el-GR"/>
        </w:rPr>
        <w:t>Αναφορά πιθανολογούμενων ανεπιθύμητων ενεργειών</w:t>
      </w:r>
    </w:p>
    <w:p w:rsidR="001F2BD4" w:rsidRPr="001F2BD4" w:rsidRDefault="001F2BD4" w:rsidP="001F2BD4">
      <w:pPr>
        <w:spacing w:line="240" w:lineRule="auto"/>
        <w:jc w:val="both"/>
        <w:rPr>
          <w:lang w:val="el-GR"/>
        </w:rPr>
      </w:pPr>
      <w:r w:rsidRPr="001F2BD4">
        <w:rPr>
          <w:lang w:val="el-GR"/>
        </w:rPr>
        <w:t xml:space="preserve">Η αναφορά πιθανολογούμενων ανεπιθύμητων ενεργειών μετά από τη χορήγηση άδειας κυκλοφορίας του φαρμακευτικού προϊόντος είναι σημαντική. Επιτρέπει τη συνεχή παρακολούθηση της σχέσης οφέλους-κινδύνου του φαρμακευτικού προϊόντος. Ζητείται από τους επαγγελματίες του τομέα της υγειονομικής περίθαλψης να αναφέρουν οποιεσδήποτε πιθανολογούμενες ανεπιθύμητες ενέργειες μέσω </w:t>
      </w:r>
      <w:r>
        <w:rPr>
          <w:lang w:val="el-GR"/>
        </w:rPr>
        <w:t>του εθνικού συστήματος αναφοράς</w:t>
      </w:r>
    </w:p>
    <w:p w:rsidR="001F2BD4" w:rsidRPr="001F2BD4" w:rsidRDefault="001F2BD4" w:rsidP="001F2BD4">
      <w:pPr>
        <w:spacing w:after="0" w:line="240" w:lineRule="auto"/>
        <w:jc w:val="both"/>
        <w:rPr>
          <w:lang w:val="el-GR"/>
        </w:rPr>
      </w:pPr>
      <w:r w:rsidRPr="001F2BD4">
        <w:rPr>
          <w:lang w:val="el-GR"/>
        </w:rPr>
        <w:t>Εθνικός Οργανισμός Φαρμάκων</w:t>
      </w:r>
    </w:p>
    <w:p w:rsidR="001F2BD4" w:rsidRPr="001F2BD4" w:rsidRDefault="001F2BD4" w:rsidP="001F2BD4">
      <w:pPr>
        <w:spacing w:after="0" w:line="240" w:lineRule="auto"/>
        <w:jc w:val="both"/>
        <w:rPr>
          <w:lang w:val="el-GR"/>
        </w:rPr>
      </w:pPr>
      <w:r w:rsidRPr="001F2BD4">
        <w:rPr>
          <w:lang w:val="el-GR"/>
        </w:rPr>
        <w:t>Μεσογείων 284</w:t>
      </w:r>
    </w:p>
    <w:p w:rsidR="001F2BD4" w:rsidRPr="001F2BD4" w:rsidRDefault="001F2BD4" w:rsidP="001F2BD4">
      <w:pPr>
        <w:spacing w:after="0" w:line="240" w:lineRule="auto"/>
        <w:jc w:val="both"/>
        <w:rPr>
          <w:lang w:val="el-GR"/>
        </w:rPr>
      </w:pPr>
      <w:r w:rsidRPr="001F2BD4">
        <w:rPr>
          <w:lang w:val="el-GR"/>
        </w:rPr>
        <w:t>GR-15562 Χολαργός, Αθήνα</w:t>
      </w:r>
    </w:p>
    <w:p w:rsidR="001F2BD4" w:rsidRPr="001F2BD4" w:rsidRDefault="001F2BD4" w:rsidP="001F2BD4">
      <w:pPr>
        <w:spacing w:after="0" w:line="240" w:lineRule="auto"/>
        <w:jc w:val="both"/>
        <w:rPr>
          <w:lang w:val="el-GR"/>
        </w:rPr>
      </w:pPr>
      <w:r w:rsidRPr="001F2BD4">
        <w:rPr>
          <w:lang w:val="el-GR"/>
        </w:rPr>
        <w:t>Τηλ: + 30 21 32040380/337</w:t>
      </w:r>
    </w:p>
    <w:p w:rsidR="001F2BD4" w:rsidRPr="001F2BD4" w:rsidRDefault="001F2BD4" w:rsidP="001F2BD4">
      <w:pPr>
        <w:spacing w:after="0" w:line="240" w:lineRule="auto"/>
        <w:jc w:val="both"/>
        <w:rPr>
          <w:lang w:val="el-GR"/>
        </w:rPr>
      </w:pPr>
      <w:r w:rsidRPr="001F2BD4">
        <w:rPr>
          <w:lang w:val="el-GR"/>
        </w:rPr>
        <w:t xml:space="preserve">Φαξ: + 30 21 06549585 </w:t>
      </w:r>
    </w:p>
    <w:p w:rsidR="00901F87" w:rsidRPr="00295DE2" w:rsidRDefault="001F2BD4" w:rsidP="001F2BD4">
      <w:pPr>
        <w:spacing w:line="240" w:lineRule="auto"/>
        <w:jc w:val="both"/>
        <w:rPr>
          <w:lang w:val="el-GR"/>
        </w:rPr>
      </w:pPr>
      <w:r w:rsidRPr="001F2BD4">
        <w:rPr>
          <w:lang w:val="el-GR"/>
        </w:rPr>
        <w:lastRenderedPageBreak/>
        <w:t>Ιστότοπος: http://www.eof.gr</w:t>
      </w:r>
    </w:p>
    <w:p w:rsidR="00901F87" w:rsidRPr="006B1892" w:rsidRDefault="00901F87" w:rsidP="006B1892">
      <w:pPr>
        <w:pStyle w:val="a3"/>
        <w:numPr>
          <w:ilvl w:val="1"/>
          <w:numId w:val="2"/>
        </w:numPr>
        <w:spacing w:line="240" w:lineRule="auto"/>
        <w:ind w:left="357" w:hanging="357"/>
        <w:contextualSpacing w:val="0"/>
        <w:jc w:val="both"/>
        <w:rPr>
          <w:b/>
          <w:lang w:val="el-GR"/>
        </w:rPr>
      </w:pPr>
      <w:r w:rsidRPr="006B1892">
        <w:rPr>
          <w:b/>
          <w:lang w:val="el-GR"/>
        </w:rPr>
        <w:t>Υπερδοσολογία</w:t>
      </w:r>
    </w:p>
    <w:p w:rsidR="00901F87" w:rsidRPr="00BF0051" w:rsidRDefault="00901F87" w:rsidP="00BF0051">
      <w:pPr>
        <w:spacing w:after="0" w:line="240" w:lineRule="auto"/>
        <w:jc w:val="both"/>
        <w:rPr>
          <w:u w:val="single"/>
        </w:rPr>
      </w:pPr>
      <w:r w:rsidRPr="00BF0051">
        <w:rPr>
          <w:u w:val="single"/>
        </w:rPr>
        <w:t>Συμπτώματα</w:t>
      </w:r>
    </w:p>
    <w:p w:rsidR="00901F87" w:rsidRPr="00FA3DF9" w:rsidRDefault="00901F87" w:rsidP="00FA3DF9">
      <w:pPr>
        <w:spacing w:line="240" w:lineRule="auto"/>
        <w:jc w:val="both"/>
      </w:pPr>
      <w:r w:rsidRPr="005707DA">
        <w:rPr>
          <w:lang w:val="el-GR"/>
        </w:rPr>
        <w:t xml:space="preserve">Η υπερδοσολογία μπορεί να προκαλέσει σοβαρή και παρατεταμένη βραδυκαρδία (βλ. </w:t>
      </w:r>
      <w:r w:rsidR="00295DE2" w:rsidRPr="00FA3DF9">
        <w:t>Π</w:t>
      </w:r>
      <w:r w:rsidRPr="00FA3DF9">
        <w:t>αράγραφο</w:t>
      </w:r>
      <w:r w:rsidR="00295DE2">
        <w:t xml:space="preserve"> </w:t>
      </w:r>
      <w:r w:rsidRPr="00FA3DF9">
        <w:t>4.8).</w:t>
      </w:r>
    </w:p>
    <w:p w:rsidR="00901F87" w:rsidRPr="00295DE2" w:rsidRDefault="00901F87" w:rsidP="00295DE2">
      <w:pPr>
        <w:spacing w:after="0" w:line="240" w:lineRule="auto"/>
        <w:jc w:val="both"/>
        <w:rPr>
          <w:u w:val="single"/>
        </w:rPr>
      </w:pPr>
      <w:r w:rsidRPr="00295DE2">
        <w:rPr>
          <w:u w:val="single"/>
        </w:rPr>
        <w:t>Αντιμετώπιση</w:t>
      </w:r>
    </w:p>
    <w:p w:rsidR="00901F87" w:rsidRPr="00FA3DF9" w:rsidRDefault="00901F87" w:rsidP="00FA3DF9">
      <w:pPr>
        <w:spacing w:line="240" w:lineRule="auto"/>
        <w:jc w:val="both"/>
      </w:pPr>
      <w:r w:rsidRPr="005707DA">
        <w:rPr>
          <w:lang w:val="el-GR"/>
        </w:rPr>
        <w:t xml:space="preserve">Η σοβαρή βραδυκαρδία πρέπει να αντιμετωπίζεται συμπτωματικά σε εξειδικευμένο περιβάλλον. </w:t>
      </w:r>
      <w:r w:rsidRPr="00295DE2">
        <w:rPr>
          <w:lang w:val="el-GR"/>
        </w:rPr>
        <w:t>Σε</w:t>
      </w:r>
      <w:r w:rsidR="00295DE2" w:rsidRPr="00295DE2">
        <w:rPr>
          <w:lang w:val="el-GR"/>
        </w:rPr>
        <w:t xml:space="preserve"> </w:t>
      </w:r>
      <w:r w:rsidRPr="00295DE2">
        <w:rPr>
          <w:lang w:val="el-GR"/>
        </w:rPr>
        <w:t>περίπτωση βραδυκαρδίας με ασθενή αιμοδυναμική ανοχή, πρέπει να εξετάζεται η χορήγηση</w:t>
      </w:r>
      <w:r w:rsidR="00295DE2" w:rsidRPr="00295DE2">
        <w:rPr>
          <w:lang w:val="el-GR"/>
        </w:rPr>
        <w:t xml:space="preserve"> </w:t>
      </w:r>
      <w:r w:rsidRPr="00295DE2">
        <w:rPr>
          <w:lang w:val="el-GR"/>
        </w:rPr>
        <w:t xml:space="preserve">συμπτωματικής αγωγής που θα περιλαμβάνει ενδοφλέβια χορηγούμενα φαρμακευτικά προϊόντα β-διέγερσης, όπως η ισοπρεναλίνη. </w:t>
      </w:r>
      <w:r w:rsidRPr="00FA3DF9">
        <w:t>Μπορεί να εφαρμοστεί προσωρινή καρδιακή ηλεκτρική</w:t>
      </w:r>
      <w:r w:rsidR="00295DE2">
        <w:t xml:space="preserve"> </w:t>
      </w:r>
      <w:r w:rsidRPr="00FA3DF9">
        <w:t>βηματοδότηση, εάν απαιτείται.</w:t>
      </w:r>
    </w:p>
    <w:p w:rsidR="00901F87" w:rsidRPr="00BA0173" w:rsidRDefault="00901F87" w:rsidP="006B1892">
      <w:pPr>
        <w:pStyle w:val="a3"/>
        <w:numPr>
          <w:ilvl w:val="0"/>
          <w:numId w:val="2"/>
        </w:numPr>
        <w:spacing w:line="240" w:lineRule="auto"/>
        <w:ind w:left="357" w:hanging="357"/>
        <w:contextualSpacing w:val="0"/>
        <w:jc w:val="both"/>
        <w:rPr>
          <w:b/>
          <w:lang w:val="el-GR"/>
        </w:rPr>
      </w:pPr>
      <w:r w:rsidRPr="00BA0173">
        <w:rPr>
          <w:b/>
          <w:lang w:val="el-GR"/>
        </w:rPr>
        <w:t>ΦΑΡΜΑΚΟΛΟΓΙΚΕΣ ΙΔΙΟΤΗΤΕΣ</w:t>
      </w:r>
    </w:p>
    <w:p w:rsidR="00901F87" w:rsidRPr="006B1892" w:rsidRDefault="00901F87" w:rsidP="006B1892">
      <w:pPr>
        <w:pStyle w:val="a3"/>
        <w:numPr>
          <w:ilvl w:val="1"/>
          <w:numId w:val="2"/>
        </w:numPr>
        <w:spacing w:line="240" w:lineRule="auto"/>
        <w:ind w:left="357" w:hanging="357"/>
        <w:contextualSpacing w:val="0"/>
        <w:jc w:val="both"/>
        <w:rPr>
          <w:b/>
          <w:lang w:val="el-GR"/>
        </w:rPr>
      </w:pPr>
      <w:r w:rsidRPr="006B1892">
        <w:rPr>
          <w:b/>
          <w:lang w:val="el-GR"/>
        </w:rPr>
        <w:t>Φαρμακοδυναμικές ιδιότητες</w:t>
      </w:r>
    </w:p>
    <w:p w:rsidR="00901F87" w:rsidRPr="005707DA" w:rsidRDefault="00901F87" w:rsidP="00FA3DF9">
      <w:pPr>
        <w:spacing w:line="240" w:lineRule="auto"/>
        <w:jc w:val="both"/>
        <w:rPr>
          <w:lang w:val="el-GR"/>
        </w:rPr>
      </w:pPr>
      <w:r w:rsidRPr="005707DA">
        <w:rPr>
          <w:lang w:val="el-GR"/>
        </w:rPr>
        <w:t xml:space="preserve">Φαρμακοθεραπευτική κατηγορία: καρδιακή θεραπεία, άλλα καρδιακά σκευάσματα, κωδικός </w:t>
      </w:r>
      <w:r>
        <w:t>ATC</w:t>
      </w:r>
      <w:r w:rsidRPr="005707DA">
        <w:rPr>
          <w:lang w:val="el-GR"/>
        </w:rPr>
        <w:t>:</w:t>
      </w:r>
    </w:p>
    <w:p w:rsidR="00901F87" w:rsidRPr="005707DA" w:rsidRDefault="00901F87" w:rsidP="00FA3DF9">
      <w:pPr>
        <w:spacing w:line="240" w:lineRule="auto"/>
        <w:jc w:val="both"/>
        <w:rPr>
          <w:lang w:val="el-GR"/>
        </w:rPr>
      </w:pPr>
      <w:r>
        <w:t>C</w:t>
      </w:r>
      <w:r w:rsidRPr="005707DA">
        <w:rPr>
          <w:lang w:val="el-GR"/>
        </w:rPr>
        <w:t>01</w:t>
      </w:r>
      <w:r>
        <w:t>EB</w:t>
      </w:r>
      <w:r w:rsidRPr="005707DA">
        <w:rPr>
          <w:lang w:val="el-GR"/>
        </w:rPr>
        <w:t>17</w:t>
      </w:r>
    </w:p>
    <w:p w:rsidR="00901F87" w:rsidRPr="005707DA" w:rsidRDefault="00901F87" w:rsidP="00FA3DF9">
      <w:pPr>
        <w:spacing w:line="240" w:lineRule="auto"/>
        <w:jc w:val="both"/>
        <w:rPr>
          <w:u w:val="single"/>
          <w:lang w:val="el-GR"/>
        </w:rPr>
      </w:pPr>
      <w:r w:rsidRPr="005707DA">
        <w:rPr>
          <w:u w:val="single"/>
          <w:lang w:val="el-GR"/>
        </w:rPr>
        <w:t>Μηχανισμός δράσης</w:t>
      </w:r>
    </w:p>
    <w:p w:rsidR="00901F87" w:rsidRPr="00BF0051" w:rsidRDefault="00901F87" w:rsidP="00FA3DF9">
      <w:pPr>
        <w:spacing w:line="240" w:lineRule="auto"/>
        <w:jc w:val="both"/>
        <w:rPr>
          <w:lang w:val="el-GR"/>
        </w:rPr>
      </w:pPr>
      <w:r w:rsidRPr="00BF0051">
        <w:rPr>
          <w:lang w:val="el-GR"/>
        </w:rPr>
        <w:t xml:space="preserve">Η </w:t>
      </w:r>
      <w:r w:rsidR="009312EB" w:rsidRPr="009312EB">
        <w:rPr>
          <w:lang w:val="el-GR"/>
        </w:rPr>
        <w:t>ιβαμπραδίνη</w:t>
      </w:r>
      <w:r w:rsidRPr="00BF0051">
        <w:rPr>
          <w:lang w:val="el-GR"/>
        </w:rPr>
        <w:t xml:space="preserve"> είναι αμιγής παράγοντας μείωσης της καρδιακής συχνότητας, που δρα με εκλεκτική και</w:t>
      </w:r>
      <w:r w:rsidR="00BF0051">
        <w:rPr>
          <w:lang w:val="el-GR"/>
        </w:rPr>
        <w:t xml:space="preserve"> </w:t>
      </w:r>
      <w:r w:rsidRPr="00BF0051">
        <w:rPr>
          <w:lang w:val="el-GR"/>
        </w:rPr>
        <w:t>ειδική αναστολή του ρεύματος Ι</w:t>
      </w:r>
      <w:r>
        <w:t>f</w:t>
      </w:r>
      <w:r w:rsidRPr="00BF0051">
        <w:rPr>
          <w:lang w:val="el-GR"/>
        </w:rPr>
        <w:t xml:space="preserve"> του καρδιακού βηματοδότη, το οποίο ελέγχει την αυτόματη</w:t>
      </w:r>
      <w:r w:rsidR="00BF0051">
        <w:rPr>
          <w:lang w:val="el-GR"/>
        </w:rPr>
        <w:t xml:space="preserve"> </w:t>
      </w:r>
      <w:r w:rsidRPr="00BF0051">
        <w:rPr>
          <w:lang w:val="el-GR"/>
        </w:rPr>
        <w:t>διαστολική εκπόλωση στο φλεβόκομβο και ρυθμίζει την καρδιακή συχνότητα. Οι καρδιακές</w:t>
      </w:r>
      <w:r w:rsidR="00BF0051">
        <w:rPr>
          <w:lang w:val="el-GR"/>
        </w:rPr>
        <w:t xml:space="preserve"> </w:t>
      </w:r>
      <w:r w:rsidRPr="00BF0051">
        <w:rPr>
          <w:lang w:val="el-GR"/>
        </w:rPr>
        <w:t>επιδράσεις είναι ειδικές για το φλεβόκομβο, χωρίς επίδραση στους χρόνους ενδοκολπικής,</w:t>
      </w:r>
      <w:r w:rsidR="00BF0051">
        <w:rPr>
          <w:lang w:val="el-GR"/>
        </w:rPr>
        <w:t xml:space="preserve"> </w:t>
      </w:r>
      <w:r w:rsidRPr="00BF0051">
        <w:rPr>
          <w:lang w:val="el-GR"/>
        </w:rPr>
        <w:t>κολποκοιλιακής ή ενδοκοιλιακής αγωγής, ούτε στη συσταλτικότητα του μυοκαρδίου ή την κοιλιακή</w:t>
      </w:r>
      <w:r w:rsidR="00BF0051">
        <w:rPr>
          <w:lang w:val="el-GR"/>
        </w:rPr>
        <w:t xml:space="preserve"> </w:t>
      </w:r>
      <w:r w:rsidRPr="00BF0051">
        <w:rPr>
          <w:lang w:val="el-GR"/>
        </w:rPr>
        <w:t>επαναπόλωση.</w:t>
      </w:r>
    </w:p>
    <w:p w:rsidR="00901F87" w:rsidRPr="00BF0051" w:rsidRDefault="00901F87" w:rsidP="00FA3DF9">
      <w:pPr>
        <w:spacing w:line="240" w:lineRule="auto"/>
        <w:jc w:val="both"/>
        <w:rPr>
          <w:lang w:val="el-GR"/>
        </w:rPr>
      </w:pPr>
      <w:r w:rsidRPr="00BF0051">
        <w:rPr>
          <w:lang w:val="el-GR"/>
        </w:rPr>
        <w:t xml:space="preserve">Η </w:t>
      </w:r>
      <w:r w:rsidR="009312EB" w:rsidRPr="009312EB">
        <w:rPr>
          <w:lang w:val="el-GR"/>
        </w:rPr>
        <w:t>ιβαμπραδίνη</w:t>
      </w:r>
      <w:r w:rsidRPr="00BF0051">
        <w:rPr>
          <w:lang w:val="el-GR"/>
        </w:rPr>
        <w:t xml:space="preserve"> μπορεί επίσης να αλληλεπιδράσει με το αμφιβληστροειδικό ρεύμα Ι</w:t>
      </w:r>
      <w:r>
        <w:t>h</w:t>
      </w:r>
      <w:r w:rsidRPr="00BF0051">
        <w:rPr>
          <w:lang w:val="el-GR"/>
        </w:rPr>
        <w:t xml:space="preserve"> που μοιάζει πολύ</w:t>
      </w:r>
      <w:r w:rsidR="00BF0051">
        <w:rPr>
          <w:lang w:val="el-GR"/>
        </w:rPr>
        <w:t xml:space="preserve"> </w:t>
      </w:r>
      <w:r w:rsidRPr="00BF0051">
        <w:rPr>
          <w:lang w:val="el-GR"/>
        </w:rPr>
        <w:t>με το καρδιακό Ι</w:t>
      </w:r>
      <w:r>
        <w:t>f</w:t>
      </w:r>
      <w:r w:rsidRPr="00BF0051">
        <w:rPr>
          <w:lang w:val="el-GR"/>
        </w:rPr>
        <w:t>. Συμμετέχει στη χρονική διακριτική ικανότητα του οπτικού συστήματος,</w:t>
      </w:r>
      <w:r w:rsidR="00BF0051">
        <w:rPr>
          <w:lang w:val="el-GR"/>
        </w:rPr>
        <w:t xml:space="preserve"> </w:t>
      </w:r>
      <w:r w:rsidRPr="00BF0051">
        <w:rPr>
          <w:lang w:val="el-GR"/>
        </w:rPr>
        <w:t>περιορίζοντας την αμφιβληστροειδική απόκριση σε ερεθίσματα έντονου φωτός. Κάτω από συνθήκες</w:t>
      </w:r>
      <w:r w:rsidR="00BF0051">
        <w:rPr>
          <w:lang w:val="el-GR"/>
        </w:rPr>
        <w:t xml:space="preserve"> </w:t>
      </w:r>
      <w:r w:rsidRPr="00BF0051">
        <w:rPr>
          <w:lang w:val="el-GR"/>
        </w:rPr>
        <w:t>πυροδότησης (π.χ. ταχείες μεταβολές της φωτεινότητας), η μερική αναστολή του Ι</w:t>
      </w:r>
      <w:r>
        <w:t>h</w:t>
      </w:r>
      <w:r w:rsidRPr="00BF0051">
        <w:rPr>
          <w:lang w:val="el-GR"/>
        </w:rPr>
        <w:t xml:space="preserve"> από την</w:t>
      </w:r>
      <w:r w:rsidR="00BF0051">
        <w:rPr>
          <w:lang w:val="el-GR"/>
        </w:rPr>
        <w:t xml:space="preserve"> </w:t>
      </w:r>
      <w:r w:rsidR="009312EB" w:rsidRPr="009312EB">
        <w:rPr>
          <w:lang w:val="el-GR"/>
        </w:rPr>
        <w:t>ιβαμπραδίνη</w:t>
      </w:r>
      <w:r w:rsidRPr="00BF0051">
        <w:rPr>
          <w:lang w:val="el-GR"/>
        </w:rPr>
        <w:t xml:space="preserve"> προκαλεί τα φωτεινά φαινόμενα που μπορεί να εμφανίζουν περιστασιακά οι ασθενείς. Τα</w:t>
      </w:r>
      <w:r w:rsidR="00BF0051">
        <w:rPr>
          <w:lang w:val="el-GR"/>
        </w:rPr>
        <w:t xml:space="preserve"> </w:t>
      </w:r>
      <w:r w:rsidRPr="00BF0051">
        <w:rPr>
          <w:lang w:val="el-GR"/>
        </w:rPr>
        <w:t>φωτεινά φαινόμενα (φωτοψίες) περιγράφονται ως παροδική αυξημένη φωτεινότητα σε περιορισμένη</w:t>
      </w:r>
      <w:r w:rsidR="00BF0051">
        <w:rPr>
          <w:lang w:val="el-GR"/>
        </w:rPr>
        <w:t xml:space="preserve"> </w:t>
      </w:r>
      <w:r w:rsidRPr="00BF0051">
        <w:rPr>
          <w:lang w:val="el-GR"/>
        </w:rPr>
        <w:t>περιοχή του οπτικού πεδίου (βλ. παράγραφο 4.8).</w:t>
      </w:r>
    </w:p>
    <w:p w:rsidR="00901F87" w:rsidRPr="005707DA" w:rsidRDefault="00901F87" w:rsidP="00FA3DF9">
      <w:pPr>
        <w:spacing w:line="240" w:lineRule="auto"/>
        <w:jc w:val="both"/>
        <w:rPr>
          <w:u w:val="single"/>
          <w:lang w:val="el-GR"/>
        </w:rPr>
      </w:pPr>
      <w:r w:rsidRPr="005707DA">
        <w:rPr>
          <w:u w:val="single"/>
          <w:lang w:val="el-GR"/>
        </w:rPr>
        <w:t>Φαρμακοδυναμικές επιδράσεις</w:t>
      </w:r>
    </w:p>
    <w:p w:rsidR="00901F87" w:rsidRPr="00BF0051" w:rsidRDefault="00901F87" w:rsidP="00FA3DF9">
      <w:pPr>
        <w:spacing w:line="240" w:lineRule="auto"/>
        <w:jc w:val="both"/>
        <w:rPr>
          <w:lang w:val="el-GR"/>
        </w:rPr>
      </w:pPr>
      <w:r w:rsidRPr="00BF0051">
        <w:rPr>
          <w:lang w:val="el-GR"/>
        </w:rPr>
        <w:t xml:space="preserve">Η κύρια φαρμακοδυναμική ιδιότητα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BF0051">
        <w:rPr>
          <w:lang w:val="el-GR"/>
        </w:rPr>
        <w:t xml:space="preserve"> στους ανθρώπους είναι η ειδική δοσοεξαρτώμενη</w:t>
      </w:r>
      <w:r w:rsidR="00BF0051">
        <w:rPr>
          <w:lang w:val="el-GR"/>
        </w:rPr>
        <w:t xml:space="preserve"> </w:t>
      </w:r>
      <w:r w:rsidRPr="00BF0051">
        <w:rPr>
          <w:lang w:val="el-GR"/>
        </w:rPr>
        <w:t>μείωση της καρδιακής συχνότητας. Η ανάλυση της μείωσης της καρδιακής συχνότητας με δόσεις έως</w:t>
      </w:r>
      <w:r w:rsidR="00BF0051">
        <w:rPr>
          <w:lang w:val="el-GR"/>
        </w:rPr>
        <w:t xml:space="preserve"> </w:t>
      </w:r>
      <w:r w:rsidRPr="00BF0051">
        <w:rPr>
          <w:lang w:val="el-GR"/>
        </w:rPr>
        <w:t xml:space="preserve">20 </w:t>
      </w:r>
      <w:r>
        <w:t>mg</w:t>
      </w:r>
      <w:r w:rsidRPr="00BF0051">
        <w:rPr>
          <w:lang w:val="el-GR"/>
        </w:rPr>
        <w:t xml:space="preserve"> δύο φορές την ημέρα υποδεικνύει μία τάση προς εμφάνιση επιπέδου κόρου (πλατώ), η οποία</w:t>
      </w:r>
      <w:r w:rsidR="00BF0051">
        <w:rPr>
          <w:lang w:val="el-GR"/>
        </w:rPr>
        <w:t xml:space="preserve"> </w:t>
      </w:r>
      <w:r w:rsidRPr="00BF0051">
        <w:rPr>
          <w:lang w:val="el-GR"/>
        </w:rPr>
        <w:t xml:space="preserve">συνδέεται με μειωμένο κίνδυνο σοβαρής βραδυκαρδίας κάτω από 40 </w:t>
      </w:r>
      <w:r>
        <w:t>bmp</w:t>
      </w:r>
      <w:r w:rsidRPr="00BF0051">
        <w:rPr>
          <w:lang w:val="el-GR"/>
        </w:rPr>
        <w:t xml:space="preserve"> (βλ. παράγραφο 4.8).</w:t>
      </w:r>
    </w:p>
    <w:p w:rsidR="00901F87" w:rsidRPr="00BF0051" w:rsidRDefault="00901F87" w:rsidP="00FA3DF9">
      <w:pPr>
        <w:spacing w:line="240" w:lineRule="auto"/>
        <w:jc w:val="both"/>
        <w:rPr>
          <w:lang w:val="el-GR"/>
        </w:rPr>
      </w:pPr>
      <w:r w:rsidRPr="00BF0051">
        <w:rPr>
          <w:lang w:val="el-GR"/>
        </w:rPr>
        <w:lastRenderedPageBreak/>
        <w:t xml:space="preserve">Στις συνήθεις συνιστώμενες δόσεις, η μείωση της καρδιακής συχνότητας είναι περίπου 10 </w:t>
      </w:r>
      <w:r>
        <w:t>bmp</w:t>
      </w:r>
      <w:r w:rsidRPr="00BF0051">
        <w:rPr>
          <w:lang w:val="el-GR"/>
        </w:rPr>
        <w:t xml:space="preserve"> σε</w:t>
      </w:r>
      <w:r w:rsidR="00BF0051">
        <w:rPr>
          <w:lang w:val="el-GR"/>
        </w:rPr>
        <w:t xml:space="preserve"> </w:t>
      </w:r>
      <w:r w:rsidRPr="00BF0051">
        <w:rPr>
          <w:lang w:val="el-GR"/>
        </w:rPr>
        <w:t>ηρεμία και κατά την άσκηση. Αυτό έχει σαν αποτέλεσμα τη μείωση του καρδιακού φορτίου έργου</w:t>
      </w:r>
      <w:r w:rsidR="00BF0051">
        <w:rPr>
          <w:lang w:val="el-GR"/>
        </w:rPr>
        <w:t xml:space="preserve"> </w:t>
      </w:r>
      <w:r w:rsidRPr="00BF0051">
        <w:rPr>
          <w:lang w:val="el-GR"/>
        </w:rPr>
        <w:t>και της κατανάλωσης οξυγόνου από το μυοκάρδιο.</w:t>
      </w:r>
    </w:p>
    <w:p w:rsidR="00901F87" w:rsidRPr="00BF0051" w:rsidRDefault="00901F87" w:rsidP="00FA3DF9">
      <w:pPr>
        <w:spacing w:line="240" w:lineRule="auto"/>
        <w:jc w:val="both"/>
        <w:rPr>
          <w:lang w:val="el-GR"/>
        </w:rPr>
      </w:pPr>
      <w:r w:rsidRPr="00BF0051">
        <w:rPr>
          <w:lang w:val="el-GR"/>
        </w:rPr>
        <w:t xml:space="preserve">Η </w:t>
      </w:r>
      <w:r w:rsidR="009312EB" w:rsidRPr="009312EB">
        <w:rPr>
          <w:lang w:val="el-GR"/>
        </w:rPr>
        <w:t>ιβαμπραδίνη</w:t>
      </w:r>
      <w:r w:rsidRPr="00BF0051">
        <w:rPr>
          <w:lang w:val="el-GR"/>
        </w:rPr>
        <w:t xml:space="preserve"> δεν επηρεάζει την ενδοκαρδιακή αγωγή, τη συσταλτικότητα (απουσία αρνητικής</w:t>
      </w:r>
      <w:r w:rsidR="00BF0051">
        <w:rPr>
          <w:lang w:val="el-GR"/>
        </w:rPr>
        <w:t xml:space="preserve"> </w:t>
      </w:r>
      <w:r w:rsidRPr="00BF0051">
        <w:rPr>
          <w:lang w:val="el-GR"/>
        </w:rPr>
        <w:t>ινοτρόπου δράσης) ή την κοιλιακή επαναπόλωση:</w:t>
      </w:r>
    </w:p>
    <w:p w:rsidR="00BF0051" w:rsidRDefault="00901F87" w:rsidP="00FA3DF9">
      <w:pPr>
        <w:pStyle w:val="a3"/>
        <w:numPr>
          <w:ilvl w:val="0"/>
          <w:numId w:val="3"/>
        </w:numPr>
        <w:spacing w:line="240" w:lineRule="auto"/>
        <w:ind w:left="357" w:hanging="357"/>
        <w:jc w:val="both"/>
        <w:rPr>
          <w:lang w:val="el-GR"/>
        </w:rPr>
      </w:pPr>
      <w:r w:rsidRPr="00BF0051">
        <w:rPr>
          <w:lang w:val="el-GR"/>
        </w:rPr>
        <w:t xml:space="preserve">σε κλινικές ηλεκτροφυσιολογικές μελέτες, η </w:t>
      </w:r>
      <w:r w:rsidR="009312EB">
        <w:rPr>
          <w:lang w:val="el-GR"/>
        </w:rPr>
        <w:t>ιβαμπραδίνη</w:t>
      </w:r>
      <w:r w:rsidRPr="00BF0051">
        <w:rPr>
          <w:lang w:val="el-GR"/>
        </w:rPr>
        <w:t xml:space="preserve"> δεν είχε καμιά επίδραση στους χρόνους</w:t>
      </w:r>
      <w:r w:rsidR="00BF0051" w:rsidRPr="00BF0051">
        <w:rPr>
          <w:lang w:val="el-GR"/>
        </w:rPr>
        <w:t xml:space="preserve"> </w:t>
      </w:r>
      <w:r w:rsidRPr="00BF0051">
        <w:rPr>
          <w:lang w:val="el-GR"/>
        </w:rPr>
        <w:t>κολποκοιλιακής ή ενδοκοιλιακής αγωγής ή στα διορθωμένα διαστήματα QT</w:t>
      </w:r>
    </w:p>
    <w:p w:rsidR="00901F87" w:rsidRPr="00BF0051" w:rsidRDefault="00901F87" w:rsidP="00FA3DF9">
      <w:pPr>
        <w:pStyle w:val="a3"/>
        <w:numPr>
          <w:ilvl w:val="0"/>
          <w:numId w:val="3"/>
        </w:numPr>
        <w:spacing w:line="240" w:lineRule="auto"/>
        <w:ind w:left="357" w:hanging="357"/>
        <w:jc w:val="both"/>
        <w:rPr>
          <w:lang w:val="el-GR"/>
        </w:rPr>
      </w:pPr>
      <w:r w:rsidRPr="00BF0051">
        <w:rPr>
          <w:lang w:val="el-GR"/>
        </w:rPr>
        <w:t>σε ασθενείς με δυσλειτουργία της αριστερής κοιλίας (κλάσμα εξώθησης αριστερής κοιλίας</w:t>
      </w:r>
      <w:r w:rsidR="00BF0051" w:rsidRPr="00BF0051">
        <w:rPr>
          <w:lang w:val="el-GR"/>
        </w:rPr>
        <w:t xml:space="preserve"> </w:t>
      </w:r>
      <w:r w:rsidRPr="00BF0051">
        <w:rPr>
          <w:lang w:val="el-GR"/>
        </w:rPr>
        <w:t>[</w:t>
      </w:r>
      <w:r>
        <w:t>LVEF</w:t>
      </w:r>
      <w:r w:rsidRPr="00BF0051">
        <w:rPr>
          <w:lang w:val="el-GR"/>
        </w:rPr>
        <w:t xml:space="preserve">] μεταξύ 30 και 45%), η </w:t>
      </w:r>
      <w:r w:rsidR="009312EB" w:rsidRPr="009312EB">
        <w:rPr>
          <w:lang w:val="el-GR"/>
        </w:rPr>
        <w:t>ιβαμπραδίνη</w:t>
      </w:r>
      <w:r w:rsidRPr="00BF0051">
        <w:rPr>
          <w:lang w:val="el-GR"/>
        </w:rPr>
        <w:t xml:space="preserve"> δεν είχε καμιά βλαβερή επίδραση στο </w:t>
      </w:r>
      <w:r>
        <w:t>LVEF</w:t>
      </w:r>
      <w:r w:rsidRPr="00BF0051">
        <w:rPr>
          <w:lang w:val="el-GR"/>
        </w:rPr>
        <w:t>.</w:t>
      </w:r>
    </w:p>
    <w:p w:rsidR="00901F87" w:rsidRPr="005707DA" w:rsidRDefault="00901F87" w:rsidP="00FA3DF9">
      <w:pPr>
        <w:spacing w:line="240" w:lineRule="auto"/>
        <w:jc w:val="both"/>
        <w:rPr>
          <w:u w:val="single"/>
          <w:lang w:val="el-GR"/>
        </w:rPr>
      </w:pPr>
      <w:r w:rsidRPr="005707DA">
        <w:rPr>
          <w:u w:val="single"/>
          <w:lang w:val="el-GR"/>
        </w:rPr>
        <w:t>Κλινική αποτελεσματικότητα και ασφάλεια</w:t>
      </w:r>
    </w:p>
    <w:p w:rsidR="00901F87" w:rsidRPr="00A72251" w:rsidRDefault="00901F87" w:rsidP="00FA3DF9">
      <w:pPr>
        <w:spacing w:line="240" w:lineRule="auto"/>
        <w:jc w:val="both"/>
        <w:rPr>
          <w:lang w:val="el-GR"/>
        </w:rPr>
      </w:pPr>
      <w:r w:rsidRPr="00BF0051">
        <w:rPr>
          <w:lang w:val="el-GR"/>
        </w:rPr>
        <w:t xml:space="preserve">Η αντιστηθαγχική και αντι-ισχαιμική αποτελεσματικότητα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BF0051">
        <w:rPr>
          <w:lang w:val="el-GR"/>
        </w:rPr>
        <w:t xml:space="preserve"> μελετήθηκε σε πέντε διπλές</w:t>
      </w:r>
      <w:r w:rsidR="00BF0051">
        <w:rPr>
          <w:lang w:val="el-GR"/>
        </w:rPr>
        <w:t xml:space="preserve"> </w:t>
      </w:r>
      <w:r w:rsidRPr="00BF0051">
        <w:rPr>
          <w:lang w:val="el-GR"/>
        </w:rPr>
        <w:t xml:space="preserve">τυφλές τυχαιοποιημένες μελέτες (τρεις έναντι </w:t>
      </w:r>
      <w:r>
        <w:t>placebo</w:t>
      </w:r>
      <w:r w:rsidRPr="00BF0051">
        <w:rPr>
          <w:lang w:val="el-GR"/>
        </w:rPr>
        <w:t xml:space="preserve"> και από μία έναντι ατενολόλης και</w:t>
      </w:r>
      <w:r w:rsidR="00BF0051">
        <w:rPr>
          <w:lang w:val="el-GR"/>
        </w:rPr>
        <w:t xml:space="preserve"> </w:t>
      </w:r>
      <w:r w:rsidRPr="00BF0051">
        <w:rPr>
          <w:lang w:val="el-GR"/>
        </w:rPr>
        <w:t xml:space="preserve">αμλοδιπίνης). </w:t>
      </w:r>
      <w:r w:rsidRPr="00A72251">
        <w:rPr>
          <w:lang w:val="el-GR"/>
        </w:rPr>
        <w:t>Στις μελέτες αυτές συμπεριλήφθηκαν συνολικά 4.111 ασθενείς με χρόνια σταθερή</w:t>
      </w:r>
      <w:r w:rsidR="00BF0051">
        <w:rPr>
          <w:lang w:val="el-GR"/>
        </w:rPr>
        <w:t xml:space="preserve"> </w:t>
      </w:r>
      <w:r w:rsidRPr="00A72251">
        <w:rPr>
          <w:lang w:val="el-GR"/>
        </w:rPr>
        <w:t xml:space="preserve">στηθάγχη, εκ των οποίων οι 2.617 έλαβαν </w:t>
      </w:r>
      <w:r w:rsidR="009312EB" w:rsidRPr="009312EB">
        <w:rPr>
          <w:lang w:val="el-GR"/>
        </w:rPr>
        <w:t>ιβαμπραδίνη</w:t>
      </w:r>
      <w:r w:rsidRPr="00A72251">
        <w:rPr>
          <w:lang w:val="el-GR"/>
        </w:rPr>
        <w:t>.</w:t>
      </w:r>
    </w:p>
    <w:p w:rsidR="00901F87" w:rsidRPr="00A72251" w:rsidRDefault="00901F87" w:rsidP="00FA3DF9">
      <w:pPr>
        <w:spacing w:line="240" w:lineRule="auto"/>
        <w:jc w:val="both"/>
        <w:rPr>
          <w:lang w:val="el-GR"/>
        </w:rPr>
      </w:pPr>
      <w:r w:rsidRPr="00A72251">
        <w:rPr>
          <w:lang w:val="el-GR"/>
        </w:rPr>
        <w:t xml:space="preserve">Η </w:t>
      </w:r>
      <w:r w:rsidR="009312EB" w:rsidRPr="009312EB">
        <w:rPr>
          <w:lang w:val="el-GR"/>
        </w:rPr>
        <w:t>ιβαμπραδίνη</w:t>
      </w:r>
      <w:r w:rsidRPr="00A72251">
        <w:rPr>
          <w:lang w:val="el-GR"/>
        </w:rPr>
        <w:t xml:space="preserve"> 5 </w:t>
      </w:r>
      <w:r>
        <w:t>mg</w:t>
      </w:r>
      <w:r w:rsidRPr="00A72251">
        <w:rPr>
          <w:lang w:val="el-GR"/>
        </w:rPr>
        <w:t xml:space="preserve"> δύο φορές ημερησίως αποδείχτηκε αποτελεσματική στις παραμέτρους </w:t>
      </w:r>
      <w:r w:rsidR="00A72251" w:rsidRPr="00A72251">
        <w:rPr>
          <w:lang w:val="el-GR"/>
        </w:rPr>
        <w:t>της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δοκιμασίας κόπωσης μέσα σε 3 έως 4 εβδομάδες αγωγής. Η αποτελεσματικότητα επιβεβαιώθηκε με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τα 7,5 </w:t>
      </w:r>
      <w:r>
        <w:t>mg</w:t>
      </w:r>
      <w:r w:rsidRPr="00A72251">
        <w:rPr>
          <w:lang w:val="el-GR"/>
        </w:rPr>
        <w:t xml:space="preserve"> δύο φορές την ημέρα. Συγκεκριμένα, το επιπρόσθετο όφελος πάνω από τα 5 </w:t>
      </w:r>
      <w:r>
        <w:t>mg</w:t>
      </w:r>
      <w:r w:rsidRPr="00A72251">
        <w:rPr>
          <w:lang w:val="el-GR"/>
        </w:rPr>
        <w:t xml:space="preserve"> δύο φορές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την ημέρα τεκμηριώθηκε σε ελεγχόμενη μελέτη αναφοράς έναντι ατενολόλης: η συνολική διάρκεια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άσκησης κατά την ύφεση αυξήθηκε περίπου κατά 1 λεπτό μετά από ένα μήνα αγωγής με 5 </w:t>
      </w:r>
      <w:r>
        <w:t>mg</w:t>
      </w:r>
      <w:r w:rsidRPr="00A72251">
        <w:rPr>
          <w:lang w:val="el-GR"/>
        </w:rPr>
        <w:t xml:space="preserve"> δύο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φορές την ημέρα και βελτιώθηκε περαιτέρω κατά σχεδόν 25 δευτερόλεπτα μετά από επιπλέον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διάστημα 3 μηνών με υποχρεωτική τιτλοποίηση στα 7,5 </w:t>
      </w:r>
      <w:r>
        <w:t>mg</w:t>
      </w:r>
      <w:r w:rsidRPr="00A72251">
        <w:rPr>
          <w:lang w:val="el-GR"/>
        </w:rPr>
        <w:t xml:space="preserve"> δύο φορές την ημέρα. Στη μελέτη αυτή,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τα αντιστηθαγχικά και αντι-ισχαιμικά οφέλη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A72251">
        <w:rPr>
          <w:lang w:val="el-GR"/>
        </w:rPr>
        <w:t xml:space="preserve"> επιβεβαιώθηκαν σε ασθενείς ηλικίας 65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ετών και άνω. Η αποτελεσματικότητα των 5 και των 7,5 </w:t>
      </w:r>
      <w:r>
        <w:t>mg</w:t>
      </w:r>
      <w:r w:rsidRPr="00A72251">
        <w:rPr>
          <w:lang w:val="el-GR"/>
        </w:rPr>
        <w:t xml:space="preserve"> δύο φορές την ημέρα ήταν σταθερή σε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όλες τις μελέτες, όσον αφορά στις παραμέτρους της δοκιμασίας κόπωσης (συνολική διάρκεια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άσκησης, χρόνος έως την εκδήλωση περιοριστικής στηθάγχης, χρόνος έως την εκδήλωση στηθάγχης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και χρόνος έως την κατάσπαση του διαστήματος </w:t>
      </w:r>
      <w:r>
        <w:t>ST</w:t>
      </w:r>
      <w:r w:rsidRPr="00A72251">
        <w:rPr>
          <w:lang w:val="el-GR"/>
        </w:rPr>
        <w:t xml:space="preserve"> κατά 1 </w:t>
      </w:r>
      <w:r>
        <w:t>mm</w:t>
      </w:r>
      <w:r w:rsidRPr="00A72251">
        <w:rPr>
          <w:lang w:val="el-GR"/>
        </w:rPr>
        <w:t>) και συνδέθηκε με μείωση κατά 70%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περίπου του ποσοστού στηθαγχικών κρίσεων. Η χορήγηση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A72251">
        <w:rPr>
          <w:lang w:val="el-GR"/>
        </w:rPr>
        <w:t xml:space="preserve"> δύο φορές την ημέρα παρείχε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ομοιόμορφη αποτελεσματικότητα καθ’ όλο το 24ωρο.</w:t>
      </w:r>
    </w:p>
    <w:p w:rsidR="00901F87" w:rsidRPr="00A72251" w:rsidRDefault="00901F87" w:rsidP="00FA3DF9">
      <w:pPr>
        <w:spacing w:line="240" w:lineRule="auto"/>
        <w:jc w:val="both"/>
        <w:rPr>
          <w:lang w:val="el-GR"/>
        </w:rPr>
      </w:pPr>
      <w:r w:rsidRPr="00A72251">
        <w:rPr>
          <w:lang w:val="el-GR"/>
        </w:rPr>
        <w:t>Σε μία τυχαιοποιημένη, ελεγχόμενη με εικονικό φάρμακο μελέτη που περιέλαβε 889 ασθενείς, η</w:t>
      </w:r>
      <w:r w:rsidR="00A72251">
        <w:rPr>
          <w:lang w:val="el-GR"/>
        </w:rPr>
        <w:t xml:space="preserve"> </w:t>
      </w:r>
      <w:r w:rsidR="009312EB" w:rsidRPr="009312EB">
        <w:rPr>
          <w:lang w:val="el-GR"/>
        </w:rPr>
        <w:t>ιβαμπραδίνη</w:t>
      </w:r>
      <w:r w:rsidRPr="00A72251">
        <w:rPr>
          <w:lang w:val="el-GR"/>
        </w:rPr>
        <w:t xml:space="preserve"> που χορηγήθηκε σε συνδυασμό με ατενολόλη 50 </w:t>
      </w:r>
      <w:r>
        <w:t>mg</w:t>
      </w:r>
      <w:r w:rsidRPr="00A72251">
        <w:rPr>
          <w:lang w:val="el-GR"/>
        </w:rPr>
        <w:t xml:space="preserve"> μία φορά ημερησίως (</w:t>
      </w:r>
      <w:r>
        <w:t>o</w:t>
      </w:r>
      <w:r w:rsidRPr="00A72251">
        <w:rPr>
          <w:lang w:val="el-GR"/>
        </w:rPr>
        <w:t>.</w:t>
      </w:r>
      <w:r>
        <w:t>d</w:t>
      </w:r>
      <w:r w:rsidRPr="00A72251">
        <w:rPr>
          <w:lang w:val="el-GR"/>
        </w:rPr>
        <w:t>) έδειξε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επιπλέον αποτελεσματικότητα σε όλες τις παραμέτρους ΔΚ στο κατώτερο σημείο της δραστικότητας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του φαρμάκου (12 ώρες μετά την από του στόματος χορήγηση).</w:t>
      </w:r>
    </w:p>
    <w:p w:rsidR="00901F87" w:rsidRPr="00A72251" w:rsidRDefault="00901F87" w:rsidP="00FA3DF9">
      <w:pPr>
        <w:spacing w:line="240" w:lineRule="auto"/>
        <w:jc w:val="both"/>
        <w:rPr>
          <w:lang w:val="el-GR"/>
        </w:rPr>
      </w:pPr>
      <w:r w:rsidRPr="00A72251">
        <w:rPr>
          <w:lang w:val="el-GR"/>
        </w:rPr>
        <w:t>Σε μία τυχαιοποιημένη, ελεγχόμενη με εικονικό φάρμακο μελέτη που περιέλαβε 725 ασθενείς, η</w:t>
      </w:r>
      <w:r w:rsidR="00A72251">
        <w:rPr>
          <w:lang w:val="el-GR"/>
        </w:rPr>
        <w:t xml:space="preserve"> </w:t>
      </w:r>
      <w:r w:rsidR="009312EB" w:rsidRPr="009312EB">
        <w:rPr>
          <w:lang w:val="el-GR"/>
        </w:rPr>
        <w:t>ιβαμπραδίνη</w:t>
      </w:r>
      <w:r w:rsidRPr="00A72251">
        <w:rPr>
          <w:lang w:val="el-GR"/>
        </w:rPr>
        <w:t xml:space="preserve"> δεν έδειξε επιπρόσθετη αποτελεσματικότητα όταν συνδυάστηκε με αμλοδιπίνη στη φάση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ύφεσης της δραστικότητας του φαρμάκου (12 ώρες μετά τη λήψη από του στόματος), ενώ αντίθετα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καταδείχθηκε επιπρόσθετη αποτελεσματικότητα στη φάση αιχμής (3-4 ώρες μετά τη λήψη από του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στόματος).</w:t>
      </w:r>
    </w:p>
    <w:p w:rsidR="00901F87" w:rsidRPr="00A72251" w:rsidRDefault="00901F87" w:rsidP="00FA3DF9">
      <w:pPr>
        <w:spacing w:line="240" w:lineRule="auto"/>
        <w:jc w:val="both"/>
        <w:rPr>
          <w:lang w:val="el-GR"/>
        </w:rPr>
      </w:pPr>
      <w:r w:rsidRPr="00A72251">
        <w:rPr>
          <w:lang w:val="el-GR"/>
        </w:rPr>
        <w:t xml:space="preserve">Η αποτελεσματικότητα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A72251">
        <w:rPr>
          <w:lang w:val="el-GR"/>
        </w:rPr>
        <w:t xml:space="preserve"> διατηρήθηκε πλήρως καθ’ όλο το τρίμηνο ή τετράμηνο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διάστημα αγωγής μεταξύ των μελετών αποτελεσματικότητας. Δεν παρατηρήθηκαν ενδείξεις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φαρμακολογικής ανοχής (απώλεια αποτελεσματικότητας) κατά τη διάρκεια της αγωγής </w:t>
      </w:r>
      <w:r w:rsidRPr="00A72251">
        <w:rPr>
          <w:lang w:val="el-GR"/>
        </w:rPr>
        <w:lastRenderedPageBreak/>
        <w:t>ούτε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φαινόμενα αναζωπύρωσης (</w:t>
      </w:r>
      <w:r>
        <w:t>rebound</w:t>
      </w:r>
      <w:r w:rsidRPr="00A72251">
        <w:rPr>
          <w:lang w:val="el-GR"/>
        </w:rPr>
        <w:t>) κατά την αιφνίδια διακοπή της αγωγής. Η αντιστηθαγχική και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αντι-ισχαιμική δράση της </w:t>
      </w:r>
      <w:r w:rsidR="009312EB" w:rsidRPr="009312EB">
        <w:rPr>
          <w:lang w:val="el-GR"/>
        </w:rPr>
        <w:t>ιβαμπραδίνη</w:t>
      </w:r>
      <w:r w:rsidRPr="00A72251">
        <w:rPr>
          <w:lang w:val="el-GR"/>
        </w:rPr>
        <w:t xml:space="preserve"> συνδέθηκε με δοσοεξαρτώμενες μειώσεις της καρδιακής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συχνότητας και σημαντική μείωση του γινομένου συχνότητας-πίεσης (καρδιακή συχνότητα </w:t>
      </w:r>
      <w:r>
        <w:t>x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συστολική αρτηριακή πίεση) σε ηρεμία και κατά την άσκηση. Οι επιδράσεις στην αρτηριακή πίεση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και την περιφερική αγγειακή αντίσταση ήταν πολύ μικρές και όχι κλινικά σημαντικές.</w:t>
      </w:r>
    </w:p>
    <w:p w:rsidR="00901F87" w:rsidRPr="00A72251" w:rsidRDefault="00901F87" w:rsidP="00FA3DF9">
      <w:pPr>
        <w:spacing w:line="240" w:lineRule="auto"/>
        <w:jc w:val="both"/>
        <w:rPr>
          <w:lang w:val="el-GR"/>
        </w:rPr>
      </w:pPr>
      <w:r w:rsidRPr="00A72251">
        <w:rPr>
          <w:lang w:val="el-GR"/>
        </w:rPr>
        <w:t xml:space="preserve">Σε ασθενείς που έλαβαν αγωγή με </w:t>
      </w:r>
      <w:r w:rsidR="009312EB" w:rsidRPr="009312EB">
        <w:rPr>
          <w:lang w:val="el-GR"/>
        </w:rPr>
        <w:t>ιβαμπραδίνη</w:t>
      </w:r>
      <w:r w:rsidRPr="00A72251">
        <w:rPr>
          <w:lang w:val="el-GR"/>
        </w:rPr>
        <w:t xml:space="preserve"> για τουλάχιστον ένα έτος (</w:t>
      </w:r>
      <w:r>
        <w:t>n</w:t>
      </w:r>
      <w:r w:rsidRPr="00A72251">
        <w:rPr>
          <w:lang w:val="el-GR"/>
        </w:rPr>
        <w:t>=713) διαπιστώθηκε ότι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διατηρείται η μείωση της καρδιακής συχνότητας. Δεν παρατηρήθηκε επίδραση στο μεταβολισμό </w:t>
      </w:r>
      <w:r w:rsidR="00A72251" w:rsidRPr="00A72251">
        <w:rPr>
          <w:lang w:val="el-GR"/>
        </w:rPr>
        <w:t>της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γλυκόζης ή των λιπιδίων.</w:t>
      </w:r>
    </w:p>
    <w:p w:rsidR="00901F87" w:rsidRPr="00A72251" w:rsidRDefault="00901F87" w:rsidP="00FA3DF9">
      <w:pPr>
        <w:spacing w:line="240" w:lineRule="auto"/>
        <w:jc w:val="both"/>
        <w:rPr>
          <w:lang w:val="el-GR"/>
        </w:rPr>
      </w:pPr>
      <w:r w:rsidRPr="00A72251">
        <w:rPr>
          <w:lang w:val="el-GR"/>
        </w:rPr>
        <w:t xml:space="preserve">Η αντιστηθαγχική και αντι-ισχαιμική αποτελεσματικότητα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A72251">
        <w:rPr>
          <w:lang w:val="el-GR"/>
        </w:rPr>
        <w:t xml:space="preserve"> διατηρήθηκε </w:t>
      </w:r>
      <w:r w:rsidR="00A72251" w:rsidRPr="00A72251">
        <w:rPr>
          <w:lang w:val="el-GR"/>
        </w:rPr>
        <w:t>στους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διαβητικούς ασθενείς (</w:t>
      </w:r>
      <w:r>
        <w:t>n</w:t>
      </w:r>
      <w:r w:rsidRPr="00A72251">
        <w:rPr>
          <w:lang w:val="el-GR"/>
        </w:rPr>
        <w:t>=457), με παρόμοιο προφίλ ασφάλειας συγκριτικά με το συνολικό πληθυσμό.</w:t>
      </w:r>
    </w:p>
    <w:p w:rsidR="00901F87" w:rsidRPr="00A72251" w:rsidRDefault="00901F87" w:rsidP="00FA3DF9">
      <w:pPr>
        <w:spacing w:line="240" w:lineRule="auto"/>
        <w:jc w:val="both"/>
        <w:rPr>
          <w:lang w:val="el-GR"/>
        </w:rPr>
      </w:pPr>
      <w:r w:rsidRPr="00A72251">
        <w:rPr>
          <w:lang w:val="el-GR"/>
        </w:rPr>
        <w:t xml:space="preserve">Μια μεγάλη μελέτη έκβασης, η </w:t>
      </w:r>
      <w:r>
        <w:t>BEAUTIFUL</w:t>
      </w:r>
      <w:r w:rsidRPr="00A72251">
        <w:rPr>
          <w:lang w:val="el-GR"/>
        </w:rPr>
        <w:t>, πραγματοποιήθηκε σε 10.917 ασθενείς με στεφανιαία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νόσο και δυσλειτουργία της αριστερής κοιλίας (</w:t>
      </w:r>
      <w:r>
        <w:t>LVEF</w:t>
      </w:r>
      <w:r w:rsidRPr="00A72251">
        <w:rPr>
          <w:lang w:val="el-GR"/>
        </w:rPr>
        <w:t xml:space="preserve"> &lt;40%) σε συνδυασμό με τη βέλτιστη θεραπεία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υποβάθρου και με το 86,9% των ασθενών να λαμβάνουν β-αποκλειστές. Το κύριο σύνθετο κριτήριο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αποτελεσματικότητας ήταν ο καρδιαγγειακός θάνατος, νοσηλεία για οξύ έμφραγμα του μυοκαρδίου ή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νοσηλεία για νέα εμφάνιση ή επιδείνωση καρδιακής ανεπάρκειας. Η μελέτη δεν έδειξε διαφορά στο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ποσοστό του πρωτεύοντος σύνθετου τελικού σημείου στην ομάδα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A72251">
        <w:rPr>
          <w:lang w:val="el-GR"/>
        </w:rPr>
        <w:t xml:space="preserve"> σε σύγκριση με την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ομάδα που ελάμβανε εικονικό φάρμακο (σχετικός κίνδυνος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A72251">
        <w:rPr>
          <w:lang w:val="el-GR"/>
        </w:rPr>
        <w:t>: εικονικό φάρμακο 1,00,</w:t>
      </w:r>
      <w:r w:rsidR="00A72251">
        <w:rPr>
          <w:lang w:val="el-GR"/>
        </w:rPr>
        <w:t xml:space="preserve"> </w:t>
      </w:r>
      <w:r>
        <w:t>p</w:t>
      </w:r>
      <w:r w:rsidRPr="00A72251">
        <w:rPr>
          <w:lang w:val="el-GR"/>
        </w:rPr>
        <w:t xml:space="preserve">=0,945). Σε μία </w:t>
      </w:r>
      <w:r>
        <w:t>post</w:t>
      </w:r>
      <w:r w:rsidRPr="00A72251">
        <w:rPr>
          <w:lang w:val="el-GR"/>
        </w:rPr>
        <w:t>-</w:t>
      </w:r>
      <w:r>
        <w:t>hoc</w:t>
      </w:r>
      <w:r w:rsidRPr="00A72251">
        <w:rPr>
          <w:lang w:val="el-GR"/>
        </w:rPr>
        <w:t xml:space="preserve"> υποομάδα ασθενών με συμπτωματική στηθάγχη κατά την τυχαιοποίηση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(</w:t>
      </w:r>
      <w:r>
        <w:t>n</w:t>
      </w:r>
      <w:r w:rsidRPr="00A72251">
        <w:rPr>
          <w:lang w:val="el-GR"/>
        </w:rPr>
        <w:t>=1507), δεν εξακριβώθηκε κάποιο σήμα που αφορούσε την ασφάλεια όσον αφορά τον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καρδιαγγειακό θάνατο, τη νοσηλεία για οξύ έμφραγμα του μυοκαρδίου ή την καρδιακή ανεπάρκεια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(</w:t>
      </w:r>
      <w:r w:rsidR="009312EB" w:rsidRPr="009312EB">
        <w:rPr>
          <w:lang w:val="el-GR"/>
        </w:rPr>
        <w:t>ιβαμπραδίνη</w:t>
      </w:r>
      <w:r w:rsidRPr="00A72251">
        <w:rPr>
          <w:lang w:val="el-GR"/>
        </w:rPr>
        <w:t xml:space="preserve"> 12.0% έναντι εικονικού φαρμάκου 15.5%, </w:t>
      </w:r>
      <w:r>
        <w:t>p</w:t>
      </w:r>
      <w:r w:rsidRPr="00A72251">
        <w:rPr>
          <w:lang w:val="el-GR"/>
        </w:rPr>
        <w:t>=0.05).</w:t>
      </w:r>
    </w:p>
    <w:p w:rsidR="00901F87" w:rsidRPr="00A72251" w:rsidRDefault="00901F87" w:rsidP="00FA3DF9">
      <w:pPr>
        <w:spacing w:line="240" w:lineRule="auto"/>
        <w:jc w:val="both"/>
        <w:rPr>
          <w:lang w:val="el-GR"/>
        </w:rPr>
      </w:pPr>
      <w:r w:rsidRPr="00A72251">
        <w:rPr>
          <w:lang w:val="el-GR"/>
        </w:rPr>
        <w:t xml:space="preserve">Μία μεγάλη μελέτη έκβασης, η </w:t>
      </w:r>
      <w:r>
        <w:t>SIGNIFY</w:t>
      </w:r>
      <w:r w:rsidRPr="00A72251">
        <w:rPr>
          <w:lang w:val="el-GR"/>
        </w:rPr>
        <w:t>, πραγματοποιήθηκε σε 19102 ασθενείς με στεφανιαία νόσο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και χωρίς κλινική εκδήλωση καρδιακής ανεπάρκειας (ΚΕΑΚ &gt; 40%), επιπρόσθετα της βέλτιστης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τυπικής αγωγής. Χρησιμοποιήθηκε θεραπευτικό σχήμα υψηλότερο της εγκεκριμένης δοσολογίας για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τη νόσο [εναρκτήρια δόση 7,5 </w:t>
      </w:r>
      <w:r>
        <w:t>mg</w:t>
      </w:r>
      <w:r w:rsidRPr="00A72251">
        <w:rPr>
          <w:lang w:val="el-GR"/>
        </w:rPr>
        <w:t xml:space="preserve"> </w:t>
      </w:r>
      <w:r>
        <w:t>b</w:t>
      </w:r>
      <w:r w:rsidRPr="00A72251">
        <w:rPr>
          <w:lang w:val="el-GR"/>
        </w:rPr>
        <w:t>.</w:t>
      </w:r>
      <w:r>
        <w:t>i</w:t>
      </w:r>
      <w:r w:rsidRPr="00A72251">
        <w:rPr>
          <w:lang w:val="el-GR"/>
        </w:rPr>
        <w:t>.</w:t>
      </w:r>
      <w:r>
        <w:t>d</w:t>
      </w:r>
      <w:r w:rsidRPr="00A72251">
        <w:rPr>
          <w:lang w:val="el-GR"/>
        </w:rPr>
        <w:t xml:space="preserve">. (5 </w:t>
      </w:r>
      <w:r>
        <w:t>mg</w:t>
      </w:r>
      <w:r w:rsidRPr="00A72251">
        <w:rPr>
          <w:lang w:val="el-GR"/>
        </w:rPr>
        <w:t xml:space="preserve"> </w:t>
      </w:r>
      <w:r>
        <w:t>b</w:t>
      </w:r>
      <w:r w:rsidRPr="00A72251">
        <w:rPr>
          <w:lang w:val="el-GR"/>
        </w:rPr>
        <w:t>.</w:t>
      </w:r>
      <w:r>
        <w:t>i</w:t>
      </w:r>
      <w:r w:rsidRPr="00A72251">
        <w:rPr>
          <w:lang w:val="el-GR"/>
        </w:rPr>
        <w:t>.</w:t>
      </w:r>
      <w:r>
        <w:t>d</w:t>
      </w:r>
      <w:r w:rsidRPr="00A72251">
        <w:rPr>
          <w:lang w:val="el-GR"/>
        </w:rPr>
        <w:t>, εάν ηλικία ≥ 75 ετών) και τιτλοποίηση έως 10</w:t>
      </w:r>
      <w:r w:rsidR="00A72251">
        <w:rPr>
          <w:lang w:val="el-GR"/>
        </w:rPr>
        <w:t xml:space="preserve"> </w:t>
      </w:r>
      <w:r>
        <w:t>mg</w:t>
      </w:r>
      <w:r w:rsidRPr="00A72251">
        <w:rPr>
          <w:lang w:val="el-GR"/>
        </w:rPr>
        <w:t xml:space="preserve"> </w:t>
      </w:r>
      <w:r>
        <w:t>b</w:t>
      </w:r>
      <w:r w:rsidRPr="00A72251">
        <w:rPr>
          <w:lang w:val="el-GR"/>
        </w:rPr>
        <w:t>.</w:t>
      </w:r>
      <w:r>
        <w:t>i</w:t>
      </w:r>
      <w:r w:rsidRPr="00A72251">
        <w:rPr>
          <w:lang w:val="el-GR"/>
        </w:rPr>
        <w:t>.</w:t>
      </w:r>
      <w:r>
        <w:t>d</w:t>
      </w:r>
      <w:r w:rsidRPr="00A72251">
        <w:rPr>
          <w:lang w:val="el-GR"/>
        </w:rPr>
        <w:t>]. Το κύριο σύνθετο κριτήριο αποτελεσματικότητας ήταν καρδιαγγειακός θάνατος ή μη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μοιραίο ΕΜ. Η μελέτη δεν έδειξε διαφορά στη συχνότητα του πρωτεύοντος τελικού σημείου μεταξύ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των ομάδων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A72251">
        <w:rPr>
          <w:lang w:val="el-GR"/>
        </w:rPr>
        <w:t xml:space="preserve"> και εικονικού φαρμάκου (σχετικός κίνδυνος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A72251">
        <w:rPr>
          <w:lang w:val="el-GR"/>
        </w:rPr>
        <w:t>/εικονικό φάρμακο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1,08, </w:t>
      </w:r>
      <w:r>
        <w:t>p</w:t>
      </w:r>
      <w:r w:rsidRPr="00A72251">
        <w:rPr>
          <w:lang w:val="el-GR"/>
        </w:rPr>
        <w:t xml:space="preserve">=0,197). Βραδυκαρδία αναφέρθηκε στο 17,9 % των ασθενών της ομάδας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A72251">
        <w:rPr>
          <w:lang w:val="el-GR"/>
        </w:rPr>
        <w:t xml:space="preserve"> (2,1%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στην ομάδα εικονικού φαρμάκου). Βεραπαμίλη, διλτιαζέμη ή ισχυρούς αναστολείς του </w:t>
      </w:r>
      <w:r>
        <w:t>CYP</w:t>
      </w:r>
      <w:r w:rsidRPr="00A72251">
        <w:rPr>
          <w:lang w:val="el-GR"/>
        </w:rPr>
        <w:t xml:space="preserve"> 3</w:t>
      </w:r>
      <w:r>
        <w:t>A</w:t>
      </w:r>
      <w:r w:rsidRPr="00A72251">
        <w:rPr>
          <w:lang w:val="el-GR"/>
        </w:rPr>
        <w:t>4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έλαβε το 7,1% των ασθενών, κατά τη διάρκεια της μελέτης.</w:t>
      </w:r>
    </w:p>
    <w:p w:rsidR="00901F87" w:rsidRPr="00A72251" w:rsidRDefault="00901F87" w:rsidP="00FA3DF9">
      <w:pPr>
        <w:spacing w:line="240" w:lineRule="auto"/>
        <w:jc w:val="both"/>
        <w:rPr>
          <w:lang w:val="el-GR"/>
        </w:rPr>
      </w:pPr>
      <w:r w:rsidRPr="00A72251">
        <w:rPr>
          <w:lang w:val="el-GR"/>
        </w:rPr>
        <w:t>Παρατηρήθηκε μικρή στατιστικά σημαντική αύξηση του πρωτεύοντος τελικού σημείου σε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προκαθορισμένη υπο-ομάδα ασθενών με στηθάγχη κατηγορίας ΙΙ κατά </w:t>
      </w:r>
      <w:r>
        <w:t>CCS</w:t>
      </w:r>
      <w:r w:rsidRPr="00A72251">
        <w:rPr>
          <w:lang w:val="el-GR"/>
        </w:rPr>
        <w:t xml:space="preserve"> ή υψηλότερης κατά την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έναρξη (</w:t>
      </w:r>
      <w:r>
        <w:t>n</w:t>
      </w:r>
      <w:r w:rsidRPr="00A72251">
        <w:rPr>
          <w:lang w:val="el-GR"/>
        </w:rPr>
        <w:t xml:space="preserve">=12049) (ετήσια ποσοστά 3,4% έναντι 2,9%, σχετικός κίνδυνος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A72251">
        <w:rPr>
          <w:lang w:val="el-GR"/>
        </w:rPr>
        <w:t>/εικονικό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φάρμακο 1,18, </w:t>
      </w:r>
      <w:r>
        <w:t>p</w:t>
      </w:r>
      <w:r w:rsidRPr="00A72251">
        <w:rPr>
          <w:lang w:val="el-GR"/>
        </w:rPr>
        <w:t>=0,018), αλλά όχι στην υπο-ομάδα του συνολικού πληθυσμού με στηθάγχη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κατηγορίας ≥ </w:t>
      </w:r>
      <w:r>
        <w:t>I</w:t>
      </w:r>
      <w:r w:rsidRPr="00A72251">
        <w:rPr>
          <w:lang w:val="el-GR"/>
        </w:rPr>
        <w:t xml:space="preserve"> κατά </w:t>
      </w:r>
      <w:r>
        <w:t>CCS</w:t>
      </w:r>
      <w:r w:rsidRPr="00A72251">
        <w:rPr>
          <w:lang w:val="el-GR"/>
        </w:rPr>
        <w:t xml:space="preserve"> (</w:t>
      </w:r>
      <w:r>
        <w:t>n</w:t>
      </w:r>
      <w:r w:rsidRPr="00A72251">
        <w:rPr>
          <w:lang w:val="el-GR"/>
        </w:rPr>
        <w:t xml:space="preserve">=14286) (σχετικός κίνδυνος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A72251">
        <w:rPr>
          <w:lang w:val="el-GR"/>
        </w:rPr>
        <w:t>/εικονικό φάρμακο 1,11,</w:t>
      </w:r>
      <w:r w:rsidR="00A72251">
        <w:rPr>
          <w:lang w:val="el-GR"/>
        </w:rPr>
        <w:t xml:space="preserve"> </w:t>
      </w:r>
      <w:r>
        <w:t>p</w:t>
      </w:r>
      <w:r w:rsidRPr="00A72251">
        <w:rPr>
          <w:lang w:val="el-GR"/>
        </w:rPr>
        <w:t>=0,110).</w:t>
      </w:r>
    </w:p>
    <w:p w:rsidR="00901F87" w:rsidRPr="00A72251" w:rsidRDefault="00901F87" w:rsidP="00FA3DF9">
      <w:pPr>
        <w:spacing w:line="240" w:lineRule="auto"/>
        <w:jc w:val="both"/>
        <w:rPr>
          <w:lang w:val="el-GR"/>
        </w:rPr>
      </w:pPr>
      <w:r w:rsidRPr="00A72251">
        <w:rPr>
          <w:lang w:val="el-GR"/>
        </w:rPr>
        <w:lastRenderedPageBreak/>
        <w:t>Η υψηλότερη της εγκεκριμένης δόσης που χρησιμοποιήθηκε στη μελέτη δεν ερμηνεύει πλήρως αυτά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τα ευρήματα.</w:t>
      </w:r>
    </w:p>
    <w:p w:rsidR="00901F87" w:rsidRPr="00A72251" w:rsidRDefault="00901F87" w:rsidP="00FA3DF9">
      <w:pPr>
        <w:spacing w:line="240" w:lineRule="auto"/>
        <w:jc w:val="both"/>
        <w:rPr>
          <w:lang w:val="el-GR"/>
        </w:rPr>
      </w:pPr>
      <w:r w:rsidRPr="00A72251">
        <w:rPr>
          <w:lang w:val="el-GR"/>
        </w:rPr>
        <w:t xml:space="preserve">Η μελέτη </w:t>
      </w:r>
      <w:r>
        <w:t>SHIFT</w:t>
      </w:r>
      <w:r w:rsidRPr="00A72251">
        <w:rPr>
          <w:lang w:val="el-GR"/>
        </w:rPr>
        <w:t xml:space="preserve"> ήταν μία μεγάλη πολυκεντρική, διεθνής, τυχαιοποιημένη, διπλά τυφλή, ελεγχόμενη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έναντι εικονικού φαρμάκου μελέτη έκβασης που πραγματοποιήθηκε σε 6505 ενήλικες ασθενείς με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σταθερή χρόνια καρδιακή ανεπάρκεια (για ≥ 4 εβδομάδες), κατηγορίας ΙΙ έως </w:t>
      </w:r>
      <w:r>
        <w:t>IV</w:t>
      </w:r>
      <w:r w:rsidRPr="00A72251">
        <w:rPr>
          <w:lang w:val="el-GR"/>
        </w:rPr>
        <w:t xml:space="preserve"> κατά ΝΥΗΑ, με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μειωμένο κλάσμα εξώθησης αριστερής κοιλίας (ΚΕΑΚ ≤ 35%) και καρδιακή συχνότητα σε ηρεμία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≥70 </w:t>
      </w:r>
      <w:r>
        <w:t>bpm</w:t>
      </w:r>
      <w:r w:rsidRPr="00A72251">
        <w:rPr>
          <w:lang w:val="el-GR"/>
        </w:rPr>
        <w:t>.</w:t>
      </w:r>
    </w:p>
    <w:p w:rsidR="00901F87" w:rsidRPr="00A72251" w:rsidRDefault="00901F87" w:rsidP="00FA3DF9">
      <w:pPr>
        <w:spacing w:line="240" w:lineRule="auto"/>
        <w:jc w:val="both"/>
        <w:rPr>
          <w:lang w:val="el-GR"/>
        </w:rPr>
      </w:pPr>
      <w:r w:rsidRPr="00A72251">
        <w:rPr>
          <w:lang w:val="el-GR"/>
        </w:rPr>
        <w:t>Οι ασθενείς λάμβαναν τυπική αγωγή που περιελάμβανε β-αποκλειστές (89%), αναστολείς του ΜΕΑ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ή/και ανταγωνιστές αγγειοτασίνης ΙΙ (91%), διουρητικά (83%) και παράγοντες αντι-αλδοστερόνης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(60%). </w:t>
      </w:r>
      <w:r w:rsidRPr="009312EB">
        <w:rPr>
          <w:lang w:val="el-GR"/>
        </w:rPr>
        <w:t xml:space="preserve">Στην ομάδα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9312EB">
        <w:rPr>
          <w:lang w:val="el-GR"/>
        </w:rPr>
        <w:t xml:space="preserve">, το 67% των ασθενών λάμβανε 7,5 </w:t>
      </w:r>
      <w:r>
        <w:t>mg</w:t>
      </w:r>
      <w:r w:rsidRPr="009312EB">
        <w:rPr>
          <w:lang w:val="el-GR"/>
        </w:rPr>
        <w:t xml:space="preserve"> δύο φορές την ημέρα. </w:t>
      </w:r>
      <w:r w:rsidRPr="00A72251">
        <w:rPr>
          <w:lang w:val="el-GR"/>
        </w:rPr>
        <w:t>Η μέση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διάρκεια παρακολούθησης ήταν 22,9 μήνες. Η αγωγή με </w:t>
      </w:r>
      <w:r w:rsidR="009312EB" w:rsidRPr="009312EB">
        <w:rPr>
          <w:lang w:val="el-GR"/>
        </w:rPr>
        <w:t>ιβαμπραδίνη</w:t>
      </w:r>
      <w:r w:rsidRPr="00A72251">
        <w:rPr>
          <w:lang w:val="el-GR"/>
        </w:rPr>
        <w:t xml:space="preserve"> συνδέθηκε με μέση μείωση </w:t>
      </w:r>
      <w:r w:rsidR="00A72251" w:rsidRPr="00A72251">
        <w:rPr>
          <w:lang w:val="el-GR"/>
        </w:rPr>
        <w:t>της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καρδιακής συχνότητας κατά 15 </w:t>
      </w:r>
      <w:r>
        <w:t>bpm</w:t>
      </w:r>
      <w:r w:rsidRPr="00A72251">
        <w:rPr>
          <w:lang w:val="el-GR"/>
        </w:rPr>
        <w:t xml:space="preserve"> σε σχέση με την αρχική τιμή των 80 </w:t>
      </w:r>
      <w:r>
        <w:t>bpm</w:t>
      </w:r>
      <w:r w:rsidRPr="00A72251">
        <w:rPr>
          <w:lang w:val="el-GR"/>
        </w:rPr>
        <w:t xml:space="preserve">. Η διαφορά </w:t>
      </w:r>
      <w:r w:rsidR="00A72251" w:rsidRPr="00A72251">
        <w:rPr>
          <w:lang w:val="el-GR"/>
        </w:rPr>
        <w:t>της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καρδιακής συχνότητας μεταξύ των δυο ομάδων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A72251">
        <w:rPr>
          <w:lang w:val="el-GR"/>
        </w:rPr>
        <w:t xml:space="preserve"> και εικονικού φαρμάκου ήταν 10.8 </w:t>
      </w:r>
      <w:r>
        <w:t>bpm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στις 28 ημέρες, 9.1 </w:t>
      </w:r>
      <w:r>
        <w:t>bpm</w:t>
      </w:r>
      <w:r w:rsidRPr="00A72251">
        <w:rPr>
          <w:lang w:val="el-GR"/>
        </w:rPr>
        <w:t xml:space="preserve"> στους 12 μήνες και 8.3 </w:t>
      </w:r>
      <w:r>
        <w:t>bpm</w:t>
      </w:r>
      <w:r w:rsidRPr="00A72251">
        <w:rPr>
          <w:lang w:val="el-GR"/>
        </w:rPr>
        <w:t xml:space="preserve"> στους 24 μήνες</w:t>
      </w:r>
    </w:p>
    <w:p w:rsidR="00901F87" w:rsidRPr="00A72251" w:rsidRDefault="00901F87" w:rsidP="00FA3DF9">
      <w:pPr>
        <w:spacing w:line="240" w:lineRule="auto"/>
        <w:jc w:val="both"/>
        <w:rPr>
          <w:lang w:val="el-GR"/>
        </w:rPr>
      </w:pPr>
      <w:r w:rsidRPr="00A72251">
        <w:rPr>
          <w:lang w:val="el-GR"/>
        </w:rPr>
        <w:t>Η μελέτη απέδειξε κλινικά και στατιστικά σημαντική μείωση του σχετικού κινδύνου κατά 18% στο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ποσοστό του πρωτεύοντος σύνθετου τελικού σημείου καρδιαγγειακής θνησιμότητας και νοσηλείας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λόγω επιδεινωθείσας καρδιακής ανεπάρκειας (σχετικός κίνδυνος: 0.82, 95%</w:t>
      </w:r>
      <w:r>
        <w:t>CI</w:t>
      </w:r>
      <w:r w:rsidRPr="00A72251">
        <w:rPr>
          <w:lang w:val="el-GR"/>
        </w:rPr>
        <w:t xml:space="preserve"> [0.75; 0.90] –</w:t>
      </w:r>
      <w:r w:rsidR="00A72251">
        <w:rPr>
          <w:lang w:val="el-GR"/>
        </w:rPr>
        <w:t xml:space="preserve"> </w:t>
      </w:r>
      <w:r>
        <w:t>p</w:t>
      </w:r>
      <w:r w:rsidRPr="00A72251">
        <w:rPr>
          <w:lang w:val="el-GR"/>
        </w:rPr>
        <w:t>&lt;0.0001) εμφανή μέσα σε 3 μήνες από την έναρξη της αγωγής. Η μείωση του απόλυτου κινδύνου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ήταν 4,2%. Τα αποτελέσματα του πρωτεύοντος τελικού σημείου καθοδηγούνται κυρίως από τα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τελικά σημεία που αφορούν την καρδιακή ανεπάρκεια, νοσηλεία λόγω επιδεινωθείσας καρδιακής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ανεπάρκειας, (απόλυτος κίνδυνος μειωμένος κατά 4,7%) και θάνατοι λόγω καρδιακής ανεπάρκειας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(απόλυτος κίνδυνος μειωμένος κατά 1,1%).</w:t>
      </w:r>
    </w:p>
    <w:p w:rsidR="00901F87" w:rsidRPr="00A72251" w:rsidRDefault="00901F87" w:rsidP="00FA3DF9">
      <w:pPr>
        <w:spacing w:line="240" w:lineRule="auto"/>
        <w:jc w:val="both"/>
        <w:rPr>
          <w:lang w:val="el-GR"/>
        </w:rPr>
      </w:pPr>
      <w:r w:rsidRPr="00A72251">
        <w:rPr>
          <w:lang w:val="el-GR"/>
        </w:rPr>
        <w:t>Θεραπευτική δράση στο πρωτεύον σύνθετο τελικό σημείο, τα επιμέρους σημεία του και τα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δευτερεύοντα τελικά σημεία</w:t>
      </w:r>
    </w:p>
    <w:p w:rsidR="00AC6B07" w:rsidRPr="005707DA" w:rsidRDefault="00AC6B07" w:rsidP="00AC6B07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sz w:val="9"/>
          <w:szCs w:val="9"/>
          <w:lang w:val="el-GR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1617"/>
        <w:gridCol w:w="1618"/>
        <w:gridCol w:w="1798"/>
        <w:gridCol w:w="1041"/>
      </w:tblGrid>
      <w:tr w:rsidR="00AC6B07" w:rsidRPr="00AC6B07">
        <w:trPr>
          <w:trHeight w:hRule="exact" w:val="78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07" w:rsidRPr="005707DA" w:rsidRDefault="00AC6B07" w:rsidP="00AC6B0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l-GR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4" w:lineRule="auto"/>
              <w:ind w:left="333" w:right="331"/>
              <w:jc w:val="center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>Ivabradine (N=3241) n (%)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4" w:lineRule="auto"/>
              <w:ind w:left="367" w:right="366" w:firstLine="1"/>
              <w:jc w:val="center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>Placebo (N=3264) n (%)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4" w:lineRule="auto"/>
              <w:ind w:left="480" w:right="74" w:hanging="394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>Σχετικός κίνδυνος [95% CI]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18"/>
              <w:jc w:val="right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 xml:space="preserve">Τιμή </w:t>
            </w:r>
            <w:r w:rsidRPr="00AC6B07">
              <w:rPr>
                <w:i/>
                <w:iCs/>
                <w:sz w:val="22"/>
                <w:szCs w:val="22"/>
              </w:rPr>
              <w:t>p</w:t>
            </w:r>
          </w:p>
        </w:tc>
      </w:tr>
      <w:tr w:rsidR="00AC6B07" w:rsidRPr="00AC6B07">
        <w:trPr>
          <w:trHeight w:hRule="exact" w:val="52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4" w:lineRule="auto"/>
              <w:ind w:left="64" w:right="717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>Πρωτεύον σύνθετο τελικό σημείο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15" w:right="215"/>
              <w:jc w:val="center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>793 (24.47)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15" w:right="215"/>
              <w:jc w:val="center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>937 (28.71)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53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>0.82 [0.75; 0.90]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49"/>
              <w:jc w:val="right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>&lt;0.0001</w:t>
            </w:r>
          </w:p>
        </w:tc>
      </w:tr>
      <w:tr w:rsidR="00AC6B07" w:rsidRPr="00AC6B07">
        <w:trPr>
          <w:trHeight w:hRule="exact" w:val="1306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4" w:lineRule="auto"/>
              <w:ind w:left="64" w:right="177"/>
              <w:rPr>
                <w:sz w:val="22"/>
                <w:szCs w:val="22"/>
                <w:lang w:val="el-GR"/>
              </w:rPr>
            </w:pPr>
            <w:r w:rsidRPr="00AC6B07">
              <w:rPr>
                <w:sz w:val="22"/>
                <w:szCs w:val="22"/>
                <w:lang w:val="el-GR"/>
              </w:rPr>
              <w:t>Επιμέρους σημεία του σύνθετου τελικού σημείου:</w:t>
            </w:r>
          </w:p>
          <w:p w:rsidR="00AC6B07" w:rsidRPr="00AC6B07" w:rsidRDefault="00AC6B07" w:rsidP="00AC6B07">
            <w:pPr>
              <w:numPr>
                <w:ilvl w:val="0"/>
                <w:numId w:val="5"/>
              </w:numPr>
              <w:tabs>
                <w:tab w:val="left" w:pos="19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firstLine="0"/>
              <w:rPr>
                <w:sz w:val="22"/>
                <w:szCs w:val="22"/>
              </w:rPr>
            </w:pPr>
            <w:r w:rsidRPr="00AC6B07">
              <w:rPr>
                <w:sz w:val="22"/>
                <w:szCs w:val="22"/>
              </w:rPr>
              <w:t>Καρδιαγγειακός</w:t>
            </w:r>
            <w:r w:rsidRPr="00AC6B07">
              <w:rPr>
                <w:spacing w:val="-1"/>
                <w:sz w:val="22"/>
                <w:szCs w:val="22"/>
              </w:rPr>
              <w:t xml:space="preserve"> </w:t>
            </w:r>
            <w:r w:rsidRPr="00AC6B07">
              <w:rPr>
                <w:sz w:val="22"/>
                <w:szCs w:val="22"/>
              </w:rPr>
              <w:t>θάνατος</w:t>
            </w:r>
          </w:p>
          <w:p w:rsidR="00AC6B07" w:rsidRPr="00AC6B07" w:rsidRDefault="00AC6B07" w:rsidP="00AC6B07">
            <w:pPr>
              <w:numPr>
                <w:ilvl w:val="0"/>
                <w:numId w:val="5"/>
              </w:numPr>
              <w:tabs>
                <w:tab w:val="left" w:pos="190"/>
              </w:tabs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right="119" w:firstLine="0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>Νοσηλεία λόγω επιδεινωθείσας ΚΑ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7"/>
              <w:rPr>
                <w:sz w:val="22"/>
                <w:szCs w:val="22"/>
              </w:rPr>
            </w:pPr>
            <w:r w:rsidRPr="00AC6B07">
              <w:rPr>
                <w:sz w:val="22"/>
                <w:szCs w:val="22"/>
              </w:rPr>
              <w:t>449 (13.85)</w:t>
            </w:r>
          </w:p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87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>514 (15.86)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7"/>
              <w:rPr>
                <w:sz w:val="22"/>
                <w:szCs w:val="22"/>
              </w:rPr>
            </w:pPr>
            <w:r w:rsidRPr="00AC6B07">
              <w:rPr>
                <w:sz w:val="22"/>
                <w:szCs w:val="22"/>
              </w:rPr>
              <w:t>491 (15.04)</w:t>
            </w:r>
          </w:p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87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>672 (20.59)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53"/>
              <w:rPr>
                <w:sz w:val="22"/>
                <w:szCs w:val="22"/>
              </w:rPr>
            </w:pPr>
            <w:r w:rsidRPr="00AC6B07">
              <w:rPr>
                <w:sz w:val="22"/>
                <w:szCs w:val="22"/>
              </w:rPr>
              <w:t>0.91 [0.80; 1.03]</w:t>
            </w:r>
          </w:p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53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>0.74 [0.66; 0.83]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l-GR"/>
              </w:rPr>
            </w:pPr>
          </w:p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1" w:right="131"/>
              <w:jc w:val="center"/>
              <w:rPr>
                <w:sz w:val="22"/>
                <w:szCs w:val="22"/>
              </w:rPr>
            </w:pPr>
            <w:r w:rsidRPr="00AC6B07">
              <w:rPr>
                <w:sz w:val="22"/>
                <w:szCs w:val="22"/>
              </w:rPr>
              <w:t>0.128</w:t>
            </w:r>
          </w:p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1" w:right="131"/>
              <w:jc w:val="center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>&lt;0.0001</w:t>
            </w:r>
          </w:p>
        </w:tc>
      </w:tr>
      <w:tr w:rsidR="00AC6B07" w:rsidRPr="00AC6B07">
        <w:trPr>
          <w:trHeight w:hRule="exact" w:val="266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>Άλλα δευτερεύοντα τελικά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C6B07" w:rsidRPr="00AC6B07" w:rsidRDefault="00AC6B07" w:rsidP="00AC6B0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C6B07" w:rsidRPr="00AC6B07" w:rsidRDefault="00AC6B07" w:rsidP="00AC6B0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C6B07" w:rsidRPr="00AC6B07" w:rsidRDefault="00AC6B07" w:rsidP="00AC6B0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C6B07" w:rsidRPr="00AC6B07" w:rsidRDefault="00AC6B07" w:rsidP="00AC6B0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AC6B07" w:rsidRPr="00AC6B07">
        <w:trPr>
          <w:trHeight w:hRule="exact" w:val="259"/>
        </w:trPr>
        <w:tc>
          <w:tcPr>
            <w:tcW w:w="312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>σημεία:</w:t>
            </w:r>
          </w:p>
        </w:tc>
        <w:tc>
          <w:tcPr>
            <w:tcW w:w="16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C6B07" w:rsidRPr="00AC6B07" w:rsidRDefault="00AC6B07" w:rsidP="00AC6B0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C6B07" w:rsidRPr="00AC6B07" w:rsidRDefault="00AC6B07" w:rsidP="00AC6B0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79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C6B07" w:rsidRPr="00AC6B07" w:rsidRDefault="00AC6B07" w:rsidP="00AC6B0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4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C6B07" w:rsidRPr="00AC6B07" w:rsidRDefault="00AC6B07" w:rsidP="00AC6B0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AC6B07" w:rsidRPr="00AC6B07">
        <w:trPr>
          <w:trHeight w:hRule="exact" w:val="259"/>
        </w:trPr>
        <w:tc>
          <w:tcPr>
            <w:tcW w:w="312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>- Θάνατος κάθε αιτιολογίας</w:t>
            </w:r>
          </w:p>
        </w:tc>
        <w:tc>
          <w:tcPr>
            <w:tcW w:w="16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215" w:right="215"/>
              <w:jc w:val="center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>503 (15.52)</w:t>
            </w:r>
          </w:p>
        </w:tc>
        <w:tc>
          <w:tcPr>
            <w:tcW w:w="16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215" w:right="215"/>
              <w:jc w:val="center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>552 (16.91)</w:t>
            </w:r>
          </w:p>
        </w:tc>
        <w:tc>
          <w:tcPr>
            <w:tcW w:w="179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153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>0.90 [0.80; 1.02]</w:t>
            </w:r>
          </w:p>
        </w:tc>
        <w:tc>
          <w:tcPr>
            <w:tcW w:w="104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266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>0.092</w:t>
            </w:r>
          </w:p>
        </w:tc>
      </w:tr>
      <w:tr w:rsidR="00AC6B07" w:rsidRPr="00AC6B07">
        <w:trPr>
          <w:trHeight w:hRule="exact" w:val="260"/>
        </w:trPr>
        <w:tc>
          <w:tcPr>
            <w:tcW w:w="312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>- Θάνατος λόγω ΚΑ</w:t>
            </w:r>
          </w:p>
        </w:tc>
        <w:tc>
          <w:tcPr>
            <w:tcW w:w="16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215" w:right="215"/>
              <w:jc w:val="center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>113 (3.49)</w:t>
            </w:r>
          </w:p>
        </w:tc>
        <w:tc>
          <w:tcPr>
            <w:tcW w:w="16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215" w:right="215"/>
              <w:jc w:val="center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>151 (4.63)</w:t>
            </w:r>
          </w:p>
        </w:tc>
        <w:tc>
          <w:tcPr>
            <w:tcW w:w="179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>0.74 [0.58;0.94]</w:t>
            </w:r>
          </w:p>
        </w:tc>
        <w:tc>
          <w:tcPr>
            <w:tcW w:w="104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266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>0.014</w:t>
            </w:r>
          </w:p>
        </w:tc>
      </w:tr>
      <w:tr w:rsidR="00AC6B07" w:rsidRPr="00AC6B07">
        <w:trPr>
          <w:trHeight w:hRule="exact" w:val="259"/>
        </w:trPr>
        <w:tc>
          <w:tcPr>
            <w:tcW w:w="312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szCs w:val="24"/>
              </w:rPr>
            </w:pPr>
            <w:r w:rsidRPr="00AC6B07">
              <w:rPr>
                <w:i/>
                <w:iCs/>
                <w:sz w:val="22"/>
                <w:szCs w:val="22"/>
              </w:rPr>
              <w:t xml:space="preserve">- </w:t>
            </w:r>
            <w:r w:rsidRPr="00AC6B07">
              <w:rPr>
                <w:sz w:val="22"/>
                <w:szCs w:val="22"/>
              </w:rPr>
              <w:t>Νοσηλεία κάθε αιτιολογίας</w:t>
            </w:r>
          </w:p>
        </w:tc>
        <w:tc>
          <w:tcPr>
            <w:tcW w:w="16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215" w:right="215"/>
              <w:jc w:val="center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>1231 (37.98)</w:t>
            </w:r>
          </w:p>
        </w:tc>
        <w:tc>
          <w:tcPr>
            <w:tcW w:w="16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215" w:right="215"/>
              <w:jc w:val="center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>1356 (41.54)</w:t>
            </w:r>
          </w:p>
        </w:tc>
        <w:tc>
          <w:tcPr>
            <w:tcW w:w="179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80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>0.89 [0.82;0.96]</w:t>
            </w:r>
          </w:p>
        </w:tc>
        <w:tc>
          <w:tcPr>
            <w:tcW w:w="104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266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>0.003</w:t>
            </w:r>
          </w:p>
        </w:tc>
      </w:tr>
      <w:tr w:rsidR="00AC6B07" w:rsidRPr="00AC6B07">
        <w:trPr>
          <w:trHeight w:hRule="exact" w:val="260"/>
        </w:trPr>
        <w:tc>
          <w:tcPr>
            <w:tcW w:w="312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>- Νοσηλεία κ/α αιτιολογίας</w:t>
            </w:r>
          </w:p>
        </w:tc>
        <w:tc>
          <w:tcPr>
            <w:tcW w:w="161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215" w:right="215"/>
              <w:jc w:val="center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>977 (30.15)</w:t>
            </w:r>
          </w:p>
        </w:tc>
        <w:tc>
          <w:tcPr>
            <w:tcW w:w="161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215" w:right="215"/>
              <w:jc w:val="center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>1122 (34.38)</w:t>
            </w:r>
          </w:p>
        </w:tc>
        <w:tc>
          <w:tcPr>
            <w:tcW w:w="179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53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>0.85 [0.78; 0.92]</w:t>
            </w:r>
          </w:p>
        </w:tc>
        <w:tc>
          <w:tcPr>
            <w:tcW w:w="104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07" w:rsidRPr="00AC6B07" w:rsidRDefault="00AC6B07" w:rsidP="00AC6B07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211"/>
              <w:jc w:val="right"/>
              <w:rPr>
                <w:szCs w:val="24"/>
              </w:rPr>
            </w:pPr>
            <w:r w:rsidRPr="00AC6B07">
              <w:rPr>
                <w:sz w:val="22"/>
                <w:szCs w:val="22"/>
              </w:rPr>
              <w:t>0.0002</w:t>
            </w:r>
          </w:p>
        </w:tc>
      </w:tr>
    </w:tbl>
    <w:p w:rsidR="00AC6B07" w:rsidRDefault="00AC6B07" w:rsidP="00A72251">
      <w:pPr>
        <w:spacing w:line="240" w:lineRule="auto"/>
        <w:jc w:val="both"/>
      </w:pPr>
    </w:p>
    <w:p w:rsidR="00A72251" w:rsidRPr="00A72251" w:rsidRDefault="00A72251" w:rsidP="00A72251">
      <w:pPr>
        <w:spacing w:line="240" w:lineRule="auto"/>
        <w:jc w:val="both"/>
        <w:rPr>
          <w:lang w:val="el-GR"/>
        </w:rPr>
      </w:pPr>
      <w:r w:rsidRPr="00A72251">
        <w:rPr>
          <w:lang w:val="el-GR"/>
        </w:rPr>
        <w:lastRenderedPageBreak/>
        <w:t>Η μείωση του πρωτεύοντος τελικού σημείου παρατηρούνταν σταθερά ανεξάρτητα από φύλο,</w:t>
      </w:r>
      <w:r>
        <w:rPr>
          <w:lang w:val="el-GR"/>
        </w:rPr>
        <w:t xml:space="preserve"> </w:t>
      </w:r>
      <w:r w:rsidRPr="00A72251">
        <w:rPr>
          <w:lang w:val="el-GR"/>
        </w:rPr>
        <w:t>κατηγορία ΝΥΗΑ, καρδιακή ανεπάρκεια ισχαιμικής ή μη ισχαιμικής αιτιολογίας και προηγούμενο</w:t>
      </w:r>
      <w:r>
        <w:rPr>
          <w:lang w:val="el-GR"/>
        </w:rPr>
        <w:t xml:space="preserve"> </w:t>
      </w:r>
      <w:r w:rsidRPr="00A72251">
        <w:rPr>
          <w:lang w:val="el-GR"/>
        </w:rPr>
        <w:t>ιστορικό διαβήτη ή υπέρτασης.</w:t>
      </w:r>
    </w:p>
    <w:p w:rsidR="00C4277C" w:rsidRPr="00A72251" w:rsidRDefault="00A72251" w:rsidP="00FA3DF9">
      <w:pPr>
        <w:spacing w:line="240" w:lineRule="auto"/>
        <w:jc w:val="both"/>
        <w:rPr>
          <w:lang w:val="el-GR"/>
        </w:rPr>
      </w:pPr>
      <w:r w:rsidRPr="00A72251">
        <w:rPr>
          <w:lang w:val="el-GR"/>
        </w:rPr>
        <w:t>Στην υπο-ομάδα</w:t>
      </w:r>
      <w:r>
        <w:rPr>
          <w:lang w:val="el-GR"/>
        </w:rPr>
        <w:t xml:space="preserve"> </w:t>
      </w:r>
      <w:r w:rsidR="00C4277C" w:rsidRPr="00A72251">
        <w:rPr>
          <w:lang w:val="el-GR"/>
        </w:rPr>
        <w:t xml:space="preserve">ασθενών με ΚΣ ≥ 75 </w:t>
      </w:r>
      <w:r w:rsidR="00C4277C">
        <w:t>bpm</w:t>
      </w:r>
      <w:r w:rsidR="00C4277C" w:rsidRPr="00A72251">
        <w:rPr>
          <w:lang w:val="el-GR"/>
        </w:rPr>
        <w:t xml:space="preserve"> (</w:t>
      </w:r>
      <w:r w:rsidR="00C4277C">
        <w:t>n</w:t>
      </w:r>
      <w:r w:rsidR="00C4277C" w:rsidRPr="00A72251">
        <w:rPr>
          <w:lang w:val="el-GR"/>
        </w:rPr>
        <w:t>=4150), παρατηρήθηκε μεγαλύτερη μείωση στο</w:t>
      </w:r>
      <w:r>
        <w:rPr>
          <w:lang w:val="el-GR"/>
        </w:rPr>
        <w:t xml:space="preserve"> </w:t>
      </w:r>
      <w:r w:rsidR="00C4277C" w:rsidRPr="00A72251">
        <w:rPr>
          <w:lang w:val="el-GR"/>
        </w:rPr>
        <w:t>πρωτεύον σύνθετο τελικό σημείο της τάξης του 24 % (σχετικός κίνδυνος: 0.76, 95%</w:t>
      </w:r>
      <w:r w:rsidR="00C4277C">
        <w:t>CI</w:t>
      </w:r>
      <w:r w:rsidR="00C4277C" w:rsidRPr="00A72251">
        <w:rPr>
          <w:lang w:val="el-GR"/>
        </w:rPr>
        <w:t xml:space="preserve"> [0.68;0.85] –</w:t>
      </w:r>
      <w:r>
        <w:rPr>
          <w:lang w:val="el-GR"/>
        </w:rPr>
        <w:t xml:space="preserve"> </w:t>
      </w:r>
      <w:r w:rsidR="00C4277C">
        <w:t>p</w:t>
      </w:r>
      <w:r w:rsidR="00C4277C" w:rsidRPr="00A72251">
        <w:rPr>
          <w:lang w:val="el-GR"/>
        </w:rPr>
        <w:t>&lt;0.0001) και για τα άλλα δευτερεύοντα τελικά σημεία, συμπεριλαμβανομένου του θανάτου κάθε</w:t>
      </w:r>
      <w:r>
        <w:rPr>
          <w:lang w:val="el-GR"/>
        </w:rPr>
        <w:t xml:space="preserve"> </w:t>
      </w:r>
      <w:r w:rsidR="00C4277C" w:rsidRPr="00A72251">
        <w:rPr>
          <w:lang w:val="el-GR"/>
        </w:rPr>
        <w:t>αιτιολογίας (σχετικός κίνδυνος: 0.83, 95%</w:t>
      </w:r>
      <w:r w:rsidR="00C4277C">
        <w:t>CI</w:t>
      </w:r>
      <w:r w:rsidR="00C4277C" w:rsidRPr="00A72251">
        <w:rPr>
          <w:lang w:val="el-GR"/>
        </w:rPr>
        <w:t xml:space="preserve"> [0.72;0.96] – </w:t>
      </w:r>
      <w:r w:rsidR="00C4277C">
        <w:t>p</w:t>
      </w:r>
      <w:r w:rsidR="00C4277C" w:rsidRPr="00A72251">
        <w:rPr>
          <w:lang w:val="el-GR"/>
        </w:rPr>
        <w:t>=0.0109) και του καρδιαγγειακού</w:t>
      </w:r>
      <w:r>
        <w:rPr>
          <w:lang w:val="el-GR"/>
        </w:rPr>
        <w:t xml:space="preserve"> </w:t>
      </w:r>
      <w:r w:rsidR="00C4277C" w:rsidRPr="00A72251">
        <w:rPr>
          <w:lang w:val="el-GR"/>
        </w:rPr>
        <w:t>θανάτου (σχετικός κίνδυνος: 0.83, 95%</w:t>
      </w:r>
      <w:r w:rsidR="00C4277C">
        <w:t>CI</w:t>
      </w:r>
      <w:r w:rsidR="00C4277C" w:rsidRPr="00A72251">
        <w:rPr>
          <w:lang w:val="el-GR"/>
        </w:rPr>
        <w:t xml:space="preserve"> [0.71;0.97] – </w:t>
      </w:r>
      <w:r w:rsidR="00C4277C">
        <w:t>p</w:t>
      </w:r>
      <w:r w:rsidR="00C4277C" w:rsidRPr="00A72251">
        <w:rPr>
          <w:lang w:val="el-GR"/>
        </w:rPr>
        <w:t>=0.0166). Σε αυτή την υπο-ομάδα ασθενών,</w:t>
      </w:r>
      <w:r>
        <w:rPr>
          <w:lang w:val="el-GR"/>
        </w:rPr>
        <w:t xml:space="preserve"> </w:t>
      </w:r>
      <w:r w:rsidR="00C4277C" w:rsidRPr="00A72251">
        <w:rPr>
          <w:lang w:val="el-GR"/>
        </w:rPr>
        <w:t xml:space="preserve">το προφίλ ασφάλειας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="00C4277C" w:rsidRPr="00A72251">
        <w:rPr>
          <w:lang w:val="el-GR"/>
        </w:rPr>
        <w:t xml:space="preserve"> είναι σύμφωνο με το αντίστοιχο στο συνολικό πληθυσμό.</w:t>
      </w:r>
    </w:p>
    <w:p w:rsidR="00C4277C" w:rsidRPr="00A72251" w:rsidRDefault="00C4277C" w:rsidP="00FA3DF9">
      <w:pPr>
        <w:spacing w:line="240" w:lineRule="auto"/>
        <w:jc w:val="both"/>
        <w:rPr>
          <w:lang w:val="el-GR"/>
        </w:rPr>
      </w:pPr>
      <w:r w:rsidRPr="00A72251">
        <w:rPr>
          <w:lang w:val="el-GR"/>
        </w:rPr>
        <w:t xml:space="preserve">Μία σημαντική επίδραση παρατηρήθηκε στο πρωτεύον σύνθετο τελικό σημείο στο σύνολο </w:t>
      </w:r>
      <w:r w:rsidR="00A72251" w:rsidRPr="00A72251">
        <w:rPr>
          <w:lang w:val="el-GR"/>
        </w:rPr>
        <w:t>της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ομάδας των ασθενών που λάμβαναν αγωγή με β-αποκλειστή (σχετικός κίνδυνος: 0.85, 95%</w:t>
      </w:r>
      <w:r>
        <w:t>CI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[0.76;0.94]). Στην υπο-ομάδα των ασθενών με ΚΣ ≥ 75 </w:t>
      </w:r>
      <w:r>
        <w:t>bpm</w:t>
      </w:r>
      <w:r w:rsidRPr="00A72251">
        <w:rPr>
          <w:lang w:val="el-GR"/>
        </w:rPr>
        <w:t xml:space="preserve"> και με συνιστώμενη δόση-στόχο του β-αποκλειστή, δεν παρατηρήθηκε στατιστικά σημαντικό όφελος στο πρωτεύον σύνθετο τελικό σημείο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(σχετικός κίνδυνος: 0.97, 95%</w:t>
      </w:r>
      <w:r>
        <w:t>CI</w:t>
      </w:r>
      <w:r w:rsidRPr="00A72251">
        <w:rPr>
          <w:lang w:val="el-GR"/>
        </w:rPr>
        <w:t xml:space="preserve"> [0.74;1.28]) και σε άλλα δευτερεύοντα τελικά σημεία,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συμπεριλαμβανομένων της νοσηλείας λόγω επιδείνωσης της καρδιακής ανεπάρκειας (σχετικός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κίνδυνος: 0.79, 95% </w:t>
      </w:r>
      <w:r>
        <w:t>CI</w:t>
      </w:r>
      <w:r w:rsidRPr="00A72251">
        <w:rPr>
          <w:lang w:val="el-GR"/>
        </w:rPr>
        <w:t xml:space="preserve"> [0.56;1.10]) ή θανάτου από καρδιακή ανεπάρκεια (σχετικός κίνδυνος: 0.69,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95% </w:t>
      </w:r>
      <w:r>
        <w:t>CI</w:t>
      </w:r>
      <w:r w:rsidRPr="00A72251">
        <w:rPr>
          <w:lang w:val="el-GR"/>
        </w:rPr>
        <w:t xml:space="preserve"> [0.31;1.53]).</w:t>
      </w:r>
    </w:p>
    <w:p w:rsidR="00C4277C" w:rsidRPr="00A72251" w:rsidRDefault="00C4277C" w:rsidP="00FA3DF9">
      <w:pPr>
        <w:spacing w:line="240" w:lineRule="auto"/>
        <w:jc w:val="both"/>
        <w:rPr>
          <w:lang w:val="el-GR"/>
        </w:rPr>
      </w:pPr>
      <w:r w:rsidRPr="00A72251">
        <w:rPr>
          <w:lang w:val="el-GR"/>
        </w:rPr>
        <w:t>Σημειώθηκε σημαντική βελτίωση της κατηγορίας ΝΥΗΑ στην τελευταία καταγραφόμενη τιμή,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βελτιώθηκαν 887 (28%) ασθενείς με </w:t>
      </w:r>
      <w:r w:rsidR="009312EB" w:rsidRPr="009312EB">
        <w:rPr>
          <w:lang w:val="el-GR"/>
        </w:rPr>
        <w:t>ιβαμπραδίνη</w:t>
      </w:r>
      <w:r w:rsidRPr="00A72251">
        <w:rPr>
          <w:lang w:val="el-GR"/>
        </w:rPr>
        <w:t xml:space="preserve"> έναντι 776 (24%) ασθενών με εικονικό φάρμακο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(</w:t>
      </w:r>
      <w:r>
        <w:t>p</w:t>
      </w:r>
      <w:r w:rsidRPr="00A72251">
        <w:rPr>
          <w:lang w:val="el-GR"/>
        </w:rPr>
        <w:t>=0.001).</w:t>
      </w:r>
    </w:p>
    <w:p w:rsidR="00C4277C" w:rsidRPr="00A72251" w:rsidRDefault="00C4277C" w:rsidP="00FA3DF9">
      <w:pPr>
        <w:spacing w:line="240" w:lineRule="auto"/>
        <w:jc w:val="both"/>
        <w:rPr>
          <w:lang w:val="el-GR"/>
        </w:rPr>
      </w:pPr>
      <w:r w:rsidRPr="00A72251">
        <w:rPr>
          <w:lang w:val="el-GR"/>
        </w:rPr>
        <w:t>Σε μια τυχαιοποιημένη ελεγχόμενη έναντι εικονικού φαρμάκου μελέτη 97 ασθενών, τα στοιχεία που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συλλέχθηκαν κατά τις ειδικές οφθαλμολογικές εξετάσεις, με στόχο την τεκμηρίωση της λειτουργίας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των συστημάτων κωνίων και ραβδίων και της ανιούσας οπτικής οδού (δηλ.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ηλεκτροαμφιβληστροειδογράφημα, στατικά και κινητικά οπτικά πεδία, έγχρωμη όραση, οπτική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οξύτητα), σε ασθενείς που λάμβαναν, για 3 χρόνια, ιβαμπραδίνη, λόγω χρόνιας σταθερής στηθάγχης,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δεν έδειξαν τοξικότητα του αμφιβληστροειδούς.</w:t>
      </w:r>
    </w:p>
    <w:p w:rsidR="00C4277C" w:rsidRPr="005707DA" w:rsidRDefault="00C4277C" w:rsidP="00A72251">
      <w:pPr>
        <w:spacing w:after="0" w:line="240" w:lineRule="auto"/>
        <w:jc w:val="both"/>
        <w:rPr>
          <w:u w:val="single"/>
          <w:lang w:val="el-GR"/>
        </w:rPr>
      </w:pPr>
      <w:r w:rsidRPr="005707DA">
        <w:rPr>
          <w:u w:val="single"/>
          <w:lang w:val="el-GR"/>
        </w:rPr>
        <w:t>Παιδιατρικός πληθυσμός</w:t>
      </w:r>
    </w:p>
    <w:p w:rsidR="00C4277C" w:rsidRPr="00A72251" w:rsidRDefault="00C4277C" w:rsidP="00FA3DF9">
      <w:pPr>
        <w:spacing w:line="240" w:lineRule="auto"/>
        <w:jc w:val="both"/>
        <w:rPr>
          <w:lang w:val="el-GR"/>
        </w:rPr>
      </w:pPr>
      <w:r w:rsidRPr="00A72251">
        <w:rPr>
          <w:lang w:val="el-GR"/>
        </w:rPr>
        <w:t>Μια τυχαιοποιημένη διπλά τυφλή, ελεγχόμενη έναντι εικονικού φαρμάκου μελέτη πραγματοποιήθηκε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σε 116 παιδιατρικούς ασθενείς (17 ηλικίας [6-12 [μηνών, 36 ηλικίας [1-3 [ετών και 63 ηλικίας [3-18 [ετών) με ΧΚΑ και διατατική μυοκαρδιοπάθεια (Δ.Μ.) επιπλέον της βέλτιστης βασικής αγωγής. 74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έλαβαν </w:t>
      </w:r>
      <w:r w:rsidR="009312EB" w:rsidRPr="005707DA">
        <w:rPr>
          <w:lang w:val="el-GR"/>
        </w:rPr>
        <w:t>ιβαμπραδίνη</w:t>
      </w:r>
      <w:r w:rsidRPr="00A72251">
        <w:rPr>
          <w:lang w:val="el-GR"/>
        </w:rPr>
        <w:t xml:space="preserve"> (σχέση 2:1). Η αρχική δόση ήταν 0,02 </w:t>
      </w:r>
      <w:r>
        <w:t>mg</w:t>
      </w:r>
      <w:r w:rsidRPr="00A72251">
        <w:rPr>
          <w:lang w:val="el-GR"/>
        </w:rPr>
        <w:t>/</w:t>
      </w:r>
      <w:r>
        <w:t>kg</w:t>
      </w:r>
      <w:r w:rsidRPr="00A72251">
        <w:rPr>
          <w:lang w:val="el-GR"/>
        </w:rPr>
        <w:t xml:space="preserve"> </w:t>
      </w:r>
      <w:r>
        <w:t>bid</w:t>
      </w:r>
      <w:r w:rsidRPr="00A72251">
        <w:rPr>
          <w:lang w:val="el-GR"/>
        </w:rPr>
        <w:t xml:space="preserve"> στην ηλικιακή υποομά</w:t>
      </w:r>
      <w:r w:rsidR="00A72251" w:rsidRPr="00A72251">
        <w:rPr>
          <w:lang w:val="el-GR"/>
        </w:rPr>
        <w:t>δα [6-12 [</w:t>
      </w:r>
      <w:r w:rsidRPr="00A72251">
        <w:rPr>
          <w:lang w:val="el-GR"/>
        </w:rPr>
        <w:t xml:space="preserve">μηνών, 0,05 </w:t>
      </w:r>
      <w:r>
        <w:t>mg</w:t>
      </w:r>
      <w:r w:rsidRPr="00A72251">
        <w:rPr>
          <w:lang w:val="el-GR"/>
        </w:rPr>
        <w:t>/</w:t>
      </w:r>
      <w:r>
        <w:t>kg</w:t>
      </w:r>
      <w:r w:rsidRPr="00A72251">
        <w:rPr>
          <w:lang w:val="el-GR"/>
        </w:rPr>
        <w:t xml:space="preserve"> </w:t>
      </w:r>
      <w:r>
        <w:t>bid</w:t>
      </w:r>
      <w:r w:rsidRPr="00A72251">
        <w:rPr>
          <w:lang w:val="el-GR"/>
        </w:rPr>
        <w:t xml:space="preserve"> στην ηλικιακή υποομάδα [1-3 [ετών και στην ηλικιακή υποομάδα [3-18 [ετών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εφόσον &lt;40 </w:t>
      </w:r>
      <w:r>
        <w:t>kg</w:t>
      </w:r>
      <w:r w:rsidRPr="00A72251">
        <w:rPr>
          <w:lang w:val="el-GR"/>
        </w:rPr>
        <w:t xml:space="preserve">, και 2,5 </w:t>
      </w:r>
      <w:r>
        <w:t>mg</w:t>
      </w:r>
      <w:r w:rsidRPr="00A72251">
        <w:rPr>
          <w:lang w:val="el-GR"/>
        </w:rPr>
        <w:t xml:space="preserve"> </w:t>
      </w:r>
      <w:r>
        <w:t>bid</w:t>
      </w:r>
      <w:r w:rsidRPr="00A72251">
        <w:rPr>
          <w:lang w:val="el-GR"/>
        </w:rPr>
        <w:t xml:space="preserve"> στην ηλικιακή υποομάδα [3-18 [ετών και εφόσον ≥ 40 </w:t>
      </w:r>
      <w:r>
        <w:t>kg</w:t>
      </w:r>
      <w:r w:rsidRPr="00A72251">
        <w:rPr>
          <w:lang w:val="el-GR"/>
        </w:rPr>
        <w:t>. Η δόση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προσαρμοζόταν ανάλογα με την ανταπόκριση στη θεραπεία και οι μέγιστες δόσεις ήταν 0,2 </w:t>
      </w:r>
      <w:r>
        <w:t>mg</w:t>
      </w:r>
      <w:r w:rsidRPr="00A72251">
        <w:rPr>
          <w:lang w:val="el-GR"/>
        </w:rPr>
        <w:t>/</w:t>
      </w:r>
      <w:r>
        <w:t>kg</w:t>
      </w:r>
      <w:r w:rsidR="00A72251">
        <w:rPr>
          <w:lang w:val="el-GR"/>
        </w:rPr>
        <w:t xml:space="preserve"> </w:t>
      </w:r>
      <w:r>
        <w:t>bid</w:t>
      </w:r>
      <w:r w:rsidRPr="00A72251">
        <w:rPr>
          <w:lang w:val="el-GR"/>
        </w:rPr>
        <w:t xml:space="preserve">, 0,3 </w:t>
      </w:r>
      <w:r>
        <w:t>mg</w:t>
      </w:r>
      <w:r w:rsidRPr="00A72251">
        <w:rPr>
          <w:lang w:val="el-GR"/>
        </w:rPr>
        <w:t>/</w:t>
      </w:r>
      <w:r>
        <w:t>kg</w:t>
      </w:r>
      <w:r w:rsidRPr="00A72251">
        <w:rPr>
          <w:lang w:val="el-GR"/>
        </w:rPr>
        <w:t xml:space="preserve"> </w:t>
      </w:r>
      <w:r>
        <w:t>bid</w:t>
      </w:r>
      <w:r w:rsidRPr="00A72251">
        <w:rPr>
          <w:lang w:val="el-GR"/>
        </w:rPr>
        <w:t xml:space="preserve"> και 15 </w:t>
      </w:r>
      <w:r>
        <w:t>mg</w:t>
      </w:r>
      <w:r w:rsidRPr="00A72251">
        <w:rPr>
          <w:lang w:val="el-GR"/>
        </w:rPr>
        <w:t xml:space="preserve"> </w:t>
      </w:r>
      <w:r>
        <w:t>bid</w:t>
      </w:r>
      <w:r w:rsidRPr="00A72251">
        <w:rPr>
          <w:lang w:val="el-GR"/>
        </w:rPr>
        <w:t xml:space="preserve"> αντίστοιχα. Στη μελέτη αυτή, η </w:t>
      </w:r>
      <w:r w:rsidR="009312EB" w:rsidRPr="009312EB">
        <w:rPr>
          <w:lang w:val="el-GR"/>
        </w:rPr>
        <w:t>ιβαμπραδίνη</w:t>
      </w:r>
      <w:r w:rsidRPr="00A72251">
        <w:rPr>
          <w:lang w:val="el-GR"/>
        </w:rPr>
        <w:t xml:space="preserve"> χορηγήθηκε από του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στόματος σε υγρή μορφή ή σε δισκίο, δύο φορές την ημέρα. Η απουσία φαρμακοκινητικής διαφοράς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μεταξύ των δύο φαρμοκοτεχνικών μορφών είχε αποδειχτεί σε μια ανοικτή τυχαιοποιημένη δύο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περιόδων διασταυρούμενη μελέτη, σε 24 ενήλικες υγιείς εθελοντές.</w:t>
      </w:r>
    </w:p>
    <w:p w:rsidR="00C4277C" w:rsidRPr="00A72251" w:rsidRDefault="00C4277C" w:rsidP="00FA3DF9">
      <w:pPr>
        <w:spacing w:line="240" w:lineRule="auto"/>
        <w:jc w:val="both"/>
        <w:rPr>
          <w:lang w:val="el-GR"/>
        </w:rPr>
      </w:pPr>
      <w:r w:rsidRPr="00A72251">
        <w:rPr>
          <w:lang w:val="el-GR"/>
        </w:rPr>
        <w:t>Μια μείωση 20% της καρδιακής συχνότητας, χωρίς βραδυκαρδία, επετεύχθη στο 69,9% των ασθενών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στην ομάδα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A72251">
        <w:rPr>
          <w:lang w:val="el-GR"/>
        </w:rPr>
        <w:t xml:space="preserve"> έναντι 12,2% στην ομάδα του εικονικού φαρμάκου στην </w:t>
      </w:r>
      <w:r w:rsidRPr="00A72251">
        <w:rPr>
          <w:lang w:val="el-GR"/>
        </w:rPr>
        <w:lastRenderedPageBreak/>
        <w:t xml:space="preserve">περίοδο </w:t>
      </w:r>
      <w:r w:rsidR="00A72251" w:rsidRPr="00A72251">
        <w:rPr>
          <w:lang w:val="el-GR"/>
        </w:rPr>
        <w:t>της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τιτλοποίησης από 2 έως 8 εβδομάδες (Λόγος πιθανοτήτων: </w:t>
      </w:r>
      <w:r>
        <w:t>E</w:t>
      </w:r>
      <w:r w:rsidRPr="00A72251">
        <w:rPr>
          <w:lang w:val="el-GR"/>
        </w:rPr>
        <w:t xml:space="preserve"> = 17,24, 95% </w:t>
      </w:r>
      <w:r>
        <w:t>CI</w:t>
      </w:r>
      <w:r w:rsidRPr="00A72251">
        <w:rPr>
          <w:lang w:val="el-GR"/>
        </w:rPr>
        <w:t xml:space="preserve"> [5,91 ; 50,30]).</w:t>
      </w:r>
    </w:p>
    <w:p w:rsidR="00C4277C" w:rsidRPr="00A72251" w:rsidRDefault="00C4277C" w:rsidP="00FA3DF9">
      <w:pPr>
        <w:spacing w:line="240" w:lineRule="auto"/>
        <w:jc w:val="both"/>
        <w:rPr>
          <w:lang w:val="el-GR"/>
        </w:rPr>
      </w:pPr>
      <w:r w:rsidRPr="00A72251">
        <w:rPr>
          <w:lang w:val="el-GR"/>
        </w:rPr>
        <w:t xml:space="preserve">Οι μέσες δοσολογίες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A72251">
        <w:rPr>
          <w:lang w:val="el-GR"/>
        </w:rPr>
        <w:t xml:space="preserve"> που επέτρεψαν μια μείωση του ΣΚ 20%, ήταν 0,13 ± 0,04 </w:t>
      </w:r>
      <w:r>
        <w:t>mg</w:t>
      </w:r>
      <w:r w:rsidRPr="00A72251">
        <w:rPr>
          <w:lang w:val="el-GR"/>
        </w:rPr>
        <w:t>/</w:t>
      </w:r>
      <w:r>
        <w:t>kg</w:t>
      </w:r>
      <w:r w:rsidR="00A72251">
        <w:rPr>
          <w:lang w:val="el-GR"/>
        </w:rPr>
        <w:t xml:space="preserve"> </w:t>
      </w:r>
      <w:r>
        <w:t>bid</w:t>
      </w:r>
      <w:r w:rsidRPr="00A72251">
        <w:rPr>
          <w:lang w:val="el-GR"/>
        </w:rPr>
        <w:t xml:space="preserve">, 0,10 ± 0,04 </w:t>
      </w:r>
      <w:r>
        <w:t>mg</w:t>
      </w:r>
      <w:r w:rsidRPr="00A72251">
        <w:rPr>
          <w:lang w:val="el-GR"/>
        </w:rPr>
        <w:t>/</w:t>
      </w:r>
      <w:r>
        <w:t>kg</w:t>
      </w:r>
      <w:r w:rsidRPr="00A72251">
        <w:rPr>
          <w:lang w:val="el-GR"/>
        </w:rPr>
        <w:t xml:space="preserve"> </w:t>
      </w:r>
      <w:r>
        <w:t>bid</w:t>
      </w:r>
      <w:r w:rsidRPr="00A72251">
        <w:rPr>
          <w:lang w:val="el-GR"/>
        </w:rPr>
        <w:t xml:space="preserve"> και 4,1 ± 2,2 </w:t>
      </w:r>
      <w:r>
        <w:t>mg</w:t>
      </w:r>
      <w:r w:rsidRPr="00A72251">
        <w:rPr>
          <w:lang w:val="el-GR"/>
        </w:rPr>
        <w:t xml:space="preserve"> </w:t>
      </w:r>
      <w:r>
        <w:t>bid</w:t>
      </w:r>
      <w:r w:rsidRPr="00A72251">
        <w:rPr>
          <w:lang w:val="el-GR"/>
        </w:rPr>
        <w:t xml:space="preserve"> στις ηλικιακές υποομάδες [1-3 [ετών, [3-18 [ετών και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 xml:space="preserve">&lt;40 </w:t>
      </w:r>
      <w:r>
        <w:t>kg</w:t>
      </w:r>
      <w:r w:rsidRPr="00A72251">
        <w:rPr>
          <w:lang w:val="el-GR"/>
        </w:rPr>
        <w:t xml:space="preserve"> και [3-18 [ετών και ≥ 40 </w:t>
      </w:r>
      <w:r>
        <w:t>kg</w:t>
      </w:r>
      <w:r w:rsidRPr="00A72251">
        <w:rPr>
          <w:lang w:val="el-GR"/>
        </w:rPr>
        <w:t>, αντίστοιχα.</w:t>
      </w:r>
    </w:p>
    <w:p w:rsidR="00C4277C" w:rsidRPr="00A72251" w:rsidRDefault="00C4277C" w:rsidP="00FA3DF9">
      <w:pPr>
        <w:spacing w:line="240" w:lineRule="auto"/>
        <w:jc w:val="both"/>
        <w:rPr>
          <w:lang w:val="el-GR"/>
        </w:rPr>
      </w:pPr>
      <w:r w:rsidRPr="00A72251">
        <w:rPr>
          <w:lang w:val="el-GR"/>
        </w:rPr>
        <w:t xml:space="preserve">Η μέση τιμή του ΚΕΑΚ αυξήθηκε από 31,8% έως 45,3% στο μήνα 12 στην ομάδα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A72251">
        <w:rPr>
          <w:lang w:val="el-GR"/>
        </w:rPr>
        <w:t>, έναντι</w:t>
      </w:r>
      <w:r w:rsidR="00A72251">
        <w:rPr>
          <w:lang w:val="el-GR"/>
        </w:rPr>
        <w:t xml:space="preserve"> </w:t>
      </w:r>
      <w:r w:rsidRPr="00A72251">
        <w:rPr>
          <w:lang w:val="el-GR"/>
        </w:rPr>
        <w:t>35,4% έως 42,3% στην ομάδα εικονικού φαρμάκου. Υπήρξε μια βελτίωση στην κατάταξη κατά</w:t>
      </w:r>
      <w:r w:rsidR="00A72251">
        <w:rPr>
          <w:lang w:val="el-GR"/>
        </w:rPr>
        <w:t xml:space="preserve"> </w:t>
      </w:r>
      <w:r>
        <w:t>NYHA</w:t>
      </w:r>
      <w:r w:rsidRPr="00A72251">
        <w:rPr>
          <w:lang w:val="el-GR"/>
        </w:rPr>
        <w:t xml:space="preserve"> στο 37,7% των ασθενών με </w:t>
      </w:r>
      <w:r w:rsidR="009312EB" w:rsidRPr="009312EB">
        <w:rPr>
          <w:lang w:val="el-GR"/>
        </w:rPr>
        <w:t>ιβαμπραδίνη</w:t>
      </w:r>
      <w:r w:rsidRPr="00A72251">
        <w:rPr>
          <w:lang w:val="el-GR"/>
        </w:rPr>
        <w:t xml:space="preserve"> έναντι 25,0% στην ομάδα με το εικονικό φάρμακο. Οι</w:t>
      </w:r>
      <w:r w:rsidR="00A72251" w:rsidRPr="00A72251">
        <w:rPr>
          <w:lang w:val="el-GR"/>
        </w:rPr>
        <w:t xml:space="preserve"> </w:t>
      </w:r>
      <w:r w:rsidRPr="00A72251">
        <w:rPr>
          <w:lang w:val="el-GR"/>
        </w:rPr>
        <w:t>βελτιώσεις αυτές δεν ήταν στατιστικά σημαντικές.</w:t>
      </w:r>
    </w:p>
    <w:p w:rsidR="00C4277C" w:rsidRPr="00A72251" w:rsidRDefault="00C4277C" w:rsidP="00FA3DF9">
      <w:pPr>
        <w:spacing w:line="240" w:lineRule="auto"/>
        <w:jc w:val="both"/>
        <w:rPr>
          <w:lang w:val="el-GR"/>
        </w:rPr>
      </w:pPr>
      <w:r w:rsidRPr="00A72251">
        <w:rPr>
          <w:lang w:val="el-GR"/>
        </w:rPr>
        <w:t>Το προφίλ ασφάλειας στη διάρκεια ενός έτους, ήταν παρόμοιο με αυτό που περιγράφεται για</w:t>
      </w:r>
      <w:r w:rsidR="00A72251" w:rsidRPr="00A72251">
        <w:rPr>
          <w:lang w:val="el-GR"/>
        </w:rPr>
        <w:t xml:space="preserve"> </w:t>
      </w:r>
      <w:r w:rsidRPr="00A72251">
        <w:rPr>
          <w:lang w:val="el-GR"/>
        </w:rPr>
        <w:t>ενήλικες ασθενείς με ΧΚΑ.</w:t>
      </w:r>
    </w:p>
    <w:p w:rsidR="00C4277C" w:rsidRPr="00A72251" w:rsidRDefault="00C4277C" w:rsidP="00FA3DF9">
      <w:pPr>
        <w:spacing w:line="240" w:lineRule="auto"/>
        <w:jc w:val="both"/>
        <w:rPr>
          <w:lang w:val="el-GR"/>
        </w:rPr>
      </w:pPr>
      <w:r w:rsidRPr="00A72251">
        <w:rPr>
          <w:lang w:val="el-GR"/>
        </w:rPr>
        <w:t xml:space="preserve">Οι μακροπρόθεσμες επιδράσεις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A72251">
        <w:rPr>
          <w:lang w:val="el-GR"/>
        </w:rPr>
        <w:t xml:space="preserve"> στην ανάπτυξη, εφηβεία και γενικά στην εξέλιξη</w:t>
      </w:r>
      <w:r w:rsidR="00A72251" w:rsidRPr="00A72251">
        <w:rPr>
          <w:lang w:val="el-GR"/>
        </w:rPr>
        <w:t xml:space="preserve"> </w:t>
      </w:r>
      <w:r w:rsidRPr="00A72251">
        <w:rPr>
          <w:lang w:val="el-GR"/>
        </w:rPr>
        <w:t xml:space="preserve">καθώς και η μακροπρόθεσμη επίδραση της θεραπείας με </w:t>
      </w:r>
      <w:r w:rsidR="009312EB" w:rsidRPr="009312EB">
        <w:rPr>
          <w:lang w:val="el-GR"/>
        </w:rPr>
        <w:t>ιβαμπραδίνη</w:t>
      </w:r>
      <w:r w:rsidRPr="00A72251">
        <w:rPr>
          <w:lang w:val="el-GR"/>
        </w:rPr>
        <w:t xml:space="preserve"> στην παιδική ηλικία για τη</w:t>
      </w:r>
      <w:r w:rsidR="00A72251" w:rsidRPr="00A72251">
        <w:rPr>
          <w:lang w:val="el-GR"/>
        </w:rPr>
        <w:t xml:space="preserve"> </w:t>
      </w:r>
      <w:r w:rsidRPr="00A72251">
        <w:rPr>
          <w:lang w:val="el-GR"/>
        </w:rPr>
        <w:t>μείωση της καρδιαγγειακής νοσηρότητας και θνησιμότητας δεν έχουν μελετηθεί.</w:t>
      </w:r>
    </w:p>
    <w:p w:rsidR="00C4277C" w:rsidRPr="00A72251" w:rsidRDefault="00C4277C" w:rsidP="00FA3DF9">
      <w:pPr>
        <w:spacing w:line="240" w:lineRule="auto"/>
        <w:jc w:val="both"/>
        <w:rPr>
          <w:lang w:val="el-GR"/>
        </w:rPr>
      </w:pPr>
      <w:r w:rsidRPr="00A72251">
        <w:rPr>
          <w:lang w:val="el-GR"/>
        </w:rPr>
        <w:t>Ο Ευρωπαϊκός Οργανισμός Φαρμάκων έχει δώσει απαλλαγή από την υποχρέωση υποβολής των</w:t>
      </w:r>
      <w:r w:rsidR="00A72251" w:rsidRPr="00A72251">
        <w:rPr>
          <w:lang w:val="el-GR"/>
        </w:rPr>
        <w:t xml:space="preserve"> </w:t>
      </w:r>
      <w:r w:rsidRPr="00A72251">
        <w:rPr>
          <w:lang w:val="el-GR"/>
        </w:rPr>
        <w:t xml:space="preserve">αποτελεσμάτων των μελετών με το </w:t>
      </w:r>
      <w:r w:rsidR="00951922">
        <w:t>Bravigo</w:t>
      </w:r>
      <w:r w:rsidRPr="00A72251">
        <w:rPr>
          <w:lang w:val="el-GR"/>
        </w:rPr>
        <w:t xml:space="preserve"> σε όλες τις υποκατηγορίες του παιδιατρικού</w:t>
      </w:r>
      <w:r w:rsidR="00A72251" w:rsidRPr="00A72251">
        <w:rPr>
          <w:lang w:val="el-GR"/>
        </w:rPr>
        <w:t xml:space="preserve"> </w:t>
      </w:r>
      <w:r w:rsidRPr="00A72251">
        <w:rPr>
          <w:lang w:val="el-GR"/>
        </w:rPr>
        <w:t>πληθυσμού για τη θεραπεία της στηθάγχης και της στεφανιαίας νόσου.</w:t>
      </w:r>
    </w:p>
    <w:p w:rsidR="00C4277C" w:rsidRPr="00A72251" w:rsidRDefault="00C4277C" w:rsidP="00FA3DF9">
      <w:pPr>
        <w:spacing w:line="240" w:lineRule="auto"/>
        <w:jc w:val="both"/>
        <w:rPr>
          <w:lang w:val="el-GR"/>
        </w:rPr>
      </w:pPr>
      <w:r w:rsidRPr="00A72251">
        <w:rPr>
          <w:lang w:val="el-GR"/>
        </w:rPr>
        <w:t>Ο Ευρωπαϊκός Οργανισμός Φαρμάκων έχει δώσει απαλλαγή από την υποχρέωση υποβολής των</w:t>
      </w:r>
      <w:r w:rsidR="00A72251" w:rsidRPr="00A72251">
        <w:rPr>
          <w:lang w:val="el-GR"/>
        </w:rPr>
        <w:t xml:space="preserve"> </w:t>
      </w:r>
      <w:r w:rsidRPr="00A72251">
        <w:rPr>
          <w:lang w:val="el-GR"/>
        </w:rPr>
        <w:t xml:space="preserve">αποτελεσμάτων των μελετών με το </w:t>
      </w:r>
      <w:r w:rsidR="00951922">
        <w:t>Bravigo</w:t>
      </w:r>
      <w:r w:rsidRPr="00A72251">
        <w:rPr>
          <w:lang w:val="el-GR"/>
        </w:rPr>
        <w:t xml:space="preserve"> σε παιδιά ηλικίας από 0 έως κάτω από 6 μηνών για τη</w:t>
      </w:r>
      <w:r w:rsidR="00A72251" w:rsidRPr="00A72251">
        <w:rPr>
          <w:lang w:val="el-GR"/>
        </w:rPr>
        <w:t xml:space="preserve"> </w:t>
      </w:r>
      <w:r w:rsidRPr="00A72251">
        <w:rPr>
          <w:lang w:val="el-GR"/>
        </w:rPr>
        <w:t>θεραπεία της χρόνιας καρδιακής ανεπάρκειας.</w:t>
      </w:r>
    </w:p>
    <w:p w:rsidR="00C4277C" w:rsidRPr="006B1892" w:rsidRDefault="00C4277C" w:rsidP="006B1892">
      <w:pPr>
        <w:pStyle w:val="a3"/>
        <w:numPr>
          <w:ilvl w:val="1"/>
          <w:numId w:val="2"/>
        </w:numPr>
        <w:spacing w:line="240" w:lineRule="auto"/>
        <w:ind w:left="357" w:hanging="357"/>
        <w:contextualSpacing w:val="0"/>
        <w:jc w:val="both"/>
        <w:rPr>
          <w:b/>
          <w:lang w:val="el-GR"/>
        </w:rPr>
      </w:pPr>
      <w:r w:rsidRPr="006B1892">
        <w:rPr>
          <w:b/>
          <w:lang w:val="el-GR"/>
        </w:rPr>
        <w:t>Φαρμακοκινητικές ιδιότητες</w:t>
      </w:r>
    </w:p>
    <w:p w:rsidR="00C4277C" w:rsidRPr="000619A7" w:rsidRDefault="00C4277C" w:rsidP="00FA3DF9">
      <w:pPr>
        <w:spacing w:line="240" w:lineRule="auto"/>
        <w:jc w:val="both"/>
        <w:rPr>
          <w:lang w:val="el-GR"/>
        </w:rPr>
      </w:pPr>
      <w:r w:rsidRPr="000619A7">
        <w:rPr>
          <w:lang w:val="el-GR"/>
        </w:rPr>
        <w:t xml:space="preserve">Κάτω από φυσιολογικές συνθήκες, η </w:t>
      </w:r>
      <w:r w:rsidR="009312EB" w:rsidRPr="009312EB">
        <w:rPr>
          <w:lang w:val="el-GR"/>
        </w:rPr>
        <w:t>ιβαμπραδίνη</w:t>
      </w:r>
      <w:r w:rsidRPr="000619A7">
        <w:rPr>
          <w:lang w:val="el-GR"/>
        </w:rPr>
        <w:t xml:space="preserve"> αποδεσμεύεται ταχέως από τα δισκία και είναι</w:t>
      </w:r>
      <w:r w:rsidR="00A72251" w:rsidRPr="000619A7">
        <w:rPr>
          <w:lang w:val="el-GR"/>
        </w:rPr>
        <w:t xml:space="preserve"> </w:t>
      </w:r>
      <w:r w:rsidRPr="000619A7">
        <w:rPr>
          <w:lang w:val="el-GR"/>
        </w:rPr>
        <w:t xml:space="preserve">ιδιαίτερα υδατοδιαλυτή (&gt;10 </w:t>
      </w:r>
      <w:r>
        <w:t>mg</w:t>
      </w:r>
      <w:r w:rsidRPr="000619A7">
        <w:rPr>
          <w:lang w:val="el-GR"/>
        </w:rPr>
        <w:t>/</w:t>
      </w:r>
      <w:r>
        <w:t>ml</w:t>
      </w:r>
      <w:r w:rsidRPr="000619A7">
        <w:rPr>
          <w:lang w:val="el-GR"/>
        </w:rPr>
        <w:t xml:space="preserve">). Η </w:t>
      </w:r>
      <w:r w:rsidR="009312EB" w:rsidRPr="009312EB">
        <w:rPr>
          <w:lang w:val="el-GR"/>
        </w:rPr>
        <w:t>ιβαμπραδίνη</w:t>
      </w:r>
      <w:r w:rsidRPr="000619A7">
        <w:rPr>
          <w:lang w:val="el-GR"/>
        </w:rPr>
        <w:t xml:space="preserve"> είναι </w:t>
      </w:r>
      <w:r>
        <w:t>S</w:t>
      </w:r>
      <w:r w:rsidRPr="000619A7">
        <w:rPr>
          <w:lang w:val="el-GR"/>
        </w:rPr>
        <w:t>-εναντιομερές χωρίς να έχει αποδειχθεί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 xml:space="preserve">βιομετατροπή </w:t>
      </w:r>
      <w:r>
        <w:t>in</w:t>
      </w:r>
      <w:r w:rsidRPr="000619A7">
        <w:rPr>
          <w:lang w:val="el-GR"/>
        </w:rPr>
        <w:t xml:space="preserve"> </w:t>
      </w:r>
      <w:r>
        <w:t>vivo</w:t>
      </w:r>
      <w:r w:rsidRPr="000619A7">
        <w:rPr>
          <w:lang w:val="el-GR"/>
        </w:rPr>
        <w:t xml:space="preserve">. Το </w:t>
      </w:r>
      <w:r>
        <w:t>N</w:t>
      </w:r>
      <w:r w:rsidRPr="000619A7">
        <w:rPr>
          <w:lang w:val="el-GR"/>
        </w:rPr>
        <w:t xml:space="preserve">-απομεθυλιωμένο παράγωγο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0619A7">
        <w:rPr>
          <w:lang w:val="el-GR"/>
        </w:rPr>
        <w:t xml:space="preserve"> έχει ταυτοποιηθεί ως ο κύριος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>ενεργός μεταβολίτης σε ανθρώπους.</w:t>
      </w:r>
    </w:p>
    <w:p w:rsidR="00C4277C" w:rsidRPr="005707DA" w:rsidRDefault="00C4277C" w:rsidP="000619A7">
      <w:pPr>
        <w:spacing w:after="0" w:line="240" w:lineRule="auto"/>
        <w:jc w:val="both"/>
        <w:rPr>
          <w:lang w:val="el-GR"/>
        </w:rPr>
      </w:pPr>
      <w:r w:rsidRPr="005707DA">
        <w:rPr>
          <w:lang w:val="el-GR"/>
        </w:rPr>
        <w:t>Απορρόφηση και βιοδιαθεσιμότητα</w:t>
      </w:r>
    </w:p>
    <w:p w:rsidR="00C4277C" w:rsidRPr="000619A7" w:rsidRDefault="00C4277C" w:rsidP="00FA3DF9">
      <w:pPr>
        <w:spacing w:line="240" w:lineRule="auto"/>
        <w:jc w:val="both"/>
        <w:rPr>
          <w:lang w:val="el-GR"/>
        </w:rPr>
      </w:pPr>
      <w:r w:rsidRPr="000619A7">
        <w:rPr>
          <w:lang w:val="el-GR"/>
        </w:rPr>
        <w:t xml:space="preserve">Η </w:t>
      </w:r>
      <w:r w:rsidR="009312EB" w:rsidRPr="009312EB">
        <w:rPr>
          <w:lang w:val="el-GR"/>
        </w:rPr>
        <w:t>ιβαμπραδίνη</w:t>
      </w:r>
      <w:r w:rsidRPr="000619A7">
        <w:rPr>
          <w:lang w:val="el-GR"/>
        </w:rPr>
        <w:t xml:space="preserve"> απορροφάται ταχέως και σχεδόν εξ ολοκλήρου μετά την από του στόματος χορήγηση,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>με τα ανώτερα επίπεδα στο πλάσμα να επιτυγχάνονται μέσα σε 1 ώρα, κάτω από συνθήκες νηστείας.</w:t>
      </w:r>
    </w:p>
    <w:p w:rsidR="00C4277C" w:rsidRPr="000619A7" w:rsidRDefault="00C4277C" w:rsidP="00FA3DF9">
      <w:pPr>
        <w:spacing w:line="240" w:lineRule="auto"/>
        <w:jc w:val="both"/>
        <w:rPr>
          <w:lang w:val="el-GR"/>
        </w:rPr>
      </w:pPr>
      <w:r w:rsidRPr="000619A7">
        <w:rPr>
          <w:lang w:val="el-GR"/>
        </w:rPr>
        <w:t>Η απόλυτη βιοδιαθεσιμότητα των επικαλυμμένων με λεπτό υμένιο δισκίων είναι περίπου 40%, λόγω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>του φαινομένου πρώτης διόδου στα έντερα και το ήπαρ.</w:t>
      </w:r>
    </w:p>
    <w:p w:rsidR="00C4277C" w:rsidRPr="000619A7" w:rsidRDefault="00C4277C" w:rsidP="00FA3DF9">
      <w:pPr>
        <w:spacing w:line="240" w:lineRule="auto"/>
        <w:jc w:val="both"/>
        <w:rPr>
          <w:lang w:val="el-GR"/>
        </w:rPr>
      </w:pPr>
      <w:r w:rsidRPr="000619A7">
        <w:rPr>
          <w:lang w:val="el-GR"/>
        </w:rPr>
        <w:t>Η τροφή καθυστερεί την απορρόφηση κατά 1 ώρα περίπου και αυξάνει την έκθεση στο πλάσμα κατά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>20 έως 30%. Συνιστάται η λήψη του δισκίου κατά τη διάρκεια των γευμάτων για να μειώνεται η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>ατομική διακύμανση ως προς την έκθεση (βλ. παράγραφο 4.2).</w:t>
      </w:r>
    </w:p>
    <w:p w:rsidR="00C4277C" w:rsidRPr="005707DA" w:rsidRDefault="00C4277C" w:rsidP="000619A7">
      <w:pPr>
        <w:spacing w:after="0" w:line="240" w:lineRule="auto"/>
        <w:jc w:val="both"/>
        <w:rPr>
          <w:lang w:val="el-GR"/>
        </w:rPr>
      </w:pPr>
      <w:r w:rsidRPr="005707DA">
        <w:rPr>
          <w:lang w:val="el-GR"/>
        </w:rPr>
        <w:t>Κατανομή</w:t>
      </w:r>
    </w:p>
    <w:p w:rsidR="00C4277C" w:rsidRPr="000619A7" w:rsidRDefault="00C4277C" w:rsidP="00FA3DF9">
      <w:pPr>
        <w:spacing w:line="240" w:lineRule="auto"/>
        <w:jc w:val="both"/>
        <w:rPr>
          <w:lang w:val="el-GR"/>
        </w:rPr>
      </w:pPr>
      <w:r w:rsidRPr="000619A7">
        <w:rPr>
          <w:lang w:val="el-GR"/>
        </w:rPr>
        <w:t xml:space="preserve">Η </w:t>
      </w:r>
      <w:r w:rsidR="009312EB" w:rsidRPr="009312EB">
        <w:rPr>
          <w:lang w:val="el-GR"/>
        </w:rPr>
        <w:t>ιβαμπραδίνη</w:t>
      </w:r>
      <w:r w:rsidRPr="000619A7">
        <w:rPr>
          <w:lang w:val="el-GR"/>
        </w:rPr>
        <w:t xml:space="preserve"> συνδέεται κατά 70% περίπου με τις πρωτεΐνες του πλάσματος και ο όγκος κατανομής σε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 xml:space="preserve">σταθερή κατάσταση είναι σχεδόν 100 </w:t>
      </w:r>
      <w:r>
        <w:t>l</w:t>
      </w:r>
      <w:r w:rsidRPr="000619A7">
        <w:rPr>
          <w:lang w:val="el-GR"/>
        </w:rPr>
        <w:t xml:space="preserve"> σε ασθενείς. Η μέγιστη συγκέντρωση στο </w:t>
      </w:r>
      <w:r w:rsidRPr="000619A7">
        <w:rPr>
          <w:lang w:val="el-GR"/>
        </w:rPr>
        <w:lastRenderedPageBreak/>
        <w:t>πλάσμα μετά από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 xml:space="preserve">χρόνια χορήγηση της συνιστώμενης δόσης των 5 </w:t>
      </w:r>
      <w:r>
        <w:t>mg</w:t>
      </w:r>
      <w:r w:rsidRPr="000619A7">
        <w:rPr>
          <w:lang w:val="el-GR"/>
        </w:rPr>
        <w:t xml:space="preserve"> δύο φορές την ημέρα είναι 22 </w:t>
      </w:r>
      <w:r>
        <w:t>ng</w:t>
      </w:r>
      <w:r w:rsidRPr="000619A7">
        <w:rPr>
          <w:lang w:val="el-GR"/>
        </w:rPr>
        <w:t>/</w:t>
      </w:r>
      <w:r>
        <w:t>ml</w:t>
      </w:r>
      <w:r w:rsidRPr="000619A7">
        <w:rPr>
          <w:lang w:val="el-GR"/>
        </w:rPr>
        <w:t xml:space="preserve"> (</w:t>
      </w:r>
      <w:r>
        <w:t>CV</w:t>
      </w:r>
      <w:r w:rsidRPr="000619A7">
        <w:rPr>
          <w:lang w:val="el-GR"/>
        </w:rPr>
        <w:t>=29%).</w:t>
      </w:r>
    </w:p>
    <w:p w:rsidR="00C4277C" w:rsidRPr="005707DA" w:rsidRDefault="00C4277C" w:rsidP="00FA3DF9">
      <w:pPr>
        <w:spacing w:line="240" w:lineRule="auto"/>
        <w:jc w:val="both"/>
        <w:rPr>
          <w:lang w:val="el-GR"/>
        </w:rPr>
      </w:pPr>
      <w:r w:rsidRPr="005707DA">
        <w:rPr>
          <w:lang w:val="el-GR"/>
        </w:rPr>
        <w:t xml:space="preserve">Η μέση συγκέντρωση στο πλάσμα είναι 10 </w:t>
      </w:r>
      <w:r>
        <w:t>ng</w:t>
      </w:r>
      <w:r w:rsidRPr="005707DA">
        <w:rPr>
          <w:lang w:val="el-GR"/>
        </w:rPr>
        <w:t>/</w:t>
      </w:r>
      <w:r>
        <w:t>ml</w:t>
      </w:r>
      <w:r w:rsidRPr="005707DA">
        <w:rPr>
          <w:lang w:val="el-GR"/>
        </w:rPr>
        <w:t xml:space="preserve"> (</w:t>
      </w:r>
      <w:r>
        <w:t>CV</w:t>
      </w:r>
      <w:r w:rsidRPr="005707DA">
        <w:rPr>
          <w:lang w:val="el-GR"/>
        </w:rPr>
        <w:t>=38%) σε σταθερή κατάσταση.</w:t>
      </w:r>
    </w:p>
    <w:p w:rsidR="00C4277C" w:rsidRPr="005707DA" w:rsidRDefault="00C4277C" w:rsidP="000619A7">
      <w:pPr>
        <w:spacing w:after="0" w:line="240" w:lineRule="auto"/>
        <w:jc w:val="both"/>
        <w:rPr>
          <w:lang w:val="el-GR"/>
        </w:rPr>
      </w:pPr>
      <w:r w:rsidRPr="005707DA">
        <w:rPr>
          <w:lang w:val="el-GR"/>
        </w:rPr>
        <w:t>Βιομετατροπή</w:t>
      </w:r>
    </w:p>
    <w:p w:rsidR="00C4277C" w:rsidRPr="000619A7" w:rsidRDefault="00C4277C" w:rsidP="00FA3DF9">
      <w:pPr>
        <w:spacing w:line="240" w:lineRule="auto"/>
        <w:jc w:val="both"/>
        <w:rPr>
          <w:lang w:val="el-GR"/>
        </w:rPr>
      </w:pPr>
      <w:r w:rsidRPr="000619A7">
        <w:rPr>
          <w:lang w:val="el-GR"/>
        </w:rPr>
        <w:t xml:space="preserve">Η </w:t>
      </w:r>
      <w:r w:rsidR="009312EB" w:rsidRPr="009312EB">
        <w:rPr>
          <w:lang w:val="el-GR"/>
        </w:rPr>
        <w:t>ιβαμπραδίνη</w:t>
      </w:r>
      <w:r w:rsidRPr="000619A7">
        <w:rPr>
          <w:lang w:val="el-GR"/>
        </w:rPr>
        <w:t xml:space="preserve"> μεταβολίζεται σε μεγάλο βαθμό στο ήπαρ και το έντερο με οξείδωση μέσω του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>κυτοχρώματος Ρ450 3Α4 (</w:t>
      </w:r>
      <w:r>
        <w:t>CYP</w:t>
      </w:r>
      <w:r w:rsidRPr="000619A7">
        <w:rPr>
          <w:lang w:val="el-GR"/>
        </w:rPr>
        <w:t>3</w:t>
      </w:r>
      <w:r>
        <w:t>A</w:t>
      </w:r>
      <w:r w:rsidRPr="000619A7">
        <w:rPr>
          <w:lang w:val="el-GR"/>
        </w:rPr>
        <w:t>4) μόνο. Ο κύριος δραστικός μεταβολίτης είναι το Ν-απομεθυλιωμένο παράγωγο (</w:t>
      </w:r>
      <w:r>
        <w:t>S</w:t>
      </w:r>
      <w:r w:rsidRPr="000619A7">
        <w:rPr>
          <w:lang w:val="el-GR"/>
        </w:rPr>
        <w:t xml:space="preserve"> 18982) με έκθεση περίπου 40% της αντίστοιχης του μητρικού μορίου.</w:t>
      </w:r>
    </w:p>
    <w:p w:rsidR="00C4277C" w:rsidRPr="005707DA" w:rsidRDefault="00C4277C" w:rsidP="00FA3DF9">
      <w:pPr>
        <w:spacing w:line="240" w:lineRule="auto"/>
        <w:jc w:val="both"/>
        <w:rPr>
          <w:lang w:val="el-GR"/>
        </w:rPr>
      </w:pPr>
      <w:r w:rsidRPr="000619A7">
        <w:rPr>
          <w:lang w:val="el-GR"/>
        </w:rPr>
        <w:t xml:space="preserve">Ο μεταβολισμός αυτού του δραστικού μεταβολίτη εμπλέκει επίσης το </w:t>
      </w:r>
      <w:r>
        <w:t>CYP</w:t>
      </w:r>
      <w:r w:rsidRPr="000619A7">
        <w:rPr>
          <w:lang w:val="el-GR"/>
        </w:rPr>
        <w:t>3</w:t>
      </w:r>
      <w:r>
        <w:t>A</w:t>
      </w:r>
      <w:r w:rsidRPr="000619A7">
        <w:rPr>
          <w:lang w:val="el-GR"/>
        </w:rPr>
        <w:t xml:space="preserve">4. </w:t>
      </w:r>
      <w:r w:rsidRPr="005707DA">
        <w:rPr>
          <w:lang w:val="el-GR"/>
        </w:rPr>
        <w:t xml:space="preserve">Η </w:t>
      </w:r>
      <w:r w:rsidR="009312EB" w:rsidRPr="005707DA">
        <w:rPr>
          <w:lang w:val="el-GR"/>
        </w:rPr>
        <w:t>ιβαμπραδίνη</w:t>
      </w:r>
    </w:p>
    <w:p w:rsidR="00C4277C" w:rsidRPr="000619A7" w:rsidRDefault="00C4277C" w:rsidP="00FA3DF9">
      <w:pPr>
        <w:spacing w:line="240" w:lineRule="auto"/>
        <w:jc w:val="both"/>
        <w:rPr>
          <w:lang w:val="el-GR"/>
        </w:rPr>
      </w:pPr>
      <w:r w:rsidRPr="000619A7">
        <w:rPr>
          <w:lang w:val="el-GR"/>
        </w:rPr>
        <w:t xml:space="preserve">παρουσιάζει χαμηλή συγγένεια με το </w:t>
      </w:r>
      <w:r>
        <w:t>CYP</w:t>
      </w:r>
      <w:r w:rsidRPr="000619A7">
        <w:rPr>
          <w:lang w:val="el-GR"/>
        </w:rPr>
        <w:t>3</w:t>
      </w:r>
      <w:r>
        <w:t>A</w:t>
      </w:r>
      <w:r w:rsidRPr="000619A7">
        <w:rPr>
          <w:lang w:val="el-GR"/>
        </w:rPr>
        <w:t>4, δεν δείχνει σημεία κλινικά σημαντικής επαγωγής ή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 xml:space="preserve">αναστολής του </w:t>
      </w:r>
      <w:r>
        <w:t>CYP</w:t>
      </w:r>
      <w:r w:rsidRPr="000619A7">
        <w:rPr>
          <w:lang w:val="el-GR"/>
        </w:rPr>
        <w:t>3</w:t>
      </w:r>
      <w:r>
        <w:t>A</w:t>
      </w:r>
      <w:r w:rsidRPr="000619A7">
        <w:rPr>
          <w:lang w:val="el-GR"/>
        </w:rPr>
        <w:t>4, συνεπώς θεωρείται απίθανο να μεταβάλλει το μεταβολισμό ή τις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 xml:space="preserve">συγκεντρώσεις στο πλάσμα των υποστρωμάτων του </w:t>
      </w:r>
      <w:r>
        <w:t>CYP</w:t>
      </w:r>
      <w:r w:rsidRPr="000619A7">
        <w:rPr>
          <w:lang w:val="el-GR"/>
        </w:rPr>
        <w:t>3</w:t>
      </w:r>
      <w:r>
        <w:t>A</w:t>
      </w:r>
      <w:r w:rsidRPr="000619A7">
        <w:rPr>
          <w:lang w:val="el-GR"/>
        </w:rPr>
        <w:t>4. Αντίθετα, ισχυροί αναστολείς ή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 xml:space="preserve">επαγωγείς μπορεί να επηρεάζουν σημαντικά τις συγκεντρώσεις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0619A7">
        <w:rPr>
          <w:lang w:val="el-GR"/>
        </w:rPr>
        <w:t xml:space="preserve"> στο πλάσμα (βλ.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>παράγραφο 4.5).</w:t>
      </w:r>
    </w:p>
    <w:p w:rsidR="00C4277C" w:rsidRPr="005707DA" w:rsidRDefault="00C4277C" w:rsidP="000619A7">
      <w:pPr>
        <w:spacing w:after="0" w:line="240" w:lineRule="auto"/>
        <w:jc w:val="both"/>
        <w:rPr>
          <w:lang w:val="el-GR"/>
        </w:rPr>
      </w:pPr>
      <w:r w:rsidRPr="005707DA">
        <w:rPr>
          <w:lang w:val="el-GR"/>
        </w:rPr>
        <w:t>Απομάκρυνση</w:t>
      </w:r>
    </w:p>
    <w:p w:rsidR="00C4277C" w:rsidRPr="000619A7" w:rsidRDefault="00C4277C" w:rsidP="00FA3DF9">
      <w:pPr>
        <w:spacing w:line="240" w:lineRule="auto"/>
        <w:jc w:val="both"/>
        <w:rPr>
          <w:lang w:val="el-GR"/>
        </w:rPr>
      </w:pPr>
      <w:r w:rsidRPr="000619A7">
        <w:rPr>
          <w:lang w:val="el-GR"/>
        </w:rPr>
        <w:t xml:space="preserve">Η </w:t>
      </w:r>
      <w:r w:rsidR="009312EB" w:rsidRPr="009312EB">
        <w:rPr>
          <w:lang w:val="el-GR"/>
        </w:rPr>
        <w:t>ιβαμπραδίνη</w:t>
      </w:r>
      <w:r w:rsidRPr="000619A7">
        <w:rPr>
          <w:lang w:val="el-GR"/>
        </w:rPr>
        <w:t xml:space="preserve"> απομακρύνεται με κύρια ημιπερίοδο ζωής 2 ωρών (70-75% της </w:t>
      </w:r>
      <w:r>
        <w:t>AUC</w:t>
      </w:r>
      <w:r w:rsidRPr="000619A7">
        <w:rPr>
          <w:lang w:val="el-GR"/>
        </w:rPr>
        <w:t>) στο πλάσμα και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 xml:space="preserve">αποτελεσματική ημιπερίοδο ζωής 11 ωρών. Η συνολική κάθαρση είναι περίπου 400 </w:t>
      </w:r>
      <w:r>
        <w:t>ml</w:t>
      </w:r>
      <w:r w:rsidRPr="000619A7">
        <w:rPr>
          <w:lang w:val="el-GR"/>
        </w:rPr>
        <w:t>/</w:t>
      </w:r>
      <w:r>
        <w:t>min</w:t>
      </w:r>
      <w:r w:rsidRPr="000619A7">
        <w:rPr>
          <w:lang w:val="el-GR"/>
        </w:rPr>
        <w:t xml:space="preserve"> και η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 xml:space="preserve">νεφρική κάθαρση είναι περίπου 70 </w:t>
      </w:r>
      <w:r>
        <w:t>ml</w:t>
      </w:r>
      <w:r w:rsidRPr="000619A7">
        <w:rPr>
          <w:lang w:val="el-GR"/>
        </w:rPr>
        <w:t>/</w:t>
      </w:r>
      <w:r>
        <w:t>min</w:t>
      </w:r>
      <w:r w:rsidRPr="000619A7">
        <w:rPr>
          <w:lang w:val="el-GR"/>
        </w:rPr>
        <w:t>. Η απέκκριση των μεταβολιτών γίνεται από τα κόπρανα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>και τα ούρα σε παρόμοια έκταση. Περίπου το 4% της από του στόματος δόσης απεκκρίνεται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>αμετάβλητο στα ούρα.</w:t>
      </w:r>
    </w:p>
    <w:p w:rsidR="00C4277C" w:rsidRPr="005707DA" w:rsidRDefault="00C4277C" w:rsidP="000619A7">
      <w:pPr>
        <w:spacing w:after="0" w:line="240" w:lineRule="auto"/>
        <w:jc w:val="both"/>
        <w:rPr>
          <w:lang w:val="el-GR"/>
        </w:rPr>
      </w:pPr>
      <w:r w:rsidRPr="005707DA">
        <w:rPr>
          <w:lang w:val="el-GR"/>
        </w:rPr>
        <w:t>Γραμμικότητα/μη γραμμικότητα</w:t>
      </w:r>
    </w:p>
    <w:p w:rsidR="00C4277C" w:rsidRPr="000619A7" w:rsidRDefault="00C4277C" w:rsidP="00FA3DF9">
      <w:pPr>
        <w:spacing w:line="240" w:lineRule="auto"/>
        <w:jc w:val="both"/>
        <w:rPr>
          <w:lang w:val="el-GR"/>
        </w:rPr>
      </w:pPr>
      <w:r w:rsidRPr="000619A7">
        <w:rPr>
          <w:lang w:val="el-GR"/>
        </w:rPr>
        <w:t xml:space="preserve">Η κινητική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0619A7">
        <w:rPr>
          <w:lang w:val="el-GR"/>
        </w:rPr>
        <w:t xml:space="preserve"> είναι γραμμική για ένα εύρος δόσης από του στόματος μεταξύ 0,5 και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 xml:space="preserve">24 </w:t>
      </w:r>
      <w:r>
        <w:t>mg</w:t>
      </w:r>
      <w:r w:rsidRPr="000619A7">
        <w:rPr>
          <w:lang w:val="el-GR"/>
        </w:rPr>
        <w:t>.</w:t>
      </w:r>
    </w:p>
    <w:p w:rsidR="00C4277C" w:rsidRPr="005707DA" w:rsidRDefault="00C4277C" w:rsidP="000619A7">
      <w:pPr>
        <w:spacing w:after="0" w:line="240" w:lineRule="auto"/>
        <w:jc w:val="both"/>
        <w:rPr>
          <w:lang w:val="el-GR"/>
        </w:rPr>
      </w:pPr>
      <w:r w:rsidRPr="005707DA">
        <w:rPr>
          <w:lang w:val="el-GR"/>
        </w:rPr>
        <w:t>Ειδικοί πληθυσμοί</w:t>
      </w:r>
    </w:p>
    <w:p w:rsidR="00C4277C" w:rsidRPr="000619A7" w:rsidRDefault="00C4277C" w:rsidP="00FA3DF9">
      <w:pPr>
        <w:spacing w:line="240" w:lineRule="auto"/>
        <w:jc w:val="both"/>
        <w:rPr>
          <w:lang w:val="el-GR"/>
        </w:rPr>
      </w:pPr>
      <w:r w:rsidRPr="000619A7">
        <w:rPr>
          <w:lang w:val="el-GR"/>
        </w:rPr>
        <w:t>− Ηλικιωμένοι: δεν έχουν παρατηρηθεί φαρμακοκινητικές διαφορές (</w:t>
      </w:r>
      <w:r>
        <w:t>AUC</w:t>
      </w:r>
      <w:r w:rsidRPr="000619A7">
        <w:rPr>
          <w:lang w:val="el-GR"/>
        </w:rPr>
        <w:t xml:space="preserve"> και </w:t>
      </w:r>
      <w:r>
        <w:t>Cmax</w:t>
      </w:r>
      <w:r w:rsidRPr="000619A7">
        <w:rPr>
          <w:lang w:val="el-GR"/>
        </w:rPr>
        <w:t>) μεταξύ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>ηλικιωμένων (&gt; 65 ετών) ή υπερηλίκων ασθενών (&gt; 75 ετών) και του συνολικού πληθυσμού (βλ.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>παράγραφο 4.2).</w:t>
      </w:r>
    </w:p>
    <w:p w:rsidR="00C4277C" w:rsidRPr="000619A7" w:rsidRDefault="00C4277C" w:rsidP="00FA3DF9">
      <w:pPr>
        <w:spacing w:line="240" w:lineRule="auto"/>
        <w:jc w:val="both"/>
        <w:rPr>
          <w:lang w:val="el-GR"/>
        </w:rPr>
      </w:pPr>
      <w:r w:rsidRPr="000619A7">
        <w:rPr>
          <w:lang w:val="el-GR"/>
        </w:rPr>
        <w:t>− Νεφρική διαταραχή: οι επιπτώσεις της νεφρικής διαταραχής (κάθαρση κρεατινίνης από 15 έως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 xml:space="preserve">60 </w:t>
      </w:r>
      <w:r>
        <w:t>ml</w:t>
      </w:r>
      <w:r w:rsidRPr="000619A7">
        <w:rPr>
          <w:lang w:val="el-GR"/>
        </w:rPr>
        <w:t>/</w:t>
      </w:r>
      <w:r>
        <w:t>min</w:t>
      </w:r>
      <w:r w:rsidRPr="000619A7">
        <w:rPr>
          <w:lang w:val="el-GR"/>
        </w:rPr>
        <w:t xml:space="preserve">) στη φαρμακοκινητική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0619A7">
        <w:rPr>
          <w:lang w:val="el-GR"/>
        </w:rPr>
        <w:t xml:space="preserve"> είναι ελάχιστες, σε σχέση με τη μικρή συμβολή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 xml:space="preserve">της νεφρικής κάθαρσης (περίπου 20%) στη συνολική απομάκρυνση τόσο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0619A7">
        <w:rPr>
          <w:lang w:val="el-GR"/>
        </w:rPr>
        <w:t xml:space="preserve"> όσο και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 xml:space="preserve">του κύριου μεταβολίτη της </w:t>
      </w:r>
      <w:r>
        <w:t>S</w:t>
      </w:r>
      <w:r w:rsidRPr="000619A7">
        <w:rPr>
          <w:lang w:val="el-GR"/>
        </w:rPr>
        <w:t>18982 (βλ. παράγραφο 4.2).</w:t>
      </w:r>
    </w:p>
    <w:p w:rsidR="00C4277C" w:rsidRPr="000619A7" w:rsidRDefault="00C4277C" w:rsidP="00FA3DF9">
      <w:pPr>
        <w:spacing w:line="240" w:lineRule="auto"/>
        <w:jc w:val="both"/>
        <w:rPr>
          <w:lang w:val="el-GR"/>
        </w:rPr>
      </w:pPr>
      <w:r w:rsidRPr="000619A7">
        <w:rPr>
          <w:lang w:val="el-GR"/>
        </w:rPr>
        <w:t xml:space="preserve">− Ηπατική ανεπάρκεια: σε ασθενείς με ήπια ηπατική ανεπάρκεια (βαθμολογία </w:t>
      </w:r>
      <w:r>
        <w:t>Child</w:t>
      </w:r>
      <w:r w:rsidRPr="000619A7">
        <w:rPr>
          <w:lang w:val="el-GR"/>
        </w:rPr>
        <w:t>-</w:t>
      </w:r>
      <w:r>
        <w:t>Pugh</w:t>
      </w:r>
      <w:r w:rsidRPr="000619A7">
        <w:rPr>
          <w:lang w:val="el-GR"/>
        </w:rPr>
        <w:t xml:space="preserve"> έως 7), η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 xml:space="preserve">αδέσμευτη </w:t>
      </w:r>
      <w:r>
        <w:t>AUC</w:t>
      </w:r>
      <w:r w:rsidRPr="000619A7">
        <w:rPr>
          <w:lang w:val="el-GR"/>
        </w:rPr>
        <w:t xml:space="preserve">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0619A7">
        <w:rPr>
          <w:lang w:val="el-GR"/>
        </w:rPr>
        <w:t xml:space="preserve"> και ο κύριος δραστικός μεταβολίτης ήταν περίπου 20%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>υψηλότερα από ότι σε άτομα με φυσιολογική ηπατική λειτουργία. Τα στοιχεία είναι ανεπαρκή για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>να εξαχθούν συμπεράσματα σε ασθενείς με μέτρια ηπατική ανεπάρκεια. Δεν υπάρχουν στοιχεία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>για ασθενείς με σοβαρή ηπατική ανεπάρκεια (βλ. παραγράφους 4.2 και 4.3).</w:t>
      </w:r>
    </w:p>
    <w:p w:rsidR="00C4277C" w:rsidRPr="000619A7" w:rsidRDefault="00C4277C" w:rsidP="00FA3DF9">
      <w:pPr>
        <w:spacing w:line="240" w:lineRule="auto"/>
        <w:jc w:val="both"/>
        <w:rPr>
          <w:lang w:val="el-GR"/>
        </w:rPr>
      </w:pPr>
      <w:r w:rsidRPr="000619A7">
        <w:rPr>
          <w:lang w:val="el-GR"/>
        </w:rPr>
        <w:t xml:space="preserve">− Παιδιατρικός πληθυσμός: το φαρμακοκινητικό προφίλ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0619A7">
        <w:rPr>
          <w:lang w:val="el-GR"/>
        </w:rPr>
        <w:t xml:space="preserve"> σε παιδιατρικούς ασθενείς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 xml:space="preserve">με χρόνια καρδιακή ανεπάρκεια ηλικίας από 6 μηνών έως κάτω από 18 ετών, είναι </w:t>
      </w:r>
      <w:r w:rsidRPr="000619A7">
        <w:rPr>
          <w:lang w:val="el-GR"/>
        </w:rPr>
        <w:lastRenderedPageBreak/>
        <w:t>παρόμοιο με τη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>φαρμακοκινητική που περιγράφεται για τους ενήλικες, όταν εφαρμόζεται σχήμα τιτλοποίησης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>βασισμένο στην ηλικία και στο βάρος.</w:t>
      </w:r>
    </w:p>
    <w:p w:rsidR="00C4277C" w:rsidRPr="005707DA" w:rsidRDefault="00C4277C" w:rsidP="000619A7">
      <w:pPr>
        <w:spacing w:after="0" w:line="240" w:lineRule="auto"/>
        <w:jc w:val="both"/>
        <w:rPr>
          <w:lang w:val="el-GR"/>
        </w:rPr>
      </w:pPr>
      <w:r w:rsidRPr="005707DA">
        <w:rPr>
          <w:lang w:val="el-GR"/>
        </w:rPr>
        <w:t>Σχέση φαρμακοκινητικής/φαρμακοδυναμικής (ΦΚ/ΦΔ)</w:t>
      </w:r>
    </w:p>
    <w:p w:rsidR="00C4277C" w:rsidRPr="000619A7" w:rsidRDefault="00C4277C" w:rsidP="00FA3DF9">
      <w:pPr>
        <w:spacing w:line="240" w:lineRule="auto"/>
        <w:jc w:val="both"/>
        <w:rPr>
          <w:lang w:val="el-GR"/>
        </w:rPr>
      </w:pPr>
      <w:r w:rsidRPr="000619A7">
        <w:rPr>
          <w:lang w:val="el-GR"/>
        </w:rPr>
        <w:t>Η ανάλυση της σχέσης ΦΚ/ΦΔ έδειξε ότι η καρδιακή συχνότητα μειώνεται σχεδόν γραμμικά με την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 xml:space="preserve">αύξηση των συγκεντρώσεων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0619A7">
        <w:rPr>
          <w:lang w:val="el-GR"/>
        </w:rPr>
        <w:t xml:space="preserve"> και </w:t>
      </w:r>
      <w:r>
        <w:t>S</w:t>
      </w:r>
      <w:r w:rsidRPr="000619A7">
        <w:rPr>
          <w:lang w:val="el-GR"/>
        </w:rPr>
        <w:t xml:space="preserve">18982 στο πλάσμα για δόσεις έως 15-20 </w:t>
      </w:r>
      <w:r>
        <w:t>mg</w:t>
      </w:r>
      <w:r w:rsidRPr="000619A7">
        <w:rPr>
          <w:lang w:val="el-GR"/>
        </w:rPr>
        <w:t xml:space="preserve"> δύο φορές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>την ημέρα. Σε υψηλότερες δόσεις, η μείωση της καρδιακής συχνότητας δεν είναι πλέον ανάλογη με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 xml:space="preserve">τις συγκεντρώσεις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0619A7">
        <w:rPr>
          <w:lang w:val="el-GR"/>
        </w:rPr>
        <w:t xml:space="preserve"> στο πλάσμα και τείνει προς ένα επίπεδο κόρου (πλατώ). Υψηλές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 xml:space="preserve">εκθέσεις σε </w:t>
      </w:r>
      <w:r w:rsidR="009312EB" w:rsidRPr="009312EB">
        <w:rPr>
          <w:lang w:val="el-GR"/>
        </w:rPr>
        <w:t>ιβαμπραδίνη</w:t>
      </w:r>
      <w:r w:rsidRPr="000619A7">
        <w:rPr>
          <w:lang w:val="el-GR"/>
        </w:rPr>
        <w:t xml:space="preserve">, που μπορούν να εμφανισθούν όταν η </w:t>
      </w:r>
      <w:r w:rsidR="009312EB" w:rsidRPr="009312EB">
        <w:rPr>
          <w:lang w:val="el-GR"/>
        </w:rPr>
        <w:t>ιβαμπραδίνη</w:t>
      </w:r>
      <w:r w:rsidRPr="000619A7">
        <w:rPr>
          <w:lang w:val="el-GR"/>
        </w:rPr>
        <w:t xml:space="preserve"> χορηγείται σε συνδυασμό με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 xml:space="preserve">ισχυρούς αναστολείς του </w:t>
      </w:r>
      <w:r>
        <w:t>CYP</w:t>
      </w:r>
      <w:r w:rsidRPr="000619A7">
        <w:rPr>
          <w:lang w:val="el-GR"/>
        </w:rPr>
        <w:t>3</w:t>
      </w:r>
      <w:r>
        <w:t>A</w:t>
      </w:r>
      <w:r w:rsidRPr="000619A7">
        <w:rPr>
          <w:lang w:val="el-GR"/>
        </w:rPr>
        <w:t>4, μπορεί να προκαλέσουν υπερβολική μείωση της καρδιακής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 xml:space="preserve">συχνότητας, παρ’ ότι ο κίνδυνος αυτός είναι μειωμένος με τους μέτριους αναστολείς </w:t>
      </w:r>
      <w:r>
        <w:t>CYP</w:t>
      </w:r>
      <w:r w:rsidRPr="000619A7">
        <w:rPr>
          <w:lang w:val="el-GR"/>
        </w:rPr>
        <w:t>3</w:t>
      </w:r>
      <w:r>
        <w:t>A</w:t>
      </w:r>
      <w:r w:rsidRPr="000619A7">
        <w:rPr>
          <w:lang w:val="el-GR"/>
        </w:rPr>
        <w:t>4 (βλ.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 xml:space="preserve">παραγράφους 4.3, 4.4 και 4.5). Η σχέση ΦΚ/ΦΔ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0619A7">
        <w:rPr>
          <w:lang w:val="el-GR"/>
        </w:rPr>
        <w:t xml:space="preserve"> σε παιδιατρικούς ασθενείς με χρόνια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>καρδιακή ανεπάρκεια ηλικίας από 6 μηνών έως κάτω από 18 ετών, είναι παρόμοια με τη σχέση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>ΦΚ/ΦΔ που περιγράφεται για τους ενήλικες.</w:t>
      </w:r>
    </w:p>
    <w:p w:rsidR="00C4277C" w:rsidRPr="006B1892" w:rsidRDefault="00C4277C" w:rsidP="006B1892">
      <w:pPr>
        <w:pStyle w:val="a3"/>
        <w:numPr>
          <w:ilvl w:val="1"/>
          <w:numId w:val="2"/>
        </w:numPr>
        <w:spacing w:line="240" w:lineRule="auto"/>
        <w:ind w:left="357" w:hanging="357"/>
        <w:contextualSpacing w:val="0"/>
        <w:jc w:val="both"/>
        <w:rPr>
          <w:b/>
          <w:lang w:val="el-GR"/>
        </w:rPr>
      </w:pPr>
      <w:r w:rsidRPr="006B1892">
        <w:rPr>
          <w:b/>
          <w:lang w:val="el-GR"/>
        </w:rPr>
        <w:t>Προκλινικά δεδομένα για την ασφάλεια</w:t>
      </w:r>
    </w:p>
    <w:p w:rsidR="00C4277C" w:rsidRPr="000619A7" w:rsidRDefault="00C4277C" w:rsidP="00FA3DF9">
      <w:pPr>
        <w:spacing w:line="240" w:lineRule="auto"/>
        <w:jc w:val="both"/>
        <w:rPr>
          <w:lang w:val="el-GR"/>
        </w:rPr>
      </w:pPr>
      <w:r w:rsidRPr="000619A7">
        <w:rPr>
          <w:lang w:val="el-GR"/>
        </w:rPr>
        <w:t>Μη κλινικά δεδομένα δεν αποκαλύπτουν ιδιαίτερο κίνδυνο για τον άνθρωπο με βάση συμβατικές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>μελέτες φαρμακολογικής ασφάλειας, τοξικότητας επαναλαμβανόμενης δόσης, γενοτοξικότητας,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>καρκινογένεσης. Μελέτες τοξικότητας στην αναπαραγωγική ικανότητα δεν έδειξαν επίδραση της</w:t>
      </w:r>
      <w:r w:rsidR="000619A7" w:rsidRPr="000619A7">
        <w:rPr>
          <w:lang w:val="el-GR"/>
        </w:rPr>
        <w:t xml:space="preserve">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0619A7">
        <w:rPr>
          <w:lang w:val="el-GR"/>
        </w:rPr>
        <w:t xml:space="preserve"> στη γονιμότητα αρσενικών και θηλυκών αρουραίων.</w:t>
      </w:r>
    </w:p>
    <w:p w:rsidR="00C4277C" w:rsidRPr="000619A7" w:rsidRDefault="00C4277C" w:rsidP="00FA3DF9">
      <w:pPr>
        <w:spacing w:line="240" w:lineRule="auto"/>
        <w:jc w:val="both"/>
        <w:rPr>
          <w:lang w:val="el-GR"/>
        </w:rPr>
      </w:pPr>
      <w:r w:rsidRPr="000619A7">
        <w:rPr>
          <w:lang w:val="el-GR"/>
        </w:rPr>
        <w:t>Όταν χορηγήθηκε αγωγή σε κυοφορούντα πειραματόζωα κατά την οργανογένεση, σε εκθέσεις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>πλησίον των θεραπευτικών δόσεων, παρατηρήθηκε υψηλότερη συχνότητα εμφάνισης εμβρύων με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>καρδιακές βλάβες στον αρουραίο και μικρός αριθμός εμβρύων με λιποδακτυλία στον κόνικλο.</w:t>
      </w:r>
    </w:p>
    <w:p w:rsidR="00C4277C" w:rsidRPr="000619A7" w:rsidRDefault="00C4277C" w:rsidP="00FA3DF9">
      <w:pPr>
        <w:spacing w:line="240" w:lineRule="auto"/>
        <w:jc w:val="both"/>
        <w:rPr>
          <w:lang w:val="el-GR"/>
        </w:rPr>
      </w:pPr>
      <w:r w:rsidRPr="000619A7">
        <w:rPr>
          <w:lang w:val="el-GR"/>
        </w:rPr>
        <w:t xml:space="preserve">Σε σκύλους, στους οποίους χορηγήθηκε </w:t>
      </w:r>
      <w:r w:rsidR="009312EB" w:rsidRPr="009312EB">
        <w:rPr>
          <w:lang w:val="el-GR"/>
        </w:rPr>
        <w:t>ιβαμπραδίνη</w:t>
      </w:r>
      <w:r w:rsidRPr="000619A7">
        <w:rPr>
          <w:lang w:val="el-GR"/>
        </w:rPr>
        <w:t xml:space="preserve"> (δόσεις των 2, 7 ή 24 </w:t>
      </w:r>
      <w:r>
        <w:t>mg</w:t>
      </w:r>
      <w:r w:rsidRPr="000619A7">
        <w:rPr>
          <w:lang w:val="el-GR"/>
        </w:rPr>
        <w:t>/</w:t>
      </w:r>
      <w:r>
        <w:t>kg</w:t>
      </w:r>
      <w:r w:rsidRPr="000619A7">
        <w:rPr>
          <w:lang w:val="el-GR"/>
        </w:rPr>
        <w:t>/ημέρα) για ένα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>χρόνο, παρατηρήθηκαν αναστρέψιμες μεταβολές της αμφιβληστροειδικής λειτουργίας, αλλά δεν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>συνδέθηκαν με οποιαδήποτε βλάβη των οφθαλμικών δομών. Τα δεδομένα αυτά είναι σύμφωνα με τη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 xml:space="preserve">φαρμακολογική δράση της </w:t>
      </w:r>
      <w:r w:rsidR="009312EB" w:rsidRPr="009312EB">
        <w:rPr>
          <w:lang w:val="el-GR"/>
        </w:rPr>
        <w:t>ιβαμπραδίνη</w:t>
      </w:r>
      <w:r w:rsidR="00801CBB">
        <w:rPr>
          <w:lang w:val="el-GR"/>
        </w:rPr>
        <w:t>ς</w:t>
      </w:r>
      <w:r w:rsidRPr="000619A7">
        <w:rPr>
          <w:lang w:val="el-GR"/>
        </w:rPr>
        <w:t>, η οποία σχετίζεται με την αλληλεπίδρασή της με τα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>ενεργοποιούμενα κατά την υπερπόλωση αμφιβληστροειδικά ρεύματα Ι</w:t>
      </w:r>
      <w:r>
        <w:t>h</w:t>
      </w:r>
      <w:r w:rsidRPr="000619A7">
        <w:rPr>
          <w:lang w:val="el-GR"/>
        </w:rPr>
        <w:t>, τα οποία παρουσιάζουν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>εκτεταμένες ομοιότητες με το ρεύμα Ι</w:t>
      </w:r>
      <w:r>
        <w:t>f</w:t>
      </w:r>
      <w:r w:rsidRPr="000619A7">
        <w:rPr>
          <w:lang w:val="el-GR"/>
        </w:rPr>
        <w:t xml:space="preserve"> του καρδιακού βηματοδότη.</w:t>
      </w:r>
    </w:p>
    <w:p w:rsidR="00C4277C" w:rsidRPr="000619A7" w:rsidRDefault="00C4277C" w:rsidP="00FA3DF9">
      <w:pPr>
        <w:spacing w:line="240" w:lineRule="auto"/>
        <w:jc w:val="both"/>
        <w:rPr>
          <w:lang w:val="el-GR"/>
        </w:rPr>
      </w:pPr>
      <w:r w:rsidRPr="000619A7">
        <w:rPr>
          <w:lang w:val="el-GR"/>
        </w:rPr>
        <w:t>Άλλες μακροχρόνιες μελέτες επαναλαμβανόμενης δόσης και καρκινογένεσης δεν αποκάλυψαν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>κλινικά σημαντικές μεταβολές.</w:t>
      </w:r>
    </w:p>
    <w:p w:rsidR="00C4277C" w:rsidRPr="005707DA" w:rsidRDefault="00C4277C" w:rsidP="000619A7">
      <w:pPr>
        <w:spacing w:after="0" w:line="240" w:lineRule="auto"/>
        <w:jc w:val="both"/>
        <w:rPr>
          <w:u w:val="single"/>
          <w:lang w:val="el-GR"/>
        </w:rPr>
      </w:pPr>
      <w:r w:rsidRPr="005707DA">
        <w:rPr>
          <w:u w:val="single"/>
          <w:lang w:val="el-GR"/>
        </w:rPr>
        <w:t>Αξιολόγηση περιβαλλοντικού κινδύνου (</w:t>
      </w:r>
      <w:r w:rsidRPr="000619A7">
        <w:rPr>
          <w:u w:val="single"/>
        </w:rPr>
        <w:t>ERA</w:t>
      </w:r>
      <w:r w:rsidRPr="005707DA">
        <w:rPr>
          <w:u w:val="single"/>
          <w:lang w:val="el-GR"/>
        </w:rPr>
        <w:t>)</w:t>
      </w:r>
    </w:p>
    <w:p w:rsidR="00C4277C" w:rsidRPr="000619A7" w:rsidRDefault="00C4277C" w:rsidP="00FA3DF9">
      <w:pPr>
        <w:spacing w:line="240" w:lineRule="auto"/>
        <w:jc w:val="both"/>
        <w:rPr>
          <w:lang w:val="el-GR"/>
        </w:rPr>
      </w:pPr>
      <w:r w:rsidRPr="000619A7">
        <w:rPr>
          <w:lang w:val="el-GR"/>
        </w:rPr>
        <w:t xml:space="preserve">Η αξιολόγηση περιβαλλοντικού κινδύνου της </w:t>
      </w:r>
      <w:r w:rsidR="009312EB" w:rsidRPr="009312EB">
        <w:rPr>
          <w:lang w:val="el-GR"/>
        </w:rPr>
        <w:t>ιβαμπραδίνη</w:t>
      </w:r>
      <w:r w:rsidR="00D13AC3">
        <w:rPr>
          <w:lang w:val="el-GR"/>
        </w:rPr>
        <w:t>ς</w:t>
      </w:r>
      <w:r w:rsidRPr="000619A7">
        <w:rPr>
          <w:lang w:val="el-GR"/>
        </w:rPr>
        <w:t xml:space="preserve"> πραγματοποιήθηκε σύμφωνα με τις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 xml:space="preserve">ευρωπαϊκές κατευθυντήριες οδηγίες για την </w:t>
      </w:r>
      <w:r>
        <w:t>ERA</w:t>
      </w:r>
      <w:r w:rsidRPr="000619A7">
        <w:rPr>
          <w:lang w:val="el-GR"/>
        </w:rPr>
        <w:t>.</w:t>
      </w:r>
    </w:p>
    <w:p w:rsidR="00C4277C" w:rsidRPr="000619A7" w:rsidRDefault="00C4277C" w:rsidP="00FA3DF9">
      <w:pPr>
        <w:spacing w:line="240" w:lineRule="auto"/>
        <w:jc w:val="both"/>
        <w:rPr>
          <w:lang w:val="el-GR"/>
        </w:rPr>
      </w:pPr>
      <w:r w:rsidRPr="000619A7">
        <w:rPr>
          <w:lang w:val="el-GR"/>
        </w:rPr>
        <w:t>Οι εκβάσεις αυτών των αξιολογήσεων υποστηρίζουν την απουσία περιβαλλοντικού κινδύνου της</w:t>
      </w:r>
      <w:r w:rsidR="000619A7" w:rsidRPr="000619A7">
        <w:rPr>
          <w:lang w:val="el-GR"/>
        </w:rPr>
        <w:t xml:space="preserve"> </w:t>
      </w:r>
      <w:r w:rsidR="009312EB" w:rsidRPr="009312EB">
        <w:rPr>
          <w:lang w:val="el-GR"/>
        </w:rPr>
        <w:t>ιβαμπραδίνη</w:t>
      </w:r>
      <w:r w:rsidR="00D13AC3">
        <w:rPr>
          <w:lang w:val="el-GR"/>
        </w:rPr>
        <w:t>ς</w:t>
      </w:r>
      <w:r w:rsidRPr="000619A7">
        <w:rPr>
          <w:lang w:val="el-GR"/>
        </w:rPr>
        <w:t xml:space="preserve"> και η </w:t>
      </w:r>
      <w:r w:rsidR="009312EB" w:rsidRPr="009312EB">
        <w:rPr>
          <w:lang w:val="el-GR"/>
        </w:rPr>
        <w:t>ιβαμπραδίνη</w:t>
      </w:r>
      <w:r w:rsidRPr="000619A7">
        <w:rPr>
          <w:lang w:val="el-GR"/>
        </w:rPr>
        <w:t xml:space="preserve"> δεν αποτελεί απειλή για το περιβάλλον.</w:t>
      </w:r>
    </w:p>
    <w:p w:rsidR="00C4277C" w:rsidRPr="00BA0173" w:rsidRDefault="00C4277C" w:rsidP="006B1892">
      <w:pPr>
        <w:pStyle w:val="a3"/>
        <w:numPr>
          <w:ilvl w:val="0"/>
          <w:numId w:val="2"/>
        </w:numPr>
        <w:spacing w:line="240" w:lineRule="auto"/>
        <w:ind w:left="357" w:hanging="357"/>
        <w:contextualSpacing w:val="0"/>
        <w:jc w:val="both"/>
        <w:rPr>
          <w:b/>
          <w:lang w:val="el-GR"/>
        </w:rPr>
      </w:pPr>
      <w:r w:rsidRPr="00BA0173">
        <w:rPr>
          <w:b/>
          <w:lang w:val="el-GR"/>
        </w:rPr>
        <w:t>ΦΑΡΜΑΚΕΥΤΙΚΕΣ ΠΛΗΡΟΦΟΡΙΕΣ</w:t>
      </w:r>
    </w:p>
    <w:p w:rsidR="00C4277C" w:rsidRPr="006B1892" w:rsidRDefault="00C4277C" w:rsidP="006B1892">
      <w:pPr>
        <w:pStyle w:val="a3"/>
        <w:numPr>
          <w:ilvl w:val="1"/>
          <w:numId w:val="2"/>
        </w:numPr>
        <w:spacing w:line="240" w:lineRule="auto"/>
        <w:ind w:left="357" w:hanging="357"/>
        <w:contextualSpacing w:val="0"/>
        <w:jc w:val="both"/>
        <w:rPr>
          <w:b/>
          <w:lang w:val="el-GR"/>
        </w:rPr>
      </w:pPr>
      <w:r w:rsidRPr="006B1892">
        <w:rPr>
          <w:b/>
          <w:lang w:val="el-GR"/>
        </w:rPr>
        <w:t>Κατάλογος εκδόχων</w:t>
      </w:r>
    </w:p>
    <w:p w:rsidR="00C4277C" w:rsidRPr="000619A7" w:rsidRDefault="00C4277C" w:rsidP="000619A7">
      <w:pPr>
        <w:spacing w:after="0" w:line="240" w:lineRule="auto"/>
        <w:jc w:val="both"/>
        <w:rPr>
          <w:i/>
        </w:rPr>
      </w:pPr>
      <w:r w:rsidRPr="000619A7">
        <w:rPr>
          <w:i/>
        </w:rPr>
        <w:lastRenderedPageBreak/>
        <w:t>Πυρήνας</w:t>
      </w:r>
    </w:p>
    <w:p w:rsidR="00C34085" w:rsidRPr="00D13AC3" w:rsidRDefault="00C34085" w:rsidP="00C34085">
      <w:pPr>
        <w:spacing w:after="0" w:line="240" w:lineRule="auto"/>
        <w:jc w:val="both"/>
        <w:rPr>
          <w:lang w:val="el-GR"/>
        </w:rPr>
      </w:pPr>
      <w:r w:rsidRPr="00D13AC3">
        <w:rPr>
          <w:lang w:val="el-GR"/>
        </w:rPr>
        <w:t>λακτόζη μονοϋδρική</w:t>
      </w:r>
    </w:p>
    <w:p w:rsidR="00D13AC3" w:rsidRPr="00D13AC3" w:rsidRDefault="00D13AC3" w:rsidP="00D13AC3">
      <w:pPr>
        <w:spacing w:after="0" w:line="240" w:lineRule="auto"/>
        <w:jc w:val="both"/>
        <w:rPr>
          <w:lang w:val="el-GR"/>
        </w:rPr>
      </w:pPr>
      <w:r w:rsidRPr="00D13AC3">
        <w:rPr>
          <w:lang w:val="el-GR"/>
        </w:rPr>
        <w:t>κυτταρίνη</w:t>
      </w:r>
      <w:r w:rsidR="00C34085" w:rsidRPr="00C34085">
        <w:rPr>
          <w:lang w:val="el-GR"/>
        </w:rPr>
        <w:t xml:space="preserve"> </w:t>
      </w:r>
      <w:r w:rsidR="00C34085" w:rsidRPr="00D13AC3">
        <w:rPr>
          <w:lang w:val="el-GR"/>
        </w:rPr>
        <w:t>μικροκρυσταλλική</w:t>
      </w:r>
    </w:p>
    <w:p w:rsidR="00D13AC3" w:rsidRPr="00D13AC3" w:rsidRDefault="00D13AC3" w:rsidP="00D13AC3">
      <w:pPr>
        <w:spacing w:after="0" w:line="240" w:lineRule="auto"/>
        <w:jc w:val="both"/>
        <w:rPr>
          <w:lang w:val="el-GR"/>
        </w:rPr>
      </w:pPr>
      <w:r w:rsidRPr="00D13AC3">
        <w:rPr>
          <w:lang w:val="el-GR"/>
        </w:rPr>
        <w:t>καρμελλόζη νατριούχος διασταυρούμενη</w:t>
      </w:r>
    </w:p>
    <w:p w:rsidR="00D13AC3" w:rsidRPr="00D13AC3" w:rsidRDefault="00D13AC3" w:rsidP="00D13AC3">
      <w:pPr>
        <w:spacing w:after="0" w:line="240" w:lineRule="auto"/>
        <w:jc w:val="both"/>
        <w:rPr>
          <w:lang w:val="el-GR"/>
        </w:rPr>
      </w:pPr>
      <w:r w:rsidRPr="00D13AC3">
        <w:rPr>
          <w:lang w:val="el-GR"/>
        </w:rPr>
        <w:t>πυριτίου διοξείδιο κολλοειδές</w:t>
      </w:r>
    </w:p>
    <w:p w:rsidR="00D13AC3" w:rsidRDefault="00D13AC3" w:rsidP="00D13AC3">
      <w:pPr>
        <w:spacing w:line="240" w:lineRule="auto"/>
        <w:jc w:val="both"/>
        <w:rPr>
          <w:lang w:val="el-GR"/>
        </w:rPr>
      </w:pPr>
      <w:r w:rsidRPr="00D13AC3">
        <w:rPr>
          <w:lang w:val="el-GR"/>
        </w:rPr>
        <w:t>μαγνήσιο στεατικό</w:t>
      </w:r>
    </w:p>
    <w:p w:rsidR="00C4277C" w:rsidRPr="00D13AC3" w:rsidRDefault="00C4277C" w:rsidP="00D13AC3">
      <w:pPr>
        <w:spacing w:after="0" w:line="240" w:lineRule="auto"/>
        <w:jc w:val="both"/>
        <w:rPr>
          <w:i/>
          <w:lang w:val="el-GR"/>
        </w:rPr>
      </w:pPr>
      <w:r w:rsidRPr="00D13AC3">
        <w:rPr>
          <w:i/>
          <w:lang w:val="el-GR"/>
        </w:rPr>
        <w:t xml:space="preserve">Επικάλυψη </w:t>
      </w:r>
      <w:r w:rsidR="00D13AC3">
        <w:rPr>
          <w:i/>
          <w:lang w:val="el-GR"/>
        </w:rPr>
        <w:t>δισκίου</w:t>
      </w:r>
    </w:p>
    <w:p w:rsidR="00D13AC3" w:rsidRPr="00D13AC3" w:rsidRDefault="00D13AC3" w:rsidP="00D13AC3">
      <w:pPr>
        <w:spacing w:after="0" w:line="259" w:lineRule="auto"/>
        <w:rPr>
          <w:rFonts w:eastAsia="Calibri"/>
          <w:szCs w:val="22"/>
          <w:lang w:val="el-GR"/>
        </w:rPr>
      </w:pPr>
      <w:r w:rsidRPr="00D13AC3">
        <w:rPr>
          <w:rFonts w:eastAsia="Calibri"/>
          <w:szCs w:val="22"/>
          <w:lang w:val="el-GR"/>
        </w:rPr>
        <w:t xml:space="preserve">υπρομελλόζη </w:t>
      </w:r>
      <w:r w:rsidR="00C34085">
        <w:rPr>
          <w:rFonts w:eastAsia="Calibri"/>
          <w:szCs w:val="22"/>
          <w:lang w:val="el-GR"/>
        </w:rPr>
        <w:t>6</w:t>
      </w:r>
      <w:r w:rsidR="00C34085">
        <w:rPr>
          <w:rFonts w:eastAsia="Calibri"/>
          <w:szCs w:val="22"/>
        </w:rPr>
        <w:t>cp</w:t>
      </w:r>
      <w:r w:rsidR="00C34085" w:rsidRPr="00C34085">
        <w:rPr>
          <w:rFonts w:eastAsia="Calibri"/>
          <w:szCs w:val="22"/>
          <w:lang w:val="el-GR"/>
        </w:rPr>
        <w:t xml:space="preserve"> </w:t>
      </w:r>
      <w:r w:rsidRPr="00D13AC3">
        <w:rPr>
          <w:rFonts w:eastAsia="Calibri"/>
          <w:szCs w:val="22"/>
          <w:lang w:val="el-GR"/>
        </w:rPr>
        <w:t>(E464)</w:t>
      </w:r>
    </w:p>
    <w:p w:rsidR="00D13AC3" w:rsidRPr="00D13AC3" w:rsidRDefault="00D13AC3" w:rsidP="00D13AC3">
      <w:pPr>
        <w:spacing w:after="0" w:line="259" w:lineRule="auto"/>
        <w:rPr>
          <w:rFonts w:eastAsia="Calibri"/>
          <w:szCs w:val="22"/>
          <w:lang w:val="el-GR"/>
        </w:rPr>
      </w:pPr>
      <w:r w:rsidRPr="00D13AC3">
        <w:rPr>
          <w:rFonts w:eastAsia="Calibri"/>
          <w:szCs w:val="22"/>
          <w:lang w:val="el-GR"/>
        </w:rPr>
        <w:t>τιτανίου διοξείδιο (E171)</w:t>
      </w:r>
    </w:p>
    <w:p w:rsidR="00D13AC3" w:rsidRPr="00C34085" w:rsidRDefault="00D13AC3" w:rsidP="00D13AC3">
      <w:pPr>
        <w:spacing w:after="0" w:line="259" w:lineRule="auto"/>
        <w:rPr>
          <w:rFonts w:eastAsia="Calibri"/>
          <w:szCs w:val="22"/>
          <w:lang w:val="el-GR"/>
        </w:rPr>
      </w:pPr>
      <w:r w:rsidRPr="00D13AC3">
        <w:rPr>
          <w:rFonts w:eastAsia="Calibri"/>
          <w:szCs w:val="22"/>
          <w:lang w:val="el-GR"/>
        </w:rPr>
        <w:t>πολυαιθυλενογλυκόλη 6000</w:t>
      </w:r>
      <w:r w:rsidR="00C34085" w:rsidRPr="00C34085">
        <w:rPr>
          <w:rFonts w:eastAsia="Calibri"/>
          <w:szCs w:val="22"/>
          <w:lang w:val="el-GR"/>
        </w:rPr>
        <w:t xml:space="preserve"> (</w:t>
      </w:r>
      <w:r w:rsidR="00C34085" w:rsidRPr="00C34085">
        <w:rPr>
          <w:rFonts w:eastAsia="Calibri"/>
          <w:szCs w:val="22"/>
        </w:rPr>
        <w:t>E</w:t>
      </w:r>
      <w:r w:rsidR="00C34085" w:rsidRPr="00C34085">
        <w:rPr>
          <w:rFonts w:eastAsia="Calibri"/>
          <w:szCs w:val="22"/>
          <w:lang w:val="el-GR"/>
        </w:rPr>
        <w:t>1521)</w:t>
      </w:r>
    </w:p>
    <w:p w:rsidR="00C34085" w:rsidRPr="00D13AC3" w:rsidRDefault="00C34085" w:rsidP="00C34085">
      <w:pPr>
        <w:spacing w:after="0" w:line="259" w:lineRule="auto"/>
        <w:rPr>
          <w:rFonts w:eastAsia="Calibri"/>
          <w:szCs w:val="22"/>
          <w:lang w:val="el-GR"/>
        </w:rPr>
      </w:pPr>
      <w:r>
        <w:rPr>
          <w:rFonts w:eastAsia="Calibri"/>
          <w:szCs w:val="22"/>
          <w:lang w:val="el-GR"/>
        </w:rPr>
        <w:t>μαγνήσιο στεατικό (E470</w:t>
      </w:r>
      <w:r>
        <w:rPr>
          <w:rFonts w:eastAsia="Calibri"/>
          <w:szCs w:val="22"/>
        </w:rPr>
        <w:t>b</w:t>
      </w:r>
      <w:r w:rsidRPr="00D13AC3">
        <w:rPr>
          <w:rFonts w:eastAsia="Calibri"/>
          <w:szCs w:val="22"/>
          <w:lang w:val="el-GR"/>
        </w:rPr>
        <w:t>)</w:t>
      </w:r>
    </w:p>
    <w:p w:rsidR="00D13AC3" w:rsidRPr="00D13AC3" w:rsidRDefault="00D13AC3" w:rsidP="00C34085">
      <w:pPr>
        <w:spacing w:line="259" w:lineRule="auto"/>
        <w:rPr>
          <w:rFonts w:eastAsia="Calibri"/>
          <w:szCs w:val="22"/>
          <w:lang w:val="el-GR"/>
        </w:rPr>
      </w:pPr>
      <w:r w:rsidRPr="00D13AC3">
        <w:rPr>
          <w:rFonts w:eastAsia="Calibri"/>
          <w:szCs w:val="22"/>
          <w:lang w:val="el-GR"/>
        </w:rPr>
        <w:t>γλυκερόλη (E422)</w:t>
      </w:r>
    </w:p>
    <w:p w:rsidR="00C4277C" w:rsidRPr="006B1892" w:rsidRDefault="00C4277C" w:rsidP="006B1892">
      <w:pPr>
        <w:pStyle w:val="a3"/>
        <w:numPr>
          <w:ilvl w:val="1"/>
          <w:numId w:val="2"/>
        </w:numPr>
        <w:spacing w:line="240" w:lineRule="auto"/>
        <w:ind w:left="357" w:hanging="357"/>
        <w:contextualSpacing w:val="0"/>
        <w:jc w:val="both"/>
        <w:rPr>
          <w:b/>
          <w:lang w:val="el-GR"/>
        </w:rPr>
      </w:pPr>
      <w:r w:rsidRPr="006B1892">
        <w:rPr>
          <w:b/>
          <w:lang w:val="el-GR"/>
        </w:rPr>
        <w:t>Ασυμβατότητες</w:t>
      </w:r>
    </w:p>
    <w:p w:rsidR="00C4277C" w:rsidRPr="00FA3DF9" w:rsidRDefault="00C4277C" w:rsidP="00FA3DF9">
      <w:pPr>
        <w:spacing w:line="240" w:lineRule="auto"/>
        <w:jc w:val="both"/>
      </w:pPr>
      <w:r w:rsidRPr="00FA3DF9">
        <w:t>Δεν εφαρμόζεται.</w:t>
      </w:r>
    </w:p>
    <w:p w:rsidR="00C4277C" w:rsidRPr="006B1892" w:rsidRDefault="00C4277C" w:rsidP="006B1892">
      <w:pPr>
        <w:pStyle w:val="a3"/>
        <w:numPr>
          <w:ilvl w:val="1"/>
          <w:numId w:val="2"/>
        </w:numPr>
        <w:spacing w:line="240" w:lineRule="auto"/>
        <w:ind w:left="357" w:hanging="357"/>
        <w:contextualSpacing w:val="0"/>
        <w:jc w:val="both"/>
        <w:rPr>
          <w:b/>
          <w:lang w:val="el-GR"/>
        </w:rPr>
      </w:pPr>
      <w:r w:rsidRPr="006B1892">
        <w:rPr>
          <w:b/>
          <w:lang w:val="el-GR"/>
        </w:rPr>
        <w:t>Διάρκεια ζωής</w:t>
      </w:r>
    </w:p>
    <w:p w:rsidR="00C4277C" w:rsidRPr="00FA3DF9" w:rsidRDefault="00C4277C" w:rsidP="00FA3DF9">
      <w:pPr>
        <w:spacing w:line="240" w:lineRule="auto"/>
        <w:jc w:val="both"/>
      </w:pPr>
      <w:r w:rsidRPr="00FA3DF9">
        <w:t>3 χρόνια.</w:t>
      </w:r>
    </w:p>
    <w:p w:rsidR="00C4277C" w:rsidRPr="006B1892" w:rsidRDefault="00C4277C" w:rsidP="006B1892">
      <w:pPr>
        <w:pStyle w:val="a3"/>
        <w:numPr>
          <w:ilvl w:val="1"/>
          <w:numId w:val="2"/>
        </w:numPr>
        <w:spacing w:line="240" w:lineRule="auto"/>
        <w:ind w:left="357" w:hanging="357"/>
        <w:contextualSpacing w:val="0"/>
        <w:jc w:val="both"/>
        <w:rPr>
          <w:b/>
          <w:lang w:val="el-GR"/>
        </w:rPr>
      </w:pPr>
      <w:r w:rsidRPr="006B1892">
        <w:rPr>
          <w:b/>
          <w:lang w:val="el-GR"/>
        </w:rPr>
        <w:t>Ιδιαίτερες προφυλάξεις κατά την φύλαξη του προϊόντος</w:t>
      </w:r>
    </w:p>
    <w:p w:rsidR="00C4277C" w:rsidRPr="005707DA" w:rsidRDefault="00C4277C" w:rsidP="00FA3DF9">
      <w:pPr>
        <w:spacing w:line="240" w:lineRule="auto"/>
        <w:jc w:val="both"/>
        <w:rPr>
          <w:lang w:val="el-GR"/>
        </w:rPr>
      </w:pPr>
      <w:r w:rsidRPr="005707DA">
        <w:rPr>
          <w:lang w:val="el-GR"/>
        </w:rPr>
        <w:t>Δεν υπάρχουν ειδικές οδηγίες διατήρησης για το προϊόν αυτό.</w:t>
      </w:r>
    </w:p>
    <w:p w:rsidR="00C4277C" w:rsidRPr="006B1892" w:rsidRDefault="00C4277C" w:rsidP="006B1892">
      <w:pPr>
        <w:pStyle w:val="a3"/>
        <w:numPr>
          <w:ilvl w:val="1"/>
          <w:numId w:val="2"/>
        </w:numPr>
        <w:spacing w:line="240" w:lineRule="auto"/>
        <w:ind w:left="357" w:hanging="357"/>
        <w:contextualSpacing w:val="0"/>
        <w:jc w:val="both"/>
        <w:rPr>
          <w:b/>
          <w:lang w:val="el-GR"/>
        </w:rPr>
      </w:pPr>
      <w:r w:rsidRPr="006B1892">
        <w:rPr>
          <w:b/>
          <w:lang w:val="el-GR"/>
        </w:rPr>
        <w:t>Φύση και συστατικά του περιέκτη</w:t>
      </w:r>
    </w:p>
    <w:p w:rsidR="00C4277C" w:rsidRPr="00D13AC3" w:rsidRDefault="00C4277C" w:rsidP="00FA3DF9">
      <w:pPr>
        <w:spacing w:line="240" w:lineRule="auto"/>
        <w:jc w:val="both"/>
        <w:rPr>
          <w:lang w:val="el-GR"/>
        </w:rPr>
      </w:pPr>
      <w:r w:rsidRPr="00D13AC3">
        <w:rPr>
          <w:lang w:val="el-GR"/>
        </w:rPr>
        <w:t>Θήκες (</w:t>
      </w:r>
      <w:r>
        <w:t>blister</w:t>
      </w:r>
      <w:r w:rsidRPr="00D13AC3">
        <w:rPr>
          <w:lang w:val="el-GR"/>
        </w:rPr>
        <w:t xml:space="preserve">) </w:t>
      </w:r>
      <w:r w:rsidR="00D13AC3">
        <w:rPr>
          <w:lang w:val="el-GR"/>
        </w:rPr>
        <w:t>αλουμινίου</w:t>
      </w:r>
      <w:r w:rsidRPr="00D13AC3">
        <w:rPr>
          <w:lang w:val="el-GR"/>
        </w:rPr>
        <w:t>/αλουμινίου συσκευασμένες σε χάρτινα κουτιά.</w:t>
      </w:r>
    </w:p>
    <w:p w:rsidR="00C4277C" w:rsidRPr="000619A7" w:rsidRDefault="00C4277C" w:rsidP="00FA3DF9">
      <w:pPr>
        <w:spacing w:line="240" w:lineRule="auto"/>
        <w:jc w:val="both"/>
        <w:rPr>
          <w:lang w:val="el-GR"/>
        </w:rPr>
      </w:pPr>
      <w:r w:rsidRPr="000619A7">
        <w:rPr>
          <w:lang w:val="el-GR"/>
        </w:rPr>
        <w:t>Μεγέθη συσκευασίας</w:t>
      </w:r>
    </w:p>
    <w:p w:rsidR="00C4277C" w:rsidRPr="000619A7" w:rsidRDefault="00C34085" w:rsidP="00FA3DF9">
      <w:pPr>
        <w:spacing w:line="240" w:lineRule="auto"/>
        <w:jc w:val="both"/>
        <w:rPr>
          <w:lang w:val="el-GR"/>
        </w:rPr>
      </w:pPr>
      <w:r>
        <w:rPr>
          <w:lang w:val="el-GR"/>
        </w:rPr>
        <w:t>Σ</w:t>
      </w:r>
      <w:r w:rsidR="00C4277C" w:rsidRPr="000619A7">
        <w:rPr>
          <w:lang w:val="el-GR"/>
        </w:rPr>
        <w:t>υσκευασίες που περιέχουν 14, 28, 56, 84, 98, 100 ή 112 επικαλυμμένα με λεπτό</w:t>
      </w:r>
      <w:r w:rsidR="000619A7" w:rsidRPr="000619A7">
        <w:rPr>
          <w:lang w:val="el-GR"/>
        </w:rPr>
        <w:t xml:space="preserve"> </w:t>
      </w:r>
      <w:r w:rsidR="00C4277C" w:rsidRPr="000619A7">
        <w:rPr>
          <w:lang w:val="el-GR"/>
        </w:rPr>
        <w:t>υμένιο δισκία.</w:t>
      </w:r>
    </w:p>
    <w:p w:rsidR="00C4277C" w:rsidRPr="000619A7" w:rsidRDefault="00C4277C" w:rsidP="00FA3DF9">
      <w:pPr>
        <w:spacing w:line="240" w:lineRule="auto"/>
        <w:jc w:val="both"/>
        <w:rPr>
          <w:lang w:val="el-GR"/>
        </w:rPr>
      </w:pPr>
      <w:r w:rsidRPr="000619A7">
        <w:rPr>
          <w:lang w:val="el-GR"/>
        </w:rPr>
        <w:t>Μπορεί να μην κυκλοφορούν όλες οι συσκευασίες.</w:t>
      </w:r>
    </w:p>
    <w:p w:rsidR="00C4277C" w:rsidRPr="006B1892" w:rsidRDefault="00C4277C" w:rsidP="006B1892">
      <w:pPr>
        <w:pStyle w:val="a3"/>
        <w:numPr>
          <w:ilvl w:val="1"/>
          <w:numId w:val="2"/>
        </w:numPr>
        <w:spacing w:line="240" w:lineRule="auto"/>
        <w:ind w:left="357" w:hanging="357"/>
        <w:contextualSpacing w:val="0"/>
        <w:jc w:val="both"/>
        <w:rPr>
          <w:b/>
          <w:lang w:val="el-GR"/>
        </w:rPr>
      </w:pPr>
      <w:r w:rsidRPr="006B1892">
        <w:rPr>
          <w:b/>
          <w:lang w:val="el-GR"/>
        </w:rPr>
        <w:t>Ιδιαίτερες προφυλάξεις απόρριψης</w:t>
      </w:r>
    </w:p>
    <w:p w:rsidR="00C4277C" w:rsidRPr="000619A7" w:rsidRDefault="00C4277C" w:rsidP="00FA3DF9">
      <w:pPr>
        <w:spacing w:line="240" w:lineRule="auto"/>
        <w:jc w:val="both"/>
        <w:rPr>
          <w:lang w:val="el-GR"/>
        </w:rPr>
      </w:pPr>
      <w:r w:rsidRPr="000619A7">
        <w:rPr>
          <w:lang w:val="el-GR"/>
        </w:rPr>
        <w:t>Κάθε αχρησιμοποίητο φαρμακευτικό προϊόν ή υπόλειμμα πρέπει να απορρίπτεται σύμφωνα με τις</w:t>
      </w:r>
      <w:r w:rsidR="000619A7" w:rsidRPr="000619A7">
        <w:rPr>
          <w:lang w:val="el-GR"/>
        </w:rPr>
        <w:t xml:space="preserve"> </w:t>
      </w:r>
      <w:r w:rsidRPr="000619A7">
        <w:rPr>
          <w:lang w:val="el-GR"/>
        </w:rPr>
        <w:t>κατά τόπους ισχύουσες σχετικές διατάξεις.</w:t>
      </w:r>
    </w:p>
    <w:p w:rsidR="00C4277C" w:rsidRPr="00BA0173" w:rsidRDefault="00C4277C" w:rsidP="00BA0173">
      <w:pPr>
        <w:pStyle w:val="a3"/>
        <w:numPr>
          <w:ilvl w:val="0"/>
          <w:numId w:val="2"/>
        </w:numPr>
        <w:spacing w:line="240" w:lineRule="auto"/>
        <w:ind w:left="357" w:hanging="357"/>
        <w:jc w:val="both"/>
        <w:rPr>
          <w:b/>
          <w:lang w:val="el-GR"/>
        </w:rPr>
      </w:pPr>
      <w:r w:rsidRPr="00BA0173">
        <w:rPr>
          <w:b/>
          <w:lang w:val="el-GR"/>
        </w:rPr>
        <w:t>ΚΑΤΟΧΟΣ ΤΗΣ ΑΔΕΙΑΣ ΚΥΚΛΟΦΟΡΙΑΣ</w:t>
      </w:r>
    </w:p>
    <w:p w:rsidR="00D13AC3" w:rsidRDefault="00D13AC3" w:rsidP="00D13AC3">
      <w:pPr>
        <w:spacing w:after="0" w:line="240" w:lineRule="auto"/>
        <w:jc w:val="both"/>
      </w:pPr>
      <w:r>
        <w:t>Genepharm Α.Ε.</w:t>
      </w:r>
    </w:p>
    <w:p w:rsidR="00D13AC3" w:rsidRDefault="00D13AC3" w:rsidP="00D13AC3">
      <w:pPr>
        <w:spacing w:after="0" w:line="240" w:lineRule="auto"/>
        <w:jc w:val="both"/>
      </w:pPr>
      <w:r>
        <w:t>18</w:t>
      </w:r>
      <w:r w:rsidRPr="00D13AC3">
        <w:rPr>
          <w:vertAlign w:val="superscript"/>
          <w:lang w:val="el-GR"/>
        </w:rPr>
        <w:t>ο</w:t>
      </w:r>
      <w:r>
        <w:rPr>
          <w:lang w:val="el-GR"/>
        </w:rPr>
        <w:t xml:space="preserve"> </w:t>
      </w:r>
      <w:r>
        <w:t>χλμ Λεωφόρος Μαραθώνος</w:t>
      </w:r>
    </w:p>
    <w:p w:rsidR="00D13AC3" w:rsidRDefault="00D13AC3" w:rsidP="00D13AC3">
      <w:pPr>
        <w:spacing w:after="0" w:line="240" w:lineRule="auto"/>
        <w:jc w:val="both"/>
      </w:pPr>
      <w:r>
        <w:t>15351 Παλλήνη</w:t>
      </w:r>
    </w:p>
    <w:p w:rsidR="00C4277C" w:rsidRPr="00FA3DF9" w:rsidRDefault="00D13AC3" w:rsidP="00D13AC3">
      <w:pPr>
        <w:spacing w:line="240" w:lineRule="auto"/>
        <w:jc w:val="both"/>
      </w:pPr>
      <w:r>
        <w:t>Ελλάδα</w:t>
      </w:r>
    </w:p>
    <w:p w:rsidR="00C4277C" w:rsidRPr="00BA0173" w:rsidRDefault="00C4277C" w:rsidP="00BA0173">
      <w:pPr>
        <w:pStyle w:val="a3"/>
        <w:numPr>
          <w:ilvl w:val="0"/>
          <w:numId w:val="2"/>
        </w:numPr>
        <w:spacing w:line="240" w:lineRule="auto"/>
        <w:ind w:left="357" w:hanging="357"/>
        <w:jc w:val="both"/>
        <w:rPr>
          <w:b/>
          <w:lang w:val="el-GR"/>
        </w:rPr>
      </w:pPr>
      <w:r w:rsidRPr="00BA0173">
        <w:rPr>
          <w:b/>
          <w:lang w:val="el-GR"/>
        </w:rPr>
        <w:t>ΑΡΙΘΜΟΣ(ΟΙ) ΑΔΕΙΑΣ ΚΥΚΛΟΦΟΡΙΑΣ</w:t>
      </w:r>
    </w:p>
    <w:p w:rsidR="00D13AC3" w:rsidRDefault="00D13AC3" w:rsidP="00D13AC3">
      <w:pPr>
        <w:spacing w:line="240" w:lineRule="auto"/>
        <w:jc w:val="both"/>
        <w:rPr>
          <w:lang w:val="el-GR"/>
        </w:rPr>
      </w:pPr>
      <w:r>
        <w:rPr>
          <w:lang w:val="el-GR"/>
        </w:rPr>
        <w:t>[Να συμπληρωθεί σε εθνικό επίπεδο]</w:t>
      </w:r>
    </w:p>
    <w:p w:rsidR="00C4277C" w:rsidRPr="00BA0173" w:rsidRDefault="00C4277C" w:rsidP="00BA0173">
      <w:pPr>
        <w:pStyle w:val="a3"/>
        <w:numPr>
          <w:ilvl w:val="0"/>
          <w:numId w:val="2"/>
        </w:numPr>
        <w:spacing w:line="240" w:lineRule="auto"/>
        <w:ind w:left="357" w:hanging="357"/>
        <w:jc w:val="both"/>
        <w:rPr>
          <w:b/>
          <w:lang w:val="el-GR"/>
        </w:rPr>
      </w:pPr>
      <w:r w:rsidRPr="00BA0173">
        <w:rPr>
          <w:b/>
          <w:lang w:val="el-GR"/>
        </w:rPr>
        <w:lastRenderedPageBreak/>
        <w:t>ΗΜΕΡΟΜΗΝΙΑ ΠΡΩΤΗΣ ΕΓΚΡΙΣΗΣ / ΑΝΑΝΕΩΣΗΣ ΤΗΣ ΑΔΕΙΑΣ</w:t>
      </w:r>
    </w:p>
    <w:p w:rsidR="00C4277C" w:rsidRPr="00C34085" w:rsidRDefault="00C34085" w:rsidP="00FA3DF9">
      <w:pPr>
        <w:spacing w:line="240" w:lineRule="auto"/>
        <w:jc w:val="both"/>
        <w:rPr>
          <w:lang w:val="el-GR"/>
        </w:rPr>
      </w:pPr>
      <w:r w:rsidRPr="00C34085">
        <w:rPr>
          <w:lang w:val="el-GR"/>
        </w:rPr>
        <w:t>[Να συμπληρωθεί σε εθνικό επίπεδο]</w:t>
      </w:r>
      <w:r w:rsidR="00C4277C" w:rsidRPr="00C34085">
        <w:rPr>
          <w:lang w:val="el-GR"/>
        </w:rPr>
        <w:t xml:space="preserve"> </w:t>
      </w:r>
    </w:p>
    <w:p w:rsidR="00C4277C" w:rsidRPr="00BA0173" w:rsidRDefault="00C4277C" w:rsidP="00BA0173">
      <w:pPr>
        <w:pStyle w:val="a3"/>
        <w:numPr>
          <w:ilvl w:val="0"/>
          <w:numId w:val="2"/>
        </w:numPr>
        <w:spacing w:line="240" w:lineRule="auto"/>
        <w:ind w:left="357" w:hanging="357"/>
        <w:jc w:val="both"/>
        <w:rPr>
          <w:b/>
          <w:lang w:val="el-GR"/>
        </w:rPr>
      </w:pPr>
      <w:r w:rsidRPr="00BA0173">
        <w:rPr>
          <w:b/>
          <w:lang w:val="el-GR"/>
        </w:rPr>
        <w:t>ΗΜΕΡΟΜΗΝΙΑ ΑΝΑΘΕΩΡΗΣΗΣ ΤΟΥ ΚΕΙΜΕΝΟΥ</w:t>
      </w:r>
    </w:p>
    <w:p w:rsidR="00C4277C" w:rsidRPr="000619A7" w:rsidRDefault="00D13AC3" w:rsidP="00FA3DF9">
      <w:pPr>
        <w:spacing w:line="240" w:lineRule="auto"/>
        <w:jc w:val="both"/>
        <w:rPr>
          <w:lang w:val="el-GR"/>
        </w:rPr>
      </w:pPr>
      <w:r>
        <w:rPr>
          <w:lang w:val="el-GR"/>
        </w:rPr>
        <w:t>Αύγουστος 2017</w:t>
      </w:r>
    </w:p>
    <w:p w:rsidR="00901F87" w:rsidRPr="000619A7" w:rsidRDefault="00901F87" w:rsidP="00FA3DF9">
      <w:pPr>
        <w:spacing w:line="240" w:lineRule="auto"/>
        <w:jc w:val="both"/>
        <w:rPr>
          <w:lang w:val="el-GR"/>
        </w:rPr>
      </w:pPr>
    </w:p>
    <w:sectPr w:rsidR="00901F87" w:rsidRPr="000619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64" w:hanging="125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365" w:hanging="125"/>
      </w:pPr>
    </w:lvl>
    <w:lvl w:ilvl="2">
      <w:numFmt w:val="bullet"/>
      <w:lvlText w:val="•"/>
      <w:lvlJc w:val="left"/>
      <w:pPr>
        <w:ind w:left="671" w:hanging="125"/>
      </w:pPr>
    </w:lvl>
    <w:lvl w:ilvl="3">
      <w:numFmt w:val="bullet"/>
      <w:lvlText w:val="•"/>
      <w:lvlJc w:val="left"/>
      <w:pPr>
        <w:ind w:left="976" w:hanging="125"/>
      </w:pPr>
    </w:lvl>
    <w:lvl w:ilvl="4">
      <w:numFmt w:val="bullet"/>
      <w:lvlText w:val="•"/>
      <w:lvlJc w:val="left"/>
      <w:pPr>
        <w:ind w:left="1282" w:hanging="125"/>
      </w:pPr>
    </w:lvl>
    <w:lvl w:ilvl="5">
      <w:numFmt w:val="bullet"/>
      <w:lvlText w:val="•"/>
      <w:lvlJc w:val="left"/>
      <w:pPr>
        <w:ind w:left="1587" w:hanging="125"/>
      </w:pPr>
    </w:lvl>
    <w:lvl w:ilvl="6">
      <w:numFmt w:val="bullet"/>
      <w:lvlText w:val="•"/>
      <w:lvlJc w:val="left"/>
      <w:pPr>
        <w:ind w:left="1893" w:hanging="125"/>
      </w:pPr>
    </w:lvl>
    <w:lvl w:ilvl="7">
      <w:numFmt w:val="bullet"/>
      <w:lvlText w:val="•"/>
      <w:lvlJc w:val="left"/>
      <w:pPr>
        <w:ind w:left="2198" w:hanging="125"/>
      </w:pPr>
    </w:lvl>
    <w:lvl w:ilvl="8">
      <w:numFmt w:val="bullet"/>
      <w:lvlText w:val="•"/>
      <w:lvlJc w:val="left"/>
      <w:pPr>
        <w:ind w:left="2504" w:hanging="125"/>
      </w:pPr>
    </w:lvl>
  </w:abstractNum>
  <w:abstractNum w:abstractNumId="1">
    <w:nsid w:val="0C2D5E91"/>
    <w:multiLevelType w:val="hybridMultilevel"/>
    <w:tmpl w:val="7890B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D566C"/>
    <w:multiLevelType w:val="hybridMultilevel"/>
    <w:tmpl w:val="217ABFAE"/>
    <w:lvl w:ilvl="0" w:tplc="F70E76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430CB"/>
    <w:multiLevelType w:val="hybridMultilevel"/>
    <w:tmpl w:val="55B8E7A6"/>
    <w:lvl w:ilvl="0" w:tplc="91D4F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B3315"/>
    <w:multiLevelType w:val="multilevel"/>
    <w:tmpl w:val="271E0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87"/>
    <w:rsid w:val="000619A7"/>
    <w:rsid w:val="00077ED6"/>
    <w:rsid w:val="000874B4"/>
    <w:rsid w:val="001F2BD4"/>
    <w:rsid w:val="00211A43"/>
    <w:rsid w:val="00245E2B"/>
    <w:rsid w:val="00295DE2"/>
    <w:rsid w:val="004847CC"/>
    <w:rsid w:val="00532D18"/>
    <w:rsid w:val="005707DA"/>
    <w:rsid w:val="006B1892"/>
    <w:rsid w:val="0078755F"/>
    <w:rsid w:val="00801CBB"/>
    <w:rsid w:val="0080254C"/>
    <w:rsid w:val="00901F87"/>
    <w:rsid w:val="009312EB"/>
    <w:rsid w:val="00951922"/>
    <w:rsid w:val="00973533"/>
    <w:rsid w:val="00A72251"/>
    <w:rsid w:val="00AC6B07"/>
    <w:rsid w:val="00B4625D"/>
    <w:rsid w:val="00B74553"/>
    <w:rsid w:val="00B84472"/>
    <w:rsid w:val="00BA0173"/>
    <w:rsid w:val="00BF0051"/>
    <w:rsid w:val="00C34085"/>
    <w:rsid w:val="00C4277C"/>
    <w:rsid w:val="00C738A4"/>
    <w:rsid w:val="00CF173D"/>
    <w:rsid w:val="00D13AC3"/>
    <w:rsid w:val="00E123FC"/>
    <w:rsid w:val="00FA3DF9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33"/>
    <w:pPr>
      <w:ind w:left="720"/>
      <w:contextualSpacing/>
    </w:pPr>
  </w:style>
  <w:style w:type="character" w:styleId="a4">
    <w:name w:val="annotation reference"/>
    <w:rsid w:val="005707DA"/>
    <w:rPr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57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70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33"/>
    <w:pPr>
      <w:ind w:left="720"/>
      <w:contextualSpacing/>
    </w:pPr>
  </w:style>
  <w:style w:type="character" w:styleId="a4">
    <w:name w:val="annotation reference"/>
    <w:rsid w:val="005707DA"/>
    <w:rPr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57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70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7954</Words>
  <Characters>42957</Characters>
  <Application>Microsoft Office Word</Application>
  <DocSecurity>0</DocSecurity>
  <Lines>357</Lines>
  <Paragraphs>101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Panoutsopoulos Giorgos</dc:creator>
  <cp:lastModifiedBy>ΠΑΝΤΕΛΗ ΓΕΩΡΓΙΑ</cp:lastModifiedBy>
  <cp:revision>2</cp:revision>
  <dcterms:created xsi:type="dcterms:W3CDTF">2017-12-01T14:18:00Z</dcterms:created>
  <dcterms:modified xsi:type="dcterms:W3CDTF">2017-12-01T14:18:00Z</dcterms:modified>
</cp:coreProperties>
</file>