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75" w:rsidRPr="002E0AF6" w:rsidRDefault="00184F75" w:rsidP="00365F3D">
      <w:pPr>
        <w:rPr>
          <w:b/>
          <w:sz w:val="22"/>
          <w:szCs w:val="22"/>
        </w:rPr>
      </w:pPr>
      <w:r w:rsidRPr="002E0AF6">
        <w:rPr>
          <w:b/>
          <w:sz w:val="22"/>
          <w:szCs w:val="22"/>
        </w:rPr>
        <w:t xml:space="preserve">                    </w:t>
      </w:r>
      <w:r w:rsidRPr="002E0AF6">
        <w:rPr>
          <w:b/>
          <w:sz w:val="22"/>
          <w:szCs w:val="22"/>
        </w:rPr>
        <w:tab/>
      </w:r>
      <w:r w:rsidRPr="002E0AF6">
        <w:rPr>
          <w:b/>
          <w:sz w:val="22"/>
          <w:szCs w:val="22"/>
        </w:rPr>
        <w:tab/>
      </w:r>
      <w:r w:rsidRPr="002E0AF6">
        <w:rPr>
          <w:b/>
          <w:sz w:val="22"/>
          <w:szCs w:val="22"/>
        </w:rPr>
        <w:tab/>
      </w:r>
    </w:p>
    <w:p w:rsidR="00184F75" w:rsidRDefault="002E0AF6" w:rsidP="002E0AF6">
      <w:pPr>
        <w:jc w:val="center"/>
        <w:rPr>
          <w:b/>
          <w:sz w:val="22"/>
          <w:szCs w:val="22"/>
        </w:rPr>
      </w:pPr>
      <w:r w:rsidRPr="002E0AF6">
        <w:rPr>
          <w:b/>
          <w:sz w:val="22"/>
          <w:szCs w:val="22"/>
        </w:rPr>
        <w:t>ΦΥΛΛΟ ΟΔΗΓΙΩΝ ΧΡΗΣΗΣ</w:t>
      </w:r>
    </w:p>
    <w:p w:rsidR="002E0AF6" w:rsidRPr="002E0AF6" w:rsidRDefault="002E0AF6" w:rsidP="002E0AF6">
      <w:pPr>
        <w:jc w:val="center"/>
        <w:rPr>
          <w:b/>
          <w:sz w:val="22"/>
          <w:szCs w:val="22"/>
        </w:rPr>
      </w:pPr>
    </w:p>
    <w:p w:rsidR="00184F75" w:rsidRPr="002E0AF6" w:rsidRDefault="00184F75">
      <w:pPr>
        <w:numPr>
          <w:ilvl w:val="0"/>
          <w:numId w:val="2"/>
        </w:numPr>
        <w:tabs>
          <w:tab w:val="clear" w:pos="1080"/>
          <w:tab w:val="num" w:pos="720"/>
        </w:tabs>
        <w:ind w:left="0" w:firstLine="0"/>
        <w:rPr>
          <w:sz w:val="22"/>
          <w:szCs w:val="22"/>
        </w:rPr>
      </w:pPr>
      <w:r w:rsidRPr="002E0AF6">
        <w:rPr>
          <w:b/>
          <w:sz w:val="22"/>
          <w:szCs w:val="22"/>
        </w:rPr>
        <w:t xml:space="preserve">ΟΝΟΜΑΣΙΑ:  </w:t>
      </w:r>
    </w:p>
    <w:p w:rsidR="00184F75" w:rsidRPr="002E0AF6" w:rsidRDefault="002E0AF6">
      <w:pPr>
        <w:ind w:left="709"/>
        <w:rPr>
          <w:sz w:val="22"/>
          <w:szCs w:val="22"/>
        </w:rPr>
      </w:pPr>
      <w:r>
        <w:rPr>
          <w:sz w:val="22"/>
          <w:szCs w:val="22"/>
        </w:rPr>
        <w:t xml:space="preserve"> </w:t>
      </w:r>
      <w:r w:rsidR="00184F75" w:rsidRPr="002E0AF6">
        <w:rPr>
          <w:sz w:val="22"/>
          <w:szCs w:val="22"/>
          <w:lang w:val="en-US"/>
        </w:rPr>
        <w:t>DALACIN</w:t>
      </w:r>
      <w:r w:rsidR="00184F75" w:rsidRPr="002E0AF6">
        <w:rPr>
          <w:sz w:val="22"/>
          <w:szCs w:val="22"/>
        </w:rPr>
        <w:t xml:space="preserve"> </w:t>
      </w:r>
      <w:r w:rsidR="00184F75" w:rsidRPr="002E0AF6">
        <w:rPr>
          <w:sz w:val="22"/>
          <w:szCs w:val="22"/>
          <w:lang w:val="en-US"/>
        </w:rPr>
        <w:t>C</w:t>
      </w:r>
      <w:r w:rsidR="00184F75" w:rsidRPr="002E0AF6">
        <w:rPr>
          <w:sz w:val="22"/>
          <w:szCs w:val="22"/>
        </w:rPr>
        <w:t xml:space="preserve"> </w:t>
      </w:r>
      <w:r w:rsidR="00184F75" w:rsidRPr="002E0AF6">
        <w:rPr>
          <w:sz w:val="22"/>
          <w:szCs w:val="22"/>
          <w:vertAlign w:val="superscript"/>
          <w:lang w:val="en-US"/>
        </w:rPr>
        <w:sym w:font="Symbol" w:char="F0E2"/>
      </w:r>
      <w:r w:rsidR="00184F75" w:rsidRPr="002E0AF6">
        <w:rPr>
          <w:sz w:val="22"/>
          <w:szCs w:val="22"/>
        </w:rPr>
        <w:t xml:space="preserve"> </w:t>
      </w:r>
    </w:p>
    <w:p w:rsidR="00184F75" w:rsidRPr="002E0AF6" w:rsidRDefault="00184F75">
      <w:pPr>
        <w:rPr>
          <w:sz w:val="22"/>
          <w:szCs w:val="22"/>
        </w:rPr>
      </w:pPr>
      <w:r w:rsidRPr="002E0AF6">
        <w:rPr>
          <w:sz w:val="22"/>
          <w:szCs w:val="22"/>
        </w:rPr>
        <w:t xml:space="preserve">           </w:t>
      </w:r>
      <w:r w:rsidRPr="002E0AF6">
        <w:rPr>
          <w:sz w:val="22"/>
          <w:szCs w:val="22"/>
        </w:rPr>
        <w:tab/>
        <w:t xml:space="preserve">        </w:t>
      </w:r>
    </w:p>
    <w:p w:rsidR="00184F75" w:rsidRPr="002E0AF6" w:rsidRDefault="00184F75">
      <w:pPr>
        <w:tabs>
          <w:tab w:val="num" w:pos="1080"/>
        </w:tabs>
        <w:ind w:left="709" w:hanging="709"/>
        <w:rPr>
          <w:sz w:val="22"/>
          <w:szCs w:val="22"/>
        </w:rPr>
      </w:pPr>
      <w:r w:rsidRPr="002E0AF6">
        <w:rPr>
          <w:sz w:val="22"/>
          <w:szCs w:val="22"/>
        </w:rPr>
        <w:t xml:space="preserve">                            </w:t>
      </w:r>
      <w:r w:rsidRPr="002E0AF6">
        <w:rPr>
          <w:sz w:val="22"/>
          <w:szCs w:val="22"/>
        </w:rPr>
        <w:tab/>
      </w:r>
    </w:p>
    <w:p w:rsidR="00184F75" w:rsidRPr="002E0AF6" w:rsidRDefault="00184F75">
      <w:pPr>
        <w:tabs>
          <w:tab w:val="num" w:pos="720"/>
        </w:tabs>
        <w:rPr>
          <w:sz w:val="22"/>
          <w:szCs w:val="22"/>
        </w:rPr>
      </w:pPr>
      <w:r w:rsidRPr="002E0AF6">
        <w:rPr>
          <w:b/>
          <w:sz w:val="22"/>
          <w:szCs w:val="22"/>
        </w:rPr>
        <w:t xml:space="preserve">1.2 </w:t>
      </w:r>
      <w:r w:rsidRPr="002E0AF6">
        <w:rPr>
          <w:b/>
          <w:sz w:val="22"/>
          <w:szCs w:val="22"/>
        </w:rPr>
        <w:tab/>
        <w:t>Σύνθεση</w:t>
      </w:r>
      <w:r w:rsidRPr="002E0AF6">
        <w:rPr>
          <w:sz w:val="22"/>
          <w:szCs w:val="22"/>
        </w:rPr>
        <w:t xml:space="preserve">: </w:t>
      </w:r>
    </w:p>
    <w:p w:rsidR="00184F75" w:rsidRPr="002E0AF6" w:rsidRDefault="00184F75">
      <w:pPr>
        <w:rPr>
          <w:b/>
          <w:bCs/>
          <w:sz w:val="22"/>
          <w:szCs w:val="22"/>
        </w:rPr>
      </w:pPr>
      <w:r w:rsidRPr="002E0AF6">
        <w:rPr>
          <w:sz w:val="22"/>
          <w:szCs w:val="22"/>
        </w:rPr>
        <w:t xml:space="preserve">           </w:t>
      </w:r>
      <w:r w:rsidRPr="002E0AF6">
        <w:rPr>
          <w:b/>
          <w:bCs/>
          <w:sz w:val="22"/>
          <w:szCs w:val="22"/>
        </w:rPr>
        <w:t xml:space="preserve"> α) Δερματικό διάλυμα:  </w:t>
      </w:r>
    </w:p>
    <w:p w:rsidR="00184F75" w:rsidRPr="002E0AF6" w:rsidRDefault="00184F75" w:rsidP="008F1293">
      <w:pPr>
        <w:rPr>
          <w:sz w:val="22"/>
          <w:szCs w:val="22"/>
        </w:rPr>
      </w:pPr>
      <w:r w:rsidRPr="002E0AF6">
        <w:rPr>
          <w:sz w:val="22"/>
          <w:szCs w:val="22"/>
        </w:rPr>
        <w:t xml:space="preserve">                 Δραστική ουσία: </w:t>
      </w:r>
      <w:r w:rsidR="008F1293" w:rsidRPr="002E0AF6">
        <w:rPr>
          <w:sz w:val="22"/>
          <w:szCs w:val="22"/>
        </w:rPr>
        <w:t>Φωσφορική Κλινδαμυκίνη</w:t>
      </w:r>
      <w:r w:rsidR="008F1293" w:rsidRPr="002E0AF6" w:rsidDel="008F1293">
        <w:rPr>
          <w:sz w:val="22"/>
          <w:szCs w:val="22"/>
        </w:rPr>
        <w:t xml:space="preserve"> </w:t>
      </w:r>
      <w:r w:rsidRPr="002E0AF6">
        <w:rPr>
          <w:sz w:val="22"/>
          <w:szCs w:val="22"/>
        </w:rPr>
        <w:t xml:space="preserve">                                            </w:t>
      </w:r>
    </w:p>
    <w:p w:rsidR="00184F75" w:rsidRPr="002E0AF6" w:rsidRDefault="00184F75" w:rsidP="00365F3D">
      <w:pPr>
        <w:tabs>
          <w:tab w:val="left" w:pos="2310"/>
        </w:tabs>
        <w:rPr>
          <w:sz w:val="22"/>
          <w:szCs w:val="22"/>
        </w:rPr>
      </w:pPr>
      <w:r w:rsidRPr="002E0AF6">
        <w:rPr>
          <w:sz w:val="22"/>
          <w:szCs w:val="22"/>
        </w:rPr>
        <w:t xml:space="preserve">                 </w:t>
      </w:r>
      <w:r w:rsidR="00664CAC">
        <w:rPr>
          <w:sz w:val="22"/>
          <w:szCs w:val="22"/>
        </w:rPr>
        <w:t>Έ</w:t>
      </w:r>
      <w:r w:rsidRPr="002E0AF6">
        <w:rPr>
          <w:sz w:val="22"/>
          <w:szCs w:val="22"/>
        </w:rPr>
        <w:t xml:space="preserve">κδοχα: </w:t>
      </w:r>
      <w:r w:rsidR="00365F3D" w:rsidRPr="002E0AF6">
        <w:rPr>
          <w:sz w:val="22"/>
          <w:szCs w:val="22"/>
        </w:rPr>
        <w:t>Ισοπροπυλική αλκοόλη, Προπυλενογλυκόλη, Ύδωρ κεκαθαρμένο</w:t>
      </w:r>
      <w:r w:rsidRPr="002E0AF6">
        <w:rPr>
          <w:sz w:val="22"/>
          <w:szCs w:val="22"/>
        </w:rPr>
        <w:t>.</w:t>
      </w:r>
      <w:r w:rsidRPr="002E0AF6">
        <w:rPr>
          <w:sz w:val="22"/>
          <w:szCs w:val="22"/>
        </w:rPr>
        <w:tab/>
        <w:t xml:space="preserve">  </w:t>
      </w:r>
    </w:p>
    <w:p w:rsidR="00184F75" w:rsidRPr="002E0AF6" w:rsidRDefault="00184F75">
      <w:pPr>
        <w:rPr>
          <w:sz w:val="22"/>
          <w:szCs w:val="22"/>
        </w:rPr>
      </w:pPr>
    </w:p>
    <w:p w:rsidR="00184F75" w:rsidRPr="002E0AF6" w:rsidRDefault="00184F75">
      <w:pPr>
        <w:rPr>
          <w:b/>
          <w:bCs/>
          <w:sz w:val="22"/>
          <w:szCs w:val="22"/>
        </w:rPr>
      </w:pPr>
      <w:r w:rsidRPr="002E0AF6">
        <w:rPr>
          <w:sz w:val="22"/>
          <w:szCs w:val="22"/>
        </w:rPr>
        <w:t xml:space="preserve">            </w:t>
      </w:r>
      <w:r w:rsidRPr="002E0AF6">
        <w:rPr>
          <w:b/>
          <w:bCs/>
          <w:sz w:val="22"/>
          <w:szCs w:val="22"/>
        </w:rPr>
        <w:t>β) Λοσιόν:</w:t>
      </w:r>
    </w:p>
    <w:p w:rsidR="00184F75" w:rsidRPr="002E0AF6" w:rsidRDefault="00184F75" w:rsidP="002E0AF6">
      <w:pPr>
        <w:ind w:left="993"/>
        <w:rPr>
          <w:sz w:val="22"/>
          <w:szCs w:val="22"/>
        </w:rPr>
      </w:pPr>
      <w:r w:rsidRPr="002E0AF6">
        <w:rPr>
          <w:sz w:val="22"/>
          <w:szCs w:val="22"/>
        </w:rPr>
        <w:t xml:space="preserve">Δραστική ουσία: </w:t>
      </w:r>
      <w:r w:rsidR="008F1293" w:rsidRPr="002E0AF6">
        <w:rPr>
          <w:sz w:val="22"/>
          <w:szCs w:val="22"/>
        </w:rPr>
        <w:t>Φωσφορική Κλινδαμυκίνη</w:t>
      </w:r>
    </w:p>
    <w:p w:rsidR="00184F75" w:rsidRPr="002E0AF6" w:rsidRDefault="00664CAC" w:rsidP="002E0AF6">
      <w:pPr>
        <w:tabs>
          <w:tab w:val="left" w:pos="2310"/>
        </w:tabs>
        <w:ind w:left="993"/>
        <w:rPr>
          <w:sz w:val="22"/>
          <w:szCs w:val="22"/>
        </w:rPr>
      </w:pPr>
      <w:r>
        <w:rPr>
          <w:sz w:val="22"/>
          <w:szCs w:val="22"/>
        </w:rPr>
        <w:t>Έ</w:t>
      </w:r>
      <w:r w:rsidRPr="002E0AF6">
        <w:rPr>
          <w:sz w:val="22"/>
          <w:szCs w:val="22"/>
        </w:rPr>
        <w:t>κδοχα</w:t>
      </w:r>
      <w:r w:rsidR="00184F75" w:rsidRPr="002E0AF6">
        <w:rPr>
          <w:sz w:val="22"/>
          <w:szCs w:val="22"/>
        </w:rPr>
        <w:t xml:space="preserve">: </w:t>
      </w:r>
      <w:r w:rsidR="00365F3D" w:rsidRPr="002E0AF6">
        <w:rPr>
          <w:sz w:val="22"/>
          <w:szCs w:val="22"/>
        </w:rPr>
        <w:t xml:space="preserve">Γλυκερόλη, Νάτριο λαουρυλοσαρκοσινικό, Στεατικό οξύ, </w:t>
      </w:r>
      <w:proofErr w:type="spellStart"/>
      <w:r w:rsidR="00365F3D" w:rsidRPr="002E0AF6">
        <w:rPr>
          <w:sz w:val="22"/>
          <w:szCs w:val="22"/>
          <w:lang w:val="en-US"/>
        </w:rPr>
        <w:t>Lexemul</w:t>
      </w:r>
      <w:proofErr w:type="spellEnd"/>
      <w:r w:rsidR="00365F3D" w:rsidRPr="002E0AF6">
        <w:rPr>
          <w:sz w:val="22"/>
          <w:szCs w:val="22"/>
        </w:rPr>
        <w:t xml:space="preserve"> </w:t>
      </w:r>
      <w:r w:rsidR="00365F3D" w:rsidRPr="002E0AF6">
        <w:rPr>
          <w:sz w:val="22"/>
          <w:szCs w:val="22"/>
          <w:lang w:val="en-US"/>
        </w:rPr>
        <w:t>T</w:t>
      </w:r>
      <w:r w:rsidR="00365F3D" w:rsidRPr="002E0AF6">
        <w:rPr>
          <w:sz w:val="22"/>
          <w:szCs w:val="22"/>
        </w:rPr>
        <w:t xml:space="preserve"> (Γλυκερόλης στεατικός εστέρας που περιέχει μικρή ποσότητα Ν</w:t>
      </w:r>
      <w:r w:rsidR="002E0AF6">
        <w:rPr>
          <w:sz w:val="22"/>
          <w:szCs w:val="22"/>
        </w:rPr>
        <w:t>ατρίου</w:t>
      </w:r>
      <w:r w:rsidR="00365F3D" w:rsidRPr="002E0AF6">
        <w:rPr>
          <w:sz w:val="22"/>
          <w:szCs w:val="22"/>
        </w:rPr>
        <w:t xml:space="preserve"> και/ή Κ</w:t>
      </w:r>
      <w:r w:rsidR="002E0AF6">
        <w:rPr>
          <w:sz w:val="22"/>
          <w:szCs w:val="22"/>
        </w:rPr>
        <w:t>αλίου</w:t>
      </w:r>
      <w:r w:rsidR="00365F3D" w:rsidRPr="002E0AF6">
        <w:rPr>
          <w:sz w:val="22"/>
          <w:szCs w:val="22"/>
        </w:rPr>
        <w:t xml:space="preserve"> στεατικ</w:t>
      </w:r>
      <w:r w:rsidR="002E0AF6">
        <w:rPr>
          <w:sz w:val="22"/>
          <w:szCs w:val="22"/>
        </w:rPr>
        <w:t>ού</w:t>
      </w:r>
      <w:r w:rsidR="00365F3D" w:rsidRPr="002E0AF6">
        <w:rPr>
          <w:sz w:val="22"/>
          <w:szCs w:val="22"/>
        </w:rPr>
        <w:t>), Κητοστεατυλική αλκοόλη, Ισοστεατική αλκοόλη, Παραϋδροξυβενζοϊκός μεθυλεστέρας, Ύδωρ κεκαθαρμένο</w:t>
      </w:r>
      <w:r w:rsidR="00184F75" w:rsidRPr="002E0AF6">
        <w:rPr>
          <w:sz w:val="22"/>
          <w:szCs w:val="22"/>
        </w:rPr>
        <w:tab/>
        <w:t xml:space="preserve">  </w:t>
      </w:r>
    </w:p>
    <w:p w:rsidR="00184F75" w:rsidRPr="002E0AF6" w:rsidRDefault="00184F75">
      <w:pPr>
        <w:rPr>
          <w:b/>
          <w:sz w:val="22"/>
          <w:szCs w:val="22"/>
        </w:rPr>
      </w:pPr>
    </w:p>
    <w:p w:rsidR="00184F75" w:rsidRPr="002E0AF6" w:rsidRDefault="00184F75" w:rsidP="002E0AF6">
      <w:pPr>
        <w:tabs>
          <w:tab w:val="left" w:pos="3402"/>
        </w:tabs>
        <w:ind w:left="709" w:hanging="709"/>
        <w:rPr>
          <w:sz w:val="22"/>
          <w:szCs w:val="22"/>
        </w:rPr>
      </w:pPr>
      <w:r w:rsidRPr="002E0AF6">
        <w:rPr>
          <w:b/>
          <w:sz w:val="22"/>
          <w:szCs w:val="22"/>
        </w:rPr>
        <w:t xml:space="preserve">1.3  </w:t>
      </w:r>
      <w:r w:rsidRPr="002E0AF6">
        <w:rPr>
          <w:b/>
          <w:sz w:val="22"/>
          <w:szCs w:val="22"/>
        </w:rPr>
        <w:tab/>
        <w:t xml:space="preserve">Φαρμακοτεχνική μορφή:  </w:t>
      </w:r>
      <w:r w:rsidR="002E0AF6">
        <w:rPr>
          <w:b/>
          <w:sz w:val="22"/>
          <w:szCs w:val="22"/>
        </w:rPr>
        <w:tab/>
      </w:r>
      <w:r w:rsidRPr="002E0AF6">
        <w:rPr>
          <w:sz w:val="22"/>
          <w:szCs w:val="22"/>
        </w:rPr>
        <w:t xml:space="preserve">α) Δερματικό διάλυμα </w:t>
      </w:r>
    </w:p>
    <w:p w:rsidR="00184F75" w:rsidRPr="002E0AF6" w:rsidRDefault="00184F75" w:rsidP="002E0AF6">
      <w:pPr>
        <w:tabs>
          <w:tab w:val="left" w:pos="3402"/>
        </w:tabs>
        <w:ind w:left="709" w:hanging="709"/>
        <w:rPr>
          <w:sz w:val="22"/>
          <w:szCs w:val="22"/>
        </w:rPr>
      </w:pPr>
      <w:r w:rsidRPr="002E0AF6">
        <w:rPr>
          <w:b/>
          <w:sz w:val="22"/>
          <w:szCs w:val="22"/>
        </w:rPr>
        <w:t xml:space="preserve">                                                       </w:t>
      </w:r>
      <w:r w:rsidR="002E0AF6">
        <w:rPr>
          <w:b/>
          <w:sz w:val="22"/>
          <w:szCs w:val="22"/>
        </w:rPr>
        <w:tab/>
      </w:r>
      <w:r w:rsidRPr="002E0AF6">
        <w:rPr>
          <w:b/>
          <w:sz w:val="22"/>
          <w:szCs w:val="22"/>
        </w:rPr>
        <w:t xml:space="preserve"> </w:t>
      </w:r>
      <w:r w:rsidRPr="002E0AF6">
        <w:rPr>
          <w:sz w:val="22"/>
          <w:szCs w:val="22"/>
        </w:rPr>
        <w:t xml:space="preserve">β) Λοσιόν </w:t>
      </w:r>
    </w:p>
    <w:p w:rsidR="00184F75" w:rsidRPr="002E0AF6" w:rsidRDefault="00184F75">
      <w:pPr>
        <w:ind w:left="709" w:hanging="709"/>
        <w:rPr>
          <w:sz w:val="22"/>
          <w:szCs w:val="22"/>
        </w:rPr>
      </w:pPr>
      <w:r w:rsidRPr="002E0AF6">
        <w:rPr>
          <w:sz w:val="22"/>
          <w:szCs w:val="22"/>
        </w:rPr>
        <w:t xml:space="preserve">    </w:t>
      </w:r>
      <w:r w:rsidRPr="002E0AF6">
        <w:rPr>
          <w:sz w:val="22"/>
          <w:szCs w:val="22"/>
        </w:rPr>
        <w:tab/>
      </w:r>
      <w:r w:rsidRPr="002E0AF6">
        <w:rPr>
          <w:sz w:val="22"/>
          <w:szCs w:val="22"/>
        </w:rPr>
        <w:tab/>
      </w:r>
      <w:r w:rsidRPr="002E0AF6">
        <w:rPr>
          <w:sz w:val="22"/>
          <w:szCs w:val="22"/>
        </w:rPr>
        <w:tab/>
      </w:r>
      <w:r w:rsidRPr="002E0AF6">
        <w:rPr>
          <w:sz w:val="22"/>
          <w:szCs w:val="22"/>
        </w:rPr>
        <w:tab/>
      </w:r>
      <w:r w:rsidRPr="002E0AF6">
        <w:rPr>
          <w:sz w:val="22"/>
          <w:szCs w:val="22"/>
        </w:rPr>
        <w:tab/>
      </w:r>
      <w:r w:rsidRPr="002E0AF6">
        <w:rPr>
          <w:sz w:val="22"/>
          <w:szCs w:val="22"/>
        </w:rPr>
        <w:tab/>
      </w:r>
    </w:p>
    <w:p w:rsidR="00184F75" w:rsidRPr="002E0AF6" w:rsidRDefault="00184F75" w:rsidP="008F1293">
      <w:pPr>
        <w:tabs>
          <w:tab w:val="left" w:pos="3780"/>
        </w:tabs>
        <w:ind w:left="3780" w:hanging="3780"/>
        <w:rPr>
          <w:sz w:val="22"/>
          <w:szCs w:val="22"/>
        </w:rPr>
      </w:pPr>
      <w:r w:rsidRPr="002E0AF6">
        <w:rPr>
          <w:b/>
          <w:sz w:val="22"/>
          <w:szCs w:val="22"/>
        </w:rPr>
        <w:t xml:space="preserve">1.4       Περιεκτικότητα σε δραστική: </w:t>
      </w:r>
      <w:r w:rsidR="0005681C">
        <w:rPr>
          <w:b/>
          <w:sz w:val="22"/>
          <w:szCs w:val="22"/>
        </w:rPr>
        <w:tab/>
      </w:r>
      <w:r w:rsidRPr="002E0AF6">
        <w:rPr>
          <w:sz w:val="22"/>
          <w:szCs w:val="22"/>
        </w:rPr>
        <w:t xml:space="preserve">Κάθε ml διαλύματος ή λοσιόν περιέχει </w:t>
      </w:r>
      <w:r w:rsidR="008F1293" w:rsidRPr="002E0AF6">
        <w:rPr>
          <w:sz w:val="22"/>
          <w:szCs w:val="22"/>
        </w:rPr>
        <w:t>φωσφορική κλινδαμυκίνη</w:t>
      </w:r>
      <w:r w:rsidRPr="002E0AF6">
        <w:rPr>
          <w:sz w:val="22"/>
          <w:szCs w:val="22"/>
        </w:rPr>
        <w:t xml:space="preserve"> 12,42</w:t>
      </w:r>
      <w:r w:rsidRPr="002E0AF6">
        <w:rPr>
          <w:sz w:val="22"/>
          <w:szCs w:val="22"/>
          <w:lang w:val="en-US"/>
        </w:rPr>
        <w:t>mg</w:t>
      </w:r>
      <w:r w:rsidRPr="002E0AF6">
        <w:rPr>
          <w:sz w:val="22"/>
          <w:szCs w:val="22"/>
        </w:rPr>
        <w:t xml:space="preserve"> ισοδύναμη με </w:t>
      </w:r>
      <w:r w:rsidR="008F1293" w:rsidRPr="002E0AF6">
        <w:rPr>
          <w:sz w:val="22"/>
          <w:szCs w:val="22"/>
        </w:rPr>
        <w:t>κλινδαμυκίνη</w:t>
      </w:r>
      <w:r w:rsidRPr="002E0AF6">
        <w:rPr>
          <w:sz w:val="22"/>
          <w:szCs w:val="22"/>
        </w:rPr>
        <w:t xml:space="preserve"> 10mg.</w:t>
      </w:r>
    </w:p>
    <w:p w:rsidR="00184F75" w:rsidRPr="002E0AF6" w:rsidRDefault="00184F75">
      <w:pPr>
        <w:ind w:left="709" w:hanging="709"/>
        <w:rPr>
          <w:sz w:val="22"/>
          <w:szCs w:val="22"/>
        </w:rPr>
      </w:pPr>
    </w:p>
    <w:p w:rsidR="00184F75" w:rsidRPr="002E0AF6" w:rsidRDefault="00184F75">
      <w:pPr>
        <w:numPr>
          <w:ilvl w:val="1"/>
          <w:numId w:val="3"/>
        </w:numPr>
        <w:rPr>
          <w:b/>
          <w:sz w:val="22"/>
          <w:szCs w:val="22"/>
        </w:rPr>
      </w:pPr>
      <w:r w:rsidRPr="002E0AF6">
        <w:rPr>
          <w:b/>
          <w:sz w:val="22"/>
          <w:szCs w:val="22"/>
        </w:rPr>
        <w:t xml:space="preserve">Περιγραφή-Συσκευασία:      </w:t>
      </w:r>
    </w:p>
    <w:p w:rsidR="00184F75" w:rsidRPr="002E0AF6" w:rsidRDefault="00184F75">
      <w:pPr>
        <w:rPr>
          <w:b/>
          <w:bCs/>
          <w:sz w:val="22"/>
          <w:szCs w:val="22"/>
        </w:rPr>
      </w:pPr>
      <w:r w:rsidRPr="002E0AF6">
        <w:rPr>
          <w:sz w:val="22"/>
          <w:szCs w:val="22"/>
        </w:rPr>
        <w:t xml:space="preserve">            </w:t>
      </w:r>
      <w:r w:rsidRPr="002E0AF6">
        <w:rPr>
          <w:b/>
          <w:bCs/>
          <w:sz w:val="22"/>
          <w:szCs w:val="22"/>
        </w:rPr>
        <w:t>α) Δερματικό  διάλυμα:</w:t>
      </w:r>
    </w:p>
    <w:p w:rsidR="00184F75" w:rsidRPr="002E0AF6" w:rsidRDefault="00184F75" w:rsidP="0005681C">
      <w:pPr>
        <w:tabs>
          <w:tab w:val="left" w:pos="-1092"/>
          <w:tab w:val="left" w:pos="-72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rPr>
          <w:b/>
          <w:sz w:val="22"/>
          <w:szCs w:val="22"/>
        </w:rPr>
      </w:pPr>
      <w:r w:rsidRPr="002E0AF6">
        <w:rPr>
          <w:sz w:val="22"/>
          <w:szCs w:val="22"/>
        </w:rPr>
        <w:t>Διατίθεται σε φιαλίδια - εφαρμοστές των 30ml. Ο εφαρμοστής είναι έτσι κατασκευασμένος, ώστε να μπορεί να εφαρμόζεται άμεσα στο πάσχον δέρμα.</w:t>
      </w:r>
    </w:p>
    <w:p w:rsidR="00184F75" w:rsidRPr="002E0AF6" w:rsidRDefault="00184F75">
      <w:pPr>
        <w:ind w:left="1080"/>
        <w:rPr>
          <w:sz w:val="22"/>
          <w:szCs w:val="22"/>
        </w:rPr>
      </w:pPr>
      <w:r w:rsidRPr="002E0AF6">
        <w:rPr>
          <w:sz w:val="22"/>
          <w:szCs w:val="22"/>
        </w:rPr>
        <w:t xml:space="preserve">              </w:t>
      </w:r>
    </w:p>
    <w:p w:rsidR="00184F75" w:rsidRPr="002E0AF6" w:rsidRDefault="00184F75">
      <w:pPr>
        <w:ind w:left="709" w:hanging="709"/>
        <w:rPr>
          <w:b/>
          <w:bCs/>
          <w:sz w:val="22"/>
          <w:szCs w:val="22"/>
        </w:rPr>
      </w:pPr>
      <w:r w:rsidRPr="002E0AF6">
        <w:rPr>
          <w:sz w:val="22"/>
          <w:szCs w:val="22"/>
        </w:rPr>
        <w:t xml:space="preserve">            </w:t>
      </w:r>
      <w:r w:rsidRPr="002E0AF6">
        <w:rPr>
          <w:b/>
          <w:bCs/>
          <w:sz w:val="22"/>
          <w:szCs w:val="22"/>
        </w:rPr>
        <w:t xml:space="preserve">β) Λοσιόν: </w:t>
      </w:r>
    </w:p>
    <w:p w:rsidR="00184F75" w:rsidRPr="002E0AF6" w:rsidRDefault="00184F75" w:rsidP="0005681C">
      <w:pPr>
        <w:ind w:left="1080" w:hanging="229"/>
        <w:rPr>
          <w:sz w:val="22"/>
          <w:szCs w:val="22"/>
        </w:rPr>
      </w:pPr>
      <w:r w:rsidRPr="002E0AF6">
        <w:rPr>
          <w:sz w:val="22"/>
          <w:szCs w:val="22"/>
        </w:rPr>
        <w:t xml:space="preserve">Διατίθεται σε φιαλίδια που περιέχουν 30ml λοσιόν.   </w:t>
      </w:r>
    </w:p>
    <w:p w:rsidR="00184F75" w:rsidRPr="002E0AF6" w:rsidRDefault="00184F75">
      <w:pPr>
        <w:ind w:left="1080"/>
        <w:rPr>
          <w:sz w:val="22"/>
          <w:szCs w:val="22"/>
        </w:rPr>
      </w:pPr>
      <w:r w:rsidRPr="002E0AF6">
        <w:rPr>
          <w:sz w:val="22"/>
          <w:szCs w:val="22"/>
        </w:rPr>
        <w:t xml:space="preserve">                                 </w:t>
      </w:r>
    </w:p>
    <w:p w:rsidR="00184F75" w:rsidRPr="002E0AF6" w:rsidRDefault="00184F75">
      <w:pPr>
        <w:ind w:left="709" w:hanging="709"/>
        <w:rPr>
          <w:sz w:val="22"/>
          <w:szCs w:val="22"/>
        </w:rPr>
      </w:pPr>
      <w:r w:rsidRPr="002E0AF6">
        <w:rPr>
          <w:b/>
          <w:sz w:val="22"/>
          <w:szCs w:val="22"/>
        </w:rPr>
        <w:t xml:space="preserve">1.6  </w:t>
      </w:r>
      <w:r w:rsidRPr="002E0AF6">
        <w:rPr>
          <w:b/>
          <w:sz w:val="22"/>
          <w:szCs w:val="22"/>
        </w:rPr>
        <w:tab/>
        <w:t xml:space="preserve">Φαρμακοθεραπευτική κατηγορία: </w:t>
      </w:r>
      <w:r w:rsidRPr="002E0AF6">
        <w:rPr>
          <w:sz w:val="22"/>
          <w:szCs w:val="22"/>
        </w:rPr>
        <w:t>Αντιβιοτικό</w:t>
      </w:r>
    </w:p>
    <w:p w:rsidR="00184F75" w:rsidRPr="002E0AF6" w:rsidRDefault="00184F75">
      <w:pPr>
        <w:ind w:left="709" w:hanging="709"/>
        <w:rPr>
          <w:b/>
          <w:sz w:val="22"/>
          <w:szCs w:val="22"/>
        </w:rPr>
      </w:pPr>
    </w:p>
    <w:p w:rsidR="00184F75" w:rsidRPr="002E0AF6" w:rsidRDefault="00184F75">
      <w:pPr>
        <w:rPr>
          <w:b/>
          <w:sz w:val="22"/>
          <w:szCs w:val="22"/>
        </w:rPr>
      </w:pPr>
      <w:r w:rsidRPr="002E0AF6">
        <w:rPr>
          <w:b/>
          <w:sz w:val="22"/>
          <w:szCs w:val="22"/>
        </w:rPr>
        <w:t>1.7</w:t>
      </w:r>
      <w:r w:rsidRPr="002E0AF6">
        <w:rPr>
          <w:b/>
          <w:sz w:val="22"/>
          <w:szCs w:val="22"/>
        </w:rPr>
        <w:tab/>
        <w:t xml:space="preserve">Υπεύθυνος κυκλοφορίας: </w:t>
      </w:r>
    </w:p>
    <w:p w:rsidR="00184F75" w:rsidRPr="002E0AF6" w:rsidRDefault="00184F75">
      <w:pPr>
        <w:tabs>
          <w:tab w:val="left" w:pos="-1092"/>
          <w:tab w:val="left" w:pos="-720"/>
          <w:tab w:val="left" w:pos="360"/>
          <w:tab w:val="left" w:pos="720"/>
          <w:tab w:val="left" w:pos="900"/>
          <w:tab w:val="left" w:pos="2160"/>
          <w:tab w:val="left" w:pos="2880"/>
          <w:tab w:val="left" w:pos="39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2E0AF6">
        <w:rPr>
          <w:sz w:val="22"/>
          <w:szCs w:val="22"/>
        </w:rPr>
        <w:t>PFIZER HELLAS A.E.</w:t>
      </w:r>
    </w:p>
    <w:p w:rsidR="00CD483C" w:rsidRPr="002E0AF6" w:rsidRDefault="00EB1307">
      <w:pPr>
        <w:tabs>
          <w:tab w:val="left" w:pos="-1092"/>
          <w:tab w:val="left" w:pos="-720"/>
          <w:tab w:val="left" w:pos="360"/>
          <w:tab w:val="left" w:pos="720"/>
          <w:tab w:val="left" w:pos="900"/>
          <w:tab w:val="left" w:pos="2160"/>
          <w:tab w:val="left" w:pos="2880"/>
          <w:tab w:val="left" w:pos="39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lang w:val="en-US"/>
        </w:rPr>
      </w:pPr>
      <w:r w:rsidRPr="002E0AF6">
        <w:rPr>
          <w:sz w:val="22"/>
          <w:szCs w:val="22"/>
        </w:rPr>
        <w:t xml:space="preserve">Λ. </w:t>
      </w:r>
      <w:r w:rsidR="00A54717" w:rsidRPr="002E0AF6">
        <w:rPr>
          <w:sz w:val="22"/>
          <w:szCs w:val="22"/>
        </w:rPr>
        <w:t xml:space="preserve">Μεσογείων 243, </w:t>
      </w:r>
    </w:p>
    <w:p w:rsidR="00184F75" w:rsidRPr="002E0AF6" w:rsidRDefault="00A54717">
      <w:pPr>
        <w:tabs>
          <w:tab w:val="left" w:pos="-1092"/>
          <w:tab w:val="left" w:pos="-720"/>
          <w:tab w:val="left" w:pos="360"/>
          <w:tab w:val="left" w:pos="720"/>
          <w:tab w:val="left" w:pos="900"/>
          <w:tab w:val="left" w:pos="2160"/>
          <w:tab w:val="left" w:pos="2880"/>
          <w:tab w:val="left" w:pos="39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2E0AF6">
        <w:rPr>
          <w:sz w:val="22"/>
          <w:szCs w:val="22"/>
        </w:rPr>
        <w:t>154 51 Ν. Ψυχικό</w:t>
      </w:r>
    </w:p>
    <w:p w:rsidR="00184F75" w:rsidRPr="002E0AF6" w:rsidRDefault="00184F75">
      <w:pPr>
        <w:tabs>
          <w:tab w:val="left" w:pos="-1092"/>
          <w:tab w:val="left" w:pos="-720"/>
          <w:tab w:val="left" w:pos="360"/>
          <w:tab w:val="left" w:pos="720"/>
          <w:tab w:val="left" w:pos="900"/>
          <w:tab w:val="left" w:pos="2160"/>
          <w:tab w:val="left" w:pos="2880"/>
          <w:tab w:val="left" w:pos="39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2E0AF6">
        <w:rPr>
          <w:sz w:val="22"/>
          <w:szCs w:val="22"/>
        </w:rPr>
        <w:t xml:space="preserve">Τηλ: 210 </w:t>
      </w:r>
      <w:r w:rsidR="00A54717" w:rsidRPr="002E0AF6">
        <w:rPr>
          <w:sz w:val="22"/>
          <w:szCs w:val="22"/>
        </w:rPr>
        <w:t>6785800</w:t>
      </w:r>
    </w:p>
    <w:p w:rsidR="00184F75" w:rsidRPr="002E0AF6" w:rsidRDefault="00184F75">
      <w:pPr>
        <w:tabs>
          <w:tab w:val="left" w:pos="-1092"/>
          <w:tab w:val="left" w:pos="-720"/>
          <w:tab w:val="left" w:pos="360"/>
          <w:tab w:val="left" w:pos="720"/>
          <w:tab w:val="left" w:pos="1440"/>
          <w:tab w:val="left" w:pos="2160"/>
          <w:tab w:val="left" w:pos="2880"/>
          <w:tab w:val="left" w:pos="39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184F75" w:rsidRPr="002E0AF6" w:rsidRDefault="00184F75">
      <w:pPr>
        <w:numPr>
          <w:ilvl w:val="1"/>
          <w:numId w:val="10"/>
        </w:numPr>
        <w:tabs>
          <w:tab w:val="clear" w:pos="360"/>
          <w:tab w:val="left" w:pos="-1092"/>
          <w:tab w:val="left" w:pos="-720"/>
          <w:tab w:val="num"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E0AF6">
        <w:rPr>
          <w:b/>
          <w:sz w:val="22"/>
          <w:szCs w:val="22"/>
        </w:rPr>
        <w:t>Παρασκευαστής</w:t>
      </w:r>
      <w:r w:rsidR="00A54717" w:rsidRPr="002E0AF6">
        <w:rPr>
          <w:b/>
          <w:sz w:val="22"/>
          <w:szCs w:val="22"/>
        </w:rPr>
        <w:t>-Συσκευαστής</w:t>
      </w:r>
      <w:r w:rsidRPr="002E0AF6">
        <w:rPr>
          <w:b/>
          <w:sz w:val="22"/>
          <w:szCs w:val="22"/>
        </w:rPr>
        <w:t>:</w:t>
      </w:r>
      <w:r w:rsidRPr="002E0AF6">
        <w:rPr>
          <w:sz w:val="22"/>
          <w:szCs w:val="22"/>
        </w:rPr>
        <w:t xml:space="preserve"> </w:t>
      </w:r>
      <w:r w:rsidRPr="002E0AF6">
        <w:rPr>
          <w:sz w:val="22"/>
          <w:szCs w:val="22"/>
        </w:rPr>
        <w:tab/>
      </w:r>
    </w:p>
    <w:p w:rsidR="00184F75" w:rsidRPr="002E0AF6" w:rsidRDefault="00A54717">
      <w:pPr>
        <w:tabs>
          <w:tab w:val="left" w:pos="-1092"/>
          <w:tab w:val="left" w:pos="-720"/>
          <w:tab w:val="left" w:pos="36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2E0AF6">
        <w:rPr>
          <w:b/>
          <w:bCs/>
          <w:sz w:val="22"/>
          <w:szCs w:val="22"/>
        </w:rPr>
        <w:t>Δερματικό διάλυμα -</w:t>
      </w:r>
      <w:r w:rsidR="00184F75" w:rsidRPr="002E0AF6">
        <w:rPr>
          <w:b/>
          <w:bCs/>
          <w:sz w:val="22"/>
          <w:szCs w:val="22"/>
        </w:rPr>
        <w:t xml:space="preserve"> Λοσιόν:  </w:t>
      </w:r>
    </w:p>
    <w:p w:rsidR="00184F75" w:rsidRPr="002E0AF6" w:rsidRDefault="00365F3D">
      <w:pPr>
        <w:tabs>
          <w:tab w:val="left" w:pos="-1092"/>
          <w:tab w:val="left" w:pos="-720"/>
          <w:tab w:val="left" w:pos="36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2E0AF6">
        <w:rPr>
          <w:sz w:val="22"/>
          <w:szCs w:val="22"/>
          <w:lang w:val="en-US"/>
        </w:rPr>
        <w:t>Pharmacia</w:t>
      </w:r>
      <w:r w:rsidRPr="002E0AF6">
        <w:rPr>
          <w:sz w:val="22"/>
          <w:szCs w:val="22"/>
        </w:rPr>
        <w:t xml:space="preserve"> &amp; </w:t>
      </w:r>
      <w:r w:rsidRPr="002E0AF6">
        <w:rPr>
          <w:sz w:val="22"/>
          <w:szCs w:val="22"/>
          <w:lang w:val="en-US"/>
        </w:rPr>
        <w:t>Upjohn</w:t>
      </w:r>
      <w:r w:rsidRPr="002E0AF6">
        <w:rPr>
          <w:sz w:val="22"/>
          <w:szCs w:val="22"/>
        </w:rPr>
        <w:t xml:space="preserve"> </w:t>
      </w:r>
      <w:r w:rsidRPr="002E0AF6">
        <w:rPr>
          <w:sz w:val="22"/>
          <w:szCs w:val="22"/>
          <w:lang w:val="en-US"/>
        </w:rPr>
        <w:t>Company</w:t>
      </w:r>
      <w:r w:rsidRPr="002E0AF6">
        <w:rPr>
          <w:sz w:val="22"/>
          <w:szCs w:val="22"/>
        </w:rPr>
        <w:t xml:space="preserve">, </w:t>
      </w:r>
      <w:smartTag w:uri="urn:schemas-microsoft-com:office:smarttags" w:element="State">
        <w:smartTag w:uri="urn:schemas-microsoft-com:office:smarttags" w:element="place">
          <w:r w:rsidRPr="002E0AF6">
            <w:rPr>
              <w:sz w:val="22"/>
              <w:szCs w:val="22"/>
              <w:lang w:val="en-US"/>
            </w:rPr>
            <w:t>Michigan</w:t>
          </w:r>
        </w:smartTag>
      </w:smartTag>
      <w:r w:rsidRPr="002E0AF6">
        <w:rPr>
          <w:sz w:val="22"/>
          <w:szCs w:val="22"/>
        </w:rPr>
        <w:t xml:space="preserve">, </w:t>
      </w:r>
      <w:r w:rsidRPr="002E0AF6">
        <w:rPr>
          <w:sz w:val="22"/>
          <w:szCs w:val="22"/>
          <w:lang w:val="en-US"/>
        </w:rPr>
        <w:t>H</w:t>
      </w:r>
      <w:r w:rsidRPr="002E0AF6">
        <w:rPr>
          <w:sz w:val="22"/>
          <w:szCs w:val="22"/>
        </w:rPr>
        <w:t>ΠΑ</w:t>
      </w:r>
    </w:p>
    <w:p w:rsidR="00E66062" w:rsidRPr="002E0AF6" w:rsidRDefault="00E66062" w:rsidP="00365F3D">
      <w:pPr>
        <w:tabs>
          <w:tab w:val="left" w:pos="-1092"/>
          <w:tab w:val="left" w:pos="-720"/>
          <w:tab w:val="left" w:pos="36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E66062" w:rsidRPr="002E0AF6" w:rsidRDefault="00E66062" w:rsidP="00E66062">
      <w:pPr>
        <w:tabs>
          <w:tab w:val="left" w:pos="-1092"/>
          <w:tab w:val="left" w:pos="-720"/>
          <w:tab w:val="left" w:pos="36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2"/>
          <w:szCs w:val="22"/>
        </w:rPr>
      </w:pPr>
      <w:r w:rsidRPr="002E0AF6">
        <w:rPr>
          <w:b/>
          <w:sz w:val="22"/>
          <w:szCs w:val="22"/>
        </w:rPr>
        <w:t>Εναλλακτικός Παρασκευαστής</w:t>
      </w:r>
      <w:r w:rsidR="002E0BAC" w:rsidRPr="002E0AF6">
        <w:rPr>
          <w:b/>
          <w:sz w:val="22"/>
          <w:szCs w:val="22"/>
        </w:rPr>
        <w:t>-Συσκευαστής</w:t>
      </w:r>
      <w:r w:rsidRPr="002E0AF6">
        <w:rPr>
          <w:b/>
          <w:sz w:val="22"/>
          <w:szCs w:val="22"/>
        </w:rPr>
        <w:t>:</w:t>
      </w:r>
    </w:p>
    <w:p w:rsidR="00E66062" w:rsidRPr="002E0AF6" w:rsidRDefault="00E66062">
      <w:pPr>
        <w:tabs>
          <w:tab w:val="left" w:pos="-1092"/>
          <w:tab w:val="left" w:pos="-720"/>
          <w:tab w:val="left" w:pos="36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2"/>
          <w:szCs w:val="22"/>
        </w:rPr>
      </w:pPr>
      <w:r w:rsidRPr="002E0AF6">
        <w:rPr>
          <w:b/>
          <w:sz w:val="22"/>
          <w:szCs w:val="22"/>
        </w:rPr>
        <w:t>Λο</w:t>
      </w:r>
      <w:r w:rsidR="00365F3D" w:rsidRPr="002E0AF6">
        <w:rPr>
          <w:b/>
          <w:sz w:val="22"/>
          <w:szCs w:val="22"/>
        </w:rPr>
        <w:t>σ</w:t>
      </w:r>
      <w:r w:rsidRPr="002E0AF6">
        <w:rPr>
          <w:b/>
          <w:sz w:val="22"/>
          <w:szCs w:val="22"/>
        </w:rPr>
        <w:t>ιόν:</w:t>
      </w:r>
    </w:p>
    <w:p w:rsidR="00E66062" w:rsidRPr="002E0AF6" w:rsidRDefault="002E0BAC">
      <w:pPr>
        <w:tabs>
          <w:tab w:val="left" w:pos="-1092"/>
          <w:tab w:val="left" w:pos="-720"/>
          <w:tab w:val="left" w:pos="36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lang w:val="it-IT"/>
        </w:rPr>
      </w:pPr>
      <w:r w:rsidRPr="002E0AF6">
        <w:rPr>
          <w:sz w:val="22"/>
          <w:szCs w:val="22"/>
          <w:lang w:val="it-IT"/>
        </w:rPr>
        <w:t xml:space="preserve">Pfizer Italia SRL, Ascoli, Piceno, </w:t>
      </w:r>
      <w:r w:rsidRPr="002E0AF6">
        <w:rPr>
          <w:sz w:val="22"/>
          <w:szCs w:val="22"/>
        </w:rPr>
        <w:t>Ιταλία</w:t>
      </w:r>
    </w:p>
    <w:p w:rsidR="00CC39F4" w:rsidRPr="002E0AF6" w:rsidRDefault="00CC39F4">
      <w:pPr>
        <w:tabs>
          <w:tab w:val="left" w:pos="-1092"/>
          <w:tab w:val="left" w:pos="-720"/>
          <w:tab w:val="left" w:pos="36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lang w:val="en-GB"/>
        </w:rPr>
      </w:pPr>
      <w:r w:rsidRPr="002E0AF6">
        <w:rPr>
          <w:sz w:val="22"/>
          <w:szCs w:val="22"/>
          <w:lang w:val="en-US"/>
        </w:rPr>
        <w:t xml:space="preserve">Pfizer Manufacturing </w:t>
      </w:r>
      <w:smartTag w:uri="urn:schemas-microsoft-com:office:smarttags" w:element="country-region">
        <w:smartTag w:uri="urn:schemas-microsoft-com:office:smarttags" w:element="place">
          <w:r w:rsidRPr="002E0AF6">
            <w:rPr>
              <w:sz w:val="22"/>
              <w:szCs w:val="22"/>
              <w:lang w:val="en-US"/>
            </w:rPr>
            <w:t>Belgium</w:t>
          </w:r>
        </w:smartTag>
      </w:smartTag>
      <w:r w:rsidRPr="002E0AF6">
        <w:rPr>
          <w:sz w:val="22"/>
          <w:szCs w:val="22"/>
          <w:lang w:val="en-US"/>
        </w:rPr>
        <w:t xml:space="preserve">, NV, </w:t>
      </w:r>
      <w:proofErr w:type="spellStart"/>
      <w:r w:rsidRPr="002E0AF6">
        <w:rPr>
          <w:sz w:val="22"/>
          <w:szCs w:val="22"/>
          <w:lang w:val="en-US"/>
        </w:rPr>
        <w:t>Puurs</w:t>
      </w:r>
      <w:proofErr w:type="spellEnd"/>
      <w:r w:rsidRPr="002E0AF6">
        <w:rPr>
          <w:sz w:val="22"/>
          <w:szCs w:val="22"/>
          <w:lang w:val="en-US"/>
        </w:rPr>
        <w:t xml:space="preserve">, </w:t>
      </w:r>
      <w:r w:rsidRPr="002E0AF6">
        <w:rPr>
          <w:sz w:val="22"/>
          <w:szCs w:val="22"/>
        </w:rPr>
        <w:t>Βέλγιο</w:t>
      </w:r>
    </w:p>
    <w:p w:rsidR="00184F75" w:rsidRPr="002E0AF6" w:rsidRDefault="00184F75">
      <w:pPr>
        <w:tabs>
          <w:tab w:val="left" w:pos="-1092"/>
          <w:tab w:val="left" w:pos="-720"/>
          <w:tab w:val="left" w:pos="36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lang w:val="en-GB"/>
        </w:rPr>
      </w:pPr>
    </w:p>
    <w:p w:rsidR="00184F75" w:rsidRPr="002E0AF6" w:rsidRDefault="00184F75">
      <w:pPr>
        <w:rPr>
          <w:b/>
          <w:sz w:val="22"/>
          <w:szCs w:val="22"/>
          <w:lang w:val="en-GB"/>
        </w:rPr>
      </w:pPr>
    </w:p>
    <w:p w:rsidR="00184F75" w:rsidRPr="002E0AF6" w:rsidRDefault="00184F75">
      <w:pPr>
        <w:pBdr>
          <w:top w:val="single" w:sz="4" w:space="1" w:color="auto"/>
          <w:left w:val="single" w:sz="4" w:space="4" w:color="auto"/>
          <w:bottom w:val="single" w:sz="4" w:space="1" w:color="auto"/>
          <w:right w:val="single" w:sz="4" w:space="4" w:color="auto"/>
        </w:pBdr>
        <w:rPr>
          <w:b/>
          <w:sz w:val="22"/>
          <w:szCs w:val="22"/>
        </w:rPr>
      </w:pPr>
      <w:r w:rsidRPr="002E0AF6">
        <w:rPr>
          <w:b/>
          <w:sz w:val="22"/>
          <w:szCs w:val="22"/>
        </w:rPr>
        <w:t>2. ΤΙ ΠΡΕΠΕΙ ΝΑ ΓΝΩΡΙΖΕΤΕ ΓΙΑ ΤΟ ΦΑΡΜΑΚΟ ΠΟΥ ΣΑΣ ΧΟΡΗΓΗΣΕ Ο ΓΙΑΤΡΟΣ ΣΑΣ.</w:t>
      </w:r>
    </w:p>
    <w:p w:rsidR="00AB7C44" w:rsidRDefault="003C12B6" w:rsidP="003C12B6">
      <w:pPr>
        <w:rPr>
          <w:sz w:val="22"/>
          <w:szCs w:val="22"/>
        </w:rPr>
      </w:pPr>
      <w:r w:rsidRPr="003C12B6">
        <w:rPr>
          <w:b/>
          <w:sz w:val="22"/>
          <w:szCs w:val="22"/>
        </w:rPr>
        <w:t>2.1</w:t>
      </w:r>
      <w:r>
        <w:rPr>
          <w:sz w:val="22"/>
          <w:szCs w:val="22"/>
        </w:rPr>
        <w:tab/>
      </w:r>
      <w:r w:rsidR="00AB7C44" w:rsidRPr="004846EE">
        <w:rPr>
          <w:b/>
          <w:sz w:val="22"/>
          <w:szCs w:val="22"/>
        </w:rPr>
        <w:t>Γενικές Πληροφορίες:</w:t>
      </w:r>
    </w:p>
    <w:p w:rsidR="00184F75" w:rsidRPr="002E0AF6" w:rsidRDefault="00184F75" w:rsidP="00AB7C44">
      <w:pPr>
        <w:ind w:firstLine="720"/>
        <w:rPr>
          <w:sz w:val="22"/>
          <w:szCs w:val="22"/>
        </w:rPr>
      </w:pPr>
      <w:r w:rsidRPr="002E0AF6">
        <w:rPr>
          <w:sz w:val="22"/>
          <w:szCs w:val="22"/>
        </w:rPr>
        <w:t>Η φωσφορική κλινδαμυκίνη είναι ο εστέρας της κλινδαμυκίνης και είναι ημισυνθετικό αντιβιοτικό.</w:t>
      </w:r>
    </w:p>
    <w:p w:rsidR="00184F75" w:rsidRPr="002E0AF6" w:rsidRDefault="00184F75" w:rsidP="00FF296C">
      <w:pPr>
        <w:ind w:left="720"/>
        <w:rPr>
          <w:sz w:val="22"/>
          <w:szCs w:val="22"/>
        </w:rPr>
      </w:pPr>
      <w:r w:rsidRPr="002E0AF6">
        <w:rPr>
          <w:sz w:val="22"/>
          <w:szCs w:val="22"/>
        </w:rPr>
        <w:t>Ανάλογα με την ευαισθησία του μικροοργανισμού και τη συγκέντρωση του αντιβιοτικού, η κλινδαμυκίνη μπορεί να είναι βακτηριοκτόνος</w:t>
      </w:r>
      <w:r w:rsidR="00664CAC">
        <w:rPr>
          <w:sz w:val="22"/>
          <w:szCs w:val="22"/>
        </w:rPr>
        <w:t xml:space="preserve"> </w:t>
      </w:r>
      <w:r w:rsidRPr="002E0AF6">
        <w:rPr>
          <w:sz w:val="22"/>
          <w:szCs w:val="22"/>
        </w:rPr>
        <w:t xml:space="preserve">ή βακτηριοστατική. </w:t>
      </w:r>
    </w:p>
    <w:p w:rsidR="00184F75" w:rsidRPr="002E0AF6" w:rsidRDefault="00184F75" w:rsidP="00FF296C">
      <w:pPr>
        <w:ind w:left="717"/>
        <w:rPr>
          <w:sz w:val="22"/>
          <w:szCs w:val="22"/>
        </w:rPr>
      </w:pPr>
      <w:r w:rsidRPr="002E0AF6">
        <w:rPr>
          <w:sz w:val="22"/>
          <w:szCs w:val="22"/>
        </w:rPr>
        <w:lastRenderedPageBreak/>
        <w:t>Η κλινδαμυκίνη δεν παρουσιάζει μυκητοκτόνο δράση. Η φωσφορική κλινδαμυκίνη υδρολύεται από τις φωσφατάσες του δέρματος σε δραστική βάση κλινδαμυκίνης.</w:t>
      </w:r>
    </w:p>
    <w:p w:rsidR="00184F75" w:rsidRPr="002E0AF6" w:rsidRDefault="00184F75">
      <w:pPr>
        <w:rPr>
          <w:sz w:val="22"/>
          <w:szCs w:val="22"/>
        </w:rPr>
      </w:pPr>
    </w:p>
    <w:p w:rsidR="00184F75" w:rsidRPr="002E0AF6" w:rsidRDefault="00184F75" w:rsidP="00FF296C">
      <w:pPr>
        <w:tabs>
          <w:tab w:val="left" w:pos="720"/>
        </w:tabs>
        <w:rPr>
          <w:sz w:val="22"/>
          <w:szCs w:val="22"/>
        </w:rPr>
      </w:pPr>
      <w:r w:rsidRPr="002E0AF6">
        <w:rPr>
          <w:b/>
          <w:sz w:val="22"/>
          <w:szCs w:val="22"/>
        </w:rPr>
        <w:t>2.</w:t>
      </w:r>
      <w:r w:rsidR="003C12B6">
        <w:rPr>
          <w:b/>
          <w:sz w:val="22"/>
          <w:szCs w:val="22"/>
        </w:rPr>
        <w:t>2</w:t>
      </w:r>
      <w:r w:rsidRPr="002E0AF6">
        <w:rPr>
          <w:b/>
          <w:sz w:val="22"/>
          <w:szCs w:val="22"/>
        </w:rPr>
        <w:t xml:space="preserve">   </w:t>
      </w:r>
      <w:r w:rsidR="008C2964" w:rsidRPr="002E0AF6">
        <w:rPr>
          <w:b/>
          <w:sz w:val="22"/>
          <w:szCs w:val="22"/>
        </w:rPr>
        <w:t xml:space="preserve"> </w:t>
      </w:r>
      <w:r w:rsidR="00FF296C" w:rsidRPr="002E0AF6">
        <w:rPr>
          <w:b/>
          <w:sz w:val="22"/>
          <w:szCs w:val="22"/>
        </w:rPr>
        <w:tab/>
      </w:r>
      <w:r w:rsidRPr="002E0AF6">
        <w:rPr>
          <w:b/>
          <w:sz w:val="22"/>
          <w:szCs w:val="22"/>
        </w:rPr>
        <w:t>Ενδείξεις</w:t>
      </w:r>
    </w:p>
    <w:p w:rsidR="00184F75" w:rsidRPr="002E0AF6" w:rsidRDefault="00184F75" w:rsidP="00FF296C">
      <w:pPr>
        <w:ind w:left="709"/>
        <w:rPr>
          <w:sz w:val="22"/>
          <w:szCs w:val="22"/>
        </w:rPr>
      </w:pPr>
      <w:r w:rsidRPr="002E0AF6">
        <w:rPr>
          <w:sz w:val="22"/>
          <w:szCs w:val="22"/>
        </w:rPr>
        <w:t>Η κλινδαμυκίνη για τοπική χρήση ενδείκνυται για την αντιμετώπιση της ακμής (ιδιαιτέρως της φλεγμονώδους)</w:t>
      </w:r>
      <w:r w:rsidR="008C2964" w:rsidRPr="002E0AF6">
        <w:rPr>
          <w:sz w:val="22"/>
          <w:szCs w:val="22"/>
        </w:rPr>
        <w:t>.</w:t>
      </w:r>
    </w:p>
    <w:p w:rsidR="00184F75" w:rsidRPr="002E0AF6" w:rsidRDefault="00184F75">
      <w:pPr>
        <w:rPr>
          <w:sz w:val="22"/>
          <w:szCs w:val="22"/>
        </w:rPr>
      </w:pPr>
    </w:p>
    <w:p w:rsidR="00184F75" w:rsidRPr="002E0AF6" w:rsidRDefault="00184F75">
      <w:pPr>
        <w:ind w:left="709" w:hanging="709"/>
        <w:rPr>
          <w:b/>
          <w:sz w:val="22"/>
          <w:szCs w:val="22"/>
        </w:rPr>
      </w:pPr>
      <w:r w:rsidRPr="002E0AF6">
        <w:rPr>
          <w:b/>
          <w:sz w:val="22"/>
          <w:szCs w:val="22"/>
        </w:rPr>
        <w:t>2.</w:t>
      </w:r>
      <w:r w:rsidR="003C12B6">
        <w:rPr>
          <w:b/>
          <w:sz w:val="22"/>
          <w:szCs w:val="22"/>
        </w:rPr>
        <w:t>3</w:t>
      </w:r>
      <w:r w:rsidR="00282EBA" w:rsidRPr="002E0AF6">
        <w:rPr>
          <w:b/>
          <w:sz w:val="22"/>
          <w:szCs w:val="22"/>
        </w:rPr>
        <w:t xml:space="preserve">    </w:t>
      </w:r>
      <w:r w:rsidR="00E02ABA" w:rsidRPr="002E0AF6">
        <w:rPr>
          <w:b/>
          <w:sz w:val="22"/>
          <w:szCs w:val="22"/>
        </w:rPr>
        <w:tab/>
      </w:r>
      <w:r w:rsidRPr="002E0AF6">
        <w:rPr>
          <w:b/>
          <w:sz w:val="22"/>
          <w:szCs w:val="22"/>
        </w:rPr>
        <w:t>Αντενδείξεις :</w:t>
      </w:r>
    </w:p>
    <w:p w:rsidR="00184F75" w:rsidRPr="002E0AF6" w:rsidRDefault="00184F75" w:rsidP="00FF296C">
      <w:pPr>
        <w:ind w:left="709"/>
        <w:rPr>
          <w:sz w:val="22"/>
          <w:szCs w:val="22"/>
        </w:rPr>
      </w:pPr>
      <w:r w:rsidRPr="002E0AF6">
        <w:rPr>
          <w:sz w:val="22"/>
          <w:szCs w:val="22"/>
        </w:rPr>
        <w:t xml:space="preserve">Η κλινδαμυκίνη (φωσφορική κλινδαμυκίνη) αντενδείκνυται σε άτομα με ιστορικό υπερευαισθησίας στην κλινδαμυκίνη ή τη λινκομυκίνη, ή στα έκδοχα. </w:t>
      </w:r>
      <w:r w:rsidR="00664CAC">
        <w:rPr>
          <w:sz w:val="22"/>
          <w:szCs w:val="22"/>
        </w:rPr>
        <w:t>Επίσης,</w:t>
      </w:r>
      <w:r w:rsidRPr="002E0AF6">
        <w:rPr>
          <w:sz w:val="22"/>
          <w:szCs w:val="22"/>
        </w:rPr>
        <w:t xml:space="preserve"> σε άτομα με ιστορικό </w:t>
      </w:r>
      <w:r w:rsidR="00664CAC">
        <w:rPr>
          <w:sz w:val="22"/>
          <w:szCs w:val="22"/>
        </w:rPr>
        <w:t xml:space="preserve">φλεγμονώδους νόσου του εντέρου ή </w:t>
      </w:r>
      <w:r w:rsidR="00664CAC" w:rsidRPr="004B6B4D">
        <w:rPr>
          <w:sz w:val="22"/>
          <w:szCs w:val="22"/>
        </w:rPr>
        <w:t>κολίτιδ</w:t>
      </w:r>
      <w:r w:rsidR="00664CAC">
        <w:rPr>
          <w:sz w:val="22"/>
          <w:szCs w:val="22"/>
        </w:rPr>
        <w:t>α</w:t>
      </w:r>
      <w:r w:rsidR="00664CAC" w:rsidRPr="004B6B4D">
        <w:rPr>
          <w:sz w:val="22"/>
          <w:szCs w:val="22"/>
        </w:rPr>
        <w:t xml:space="preserve">ς </w:t>
      </w:r>
      <w:r w:rsidR="00664CAC">
        <w:rPr>
          <w:sz w:val="22"/>
          <w:szCs w:val="22"/>
        </w:rPr>
        <w:t>από</w:t>
      </w:r>
      <w:r w:rsidR="00664CAC" w:rsidRPr="004B6B4D">
        <w:rPr>
          <w:sz w:val="22"/>
          <w:szCs w:val="22"/>
        </w:rPr>
        <w:t xml:space="preserve"> αντιβιοτικ</w:t>
      </w:r>
      <w:r w:rsidR="00664CAC">
        <w:rPr>
          <w:sz w:val="22"/>
          <w:szCs w:val="22"/>
        </w:rPr>
        <w:t xml:space="preserve">ά. </w:t>
      </w:r>
    </w:p>
    <w:p w:rsidR="00184F75" w:rsidRPr="002E0AF6" w:rsidRDefault="00184F75">
      <w:pPr>
        <w:rPr>
          <w:sz w:val="22"/>
          <w:szCs w:val="22"/>
        </w:rPr>
      </w:pPr>
    </w:p>
    <w:p w:rsidR="00184F75" w:rsidRPr="002E0AF6" w:rsidRDefault="00184F75" w:rsidP="00467B1A">
      <w:pPr>
        <w:tabs>
          <w:tab w:val="left" w:pos="540"/>
        </w:tabs>
        <w:rPr>
          <w:b/>
          <w:sz w:val="22"/>
          <w:szCs w:val="22"/>
        </w:rPr>
      </w:pPr>
      <w:r w:rsidRPr="002E0AF6">
        <w:rPr>
          <w:b/>
          <w:sz w:val="22"/>
          <w:szCs w:val="22"/>
        </w:rPr>
        <w:t>2.</w:t>
      </w:r>
      <w:r w:rsidR="003C12B6">
        <w:rPr>
          <w:b/>
          <w:sz w:val="22"/>
          <w:szCs w:val="22"/>
        </w:rPr>
        <w:t>4</w:t>
      </w:r>
      <w:r w:rsidRPr="002E0AF6">
        <w:rPr>
          <w:b/>
          <w:sz w:val="22"/>
          <w:szCs w:val="22"/>
        </w:rPr>
        <w:tab/>
      </w:r>
      <w:r w:rsidR="00FF296C" w:rsidRPr="002E0AF6">
        <w:rPr>
          <w:b/>
          <w:sz w:val="22"/>
          <w:szCs w:val="22"/>
        </w:rPr>
        <w:tab/>
      </w:r>
      <w:r w:rsidRPr="002E0AF6">
        <w:rPr>
          <w:b/>
          <w:sz w:val="22"/>
          <w:szCs w:val="22"/>
        </w:rPr>
        <w:t>Ειδικές προφυλάξεις και προειδοποιήσεις κατά τη χρήση:</w:t>
      </w:r>
    </w:p>
    <w:p w:rsidR="00184F75" w:rsidRPr="002E0AF6" w:rsidRDefault="00184F75">
      <w:pPr>
        <w:ind w:left="720"/>
        <w:jc w:val="both"/>
        <w:rPr>
          <w:b/>
          <w:sz w:val="22"/>
          <w:szCs w:val="22"/>
        </w:rPr>
      </w:pPr>
    </w:p>
    <w:p w:rsidR="00664CAC" w:rsidRPr="002E0AF6" w:rsidRDefault="00184F75" w:rsidP="00467B1A">
      <w:pPr>
        <w:tabs>
          <w:tab w:val="left" w:pos="540"/>
        </w:tabs>
        <w:ind w:left="540" w:hanging="540"/>
        <w:jc w:val="both"/>
        <w:rPr>
          <w:sz w:val="22"/>
          <w:szCs w:val="22"/>
        </w:rPr>
      </w:pPr>
      <w:r w:rsidRPr="002E0AF6">
        <w:rPr>
          <w:b/>
          <w:sz w:val="22"/>
          <w:szCs w:val="22"/>
        </w:rPr>
        <w:t>2.</w:t>
      </w:r>
      <w:r w:rsidR="003C12B6">
        <w:rPr>
          <w:b/>
          <w:sz w:val="22"/>
          <w:szCs w:val="22"/>
        </w:rPr>
        <w:t>4</w:t>
      </w:r>
      <w:r w:rsidRPr="002E0AF6">
        <w:rPr>
          <w:b/>
          <w:sz w:val="22"/>
          <w:szCs w:val="22"/>
        </w:rPr>
        <w:t>.1</w:t>
      </w:r>
      <w:r w:rsidRPr="002E0AF6">
        <w:rPr>
          <w:b/>
          <w:sz w:val="22"/>
          <w:szCs w:val="22"/>
        </w:rPr>
        <w:tab/>
      </w:r>
      <w:r w:rsidR="00664CAC">
        <w:rPr>
          <w:b/>
          <w:sz w:val="22"/>
          <w:szCs w:val="22"/>
        </w:rPr>
        <w:t xml:space="preserve"> </w:t>
      </w:r>
      <w:r w:rsidRPr="002E0AF6">
        <w:rPr>
          <w:sz w:val="22"/>
          <w:szCs w:val="22"/>
        </w:rPr>
        <w:t xml:space="preserve">Τα περισσότερα αντιβιοτικά, συμπεριλαμβανομένης και της κλινδαμυκίνης, έχουν σχετισθεί με την </w:t>
      </w:r>
      <w:r w:rsidR="00664CAC">
        <w:rPr>
          <w:sz w:val="22"/>
          <w:szCs w:val="22"/>
        </w:rPr>
        <w:t xml:space="preserve">  </w:t>
      </w:r>
      <w:r w:rsidRPr="002E0AF6">
        <w:rPr>
          <w:sz w:val="22"/>
          <w:szCs w:val="22"/>
        </w:rPr>
        <w:t>πρόκληση σοβαρής διάρροιας και ψευδομεμβρανώδους κολίτιδας.</w:t>
      </w:r>
      <w:r w:rsidR="00664CAC">
        <w:rPr>
          <w:sz w:val="22"/>
          <w:szCs w:val="22"/>
        </w:rPr>
        <w:t xml:space="preserve"> </w:t>
      </w:r>
    </w:p>
    <w:p w:rsidR="00184F75" w:rsidRPr="002E0AF6" w:rsidRDefault="00184F75" w:rsidP="00664CAC">
      <w:pPr>
        <w:tabs>
          <w:tab w:val="left" w:pos="540"/>
        </w:tabs>
        <w:ind w:left="540" w:firstLine="27"/>
        <w:jc w:val="both"/>
        <w:rPr>
          <w:sz w:val="22"/>
          <w:szCs w:val="22"/>
        </w:rPr>
      </w:pPr>
      <w:r w:rsidRPr="002E0AF6">
        <w:rPr>
          <w:sz w:val="22"/>
          <w:szCs w:val="22"/>
        </w:rPr>
        <w:t>Σπανίως</w:t>
      </w:r>
      <w:r w:rsidR="00664CAC">
        <w:rPr>
          <w:sz w:val="22"/>
          <w:szCs w:val="22"/>
        </w:rPr>
        <w:t>,</w:t>
      </w:r>
      <w:r w:rsidRPr="002E0AF6">
        <w:rPr>
          <w:sz w:val="22"/>
          <w:szCs w:val="22"/>
        </w:rPr>
        <w:t xml:space="preserve"> έχουν αναφερθεί περιπτώσεις διάρροιας και κολίτιδας από την τοπική χρήση κλινδαμυκίνης.</w:t>
      </w:r>
      <w:r w:rsidR="00664CAC">
        <w:rPr>
          <w:sz w:val="22"/>
          <w:szCs w:val="22"/>
        </w:rPr>
        <w:t xml:space="preserve"> </w:t>
      </w:r>
      <w:r w:rsidRPr="002E0AF6">
        <w:rPr>
          <w:sz w:val="22"/>
          <w:szCs w:val="22"/>
        </w:rPr>
        <w:t xml:space="preserve">Κατά συνέπεια, ο γιατρός θα πρέπει να λαμβάνει υπόψη το ενδεχόμενο εμφάνισης διάρροιας ή κολίτιδας που σχετίζονται με το αντιβιοτικό. Αν παρουσιαστεί διάρροια ή αν </w:t>
      </w:r>
      <w:r w:rsidR="003C12B6" w:rsidRPr="002E0AF6">
        <w:rPr>
          <w:sz w:val="22"/>
          <w:szCs w:val="22"/>
        </w:rPr>
        <w:t>είστε</w:t>
      </w:r>
      <w:r w:rsidRPr="002E0AF6">
        <w:rPr>
          <w:sz w:val="22"/>
          <w:szCs w:val="22"/>
        </w:rPr>
        <w:t xml:space="preserve"> αλλεργικό άτομο, να ενημερώσετε το γιατρό σας. Στην περίπτωση που εμφανιστεί σοβαρή ή παρατεταμένη διάρροια, θα πρέπει να διακόπτεται η χορήγηση του φαρμάκου και να εφαρμόζονται οι κατάλληλες διαγνωστικές διαδικασίες καθώς και θεραπευτική αγωγή.</w:t>
      </w:r>
    </w:p>
    <w:p w:rsidR="00184F75" w:rsidRPr="002E0AF6" w:rsidRDefault="00184F75">
      <w:pPr>
        <w:rPr>
          <w:b/>
          <w:sz w:val="22"/>
          <w:szCs w:val="22"/>
        </w:rPr>
      </w:pPr>
    </w:p>
    <w:p w:rsidR="00184F75" w:rsidRPr="002E0AF6" w:rsidRDefault="00184F75" w:rsidP="00FF296C">
      <w:pPr>
        <w:tabs>
          <w:tab w:val="left" w:pos="720"/>
        </w:tabs>
        <w:rPr>
          <w:sz w:val="22"/>
          <w:szCs w:val="22"/>
        </w:rPr>
      </w:pPr>
      <w:r w:rsidRPr="002E0AF6">
        <w:rPr>
          <w:b/>
          <w:sz w:val="22"/>
          <w:szCs w:val="22"/>
        </w:rPr>
        <w:t>2.</w:t>
      </w:r>
      <w:r w:rsidR="003C12B6">
        <w:rPr>
          <w:b/>
          <w:sz w:val="22"/>
          <w:szCs w:val="22"/>
        </w:rPr>
        <w:t>4</w:t>
      </w:r>
      <w:r w:rsidRPr="002E0AF6">
        <w:rPr>
          <w:b/>
          <w:sz w:val="22"/>
          <w:szCs w:val="22"/>
        </w:rPr>
        <w:t xml:space="preserve">.2  </w:t>
      </w:r>
      <w:r w:rsidR="00E02ABA" w:rsidRPr="002E0AF6">
        <w:rPr>
          <w:b/>
          <w:sz w:val="22"/>
          <w:szCs w:val="22"/>
        </w:rPr>
        <w:tab/>
      </w:r>
      <w:r w:rsidRPr="002E0AF6">
        <w:rPr>
          <w:b/>
          <w:sz w:val="22"/>
          <w:szCs w:val="22"/>
        </w:rPr>
        <w:t>Ηλικιωμένοι:</w:t>
      </w:r>
      <w:r w:rsidRPr="002E0AF6">
        <w:rPr>
          <w:sz w:val="22"/>
          <w:szCs w:val="22"/>
        </w:rPr>
        <w:t xml:space="preserve"> Ισχύει ότι και για τους ενήλικες</w:t>
      </w:r>
      <w:r w:rsidR="003C12B6">
        <w:rPr>
          <w:sz w:val="22"/>
          <w:szCs w:val="22"/>
        </w:rPr>
        <w:t>.</w:t>
      </w:r>
    </w:p>
    <w:p w:rsidR="00184F75" w:rsidRPr="002E0AF6" w:rsidRDefault="00184F75">
      <w:pPr>
        <w:rPr>
          <w:sz w:val="22"/>
          <w:szCs w:val="22"/>
        </w:rPr>
      </w:pPr>
    </w:p>
    <w:p w:rsidR="00184F75" w:rsidRPr="002E0AF6" w:rsidRDefault="00184F75" w:rsidP="00E02ABA">
      <w:pPr>
        <w:ind w:left="720" w:hanging="720"/>
        <w:jc w:val="both"/>
        <w:rPr>
          <w:sz w:val="22"/>
          <w:szCs w:val="22"/>
        </w:rPr>
      </w:pPr>
      <w:r w:rsidRPr="002E0AF6">
        <w:rPr>
          <w:b/>
          <w:sz w:val="22"/>
          <w:szCs w:val="22"/>
        </w:rPr>
        <w:t>2.</w:t>
      </w:r>
      <w:r w:rsidR="003C12B6">
        <w:rPr>
          <w:b/>
          <w:sz w:val="22"/>
          <w:szCs w:val="22"/>
        </w:rPr>
        <w:t>4</w:t>
      </w:r>
      <w:r w:rsidRPr="002E0AF6">
        <w:rPr>
          <w:b/>
          <w:sz w:val="22"/>
          <w:szCs w:val="22"/>
        </w:rPr>
        <w:t xml:space="preserve">.3 </w:t>
      </w:r>
      <w:r w:rsidR="003C12B6">
        <w:rPr>
          <w:b/>
          <w:sz w:val="22"/>
          <w:szCs w:val="22"/>
        </w:rPr>
        <w:t>Κ</w:t>
      </w:r>
      <w:r w:rsidRPr="002E0AF6">
        <w:rPr>
          <w:b/>
          <w:sz w:val="22"/>
          <w:szCs w:val="22"/>
        </w:rPr>
        <w:t xml:space="preserve">ύηση: </w:t>
      </w:r>
      <w:r w:rsidRPr="002E0AF6">
        <w:rPr>
          <w:sz w:val="22"/>
          <w:szCs w:val="22"/>
        </w:rPr>
        <w:t>Δεν έχει εδραιωθεί ακόμα η ασφάλεια της χορήγησης της κλινδαμυκίνης.</w:t>
      </w:r>
      <w:r w:rsidR="002D6DCD" w:rsidRPr="002E0AF6">
        <w:rPr>
          <w:sz w:val="22"/>
          <w:szCs w:val="22"/>
        </w:rPr>
        <w:t xml:space="preserve"> </w:t>
      </w:r>
      <w:r w:rsidRPr="002E0AF6">
        <w:rPr>
          <w:sz w:val="22"/>
          <w:szCs w:val="22"/>
        </w:rPr>
        <w:t xml:space="preserve">Κατά τη διάρκεια της εγκυμοσύνης μπορεί να χρησιμοποιηθεί μόνο εάν ο ιατρός το κρίνει </w:t>
      </w:r>
      <w:r w:rsidR="003C12B6">
        <w:rPr>
          <w:sz w:val="22"/>
          <w:szCs w:val="22"/>
        </w:rPr>
        <w:t>σαφώς</w:t>
      </w:r>
      <w:r w:rsidRPr="002E0AF6">
        <w:rPr>
          <w:sz w:val="22"/>
          <w:szCs w:val="22"/>
        </w:rPr>
        <w:t xml:space="preserve"> απαραίτητο.</w:t>
      </w:r>
    </w:p>
    <w:p w:rsidR="00184F75" w:rsidRPr="002E0AF6" w:rsidRDefault="003C12B6">
      <w:pPr>
        <w:ind w:left="720"/>
        <w:jc w:val="both"/>
        <w:rPr>
          <w:sz w:val="22"/>
          <w:szCs w:val="22"/>
        </w:rPr>
      </w:pPr>
      <w:r>
        <w:rPr>
          <w:b/>
          <w:sz w:val="22"/>
          <w:szCs w:val="22"/>
        </w:rPr>
        <w:t>Γ</w:t>
      </w:r>
      <w:r w:rsidR="00184F75" w:rsidRPr="002E0AF6">
        <w:rPr>
          <w:b/>
          <w:sz w:val="22"/>
          <w:szCs w:val="22"/>
        </w:rPr>
        <w:t>αλουχία:</w:t>
      </w:r>
      <w:r w:rsidR="00184F75" w:rsidRPr="002E0AF6">
        <w:rPr>
          <w:sz w:val="22"/>
          <w:szCs w:val="22"/>
        </w:rPr>
        <w:t xml:space="preserve"> Δεν είναι γνωστό αν η κλινδαμυκίνη, μετά από την εφαρμογή του φαρμάκου για </w:t>
      </w:r>
      <w:r>
        <w:rPr>
          <w:sz w:val="22"/>
          <w:szCs w:val="22"/>
        </w:rPr>
        <w:t>τ</w:t>
      </w:r>
      <w:r w:rsidR="00184F75" w:rsidRPr="002E0AF6">
        <w:rPr>
          <w:sz w:val="22"/>
          <w:szCs w:val="22"/>
        </w:rPr>
        <w:t xml:space="preserve">οπική </w:t>
      </w:r>
      <w:r>
        <w:rPr>
          <w:sz w:val="22"/>
          <w:szCs w:val="22"/>
        </w:rPr>
        <w:t>χ</w:t>
      </w:r>
      <w:r w:rsidR="00184F75" w:rsidRPr="002E0AF6">
        <w:rPr>
          <w:sz w:val="22"/>
          <w:szCs w:val="22"/>
        </w:rPr>
        <w:t>ρήση, εκκρίνεται στο ανθρώπινο γάλα.</w:t>
      </w:r>
    </w:p>
    <w:p w:rsidR="00184F75" w:rsidRPr="002E0AF6" w:rsidRDefault="003C12B6">
      <w:pPr>
        <w:ind w:left="720"/>
        <w:jc w:val="both"/>
        <w:rPr>
          <w:sz w:val="22"/>
          <w:szCs w:val="22"/>
        </w:rPr>
      </w:pPr>
      <w:r>
        <w:rPr>
          <w:sz w:val="22"/>
          <w:szCs w:val="22"/>
        </w:rPr>
        <w:t>Κατά κανόνα</w:t>
      </w:r>
      <w:r w:rsidR="00184F75" w:rsidRPr="002E0AF6">
        <w:rPr>
          <w:sz w:val="22"/>
          <w:szCs w:val="22"/>
        </w:rPr>
        <w:t xml:space="preserve"> δεν θα πρέπει να θηλάζετε κατά τη διάρκεια της θεραπείας με το εν λόγω φάρμακο.</w:t>
      </w:r>
    </w:p>
    <w:p w:rsidR="00184F75" w:rsidRPr="002E0AF6" w:rsidRDefault="00184F75">
      <w:pPr>
        <w:spacing w:before="120"/>
        <w:rPr>
          <w:sz w:val="22"/>
          <w:szCs w:val="22"/>
        </w:rPr>
      </w:pPr>
      <w:r w:rsidRPr="002E0AF6">
        <w:rPr>
          <w:b/>
          <w:sz w:val="22"/>
          <w:szCs w:val="22"/>
        </w:rPr>
        <w:t>2.</w:t>
      </w:r>
      <w:r w:rsidR="003C12B6">
        <w:rPr>
          <w:b/>
          <w:sz w:val="22"/>
          <w:szCs w:val="22"/>
        </w:rPr>
        <w:t>4</w:t>
      </w:r>
      <w:r w:rsidRPr="002E0AF6">
        <w:rPr>
          <w:b/>
          <w:sz w:val="22"/>
          <w:szCs w:val="22"/>
        </w:rPr>
        <w:t>.4</w:t>
      </w:r>
      <w:r w:rsidRPr="002E0AF6">
        <w:rPr>
          <w:b/>
          <w:sz w:val="22"/>
          <w:szCs w:val="22"/>
        </w:rPr>
        <w:tab/>
        <w:t xml:space="preserve">Παιδιά: </w:t>
      </w:r>
      <w:r w:rsidRPr="002E0AF6">
        <w:rPr>
          <w:sz w:val="22"/>
          <w:szCs w:val="22"/>
        </w:rPr>
        <w:t>Να μην εφαρμόζεται σε παιδιά κάτω των 12 ετών.</w:t>
      </w:r>
    </w:p>
    <w:p w:rsidR="00184F75" w:rsidRPr="002E0AF6" w:rsidRDefault="00184F75">
      <w:pPr>
        <w:spacing w:before="120"/>
        <w:rPr>
          <w:sz w:val="22"/>
          <w:szCs w:val="22"/>
        </w:rPr>
      </w:pPr>
      <w:r w:rsidRPr="002E0AF6">
        <w:rPr>
          <w:b/>
          <w:sz w:val="22"/>
          <w:szCs w:val="22"/>
        </w:rPr>
        <w:t>2.</w:t>
      </w:r>
      <w:r w:rsidR="003C12B6">
        <w:rPr>
          <w:b/>
          <w:sz w:val="22"/>
          <w:szCs w:val="22"/>
        </w:rPr>
        <w:t>4</w:t>
      </w:r>
      <w:r w:rsidRPr="002E0AF6">
        <w:rPr>
          <w:b/>
          <w:sz w:val="22"/>
          <w:szCs w:val="22"/>
        </w:rPr>
        <w:t>.5</w:t>
      </w:r>
      <w:r w:rsidRPr="002E0AF6">
        <w:rPr>
          <w:b/>
          <w:sz w:val="22"/>
          <w:szCs w:val="22"/>
        </w:rPr>
        <w:tab/>
        <w:t>Επίδραση στην οδήγηση και στην ικανότητα χειρισμού μηχα</w:t>
      </w:r>
      <w:r w:rsidR="003C12B6">
        <w:rPr>
          <w:b/>
          <w:sz w:val="22"/>
          <w:szCs w:val="22"/>
        </w:rPr>
        <w:t>νών</w:t>
      </w:r>
      <w:r w:rsidRPr="002E0AF6">
        <w:rPr>
          <w:b/>
          <w:sz w:val="22"/>
          <w:szCs w:val="22"/>
        </w:rPr>
        <w:t>:</w:t>
      </w:r>
    </w:p>
    <w:p w:rsidR="00184F75" w:rsidRPr="002E0AF6" w:rsidRDefault="00184F75">
      <w:pPr>
        <w:ind w:left="720"/>
        <w:rPr>
          <w:sz w:val="22"/>
          <w:szCs w:val="22"/>
        </w:rPr>
      </w:pPr>
      <w:r w:rsidRPr="002E0AF6">
        <w:rPr>
          <w:sz w:val="22"/>
          <w:szCs w:val="22"/>
        </w:rPr>
        <w:t>Καμία</w:t>
      </w:r>
    </w:p>
    <w:p w:rsidR="00184F75" w:rsidRPr="002E0AF6" w:rsidRDefault="00184F75" w:rsidP="00935B28">
      <w:pPr>
        <w:rPr>
          <w:b/>
          <w:sz w:val="22"/>
          <w:szCs w:val="22"/>
        </w:rPr>
      </w:pPr>
      <w:r w:rsidRPr="002E0AF6">
        <w:rPr>
          <w:b/>
          <w:sz w:val="22"/>
          <w:szCs w:val="22"/>
        </w:rPr>
        <w:t>2.</w:t>
      </w:r>
      <w:r w:rsidR="003C12B6">
        <w:rPr>
          <w:b/>
          <w:sz w:val="22"/>
          <w:szCs w:val="22"/>
        </w:rPr>
        <w:t>4</w:t>
      </w:r>
      <w:r w:rsidRPr="002E0AF6">
        <w:rPr>
          <w:b/>
          <w:sz w:val="22"/>
          <w:szCs w:val="22"/>
        </w:rPr>
        <w:t>.6</w:t>
      </w:r>
      <w:r w:rsidRPr="002E0AF6">
        <w:rPr>
          <w:b/>
          <w:sz w:val="22"/>
          <w:szCs w:val="22"/>
        </w:rPr>
        <w:tab/>
        <w:t>Ιδιαίτερες προειδοποιήσεις για τα περιεχόμενα έκδοχα:</w:t>
      </w:r>
    </w:p>
    <w:p w:rsidR="00184F75" w:rsidRPr="002E0AF6" w:rsidRDefault="00184F75" w:rsidP="00935B28">
      <w:pPr>
        <w:ind w:left="720"/>
        <w:rPr>
          <w:bCs/>
          <w:sz w:val="22"/>
          <w:szCs w:val="22"/>
        </w:rPr>
      </w:pPr>
      <w:r w:rsidRPr="002E0AF6">
        <w:rPr>
          <w:bCs/>
          <w:sz w:val="22"/>
          <w:szCs w:val="22"/>
        </w:rPr>
        <w:t>Αντενδείκνυται σε άτομα με ιστορικό υπερευαισθησίας στην προπυλενογλυκόλη.</w:t>
      </w:r>
    </w:p>
    <w:p w:rsidR="00184F75" w:rsidRPr="002E0AF6" w:rsidRDefault="00184F75">
      <w:pPr>
        <w:spacing w:before="120"/>
        <w:rPr>
          <w:b/>
          <w:sz w:val="22"/>
          <w:szCs w:val="22"/>
        </w:rPr>
      </w:pPr>
      <w:r w:rsidRPr="002E0AF6">
        <w:rPr>
          <w:b/>
          <w:sz w:val="22"/>
          <w:szCs w:val="22"/>
        </w:rPr>
        <w:t>2.</w:t>
      </w:r>
      <w:r w:rsidR="003C12B6">
        <w:rPr>
          <w:b/>
          <w:sz w:val="22"/>
          <w:szCs w:val="22"/>
        </w:rPr>
        <w:t>4</w:t>
      </w:r>
      <w:r w:rsidRPr="002E0AF6">
        <w:rPr>
          <w:b/>
          <w:sz w:val="22"/>
          <w:szCs w:val="22"/>
        </w:rPr>
        <w:t>.7</w:t>
      </w:r>
      <w:r w:rsidRPr="002E0AF6">
        <w:rPr>
          <w:b/>
          <w:sz w:val="22"/>
          <w:szCs w:val="22"/>
        </w:rPr>
        <w:tab/>
        <w:t>Ασυμβατότητες</w:t>
      </w:r>
    </w:p>
    <w:p w:rsidR="00184F75" w:rsidRPr="002E0AF6" w:rsidRDefault="00184F75">
      <w:pPr>
        <w:ind w:left="720"/>
        <w:rPr>
          <w:sz w:val="22"/>
          <w:szCs w:val="22"/>
        </w:rPr>
      </w:pPr>
      <w:r w:rsidRPr="002E0AF6">
        <w:rPr>
          <w:sz w:val="22"/>
          <w:szCs w:val="22"/>
        </w:rPr>
        <w:t xml:space="preserve">Δεν συνιστάται η σύγχρονη εφαρμογή της κλινδαμυκίνης για </w:t>
      </w:r>
      <w:r w:rsidR="00395510">
        <w:rPr>
          <w:sz w:val="22"/>
          <w:szCs w:val="22"/>
        </w:rPr>
        <w:t>τ</w:t>
      </w:r>
      <w:r w:rsidRPr="002E0AF6">
        <w:rPr>
          <w:sz w:val="22"/>
          <w:szCs w:val="22"/>
        </w:rPr>
        <w:t xml:space="preserve">οπική </w:t>
      </w:r>
      <w:r w:rsidR="00395510">
        <w:rPr>
          <w:sz w:val="22"/>
          <w:szCs w:val="22"/>
        </w:rPr>
        <w:t>χ</w:t>
      </w:r>
      <w:r w:rsidRPr="002E0AF6">
        <w:rPr>
          <w:sz w:val="22"/>
          <w:szCs w:val="22"/>
        </w:rPr>
        <w:t xml:space="preserve">ρήση </w:t>
      </w:r>
    </w:p>
    <w:p w:rsidR="00184F75" w:rsidRPr="002E0AF6" w:rsidRDefault="00184F75">
      <w:pPr>
        <w:ind w:left="720"/>
        <w:rPr>
          <w:sz w:val="22"/>
          <w:szCs w:val="22"/>
        </w:rPr>
      </w:pPr>
      <w:r w:rsidRPr="002E0AF6">
        <w:rPr>
          <w:sz w:val="22"/>
          <w:szCs w:val="22"/>
        </w:rPr>
        <w:t>με φάρμακα που περιέχουν benzoyl peroxide.</w:t>
      </w:r>
    </w:p>
    <w:p w:rsidR="00184F75" w:rsidRPr="002E0AF6" w:rsidRDefault="00184F75">
      <w:pPr>
        <w:rPr>
          <w:sz w:val="22"/>
          <w:szCs w:val="22"/>
        </w:rPr>
      </w:pPr>
    </w:p>
    <w:p w:rsidR="00184F75" w:rsidRPr="002E0AF6" w:rsidRDefault="00184F75">
      <w:pPr>
        <w:rPr>
          <w:b/>
          <w:sz w:val="22"/>
          <w:szCs w:val="22"/>
        </w:rPr>
      </w:pPr>
      <w:r w:rsidRPr="002E0AF6">
        <w:rPr>
          <w:b/>
          <w:sz w:val="22"/>
          <w:szCs w:val="22"/>
        </w:rPr>
        <w:t>2.</w:t>
      </w:r>
      <w:r w:rsidR="003C12B6">
        <w:rPr>
          <w:b/>
          <w:sz w:val="22"/>
          <w:szCs w:val="22"/>
        </w:rPr>
        <w:t>4</w:t>
      </w:r>
      <w:r w:rsidRPr="002E0AF6">
        <w:rPr>
          <w:b/>
          <w:sz w:val="22"/>
          <w:szCs w:val="22"/>
        </w:rPr>
        <w:t>.8   Αλληλεπιδράσεις με άλλα φάρμακα ή ουσίες:</w:t>
      </w:r>
    </w:p>
    <w:p w:rsidR="00184F75" w:rsidRPr="002E0AF6" w:rsidRDefault="00184F75" w:rsidP="00CE16AF">
      <w:pPr>
        <w:pStyle w:val="2"/>
        <w:ind w:firstLine="153"/>
        <w:jc w:val="left"/>
        <w:rPr>
          <w:rFonts w:ascii="Times New Roman" w:hAnsi="Times New Roman" w:cs="Times New Roman"/>
          <w:i w:val="0"/>
          <w:iCs w:val="0"/>
          <w:sz w:val="22"/>
          <w:szCs w:val="22"/>
        </w:rPr>
      </w:pPr>
      <w:r w:rsidRPr="002E0AF6">
        <w:rPr>
          <w:rFonts w:ascii="Times New Roman" w:hAnsi="Times New Roman" w:cs="Times New Roman"/>
          <w:i w:val="0"/>
          <w:iCs w:val="0"/>
          <w:sz w:val="22"/>
          <w:szCs w:val="22"/>
        </w:rPr>
        <w:t>Ενημερώστε το γιατρό σας εάν παίρνετε άλλα φάρμακα.</w:t>
      </w:r>
    </w:p>
    <w:p w:rsidR="00184F75" w:rsidRPr="002E0AF6" w:rsidRDefault="00184F75" w:rsidP="00CE16AF">
      <w:pPr>
        <w:pStyle w:val="2"/>
        <w:ind w:left="720" w:right="135"/>
        <w:rPr>
          <w:rFonts w:ascii="Times New Roman" w:hAnsi="Times New Roman" w:cs="Times New Roman"/>
          <w:i w:val="0"/>
          <w:iCs w:val="0"/>
          <w:sz w:val="22"/>
          <w:szCs w:val="22"/>
        </w:rPr>
      </w:pPr>
      <w:r w:rsidRPr="002E0AF6">
        <w:rPr>
          <w:rFonts w:ascii="Times New Roman" w:hAnsi="Times New Roman" w:cs="Times New Roman"/>
          <w:i w:val="0"/>
          <w:iCs w:val="0"/>
          <w:sz w:val="22"/>
          <w:szCs w:val="22"/>
        </w:rPr>
        <w:t xml:space="preserve">Έχει αποδειχθεί ανταγωνισμός ανάμεσα στην κλινδαμυκίνη και την ερυθρομυκίνη. Η κλινδαμυκίνη για </w:t>
      </w:r>
      <w:r w:rsidR="00395510">
        <w:rPr>
          <w:rFonts w:ascii="Times New Roman" w:hAnsi="Times New Roman" w:cs="Times New Roman"/>
          <w:i w:val="0"/>
          <w:iCs w:val="0"/>
          <w:sz w:val="22"/>
          <w:szCs w:val="22"/>
        </w:rPr>
        <w:t>τ</w:t>
      </w:r>
      <w:r w:rsidRPr="002E0AF6">
        <w:rPr>
          <w:rFonts w:ascii="Times New Roman" w:hAnsi="Times New Roman" w:cs="Times New Roman"/>
          <w:i w:val="0"/>
          <w:iCs w:val="0"/>
          <w:sz w:val="22"/>
          <w:szCs w:val="22"/>
        </w:rPr>
        <w:t xml:space="preserve">οπική </w:t>
      </w:r>
      <w:r w:rsidR="00395510">
        <w:rPr>
          <w:rFonts w:ascii="Times New Roman" w:hAnsi="Times New Roman" w:cs="Times New Roman"/>
          <w:i w:val="0"/>
          <w:iCs w:val="0"/>
          <w:sz w:val="22"/>
          <w:szCs w:val="22"/>
        </w:rPr>
        <w:t>χ</w:t>
      </w:r>
      <w:r w:rsidRPr="002E0AF6">
        <w:rPr>
          <w:rFonts w:ascii="Times New Roman" w:hAnsi="Times New Roman" w:cs="Times New Roman"/>
          <w:i w:val="0"/>
          <w:iCs w:val="0"/>
          <w:sz w:val="22"/>
          <w:szCs w:val="22"/>
        </w:rPr>
        <w:t>ρήση μπορεί να χρησιμοποιείται με επιτυχία σε συνδυασμό με άλλα παρασκευάσματα κατά της ακμής, αλλά ο χρόνος της εφαρμογής τους θα πρέπει να είναι διαφορετικός. Η κλινδαμυκίνη είναι δυνατόν να επαυξήσει τον νευρομυϊκό αποκλεισμό κατά τη γενική αναισθησία.</w:t>
      </w:r>
    </w:p>
    <w:p w:rsidR="00184F75" w:rsidRPr="002E0AF6" w:rsidRDefault="00184F75">
      <w:pPr>
        <w:pStyle w:val="2"/>
        <w:ind w:right="135"/>
        <w:rPr>
          <w:rFonts w:ascii="Times New Roman" w:hAnsi="Times New Roman" w:cs="Times New Roman"/>
          <w:i w:val="0"/>
          <w:iCs w:val="0"/>
          <w:sz w:val="22"/>
          <w:szCs w:val="22"/>
        </w:rPr>
      </w:pPr>
    </w:p>
    <w:p w:rsidR="00184F75" w:rsidRPr="002E0AF6" w:rsidRDefault="00184F75" w:rsidP="00CE16AF">
      <w:pPr>
        <w:pStyle w:val="2"/>
        <w:ind w:left="720" w:right="135"/>
        <w:rPr>
          <w:rFonts w:ascii="Times New Roman" w:hAnsi="Times New Roman" w:cs="Times New Roman"/>
          <w:i w:val="0"/>
          <w:iCs w:val="0"/>
          <w:sz w:val="22"/>
          <w:szCs w:val="22"/>
        </w:rPr>
      </w:pPr>
      <w:r w:rsidRPr="002E0AF6">
        <w:rPr>
          <w:rFonts w:ascii="Times New Roman" w:hAnsi="Times New Roman" w:cs="Times New Roman"/>
          <w:i w:val="0"/>
          <w:iCs w:val="0"/>
          <w:sz w:val="22"/>
          <w:szCs w:val="22"/>
        </w:rPr>
        <w:t>Αν πρόκειται να υποβληθείτε σε εγχείρηση, να ενημερώσετε το γιατρό σας ότι κάνετε θεραπεία με το φάρμακο αυτό.</w:t>
      </w:r>
    </w:p>
    <w:p w:rsidR="00184F75" w:rsidRPr="002E0AF6" w:rsidRDefault="00184F75">
      <w:pPr>
        <w:pStyle w:val="2"/>
        <w:ind w:left="0"/>
        <w:rPr>
          <w:rFonts w:ascii="Times New Roman" w:hAnsi="Times New Roman" w:cs="Times New Roman"/>
          <w:b/>
          <w:i w:val="0"/>
          <w:iCs w:val="0"/>
          <w:sz w:val="22"/>
          <w:szCs w:val="22"/>
        </w:rPr>
      </w:pPr>
    </w:p>
    <w:p w:rsidR="00184F75" w:rsidRPr="002E0AF6" w:rsidRDefault="00184F75">
      <w:pPr>
        <w:pStyle w:val="2"/>
        <w:ind w:hanging="567"/>
        <w:rPr>
          <w:rFonts w:ascii="Times New Roman" w:hAnsi="Times New Roman" w:cs="Times New Roman"/>
          <w:b/>
          <w:i w:val="0"/>
          <w:iCs w:val="0"/>
          <w:sz w:val="22"/>
          <w:szCs w:val="22"/>
        </w:rPr>
      </w:pPr>
      <w:r w:rsidRPr="002E0AF6">
        <w:rPr>
          <w:rFonts w:ascii="Times New Roman" w:hAnsi="Times New Roman" w:cs="Times New Roman"/>
          <w:b/>
          <w:i w:val="0"/>
          <w:iCs w:val="0"/>
          <w:sz w:val="22"/>
          <w:szCs w:val="22"/>
        </w:rPr>
        <w:t>2.</w:t>
      </w:r>
      <w:r w:rsidR="003C12B6">
        <w:rPr>
          <w:rFonts w:ascii="Times New Roman" w:hAnsi="Times New Roman" w:cs="Times New Roman"/>
          <w:b/>
          <w:i w:val="0"/>
          <w:iCs w:val="0"/>
          <w:sz w:val="22"/>
          <w:szCs w:val="22"/>
        </w:rPr>
        <w:t>5</w:t>
      </w:r>
      <w:r w:rsidRPr="002E0AF6">
        <w:rPr>
          <w:rFonts w:ascii="Times New Roman" w:hAnsi="Times New Roman" w:cs="Times New Roman"/>
          <w:b/>
          <w:i w:val="0"/>
          <w:iCs w:val="0"/>
          <w:sz w:val="22"/>
          <w:szCs w:val="22"/>
        </w:rPr>
        <w:tab/>
      </w:r>
      <w:r w:rsidR="00CE16AF" w:rsidRPr="002E0AF6">
        <w:rPr>
          <w:rFonts w:ascii="Times New Roman" w:hAnsi="Times New Roman" w:cs="Times New Roman"/>
          <w:b/>
          <w:i w:val="0"/>
          <w:iCs w:val="0"/>
          <w:sz w:val="22"/>
          <w:szCs w:val="22"/>
        </w:rPr>
        <w:tab/>
      </w:r>
      <w:r w:rsidRPr="002E0AF6">
        <w:rPr>
          <w:rFonts w:ascii="Times New Roman" w:hAnsi="Times New Roman" w:cs="Times New Roman"/>
          <w:b/>
          <w:i w:val="0"/>
          <w:iCs w:val="0"/>
          <w:sz w:val="22"/>
          <w:szCs w:val="22"/>
        </w:rPr>
        <w:t>Δοσολογία:</w:t>
      </w:r>
    </w:p>
    <w:p w:rsidR="00184F75" w:rsidRPr="002E0AF6" w:rsidRDefault="00184F75" w:rsidP="00CE16AF">
      <w:pPr>
        <w:pStyle w:val="2"/>
        <w:ind w:firstLine="153"/>
        <w:rPr>
          <w:rFonts w:ascii="Times New Roman" w:hAnsi="Times New Roman" w:cs="Times New Roman"/>
          <w:i w:val="0"/>
          <w:iCs w:val="0"/>
          <w:sz w:val="22"/>
          <w:szCs w:val="22"/>
        </w:rPr>
      </w:pPr>
      <w:r w:rsidRPr="002E0AF6">
        <w:rPr>
          <w:rFonts w:ascii="Times New Roman" w:hAnsi="Times New Roman" w:cs="Times New Roman"/>
          <w:i w:val="0"/>
          <w:iCs w:val="0"/>
          <w:sz w:val="22"/>
          <w:szCs w:val="22"/>
        </w:rPr>
        <w:t xml:space="preserve">Οδός Χορήγησης: </w:t>
      </w:r>
      <w:r w:rsidR="00AB7C44">
        <w:rPr>
          <w:rFonts w:ascii="Times New Roman" w:hAnsi="Times New Roman" w:cs="Times New Roman"/>
          <w:i w:val="0"/>
          <w:iCs w:val="0"/>
          <w:sz w:val="22"/>
          <w:szCs w:val="22"/>
        </w:rPr>
        <w:t>τ</w:t>
      </w:r>
      <w:r w:rsidRPr="002E0AF6">
        <w:rPr>
          <w:rFonts w:ascii="Times New Roman" w:hAnsi="Times New Roman" w:cs="Times New Roman"/>
          <w:i w:val="0"/>
          <w:iCs w:val="0"/>
          <w:sz w:val="22"/>
          <w:szCs w:val="22"/>
        </w:rPr>
        <w:t>οπική (μόνο για εξωτερική χρήση).</w:t>
      </w:r>
    </w:p>
    <w:p w:rsidR="00184F75" w:rsidRPr="002E0AF6" w:rsidRDefault="00184F75" w:rsidP="00CE16AF">
      <w:pPr>
        <w:pStyle w:val="2"/>
        <w:ind w:left="720"/>
        <w:rPr>
          <w:rFonts w:ascii="Times New Roman" w:hAnsi="Times New Roman" w:cs="Times New Roman"/>
          <w:i w:val="0"/>
          <w:iCs w:val="0"/>
          <w:sz w:val="22"/>
          <w:szCs w:val="22"/>
        </w:rPr>
      </w:pPr>
      <w:r w:rsidRPr="002E0AF6">
        <w:rPr>
          <w:rFonts w:ascii="Times New Roman" w:hAnsi="Times New Roman" w:cs="Times New Roman"/>
          <w:i w:val="0"/>
          <w:iCs w:val="0"/>
          <w:sz w:val="22"/>
          <w:szCs w:val="22"/>
        </w:rPr>
        <w:t xml:space="preserve">Οδηγίες Χρήσης: Η κλινδαμυκίνη για </w:t>
      </w:r>
      <w:r w:rsidR="00395510">
        <w:rPr>
          <w:rFonts w:ascii="Times New Roman" w:hAnsi="Times New Roman" w:cs="Times New Roman"/>
          <w:i w:val="0"/>
          <w:iCs w:val="0"/>
          <w:sz w:val="22"/>
          <w:szCs w:val="22"/>
        </w:rPr>
        <w:t>τ</w:t>
      </w:r>
      <w:r w:rsidRPr="002E0AF6">
        <w:rPr>
          <w:rFonts w:ascii="Times New Roman" w:hAnsi="Times New Roman" w:cs="Times New Roman"/>
          <w:i w:val="0"/>
          <w:iCs w:val="0"/>
          <w:sz w:val="22"/>
          <w:szCs w:val="22"/>
        </w:rPr>
        <w:t xml:space="preserve">οπική </w:t>
      </w:r>
      <w:r w:rsidR="00395510">
        <w:rPr>
          <w:rFonts w:ascii="Times New Roman" w:hAnsi="Times New Roman" w:cs="Times New Roman"/>
          <w:i w:val="0"/>
          <w:iCs w:val="0"/>
          <w:sz w:val="22"/>
          <w:szCs w:val="22"/>
        </w:rPr>
        <w:t>χ</w:t>
      </w:r>
      <w:r w:rsidRPr="002E0AF6">
        <w:rPr>
          <w:rFonts w:ascii="Times New Roman" w:hAnsi="Times New Roman" w:cs="Times New Roman"/>
          <w:i w:val="0"/>
          <w:iCs w:val="0"/>
          <w:sz w:val="22"/>
          <w:szCs w:val="22"/>
        </w:rPr>
        <w:t>ρήση εφαρμόζεται 2 φορές την ημέρα στην πάσχουσα περιοχή.</w:t>
      </w:r>
    </w:p>
    <w:p w:rsidR="00184F75" w:rsidRPr="002E0AF6" w:rsidRDefault="00184F75" w:rsidP="00CE16AF">
      <w:pPr>
        <w:pStyle w:val="2"/>
        <w:ind w:firstLine="153"/>
        <w:rPr>
          <w:rFonts w:ascii="Times New Roman" w:hAnsi="Times New Roman" w:cs="Times New Roman"/>
          <w:i w:val="0"/>
          <w:iCs w:val="0"/>
          <w:sz w:val="22"/>
          <w:szCs w:val="22"/>
        </w:rPr>
      </w:pPr>
      <w:r w:rsidRPr="002E0AF6">
        <w:rPr>
          <w:rFonts w:ascii="Times New Roman" w:hAnsi="Times New Roman" w:cs="Times New Roman"/>
          <w:i w:val="0"/>
          <w:iCs w:val="0"/>
          <w:sz w:val="22"/>
          <w:szCs w:val="22"/>
        </w:rPr>
        <w:t>Δεν απαιτείται εντριβή του δέρματος για να εισχωρήσει το φάρμακο</w:t>
      </w:r>
    </w:p>
    <w:p w:rsidR="00184F75" w:rsidRPr="002E0AF6" w:rsidRDefault="00184F75">
      <w:pPr>
        <w:pStyle w:val="2"/>
        <w:rPr>
          <w:rFonts w:ascii="Times New Roman" w:hAnsi="Times New Roman" w:cs="Times New Roman"/>
          <w:i w:val="0"/>
          <w:iCs w:val="0"/>
          <w:sz w:val="22"/>
          <w:szCs w:val="22"/>
        </w:rPr>
      </w:pPr>
    </w:p>
    <w:p w:rsidR="00184F75" w:rsidRPr="002E0AF6" w:rsidRDefault="00184F75" w:rsidP="00CE16AF">
      <w:pPr>
        <w:pStyle w:val="2"/>
        <w:ind w:firstLine="153"/>
        <w:rPr>
          <w:rFonts w:ascii="Times New Roman" w:hAnsi="Times New Roman" w:cs="Times New Roman"/>
          <w:b/>
          <w:i w:val="0"/>
          <w:iCs w:val="0"/>
          <w:sz w:val="22"/>
          <w:szCs w:val="22"/>
        </w:rPr>
      </w:pPr>
      <w:r w:rsidRPr="002E0AF6">
        <w:rPr>
          <w:rFonts w:ascii="Times New Roman" w:hAnsi="Times New Roman" w:cs="Times New Roman"/>
          <w:b/>
          <w:i w:val="0"/>
          <w:iCs w:val="0"/>
          <w:sz w:val="22"/>
          <w:szCs w:val="22"/>
        </w:rPr>
        <w:lastRenderedPageBreak/>
        <w:t>Προσοχή στην χορήγηση:</w:t>
      </w:r>
    </w:p>
    <w:p w:rsidR="00184F75" w:rsidRPr="002E0AF6" w:rsidRDefault="00184F75" w:rsidP="00CE16AF">
      <w:pPr>
        <w:pStyle w:val="2"/>
        <w:ind w:left="720"/>
        <w:rPr>
          <w:rFonts w:ascii="Times New Roman" w:hAnsi="Times New Roman" w:cs="Times New Roman"/>
          <w:i w:val="0"/>
          <w:iCs w:val="0"/>
          <w:sz w:val="22"/>
          <w:szCs w:val="22"/>
        </w:rPr>
      </w:pPr>
      <w:r w:rsidRPr="002E0AF6">
        <w:rPr>
          <w:rFonts w:ascii="Times New Roman" w:hAnsi="Times New Roman" w:cs="Times New Roman"/>
          <w:i w:val="0"/>
          <w:iCs w:val="0"/>
          <w:sz w:val="22"/>
          <w:szCs w:val="22"/>
        </w:rPr>
        <w:t>Στην περίπτωση επαφής από λάθος με ευαίσθητες επιφάνειες (μάτια, διαβρωμένο δέρμα, βλεννογόνους μεμβράνες), οι εν λόγω επιφάνειες θα πρέπει να πλυθούν με άφθονη ποσότητα δροσερού νερού. Το διάλυμα έχει δυσάρεστη γεύση και θα πρέπει να δίνεται προσοχή, όταν το φάρμακο αυτό χρησιμοποιείται γύρω από το στόμα.</w:t>
      </w:r>
    </w:p>
    <w:p w:rsidR="00184F75" w:rsidRPr="002E0AF6" w:rsidRDefault="00184F75">
      <w:pPr>
        <w:pStyle w:val="2"/>
        <w:ind w:left="0"/>
        <w:rPr>
          <w:rFonts w:ascii="Times New Roman" w:hAnsi="Times New Roman" w:cs="Times New Roman"/>
          <w:i w:val="0"/>
          <w:iCs w:val="0"/>
          <w:sz w:val="22"/>
          <w:szCs w:val="22"/>
        </w:rPr>
      </w:pPr>
    </w:p>
    <w:p w:rsidR="00184F75" w:rsidRPr="002E0AF6" w:rsidRDefault="00184F75">
      <w:pPr>
        <w:pStyle w:val="2"/>
        <w:ind w:left="0"/>
        <w:rPr>
          <w:rFonts w:ascii="Times New Roman" w:hAnsi="Times New Roman" w:cs="Times New Roman"/>
          <w:b/>
          <w:i w:val="0"/>
          <w:iCs w:val="0"/>
          <w:sz w:val="22"/>
          <w:szCs w:val="22"/>
        </w:rPr>
      </w:pPr>
      <w:r w:rsidRPr="002E0AF6">
        <w:rPr>
          <w:rFonts w:ascii="Times New Roman" w:hAnsi="Times New Roman" w:cs="Times New Roman"/>
          <w:b/>
          <w:i w:val="0"/>
          <w:iCs w:val="0"/>
          <w:sz w:val="22"/>
          <w:szCs w:val="22"/>
        </w:rPr>
        <w:t>2.</w:t>
      </w:r>
      <w:r w:rsidR="003C12B6">
        <w:rPr>
          <w:rFonts w:ascii="Times New Roman" w:hAnsi="Times New Roman" w:cs="Times New Roman"/>
          <w:b/>
          <w:i w:val="0"/>
          <w:iCs w:val="0"/>
          <w:sz w:val="22"/>
          <w:szCs w:val="22"/>
        </w:rPr>
        <w:t>6</w:t>
      </w:r>
      <w:r w:rsidRPr="002E0AF6">
        <w:rPr>
          <w:rFonts w:ascii="Times New Roman" w:hAnsi="Times New Roman" w:cs="Times New Roman"/>
          <w:b/>
          <w:i w:val="0"/>
          <w:iCs w:val="0"/>
          <w:sz w:val="22"/>
          <w:szCs w:val="22"/>
        </w:rPr>
        <w:tab/>
        <w:t xml:space="preserve">Υπερδοσολογία-Αντιμετώπιση: </w:t>
      </w:r>
    </w:p>
    <w:p w:rsidR="002E5D2E" w:rsidRPr="009B5623" w:rsidRDefault="00184F75" w:rsidP="002E5D2E">
      <w:pPr>
        <w:rPr>
          <w:sz w:val="22"/>
          <w:szCs w:val="22"/>
        </w:rPr>
      </w:pPr>
      <w:r w:rsidRPr="002E0AF6">
        <w:rPr>
          <w:i/>
          <w:iCs/>
          <w:sz w:val="22"/>
          <w:szCs w:val="22"/>
        </w:rPr>
        <w:t>Από την τοπική εφαρμογή δεν προκαλούνται συνήθως συμπτώματα υπερδοσολογίας. Η κατά λάθος κατάποση του φαρμάκου (Λοσιόν ή διάλυμα) μπορεί να προκαλέσει ανεπιθύμητες ενέργειες που έχουν αναφερθεί από τη χορήγηση της κλινδαμυκίνης από το στόμα. Ενημερώστε το γιατρό σας για να αντιμετωπίσει τα συμπτώματα.</w:t>
      </w:r>
      <w:r w:rsidR="002E5D2E" w:rsidRPr="002E5D2E">
        <w:rPr>
          <w:sz w:val="22"/>
          <w:szCs w:val="22"/>
        </w:rPr>
        <w:t xml:space="preserve"> </w:t>
      </w:r>
      <w:r w:rsidR="002E5D2E" w:rsidRPr="00893E20">
        <w:rPr>
          <w:sz w:val="22"/>
          <w:szCs w:val="22"/>
        </w:rPr>
        <w:t>Σε περίπτωση υπερδοσολογίας, γενικά συμπωματικά και υποστηρικτ</w:t>
      </w:r>
      <w:r w:rsidR="002E5D2E">
        <w:rPr>
          <w:sz w:val="22"/>
          <w:szCs w:val="22"/>
        </w:rPr>
        <w:t>ικ</w:t>
      </w:r>
      <w:r w:rsidR="002E5D2E" w:rsidRPr="00893E20">
        <w:rPr>
          <w:sz w:val="22"/>
          <w:szCs w:val="22"/>
        </w:rPr>
        <w:t>ά μέτρα ενδείκνυνται, όπως απαιτείται.</w:t>
      </w:r>
    </w:p>
    <w:p w:rsidR="00184F75" w:rsidRPr="002E0AF6" w:rsidRDefault="00184F75" w:rsidP="00CE16AF">
      <w:pPr>
        <w:pStyle w:val="2"/>
        <w:ind w:left="720"/>
        <w:rPr>
          <w:rFonts w:ascii="Times New Roman" w:hAnsi="Times New Roman" w:cs="Times New Roman"/>
          <w:i w:val="0"/>
          <w:iCs w:val="0"/>
          <w:sz w:val="22"/>
          <w:szCs w:val="22"/>
        </w:rPr>
      </w:pPr>
    </w:p>
    <w:p w:rsidR="00184F75" w:rsidRPr="002E0AF6" w:rsidRDefault="00184F75" w:rsidP="00CE16AF">
      <w:pPr>
        <w:pStyle w:val="2"/>
        <w:ind w:left="720"/>
        <w:rPr>
          <w:rFonts w:ascii="Times New Roman" w:hAnsi="Times New Roman" w:cs="Times New Roman"/>
          <w:b/>
          <w:i w:val="0"/>
          <w:iCs w:val="0"/>
          <w:sz w:val="22"/>
          <w:szCs w:val="22"/>
        </w:rPr>
      </w:pPr>
      <w:r w:rsidRPr="002E0AF6">
        <w:rPr>
          <w:rFonts w:ascii="Times New Roman" w:hAnsi="Times New Roman" w:cs="Times New Roman"/>
          <w:b/>
          <w:i w:val="0"/>
          <w:iCs w:val="0"/>
          <w:sz w:val="22"/>
          <w:szCs w:val="22"/>
        </w:rPr>
        <w:t>Τηλ. Κέντρου Δηλητηριάσεων 210  779 3777</w:t>
      </w:r>
    </w:p>
    <w:p w:rsidR="00184F75" w:rsidRPr="002E0AF6" w:rsidRDefault="00184F75">
      <w:pPr>
        <w:pStyle w:val="2"/>
        <w:rPr>
          <w:rFonts w:ascii="Times New Roman" w:hAnsi="Times New Roman" w:cs="Times New Roman"/>
          <w:i w:val="0"/>
          <w:iCs w:val="0"/>
          <w:sz w:val="22"/>
          <w:szCs w:val="22"/>
        </w:rPr>
      </w:pPr>
    </w:p>
    <w:p w:rsidR="00184F75" w:rsidRPr="002E0AF6" w:rsidRDefault="00184F75">
      <w:pPr>
        <w:pStyle w:val="2"/>
        <w:ind w:left="0"/>
        <w:rPr>
          <w:rFonts w:ascii="Times New Roman" w:hAnsi="Times New Roman" w:cs="Times New Roman"/>
          <w:b/>
          <w:i w:val="0"/>
          <w:iCs w:val="0"/>
          <w:sz w:val="22"/>
          <w:szCs w:val="22"/>
        </w:rPr>
      </w:pPr>
      <w:r w:rsidRPr="002E0AF6">
        <w:rPr>
          <w:rFonts w:ascii="Times New Roman" w:hAnsi="Times New Roman" w:cs="Times New Roman"/>
          <w:b/>
          <w:i w:val="0"/>
          <w:iCs w:val="0"/>
          <w:sz w:val="22"/>
          <w:szCs w:val="22"/>
        </w:rPr>
        <w:t>2.</w:t>
      </w:r>
      <w:r w:rsidR="003C12B6">
        <w:rPr>
          <w:rFonts w:ascii="Times New Roman" w:hAnsi="Times New Roman" w:cs="Times New Roman"/>
          <w:b/>
          <w:i w:val="0"/>
          <w:iCs w:val="0"/>
          <w:sz w:val="22"/>
          <w:szCs w:val="22"/>
        </w:rPr>
        <w:t>7</w:t>
      </w:r>
      <w:r w:rsidRPr="002E0AF6">
        <w:rPr>
          <w:rFonts w:ascii="Times New Roman" w:hAnsi="Times New Roman" w:cs="Times New Roman"/>
          <w:b/>
          <w:i w:val="0"/>
          <w:iCs w:val="0"/>
          <w:sz w:val="22"/>
          <w:szCs w:val="22"/>
        </w:rPr>
        <w:tab/>
        <w:t>Ανεπιθύμητες ενέργειες:</w:t>
      </w:r>
    </w:p>
    <w:p w:rsidR="00184F75" w:rsidRPr="002E0AF6" w:rsidRDefault="00184F75" w:rsidP="00CE16AF">
      <w:pPr>
        <w:tabs>
          <w:tab w:val="left" w:pos="-117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2"/>
          <w:szCs w:val="22"/>
        </w:rPr>
      </w:pPr>
      <w:r w:rsidRPr="002E0AF6">
        <w:rPr>
          <w:sz w:val="22"/>
          <w:szCs w:val="22"/>
        </w:rPr>
        <w:t>Οι ακόλουθες ανεπιθύμητες ενέργειες έχουν αναφερθεί από την τοπική χρήση της κλινδαμυκίνης: ξηρότη</w:t>
      </w:r>
      <w:r w:rsidR="00395510">
        <w:rPr>
          <w:sz w:val="22"/>
          <w:szCs w:val="22"/>
        </w:rPr>
        <w:t>τα</w:t>
      </w:r>
      <w:r w:rsidRPr="002E0AF6">
        <w:rPr>
          <w:sz w:val="22"/>
          <w:szCs w:val="22"/>
        </w:rPr>
        <w:t>,</w:t>
      </w:r>
      <w:r w:rsidR="00664CAC">
        <w:rPr>
          <w:sz w:val="22"/>
          <w:szCs w:val="22"/>
        </w:rPr>
        <w:t xml:space="preserve"> </w:t>
      </w:r>
      <w:r w:rsidRPr="002E0AF6">
        <w:rPr>
          <w:sz w:val="22"/>
          <w:szCs w:val="22"/>
        </w:rPr>
        <w:t>ερύθημα,</w:t>
      </w:r>
      <w:r w:rsidR="00664CAC">
        <w:rPr>
          <w:sz w:val="22"/>
          <w:szCs w:val="22"/>
        </w:rPr>
        <w:t xml:space="preserve"> </w:t>
      </w:r>
      <w:r w:rsidRPr="002E0AF6">
        <w:rPr>
          <w:sz w:val="22"/>
          <w:szCs w:val="22"/>
        </w:rPr>
        <w:t>καύσος, καύσος/κνησμός, απολέπιση, λιπαρότη</w:t>
      </w:r>
      <w:r w:rsidR="00395510">
        <w:rPr>
          <w:sz w:val="22"/>
          <w:szCs w:val="22"/>
        </w:rPr>
        <w:t>τα</w:t>
      </w:r>
      <w:r w:rsidRPr="002E0AF6">
        <w:rPr>
          <w:sz w:val="22"/>
          <w:szCs w:val="22"/>
        </w:rPr>
        <w:t>/λιπαρό δέρμα,</w:t>
      </w:r>
      <w:r w:rsidR="00DD1C0F" w:rsidRPr="002E0AF6">
        <w:rPr>
          <w:sz w:val="22"/>
          <w:szCs w:val="22"/>
        </w:rPr>
        <w:t xml:space="preserve"> </w:t>
      </w:r>
      <w:r w:rsidRPr="002E0AF6">
        <w:rPr>
          <w:sz w:val="22"/>
          <w:szCs w:val="22"/>
        </w:rPr>
        <w:t>κνησμός,</w:t>
      </w:r>
      <w:r w:rsidR="00DD1C0F" w:rsidRPr="002E0AF6">
        <w:rPr>
          <w:sz w:val="22"/>
          <w:szCs w:val="22"/>
        </w:rPr>
        <w:t xml:space="preserve"> κνίδωση, </w:t>
      </w:r>
      <w:r w:rsidRPr="002E0AF6">
        <w:rPr>
          <w:sz w:val="22"/>
          <w:szCs w:val="22"/>
        </w:rPr>
        <w:t>γαστρεντερικές διαταραχές, κοιλιακός πόνος, διάρροια και κολίτιδα, δερματίτιδα εξ επαφής, gram αρνητική θυλακίτιδα, λιπαρότητα του δέρματος, ερεθισμός του δέρματος και τσούξιμο στα μάτια.</w:t>
      </w:r>
    </w:p>
    <w:p w:rsidR="00184F75" w:rsidRPr="002E0AF6" w:rsidRDefault="00A5381E" w:rsidP="00CE16AF">
      <w:pPr>
        <w:pStyle w:val="3"/>
        <w:ind w:left="720"/>
        <w:rPr>
          <w:rFonts w:ascii="Times New Roman" w:hAnsi="Times New Roman" w:cs="Times New Roman"/>
          <w:szCs w:val="22"/>
        </w:rPr>
      </w:pPr>
      <w:r w:rsidRPr="002E0AF6">
        <w:rPr>
          <w:rFonts w:ascii="Times New Roman" w:hAnsi="Times New Roman" w:cs="Times New Roman"/>
          <w:szCs w:val="22"/>
        </w:rPr>
        <w:t>Ό</w:t>
      </w:r>
      <w:r w:rsidR="00184F75" w:rsidRPr="002E0AF6">
        <w:rPr>
          <w:rFonts w:ascii="Times New Roman" w:hAnsi="Times New Roman" w:cs="Times New Roman"/>
          <w:szCs w:val="22"/>
        </w:rPr>
        <w:t xml:space="preserve">πως συμβαίνει με κάθε ουσία που εφαρμόζεται στο δέρμα, είναι πιθανό να εμφανισθεί αλλεργική αντίδραση σε οποιοδήποτε συστατικό του φαρμάκου για </w:t>
      </w:r>
      <w:r w:rsidR="00395510">
        <w:rPr>
          <w:rFonts w:ascii="Times New Roman" w:hAnsi="Times New Roman" w:cs="Times New Roman"/>
          <w:szCs w:val="22"/>
        </w:rPr>
        <w:t>τ</w:t>
      </w:r>
      <w:r w:rsidR="00184F75" w:rsidRPr="002E0AF6">
        <w:rPr>
          <w:rFonts w:ascii="Times New Roman" w:hAnsi="Times New Roman" w:cs="Times New Roman"/>
          <w:szCs w:val="22"/>
        </w:rPr>
        <w:t xml:space="preserve">οπική </w:t>
      </w:r>
      <w:r w:rsidR="00395510">
        <w:rPr>
          <w:rFonts w:ascii="Times New Roman" w:hAnsi="Times New Roman" w:cs="Times New Roman"/>
          <w:szCs w:val="22"/>
        </w:rPr>
        <w:t>χ</w:t>
      </w:r>
      <w:r w:rsidR="00184F75" w:rsidRPr="002E0AF6">
        <w:rPr>
          <w:rFonts w:ascii="Times New Roman" w:hAnsi="Times New Roman" w:cs="Times New Roman"/>
          <w:szCs w:val="22"/>
        </w:rPr>
        <w:t>ρήση.</w:t>
      </w:r>
    </w:p>
    <w:p w:rsidR="00184F75" w:rsidRPr="002E0AF6" w:rsidRDefault="00184F75" w:rsidP="00CE16AF">
      <w:pPr>
        <w:tabs>
          <w:tab w:val="left" w:pos="-117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rPr>
          <w:b/>
          <w:sz w:val="22"/>
          <w:szCs w:val="22"/>
        </w:rPr>
      </w:pPr>
      <w:r w:rsidRPr="002E0AF6">
        <w:rPr>
          <w:b/>
          <w:sz w:val="22"/>
          <w:szCs w:val="22"/>
        </w:rPr>
        <w:t>2.</w:t>
      </w:r>
      <w:r w:rsidR="003C12B6">
        <w:rPr>
          <w:b/>
          <w:sz w:val="22"/>
          <w:szCs w:val="22"/>
        </w:rPr>
        <w:t>8</w:t>
      </w:r>
      <w:r w:rsidRPr="002E0AF6">
        <w:rPr>
          <w:b/>
          <w:sz w:val="22"/>
          <w:szCs w:val="22"/>
        </w:rPr>
        <w:tab/>
        <w:t>Ημερομηνία λήξης του προϊόντος:</w:t>
      </w:r>
    </w:p>
    <w:p w:rsidR="00184F75" w:rsidRPr="002E0AF6" w:rsidRDefault="00184F75" w:rsidP="00CE16AF">
      <w:pPr>
        <w:pStyle w:val="3"/>
        <w:ind w:left="567" w:firstLine="153"/>
        <w:rPr>
          <w:rFonts w:ascii="Times New Roman" w:hAnsi="Times New Roman" w:cs="Times New Roman"/>
          <w:szCs w:val="22"/>
        </w:rPr>
      </w:pPr>
      <w:r w:rsidRPr="002E0AF6">
        <w:rPr>
          <w:rFonts w:ascii="Times New Roman" w:hAnsi="Times New Roman" w:cs="Times New Roman"/>
          <w:szCs w:val="22"/>
        </w:rPr>
        <w:t>Αναγράφεται στην εξωτερική και εσωτερική συσκευασία.</w:t>
      </w:r>
    </w:p>
    <w:p w:rsidR="00184F75" w:rsidRPr="002E0AF6" w:rsidRDefault="00184F75" w:rsidP="00CE16AF">
      <w:pPr>
        <w:tabs>
          <w:tab w:val="left" w:pos="-117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firstLine="153"/>
        <w:rPr>
          <w:sz w:val="22"/>
          <w:szCs w:val="22"/>
        </w:rPr>
      </w:pPr>
      <w:r w:rsidRPr="002E0AF6">
        <w:rPr>
          <w:sz w:val="22"/>
          <w:szCs w:val="22"/>
        </w:rPr>
        <w:t>Σε περίπτωση που η ημερομηνία αυτή έχει παρέλθει μην το χρησιμοποιήσετε.</w:t>
      </w:r>
    </w:p>
    <w:p w:rsidR="00184F75" w:rsidRPr="002E0AF6" w:rsidRDefault="00184F75">
      <w:pPr>
        <w:tabs>
          <w:tab w:val="left" w:pos="-1170"/>
          <w:tab w:val="left" w:pos="-720"/>
          <w:tab w:val="left" w:pos="360"/>
          <w:tab w:val="left" w:pos="720"/>
          <w:tab w:val="left" w:pos="99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sz w:val="22"/>
          <w:szCs w:val="22"/>
        </w:rPr>
      </w:pPr>
    </w:p>
    <w:p w:rsidR="00184F75" w:rsidRPr="002E0AF6" w:rsidRDefault="00184F75">
      <w:pPr>
        <w:tabs>
          <w:tab w:val="left" w:pos="-1170"/>
          <w:tab w:val="left" w:pos="-720"/>
          <w:tab w:val="left" w:pos="360"/>
          <w:tab w:val="left" w:pos="720"/>
          <w:tab w:val="left" w:pos="99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E0AF6">
        <w:rPr>
          <w:b/>
          <w:sz w:val="22"/>
          <w:szCs w:val="22"/>
        </w:rPr>
        <w:t>2.</w:t>
      </w:r>
      <w:r w:rsidR="003C12B6">
        <w:rPr>
          <w:b/>
          <w:sz w:val="22"/>
          <w:szCs w:val="22"/>
        </w:rPr>
        <w:t>9</w:t>
      </w:r>
      <w:r w:rsidRPr="002E0AF6">
        <w:rPr>
          <w:b/>
          <w:sz w:val="22"/>
          <w:szCs w:val="22"/>
        </w:rPr>
        <w:tab/>
        <w:t xml:space="preserve"> Ιδιαίτερες προφυλάξεις για τη φύλαξη του προϊόντος:</w:t>
      </w:r>
    </w:p>
    <w:p w:rsidR="00184F75" w:rsidRPr="002E0AF6" w:rsidRDefault="00CE16AF">
      <w:pPr>
        <w:tabs>
          <w:tab w:val="left" w:pos="-1170"/>
          <w:tab w:val="left" w:pos="-720"/>
          <w:tab w:val="left" w:pos="360"/>
          <w:tab w:val="left" w:pos="720"/>
          <w:tab w:val="left" w:pos="99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sz w:val="22"/>
          <w:szCs w:val="22"/>
        </w:rPr>
      </w:pPr>
      <w:r w:rsidRPr="002E0AF6">
        <w:rPr>
          <w:sz w:val="22"/>
          <w:szCs w:val="22"/>
        </w:rPr>
        <w:tab/>
      </w:r>
      <w:r w:rsidR="00395510">
        <w:rPr>
          <w:sz w:val="22"/>
          <w:szCs w:val="22"/>
        </w:rPr>
        <w:t>Φυλάσσετε</w:t>
      </w:r>
      <w:r w:rsidR="00184F75" w:rsidRPr="002E0AF6">
        <w:rPr>
          <w:sz w:val="22"/>
          <w:szCs w:val="22"/>
        </w:rPr>
        <w:t xml:space="preserve"> σε </w:t>
      </w:r>
      <w:r w:rsidR="0082506D" w:rsidRPr="002E0AF6">
        <w:rPr>
          <w:spacing w:val="-2"/>
          <w:sz w:val="22"/>
          <w:szCs w:val="22"/>
        </w:rPr>
        <w:t>θερμοκρασία μικρότερη ή ίση των 25°</w:t>
      </w:r>
      <w:r w:rsidR="0082506D" w:rsidRPr="002E0AF6">
        <w:rPr>
          <w:spacing w:val="-2"/>
          <w:sz w:val="22"/>
          <w:szCs w:val="22"/>
          <w:lang w:val="en-US"/>
        </w:rPr>
        <w:t>C</w:t>
      </w:r>
      <w:r w:rsidR="0082506D" w:rsidRPr="002E0AF6">
        <w:rPr>
          <w:spacing w:val="-2"/>
          <w:sz w:val="22"/>
          <w:szCs w:val="22"/>
        </w:rPr>
        <w:t xml:space="preserve">.     </w:t>
      </w:r>
    </w:p>
    <w:p w:rsidR="00184F75" w:rsidRPr="002E0AF6" w:rsidRDefault="00184F75">
      <w:pPr>
        <w:tabs>
          <w:tab w:val="left" w:pos="-1170"/>
          <w:tab w:val="left" w:pos="-720"/>
          <w:tab w:val="left" w:pos="360"/>
          <w:tab w:val="left" w:pos="720"/>
          <w:tab w:val="left" w:pos="99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sz w:val="22"/>
          <w:szCs w:val="22"/>
        </w:rPr>
      </w:pPr>
    </w:p>
    <w:p w:rsidR="00184F75" w:rsidRPr="002E0AF6" w:rsidRDefault="00184F75">
      <w:pPr>
        <w:tabs>
          <w:tab w:val="left" w:pos="-1170"/>
          <w:tab w:val="left" w:pos="-720"/>
          <w:tab w:val="left" w:pos="360"/>
          <w:tab w:val="left" w:pos="720"/>
          <w:tab w:val="left" w:pos="99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rPr>
          <w:b/>
          <w:bCs/>
          <w:sz w:val="22"/>
          <w:szCs w:val="22"/>
        </w:rPr>
      </w:pPr>
      <w:r w:rsidRPr="002E0AF6">
        <w:rPr>
          <w:b/>
          <w:bCs/>
          <w:sz w:val="22"/>
          <w:szCs w:val="22"/>
        </w:rPr>
        <w:t>2.</w:t>
      </w:r>
      <w:r w:rsidR="003C12B6">
        <w:rPr>
          <w:b/>
          <w:bCs/>
          <w:sz w:val="22"/>
          <w:szCs w:val="22"/>
        </w:rPr>
        <w:t>10</w:t>
      </w:r>
      <w:r w:rsidRPr="002E0AF6">
        <w:rPr>
          <w:b/>
          <w:bCs/>
          <w:sz w:val="22"/>
          <w:szCs w:val="22"/>
        </w:rPr>
        <w:tab/>
      </w:r>
      <w:r w:rsidRPr="002E0AF6">
        <w:rPr>
          <w:b/>
          <w:bCs/>
          <w:sz w:val="22"/>
          <w:szCs w:val="22"/>
        </w:rPr>
        <w:tab/>
      </w:r>
      <w:r w:rsidR="00CE16AF" w:rsidRPr="002E0AF6">
        <w:rPr>
          <w:b/>
          <w:bCs/>
          <w:sz w:val="22"/>
          <w:szCs w:val="22"/>
        </w:rPr>
        <w:tab/>
      </w:r>
      <w:r w:rsidRPr="002E0AF6">
        <w:rPr>
          <w:b/>
          <w:bCs/>
          <w:sz w:val="22"/>
          <w:szCs w:val="22"/>
        </w:rPr>
        <w:t>Hμερομηνία τελευταίας αναθεώρησης του φύλλου οδηγιών:</w:t>
      </w:r>
      <w:r w:rsidR="00B81813" w:rsidRPr="002E0AF6">
        <w:rPr>
          <w:sz w:val="22"/>
          <w:szCs w:val="22"/>
        </w:rPr>
        <w:t xml:space="preserve"> </w:t>
      </w:r>
    </w:p>
    <w:p w:rsidR="00184F75" w:rsidRPr="002E0AF6" w:rsidRDefault="00184F75">
      <w:pPr>
        <w:tabs>
          <w:tab w:val="left" w:pos="-1170"/>
          <w:tab w:val="left" w:pos="-720"/>
          <w:tab w:val="left" w:pos="360"/>
          <w:tab w:val="left" w:pos="720"/>
          <w:tab w:val="left" w:pos="99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b/>
          <w:sz w:val="22"/>
          <w:szCs w:val="22"/>
        </w:rPr>
      </w:pPr>
    </w:p>
    <w:p w:rsidR="00184F75" w:rsidRPr="002E0AF6" w:rsidRDefault="00184F75">
      <w:pPr>
        <w:pBdr>
          <w:top w:val="single" w:sz="4" w:space="1" w:color="auto"/>
          <w:left w:val="single" w:sz="4" w:space="4" w:color="auto"/>
          <w:bottom w:val="single" w:sz="4" w:space="1" w:color="auto"/>
          <w:right w:val="single" w:sz="4" w:space="4" w:color="auto"/>
        </w:pBdr>
        <w:ind w:right="565"/>
        <w:jc w:val="both"/>
        <w:rPr>
          <w:b/>
          <w:sz w:val="22"/>
          <w:szCs w:val="22"/>
        </w:rPr>
      </w:pPr>
      <w:r w:rsidRPr="002E0AF6">
        <w:rPr>
          <w:sz w:val="22"/>
          <w:szCs w:val="22"/>
        </w:rPr>
        <w:t xml:space="preserve"> </w:t>
      </w:r>
      <w:r w:rsidRPr="002E0AF6">
        <w:rPr>
          <w:b/>
          <w:sz w:val="22"/>
          <w:szCs w:val="22"/>
        </w:rPr>
        <w:t>3.</w:t>
      </w:r>
      <w:r w:rsidRPr="002E0AF6">
        <w:rPr>
          <w:b/>
          <w:sz w:val="22"/>
          <w:szCs w:val="22"/>
        </w:rPr>
        <w:tab/>
        <w:t>ΠΛΗΡΟΦΟΡΙΕΣ ΓΙΑ ΤΗΝ ΟΡΘΟΛΟΓΙΚΗ ΧΡΗΣΗ ΤΩΝ ΦΑΡΜΑΚΩΝ</w:t>
      </w:r>
    </w:p>
    <w:p w:rsidR="00184F75" w:rsidRPr="002E0AF6" w:rsidRDefault="00184F75">
      <w:pPr>
        <w:numPr>
          <w:ilvl w:val="0"/>
          <w:numId w:val="1"/>
        </w:numPr>
        <w:ind w:right="565"/>
        <w:jc w:val="both"/>
        <w:rPr>
          <w:color w:val="000000"/>
          <w:sz w:val="22"/>
          <w:szCs w:val="22"/>
        </w:rPr>
      </w:pPr>
      <w:r w:rsidRPr="002E0AF6">
        <w:rPr>
          <w:color w:val="000000"/>
          <w:sz w:val="22"/>
          <w:szCs w:val="22"/>
        </w:rPr>
        <w:t>Το φάρμακο αυτό σας το έγραψε ο γιατρός σας μόνο για το συγκεκριμένο ιατρικό σας πρόβλημα. Δεν θα πρέπει να το δίνετε σε άλλα άτομα ή να το χρησιμοποιείτε για κάποια άλλη πάθηση, χωρίς προηγουμένως να έχετε συμβουλευθεί το γιατρό σας.</w:t>
      </w:r>
    </w:p>
    <w:p w:rsidR="00184F75" w:rsidRPr="002E0AF6" w:rsidRDefault="00184F75">
      <w:pPr>
        <w:numPr>
          <w:ilvl w:val="0"/>
          <w:numId w:val="1"/>
        </w:numPr>
        <w:ind w:right="565"/>
        <w:jc w:val="both"/>
        <w:rPr>
          <w:color w:val="000000"/>
          <w:sz w:val="22"/>
          <w:szCs w:val="22"/>
        </w:rPr>
      </w:pPr>
      <w:r w:rsidRPr="002E0AF6">
        <w:rPr>
          <w:color w:val="000000"/>
          <w:sz w:val="22"/>
          <w:szCs w:val="22"/>
        </w:rPr>
        <w:t>Εάν κατά τη διάρκεια της θεραπείας εμφανισθεί κάποιο πρόβλημα με το φάρμακο, ενημερώστε αμέσως το γιατρό σας ή το φαρμακοποιό σας.</w:t>
      </w:r>
    </w:p>
    <w:p w:rsidR="00184F75" w:rsidRPr="002E0AF6" w:rsidRDefault="00184F75">
      <w:pPr>
        <w:numPr>
          <w:ilvl w:val="0"/>
          <w:numId w:val="1"/>
        </w:numPr>
        <w:ind w:right="565"/>
        <w:jc w:val="both"/>
        <w:rPr>
          <w:color w:val="000000"/>
          <w:sz w:val="22"/>
          <w:szCs w:val="22"/>
        </w:rPr>
      </w:pPr>
      <w:r w:rsidRPr="002E0AF6">
        <w:rPr>
          <w:color w:val="000000"/>
          <w:sz w:val="22"/>
          <w:szCs w:val="22"/>
        </w:rPr>
        <w:t>Εάν έχετε οιαδήποτε ερωτηματικά για το ιατρικό σας πρόβλημα μη διστάσετε να ζητήσετε τις πληροφορίες αυτές από το γιατρό σας ή το φαρμακοποιό σας.</w:t>
      </w:r>
    </w:p>
    <w:p w:rsidR="00184F75" w:rsidRPr="002E0AF6" w:rsidRDefault="00184F75">
      <w:pPr>
        <w:numPr>
          <w:ilvl w:val="0"/>
          <w:numId w:val="1"/>
        </w:numPr>
        <w:ind w:right="565"/>
        <w:jc w:val="both"/>
        <w:rPr>
          <w:color w:val="000000"/>
          <w:sz w:val="22"/>
          <w:szCs w:val="22"/>
        </w:rPr>
      </w:pPr>
      <w:r w:rsidRPr="002E0AF6">
        <w:rPr>
          <w:color w:val="000000"/>
          <w:sz w:val="22"/>
          <w:szCs w:val="22"/>
        </w:rPr>
        <w:t>Για να είναι αποτελεσματικό και ασφαλές το φάρμακο που σας χορηγήθηκε θα πρέπει να λαμβάνεται σύμφωνα με τις οδηγίες που σας δόθηκαν.</w:t>
      </w:r>
    </w:p>
    <w:p w:rsidR="00184F75" w:rsidRPr="002E0AF6" w:rsidRDefault="00184F75">
      <w:pPr>
        <w:numPr>
          <w:ilvl w:val="0"/>
          <w:numId w:val="1"/>
        </w:numPr>
        <w:ind w:right="565"/>
        <w:jc w:val="both"/>
        <w:rPr>
          <w:color w:val="000000"/>
          <w:sz w:val="22"/>
          <w:szCs w:val="22"/>
        </w:rPr>
      </w:pPr>
      <w:r w:rsidRPr="002E0AF6">
        <w:rPr>
          <w:color w:val="000000"/>
          <w:sz w:val="22"/>
          <w:szCs w:val="22"/>
        </w:rPr>
        <w:t>Για την ασφάλειά σας και την υγεία σας είναι απαραίτητο να διαβάσετε με προσοχή κάθε πληροφορία που αφορά το φάρμακο που σας χορηγήθηκε.</w:t>
      </w:r>
    </w:p>
    <w:p w:rsidR="00184F75" w:rsidRPr="002E0AF6" w:rsidRDefault="00184F75">
      <w:pPr>
        <w:numPr>
          <w:ilvl w:val="0"/>
          <w:numId w:val="1"/>
        </w:numPr>
        <w:ind w:right="565"/>
        <w:jc w:val="both"/>
        <w:rPr>
          <w:color w:val="000000"/>
          <w:sz w:val="22"/>
          <w:szCs w:val="22"/>
        </w:rPr>
      </w:pPr>
      <w:r w:rsidRPr="002E0AF6">
        <w:rPr>
          <w:color w:val="000000"/>
          <w:sz w:val="22"/>
          <w:szCs w:val="22"/>
        </w:rPr>
        <w:t>Να μη διατηρείτε τα φάρμακα σε ερμάρια του λουτρού, διότι η ζέστη και η υγρασία μπορεί να αλλοιώσουν το φάρμακο και να το καταστήσουν επιβλαβές για την υγεία σας.</w:t>
      </w:r>
    </w:p>
    <w:p w:rsidR="00184F75" w:rsidRPr="002E0AF6" w:rsidRDefault="00184F75">
      <w:pPr>
        <w:numPr>
          <w:ilvl w:val="0"/>
          <w:numId w:val="1"/>
        </w:numPr>
        <w:ind w:right="565"/>
        <w:jc w:val="both"/>
        <w:rPr>
          <w:b/>
          <w:sz w:val="22"/>
          <w:szCs w:val="22"/>
        </w:rPr>
      </w:pPr>
      <w:r w:rsidRPr="002E0AF6">
        <w:rPr>
          <w:color w:val="000000"/>
          <w:sz w:val="22"/>
          <w:szCs w:val="22"/>
        </w:rPr>
        <w:t>Να μην κρατάτε φάρμακα που δεν τα χρειάζεστε πλέον ή που ήδη έχουν λήξει.</w:t>
      </w:r>
    </w:p>
    <w:p w:rsidR="00184F75" w:rsidRPr="002E0AF6" w:rsidRDefault="00184F75">
      <w:pPr>
        <w:numPr>
          <w:ilvl w:val="0"/>
          <w:numId w:val="1"/>
        </w:numPr>
        <w:ind w:right="565"/>
        <w:jc w:val="both"/>
        <w:rPr>
          <w:color w:val="000000"/>
          <w:sz w:val="22"/>
          <w:szCs w:val="22"/>
        </w:rPr>
      </w:pPr>
      <w:r w:rsidRPr="002E0AF6">
        <w:rPr>
          <w:color w:val="000000"/>
          <w:sz w:val="22"/>
          <w:szCs w:val="22"/>
        </w:rPr>
        <w:t>Για μεγαλύτερη ασφάλεια κρατάτε όλα τα φάρμακα σε ασφαλές μέρος μακριά από τα παιδιά.</w:t>
      </w:r>
    </w:p>
    <w:p w:rsidR="00184F75" w:rsidRPr="002E0AF6" w:rsidRDefault="00184F75">
      <w:pPr>
        <w:ind w:right="565"/>
        <w:jc w:val="both"/>
        <w:rPr>
          <w:b/>
          <w:sz w:val="22"/>
          <w:szCs w:val="22"/>
        </w:rPr>
      </w:pPr>
    </w:p>
    <w:p w:rsidR="00184F75" w:rsidRPr="002E0AF6" w:rsidRDefault="00184F75" w:rsidP="00CE16AF">
      <w:pPr>
        <w:tabs>
          <w:tab w:val="left" w:pos="720"/>
        </w:tabs>
        <w:ind w:left="567" w:hanging="567"/>
        <w:rPr>
          <w:b/>
          <w:sz w:val="22"/>
          <w:szCs w:val="22"/>
        </w:rPr>
      </w:pPr>
      <w:r w:rsidRPr="002E0AF6">
        <w:rPr>
          <w:b/>
          <w:sz w:val="22"/>
          <w:szCs w:val="22"/>
        </w:rPr>
        <w:t>4.</w:t>
      </w:r>
      <w:r w:rsidRPr="002E0AF6">
        <w:rPr>
          <w:b/>
          <w:sz w:val="22"/>
          <w:szCs w:val="22"/>
        </w:rPr>
        <w:tab/>
      </w:r>
      <w:r w:rsidR="00CE16AF" w:rsidRPr="002E0AF6">
        <w:rPr>
          <w:b/>
          <w:sz w:val="22"/>
          <w:szCs w:val="22"/>
        </w:rPr>
        <w:tab/>
      </w:r>
      <w:r w:rsidRPr="002E0AF6">
        <w:rPr>
          <w:b/>
          <w:sz w:val="22"/>
          <w:szCs w:val="22"/>
        </w:rPr>
        <w:t>ΤΡΟΠΟΣ ΔΙΑΘΕΣΗΣ</w:t>
      </w:r>
    </w:p>
    <w:p w:rsidR="00184F75" w:rsidRPr="002E0AF6" w:rsidRDefault="00184F75" w:rsidP="00CE16AF">
      <w:pPr>
        <w:pStyle w:val="a5"/>
        <w:ind w:firstLine="153"/>
        <w:rPr>
          <w:rFonts w:ascii="Times New Roman" w:hAnsi="Times New Roman" w:cs="Times New Roman"/>
          <w:color w:val="000000"/>
          <w:sz w:val="22"/>
          <w:szCs w:val="22"/>
        </w:rPr>
      </w:pPr>
      <w:r w:rsidRPr="002E0AF6">
        <w:rPr>
          <w:rFonts w:ascii="Times New Roman" w:hAnsi="Times New Roman" w:cs="Times New Roman"/>
          <w:sz w:val="22"/>
          <w:szCs w:val="22"/>
        </w:rPr>
        <w:t>Το φάρμακο αυτό χορηγείται μόνο με ιατρική συνταγή.</w:t>
      </w:r>
    </w:p>
    <w:p w:rsidR="00184F75" w:rsidRPr="002E0AF6" w:rsidRDefault="00184F75">
      <w:pPr>
        <w:pStyle w:val="a5"/>
        <w:ind w:left="0"/>
        <w:rPr>
          <w:rFonts w:ascii="Times New Roman" w:hAnsi="Times New Roman" w:cs="Times New Roman"/>
          <w:sz w:val="22"/>
          <w:szCs w:val="22"/>
        </w:rPr>
      </w:pPr>
    </w:p>
    <w:p w:rsidR="00184F75" w:rsidRPr="002E0AF6" w:rsidRDefault="00184F75">
      <w:pPr>
        <w:rPr>
          <w:sz w:val="22"/>
          <w:szCs w:val="22"/>
        </w:rPr>
      </w:pPr>
    </w:p>
    <w:sectPr w:rsidR="00184F75" w:rsidRPr="002E0AF6">
      <w:footerReference w:type="default" r:id="rId7"/>
      <w:pgSz w:w="11901" w:h="16834"/>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D4" w:rsidRDefault="00B375D4">
      <w:r>
        <w:separator/>
      </w:r>
    </w:p>
  </w:endnote>
  <w:endnote w:type="continuationSeparator" w:id="0">
    <w:p w:rsidR="00B375D4" w:rsidRDefault="00B37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24" w:rsidRDefault="00007124">
    <w:pPr>
      <w:pStyle w:val="a3"/>
      <w:framePr w:wrap="auto" w:vAnchor="text" w:hAnchor="margin" w:xAlign="center" w:y="1"/>
      <w:rPr>
        <w:rStyle w:val="a4"/>
      </w:rPr>
    </w:pPr>
  </w:p>
  <w:p w:rsidR="00007124" w:rsidRDefault="00007124" w:rsidP="00365F3D">
    <w:pPr>
      <w:pStyle w:val="a3"/>
      <w:rPr>
        <w:lang w:val="en-US"/>
      </w:rP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D4" w:rsidRDefault="00B375D4">
      <w:r>
        <w:separator/>
      </w:r>
    </w:p>
  </w:footnote>
  <w:footnote w:type="continuationSeparator" w:id="0">
    <w:p w:rsidR="00B375D4" w:rsidRDefault="00B37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BF4636"/>
    <w:multiLevelType w:val="multilevel"/>
    <w:tmpl w:val="8342187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52D31B0"/>
    <w:multiLevelType w:val="multilevel"/>
    <w:tmpl w:val="B952095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7020AF6"/>
    <w:multiLevelType w:val="multilevel"/>
    <w:tmpl w:val="6994CF02"/>
    <w:lvl w:ilvl="0">
      <w:start w:val="1"/>
      <w:numFmt w:val="decimal"/>
      <w:lvlText w:val="%1"/>
      <w:lvlJc w:val="left"/>
      <w:pPr>
        <w:tabs>
          <w:tab w:val="num" w:pos="720"/>
        </w:tabs>
        <w:ind w:left="720" w:hanging="720"/>
      </w:pPr>
      <w:rPr>
        <w:rFonts w:cs="Times New Roman" w:hint="default"/>
        <w:b/>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078F32B4"/>
    <w:multiLevelType w:val="multilevel"/>
    <w:tmpl w:val="E5B88482"/>
    <w:lvl w:ilvl="0">
      <w:start w:val="1"/>
      <w:numFmt w:val="decimal"/>
      <w:lvlText w:val="%1"/>
      <w:lvlJc w:val="left"/>
      <w:pPr>
        <w:tabs>
          <w:tab w:val="num" w:pos="840"/>
        </w:tabs>
        <w:ind w:left="840" w:hanging="840"/>
      </w:pPr>
      <w:rPr>
        <w:rFonts w:cs="Times New Roman" w:hint="default"/>
        <w:b/>
      </w:rPr>
    </w:lvl>
    <w:lvl w:ilvl="1">
      <w:start w:val="9"/>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b/>
      </w:rPr>
    </w:lvl>
    <w:lvl w:ilvl="3">
      <w:start w:val="1"/>
      <w:numFmt w:val="decimal"/>
      <w:lvlText w:val="%1.%2.%3.%4"/>
      <w:lvlJc w:val="left"/>
      <w:pPr>
        <w:tabs>
          <w:tab w:val="num" w:pos="840"/>
        </w:tabs>
        <w:ind w:left="840" w:hanging="84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nsid w:val="12987653"/>
    <w:multiLevelType w:val="multilevel"/>
    <w:tmpl w:val="2176F4F4"/>
    <w:lvl w:ilvl="0">
      <w:start w:val="1"/>
      <w:numFmt w:val="decimal"/>
      <w:lvlText w:val="%1."/>
      <w:lvlJc w:val="left"/>
      <w:pPr>
        <w:tabs>
          <w:tab w:val="num" w:pos="1080"/>
        </w:tabs>
        <w:ind w:left="1080" w:hanging="360"/>
      </w:pPr>
      <w:rPr>
        <w:rFonts w:hint="default"/>
        <w:b/>
      </w:rPr>
    </w:lvl>
    <w:lvl w:ilvl="1">
      <w:start w:val="2"/>
      <w:numFmt w:val="decimal"/>
      <w:isLgl/>
      <w:lvlText w:val="%1.%2"/>
      <w:lvlJc w:val="left"/>
      <w:pPr>
        <w:tabs>
          <w:tab w:val="num" w:pos="1155"/>
        </w:tabs>
        <w:ind w:left="1155" w:hanging="435"/>
      </w:pPr>
      <w:rPr>
        <w:rFonts w:hint="default"/>
        <w:b/>
        <w:sz w:val="28"/>
      </w:rPr>
    </w:lvl>
    <w:lvl w:ilvl="2">
      <w:start w:val="1"/>
      <w:numFmt w:val="decimal"/>
      <w:isLgl/>
      <w:lvlText w:val="%1.%2.%3"/>
      <w:lvlJc w:val="left"/>
      <w:pPr>
        <w:tabs>
          <w:tab w:val="num" w:pos="1440"/>
        </w:tabs>
        <w:ind w:left="1440" w:hanging="720"/>
      </w:pPr>
      <w:rPr>
        <w:rFonts w:hint="default"/>
        <w:b/>
        <w:sz w:val="28"/>
      </w:rPr>
    </w:lvl>
    <w:lvl w:ilvl="3">
      <w:start w:val="1"/>
      <w:numFmt w:val="decimal"/>
      <w:isLgl/>
      <w:lvlText w:val="%1.%2.%3.%4"/>
      <w:lvlJc w:val="left"/>
      <w:pPr>
        <w:tabs>
          <w:tab w:val="num" w:pos="1800"/>
        </w:tabs>
        <w:ind w:left="1800" w:hanging="1080"/>
      </w:pPr>
      <w:rPr>
        <w:rFonts w:hint="default"/>
        <w:b/>
        <w:sz w:val="28"/>
      </w:rPr>
    </w:lvl>
    <w:lvl w:ilvl="4">
      <w:start w:val="1"/>
      <w:numFmt w:val="decimal"/>
      <w:isLgl/>
      <w:lvlText w:val="%1.%2.%3.%4.%5"/>
      <w:lvlJc w:val="left"/>
      <w:pPr>
        <w:tabs>
          <w:tab w:val="num" w:pos="1800"/>
        </w:tabs>
        <w:ind w:left="1800" w:hanging="1080"/>
      </w:pPr>
      <w:rPr>
        <w:rFonts w:hint="default"/>
        <w:b/>
        <w:sz w:val="28"/>
      </w:rPr>
    </w:lvl>
    <w:lvl w:ilvl="5">
      <w:start w:val="1"/>
      <w:numFmt w:val="decimal"/>
      <w:isLgl/>
      <w:lvlText w:val="%1.%2.%3.%4.%5.%6"/>
      <w:lvlJc w:val="left"/>
      <w:pPr>
        <w:tabs>
          <w:tab w:val="num" w:pos="2160"/>
        </w:tabs>
        <w:ind w:left="2160" w:hanging="1440"/>
      </w:pPr>
      <w:rPr>
        <w:rFonts w:hint="default"/>
        <w:b/>
        <w:sz w:val="28"/>
      </w:rPr>
    </w:lvl>
    <w:lvl w:ilvl="6">
      <w:start w:val="1"/>
      <w:numFmt w:val="decimal"/>
      <w:isLgl/>
      <w:lvlText w:val="%1.%2.%3.%4.%5.%6.%7"/>
      <w:lvlJc w:val="left"/>
      <w:pPr>
        <w:tabs>
          <w:tab w:val="num" w:pos="2160"/>
        </w:tabs>
        <w:ind w:left="2160" w:hanging="1440"/>
      </w:pPr>
      <w:rPr>
        <w:rFonts w:hint="default"/>
        <w:b/>
        <w:sz w:val="28"/>
      </w:rPr>
    </w:lvl>
    <w:lvl w:ilvl="7">
      <w:start w:val="1"/>
      <w:numFmt w:val="decimal"/>
      <w:isLgl/>
      <w:lvlText w:val="%1.%2.%3.%4.%5.%6.%7.%8"/>
      <w:lvlJc w:val="left"/>
      <w:pPr>
        <w:tabs>
          <w:tab w:val="num" w:pos="2520"/>
        </w:tabs>
        <w:ind w:left="2520" w:hanging="1800"/>
      </w:pPr>
      <w:rPr>
        <w:rFonts w:hint="default"/>
        <w:b/>
        <w:sz w:val="28"/>
      </w:rPr>
    </w:lvl>
    <w:lvl w:ilvl="8">
      <w:start w:val="1"/>
      <w:numFmt w:val="decimal"/>
      <w:isLgl/>
      <w:lvlText w:val="%1.%2.%3.%4.%5.%6.%7.%8.%9"/>
      <w:lvlJc w:val="left"/>
      <w:pPr>
        <w:tabs>
          <w:tab w:val="num" w:pos="2880"/>
        </w:tabs>
        <w:ind w:left="2880" w:hanging="2160"/>
      </w:pPr>
      <w:rPr>
        <w:rFonts w:hint="default"/>
        <w:b/>
        <w:sz w:val="28"/>
      </w:rPr>
    </w:lvl>
  </w:abstractNum>
  <w:abstractNum w:abstractNumId="6">
    <w:nsid w:val="137528AB"/>
    <w:multiLevelType w:val="multilevel"/>
    <w:tmpl w:val="A84E338E"/>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DBD0598"/>
    <w:multiLevelType w:val="multilevel"/>
    <w:tmpl w:val="B124363C"/>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3819AA"/>
    <w:multiLevelType w:val="multilevel"/>
    <w:tmpl w:val="966E8134"/>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624D7ECE"/>
    <w:multiLevelType w:val="multilevel"/>
    <w:tmpl w:val="FAE6EC5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5"/>
  </w:num>
  <w:num w:numId="3">
    <w:abstractNumId w:val="7"/>
  </w:num>
  <w:num w:numId="4">
    <w:abstractNumId w:val="4"/>
  </w:num>
  <w:num w:numId="5">
    <w:abstractNumId w:val="3"/>
  </w:num>
  <w:num w:numId="6">
    <w:abstractNumId w:val="1"/>
  </w:num>
  <w:num w:numId="7">
    <w:abstractNumId w:val="2"/>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A54717"/>
    <w:rsid w:val="00007124"/>
    <w:rsid w:val="0005681C"/>
    <w:rsid w:val="00081F2A"/>
    <w:rsid w:val="000D0D06"/>
    <w:rsid w:val="000F1BF4"/>
    <w:rsid w:val="00166745"/>
    <w:rsid w:val="00177091"/>
    <w:rsid w:val="00184F75"/>
    <w:rsid w:val="001B1B85"/>
    <w:rsid w:val="001C6F89"/>
    <w:rsid w:val="001F2378"/>
    <w:rsid w:val="00245F65"/>
    <w:rsid w:val="00282EBA"/>
    <w:rsid w:val="002854D9"/>
    <w:rsid w:val="002D6DCD"/>
    <w:rsid w:val="002E0AF6"/>
    <w:rsid w:val="002E0BAC"/>
    <w:rsid w:val="002E5D2E"/>
    <w:rsid w:val="003236EF"/>
    <w:rsid w:val="0034476E"/>
    <w:rsid w:val="00365F3D"/>
    <w:rsid w:val="00395510"/>
    <w:rsid w:val="003C12B6"/>
    <w:rsid w:val="00467B1A"/>
    <w:rsid w:val="00565747"/>
    <w:rsid w:val="006259D7"/>
    <w:rsid w:val="00663667"/>
    <w:rsid w:val="00664CAC"/>
    <w:rsid w:val="00685A5D"/>
    <w:rsid w:val="00697BF0"/>
    <w:rsid w:val="006A664D"/>
    <w:rsid w:val="00784ED0"/>
    <w:rsid w:val="0082506D"/>
    <w:rsid w:val="0088573E"/>
    <w:rsid w:val="008C2964"/>
    <w:rsid w:val="008F1293"/>
    <w:rsid w:val="00935B28"/>
    <w:rsid w:val="00941C53"/>
    <w:rsid w:val="009C390F"/>
    <w:rsid w:val="009F26F3"/>
    <w:rsid w:val="009F3ECC"/>
    <w:rsid w:val="00A01009"/>
    <w:rsid w:val="00A5381E"/>
    <w:rsid w:val="00A54717"/>
    <w:rsid w:val="00A60EE0"/>
    <w:rsid w:val="00A63D0A"/>
    <w:rsid w:val="00AB7C44"/>
    <w:rsid w:val="00B375D4"/>
    <w:rsid w:val="00B73142"/>
    <w:rsid w:val="00B75466"/>
    <w:rsid w:val="00B81813"/>
    <w:rsid w:val="00B95D64"/>
    <w:rsid w:val="00C304C9"/>
    <w:rsid w:val="00CC2A79"/>
    <w:rsid w:val="00CC39F4"/>
    <w:rsid w:val="00CD483C"/>
    <w:rsid w:val="00CE16AF"/>
    <w:rsid w:val="00D01E20"/>
    <w:rsid w:val="00D66532"/>
    <w:rsid w:val="00DB425F"/>
    <w:rsid w:val="00DD1C0F"/>
    <w:rsid w:val="00DD6A60"/>
    <w:rsid w:val="00DF2CFD"/>
    <w:rsid w:val="00E02ABA"/>
    <w:rsid w:val="00E66062"/>
    <w:rsid w:val="00EB1307"/>
    <w:rsid w:val="00F047D8"/>
    <w:rsid w:val="00F57A90"/>
    <w:rsid w:val="00FA0B6E"/>
    <w:rsid w:val="00FF29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rPr>
      <w:sz w:val="20"/>
      <w:szCs w:val="20"/>
      <w:lang w:eastAsia="el-GR"/>
    </w:rPr>
  </w:style>
  <w:style w:type="character" w:styleId="a4">
    <w:name w:val="page number"/>
    <w:basedOn w:val="a0"/>
  </w:style>
  <w:style w:type="paragraph" w:styleId="a5">
    <w:name w:val="Body Text Indent"/>
    <w:basedOn w:val="a"/>
    <w:pPr>
      <w:ind w:left="567"/>
    </w:pPr>
    <w:rPr>
      <w:rFonts w:ascii="Arial" w:hAnsi="Arial" w:cs="Arial"/>
      <w:szCs w:val="20"/>
      <w:lang w:eastAsia="el-GR"/>
    </w:rPr>
  </w:style>
  <w:style w:type="paragraph" w:styleId="2">
    <w:name w:val="Body Text Indent 2"/>
    <w:basedOn w:val="a"/>
    <w:pPr>
      <w:ind w:left="567"/>
      <w:jc w:val="both"/>
    </w:pPr>
    <w:rPr>
      <w:rFonts w:ascii="Arial" w:hAnsi="Arial" w:cs="Arial"/>
      <w:i/>
      <w:iCs/>
      <w:szCs w:val="20"/>
      <w:lang w:eastAsia="el-GR"/>
    </w:rPr>
  </w:style>
  <w:style w:type="paragraph" w:styleId="3">
    <w:name w:val="Body Text Indent 3"/>
    <w:basedOn w:val="a"/>
    <w:pPr>
      <w:ind w:left="851"/>
      <w:jc w:val="both"/>
    </w:pPr>
    <w:rPr>
      <w:rFonts w:ascii="Arial" w:hAnsi="Arial" w:cs="Arial"/>
      <w:sz w:val="22"/>
      <w:szCs w:val="20"/>
      <w:lang w:eastAsia="el-GR"/>
    </w:rPr>
  </w:style>
  <w:style w:type="paragraph" w:styleId="a6">
    <w:name w:val="header"/>
    <w:basedOn w:val="a"/>
    <w:pPr>
      <w:tabs>
        <w:tab w:val="center" w:pos="4153"/>
        <w:tab w:val="right" w:pos="8306"/>
      </w:tabs>
    </w:pPr>
  </w:style>
  <w:style w:type="paragraph" w:styleId="a7">
    <w:name w:val="Balloon Text"/>
    <w:basedOn w:val="a"/>
    <w:semiHidden/>
    <w:rsid w:val="002854D9"/>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6686</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Pharmacia Corporation</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Koula Davradou</dc:creator>
  <cp:lastModifiedBy>user146</cp:lastModifiedBy>
  <cp:revision>2</cp:revision>
  <cp:lastPrinted>2008-12-05T16:56:00Z</cp:lastPrinted>
  <dcterms:created xsi:type="dcterms:W3CDTF">2014-02-10T07:44:00Z</dcterms:created>
  <dcterms:modified xsi:type="dcterms:W3CDTF">2014-02-10T07:44:00Z</dcterms:modified>
</cp:coreProperties>
</file>