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54" w:rsidRPr="00397A42" w:rsidRDefault="000746A3">
      <w:pPr>
        <w:tabs>
          <w:tab w:val="left" w:pos="6210"/>
        </w:tabs>
        <w:rPr>
          <w:rFonts w:ascii="Times New Roman" w:hAnsi="Times New Roman"/>
          <w:b/>
          <w:sz w:val="22"/>
          <w:szCs w:val="22"/>
          <w:lang w:val="el-GR"/>
        </w:rPr>
      </w:pPr>
      <w:r w:rsidRPr="00397A42">
        <w:rPr>
          <w:rFonts w:ascii="Times New Roman" w:hAnsi="Times New Roman"/>
          <w:sz w:val="22"/>
          <w:szCs w:val="22"/>
        </w:rPr>
        <w:t>ΦΥΛΛΟ ΟΔΗΓΙΩΝ ΧΡΗΣΗΣ</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8472"/>
      </w:tblGrid>
      <w:tr w:rsidR="00192B54" w:rsidRPr="00397A42">
        <w:tc>
          <w:tcPr>
            <w:tcW w:w="8472" w:type="dxa"/>
            <w:shd w:val="pct5" w:color="auto" w:fill="auto"/>
          </w:tcPr>
          <w:p w:rsidR="00192B54" w:rsidRPr="00397A42" w:rsidRDefault="005955C8">
            <w:pPr>
              <w:rPr>
                <w:rFonts w:ascii="Times New Roman" w:hAnsi="Times New Roman"/>
                <w:b/>
                <w:sz w:val="22"/>
                <w:szCs w:val="22"/>
                <w:lang w:val="en-US"/>
              </w:rPr>
            </w:pPr>
            <w:r w:rsidRPr="00397A42">
              <w:rPr>
                <w:rFonts w:ascii="Times New Roman" w:hAnsi="Times New Roman"/>
                <w:b/>
                <w:sz w:val="22"/>
                <w:szCs w:val="22"/>
                <w:lang w:val="el-GR"/>
              </w:rPr>
              <w:t>1.</w:t>
            </w:r>
            <w:r w:rsidR="00A249DD" w:rsidRPr="00397A42">
              <w:rPr>
                <w:rFonts w:ascii="Times New Roman" w:hAnsi="Times New Roman"/>
                <w:b/>
                <w:sz w:val="22"/>
                <w:szCs w:val="22"/>
                <w:lang w:val="el-GR"/>
              </w:rPr>
              <w:t xml:space="preserve">Προσδιορισμός φαρμακευτικού </w:t>
            </w:r>
            <w:r w:rsidRPr="00397A42">
              <w:rPr>
                <w:rFonts w:ascii="Times New Roman" w:hAnsi="Times New Roman"/>
                <w:b/>
                <w:sz w:val="22"/>
                <w:szCs w:val="22"/>
                <w:lang w:val="el-GR"/>
              </w:rPr>
              <w:t>προϊόντος</w:t>
            </w:r>
          </w:p>
        </w:tc>
      </w:tr>
    </w:tbl>
    <w:p w:rsidR="00192B54" w:rsidRPr="00397A42" w:rsidRDefault="00192B54">
      <w:pPr>
        <w:rPr>
          <w:rFonts w:ascii="Times New Roman" w:hAnsi="Times New Roman"/>
          <w:b/>
          <w:sz w:val="22"/>
          <w:szCs w:val="22"/>
          <w:lang w:val="el-GR"/>
        </w:rPr>
      </w:pPr>
    </w:p>
    <w:p w:rsidR="00192B54" w:rsidRPr="00397A42" w:rsidRDefault="00192B54">
      <w:pPr>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t>1.1     Ονομασία</w:t>
      </w:r>
    </w:p>
    <w:p w:rsidR="00192B54" w:rsidRPr="00397A42" w:rsidRDefault="00192B54" w:rsidP="004C5A89">
      <w:pPr>
        <w:spacing w:line="240" w:lineRule="atLeast"/>
        <w:jc w:val="both"/>
        <w:rPr>
          <w:rFonts w:ascii="Times New Roman" w:hAnsi="Times New Roman"/>
          <w:sz w:val="22"/>
          <w:szCs w:val="22"/>
          <w:lang w:val="el-GR"/>
        </w:rPr>
      </w:pPr>
      <w:r w:rsidRPr="00397A42">
        <w:rPr>
          <w:rFonts w:ascii="Times New Roman" w:hAnsi="Times New Roman"/>
          <w:sz w:val="22"/>
          <w:szCs w:val="22"/>
          <w:lang w:val="en-US"/>
        </w:rPr>
        <w:t>FARMORUBICIN</w:t>
      </w:r>
      <w:r w:rsidRPr="00397A42">
        <w:rPr>
          <w:rFonts w:ascii="Times New Roman" w:hAnsi="Times New Roman"/>
          <w:sz w:val="22"/>
          <w:szCs w:val="22"/>
          <w:lang w:val="el-GR"/>
        </w:rPr>
        <w:t xml:space="preserve"> </w:t>
      </w:r>
    </w:p>
    <w:p w:rsidR="00192B54" w:rsidRPr="00397A42" w:rsidRDefault="00192B54" w:rsidP="004C5A89">
      <w:pPr>
        <w:spacing w:line="240" w:lineRule="atLeast"/>
        <w:jc w:val="both"/>
        <w:rPr>
          <w:rFonts w:ascii="Times New Roman" w:hAnsi="Times New Roman"/>
          <w:b/>
          <w:sz w:val="22"/>
          <w:szCs w:val="22"/>
          <w:lang w:val="el-GR"/>
        </w:rPr>
      </w:pPr>
    </w:p>
    <w:p w:rsidR="00192B54" w:rsidRPr="00397A42" w:rsidRDefault="00192B54">
      <w:pPr>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t>1.2</w:t>
      </w:r>
      <w:r w:rsidRPr="00397A42">
        <w:rPr>
          <w:rFonts w:ascii="Times New Roman" w:hAnsi="Times New Roman"/>
          <w:b/>
          <w:sz w:val="22"/>
          <w:szCs w:val="22"/>
          <w:lang w:val="el-GR"/>
        </w:rPr>
        <w:tab/>
        <w:t xml:space="preserve">Σύνθεση </w:t>
      </w:r>
    </w:p>
    <w:p w:rsidR="00192B54" w:rsidRPr="00397A42" w:rsidRDefault="00192B54">
      <w:pPr>
        <w:spacing w:line="240" w:lineRule="atLeast"/>
        <w:jc w:val="both"/>
        <w:rPr>
          <w:rFonts w:ascii="Times New Roman" w:hAnsi="Times New Roman"/>
          <w:sz w:val="22"/>
          <w:szCs w:val="22"/>
          <w:lang w:val="el-GR"/>
        </w:rPr>
      </w:pPr>
      <w:r w:rsidRPr="00397A42">
        <w:rPr>
          <w:rFonts w:ascii="Times New Roman" w:hAnsi="Times New Roman"/>
          <w:b/>
          <w:sz w:val="22"/>
          <w:szCs w:val="22"/>
          <w:lang w:val="el-GR"/>
        </w:rPr>
        <w:tab/>
        <w:t xml:space="preserve">Δραστική ουσία: </w:t>
      </w:r>
      <w:r w:rsidR="00CB7046" w:rsidRPr="00397A42">
        <w:rPr>
          <w:rFonts w:ascii="Times New Roman" w:hAnsi="Times New Roman"/>
          <w:sz w:val="22"/>
          <w:szCs w:val="22"/>
          <w:lang w:val="el-GR"/>
        </w:rPr>
        <w:t>Επιρουβικίνη</w:t>
      </w:r>
      <w:r w:rsidR="001D0F46" w:rsidRPr="00397A42">
        <w:rPr>
          <w:rFonts w:ascii="Times New Roman" w:hAnsi="Times New Roman"/>
          <w:sz w:val="22"/>
          <w:szCs w:val="22"/>
          <w:lang w:val="el-GR"/>
        </w:rPr>
        <w:t xml:space="preserve"> υδροχλωρική</w:t>
      </w:r>
    </w:p>
    <w:p w:rsidR="00192B54" w:rsidRPr="00397A42" w:rsidRDefault="006330CC" w:rsidP="00612790">
      <w:pPr>
        <w:spacing w:line="240" w:lineRule="atLeast"/>
        <w:ind w:firstLine="720"/>
        <w:jc w:val="both"/>
        <w:rPr>
          <w:rFonts w:ascii="Times New Roman" w:hAnsi="Times New Roman"/>
          <w:b/>
          <w:bCs/>
          <w:sz w:val="22"/>
          <w:szCs w:val="22"/>
          <w:lang w:val="el-GR"/>
        </w:rPr>
      </w:pPr>
      <w:r w:rsidRPr="00397A42">
        <w:rPr>
          <w:rFonts w:ascii="Times New Roman" w:hAnsi="Times New Roman"/>
          <w:b/>
          <w:bCs/>
          <w:sz w:val="22"/>
          <w:szCs w:val="22"/>
          <w:lang w:val="el-GR"/>
        </w:rPr>
        <w:t>Έ</w:t>
      </w:r>
      <w:r w:rsidR="00192B54" w:rsidRPr="00397A42">
        <w:rPr>
          <w:rFonts w:ascii="Times New Roman" w:hAnsi="Times New Roman"/>
          <w:b/>
          <w:bCs/>
          <w:sz w:val="22"/>
          <w:szCs w:val="22"/>
          <w:lang w:val="el-GR"/>
        </w:rPr>
        <w:t>κδοχα:</w:t>
      </w:r>
    </w:p>
    <w:p w:rsidR="009A00A7" w:rsidRPr="00397A42" w:rsidRDefault="009A00A7" w:rsidP="009A00A7">
      <w:pPr>
        <w:spacing w:line="240" w:lineRule="atLeast"/>
        <w:ind w:firstLine="720"/>
        <w:jc w:val="both"/>
        <w:rPr>
          <w:rFonts w:ascii="Times New Roman" w:hAnsi="Times New Roman"/>
          <w:sz w:val="22"/>
          <w:szCs w:val="22"/>
          <w:u w:val="single"/>
          <w:lang w:val="el-GR"/>
        </w:rPr>
      </w:pPr>
      <w:r w:rsidRPr="00397A42">
        <w:rPr>
          <w:rFonts w:ascii="Times New Roman" w:hAnsi="Times New Roman"/>
          <w:sz w:val="22"/>
          <w:szCs w:val="22"/>
          <w:u w:val="single"/>
          <w:lang w:val="el-GR"/>
        </w:rPr>
        <w:t xml:space="preserve">Ενέσιμο διάλυμα: </w:t>
      </w:r>
    </w:p>
    <w:p w:rsidR="009A00A7" w:rsidRPr="00397A42" w:rsidRDefault="009A00A7" w:rsidP="009A00A7">
      <w:pPr>
        <w:spacing w:line="240" w:lineRule="atLeast"/>
        <w:ind w:firstLine="720"/>
        <w:jc w:val="both"/>
        <w:rPr>
          <w:rFonts w:ascii="Times New Roman" w:hAnsi="Times New Roman"/>
          <w:sz w:val="22"/>
          <w:szCs w:val="22"/>
          <w:lang w:val="el-GR"/>
        </w:rPr>
      </w:pPr>
      <w:r w:rsidRPr="00397A42">
        <w:rPr>
          <w:sz w:val="22"/>
          <w:lang w:val="el-GR"/>
        </w:rPr>
        <w:t>Χλωριούχο νάτριο, ύδωρ για ενέσιμα, άζωτο, υδροχλωρικό οξύ</w:t>
      </w:r>
    </w:p>
    <w:p w:rsidR="009A00A7" w:rsidRPr="00397A42" w:rsidRDefault="009A00A7" w:rsidP="009A00A7">
      <w:pPr>
        <w:spacing w:line="240" w:lineRule="atLeast"/>
        <w:ind w:firstLine="720"/>
        <w:jc w:val="both"/>
        <w:rPr>
          <w:rFonts w:ascii="Times New Roman" w:hAnsi="Times New Roman"/>
          <w:sz w:val="22"/>
          <w:szCs w:val="22"/>
          <w:u w:val="single"/>
          <w:lang w:val="el-GR"/>
        </w:rPr>
      </w:pPr>
      <w:r w:rsidRPr="00397A42">
        <w:rPr>
          <w:rFonts w:ascii="Times New Roman" w:hAnsi="Times New Roman"/>
          <w:sz w:val="22"/>
          <w:szCs w:val="22"/>
          <w:u w:val="single"/>
          <w:lang w:val="el-GR"/>
        </w:rPr>
        <w:t>Κόνις και διαλύτης για ενέσιμο διάλυμα:</w:t>
      </w:r>
    </w:p>
    <w:p w:rsidR="009A00A7" w:rsidRPr="00397A42" w:rsidRDefault="009A00A7" w:rsidP="009A00A7">
      <w:pPr>
        <w:spacing w:line="240" w:lineRule="atLeast"/>
        <w:ind w:left="720"/>
        <w:jc w:val="both"/>
        <w:rPr>
          <w:rFonts w:ascii="Times New Roman" w:hAnsi="Times New Roman"/>
          <w:sz w:val="22"/>
          <w:szCs w:val="22"/>
          <w:lang w:val="el-GR"/>
        </w:rPr>
      </w:pPr>
      <w:r w:rsidRPr="00397A42">
        <w:rPr>
          <w:rFonts w:ascii="Times New Roman" w:hAnsi="Times New Roman"/>
          <w:b/>
          <w:sz w:val="22"/>
          <w:szCs w:val="22"/>
          <w:lang w:val="el-GR"/>
        </w:rPr>
        <w:t>Κόνις:</w:t>
      </w:r>
      <w:r w:rsidRPr="00397A42">
        <w:rPr>
          <w:rFonts w:ascii="Times New Roman" w:hAnsi="Times New Roman"/>
          <w:sz w:val="22"/>
          <w:szCs w:val="22"/>
          <w:lang w:val="el-GR"/>
        </w:rPr>
        <w:t xml:space="preserve"> </w:t>
      </w:r>
      <w:r w:rsidRPr="00397A42">
        <w:rPr>
          <w:sz w:val="22"/>
          <w:lang w:val="el-GR"/>
        </w:rPr>
        <w:t>Λακτόζη μονοϋδρική, παραϋδροξυβενζοϊκός μεθυλεστέρας</w:t>
      </w:r>
    </w:p>
    <w:p w:rsidR="009A00A7" w:rsidRPr="00397A42" w:rsidRDefault="009A00A7" w:rsidP="009A00A7">
      <w:pPr>
        <w:spacing w:line="240" w:lineRule="atLeast"/>
        <w:ind w:firstLine="720"/>
        <w:jc w:val="both"/>
        <w:rPr>
          <w:rFonts w:ascii="Times New Roman" w:hAnsi="Times New Roman"/>
          <w:sz w:val="22"/>
          <w:szCs w:val="22"/>
          <w:lang w:val="el-GR"/>
        </w:rPr>
      </w:pPr>
      <w:r w:rsidRPr="00397A42">
        <w:rPr>
          <w:rFonts w:ascii="Times New Roman" w:hAnsi="Times New Roman"/>
          <w:b/>
          <w:sz w:val="22"/>
          <w:szCs w:val="22"/>
          <w:lang w:val="el-GR"/>
        </w:rPr>
        <w:t>Διαλύτης:</w:t>
      </w:r>
      <w:r w:rsidR="00DC4F6B" w:rsidRPr="00397A42">
        <w:rPr>
          <w:rFonts w:ascii="Times New Roman" w:hAnsi="Times New Roman"/>
          <w:sz w:val="22"/>
          <w:szCs w:val="22"/>
          <w:lang w:val="el-GR"/>
        </w:rPr>
        <w:t xml:space="preserve"> </w:t>
      </w:r>
      <w:r w:rsidRPr="00397A42">
        <w:rPr>
          <w:rFonts w:ascii="Times New Roman" w:hAnsi="Times New Roman"/>
          <w:sz w:val="22"/>
          <w:szCs w:val="22"/>
          <w:lang w:val="el-GR"/>
        </w:rPr>
        <w:t>Ύδωρ για ενέσιμα</w:t>
      </w:r>
    </w:p>
    <w:p w:rsidR="00DC4F6B" w:rsidRPr="00397A42" w:rsidRDefault="009A00A7" w:rsidP="009A00A7">
      <w:pPr>
        <w:spacing w:line="240" w:lineRule="atLeast"/>
        <w:ind w:left="720"/>
        <w:jc w:val="both"/>
        <w:rPr>
          <w:rFonts w:ascii="Times New Roman" w:hAnsi="Times New Roman"/>
          <w:sz w:val="22"/>
          <w:szCs w:val="22"/>
          <w:lang w:val="el-GR"/>
        </w:rPr>
      </w:pPr>
      <w:r w:rsidRPr="00397A42">
        <w:rPr>
          <w:rFonts w:ascii="Times New Roman" w:hAnsi="Times New Roman"/>
          <w:sz w:val="22"/>
          <w:szCs w:val="22"/>
          <w:u w:val="single"/>
          <w:lang w:val="el-GR"/>
        </w:rPr>
        <w:t>Κόνις για ενέσιμο διάλυμα:</w:t>
      </w:r>
      <w:r w:rsidRPr="00397A42">
        <w:rPr>
          <w:rFonts w:ascii="Times New Roman" w:hAnsi="Times New Roman"/>
          <w:sz w:val="22"/>
          <w:szCs w:val="22"/>
          <w:lang w:val="el-GR"/>
        </w:rPr>
        <w:t xml:space="preserve"> </w:t>
      </w:r>
    </w:p>
    <w:p w:rsidR="009A00A7" w:rsidRPr="00397A42" w:rsidRDefault="009A00A7" w:rsidP="009A00A7">
      <w:pPr>
        <w:spacing w:line="240" w:lineRule="atLeast"/>
        <w:ind w:left="720"/>
        <w:jc w:val="both"/>
        <w:rPr>
          <w:rFonts w:ascii="Times New Roman" w:hAnsi="Times New Roman"/>
          <w:sz w:val="22"/>
          <w:szCs w:val="22"/>
          <w:lang w:val="el-GR"/>
        </w:rPr>
      </w:pPr>
      <w:r w:rsidRPr="00397A42">
        <w:rPr>
          <w:sz w:val="22"/>
          <w:lang w:val="el-GR"/>
        </w:rPr>
        <w:t>Λακτόζη μονουδρική, παραϋδροξυβενζοϊκός μεθυλεστέρας</w:t>
      </w:r>
    </w:p>
    <w:p w:rsidR="00192B54" w:rsidRPr="00397A42" w:rsidRDefault="00192B54" w:rsidP="005E48D1">
      <w:pPr>
        <w:spacing w:line="240" w:lineRule="atLeast"/>
        <w:ind w:firstLine="720"/>
        <w:jc w:val="both"/>
        <w:rPr>
          <w:sz w:val="22"/>
          <w:lang w:val="el-GR"/>
        </w:rPr>
      </w:pPr>
    </w:p>
    <w:p w:rsidR="00036CA5" w:rsidRPr="00397A42" w:rsidRDefault="00192B54" w:rsidP="00D74A7C">
      <w:pPr>
        <w:spacing w:line="240" w:lineRule="atLeast"/>
        <w:ind w:left="720" w:hanging="720"/>
        <w:jc w:val="both"/>
        <w:rPr>
          <w:rFonts w:ascii="Times New Roman" w:hAnsi="Times New Roman"/>
          <w:b/>
          <w:sz w:val="22"/>
          <w:szCs w:val="22"/>
          <w:lang w:val="el-GR"/>
        </w:rPr>
      </w:pPr>
      <w:r w:rsidRPr="00397A42">
        <w:rPr>
          <w:rFonts w:ascii="Times New Roman" w:hAnsi="Times New Roman"/>
          <w:b/>
          <w:sz w:val="22"/>
          <w:szCs w:val="22"/>
          <w:lang w:val="el-GR"/>
        </w:rPr>
        <w:t>1.3</w:t>
      </w:r>
      <w:r w:rsidRPr="00397A42">
        <w:rPr>
          <w:rFonts w:ascii="Times New Roman" w:hAnsi="Times New Roman"/>
          <w:b/>
          <w:sz w:val="22"/>
          <w:szCs w:val="22"/>
          <w:lang w:val="el-GR"/>
        </w:rPr>
        <w:tab/>
        <w:t xml:space="preserve">Φαρμακοτεχνική μορφή </w:t>
      </w:r>
    </w:p>
    <w:p w:rsidR="00036CA5" w:rsidRPr="00397A42" w:rsidRDefault="00036CA5" w:rsidP="00036CA5">
      <w:pPr>
        <w:spacing w:line="240" w:lineRule="atLeast"/>
        <w:ind w:left="720"/>
        <w:jc w:val="both"/>
        <w:rPr>
          <w:rFonts w:ascii="Times New Roman" w:hAnsi="Times New Roman"/>
          <w:sz w:val="22"/>
          <w:szCs w:val="22"/>
          <w:lang w:val="el-GR"/>
        </w:rPr>
      </w:pPr>
      <w:r w:rsidRPr="00397A42">
        <w:rPr>
          <w:rFonts w:ascii="Times New Roman" w:hAnsi="Times New Roman"/>
          <w:sz w:val="22"/>
          <w:szCs w:val="22"/>
          <w:lang w:val="el-GR"/>
        </w:rPr>
        <w:t>Ενέσιμο διάλυμα</w:t>
      </w:r>
      <w:r w:rsidR="00192B54" w:rsidRPr="00397A42">
        <w:rPr>
          <w:rFonts w:ascii="Times New Roman" w:hAnsi="Times New Roman"/>
          <w:sz w:val="22"/>
          <w:szCs w:val="22"/>
          <w:lang w:val="el-GR"/>
        </w:rPr>
        <w:t xml:space="preserve"> </w:t>
      </w:r>
    </w:p>
    <w:p w:rsidR="00192B54" w:rsidRPr="00397A42" w:rsidRDefault="00192B54" w:rsidP="00036CA5">
      <w:pPr>
        <w:spacing w:line="240" w:lineRule="atLeast"/>
        <w:ind w:left="720"/>
        <w:jc w:val="both"/>
        <w:rPr>
          <w:rFonts w:ascii="Times New Roman" w:hAnsi="Times New Roman"/>
          <w:sz w:val="22"/>
          <w:szCs w:val="22"/>
          <w:lang w:val="el-GR"/>
        </w:rPr>
      </w:pPr>
      <w:r w:rsidRPr="00397A42">
        <w:rPr>
          <w:rFonts w:ascii="Times New Roman" w:hAnsi="Times New Roman"/>
          <w:sz w:val="22"/>
          <w:szCs w:val="22"/>
          <w:lang w:val="el-GR"/>
        </w:rPr>
        <w:t>Κόνις</w:t>
      </w:r>
      <w:r w:rsidR="00D74A7C" w:rsidRPr="00397A42">
        <w:rPr>
          <w:rFonts w:ascii="Times New Roman" w:hAnsi="Times New Roman"/>
          <w:sz w:val="22"/>
          <w:szCs w:val="22"/>
          <w:lang w:val="el-GR"/>
        </w:rPr>
        <w:t xml:space="preserve"> και διαλύτης</w:t>
      </w:r>
      <w:r w:rsidRPr="00397A42">
        <w:rPr>
          <w:rFonts w:ascii="Times New Roman" w:hAnsi="Times New Roman"/>
          <w:sz w:val="22"/>
          <w:szCs w:val="22"/>
          <w:lang w:val="el-GR"/>
        </w:rPr>
        <w:t xml:space="preserve"> για ενέσιμο διάλυμα</w:t>
      </w:r>
    </w:p>
    <w:p w:rsidR="00036CA5" w:rsidRPr="00397A42" w:rsidRDefault="00036CA5" w:rsidP="00036CA5">
      <w:pPr>
        <w:spacing w:line="240" w:lineRule="atLeast"/>
        <w:ind w:left="720"/>
        <w:jc w:val="both"/>
        <w:rPr>
          <w:rFonts w:ascii="Times New Roman" w:hAnsi="Times New Roman"/>
          <w:sz w:val="22"/>
          <w:szCs w:val="22"/>
          <w:lang w:val="el-GR"/>
        </w:rPr>
      </w:pPr>
      <w:r w:rsidRPr="00397A42">
        <w:rPr>
          <w:rFonts w:ascii="Times New Roman" w:hAnsi="Times New Roman"/>
          <w:sz w:val="22"/>
          <w:szCs w:val="22"/>
          <w:lang w:val="el-GR"/>
        </w:rPr>
        <w:t>Κόνις για ενέσιμο διάλυμα</w:t>
      </w:r>
    </w:p>
    <w:p w:rsidR="00192B54" w:rsidRPr="00397A42" w:rsidRDefault="00192B54">
      <w:pPr>
        <w:spacing w:line="240" w:lineRule="atLeast"/>
        <w:ind w:firstLine="720"/>
        <w:jc w:val="both"/>
        <w:rPr>
          <w:rFonts w:ascii="Times New Roman" w:hAnsi="Times New Roman"/>
          <w:b/>
          <w:sz w:val="22"/>
          <w:szCs w:val="22"/>
          <w:lang w:val="el-GR"/>
        </w:rPr>
      </w:pPr>
    </w:p>
    <w:p w:rsidR="00192B54" w:rsidRPr="00397A42" w:rsidRDefault="00192B54">
      <w:pPr>
        <w:spacing w:line="240" w:lineRule="atLeast"/>
        <w:jc w:val="both"/>
        <w:rPr>
          <w:rFonts w:ascii="Times New Roman" w:hAnsi="Times New Roman"/>
          <w:sz w:val="22"/>
          <w:szCs w:val="22"/>
          <w:lang w:val="el-GR"/>
        </w:rPr>
      </w:pPr>
      <w:r w:rsidRPr="00397A42">
        <w:rPr>
          <w:rFonts w:ascii="Times New Roman" w:hAnsi="Times New Roman"/>
          <w:b/>
          <w:sz w:val="22"/>
          <w:szCs w:val="22"/>
          <w:lang w:val="el-GR"/>
        </w:rPr>
        <w:t>1.4</w:t>
      </w:r>
      <w:r w:rsidRPr="00397A42">
        <w:rPr>
          <w:rFonts w:ascii="Times New Roman" w:hAnsi="Times New Roman"/>
          <w:b/>
          <w:sz w:val="22"/>
          <w:szCs w:val="22"/>
          <w:lang w:val="el-GR"/>
        </w:rPr>
        <w:tab/>
        <w:t>Περιεκτικότητα σε δραστική ουσία</w:t>
      </w:r>
      <w:r w:rsidRPr="00397A42">
        <w:rPr>
          <w:rFonts w:ascii="Times New Roman" w:hAnsi="Times New Roman"/>
          <w:sz w:val="22"/>
          <w:szCs w:val="22"/>
          <w:lang w:val="el-GR"/>
        </w:rPr>
        <w:t xml:space="preserve"> </w:t>
      </w:r>
    </w:p>
    <w:p w:rsidR="003D07EE" w:rsidRPr="00397A42" w:rsidRDefault="003D07EE" w:rsidP="003D07EE">
      <w:pPr>
        <w:ind w:left="360" w:firstLine="360"/>
        <w:jc w:val="both"/>
        <w:rPr>
          <w:rFonts w:ascii="Times New Roman" w:hAnsi="Times New Roman"/>
          <w:sz w:val="22"/>
          <w:szCs w:val="22"/>
          <w:lang w:val="el-GR"/>
        </w:rPr>
      </w:pPr>
      <w:r w:rsidRPr="00397A42">
        <w:rPr>
          <w:rFonts w:ascii="Times New Roman" w:hAnsi="Times New Roman"/>
          <w:sz w:val="22"/>
          <w:szCs w:val="22"/>
          <w:u w:val="single"/>
          <w:lang w:val="el-GR"/>
        </w:rPr>
        <w:t>Ενέσιμο διάλυμα:</w:t>
      </w:r>
      <w:r w:rsidRPr="00397A42">
        <w:rPr>
          <w:rFonts w:ascii="Times New Roman" w:hAnsi="Times New Roman"/>
          <w:sz w:val="22"/>
          <w:szCs w:val="22"/>
          <w:lang w:val="el-GR"/>
        </w:rPr>
        <w:t xml:space="preserve"> 10mg/5ml </w:t>
      </w:r>
      <w:r w:rsidRPr="00397A42">
        <w:rPr>
          <w:rFonts w:ascii="Times New Roman" w:hAnsi="Times New Roman"/>
          <w:sz w:val="22"/>
          <w:szCs w:val="22"/>
          <w:lang w:val="en-US"/>
        </w:rPr>
        <w:t>Vial</w:t>
      </w:r>
      <w:r w:rsidRPr="00397A42">
        <w:rPr>
          <w:rFonts w:ascii="Times New Roman" w:hAnsi="Times New Roman"/>
          <w:sz w:val="22"/>
          <w:szCs w:val="22"/>
          <w:lang w:val="el-GR"/>
        </w:rPr>
        <w:t xml:space="preserve">, 50mg/25ml </w:t>
      </w:r>
      <w:r w:rsidRPr="00397A42">
        <w:rPr>
          <w:rFonts w:ascii="Times New Roman" w:hAnsi="Times New Roman"/>
          <w:sz w:val="22"/>
          <w:szCs w:val="22"/>
          <w:lang w:val="en-US"/>
        </w:rPr>
        <w:t>Vial</w:t>
      </w:r>
      <w:r w:rsidRPr="00397A42">
        <w:rPr>
          <w:rFonts w:ascii="Times New Roman" w:hAnsi="Times New Roman"/>
          <w:sz w:val="22"/>
          <w:szCs w:val="22"/>
          <w:lang w:val="el-GR"/>
        </w:rPr>
        <w:t xml:space="preserve"> </w:t>
      </w:r>
    </w:p>
    <w:p w:rsidR="003D07EE" w:rsidRPr="00397A42" w:rsidRDefault="003D07EE" w:rsidP="003D07EE">
      <w:p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ab/>
      </w:r>
      <w:r w:rsidRPr="00397A42">
        <w:rPr>
          <w:rFonts w:ascii="Times New Roman" w:hAnsi="Times New Roman"/>
          <w:sz w:val="22"/>
          <w:szCs w:val="22"/>
          <w:u w:val="single"/>
          <w:lang w:val="el-GR"/>
        </w:rPr>
        <w:t>Κόνις και διαλύτης για ενέσιμο διάλυμα:</w:t>
      </w:r>
      <w:r w:rsidRPr="00397A42">
        <w:rPr>
          <w:rFonts w:ascii="Times New Roman" w:hAnsi="Times New Roman"/>
          <w:sz w:val="22"/>
          <w:szCs w:val="22"/>
          <w:lang w:val="el-GR"/>
        </w:rPr>
        <w:t xml:space="preserve"> 10</w:t>
      </w:r>
      <w:r w:rsidRPr="00397A42">
        <w:rPr>
          <w:rFonts w:ascii="Times New Roman" w:hAnsi="Times New Roman"/>
          <w:sz w:val="22"/>
          <w:szCs w:val="22"/>
          <w:lang w:val="en-US"/>
        </w:rPr>
        <w:t>mg</w:t>
      </w:r>
      <w:r w:rsidRPr="00397A42">
        <w:rPr>
          <w:rFonts w:ascii="Times New Roman" w:hAnsi="Times New Roman"/>
          <w:sz w:val="22"/>
          <w:szCs w:val="22"/>
          <w:lang w:val="el-GR"/>
        </w:rPr>
        <w:t>/</w:t>
      </w:r>
      <w:r w:rsidRPr="00397A42">
        <w:rPr>
          <w:rFonts w:ascii="Times New Roman" w:hAnsi="Times New Roman"/>
          <w:sz w:val="22"/>
          <w:szCs w:val="22"/>
          <w:lang w:val="en-US"/>
        </w:rPr>
        <w:t>Vial</w:t>
      </w:r>
    </w:p>
    <w:p w:rsidR="005F48D2" w:rsidRPr="00397A42" w:rsidRDefault="003D07EE" w:rsidP="005F48D2">
      <w:pPr>
        <w:ind w:left="720"/>
        <w:jc w:val="both"/>
        <w:rPr>
          <w:rFonts w:ascii="Times New Roman" w:hAnsi="Times New Roman"/>
          <w:sz w:val="22"/>
          <w:szCs w:val="22"/>
          <w:lang w:val="el-GR"/>
        </w:rPr>
      </w:pPr>
      <w:r w:rsidRPr="00397A42">
        <w:rPr>
          <w:rFonts w:ascii="Times New Roman" w:hAnsi="Times New Roman"/>
          <w:sz w:val="22"/>
          <w:szCs w:val="22"/>
          <w:u w:val="single"/>
          <w:lang w:val="el-GR"/>
        </w:rPr>
        <w:t>Κόνις για ενέσιμο διάλυμα:</w:t>
      </w:r>
      <w:r w:rsidRPr="00397A42">
        <w:rPr>
          <w:rFonts w:ascii="Times New Roman" w:hAnsi="Times New Roman"/>
          <w:sz w:val="22"/>
          <w:szCs w:val="22"/>
          <w:lang w:val="el-GR"/>
        </w:rPr>
        <w:t xml:space="preserve"> 50</w:t>
      </w:r>
      <w:r w:rsidRPr="00397A42">
        <w:rPr>
          <w:rFonts w:ascii="Times New Roman" w:hAnsi="Times New Roman"/>
          <w:sz w:val="22"/>
          <w:szCs w:val="22"/>
          <w:lang w:val="en-US"/>
        </w:rPr>
        <w:t>mg</w:t>
      </w:r>
      <w:r w:rsidRPr="00397A42">
        <w:rPr>
          <w:rFonts w:ascii="Times New Roman" w:hAnsi="Times New Roman"/>
          <w:sz w:val="22"/>
          <w:szCs w:val="22"/>
          <w:lang w:val="el-GR"/>
        </w:rPr>
        <w:t>/</w:t>
      </w:r>
      <w:r w:rsidRPr="00397A42">
        <w:rPr>
          <w:rFonts w:ascii="Times New Roman" w:hAnsi="Times New Roman"/>
          <w:sz w:val="22"/>
          <w:szCs w:val="22"/>
          <w:lang w:val="en-US"/>
        </w:rPr>
        <w:t>Vial</w:t>
      </w:r>
    </w:p>
    <w:p w:rsidR="00192B54" w:rsidRPr="00397A42" w:rsidRDefault="00192B54" w:rsidP="005E52D8">
      <w:pPr>
        <w:spacing w:line="240" w:lineRule="atLeast"/>
        <w:jc w:val="both"/>
        <w:rPr>
          <w:rFonts w:ascii="Times New Roman" w:hAnsi="Times New Roman"/>
          <w:sz w:val="22"/>
          <w:szCs w:val="22"/>
          <w:lang w:val="el-GR"/>
        </w:rPr>
      </w:pPr>
    </w:p>
    <w:p w:rsidR="00F70483" w:rsidRPr="00397A42" w:rsidRDefault="00192B54">
      <w:pPr>
        <w:numPr>
          <w:ilvl w:val="1"/>
          <w:numId w:val="2"/>
        </w:numPr>
        <w:spacing w:line="240" w:lineRule="atLeast"/>
        <w:jc w:val="both"/>
        <w:rPr>
          <w:rFonts w:ascii="Times New Roman" w:hAnsi="Times New Roman"/>
          <w:sz w:val="22"/>
          <w:szCs w:val="22"/>
          <w:lang w:val="el-GR"/>
        </w:rPr>
      </w:pPr>
      <w:r w:rsidRPr="00397A42">
        <w:rPr>
          <w:rFonts w:ascii="Times New Roman" w:hAnsi="Times New Roman"/>
          <w:b/>
          <w:sz w:val="22"/>
          <w:szCs w:val="22"/>
          <w:lang w:val="el-GR"/>
        </w:rPr>
        <w:t xml:space="preserve">Περιγραφή-συσκευασία </w:t>
      </w:r>
    </w:p>
    <w:p w:rsidR="00F70483" w:rsidRPr="00397A42" w:rsidRDefault="0021505F" w:rsidP="00F70483">
      <w:pPr>
        <w:spacing w:line="240" w:lineRule="atLeast"/>
        <w:ind w:left="720"/>
        <w:jc w:val="both"/>
        <w:rPr>
          <w:rFonts w:ascii="Times New Roman" w:hAnsi="Times New Roman"/>
          <w:sz w:val="22"/>
          <w:szCs w:val="22"/>
          <w:lang w:val="el-GR"/>
        </w:rPr>
      </w:pPr>
      <w:r w:rsidRPr="00397A42">
        <w:rPr>
          <w:rFonts w:ascii="Times New Roman" w:hAnsi="Times New Roman"/>
          <w:sz w:val="22"/>
          <w:szCs w:val="22"/>
          <w:u w:val="single"/>
          <w:lang w:val="el-GR"/>
        </w:rPr>
        <w:t>Ενέσιμο διάλυμα, φ</w:t>
      </w:r>
      <w:r w:rsidR="00F70483" w:rsidRPr="00397A42">
        <w:rPr>
          <w:rFonts w:ascii="Times New Roman" w:hAnsi="Times New Roman"/>
          <w:sz w:val="22"/>
          <w:szCs w:val="22"/>
          <w:u w:val="single"/>
          <w:lang w:val="el-GR"/>
        </w:rPr>
        <w:t>ιαλίδιο 10</w:t>
      </w:r>
      <w:r w:rsidR="00F70483" w:rsidRPr="00397A42">
        <w:rPr>
          <w:rFonts w:ascii="Times New Roman" w:hAnsi="Times New Roman"/>
          <w:sz w:val="22"/>
          <w:szCs w:val="22"/>
          <w:u w:val="single"/>
          <w:lang w:val="en-US"/>
        </w:rPr>
        <w:t>mg</w:t>
      </w:r>
      <w:r w:rsidR="00F70483" w:rsidRPr="00397A42">
        <w:rPr>
          <w:rFonts w:ascii="Times New Roman" w:hAnsi="Times New Roman"/>
          <w:sz w:val="22"/>
          <w:szCs w:val="22"/>
          <w:u w:val="single"/>
          <w:lang w:val="el-GR"/>
        </w:rPr>
        <w:t>/5</w:t>
      </w:r>
      <w:r w:rsidR="00F70483" w:rsidRPr="00397A42">
        <w:rPr>
          <w:rFonts w:ascii="Times New Roman" w:hAnsi="Times New Roman"/>
          <w:sz w:val="22"/>
          <w:szCs w:val="22"/>
          <w:u w:val="single"/>
          <w:lang w:val="en-US"/>
        </w:rPr>
        <w:t>ml</w:t>
      </w:r>
      <w:r w:rsidR="00F70483" w:rsidRPr="00397A42">
        <w:rPr>
          <w:rFonts w:ascii="Times New Roman" w:hAnsi="Times New Roman"/>
          <w:sz w:val="22"/>
          <w:szCs w:val="22"/>
          <w:u w:val="single"/>
          <w:lang w:val="el-GR"/>
        </w:rPr>
        <w:t>:</w:t>
      </w:r>
      <w:r w:rsidR="00F70483" w:rsidRPr="00397A42">
        <w:rPr>
          <w:rFonts w:ascii="Times New Roman" w:hAnsi="Times New Roman"/>
          <w:sz w:val="22"/>
          <w:szCs w:val="22"/>
          <w:lang w:val="el-GR"/>
        </w:rPr>
        <w:t xml:space="preserve"> Ένα φιαλίδιο που περιέχει ενέσιμο διάλυμα 10</w:t>
      </w:r>
      <w:r w:rsidR="00F70483" w:rsidRPr="00397A42">
        <w:rPr>
          <w:rFonts w:ascii="Times New Roman" w:hAnsi="Times New Roman"/>
          <w:sz w:val="22"/>
          <w:szCs w:val="22"/>
          <w:lang w:val="en-US"/>
        </w:rPr>
        <w:t>mg</w:t>
      </w:r>
      <w:r w:rsidR="00F70483" w:rsidRPr="00397A42">
        <w:rPr>
          <w:rFonts w:ascii="Times New Roman" w:hAnsi="Times New Roman"/>
          <w:sz w:val="22"/>
          <w:szCs w:val="22"/>
          <w:lang w:val="el-GR"/>
        </w:rPr>
        <w:t>/5</w:t>
      </w:r>
      <w:r w:rsidR="00F70483" w:rsidRPr="00397A42">
        <w:rPr>
          <w:rFonts w:ascii="Times New Roman" w:hAnsi="Times New Roman"/>
          <w:sz w:val="22"/>
          <w:szCs w:val="22"/>
          <w:lang w:val="en-US"/>
        </w:rPr>
        <w:t>ml</w:t>
      </w:r>
      <w:r w:rsidR="00F70483" w:rsidRPr="00397A42">
        <w:rPr>
          <w:rFonts w:ascii="Times New Roman" w:hAnsi="Times New Roman"/>
          <w:sz w:val="22"/>
          <w:szCs w:val="22"/>
          <w:lang w:val="el-GR"/>
        </w:rPr>
        <w:t xml:space="preserve"> υδροχλωρικής επιρουβικίνης.</w:t>
      </w:r>
    </w:p>
    <w:p w:rsidR="00F70483" w:rsidRPr="00397A42" w:rsidRDefault="0021505F" w:rsidP="00F70483">
      <w:pPr>
        <w:spacing w:line="240" w:lineRule="atLeast"/>
        <w:ind w:left="720"/>
        <w:jc w:val="both"/>
        <w:rPr>
          <w:rFonts w:ascii="Times New Roman" w:hAnsi="Times New Roman"/>
          <w:sz w:val="22"/>
          <w:szCs w:val="22"/>
          <w:lang w:val="el-GR"/>
        </w:rPr>
      </w:pPr>
      <w:r w:rsidRPr="00397A42">
        <w:rPr>
          <w:rFonts w:ascii="Times New Roman" w:hAnsi="Times New Roman"/>
          <w:sz w:val="22"/>
          <w:szCs w:val="22"/>
          <w:u w:val="single"/>
          <w:lang w:val="el-GR"/>
        </w:rPr>
        <w:t>Ενέσιμο διάλυμα, φ</w:t>
      </w:r>
      <w:r w:rsidR="00F70483" w:rsidRPr="00397A42">
        <w:rPr>
          <w:rFonts w:ascii="Times New Roman" w:hAnsi="Times New Roman"/>
          <w:sz w:val="22"/>
          <w:szCs w:val="22"/>
          <w:u w:val="single"/>
          <w:lang w:val="el-GR"/>
        </w:rPr>
        <w:t>ιαλίδιο 50</w:t>
      </w:r>
      <w:r w:rsidR="00F70483" w:rsidRPr="00397A42">
        <w:rPr>
          <w:rFonts w:ascii="Times New Roman" w:hAnsi="Times New Roman"/>
          <w:sz w:val="22"/>
          <w:szCs w:val="22"/>
          <w:u w:val="single"/>
          <w:lang w:val="en-US"/>
        </w:rPr>
        <w:t>mg</w:t>
      </w:r>
      <w:r w:rsidR="00F70483" w:rsidRPr="00397A42">
        <w:rPr>
          <w:rFonts w:ascii="Times New Roman" w:hAnsi="Times New Roman"/>
          <w:sz w:val="22"/>
          <w:szCs w:val="22"/>
          <w:u w:val="single"/>
          <w:lang w:val="el-GR"/>
        </w:rPr>
        <w:t>/25</w:t>
      </w:r>
      <w:r w:rsidR="00F70483" w:rsidRPr="00397A42">
        <w:rPr>
          <w:rFonts w:ascii="Times New Roman" w:hAnsi="Times New Roman"/>
          <w:sz w:val="22"/>
          <w:szCs w:val="22"/>
          <w:u w:val="single"/>
          <w:lang w:val="en-US"/>
        </w:rPr>
        <w:t>ml</w:t>
      </w:r>
      <w:r w:rsidR="00F70483" w:rsidRPr="00397A42">
        <w:rPr>
          <w:rFonts w:ascii="Times New Roman" w:hAnsi="Times New Roman"/>
          <w:sz w:val="22"/>
          <w:szCs w:val="22"/>
          <w:u w:val="single"/>
          <w:lang w:val="el-GR"/>
        </w:rPr>
        <w:t>:</w:t>
      </w:r>
      <w:r w:rsidR="00F70483" w:rsidRPr="00397A42">
        <w:rPr>
          <w:rFonts w:ascii="Times New Roman" w:hAnsi="Times New Roman"/>
          <w:sz w:val="22"/>
          <w:szCs w:val="22"/>
          <w:lang w:val="el-GR"/>
        </w:rPr>
        <w:t xml:space="preserve"> Ένα φιαλίδιο που περιέχει ενέσιμο διάλυμα 50</w:t>
      </w:r>
      <w:r w:rsidR="00F70483" w:rsidRPr="00397A42">
        <w:rPr>
          <w:rFonts w:ascii="Times New Roman" w:hAnsi="Times New Roman"/>
          <w:sz w:val="22"/>
          <w:szCs w:val="22"/>
          <w:lang w:val="en-US"/>
        </w:rPr>
        <w:t>mg</w:t>
      </w:r>
      <w:r w:rsidR="00F70483" w:rsidRPr="00397A42">
        <w:rPr>
          <w:rFonts w:ascii="Times New Roman" w:hAnsi="Times New Roman"/>
          <w:sz w:val="22"/>
          <w:szCs w:val="22"/>
          <w:lang w:val="el-GR"/>
        </w:rPr>
        <w:t>/25</w:t>
      </w:r>
      <w:r w:rsidR="00F70483" w:rsidRPr="00397A42">
        <w:rPr>
          <w:rFonts w:ascii="Times New Roman" w:hAnsi="Times New Roman"/>
          <w:sz w:val="22"/>
          <w:szCs w:val="22"/>
          <w:lang w:val="en-US"/>
        </w:rPr>
        <w:t>ml</w:t>
      </w:r>
      <w:r w:rsidR="00F70483" w:rsidRPr="00397A42">
        <w:rPr>
          <w:rFonts w:ascii="Times New Roman" w:hAnsi="Times New Roman"/>
          <w:sz w:val="22"/>
          <w:szCs w:val="22"/>
          <w:lang w:val="el-GR"/>
        </w:rPr>
        <w:t xml:space="preserve"> υδροχλωρικής επιρουβικίνης.</w:t>
      </w:r>
    </w:p>
    <w:p w:rsidR="00F70483" w:rsidRPr="00397A42" w:rsidRDefault="0021505F" w:rsidP="00F70483">
      <w:pPr>
        <w:spacing w:line="240" w:lineRule="atLeast"/>
        <w:ind w:left="720"/>
        <w:jc w:val="both"/>
        <w:rPr>
          <w:rFonts w:ascii="Times New Roman" w:hAnsi="Times New Roman"/>
          <w:sz w:val="22"/>
          <w:szCs w:val="22"/>
          <w:lang w:val="el-GR"/>
        </w:rPr>
      </w:pPr>
      <w:r w:rsidRPr="00397A42">
        <w:rPr>
          <w:rFonts w:ascii="Times New Roman" w:hAnsi="Times New Roman"/>
          <w:sz w:val="22"/>
          <w:szCs w:val="22"/>
          <w:u w:val="single"/>
          <w:lang w:val="el-GR"/>
        </w:rPr>
        <w:t xml:space="preserve">Κόνις και διαλύτης για ενέσιμο διάλυμα, </w:t>
      </w:r>
      <w:r w:rsidR="00F70483" w:rsidRPr="00397A42">
        <w:rPr>
          <w:rFonts w:ascii="Times New Roman" w:hAnsi="Times New Roman"/>
          <w:sz w:val="22"/>
          <w:szCs w:val="22"/>
          <w:u w:val="single"/>
          <w:lang w:val="el-GR"/>
        </w:rPr>
        <w:t>10</w:t>
      </w:r>
      <w:r w:rsidR="00F70483" w:rsidRPr="00397A42">
        <w:rPr>
          <w:rFonts w:ascii="Times New Roman" w:hAnsi="Times New Roman"/>
          <w:sz w:val="22"/>
          <w:szCs w:val="22"/>
          <w:u w:val="single"/>
          <w:lang w:val="en-US"/>
        </w:rPr>
        <w:t>mg</w:t>
      </w:r>
      <w:r w:rsidR="00F70483" w:rsidRPr="00397A42">
        <w:rPr>
          <w:rFonts w:ascii="Times New Roman" w:hAnsi="Times New Roman"/>
          <w:sz w:val="22"/>
          <w:szCs w:val="22"/>
          <w:u w:val="single"/>
          <w:lang w:val="el-GR"/>
        </w:rPr>
        <w:t>/φιαλίδιο:</w:t>
      </w:r>
      <w:r w:rsidR="00F70483" w:rsidRPr="00397A42">
        <w:rPr>
          <w:rFonts w:ascii="Times New Roman" w:hAnsi="Times New Roman"/>
          <w:sz w:val="22"/>
          <w:szCs w:val="22"/>
          <w:lang w:val="el-GR"/>
        </w:rPr>
        <w:t xml:space="preserve"> Ένα φιαλίδιο που περιέχει κόνι 10</w:t>
      </w:r>
      <w:r w:rsidR="00F70483" w:rsidRPr="00397A42">
        <w:rPr>
          <w:rFonts w:ascii="Times New Roman" w:hAnsi="Times New Roman"/>
          <w:sz w:val="22"/>
          <w:szCs w:val="22"/>
          <w:lang w:val="en-US"/>
        </w:rPr>
        <w:t>mg</w:t>
      </w:r>
      <w:r w:rsidR="00F70483" w:rsidRPr="00397A42">
        <w:rPr>
          <w:rFonts w:ascii="Times New Roman" w:hAnsi="Times New Roman"/>
          <w:sz w:val="22"/>
          <w:szCs w:val="22"/>
          <w:lang w:val="el-GR"/>
        </w:rPr>
        <w:t xml:space="preserve"> υδροχλωρικής επιρουβικ</w:t>
      </w:r>
      <w:r w:rsidR="006D5C81" w:rsidRPr="00397A42">
        <w:rPr>
          <w:rFonts w:ascii="Times New Roman" w:hAnsi="Times New Roman"/>
          <w:sz w:val="22"/>
          <w:szCs w:val="22"/>
          <w:lang w:val="el-GR"/>
        </w:rPr>
        <w:t>ίνης και ένα φιαλίδιο που περιέχει 5</w:t>
      </w:r>
      <w:r w:rsidR="006D5C81" w:rsidRPr="00397A42">
        <w:rPr>
          <w:rFonts w:ascii="Times New Roman" w:hAnsi="Times New Roman"/>
          <w:sz w:val="22"/>
          <w:szCs w:val="22"/>
          <w:lang w:val="en-US"/>
        </w:rPr>
        <w:t>ml</w:t>
      </w:r>
      <w:r w:rsidR="006D5C81" w:rsidRPr="00397A42">
        <w:rPr>
          <w:rFonts w:ascii="Times New Roman" w:hAnsi="Times New Roman"/>
          <w:sz w:val="22"/>
          <w:szCs w:val="22"/>
          <w:lang w:val="el-GR"/>
        </w:rPr>
        <w:t xml:space="preserve"> ύδωρ για ενέσιμα.</w:t>
      </w:r>
    </w:p>
    <w:p w:rsidR="00F70483" w:rsidRPr="00397A42" w:rsidRDefault="0021505F" w:rsidP="00F70483">
      <w:pPr>
        <w:spacing w:line="240" w:lineRule="atLeast"/>
        <w:ind w:left="720"/>
        <w:jc w:val="both"/>
        <w:rPr>
          <w:rFonts w:ascii="Times New Roman" w:hAnsi="Times New Roman"/>
          <w:sz w:val="22"/>
          <w:szCs w:val="22"/>
          <w:lang w:val="el-GR"/>
        </w:rPr>
      </w:pPr>
      <w:r w:rsidRPr="00397A42">
        <w:rPr>
          <w:rFonts w:ascii="Times New Roman" w:hAnsi="Times New Roman"/>
          <w:sz w:val="22"/>
          <w:szCs w:val="22"/>
          <w:u w:val="single"/>
          <w:lang w:val="el-GR"/>
        </w:rPr>
        <w:t xml:space="preserve">Κόνις για ενέσιμο διάλυμα </w:t>
      </w:r>
      <w:r w:rsidR="00F70483" w:rsidRPr="00397A42">
        <w:rPr>
          <w:rFonts w:ascii="Times New Roman" w:hAnsi="Times New Roman"/>
          <w:sz w:val="22"/>
          <w:szCs w:val="22"/>
          <w:u w:val="single"/>
          <w:lang w:val="el-GR"/>
        </w:rPr>
        <w:t>50</w:t>
      </w:r>
      <w:r w:rsidR="00F70483" w:rsidRPr="00397A42">
        <w:rPr>
          <w:rFonts w:ascii="Times New Roman" w:hAnsi="Times New Roman"/>
          <w:sz w:val="22"/>
          <w:szCs w:val="22"/>
          <w:u w:val="single"/>
          <w:lang w:val="en-US"/>
        </w:rPr>
        <w:t>mg</w:t>
      </w:r>
      <w:r w:rsidR="00F70483" w:rsidRPr="00397A42">
        <w:rPr>
          <w:rFonts w:ascii="Times New Roman" w:hAnsi="Times New Roman"/>
          <w:sz w:val="22"/>
          <w:szCs w:val="22"/>
          <w:u w:val="single"/>
          <w:lang w:val="el-GR"/>
        </w:rPr>
        <w:t>/φιαλίδι</w:t>
      </w:r>
      <w:r w:rsidRPr="00397A42">
        <w:rPr>
          <w:rFonts w:ascii="Times New Roman" w:hAnsi="Times New Roman"/>
          <w:sz w:val="22"/>
          <w:szCs w:val="22"/>
          <w:u w:val="single"/>
          <w:lang w:val="el-GR"/>
        </w:rPr>
        <w:t>ο</w:t>
      </w:r>
      <w:r w:rsidR="00F70483" w:rsidRPr="00397A42">
        <w:rPr>
          <w:rFonts w:ascii="Times New Roman" w:hAnsi="Times New Roman"/>
          <w:sz w:val="22"/>
          <w:szCs w:val="22"/>
          <w:u w:val="single"/>
          <w:lang w:val="el-GR"/>
        </w:rPr>
        <w:t>:</w:t>
      </w:r>
      <w:r w:rsidR="00F70483" w:rsidRPr="00397A42">
        <w:rPr>
          <w:rFonts w:ascii="Times New Roman" w:hAnsi="Times New Roman"/>
          <w:sz w:val="22"/>
          <w:szCs w:val="22"/>
          <w:lang w:val="el-GR"/>
        </w:rPr>
        <w:t xml:space="preserve"> Ένα φιαλίδιο που περιέχει κόνι 50</w:t>
      </w:r>
      <w:r w:rsidR="00F70483" w:rsidRPr="00397A42">
        <w:rPr>
          <w:rFonts w:ascii="Times New Roman" w:hAnsi="Times New Roman"/>
          <w:sz w:val="22"/>
          <w:szCs w:val="22"/>
          <w:lang w:val="en-US"/>
        </w:rPr>
        <w:t>mg</w:t>
      </w:r>
      <w:r w:rsidR="00F70483" w:rsidRPr="00397A42">
        <w:rPr>
          <w:rFonts w:ascii="Times New Roman" w:hAnsi="Times New Roman"/>
          <w:sz w:val="22"/>
          <w:szCs w:val="22"/>
          <w:lang w:val="el-GR"/>
        </w:rPr>
        <w:t xml:space="preserve"> υδροχλωρικής επιρουβικίνης.</w:t>
      </w:r>
    </w:p>
    <w:p w:rsidR="00F70483" w:rsidRPr="00397A42" w:rsidRDefault="00F70483" w:rsidP="00F70483">
      <w:pPr>
        <w:spacing w:line="240" w:lineRule="atLeast"/>
        <w:ind w:left="720"/>
        <w:jc w:val="both"/>
        <w:rPr>
          <w:rFonts w:ascii="Times New Roman" w:hAnsi="Times New Roman"/>
          <w:sz w:val="22"/>
          <w:szCs w:val="22"/>
          <w:lang w:val="el-GR"/>
        </w:rPr>
      </w:pPr>
    </w:p>
    <w:p w:rsidR="00192B54" w:rsidRPr="00397A42" w:rsidRDefault="00192B54">
      <w:pPr>
        <w:spacing w:line="240" w:lineRule="atLeast"/>
        <w:jc w:val="both"/>
        <w:rPr>
          <w:rFonts w:ascii="Times New Roman" w:hAnsi="Times New Roman"/>
          <w:sz w:val="22"/>
          <w:szCs w:val="22"/>
          <w:lang w:val="el-GR"/>
        </w:rPr>
      </w:pPr>
      <w:r w:rsidRPr="00397A42">
        <w:rPr>
          <w:rFonts w:ascii="Times New Roman" w:hAnsi="Times New Roman"/>
          <w:b/>
          <w:sz w:val="22"/>
          <w:szCs w:val="22"/>
          <w:lang w:val="el-GR"/>
        </w:rPr>
        <w:t>1.6</w:t>
      </w:r>
      <w:r w:rsidRPr="00397A42">
        <w:rPr>
          <w:rFonts w:ascii="Times New Roman" w:hAnsi="Times New Roman"/>
          <w:b/>
          <w:sz w:val="22"/>
          <w:szCs w:val="22"/>
          <w:lang w:val="el-GR"/>
        </w:rPr>
        <w:tab/>
        <w:t xml:space="preserve">Φαρμακοθεραπευτική κατηγορία: </w:t>
      </w:r>
      <w:r w:rsidRPr="00397A42">
        <w:rPr>
          <w:rFonts w:ascii="Times New Roman" w:hAnsi="Times New Roman"/>
          <w:sz w:val="22"/>
          <w:szCs w:val="22"/>
          <w:lang w:val="el-GR"/>
        </w:rPr>
        <w:t>Κυτταροστατικό</w:t>
      </w:r>
    </w:p>
    <w:p w:rsidR="00192B54" w:rsidRPr="00397A42" w:rsidRDefault="00192B54">
      <w:pPr>
        <w:numPr>
          <w:ilvl w:val="12"/>
          <w:numId w:val="0"/>
        </w:numPr>
        <w:spacing w:line="240" w:lineRule="atLeast"/>
        <w:jc w:val="both"/>
        <w:rPr>
          <w:rFonts w:ascii="Times New Roman" w:hAnsi="Times New Roman"/>
          <w:sz w:val="22"/>
          <w:szCs w:val="22"/>
          <w:lang w:val="el-GR"/>
        </w:rPr>
      </w:pPr>
    </w:p>
    <w:p w:rsidR="00EB3B23" w:rsidRPr="00397A42" w:rsidRDefault="00192B54" w:rsidP="000A434B">
      <w:pPr>
        <w:numPr>
          <w:ilvl w:val="12"/>
          <w:numId w:val="0"/>
        </w:numPr>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t>1.7</w:t>
      </w:r>
      <w:r w:rsidRPr="00397A42">
        <w:rPr>
          <w:rFonts w:ascii="Times New Roman" w:hAnsi="Times New Roman"/>
          <w:b/>
          <w:sz w:val="22"/>
          <w:szCs w:val="22"/>
          <w:lang w:val="el-GR"/>
        </w:rPr>
        <w:tab/>
        <w:t>Υπεύθυνος κυκλοφορίας:</w:t>
      </w:r>
      <w:r w:rsidR="006330CC" w:rsidRPr="00397A42">
        <w:rPr>
          <w:rFonts w:ascii="Times New Roman" w:hAnsi="Times New Roman"/>
          <w:b/>
          <w:sz w:val="22"/>
          <w:szCs w:val="22"/>
          <w:lang w:val="el-GR"/>
        </w:rPr>
        <w:tab/>
      </w:r>
      <w:r w:rsidR="00E26E12" w:rsidRPr="00397A42">
        <w:rPr>
          <w:rFonts w:ascii="Times New Roman" w:hAnsi="Times New Roman"/>
          <w:b/>
          <w:sz w:val="22"/>
          <w:szCs w:val="22"/>
          <w:lang w:val="en-US"/>
        </w:rPr>
        <w:t>Pfizer</w:t>
      </w:r>
      <w:r w:rsidR="00E26E12" w:rsidRPr="00397A42">
        <w:rPr>
          <w:rFonts w:ascii="Times New Roman" w:hAnsi="Times New Roman"/>
          <w:b/>
          <w:sz w:val="22"/>
          <w:szCs w:val="22"/>
          <w:lang w:val="el-GR"/>
        </w:rPr>
        <w:t xml:space="preserve"> </w:t>
      </w:r>
      <w:r w:rsidR="00104ADF" w:rsidRPr="00397A42">
        <w:rPr>
          <w:rFonts w:ascii="Times New Roman" w:hAnsi="Times New Roman"/>
          <w:b/>
          <w:sz w:val="22"/>
          <w:szCs w:val="22"/>
          <w:lang w:val="el-GR"/>
        </w:rPr>
        <w:t>ΕΛΛΑΣ</w:t>
      </w:r>
      <w:r w:rsidR="006330CC" w:rsidRPr="00397A42">
        <w:rPr>
          <w:rFonts w:ascii="Times New Roman" w:hAnsi="Times New Roman"/>
          <w:b/>
          <w:sz w:val="22"/>
          <w:szCs w:val="22"/>
          <w:lang w:val="el-GR"/>
        </w:rPr>
        <w:t xml:space="preserve"> </w:t>
      </w:r>
      <w:r w:rsidR="00E26E12" w:rsidRPr="00397A42">
        <w:rPr>
          <w:rFonts w:ascii="Times New Roman" w:hAnsi="Times New Roman"/>
          <w:b/>
          <w:sz w:val="22"/>
          <w:szCs w:val="22"/>
          <w:lang w:val="en-US"/>
        </w:rPr>
        <w:t>A</w:t>
      </w:r>
      <w:r w:rsidR="00E26E12" w:rsidRPr="00397A42">
        <w:rPr>
          <w:rFonts w:ascii="Times New Roman" w:hAnsi="Times New Roman"/>
          <w:b/>
          <w:sz w:val="22"/>
          <w:szCs w:val="22"/>
          <w:lang w:val="el-GR"/>
        </w:rPr>
        <w:t>.</w:t>
      </w:r>
      <w:r w:rsidR="00E26E12" w:rsidRPr="00397A42">
        <w:rPr>
          <w:rFonts w:ascii="Times New Roman" w:hAnsi="Times New Roman"/>
          <w:b/>
          <w:sz w:val="22"/>
          <w:szCs w:val="22"/>
          <w:lang w:val="en-US"/>
        </w:rPr>
        <w:t>E</w:t>
      </w:r>
      <w:r w:rsidR="00E26E12" w:rsidRPr="00397A42">
        <w:rPr>
          <w:rFonts w:ascii="Times New Roman" w:hAnsi="Times New Roman"/>
          <w:b/>
          <w:sz w:val="22"/>
          <w:szCs w:val="22"/>
          <w:lang w:val="el-GR"/>
        </w:rPr>
        <w:t>.</w:t>
      </w:r>
      <w:r w:rsidR="00104ADF" w:rsidRPr="00397A42">
        <w:rPr>
          <w:rFonts w:ascii="Times New Roman" w:hAnsi="Times New Roman"/>
          <w:b/>
          <w:sz w:val="22"/>
          <w:szCs w:val="22"/>
          <w:lang w:val="el-GR"/>
        </w:rPr>
        <w:t>,</w:t>
      </w:r>
      <w:r w:rsidR="000A434B" w:rsidRPr="00397A42">
        <w:rPr>
          <w:rFonts w:ascii="Times New Roman" w:hAnsi="Times New Roman"/>
          <w:b/>
          <w:sz w:val="22"/>
          <w:szCs w:val="22"/>
          <w:lang w:val="el-GR"/>
        </w:rPr>
        <w:t xml:space="preserve"> </w:t>
      </w:r>
    </w:p>
    <w:p w:rsidR="006330CC" w:rsidRPr="00397A42" w:rsidRDefault="00E26E12" w:rsidP="006330CC">
      <w:pPr>
        <w:numPr>
          <w:ilvl w:val="12"/>
          <w:numId w:val="0"/>
        </w:numPr>
        <w:spacing w:line="240" w:lineRule="atLeast"/>
        <w:ind w:left="2880" w:firstLine="720"/>
        <w:jc w:val="both"/>
        <w:rPr>
          <w:rFonts w:ascii="Times New Roman" w:hAnsi="Times New Roman"/>
          <w:bCs/>
          <w:sz w:val="22"/>
          <w:szCs w:val="22"/>
          <w:lang w:val="el-GR"/>
        </w:rPr>
      </w:pPr>
      <w:r w:rsidRPr="00397A42">
        <w:rPr>
          <w:rFonts w:ascii="Times New Roman" w:hAnsi="Times New Roman"/>
          <w:sz w:val="22"/>
          <w:szCs w:val="22"/>
          <w:lang w:val="el-GR"/>
        </w:rPr>
        <w:t>Λ. Μεσογείων 243, 154</w:t>
      </w:r>
      <w:r w:rsidR="006330CC" w:rsidRPr="00397A42">
        <w:rPr>
          <w:rFonts w:ascii="Times New Roman" w:hAnsi="Times New Roman"/>
          <w:sz w:val="22"/>
          <w:szCs w:val="22"/>
          <w:lang w:val="el-GR"/>
        </w:rPr>
        <w:t xml:space="preserve"> </w:t>
      </w:r>
      <w:r w:rsidRPr="00397A42">
        <w:rPr>
          <w:rFonts w:ascii="Times New Roman" w:hAnsi="Times New Roman"/>
          <w:sz w:val="22"/>
          <w:szCs w:val="22"/>
          <w:lang w:val="el-GR"/>
        </w:rPr>
        <w:t xml:space="preserve">51 Ν. </w:t>
      </w:r>
      <w:r w:rsidR="000A434B" w:rsidRPr="00397A42">
        <w:rPr>
          <w:rFonts w:ascii="Times New Roman" w:hAnsi="Times New Roman"/>
          <w:sz w:val="22"/>
          <w:szCs w:val="22"/>
          <w:lang w:val="el-GR"/>
        </w:rPr>
        <w:t>Ψυχικό</w:t>
      </w:r>
      <w:r w:rsidR="000A434B" w:rsidRPr="00397A42">
        <w:rPr>
          <w:rFonts w:ascii="Times New Roman" w:hAnsi="Times New Roman"/>
          <w:bCs/>
          <w:sz w:val="22"/>
          <w:szCs w:val="22"/>
          <w:lang w:val="el-GR"/>
        </w:rPr>
        <w:t xml:space="preserve">, </w:t>
      </w:r>
      <w:r w:rsidR="00104ADF" w:rsidRPr="00397A42">
        <w:rPr>
          <w:rFonts w:ascii="Times New Roman" w:hAnsi="Times New Roman"/>
          <w:bCs/>
          <w:sz w:val="22"/>
          <w:szCs w:val="22"/>
          <w:lang w:val="el-GR"/>
        </w:rPr>
        <w:t>Αθήνα,</w:t>
      </w:r>
    </w:p>
    <w:p w:rsidR="00104ADF" w:rsidRPr="00397A42" w:rsidRDefault="00104ADF" w:rsidP="006330CC">
      <w:pPr>
        <w:numPr>
          <w:ilvl w:val="12"/>
          <w:numId w:val="0"/>
        </w:numPr>
        <w:spacing w:line="240" w:lineRule="atLeast"/>
        <w:ind w:left="2880" w:firstLine="720"/>
        <w:jc w:val="both"/>
        <w:rPr>
          <w:rFonts w:ascii="Times New Roman" w:hAnsi="Times New Roman"/>
          <w:bCs/>
          <w:sz w:val="22"/>
          <w:szCs w:val="22"/>
          <w:lang w:val="el-GR"/>
        </w:rPr>
      </w:pPr>
      <w:r w:rsidRPr="00397A42">
        <w:rPr>
          <w:rFonts w:ascii="Times New Roman" w:hAnsi="Times New Roman"/>
          <w:bCs/>
          <w:sz w:val="22"/>
          <w:szCs w:val="22"/>
          <w:lang w:val="el-GR"/>
        </w:rPr>
        <w:t xml:space="preserve">Ελλάδα </w:t>
      </w:r>
    </w:p>
    <w:p w:rsidR="00192B54" w:rsidRPr="00397A42" w:rsidRDefault="000A434B" w:rsidP="00104ADF">
      <w:pPr>
        <w:numPr>
          <w:ilvl w:val="12"/>
          <w:numId w:val="0"/>
        </w:numPr>
        <w:spacing w:line="240" w:lineRule="atLeast"/>
        <w:ind w:left="2880" w:firstLine="720"/>
        <w:jc w:val="both"/>
        <w:rPr>
          <w:rFonts w:ascii="Times New Roman" w:hAnsi="Times New Roman"/>
          <w:sz w:val="22"/>
          <w:szCs w:val="22"/>
          <w:lang w:val="el-GR"/>
        </w:rPr>
      </w:pPr>
      <w:r w:rsidRPr="00397A42">
        <w:rPr>
          <w:rFonts w:ascii="Times New Roman" w:hAnsi="Times New Roman"/>
          <w:sz w:val="22"/>
          <w:szCs w:val="22"/>
          <w:lang w:val="el-GR"/>
        </w:rPr>
        <w:t>Τηλ:</w:t>
      </w:r>
      <w:r w:rsidR="006330CC" w:rsidRPr="00397A42">
        <w:rPr>
          <w:rFonts w:ascii="Times New Roman" w:hAnsi="Times New Roman"/>
          <w:sz w:val="22"/>
          <w:szCs w:val="22"/>
          <w:lang w:val="el-GR"/>
        </w:rPr>
        <w:t xml:space="preserve"> </w:t>
      </w:r>
      <w:r w:rsidRPr="00397A42">
        <w:rPr>
          <w:rFonts w:ascii="Times New Roman" w:hAnsi="Times New Roman"/>
          <w:sz w:val="22"/>
          <w:szCs w:val="22"/>
          <w:lang w:val="el-GR"/>
        </w:rPr>
        <w:t>+ 30 210 6785800</w:t>
      </w:r>
    </w:p>
    <w:p w:rsidR="005F543B" w:rsidRPr="00397A42" w:rsidRDefault="005F543B" w:rsidP="000A434B">
      <w:pPr>
        <w:numPr>
          <w:ilvl w:val="12"/>
          <w:numId w:val="0"/>
        </w:numPr>
        <w:spacing w:line="240" w:lineRule="atLeast"/>
        <w:jc w:val="both"/>
        <w:rPr>
          <w:rFonts w:ascii="Times New Roman" w:hAnsi="Times New Roman"/>
          <w:bCs/>
          <w:sz w:val="22"/>
          <w:szCs w:val="22"/>
          <w:lang w:val="el-GR"/>
        </w:rPr>
      </w:pPr>
    </w:p>
    <w:p w:rsidR="006330CC" w:rsidRPr="00397A42" w:rsidRDefault="00192B54" w:rsidP="006330CC">
      <w:pPr>
        <w:jc w:val="both"/>
        <w:rPr>
          <w:rFonts w:ascii="Times New Roman" w:hAnsi="Times New Roman"/>
          <w:b/>
          <w:sz w:val="22"/>
          <w:szCs w:val="22"/>
          <w:lang w:val="el-GR"/>
        </w:rPr>
      </w:pPr>
      <w:r w:rsidRPr="00397A42">
        <w:rPr>
          <w:rFonts w:ascii="Times New Roman" w:hAnsi="Times New Roman"/>
          <w:b/>
          <w:sz w:val="22"/>
          <w:szCs w:val="22"/>
          <w:lang w:val="el-GR"/>
        </w:rPr>
        <w:t xml:space="preserve">1.8     </w:t>
      </w:r>
      <w:r w:rsidR="000A434B" w:rsidRPr="00397A42">
        <w:rPr>
          <w:rFonts w:ascii="Times New Roman" w:hAnsi="Times New Roman"/>
          <w:b/>
          <w:sz w:val="22"/>
          <w:szCs w:val="22"/>
          <w:lang w:val="el-GR"/>
        </w:rPr>
        <w:t xml:space="preserve">   </w:t>
      </w:r>
      <w:r w:rsidRPr="00397A42">
        <w:rPr>
          <w:rFonts w:ascii="Times New Roman" w:hAnsi="Times New Roman"/>
          <w:b/>
          <w:sz w:val="22"/>
          <w:szCs w:val="22"/>
          <w:lang w:val="el-GR"/>
        </w:rPr>
        <w:t>Παρασκευασ</w:t>
      </w:r>
      <w:r w:rsidR="00E26E12" w:rsidRPr="00397A42">
        <w:rPr>
          <w:rFonts w:ascii="Times New Roman" w:hAnsi="Times New Roman"/>
          <w:b/>
          <w:sz w:val="22"/>
          <w:szCs w:val="22"/>
          <w:lang w:val="el-GR"/>
        </w:rPr>
        <w:t>τ</w:t>
      </w:r>
      <w:r w:rsidR="00596DE2" w:rsidRPr="00397A42">
        <w:rPr>
          <w:rFonts w:ascii="Times New Roman" w:hAnsi="Times New Roman"/>
          <w:b/>
          <w:sz w:val="22"/>
          <w:szCs w:val="22"/>
          <w:lang w:val="el-GR"/>
        </w:rPr>
        <w:t>ή</w:t>
      </w:r>
      <w:r w:rsidR="00584518" w:rsidRPr="00397A42">
        <w:rPr>
          <w:rFonts w:ascii="Times New Roman" w:hAnsi="Times New Roman"/>
          <w:b/>
          <w:sz w:val="22"/>
          <w:szCs w:val="22"/>
          <w:lang w:val="el-GR"/>
        </w:rPr>
        <w:t>ς</w:t>
      </w:r>
      <w:r w:rsidR="003D07EE" w:rsidRPr="00397A42">
        <w:rPr>
          <w:rFonts w:ascii="Times New Roman" w:hAnsi="Times New Roman"/>
          <w:b/>
          <w:sz w:val="22"/>
          <w:szCs w:val="22"/>
          <w:lang w:val="el-GR"/>
        </w:rPr>
        <w:t>:</w:t>
      </w:r>
    </w:p>
    <w:p w:rsidR="003D07EE" w:rsidRPr="00397A42" w:rsidRDefault="003D07EE" w:rsidP="006330CC">
      <w:pPr>
        <w:ind w:firstLine="720"/>
        <w:jc w:val="both"/>
        <w:rPr>
          <w:rFonts w:ascii="Times New Roman" w:hAnsi="Times New Roman"/>
          <w:sz w:val="22"/>
          <w:szCs w:val="22"/>
          <w:lang w:val="en-US"/>
        </w:rPr>
      </w:pPr>
      <w:r w:rsidRPr="00397A42">
        <w:rPr>
          <w:rFonts w:ascii="Times New Roman" w:hAnsi="Times New Roman"/>
          <w:b/>
          <w:sz w:val="22"/>
          <w:szCs w:val="22"/>
          <w:u w:val="single"/>
          <w:lang w:val="el-GR"/>
        </w:rPr>
        <w:t>Ενέσιμο</w:t>
      </w:r>
      <w:r w:rsidRPr="00397A42">
        <w:rPr>
          <w:rFonts w:ascii="Times New Roman" w:hAnsi="Times New Roman"/>
          <w:b/>
          <w:sz w:val="22"/>
          <w:szCs w:val="22"/>
          <w:u w:val="single"/>
          <w:lang w:val="en-US"/>
        </w:rPr>
        <w:t xml:space="preserve"> </w:t>
      </w:r>
      <w:r w:rsidRPr="00397A42">
        <w:rPr>
          <w:rFonts w:ascii="Times New Roman" w:hAnsi="Times New Roman"/>
          <w:b/>
          <w:sz w:val="22"/>
          <w:szCs w:val="22"/>
          <w:u w:val="single"/>
          <w:lang w:val="el-GR"/>
        </w:rPr>
        <w:t>Διάλυμα</w:t>
      </w:r>
      <w:r w:rsidRPr="00397A42">
        <w:rPr>
          <w:rFonts w:ascii="Times New Roman" w:hAnsi="Times New Roman"/>
          <w:b/>
          <w:sz w:val="22"/>
          <w:szCs w:val="22"/>
          <w:u w:val="single"/>
          <w:lang w:val="en-US"/>
        </w:rPr>
        <w:t>:</w:t>
      </w:r>
      <w:r w:rsidRPr="00397A42">
        <w:rPr>
          <w:rFonts w:ascii="Times New Roman" w:hAnsi="Times New Roman"/>
          <w:b/>
          <w:sz w:val="22"/>
          <w:szCs w:val="22"/>
          <w:lang w:val="en-US"/>
        </w:rPr>
        <w:t xml:space="preserve"> </w:t>
      </w:r>
      <w:r w:rsidRPr="00397A42">
        <w:rPr>
          <w:rFonts w:ascii="Times New Roman" w:hAnsi="Times New Roman"/>
          <w:b/>
          <w:sz w:val="22"/>
          <w:szCs w:val="22"/>
          <w:lang w:val="en-US"/>
        </w:rPr>
        <w:tab/>
      </w:r>
      <w:r w:rsidR="006330CC" w:rsidRPr="00397A42">
        <w:rPr>
          <w:rFonts w:ascii="Times New Roman" w:hAnsi="Times New Roman"/>
          <w:b/>
          <w:sz w:val="22"/>
          <w:szCs w:val="22"/>
          <w:lang w:val="en-US"/>
        </w:rPr>
        <w:tab/>
        <w:t xml:space="preserve"> </w:t>
      </w:r>
      <w:r w:rsidRPr="00397A42">
        <w:rPr>
          <w:rFonts w:ascii="Times New Roman" w:hAnsi="Times New Roman"/>
          <w:sz w:val="22"/>
          <w:szCs w:val="22"/>
          <w:lang w:val="en-US"/>
        </w:rPr>
        <w:t>1)</w:t>
      </w:r>
      <w:r w:rsidR="006330CC" w:rsidRPr="00397A42">
        <w:rPr>
          <w:rFonts w:ascii="Times New Roman" w:hAnsi="Times New Roman"/>
          <w:sz w:val="22"/>
          <w:szCs w:val="22"/>
          <w:lang w:val="en-US"/>
        </w:rPr>
        <w:t xml:space="preserve"> </w:t>
      </w:r>
      <w:r w:rsidRPr="00397A42">
        <w:rPr>
          <w:rFonts w:ascii="Times New Roman" w:hAnsi="Times New Roman"/>
          <w:bCs/>
          <w:sz w:val="22"/>
          <w:lang w:val="it-IT"/>
        </w:rPr>
        <w:t>Actavis Italy SPA</w:t>
      </w:r>
      <w:r w:rsidRPr="00397A42">
        <w:rPr>
          <w:rFonts w:ascii="Times New Roman" w:hAnsi="Times New Roman"/>
          <w:bCs/>
          <w:sz w:val="22"/>
          <w:lang w:val="en-US"/>
        </w:rPr>
        <w:t xml:space="preserve">., </w:t>
      </w:r>
      <w:r w:rsidRPr="00397A42">
        <w:rPr>
          <w:rFonts w:ascii="Times New Roman" w:hAnsi="Times New Roman"/>
          <w:bCs/>
          <w:sz w:val="22"/>
          <w:lang w:val="it-IT"/>
        </w:rPr>
        <w:t>Nerviano</w:t>
      </w:r>
      <w:r w:rsidRPr="00397A42">
        <w:rPr>
          <w:rFonts w:ascii="Times New Roman" w:hAnsi="Times New Roman"/>
          <w:sz w:val="22"/>
          <w:szCs w:val="22"/>
          <w:lang w:val="en-US"/>
        </w:rPr>
        <w:t xml:space="preserve">, Milano, </w:t>
      </w:r>
      <w:r w:rsidRPr="00397A42">
        <w:rPr>
          <w:rFonts w:ascii="Times New Roman" w:hAnsi="Times New Roman"/>
          <w:sz w:val="22"/>
          <w:szCs w:val="22"/>
          <w:lang w:val="it-IT"/>
        </w:rPr>
        <w:t>Italy</w:t>
      </w:r>
      <w:r w:rsidRPr="00397A42">
        <w:rPr>
          <w:rFonts w:ascii="Times New Roman" w:hAnsi="Times New Roman"/>
          <w:sz w:val="22"/>
          <w:szCs w:val="22"/>
          <w:lang w:val="en-US"/>
        </w:rPr>
        <w:t xml:space="preserve"> </w:t>
      </w:r>
    </w:p>
    <w:p w:rsidR="003D07EE" w:rsidRPr="00397A42" w:rsidRDefault="006330CC" w:rsidP="003D07EE">
      <w:pPr>
        <w:tabs>
          <w:tab w:val="left" w:pos="3675"/>
        </w:tabs>
        <w:jc w:val="both"/>
        <w:rPr>
          <w:rFonts w:ascii="Times New Roman" w:hAnsi="Times New Roman"/>
          <w:sz w:val="22"/>
          <w:szCs w:val="22"/>
          <w:lang w:val="el-GR"/>
        </w:rPr>
      </w:pPr>
      <w:r w:rsidRPr="00397A42">
        <w:rPr>
          <w:rFonts w:ascii="Times New Roman" w:hAnsi="Times New Roman"/>
          <w:sz w:val="22"/>
          <w:szCs w:val="22"/>
          <w:lang w:val="en-US"/>
        </w:rPr>
        <w:tab/>
      </w:r>
      <w:r w:rsidR="003D07EE" w:rsidRPr="00397A42">
        <w:rPr>
          <w:rFonts w:ascii="Times New Roman" w:hAnsi="Times New Roman"/>
          <w:sz w:val="22"/>
          <w:szCs w:val="22"/>
          <w:lang w:val="el-GR"/>
        </w:rPr>
        <w:t xml:space="preserve">2) </w:t>
      </w:r>
      <w:r w:rsidR="003D07EE" w:rsidRPr="00397A42">
        <w:rPr>
          <w:rFonts w:ascii="Times New Roman" w:hAnsi="Times New Roman"/>
          <w:sz w:val="22"/>
          <w:szCs w:val="22"/>
        </w:rPr>
        <w:t>Pfizer</w:t>
      </w:r>
      <w:r w:rsidR="003D07EE" w:rsidRPr="00397A42">
        <w:rPr>
          <w:rFonts w:ascii="Times New Roman" w:hAnsi="Times New Roman"/>
          <w:sz w:val="22"/>
          <w:szCs w:val="22"/>
          <w:lang w:val="el-GR"/>
        </w:rPr>
        <w:t xml:space="preserve"> (</w:t>
      </w:r>
      <w:r w:rsidR="003D07EE" w:rsidRPr="00397A42">
        <w:rPr>
          <w:rFonts w:ascii="Times New Roman" w:hAnsi="Times New Roman"/>
          <w:sz w:val="22"/>
          <w:szCs w:val="22"/>
        </w:rPr>
        <w:t>Perth</w:t>
      </w:r>
      <w:r w:rsidR="003D07EE" w:rsidRPr="00397A42">
        <w:rPr>
          <w:rFonts w:ascii="Times New Roman" w:hAnsi="Times New Roman"/>
          <w:sz w:val="22"/>
          <w:szCs w:val="22"/>
          <w:lang w:val="el-GR"/>
        </w:rPr>
        <w:t xml:space="preserve">) </w:t>
      </w:r>
      <w:r w:rsidR="003D07EE" w:rsidRPr="00397A42">
        <w:rPr>
          <w:rFonts w:ascii="Times New Roman" w:hAnsi="Times New Roman"/>
          <w:sz w:val="22"/>
          <w:szCs w:val="22"/>
        </w:rPr>
        <w:t>PTY</w:t>
      </w:r>
      <w:r w:rsidR="003D07EE" w:rsidRPr="00397A42">
        <w:rPr>
          <w:rFonts w:ascii="Times New Roman" w:hAnsi="Times New Roman"/>
          <w:sz w:val="22"/>
          <w:szCs w:val="22"/>
          <w:lang w:val="el-GR"/>
        </w:rPr>
        <w:t xml:space="preserve"> </w:t>
      </w:r>
      <w:r w:rsidR="003D07EE" w:rsidRPr="00397A42">
        <w:rPr>
          <w:rFonts w:ascii="Times New Roman" w:hAnsi="Times New Roman"/>
          <w:sz w:val="22"/>
          <w:szCs w:val="22"/>
        </w:rPr>
        <w:t>Ltd</w:t>
      </w:r>
      <w:r w:rsidR="003D07EE" w:rsidRPr="00397A42">
        <w:rPr>
          <w:rFonts w:ascii="Times New Roman" w:hAnsi="Times New Roman"/>
          <w:sz w:val="22"/>
          <w:szCs w:val="22"/>
          <w:lang w:val="el-GR"/>
        </w:rPr>
        <w:t xml:space="preserve">, </w:t>
      </w:r>
      <w:r w:rsidR="003D07EE" w:rsidRPr="00397A42">
        <w:rPr>
          <w:rFonts w:ascii="Times New Roman" w:hAnsi="Times New Roman"/>
          <w:sz w:val="22"/>
          <w:szCs w:val="22"/>
        </w:rPr>
        <w:t>Australia</w:t>
      </w:r>
    </w:p>
    <w:p w:rsidR="006330CC" w:rsidRPr="00397A42" w:rsidRDefault="006330CC" w:rsidP="003D07EE">
      <w:pPr>
        <w:tabs>
          <w:tab w:val="left" w:pos="3675"/>
        </w:tabs>
        <w:jc w:val="both"/>
        <w:rPr>
          <w:rFonts w:ascii="Times New Roman" w:hAnsi="Times New Roman"/>
          <w:sz w:val="22"/>
          <w:szCs w:val="22"/>
          <w:lang w:val="el-GR"/>
        </w:rPr>
      </w:pPr>
    </w:p>
    <w:p w:rsidR="0044777A" w:rsidRPr="00397A42" w:rsidRDefault="0044777A" w:rsidP="0044777A">
      <w:pPr>
        <w:ind w:left="720"/>
        <w:jc w:val="both"/>
        <w:rPr>
          <w:rFonts w:ascii="Times New Roman" w:hAnsi="Times New Roman"/>
          <w:sz w:val="22"/>
          <w:szCs w:val="22"/>
          <w:lang w:val="el-GR"/>
        </w:rPr>
      </w:pPr>
      <w:r w:rsidRPr="00397A42">
        <w:rPr>
          <w:rFonts w:ascii="Times New Roman" w:hAnsi="Times New Roman"/>
          <w:b/>
          <w:sz w:val="22"/>
          <w:szCs w:val="22"/>
          <w:u w:val="single"/>
          <w:lang w:val="el-GR"/>
        </w:rPr>
        <w:t>Κόνις και διαλύτης για ενέσιμο διάλυμα/Κόνις για ενέσιμο διάλυμα:</w:t>
      </w:r>
      <w:r w:rsidRPr="00397A42">
        <w:rPr>
          <w:rFonts w:ascii="Times New Roman" w:hAnsi="Times New Roman"/>
          <w:b/>
          <w:sz w:val="22"/>
          <w:szCs w:val="22"/>
          <w:lang w:val="el-GR"/>
        </w:rPr>
        <w:tab/>
      </w:r>
    </w:p>
    <w:p w:rsidR="0044777A" w:rsidRPr="00397A42" w:rsidRDefault="0044777A" w:rsidP="009A00A7">
      <w:pPr>
        <w:ind w:left="3600"/>
        <w:jc w:val="both"/>
        <w:rPr>
          <w:rFonts w:ascii="Times New Roman" w:hAnsi="Times New Roman"/>
          <w:sz w:val="22"/>
          <w:szCs w:val="22"/>
          <w:lang w:val="en-US"/>
        </w:rPr>
      </w:pPr>
      <w:proofErr w:type="spellStart"/>
      <w:r w:rsidRPr="00397A42">
        <w:rPr>
          <w:rFonts w:ascii="Times New Roman" w:hAnsi="Times New Roman"/>
          <w:bCs/>
          <w:sz w:val="22"/>
          <w:lang w:val="en-US"/>
        </w:rPr>
        <w:t>Actavis</w:t>
      </w:r>
      <w:proofErr w:type="spellEnd"/>
      <w:r w:rsidRPr="00397A42">
        <w:rPr>
          <w:rFonts w:ascii="Times New Roman" w:hAnsi="Times New Roman"/>
          <w:bCs/>
          <w:sz w:val="22"/>
          <w:lang w:val="en-US"/>
        </w:rPr>
        <w:t xml:space="preserve"> Italy SPA, </w:t>
      </w:r>
      <w:r w:rsidRPr="00397A42">
        <w:rPr>
          <w:rFonts w:ascii="Times New Roman" w:hAnsi="Times New Roman"/>
          <w:bCs/>
          <w:sz w:val="22"/>
          <w:lang w:val="it-IT"/>
        </w:rPr>
        <w:t>Nerviano</w:t>
      </w:r>
      <w:r w:rsidRPr="00397A42">
        <w:rPr>
          <w:rFonts w:ascii="Times New Roman" w:hAnsi="Times New Roman"/>
          <w:sz w:val="22"/>
          <w:szCs w:val="22"/>
          <w:lang w:val="en-US"/>
        </w:rPr>
        <w:t xml:space="preserve">, Milano, </w:t>
      </w:r>
      <w:r w:rsidRPr="00397A42">
        <w:rPr>
          <w:rFonts w:ascii="Times New Roman" w:hAnsi="Times New Roman"/>
          <w:sz w:val="22"/>
          <w:szCs w:val="22"/>
          <w:lang w:val="it-IT"/>
        </w:rPr>
        <w:t>Italy</w:t>
      </w:r>
    </w:p>
    <w:p w:rsidR="003D07EE" w:rsidRPr="00397A42" w:rsidRDefault="00196B88" w:rsidP="00196B88">
      <w:pPr>
        <w:tabs>
          <w:tab w:val="left" w:pos="5137"/>
        </w:tabs>
        <w:jc w:val="both"/>
        <w:rPr>
          <w:rFonts w:ascii="Times New Roman" w:hAnsi="Times New Roman"/>
          <w:sz w:val="22"/>
          <w:szCs w:val="22"/>
          <w:lang w:val="en-US"/>
        </w:rPr>
      </w:pPr>
      <w:r w:rsidRPr="00397A42">
        <w:rPr>
          <w:rFonts w:ascii="Times New Roman" w:hAnsi="Times New Roman"/>
          <w:sz w:val="22"/>
          <w:szCs w:val="22"/>
          <w:lang w:val="en-US"/>
        </w:rPr>
        <w:tab/>
      </w:r>
    </w:p>
    <w:p w:rsidR="006330CC" w:rsidRPr="00397A42" w:rsidRDefault="003D07EE" w:rsidP="003D07EE">
      <w:pPr>
        <w:ind w:left="2966" w:hanging="2966"/>
        <w:jc w:val="both"/>
        <w:rPr>
          <w:rFonts w:ascii="Times New Roman" w:hAnsi="Times New Roman"/>
          <w:b/>
          <w:sz w:val="22"/>
          <w:szCs w:val="22"/>
          <w:lang w:val="el-GR"/>
        </w:rPr>
      </w:pPr>
      <w:r w:rsidRPr="00397A42">
        <w:rPr>
          <w:rFonts w:ascii="Times New Roman" w:hAnsi="Times New Roman"/>
          <w:b/>
          <w:sz w:val="22"/>
          <w:szCs w:val="22"/>
          <w:lang w:val="en-US"/>
        </w:rPr>
        <w:t xml:space="preserve">1.9       </w:t>
      </w:r>
      <w:r w:rsidR="006330CC" w:rsidRPr="00397A42">
        <w:rPr>
          <w:rFonts w:ascii="Times New Roman" w:hAnsi="Times New Roman"/>
          <w:b/>
          <w:sz w:val="22"/>
          <w:szCs w:val="22"/>
          <w:lang w:val="en-US"/>
        </w:rPr>
        <w:t xml:space="preserve"> </w:t>
      </w:r>
      <w:r w:rsidRPr="00397A42">
        <w:rPr>
          <w:rFonts w:ascii="Times New Roman" w:hAnsi="Times New Roman"/>
          <w:b/>
          <w:sz w:val="22"/>
          <w:szCs w:val="22"/>
          <w:lang w:val="el-GR"/>
        </w:rPr>
        <w:t>Συσκευαστής</w:t>
      </w:r>
      <w:r w:rsidRPr="00397A42">
        <w:rPr>
          <w:rFonts w:ascii="Times New Roman" w:hAnsi="Times New Roman"/>
          <w:b/>
          <w:sz w:val="22"/>
          <w:szCs w:val="22"/>
          <w:lang w:val="en-US"/>
        </w:rPr>
        <w:t xml:space="preserve">:  </w:t>
      </w:r>
      <w:r w:rsidRPr="00397A42">
        <w:rPr>
          <w:rFonts w:ascii="Times New Roman" w:hAnsi="Times New Roman"/>
          <w:sz w:val="22"/>
          <w:szCs w:val="22"/>
          <w:lang w:val="en-US"/>
        </w:rPr>
        <w:t xml:space="preserve"> </w:t>
      </w:r>
    </w:p>
    <w:p w:rsidR="0044777A" w:rsidRPr="00397A42" w:rsidRDefault="0044777A" w:rsidP="0044777A">
      <w:pPr>
        <w:ind w:left="3686" w:hanging="2966"/>
        <w:jc w:val="both"/>
        <w:rPr>
          <w:rFonts w:ascii="Times New Roman" w:hAnsi="Times New Roman"/>
          <w:sz w:val="22"/>
          <w:szCs w:val="22"/>
          <w:lang w:val="en-US"/>
        </w:rPr>
      </w:pPr>
      <w:r w:rsidRPr="00397A42">
        <w:rPr>
          <w:rFonts w:ascii="Times New Roman" w:hAnsi="Times New Roman"/>
          <w:b/>
          <w:sz w:val="22"/>
          <w:szCs w:val="22"/>
          <w:u w:val="single"/>
          <w:lang w:val="el-GR"/>
        </w:rPr>
        <w:t>Ενέσιμο</w:t>
      </w:r>
      <w:r w:rsidRPr="00397A42">
        <w:rPr>
          <w:rFonts w:ascii="Times New Roman" w:hAnsi="Times New Roman"/>
          <w:b/>
          <w:sz w:val="22"/>
          <w:szCs w:val="22"/>
          <w:u w:val="single"/>
          <w:lang w:val="en-US"/>
        </w:rPr>
        <w:t xml:space="preserve"> </w:t>
      </w:r>
      <w:r w:rsidRPr="00397A42">
        <w:rPr>
          <w:rFonts w:ascii="Times New Roman" w:hAnsi="Times New Roman"/>
          <w:b/>
          <w:sz w:val="22"/>
          <w:szCs w:val="22"/>
          <w:u w:val="single"/>
          <w:lang w:val="el-GR"/>
        </w:rPr>
        <w:t>Διάλυμα</w:t>
      </w:r>
      <w:r w:rsidRPr="00397A42">
        <w:rPr>
          <w:rFonts w:ascii="Times New Roman" w:hAnsi="Times New Roman"/>
          <w:b/>
          <w:sz w:val="22"/>
          <w:szCs w:val="22"/>
          <w:u w:val="single"/>
          <w:lang w:val="en-US"/>
        </w:rPr>
        <w:t>:</w:t>
      </w:r>
      <w:r w:rsidRPr="00397A42">
        <w:rPr>
          <w:rFonts w:ascii="Times New Roman" w:hAnsi="Times New Roman"/>
          <w:b/>
          <w:sz w:val="22"/>
          <w:szCs w:val="22"/>
          <w:lang w:val="en-US"/>
        </w:rPr>
        <w:t xml:space="preserve"> </w:t>
      </w:r>
      <w:r w:rsidRPr="00397A42">
        <w:rPr>
          <w:rFonts w:ascii="Times New Roman" w:hAnsi="Times New Roman"/>
          <w:b/>
          <w:sz w:val="22"/>
          <w:szCs w:val="22"/>
          <w:lang w:val="en-US"/>
        </w:rPr>
        <w:tab/>
      </w:r>
      <w:r w:rsidRPr="00397A42">
        <w:rPr>
          <w:rFonts w:ascii="Times New Roman" w:hAnsi="Times New Roman"/>
          <w:sz w:val="22"/>
          <w:szCs w:val="22"/>
          <w:lang w:val="en-US"/>
        </w:rPr>
        <w:t>1)</w:t>
      </w:r>
      <w:r w:rsidR="006330CC" w:rsidRPr="00397A42">
        <w:rPr>
          <w:rFonts w:ascii="Times New Roman" w:hAnsi="Times New Roman"/>
          <w:sz w:val="22"/>
          <w:szCs w:val="22"/>
          <w:lang w:val="en-US"/>
        </w:rPr>
        <w:t xml:space="preserve"> </w:t>
      </w:r>
      <w:r w:rsidRPr="00397A42">
        <w:rPr>
          <w:rFonts w:ascii="Times New Roman" w:hAnsi="Times New Roman"/>
          <w:bCs/>
          <w:sz w:val="22"/>
          <w:lang w:val="it-IT"/>
        </w:rPr>
        <w:t>Actavis Italy SPA</w:t>
      </w:r>
      <w:r w:rsidRPr="00397A42">
        <w:rPr>
          <w:rFonts w:ascii="Times New Roman" w:hAnsi="Times New Roman"/>
          <w:bCs/>
          <w:sz w:val="22"/>
          <w:lang w:val="en-US"/>
        </w:rPr>
        <w:t xml:space="preserve">., </w:t>
      </w:r>
      <w:r w:rsidRPr="00397A42">
        <w:rPr>
          <w:rFonts w:ascii="Times New Roman" w:hAnsi="Times New Roman"/>
          <w:bCs/>
          <w:sz w:val="22"/>
          <w:lang w:val="it-IT"/>
        </w:rPr>
        <w:t>Nerviano</w:t>
      </w:r>
      <w:r w:rsidRPr="00397A42">
        <w:rPr>
          <w:rFonts w:ascii="Times New Roman" w:hAnsi="Times New Roman"/>
          <w:sz w:val="22"/>
          <w:szCs w:val="22"/>
          <w:lang w:val="en-US"/>
        </w:rPr>
        <w:t xml:space="preserve">, Milano, </w:t>
      </w:r>
      <w:r w:rsidRPr="00397A42">
        <w:rPr>
          <w:rFonts w:ascii="Times New Roman" w:hAnsi="Times New Roman"/>
          <w:sz w:val="22"/>
          <w:szCs w:val="22"/>
          <w:lang w:val="it-IT"/>
        </w:rPr>
        <w:t>Italy</w:t>
      </w:r>
      <w:r w:rsidRPr="00397A42">
        <w:rPr>
          <w:rFonts w:ascii="Times New Roman" w:hAnsi="Times New Roman"/>
          <w:sz w:val="22"/>
          <w:szCs w:val="22"/>
          <w:lang w:val="en-US"/>
        </w:rPr>
        <w:t xml:space="preserve"> </w:t>
      </w:r>
    </w:p>
    <w:p w:rsidR="0044777A" w:rsidRPr="00397A42" w:rsidRDefault="0044777A" w:rsidP="0044777A">
      <w:pPr>
        <w:ind w:left="720"/>
        <w:jc w:val="both"/>
        <w:rPr>
          <w:rFonts w:ascii="Times New Roman" w:hAnsi="Times New Roman"/>
          <w:sz w:val="22"/>
          <w:szCs w:val="22"/>
          <w:lang w:val="el-GR"/>
        </w:rPr>
      </w:pPr>
      <w:r w:rsidRPr="00397A42">
        <w:rPr>
          <w:rFonts w:ascii="Times New Roman" w:hAnsi="Times New Roman"/>
          <w:sz w:val="22"/>
          <w:szCs w:val="22"/>
          <w:lang w:val="en-US"/>
        </w:rPr>
        <w:tab/>
      </w:r>
      <w:r w:rsidRPr="00397A42">
        <w:rPr>
          <w:rFonts w:ascii="Times New Roman" w:hAnsi="Times New Roman"/>
          <w:sz w:val="22"/>
          <w:szCs w:val="22"/>
          <w:lang w:val="en-US"/>
        </w:rPr>
        <w:tab/>
      </w:r>
      <w:r w:rsidRPr="00397A42">
        <w:rPr>
          <w:rFonts w:ascii="Times New Roman" w:hAnsi="Times New Roman"/>
          <w:sz w:val="22"/>
          <w:szCs w:val="22"/>
          <w:lang w:val="en-US"/>
        </w:rPr>
        <w:tab/>
      </w:r>
      <w:r w:rsidRPr="00397A42">
        <w:rPr>
          <w:rFonts w:ascii="Times New Roman" w:hAnsi="Times New Roman"/>
          <w:sz w:val="22"/>
          <w:szCs w:val="22"/>
          <w:lang w:val="en-US"/>
        </w:rPr>
        <w:tab/>
      </w:r>
      <w:r w:rsidR="006330CC" w:rsidRPr="00397A42">
        <w:rPr>
          <w:rFonts w:ascii="Times New Roman" w:hAnsi="Times New Roman"/>
          <w:sz w:val="22"/>
          <w:szCs w:val="22"/>
          <w:lang w:val="en-US"/>
        </w:rPr>
        <w:t xml:space="preserve">  </w:t>
      </w:r>
      <w:r w:rsidRPr="00397A42">
        <w:rPr>
          <w:rFonts w:ascii="Times New Roman" w:hAnsi="Times New Roman"/>
          <w:sz w:val="22"/>
          <w:szCs w:val="22"/>
          <w:lang w:val="el-GR"/>
        </w:rPr>
        <w:t xml:space="preserve">2) </w:t>
      </w:r>
      <w:r w:rsidRPr="00397A42">
        <w:rPr>
          <w:rFonts w:ascii="Times New Roman" w:hAnsi="Times New Roman"/>
          <w:sz w:val="22"/>
          <w:szCs w:val="22"/>
        </w:rPr>
        <w:t>Pfizer</w:t>
      </w:r>
      <w:r w:rsidRPr="00397A42">
        <w:rPr>
          <w:rFonts w:ascii="Times New Roman" w:hAnsi="Times New Roman"/>
          <w:sz w:val="22"/>
          <w:szCs w:val="22"/>
          <w:lang w:val="el-GR"/>
        </w:rPr>
        <w:t xml:space="preserve"> (</w:t>
      </w:r>
      <w:r w:rsidRPr="00397A42">
        <w:rPr>
          <w:rFonts w:ascii="Times New Roman" w:hAnsi="Times New Roman"/>
          <w:sz w:val="22"/>
          <w:szCs w:val="22"/>
        </w:rPr>
        <w:t>Perth</w:t>
      </w:r>
      <w:r w:rsidRPr="00397A42">
        <w:rPr>
          <w:rFonts w:ascii="Times New Roman" w:hAnsi="Times New Roman"/>
          <w:sz w:val="22"/>
          <w:szCs w:val="22"/>
          <w:lang w:val="el-GR"/>
        </w:rPr>
        <w:t xml:space="preserve">) </w:t>
      </w:r>
      <w:r w:rsidRPr="00397A42">
        <w:rPr>
          <w:rFonts w:ascii="Times New Roman" w:hAnsi="Times New Roman"/>
          <w:sz w:val="22"/>
          <w:szCs w:val="22"/>
        </w:rPr>
        <w:t>PTY</w:t>
      </w:r>
      <w:r w:rsidRPr="00397A42">
        <w:rPr>
          <w:rFonts w:ascii="Times New Roman" w:hAnsi="Times New Roman"/>
          <w:sz w:val="22"/>
          <w:szCs w:val="22"/>
          <w:lang w:val="el-GR"/>
        </w:rPr>
        <w:t xml:space="preserve"> </w:t>
      </w:r>
      <w:r w:rsidRPr="00397A42">
        <w:rPr>
          <w:rFonts w:ascii="Times New Roman" w:hAnsi="Times New Roman"/>
          <w:sz w:val="22"/>
          <w:szCs w:val="22"/>
        </w:rPr>
        <w:t>Ltd</w:t>
      </w:r>
      <w:r w:rsidRPr="00397A42">
        <w:rPr>
          <w:rFonts w:ascii="Times New Roman" w:hAnsi="Times New Roman"/>
          <w:sz w:val="22"/>
          <w:szCs w:val="22"/>
          <w:lang w:val="el-GR"/>
        </w:rPr>
        <w:t xml:space="preserve">, </w:t>
      </w:r>
      <w:r w:rsidRPr="00397A42">
        <w:rPr>
          <w:rFonts w:ascii="Times New Roman" w:hAnsi="Times New Roman"/>
          <w:sz w:val="22"/>
          <w:szCs w:val="22"/>
        </w:rPr>
        <w:t>Australia</w:t>
      </w:r>
    </w:p>
    <w:p w:rsidR="006330CC" w:rsidRPr="00397A42" w:rsidRDefault="006330CC" w:rsidP="0044777A">
      <w:pPr>
        <w:ind w:left="720"/>
        <w:jc w:val="both"/>
        <w:rPr>
          <w:rFonts w:ascii="Times New Roman" w:hAnsi="Times New Roman"/>
          <w:b/>
          <w:sz w:val="22"/>
          <w:szCs w:val="22"/>
          <w:u w:val="single"/>
          <w:lang w:val="el-GR"/>
        </w:rPr>
      </w:pPr>
    </w:p>
    <w:p w:rsidR="0044777A" w:rsidRPr="00397A42" w:rsidRDefault="0044777A" w:rsidP="0044777A">
      <w:pPr>
        <w:ind w:firstLine="720"/>
        <w:jc w:val="both"/>
        <w:rPr>
          <w:rFonts w:ascii="Times New Roman" w:hAnsi="Times New Roman"/>
          <w:sz w:val="22"/>
          <w:szCs w:val="22"/>
          <w:lang w:val="el-GR"/>
        </w:rPr>
      </w:pPr>
      <w:r w:rsidRPr="00397A42">
        <w:rPr>
          <w:rFonts w:ascii="Times New Roman" w:hAnsi="Times New Roman"/>
          <w:b/>
          <w:sz w:val="22"/>
          <w:szCs w:val="22"/>
          <w:u w:val="single"/>
          <w:lang w:val="el-GR"/>
        </w:rPr>
        <w:t>Κόνις και διαλύτης για ενέσιμο διάλυμα/</w:t>
      </w:r>
      <w:r w:rsidR="003D07EE" w:rsidRPr="00397A42">
        <w:rPr>
          <w:rFonts w:ascii="Times New Roman" w:hAnsi="Times New Roman"/>
          <w:b/>
          <w:sz w:val="22"/>
          <w:szCs w:val="22"/>
          <w:u w:val="single"/>
          <w:lang w:val="el-GR"/>
        </w:rPr>
        <w:t>Κόνις για ενέσιμο διάλυμα:</w:t>
      </w:r>
      <w:r w:rsidR="003D07EE" w:rsidRPr="00397A42">
        <w:rPr>
          <w:rFonts w:ascii="Times New Roman" w:hAnsi="Times New Roman"/>
          <w:b/>
          <w:sz w:val="22"/>
          <w:szCs w:val="22"/>
          <w:lang w:val="el-GR"/>
        </w:rPr>
        <w:tab/>
      </w:r>
    </w:p>
    <w:p w:rsidR="003D07EE" w:rsidRPr="00397A42" w:rsidRDefault="003D07EE" w:rsidP="009A00A7">
      <w:pPr>
        <w:ind w:left="2880" w:firstLine="720"/>
        <w:jc w:val="both"/>
        <w:rPr>
          <w:rFonts w:ascii="Times New Roman" w:hAnsi="Times New Roman"/>
          <w:sz w:val="22"/>
          <w:szCs w:val="22"/>
          <w:lang w:val="en-US"/>
        </w:rPr>
      </w:pPr>
      <w:proofErr w:type="spellStart"/>
      <w:r w:rsidRPr="00397A42">
        <w:rPr>
          <w:rFonts w:ascii="Times New Roman" w:hAnsi="Times New Roman"/>
          <w:bCs/>
          <w:sz w:val="22"/>
          <w:lang w:val="en-US"/>
        </w:rPr>
        <w:t>Actavis</w:t>
      </w:r>
      <w:proofErr w:type="spellEnd"/>
      <w:r w:rsidRPr="00397A42">
        <w:rPr>
          <w:rFonts w:ascii="Times New Roman" w:hAnsi="Times New Roman"/>
          <w:bCs/>
          <w:sz w:val="22"/>
          <w:lang w:val="en-US"/>
        </w:rPr>
        <w:t xml:space="preserve"> Italy SPA, </w:t>
      </w:r>
      <w:r w:rsidRPr="00397A42">
        <w:rPr>
          <w:rFonts w:ascii="Times New Roman" w:hAnsi="Times New Roman"/>
          <w:bCs/>
          <w:sz w:val="22"/>
          <w:lang w:val="it-IT"/>
        </w:rPr>
        <w:t>Nerviano</w:t>
      </w:r>
      <w:r w:rsidRPr="00397A42">
        <w:rPr>
          <w:rFonts w:ascii="Times New Roman" w:hAnsi="Times New Roman"/>
          <w:sz w:val="22"/>
          <w:szCs w:val="22"/>
          <w:lang w:val="en-US"/>
        </w:rPr>
        <w:t xml:space="preserve">, Milano, </w:t>
      </w:r>
      <w:r w:rsidRPr="00397A42">
        <w:rPr>
          <w:rFonts w:ascii="Times New Roman" w:hAnsi="Times New Roman"/>
          <w:sz w:val="22"/>
          <w:szCs w:val="22"/>
          <w:lang w:val="it-IT"/>
        </w:rPr>
        <w:t>Italy</w:t>
      </w:r>
    </w:p>
    <w:p w:rsidR="003D07EE" w:rsidRPr="00397A42" w:rsidRDefault="003D07EE" w:rsidP="00584518">
      <w:pPr>
        <w:ind w:left="3544" w:hanging="3544"/>
        <w:jc w:val="both"/>
        <w:rPr>
          <w:rFonts w:ascii="Times New Roman" w:hAnsi="Times New Roman"/>
          <w:i/>
          <w:sz w:val="22"/>
          <w:szCs w:val="22"/>
          <w:u w:val="single"/>
          <w:lang w:val="en-US"/>
        </w:rPr>
      </w:pPr>
    </w:p>
    <w:p w:rsidR="00192B54" w:rsidRPr="00397A42" w:rsidRDefault="00192B54">
      <w:pPr>
        <w:spacing w:line="240" w:lineRule="atLeast"/>
        <w:jc w:val="both"/>
        <w:rPr>
          <w:rFonts w:ascii="Times New Roman" w:hAnsi="Times New Roman"/>
          <w:b/>
          <w:sz w:val="22"/>
          <w:szCs w:val="22"/>
          <w:lang w:val="en-US"/>
        </w:rPr>
      </w:pPr>
    </w:p>
    <w:tbl>
      <w:tblPr>
        <w:tblW w:w="0" w:type="auto"/>
        <w:tblLayout w:type="fixed"/>
        <w:tblLook w:val="0000"/>
      </w:tblPr>
      <w:tblGrid>
        <w:gridCol w:w="8478"/>
      </w:tblGrid>
      <w:tr w:rsidR="00192B54" w:rsidRPr="00397A42">
        <w:trPr>
          <w:cantSplit/>
        </w:trPr>
        <w:tc>
          <w:tcPr>
            <w:tcW w:w="8478" w:type="dxa"/>
            <w:tcBorders>
              <w:top w:val="single" w:sz="6" w:space="0" w:color="auto"/>
              <w:left w:val="single" w:sz="6" w:space="0" w:color="auto"/>
              <w:bottom w:val="single" w:sz="6" w:space="0" w:color="auto"/>
              <w:right w:val="single" w:sz="6" w:space="0" w:color="auto"/>
            </w:tcBorders>
          </w:tcPr>
          <w:p w:rsidR="00192B54" w:rsidRPr="00397A42" w:rsidRDefault="00192B54">
            <w:pPr>
              <w:pStyle w:val="1"/>
              <w:rPr>
                <w:rFonts w:ascii="Times New Roman" w:hAnsi="Times New Roman"/>
                <w:szCs w:val="22"/>
              </w:rPr>
            </w:pPr>
            <w:r w:rsidRPr="00397A42">
              <w:rPr>
                <w:rFonts w:ascii="Times New Roman" w:hAnsi="Times New Roman"/>
                <w:szCs w:val="22"/>
              </w:rPr>
              <w:t>2. Τι πρέπει να γνωρίζετε για το φάρμακο που σας χορήγησε ο γιατρός σας</w:t>
            </w:r>
          </w:p>
        </w:tc>
      </w:tr>
    </w:tbl>
    <w:p w:rsidR="00192B54" w:rsidRPr="00397A42" w:rsidRDefault="00192B54">
      <w:pPr>
        <w:spacing w:line="240" w:lineRule="atLeast"/>
        <w:jc w:val="both"/>
        <w:rPr>
          <w:rFonts w:ascii="Times New Roman" w:hAnsi="Times New Roman"/>
          <w:b/>
          <w:sz w:val="22"/>
          <w:szCs w:val="22"/>
          <w:lang w:val="el-GR"/>
        </w:rPr>
      </w:pPr>
    </w:p>
    <w:p w:rsidR="00A339BE" w:rsidRPr="00397A42" w:rsidRDefault="00192B54" w:rsidP="00A339BE">
      <w:pPr>
        <w:keepNext/>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t>2.1</w:t>
      </w:r>
      <w:r w:rsidRPr="00397A42">
        <w:rPr>
          <w:rFonts w:ascii="Times New Roman" w:hAnsi="Times New Roman"/>
          <w:b/>
          <w:sz w:val="22"/>
          <w:szCs w:val="22"/>
          <w:lang w:val="el-GR"/>
        </w:rPr>
        <w:tab/>
        <w:t>Γενικές πληροφορίες</w:t>
      </w:r>
    </w:p>
    <w:p w:rsidR="00192B54" w:rsidRPr="00397A42" w:rsidRDefault="006330CC" w:rsidP="00A339BE">
      <w:pPr>
        <w:keepNext/>
        <w:spacing w:line="240" w:lineRule="atLeast"/>
        <w:jc w:val="both"/>
        <w:rPr>
          <w:rFonts w:ascii="Times New Roman" w:hAnsi="Times New Roman"/>
          <w:b/>
          <w:sz w:val="22"/>
          <w:szCs w:val="22"/>
          <w:lang w:val="el-GR"/>
        </w:rPr>
      </w:pPr>
      <w:r w:rsidRPr="00397A42">
        <w:rPr>
          <w:rFonts w:ascii="Times New Roman" w:hAnsi="Times New Roman"/>
          <w:sz w:val="22"/>
          <w:szCs w:val="22"/>
          <w:lang w:val="el-GR"/>
        </w:rPr>
        <w:t>Έ</w:t>
      </w:r>
      <w:r w:rsidR="00192B54" w:rsidRPr="00397A42">
        <w:rPr>
          <w:rFonts w:ascii="Times New Roman" w:hAnsi="Times New Roman"/>
          <w:sz w:val="22"/>
          <w:szCs w:val="22"/>
          <w:lang w:val="el-GR"/>
        </w:rPr>
        <w:t xml:space="preserve">χει αποδειχθεί ότι </w:t>
      </w:r>
      <w:r w:rsidR="00C857E7" w:rsidRPr="00397A42">
        <w:rPr>
          <w:rFonts w:ascii="Times New Roman" w:hAnsi="Times New Roman"/>
          <w:sz w:val="22"/>
          <w:szCs w:val="22"/>
          <w:lang w:val="el-GR"/>
        </w:rPr>
        <w:t xml:space="preserve">η επιρουβικίνη </w:t>
      </w:r>
      <w:r w:rsidR="00192B54" w:rsidRPr="00397A42">
        <w:rPr>
          <w:rFonts w:ascii="Times New Roman" w:hAnsi="Times New Roman"/>
          <w:sz w:val="22"/>
          <w:szCs w:val="22"/>
          <w:lang w:val="el-GR"/>
        </w:rPr>
        <w:t xml:space="preserve">είναι δραστική σε ευρύ φάσμα πειραματικών όγκων, όπως οι λευχαιμίες L1210 και P 388, τα σαρκώματα SA 180 (τύπου συμπαγούς και ασκίτη), το μελάνωμα Β16, τον καρκίνο του μαστού, τον καρκίνο του πνεύμονα τύπου Lewis και τον καρκίνο του παχέος εντέρου τύπου 38. </w:t>
      </w:r>
      <w:r w:rsidRPr="00397A42">
        <w:rPr>
          <w:rFonts w:ascii="Times New Roman" w:hAnsi="Times New Roman"/>
          <w:sz w:val="22"/>
          <w:szCs w:val="22"/>
          <w:lang w:val="el-GR"/>
        </w:rPr>
        <w:t>Έ</w:t>
      </w:r>
      <w:r w:rsidR="00192B54" w:rsidRPr="00397A42">
        <w:rPr>
          <w:rFonts w:ascii="Times New Roman" w:hAnsi="Times New Roman"/>
          <w:sz w:val="22"/>
          <w:szCs w:val="22"/>
          <w:lang w:val="el-GR"/>
        </w:rPr>
        <w:t>χει επίσης επιδείξει δραστικότητα σε ανθρώπινους καρκίνους που μεταμοσχεύθηκαν σε ποντίκια που είχαν υποστεί θυμεκτομή (μελάνωμα, καρκίνος μαστού, πνεύμονα, προστάτη, ωοθηκών).</w:t>
      </w:r>
    </w:p>
    <w:p w:rsidR="00192B54" w:rsidRPr="00397A42" w:rsidRDefault="00192B54">
      <w:pPr>
        <w:spacing w:line="240" w:lineRule="atLeast"/>
        <w:jc w:val="both"/>
        <w:rPr>
          <w:rFonts w:ascii="Times New Roman" w:hAnsi="Times New Roman"/>
          <w:b/>
          <w:sz w:val="22"/>
          <w:szCs w:val="22"/>
          <w:lang w:val="el-GR"/>
        </w:rPr>
      </w:pPr>
    </w:p>
    <w:p w:rsidR="00192B54" w:rsidRPr="00397A42" w:rsidRDefault="00192B54">
      <w:pPr>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t>2.2</w:t>
      </w:r>
      <w:r w:rsidRPr="00397A42">
        <w:rPr>
          <w:rFonts w:ascii="Times New Roman" w:hAnsi="Times New Roman"/>
          <w:b/>
          <w:sz w:val="22"/>
          <w:szCs w:val="22"/>
          <w:lang w:val="el-GR"/>
        </w:rPr>
        <w:tab/>
        <w:t>Ενδείξεις</w:t>
      </w:r>
    </w:p>
    <w:p w:rsidR="00192B54" w:rsidRPr="00397A42" w:rsidRDefault="00A24FB7">
      <w:pPr>
        <w:rPr>
          <w:rFonts w:ascii="Times New Roman" w:hAnsi="Times New Roman"/>
          <w:sz w:val="22"/>
          <w:szCs w:val="22"/>
          <w:lang w:val="el-GR"/>
        </w:rPr>
      </w:pPr>
      <w:r w:rsidRPr="00397A42">
        <w:rPr>
          <w:rFonts w:ascii="Times New Roman" w:hAnsi="Times New Roman"/>
          <w:sz w:val="22"/>
          <w:szCs w:val="22"/>
          <w:lang w:val="el-GR"/>
        </w:rPr>
        <w:t>Η επιρουβικίνη</w:t>
      </w:r>
      <w:r w:rsidR="00192B54" w:rsidRPr="00397A42">
        <w:rPr>
          <w:rFonts w:ascii="Times New Roman" w:hAnsi="Times New Roman"/>
          <w:sz w:val="22"/>
          <w:szCs w:val="22"/>
          <w:lang w:val="el-GR"/>
        </w:rPr>
        <w:t xml:space="preserve"> είναι ένας αντιμιτωτικός κυτταροστατικός παράγοντας. Χορηγούμενη μόνη της σε χημειοθεραπευτικά σχήματα προκαλεί ύφεση σε ένα ευρύ φάσμα καρκίνων, στο οποίο περιλαμβάνονται ο καρκίνος του μαστού, των ωοθηκών, του στομάχου, του παχέος εντέρου και του ορθού, τα σαρκώματα των μαλακών μορίων, τα λεμφώματα, οι λευχαιμίες και το πολλαπλούν μυέλωμα. Ως μονοθεραπεία σε υψηλές δόσεις δίδει θεραπευτικές ανταποκρίσεις στον καρκίνο του πνεύμονα. Με ενδοκυστική χορήγηση ενδείκνυται για την αντιμετώπιση του in situ θηλώματος της ουροδόχου κύστεως και την πρόληψη της υποτροπής του χειρουργικά αφαιρεθέντος επιφανειακού καρκίνου αυτής.</w:t>
      </w:r>
    </w:p>
    <w:p w:rsidR="00192B54" w:rsidRPr="00397A42" w:rsidRDefault="00192B54">
      <w:pPr>
        <w:ind w:left="720"/>
        <w:jc w:val="both"/>
        <w:rPr>
          <w:rFonts w:ascii="Times New Roman" w:hAnsi="Times New Roman"/>
          <w:sz w:val="22"/>
          <w:szCs w:val="22"/>
          <w:lang w:val="el-GR"/>
        </w:rPr>
      </w:pPr>
      <w:r w:rsidRPr="00397A42">
        <w:rPr>
          <w:rFonts w:ascii="Times New Roman" w:hAnsi="Times New Roman"/>
          <w:sz w:val="22"/>
          <w:szCs w:val="22"/>
          <w:lang w:val="el-GR"/>
        </w:rPr>
        <w:t xml:space="preserve"> </w:t>
      </w:r>
      <w:r w:rsidRPr="00397A42">
        <w:rPr>
          <w:rFonts w:ascii="Times New Roman" w:hAnsi="Times New Roman"/>
          <w:sz w:val="22"/>
          <w:szCs w:val="22"/>
          <w:lang w:val="el-GR"/>
        </w:rPr>
        <w:tab/>
      </w:r>
      <w:r w:rsidRPr="00397A42">
        <w:rPr>
          <w:rFonts w:ascii="Times New Roman" w:hAnsi="Times New Roman"/>
          <w:sz w:val="22"/>
          <w:szCs w:val="22"/>
          <w:lang w:val="el-GR"/>
        </w:rPr>
        <w:tab/>
      </w:r>
    </w:p>
    <w:p w:rsidR="00192B54" w:rsidRPr="00397A42" w:rsidRDefault="00192B54">
      <w:pPr>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t>2.3</w:t>
      </w:r>
      <w:r w:rsidRPr="00397A42">
        <w:rPr>
          <w:rFonts w:ascii="Times New Roman" w:hAnsi="Times New Roman"/>
          <w:b/>
          <w:sz w:val="22"/>
          <w:szCs w:val="22"/>
          <w:lang w:val="el-GR"/>
        </w:rPr>
        <w:tab/>
        <w:t>Αντενδείξεις</w:t>
      </w:r>
    </w:p>
    <w:p w:rsidR="00376AED" w:rsidRPr="00397A42" w:rsidRDefault="00376AED" w:rsidP="00376AED">
      <w:pPr>
        <w:jc w:val="both"/>
        <w:rPr>
          <w:sz w:val="22"/>
          <w:lang w:val="el-GR"/>
        </w:rPr>
      </w:pPr>
      <w:r w:rsidRPr="00397A42">
        <w:rPr>
          <w:sz w:val="22"/>
          <w:lang w:val="el-GR"/>
        </w:rPr>
        <w:t xml:space="preserve">Υπερευαισθησία στην επιρουβικίνη ή σε οποιοδήποτε άλλο συστατικό του προϊόντος, σε άλλες ανθρακυκλίνες </w:t>
      </w:r>
      <w:r w:rsidR="006B7BB2" w:rsidRPr="00397A42">
        <w:rPr>
          <w:sz w:val="22"/>
          <w:lang w:val="el-GR"/>
        </w:rPr>
        <w:t>ή ανθρακενο</w:t>
      </w:r>
      <w:r w:rsidRPr="00397A42">
        <w:rPr>
          <w:sz w:val="22"/>
          <w:lang w:val="el-GR"/>
        </w:rPr>
        <w:t>διόνες.</w:t>
      </w:r>
    </w:p>
    <w:p w:rsidR="00376AED" w:rsidRPr="00397A42" w:rsidRDefault="00376AED" w:rsidP="00376AED">
      <w:pPr>
        <w:jc w:val="both"/>
        <w:rPr>
          <w:sz w:val="22"/>
          <w:lang w:val="el-GR"/>
        </w:rPr>
      </w:pPr>
    </w:p>
    <w:p w:rsidR="00376AED" w:rsidRPr="00397A42" w:rsidRDefault="00376AED" w:rsidP="00376AED">
      <w:pPr>
        <w:jc w:val="both"/>
        <w:rPr>
          <w:sz w:val="22"/>
          <w:lang w:val="el-GR"/>
        </w:rPr>
      </w:pPr>
      <w:r w:rsidRPr="00397A42">
        <w:rPr>
          <w:sz w:val="22"/>
          <w:lang w:val="el-GR"/>
        </w:rPr>
        <w:t>Οι καταστάσεις κατά τις οποίες οι ασθενείς δεν  πρέπει να υποβάλλονται σε θεραπεία με ενδοφλέβια επιρουβικίνη περιλαμβάνουν:</w:t>
      </w:r>
    </w:p>
    <w:p w:rsidR="00376AED" w:rsidRPr="00397A42" w:rsidRDefault="00376AED" w:rsidP="00376AED">
      <w:pPr>
        <w:numPr>
          <w:ilvl w:val="0"/>
          <w:numId w:val="9"/>
        </w:numPr>
        <w:jc w:val="both"/>
        <w:rPr>
          <w:sz w:val="22"/>
          <w:lang w:val="el-GR"/>
        </w:rPr>
      </w:pPr>
      <w:r w:rsidRPr="00397A42">
        <w:rPr>
          <w:sz w:val="22"/>
          <w:lang w:val="el-GR"/>
        </w:rPr>
        <w:t>Γαλουχία</w:t>
      </w:r>
    </w:p>
    <w:p w:rsidR="00376AED" w:rsidRPr="00397A42" w:rsidRDefault="00376AED" w:rsidP="00376AED">
      <w:pPr>
        <w:jc w:val="both"/>
        <w:rPr>
          <w:sz w:val="22"/>
          <w:lang w:val="el-GR"/>
        </w:rPr>
      </w:pPr>
    </w:p>
    <w:p w:rsidR="00376AED" w:rsidRPr="00397A42" w:rsidRDefault="00376AED" w:rsidP="00376AED">
      <w:pPr>
        <w:jc w:val="both"/>
        <w:rPr>
          <w:i/>
          <w:sz w:val="22"/>
          <w:lang w:val="en-US"/>
        </w:rPr>
      </w:pPr>
      <w:r w:rsidRPr="00397A42">
        <w:rPr>
          <w:i/>
          <w:sz w:val="22"/>
          <w:lang w:val="el-GR"/>
        </w:rPr>
        <w:t>Ενδοφλέβια χρήση</w:t>
      </w:r>
      <w:r w:rsidRPr="00397A42">
        <w:rPr>
          <w:i/>
          <w:sz w:val="22"/>
        </w:rPr>
        <w:t>:</w:t>
      </w:r>
    </w:p>
    <w:p w:rsidR="00376AED" w:rsidRPr="00397A42" w:rsidRDefault="00376AED" w:rsidP="00376AED">
      <w:pPr>
        <w:jc w:val="both"/>
        <w:rPr>
          <w:sz w:val="22"/>
        </w:rPr>
      </w:pPr>
      <w:r w:rsidRPr="00397A42">
        <w:rPr>
          <w:sz w:val="22"/>
          <w:lang w:val="el-GR"/>
        </w:rPr>
        <w:t xml:space="preserve">-     </w:t>
      </w:r>
      <w:r w:rsidR="00FD646E" w:rsidRPr="00397A42">
        <w:rPr>
          <w:sz w:val="22"/>
          <w:lang w:val="el-GR"/>
        </w:rPr>
        <w:t>εμμένουσ</w:t>
      </w:r>
      <w:r w:rsidR="009B070A" w:rsidRPr="00397A42">
        <w:rPr>
          <w:sz w:val="22"/>
          <w:lang w:val="el-GR"/>
        </w:rPr>
        <w:t>α</w:t>
      </w:r>
      <w:r w:rsidRPr="00397A42">
        <w:rPr>
          <w:sz w:val="22"/>
          <w:lang w:val="el-GR"/>
        </w:rPr>
        <w:t xml:space="preserve"> μυελοκαταστολή</w:t>
      </w:r>
    </w:p>
    <w:p w:rsidR="00376AED" w:rsidRPr="00397A42" w:rsidRDefault="00376AED" w:rsidP="00376AED">
      <w:pPr>
        <w:numPr>
          <w:ilvl w:val="0"/>
          <w:numId w:val="7"/>
        </w:numPr>
        <w:jc w:val="both"/>
        <w:rPr>
          <w:sz w:val="22"/>
        </w:rPr>
      </w:pPr>
      <w:r w:rsidRPr="00397A42">
        <w:rPr>
          <w:sz w:val="22"/>
          <w:lang w:val="el-GR"/>
        </w:rPr>
        <w:t>σοβαρή ηπατική ανεπάρκεια</w:t>
      </w:r>
    </w:p>
    <w:p w:rsidR="00376AED" w:rsidRPr="00397A42" w:rsidRDefault="00376AED" w:rsidP="00376AED">
      <w:pPr>
        <w:numPr>
          <w:ilvl w:val="0"/>
          <w:numId w:val="7"/>
        </w:numPr>
        <w:jc w:val="both"/>
        <w:rPr>
          <w:sz w:val="22"/>
          <w:lang w:val="en-US"/>
        </w:rPr>
      </w:pPr>
      <w:r w:rsidRPr="00397A42">
        <w:rPr>
          <w:sz w:val="22"/>
          <w:lang w:val="el-GR"/>
        </w:rPr>
        <w:t>σοβαρή ανεπάρκεια του μυοκαρδίου</w:t>
      </w:r>
    </w:p>
    <w:p w:rsidR="00376AED" w:rsidRPr="00397A42" w:rsidRDefault="00376AED" w:rsidP="00376AED">
      <w:pPr>
        <w:numPr>
          <w:ilvl w:val="0"/>
          <w:numId w:val="7"/>
        </w:numPr>
        <w:jc w:val="both"/>
        <w:rPr>
          <w:sz w:val="22"/>
          <w:lang w:val="en-US"/>
        </w:rPr>
      </w:pPr>
      <w:r w:rsidRPr="00397A42">
        <w:rPr>
          <w:sz w:val="22"/>
          <w:lang w:val="el-GR"/>
        </w:rPr>
        <w:t>πρόσφατο έμφραγμα του μυοκαρδίου</w:t>
      </w:r>
    </w:p>
    <w:p w:rsidR="00376AED" w:rsidRPr="00397A42" w:rsidRDefault="00376AED" w:rsidP="00376AED">
      <w:pPr>
        <w:numPr>
          <w:ilvl w:val="0"/>
          <w:numId w:val="7"/>
        </w:numPr>
        <w:jc w:val="both"/>
        <w:rPr>
          <w:sz w:val="22"/>
          <w:lang w:val="en-US"/>
        </w:rPr>
      </w:pPr>
      <w:r w:rsidRPr="00397A42">
        <w:rPr>
          <w:sz w:val="22"/>
          <w:lang w:val="el-GR"/>
        </w:rPr>
        <w:t>σοβαρές αρρυθμίες</w:t>
      </w:r>
    </w:p>
    <w:p w:rsidR="00376AED" w:rsidRPr="00397A42" w:rsidRDefault="00376AED" w:rsidP="00376AED">
      <w:pPr>
        <w:numPr>
          <w:ilvl w:val="0"/>
          <w:numId w:val="7"/>
        </w:numPr>
        <w:jc w:val="both"/>
        <w:rPr>
          <w:sz w:val="22"/>
          <w:lang w:val="el-GR"/>
        </w:rPr>
      </w:pPr>
      <w:r w:rsidRPr="00397A42">
        <w:rPr>
          <w:sz w:val="22"/>
          <w:lang w:val="el-GR"/>
        </w:rPr>
        <w:t xml:space="preserve">προηγούμενη θεραπεία με επιρουβικίνη και/ή άλλες ανθρακυκλίνες και ανθρακενοδιόνες στις μέγιστες αθροιστικές δόσεις (βλέπε παράγραφο </w:t>
      </w:r>
      <w:r w:rsidR="00D4614B" w:rsidRPr="00397A42">
        <w:rPr>
          <w:b/>
          <w:sz w:val="22"/>
          <w:lang w:val="el-GR"/>
        </w:rPr>
        <w:t>2</w:t>
      </w:r>
      <w:r w:rsidRPr="00397A42">
        <w:rPr>
          <w:b/>
          <w:sz w:val="22"/>
          <w:lang w:val="el-GR"/>
        </w:rPr>
        <w:t>.4</w:t>
      </w:r>
      <w:r w:rsidRPr="00397A42">
        <w:rPr>
          <w:sz w:val="22"/>
          <w:lang w:val="el-GR"/>
        </w:rPr>
        <w:t>)</w:t>
      </w:r>
    </w:p>
    <w:p w:rsidR="00376AED" w:rsidRPr="00397A42" w:rsidRDefault="00376AED" w:rsidP="00376AED">
      <w:pPr>
        <w:numPr>
          <w:ilvl w:val="0"/>
          <w:numId w:val="7"/>
        </w:numPr>
        <w:jc w:val="both"/>
        <w:rPr>
          <w:sz w:val="22"/>
          <w:lang w:val="el-GR"/>
        </w:rPr>
      </w:pPr>
      <w:r w:rsidRPr="00397A42">
        <w:rPr>
          <w:sz w:val="22"/>
          <w:lang w:val="el-GR"/>
        </w:rPr>
        <w:t>ασθενείς με οξείες συστηματικές λοιμώξεις</w:t>
      </w:r>
    </w:p>
    <w:p w:rsidR="00376AED" w:rsidRPr="00397A42" w:rsidRDefault="00376AED" w:rsidP="00376AED">
      <w:pPr>
        <w:numPr>
          <w:ilvl w:val="0"/>
          <w:numId w:val="7"/>
        </w:numPr>
        <w:jc w:val="both"/>
        <w:rPr>
          <w:sz w:val="22"/>
          <w:lang w:val="el-GR"/>
        </w:rPr>
      </w:pPr>
      <w:r w:rsidRPr="00397A42">
        <w:rPr>
          <w:sz w:val="22"/>
          <w:lang w:val="el-GR"/>
        </w:rPr>
        <w:t>ασταθής στηθάγχη</w:t>
      </w:r>
    </w:p>
    <w:p w:rsidR="00376AED" w:rsidRPr="00397A42" w:rsidRDefault="00376AED" w:rsidP="00376AED">
      <w:pPr>
        <w:numPr>
          <w:ilvl w:val="0"/>
          <w:numId w:val="7"/>
        </w:numPr>
        <w:jc w:val="both"/>
        <w:rPr>
          <w:sz w:val="22"/>
          <w:lang w:val="el-GR"/>
        </w:rPr>
      </w:pPr>
      <w:r w:rsidRPr="00397A42">
        <w:rPr>
          <w:sz w:val="22"/>
          <w:lang w:val="el-GR"/>
        </w:rPr>
        <w:t>μυοκαρδιοπάθεια</w:t>
      </w:r>
    </w:p>
    <w:p w:rsidR="00376AED" w:rsidRPr="00397A42" w:rsidRDefault="00376AED" w:rsidP="00376AED">
      <w:pPr>
        <w:jc w:val="both"/>
        <w:rPr>
          <w:sz w:val="22"/>
          <w:lang w:val="el-GR"/>
        </w:rPr>
      </w:pPr>
    </w:p>
    <w:p w:rsidR="00376AED" w:rsidRPr="00397A42" w:rsidRDefault="00376AED" w:rsidP="00376AED">
      <w:pPr>
        <w:jc w:val="both"/>
        <w:rPr>
          <w:i/>
          <w:sz w:val="22"/>
          <w:lang w:val="el-GR"/>
        </w:rPr>
      </w:pPr>
      <w:r w:rsidRPr="00397A42">
        <w:rPr>
          <w:i/>
          <w:sz w:val="22"/>
          <w:lang w:val="el-GR"/>
        </w:rPr>
        <w:t>Ενδοκυστική χρήση:</w:t>
      </w:r>
    </w:p>
    <w:p w:rsidR="00376AED" w:rsidRPr="00397A42" w:rsidRDefault="00376AED" w:rsidP="00376AED">
      <w:pPr>
        <w:numPr>
          <w:ilvl w:val="1"/>
          <w:numId w:val="8"/>
        </w:numPr>
        <w:jc w:val="both"/>
        <w:rPr>
          <w:sz w:val="22"/>
          <w:lang w:val="el-GR"/>
        </w:rPr>
      </w:pPr>
      <w:r w:rsidRPr="00397A42">
        <w:rPr>
          <w:sz w:val="22"/>
          <w:lang w:val="el-GR"/>
        </w:rPr>
        <w:t xml:space="preserve">λοιμώξεις του ουροποιητικού συστήματος </w:t>
      </w:r>
    </w:p>
    <w:p w:rsidR="00376AED" w:rsidRPr="00397A42" w:rsidRDefault="00376AED" w:rsidP="00376AED">
      <w:pPr>
        <w:numPr>
          <w:ilvl w:val="1"/>
          <w:numId w:val="8"/>
        </w:numPr>
        <w:jc w:val="both"/>
        <w:rPr>
          <w:sz w:val="22"/>
          <w:lang w:val="el-GR"/>
        </w:rPr>
      </w:pPr>
      <w:r w:rsidRPr="00397A42">
        <w:rPr>
          <w:sz w:val="22"/>
          <w:lang w:val="el-GR"/>
        </w:rPr>
        <w:t>φλεγμονή της ουροδόχου κύστης</w:t>
      </w:r>
    </w:p>
    <w:p w:rsidR="00376AED" w:rsidRPr="00397A42" w:rsidRDefault="00376AED" w:rsidP="00376AED">
      <w:pPr>
        <w:numPr>
          <w:ilvl w:val="1"/>
          <w:numId w:val="8"/>
        </w:numPr>
        <w:jc w:val="both"/>
        <w:rPr>
          <w:sz w:val="22"/>
          <w:lang w:val="el-GR"/>
        </w:rPr>
      </w:pPr>
      <w:r w:rsidRPr="00397A42">
        <w:rPr>
          <w:sz w:val="22"/>
          <w:lang w:val="el-GR"/>
        </w:rPr>
        <w:t>αιματουρία</w:t>
      </w:r>
    </w:p>
    <w:p w:rsidR="00376AED" w:rsidRPr="00397A42" w:rsidRDefault="00376AED" w:rsidP="00376AED">
      <w:pPr>
        <w:jc w:val="both"/>
        <w:rPr>
          <w:sz w:val="22"/>
          <w:lang w:val="el-GR"/>
        </w:rPr>
      </w:pPr>
      <w:r w:rsidRPr="00397A42">
        <w:rPr>
          <w:sz w:val="22"/>
          <w:lang w:val="el-GR"/>
        </w:rPr>
        <w:t>-     επιθετικοί όγκοι που έχουν διεισδύσει στο τοίχωμα της ουροδόχου κύστης</w:t>
      </w:r>
    </w:p>
    <w:p w:rsidR="00376AED" w:rsidRPr="00397A42" w:rsidRDefault="00376AED" w:rsidP="00376AED">
      <w:pPr>
        <w:numPr>
          <w:ilvl w:val="2"/>
          <w:numId w:val="8"/>
        </w:numPr>
        <w:jc w:val="both"/>
        <w:rPr>
          <w:sz w:val="22"/>
          <w:lang w:val="el-GR"/>
        </w:rPr>
      </w:pPr>
      <w:r w:rsidRPr="00397A42">
        <w:rPr>
          <w:sz w:val="22"/>
          <w:lang w:val="el-GR"/>
        </w:rPr>
        <w:t>προβλήματα καθετηριασμού</w:t>
      </w:r>
    </w:p>
    <w:p w:rsidR="002D65EC" w:rsidRPr="00397A42" w:rsidRDefault="002D65EC" w:rsidP="002D65EC">
      <w:pPr>
        <w:jc w:val="both"/>
        <w:rPr>
          <w:rFonts w:ascii="Times New Roman" w:hAnsi="Times New Roman"/>
          <w:sz w:val="22"/>
          <w:szCs w:val="22"/>
          <w:lang w:val="el-GR"/>
        </w:rPr>
      </w:pPr>
      <w:r w:rsidRPr="00397A42">
        <w:rPr>
          <w:rFonts w:ascii="Times New Roman" w:hAnsi="Times New Roman"/>
          <w:sz w:val="22"/>
          <w:szCs w:val="22"/>
          <w:lang w:val="el-GR"/>
        </w:rPr>
        <w:t xml:space="preserve">   </w:t>
      </w:r>
    </w:p>
    <w:p w:rsidR="00192B54" w:rsidRPr="00397A42" w:rsidRDefault="00192B54">
      <w:pPr>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t>2.4</w:t>
      </w:r>
      <w:r w:rsidRPr="00397A42">
        <w:rPr>
          <w:rFonts w:ascii="Times New Roman" w:hAnsi="Times New Roman"/>
          <w:b/>
          <w:sz w:val="22"/>
          <w:szCs w:val="22"/>
          <w:lang w:val="el-GR"/>
        </w:rPr>
        <w:tab/>
        <w:t xml:space="preserve">Ειδικές </w:t>
      </w:r>
      <w:r w:rsidR="00FD646E" w:rsidRPr="00397A42">
        <w:rPr>
          <w:rFonts w:ascii="Times New Roman" w:hAnsi="Times New Roman"/>
          <w:b/>
          <w:sz w:val="22"/>
          <w:szCs w:val="22"/>
          <w:lang w:val="el-GR"/>
        </w:rPr>
        <w:t xml:space="preserve">προειδοποιήσεις και </w:t>
      </w:r>
      <w:r w:rsidRPr="00397A42">
        <w:rPr>
          <w:rFonts w:ascii="Times New Roman" w:hAnsi="Times New Roman"/>
          <w:b/>
          <w:sz w:val="22"/>
          <w:szCs w:val="22"/>
          <w:lang w:val="el-GR"/>
        </w:rPr>
        <w:t xml:space="preserve">προφυλάξεις </w:t>
      </w:r>
      <w:r w:rsidR="007D3164" w:rsidRPr="00397A42">
        <w:rPr>
          <w:rFonts w:ascii="Times New Roman" w:hAnsi="Times New Roman"/>
          <w:b/>
          <w:sz w:val="22"/>
          <w:szCs w:val="22"/>
          <w:lang w:val="el-GR"/>
        </w:rPr>
        <w:t>κατά τη χρήση</w:t>
      </w:r>
      <w:r w:rsidRPr="00397A42">
        <w:rPr>
          <w:rFonts w:ascii="Times New Roman" w:hAnsi="Times New Roman"/>
          <w:b/>
          <w:sz w:val="22"/>
          <w:szCs w:val="22"/>
          <w:lang w:val="el-GR"/>
        </w:rPr>
        <w:t xml:space="preserve"> </w:t>
      </w:r>
    </w:p>
    <w:p w:rsidR="00D92F0B" w:rsidRPr="00397A42" w:rsidRDefault="00A848BA" w:rsidP="00D92F0B">
      <w:pPr>
        <w:jc w:val="both"/>
        <w:rPr>
          <w:b/>
          <w:i/>
          <w:sz w:val="22"/>
          <w:lang w:val="el-GR"/>
        </w:rPr>
      </w:pPr>
      <w:r w:rsidRPr="00397A42">
        <w:rPr>
          <w:rFonts w:ascii="Times New Roman" w:hAnsi="Times New Roman"/>
          <w:b/>
          <w:sz w:val="22"/>
          <w:szCs w:val="22"/>
          <w:lang w:val="el-GR"/>
        </w:rPr>
        <w:t xml:space="preserve">2.4.1 </w:t>
      </w:r>
      <w:r w:rsidR="00D92F0B" w:rsidRPr="00397A42">
        <w:rPr>
          <w:b/>
          <w:sz w:val="22"/>
          <w:lang w:val="el-GR"/>
        </w:rPr>
        <w:t>Γενικά</w:t>
      </w:r>
    </w:p>
    <w:p w:rsidR="00D92F0B" w:rsidRPr="00397A42" w:rsidRDefault="00D92F0B" w:rsidP="00D92F0B">
      <w:pPr>
        <w:jc w:val="both"/>
        <w:rPr>
          <w:sz w:val="22"/>
          <w:lang w:val="el-GR"/>
        </w:rPr>
      </w:pPr>
      <w:r w:rsidRPr="00397A42">
        <w:rPr>
          <w:sz w:val="22"/>
          <w:lang w:val="el-GR"/>
        </w:rPr>
        <w:lastRenderedPageBreak/>
        <w:t xml:space="preserve">Η επιρουβικίνη πρέπει να χορηγείται μόνο κάτω από την επίβλεψη ειδικών γιατρών με εμπειρία στη χημειοθεραπεία. </w:t>
      </w:r>
    </w:p>
    <w:p w:rsidR="00D92F0B" w:rsidRPr="00397A42" w:rsidRDefault="00D92F0B" w:rsidP="00D92F0B">
      <w:pPr>
        <w:jc w:val="both"/>
        <w:rPr>
          <w:sz w:val="22"/>
          <w:lang w:val="el-GR"/>
        </w:rPr>
      </w:pPr>
    </w:p>
    <w:p w:rsidR="00D92F0B" w:rsidRPr="00397A42" w:rsidRDefault="00D92F0B" w:rsidP="00D92F0B">
      <w:pPr>
        <w:pStyle w:val="a6"/>
        <w:rPr>
          <w:rFonts w:ascii="Times New Roman" w:hAnsi="Times New Roman"/>
          <w:b w:val="0"/>
          <w:bCs/>
          <w:sz w:val="22"/>
        </w:rPr>
      </w:pPr>
      <w:r w:rsidRPr="00397A42">
        <w:rPr>
          <w:rFonts w:ascii="Times New Roman" w:hAnsi="Times New Roman"/>
          <w:b w:val="0"/>
          <w:bCs/>
          <w:sz w:val="22"/>
        </w:rPr>
        <w:t xml:space="preserve">Οι ασθενείς πρέπει να έχουν ανακάμψει από οξείες τοξικότητες προηγούμενης κυτταροτοξικής θεραπείας (όπως στοματίτιδα, ουδετεροπενία, θρομβοπενία και γενικευμένες λοιμώξεις) πριν την έναρξη της θεραπείας με επιρουβικίνη. </w:t>
      </w:r>
    </w:p>
    <w:p w:rsidR="00D92F0B" w:rsidRPr="00397A42" w:rsidRDefault="00D92F0B" w:rsidP="00D92F0B">
      <w:pPr>
        <w:jc w:val="both"/>
        <w:rPr>
          <w:rFonts w:ascii="Times New Roman" w:hAnsi="Times New Roman"/>
          <w:sz w:val="22"/>
          <w:lang w:val="el-GR"/>
        </w:rPr>
      </w:pPr>
    </w:p>
    <w:p w:rsidR="00D92F0B" w:rsidRPr="00397A42" w:rsidRDefault="00D92F0B" w:rsidP="00D92F0B">
      <w:pPr>
        <w:jc w:val="both"/>
        <w:rPr>
          <w:rFonts w:ascii="Times New Roman" w:hAnsi="Times New Roman"/>
          <w:sz w:val="22"/>
          <w:lang w:val="el-GR"/>
        </w:rPr>
      </w:pPr>
      <w:r w:rsidRPr="00397A42">
        <w:rPr>
          <w:rFonts w:ascii="Times New Roman" w:hAnsi="Times New Roman"/>
          <w:sz w:val="22"/>
          <w:lang w:val="el-GR"/>
        </w:rPr>
        <w:t>Η σοβαρότητα της ουδετεροπενίας και στοματίτιδας/βλεννογονίτιδας μπορεί να αυξηθεί όσο η θεραπεία με υψηλές δόσεις επιρουβικίνη</w:t>
      </w:r>
      <w:r w:rsidR="00216CD5" w:rsidRPr="00397A42">
        <w:rPr>
          <w:rFonts w:ascii="Times New Roman" w:hAnsi="Times New Roman"/>
          <w:sz w:val="22"/>
          <w:lang w:val="el-GR"/>
        </w:rPr>
        <w:t>ς</w:t>
      </w:r>
      <w:r w:rsidRPr="00397A42">
        <w:rPr>
          <w:rFonts w:ascii="Times New Roman" w:hAnsi="Times New Roman"/>
          <w:sz w:val="22"/>
          <w:lang w:val="el-GR"/>
        </w:rPr>
        <w:t xml:space="preserve"> (π.χ., ≥90</w:t>
      </w:r>
      <w:r w:rsidRPr="00397A42">
        <w:rPr>
          <w:rFonts w:ascii="Times New Roman" w:hAnsi="Times New Roman"/>
          <w:sz w:val="22"/>
        </w:rPr>
        <w:t>mg</w:t>
      </w:r>
      <w:r w:rsidRPr="00397A42">
        <w:rPr>
          <w:rFonts w:ascii="Times New Roman" w:hAnsi="Times New Roman"/>
          <w:sz w:val="22"/>
          <w:lang w:val="el-GR"/>
        </w:rPr>
        <w:t>/</w:t>
      </w:r>
      <w:r w:rsidRPr="00397A42">
        <w:rPr>
          <w:rFonts w:ascii="Times New Roman" w:hAnsi="Times New Roman"/>
          <w:sz w:val="22"/>
        </w:rPr>
        <w:t>m</w:t>
      </w:r>
      <w:r w:rsidRPr="00397A42">
        <w:rPr>
          <w:rFonts w:ascii="Times New Roman" w:hAnsi="Times New Roman"/>
          <w:sz w:val="22"/>
          <w:vertAlign w:val="superscript"/>
          <w:lang w:val="el-GR"/>
        </w:rPr>
        <w:t>2</w:t>
      </w:r>
      <w:r w:rsidRPr="00397A42">
        <w:rPr>
          <w:rFonts w:ascii="Times New Roman" w:hAnsi="Times New Roman"/>
          <w:sz w:val="22"/>
          <w:lang w:val="el-GR"/>
        </w:rPr>
        <w:t xml:space="preserve"> κάθε 3 έως 4 εβδομάδες) προκαλεί ανεπιθύμητες ενέργειες γενικά παρόμοιες με αυτές που παρατηρούνται σε συμβατικές δόσεις (&lt;90</w:t>
      </w:r>
      <w:r w:rsidRPr="00397A42">
        <w:rPr>
          <w:rFonts w:ascii="Times New Roman" w:hAnsi="Times New Roman"/>
          <w:sz w:val="22"/>
        </w:rPr>
        <w:t>mg</w:t>
      </w:r>
      <w:r w:rsidRPr="00397A42">
        <w:rPr>
          <w:rFonts w:ascii="Times New Roman" w:hAnsi="Times New Roman"/>
          <w:sz w:val="22"/>
          <w:lang w:val="el-GR"/>
        </w:rPr>
        <w:t>/</w:t>
      </w:r>
      <w:r w:rsidRPr="00397A42">
        <w:rPr>
          <w:rFonts w:ascii="Times New Roman" w:hAnsi="Times New Roman"/>
          <w:sz w:val="22"/>
        </w:rPr>
        <w:t>m</w:t>
      </w:r>
      <w:r w:rsidRPr="00397A42">
        <w:rPr>
          <w:rFonts w:ascii="Times New Roman" w:hAnsi="Times New Roman"/>
          <w:sz w:val="22"/>
          <w:vertAlign w:val="superscript"/>
          <w:lang w:val="el-GR"/>
        </w:rPr>
        <w:t>2</w:t>
      </w:r>
      <w:r w:rsidRPr="00397A42">
        <w:rPr>
          <w:rFonts w:ascii="Times New Roman" w:hAnsi="Times New Roman"/>
          <w:sz w:val="22"/>
          <w:lang w:val="el-GR"/>
        </w:rPr>
        <w:t xml:space="preserve"> κάθε 3 έως 4 εβδομάδες). Θεραπεία με υψηλές δόσεις επιρουβικίνη</w:t>
      </w:r>
      <w:r w:rsidR="00216CD5" w:rsidRPr="00397A42">
        <w:rPr>
          <w:rFonts w:ascii="Times New Roman" w:hAnsi="Times New Roman"/>
          <w:sz w:val="22"/>
          <w:lang w:val="el-GR"/>
        </w:rPr>
        <w:t>ς</w:t>
      </w:r>
      <w:r w:rsidRPr="00397A42">
        <w:rPr>
          <w:rFonts w:ascii="Times New Roman" w:hAnsi="Times New Roman"/>
          <w:sz w:val="22"/>
          <w:lang w:val="el-GR"/>
        </w:rPr>
        <w:t xml:space="preserve"> απαιτεί ιδιαίτερη προσοχή για πιθανές κλινικές επιπλοκές, λόγω σοβαρής μυελοκαταστολής.</w:t>
      </w:r>
    </w:p>
    <w:p w:rsidR="00D92F0B" w:rsidRPr="00397A42" w:rsidRDefault="00D92F0B" w:rsidP="00D92F0B">
      <w:pPr>
        <w:pStyle w:val="a6"/>
        <w:ind w:left="709"/>
        <w:rPr>
          <w:rFonts w:ascii="Times New Roman" w:hAnsi="Times New Roman"/>
          <w:b w:val="0"/>
          <w:bCs/>
          <w:sz w:val="22"/>
        </w:rPr>
      </w:pPr>
    </w:p>
    <w:p w:rsidR="00D92F0B" w:rsidRPr="00397A42" w:rsidRDefault="00D92F0B" w:rsidP="00D92F0B">
      <w:pPr>
        <w:rPr>
          <w:rFonts w:ascii="Times New Roman" w:hAnsi="Times New Roman"/>
          <w:bCs/>
          <w:sz w:val="22"/>
          <w:lang w:val="el-GR"/>
        </w:rPr>
      </w:pPr>
      <w:r w:rsidRPr="00397A42">
        <w:rPr>
          <w:rFonts w:ascii="Times New Roman" w:hAnsi="Times New Roman"/>
          <w:i/>
          <w:sz w:val="22"/>
          <w:lang w:val="el-GR"/>
        </w:rPr>
        <w:t>Καρδιακή Λειτουργία:</w:t>
      </w:r>
      <w:r w:rsidRPr="00397A42">
        <w:rPr>
          <w:rFonts w:ascii="Times New Roman" w:hAnsi="Times New Roman"/>
          <w:bCs/>
          <w:sz w:val="22"/>
          <w:lang w:val="el-GR"/>
        </w:rPr>
        <w:t xml:space="preserve"> Η καρδιοτοξικότητα αποτελεί έναν κίνδυνο που είναι πιθανόν να προκληθεί από τη θεραπεία με ανθρακυκλίνες που μπορεί να εκδηλωθεί με πρώιμα (δηλ. οξέα) ή όψιμα (δηλ. καθυστερημένα) συμβάματα.</w:t>
      </w:r>
    </w:p>
    <w:p w:rsidR="00D92F0B" w:rsidRPr="00397A42" w:rsidRDefault="00D92F0B" w:rsidP="00D92F0B">
      <w:pPr>
        <w:ind w:left="709"/>
        <w:rPr>
          <w:rFonts w:ascii="Times New Roman" w:hAnsi="Times New Roman"/>
          <w:bCs/>
          <w:sz w:val="22"/>
          <w:lang w:val="el-GR"/>
        </w:rPr>
      </w:pPr>
    </w:p>
    <w:p w:rsidR="00D92F0B" w:rsidRPr="00397A42" w:rsidRDefault="00D92F0B" w:rsidP="00D92F0B">
      <w:pPr>
        <w:rPr>
          <w:rFonts w:ascii="Times New Roman" w:hAnsi="Times New Roman"/>
          <w:bCs/>
          <w:sz w:val="22"/>
          <w:lang w:val="el-GR"/>
        </w:rPr>
      </w:pPr>
      <w:r w:rsidRPr="00397A42">
        <w:rPr>
          <w:rFonts w:ascii="Times New Roman" w:hAnsi="Times New Roman"/>
          <w:bCs/>
          <w:i/>
          <w:iCs/>
          <w:sz w:val="22"/>
          <w:lang w:val="el-GR"/>
        </w:rPr>
        <w:t>Πρώιμα (δηλ. Οξέα) Συμβάματα:</w:t>
      </w:r>
      <w:r w:rsidRPr="00397A42">
        <w:rPr>
          <w:rFonts w:ascii="Times New Roman" w:hAnsi="Times New Roman"/>
          <w:bCs/>
          <w:sz w:val="22"/>
          <w:lang w:val="el-GR"/>
        </w:rPr>
        <w:t xml:space="preserve"> </w:t>
      </w:r>
      <w:r w:rsidRPr="00397A42">
        <w:rPr>
          <w:rFonts w:ascii="Times New Roman" w:hAnsi="Times New Roman"/>
          <w:bCs/>
          <w:i/>
          <w:sz w:val="22"/>
          <w:lang w:val="el-GR"/>
        </w:rPr>
        <w:t xml:space="preserve">Η πρώιμη καρδιοτοξικότητα </w:t>
      </w:r>
      <w:r w:rsidR="00216CD5" w:rsidRPr="00397A42">
        <w:rPr>
          <w:rFonts w:ascii="Times New Roman" w:hAnsi="Times New Roman"/>
          <w:bCs/>
          <w:i/>
          <w:sz w:val="22"/>
          <w:lang w:val="el-GR"/>
        </w:rPr>
        <w:t xml:space="preserve">της </w:t>
      </w:r>
      <w:r w:rsidRPr="00397A42">
        <w:rPr>
          <w:rFonts w:ascii="Times New Roman" w:hAnsi="Times New Roman"/>
          <w:bCs/>
          <w:i/>
          <w:sz w:val="22"/>
          <w:lang w:val="el-GR"/>
        </w:rPr>
        <w:t>επιρουβικίνη</w:t>
      </w:r>
      <w:r w:rsidR="00216CD5" w:rsidRPr="00397A42">
        <w:rPr>
          <w:rFonts w:ascii="Times New Roman" w:hAnsi="Times New Roman"/>
          <w:bCs/>
          <w:i/>
          <w:sz w:val="22"/>
          <w:lang w:val="el-GR"/>
        </w:rPr>
        <w:t>ς</w:t>
      </w:r>
      <w:r w:rsidRPr="00397A42">
        <w:rPr>
          <w:rFonts w:ascii="Times New Roman" w:hAnsi="Times New Roman"/>
          <w:bCs/>
          <w:i/>
          <w:sz w:val="22"/>
          <w:lang w:val="el-GR"/>
        </w:rPr>
        <w:t xml:space="preserve"> συνίσταται κυρίως από φλεβοκομβική</w:t>
      </w:r>
      <w:r w:rsidRPr="00397A42">
        <w:rPr>
          <w:rFonts w:ascii="Times New Roman" w:hAnsi="Times New Roman"/>
          <w:bCs/>
          <w:sz w:val="22"/>
          <w:lang w:val="el-GR"/>
        </w:rPr>
        <w:t xml:space="preserve"> ταχυκαρδία και/ή ανωμαλίες του ηλεκτροκαρδιογραφήματος (ΗΚΓ), όπως μη ειδικές μεταβολές του κύματος </w:t>
      </w:r>
      <w:r w:rsidRPr="00397A42">
        <w:rPr>
          <w:rFonts w:ascii="Times New Roman" w:hAnsi="Times New Roman"/>
          <w:bCs/>
          <w:sz w:val="22"/>
        </w:rPr>
        <w:t>ST</w:t>
      </w:r>
      <w:r w:rsidRPr="00397A42">
        <w:rPr>
          <w:rFonts w:ascii="Times New Roman" w:hAnsi="Times New Roman"/>
          <w:bCs/>
          <w:sz w:val="22"/>
          <w:lang w:val="el-GR"/>
        </w:rPr>
        <w:t>-</w:t>
      </w:r>
      <w:r w:rsidRPr="00397A42">
        <w:rPr>
          <w:rFonts w:ascii="Times New Roman" w:hAnsi="Times New Roman"/>
          <w:bCs/>
          <w:sz w:val="22"/>
        </w:rPr>
        <w:t>T</w:t>
      </w:r>
      <w:r w:rsidRPr="00397A42">
        <w:rPr>
          <w:rFonts w:ascii="Times New Roman" w:hAnsi="Times New Roman"/>
          <w:bCs/>
          <w:sz w:val="22"/>
          <w:lang w:val="el-GR"/>
        </w:rPr>
        <w:t xml:space="preserve">. Έχουν επίσης αναφερθεί ταχυαρρυθμίες, περιλαμβανομένων των έκτακτων κοιλιακών συστολών και της κοιλιακής ταχυκαρδίας, της βραδυκαρδίας καθώς και του κολποκοιλιακού και </w:t>
      </w:r>
      <w:r w:rsidR="00F807B4" w:rsidRPr="00397A42">
        <w:rPr>
          <w:rFonts w:ascii="Times New Roman" w:hAnsi="Times New Roman"/>
          <w:bCs/>
          <w:sz w:val="22"/>
          <w:lang w:val="el-GR"/>
        </w:rPr>
        <w:t xml:space="preserve">του </w:t>
      </w:r>
      <w:r w:rsidRPr="00397A42">
        <w:rPr>
          <w:rFonts w:ascii="Times New Roman" w:hAnsi="Times New Roman"/>
          <w:bCs/>
          <w:sz w:val="22"/>
          <w:lang w:val="el-GR"/>
        </w:rPr>
        <w:t xml:space="preserve">σκελικού αποκλεισμού. Οι </w:t>
      </w:r>
      <w:r w:rsidR="00F807B4" w:rsidRPr="00397A42">
        <w:rPr>
          <w:rFonts w:ascii="Times New Roman" w:hAnsi="Times New Roman"/>
          <w:bCs/>
          <w:sz w:val="22"/>
          <w:lang w:val="el-GR"/>
        </w:rPr>
        <w:t>επι</w:t>
      </w:r>
      <w:r w:rsidRPr="00397A42">
        <w:rPr>
          <w:rFonts w:ascii="Times New Roman" w:hAnsi="Times New Roman"/>
          <w:bCs/>
          <w:sz w:val="22"/>
          <w:lang w:val="el-GR"/>
        </w:rPr>
        <w:t>δράσεις αυτές συνήθως δεν προ</w:t>
      </w:r>
      <w:r w:rsidR="00F807B4" w:rsidRPr="00397A42">
        <w:rPr>
          <w:rFonts w:ascii="Times New Roman" w:hAnsi="Times New Roman"/>
          <w:bCs/>
          <w:sz w:val="22"/>
          <w:lang w:val="el-GR"/>
        </w:rPr>
        <w:t>δικάζουν</w:t>
      </w:r>
      <w:r w:rsidRPr="00397A42">
        <w:rPr>
          <w:rFonts w:ascii="Times New Roman" w:hAnsi="Times New Roman"/>
          <w:bCs/>
          <w:sz w:val="22"/>
          <w:lang w:val="el-GR"/>
        </w:rPr>
        <w:t xml:space="preserve"> επακόλουθη ανάπτυξη </w:t>
      </w:r>
      <w:r w:rsidR="00216CD5" w:rsidRPr="00397A42">
        <w:rPr>
          <w:rFonts w:ascii="Times New Roman" w:hAnsi="Times New Roman"/>
          <w:bCs/>
          <w:sz w:val="22"/>
          <w:lang w:val="el-GR"/>
        </w:rPr>
        <w:t xml:space="preserve">όψιμης </w:t>
      </w:r>
      <w:r w:rsidRPr="00397A42">
        <w:rPr>
          <w:rFonts w:ascii="Times New Roman" w:hAnsi="Times New Roman"/>
          <w:bCs/>
          <w:sz w:val="22"/>
          <w:lang w:val="el-GR"/>
        </w:rPr>
        <w:t>καρδιοτοξικότητας, σπάνια είναι κλινικής σημασίας και γενικά δεν αποτελούν αιτία διακοπής της θεραπείας με επιρουβικίνη.</w:t>
      </w:r>
    </w:p>
    <w:p w:rsidR="00D92F0B" w:rsidRPr="00397A42" w:rsidRDefault="00D92F0B" w:rsidP="00D92F0B">
      <w:pPr>
        <w:pStyle w:val="a6"/>
        <w:ind w:left="709"/>
        <w:rPr>
          <w:rFonts w:ascii="Times New Roman" w:hAnsi="Times New Roman"/>
          <w:b w:val="0"/>
          <w:bCs/>
          <w:sz w:val="22"/>
        </w:rPr>
      </w:pPr>
    </w:p>
    <w:p w:rsidR="00D92F0B" w:rsidRPr="00397A42" w:rsidRDefault="00D92F0B" w:rsidP="00D92F0B">
      <w:pPr>
        <w:pStyle w:val="a6"/>
        <w:rPr>
          <w:rFonts w:ascii="Times New Roman" w:hAnsi="Times New Roman"/>
          <w:b w:val="0"/>
          <w:bCs/>
          <w:sz w:val="22"/>
        </w:rPr>
      </w:pPr>
      <w:r w:rsidRPr="00397A42">
        <w:rPr>
          <w:rFonts w:ascii="Times New Roman" w:hAnsi="Times New Roman"/>
          <w:b w:val="0"/>
          <w:bCs/>
          <w:i/>
          <w:iCs/>
          <w:sz w:val="22"/>
        </w:rPr>
        <w:t xml:space="preserve">Όψιμα (δηλ. Καθυστερημένα) Συμβάματα: </w:t>
      </w:r>
      <w:r w:rsidR="00216CD5" w:rsidRPr="00397A42">
        <w:rPr>
          <w:rFonts w:ascii="Times New Roman" w:hAnsi="Times New Roman"/>
          <w:b w:val="0"/>
          <w:bCs/>
          <w:sz w:val="22"/>
        </w:rPr>
        <w:t>Όψιμη</w:t>
      </w:r>
      <w:r w:rsidRPr="00397A42">
        <w:rPr>
          <w:rFonts w:ascii="Times New Roman" w:hAnsi="Times New Roman"/>
          <w:b w:val="0"/>
          <w:bCs/>
          <w:sz w:val="22"/>
        </w:rPr>
        <w:t xml:space="preserve"> καρδιοτοξικότητα εμφανίζεται συνήθως με καθυστέρηση κατά τη διάρκεια της θεραπείας με επιρουβικίνη ή εντός 2 έως 3 μηνών μετά την ολοκλήρωση της θεραπείας</w:t>
      </w:r>
      <w:r w:rsidR="00A9209C" w:rsidRPr="00397A42">
        <w:rPr>
          <w:rFonts w:ascii="Times New Roman" w:hAnsi="Times New Roman"/>
          <w:b w:val="0"/>
          <w:bCs/>
          <w:sz w:val="22"/>
        </w:rPr>
        <w:t>,</w:t>
      </w:r>
      <w:r w:rsidRPr="00397A42">
        <w:rPr>
          <w:rFonts w:ascii="Times New Roman" w:hAnsi="Times New Roman"/>
          <w:b w:val="0"/>
          <w:bCs/>
          <w:sz w:val="22"/>
        </w:rPr>
        <w:t xml:space="preserve"> </w:t>
      </w:r>
      <w:r w:rsidR="00FD646E" w:rsidRPr="00397A42">
        <w:rPr>
          <w:rFonts w:ascii="Times New Roman" w:hAnsi="Times New Roman"/>
          <w:b w:val="0"/>
          <w:bCs/>
          <w:sz w:val="22"/>
        </w:rPr>
        <w:t>ω</w:t>
      </w:r>
      <w:r w:rsidRPr="00397A42">
        <w:rPr>
          <w:rFonts w:ascii="Times New Roman" w:hAnsi="Times New Roman"/>
          <w:b w:val="0"/>
          <w:bCs/>
          <w:sz w:val="22"/>
        </w:rPr>
        <w:t xml:space="preserve">στόσο, ακόμη πιο καθυστερημένα συμβάματα έχουν αναφερθεί (αρκετούς μήνες έως χρόνια) μετά την ολοκλήρωση της θεραπείας. </w:t>
      </w:r>
      <w:r w:rsidR="00F807B4" w:rsidRPr="00397A42">
        <w:rPr>
          <w:rFonts w:ascii="Times New Roman" w:hAnsi="Times New Roman"/>
          <w:b w:val="0"/>
          <w:bCs/>
          <w:sz w:val="22"/>
        </w:rPr>
        <w:t>Η ό</w:t>
      </w:r>
      <w:r w:rsidR="00216CD5" w:rsidRPr="00397A42">
        <w:rPr>
          <w:rFonts w:ascii="Times New Roman" w:hAnsi="Times New Roman"/>
          <w:b w:val="0"/>
          <w:bCs/>
          <w:sz w:val="22"/>
        </w:rPr>
        <w:t>ψιμη</w:t>
      </w:r>
      <w:r w:rsidRPr="00397A42">
        <w:rPr>
          <w:rFonts w:ascii="Times New Roman" w:hAnsi="Times New Roman"/>
          <w:b w:val="0"/>
          <w:sz w:val="22"/>
        </w:rPr>
        <w:t xml:space="preserve"> καρδιομυοπάθεια εκδηλώνεται με μειωμένο κλάσμα εξώθησης </w:t>
      </w:r>
      <w:r w:rsidR="00F807B4" w:rsidRPr="00397A42">
        <w:rPr>
          <w:rFonts w:ascii="Times New Roman" w:hAnsi="Times New Roman"/>
          <w:b w:val="0"/>
          <w:sz w:val="22"/>
        </w:rPr>
        <w:t xml:space="preserve">της </w:t>
      </w:r>
      <w:r w:rsidRPr="00397A42">
        <w:rPr>
          <w:rFonts w:ascii="Times New Roman" w:hAnsi="Times New Roman"/>
          <w:b w:val="0"/>
          <w:sz w:val="22"/>
        </w:rPr>
        <w:t>αριστερής κοιλίας (LVEF) και/ή με σημεία και συμπτώματα συμφορητικής καρδιακής ανεπάρκειας (</w:t>
      </w:r>
      <w:r w:rsidRPr="00397A42">
        <w:rPr>
          <w:rFonts w:ascii="Times New Roman" w:hAnsi="Times New Roman"/>
          <w:b w:val="0"/>
          <w:sz w:val="22"/>
          <w:lang w:val="en-US"/>
        </w:rPr>
        <w:t>CHF</w:t>
      </w:r>
      <w:r w:rsidRPr="00397A42">
        <w:rPr>
          <w:rFonts w:ascii="Times New Roman" w:hAnsi="Times New Roman"/>
          <w:b w:val="0"/>
          <w:sz w:val="22"/>
        </w:rPr>
        <w:t>) όπως δύσπνοια, πνευμονικό οίδημα, εξαρτώμενο οίδημα, καρδιομεγαλία, ηπατομεγαλία, ολιγουρία, ασκίτη, υπερζωκοτική συλλογή και καλπαστικό ρυθμό. Η απειλητική για τη ζωή συμφορητική καρδιακή ανεπάρκεια (</w:t>
      </w:r>
      <w:r w:rsidRPr="00397A42">
        <w:rPr>
          <w:rFonts w:ascii="Times New Roman" w:hAnsi="Times New Roman"/>
          <w:b w:val="0"/>
          <w:sz w:val="22"/>
          <w:lang w:val="en-US"/>
        </w:rPr>
        <w:t>CHF</w:t>
      </w:r>
      <w:r w:rsidRPr="00397A42">
        <w:rPr>
          <w:rFonts w:ascii="Times New Roman" w:hAnsi="Times New Roman"/>
          <w:b w:val="0"/>
          <w:sz w:val="22"/>
        </w:rPr>
        <w:t>) είναι η πλέον σοβαρή μορφή, επαγόμενης από ανθρακυκλίνες καρδιομυοπάθειας, και αντιπροσωπεύει την αθροιστική δοσοπεριοριστική τοξικότητα του φαρμάκου.</w:t>
      </w:r>
    </w:p>
    <w:p w:rsidR="00D92F0B" w:rsidRPr="00397A42" w:rsidRDefault="00D92F0B" w:rsidP="00D92F0B">
      <w:pPr>
        <w:pStyle w:val="a6"/>
        <w:rPr>
          <w:rFonts w:ascii="Times New Roman" w:hAnsi="Times New Roman"/>
          <w:b w:val="0"/>
          <w:bCs/>
          <w:sz w:val="22"/>
        </w:rPr>
      </w:pPr>
    </w:p>
    <w:p w:rsidR="00D92F0B" w:rsidRPr="00397A42" w:rsidRDefault="00D92F0B" w:rsidP="00D92F0B">
      <w:pPr>
        <w:jc w:val="both"/>
        <w:rPr>
          <w:sz w:val="22"/>
          <w:szCs w:val="22"/>
          <w:lang w:val="el-GR"/>
        </w:rPr>
      </w:pPr>
      <w:r w:rsidRPr="00397A42">
        <w:rPr>
          <w:rFonts w:ascii="Times New Roman" w:hAnsi="Times New Roman"/>
          <w:sz w:val="22"/>
          <w:lang w:val="el-GR"/>
        </w:rPr>
        <w:t>Ο κίνδυνος εμφάνισης συμφορητικής καρδιακής ανεπάρκειας (</w:t>
      </w:r>
      <w:r w:rsidRPr="00397A42">
        <w:rPr>
          <w:rFonts w:ascii="Times New Roman" w:hAnsi="Times New Roman"/>
          <w:sz w:val="22"/>
        </w:rPr>
        <w:t>CHF</w:t>
      </w:r>
      <w:r w:rsidRPr="00397A42">
        <w:rPr>
          <w:rFonts w:ascii="Times New Roman" w:hAnsi="Times New Roman"/>
          <w:sz w:val="22"/>
          <w:lang w:val="el-GR"/>
        </w:rPr>
        <w:t xml:space="preserve">) αυξάνεται γρήγορα όταν οι αθροιστικές δόσεις της επιρουβικίνης υπερβαίνουν τα 900 </w:t>
      </w:r>
      <w:r w:rsidRPr="00397A42">
        <w:rPr>
          <w:rFonts w:ascii="Times New Roman" w:hAnsi="Times New Roman"/>
          <w:sz w:val="22"/>
        </w:rPr>
        <w:t>mg</w:t>
      </w:r>
      <w:r w:rsidRPr="00397A42">
        <w:rPr>
          <w:rFonts w:ascii="Times New Roman" w:hAnsi="Times New Roman"/>
          <w:sz w:val="22"/>
          <w:lang w:val="el-GR"/>
        </w:rPr>
        <w:t>/</w:t>
      </w:r>
      <w:r w:rsidRPr="00397A42">
        <w:rPr>
          <w:rFonts w:ascii="Times New Roman" w:hAnsi="Times New Roman"/>
          <w:sz w:val="22"/>
        </w:rPr>
        <w:t>m</w:t>
      </w:r>
      <w:r w:rsidRPr="00397A42">
        <w:rPr>
          <w:rFonts w:ascii="Times New Roman" w:hAnsi="Times New Roman"/>
          <w:sz w:val="22"/>
          <w:szCs w:val="22"/>
          <w:vertAlign w:val="superscript"/>
          <w:lang w:val="el-GR"/>
        </w:rPr>
        <w:t>2</w:t>
      </w:r>
      <w:r w:rsidRPr="00397A42">
        <w:rPr>
          <w:rFonts w:ascii="Times New Roman" w:hAnsi="Times New Roman"/>
          <w:sz w:val="22"/>
          <w:vertAlign w:val="superscript"/>
          <w:lang w:val="el-GR"/>
        </w:rPr>
        <w:t xml:space="preserve"> </w:t>
      </w:r>
      <w:r w:rsidRPr="00397A42">
        <w:rPr>
          <w:rFonts w:ascii="Times New Roman" w:hAnsi="Times New Roman"/>
          <w:sz w:val="22"/>
          <w:szCs w:val="22"/>
          <w:lang w:val="el-GR"/>
        </w:rPr>
        <w:t xml:space="preserve">. Η υπέρβαση </w:t>
      </w:r>
      <w:r w:rsidRPr="00397A42">
        <w:rPr>
          <w:sz w:val="22"/>
          <w:szCs w:val="22"/>
          <w:lang w:val="el-GR"/>
        </w:rPr>
        <w:t>αυτής της αθροιστικής δόσης θα πρέπει</w:t>
      </w:r>
      <w:r w:rsidRPr="00397A42">
        <w:rPr>
          <w:sz w:val="22"/>
          <w:vertAlign w:val="superscript"/>
          <w:lang w:val="el-GR"/>
        </w:rPr>
        <w:t xml:space="preserve"> </w:t>
      </w:r>
      <w:r w:rsidRPr="00397A42">
        <w:rPr>
          <w:sz w:val="22"/>
          <w:szCs w:val="22"/>
          <w:lang w:val="el-GR"/>
        </w:rPr>
        <w:t>να γίνεται με ιδιαίτερη προσοχή</w:t>
      </w:r>
      <w:r w:rsidR="006B341F" w:rsidRPr="00397A42">
        <w:rPr>
          <w:sz w:val="22"/>
          <w:szCs w:val="22"/>
          <w:lang w:val="el-GR"/>
        </w:rPr>
        <w:t>.</w:t>
      </w:r>
    </w:p>
    <w:p w:rsidR="00D92F0B" w:rsidRPr="00397A42" w:rsidRDefault="00D92F0B" w:rsidP="00D92F0B">
      <w:pPr>
        <w:autoSpaceDE w:val="0"/>
        <w:autoSpaceDN w:val="0"/>
        <w:adjustRightInd w:val="0"/>
        <w:rPr>
          <w:rFonts w:ascii="Times New Roman" w:hAnsi="Times New Roman"/>
          <w:sz w:val="22"/>
          <w:lang w:val="el-GR"/>
        </w:rPr>
      </w:pPr>
      <w:r w:rsidRPr="00397A42">
        <w:rPr>
          <w:sz w:val="22"/>
          <w:lang w:val="el-GR"/>
        </w:rPr>
        <w:t xml:space="preserve">Η καρδιακή λειτουργία πρέπει να αξιολογηθεί πριν οι ασθενείς υποβληθούν σε θεραπεία με επιρουβικίνη και πρέπει να παρακολουθείται σε όλη τη διάρκεια της θεραπείας για την ελαχιστοποίηση του κινδύνου πρόκλησης σοβαρής καρδιακής δυσλειτουργίας. Ο κίνδυνος μπορεί να μειωθεί με τακτική παρακολούθηση του κλάσματος εξώθησης </w:t>
      </w:r>
      <w:r w:rsidR="009975D1" w:rsidRPr="00397A42">
        <w:rPr>
          <w:sz w:val="22"/>
          <w:lang w:val="el-GR"/>
        </w:rPr>
        <w:t xml:space="preserve">της </w:t>
      </w:r>
      <w:r w:rsidRPr="00397A42">
        <w:rPr>
          <w:sz w:val="22"/>
          <w:lang w:val="el-GR"/>
        </w:rPr>
        <w:t>αριστερής κοιλίας (</w:t>
      </w:r>
      <w:r w:rsidRPr="00397A42">
        <w:rPr>
          <w:sz w:val="22"/>
        </w:rPr>
        <w:t>LVEF</w:t>
      </w:r>
      <w:r w:rsidRPr="00397A42">
        <w:rPr>
          <w:sz w:val="22"/>
          <w:lang w:val="el-GR"/>
        </w:rPr>
        <w:t xml:space="preserve">) κατά τη διάρκεια της θεραπείας με άμεση διακοπή της επιρουβικίνης με το πρώτο σημείο δυσλειτουργίας. Η κατάλληλη ποσοτική μέθοδος για την επαναλαμβανόμενη αξιολόγηση της καρδιακής λειτουργίας (αξιολόγηση του LVEF) περιλαμβάνει διερευνητικό σπινθηρογράφημα πολλαπλών θυρών (MUGA scan) ή ηχοκαρδιογράφημα (ECHO). </w:t>
      </w:r>
      <w:r w:rsidRPr="00397A42">
        <w:rPr>
          <w:rFonts w:ascii="Times New Roman" w:hAnsi="Times New Roman"/>
          <w:sz w:val="22"/>
          <w:lang w:val="el-GR"/>
        </w:rPr>
        <w:t>Συνιστάται μία αρχική αξιολόγηση με ηλεκτροκαρδιογράφημα (ΗΚΓ) και είτε με Διερευνητικό σπινθηρογράφημα πολλαπλών θυρών</w:t>
      </w:r>
      <w:r w:rsidRPr="00397A42" w:rsidDel="00595AD7">
        <w:rPr>
          <w:rFonts w:ascii="Times New Roman" w:hAnsi="Times New Roman"/>
          <w:sz w:val="22"/>
          <w:lang w:val="el-GR"/>
        </w:rPr>
        <w:t xml:space="preserve"> </w:t>
      </w:r>
      <w:r w:rsidRPr="00397A42">
        <w:rPr>
          <w:rFonts w:ascii="Times New Roman" w:hAnsi="Times New Roman"/>
          <w:sz w:val="22"/>
          <w:lang w:val="el-GR"/>
        </w:rPr>
        <w:t xml:space="preserve">(MUGA scan) είτε με ηχοκαρδιογράφημα (ECHO), ιδιαίτερα σε ασθενείς με παράγοντες κινδύνου για αυξημένη καρδιοτοξικότητα. Η αξιολόγηση του κλάσματος εξώθησης </w:t>
      </w:r>
      <w:r w:rsidR="009975D1" w:rsidRPr="00397A42">
        <w:rPr>
          <w:rFonts w:ascii="Times New Roman" w:hAnsi="Times New Roman"/>
          <w:sz w:val="22"/>
          <w:lang w:val="el-GR"/>
        </w:rPr>
        <w:t xml:space="preserve">της </w:t>
      </w:r>
      <w:r w:rsidRPr="00397A42">
        <w:rPr>
          <w:rFonts w:ascii="Times New Roman" w:hAnsi="Times New Roman"/>
          <w:sz w:val="22"/>
          <w:lang w:val="el-GR"/>
        </w:rPr>
        <w:t>αριστερής κοιλίας (</w:t>
      </w:r>
      <w:r w:rsidRPr="00397A42">
        <w:rPr>
          <w:rFonts w:ascii="Times New Roman" w:hAnsi="Times New Roman"/>
          <w:sz w:val="22"/>
        </w:rPr>
        <w:t>LVEF</w:t>
      </w:r>
      <w:r w:rsidRPr="00397A42">
        <w:rPr>
          <w:rFonts w:ascii="Times New Roman" w:hAnsi="Times New Roman"/>
          <w:sz w:val="22"/>
          <w:lang w:val="el-GR"/>
        </w:rPr>
        <w:t>) πρέπει να επαναλαμβάνεται με Διερευνητικό σπινθηρογράφημα πολλαπλών θυρών</w:t>
      </w:r>
      <w:r w:rsidRPr="00397A42" w:rsidDel="00595AD7">
        <w:rPr>
          <w:rFonts w:ascii="Times New Roman" w:hAnsi="Times New Roman"/>
          <w:sz w:val="22"/>
          <w:lang w:val="el-GR"/>
        </w:rPr>
        <w:t xml:space="preserve"> </w:t>
      </w:r>
      <w:r w:rsidRPr="00397A42">
        <w:rPr>
          <w:rFonts w:ascii="Times New Roman" w:hAnsi="Times New Roman"/>
          <w:sz w:val="22"/>
          <w:lang w:val="el-GR"/>
        </w:rPr>
        <w:t xml:space="preserve">(MUGA </w:t>
      </w:r>
      <w:r w:rsidRPr="00397A42">
        <w:rPr>
          <w:rFonts w:ascii="Times New Roman" w:hAnsi="Times New Roman"/>
          <w:sz w:val="22"/>
          <w:lang w:val="el-GR"/>
        </w:rPr>
        <w:lastRenderedPageBreak/>
        <w:t xml:space="preserve">scan) ή με ηχοκαρδιογράφημα (ECHO) ιδίως σε ασθενείς που λαμβάνουν υψηλότερη αθροιστική δόση ανθρακυκλίνης. Η τεχνική που χρησιμοποιείται για την αξιολόγηση πρέπει να είναι ίδια καθ’ όλη τη διάρκεια της παρακολούθησης. </w:t>
      </w:r>
    </w:p>
    <w:p w:rsidR="00D92F0B" w:rsidRPr="00397A42" w:rsidRDefault="00D92F0B" w:rsidP="00D92F0B">
      <w:pPr>
        <w:autoSpaceDE w:val="0"/>
        <w:autoSpaceDN w:val="0"/>
        <w:adjustRightInd w:val="0"/>
        <w:ind w:left="709"/>
        <w:rPr>
          <w:rFonts w:ascii="Times New Roman" w:hAnsi="Times New Roman"/>
          <w:sz w:val="22"/>
          <w:lang w:val="el-GR"/>
        </w:rPr>
      </w:pPr>
    </w:p>
    <w:p w:rsidR="00D92F0B" w:rsidRPr="00397A42" w:rsidRDefault="00D92F0B" w:rsidP="00D92F0B">
      <w:pPr>
        <w:pStyle w:val="a6"/>
        <w:rPr>
          <w:rFonts w:ascii="Times New Roman" w:hAnsi="Times New Roman"/>
          <w:b w:val="0"/>
          <w:sz w:val="22"/>
        </w:rPr>
      </w:pPr>
      <w:r w:rsidRPr="00397A42">
        <w:rPr>
          <w:rFonts w:ascii="Times New Roman" w:hAnsi="Times New Roman"/>
          <w:b w:val="0"/>
          <w:sz w:val="22"/>
        </w:rPr>
        <w:t>Δεδομένου του κινδύνου καρδιομυοπάθειας, υπέρβασης μίας αθροιστικής δόση</w:t>
      </w:r>
      <w:r w:rsidR="00B70C25" w:rsidRPr="00397A42">
        <w:rPr>
          <w:rFonts w:ascii="Times New Roman" w:hAnsi="Times New Roman"/>
          <w:b w:val="0"/>
          <w:sz w:val="22"/>
        </w:rPr>
        <w:t>ς</w:t>
      </w:r>
      <w:r w:rsidRPr="00397A42">
        <w:rPr>
          <w:rFonts w:ascii="Times New Roman" w:hAnsi="Times New Roman"/>
          <w:b w:val="0"/>
          <w:sz w:val="22"/>
        </w:rPr>
        <w:t xml:space="preserve"> 900</w:t>
      </w:r>
      <w:r w:rsidRPr="00397A42">
        <w:rPr>
          <w:rFonts w:ascii="Times New Roman" w:hAnsi="Times New Roman"/>
          <w:b w:val="0"/>
          <w:sz w:val="22"/>
          <w:lang w:val="en-US"/>
        </w:rPr>
        <w:t>mg</w:t>
      </w:r>
      <w:r w:rsidRPr="00397A42">
        <w:rPr>
          <w:rFonts w:ascii="Times New Roman" w:hAnsi="Times New Roman"/>
          <w:b w:val="0"/>
          <w:sz w:val="22"/>
        </w:rPr>
        <w:t>/</w:t>
      </w:r>
      <w:r w:rsidRPr="00397A42">
        <w:rPr>
          <w:rFonts w:ascii="Times New Roman" w:hAnsi="Times New Roman"/>
          <w:b w:val="0"/>
          <w:sz w:val="22"/>
          <w:lang w:val="en-US"/>
        </w:rPr>
        <w:t>m</w:t>
      </w:r>
      <w:r w:rsidRPr="00397A42">
        <w:rPr>
          <w:rFonts w:ascii="Times New Roman" w:hAnsi="Times New Roman"/>
          <w:b w:val="0"/>
          <w:sz w:val="22"/>
          <w:vertAlign w:val="superscript"/>
        </w:rPr>
        <w:t>2</w:t>
      </w:r>
      <w:r w:rsidRPr="00397A42">
        <w:rPr>
          <w:rFonts w:ascii="Times New Roman" w:hAnsi="Times New Roman"/>
          <w:b w:val="0"/>
          <w:sz w:val="22"/>
        </w:rPr>
        <w:t xml:space="preserve"> της επιρουβικίνης πρέπει να γίνεται μόνο με ιδιαίτερη προσοχή.</w:t>
      </w:r>
    </w:p>
    <w:p w:rsidR="00D92F0B" w:rsidRPr="00397A42" w:rsidRDefault="00D92F0B" w:rsidP="00D92F0B">
      <w:pPr>
        <w:pStyle w:val="a6"/>
        <w:ind w:left="709"/>
        <w:rPr>
          <w:rFonts w:ascii="Times New Roman" w:hAnsi="Times New Roman"/>
          <w:b w:val="0"/>
          <w:bCs/>
          <w:sz w:val="22"/>
        </w:rPr>
      </w:pPr>
    </w:p>
    <w:p w:rsidR="00FD646E" w:rsidRPr="00397A42" w:rsidRDefault="00D92F0B" w:rsidP="00D92F0B">
      <w:pPr>
        <w:numPr>
          <w:ilvl w:val="12"/>
          <w:numId w:val="0"/>
        </w:numPr>
        <w:jc w:val="both"/>
        <w:rPr>
          <w:sz w:val="22"/>
          <w:lang w:val="el-GR"/>
        </w:rPr>
      </w:pPr>
      <w:r w:rsidRPr="00397A42">
        <w:rPr>
          <w:rFonts w:ascii="Times New Roman" w:hAnsi="Times New Roman"/>
          <w:sz w:val="22"/>
          <w:lang w:val="el-GR"/>
        </w:rPr>
        <w:t xml:space="preserve">Οι παράγοντες κινδύνου καρδιοτοξικότητας περιλαμβάνουν ενεργή ή μη καρδιαγγειακή νόσο, προηγούμενη ή ταυτόχρονη ακτινοθεραπεία στην περιοχή του μεσοθωρακίου/περικαρδίου, προηγούμενη θεραπεία με άλλες </w:t>
      </w:r>
      <w:r w:rsidR="006B7BB2" w:rsidRPr="00397A42">
        <w:rPr>
          <w:rFonts w:ascii="Times New Roman" w:hAnsi="Times New Roman"/>
          <w:sz w:val="22"/>
          <w:lang w:val="el-GR"/>
        </w:rPr>
        <w:t>ανθρακυκλίνες ή ανθρακενο</w:t>
      </w:r>
      <w:r w:rsidRPr="00397A42">
        <w:rPr>
          <w:rFonts w:ascii="Times New Roman" w:hAnsi="Times New Roman"/>
          <w:sz w:val="22"/>
          <w:lang w:val="el-GR"/>
        </w:rPr>
        <w:t xml:space="preserve">διόνες, και ταυτόχρονη χρήση φαρμάκων με την ικανότητα να καταστέλλουν την καρδιακή συσταλτικότητα ή καρδιοτοξικά φάρμακα (π.χ. </w:t>
      </w:r>
      <w:r w:rsidR="00FD646E" w:rsidRPr="00397A42">
        <w:rPr>
          <w:rFonts w:ascii="Times New Roman" w:hAnsi="Times New Roman"/>
          <w:sz w:val="22"/>
          <w:lang w:val="el-GR"/>
        </w:rPr>
        <w:t>τραστουζουμάμπη</w:t>
      </w:r>
      <w:r w:rsidRPr="00397A42">
        <w:rPr>
          <w:rFonts w:ascii="Times New Roman" w:hAnsi="Times New Roman"/>
          <w:sz w:val="22"/>
          <w:lang w:val="el-GR"/>
        </w:rPr>
        <w:t>)</w:t>
      </w:r>
      <w:r w:rsidR="00D4614B" w:rsidRPr="00397A42">
        <w:rPr>
          <w:rFonts w:ascii="Times New Roman" w:hAnsi="Times New Roman"/>
          <w:sz w:val="22"/>
          <w:lang w:val="el-GR"/>
        </w:rPr>
        <w:t xml:space="preserve"> (βλέπε παράγραφο 2</w:t>
      </w:r>
      <w:r w:rsidRPr="00397A42">
        <w:rPr>
          <w:rFonts w:ascii="Times New Roman" w:hAnsi="Times New Roman"/>
          <w:sz w:val="22"/>
          <w:lang w:val="el-GR"/>
        </w:rPr>
        <w:t>.5)</w:t>
      </w:r>
      <w:r w:rsidR="00FD646E" w:rsidRPr="00397A42">
        <w:rPr>
          <w:rFonts w:ascii="Times New Roman" w:hAnsi="Times New Roman"/>
          <w:sz w:val="22"/>
          <w:lang w:val="el-GR"/>
        </w:rPr>
        <w:t xml:space="preserve"> </w:t>
      </w:r>
      <w:r w:rsidR="00FD646E" w:rsidRPr="00397A42">
        <w:rPr>
          <w:sz w:val="22"/>
          <w:lang w:val="el-GR"/>
        </w:rPr>
        <w:t>με αυξημένο κίνδυνο στους ηλικιωμένους.</w:t>
      </w:r>
    </w:p>
    <w:p w:rsidR="00FD646E" w:rsidRPr="00397A42" w:rsidRDefault="00FD646E" w:rsidP="00D92F0B">
      <w:pPr>
        <w:numPr>
          <w:ilvl w:val="12"/>
          <w:numId w:val="0"/>
        </w:numPr>
        <w:jc w:val="both"/>
        <w:rPr>
          <w:rFonts w:ascii="Times New Roman" w:hAnsi="Times New Roman"/>
          <w:sz w:val="22"/>
          <w:lang w:val="el-GR"/>
        </w:rPr>
      </w:pPr>
    </w:p>
    <w:p w:rsidR="009B070A" w:rsidRPr="00397A42" w:rsidRDefault="009B070A" w:rsidP="009B070A">
      <w:pPr>
        <w:numPr>
          <w:ilvl w:val="12"/>
          <w:numId w:val="0"/>
        </w:numPr>
        <w:jc w:val="both"/>
        <w:rPr>
          <w:sz w:val="22"/>
          <w:lang w:val="el-GR"/>
        </w:rPr>
      </w:pPr>
      <w:r w:rsidRPr="00397A42">
        <w:rPr>
          <w:sz w:val="22"/>
          <w:lang w:val="el-GR"/>
        </w:rPr>
        <w:t xml:space="preserve">Καρδιακή ανεπάρκεια (κατηγορίας </w:t>
      </w:r>
      <w:r w:rsidRPr="00397A42">
        <w:rPr>
          <w:sz w:val="22"/>
        </w:rPr>
        <w:t>II</w:t>
      </w:r>
      <w:r w:rsidRPr="00397A42">
        <w:rPr>
          <w:sz w:val="22"/>
          <w:lang w:val="el-GR"/>
        </w:rPr>
        <w:t>-</w:t>
      </w:r>
      <w:r w:rsidRPr="00397A42">
        <w:rPr>
          <w:sz w:val="22"/>
        </w:rPr>
        <w:t>IV</w:t>
      </w:r>
      <w:r w:rsidRPr="00397A42">
        <w:rPr>
          <w:sz w:val="22"/>
          <w:lang w:val="el-GR"/>
        </w:rPr>
        <w:t xml:space="preserve"> κατά την Καρδιολογική Εταιρία Νέας Υόρκης-ΝΥΗΑ) έχει παρατηρηθεί σε ασθενείς που λάμβαναν θεραπεία με τραστουζουμάμπη, μόνη ή σε συνδυασμό με ανθρακυκλίνες, όπως η επιρουβικίνη. Αυτή μπορεί να είναι μέτρια έως σοβαρή και έχει συσχετιστεί με θάνατο.</w:t>
      </w:r>
    </w:p>
    <w:p w:rsidR="009B070A" w:rsidRPr="00397A42" w:rsidRDefault="009B070A" w:rsidP="009B070A">
      <w:pPr>
        <w:numPr>
          <w:ilvl w:val="12"/>
          <w:numId w:val="0"/>
        </w:numPr>
        <w:jc w:val="both"/>
        <w:rPr>
          <w:sz w:val="22"/>
          <w:lang w:val="el-GR"/>
        </w:rPr>
      </w:pPr>
      <w:r w:rsidRPr="00397A42">
        <w:rPr>
          <w:sz w:val="22"/>
          <w:lang w:val="el-GR"/>
        </w:rPr>
        <w:t>Η τραστουζουμάμπη και οι ανθρακυκλίνες, όπως η επιρουβικίνη, δε  πρέπει να χρησιμοποιούνται επί του παρόντος σε συνδυασμό, εκτός σε περίπτωση καλά ελεγχόμενης κλινικής δοκιμής με παρακολούθηση της καρδιακής λειτουργίας.</w:t>
      </w:r>
      <w:r w:rsidR="003A1558" w:rsidRPr="00397A42">
        <w:rPr>
          <w:sz w:val="22"/>
          <w:lang w:val="el-GR"/>
        </w:rPr>
        <w:t xml:space="preserve"> </w:t>
      </w:r>
      <w:r w:rsidRPr="00397A42">
        <w:rPr>
          <w:sz w:val="22"/>
          <w:lang w:val="el-GR"/>
        </w:rPr>
        <w:t>Ασθενείς που έχουν προηγουμένως λάβει ανθρακυκλίνες διατρέχουν επίσης κίνδυνο εμφάνισης καρδιοτοξικότητας με τη θεραπεία με τραστουζουμάμπη, παρόλο που ο κίνδυνος είναι χαμηλότερος σε σχέση με την ταυτόχρονη χρήση τραστουζουμάμπης και ανθρακυκλινών.</w:t>
      </w:r>
    </w:p>
    <w:p w:rsidR="009B070A" w:rsidRPr="00397A42" w:rsidRDefault="009B070A" w:rsidP="009B070A">
      <w:pPr>
        <w:numPr>
          <w:ilvl w:val="12"/>
          <w:numId w:val="0"/>
        </w:numPr>
        <w:jc w:val="both"/>
        <w:rPr>
          <w:sz w:val="22"/>
          <w:lang w:val="el-GR"/>
        </w:rPr>
      </w:pPr>
    </w:p>
    <w:p w:rsidR="009B070A" w:rsidRPr="00397A42" w:rsidRDefault="009B070A" w:rsidP="009B070A">
      <w:pPr>
        <w:numPr>
          <w:ilvl w:val="12"/>
          <w:numId w:val="0"/>
        </w:numPr>
        <w:jc w:val="both"/>
        <w:rPr>
          <w:sz w:val="22"/>
          <w:lang w:val="el-GR"/>
        </w:rPr>
      </w:pPr>
      <w:r w:rsidRPr="00397A42">
        <w:rPr>
          <w:sz w:val="22"/>
          <w:lang w:val="el-GR"/>
        </w:rPr>
        <w:t>Καθώς ο χρόνος ημίσειας ζωής της τραστουζουμάμπης είναι περίπου 4-5 εβδομάδες, η τραστουζουμάμπη μπορεί να παραμείνει στην κυκλοφορία έως και 20-25 εβδομάδ</w:t>
      </w:r>
      <w:r w:rsidR="003A1558" w:rsidRPr="00397A42">
        <w:rPr>
          <w:sz w:val="22"/>
          <w:lang w:val="el-GR"/>
        </w:rPr>
        <w:t>ε</w:t>
      </w:r>
      <w:r w:rsidRPr="00397A42">
        <w:rPr>
          <w:sz w:val="22"/>
          <w:lang w:val="el-GR"/>
        </w:rPr>
        <w:t>ς μετά τη διακοπή της θεραπείας με τραστουζουμάμπη. Οι ασθενείς που λαμβάνοουν ανθρακυκλίνες, όπως είναι η επιρουβικίνη, μετά τη διακοπή της τραστουζουμάμπης μπορεί ενδεχομένως να διατρέχουν αυξημένο κίνδυνο καρδιοτοξικότητας. Εάν είναι δυνατό, οι ιατροί  πρέπει να αποφεύγουν τη βασιζόμενη σε ανθρακυκλίνες θεραπεία έως και 25 εβδομάδες μετά τη διακοπή της τραστουζουμάμπης. Εάν χρησιμοποιούνται ανθρακυκλίνες, όπως η επιρουβικίνη, η καρδιακή λειτουργία του ασθενούς  πρέπει να παρακολουθείται προσεκτικά.</w:t>
      </w:r>
    </w:p>
    <w:p w:rsidR="009B070A" w:rsidRPr="00397A42" w:rsidRDefault="009B070A" w:rsidP="009B070A">
      <w:pPr>
        <w:numPr>
          <w:ilvl w:val="12"/>
          <w:numId w:val="0"/>
        </w:numPr>
        <w:jc w:val="both"/>
        <w:rPr>
          <w:sz w:val="22"/>
          <w:lang w:val="el-GR"/>
        </w:rPr>
      </w:pPr>
    </w:p>
    <w:p w:rsidR="009B070A" w:rsidRPr="00397A42" w:rsidRDefault="009B070A" w:rsidP="009B070A">
      <w:pPr>
        <w:numPr>
          <w:ilvl w:val="12"/>
          <w:numId w:val="0"/>
        </w:numPr>
        <w:jc w:val="both"/>
        <w:rPr>
          <w:sz w:val="22"/>
          <w:lang w:val="el-GR"/>
        </w:rPr>
      </w:pPr>
      <w:r w:rsidRPr="00397A42">
        <w:rPr>
          <w:sz w:val="22"/>
          <w:lang w:val="el-GR"/>
        </w:rPr>
        <w:t>Εάν αναπτυχθεί συμπτωματική καρδιακή ανεπάρκεια κατά τη διάρκεια θεραπείας με τραστουζουμάμπη μετά από θεραπεία με επιρουβικίνη,  πρέπει να αντιμετωπιστεί με τη συμβατική φαρμακευτική αγωγή για το σκοπό αυτό.</w:t>
      </w:r>
    </w:p>
    <w:p w:rsidR="00FD646E" w:rsidRPr="00397A42" w:rsidRDefault="00FD646E" w:rsidP="00D92F0B">
      <w:pPr>
        <w:numPr>
          <w:ilvl w:val="12"/>
          <w:numId w:val="0"/>
        </w:numPr>
        <w:jc w:val="both"/>
        <w:rPr>
          <w:rFonts w:ascii="Times New Roman" w:hAnsi="Times New Roman"/>
          <w:sz w:val="22"/>
          <w:lang w:val="el-GR"/>
        </w:rPr>
      </w:pPr>
    </w:p>
    <w:p w:rsidR="00D92F0B" w:rsidRPr="00397A42" w:rsidRDefault="00D92F0B" w:rsidP="00D92F0B">
      <w:pPr>
        <w:numPr>
          <w:ilvl w:val="12"/>
          <w:numId w:val="0"/>
        </w:numPr>
        <w:jc w:val="both"/>
        <w:rPr>
          <w:rFonts w:ascii="Times New Roman" w:hAnsi="Times New Roman"/>
          <w:sz w:val="22"/>
          <w:lang w:val="el-GR"/>
        </w:rPr>
      </w:pPr>
      <w:r w:rsidRPr="00397A42">
        <w:rPr>
          <w:rFonts w:ascii="Times New Roman" w:hAnsi="Times New Roman"/>
          <w:sz w:val="22"/>
          <w:lang w:val="el-GR"/>
        </w:rPr>
        <w:t>Η παρακολούθηση της καρδιακής λειτουργίας πρέπει να είναι ιδιαίτερα αυστηρή σε ασθενείς που λαμβάνουν υψηλές αθροιστικές δόσεις και σε αυτούς που έχουν παράγοντες κινδύνου. Ωστόσο, μπορεί να παρουσιαστεί καρδιοτοξικότητα με τη λήψη επιρουβικίνης σε χαμηλότερες αθροιστικές δόσεις ανεξάρτητα από το αν υπάρχουν παράγοντες κινδύνου ή όχι.</w:t>
      </w:r>
    </w:p>
    <w:p w:rsidR="00D92F0B" w:rsidRPr="00397A42" w:rsidRDefault="00D92F0B" w:rsidP="00D92F0B">
      <w:pPr>
        <w:numPr>
          <w:ilvl w:val="12"/>
          <w:numId w:val="0"/>
        </w:numPr>
        <w:jc w:val="both"/>
        <w:rPr>
          <w:rFonts w:ascii="Times New Roman" w:hAnsi="Times New Roman"/>
          <w:sz w:val="22"/>
          <w:lang w:val="el-GR"/>
        </w:rPr>
      </w:pPr>
      <w:r w:rsidRPr="00397A42">
        <w:rPr>
          <w:rFonts w:ascii="Times New Roman" w:hAnsi="Times New Roman"/>
          <w:sz w:val="22"/>
          <w:lang w:val="el-GR"/>
        </w:rPr>
        <w:t>Η τοξικότητα της επιρουβικίνης και των άλλων ανθρακυκλινών ή ανθρακενοδι</w:t>
      </w:r>
      <w:r w:rsidR="00B37A9C" w:rsidRPr="00397A42">
        <w:rPr>
          <w:rFonts w:ascii="Times New Roman" w:hAnsi="Times New Roman"/>
          <w:sz w:val="22"/>
          <w:lang w:val="el-GR"/>
        </w:rPr>
        <w:t>ον</w:t>
      </w:r>
      <w:r w:rsidRPr="00397A42">
        <w:rPr>
          <w:rFonts w:ascii="Times New Roman" w:hAnsi="Times New Roman"/>
          <w:sz w:val="22"/>
          <w:lang w:val="el-GR"/>
        </w:rPr>
        <w:t xml:space="preserve">ών είναι πιθανό να είναι αθροιστική. </w:t>
      </w:r>
    </w:p>
    <w:p w:rsidR="002D65EC" w:rsidRPr="00397A42" w:rsidRDefault="002D65EC" w:rsidP="002D65EC">
      <w:pPr>
        <w:rPr>
          <w:rFonts w:ascii="Times New Roman" w:hAnsi="Times New Roman"/>
          <w:sz w:val="22"/>
          <w:szCs w:val="22"/>
          <w:lang w:val="el-GR"/>
        </w:rPr>
      </w:pPr>
    </w:p>
    <w:p w:rsidR="00716977" w:rsidRPr="00397A42" w:rsidDel="00595AD7" w:rsidRDefault="00716977" w:rsidP="00716977">
      <w:pPr>
        <w:autoSpaceDE w:val="0"/>
        <w:autoSpaceDN w:val="0"/>
        <w:adjustRightInd w:val="0"/>
        <w:rPr>
          <w:rFonts w:ascii="Times New Roman" w:hAnsi="Times New Roman"/>
          <w:b/>
          <w:bCs/>
          <w:i/>
          <w:sz w:val="22"/>
          <w:lang w:val="el-GR"/>
        </w:rPr>
      </w:pPr>
      <w:r w:rsidRPr="00397A42">
        <w:rPr>
          <w:rFonts w:ascii="Times New Roman" w:hAnsi="Times New Roman"/>
          <w:b/>
          <w:bCs/>
          <w:i/>
          <w:sz w:val="22"/>
          <w:lang w:val="el-GR"/>
        </w:rPr>
        <w:t>Αιματολογική Τοξικότητα</w:t>
      </w:r>
    </w:p>
    <w:p w:rsidR="00716977" w:rsidRPr="00397A42" w:rsidRDefault="00716977" w:rsidP="00716977">
      <w:pPr>
        <w:pStyle w:val="a6"/>
        <w:rPr>
          <w:rFonts w:ascii="Times New Roman" w:hAnsi="Times New Roman"/>
          <w:b w:val="0"/>
          <w:bCs/>
          <w:sz w:val="22"/>
        </w:rPr>
      </w:pPr>
      <w:r w:rsidRPr="00397A42">
        <w:rPr>
          <w:rFonts w:ascii="Times New Roman" w:hAnsi="Times New Roman"/>
          <w:b w:val="0"/>
          <w:bCs/>
          <w:sz w:val="22"/>
        </w:rPr>
        <w:t>Όπως με άλλους κυτταροτοξικούς παράγοντες, η επιρουβικίνη μπορεί να προκαλέσει μυελοκαταστολή.</w:t>
      </w:r>
    </w:p>
    <w:p w:rsidR="00716977" w:rsidRPr="00397A42" w:rsidRDefault="00716977" w:rsidP="00716977">
      <w:pPr>
        <w:pStyle w:val="a6"/>
        <w:rPr>
          <w:rFonts w:ascii="Times New Roman" w:hAnsi="Times New Roman"/>
          <w:b w:val="0"/>
          <w:sz w:val="22"/>
        </w:rPr>
      </w:pPr>
      <w:r w:rsidRPr="00397A42" w:rsidDel="00A36AEC">
        <w:rPr>
          <w:rFonts w:ascii="Times New Roman" w:hAnsi="Times New Roman"/>
          <w:b w:val="0"/>
          <w:bCs/>
          <w:sz w:val="22"/>
        </w:rPr>
        <w:t xml:space="preserve">Απαιτείται προσεκτική </w:t>
      </w:r>
      <w:r w:rsidRPr="00397A42">
        <w:rPr>
          <w:rFonts w:ascii="Times New Roman" w:hAnsi="Times New Roman"/>
          <w:b w:val="0"/>
          <w:bCs/>
          <w:sz w:val="22"/>
        </w:rPr>
        <w:t xml:space="preserve">αξιολόγηση της αιματολογικής κατάστασης πριν και κατά τη διάρκεια κάθε κύκλου θεραπείας με </w:t>
      </w:r>
      <w:r w:rsidRPr="00397A42">
        <w:rPr>
          <w:rFonts w:ascii="Times New Roman" w:hAnsi="Times New Roman"/>
          <w:b w:val="0"/>
          <w:sz w:val="22"/>
        </w:rPr>
        <w:t>επιρουβικίνη, συμπεριλαμβανομένου του διαφορικού αριθμού των λευκών αιμοσφαιρίων.</w:t>
      </w:r>
    </w:p>
    <w:p w:rsidR="00716977" w:rsidRPr="00397A42" w:rsidRDefault="00716977" w:rsidP="00716977">
      <w:pPr>
        <w:pStyle w:val="a6"/>
        <w:rPr>
          <w:rFonts w:ascii="Times New Roman" w:hAnsi="Times New Roman"/>
          <w:b w:val="0"/>
          <w:sz w:val="22"/>
        </w:rPr>
      </w:pPr>
      <w:r w:rsidRPr="00397A42">
        <w:rPr>
          <w:rFonts w:ascii="Times New Roman" w:hAnsi="Times New Roman"/>
          <w:b w:val="0"/>
          <w:sz w:val="22"/>
        </w:rPr>
        <w:t xml:space="preserve">Μία δοσοεξαρτώμενη αναστρέψιμη λευκοπενία και/ή κοκκιοκυτταροπενία (ουδετεροπενία) είναι η κυρίαρχη εκδήλωση της αιματολογικής τοξικότητας της επιρουβικίνης και είναι η πλέον συχνή οξεία δοσοπεριοριστική τοξικότητα αυτού του φαρμάκου. Η λευκοπενία και η ουδετεροπενία είναι συνήθως πιο σοβαρές με αγωγή υψηλών δόσεων φθάνοντας στις </w:t>
      </w:r>
      <w:r w:rsidRPr="00397A42">
        <w:rPr>
          <w:rFonts w:ascii="Times New Roman" w:hAnsi="Times New Roman"/>
          <w:b w:val="0"/>
          <w:sz w:val="22"/>
        </w:rPr>
        <w:lastRenderedPageBreak/>
        <w:t>περισσότερες περιπτώσεις στο ναδίρ μεταξύ της 10ης και της 14ης ημέρας μετά τη χορήγηση του φαρμάκου. Ωστόσο, αυτό είναι συνήθως παροδικό, με τα λευκά αιμοσφαίρια/ουδετερόφιλα να επανέρχονται σε φυσιολογικές τιμές κατά την 21</w:t>
      </w:r>
      <w:r w:rsidRPr="00397A42">
        <w:rPr>
          <w:rFonts w:ascii="Times New Roman" w:hAnsi="Times New Roman"/>
          <w:b w:val="0"/>
          <w:sz w:val="22"/>
          <w:vertAlign w:val="superscript"/>
        </w:rPr>
        <w:t>η</w:t>
      </w:r>
      <w:r w:rsidRPr="00397A42">
        <w:rPr>
          <w:rFonts w:ascii="Times New Roman" w:hAnsi="Times New Roman"/>
          <w:b w:val="0"/>
          <w:sz w:val="22"/>
        </w:rPr>
        <w:t xml:space="preserve"> μέρα. Μπορεί επίσης να παρουσιαστούν θρομβοπενία και αναιμία. Οι κλινικές επιπτώσεις της σοβαρής μυελοκαταστολής περιλαμβάνουν πυρετό, λοίμωξη, σήψη/σηψαιμία, σηπτική καταπληξία, αιμορραγία, υποξία των ιστών ή θάνατο. </w:t>
      </w:r>
    </w:p>
    <w:p w:rsidR="00716977" w:rsidRPr="00397A42" w:rsidRDefault="00716977" w:rsidP="00716977">
      <w:pPr>
        <w:pStyle w:val="a6"/>
        <w:rPr>
          <w:rFonts w:ascii="Times New Roman" w:hAnsi="Times New Roman"/>
          <w:b w:val="0"/>
          <w:sz w:val="22"/>
        </w:rPr>
      </w:pPr>
    </w:p>
    <w:p w:rsidR="00716977" w:rsidRPr="00397A42" w:rsidDel="00C624FB" w:rsidRDefault="00716977" w:rsidP="00716977">
      <w:pPr>
        <w:pStyle w:val="a6"/>
        <w:rPr>
          <w:rFonts w:ascii="Times New Roman" w:hAnsi="Times New Roman"/>
          <w:bCs/>
          <w:i/>
          <w:sz w:val="22"/>
        </w:rPr>
      </w:pPr>
      <w:r w:rsidRPr="00397A42">
        <w:rPr>
          <w:rFonts w:ascii="Times New Roman" w:hAnsi="Times New Roman"/>
          <w:bCs/>
          <w:i/>
          <w:sz w:val="22"/>
        </w:rPr>
        <w:t>Δευτεροπαθής Λευχαιμία</w:t>
      </w:r>
      <w:r w:rsidRPr="00397A42">
        <w:rPr>
          <w:rFonts w:ascii="Times New Roman" w:hAnsi="Times New Roman"/>
          <w:sz w:val="22"/>
        </w:rPr>
        <w:t xml:space="preserve"> </w:t>
      </w:r>
    </w:p>
    <w:p w:rsidR="00716977" w:rsidRPr="00397A42" w:rsidRDefault="00716977" w:rsidP="00716977">
      <w:pPr>
        <w:pStyle w:val="a6"/>
        <w:rPr>
          <w:rFonts w:ascii="Times New Roman" w:hAnsi="Times New Roman"/>
          <w:b w:val="0"/>
          <w:sz w:val="22"/>
        </w:rPr>
      </w:pPr>
      <w:r w:rsidRPr="00397A42">
        <w:rPr>
          <w:rFonts w:ascii="Times New Roman" w:hAnsi="Times New Roman"/>
          <w:b w:val="0"/>
          <w:sz w:val="22"/>
        </w:rPr>
        <w:t>Δευτεροπαθής λευχαιμία με ή χωρίς προλευχαιμική φάση έχει αναφερθεί σε ασθενείς που ελάμβαναν ανθρακυκλίνες συμπεριλαμβανομέν</w:t>
      </w:r>
      <w:r w:rsidR="00B70C25" w:rsidRPr="00397A42">
        <w:rPr>
          <w:rFonts w:ascii="Times New Roman" w:hAnsi="Times New Roman"/>
          <w:b w:val="0"/>
          <w:sz w:val="22"/>
        </w:rPr>
        <w:t>ης</w:t>
      </w:r>
      <w:r w:rsidRPr="00397A42">
        <w:rPr>
          <w:rFonts w:ascii="Times New Roman" w:hAnsi="Times New Roman"/>
          <w:b w:val="0"/>
          <w:sz w:val="22"/>
        </w:rPr>
        <w:t xml:space="preserve"> της επιρουβικίνης. Η δευτεροπαθής λευχαιμία είναι περισσότερο συχνή όταν αυτά τα φάρμακα χορηγούνται σε συνδυασμό με αντινεοπλασματικούς παράγοντες που προκαλούν βλάβη στο </w:t>
      </w:r>
      <w:r w:rsidRPr="00397A42">
        <w:rPr>
          <w:rFonts w:ascii="Times New Roman" w:hAnsi="Times New Roman"/>
          <w:b w:val="0"/>
          <w:sz w:val="22"/>
          <w:lang w:val="en-US"/>
        </w:rPr>
        <w:t>DNA</w:t>
      </w:r>
      <w:r w:rsidRPr="00397A42">
        <w:rPr>
          <w:rFonts w:ascii="Times New Roman" w:hAnsi="Times New Roman"/>
          <w:b w:val="0"/>
          <w:sz w:val="22"/>
        </w:rPr>
        <w:t>, σε συνδυασμό με ακτινοθεραπεία όταν οι ασθενείς είναι βαρέως προθεραπευμένοι με κυτταροτοξικά φάρμακα ή όταν οι δόσεις των ανθρακυκλινών έχουν αυξηθεί κλιμακωτά. Αυτές οι λευχαιμίες μπορεί να έχουν λανθάνουσα περίοδο 1 έως 3 έτη</w:t>
      </w:r>
      <w:r w:rsidR="00D4614B" w:rsidRPr="00397A42">
        <w:rPr>
          <w:rFonts w:ascii="Times New Roman" w:hAnsi="Times New Roman"/>
          <w:b w:val="0"/>
          <w:sz w:val="22"/>
        </w:rPr>
        <w:t>.</w:t>
      </w:r>
    </w:p>
    <w:p w:rsidR="00716977" w:rsidRPr="00397A42" w:rsidRDefault="00716977" w:rsidP="00716977">
      <w:pPr>
        <w:pStyle w:val="a6"/>
        <w:ind w:left="709"/>
        <w:rPr>
          <w:rFonts w:ascii="Times New Roman" w:hAnsi="Times New Roman"/>
          <w:sz w:val="22"/>
        </w:rPr>
      </w:pPr>
    </w:p>
    <w:p w:rsidR="00716977" w:rsidRPr="00397A42" w:rsidDel="00B66284" w:rsidRDefault="00716977" w:rsidP="00716977">
      <w:pPr>
        <w:pStyle w:val="a6"/>
        <w:rPr>
          <w:rFonts w:ascii="Times New Roman" w:hAnsi="Times New Roman"/>
          <w:bCs/>
          <w:i/>
          <w:sz w:val="22"/>
        </w:rPr>
      </w:pPr>
      <w:r w:rsidRPr="00397A42">
        <w:rPr>
          <w:rFonts w:ascii="Times New Roman" w:hAnsi="Times New Roman"/>
          <w:bCs/>
          <w:i/>
          <w:sz w:val="22"/>
        </w:rPr>
        <w:t>Γαστρεντερικό</w:t>
      </w:r>
      <w:r w:rsidRPr="00397A42">
        <w:rPr>
          <w:rFonts w:ascii="Times New Roman" w:hAnsi="Times New Roman"/>
          <w:sz w:val="22"/>
        </w:rPr>
        <w:t xml:space="preserve"> </w:t>
      </w:r>
    </w:p>
    <w:p w:rsidR="00716977" w:rsidRPr="00397A42" w:rsidRDefault="00716977" w:rsidP="00716977">
      <w:pPr>
        <w:pStyle w:val="a6"/>
        <w:rPr>
          <w:rFonts w:ascii="Times New Roman" w:hAnsi="Times New Roman"/>
          <w:b w:val="0"/>
          <w:sz w:val="22"/>
        </w:rPr>
      </w:pPr>
      <w:r w:rsidRPr="00397A42">
        <w:rPr>
          <w:rFonts w:ascii="Times New Roman" w:hAnsi="Times New Roman"/>
          <w:b w:val="0"/>
          <w:sz w:val="22"/>
        </w:rPr>
        <w:t xml:space="preserve">Η επιρουβικίνη προκαλεί έμετο. Βλεννογονίτιδα/στοματίτιδα εμφανίζεται γενικά σύντομα μετά τη χορήγηση του φαρμάκου και, αν είναι σοβαρή, μπορεί να εξελιχθεί εντός ολίγων ημερών σε εξελκώσεις βλεννογόνου. Οι περισσότεροι ασθενείς ανακάμπτουν από αυτήν την ανεπιθύμητη ενέργεια μέχρι την τρίτη εβδομάδα της θεραπείας. </w:t>
      </w:r>
    </w:p>
    <w:p w:rsidR="002D65EC" w:rsidRPr="00397A42" w:rsidRDefault="002D65EC" w:rsidP="002D65EC">
      <w:pPr>
        <w:jc w:val="both"/>
        <w:rPr>
          <w:rFonts w:ascii="Times New Roman" w:hAnsi="Times New Roman"/>
          <w:sz w:val="22"/>
          <w:szCs w:val="22"/>
          <w:lang w:val="el-GR"/>
        </w:rPr>
      </w:pPr>
    </w:p>
    <w:p w:rsidR="00764DC9" w:rsidRPr="00397A42" w:rsidRDefault="00764DC9" w:rsidP="00764DC9">
      <w:pPr>
        <w:jc w:val="both"/>
        <w:rPr>
          <w:sz w:val="22"/>
          <w:lang w:val="el-GR"/>
        </w:rPr>
      </w:pPr>
      <w:r w:rsidRPr="00397A42">
        <w:rPr>
          <w:b/>
          <w:i/>
          <w:sz w:val="22"/>
          <w:lang w:val="el-GR"/>
        </w:rPr>
        <w:t>Ηπατική Λειτουργία</w:t>
      </w:r>
      <w:r w:rsidRPr="00397A42">
        <w:rPr>
          <w:sz w:val="22"/>
          <w:lang w:val="el-GR"/>
        </w:rPr>
        <w:t xml:space="preserve"> Η κυριότερη οδός αποβολής της επιρουβικίνης είναι το ηπατοχολικό σύστημα.</w:t>
      </w:r>
      <w:r w:rsidR="00B70C25" w:rsidRPr="00397A42">
        <w:rPr>
          <w:sz w:val="22"/>
          <w:lang w:val="el-GR"/>
        </w:rPr>
        <w:t xml:space="preserve"> </w:t>
      </w:r>
      <w:r w:rsidRPr="00397A42">
        <w:rPr>
          <w:sz w:val="22"/>
          <w:lang w:val="el-GR"/>
        </w:rPr>
        <w:t xml:space="preserve">Τα επίπεδα ολικής χολερυθρίνης ορού και τα επίπεδα της </w:t>
      </w:r>
      <w:r w:rsidRPr="00397A42">
        <w:rPr>
          <w:sz w:val="22"/>
        </w:rPr>
        <w:t>AST</w:t>
      </w:r>
      <w:r w:rsidRPr="00397A42">
        <w:rPr>
          <w:sz w:val="22"/>
          <w:lang w:val="el-GR"/>
        </w:rPr>
        <w:t xml:space="preserve"> πρέπει να αξιολογούνται πριν και κατά τη διάρκεια της θεραπείας με επιρουβικίνη. Ασθενείς με αυξημένα επίπεδα χολερυθρίνης ή </w:t>
      </w:r>
      <w:r w:rsidRPr="00397A42">
        <w:rPr>
          <w:sz w:val="22"/>
        </w:rPr>
        <w:t>AST</w:t>
      </w:r>
      <w:r w:rsidRPr="00397A42">
        <w:rPr>
          <w:sz w:val="22"/>
          <w:lang w:val="el-GR"/>
        </w:rPr>
        <w:t xml:space="preserve"> μπορεί να αισθανθούν πιο αργή αποβολή του φαρμάκου με μία αύξηση στη συνολική τοξικότητα. Σε αυτούς τους ασθενείς συνιστώνται χαμηλότερες δόσεις (βλ</w:t>
      </w:r>
      <w:r w:rsidR="006B341F" w:rsidRPr="00397A42">
        <w:rPr>
          <w:sz w:val="22"/>
          <w:lang w:val="el-GR"/>
        </w:rPr>
        <w:t>έπε παράγραφο</w:t>
      </w:r>
      <w:r w:rsidRPr="00397A42">
        <w:rPr>
          <w:sz w:val="22"/>
          <w:lang w:val="el-GR"/>
        </w:rPr>
        <w:t xml:space="preserve"> </w:t>
      </w:r>
      <w:r w:rsidR="006B341F" w:rsidRPr="00397A42">
        <w:rPr>
          <w:b/>
          <w:sz w:val="22"/>
          <w:lang w:val="el-GR"/>
        </w:rPr>
        <w:t>2.6</w:t>
      </w:r>
      <w:r w:rsidRPr="00397A42">
        <w:rPr>
          <w:b/>
          <w:sz w:val="22"/>
          <w:lang w:val="el-GR"/>
        </w:rPr>
        <w:t xml:space="preserve"> Δοσολογία και τρόπος χορήγησης</w:t>
      </w:r>
      <w:r w:rsidR="00D4614B" w:rsidRPr="00397A42">
        <w:rPr>
          <w:sz w:val="22"/>
          <w:lang w:val="el-GR"/>
        </w:rPr>
        <w:t>).</w:t>
      </w:r>
      <w:r w:rsidRPr="00397A42">
        <w:rPr>
          <w:sz w:val="22"/>
          <w:lang w:val="el-GR"/>
        </w:rPr>
        <w:t xml:space="preserve"> Ασθενείς με σοβαρή ηπατική λειτουργία δεν πρέπει να λαμβάνουν </w:t>
      </w:r>
      <w:r w:rsidR="00B70C25" w:rsidRPr="00397A42">
        <w:rPr>
          <w:sz w:val="22"/>
          <w:lang w:val="el-GR"/>
        </w:rPr>
        <w:t>επιρουβικίνη</w:t>
      </w:r>
      <w:r w:rsidRPr="00397A42">
        <w:rPr>
          <w:sz w:val="22"/>
          <w:lang w:val="el-GR"/>
        </w:rPr>
        <w:t xml:space="preserve"> (βλέπε παράγραφο </w:t>
      </w:r>
      <w:r w:rsidR="006B341F" w:rsidRPr="00397A42">
        <w:rPr>
          <w:b/>
          <w:sz w:val="22"/>
          <w:lang w:val="el-GR"/>
        </w:rPr>
        <w:t>2</w:t>
      </w:r>
      <w:r w:rsidRPr="00397A42">
        <w:rPr>
          <w:b/>
          <w:sz w:val="22"/>
          <w:lang w:val="el-GR"/>
        </w:rPr>
        <w:t>.3 Αντενδείξεις</w:t>
      </w:r>
      <w:r w:rsidRPr="00397A42">
        <w:rPr>
          <w:sz w:val="22"/>
          <w:lang w:val="el-GR"/>
        </w:rPr>
        <w:t>). Οι κατευθυντήριες γραμμές που συχνά ακολουθούνται για τη μείωση της δοσολογίας σε καταστάσεις ανεπάρκειας της ηπατικής λειτουργίας βασίζονται στα επίπεδα της χολερυθρίνης στον ορό ως εξής:</w:t>
      </w:r>
    </w:p>
    <w:p w:rsidR="00764DC9" w:rsidRPr="00397A42" w:rsidRDefault="00764DC9" w:rsidP="00764DC9">
      <w:pPr>
        <w:jc w:val="both"/>
        <w:rPr>
          <w:sz w:val="22"/>
          <w:lang w:val="el-GR"/>
        </w:rPr>
      </w:pPr>
    </w:p>
    <w:p w:rsidR="00764DC9" w:rsidRPr="00397A42" w:rsidRDefault="00764DC9" w:rsidP="00764DC9">
      <w:pPr>
        <w:jc w:val="both"/>
        <w:rPr>
          <w:sz w:val="22"/>
          <w:lang w:val="el-GR"/>
        </w:rPr>
      </w:pPr>
      <w:r w:rsidRPr="00397A42">
        <w:rPr>
          <w:sz w:val="22"/>
          <w:lang w:val="el-GR"/>
        </w:rPr>
        <w:t xml:space="preserve">                Χολερυθρίνη στον ορό                   Μείωση της δόσης</w:t>
      </w:r>
    </w:p>
    <w:p w:rsidR="00764DC9" w:rsidRPr="00397A42" w:rsidRDefault="00764DC9" w:rsidP="00764DC9">
      <w:pPr>
        <w:jc w:val="both"/>
        <w:rPr>
          <w:sz w:val="22"/>
          <w:lang w:val="el-GR"/>
        </w:rPr>
      </w:pPr>
      <w:r w:rsidRPr="00397A42">
        <w:rPr>
          <w:sz w:val="22"/>
          <w:lang w:val="el-GR"/>
        </w:rPr>
        <w:t xml:space="preserve">                  1</w:t>
      </w:r>
      <w:r w:rsidR="00DF5D6A" w:rsidRPr="00397A42">
        <w:rPr>
          <w:sz w:val="22"/>
          <w:lang w:val="el-GR"/>
        </w:rPr>
        <w:t>,</w:t>
      </w:r>
      <w:r w:rsidRPr="00397A42">
        <w:rPr>
          <w:sz w:val="22"/>
          <w:lang w:val="el-GR"/>
        </w:rPr>
        <w:t xml:space="preserve">2 - 3.0 </w:t>
      </w:r>
      <w:r w:rsidRPr="00397A42">
        <w:rPr>
          <w:sz w:val="22"/>
        </w:rPr>
        <w:t>mg</w:t>
      </w:r>
      <w:r w:rsidRPr="00397A42">
        <w:rPr>
          <w:sz w:val="22"/>
          <w:lang w:val="el-GR"/>
        </w:rPr>
        <w:t>/100</w:t>
      </w:r>
      <w:proofErr w:type="spellStart"/>
      <w:r w:rsidRPr="00397A42">
        <w:rPr>
          <w:sz w:val="22"/>
        </w:rPr>
        <w:t>mL</w:t>
      </w:r>
      <w:proofErr w:type="spellEnd"/>
      <w:r w:rsidRPr="00397A42">
        <w:rPr>
          <w:sz w:val="22"/>
          <w:lang w:val="el-GR"/>
        </w:rPr>
        <w:t xml:space="preserve">                               50%</w:t>
      </w:r>
    </w:p>
    <w:p w:rsidR="00764DC9" w:rsidRPr="00397A42" w:rsidRDefault="00764DC9" w:rsidP="00764DC9">
      <w:pPr>
        <w:jc w:val="both"/>
        <w:rPr>
          <w:sz w:val="22"/>
          <w:lang w:val="el-GR"/>
        </w:rPr>
      </w:pPr>
      <w:r w:rsidRPr="00397A42">
        <w:rPr>
          <w:sz w:val="22"/>
          <w:lang w:val="el-GR"/>
        </w:rPr>
        <w:t xml:space="preserve">                  3</w:t>
      </w:r>
      <w:r w:rsidR="00DF5D6A" w:rsidRPr="00397A42">
        <w:rPr>
          <w:sz w:val="22"/>
          <w:lang w:val="el-GR"/>
        </w:rPr>
        <w:t>,</w:t>
      </w:r>
      <w:r w:rsidRPr="00397A42">
        <w:rPr>
          <w:sz w:val="22"/>
          <w:lang w:val="el-GR"/>
        </w:rPr>
        <w:t xml:space="preserve">1 - 5.0 </w:t>
      </w:r>
      <w:r w:rsidRPr="00397A42">
        <w:rPr>
          <w:sz w:val="22"/>
        </w:rPr>
        <w:t>mg</w:t>
      </w:r>
      <w:r w:rsidRPr="00397A42">
        <w:rPr>
          <w:sz w:val="22"/>
          <w:lang w:val="el-GR"/>
        </w:rPr>
        <w:t>/100</w:t>
      </w:r>
      <w:proofErr w:type="spellStart"/>
      <w:r w:rsidRPr="00397A42">
        <w:rPr>
          <w:sz w:val="22"/>
        </w:rPr>
        <w:t>mL</w:t>
      </w:r>
      <w:proofErr w:type="spellEnd"/>
      <w:r w:rsidRPr="00397A42">
        <w:rPr>
          <w:sz w:val="22"/>
          <w:lang w:val="el-GR"/>
        </w:rPr>
        <w:t xml:space="preserve">                               75%</w:t>
      </w:r>
    </w:p>
    <w:p w:rsidR="00764DC9" w:rsidRPr="00397A42" w:rsidRDefault="00764DC9" w:rsidP="00764DC9">
      <w:pPr>
        <w:jc w:val="both"/>
        <w:rPr>
          <w:b/>
          <w:i/>
          <w:sz w:val="22"/>
          <w:lang w:val="el-GR"/>
        </w:rPr>
      </w:pPr>
    </w:p>
    <w:p w:rsidR="00764DC9" w:rsidRPr="00397A42" w:rsidRDefault="00764DC9" w:rsidP="00764DC9">
      <w:pPr>
        <w:jc w:val="both"/>
        <w:rPr>
          <w:b/>
          <w:i/>
          <w:sz w:val="22"/>
          <w:lang w:val="el-GR"/>
        </w:rPr>
      </w:pPr>
      <w:r w:rsidRPr="00397A42">
        <w:rPr>
          <w:b/>
          <w:i/>
          <w:sz w:val="22"/>
          <w:lang w:val="el-GR"/>
        </w:rPr>
        <w:t>Νεφρική λειτουργία</w:t>
      </w:r>
    </w:p>
    <w:p w:rsidR="00764DC9" w:rsidRPr="00397A42" w:rsidRDefault="00764DC9" w:rsidP="00764DC9">
      <w:pPr>
        <w:jc w:val="both"/>
        <w:rPr>
          <w:b/>
          <w:sz w:val="22"/>
          <w:lang w:val="el-GR"/>
        </w:rPr>
      </w:pPr>
      <w:r w:rsidRPr="00397A42">
        <w:rPr>
          <w:sz w:val="22"/>
          <w:lang w:val="el-GR"/>
        </w:rPr>
        <w:t xml:space="preserve">Η κρεατινίνη ορού πρέπει να αξιολογείται πριν και κατά τη διάρκεια της θεραπείας. Η προσαρμογή της δοσολογίας είναι απαραίτητη σε ασθενείς με κρεατινίνη ορού &gt;5 </w:t>
      </w:r>
      <w:r w:rsidRPr="00397A42">
        <w:rPr>
          <w:sz w:val="22"/>
        </w:rPr>
        <w:t>mg</w:t>
      </w:r>
      <w:r w:rsidRPr="00397A42">
        <w:rPr>
          <w:sz w:val="22"/>
          <w:lang w:val="el-GR"/>
        </w:rPr>
        <w:t>/</w:t>
      </w:r>
      <w:proofErr w:type="spellStart"/>
      <w:r w:rsidRPr="00397A42">
        <w:rPr>
          <w:sz w:val="22"/>
        </w:rPr>
        <w:t>dL</w:t>
      </w:r>
      <w:proofErr w:type="spellEnd"/>
      <w:r w:rsidRPr="00397A42">
        <w:rPr>
          <w:sz w:val="22"/>
          <w:lang w:val="el-GR"/>
        </w:rPr>
        <w:t xml:space="preserve"> (βλέπε παράγραφο </w:t>
      </w:r>
      <w:r w:rsidR="006B341F" w:rsidRPr="00397A42">
        <w:rPr>
          <w:b/>
          <w:sz w:val="22"/>
          <w:lang w:val="el-GR"/>
        </w:rPr>
        <w:t>2.6</w:t>
      </w:r>
      <w:r w:rsidRPr="00397A42">
        <w:rPr>
          <w:b/>
          <w:sz w:val="22"/>
          <w:lang w:val="el-GR"/>
        </w:rPr>
        <w:t xml:space="preserve"> Δοσολογία και τρόπος χορήγησης</w:t>
      </w:r>
      <w:r w:rsidRPr="00397A42">
        <w:rPr>
          <w:sz w:val="22"/>
          <w:lang w:val="el-GR"/>
        </w:rPr>
        <w:t>).</w:t>
      </w:r>
    </w:p>
    <w:p w:rsidR="00764DC9" w:rsidRPr="00397A42" w:rsidRDefault="00764DC9" w:rsidP="00764DC9">
      <w:pPr>
        <w:jc w:val="both"/>
        <w:rPr>
          <w:b/>
          <w:sz w:val="22"/>
          <w:lang w:val="el-GR"/>
        </w:rPr>
      </w:pPr>
    </w:p>
    <w:p w:rsidR="00764DC9" w:rsidRPr="00397A42" w:rsidDel="00B66284" w:rsidRDefault="00764DC9" w:rsidP="00764DC9">
      <w:pPr>
        <w:rPr>
          <w:rFonts w:ascii="Times New Roman" w:hAnsi="Times New Roman"/>
          <w:b/>
          <w:bCs/>
          <w:i/>
          <w:sz w:val="22"/>
          <w:lang w:val="el-GR"/>
        </w:rPr>
      </w:pPr>
      <w:r w:rsidRPr="00397A42">
        <w:rPr>
          <w:b/>
          <w:bCs/>
          <w:i/>
          <w:sz w:val="22"/>
          <w:lang w:val="el-GR"/>
        </w:rPr>
        <w:t>Επίδραση στη Θ</w:t>
      </w:r>
      <w:r w:rsidRPr="00397A42">
        <w:rPr>
          <w:rFonts w:ascii="Times New Roman" w:hAnsi="Times New Roman"/>
          <w:b/>
          <w:bCs/>
          <w:i/>
          <w:sz w:val="22"/>
          <w:lang w:val="el-GR"/>
        </w:rPr>
        <w:t xml:space="preserve">έση της </w:t>
      </w:r>
      <w:r w:rsidRPr="00397A42">
        <w:rPr>
          <w:b/>
          <w:bCs/>
          <w:i/>
          <w:sz w:val="22"/>
          <w:lang w:val="el-GR"/>
        </w:rPr>
        <w:t>Έ</w:t>
      </w:r>
      <w:r w:rsidRPr="00397A42">
        <w:rPr>
          <w:rFonts w:ascii="Times New Roman" w:hAnsi="Times New Roman"/>
          <w:b/>
          <w:bCs/>
          <w:i/>
          <w:sz w:val="22"/>
          <w:lang w:val="el-GR"/>
        </w:rPr>
        <w:t>νεσης</w:t>
      </w:r>
    </w:p>
    <w:p w:rsidR="00764DC9" w:rsidRPr="00397A42" w:rsidRDefault="00764DC9" w:rsidP="00764DC9">
      <w:pPr>
        <w:jc w:val="both"/>
        <w:rPr>
          <w:b/>
          <w:sz w:val="22"/>
          <w:lang w:val="el-GR"/>
        </w:rPr>
      </w:pPr>
      <w:r w:rsidRPr="00397A42">
        <w:rPr>
          <w:rFonts w:ascii="Times New Roman" w:hAnsi="Times New Roman"/>
          <w:sz w:val="22"/>
          <w:lang w:val="el-GR"/>
        </w:rPr>
        <w:t>Μπορεί να προκληθεί φλεβοσκλήρυνση από ένεση σε μικρό αγγείο ή από προηγούμενες ενέσεις στην ίδια φλέβα. Ο κίνδυνος για φλεβίτιδα/θρομβοφλεβίτιδα στη θέση της ένεσης μπορεί να ελαχιστοποιηθεί αν ακολουθηθεί η διαδικασία χορήγησης που συνιστάται (</w:t>
      </w:r>
      <w:r w:rsidRPr="00397A42">
        <w:rPr>
          <w:sz w:val="22"/>
          <w:lang w:val="el-GR"/>
        </w:rPr>
        <w:t xml:space="preserve">βλέπε παράγραφο </w:t>
      </w:r>
      <w:r w:rsidR="006B341F" w:rsidRPr="00397A42">
        <w:rPr>
          <w:b/>
          <w:sz w:val="22"/>
          <w:lang w:val="el-GR"/>
        </w:rPr>
        <w:t>2.6</w:t>
      </w:r>
      <w:r w:rsidRPr="00397A42">
        <w:rPr>
          <w:b/>
          <w:sz w:val="22"/>
          <w:lang w:val="el-GR"/>
        </w:rPr>
        <w:t xml:space="preserve"> Δοσολογία και τρόπος χορήγησης</w:t>
      </w:r>
      <w:r w:rsidRPr="00397A42">
        <w:rPr>
          <w:sz w:val="22"/>
          <w:lang w:val="el-GR"/>
        </w:rPr>
        <w:t>).</w:t>
      </w:r>
    </w:p>
    <w:p w:rsidR="002D65EC" w:rsidRPr="00397A42" w:rsidRDefault="002D65EC" w:rsidP="002D65EC">
      <w:pPr>
        <w:jc w:val="both"/>
        <w:rPr>
          <w:rFonts w:ascii="Times New Roman" w:hAnsi="Times New Roman"/>
          <w:b/>
          <w:sz w:val="22"/>
          <w:szCs w:val="22"/>
          <w:lang w:val="el-GR"/>
        </w:rPr>
      </w:pPr>
    </w:p>
    <w:p w:rsidR="00235C31" w:rsidRPr="00397A42" w:rsidRDefault="00235C31" w:rsidP="00235C31">
      <w:pPr>
        <w:jc w:val="both"/>
        <w:rPr>
          <w:sz w:val="22"/>
          <w:lang w:val="el-GR"/>
        </w:rPr>
      </w:pPr>
      <w:r w:rsidRPr="00397A42">
        <w:rPr>
          <w:b/>
          <w:i/>
          <w:sz w:val="22"/>
          <w:lang w:val="el-GR"/>
        </w:rPr>
        <w:t>Εξαγγείωση</w:t>
      </w:r>
      <w:r w:rsidRPr="00397A42">
        <w:rPr>
          <w:sz w:val="22"/>
          <w:lang w:val="el-GR"/>
        </w:rPr>
        <w:t xml:space="preserve"> </w:t>
      </w:r>
    </w:p>
    <w:p w:rsidR="00235C31" w:rsidRPr="00397A42" w:rsidRDefault="00235C31" w:rsidP="00235C31">
      <w:pPr>
        <w:jc w:val="both"/>
        <w:rPr>
          <w:sz w:val="22"/>
          <w:lang w:val="el-GR"/>
        </w:rPr>
      </w:pPr>
      <w:r w:rsidRPr="00397A42">
        <w:rPr>
          <w:sz w:val="22"/>
          <w:lang w:val="el-GR"/>
        </w:rPr>
        <w:t>Η εξαγγείωση της επιρουβικίνης</w:t>
      </w:r>
      <w:r w:rsidR="00101B92" w:rsidRPr="00397A42">
        <w:rPr>
          <w:sz w:val="22"/>
          <w:lang w:val="el-GR"/>
        </w:rPr>
        <w:t xml:space="preserve"> </w:t>
      </w:r>
      <w:r w:rsidRPr="00397A42">
        <w:rPr>
          <w:sz w:val="22"/>
          <w:lang w:val="el-GR"/>
        </w:rPr>
        <w:t xml:space="preserve">κατά τη διάρκεια της ενδοφλέβιας ένεσης μπορεί να προκαλέσει τοπικό πόνο, σοβαρές αλλοιώσεις στους ιστούς (φυσσαλιδοποίηση, σοβαρή κυτταρίτιδα) και νέκρωση. Σε περίπτωση που παρατηρηθούν σημεία ή συμπτώματα εξαγγείωσης του φαρμάκου κατά τη διάρκεια της ενδοφλέβιας χορήγησης της επιρουβικίνης, η έγχυση του φαρμάκου  πρέπει να διακοπεί αμέσως. </w:t>
      </w:r>
      <w:r w:rsidR="00FD646E" w:rsidRPr="00397A42">
        <w:rPr>
          <w:sz w:val="22"/>
          <w:lang w:val="el-GR"/>
        </w:rPr>
        <w:t xml:space="preserve">Η ανεπιθύμητη ενέργεια της εξαγγείωσης των ανθρακυκλινών μπορεί να </w:t>
      </w:r>
      <w:r w:rsidR="00FD646E" w:rsidRPr="00397A42">
        <w:rPr>
          <w:sz w:val="22"/>
          <w:u w:val="single"/>
          <w:lang w:val="el-GR"/>
        </w:rPr>
        <w:t>προληφθεί</w:t>
      </w:r>
      <w:r w:rsidR="00FD646E" w:rsidRPr="00397A42">
        <w:rPr>
          <w:sz w:val="22"/>
          <w:lang w:val="el-GR"/>
        </w:rPr>
        <w:t xml:space="preserve"> ή να μειωθεί </w:t>
      </w:r>
      <w:r w:rsidR="009B070A" w:rsidRPr="00397A42">
        <w:rPr>
          <w:sz w:val="22"/>
          <w:lang w:val="el-GR"/>
        </w:rPr>
        <w:t xml:space="preserve">με </w:t>
      </w:r>
      <w:r w:rsidR="00FD646E" w:rsidRPr="00397A42">
        <w:rPr>
          <w:sz w:val="22"/>
          <w:lang w:val="el-GR"/>
        </w:rPr>
        <w:t xml:space="preserve">την </w:t>
      </w:r>
      <w:r w:rsidR="00FD646E" w:rsidRPr="00397A42">
        <w:rPr>
          <w:sz w:val="22"/>
          <w:u w:val="single"/>
          <w:lang w:val="el-GR"/>
        </w:rPr>
        <w:t>άμεση</w:t>
      </w:r>
      <w:r w:rsidR="00FD646E" w:rsidRPr="00397A42">
        <w:rPr>
          <w:sz w:val="22"/>
          <w:lang w:val="el-GR"/>
        </w:rPr>
        <w:t xml:space="preserve"> χρήση </w:t>
      </w:r>
      <w:r w:rsidR="00FD646E" w:rsidRPr="00397A42">
        <w:rPr>
          <w:sz w:val="22"/>
          <w:lang w:val="el-GR"/>
        </w:rPr>
        <w:lastRenderedPageBreak/>
        <w:t xml:space="preserve">συγκεκριμένης θεραπείας π.χ. δεξραζοξάνη (παρακαλώ ανατρέξτε στις σχετικές ετικέτες για χρήση). </w:t>
      </w:r>
      <w:r w:rsidRPr="00397A42">
        <w:rPr>
          <w:sz w:val="22"/>
          <w:lang w:val="el-GR"/>
        </w:rPr>
        <w:t>Ο πόνος του ασθενούς μπορεί να ανακουφισθεί ψύχωντας την περιοχή και διατηρώντας την κρύα</w:t>
      </w:r>
      <w:r w:rsidR="00FD646E" w:rsidRPr="00397A42">
        <w:rPr>
          <w:sz w:val="22"/>
          <w:lang w:val="el-GR"/>
        </w:rPr>
        <w:t>,</w:t>
      </w:r>
      <w:r w:rsidRPr="00397A42">
        <w:rPr>
          <w:sz w:val="22"/>
          <w:lang w:val="el-GR"/>
        </w:rPr>
        <w:t xml:space="preserve"> </w:t>
      </w:r>
      <w:r w:rsidR="00FD646E" w:rsidRPr="00397A42">
        <w:rPr>
          <w:sz w:val="22"/>
          <w:lang w:val="el-GR"/>
        </w:rPr>
        <w:t xml:space="preserve">με χρήση υαλουρονικού οξέος και </w:t>
      </w:r>
      <w:r w:rsidR="00FD646E" w:rsidRPr="00397A42">
        <w:rPr>
          <w:sz w:val="22"/>
        </w:rPr>
        <w:t>DMSO</w:t>
      </w:r>
      <w:r w:rsidRPr="00397A42">
        <w:rPr>
          <w:sz w:val="22"/>
          <w:lang w:val="el-GR"/>
        </w:rPr>
        <w:t>. Ο ασθενής πρέπει να παρακολουθείται προσεχτικά κατά τη διάρκεια της περιόδου που επακολουθεί, καθώς η νέκρωση μπορεί να συμβεί αρκετές εβδομάδες μετά την εξαγγείωση</w:t>
      </w:r>
      <w:r w:rsidR="00FD646E" w:rsidRPr="00397A42">
        <w:rPr>
          <w:sz w:val="22"/>
          <w:lang w:val="el-GR"/>
        </w:rPr>
        <w:t>, π</w:t>
      </w:r>
      <w:r w:rsidRPr="00397A42">
        <w:rPr>
          <w:sz w:val="22"/>
          <w:lang w:val="el-GR"/>
        </w:rPr>
        <w:t>ρέπει να ληφθεί η συμβουλή ενός πλαστικού χειρούργου για πιθανή εκτομή.</w:t>
      </w:r>
    </w:p>
    <w:p w:rsidR="00B70C25" w:rsidRPr="00397A42" w:rsidRDefault="00B70C25" w:rsidP="00235C31">
      <w:pPr>
        <w:jc w:val="both"/>
        <w:rPr>
          <w:sz w:val="22"/>
          <w:lang w:val="el-GR"/>
        </w:rPr>
      </w:pPr>
    </w:p>
    <w:p w:rsidR="00235C31" w:rsidRPr="00397A42" w:rsidDel="00B66284" w:rsidRDefault="00235C31" w:rsidP="00235C31">
      <w:pPr>
        <w:rPr>
          <w:b/>
          <w:bCs/>
          <w:i/>
          <w:sz w:val="22"/>
          <w:lang w:val="el-GR"/>
        </w:rPr>
      </w:pPr>
      <w:r w:rsidRPr="00397A42">
        <w:rPr>
          <w:b/>
          <w:bCs/>
          <w:i/>
          <w:sz w:val="22"/>
          <w:lang w:val="el-GR"/>
        </w:rPr>
        <w:t xml:space="preserve">Άλλα </w:t>
      </w:r>
    </w:p>
    <w:p w:rsidR="00235C31" w:rsidRPr="00397A42" w:rsidRDefault="00235C31" w:rsidP="00235C31">
      <w:pPr>
        <w:rPr>
          <w:sz w:val="22"/>
          <w:lang w:val="el-GR"/>
        </w:rPr>
      </w:pPr>
      <w:r w:rsidRPr="00397A42">
        <w:rPr>
          <w:sz w:val="22"/>
          <w:lang w:val="el-GR"/>
        </w:rPr>
        <w:t>Όπως και με άλλους κυτταροτοξικούς παράγοντες, θρομβοφλεβίτιδα και θρομβοεμβολικά φαινόμενα περιλαμβανομένης της πνευμονικής εμβολής (σε κάποιες περιπτώσεις θανατηφόρα) έχουν αναφερθεί συμπτωματικά με τη χρήση της επιρουβικίνης.</w:t>
      </w:r>
    </w:p>
    <w:p w:rsidR="00235C31" w:rsidRPr="00397A42" w:rsidRDefault="00235C31" w:rsidP="00235C31">
      <w:pPr>
        <w:jc w:val="both"/>
        <w:rPr>
          <w:sz w:val="22"/>
          <w:lang w:val="el-GR"/>
        </w:rPr>
      </w:pPr>
    </w:p>
    <w:p w:rsidR="00235C31" w:rsidRPr="00397A42" w:rsidDel="00B66284" w:rsidRDefault="00F47FDF" w:rsidP="00235C31">
      <w:pPr>
        <w:rPr>
          <w:rFonts w:ascii="Times New Roman" w:hAnsi="Times New Roman"/>
          <w:b/>
          <w:bCs/>
          <w:i/>
          <w:sz w:val="22"/>
          <w:lang w:val="el-GR"/>
        </w:rPr>
      </w:pPr>
      <w:r w:rsidRPr="00397A42">
        <w:rPr>
          <w:rFonts w:ascii="Times New Roman" w:hAnsi="Times New Roman"/>
          <w:b/>
          <w:bCs/>
          <w:i/>
          <w:sz w:val="22"/>
          <w:lang w:val="el-GR"/>
        </w:rPr>
        <w:t>Σύνδρομο λύσης όγκου</w:t>
      </w:r>
    </w:p>
    <w:p w:rsidR="00235C31" w:rsidRPr="00397A42" w:rsidRDefault="00235C31" w:rsidP="00235C31">
      <w:pPr>
        <w:jc w:val="both"/>
        <w:rPr>
          <w:sz w:val="22"/>
          <w:lang w:val="el-GR"/>
        </w:rPr>
      </w:pPr>
      <w:r w:rsidRPr="00397A42">
        <w:rPr>
          <w:sz w:val="22"/>
          <w:lang w:val="el-GR"/>
        </w:rPr>
        <w:t xml:space="preserve">Η επιρουβικίνη μπορεί να προκαλέσει υπερουριχαιμία, ως αποτέλεσμα εκτεταμένου </w:t>
      </w:r>
      <w:r w:rsidR="00FD646E" w:rsidRPr="00397A42">
        <w:rPr>
          <w:sz w:val="22"/>
          <w:lang w:val="el-GR"/>
        </w:rPr>
        <w:t>κατ</w:t>
      </w:r>
      <w:r w:rsidRPr="00397A42">
        <w:rPr>
          <w:sz w:val="22"/>
          <w:lang w:val="el-GR"/>
        </w:rPr>
        <w:t>αβολισμού πουρίνης που συνοδεύει την από το φάρμακο προκληθείσα ταχεία λύση νεοπλασματικών κυττάρων (σύνδρομο λύσης του όγκου). Τα επίπεδα αίματος του ουρικού οξέος, του καλίου, του φωσφ</w:t>
      </w:r>
      <w:r w:rsidR="009975D1" w:rsidRPr="00397A42">
        <w:rPr>
          <w:sz w:val="22"/>
          <w:lang w:val="el-GR"/>
        </w:rPr>
        <w:t>όρου, του</w:t>
      </w:r>
      <w:r w:rsidRPr="00397A42">
        <w:rPr>
          <w:sz w:val="22"/>
          <w:lang w:val="el-GR"/>
        </w:rPr>
        <w:t xml:space="preserve"> ασβεστίου και της κρεατινίνης πρέπει να αξιολογούνται μετά την αρχική θεραπεία. Η ενυδάτωση, η αλκαλοποίηση των ούρων και η </w:t>
      </w:r>
      <w:r w:rsidR="00FD646E" w:rsidRPr="00397A42">
        <w:rPr>
          <w:sz w:val="22"/>
          <w:lang w:val="el-GR"/>
        </w:rPr>
        <w:t>προφύλαξη με αλλοπουρινόλη</w:t>
      </w:r>
      <w:r w:rsidRPr="00397A42">
        <w:rPr>
          <w:sz w:val="22"/>
          <w:lang w:val="el-GR"/>
        </w:rPr>
        <w:t xml:space="preserve"> με σκοπό την αποτροπή της υπερουριχαιμίας μπορούν να ελαχιστοποιήσουν πιθανές επιπλοκές του συνδρόμου λύσης του όγκου.</w:t>
      </w:r>
    </w:p>
    <w:p w:rsidR="00235C31" w:rsidRPr="00397A42" w:rsidRDefault="00235C31" w:rsidP="00235C31">
      <w:pPr>
        <w:jc w:val="both"/>
        <w:rPr>
          <w:sz w:val="22"/>
          <w:lang w:val="el-GR"/>
        </w:rPr>
      </w:pPr>
    </w:p>
    <w:p w:rsidR="00235C31" w:rsidRPr="00397A42" w:rsidRDefault="00235C31" w:rsidP="00235C31">
      <w:pPr>
        <w:jc w:val="both"/>
        <w:rPr>
          <w:i/>
          <w:sz w:val="22"/>
          <w:szCs w:val="22"/>
          <w:lang w:val="el-GR"/>
        </w:rPr>
      </w:pPr>
      <w:r w:rsidRPr="00397A42">
        <w:rPr>
          <w:b/>
          <w:i/>
          <w:sz w:val="22"/>
          <w:szCs w:val="22"/>
          <w:lang w:val="el-GR"/>
        </w:rPr>
        <w:t>Ανοσοκατασταλτικές Επιδράσεις/Αυξημένη Ευαισθησία σε Λοιμώξεις</w:t>
      </w:r>
    </w:p>
    <w:p w:rsidR="00235C31" w:rsidRPr="00397A42" w:rsidRDefault="00235C31" w:rsidP="00235C31">
      <w:pPr>
        <w:rPr>
          <w:sz w:val="22"/>
          <w:lang w:val="el-GR"/>
        </w:rPr>
      </w:pPr>
      <w:r w:rsidRPr="00397A42">
        <w:rPr>
          <w:rFonts w:ascii="Times New Roman" w:hAnsi="Times New Roman"/>
          <w:sz w:val="22"/>
          <w:lang w:val="el-GR"/>
        </w:rPr>
        <w:t xml:space="preserve">Η χορήγηση </w:t>
      </w:r>
      <w:r w:rsidR="002778D4" w:rsidRPr="00397A42">
        <w:rPr>
          <w:rFonts w:ascii="Times New Roman" w:hAnsi="Times New Roman"/>
          <w:sz w:val="22"/>
          <w:lang w:val="el-GR"/>
        </w:rPr>
        <w:t xml:space="preserve">εμβολίων </w:t>
      </w:r>
      <w:r w:rsidRPr="00397A42">
        <w:rPr>
          <w:rFonts w:ascii="Times New Roman" w:hAnsi="Times New Roman"/>
          <w:sz w:val="22"/>
          <w:lang w:val="el-GR"/>
        </w:rPr>
        <w:t>ζώντων ή ζώντων-εξασθενημένων</w:t>
      </w:r>
      <w:r w:rsidR="002778D4" w:rsidRPr="00397A42">
        <w:rPr>
          <w:rFonts w:ascii="Times New Roman" w:hAnsi="Times New Roman"/>
          <w:sz w:val="22"/>
          <w:lang w:val="el-GR"/>
        </w:rPr>
        <w:t xml:space="preserve"> μικροοργανισμών</w:t>
      </w:r>
      <w:r w:rsidRPr="00397A42">
        <w:rPr>
          <w:rFonts w:ascii="Times New Roman" w:hAnsi="Times New Roman"/>
          <w:sz w:val="22"/>
          <w:lang w:val="el-GR"/>
        </w:rPr>
        <w:t xml:space="preserve"> σε ανοσοκατεσταλμένους από χημειοθεραπευτικούς παράγοντε</w:t>
      </w:r>
      <w:r w:rsidRPr="00397A42">
        <w:rPr>
          <w:sz w:val="22"/>
          <w:lang w:val="el-GR"/>
        </w:rPr>
        <w:t>ς ασθενείς περιλαμβανομένης της επιρουβικίνης</w:t>
      </w:r>
      <w:r w:rsidRPr="00397A42">
        <w:rPr>
          <w:rFonts w:ascii="Times New Roman" w:hAnsi="Times New Roman"/>
          <w:sz w:val="22"/>
          <w:lang w:val="el-GR"/>
        </w:rPr>
        <w:t>, μπορεί να οδηγήσει σε σ</w:t>
      </w:r>
      <w:r w:rsidRPr="00397A42">
        <w:rPr>
          <w:sz w:val="22"/>
          <w:lang w:val="el-GR"/>
        </w:rPr>
        <w:t xml:space="preserve">οβαρές ή θανατηφόρες λοιμώξεις (βλέπε παράγραφο </w:t>
      </w:r>
      <w:r w:rsidR="00687057" w:rsidRPr="00397A42">
        <w:rPr>
          <w:sz w:val="22"/>
          <w:lang w:val="el-GR"/>
        </w:rPr>
        <w:t>2.5</w:t>
      </w:r>
      <w:r w:rsidRPr="00397A42">
        <w:rPr>
          <w:sz w:val="22"/>
          <w:lang w:val="el-GR"/>
        </w:rPr>
        <w:t>).</w:t>
      </w:r>
      <w:r w:rsidR="00FD646E" w:rsidRPr="00397A42">
        <w:rPr>
          <w:sz w:val="22"/>
          <w:lang w:val="el-GR"/>
        </w:rPr>
        <w:t xml:space="preserve"> </w:t>
      </w:r>
      <w:r w:rsidR="002778D4" w:rsidRPr="00397A42">
        <w:rPr>
          <w:sz w:val="22"/>
          <w:lang w:val="el-GR"/>
        </w:rPr>
        <w:t>Ο ε</w:t>
      </w:r>
      <w:r w:rsidR="00FD646E" w:rsidRPr="00397A42">
        <w:rPr>
          <w:sz w:val="22"/>
          <w:lang w:val="el-GR"/>
        </w:rPr>
        <w:t xml:space="preserve">μβολιασμός με </w:t>
      </w:r>
      <w:r w:rsidR="002778D4" w:rsidRPr="00397A42">
        <w:rPr>
          <w:sz w:val="22"/>
          <w:lang w:val="el-GR"/>
        </w:rPr>
        <w:t xml:space="preserve">εμβόλιο </w:t>
      </w:r>
      <w:r w:rsidR="00FD646E" w:rsidRPr="00397A42">
        <w:rPr>
          <w:sz w:val="22"/>
          <w:lang w:val="el-GR"/>
        </w:rPr>
        <w:t>ζ</w:t>
      </w:r>
      <w:r w:rsidR="002778D4" w:rsidRPr="00397A42">
        <w:rPr>
          <w:sz w:val="22"/>
          <w:lang w:val="el-GR"/>
        </w:rPr>
        <w:t>ώ</w:t>
      </w:r>
      <w:r w:rsidR="00FD646E" w:rsidRPr="00397A42">
        <w:rPr>
          <w:sz w:val="22"/>
          <w:lang w:val="el-GR"/>
        </w:rPr>
        <w:t>ντ</w:t>
      </w:r>
      <w:r w:rsidR="002778D4" w:rsidRPr="00397A42">
        <w:rPr>
          <w:sz w:val="22"/>
          <w:lang w:val="el-GR"/>
        </w:rPr>
        <w:t>ος μικροοργανισμού</w:t>
      </w:r>
      <w:r w:rsidR="00FD646E" w:rsidRPr="00397A42">
        <w:rPr>
          <w:sz w:val="22"/>
          <w:lang w:val="el-GR"/>
        </w:rPr>
        <w:t xml:space="preserve"> πρέπει να αποφεύγεται σε ασθενείς που λαμβάνουν επιρουβικίνη. Μπορεί να χορηγηθούν </w:t>
      </w:r>
      <w:r w:rsidR="0091448F" w:rsidRPr="00397A42">
        <w:rPr>
          <w:sz w:val="22"/>
          <w:lang w:val="el-GR"/>
        </w:rPr>
        <w:t xml:space="preserve">εμβόλια </w:t>
      </w:r>
      <w:r w:rsidR="00FD646E" w:rsidRPr="00397A42">
        <w:rPr>
          <w:sz w:val="22"/>
          <w:lang w:val="el-GR"/>
        </w:rPr>
        <w:t>νεκρ</w:t>
      </w:r>
      <w:r w:rsidR="0091448F" w:rsidRPr="00397A42">
        <w:rPr>
          <w:sz w:val="22"/>
          <w:lang w:val="el-GR"/>
        </w:rPr>
        <w:t>ών</w:t>
      </w:r>
      <w:r w:rsidR="00FD646E" w:rsidRPr="00397A42">
        <w:rPr>
          <w:sz w:val="22"/>
          <w:lang w:val="el-GR"/>
        </w:rPr>
        <w:t xml:space="preserve"> ή αδρανοποιημέν</w:t>
      </w:r>
      <w:r w:rsidR="0091448F" w:rsidRPr="00397A42">
        <w:rPr>
          <w:sz w:val="22"/>
          <w:lang w:val="el-GR"/>
        </w:rPr>
        <w:t xml:space="preserve">ων </w:t>
      </w:r>
      <w:r w:rsidR="0091448F" w:rsidRPr="00397A42">
        <w:rPr>
          <w:rFonts w:ascii="Times New Roman" w:hAnsi="Times New Roman"/>
          <w:sz w:val="22"/>
          <w:lang w:val="el-GR"/>
        </w:rPr>
        <w:t>μικροοργανισμών</w:t>
      </w:r>
      <w:r w:rsidR="00FD646E" w:rsidRPr="00397A42">
        <w:rPr>
          <w:sz w:val="22"/>
          <w:lang w:val="el-GR"/>
        </w:rPr>
        <w:t>. Ωστόσο η ανταπόκριση σε τέτοια εμβόλια μπορεί να είναι μειωμένη.</w:t>
      </w:r>
    </w:p>
    <w:p w:rsidR="00235C31" w:rsidRPr="00397A42" w:rsidRDefault="00235C31" w:rsidP="00235C31">
      <w:pPr>
        <w:rPr>
          <w:sz w:val="22"/>
          <w:szCs w:val="22"/>
          <w:lang w:val="el-GR"/>
        </w:rPr>
      </w:pPr>
    </w:p>
    <w:p w:rsidR="00235C31" w:rsidRPr="00397A42" w:rsidRDefault="00235C31" w:rsidP="00235C31">
      <w:pPr>
        <w:rPr>
          <w:b/>
          <w:bCs/>
          <w:i/>
          <w:sz w:val="22"/>
          <w:lang w:val="el-GR"/>
        </w:rPr>
      </w:pPr>
      <w:r w:rsidRPr="00397A42">
        <w:rPr>
          <w:rFonts w:ascii="Times New Roman" w:hAnsi="Times New Roman"/>
          <w:b/>
          <w:bCs/>
          <w:i/>
          <w:sz w:val="22"/>
          <w:lang w:val="el-GR"/>
        </w:rPr>
        <w:t>Αναπαραγωγικό σύστημα</w:t>
      </w:r>
    </w:p>
    <w:p w:rsidR="002D65EC" w:rsidRPr="00397A42" w:rsidRDefault="00235C31" w:rsidP="002D65EC">
      <w:pPr>
        <w:jc w:val="both"/>
        <w:rPr>
          <w:rFonts w:ascii="Times New Roman" w:hAnsi="Times New Roman"/>
          <w:sz w:val="22"/>
          <w:szCs w:val="22"/>
          <w:lang w:val="el-GR"/>
        </w:rPr>
      </w:pPr>
      <w:r w:rsidRPr="00397A42">
        <w:rPr>
          <w:sz w:val="22"/>
          <w:lang w:val="el-GR"/>
        </w:rPr>
        <w:t>Η επιρουβικίνη μπορε</w:t>
      </w:r>
      <w:r w:rsidR="0091448F" w:rsidRPr="00397A42">
        <w:rPr>
          <w:sz w:val="22"/>
          <w:lang w:val="el-GR"/>
        </w:rPr>
        <w:t>ί να προκαλέσει γο</w:t>
      </w:r>
      <w:r w:rsidRPr="00397A42">
        <w:rPr>
          <w:sz w:val="22"/>
          <w:lang w:val="el-GR"/>
        </w:rPr>
        <w:t>νοτοξικότητα. Ά</w:t>
      </w:r>
      <w:r w:rsidRPr="00397A42">
        <w:rPr>
          <w:rFonts w:ascii="Times New Roman" w:hAnsi="Times New Roman"/>
          <w:sz w:val="22"/>
          <w:lang w:val="el-GR"/>
        </w:rPr>
        <w:t xml:space="preserve">νδρες </w:t>
      </w:r>
      <w:r w:rsidRPr="00397A42">
        <w:rPr>
          <w:sz w:val="22"/>
          <w:lang w:val="el-GR"/>
        </w:rPr>
        <w:t>και γυναίκες σε</w:t>
      </w:r>
      <w:r w:rsidRPr="00397A42">
        <w:rPr>
          <w:rFonts w:ascii="Times New Roman" w:hAnsi="Times New Roman"/>
          <w:sz w:val="22"/>
          <w:lang w:val="el-GR"/>
        </w:rPr>
        <w:t xml:space="preserve"> θεραπεία με </w:t>
      </w:r>
      <w:r w:rsidRPr="00397A42">
        <w:rPr>
          <w:sz w:val="22"/>
          <w:lang w:val="el-GR"/>
        </w:rPr>
        <w:t>επιρουβικίνη πρέπει</w:t>
      </w:r>
      <w:r w:rsidRPr="00397A42">
        <w:rPr>
          <w:rFonts w:ascii="Times New Roman" w:hAnsi="Times New Roman"/>
          <w:sz w:val="22"/>
          <w:lang w:val="el-GR"/>
        </w:rPr>
        <w:t xml:space="preserve"> να λαμβάνουν</w:t>
      </w:r>
      <w:r w:rsidRPr="00397A42">
        <w:rPr>
          <w:sz w:val="22"/>
          <w:lang w:val="el-GR"/>
        </w:rPr>
        <w:t xml:space="preserve"> κατάλληλα αντισυλληπτικά μέτρα. Οι ασθενείς που επιθυμούν να κάνουν παιδιά μετά την ολοκλήρωση της θεραπείας, πρέπει να  λάβουν γενετική συμβουλευτική, </w:t>
      </w:r>
      <w:r w:rsidRPr="00397A42">
        <w:rPr>
          <w:rFonts w:ascii="Times New Roman" w:hAnsi="Times New Roman"/>
          <w:sz w:val="22"/>
          <w:lang w:val="el-GR"/>
        </w:rPr>
        <w:t>εάν αυτό κριθεί κατάλληλο και υπάρχει η δυνατότητα.</w:t>
      </w:r>
    </w:p>
    <w:p w:rsidR="00F43A0C" w:rsidRPr="00397A42" w:rsidRDefault="00F43A0C" w:rsidP="00F43A0C">
      <w:pPr>
        <w:jc w:val="both"/>
        <w:rPr>
          <w:sz w:val="22"/>
          <w:lang w:val="el-GR"/>
        </w:rPr>
      </w:pPr>
    </w:p>
    <w:p w:rsidR="00F43A0C" w:rsidRPr="00397A42" w:rsidRDefault="00F43A0C" w:rsidP="00F43A0C">
      <w:pPr>
        <w:jc w:val="both"/>
        <w:rPr>
          <w:b/>
          <w:sz w:val="22"/>
          <w:u w:val="single"/>
          <w:lang w:val="el-GR"/>
        </w:rPr>
      </w:pPr>
      <w:r w:rsidRPr="00397A42">
        <w:rPr>
          <w:b/>
          <w:sz w:val="22"/>
          <w:u w:val="single"/>
          <w:lang w:val="el-GR"/>
        </w:rPr>
        <w:t>Επιπρόσθετες Προειδοποιήσεις και Προφυλάξεις για Άλλες Οδούς Χορήγησης</w:t>
      </w:r>
    </w:p>
    <w:p w:rsidR="00F43A0C" w:rsidRPr="00397A42" w:rsidRDefault="00F43A0C" w:rsidP="00F43A0C">
      <w:pPr>
        <w:jc w:val="both"/>
        <w:rPr>
          <w:b/>
          <w:sz w:val="22"/>
          <w:u w:val="single"/>
          <w:lang w:val="el-GR"/>
        </w:rPr>
      </w:pPr>
    </w:p>
    <w:p w:rsidR="00F43A0C" w:rsidRPr="00397A42" w:rsidRDefault="00F43A0C" w:rsidP="00F43A0C">
      <w:pPr>
        <w:jc w:val="both"/>
        <w:rPr>
          <w:b/>
          <w:sz w:val="22"/>
          <w:u w:val="single"/>
          <w:lang w:val="el-GR"/>
        </w:rPr>
      </w:pPr>
      <w:r w:rsidRPr="00397A42">
        <w:rPr>
          <w:b/>
          <w:sz w:val="22"/>
          <w:u w:val="single"/>
          <w:lang w:val="el-GR"/>
        </w:rPr>
        <w:t>Ενδοκυστική οδός</w:t>
      </w:r>
    </w:p>
    <w:p w:rsidR="00F43A0C" w:rsidRPr="00397A42" w:rsidRDefault="00F43A0C" w:rsidP="00F43A0C">
      <w:pPr>
        <w:jc w:val="both"/>
        <w:rPr>
          <w:sz w:val="22"/>
          <w:lang w:val="el-GR"/>
        </w:rPr>
      </w:pPr>
      <w:r w:rsidRPr="00397A42">
        <w:rPr>
          <w:sz w:val="22"/>
          <w:lang w:val="el-GR"/>
        </w:rPr>
        <w:t>Η χορήγηση της επιρουβικίνης μπορεί να προκαλέσει συμπτώματα χημικής κυστίτιδας (όπως δυσουρία, πολυουρία, νυκτουρία, στραγγουρία (επώδυνη και περιορισμένη ούρηση), αιματουρία, ενόχληση ουροδόχου κύστης, νέκρωση του τοιχώματος της ουροδόχου κύστης), σύσπαση της ουροδόχου κύστης. Απαιτείται ιδιαίτερη προσοχή για προβλήματα καθετηριασμού (π.χ</w:t>
      </w:r>
      <w:r w:rsidR="00750F20" w:rsidRPr="00397A42">
        <w:rPr>
          <w:sz w:val="22"/>
          <w:lang w:val="el-GR"/>
        </w:rPr>
        <w:t>.</w:t>
      </w:r>
      <w:r w:rsidRPr="00397A42">
        <w:rPr>
          <w:sz w:val="22"/>
          <w:lang w:val="el-GR"/>
        </w:rPr>
        <w:t xml:space="preserve"> απόφραξη ουρήθρας λόγω εκτεταμένων ενδοκυστικών όγκων).</w:t>
      </w:r>
    </w:p>
    <w:p w:rsidR="00F43A0C" w:rsidRPr="00397A42" w:rsidRDefault="00F43A0C" w:rsidP="00F43A0C">
      <w:pPr>
        <w:jc w:val="both"/>
        <w:rPr>
          <w:b/>
          <w:sz w:val="22"/>
          <w:lang w:val="el-GR"/>
        </w:rPr>
      </w:pPr>
    </w:p>
    <w:p w:rsidR="00F43A0C" w:rsidRPr="00397A42" w:rsidRDefault="00F43A0C" w:rsidP="00F43A0C">
      <w:pPr>
        <w:jc w:val="both"/>
        <w:rPr>
          <w:b/>
          <w:sz w:val="22"/>
          <w:lang w:val="el-GR"/>
        </w:rPr>
      </w:pPr>
      <w:r w:rsidRPr="00397A42">
        <w:rPr>
          <w:b/>
          <w:sz w:val="22"/>
          <w:lang w:val="el-GR"/>
        </w:rPr>
        <w:t>Ενδοαρτηριακή οδός</w:t>
      </w:r>
    </w:p>
    <w:p w:rsidR="00F43A0C" w:rsidRPr="00397A42" w:rsidRDefault="00F43A0C" w:rsidP="00F43A0C">
      <w:pPr>
        <w:jc w:val="both"/>
        <w:rPr>
          <w:sz w:val="22"/>
          <w:lang w:val="el-GR"/>
        </w:rPr>
      </w:pPr>
      <w:r w:rsidRPr="00397A42">
        <w:rPr>
          <w:sz w:val="22"/>
          <w:lang w:val="el-GR"/>
        </w:rPr>
        <w:t xml:space="preserve">Η ενδοαρτηριακή χορήγηση της επιρουβικίνης ( αρτηριακός εμβολιασμός </w:t>
      </w:r>
      <w:r w:rsidR="009975D1" w:rsidRPr="00397A42">
        <w:rPr>
          <w:sz w:val="22"/>
          <w:lang w:val="el-GR"/>
        </w:rPr>
        <w:t xml:space="preserve">με χρήση καθετήρα </w:t>
      </w:r>
      <w:r w:rsidRPr="00397A42">
        <w:rPr>
          <w:sz w:val="22"/>
          <w:lang w:val="el-GR"/>
        </w:rPr>
        <w:t xml:space="preserve">για τις εντοπισμένες ή </w:t>
      </w:r>
      <w:r w:rsidR="009975D1" w:rsidRPr="00397A42">
        <w:rPr>
          <w:sz w:val="22"/>
          <w:lang w:val="el-GR"/>
        </w:rPr>
        <w:t xml:space="preserve">τις περιοχικές </w:t>
      </w:r>
      <w:r w:rsidRPr="00397A42">
        <w:rPr>
          <w:sz w:val="22"/>
          <w:lang w:val="el-GR"/>
        </w:rPr>
        <w:t xml:space="preserve"> θεραπείες </w:t>
      </w:r>
      <w:r w:rsidR="009975D1" w:rsidRPr="00397A42">
        <w:rPr>
          <w:sz w:val="22"/>
          <w:lang w:val="el-GR"/>
        </w:rPr>
        <w:t xml:space="preserve">του </w:t>
      </w:r>
      <w:r w:rsidRPr="00397A42">
        <w:rPr>
          <w:sz w:val="22"/>
          <w:lang w:val="el-GR"/>
        </w:rPr>
        <w:t>πρωτοπαθούς ηπατοκυτταρικού καρκίνου ή ηπατικ</w:t>
      </w:r>
      <w:r w:rsidR="009975D1" w:rsidRPr="00397A42">
        <w:rPr>
          <w:sz w:val="22"/>
          <w:lang w:val="el-GR"/>
        </w:rPr>
        <w:t>ών</w:t>
      </w:r>
      <w:r w:rsidRPr="00397A42">
        <w:rPr>
          <w:sz w:val="22"/>
          <w:lang w:val="el-GR"/>
        </w:rPr>
        <w:t xml:space="preserve"> μεταστάσε</w:t>
      </w:r>
      <w:r w:rsidR="009975D1" w:rsidRPr="00397A42">
        <w:rPr>
          <w:sz w:val="22"/>
          <w:lang w:val="el-GR"/>
        </w:rPr>
        <w:t>ων</w:t>
      </w:r>
      <w:r w:rsidRPr="00397A42">
        <w:rPr>
          <w:sz w:val="22"/>
          <w:lang w:val="el-GR"/>
        </w:rPr>
        <w:t>) ίσως προκαλέσει (</w:t>
      </w:r>
      <w:r w:rsidR="009975D1" w:rsidRPr="00397A42">
        <w:rPr>
          <w:sz w:val="22"/>
          <w:lang w:val="el-GR"/>
        </w:rPr>
        <w:t>επιπρόσθετατης</w:t>
      </w:r>
      <w:r w:rsidRPr="00397A42">
        <w:rPr>
          <w:sz w:val="22"/>
          <w:lang w:val="el-GR"/>
        </w:rPr>
        <w:t xml:space="preserve"> συστηματική</w:t>
      </w:r>
      <w:r w:rsidR="009975D1" w:rsidRPr="00397A42">
        <w:rPr>
          <w:sz w:val="22"/>
          <w:lang w:val="el-GR"/>
        </w:rPr>
        <w:t>ς</w:t>
      </w:r>
      <w:r w:rsidRPr="00397A42">
        <w:rPr>
          <w:sz w:val="22"/>
          <w:lang w:val="el-GR"/>
        </w:rPr>
        <w:t xml:space="preserve"> τοξικότητα</w:t>
      </w:r>
      <w:r w:rsidR="009975D1" w:rsidRPr="00397A42">
        <w:rPr>
          <w:sz w:val="22"/>
          <w:lang w:val="el-GR"/>
        </w:rPr>
        <w:t>ς</w:t>
      </w:r>
      <w:r w:rsidRPr="00397A42">
        <w:rPr>
          <w:sz w:val="22"/>
          <w:lang w:val="el-GR"/>
        </w:rPr>
        <w:t xml:space="preserve"> </w:t>
      </w:r>
      <w:r w:rsidR="009975D1" w:rsidRPr="00397A42">
        <w:rPr>
          <w:sz w:val="22"/>
          <w:lang w:val="el-GR"/>
        </w:rPr>
        <w:t xml:space="preserve">ποιοτικά </w:t>
      </w:r>
      <w:r w:rsidRPr="00397A42">
        <w:rPr>
          <w:sz w:val="22"/>
          <w:lang w:val="el-GR"/>
        </w:rPr>
        <w:t xml:space="preserve"> παρόμοια με αυτή που παρατηρείται μετά </w:t>
      </w:r>
      <w:r w:rsidR="009975D1" w:rsidRPr="00397A42">
        <w:rPr>
          <w:sz w:val="22"/>
          <w:lang w:val="el-GR"/>
        </w:rPr>
        <w:t xml:space="preserve">από </w:t>
      </w:r>
      <w:r w:rsidRPr="00397A42">
        <w:rPr>
          <w:sz w:val="22"/>
          <w:lang w:val="el-GR"/>
        </w:rPr>
        <w:t>ενδοφλέβια χορήγηση της επιρουβικίνης) εντοπισμέν</w:t>
      </w:r>
      <w:r w:rsidR="009975D1" w:rsidRPr="00397A42">
        <w:rPr>
          <w:sz w:val="22"/>
          <w:lang w:val="el-GR"/>
        </w:rPr>
        <w:t>ες</w:t>
      </w:r>
      <w:r w:rsidRPr="00397A42">
        <w:rPr>
          <w:sz w:val="22"/>
          <w:lang w:val="el-GR"/>
        </w:rPr>
        <w:t xml:space="preserve"> ή </w:t>
      </w:r>
      <w:r w:rsidR="009975D1" w:rsidRPr="00397A42">
        <w:rPr>
          <w:sz w:val="22"/>
          <w:lang w:val="el-GR"/>
        </w:rPr>
        <w:t>περιοχικές</w:t>
      </w:r>
      <w:r w:rsidRPr="00397A42">
        <w:rPr>
          <w:sz w:val="22"/>
          <w:lang w:val="el-GR"/>
        </w:rPr>
        <w:t xml:space="preserve"> </w:t>
      </w:r>
      <w:r w:rsidR="009975D1" w:rsidRPr="00397A42">
        <w:rPr>
          <w:sz w:val="22"/>
          <w:lang w:val="el-GR"/>
        </w:rPr>
        <w:t>βλάβες</w:t>
      </w:r>
      <w:r w:rsidRPr="00397A42">
        <w:rPr>
          <w:sz w:val="22"/>
          <w:lang w:val="el-GR"/>
        </w:rPr>
        <w:t xml:space="preserve"> που συμπεριλαμβάνουν γαστροδωδεκαδακτυλικ</w:t>
      </w:r>
      <w:r w:rsidR="00750F20" w:rsidRPr="00397A42">
        <w:rPr>
          <w:sz w:val="22"/>
          <w:lang w:val="el-GR"/>
        </w:rPr>
        <w:t>ό</w:t>
      </w:r>
      <w:r w:rsidRPr="00397A42">
        <w:rPr>
          <w:sz w:val="22"/>
          <w:lang w:val="el-GR"/>
        </w:rPr>
        <w:t xml:space="preserve"> έλκος (πιθαν</w:t>
      </w:r>
      <w:r w:rsidR="009975D1" w:rsidRPr="00397A42">
        <w:rPr>
          <w:sz w:val="22"/>
          <w:lang w:val="el-GR"/>
        </w:rPr>
        <w:t>ώς</w:t>
      </w:r>
      <w:r w:rsidRPr="00397A42">
        <w:rPr>
          <w:sz w:val="22"/>
          <w:lang w:val="el-GR"/>
        </w:rPr>
        <w:t xml:space="preserve"> λόγω της παλινδρόμησης των φαρμακευτικών ουσιών στη γαστρική αρτηρία) και στένωση των χοληφόρων πόρων λόγω της σκληρωτικής χολαγγειίτιδας που προκαλείται από το φάρμακο. Αυτή η οδός χορήγησης μπορεί να οδηγήσει σε εκτεταμένη νέκρωση του αιματούμενου ιστού.</w:t>
      </w:r>
    </w:p>
    <w:p w:rsidR="00F43A0C" w:rsidRPr="00397A42" w:rsidRDefault="00F43A0C" w:rsidP="00F43A0C">
      <w:pPr>
        <w:jc w:val="both"/>
        <w:rPr>
          <w:b/>
          <w:sz w:val="22"/>
          <w:lang w:val="el-GR"/>
        </w:rPr>
      </w:pPr>
    </w:p>
    <w:p w:rsidR="00F43A0C" w:rsidRPr="00397A42" w:rsidRDefault="00F43A0C" w:rsidP="00F43A0C">
      <w:pPr>
        <w:jc w:val="both"/>
        <w:rPr>
          <w:b/>
          <w:sz w:val="22"/>
          <w:lang w:val="el-GR"/>
        </w:rPr>
      </w:pPr>
      <w:r w:rsidRPr="00397A42">
        <w:rPr>
          <w:b/>
          <w:sz w:val="22"/>
          <w:lang w:val="el-GR"/>
        </w:rPr>
        <w:t>Έκδοχα</w:t>
      </w:r>
    </w:p>
    <w:p w:rsidR="00F43A0C" w:rsidRPr="00397A42" w:rsidRDefault="00F43A0C" w:rsidP="00F43A0C">
      <w:pPr>
        <w:jc w:val="both"/>
        <w:rPr>
          <w:sz w:val="22"/>
          <w:lang w:val="el-GR"/>
        </w:rPr>
      </w:pPr>
      <w:r w:rsidRPr="00397A42">
        <w:rPr>
          <w:sz w:val="22"/>
          <w:lang w:val="el-GR"/>
        </w:rPr>
        <w:t xml:space="preserve">Η επιρουβικίνη, κόνις για ενέσιμο διάλυμα, περιέχει </w:t>
      </w:r>
      <w:r w:rsidRPr="00397A42">
        <w:rPr>
          <w:sz w:val="22"/>
        </w:rPr>
        <w:t>methyl</w:t>
      </w:r>
      <w:r w:rsidRPr="00397A42">
        <w:rPr>
          <w:sz w:val="22"/>
          <w:lang w:val="el-GR"/>
        </w:rPr>
        <w:t xml:space="preserve"> </w:t>
      </w:r>
      <w:proofErr w:type="spellStart"/>
      <w:r w:rsidRPr="00397A42">
        <w:rPr>
          <w:sz w:val="22"/>
        </w:rPr>
        <w:t>parahydroxybenzoate</w:t>
      </w:r>
      <w:proofErr w:type="spellEnd"/>
      <w:r w:rsidRPr="00397A42">
        <w:rPr>
          <w:sz w:val="22"/>
          <w:lang w:val="el-GR"/>
        </w:rPr>
        <w:t>. Αυτό μπορεί να προκαλέσει αλλεργικές αντιδράσεις (που μπορεί να εμφανιστούν μετά τη θεραπεία) και σε σπάνιες περιπτώσεις, αναπνευστικές δυσκολίες.</w:t>
      </w:r>
    </w:p>
    <w:p w:rsidR="00F43A0C" w:rsidRPr="00397A42" w:rsidRDefault="00F43A0C" w:rsidP="00F43A0C">
      <w:pPr>
        <w:jc w:val="both"/>
        <w:rPr>
          <w:sz w:val="22"/>
          <w:lang w:val="el-GR"/>
        </w:rPr>
      </w:pPr>
    </w:p>
    <w:p w:rsidR="00192B54" w:rsidRPr="00397A42" w:rsidRDefault="005A6C47" w:rsidP="00A6204E">
      <w:pPr>
        <w:keepNext/>
        <w:spacing w:line="240" w:lineRule="atLeast"/>
        <w:rPr>
          <w:rFonts w:ascii="Times New Roman" w:hAnsi="Times New Roman"/>
          <w:sz w:val="22"/>
          <w:szCs w:val="22"/>
          <w:lang w:val="el-GR"/>
        </w:rPr>
      </w:pPr>
      <w:r w:rsidRPr="00397A42">
        <w:rPr>
          <w:rFonts w:ascii="Times New Roman" w:hAnsi="Times New Roman"/>
          <w:b/>
          <w:sz w:val="22"/>
          <w:szCs w:val="22"/>
          <w:lang w:val="el-GR"/>
        </w:rPr>
        <w:t xml:space="preserve">2.4.2 </w:t>
      </w:r>
      <w:r w:rsidR="00192B54" w:rsidRPr="00397A42">
        <w:rPr>
          <w:rFonts w:ascii="Times New Roman" w:hAnsi="Times New Roman"/>
          <w:b/>
          <w:sz w:val="22"/>
          <w:szCs w:val="22"/>
          <w:lang w:val="el-GR"/>
        </w:rPr>
        <w:t xml:space="preserve">Κύηση και γαλουχία </w:t>
      </w:r>
    </w:p>
    <w:p w:rsidR="00DC1F84" w:rsidRPr="00397A42" w:rsidRDefault="00DC1F84" w:rsidP="00A6204E">
      <w:pPr>
        <w:keepNext/>
        <w:jc w:val="both"/>
        <w:rPr>
          <w:b/>
          <w:sz w:val="22"/>
          <w:lang w:val="el-GR"/>
        </w:rPr>
      </w:pPr>
      <w:r w:rsidRPr="00397A42">
        <w:rPr>
          <w:b/>
          <w:sz w:val="22"/>
          <w:lang w:val="el-GR"/>
        </w:rPr>
        <w:t>Διαταραχή της Γονιμότητας</w:t>
      </w:r>
    </w:p>
    <w:p w:rsidR="00DC1F84" w:rsidRPr="00397A42" w:rsidRDefault="00DC1F84" w:rsidP="00DC1F84">
      <w:pPr>
        <w:jc w:val="both"/>
        <w:rPr>
          <w:sz w:val="22"/>
          <w:lang w:val="el-GR"/>
        </w:rPr>
      </w:pPr>
      <w:r w:rsidRPr="00397A42">
        <w:rPr>
          <w:sz w:val="22"/>
          <w:lang w:val="el-GR"/>
        </w:rPr>
        <w:t>Η επιρουβικίνη μπορεί να προκαλέσει χρωμοσομική βλάβη στα ανθρώπινα σπερματοζωάρια. Οι άντρες που υποβάλλονται σε θεραπεία με επιρουβικίνη πρέπει να χρησιμοποιούν αποτελεσματικές μεθόδους αντισύλληψης</w:t>
      </w:r>
      <w:r w:rsidR="00F47FDF" w:rsidRPr="00397A42">
        <w:rPr>
          <w:sz w:val="22"/>
          <w:lang w:val="el-GR"/>
        </w:rPr>
        <w:t>,</w:t>
      </w:r>
      <w:r w:rsidRPr="00397A42">
        <w:rPr>
          <w:sz w:val="22"/>
          <w:lang w:val="el-GR"/>
        </w:rPr>
        <w:t xml:space="preserve"> και εάν κριθεί κατάλληλο και υπάρχει η δυνατότητα, να ζητήσουν συμβουλές για διατήρηση του σπέρματος λόγω της πιθανότητας προκαλούμενης από τη θεραπεία μη αναστρέψιμης στειρότητας.</w:t>
      </w:r>
    </w:p>
    <w:p w:rsidR="00DC1F84" w:rsidRPr="00397A42" w:rsidRDefault="00DC1F84" w:rsidP="00DC1F84">
      <w:pPr>
        <w:jc w:val="both"/>
        <w:rPr>
          <w:sz w:val="22"/>
          <w:lang w:val="el-GR"/>
        </w:rPr>
      </w:pPr>
    </w:p>
    <w:p w:rsidR="00DC1F84" w:rsidRPr="00397A42" w:rsidRDefault="00DC1F84" w:rsidP="00DC1F84">
      <w:pPr>
        <w:jc w:val="both"/>
        <w:rPr>
          <w:sz w:val="22"/>
          <w:lang w:val="el-GR"/>
        </w:rPr>
      </w:pPr>
      <w:r w:rsidRPr="00397A42">
        <w:rPr>
          <w:sz w:val="22"/>
          <w:lang w:val="el-GR"/>
        </w:rPr>
        <w:t>Η επιρουβικίνη μπορεί να προκαλέσει αμηνόρροια ή πρόωρη εμμηνόπαυση σε προεμμηνοπαυσιακές γυναίκες.</w:t>
      </w:r>
    </w:p>
    <w:p w:rsidR="00DC1F84" w:rsidRPr="00397A42" w:rsidRDefault="00DC1F84" w:rsidP="00DC1F84">
      <w:pPr>
        <w:jc w:val="both"/>
        <w:rPr>
          <w:b/>
          <w:sz w:val="22"/>
          <w:lang w:val="el-GR"/>
        </w:rPr>
      </w:pPr>
    </w:p>
    <w:p w:rsidR="00FD646E" w:rsidRPr="00397A42" w:rsidRDefault="00FD646E" w:rsidP="00FD646E">
      <w:pPr>
        <w:jc w:val="both"/>
        <w:rPr>
          <w:b/>
          <w:sz w:val="22"/>
          <w:lang w:val="el-GR"/>
        </w:rPr>
      </w:pPr>
      <w:r w:rsidRPr="00397A42">
        <w:rPr>
          <w:b/>
          <w:sz w:val="22"/>
          <w:lang w:val="el-GR"/>
        </w:rPr>
        <w:t>Εγκυμοσύνη</w:t>
      </w:r>
    </w:p>
    <w:p w:rsidR="00FD646E" w:rsidRPr="00397A42" w:rsidRDefault="00FD646E" w:rsidP="00FD646E">
      <w:pPr>
        <w:jc w:val="both"/>
        <w:rPr>
          <w:sz w:val="22"/>
          <w:lang w:val="el-GR"/>
        </w:rPr>
      </w:pPr>
      <w:r w:rsidRPr="00397A42">
        <w:rPr>
          <w:sz w:val="22"/>
          <w:lang w:val="el-GR"/>
        </w:rPr>
        <w:t>Γυναίκες σε αναπαραγωγική ηλικία  πρέπει να συμβουλεύονται να αποφεύγουν την εγκυμοσύνη κατά τη διάρκεια της θεραπείας και να χρησιμοποιούν αποτελεσματικές μεθόδους αντισύλληψης.</w:t>
      </w:r>
    </w:p>
    <w:p w:rsidR="00DC1F84" w:rsidRPr="00397A42" w:rsidRDefault="00DC1F84" w:rsidP="00DC1F84">
      <w:pPr>
        <w:jc w:val="both"/>
        <w:rPr>
          <w:sz w:val="22"/>
          <w:lang w:val="el-GR"/>
        </w:rPr>
      </w:pPr>
      <w:r w:rsidRPr="00397A42">
        <w:rPr>
          <w:sz w:val="22"/>
          <w:lang w:val="el-GR"/>
        </w:rPr>
        <w:t>Πειραματικά δεδομένα σε ζώα παρέχουν ενδείξεις για το ότι η επιρουβικίνη μπορεί να προκαλέσει βλάβη στο έμβρυο όταν χορηγείται σε εγκυμονούσες. Εάν η επιρουβικίνη χρησιμοποιείται κατά τη διάρκεια της εγκυμοσύνης</w:t>
      </w:r>
      <w:r w:rsidR="00F47FDF" w:rsidRPr="00397A42">
        <w:rPr>
          <w:sz w:val="22"/>
          <w:lang w:val="el-GR"/>
        </w:rPr>
        <w:t>,</w:t>
      </w:r>
      <w:r w:rsidRPr="00397A42">
        <w:rPr>
          <w:sz w:val="22"/>
          <w:lang w:val="el-GR"/>
        </w:rPr>
        <w:t xml:space="preserve"> ή εάν η ασθενής μείνει έγκυος </w:t>
      </w:r>
      <w:r w:rsidR="00FD646E" w:rsidRPr="00397A42">
        <w:rPr>
          <w:sz w:val="22"/>
          <w:lang w:val="el-GR"/>
        </w:rPr>
        <w:t>ενώ</w:t>
      </w:r>
      <w:r w:rsidRPr="00397A42">
        <w:rPr>
          <w:sz w:val="22"/>
          <w:lang w:val="el-GR"/>
        </w:rPr>
        <w:t xml:space="preserve"> λαμβάνει αυτό το φάρμακο, </w:t>
      </w:r>
      <w:r w:rsidR="00FD646E" w:rsidRPr="00397A42">
        <w:rPr>
          <w:sz w:val="22"/>
          <w:lang w:val="el-GR"/>
        </w:rPr>
        <w:t xml:space="preserve">θα </w:t>
      </w:r>
      <w:r w:rsidRPr="00397A42">
        <w:rPr>
          <w:sz w:val="22"/>
          <w:lang w:val="el-GR"/>
        </w:rPr>
        <w:t xml:space="preserve">πρέπει να </w:t>
      </w:r>
      <w:r w:rsidR="00FD646E" w:rsidRPr="00397A42">
        <w:rPr>
          <w:sz w:val="22"/>
          <w:lang w:val="el-GR"/>
        </w:rPr>
        <w:t>ενημερωθεί σχετικά με</w:t>
      </w:r>
      <w:r w:rsidRPr="00397A42">
        <w:rPr>
          <w:sz w:val="22"/>
          <w:lang w:val="el-GR"/>
        </w:rPr>
        <w:t xml:space="preserve"> τον πιθανό κίνδυνο για το έμβρυο. </w:t>
      </w:r>
    </w:p>
    <w:p w:rsidR="00DC1F84" w:rsidRPr="00397A42" w:rsidRDefault="00DC1F84" w:rsidP="00DC1F84">
      <w:pPr>
        <w:jc w:val="both"/>
        <w:rPr>
          <w:sz w:val="22"/>
          <w:lang w:val="el-GR"/>
        </w:rPr>
      </w:pPr>
    </w:p>
    <w:p w:rsidR="00DC1F84" w:rsidRPr="00397A42" w:rsidRDefault="00DC1F84" w:rsidP="00DC1F84">
      <w:pPr>
        <w:jc w:val="both"/>
        <w:rPr>
          <w:sz w:val="22"/>
          <w:lang w:val="el-GR"/>
        </w:rPr>
      </w:pPr>
      <w:r w:rsidRPr="00397A42">
        <w:rPr>
          <w:sz w:val="22"/>
          <w:lang w:val="el-GR"/>
        </w:rPr>
        <w:t>Δεν υπάρχουν μελέτες σε έγκυες γυναίκες. Η επιρουβικίνη πρέπει να χρησιμοποιηθεί κατά τη διάρκεια της εγκυμοσύνης</w:t>
      </w:r>
      <w:r w:rsidR="00F47FDF" w:rsidRPr="00397A42">
        <w:rPr>
          <w:sz w:val="22"/>
          <w:lang w:val="el-GR"/>
        </w:rPr>
        <w:t>,</w:t>
      </w:r>
      <w:r w:rsidRPr="00397A42">
        <w:rPr>
          <w:sz w:val="22"/>
          <w:lang w:val="el-GR"/>
        </w:rPr>
        <w:t xml:space="preserve"> μόνο εάν το πιθανό όφελος δικαιολογεί τους πιθανούς κινδύνους για το έμβρυο.</w:t>
      </w:r>
    </w:p>
    <w:p w:rsidR="00DC1F84" w:rsidRPr="00397A42" w:rsidRDefault="00DC1F84" w:rsidP="00DC1F84">
      <w:pPr>
        <w:jc w:val="both"/>
        <w:rPr>
          <w:sz w:val="22"/>
          <w:lang w:val="el-GR"/>
        </w:rPr>
      </w:pPr>
    </w:p>
    <w:p w:rsidR="00DC1F84" w:rsidRPr="00397A42" w:rsidRDefault="00DC1F84" w:rsidP="00DC1F84">
      <w:pPr>
        <w:jc w:val="both"/>
        <w:rPr>
          <w:b/>
          <w:sz w:val="22"/>
          <w:lang w:val="el-GR"/>
        </w:rPr>
      </w:pPr>
      <w:r w:rsidRPr="00397A42">
        <w:rPr>
          <w:b/>
          <w:sz w:val="22"/>
          <w:lang w:val="el-GR"/>
        </w:rPr>
        <w:t>Γαλουχία</w:t>
      </w:r>
    </w:p>
    <w:p w:rsidR="00DC1F84" w:rsidRPr="00397A42" w:rsidRDefault="00DC1F84" w:rsidP="00DC1F84">
      <w:pPr>
        <w:jc w:val="both"/>
        <w:rPr>
          <w:sz w:val="22"/>
          <w:lang w:val="el-GR"/>
        </w:rPr>
      </w:pPr>
      <w:r w:rsidRPr="00397A42">
        <w:rPr>
          <w:sz w:val="22"/>
          <w:lang w:val="el-GR"/>
        </w:rPr>
        <w:t xml:space="preserve">Δεν είναι γνωστό εάν </w:t>
      </w:r>
      <w:r w:rsidR="00F47FDF" w:rsidRPr="00397A42">
        <w:rPr>
          <w:sz w:val="22"/>
          <w:lang w:val="el-GR"/>
        </w:rPr>
        <w:t xml:space="preserve">η </w:t>
      </w:r>
      <w:r w:rsidRPr="00397A42">
        <w:rPr>
          <w:sz w:val="22"/>
          <w:lang w:val="el-GR"/>
        </w:rPr>
        <w:t>επιρουβικίνη απεκκρίνεται στο μητρικό γάλα. Επειδή πολλά φάρμακα, συμπεριλαμβανομένων και άλλων ανθρακυκλινών, απεκκρίνονται στο μητρικό γάλα και λόγω της πιθανότητας σοβαρών ανεπιθύμητων αντιδράσεων της επιρουβικίνης σε βρέφη που θηλάζουν, οι μητέρες πρέπει να διακόπτουν το θηλασμό προτού λάβουν αυτό το φάρμακο.</w:t>
      </w:r>
    </w:p>
    <w:p w:rsidR="00192B54" w:rsidRPr="00397A42" w:rsidRDefault="00192B54">
      <w:pPr>
        <w:spacing w:line="240" w:lineRule="atLeast"/>
        <w:rPr>
          <w:rFonts w:ascii="Times New Roman" w:hAnsi="Times New Roman"/>
          <w:b/>
          <w:sz w:val="22"/>
          <w:szCs w:val="22"/>
          <w:lang w:val="el-GR"/>
        </w:rPr>
      </w:pPr>
    </w:p>
    <w:p w:rsidR="00192B54" w:rsidRPr="00397A42" w:rsidRDefault="00294D09">
      <w:pPr>
        <w:spacing w:line="240" w:lineRule="atLeast"/>
        <w:rPr>
          <w:rFonts w:ascii="Times New Roman" w:hAnsi="Times New Roman"/>
          <w:b/>
          <w:sz w:val="22"/>
          <w:szCs w:val="22"/>
          <w:lang w:val="el-GR"/>
        </w:rPr>
      </w:pPr>
      <w:r w:rsidRPr="00397A42">
        <w:rPr>
          <w:rFonts w:ascii="Times New Roman" w:hAnsi="Times New Roman"/>
          <w:b/>
          <w:sz w:val="22"/>
          <w:szCs w:val="22"/>
          <w:lang w:val="el-GR"/>
        </w:rPr>
        <w:t xml:space="preserve">2.4.3 </w:t>
      </w:r>
      <w:r w:rsidR="00192B54" w:rsidRPr="00397A42">
        <w:rPr>
          <w:rFonts w:ascii="Times New Roman" w:hAnsi="Times New Roman"/>
          <w:b/>
          <w:sz w:val="22"/>
          <w:szCs w:val="22"/>
          <w:lang w:val="el-GR"/>
        </w:rPr>
        <w:t>Επίδραση στην ικανότητα οδήγησης και χειρισμού μηχαν</w:t>
      </w:r>
      <w:r w:rsidR="007D3164" w:rsidRPr="00397A42">
        <w:rPr>
          <w:rFonts w:ascii="Times New Roman" w:hAnsi="Times New Roman"/>
          <w:b/>
          <w:sz w:val="22"/>
          <w:szCs w:val="22"/>
          <w:lang w:val="el-GR"/>
        </w:rPr>
        <w:t>ών</w:t>
      </w:r>
      <w:r w:rsidR="00192B54" w:rsidRPr="00397A42">
        <w:rPr>
          <w:rFonts w:ascii="Times New Roman" w:hAnsi="Times New Roman"/>
          <w:b/>
          <w:sz w:val="22"/>
          <w:szCs w:val="22"/>
          <w:lang w:val="el-GR"/>
        </w:rPr>
        <w:t xml:space="preserve"> </w:t>
      </w:r>
    </w:p>
    <w:p w:rsidR="007E77F0" w:rsidRPr="00397A42" w:rsidRDefault="007E77F0" w:rsidP="007E77F0">
      <w:pPr>
        <w:jc w:val="both"/>
        <w:rPr>
          <w:sz w:val="22"/>
          <w:lang w:val="el-GR"/>
        </w:rPr>
      </w:pPr>
      <w:r w:rsidRPr="00397A42">
        <w:rPr>
          <w:sz w:val="22"/>
          <w:lang w:val="el-GR"/>
        </w:rPr>
        <w:t>Η επίδραση της επιρουβικίνης στην ικανότητα οδήγησης ή χειρισμού μηχανηνών δεν έχει αξιολογηθεί συστηματικά.</w:t>
      </w:r>
    </w:p>
    <w:p w:rsidR="00750F20" w:rsidRPr="00397A42" w:rsidRDefault="00750F20" w:rsidP="00750F20">
      <w:pPr>
        <w:jc w:val="both"/>
        <w:rPr>
          <w:sz w:val="22"/>
          <w:szCs w:val="22"/>
          <w:lang w:val="el-GR"/>
        </w:rPr>
      </w:pPr>
      <w:r w:rsidRPr="00397A42">
        <w:rPr>
          <w:sz w:val="22"/>
          <w:szCs w:val="22"/>
          <w:lang w:val="el-GR"/>
        </w:rPr>
        <w:t xml:space="preserve">Ωστόσο, επειδή πολλοί άνθρωποι εμφανίζουν ναυτία ή έμετο κατά τη διάρκεια της θεραπείας, </w:t>
      </w:r>
      <w:r w:rsidR="00346C2B" w:rsidRPr="00397A42">
        <w:rPr>
          <w:sz w:val="22"/>
          <w:szCs w:val="22"/>
          <w:lang w:val="el-GR"/>
        </w:rPr>
        <w:t>δεν συνιστάται η οδήγηση</w:t>
      </w:r>
      <w:r w:rsidRPr="00397A42">
        <w:rPr>
          <w:sz w:val="22"/>
          <w:szCs w:val="22"/>
          <w:lang w:val="el-GR"/>
        </w:rPr>
        <w:t xml:space="preserve"> και </w:t>
      </w:r>
      <w:r w:rsidR="00346C2B" w:rsidRPr="00397A42">
        <w:rPr>
          <w:sz w:val="22"/>
          <w:szCs w:val="22"/>
          <w:lang w:val="el-GR"/>
        </w:rPr>
        <w:t xml:space="preserve">ο </w:t>
      </w:r>
      <w:r w:rsidRPr="00397A42">
        <w:rPr>
          <w:sz w:val="22"/>
          <w:szCs w:val="22"/>
          <w:lang w:val="el-GR"/>
        </w:rPr>
        <w:t>χειρισμ</w:t>
      </w:r>
      <w:r w:rsidR="00346C2B" w:rsidRPr="00397A42">
        <w:rPr>
          <w:sz w:val="22"/>
          <w:szCs w:val="22"/>
          <w:lang w:val="el-GR"/>
        </w:rPr>
        <w:t>ός</w:t>
      </w:r>
      <w:r w:rsidRPr="00397A42">
        <w:rPr>
          <w:sz w:val="22"/>
          <w:szCs w:val="22"/>
          <w:lang w:val="el-GR"/>
        </w:rPr>
        <w:t xml:space="preserve"> μηχανών.</w:t>
      </w:r>
    </w:p>
    <w:p w:rsidR="00192B54" w:rsidRPr="00397A42" w:rsidRDefault="00192B54">
      <w:pPr>
        <w:spacing w:line="240" w:lineRule="atLeast"/>
        <w:rPr>
          <w:rFonts w:ascii="Times New Roman" w:hAnsi="Times New Roman"/>
          <w:b/>
          <w:sz w:val="22"/>
          <w:szCs w:val="22"/>
          <w:lang w:val="el-GR"/>
        </w:rPr>
      </w:pPr>
    </w:p>
    <w:p w:rsidR="00192B54" w:rsidRPr="00397A42" w:rsidRDefault="00192B54">
      <w:pPr>
        <w:numPr>
          <w:ilvl w:val="1"/>
          <w:numId w:val="3"/>
        </w:numPr>
        <w:spacing w:line="240" w:lineRule="atLeast"/>
        <w:rPr>
          <w:rFonts w:ascii="Times New Roman" w:hAnsi="Times New Roman"/>
          <w:b/>
          <w:sz w:val="22"/>
          <w:szCs w:val="22"/>
          <w:lang w:val="el-GR"/>
        </w:rPr>
      </w:pPr>
      <w:r w:rsidRPr="00397A42">
        <w:rPr>
          <w:rFonts w:ascii="Times New Roman" w:hAnsi="Times New Roman"/>
          <w:b/>
          <w:sz w:val="22"/>
          <w:szCs w:val="22"/>
          <w:lang w:val="el-GR"/>
        </w:rPr>
        <w:t>Αλληλεπιδράσεις με άλλα φαρμακευτικά προϊόντα</w:t>
      </w:r>
      <w:r w:rsidR="007D3164" w:rsidRPr="00397A42">
        <w:rPr>
          <w:rFonts w:ascii="Times New Roman" w:hAnsi="Times New Roman"/>
          <w:b/>
          <w:sz w:val="22"/>
          <w:szCs w:val="22"/>
          <w:lang w:val="el-GR"/>
        </w:rPr>
        <w:t xml:space="preserve"> και άλλες μορφές αλληλεπίδρασης</w:t>
      </w:r>
    </w:p>
    <w:p w:rsidR="002B6B57" w:rsidRPr="00397A42" w:rsidRDefault="002B6B57" w:rsidP="002B6B57">
      <w:pPr>
        <w:jc w:val="both"/>
        <w:rPr>
          <w:sz w:val="22"/>
          <w:lang w:val="el-GR"/>
        </w:rPr>
      </w:pPr>
      <w:r w:rsidRPr="00397A42">
        <w:rPr>
          <w:sz w:val="22"/>
          <w:lang w:val="el-GR"/>
        </w:rPr>
        <w:t>Η επιρουβικίνη χρησιμοποιείται κυρίως σε συνδυασμό με άλλα κυτταροτοξικά φάρμακα</w:t>
      </w:r>
      <w:r w:rsidR="00D566DD" w:rsidRPr="00397A42">
        <w:rPr>
          <w:sz w:val="22"/>
          <w:lang w:val="el-GR"/>
        </w:rPr>
        <w:t>.</w:t>
      </w:r>
      <w:r w:rsidRPr="00397A42">
        <w:rPr>
          <w:sz w:val="22"/>
          <w:lang w:val="el-GR"/>
        </w:rPr>
        <w:t xml:space="preserve"> </w:t>
      </w:r>
      <w:r w:rsidR="00D566DD" w:rsidRPr="00397A42">
        <w:rPr>
          <w:sz w:val="22"/>
          <w:lang w:val="el-GR"/>
        </w:rPr>
        <w:t>Α</w:t>
      </w:r>
      <w:r w:rsidRPr="00397A42">
        <w:rPr>
          <w:sz w:val="22"/>
          <w:lang w:val="el-GR"/>
        </w:rPr>
        <w:t>θροιστική τοξικότητα</w:t>
      </w:r>
      <w:r w:rsidR="00D566DD" w:rsidRPr="00397A42">
        <w:rPr>
          <w:sz w:val="22"/>
          <w:lang w:val="el-GR"/>
        </w:rPr>
        <w:t xml:space="preserve"> μπορεί να προκληθεί</w:t>
      </w:r>
      <w:r w:rsidRPr="00397A42">
        <w:rPr>
          <w:sz w:val="22"/>
          <w:lang w:val="el-GR"/>
        </w:rPr>
        <w:t xml:space="preserve">, ειδικά όσον αφορά τις επιδράσεις στον μυελό/αιματολογικό σύστημα και γαστρεντερικό σωλήνα (βλέπε </w:t>
      </w:r>
      <w:r w:rsidR="00F965DB" w:rsidRPr="00397A42">
        <w:rPr>
          <w:b/>
          <w:sz w:val="22"/>
          <w:lang w:val="el-GR"/>
        </w:rPr>
        <w:t>2</w:t>
      </w:r>
      <w:r w:rsidRPr="00397A42">
        <w:rPr>
          <w:b/>
          <w:sz w:val="22"/>
          <w:lang w:val="el-GR"/>
        </w:rPr>
        <w:t>.4 Ειδικές προειδοποιήσεις και προφυλάξεις κατά τη χρήση</w:t>
      </w:r>
      <w:r w:rsidRPr="00397A42">
        <w:rPr>
          <w:sz w:val="22"/>
          <w:lang w:val="el-GR"/>
        </w:rPr>
        <w:t xml:space="preserve">). Η χρήση της επιρουβικίνης σε θεραπεία συνδυασμού με άλλα </w:t>
      </w:r>
      <w:r w:rsidR="00D566DD" w:rsidRPr="00397A42">
        <w:rPr>
          <w:sz w:val="22"/>
          <w:lang w:val="el-GR"/>
        </w:rPr>
        <w:t xml:space="preserve">ενδεχομένως καρδιοτοξικά </w:t>
      </w:r>
      <w:r w:rsidRPr="00397A42">
        <w:rPr>
          <w:sz w:val="22"/>
          <w:lang w:val="el-GR"/>
        </w:rPr>
        <w:t>κυτταροστατικά φάρμακα</w:t>
      </w:r>
      <w:r w:rsidR="00D566DD" w:rsidRPr="00397A42">
        <w:rPr>
          <w:sz w:val="22"/>
          <w:lang w:val="el-GR"/>
        </w:rPr>
        <w:t>,</w:t>
      </w:r>
      <w:r w:rsidRPr="00397A42">
        <w:rPr>
          <w:sz w:val="22"/>
          <w:lang w:val="el-GR"/>
        </w:rPr>
        <w:t xml:space="preserve"> καθώς και η ταυτόχρονη χορήγηση άλλων καρδιοδραστικών ενώσεων (π.χ. αναστολείς διαύλων ασβεστίου) απαιτεί στενή παρακολούθηση της καρδιακής λειτουργίας σε όλη τη διάρκεια της θεραπείας.</w:t>
      </w:r>
    </w:p>
    <w:p w:rsidR="002B6B57" w:rsidRPr="00397A42" w:rsidRDefault="002B6B57" w:rsidP="002B6B57">
      <w:pPr>
        <w:jc w:val="both"/>
        <w:rPr>
          <w:sz w:val="22"/>
          <w:lang w:val="el-GR"/>
        </w:rPr>
      </w:pPr>
      <w:r w:rsidRPr="00397A42">
        <w:rPr>
          <w:sz w:val="22"/>
          <w:lang w:val="el-GR"/>
        </w:rPr>
        <w:lastRenderedPageBreak/>
        <w:t xml:space="preserve">Η επιρουβικίνη μεταβολίζεται σε υψηλό βαθμό από το ήπαρ. Οι αλλαγές στην ηπατική λειτουργία που προκαλούνται από </w:t>
      </w:r>
      <w:r w:rsidR="009975D1" w:rsidRPr="00397A42">
        <w:rPr>
          <w:sz w:val="22"/>
          <w:lang w:val="el-GR"/>
        </w:rPr>
        <w:t>παράλληλους θεραπευτικούς χειρισμούς</w:t>
      </w:r>
      <w:r w:rsidRPr="00397A42">
        <w:rPr>
          <w:sz w:val="22"/>
          <w:lang w:val="el-GR"/>
        </w:rPr>
        <w:t xml:space="preserve"> μπορ</w:t>
      </w:r>
      <w:r w:rsidR="009975D1" w:rsidRPr="00397A42">
        <w:rPr>
          <w:sz w:val="22"/>
          <w:lang w:val="el-GR"/>
        </w:rPr>
        <w:t>εί</w:t>
      </w:r>
      <w:r w:rsidRPr="00397A42">
        <w:rPr>
          <w:sz w:val="22"/>
          <w:lang w:val="el-GR"/>
        </w:rPr>
        <w:t xml:space="preserve"> να επηρεάσουν το μεταβολισμό, τη φαρμακοκινητική, τη θεραπευτική αποτελεσματικότητα και/ή την τοξικότητα της επιρουβικίνης (βλέπε </w:t>
      </w:r>
      <w:r w:rsidR="00626849" w:rsidRPr="00397A42">
        <w:rPr>
          <w:sz w:val="22"/>
          <w:lang w:val="el-GR"/>
        </w:rPr>
        <w:t>2</w:t>
      </w:r>
      <w:r w:rsidRPr="00397A42">
        <w:rPr>
          <w:sz w:val="22"/>
          <w:lang w:val="el-GR"/>
        </w:rPr>
        <w:t>.4 Ειδικές προειδοποιήσεις και προφυλάξεις κατά τη χρήση).</w:t>
      </w:r>
    </w:p>
    <w:p w:rsidR="002B6B57" w:rsidRPr="00397A42" w:rsidRDefault="002B6B57" w:rsidP="002B6B57">
      <w:pPr>
        <w:jc w:val="both"/>
        <w:rPr>
          <w:sz w:val="22"/>
          <w:lang w:val="el-GR"/>
        </w:rPr>
      </w:pPr>
      <w:r w:rsidRPr="00397A42">
        <w:rPr>
          <w:sz w:val="22"/>
          <w:lang w:val="el-GR"/>
        </w:rPr>
        <w:t xml:space="preserve">Οι ανθρακυκλίνες, συμπεριλαμβανομένης και της επιρουβικίνης, δεν πρέπει να χορηγούνται σε συνδυασμό με άλλους καρδιοτοξικούς παράγοντες, εκτός και αν η καρδιακή λειτουργία του ασθενούς παρακολουθείται στενά. Οι ασθενείς που λαμβάνουν ανθρακυκλίνες έπειτα από διακοπή της θεραπείας με άλλους καρδιοτοξικούς παράγοντες, ειδικά με εκείνους με μακρά ημίσεια ζωή, όπως </w:t>
      </w:r>
      <w:r w:rsidR="00D566DD" w:rsidRPr="00397A42">
        <w:rPr>
          <w:sz w:val="22"/>
          <w:lang w:val="el-GR"/>
        </w:rPr>
        <w:t>η τραστουζουμάμπη</w:t>
      </w:r>
      <w:r w:rsidRPr="00397A42">
        <w:rPr>
          <w:sz w:val="22"/>
          <w:lang w:val="el-GR"/>
        </w:rPr>
        <w:t xml:space="preserve">, μπορεί να βρίσκονται σε αυξημένο κίνδυνο ανάπτυξης καρδιοτοξικότητας. Η ημίσεια ζωή </w:t>
      </w:r>
      <w:r w:rsidR="00D566DD" w:rsidRPr="00397A42">
        <w:rPr>
          <w:sz w:val="22"/>
          <w:lang w:val="el-GR"/>
        </w:rPr>
        <w:t>της τραστουζουμάμπης</w:t>
      </w:r>
      <w:r w:rsidR="003A1558" w:rsidRPr="00397A42">
        <w:rPr>
          <w:sz w:val="22"/>
          <w:lang w:val="el-GR"/>
        </w:rPr>
        <w:t xml:space="preserve"> </w:t>
      </w:r>
      <w:r w:rsidRPr="00397A42">
        <w:rPr>
          <w:sz w:val="22"/>
          <w:lang w:val="el-GR"/>
        </w:rPr>
        <w:t xml:space="preserve">είναι περίπου 28,5 ημέρες και μπορεί να παραμένει στην κυκλοφορία για διάστημα έως και 24 εβδομάδες. Επομένως, οι γιατροί  πρέπει να αποφεύγουν θεραπεία με ανθρακυκλίνες για διάστημα έως και 24 εβδομάδες μετά τη διακοπή </w:t>
      </w:r>
      <w:r w:rsidR="00D566DD" w:rsidRPr="00397A42">
        <w:rPr>
          <w:sz w:val="22"/>
          <w:lang w:val="el-GR"/>
        </w:rPr>
        <w:t>της τραστουζουμάμπης</w:t>
      </w:r>
      <w:r w:rsidRPr="00397A42">
        <w:rPr>
          <w:sz w:val="22"/>
          <w:lang w:val="el-GR"/>
        </w:rPr>
        <w:t>, όπου είναι δυνατόν. Εάν οι ανθρακυκλίνες χρησιμοποιηθούν πριν από το χρόνο αυτό, συνιστάται προσεκτική παρακολούθηση της καρδιακής λειτουργίας.</w:t>
      </w:r>
    </w:p>
    <w:p w:rsidR="002B6B57" w:rsidRPr="00397A42" w:rsidRDefault="002B6B57" w:rsidP="002B6B57">
      <w:pPr>
        <w:jc w:val="both"/>
        <w:rPr>
          <w:sz w:val="22"/>
          <w:lang w:val="el-GR"/>
        </w:rPr>
      </w:pPr>
    </w:p>
    <w:p w:rsidR="002B6B57" w:rsidRPr="00397A42" w:rsidRDefault="006B7BB2" w:rsidP="002B6B57">
      <w:pPr>
        <w:jc w:val="both"/>
        <w:rPr>
          <w:sz w:val="22"/>
          <w:lang w:val="el-GR"/>
        </w:rPr>
      </w:pPr>
      <w:r w:rsidRPr="00397A42">
        <w:rPr>
          <w:sz w:val="22"/>
          <w:lang w:val="el-GR"/>
        </w:rPr>
        <w:t>Ο ε</w:t>
      </w:r>
      <w:r w:rsidR="002B6B57" w:rsidRPr="00397A42">
        <w:rPr>
          <w:sz w:val="22"/>
          <w:lang w:val="el-GR"/>
        </w:rPr>
        <w:t xml:space="preserve">μβολιασμός με ένα εμβόλιο </w:t>
      </w:r>
      <w:r w:rsidRPr="00397A42">
        <w:rPr>
          <w:sz w:val="22"/>
          <w:lang w:val="el-GR"/>
        </w:rPr>
        <w:t xml:space="preserve">ζωντανού μικροοργανισμού </w:t>
      </w:r>
      <w:r w:rsidR="002B6B57" w:rsidRPr="00397A42">
        <w:rPr>
          <w:sz w:val="22"/>
          <w:lang w:val="el-GR"/>
        </w:rPr>
        <w:t xml:space="preserve">πρέπει να αποφεύγεται σε ασθενείς που λαμβάνουν επιρουβικίνη. Μπορεί να χορηγηθούν </w:t>
      </w:r>
      <w:r w:rsidR="00E63FB9" w:rsidRPr="00397A42">
        <w:rPr>
          <w:sz w:val="22"/>
          <w:lang w:val="el-GR"/>
        </w:rPr>
        <w:t xml:space="preserve">εμβόλια </w:t>
      </w:r>
      <w:r w:rsidR="002B6B57" w:rsidRPr="00397A42">
        <w:rPr>
          <w:sz w:val="22"/>
          <w:lang w:val="el-GR"/>
        </w:rPr>
        <w:t>νεκρ</w:t>
      </w:r>
      <w:r w:rsidR="00E63FB9" w:rsidRPr="00397A42">
        <w:rPr>
          <w:sz w:val="22"/>
          <w:lang w:val="el-GR"/>
        </w:rPr>
        <w:t>ών</w:t>
      </w:r>
      <w:r w:rsidR="002B6B57" w:rsidRPr="00397A42">
        <w:rPr>
          <w:sz w:val="22"/>
          <w:lang w:val="el-GR"/>
        </w:rPr>
        <w:t xml:space="preserve"> ή αδρανοποιημέν</w:t>
      </w:r>
      <w:r w:rsidR="00E63FB9" w:rsidRPr="00397A42">
        <w:rPr>
          <w:sz w:val="22"/>
          <w:lang w:val="el-GR"/>
        </w:rPr>
        <w:t>ων μικροοργανισμών</w:t>
      </w:r>
      <w:r w:rsidR="002B6B57" w:rsidRPr="00397A42">
        <w:rPr>
          <w:sz w:val="22"/>
          <w:lang w:val="el-GR"/>
        </w:rPr>
        <w:t>. Ωστόσο η ανταπόκριση σε τέτοια εμβόλια μπορεί να είναι μειωμένη.</w:t>
      </w:r>
    </w:p>
    <w:p w:rsidR="002B6B57" w:rsidRPr="00397A42" w:rsidRDefault="002B6B57" w:rsidP="002B6B57">
      <w:pPr>
        <w:jc w:val="both"/>
        <w:rPr>
          <w:sz w:val="22"/>
          <w:lang w:val="el-GR"/>
        </w:rPr>
      </w:pPr>
    </w:p>
    <w:p w:rsidR="002B6B57" w:rsidRPr="00397A42" w:rsidRDefault="002B6B57" w:rsidP="002B6B57">
      <w:pPr>
        <w:jc w:val="both"/>
        <w:rPr>
          <w:sz w:val="22"/>
          <w:lang w:val="el-GR"/>
        </w:rPr>
      </w:pPr>
      <w:r w:rsidRPr="00397A42">
        <w:rPr>
          <w:sz w:val="22"/>
          <w:lang w:val="el-GR"/>
        </w:rPr>
        <w:t xml:space="preserve">Η σιμετιδίνη αυξάνει την </w:t>
      </w:r>
      <w:r w:rsidRPr="00397A42">
        <w:rPr>
          <w:sz w:val="22"/>
        </w:rPr>
        <w:t>AUC</w:t>
      </w:r>
      <w:r w:rsidRPr="00397A42">
        <w:rPr>
          <w:sz w:val="22"/>
          <w:lang w:val="el-GR"/>
        </w:rPr>
        <w:t xml:space="preserve"> της επιρουβικίνης κατά 50% και η χορήγησή της θα πρέπει να διακόπτεται κατά τη διάρκεια της θεραπείας με επιρουβικίνη.</w:t>
      </w:r>
    </w:p>
    <w:p w:rsidR="002B6B57" w:rsidRPr="00397A42" w:rsidRDefault="002B6B57" w:rsidP="002B6B57">
      <w:pPr>
        <w:jc w:val="both"/>
        <w:rPr>
          <w:sz w:val="22"/>
          <w:lang w:val="el-GR"/>
        </w:rPr>
      </w:pPr>
    </w:p>
    <w:p w:rsidR="002B6B57" w:rsidRPr="00397A42" w:rsidRDefault="002B6B57" w:rsidP="002B6B57">
      <w:pPr>
        <w:jc w:val="both"/>
        <w:rPr>
          <w:sz w:val="22"/>
          <w:lang w:val="el-GR"/>
        </w:rPr>
      </w:pPr>
      <w:r w:rsidRPr="00397A42">
        <w:rPr>
          <w:sz w:val="22"/>
          <w:lang w:val="el-GR"/>
        </w:rPr>
        <w:t>Όταν η πακλιταξέλη χορηγείται πριν από την επιρουβικίνη, μπορεί να προκαλέσει αυξημένες συγκεντρώσεις στο πλάσμα της αμετάβλητης επιρουβικίνης και των μεταβολιτών της, οι τελευταίοι δεν είναι ωστόσο ούτε τοξικοί ούτε ενεργοί. Η ταυτόχρονη χορήγηση πακλιταξέλης ή ντοσεταξέλης δεν επηρέασε τη φαρμακοκινητική της επιρουβικίνης, όταν η επιρουβικίνη χορηγήθηκε πριν την ταξάνη.</w:t>
      </w:r>
    </w:p>
    <w:p w:rsidR="002B6B57" w:rsidRPr="00397A42" w:rsidRDefault="002B6B57" w:rsidP="002B6B57">
      <w:pPr>
        <w:jc w:val="both"/>
        <w:rPr>
          <w:sz w:val="22"/>
          <w:lang w:val="el-GR"/>
        </w:rPr>
      </w:pPr>
      <w:r w:rsidRPr="00397A42">
        <w:rPr>
          <w:sz w:val="22"/>
          <w:lang w:val="el-GR"/>
        </w:rPr>
        <w:t xml:space="preserve">Ο συνδυασμός μπορεί να χρησιμοποιηθεί, εάν </w:t>
      </w:r>
      <w:proofErr w:type="spellStart"/>
      <w:r w:rsidR="00F3413F" w:rsidRPr="00397A42">
        <w:rPr>
          <w:sz w:val="22"/>
          <w:szCs w:val="22"/>
          <w:lang w:val="el-GR"/>
        </w:rPr>
        <w:t>εάν</w:t>
      </w:r>
      <w:proofErr w:type="spellEnd"/>
      <w:r w:rsidR="00F3413F" w:rsidRPr="00397A42">
        <w:rPr>
          <w:sz w:val="22"/>
          <w:szCs w:val="22"/>
          <w:lang w:val="el-GR"/>
        </w:rPr>
        <w:t xml:space="preserve"> τα φάρμακα χορηγούνται με μεσοδιάστημα τουλάχιστον 24 ωρών</w:t>
      </w:r>
      <w:r w:rsidRPr="00397A42">
        <w:rPr>
          <w:sz w:val="22"/>
          <w:lang w:val="el-GR"/>
        </w:rPr>
        <w:t>. Η έγχυση της επιρουβικίνης και της πακλιταξέλης πρέπει να πραγματοποιηθεί με ένα διάλειμμα 24 ωρών μεταξύ 2 παραγόντων.</w:t>
      </w:r>
    </w:p>
    <w:p w:rsidR="002B6B57" w:rsidRPr="00397A42" w:rsidRDefault="002B6B57" w:rsidP="002B6B57">
      <w:pPr>
        <w:jc w:val="both"/>
        <w:rPr>
          <w:sz w:val="22"/>
          <w:lang w:val="el-GR"/>
        </w:rPr>
      </w:pPr>
    </w:p>
    <w:p w:rsidR="002B6B57" w:rsidRPr="00397A42" w:rsidRDefault="00E100C2" w:rsidP="002B6B57">
      <w:pPr>
        <w:jc w:val="both"/>
        <w:rPr>
          <w:sz w:val="22"/>
          <w:lang w:val="el-GR"/>
        </w:rPr>
      </w:pPr>
      <w:r w:rsidRPr="00397A42">
        <w:rPr>
          <w:sz w:val="22"/>
          <w:lang w:val="el-GR"/>
        </w:rPr>
        <w:t>Η δεξβεραπαμίλη</w:t>
      </w:r>
      <w:r w:rsidR="002B6B57" w:rsidRPr="00397A42">
        <w:rPr>
          <w:sz w:val="22"/>
          <w:lang w:val="el-GR"/>
        </w:rPr>
        <w:t xml:space="preserve"> μπορεί να αλλάξει τη φαρμακοκινητική της επιρουβικίνης και πιθανώς να αυξήσει τις μυελοκατασταλτικές επιδράσεις της.</w:t>
      </w:r>
    </w:p>
    <w:p w:rsidR="002B6B57" w:rsidRPr="00397A42" w:rsidRDefault="002B6B57" w:rsidP="002B6B57">
      <w:pPr>
        <w:jc w:val="both"/>
        <w:rPr>
          <w:sz w:val="22"/>
          <w:lang w:val="el-GR"/>
        </w:rPr>
      </w:pPr>
    </w:p>
    <w:p w:rsidR="002B6B57" w:rsidRPr="00397A42" w:rsidRDefault="002B6B57" w:rsidP="002B6B57">
      <w:pPr>
        <w:jc w:val="both"/>
        <w:rPr>
          <w:sz w:val="22"/>
          <w:lang w:val="el-GR"/>
        </w:rPr>
      </w:pPr>
      <w:r w:rsidRPr="00397A42">
        <w:rPr>
          <w:sz w:val="22"/>
          <w:lang w:val="el-GR"/>
        </w:rPr>
        <w:t>Μία μελέτη κατέδειξε ότι η ντοσεταξέλη μπορεί να αυξήσει τις συγκεντρώσεις στο πλάσμα των μεταβολιτών της επιρουβικίνης, όταν χορηγείται αμέσως μετά την επιρουβικίνη.</w:t>
      </w:r>
    </w:p>
    <w:p w:rsidR="002B6B57" w:rsidRPr="00397A42" w:rsidRDefault="002B6B57" w:rsidP="002B6B57">
      <w:pPr>
        <w:jc w:val="both"/>
        <w:rPr>
          <w:sz w:val="22"/>
          <w:lang w:val="el-GR"/>
        </w:rPr>
      </w:pPr>
    </w:p>
    <w:p w:rsidR="002B6B57" w:rsidRPr="00397A42" w:rsidRDefault="002B6B57" w:rsidP="002B6B57">
      <w:pPr>
        <w:jc w:val="both"/>
        <w:rPr>
          <w:sz w:val="22"/>
          <w:lang w:val="el-GR"/>
        </w:rPr>
      </w:pPr>
      <w:r w:rsidRPr="00397A42">
        <w:rPr>
          <w:sz w:val="22"/>
          <w:lang w:val="el-GR"/>
        </w:rPr>
        <w:t>Η κινινίνη μπορεί να επιταχύνει την αρχική κατανομή της επιρουβικίνης από το αίμα στους ιστούς και μπορεί να έχει επίδραση στην κατάτμηση των ερυθρών αιμοσφαιρίων</w:t>
      </w:r>
      <w:r w:rsidR="00065661" w:rsidRPr="00397A42">
        <w:rPr>
          <w:sz w:val="22"/>
          <w:lang w:val="el-GR"/>
        </w:rPr>
        <w:t xml:space="preserve"> </w:t>
      </w:r>
      <w:r w:rsidRPr="00397A42">
        <w:rPr>
          <w:sz w:val="22"/>
          <w:lang w:val="el-GR"/>
        </w:rPr>
        <w:t>από την επιρουβικίνη.</w:t>
      </w:r>
    </w:p>
    <w:p w:rsidR="002B6B57" w:rsidRPr="00397A42" w:rsidRDefault="002B6B57" w:rsidP="002B6B57">
      <w:pPr>
        <w:jc w:val="both"/>
        <w:rPr>
          <w:sz w:val="22"/>
          <w:lang w:val="el-GR"/>
        </w:rPr>
      </w:pPr>
    </w:p>
    <w:p w:rsidR="002B6B57" w:rsidRPr="00397A42" w:rsidRDefault="002B6B57" w:rsidP="002B6B57">
      <w:pPr>
        <w:jc w:val="both"/>
        <w:rPr>
          <w:sz w:val="22"/>
          <w:lang w:val="el-GR"/>
        </w:rPr>
      </w:pPr>
      <w:r w:rsidRPr="00397A42">
        <w:rPr>
          <w:sz w:val="22"/>
          <w:lang w:val="el-GR"/>
        </w:rPr>
        <w:t>Η συγχορήγηση της ιντερφερόνης α2</w:t>
      </w:r>
      <w:r w:rsidRPr="00397A42">
        <w:rPr>
          <w:sz w:val="22"/>
        </w:rPr>
        <w:t>b</w:t>
      </w:r>
      <w:r w:rsidRPr="00397A42">
        <w:rPr>
          <w:sz w:val="22"/>
          <w:lang w:val="el-GR"/>
        </w:rPr>
        <w:t xml:space="preserve"> μπορεί να προκαλέσει μία μείωση τόσο στον τελικό χρόνο ημίσειας ζωής όσο και στην τελική κάθαρση της επιρουβικίνης.</w:t>
      </w:r>
    </w:p>
    <w:p w:rsidR="002B6B57" w:rsidRPr="00397A42" w:rsidRDefault="002B6B57" w:rsidP="002B6B57">
      <w:pPr>
        <w:jc w:val="both"/>
        <w:rPr>
          <w:sz w:val="22"/>
          <w:lang w:val="el-GR"/>
        </w:rPr>
      </w:pPr>
    </w:p>
    <w:p w:rsidR="002B6B57" w:rsidRPr="00397A42" w:rsidRDefault="002B6B57" w:rsidP="002B6B57">
      <w:pPr>
        <w:jc w:val="both"/>
        <w:rPr>
          <w:sz w:val="22"/>
          <w:lang w:val="el-GR"/>
        </w:rPr>
      </w:pPr>
      <w:r w:rsidRPr="00397A42">
        <w:rPr>
          <w:sz w:val="22"/>
          <w:lang w:val="el-GR"/>
        </w:rPr>
        <w:t xml:space="preserve">Η πιθανότητα σημαντικής διαταραχής της αιμοποίησης πρέπει να λαμβάνεται υπόψη κατά τη θεραπεία με </w:t>
      </w:r>
      <w:r w:rsidR="009975D1" w:rsidRPr="00397A42">
        <w:rPr>
          <w:sz w:val="22"/>
          <w:lang w:val="el-GR"/>
        </w:rPr>
        <w:t xml:space="preserve">φάρμακα </w:t>
      </w:r>
      <w:r w:rsidRPr="00397A42">
        <w:rPr>
          <w:sz w:val="22"/>
          <w:lang w:val="el-GR"/>
        </w:rPr>
        <w:t>που επηρεάζουν το μυελό των οστών (δηλ. κυτταροστατικοί παράγοντες, σουλφοναμίδη, χλωραμφενικόλη, διφαινυλυντο</w:t>
      </w:r>
      <w:r w:rsidR="00065661" w:rsidRPr="00397A42">
        <w:rPr>
          <w:sz w:val="22"/>
          <w:lang w:val="el-GR"/>
        </w:rPr>
        <w:t>ΐ</w:t>
      </w:r>
      <w:r w:rsidRPr="00397A42">
        <w:rPr>
          <w:sz w:val="22"/>
          <w:lang w:val="el-GR"/>
        </w:rPr>
        <w:t>νη, παράγωγα της αμινοπυριδίνης, αντιρετροϊκοί παράγοντες).</w:t>
      </w:r>
    </w:p>
    <w:p w:rsidR="002B6B57" w:rsidRPr="00397A42" w:rsidRDefault="002B6B57" w:rsidP="002B6B57">
      <w:pPr>
        <w:jc w:val="both"/>
        <w:rPr>
          <w:sz w:val="22"/>
          <w:lang w:val="el-GR"/>
        </w:rPr>
      </w:pPr>
    </w:p>
    <w:p w:rsidR="00D566DD" w:rsidRPr="00397A42" w:rsidRDefault="00D566DD" w:rsidP="002B6B57">
      <w:pPr>
        <w:jc w:val="both"/>
        <w:rPr>
          <w:sz w:val="22"/>
          <w:lang w:val="el-GR"/>
        </w:rPr>
      </w:pPr>
      <w:r w:rsidRPr="00397A42">
        <w:rPr>
          <w:sz w:val="22"/>
          <w:lang w:val="el-GR"/>
        </w:rPr>
        <w:t>Αύξηση της μυελοκαταστολής μπορεί να εμφανισθεί σε ασθενείς που λαμβάνουν θεραπεία συνδυασμού ανθρακυκλίνης και δεξραζοξάνης.</w:t>
      </w:r>
    </w:p>
    <w:p w:rsidR="002B6B57" w:rsidRPr="00397A42" w:rsidRDefault="002B6B57" w:rsidP="002B6B57">
      <w:pPr>
        <w:jc w:val="both"/>
        <w:rPr>
          <w:sz w:val="22"/>
          <w:lang w:val="el-GR"/>
        </w:rPr>
      </w:pPr>
      <w:r w:rsidRPr="00397A42">
        <w:rPr>
          <w:sz w:val="22"/>
          <w:lang w:val="el-GR"/>
        </w:rPr>
        <w:lastRenderedPageBreak/>
        <w:t xml:space="preserve">Δεν πρέπει να αναμιγνύεται με ηπαρίνη γιατί πρόκειται για χημικώς ασύμβατες ουσίες που σε ορισμένη αναλογία μπορεί να σχηματίσουν ίζημα. Η επιρουβικίνη μπορεί να χρησιμοποιηθεί σε συνδυασμό με άλλους χημειοθεραπευτικούς παράγοντες, δεν συνιστάται όμως η ανάμιξη των φαρμάκων αυτών μέσα στην ίδια σύριγγα. </w:t>
      </w:r>
    </w:p>
    <w:p w:rsidR="00A848BA" w:rsidRPr="00397A42" w:rsidRDefault="00A848BA" w:rsidP="002B6B57">
      <w:pPr>
        <w:jc w:val="both"/>
        <w:rPr>
          <w:sz w:val="22"/>
          <w:lang w:val="el-GR"/>
        </w:rPr>
      </w:pPr>
    </w:p>
    <w:p w:rsidR="00192B54" w:rsidRPr="00397A42" w:rsidRDefault="00192B54">
      <w:pPr>
        <w:pStyle w:val="a6"/>
        <w:numPr>
          <w:ilvl w:val="1"/>
          <w:numId w:val="3"/>
        </w:numPr>
        <w:spacing w:line="240" w:lineRule="auto"/>
        <w:rPr>
          <w:rFonts w:ascii="Times New Roman" w:hAnsi="Times New Roman"/>
          <w:sz w:val="22"/>
          <w:szCs w:val="22"/>
        </w:rPr>
      </w:pPr>
      <w:r w:rsidRPr="00397A42">
        <w:rPr>
          <w:rFonts w:ascii="Times New Roman" w:hAnsi="Times New Roman"/>
          <w:sz w:val="22"/>
          <w:szCs w:val="22"/>
        </w:rPr>
        <w:t>Δοσολογία και τρόπος χορήγησης</w:t>
      </w:r>
    </w:p>
    <w:p w:rsidR="00192B54" w:rsidRPr="00397A42" w:rsidRDefault="00192B54" w:rsidP="00A339BE">
      <w:pPr>
        <w:pStyle w:val="a6"/>
        <w:spacing w:line="240" w:lineRule="auto"/>
        <w:rPr>
          <w:rFonts w:ascii="Times New Roman" w:hAnsi="Times New Roman"/>
          <w:sz w:val="22"/>
          <w:szCs w:val="22"/>
        </w:rPr>
      </w:pPr>
      <w:r w:rsidRPr="00397A42">
        <w:rPr>
          <w:rFonts w:ascii="Times New Roman" w:hAnsi="Times New Roman"/>
          <w:sz w:val="22"/>
          <w:szCs w:val="22"/>
        </w:rPr>
        <w:t>Τρόπος χορήγησης</w:t>
      </w:r>
    </w:p>
    <w:p w:rsidR="00192B54" w:rsidRPr="00397A42" w:rsidRDefault="00C857E7">
      <w:pPr>
        <w:rPr>
          <w:rFonts w:ascii="Times New Roman" w:hAnsi="Times New Roman"/>
          <w:sz w:val="22"/>
          <w:szCs w:val="22"/>
          <w:lang w:val="el-GR"/>
        </w:rPr>
      </w:pPr>
      <w:r w:rsidRPr="00397A42">
        <w:rPr>
          <w:rFonts w:ascii="Times New Roman" w:hAnsi="Times New Roman"/>
          <w:sz w:val="22"/>
          <w:szCs w:val="22"/>
          <w:lang w:val="el-GR"/>
        </w:rPr>
        <w:t xml:space="preserve">Η επιρουβικίνη </w:t>
      </w:r>
      <w:r w:rsidR="00192B54" w:rsidRPr="00397A42">
        <w:rPr>
          <w:rFonts w:ascii="Times New Roman" w:hAnsi="Times New Roman"/>
          <w:sz w:val="22"/>
          <w:szCs w:val="22"/>
          <w:lang w:val="el-GR"/>
        </w:rPr>
        <w:t xml:space="preserve">είναι κυτταροτοξικός παράγοντας που χορηγείται με ενδοφλέβια ένεση ή ενδοκυστικώς. </w:t>
      </w:r>
    </w:p>
    <w:p w:rsidR="00192B54" w:rsidRPr="00397A42" w:rsidRDefault="00192B54">
      <w:pPr>
        <w:rPr>
          <w:rFonts w:ascii="Times New Roman" w:hAnsi="Times New Roman"/>
          <w:b/>
          <w:sz w:val="22"/>
          <w:szCs w:val="22"/>
          <w:vertAlign w:val="superscript"/>
          <w:lang w:val="el-GR"/>
        </w:rPr>
      </w:pPr>
    </w:p>
    <w:p w:rsidR="00192B54" w:rsidRPr="00397A42" w:rsidRDefault="00192B54" w:rsidP="00A6204E">
      <w:pPr>
        <w:keepNext/>
        <w:rPr>
          <w:rFonts w:ascii="Times New Roman" w:hAnsi="Times New Roman"/>
          <w:b/>
          <w:sz w:val="22"/>
          <w:szCs w:val="22"/>
          <w:lang w:val="el-GR"/>
        </w:rPr>
      </w:pPr>
      <w:r w:rsidRPr="00397A42">
        <w:rPr>
          <w:rFonts w:ascii="Times New Roman" w:hAnsi="Times New Roman"/>
          <w:b/>
          <w:sz w:val="22"/>
          <w:szCs w:val="22"/>
          <w:lang w:val="el-GR"/>
        </w:rPr>
        <w:t>Ενδοφλέβια Χορήγηση</w:t>
      </w:r>
    </w:p>
    <w:p w:rsidR="00192B54" w:rsidRPr="00397A42" w:rsidRDefault="00192B54" w:rsidP="00A6204E">
      <w:pPr>
        <w:keepNext/>
        <w:rPr>
          <w:rFonts w:ascii="Times New Roman" w:hAnsi="Times New Roman"/>
          <w:sz w:val="22"/>
          <w:szCs w:val="22"/>
          <w:lang w:val="el-GR"/>
        </w:rPr>
      </w:pPr>
      <w:r w:rsidRPr="00397A42">
        <w:rPr>
          <w:rFonts w:ascii="Times New Roman" w:hAnsi="Times New Roman"/>
          <w:sz w:val="22"/>
          <w:szCs w:val="22"/>
          <w:lang w:val="el-GR"/>
        </w:rPr>
        <w:t>Η δοσολογία υπολογίζεται συνήθως με βάση την επιφάνεια του σώματος (mg/m</w:t>
      </w:r>
      <w:r w:rsidRPr="00397A42">
        <w:rPr>
          <w:rFonts w:ascii="Times New Roman" w:hAnsi="Times New Roman"/>
          <w:sz w:val="22"/>
          <w:szCs w:val="22"/>
          <w:vertAlign w:val="superscript"/>
          <w:lang w:val="el-GR"/>
        </w:rPr>
        <w:t>2</w:t>
      </w:r>
      <w:r w:rsidRPr="00397A42">
        <w:rPr>
          <w:rFonts w:ascii="Times New Roman" w:hAnsi="Times New Roman"/>
          <w:sz w:val="22"/>
          <w:szCs w:val="22"/>
          <w:lang w:val="el-GR"/>
        </w:rPr>
        <w:t xml:space="preserve">). Η συνολική δόση </w:t>
      </w:r>
      <w:r w:rsidR="00C857E7" w:rsidRPr="00397A42">
        <w:rPr>
          <w:rFonts w:ascii="Times New Roman" w:hAnsi="Times New Roman"/>
          <w:sz w:val="22"/>
          <w:szCs w:val="22"/>
          <w:lang w:val="el-GR"/>
        </w:rPr>
        <w:t xml:space="preserve">της επιρουβικίνης </w:t>
      </w:r>
      <w:r w:rsidRPr="00397A42">
        <w:rPr>
          <w:rFonts w:ascii="Times New Roman" w:hAnsi="Times New Roman"/>
          <w:sz w:val="22"/>
          <w:szCs w:val="22"/>
          <w:lang w:val="el-GR"/>
        </w:rPr>
        <w:t xml:space="preserve">που χορηγείται ανά κύκλο μπορεί να διαφέρει ανάλογα με τη χρήση της σε κάθε δοσολογικό σχήμα (π.χ. αν χορηγείται σαν μονοθεραπεία ή σε συνδυασμό με άλλα κυτταροτοξικά φάρμακα) και ανάλογα με τη θεραπευτική ένδειξη (π.χ. στη θεραπεία του καρκίνου του μαστού ή του πνεύμονα </w:t>
      </w:r>
      <w:r w:rsidR="00385B0C" w:rsidRPr="00397A42">
        <w:rPr>
          <w:rFonts w:ascii="Times New Roman" w:hAnsi="Times New Roman"/>
          <w:sz w:val="22"/>
          <w:szCs w:val="22"/>
          <w:lang w:val="el-GR"/>
        </w:rPr>
        <w:t>η</w:t>
      </w:r>
      <w:r w:rsidR="00C857E7" w:rsidRPr="00397A42">
        <w:rPr>
          <w:rFonts w:ascii="Times New Roman" w:hAnsi="Times New Roman"/>
          <w:sz w:val="22"/>
          <w:szCs w:val="22"/>
          <w:lang w:val="el-GR"/>
        </w:rPr>
        <w:t xml:space="preserve"> επιρουβικίνη </w:t>
      </w:r>
      <w:r w:rsidRPr="00397A42">
        <w:rPr>
          <w:rFonts w:ascii="Times New Roman" w:hAnsi="Times New Roman"/>
          <w:sz w:val="22"/>
          <w:szCs w:val="22"/>
          <w:lang w:val="el-GR"/>
        </w:rPr>
        <w:t>χορηγείται επίσης και σε δόσεις υψηλότερες από τις συμβατικές).</w:t>
      </w:r>
    </w:p>
    <w:p w:rsidR="00192B54" w:rsidRPr="00397A42" w:rsidRDefault="00192B54">
      <w:pPr>
        <w:rPr>
          <w:rFonts w:ascii="Times New Roman" w:hAnsi="Times New Roman"/>
          <w:sz w:val="22"/>
          <w:szCs w:val="22"/>
          <w:lang w:val="el-GR"/>
        </w:rPr>
      </w:pPr>
    </w:p>
    <w:p w:rsidR="00192B54" w:rsidRPr="00397A42" w:rsidRDefault="00192B54">
      <w:pPr>
        <w:rPr>
          <w:rFonts w:ascii="Times New Roman" w:hAnsi="Times New Roman"/>
          <w:sz w:val="22"/>
          <w:szCs w:val="22"/>
          <w:lang w:val="el-GR"/>
        </w:rPr>
      </w:pPr>
      <w:r w:rsidRPr="00397A42">
        <w:rPr>
          <w:rFonts w:ascii="Times New Roman" w:hAnsi="Times New Roman"/>
          <w:sz w:val="22"/>
          <w:szCs w:val="22"/>
          <w:lang w:val="el-GR"/>
        </w:rPr>
        <w:t xml:space="preserve">Η ενδοφλέβια χορήγηση </w:t>
      </w:r>
      <w:r w:rsidR="00C857E7" w:rsidRPr="00397A42">
        <w:rPr>
          <w:rFonts w:ascii="Times New Roman" w:hAnsi="Times New Roman"/>
          <w:sz w:val="22"/>
          <w:szCs w:val="22"/>
          <w:lang w:val="el-GR"/>
        </w:rPr>
        <w:t xml:space="preserve">της επιρουβικίνης </w:t>
      </w:r>
      <w:r w:rsidRPr="00397A42">
        <w:rPr>
          <w:rFonts w:ascii="Times New Roman" w:hAnsi="Times New Roman"/>
          <w:sz w:val="22"/>
          <w:szCs w:val="22"/>
          <w:lang w:val="el-GR"/>
        </w:rPr>
        <w:t xml:space="preserve">πρέπει να γίνεται με προσοχή. Συνιστάται η χορήγηση </w:t>
      </w:r>
      <w:r w:rsidR="00C857E7" w:rsidRPr="00397A42">
        <w:rPr>
          <w:rFonts w:ascii="Times New Roman" w:hAnsi="Times New Roman"/>
          <w:sz w:val="22"/>
          <w:szCs w:val="22"/>
          <w:lang w:val="el-GR"/>
        </w:rPr>
        <w:t xml:space="preserve">της επιρουβικίνης </w:t>
      </w:r>
      <w:r w:rsidRPr="00397A42">
        <w:rPr>
          <w:rFonts w:ascii="Times New Roman" w:hAnsi="Times New Roman"/>
          <w:sz w:val="22"/>
          <w:szCs w:val="22"/>
          <w:lang w:val="el-GR"/>
        </w:rPr>
        <w:t>σε σωλήνα ενδοφλέβιας έγχυσης ελεύθερης ροής (</w:t>
      </w:r>
      <w:r w:rsidR="00F807B4" w:rsidRPr="00397A42">
        <w:rPr>
          <w:rFonts w:ascii="Times New Roman" w:hAnsi="Times New Roman"/>
          <w:sz w:val="22"/>
          <w:szCs w:val="22"/>
          <w:lang w:val="el-GR"/>
        </w:rPr>
        <w:t xml:space="preserve">με </w:t>
      </w:r>
      <w:r w:rsidRPr="00397A42">
        <w:rPr>
          <w:rFonts w:ascii="Times New Roman" w:hAnsi="Times New Roman"/>
          <w:sz w:val="22"/>
          <w:szCs w:val="22"/>
          <w:lang w:val="el-GR"/>
        </w:rPr>
        <w:t xml:space="preserve">ισότονο φυσιολογικό ορό ή διάλυμα γλυκόζης 5%) για διάστημα 3 μέχρι </w:t>
      </w:r>
      <w:r w:rsidR="00D9689B" w:rsidRPr="00397A42">
        <w:rPr>
          <w:rFonts w:ascii="Times New Roman" w:hAnsi="Times New Roman"/>
          <w:sz w:val="22"/>
          <w:szCs w:val="22"/>
          <w:lang w:val="el-GR"/>
        </w:rPr>
        <w:t>20</w:t>
      </w:r>
      <w:r w:rsidRPr="00397A42">
        <w:rPr>
          <w:rFonts w:ascii="Times New Roman" w:hAnsi="Times New Roman"/>
          <w:sz w:val="22"/>
          <w:szCs w:val="22"/>
          <w:lang w:val="el-GR"/>
        </w:rPr>
        <w:t xml:space="preserve"> λεπτών</w:t>
      </w:r>
      <w:r w:rsidR="00D9689B" w:rsidRPr="00397A42">
        <w:rPr>
          <w:sz w:val="22"/>
          <w:szCs w:val="22"/>
          <w:lang w:val="el-GR"/>
        </w:rPr>
        <w:t>, ανάλογα με τη δοσολογία και τον όγκο του διαλύματος έγχυσης</w:t>
      </w:r>
      <w:r w:rsidRPr="00397A42">
        <w:rPr>
          <w:rFonts w:ascii="Times New Roman" w:hAnsi="Times New Roman"/>
          <w:sz w:val="22"/>
          <w:szCs w:val="22"/>
          <w:lang w:val="el-GR"/>
        </w:rPr>
        <w:t>. Σκοπός της τεχνικής αυτής είναι η ελαχιστοποίηση του κινδύνου θρόμβωσης ή περιφλεβικής εξαγγείωσης που θα μπορούσε να προκαλέσει σοβαρή κυτταρίτιδα, φυσαλλιδοποίηση και νέκρωση των ιστών. Δεν συνιστάται απευθείας ένεση λόγω του κινδύνου εξαγγείωσης, που μπορεί να προκληθεί ακόμη και παρουσία επαρκούς εμφάνισης αίματος κατά την αναρρόφηση της σύριγγας.</w:t>
      </w:r>
    </w:p>
    <w:p w:rsidR="00192B54" w:rsidRPr="00397A42" w:rsidRDefault="00192B54">
      <w:pPr>
        <w:ind w:left="284" w:hanging="284"/>
        <w:jc w:val="both"/>
        <w:rPr>
          <w:rFonts w:ascii="Times New Roman" w:hAnsi="Times New Roman"/>
          <w:sz w:val="22"/>
          <w:szCs w:val="22"/>
          <w:lang w:val="el-GR"/>
        </w:rPr>
      </w:pPr>
    </w:p>
    <w:p w:rsidR="00192B54" w:rsidRPr="00397A42" w:rsidRDefault="00192B54">
      <w:pPr>
        <w:rPr>
          <w:rFonts w:ascii="Times New Roman" w:hAnsi="Times New Roman"/>
          <w:sz w:val="22"/>
          <w:szCs w:val="22"/>
          <w:lang w:val="el-GR"/>
        </w:rPr>
      </w:pPr>
      <w:r w:rsidRPr="00397A42">
        <w:rPr>
          <w:rFonts w:ascii="Times New Roman" w:hAnsi="Times New Roman"/>
          <w:b/>
          <w:sz w:val="22"/>
          <w:szCs w:val="22"/>
          <w:lang w:val="el-GR"/>
        </w:rPr>
        <w:t>Συμβατική δόση</w:t>
      </w:r>
    </w:p>
    <w:p w:rsidR="00192B54" w:rsidRPr="00397A42" w:rsidRDefault="006330CC">
      <w:pPr>
        <w:rPr>
          <w:rFonts w:ascii="Times New Roman" w:hAnsi="Times New Roman"/>
          <w:sz w:val="22"/>
          <w:szCs w:val="22"/>
          <w:lang w:val="el-GR"/>
        </w:rPr>
      </w:pPr>
      <w:r w:rsidRPr="00397A42">
        <w:rPr>
          <w:rFonts w:ascii="Times New Roman" w:hAnsi="Times New Roman"/>
          <w:sz w:val="22"/>
          <w:szCs w:val="22"/>
          <w:lang w:val="el-GR"/>
        </w:rPr>
        <w:t>Ό</w:t>
      </w:r>
      <w:r w:rsidR="00192B54" w:rsidRPr="00397A42">
        <w:rPr>
          <w:rFonts w:ascii="Times New Roman" w:hAnsi="Times New Roman"/>
          <w:sz w:val="22"/>
          <w:szCs w:val="22"/>
          <w:lang w:val="el-GR"/>
        </w:rPr>
        <w:t xml:space="preserve">ταν </w:t>
      </w:r>
      <w:r w:rsidR="00C857E7" w:rsidRPr="00397A42">
        <w:rPr>
          <w:rFonts w:ascii="Times New Roman" w:hAnsi="Times New Roman"/>
          <w:sz w:val="22"/>
          <w:szCs w:val="22"/>
          <w:lang w:val="el-GR"/>
        </w:rPr>
        <w:t xml:space="preserve">η επιρουβικίνη </w:t>
      </w:r>
      <w:r w:rsidR="00192B54" w:rsidRPr="00397A42">
        <w:rPr>
          <w:rFonts w:ascii="Times New Roman" w:hAnsi="Times New Roman"/>
          <w:sz w:val="22"/>
          <w:szCs w:val="22"/>
          <w:lang w:val="el-GR"/>
        </w:rPr>
        <w:t>χρησιμοποιείται ως μονοθεραπεία, η συνιστώμενη δόση ανά κύκλο σε ενήλικες είναι 60-</w:t>
      </w:r>
      <w:r w:rsidR="00D9689B" w:rsidRPr="00397A42">
        <w:rPr>
          <w:rFonts w:ascii="Times New Roman" w:hAnsi="Times New Roman"/>
          <w:sz w:val="22"/>
          <w:szCs w:val="22"/>
          <w:lang w:val="el-GR"/>
        </w:rPr>
        <w:t>120</w:t>
      </w:r>
      <w:r w:rsidR="00192B54" w:rsidRPr="00397A42">
        <w:rPr>
          <w:rFonts w:ascii="Times New Roman" w:hAnsi="Times New Roman"/>
          <w:sz w:val="22"/>
          <w:szCs w:val="22"/>
          <w:lang w:val="el-GR"/>
        </w:rPr>
        <w:t xml:space="preserve"> mg/m</w:t>
      </w:r>
      <w:r w:rsidR="00192B54" w:rsidRPr="00397A42">
        <w:rPr>
          <w:rFonts w:ascii="Times New Roman" w:hAnsi="Times New Roman"/>
          <w:sz w:val="22"/>
          <w:szCs w:val="22"/>
          <w:vertAlign w:val="superscript"/>
          <w:lang w:val="el-GR"/>
        </w:rPr>
        <w:t>2</w:t>
      </w:r>
      <w:r w:rsidR="00A6204E" w:rsidRPr="00397A42">
        <w:rPr>
          <w:rFonts w:ascii="Times New Roman" w:hAnsi="Times New Roman"/>
          <w:sz w:val="22"/>
          <w:szCs w:val="22"/>
          <w:lang w:val="el-GR"/>
        </w:rPr>
        <w:t xml:space="preserve"> </w:t>
      </w:r>
      <w:r w:rsidR="00192B54" w:rsidRPr="00397A42">
        <w:rPr>
          <w:rFonts w:ascii="Times New Roman" w:hAnsi="Times New Roman"/>
          <w:sz w:val="22"/>
          <w:szCs w:val="22"/>
          <w:lang w:val="el-GR"/>
        </w:rPr>
        <w:t>επιφάνειας σώματος.</w:t>
      </w:r>
    </w:p>
    <w:p w:rsidR="00192B54" w:rsidRPr="00397A42" w:rsidRDefault="00192B54">
      <w:pPr>
        <w:rPr>
          <w:rFonts w:ascii="Times New Roman" w:hAnsi="Times New Roman"/>
          <w:sz w:val="22"/>
          <w:szCs w:val="22"/>
          <w:lang w:val="el-GR"/>
        </w:rPr>
      </w:pPr>
    </w:p>
    <w:p w:rsidR="00192B54" w:rsidRPr="00397A42" w:rsidRDefault="00192B54">
      <w:pPr>
        <w:rPr>
          <w:rFonts w:ascii="Times New Roman" w:hAnsi="Times New Roman"/>
          <w:sz w:val="22"/>
          <w:szCs w:val="22"/>
          <w:lang w:val="el-GR"/>
        </w:rPr>
      </w:pPr>
      <w:r w:rsidRPr="00397A42">
        <w:rPr>
          <w:rFonts w:ascii="Times New Roman" w:hAnsi="Times New Roman"/>
          <w:sz w:val="22"/>
          <w:szCs w:val="22"/>
          <w:lang w:val="el-GR"/>
        </w:rPr>
        <w:t>Η συνολική δόση ανά κύκλο μπορεί να χορηγηθεί σε εφάπαξ δόση ή να κατανεμηθεί σε 2-3 διαδοχικές ημέρες. Σε καταστάσεις φυσιολογικής ανάνηψης από την τοξικότητα που προκαλείται από το φάρμακο (ειδικά μυελοκαταστολή και στοματίτιδα), κάθε κύκλος θεραπείας μπορεί να επαναλαμβάνεται κάθε 3</w:t>
      </w:r>
      <w:r w:rsidR="00D9689B" w:rsidRPr="00397A42">
        <w:rPr>
          <w:sz w:val="22"/>
          <w:szCs w:val="22"/>
          <w:lang w:val="el-GR"/>
        </w:rPr>
        <w:t xml:space="preserve"> έως 4</w:t>
      </w:r>
      <w:r w:rsidRPr="00397A42">
        <w:rPr>
          <w:rFonts w:ascii="Times New Roman" w:hAnsi="Times New Roman"/>
          <w:sz w:val="22"/>
          <w:szCs w:val="22"/>
          <w:lang w:val="el-GR"/>
        </w:rPr>
        <w:t xml:space="preserve"> εβδομάδες.</w:t>
      </w:r>
    </w:p>
    <w:p w:rsidR="00192B54" w:rsidRPr="00397A42" w:rsidRDefault="00192B54">
      <w:pPr>
        <w:rPr>
          <w:rFonts w:ascii="Times New Roman" w:hAnsi="Times New Roman"/>
          <w:sz w:val="22"/>
          <w:szCs w:val="22"/>
          <w:lang w:val="el-GR"/>
        </w:rPr>
      </w:pPr>
    </w:p>
    <w:p w:rsidR="00192B54" w:rsidRPr="00397A42" w:rsidRDefault="00192B54">
      <w:pPr>
        <w:rPr>
          <w:rFonts w:ascii="Times New Roman" w:hAnsi="Times New Roman"/>
          <w:b/>
          <w:sz w:val="22"/>
          <w:szCs w:val="22"/>
          <w:lang w:val="el-GR"/>
        </w:rPr>
      </w:pPr>
      <w:r w:rsidRPr="00397A42">
        <w:rPr>
          <w:rFonts w:ascii="Times New Roman" w:hAnsi="Times New Roman"/>
          <w:b/>
          <w:sz w:val="22"/>
          <w:szCs w:val="22"/>
          <w:lang w:val="el-GR"/>
        </w:rPr>
        <w:t>Υψηλές δόσεις</w:t>
      </w:r>
    </w:p>
    <w:p w:rsidR="00192B54" w:rsidRPr="00397A42" w:rsidRDefault="00C857E7">
      <w:pPr>
        <w:rPr>
          <w:rFonts w:ascii="Times New Roman" w:hAnsi="Times New Roman"/>
          <w:sz w:val="22"/>
          <w:szCs w:val="22"/>
          <w:lang w:val="el-GR"/>
        </w:rPr>
      </w:pPr>
      <w:r w:rsidRPr="00397A42">
        <w:rPr>
          <w:rFonts w:ascii="Times New Roman" w:hAnsi="Times New Roman"/>
          <w:sz w:val="22"/>
          <w:szCs w:val="22"/>
          <w:lang w:val="el-GR"/>
        </w:rPr>
        <w:t xml:space="preserve">Η επιρουβικίνη </w:t>
      </w:r>
      <w:r w:rsidR="00065661" w:rsidRPr="00397A42">
        <w:rPr>
          <w:rFonts w:ascii="Times New Roman" w:hAnsi="Times New Roman"/>
          <w:sz w:val="22"/>
          <w:szCs w:val="22"/>
          <w:lang w:val="el-GR"/>
        </w:rPr>
        <w:t>ως μονοθεραπεία</w:t>
      </w:r>
      <w:r w:rsidR="00192B54" w:rsidRPr="00397A42">
        <w:rPr>
          <w:rFonts w:ascii="Times New Roman" w:hAnsi="Times New Roman"/>
          <w:sz w:val="22"/>
          <w:szCs w:val="22"/>
          <w:lang w:val="el-GR"/>
        </w:rPr>
        <w:t xml:space="preserve"> στην αντιμετώπιση του καρκίνου του πνεύμονα </w:t>
      </w:r>
      <w:r w:rsidR="00F807B4" w:rsidRPr="00397A42">
        <w:rPr>
          <w:rFonts w:ascii="Times New Roman" w:hAnsi="Times New Roman"/>
          <w:sz w:val="22"/>
          <w:szCs w:val="22"/>
          <w:lang w:val="el-GR"/>
        </w:rPr>
        <w:t>μ</w:t>
      </w:r>
      <w:r w:rsidR="00192B54" w:rsidRPr="00397A42">
        <w:rPr>
          <w:rFonts w:ascii="Times New Roman" w:hAnsi="Times New Roman"/>
          <w:sz w:val="22"/>
          <w:szCs w:val="22"/>
          <w:lang w:val="el-GR"/>
        </w:rPr>
        <w:t>ε υψηλές δόσεις ή στην αντιμετώπιση του προχωρημένου καρκίνου του μαστού με υψηλές δόσεις σε μονοθεραπεία και σε συνδυασμένη θεραπεία πρ</w:t>
      </w:r>
      <w:r w:rsidR="0057448D" w:rsidRPr="00397A42">
        <w:rPr>
          <w:rFonts w:ascii="Times New Roman" w:hAnsi="Times New Roman"/>
          <w:sz w:val="22"/>
          <w:szCs w:val="22"/>
          <w:lang w:val="el-GR"/>
        </w:rPr>
        <w:t>έπει να χορηγείται σύμφωνα με τα</w:t>
      </w:r>
      <w:r w:rsidR="00192B54" w:rsidRPr="00397A42">
        <w:rPr>
          <w:rFonts w:ascii="Times New Roman" w:hAnsi="Times New Roman"/>
          <w:sz w:val="22"/>
          <w:szCs w:val="22"/>
          <w:lang w:val="el-GR"/>
        </w:rPr>
        <w:t xml:space="preserve"> ακόλουθα σχήματα:</w:t>
      </w:r>
    </w:p>
    <w:p w:rsidR="00192B54" w:rsidRPr="00397A42" w:rsidRDefault="00192B54">
      <w:pPr>
        <w:numPr>
          <w:ilvl w:val="0"/>
          <w:numId w:val="4"/>
        </w:numPr>
        <w:rPr>
          <w:rFonts w:ascii="Times New Roman" w:hAnsi="Times New Roman"/>
          <w:sz w:val="22"/>
          <w:szCs w:val="22"/>
          <w:lang w:val="el-GR"/>
        </w:rPr>
      </w:pPr>
      <w:r w:rsidRPr="00397A42">
        <w:rPr>
          <w:rFonts w:ascii="Times New Roman" w:hAnsi="Times New Roman"/>
          <w:sz w:val="22"/>
          <w:szCs w:val="22"/>
          <w:lang w:val="el-GR"/>
        </w:rPr>
        <w:t>Μικροκυτταρικός καρκίνος πνεύμονα (χωρίς προηγούμενη θεραπεία): 120 mg/m</w:t>
      </w:r>
      <w:r w:rsidRPr="00397A42">
        <w:rPr>
          <w:rFonts w:ascii="Times New Roman" w:hAnsi="Times New Roman"/>
          <w:sz w:val="22"/>
          <w:szCs w:val="22"/>
          <w:vertAlign w:val="superscript"/>
          <w:lang w:val="el-GR"/>
        </w:rPr>
        <w:t>2</w:t>
      </w:r>
      <w:r w:rsidR="00A6204E" w:rsidRPr="00397A42">
        <w:rPr>
          <w:rFonts w:ascii="Times New Roman" w:hAnsi="Times New Roman"/>
          <w:sz w:val="22"/>
          <w:szCs w:val="22"/>
          <w:lang w:val="el-GR"/>
        </w:rPr>
        <w:t xml:space="preserve">, ημέρα 1, </w:t>
      </w:r>
      <w:r w:rsidRPr="00397A42">
        <w:rPr>
          <w:rFonts w:ascii="Times New Roman" w:hAnsi="Times New Roman"/>
          <w:sz w:val="22"/>
          <w:szCs w:val="22"/>
          <w:lang w:val="el-GR"/>
        </w:rPr>
        <w:t>κάθε 3</w:t>
      </w:r>
      <w:r w:rsidR="00D9689B" w:rsidRPr="00397A42">
        <w:rPr>
          <w:sz w:val="22"/>
          <w:szCs w:val="22"/>
          <w:lang w:val="el-GR"/>
        </w:rPr>
        <w:t xml:space="preserve"> έως 4</w:t>
      </w:r>
      <w:r w:rsidRPr="00397A42">
        <w:rPr>
          <w:rFonts w:ascii="Times New Roman" w:hAnsi="Times New Roman"/>
          <w:sz w:val="22"/>
          <w:szCs w:val="22"/>
          <w:lang w:val="el-GR"/>
        </w:rPr>
        <w:t xml:space="preserve"> εβδομάδες.</w:t>
      </w:r>
    </w:p>
    <w:p w:rsidR="00192B54" w:rsidRPr="00397A42" w:rsidRDefault="00192B54">
      <w:pPr>
        <w:numPr>
          <w:ilvl w:val="0"/>
          <w:numId w:val="4"/>
        </w:numPr>
        <w:rPr>
          <w:rFonts w:ascii="Times New Roman" w:hAnsi="Times New Roman"/>
          <w:sz w:val="22"/>
          <w:szCs w:val="22"/>
          <w:lang w:val="el-GR"/>
        </w:rPr>
      </w:pPr>
      <w:r w:rsidRPr="00397A42">
        <w:rPr>
          <w:rFonts w:ascii="Times New Roman" w:hAnsi="Times New Roman"/>
          <w:sz w:val="22"/>
          <w:szCs w:val="22"/>
          <w:lang w:val="el-GR"/>
        </w:rPr>
        <w:t>Μη μικροκυτταρικός καρκίνος πνεύμονα (επιδερμοειδής, μεγαλοκυτταρικός και αδενοκαρκίνωμα, χωρίς προηγούμενη θεραπεία): 135 mg/m</w:t>
      </w:r>
      <w:r w:rsidRPr="00397A42">
        <w:rPr>
          <w:rFonts w:ascii="Times New Roman" w:hAnsi="Times New Roman"/>
          <w:sz w:val="22"/>
          <w:szCs w:val="22"/>
          <w:vertAlign w:val="superscript"/>
          <w:lang w:val="el-GR"/>
        </w:rPr>
        <w:t>2</w:t>
      </w:r>
      <w:r w:rsidRPr="00397A42">
        <w:rPr>
          <w:rFonts w:ascii="Times New Roman" w:hAnsi="Times New Roman"/>
          <w:sz w:val="22"/>
          <w:szCs w:val="22"/>
          <w:lang w:val="el-GR"/>
        </w:rPr>
        <w:t>, ημέρα 1 ή 45 mg/m</w:t>
      </w:r>
      <w:r w:rsidRPr="00397A42">
        <w:rPr>
          <w:rFonts w:ascii="Times New Roman" w:hAnsi="Times New Roman"/>
          <w:sz w:val="22"/>
          <w:szCs w:val="22"/>
          <w:vertAlign w:val="superscript"/>
          <w:lang w:val="el-GR"/>
        </w:rPr>
        <w:t>2</w:t>
      </w:r>
      <w:r w:rsidRPr="00397A42">
        <w:rPr>
          <w:rFonts w:ascii="Times New Roman" w:hAnsi="Times New Roman"/>
          <w:sz w:val="22"/>
          <w:szCs w:val="22"/>
          <w:lang w:val="el-GR"/>
        </w:rPr>
        <w:t>, ημέρα 1, 2, 3, κάθε 3</w:t>
      </w:r>
      <w:r w:rsidR="00D9689B" w:rsidRPr="00397A42">
        <w:rPr>
          <w:sz w:val="22"/>
          <w:szCs w:val="22"/>
          <w:lang w:val="el-GR"/>
        </w:rPr>
        <w:t xml:space="preserve"> έως 4</w:t>
      </w:r>
      <w:r w:rsidRPr="00397A42">
        <w:rPr>
          <w:rFonts w:ascii="Times New Roman" w:hAnsi="Times New Roman"/>
          <w:sz w:val="22"/>
          <w:szCs w:val="22"/>
          <w:lang w:val="el-GR"/>
        </w:rPr>
        <w:t xml:space="preserve"> εβδομάδες.</w:t>
      </w:r>
    </w:p>
    <w:p w:rsidR="00192B54" w:rsidRPr="00397A42" w:rsidRDefault="00192B54">
      <w:pPr>
        <w:numPr>
          <w:ilvl w:val="0"/>
          <w:numId w:val="4"/>
        </w:numPr>
        <w:rPr>
          <w:rFonts w:ascii="Times New Roman" w:hAnsi="Times New Roman"/>
          <w:sz w:val="22"/>
          <w:szCs w:val="22"/>
          <w:lang w:val="el-GR"/>
        </w:rPr>
      </w:pPr>
      <w:r w:rsidRPr="00397A42">
        <w:rPr>
          <w:rFonts w:ascii="Times New Roman" w:hAnsi="Times New Roman"/>
          <w:bCs/>
          <w:sz w:val="22"/>
          <w:szCs w:val="22"/>
          <w:lang w:val="el-GR"/>
        </w:rPr>
        <w:t xml:space="preserve">Καρκίνος μαστού: Δόσεις μέχρι 135 </w:t>
      </w:r>
      <w:r w:rsidRPr="00397A42">
        <w:rPr>
          <w:rFonts w:ascii="Times New Roman" w:hAnsi="Times New Roman"/>
          <w:sz w:val="22"/>
          <w:szCs w:val="22"/>
          <w:lang w:val="el-GR"/>
        </w:rPr>
        <w:t>mg/m</w:t>
      </w:r>
      <w:r w:rsidRPr="00397A42">
        <w:rPr>
          <w:rFonts w:ascii="Times New Roman" w:hAnsi="Times New Roman"/>
          <w:sz w:val="22"/>
          <w:szCs w:val="22"/>
          <w:vertAlign w:val="superscript"/>
          <w:lang w:val="el-GR"/>
        </w:rPr>
        <w:t>2</w:t>
      </w:r>
      <w:r w:rsidRPr="00397A42">
        <w:rPr>
          <w:rFonts w:ascii="Times New Roman" w:hAnsi="Times New Roman"/>
          <w:sz w:val="22"/>
          <w:szCs w:val="22"/>
          <w:lang w:val="el-GR"/>
        </w:rPr>
        <w:t xml:space="preserve"> σε μονοθεραπεία και 120 mg/m</w:t>
      </w:r>
      <w:r w:rsidRPr="00397A42">
        <w:rPr>
          <w:rFonts w:ascii="Times New Roman" w:hAnsi="Times New Roman"/>
          <w:sz w:val="22"/>
          <w:szCs w:val="22"/>
          <w:vertAlign w:val="superscript"/>
          <w:lang w:val="el-GR"/>
        </w:rPr>
        <w:t>2</w:t>
      </w:r>
      <w:r w:rsidRPr="00397A42">
        <w:rPr>
          <w:rFonts w:ascii="Times New Roman" w:hAnsi="Times New Roman"/>
          <w:sz w:val="22"/>
          <w:szCs w:val="22"/>
          <w:lang w:val="el-GR"/>
        </w:rPr>
        <w:t xml:space="preserve"> σε συνδυασμένη θεραπεία κάθε 3</w:t>
      </w:r>
      <w:r w:rsidR="00D9689B" w:rsidRPr="00397A42">
        <w:rPr>
          <w:sz w:val="22"/>
          <w:szCs w:val="22"/>
          <w:lang w:val="el-GR"/>
        </w:rPr>
        <w:t xml:space="preserve"> έως </w:t>
      </w:r>
      <w:r w:rsidRPr="00397A42">
        <w:rPr>
          <w:rFonts w:ascii="Times New Roman" w:hAnsi="Times New Roman"/>
          <w:sz w:val="22"/>
          <w:szCs w:val="22"/>
          <w:lang w:val="el-GR"/>
        </w:rPr>
        <w:t xml:space="preserve">4 εβδομάδες αποδείχθηκαν αποτελεσματικές και καλά ανεκτές στη θεραπεία του προχωρημένου καρκίνου του μαστού. Στην επικουρική θεραπεία του πρώιμου καρκίνου του μαστού σε </w:t>
      </w:r>
      <w:r w:rsidR="00CB0C02" w:rsidRPr="00397A42">
        <w:rPr>
          <w:rFonts w:ascii="Times New Roman" w:hAnsi="Times New Roman"/>
          <w:sz w:val="22"/>
          <w:szCs w:val="22"/>
          <w:lang w:val="el-GR"/>
        </w:rPr>
        <w:t>θετικ</w:t>
      </w:r>
      <w:r w:rsidR="00F807B4" w:rsidRPr="00397A42">
        <w:rPr>
          <w:rFonts w:ascii="Times New Roman" w:hAnsi="Times New Roman"/>
          <w:sz w:val="22"/>
          <w:szCs w:val="22"/>
          <w:lang w:val="el-GR"/>
        </w:rPr>
        <w:t>ού</w:t>
      </w:r>
      <w:r w:rsidR="00CB0C02" w:rsidRPr="00397A42">
        <w:rPr>
          <w:rFonts w:ascii="Times New Roman" w:hAnsi="Times New Roman"/>
          <w:sz w:val="22"/>
          <w:szCs w:val="22"/>
          <w:lang w:val="el-GR"/>
        </w:rPr>
        <w:t xml:space="preserve">ς ως προς τους </w:t>
      </w:r>
      <w:r w:rsidRPr="00397A42">
        <w:rPr>
          <w:rFonts w:ascii="Times New Roman" w:hAnsi="Times New Roman"/>
          <w:sz w:val="22"/>
          <w:szCs w:val="22"/>
          <w:lang w:val="el-GR"/>
        </w:rPr>
        <w:t>λεμφαδένες</w:t>
      </w:r>
      <w:r w:rsidR="00CB0C02" w:rsidRPr="00397A42">
        <w:rPr>
          <w:rFonts w:ascii="Times New Roman" w:hAnsi="Times New Roman"/>
          <w:sz w:val="22"/>
          <w:szCs w:val="22"/>
          <w:lang w:val="el-GR"/>
        </w:rPr>
        <w:t xml:space="preserve"> ασθενείς</w:t>
      </w:r>
      <w:r w:rsidRPr="00397A42">
        <w:rPr>
          <w:rFonts w:ascii="Times New Roman" w:hAnsi="Times New Roman"/>
          <w:sz w:val="22"/>
          <w:szCs w:val="22"/>
          <w:lang w:val="el-GR"/>
        </w:rPr>
        <w:t>, συνιστάται η χορήγηση δόσεων από 100 mg/m</w:t>
      </w:r>
      <w:r w:rsidRPr="00397A42">
        <w:rPr>
          <w:rFonts w:ascii="Times New Roman" w:hAnsi="Times New Roman"/>
          <w:sz w:val="22"/>
          <w:szCs w:val="22"/>
          <w:vertAlign w:val="superscript"/>
          <w:lang w:val="el-GR"/>
        </w:rPr>
        <w:t>2</w:t>
      </w:r>
      <w:r w:rsidRPr="00397A42">
        <w:rPr>
          <w:rFonts w:ascii="Times New Roman" w:hAnsi="Times New Roman"/>
          <w:sz w:val="22"/>
          <w:szCs w:val="22"/>
          <w:lang w:val="el-GR"/>
        </w:rPr>
        <w:t xml:space="preserve"> μέχρι 120 mg/m</w:t>
      </w:r>
      <w:r w:rsidRPr="00397A42">
        <w:rPr>
          <w:rFonts w:ascii="Times New Roman" w:hAnsi="Times New Roman"/>
          <w:sz w:val="22"/>
          <w:szCs w:val="22"/>
          <w:vertAlign w:val="superscript"/>
          <w:lang w:val="el-GR"/>
        </w:rPr>
        <w:t>2</w:t>
      </w:r>
      <w:r w:rsidRPr="00397A42">
        <w:rPr>
          <w:rFonts w:ascii="Times New Roman" w:hAnsi="Times New Roman"/>
          <w:sz w:val="22"/>
          <w:szCs w:val="22"/>
          <w:lang w:val="el-GR"/>
        </w:rPr>
        <w:t xml:space="preserve"> κάθε 3</w:t>
      </w:r>
      <w:r w:rsidR="00D9689B" w:rsidRPr="00397A42">
        <w:rPr>
          <w:sz w:val="22"/>
          <w:szCs w:val="22"/>
          <w:lang w:val="el-GR"/>
        </w:rPr>
        <w:t xml:space="preserve"> έως </w:t>
      </w:r>
      <w:r w:rsidRPr="00397A42">
        <w:rPr>
          <w:rFonts w:ascii="Times New Roman" w:hAnsi="Times New Roman"/>
          <w:sz w:val="22"/>
          <w:szCs w:val="22"/>
          <w:lang w:val="el-GR"/>
        </w:rPr>
        <w:t>4 εβδομάδες.</w:t>
      </w:r>
    </w:p>
    <w:p w:rsidR="00192B54" w:rsidRPr="00397A42" w:rsidRDefault="00192B54">
      <w:pPr>
        <w:rPr>
          <w:rFonts w:ascii="Times New Roman" w:hAnsi="Times New Roman"/>
          <w:bCs/>
          <w:sz w:val="22"/>
          <w:szCs w:val="22"/>
          <w:lang w:val="el-GR"/>
        </w:rPr>
      </w:pPr>
    </w:p>
    <w:p w:rsidR="00192B54" w:rsidRPr="00397A42" w:rsidRDefault="00192B54">
      <w:pPr>
        <w:rPr>
          <w:rFonts w:ascii="Times New Roman" w:hAnsi="Times New Roman"/>
          <w:sz w:val="22"/>
          <w:szCs w:val="22"/>
          <w:lang w:val="el-GR"/>
        </w:rPr>
      </w:pPr>
      <w:r w:rsidRPr="00397A42">
        <w:rPr>
          <w:rFonts w:ascii="Times New Roman" w:hAnsi="Times New Roman"/>
          <w:sz w:val="22"/>
          <w:szCs w:val="22"/>
          <w:lang w:val="el-GR"/>
        </w:rPr>
        <w:lastRenderedPageBreak/>
        <w:t>Χαμηλότερες δόσεις (60-70 mg/m</w:t>
      </w:r>
      <w:r w:rsidRPr="00397A42">
        <w:rPr>
          <w:rFonts w:ascii="Times New Roman" w:hAnsi="Times New Roman"/>
          <w:sz w:val="22"/>
          <w:szCs w:val="22"/>
          <w:vertAlign w:val="superscript"/>
          <w:lang w:val="el-GR"/>
        </w:rPr>
        <w:t>2</w:t>
      </w:r>
      <w:r w:rsidRPr="00397A42">
        <w:rPr>
          <w:rFonts w:ascii="Times New Roman" w:hAnsi="Times New Roman"/>
          <w:sz w:val="22"/>
          <w:szCs w:val="22"/>
          <w:lang w:val="el-GR"/>
        </w:rPr>
        <w:t xml:space="preserve"> για τα σχήματα συμβατικών δόσεων και 105-120 mg/m</w:t>
      </w:r>
      <w:r w:rsidRPr="00397A42">
        <w:rPr>
          <w:rFonts w:ascii="Times New Roman" w:hAnsi="Times New Roman"/>
          <w:sz w:val="22"/>
          <w:szCs w:val="22"/>
          <w:vertAlign w:val="superscript"/>
          <w:lang w:val="el-GR"/>
        </w:rPr>
        <w:t>2</w:t>
      </w:r>
      <w:r w:rsidRPr="00397A42">
        <w:rPr>
          <w:rFonts w:ascii="Times New Roman" w:hAnsi="Times New Roman"/>
          <w:sz w:val="22"/>
          <w:szCs w:val="22"/>
          <w:lang w:val="el-GR"/>
        </w:rPr>
        <w:t xml:space="preserve"> για τα σχήματα υψηλών δόσεων) συνιστώνται σε ασθενείς των οποίων η λειτουργία του μυελού των οστών είναι ήδη επιβαρυμένη, λόγω προηγούμενης χημειοθεραπείας, σε ηλικιωμένους ασθενείς ή επί παρουσίας νεοπλασματικής διήθησης του μυελού των οστών. </w:t>
      </w:r>
      <w:r w:rsidR="006330CC" w:rsidRPr="00397A42">
        <w:rPr>
          <w:rFonts w:ascii="Times New Roman" w:hAnsi="Times New Roman"/>
          <w:sz w:val="22"/>
          <w:szCs w:val="22"/>
          <w:lang w:val="el-GR"/>
        </w:rPr>
        <w:t>Ό</w:t>
      </w:r>
      <w:r w:rsidRPr="00397A42">
        <w:rPr>
          <w:rFonts w:ascii="Times New Roman" w:hAnsi="Times New Roman"/>
          <w:sz w:val="22"/>
          <w:szCs w:val="22"/>
          <w:lang w:val="el-GR"/>
        </w:rPr>
        <w:t xml:space="preserve">ταν </w:t>
      </w:r>
      <w:r w:rsidR="00C857E7" w:rsidRPr="00397A42">
        <w:rPr>
          <w:rFonts w:ascii="Times New Roman" w:hAnsi="Times New Roman"/>
          <w:sz w:val="22"/>
          <w:szCs w:val="22"/>
          <w:lang w:val="el-GR"/>
        </w:rPr>
        <w:t xml:space="preserve">η επιρουβικίνη </w:t>
      </w:r>
      <w:r w:rsidRPr="00397A42">
        <w:rPr>
          <w:rFonts w:ascii="Times New Roman" w:hAnsi="Times New Roman"/>
          <w:sz w:val="22"/>
          <w:szCs w:val="22"/>
          <w:lang w:val="el-GR"/>
        </w:rPr>
        <w:t>χρησιμοποιείται σε συνδυασμό με άλλα κυτταροτοξικά φάρμακα με ενδεχόμενη αλληλοκαλυπτόμενη τοξικότητα, η συνιστώμενη δόση ανά κύκλο θα πρέπει να μειώνεται αντίστοιχα.</w:t>
      </w:r>
    </w:p>
    <w:p w:rsidR="00192B54" w:rsidRPr="00397A42" w:rsidRDefault="00192B54">
      <w:pPr>
        <w:rPr>
          <w:rFonts w:ascii="Times New Roman" w:hAnsi="Times New Roman"/>
          <w:sz w:val="22"/>
          <w:szCs w:val="22"/>
          <w:lang w:val="el-GR"/>
        </w:rPr>
      </w:pPr>
    </w:p>
    <w:p w:rsidR="00192B54" w:rsidRPr="00397A42" w:rsidRDefault="00192B54">
      <w:pPr>
        <w:rPr>
          <w:rFonts w:ascii="Times New Roman" w:hAnsi="Times New Roman"/>
          <w:b/>
          <w:sz w:val="22"/>
          <w:szCs w:val="22"/>
          <w:lang w:val="el-GR"/>
        </w:rPr>
      </w:pPr>
      <w:r w:rsidRPr="00397A42">
        <w:rPr>
          <w:rFonts w:ascii="Times New Roman" w:hAnsi="Times New Roman"/>
          <w:b/>
          <w:sz w:val="22"/>
          <w:szCs w:val="22"/>
          <w:lang w:val="el-GR"/>
        </w:rPr>
        <w:t>Νεφρική-ηπατική ανεπάρκεια</w:t>
      </w:r>
    </w:p>
    <w:p w:rsidR="00192B54" w:rsidRPr="00397A42" w:rsidRDefault="00192B54">
      <w:pPr>
        <w:rPr>
          <w:rFonts w:ascii="Times New Roman" w:hAnsi="Times New Roman"/>
          <w:sz w:val="22"/>
          <w:szCs w:val="22"/>
          <w:lang w:val="el-GR"/>
        </w:rPr>
      </w:pPr>
      <w:r w:rsidRPr="00397A42">
        <w:rPr>
          <w:rFonts w:ascii="Times New Roman" w:hAnsi="Times New Roman"/>
          <w:sz w:val="22"/>
          <w:szCs w:val="22"/>
          <w:lang w:val="el-GR"/>
        </w:rPr>
        <w:t xml:space="preserve">Η μέτρια νεφρική ανεπάρκεια δεν φαίνεται να απαιτεί ελάττωση δοσολογίας λόγω της περιορισμένης ποσότητας </w:t>
      </w:r>
      <w:r w:rsidR="00385B0C" w:rsidRPr="00397A42">
        <w:rPr>
          <w:sz w:val="22"/>
          <w:szCs w:val="22"/>
          <w:lang w:val="el-GR"/>
        </w:rPr>
        <w:t>επιρουβικίνης</w:t>
      </w:r>
      <w:r w:rsidRPr="00397A42">
        <w:rPr>
          <w:rFonts w:ascii="Times New Roman" w:hAnsi="Times New Roman"/>
          <w:sz w:val="22"/>
          <w:szCs w:val="22"/>
          <w:lang w:val="el-GR"/>
        </w:rPr>
        <w:t xml:space="preserve"> που απεκκρίνεται από την οδό αυτή. Σε ασθενείς με σοβαρή νεφρική ανεπάρκεια (κρεατινίνη ορού &gt; 5 </w:t>
      </w:r>
      <w:r w:rsidRPr="00397A42">
        <w:rPr>
          <w:rFonts w:ascii="Times New Roman" w:hAnsi="Times New Roman"/>
          <w:sz w:val="22"/>
          <w:szCs w:val="22"/>
        </w:rPr>
        <w:t>mg</w:t>
      </w:r>
      <w:r w:rsidRPr="00397A42">
        <w:rPr>
          <w:rFonts w:ascii="Times New Roman" w:hAnsi="Times New Roman"/>
          <w:sz w:val="22"/>
          <w:szCs w:val="22"/>
          <w:lang w:val="el-GR"/>
        </w:rPr>
        <w:t>/</w:t>
      </w:r>
      <w:proofErr w:type="spellStart"/>
      <w:r w:rsidRPr="00397A42">
        <w:rPr>
          <w:rFonts w:ascii="Times New Roman" w:hAnsi="Times New Roman"/>
          <w:sz w:val="22"/>
          <w:szCs w:val="22"/>
        </w:rPr>
        <w:t>dL</w:t>
      </w:r>
      <w:proofErr w:type="spellEnd"/>
      <w:r w:rsidRPr="00397A42">
        <w:rPr>
          <w:rFonts w:ascii="Times New Roman" w:hAnsi="Times New Roman"/>
          <w:sz w:val="22"/>
          <w:szCs w:val="22"/>
          <w:lang w:val="el-GR"/>
        </w:rPr>
        <w:t>) η έναρξη της θεραπείας  πρέπει να γίνεται με χαμηλότερες δόσεις.</w:t>
      </w:r>
    </w:p>
    <w:p w:rsidR="00192B54" w:rsidRPr="00397A42" w:rsidRDefault="00192B54">
      <w:pPr>
        <w:rPr>
          <w:rFonts w:ascii="Times New Roman" w:hAnsi="Times New Roman"/>
          <w:sz w:val="22"/>
          <w:szCs w:val="22"/>
          <w:lang w:val="el-GR"/>
        </w:rPr>
      </w:pPr>
      <w:r w:rsidRPr="00397A42">
        <w:rPr>
          <w:rFonts w:ascii="Times New Roman" w:hAnsi="Times New Roman"/>
          <w:sz w:val="22"/>
          <w:szCs w:val="22"/>
          <w:lang w:val="el-GR"/>
        </w:rPr>
        <w:t xml:space="preserve">Δεδομένου ότι η κυριότερη οδός απέκκρισης </w:t>
      </w:r>
      <w:r w:rsidR="00C857E7" w:rsidRPr="00397A42">
        <w:rPr>
          <w:rFonts w:ascii="Times New Roman" w:hAnsi="Times New Roman"/>
          <w:sz w:val="22"/>
          <w:szCs w:val="22"/>
          <w:lang w:val="el-GR"/>
        </w:rPr>
        <w:t xml:space="preserve">της επιρουβικίνης </w:t>
      </w:r>
      <w:r w:rsidRPr="00397A42">
        <w:rPr>
          <w:rFonts w:ascii="Times New Roman" w:hAnsi="Times New Roman"/>
          <w:sz w:val="22"/>
          <w:szCs w:val="22"/>
          <w:lang w:val="el-GR"/>
        </w:rPr>
        <w:t>είναι το ηπατοχολικό σύστημα, η δοσολογία  πρέπει να ελαττώνεται σε ασθενείς με ηπατική ανεπάρκεια για αποφυγή αύξησης της συνολικής τοξικότητας. Οδηγίες για την ελάττωση της δοσολογίας σε αυτούς τους ασθενείς παρέχονται στ</w:t>
      </w:r>
      <w:r w:rsidR="000077D8" w:rsidRPr="00397A42">
        <w:rPr>
          <w:rFonts w:ascii="Times New Roman" w:hAnsi="Times New Roman"/>
          <w:sz w:val="22"/>
          <w:szCs w:val="22"/>
          <w:lang w:val="el-GR"/>
        </w:rPr>
        <w:t>ην παράγραφο</w:t>
      </w:r>
      <w:r w:rsidR="00A17377" w:rsidRPr="00397A42">
        <w:rPr>
          <w:rFonts w:ascii="Times New Roman" w:hAnsi="Times New Roman"/>
          <w:sz w:val="22"/>
          <w:szCs w:val="22"/>
          <w:lang w:val="el-GR"/>
        </w:rPr>
        <w:t xml:space="preserve"> 2.4</w:t>
      </w:r>
      <w:r w:rsidRPr="00397A42">
        <w:rPr>
          <w:rFonts w:ascii="Times New Roman" w:hAnsi="Times New Roman"/>
          <w:sz w:val="22"/>
          <w:szCs w:val="22"/>
          <w:lang w:val="el-GR"/>
        </w:rPr>
        <w:t xml:space="preserve"> Ειδικές προειδοποιήσεις.</w:t>
      </w:r>
    </w:p>
    <w:p w:rsidR="007D3164" w:rsidRPr="00397A42" w:rsidRDefault="007D3164">
      <w:pPr>
        <w:rPr>
          <w:rFonts w:ascii="Times New Roman" w:hAnsi="Times New Roman"/>
          <w:sz w:val="22"/>
          <w:szCs w:val="22"/>
          <w:lang w:val="el-GR"/>
        </w:rPr>
      </w:pPr>
    </w:p>
    <w:p w:rsidR="00192B54" w:rsidRPr="00397A42" w:rsidRDefault="00192B54">
      <w:pPr>
        <w:rPr>
          <w:rFonts w:ascii="Times New Roman" w:hAnsi="Times New Roman"/>
          <w:b/>
          <w:sz w:val="22"/>
          <w:szCs w:val="22"/>
          <w:lang w:val="el-GR"/>
        </w:rPr>
      </w:pPr>
      <w:r w:rsidRPr="00397A42">
        <w:rPr>
          <w:rFonts w:ascii="Times New Roman" w:hAnsi="Times New Roman"/>
          <w:b/>
          <w:sz w:val="22"/>
          <w:szCs w:val="22"/>
          <w:lang w:val="el-GR"/>
        </w:rPr>
        <w:t>Ενδοκυστική Χορήγηση</w:t>
      </w:r>
    </w:p>
    <w:p w:rsidR="00192B54" w:rsidRPr="00397A42" w:rsidRDefault="00192B54">
      <w:pPr>
        <w:rPr>
          <w:rFonts w:ascii="Times New Roman" w:hAnsi="Times New Roman"/>
          <w:sz w:val="22"/>
          <w:szCs w:val="22"/>
          <w:lang w:val="el-GR"/>
        </w:rPr>
      </w:pPr>
      <w:r w:rsidRPr="00397A42">
        <w:rPr>
          <w:rFonts w:ascii="Times New Roman" w:hAnsi="Times New Roman"/>
          <w:sz w:val="22"/>
          <w:szCs w:val="22"/>
          <w:lang w:val="el-GR"/>
        </w:rPr>
        <w:t xml:space="preserve">Για τη θεραπεία επιφανειακών όγκων της ουροδόχου κύστης, συνιστάται θεραπεία 8 </w:t>
      </w:r>
      <w:r w:rsidR="00D9689B" w:rsidRPr="00397A42">
        <w:rPr>
          <w:sz w:val="22"/>
          <w:szCs w:val="22"/>
          <w:lang w:val="el-GR"/>
        </w:rPr>
        <w:t xml:space="preserve">εβδομαδιαίων ενσταλάξεων των </w:t>
      </w:r>
      <w:r w:rsidRPr="00397A42">
        <w:rPr>
          <w:rFonts w:ascii="Times New Roman" w:hAnsi="Times New Roman"/>
          <w:sz w:val="22"/>
          <w:szCs w:val="22"/>
          <w:lang w:val="el-GR"/>
        </w:rPr>
        <w:t>50 mg (σε 25-50 mL φυσιολογικ</w:t>
      </w:r>
      <w:r w:rsidR="00F807B4" w:rsidRPr="00397A42">
        <w:rPr>
          <w:rFonts w:ascii="Times New Roman" w:hAnsi="Times New Roman"/>
          <w:sz w:val="22"/>
          <w:szCs w:val="22"/>
          <w:lang w:val="el-GR"/>
        </w:rPr>
        <w:t>ού</w:t>
      </w:r>
      <w:r w:rsidRPr="00397A42">
        <w:rPr>
          <w:rFonts w:ascii="Times New Roman" w:hAnsi="Times New Roman"/>
          <w:sz w:val="22"/>
          <w:szCs w:val="22"/>
          <w:lang w:val="el-GR"/>
        </w:rPr>
        <w:t xml:space="preserve"> ορ</w:t>
      </w:r>
      <w:r w:rsidR="00F807B4" w:rsidRPr="00397A42">
        <w:rPr>
          <w:rFonts w:ascii="Times New Roman" w:hAnsi="Times New Roman"/>
          <w:sz w:val="22"/>
          <w:szCs w:val="22"/>
          <w:lang w:val="el-GR"/>
        </w:rPr>
        <w:t>ού</w:t>
      </w:r>
      <w:r w:rsidRPr="00397A42">
        <w:rPr>
          <w:rFonts w:ascii="Times New Roman" w:hAnsi="Times New Roman"/>
          <w:sz w:val="22"/>
          <w:szCs w:val="22"/>
          <w:lang w:val="el-GR"/>
        </w:rPr>
        <w:t xml:space="preserve">). Σε περίπτωση τοπικής τοξικότητας (χημικής κυστίτιδας) συνιστάται μείωση της δοσολογίας σε 30 mg. Για τη θεραπεία καρκινωμάτων in-situ, ανάλογα με την ατομική ανοχή του ασθενούς, η δόση μπορεί να αυξηθεί στα 80 mg. Για την προφύλαξη υποτροπής διουρηθρικώς αφαιρεθέντος επιφανειακού όγκου, </w:t>
      </w:r>
      <w:r w:rsidR="00C44061" w:rsidRPr="00397A42">
        <w:rPr>
          <w:sz w:val="22"/>
          <w:szCs w:val="22"/>
          <w:lang w:val="el-GR"/>
        </w:rPr>
        <w:t xml:space="preserve">μπορεί να χορηγηθούν 50 </w:t>
      </w:r>
      <w:r w:rsidR="00C44061" w:rsidRPr="00397A42">
        <w:rPr>
          <w:sz w:val="22"/>
          <w:szCs w:val="22"/>
        </w:rPr>
        <w:t>mg</w:t>
      </w:r>
      <w:r w:rsidR="00C44061" w:rsidRPr="00397A42">
        <w:rPr>
          <w:sz w:val="22"/>
          <w:szCs w:val="22"/>
          <w:lang w:val="el-GR"/>
        </w:rPr>
        <w:t xml:space="preserve"> 4 φορές, από μία κάθε εβδομάδα και εν συνεχεία 11 φορές, από μία κάθε μήνα</w:t>
      </w:r>
      <w:r w:rsidRPr="00397A42">
        <w:rPr>
          <w:rFonts w:ascii="Times New Roman" w:hAnsi="Times New Roman"/>
          <w:sz w:val="22"/>
          <w:szCs w:val="22"/>
          <w:lang w:val="el-GR"/>
        </w:rPr>
        <w:t>. Το διάλυμα πρέπει να παραμένει εντός της κύστης για διάστημα μ</w:t>
      </w:r>
      <w:r w:rsidR="00E100C2" w:rsidRPr="00397A42">
        <w:rPr>
          <w:rFonts w:ascii="Times New Roman" w:hAnsi="Times New Roman"/>
          <w:sz w:val="22"/>
          <w:szCs w:val="22"/>
          <w:lang w:val="el-GR"/>
        </w:rPr>
        <w:t>ί</w:t>
      </w:r>
      <w:r w:rsidRPr="00397A42">
        <w:rPr>
          <w:rFonts w:ascii="Times New Roman" w:hAnsi="Times New Roman"/>
          <w:sz w:val="22"/>
          <w:szCs w:val="22"/>
          <w:lang w:val="el-GR"/>
        </w:rPr>
        <w:t>ας</w:t>
      </w:r>
      <w:r w:rsidRPr="00397A42">
        <w:rPr>
          <w:rFonts w:ascii="Times New Roman" w:hAnsi="Times New Roman"/>
          <w:b/>
          <w:sz w:val="22"/>
          <w:szCs w:val="22"/>
          <w:lang w:val="el-GR"/>
        </w:rPr>
        <w:t xml:space="preserve"> </w:t>
      </w:r>
      <w:r w:rsidRPr="00397A42">
        <w:rPr>
          <w:rFonts w:ascii="Times New Roman" w:hAnsi="Times New Roman"/>
          <w:sz w:val="22"/>
          <w:szCs w:val="22"/>
          <w:lang w:val="el-GR"/>
        </w:rPr>
        <w:t>ώρας</w:t>
      </w:r>
      <w:r w:rsidRPr="00397A42">
        <w:rPr>
          <w:rFonts w:ascii="Times New Roman" w:hAnsi="Times New Roman"/>
          <w:b/>
          <w:sz w:val="22"/>
          <w:szCs w:val="22"/>
          <w:lang w:val="el-GR"/>
        </w:rPr>
        <w:t xml:space="preserve"> </w:t>
      </w:r>
      <w:r w:rsidRPr="00397A42">
        <w:rPr>
          <w:rFonts w:ascii="Times New Roman" w:hAnsi="Times New Roman"/>
          <w:bCs/>
          <w:sz w:val="22"/>
          <w:szCs w:val="22"/>
          <w:lang w:val="el-GR"/>
        </w:rPr>
        <w:t xml:space="preserve">ο </w:t>
      </w:r>
      <w:r w:rsidRPr="00397A42">
        <w:rPr>
          <w:rFonts w:ascii="Times New Roman" w:hAnsi="Times New Roman"/>
          <w:sz w:val="22"/>
          <w:szCs w:val="22"/>
          <w:lang w:val="el-GR"/>
        </w:rPr>
        <w:t>ασθενής θα πρέπει να αλλάζει θέση περιστροφικά ώστε να πετύχει την καλύτερη επαφή του φαρμάκου με όλο το βλεννογόνο της κύστης. Για αποφυγή ανεπιθύμητης αραίωσης με τα ούρα, ο ασθενής δεν  πρέπει να πιει κανένα υγρό για διάρκεια δώδεκα ωρών πριν από την ενστάλαξη.</w:t>
      </w:r>
      <w:r w:rsidR="00D9689B" w:rsidRPr="00397A42">
        <w:rPr>
          <w:sz w:val="22"/>
          <w:szCs w:val="22"/>
          <w:lang w:val="el-GR"/>
        </w:rPr>
        <w:t xml:space="preserve"> Επίσης, ο ασθενής  πρέπει να καθοδηγείται να ουρεί μετά το τέλος της ενστάλλαξης.</w:t>
      </w:r>
    </w:p>
    <w:p w:rsidR="00D917E1" w:rsidRPr="00397A42" w:rsidRDefault="00D917E1">
      <w:pPr>
        <w:rPr>
          <w:rFonts w:ascii="Times New Roman" w:hAnsi="Times New Roman"/>
          <w:sz w:val="22"/>
          <w:szCs w:val="22"/>
          <w:u w:val="single"/>
          <w:lang w:val="el-GR"/>
        </w:rPr>
      </w:pPr>
      <w:r w:rsidRPr="00397A42">
        <w:rPr>
          <w:rFonts w:ascii="Times New Roman" w:hAnsi="Times New Roman"/>
          <w:sz w:val="22"/>
          <w:szCs w:val="22"/>
          <w:lang w:val="el-GR"/>
        </w:rPr>
        <w:t xml:space="preserve">Η ενδοκυστική χορήγηση δεν είναι κατάλληλη για τη θεραπεία διηθητικών όγκων που έχουν διεισδύσει το μυϊκό </w:t>
      </w:r>
      <w:r w:rsidR="000C0D72" w:rsidRPr="00397A42">
        <w:rPr>
          <w:rFonts w:ascii="Times New Roman" w:hAnsi="Times New Roman"/>
          <w:sz w:val="22"/>
          <w:szCs w:val="22"/>
          <w:lang w:val="el-GR"/>
        </w:rPr>
        <w:t>χιτών</w:t>
      </w:r>
      <w:r w:rsidR="001651A2" w:rsidRPr="00397A42">
        <w:rPr>
          <w:rFonts w:ascii="Times New Roman" w:hAnsi="Times New Roman"/>
          <w:sz w:val="22"/>
          <w:szCs w:val="22"/>
          <w:lang w:val="el-GR"/>
        </w:rPr>
        <w:t>α τ</w:t>
      </w:r>
      <w:r w:rsidR="00F807B4" w:rsidRPr="00397A42">
        <w:rPr>
          <w:rFonts w:ascii="Times New Roman" w:hAnsi="Times New Roman"/>
          <w:sz w:val="22"/>
          <w:szCs w:val="22"/>
          <w:lang w:val="el-GR"/>
        </w:rPr>
        <w:t>ου</w:t>
      </w:r>
      <w:r w:rsidR="001651A2" w:rsidRPr="00397A42">
        <w:rPr>
          <w:rFonts w:ascii="Times New Roman" w:hAnsi="Times New Roman"/>
          <w:sz w:val="22"/>
          <w:szCs w:val="22"/>
          <w:lang w:val="el-GR"/>
        </w:rPr>
        <w:t xml:space="preserve"> τοιχ</w:t>
      </w:r>
      <w:r w:rsidR="00F807B4" w:rsidRPr="00397A42">
        <w:rPr>
          <w:rFonts w:ascii="Times New Roman" w:hAnsi="Times New Roman"/>
          <w:sz w:val="22"/>
          <w:szCs w:val="22"/>
          <w:lang w:val="el-GR"/>
        </w:rPr>
        <w:t>ώματος</w:t>
      </w:r>
      <w:r w:rsidR="000C0D72" w:rsidRPr="00397A42">
        <w:rPr>
          <w:rFonts w:ascii="Times New Roman" w:hAnsi="Times New Roman"/>
          <w:sz w:val="22"/>
          <w:szCs w:val="22"/>
          <w:lang w:val="el-GR"/>
        </w:rPr>
        <w:t xml:space="preserve"> </w:t>
      </w:r>
      <w:r w:rsidRPr="00397A42">
        <w:rPr>
          <w:rFonts w:ascii="Times New Roman" w:hAnsi="Times New Roman"/>
          <w:sz w:val="22"/>
          <w:szCs w:val="22"/>
          <w:lang w:val="el-GR"/>
        </w:rPr>
        <w:t>της ουροδόχου κύστης.</w:t>
      </w:r>
    </w:p>
    <w:p w:rsidR="00192B54" w:rsidRPr="00397A42" w:rsidRDefault="00192B54" w:rsidP="005E330B">
      <w:pPr>
        <w:jc w:val="both"/>
        <w:rPr>
          <w:rFonts w:ascii="Times New Roman" w:hAnsi="Times New Roman"/>
          <w:sz w:val="22"/>
          <w:szCs w:val="22"/>
          <w:lang w:val="el-GR"/>
        </w:rPr>
      </w:pPr>
    </w:p>
    <w:p w:rsidR="00192B54" w:rsidRPr="00397A42" w:rsidRDefault="00192B54">
      <w:pPr>
        <w:rPr>
          <w:rFonts w:ascii="Times New Roman" w:hAnsi="Times New Roman"/>
          <w:b/>
          <w:sz w:val="22"/>
          <w:szCs w:val="22"/>
          <w:lang w:val="el-GR"/>
        </w:rPr>
      </w:pPr>
      <w:r w:rsidRPr="00397A42">
        <w:rPr>
          <w:rFonts w:ascii="Times New Roman" w:hAnsi="Times New Roman"/>
          <w:b/>
          <w:sz w:val="22"/>
          <w:szCs w:val="22"/>
          <w:lang w:val="el-GR"/>
        </w:rPr>
        <w:t>Οδηγίες χρήσης/Χειρισμού</w:t>
      </w:r>
    </w:p>
    <w:p w:rsidR="00192B54" w:rsidRPr="00397A42" w:rsidRDefault="00192B54">
      <w:pPr>
        <w:rPr>
          <w:rFonts w:ascii="Times New Roman" w:hAnsi="Times New Roman"/>
          <w:sz w:val="22"/>
          <w:szCs w:val="22"/>
          <w:u w:val="single"/>
          <w:lang w:val="el-GR"/>
        </w:rPr>
      </w:pPr>
      <w:r w:rsidRPr="00397A42">
        <w:rPr>
          <w:rFonts w:ascii="Times New Roman" w:hAnsi="Times New Roman"/>
          <w:sz w:val="22"/>
          <w:szCs w:val="22"/>
          <w:u w:val="single"/>
          <w:lang w:val="el-GR"/>
        </w:rPr>
        <w:t>Ενδοφλέβια χορήγηση</w:t>
      </w:r>
      <w:r w:rsidR="00F965DB" w:rsidRPr="00397A42">
        <w:rPr>
          <w:rFonts w:ascii="Times New Roman" w:hAnsi="Times New Roman"/>
          <w:sz w:val="22"/>
          <w:szCs w:val="22"/>
          <w:u w:val="single"/>
          <w:lang w:val="el-GR"/>
        </w:rPr>
        <w:t>.</w:t>
      </w:r>
      <w:r w:rsidRPr="00397A42">
        <w:rPr>
          <w:rFonts w:ascii="Times New Roman" w:hAnsi="Times New Roman"/>
          <w:sz w:val="22"/>
          <w:szCs w:val="22"/>
          <w:lang w:val="el-GR"/>
        </w:rPr>
        <w:t xml:space="preserve"> </w:t>
      </w:r>
      <w:r w:rsidR="00C857E7" w:rsidRPr="00397A42">
        <w:rPr>
          <w:rFonts w:ascii="Times New Roman" w:hAnsi="Times New Roman"/>
          <w:sz w:val="22"/>
          <w:szCs w:val="22"/>
          <w:lang w:val="el-GR"/>
        </w:rPr>
        <w:t xml:space="preserve">Η επιρουβικίνη </w:t>
      </w:r>
      <w:r w:rsidRPr="00397A42">
        <w:rPr>
          <w:rFonts w:ascii="Times New Roman" w:hAnsi="Times New Roman"/>
          <w:sz w:val="22"/>
          <w:szCs w:val="22"/>
          <w:lang w:val="el-GR"/>
        </w:rPr>
        <w:t>δεν είναι δραστική όταν χορηγείται από το στόμα και δεν θα πρέπει να χορηγείται ενδομυϊκώς ή ενδοραχιαία. Συνιστάται η χορήγηση του φαρμάκου μέσω του σωλήνα ενδοφλέβιας έγχυσης φυσιολογικού ορού ελεύθερης ροής για την ελαχιστοποίηση του κινδύνου εξαγγείωσης του φαρμάκου. Η φλέβα θα πρέπει να ξεπλυθεί με φυσιολογικό ορό μετά τη χορήγηση του φαρμάκου. Η εξαγγείωση του φαρμάκου από τη φλέβα κατά τη διάρκεια της ένεσης μπορεί να προκαλέσει σοβαρές αλλοιώσεις στους ιστούς, ακόμη και νέκρωση. Μπορεί να προκληθεί φλεβική σκλήρυνση από ένεση σε μικρά αγγεία ή από επανειλημμένες ενέσεις στην ίδια φλέβα.</w:t>
      </w:r>
    </w:p>
    <w:p w:rsidR="00192B54" w:rsidRPr="00397A42" w:rsidRDefault="00192B54">
      <w:pPr>
        <w:rPr>
          <w:rFonts w:ascii="Times New Roman" w:hAnsi="Times New Roman"/>
          <w:sz w:val="22"/>
          <w:szCs w:val="22"/>
          <w:u w:val="single"/>
          <w:lang w:val="el-GR"/>
        </w:rPr>
      </w:pPr>
    </w:p>
    <w:p w:rsidR="00192B54" w:rsidRPr="00397A42" w:rsidRDefault="00192B54">
      <w:pPr>
        <w:rPr>
          <w:rFonts w:ascii="Times New Roman" w:hAnsi="Times New Roman"/>
          <w:sz w:val="22"/>
          <w:szCs w:val="22"/>
          <w:u w:val="single"/>
          <w:lang w:val="el-GR"/>
        </w:rPr>
      </w:pPr>
      <w:r w:rsidRPr="00397A42">
        <w:rPr>
          <w:rFonts w:ascii="Times New Roman" w:hAnsi="Times New Roman"/>
          <w:sz w:val="22"/>
          <w:szCs w:val="22"/>
          <w:u w:val="single"/>
          <w:lang w:val="el-GR"/>
        </w:rPr>
        <w:t>Ενδοκυστική χορήγηση</w:t>
      </w:r>
      <w:r w:rsidR="00F965DB" w:rsidRPr="00397A42">
        <w:rPr>
          <w:rFonts w:ascii="Times New Roman" w:hAnsi="Times New Roman"/>
          <w:sz w:val="22"/>
          <w:szCs w:val="22"/>
          <w:lang w:val="el-GR"/>
        </w:rPr>
        <w:t xml:space="preserve">. </w:t>
      </w:r>
      <w:r w:rsidR="00C857E7" w:rsidRPr="00397A42">
        <w:rPr>
          <w:rFonts w:ascii="Times New Roman" w:hAnsi="Times New Roman"/>
          <w:sz w:val="22"/>
          <w:szCs w:val="22"/>
          <w:lang w:val="el-GR"/>
        </w:rPr>
        <w:t xml:space="preserve">Η επιρουβικίνη </w:t>
      </w:r>
      <w:r w:rsidRPr="00397A42">
        <w:rPr>
          <w:rFonts w:ascii="Times New Roman" w:hAnsi="Times New Roman"/>
          <w:sz w:val="22"/>
          <w:szCs w:val="22"/>
          <w:lang w:val="el-GR"/>
        </w:rPr>
        <w:t>που χορηγείται με ενστάλαξη με τη χρήση καθετήρα, θα πρέπει να παραμείνει στην κύστη για διάστημα 1 ώρας. Θα πρέπει να δοθούν οδηγίες στον ασθενή να ουρήσει στο τέλος του χρονικού αυτού διαστήματος.</w:t>
      </w:r>
    </w:p>
    <w:p w:rsidR="00192B54" w:rsidRPr="00397A42" w:rsidRDefault="00192B54">
      <w:pPr>
        <w:rPr>
          <w:rFonts w:ascii="Times New Roman" w:hAnsi="Times New Roman"/>
          <w:sz w:val="22"/>
          <w:szCs w:val="22"/>
          <w:u w:val="single"/>
          <w:lang w:val="el-GR"/>
        </w:rPr>
      </w:pPr>
    </w:p>
    <w:p w:rsidR="00192B54" w:rsidRPr="00397A42" w:rsidRDefault="00192B54">
      <w:pPr>
        <w:rPr>
          <w:rFonts w:ascii="Times New Roman" w:hAnsi="Times New Roman"/>
          <w:sz w:val="22"/>
          <w:szCs w:val="22"/>
          <w:lang w:val="el-GR"/>
        </w:rPr>
      </w:pPr>
      <w:r w:rsidRPr="00397A42">
        <w:rPr>
          <w:rFonts w:ascii="Times New Roman" w:hAnsi="Times New Roman"/>
          <w:sz w:val="22"/>
          <w:szCs w:val="22"/>
          <w:u w:val="single"/>
          <w:lang w:val="el-GR"/>
        </w:rPr>
        <w:t>Μέτρα προστασίας</w:t>
      </w:r>
      <w:r w:rsidRPr="00397A42">
        <w:rPr>
          <w:rFonts w:ascii="Times New Roman" w:hAnsi="Times New Roman"/>
          <w:sz w:val="22"/>
          <w:szCs w:val="22"/>
          <w:lang w:val="el-GR"/>
        </w:rPr>
        <w:t>. Λόγω της τοξικής φύσης της ουσίας, παρέχονται οι εξής συστάσεις προστασίας:</w:t>
      </w:r>
    </w:p>
    <w:p w:rsidR="00192B54" w:rsidRPr="00397A42" w:rsidRDefault="00192B54" w:rsidP="00677CBD">
      <w:pPr>
        <w:rPr>
          <w:rFonts w:ascii="Times New Roman" w:hAnsi="Times New Roman"/>
          <w:sz w:val="22"/>
          <w:szCs w:val="22"/>
          <w:lang w:val="el-GR"/>
        </w:rPr>
      </w:pPr>
      <w:r w:rsidRPr="00397A42">
        <w:rPr>
          <w:rFonts w:ascii="Times New Roman" w:hAnsi="Times New Roman"/>
          <w:sz w:val="22"/>
          <w:szCs w:val="22"/>
          <w:lang w:val="el-GR"/>
        </w:rPr>
        <w:t>- το προσωπικό θα πρέπει να έχει εκπαιδευτεί στις σωστές τεχνικές για ανασύσταση και χειρισμό του φαρμάκου</w:t>
      </w:r>
    </w:p>
    <w:p w:rsidR="00192B54" w:rsidRPr="00397A42" w:rsidRDefault="00192B54" w:rsidP="00677CBD">
      <w:pPr>
        <w:rPr>
          <w:rFonts w:ascii="Times New Roman" w:hAnsi="Times New Roman"/>
          <w:sz w:val="22"/>
          <w:szCs w:val="22"/>
          <w:lang w:val="el-GR"/>
        </w:rPr>
      </w:pPr>
      <w:r w:rsidRPr="00397A42">
        <w:rPr>
          <w:rFonts w:ascii="Times New Roman" w:hAnsi="Times New Roman"/>
          <w:sz w:val="22"/>
          <w:szCs w:val="22"/>
          <w:lang w:val="el-GR"/>
        </w:rPr>
        <w:t>- οι έγκυες γυναίκες θα πρέπει να αποκλείονται από την εργασία με το φάρμακο αυτό</w:t>
      </w:r>
    </w:p>
    <w:p w:rsidR="00192B54" w:rsidRPr="00397A42" w:rsidRDefault="00192B54">
      <w:pPr>
        <w:rPr>
          <w:rFonts w:ascii="Times New Roman" w:hAnsi="Times New Roman"/>
          <w:sz w:val="22"/>
          <w:szCs w:val="22"/>
          <w:lang w:val="el-GR"/>
        </w:rPr>
      </w:pPr>
      <w:r w:rsidRPr="00397A42">
        <w:rPr>
          <w:rFonts w:ascii="Times New Roman" w:hAnsi="Times New Roman"/>
          <w:sz w:val="22"/>
          <w:szCs w:val="22"/>
          <w:lang w:val="el-GR"/>
        </w:rPr>
        <w:t xml:space="preserve">- το προσωπικό που έρχεται σε επαφή με </w:t>
      </w:r>
      <w:r w:rsidR="00C857E7" w:rsidRPr="00397A42">
        <w:rPr>
          <w:rFonts w:ascii="Times New Roman" w:hAnsi="Times New Roman"/>
          <w:sz w:val="22"/>
          <w:szCs w:val="22"/>
          <w:lang w:val="el-GR"/>
        </w:rPr>
        <w:t xml:space="preserve">την επιρουβικίνη </w:t>
      </w:r>
      <w:r w:rsidRPr="00397A42">
        <w:rPr>
          <w:rFonts w:ascii="Times New Roman" w:hAnsi="Times New Roman"/>
          <w:sz w:val="22"/>
          <w:szCs w:val="22"/>
          <w:lang w:val="el-GR"/>
        </w:rPr>
        <w:t>θα πρέπει να φορά</w:t>
      </w:r>
      <w:r w:rsidR="007F4C35" w:rsidRPr="00397A42">
        <w:rPr>
          <w:rFonts w:ascii="Times New Roman" w:hAnsi="Times New Roman"/>
          <w:sz w:val="22"/>
          <w:szCs w:val="22"/>
          <w:lang w:val="el-GR"/>
        </w:rPr>
        <w:t xml:space="preserve"> </w:t>
      </w:r>
      <w:r w:rsidRPr="00397A42">
        <w:rPr>
          <w:rFonts w:ascii="Times New Roman" w:hAnsi="Times New Roman"/>
          <w:sz w:val="22"/>
          <w:szCs w:val="22"/>
          <w:lang w:val="el-GR"/>
        </w:rPr>
        <w:t>προστατευτικά ρούχα: ειδικά γυαλιά, ποδιά καθώς και γάντια και μάσκα μ</w:t>
      </w:r>
      <w:r w:rsidR="00E100C2" w:rsidRPr="00397A42">
        <w:rPr>
          <w:rFonts w:ascii="Times New Roman" w:hAnsi="Times New Roman"/>
          <w:sz w:val="22"/>
          <w:szCs w:val="22"/>
          <w:lang w:val="el-GR"/>
        </w:rPr>
        <w:t>ί</w:t>
      </w:r>
      <w:r w:rsidRPr="00397A42">
        <w:rPr>
          <w:rFonts w:ascii="Times New Roman" w:hAnsi="Times New Roman"/>
          <w:sz w:val="22"/>
          <w:szCs w:val="22"/>
          <w:lang w:val="el-GR"/>
        </w:rPr>
        <w:t>ας χρήσης</w:t>
      </w:r>
    </w:p>
    <w:p w:rsidR="00192B54" w:rsidRPr="00397A42" w:rsidRDefault="00192B54" w:rsidP="00677CBD">
      <w:pPr>
        <w:rPr>
          <w:rFonts w:ascii="Times New Roman" w:hAnsi="Times New Roman"/>
          <w:sz w:val="22"/>
          <w:szCs w:val="22"/>
          <w:lang w:val="el-GR"/>
        </w:rPr>
      </w:pPr>
      <w:r w:rsidRPr="00397A42">
        <w:rPr>
          <w:rFonts w:ascii="Times New Roman" w:hAnsi="Times New Roman"/>
          <w:sz w:val="22"/>
          <w:szCs w:val="22"/>
          <w:lang w:val="el-GR"/>
        </w:rPr>
        <w:lastRenderedPageBreak/>
        <w:t xml:space="preserve">-  </w:t>
      </w:r>
      <w:r w:rsidR="007F4C35" w:rsidRPr="00397A42">
        <w:rPr>
          <w:rFonts w:ascii="Times New Roman" w:hAnsi="Times New Roman"/>
          <w:sz w:val="22"/>
          <w:szCs w:val="22"/>
          <w:lang w:val="el-GR"/>
        </w:rPr>
        <w:t>Π</w:t>
      </w:r>
      <w:r w:rsidRPr="00397A42">
        <w:rPr>
          <w:rFonts w:ascii="Times New Roman" w:hAnsi="Times New Roman"/>
          <w:sz w:val="22"/>
          <w:szCs w:val="22"/>
          <w:lang w:val="el-GR"/>
        </w:rPr>
        <w:t xml:space="preserve">ρέπει να καθοριστεί ειδικός χώρος για ανασύσταση (κατά προτίμηση κάτω από σύστημα </w:t>
      </w:r>
      <w:r w:rsidR="006B7BB2" w:rsidRPr="00397A42">
        <w:rPr>
          <w:rFonts w:ascii="Times New Roman" w:hAnsi="Times New Roman"/>
          <w:sz w:val="22"/>
          <w:szCs w:val="22"/>
          <w:lang w:val="el-GR"/>
        </w:rPr>
        <w:t xml:space="preserve">απαγωγού </w:t>
      </w:r>
      <w:r w:rsidRPr="00397A42">
        <w:rPr>
          <w:rFonts w:ascii="Times New Roman" w:hAnsi="Times New Roman"/>
          <w:sz w:val="22"/>
          <w:szCs w:val="22"/>
          <w:lang w:val="el-GR"/>
        </w:rPr>
        <w:t>γραμμικής ροής). Η επιφάνεια του πάγκου εργασίας πρέπει να προστατεύεται από πλαστικοποιημένο, απορροφητικό χαρτί μ</w:t>
      </w:r>
      <w:r w:rsidR="00E100C2" w:rsidRPr="00397A42">
        <w:rPr>
          <w:rFonts w:ascii="Times New Roman" w:hAnsi="Times New Roman"/>
          <w:sz w:val="22"/>
          <w:szCs w:val="22"/>
          <w:lang w:val="el-GR"/>
        </w:rPr>
        <w:t>ί</w:t>
      </w:r>
      <w:r w:rsidRPr="00397A42">
        <w:rPr>
          <w:rFonts w:ascii="Times New Roman" w:hAnsi="Times New Roman"/>
          <w:sz w:val="22"/>
          <w:szCs w:val="22"/>
          <w:lang w:val="el-GR"/>
        </w:rPr>
        <w:t>ας χρήσης</w:t>
      </w:r>
    </w:p>
    <w:p w:rsidR="00192B54" w:rsidRPr="00397A42" w:rsidRDefault="00192B54" w:rsidP="00677CBD">
      <w:pPr>
        <w:rPr>
          <w:rFonts w:ascii="Times New Roman" w:hAnsi="Times New Roman"/>
          <w:sz w:val="22"/>
          <w:szCs w:val="22"/>
          <w:lang w:val="el-GR"/>
        </w:rPr>
      </w:pPr>
      <w:r w:rsidRPr="00397A42">
        <w:rPr>
          <w:rFonts w:ascii="Times New Roman" w:hAnsi="Times New Roman"/>
          <w:sz w:val="22"/>
          <w:szCs w:val="22"/>
          <w:lang w:val="el-GR"/>
        </w:rPr>
        <w:t>- όλα τα αντικείμενα που χρησιμοποιούνται για την ανασύσταση, χορήγηση ή καθαρισμό, συμπεριλαμβανομένων των γαντιών, θα πρέπει να τοποθετούνται σε σάκους απορριμμάτων υψηλού κινδύνου για καύση σε υψηλές θερμοκρασίες.</w:t>
      </w:r>
    </w:p>
    <w:p w:rsidR="00192B54" w:rsidRPr="00397A42" w:rsidRDefault="00192B54">
      <w:pPr>
        <w:rPr>
          <w:rFonts w:ascii="Times New Roman" w:hAnsi="Times New Roman"/>
          <w:sz w:val="22"/>
          <w:szCs w:val="22"/>
          <w:lang w:val="el-GR"/>
        </w:rPr>
      </w:pPr>
    </w:p>
    <w:p w:rsidR="00192B54" w:rsidRPr="00397A42" w:rsidRDefault="00192B54">
      <w:pPr>
        <w:rPr>
          <w:rFonts w:ascii="Times New Roman" w:hAnsi="Times New Roman"/>
          <w:sz w:val="22"/>
          <w:szCs w:val="22"/>
          <w:lang w:val="el-GR"/>
        </w:rPr>
      </w:pPr>
      <w:r w:rsidRPr="00397A42">
        <w:rPr>
          <w:rFonts w:ascii="Times New Roman" w:hAnsi="Times New Roman"/>
          <w:sz w:val="22"/>
          <w:szCs w:val="22"/>
          <w:lang w:val="el-GR"/>
        </w:rPr>
        <w:t>Κάθε έγχυση ή διαρροή θα πρέπει να αντιμετωπίζεται με αραιό διάλυμα υποχλωρι</w:t>
      </w:r>
      <w:r w:rsidR="006B7BB2" w:rsidRPr="00397A42">
        <w:rPr>
          <w:rFonts w:ascii="Times New Roman" w:hAnsi="Times New Roman"/>
          <w:sz w:val="22"/>
          <w:szCs w:val="22"/>
          <w:lang w:val="el-GR"/>
        </w:rPr>
        <w:t>ώδους</w:t>
      </w:r>
      <w:r w:rsidRPr="00397A42">
        <w:rPr>
          <w:rFonts w:ascii="Times New Roman" w:hAnsi="Times New Roman"/>
          <w:sz w:val="22"/>
          <w:szCs w:val="22"/>
          <w:lang w:val="el-GR"/>
        </w:rPr>
        <w:t xml:space="preserve"> νατρίου (1% διαθέσιμο χλώριο), κατά προτίμηση με εμποτισμό και απορρόφηση και στη συνέχεια ξέπλυμα με νερό.</w:t>
      </w:r>
    </w:p>
    <w:p w:rsidR="00192B54" w:rsidRPr="00397A42" w:rsidRDefault="006330CC">
      <w:pPr>
        <w:rPr>
          <w:rFonts w:ascii="Times New Roman" w:hAnsi="Times New Roman"/>
          <w:sz w:val="22"/>
          <w:szCs w:val="22"/>
          <w:lang w:val="el-GR"/>
        </w:rPr>
      </w:pPr>
      <w:r w:rsidRPr="00397A42">
        <w:rPr>
          <w:rFonts w:ascii="Times New Roman" w:hAnsi="Times New Roman"/>
          <w:sz w:val="22"/>
          <w:szCs w:val="22"/>
          <w:lang w:val="el-GR"/>
        </w:rPr>
        <w:t>Ό</w:t>
      </w:r>
      <w:r w:rsidR="00192B54" w:rsidRPr="00397A42">
        <w:rPr>
          <w:rFonts w:ascii="Times New Roman" w:hAnsi="Times New Roman"/>
          <w:sz w:val="22"/>
          <w:szCs w:val="22"/>
          <w:lang w:val="el-GR"/>
        </w:rPr>
        <w:t>λα τα υλικά καθαρισμού θα πρέπει, μετά τη χρήση τους, να αποτεφρώνονται όπως περιγράφεται πιο πάνω.</w:t>
      </w:r>
    </w:p>
    <w:p w:rsidR="00192B54" w:rsidRPr="00397A42" w:rsidRDefault="00192B54">
      <w:pPr>
        <w:rPr>
          <w:rFonts w:ascii="Times New Roman" w:hAnsi="Times New Roman"/>
          <w:sz w:val="22"/>
          <w:szCs w:val="22"/>
          <w:lang w:val="el-GR"/>
        </w:rPr>
      </w:pPr>
      <w:r w:rsidRPr="00397A42">
        <w:rPr>
          <w:rFonts w:ascii="Times New Roman" w:hAnsi="Times New Roman"/>
          <w:sz w:val="22"/>
          <w:szCs w:val="22"/>
          <w:lang w:val="el-GR"/>
        </w:rPr>
        <w:t>Η τυχαία επαφή με το δέρμα ή με τα μάτια πρέπει να αντιμετωπίζεται αμέσως με πλύσιμο με άφθονο νερό ή με σαπούνι και νερό ή με διάλυμα διττανθρακικού νατρίου. Στη συνέχεια απαιτείται ιατρική περίθαλψη.</w:t>
      </w:r>
    </w:p>
    <w:p w:rsidR="00192B54" w:rsidRPr="00397A42" w:rsidRDefault="00192B54">
      <w:pPr>
        <w:rPr>
          <w:rFonts w:ascii="Times New Roman" w:hAnsi="Times New Roman"/>
          <w:b/>
          <w:sz w:val="22"/>
          <w:szCs w:val="22"/>
          <w:lang w:val="el-GR"/>
        </w:rPr>
      </w:pPr>
      <w:r w:rsidRPr="00397A42">
        <w:rPr>
          <w:rFonts w:ascii="Times New Roman" w:hAnsi="Times New Roman"/>
          <w:sz w:val="22"/>
          <w:szCs w:val="22"/>
          <w:lang w:val="el-GR"/>
        </w:rPr>
        <w:t>Το φάρμακο πρέπει να χρησιμοποιηθεί εντός 24 ωρών από την πρώτη διάτρηση του ελαστικού πώματος. Το μη χρησιμοποιηθέν διάλυμα πρέπει να απορρρίπτεται.</w:t>
      </w:r>
    </w:p>
    <w:p w:rsidR="00192B54" w:rsidRPr="00397A42" w:rsidRDefault="00192B54">
      <w:pPr>
        <w:pStyle w:val="a6"/>
        <w:rPr>
          <w:rFonts w:ascii="Times New Roman" w:hAnsi="Times New Roman"/>
          <w:sz w:val="22"/>
          <w:szCs w:val="22"/>
        </w:rPr>
      </w:pPr>
    </w:p>
    <w:p w:rsidR="00192B54" w:rsidRPr="00397A42" w:rsidRDefault="00192B54">
      <w:pPr>
        <w:rPr>
          <w:rFonts w:ascii="Times New Roman" w:hAnsi="Times New Roman"/>
          <w:b/>
          <w:sz w:val="22"/>
          <w:szCs w:val="22"/>
          <w:lang w:val="el-GR"/>
        </w:rPr>
      </w:pPr>
      <w:r w:rsidRPr="00397A42">
        <w:rPr>
          <w:rFonts w:ascii="Times New Roman" w:hAnsi="Times New Roman"/>
          <w:b/>
          <w:sz w:val="22"/>
          <w:szCs w:val="22"/>
          <w:lang w:val="el-GR"/>
        </w:rPr>
        <w:t>Ασυμβατότητες</w:t>
      </w:r>
    </w:p>
    <w:p w:rsidR="00192B54" w:rsidRPr="00397A42" w:rsidRDefault="00192B54">
      <w:pPr>
        <w:rPr>
          <w:rFonts w:ascii="Times New Roman" w:hAnsi="Times New Roman"/>
          <w:sz w:val="22"/>
          <w:szCs w:val="22"/>
          <w:u w:val="single"/>
          <w:lang w:val="el-GR"/>
        </w:rPr>
      </w:pPr>
      <w:r w:rsidRPr="00397A42">
        <w:rPr>
          <w:rFonts w:ascii="Times New Roman" w:hAnsi="Times New Roman"/>
          <w:sz w:val="22"/>
          <w:szCs w:val="22"/>
          <w:lang w:val="el-GR"/>
        </w:rPr>
        <w:t xml:space="preserve">Η παρατεταμένη επαφή με οποιοδήποτε διάλυμα αλκαλικού </w:t>
      </w:r>
      <w:r w:rsidR="001A4664" w:rsidRPr="00397A42">
        <w:rPr>
          <w:rFonts w:ascii="Times New Roman" w:hAnsi="Times New Roman"/>
          <w:sz w:val="22"/>
          <w:szCs w:val="22"/>
          <w:lang w:val="en-US"/>
        </w:rPr>
        <w:t>p</w:t>
      </w:r>
      <w:r w:rsidRPr="00397A42">
        <w:rPr>
          <w:rFonts w:ascii="Times New Roman" w:hAnsi="Times New Roman"/>
          <w:sz w:val="22"/>
          <w:szCs w:val="22"/>
          <w:lang w:val="el-GR"/>
        </w:rPr>
        <w:t xml:space="preserve">Η θα πρέπει να αποφεύγεται επειδή θα προκαλέσει υδρόλυση του φαρμάκου. </w:t>
      </w:r>
      <w:r w:rsidR="00C857E7" w:rsidRPr="00397A42">
        <w:rPr>
          <w:rFonts w:ascii="Times New Roman" w:hAnsi="Times New Roman"/>
          <w:sz w:val="22"/>
          <w:szCs w:val="22"/>
          <w:lang w:val="el-GR"/>
        </w:rPr>
        <w:t xml:space="preserve">Η επιρουβικίνη </w:t>
      </w:r>
      <w:r w:rsidRPr="00397A42">
        <w:rPr>
          <w:rFonts w:ascii="Times New Roman" w:hAnsi="Times New Roman"/>
          <w:sz w:val="22"/>
          <w:szCs w:val="22"/>
          <w:lang w:val="el-GR"/>
        </w:rPr>
        <w:t xml:space="preserve">δεν πρέπει να αναμιγνύεται με ηπαρίνη λόγω χημικής ασυμβατότητας και σε ορισμένες αναλογίες μπορεί να σχηματίσουν ίζημα. </w:t>
      </w:r>
      <w:r w:rsidR="00C857E7" w:rsidRPr="00397A42">
        <w:rPr>
          <w:rFonts w:ascii="Times New Roman" w:hAnsi="Times New Roman"/>
          <w:sz w:val="22"/>
          <w:szCs w:val="22"/>
          <w:lang w:val="el-GR"/>
        </w:rPr>
        <w:t xml:space="preserve">Η επιρουβικίνη </w:t>
      </w:r>
      <w:r w:rsidRPr="00397A42">
        <w:rPr>
          <w:rFonts w:ascii="Times New Roman" w:hAnsi="Times New Roman"/>
          <w:sz w:val="22"/>
          <w:szCs w:val="22"/>
          <w:lang w:val="el-GR"/>
        </w:rPr>
        <w:t>μπορεί να χρησιμοποιηθεί σε</w:t>
      </w:r>
      <w:r w:rsidRPr="00397A42">
        <w:rPr>
          <w:rFonts w:ascii="Times New Roman" w:hAnsi="Times New Roman"/>
          <w:b/>
          <w:sz w:val="22"/>
          <w:szCs w:val="22"/>
          <w:lang w:val="el-GR"/>
        </w:rPr>
        <w:t xml:space="preserve"> </w:t>
      </w:r>
      <w:r w:rsidRPr="00397A42">
        <w:rPr>
          <w:rFonts w:ascii="Times New Roman" w:hAnsi="Times New Roman"/>
          <w:sz w:val="22"/>
          <w:szCs w:val="22"/>
          <w:lang w:val="el-GR"/>
        </w:rPr>
        <w:t>συνδυασμό με άλλους χημειοθεραπευτικούς</w:t>
      </w:r>
      <w:r w:rsidRPr="00397A42">
        <w:rPr>
          <w:rFonts w:ascii="Times New Roman" w:hAnsi="Times New Roman"/>
          <w:b/>
          <w:sz w:val="22"/>
          <w:szCs w:val="22"/>
          <w:lang w:val="el-GR"/>
        </w:rPr>
        <w:t xml:space="preserve"> </w:t>
      </w:r>
      <w:r w:rsidRPr="00397A42">
        <w:rPr>
          <w:rFonts w:ascii="Times New Roman" w:hAnsi="Times New Roman"/>
          <w:sz w:val="22"/>
          <w:szCs w:val="22"/>
          <w:lang w:val="el-GR"/>
        </w:rPr>
        <w:t>παράγοντες, δεν συνιστάται όμως η ανάμιξη των φαρμάκων αυτών στην ίδια σύριγγα.</w:t>
      </w:r>
    </w:p>
    <w:p w:rsidR="00192B54" w:rsidRPr="00397A42" w:rsidRDefault="00192B54">
      <w:pPr>
        <w:pStyle w:val="a6"/>
        <w:rPr>
          <w:rFonts w:ascii="Times New Roman" w:hAnsi="Times New Roman"/>
          <w:sz w:val="22"/>
          <w:szCs w:val="22"/>
        </w:rPr>
      </w:pPr>
    </w:p>
    <w:p w:rsidR="00192B54" w:rsidRPr="00397A42" w:rsidRDefault="00192B54">
      <w:pPr>
        <w:pStyle w:val="a6"/>
        <w:rPr>
          <w:rFonts w:ascii="Times New Roman" w:hAnsi="Times New Roman"/>
          <w:sz w:val="22"/>
          <w:szCs w:val="22"/>
        </w:rPr>
      </w:pPr>
      <w:r w:rsidRPr="00397A42">
        <w:rPr>
          <w:rFonts w:ascii="Times New Roman" w:hAnsi="Times New Roman"/>
          <w:sz w:val="22"/>
          <w:szCs w:val="22"/>
        </w:rPr>
        <w:t xml:space="preserve">2.7 </w:t>
      </w:r>
      <w:r w:rsidRPr="00397A42">
        <w:rPr>
          <w:rFonts w:ascii="Times New Roman" w:hAnsi="Times New Roman"/>
          <w:sz w:val="22"/>
          <w:szCs w:val="22"/>
        </w:rPr>
        <w:tab/>
        <w:t xml:space="preserve">Υπερδοσολογία - Αντιμετώπιση </w:t>
      </w:r>
    </w:p>
    <w:p w:rsidR="00DD4EB4" w:rsidRPr="00397A42" w:rsidRDefault="00DD4EB4" w:rsidP="00DD4EB4">
      <w:pPr>
        <w:jc w:val="both"/>
        <w:rPr>
          <w:rFonts w:ascii="Times New Roman" w:hAnsi="Times New Roman"/>
          <w:sz w:val="22"/>
          <w:lang w:val="el-GR"/>
        </w:rPr>
      </w:pPr>
      <w:r w:rsidRPr="00397A42">
        <w:rPr>
          <w:rFonts w:ascii="Times New Roman" w:hAnsi="Times New Roman"/>
          <w:sz w:val="22"/>
          <w:lang w:val="el-GR"/>
        </w:rPr>
        <w:t xml:space="preserve">Οξεία υπερδοσολογία με επιρουβικίνη θα έχει ως αποτέλεσμα σοβαρή μυελοκαταστολή (κυρίως λευκοπενία και θρομβοπενία), γαστρεντερικές τοξικές επιδράσεις (κυρίως βλενογονίτιδα) και οξείες καρδιακές επιπλοκές. Λανθάνουσα καρδιακή ανεπάρκεια έχει παρατηρηθεί με ανθρακυκλίνες αρκετούς μήνες έως χρόνια μετά την ολοκλήρωση της θεραπείας (βλ. παράγραφο </w:t>
      </w:r>
      <w:r w:rsidR="001E324D" w:rsidRPr="00397A42">
        <w:rPr>
          <w:rFonts w:ascii="Times New Roman" w:hAnsi="Times New Roman"/>
          <w:b/>
          <w:sz w:val="22"/>
          <w:lang w:val="el-GR"/>
        </w:rPr>
        <w:t>2</w:t>
      </w:r>
      <w:r w:rsidRPr="00397A42">
        <w:rPr>
          <w:rFonts w:ascii="Times New Roman" w:hAnsi="Times New Roman"/>
          <w:b/>
          <w:sz w:val="22"/>
          <w:lang w:val="el-GR"/>
        </w:rPr>
        <w:t>.4 Ειδικές Προειδοποιήσεις και Προφυλάξεις κατά τη χρήση)</w:t>
      </w:r>
      <w:r w:rsidRPr="00397A42">
        <w:rPr>
          <w:rFonts w:ascii="Times New Roman" w:hAnsi="Times New Roman"/>
          <w:sz w:val="22"/>
          <w:lang w:val="el-GR"/>
        </w:rPr>
        <w:t>. Οι ασθενείς πρέπει να παρακολουθούνται προσεχτικά. Εάν εμφανιστούν σημεία καρδιακής ανεπάρκειας, οι ασθενείς πρέπει να θεραπευτούν σύμφωνα με τις καθιερωμένες οδηγίες.</w:t>
      </w:r>
    </w:p>
    <w:p w:rsidR="00DD4EB4" w:rsidRPr="00397A42" w:rsidRDefault="00DD4EB4" w:rsidP="00DD4EB4">
      <w:pPr>
        <w:jc w:val="both"/>
        <w:rPr>
          <w:rFonts w:ascii="Times New Roman" w:hAnsi="Times New Roman"/>
          <w:sz w:val="22"/>
          <w:lang w:val="el-GR"/>
        </w:rPr>
      </w:pPr>
      <w:r w:rsidRPr="00397A42">
        <w:rPr>
          <w:rFonts w:ascii="Times New Roman" w:hAnsi="Times New Roman"/>
          <w:sz w:val="22"/>
          <w:lang w:val="el-GR"/>
        </w:rPr>
        <w:t>Θεραπεία:</w:t>
      </w:r>
    </w:p>
    <w:p w:rsidR="00DD4EB4" w:rsidRPr="00397A42" w:rsidRDefault="00DD4EB4" w:rsidP="00DD4EB4">
      <w:pPr>
        <w:jc w:val="both"/>
        <w:rPr>
          <w:rFonts w:ascii="Times New Roman" w:hAnsi="Times New Roman"/>
          <w:sz w:val="22"/>
          <w:lang w:val="el-GR"/>
        </w:rPr>
      </w:pPr>
      <w:r w:rsidRPr="00397A42">
        <w:rPr>
          <w:rFonts w:ascii="Times New Roman" w:hAnsi="Times New Roman"/>
          <w:sz w:val="22"/>
          <w:lang w:val="el-GR"/>
        </w:rPr>
        <w:t>Συμπτωματική. Η επιρουβικίνη δεν μπορεί να εξαφανιστεί με διύλιση.</w:t>
      </w:r>
    </w:p>
    <w:p w:rsidR="001B0093" w:rsidRPr="00397A42" w:rsidRDefault="00DD4EB4">
      <w:pPr>
        <w:rPr>
          <w:rFonts w:ascii="Times New Roman" w:hAnsi="Times New Roman"/>
          <w:sz w:val="22"/>
          <w:szCs w:val="22"/>
          <w:lang w:val="el-GR"/>
        </w:rPr>
      </w:pPr>
      <w:r w:rsidRPr="00397A42">
        <w:rPr>
          <w:rFonts w:ascii="Times New Roman" w:hAnsi="Times New Roman"/>
          <w:sz w:val="22"/>
          <w:szCs w:val="22"/>
          <w:lang w:val="el-GR"/>
        </w:rPr>
        <w:t xml:space="preserve">Η αγωγή  πρέπει να έχει στόχο την υποστήριξη των ζωτικών λειτουργιών του οργανισμού κατά τη διάρκεια αυτής της περιόδου και θα πρέπει να χρησιμοποιηθούν μέτρα όπως μεταγγίσεις αίματος και </w:t>
      </w:r>
      <w:r w:rsidR="00D00C04" w:rsidRPr="00397A42">
        <w:rPr>
          <w:sz w:val="22"/>
          <w:szCs w:val="22"/>
          <w:lang w:val="el-GR"/>
        </w:rPr>
        <w:t>νοσηλεία σε απομόνωση</w:t>
      </w:r>
      <w:r w:rsidRPr="00397A42">
        <w:rPr>
          <w:rFonts w:ascii="Times New Roman" w:hAnsi="Times New Roman"/>
          <w:sz w:val="22"/>
          <w:szCs w:val="22"/>
          <w:lang w:val="el-GR"/>
        </w:rPr>
        <w:t xml:space="preserve">. </w:t>
      </w:r>
      <w:r w:rsidR="00216CD5" w:rsidRPr="00397A42">
        <w:rPr>
          <w:rFonts w:ascii="Times New Roman" w:hAnsi="Times New Roman"/>
          <w:bCs/>
          <w:sz w:val="22"/>
          <w:szCs w:val="22"/>
          <w:lang w:val="el-GR"/>
        </w:rPr>
        <w:t>Όψιμη</w:t>
      </w:r>
      <w:r w:rsidRPr="00397A42">
        <w:rPr>
          <w:rFonts w:ascii="Times New Roman" w:hAnsi="Times New Roman"/>
          <w:sz w:val="22"/>
          <w:szCs w:val="22"/>
          <w:lang w:val="el-GR"/>
        </w:rPr>
        <w:t xml:space="preserve"> καρδιακή ανεπάρκεια παρατηρήθηκε με τις ανθρακυκλίνες μέχρι και 6 μήνες μετά την υπερδοσολογία.</w:t>
      </w:r>
    </w:p>
    <w:p w:rsidR="001B0093" w:rsidRPr="00397A42" w:rsidRDefault="001B0093">
      <w:pPr>
        <w:rPr>
          <w:rFonts w:ascii="Times New Roman" w:hAnsi="Times New Roman"/>
          <w:b/>
          <w:sz w:val="22"/>
          <w:szCs w:val="22"/>
          <w:lang w:val="en-US"/>
        </w:rPr>
      </w:pPr>
      <w:r w:rsidRPr="00397A42">
        <w:rPr>
          <w:rFonts w:ascii="Times New Roman" w:hAnsi="Times New Roman"/>
          <w:b/>
          <w:sz w:val="22"/>
          <w:szCs w:val="22"/>
          <w:lang w:val="el-GR"/>
        </w:rPr>
        <w:t>Τηλ. Κέντρου Δηλητηριάσεων</w:t>
      </w:r>
      <w:r w:rsidRPr="00397A42">
        <w:rPr>
          <w:rFonts w:ascii="Times New Roman" w:hAnsi="Times New Roman"/>
          <w:b/>
          <w:sz w:val="22"/>
          <w:szCs w:val="22"/>
          <w:lang w:val="en-US"/>
        </w:rPr>
        <w:t>: 210 7793777</w:t>
      </w:r>
    </w:p>
    <w:p w:rsidR="00192B54" w:rsidRPr="00397A42" w:rsidRDefault="00192B54">
      <w:pPr>
        <w:pStyle w:val="3"/>
        <w:rPr>
          <w:rFonts w:ascii="Times New Roman" w:hAnsi="Times New Roman"/>
          <w:sz w:val="22"/>
          <w:szCs w:val="22"/>
        </w:rPr>
      </w:pPr>
    </w:p>
    <w:p w:rsidR="00192B54" w:rsidRPr="00397A42" w:rsidRDefault="004A5843" w:rsidP="004A5843">
      <w:pPr>
        <w:pStyle w:val="a6"/>
        <w:numPr>
          <w:ilvl w:val="1"/>
          <w:numId w:val="6"/>
        </w:numPr>
        <w:tabs>
          <w:tab w:val="left" w:pos="851"/>
          <w:tab w:val="left" w:pos="1021"/>
        </w:tabs>
        <w:rPr>
          <w:rFonts w:ascii="Times New Roman" w:hAnsi="Times New Roman"/>
          <w:sz w:val="22"/>
          <w:szCs w:val="22"/>
        </w:rPr>
      </w:pPr>
      <w:r w:rsidRPr="00397A42">
        <w:rPr>
          <w:rFonts w:ascii="Times New Roman" w:hAnsi="Times New Roman"/>
          <w:sz w:val="22"/>
          <w:szCs w:val="22"/>
          <w:lang w:val="en-US"/>
        </w:rPr>
        <w:t xml:space="preserve"> </w:t>
      </w:r>
      <w:r w:rsidR="00192B54" w:rsidRPr="00397A42">
        <w:rPr>
          <w:rFonts w:ascii="Times New Roman" w:hAnsi="Times New Roman"/>
          <w:sz w:val="22"/>
          <w:szCs w:val="22"/>
        </w:rPr>
        <w:t>Ανεπιθύμητες ενέργειες</w:t>
      </w:r>
    </w:p>
    <w:p w:rsidR="00DC5257" w:rsidRPr="00397A42" w:rsidRDefault="00DC5257" w:rsidP="00DC5257">
      <w:pPr>
        <w:jc w:val="both"/>
        <w:rPr>
          <w:sz w:val="22"/>
          <w:lang w:val="el-GR"/>
        </w:rPr>
      </w:pPr>
      <w:r w:rsidRPr="00397A42">
        <w:rPr>
          <w:sz w:val="22"/>
          <w:lang w:val="el-GR"/>
        </w:rPr>
        <w:t>Οι ακόλουθες ανεπιθύμητες ενέργειες έχουν παρατηρηθεί και αναφερθεί κατά τη διάρκεια θεραπείας με επιρουβικίνη με τις ακόλουθες συχνότητες: Πολύ συχνές (≥1/10), συχνές (≥1/100 έως &lt;1/10), όχι συχνές (≥1/1</w:t>
      </w:r>
      <w:r w:rsidR="00D566DD" w:rsidRPr="00397A42">
        <w:rPr>
          <w:sz w:val="22"/>
          <w:lang w:val="el-GR"/>
        </w:rPr>
        <w:t>.</w:t>
      </w:r>
      <w:r w:rsidRPr="00397A42">
        <w:rPr>
          <w:sz w:val="22"/>
          <w:lang w:val="el-GR"/>
        </w:rPr>
        <w:t>000 έως ≤1/100), σπάνιες (≥1/10</w:t>
      </w:r>
      <w:r w:rsidR="00D566DD" w:rsidRPr="00397A42">
        <w:rPr>
          <w:sz w:val="22"/>
          <w:lang w:val="el-GR"/>
        </w:rPr>
        <w:t>.</w:t>
      </w:r>
      <w:r w:rsidRPr="00397A42">
        <w:rPr>
          <w:sz w:val="22"/>
          <w:lang w:val="el-GR"/>
        </w:rPr>
        <w:t>000 έως ≤1/1</w:t>
      </w:r>
      <w:r w:rsidR="00D566DD" w:rsidRPr="00397A42">
        <w:rPr>
          <w:sz w:val="22"/>
          <w:lang w:val="el-GR"/>
        </w:rPr>
        <w:t>.</w:t>
      </w:r>
      <w:r w:rsidRPr="00397A42">
        <w:rPr>
          <w:sz w:val="22"/>
          <w:lang w:val="el-GR"/>
        </w:rPr>
        <w:t>000), πολύ σπάνιες (≤1/10</w:t>
      </w:r>
      <w:r w:rsidR="00D566DD" w:rsidRPr="00397A42">
        <w:rPr>
          <w:sz w:val="22"/>
          <w:lang w:val="el-GR"/>
        </w:rPr>
        <w:t>.</w:t>
      </w:r>
      <w:r w:rsidRPr="00397A42">
        <w:rPr>
          <w:sz w:val="22"/>
          <w:lang w:val="el-GR"/>
        </w:rPr>
        <w:t>000), μη γνωστές (δεν μπορούν να εκτιμηθούν με βάση τα διαθέσιμα δεδομένα).</w:t>
      </w:r>
    </w:p>
    <w:p w:rsidR="00DC5257" w:rsidRPr="00397A42" w:rsidRDefault="00DC5257" w:rsidP="00DC5257">
      <w:pPr>
        <w:jc w:val="both"/>
        <w:rPr>
          <w:sz w:val="22"/>
          <w:lang w:val="el-GR"/>
        </w:rPr>
      </w:pPr>
      <w:r w:rsidRPr="00397A42">
        <w:rPr>
          <w:sz w:val="22"/>
          <w:lang w:val="el-GR"/>
        </w:rPr>
        <w:t>Περισσότερο από 10% των ασθενών σε θεραπεία αναμένεται να εμφανίσουν ανεπιθύμητες ενέργειες. Οι πιο συχνές ανεπιθύμητες ενέργειες είναι μυελοκαταστολή, γαστρεντερικές ανεπιθύμητες ενέργειες, ανορεξία, αλωπεκία, λοίμωξη.</w:t>
      </w:r>
    </w:p>
    <w:p w:rsidR="00DC5257" w:rsidRPr="00397A42" w:rsidRDefault="00DC5257" w:rsidP="00DC5257">
      <w:pPr>
        <w:jc w:val="both"/>
        <w:rPr>
          <w:sz w:val="22"/>
          <w:lang w:val="el-G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1"/>
        <w:gridCol w:w="1340"/>
        <w:gridCol w:w="3863"/>
      </w:tblGrid>
      <w:tr w:rsidR="00DC5257" w:rsidRPr="00397A42" w:rsidTr="003045F7">
        <w:tc>
          <w:tcPr>
            <w:tcW w:w="2491"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b/>
                <w:sz w:val="22"/>
                <w:szCs w:val="22"/>
                <w:lang w:val="el-GR"/>
              </w:rPr>
            </w:pPr>
            <w:r w:rsidRPr="00397A42">
              <w:rPr>
                <w:rFonts w:ascii="Times New Roman" w:hAnsi="Times New Roman"/>
                <w:b/>
                <w:sz w:val="22"/>
                <w:szCs w:val="22"/>
                <w:lang w:val="el-GR"/>
              </w:rPr>
              <w:t xml:space="preserve">Κατηγορία Οργανικού </w:t>
            </w:r>
            <w:r w:rsidRPr="00397A42">
              <w:rPr>
                <w:rFonts w:ascii="Times New Roman" w:hAnsi="Times New Roman"/>
                <w:b/>
                <w:sz w:val="22"/>
                <w:szCs w:val="22"/>
                <w:lang w:val="el-GR"/>
              </w:rPr>
              <w:lastRenderedPageBreak/>
              <w:t>Συστήματος</w:t>
            </w: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b/>
                <w:sz w:val="22"/>
                <w:szCs w:val="22"/>
                <w:lang w:val="el-GR"/>
              </w:rPr>
            </w:pPr>
            <w:r w:rsidRPr="00397A42">
              <w:rPr>
                <w:rFonts w:ascii="Times New Roman" w:hAnsi="Times New Roman"/>
                <w:b/>
                <w:sz w:val="22"/>
                <w:szCs w:val="22"/>
                <w:lang w:val="el-GR"/>
              </w:rPr>
              <w:lastRenderedPageBreak/>
              <w:t>Συχνότητα</w:t>
            </w:r>
          </w:p>
        </w:tc>
        <w:tc>
          <w:tcPr>
            <w:tcW w:w="3863"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0"/>
              <w:rPr>
                <w:rFonts w:ascii="Times New Roman" w:hAnsi="Times New Roman"/>
                <w:b/>
                <w:sz w:val="22"/>
                <w:szCs w:val="22"/>
                <w:lang w:val="el-GR"/>
              </w:rPr>
            </w:pPr>
            <w:r w:rsidRPr="00397A42">
              <w:rPr>
                <w:rFonts w:ascii="Times New Roman" w:hAnsi="Times New Roman"/>
                <w:b/>
                <w:sz w:val="22"/>
                <w:szCs w:val="22"/>
                <w:lang w:val="el-GR"/>
              </w:rPr>
              <w:t>Ανεπιθύμητες Ενέργειες</w:t>
            </w:r>
          </w:p>
        </w:tc>
      </w:tr>
      <w:tr w:rsidR="00DC5257" w:rsidRPr="00397A42" w:rsidTr="003045F7">
        <w:trPr>
          <w:trHeight w:val="404"/>
        </w:trPr>
        <w:tc>
          <w:tcPr>
            <w:tcW w:w="2491" w:type="dxa"/>
            <w:vMerge w:val="restart"/>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lang w:val="el-GR"/>
              </w:rPr>
            </w:pPr>
            <w:r w:rsidRPr="00397A42">
              <w:rPr>
                <w:rFonts w:ascii="Times New Roman" w:hAnsi="Times New Roman"/>
                <w:b/>
                <w:bCs/>
                <w:sz w:val="22"/>
                <w:szCs w:val="22"/>
                <w:lang w:val="el-GR"/>
              </w:rPr>
              <w:lastRenderedPageBreak/>
              <w:t>Λοιμώξεις και παρασιτώσεις</w:t>
            </w: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Συχνές</w:t>
            </w:r>
          </w:p>
        </w:tc>
        <w:tc>
          <w:tcPr>
            <w:tcW w:w="3863" w:type="dxa"/>
            <w:tcBorders>
              <w:top w:val="single" w:sz="4" w:space="0" w:color="auto"/>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sz w:val="22"/>
                <w:szCs w:val="22"/>
                <w:lang w:val="el-GR"/>
              </w:rPr>
              <w:t>Λοίμωξη</w:t>
            </w:r>
          </w:p>
        </w:tc>
      </w:tr>
      <w:tr w:rsidR="00DC5257" w:rsidRPr="00397A42" w:rsidTr="003045F7">
        <w:trPr>
          <w:trHeight w:val="404"/>
        </w:trPr>
        <w:tc>
          <w:tcPr>
            <w:tcW w:w="2491" w:type="dxa"/>
            <w:vMerge/>
            <w:tcBorders>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rPr>
            </w:pP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Μη γνωστές</w:t>
            </w:r>
          </w:p>
        </w:tc>
        <w:tc>
          <w:tcPr>
            <w:tcW w:w="3863" w:type="dxa"/>
            <w:tcBorders>
              <w:top w:val="single" w:sz="4" w:space="0" w:color="auto"/>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iCs/>
                <w:sz w:val="22"/>
                <w:szCs w:val="22"/>
              </w:rPr>
            </w:pPr>
            <w:proofErr w:type="spellStart"/>
            <w:r w:rsidRPr="00397A42">
              <w:rPr>
                <w:rFonts w:ascii="Times New Roman" w:hAnsi="Times New Roman"/>
                <w:sz w:val="22"/>
                <w:szCs w:val="22"/>
              </w:rPr>
              <w:t>Σηπτική</w:t>
            </w:r>
            <w:proofErr w:type="spellEnd"/>
            <w:r w:rsidRPr="00397A42">
              <w:rPr>
                <w:rFonts w:ascii="Times New Roman" w:hAnsi="Times New Roman"/>
                <w:sz w:val="22"/>
                <w:szCs w:val="22"/>
              </w:rPr>
              <w:t xml:space="preserve"> </w:t>
            </w:r>
            <w:proofErr w:type="spellStart"/>
            <w:r w:rsidRPr="00397A42">
              <w:rPr>
                <w:rFonts w:ascii="Times New Roman" w:hAnsi="Times New Roman"/>
                <w:sz w:val="22"/>
                <w:szCs w:val="22"/>
              </w:rPr>
              <w:t>καταπληξία</w:t>
            </w:r>
            <w:proofErr w:type="spellEnd"/>
            <w:r w:rsidRPr="00397A42">
              <w:rPr>
                <w:rFonts w:ascii="Times New Roman" w:hAnsi="Times New Roman"/>
                <w:sz w:val="22"/>
                <w:szCs w:val="22"/>
              </w:rPr>
              <w:t xml:space="preserve">, </w:t>
            </w:r>
            <w:r w:rsidRPr="00397A42">
              <w:rPr>
                <w:rFonts w:ascii="Times New Roman" w:hAnsi="Times New Roman"/>
                <w:sz w:val="22"/>
                <w:szCs w:val="22"/>
                <w:lang w:val="el-GR"/>
              </w:rPr>
              <w:t>σηψαιμία</w:t>
            </w:r>
            <w:r w:rsidRPr="00397A42">
              <w:rPr>
                <w:rFonts w:ascii="Times New Roman" w:hAnsi="Times New Roman"/>
                <w:sz w:val="22"/>
                <w:szCs w:val="22"/>
              </w:rPr>
              <w:t xml:space="preserve">, </w:t>
            </w:r>
            <w:r w:rsidRPr="00397A42">
              <w:rPr>
                <w:rFonts w:ascii="Times New Roman" w:hAnsi="Times New Roman"/>
                <w:sz w:val="22"/>
                <w:szCs w:val="22"/>
                <w:lang w:val="el-GR"/>
              </w:rPr>
              <w:t>πνευμονία</w:t>
            </w:r>
            <w:r w:rsidRPr="00397A42">
              <w:rPr>
                <w:rFonts w:ascii="Times New Roman" w:hAnsi="Times New Roman"/>
                <w:sz w:val="22"/>
                <w:szCs w:val="22"/>
              </w:rPr>
              <w:t xml:space="preserve"> </w:t>
            </w:r>
          </w:p>
        </w:tc>
      </w:tr>
      <w:tr w:rsidR="00DC5257" w:rsidRPr="00397A42" w:rsidTr="003045F7">
        <w:trPr>
          <w:trHeight w:val="404"/>
        </w:trPr>
        <w:tc>
          <w:tcPr>
            <w:tcW w:w="2491" w:type="dxa"/>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lang w:val="el-GR"/>
              </w:rPr>
            </w:pPr>
            <w:r w:rsidRPr="00397A42">
              <w:rPr>
                <w:rFonts w:ascii="Times New Roman" w:hAnsi="Times New Roman"/>
                <w:b/>
                <w:bCs/>
                <w:sz w:val="22"/>
                <w:szCs w:val="22"/>
                <w:lang w:val="el-GR"/>
              </w:rPr>
              <w:t>Νεοπλάσματα καλοήθη, κακοήθη και μη καθοριζόμενα (περιλαμβάνονται κύστες και πολύποδες)</w:t>
            </w: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Σπάνιες</w:t>
            </w:r>
          </w:p>
        </w:tc>
        <w:tc>
          <w:tcPr>
            <w:tcW w:w="3863" w:type="dxa"/>
            <w:tcBorders>
              <w:top w:val="single" w:sz="4" w:space="0" w:color="auto"/>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Οξεία λεμφοκυτταρική λευχαιμία, οξεία μυελογενής λευχαιμία</w:t>
            </w:r>
          </w:p>
        </w:tc>
      </w:tr>
      <w:tr w:rsidR="00DC5257" w:rsidRPr="00397A42" w:rsidTr="003045F7">
        <w:trPr>
          <w:trHeight w:val="404"/>
        </w:trPr>
        <w:tc>
          <w:tcPr>
            <w:tcW w:w="2491" w:type="dxa"/>
            <w:vMerge w:val="restart"/>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lang w:val="el-GR"/>
              </w:rPr>
            </w:pPr>
            <w:r w:rsidRPr="00397A42">
              <w:rPr>
                <w:rFonts w:ascii="Times New Roman" w:hAnsi="Times New Roman"/>
                <w:b/>
                <w:bCs/>
                <w:sz w:val="22"/>
                <w:szCs w:val="22"/>
                <w:lang w:val="el-GR"/>
              </w:rPr>
              <w:t>Διαταραχές του αιμοποιητικού και του λεμφικού συστήματος</w:t>
            </w: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Πολύ συχνές</w:t>
            </w:r>
          </w:p>
        </w:tc>
        <w:tc>
          <w:tcPr>
            <w:tcW w:w="3863" w:type="dxa"/>
            <w:tcBorders>
              <w:top w:val="single" w:sz="4" w:space="0" w:color="auto"/>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Μυελοκαταστολή (λευκοπενία, κοκκιοκυτταροπενία και ουδετεροπενία, αναιμία και εμπύρετη ουδετεροπενία)</w:t>
            </w:r>
          </w:p>
        </w:tc>
      </w:tr>
      <w:tr w:rsidR="00DC5257" w:rsidRPr="00397A42" w:rsidTr="003045F7">
        <w:trPr>
          <w:trHeight w:val="403"/>
        </w:trPr>
        <w:tc>
          <w:tcPr>
            <w:tcW w:w="2491" w:type="dxa"/>
            <w:vMerge/>
            <w:tcBorders>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lang w:val="el-GR"/>
              </w:rPr>
            </w:pP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Όχι συχνές</w:t>
            </w:r>
          </w:p>
        </w:tc>
        <w:tc>
          <w:tcPr>
            <w:tcW w:w="3863" w:type="dxa"/>
            <w:tcBorders>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iCs/>
                <w:sz w:val="22"/>
                <w:szCs w:val="22"/>
                <w:lang w:val="el-GR"/>
              </w:rPr>
            </w:pPr>
            <w:r w:rsidRPr="00397A42">
              <w:rPr>
                <w:rFonts w:ascii="Times New Roman" w:hAnsi="Times New Roman"/>
                <w:iCs/>
                <w:sz w:val="22"/>
                <w:szCs w:val="22"/>
                <w:lang w:val="el-GR"/>
              </w:rPr>
              <w:t>Θρομβοπενία</w:t>
            </w:r>
          </w:p>
        </w:tc>
      </w:tr>
      <w:tr w:rsidR="00DC5257" w:rsidRPr="00397A42" w:rsidTr="003045F7">
        <w:trPr>
          <w:trHeight w:val="403"/>
        </w:trPr>
        <w:tc>
          <w:tcPr>
            <w:tcW w:w="2491" w:type="dxa"/>
            <w:vMerge/>
            <w:tcBorders>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rPr>
            </w:pP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Μη γνωστές</w:t>
            </w:r>
          </w:p>
        </w:tc>
        <w:tc>
          <w:tcPr>
            <w:tcW w:w="3863" w:type="dxa"/>
            <w:tcBorders>
              <w:left w:val="single" w:sz="4" w:space="0" w:color="auto"/>
              <w:bottom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iCs/>
                <w:sz w:val="22"/>
                <w:szCs w:val="22"/>
                <w:lang w:val="el-GR"/>
              </w:rPr>
            </w:pPr>
            <w:r w:rsidRPr="00397A42">
              <w:rPr>
                <w:rFonts w:ascii="Times New Roman" w:hAnsi="Times New Roman"/>
                <w:iCs/>
                <w:sz w:val="22"/>
                <w:szCs w:val="22"/>
                <w:lang w:val="el-GR"/>
              </w:rPr>
              <w:t>Αιμορραγία και υποξία ιστού ως αποτέλεσμα μυελοκαταστολής</w:t>
            </w:r>
          </w:p>
        </w:tc>
      </w:tr>
      <w:tr w:rsidR="00DC5257" w:rsidRPr="00397A42" w:rsidTr="003045F7">
        <w:tc>
          <w:tcPr>
            <w:tcW w:w="2491" w:type="dxa"/>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rPr>
            </w:pPr>
            <w:proofErr w:type="spellStart"/>
            <w:r w:rsidRPr="00397A42">
              <w:rPr>
                <w:rFonts w:ascii="Times New Roman" w:hAnsi="Times New Roman"/>
                <w:b/>
                <w:bCs/>
                <w:sz w:val="22"/>
                <w:szCs w:val="22"/>
              </w:rPr>
              <w:t>Διαταραχές</w:t>
            </w:r>
            <w:proofErr w:type="spellEnd"/>
            <w:r w:rsidRPr="00397A42">
              <w:rPr>
                <w:rFonts w:ascii="Times New Roman" w:hAnsi="Times New Roman"/>
                <w:b/>
                <w:bCs/>
                <w:sz w:val="22"/>
                <w:szCs w:val="22"/>
              </w:rPr>
              <w:t xml:space="preserve"> </w:t>
            </w:r>
            <w:proofErr w:type="spellStart"/>
            <w:r w:rsidRPr="00397A42">
              <w:rPr>
                <w:rFonts w:ascii="Times New Roman" w:hAnsi="Times New Roman"/>
                <w:b/>
                <w:bCs/>
                <w:sz w:val="22"/>
                <w:szCs w:val="22"/>
              </w:rPr>
              <w:t>του</w:t>
            </w:r>
            <w:proofErr w:type="spellEnd"/>
            <w:r w:rsidRPr="00397A42">
              <w:rPr>
                <w:rFonts w:ascii="Times New Roman" w:hAnsi="Times New Roman"/>
                <w:b/>
                <w:bCs/>
                <w:sz w:val="22"/>
                <w:szCs w:val="22"/>
              </w:rPr>
              <w:t xml:space="preserve"> </w:t>
            </w:r>
            <w:proofErr w:type="spellStart"/>
            <w:r w:rsidRPr="00397A42">
              <w:rPr>
                <w:rFonts w:ascii="Times New Roman" w:hAnsi="Times New Roman"/>
                <w:b/>
                <w:bCs/>
                <w:sz w:val="22"/>
                <w:szCs w:val="22"/>
              </w:rPr>
              <w:t>ανοσοποιητικού</w:t>
            </w:r>
            <w:proofErr w:type="spellEnd"/>
            <w:r w:rsidRPr="00397A42">
              <w:rPr>
                <w:rFonts w:ascii="Times New Roman" w:hAnsi="Times New Roman"/>
                <w:b/>
                <w:bCs/>
                <w:sz w:val="22"/>
                <w:szCs w:val="22"/>
              </w:rPr>
              <w:t xml:space="preserve"> </w:t>
            </w:r>
            <w:proofErr w:type="spellStart"/>
            <w:r w:rsidRPr="00397A42">
              <w:rPr>
                <w:rFonts w:ascii="Times New Roman" w:hAnsi="Times New Roman"/>
                <w:b/>
                <w:bCs/>
                <w:sz w:val="22"/>
                <w:szCs w:val="22"/>
              </w:rPr>
              <w:t>συστήματος</w:t>
            </w:r>
            <w:proofErr w:type="spellEnd"/>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Σπάνιες</w:t>
            </w:r>
          </w:p>
        </w:tc>
        <w:tc>
          <w:tcPr>
            <w:tcW w:w="3863"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Αναφυλαξία</w:t>
            </w:r>
          </w:p>
        </w:tc>
      </w:tr>
      <w:tr w:rsidR="00DC5257" w:rsidRPr="00397A42" w:rsidTr="003045F7">
        <w:trPr>
          <w:trHeight w:val="300"/>
        </w:trPr>
        <w:tc>
          <w:tcPr>
            <w:tcW w:w="2491" w:type="dxa"/>
            <w:vMerge w:val="restart"/>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lang w:val="el-GR"/>
              </w:rPr>
            </w:pPr>
            <w:r w:rsidRPr="00397A42">
              <w:rPr>
                <w:rFonts w:ascii="Times New Roman" w:hAnsi="Times New Roman"/>
                <w:b/>
                <w:bCs/>
                <w:sz w:val="22"/>
                <w:szCs w:val="22"/>
                <w:lang w:val="el-GR"/>
              </w:rPr>
              <w:t>Διαταραχές του μεταβολισμού και της θρέψης</w:t>
            </w:r>
          </w:p>
        </w:tc>
        <w:tc>
          <w:tcPr>
            <w:tcW w:w="1340" w:type="dxa"/>
            <w:tcBorders>
              <w:top w:val="single" w:sz="4" w:space="0" w:color="auto"/>
              <w:left w:val="single" w:sz="4" w:space="0" w:color="auto"/>
              <w:right w:val="single" w:sz="4" w:space="0" w:color="auto"/>
            </w:tcBorders>
            <w:shd w:val="clear" w:color="auto" w:fill="auto"/>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Συχνές</w:t>
            </w:r>
          </w:p>
        </w:tc>
        <w:tc>
          <w:tcPr>
            <w:tcW w:w="3863" w:type="dxa"/>
            <w:tcBorders>
              <w:top w:val="single" w:sz="4" w:space="0" w:color="auto"/>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sz w:val="22"/>
                <w:szCs w:val="22"/>
                <w:lang w:val="el-GR"/>
              </w:rPr>
              <w:t>Ανορεξία</w:t>
            </w:r>
            <w:r w:rsidRPr="00397A42">
              <w:rPr>
                <w:rFonts w:ascii="Times New Roman" w:hAnsi="Times New Roman"/>
                <w:sz w:val="22"/>
                <w:szCs w:val="22"/>
              </w:rPr>
              <w:t xml:space="preserve">, </w:t>
            </w:r>
            <w:r w:rsidRPr="00397A42">
              <w:rPr>
                <w:rFonts w:ascii="Times New Roman" w:hAnsi="Times New Roman"/>
                <w:sz w:val="22"/>
                <w:szCs w:val="22"/>
                <w:lang w:val="el-GR"/>
              </w:rPr>
              <w:t>αφυδάτωση</w:t>
            </w:r>
          </w:p>
        </w:tc>
      </w:tr>
      <w:tr w:rsidR="00DC5257" w:rsidRPr="00397A42" w:rsidTr="003045F7">
        <w:trPr>
          <w:trHeight w:val="873"/>
        </w:trPr>
        <w:tc>
          <w:tcPr>
            <w:tcW w:w="2491" w:type="dxa"/>
            <w:vMerge/>
            <w:tcBorders>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rPr>
            </w:pPr>
          </w:p>
        </w:tc>
        <w:tc>
          <w:tcPr>
            <w:tcW w:w="1340" w:type="dxa"/>
            <w:tcBorders>
              <w:top w:val="single" w:sz="4" w:space="0" w:color="auto"/>
              <w:left w:val="single" w:sz="4" w:space="0" w:color="auto"/>
              <w:right w:val="single" w:sz="4" w:space="0" w:color="auto"/>
            </w:tcBorders>
            <w:shd w:val="clear" w:color="auto" w:fill="auto"/>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Σπάνιες</w:t>
            </w:r>
          </w:p>
        </w:tc>
        <w:tc>
          <w:tcPr>
            <w:tcW w:w="3863" w:type="dxa"/>
            <w:tcBorders>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sz w:val="22"/>
                <w:szCs w:val="22"/>
              </w:rPr>
            </w:pPr>
            <w:r w:rsidRPr="00397A42">
              <w:rPr>
                <w:rFonts w:ascii="Times New Roman" w:hAnsi="Times New Roman"/>
                <w:sz w:val="22"/>
                <w:szCs w:val="22"/>
                <w:lang w:val="el-GR"/>
              </w:rPr>
              <w:t>Υπερουριχαιμία</w:t>
            </w:r>
            <w:r w:rsidRPr="00397A42">
              <w:rPr>
                <w:rFonts w:ascii="Times New Roman" w:hAnsi="Times New Roman"/>
                <w:sz w:val="22"/>
                <w:szCs w:val="22"/>
              </w:rPr>
              <w:t xml:space="preserve"> (</w:t>
            </w:r>
            <w:r w:rsidRPr="00397A42">
              <w:rPr>
                <w:rFonts w:ascii="Times New Roman" w:hAnsi="Times New Roman"/>
                <w:sz w:val="22"/>
                <w:szCs w:val="22"/>
                <w:lang w:val="el-GR"/>
              </w:rPr>
              <w:t>βλέπε παράγραφο</w:t>
            </w:r>
            <w:r w:rsidR="001E324D" w:rsidRPr="00397A42">
              <w:rPr>
                <w:rFonts w:ascii="Times New Roman" w:hAnsi="Times New Roman"/>
                <w:sz w:val="22"/>
                <w:szCs w:val="22"/>
              </w:rPr>
              <w:t xml:space="preserve"> </w:t>
            </w:r>
            <w:r w:rsidR="001E324D" w:rsidRPr="00397A42">
              <w:rPr>
                <w:rFonts w:ascii="Times New Roman" w:hAnsi="Times New Roman"/>
                <w:sz w:val="22"/>
                <w:szCs w:val="22"/>
                <w:lang w:val="el-GR"/>
              </w:rPr>
              <w:t>2</w:t>
            </w:r>
            <w:r w:rsidRPr="00397A42">
              <w:rPr>
                <w:rFonts w:ascii="Times New Roman" w:hAnsi="Times New Roman"/>
                <w:sz w:val="22"/>
                <w:szCs w:val="22"/>
              </w:rPr>
              <w:t>.4)</w:t>
            </w:r>
          </w:p>
        </w:tc>
      </w:tr>
      <w:tr w:rsidR="00DC5257" w:rsidRPr="00397A42" w:rsidTr="003045F7">
        <w:trPr>
          <w:trHeight w:val="363"/>
        </w:trPr>
        <w:tc>
          <w:tcPr>
            <w:tcW w:w="2491" w:type="dxa"/>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b/>
                <w:bCs/>
                <w:sz w:val="22"/>
                <w:szCs w:val="22"/>
                <w:lang w:val="el-GR"/>
              </w:rPr>
              <w:t>Διαταραχές του νευρικού συστήματος</w:t>
            </w:r>
          </w:p>
        </w:tc>
        <w:tc>
          <w:tcPr>
            <w:tcW w:w="1340" w:type="dxa"/>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Σπάνιες</w:t>
            </w:r>
          </w:p>
        </w:tc>
        <w:tc>
          <w:tcPr>
            <w:tcW w:w="3863" w:type="dxa"/>
            <w:tcBorders>
              <w:top w:val="single" w:sz="4" w:space="0" w:color="auto"/>
              <w:left w:val="single" w:sz="4" w:space="0" w:color="auto"/>
              <w:right w:val="single" w:sz="4" w:space="0" w:color="auto"/>
            </w:tcBorders>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sz w:val="22"/>
                <w:szCs w:val="22"/>
                <w:lang w:val="el-GR"/>
              </w:rPr>
              <w:t>Ζάλη</w:t>
            </w:r>
          </w:p>
        </w:tc>
      </w:tr>
      <w:tr w:rsidR="00DC5257" w:rsidRPr="00397A42" w:rsidTr="003045F7">
        <w:trPr>
          <w:trHeight w:val="363"/>
        </w:trPr>
        <w:tc>
          <w:tcPr>
            <w:tcW w:w="2491" w:type="dxa"/>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sz w:val="22"/>
                <w:szCs w:val="22"/>
                <w:lang w:val="el-GR"/>
              </w:rPr>
            </w:pPr>
            <w:r w:rsidRPr="00397A42">
              <w:rPr>
                <w:rFonts w:ascii="Times New Roman" w:hAnsi="Times New Roman"/>
                <w:b/>
                <w:sz w:val="22"/>
                <w:szCs w:val="22"/>
                <w:lang w:val="el-GR"/>
              </w:rPr>
              <w:t>Οφθαλμικές διαταραχές</w:t>
            </w:r>
          </w:p>
        </w:tc>
        <w:tc>
          <w:tcPr>
            <w:tcW w:w="1340" w:type="dxa"/>
            <w:tcBorders>
              <w:top w:val="single" w:sz="4" w:space="0" w:color="auto"/>
              <w:left w:val="single" w:sz="4" w:space="0" w:color="auto"/>
              <w:right w:val="single" w:sz="4" w:space="0" w:color="auto"/>
            </w:tcBorders>
            <w:shd w:val="clear" w:color="auto" w:fill="auto"/>
          </w:tcPr>
          <w:p w:rsidR="00DC5257" w:rsidRPr="00397A42" w:rsidRDefault="00DC5257" w:rsidP="003045F7">
            <w:pPr>
              <w:spacing w:before="40" w:after="40"/>
              <w:ind w:left="72"/>
              <w:rPr>
                <w:rFonts w:ascii="Times New Roman" w:hAnsi="Times New Roman"/>
                <w:sz w:val="22"/>
                <w:szCs w:val="22"/>
              </w:rPr>
            </w:pPr>
            <w:r w:rsidRPr="00397A42">
              <w:rPr>
                <w:rFonts w:ascii="Times New Roman" w:hAnsi="Times New Roman"/>
                <w:sz w:val="22"/>
                <w:szCs w:val="22"/>
                <w:lang w:val="el-GR"/>
              </w:rPr>
              <w:t>Μη γνωστές</w:t>
            </w:r>
          </w:p>
        </w:tc>
        <w:tc>
          <w:tcPr>
            <w:tcW w:w="3863" w:type="dxa"/>
            <w:tcBorders>
              <w:top w:val="single" w:sz="4" w:space="0" w:color="auto"/>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Επιπεφυκίτιδα</w:t>
            </w:r>
            <w:r w:rsidRPr="00397A42">
              <w:rPr>
                <w:rFonts w:ascii="Times New Roman" w:hAnsi="Times New Roman"/>
                <w:iCs/>
                <w:sz w:val="22"/>
                <w:szCs w:val="22"/>
              </w:rPr>
              <w:t xml:space="preserve">, </w:t>
            </w:r>
            <w:r w:rsidRPr="00397A42">
              <w:rPr>
                <w:rFonts w:ascii="Times New Roman" w:hAnsi="Times New Roman"/>
                <w:iCs/>
                <w:sz w:val="22"/>
                <w:szCs w:val="22"/>
                <w:lang w:val="el-GR"/>
              </w:rPr>
              <w:t>κερατίτιδα</w:t>
            </w:r>
          </w:p>
        </w:tc>
      </w:tr>
      <w:tr w:rsidR="00DC5257" w:rsidRPr="00397A42" w:rsidTr="003045F7">
        <w:trPr>
          <w:trHeight w:val="420"/>
        </w:trPr>
        <w:tc>
          <w:tcPr>
            <w:tcW w:w="2491" w:type="dxa"/>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b/>
                <w:bCs/>
                <w:sz w:val="22"/>
                <w:szCs w:val="22"/>
                <w:lang w:val="el-GR"/>
              </w:rPr>
              <w:t>Καρδιακές διαταραχές</w:t>
            </w:r>
          </w:p>
        </w:tc>
        <w:tc>
          <w:tcPr>
            <w:tcW w:w="1340" w:type="dxa"/>
            <w:tcBorders>
              <w:top w:val="single" w:sz="4" w:space="0" w:color="auto"/>
              <w:left w:val="single" w:sz="4" w:space="0" w:color="auto"/>
              <w:right w:val="single" w:sz="4" w:space="0" w:color="auto"/>
            </w:tcBorders>
            <w:shd w:val="clear" w:color="auto" w:fill="auto"/>
          </w:tcPr>
          <w:p w:rsidR="00DC5257" w:rsidRPr="00397A42" w:rsidRDefault="00DC5257" w:rsidP="003045F7">
            <w:pPr>
              <w:spacing w:before="40" w:after="40"/>
              <w:ind w:left="72"/>
              <w:rPr>
                <w:rFonts w:ascii="Times New Roman" w:hAnsi="Times New Roman"/>
                <w:sz w:val="22"/>
                <w:szCs w:val="22"/>
              </w:rPr>
            </w:pPr>
            <w:r w:rsidRPr="00397A42">
              <w:rPr>
                <w:rFonts w:ascii="Times New Roman" w:hAnsi="Times New Roman"/>
                <w:sz w:val="22"/>
                <w:szCs w:val="22"/>
                <w:lang w:val="el-GR"/>
              </w:rPr>
              <w:t>Σπάνιες</w:t>
            </w:r>
          </w:p>
        </w:tc>
        <w:tc>
          <w:tcPr>
            <w:tcW w:w="3863" w:type="dxa"/>
            <w:tcBorders>
              <w:top w:val="single" w:sz="4" w:space="0" w:color="auto"/>
              <w:left w:val="single" w:sz="4" w:space="0" w:color="auto"/>
              <w:right w:val="single" w:sz="4" w:space="0" w:color="auto"/>
            </w:tcBorders>
            <w:shd w:val="clear" w:color="auto" w:fill="auto"/>
          </w:tcPr>
          <w:p w:rsidR="00DC5257" w:rsidRPr="00397A42" w:rsidRDefault="00DC5257" w:rsidP="009975D1">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Συμφορητική καρδιακή ανεπάρκεια,</w:t>
            </w:r>
            <w:r w:rsidRPr="00397A42">
              <w:rPr>
                <w:rFonts w:ascii="Times New Roman" w:hAnsi="Times New Roman"/>
                <w:i/>
                <w:sz w:val="22"/>
                <w:szCs w:val="22"/>
                <w:u w:val="single"/>
                <w:lang w:val="el-GR"/>
              </w:rPr>
              <w:t xml:space="preserve"> </w:t>
            </w:r>
            <w:r w:rsidRPr="00397A42">
              <w:rPr>
                <w:rFonts w:ascii="Times New Roman" w:hAnsi="Times New Roman"/>
                <w:iCs/>
                <w:sz w:val="22"/>
                <w:szCs w:val="22"/>
                <w:lang w:val="el-GR"/>
              </w:rPr>
              <w:t xml:space="preserve">(δύσπνοια, οίδημα, ηπατομεγαλία, ασκίτης, πνευμονικό οίδημα, υπεζωκοτική συλλογή, καλπαστικός ρυθμός) καρδιοτοξικότητα (π.χ. </w:t>
            </w:r>
            <w:r w:rsidR="009975D1" w:rsidRPr="00397A42">
              <w:rPr>
                <w:rFonts w:ascii="Times New Roman" w:hAnsi="Times New Roman"/>
                <w:iCs/>
                <w:sz w:val="22"/>
                <w:szCs w:val="22"/>
                <w:lang w:val="el-GR"/>
              </w:rPr>
              <w:t>ΗΚΓ</w:t>
            </w:r>
            <w:r w:rsidRPr="00397A42">
              <w:rPr>
                <w:rFonts w:ascii="Times New Roman" w:hAnsi="Times New Roman"/>
                <w:iCs/>
                <w:sz w:val="22"/>
                <w:szCs w:val="22"/>
                <w:lang w:val="el-GR"/>
              </w:rPr>
              <w:t xml:space="preserve"> ανωμαλίες, αρρυθμίες, καρδιομυοπάθεια), κοιλιακή ταχυκαρδία, βραδυκαρδία, κολποκοιλιακός αποκλεισμός, σκελικός αποκλεισμός</w:t>
            </w:r>
          </w:p>
        </w:tc>
      </w:tr>
      <w:tr w:rsidR="00DC5257" w:rsidRPr="00397A42" w:rsidTr="003045F7">
        <w:trPr>
          <w:trHeight w:val="110"/>
        </w:trPr>
        <w:tc>
          <w:tcPr>
            <w:tcW w:w="2491" w:type="dxa"/>
            <w:vMerge w:val="restart"/>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lang w:val="el-GR"/>
              </w:rPr>
            </w:pPr>
            <w:r w:rsidRPr="00397A42">
              <w:rPr>
                <w:rFonts w:ascii="Times New Roman" w:hAnsi="Times New Roman"/>
                <w:b/>
                <w:bCs/>
                <w:sz w:val="22"/>
                <w:szCs w:val="22"/>
                <w:lang w:val="el-GR"/>
              </w:rPr>
              <w:t>Αγγειακές διαταραχές</w:t>
            </w:r>
          </w:p>
        </w:tc>
        <w:tc>
          <w:tcPr>
            <w:tcW w:w="1340" w:type="dxa"/>
            <w:tcBorders>
              <w:left w:val="single" w:sz="4" w:space="0" w:color="auto"/>
              <w:right w:val="single" w:sz="4" w:space="0" w:color="auto"/>
            </w:tcBorders>
            <w:shd w:val="clear" w:color="auto" w:fill="auto"/>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Συχνές</w:t>
            </w:r>
          </w:p>
        </w:tc>
        <w:tc>
          <w:tcPr>
            <w:tcW w:w="3863" w:type="dxa"/>
            <w:tcBorders>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Εξάψεις</w:t>
            </w:r>
          </w:p>
        </w:tc>
      </w:tr>
      <w:tr w:rsidR="00DC5257" w:rsidRPr="00397A42" w:rsidTr="003045F7">
        <w:trPr>
          <w:trHeight w:val="110"/>
        </w:trPr>
        <w:tc>
          <w:tcPr>
            <w:tcW w:w="2491" w:type="dxa"/>
            <w:vMerge/>
            <w:tcBorders>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rPr>
            </w:pPr>
          </w:p>
        </w:tc>
        <w:tc>
          <w:tcPr>
            <w:tcW w:w="1340" w:type="dxa"/>
            <w:tcBorders>
              <w:left w:val="single" w:sz="4" w:space="0" w:color="auto"/>
              <w:right w:val="single" w:sz="4" w:space="0" w:color="auto"/>
            </w:tcBorders>
            <w:shd w:val="clear" w:color="auto" w:fill="auto"/>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Όχι συχνές</w:t>
            </w:r>
          </w:p>
        </w:tc>
        <w:tc>
          <w:tcPr>
            <w:tcW w:w="3863" w:type="dxa"/>
            <w:tcBorders>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Φλεβίτιδα</w:t>
            </w:r>
            <w:r w:rsidRPr="00397A42">
              <w:rPr>
                <w:rFonts w:ascii="Times New Roman" w:hAnsi="Times New Roman"/>
                <w:iCs/>
                <w:sz w:val="22"/>
                <w:szCs w:val="22"/>
              </w:rPr>
              <w:t xml:space="preserve">, </w:t>
            </w:r>
            <w:r w:rsidRPr="00397A42">
              <w:rPr>
                <w:rFonts w:ascii="Times New Roman" w:hAnsi="Times New Roman"/>
                <w:iCs/>
                <w:sz w:val="22"/>
                <w:szCs w:val="22"/>
                <w:lang w:val="el-GR"/>
              </w:rPr>
              <w:t>θρομβοφλεβίτιδα</w:t>
            </w:r>
          </w:p>
        </w:tc>
      </w:tr>
      <w:tr w:rsidR="00DC5257" w:rsidRPr="00397A42" w:rsidTr="003045F7">
        <w:trPr>
          <w:trHeight w:val="110"/>
        </w:trPr>
        <w:tc>
          <w:tcPr>
            <w:tcW w:w="2491" w:type="dxa"/>
            <w:vMerge/>
            <w:tcBorders>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rPr>
            </w:pPr>
          </w:p>
        </w:tc>
        <w:tc>
          <w:tcPr>
            <w:tcW w:w="1340" w:type="dxa"/>
            <w:tcBorders>
              <w:left w:val="single" w:sz="4" w:space="0" w:color="auto"/>
              <w:right w:val="single" w:sz="4" w:space="0" w:color="auto"/>
            </w:tcBorders>
            <w:shd w:val="clear" w:color="auto" w:fill="auto"/>
          </w:tcPr>
          <w:p w:rsidR="00DC5257" w:rsidRPr="00397A42" w:rsidRDefault="00DC5257" w:rsidP="003045F7">
            <w:pPr>
              <w:spacing w:before="40" w:after="40"/>
              <w:ind w:left="72"/>
              <w:rPr>
                <w:rFonts w:ascii="Times New Roman" w:hAnsi="Times New Roman"/>
                <w:sz w:val="22"/>
                <w:szCs w:val="22"/>
              </w:rPr>
            </w:pPr>
            <w:r w:rsidRPr="00397A42">
              <w:rPr>
                <w:rFonts w:ascii="Times New Roman" w:hAnsi="Times New Roman"/>
                <w:sz w:val="22"/>
                <w:szCs w:val="22"/>
                <w:lang w:val="el-GR"/>
              </w:rPr>
              <w:t>Μη γνωστές</w:t>
            </w:r>
          </w:p>
        </w:tc>
        <w:tc>
          <w:tcPr>
            <w:tcW w:w="3863" w:type="dxa"/>
            <w:tcBorders>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Καταπληξία, θρομβοεμβολή, συμπεριλαμβανομένης πνευμονικής εμβολής</w:t>
            </w:r>
          </w:p>
        </w:tc>
      </w:tr>
      <w:tr w:rsidR="00DC5257" w:rsidRPr="00397A42" w:rsidTr="003045F7">
        <w:trPr>
          <w:trHeight w:val="926"/>
        </w:trPr>
        <w:tc>
          <w:tcPr>
            <w:tcW w:w="2491" w:type="dxa"/>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b/>
                <w:bCs/>
                <w:sz w:val="22"/>
                <w:szCs w:val="22"/>
                <w:lang w:val="el-GR"/>
              </w:rPr>
              <w:t>Διαταραχές του γαστρεντερικού συστήματος</w:t>
            </w:r>
          </w:p>
        </w:tc>
        <w:tc>
          <w:tcPr>
            <w:tcW w:w="1340" w:type="dxa"/>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Συχνές</w:t>
            </w:r>
          </w:p>
          <w:p w:rsidR="00DC5257" w:rsidRPr="00397A42" w:rsidRDefault="00DC5257" w:rsidP="003045F7">
            <w:pPr>
              <w:spacing w:before="40" w:after="40"/>
              <w:ind w:left="72"/>
              <w:rPr>
                <w:rFonts w:ascii="Times New Roman" w:hAnsi="Times New Roman"/>
                <w:sz w:val="22"/>
                <w:szCs w:val="22"/>
              </w:rPr>
            </w:pPr>
          </w:p>
          <w:p w:rsidR="00DC5257" w:rsidRPr="00397A42" w:rsidRDefault="00DC5257" w:rsidP="003045F7">
            <w:pPr>
              <w:spacing w:before="40" w:after="40"/>
              <w:ind w:left="72"/>
              <w:rPr>
                <w:rFonts w:ascii="Times New Roman" w:hAnsi="Times New Roman"/>
                <w:sz w:val="22"/>
                <w:szCs w:val="22"/>
              </w:rPr>
            </w:pPr>
          </w:p>
        </w:tc>
        <w:tc>
          <w:tcPr>
            <w:tcW w:w="3863" w:type="dxa"/>
            <w:tcBorders>
              <w:top w:val="single" w:sz="4" w:space="0" w:color="auto"/>
              <w:left w:val="single" w:sz="4" w:space="0" w:color="auto"/>
              <w:right w:val="single" w:sz="4" w:space="0" w:color="auto"/>
            </w:tcBorders>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Βλεννογονίτιδα, οισοφαγίτιδα, στοματίτιδα, έμετος, διάρροια, ναυτία</w:t>
            </w:r>
          </w:p>
        </w:tc>
      </w:tr>
      <w:tr w:rsidR="00DC5257" w:rsidRPr="00397A42" w:rsidTr="003045F7">
        <w:tc>
          <w:tcPr>
            <w:tcW w:w="2491" w:type="dxa"/>
            <w:vMerge w:val="restart"/>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lang w:val="el-GR"/>
              </w:rPr>
            </w:pPr>
            <w:r w:rsidRPr="00397A42">
              <w:rPr>
                <w:rFonts w:ascii="Times New Roman" w:hAnsi="Times New Roman"/>
                <w:b/>
                <w:bCs/>
                <w:sz w:val="22"/>
                <w:szCs w:val="22"/>
                <w:lang w:val="el-GR"/>
              </w:rPr>
              <w:lastRenderedPageBreak/>
              <w:t>Διαταραχές του δέρματος και του υποδόριου ιστού</w:t>
            </w: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Πολύ συχνές</w:t>
            </w:r>
          </w:p>
        </w:tc>
        <w:tc>
          <w:tcPr>
            <w:tcW w:w="3863"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sz w:val="22"/>
                <w:szCs w:val="22"/>
                <w:lang w:val="el-GR"/>
              </w:rPr>
              <w:t>Αλωπεκία</w:t>
            </w:r>
          </w:p>
        </w:tc>
      </w:tr>
      <w:tr w:rsidR="00DC5257" w:rsidRPr="00397A42" w:rsidTr="003045F7">
        <w:tc>
          <w:tcPr>
            <w:tcW w:w="2491" w:type="dxa"/>
            <w:vMerge/>
            <w:tcBorders>
              <w:left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rPr>
            </w:pP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Σπάνιες</w:t>
            </w:r>
          </w:p>
        </w:tc>
        <w:tc>
          <w:tcPr>
            <w:tcW w:w="3863"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Κνίδωση</w:t>
            </w:r>
          </w:p>
        </w:tc>
      </w:tr>
      <w:tr w:rsidR="00DC5257" w:rsidRPr="00397A42" w:rsidTr="003045F7">
        <w:trPr>
          <w:trHeight w:val="1988"/>
        </w:trPr>
        <w:tc>
          <w:tcPr>
            <w:tcW w:w="2491" w:type="dxa"/>
            <w:vMerge/>
            <w:tcBorders>
              <w:left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rPr>
            </w:pPr>
          </w:p>
        </w:tc>
        <w:tc>
          <w:tcPr>
            <w:tcW w:w="1340" w:type="dxa"/>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rPr>
            </w:pPr>
            <w:r w:rsidRPr="00397A42">
              <w:rPr>
                <w:rFonts w:ascii="Times New Roman" w:hAnsi="Times New Roman"/>
                <w:sz w:val="22"/>
                <w:szCs w:val="22"/>
                <w:lang w:val="el-GR"/>
              </w:rPr>
              <w:t>Μη γνωστές</w:t>
            </w:r>
          </w:p>
        </w:tc>
        <w:tc>
          <w:tcPr>
            <w:tcW w:w="3863" w:type="dxa"/>
            <w:tcBorders>
              <w:top w:val="single" w:sz="4" w:space="0" w:color="auto"/>
              <w:left w:val="single" w:sz="4" w:space="0" w:color="auto"/>
              <w:right w:val="single" w:sz="4" w:space="0" w:color="auto"/>
            </w:tcBorders>
            <w:shd w:val="clear" w:color="auto" w:fill="auto"/>
          </w:tcPr>
          <w:p w:rsidR="00DC5257" w:rsidRPr="00397A42" w:rsidRDefault="00DC5257" w:rsidP="003045F7">
            <w:pPr>
              <w:numPr>
                <w:ilvl w:val="12"/>
                <w:numId w:val="0"/>
              </w:numPr>
              <w:ind w:left="728"/>
              <w:rPr>
                <w:rFonts w:ascii="Times New Roman" w:hAnsi="Times New Roman"/>
                <w:sz w:val="22"/>
                <w:szCs w:val="22"/>
                <w:lang w:val="el-GR"/>
              </w:rPr>
            </w:pPr>
            <w:r w:rsidRPr="00397A42">
              <w:rPr>
                <w:rFonts w:ascii="Times New Roman" w:hAnsi="Times New Roman"/>
                <w:iCs/>
                <w:sz w:val="22"/>
                <w:szCs w:val="22"/>
                <w:lang w:val="el-GR"/>
              </w:rPr>
              <w:t xml:space="preserve">Εντοπισμένη τοξικότητα, εξάνθημα, κνησμός, δερματικές αλλαγές, ερύθημα, εξάψεις, υπέρχρωση δέρματος και </w:t>
            </w:r>
            <w:r w:rsidR="00D566DD" w:rsidRPr="00397A42">
              <w:rPr>
                <w:rFonts w:ascii="Times New Roman" w:hAnsi="Times New Roman"/>
                <w:iCs/>
                <w:sz w:val="22"/>
                <w:szCs w:val="22"/>
                <w:lang w:val="el-GR"/>
              </w:rPr>
              <w:t>ονύχων</w:t>
            </w:r>
            <w:r w:rsidRPr="00397A42">
              <w:rPr>
                <w:rFonts w:ascii="Times New Roman" w:hAnsi="Times New Roman"/>
                <w:iCs/>
                <w:sz w:val="22"/>
                <w:szCs w:val="22"/>
                <w:lang w:val="el-GR"/>
              </w:rPr>
              <w:t>, φωτοευαισθησία, υπερευαισθησία σε δέρμα που έχει υποβληθεί σε ακτινοθεραπεία (</w:t>
            </w:r>
            <w:r w:rsidRPr="00397A42">
              <w:rPr>
                <w:rFonts w:ascii="Times New Roman" w:hAnsi="Times New Roman"/>
                <w:iCs/>
                <w:sz w:val="22"/>
                <w:szCs w:val="22"/>
              </w:rPr>
              <w:t>radiation</w:t>
            </w:r>
            <w:r w:rsidRPr="00397A42">
              <w:rPr>
                <w:rFonts w:ascii="Times New Roman" w:hAnsi="Times New Roman"/>
                <w:iCs/>
                <w:sz w:val="22"/>
                <w:szCs w:val="22"/>
                <w:lang w:val="el-GR"/>
              </w:rPr>
              <w:t>-</w:t>
            </w:r>
            <w:r w:rsidRPr="00397A42">
              <w:rPr>
                <w:rFonts w:ascii="Times New Roman" w:hAnsi="Times New Roman"/>
                <w:iCs/>
                <w:sz w:val="22"/>
                <w:szCs w:val="22"/>
              </w:rPr>
              <w:t>recall</w:t>
            </w:r>
            <w:r w:rsidRPr="00397A42">
              <w:rPr>
                <w:rFonts w:ascii="Times New Roman" w:hAnsi="Times New Roman"/>
                <w:iCs/>
                <w:sz w:val="22"/>
                <w:szCs w:val="22"/>
                <w:lang w:val="el-GR"/>
              </w:rPr>
              <w:t xml:space="preserve"> </w:t>
            </w:r>
            <w:r w:rsidRPr="00397A42">
              <w:rPr>
                <w:rFonts w:ascii="Times New Roman" w:hAnsi="Times New Roman"/>
                <w:iCs/>
                <w:sz w:val="22"/>
                <w:szCs w:val="22"/>
              </w:rPr>
              <w:t>reaction</w:t>
            </w:r>
            <w:r w:rsidRPr="00397A42">
              <w:rPr>
                <w:rFonts w:ascii="Times New Roman" w:hAnsi="Times New Roman"/>
                <w:iCs/>
                <w:sz w:val="22"/>
                <w:szCs w:val="22"/>
                <w:lang w:val="el-GR"/>
              </w:rPr>
              <w:t>)</w:t>
            </w:r>
          </w:p>
        </w:tc>
      </w:tr>
      <w:tr w:rsidR="00DC5257" w:rsidRPr="00397A42" w:rsidTr="003045F7">
        <w:tc>
          <w:tcPr>
            <w:tcW w:w="2491" w:type="dxa"/>
            <w:tcBorders>
              <w:top w:val="single" w:sz="4" w:space="0" w:color="auto"/>
              <w:left w:val="single" w:sz="4" w:space="0" w:color="auto"/>
              <w:right w:val="single" w:sz="4" w:space="0" w:color="auto"/>
            </w:tcBorders>
          </w:tcPr>
          <w:p w:rsidR="00DC5257" w:rsidRPr="00397A42" w:rsidRDefault="00DC5257" w:rsidP="006B36AB">
            <w:pPr>
              <w:rPr>
                <w:rFonts w:ascii="Times New Roman" w:hAnsi="Times New Roman"/>
                <w:b/>
                <w:bCs/>
                <w:iCs/>
                <w:sz w:val="22"/>
                <w:szCs w:val="22"/>
                <w:lang w:val="el-GR"/>
              </w:rPr>
            </w:pPr>
            <w:r w:rsidRPr="00397A42">
              <w:rPr>
                <w:rFonts w:ascii="Times New Roman" w:hAnsi="Times New Roman"/>
                <w:b/>
                <w:bCs/>
                <w:iCs/>
                <w:sz w:val="22"/>
                <w:szCs w:val="22"/>
                <w:lang w:val="el-GR"/>
              </w:rPr>
              <w:t>Διαταραχές των νεφρών και των ουροφόρων οδών</w:t>
            </w: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Πολύ συχνές</w:t>
            </w:r>
          </w:p>
        </w:tc>
        <w:tc>
          <w:tcPr>
            <w:tcW w:w="3863"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0"/>
              <w:rPr>
                <w:rFonts w:ascii="Times New Roman" w:hAnsi="Times New Roman"/>
                <w:iCs/>
                <w:sz w:val="22"/>
                <w:szCs w:val="22"/>
                <w:lang w:val="el-GR"/>
              </w:rPr>
            </w:pPr>
            <w:r w:rsidRPr="00397A42">
              <w:rPr>
                <w:rFonts w:ascii="Times New Roman" w:hAnsi="Times New Roman"/>
                <w:iCs/>
                <w:sz w:val="22"/>
                <w:szCs w:val="22"/>
                <w:lang w:val="el-GR"/>
              </w:rPr>
              <w:t>Ερυθρός χρωματισμός ούρων για 1 έως 2 ημέρες μετά τη χορήγηση</w:t>
            </w:r>
          </w:p>
        </w:tc>
      </w:tr>
      <w:tr w:rsidR="00DC5257" w:rsidRPr="00397A42" w:rsidTr="003045F7">
        <w:tc>
          <w:tcPr>
            <w:tcW w:w="2491" w:type="dxa"/>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lang w:val="el-GR"/>
              </w:rPr>
            </w:pPr>
            <w:r w:rsidRPr="00397A42">
              <w:rPr>
                <w:rFonts w:ascii="Times New Roman" w:hAnsi="Times New Roman"/>
                <w:b/>
                <w:bCs/>
                <w:sz w:val="22"/>
                <w:szCs w:val="22"/>
                <w:lang w:val="el-GR"/>
              </w:rPr>
              <w:t>Διαταραχές του αναπαραγωγικού συστήματος και του μαστού</w:t>
            </w: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Σπάνιες</w:t>
            </w:r>
          </w:p>
        </w:tc>
        <w:tc>
          <w:tcPr>
            <w:tcW w:w="3863"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Αμηνόρροια</w:t>
            </w:r>
            <w:r w:rsidRPr="00397A42">
              <w:rPr>
                <w:rFonts w:ascii="Times New Roman" w:hAnsi="Times New Roman"/>
                <w:iCs/>
                <w:sz w:val="22"/>
                <w:szCs w:val="22"/>
              </w:rPr>
              <w:t>,</w:t>
            </w:r>
            <w:r w:rsidRPr="00397A42">
              <w:rPr>
                <w:rFonts w:ascii="Times New Roman" w:hAnsi="Times New Roman"/>
                <w:i/>
                <w:sz w:val="22"/>
                <w:szCs w:val="22"/>
              </w:rPr>
              <w:t xml:space="preserve"> </w:t>
            </w:r>
            <w:r w:rsidRPr="00397A42">
              <w:rPr>
                <w:rFonts w:ascii="Times New Roman" w:hAnsi="Times New Roman"/>
                <w:iCs/>
                <w:sz w:val="22"/>
                <w:szCs w:val="22"/>
                <w:lang w:val="el-GR"/>
              </w:rPr>
              <w:t>αζωοσπερμία</w:t>
            </w:r>
          </w:p>
        </w:tc>
      </w:tr>
      <w:tr w:rsidR="00D566DD" w:rsidRPr="00397A42" w:rsidTr="003045F7">
        <w:trPr>
          <w:trHeight w:val="420"/>
        </w:trPr>
        <w:tc>
          <w:tcPr>
            <w:tcW w:w="2491" w:type="dxa"/>
            <w:vMerge w:val="restart"/>
            <w:tcBorders>
              <w:top w:val="single" w:sz="4" w:space="0" w:color="auto"/>
              <w:left w:val="single" w:sz="4" w:space="0" w:color="auto"/>
              <w:right w:val="single" w:sz="4" w:space="0" w:color="auto"/>
            </w:tcBorders>
          </w:tcPr>
          <w:p w:rsidR="00D566DD" w:rsidRPr="00397A42" w:rsidRDefault="00D566DD" w:rsidP="003045F7">
            <w:pPr>
              <w:spacing w:before="40" w:after="40"/>
              <w:ind w:left="72"/>
              <w:rPr>
                <w:rFonts w:ascii="Times New Roman" w:hAnsi="Times New Roman"/>
                <w:b/>
                <w:bCs/>
                <w:sz w:val="22"/>
                <w:szCs w:val="22"/>
                <w:lang w:val="el-GR"/>
              </w:rPr>
            </w:pPr>
            <w:r w:rsidRPr="00397A42">
              <w:rPr>
                <w:rFonts w:ascii="Times New Roman" w:hAnsi="Times New Roman"/>
                <w:b/>
                <w:bCs/>
                <w:sz w:val="22"/>
                <w:szCs w:val="22"/>
                <w:lang w:val="el-GR"/>
              </w:rPr>
              <w:t>Γενικές διαταραχές και καταστάσεις της οδού χορήγησης</w:t>
            </w:r>
          </w:p>
        </w:tc>
        <w:tc>
          <w:tcPr>
            <w:tcW w:w="1340" w:type="dxa"/>
            <w:tcBorders>
              <w:top w:val="single" w:sz="4" w:space="0" w:color="auto"/>
              <w:left w:val="single" w:sz="4" w:space="0" w:color="auto"/>
              <w:bottom w:val="single" w:sz="4" w:space="0" w:color="auto"/>
              <w:right w:val="single" w:sz="4" w:space="0" w:color="auto"/>
            </w:tcBorders>
          </w:tcPr>
          <w:p w:rsidR="00D566DD" w:rsidRPr="00397A42" w:rsidRDefault="00D566DD"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Συχνές</w:t>
            </w:r>
          </w:p>
        </w:tc>
        <w:tc>
          <w:tcPr>
            <w:tcW w:w="3863" w:type="dxa"/>
            <w:tcBorders>
              <w:top w:val="single" w:sz="4" w:space="0" w:color="auto"/>
              <w:left w:val="single" w:sz="4" w:space="0" w:color="auto"/>
              <w:right w:val="single" w:sz="4" w:space="0" w:color="auto"/>
            </w:tcBorders>
            <w:shd w:val="clear" w:color="auto" w:fill="auto"/>
          </w:tcPr>
          <w:p w:rsidR="00D566DD" w:rsidRPr="00397A42" w:rsidRDefault="00D566DD"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Ερύθημα στη θέση έγχυσης</w:t>
            </w:r>
          </w:p>
        </w:tc>
      </w:tr>
      <w:tr w:rsidR="00D566DD" w:rsidRPr="00397A42" w:rsidTr="003045F7">
        <w:trPr>
          <w:trHeight w:val="420"/>
        </w:trPr>
        <w:tc>
          <w:tcPr>
            <w:tcW w:w="2491" w:type="dxa"/>
            <w:vMerge/>
            <w:tcBorders>
              <w:left w:val="single" w:sz="4" w:space="0" w:color="auto"/>
              <w:right w:val="single" w:sz="4" w:space="0" w:color="auto"/>
            </w:tcBorders>
          </w:tcPr>
          <w:p w:rsidR="00D566DD" w:rsidRPr="00397A42" w:rsidRDefault="00D566DD" w:rsidP="003045F7">
            <w:pPr>
              <w:spacing w:before="40" w:after="40"/>
              <w:ind w:left="72"/>
              <w:rPr>
                <w:rFonts w:ascii="Times New Roman" w:hAnsi="Times New Roman"/>
                <w:b/>
                <w:bCs/>
                <w:sz w:val="22"/>
                <w:szCs w:val="22"/>
              </w:rPr>
            </w:pPr>
          </w:p>
        </w:tc>
        <w:tc>
          <w:tcPr>
            <w:tcW w:w="1340" w:type="dxa"/>
            <w:tcBorders>
              <w:top w:val="single" w:sz="4" w:space="0" w:color="auto"/>
              <w:left w:val="single" w:sz="4" w:space="0" w:color="auto"/>
              <w:bottom w:val="single" w:sz="4" w:space="0" w:color="auto"/>
              <w:right w:val="single" w:sz="4" w:space="0" w:color="auto"/>
            </w:tcBorders>
          </w:tcPr>
          <w:p w:rsidR="00D566DD" w:rsidRPr="00397A42" w:rsidRDefault="00D566DD"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Σπάνιες</w:t>
            </w:r>
          </w:p>
        </w:tc>
        <w:tc>
          <w:tcPr>
            <w:tcW w:w="3863" w:type="dxa"/>
            <w:tcBorders>
              <w:left w:val="single" w:sz="4" w:space="0" w:color="auto"/>
              <w:bottom w:val="single" w:sz="4" w:space="0" w:color="auto"/>
              <w:right w:val="single" w:sz="4" w:space="0" w:color="auto"/>
            </w:tcBorders>
            <w:shd w:val="clear" w:color="auto" w:fill="auto"/>
          </w:tcPr>
          <w:p w:rsidR="00D566DD" w:rsidRPr="00397A42" w:rsidRDefault="00D566DD"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Αίσθημα κακουχίας,/εξασθένιση, πυρετός, ρίγη</w:t>
            </w:r>
          </w:p>
        </w:tc>
      </w:tr>
      <w:tr w:rsidR="00D566DD" w:rsidRPr="00397A42" w:rsidTr="003045F7">
        <w:trPr>
          <w:trHeight w:val="420"/>
        </w:trPr>
        <w:tc>
          <w:tcPr>
            <w:tcW w:w="2491" w:type="dxa"/>
            <w:vMerge/>
            <w:tcBorders>
              <w:left w:val="single" w:sz="4" w:space="0" w:color="auto"/>
              <w:bottom w:val="single" w:sz="4" w:space="0" w:color="auto"/>
              <w:right w:val="single" w:sz="4" w:space="0" w:color="auto"/>
            </w:tcBorders>
          </w:tcPr>
          <w:p w:rsidR="00D566DD" w:rsidRPr="00397A42" w:rsidRDefault="00D566DD" w:rsidP="003045F7">
            <w:pPr>
              <w:spacing w:before="40" w:after="40"/>
              <w:ind w:left="72"/>
              <w:rPr>
                <w:rFonts w:ascii="Times New Roman" w:hAnsi="Times New Roman"/>
                <w:b/>
                <w:bCs/>
                <w:sz w:val="22"/>
                <w:szCs w:val="22"/>
                <w:lang w:val="el-GR"/>
              </w:rPr>
            </w:pPr>
          </w:p>
        </w:tc>
        <w:tc>
          <w:tcPr>
            <w:tcW w:w="1340" w:type="dxa"/>
            <w:tcBorders>
              <w:top w:val="single" w:sz="4" w:space="0" w:color="auto"/>
              <w:left w:val="single" w:sz="4" w:space="0" w:color="auto"/>
              <w:bottom w:val="single" w:sz="4" w:space="0" w:color="auto"/>
              <w:right w:val="single" w:sz="4" w:space="0" w:color="auto"/>
            </w:tcBorders>
          </w:tcPr>
          <w:p w:rsidR="00D566DD" w:rsidRPr="00397A42" w:rsidRDefault="00D566DD"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Μη γνωστές</w:t>
            </w:r>
          </w:p>
        </w:tc>
        <w:tc>
          <w:tcPr>
            <w:tcW w:w="3863" w:type="dxa"/>
            <w:tcBorders>
              <w:left w:val="single" w:sz="4" w:space="0" w:color="auto"/>
              <w:bottom w:val="single" w:sz="4" w:space="0" w:color="auto"/>
              <w:right w:val="single" w:sz="4" w:space="0" w:color="auto"/>
            </w:tcBorders>
            <w:shd w:val="clear" w:color="auto" w:fill="auto"/>
          </w:tcPr>
          <w:p w:rsidR="00D566DD" w:rsidRPr="00397A42" w:rsidRDefault="00D566DD" w:rsidP="003045F7">
            <w:pPr>
              <w:spacing w:before="40" w:after="40"/>
              <w:ind w:left="720"/>
              <w:rPr>
                <w:rFonts w:ascii="Times New Roman" w:hAnsi="Times New Roman"/>
                <w:iCs/>
                <w:sz w:val="22"/>
                <w:szCs w:val="22"/>
                <w:lang w:val="el-GR"/>
              </w:rPr>
            </w:pPr>
            <w:r w:rsidRPr="00397A42">
              <w:rPr>
                <w:rFonts w:ascii="Times New Roman" w:hAnsi="Times New Roman"/>
                <w:sz w:val="22"/>
                <w:szCs w:val="22"/>
                <w:lang w:val="el-GR"/>
              </w:rPr>
              <w:t>Φλεβοσκλήρυνση</w:t>
            </w:r>
            <w:r w:rsidRPr="00397A42">
              <w:rPr>
                <w:rFonts w:ascii="Times New Roman" w:hAnsi="Times New Roman"/>
                <w:iCs/>
                <w:sz w:val="22"/>
                <w:szCs w:val="22"/>
                <w:lang w:val="el-GR"/>
              </w:rPr>
              <w:t>, τοπικό άλγος, σοβαρή κυτταρίτιδα, νέκρωση ιστών μετά από ακούσια παραφλεβική ένεση</w:t>
            </w:r>
          </w:p>
        </w:tc>
      </w:tr>
      <w:tr w:rsidR="00DC5257" w:rsidRPr="00397A42" w:rsidTr="003045F7">
        <w:trPr>
          <w:trHeight w:val="165"/>
        </w:trPr>
        <w:tc>
          <w:tcPr>
            <w:tcW w:w="2491" w:type="dxa"/>
            <w:vMerge w:val="restart"/>
            <w:tcBorders>
              <w:top w:val="single" w:sz="4" w:space="0" w:color="auto"/>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lang w:val="el-GR"/>
              </w:rPr>
            </w:pPr>
            <w:r w:rsidRPr="00397A42">
              <w:rPr>
                <w:rFonts w:ascii="Times New Roman" w:hAnsi="Times New Roman"/>
                <w:b/>
                <w:bCs/>
                <w:sz w:val="22"/>
                <w:szCs w:val="22"/>
                <w:lang w:val="el-GR"/>
              </w:rPr>
              <w:t>Παρακλινικές εξετάσεις</w:t>
            </w: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Σπάνιες</w:t>
            </w:r>
          </w:p>
        </w:tc>
        <w:tc>
          <w:tcPr>
            <w:tcW w:w="3863" w:type="dxa"/>
            <w:tcBorders>
              <w:top w:val="single" w:sz="4" w:space="0" w:color="auto"/>
              <w:left w:val="single" w:sz="4" w:space="0" w:color="auto"/>
              <w:right w:val="single" w:sz="4" w:space="0" w:color="auto"/>
            </w:tcBorders>
            <w:shd w:val="clear" w:color="auto" w:fill="auto"/>
          </w:tcPr>
          <w:p w:rsidR="00DC5257" w:rsidRPr="00397A42" w:rsidRDefault="00DC5257" w:rsidP="003045F7">
            <w:pPr>
              <w:spacing w:before="40" w:after="40"/>
              <w:ind w:left="720"/>
              <w:rPr>
                <w:rFonts w:ascii="Times New Roman" w:hAnsi="Times New Roman"/>
                <w:sz w:val="22"/>
                <w:szCs w:val="22"/>
                <w:lang w:val="el-GR"/>
              </w:rPr>
            </w:pPr>
            <w:r w:rsidRPr="00397A42">
              <w:rPr>
                <w:rFonts w:ascii="Times New Roman" w:hAnsi="Times New Roman"/>
                <w:iCs/>
                <w:sz w:val="22"/>
                <w:szCs w:val="22"/>
                <w:lang w:val="el-GR"/>
              </w:rPr>
              <w:t>Μεταβολές στα επίπεδα τρανσαμινασών</w:t>
            </w:r>
          </w:p>
        </w:tc>
      </w:tr>
      <w:tr w:rsidR="00DC5257" w:rsidRPr="00397A42" w:rsidTr="003045F7">
        <w:trPr>
          <w:trHeight w:val="566"/>
        </w:trPr>
        <w:tc>
          <w:tcPr>
            <w:tcW w:w="2491" w:type="dxa"/>
            <w:vMerge/>
            <w:tcBorders>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rPr>
            </w:pP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Μη γνωστές</w:t>
            </w:r>
          </w:p>
        </w:tc>
        <w:tc>
          <w:tcPr>
            <w:tcW w:w="3863" w:type="dxa"/>
            <w:tcBorders>
              <w:left w:val="single" w:sz="4" w:space="0" w:color="auto"/>
              <w:right w:val="single" w:sz="4" w:space="0" w:color="auto"/>
            </w:tcBorders>
            <w:shd w:val="clear" w:color="auto" w:fill="auto"/>
          </w:tcPr>
          <w:p w:rsidR="00DC5257" w:rsidRPr="00397A42" w:rsidRDefault="00DC5257" w:rsidP="003045F7">
            <w:pPr>
              <w:ind w:left="741"/>
              <w:rPr>
                <w:rFonts w:ascii="Times New Roman" w:hAnsi="Times New Roman"/>
                <w:sz w:val="22"/>
                <w:szCs w:val="22"/>
                <w:lang w:val="el-GR"/>
              </w:rPr>
            </w:pPr>
            <w:r w:rsidRPr="00397A42">
              <w:rPr>
                <w:rFonts w:ascii="Times New Roman" w:hAnsi="Times New Roman"/>
                <w:iCs/>
                <w:sz w:val="22"/>
                <w:szCs w:val="22"/>
                <w:lang w:val="el-GR"/>
              </w:rPr>
              <w:t>Ασυμπτωματική ελάττωση του κλάσματος εξωθήσεως αριστερής κοιλίας</w:t>
            </w:r>
          </w:p>
        </w:tc>
      </w:tr>
      <w:tr w:rsidR="00DC5257" w:rsidRPr="00397A42" w:rsidTr="003045F7">
        <w:trPr>
          <w:trHeight w:val="293"/>
        </w:trPr>
        <w:tc>
          <w:tcPr>
            <w:tcW w:w="2491" w:type="dxa"/>
            <w:tcBorders>
              <w:left w:val="single" w:sz="4" w:space="0" w:color="auto"/>
              <w:right w:val="single" w:sz="4" w:space="0" w:color="auto"/>
            </w:tcBorders>
          </w:tcPr>
          <w:p w:rsidR="00DC5257" w:rsidRPr="00397A42" w:rsidRDefault="00DC5257" w:rsidP="003045F7">
            <w:pPr>
              <w:spacing w:before="40" w:after="40"/>
              <w:ind w:left="72"/>
              <w:rPr>
                <w:rFonts w:ascii="Times New Roman" w:hAnsi="Times New Roman"/>
                <w:b/>
                <w:bCs/>
                <w:sz w:val="22"/>
                <w:szCs w:val="22"/>
                <w:lang w:val="el-GR"/>
              </w:rPr>
            </w:pPr>
            <w:r w:rsidRPr="00397A42">
              <w:rPr>
                <w:rFonts w:ascii="Times New Roman" w:hAnsi="Times New Roman"/>
                <w:b/>
                <w:bCs/>
                <w:sz w:val="22"/>
                <w:szCs w:val="22"/>
                <w:lang w:val="el-GR"/>
              </w:rPr>
              <w:t>Κακώσεις, δηλητηριάσεις και επιπλοκές θεραπευτικών χειρισμών</w:t>
            </w:r>
          </w:p>
        </w:tc>
        <w:tc>
          <w:tcPr>
            <w:tcW w:w="1340" w:type="dxa"/>
            <w:tcBorders>
              <w:top w:val="single" w:sz="4" w:space="0" w:color="auto"/>
              <w:left w:val="single" w:sz="4" w:space="0" w:color="auto"/>
              <w:bottom w:val="single" w:sz="4" w:space="0" w:color="auto"/>
              <w:right w:val="single" w:sz="4" w:space="0" w:color="auto"/>
            </w:tcBorders>
          </w:tcPr>
          <w:p w:rsidR="00DC5257" w:rsidRPr="00397A42" w:rsidRDefault="00DC5257" w:rsidP="003045F7">
            <w:pPr>
              <w:spacing w:before="40" w:after="40"/>
              <w:ind w:left="72"/>
              <w:rPr>
                <w:rFonts w:ascii="Times New Roman" w:hAnsi="Times New Roman"/>
                <w:sz w:val="22"/>
                <w:szCs w:val="22"/>
                <w:lang w:val="el-GR"/>
              </w:rPr>
            </w:pPr>
            <w:r w:rsidRPr="00397A42">
              <w:rPr>
                <w:rFonts w:ascii="Times New Roman" w:hAnsi="Times New Roman"/>
                <w:sz w:val="22"/>
                <w:szCs w:val="22"/>
                <w:lang w:val="el-GR"/>
              </w:rPr>
              <w:t>Συχνές</w:t>
            </w:r>
          </w:p>
        </w:tc>
        <w:tc>
          <w:tcPr>
            <w:tcW w:w="3863" w:type="dxa"/>
            <w:tcBorders>
              <w:left w:val="single" w:sz="4" w:space="0" w:color="auto"/>
              <w:right w:val="single" w:sz="4" w:space="0" w:color="auto"/>
            </w:tcBorders>
            <w:shd w:val="clear" w:color="auto" w:fill="auto"/>
          </w:tcPr>
          <w:p w:rsidR="00DC5257" w:rsidRPr="00397A42" w:rsidRDefault="00DC5257" w:rsidP="003045F7">
            <w:pPr>
              <w:ind w:left="741"/>
              <w:rPr>
                <w:rFonts w:ascii="Times New Roman" w:hAnsi="Times New Roman"/>
                <w:sz w:val="22"/>
                <w:szCs w:val="22"/>
                <w:lang w:val="el-GR"/>
              </w:rPr>
            </w:pPr>
            <w:r w:rsidRPr="00397A42">
              <w:rPr>
                <w:rFonts w:ascii="Times New Roman" w:hAnsi="Times New Roman"/>
                <w:iCs/>
                <w:sz w:val="22"/>
                <w:szCs w:val="22"/>
                <w:lang w:val="el-GR"/>
              </w:rPr>
              <w:t xml:space="preserve">Έχει παρατηρηθεί χημική κυστίτιδα, κάποιες φορές αιμορραγική, κατόπιν ενδοκυστικής χορήγησης </w:t>
            </w:r>
            <w:r w:rsidRPr="00397A42">
              <w:rPr>
                <w:rFonts w:ascii="Times New Roman" w:hAnsi="Times New Roman"/>
                <w:sz w:val="22"/>
                <w:szCs w:val="22"/>
                <w:lang w:val="el-GR"/>
              </w:rPr>
              <w:t xml:space="preserve">(βλέπε παράγραφο </w:t>
            </w:r>
            <w:r w:rsidR="001E324D" w:rsidRPr="00397A42">
              <w:rPr>
                <w:rFonts w:ascii="Times New Roman" w:hAnsi="Times New Roman"/>
                <w:b/>
                <w:sz w:val="22"/>
                <w:szCs w:val="22"/>
                <w:lang w:val="el-GR"/>
              </w:rPr>
              <w:t>2</w:t>
            </w:r>
            <w:r w:rsidRPr="00397A42">
              <w:rPr>
                <w:rFonts w:ascii="Times New Roman" w:hAnsi="Times New Roman"/>
                <w:b/>
                <w:sz w:val="22"/>
                <w:szCs w:val="22"/>
                <w:lang w:val="el-GR"/>
              </w:rPr>
              <w:t>.4</w:t>
            </w:r>
            <w:r w:rsidRPr="00397A42">
              <w:rPr>
                <w:rFonts w:ascii="Times New Roman" w:hAnsi="Times New Roman"/>
                <w:sz w:val="22"/>
                <w:szCs w:val="22"/>
                <w:lang w:val="el-GR"/>
              </w:rPr>
              <w:t>)</w:t>
            </w:r>
          </w:p>
        </w:tc>
      </w:tr>
    </w:tbl>
    <w:p w:rsidR="00DC5257" w:rsidRPr="00397A42" w:rsidRDefault="00DC5257" w:rsidP="00DC5257">
      <w:pPr>
        <w:jc w:val="both"/>
        <w:rPr>
          <w:i/>
          <w:sz w:val="22"/>
          <w:u w:val="single"/>
          <w:lang w:val="el-GR"/>
        </w:rPr>
      </w:pPr>
    </w:p>
    <w:p w:rsidR="00DC5257" w:rsidRPr="00397A42" w:rsidRDefault="00DC5257" w:rsidP="00DC5257">
      <w:pPr>
        <w:jc w:val="both"/>
        <w:rPr>
          <w:i/>
          <w:sz w:val="22"/>
          <w:u w:val="single"/>
          <w:lang w:val="el-GR"/>
        </w:rPr>
      </w:pPr>
      <w:r w:rsidRPr="00397A42">
        <w:rPr>
          <w:i/>
          <w:sz w:val="22"/>
          <w:u w:val="single"/>
          <w:lang w:val="el-GR"/>
        </w:rPr>
        <w:t>Ενδο</w:t>
      </w:r>
      <w:r w:rsidR="00641CEB" w:rsidRPr="00397A42">
        <w:rPr>
          <w:i/>
          <w:sz w:val="22"/>
          <w:u w:val="single"/>
          <w:lang w:val="el-GR"/>
        </w:rPr>
        <w:t>κυστι</w:t>
      </w:r>
      <w:r w:rsidRPr="00397A42">
        <w:rPr>
          <w:i/>
          <w:sz w:val="22"/>
          <w:u w:val="single"/>
          <w:lang w:val="el-GR"/>
        </w:rPr>
        <w:t>κή χορήγηση:</w:t>
      </w:r>
    </w:p>
    <w:p w:rsidR="00DC5257" w:rsidRPr="00397A42" w:rsidRDefault="00DC5257" w:rsidP="00DC5257">
      <w:pPr>
        <w:jc w:val="both"/>
        <w:rPr>
          <w:sz w:val="22"/>
          <w:lang w:val="el-GR"/>
        </w:rPr>
      </w:pPr>
      <w:r w:rsidRPr="00397A42">
        <w:rPr>
          <w:sz w:val="22"/>
          <w:lang w:val="el-GR"/>
        </w:rPr>
        <w:t xml:space="preserve">Καθώς μία μικρή μόνο ποσότητα δραστικού συστατικού επαναπορροφάται μετά την </w:t>
      </w:r>
      <w:r w:rsidR="00B37A9C" w:rsidRPr="00397A42">
        <w:rPr>
          <w:sz w:val="22"/>
          <w:lang w:val="el-GR"/>
        </w:rPr>
        <w:t>ενδοκυστική</w:t>
      </w:r>
      <w:r w:rsidRPr="00397A42">
        <w:rPr>
          <w:sz w:val="22"/>
          <w:lang w:val="el-GR"/>
        </w:rPr>
        <w:t xml:space="preserve"> ενστάλαξη, σοβαρές συστηματικές αλλεργικές αντιδράσεις όπως επίσης και αλλεργικές αντιδράσεις είναι σπάνιες. Έχουν συχνά αναφερθεί εντοπισμένες αντιδράσεις όπως αίσθημα καύσου</w:t>
      </w:r>
      <w:r w:rsidR="00F3413F" w:rsidRPr="00397A42">
        <w:rPr>
          <w:sz w:val="22"/>
          <w:lang w:val="el-GR"/>
        </w:rPr>
        <w:t>,</w:t>
      </w:r>
      <w:r w:rsidRPr="00397A42">
        <w:rPr>
          <w:sz w:val="22"/>
          <w:lang w:val="el-GR"/>
        </w:rPr>
        <w:t xml:space="preserve"> </w:t>
      </w:r>
      <w:r w:rsidR="00F3413F" w:rsidRPr="00397A42">
        <w:rPr>
          <w:sz w:val="22"/>
          <w:lang w:val="el-GR"/>
        </w:rPr>
        <w:t>συχνουρία και πολυουρία</w:t>
      </w:r>
      <w:r w:rsidRPr="00397A42">
        <w:rPr>
          <w:sz w:val="22"/>
          <w:lang w:val="el-GR"/>
        </w:rPr>
        <w:t>. Έχουν αναφερθεί περιστασιακή βακτηριακή ή χημική κυστίτιδα (βλέ</w:t>
      </w:r>
      <w:r w:rsidR="001E324D" w:rsidRPr="00397A42">
        <w:rPr>
          <w:sz w:val="22"/>
          <w:lang w:val="el-GR"/>
        </w:rPr>
        <w:t>πε παράγραφο 2</w:t>
      </w:r>
      <w:r w:rsidRPr="00397A42">
        <w:rPr>
          <w:sz w:val="22"/>
          <w:lang w:val="el-GR"/>
        </w:rPr>
        <w:t>.4). Αυτές οι ανεπιθύμητες ενέργειες είναι κυρίως αναστρέψιμες.</w:t>
      </w:r>
    </w:p>
    <w:p w:rsidR="00DC5257" w:rsidRPr="00397A42" w:rsidRDefault="00DC5257" w:rsidP="00DC5257">
      <w:pPr>
        <w:jc w:val="both"/>
        <w:rPr>
          <w:sz w:val="22"/>
          <w:lang w:val="el-GR"/>
        </w:rPr>
      </w:pPr>
    </w:p>
    <w:p w:rsidR="00DC5257" w:rsidRPr="00397A42" w:rsidRDefault="00DC5257" w:rsidP="00DC5257">
      <w:pPr>
        <w:jc w:val="both"/>
        <w:rPr>
          <w:sz w:val="22"/>
          <w:lang w:val="el-GR"/>
        </w:rPr>
      </w:pPr>
      <w:r w:rsidRPr="00397A42">
        <w:rPr>
          <w:i/>
          <w:sz w:val="22"/>
          <w:lang w:val="el-GR"/>
        </w:rPr>
        <w:t>Μυελοτοξικότητα/Αιματολογική τοξικότητα:</w:t>
      </w:r>
      <w:r w:rsidRPr="00397A42">
        <w:rPr>
          <w:sz w:val="22"/>
          <w:lang w:val="el-GR"/>
        </w:rPr>
        <w:t xml:space="preserve"> Η δοσοεξαρτώμενη, αναστρέψιμη λευκοπενία και/ή κοκκιοκυτταροπενία (ουδετεροπενία) αποτελεί την κυριότερη εκδήλωση της μυελοτοξικότητας/αιματολογικής τοξικότητας της επιρουβικίνης και αντιπροσωπεύει την </w:t>
      </w:r>
      <w:r w:rsidRPr="00397A42">
        <w:rPr>
          <w:i/>
          <w:sz w:val="22"/>
          <w:lang w:val="el-GR"/>
        </w:rPr>
        <w:t>οξεία</w:t>
      </w:r>
      <w:r w:rsidRPr="00397A42">
        <w:rPr>
          <w:sz w:val="22"/>
          <w:lang w:val="el-GR"/>
        </w:rPr>
        <w:t xml:space="preserve"> δοσοπεριοριστική τοξικότητα του φαρμάκου αυτού. Η λευκοπενία είναι συνήθως πιο σοβαρ</w:t>
      </w:r>
      <w:r w:rsidR="00A6204E" w:rsidRPr="00397A42">
        <w:rPr>
          <w:sz w:val="22"/>
          <w:lang w:val="el-GR"/>
        </w:rPr>
        <w:t xml:space="preserve">ή μετά τη χορήγηση σχημάτων με </w:t>
      </w:r>
      <w:r w:rsidRPr="00397A42">
        <w:rPr>
          <w:sz w:val="22"/>
          <w:lang w:val="el-GR"/>
        </w:rPr>
        <w:t xml:space="preserve">υψηλές δόσεις. Κάτω από τις συνθήκες αυτές μπορεί </w:t>
      </w:r>
      <w:r w:rsidRPr="00397A42">
        <w:rPr>
          <w:sz w:val="22"/>
          <w:lang w:val="el-GR"/>
        </w:rPr>
        <w:lastRenderedPageBreak/>
        <w:t>να απαιτηθεί κατάλληλη υποστήριξη του μυελού (π.χ. αρχέγονα κύτταρα περιφερικού αίματος ή αυξητικοί παράγοντες). Μπορεί επίσης να παρατηρηθεί θρομβοκυτταροπενία και αναιμία.</w:t>
      </w:r>
    </w:p>
    <w:p w:rsidR="00DC5257" w:rsidRPr="00397A42" w:rsidRDefault="00DC5257" w:rsidP="00DC5257">
      <w:pPr>
        <w:jc w:val="both"/>
        <w:rPr>
          <w:sz w:val="22"/>
          <w:lang w:val="el-GR"/>
        </w:rPr>
      </w:pPr>
      <w:r w:rsidRPr="00397A42">
        <w:rPr>
          <w:sz w:val="22"/>
          <w:lang w:val="el-GR"/>
        </w:rPr>
        <w:t>Τα κλινικά επακόλουθα της μυελοτοξικότητας/αιματολογικής τοξικότητας από επιρουβικίνη μπορεί να περιλαμβάνουν πυρετό, λοιμώξεις, σήψη/σηψαιμία, σηπτικό σοκ, αιμορραγίες, υποξία των ιστών ή θάνατο. Θα πρέπει να χορηγούνται αντιβιοτικά ενδοφλεβίως όταν παρατηρηθεί εμπύρετη ουδετεροπενία.</w:t>
      </w:r>
    </w:p>
    <w:p w:rsidR="00DC5257" w:rsidRPr="00397A42" w:rsidRDefault="00DC5257" w:rsidP="00DC5257">
      <w:pPr>
        <w:jc w:val="both"/>
        <w:rPr>
          <w:sz w:val="22"/>
          <w:lang w:val="el-GR"/>
        </w:rPr>
      </w:pPr>
    </w:p>
    <w:p w:rsidR="00DC5257" w:rsidRPr="00397A42" w:rsidRDefault="00DC5257" w:rsidP="00DC5257">
      <w:pPr>
        <w:rPr>
          <w:i/>
          <w:sz w:val="22"/>
          <w:lang w:val="el-GR"/>
        </w:rPr>
      </w:pPr>
      <w:r w:rsidRPr="00397A42">
        <w:rPr>
          <w:i/>
          <w:sz w:val="22"/>
          <w:lang w:val="el-GR"/>
        </w:rPr>
        <w:t>Δευτερογενής λευχαιμία</w:t>
      </w:r>
    </w:p>
    <w:p w:rsidR="00DC5257" w:rsidRPr="00397A42" w:rsidRDefault="00DC5257" w:rsidP="00DC5257">
      <w:pPr>
        <w:rPr>
          <w:sz w:val="22"/>
          <w:lang w:val="el-GR"/>
        </w:rPr>
      </w:pPr>
      <w:r w:rsidRPr="00397A42">
        <w:rPr>
          <w:sz w:val="22"/>
          <w:lang w:val="el-GR"/>
        </w:rPr>
        <w:t xml:space="preserve">Η εμφάνιση </w:t>
      </w:r>
      <w:r w:rsidRPr="00397A42">
        <w:rPr>
          <w:i/>
          <w:sz w:val="22"/>
          <w:lang w:val="el-GR"/>
        </w:rPr>
        <w:t xml:space="preserve">δευτερογενούς οξείας μυελογενούς λευχαιμίας, </w:t>
      </w:r>
      <w:r w:rsidRPr="00397A42">
        <w:rPr>
          <w:sz w:val="22"/>
          <w:lang w:val="el-GR"/>
        </w:rPr>
        <w:t>με ή χωρίς προ-λευχαιμική φάση, έχει αναφερθεί σπάνια σε ασθενείς που υποβάλλονται σε ταυτόχρονη θεραπεία με ανθρακυκλίνες (συμπεριλαμβανομένης της επιρουβικίνης). Η δευτερογενής λευχαιμία εμφανίζεται συχνότερα, όταν τα φάρμακα αυτά χορηγούνται σε συνδυασμό με αντινεοπλασματικούς παράγοντες, που έχουν καταστροφική δράση στο DNA, σε συνδυασμό με ακτινοθεραπ</w:t>
      </w:r>
      <w:r w:rsidR="00A6204E" w:rsidRPr="00397A42">
        <w:rPr>
          <w:sz w:val="22"/>
          <w:lang w:val="el-GR"/>
        </w:rPr>
        <w:t xml:space="preserve">εία, όταν οι ασθενείς </w:t>
      </w:r>
      <w:r w:rsidRPr="00397A42">
        <w:rPr>
          <w:sz w:val="22"/>
          <w:lang w:val="el-GR"/>
        </w:rPr>
        <w:t>έχουν λάβει προηγουμένως κυταρροτοξικά φάρμακα ή όταν η δοσολογία των ανθρακυκλινών αυξάνεται κλιμακωτά. Οι λευχαιμίες αυτές μπορεί να έχουν βραχεία λανθάνουσα περίοδο (1 - 3 ετών).</w:t>
      </w:r>
    </w:p>
    <w:p w:rsidR="00DC5257" w:rsidRPr="00397A42" w:rsidRDefault="00DC5257" w:rsidP="00DC5257">
      <w:pPr>
        <w:jc w:val="both"/>
        <w:rPr>
          <w:sz w:val="22"/>
          <w:lang w:val="el-GR"/>
        </w:rPr>
      </w:pPr>
    </w:p>
    <w:p w:rsidR="00DC5257" w:rsidRPr="00397A42" w:rsidRDefault="00DC5257" w:rsidP="00DC5257">
      <w:pPr>
        <w:jc w:val="both"/>
        <w:rPr>
          <w:sz w:val="22"/>
          <w:lang w:val="el-GR"/>
        </w:rPr>
      </w:pPr>
      <w:r w:rsidRPr="00397A42">
        <w:rPr>
          <w:i/>
          <w:sz w:val="22"/>
          <w:lang w:val="el-GR"/>
        </w:rPr>
        <w:t xml:space="preserve">Καρδιοτοξικότητα: </w:t>
      </w:r>
      <w:r w:rsidRPr="00397A42">
        <w:rPr>
          <w:sz w:val="22"/>
          <w:lang w:val="el-GR"/>
        </w:rPr>
        <w:t xml:space="preserve">Η καρδιοτοξικότητα που προκαλείται από ανθρακυκλίνες μπορεί να εμφανισθεί με πρώιμες (οξείες) ή </w:t>
      </w:r>
      <w:r w:rsidR="00216CD5" w:rsidRPr="00397A42">
        <w:rPr>
          <w:rFonts w:ascii="Times New Roman" w:hAnsi="Times New Roman"/>
          <w:bCs/>
          <w:sz w:val="22"/>
          <w:lang w:val="el-GR"/>
        </w:rPr>
        <w:t>όψιμες</w:t>
      </w:r>
      <w:r w:rsidRPr="00397A42">
        <w:rPr>
          <w:sz w:val="22"/>
          <w:lang w:val="el-GR"/>
        </w:rPr>
        <w:t xml:space="preserve"> εκδηλώσεις. Η πρώιμη καρδιοτοξικότητα της επιρουβικίνης </w:t>
      </w:r>
      <w:r w:rsidR="002C075E" w:rsidRPr="00397A42">
        <w:rPr>
          <w:sz w:val="22"/>
          <w:szCs w:val="22"/>
          <w:lang w:val="el-GR"/>
        </w:rPr>
        <w:t>εκδηλώνεται</w:t>
      </w:r>
      <w:r w:rsidRPr="00397A42">
        <w:rPr>
          <w:sz w:val="22"/>
          <w:lang w:val="el-GR"/>
        </w:rPr>
        <w:t xml:space="preserve"> κυρίως </w:t>
      </w:r>
      <w:r w:rsidR="002C075E" w:rsidRPr="00397A42">
        <w:rPr>
          <w:sz w:val="22"/>
          <w:lang w:val="el-GR"/>
        </w:rPr>
        <w:t>ως</w:t>
      </w:r>
      <w:r w:rsidRPr="00397A42">
        <w:rPr>
          <w:sz w:val="22"/>
          <w:lang w:val="el-GR"/>
        </w:rPr>
        <w:t xml:space="preserve"> κολπική ταχυκαρδία και/ή ανωμαλίες στο ΗΚΓ, π.χ. μη ειδικές αλλαγές στο κύμα ST-T, ωστόσο έχουν αναφερθεί και ταχυαρρυθμίες όπως πρόωρες κοιλιακές συστολές, κοιλιακή ταχυκαρδία, βραδυκαρδία, καθώς και αποκλεισμός του κολποκοιλιακού δεματίου του </w:t>
      </w:r>
      <w:r w:rsidRPr="00397A42">
        <w:rPr>
          <w:sz w:val="22"/>
        </w:rPr>
        <w:t>His</w:t>
      </w:r>
      <w:r w:rsidRPr="00397A42">
        <w:rPr>
          <w:sz w:val="22"/>
          <w:lang w:val="el-GR"/>
        </w:rPr>
        <w:t xml:space="preserve"> και ασυμπτωματική πτώση στο κλάσμα εξώθησης. </w:t>
      </w:r>
      <w:r w:rsidR="007F4C35" w:rsidRPr="00397A42">
        <w:rPr>
          <w:sz w:val="22"/>
          <w:lang w:val="el-GR"/>
        </w:rPr>
        <w:t xml:space="preserve">Με εξαίρεση τις επικίνδυνες καρδιακές αρρυθμίες, οι ανεπιθύμητες αυτές ενέργειες δεν αποτελούν συνήθως ένδειξη μεταγενέστερης ανάπτυξης </w:t>
      </w:r>
      <w:r w:rsidR="00216CD5" w:rsidRPr="00397A42">
        <w:rPr>
          <w:rFonts w:ascii="Times New Roman" w:hAnsi="Times New Roman"/>
          <w:bCs/>
          <w:sz w:val="22"/>
          <w:lang w:val="el-GR"/>
        </w:rPr>
        <w:t>όψιμης</w:t>
      </w:r>
      <w:r w:rsidR="007F4C35" w:rsidRPr="00397A42">
        <w:rPr>
          <w:sz w:val="22"/>
          <w:lang w:val="el-GR"/>
        </w:rPr>
        <w:t xml:space="preserve"> καρδιοτοξικότητας, σπάνια είναι κλινικής σημασίας και σε γενικές γραμμές δεν </w:t>
      </w:r>
      <w:r w:rsidR="002C075E" w:rsidRPr="00397A42">
        <w:rPr>
          <w:sz w:val="22"/>
          <w:lang w:val="el-GR"/>
        </w:rPr>
        <w:t>αποτελούν λόγο</w:t>
      </w:r>
      <w:r w:rsidR="007F4C35" w:rsidRPr="00397A42">
        <w:rPr>
          <w:sz w:val="22"/>
          <w:lang w:val="el-GR"/>
        </w:rPr>
        <w:t xml:space="preserve"> για τη διακοπή της θεραπείας με </w:t>
      </w:r>
      <w:r w:rsidR="00196B88" w:rsidRPr="00397A42">
        <w:rPr>
          <w:sz w:val="22"/>
          <w:lang w:val="el-GR"/>
        </w:rPr>
        <w:t>επιρουβικίνη</w:t>
      </w:r>
      <w:r w:rsidR="007F4C35" w:rsidRPr="00397A42">
        <w:rPr>
          <w:sz w:val="22"/>
          <w:lang w:val="el-GR"/>
        </w:rPr>
        <w:t xml:space="preserve">. Η </w:t>
      </w:r>
      <w:r w:rsidR="00216CD5" w:rsidRPr="00397A42">
        <w:rPr>
          <w:rFonts w:ascii="Times New Roman" w:hAnsi="Times New Roman"/>
          <w:bCs/>
          <w:sz w:val="22"/>
          <w:lang w:val="el-GR"/>
        </w:rPr>
        <w:t>όψιμη</w:t>
      </w:r>
      <w:r w:rsidR="007F4C35" w:rsidRPr="00397A42">
        <w:rPr>
          <w:sz w:val="22"/>
          <w:lang w:val="el-GR"/>
        </w:rPr>
        <w:t xml:space="preserve"> καρδιοτοξικότητα χαρακτηρίζεται από μυοκαρδιοπάθεια η οποία εκδηλώνεται</w:t>
      </w:r>
      <w:r w:rsidR="00F5221C" w:rsidRPr="00397A42">
        <w:rPr>
          <w:sz w:val="22"/>
          <w:lang w:val="el-GR"/>
        </w:rPr>
        <w:t xml:space="preserve"> </w:t>
      </w:r>
      <w:r w:rsidRPr="00397A42">
        <w:rPr>
          <w:sz w:val="22"/>
          <w:lang w:val="el-GR"/>
        </w:rPr>
        <w:t xml:space="preserve">κλινικά με συμπτώματα/ενδείξεις κοιλιακής δυσλειτουργίας/συμφορητικής καρδιακής ανεπάρκειας [όπως δύσπνοια, πνευμονικό οίδημα,  οίδημα </w:t>
      </w:r>
      <w:r w:rsidR="002C075E" w:rsidRPr="00397A42">
        <w:rPr>
          <w:sz w:val="22"/>
          <w:lang w:val="el-GR"/>
        </w:rPr>
        <w:t xml:space="preserve">κάτω άκρων </w:t>
      </w:r>
      <w:r w:rsidRPr="00397A42">
        <w:rPr>
          <w:sz w:val="22"/>
          <w:lang w:val="el-GR"/>
        </w:rPr>
        <w:t xml:space="preserve">(π.χ. στα σφυρά), ηπατομεγαλία, ασκίτης, </w:t>
      </w:r>
      <w:r w:rsidR="007F4C35" w:rsidRPr="00397A42">
        <w:rPr>
          <w:sz w:val="22"/>
          <w:lang w:val="el-GR"/>
        </w:rPr>
        <w:t>πλευρίτιδα</w:t>
      </w:r>
      <w:r w:rsidRPr="00397A42">
        <w:rPr>
          <w:sz w:val="22"/>
          <w:lang w:val="el-GR"/>
        </w:rPr>
        <w:t xml:space="preserve">, καλπαστικός ρυθμός]. Η τοξικότητα αυτή φαίνεται να εξαρτάται από την αθροιστική δόση της επιρουβικίνης και αντιπροσωπεύει την </w:t>
      </w:r>
      <w:r w:rsidRPr="00397A42">
        <w:rPr>
          <w:i/>
          <w:sz w:val="22"/>
          <w:lang w:val="el-GR"/>
        </w:rPr>
        <w:t xml:space="preserve">αθροιστική </w:t>
      </w:r>
      <w:r w:rsidRPr="00397A42">
        <w:rPr>
          <w:sz w:val="22"/>
          <w:lang w:val="el-GR"/>
        </w:rPr>
        <w:t>δοσοπεριοριστική τοξικότητα του φαρμάκου. Σε έναν αριθμό μελετών αξιολογήθηκε ότι ο κίνδυνος ανάπτυξης αποφρακτικής καρδιακής νόσου, σε απουσία άλλων καρδιακών παραγόντων κινδύνου, αυξάνεται απότομα όταν η αθροιστική δόση της επιρουβικίνης φθάσει τα 900 mg/m</w:t>
      </w:r>
      <w:r w:rsidRPr="00397A42">
        <w:rPr>
          <w:sz w:val="22"/>
          <w:vertAlign w:val="superscript"/>
          <w:lang w:val="el-GR"/>
        </w:rPr>
        <w:t>2</w:t>
      </w:r>
      <w:r w:rsidRPr="00397A42">
        <w:rPr>
          <w:sz w:val="22"/>
          <w:lang w:val="el-GR"/>
        </w:rPr>
        <w:t xml:space="preserve">. Ωστόσο, όταν υπάρχει επιπρόσθετος κίνδυνος για ανάπτυξη καρδιοτοξικότητας (π.χ. ενεργό ή λανθάνουσα καρδιαγγειακή νόσος, προηγούμενη ακτινοθεραπεία, προηγούμενη/ταυτόχρονη χρήση άλλων καρδιοτοξικών φαρμάκων) η καρδιοτοξικότητα μπορεί να εμφανισθεί σε χαμηλότερες αθροιστικές δόσεις. Η </w:t>
      </w:r>
      <w:r w:rsidR="00216CD5" w:rsidRPr="00397A42">
        <w:rPr>
          <w:rFonts w:ascii="Times New Roman" w:hAnsi="Times New Roman"/>
          <w:bCs/>
          <w:sz w:val="22"/>
          <w:lang w:val="el-GR"/>
        </w:rPr>
        <w:t>όψιμη</w:t>
      </w:r>
      <w:r w:rsidRPr="00397A42">
        <w:rPr>
          <w:sz w:val="22"/>
          <w:lang w:val="el-GR"/>
        </w:rPr>
        <w:t xml:space="preserve"> καρδιοτοξικότητα αναπτύσσεται κυρίως κατά τη διάρκεια της αγωγής με επιρουβικίνη και μέχρι και δυο-τρεις μήνες μετά, ωστόσο έχουν αναφερθεί και </w:t>
      </w:r>
      <w:r w:rsidR="007F4C35" w:rsidRPr="00397A42">
        <w:rPr>
          <w:sz w:val="22"/>
          <w:lang w:val="el-GR"/>
        </w:rPr>
        <w:t xml:space="preserve">απώτερα </w:t>
      </w:r>
      <w:r w:rsidRPr="00397A42">
        <w:rPr>
          <w:sz w:val="22"/>
          <w:lang w:val="el-GR"/>
        </w:rPr>
        <w:t>συμβάντα (αρκετούς μήνες μέχρι χρόνια μετ</w:t>
      </w:r>
      <w:r w:rsidR="00A6204E" w:rsidRPr="00397A42">
        <w:rPr>
          <w:sz w:val="22"/>
          <w:lang w:val="el-GR"/>
        </w:rPr>
        <w:t xml:space="preserve">ά την αποπεράτωση της αγωγής). </w:t>
      </w:r>
      <w:r w:rsidRPr="00397A42">
        <w:rPr>
          <w:sz w:val="22"/>
          <w:lang w:val="el-GR"/>
        </w:rPr>
        <w:t xml:space="preserve">Σοβαρή καρδιακή βλάβη μπορεί να αποτραπεί με τακτική παρακολούθηση κατά τη διάρκεια της αγωγής (βλ. επίσης </w:t>
      </w:r>
      <w:r w:rsidR="001E324D" w:rsidRPr="00397A42">
        <w:rPr>
          <w:sz w:val="22"/>
          <w:lang w:val="el-GR"/>
        </w:rPr>
        <w:t>παράγραφο</w:t>
      </w:r>
      <w:r w:rsidRPr="00397A42">
        <w:rPr>
          <w:sz w:val="22"/>
          <w:lang w:val="el-GR"/>
        </w:rPr>
        <w:t xml:space="preserve"> </w:t>
      </w:r>
      <w:r w:rsidR="001E324D" w:rsidRPr="00397A42">
        <w:rPr>
          <w:sz w:val="22"/>
          <w:lang w:val="el-GR"/>
        </w:rPr>
        <w:t>2</w:t>
      </w:r>
      <w:r w:rsidRPr="00397A42">
        <w:rPr>
          <w:sz w:val="22"/>
          <w:lang w:val="el-GR"/>
        </w:rPr>
        <w:t xml:space="preserve">.4). </w:t>
      </w:r>
      <w:r w:rsidR="006330CC" w:rsidRPr="00397A42">
        <w:rPr>
          <w:sz w:val="22"/>
          <w:lang w:val="el-GR"/>
        </w:rPr>
        <w:t>Έ</w:t>
      </w:r>
      <w:r w:rsidRPr="00397A42">
        <w:rPr>
          <w:sz w:val="22"/>
          <w:lang w:val="el-GR"/>
        </w:rPr>
        <w:t>χει αναφερθεί επίσης και περικαρδιακή έκχυση.</w:t>
      </w:r>
    </w:p>
    <w:p w:rsidR="00DC5257" w:rsidRPr="00397A42" w:rsidRDefault="00DC5257" w:rsidP="00DC5257">
      <w:pPr>
        <w:jc w:val="both"/>
        <w:rPr>
          <w:sz w:val="22"/>
          <w:lang w:val="el-GR"/>
        </w:rPr>
      </w:pPr>
    </w:p>
    <w:p w:rsidR="00DC5257" w:rsidRPr="00397A42" w:rsidRDefault="00DC5257" w:rsidP="00DC5257">
      <w:pPr>
        <w:jc w:val="both"/>
        <w:rPr>
          <w:sz w:val="22"/>
          <w:lang w:val="el-GR"/>
        </w:rPr>
      </w:pPr>
      <w:r w:rsidRPr="00397A42">
        <w:rPr>
          <w:i/>
          <w:sz w:val="22"/>
          <w:lang w:val="el-GR"/>
        </w:rPr>
        <w:t xml:space="preserve">Γαστρεντερική Τοξικότητα: </w:t>
      </w:r>
      <w:r w:rsidRPr="00397A42">
        <w:rPr>
          <w:sz w:val="22"/>
          <w:lang w:val="el-GR"/>
        </w:rPr>
        <w:t xml:space="preserve">Βλεννογονίτιδα (κυρίως στοματίτιδα, λιγότερο συχνά οισοφαγίτιδα) μπορεί να παρατηρηθεί σε ασθενείς που υποβάλλονται σε θεραπεία με επιρουβικίνη. Οι κλινικές εκδηλώσεις της βλεννογονίτιδας περιλαμβάνουν πόνο ή αίσθημα καύσου, διαβρώσεις-εξελκώσεις, αιμορραγία και λοιμώξεις. Η στοματίτιδα εμφανίζεται γενικά σχεδόν αμέσως μετά τη χορήγηση του φαρμάκου και, σε περίπτωση που είναι σοβαρή, μπορεί να προχωρήσει μέσα σε διάστημα ημερών σε εξελκώσεις του βλεννογόνου. Ωστόσο, οι περισσότεροι ασθενείς ανανήπτουν από αυτήν την ανεπιθύμητη ενέργεια μέχρι την τρίτη εβδομάδα της θεραπείας. Μπορεί επίσης να παρατηρηθεί ναυτία, έμετος και, κατά καιρούς, διάρροια και κοιλιακό </w:t>
      </w:r>
      <w:r w:rsidR="00D566DD" w:rsidRPr="00397A42">
        <w:rPr>
          <w:sz w:val="22"/>
          <w:lang w:val="el-GR"/>
        </w:rPr>
        <w:t>άλγος</w:t>
      </w:r>
      <w:r w:rsidRPr="00397A42">
        <w:rPr>
          <w:sz w:val="22"/>
          <w:lang w:val="el-GR"/>
        </w:rPr>
        <w:t xml:space="preserve">. Ο έντονος έμετος και διάρροια μπορούν να προκαλέσουν αφυδάτωση. Η ναυτία και ο έμετος μπορούν να αποτραπούν ή να μειωθούν σε ένταση με τη </w:t>
      </w:r>
      <w:r w:rsidRPr="00397A42">
        <w:rPr>
          <w:sz w:val="22"/>
          <w:lang w:val="el-GR"/>
        </w:rPr>
        <w:lastRenderedPageBreak/>
        <w:t>χορήγηση κατάλληλης αντιεμετικής αγωγής. Μπορεί επίσης να παρατηρηθεί υπερχρωμάτωση του στοματικού βλεννογόνου.</w:t>
      </w:r>
    </w:p>
    <w:p w:rsidR="00DC5257" w:rsidRPr="00397A42" w:rsidRDefault="00DC5257" w:rsidP="00DC5257">
      <w:pPr>
        <w:jc w:val="both"/>
        <w:rPr>
          <w:sz w:val="22"/>
          <w:lang w:val="el-GR"/>
        </w:rPr>
      </w:pPr>
    </w:p>
    <w:p w:rsidR="00DC5257" w:rsidRPr="00397A42" w:rsidRDefault="00DC5257" w:rsidP="00DC5257">
      <w:pPr>
        <w:jc w:val="both"/>
        <w:rPr>
          <w:sz w:val="22"/>
          <w:lang w:val="el-GR"/>
        </w:rPr>
      </w:pPr>
      <w:r w:rsidRPr="00397A42">
        <w:rPr>
          <w:i/>
          <w:sz w:val="22"/>
          <w:lang w:val="el-GR"/>
        </w:rPr>
        <w:t xml:space="preserve">Δερματικές Αντιδράσεις και Αντιδράσεις Υπερευαισθησίας: </w:t>
      </w:r>
      <w:r w:rsidRPr="00397A42">
        <w:rPr>
          <w:sz w:val="22"/>
          <w:lang w:val="el-GR"/>
        </w:rPr>
        <w:t xml:space="preserve">Αλωπεκία, που συμπεριλαμβάνει τη διακοπή ανάπτυξης γενιού, παρατηρείται συχνά. Η ανεπιθύμητη </w:t>
      </w:r>
      <w:r w:rsidR="002C075E" w:rsidRPr="00397A42">
        <w:rPr>
          <w:sz w:val="22"/>
          <w:lang w:val="el-GR"/>
        </w:rPr>
        <w:t xml:space="preserve">αυτή </w:t>
      </w:r>
      <w:r w:rsidRPr="00397A42">
        <w:rPr>
          <w:sz w:val="22"/>
          <w:lang w:val="el-GR"/>
        </w:rPr>
        <w:t xml:space="preserve">ενέργεια  είναι συνήθως αναστρέψιμη, και όλα τα μαλλιά αναπτύσσονται και πάλι εντός δύο-τριών μηνών μετά την αποπεράτωση της αγωγής. Μπορεί επίσης να παρατηρηθούν ερύθημα, εξάψεις, υπερχρωμάτωση του δέρματος και των νυχιών, φωτοευαισθησία και υπερευαισθησία σε δέρμα που έχει υποβληθεί σε ακτινοθεραπεία (radiation recall reaction). Κνίδωση και αναφυλαξία έχουν αναφερθεί σε ασθενείς που υποβλήθηκαν σε θεραπεία με επιρουβικίνη. Οι ενδείξεις/συμπτώματα των αντιδράσεων αυτών μπορεί να </w:t>
      </w:r>
      <w:r w:rsidR="007F4C35" w:rsidRPr="00397A42">
        <w:rPr>
          <w:sz w:val="22"/>
          <w:lang w:val="el-GR"/>
        </w:rPr>
        <w:t xml:space="preserve">ποικίλουν </w:t>
      </w:r>
      <w:r w:rsidRPr="00397A42">
        <w:rPr>
          <w:sz w:val="22"/>
          <w:lang w:val="el-GR"/>
        </w:rPr>
        <w:t>από δερματικό εξάνθημα και κνησμό μέχρι πυρετό, ρίγη και σοκ.</w:t>
      </w:r>
    </w:p>
    <w:p w:rsidR="00DC5257" w:rsidRPr="00397A42" w:rsidRDefault="00DC5257" w:rsidP="00DC5257">
      <w:pPr>
        <w:jc w:val="both"/>
        <w:rPr>
          <w:sz w:val="22"/>
          <w:lang w:val="el-GR"/>
        </w:rPr>
      </w:pPr>
    </w:p>
    <w:p w:rsidR="00DC5257" w:rsidRPr="00397A42" w:rsidRDefault="00DC5257" w:rsidP="00DC5257">
      <w:pPr>
        <w:jc w:val="both"/>
        <w:rPr>
          <w:sz w:val="22"/>
          <w:lang w:val="el-GR"/>
        </w:rPr>
      </w:pPr>
      <w:r w:rsidRPr="00397A42">
        <w:rPr>
          <w:i/>
          <w:sz w:val="22"/>
          <w:lang w:val="el-GR"/>
        </w:rPr>
        <w:t xml:space="preserve">Αντιδράσεις στο σημείο της </w:t>
      </w:r>
      <w:r w:rsidR="006330CC" w:rsidRPr="00397A42">
        <w:rPr>
          <w:i/>
          <w:sz w:val="22"/>
          <w:lang w:val="el-GR"/>
        </w:rPr>
        <w:t>Έ</w:t>
      </w:r>
      <w:r w:rsidRPr="00397A42">
        <w:rPr>
          <w:i/>
          <w:sz w:val="22"/>
          <w:lang w:val="el-GR"/>
        </w:rPr>
        <w:t xml:space="preserve">νεσης: </w:t>
      </w:r>
      <w:r w:rsidRPr="00397A42">
        <w:rPr>
          <w:sz w:val="22"/>
          <w:lang w:val="el-GR"/>
        </w:rPr>
        <w:t>Η ερυθηματώδης ράβδωση κατά μήκος της φλέβας όπου πραγματοποιήθηκε η έγχυση δεν αποτελεί σπάνιο φαινόμενο, και μπορεί να προηγείται της τοπικής φλεβίτιδας ή θρομβοφλεβίτιδας. Ο κίνδυνος για πρόκληση φλεβίτιδας/θρομβοφλεβίτιδας στο σημείο της ένεσης μπορεί να ελαχιστοποιηθεί με την εφαρμογή της διαδικασίας χορήγησης που συνιστάται στ</w:t>
      </w:r>
      <w:r w:rsidR="00F96DC2" w:rsidRPr="00397A42">
        <w:rPr>
          <w:sz w:val="22"/>
          <w:lang w:val="el-GR"/>
        </w:rPr>
        <w:t>ην παράγραφο</w:t>
      </w:r>
      <w:r w:rsidRPr="00397A42">
        <w:rPr>
          <w:sz w:val="22"/>
          <w:lang w:val="el-GR"/>
        </w:rPr>
        <w:t xml:space="preserve"> </w:t>
      </w:r>
      <w:r w:rsidR="00F96DC2" w:rsidRPr="00397A42">
        <w:rPr>
          <w:sz w:val="22"/>
          <w:lang w:val="el-GR"/>
        </w:rPr>
        <w:t>2</w:t>
      </w:r>
      <w:r w:rsidRPr="00397A42">
        <w:rPr>
          <w:sz w:val="22"/>
          <w:lang w:val="el-GR"/>
        </w:rPr>
        <w:t>.4. Μπορεί επίσης να προκληθεί φλεβοσκλήρυνση, ειδικά όταν η επιρουβικίνη εγχύεται κατ’ επανάληψη σε μικρή φλέβα.</w:t>
      </w:r>
    </w:p>
    <w:p w:rsidR="00DC5257" w:rsidRPr="00397A42" w:rsidRDefault="00DC5257" w:rsidP="00DC5257">
      <w:pPr>
        <w:jc w:val="both"/>
        <w:rPr>
          <w:sz w:val="22"/>
          <w:lang w:val="el-GR"/>
        </w:rPr>
      </w:pPr>
      <w:r w:rsidRPr="00397A42">
        <w:rPr>
          <w:sz w:val="22"/>
          <w:lang w:val="el-GR"/>
        </w:rPr>
        <w:t xml:space="preserve">Στην περίπτωση περιφλεβικής εξαγγείωσης του φαρμάκου, παρατηρείται τοπικό </w:t>
      </w:r>
      <w:r w:rsidR="00D566DD" w:rsidRPr="00397A42">
        <w:rPr>
          <w:sz w:val="22"/>
          <w:lang w:val="el-GR"/>
        </w:rPr>
        <w:t>άλγος</w:t>
      </w:r>
      <w:r w:rsidRPr="00397A42">
        <w:rPr>
          <w:sz w:val="22"/>
          <w:lang w:val="el-GR"/>
        </w:rPr>
        <w:t xml:space="preserve">, σοβαρή κυτταρίτιδα και νέκρωση ιστών (βλ. επίσης </w:t>
      </w:r>
      <w:r w:rsidR="00F96DC2" w:rsidRPr="00397A42">
        <w:rPr>
          <w:sz w:val="22"/>
          <w:lang w:val="el-GR"/>
        </w:rPr>
        <w:t>παράγραφο</w:t>
      </w:r>
      <w:r w:rsidRPr="00397A42">
        <w:rPr>
          <w:sz w:val="22"/>
          <w:lang w:val="el-GR"/>
        </w:rPr>
        <w:t xml:space="preserve"> </w:t>
      </w:r>
      <w:r w:rsidR="00F96DC2" w:rsidRPr="00397A42">
        <w:rPr>
          <w:sz w:val="22"/>
          <w:lang w:val="el-GR"/>
        </w:rPr>
        <w:t>2</w:t>
      </w:r>
      <w:r w:rsidRPr="00397A42">
        <w:rPr>
          <w:sz w:val="22"/>
          <w:lang w:val="el-GR"/>
        </w:rPr>
        <w:t>.4).</w:t>
      </w:r>
    </w:p>
    <w:p w:rsidR="00DC5257" w:rsidRPr="00397A42" w:rsidRDefault="00DC5257" w:rsidP="00DC5257">
      <w:pPr>
        <w:jc w:val="both"/>
        <w:rPr>
          <w:sz w:val="22"/>
          <w:lang w:val="el-GR"/>
        </w:rPr>
      </w:pPr>
    </w:p>
    <w:p w:rsidR="00DC5257" w:rsidRPr="00397A42" w:rsidRDefault="006330CC" w:rsidP="00DC5257">
      <w:pPr>
        <w:jc w:val="both"/>
        <w:rPr>
          <w:sz w:val="22"/>
          <w:lang w:val="el-GR"/>
        </w:rPr>
      </w:pPr>
      <w:r w:rsidRPr="00397A42">
        <w:rPr>
          <w:i/>
          <w:sz w:val="22"/>
          <w:lang w:val="el-GR"/>
        </w:rPr>
        <w:t>Ά</w:t>
      </w:r>
      <w:r w:rsidR="00DC5257" w:rsidRPr="00397A42">
        <w:rPr>
          <w:i/>
          <w:sz w:val="22"/>
          <w:lang w:val="el-GR"/>
        </w:rPr>
        <w:t xml:space="preserve">λλες Ανεπιθύμητες Ενέργειες: </w:t>
      </w:r>
      <w:r w:rsidR="00DC5257" w:rsidRPr="00397A42">
        <w:rPr>
          <w:sz w:val="22"/>
          <w:lang w:val="el-GR"/>
        </w:rPr>
        <w:t>Οι άλλες ανεπιθύμητες ενέργειες περιλαμβάνουν επιπεφυκίτιδα, κερατίτιδα,</w:t>
      </w:r>
      <w:r w:rsidR="00DC5257" w:rsidRPr="00397A42">
        <w:rPr>
          <w:i/>
          <w:sz w:val="22"/>
          <w:lang w:val="el-GR"/>
        </w:rPr>
        <w:t xml:space="preserve"> </w:t>
      </w:r>
      <w:r w:rsidR="00DC5257" w:rsidRPr="00397A42">
        <w:rPr>
          <w:sz w:val="22"/>
          <w:lang w:val="el-GR"/>
        </w:rPr>
        <w:t xml:space="preserve">ανορεξία, λοιμώξεις, αδιαθεσία/κόπωση και υπερουριχαιμία, που μπορεί να εμφανισθεί σαν επακόλουθο του εκτεταμένου καταβολισμού </w:t>
      </w:r>
      <w:r w:rsidR="007F4C35" w:rsidRPr="00397A42">
        <w:rPr>
          <w:sz w:val="22"/>
          <w:lang w:val="el-GR"/>
        </w:rPr>
        <w:t xml:space="preserve">των πουρινών </w:t>
      </w:r>
      <w:r w:rsidR="00DC5257" w:rsidRPr="00397A42">
        <w:rPr>
          <w:sz w:val="22"/>
          <w:lang w:val="el-GR"/>
        </w:rPr>
        <w:t>που συνοδεύει την από το φάρμακο προκληθείσα ταχεία κυτταρική νέκρωση των πολύ ευαίσθητων στη χημειοθεραπεία νεοπλασμάτων (σύνδρομο λύσης του όγκου). Η ενυδάτωση, η αλκαλοποίηση των ούρων και η χορήγηση αλλοπουρινόλης βοηθούν στην αποτροπή ή στην ελαχιστοποίηση των ανεπιθύμητων ενεργειών της υπερουριχαιμίας. Πιθανόν να εμφανιστεί ερυθρός χρωματισμός των ούρων 1-2 ημέρες μετά τη χορήγηση.</w:t>
      </w:r>
    </w:p>
    <w:p w:rsidR="00DC5257" w:rsidRPr="00397A42" w:rsidRDefault="00DC5257" w:rsidP="00DC5257">
      <w:pPr>
        <w:jc w:val="both"/>
        <w:rPr>
          <w:sz w:val="22"/>
          <w:lang w:val="el-GR"/>
        </w:rPr>
      </w:pPr>
      <w:r w:rsidRPr="00397A42">
        <w:rPr>
          <w:sz w:val="22"/>
          <w:lang w:val="el-GR"/>
        </w:rPr>
        <w:t>Μπορεί επίσης να παρατηρηθεί αμηνόρροια και η αγωγή με επιρουβικίνη μπορεί να προκαλέσει αζωοσπερμία.</w:t>
      </w:r>
    </w:p>
    <w:p w:rsidR="00DC5257" w:rsidRPr="00397A42" w:rsidRDefault="00DC5257" w:rsidP="00DC5257">
      <w:pPr>
        <w:jc w:val="both"/>
        <w:rPr>
          <w:sz w:val="22"/>
          <w:lang w:val="el-GR"/>
        </w:rPr>
      </w:pPr>
      <w:r w:rsidRPr="00397A42">
        <w:rPr>
          <w:sz w:val="22"/>
          <w:lang w:val="el-GR"/>
        </w:rPr>
        <w:t>Μεταβολές στα επίπεδα των τρανσαμινασών μπορεί επίσης να παρατηρηθούν. Η χορήγηση της επιρουβικίνης από την ενδοκυστική οδό μπορεί να προκαλέσει χημική κυστίτιδα και συστολή της ουροδόχου κύστης.</w:t>
      </w:r>
    </w:p>
    <w:p w:rsidR="00DC5257" w:rsidRPr="00397A42" w:rsidRDefault="006330CC" w:rsidP="00DC5257">
      <w:pPr>
        <w:jc w:val="both"/>
        <w:rPr>
          <w:sz w:val="22"/>
          <w:lang w:val="el-GR"/>
        </w:rPr>
      </w:pPr>
      <w:r w:rsidRPr="00397A42">
        <w:rPr>
          <w:sz w:val="22"/>
          <w:lang w:val="el-GR"/>
        </w:rPr>
        <w:t>Έ</w:t>
      </w:r>
      <w:r w:rsidR="00DC5257" w:rsidRPr="00397A42">
        <w:rPr>
          <w:sz w:val="22"/>
          <w:lang w:val="el-GR"/>
        </w:rPr>
        <w:t>χει αναφερθεί ότι η άμεση χορήγηση της επιρουβικίνης (ή αγωγών που περιέχουν επιρουβικίνη) και λιπιοδόλης στην ηπατική αρτηρία (transcatheter arterial embolization) για την τοπική θεραπεία του πρωτογενούς ηπατοκυτταρικού καρκινώματος ή των ηπατικών μεταστάσεων προκαλεί έλκος του στομάχου-δωδεκαδακτύλου, προφανώς λόγω της ανάδρασης των φαρμάκων στην γαστρική αρτηρία και στένωση των χοληφόρων πόρων λόγω της σκληρωτικής χολαγγειίτιδας που προκαλείται από το φάρμακο.</w:t>
      </w:r>
    </w:p>
    <w:p w:rsidR="00DC5257" w:rsidRPr="00397A42" w:rsidRDefault="00DC5257" w:rsidP="00DC5257">
      <w:pPr>
        <w:jc w:val="both"/>
        <w:rPr>
          <w:sz w:val="22"/>
          <w:lang w:val="el-GR"/>
        </w:rPr>
      </w:pPr>
    </w:p>
    <w:p w:rsidR="005E2DEC" w:rsidRPr="00397A42" w:rsidRDefault="005E2DEC" w:rsidP="005E2DEC">
      <w:pPr>
        <w:jc w:val="both"/>
        <w:rPr>
          <w:sz w:val="22"/>
          <w:lang w:val="el-GR"/>
        </w:rPr>
      </w:pPr>
      <w:r w:rsidRPr="00397A42">
        <w:rPr>
          <w:sz w:val="22"/>
          <w:lang w:val="el-GR"/>
        </w:rPr>
        <w:t xml:space="preserve">Σε περίπτωση που θεωρείτε ότι το φάρμακο σας προκάλεσε κάποια ανεπιθύμητη ενέργεια παρακαλούμε να τη γνωστοποιήσετε στο θεράποντα ιατρό σας, ή στο φαρμακοποιό ή άλλο επαγγελματία του τομέα της υγείας, ή απευθείας στον Εθνικό Οργανισμό Φαρμάκων (Μεσογείων 284, 15562, Χολαργός, </w:t>
      </w:r>
      <w:hyperlink r:id="rId8" w:history="1">
        <w:r w:rsidRPr="00397A42">
          <w:rPr>
            <w:rStyle w:val="-"/>
            <w:color w:val="auto"/>
            <w:sz w:val="22"/>
          </w:rPr>
          <w:t>www</w:t>
        </w:r>
        <w:r w:rsidRPr="00397A42">
          <w:rPr>
            <w:rStyle w:val="-"/>
            <w:color w:val="auto"/>
            <w:sz w:val="22"/>
            <w:lang w:val="el-GR"/>
          </w:rPr>
          <w:t>.</w:t>
        </w:r>
        <w:proofErr w:type="spellStart"/>
        <w:r w:rsidRPr="00397A42">
          <w:rPr>
            <w:rStyle w:val="-"/>
            <w:color w:val="auto"/>
            <w:sz w:val="22"/>
          </w:rPr>
          <w:t>eof</w:t>
        </w:r>
        <w:proofErr w:type="spellEnd"/>
        <w:r w:rsidRPr="00397A42">
          <w:rPr>
            <w:rStyle w:val="-"/>
            <w:color w:val="auto"/>
            <w:sz w:val="22"/>
            <w:lang w:val="el-GR"/>
          </w:rPr>
          <w:t>.</w:t>
        </w:r>
        <w:proofErr w:type="spellStart"/>
        <w:r w:rsidRPr="00397A42">
          <w:rPr>
            <w:rStyle w:val="-"/>
            <w:color w:val="auto"/>
            <w:sz w:val="22"/>
          </w:rPr>
          <w:t>gr</w:t>
        </w:r>
        <w:proofErr w:type="spellEnd"/>
      </w:hyperlink>
      <w:r w:rsidRPr="00397A42">
        <w:rPr>
          <w:sz w:val="22"/>
          <w:lang w:val="el-GR"/>
        </w:rPr>
        <w:t>).</w:t>
      </w:r>
    </w:p>
    <w:p w:rsidR="005E2DEC" w:rsidRPr="00397A42" w:rsidRDefault="005E2DEC" w:rsidP="00DC5257">
      <w:pPr>
        <w:jc w:val="both"/>
        <w:rPr>
          <w:sz w:val="22"/>
          <w:lang w:val="el-GR"/>
        </w:rPr>
      </w:pPr>
    </w:p>
    <w:p w:rsidR="001901AB" w:rsidRPr="00397A42" w:rsidRDefault="001901AB" w:rsidP="001901AB">
      <w:pPr>
        <w:numPr>
          <w:ilvl w:val="1"/>
          <w:numId w:val="1"/>
        </w:numPr>
        <w:spacing w:line="240" w:lineRule="atLeast"/>
        <w:rPr>
          <w:rFonts w:ascii="Times New Roman" w:hAnsi="Times New Roman"/>
          <w:b/>
          <w:sz w:val="22"/>
          <w:szCs w:val="22"/>
          <w:lang w:val="el-GR"/>
        </w:rPr>
      </w:pPr>
      <w:r w:rsidRPr="00397A42">
        <w:rPr>
          <w:rFonts w:ascii="Times New Roman" w:hAnsi="Times New Roman"/>
          <w:b/>
          <w:sz w:val="22"/>
          <w:szCs w:val="22"/>
          <w:lang w:val="el-GR"/>
        </w:rPr>
        <w:t>Τ</w:t>
      </w:r>
      <w:r w:rsidR="000D370C" w:rsidRPr="00397A42">
        <w:rPr>
          <w:rFonts w:ascii="Times New Roman" w:hAnsi="Times New Roman"/>
          <w:b/>
          <w:sz w:val="22"/>
          <w:szCs w:val="22"/>
          <w:lang w:val="el-GR"/>
        </w:rPr>
        <w:t>ι</w:t>
      </w:r>
      <w:r w:rsidRPr="00397A42">
        <w:rPr>
          <w:rFonts w:ascii="Times New Roman" w:hAnsi="Times New Roman"/>
          <w:b/>
          <w:sz w:val="22"/>
          <w:szCs w:val="22"/>
          <w:lang w:val="el-GR"/>
        </w:rPr>
        <w:t xml:space="preserve"> πρέπει να γνωρίζει ο ασθενής σε περίπτωση που παραλείψει να πάρει κάποια δόση:</w:t>
      </w:r>
    </w:p>
    <w:p w:rsidR="00192B54" w:rsidRPr="00397A42" w:rsidRDefault="00192B54">
      <w:pPr>
        <w:spacing w:line="240" w:lineRule="atLeast"/>
        <w:rPr>
          <w:rFonts w:ascii="Times New Roman" w:hAnsi="Times New Roman"/>
          <w:sz w:val="22"/>
          <w:szCs w:val="22"/>
          <w:lang w:val="el-GR"/>
        </w:rPr>
      </w:pPr>
      <w:r w:rsidRPr="00397A42">
        <w:rPr>
          <w:rFonts w:ascii="Times New Roman" w:hAnsi="Times New Roman"/>
          <w:sz w:val="22"/>
          <w:szCs w:val="22"/>
          <w:lang w:val="el-GR"/>
        </w:rPr>
        <w:t>Δεν εφαρμόζεται.</w:t>
      </w:r>
    </w:p>
    <w:p w:rsidR="00192B54" w:rsidRPr="00397A42" w:rsidRDefault="00192B54">
      <w:pPr>
        <w:spacing w:line="240" w:lineRule="atLeast"/>
        <w:rPr>
          <w:rFonts w:ascii="Times New Roman" w:hAnsi="Times New Roman"/>
          <w:b/>
          <w:sz w:val="22"/>
          <w:szCs w:val="22"/>
          <w:lang w:val="el-GR"/>
        </w:rPr>
      </w:pPr>
    </w:p>
    <w:p w:rsidR="00192B54" w:rsidRPr="00397A42" w:rsidRDefault="00192B54">
      <w:pPr>
        <w:pStyle w:val="a6"/>
        <w:numPr>
          <w:ilvl w:val="1"/>
          <w:numId w:val="1"/>
        </w:numPr>
        <w:rPr>
          <w:rFonts w:ascii="Times New Roman" w:hAnsi="Times New Roman"/>
          <w:sz w:val="22"/>
          <w:szCs w:val="22"/>
        </w:rPr>
      </w:pPr>
      <w:r w:rsidRPr="00397A42">
        <w:rPr>
          <w:rFonts w:ascii="Times New Roman" w:hAnsi="Times New Roman"/>
          <w:sz w:val="22"/>
          <w:szCs w:val="22"/>
        </w:rPr>
        <w:t>Τ</w:t>
      </w:r>
      <w:r w:rsidR="000D370C" w:rsidRPr="00397A42">
        <w:rPr>
          <w:rFonts w:ascii="Times New Roman" w:hAnsi="Times New Roman"/>
          <w:sz w:val="22"/>
          <w:szCs w:val="22"/>
        </w:rPr>
        <w:t>ι</w:t>
      </w:r>
      <w:r w:rsidRPr="00397A42">
        <w:rPr>
          <w:rFonts w:ascii="Times New Roman" w:hAnsi="Times New Roman"/>
          <w:sz w:val="22"/>
          <w:szCs w:val="22"/>
        </w:rPr>
        <w:t xml:space="preserve"> πρέπει να γνωρίζει ο ασθενής για την ημερομηνία λήξης του προϊόντος</w:t>
      </w:r>
    </w:p>
    <w:p w:rsidR="00192B54" w:rsidRPr="00397A42" w:rsidRDefault="00192B54">
      <w:p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Η ημερομηνία λήξης αναγράφεται στην εξωτερική και εσωτερική συσκευασία.</w:t>
      </w:r>
    </w:p>
    <w:p w:rsidR="00192B54" w:rsidRPr="00397A42" w:rsidRDefault="00192B54">
      <w:p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Σε περίπτωση που η ημερομηνία αυτή έχει παρέλθει μην το χρησιμοποιήσετε.</w:t>
      </w:r>
    </w:p>
    <w:p w:rsidR="00192B54" w:rsidRPr="00397A42" w:rsidRDefault="00192B54">
      <w:pPr>
        <w:spacing w:line="240" w:lineRule="atLeast"/>
        <w:jc w:val="both"/>
        <w:rPr>
          <w:rFonts w:ascii="Times New Roman" w:hAnsi="Times New Roman"/>
          <w:b/>
          <w:sz w:val="22"/>
          <w:szCs w:val="22"/>
          <w:lang w:val="el-GR"/>
        </w:rPr>
      </w:pPr>
    </w:p>
    <w:p w:rsidR="00192B54" w:rsidRPr="00397A42" w:rsidRDefault="00673883" w:rsidP="00A339BE">
      <w:pPr>
        <w:keepNext/>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t>2.11</w:t>
      </w:r>
      <w:r w:rsidRPr="00397A42">
        <w:rPr>
          <w:rFonts w:ascii="Times New Roman" w:hAnsi="Times New Roman"/>
          <w:b/>
          <w:sz w:val="22"/>
          <w:szCs w:val="22"/>
          <w:lang w:val="el-GR"/>
        </w:rPr>
        <w:tab/>
        <w:t xml:space="preserve">Ιδιαίτερες προφυλάξεις </w:t>
      </w:r>
      <w:r w:rsidR="00192B54" w:rsidRPr="00397A42">
        <w:rPr>
          <w:rFonts w:ascii="Times New Roman" w:hAnsi="Times New Roman"/>
          <w:b/>
          <w:sz w:val="22"/>
          <w:szCs w:val="22"/>
          <w:lang w:val="el-GR"/>
        </w:rPr>
        <w:t>για τη φύλαξη του προϊόντος</w:t>
      </w:r>
    </w:p>
    <w:p w:rsidR="00192B54" w:rsidRPr="00397A42" w:rsidRDefault="00192B54" w:rsidP="00A339BE">
      <w:pPr>
        <w:keepNext/>
        <w:rPr>
          <w:rFonts w:ascii="Times New Roman" w:hAnsi="Times New Roman"/>
          <w:sz w:val="22"/>
          <w:szCs w:val="22"/>
          <w:u w:val="single"/>
          <w:lang w:val="el-GR"/>
        </w:rPr>
      </w:pPr>
      <w:r w:rsidRPr="00397A42">
        <w:rPr>
          <w:rFonts w:ascii="Times New Roman" w:hAnsi="Times New Roman"/>
          <w:sz w:val="22"/>
          <w:szCs w:val="22"/>
          <w:lang w:val="el-GR"/>
        </w:rPr>
        <w:t xml:space="preserve">α. </w:t>
      </w:r>
      <w:r w:rsidRPr="00397A42">
        <w:rPr>
          <w:rFonts w:ascii="Times New Roman" w:hAnsi="Times New Roman"/>
          <w:sz w:val="22"/>
          <w:szCs w:val="22"/>
          <w:u w:val="single"/>
          <w:lang w:val="el-GR"/>
        </w:rPr>
        <w:t>Ενέσιμο διάλυμα</w:t>
      </w:r>
      <w:r w:rsidR="005926B5" w:rsidRPr="00397A42">
        <w:rPr>
          <w:rFonts w:ascii="Times New Roman" w:hAnsi="Times New Roman"/>
          <w:sz w:val="22"/>
          <w:szCs w:val="22"/>
          <w:u w:val="single"/>
          <w:lang w:val="el-GR"/>
        </w:rPr>
        <w:t>,</w:t>
      </w:r>
      <w:r w:rsidR="000D370C" w:rsidRPr="00397A42">
        <w:rPr>
          <w:rFonts w:ascii="Times New Roman" w:hAnsi="Times New Roman"/>
          <w:sz w:val="22"/>
          <w:szCs w:val="22"/>
          <w:u w:val="single"/>
          <w:lang w:val="el-GR"/>
        </w:rPr>
        <w:t xml:space="preserve"> </w:t>
      </w:r>
      <w:r w:rsidR="005926B5" w:rsidRPr="00397A42">
        <w:rPr>
          <w:rFonts w:ascii="Times New Roman" w:hAnsi="Times New Roman"/>
          <w:sz w:val="22"/>
          <w:szCs w:val="22"/>
          <w:u w:val="single"/>
          <w:lang w:val="el-GR"/>
        </w:rPr>
        <w:t>10</w:t>
      </w:r>
      <w:r w:rsidR="005926B5" w:rsidRPr="00397A42">
        <w:rPr>
          <w:rFonts w:ascii="Times New Roman" w:hAnsi="Times New Roman"/>
          <w:sz w:val="22"/>
          <w:szCs w:val="22"/>
          <w:u w:val="single"/>
          <w:lang w:val="en-US"/>
        </w:rPr>
        <w:t>mg</w:t>
      </w:r>
      <w:r w:rsidR="005926B5" w:rsidRPr="00397A42">
        <w:rPr>
          <w:rFonts w:ascii="Times New Roman" w:hAnsi="Times New Roman"/>
          <w:sz w:val="22"/>
          <w:szCs w:val="22"/>
          <w:u w:val="single"/>
          <w:lang w:val="el-GR"/>
        </w:rPr>
        <w:t>/5</w:t>
      </w:r>
      <w:r w:rsidR="005926B5" w:rsidRPr="00397A42">
        <w:rPr>
          <w:rFonts w:ascii="Times New Roman" w:hAnsi="Times New Roman"/>
          <w:sz w:val="22"/>
          <w:szCs w:val="22"/>
          <w:u w:val="single"/>
          <w:lang w:val="en-US"/>
        </w:rPr>
        <w:t>ml</w:t>
      </w:r>
      <w:r w:rsidR="002314CE" w:rsidRPr="00397A42">
        <w:rPr>
          <w:rFonts w:ascii="Times New Roman" w:hAnsi="Times New Roman"/>
          <w:sz w:val="22"/>
          <w:szCs w:val="22"/>
          <w:u w:val="single"/>
          <w:lang w:val="el-GR"/>
        </w:rPr>
        <w:t xml:space="preserve"> φιαλίδιο</w:t>
      </w:r>
      <w:r w:rsidR="005926B5" w:rsidRPr="00397A42">
        <w:rPr>
          <w:rFonts w:ascii="Times New Roman" w:hAnsi="Times New Roman"/>
          <w:sz w:val="22"/>
          <w:szCs w:val="22"/>
          <w:u w:val="single"/>
          <w:lang w:val="el-GR"/>
        </w:rPr>
        <w:t>, 50</w:t>
      </w:r>
      <w:r w:rsidR="005926B5" w:rsidRPr="00397A42">
        <w:rPr>
          <w:rFonts w:ascii="Times New Roman" w:hAnsi="Times New Roman"/>
          <w:sz w:val="22"/>
          <w:szCs w:val="22"/>
          <w:u w:val="single"/>
          <w:lang w:val="en-US"/>
        </w:rPr>
        <w:t>mg</w:t>
      </w:r>
      <w:r w:rsidR="005926B5" w:rsidRPr="00397A42">
        <w:rPr>
          <w:rFonts w:ascii="Times New Roman" w:hAnsi="Times New Roman"/>
          <w:sz w:val="22"/>
          <w:szCs w:val="22"/>
          <w:u w:val="single"/>
          <w:lang w:val="el-GR"/>
        </w:rPr>
        <w:t>/25</w:t>
      </w:r>
      <w:r w:rsidR="005926B5" w:rsidRPr="00397A42">
        <w:rPr>
          <w:rFonts w:ascii="Times New Roman" w:hAnsi="Times New Roman"/>
          <w:sz w:val="22"/>
          <w:szCs w:val="22"/>
          <w:u w:val="single"/>
          <w:lang w:val="en-US"/>
        </w:rPr>
        <w:t>ml</w:t>
      </w:r>
      <w:r w:rsidR="002314CE" w:rsidRPr="00397A42">
        <w:rPr>
          <w:rFonts w:ascii="Times New Roman" w:hAnsi="Times New Roman"/>
          <w:sz w:val="22"/>
          <w:szCs w:val="22"/>
          <w:u w:val="single"/>
          <w:lang w:val="el-GR"/>
        </w:rPr>
        <w:t xml:space="preserve"> φιαλίδιο</w:t>
      </w:r>
      <w:r w:rsidRPr="00397A42">
        <w:rPr>
          <w:rFonts w:ascii="Times New Roman" w:hAnsi="Times New Roman"/>
          <w:sz w:val="22"/>
          <w:szCs w:val="22"/>
          <w:u w:val="single"/>
          <w:lang w:val="el-GR"/>
        </w:rPr>
        <w:t>:</w:t>
      </w:r>
      <w:r w:rsidRPr="00397A42">
        <w:rPr>
          <w:rFonts w:ascii="Times New Roman" w:hAnsi="Times New Roman"/>
          <w:sz w:val="22"/>
          <w:szCs w:val="22"/>
          <w:lang w:val="el-GR"/>
        </w:rPr>
        <w:t xml:space="preserve"> Φυλάσσεται σε ψυγείο (2</w:t>
      </w:r>
      <w:r w:rsidRPr="00397A42">
        <w:rPr>
          <w:rFonts w:ascii="Times New Roman" w:hAnsi="Times New Roman"/>
          <w:sz w:val="22"/>
          <w:szCs w:val="22"/>
          <w:vertAlign w:val="superscript"/>
          <w:lang w:val="el-GR"/>
        </w:rPr>
        <w:t>ο</w:t>
      </w:r>
      <w:r w:rsidRPr="00397A42">
        <w:rPr>
          <w:rFonts w:ascii="Times New Roman" w:hAnsi="Times New Roman"/>
          <w:sz w:val="22"/>
          <w:szCs w:val="22"/>
          <w:lang w:val="el-GR"/>
        </w:rPr>
        <w:t xml:space="preserve"> έως 8</w:t>
      </w:r>
      <w:r w:rsidRPr="00397A42">
        <w:rPr>
          <w:rFonts w:ascii="Times New Roman" w:hAnsi="Times New Roman"/>
          <w:sz w:val="22"/>
          <w:szCs w:val="22"/>
          <w:vertAlign w:val="superscript"/>
          <w:lang w:val="el-GR"/>
        </w:rPr>
        <w:t>ο</w:t>
      </w:r>
      <w:r w:rsidRPr="00397A42">
        <w:rPr>
          <w:rFonts w:ascii="Times New Roman" w:hAnsi="Times New Roman"/>
          <w:sz w:val="22"/>
          <w:szCs w:val="22"/>
          <w:lang w:val="el-GR"/>
        </w:rPr>
        <w:t xml:space="preserve"> C)</w:t>
      </w:r>
      <w:r w:rsidR="001C0677" w:rsidRPr="00397A42">
        <w:rPr>
          <w:rFonts w:ascii="Times New Roman" w:hAnsi="Times New Roman"/>
          <w:sz w:val="22"/>
          <w:szCs w:val="22"/>
          <w:lang w:val="el-GR"/>
        </w:rPr>
        <w:t>.</w:t>
      </w:r>
      <w:r w:rsidR="006330CC" w:rsidRPr="00397A42">
        <w:rPr>
          <w:rFonts w:ascii="Times New Roman" w:hAnsi="Times New Roman"/>
          <w:sz w:val="22"/>
          <w:szCs w:val="22"/>
          <w:lang w:val="el-GR"/>
        </w:rPr>
        <w:t xml:space="preserve"> </w:t>
      </w:r>
      <w:r w:rsidR="001C0677" w:rsidRPr="00397A42">
        <w:rPr>
          <w:rFonts w:ascii="Times New Roman" w:hAnsi="Times New Roman"/>
          <w:sz w:val="22"/>
          <w:szCs w:val="22"/>
          <w:lang w:val="el-GR"/>
        </w:rPr>
        <w:t xml:space="preserve">Η φύλαξη του ενέσιμου διαλύματος σε ψυγείο πιθανόν να προκαλέσει το σχηματισμό ζελατινώδους προϊόντος. Αυτό θα επανέλθει σε ελαφρώς ιξώδες έως ευκίνητο διάλυμα μετά από </w:t>
      </w:r>
      <w:r w:rsidR="000D370C" w:rsidRPr="00397A42">
        <w:rPr>
          <w:rFonts w:ascii="Times New Roman" w:hAnsi="Times New Roman"/>
          <w:sz w:val="22"/>
          <w:szCs w:val="22"/>
          <w:lang w:val="el-GR"/>
        </w:rPr>
        <w:t xml:space="preserve">2 </w:t>
      </w:r>
      <w:r w:rsidR="001C0677" w:rsidRPr="00397A42">
        <w:rPr>
          <w:rFonts w:ascii="Times New Roman" w:hAnsi="Times New Roman"/>
          <w:sz w:val="22"/>
          <w:szCs w:val="22"/>
          <w:lang w:val="el-GR"/>
        </w:rPr>
        <w:t>έως 4 ώρες το μέγιστο, σε κατάσταση ισορροπίας και σε ελεγχόμενη θερμοκρασία δωματίου (15-25°</w:t>
      </w:r>
      <w:r w:rsidR="001C0677" w:rsidRPr="00397A42">
        <w:rPr>
          <w:rFonts w:ascii="Times New Roman" w:hAnsi="Times New Roman"/>
          <w:sz w:val="22"/>
          <w:szCs w:val="22"/>
        </w:rPr>
        <w:t>C</w:t>
      </w:r>
      <w:r w:rsidR="001C0677" w:rsidRPr="00397A42">
        <w:rPr>
          <w:rFonts w:ascii="Times New Roman" w:hAnsi="Times New Roman"/>
          <w:sz w:val="22"/>
          <w:szCs w:val="22"/>
          <w:lang w:val="el-GR"/>
        </w:rPr>
        <w:t>).</w:t>
      </w:r>
      <w:r w:rsidR="001C0677" w:rsidRPr="00397A42">
        <w:rPr>
          <w:rFonts w:ascii="Times New Roman" w:hAnsi="Times New Roman"/>
          <w:sz w:val="22"/>
          <w:szCs w:val="22"/>
          <w:u w:val="single"/>
          <w:lang w:val="el-GR"/>
        </w:rPr>
        <w:t xml:space="preserve"> </w:t>
      </w:r>
    </w:p>
    <w:p w:rsidR="00242FC7" w:rsidRPr="00397A42" w:rsidRDefault="00192B54" w:rsidP="00242FC7">
      <w:pPr>
        <w:jc w:val="both"/>
        <w:rPr>
          <w:sz w:val="22"/>
          <w:szCs w:val="22"/>
          <w:lang w:val="el-GR"/>
        </w:rPr>
      </w:pPr>
      <w:r w:rsidRPr="00397A42">
        <w:rPr>
          <w:rFonts w:ascii="Times New Roman" w:hAnsi="Times New Roman"/>
          <w:sz w:val="22"/>
          <w:szCs w:val="22"/>
          <w:lang w:val="el-GR"/>
        </w:rPr>
        <w:t xml:space="preserve">β. </w:t>
      </w:r>
      <w:r w:rsidRPr="00397A42">
        <w:rPr>
          <w:rFonts w:ascii="Times New Roman" w:hAnsi="Times New Roman"/>
          <w:sz w:val="22"/>
          <w:szCs w:val="22"/>
          <w:u w:val="single"/>
          <w:lang w:val="el-GR"/>
        </w:rPr>
        <w:t>Κόνις</w:t>
      </w:r>
      <w:r w:rsidR="00DB2580" w:rsidRPr="00397A42">
        <w:rPr>
          <w:rFonts w:ascii="Times New Roman" w:hAnsi="Times New Roman"/>
          <w:sz w:val="22"/>
          <w:szCs w:val="22"/>
          <w:u w:val="single"/>
          <w:lang w:val="el-GR"/>
        </w:rPr>
        <w:t xml:space="preserve"> και διαλύτης</w:t>
      </w:r>
      <w:r w:rsidRPr="00397A42">
        <w:rPr>
          <w:rFonts w:ascii="Times New Roman" w:hAnsi="Times New Roman"/>
          <w:sz w:val="22"/>
          <w:szCs w:val="22"/>
          <w:u w:val="single"/>
          <w:lang w:val="el-GR"/>
        </w:rPr>
        <w:t xml:space="preserve"> για ενέσιμο διάλυμα</w:t>
      </w:r>
      <w:r w:rsidR="005926B5" w:rsidRPr="00397A42">
        <w:rPr>
          <w:rFonts w:ascii="Times New Roman" w:hAnsi="Times New Roman"/>
          <w:sz w:val="22"/>
          <w:szCs w:val="22"/>
          <w:u w:val="single"/>
          <w:lang w:val="el-GR"/>
        </w:rPr>
        <w:t>, 10</w:t>
      </w:r>
      <w:r w:rsidR="005926B5" w:rsidRPr="00397A42">
        <w:rPr>
          <w:rFonts w:ascii="Times New Roman" w:hAnsi="Times New Roman"/>
          <w:sz w:val="22"/>
          <w:szCs w:val="22"/>
          <w:u w:val="single"/>
          <w:lang w:val="en-US"/>
        </w:rPr>
        <w:t>mg</w:t>
      </w:r>
      <w:r w:rsidR="005926B5" w:rsidRPr="00397A42">
        <w:rPr>
          <w:rFonts w:ascii="Times New Roman" w:hAnsi="Times New Roman"/>
          <w:sz w:val="22"/>
          <w:szCs w:val="22"/>
          <w:u w:val="single"/>
          <w:lang w:val="el-GR"/>
        </w:rPr>
        <w:t>/φιαλίδιο</w:t>
      </w:r>
      <w:r w:rsidRPr="00397A42">
        <w:rPr>
          <w:rFonts w:ascii="Times New Roman" w:hAnsi="Times New Roman"/>
          <w:sz w:val="22"/>
          <w:szCs w:val="22"/>
          <w:u w:val="single"/>
          <w:lang w:val="el-GR"/>
        </w:rPr>
        <w:t>:</w:t>
      </w:r>
      <w:r w:rsidRPr="00397A42">
        <w:rPr>
          <w:rFonts w:ascii="Times New Roman" w:hAnsi="Times New Roman"/>
          <w:sz w:val="22"/>
          <w:szCs w:val="22"/>
          <w:lang w:val="el-GR"/>
        </w:rPr>
        <w:t xml:space="preserve"> Φυλάσσεται σε </w:t>
      </w:r>
      <w:r w:rsidR="00242FC7" w:rsidRPr="00397A42">
        <w:rPr>
          <w:sz w:val="22"/>
          <w:szCs w:val="22"/>
          <w:lang w:val="el-GR"/>
        </w:rPr>
        <w:t>θερμοκρασία ≤ 25°</w:t>
      </w:r>
      <w:r w:rsidR="00242FC7" w:rsidRPr="00397A42">
        <w:rPr>
          <w:sz w:val="22"/>
          <w:szCs w:val="22"/>
        </w:rPr>
        <w:t>C</w:t>
      </w:r>
      <w:r w:rsidR="00242FC7" w:rsidRPr="00397A42">
        <w:rPr>
          <w:sz w:val="22"/>
          <w:szCs w:val="22"/>
          <w:lang w:val="el-GR"/>
        </w:rPr>
        <w:t>.</w:t>
      </w:r>
      <w:r w:rsidR="000D370C" w:rsidRPr="00397A42">
        <w:rPr>
          <w:sz w:val="22"/>
          <w:szCs w:val="22"/>
          <w:lang w:val="el-GR"/>
        </w:rPr>
        <w:t xml:space="preserve"> </w:t>
      </w:r>
      <w:r w:rsidR="00242FC7" w:rsidRPr="00397A42">
        <w:rPr>
          <w:sz w:val="22"/>
          <w:szCs w:val="22"/>
          <w:lang w:val="el-GR"/>
        </w:rPr>
        <w:t xml:space="preserve">Το ανασυσταμένο προϊόν είναι σταθερό για 24 ώρες σε θερμοκρασία δωματίου με προστασία από το </w:t>
      </w:r>
      <w:r w:rsidR="00B37A9C" w:rsidRPr="00397A42">
        <w:rPr>
          <w:sz w:val="22"/>
          <w:szCs w:val="22"/>
          <w:lang w:val="el-GR"/>
        </w:rPr>
        <w:t xml:space="preserve">φως </w:t>
      </w:r>
      <w:r w:rsidR="00242FC7" w:rsidRPr="00397A42">
        <w:rPr>
          <w:sz w:val="22"/>
          <w:szCs w:val="22"/>
          <w:lang w:val="el-GR"/>
        </w:rPr>
        <w:t>και για 48 ώρες σε ψυγείο (2</w:t>
      </w:r>
      <w:r w:rsidR="00242FC7" w:rsidRPr="00397A42">
        <w:rPr>
          <w:sz w:val="22"/>
          <w:szCs w:val="22"/>
          <w:vertAlign w:val="superscript"/>
          <w:lang w:val="el-GR"/>
        </w:rPr>
        <w:t>ο</w:t>
      </w:r>
      <w:r w:rsidR="00242FC7" w:rsidRPr="00397A42">
        <w:rPr>
          <w:sz w:val="22"/>
          <w:szCs w:val="22"/>
          <w:lang w:val="el-GR"/>
        </w:rPr>
        <w:t xml:space="preserve"> έως 8</w:t>
      </w:r>
      <w:r w:rsidR="00242FC7" w:rsidRPr="00397A42">
        <w:rPr>
          <w:sz w:val="22"/>
          <w:szCs w:val="22"/>
          <w:vertAlign w:val="superscript"/>
          <w:lang w:val="el-GR"/>
        </w:rPr>
        <w:t>ο</w:t>
      </w:r>
      <w:r w:rsidR="00242FC7" w:rsidRPr="00397A42">
        <w:rPr>
          <w:sz w:val="22"/>
          <w:szCs w:val="22"/>
          <w:lang w:val="el-GR"/>
        </w:rPr>
        <w:t xml:space="preserve"> C)</w:t>
      </w:r>
      <w:r w:rsidR="000D370C" w:rsidRPr="00397A42">
        <w:rPr>
          <w:sz w:val="22"/>
          <w:szCs w:val="22"/>
          <w:lang w:val="el-GR"/>
        </w:rPr>
        <w:t>.</w:t>
      </w:r>
    </w:p>
    <w:p w:rsidR="002E6474" w:rsidRPr="00397A42" w:rsidRDefault="003A2CF0" w:rsidP="002E6474">
      <w:pPr>
        <w:rPr>
          <w:rFonts w:ascii="Times New Roman" w:hAnsi="Times New Roman"/>
          <w:sz w:val="22"/>
          <w:szCs w:val="22"/>
          <w:lang w:val="el-GR"/>
        </w:rPr>
      </w:pPr>
      <w:r w:rsidRPr="00397A42">
        <w:rPr>
          <w:rFonts w:ascii="Times New Roman" w:hAnsi="Times New Roman"/>
          <w:sz w:val="22"/>
          <w:szCs w:val="22"/>
          <w:lang w:val="el-GR"/>
        </w:rPr>
        <w:t>γ.</w:t>
      </w:r>
      <w:r w:rsidR="00C46C64" w:rsidRPr="00397A42">
        <w:rPr>
          <w:rFonts w:ascii="Times New Roman" w:hAnsi="Times New Roman"/>
          <w:sz w:val="22"/>
          <w:szCs w:val="22"/>
          <w:lang w:val="el-GR"/>
        </w:rPr>
        <w:t xml:space="preserve"> </w:t>
      </w:r>
      <w:r w:rsidRPr="00397A42">
        <w:rPr>
          <w:rFonts w:ascii="Times New Roman" w:hAnsi="Times New Roman"/>
          <w:sz w:val="22"/>
          <w:szCs w:val="22"/>
          <w:u w:val="single"/>
          <w:lang w:val="el-GR"/>
        </w:rPr>
        <w:t>Κόνις για ενέσιμο διάλυμα</w:t>
      </w:r>
      <w:r w:rsidR="005926B5" w:rsidRPr="00397A42">
        <w:rPr>
          <w:rFonts w:ascii="Times New Roman" w:hAnsi="Times New Roman"/>
          <w:sz w:val="22"/>
          <w:szCs w:val="22"/>
          <w:u w:val="single"/>
          <w:lang w:val="el-GR"/>
        </w:rPr>
        <w:t>, 50</w:t>
      </w:r>
      <w:r w:rsidR="005926B5" w:rsidRPr="00397A42">
        <w:rPr>
          <w:rFonts w:ascii="Times New Roman" w:hAnsi="Times New Roman"/>
          <w:sz w:val="22"/>
          <w:szCs w:val="22"/>
          <w:u w:val="single"/>
          <w:lang w:val="en-US"/>
        </w:rPr>
        <w:t>mg</w:t>
      </w:r>
      <w:r w:rsidR="005926B5" w:rsidRPr="00397A42">
        <w:rPr>
          <w:rFonts w:ascii="Times New Roman" w:hAnsi="Times New Roman"/>
          <w:sz w:val="22"/>
          <w:szCs w:val="22"/>
          <w:u w:val="single"/>
          <w:lang w:val="el-GR"/>
        </w:rPr>
        <w:t>/φιαλίδιο</w:t>
      </w:r>
      <w:r w:rsidRPr="00397A42">
        <w:rPr>
          <w:rFonts w:ascii="Times New Roman" w:hAnsi="Times New Roman"/>
          <w:sz w:val="22"/>
          <w:szCs w:val="22"/>
          <w:u w:val="single"/>
          <w:lang w:val="el-GR"/>
        </w:rPr>
        <w:t>:</w:t>
      </w:r>
      <w:r w:rsidRPr="00397A42">
        <w:rPr>
          <w:rFonts w:ascii="Times New Roman" w:hAnsi="Times New Roman"/>
          <w:sz w:val="22"/>
          <w:szCs w:val="22"/>
          <w:lang w:val="el-GR"/>
        </w:rPr>
        <w:t xml:space="preserve"> </w:t>
      </w:r>
      <w:r w:rsidR="002E6474" w:rsidRPr="00397A42">
        <w:rPr>
          <w:rFonts w:ascii="Times New Roman" w:hAnsi="Times New Roman"/>
          <w:sz w:val="22"/>
          <w:szCs w:val="22"/>
          <w:lang w:val="el-GR"/>
        </w:rPr>
        <w:t xml:space="preserve">Φυλάσσεται σε θερμοκρασία </w:t>
      </w:r>
      <w:r w:rsidR="00242FC7" w:rsidRPr="00397A42">
        <w:rPr>
          <w:sz w:val="22"/>
          <w:szCs w:val="22"/>
          <w:lang w:val="el-GR"/>
        </w:rPr>
        <w:t>≤ 25°</w:t>
      </w:r>
      <w:r w:rsidR="00242FC7" w:rsidRPr="00397A42">
        <w:rPr>
          <w:sz w:val="22"/>
          <w:szCs w:val="22"/>
        </w:rPr>
        <w:t>C</w:t>
      </w:r>
      <w:r w:rsidR="002E6474" w:rsidRPr="00397A42">
        <w:rPr>
          <w:rFonts w:ascii="Times New Roman" w:hAnsi="Times New Roman"/>
          <w:sz w:val="22"/>
          <w:szCs w:val="22"/>
          <w:lang w:val="el-GR"/>
        </w:rPr>
        <w:t>.</w:t>
      </w:r>
    </w:p>
    <w:p w:rsidR="002E6474" w:rsidRPr="00397A42" w:rsidRDefault="002E6474" w:rsidP="002E6474">
      <w:pPr>
        <w:rPr>
          <w:rFonts w:ascii="Times New Roman" w:hAnsi="Times New Roman"/>
          <w:sz w:val="22"/>
          <w:szCs w:val="22"/>
          <w:lang w:val="el-GR"/>
        </w:rPr>
      </w:pPr>
      <w:r w:rsidRPr="00397A42">
        <w:rPr>
          <w:rFonts w:ascii="Times New Roman" w:hAnsi="Times New Roman"/>
          <w:sz w:val="22"/>
          <w:szCs w:val="22"/>
          <w:lang w:val="el-GR"/>
        </w:rPr>
        <w:t>Το ανασυσταμένο προϊόν είναι σταθερό για 24 ώρες σε θερμοκρασία δωματίου και για 48 ώρες σε ψυγείο (2</w:t>
      </w:r>
      <w:r w:rsidRPr="00397A42">
        <w:rPr>
          <w:rFonts w:ascii="Times New Roman" w:hAnsi="Times New Roman"/>
          <w:sz w:val="22"/>
          <w:szCs w:val="22"/>
          <w:vertAlign w:val="superscript"/>
          <w:lang w:val="el-GR"/>
        </w:rPr>
        <w:t>ο</w:t>
      </w:r>
      <w:r w:rsidRPr="00397A42">
        <w:rPr>
          <w:rFonts w:ascii="Times New Roman" w:hAnsi="Times New Roman"/>
          <w:sz w:val="22"/>
          <w:szCs w:val="22"/>
          <w:lang w:val="el-GR"/>
        </w:rPr>
        <w:t xml:space="preserve"> έως 8</w:t>
      </w:r>
      <w:r w:rsidRPr="00397A42">
        <w:rPr>
          <w:rFonts w:ascii="Times New Roman" w:hAnsi="Times New Roman"/>
          <w:sz w:val="22"/>
          <w:szCs w:val="22"/>
          <w:vertAlign w:val="superscript"/>
          <w:lang w:val="el-GR"/>
        </w:rPr>
        <w:t xml:space="preserve"> ο</w:t>
      </w:r>
      <w:r w:rsidRPr="00397A42">
        <w:rPr>
          <w:rFonts w:ascii="Times New Roman" w:hAnsi="Times New Roman"/>
          <w:sz w:val="22"/>
          <w:szCs w:val="22"/>
          <w:lang w:val="el-GR"/>
        </w:rPr>
        <w:t xml:space="preserve"> C).</w:t>
      </w:r>
    </w:p>
    <w:p w:rsidR="00192B54" w:rsidRPr="00397A42" w:rsidRDefault="00192B54">
      <w:pPr>
        <w:rPr>
          <w:rFonts w:ascii="Times New Roman" w:hAnsi="Times New Roman"/>
          <w:sz w:val="22"/>
          <w:szCs w:val="22"/>
          <w:lang w:val="el-GR"/>
        </w:rPr>
      </w:pPr>
    </w:p>
    <w:p w:rsidR="00192B54" w:rsidRPr="00397A42" w:rsidRDefault="00B741CD" w:rsidP="00B741CD">
      <w:pPr>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t xml:space="preserve">2.12 </w:t>
      </w:r>
      <w:r w:rsidR="00192B54" w:rsidRPr="00397A42">
        <w:rPr>
          <w:rFonts w:ascii="Times New Roman" w:hAnsi="Times New Roman"/>
          <w:b/>
          <w:sz w:val="22"/>
          <w:szCs w:val="22"/>
          <w:lang w:val="el-GR"/>
        </w:rPr>
        <w:t>Ημερομηνία τελευταίας αναθεώρησης του φύλλου οδηγιών</w:t>
      </w:r>
    </w:p>
    <w:p w:rsidR="00A848BA" w:rsidRPr="00397A42" w:rsidRDefault="002220CE" w:rsidP="002220CE">
      <w:pPr>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t xml:space="preserve"> </w:t>
      </w:r>
    </w:p>
    <w:p w:rsidR="002220CE" w:rsidRPr="00397A42" w:rsidRDefault="00A848BA" w:rsidP="002220CE">
      <w:pPr>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br w:type="page"/>
      </w:r>
    </w:p>
    <w:tbl>
      <w:tblPr>
        <w:tblW w:w="8388" w:type="dxa"/>
        <w:tblInd w:w="441" w:type="dxa"/>
        <w:tblLayout w:type="fixed"/>
        <w:tblLook w:val="0000"/>
      </w:tblPr>
      <w:tblGrid>
        <w:gridCol w:w="8388"/>
      </w:tblGrid>
      <w:tr w:rsidR="00192B54" w:rsidRPr="00397A42">
        <w:tc>
          <w:tcPr>
            <w:tcW w:w="8388" w:type="dxa"/>
          </w:tcPr>
          <w:p w:rsidR="00192B54" w:rsidRPr="00397A42" w:rsidRDefault="00192B54">
            <w:pPr>
              <w:spacing w:line="240" w:lineRule="atLeast"/>
              <w:jc w:val="both"/>
              <w:rPr>
                <w:rFonts w:ascii="Times New Roman" w:hAnsi="Times New Roman"/>
                <w:sz w:val="22"/>
                <w:szCs w:val="22"/>
                <w:lang w:val="el-GR"/>
              </w:rPr>
            </w:pPr>
            <w:r w:rsidRPr="00397A42">
              <w:rPr>
                <w:rFonts w:ascii="Times New Roman" w:hAnsi="Times New Roman"/>
                <w:b/>
                <w:sz w:val="22"/>
                <w:szCs w:val="22"/>
                <w:lang w:val="el-GR"/>
              </w:rPr>
              <w:lastRenderedPageBreak/>
              <w:t>3.</w:t>
            </w:r>
            <w:r w:rsidRPr="00397A42">
              <w:rPr>
                <w:rFonts w:ascii="Times New Roman" w:hAnsi="Times New Roman"/>
                <w:b/>
                <w:sz w:val="22"/>
                <w:szCs w:val="22"/>
                <w:lang w:val="el-GR"/>
              </w:rPr>
              <w:tab/>
              <w:t>ΠΛΗΡΟΦΟΡΙΕΣ ΓΙΑ ΤΗΝ ΟΡΘΟΛΟΓΙΚΗ ΧΡΗΣΗ ΤΩΝ ΦΑΡΜΑΚΩΝ</w:t>
            </w:r>
          </w:p>
        </w:tc>
      </w:tr>
    </w:tbl>
    <w:p w:rsidR="00192B54" w:rsidRPr="00397A42" w:rsidRDefault="00192B54">
      <w:pPr>
        <w:spacing w:line="240" w:lineRule="atLeast"/>
        <w:jc w:val="both"/>
        <w:rPr>
          <w:rFonts w:ascii="Times New Roman" w:hAnsi="Times New Roman"/>
          <w:sz w:val="22"/>
          <w:szCs w:val="22"/>
          <w:lang w:val="el-GR"/>
        </w:rPr>
      </w:pPr>
    </w:p>
    <w:tbl>
      <w:tblPr>
        <w:tblW w:w="0" w:type="auto"/>
        <w:tblInd w:w="567" w:type="dxa"/>
        <w:tblLayout w:type="fixed"/>
        <w:tblLook w:val="0000"/>
      </w:tblPr>
      <w:tblGrid>
        <w:gridCol w:w="8133"/>
      </w:tblGrid>
      <w:tr w:rsidR="00192B54" w:rsidRPr="00397A42">
        <w:trPr>
          <w:cantSplit/>
        </w:trPr>
        <w:tc>
          <w:tcPr>
            <w:tcW w:w="8133" w:type="dxa"/>
          </w:tcPr>
          <w:p w:rsidR="00192B54" w:rsidRPr="00397A42" w:rsidRDefault="00192B54">
            <w:pPr>
              <w:numPr>
                <w:ilvl w:val="0"/>
                <w:numId w:val="5"/>
              </w:num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 xml:space="preserve">Το φάρμακο αυτό σας </w:t>
            </w:r>
            <w:r w:rsidR="000D370C" w:rsidRPr="00397A42">
              <w:rPr>
                <w:rFonts w:ascii="Times New Roman" w:hAnsi="Times New Roman"/>
                <w:sz w:val="22"/>
                <w:szCs w:val="22"/>
                <w:lang w:val="el-GR"/>
              </w:rPr>
              <w:t>το συνταγογράφησε</w:t>
            </w:r>
            <w:r w:rsidRPr="00397A42">
              <w:rPr>
                <w:rFonts w:ascii="Times New Roman" w:hAnsi="Times New Roman"/>
                <w:sz w:val="22"/>
                <w:szCs w:val="22"/>
                <w:lang w:val="el-GR"/>
              </w:rPr>
              <w:t xml:space="preserve"> ο γιατρός σας μόνο για το συγκεκριμένο ιατρικό σας πρόβλημα. </w:t>
            </w:r>
          </w:p>
          <w:p w:rsidR="00192B54" w:rsidRPr="00397A42" w:rsidRDefault="00192B54">
            <w:pPr>
              <w:numPr>
                <w:ilvl w:val="0"/>
                <w:numId w:val="5"/>
              </w:num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 xml:space="preserve">Δεν θα πρέπει να το </w:t>
            </w:r>
            <w:r w:rsidR="00A6204E" w:rsidRPr="00397A42">
              <w:rPr>
                <w:rFonts w:ascii="Times New Roman" w:hAnsi="Times New Roman"/>
                <w:sz w:val="22"/>
                <w:szCs w:val="22"/>
                <w:lang w:val="el-GR"/>
              </w:rPr>
              <w:t xml:space="preserve">δίνετε σε άλλα άτομα ή να το </w:t>
            </w:r>
            <w:r w:rsidRPr="00397A42">
              <w:rPr>
                <w:rFonts w:ascii="Times New Roman" w:hAnsi="Times New Roman"/>
                <w:sz w:val="22"/>
                <w:szCs w:val="22"/>
                <w:lang w:val="el-GR"/>
              </w:rPr>
              <w:t>χρησιμοποιείτε για κάποια ά</w:t>
            </w:r>
            <w:r w:rsidR="00673883" w:rsidRPr="00397A42">
              <w:rPr>
                <w:rFonts w:ascii="Times New Roman" w:hAnsi="Times New Roman"/>
                <w:sz w:val="22"/>
                <w:szCs w:val="22"/>
                <w:lang w:val="el-GR"/>
              </w:rPr>
              <w:t xml:space="preserve">λλη πάθηση, χωρίς προηγουμένως </w:t>
            </w:r>
            <w:r w:rsidRPr="00397A42">
              <w:rPr>
                <w:rFonts w:ascii="Times New Roman" w:hAnsi="Times New Roman"/>
                <w:sz w:val="22"/>
                <w:szCs w:val="22"/>
                <w:lang w:val="el-GR"/>
              </w:rPr>
              <w:t>να έχετε συμβουλευτεί το γιατρό σας.</w:t>
            </w:r>
          </w:p>
        </w:tc>
      </w:tr>
      <w:tr w:rsidR="00192B54" w:rsidRPr="00397A42">
        <w:trPr>
          <w:cantSplit/>
        </w:trPr>
        <w:tc>
          <w:tcPr>
            <w:tcW w:w="8133" w:type="dxa"/>
          </w:tcPr>
          <w:p w:rsidR="00192B54" w:rsidRPr="00397A42" w:rsidRDefault="00192B54">
            <w:pPr>
              <w:numPr>
                <w:ilvl w:val="0"/>
                <w:numId w:val="5"/>
              </w:num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Εάν κατά τη διάρκεια της θεραπείας εμφανισθεί κάποιο πρόβλημα με το φάρμακο, ενημερώστε αμέσως το γιατρό σας ή το φαρμακοποιό σας.</w:t>
            </w:r>
          </w:p>
        </w:tc>
      </w:tr>
      <w:tr w:rsidR="00192B54" w:rsidRPr="00397A42">
        <w:trPr>
          <w:cantSplit/>
        </w:trPr>
        <w:tc>
          <w:tcPr>
            <w:tcW w:w="8133" w:type="dxa"/>
          </w:tcPr>
          <w:p w:rsidR="00192B54" w:rsidRPr="00397A42" w:rsidRDefault="00192B54">
            <w:pPr>
              <w:numPr>
                <w:ilvl w:val="0"/>
                <w:numId w:val="5"/>
              </w:num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Εάν έχετε οποιαδήποτε ερωτηματικά γύρω από τις πληροφορίες που αφορούν το φάρμακο που λαμβάνετε ή χρειάζεστε καλύτερη ενημέρωση για το ιατρικό σας πρόβλημα μη διστάσετε να ζητήσετε τις πληροφορίες αυτές από το γιατρό ή το φαρμακοποιό σας</w:t>
            </w:r>
            <w:r w:rsidR="000D370C" w:rsidRPr="00397A42">
              <w:rPr>
                <w:rFonts w:ascii="Times New Roman" w:hAnsi="Times New Roman"/>
                <w:sz w:val="22"/>
                <w:szCs w:val="22"/>
                <w:lang w:val="el-GR"/>
              </w:rPr>
              <w:t>.</w:t>
            </w:r>
          </w:p>
        </w:tc>
      </w:tr>
      <w:tr w:rsidR="00192B54" w:rsidRPr="00397A42">
        <w:trPr>
          <w:cantSplit/>
        </w:trPr>
        <w:tc>
          <w:tcPr>
            <w:tcW w:w="8133" w:type="dxa"/>
          </w:tcPr>
          <w:p w:rsidR="00192B54" w:rsidRPr="00397A42" w:rsidRDefault="00192B54">
            <w:pPr>
              <w:numPr>
                <w:ilvl w:val="0"/>
                <w:numId w:val="5"/>
              </w:num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Για να είναι αποτελεσματικό και ασφαλές το φάρμακο που σας χορηγήθηκε θα πρέπει να λαμβάνεται σύμφωνα με τις οδηγίες που σας δόθηκαν.</w:t>
            </w:r>
          </w:p>
        </w:tc>
      </w:tr>
      <w:tr w:rsidR="00192B54" w:rsidRPr="00397A42">
        <w:trPr>
          <w:cantSplit/>
        </w:trPr>
        <w:tc>
          <w:tcPr>
            <w:tcW w:w="8133" w:type="dxa"/>
          </w:tcPr>
          <w:p w:rsidR="00192B54" w:rsidRPr="00397A42" w:rsidRDefault="00192B54">
            <w:pPr>
              <w:numPr>
                <w:ilvl w:val="0"/>
                <w:numId w:val="5"/>
              </w:num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Για την ασφάλεια και την υγεία σας είναι απαραίτητο να διαβάσετε με προσοχή κάθε πληροφορία που αφορά το φάρμακο που σας χορηγήθηκε.</w:t>
            </w:r>
          </w:p>
        </w:tc>
      </w:tr>
      <w:tr w:rsidR="00192B54" w:rsidRPr="00397A42">
        <w:trPr>
          <w:cantSplit/>
        </w:trPr>
        <w:tc>
          <w:tcPr>
            <w:tcW w:w="8133" w:type="dxa"/>
          </w:tcPr>
          <w:p w:rsidR="00192B54" w:rsidRPr="00397A42" w:rsidRDefault="00192B54" w:rsidP="00162A35">
            <w:pPr>
              <w:numPr>
                <w:ilvl w:val="0"/>
                <w:numId w:val="5"/>
              </w:num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Μη διατηρείτε τα φάρμακα σε ερμάρια του λουτρού, διότι η ζέστη και η υγρασία μπορεί να τα αλλοιώσουν και να τ</w:t>
            </w:r>
            <w:r w:rsidR="00162A35" w:rsidRPr="00397A42">
              <w:rPr>
                <w:rFonts w:ascii="Times New Roman" w:hAnsi="Times New Roman"/>
                <w:sz w:val="22"/>
                <w:szCs w:val="22"/>
                <w:lang w:val="el-GR"/>
              </w:rPr>
              <w:t>α</w:t>
            </w:r>
            <w:r w:rsidRPr="00397A42">
              <w:rPr>
                <w:rFonts w:ascii="Times New Roman" w:hAnsi="Times New Roman"/>
                <w:sz w:val="22"/>
                <w:szCs w:val="22"/>
                <w:lang w:val="el-GR"/>
              </w:rPr>
              <w:t xml:space="preserve"> καταστήσουν επιβλαβή για την υγεία σας.</w:t>
            </w:r>
          </w:p>
        </w:tc>
      </w:tr>
      <w:tr w:rsidR="00192B54" w:rsidRPr="00397A42">
        <w:trPr>
          <w:cantSplit/>
        </w:trPr>
        <w:tc>
          <w:tcPr>
            <w:tcW w:w="8133" w:type="dxa"/>
          </w:tcPr>
          <w:p w:rsidR="00192B54" w:rsidRPr="00397A42" w:rsidRDefault="00192B54">
            <w:pPr>
              <w:numPr>
                <w:ilvl w:val="0"/>
                <w:numId w:val="5"/>
              </w:num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Μην κρατάτε φάρμακα που δεν</w:t>
            </w:r>
            <w:r w:rsidR="00673883" w:rsidRPr="00397A42">
              <w:rPr>
                <w:rFonts w:ascii="Times New Roman" w:hAnsi="Times New Roman"/>
                <w:sz w:val="22"/>
                <w:szCs w:val="22"/>
                <w:lang w:val="el-GR"/>
              </w:rPr>
              <w:t xml:space="preserve"> τα χρειάζεστε ή που ήδη έχουν </w:t>
            </w:r>
            <w:r w:rsidRPr="00397A42">
              <w:rPr>
                <w:rFonts w:ascii="Times New Roman" w:hAnsi="Times New Roman"/>
                <w:sz w:val="22"/>
                <w:szCs w:val="22"/>
                <w:lang w:val="el-GR"/>
              </w:rPr>
              <w:t>λήξει.</w:t>
            </w:r>
          </w:p>
        </w:tc>
      </w:tr>
      <w:tr w:rsidR="00192B54" w:rsidRPr="00397A42">
        <w:trPr>
          <w:cantSplit/>
        </w:trPr>
        <w:tc>
          <w:tcPr>
            <w:tcW w:w="8133" w:type="dxa"/>
          </w:tcPr>
          <w:p w:rsidR="00192B54" w:rsidRPr="00397A42" w:rsidRDefault="00192B54">
            <w:pPr>
              <w:numPr>
                <w:ilvl w:val="0"/>
                <w:numId w:val="5"/>
              </w:num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Για μεγαλύτερη ασφάλεια κρατάτε ό</w:t>
            </w:r>
            <w:r w:rsidR="00673883" w:rsidRPr="00397A42">
              <w:rPr>
                <w:rFonts w:ascii="Times New Roman" w:hAnsi="Times New Roman"/>
                <w:sz w:val="22"/>
                <w:szCs w:val="22"/>
                <w:lang w:val="el-GR"/>
              </w:rPr>
              <w:t xml:space="preserve">λα τα φάρμακα σε ασφαλές μέρος </w:t>
            </w:r>
            <w:r w:rsidRPr="00397A42">
              <w:rPr>
                <w:rFonts w:ascii="Times New Roman" w:hAnsi="Times New Roman"/>
                <w:sz w:val="22"/>
                <w:szCs w:val="22"/>
                <w:lang w:val="el-GR"/>
              </w:rPr>
              <w:t>μακριά από τα παιδιά.</w:t>
            </w:r>
          </w:p>
        </w:tc>
      </w:tr>
    </w:tbl>
    <w:p w:rsidR="00C46C64" w:rsidRPr="00397A42" w:rsidRDefault="00C46C64">
      <w:pPr>
        <w:spacing w:line="360" w:lineRule="atLeast"/>
        <w:jc w:val="both"/>
        <w:rPr>
          <w:rFonts w:ascii="Times New Roman" w:hAnsi="Times New Roman"/>
          <w:b/>
          <w:sz w:val="22"/>
          <w:szCs w:val="22"/>
          <w:lang w:val="el-GR"/>
        </w:rPr>
      </w:pPr>
    </w:p>
    <w:p w:rsidR="00673883" w:rsidRPr="00397A42" w:rsidRDefault="00673883">
      <w:pPr>
        <w:spacing w:line="360" w:lineRule="atLeast"/>
        <w:jc w:val="both"/>
        <w:rPr>
          <w:rFonts w:ascii="Times New Roman" w:hAnsi="Times New Roman"/>
          <w:b/>
          <w:sz w:val="22"/>
          <w:szCs w:val="22"/>
          <w:lang w:val="el-GR"/>
        </w:rPr>
      </w:pPr>
    </w:p>
    <w:tbl>
      <w:tblPr>
        <w:tblW w:w="0" w:type="auto"/>
        <w:tblLayout w:type="fixed"/>
        <w:tblLook w:val="0000"/>
      </w:tblPr>
      <w:tblGrid>
        <w:gridCol w:w="5598"/>
      </w:tblGrid>
      <w:tr w:rsidR="00192B54" w:rsidRPr="00397A42">
        <w:tc>
          <w:tcPr>
            <w:tcW w:w="5598" w:type="dxa"/>
          </w:tcPr>
          <w:p w:rsidR="00192B54" w:rsidRPr="00397A42" w:rsidRDefault="00673883">
            <w:pPr>
              <w:spacing w:line="240" w:lineRule="atLeast"/>
              <w:jc w:val="both"/>
              <w:rPr>
                <w:rFonts w:ascii="Times New Roman" w:hAnsi="Times New Roman"/>
                <w:b/>
                <w:sz w:val="22"/>
                <w:szCs w:val="22"/>
                <w:lang w:val="el-GR"/>
              </w:rPr>
            </w:pPr>
            <w:r w:rsidRPr="00397A42">
              <w:rPr>
                <w:rFonts w:ascii="Times New Roman" w:hAnsi="Times New Roman"/>
                <w:b/>
                <w:sz w:val="22"/>
                <w:szCs w:val="22"/>
                <w:lang w:val="el-GR"/>
              </w:rPr>
              <w:t>4.</w:t>
            </w:r>
            <w:r w:rsidR="00192B54" w:rsidRPr="00397A42">
              <w:rPr>
                <w:rFonts w:ascii="Times New Roman" w:hAnsi="Times New Roman"/>
                <w:b/>
                <w:sz w:val="22"/>
                <w:szCs w:val="22"/>
                <w:lang w:val="el-GR"/>
              </w:rPr>
              <w:t>ΤΡΟΠΟΣ ΔΙΑΘΕΣΗΣ</w:t>
            </w:r>
          </w:p>
        </w:tc>
      </w:tr>
    </w:tbl>
    <w:p w:rsidR="00192B54" w:rsidRPr="00397A42" w:rsidRDefault="00192B54">
      <w:pPr>
        <w:spacing w:line="240" w:lineRule="atLeast"/>
        <w:jc w:val="both"/>
        <w:rPr>
          <w:rFonts w:ascii="Times New Roman" w:hAnsi="Times New Roman"/>
          <w:b/>
          <w:sz w:val="22"/>
          <w:szCs w:val="22"/>
          <w:lang w:val="el-GR"/>
        </w:rPr>
      </w:pPr>
    </w:p>
    <w:p w:rsidR="00192B54" w:rsidRPr="00397A42" w:rsidRDefault="00162A35">
      <w:pPr>
        <w:spacing w:line="240" w:lineRule="atLeast"/>
        <w:jc w:val="both"/>
        <w:rPr>
          <w:rFonts w:ascii="Times New Roman" w:hAnsi="Times New Roman"/>
          <w:sz w:val="22"/>
          <w:szCs w:val="22"/>
          <w:lang w:val="el-GR"/>
        </w:rPr>
      </w:pPr>
      <w:r w:rsidRPr="00397A42">
        <w:rPr>
          <w:rFonts w:ascii="Times New Roman" w:hAnsi="Times New Roman"/>
          <w:sz w:val="22"/>
          <w:szCs w:val="22"/>
          <w:lang w:val="el-GR"/>
        </w:rPr>
        <w:t>Μ</w:t>
      </w:r>
      <w:r w:rsidR="00192B54" w:rsidRPr="00397A42">
        <w:rPr>
          <w:rFonts w:ascii="Times New Roman" w:hAnsi="Times New Roman"/>
          <w:sz w:val="22"/>
          <w:szCs w:val="22"/>
          <w:lang w:val="el-GR"/>
        </w:rPr>
        <w:t xml:space="preserve">ε </w:t>
      </w:r>
      <w:r w:rsidRPr="00397A42">
        <w:rPr>
          <w:rFonts w:ascii="Times New Roman" w:hAnsi="Times New Roman"/>
          <w:sz w:val="22"/>
          <w:szCs w:val="22"/>
          <w:lang w:val="el-GR"/>
        </w:rPr>
        <w:t xml:space="preserve">περιορισμένη </w:t>
      </w:r>
      <w:r w:rsidR="00192B54" w:rsidRPr="00397A42">
        <w:rPr>
          <w:rFonts w:ascii="Times New Roman" w:hAnsi="Times New Roman"/>
          <w:sz w:val="22"/>
          <w:szCs w:val="22"/>
          <w:lang w:val="el-GR"/>
        </w:rPr>
        <w:t>ιατρική συνταγή</w:t>
      </w:r>
      <w:r w:rsidRPr="00397A42">
        <w:rPr>
          <w:rFonts w:ascii="Times New Roman" w:hAnsi="Times New Roman"/>
          <w:sz w:val="22"/>
          <w:szCs w:val="22"/>
          <w:lang w:val="el-GR"/>
        </w:rPr>
        <w:t>: Μόνο για νοσοκομειακή χρήση</w:t>
      </w:r>
      <w:r w:rsidR="00192B54" w:rsidRPr="00397A42">
        <w:rPr>
          <w:rFonts w:ascii="Times New Roman" w:hAnsi="Times New Roman"/>
          <w:sz w:val="22"/>
          <w:szCs w:val="22"/>
          <w:lang w:val="el-GR"/>
        </w:rPr>
        <w:t>.</w:t>
      </w:r>
    </w:p>
    <w:sectPr w:rsidR="00192B54" w:rsidRPr="00397A42" w:rsidSect="00204066">
      <w:footerReference w:type="defaul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C5" w:rsidRDefault="00F31CC5">
      <w:r>
        <w:separator/>
      </w:r>
    </w:p>
  </w:endnote>
  <w:endnote w:type="continuationSeparator" w:id="0">
    <w:p w:rsidR="00F31CC5" w:rsidRDefault="00F3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Times New Roman"/>
    <w:charset w:val="00"/>
    <w:family w:val="auto"/>
    <w:pitch w:val="variable"/>
    <w:sig w:usb0="00000087" w:usb1="00000000" w:usb2="00000000" w:usb3="00000000" w:csb0="0000001B"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7A" w:rsidRPr="00E100C2" w:rsidRDefault="00204066">
    <w:pPr>
      <w:pStyle w:val="a7"/>
      <w:jc w:val="center"/>
      <w:rPr>
        <w:rFonts w:ascii="Arial" w:hAnsi="Arial" w:cs="Arial"/>
        <w:sz w:val="16"/>
        <w:szCs w:val="16"/>
      </w:rPr>
    </w:pPr>
    <w:r w:rsidRPr="00E100C2">
      <w:rPr>
        <w:rFonts w:ascii="Arial" w:hAnsi="Arial" w:cs="Arial"/>
        <w:sz w:val="16"/>
        <w:szCs w:val="16"/>
      </w:rPr>
      <w:fldChar w:fldCharType="begin"/>
    </w:r>
    <w:r w:rsidR="0036667A" w:rsidRPr="00E100C2">
      <w:rPr>
        <w:rFonts w:ascii="Arial" w:hAnsi="Arial" w:cs="Arial"/>
        <w:sz w:val="16"/>
        <w:szCs w:val="16"/>
      </w:rPr>
      <w:instrText xml:space="preserve"> PAGE   \* MERGEFORMAT </w:instrText>
    </w:r>
    <w:r w:rsidRPr="00E100C2">
      <w:rPr>
        <w:rFonts w:ascii="Arial" w:hAnsi="Arial" w:cs="Arial"/>
        <w:sz w:val="16"/>
        <w:szCs w:val="16"/>
      </w:rPr>
      <w:fldChar w:fldCharType="separate"/>
    </w:r>
    <w:r w:rsidR="004A03A0">
      <w:rPr>
        <w:rFonts w:ascii="Arial" w:hAnsi="Arial" w:cs="Arial"/>
        <w:noProof/>
        <w:sz w:val="16"/>
        <w:szCs w:val="16"/>
      </w:rPr>
      <w:t>17</w:t>
    </w:r>
    <w:r w:rsidRPr="00E100C2">
      <w:rPr>
        <w:rFonts w:ascii="Arial" w:hAnsi="Arial" w:cs="Arial"/>
        <w:sz w:val="16"/>
        <w:szCs w:val="16"/>
      </w:rPr>
      <w:fldChar w:fldCharType="end"/>
    </w:r>
  </w:p>
  <w:p w:rsidR="0036667A" w:rsidRPr="00736B3F" w:rsidRDefault="0036667A">
    <w:pPr>
      <w:pStyle w:val="a7"/>
      <w:rPr>
        <w:rFonts w:ascii="Times New Roman" w:hAnsi="Times New Roman"/>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C5" w:rsidRDefault="00F31CC5">
      <w:r>
        <w:separator/>
      </w:r>
    </w:p>
  </w:footnote>
  <w:footnote w:type="continuationSeparator" w:id="0">
    <w:p w:rsidR="00F31CC5" w:rsidRDefault="00F3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2132"/>
    <w:multiLevelType w:val="multilevel"/>
    <w:tmpl w:val="5C2ECE84"/>
    <w:lvl w:ilvl="0">
      <w:start w:val="2"/>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16469F"/>
    <w:multiLevelType w:val="hybridMultilevel"/>
    <w:tmpl w:val="E79AB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50568B"/>
    <w:multiLevelType w:val="hybridMultilevel"/>
    <w:tmpl w:val="C7361A58"/>
    <w:lvl w:ilvl="0" w:tplc="8AD6C900">
      <w:start w:val="4"/>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
    <w:nsid w:val="380977F4"/>
    <w:multiLevelType w:val="hybridMultilevel"/>
    <w:tmpl w:val="4B4ABED4"/>
    <w:lvl w:ilvl="0" w:tplc="8AD6C900">
      <w:start w:val="4"/>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4">
    <w:nsid w:val="42E503C7"/>
    <w:multiLevelType w:val="hybridMultilevel"/>
    <w:tmpl w:val="29866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9A2D91"/>
    <w:multiLevelType w:val="multilevel"/>
    <w:tmpl w:val="AA8684F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91659FA"/>
    <w:multiLevelType w:val="multilevel"/>
    <w:tmpl w:val="233648D8"/>
    <w:lvl w:ilvl="0">
      <w:start w:val="1"/>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5D69490A"/>
    <w:multiLevelType w:val="hybridMultilevel"/>
    <w:tmpl w:val="A8A68696"/>
    <w:lvl w:ilvl="0" w:tplc="8AD6C900">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bullet"/>
      <w:lvlText w:val="-"/>
      <w:lvlJc w:val="left"/>
      <w:pPr>
        <w:tabs>
          <w:tab w:val="num" w:pos="360"/>
        </w:tabs>
        <w:ind w:left="360" w:hanging="360"/>
      </w:pPr>
      <w:rPr>
        <w:rFonts w:ascii="Times New Roman" w:eastAsia="Times New Roman" w:hAnsi="Times New Roman" w:cs="Times New Roman" w:hint="default"/>
      </w:rPr>
    </w:lvl>
    <w:lvl w:ilvl="2" w:tplc="8AD6C900">
      <w:start w:val="4"/>
      <w:numFmt w:val="bullet"/>
      <w:lvlText w:val="-"/>
      <w:lvlJc w:val="left"/>
      <w:pPr>
        <w:tabs>
          <w:tab w:val="num" w:pos="360"/>
        </w:tabs>
        <w:ind w:left="360" w:hanging="360"/>
      </w:pPr>
      <w:rPr>
        <w:rFonts w:ascii="Times New Roman" w:eastAsia="Times New Roman" w:hAnsi="Times New Roman" w:cs="Times New Roman"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8">
    <w:nsid w:val="76DB127F"/>
    <w:multiLevelType w:val="multilevel"/>
    <w:tmpl w:val="E7428E2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6"/>
  </w:num>
  <w:num w:numId="3">
    <w:abstractNumId w:val="8"/>
  </w:num>
  <w:num w:numId="4">
    <w:abstractNumId w:val="1"/>
  </w:num>
  <w:num w:numId="5">
    <w:abstractNumId w:val="4"/>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466EF"/>
    <w:rsid w:val="00000C50"/>
    <w:rsid w:val="000077D8"/>
    <w:rsid w:val="00036CA5"/>
    <w:rsid w:val="000537C8"/>
    <w:rsid w:val="00065661"/>
    <w:rsid w:val="000746A3"/>
    <w:rsid w:val="00085FDF"/>
    <w:rsid w:val="00090337"/>
    <w:rsid w:val="000A434B"/>
    <w:rsid w:val="000A5B4C"/>
    <w:rsid w:val="000C0D72"/>
    <w:rsid w:val="000D370C"/>
    <w:rsid w:val="000D4FA9"/>
    <w:rsid w:val="000E5D2E"/>
    <w:rsid w:val="000E7B0A"/>
    <w:rsid w:val="00101B92"/>
    <w:rsid w:val="00104ADF"/>
    <w:rsid w:val="00104FD8"/>
    <w:rsid w:val="0013211E"/>
    <w:rsid w:val="00135C5C"/>
    <w:rsid w:val="00147ACA"/>
    <w:rsid w:val="00162A35"/>
    <w:rsid w:val="001651A2"/>
    <w:rsid w:val="00186F4B"/>
    <w:rsid w:val="001901AB"/>
    <w:rsid w:val="00190525"/>
    <w:rsid w:val="00192B54"/>
    <w:rsid w:val="00194F40"/>
    <w:rsid w:val="00196B88"/>
    <w:rsid w:val="001A4664"/>
    <w:rsid w:val="001A5B6E"/>
    <w:rsid w:val="001B0093"/>
    <w:rsid w:val="001B53B7"/>
    <w:rsid w:val="001C0677"/>
    <w:rsid w:val="001D0F46"/>
    <w:rsid w:val="001E324D"/>
    <w:rsid w:val="001E3A7C"/>
    <w:rsid w:val="001E7BAA"/>
    <w:rsid w:val="001F29B5"/>
    <w:rsid w:val="00204066"/>
    <w:rsid w:val="00207136"/>
    <w:rsid w:val="0021505F"/>
    <w:rsid w:val="00216CD5"/>
    <w:rsid w:val="002220CE"/>
    <w:rsid w:val="00224C84"/>
    <w:rsid w:val="002314CE"/>
    <w:rsid w:val="00235C31"/>
    <w:rsid w:val="00242FC7"/>
    <w:rsid w:val="00251906"/>
    <w:rsid w:val="002731A4"/>
    <w:rsid w:val="002778D4"/>
    <w:rsid w:val="00294D09"/>
    <w:rsid w:val="002A47A1"/>
    <w:rsid w:val="002A4C32"/>
    <w:rsid w:val="002B6B57"/>
    <w:rsid w:val="002C075E"/>
    <w:rsid w:val="002D31A8"/>
    <w:rsid w:val="002D3907"/>
    <w:rsid w:val="002D65EC"/>
    <w:rsid w:val="002E6474"/>
    <w:rsid w:val="00304089"/>
    <w:rsid w:val="003045F7"/>
    <w:rsid w:val="00305244"/>
    <w:rsid w:val="00307668"/>
    <w:rsid w:val="00321516"/>
    <w:rsid w:val="00322D3F"/>
    <w:rsid w:val="00322E9B"/>
    <w:rsid w:val="00326C9C"/>
    <w:rsid w:val="0033365F"/>
    <w:rsid w:val="00336B16"/>
    <w:rsid w:val="00346C2B"/>
    <w:rsid w:val="0036667A"/>
    <w:rsid w:val="00376AED"/>
    <w:rsid w:val="00385B0C"/>
    <w:rsid w:val="00397A42"/>
    <w:rsid w:val="003A1558"/>
    <w:rsid w:val="003A2CF0"/>
    <w:rsid w:val="003B2E1C"/>
    <w:rsid w:val="003B41CA"/>
    <w:rsid w:val="003D07EE"/>
    <w:rsid w:val="003D3836"/>
    <w:rsid w:val="003E2742"/>
    <w:rsid w:val="003E7016"/>
    <w:rsid w:val="00405539"/>
    <w:rsid w:val="00406804"/>
    <w:rsid w:val="00412594"/>
    <w:rsid w:val="00412869"/>
    <w:rsid w:val="00436B89"/>
    <w:rsid w:val="0044777A"/>
    <w:rsid w:val="0047000A"/>
    <w:rsid w:val="00497E8A"/>
    <w:rsid w:val="004A03A0"/>
    <w:rsid w:val="004A234D"/>
    <w:rsid w:val="004A35E6"/>
    <w:rsid w:val="004A5843"/>
    <w:rsid w:val="004B4AD4"/>
    <w:rsid w:val="004C166D"/>
    <w:rsid w:val="004C5573"/>
    <w:rsid w:val="004C5A89"/>
    <w:rsid w:val="004E47E7"/>
    <w:rsid w:val="004F1CC4"/>
    <w:rsid w:val="00520361"/>
    <w:rsid w:val="005263B5"/>
    <w:rsid w:val="00526553"/>
    <w:rsid w:val="0052740E"/>
    <w:rsid w:val="00547150"/>
    <w:rsid w:val="00552034"/>
    <w:rsid w:val="00556771"/>
    <w:rsid w:val="00564705"/>
    <w:rsid w:val="0056798C"/>
    <w:rsid w:val="0057448D"/>
    <w:rsid w:val="00574EA9"/>
    <w:rsid w:val="00584518"/>
    <w:rsid w:val="005926B5"/>
    <w:rsid w:val="005955C8"/>
    <w:rsid w:val="00596DE2"/>
    <w:rsid w:val="005A0CF9"/>
    <w:rsid w:val="005A6C47"/>
    <w:rsid w:val="005B4019"/>
    <w:rsid w:val="005C176E"/>
    <w:rsid w:val="005C6D6F"/>
    <w:rsid w:val="005E2DEC"/>
    <w:rsid w:val="005E330B"/>
    <w:rsid w:val="005E48D1"/>
    <w:rsid w:val="005E4AAE"/>
    <w:rsid w:val="005E52D8"/>
    <w:rsid w:val="005F48D2"/>
    <w:rsid w:val="005F543B"/>
    <w:rsid w:val="006037D3"/>
    <w:rsid w:val="00605CC9"/>
    <w:rsid w:val="00612790"/>
    <w:rsid w:val="006151B5"/>
    <w:rsid w:val="00626849"/>
    <w:rsid w:val="006330CC"/>
    <w:rsid w:val="00641CEB"/>
    <w:rsid w:val="00644111"/>
    <w:rsid w:val="00646DBA"/>
    <w:rsid w:val="006475AE"/>
    <w:rsid w:val="00656450"/>
    <w:rsid w:val="00657FA7"/>
    <w:rsid w:val="0066598E"/>
    <w:rsid w:val="00667F93"/>
    <w:rsid w:val="00673883"/>
    <w:rsid w:val="006766B3"/>
    <w:rsid w:val="00677CBD"/>
    <w:rsid w:val="00680A57"/>
    <w:rsid w:val="00687057"/>
    <w:rsid w:val="006A0548"/>
    <w:rsid w:val="006A40F3"/>
    <w:rsid w:val="006B341F"/>
    <w:rsid w:val="006B36AB"/>
    <w:rsid w:val="006B6BA1"/>
    <w:rsid w:val="006B7BB2"/>
    <w:rsid w:val="006C493B"/>
    <w:rsid w:val="006C5DE1"/>
    <w:rsid w:val="006D5C81"/>
    <w:rsid w:val="006F098A"/>
    <w:rsid w:val="006F449A"/>
    <w:rsid w:val="006F45A1"/>
    <w:rsid w:val="0070273A"/>
    <w:rsid w:val="007113C7"/>
    <w:rsid w:val="00714379"/>
    <w:rsid w:val="00716977"/>
    <w:rsid w:val="007268A4"/>
    <w:rsid w:val="00736B3F"/>
    <w:rsid w:val="00740371"/>
    <w:rsid w:val="00740F51"/>
    <w:rsid w:val="00741420"/>
    <w:rsid w:val="00750F20"/>
    <w:rsid w:val="00764DC9"/>
    <w:rsid w:val="007658D6"/>
    <w:rsid w:val="00785CE1"/>
    <w:rsid w:val="00793D00"/>
    <w:rsid w:val="007B3930"/>
    <w:rsid w:val="007D3164"/>
    <w:rsid w:val="007D61E4"/>
    <w:rsid w:val="007E5B2F"/>
    <w:rsid w:val="007E77F0"/>
    <w:rsid w:val="007F4C35"/>
    <w:rsid w:val="008000D4"/>
    <w:rsid w:val="00802D6C"/>
    <w:rsid w:val="00821B4E"/>
    <w:rsid w:val="00821B65"/>
    <w:rsid w:val="00835A12"/>
    <w:rsid w:val="008B1199"/>
    <w:rsid w:val="008D65EF"/>
    <w:rsid w:val="008E666E"/>
    <w:rsid w:val="008F216F"/>
    <w:rsid w:val="00912836"/>
    <w:rsid w:val="0091448F"/>
    <w:rsid w:val="00917BEB"/>
    <w:rsid w:val="009316E7"/>
    <w:rsid w:val="0093739B"/>
    <w:rsid w:val="009466EF"/>
    <w:rsid w:val="009479D4"/>
    <w:rsid w:val="00960E23"/>
    <w:rsid w:val="00966C23"/>
    <w:rsid w:val="009901D6"/>
    <w:rsid w:val="009940B3"/>
    <w:rsid w:val="009975D1"/>
    <w:rsid w:val="009A00A7"/>
    <w:rsid w:val="009B070A"/>
    <w:rsid w:val="009B3EE2"/>
    <w:rsid w:val="009C0073"/>
    <w:rsid w:val="009F14C9"/>
    <w:rsid w:val="00A03655"/>
    <w:rsid w:val="00A07964"/>
    <w:rsid w:val="00A17377"/>
    <w:rsid w:val="00A249DD"/>
    <w:rsid w:val="00A24FB7"/>
    <w:rsid w:val="00A27F64"/>
    <w:rsid w:val="00A32D61"/>
    <w:rsid w:val="00A339BE"/>
    <w:rsid w:val="00A547F1"/>
    <w:rsid w:val="00A6204E"/>
    <w:rsid w:val="00A8010B"/>
    <w:rsid w:val="00A848BA"/>
    <w:rsid w:val="00A9209C"/>
    <w:rsid w:val="00AB1EDF"/>
    <w:rsid w:val="00AD5EDB"/>
    <w:rsid w:val="00B213BA"/>
    <w:rsid w:val="00B30747"/>
    <w:rsid w:val="00B32F26"/>
    <w:rsid w:val="00B331ED"/>
    <w:rsid w:val="00B37A9C"/>
    <w:rsid w:val="00B51B13"/>
    <w:rsid w:val="00B5214A"/>
    <w:rsid w:val="00B56838"/>
    <w:rsid w:val="00B6045C"/>
    <w:rsid w:val="00B70C25"/>
    <w:rsid w:val="00B741CD"/>
    <w:rsid w:val="00B866D2"/>
    <w:rsid w:val="00B874C9"/>
    <w:rsid w:val="00B95BA7"/>
    <w:rsid w:val="00BE71B5"/>
    <w:rsid w:val="00C10B7A"/>
    <w:rsid w:val="00C22808"/>
    <w:rsid w:val="00C33975"/>
    <w:rsid w:val="00C44061"/>
    <w:rsid w:val="00C46C64"/>
    <w:rsid w:val="00C479C2"/>
    <w:rsid w:val="00C52730"/>
    <w:rsid w:val="00C828CB"/>
    <w:rsid w:val="00C857E7"/>
    <w:rsid w:val="00CA2E4A"/>
    <w:rsid w:val="00CA495D"/>
    <w:rsid w:val="00CB0C02"/>
    <w:rsid w:val="00CB7046"/>
    <w:rsid w:val="00CC1203"/>
    <w:rsid w:val="00CC549B"/>
    <w:rsid w:val="00CD28B9"/>
    <w:rsid w:val="00D00B56"/>
    <w:rsid w:val="00D00C04"/>
    <w:rsid w:val="00D32A9D"/>
    <w:rsid w:val="00D370F3"/>
    <w:rsid w:val="00D4614B"/>
    <w:rsid w:val="00D529A5"/>
    <w:rsid w:val="00D566DD"/>
    <w:rsid w:val="00D7088A"/>
    <w:rsid w:val="00D74A7C"/>
    <w:rsid w:val="00D8130D"/>
    <w:rsid w:val="00D82E82"/>
    <w:rsid w:val="00D917E1"/>
    <w:rsid w:val="00D92F0B"/>
    <w:rsid w:val="00D9689B"/>
    <w:rsid w:val="00DA1633"/>
    <w:rsid w:val="00DA477B"/>
    <w:rsid w:val="00DA5237"/>
    <w:rsid w:val="00DB2580"/>
    <w:rsid w:val="00DC15BD"/>
    <w:rsid w:val="00DC1F84"/>
    <w:rsid w:val="00DC4F6B"/>
    <w:rsid w:val="00DC5257"/>
    <w:rsid w:val="00DD4EB4"/>
    <w:rsid w:val="00DF5D6A"/>
    <w:rsid w:val="00E100C2"/>
    <w:rsid w:val="00E12F7B"/>
    <w:rsid w:val="00E218F4"/>
    <w:rsid w:val="00E26E12"/>
    <w:rsid w:val="00E27809"/>
    <w:rsid w:val="00E311BD"/>
    <w:rsid w:val="00E33B56"/>
    <w:rsid w:val="00E518F2"/>
    <w:rsid w:val="00E57893"/>
    <w:rsid w:val="00E63FB9"/>
    <w:rsid w:val="00E8141C"/>
    <w:rsid w:val="00EA55AD"/>
    <w:rsid w:val="00EB0EDE"/>
    <w:rsid w:val="00EB3B23"/>
    <w:rsid w:val="00EB58DB"/>
    <w:rsid w:val="00EB65B7"/>
    <w:rsid w:val="00EC158F"/>
    <w:rsid w:val="00EC4E21"/>
    <w:rsid w:val="00EC70A4"/>
    <w:rsid w:val="00EE66C7"/>
    <w:rsid w:val="00F040C6"/>
    <w:rsid w:val="00F053A7"/>
    <w:rsid w:val="00F06386"/>
    <w:rsid w:val="00F1744B"/>
    <w:rsid w:val="00F31CC5"/>
    <w:rsid w:val="00F3413F"/>
    <w:rsid w:val="00F42C50"/>
    <w:rsid w:val="00F43A0C"/>
    <w:rsid w:val="00F47FDF"/>
    <w:rsid w:val="00F5221C"/>
    <w:rsid w:val="00F6469F"/>
    <w:rsid w:val="00F70483"/>
    <w:rsid w:val="00F74A12"/>
    <w:rsid w:val="00F807B4"/>
    <w:rsid w:val="00F965DB"/>
    <w:rsid w:val="00F96DC2"/>
    <w:rsid w:val="00FA6217"/>
    <w:rsid w:val="00FA720D"/>
    <w:rsid w:val="00FB7F0D"/>
    <w:rsid w:val="00FC19E5"/>
    <w:rsid w:val="00FD646E"/>
    <w:rsid w:val="00FE05DA"/>
    <w:rsid w:val="00FE45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518"/>
    <w:rPr>
      <w:rFonts w:ascii="HellasArial" w:hAnsi="HellasArial"/>
      <w:sz w:val="24"/>
      <w:lang w:val="en-GB" w:eastAsia="en-US"/>
    </w:rPr>
  </w:style>
  <w:style w:type="paragraph" w:styleId="1">
    <w:name w:val="heading 1"/>
    <w:basedOn w:val="a"/>
    <w:next w:val="a"/>
    <w:qFormat/>
    <w:rsid w:val="00204066"/>
    <w:pPr>
      <w:keepNext/>
      <w:spacing w:before="120" w:after="120"/>
      <w:outlineLvl w:val="0"/>
    </w:pPr>
    <w:rPr>
      <w:rFonts w:ascii="Arial" w:hAnsi="Arial"/>
      <w:b/>
      <w:sz w:val="22"/>
      <w:lang w:val="el-GR"/>
    </w:rPr>
  </w:style>
  <w:style w:type="paragraph" w:styleId="2">
    <w:name w:val="heading 2"/>
    <w:basedOn w:val="a"/>
    <w:next w:val="a"/>
    <w:qFormat/>
    <w:rsid w:val="00204066"/>
    <w:pPr>
      <w:keepNext/>
      <w:spacing w:line="240" w:lineRule="atLeast"/>
      <w:ind w:firstLine="720"/>
      <w:jc w:val="both"/>
      <w:outlineLvl w:val="1"/>
    </w:pPr>
    <w:rPr>
      <w:rFonts w:ascii="Arial" w:hAnsi="Arial" w:cs="Arial"/>
      <w:b/>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4066"/>
    <w:pPr>
      <w:tabs>
        <w:tab w:val="center" w:pos="4819"/>
        <w:tab w:val="right" w:pos="9071"/>
      </w:tabs>
    </w:pPr>
  </w:style>
  <w:style w:type="paragraph" w:styleId="a4">
    <w:name w:val="Title"/>
    <w:basedOn w:val="a"/>
    <w:qFormat/>
    <w:rsid w:val="00204066"/>
    <w:pPr>
      <w:jc w:val="center"/>
    </w:pPr>
    <w:rPr>
      <w:rFonts w:ascii="Arial" w:hAnsi="Arial"/>
      <w:b/>
      <w:sz w:val="28"/>
      <w:lang w:val="el-GR"/>
    </w:rPr>
  </w:style>
  <w:style w:type="paragraph" w:styleId="20">
    <w:name w:val="Body Text 2"/>
    <w:basedOn w:val="a"/>
    <w:rsid w:val="00204066"/>
    <w:pPr>
      <w:ind w:left="720"/>
      <w:jc w:val="both"/>
    </w:pPr>
    <w:rPr>
      <w:rFonts w:ascii="Arial" w:hAnsi="Arial"/>
      <w:sz w:val="22"/>
      <w:lang w:val="el-GR"/>
    </w:rPr>
  </w:style>
  <w:style w:type="paragraph" w:styleId="a5">
    <w:name w:val="Body Text Indent"/>
    <w:basedOn w:val="a"/>
    <w:rsid w:val="00204066"/>
    <w:pPr>
      <w:ind w:left="720"/>
    </w:pPr>
    <w:rPr>
      <w:rFonts w:ascii="Arial" w:hAnsi="Arial"/>
      <w:sz w:val="22"/>
      <w:lang w:val="el-GR"/>
    </w:rPr>
  </w:style>
  <w:style w:type="paragraph" w:styleId="21">
    <w:name w:val="Body Text Indent 2"/>
    <w:basedOn w:val="a"/>
    <w:rsid w:val="00204066"/>
    <w:pPr>
      <w:ind w:left="720"/>
      <w:jc w:val="both"/>
    </w:pPr>
    <w:rPr>
      <w:rFonts w:ascii="Arial" w:hAnsi="Arial"/>
    </w:rPr>
  </w:style>
  <w:style w:type="paragraph" w:styleId="3">
    <w:name w:val="Body Text Indent 3"/>
    <w:basedOn w:val="a"/>
    <w:rsid w:val="00204066"/>
    <w:pPr>
      <w:ind w:left="284" w:hanging="284"/>
    </w:pPr>
    <w:rPr>
      <w:rFonts w:ascii="Arial" w:hAnsi="Arial"/>
      <w:lang w:val="el-GR"/>
    </w:rPr>
  </w:style>
  <w:style w:type="paragraph" w:styleId="a6">
    <w:name w:val="Body Text"/>
    <w:basedOn w:val="a"/>
    <w:rsid w:val="00204066"/>
    <w:pPr>
      <w:spacing w:line="240" w:lineRule="atLeast"/>
    </w:pPr>
    <w:rPr>
      <w:rFonts w:ascii="Arial" w:hAnsi="Arial"/>
      <w:b/>
      <w:lang w:val="el-GR"/>
    </w:rPr>
  </w:style>
  <w:style w:type="paragraph" w:styleId="a7">
    <w:name w:val="footer"/>
    <w:basedOn w:val="a"/>
    <w:link w:val="Char"/>
    <w:uiPriority w:val="99"/>
    <w:rsid w:val="00204066"/>
    <w:pPr>
      <w:tabs>
        <w:tab w:val="center" w:pos="4153"/>
        <w:tab w:val="right" w:pos="8306"/>
      </w:tabs>
    </w:pPr>
  </w:style>
  <w:style w:type="paragraph" w:styleId="a8">
    <w:name w:val="Balloon Text"/>
    <w:basedOn w:val="a"/>
    <w:semiHidden/>
    <w:rsid w:val="000C0D72"/>
    <w:rPr>
      <w:rFonts w:ascii="Tahoma" w:hAnsi="Tahoma" w:cs="Tahoma"/>
      <w:sz w:val="16"/>
      <w:szCs w:val="16"/>
    </w:rPr>
  </w:style>
  <w:style w:type="table" w:styleId="a9">
    <w:name w:val="Table Grid"/>
    <w:basedOn w:val="a1"/>
    <w:rsid w:val="00785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semiHidden/>
    <w:rsid w:val="00C857E7"/>
    <w:rPr>
      <w:sz w:val="16"/>
      <w:szCs w:val="16"/>
    </w:rPr>
  </w:style>
  <w:style w:type="paragraph" w:styleId="ab">
    <w:name w:val="annotation text"/>
    <w:basedOn w:val="a"/>
    <w:semiHidden/>
    <w:rsid w:val="00C857E7"/>
    <w:rPr>
      <w:sz w:val="20"/>
    </w:rPr>
  </w:style>
  <w:style w:type="paragraph" w:styleId="ac">
    <w:name w:val="annotation subject"/>
    <w:basedOn w:val="ab"/>
    <w:next w:val="ab"/>
    <w:semiHidden/>
    <w:rsid w:val="00C857E7"/>
    <w:rPr>
      <w:b/>
      <w:bCs/>
    </w:rPr>
  </w:style>
  <w:style w:type="character" w:customStyle="1" w:styleId="Char">
    <w:name w:val="Υποσέλιδο Char"/>
    <w:link w:val="a7"/>
    <w:uiPriority w:val="99"/>
    <w:rsid w:val="00E100C2"/>
    <w:rPr>
      <w:rFonts w:ascii="HellasArial" w:hAnsi="HellasArial"/>
      <w:sz w:val="24"/>
      <w:lang w:val="en-GB" w:eastAsia="en-US"/>
    </w:rPr>
  </w:style>
  <w:style w:type="character" w:styleId="-">
    <w:name w:val="Hyperlink"/>
    <w:rsid w:val="005E2D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EFCA7-4852-455C-9D05-5BCEAF02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7382</Words>
  <Characters>39868</Characters>
  <Application>Microsoft Office Word</Application>
  <DocSecurity>0</DocSecurity>
  <Lines>332</Lines>
  <Paragraphs>94</Paragraphs>
  <ScaleCrop>false</ScaleCrop>
  <Company/>
  <LinksUpToDate>false</LinksUpToDate>
  <CharactersWithSpaces>47156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farmorubicin powder</dc:title>
  <dc:subject>patient leaflet</dc:subject>
  <dc:creator>Koula Davradou</dc:creator>
  <cp:lastModifiedBy>user146</cp:lastModifiedBy>
  <cp:revision>3</cp:revision>
  <cp:lastPrinted>2013-11-29T07:00:00Z</cp:lastPrinted>
  <dcterms:created xsi:type="dcterms:W3CDTF">2013-11-29T07:01:00Z</dcterms:created>
  <dcterms:modified xsi:type="dcterms:W3CDTF">2014-01-07T11:24:00Z</dcterms:modified>
</cp:coreProperties>
</file>