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CB" w:rsidRPr="00076702" w:rsidRDefault="002258CB" w:rsidP="003449C0">
      <w:pPr>
        <w:pStyle w:val="a9"/>
        <w:jc w:val="left"/>
        <w:rPr>
          <w:b w:val="0"/>
          <w:i/>
          <w:sz w:val="22"/>
          <w:szCs w:val="22"/>
          <w:lang w:val="en-US"/>
        </w:rPr>
      </w:pPr>
    </w:p>
    <w:p w:rsidR="00F0677E" w:rsidRPr="00076702" w:rsidRDefault="00F0677E" w:rsidP="003449C0">
      <w:pPr>
        <w:pStyle w:val="a9"/>
        <w:rPr>
          <w:sz w:val="24"/>
        </w:rPr>
      </w:pPr>
      <w:r w:rsidRPr="00076702">
        <w:rPr>
          <w:sz w:val="24"/>
        </w:rPr>
        <w:t>ΦΥΛΛΟ ΟΔΗΓΙΩΝ ΧΡΗΣΗΣ</w:t>
      </w:r>
    </w:p>
    <w:p w:rsidR="00F0677E" w:rsidRPr="00076702" w:rsidRDefault="00F0677E" w:rsidP="00F0677E">
      <w:pPr>
        <w:rPr>
          <w:b/>
          <w:color w:val="auto"/>
          <w:sz w:val="22"/>
          <w:szCs w:val="22"/>
        </w:rPr>
      </w:pPr>
    </w:p>
    <w:p w:rsidR="00F0677E" w:rsidRPr="00076702" w:rsidRDefault="00F0677E" w:rsidP="00F0677E">
      <w:pPr>
        <w:rPr>
          <w:b/>
          <w:color w:val="auto"/>
          <w:sz w:val="22"/>
          <w:szCs w:val="22"/>
        </w:rPr>
      </w:pPr>
    </w:p>
    <w:p w:rsidR="00F0677E" w:rsidRPr="00076702" w:rsidRDefault="00F0677E" w:rsidP="00F0677E">
      <w:pPr>
        <w:pBdr>
          <w:top w:val="single" w:sz="4" w:space="1" w:color="auto"/>
          <w:left w:val="single" w:sz="4" w:space="4" w:color="auto"/>
          <w:bottom w:val="single" w:sz="4" w:space="1" w:color="auto"/>
          <w:right w:val="single" w:sz="4" w:space="4" w:color="auto"/>
        </w:pBdr>
        <w:rPr>
          <w:b/>
          <w:color w:val="auto"/>
          <w:sz w:val="22"/>
          <w:szCs w:val="22"/>
        </w:rPr>
      </w:pPr>
    </w:p>
    <w:p w:rsidR="00F0677E" w:rsidRPr="00076702" w:rsidRDefault="00F0677E" w:rsidP="00F0677E">
      <w:pPr>
        <w:pBdr>
          <w:top w:val="single" w:sz="4" w:space="1" w:color="auto"/>
          <w:left w:val="single" w:sz="4" w:space="4" w:color="auto"/>
          <w:bottom w:val="single" w:sz="4" w:space="1" w:color="auto"/>
          <w:right w:val="single" w:sz="4" w:space="4" w:color="auto"/>
        </w:pBdr>
        <w:jc w:val="center"/>
        <w:rPr>
          <w:b/>
          <w:color w:val="auto"/>
          <w:sz w:val="22"/>
          <w:szCs w:val="22"/>
        </w:rPr>
      </w:pPr>
      <w:r w:rsidRPr="00076702">
        <w:rPr>
          <w:b/>
          <w:color w:val="auto"/>
          <w:sz w:val="22"/>
          <w:szCs w:val="22"/>
        </w:rPr>
        <w:t>1. ΠΡΟΣΔΙΟΡΙΣΜΟΣ ΦΑΡΜΑΚΕΥΤΙΚΟΥ ΠΡΟΪΟΝΤΟΣ</w:t>
      </w:r>
    </w:p>
    <w:p w:rsidR="00F0677E" w:rsidRPr="00076702" w:rsidRDefault="00F0677E" w:rsidP="00F0677E">
      <w:pPr>
        <w:pBdr>
          <w:top w:val="single" w:sz="4" w:space="1" w:color="auto"/>
          <w:left w:val="single" w:sz="4" w:space="4" w:color="auto"/>
          <w:bottom w:val="single" w:sz="4" w:space="1" w:color="auto"/>
          <w:right w:val="single" w:sz="4" w:space="4" w:color="auto"/>
        </w:pBdr>
        <w:rPr>
          <w:b/>
          <w:color w:val="auto"/>
          <w:sz w:val="22"/>
          <w:szCs w:val="22"/>
        </w:rPr>
      </w:pPr>
    </w:p>
    <w:p w:rsidR="00F0677E" w:rsidRPr="00076702" w:rsidRDefault="00F0677E" w:rsidP="00F0677E">
      <w:pPr>
        <w:rPr>
          <w:color w:val="auto"/>
          <w:sz w:val="22"/>
          <w:szCs w:val="22"/>
        </w:rPr>
      </w:pPr>
    </w:p>
    <w:p w:rsidR="00F0677E" w:rsidRPr="00076702" w:rsidRDefault="00F0677E" w:rsidP="00F0677E">
      <w:pPr>
        <w:rPr>
          <w:b/>
          <w:bCs/>
          <w:strike/>
          <w:color w:val="auto"/>
          <w:sz w:val="22"/>
          <w:szCs w:val="22"/>
        </w:rPr>
      </w:pPr>
      <w:r w:rsidRPr="00076702">
        <w:rPr>
          <w:b/>
          <w:bCs/>
          <w:color w:val="auto"/>
          <w:sz w:val="22"/>
          <w:szCs w:val="22"/>
        </w:rPr>
        <w:t xml:space="preserve">1.1 Ονομασία: </w:t>
      </w:r>
      <w:r w:rsidRPr="00076702">
        <w:rPr>
          <w:b/>
          <w:bCs/>
          <w:color w:val="auto"/>
          <w:sz w:val="22"/>
          <w:szCs w:val="22"/>
          <w:lang w:val="en-US"/>
        </w:rPr>
        <w:t>Frumil</w:t>
      </w:r>
      <w:r w:rsidRPr="00076702">
        <w:rPr>
          <w:color w:val="auto"/>
          <w:sz w:val="22"/>
          <w:szCs w:val="22"/>
        </w:rPr>
        <w:t xml:space="preserve"> </w:t>
      </w:r>
      <w:r w:rsidR="00A02148" w:rsidRPr="00076702">
        <w:rPr>
          <w:b/>
          <w:bCs/>
          <w:color w:val="auto"/>
          <w:sz w:val="22"/>
          <w:szCs w:val="22"/>
        </w:rPr>
        <w:t>δισκίο</w:t>
      </w:r>
      <w:r w:rsidR="00A02148" w:rsidRPr="00076702">
        <w:rPr>
          <w:b/>
          <w:color w:val="auto"/>
          <w:sz w:val="22"/>
          <w:szCs w:val="22"/>
        </w:rPr>
        <w:t xml:space="preserve"> </w:t>
      </w:r>
      <w:r w:rsidRPr="00076702">
        <w:rPr>
          <w:b/>
          <w:color w:val="auto"/>
          <w:sz w:val="22"/>
          <w:szCs w:val="22"/>
        </w:rPr>
        <w:t>(40+5)</w:t>
      </w:r>
      <w:r w:rsidRPr="00076702">
        <w:rPr>
          <w:b/>
          <w:color w:val="auto"/>
          <w:sz w:val="22"/>
          <w:szCs w:val="22"/>
          <w:lang w:val="en-US"/>
        </w:rPr>
        <w:t>mg</w:t>
      </w:r>
      <w:r w:rsidRPr="00076702">
        <w:rPr>
          <w:b/>
          <w:color w:val="auto"/>
          <w:sz w:val="22"/>
          <w:szCs w:val="22"/>
        </w:rPr>
        <w:t>/</w:t>
      </w:r>
      <w:r w:rsidRPr="00076702">
        <w:rPr>
          <w:b/>
          <w:color w:val="auto"/>
          <w:sz w:val="22"/>
          <w:szCs w:val="22"/>
          <w:lang w:val="en-US"/>
        </w:rPr>
        <w:t>tab</w:t>
      </w:r>
    </w:p>
    <w:p w:rsidR="00F0677E" w:rsidRPr="00076702" w:rsidRDefault="00F0677E" w:rsidP="00F0677E">
      <w:pPr>
        <w:ind w:left="180"/>
        <w:rPr>
          <w:b/>
          <w:bCs/>
          <w:color w:val="auto"/>
          <w:sz w:val="22"/>
          <w:szCs w:val="22"/>
        </w:rPr>
      </w:pPr>
    </w:p>
    <w:p w:rsidR="00F0677E" w:rsidRPr="00076702" w:rsidRDefault="00F0677E" w:rsidP="00F0677E">
      <w:pPr>
        <w:rPr>
          <w:bCs/>
          <w:color w:val="auto"/>
          <w:sz w:val="22"/>
          <w:szCs w:val="22"/>
        </w:rPr>
      </w:pPr>
      <w:r w:rsidRPr="00076702">
        <w:rPr>
          <w:b/>
          <w:bCs/>
          <w:color w:val="auto"/>
          <w:sz w:val="22"/>
          <w:szCs w:val="22"/>
        </w:rPr>
        <w:t>1.2 Σύνθεση</w:t>
      </w:r>
      <w:r w:rsidR="00A02148" w:rsidRPr="00076702">
        <w:rPr>
          <w:b/>
          <w:bCs/>
          <w:color w:val="auto"/>
          <w:sz w:val="22"/>
          <w:szCs w:val="22"/>
        </w:rPr>
        <w:t xml:space="preserve">: </w:t>
      </w:r>
      <w:r w:rsidR="00A02148" w:rsidRPr="00076702">
        <w:rPr>
          <w:b/>
          <w:bCs/>
          <w:color w:val="auto"/>
          <w:sz w:val="22"/>
          <w:szCs w:val="22"/>
        </w:rPr>
        <w:tab/>
      </w:r>
      <w:r w:rsidRPr="00076702">
        <w:rPr>
          <w:bCs/>
          <w:i/>
          <w:color w:val="auto"/>
          <w:sz w:val="22"/>
          <w:szCs w:val="22"/>
        </w:rPr>
        <w:t xml:space="preserve">Δραστική ουσία: </w:t>
      </w:r>
      <w:r w:rsidRPr="00076702">
        <w:rPr>
          <w:bCs/>
          <w:color w:val="auto"/>
          <w:sz w:val="22"/>
          <w:szCs w:val="22"/>
        </w:rPr>
        <w:t xml:space="preserve">Φουροσεμίδη και αμιλορίδη υδροχλωρική </w:t>
      </w:r>
    </w:p>
    <w:p w:rsidR="00F0677E" w:rsidRPr="00076702" w:rsidRDefault="00F0677E" w:rsidP="00A02148">
      <w:pPr>
        <w:ind w:left="1440"/>
        <w:rPr>
          <w:bCs/>
          <w:color w:val="auto"/>
          <w:sz w:val="22"/>
          <w:szCs w:val="22"/>
        </w:rPr>
      </w:pPr>
      <w:r w:rsidRPr="00076702">
        <w:rPr>
          <w:bCs/>
          <w:i/>
          <w:color w:val="auto"/>
          <w:sz w:val="22"/>
          <w:szCs w:val="22"/>
        </w:rPr>
        <w:t xml:space="preserve">Έκδοχα: </w:t>
      </w:r>
      <w:r w:rsidRPr="00076702">
        <w:rPr>
          <w:bCs/>
          <w:color w:val="auto"/>
          <w:sz w:val="22"/>
          <w:szCs w:val="22"/>
        </w:rPr>
        <w:t xml:space="preserve">Λακτόζη μονοϋδρική, άμυλο αραβοσίτου, κυτταρίνη μικροκρυσταλλική, άμυλο καρβοξυμεθυλιωμένο νατριούχο, κίτρινο </w:t>
      </w:r>
      <w:r w:rsidRPr="00076702">
        <w:rPr>
          <w:bCs/>
          <w:color w:val="auto"/>
          <w:sz w:val="22"/>
          <w:szCs w:val="22"/>
          <w:lang w:val="en-US"/>
        </w:rPr>
        <w:t>CI</w:t>
      </w:r>
      <w:r w:rsidRPr="00076702">
        <w:rPr>
          <w:bCs/>
          <w:color w:val="auto"/>
          <w:sz w:val="22"/>
          <w:szCs w:val="22"/>
        </w:rPr>
        <w:t xml:space="preserve"> 15985, τάλκης, </w:t>
      </w:r>
      <w:r w:rsidRPr="00076702">
        <w:rPr>
          <w:bCs/>
          <w:color w:val="auto"/>
          <w:sz w:val="22"/>
          <w:szCs w:val="22"/>
          <w:lang w:val="en-US"/>
        </w:rPr>
        <w:t>aerosil</w:t>
      </w:r>
      <w:r w:rsidRPr="00076702">
        <w:rPr>
          <w:bCs/>
          <w:color w:val="auto"/>
          <w:sz w:val="22"/>
          <w:szCs w:val="22"/>
        </w:rPr>
        <w:t xml:space="preserve"> 200, μαγνήσιο στεατικό.</w:t>
      </w:r>
    </w:p>
    <w:p w:rsidR="00F0677E" w:rsidRPr="00076702" w:rsidRDefault="00F0677E" w:rsidP="00F0677E">
      <w:pPr>
        <w:rPr>
          <w:color w:val="auto"/>
          <w:sz w:val="22"/>
          <w:szCs w:val="22"/>
        </w:rPr>
      </w:pPr>
    </w:p>
    <w:p w:rsidR="00F0677E" w:rsidRPr="00076702" w:rsidRDefault="00F0677E" w:rsidP="00F0677E">
      <w:pPr>
        <w:rPr>
          <w:color w:val="auto"/>
          <w:sz w:val="22"/>
          <w:szCs w:val="22"/>
        </w:rPr>
      </w:pPr>
      <w:r w:rsidRPr="00076702">
        <w:rPr>
          <w:b/>
          <w:bCs/>
          <w:color w:val="auto"/>
          <w:sz w:val="22"/>
          <w:szCs w:val="22"/>
        </w:rPr>
        <w:t xml:space="preserve">1.3 Φαρμακοτεχνική μορφή: </w:t>
      </w:r>
      <w:r w:rsidRPr="00076702">
        <w:rPr>
          <w:color w:val="auto"/>
          <w:sz w:val="22"/>
          <w:szCs w:val="22"/>
        </w:rPr>
        <w:t>Δισκία</w:t>
      </w:r>
    </w:p>
    <w:p w:rsidR="00F0677E" w:rsidRPr="00076702" w:rsidRDefault="00F0677E" w:rsidP="00F0677E">
      <w:pPr>
        <w:ind w:left="180"/>
        <w:rPr>
          <w:b/>
          <w:bCs/>
          <w:color w:val="auto"/>
          <w:sz w:val="22"/>
          <w:szCs w:val="22"/>
        </w:rPr>
      </w:pPr>
    </w:p>
    <w:p w:rsidR="00F0677E" w:rsidRPr="00076702" w:rsidRDefault="00F0677E" w:rsidP="00F0677E">
      <w:pPr>
        <w:rPr>
          <w:b/>
          <w:bCs/>
          <w:color w:val="auto"/>
          <w:sz w:val="22"/>
          <w:szCs w:val="22"/>
        </w:rPr>
      </w:pPr>
      <w:r w:rsidRPr="00076702">
        <w:rPr>
          <w:b/>
          <w:bCs/>
          <w:color w:val="auto"/>
          <w:sz w:val="22"/>
          <w:szCs w:val="22"/>
        </w:rPr>
        <w:t>1.4 Περιεκτικότητα σε δραστική ουσία</w:t>
      </w:r>
    </w:p>
    <w:p w:rsidR="00F0677E" w:rsidRPr="00076702" w:rsidRDefault="00F0677E" w:rsidP="00F0677E">
      <w:pPr>
        <w:rPr>
          <w:color w:val="auto"/>
          <w:sz w:val="22"/>
          <w:szCs w:val="22"/>
        </w:rPr>
      </w:pPr>
      <w:r w:rsidRPr="00076702">
        <w:rPr>
          <w:color w:val="auto"/>
          <w:sz w:val="22"/>
          <w:szCs w:val="22"/>
        </w:rPr>
        <w:t xml:space="preserve">Κάθε δισκίο </w:t>
      </w:r>
      <w:r w:rsidRPr="00076702">
        <w:rPr>
          <w:color w:val="auto"/>
          <w:sz w:val="22"/>
          <w:szCs w:val="22"/>
          <w:lang w:val="en-US"/>
        </w:rPr>
        <w:t>Frumil</w:t>
      </w:r>
      <w:r w:rsidRPr="00076702">
        <w:rPr>
          <w:color w:val="auto"/>
          <w:sz w:val="22"/>
          <w:szCs w:val="22"/>
        </w:rPr>
        <w:t xml:space="preserve"> περιέχει 40 </w:t>
      </w:r>
      <w:r w:rsidRPr="00076702">
        <w:rPr>
          <w:color w:val="auto"/>
          <w:sz w:val="22"/>
          <w:szCs w:val="22"/>
          <w:lang w:val="en-US"/>
        </w:rPr>
        <w:t>mg</w:t>
      </w:r>
      <w:r w:rsidRPr="00076702">
        <w:rPr>
          <w:color w:val="auto"/>
          <w:sz w:val="22"/>
          <w:szCs w:val="22"/>
        </w:rPr>
        <w:t xml:space="preserve"> φουροσεμίδης και 5,68</w:t>
      </w:r>
      <w:bookmarkStart w:id="0" w:name="_GoBack"/>
      <w:bookmarkEnd w:id="0"/>
      <w:r w:rsidRPr="00076702">
        <w:rPr>
          <w:color w:val="auto"/>
          <w:sz w:val="22"/>
          <w:szCs w:val="22"/>
        </w:rPr>
        <w:t xml:space="preserve"> </w:t>
      </w:r>
      <w:r w:rsidRPr="00076702">
        <w:rPr>
          <w:color w:val="auto"/>
          <w:sz w:val="22"/>
          <w:szCs w:val="22"/>
          <w:lang w:val="en-US"/>
        </w:rPr>
        <w:t>mg</w:t>
      </w:r>
      <w:r w:rsidRPr="00076702">
        <w:rPr>
          <w:color w:val="auto"/>
          <w:sz w:val="22"/>
          <w:szCs w:val="22"/>
        </w:rPr>
        <w:t xml:space="preserve"> αμιλορίδης υδροχλωρικής, η οποία αντιστοιχεί σε 5 </w:t>
      </w:r>
      <w:r w:rsidRPr="00076702">
        <w:rPr>
          <w:color w:val="auto"/>
          <w:sz w:val="22"/>
          <w:szCs w:val="22"/>
          <w:lang w:val="en-US"/>
        </w:rPr>
        <w:t>mg</w:t>
      </w:r>
      <w:r w:rsidRPr="00076702">
        <w:rPr>
          <w:color w:val="auto"/>
          <w:sz w:val="22"/>
          <w:szCs w:val="22"/>
        </w:rPr>
        <w:t xml:space="preserve"> αμιλορίδης υδροχλωρικής άνυδρης. </w:t>
      </w:r>
    </w:p>
    <w:p w:rsidR="00F0677E" w:rsidRPr="00076702" w:rsidRDefault="00F0677E" w:rsidP="00F0677E">
      <w:pPr>
        <w:rPr>
          <w:color w:val="auto"/>
          <w:sz w:val="22"/>
          <w:szCs w:val="22"/>
        </w:rPr>
      </w:pPr>
    </w:p>
    <w:p w:rsidR="00F0677E" w:rsidRPr="00076702" w:rsidRDefault="00F0677E" w:rsidP="00F0677E">
      <w:pPr>
        <w:rPr>
          <w:b/>
          <w:bCs/>
          <w:color w:val="auto"/>
          <w:sz w:val="22"/>
          <w:szCs w:val="22"/>
        </w:rPr>
      </w:pPr>
      <w:r w:rsidRPr="00076702">
        <w:rPr>
          <w:b/>
          <w:bCs/>
          <w:color w:val="auto"/>
          <w:sz w:val="22"/>
          <w:szCs w:val="22"/>
        </w:rPr>
        <w:t>1.5 Περιγραφή – Συσκευασία</w:t>
      </w:r>
    </w:p>
    <w:p w:rsidR="00F0677E" w:rsidRPr="00076702" w:rsidRDefault="00A02148" w:rsidP="00F0677E">
      <w:pPr>
        <w:rPr>
          <w:color w:val="auto"/>
          <w:sz w:val="22"/>
          <w:szCs w:val="22"/>
        </w:rPr>
      </w:pPr>
      <w:r w:rsidRPr="00076702">
        <w:rPr>
          <w:color w:val="auto"/>
          <w:sz w:val="22"/>
          <w:szCs w:val="22"/>
        </w:rPr>
        <w:t>Χάρτινο κ</w:t>
      </w:r>
      <w:r w:rsidR="00F0677E" w:rsidRPr="00076702">
        <w:rPr>
          <w:color w:val="auto"/>
          <w:sz w:val="22"/>
          <w:szCs w:val="22"/>
        </w:rPr>
        <w:t>ουτί που περιέχει δύο διάτρητες κυψέλες των 14 δισκίων έκαστη και το φύλλο οδηγιών χρήσης.</w:t>
      </w:r>
    </w:p>
    <w:p w:rsidR="00F0677E" w:rsidRPr="00076702" w:rsidRDefault="00F0677E" w:rsidP="00F0677E">
      <w:pPr>
        <w:rPr>
          <w:color w:val="auto"/>
          <w:sz w:val="22"/>
          <w:szCs w:val="22"/>
        </w:rPr>
      </w:pPr>
    </w:p>
    <w:p w:rsidR="00F0677E" w:rsidRPr="00076702" w:rsidRDefault="00F0677E" w:rsidP="00F0677E">
      <w:pPr>
        <w:rPr>
          <w:color w:val="auto"/>
          <w:sz w:val="22"/>
          <w:szCs w:val="22"/>
        </w:rPr>
      </w:pPr>
      <w:r w:rsidRPr="00076702">
        <w:rPr>
          <w:b/>
          <w:bCs/>
          <w:color w:val="auto"/>
          <w:sz w:val="22"/>
          <w:szCs w:val="22"/>
        </w:rPr>
        <w:t xml:space="preserve">1.6 Φαρμακοθεραπευτική κατηγορία: </w:t>
      </w:r>
      <w:r w:rsidRPr="00076702">
        <w:rPr>
          <w:color w:val="auto"/>
          <w:sz w:val="22"/>
          <w:szCs w:val="22"/>
        </w:rPr>
        <w:t xml:space="preserve">Διουρητικό </w:t>
      </w:r>
    </w:p>
    <w:p w:rsidR="00F0677E" w:rsidRPr="00076702" w:rsidRDefault="00F0677E" w:rsidP="00F0677E">
      <w:pPr>
        <w:ind w:left="180"/>
        <w:rPr>
          <w:b/>
          <w:bCs/>
          <w:color w:val="auto"/>
          <w:sz w:val="22"/>
          <w:szCs w:val="22"/>
        </w:rPr>
      </w:pPr>
    </w:p>
    <w:p w:rsidR="00F0677E" w:rsidRPr="00076702" w:rsidRDefault="00F0677E" w:rsidP="00F0677E">
      <w:pPr>
        <w:rPr>
          <w:b/>
          <w:bCs/>
          <w:color w:val="auto"/>
          <w:sz w:val="22"/>
          <w:szCs w:val="22"/>
        </w:rPr>
      </w:pPr>
      <w:r w:rsidRPr="00076702">
        <w:rPr>
          <w:b/>
          <w:bCs/>
          <w:color w:val="auto"/>
          <w:sz w:val="22"/>
          <w:szCs w:val="22"/>
        </w:rPr>
        <w:t>1.7 Υπεύθυνος άδειας κυκλοφορίας:</w:t>
      </w:r>
      <w:r w:rsidR="003449C0" w:rsidRPr="00076702">
        <w:rPr>
          <w:b/>
          <w:bCs/>
          <w:color w:val="auto"/>
          <w:sz w:val="22"/>
          <w:szCs w:val="22"/>
        </w:rPr>
        <w:tab/>
      </w:r>
      <w:r w:rsidRPr="00076702">
        <w:rPr>
          <w:b/>
          <w:bCs/>
          <w:color w:val="auto"/>
          <w:sz w:val="22"/>
          <w:szCs w:val="22"/>
          <w:lang w:val="en-US"/>
        </w:rPr>
        <w:t>sanofi</w:t>
      </w:r>
      <w:r w:rsidRPr="00076702">
        <w:rPr>
          <w:b/>
          <w:bCs/>
          <w:color w:val="auto"/>
          <w:sz w:val="22"/>
          <w:szCs w:val="22"/>
        </w:rPr>
        <w:t>-</w:t>
      </w:r>
      <w:r w:rsidRPr="00076702">
        <w:rPr>
          <w:b/>
          <w:bCs/>
          <w:color w:val="auto"/>
          <w:sz w:val="22"/>
          <w:szCs w:val="22"/>
          <w:lang w:val="en-US"/>
        </w:rPr>
        <w:t>aventis</w:t>
      </w:r>
      <w:r w:rsidRPr="00076702">
        <w:rPr>
          <w:b/>
          <w:bCs/>
          <w:color w:val="auto"/>
          <w:sz w:val="22"/>
          <w:szCs w:val="22"/>
        </w:rPr>
        <w:t xml:space="preserve"> </w:t>
      </w:r>
      <w:r w:rsidRPr="00076702">
        <w:rPr>
          <w:b/>
          <w:bCs/>
          <w:color w:val="auto"/>
          <w:sz w:val="22"/>
          <w:szCs w:val="22"/>
          <w:lang w:val="en-US"/>
        </w:rPr>
        <w:t>AEBE</w:t>
      </w:r>
    </w:p>
    <w:p w:rsidR="00F0677E" w:rsidRPr="00076702" w:rsidRDefault="00F0677E" w:rsidP="00F0677E">
      <w:pPr>
        <w:rPr>
          <w:bCs/>
          <w:color w:val="auto"/>
          <w:sz w:val="22"/>
          <w:szCs w:val="22"/>
        </w:rPr>
      </w:pPr>
      <w:r w:rsidRPr="00076702">
        <w:rPr>
          <w:bCs/>
          <w:color w:val="auto"/>
          <w:sz w:val="22"/>
          <w:szCs w:val="22"/>
        </w:rPr>
        <w:t xml:space="preserve">                                                      </w:t>
      </w:r>
      <w:r w:rsidR="00A02148" w:rsidRPr="00076702">
        <w:rPr>
          <w:bCs/>
          <w:color w:val="auto"/>
          <w:sz w:val="22"/>
          <w:szCs w:val="22"/>
        </w:rPr>
        <w:t xml:space="preserve">         </w:t>
      </w:r>
      <w:r w:rsidR="003449C0" w:rsidRPr="00E67811">
        <w:rPr>
          <w:bCs/>
          <w:color w:val="auto"/>
          <w:sz w:val="22"/>
          <w:szCs w:val="22"/>
        </w:rPr>
        <w:tab/>
      </w:r>
      <w:r w:rsidR="00A02148" w:rsidRPr="00076702">
        <w:rPr>
          <w:bCs/>
          <w:color w:val="auto"/>
          <w:sz w:val="22"/>
          <w:szCs w:val="22"/>
        </w:rPr>
        <w:t>Λεωφ. Συγγρού 348 – Κτί</w:t>
      </w:r>
      <w:r w:rsidRPr="00076702">
        <w:rPr>
          <w:bCs/>
          <w:color w:val="auto"/>
          <w:sz w:val="22"/>
          <w:szCs w:val="22"/>
        </w:rPr>
        <w:t>ριο Α΄</w:t>
      </w:r>
    </w:p>
    <w:p w:rsidR="00F0677E" w:rsidRPr="00E67811" w:rsidRDefault="00F0677E" w:rsidP="00F0677E">
      <w:pPr>
        <w:rPr>
          <w:bCs/>
          <w:color w:val="auto"/>
          <w:sz w:val="22"/>
          <w:szCs w:val="22"/>
        </w:rPr>
      </w:pPr>
      <w:r w:rsidRPr="00076702">
        <w:rPr>
          <w:bCs/>
          <w:color w:val="auto"/>
          <w:sz w:val="22"/>
          <w:szCs w:val="22"/>
        </w:rPr>
        <w:t xml:space="preserve">                                                               </w:t>
      </w:r>
      <w:r w:rsidR="003449C0" w:rsidRPr="00E67811">
        <w:rPr>
          <w:bCs/>
          <w:color w:val="auto"/>
          <w:sz w:val="22"/>
          <w:szCs w:val="22"/>
        </w:rPr>
        <w:tab/>
      </w:r>
      <w:r w:rsidRPr="00076702">
        <w:rPr>
          <w:bCs/>
          <w:color w:val="auto"/>
          <w:sz w:val="22"/>
          <w:szCs w:val="22"/>
        </w:rPr>
        <w:t>176 74 Καλλιθέα – Αθήνα</w:t>
      </w:r>
    </w:p>
    <w:p w:rsidR="003449C0" w:rsidRPr="00076702" w:rsidRDefault="003449C0" w:rsidP="00F0677E">
      <w:pPr>
        <w:rPr>
          <w:bCs/>
          <w:color w:val="auto"/>
          <w:sz w:val="22"/>
          <w:szCs w:val="22"/>
        </w:rPr>
      </w:pPr>
      <w:r w:rsidRPr="00E67811">
        <w:rPr>
          <w:bCs/>
          <w:color w:val="auto"/>
          <w:sz w:val="22"/>
          <w:szCs w:val="22"/>
        </w:rPr>
        <w:tab/>
      </w:r>
      <w:r w:rsidRPr="00E67811">
        <w:rPr>
          <w:bCs/>
          <w:color w:val="auto"/>
          <w:sz w:val="22"/>
          <w:szCs w:val="22"/>
        </w:rPr>
        <w:tab/>
      </w:r>
      <w:r w:rsidRPr="00E67811">
        <w:rPr>
          <w:bCs/>
          <w:color w:val="auto"/>
          <w:sz w:val="22"/>
          <w:szCs w:val="22"/>
        </w:rPr>
        <w:tab/>
      </w:r>
      <w:r w:rsidRPr="00E67811">
        <w:rPr>
          <w:bCs/>
          <w:color w:val="auto"/>
          <w:sz w:val="22"/>
          <w:szCs w:val="22"/>
        </w:rPr>
        <w:tab/>
      </w:r>
      <w:r w:rsidRPr="00E67811">
        <w:rPr>
          <w:bCs/>
          <w:color w:val="auto"/>
          <w:sz w:val="22"/>
          <w:szCs w:val="22"/>
        </w:rPr>
        <w:tab/>
      </w:r>
      <w:r w:rsidRPr="00076702">
        <w:rPr>
          <w:bCs/>
          <w:color w:val="auto"/>
          <w:sz w:val="22"/>
          <w:szCs w:val="22"/>
        </w:rPr>
        <w:t>Ελλάδα</w:t>
      </w:r>
    </w:p>
    <w:p w:rsidR="00F0677E" w:rsidRPr="00E67811" w:rsidRDefault="003449C0" w:rsidP="00F0677E">
      <w:pPr>
        <w:ind w:left="180"/>
        <w:rPr>
          <w:b/>
          <w:bCs/>
          <w:color w:val="auto"/>
          <w:sz w:val="22"/>
          <w:szCs w:val="22"/>
        </w:rPr>
      </w:pPr>
      <w:r w:rsidRPr="00E67811">
        <w:rPr>
          <w:b/>
          <w:bCs/>
          <w:color w:val="auto"/>
          <w:sz w:val="22"/>
          <w:szCs w:val="22"/>
        </w:rPr>
        <w:tab/>
      </w:r>
      <w:r w:rsidRPr="00E67811">
        <w:rPr>
          <w:b/>
          <w:bCs/>
          <w:color w:val="auto"/>
          <w:sz w:val="22"/>
          <w:szCs w:val="22"/>
        </w:rPr>
        <w:tab/>
      </w:r>
      <w:r w:rsidRPr="00E67811">
        <w:rPr>
          <w:b/>
          <w:bCs/>
          <w:color w:val="auto"/>
          <w:sz w:val="22"/>
          <w:szCs w:val="22"/>
        </w:rPr>
        <w:tab/>
      </w:r>
      <w:r w:rsidRPr="00E67811">
        <w:rPr>
          <w:b/>
          <w:bCs/>
          <w:color w:val="auto"/>
          <w:sz w:val="22"/>
          <w:szCs w:val="22"/>
        </w:rPr>
        <w:tab/>
      </w:r>
    </w:p>
    <w:p w:rsidR="00F0677E" w:rsidRPr="00076702" w:rsidRDefault="00F0677E" w:rsidP="00F0677E">
      <w:pPr>
        <w:rPr>
          <w:b/>
          <w:bCs/>
          <w:color w:val="auto"/>
          <w:sz w:val="22"/>
          <w:szCs w:val="22"/>
        </w:rPr>
      </w:pPr>
      <w:r w:rsidRPr="00076702">
        <w:rPr>
          <w:b/>
          <w:bCs/>
          <w:color w:val="auto"/>
          <w:sz w:val="22"/>
          <w:szCs w:val="22"/>
        </w:rPr>
        <w:t>1.8 Παρασκευαστής - Συσκευαστής</w:t>
      </w:r>
    </w:p>
    <w:p w:rsidR="00F0677E" w:rsidRPr="00076702" w:rsidRDefault="00F0677E" w:rsidP="00F0677E">
      <w:pPr>
        <w:rPr>
          <w:color w:val="auto"/>
          <w:sz w:val="22"/>
          <w:szCs w:val="22"/>
        </w:rPr>
      </w:pPr>
      <w:r w:rsidRPr="00076702">
        <w:rPr>
          <w:bCs/>
          <w:noProof/>
          <w:color w:val="auto"/>
          <w:sz w:val="22"/>
          <w:szCs w:val="22"/>
        </w:rPr>
        <w:t xml:space="preserve">Παρασκευάζεται και συσκευάζεται στο Ηνωμένο Βασίλειο από την </w:t>
      </w:r>
      <w:r w:rsidRPr="00076702">
        <w:rPr>
          <w:bCs/>
          <w:noProof/>
          <w:color w:val="auto"/>
          <w:sz w:val="22"/>
          <w:szCs w:val="22"/>
          <w:lang w:val="en-US"/>
        </w:rPr>
        <w:t>Aventis</w:t>
      </w:r>
      <w:r w:rsidRPr="00076702">
        <w:rPr>
          <w:bCs/>
          <w:noProof/>
          <w:color w:val="auto"/>
          <w:sz w:val="22"/>
          <w:szCs w:val="22"/>
        </w:rPr>
        <w:t xml:space="preserve"> </w:t>
      </w:r>
      <w:r w:rsidRPr="00076702">
        <w:rPr>
          <w:bCs/>
          <w:noProof/>
          <w:color w:val="auto"/>
          <w:sz w:val="22"/>
          <w:szCs w:val="22"/>
          <w:lang w:val="en-US"/>
        </w:rPr>
        <w:t>Pharma</w:t>
      </w:r>
      <w:r w:rsidRPr="00076702">
        <w:rPr>
          <w:bCs/>
          <w:noProof/>
          <w:color w:val="auto"/>
          <w:sz w:val="22"/>
          <w:szCs w:val="22"/>
        </w:rPr>
        <w:t xml:space="preserve">, </w:t>
      </w:r>
      <w:r w:rsidRPr="00076702">
        <w:rPr>
          <w:bCs/>
          <w:noProof/>
          <w:color w:val="auto"/>
          <w:sz w:val="22"/>
          <w:szCs w:val="22"/>
          <w:lang w:val="en-US"/>
        </w:rPr>
        <w:t>Dagenham</w:t>
      </w:r>
      <w:r w:rsidRPr="00076702">
        <w:rPr>
          <w:bCs/>
          <w:noProof/>
          <w:color w:val="auto"/>
          <w:sz w:val="22"/>
          <w:szCs w:val="22"/>
        </w:rPr>
        <w:t xml:space="preserve"> ή στην Ιταλία από τη </w:t>
      </w:r>
      <w:r w:rsidR="00A10200" w:rsidRPr="00076702">
        <w:rPr>
          <w:bCs/>
          <w:noProof/>
          <w:color w:val="auto"/>
          <w:sz w:val="22"/>
          <w:szCs w:val="22"/>
          <w:lang w:val="en-US"/>
        </w:rPr>
        <w:t>S</w:t>
      </w:r>
      <w:r w:rsidRPr="00076702">
        <w:rPr>
          <w:bCs/>
          <w:noProof/>
          <w:color w:val="auto"/>
          <w:sz w:val="22"/>
          <w:szCs w:val="22"/>
          <w:lang w:val="en-US"/>
        </w:rPr>
        <w:t>anofi</w:t>
      </w:r>
      <w:r w:rsidRPr="00076702">
        <w:rPr>
          <w:bCs/>
          <w:noProof/>
          <w:color w:val="auto"/>
          <w:sz w:val="22"/>
          <w:szCs w:val="22"/>
        </w:rPr>
        <w:t xml:space="preserve"> </w:t>
      </w:r>
      <w:r w:rsidRPr="00076702">
        <w:rPr>
          <w:bCs/>
          <w:noProof/>
          <w:color w:val="auto"/>
          <w:sz w:val="22"/>
          <w:szCs w:val="22"/>
          <w:lang w:val="en-US"/>
        </w:rPr>
        <w:t>SpA</w:t>
      </w:r>
      <w:r w:rsidRPr="00076702">
        <w:rPr>
          <w:bCs/>
          <w:noProof/>
          <w:color w:val="auto"/>
          <w:sz w:val="22"/>
          <w:szCs w:val="22"/>
        </w:rPr>
        <w:t xml:space="preserve">, </w:t>
      </w:r>
      <w:r w:rsidRPr="00076702">
        <w:rPr>
          <w:bCs/>
          <w:noProof/>
          <w:color w:val="auto"/>
          <w:sz w:val="22"/>
          <w:szCs w:val="22"/>
          <w:lang w:val="en-US"/>
        </w:rPr>
        <w:t>Scoppito</w:t>
      </w:r>
      <w:r w:rsidRPr="00076702">
        <w:rPr>
          <w:bCs/>
          <w:noProof/>
          <w:color w:val="auto"/>
          <w:sz w:val="22"/>
          <w:szCs w:val="22"/>
        </w:rPr>
        <w:t>.</w:t>
      </w:r>
    </w:p>
    <w:p w:rsidR="00F0677E" w:rsidRPr="00076702" w:rsidRDefault="00F0677E" w:rsidP="00F0677E">
      <w:pPr>
        <w:rPr>
          <w:color w:val="auto"/>
          <w:sz w:val="22"/>
          <w:szCs w:val="22"/>
        </w:rPr>
      </w:pPr>
    </w:p>
    <w:p w:rsidR="00F0677E" w:rsidRPr="00076702" w:rsidRDefault="00F0677E" w:rsidP="00F0677E">
      <w:pPr>
        <w:pStyle w:val="a6"/>
        <w:pBdr>
          <w:top w:val="single" w:sz="4" w:space="1" w:color="auto"/>
          <w:left w:val="single" w:sz="4" w:space="4" w:color="auto"/>
          <w:bottom w:val="single" w:sz="4" w:space="1" w:color="auto"/>
          <w:right w:val="single" w:sz="4" w:space="4" w:color="auto"/>
        </w:pBdr>
        <w:rPr>
          <w:b/>
          <w:noProof/>
          <w:color w:val="auto"/>
          <w:sz w:val="22"/>
          <w:szCs w:val="22"/>
        </w:rPr>
      </w:pPr>
    </w:p>
    <w:p w:rsidR="00F0677E" w:rsidRPr="00076702" w:rsidRDefault="00F0677E" w:rsidP="00F0677E">
      <w:pPr>
        <w:pStyle w:val="a6"/>
        <w:pBdr>
          <w:top w:val="single" w:sz="4" w:space="1" w:color="auto"/>
          <w:left w:val="single" w:sz="4" w:space="4" w:color="auto"/>
          <w:bottom w:val="single" w:sz="4" w:space="1" w:color="auto"/>
          <w:right w:val="single" w:sz="4" w:space="4" w:color="auto"/>
        </w:pBdr>
        <w:jc w:val="center"/>
        <w:rPr>
          <w:b/>
          <w:noProof/>
          <w:color w:val="auto"/>
          <w:sz w:val="22"/>
          <w:szCs w:val="22"/>
        </w:rPr>
      </w:pPr>
      <w:r w:rsidRPr="00076702">
        <w:rPr>
          <w:b/>
          <w:noProof/>
          <w:color w:val="auto"/>
          <w:sz w:val="22"/>
          <w:szCs w:val="22"/>
        </w:rPr>
        <w:t>2. ΤΙ ΠΡΕΠΕΙ ΝΑ ΓΝΩΡΙΖΕΤΕ ΓΙΑ ΤΟ ΦΑΡΜΑΚΟ ΠΟΥ ΣΑΣ ΧΟΡΗΓΗΣΕ</w:t>
      </w:r>
    </w:p>
    <w:p w:rsidR="00F0677E" w:rsidRPr="00076702" w:rsidRDefault="00F0677E" w:rsidP="00F0677E">
      <w:pPr>
        <w:pStyle w:val="a6"/>
        <w:pBdr>
          <w:top w:val="single" w:sz="4" w:space="1" w:color="auto"/>
          <w:left w:val="single" w:sz="4" w:space="4" w:color="auto"/>
          <w:bottom w:val="single" w:sz="4" w:space="1" w:color="auto"/>
          <w:right w:val="single" w:sz="4" w:space="4" w:color="auto"/>
        </w:pBdr>
        <w:jc w:val="center"/>
        <w:rPr>
          <w:b/>
          <w:noProof/>
          <w:color w:val="auto"/>
          <w:sz w:val="22"/>
          <w:szCs w:val="22"/>
        </w:rPr>
      </w:pPr>
      <w:r w:rsidRPr="00076702">
        <w:rPr>
          <w:b/>
          <w:noProof/>
          <w:color w:val="auto"/>
          <w:sz w:val="22"/>
          <w:szCs w:val="22"/>
        </w:rPr>
        <w:t>Ο ΓΙΑΤΡΟΣ ΣΑΣ</w:t>
      </w:r>
    </w:p>
    <w:p w:rsidR="00F0677E" w:rsidRPr="00076702" w:rsidRDefault="00F0677E" w:rsidP="00F0677E">
      <w:pPr>
        <w:pStyle w:val="a6"/>
        <w:pBdr>
          <w:top w:val="single" w:sz="4" w:space="1" w:color="auto"/>
          <w:left w:val="single" w:sz="4" w:space="4" w:color="auto"/>
          <w:bottom w:val="single" w:sz="4" w:space="1" w:color="auto"/>
          <w:right w:val="single" w:sz="4" w:space="4" w:color="auto"/>
        </w:pBdr>
        <w:rPr>
          <w:b/>
          <w:color w:val="auto"/>
          <w:sz w:val="22"/>
          <w:szCs w:val="22"/>
        </w:rPr>
      </w:pPr>
    </w:p>
    <w:p w:rsidR="00F0677E" w:rsidRPr="00076702" w:rsidRDefault="00F0677E" w:rsidP="00F0677E">
      <w:pPr>
        <w:rPr>
          <w:color w:val="auto"/>
          <w:sz w:val="22"/>
          <w:szCs w:val="22"/>
        </w:rPr>
      </w:pPr>
    </w:p>
    <w:p w:rsidR="00F0677E" w:rsidRPr="00076702" w:rsidRDefault="00F0677E" w:rsidP="00F0677E">
      <w:pPr>
        <w:rPr>
          <w:color w:val="auto"/>
          <w:sz w:val="22"/>
          <w:szCs w:val="22"/>
        </w:rPr>
      </w:pPr>
      <w:r w:rsidRPr="00076702">
        <w:rPr>
          <w:b/>
          <w:color w:val="auto"/>
          <w:sz w:val="22"/>
          <w:szCs w:val="22"/>
        </w:rPr>
        <w:t>2.1 Γενικές πληροφορίες</w:t>
      </w:r>
    </w:p>
    <w:p w:rsidR="00F0677E" w:rsidRPr="00076702" w:rsidRDefault="00F0677E" w:rsidP="00F0677E">
      <w:pPr>
        <w:pStyle w:val="a5"/>
        <w:spacing w:line="240" w:lineRule="auto"/>
        <w:ind w:right="0"/>
        <w:jc w:val="left"/>
        <w:rPr>
          <w:color w:val="auto"/>
          <w:sz w:val="22"/>
          <w:szCs w:val="22"/>
        </w:rPr>
      </w:pPr>
      <w:r w:rsidRPr="00076702">
        <w:rPr>
          <w:color w:val="auto"/>
          <w:sz w:val="22"/>
          <w:szCs w:val="22"/>
        </w:rPr>
        <w:t>Η φουροσεμίδη είναι ένα διουρητικό της αγκύλης που δημιουργεί μια συγκριτικά ισχυρή και βραχείας διάρκειας διούρηση με ταχεία έναρξη.</w:t>
      </w:r>
    </w:p>
    <w:p w:rsidR="00F0677E" w:rsidRPr="00076702" w:rsidRDefault="00F0677E" w:rsidP="00F0677E">
      <w:pPr>
        <w:pStyle w:val="a5"/>
        <w:spacing w:line="240" w:lineRule="auto"/>
        <w:ind w:right="0"/>
        <w:jc w:val="left"/>
        <w:rPr>
          <w:color w:val="auto"/>
          <w:sz w:val="22"/>
          <w:szCs w:val="22"/>
        </w:rPr>
      </w:pPr>
    </w:p>
    <w:p w:rsidR="00F0677E" w:rsidRPr="00076702" w:rsidRDefault="00F0677E" w:rsidP="00F0677E">
      <w:pPr>
        <w:pStyle w:val="a5"/>
        <w:spacing w:line="240" w:lineRule="auto"/>
        <w:ind w:right="0"/>
        <w:jc w:val="left"/>
        <w:rPr>
          <w:color w:val="auto"/>
          <w:sz w:val="22"/>
          <w:szCs w:val="22"/>
        </w:rPr>
      </w:pPr>
      <w:r w:rsidRPr="00076702">
        <w:rPr>
          <w:color w:val="auto"/>
          <w:sz w:val="22"/>
          <w:szCs w:val="22"/>
        </w:rPr>
        <w:t>Η αμιλορίδη είναι ένα ήπιο καλιοσυντηρητικό διουρητικό. Δίδεται σε ασθενείς που είναι δυνατό να παρουσιάσουν μεγάλη απώλεια καλίου μετά από μακρά θεραπεία με τα συνήθη διουρητικά φάρμακα.</w:t>
      </w:r>
    </w:p>
    <w:p w:rsidR="00F0677E" w:rsidRPr="00076702" w:rsidRDefault="00F0677E" w:rsidP="00F0677E">
      <w:pPr>
        <w:rPr>
          <w:color w:val="auto"/>
          <w:sz w:val="22"/>
          <w:szCs w:val="22"/>
        </w:rPr>
      </w:pPr>
    </w:p>
    <w:p w:rsidR="00F0677E" w:rsidRPr="00076702" w:rsidRDefault="00F0677E" w:rsidP="00F0677E">
      <w:pPr>
        <w:rPr>
          <w:color w:val="auto"/>
          <w:sz w:val="22"/>
          <w:szCs w:val="22"/>
        </w:rPr>
      </w:pPr>
      <w:r w:rsidRPr="00076702">
        <w:rPr>
          <w:bCs/>
          <w:color w:val="auto"/>
          <w:sz w:val="22"/>
          <w:szCs w:val="22"/>
        </w:rPr>
        <w:t>Το F</w:t>
      </w:r>
      <w:r w:rsidRPr="00076702">
        <w:rPr>
          <w:bCs/>
          <w:color w:val="auto"/>
          <w:sz w:val="22"/>
          <w:szCs w:val="22"/>
          <w:lang w:val="en-US"/>
        </w:rPr>
        <w:t>rumil</w:t>
      </w:r>
      <w:r w:rsidRPr="00076702">
        <w:rPr>
          <w:color w:val="auto"/>
          <w:sz w:val="22"/>
          <w:szCs w:val="22"/>
        </w:rPr>
        <w:t xml:space="preserve"> είναι συνδυασμός φουροσεμίδης με αμιλορίδη και προκαλεί γρήγορη διούρηση, παρατεταμένη και πλούσια σε νάτριο, ενώ μειώνεται η απέκκριση καλίου. Η καλιαιμία επομένως ισορροπείται και δεν απαιτείται η συμπληρωματική χορήγηση καλίου. </w:t>
      </w:r>
    </w:p>
    <w:p w:rsidR="00F0677E" w:rsidRPr="00076702" w:rsidRDefault="00F0677E" w:rsidP="00F0677E">
      <w:pPr>
        <w:rPr>
          <w:color w:val="auto"/>
          <w:sz w:val="22"/>
          <w:szCs w:val="22"/>
        </w:rPr>
      </w:pPr>
    </w:p>
    <w:p w:rsidR="00F0677E" w:rsidRPr="00076702" w:rsidRDefault="00F0677E" w:rsidP="00F0677E">
      <w:pPr>
        <w:rPr>
          <w:b/>
          <w:color w:val="auto"/>
          <w:sz w:val="22"/>
          <w:szCs w:val="22"/>
        </w:rPr>
      </w:pPr>
      <w:r w:rsidRPr="00076702">
        <w:rPr>
          <w:b/>
          <w:color w:val="auto"/>
          <w:sz w:val="22"/>
          <w:szCs w:val="22"/>
        </w:rPr>
        <w:t>2.2 Θεραπευτικές ενδείξεις</w:t>
      </w:r>
    </w:p>
    <w:p w:rsidR="00F0677E" w:rsidRPr="00076702" w:rsidRDefault="00F0677E" w:rsidP="00F0677E">
      <w:pPr>
        <w:pStyle w:val="3"/>
        <w:spacing w:after="0"/>
        <w:ind w:left="0"/>
        <w:rPr>
          <w:color w:val="auto"/>
          <w:sz w:val="22"/>
          <w:szCs w:val="22"/>
        </w:rPr>
      </w:pPr>
      <w:r w:rsidRPr="00076702">
        <w:rPr>
          <w:color w:val="auto"/>
          <w:sz w:val="22"/>
          <w:szCs w:val="22"/>
        </w:rPr>
        <w:t xml:space="preserve">Οιδήματα οφειλόμενα σε συμφορητική καρδιακή ανεπάρκεια, κίρρωση ήπατος ή νεφρική βλάβη. Αρτηριακή υπέρταση. </w:t>
      </w:r>
    </w:p>
    <w:p w:rsidR="00F0677E" w:rsidRPr="00076702" w:rsidRDefault="00F0677E" w:rsidP="00F0677E">
      <w:pPr>
        <w:rPr>
          <w:b/>
          <w:color w:val="auto"/>
          <w:sz w:val="22"/>
          <w:szCs w:val="22"/>
        </w:rPr>
      </w:pPr>
    </w:p>
    <w:p w:rsidR="00F0677E" w:rsidRPr="00076702" w:rsidRDefault="00F0677E" w:rsidP="00F0677E">
      <w:pPr>
        <w:rPr>
          <w:b/>
          <w:color w:val="auto"/>
          <w:sz w:val="22"/>
          <w:szCs w:val="22"/>
        </w:rPr>
      </w:pPr>
      <w:r w:rsidRPr="00076702">
        <w:rPr>
          <w:b/>
          <w:color w:val="auto"/>
          <w:sz w:val="22"/>
          <w:szCs w:val="22"/>
        </w:rPr>
        <w:t>2.3 Αντενδείξεις</w:t>
      </w:r>
    </w:p>
    <w:p w:rsidR="00A406A3" w:rsidRDefault="00A406A3" w:rsidP="00F0677E">
      <w:pPr>
        <w:tabs>
          <w:tab w:val="left" w:pos="567"/>
        </w:tabs>
        <w:ind w:right="-199"/>
        <w:rPr>
          <w:color w:val="auto"/>
          <w:sz w:val="22"/>
          <w:szCs w:val="22"/>
        </w:rPr>
      </w:pPr>
    </w:p>
    <w:p w:rsidR="00F0677E" w:rsidRPr="00076702" w:rsidRDefault="00F0677E" w:rsidP="00F0677E">
      <w:pPr>
        <w:tabs>
          <w:tab w:val="left" w:pos="567"/>
        </w:tabs>
        <w:ind w:right="-199"/>
        <w:rPr>
          <w:color w:val="auto"/>
          <w:sz w:val="22"/>
          <w:szCs w:val="22"/>
        </w:rPr>
      </w:pPr>
      <w:r w:rsidRPr="00076702">
        <w:rPr>
          <w:color w:val="auto"/>
          <w:sz w:val="22"/>
          <w:szCs w:val="22"/>
        </w:rPr>
        <w:t>Τα φάρμακα μπορούν να βοηθήσουν τους ασθενείς, μπορούν όμως να δημιουργήσουν και προβλήματα όταν αυτά δε λαμβάνονται σύμφωνα με τις οδηγίες.</w:t>
      </w:r>
    </w:p>
    <w:p w:rsidR="00F0677E" w:rsidRPr="00076702" w:rsidRDefault="00F0677E" w:rsidP="00F0677E">
      <w:pPr>
        <w:tabs>
          <w:tab w:val="left" w:pos="567"/>
        </w:tabs>
        <w:ind w:right="-199"/>
        <w:rPr>
          <w:color w:val="auto"/>
          <w:sz w:val="22"/>
          <w:szCs w:val="22"/>
        </w:rPr>
      </w:pPr>
      <w:r w:rsidRPr="00076702">
        <w:rPr>
          <w:color w:val="auto"/>
          <w:sz w:val="22"/>
          <w:szCs w:val="22"/>
        </w:rPr>
        <w:t>Το συγκεκριμένο φάρμακο δεν πρέπει να το πάρετε, αν προηγουμένως δεν έχετε συνεννοηθεί με το γιατρό σας.</w:t>
      </w:r>
    </w:p>
    <w:p w:rsidR="00F0677E" w:rsidRPr="00076702" w:rsidRDefault="00F0677E" w:rsidP="00F0677E">
      <w:pPr>
        <w:ind w:left="426" w:hanging="426"/>
        <w:rPr>
          <w:strike/>
          <w:color w:val="auto"/>
          <w:sz w:val="22"/>
          <w:szCs w:val="22"/>
        </w:rPr>
      </w:pPr>
    </w:p>
    <w:p w:rsidR="00F0677E" w:rsidRPr="00076702" w:rsidRDefault="00F0677E" w:rsidP="00F0677E">
      <w:pPr>
        <w:rPr>
          <w:color w:val="auto"/>
          <w:sz w:val="22"/>
          <w:szCs w:val="22"/>
        </w:rPr>
      </w:pPr>
      <w:r w:rsidRPr="00076702">
        <w:rPr>
          <w:color w:val="auto"/>
          <w:sz w:val="22"/>
          <w:szCs w:val="22"/>
        </w:rPr>
        <w:t xml:space="preserve">Το </w:t>
      </w:r>
      <w:r w:rsidRPr="00076702">
        <w:rPr>
          <w:color w:val="auto"/>
          <w:sz w:val="22"/>
          <w:szCs w:val="22"/>
          <w:lang w:val="en-US"/>
        </w:rPr>
        <w:t>Frumil</w:t>
      </w:r>
      <w:r w:rsidRPr="00076702">
        <w:rPr>
          <w:color w:val="auto"/>
          <w:sz w:val="22"/>
          <w:szCs w:val="22"/>
        </w:rPr>
        <w:t xml:space="preserve"> δεν πρέπει να χορηγείται σε:</w:t>
      </w:r>
    </w:p>
    <w:p w:rsidR="00F0677E" w:rsidRPr="00076702" w:rsidRDefault="00F0677E" w:rsidP="00F0677E">
      <w:pPr>
        <w:rPr>
          <w:color w:val="auto"/>
          <w:sz w:val="22"/>
          <w:szCs w:val="22"/>
        </w:rPr>
      </w:pPr>
      <w:r w:rsidRPr="00076702">
        <w:rPr>
          <w:color w:val="auto"/>
          <w:sz w:val="22"/>
          <w:szCs w:val="22"/>
        </w:rPr>
        <w:t xml:space="preserve">- Ασθενείς με υπερευαισθησία στη φουροσεμίδη, την αμιλορίδη, τις σουλφοναμίδες ή τα παράγωγα </w:t>
      </w:r>
      <w:r w:rsidRPr="00076702">
        <w:rPr>
          <w:color w:val="auto"/>
          <w:sz w:val="22"/>
          <w:szCs w:val="22"/>
        </w:rPr>
        <w:br/>
        <w:t xml:space="preserve">  σουλφοναμιδών ή σε κάποιο από τα έκδοχα του </w:t>
      </w:r>
      <w:r w:rsidRPr="00076702">
        <w:rPr>
          <w:color w:val="auto"/>
          <w:sz w:val="22"/>
          <w:szCs w:val="22"/>
          <w:lang w:val="en-US"/>
        </w:rPr>
        <w:t>Frumil</w:t>
      </w:r>
      <w:r w:rsidRPr="00076702">
        <w:rPr>
          <w:color w:val="auto"/>
          <w:sz w:val="22"/>
          <w:szCs w:val="22"/>
        </w:rPr>
        <w:t xml:space="preserve">. Ασθενείς αλλεργικοί στις σουλφοναμίδες (π.χ. </w:t>
      </w:r>
      <w:r w:rsidRPr="00076702">
        <w:rPr>
          <w:color w:val="auto"/>
          <w:sz w:val="22"/>
          <w:szCs w:val="22"/>
        </w:rPr>
        <w:br/>
        <w:t xml:space="preserve">  αντιβιοτικά σουλφοναμίδης ή σουλφονυλουρίες) μπορεί να εμφανίσουν διασταυρούμενη ευαισθησία </w:t>
      </w:r>
      <w:r w:rsidRPr="00076702">
        <w:rPr>
          <w:color w:val="auto"/>
          <w:sz w:val="22"/>
          <w:szCs w:val="22"/>
        </w:rPr>
        <w:br/>
        <w:t xml:space="preserve">  στη φουροσεμίδη,</w:t>
      </w:r>
    </w:p>
    <w:p w:rsidR="00F0677E" w:rsidRPr="00076702" w:rsidRDefault="00F0677E" w:rsidP="00F0677E">
      <w:pPr>
        <w:rPr>
          <w:color w:val="auto"/>
          <w:sz w:val="22"/>
          <w:szCs w:val="22"/>
        </w:rPr>
      </w:pPr>
      <w:r w:rsidRPr="00076702">
        <w:rPr>
          <w:color w:val="auto"/>
          <w:sz w:val="22"/>
          <w:szCs w:val="22"/>
        </w:rPr>
        <w:t xml:space="preserve">- Ασθενείς με διαταραχή της νεφρικής λειτουργίας και με κάθαρση κρεατινίνης &lt; 30 </w:t>
      </w:r>
      <w:r w:rsidRPr="00076702">
        <w:rPr>
          <w:color w:val="auto"/>
          <w:sz w:val="22"/>
          <w:szCs w:val="22"/>
          <w:lang w:val="en-US"/>
        </w:rPr>
        <w:t>ml</w:t>
      </w:r>
      <w:r w:rsidRPr="00076702">
        <w:rPr>
          <w:color w:val="auto"/>
          <w:sz w:val="22"/>
          <w:szCs w:val="22"/>
        </w:rPr>
        <w:t>/</w:t>
      </w:r>
      <w:r w:rsidRPr="00076702">
        <w:rPr>
          <w:color w:val="auto"/>
          <w:sz w:val="22"/>
          <w:szCs w:val="22"/>
          <w:lang w:val="en-US"/>
        </w:rPr>
        <w:t>min</w:t>
      </w:r>
      <w:r w:rsidRPr="00076702">
        <w:rPr>
          <w:color w:val="auto"/>
          <w:sz w:val="22"/>
          <w:szCs w:val="22"/>
        </w:rPr>
        <w:t xml:space="preserve">/1,73 </w:t>
      </w:r>
      <w:r w:rsidRPr="00076702">
        <w:rPr>
          <w:color w:val="auto"/>
          <w:sz w:val="22"/>
          <w:szCs w:val="22"/>
          <w:lang w:val="en-US"/>
        </w:rPr>
        <w:t>m</w:t>
      </w:r>
      <w:r w:rsidRPr="00076702">
        <w:rPr>
          <w:color w:val="auto"/>
          <w:sz w:val="22"/>
          <w:szCs w:val="22"/>
          <w:vertAlign w:val="superscript"/>
        </w:rPr>
        <w:t>2</w:t>
      </w:r>
      <w:r w:rsidRPr="00076702">
        <w:rPr>
          <w:color w:val="auto"/>
          <w:sz w:val="22"/>
          <w:szCs w:val="22"/>
        </w:rPr>
        <w:t xml:space="preserve"> </w:t>
      </w:r>
      <w:r w:rsidRPr="00076702">
        <w:rPr>
          <w:color w:val="auto"/>
          <w:sz w:val="22"/>
          <w:szCs w:val="22"/>
        </w:rPr>
        <w:br/>
        <w:t xml:space="preserve">  επιφάνειας σώματος, με οξεία νεφρική ανεπάρκεια ή ανουρία,</w:t>
      </w:r>
    </w:p>
    <w:p w:rsidR="00F0677E" w:rsidRPr="00076702" w:rsidRDefault="00F0677E" w:rsidP="00F0677E">
      <w:pPr>
        <w:rPr>
          <w:color w:val="auto"/>
          <w:sz w:val="22"/>
          <w:szCs w:val="22"/>
        </w:rPr>
      </w:pPr>
      <w:r w:rsidRPr="00076702">
        <w:rPr>
          <w:color w:val="auto"/>
          <w:sz w:val="22"/>
          <w:szCs w:val="22"/>
        </w:rPr>
        <w:t xml:space="preserve">- Ασθενείς σε προκωματώδεις και κωματώδεις καταστάσεις οι οποίες σχετίζονται με ηπατική </w:t>
      </w:r>
      <w:r w:rsidRPr="00076702">
        <w:rPr>
          <w:color w:val="auto"/>
          <w:sz w:val="22"/>
          <w:szCs w:val="22"/>
        </w:rPr>
        <w:br/>
        <w:t xml:space="preserve">  εγκεφαλοπάθεια,</w:t>
      </w:r>
    </w:p>
    <w:p w:rsidR="00F0677E" w:rsidRPr="00076702" w:rsidRDefault="00F0677E" w:rsidP="00F0677E">
      <w:pPr>
        <w:rPr>
          <w:color w:val="auto"/>
          <w:sz w:val="22"/>
          <w:szCs w:val="22"/>
        </w:rPr>
      </w:pPr>
      <w:r w:rsidRPr="00076702">
        <w:rPr>
          <w:color w:val="auto"/>
          <w:sz w:val="22"/>
          <w:szCs w:val="22"/>
        </w:rPr>
        <w:t>- Ασθενείς που λαμβάνουν άλατα καλίου ή φάρμακα που μειώνουν την απέκκριση καλίου,</w:t>
      </w:r>
    </w:p>
    <w:p w:rsidR="00F0677E" w:rsidRPr="00076702" w:rsidRDefault="00F0677E" w:rsidP="00F0677E">
      <w:pPr>
        <w:rPr>
          <w:color w:val="auto"/>
          <w:sz w:val="22"/>
          <w:szCs w:val="22"/>
        </w:rPr>
      </w:pPr>
      <w:r w:rsidRPr="00076702">
        <w:rPr>
          <w:color w:val="auto"/>
          <w:sz w:val="22"/>
          <w:szCs w:val="22"/>
        </w:rPr>
        <w:t>- Ασθενείς με υπερκαλιαιμία,</w:t>
      </w:r>
    </w:p>
    <w:p w:rsidR="00F0677E" w:rsidRPr="00076702" w:rsidRDefault="00F0677E" w:rsidP="00F0677E">
      <w:pPr>
        <w:rPr>
          <w:color w:val="auto"/>
          <w:sz w:val="22"/>
          <w:szCs w:val="22"/>
        </w:rPr>
      </w:pPr>
      <w:r w:rsidRPr="00076702">
        <w:rPr>
          <w:color w:val="auto"/>
          <w:sz w:val="22"/>
          <w:szCs w:val="22"/>
        </w:rPr>
        <w:t xml:space="preserve">- Ασθενείς με σοβαρή υποκαλιαιμία. Ωστόσο, εφόσον κατά τη διάρκεια της αγωγής εκδηλωθεί </w:t>
      </w:r>
      <w:r w:rsidRPr="00076702">
        <w:rPr>
          <w:color w:val="auto"/>
          <w:sz w:val="22"/>
          <w:szCs w:val="22"/>
        </w:rPr>
        <w:br/>
        <w:t xml:space="preserve">   υποκαλιαιμία, συνήθως μπορεί να διορθωθεί χωρίς να διακοπεί η χορήγηση του </w:t>
      </w:r>
      <w:r w:rsidRPr="00076702">
        <w:rPr>
          <w:color w:val="auto"/>
          <w:sz w:val="22"/>
          <w:szCs w:val="22"/>
          <w:lang w:val="en-US"/>
        </w:rPr>
        <w:t>Frumil</w:t>
      </w:r>
      <w:r w:rsidRPr="00076702">
        <w:rPr>
          <w:color w:val="auto"/>
          <w:sz w:val="22"/>
          <w:szCs w:val="22"/>
        </w:rPr>
        <w:t>,</w:t>
      </w:r>
    </w:p>
    <w:p w:rsidR="00F0677E" w:rsidRPr="00076702" w:rsidRDefault="00F0677E" w:rsidP="00F0677E">
      <w:pPr>
        <w:ind w:left="66" w:hanging="66"/>
        <w:rPr>
          <w:color w:val="auto"/>
          <w:sz w:val="22"/>
          <w:szCs w:val="22"/>
        </w:rPr>
      </w:pPr>
      <w:r w:rsidRPr="00076702">
        <w:rPr>
          <w:color w:val="auto"/>
          <w:sz w:val="22"/>
          <w:szCs w:val="22"/>
        </w:rPr>
        <w:t>-  Ασθενείς με σοβαρή υπονατριαιμία,</w:t>
      </w:r>
    </w:p>
    <w:p w:rsidR="00F0677E" w:rsidRPr="00076702" w:rsidRDefault="00F0677E" w:rsidP="00F0677E">
      <w:pPr>
        <w:ind w:left="66" w:hanging="66"/>
        <w:rPr>
          <w:color w:val="auto"/>
          <w:sz w:val="22"/>
          <w:szCs w:val="22"/>
        </w:rPr>
      </w:pPr>
      <w:r w:rsidRPr="00076702">
        <w:rPr>
          <w:color w:val="auto"/>
          <w:sz w:val="22"/>
          <w:szCs w:val="22"/>
        </w:rPr>
        <w:t>-  Ασθενείς με υποογκαιμία ή αφυδάτωση (με ή χωρίς συνοδό υπόταση),</w:t>
      </w:r>
    </w:p>
    <w:p w:rsidR="00F0677E" w:rsidRPr="00076702" w:rsidRDefault="00F0677E" w:rsidP="00F0677E">
      <w:pPr>
        <w:ind w:left="66" w:hanging="66"/>
        <w:rPr>
          <w:color w:val="auto"/>
          <w:sz w:val="22"/>
          <w:szCs w:val="22"/>
        </w:rPr>
      </w:pPr>
      <w:r w:rsidRPr="00076702">
        <w:rPr>
          <w:color w:val="auto"/>
          <w:sz w:val="22"/>
          <w:szCs w:val="22"/>
        </w:rPr>
        <w:t xml:space="preserve">-  Ασθενείς με νόσο του </w:t>
      </w:r>
      <w:r w:rsidRPr="00076702">
        <w:rPr>
          <w:color w:val="auto"/>
          <w:sz w:val="22"/>
          <w:szCs w:val="22"/>
          <w:lang w:val="en-US"/>
        </w:rPr>
        <w:t>Addison</w:t>
      </w:r>
      <w:r w:rsidRPr="00076702">
        <w:rPr>
          <w:color w:val="auto"/>
          <w:sz w:val="22"/>
          <w:szCs w:val="22"/>
        </w:rPr>
        <w:t>,</w:t>
      </w:r>
    </w:p>
    <w:p w:rsidR="00F0677E" w:rsidRPr="00076702" w:rsidRDefault="00F0677E" w:rsidP="00F0677E">
      <w:pPr>
        <w:ind w:left="66" w:hanging="66"/>
        <w:rPr>
          <w:color w:val="auto"/>
          <w:sz w:val="22"/>
          <w:szCs w:val="22"/>
        </w:rPr>
      </w:pPr>
      <w:r w:rsidRPr="00076702">
        <w:rPr>
          <w:color w:val="auto"/>
          <w:sz w:val="22"/>
          <w:szCs w:val="22"/>
        </w:rPr>
        <w:t>-  Κύηση,</w:t>
      </w:r>
    </w:p>
    <w:p w:rsidR="00F0677E" w:rsidRPr="00076702" w:rsidRDefault="00F0677E" w:rsidP="00F0677E">
      <w:pPr>
        <w:ind w:left="66" w:hanging="66"/>
        <w:rPr>
          <w:color w:val="auto"/>
          <w:sz w:val="22"/>
          <w:szCs w:val="22"/>
        </w:rPr>
      </w:pPr>
      <w:r w:rsidRPr="00076702">
        <w:rPr>
          <w:color w:val="auto"/>
          <w:sz w:val="22"/>
          <w:szCs w:val="22"/>
        </w:rPr>
        <w:t>-  Γαλουχία,</w:t>
      </w:r>
    </w:p>
    <w:p w:rsidR="00F0677E" w:rsidRPr="00076702" w:rsidRDefault="00F0677E" w:rsidP="00F0677E">
      <w:pPr>
        <w:ind w:left="66" w:hanging="66"/>
        <w:rPr>
          <w:color w:val="auto"/>
          <w:sz w:val="22"/>
          <w:szCs w:val="22"/>
        </w:rPr>
      </w:pPr>
      <w:r w:rsidRPr="00076702">
        <w:rPr>
          <w:color w:val="auto"/>
          <w:sz w:val="22"/>
          <w:szCs w:val="22"/>
        </w:rPr>
        <w:t xml:space="preserve">-  Παιδιά και έφηβοι ηλικίας κάτω των 18 ετών, καθόσον δεν υπάρχει εμπειρία από τη χρήση του </w:t>
      </w:r>
      <w:r w:rsidRPr="00076702">
        <w:rPr>
          <w:color w:val="auto"/>
          <w:sz w:val="22"/>
          <w:szCs w:val="22"/>
          <w:lang w:val="en-US"/>
        </w:rPr>
        <w:t>Frumil</w:t>
      </w:r>
      <w:r w:rsidRPr="00076702">
        <w:rPr>
          <w:color w:val="auto"/>
          <w:sz w:val="22"/>
          <w:szCs w:val="22"/>
        </w:rPr>
        <w:t xml:space="preserve"> </w:t>
      </w:r>
      <w:r w:rsidRPr="00076702">
        <w:rPr>
          <w:color w:val="auto"/>
          <w:sz w:val="22"/>
          <w:szCs w:val="22"/>
        </w:rPr>
        <w:br/>
        <w:t xml:space="preserve">  σε αυτές τις ηλικιακές ομάδες.</w:t>
      </w:r>
    </w:p>
    <w:p w:rsidR="00F0677E" w:rsidRPr="00076702" w:rsidRDefault="00F0677E" w:rsidP="00F0677E">
      <w:pPr>
        <w:rPr>
          <w:color w:val="auto"/>
          <w:sz w:val="22"/>
          <w:szCs w:val="22"/>
        </w:rPr>
      </w:pPr>
    </w:p>
    <w:p w:rsidR="00F0677E" w:rsidRPr="00076702" w:rsidRDefault="00F0677E" w:rsidP="00F0677E">
      <w:pPr>
        <w:rPr>
          <w:b/>
          <w:color w:val="auto"/>
          <w:sz w:val="22"/>
          <w:szCs w:val="22"/>
        </w:rPr>
      </w:pPr>
      <w:r w:rsidRPr="00076702">
        <w:rPr>
          <w:b/>
          <w:color w:val="auto"/>
          <w:sz w:val="22"/>
          <w:szCs w:val="22"/>
        </w:rPr>
        <w:t>2.4 Ειδικές προειδοποιήσει</w:t>
      </w:r>
      <w:r w:rsidR="00A02148" w:rsidRPr="00076702">
        <w:rPr>
          <w:b/>
          <w:color w:val="auto"/>
          <w:sz w:val="22"/>
          <w:szCs w:val="22"/>
        </w:rPr>
        <w:t>ς και προφυλάξεις κατά τη χρήση</w:t>
      </w:r>
    </w:p>
    <w:p w:rsidR="00A406A3" w:rsidRDefault="00A406A3" w:rsidP="00F0677E">
      <w:pPr>
        <w:pStyle w:val="1"/>
        <w:jc w:val="left"/>
        <w:rPr>
          <w:i/>
          <w:iCs/>
          <w:color w:val="auto"/>
          <w:sz w:val="22"/>
          <w:szCs w:val="22"/>
        </w:rPr>
      </w:pPr>
    </w:p>
    <w:p w:rsidR="00F0677E" w:rsidRPr="00076702" w:rsidRDefault="00A02148" w:rsidP="00F0677E">
      <w:pPr>
        <w:pStyle w:val="1"/>
        <w:jc w:val="left"/>
        <w:rPr>
          <w:i/>
          <w:iCs/>
          <w:color w:val="auto"/>
          <w:sz w:val="22"/>
          <w:szCs w:val="22"/>
        </w:rPr>
      </w:pPr>
      <w:r w:rsidRPr="00076702">
        <w:rPr>
          <w:i/>
          <w:iCs/>
          <w:color w:val="auto"/>
          <w:sz w:val="22"/>
          <w:szCs w:val="22"/>
        </w:rPr>
        <w:t>2.4.1 Προειδοποιήσεις</w:t>
      </w:r>
    </w:p>
    <w:p w:rsidR="00F0677E" w:rsidRPr="00076702" w:rsidRDefault="00F0677E" w:rsidP="00F0677E">
      <w:pPr>
        <w:tabs>
          <w:tab w:val="left" w:pos="360"/>
        </w:tabs>
        <w:ind w:right="84"/>
        <w:rPr>
          <w:color w:val="auto"/>
          <w:sz w:val="22"/>
          <w:szCs w:val="22"/>
        </w:rPr>
      </w:pPr>
      <w:r w:rsidRPr="00076702">
        <w:rPr>
          <w:color w:val="auto"/>
          <w:sz w:val="22"/>
          <w:szCs w:val="22"/>
        </w:rPr>
        <w:t xml:space="preserve">Η αγωγή με </w:t>
      </w:r>
      <w:r w:rsidRPr="00076702">
        <w:rPr>
          <w:color w:val="auto"/>
          <w:sz w:val="22"/>
          <w:szCs w:val="22"/>
          <w:lang w:val="en-US"/>
        </w:rPr>
        <w:t>Frumil</w:t>
      </w:r>
      <w:r w:rsidRPr="00076702">
        <w:rPr>
          <w:color w:val="auto"/>
          <w:sz w:val="22"/>
          <w:szCs w:val="22"/>
        </w:rPr>
        <w:t xml:space="preserve"> πρέπει να διακόπτεται πριν από τη δοκιμασία ελέγχου ανοχής στη γλυκόζη.</w:t>
      </w:r>
    </w:p>
    <w:p w:rsidR="00F0677E" w:rsidRPr="00076702" w:rsidRDefault="00F0677E" w:rsidP="00F0677E">
      <w:pPr>
        <w:ind w:right="84"/>
        <w:rPr>
          <w:color w:val="auto"/>
          <w:sz w:val="22"/>
          <w:szCs w:val="22"/>
        </w:rPr>
      </w:pPr>
      <w:r w:rsidRPr="00076702">
        <w:rPr>
          <w:color w:val="auto"/>
          <w:sz w:val="22"/>
          <w:szCs w:val="22"/>
        </w:rPr>
        <w:t xml:space="preserve"> </w:t>
      </w:r>
    </w:p>
    <w:p w:rsidR="00F0677E" w:rsidRPr="00076702" w:rsidRDefault="00F0677E" w:rsidP="00F0677E">
      <w:pPr>
        <w:ind w:right="84"/>
        <w:rPr>
          <w:color w:val="auto"/>
          <w:sz w:val="22"/>
          <w:szCs w:val="22"/>
        </w:rPr>
      </w:pPr>
      <w:r w:rsidRPr="00076702">
        <w:rPr>
          <w:color w:val="auto"/>
          <w:sz w:val="22"/>
          <w:szCs w:val="22"/>
        </w:rPr>
        <w:t xml:space="preserve">Το </w:t>
      </w:r>
      <w:r w:rsidRPr="00076702">
        <w:rPr>
          <w:color w:val="auto"/>
          <w:sz w:val="22"/>
          <w:szCs w:val="22"/>
          <w:lang w:val="en-US"/>
        </w:rPr>
        <w:t>Frumil</w:t>
      </w:r>
      <w:r w:rsidRPr="00076702">
        <w:rPr>
          <w:color w:val="auto"/>
          <w:sz w:val="22"/>
          <w:szCs w:val="22"/>
        </w:rPr>
        <w:t xml:space="preserve"> πρέπει να χρησιμοποιείται με ιδιαίτερη προσοχή σε ηλικιωμένους ασθενείς ή σε ασθενείς με δυναμικό απόφραξης των ουροφόρων οδών ή με διαταραχές που καθιστούν την ηλεκτρολυτική ισορροπία επισφαλή.  </w:t>
      </w:r>
    </w:p>
    <w:p w:rsidR="00F0677E" w:rsidRPr="00076702" w:rsidRDefault="00F0677E" w:rsidP="00F0677E">
      <w:pPr>
        <w:ind w:right="84"/>
        <w:rPr>
          <w:color w:val="auto"/>
          <w:sz w:val="22"/>
          <w:szCs w:val="22"/>
        </w:rPr>
      </w:pPr>
    </w:p>
    <w:p w:rsidR="00F0677E" w:rsidRPr="00076702" w:rsidRDefault="00F0677E" w:rsidP="00F0677E">
      <w:pPr>
        <w:ind w:right="84"/>
        <w:rPr>
          <w:color w:val="auto"/>
          <w:sz w:val="22"/>
          <w:szCs w:val="22"/>
        </w:rPr>
      </w:pPr>
      <w:r w:rsidRPr="00076702">
        <w:rPr>
          <w:color w:val="auto"/>
          <w:sz w:val="22"/>
          <w:szCs w:val="22"/>
        </w:rPr>
        <w:t xml:space="preserve">Όπου ενδείκνυται, πρέπει να λαμβάνονται μέτρα για τη διόρθωση της υπότασης ή της υποογκαιμίας πριν την έναρξη της θεραπείας.  </w:t>
      </w:r>
    </w:p>
    <w:p w:rsidR="00F0677E" w:rsidRPr="00076702" w:rsidRDefault="00F0677E" w:rsidP="00F0677E">
      <w:pPr>
        <w:pStyle w:val="1"/>
        <w:jc w:val="left"/>
        <w:rPr>
          <w:i/>
          <w:iCs/>
          <w:color w:val="auto"/>
          <w:sz w:val="22"/>
          <w:szCs w:val="22"/>
        </w:rPr>
      </w:pPr>
    </w:p>
    <w:p w:rsidR="00F0677E" w:rsidRPr="00076702" w:rsidRDefault="00A02148" w:rsidP="00F0677E">
      <w:pPr>
        <w:pStyle w:val="1"/>
        <w:jc w:val="left"/>
        <w:rPr>
          <w:i/>
          <w:iCs/>
          <w:color w:val="auto"/>
          <w:sz w:val="22"/>
          <w:szCs w:val="22"/>
        </w:rPr>
      </w:pPr>
      <w:r w:rsidRPr="00076702">
        <w:rPr>
          <w:i/>
          <w:iCs/>
          <w:color w:val="auto"/>
          <w:sz w:val="22"/>
          <w:szCs w:val="22"/>
        </w:rPr>
        <w:t>2.4.2 Προφυλάξεις</w:t>
      </w:r>
    </w:p>
    <w:p w:rsidR="00F0677E" w:rsidRPr="00076702" w:rsidRDefault="00F0677E" w:rsidP="00F0677E">
      <w:pPr>
        <w:ind w:right="84"/>
        <w:rPr>
          <w:color w:val="auto"/>
          <w:sz w:val="22"/>
          <w:szCs w:val="22"/>
        </w:rPr>
      </w:pPr>
      <w:r w:rsidRPr="00076702">
        <w:rPr>
          <w:color w:val="auto"/>
          <w:sz w:val="22"/>
          <w:szCs w:val="22"/>
        </w:rPr>
        <w:t>Πρέπει να διασφαλίζεται η βατότητα των ουροφόρων οδών. Σε ασθενείς με μερική απόφραξη των ουροφόρων οδών (π.χ. ασθενείς με διαταραχές κένωσης της ουροδόχου κύστης, υπερπλασία του προστάτη ή στένωση της ουρήθρας), η αυξημένη παραγωγή των ούρων μπορεί να προκαλέσει ή να επιδεινώσει τα ενοχλήματα. Συνεπώς, απαιτείται προσεκτική παρακολούθηση αυτών των ασθενών – ιδιαίτερα κατά τη διάρκεια των αρχικών σταδίων της θεραπείας.</w:t>
      </w:r>
    </w:p>
    <w:p w:rsidR="00F0677E" w:rsidRPr="00076702" w:rsidRDefault="00F0677E" w:rsidP="00F0677E">
      <w:pPr>
        <w:ind w:right="84"/>
        <w:rPr>
          <w:color w:val="auto"/>
          <w:sz w:val="22"/>
          <w:szCs w:val="22"/>
        </w:rPr>
      </w:pPr>
    </w:p>
    <w:p w:rsidR="00F0677E" w:rsidRPr="00076702" w:rsidRDefault="00F0677E" w:rsidP="00F0677E">
      <w:pPr>
        <w:ind w:right="84"/>
        <w:rPr>
          <w:color w:val="auto"/>
          <w:sz w:val="22"/>
          <w:szCs w:val="22"/>
        </w:rPr>
      </w:pPr>
      <w:r w:rsidRPr="00076702">
        <w:rPr>
          <w:color w:val="auto"/>
          <w:sz w:val="22"/>
          <w:szCs w:val="22"/>
        </w:rPr>
        <w:t xml:space="preserve">Η αγωγή με το </w:t>
      </w:r>
      <w:r w:rsidRPr="00076702">
        <w:rPr>
          <w:color w:val="auto"/>
          <w:sz w:val="22"/>
          <w:szCs w:val="22"/>
          <w:lang w:val="en-US"/>
        </w:rPr>
        <w:t>Frumil</w:t>
      </w:r>
      <w:r w:rsidRPr="00076702">
        <w:rPr>
          <w:color w:val="auto"/>
          <w:sz w:val="22"/>
          <w:szCs w:val="22"/>
        </w:rPr>
        <w:t xml:space="preserve"> απαιτεί τακτική ιατρική παρακολούθηση.</w:t>
      </w:r>
    </w:p>
    <w:p w:rsidR="00F0677E" w:rsidRPr="00076702" w:rsidRDefault="00F0677E" w:rsidP="00F0677E">
      <w:pPr>
        <w:ind w:right="84"/>
        <w:rPr>
          <w:color w:val="auto"/>
          <w:sz w:val="22"/>
          <w:szCs w:val="22"/>
        </w:rPr>
      </w:pPr>
      <w:r w:rsidRPr="00076702">
        <w:rPr>
          <w:color w:val="auto"/>
          <w:sz w:val="22"/>
          <w:szCs w:val="22"/>
        </w:rPr>
        <w:t>Ιδιαίτερα προσεκτική παρακολούθηση απαιτείται σε:</w:t>
      </w:r>
    </w:p>
    <w:p w:rsidR="00F0677E" w:rsidRPr="00076702" w:rsidRDefault="00F0677E" w:rsidP="00F0677E">
      <w:pPr>
        <w:ind w:left="-360" w:right="84" w:firstLine="360"/>
        <w:rPr>
          <w:color w:val="auto"/>
          <w:sz w:val="22"/>
          <w:szCs w:val="22"/>
        </w:rPr>
      </w:pPr>
      <w:r w:rsidRPr="00076702">
        <w:rPr>
          <w:color w:val="auto"/>
          <w:sz w:val="22"/>
          <w:szCs w:val="22"/>
        </w:rPr>
        <w:t>-  Ασθενείς με υπόταση,</w:t>
      </w:r>
    </w:p>
    <w:p w:rsidR="00F0677E" w:rsidRPr="00076702" w:rsidRDefault="00F0677E" w:rsidP="00F0677E">
      <w:pPr>
        <w:ind w:left="180" w:right="84" w:hanging="180"/>
        <w:rPr>
          <w:color w:val="auto"/>
          <w:sz w:val="22"/>
          <w:szCs w:val="22"/>
        </w:rPr>
      </w:pPr>
      <w:r w:rsidRPr="00076702">
        <w:rPr>
          <w:color w:val="auto"/>
          <w:sz w:val="22"/>
          <w:szCs w:val="22"/>
        </w:rPr>
        <w:t>-</w:t>
      </w:r>
      <w:r w:rsidRPr="00076702">
        <w:rPr>
          <w:color w:val="auto"/>
          <w:sz w:val="22"/>
          <w:szCs w:val="22"/>
        </w:rPr>
        <w:tab/>
        <w:t>Ασθενείς που βρίσκονται σε ιδιαίτερο κίνδυνο λόγω έντονης πτώσης της αρτηριακής πίεσης (π.χ. ασθενείς με σημαντική στένωση των στεφανιαίων αρτηριών ή των αιμοφόρων αγγείων που αιματώνουν τον εγκέφαλο),</w:t>
      </w:r>
    </w:p>
    <w:p w:rsidR="00F0677E" w:rsidRPr="00076702" w:rsidRDefault="00F0677E" w:rsidP="00F0677E">
      <w:pPr>
        <w:ind w:left="180" w:right="84" w:hanging="180"/>
        <w:rPr>
          <w:color w:val="auto"/>
          <w:sz w:val="22"/>
          <w:szCs w:val="22"/>
        </w:rPr>
      </w:pPr>
      <w:r w:rsidRPr="00076702">
        <w:rPr>
          <w:color w:val="auto"/>
          <w:sz w:val="22"/>
          <w:szCs w:val="22"/>
        </w:rPr>
        <w:lastRenderedPageBreak/>
        <w:t>-</w:t>
      </w:r>
      <w:r w:rsidRPr="00076702">
        <w:rPr>
          <w:color w:val="auto"/>
          <w:sz w:val="22"/>
          <w:szCs w:val="22"/>
        </w:rPr>
        <w:tab/>
        <w:t>Ασθενείς με λανθάνοντα ή έκδηλο σακχαρώδη διαβήτη ή διαβητικοί ασθενείς των οποίων οι απαιτήσεις σε ινσουλίνη μπορεί να αυξηθούν,</w:t>
      </w:r>
    </w:p>
    <w:p w:rsidR="00F0677E" w:rsidRPr="00076702" w:rsidRDefault="00F0677E" w:rsidP="00F0677E">
      <w:pPr>
        <w:ind w:left="-360" w:right="84" w:firstLine="360"/>
        <w:rPr>
          <w:color w:val="auto"/>
          <w:sz w:val="22"/>
          <w:szCs w:val="22"/>
        </w:rPr>
      </w:pPr>
      <w:r w:rsidRPr="00076702">
        <w:rPr>
          <w:color w:val="auto"/>
          <w:sz w:val="22"/>
          <w:szCs w:val="22"/>
        </w:rPr>
        <w:t>-  Ασθενείς με ουρική αρθρίτιδα,</w:t>
      </w:r>
    </w:p>
    <w:p w:rsidR="00F0677E" w:rsidRPr="00076702" w:rsidRDefault="00F0677E" w:rsidP="00F0677E">
      <w:pPr>
        <w:ind w:right="84"/>
        <w:rPr>
          <w:color w:val="auto"/>
          <w:sz w:val="22"/>
          <w:szCs w:val="22"/>
        </w:rPr>
      </w:pPr>
      <w:r w:rsidRPr="00076702">
        <w:rPr>
          <w:color w:val="auto"/>
          <w:sz w:val="22"/>
          <w:szCs w:val="22"/>
        </w:rPr>
        <w:t>-  Ασθενείς με αποφρακτική ουροπάθεια, ιδιαίτερα κατά τα αρχικά στάδια της αγωγής,</w:t>
      </w:r>
    </w:p>
    <w:p w:rsidR="00F0677E" w:rsidRPr="00076702" w:rsidRDefault="00F0677E" w:rsidP="00F0677E">
      <w:pPr>
        <w:ind w:left="180" w:right="84" w:hanging="180"/>
        <w:rPr>
          <w:color w:val="auto"/>
          <w:sz w:val="22"/>
          <w:szCs w:val="22"/>
        </w:rPr>
      </w:pPr>
      <w:r w:rsidRPr="00076702">
        <w:rPr>
          <w:color w:val="auto"/>
          <w:sz w:val="22"/>
          <w:szCs w:val="22"/>
        </w:rPr>
        <w:t>-  Ασθενείς με ηπατονεφρικό σύνδρομο, δηλαδή λειτουργική νεφρική ανεπάρκεια σε συνδυασμό με σοβαρή ηπατοπάθεια,</w:t>
      </w:r>
    </w:p>
    <w:p w:rsidR="00F0677E" w:rsidRPr="00076702" w:rsidRDefault="00F0677E" w:rsidP="00F0677E">
      <w:pPr>
        <w:ind w:left="180" w:right="84" w:hanging="180"/>
        <w:rPr>
          <w:color w:val="auto"/>
          <w:sz w:val="22"/>
          <w:szCs w:val="22"/>
        </w:rPr>
      </w:pPr>
      <w:r w:rsidRPr="00076702">
        <w:rPr>
          <w:color w:val="auto"/>
          <w:sz w:val="22"/>
          <w:szCs w:val="22"/>
        </w:rPr>
        <w:t xml:space="preserve">-  Ασθενείς με υποπρωτεϊναιμία συνοδευόμενη από νεφρωσικό σύνδρομο (ενδέχεται να εξασθενήσει η δράση της φουροσεμίδης και να ενισχυθεί η ωτοτοξικότητά της). Απαιτείται προσεκτική τιτλοποίηση της δόσης. </w:t>
      </w:r>
    </w:p>
    <w:p w:rsidR="00F0677E" w:rsidRPr="00076702" w:rsidRDefault="00F0677E" w:rsidP="00F0677E">
      <w:pPr>
        <w:ind w:right="84"/>
        <w:rPr>
          <w:color w:val="auto"/>
          <w:sz w:val="22"/>
          <w:szCs w:val="22"/>
        </w:rPr>
      </w:pPr>
    </w:p>
    <w:p w:rsidR="00F0677E" w:rsidRPr="00076702" w:rsidRDefault="00F0677E" w:rsidP="00F0677E">
      <w:pPr>
        <w:ind w:right="84"/>
        <w:rPr>
          <w:color w:val="auto"/>
          <w:sz w:val="22"/>
          <w:szCs w:val="22"/>
        </w:rPr>
      </w:pPr>
      <w:r w:rsidRPr="00076702">
        <w:rPr>
          <w:color w:val="auto"/>
          <w:sz w:val="22"/>
          <w:szCs w:val="22"/>
        </w:rPr>
        <w:t xml:space="preserve">Πρέπει να δίνεται προσοχή σε ασθενείς υποκείμενους σε ηλεκτρολυτική ανεπάρκεια. Κατά την αγωγή με το </w:t>
      </w:r>
      <w:r w:rsidRPr="00076702">
        <w:rPr>
          <w:color w:val="auto"/>
          <w:sz w:val="22"/>
          <w:szCs w:val="22"/>
          <w:lang w:val="en-US"/>
        </w:rPr>
        <w:t>Frumil</w:t>
      </w:r>
      <w:r w:rsidRPr="00076702">
        <w:rPr>
          <w:color w:val="auto"/>
          <w:sz w:val="22"/>
          <w:szCs w:val="22"/>
        </w:rPr>
        <w:t xml:space="preserve"> συνιστάται γενικά η τακτική παρακολούθηση των επιπέδων νατρίου, καλίου και κρεατινίνης στον ορό και του σακχάρου του αίματος. Ειδικότερα απαιτείται επισταμένη παρακολούθηση σε ασθενείς με αυξημένο κίνδυνο να αναπτύξουν ηλεκτρολυτικές διαταραχές ή σε περιπτώσεις σοβαρής απώλειας υγρών (π.χ. λόγω εμέτου, διάρροιας ή έντονης εφίδρωσης). Η υποογκαιμία ή η αφυδάτωση καθώς και κάθε άλλη σοβαρή ηλεκτρολυτική και οξεοβασική δυσλειτουργία πρέπει να διορθώνεται. Αυτό πιθανό να απαιτεί την προσωρινή διακοπή της αγωγής με </w:t>
      </w:r>
      <w:r w:rsidRPr="00076702">
        <w:rPr>
          <w:color w:val="auto"/>
          <w:sz w:val="22"/>
          <w:szCs w:val="22"/>
          <w:lang w:val="en-US"/>
        </w:rPr>
        <w:t>Frumil</w:t>
      </w:r>
      <w:r w:rsidRPr="00076702">
        <w:rPr>
          <w:color w:val="auto"/>
          <w:sz w:val="22"/>
          <w:szCs w:val="22"/>
        </w:rPr>
        <w:t xml:space="preserve">. </w:t>
      </w:r>
    </w:p>
    <w:p w:rsidR="00F0677E" w:rsidRPr="00076702" w:rsidRDefault="00F0677E" w:rsidP="00F0677E">
      <w:pPr>
        <w:ind w:left="66" w:right="84"/>
        <w:rPr>
          <w:color w:val="auto"/>
          <w:sz w:val="22"/>
          <w:szCs w:val="22"/>
          <w:u w:val="single"/>
        </w:rPr>
      </w:pPr>
    </w:p>
    <w:p w:rsidR="00F0677E" w:rsidRPr="00076702" w:rsidRDefault="00F0677E" w:rsidP="00F0677E">
      <w:pPr>
        <w:rPr>
          <w:color w:val="auto"/>
          <w:sz w:val="22"/>
          <w:szCs w:val="22"/>
        </w:rPr>
      </w:pPr>
      <w:r w:rsidRPr="00076702">
        <w:rPr>
          <w:color w:val="auto"/>
          <w:sz w:val="22"/>
          <w:szCs w:val="22"/>
        </w:rPr>
        <w:t>Απαιτούνται συχνοί έλεγχοι των επιπέδων καλίου ορού σε ασθενείς με διαταραχή της νεφρικής λειτουργίας και με κάθαρση κρεατινίνης κάτω των 60 ml/min ανά 1,73 m</w:t>
      </w:r>
      <w:r w:rsidRPr="00076702">
        <w:rPr>
          <w:color w:val="auto"/>
          <w:sz w:val="22"/>
          <w:szCs w:val="22"/>
          <w:vertAlign w:val="superscript"/>
        </w:rPr>
        <w:t>2</w:t>
      </w:r>
      <w:r w:rsidRPr="00076702">
        <w:rPr>
          <w:color w:val="auto"/>
          <w:sz w:val="22"/>
          <w:szCs w:val="22"/>
        </w:rPr>
        <w:t xml:space="preserve"> επιφάνειας σώματος, καθώς και σε περιπτώσεις όπου το </w:t>
      </w:r>
      <w:r w:rsidRPr="00076702">
        <w:rPr>
          <w:color w:val="auto"/>
          <w:sz w:val="22"/>
          <w:szCs w:val="22"/>
          <w:lang w:val="en-US"/>
        </w:rPr>
        <w:t>Frumil</w:t>
      </w:r>
      <w:r w:rsidRPr="00076702">
        <w:rPr>
          <w:color w:val="auto"/>
          <w:sz w:val="22"/>
          <w:szCs w:val="22"/>
        </w:rPr>
        <w:t xml:space="preserve"> συγχορηγείται με συγκεκριμένα άλλα φαρμακευτικά προϊόντα, τα οποία μπορεί να προκαλέσουν αύξηση της συγκέντρωσης του καλίου.</w:t>
      </w:r>
    </w:p>
    <w:p w:rsidR="00F0677E" w:rsidRPr="00076702" w:rsidRDefault="00F0677E" w:rsidP="00F0677E">
      <w:pPr>
        <w:rPr>
          <w:color w:val="auto"/>
          <w:sz w:val="22"/>
          <w:szCs w:val="22"/>
        </w:rPr>
      </w:pPr>
    </w:p>
    <w:p w:rsidR="00F0677E" w:rsidRPr="00076702" w:rsidRDefault="00F0677E" w:rsidP="00F0677E">
      <w:pPr>
        <w:ind w:right="84"/>
        <w:rPr>
          <w:i/>
          <w:color w:val="auto"/>
          <w:sz w:val="22"/>
          <w:szCs w:val="22"/>
        </w:rPr>
      </w:pPr>
      <w:r w:rsidRPr="00076702">
        <w:rPr>
          <w:i/>
          <w:color w:val="auto"/>
          <w:sz w:val="22"/>
          <w:szCs w:val="22"/>
        </w:rPr>
        <w:t>Παράλληλη χρήση με τη ρισπεριδόνη</w:t>
      </w:r>
    </w:p>
    <w:p w:rsidR="00F0677E" w:rsidRPr="00076702" w:rsidRDefault="00F0677E" w:rsidP="00F0677E">
      <w:pPr>
        <w:ind w:right="84"/>
        <w:rPr>
          <w:color w:val="auto"/>
          <w:sz w:val="22"/>
          <w:szCs w:val="22"/>
        </w:rPr>
      </w:pPr>
      <w:r w:rsidRPr="00076702">
        <w:rPr>
          <w:color w:val="auto"/>
          <w:sz w:val="22"/>
          <w:szCs w:val="22"/>
        </w:rPr>
        <w:t>Σε ελεγχόμενες με εικονικό φάρμακο μελέτες της ρισπεριδόνης σε ηλικιωμένους ασθενείς με άνοια, παρατηρήθηκε υψηλότερη συχνότητα της θνησιμότητας σε ασθενείς στους οποίους χορηγούνταν φουροσεμίδη και ρισπεριδόνη (7,3%, μέσος όρος ηλικίας 89 έτη, εύρος 75-97 έτη) συγκριτικά με ασθενείς στους οποίους χορηγείτο μόνο ρισπεριδόνη (3,1%, μέσος όρος ηλικίας 84 έτη, εύρος 70-96 έτη) ή μόνο φουροσεμίδη (4,1%, μέσος όρος ηλικίας 80 έτη, εύρος 67-90 έτη). Παράλληλη χρήση της ρισπεριδόνης με άλλα διουρητικά (κυρίως θειαζιδικά διουρητικά σε χαμηλή δόση) δεν συσχετίστηκε με παρόμοια ευρήματα.</w:t>
      </w:r>
    </w:p>
    <w:p w:rsidR="00F0677E" w:rsidRPr="00076702" w:rsidRDefault="00F0677E" w:rsidP="00F0677E">
      <w:pPr>
        <w:rPr>
          <w:color w:val="auto"/>
          <w:sz w:val="22"/>
          <w:szCs w:val="22"/>
        </w:rPr>
      </w:pPr>
    </w:p>
    <w:p w:rsidR="00F0677E" w:rsidRPr="00076702" w:rsidRDefault="00F0677E" w:rsidP="00F0677E">
      <w:pPr>
        <w:rPr>
          <w:color w:val="auto"/>
          <w:sz w:val="22"/>
          <w:szCs w:val="22"/>
        </w:rPr>
      </w:pPr>
      <w:r w:rsidRPr="00076702">
        <w:rPr>
          <w:color w:val="auto"/>
          <w:sz w:val="22"/>
          <w:szCs w:val="22"/>
        </w:rPr>
        <w:t>Δεν έχει αναγνωριστεί παθοφυσιολογικός μηχανισμός ο οποίος να εξηγεί αυτό το εύρημα και δεν παρατηρήθηκε σταθερή εικόνα ως προς την αιτία του θανάτου. Εντούτοις, θα πρέπει να δίνεται προσοχή και θα πρέπει να εξετάζονται οι κίνδυνοι και τα οφέλη αυτού του συνδυασμού ή της συν-θεραπείας με άλλα ισχυρά διουρητικά πριν την απόφαση για τη χρήση. Δεν υπήρξε αυξημένη συχνότητα της θνησιμότητας σε ασθενείς που λαμβάνουν άλλα διουρητικά ως παράλληλη θεραπεία με τη ρισπεριδόνη. Ανεξάρτητα από τη θεραπεία, η αφυδάτωση ήταν ένας συνολικός παράγοντας κινδύνου για τη θνησιμότητα και θα πρέπει συνεπώς να αποφεύγεται σε ηλικιωμένους ασθενείς με άνοια (βλ. παράγραφο 2.3 «Αντενδείξεις»).</w:t>
      </w:r>
    </w:p>
    <w:p w:rsidR="00F0677E" w:rsidRPr="00076702" w:rsidRDefault="00F0677E" w:rsidP="00F0677E">
      <w:pPr>
        <w:rPr>
          <w:b/>
          <w:i/>
          <w:iCs/>
          <w:color w:val="auto"/>
          <w:sz w:val="22"/>
          <w:szCs w:val="22"/>
        </w:rPr>
      </w:pPr>
    </w:p>
    <w:p w:rsidR="00F0677E" w:rsidRPr="00E67811" w:rsidRDefault="00A02148" w:rsidP="00F0677E">
      <w:pPr>
        <w:rPr>
          <w:b/>
          <w:i/>
          <w:iCs/>
          <w:color w:val="auto"/>
          <w:sz w:val="22"/>
          <w:szCs w:val="22"/>
        </w:rPr>
      </w:pPr>
      <w:r w:rsidRPr="00076702">
        <w:rPr>
          <w:b/>
          <w:i/>
          <w:iCs/>
          <w:color w:val="auto"/>
          <w:sz w:val="22"/>
          <w:szCs w:val="22"/>
        </w:rPr>
        <w:t>2.4.2 Ηλικιωμένοι</w:t>
      </w:r>
    </w:p>
    <w:p w:rsidR="00F0677E" w:rsidRPr="00076702" w:rsidRDefault="00F0677E" w:rsidP="00F0677E">
      <w:pPr>
        <w:rPr>
          <w:color w:val="auto"/>
          <w:sz w:val="22"/>
          <w:szCs w:val="22"/>
        </w:rPr>
      </w:pPr>
      <w:r w:rsidRPr="00076702">
        <w:rPr>
          <w:color w:val="auto"/>
          <w:sz w:val="22"/>
          <w:szCs w:val="22"/>
        </w:rPr>
        <w:t>Η διουρητική δράση μπορεί να προκαλέσει ή να συμβάλλει στην εμφάνιση υποογκαιμίας και αφυδάτωσης, ειδικότερα στους ηλικιωμένους. Βλ. σχετικά παράγραφο 2.8 «Ανεπιθύμητες ενέργειες».</w:t>
      </w:r>
    </w:p>
    <w:p w:rsidR="00F0677E" w:rsidRPr="00076702" w:rsidRDefault="00F0677E" w:rsidP="00F0677E">
      <w:pPr>
        <w:rPr>
          <w:color w:val="auto"/>
          <w:sz w:val="22"/>
          <w:szCs w:val="22"/>
        </w:rPr>
      </w:pPr>
    </w:p>
    <w:p w:rsidR="00F0677E" w:rsidRPr="00E67811" w:rsidRDefault="00A02148" w:rsidP="00F0677E">
      <w:pPr>
        <w:rPr>
          <w:b/>
          <w:i/>
          <w:iCs/>
          <w:color w:val="auto"/>
          <w:sz w:val="22"/>
          <w:szCs w:val="22"/>
        </w:rPr>
      </w:pPr>
      <w:r w:rsidRPr="00076702">
        <w:rPr>
          <w:b/>
          <w:i/>
          <w:iCs/>
          <w:color w:val="auto"/>
          <w:sz w:val="22"/>
          <w:szCs w:val="22"/>
        </w:rPr>
        <w:t>2.4.3 Κύηση</w:t>
      </w:r>
    </w:p>
    <w:p w:rsidR="00F0677E" w:rsidRPr="00076702" w:rsidRDefault="00F0677E" w:rsidP="00F0677E">
      <w:pPr>
        <w:rPr>
          <w:b/>
          <w:i/>
          <w:iCs/>
          <w:color w:val="auto"/>
          <w:sz w:val="22"/>
          <w:szCs w:val="22"/>
        </w:rPr>
      </w:pPr>
      <w:r w:rsidRPr="00076702">
        <w:rPr>
          <w:color w:val="auto"/>
          <w:sz w:val="22"/>
          <w:szCs w:val="22"/>
        </w:rPr>
        <w:t xml:space="preserve">Το </w:t>
      </w:r>
      <w:r w:rsidRPr="00076702">
        <w:rPr>
          <w:bCs/>
          <w:color w:val="auto"/>
          <w:sz w:val="22"/>
          <w:szCs w:val="22"/>
        </w:rPr>
        <w:t>F</w:t>
      </w:r>
      <w:r w:rsidRPr="00076702">
        <w:rPr>
          <w:bCs/>
          <w:color w:val="auto"/>
          <w:sz w:val="22"/>
          <w:szCs w:val="22"/>
          <w:lang w:val="en-US"/>
        </w:rPr>
        <w:t>rumil</w:t>
      </w:r>
      <w:r w:rsidRPr="00076702">
        <w:rPr>
          <w:color w:val="auto"/>
          <w:sz w:val="22"/>
          <w:szCs w:val="22"/>
        </w:rPr>
        <w:t xml:space="preserve"> δεν πρέπει να λαμβάνεται κατά την κύηση.</w:t>
      </w:r>
      <w:r w:rsidRPr="00076702">
        <w:rPr>
          <w:b/>
          <w:i/>
          <w:iCs/>
          <w:color w:val="auto"/>
          <w:sz w:val="22"/>
          <w:szCs w:val="22"/>
        </w:rPr>
        <w:t xml:space="preserve"> </w:t>
      </w:r>
    </w:p>
    <w:p w:rsidR="00F0677E" w:rsidRPr="00076702" w:rsidRDefault="00F0677E" w:rsidP="00F0677E">
      <w:pPr>
        <w:rPr>
          <w:b/>
          <w:i/>
          <w:iCs/>
          <w:color w:val="auto"/>
          <w:sz w:val="22"/>
          <w:szCs w:val="22"/>
        </w:rPr>
      </w:pPr>
    </w:p>
    <w:p w:rsidR="00F0677E" w:rsidRPr="00E67811" w:rsidRDefault="00A02148" w:rsidP="00F0677E">
      <w:pPr>
        <w:rPr>
          <w:b/>
          <w:i/>
          <w:iCs/>
          <w:color w:val="auto"/>
          <w:sz w:val="22"/>
          <w:szCs w:val="22"/>
        </w:rPr>
      </w:pPr>
      <w:r w:rsidRPr="00076702">
        <w:rPr>
          <w:b/>
          <w:i/>
          <w:iCs/>
          <w:color w:val="auto"/>
          <w:sz w:val="22"/>
          <w:szCs w:val="22"/>
        </w:rPr>
        <w:t>2.4.4 Γαλουχία</w:t>
      </w:r>
    </w:p>
    <w:p w:rsidR="00F0677E" w:rsidRPr="00076702" w:rsidRDefault="00F0677E" w:rsidP="00F0677E">
      <w:pPr>
        <w:rPr>
          <w:color w:val="auto"/>
          <w:sz w:val="22"/>
          <w:szCs w:val="22"/>
        </w:rPr>
      </w:pPr>
      <w:r w:rsidRPr="00076702">
        <w:rPr>
          <w:color w:val="auto"/>
          <w:sz w:val="22"/>
          <w:szCs w:val="22"/>
        </w:rPr>
        <w:t>Ο θηλασμός πρέπει να αποφεύγεται κατά τη διάρκεια αγωγής με το</w:t>
      </w:r>
      <w:r w:rsidRPr="00076702">
        <w:rPr>
          <w:bCs/>
          <w:color w:val="auto"/>
          <w:sz w:val="22"/>
          <w:szCs w:val="22"/>
        </w:rPr>
        <w:t xml:space="preserve"> F</w:t>
      </w:r>
      <w:r w:rsidRPr="00076702">
        <w:rPr>
          <w:bCs/>
          <w:color w:val="auto"/>
          <w:sz w:val="22"/>
          <w:szCs w:val="22"/>
          <w:lang w:val="en-US"/>
        </w:rPr>
        <w:t>rumil</w:t>
      </w:r>
      <w:r w:rsidRPr="00076702">
        <w:rPr>
          <w:color w:val="auto"/>
          <w:sz w:val="22"/>
          <w:szCs w:val="22"/>
        </w:rPr>
        <w:t>.</w:t>
      </w:r>
    </w:p>
    <w:p w:rsidR="00F0677E" w:rsidRPr="00076702" w:rsidRDefault="00F0677E" w:rsidP="00F0677E">
      <w:pPr>
        <w:rPr>
          <w:color w:val="auto"/>
          <w:sz w:val="22"/>
          <w:szCs w:val="22"/>
        </w:rPr>
      </w:pPr>
    </w:p>
    <w:p w:rsidR="00F0677E" w:rsidRPr="00E67811" w:rsidRDefault="00A02148" w:rsidP="00F0677E">
      <w:pPr>
        <w:rPr>
          <w:b/>
          <w:i/>
          <w:iCs/>
          <w:color w:val="auto"/>
          <w:sz w:val="22"/>
          <w:szCs w:val="22"/>
        </w:rPr>
      </w:pPr>
      <w:r w:rsidRPr="00076702">
        <w:rPr>
          <w:b/>
          <w:i/>
          <w:iCs/>
          <w:color w:val="auto"/>
          <w:sz w:val="22"/>
          <w:szCs w:val="22"/>
        </w:rPr>
        <w:t>2.4.5 Παιδιά</w:t>
      </w:r>
    </w:p>
    <w:p w:rsidR="00F0677E" w:rsidRPr="00076702" w:rsidRDefault="00F0677E" w:rsidP="00F0677E">
      <w:pPr>
        <w:rPr>
          <w:color w:val="auto"/>
          <w:sz w:val="22"/>
          <w:szCs w:val="22"/>
        </w:rPr>
      </w:pPr>
      <w:r w:rsidRPr="00076702">
        <w:rPr>
          <w:color w:val="auto"/>
          <w:sz w:val="22"/>
          <w:szCs w:val="22"/>
        </w:rPr>
        <w:t>Βλ. παράγραφο 2.3 «Αντενδείξεις».</w:t>
      </w:r>
    </w:p>
    <w:p w:rsidR="00F0677E" w:rsidRPr="00076702" w:rsidRDefault="00F0677E" w:rsidP="00F0677E">
      <w:pPr>
        <w:rPr>
          <w:color w:val="auto"/>
          <w:sz w:val="22"/>
          <w:szCs w:val="22"/>
        </w:rPr>
      </w:pPr>
    </w:p>
    <w:p w:rsidR="00F0677E" w:rsidRPr="00076702" w:rsidRDefault="00F0677E" w:rsidP="00F0677E">
      <w:pPr>
        <w:rPr>
          <w:b/>
          <w:i/>
          <w:iCs/>
          <w:color w:val="auto"/>
          <w:sz w:val="22"/>
          <w:szCs w:val="22"/>
        </w:rPr>
      </w:pPr>
      <w:r w:rsidRPr="00076702">
        <w:rPr>
          <w:b/>
          <w:i/>
          <w:iCs/>
          <w:color w:val="auto"/>
          <w:sz w:val="22"/>
          <w:szCs w:val="22"/>
        </w:rPr>
        <w:t>2.4.6 Επιδράσεις στην ικανότητα</w:t>
      </w:r>
      <w:r w:rsidR="00A02148" w:rsidRPr="00076702">
        <w:rPr>
          <w:b/>
          <w:i/>
          <w:iCs/>
          <w:color w:val="auto"/>
          <w:sz w:val="22"/>
          <w:szCs w:val="22"/>
        </w:rPr>
        <w:t xml:space="preserve"> οδήγησης και χειρισμού μηχανών</w:t>
      </w:r>
    </w:p>
    <w:p w:rsidR="00F0677E" w:rsidRPr="00076702" w:rsidRDefault="00F0677E" w:rsidP="00F0677E">
      <w:pPr>
        <w:rPr>
          <w:color w:val="auto"/>
          <w:sz w:val="22"/>
          <w:szCs w:val="22"/>
        </w:rPr>
      </w:pPr>
      <w:r w:rsidRPr="00076702">
        <w:rPr>
          <w:color w:val="auto"/>
          <w:sz w:val="22"/>
          <w:szCs w:val="22"/>
        </w:rPr>
        <w:lastRenderedPageBreak/>
        <w:t>Ορισμένες ανεπιθύμητες ενέργειες (π.χ. έντονη πτώση της αρτηριακής πίεσης) μπορεί να μειώσουν την ικανότητα συγκέντρωσης και αντίδρασης και γι’ αυτό αποτελούν κίνδυνο σε καταστάσεις όπου αυτές οι ικανότητες είναι ιδιαίτερης σημασίας (π.χ. χειρισμός οχήματος ή μηχανών). Αυτό ισχύει ειδικότερα κατά την έναρξη της αγωγής ή μετά από κατανάλωση οινοπνεύματος.</w:t>
      </w:r>
    </w:p>
    <w:p w:rsidR="00F0677E" w:rsidRPr="00076702" w:rsidRDefault="00F0677E" w:rsidP="00F0677E">
      <w:pPr>
        <w:rPr>
          <w:color w:val="auto"/>
          <w:sz w:val="22"/>
          <w:szCs w:val="22"/>
        </w:rPr>
      </w:pPr>
    </w:p>
    <w:p w:rsidR="00F0677E" w:rsidRPr="00076702" w:rsidRDefault="00F0677E" w:rsidP="00F0677E">
      <w:pPr>
        <w:rPr>
          <w:b/>
          <w:i/>
          <w:iCs/>
          <w:color w:val="auto"/>
          <w:sz w:val="22"/>
          <w:szCs w:val="22"/>
        </w:rPr>
      </w:pPr>
      <w:r w:rsidRPr="00076702">
        <w:rPr>
          <w:b/>
          <w:i/>
          <w:iCs/>
          <w:color w:val="auto"/>
          <w:sz w:val="22"/>
          <w:szCs w:val="22"/>
        </w:rPr>
        <w:t>2.4.7 Ιδιαίτερες προειδοποι</w:t>
      </w:r>
      <w:r w:rsidR="00A02148" w:rsidRPr="00076702">
        <w:rPr>
          <w:b/>
          <w:i/>
          <w:iCs/>
          <w:color w:val="auto"/>
          <w:sz w:val="22"/>
          <w:szCs w:val="22"/>
        </w:rPr>
        <w:t>ήσεις για τα περιεχόμενα έκδοχα</w:t>
      </w:r>
    </w:p>
    <w:p w:rsidR="00F0677E" w:rsidRPr="00076702" w:rsidRDefault="00F0677E" w:rsidP="00F0677E">
      <w:pPr>
        <w:rPr>
          <w:color w:val="auto"/>
          <w:sz w:val="22"/>
          <w:szCs w:val="22"/>
        </w:rPr>
      </w:pPr>
      <w:r w:rsidRPr="00076702">
        <w:rPr>
          <w:bCs/>
          <w:color w:val="auto"/>
          <w:sz w:val="22"/>
          <w:szCs w:val="22"/>
        </w:rPr>
        <w:t>Λόγω της περιεχόμενης λακτόζης το προϊόν δε χορηγείται σε ασθενείς που πάσχουν από γαλακτοζαιμία, σύνδρομο δυσαπορρόφησης γλυκόζης και γαλακτόζης ή ανεπάρκεια λακτάσης (βλ. επίσης παράγραφο 2.3 «Αντενδείξεις»).</w:t>
      </w:r>
    </w:p>
    <w:p w:rsidR="00F0677E" w:rsidRPr="00076702" w:rsidRDefault="00F0677E" w:rsidP="00F0677E">
      <w:pPr>
        <w:rPr>
          <w:color w:val="auto"/>
          <w:sz w:val="22"/>
          <w:szCs w:val="22"/>
        </w:rPr>
      </w:pPr>
    </w:p>
    <w:p w:rsidR="00F0677E" w:rsidRPr="00076702" w:rsidRDefault="00F0677E" w:rsidP="00F0677E">
      <w:pPr>
        <w:rPr>
          <w:b/>
          <w:color w:val="auto"/>
          <w:sz w:val="22"/>
          <w:szCs w:val="22"/>
        </w:rPr>
      </w:pPr>
      <w:r w:rsidRPr="00076702">
        <w:rPr>
          <w:b/>
          <w:color w:val="auto"/>
          <w:sz w:val="22"/>
          <w:szCs w:val="22"/>
        </w:rPr>
        <w:t>2.5 Αλληλεπιδ</w:t>
      </w:r>
      <w:r w:rsidR="00A02148" w:rsidRPr="00076702">
        <w:rPr>
          <w:b/>
          <w:color w:val="auto"/>
          <w:sz w:val="22"/>
          <w:szCs w:val="22"/>
        </w:rPr>
        <w:t>ράσεις με άλλα φάρμακα ή ουσίες</w:t>
      </w:r>
    </w:p>
    <w:p w:rsidR="005F2E2D" w:rsidRDefault="005F2E2D" w:rsidP="00F0677E">
      <w:pPr>
        <w:ind w:right="84"/>
        <w:rPr>
          <w:b/>
          <w:bCs/>
          <w:i/>
          <w:iCs/>
          <w:color w:val="auto"/>
          <w:sz w:val="22"/>
          <w:szCs w:val="22"/>
        </w:rPr>
      </w:pPr>
    </w:p>
    <w:p w:rsidR="00F0677E" w:rsidRPr="00E67811" w:rsidRDefault="00A02148" w:rsidP="00F0677E">
      <w:pPr>
        <w:ind w:right="84"/>
        <w:rPr>
          <w:b/>
          <w:bCs/>
          <w:i/>
          <w:iCs/>
          <w:color w:val="auto"/>
          <w:sz w:val="22"/>
          <w:szCs w:val="22"/>
        </w:rPr>
      </w:pPr>
      <w:r w:rsidRPr="00076702">
        <w:rPr>
          <w:b/>
          <w:bCs/>
          <w:i/>
          <w:iCs/>
          <w:color w:val="auto"/>
          <w:sz w:val="22"/>
          <w:szCs w:val="22"/>
        </w:rPr>
        <w:t>Τροφή</w:t>
      </w:r>
    </w:p>
    <w:p w:rsidR="00F0677E" w:rsidRPr="00076702" w:rsidRDefault="00F0677E" w:rsidP="00F0677E">
      <w:pPr>
        <w:ind w:right="84"/>
        <w:rPr>
          <w:color w:val="auto"/>
          <w:sz w:val="22"/>
          <w:szCs w:val="22"/>
        </w:rPr>
      </w:pPr>
      <w:r w:rsidRPr="00076702">
        <w:rPr>
          <w:color w:val="auto"/>
          <w:sz w:val="22"/>
          <w:szCs w:val="22"/>
        </w:rPr>
        <w:t xml:space="preserve">Κατά πόσο και σε ποιο βαθμό η απορρόφηση της φουροσεμίδης επηρεάζεται από τη λήψη τροφής, φαίνεται να εξαρτάται από τη φαρμακοτεχνική μορφή. Συνιστάται το </w:t>
      </w:r>
      <w:r w:rsidRPr="00076702">
        <w:rPr>
          <w:color w:val="auto"/>
          <w:sz w:val="22"/>
          <w:szCs w:val="22"/>
          <w:lang w:val="en-US"/>
        </w:rPr>
        <w:t>Frumil</w:t>
      </w:r>
      <w:r w:rsidRPr="00076702">
        <w:rPr>
          <w:color w:val="auto"/>
          <w:sz w:val="22"/>
          <w:szCs w:val="22"/>
        </w:rPr>
        <w:t xml:space="preserve"> να λαμβάνεται με άδειο στομάχι.</w:t>
      </w:r>
    </w:p>
    <w:p w:rsidR="00F0677E" w:rsidRPr="00076702" w:rsidRDefault="00F0677E" w:rsidP="00F0677E">
      <w:pPr>
        <w:ind w:right="84"/>
        <w:rPr>
          <w:b/>
          <w:bCs/>
          <w:i/>
          <w:iCs/>
          <w:color w:val="auto"/>
          <w:sz w:val="22"/>
          <w:szCs w:val="22"/>
        </w:rPr>
      </w:pPr>
    </w:p>
    <w:p w:rsidR="00F0677E" w:rsidRPr="00E67811" w:rsidRDefault="00A02148" w:rsidP="00F0677E">
      <w:pPr>
        <w:ind w:right="84"/>
        <w:rPr>
          <w:b/>
          <w:bCs/>
          <w:i/>
          <w:iCs/>
          <w:color w:val="auto"/>
          <w:sz w:val="22"/>
          <w:szCs w:val="22"/>
        </w:rPr>
      </w:pPr>
      <w:r w:rsidRPr="00076702">
        <w:rPr>
          <w:b/>
          <w:bCs/>
          <w:i/>
          <w:iCs/>
          <w:color w:val="auto"/>
          <w:sz w:val="22"/>
          <w:szCs w:val="22"/>
        </w:rPr>
        <w:t>Μη συνιστώμενοι συνδυασμοί</w:t>
      </w:r>
    </w:p>
    <w:p w:rsidR="00F0677E" w:rsidRPr="00076702" w:rsidRDefault="00F0677E" w:rsidP="00F0677E">
      <w:pPr>
        <w:pStyle w:val="a3"/>
        <w:numPr>
          <w:ilvl w:val="0"/>
          <w:numId w:val="0"/>
        </w:numPr>
        <w:spacing w:line="240" w:lineRule="auto"/>
        <w:jc w:val="left"/>
        <w:rPr>
          <w:color w:val="auto"/>
          <w:sz w:val="22"/>
          <w:szCs w:val="22"/>
        </w:rPr>
      </w:pPr>
      <w:r w:rsidRPr="00076702">
        <w:rPr>
          <w:color w:val="auto"/>
          <w:sz w:val="22"/>
          <w:szCs w:val="22"/>
        </w:rPr>
        <w:t xml:space="preserve">Η φουροσεμίδη μπορεί να ενισχύσει την ωτοτοξικότητα των αμινογλυκοσιδών, καθώς και άλλων ωτοτοξικών φαρμάκων. Επειδή μπορεί να προκληθεί μη αναστρέψιμη βλάβη στην ακοή, τα προαναφερθέντα φάρμακα και το </w:t>
      </w:r>
      <w:r w:rsidRPr="00076702">
        <w:rPr>
          <w:color w:val="auto"/>
          <w:sz w:val="22"/>
          <w:szCs w:val="22"/>
          <w:lang w:val="en-US"/>
        </w:rPr>
        <w:t>Frumil</w:t>
      </w:r>
      <w:r w:rsidRPr="00076702">
        <w:rPr>
          <w:color w:val="auto"/>
          <w:sz w:val="22"/>
          <w:szCs w:val="22"/>
        </w:rPr>
        <w:t xml:space="preserve"> πρέπει να συγχορηγούνται μόνο σε περιπτώσεις όπου συντρέχουν απόλυτοι ιατρικοί λόγοι.</w:t>
      </w:r>
    </w:p>
    <w:p w:rsidR="00F0677E" w:rsidRPr="00076702" w:rsidRDefault="00F0677E" w:rsidP="00F0677E">
      <w:pPr>
        <w:ind w:right="84"/>
        <w:rPr>
          <w:color w:val="auto"/>
          <w:sz w:val="22"/>
          <w:szCs w:val="22"/>
        </w:rPr>
      </w:pPr>
    </w:p>
    <w:p w:rsidR="00F0677E" w:rsidRPr="00076702" w:rsidRDefault="00F0677E" w:rsidP="00F0677E">
      <w:pPr>
        <w:ind w:left="66" w:right="84"/>
        <w:rPr>
          <w:color w:val="auto"/>
          <w:sz w:val="22"/>
          <w:szCs w:val="22"/>
        </w:rPr>
      </w:pPr>
      <w:r w:rsidRPr="00076702">
        <w:rPr>
          <w:color w:val="auto"/>
          <w:sz w:val="22"/>
          <w:szCs w:val="22"/>
        </w:rPr>
        <w:t xml:space="preserve">Έχουν περιγραφεί μεμονωμένες περιπτώσεις όπου ενδοφλέβια χορήγηση φουροσεμίδης εντός 24 ωρών από τη λήψη ένυδρης χλωράλης, μπορεί να οδηγήσει σε έξαψη, εφίδρωση, ανησυχία, ναυτία, αύξηση της αρτηριακής πίεσης και ταχυκαρδία. Τέτοιου είδους αντιδράσεις ενδέχεται να εμφανιστούν επίσης με το </w:t>
      </w:r>
      <w:r w:rsidRPr="00076702">
        <w:rPr>
          <w:color w:val="auto"/>
          <w:sz w:val="22"/>
          <w:szCs w:val="22"/>
          <w:lang w:val="en-US"/>
        </w:rPr>
        <w:t>Frumil</w:t>
      </w:r>
      <w:r w:rsidRPr="00076702">
        <w:rPr>
          <w:color w:val="auto"/>
          <w:sz w:val="22"/>
          <w:szCs w:val="22"/>
        </w:rPr>
        <w:t>.</w:t>
      </w:r>
    </w:p>
    <w:p w:rsidR="00F0677E" w:rsidRPr="00076702" w:rsidRDefault="00F0677E" w:rsidP="00F0677E">
      <w:pPr>
        <w:ind w:left="426" w:right="84"/>
        <w:rPr>
          <w:color w:val="auto"/>
          <w:sz w:val="22"/>
          <w:szCs w:val="22"/>
        </w:rPr>
      </w:pPr>
      <w:r w:rsidRPr="00076702">
        <w:rPr>
          <w:color w:val="auto"/>
          <w:sz w:val="22"/>
          <w:szCs w:val="22"/>
        </w:rPr>
        <w:t xml:space="preserve"> </w:t>
      </w:r>
    </w:p>
    <w:p w:rsidR="00F0677E" w:rsidRPr="00E67811" w:rsidRDefault="00A02148" w:rsidP="00F0677E">
      <w:pPr>
        <w:ind w:right="84"/>
        <w:rPr>
          <w:b/>
          <w:bCs/>
          <w:i/>
          <w:iCs/>
          <w:color w:val="auto"/>
          <w:sz w:val="22"/>
          <w:szCs w:val="22"/>
        </w:rPr>
      </w:pPr>
      <w:r w:rsidRPr="00076702">
        <w:rPr>
          <w:b/>
          <w:bCs/>
          <w:i/>
          <w:iCs/>
          <w:color w:val="auto"/>
          <w:sz w:val="22"/>
          <w:szCs w:val="22"/>
        </w:rPr>
        <w:t>Προφυλάξεις κατά τη χρήση</w:t>
      </w:r>
    </w:p>
    <w:p w:rsidR="00F0677E" w:rsidRPr="00076702" w:rsidRDefault="00F0677E" w:rsidP="00F0677E">
      <w:pPr>
        <w:ind w:right="84"/>
        <w:rPr>
          <w:color w:val="auto"/>
          <w:sz w:val="22"/>
          <w:szCs w:val="22"/>
        </w:rPr>
      </w:pPr>
      <w:r w:rsidRPr="00076702">
        <w:rPr>
          <w:color w:val="auto"/>
          <w:sz w:val="22"/>
          <w:szCs w:val="22"/>
        </w:rPr>
        <w:t xml:space="preserve">Το </w:t>
      </w:r>
      <w:r w:rsidRPr="00076702">
        <w:rPr>
          <w:color w:val="auto"/>
          <w:sz w:val="22"/>
          <w:szCs w:val="22"/>
          <w:lang w:val="en-US"/>
        </w:rPr>
        <w:t>Frumil</w:t>
      </w:r>
      <w:r w:rsidRPr="00076702">
        <w:rPr>
          <w:color w:val="auto"/>
          <w:sz w:val="22"/>
          <w:szCs w:val="22"/>
        </w:rPr>
        <w:t xml:space="preserve"> μειώνει την απέκκριση των αλάτων λιθίου. Αυτό μπορεί να οδηγήσει σε αύξηση των επιπέδων λιθίου στον ορό με αποτέλεσμα αυξημένο κίνδυνο τοξικότητας συμπεριλαμβανομένου αυξημένου κινδύνου καρδιοτοξικών και νευροτοξικών επιδράσεων του λιθίου. Γι’ αυτό, συνιστάται να παρακολουθούνται προσεκτικά τα επίπεδα του λιθίου σε ασθενείς, οι οποίοι λαμβάνουν αυτόν το συνδυασμό.</w:t>
      </w:r>
    </w:p>
    <w:p w:rsidR="00F0677E" w:rsidRPr="00076702" w:rsidRDefault="00F0677E" w:rsidP="00F0677E">
      <w:pPr>
        <w:ind w:left="426" w:right="84"/>
        <w:rPr>
          <w:color w:val="auto"/>
          <w:sz w:val="22"/>
          <w:szCs w:val="22"/>
        </w:rPr>
      </w:pPr>
    </w:p>
    <w:p w:rsidR="00F0677E" w:rsidRPr="00076702" w:rsidRDefault="00F0677E" w:rsidP="00F0677E">
      <w:pPr>
        <w:ind w:right="84"/>
        <w:rPr>
          <w:color w:val="auto"/>
          <w:sz w:val="22"/>
          <w:szCs w:val="22"/>
        </w:rPr>
      </w:pPr>
      <w:r w:rsidRPr="00076702">
        <w:rPr>
          <w:color w:val="auto"/>
          <w:sz w:val="22"/>
          <w:szCs w:val="22"/>
        </w:rPr>
        <w:t xml:space="preserve">Το </w:t>
      </w:r>
      <w:r w:rsidRPr="00076702">
        <w:rPr>
          <w:color w:val="auto"/>
          <w:sz w:val="22"/>
          <w:szCs w:val="22"/>
          <w:lang w:val="en-US"/>
        </w:rPr>
        <w:t>Frumil</w:t>
      </w:r>
      <w:r w:rsidRPr="00076702">
        <w:rPr>
          <w:color w:val="auto"/>
          <w:sz w:val="22"/>
          <w:szCs w:val="22"/>
        </w:rPr>
        <w:t xml:space="preserve"> δεν πρέπει να λαμβάνεται ταυτόχρονα ή ξεχωριστά σε σύντομο χρονικό διάστημα με τη σουκραλφάτη (2 ώρες), επειδή η σουκραλφάτη μειώνει την απορρόφηση της φουροσεμίδης από το έντερο και συνεπώς εξασθενεί τη δράση της.</w:t>
      </w:r>
    </w:p>
    <w:p w:rsidR="00F0677E" w:rsidRPr="00076702" w:rsidRDefault="00F0677E" w:rsidP="00F0677E">
      <w:pPr>
        <w:ind w:left="426" w:right="84"/>
        <w:rPr>
          <w:color w:val="auto"/>
          <w:sz w:val="22"/>
          <w:szCs w:val="22"/>
        </w:rPr>
      </w:pPr>
      <w:r w:rsidRPr="00076702">
        <w:rPr>
          <w:color w:val="auto"/>
          <w:sz w:val="22"/>
          <w:szCs w:val="22"/>
        </w:rPr>
        <w:t xml:space="preserve"> </w:t>
      </w:r>
    </w:p>
    <w:p w:rsidR="00F0677E" w:rsidRPr="00076702" w:rsidRDefault="00F0677E" w:rsidP="00F0677E">
      <w:pPr>
        <w:ind w:right="84"/>
        <w:rPr>
          <w:color w:val="auto"/>
          <w:sz w:val="22"/>
          <w:szCs w:val="22"/>
        </w:rPr>
      </w:pPr>
      <w:r w:rsidRPr="00076702">
        <w:rPr>
          <w:color w:val="auto"/>
          <w:sz w:val="22"/>
          <w:szCs w:val="22"/>
        </w:rPr>
        <w:t xml:space="preserve">Το </w:t>
      </w:r>
      <w:r w:rsidRPr="00076702">
        <w:rPr>
          <w:color w:val="auto"/>
          <w:sz w:val="22"/>
          <w:szCs w:val="22"/>
          <w:lang w:val="en-US"/>
        </w:rPr>
        <w:t>Frumil</w:t>
      </w:r>
      <w:r w:rsidRPr="00076702">
        <w:rPr>
          <w:color w:val="auto"/>
          <w:sz w:val="22"/>
          <w:szCs w:val="22"/>
        </w:rPr>
        <w:t xml:space="preserve"> δεν πρέπει να λαμβάνεται ταυτόχρονα με σισπλατίνη διότι υπάρχει κίνδυνος ωτοτοξικής επίδρασης. Επιπλέον δυνατόν να ενισχυθεί η νεφροτοξικότητα της σισπλατίνης στην περίπτωση που η φουροσεμίδη δεν χορηγείται σε χαμηλές δόσεις (π.χ. 40 mg σε ασθενείς με φυσιολογική νεφρική λειτουργία) και με θετικό ισοζύγιο υγρών, όταν χορηγείται για να επιτευχθεί έντονη διούρηση κατά τη διάρκεια της αγωγής με σισπλατίνη.</w:t>
      </w:r>
    </w:p>
    <w:p w:rsidR="00F0677E" w:rsidRPr="00076702" w:rsidRDefault="00F0677E" w:rsidP="00F0677E">
      <w:pPr>
        <w:ind w:right="84"/>
        <w:rPr>
          <w:color w:val="auto"/>
          <w:sz w:val="22"/>
          <w:szCs w:val="22"/>
        </w:rPr>
      </w:pPr>
    </w:p>
    <w:p w:rsidR="00F0677E" w:rsidRPr="00076702" w:rsidRDefault="00F0677E" w:rsidP="00F0677E">
      <w:pPr>
        <w:rPr>
          <w:color w:val="auto"/>
          <w:sz w:val="22"/>
          <w:szCs w:val="22"/>
        </w:rPr>
      </w:pPr>
      <w:r w:rsidRPr="00076702">
        <w:rPr>
          <w:color w:val="auto"/>
          <w:sz w:val="22"/>
          <w:szCs w:val="22"/>
        </w:rPr>
        <w:t xml:space="preserve">Ασθενείς που λαμβάνουν διουρητικά μπορεί να παρουσιάσουν σοβαρή υπόταση και επιδείνωση της νεφρικής λειτουργίας, συμπεριλαμβανομένων περιπτώσεων νεφρικής ανεπάρκειας, ιδιαίτερα όταν ένας αναστολέας του μετατρεπτικού ενζύμου της αγγειοτασίνης (αναστολέας ΜΕΑ) ή ένας ανταγωνιστής των υποδοχέων της αγγειοτασίνης ΙΙ χορηγούνται για πρώτη φορά ή χορηγούνται για πρώτη φορά σε αυξημένη δόση. </w:t>
      </w:r>
    </w:p>
    <w:p w:rsidR="00F0677E" w:rsidRPr="00076702" w:rsidRDefault="00F0677E" w:rsidP="00F0677E">
      <w:pPr>
        <w:rPr>
          <w:color w:val="auto"/>
          <w:sz w:val="22"/>
          <w:szCs w:val="22"/>
        </w:rPr>
      </w:pPr>
    </w:p>
    <w:p w:rsidR="00F0677E" w:rsidRPr="00076702" w:rsidRDefault="00F0677E" w:rsidP="00F0677E">
      <w:pPr>
        <w:rPr>
          <w:color w:val="auto"/>
          <w:sz w:val="22"/>
          <w:szCs w:val="22"/>
        </w:rPr>
      </w:pPr>
      <w:r w:rsidRPr="00076702">
        <w:rPr>
          <w:color w:val="auto"/>
          <w:sz w:val="22"/>
          <w:szCs w:val="22"/>
        </w:rPr>
        <w:t>Πρέπει να εξεταστεί η διακοπή της χορήγησης της φουροσεμίδης προσωρινά ή τουλάχιστον η μείωση της δόσης της φουροσεμίδης για 3 ημέρες πριν από την έναρξη της θεραπείας με έναν αναστολέα ΜΕΑ ή με έναν ανταγωνιστή των υποδοχέων της αγγειοτασίνης ΙΙ ή πριν την αύξηση της δόσης αυτών.</w:t>
      </w:r>
    </w:p>
    <w:p w:rsidR="00F0677E" w:rsidRPr="00076702" w:rsidRDefault="00F0677E" w:rsidP="00F0677E">
      <w:pPr>
        <w:ind w:left="426"/>
        <w:rPr>
          <w:color w:val="auto"/>
          <w:sz w:val="22"/>
          <w:szCs w:val="22"/>
          <w:u w:val="single"/>
        </w:rPr>
      </w:pPr>
    </w:p>
    <w:p w:rsidR="00F0677E" w:rsidRPr="00076702" w:rsidRDefault="00F0677E" w:rsidP="00F0677E">
      <w:pPr>
        <w:rPr>
          <w:color w:val="auto"/>
          <w:sz w:val="22"/>
          <w:szCs w:val="22"/>
        </w:rPr>
      </w:pPr>
      <w:r w:rsidRPr="00076702">
        <w:rPr>
          <w:color w:val="auto"/>
          <w:sz w:val="22"/>
          <w:szCs w:val="22"/>
        </w:rPr>
        <w:lastRenderedPageBreak/>
        <w:t>Ρισπεριδόνη: Θα πρέπει να δίνεται προσοχή και να εξετάζονται οι κίνδυνοι και τα οφέλη του συνδυασμού ή της συν-θεραπείας με φουροσεμίδη ή με άλλα ισχυρά διουρητικά πριν την απόφαση για τη χρήση. Βλ. παράγραφο 2.4.2 «Προφυλάξεις», σχετικά με την αυξημένη θνησιμότητα σε ηλικιωμένους ασθενείς με άνοια οι οποίοι λαμβάνουν παράλληλα ρισπεριδόνη.</w:t>
      </w:r>
    </w:p>
    <w:p w:rsidR="00F0677E" w:rsidRPr="00076702" w:rsidRDefault="00F0677E" w:rsidP="00F0677E">
      <w:pPr>
        <w:rPr>
          <w:color w:val="auto"/>
          <w:sz w:val="22"/>
          <w:szCs w:val="22"/>
        </w:rPr>
      </w:pPr>
    </w:p>
    <w:p w:rsidR="00F0677E" w:rsidRPr="00E67811" w:rsidRDefault="00A02148" w:rsidP="00F0677E">
      <w:pPr>
        <w:ind w:right="84"/>
        <w:rPr>
          <w:b/>
          <w:bCs/>
          <w:i/>
          <w:iCs/>
          <w:color w:val="auto"/>
          <w:sz w:val="22"/>
          <w:szCs w:val="22"/>
        </w:rPr>
      </w:pPr>
      <w:r w:rsidRPr="00076702">
        <w:rPr>
          <w:b/>
          <w:bCs/>
          <w:i/>
          <w:iCs/>
          <w:color w:val="auto"/>
          <w:sz w:val="22"/>
          <w:szCs w:val="22"/>
        </w:rPr>
        <w:t>Να λαμβάνεται υπόψη</w:t>
      </w:r>
    </w:p>
    <w:p w:rsidR="00F0677E" w:rsidRPr="00076702" w:rsidRDefault="00F0677E" w:rsidP="00F0677E">
      <w:pPr>
        <w:ind w:right="84"/>
        <w:rPr>
          <w:color w:val="auto"/>
          <w:sz w:val="22"/>
          <w:szCs w:val="22"/>
        </w:rPr>
      </w:pPr>
      <w:r w:rsidRPr="00076702">
        <w:rPr>
          <w:color w:val="auto"/>
          <w:sz w:val="22"/>
          <w:szCs w:val="22"/>
        </w:rPr>
        <w:t>Όταν η αμιλορίδη συγχορηγείται με άλατα καλίου, με φάρμακα που μειώνουν την απέκκριση του καλίου, με μη στεροειδή αντιφλεγμονώδη φάρμακα ή με αναστολείς του ΜΕΑ, μπορεί να παρουσιαστεί αύξηση των συγκεντρώσεων καλίου και υπερκαλιαιμία.</w:t>
      </w:r>
    </w:p>
    <w:p w:rsidR="00F0677E" w:rsidRPr="00076702" w:rsidRDefault="00F0677E" w:rsidP="00F0677E">
      <w:pPr>
        <w:ind w:right="84"/>
        <w:rPr>
          <w:color w:val="auto"/>
          <w:sz w:val="22"/>
          <w:szCs w:val="22"/>
        </w:rPr>
      </w:pPr>
    </w:p>
    <w:p w:rsidR="00F0677E" w:rsidRPr="00076702" w:rsidRDefault="00F0677E" w:rsidP="00F0677E">
      <w:pPr>
        <w:ind w:right="84"/>
        <w:rPr>
          <w:color w:val="auto"/>
          <w:sz w:val="22"/>
          <w:szCs w:val="22"/>
        </w:rPr>
      </w:pPr>
      <w:r w:rsidRPr="00076702">
        <w:rPr>
          <w:color w:val="auto"/>
          <w:sz w:val="22"/>
          <w:szCs w:val="22"/>
        </w:rPr>
        <w:t xml:space="preserve">Η συγχορήγηση με μη στεροειδή αντιφλεγμονώδη φάρμακα συμπεριλαμβανομένου του ακετυλοσαλικυλικού οξέος μπορεί να μειώσει τη δράση του </w:t>
      </w:r>
      <w:r w:rsidRPr="00076702">
        <w:rPr>
          <w:color w:val="auto"/>
          <w:sz w:val="22"/>
          <w:szCs w:val="22"/>
          <w:lang w:val="en-US"/>
        </w:rPr>
        <w:t>Frumil</w:t>
      </w:r>
      <w:r w:rsidRPr="00076702">
        <w:rPr>
          <w:color w:val="auto"/>
          <w:sz w:val="22"/>
          <w:szCs w:val="22"/>
        </w:rPr>
        <w:t xml:space="preserve">. Σε ασθενείς με αφυδάτωση ή υποογκαιμία τα μη στεροειδή αντιφλεγμονώδη φάρμακα μπορεί να προκαλέσουν οξεία νεφρική ανεπάρκεια. Η τοξικότητα των σαλικυλικών μπορεί να αυξηθεί από τη φουροσεμίδη. </w:t>
      </w:r>
    </w:p>
    <w:p w:rsidR="00F0677E" w:rsidRPr="00076702" w:rsidRDefault="00F0677E" w:rsidP="00F0677E">
      <w:pPr>
        <w:ind w:right="84"/>
        <w:rPr>
          <w:color w:val="auto"/>
          <w:sz w:val="22"/>
          <w:szCs w:val="22"/>
        </w:rPr>
      </w:pPr>
    </w:p>
    <w:p w:rsidR="00F0677E" w:rsidRPr="00076702" w:rsidRDefault="00F0677E" w:rsidP="00F0677E">
      <w:pPr>
        <w:ind w:right="84"/>
        <w:rPr>
          <w:color w:val="auto"/>
          <w:sz w:val="22"/>
          <w:szCs w:val="22"/>
        </w:rPr>
      </w:pPr>
      <w:r w:rsidRPr="00076702">
        <w:rPr>
          <w:color w:val="auto"/>
          <w:sz w:val="22"/>
          <w:szCs w:val="22"/>
        </w:rPr>
        <w:t>Τα κορτικοστεροειδή, η καρβενοξολόνη, η γλυκύρριζα σε μεγάλες ποσότητες, καθώς και η παρατεταμένη χρήση καθαρτικών μπορεί να αυξήσει τον κίνδυνο εμφάνισης υποκαλιαιμίας.</w:t>
      </w:r>
    </w:p>
    <w:p w:rsidR="00F0677E" w:rsidRPr="00076702" w:rsidRDefault="00F0677E" w:rsidP="00F0677E">
      <w:pPr>
        <w:ind w:right="84"/>
        <w:rPr>
          <w:color w:val="auto"/>
          <w:sz w:val="22"/>
          <w:szCs w:val="22"/>
        </w:rPr>
      </w:pPr>
    </w:p>
    <w:p w:rsidR="00F0677E" w:rsidRPr="00076702" w:rsidRDefault="00F0677E" w:rsidP="00F0677E">
      <w:pPr>
        <w:rPr>
          <w:color w:val="auto"/>
          <w:sz w:val="22"/>
          <w:szCs w:val="22"/>
        </w:rPr>
      </w:pPr>
      <w:r w:rsidRPr="00076702">
        <w:rPr>
          <w:color w:val="auto"/>
          <w:sz w:val="22"/>
          <w:szCs w:val="22"/>
        </w:rPr>
        <w:t xml:space="preserve">Ορισμένες ηλεκτρολυτικές διαταραχές (π.χ. υποκαλιαιμία, υπομαγνησιαιμία) οφειλόμενες στη φουροσεμίδη είναι δυνατό να αυξήσουν την τοξικότητα συγκεκριμένων άλλων φαρμάκων (π.χ. σκευάσματα δακτυλίτιδας και φάρμακα που προκαλούν παράταση του διαστήματος </w:t>
      </w:r>
      <w:r w:rsidRPr="00076702">
        <w:rPr>
          <w:color w:val="auto"/>
          <w:sz w:val="22"/>
          <w:szCs w:val="22"/>
          <w:lang w:val="en-US"/>
        </w:rPr>
        <w:t>QT</w:t>
      </w:r>
      <w:r w:rsidRPr="00076702">
        <w:rPr>
          <w:color w:val="auto"/>
          <w:sz w:val="22"/>
          <w:szCs w:val="22"/>
        </w:rPr>
        <w:t>).</w:t>
      </w:r>
    </w:p>
    <w:p w:rsidR="00F0677E" w:rsidRPr="00076702" w:rsidRDefault="00F0677E" w:rsidP="00F0677E">
      <w:pPr>
        <w:ind w:right="84"/>
        <w:rPr>
          <w:color w:val="auto"/>
          <w:sz w:val="22"/>
          <w:szCs w:val="22"/>
        </w:rPr>
      </w:pPr>
    </w:p>
    <w:p w:rsidR="00F0677E" w:rsidRPr="00076702" w:rsidRDefault="00F0677E" w:rsidP="00F0677E">
      <w:pPr>
        <w:ind w:right="84"/>
        <w:rPr>
          <w:strike/>
          <w:color w:val="auto"/>
          <w:sz w:val="22"/>
          <w:szCs w:val="22"/>
        </w:rPr>
      </w:pPr>
      <w:r w:rsidRPr="00076702">
        <w:rPr>
          <w:color w:val="auto"/>
          <w:sz w:val="22"/>
          <w:szCs w:val="22"/>
        </w:rPr>
        <w:t>Η αμιλορίδη μπορεί να προκαλέσει αύξηση των επιπέδων διγοξίνης στο αίμα. Επιπλέον, ενδέχεται να ενισχυθούν τόσο η δράση όσο και οι ανεπιθύμητες ενέργειες από τα φαρμακευτικά προϊόντα διγοξίνης, λόγω αλλαγών στη συγκέντρωση των ηλεκτρολυτών.</w:t>
      </w:r>
    </w:p>
    <w:p w:rsidR="00F0677E" w:rsidRPr="00076702" w:rsidRDefault="00F0677E" w:rsidP="00F0677E">
      <w:pPr>
        <w:ind w:right="84"/>
        <w:rPr>
          <w:color w:val="auto"/>
          <w:sz w:val="22"/>
          <w:szCs w:val="22"/>
        </w:rPr>
      </w:pPr>
    </w:p>
    <w:p w:rsidR="00F0677E" w:rsidRPr="00076702" w:rsidRDefault="00F0677E" w:rsidP="00F0677E">
      <w:pPr>
        <w:ind w:right="84"/>
        <w:rPr>
          <w:color w:val="auto"/>
          <w:sz w:val="22"/>
          <w:szCs w:val="22"/>
        </w:rPr>
      </w:pPr>
      <w:r w:rsidRPr="00076702">
        <w:rPr>
          <w:color w:val="auto"/>
          <w:sz w:val="22"/>
          <w:szCs w:val="22"/>
        </w:rPr>
        <w:t xml:space="preserve">Περιορισμός της δράσης του </w:t>
      </w:r>
      <w:r w:rsidRPr="00076702">
        <w:rPr>
          <w:color w:val="auto"/>
          <w:sz w:val="22"/>
          <w:szCs w:val="22"/>
          <w:lang w:val="en-US"/>
        </w:rPr>
        <w:t>Frumil</w:t>
      </w:r>
      <w:r w:rsidRPr="00076702">
        <w:rPr>
          <w:color w:val="auto"/>
          <w:sz w:val="22"/>
          <w:szCs w:val="22"/>
        </w:rPr>
        <w:t xml:space="preserve"> μπορεί να προκληθεί από ταυτόχρονη χορήγηση φαινυτοΐνης.</w:t>
      </w:r>
    </w:p>
    <w:p w:rsidR="00F0677E" w:rsidRPr="00076702" w:rsidRDefault="00F0677E" w:rsidP="00F0677E">
      <w:pPr>
        <w:ind w:right="84"/>
        <w:rPr>
          <w:color w:val="auto"/>
          <w:sz w:val="22"/>
          <w:szCs w:val="22"/>
        </w:rPr>
      </w:pPr>
    </w:p>
    <w:p w:rsidR="00F0677E" w:rsidRPr="00076702" w:rsidRDefault="00F0677E" w:rsidP="00F0677E">
      <w:pPr>
        <w:ind w:right="84"/>
        <w:rPr>
          <w:color w:val="auto"/>
          <w:sz w:val="22"/>
          <w:szCs w:val="22"/>
        </w:rPr>
      </w:pPr>
      <w:r w:rsidRPr="00076702">
        <w:rPr>
          <w:color w:val="auto"/>
          <w:sz w:val="22"/>
          <w:szCs w:val="22"/>
        </w:rPr>
        <w:t>Η προβενεσίδη, η μεθοτρεξάτη και άλλα φάρμακα τα οποία όπως η φουροσεμίδη εκκρίνονται σε μεγάλο ποσοστό από τα νεφρικά σωληνάρια μπορεί να μειώσουν τη δράση της φουροσεμίδης.</w:t>
      </w:r>
    </w:p>
    <w:p w:rsidR="00F0677E" w:rsidRPr="00076702" w:rsidRDefault="00F0677E" w:rsidP="00F0677E">
      <w:pPr>
        <w:rPr>
          <w:color w:val="auto"/>
          <w:sz w:val="22"/>
          <w:szCs w:val="22"/>
        </w:rPr>
      </w:pPr>
      <w:r w:rsidRPr="00076702">
        <w:rPr>
          <w:color w:val="auto"/>
          <w:sz w:val="22"/>
          <w:szCs w:val="22"/>
        </w:rPr>
        <w:t>Αντίστροφα, η φουροσεμίδη μπορεί να μειώσει τη νεφρική απέκκριση αυτών των φαρμάκων. Σε περίπτωση θεραπείας υψηλών δόσεων (ιδιαίτερα, σε υψηλές δόσεις τόσο της φουροσεμίδης όσο και των άλλων φαρμάκων) μπορεί να προκληθούν αυξημένα επίπεδα στον ορό και αυξημένος κίνδυνος ανεπιθυμήτων ενεργειών εξαιτίας της φουροσεμίδης ή της συγχορηγούμενης αγωγής.</w:t>
      </w:r>
    </w:p>
    <w:p w:rsidR="00F0677E" w:rsidRPr="00076702" w:rsidRDefault="00F0677E" w:rsidP="00F0677E">
      <w:pPr>
        <w:ind w:right="84"/>
        <w:rPr>
          <w:color w:val="auto"/>
          <w:sz w:val="22"/>
          <w:szCs w:val="22"/>
        </w:rPr>
      </w:pPr>
    </w:p>
    <w:p w:rsidR="00F0677E" w:rsidRPr="00076702" w:rsidRDefault="00F0677E" w:rsidP="00F0677E">
      <w:pPr>
        <w:ind w:right="84"/>
        <w:rPr>
          <w:color w:val="auto"/>
          <w:sz w:val="22"/>
          <w:szCs w:val="22"/>
        </w:rPr>
      </w:pPr>
      <w:r w:rsidRPr="00076702">
        <w:rPr>
          <w:color w:val="auto"/>
          <w:sz w:val="22"/>
          <w:szCs w:val="22"/>
        </w:rPr>
        <w:t xml:space="preserve">Σε περίπτωση συγχορήγησης του </w:t>
      </w:r>
      <w:r w:rsidRPr="00076702">
        <w:rPr>
          <w:color w:val="auto"/>
          <w:sz w:val="22"/>
          <w:szCs w:val="22"/>
          <w:lang w:val="en-US"/>
        </w:rPr>
        <w:t>Frumil</w:t>
      </w:r>
      <w:r w:rsidRPr="00076702">
        <w:rPr>
          <w:color w:val="auto"/>
          <w:sz w:val="22"/>
          <w:szCs w:val="22"/>
        </w:rPr>
        <w:t xml:space="preserve"> με άλλα αντιυπερτασικά, διουρητικά ή φάρμακα, τα οποία μπορεί να οδηγήσουν σε μείωση της αρτηριακής πίεσης ενδέχεται να παρουσιαστεί περισσότερο έντονη πτώση της πίεσης. </w:t>
      </w:r>
    </w:p>
    <w:p w:rsidR="00F0677E" w:rsidRPr="00076702" w:rsidRDefault="00F0677E" w:rsidP="00F0677E">
      <w:pPr>
        <w:ind w:right="84"/>
        <w:rPr>
          <w:color w:val="auto"/>
          <w:sz w:val="22"/>
          <w:szCs w:val="22"/>
        </w:rPr>
      </w:pPr>
    </w:p>
    <w:p w:rsidR="00F0677E" w:rsidRPr="00076702" w:rsidRDefault="00F0677E" w:rsidP="00F0677E">
      <w:pPr>
        <w:ind w:right="84"/>
        <w:rPr>
          <w:color w:val="auto"/>
          <w:sz w:val="22"/>
          <w:szCs w:val="22"/>
        </w:rPr>
      </w:pPr>
      <w:r w:rsidRPr="00076702">
        <w:rPr>
          <w:color w:val="auto"/>
          <w:sz w:val="22"/>
          <w:szCs w:val="22"/>
        </w:rPr>
        <w:t>Η δράση των αντιδιαβητικών και των συμπαθητικομιμητικών φαρμάκων που αυξάνουν την αρτηριακή πίεση (π.χ. επινεφρίνη, νορεπινεφρίνη), μπορεί να μειωθεί. Ενδέχεται να ενισχυθεί η δράση των μυοχαλαρωτικών τύπου κουραρίου ή της θεοφυλλίνης.</w:t>
      </w:r>
    </w:p>
    <w:p w:rsidR="00F0677E" w:rsidRPr="00076702" w:rsidRDefault="00F0677E" w:rsidP="00F0677E">
      <w:pPr>
        <w:ind w:right="84"/>
        <w:rPr>
          <w:color w:val="auto"/>
          <w:sz w:val="22"/>
          <w:szCs w:val="22"/>
        </w:rPr>
      </w:pPr>
    </w:p>
    <w:p w:rsidR="00F0677E" w:rsidRPr="00076702" w:rsidRDefault="00F0677E" w:rsidP="00F0677E">
      <w:pPr>
        <w:ind w:right="84"/>
        <w:rPr>
          <w:color w:val="auto"/>
          <w:sz w:val="22"/>
          <w:szCs w:val="22"/>
        </w:rPr>
      </w:pPr>
      <w:r w:rsidRPr="00076702">
        <w:rPr>
          <w:color w:val="auto"/>
          <w:sz w:val="22"/>
          <w:szCs w:val="22"/>
        </w:rPr>
        <w:t xml:space="preserve">Όταν το </w:t>
      </w:r>
      <w:r w:rsidRPr="00076702">
        <w:rPr>
          <w:color w:val="auto"/>
          <w:sz w:val="22"/>
          <w:szCs w:val="22"/>
          <w:lang w:val="en-US"/>
        </w:rPr>
        <w:t>Frumil</w:t>
      </w:r>
      <w:r w:rsidRPr="00076702">
        <w:rPr>
          <w:color w:val="auto"/>
          <w:sz w:val="22"/>
          <w:szCs w:val="22"/>
        </w:rPr>
        <w:t xml:space="preserve"> συγχορηγείται με αλκοόλη, βαρβιτουρικά και ναρκωτικά αυξάνει ο κίνδυνος πρόκλησης ορθοστατικής υπότασης.</w:t>
      </w:r>
    </w:p>
    <w:p w:rsidR="00F0677E" w:rsidRPr="00076702" w:rsidRDefault="00F0677E" w:rsidP="00F0677E">
      <w:pPr>
        <w:ind w:right="84"/>
        <w:rPr>
          <w:color w:val="auto"/>
          <w:sz w:val="22"/>
          <w:szCs w:val="22"/>
        </w:rPr>
      </w:pPr>
      <w:r w:rsidRPr="00076702">
        <w:rPr>
          <w:color w:val="auto"/>
          <w:sz w:val="22"/>
          <w:szCs w:val="22"/>
        </w:rPr>
        <w:t xml:space="preserve"> </w:t>
      </w:r>
    </w:p>
    <w:p w:rsidR="00F0677E" w:rsidRPr="00076702" w:rsidRDefault="00F0677E" w:rsidP="00F0677E">
      <w:pPr>
        <w:ind w:right="84"/>
        <w:rPr>
          <w:color w:val="auto"/>
          <w:sz w:val="22"/>
          <w:szCs w:val="22"/>
        </w:rPr>
      </w:pPr>
      <w:r w:rsidRPr="00076702">
        <w:rPr>
          <w:color w:val="auto"/>
          <w:sz w:val="22"/>
          <w:szCs w:val="22"/>
        </w:rPr>
        <w:t>Διαταραχή της νεφρικής λειτουργίας μπορεί να εκδηλωθεί σε ασθενείς που λαμβάνουν συγχρόνως αγωγή φουροσεμίδης και υψηλές δόσεις συγκεκριμένων κεφαλοσπορινών.</w:t>
      </w:r>
    </w:p>
    <w:p w:rsidR="00F0677E" w:rsidRPr="00076702" w:rsidRDefault="00F0677E" w:rsidP="00F0677E">
      <w:pPr>
        <w:ind w:right="84"/>
        <w:rPr>
          <w:color w:val="auto"/>
          <w:sz w:val="22"/>
          <w:szCs w:val="22"/>
        </w:rPr>
      </w:pPr>
    </w:p>
    <w:p w:rsidR="00F0677E" w:rsidRPr="00076702" w:rsidRDefault="00F0677E" w:rsidP="00F0677E">
      <w:pPr>
        <w:rPr>
          <w:color w:val="auto"/>
          <w:sz w:val="22"/>
          <w:szCs w:val="22"/>
        </w:rPr>
      </w:pPr>
      <w:r w:rsidRPr="00076702">
        <w:rPr>
          <w:color w:val="auto"/>
          <w:sz w:val="22"/>
          <w:szCs w:val="22"/>
        </w:rPr>
        <w:t>Η ταυτόχρονη χορήγηση κυκλοσπορίνης Α και φουροσεμίδης σχετίζεται με αυξημένο κίνδυνο ουρικής αρθρίτιδας λόγω της υπερουριχαιμίας που προκαλείται από τη φουροσεμίδη της μειωμένης νεφρικής απέκκρισης του ουρικού οξέος λόγω της κυκλοσπορίνης.</w:t>
      </w:r>
    </w:p>
    <w:p w:rsidR="00F0677E" w:rsidRPr="00076702" w:rsidRDefault="00F0677E" w:rsidP="00F0677E">
      <w:pPr>
        <w:ind w:right="84"/>
        <w:rPr>
          <w:color w:val="auto"/>
          <w:sz w:val="22"/>
          <w:szCs w:val="22"/>
        </w:rPr>
      </w:pPr>
    </w:p>
    <w:p w:rsidR="00F0677E" w:rsidRPr="00076702" w:rsidRDefault="00F0677E" w:rsidP="00F0677E">
      <w:pPr>
        <w:ind w:right="84"/>
        <w:rPr>
          <w:color w:val="auto"/>
          <w:sz w:val="22"/>
          <w:szCs w:val="22"/>
        </w:rPr>
      </w:pPr>
      <w:r w:rsidRPr="00076702">
        <w:rPr>
          <w:color w:val="auto"/>
          <w:sz w:val="22"/>
          <w:szCs w:val="22"/>
        </w:rPr>
        <w:t xml:space="preserve">Η βλαπτική δράση των νεφροτοξικών φαρμάκων στο νεφρό μπορεί να ενισχυθεί από τη φουροσεμίδη. </w:t>
      </w:r>
    </w:p>
    <w:p w:rsidR="00F0677E" w:rsidRPr="00076702" w:rsidRDefault="00F0677E" w:rsidP="00F0677E">
      <w:pPr>
        <w:ind w:right="84"/>
        <w:rPr>
          <w:color w:val="auto"/>
          <w:sz w:val="22"/>
          <w:szCs w:val="22"/>
        </w:rPr>
      </w:pPr>
    </w:p>
    <w:p w:rsidR="00F0677E" w:rsidRPr="00076702" w:rsidRDefault="00F0677E" w:rsidP="00F0677E">
      <w:pPr>
        <w:ind w:right="84"/>
        <w:rPr>
          <w:color w:val="auto"/>
          <w:sz w:val="22"/>
          <w:szCs w:val="22"/>
        </w:rPr>
      </w:pPr>
      <w:r w:rsidRPr="00076702">
        <w:rPr>
          <w:color w:val="auto"/>
          <w:sz w:val="22"/>
          <w:szCs w:val="22"/>
        </w:rPr>
        <w:lastRenderedPageBreak/>
        <w:t>Ασθενείς σε υψηλό κίνδυνο για νεφροπάθεια οφειλόμενη σε σκιαγραφικά μέσα, στους οποίους χορηγήθηκε φουροσεμίδη, εμφάνισαν σε υψηλότερη συχνότητα επιδείνωση της νεφρικής λειτουργίας μετά τη λήψη του σκιαγραφικού, συγκριτικά με ασθενείς υψηλού κινδύνου οι οποίοι έλαβαν ενδοφλέβια ενυδάτωση πριν από τη λήψη του σκιαγραφικού.</w:t>
      </w:r>
    </w:p>
    <w:p w:rsidR="00F0677E" w:rsidRPr="00076702" w:rsidRDefault="00F0677E" w:rsidP="00F0677E">
      <w:pPr>
        <w:ind w:right="84"/>
        <w:rPr>
          <w:color w:val="auto"/>
          <w:sz w:val="22"/>
          <w:szCs w:val="22"/>
        </w:rPr>
      </w:pPr>
    </w:p>
    <w:p w:rsidR="00F0677E" w:rsidRPr="00076702" w:rsidRDefault="00F0677E" w:rsidP="00F0677E">
      <w:pPr>
        <w:rPr>
          <w:b/>
          <w:color w:val="auto"/>
          <w:sz w:val="22"/>
          <w:szCs w:val="22"/>
        </w:rPr>
      </w:pPr>
      <w:r w:rsidRPr="00076702">
        <w:rPr>
          <w:b/>
          <w:color w:val="auto"/>
          <w:sz w:val="22"/>
          <w:szCs w:val="22"/>
        </w:rPr>
        <w:t>2.6</w:t>
      </w:r>
      <w:r w:rsidR="00A02148" w:rsidRPr="00076702">
        <w:rPr>
          <w:b/>
          <w:color w:val="auto"/>
          <w:sz w:val="22"/>
          <w:szCs w:val="22"/>
        </w:rPr>
        <w:t xml:space="preserve"> Δοσολογία και τρόπος χορήγησης</w:t>
      </w:r>
    </w:p>
    <w:p w:rsidR="005F2E2D" w:rsidRDefault="005F2E2D" w:rsidP="00F0677E">
      <w:pPr>
        <w:pStyle w:val="a6"/>
        <w:rPr>
          <w:bCs/>
          <w:i/>
          <w:color w:val="auto"/>
          <w:sz w:val="22"/>
          <w:szCs w:val="22"/>
        </w:rPr>
      </w:pPr>
    </w:p>
    <w:p w:rsidR="00F0677E" w:rsidRPr="00076702" w:rsidRDefault="00F0677E" w:rsidP="00F0677E">
      <w:pPr>
        <w:pStyle w:val="a6"/>
        <w:rPr>
          <w:bCs/>
          <w:i/>
          <w:color w:val="auto"/>
          <w:sz w:val="22"/>
          <w:szCs w:val="22"/>
        </w:rPr>
      </w:pPr>
      <w:r w:rsidRPr="00076702">
        <w:rPr>
          <w:bCs/>
          <w:i/>
          <w:color w:val="auto"/>
          <w:sz w:val="22"/>
          <w:szCs w:val="22"/>
        </w:rPr>
        <w:t>Δοσολογία: Η δοσολογία πρέπει να εξατομικεύεται ανάλογα με τις ανάγκες του κάθε ασθενή.</w:t>
      </w:r>
    </w:p>
    <w:p w:rsidR="00F0677E" w:rsidRPr="00076702" w:rsidRDefault="00F0677E" w:rsidP="00F0677E">
      <w:pPr>
        <w:ind w:left="284" w:hanging="284"/>
        <w:rPr>
          <w:color w:val="auto"/>
          <w:sz w:val="22"/>
          <w:szCs w:val="22"/>
        </w:rPr>
      </w:pPr>
      <w:r w:rsidRPr="00076702">
        <w:rPr>
          <w:color w:val="auto"/>
          <w:sz w:val="22"/>
          <w:szCs w:val="22"/>
        </w:rPr>
        <w:t>Η δοσολογία σε ενήλικες γενικά βασίζεται στις ακόλουθες οδηγίες:</w:t>
      </w:r>
    </w:p>
    <w:p w:rsidR="00F0677E" w:rsidRPr="00076702" w:rsidRDefault="00F0677E" w:rsidP="00F0677E">
      <w:pPr>
        <w:ind w:left="284" w:hanging="284"/>
        <w:rPr>
          <w:color w:val="auto"/>
          <w:sz w:val="22"/>
          <w:szCs w:val="22"/>
        </w:rPr>
      </w:pPr>
      <w:r w:rsidRPr="00076702">
        <w:rPr>
          <w:color w:val="auto"/>
          <w:sz w:val="22"/>
          <w:szCs w:val="22"/>
        </w:rPr>
        <w:t>Κατά κανόνα, 1 δισκίο λαμβάνεται εφάπαξ ημερησίως, το πρωί.</w:t>
      </w:r>
    </w:p>
    <w:p w:rsidR="00F0677E" w:rsidRPr="00076702" w:rsidRDefault="00F0677E" w:rsidP="00F0677E">
      <w:pPr>
        <w:pStyle w:val="3"/>
        <w:spacing w:after="0"/>
        <w:ind w:left="0"/>
        <w:rPr>
          <w:color w:val="auto"/>
          <w:sz w:val="22"/>
          <w:szCs w:val="22"/>
        </w:rPr>
      </w:pPr>
      <w:r w:rsidRPr="00076702">
        <w:rPr>
          <w:color w:val="auto"/>
          <w:sz w:val="22"/>
          <w:szCs w:val="22"/>
        </w:rPr>
        <w:t>Εάν είναι αναγκαίο, η δοσολογία μπορεί να αυξηθεί σε 2 δισκία την ημέρα. Σε αυτή την περίπτωση, είναι καλύτερα η δοσολογία να κατανέμεται σε δύο ημερήσιες δόσεις, από τις οποίες η μία να λαμβάνεται το πρωί και η άλλη το μεσημέρι.</w:t>
      </w:r>
    </w:p>
    <w:p w:rsidR="00F0677E" w:rsidRPr="00076702" w:rsidRDefault="00F0677E" w:rsidP="00F0677E">
      <w:pPr>
        <w:rPr>
          <w:color w:val="auto"/>
          <w:sz w:val="22"/>
          <w:szCs w:val="22"/>
        </w:rPr>
      </w:pPr>
    </w:p>
    <w:p w:rsidR="00F0677E" w:rsidRPr="00076702" w:rsidRDefault="00F0677E" w:rsidP="00F0677E">
      <w:pPr>
        <w:rPr>
          <w:color w:val="auto"/>
          <w:sz w:val="22"/>
          <w:szCs w:val="22"/>
        </w:rPr>
      </w:pPr>
      <w:r w:rsidRPr="00076702">
        <w:rPr>
          <w:i/>
          <w:iCs/>
          <w:color w:val="auto"/>
          <w:sz w:val="22"/>
          <w:szCs w:val="22"/>
        </w:rPr>
        <w:t>Τρόπος χορήγησης:</w:t>
      </w:r>
      <w:r w:rsidRPr="00076702">
        <w:rPr>
          <w:color w:val="auto"/>
          <w:sz w:val="22"/>
          <w:szCs w:val="22"/>
        </w:rPr>
        <w:t xml:space="preserve"> Από στόματος.</w:t>
      </w:r>
    </w:p>
    <w:p w:rsidR="00F0677E" w:rsidRPr="00076702" w:rsidRDefault="00F0677E" w:rsidP="00F0677E">
      <w:pPr>
        <w:pStyle w:val="3"/>
        <w:spacing w:after="0"/>
        <w:ind w:left="0"/>
        <w:rPr>
          <w:color w:val="auto"/>
          <w:sz w:val="22"/>
          <w:szCs w:val="22"/>
        </w:rPr>
      </w:pPr>
      <w:r w:rsidRPr="00076702">
        <w:rPr>
          <w:color w:val="auto"/>
          <w:sz w:val="22"/>
          <w:szCs w:val="22"/>
        </w:rPr>
        <w:t>Τα δισκία καταπίνονται ολόκληρα, με επαρκή ποσότητα υγρών (περίπου μισό ποτήρι). Είναι καλύτερα να λαμβάνονται με άδειο στομάχι.</w:t>
      </w:r>
    </w:p>
    <w:p w:rsidR="00F0677E" w:rsidRPr="00076702" w:rsidRDefault="00F0677E" w:rsidP="00F0677E">
      <w:pPr>
        <w:pStyle w:val="3"/>
        <w:spacing w:after="0"/>
        <w:ind w:left="0"/>
        <w:rPr>
          <w:color w:val="auto"/>
          <w:sz w:val="22"/>
          <w:szCs w:val="22"/>
        </w:rPr>
      </w:pPr>
    </w:p>
    <w:p w:rsidR="00F0677E" w:rsidRPr="00076702" w:rsidRDefault="00F0677E" w:rsidP="00F0677E">
      <w:pPr>
        <w:pStyle w:val="3"/>
        <w:spacing w:after="0"/>
        <w:ind w:left="0"/>
        <w:rPr>
          <w:b/>
          <w:bCs/>
          <w:i/>
          <w:iCs/>
          <w:color w:val="auto"/>
          <w:sz w:val="22"/>
          <w:szCs w:val="22"/>
        </w:rPr>
      </w:pPr>
      <w:r w:rsidRPr="00076702">
        <w:rPr>
          <w:b/>
          <w:bCs/>
          <w:i/>
          <w:iCs/>
          <w:color w:val="auto"/>
          <w:sz w:val="22"/>
          <w:szCs w:val="22"/>
        </w:rPr>
        <w:t>Ηλικιωμένοι</w:t>
      </w:r>
    </w:p>
    <w:p w:rsidR="00F0677E" w:rsidRPr="00076702" w:rsidRDefault="00F0677E" w:rsidP="00F0677E">
      <w:pPr>
        <w:pStyle w:val="3"/>
        <w:spacing w:after="0"/>
        <w:ind w:left="0"/>
        <w:rPr>
          <w:color w:val="auto"/>
          <w:sz w:val="22"/>
          <w:szCs w:val="22"/>
        </w:rPr>
      </w:pPr>
      <w:r w:rsidRPr="00076702">
        <w:rPr>
          <w:color w:val="auto"/>
          <w:sz w:val="22"/>
          <w:szCs w:val="22"/>
        </w:rPr>
        <w:t>Η δοσολογία στους ηλικιωμένους ασθενείς πρέπει να προσαρμόζεται ανάλογα με την ανταπόκριση στη διουρητική θεραπεία. Θα πρέπει να παρακολουθούνται προσεκτικά τα επίπεδα των ηλεκτρολυτών και της ουρίας στο πλάσμα.</w:t>
      </w:r>
    </w:p>
    <w:p w:rsidR="00F0677E" w:rsidRPr="00076702" w:rsidRDefault="00F0677E" w:rsidP="00F0677E">
      <w:pPr>
        <w:pStyle w:val="3"/>
        <w:spacing w:after="0"/>
        <w:ind w:left="0"/>
        <w:rPr>
          <w:color w:val="auto"/>
          <w:sz w:val="22"/>
          <w:szCs w:val="22"/>
        </w:rPr>
      </w:pPr>
    </w:p>
    <w:p w:rsidR="00F0677E" w:rsidRPr="00076702" w:rsidRDefault="00A02148" w:rsidP="00F0677E">
      <w:pPr>
        <w:rPr>
          <w:b/>
          <w:color w:val="auto"/>
          <w:sz w:val="22"/>
          <w:szCs w:val="22"/>
        </w:rPr>
      </w:pPr>
      <w:r w:rsidRPr="00076702">
        <w:rPr>
          <w:b/>
          <w:color w:val="auto"/>
          <w:sz w:val="22"/>
          <w:szCs w:val="22"/>
        </w:rPr>
        <w:t>2.7 Υπερδοσολογία-Αντιμετώπιση</w:t>
      </w:r>
    </w:p>
    <w:p w:rsidR="005F2E2D" w:rsidRDefault="005F2E2D" w:rsidP="00F0677E">
      <w:pPr>
        <w:pStyle w:val="a4"/>
        <w:ind w:left="0"/>
        <w:jc w:val="left"/>
        <w:rPr>
          <w:color w:val="auto"/>
          <w:sz w:val="22"/>
          <w:szCs w:val="22"/>
        </w:rPr>
      </w:pPr>
    </w:p>
    <w:p w:rsidR="00F0677E" w:rsidRPr="00076702" w:rsidRDefault="00F0677E" w:rsidP="00F0677E">
      <w:pPr>
        <w:pStyle w:val="a4"/>
        <w:ind w:left="0"/>
        <w:jc w:val="left"/>
        <w:rPr>
          <w:color w:val="auto"/>
          <w:sz w:val="22"/>
          <w:szCs w:val="22"/>
        </w:rPr>
      </w:pPr>
      <w:r w:rsidRPr="00076702">
        <w:rPr>
          <w:color w:val="auto"/>
          <w:sz w:val="22"/>
          <w:szCs w:val="22"/>
        </w:rPr>
        <w:t>Η κλινική εικόνα της οξείας ή της χρόνιας υπερδοσολογίας αρχικά καθορίζεται από το μέγεθος και τις συνέπειες της απώλειας ηλεκτρολυτών και υγρών, π.χ. υποογκαιμία και αφυδάτωση, αιμοσυμπύκνωση και καρδιακές αρρυθμίες (π.χ. αρτηριοφλεβικός αποκλεισμός και κοιλιακή μαρμαρυγή). Οι διαταραχές αυτές εκδηλώνονται π.χ. ως σοβαρή υπόταση (εξελισσόμενη μέχρι και σε καταπληξία), οξεία νεφρική ανεπάρκεια, θρόμβωση, καταστάσεις παραληρήματος, χαλαρή παράλυση, απάθεια και σύγχυση.</w:t>
      </w:r>
    </w:p>
    <w:p w:rsidR="00F0677E" w:rsidRPr="00076702" w:rsidRDefault="00F0677E" w:rsidP="00F0677E">
      <w:pPr>
        <w:pStyle w:val="a4"/>
        <w:ind w:left="432"/>
        <w:jc w:val="left"/>
        <w:rPr>
          <w:color w:val="auto"/>
          <w:sz w:val="22"/>
          <w:szCs w:val="22"/>
        </w:rPr>
      </w:pPr>
    </w:p>
    <w:p w:rsidR="00F0677E" w:rsidRPr="00076702" w:rsidRDefault="00F0677E" w:rsidP="00F0677E">
      <w:pPr>
        <w:pStyle w:val="a4"/>
        <w:ind w:left="0"/>
        <w:jc w:val="left"/>
        <w:rPr>
          <w:color w:val="auto"/>
          <w:sz w:val="22"/>
          <w:szCs w:val="22"/>
        </w:rPr>
      </w:pPr>
      <w:r w:rsidRPr="00076702">
        <w:rPr>
          <w:color w:val="auto"/>
          <w:sz w:val="22"/>
          <w:szCs w:val="22"/>
        </w:rPr>
        <w:t>Δεν είναι γνωστό κάποιο ειδικό αντίδοτο για τη φουροσεμίδη ή την αμιλορίδη. Στην περίπτωση που η λήψη μόλις έγινε, απαιτείται προσπάθεια προκειμένου να ελαχιστοποιηθεί η περαιτέρω συστηματική απορρόφηση των δραστικών συστατικών λαμβάνοντας μέτρα πρωτογενούς αποτοξίκωσης (π.χ. πλύση στομάχου) ή προσπάθεια μείωσης της απορρόφησης (π.χ. ενεργοποιημένος άνθρακας).</w:t>
      </w:r>
    </w:p>
    <w:p w:rsidR="00F0677E" w:rsidRPr="00076702" w:rsidRDefault="00F0677E" w:rsidP="00F0677E">
      <w:pPr>
        <w:pStyle w:val="a4"/>
        <w:ind w:left="432"/>
        <w:jc w:val="left"/>
        <w:rPr>
          <w:color w:val="auto"/>
          <w:sz w:val="22"/>
          <w:szCs w:val="22"/>
        </w:rPr>
      </w:pPr>
    </w:p>
    <w:p w:rsidR="00F0677E" w:rsidRPr="00076702" w:rsidRDefault="00F0677E" w:rsidP="00F0677E">
      <w:pPr>
        <w:pStyle w:val="2"/>
        <w:jc w:val="left"/>
        <w:rPr>
          <w:bCs/>
          <w:sz w:val="22"/>
          <w:szCs w:val="22"/>
        </w:rPr>
      </w:pPr>
      <w:r w:rsidRPr="00076702">
        <w:rPr>
          <w:bCs/>
          <w:sz w:val="22"/>
          <w:szCs w:val="22"/>
        </w:rPr>
        <w:t>Πρέπει να γίνει αποκατάσταση των κλινικά σημαντικών διαταραχών στο ισοζύγιο ηλεκτρολυτών και υγρών. Εκτός από την πρόληψη και τη θεραπευτική αντιμετώπιση των σοβαρών επιπλοκών που προέρχονται από αυτές τις διαταραχές (π.χ. υπερκαλιαιμία) και από άλλες επιδράσεις στον οργανισμό, πιθανόν η διορθωτική αυτή ενέργεια να απαιτήσει γενική και ειδική εντατική ιατρική παρακολούθηση και να ληφθούν τα θεραπευτικά μέτρα αντιμετώπισης (π.χ. μέτρα που οδηγούν στην απομάκρυνση του καλίου).</w:t>
      </w:r>
    </w:p>
    <w:p w:rsidR="00F0677E" w:rsidRPr="00076702" w:rsidRDefault="00F0677E" w:rsidP="00F0677E">
      <w:pPr>
        <w:pStyle w:val="2"/>
        <w:jc w:val="left"/>
        <w:rPr>
          <w:bCs/>
          <w:sz w:val="22"/>
          <w:szCs w:val="22"/>
        </w:rPr>
      </w:pPr>
    </w:p>
    <w:p w:rsidR="00F0677E" w:rsidRPr="00076702" w:rsidRDefault="00A02148" w:rsidP="00F0677E">
      <w:pPr>
        <w:rPr>
          <w:b/>
          <w:color w:val="auto"/>
          <w:sz w:val="22"/>
          <w:szCs w:val="22"/>
        </w:rPr>
      </w:pPr>
      <w:r w:rsidRPr="00076702">
        <w:rPr>
          <w:b/>
          <w:color w:val="auto"/>
          <w:sz w:val="22"/>
          <w:szCs w:val="22"/>
        </w:rPr>
        <w:t>2.8 Ανεπιθύμητες ενέργειες</w:t>
      </w:r>
    </w:p>
    <w:p w:rsidR="005F2E2D" w:rsidRDefault="005F2E2D" w:rsidP="00F0677E">
      <w:pPr>
        <w:pStyle w:val="a3"/>
        <w:spacing w:line="240" w:lineRule="auto"/>
        <w:ind w:left="0" w:right="-3"/>
        <w:jc w:val="left"/>
        <w:rPr>
          <w:color w:val="auto"/>
          <w:sz w:val="22"/>
          <w:szCs w:val="22"/>
        </w:rPr>
      </w:pPr>
    </w:p>
    <w:p w:rsidR="00F0677E" w:rsidRPr="00076702" w:rsidRDefault="00F0677E" w:rsidP="00F0677E">
      <w:pPr>
        <w:pStyle w:val="a3"/>
        <w:spacing w:line="240" w:lineRule="auto"/>
        <w:ind w:left="0" w:right="-3"/>
        <w:jc w:val="left"/>
        <w:rPr>
          <w:color w:val="auto"/>
          <w:sz w:val="22"/>
          <w:szCs w:val="22"/>
        </w:rPr>
      </w:pPr>
      <w:r w:rsidRPr="00076702">
        <w:rPr>
          <w:color w:val="auto"/>
          <w:sz w:val="22"/>
          <w:szCs w:val="22"/>
        </w:rPr>
        <w:t>Μαζί με τις επιθυμητές ενέργειες, κάθε φάρμακο μπορεί να προκαλέσει και ορισμένες ανεπιθύμητες ενέργειες. Αν και όλες αυτές οι ανεπιθύμητες ενέργειες δεν εμφανίζονται πολύ συχνά, όταν εμφανισθούν θα πρέπει να ενημερωθεί ο γιατρός σας για να σας δώσει τις απαραίτητες οδηγίες.</w:t>
      </w:r>
    </w:p>
    <w:p w:rsidR="00F0677E" w:rsidRPr="00076702" w:rsidRDefault="00F0677E" w:rsidP="00F0677E">
      <w:pPr>
        <w:rPr>
          <w:color w:val="auto"/>
          <w:sz w:val="22"/>
          <w:szCs w:val="22"/>
        </w:rPr>
      </w:pPr>
    </w:p>
    <w:p w:rsidR="00F0677E" w:rsidRPr="00076702" w:rsidRDefault="00F0677E" w:rsidP="00F0677E">
      <w:pPr>
        <w:rPr>
          <w:color w:val="auto"/>
          <w:sz w:val="22"/>
          <w:szCs w:val="22"/>
        </w:rPr>
      </w:pPr>
      <w:r w:rsidRPr="00076702">
        <w:rPr>
          <w:color w:val="auto"/>
          <w:sz w:val="22"/>
          <w:szCs w:val="22"/>
        </w:rPr>
        <w:t>Οι συχνότητες προέρχονται από βιβλιογραφικά δεδομένα μελετών όπου η φουροσεμίδη χρησιμοποιήθηκε συνολικά σε 1.387 ασθενείς, σε οποιαδήποτε δόση και ένδειξη. Στην περίπτωση κατά την οποία η κατηγορία συχνότητας για την ίδια ανεπιθύμητη ενέργεια ήταν διαφορετική, επιλέχθηκε η κατηγορία υψηλότερης συχνότητας.</w:t>
      </w:r>
    </w:p>
    <w:p w:rsidR="00F0677E" w:rsidRPr="00076702" w:rsidRDefault="00F0677E" w:rsidP="00F0677E">
      <w:pPr>
        <w:rPr>
          <w:color w:val="auto"/>
          <w:sz w:val="22"/>
          <w:szCs w:val="22"/>
        </w:rPr>
      </w:pPr>
    </w:p>
    <w:p w:rsidR="00F0677E" w:rsidRPr="00076702" w:rsidRDefault="00F0677E" w:rsidP="00F0677E">
      <w:pPr>
        <w:rPr>
          <w:color w:val="auto"/>
          <w:sz w:val="22"/>
          <w:szCs w:val="22"/>
        </w:rPr>
      </w:pPr>
      <w:r w:rsidRPr="00076702">
        <w:rPr>
          <w:color w:val="auto"/>
          <w:sz w:val="22"/>
          <w:szCs w:val="22"/>
        </w:rPr>
        <w:t>Η ακόλουθη συχνότητα CIOMS χρησιμοποιήθηκε κατά περίπτωση:</w:t>
      </w:r>
    </w:p>
    <w:p w:rsidR="00F0677E" w:rsidRPr="00076702" w:rsidRDefault="00F0677E" w:rsidP="00F0677E">
      <w:pPr>
        <w:rPr>
          <w:color w:val="auto"/>
          <w:sz w:val="22"/>
          <w:szCs w:val="22"/>
        </w:rPr>
      </w:pPr>
      <w:r w:rsidRPr="00076702">
        <w:rPr>
          <w:color w:val="auto"/>
          <w:sz w:val="22"/>
          <w:szCs w:val="22"/>
        </w:rPr>
        <w:lastRenderedPageBreak/>
        <w:t>Πολύ συχνές ≥ 10%, συχνές ≥ 1 έως &lt; 10%, όχι συχνές ≥ 0,1 έως &lt;1%, σπάνιες ≥ 0,01 έως &lt; 0,1%, πολύ σπάνιες &lt; 0,01, μη γνωστές (δεν μπορούν να εκτιμηθούν με βάση τα διαθέσιμα δεδομένα).</w:t>
      </w:r>
    </w:p>
    <w:p w:rsidR="00F0677E" w:rsidRPr="00076702" w:rsidRDefault="00F0677E" w:rsidP="00F0677E">
      <w:pPr>
        <w:ind w:left="284" w:right="84"/>
        <w:rPr>
          <w:strike/>
          <w:color w:val="auto"/>
          <w:sz w:val="22"/>
          <w:szCs w:val="22"/>
        </w:rPr>
      </w:pPr>
    </w:p>
    <w:p w:rsidR="00F0677E" w:rsidRPr="00076702" w:rsidRDefault="00F0677E" w:rsidP="00F0677E">
      <w:pPr>
        <w:numPr>
          <w:ilvl w:val="0"/>
          <w:numId w:val="1"/>
        </w:numPr>
        <w:ind w:right="84"/>
        <w:rPr>
          <w:b/>
          <w:i/>
          <w:color w:val="auto"/>
          <w:sz w:val="22"/>
          <w:szCs w:val="22"/>
        </w:rPr>
      </w:pPr>
      <w:r w:rsidRPr="00076702">
        <w:rPr>
          <w:b/>
          <w:i/>
          <w:color w:val="auto"/>
          <w:sz w:val="22"/>
          <w:szCs w:val="22"/>
        </w:rPr>
        <w:t>Διαταραχές του μεταβολισμού και της θρέψης</w:t>
      </w:r>
    </w:p>
    <w:p w:rsidR="005F2E2D" w:rsidRDefault="005F2E2D" w:rsidP="00F0677E">
      <w:pPr>
        <w:rPr>
          <w:color w:val="auto"/>
          <w:sz w:val="22"/>
          <w:szCs w:val="22"/>
        </w:rPr>
      </w:pPr>
    </w:p>
    <w:p w:rsidR="00F0677E" w:rsidRPr="00076702" w:rsidRDefault="00F0677E" w:rsidP="00F0677E">
      <w:pPr>
        <w:rPr>
          <w:color w:val="auto"/>
          <w:sz w:val="22"/>
          <w:szCs w:val="22"/>
        </w:rPr>
      </w:pPr>
      <w:r w:rsidRPr="00076702">
        <w:rPr>
          <w:color w:val="auto"/>
          <w:sz w:val="22"/>
          <w:szCs w:val="22"/>
        </w:rPr>
        <w:t>Πολύ συχνές: Διαταραχές των ηλεκτρολυτών (περιλαμβανομένων των συμπτωματικών), αφυδάτωση και υποογκαιμία, ειδικότερα σε ηλικιωμένους ασθενείς, αυξημένα επίπεδα κρεατινίνης στο αίμα, αυξημένα επίπεδα τριγλυκεριδίων στο αίμα</w:t>
      </w:r>
    </w:p>
    <w:p w:rsidR="00F0677E" w:rsidRPr="00076702" w:rsidRDefault="00F0677E" w:rsidP="00F0677E">
      <w:pPr>
        <w:rPr>
          <w:color w:val="auto"/>
          <w:sz w:val="22"/>
          <w:szCs w:val="22"/>
        </w:rPr>
      </w:pPr>
      <w:r w:rsidRPr="00076702">
        <w:rPr>
          <w:color w:val="auto"/>
          <w:sz w:val="22"/>
          <w:szCs w:val="22"/>
        </w:rPr>
        <w:t>Συχνές: Υπονατριαιμία, υποχλωραιμία, υποκαλιαιμία, αυξημένα επίπεδα χοληστερόλης στο αίμα, αυξημένα επίπεδα ουρικού οξέος στο αίμα και κρίσεις ουρικής αρθρίτιδας</w:t>
      </w:r>
    </w:p>
    <w:p w:rsidR="00F0677E" w:rsidRPr="00076702" w:rsidRDefault="00F0677E" w:rsidP="00F0677E">
      <w:pPr>
        <w:rPr>
          <w:strike/>
          <w:color w:val="auto"/>
          <w:sz w:val="22"/>
          <w:szCs w:val="22"/>
        </w:rPr>
      </w:pPr>
      <w:r w:rsidRPr="00076702">
        <w:rPr>
          <w:color w:val="auto"/>
          <w:sz w:val="22"/>
          <w:szCs w:val="22"/>
        </w:rPr>
        <w:t>Όχι συχνές: Μείωση της ανοχής στη γλυκόζη. Ο λανθάνων σακχαρώδης διαβήτης μπορεί να καταστεί έκδηλος. Βλ. παράγραφο 2.4 «Ειδικές προειδοποιήσεις και προφυλάξεις κατά τη χρήση».</w:t>
      </w:r>
    </w:p>
    <w:p w:rsidR="00F0677E" w:rsidRPr="00076702" w:rsidRDefault="00F0677E" w:rsidP="00F0677E">
      <w:pPr>
        <w:rPr>
          <w:color w:val="auto"/>
          <w:sz w:val="22"/>
          <w:szCs w:val="22"/>
        </w:rPr>
      </w:pPr>
      <w:r w:rsidRPr="00076702">
        <w:rPr>
          <w:color w:val="auto"/>
          <w:sz w:val="22"/>
          <w:szCs w:val="22"/>
        </w:rPr>
        <w:t>Μη γνωστές: Υπασβεστιαιμία, υπομαγνησιαιμία, αυξημένα επίπεδα ουρίας στο αίμα, μεταβολική αλκάλωση</w:t>
      </w:r>
      <w:r w:rsidRPr="00E67811">
        <w:rPr>
          <w:color w:val="auto"/>
          <w:sz w:val="22"/>
          <w:szCs w:val="22"/>
        </w:rPr>
        <w:t xml:space="preserve">, </w:t>
      </w:r>
      <w:r w:rsidR="00A02148" w:rsidRPr="00076702">
        <w:rPr>
          <w:color w:val="auto"/>
          <w:sz w:val="22"/>
          <w:szCs w:val="22"/>
        </w:rPr>
        <w:t>ψ</w:t>
      </w:r>
      <w:r w:rsidRPr="00076702">
        <w:rPr>
          <w:color w:val="auto"/>
          <w:sz w:val="22"/>
          <w:szCs w:val="22"/>
        </w:rPr>
        <w:t xml:space="preserve">ευδο-σύνδρομο </w:t>
      </w:r>
      <w:r w:rsidRPr="00076702">
        <w:rPr>
          <w:color w:val="auto"/>
          <w:sz w:val="22"/>
          <w:szCs w:val="22"/>
          <w:lang w:val="en-US"/>
        </w:rPr>
        <w:t>Bartter</w:t>
      </w:r>
      <w:r w:rsidRPr="00076702">
        <w:rPr>
          <w:color w:val="auto"/>
          <w:sz w:val="22"/>
          <w:szCs w:val="22"/>
        </w:rPr>
        <w:t xml:space="preserve"> στα πλαίσια κακής χρήσης ή/και μακροχρόνιας χρήσης της φουροσεμίδης.</w:t>
      </w:r>
    </w:p>
    <w:p w:rsidR="00F0677E" w:rsidRPr="00076702" w:rsidRDefault="00F0677E" w:rsidP="00F0677E">
      <w:pPr>
        <w:ind w:left="66" w:right="84"/>
        <w:rPr>
          <w:b/>
          <w:color w:val="auto"/>
          <w:sz w:val="22"/>
          <w:szCs w:val="22"/>
        </w:rPr>
      </w:pPr>
    </w:p>
    <w:p w:rsidR="00F0677E" w:rsidRPr="00076702" w:rsidRDefault="00F0677E" w:rsidP="00F0677E">
      <w:pPr>
        <w:ind w:left="66" w:right="84"/>
        <w:rPr>
          <w:color w:val="auto"/>
          <w:sz w:val="22"/>
          <w:szCs w:val="22"/>
        </w:rPr>
      </w:pPr>
      <w:r w:rsidRPr="00076702">
        <w:rPr>
          <w:color w:val="auto"/>
          <w:sz w:val="22"/>
          <w:szCs w:val="22"/>
        </w:rPr>
        <w:t xml:space="preserve">Τα δύο δραστικά συστατικά εμφανίζουν αντίθετη δράση όσον αφορά στην απέκκριση καλίου. </w:t>
      </w:r>
    </w:p>
    <w:p w:rsidR="00F0677E" w:rsidRPr="0036121D" w:rsidRDefault="00F0677E" w:rsidP="00F0677E">
      <w:pPr>
        <w:ind w:left="66" w:right="84"/>
        <w:rPr>
          <w:color w:val="auto"/>
          <w:sz w:val="22"/>
          <w:szCs w:val="22"/>
        </w:rPr>
      </w:pPr>
      <w:r w:rsidRPr="00076702">
        <w:rPr>
          <w:color w:val="auto"/>
          <w:sz w:val="22"/>
          <w:szCs w:val="22"/>
        </w:rPr>
        <w:t xml:space="preserve">Η συγκέντρωση καλίου στον ορό μπορεί να μειωθεί, ιδιαίτερα κατά την έναρξη της αγωγής (λόγω της </w:t>
      </w:r>
      <w:r w:rsidR="005F2E2D" w:rsidRPr="00076702">
        <w:rPr>
          <w:color w:val="auto"/>
          <w:sz w:val="22"/>
          <w:szCs w:val="22"/>
        </w:rPr>
        <w:t>πρωθύστερης</w:t>
      </w:r>
      <w:r w:rsidRPr="00076702">
        <w:rPr>
          <w:color w:val="auto"/>
          <w:sz w:val="22"/>
          <w:szCs w:val="22"/>
        </w:rPr>
        <w:t xml:space="preserve"> έναρξης της δράσης της φουροσεμίδης), μολονότι, ειδικότερα κατά τη </w:t>
      </w:r>
      <w:r w:rsidRPr="0036121D">
        <w:rPr>
          <w:color w:val="auto"/>
          <w:sz w:val="22"/>
          <w:szCs w:val="22"/>
        </w:rPr>
        <w:t>συνέχιση της αγωγής, η συγκέντρωση του καλίου μπορεί να αυξηθεί (λόγω της μεταγενέστερης έναρξης της δράσης της αμιλορίδης), ιδιαίτερα σε ασθενείς με βλάβη της νεφρικής λειτουργίας.</w:t>
      </w:r>
    </w:p>
    <w:p w:rsidR="00F0677E" w:rsidRPr="0036121D" w:rsidRDefault="00F0677E" w:rsidP="00F0677E">
      <w:pPr>
        <w:ind w:right="84"/>
        <w:rPr>
          <w:color w:val="auto"/>
          <w:sz w:val="22"/>
          <w:szCs w:val="22"/>
        </w:rPr>
      </w:pPr>
    </w:p>
    <w:p w:rsidR="00F0677E" w:rsidRPr="00076702" w:rsidRDefault="00F0677E" w:rsidP="00F0677E">
      <w:pPr>
        <w:ind w:right="84"/>
        <w:rPr>
          <w:color w:val="auto"/>
          <w:sz w:val="22"/>
          <w:szCs w:val="22"/>
        </w:rPr>
      </w:pPr>
      <w:r w:rsidRPr="0036121D">
        <w:rPr>
          <w:color w:val="auto"/>
          <w:sz w:val="22"/>
          <w:szCs w:val="22"/>
        </w:rPr>
        <w:t>Διαταραχές στο ισοζύγιο των ηλεκτρολυτών (π.χ. απώλεια συγκεκριμένων</w:t>
      </w:r>
      <w:r w:rsidRPr="00076702">
        <w:rPr>
          <w:color w:val="auto"/>
          <w:sz w:val="22"/>
          <w:szCs w:val="22"/>
        </w:rPr>
        <w:t xml:space="preserve"> ηλεκτρολυτών) μπορεί να προκαλέσουν ποικίλα συμπτώματα (π.χ. αυξημένη δίψα, κεφαλαλγία, σύγχυση, μυϊκές κράμπες, τετανία, μυϊκή αδυναμία και διαταραχές του καρδιακού ρυθμού ή ακόμη και συμπτώματα από το γαστρεντερικό. </w:t>
      </w:r>
    </w:p>
    <w:p w:rsidR="00F0677E" w:rsidRPr="00076702" w:rsidRDefault="00F0677E" w:rsidP="00F0677E">
      <w:pPr>
        <w:ind w:right="84"/>
        <w:rPr>
          <w:color w:val="auto"/>
          <w:sz w:val="22"/>
          <w:szCs w:val="22"/>
        </w:rPr>
      </w:pPr>
    </w:p>
    <w:p w:rsidR="00F0677E" w:rsidRPr="00076702" w:rsidRDefault="00F0677E" w:rsidP="00F0677E">
      <w:pPr>
        <w:ind w:right="84"/>
        <w:rPr>
          <w:color w:val="auto"/>
          <w:sz w:val="22"/>
          <w:szCs w:val="22"/>
        </w:rPr>
      </w:pPr>
      <w:r w:rsidRPr="00076702">
        <w:rPr>
          <w:color w:val="auto"/>
          <w:sz w:val="22"/>
          <w:szCs w:val="22"/>
        </w:rPr>
        <w:t>Σε περίπτωση εμφάνισης ακανόνιστων παλμών, κόπωσης ή μυϊκής αδυναμίας (π.χ. στα κάτω άκρα), θα πρέπει να ληφθεί ιδιαίτερα υπόψη η πιθανότητα υπερκαλιαιμίας.</w:t>
      </w:r>
    </w:p>
    <w:p w:rsidR="00F0677E" w:rsidRPr="00076702" w:rsidRDefault="00F0677E" w:rsidP="00F0677E">
      <w:pPr>
        <w:ind w:right="84"/>
        <w:rPr>
          <w:color w:val="auto"/>
          <w:sz w:val="22"/>
          <w:szCs w:val="22"/>
        </w:rPr>
      </w:pPr>
      <w:r w:rsidRPr="00076702">
        <w:rPr>
          <w:color w:val="auto"/>
          <w:sz w:val="22"/>
          <w:szCs w:val="22"/>
        </w:rPr>
        <w:t>Ποικίλες νόσοι, συγχορήγηση άλλων φαρμάκων, καθώς και το είδος της διατροφής μπορεί να είναι σημαντικά αναφορικά με την εκδήλωση διαταραχών στο ισοζύγιο των ηλεκτρολυτών. Θα πρέπει να ληφθεί υπόψη ότι ο έμετος ή η διάρροια, ειδικότερα προάγουν την εμφάνιση ανεπάρκειας του καλίου.</w:t>
      </w:r>
    </w:p>
    <w:p w:rsidR="00F0677E" w:rsidRPr="00076702" w:rsidRDefault="00F0677E" w:rsidP="00F0677E">
      <w:pPr>
        <w:ind w:right="84"/>
        <w:rPr>
          <w:color w:val="auto"/>
          <w:sz w:val="22"/>
          <w:szCs w:val="22"/>
        </w:rPr>
      </w:pPr>
    </w:p>
    <w:p w:rsidR="00F0677E" w:rsidRPr="00076702" w:rsidRDefault="00F0677E" w:rsidP="00F0677E">
      <w:pPr>
        <w:ind w:right="84"/>
        <w:rPr>
          <w:color w:val="auto"/>
          <w:sz w:val="22"/>
          <w:szCs w:val="22"/>
        </w:rPr>
      </w:pPr>
      <w:r w:rsidRPr="00076702">
        <w:rPr>
          <w:color w:val="auto"/>
          <w:sz w:val="22"/>
          <w:szCs w:val="22"/>
        </w:rPr>
        <w:t>Η φουροσεμίδη μπορεί να συμβάλλει στην ανάπτυξη ή στην επιδείνωση της μεταβολικής αλκάλωσης (π.χ. σε ασθενείς με μη αντιρροπούμενη κίρρωση του ήπατος), καθώς η αμιλορίδη μπορεί να οδηγήσει στην ανάπτυξη ή στην επιδείνωση της μεταβολικής οξέωσης.</w:t>
      </w:r>
    </w:p>
    <w:p w:rsidR="00F0677E" w:rsidRPr="00076702" w:rsidRDefault="00F0677E" w:rsidP="00F0677E">
      <w:pPr>
        <w:ind w:right="84"/>
        <w:rPr>
          <w:color w:val="auto"/>
          <w:sz w:val="22"/>
          <w:szCs w:val="22"/>
        </w:rPr>
      </w:pPr>
    </w:p>
    <w:p w:rsidR="00F0677E" w:rsidRPr="00076702" w:rsidRDefault="00F0677E" w:rsidP="00F0677E">
      <w:pPr>
        <w:numPr>
          <w:ilvl w:val="0"/>
          <w:numId w:val="3"/>
        </w:numPr>
        <w:tabs>
          <w:tab w:val="num" w:pos="360"/>
        </w:tabs>
        <w:overflowPunct w:val="0"/>
        <w:autoSpaceDE w:val="0"/>
        <w:autoSpaceDN w:val="0"/>
        <w:adjustRightInd w:val="0"/>
        <w:ind w:hanging="720"/>
        <w:textAlignment w:val="baseline"/>
        <w:rPr>
          <w:b/>
          <w:i/>
          <w:color w:val="auto"/>
          <w:sz w:val="22"/>
          <w:szCs w:val="22"/>
        </w:rPr>
      </w:pPr>
      <w:r w:rsidRPr="00076702">
        <w:rPr>
          <w:b/>
          <w:i/>
          <w:color w:val="auto"/>
          <w:sz w:val="22"/>
          <w:szCs w:val="22"/>
        </w:rPr>
        <w:t>Αγγειακές διαταραχές</w:t>
      </w:r>
    </w:p>
    <w:p w:rsidR="00F0677E" w:rsidRPr="00076702" w:rsidRDefault="00F0677E" w:rsidP="00F0677E">
      <w:pPr>
        <w:rPr>
          <w:strike/>
          <w:color w:val="auto"/>
          <w:sz w:val="22"/>
          <w:szCs w:val="22"/>
        </w:rPr>
      </w:pPr>
      <w:r w:rsidRPr="00076702">
        <w:rPr>
          <w:color w:val="auto"/>
          <w:sz w:val="22"/>
          <w:szCs w:val="22"/>
        </w:rPr>
        <w:t>Πολύ συχνές (για την ενδοφλέβια έγχυση): Υπόταση, περιλαμβανομένης της ορθοστατικής υπότασης (βλ. παράγραφο 2.4 «Ειδικές προειδοποιήσεις και προφυλάξεις κατά τη χρήση»).</w:t>
      </w:r>
    </w:p>
    <w:p w:rsidR="00F0677E" w:rsidRPr="00076702" w:rsidRDefault="00F0677E" w:rsidP="00F0677E">
      <w:pPr>
        <w:rPr>
          <w:color w:val="auto"/>
          <w:sz w:val="22"/>
          <w:szCs w:val="22"/>
        </w:rPr>
      </w:pPr>
      <w:r w:rsidRPr="00076702">
        <w:rPr>
          <w:color w:val="auto"/>
          <w:sz w:val="22"/>
          <w:szCs w:val="22"/>
        </w:rPr>
        <w:t>Σπάνιες: Αγγειίτιδα</w:t>
      </w:r>
    </w:p>
    <w:p w:rsidR="00F0677E" w:rsidRPr="00076702" w:rsidRDefault="00F0677E" w:rsidP="00F0677E">
      <w:pPr>
        <w:rPr>
          <w:color w:val="auto"/>
          <w:sz w:val="22"/>
          <w:szCs w:val="22"/>
        </w:rPr>
      </w:pPr>
      <w:r w:rsidRPr="00076702">
        <w:rPr>
          <w:color w:val="auto"/>
          <w:sz w:val="22"/>
          <w:szCs w:val="22"/>
        </w:rPr>
        <w:t>Μη γνωστές: Θρόμβωση.</w:t>
      </w:r>
    </w:p>
    <w:p w:rsidR="00F0677E" w:rsidRPr="00076702" w:rsidRDefault="00F0677E" w:rsidP="00F0677E">
      <w:pPr>
        <w:rPr>
          <w:color w:val="auto"/>
          <w:sz w:val="22"/>
          <w:szCs w:val="22"/>
        </w:rPr>
      </w:pPr>
    </w:p>
    <w:p w:rsidR="00F0677E" w:rsidRPr="00076702" w:rsidRDefault="00F0677E" w:rsidP="00F0677E">
      <w:pPr>
        <w:numPr>
          <w:ilvl w:val="0"/>
          <w:numId w:val="3"/>
        </w:numPr>
        <w:tabs>
          <w:tab w:val="num" w:pos="360"/>
        </w:tabs>
        <w:overflowPunct w:val="0"/>
        <w:autoSpaceDE w:val="0"/>
        <w:autoSpaceDN w:val="0"/>
        <w:adjustRightInd w:val="0"/>
        <w:ind w:hanging="720"/>
        <w:textAlignment w:val="baseline"/>
        <w:rPr>
          <w:b/>
          <w:i/>
          <w:color w:val="auto"/>
          <w:sz w:val="22"/>
          <w:szCs w:val="22"/>
        </w:rPr>
      </w:pPr>
      <w:r w:rsidRPr="00076702">
        <w:rPr>
          <w:b/>
          <w:i/>
          <w:color w:val="auto"/>
          <w:sz w:val="22"/>
          <w:szCs w:val="22"/>
        </w:rPr>
        <w:t>Διαταραχές των νεφρών και των ουροφόρων οδών</w:t>
      </w:r>
    </w:p>
    <w:p w:rsidR="00F0677E" w:rsidRPr="00076702" w:rsidRDefault="00F0677E" w:rsidP="00F0677E">
      <w:pPr>
        <w:rPr>
          <w:color w:val="auto"/>
          <w:sz w:val="22"/>
          <w:szCs w:val="22"/>
        </w:rPr>
      </w:pPr>
      <w:r w:rsidRPr="00076702">
        <w:rPr>
          <w:color w:val="auto"/>
          <w:sz w:val="22"/>
          <w:szCs w:val="22"/>
        </w:rPr>
        <w:t>Συχνές: Αυξημένος όγκος ούρων</w:t>
      </w:r>
    </w:p>
    <w:p w:rsidR="00F0677E" w:rsidRPr="00076702" w:rsidRDefault="00F0677E" w:rsidP="00F0677E">
      <w:pPr>
        <w:rPr>
          <w:color w:val="auto"/>
          <w:sz w:val="22"/>
          <w:szCs w:val="22"/>
        </w:rPr>
      </w:pPr>
      <w:r w:rsidRPr="00076702">
        <w:rPr>
          <w:color w:val="auto"/>
          <w:sz w:val="22"/>
          <w:szCs w:val="22"/>
        </w:rPr>
        <w:t>Σπάνιες: Διάμεση νεφρίτιδα των ουροφόρων σωληναρίων</w:t>
      </w:r>
    </w:p>
    <w:p w:rsidR="00F0677E" w:rsidRPr="00076702" w:rsidRDefault="00F0677E" w:rsidP="00F0677E">
      <w:pPr>
        <w:rPr>
          <w:color w:val="auto"/>
          <w:sz w:val="22"/>
          <w:szCs w:val="22"/>
        </w:rPr>
      </w:pPr>
      <w:r w:rsidRPr="00076702">
        <w:rPr>
          <w:color w:val="auto"/>
          <w:sz w:val="22"/>
          <w:szCs w:val="22"/>
        </w:rPr>
        <w:t xml:space="preserve">Μη γνωστές: </w:t>
      </w:r>
    </w:p>
    <w:p w:rsidR="00F0677E" w:rsidRPr="00076702" w:rsidRDefault="00F0677E" w:rsidP="00F0677E">
      <w:pPr>
        <w:rPr>
          <w:color w:val="auto"/>
          <w:sz w:val="22"/>
          <w:szCs w:val="22"/>
        </w:rPr>
      </w:pPr>
      <w:r w:rsidRPr="00076702">
        <w:rPr>
          <w:color w:val="auto"/>
          <w:sz w:val="22"/>
          <w:szCs w:val="22"/>
        </w:rPr>
        <w:t>- Αυξημένα επίπεδα νατρίου στα ούρα, αυξημένα επίπεδα χλωριδίου στα ούρα, κατακράτηση ούρων (σε ασθενείς με μερική απόφραξη εκροής των ούρων, βλ. παράγραφο 2.4 «Ειδικές προειδοποιήσεις και προφυλάξεις κατά τη χρήση»)</w:t>
      </w:r>
    </w:p>
    <w:p w:rsidR="00F0677E" w:rsidRPr="00076702" w:rsidRDefault="00F0677E" w:rsidP="00F0677E">
      <w:pPr>
        <w:rPr>
          <w:color w:val="auto"/>
          <w:sz w:val="22"/>
          <w:szCs w:val="22"/>
        </w:rPr>
      </w:pPr>
      <w:r w:rsidRPr="00076702">
        <w:rPr>
          <w:color w:val="auto"/>
          <w:sz w:val="22"/>
          <w:szCs w:val="22"/>
        </w:rPr>
        <w:t>- Νεφρασβέστωση/νεφρολιθίαση στα πρόωρα νεογνά  (βλ. παράγραφο 2.4 «Ειδικές προειδοποιήσεις και προφυλάξεις κατά τη χρήση»)</w:t>
      </w:r>
    </w:p>
    <w:p w:rsidR="00F0677E" w:rsidRPr="00076702" w:rsidRDefault="00F0677E" w:rsidP="00F0677E">
      <w:pPr>
        <w:rPr>
          <w:color w:val="auto"/>
          <w:sz w:val="22"/>
          <w:szCs w:val="22"/>
        </w:rPr>
      </w:pPr>
      <w:r w:rsidRPr="00076702">
        <w:rPr>
          <w:color w:val="auto"/>
          <w:sz w:val="22"/>
          <w:szCs w:val="22"/>
        </w:rPr>
        <w:t>- Νεφρική βλάβη (βλ. παράγραφο 2.5 «Αλληλεπιδράσεις με άλλα φάρμακα ή ουσίες»).</w:t>
      </w:r>
    </w:p>
    <w:p w:rsidR="00F0677E" w:rsidRPr="00076702" w:rsidRDefault="00F0677E" w:rsidP="00F0677E">
      <w:pPr>
        <w:rPr>
          <w:color w:val="auto"/>
          <w:sz w:val="22"/>
          <w:szCs w:val="22"/>
        </w:rPr>
      </w:pPr>
    </w:p>
    <w:p w:rsidR="00F0677E" w:rsidRPr="00076702" w:rsidRDefault="00F0677E" w:rsidP="00F0677E">
      <w:pPr>
        <w:numPr>
          <w:ilvl w:val="0"/>
          <w:numId w:val="3"/>
        </w:numPr>
        <w:tabs>
          <w:tab w:val="num" w:pos="360"/>
        </w:tabs>
        <w:overflowPunct w:val="0"/>
        <w:autoSpaceDE w:val="0"/>
        <w:autoSpaceDN w:val="0"/>
        <w:adjustRightInd w:val="0"/>
        <w:ind w:hanging="720"/>
        <w:textAlignment w:val="baseline"/>
        <w:rPr>
          <w:b/>
          <w:i/>
          <w:color w:val="auto"/>
          <w:sz w:val="22"/>
          <w:szCs w:val="22"/>
        </w:rPr>
      </w:pPr>
      <w:r w:rsidRPr="00076702">
        <w:rPr>
          <w:b/>
          <w:i/>
          <w:color w:val="auto"/>
          <w:sz w:val="22"/>
          <w:szCs w:val="22"/>
        </w:rPr>
        <w:t>Διαταραχές του γαστρεντερικού</w:t>
      </w:r>
    </w:p>
    <w:p w:rsidR="00F0677E" w:rsidRPr="00076702" w:rsidRDefault="00F0677E" w:rsidP="00F0677E">
      <w:pPr>
        <w:overflowPunct w:val="0"/>
        <w:autoSpaceDE w:val="0"/>
        <w:autoSpaceDN w:val="0"/>
        <w:adjustRightInd w:val="0"/>
        <w:textAlignment w:val="baseline"/>
        <w:rPr>
          <w:color w:val="auto"/>
          <w:sz w:val="22"/>
          <w:szCs w:val="22"/>
        </w:rPr>
      </w:pPr>
      <w:r w:rsidRPr="00076702">
        <w:rPr>
          <w:color w:val="auto"/>
          <w:sz w:val="22"/>
          <w:szCs w:val="22"/>
        </w:rPr>
        <w:t>Όχι συχνές: Ναυτία</w:t>
      </w:r>
    </w:p>
    <w:p w:rsidR="00F0677E" w:rsidRPr="00076702" w:rsidRDefault="00F0677E" w:rsidP="00F0677E">
      <w:pPr>
        <w:overflowPunct w:val="0"/>
        <w:autoSpaceDE w:val="0"/>
        <w:autoSpaceDN w:val="0"/>
        <w:adjustRightInd w:val="0"/>
        <w:textAlignment w:val="baseline"/>
        <w:rPr>
          <w:color w:val="auto"/>
          <w:sz w:val="22"/>
          <w:szCs w:val="22"/>
        </w:rPr>
      </w:pPr>
      <w:r w:rsidRPr="00076702">
        <w:rPr>
          <w:color w:val="auto"/>
          <w:sz w:val="22"/>
          <w:szCs w:val="22"/>
        </w:rPr>
        <w:lastRenderedPageBreak/>
        <w:t>Σπάνιες: Έμετος, διάρροια</w:t>
      </w:r>
    </w:p>
    <w:p w:rsidR="00F0677E" w:rsidRPr="00076702" w:rsidRDefault="00F0677E" w:rsidP="00F0677E">
      <w:pPr>
        <w:overflowPunct w:val="0"/>
        <w:autoSpaceDE w:val="0"/>
        <w:autoSpaceDN w:val="0"/>
        <w:adjustRightInd w:val="0"/>
        <w:textAlignment w:val="baseline"/>
        <w:rPr>
          <w:color w:val="auto"/>
          <w:sz w:val="22"/>
          <w:szCs w:val="22"/>
        </w:rPr>
      </w:pPr>
      <w:r w:rsidRPr="00076702">
        <w:rPr>
          <w:color w:val="auto"/>
          <w:sz w:val="22"/>
          <w:szCs w:val="22"/>
        </w:rPr>
        <w:t>Πολύ σπάνιες: Οξεία παγκρεατίτιδα.</w:t>
      </w:r>
    </w:p>
    <w:p w:rsidR="00F0677E" w:rsidRPr="00076702" w:rsidRDefault="00F0677E" w:rsidP="00F0677E">
      <w:pPr>
        <w:rPr>
          <w:color w:val="auto"/>
          <w:sz w:val="22"/>
          <w:szCs w:val="22"/>
        </w:rPr>
      </w:pPr>
    </w:p>
    <w:p w:rsidR="00F0677E" w:rsidRPr="00076702" w:rsidRDefault="00F0677E" w:rsidP="00F0677E">
      <w:pPr>
        <w:numPr>
          <w:ilvl w:val="0"/>
          <w:numId w:val="3"/>
        </w:numPr>
        <w:tabs>
          <w:tab w:val="num" w:pos="360"/>
        </w:tabs>
        <w:overflowPunct w:val="0"/>
        <w:autoSpaceDE w:val="0"/>
        <w:autoSpaceDN w:val="0"/>
        <w:adjustRightInd w:val="0"/>
        <w:ind w:hanging="720"/>
        <w:textAlignment w:val="baseline"/>
        <w:rPr>
          <w:b/>
          <w:i/>
          <w:color w:val="auto"/>
          <w:sz w:val="22"/>
          <w:szCs w:val="22"/>
        </w:rPr>
      </w:pPr>
      <w:r w:rsidRPr="00076702">
        <w:rPr>
          <w:b/>
          <w:i/>
          <w:color w:val="auto"/>
          <w:sz w:val="22"/>
          <w:szCs w:val="22"/>
        </w:rPr>
        <w:t>Διαταραχές του ήπατος και των χοληφόρων</w:t>
      </w:r>
    </w:p>
    <w:p w:rsidR="00F0677E" w:rsidRPr="00076702" w:rsidRDefault="00F0677E" w:rsidP="00F0677E">
      <w:pPr>
        <w:rPr>
          <w:color w:val="auto"/>
          <w:sz w:val="22"/>
          <w:szCs w:val="22"/>
        </w:rPr>
      </w:pPr>
      <w:r w:rsidRPr="00076702">
        <w:rPr>
          <w:color w:val="auto"/>
          <w:sz w:val="22"/>
          <w:szCs w:val="22"/>
        </w:rPr>
        <w:t>Πολύ σπάνιες: Χολόσταση, αυξημένα επίπεδα τρανσαμινασών.</w:t>
      </w:r>
    </w:p>
    <w:p w:rsidR="00F0677E" w:rsidRPr="00076702" w:rsidRDefault="00F0677E" w:rsidP="00F0677E">
      <w:pPr>
        <w:ind w:right="84"/>
        <w:rPr>
          <w:color w:val="auto"/>
          <w:sz w:val="22"/>
          <w:szCs w:val="22"/>
        </w:rPr>
      </w:pPr>
    </w:p>
    <w:p w:rsidR="00F0677E" w:rsidRPr="00076702" w:rsidRDefault="00F0677E" w:rsidP="00F0677E">
      <w:pPr>
        <w:numPr>
          <w:ilvl w:val="0"/>
          <w:numId w:val="1"/>
        </w:numPr>
        <w:ind w:right="84"/>
        <w:rPr>
          <w:b/>
          <w:i/>
          <w:color w:val="auto"/>
          <w:sz w:val="22"/>
          <w:szCs w:val="22"/>
        </w:rPr>
      </w:pPr>
      <w:r w:rsidRPr="00076702">
        <w:rPr>
          <w:b/>
          <w:i/>
          <w:color w:val="auto"/>
          <w:sz w:val="22"/>
          <w:szCs w:val="22"/>
        </w:rPr>
        <w:t>Διαταραχές του ωτός και του λαβυρίνθου</w:t>
      </w:r>
    </w:p>
    <w:p w:rsidR="00F0677E" w:rsidRPr="00076702" w:rsidRDefault="00F0677E" w:rsidP="00F0677E">
      <w:pPr>
        <w:ind w:right="84"/>
        <w:rPr>
          <w:color w:val="auto"/>
          <w:sz w:val="22"/>
          <w:szCs w:val="22"/>
        </w:rPr>
      </w:pPr>
      <w:r w:rsidRPr="00076702">
        <w:rPr>
          <w:color w:val="auto"/>
          <w:sz w:val="22"/>
          <w:szCs w:val="22"/>
        </w:rPr>
        <w:t>Όχι συχνές: Διαταραχές της ακοής, παρ’ όλο που συνήθως είναι παροδικές, ιδιαίτερα σε ασθενείς με νεφρική βλάβη, υποπρωτεϊναιμία (π.χ. νεφρωσικό σύνδρομο) και/ή μετά από πολύ ταχεία ενδοφλέβια χορήγηση φουροσεμίδης</w:t>
      </w:r>
      <w:r w:rsidRPr="00E67811">
        <w:rPr>
          <w:color w:val="auto"/>
          <w:sz w:val="22"/>
          <w:szCs w:val="22"/>
        </w:rPr>
        <w:t xml:space="preserve">. </w:t>
      </w:r>
      <w:r w:rsidRPr="00076702">
        <w:rPr>
          <w:color w:val="auto"/>
          <w:sz w:val="22"/>
          <w:szCs w:val="22"/>
        </w:rPr>
        <w:t>Περιπτώσεις κώφωσης, μερικές φορές μη αναστρέψιμες έχουν αναφερθεί μετά τη χορήγηση φουροσεμίδης.</w:t>
      </w:r>
    </w:p>
    <w:p w:rsidR="00F0677E" w:rsidRPr="00076702" w:rsidRDefault="00F0677E" w:rsidP="00F0677E">
      <w:pPr>
        <w:ind w:right="84"/>
        <w:rPr>
          <w:color w:val="auto"/>
          <w:sz w:val="22"/>
          <w:szCs w:val="22"/>
        </w:rPr>
      </w:pPr>
      <w:r w:rsidRPr="00076702">
        <w:rPr>
          <w:color w:val="auto"/>
          <w:sz w:val="22"/>
          <w:szCs w:val="22"/>
        </w:rPr>
        <w:t>Σπάνιες: Εμβοές των ώτων.</w:t>
      </w:r>
    </w:p>
    <w:p w:rsidR="00F0677E" w:rsidRPr="00076702" w:rsidRDefault="00F0677E" w:rsidP="00F0677E">
      <w:pPr>
        <w:ind w:right="84"/>
        <w:rPr>
          <w:color w:val="auto"/>
          <w:sz w:val="22"/>
          <w:szCs w:val="22"/>
        </w:rPr>
      </w:pPr>
    </w:p>
    <w:p w:rsidR="00F0677E" w:rsidRPr="00076702" w:rsidRDefault="00F0677E" w:rsidP="00F0677E">
      <w:pPr>
        <w:numPr>
          <w:ilvl w:val="0"/>
          <w:numId w:val="1"/>
        </w:numPr>
        <w:ind w:right="84"/>
        <w:rPr>
          <w:b/>
          <w:i/>
          <w:color w:val="auto"/>
          <w:sz w:val="22"/>
          <w:szCs w:val="22"/>
        </w:rPr>
      </w:pPr>
      <w:r w:rsidRPr="00076702">
        <w:rPr>
          <w:b/>
          <w:i/>
          <w:color w:val="auto"/>
          <w:sz w:val="22"/>
          <w:szCs w:val="22"/>
        </w:rPr>
        <w:t>Διαταραχές του δέρματος και του υποδόριου ιστού</w:t>
      </w:r>
    </w:p>
    <w:p w:rsidR="00F0677E" w:rsidRPr="00076702" w:rsidRDefault="00F0677E" w:rsidP="00F0677E">
      <w:pPr>
        <w:rPr>
          <w:color w:val="auto"/>
          <w:sz w:val="22"/>
          <w:szCs w:val="22"/>
        </w:rPr>
      </w:pPr>
      <w:r w:rsidRPr="00076702">
        <w:rPr>
          <w:color w:val="auto"/>
          <w:sz w:val="22"/>
          <w:szCs w:val="22"/>
        </w:rPr>
        <w:t>Όχι συχνές: Κνησμός, κνίδωση, εξανθήματα, πομφολυγώδης δερματίτιδα, πολύμορφο ερύθημα, πεμφιγοειδές, αποφολιδωτική δερματίτιδα, πορφύρα, αντίδραση από φωτοευαισθησία</w:t>
      </w:r>
    </w:p>
    <w:p w:rsidR="00F0677E" w:rsidRPr="00076702" w:rsidRDefault="00F0677E" w:rsidP="00F0677E">
      <w:pPr>
        <w:rPr>
          <w:color w:val="auto"/>
          <w:sz w:val="22"/>
          <w:szCs w:val="22"/>
        </w:rPr>
      </w:pPr>
      <w:r w:rsidRPr="00076702">
        <w:rPr>
          <w:color w:val="auto"/>
          <w:sz w:val="22"/>
          <w:szCs w:val="22"/>
        </w:rPr>
        <w:t>Μη γνωστές: Σύνδρομο Stevens-Johnson, τοξική επιδερμική νεκρόλυση, οξεία γενικευμένη εξανθηματική φλυκταίνωση και φαρμακευτικό εξάνθημα με ηωσινοφιλία και συστηματικά συμπτώματα.</w:t>
      </w:r>
    </w:p>
    <w:p w:rsidR="00F0677E" w:rsidRPr="00076702" w:rsidRDefault="00F0677E" w:rsidP="00F0677E">
      <w:pPr>
        <w:ind w:right="84"/>
        <w:rPr>
          <w:color w:val="auto"/>
          <w:sz w:val="22"/>
          <w:szCs w:val="22"/>
        </w:rPr>
      </w:pPr>
    </w:p>
    <w:p w:rsidR="00F0677E" w:rsidRPr="00076702" w:rsidRDefault="00F0677E" w:rsidP="00F0677E">
      <w:pPr>
        <w:numPr>
          <w:ilvl w:val="0"/>
          <w:numId w:val="1"/>
        </w:numPr>
        <w:ind w:right="84"/>
        <w:rPr>
          <w:b/>
          <w:i/>
          <w:color w:val="auto"/>
          <w:sz w:val="22"/>
          <w:szCs w:val="22"/>
        </w:rPr>
      </w:pPr>
      <w:r w:rsidRPr="00076702">
        <w:rPr>
          <w:b/>
          <w:i/>
          <w:color w:val="auto"/>
          <w:sz w:val="22"/>
          <w:szCs w:val="22"/>
        </w:rPr>
        <w:t>Διαταραχές του ανοσοποιητικού συστήματος</w:t>
      </w:r>
    </w:p>
    <w:p w:rsidR="00F0677E" w:rsidRPr="00076702" w:rsidRDefault="00F0677E" w:rsidP="00F0677E">
      <w:pPr>
        <w:ind w:right="84"/>
        <w:rPr>
          <w:color w:val="auto"/>
          <w:sz w:val="22"/>
          <w:szCs w:val="22"/>
        </w:rPr>
      </w:pPr>
      <w:r w:rsidRPr="00076702">
        <w:rPr>
          <w:color w:val="auto"/>
          <w:sz w:val="22"/>
          <w:szCs w:val="22"/>
        </w:rPr>
        <w:t xml:space="preserve">Σπάνιες: Σοβαρές αναφυλακτικές ή αναφυλακτικού τύπου αντιδράσεις στη φουροσεμίδη (π.χ. καταπληξία). </w:t>
      </w:r>
    </w:p>
    <w:p w:rsidR="00F0677E" w:rsidRPr="00076702" w:rsidRDefault="00F0677E" w:rsidP="00F0677E">
      <w:pPr>
        <w:ind w:right="84"/>
        <w:rPr>
          <w:color w:val="auto"/>
          <w:sz w:val="22"/>
          <w:szCs w:val="22"/>
        </w:rPr>
      </w:pPr>
    </w:p>
    <w:p w:rsidR="00F0677E" w:rsidRPr="00076702" w:rsidRDefault="00F0677E" w:rsidP="00F0677E">
      <w:pPr>
        <w:numPr>
          <w:ilvl w:val="0"/>
          <w:numId w:val="1"/>
        </w:numPr>
        <w:ind w:right="84"/>
        <w:rPr>
          <w:b/>
          <w:i/>
          <w:color w:val="auto"/>
          <w:sz w:val="22"/>
          <w:szCs w:val="22"/>
        </w:rPr>
      </w:pPr>
      <w:r w:rsidRPr="00076702">
        <w:rPr>
          <w:b/>
          <w:i/>
          <w:color w:val="auto"/>
          <w:sz w:val="22"/>
          <w:szCs w:val="22"/>
        </w:rPr>
        <w:t>Διαταραχές του νευρικού συστήματος</w:t>
      </w:r>
    </w:p>
    <w:p w:rsidR="00F0677E" w:rsidRPr="00076702" w:rsidRDefault="00F0677E" w:rsidP="00F0677E">
      <w:pPr>
        <w:ind w:right="84"/>
        <w:rPr>
          <w:color w:val="auto"/>
          <w:sz w:val="22"/>
          <w:szCs w:val="22"/>
        </w:rPr>
      </w:pPr>
      <w:r w:rsidRPr="00076702">
        <w:rPr>
          <w:color w:val="auto"/>
          <w:sz w:val="22"/>
          <w:szCs w:val="22"/>
        </w:rPr>
        <w:t>Σπάνιες: Παραισθησία</w:t>
      </w:r>
    </w:p>
    <w:p w:rsidR="00F0677E" w:rsidRPr="00076702" w:rsidRDefault="00F0677E" w:rsidP="00F0677E">
      <w:pPr>
        <w:ind w:right="84"/>
        <w:rPr>
          <w:color w:val="auto"/>
          <w:sz w:val="22"/>
          <w:szCs w:val="22"/>
        </w:rPr>
      </w:pPr>
      <w:r w:rsidRPr="00076702">
        <w:rPr>
          <w:color w:val="auto"/>
          <w:sz w:val="22"/>
          <w:szCs w:val="22"/>
        </w:rPr>
        <w:t>Συχνές: Ηπατική εγκεφαλοπάθεια σε ασθενείς με ηπατοκυτταρική ανεπάρκεια (βλ. παράγραφο 2.3 «Αντενδείξεις»).</w:t>
      </w:r>
    </w:p>
    <w:p w:rsidR="00F0677E" w:rsidRPr="00076702" w:rsidRDefault="00F0677E" w:rsidP="00F0677E">
      <w:pPr>
        <w:ind w:left="284" w:right="84"/>
        <w:rPr>
          <w:color w:val="auto"/>
          <w:sz w:val="22"/>
          <w:szCs w:val="22"/>
          <w:u w:val="single"/>
        </w:rPr>
      </w:pPr>
    </w:p>
    <w:p w:rsidR="00F0677E" w:rsidRPr="00076702" w:rsidRDefault="00F0677E" w:rsidP="00F0677E">
      <w:pPr>
        <w:numPr>
          <w:ilvl w:val="0"/>
          <w:numId w:val="1"/>
        </w:numPr>
        <w:ind w:right="84"/>
        <w:rPr>
          <w:b/>
          <w:i/>
          <w:color w:val="auto"/>
          <w:sz w:val="22"/>
          <w:szCs w:val="22"/>
        </w:rPr>
      </w:pPr>
      <w:r w:rsidRPr="00076702">
        <w:rPr>
          <w:b/>
          <w:i/>
          <w:color w:val="auto"/>
          <w:sz w:val="22"/>
          <w:szCs w:val="22"/>
        </w:rPr>
        <w:t>Διαταραχές του αιμοποιητικού και του λεμφικού συστήματος</w:t>
      </w:r>
    </w:p>
    <w:p w:rsidR="00F0677E" w:rsidRPr="00076702" w:rsidRDefault="00F0677E" w:rsidP="00F0677E">
      <w:pPr>
        <w:rPr>
          <w:color w:val="auto"/>
          <w:sz w:val="22"/>
          <w:szCs w:val="22"/>
        </w:rPr>
      </w:pPr>
      <w:r w:rsidRPr="00076702">
        <w:rPr>
          <w:color w:val="auto"/>
          <w:sz w:val="22"/>
          <w:szCs w:val="22"/>
        </w:rPr>
        <w:t>Συχνές: Αιμοσυμπύκνωση</w:t>
      </w:r>
    </w:p>
    <w:p w:rsidR="00F0677E" w:rsidRPr="00076702" w:rsidRDefault="00F0677E" w:rsidP="00F0677E">
      <w:pPr>
        <w:rPr>
          <w:color w:val="auto"/>
          <w:sz w:val="22"/>
          <w:szCs w:val="22"/>
        </w:rPr>
      </w:pPr>
      <w:r w:rsidRPr="00076702">
        <w:rPr>
          <w:color w:val="auto"/>
          <w:sz w:val="22"/>
          <w:szCs w:val="22"/>
        </w:rPr>
        <w:t>Όχι συχνές: Θρομβοπενία</w:t>
      </w:r>
    </w:p>
    <w:p w:rsidR="00F0677E" w:rsidRPr="00076702" w:rsidRDefault="00F0677E" w:rsidP="00F0677E">
      <w:pPr>
        <w:rPr>
          <w:color w:val="auto"/>
          <w:sz w:val="22"/>
          <w:szCs w:val="22"/>
        </w:rPr>
      </w:pPr>
      <w:r w:rsidRPr="00076702">
        <w:rPr>
          <w:color w:val="auto"/>
          <w:sz w:val="22"/>
          <w:szCs w:val="22"/>
        </w:rPr>
        <w:t xml:space="preserve">Σπάνιες: Λευκοπενία, ηωσινοφιλία </w:t>
      </w:r>
    </w:p>
    <w:p w:rsidR="00F0677E" w:rsidRPr="00076702" w:rsidRDefault="00F0677E" w:rsidP="00F0677E">
      <w:pPr>
        <w:rPr>
          <w:color w:val="auto"/>
          <w:sz w:val="22"/>
          <w:szCs w:val="22"/>
        </w:rPr>
      </w:pPr>
      <w:r w:rsidRPr="00076702">
        <w:rPr>
          <w:color w:val="auto"/>
          <w:sz w:val="22"/>
          <w:szCs w:val="22"/>
        </w:rPr>
        <w:t>Πολύ σπάνιες: Ακοκκιοκυτταραιμία, απλαστική αναιμία ή αιμολυτική αναιμία.</w:t>
      </w:r>
    </w:p>
    <w:p w:rsidR="00F0677E" w:rsidRPr="00076702" w:rsidRDefault="00F0677E" w:rsidP="00F0677E">
      <w:pPr>
        <w:ind w:left="284" w:right="84"/>
        <w:rPr>
          <w:color w:val="auto"/>
          <w:sz w:val="22"/>
          <w:szCs w:val="22"/>
        </w:rPr>
      </w:pPr>
    </w:p>
    <w:p w:rsidR="00F0677E" w:rsidRPr="00076702" w:rsidRDefault="00F0677E" w:rsidP="00F0677E">
      <w:pPr>
        <w:numPr>
          <w:ilvl w:val="0"/>
          <w:numId w:val="2"/>
        </w:numPr>
        <w:tabs>
          <w:tab w:val="clear" w:pos="720"/>
          <w:tab w:val="num" w:pos="360"/>
        </w:tabs>
        <w:overflowPunct w:val="0"/>
        <w:autoSpaceDE w:val="0"/>
        <w:autoSpaceDN w:val="0"/>
        <w:adjustRightInd w:val="0"/>
        <w:ind w:hanging="720"/>
        <w:textAlignment w:val="baseline"/>
        <w:rPr>
          <w:b/>
          <w:i/>
          <w:color w:val="auto"/>
          <w:sz w:val="22"/>
          <w:szCs w:val="22"/>
        </w:rPr>
      </w:pPr>
      <w:r w:rsidRPr="00076702">
        <w:rPr>
          <w:b/>
          <w:i/>
          <w:color w:val="auto"/>
          <w:sz w:val="22"/>
          <w:szCs w:val="22"/>
        </w:rPr>
        <w:t>Συγγενείς και οικογενείς/γενετικές διαταραχές</w:t>
      </w:r>
    </w:p>
    <w:p w:rsidR="00F0677E" w:rsidRPr="00076702" w:rsidRDefault="00F0677E" w:rsidP="00F0677E">
      <w:pPr>
        <w:rPr>
          <w:color w:val="auto"/>
          <w:sz w:val="22"/>
          <w:szCs w:val="22"/>
        </w:rPr>
      </w:pPr>
      <w:r w:rsidRPr="00076702">
        <w:rPr>
          <w:color w:val="auto"/>
          <w:sz w:val="22"/>
          <w:szCs w:val="22"/>
        </w:rPr>
        <w:t>Μη γνωστές: Αυξημένος κίνδυνος παραμονής ανοικτού του αρτηριακού πόρου στην περίπτωση που η φουροσεμίδη χορηγηθεί στα πρόωρα νεογνά κατά τις πρώτες εβδομάδες της ζωής τους.</w:t>
      </w:r>
    </w:p>
    <w:p w:rsidR="00F0677E" w:rsidRPr="00076702" w:rsidRDefault="00F0677E" w:rsidP="00F0677E">
      <w:pPr>
        <w:ind w:right="84"/>
        <w:rPr>
          <w:b/>
          <w:color w:val="auto"/>
          <w:sz w:val="22"/>
          <w:szCs w:val="22"/>
        </w:rPr>
      </w:pPr>
    </w:p>
    <w:p w:rsidR="00F0677E" w:rsidRPr="00076702" w:rsidRDefault="00F0677E" w:rsidP="00F0677E">
      <w:pPr>
        <w:numPr>
          <w:ilvl w:val="0"/>
          <w:numId w:val="1"/>
        </w:numPr>
        <w:ind w:right="84"/>
        <w:rPr>
          <w:b/>
          <w:i/>
          <w:color w:val="auto"/>
          <w:sz w:val="22"/>
          <w:szCs w:val="22"/>
        </w:rPr>
      </w:pPr>
      <w:r w:rsidRPr="00076702">
        <w:rPr>
          <w:b/>
          <w:i/>
          <w:color w:val="auto"/>
          <w:sz w:val="22"/>
          <w:szCs w:val="22"/>
        </w:rPr>
        <w:t>Γενικές διαταραχές και καταστάσεις της οδού χορήγησης</w:t>
      </w:r>
    </w:p>
    <w:p w:rsidR="00F0677E" w:rsidRPr="00076702" w:rsidRDefault="00F0677E" w:rsidP="00F0677E">
      <w:pPr>
        <w:ind w:right="84"/>
        <w:rPr>
          <w:color w:val="auto"/>
          <w:sz w:val="22"/>
          <w:szCs w:val="22"/>
        </w:rPr>
      </w:pPr>
      <w:r w:rsidRPr="00076702">
        <w:rPr>
          <w:color w:val="auto"/>
          <w:sz w:val="22"/>
          <w:szCs w:val="22"/>
        </w:rPr>
        <w:t>Σπάνιες: Πυρετός.</w:t>
      </w:r>
    </w:p>
    <w:p w:rsidR="00484836" w:rsidRPr="00E67811" w:rsidRDefault="00484836" w:rsidP="00484836">
      <w:pPr>
        <w:widowControl w:val="0"/>
        <w:rPr>
          <w:b/>
          <w:noProof/>
          <w:color w:val="auto"/>
          <w:sz w:val="22"/>
          <w:szCs w:val="22"/>
        </w:rPr>
      </w:pPr>
    </w:p>
    <w:p w:rsidR="00A10200" w:rsidRPr="00076702" w:rsidRDefault="00A10200" w:rsidP="006402D0">
      <w:pPr>
        <w:widowControl w:val="0"/>
        <w:rPr>
          <w:b/>
          <w:noProof/>
          <w:color w:val="auto"/>
          <w:sz w:val="22"/>
          <w:szCs w:val="22"/>
        </w:rPr>
      </w:pPr>
      <w:r w:rsidRPr="00076702">
        <w:rPr>
          <w:b/>
          <w:noProof/>
          <w:color w:val="auto"/>
          <w:sz w:val="22"/>
          <w:szCs w:val="22"/>
        </w:rPr>
        <w:t>Αναφορά ανεπιθύμητων ενεργειών</w:t>
      </w:r>
    </w:p>
    <w:p w:rsidR="00A10200" w:rsidRPr="00076702" w:rsidRDefault="00A10200" w:rsidP="00526346">
      <w:pPr>
        <w:autoSpaceDE w:val="0"/>
        <w:autoSpaceDN w:val="0"/>
        <w:adjustRightInd w:val="0"/>
        <w:jc w:val="both"/>
        <w:rPr>
          <w:color w:val="auto"/>
          <w:sz w:val="22"/>
          <w:szCs w:val="22"/>
        </w:rPr>
      </w:pPr>
      <w:r w:rsidRPr="00076702">
        <w:rPr>
          <w:color w:val="auto"/>
          <w:sz w:val="22"/>
        </w:rPr>
        <w:t>Εάν παρατηρήσετε κάποια ανεπιθύμητη ενέργεια, ενημερώστε τον γιατρό, τον φαρμακοποιό ή τον/την νοσοκόμο σας. Αυτό ισχύει και για κάθε πιθανή ανεπιθύμητη ενέργεια που δεν αναφέρεται στο παρόν φύλλο οδηγιών χρήσης.</w:t>
      </w:r>
      <w:r w:rsidRPr="00076702">
        <w:rPr>
          <w:noProof/>
          <w:color w:val="auto"/>
          <w:sz w:val="22"/>
          <w:szCs w:val="22"/>
        </w:rPr>
        <w:t xml:space="preserve"> </w:t>
      </w:r>
      <w:r w:rsidRPr="00076702">
        <w:rPr>
          <w:color w:val="auto"/>
          <w:sz w:val="22"/>
          <w:szCs w:val="22"/>
        </w:rPr>
        <w:t>Μπορείτε επίσης να αναφέρετε ανεπιθύμητες ενέργειες</w:t>
      </w:r>
      <w:r w:rsidRPr="00076702">
        <w:rPr>
          <w:noProof/>
          <w:color w:val="auto"/>
          <w:sz w:val="22"/>
          <w:szCs w:val="22"/>
        </w:rPr>
        <w:t xml:space="preserve"> </w:t>
      </w:r>
      <w:r w:rsidRPr="00076702">
        <w:rPr>
          <w:color w:val="auto"/>
          <w:sz w:val="22"/>
          <w:szCs w:val="22"/>
        </w:rPr>
        <w:t>απευθείας, μέσω του εθνικού συστήματος αναφοράς:</w:t>
      </w:r>
    </w:p>
    <w:p w:rsidR="00A10200" w:rsidRPr="00E67811" w:rsidRDefault="00A10200" w:rsidP="00E67811">
      <w:pPr>
        <w:pStyle w:val="30"/>
        <w:spacing w:after="0"/>
        <w:rPr>
          <w:color w:val="auto"/>
          <w:sz w:val="22"/>
          <w:szCs w:val="22"/>
        </w:rPr>
      </w:pPr>
    </w:p>
    <w:p w:rsidR="00A10200" w:rsidRPr="00076702" w:rsidRDefault="00A10200" w:rsidP="006402D0">
      <w:pPr>
        <w:rPr>
          <w:noProof/>
          <w:color w:val="auto"/>
          <w:sz w:val="22"/>
          <w:szCs w:val="22"/>
        </w:rPr>
      </w:pPr>
      <w:r w:rsidRPr="00076702">
        <w:rPr>
          <w:rFonts w:eastAsia="Calibri"/>
          <w:b/>
          <w:noProof/>
          <w:color w:val="auto"/>
          <w:sz w:val="22"/>
          <w:szCs w:val="22"/>
          <w:lang w:eastAsia="zh-CN"/>
        </w:rPr>
        <w:t>Ελλάδα</w:t>
      </w:r>
    </w:p>
    <w:p w:rsidR="00A10200" w:rsidRPr="00076702" w:rsidRDefault="00A10200" w:rsidP="00526346">
      <w:pPr>
        <w:rPr>
          <w:rFonts w:eastAsia="Calibri"/>
          <w:noProof/>
          <w:color w:val="auto"/>
          <w:sz w:val="22"/>
          <w:szCs w:val="22"/>
          <w:lang w:eastAsia="zh-CN"/>
        </w:rPr>
      </w:pPr>
      <w:r w:rsidRPr="00076702">
        <w:rPr>
          <w:rFonts w:eastAsia="Calibri"/>
          <w:noProof/>
          <w:color w:val="auto"/>
          <w:sz w:val="22"/>
          <w:szCs w:val="22"/>
          <w:lang w:eastAsia="zh-CN"/>
        </w:rPr>
        <w:t>Εθνικός Οργανισμός Φαρμάκων</w:t>
      </w:r>
    </w:p>
    <w:p w:rsidR="00A10200" w:rsidRPr="00076702" w:rsidRDefault="00A10200" w:rsidP="003F7325">
      <w:pPr>
        <w:rPr>
          <w:rFonts w:eastAsia="Calibri"/>
          <w:noProof/>
          <w:color w:val="auto"/>
          <w:sz w:val="22"/>
          <w:szCs w:val="22"/>
          <w:lang w:eastAsia="zh-CN"/>
        </w:rPr>
      </w:pPr>
      <w:r w:rsidRPr="00076702">
        <w:rPr>
          <w:rFonts w:eastAsia="Calibri"/>
          <w:noProof/>
          <w:color w:val="auto"/>
          <w:sz w:val="22"/>
          <w:szCs w:val="22"/>
          <w:lang w:eastAsia="zh-CN"/>
        </w:rPr>
        <w:t>Μεσογείων 284</w:t>
      </w:r>
    </w:p>
    <w:p w:rsidR="00A10200" w:rsidRPr="00076702" w:rsidRDefault="00A10200" w:rsidP="00A406A3">
      <w:pPr>
        <w:rPr>
          <w:rFonts w:eastAsia="Calibri"/>
          <w:noProof/>
          <w:color w:val="auto"/>
          <w:sz w:val="22"/>
          <w:szCs w:val="22"/>
          <w:lang w:eastAsia="zh-CN"/>
        </w:rPr>
      </w:pPr>
      <w:r w:rsidRPr="00076702">
        <w:rPr>
          <w:rFonts w:eastAsia="Calibri"/>
          <w:noProof/>
          <w:color w:val="auto"/>
          <w:sz w:val="22"/>
          <w:szCs w:val="22"/>
          <w:lang w:val="en-GB" w:eastAsia="zh-CN"/>
        </w:rPr>
        <w:t>GR</w:t>
      </w:r>
      <w:r w:rsidRPr="00076702">
        <w:rPr>
          <w:rFonts w:eastAsia="Calibri"/>
          <w:noProof/>
          <w:color w:val="auto"/>
          <w:sz w:val="22"/>
          <w:szCs w:val="22"/>
          <w:lang w:eastAsia="zh-CN"/>
        </w:rPr>
        <w:t>-15562 Χολαργός, Αθήνα</w:t>
      </w:r>
    </w:p>
    <w:p w:rsidR="00A10200" w:rsidRPr="00076702" w:rsidRDefault="00A10200" w:rsidP="00A406A3">
      <w:pPr>
        <w:rPr>
          <w:rFonts w:eastAsia="Calibri"/>
          <w:color w:val="auto"/>
          <w:sz w:val="22"/>
          <w:szCs w:val="22"/>
          <w:lang w:eastAsia="zh-CN"/>
        </w:rPr>
      </w:pPr>
      <w:r w:rsidRPr="00076702">
        <w:rPr>
          <w:rFonts w:eastAsia="Calibri"/>
          <w:noProof/>
          <w:color w:val="auto"/>
          <w:sz w:val="22"/>
          <w:szCs w:val="22"/>
          <w:lang w:eastAsia="zh-CN"/>
        </w:rPr>
        <w:t xml:space="preserve">Τηλ: + 30 </w:t>
      </w:r>
      <w:r w:rsidRPr="00076702">
        <w:rPr>
          <w:rFonts w:eastAsia="Calibri"/>
          <w:color w:val="auto"/>
          <w:sz w:val="22"/>
          <w:szCs w:val="22"/>
          <w:lang w:eastAsia="zh-CN"/>
        </w:rPr>
        <w:t>21 32040380/337</w:t>
      </w:r>
    </w:p>
    <w:p w:rsidR="00A10200" w:rsidRPr="00076702" w:rsidRDefault="00A10200" w:rsidP="005F2E2D">
      <w:pPr>
        <w:rPr>
          <w:rFonts w:eastAsia="Calibri"/>
          <w:noProof/>
          <w:color w:val="auto"/>
          <w:sz w:val="22"/>
          <w:szCs w:val="22"/>
          <w:lang w:eastAsia="zh-CN"/>
        </w:rPr>
      </w:pPr>
      <w:r w:rsidRPr="00076702">
        <w:rPr>
          <w:rFonts w:eastAsia="Calibri"/>
          <w:color w:val="auto"/>
          <w:sz w:val="22"/>
          <w:lang w:eastAsia="zh-CN"/>
        </w:rPr>
        <w:t>Φαξ</w:t>
      </w:r>
      <w:r w:rsidRPr="00076702">
        <w:rPr>
          <w:rFonts w:eastAsia="Calibri"/>
          <w:noProof/>
          <w:color w:val="auto"/>
          <w:sz w:val="22"/>
          <w:szCs w:val="22"/>
          <w:lang w:eastAsia="zh-CN"/>
        </w:rPr>
        <w:t xml:space="preserve">: + 30 </w:t>
      </w:r>
      <w:r w:rsidRPr="00076702">
        <w:rPr>
          <w:rFonts w:eastAsia="Calibri"/>
          <w:color w:val="auto"/>
          <w:sz w:val="22"/>
          <w:szCs w:val="22"/>
          <w:lang w:eastAsia="zh-CN"/>
        </w:rPr>
        <w:t>21 06549585</w:t>
      </w:r>
      <w:r w:rsidRPr="00076702">
        <w:rPr>
          <w:rFonts w:eastAsia="Calibri"/>
          <w:noProof/>
          <w:color w:val="auto"/>
          <w:sz w:val="22"/>
          <w:szCs w:val="22"/>
          <w:lang w:eastAsia="zh-CN"/>
        </w:rPr>
        <w:t xml:space="preserve"> </w:t>
      </w:r>
    </w:p>
    <w:p w:rsidR="00A10200" w:rsidRPr="00076702" w:rsidRDefault="00A10200" w:rsidP="005F2E2D">
      <w:pPr>
        <w:rPr>
          <w:rFonts w:eastAsia="Calibri"/>
          <w:color w:val="auto"/>
          <w:sz w:val="22"/>
          <w:szCs w:val="22"/>
          <w:lang w:eastAsia="zh-CN"/>
        </w:rPr>
      </w:pPr>
      <w:r w:rsidRPr="00076702">
        <w:rPr>
          <w:rFonts w:eastAsia="Calibri"/>
          <w:color w:val="auto"/>
          <w:sz w:val="22"/>
          <w:lang w:eastAsia="zh-CN"/>
        </w:rPr>
        <w:t>Ιστότοπος</w:t>
      </w:r>
      <w:r w:rsidRPr="00076702">
        <w:rPr>
          <w:rFonts w:eastAsia="Calibri"/>
          <w:noProof/>
          <w:color w:val="auto"/>
          <w:sz w:val="22"/>
          <w:szCs w:val="22"/>
          <w:lang w:eastAsia="zh-CN"/>
        </w:rPr>
        <w:t xml:space="preserve">: </w:t>
      </w:r>
      <w:hyperlink r:id="rId8" w:history="1">
        <w:r w:rsidRPr="00076702">
          <w:rPr>
            <w:rStyle w:val="-"/>
            <w:rFonts w:eastAsia="Calibri"/>
            <w:color w:val="auto"/>
            <w:sz w:val="22"/>
            <w:szCs w:val="22"/>
            <w:lang w:val="en-GB" w:eastAsia="zh-CN"/>
          </w:rPr>
          <w:t>http</w:t>
        </w:r>
        <w:r w:rsidRPr="00076702">
          <w:rPr>
            <w:rStyle w:val="-"/>
            <w:rFonts w:eastAsia="Calibri"/>
            <w:color w:val="auto"/>
            <w:sz w:val="22"/>
            <w:szCs w:val="22"/>
            <w:lang w:eastAsia="zh-CN"/>
          </w:rPr>
          <w:t>://</w:t>
        </w:r>
        <w:r w:rsidRPr="00076702">
          <w:rPr>
            <w:rStyle w:val="-"/>
            <w:rFonts w:eastAsia="Calibri"/>
            <w:color w:val="auto"/>
            <w:sz w:val="22"/>
            <w:szCs w:val="22"/>
            <w:lang w:val="en-GB" w:eastAsia="zh-CN"/>
          </w:rPr>
          <w:t>www</w:t>
        </w:r>
        <w:r w:rsidRPr="00076702">
          <w:rPr>
            <w:rStyle w:val="-"/>
            <w:rFonts w:eastAsia="Calibri"/>
            <w:color w:val="auto"/>
            <w:sz w:val="22"/>
            <w:szCs w:val="22"/>
            <w:lang w:eastAsia="zh-CN"/>
          </w:rPr>
          <w:t>.</w:t>
        </w:r>
        <w:r w:rsidRPr="00076702">
          <w:rPr>
            <w:rStyle w:val="-"/>
            <w:rFonts w:eastAsia="Calibri"/>
            <w:color w:val="auto"/>
            <w:sz w:val="22"/>
            <w:szCs w:val="22"/>
            <w:lang w:val="en-GB" w:eastAsia="zh-CN"/>
          </w:rPr>
          <w:t>eof</w:t>
        </w:r>
        <w:r w:rsidRPr="00076702">
          <w:rPr>
            <w:rStyle w:val="-"/>
            <w:rFonts w:eastAsia="Calibri"/>
            <w:color w:val="auto"/>
            <w:sz w:val="22"/>
            <w:szCs w:val="22"/>
            <w:lang w:eastAsia="zh-CN"/>
          </w:rPr>
          <w:t>.</w:t>
        </w:r>
        <w:r w:rsidRPr="00076702">
          <w:rPr>
            <w:rStyle w:val="-"/>
            <w:rFonts w:eastAsia="Calibri"/>
            <w:color w:val="auto"/>
            <w:sz w:val="22"/>
            <w:szCs w:val="22"/>
            <w:lang w:val="en-GB" w:eastAsia="zh-CN"/>
          </w:rPr>
          <w:t>gr</w:t>
        </w:r>
      </w:hyperlink>
    </w:p>
    <w:p w:rsidR="00A10200" w:rsidRPr="00076702" w:rsidRDefault="00A10200" w:rsidP="007874D0">
      <w:pPr>
        <w:rPr>
          <w:rFonts w:eastAsia="Calibri"/>
          <w:b/>
          <w:noProof/>
          <w:color w:val="auto"/>
          <w:sz w:val="22"/>
          <w:szCs w:val="22"/>
          <w:lang w:eastAsia="zh-CN"/>
        </w:rPr>
      </w:pPr>
    </w:p>
    <w:p w:rsidR="00A10200" w:rsidRPr="00076702" w:rsidRDefault="00A10200">
      <w:pPr>
        <w:rPr>
          <w:b/>
          <w:noProof/>
          <w:color w:val="auto"/>
          <w:sz w:val="22"/>
          <w:szCs w:val="22"/>
        </w:rPr>
      </w:pPr>
      <w:r w:rsidRPr="00076702">
        <w:rPr>
          <w:rFonts w:eastAsia="Calibri"/>
          <w:b/>
          <w:noProof/>
          <w:color w:val="auto"/>
          <w:sz w:val="22"/>
          <w:szCs w:val="22"/>
          <w:lang w:eastAsia="zh-CN"/>
        </w:rPr>
        <w:t>Κύπρος</w:t>
      </w:r>
    </w:p>
    <w:p w:rsidR="00A10200" w:rsidRPr="00076702" w:rsidRDefault="00A10200">
      <w:pPr>
        <w:rPr>
          <w:rFonts w:eastAsia="Calibri"/>
          <w:color w:val="auto"/>
          <w:sz w:val="22"/>
          <w:lang w:eastAsia="zh-CN"/>
        </w:rPr>
      </w:pPr>
      <w:r w:rsidRPr="00076702">
        <w:rPr>
          <w:rFonts w:eastAsia="Calibri"/>
          <w:color w:val="auto"/>
          <w:sz w:val="22"/>
          <w:lang w:eastAsia="zh-CN"/>
        </w:rPr>
        <w:t>Φαρμακευτικές Υπηρεσίες</w:t>
      </w:r>
    </w:p>
    <w:p w:rsidR="00A10200" w:rsidRPr="00076702" w:rsidRDefault="00A10200">
      <w:pPr>
        <w:rPr>
          <w:rFonts w:eastAsia="Calibri"/>
          <w:color w:val="auto"/>
          <w:sz w:val="22"/>
          <w:lang w:eastAsia="zh-CN"/>
        </w:rPr>
      </w:pPr>
      <w:r w:rsidRPr="00076702">
        <w:rPr>
          <w:rFonts w:eastAsia="Calibri"/>
          <w:color w:val="auto"/>
          <w:sz w:val="22"/>
          <w:lang w:eastAsia="zh-CN"/>
        </w:rPr>
        <w:t>Υπουργείο Υγείας</w:t>
      </w:r>
    </w:p>
    <w:p w:rsidR="00A10200" w:rsidRPr="00076702" w:rsidRDefault="00A10200">
      <w:pPr>
        <w:rPr>
          <w:rFonts w:eastAsia="Calibri"/>
          <w:noProof/>
          <w:color w:val="auto"/>
          <w:sz w:val="22"/>
          <w:szCs w:val="22"/>
          <w:lang w:eastAsia="zh-CN"/>
        </w:rPr>
      </w:pPr>
      <w:r w:rsidRPr="00076702">
        <w:rPr>
          <w:rFonts w:eastAsia="Calibri"/>
          <w:noProof/>
          <w:color w:val="auto"/>
          <w:sz w:val="22"/>
          <w:szCs w:val="22"/>
          <w:lang w:eastAsia="zh-CN"/>
        </w:rPr>
        <w:t xml:space="preserve">CY-1475 </w:t>
      </w:r>
      <w:r w:rsidRPr="00076702">
        <w:rPr>
          <w:rFonts w:eastAsia="Calibri"/>
          <w:color w:val="auto"/>
          <w:sz w:val="22"/>
          <w:lang w:eastAsia="zh-CN"/>
        </w:rPr>
        <w:t>Λευκωσία</w:t>
      </w:r>
    </w:p>
    <w:p w:rsidR="00A10200" w:rsidRPr="00076702" w:rsidRDefault="00A10200">
      <w:pPr>
        <w:rPr>
          <w:rFonts w:eastAsia="Calibri"/>
          <w:color w:val="auto"/>
          <w:sz w:val="22"/>
          <w:szCs w:val="22"/>
          <w:lang w:eastAsia="zh-CN"/>
        </w:rPr>
      </w:pPr>
      <w:r w:rsidRPr="00076702">
        <w:rPr>
          <w:rFonts w:eastAsia="Calibri"/>
          <w:color w:val="auto"/>
          <w:sz w:val="22"/>
          <w:lang w:eastAsia="zh-CN"/>
        </w:rPr>
        <w:t>Φαξ</w:t>
      </w:r>
      <w:r w:rsidRPr="00076702">
        <w:rPr>
          <w:rFonts w:eastAsia="Calibri"/>
          <w:noProof/>
          <w:color w:val="auto"/>
          <w:sz w:val="22"/>
          <w:szCs w:val="22"/>
          <w:lang w:eastAsia="zh-CN"/>
        </w:rPr>
        <w:t xml:space="preserve">: + </w:t>
      </w:r>
      <w:r w:rsidRPr="00076702">
        <w:rPr>
          <w:rFonts w:eastAsia="Calibri"/>
          <w:color w:val="auto"/>
          <w:sz w:val="22"/>
          <w:szCs w:val="22"/>
          <w:lang w:eastAsia="zh-CN"/>
        </w:rPr>
        <w:t>357 22608649</w:t>
      </w:r>
    </w:p>
    <w:p w:rsidR="00A10200" w:rsidRPr="00076702" w:rsidRDefault="00A10200" w:rsidP="00E67811">
      <w:pPr>
        <w:pStyle w:val="30"/>
        <w:spacing w:after="0"/>
        <w:rPr>
          <w:color w:val="auto"/>
          <w:sz w:val="22"/>
          <w:szCs w:val="22"/>
        </w:rPr>
      </w:pPr>
      <w:r w:rsidRPr="00076702">
        <w:rPr>
          <w:rFonts w:eastAsia="Calibri"/>
          <w:color w:val="auto"/>
          <w:sz w:val="22"/>
          <w:szCs w:val="20"/>
          <w:lang w:eastAsia="zh-CN"/>
        </w:rPr>
        <w:t>Ιστότοπος</w:t>
      </w:r>
      <w:r w:rsidRPr="00076702">
        <w:rPr>
          <w:rFonts w:eastAsia="Calibri"/>
          <w:noProof/>
          <w:color w:val="auto"/>
          <w:sz w:val="22"/>
          <w:szCs w:val="22"/>
          <w:lang w:eastAsia="zh-CN"/>
        </w:rPr>
        <w:t xml:space="preserve">: </w:t>
      </w:r>
      <w:hyperlink r:id="rId9" w:history="1">
        <w:r w:rsidRPr="00076702">
          <w:rPr>
            <w:rStyle w:val="-"/>
            <w:rFonts w:eastAsia="Calibri"/>
            <w:color w:val="auto"/>
            <w:sz w:val="22"/>
            <w:szCs w:val="22"/>
            <w:lang w:eastAsia="zh-CN"/>
          </w:rPr>
          <w:t>www.moh.gov.cy/phs</w:t>
        </w:r>
      </w:hyperlink>
    </w:p>
    <w:p w:rsidR="00A10200" w:rsidRPr="00076702" w:rsidRDefault="00A10200" w:rsidP="00E67811">
      <w:pPr>
        <w:pStyle w:val="30"/>
        <w:spacing w:after="0"/>
        <w:rPr>
          <w:b/>
          <w:color w:val="auto"/>
          <w:sz w:val="22"/>
          <w:szCs w:val="22"/>
        </w:rPr>
      </w:pPr>
    </w:p>
    <w:p w:rsidR="00F0677E" w:rsidRPr="00E67811" w:rsidRDefault="00A10200" w:rsidP="006402D0">
      <w:pPr>
        <w:rPr>
          <w:noProof/>
          <w:color w:val="auto"/>
          <w:sz w:val="22"/>
          <w:szCs w:val="22"/>
        </w:rPr>
      </w:pPr>
      <w:r w:rsidRPr="00E67811">
        <w:rPr>
          <w:color w:val="auto"/>
          <w:sz w:val="22"/>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E67811">
        <w:rPr>
          <w:noProof/>
          <w:color w:val="auto"/>
          <w:sz w:val="22"/>
          <w:szCs w:val="22"/>
        </w:rPr>
        <w:t>.</w:t>
      </w:r>
    </w:p>
    <w:p w:rsidR="00A10200" w:rsidRPr="0036121D" w:rsidRDefault="00A10200" w:rsidP="006402D0">
      <w:pPr>
        <w:rPr>
          <w:color w:val="auto"/>
          <w:sz w:val="22"/>
          <w:szCs w:val="22"/>
        </w:rPr>
      </w:pPr>
    </w:p>
    <w:p w:rsidR="00F0677E" w:rsidRPr="00076702" w:rsidRDefault="00F0677E" w:rsidP="00F0677E">
      <w:pPr>
        <w:rPr>
          <w:b/>
          <w:color w:val="auto"/>
          <w:sz w:val="22"/>
          <w:szCs w:val="22"/>
        </w:rPr>
      </w:pPr>
      <w:r w:rsidRPr="00076702">
        <w:rPr>
          <w:b/>
          <w:color w:val="auto"/>
          <w:sz w:val="22"/>
          <w:szCs w:val="22"/>
        </w:rPr>
        <w:t>2.9 Τι πρέπει να γνωρίζετε σε περίπτωση που πα</w:t>
      </w:r>
      <w:r w:rsidR="00A02148" w:rsidRPr="00076702">
        <w:rPr>
          <w:b/>
          <w:color w:val="auto"/>
          <w:sz w:val="22"/>
          <w:szCs w:val="22"/>
        </w:rPr>
        <w:t>ραλείψατε να πάρετε κάποια δόση</w:t>
      </w:r>
    </w:p>
    <w:p w:rsidR="00F0677E" w:rsidRPr="00076702" w:rsidRDefault="00F0677E" w:rsidP="00F0677E">
      <w:pPr>
        <w:rPr>
          <w:color w:val="auto"/>
          <w:sz w:val="22"/>
          <w:szCs w:val="22"/>
        </w:rPr>
      </w:pPr>
      <w:r w:rsidRPr="00076702">
        <w:rPr>
          <w:color w:val="auto"/>
          <w:sz w:val="22"/>
          <w:szCs w:val="22"/>
        </w:rPr>
        <w:t>Αν πρέπει να λαμβάνετε το φάρμακο συνεχώς και παραλείψατε μία δόση, θα πρέπει να πάρετε τη δόση αυτή το ταχύτερο δυνατό. Εάν εντούτοις πλησιάζει η ώρα για την επόμενη δόση, μην πάρετε τη δόση που παραλείψατε αλλά συνεχίστε κανονικά τη θεραπεία.</w:t>
      </w:r>
    </w:p>
    <w:p w:rsidR="00F0677E" w:rsidRPr="00076702" w:rsidRDefault="00F0677E" w:rsidP="00F0677E">
      <w:pPr>
        <w:pStyle w:val="a6"/>
        <w:rPr>
          <w:i/>
          <w:color w:val="auto"/>
          <w:sz w:val="22"/>
          <w:szCs w:val="22"/>
        </w:rPr>
      </w:pPr>
      <w:r w:rsidRPr="00076702">
        <w:rPr>
          <w:i/>
          <w:color w:val="auto"/>
          <w:sz w:val="22"/>
          <w:szCs w:val="22"/>
        </w:rPr>
        <w:t>Μη διπλασιάζετε τις δόσεις.</w:t>
      </w:r>
    </w:p>
    <w:p w:rsidR="00F0677E" w:rsidRPr="00076702" w:rsidRDefault="00F0677E" w:rsidP="00F0677E">
      <w:pPr>
        <w:rPr>
          <w:b/>
          <w:color w:val="auto"/>
          <w:sz w:val="22"/>
          <w:szCs w:val="22"/>
        </w:rPr>
      </w:pPr>
    </w:p>
    <w:p w:rsidR="00F0677E" w:rsidRPr="00076702" w:rsidRDefault="00F0677E" w:rsidP="00F0677E">
      <w:pPr>
        <w:rPr>
          <w:b/>
          <w:color w:val="auto"/>
          <w:sz w:val="22"/>
          <w:szCs w:val="22"/>
        </w:rPr>
      </w:pPr>
      <w:r w:rsidRPr="00076702">
        <w:rPr>
          <w:b/>
          <w:color w:val="auto"/>
          <w:sz w:val="22"/>
          <w:szCs w:val="22"/>
        </w:rPr>
        <w:t>2.10 Τι πρέπει να γνωρίζετε για την</w:t>
      </w:r>
      <w:r w:rsidR="00A02148" w:rsidRPr="00076702">
        <w:rPr>
          <w:b/>
          <w:color w:val="auto"/>
          <w:sz w:val="22"/>
          <w:szCs w:val="22"/>
        </w:rPr>
        <w:t xml:space="preserve"> ημερομηνία λήξης του προϊόντος</w:t>
      </w:r>
    </w:p>
    <w:p w:rsidR="00F0677E" w:rsidRPr="00076702" w:rsidRDefault="00F0677E" w:rsidP="00F0677E">
      <w:pPr>
        <w:pStyle w:val="20"/>
        <w:ind w:left="0"/>
        <w:jc w:val="left"/>
        <w:rPr>
          <w:color w:val="auto"/>
          <w:sz w:val="22"/>
          <w:szCs w:val="22"/>
          <w:u w:val="none"/>
        </w:rPr>
      </w:pPr>
      <w:r w:rsidRPr="00076702">
        <w:rPr>
          <w:color w:val="auto"/>
          <w:sz w:val="22"/>
          <w:szCs w:val="22"/>
          <w:u w:val="none"/>
        </w:rPr>
        <w:t xml:space="preserve">Η ημερομηνία λήξης του </w:t>
      </w:r>
      <w:r w:rsidRPr="00076702">
        <w:rPr>
          <w:color w:val="auto"/>
          <w:sz w:val="22"/>
          <w:szCs w:val="22"/>
          <w:u w:val="none"/>
          <w:lang w:val="en-US"/>
        </w:rPr>
        <w:t>Frumil</w:t>
      </w:r>
      <w:r w:rsidRPr="00076702">
        <w:rPr>
          <w:color w:val="auto"/>
          <w:sz w:val="22"/>
          <w:szCs w:val="22"/>
          <w:u w:val="none"/>
        </w:rPr>
        <w:t xml:space="preserve"> αναγράφεται στην εξωτερική και στην εσωτερική συσκευασία. Σε περίπτωση που αυτή η ημερομηνία έχει παρέλθει, μην το χρησιμοποιήσετε.</w:t>
      </w:r>
    </w:p>
    <w:p w:rsidR="00F0677E" w:rsidRPr="00076702" w:rsidRDefault="00F0677E" w:rsidP="00F0677E">
      <w:pPr>
        <w:rPr>
          <w:b/>
          <w:color w:val="auto"/>
          <w:sz w:val="22"/>
          <w:szCs w:val="22"/>
        </w:rPr>
      </w:pPr>
    </w:p>
    <w:p w:rsidR="00F0677E" w:rsidRPr="00076702" w:rsidRDefault="00F0677E" w:rsidP="00F0677E">
      <w:pPr>
        <w:rPr>
          <w:b/>
          <w:color w:val="auto"/>
          <w:sz w:val="22"/>
          <w:szCs w:val="22"/>
        </w:rPr>
      </w:pPr>
      <w:r w:rsidRPr="00076702">
        <w:rPr>
          <w:b/>
          <w:color w:val="auto"/>
          <w:sz w:val="22"/>
          <w:szCs w:val="22"/>
        </w:rPr>
        <w:t>2.11 Ιδιαίτερες προφυλάξ</w:t>
      </w:r>
      <w:r w:rsidR="00A02148" w:rsidRPr="00076702">
        <w:rPr>
          <w:b/>
          <w:color w:val="auto"/>
          <w:sz w:val="22"/>
          <w:szCs w:val="22"/>
        </w:rPr>
        <w:t>εις για τη φύλαξη του προϊόντος</w:t>
      </w:r>
    </w:p>
    <w:p w:rsidR="00A10200" w:rsidRPr="00E67811" w:rsidRDefault="00A10200" w:rsidP="00A10200">
      <w:pPr>
        <w:rPr>
          <w:color w:val="auto"/>
          <w:sz w:val="22"/>
          <w:szCs w:val="22"/>
        </w:rPr>
      </w:pPr>
      <w:r w:rsidRPr="00E67811">
        <w:rPr>
          <w:color w:val="auto"/>
          <w:sz w:val="22"/>
          <w:szCs w:val="22"/>
        </w:rPr>
        <w:t>Φυλάσσετε σε θερμοκρασία μικρότερη των 25°</w:t>
      </w:r>
      <w:r w:rsidRPr="00E67811">
        <w:rPr>
          <w:color w:val="auto"/>
          <w:sz w:val="22"/>
          <w:szCs w:val="22"/>
          <w:lang w:val="en-US"/>
        </w:rPr>
        <w:t>C</w:t>
      </w:r>
      <w:r w:rsidRPr="00E67811">
        <w:rPr>
          <w:color w:val="auto"/>
          <w:sz w:val="22"/>
          <w:szCs w:val="22"/>
        </w:rPr>
        <w:t xml:space="preserve">. </w:t>
      </w:r>
    </w:p>
    <w:p w:rsidR="00A10200" w:rsidRPr="00E67811" w:rsidRDefault="00A10200" w:rsidP="00A10200">
      <w:pPr>
        <w:rPr>
          <w:color w:val="auto"/>
          <w:sz w:val="22"/>
          <w:szCs w:val="22"/>
        </w:rPr>
      </w:pPr>
      <w:r w:rsidRPr="00E67811">
        <w:rPr>
          <w:color w:val="auto"/>
          <w:sz w:val="22"/>
          <w:szCs w:val="22"/>
        </w:rPr>
        <w:t>Φυλάσσετε στην αρχική συσκευασία για να προστατεύεται από το φως.</w:t>
      </w:r>
    </w:p>
    <w:p w:rsidR="00F0677E" w:rsidRPr="00076702" w:rsidRDefault="00F0677E" w:rsidP="00F0677E">
      <w:pPr>
        <w:rPr>
          <w:color w:val="auto"/>
          <w:sz w:val="22"/>
          <w:szCs w:val="22"/>
        </w:rPr>
      </w:pPr>
    </w:p>
    <w:p w:rsidR="00F0677E" w:rsidRPr="00076702" w:rsidRDefault="00F0677E" w:rsidP="00F0677E">
      <w:pPr>
        <w:rPr>
          <w:color w:val="auto"/>
          <w:sz w:val="22"/>
          <w:szCs w:val="22"/>
        </w:rPr>
      </w:pPr>
      <w:r w:rsidRPr="00076702">
        <w:rPr>
          <w:b/>
          <w:color w:val="auto"/>
          <w:sz w:val="22"/>
          <w:szCs w:val="22"/>
        </w:rPr>
        <w:t xml:space="preserve">2.12 Ημερομηνία τελευταίας αναθεώρησης του φύλλου οδηγιών χρήσης: </w:t>
      </w:r>
    </w:p>
    <w:p w:rsidR="00A02148" w:rsidRPr="00076702" w:rsidRDefault="00A02148" w:rsidP="00F0677E">
      <w:pPr>
        <w:rPr>
          <w:color w:val="auto"/>
          <w:sz w:val="22"/>
          <w:szCs w:val="22"/>
        </w:rPr>
      </w:pPr>
    </w:p>
    <w:p w:rsidR="00F0677E" w:rsidRPr="00076702" w:rsidRDefault="00F0677E" w:rsidP="00F0677E">
      <w:pPr>
        <w:pBdr>
          <w:top w:val="single" w:sz="4" w:space="1" w:color="auto"/>
          <w:left w:val="single" w:sz="4" w:space="4" w:color="auto"/>
          <w:bottom w:val="single" w:sz="4" w:space="1" w:color="auto"/>
          <w:right w:val="single" w:sz="4" w:space="4" w:color="auto"/>
        </w:pBdr>
        <w:rPr>
          <w:b/>
          <w:color w:val="auto"/>
          <w:sz w:val="22"/>
          <w:szCs w:val="22"/>
        </w:rPr>
      </w:pPr>
    </w:p>
    <w:p w:rsidR="00F0677E" w:rsidRPr="00076702" w:rsidRDefault="00F0677E" w:rsidP="00F0677E">
      <w:pPr>
        <w:pBdr>
          <w:top w:val="single" w:sz="4" w:space="1" w:color="auto"/>
          <w:left w:val="single" w:sz="4" w:space="4" w:color="auto"/>
          <w:bottom w:val="single" w:sz="4" w:space="1" w:color="auto"/>
          <w:right w:val="single" w:sz="4" w:space="4" w:color="auto"/>
        </w:pBdr>
        <w:jc w:val="center"/>
        <w:rPr>
          <w:b/>
          <w:color w:val="auto"/>
          <w:sz w:val="22"/>
          <w:szCs w:val="22"/>
        </w:rPr>
      </w:pPr>
      <w:r w:rsidRPr="00076702">
        <w:rPr>
          <w:b/>
          <w:color w:val="auto"/>
          <w:sz w:val="22"/>
          <w:szCs w:val="22"/>
        </w:rPr>
        <w:t>3. ΠΛΗΡΟΦΟΡΙΕΣ ΓΙΑ ΤΗΝ ΟΡΘΟΛΟΓΙΚΗ ΧΡΗΣΗ ΤΩΝ ΦΑΡΜΑΚΩΝ</w:t>
      </w:r>
    </w:p>
    <w:p w:rsidR="00F0677E" w:rsidRPr="00076702" w:rsidRDefault="00F0677E" w:rsidP="00F0677E">
      <w:pPr>
        <w:pBdr>
          <w:top w:val="single" w:sz="4" w:space="1" w:color="auto"/>
          <w:left w:val="single" w:sz="4" w:space="4" w:color="auto"/>
          <w:bottom w:val="single" w:sz="4" w:space="1" w:color="auto"/>
          <w:right w:val="single" w:sz="4" w:space="4" w:color="auto"/>
        </w:pBdr>
        <w:rPr>
          <w:b/>
          <w:color w:val="auto"/>
          <w:sz w:val="22"/>
          <w:szCs w:val="22"/>
        </w:rPr>
      </w:pPr>
    </w:p>
    <w:p w:rsidR="00F0677E" w:rsidRPr="00076702" w:rsidRDefault="00F0677E" w:rsidP="00F0677E">
      <w:pPr>
        <w:rPr>
          <w:color w:val="auto"/>
          <w:sz w:val="22"/>
          <w:szCs w:val="22"/>
        </w:rPr>
      </w:pPr>
    </w:p>
    <w:p w:rsidR="00F0677E" w:rsidRPr="00076702" w:rsidRDefault="00F0677E" w:rsidP="00A02148">
      <w:pPr>
        <w:pBdr>
          <w:top w:val="single" w:sz="4" w:space="1" w:color="auto"/>
          <w:left w:val="single" w:sz="4" w:space="4" w:color="auto"/>
          <w:bottom w:val="single" w:sz="4" w:space="1" w:color="auto"/>
          <w:right w:val="single" w:sz="4" w:space="4" w:color="auto"/>
        </w:pBdr>
        <w:ind w:left="360" w:hanging="360"/>
        <w:rPr>
          <w:color w:val="auto"/>
          <w:sz w:val="22"/>
          <w:szCs w:val="22"/>
        </w:rPr>
      </w:pPr>
      <w:r w:rsidRPr="00076702">
        <w:rPr>
          <w:color w:val="auto"/>
          <w:sz w:val="22"/>
          <w:szCs w:val="22"/>
        </w:rPr>
        <w:fldChar w:fldCharType="begin"/>
      </w:r>
      <w:r w:rsidRPr="00076702">
        <w:rPr>
          <w:color w:val="auto"/>
          <w:sz w:val="22"/>
          <w:szCs w:val="22"/>
        </w:rPr>
        <w:instrText>SYMBOL 183 \f "Symbol" \s 10 \h</w:instrText>
      </w:r>
      <w:r w:rsidRPr="00076702">
        <w:rPr>
          <w:color w:val="auto"/>
          <w:sz w:val="22"/>
          <w:szCs w:val="22"/>
        </w:rPr>
        <w:fldChar w:fldCharType="end"/>
      </w:r>
      <w:r w:rsidRPr="00076702">
        <w:rPr>
          <w:color w:val="auto"/>
          <w:sz w:val="22"/>
          <w:szCs w:val="22"/>
        </w:rPr>
        <w:tab/>
        <w:t>Το φάρμακο αυτό σας το έγραψε ο γιατρός σας μόνο για το συγκεκριμένο ιατρικό σας πρόβλημα. Δεν θα πρέπει να το δίνετε σε άλλα άτομα ή να το χρησιμοποιείτε για κάποια άλλη πάθηση, χωρίς προηγουμένως να έχετε συμβουλευθεί το γιατρό σας.</w:t>
      </w:r>
    </w:p>
    <w:p w:rsidR="00F0677E" w:rsidRPr="00076702" w:rsidRDefault="00F0677E" w:rsidP="00A02148">
      <w:pPr>
        <w:pBdr>
          <w:top w:val="single" w:sz="4" w:space="1" w:color="auto"/>
          <w:left w:val="single" w:sz="4" w:space="4" w:color="auto"/>
          <w:bottom w:val="single" w:sz="4" w:space="1" w:color="auto"/>
          <w:right w:val="single" w:sz="4" w:space="4" w:color="auto"/>
        </w:pBdr>
        <w:ind w:left="360" w:hanging="360"/>
        <w:rPr>
          <w:color w:val="auto"/>
          <w:sz w:val="22"/>
          <w:szCs w:val="22"/>
        </w:rPr>
      </w:pPr>
      <w:r w:rsidRPr="00076702">
        <w:rPr>
          <w:color w:val="auto"/>
          <w:sz w:val="22"/>
          <w:szCs w:val="22"/>
        </w:rPr>
        <w:fldChar w:fldCharType="begin"/>
      </w:r>
      <w:r w:rsidRPr="00076702">
        <w:rPr>
          <w:color w:val="auto"/>
          <w:sz w:val="22"/>
          <w:szCs w:val="22"/>
        </w:rPr>
        <w:instrText>SYMBOL 183 \f "Symbol" \s 10 \h</w:instrText>
      </w:r>
      <w:r w:rsidRPr="00076702">
        <w:rPr>
          <w:color w:val="auto"/>
          <w:sz w:val="22"/>
          <w:szCs w:val="22"/>
        </w:rPr>
        <w:fldChar w:fldCharType="end"/>
      </w:r>
      <w:r w:rsidRPr="00076702">
        <w:rPr>
          <w:color w:val="auto"/>
          <w:sz w:val="22"/>
          <w:szCs w:val="22"/>
        </w:rPr>
        <w:tab/>
        <w:t>Αν κατά τη διάρκεια της θεραπείας εμφανισθεί κάποιο πρόβλημα με το φάρμακο, ενημερώστε αμέσως το γιατρό σας ή το φαρμακοποιό σας.</w:t>
      </w:r>
    </w:p>
    <w:p w:rsidR="00F0677E" w:rsidRPr="00076702" w:rsidRDefault="00F0677E" w:rsidP="00A02148">
      <w:pPr>
        <w:pBdr>
          <w:top w:val="single" w:sz="4" w:space="1" w:color="auto"/>
          <w:left w:val="single" w:sz="4" w:space="4" w:color="auto"/>
          <w:bottom w:val="single" w:sz="4" w:space="1" w:color="auto"/>
          <w:right w:val="single" w:sz="4" w:space="4" w:color="auto"/>
        </w:pBdr>
        <w:ind w:left="360" w:hanging="360"/>
        <w:rPr>
          <w:color w:val="auto"/>
          <w:sz w:val="22"/>
          <w:szCs w:val="22"/>
        </w:rPr>
      </w:pPr>
      <w:r w:rsidRPr="00076702">
        <w:rPr>
          <w:color w:val="auto"/>
          <w:sz w:val="22"/>
          <w:szCs w:val="22"/>
        </w:rPr>
        <w:fldChar w:fldCharType="begin"/>
      </w:r>
      <w:r w:rsidRPr="00076702">
        <w:rPr>
          <w:color w:val="auto"/>
          <w:sz w:val="22"/>
          <w:szCs w:val="22"/>
        </w:rPr>
        <w:instrText>SYMBOL 183 \f "Symbol" \s 10 \h</w:instrText>
      </w:r>
      <w:r w:rsidRPr="00076702">
        <w:rPr>
          <w:color w:val="auto"/>
          <w:sz w:val="22"/>
          <w:szCs w:val="22"/>
        </w:rPr>
        <w:fldChar w:fldCharType="end"/>
      </w:r>
      <w:r w:rsidRPr="00076702">
        <w:rPr>
          <w:color w:val="auto"/>
          <w:sz w:val="22"/>
          <w:szCs w:val="22"/>
        </w:rPr>
        <w:tab/>
        <w:t>Αν έχετε οποιαδήποτε ερωτηματικά γύρω από τις πληροφορίες που αφορούν το φάρμακο που λαμβάνετε ή χρειάζεσθε καλύτερη ενημέρωση για το ιατρικό σας πρόβλημα, μη διστάσετε να ζητήσετε τις πληροφορίες αυτές από το γιατρό σας ή το φαρμακοποιό σας.</w:t>
      </w:r>
    </w:p>
    <w:p w:rsidR="00F0677E" w:rsidRPr="00076702" w:rsidRDefault="00F0677E" w:rsidP="00A02148">
      <w:pPr>
        <w:pBdr>
          <w:top w:val="single" w:sz="4" w:space="1" w:color="auto"/>
          <w:left w:val="single" w:sz="4" w:space="4" w:color="auto"/>
          <w:bottom w:val="single" w:sz="4" w:space="1" w:color="auto"/>
          <w:right w:val="single" w:sz="4" w:space="4" w:color="auto"/>
        </w:pBdr>
        <w:ind w:left="360" w:hanging="360"/>
        <w:rPr>
          <w:color w:val="auto"/>
          <w:sz w:val="22"/>
          <w:szCs w:val="22"/>
        </w:rPr>
      </w:pPr>
      <w:r w:rsidRPr="00076702">
        <w:rPr>
          <w:color w:val="auto"/>
          <w:sz w:val="22"/>
          <w:szCs w:val="22"/>
        </w:rPr>
        <w:fldChar w:fldCharType="begin"/>
      </w:r>
      <w:r w:rsidRPr="00076702">
        <w:rPr>
          <w:color w:val="auto"/>
          <w:sz w:val="22"/>
          <w:szCs w:val="22"/>
        </w:rPr>
        <w:instrText>SYMBOL 183 \f "Symbol" \s 10 \h</w:instrText>
      </w:r>
      <w:r w:rsidRPr="00076702">
        <w:rPr>
          <w:color w:val="auto"/>
          <w:sz w:val="22"/>
          <w:szCs w:val="22"/>
        </w:rPr>
        <w:fldChar w:fldCharType="end"/>
      </w:r>
      <w:r w:rsidRPr="00076702">
        <w:rPr>
          <w:color w:val="auto"/>
          <w:sz w:val="22"/>
          <w:szCs w:val="22"/>
        </w:rPr>
        <w:tab/>
        <w:t>Για να είναι αποτελεσματικό και ασφαλές το φάρμακο που σας χορηγήθηκε θα πρέπει να λαμβάνεται σύμφωνα με τις οδηγίες που σας δόθηκαν.</w:t>
      </w:r>
    </w:p>
    <w:p w:rsidR="00F0677E" w:rsidRPr="00076702" w:rsidRDefault="00F0677E" w:rsidP="00A02148">
      <w:pPr>
        <w:pBdr>
          <w:top w:val="single" w:sz="4" w:space="1" w:color="auto"/>
          <w:left w:val="single" w:sz="4" w:space="4" w:color="auto"/>
          <w:bottom w:val="single" w:sz="4" w:space="1" w:color="auto"/>
          <w:right w:val="single" w:sz="4" w:space="4" w:color="auto"/>
        </w:pBdr>
        <w:ind w:left="360" w:hanging="360"/>
        <w:rPr>
          <w:color w:val="auto"/>
          <w:sz w:val="22"/>
          <w:szCs w:val="22"/>
        </w:rPr>
      </w:pPr>
      <w:r w:rsidRPr="00076702">
        <w:rPr>
          <w:color w:val="auto"/>
          <w:sz w:val="22"/>
          <w:szCs w:val="22"/>
        </w:rPr>
        <w:fldChar w:fldCharType="begin"/>
      </w:r>
      <w:r w:rsidRPr="00076702">
        <w:rPr>
          <w:color w:val="auto"/>
          <w:sz w:val="22"/>
          <w:szCs w:val="22"/>
        </w:rPr>
        <w:instrText>SYMBOL 183 \f "Symbol" \s 10 \h</w:instrText>
      </w:r>
      <w:r w:rsidRPr="00076702">
        <w:rPr>
          <w:color w:val="auto"/>
          <w:sz w:val="22"/>
          <w:szCs w:val="22"/>
        </w:rPr>
        <w:fldChar w:fldCharType="end"/>
      </w:r>
      <w:r w:rsidRPr="00076702">
        <w:rPr>
          <w:color w:val="auto"/>
          <w:sz w:val="22"/>
          <w:szCs w:val="22"/>
        </w:rPr>
        <w:tab/>
        <w:t>Για την ασφάλειά σας και την υγεία σας είναι απαραίτητο να διαβάσετε με προσοχή κάθε πληροφορία που αφορά στο φάρμακο που σας χορηγήθηκε.</w:t>
      </w:r>
    </w:p>
    <w:p w:rsidR="00F0677E" w:rsidRPr="00076702" w:rsidRDefault="00F0677E" w:rsidP="00A02148">
      <w:pPr>
        <w:pBdr>
          <w:top w:val="single" w:sz="4" w:space="1" w:color="auto"/>
          <w:left w:val="single" w:sz="4" w:space="4" w:color="auto"/>
          <w:bottom w:val="single" w:sz="4" w:space="1" w:color="auto"/>
          <w:right w:val="single" w:sz="4" w:space="4" w:color="auto"/>
        </w:pBdr>
        <w:ind w:left="360" w:hanging="360"/>
        <w:rPr>
          <w:color w:val="auto"/>
          <w:sz w:val="22"/>
          <w:szCs w:val="22"/>
        </w:rPr>
      </w:pPr>
      <w:r w:rsidRPr="00076702">
        <w:rPr>
          <w:color w:val="auto"/>
          <w:sz w:val="22"/>
          <w:szCs w:val="22"/>
        </w:rPr>
        <w:fldChar w:fldCharType="begin"/>
      </w:r>
      <w:r w:rsidRPr="00076702">
        <w:rPr>
          <w:color w:val="auto"/>
          <w:sz w:val="22"/>
          <w:szCs w:val="22"/>
        </w:rPr>
        <w:instrText>SYMBOL 183 \f "Symbol" \s 10 \h</w:instrText>
      </w:r>
      <w:r w:rsidRPr="00076702">
        <w:rPr>
          <w:color w:val="auto"/>
          <w:sz w:val="22"/>
          <w:szCs w:val="22"/>
        </w:rPr>
        <w:fldChar w:fldCharType="end"/>
      </w:r>
      <w:r w:rsidRPr="00076702">
        <w:rPr>
          <w:color w:val="auto"/>
          <w:sz w:val="22"/>
          <w:szCs w:val="22"/>
        </w:rPr>
        <w:tab/>
        <w:t>Να μη διατηρείτε τα φάρμακα σε ερμάρια του λουτρού, επειδή η ζέστη και η υγρασία μπορεί να αλλοιώσουν το φάρμακο και να το καταστήσουν επιβλαβές για την υγεία σας.</w:t>
      </w:r>
    </w:p>
    <w:p w:rsidR="00F0677E" w:rsidRPr="00076702" w:rsidRDefault="00F0677E" w:rsidP="00A02148">
      <w:pPr>
        <w:pBdr>
          <w:top w:val="single" w:sz="4" w:space="1" w:color="auto"/>
          <w:left w:val="single" w:sz="4" w:space="4" w:color="auto"/>
          <w:bottom w:val="single" w:sz="4" w:space="1" w:color="auto"/>
          <w:right w:val="single" w:sz="4" w:space="4" w:color="auto"/>
        </w:pBdr>
        <w:ind w:left="360" w:hanging="360"/>
        <w:rPr>
          <w:color w:val="auto"/>
          <w:sz w:val="22"/>
          <w:szCs w:val="22"/>
        </w:rPr>
      </w:pPr>
      <w:r w:rsidRPr="00076702">
        <w:rPr>
          <w:color w:val="auto"/>
          <w:sz w:val="22"/>
          <w:szCs w:val="22"/>
        </w:rPr>
        <w:fldChar w:fldCharType="begin"/>
      </w:r>
      <w:r w:rsidRPr="00076702">
        <w:rPr>
          <w:color w:val="auto"/>
          <w:sz w:val="22"/>
          <w:szCs w:val="22"/>
        </w:rPr>
        <w:instrText>SYMBOL 183 \f "Symbol" \s 10 \h</w:instrText>
      </w:r>
      <w:r w:rsidRPr="00076702">
        <w:rPr>
          <w:color w:val="auto"/>
          <w:sz w:val="22"/>
          <w:szCs w:val="22"/>
        </w:rPr>
        <w:fldChar w:fldCharType="end"/>
      </w:r>
      <w:r w:rsidRPr="00076702">
        <w:rPr>
          <w:color w:val="auto"/>
          <w:sz w:val="22"/>
          <w:szCs w:val="22"/>
        </w:rPr>
        <w:tab/>
        <w:t>Να μην κρατάτε φάρμακα που δεν τα χρειάζεστε πλέον ή που ήδη έχουν λήξει.</w:t>
      </w:r>
    </w:p>
    <w:p w:rsidR="00F0677E" w:rsidRPr="00076702" w:rsidRDefault="00F0677E" w:rsidP="00A02148">
      <w:pPr>
        <w:pBdr>
          <w:top w:val="single" w:sz="4" w:space="1" w:color="auto"/>
          <w:left w:val="single" w:sz="4" w:space="4" w:color="auto"/>
          <w:bottom w:val="single" w:sz="4" w:space="1" w:color="auto"/>
          <w:right w:val="single" w:sz="4" w:space="4" w:color="auto"/>
        </w:pBdr>
        <w:ind w:left="360" w:hanging="360"/>
        <w:rPr>
          <w:color w:val="auto"/>
          <w:sz w:val="22"/>
          <w:szCs w:val="22"/>
        </w:rPr>
      </w:pPr>
      <w:r w:rsidRPr="00076702">
        <w:rPr>
          <w:color w:val="auto"/>
          <w:sz w:val="22"/>
          <w:szCs w:val="22"/>
        </w:rPr>
        <w:fldChar w:fldCharType="begin"/>
      </w:r>
      <w:r w:rsidRPr="00076702">
        <w:rPr>
          <w:color w:val="auto"/>
          <w:sz w:val="22"/>
          <w:szCs w:val="22"/>
        </w:rPr>
        <w:instrText>SYMBOL 183 \f "Symbol" \s 10 \h</w:instrText>
      </w:r>
      <w:r w:rsidRPr="00076702">
        <w:rPr>
          <w:color w:val="auto"/>
          <w:sz w:val="22"/>
          <w:szCs w:val="22"/>
        </w:rPr>
        <w:fldChar w:fldCharType="end"/>
      </w:r>
      <w:r w:rsidRPr="00076702">
        <w:rPr>
          <w:color w:val="auto"/>
          <w:sz w:val="22"/>
          <w:szCs w:val="22"/>
        </w:rPr>
        <w:tab/>
        <w:t>Για μεγαλύτερη ασφάλεια κρατάτε όλα τα φάρμακα σε ασφαλές μέρος μακριά από τα παιδιά.</w:t>
      </w:r>
    </w:p>
    <w:p w:rsidR="00F0677E" w:rsidRPr="00076702" w:rsidRDefault="00F0677E" w:rsidP="00A02148">
      <w:pPr>
        <w:pBdr>
          <w:top w:val="single" w:sz="4" w:space="1" w:color="auto"/>
          <w:left w:val="single" w:sz="4" w:space="4" w:color="auto"/>
          <w:bottom w:val="single" w:sz="4" w:space="1" w:color="auto"/>
          <w:right w:val="single" w:sz="4" w:space="4" w:color="auto"/>
        </w:pBdr>
        <w:ind w:left="360" w:hanging="360"/>
        <w:rPr>
          <w:color w:val="auto"/>
          <w:sz w:val="22"/>
          <w:szCs w:val="22"/>
        </w:rPr>
      </w:pPr>
    </w:p>
    <w:p w:rsidR="00F0677E" w:rsidRPr="00076702" w:rsidRDefault="00F0677E" w:rsidP="00F0677E">
      <w:pPr>
        <w:rPr>
          <w:color w:val="auto"/>
          <w:sz w:val="22"/>
          <w:szCs w:val="22"/>
        </w:rPr>
      </w:pPr>
    </w:p>
    <w:p w:rsidR="00F0677E" w:rsidRPr="00076702" w:rsidRDefault="00F0677E" w:rsidP="00F0677E">
      <w:pPr>
        <w:rPr>
          <w:color w:val="auto"/>
          <w:sz w:val="22"/>
          <w:szCs w:val="22"/>
        </w:rPr>
      </w:pPr>
    </w:p>
    <w:p w:rsidR="00F0677E" w:rsidRPr="00076702" w:rsidRDefault="00F0677E" w:rsidP="00F0677E">
      <w:pPr>
        <w:pBdr>
          <w:top w:val="single" w:sz="4" w:space="1" w:color="auto"/>
          <w:left w:val="single" w:sz="4" w:space="4" w:color="auto"/>
          <w:bottom w:val="single" w:sz="4" w:space="1" w:color="auto"/>
          <w:right w:val="single" w:sz="4" w:space="4" w:color="auto"/>
        </w:pBdr>
        <w:rPr>
          <w:b/>
          <w:color w:val="auto"/>
          <w:sz w:val="22"/>
          <w:szCs w:val="22"/>
        </w:rPr>
      </w:pPr>
    </w:p>
    <w:p w:rsidR="00F0677E" w:rsidRPr="00076702" w:rsidRDefault="00F0677E" w:rsidP="00F0677E">
      <w:pPr>
        <w:pBdr>
          <w:top w:val="single" w:sz="4" w:space="1" w:color="auto"/>
          <w:left w:val="single" w:sz="4" w:space="4" w:color="auto"/>
          <w:bottom w:val="single" w:sz="4" w:space="1" w:color="auto"/>
          <w:right w:val="single" w:sz="4" w:space="4" w:color="auto"/>
        </w:pBdr>
        <w:jc w:val="center"/>
        <w:rPr>
          <w:b/>
          <w:color w:val="auto"/>
          <w:sz w:val="22"/>
          <w:szCs w:val="22"/>
        </w:rPr>
      </w:pPr>
      <w:r w:rsidRPr="00076702">
        <w:rPr>
          <w:b/>
          <w:color w:val="auto"/>
          <w:sz w:val="22"/>
          <w:szCs w:val="22"/>
        </w:rPr>
        <w:t>4. ΤΡΟΠΟΣ ΔΙΑΘΕΣΗΣ</w:t>
      </w:r>
    </w:p>
    <w:p w:rsidR="00F0677E" w:rsidRPr="00076702" w:rsidRDefault="00F0677E" w:rsidP="00F0677E">
      <w:pPr>
        <w:pBdr>
          <w:top w:val="single" w:sz="4" w:space="1" w:color="auto"/>
          <w:left w:val="single" w:sz="4" w:space="4" w:color="auto"/>
          <w:bottom w:val="single" w:sz="4" w:space="1" w:color="auto"/>
          <w:right w:val="single" w:sz="4" w:space="4" w:color="auto"/>
        </w:pBdr>
        <w:rPr>
          <w:b/>
          <w:color w:val="auto"/>
          <w:sz w:val="22"/>
          <w:szCs w:val="22"/>
        </w:rPr>
      </w:pPr>
    </w:p>
    <w:p w:rsidR="00F0677E" w:rsidRPr="00076702" w:rsidRDefault="00F0677E" w:rsidP="00F0677E">
      <w:pPr>
        <w:rPr>
          <w:color w:val="auto"/>
          <w:sz w:val="22"/>
          <w:szCs w:val="22"/>
        </w:rPr>
      </w:pPr>
    </w:p>
    <w:p w:rsidR="00F0677E" w:rsidRPr="00076702" w:rsidRDefault="00F0677E" w:rsidP="00F0677E">
      <w:pPr>
        <w:rPr>
          <w:color w:val="auto"/>
          <w:sz w:val="22"/>
          <w:szCs w:val="22"/>
        </w:rPr>
      </w:pPr>
      <w:r w:rsidRPr="00076702">
        <w:rPr>
          <w:color w:val="auto"/>
          <w:sz w:val="22"/>
          <w:szCs w:val="22"/>
        </w:rPr>
        <w:lastRenderedPageBreak/>
        <w:t>Το φάρμακο αυτό χορηγείται μόνο με ιατρική συνταγή.</w:t>
      </w:r>
    </w:p>
    <w:p w:rsidR="00484836" w:rsidRPr="00E67811" w:rsidRDefault="00484836" w:rsidP="00F0677E">
      <w:pPr>
        <w:rPr>
          <w:b/>
          <w:color w:val="auto"/>
          <w:sz w:val="22"/>
          <w:szCs w:val="22"/>
        </w:rPr>
      </w:pPr>
    </w:p>
    <w:p w:rsidR="00484836" w:rsidRPr="00E67811" w:rsidRDefault="00484836" w:rsidP="00F0677E">
      <w:pPr>
        <w:rPr>
          <w:b/>
          <w:color w:val="auto"/>
          <w:sz w:val="22"/>
          <w:szCs w:val="22"/>
        </w:rPr>
      </w:pPr>
    </w:p>
    <w:p w:rsidR="00F0677E" w:rsidRPr="00076702" w:rsidRDefault="00F0677E" w:rsidP="00F0677E">
      <w:pPr>
        <w:rPr>
          <w:b/>
          <w:color w:val="auto"/>
          <w:sz w:val="22"/>
          <w:szCs w:val="22"/>
        </w:rPr>
      </w:pPr>
      <w:r w:rsidRPr="00076702">
        <w:rPr>
          <w:b/>
          <w:color w:val="auto"/>
          <w:sz w:val="22"/>
          <w:szCs w:val="22"/>
        </w:rPr>
        <w:t>Τηλέφωνο Κέντρου Δηλητηριάσεων:</w:t>
      </w:r>
      <w:r w:rsidRPr="00076702">
        <w:rPr>
          <w:b/>
          <w:bCs/>
          <w:color w:val="auto"/>
          <w:sz w:val="22"/>
          <w:szCs w:val="22"/>
        </w:rPr>
        <w:t xml:space="preserve"> + 30 210 77 93 777</w:t>
      </w:r>
    </w:p>
    <w:sectPr w:rsidR="00F0677E" w:rsidRPr="00076702" w:rsidSect="00A02148">
      <w:footerReference w:type="even" r:id="rId10"/>
      <w:footerReference w:type="default" r:id="rId11"/>
      <w:footerReference w:type="first" r:id="rId12"/>
      <w:pgSz w:w="11907" w:h="16840" w:code="9"/>
      <w:pgMar w:top="1418" w:right="1230" w:bottom="1418" w:left="123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D5B" w:rsidRDefault="00DA7D5B">
      <w:r>
        <w:separator/>
      </w:r>
    </w:p>
  </w:endnote>
  <w:endnote w:type="continuationSeparator" w:id="0">
    <w:p w:rsidR="00DA7D5B" w:rsidRDefault="00DA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589" w:rsidRDefault="0008758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87589" w:rsidRDefault="0008758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589" w:rsidRPr="00EA4AD8" w:rsidRDefault="00087589">
    <w:pPr>
      <w:pStyle w:val="a7"/>
      <w:framePr w:wrap="around" w:vAnchor="text" w:hAnchor="margin" w:xAlign="right" w:y="1"/>
      <w:rPr>
        <w:rStyle w:val="a8"/>
        <w:color w:val="auto"/>
        <w:sz w:val="18"/>
        <w:szCs w:val="18"/>
      </w:rPr>
    </w:pPr>
    <w:r w:rsidRPr="00EA4AD8">
      <w:rPr>
        <w:rStyle w:val="a8"/>
        <w:color w:val="auto"/>
        <w:sz w:val="18"/>
        <w:szCs w:val="18"/>
      </w:rPr>
      <w:fldChar w:fldCharType="begin"/>
    </w:r>
    <w:r w:rsidRPr="00EA4AD8">
      <w:rPr>
        <w:rStyle w:val="a8"/>
        <w:color w:val="auto"/>
        <w:sz w:val="18"/>
        <w:szCs w:val="18"/>
      </w:rPr>
      <w:instrText xml:space="preserve">PAGE  </w:instrText>
    </w:r>
    <w:r w:rsidRPr="00EA4AD8">
      <w:rPr>
        <w:rStyle w:val="a8"/>
        <w:color w:val="auto"/>
        <w:sz w:val="18"/>
        <w:szCs w:val="18"/>
      </w:rPr>
      <w:fldChar w:fldCharType="separate"/>
    </w:r>
    <w:r w:rsidR="00E67811">
      <w:rPr>
        <w:rStyle w:val="a8"/>
        <w:noProof/>
        <w:color w:val="auto"/>
        <w:sz w:val="18"/>
        <w:szCs w:val="18"/>
      </w:rPr>
      <w:t>10</w:t>
    </w:r>
    <w:r w:rsidRPr="00EA4AD8">
      <w:rPr>
        <w:rStyle w:val="a8"/>
        <w:color w:val="auto"/>
        <w:sz w:val="18"/>
        <w:szCs w:val="18"/>
      </w:rPr>
      <w:fldChar w:fldCharType="end"/>
    </w:r>
  </w:p>
  <w:p w:rsidR="00087589" w:rsidRPr="00E67811" w:rsidRDefault="00087589" w:rsidP="005F2E2D">
    <w:pPr>
      <w:pStyle w:val="a7"/>
      <w:rPr>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589" w:rsidRPr="00EA4AD8" w:rsidRDefault="00087589" w:rsidP="00605BB1">
    <w:pPr>
      <w:pStyle w:val="a7"/>
      <w:rPr>
        <w:color w:val="auto"/>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D5B" w:rsidRDefault="00DA7D5B">
      <w:r>
        <w:separator/>
      </w:r>
    </w:p>
  </w:footnote>
  <w:footnote w:type="continuationSeparator" w:id="0">
    <w:p w:rsidR="00DA7D5B" w:rsidRDefault="00DA7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30726"/>
    <w:multiLevelType w:val="hybridMultilevel"/>
    <w:tmpl w:val="B9101F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7F274CE4"/>
    <w:multiLevelType w:val="hybridMultilevel"/>
    <w:tmpl w:val="3E20BDC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77E"/>
    <w:rsid w:val="00002CE3"/>
    <w:rsid w:val="00003B2B"/>
    <w:rsid w:val="00004DC5"/>
    <w:rsid w:val="00006F9A"/>
    <w:rsid w:val="00011AB6"/>
    <w:rsid w:val="00012C38"/>
    <w:rsid w:val="000150BB"/>
    <w:rsid w:val="000152FD"/>
    <w:rsid w:val="00015F9D"/>
    <w:rsid w:val="00020186"/>
    <w:rsid w:val="0002383C"/>
    <w:rsid w:val="00024653"/>
    <w:rsid w:val="00025430"/>
    <w:rsid w:val="00031CEA"/>
    <w:rsid w:val="00033C8F"/>
    <w:rsid w:val="00033C9E"/>
    <w:rsid w:val="0003496F"/>
    <w:rsid w:val="0004035E"/>
    <w:rsid w:val="000404AF"/>
    <w:rsid w:val="00043003"/>
    <w:rsid w:val="000437B2"/>
    <w:rsid w:val="00045789"/>
    <w:rsid w:val="0004587F"/>
    <w:rsid w:val="00045CD5"/>
    <w:rsid w:val="0004608F"/>
    <w:rsid w:val="0005317B"/>
    <w:rsid w:val="00055C81"/>
    <w:rsid w:val="00061349"/>
    <w:rsid w:val="000658AF"/>
    <w:rsid w:val="00065DF6"/>
    <w:rsid w:val="00066F1F"/>
    <w:rsid w:val="00074764"/>
    <w:rsid w:val="0007554E"/>
    <w:rsid w:val="00076702"/>
    <w:rsid w:val="00077185"/>
    <w:rsid w:val="000824B7"/>
    <w:rsid w:val="00083439"/>
    <w:rsid w:val="000858CD"/>
    <w:rsid w:val="00087589"/>
    <w:rsid w:val="00090462"/>
    <w:rsid w:val="00093066"/>
    <w:rsid w:val="00093EC8"/>
    <w:rsid w:val="00096B03"/>
    <w:rsid w:val="000A0A73"/>
    <w:rsid w:val="000A3321"/>
    <w:rsid w:val="000A36AE"/>
    <w:rsid w:val="000A3B28"/>
    <w:rsid w:val="000A4A56"/>
    <w:rsid w:val="000A54B0"/>
    <w:rsid w:val="000A5861"/>
    <w:rsid w:val="000A6C92"/>
    <w:rsid w:val="000A7F89"/>
    <w:rsid w:val="000B244C"/>
    <w:rsid w:val="000B2ACE"/>
    <w:rsid w:val="000B59FC"/>
    <w:rsid w:val="000B7650"/>
    <w:rsid w:val="000C10C7"/>
    <w:rsid w:val="000C1D17"/>
    <w:rsid w:val="000C2AAC"/>
    <w:rsid w:val="000C2DDB"/>
    <w:rsid w:val="000C550C"/>
    <w:rsid w:val="000C67FB"/>
    <w:rsid w:val="000D50A1"/>
    <w:rsid w:val="000D5995"/>
    <w:rsid w:val="000D5ADC"/>
    <w:rsid w:val="000D7A06"/>
    <w:rsid w:val="000E0343"/>
    <w:rsid w:val="000E0C33"/>
    <w:rsid w:val="000E1D5C"/>
    <w:rsid w:val="000E357A"/>
    <w:rsid w:val="000E4F23"/>
    <w:rsid w:val="000E5ADC"/>
    <w:rsid w:val="000F1A62"/>
    <w:rsid w:val="000F28BC"/>
    <w:rsid w:val="000F3C4D"/>
    <w:rsid w:val="000F5669"/>
    <w:rsid w:val="00105D68"/>
    <w:rsid w:val="001152EE"/>
    <w:rsid w:val="0011779A"/>
    <w:rsid w:val="001222A7"/>
    <w:rsid w:val="00125495"/>
    <w:rsid w:val="0012594E"/>
    <w:rsid w:val="00127066"/>
    <w:rsid w:val="00130B99"/>
    <w:rsid w:val="00133F4D"/>
    <w:rsid w:val="00135ABB"/>
    <w:rsid w:val="00135CF9"/>
    <w:rsid w:val="00136F86"/>
    <w:rsid w:val="00137E50"/>
    <w:rsid w:val="00142AAF"/>
    <w:rsid w:val="00143CF4"/>
    <w:rsid w:val="00144FA4"/>
    <w:rsid w:val="0014593E"/>
    <w:rsid w:val="0014758E"/>
    <w:rsid w:val="00147AAA"/>
    <w:rsid w:val="00150B2B"/>
    <w:rsid w:val="00155167"/>
    <w:rsid w:val="0016195E"/>
    <w:rsid w:val="001652CF"/>
    <w:rsid w:val="0016627B"/>
    <w:rsid w:val="00173664"/>
    <w:rsid w:val="001736AE"/>
    <w:rsid w:val="00175669"/>
    <w:rsid w:val="0017582F"/>
    <w:rsid w:val="00180AD4"/>
    <w:rsid w:val="0018641A"/>
    <w:rsid w:val="00186C1D"/>
    <w:rsid w:val="001872DA"/>
    <w:rsid w:val="0018747C"/>
    <w:rsid w:val="001905C5"/>
    <w:rsid w:val="00193E16"/>
    <w:rsid w:val="001A0F24"/>
    <w:rsid w:val="001A37BA"/>
    <w:rsid w:val="001A37C3"/>
    <w:rsid w:val="001A423E"/>
    <w:rsid w:val="001A7B98"/>
    <w:rsid w:val="001B1B48"/>
    <w:rsid w:val="001B3342"/>
    <w:rsid w:val="001B3E0A"/>
    <w:rsid w:val="001B4173"/>
    <w:rsid w:val="001B7A77"/>
    <w:rsid w:val="001C2610"/>
    <w:rsid w:val="001C3594"/>
    <w:rsid w:val="001D15B7"/>
    <w:rsid w:val="001D1CDF"/>
    <w:rsid w:val="001D4B59"/>
    <w:rsid w:val="001D7BE9"/>
    <w:rsid w:val="001E4ACC"/>
    <w:rsid w:val="001E58D6"/>
    <w:rsid w:val="001E7C2A"/>
    <w:rsid w:val="001F2658"/>
    <w:rsid w:val="001F7917"/>
    <w:rsid w:val="00200D68"/>
    <w:rsid w:val="002015C6"/>
    <w:rsid w:val="00201843"/>
    <w:rsid w:val="00201C6D"/>
    <w:rsid w:val="00203671"/>
    <w:rsid w:val="00203DBC"/>
    <w:rsid w:val="0020770E"/>
    <w:rsid w:val="00207FC5"/>
    <w:rsid w:val="00212CC4"/>
    <w:rsid w:val="00215536"/>
    <w:rsid w:val="00216930"/>
    <w:rsid w:val="00216B8C"/>
    <w:rsid w:val="002216E6"/>
    <w:rsid w:val="00222083"/>
    <w:rsid w:val="00223ECA"/>
    <w:rsid w:val="002258CB"/>
    <w:rsid w:val="00225D7C"/>
    <w:rsid w:val="00227A02"/>
    <w:rsid w:val="00232713"/>
    <w:rsid w:val="002331E0"/>
    <w:rsid w:val="00233640"/>
    <w:rsid w:val="002349FF"/>
    <w:rsid w:val="0023698E"/>
    <w:rsid w:val="002373B6"/>
    <w:rsid w:val="002415CB"/>
    <w:rsid w:val="00246050"/>
    <w:rsid w:val="00246D33"/>
    <w:rsid w:val="00256567"/>
    <w:rsid w:val="00261859"/>
    <w:rsid w:val="00261FD9"/>
    <w:rsid w:val="00263F8F"/>
    <w:rsid w:val="002646DB"/>
    <w:rsid w:val="00264A84"/>
    <w:rsid w:val="00265E2A"/>
    <w:rsid w:val="002664DC"/>
    <w:rsid w:val="0027079A"/>
    <w:rsid w:val="00271FC6"/>
    <w:rsid w:val="002720CE"/>
    <w:rsid w:val="00275A26"/>
    <w:rsid w:val="00277026"/>
    <w:rsid w:val="00286336"/>
    <w:rsid w:val="00296908"/>
    <w:rsid w:val="002A0132"/>
    <w:rsid w:val="002A0CF5"/>
    <w:rsid w:val="002A247D"/>
    <w:rsid w:val="002B0EF4"/>
    <w:rsid w:val="002B2000"/>
    <w:rsid w:val="002C0509"/>
    <w:rsid w:val="002C0F77"/>
    <w:rsid w:val="002C1160"/>
    <w:rsid w:val="002C3074"/>
    <w:rsid w:val="002C3F31"/>
    <w:rsid w:val="002C489B"/>
    <w:rsid w:val="002C6094"/>
    <w:rsid w:val="002D3101"/>
    <w:rsid w:val="002D4AE3"/>
    <w:rsid w:val="002D713B"/>
    <w:rsid w:val="002E1796"/>
    <w:rsid w:val="002E2F3A"/>
    <w:rsid w:val="002E36E1"/>
    <w:rsid w:val="002E3E4F"/>
    <w:rsid w:val="002E68CE"/>
    <w:rsid w:val="002E7040"/>
    <w:rsid w:val="002E779C"/>
    <w:rsid w:val="002F0FE3"/>
    <w:rsid w:val="002F56F7"/>
    <w:rsid w:val="002F5A12"/>
    <w:rsid w:val="002F6129"/>
    <w:rsid w:val="002F6F9B"/>
    <w:rsid w:val="003024B2"/>
    <w:rsid w:val="00302CA0"/>
    <w:rsid w:val="00305A99"/>
    <w:rsid w:val="00310888"/>
    <w:rsid w:val="00311992"/>
    <w:rsid w:val="003147A9"/>
    <w:rsid w:val="00315BF1"/>
    <w:rsid w:val="00320927"/>
    <w:rsid w:val="00321007"/>
    <w:rsid w:val="00325966"/>
    <w:rsid w:val="00326DF0"/>
    <w:rsid w:val="00331031"/>
    <w:rsid w:val="00331C50"/>
    <w:rsid w:val="00340082"/>
    <w:rsid w:val="00340BC2"/>
    <w:rsid w:val="003449C0"/>
    <w:rsid w:val="00344F90"/>
    <w:rsid w:val="003458FC"/>
    <w:rsid w:val="00346578"/>
    <w:rsid w:val="00352037"/>
    <w:rsid w:val="00352F2E"/>
    <w:rsid w:val="00353250"/>
    <w:rsid w:val="0035340E"/>
    <w:rsid w:val="00356696"/>
    <w:rsid w:val="0036121D"/>
    <w:rsid w:val="003645A0"/>
    <w:rsid w:val="0037302F"/>
    <w:rsid w:val="00376339"/>
    <w:rsid w:val="0037647E"/>
    <w:rsid w:val="0037690C"/>
    <w:rsid w:val="00383AF5"/>
    <w:rsid w:val="00383D66"/>
    <w:rsid w:val="003872EA"/>
    <w:rsid w:val="003915C3"/>
    <w:rsid w:val="00392684"/>
    <w:rsid w:val="0039291E"/>
    <w:rsid w:val="00393551"/>
    <w:rsid w:val="003938D2"/>
    <w:rsid w:val="003950AB"/>
    <w:rsid w:val="00397405"/>
    <w:rsid w:val="003A04AC"/>
    <w:rsid w:val="003A4941"/>
    <w:rsid w:val="003A4E83"/>
    <w:rsid w:val="003A6D32"/>
    <w:rsid w:val="003A742A"/>
    <w:rsid w:val="003B33CE"/>
    <w:rsid w:val="003B50A7"/>
    <w:rsid w:val="003B5A9A"/>
    <w:rsid w:val="003C080A"/>
    <w:rsid w:val="003C598A"/>
    <w:rsid w:val="003C5FD6"/>
    <w:rsid w:val="003C6206"/>
    <w:rsid w:val="003C6CDD"/>
    <w:rsid w:val="003D1171"/>
    <w:rsid w:val="003D30AC"/>
    <w:rsid w:val="003D4163"/>
    <w:rsid w:val="003E03AC"/>
    <w:rsid w:val="003E2F47"/>
    <w:rsid w:val="003E52C7"/>
    <w:rsid w:val="003E6D29"/>
    <w:rsid w:val="003E7AC9"/>
    <w:rsid w:val="003F1763"/>
    <w:rsid w:val="003F32DE"/>
    <w:rsid w:val="003F4581"/>
    <w:rsid w:val="003F597E"/>
    <w:rsid w:val="003F5C3D"/>
    <w:rsid w:val="003F7325"/>
    <w:rsid w:val="0040164A"/>
    <w:rsid w:val="0040354D"/>
    <w:rsid w:val="0040706C"/>
    <w:rsid w:val="00407D7A"/>
    <w:rsid w:val="00410E80"/>
    <w:rsid w:val="00411813"/>
    <w:rsid w:val="00411CAF"/>
    <w:rsid w:val="00411CE1"/>
    <w:rsid w:val="00411D9F"/>
    <w:rsid w:val="004136D8"/>
    <w:rsid w:val="00414259"/>
    <w:rsid w:val="004164D5"/>
    <w:rsid w:val="00416AFC"/>
    <w:rsid w:val="004174A6"/>
    <w:rsid w:val="00417BC0"/>
    <w:rsid w:val="00422339"/>
    <w:rsid w:val="0042369C"/>
    <w:rsid w:val="004244E9"/>
    <w:rsid w:val="0043403C"/>
    <w:rsid w:val="004351C2"/>
    <w:rsid w:val="00435655"/>
    <w:rsid w:val="00436706"/>
    <w:rsid w:val="00443330"/>
    <w:rsid w:val="004442EF"/>
    <w:rsid w:val="00444ABD"/>
    <w:rsid w:val="00445B1A"/>
    <w:rsid w:val="0044652B"/>
    <w:rsid w:val="004466A3"/>
    <w:rsid w:val="0045293C"/>
    <w:rsid w:val="00452AD8"/>
    <w:rsid w:val="004550E5"/>
    <w:rsid w:val="00455144"/>
    <w:rsid w:val="0045583F"/>
    <w:rsid w:val="004560D1"/>
    <w:rsid w:val="00456BC4"/>
    <w:rsid w:val="00460A14"/>
    <w:rsid w:val="004611A9"/>
    <w:rsid w:val="00461379"/>
    <w:rsid w:val="004619F0"/>
    <w:rsid w:val="0046496C"/>
    <w:rsid w:val="0047030D"/>
    <w:rsid w:val="0047085D"/>
    <w:rsid w:val="00471085"/>
    <w:rsid w:val="00473A10"/>
    <w:rsid w:val="00474546"/>
    <w:rsid w:val="00475AE3"/>
    <w:rsid w:val="00476479"/>
    <w:rsid w:val="0048012A"/>
    <w:rsid w:val="00484836"/>
    <w:rsid w:val="00485FF7"/>
    <w:rsid w:val="00491369"/>
    <w:rsid w:val="004944C4"/>
    <w:rsid w:val="00496E63"/>
    <w:rsid w:val="004A021D"/>
    <w:rsid w:val="004A2638"/>
    <w:rsid w:val="004A2E0D"/>
    <w:rsid w:val="004A34D2"/>
    <w:rsid w:val="004A3876"/>
    <w:rsid w:val="004A4DEC"/>
    <w:rsid w:val="004A5355"/>
    <w:rsid w:val="004A6140"/>
    <w:rsid w:val="004A6C03"/>
    <w:rsid w:val="004A72FF"/>
    <w:rsid w:val="004A78E5"/>
    <w:rsid w:val="004B1293"/>
    <w:rsid w:val="004B2063"/>
    <w:rsid w:val="004B3FB7"/>
    <w:rsid w:val="004B44BA"/>
    <w:rsid w:val="004B4702"/>
    <w:rsid w:val="004C0122"/>
    <w:rsid w:val="004C19B1"/>
    <w:rsid w:val="004C3116"/>
    <w:rsid w:val="004C463C"/>
    <w:rsid w:val="004C4DF8"/>
    <w:rsid w:val="004C5396"/>
    <w:rsid w:val="004C77DE"/>
    <w:rsid w:val="004D319F"/>
    <w:rsid w:val="004D52EC"/>
    <w:rsid w:val="004D5A23"/>
    <w:rsid w:val="004D600B"/>
    <w:rsid w:val="004E0B17"/>
    <w:rsid w:val="004E3175"/>
    <w:rsid w:val="004E39F4"/>
    <w:rsid w:val="004E4001"/>
    <w:rsid w:val="004E4439"/>
    <w:rsid w:val="004E472C"/>
    <w:rsid w:val="004E58DE"/>
    <w:rsid w:val="004E5E68"/>
    <w:rsid w:val="004F11F5"/>
    <w:rsid w:val="004F4309"/>
    <w:rsid w:val="005027CF"/>
    <w:rsid w:val="005057BB"/>
    <w:rsid w:val="005075A7"/>
    <w:rsid w:val="00513F54"/>
    <w:rsid w:val="00514D20"/>
    <w:rsid w:val="005155E0"/>
    <w:rsid w:val="00515F72"/>
    <w:rsid w:val="00520C8A"/>
    <w:rsid w:val="00520D82"/>
    <w:rsid w:val="00521284"/>
    <w:rsid w:val="0052162F"/>
    <w:rsid w:val="00522DA9"/>
    <w:rsid w:val="005236EC"/>
    <w:rsid w:val="00526346"/>
    <w:rsid w:val="005268FE"/>
    <w:rsid w:val="00526FAB"/>
    <w:rsid w:val="005279C7"/>
    <w:rsid w:val="00530B86"/>
    <w:rsid w:val="005317ED"/>
    <w:rsid w:val="0053525D"/>
    <w:rsid w:val="005375AB"/>
    <w:rsid w:val="00542041"/>
    <w:rsid w:val="0054216F"/>
    <w:rsid w:val="00543B21"/>
    <w:rsid w:val="00544136"/>
    <w:rsid w:val="00544C48"/>
    <w:rsid w:val="00545131"/>
    <w:rsid w:val="0054699C"/>
    <w:rsid w:val="00550C8A"/>
    <w:rsid w:val="0055530C"/>
    <w:rsid w:val="00556844"/>
    <w:rsid w:val="0056069F"/>
    <w:rsid w:val="0056186B"/>
    <w:rsid w:val="005632F4"/>
    <w:rsid w:val="00564A18"/>
    <w:rsid w:val="00564C0D"/>
    <w:rsid w:val="00565563"/>
    <w:rsid w:val="00567312"/>
    <w:rsid w:val="005678E4"/>
    <w:rsid w:val="00573848"/>
    <w:rsid w:val="00575AC2"/>
    <w:rsid w:val="00583D10"/>
    <w:rsid w:val="00584151"/>
    <w:rsid w:val="0058426F"/>
    <w:rsid w:val="0059382F"/>
    <w:rsid w:val="00593EDD"/>
    <w:rsid w:val="005976E5"/>
    <w:rsid w:val="005A0380"/>
    <w:rsid w:val="005A3484"/>
    <w:rsid w:val="005A4D6D"/>
    <w:rsid w:val="005A58AA"/>
    <w:rsid w:val="005B1AA2"/>
    <w:rsid w:val="005B1D37"/>
    <w:rsid w:val="005B2D60"/>
    <w:rsid w:val="005B3423"/>
    <w:rsid w:val="005B4841"/>
    <w:rsid w:val="005B5899"/>
    <w:rsid w:val="005B6FB3"/>
    <w:rsid w:val="005C0C89"/>
    <w:rsid w:val="005C3B13"/>
    <w:rsid w:val="005C5D4F"/>
    <w:rsid w:val="005C7167"/>
    <w:rsid w:val="005C7A0D"/>
    <w:rsid w:val="005D05AF"/>
    <w:rsid w:val="005D1141"/>
    <w:rsid w:val="005D3A2C"/>
    <w:rsid w:val="005D4A9B"/>
    <w:rsid w:val="005D6C21"/>
    <w:rsid w:val="005E07E5"/>
    <w:rsid w:val="005E552E"/>
    <w:rsid w:val="005E6552"/>
    <w:rsid w:val="005E7EA8"/>
    <w:rsid w:val="005F0CCF"/>
    <w:rsid w:val="005F2738"/>
    <w:rsid w:val="005F2E2D"/>
    <w:rsid w:val="005F41E6"/>
    <w:rsid w:val="005F5089"/>
    <w:rsid w:val="00603885"/>
    <w:rsid w:val="00605BB1"/>
    <w:rsid w:val="00610801"/>
    <w:rsid w:val="00610A88"/>
    <w:rsid w:val="00612086"/>
    <w:rsid w:val="006152DE"/>
    <w:rsid w:val="00616B09"/>
    <w:rsid w:val="006170A9"/>
    <w:rsid w:val="00620E5E"/>
    <w:rsid w:val="006221CE"/>
    <w:rsid w:val="0062632E"/>
    <w:rsid w:val="00626C27"/>
    <w:rsid w:val="00627927"/>
    <w:rsid w:val="00630A95"/>
    <w:rsid w:val="00635342"/>
    <w:rsid w:val="006361A5"/>
    <w:rsid w:val="006402D0"/>
    <w:rsid w:val="00646A27"/>
    <w:rsid w:val="0065537D"/>
    <w:rsid w:val="00656B5E"/>
    <w:rsid w:val="00657B0D"/>
    <w:rsid w:val="006655D0"/>
    <w:rsid w:val="00666235"/>
    <w:rsid w:val="00666997"/>
    <w:rsid w:val="00666C52"/>
    <w:rsid w:val="00666D5A"/>
    <w:rsid w:val="0067459F"/>
    <w:rsid w:val="00676B3F"/>
    <w:rsid w:val="00682384"/>
    <w:rsid w:val="00694E74"/>
    <w:rsid w:val="00697DE8"/>
    <w:rsid w:val="006A0586"/>
    <w:rsid w:val="006A069D"/>
    <w:rsid w:val="006A50A0"/>
    <w:rsid w:val="006A7352"/>
    <w:rsid w:val="006A7D95"/>
    <w:rsid w:val="006B0AB2"/>
    <w:rsid w:val="006B11B2"/>
    <w:rsid w:val="006B3021"/>
    <w:rsid w:val="006B462E"/>
    <w:rsid w:val="006B4AA5"/>
    <w:rsid w:val="006B7ACD"/>
    <w:rsid w:val="006C2E5B"/>
    <w:rsid w:val="006C35BC"/>
    <w:rsid w:val="006C6663"/>
    <w:rsid w:val="006C6792"/>
    <w:rsid w:val="006D10EF"/>
    <w:rsid w:val="006D1EC7"/>
    <w:rsid w:val="006D2267"/>
    <w:rsid w:val="006D2D59"/>
    <w:rsid w:val="006D4A87"/>
    <w:rsid w:val="006D7845"/>
    <w:rsid w:val="006D7E0C"/>
    <w:rsid w:val="006D7F65"/>
    <w:rsid w:val="006E021D"/>
    <w:rsid w:val="006E19EF"/>
    <w:rsid w:val="006E2749"/>
    <w:rsid w:val="006E3887"/>
    <w:rsid w:val="006E5EAB"/>
    <w:rsid w:val="006E658F"/>
    <w:rsid w:val="006E79CD"/>
    <w:rsid w:val="006F20AA"/>
    <w:rsid w:val="00700076"/>
    <w:rsid w:val="00701EB3"/>
    <w:rsid w:val="007038B9"/>
    <w:rsid w:val="00704157"/>
    <w:rsid w:val="00714A78"/>
    <w:rsid w:val="00716919"/>
    <w:rsid w:val="0072042E"/>
    <w:rsid w:val="00721225"/>
    <w:rsid w:val="00721BE0"/>
    <w:rsid w:val="00723F3F"/>
    <w:rsid w:val="00724B64"/>
    <w:rsid w:val="00726733"/>
    <w:rsid w:val="007302BC"/>
    <w:rsid w:val="00741155"/>
    <w:rsid w:val="007423B4"/>
    <w:rsid w:val="00744987"/>
    <w:rsid w:val="0074508D"/>
    <w:rsid w:val="00746835"/>
    <w:rsid w:val="00750F0B"/>
    <w:rsid w:val="00751517"/>
    <w:rsid w:val="007534D0"/>
    <w:rsid w:val="00754065"/>
    <w:rsid w:val="0075434C"/>
    <w:rsid w:val="007565C8"/>
    <w:rsid w:val="007601AF"/>
    <w:rsid w:val="007620CC"/>
    <w:rsid w:val="00764F00"/>
    <w:rsid w:val="00765313"/>
    <w:rsid w:val="00766F5C"/>
    <w:rsid w:val="0077080B"/>
    <w:rsid w:val="00777386"/>
    <w:rsid w:val="007779BD"/>
    <w:rsid w:val="00777ACB"/>
    <w:rsid w:val="00782692"/>
    <w:rsid w:val="00782996"/>
    <w:rsid w:val="00785D45"/>
    <w:rsid w:val="0078698E"/>
    <w:rsid w:val="007874D0"/>
    <w:rsid w:val="00790625"/>
    <w:rsid w:val="00790A07"/>
    <w:rsid w:val="00791D09"/>
    <w:rsid w:val="007A2634"/>
    <w:rsid w:val="007B11A4"/>
    <w:rsid w:val="007B67B9"/>
    <w:rsid w:val="007C0283"/>
    <w:rsid w:val="007C1C52"/>
    <w:rsid w:val="007C2260"/>
    <w:rsid w:val="007C3798"/>
    <w:rsid w:val="007C4F30"/>
    <w:rsid w:val="007D10AA"/>
    <w:rsid w:val="007D356E"/>
    <w:rsid w:val="007D4031"/>
    <w:rsid w:val="007E5EA2"/>
    <w:rsid w:val="007E6714"/>
    <w:rsid w:val="007F13A4"/>
    <w:rsid w:val="007F15B4"/>
    <w:rsid w:val="007F2601"/>
    <w:rsid w:val="007F2678"/>
    <w:rsid w:val="007F26FB"/>
    <w:rsid w:val="007F48E2"/>
    <w:rsid w:val="007F5D3A"/>
    <w:rsid w:val="00800399"/>
    <w:rsid w:val="00801AA1"/>
    <w:rsid w:val="00803F88"/>
    <w:rsid w:val="0080612F"/>
    <w:rsid w:val="00806623"/>
    <w:rsid w:val="00806FA0"/>
    <w:rsid w:val="008117A3"/>
    <w:rsid w:val="00812B40"/>
    <w:rsid w:val="00813F6A"/>
    <w:rsid w:val="00817683"/>
    <w:rsid w:val="00821C98"/>
    <w:rsid w:val="008345D2"/>
    <w:rsid w:val="00836A31"/>
    <w:rsid w:val="00841AD7"/>
    <w:rsid w:val="008425D8"/>
    <w:rsid w:val="00843A78"/>
    <w:rsid w:val="00846348"/>
    <w:rsid w:val="008501DB"/>
    <w:rsid w:val="00853869"/>
    <w:rsid w:val="008540F3"/>
    <w:rsid w:val="00854770"/>
    <w:rsid w:val="0086073B"/>
    <w:rsid w:val="008612DC"/>
    <w:rsid w:val="00862465"/>
    <w:rsid w:val="00866B4F"/>
    <w:rsid w:val="00867A1C"/>
    <w:rsid w:val="00867A6B"/>
    <w:rsid w:val="00874275"/>
    <w:rsid w:val="00875B65"/>
    <w:rsid w:val="0088305F"/>
    <w:rsid w:val="00883CF3"/>
    <w:rsid w:val="0088411A"/>
    <w:rsid w:val="0088523D"/>
    <w:rsid w:val="00890F8A"/>
    <w:rsid w:val="00893326"/>
    <w:rsid w:val="008949E0"/>
    <w:rsid w:val="0089500E"/>
    <w:rsid w:val="008954CD"/>
    <w:rsid w:val="008A0ADB"/>
    <w:rsid w:val="008A1987"/>
    <w:rsid w:val="008A1B69"/>
    <w:rsid w:val="008A1CC2"/>
    <w:rsid w:val="008A3563"/>
    <w:rsid w:val="008A406C"/>
    <w:rsid w:val="008A4294"/>
    <w:rsid w:val="008A4770"/>
    <w:rsid w:val="008A497B"/>
    <w:rsid w:val="008A522F"/>
    <w:rsid w:val="008A65AF"/>
    <w:rsid w:val="008A7DA3"/>
    <w:rsid w:val="008B1206"/>
    <w:rsid w:val="008B15A6"/>
    <w:rsid w:val="008B2F1B"/>
    <w:rsid w:val="008C0181"/>
    <w:rsid w:val="008C2543"/>
    <w:rsid w:val="008C3758"/>
    <w:rsid w:val="008C59F9"/>
    <w:rsid w:val="008C7872"/>
    <w:rsid w:val="008D2B76"/>
    <w:rsid w:val="008D5D1A"/>
    <w:rsid w:val="008D6886"/>
    <w:rsid w:val="008E0292"/>
    <w:rsid w:val="008E3E9D"/>
    <w:rsid w:val="008E5157"/>
    <w:rsid w:val="008E6F44"/>
    <w:rsid w:val="008F225F"/>
    <w:rsid w:val="008F5C85"/>
    <w:rsid w:val="008F68F9"/>
    <w:rsid w:val="0090115B"/>
    <w:rsid w:val="009018F1"/>
    <w:rsid w:val="00905798"/>
    <w:rsid w:val="00905A73"/>
    <w:rsid w:val="00914478"/>
    <w:rsid w:val="009157F1"/>
    <w:rsid w:val="00917980"/>
    <w:rsid w:val="009203E3"/>
    <w:rsid w:val="009223E3"/>
    <w:rsid w:val="009261DA"/>
    <w:rsid w:val="0093074B"/>
    <w:rsid w:val="009315FD"/>
    <w:rsid w:val="00942648"/>
    <w:rsid w:val="0094342C"/>
    <w:rsid w:val="00945E74"/>
    <w:rsid w:val="00946AB4"/>
    <w:rsid w:val="00947007"/>
    <w:rsid w:val="0094789E"/>
    <w:rsid w:val="009502D8"/>
    <w:rsid w:val="00950C0E"/>
    <w:rsid w:val="009519FE"/>
    <w:rsid w:val="00954C94"/>
    <w:rsid w:val="0095741C"/>
    <w:rsid w:val="00960DF3"/>
    <w:rsid w:val="00961366"/>
    <w:rsid w:val="00966389"/>
    <w:rsid w:val="0096748E"/>
    <w:rsid w:val="00967D29"/>
    <w:rsid w:val="00970559"/>
    <w:rsid w:val="00974186"/>
    <w:rsid w:val="00976D4A"/>
    <w:rsid w:val="00980F46"/>
    <w:rsid w:val="009813E2"/>
    <w:rsid w:val="0098341F"/>
    <w:rsid w:val="00983579"/>
    <w:rsid w:val="0098419B"/>
    <w:rsid w:val="00986330"/>
    <w:rsid w:val="009914A9"/>
    <w:rsid w:val="009943BD"/>
    <w:rsid w:val="00994B26"/>
    <w:rsid w:val="009952F2"/>
    <w:rsid w:val="009A1176"/>
    <w:rsid w:val="009A7764"/>
    <w:rsid w:val="009B3B6A"/>
    <w:rsid w:val="009B4379"/>
    <w:rsid w:val="009B6A58"/>
    <w:rsid w:val="009C2D3D"/>
    <w:rsid w:val="009C2E63"/>
    <w:rsid w:val="009C4DAA"/>
    <w:rsid w:val="009C62EC"/>
    <w:rsid w:val="009C70A0"/>
    <w:rsid w:val="009D0FD1"/>
    <w:rsid w:val="009D3DC8"/>
    <w:rsid w:val="009D5C5B"/>
    <w:rsid w:val="009D5DA2"/>
    <w:rsid w:val="009D63FE"/>
    <w:rsid w:val="009D6F46"/>
    <w:rsid w:val="009E574B"/>
    <w:rsid w:val="009F050F"/>
    <w:rsid w:val="009F0985"/>
    <w:rsid w:val="009F0D91"/>
    <w:rsid w:val="009F43E2"/>
    <w:rsid w:val="009F48A6"/>
    <w:rsid w:val="009F54F3"/>
    <w:rsid w:val="009F7998"/>
    <w:rsid w:val="00A0010A"/>
    <w:rsid w:val="00A02148"/>
    <w:rsid w:val="00A02977"/>
    <w:rsid w:val="00A10200"/>
    <w:rsid w:val="00A13A29"/>
    <w:rsid w:val="00A13CB0"/>
    <w:rsid w:val="00A15E8E"/>
    <w:rsid w:val="00A20043"/>
    <w:rsid w:val="00A237B6"/>
    <w:rsid w:val="00A25041"/>
    <w:rsid w:val="00A27081"/>
    <w:rsid w:val="00A3007F"/>
    <w:rsid w:val="00A31A7F"/>
    <w:rsid w:val="00A325F8"/>
    <w:rsid w:val="00A33419"/>
    <w:rsid w:val="00A406A3"/>
    <w:rsid w:val="00A41D50"/>
    <w:rsid w:val="00A421F0"/>
    <w:rsid w:val="00A42653"/>
    <w:rsid w:val="00A4328D"/>
    <w:rsid w:val="00A4477C"/>
    <w:rsid w:val="00A44E17"/>
    <w:rsid w:val="00A464F2"/>
    <w:rsid w:val="00A47459"/>
    <w:rsid w:val="00A562A1"/>
    <w:rsid w:val="00A57949"/>
    <w:rsid w:val="00A57D24"/>
    <w:rsid w:val="00A6001E"/>
    <w:rsid w:val="00A60669"/>
    <w:rsid w:val="00A6364C"/>
    <w:rsid w:val="00A66C59"/>
    <w:rsid w:val="00A71B9F"/>
    <w:rsid w:val="00A731B5"/>
    <w:rsid w:val="00A7408C"/>
    <w:rsid w:val="00A77102"/>
    <w:rsid w:val="00A802EE"/>
    <w:rsid w:val="00A82C7A"/>
    <w:rsid w:val="00A82E2C"/>
    <w:rsid w:val="00A92050"/>
    <w:rsid w:val="00A92D02"/>
    <w:rsid w:val="00A93384"/>
    <w:rsid w:val="00A94A70"/>
    <w:rsid w:val="00A971DD"/>
    <w:rsid w:val="00AA0294"/>
    <w:rsid w:val="00AA0D95"/>
    <w:rsid w:val="00AA24CA"/>
    <w:rsid w:val="00AA3CF2"/>
    <w:rsid w:val="00AA480E"/>
    <w:rsid w:val="00AA6A2C"/>
    <w:rsid w:val="00AA7685"/>
    <w:rsid w:val="00AB0A3D"/>
    <w:rsid w:val="00AB516A"/>
    <w:rsid w:val="00AB60B9"/>
    <w:rsid w:val="00AB6369"/>
    <w:rsid w:val="00AC13D8"/>
    <w:rsid w:val="00AC20DF"/>
    <w:rsid w:val="00AC335B"/>
    <w:rsid w:val="00AC4106"/>
    <w:rsid w:val="00AC55DF"/>
    <w:rsid w:val="00AC686B"/>
    <w:rsid w:val="00AC79F4"/>
    <w:rsid w:val="00AD2D00"/>
    <w:rsid w:val="00AD4546"/>
    <w:rsid w:val="00AD5351"/>
    <w:rsid w:val="00AE092C"/>
    <w:rsid w:val="00AE1F06"/>
    <w:rsid w:val="00AE25DC"/>
    <w:rsid w:val="00AE3B5C"/>
    <w:rsid w:val="00AE626C"/>
    <w:rsid w:val="00AE69C8"/>
    <w:rsid w:val="00AF0343"/>
    <w:rsid w:val="00AF0A1A"/>
    <w:rsid w:val="00AF0A28"/>
    <w:rsid w:val="00AF23C5"/>
    <w:rsid w:val="00AF2B03"/>
    <w:rsid w:val="00B022E6"/>
    <w:rsid w:val="00B07088"/>
    <w:rsid w:val="00B07106"/>
    <w:rsid w:val="00B07B15"/>
    <w:rsid w:val="00B20159"/>
    <w:rsid w:val="00B2259F"/>
    <w:rsid w:val="00B23172"/>
    <w:rsid w:val="00B2394B"/>
    <w:rsid w:val="00B23A1B"/>
    <w:rsid w:val="00B25FC2"/>
    <w:rsid w:val="00B314EC"/>
    <w:rsid w:val="00B31F41"/>
    <w:rsid w:val="00B327D9"/>
    <w:rsid w:val="00B33E14"/>
    <w:rsid w:val="00B35600"/>
    <w:rsid w:val="00B3572A"/>
    <w:rsid w:val="00B368C3"/>
    <w:rsid w:val="00B36A8B"/>
    <w:rsid w:val="00B408FD"/>
    <w:rsid w:val="00B41626"/>
    <w:rsid w:val="00B41EED"/>
    <w:rsid w:val="00B45C95"/>
    <w:rsid w:val="00B466F3"/>
    <w:rsid w:val="00B46C2D"/>
    <w:rsid w:val="00B50055"/>
    <w:rsid w:val="00B50C67"/>
    <w:rsid w:val="00B536AC"/>
    <w:rsid w:val="00B57EC0"/>
    <w:rsid w:val="00B60631"/>
    <w:rsid w:val="00B649E1"/>
    <w:rsid w:val="00B64E48"/>
    <w:rsid w:val="00B65E80"/>
    <w:rsid w:val="00B67E37"/>
    <w:rsid w:val="00B70EC4"/>
    <w:rsid w:val="00B73861"/>
    <w:rsid w:val="00B73BEC"/>
    <w:rsid w:val="00B81D12"/>
    <w:rsid w:val="00B833E7"/>
    <w:rsid w:val="00B83BB5"/>
    <w:rsid w:val="00B84A9B"/>
    <w:rsid w:val="00B87789"/>
    <w:rsid w:val="00B906CB"/>
    <w:rsid w:val="00B9216F"/>
    <w:rsid w:val="00B947D5"/>
    <w:rsid w:val="00BA03FB"/>
    <w:rsid w:val="00BB3843"/>
    <w:rsid w:val="00BB3922"/>
    <w:rsid w:val="00BB68FC"/>
    <w:rsid w:val="00BC0045"/>
    <w:rsid w:val="00BC0258"/>
    <w:rsid w:val="00BC124D"/>
    <w:rsid w:val="00BC22A9"/>
    <w:rsid w:val="00BC6837"/>
    <w:rsid w:val="00BD125D"/>
    <w:rsid w:val="00BD366E"/>
    <w:rsid w:val="00BD4579"/>
    <w:rsid w:val="00BD7CDE"/>
    <w:rsid w:val="00BE2A17"/>
    <w:rsid w:val="00BE5695"/>
    <w:rsid w:val="00BE6B8F"/>
    <w:rsid w:val="00BF0A3F"/>
    <w:rsid w:val="00BF0A7D"/>
    <w:rsid w:val="00BF0CC7"/>
    <w:rsid w:val="00BF6BF6"/>
    <w:rsid w:val="00C03F39"/>
    <w:rsid w:val="00C06F22"/>
    <w:rsid w:val="00C1279A"/>
    <w:rsid w:val="00C1374F"/>
    <w:rsid w:val="00C13838"/>
    <w:rsid w:val="00C13D1B"/>
    <w:rsid w:val="00C15F57"/>
    <w:rsid w:val="00C16564"/>
    <w:rsid w:val="00C229F0"/>
    <w:rsid w:val="00C23935"/>
    <w:rsid w:val="00C25EEB"/>
    <w:rsid w:val="00C2719A"/>
    <w:rsid w:val="00C300B7"/>
    <w:rsid w:val="00C30124"/>
    <w:rsid w:val="00C32822"/>
    <w:rsid w:val="00C345E5"/>
    <w:rsid w:val="00C35A87"/>
    <w:rsid w:val="00C40671"/>
    <w:rsid w:val="00C40AFF"/>
    <w:rsid w:val="00C4120A"/>
    <w:rsid w:val="00C46FA5"/>
    <w:rsid w:val="00C477D2"/>
    <w:rsid w:val="00C53DBD"/>
    <w:rsid w:val="00C54633"/>
    <w:rsid w:val="00C56CCF"/>
    <w:rsid w:val="00C61E88"/>
    <w:rsid w:val="00C625C2"/>
    <w:rsid w:val="00C6342D"/>
    <w:rsid w:val="00C64209"/>
    <w:rsid w:val="00C6764E"/>
    <w:rsid w:val="00C67901"/>
    <w:rsid w:val="00C67C5D"/>
    <w:rsid w:val="00C74D0A"/>
    <w:rsid w:val="00C755FA"/>
    <w:rsid w:val="00C76E43"/>
    <w:rsid w:val="00C77A50"/>
    <w:rsid w:val="00C80394"/>
    <w:rsid w:val="00C80E9B"/>
    <w:rsid w:val="00C81090"/>
    <w:rsid w:val="00C8397B"/>
    <w:rsid w:val="00C84254"/>
    <w:rsid w:val="00C84839"/>
    <w:rsid w:val="00C85D9F"/>
    <w:rsid w:val="00C862AE"/>
    <w:rsid w:val="00C923FC"/>
    <w:rsid w:val="00CA1486"/>
    <w:rsid w:val="00CA439F"/>
    <w:rsid w:val="00CA57C3"/>
    <w:rsid w:val="00CA5F1C"/>
    <w:rsid w:val="00CA63C8"/>
    <w:rsid w:val="00CA69F6"/>
    <w:rsid w:val="00CB281B"/>
    <w:rsid w:val="00CB48D6"/>
    <w:rsid w:val="00CB7B99"/>
    <w:rsid w:val="00CC0E7B"/>
    <w:rsid w:val="00CC2BF7"/>
    <w:rsid w:val="00CC64FE"/>
    <w:rsid w:val="00CC69CF"/>
    <w:rsid w:val="00CC72E4"/>
    <w:rsid w:val="00CD1D46"/>
    <w:rsid w:val="00CD48F2"/>
    <w:rsid w:val="00CD5310"/>
    <w:rsid w:val="00CD5398"/>
    <w:rsid w:val="00CD5976"/>
    <w:rsid w:val="00CD6CCC"/>
    <w:rsid w:val="00CE35B2"/>
    <w:rsid w:val="00CE47CB"/>
    <w:rsid w:val="00CE60B9"/>
    <w:rsid w:val="00CE6816"/>
    <w:rsid w:val="00CF0D96"/>
    <w:rsid w:val="00CF6E1D"/>
    <w:rsid w:val="00D04C43"/>
    <w:rsid w:val="00D07091"/>
    <w:rsid w:val="00D10972"/>
    <w:rsid w:val="00D11B07"/>
    <w:rsid w:val="00D12D14"/>
    <w:rsid w:val="00D12DF0"/>
    <w:rsid w:val="00D17B9B"/>
    <w:rsid w:val="00D2260E"/>
    <w:rsid w:val="00D242C7"/>
    <w:rsid w:val="00D248A6"/>
    <w:rsid w:val="00D252B2"/>
    <w:rsid w:val="00D26C63"/>
    <w:rsid w:val="00D274B5"/>
    <w:rsid w:val="00D32CE5"/>
    <w:rsid w:val="00D35CDE"/>
    <w:rsid w:val="00D376D9"/>
    <w:rsid w:val="00D41D8E"/>
    <w:rsid w:val="00D43AAF"/>
    <w:rsid w:val="00D477C1"/>
    <w:rsid w:val="00D516C1"/>
    <w:rsid w:val="00D52AF1"/>
    <w:rsid w:val="00D56409"/>
    <w:rsid w:val="00D5782D"/>
    <w:rsid w:val="00D6076C"/>
    <w:rsid w:val="00D66952"/>
    <w:rsid w:val="00D6789F"/>
    <w:rsid w:val="00D738F5"/>
    <w:rsid w:val="00D74D00"/>
    <w:rsid w:val="00D75763"/>
    <w:rsid w:val="00D80C8B"/>
    <w:rsid w:val="00D81D71"/>
    <w:rsid w:val="00D84242"/>
    <w:rsid w:val="00D852B5"/>
    <w:rsid w:val="00D86458"/>
    <w:rsid w:val="00D87450"/>
    <w:rsid w:val="00D91BA9"/>
    <w:rsid w:val="00D9457E"/>
    <w:rsid w:val="00D951FA"/>
    <w:rsid w:val="00DA33C1"/>
    <w:rsid w:val="00DA474C"/>
    <w:rsid w:val="00DA6DE6"/>
    <w:rsid w:val="00DA7D5B"/>
    <w:rsid w:val="00DB0028"/>
    <w:rsid w:val="00DB10C2"/>
    <w:rsid w:val="00DB2D74"/>
    <w:rsid w:val="00DB2FF8"/>
    <w:rsid w:val="00DB4BA6"/>
    <w:rsid w:val="00DB59C2"/>
    <w:rsid w:val="00DC3BE0"/>
    <w:rsid w:val="00DD139C"/>
    <w:rsid w:val="00DD24FE"/>
    <w:rsid w:val="00DD27BA"/>
    <w:rsid w:val="00DE2421"/>
    <w:rsid w:val="00DE2AB4"/>
    <w:rsid w:val="00DE2BEE"/>
    <w:rsid w:val="00DE42B0"/>
    <w:rsid w:val="00DE613F"/>
    <w:rsid w:val="00DE7DE2"/>
    <w:rsid w:val="00DF15D9"/>
    <w:rsid w:val="00DF1FC2"/>
    <w:rsid w:val="00DF3A12"/>
    <w:rsid w:val="00DF483A"/>
    <w:rsid w:val="00DF548B"/>
    <w:rsid w:val="00E006F4"/>
    <w:rsid w:val="00E00869"/>
    <w:rsid w:val="00E034DE"/>
    <w:rsid w:val="00E11B2D"/>
    <w:rsid w:val="00E1323D"/>
    <w:rsid w:val="00E14AC7"/>
    <w:rsid w:val="00E1771B"/>
    <w:rsid w:val="00E207CC"/>
    <w:rsid w:val="00E21FFC"/>
    <w:rsid w:val="00E230DF"/>
    <w:rsid w:val="00E23796"/>
    <w:rsid w:val="00E24BCE"/>
    <w:rsid w:val="00E25D28"/>
    <w:rsid w:val="00E27911"/>
    <w:rsid w:val="00E37293"/>
    <w:rsid w:val="00E37C02"/>
    <w:rsid w:val="00E4099A"/>
    <w:rsid w:val="00E43798"/>
    <w:rsid w:val="00E44AF5"/>
    <w:rsid w:val="00E45B52"/>
    <w:rsid w:val="00E46414"/>
    <w:rsid w:val="00E468F7"/>
    <w:rsid w:val="00E50EF6"/>
    <w:rsid w:val="00E512B5"/>
    <w:rsid w:val="00E516E0"/>
    <w:rsid w:val="00E53F78"/>
    <w:rsid w:val="00E56511"/>
    <w:rsid w:val="00E57829"/>
    <w:rsid w:val="00E62D89"/>
    <w:rsid w:val="00E66736"/>
    <w:rsid w:val="00E67811"/>
    <w:rsid w:val="00E707C5"/>
    <w:rsid w:val="00E7247D"/>
    <w:rsid w:val="00E74B7E"/>
    <w:rsid w:val="00E753A5"/>
    <w:rsid w:val="00E777AD"/>
    <w:rsid w:val="00E80C95"/>
    <w:rsid w:val="00E8142C"/>
    <w:rsid w:val="00E81CB5"/>
    <w:rsid w:val="00E82413"/>
    <w:rsid w:val="00E85F80"/>
    <w:rsid w:val="00E91040"/>
    <w:rsid w:val="00E91DE8"/>
    <w:rsid w:val="00E955D5"/>
    <w:rsid w:val="00E97D84"/>
    <w:rsid w:val="00EA14B5"/>
    <w:rsid w:val="00EB290B"/>
    <w:rsid w:val="00EB3179"/>
    <w:rsid w:val="00EB4618"/>
    <w:rsid w:val="00EB4AF4"/>
    <w:rsid w:val="00EB52FA"/>
    <w:rsid w:val="00EC16A7"/>
    <w:rsid w:val="00EC69F1"/>
    <w:rsid w:val="00EC6E93"/>
    <w:rsid w:val="00ED193B"/>
    <w:rsid w:val="00ED3CB9"/>
    <w:rsid w:val="00ED47F5"/>
    <w:rsid w:val="00ED5987"/>
    <w:rsid w:val="00EE1116"/>
    <w:rsid w:val="00EE151A"/>
    <w:rsid w:val="00EE2AF5"/>
    <w:rsid w:val="00EE5581"/>
    <w:rsid w:val="00EF2E9A"/>
    <w:rsid w:val="00EF370D"/>
    <w:rsid w:val="00EF56E7"/>
    <w:rsid w:val="00EF612B"/>
    <w:rsid w:val="00EF6406"/>
    <w:rsid w:val="00EF712C"/>
    <w:rsid w:val="00F03AA9"/>
    <w:rsid w:val="00F04E08"/>
    <w:rsid w:val="00F0677E"/>
    <w:rsid w:val="00F11A45"/>
    <w:rsid w:val="00F13403"/>
    <w:rsid w:val="00F14466"/>
    <w:rsid w:val="00F14A47"/>
    <w:rsid w:val="00F20C97"/>
    <w:rsid w:val="00F21780"/>
    <w:rsid w:val="00F23101"/>
    <w:rsid w:val="00F2528B"/>
    <w:rsid w:val="00F27175"/>
    <w:rsid w:val="00F36689"/>
    <w:rsid w:val="00F370D4"/>
    <w:rsid w:val="00F40DCA"/>
    <w:rsid w:val="00F4487A"/>
    <w:rsid w:val="00F5790A"/>
    <w:rsid w:val="00F640BE"/>
    <w:rsid w:val="00F67B26"/>
    <w:rsid w:val="00F74476"/>
    <w:rsid w:val="00F77F5E"/>
    <w:rsid w:val="00F806A4"/>
    <w:rsid w:val="00F862C6"/>
    <w:rsid w:val="00F87CFF"/>
    <w:rsid w:val="00F92A6F"/>
    <w:rsid w:val="00F93442"/>
    <w:rsid w:val="00F93C72"/>
    <w:rsid w:val="00F94683"/>
    <w:rsid w:val="00FA4C9A"/>
    <w:rsid w:val="00FA7BBA"/>
    <w:rsid w:val="00FB09D9"/>
    <w:rsid w:val="00FB1FE4"/>
    <w:rsid w:val="00FB24C8"/>
    <w:rsid w:val="00FB6B1C"/>
    <w:rsid w:val="00FC097A"/>
    <w:rsid w:val="00FD5385"/>
    <w:rsid w:val="00FD7926"/>
    <w:rsid w:val="00FD7975"/>
    <w:rsid w:val="00FE3562"/>
    <w:rsid w:val="00FE461C"/>
    <w:rsid w:val="00FE5238"/>
    <w:rsid w:val="00FE6512"/>
    <w:rsid w:val="00FE6868"/>
    <w:rsid w:val="00FE6E9F"/>
    <w:rsid w:val="00FE76F4"/>
    <w:rsid w:val="00FF1976"/>
    <w:rsid w:val="00FF3513"/>
    <w:rsid w:val="00FF49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77E"/>
    <w:rPr>
      <w:color w:val="0000FF"/>
      <w:sz w:val="26"/>
      <w:lang w:eastAsia="en-US"/>
    </w:rPr>
  </w:style>
  <w:style w:type="paragraph" w:styleId="1">
    <w:name w:val="heading 1"/>
    <w:basedOn w:val="a"/>
    <w:next w:val="a"/>
    <w:qFormat/>
    <w:rsid w:val="00F0677E"/>
    <w:pPr>
      <w:keepNext/>
      <w:jc w:val="both"/>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0677E"/>
    <w:pPr>
      <w:numPr>
        <w:ilvl w:val="12"/>
      </w:numPr>
      <w:spacing w:line="360" w:lineRule="auto"/>
      <w:ind w:left="426" w:right="84"/>
      <w:jc w:val="both"/>
    </w:pPr>
    <w:rPr>
      <w:sz w:val="24"/>
    </w:rPr>
  </w:style>
  <w:style w:type="paragraph" w:styleId="a4">
    <w:name w:val="Body Text Indent"/>
    <w:basedOn w:val="a"/>
    <w:rsid w:val="00F0677E"/>
    <w:pPr>
      <w:ind w:left="426"/>
      <w:jc w:val="both"/>
    </w:pPr>
    <w:rPr>
      <w:sz w:val="24"/>
    </w:rPr>
  </w:style>
  <w:style w:type="paragraph" w:styleId="a5">
    <w:name w:val="Body Text"/>
    <w:basedOn w:val="a"/>
    <w:rsid w:val="00F0677E"/>
    <w:pPr>
      <w:spacing w:line="360" w:lineRule="auto"/>
      <w:ind w:right="84"/>
      <w:jc w:val="both"/>
    </w:pPr>
    <w:rPr>
      <w:sz w:val="24"/>
    </w:rPr>
  </w:style>
  <w:style w:type="paragraph" w:styleId="2">
    <w:name w:val="Body Text 2"/>
    <w:basedOn w:val="a"/>
    <w:rsid w:val="00F0677E"/>
    <w:pPr>
      <w:numPr>
        <w:ilvl w:val="12"/>
      </w:numPr>
      <w:ind w:right="84"/>
      <w:jc w:val="both"/>
    </w:pPr>
    <w:rPr>
      <w:iCs/>
      <w:color w:val="auto"/>
      <w:sz w:val="24"/>
    </w:rPr>
  </w:style>
  <w:style w:type="paragraph" w:styleId="a6">
    <w:name w:val="header"/>
    <w:basedOn w:val="a"/>
    <w:rsid w:val="00F0677E"/>
    <w:pPr>
      <w:tabs>
        <w:tab w:val="center" w:pos="4153"/>
        <w:tab w:val="right" w:pos="8306"/>
      </w:tabs>
    </w:pPr>
  </w:style>
  <w:style w:type="paragraph" w:styleId="a7">
    <w:name w:val="footer"/>
    <w:basedOn w:val="a"/>
    <w:rsid w:val="00F0677E"/>
    <w:pPr>
      <w:tabs>
        <w:tab w:val="center" w:pos="4153"/>
        <w:tab w:val="right" w:pos="8306"/>
      </w:tabs>
    </w:pPr>
  </w:style>
  <w:style w:type="character" w:styleId="a8">
    <w:name w:val="page number"/>
    <w:basedOn w:val="a0"/>
    <w:rsid w:val="00F0677E"/>
  </w:style>
  <w:style w:type="paragraph" w:styleId="20">
    <w:name w:val="Body Text Indent 2"/>
    <w:basedOn w:val="a"/>
    <w:rsid w:val="00F0677E"/>
    <w:pPr>
      <w:ind w:left="426"/>
      <w:jc w:val="both"/>
    </w:pPr>
    <w:rPr>
      <w:sz w:val="24"/>
      <w:u w:val="single"/>
    </w:rPr>
  </w:style>
  <w:style w:type="paragraph" w:styleId="a9">
    <w:name w:val="Title"/>
    <w:basedOn w:val="a"/>
    <w:qFormat/>
    <w:rsid w:val="00F0677E"/>
    <w:pPr>
      <w:jc w:val="center"/>
    </w:pPr>
    <w:rPr>
      <w:b/>
      <w:bCs/>
      <w:color w:val="auto"/>
      <w:szCs w:val="24"/>
    </w:rPr>
  </w:style>
  <w:style w:type="paragraph" w:styleId="3">
    <w:name w:val="Body Text Indent 3"/>
    <w:basedOn w:val="a"/>
    <w:rsid w:val="00F0677E"/>
    <w:pPr>
      <w:spacing w:after="120"/>
      <w:ind w:left="283"/>
    </w:pPr>
    <w:rPr>
      <w:sz w:val="16"/>
      <w:szCs w:val="16"/>
    </w:rPr>
  </w:style>
  <w:style w:type="paragraph" w:styleId="30">
    <w:name w:val="Body Text 3"/>
    <w:basedOn w:val="a"/>
    <w:link w:val="3Char"/>
    <w:rsid w:val="00A10200"/>
    <w:pPr>
      <w:spacing w:after="120"/>
    </w:pPr>
    <w:rPr>
      <w:sz w:val="16"/>
      <w:szCs w:val="16"/>
    </w:rPr>
  </w:style>
  <w:style w:type="character" w:customStyle="1" w:styleId="3Char">
    <w:name w:val="Σώμα κείμενου 3 Char"/>
    <w:link w:val="30"/>
    <w:rsid w:val="00A10200"/>
    <w:rPr>
      <w:color w:val="0000FF"/>
      <w:sz w:val="16"/>
      <w:szCs w:val="16"/>
      <w:lang w:eastAsia="en-US"/>
    </w:rPr>
  </w:style>
  <w:style w:type="character" w:styleId="-">
    <w:name w:val="Hyperlink"/>
    <w:uiPriority w:val="99"/>
    <w:unhideWhenUsed/>
    <w:rsid w:val="00A10200"/>
    <w:rPr>
      <w:color w:val="0000FF"/>
      <w:u w:val="single"/>
    </w:rPr>
  </w:style>
  <w:style w:type="paragraph" w:styleId="aa">
    <w:name w:val="Balloon Text"/>
    <w:basedOn w:val="a"/>
    <w:link w:val="Char"/>
    <w:rsid w:val="006402D0"/>
    <w:rPr>
      <w:rFonts w:ascii="Tahoma" w:hAnsi="Tahoma" w:cs="Tahoma"/>
      <w:sz w:val="16"/>
      <w:szCs w:val="16"/>
    </w:rPr>
  </w:style>
  <w:style w:type="character" w:customStyle="1" w:styleId="Char">
    <w:name w:val="Κείμενο πλαισίου Char"/>
    <w:link w:val="aa"/>
    <w:rsid w:val="006402D0"/>
    <w:rPr>
      <w:rFonts w:ascii="Tahoma" w:hAnsi="Tahoma" w:cs="Tahoma"/>
      <w:color w:val="0000F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502946">
      <w:bodyDiv w:val="1"/>
      <w:marLeft w:val="0"/>
      <w:marRight w:val="0"/>
      <w:marTop w:val="0"/>
      <w:marBottom w:val="0"/>
      <w:divBdr>
        <w:top w:val="none" w:sz="0" w:space="0" w:color="auto"/>
        <w:left w:val="none" w:sz="0" w:space="0" w:color="auto"/>
        <w:bottom w:val="none" w:sz="0" w:space="0" w:color="auto"/>
        <w:right w:val="none" w:sz="0" w:space="0" w:color="auto"/>
      </w:divBdr>
    </w:div>
    <w:div w:id="189465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h.gov.cy/phs"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4071</Words>
  <Characters>21987</Characters>
  <Application>Microsoft Office Word</Application>
  <DocSecurity>0</DocSecurity>
  <Lines>183</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ΦΥΛΛΟ ΟΔΗΓΙΩΝ ΧΡΗΣΗΣ</vt:lpstr>
      <vt:lpstr>ΦΥΛΛΟ ΟΔΗΓΙΩΝ ΧΡΗΣΗΣ</vt:lpstr>
    </vt:vector>
  </TitlesOfParts>
  <Company>sanofi-aventis</Company>
  <LinksUpToDate>false</LinksUpToDate>
  <CharactersWithSpaces>26006</CharactersWithSpaces>
  <SharedDoc>false</SharedDoc>
  <HLinks>
    <vt:vector size="12" baseType="variant">
      <vt:variant>
        <vt:i4>1769561</vt:i4>
      </vt:variant>
      <vt:variant>
        <vt:i4>3</vt:i4>
      </vt:variant>
      <vt:variant>
        <vt:i4>0</vt:i4>
      </vt:variant>
      <vt:variant>
        <vt:i4>5</vt:i4>
      </vt:variant>
      <vt:variant>
        <vt:lpwstr>http://www.moh.gov.cy/phs</vt:lpwstr>
      </vt:variant>
      <vt:variant>
        <vt:lpwstr/>
      </vt: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ΧΡΗΣΗΣ</dc:title>
  <dc:creator>GR600069</dc:creator>
  <cp:lastModifiedBy>user152</cp:lastModifiedBy>
  <cp:revision>10</cp:revision>
  <cp:lastPrinted>2013-09-10T08:22:00Z</cp:lastPrinted>
  <dcterms:created xsi:type="dcterms:W3CDTF">2015-03-04T14:56:00Z</dcterms:created>
  <dcterms:modified xsi:type="dcterms:W3CDTF">2015-04-15T07:18:00Z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1264189642</vt:i4>
  </property>
  <property fmtid="{D5CDD505-2E9C-101B-9397-08002B2CF9AE}" pid="3" name="_NewReviewCycle">
    <vt:lpwstr/>
  </property>
  <property fmtid="{D5CDD505-2E9C-101B-9397-08002B2CF9AE}" pid="4" name="_EmailSubject">
    <vt:lpwstr>LASIX &amp; FRUMIL τροποποιήσεις ΠΧΠ/ΦΟΧ</vt:lpwstr>
  </property>
  <property fmtid="{D5CDD505-2E9C-101B-9397-08002B2CF9AE}" pid="5" name="_AuthorEmail">
    <vt:lpwstr>Alexandra.Panoussi@sanofi.com</vt:lpwstr>
  </property>
  <property fmtid="{D5CDD505-2E9C-101B-9397-08002B2CF9AE}" pid="6" name="_AuthorEmailDisplayName">
    <vt:lpwstr>Panoussi, Alexandra PH/GR</vt:lpwstr>
  </property>
  <property fmtid="{D5CDD505-2E9C-101B-9397-08002B2CF9AE}" pid="7" name="_ReviewingToolsShownOnce">
    <vt:lpwstr/>
  </property>
</Properties>
</file>