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809" w:rsidRPr="00F45BD1" w:rsidRDefault="00FA097C" w:rsidP="000D3F2B">
      <w:pPr>
        <w:jc w:val="center"/>
        <w:rPr>
          <w:b/>
          <w:noProof/>
        </w:rPr>
      </w:pPr>
      <w:bookmarkStart w:id="0" w:name="_GoBack"/>
      <w:bookmarkEnd w:id="0"/>
      <w:r w:rsidRPr="00F45BD1">
        <w:rPr>
          <w:b/>
          <w:noProof/>
        </w:rPr>
        <w:t>Φύλλο οδηγιών χρήσης</w:t>
      </w:r>
      <w:r w:rsidR="00496809" w:rsidRPr="00F45BD1">
        <w:rPr>
          <w:b/>
          <w:noProof/>
        </w:rPr>
        <w:t xml:space="preserve">: </w:t>
      </w:r>
      <w:r w:rsidRPr="00F45BD1">
        <w:rPr>
          <w:b/>
          <w:noProof/>
        </w:rPr>
        <w:t>Πληροφορίες για τον ασθενή</w:t>
      </w:r>
    </w:p>
    <w:p w:rsidR="007A0F93" w:rsidRPr="00F45BD1" w:rsidRDefault="007A0F93" w:rsidP="00D45BDD">
      <w:pPr>
        <w:jc w:val="center"/>
        <w:rPr>
          <w:b/>
          <w:szCs w:val="22"/>
        </w:rPr>
      </w:pPr>
    </w:p>
    <w:p w:rsidR="00496809" w:rsidRPr="00F45BD1" w:rsidRDefault="002C0F97" w:rsidP="00D45BDD">
      <w:pPr>
        <w:jc w:val="center"/>
        <w:rPr>
          <w:b/>
          <w:bCs/>
          <w:noProof/>
        </w:rPr>
      </w:pPr>
      <w:proofErr w:type="spellStart"/>
      <w:r w:rsidRPr="00F45BD1">
        <w:rPr>
          <w:b/>
          <w:szCs w:val="22"/>
        </w:rPr>
        <w:t>Normell</w:t>
      </w:r>
      <w:proofErr w:type="spellEnd"/>
      <w:r w:rsidRPr="00F45BD1">
        <w:rPr>
          <w:b/>
          <w:szCs w:val="22"/>
        </w:rPr>
        <w:t xml:space="preserve"> (2,5 + 400) </w:t>
      </w:r>
      <w:proofErr w:type="spellStart"/>
      <w:r w:rsidRPr="00F45BD1">
        <w:rPr>
          <w:b/>
          <w:szCs w:val="22"/>
        </w:rPr>
        <w:t>mg</w:t>
      </w:r>
      <w:proofErr w:type="spellEnd"/>
      <w:r w:rsidRPr="00F45BD1">
        <w:rPr>
          <w:b/>
          <w:szCs w:val="22"/>
        </w:rPr>
        <w:t xml:space="preserve"> επικαλυμμένο δισκίο</w:t>
      </w:r>
      <w:r w:rsidRPr="00F45BD1">
        <w:rPr>
          <w:b/>
          <w:bCs/>
          <w:noProof/>
        </w:rPr>
        <w:t xml:space="preserve"> </w:t>
      </w:r>
    </w:p>
    <w:p w:rsidR="002C0F97" w:rsidRPr="00F45BD1" w:rsidRDefault="002C0F97" w:rsidP="00D45BDD">
      <w:pPr>
        <w:jc w:val="center"/>
        <w:rPr>
          <w:sz w:val="20"/>
        </w:rPr>
      </w:pPr>
      <w:r w:rsidRPr="00F45BD1">
        <w:rPr>
          <w:sz w:val="20"/>
          <w:lang w:val="en-US"/>
        </w:rPr>
        <w:t>Glibenclamide</w:t>
      </w:r>
      <w:r w:rsidRPr="00F45BD1">
        <w:rPr>
          <w:sz w:val="20"/>
        </w:rPr>
        <w:t>+</w:t>
      </w:r>
      <w:r w:rsidRPr="00F45BD1">
        <w:rPr>
          <w:sz w:val="20"/>
          <w:lang w:val="en-US"/>
        </w:rPr>
        <w:t>metformin</w:t>
      </w:r>
      <w:r w:rsidRPr="00F45BD1">
        <w:rPr>
          <w:sz w:val="20"/>
        </w:rPr>
        <w:t xml:space="preserve"> </w:t>
      </w:r>
      <w:r w:rsidRPr="00F45BD1">
        <w:rPr>
          <w:sz w:val="20"/>
          <w:lang w:val="en-US"/>
        </w:rPr>
        <w:t>hydrochloride</w:t>
      </w:r>
    </w:p>
    <w:p w:rsidR="002C0F97" w:rsidRDefault="002C0F97" w:rsidP="00D45BDD">
      <w:pPr>
        <w:rPr>
          <w:noProof/>
        </w:rPr>
      </w:pPr>
    </w:p>
    <w:p w:rsidR="00F45BD1" w:rsidRPr="00F45BD1" w:rsidRDefault="00F45BD1" w:rsidP="00D45BDD">
      <w:pPr>
        <w:rPr>
          <w:noProof/>
        </w:rPr>
      </w:pPr>
    </w:p>
    <w:p w:rsidR="00496809" w:rsidRPr="00F45BD1" w:rsidRDefault="00496809" w:rsidP="00D45BDD">
      <w:pPr>
        <w:rPr>
          <w:noProof/>
        </w:rPr>
      </w:pPr>
      <w:r w:rsidRPr="00F45BD1">
        <w:rPr>
          <w:b/>
          <w:noProof/>
        </w:rPr>
        <w:t xml:space="preserve">Διαβάστε προσεκτικά ολόκληρο το φύλλο οδηγιών χρήσης </w:t>
      </w:r>
      <w:r w:rsidR="00FA097C" w:rsidRPr="00F45BD1">
        <w:rPr>
          <w:b/>
          <w:noProof/>
        </w:rPr>
        <w:t xml:space="preserve">πριν </w:t>
      </w:r>
      <w:r w:rsidRPr="00F45BD1">
        <w:rPr>
          <w:b/>
          <w:noProof/>
        </w:rPr>
        <w:t>αρχίσετε να παίρνετε  αυτό το φάρμακο</w:t>
      </w:r>
      <w:r w:rsidR="00110DE4" w:rsidRPr="00F45BD1">
        <w:rPr>
          <w:b/>
          <w:noProof/>
        </w:rPr>
        <w:t>,</w:t>
      </w:r>
      <w:r w:rsidR="00031D1A" w:rsidRPr="00F45BD1">
        <w:rPr>
          <w:b/>
          <w:noProof/>
        </w:rPr>
        <w:t xml:space="preserve"> </w:t>
      </w:r>
      <w:r w:rsidR="00110DE4" w:rsidRPr="00F45BD1">
        <w:rPr>
          <w:b/>
          <w:noProof/>
        </w:rPr>
        <w:t>διότι περιλαμβάνει σημαντικές πληροφορίες για σας</w:t>
      </w:r>
      <w:r w:rsidRPr="00F45BD1">
        <w:rPr>
          <w:b/>
          <w:noProof/>
        </w:rPr>
        <w:t>.</w:t>
      </w:r>
    </w:p>
    <w:p w:rsidR="00496809" w:rsidRPr="00F45BD1" w:rsidRDefault="00496809" w:rsidP="00D45BDD">
      <w:pPr>
        <w:tabs>
          <w:tab w:val="left" w:pos="567"/>
        </w:tabs>
        <w:ind w:left="567" w:hanging="567"/>
        <w:rPr>
          <w:noProof/>
        </w:rPr>
      </w:pPr>
      <w:r w:rsidRPr="00F45BD1">
        <w:rPr>
          <w:noProof/>
        </w:rPr>
        <w:t>-</w:t>
      </w:r>
      <w:r w:rsidRPr="00F45BD1">
        <w:rPr>
          <w:noProof/>
        </w:rPr>
        <w:tab/>
        <w:t>Φυλάξτε αυτό το φύλλο οδηγιών χρήσης. Ίσως χρειαστεί να το διαβάσετε ξανά.</w:t>
      </w:r>
    </w:p>
    <w:p w:rsidR="00496809" w:rsidRPr="00F45BD1" w:rsidRDefault="00496809" w:rsidP="00D45BDD">
      <w:pPr>
        <w:tabs>
          <w:tab w:val="left" w:pos="567"/>
        </w:tabs>
        <w:ind w:left="567" w:hanging="567"/>
        <w:rPr>
          <w:noProof/>
        </w:rPr>
      </w:pPr>
      <w:r w:rsidRPr="00F45BD1">
        <w:rPr>
          <w:noProof/>
        </w:rPr>
        <w:t>-</w:t>
      </w:r>
      <w:r w:rsidRPr="00F45BD1">
        <w:rPr>
          <w:noProof/>
        </w:rPr>
        <w:tab/>
        <w:t>Εάν έχετε περαιτέρω απορίες, ρωτήστε το</w:t>
      </w:r>
      <w:r w:rsidR="00110DE4" w:rsidRPr="00F45BD1">
        <w:rPr>
          <w:noProof/>
        </w:rPr>
        <w:t>ν</w:t>
      </w:r>
      <w:r w:rsidRPr="00F45BD1">
        <w:rPr>
          <w:noProof/>
        </w:rPr>
        <w:t xml:space="preserve"> γιατρό</w:t>
      </w:r>
      <w:r w:rsidR="002C0F97" w:rsidRPr="00F45BD1">
        <w:rPr>
          <w:noProof/>
        </w:rPr>
        <w:t>,</w:t>
      </w:r>
      <w:r w:rsidR="00110DE4" w:rsidRPr="00F45BD1">
        <w:rPr>
          <w:noProof/>
        </w:rPr>
        <w:t xml:space="preserve"> </w:t>
      </w:r>
      <w:r w:rsidRPr="00F45BD1">
        <w:rPr>
          <w:noProof/>
        </w:rPr>
        <w:t>το</w:t>
      </w:r>
      <w:r w:rsidR="00110DE4" w:rsidRPr="00F45BD1">
        <w:rPr>
          <w:noProof/>
        </w:rPr>
        <w:t>ν</w:t>
      </w:r>
      <w:r w:rsidR="002C0F97" w:rsidRPr="00F45BD1">
        <w:rPr>
          <w:noProof/>
        </w:rPr>
        <w:t xml:space="preserve"> </w:t>
      </w:r>
      <w:r w:rsidRPr="00F45BD1">
        <w:rPr>
          <w:noProof/>
        </w:rPr>
        <w:t xml:space="preserve">φαρμακοποιό </w:t>
      </w:r>
      <w:r w:rsidR="00110DE4" w:rsidRPr="00F45BD1">
        <w:rPr>
          <w:noProof/>
        </w:rPr>
        <w:t xml:space="preserve">ή τον νοσοκόμο </w:t>
      </w:r>
      <w:r w:rsidRPr="00F45BD1">
        <w:rPr>
          <w:noProof/>
        </w:rPr>
        <w:t>σας.</w:t>
      </w:r>
    </w:p>
    <w:p w:rsidR="00496809" w:rsidRPr="00F45BD1" w:rsidRDefault="009A5015" w:rsidP="00D45BDD">
      <w:pPr>
        <w:tabs>
          <w:tab w:val="left" w:pos="567"/>
        </w:tabs>
        <w:ind w:left="567" w:hanging="567"/>
        <w:rPr>
          <w:noProof/>
        </w:rPr>
      </w:pPr>
      <w:r w:rsidRPr="00F45BD1">
        <w:rPr>
          <w:noProof/>
        </w:rPr>
        <w:t>-</w:t>
      </w:r>
      <w:r w:rsidRPr="00F45BD1">
        <w:rPr>
          <w:noProof/>
        </w:rPr>
        <w:tab/>
      </w:r>
      <w:r w:rsidR="00496809" w:rsidRPr="00F45BD1">
        <w:rPr>
          <w:noProof/>
        </w:rPr>
        <w:t>Η συνταγή γι</w:t>
      </w:r>
      <w:r w:rsidR="00110DE4" w:rsidRPr="00F45BD1">
        <w:rPr>
          <w:noProof/>
        </w:rPr>
        <w:t>’</w:t>
      </w:r>
      <w:r w:rsidR="00496809" w:rsidRPr="00F45BD1">
        <w:rPr>
          <w:noProof/>
        </w:rPr>
        <w:t xml:space="preserve"> αυτό το φάρμακο χορηγήθηκε </w:t>
      </w:r>
      <w:r w:rsidR="00110DE4" w:rsidRPr="00F45BD1">
        <w:rPr>
          <w:noProof/>
        </w:rPr>
        <w:t xml:space="preserve">αποκλειστικά </w:t>
      </w:r>
      <w:r w:rsidR="00496809" w:rsidRPr="00F45BD1">
        <w:rPr>
          <w:noProof/>
        </w:rPr>
        <w:t xml:space="preserve">για σας. Δεν πρέπει να δώσετε το φάρμακο σε άλλους. Μπορεί να τους προκαλέσει βλάβη, ακόμα και όταν τα </w:t>
      </w:r>
      <w:r w:rsidR="00902AB8" w:rsidRPr="00F45BD1">
        <w:rPr>
          <w:noProof/>
        </w:rPr>
        <w:t xml:space="preserve">συμπτώματα της ασθένειας </w:t>
      </w:r>
      <w:r w:rsidR="002C0F97" w:rsidRPr="00F45BD1">
        <w:rPr>
          <w:noProof/>
        </w:rPr>
        <w:t>τους είναι ίδια με τα δικά σας.</w:t>
      </w:r>
    </w:p>
    <w:p w:rsidR="00110DE4" w:rsidRPr="00F45BD1" w:rsidRDefault="00496809" w:rsidP="00D45BDD">
      <w:pPr>
        <w:tabs>
          <w:tab w:val="left" w:pos="567"/>
        </w:tabs>
        <w:ind w:left="567" w:hanging="567"/>
        <w:rPr>
          <w:noProof/>
        </w:rPr>
      </w:pPr>
      <w:r w:rsidRPr="00F45BD1">
        <w:rPr>
          <w:noProof/>
        </w:rPr>
        <w:t>-</w:t>
      </w:r>
      <w:r w:rsidRPr="00F45BD1">
        <w:rPr>
          <w:noProof/>
        </w:rPr>
        <w:tab/>
        <w:t>Εάν</w:t>
      </w:r>
      <w:r w:rsidR="00110DE4" w:rsidRPr="00F45BD1">
        <w:rPr>
          <w:noProof/>
        </w:rPr>
        <w:t xml:space="preserve"> παρατηρήσετε</w:t>
      </w:r>
      <w:r w:rsidRPr="00F45BD1">
        <w:rPr>
          <w:noProof/>
        </w:rPr>
        <w:t xml:space="preserve"> κάποια ανεπιθύμητη ενέργεια</w:t>
      </w:r>
      <w:r w:rsidR="00110DE4" w:rsidRPr="00F45BD1">
        <w:rPr>
          <w:noProof/>
        </w:rPr>
        <w:t>,</w:t>
      </w:r>
      <w:r w:rsidRPr="00F45BD1">
        <w:rPr>
          <w:noProof/>
        </w:rPr>
        <w:t>, ενημερώστε το γιατρό</w:t>
      </w:r>
      <w:r w:rsidR="002C0F97" w:rsidRPr="00F45BD1">
        <w:rPr>
          <w:noProof/>
        </w:rPr>
        <w:t>,</w:t>
      </w:r>
      <w:r w:rsidR="00485503" w:rsidRPr="00F45BD1">
        <w:rPr>
          <w:noProof/>
        </w:rPr>
        <w:t xml:space="preserve"> τον</w:t>
      </w:r>
      <w:r w:rsidR="002C0F97" w:rsidRPr="00F45BD1">
        <w:rPr>
          <w:noProof/>
        </w:rPr>
        <w:t xml:space="preserve"> φαρμακοποιό</w:t>
      </w:r>
      <w:r w:rsidR="00485503" w:rsidRPr="00F45BD1">
        <w:rPr>
          <w:noProof/>
        </w:rPr>
        <w:t xml:space="preserve"> ή τον νοσοκόμο </w:t>
      </w:r>
      <w:r w:rsidR="00031D1A" w:rsidRPr="00F45BD1">
        <w:rPr>
          <w:noProof/>
        </w:rPr>
        <w:t xml:space="preserve">σας. </w:t>
      </w:r>
      <w:r w:rsidR="00110DE4" w:rsidRPr="00F45BD1">
        <w:rPr>
          <w:noProof/>
        </w:rPr>
        <w:t>Αυτό ισχύει και για κάθε πιθανή ανεπιθύμητη ενέργεια που δεν αναφέρεται στο παρόν φύλλο οδηγιών</w:t>
      </w:r>
      <w:r w:rsidR="00031D1A" w:rsidRPr="00F45BD1">
        <w:rPr>
          <w:noProof/>
        </w:rPr>
        <w:t xml:space="preserve"> </w:t>
      </w:r>
      <w:r w:rsidR="00110DE4" w:rsidRPr="00F45BD1">
        <w:rPr>
          <w:noProof/>
        </w:rPr>
        <w:t>χρήσης.</w:t>
      </w:r>
      <w:r w:rsidR="00031D1A" w:rsidRPr="00F45BD1">
        <w:rPr>
          <w:noProof/>
          <w:szCs w:val="22"/>
        </w:rPr>
        <w:t xml:space="preserve"> Βλέπε παράγραφο 4</w:t>
      </w:r>
      <w:r w:rsidR="00031D1A" w:rsidRPr="00F45BD1">
        <w:t>.</w:t>
      </w:r>
    </w:p>
    <w:p w:rsidR="00110DE4" w:rsidRPr="00F45BD1" w:rsidRDefault="00110DE4" w:rsidP="00D45BDD">
      <w:pPr>
        <w:tabs>
          <w:tab w:val="left" w:pos="567"/>
        </w:tabs>
        <w:ind w:left="567" w:hanging="567"/>
        <w:rPr>
          <w:noProof/>
        </w:rPr>
      </w:pPr>
    </w:p>
    <w:p w:rsidR="00496809" w:rsidRPr="00F45BD1" w:rsidRDefault="00496809" w:rsidP="00D45BDD">
      <w:pPr>
        <w:rPr>
          <w:noProof/>
        </w:rPr>
      </w:pPr>
    </w:p>
    <w:p w:rsidR="00496809" w:rsidRPr="00F45BD1" w:rsidRDefault="00423B7D" w:rsidP="00D45BDD">
      <w:pPr>
        <w:rPr>
          <w:noProof/>
        </w:rPr>
      </w:pPr>
      <w:r w:rsidRPr="00F45BD1">
        <w:rPr>
          <w:b/>
          <w:noProof/>
        </w:rPr>
        <w:t xml:space="preserve">Τι περιέχει το </w:t>
      </w:r>
      <w:r w:rsidR="00496809" w:rsidRPr="00F45BD1">
        <w:rPr>
          <w:b/>
          <w:noProof/>
        </w:rPr>
        <w:t>παρόν φύλλο οδηγιών:</w:t>
      </w:r>
    </w:p>
    <w:p w:rsidR="00496809" w:rsidRPr="00F45BD1" w:rsidRDefault="00496809" w:rsidP="00D45BDD">
      <w:pPr>
        <w:rPr>
          <w:noProof/>
        </w:rPr>
      </w:pPr>
      <w:r w:rsidRPr="00F45BD1">
        <w:rPr>
          <w:noProof/>
        </w:rPr>
        <w:t>1</w:t>
      </w:r>
      <w:r w:rsidRPr="00F45BD1">
        <w:rPr>
          <w:noProof/>
        </w:rPr>
        <w:tab/>
        <w:t xml:space="preserve">Τι είναι το </w:t>
      </w:r>
      <w:r w:rsidR="002C0F97" w:rsidRPr="00F45BD1">
        <w:rPr>
          <w:noProof/>
        </w:rPr>
        <w:t>Normell</w:t>
      </w:r>
      <w:r w:rsidRPr="00F45BD1">
        <w:rPr>
          <w:noProof/>
        </w:rPr>
        <w:t xml:space="preserve"> και ποια είναι η χρήση του</w:t>
      </w:r>
    </w:p>
    <w:p w:rsidR="00496809" w:rsidRPr="00F45BD1" w:rsidRDefault="00496809" w:rsidP="00D45BDD">
      <w:pPr>
        <w:rPr>
          <w:noProof/>
        </w:rPr>
      </w:pPr>
      <w:r w:rsidRPr="00F45BD1">
        <w:rPr>
          <w:noProof/>
        </w:rPr>
        <w:t>2</w:t>
      </w:r>
      <w:r w:rsidRPr="00F45BD1">
        <w:rPr>
          <w:noProof/>
        </w:rPr>
        <w:tab/>
        <w:t xml:space="preserve">Τι πρέπει να γνωρίζετε </w:t>
      </w:r>
      <w:r w:rsidR="00D373E8" w:rsidRPr="00F45BD1">
        <w:rPr>
          <w:noProof/>
        </w:rPr>
        <w:t xml:space="preserve">πριν </w:t>
      </w:r>
      <w:r w:rsidRPr="00F45BD1">
        <w:rPr>
          <w:noProof/>
        </w:rPr>
        <w:t xml:space="preserve">πάρετε το </w:t>
      </w:r>
      <w:r w:rsidR="002C0F97" w:rsidRPr="00F45BD1">
        <w:rPr>
          <w:noProof/>
        </w:rPr>
        <w:t>Normell</w:t>
      </w:r>
    </w:p>
    <w:p w:rsidR="00496809" w:rsidRPr="00F45BD1" w:rsidRDefault="00496809" w:rsidP="00D45BDD">
      <w:pPr>
        <w:rPr>
          <w:noProof/>
        </w:rPr>
      </w:pPr>
      <w:r w:rsidRPr="00F45BD1">
        <w:rPr>
          <w:noProof/>
        </w:rPr>
        <w:t>3</w:t>
      </w:r>
      <w:r w:rsidRPr="00F45BD1">
        <w:rPr>
          <w:noProof/>
        </w:rPr>
        <w:tab/>
        <w:t xml:space="preserve">Πώς να πάρετε το </w:t>
      </w:r>
      <w:r w:rsidR="002C0F97" w:rsidRPr="00F45BD1">
        <w:rPr>
          <w:noProof/>
        </w:rPr>
        <w:t>Normell</w:t>
      </w:r>
    </w:p>
    <w:p w:rsidR="00496809" w:rsidRPr="00F45BD1" w:rsidRDefault="00496809" w:rsidP="00D45BDD">
      <w:pPr>
        <w:rPr>
          <w:noProof/>
        </w:rPr>
      </w:pPr>
      <w:r w:rsidRPr="00F45BD1">
        <w:rPr>
          <w:noProof/>
        </w:rPr>
        <w:t>4</w:t>
      </w:r>
      <w:r w:rsidRPr="00F45BD1">
        <w:rPr>
          <w:noProof/>
        </w:rPr>
        <w:tab/>
        <w:t>Πιθανές ανεπιθύμητες ενέργειες</w:t>
      </w:r>
    </w:p>
    <w:p w:rsidR="00496809" w:rsidRPr="00F45BD1" w:rsidRDefault="00496809" w:rsidP="00D45BDD">
      <w:pPr>
        <w:rPr>
          <w:noProof/>
        </w:rPr>
      </w:pPr>
      <w:r w:rsidRPr="00F45BD1">
        <w:rPr>
          <w:noProof/>
        </w:rPr>
        <w:t>5</w:t>
      </w:r>
      <w:r w:rsidRPr="00F45BD1">
        <w:rPr>
          <w:noProof/>
        </w:rPr>
        <w:tab/>
        <w:t xml:space="preserve">Πώς να </w:t>
      </w:r>
      <w:r w:rsidR="00D5236F" w:rsidRPr="00F45BD1">
        <w:rPr>
          <w:noProof/>
        </w:rPr>
        <w:t xml:space="preserve">φυλάσσετε </w:t>
      </w:r>
      <w:r w:rsidRPr="00F45BD1">
        <w:rPr>
          <w:noProof/>
        </w:rPr>
        <w:t xml:space="preserve">το </w:t>
      </w:r>
      <w:r w:rsidR="002C0F97" w:rsidRPr="00F45BD1">
        <w:rPr>
          <w:noProof/>
        </w:rPr>
        <w:t xml:space="preserve">Normell </w:t>
      </w:r>
    </w:p>
    <w:p w:rsidR="00496809" w:rsidRPr="00F45BD1" w:rsidRDefault="00496809" w:rsidP="00D45BDD">
      <w:pPr>
        <w:rPr>
          <w:noProof/>
        </w:rPr>
      </w:pPr>
      <w:r w:rsidRPr="00F45BD1">
        <w:rPr>
          <w:noProof/>
        </w:rPr>
        <w:t>6.</w:t>
      </w:r>
      <w:r w:rsidRPr="00F45BD1">
        <w:rPr>
          <w:noProof/>
        </w:rPr>
        <w:tab/>
      </w:r>
      <w:r w:rsidR="00C123BB" w:rsidRPr="00F45BD1">
        <w:rPr>
          <w:noProof/>
        </w:rPr>
        <w:t xml:space="preserve"> Περιεχόμενο της συσκευασίας και λοιπές</w:t>
      </w:r>
      <w:r w:rsidR="00DC43EE" w:rsidRPr="00F45BD1">
        <w:rPr>
          <w:noProof/>
        </w:rPr>
        <w:t xml:space="preserve"> πληροφορίες</w:t>
      </w:r>
    </w:p>
    <w:p w:rsidR="00A056A7" w:rsidRPr="00F45BD1" w:rsidRDefault="00A056A7" w:rsidP="00D45BDD">
      <w:pPr>
        <w:rPr>
          <w:b/>
          <w:noProof/>
        </w:rPr>
      </w:pPr>
    </w:p>
    <w:p w:rsidR="00AF310E" w:rsidRPr="00F45BD1" w:rsidRDefault="00AF310E" w:rsidP="00D45BDD">
      <w:pPr>
        <w:rPr>
          <w:b/>
          <w:noProof/>
        </w:rPr>
      </w:pPr>
    </w:p>
    <w:p w:rsidR="00E83E9E" w:rsidRPr="00F45BD1" w:rsidRDefault="00496809" w:rsidP="00D45BDD">
      <w:pPr>
        <w:rPr>
          <w:noProof/>
        </w:rPr>
      </w:pPr>
      <w:r w:rsidRPr="00F45BD1">
        <w:rPr>
          <w:b/>
          <w:noProof/>
        </w:rPr>
        <w:t>1.</w:t>
      </w:r>
      <w:r w:rsidRPr="00F45BD1">
        <w:rPr>
          <w:b/>
          <w:noProof/>
        </w:rPr>
        <w:tab/>
      </w:r>
      <w:r w:rsidR="00E83E9E" w:rsidRPr="00F45BD1">
        <w:rPr>
          <w:b/>
          <w:noProof/>
        </w:rPr>
        <w:t xml:space="preserve">Τι είναι το </w:t>
      </w:r>
      <w:r w:rsidR="002C0F97" w:rsidRPr="00F45BD1">
        <w:rPr>
          <w:b/>
          <w:noProof/>
        </w:rPr>
        <w:t>N</w:t>
      </w:r>
      <w:r w:rsidR="007A0F93" w:rsidRPr="00F45BD1">
        <w:rPr>
          <w:b/>
          <w:noProof/>
          <w:lang w:val="en-US"/>
        </w:rPr>
        <w:t>ormell</w:t>
      </w:r>
      <w:r w:rsidRPr="00F45BD1">
        <w:rPr>
          <w:b/>
          <w:noProof/>
        </w:rPr>
        <w:t xml:space="preserve"> </w:t>
      </w:r>
      <w:r w:rsidR="00E83E9E" w:rsidRPr="00F45BD1">
        <w:rPr>
          <w:b/>
          <w:noProof/>
        </w:rPr>
        <w:t>και ποια είναι η χρήση του</w:t>
      </w:r>
    </w:p>
    <w:p w:rsidR="00496809" w:rsidRPr="00F45BD1" w:rsidRDefault="00496809" w:rsidP="00D45BDD">
      <w:pPr>
        <w:rPr>
          <w:noProof/>
        </w:rPr>
      </w:pPr>
    </w:p>
    <w:p w:rsidR="00FB48AC" w:rsidRPr="00F45BD1" w:rsidRDefault="00FB48AC" w:rsidP="00D45BDD">
      <w:pPr>
        <w:rPr>
          <w:szCs w:val="22"/>
        </w:rPr>
      </w:pPr>
      <w:r w:rsidRPr="00F45BD1">
        <w:rPr>
          <w:szCs w:val="22"/>
        </w:rPr>
        <w:t>Το Ν</w:t>
      </w:r>
      <w:proofErr w:type="spellStart"/>
      <w:r w:rsidRPr="00F45BD1">
        <w:rPr>
          <w:szCs w:val="22"/>
          <w:lang w:val="en-US"/>
        </w:rPr>
        <w:t>ormell</w:t>
      </w:r>
      <w:proofErr w:type="spellEnd"/>
      <w:r w:rsidRPr="00F45BD1">
        <w:rPr>
          <w:szCs w:val="22"/>
        </w:rPr>
        <w:t xml:space="preserve"> περιέχει συνδυασμό δύο ουσιών, της </w:t>
      </w:r>
      <w:proofErr w:type="spellStart"/>
      <w:r w:rsidRPr="00F45BD1">
        <w:rPr>
          <w:szCs w:val="22"/>
        </w:rPr>
        <w:t>γλιβενκλαμίδης</w:t>
      </w:r>
      <w:proofErr w:type="spellEnd"/>
      <w:r w:rsidRPr="00F45BD1">
        <w:rPr>
          <w:szCs w:val="22"/>
        </w:rPr>
        <w:t xml:space="preserve"> και της </w:t>
      </w:r>
      <w:proofErr w:type="spellStart"/>
      <w:r w:rsidRPr="00F45BD1">
        <w:rPr>
          <w:szCs w:val="22"/>
        </w:rPr>
        <w:t>μετφορμίνης</w:t>
      </w:r>
      <w:proofErr w:type="spellEnd"/>
      <w:r w:rsidRPr="00F45BD1">
        <w:rPr>
          <w:szCs w:val="22"/>
        </w:rPr>
        <w:t>, και είναι ένα από του στόματος χορηγούμενο φάρμακο που ανήκει στην ομάδα των αντιδιαβητικών.</w:t>
      </w:r>
    </w:p>
    <w:p w:rsidR="00FB48AC" w:rsidRPr="00F45BD1" w:rsidRDefault="00FB48AC" w:rsidP="00D45BDD">
      <w:pPr>
        <w:rPr>
          <w:szCs w:val="22"/>
        </w:rPr>
      </w:pPr>
    </w:p>
    <w:p w:rsidR="00E83E9E" w:rsidRPr="00F45BD1" w:rsidRDefault="00FB48AC" w:rsidP="00D45BDD">
      <w:pPr>
        <w:rPr>
          <w:noProof/>
        </w:rPr>
      </w:pPr>
      <w:r w:rsidRPr="00F45BD1">
        <w:rPr>
          <w:noProof/>
        </w:rPr>
        <w:t>Μη ινσουλινοεξαρτώμενος σακχαρώδης διαβήτης (τύπου 2), ιδιαίτερα σε παχύσαρκα άτομα που δεν ρυθμίζεται με σωστή υγιεινοδιαιτητική αγωγή και σουλφονυλουρίες και που για διάφορους λόγους δεν είναι δυνατή η χορήγηση ινσουλίνης.</w:t>
      </w:r>
    </w:p>
    <w:p w:rsidR="00496809" w:rsidRDefault="00496809" w:rsidP="00D45BDD">
      <w:pPr>
        <w:rPr>
          <w:noProof/>
        </w:rPr>
      </w:pPr>
    </w:p>
    <w:p w:rsidR="00F45BD1" w:rsidRPr="00F45BD1" w:rsidRDefault="00F45BD1" w:rsidP="00D45BDD">
      <w:pPr>
        <w:rPr>
          <w:noProof/>
        </w:rPr>
      </w:pPr>
    </w:p>
    <w:p w:rsidR="00496809" w:rsidRPr="00F45BD1" w:rsidRDefault="00496809" w:rsidP="00D45BDD">
      <w:pPr>
        <w:rPr>
          <w:noProof/>
        </w:rPr>
      </w:pPr>
      <w:r w:rsidRPr="00F45BD1">
        <w:rPr>
          <w:b/>
          <w:noProof/>
        </w:rPr>
        <w:t>2.</w:t>
      </w:r>
      <w:r w:rsidR="00F45BD1">
        <w:rPr>
          <w:b/>
          <w:noProof/>
        </w:rPr>
        <w:t xml:space="preserve">          </w:t>
      </w:r>
      <w:r w:rsidR="0047347A" w:rsidRPr="00F45BD1">
        <w:rPr>
          <w:b/>
          <w:noProof/>
        </w:rPr>
        <w:t xml:space="preserve">Τι πρέπει να γνωρίζετε πριν πάρετε το </w:t>
      </w:r>
      <w:r w:rsidR="007A0F93" w:rsidRPr="00F45BD1">
        <w:rPr>
          <w:b/>
          <w:noProof/>
        </w:rPr>
        <w:t>N</w:t>
      </w:r>
      <w:r w:rsidR="007A0F93" w:rsidRPr="00F45BD1">
        <w:rPr>
          <w:b/>
          <w:noProof/>
          <w:lang w:val="en-US"/>
        </w:rPr>
        <w:t>ormell</w:t>
      </w:r>
      <w:r w:rsidR="0047347A" w:rsidRPr="00F45BD1" w:rsidDel="0047347A">
        <w:rPr>
          <w:b/>
          <w:noProof/>
        </w:rPr>
        <w:t xml:space="preserve"> </w:t>
      </w:r>
    </w:p>
    <w:p w:rsidR="00496809" w:rsidRPr="00F45BD1" w:rsidRDefault="00496809" w:rsidP="00D45BDD">
      <w:pPr>
        <w:rPr>
          <w:noProof/>
        </w:rPr>
      </w:pPr>
    </w:p>
    <w:p w:rsidR="00496809" w:rsidRPr="00F45BD1" w:rsidRDefault="00FB48AC" w:rsidP="00D45BDD">
      <w:pPr>
        <w:rPr>
          <w:b/>
          <w:noProof/>
        </w:rPr>
      </w:pPr>
      <w:r w:rsidRPr="00F45BD1">
        <w:rPr>
          <w:b/>
          <w:noProof/>
        </w:rPr>
        <w:t xml:space="preserve">Μην </w:t>
      </w:r>
      <w:r w:rsidR="00496809" w:rsidRPr="00F45BD1">
        <w:rPr>
          <w:b/>
          <w:noProof/>
        </w:rPr>
        <w:t xml:space="preserve">πάρετε το </w:t>
      </w:r>
      <w:r w:rsidR="007A0F93" w:rsidRPr="00F45BD1">
        <w:rPr>
          <w:b/>
          <w:noProof/>
        </w:rPr>
        <w:t>N</w:t>
      </w:r>
      <w:r w:rsidR="007A0F93" w:rsidRPr="00F45BD1">
        <w:rPr>
          <w:b/>
          <w:noProof/>
          <w:lang w:val="en-US"/>
        </w:rPr>
        <w:t>ormell</w:t>
      </w:r>
    </w:p>
    <w:p w:rsidR="00496809" w:rsidRPr="00F45BD1" w:rsidRDefault="00F90E42" w:rsidP="008D77F3">
      <w:pPr>
        <w:ind w:left="450" w:hanging="450"/>
        <w:rPr>
          <w:noProof/>
        </w:rPr>
      </w:pPr>
      <w:r w:rsidRPr="00F45BD1">
        <w:rPr>
          <w:noProof/>
        </w:rPr>
        <w:t>-</w:t>
      </w:r>
      <w:r w:rsidRPr="00F45BD1">
        <w:rPr>
          <w:noProof/>
        </w:rPr>
        <w:tab/>
      </w:r>
      <w:r w:rsidR="00496809" w:rsidRPr="00F45BD1">
        <w:rPr>
          <w:noProof/>
        </w:rPr>
        <w:t>σε περίπτωση αλλεργίας</w:t>
      </w:r>
      <w:r w:rsidR="00D373E8" w:rsidRPr="00F45BD1">
        <w:rPr>
          <w:noProof/>
        </w:rPr>
        <w:t xml:space="preserve"> </w:t>
      </w:r>
      <w:r w:rsidR="00496809" w:rsidRPr="00F45BD1">
        <w:rPr>
          <w:noProof/>
        </w:rPr>
        <w:t xml:space="preserve">στη </w:t>
      </w:r>
      <w:r w:rsidRPr="00F45BD1">
        <w:rPr>
          <w:noProof/>
        </w:rPr>
        <w:t>γ</w:t>
      </w:r>
      <w:proofErr w:type="spellStart"/>
      <w:r w:rsidRPr="00F45BD1">
        <w:rPr>
          <w:szCs w:val="22"/>
        </w:rPr>
        <w:t>λιβενκλαμίδη</w:t>
      </w:r>
      <w:proofErr w:type="spellEnd"/>
      <w:r w:rsidRPr="00F45BD1">
        <w:rPr>
          <w:szCs w:val="22"/>
        </w:rPr>
        <w:t xml:space="preserve"> ή την υδροχλωρική μετφορμίνη</w:t>
      </w:r>
      <w:r w:rsidR="00E124D6" w:rsidRPr="00F45BD1">
        <w:rPr>
          <w:szCs w:val="22"/>
        </w:rPr>
        <w:t>,</w:t>
      </w:r>
      <w:r w:rsidR="00496809" w:rsidRPr="00F45BD1">
        <w:rPr>
          <w:noProof/>
        </w:rPr>
        <w:t xml:space="preserve"> </w:t>
      </w:r>
      <w:r w:rsidR="00E124D6" w:rsidRPr="00F45BD1">
        <w:rPr>
          <w:szCs w:val="22"/>
        </w:rPr>
        <w:t xml:space="preserve">τα παράγωγα των </w:t>
      </w:r>
      <w:proofErr w:type="spellStart"/>
      <w:r w:rsidR="00E124D6" w:rsidRPr="00F45BD1">
        <w:rPr>
          <w:szCs w:val="22"/>
        </w:rPr>
        <w:t>σουλφοναμιδών</w:t>
      </w:r>
      <w:proofErr w:type="spellEnd"/>
      <w:r w:rsidR="00E124D6" w:rsidRPr="00F45BD1">
        <w:rPr>
          <w:szCs w:val="22"/>
        </w:rPr>
        <w:t xml:space="preserve">, τα </w:t>
      </w:r>
      <w:proofErr w:type="spellStart"/>
      <w:r w:rsidR="00E124D6" w:rsidRPr="00F45BD1">
        <w:rPr>
          <w:szCs w:val="22"/>
        </w:rPr>
        <w:t>διγουανίδια</w:t>
      </w:r>
      <w:proofErr w:type="spellEnd"/>
      <w:r w:rsidR="00E124D6" w:rsidRPr="00F45BD1">
        <w:rPr>
          <w:noProof/>
        </w:rPr>
        <w:t xml:space="preserve"> </w:t>
      </w:r>
      <w:r w:rsidR="00496809" w:rsidRPr="00F45BD1">
        <w:rPr>
          <w:noProof/>
        </w:rPr>
        <w:t xml:space="preserve">ή σε οποιοδήποτε άλλο </w:t>
      </w:r>
      <w:r w:rsidR="0047347A" w:rsidRPr="00F45BD1">
        <w:rPr>
          <w:noProof/>
        </w:rPr>
        <w:t xml:space="preserve">από τα </w:t>
      </w:r>
      <w:r w:rsidR="00496809" w:rsidRPr="00F45BD1">
        <w:rPr>
          <w:noProof/>
        </w:rPr>
        <w:t>συστατικ</w:t>
      </w:r>
      <w:r w:rsidR="0047347A" w:rsidRPr="00F45BD1">
        <w:rPr>
          <w:noProof/>
        </w:rPr>
        <w:t>ά</w:t>
      </w:r>
      <w:r w:rsidR="00496809" w:rsidRPr="00F45BD1">
        <w:rPr>
          <w:noProof/>
        </w:rPr>
        <w:t xml:space="preserve"> </w:t>
      </w:r>
      <w:r w:rsidR="0047347A" w:rsidRPr="00F45BD1">
        <w:rPr>
          <w:noProof/>
        </w:rPr>
        <w:t>αυτού του φαρμάκου (αναφέρονται στ</w:t>
      </w:r>
      <w:r w:rsidR="00E24E34" w:rsidRPr="00F45BD1">
        <w:rPr>
          <w:noProof/>
        </w:rPr>
        <w:t>ην παράγραφο</w:t>
      </w:r>
      <w:r w:rsidRPr="00F45BD1">
        <w:rPr>
          <w:noProof/>
        </w:rPr>
        <w:t xml:space="preserve"> 6).</w:t>
      </w:r>
    </w:p>
    <w:p w:rsidR="00E124D6" w:rsidRPr="00F45BD1" w:rsidRDefault="00E124D6" w:rsidP="008D77F3">
      <w:pPr>
        <w:ind w:left="450" w:hanging="450"/>
        <w:rPr>
          <w:noProof/>
        </w:rPr>
      </w:pPr>
      <w:r w:rsidRPr="00F45BD1">
        <w:rPr>
          <w:noProof/>
        </w:rPr>
        <w:t>-</w:t>
      </w:r>
      <w:r w:rsidRPr="00F45BD1">
        <w:rPr>
          <w:noProof/>
        </w:rPr>
        <w:tab/>
        <w:t>σε ινσουλινοεξαρτώμενο</w:t>
      </w:r>
      <w:r w:rsidR="00F90E42" w:rsidRPr="00F45BD1">
        <w:rPr>
          <w:noProof/>
        </w:rPr>
        <w:t>, οξεωτικό και λανθάνων διαβήτη</w:t>
      </w:r>
      <w:r w:rsidRPr="00F45BD1">
        <w:rPr>
          <w:noProof/>
        </w:rPr>
        <w:t>,</w:t>
      </w:r>
    </w:p>
    <w:p w:rsidR="00E124D6" w:rsidRPr="00F45BD1" w:rsidRDefault="00E124D6" w:rsidP="008D77F3">
      <w:pPr>
        <w:ind w:left="450" w:hanging="450"/>
        <w:rPr>
          <w:szCs w:val="22"/>
        </w:rPr>
      </w:pPr>
      <w:r w:rsidRPr="00F45BD1">
        <w:rPr>
          <w:noProof/>
        </w:rPr>
        <w:t>-</w:t>
      </w:r>
      <w:r w:rsidRPr="00F45BD1">
        <w:rPr>
          <w:noProof/>
        </w:rPr>
        <w:tab/>
      </w:r>
      <w:r w:rsidR="008D77F3" w:rsidRPr="00F45BD1">
        <w:rPr>
          <w:noProof/>
        </w:rPr>
        <w:t xml:space="preserve">σε </w:t>
      </w:r>
      <w:r w:rsidRPr="00F45BD1">
        <w:rPr>
          <w:noProof/>
        </w:rPr>
        <w:t>δ</w:t>
      </w:r>
      <w:r w:rsidR="00F90E42" w:rsidRPr="00F45BD1">
        <w:rPr>
          <w:noProof/>
        </w:rPr>
        <w:t>ιαβητικό κώμα και προκώμα,</w:t>
      </w:r>
      <w:r w:rsidR="00F90E42" w:rsidRPr="00F45BD1">
        <w:rPr>
          <w:szCs w:val="22"/>
        </w:rPr>
        <w:t xml:space="preserve"> </w:t>
      </w:r>
    </w:p>
    <w:p w:rsidR="00E124D6" w:rsidRPr="00F45BD1" w:rsidRDefault="00E124D6" w:rsidP="008D77F3">
      <w:pPr>
        <w:ind w:left="450" w:hanging="450"/>
        <w:rPr>
          <w:szCs w:val="22"/>
        </w:rPr>
      </w:pPr>
      <w:r w:rsidRPr="00F45BD1">
        <w:rPr>
          <w:szCs w:val="22"/>
        </w:rPr>
        <w:t>-</w:t>
      </w:r>
      <w:r w:rsidRPr="00F45BD1">
        <w:rPr>
          <w:szCs w:val="22"/>
        </w:rPr>
        <w:tab/>
      </w:r>
      <w:r w:rsidR="008D77F3" w:rsidRPr="00F45BD1">
        <w:rPr>
          <w:szCs w:val="22"/>
        </w:rPr>
        <w:t xml:space="preserve">σε </w:t>
      </w:r>
      <w:proofErr w:type="spellStart"/>
      <w:r w:rsidR="00F90E42" w:rsidRPr="00F45BD1">
        <w:rPr>
          <w:szCs w:val="22"/>
        </w:rPr>
        <w:t>προδιαβητική</w:t>
      </w:r>
      <w:proofErr w:type="spellEnd"/>
      <w:r w:rsidR="00F90E42" w:rsidRPr="00F45BD1">
        <w:rPr>
          <w:szCs w:val="22"/>
        </w:rPr>
        <w:t xml:space="preserve"> κατάσταση, </w:t>
      </w:r>
    </w:p>
    <w:p w:rsidR="00E124D6" w:rsidRPr="00F45BD1" w:rsidRDefault="00E124D6" w:rsidP="008D77F3">
      <w:pPr>
        <w:ind w:left="450" w:hanging="450"/>
        <w:rPr>
          <w:szCs w:val="22"/>
        </w:rPr>
      </w:pPr>
      <w:r w:rsidRPr="00F45BD1">
        <w:rPr>
          <w:szCs w:val="22"/>
        </w:rPr>
        <w:t>-</w:t>
      </w:r>
      <w:r w:rsidRPr="00F45BD1">
        <w:rPr>
          <w:szCs w:val="22"/>
        </w:rPr>
        <w:tab/>
      </w:r>
      <w:r w:rsidR="008D77F3" w:rsidRPr="00F45BD1">
        <w:rPr>
          <w:szCs w:val="22"/>
        </w:rPr>
        <w:t xml:space="preserve">στην </w:t>
      </w:r>
      <w:r w:rsidR="00F90E42" w:rsidRPr="00F45BD1">
        <w:rPr>
          <w:szCs w:val="22"/>
        </w:rPr>
        <w:t xml:space="preserve">κύηση και γαλουχία. </w:t>
      </w:r>
    </w:p>
    <w:p w:rsidR="00E124D6" w:rsidRPr="00F45BD1" w:rsidRDefault="00E124D6" w:rsidP="008D77F3">
      <w:pPr>
        <w:ind w:left="450" w:hanging="450"/>
        <w:rPr>
          <w:szCs w:val="22"/>
        </w:rPr>
      </w:pPr>
      <w:r w:rsidRPr="00F45BD1">
        <w:rPr>
          <w:szCs w:val="22"/>
        </w:rPr>
        <w:t>-</w:t>
      </w:r>
      <w:r w:rsidRPr="00F45BD1">
        <w:rPr>
          <w:szCs w:val="22"/>
        </w:rPr>
        <w:tab/>
      </w:r>
      <w:r w:rsidR="008D77F3" w:rsidRPr="00F45BD1">
        <w:rPr>
          <w:szCs w:val="22"/>
        </w:rPr>
        <w:t>σε β</w:t>
      </w:r>
      <w:r w:rsidR="00F90E42" w:rsidRPr="00F45BD1">
        <w:rPr>
          <w:szCs w:val="22"/>
        </w:rPr>
        <w:t xml:space="preserve">αριάς μορφής νεφρική ή ηπατική δυσλειτουργία, ανεπάρκεια των επινεφριδίων. </w:t>
      </w:r>
    </w:p>
    <w:p w:rsidR="00F90E42" w:rsidRPr="00F45BD1" w:rsidRDefault="00E124D6" w:rsidP="008D77F3">
      <w:pPr>
        <w:ind w:left="450" w:hanging="450"/>
        <w:rPr>
          <w:szCs w:val="22"/>
        </w:rPr>
      </w:pPr>
      <w:r w:rsidRPr="00F45BD1">
        <w:rPr>
          <w:szCs w:val="22"/>
        </w:rPr>
        <w:t>-</w:t>
      </w:r>
      <w:r w:rsidRPr="00F45BD1">
        <w:rPr>
          <w:szCs w:val="22"/>
        </w:rPr>
        <w:tab/>
      </w:r>
      <w:r w:rsidR="008D77F3" w:rsidRPr="00F45BD1">
        <w:rPr>
          <w:szCs w:val="22"/>
        </w:rPr>
        <w:t>σε β</w:t>
      </w:r>
      <w:r w:rsidR="00F90E42" w:rsidRPr="00F45BD1">
        <w:rPr>
          <w:szCs w:val="22"/>
        </w:rPr>
        <w:t xml:space="preserve">αριάς μορφής παθήσεις του κυκλοφορικού (καρδιακή ανεπάρκεια, </w:t>
      </w:r>
      <w:proofErr w:type="spellStart"/>
      <w:r w:rsidR="00F90E42" w:rsidRPr="00F45BD1">
        <w:rPr>
          <w:szCs w:val="22"/>
        </w:rPr>
        <w:t>καρδιογενής</w:t>
      </w:r>
      <w:proofErr w:type="spellEnd"/>
      <w:r w:rsidR="00F90E42" w:rsidRPr="00F45BD1">
        <w:rPr>
          <w:szCs w:val="22"/>
        </w:rPr>
        <w:t>, τοξική ή σηπτική καταπληξία, διαταραχές της περιφερικής αρτηριακής κυκλοφορίας), αναπνευστική ανεπάρκεια.</w:t>
      </w:r>
    </w:p>
    <w:p w:rsidR="00F90E42" w:rsidRPr="00F45BD1" w:rsidRDefault="008D77F3" w:rsidP="008D77F3">
      <w:pPr>
        <w:ind w:left="450" w:hanging="450"/>
        <w:rPr>
          <w:szCs w:val="22"/>
        </w:rPr>
      </w:pPr>
      <w:r w:rsidRPr="00F45BD1">
        <w:rPr>
          <w:szCs w:val="22"/>
        </w:rPr>
        <w:t>-</w:t>
      </w:r>
      <w:r w:rsidRPr="00F45BD1">
        <w:rPr>
          <w:szCs w:val="22"/>
        </w:rPr>
        <w:tab/>
        <w:t xml:space="preserve">σε </w:t>
      </w:r>
      <w:r w:rsidR="00F90E42" w:rsidRPr="00F45BD1">
        <w:rPr>
          <w:szCs w:val="22"/>
        </w:rPr>
        <w:t xml:space="preserve">ασθενείς που αντιμετωπίζονται θεραπευτικά με </w:t>
      </w:r>
      <w:proofErr w:type="spellStart"/>
      <w:r w:rsidR="00F90E42" w:rsidRPr="00F45BD1">
        <w:rPr>
          <w:szCs w:val="22"/>
        </w:rPr>
        <w:t>βοσεντάνη</w:t>
      </w:r>
      <w:proofErr w:type="spellEnd"/>
      <w:r w:rsidR="00F90E42" w:rsidRPr="00F45BD1">
        <w:rPr>
          <w:szCs w:val="22"/>
        </w:rPr>
        <w:t xml:space="preserve"> (βλ. παράγραφο </w:t>
      </w:r>
      <w:r w:rsidR="00CD1AC3" w:rsidRPr="00F45BD1">
        <w:rPr>
          <w:szCs w:val="22"/>
        </w:rPr>
        <w:t xml:space="preserve">2. Άλλα φάρμακα και </w:t>
      </w:r>
      <w:proofErr w:type="spellStart"/>
      <w:r w:rsidR="00CD1AC3" w:rsidRPr="00F45BD1">
        <w:rPr>
          <w:szCs w:val="22"/>
          <w:lang w:val="en-US"/>
        </w:rPr>
        <w:t>Normell</w:t>
      </w:r>
      <w:proofErr w:type="spellEnd"/>
      <w:r w:rsidR="00F90E42" w:rsidRPr="00F45BD1">
        <w:rPr>
          <w:szCs w:val="22"/>
        </w:rPr>
        <w:t>).</w:t>
      </w:r>
    </w:p>
    <w:p w:rsidR="00F90E42" w:rsidRPr="00F45BD1" w:rsidRDefault="001123C5" w:rsidP="001123C5">
      <w:pPr>
        <w:ind w:left="450" w:hanging="450"/>
        <w:rPr>
          <w:szCs w:val="22"/>
        </w:rPr>
      </w:pPr>
      <w:r w:rsidRPr="00F45BD1">
        <w:rPr>
          <w:szCs w:val="22"/>
        </w:rPr>
        <w:t>-</w:t>
      </w:r>
      <w:r w:rsidRPr="00F45BD1">
        <w:rPr>
          <w:szCs w:val="22"/>
        </w:rPr>
        <w:tab/>
        <w:t>σε χ</w:t>
      </w:r>
      <w:r w:rsidR="00F90E42" w:rsidRPr="00F45BD1">
        <w:rPr>
          <w:szCs w:val="22"/>
        </w:rPr>
        <w:t xml:space="preserve">ρόνιος αλκοολισμό, διαβητικοί με προηγούμενο γαλακτικής οξέωσης από λήψη </w:t>
      </w:r>
      <w:proofErr w:type="spellStart"/>
      <w:r w:rsidR="00F90E42" w:rsidRPr="00F45BD1">
        <w:rPr>
          <w:szCs w:val="22"/>
        </w:rPr>
        <w:t>διγουανιδίων</w:t>
      </w:r>
      <w:proofErr w:type="spellEnd"/>
      <w:r w:rsidR="00F90E42" w:rsidRPr="00F45BD1">
        <w:rPr>
          <w:szCs w:val="22"/>
        </w:rPr>
        <w:t xml:space="preserve">, επίπεδα </w:t>
      </w:r>
      <w:proofErr w:type="spellStart"/>
      <w:r w:rsidR="00F90E42" w:rsidRPr="00F45BD1">
        <w:rPr>
          <w:szCs w:val="22"/>
        </w:rPr>
        <w:t>κρεατινίνης</w:t>
      </w:r>
      <w:proofErr w:type="spellEnd"/>
      <w:r w:rsidR="00F90E42" w:rsidRPr="00F45BD1">
        <w:rPr>
          <w:szCs w:val="22"/>
        </w:rPr>
        <w:t xml:space="preserve"> ορού μεγαλύτερα από 12 </w:t>
      </w:r>
      <w:proofErr w:type="spellStart"/>
      <w:r w:rsidR="00F90E42" w:rsidRPr="00F45BD1">
        <w:rPr>
          <w:szCs w:val="22"/>
        </w:rPr>
        <w:t>mg</w:t>
      </w:r>
      <w:proofErr w:type="spellEnd"/>
      <w:r w:rsidR="00F90E42" w:rsidRPr="00F45BD1">
        <w:rPr>
          <w:szCs w:val="22"/>
        </w:rPr>
        <w:t xml:space="preserve">/l. </w:t>
      </w:r>
      <w:proofErr w:type="spellStart"/>
      <w:r w:rsidR="00F90E42" w:rsidRPr="00F45BD1">
        <w:rPr>
          <w:szCs w:val="22"/>
        </w:rPr>
        <w:t>Kατά</w:t>
      </w:r>
      <w:proofErr w:type="spellEnd"/>
      <w:r w:rsidR="00F90E42" w:rsidRPr="00F45BD1">
        <w:rPr>
          <w:szCs w:val="22"/>
        </w:rPr>
        <w:t xml:space="preserve"> τη διάρκεια της αγωγής με διουρητικά ή </w:t>
      </w:r>
      <w:proofErr w:type="spellStart"/>
      <w:r w:rsidR="00F90E42" w:rsidRPr="00F45BD1">
        <w:rPr>
          <w:szCs w:val="22"/>
        </w:rPr>
        <w:t>αντιυπερτασικά</w:t>
      </w:r>
      <w:proofErr w:type="spellEnd"/>
      <w:r w:rsidR="00F90E42" w:rsidRPr="00F45BD1">
        <w:rPr>
          <w:szCs w:val="22"/>
        </w:rPr>
        <w:t xml:space="preserve"> που είναι δυνατόν να προκαλέσουν διαταραχές της νεφρικής λειτουργίας.</w:t>
      </w:r>
    </w:p>
    <w:p w:rsidR="001123C5" w:rsidRPr="00F45BD1" w:rsidRDefault="00BD3F11" w:rsidP="00F45BD1">
      <w:pPr>
        <w:tabs>
          <w:tab w:val="left" w:pos="426"/>
        </w:tabs>
        <w:ind w:left="426" w:hanging="450"/>
        <w:rPr>
          <w:szCs w:val="22"/>
        </w:rPr>
      </w:pPr>
      <w:r w:rsidRPr="00F45BD1">
        <w:rPr>
          <w:szCs w:val="22"/>
        </w:rPr>
        <w:lastRenderedPageBreak/>
        <w:t xml:space="preserve">- </w:t>
      </w:r>
      <w:r w:rsidR="00F45BD1">
        <w:rPr>
          <w:szCs w:val="22"/>
        </w:rPr>
        <w:t xml:space="preserve">     </w:t>
      </w:r>
      <w:r w:rsidR="001123C5" w:rsidRPr="00F45BD1">
        <w:rPr>
          <w:szCs w:val="22"/>
        </w:rPr>
        <w:t xml:space="preserve">σε </w:t>
      </w:r>
      <w:r w:rsidR="00F90E42" w:rsidRPr="00F45BD1">
        <w:rPr>
          <w:szCs w:val="22"/>
        </w:rPr>
        <w:t xml:space="preserve">ασθενείς που υποβάλλονται σε ακτινολογικές μελέτες, στις οποίες χρησιμοποιούνται ιωδιούχα σκιαγραφικά μέσα, π.χ. ενδοφλέβια πυελογραφία, ενδοφλέβια </w:t>
      </w:r>
      <w:proofErr w:type="spellStart"/>
      <w:r w:rsidR="00F90E42" w:rsidRPr="00F45BD1">
        <w:rPr>
          <w:szCs w:val="22"/>
        </w:rPr>
        <w:t>χολαγγειογραφία</w:t>
      </w:r>
      <w:proofErr w:type="spellEnd"/>
      <w:r w:rsidR="00F90E42" w:rsidRPr="00F45BD1">
        <w:rPr>
          <w:szCs w:val="22"/>
        </w:rPr>
        <w:t xml:space="preserve">, αγγειογραφία ή τομογραφία. Σε αυτούς τους ασθενείς δεν θα πρέπει να χορηγείται το </w:t>
      </w:r>
      <w:proofErr w:type="spellStart"/>
      <w:r w:rsidR="00F90E42" w:rsidRPr="00F45BD1">
        <w:rPr>
          <w:szCs w:val="22"/>
          <w:lang w:val="en-US"/>
        </w:rPr>
        <w:t>Normell</w:t>
      </w:r>
      <w:proofErr w:type="spellEnd"/>
      <w:r w:rsidR="00F90E42" w:rsidRPr="00F45BD1">
        <w:rPr>
          <w:szCs w:val="22"/>
        </w:rPr>
        <w:t xml:space="preserve"> για τουλάχιστον 48 ώρες πριν από την ακτινολογική εξέταση.</w:t>
      </w:r>
    </w:p>
    <w:p w:rsidR="00F90E42" w:rsidRPr="00F45BD1" w:rsidRDefault="00F90E42" w:rsidP="001123C5">
      <w:pPr>
        <w:ind w:left="450"/>
        <w:rPr>
          <w:szCs w:val="22"/>
        </w:rPr>
      </w:pPr>
      <w:r w:rsidRPr="00F45BD1">
        <w:rPr>
          <w:szCs w:val="22"/>
        </w:rPr>
        <w:t xml:space="preserve">Αφότου διεξαχθεί η εξέταση στην οποία χρησιμοποιήθηκαν ιωδιούχα σκιαγραφικά μέσα, το </w:t>
      </w:r>
      <w:proofErr w:type="spellStart"/>
      <w:r w:rsidRPr="00F45BD1">
        <w:rPr>
          <w:szCs w:val="22"/>
          <w:lang w:val="en-US"/>
        </w:rPr>
        <w:t>Normell</w:t>
      </w:r>
      <w:proofErr w:type="spellEnd"/>
      <w:r w:rsidRPr="00F45BD1">
        <w:rPr>
          <w:szCs w:val="22"/>
        </w:rPr>
        <w:t xml:space="preserve"> πρέπει να μη χορηγείται για τουλάχιστον 48 ώρες και συνιστάται όπως επαναχορηγηθεί μόνο εφόσον επιτευχθούν σταθερές μεταβολικές συνθήκες και αφού πλέον έχει επαναξιολογηθεί η νεφρική λειτουργία και βρέθηκε ότι είναι φυσιολογική.</w:t>
      </w:r>
    </w:p>
    <w:p w:rsidR="00F90E42" w:rsidRPr="00F45BD1" w:rsidRDefault="001123C5" w:rsidP="00D45BDD">
      <w:pPr>
        <w:numPr>
          <w:ilvl w:val="0"/>
          <w:numId w:val="22"/>
        </w:numPr>
        <w:ind w:left="450" w:hanging="450"/>
        <w:rPr>
          <w:szCs w:val="22"/>
        </w:rPr>
      </w:pPr>
      <w:r w:rsidRPr="00F45BD1">
        <w:rPr>
          <w:szCs w:val="22"/>
        </w:rPr>
        <w:t>σε ασ</w:t>
      </w:r>
      <w:r w:rsidR="00F90E42" w:rsidRPr="00F45BD1">
        <w:rPr>
          <w:szCs w:val="22"/>
        </w:rPr>
        <w:t>θενείς που ακολουθούν έντονα διαιτητικά σχήματα χαμηλών θερμίδων και ειδικότερα σε καταστάσεις νηστείας, βαριάς μορφής διατροφικά νοσήματα, βαριές οξείες αιμορραγίες, καταπληξία, γάγγραινα.</w:t>
      </w:r>
    </w:p>
    <w:p w:rsidR="0047347A" w:rsidRPr="00F45BD1" w:rsidRDefault="0047347A" w:rsidP="00D45BDD">
      <w:pPr>
        <w:rPr>
          <w:noProof/>
        </w:rPr>
      </w:pPr>
    </w:p>
    <w:p w:rsidR="0047347A" w:rsidRPr="00F45BD1" w:rsidRDefault="0047347A" w:rsidP="00D45BDD">
      <w:pPr>
        <w:rPr>
          <w:noProof/>
        </w:rPr>
      </w:pPr>
      <w:r w:rsidRPr="00F45BD1">
        <w:rPr>
          <w:b/>
          <w:noProof/>
        </w:rPr>
        <w:t>Προειδοποιήσεις και προφυλάξεις</w:t>
      </w:r>
    </w:p>
    <w:p w:rsidR="0047347A" w:rsidRPr="00F45BD1" w:rsidRDefault="0047347A" w:rsidP="00D45BDD">
      <w:pPr>
        <w:jc w:val="both"/>
        <w:rPr>
          <w:noProof/>
        </w:rPr>
      </w:pPr>
      <w:r w:rsidRPr="00F45BD1">
        <w:rPr>
          <w:noProof/>
        </w:rPr>
        <w:t>Απευθυνθείτε στον γιατρό ή</w:t>
      </w:r>
      <w:r w:rsidR="00E124D6" w:rsidRPr="00F45BD1">
        <w:rPr>
          <w:noProof/>
        </w:rPr>
        <w:t xml:space="preserve"> </w:t>
      </w:r>
      <w:r w:rsidRPr="00F45BD1">
        <w:rPr>
          <w:noProof/>
        </w:rPr>
        <w:t xml:space="preserve">τον φαρμακοποιό </w:t>
      </w:r>
      <w:r w:rsidR="00E124D6" w:rsidRPr="00F45BD1">
        <w:rPr>
          <w:noProof/>
        </w:rPr>
        <w:t>σας</w:t>
      </w:r>
      <w:r w:rsidRPr="00F45BD1">
        <w:rPr>
          <w:noProof/>
        </w:rPr>
        <w:t xml:space="preserve"> </w:t>
      </w:r>
      <w:r w:rsidR="00D373E8" w:rsidRPr="00F45BD1">
        <w:rPr>
          <w:noProof/>
        </w:rPr>
        <w:t xml:space="preserve">πριν </w:t>
      </w:r>
      <w:r w:rsidRPr="00F45BD1">
        <w:rPr>
          <w:noProof/>
        </w:rPr>
        <w:t xml:space="preserve">πάρετε το </w:t>
      </w:r>
      <w:r w:rsidR="002C0F97" w:rsidRPr="00F45BD1">
        <w:rPr>
          <w:noProof/>
        </w:rPr>
        <w:t>NORMELL</w:t>
      </w:r>
      <w:r w:rsidR="004F4790" w:rsidRPr="00F45BD1">
        <w:rPr>
          <w:noProof/>
        </w:rPr>
        <w:t>.</w:t>
      </w:r>
    </w:p>
    <w:p w:rsidR="00496809" w:rsidRPr="00F45BD1" w:rsidRDefault="00496809" w:rsidP="00D45BDD">
      <w:pPr>
        <w:rPr>
          <w:b/>
          <w:bCs/>
          <w:noProof/>
        </w:rPr>
      </w:pPr>
    </w:p>
    <w:p w:rsidR="00E063C9" w:rsidRPr="00F45BD1" w:rsidRDefault="00E063C9" w:rsidP="00D45BDD">
      <w:pPr>
        <w:tabs>
          <w:tab w:val="left" w:pos="870"/>
        </w:tabs>
        <w:rPr>
          <w:b/>
          <w:szCs w:val="22"/>
        </w:rPr>
      </w:pPr>
      <w:proofErr w:type="spellStart"/>
      <w:r w:rsidRPr="00F45BD1">
        <w:rPr>
          <w:b/>
          <w:szCs w:val="22"/>
        </w:rPr>
        <w:t>Γλιβενκλαμίδη</w:t>
      </w:r>
      <w:proofErr w:type="spellEnd"/>
    </w:p>
    <w:p w:rsidR="00BD3CEF" w:rsidRPr="00F45BD1" w:rsidRDefault="00BD3CEF" w:rsidP="00BD3CEF">
      <w:pPr>
        <w:pStyle w:val="20"/>
        <w:numPr>
          <w:ilvl w:val="12"/>
          <w:numId w:val="0"/>
        </w:numPr>
        <w:rPr>
          <w:color w:val="auto"/>
          <w:szCs w:val="22"/>
        </w:rPr>
      </w:pPr>
      <w:r w:rsidRPr="00F45BD1">
        <w:rPr>
          <w:color w:val="auto"/>
          <w:szCs w:val="22"/>
        </w:rPr>
        <w:t xml:space="preserve">Τα κλινικά σημεία της υπεργλυκαιμίας είναι: συχνουρία, έντονη δίψα, ξηροστομία και ξηρό δέρμα. </w:t>
      </w:r>
    </w:p>
    <w:p w:rsidR="00BD3CEF" w:rsidRPr="00F45BD1" w:rsidRDefault="00BD3CEF" w:rsidP="00BD3CEF">
      <w:pPr>
        <w:pStyle w:val="20"/>
        <w:numPr>
          <w:ilvl w:val="12"/>
          <w:numId w:val="0"/>
        </w:numPr>
        <w:rPr>
          <w:color w:val="auto"/>
          <w:szCs w:val="22"/>
        </w:rPr>
      </w:pPr>
      <w:r w:rsidRPr="00F45BD1">
        <w:rPr>
          <w:color w:val="auto"/>
          <w:szCs w:val="22"/>
        </w:rPr>
        <w:t xml:space="preserve">Σε εξαιρετικές περιπτώσεις </w:t>
      </w:r>
      <w:proofErr w:type="spellStart"/>
      <w:r w:rsidRPr="00F45BD1">
        <w:rPr>
          <w:color w:val="auto"/>
          <w:szCs w:val="22"/>
        </w:rPr>
        <w:t>stress</w:t>
      </w:r>
      <w:proofErr w:type="spellEnd"/>
      <w:r w:rsidRPr="00F45BD1">
        <w:rPr>
          <w:color w:val="auto"/>
          <w:szCs w:val="22"/>
        </w:rPr>
        <w:t xml:space="preserve"> (π.χ. τραυματισμοί, χειρουργικές επεμβάσεις, εμπύρετες λοιμώξεις) μπορεί να επιδεινωθεί η ρύθμιση της γλυκόζης στο αίμα και μπορεί να απαιτηθεί προσωρινή μετάβαση σε ινσουλίνη προκειμένου να επιτευχθεί καλός μεταβολικός έλεγχος. </w:t>
      </w:r>
    </w:p>
    <w:p w:rsidR="00BD3CEF" w:rsidRPr="00F45BD1" w:rsidRDefault="00BD3CEF" w:rsidP="00BD3CEF">
      <w:pPr>
        <w:pStyle w:val="20"/>
        <w:numPr>
          <w:ilvl w:val="12"/>
          <w:numId w:val="0"/>
        </w:numPr>
        <w:jc w:val="both"/>
        <w:rPr>
          <w:color w:val="auto"/>
          <w:szCs w:val="22"/>
        </w:rPr>
      </w:pPr>
      <w:r w:rsidRPr="00F45BD1">
        <w:rPr>
          <w:color w:val="auto"/>
          <w:szCs w:val="22"/>
        </w:rPr>
        <w:t xml:space="preserve">Άτομα αλλεργικά στα παράγωγα </w:t>
      </w:r>
      <w:proofErr w:type="spellStart"/>
      <w:r w:rsidRPr="00F45BD1">
        <w:rPr>
          <w:color w:val="auto"/>
          <w:szCs w:val="22"/>
        </w:rPr>
        <w:t>σουλφοναμίδης</w:t>
      </w:r>
      <w:proofErr w:type="spellEnd"/>
      <w:r w:rsidRPr="00F45BD1">
        <w:rPr>
          <w:color w:val="auto"/>
          <w:szCs w:val="22"/>
        </w:rPr>
        <w:t xml:space="preserve"> μπορεί να εμφανίσουν αλλεργική αντίδραση και στη </w:t>
      </w:r>
      <w:proofErr w:type="spellStart"/>
      <w:r w:rsidRPr="00F45BD1">
        <w:rPr>
          <w:color w:val="auto"/>
          <w:szCs w:val="22"/>
        </w:rPr>
        <w:t>γλιβενκλαμίδη</w:t>
      </w:r>
      <w:proofErr w:type="spellEnd"/>
      <w:r w:rsidRPr="00F45BD1">
        <w:rPr>
          <w:color w:val="auto"/>
          <w:szCs w:val="22"/>
        </w:rPr>
        <w:t>.</w:t>
      </w:r>
    </w:p>
    <w:p w:rsidR="00BD3CEF" w:rsidRPr="00F45BD1" w:rsidRDefault="00BD3CEF" w:rsidP="00BD3CEF">
      <w:pPr>
        <w:pStyle w:val="20"/>
        <w:numPr>
          <w:ilvl w:val="12"/>
          <w:numId w:val="0"/>
        </w:numPr>
        <w:jc w:val="both"/>
        <w:rPr>
          <w:color w:val="auto"/>
          <w:szCs w:val="22"/>
        </w:rPr>
      </w:pPr>
    </w:p>
    <w:p w:rsidR="00BD3CEF" w:rsidRPr="00F45BD1" w:rsidRDefault="00BD3CEF" w:rsidP="00BD3CEF">
      <w:pPr>
        <w:rPr>
          <w:szCs w:val="22"/>
        </w:rPr>
      </w:pPr>
      <w:r w:rsidRPr="00F45BD1">
        <w:rPr>
          <w:szCs w:val="22"/>
        </w:rPr>
        <w:t xml:space="preserve">Για να επιτευχθεί ο στόχος από την αγωγή με </w:t>
      </w:r>
      <w:proofErr w:type="spellStart"/>
      <w:r w:rsidRPr="00F45BD1">
        <w:rPr>
          <w:szCs w:val="22"/>
          <w:lang w:val="en-US"/>
        </w:rPr>
        <w:t>Normell</w:t>
      </w:r>
      <w:proofErr w:type="spellEnd"/>
      <w:r w:rsidRPr="00F45BD1">
        <w:rPr>
          <w:szCs w:val="22"/>
        </w:rPr>
        <w:t xml:space="preserve"> - καλύτερος έλεγχος του σακχάρου στο αίμα -, η πιστή τήρηση σωστής δίαιτας, η τακτική και επαρκής σωματική άσκηση και αν είναι απαραίτητο, η μείωση του σωματικού βάρους είναι εξίσου αναγκαία όπως η κανονική λήψη του </w:t>
      </w:r>
      <w:proofErr w:type="spellStart"/>
      <w:r w:rsidRPr="00F45BD1">
        <w:rPr>
          <w:szCs w:val="22"/>
          <w:lang w:val="en-US"/>
        </w:rPr>
        <w:t>Normell</w:t>
      </w:r>
      <w:proofErr w:type="spellEnd"/>
      <w:r w:rsidRPr="00F45BD1">
        <w:rPr>
          <w:szCs w:val="22"/>
        </w:rPr>
        <w:t xml:space="preserve">. </w:t>
      </w:r>
    </w:p>
    <w:p w:rsidR="00BD3CEF" w:rsidRPr="00F45BD1" w:rsidRDefault="00BD3CEF" w:rsidP="00BD3CEF">
      <w:pPr>
        <w:rPr>
          <w:szCs w:val="22"/>
        </w:rPr>
      </w:pPr>
      <w:r w:rsidRPr="00F45BD1">
        <w:rPr>
          <w:szCs w:val="22"/>
        </w:rPr>
        <w:t xml:space="preserve">Κατά τη διάρκεια αγωγής με </w:t>
      </w:r>
      <w:proofErr w:type="spellStart"/>
      <w:r w:rsidRPr="00F45BD1">
        <w:rPr>
          <w:szCs w:val="22"/>
          <w:lang w:val="en-US"/>
        </w:rPr>
        <w:t>Normell</w:t>
      </w:r>
      <w:proofErr w:type="spellEnd"/>
      <w:r w:rsidRPr="00F45BD1">
        <w:rPr>
          <w:szCs w:val="22"/>
        </w:rPr>
        <w:t xml:space="preserve"> θα πρέπει να μετρώνται συστηματικά τα επίπεδα γλυκόζης στο αίμα και στα ούρα. Επιπλέον, συνιστάται να διεξάγονται τακτικοί προσδιορισμοί του κλάσματος της </w:t>
      </w:r>
      <w:proofErr w:type="spellStart"/>
      <w:r w:rsidRPr="00F45BD1">
        <w:rPr>
          <w:szCs w:val="22"/>
        </w:rPr>
        <w:t>γλυκοζυλιωμένης</w:t>
      </w:r>
      <w:proofErr w:type="spellEnd"/>
      <w:r w:rsidRPr="00F45BD1">
        <w:rPr>
          <w:szCs w:val="22"/>
        </w:rPr>
        <w:t xml:space="preserve"> αιμοσφαιρίνης.</w:t>
      </w:r>
    </w:p>
    <w:p w:rsidR="00BD3CEF" w:rsidRPr="00F45BD1" w:rsidRDefault="00BD3CEF" w:rsidP="00BD3CEF">
      <w:pPr>
        <w:rPr>
          <w:szCs w:val="22"/>
        </w:rPr>
      </w:pPr>
    </w:p>
    <w:p w:rsidR="00BD3CEF" w:rsidRPr="00F45BD1" w:rsidRDefault="00BD3CEF" w:rsidP="00BD3CEF">
      <w:pPr>
        <w:rPr>
          <w:szCs w:val="22"/>
        </w:rPr>
      </w:pPr>
      <w:r w:rsidRPr="00F45BD1">
        <w:rPr>
          <w:szCs w:val="22"/>
        </w:rPr>
        <w:t xml:space="preserve">Η παρακολούθηση των επιπέδων γλυκόζης στο αίμα και στα ούρα επίσης βοηθά στη διαπίστωση αποτυχίας στη θεραπεία, είτε πρωτογενώς είτε δευτερογενώς. </w:t>
      </w:r>
    </w:p>
    <w:p w:rsidR="00BD3CEF" w:rsidRPr="00F45BD1" w:rsidRDefault="00BD3CEF" w:rsidP="00BD3CEF">
      <w:pPr>
        <w:rPr>
          <w:szCs w:val="22"/>
        </w:rPr>
      </w:pPr>
    </w:p>
    <w:p w:rsidR="00BD3CEF" w:rsidRPr="00F45BD1" w:rsidRDefault="00BD3CEF" w:rsidP="00BD3CEF">
      <w:pPr>
        <w:rPr>
          <w:szCs w:val="22"/>
        </w:rPr>
      </w:pPr>
      <w:r w:rsidRPr="00F45BD1">
        <w:rPr>
          <w:szCs w:val="22"/>
        </w:rPr>
        <w:t>Σύμφωνα με τις ισχύουσες κατευθυντήριες οδηγίες (π.χ. με τη συναίνεση της Ευρωπαϊκής Εταιρείας για τη μελέτη του Σακχαρώδους Διαβήτη [</w:t>
      </w:r>
      <w:r w:rsidRPr="00F45BD1">
        <w:rPr>
          <w:szCs w:val="22"/>
          <w:lang w:val="en-US"/>
        </w:rPr>
        <w:t>EASD</w:t>
      </w:r>
      <w:r w:rsidRPr="00F45BD1">
        <w:rPr>
          <w:szCs w:val="22"/>
        </w:rPr>
        <w:t>]), συνιστάται επίσης η παρακολούθηση συγκεκριμένων άλλων παραμέτρων.</w:t>
      </w:r>
    </w:p>
    <w:p w:rsidR="00BD3CEF" w:rsidRPr="00F45BD1" w:rsidRDefault="00BD3CEF" w:rsidP="00BD3CEF">
      <w:pPr>
        <w:rPr>
          <w:szCs w:val="22"/>
        </w:rPr>
      </w:pPr>
      <w:r w:rsidRPr="00F45BD1">
        <w:rPr>
          <w:szCs w:val="22"/>
        </w:rPr>
        <w:t xml:space="preserve">Όταν αρχίζει η αγωγή, θα πρέπει να πληροφορηθεί ο ασθενής για τα αποτελέσματα και τους κινδύνους του </w:t>
      </w:r>
      <w:proofErr w:type="spellStart"/>
      <w:r w:rsidRPr="00F45BD1">
        <w:rPr>
          <w:szCs w:val="22"/>
          <w:lang w:val="en-US"/>
        </w:rPr>
        <w:t>Normell</w:t>
      </w:r>
      <w:proofErr w:type="spellEnd"/>
      <w:r w:rsidRPr="00F45BD1">
        <w:rPr>
          <w:szCs w:val="22"/>
        </w:rPr>
        <w:t xml:space="preserve"> καθώς και για την αλληλεπίδρασή του με τα διαιτητικά μέτρα και τη σωματική άσκηση. Θα πρέπει ακόμη να τονισθεί η σημασία της επαρκούς συνεργασίας. </w:t>
      </w:r>
    </w:p>
    <w:p w:rsidR="00BD3CEF" w:rsidRPr="00F45BD1" w:rsidRDefault="00BD3CEF" w:rsidP="00BD3CEF">
      <w:pPr>
        <w:rPr>
          <w:szCs w:val="22"/>
        </w:rPr>
      </w:pPr>
      <w:r w:rsidRPr="00F45BD1">
        <w:rPr>
          <w:szCs w:val="22"/>
        </w:rPr>
        <w:t xml:space="preserve">Ο ασθενής και ο ιατρός θα πρέπει να αντιλαμβάνονται τον κίνδυνο της υπογλυκαιμίας, γεγονός απαραίτητο εξάλλου κατά την αγωγή με οποιοδήποτε φάρμακο που μειώνει τη γλυκόζη στο αίμα. </w:t>
      </w:r>
    </w:p>
    <w:p w:rsidR="00BD3CEF" w:rsidRPr="00F45BD1" w:rsidRDefault="00BD3CEF" w:rsidP="00BD3CEF">
      <w:pPr>
        <w:pStyle w:val="20"/>
        <w:jc w:val="both"/>
        <w:rPr>
          <w:color w:val="auto"/>
          <w:szCs w:val="22"/>
        </w:rPr>
      </w:pPr>
    </w:p>
    <w:p w:rsidR="00BD3CEF" w:rsidRPr="00F45BD1" w:rsidRDefault="00BD3CEF" w:rsidP="00BD3CEF">
      <w:pPr>
        <w:widowControl/>
        <w:overflowPunct w:val="0"/>
        <w:autoSpaceDE w:val="0"/>
        <w:autoSpaceDN w:val="0"/>
        <w:adjustRightInd w:val="0"/>
        <w:jc w:val="both"/>
        <w:textAlignment w:val="baseline"/>
        <w:rPr>
          <w:szCs w:val="22"/>
          <w:lang w:eastAsia="ja-JP"/>
        </w:rPr>
      </w:pPr>
      <w:r w:rsidRPr="00F45BD1">
        <w:rPr>
          <w:szCs w:val="22"/>
        </w:rPr>
        <w:t xml:space="preserve">Παράγοντες που ευνοούν την υπογλυκαιμία είναι: </w:t>
      </w:r>
      <w:r w:rsidRPr="00F45BD1">
        <w:rPr>
          <w:szCs w:val="22"/>
          <w:lang w:eastAsia="ja-JP"/>
        </w:rPr>
        <w:t xml:space="preserve">απροθυμία ή (πλέον σύνηθες σε ηλικιωμένους ασθενείς) αδυναμία του ασθενή για συνεργασία, υποσιτισμός, ακανόνιστη λήψη γευμάτων ή ελλιπή γεύματα, έλλειψη ισορροπίας μεταξύ σωματικής άσκησης και πρόσληψης υδατανθράκων, αλλαγές στη δίαιτα, διαταραγμένη νεφρική λειτουργία, σοβαρή ηπατική δυσλειτουργία, </w:t>
      </w:r>
      <w:proofErr w:type="spellStart"/>
      <w:r w:rsidRPr="00F45BD1">
        <w:rPr>
          <w:szCs w:val="22"/>
          <w:lang w:eastAsia="ja-JP"/>
        </w:rPr>
        <w:t>υπερδοσολογία</w:t>
      </w:r>
      <w:proofErr w:type="spellEnd"/>
      <w:r w:rsidRPr="00F45BD1">
        <w:rPr>
          <w:szCs w:val="22"/>
          <w:lang w:eastAsia="ja-JP"/>
        </w:rPr>
        <w:t xml:space="preserve"> με </w:t>
      </w:r>
      <w:r w:rsidRPr="00F45BD1">
        <w:rPr>
          <w:noProof/>
        </w:rPr>
        <w:t>N</w:t>
      </w:r>
      <w:r w:rsidRPr="00F45BD1">
        <w:rPr>
          <w:noProof/>
          <w:lang w:val="en-US"/>
        </w:rPr>
        <w:t>ormell</w:t>
      </w:r>
      <w:r w:rsidRPr="00F45BD1">
        <w:rPr>
          <w:szCs w:val="22"/>
          <w:lang w:eastAsia="ja-JP"/>
        </w:rPr>
        <w:t xml:space="preserve">, συγκεκριμένοι αστάθμητοι παράγοντες του ενδοκρινικού συστήματος που επηρεάζουν το μεταβολισμό των υδατανθράκων ή την απορρύθμιση της υπογλυκαιμίας (όπως για παράδειγμα σε συγκεκριμένες διαταραχές της λειτουργίας του θυρεοειδή και σε ανεπάρκεια του πρόσθιου λοβού της υπόφυσης ή του φλοιού των επινεφριδίων), συγχορήγηση με άλλα συγκεκριμένα φαρμακευτικά προϊόντα (βλ. παράγραφο 2. Άλλα φάρμακα και </w:t>
      </w:r>
      <w:r w:rsidR="00F27403" w:rsidRPr="00F45BD1">
        <w:rPr>
          <w:noProof/>
        </w:rPr>
        <w:t>N</w:t>
      </w:r>
      <w:r w:rsidR="00F27403" w:rsidRPr="00F45BD1">
        <w:rPr>
          <w:noProof/>
          <w:lang w:val="en-US"/>
        </w:rPr>
        <w:t>ormell</w:t>
      </w:r>
      <w:r w:rsidRPr="00F45BD1">
        <w:rPr>
          <w:szCs w:val="22"/>
          <w:lang w:eastAsia="ja-JP"/>
        </w:rPr>
        <w:t xml:space="preserve">), αγωγή με </w:t>
      </w:r>
      <w:r w:rsidR="00F27403" w:rsidRPr="00F45BD1">
        <w:rPr>
          <w:noProof/>
        </w:rPr>
        <w:t>N</w:t>
      </w:r>
      <w:r w:rsidR="00F27403" w:rsidRPr="00F45BD1">
        <w:rPr>
          <w:noProof/>
          <w:lang w:val="en-US"/>
        </w:rPr>
        <w:t>ormell</w:t>
      </w:r>
      <w:r w:rsidR="00F27403" w:rsidRPr="00F45BD1">
        <w:rPr>
          <w:b/>
          <w:noProof/>
        </w:rPr>
        <w:t xml:space="preserve"> </w:t>
      </w:r>
      <w:r w:rsidRPr="00F45BD1">
        <w:rPr>
          <w:szCs w:val="22"/>
          <w:lang w:eastAsia="ja-JP"/>
        </w:rPr>
        <w:t>σε απουσία οποιασδήποτε ένδειξης.</w:t>
      </w:r>
    </w:p>
    <w:p w:rsidR="00BD3CEF" w:rsidRPr="00F45BD1" w:rsidRDefault="00BD3CEF" w:rsidP="00BD3CEF">
      <w:pPr>
        <w:widowControl/>
        <w:overflowPunct w:val="0"/>
        <w:autoSpaceDE w:val="0"/>
        <w:autoSpaceDN w:val="0"/>
        <w:adjustRightInd w:val="0"/>
        <w:jc w:val="both"/>
        <w:textAlignment w:val="baseline"/>
        <w:rPr>
          <w:szCs w:val="22"/>
          <w:lang w:eastAsia="ja-JP"/>
        </w:rPr>
      </w:pPr>
      <w:r w:rsidRPr="00F45BD1">
        <w:rPr>
          <w:szCs w:val="22"/>
          <w:lang w:eastAsia="ja-JP"/>
        </w:rPr>
        <w:t>Ο ασθενής θα πρέπει να ενημερώσει τον ιατρό σχετικά με τέτοιους παράγοντες και υπογλυκαιμικά επεισόδια, επειδή αυτά μπορεί να υποδεικνύουν την ανάγκη για ιδιαίτερα προσεκτική παρακολούθηση.</w:t>
      </w:r>
    </w:p>
    <w:p w:rsidR="00BD3CEF" w:rsidRPr="00F45BD1" w:rsidRDefault="00BD3CEF" w:rsidP="00BD3CEF">
      <w:pPr>
        <w:widowControl/>
        <w:overflowPunct w:val="0"/>
        <w:autoSpaceDE w:val="0"/>
        <w:autoSpaceDN w:val="0"/>
        <w:adjustRightInd w:val="0"/>
        <w:jc w:val="both"/>
        <w:textAlignment w:val="baseline"/>
        <w:rPr>
          <w:szCs w:val="22"/>
          <w:lang w:eastAsia="ja-JP"/>
        </w:rPr>
      </w:pPr>
      <w:r w:rsidRPr="00F45BD1">
        <w:rPr>
          <w:szCs w:val="22"/>
          <w:lang w:eastAsia="ja-JP"/>
        </w:rPr>
        <w:lastRenderedPageBreak/>
        <w:t xml:space="preserve">Εφόσον παρουσιαστούν τέτοιοι παράγοντες κινδύνου για υπογλυκαιμία, θα πρέπει να τροποποιηθεί η δόση του </w:t>
      </w:r>
      <w:r w:rsidR="00F27403" w:rsidRPr="00F45BD1">
        <w:rPr>
          <w:noProof/>
        </w:rPr>
        <w:t>N</w:t>
      </w:r>
      <w:r w:rsidR="00F27403" w:rsidRPr="00F45BD1">
        <w:rPr>
          <w:noProof/>
          <w:lang w:val="en-US"/>
        </w:rPr>
        <w:t>ormell</w:t>
      </w:r>
      <w:r w:rsidR="00F27403" w:rsidRPr="00F45BD1">
        <w:rPr>
          <w:b/>
          <w:noProof/>
        </w:rPr>
        <w:t xml:space="preserve"> </w:t>
      </w:r>
      <w:r w:rsidRPr="00F45BD1">
        <w:rPr>
          <w:szCs w:val="22"/>
          <w:lang w:eastAsia="ja-JP"/>
        </w:rPr>
        <w:t>ή ολόκληρη η αγωγή. Αυτό ισχύει επίσης όταν παρουσιαστεί κάποιο νόσημα κατά την αγωγή ή όταν διαφοροποιηθεί ο τρόπος ζωής του ασθενή.</w:t>
      </w:r>
    </w:p>
    <w:p w:rsidR="00BD3CEF" w:rsidRPr="00F45BD1" w:rsidRDefault="00BD3CEF" w:rsidP="00BD3CEF">
      <w:pPr>
        <w:widowControl/>
        <w:overflowPunct w:val="0"/>
        <w:autoSpaceDE w:val="0"/>
        <w:autoSpaceDN w:val="0"/>
        <w:adjustRightInd w:val="0"/>
        <w:textAlignment w:val="baseline"/>
        <w:rPr>
          <w:szCs w:val="22"/>
          <w:lang w:eastAsia="ja-JP"/>
        </w:rPr>
      </w:pPr>
      <w:r w:rsidRPr="00F45BD1">
        <w:rPr>
          <w:szCs w:val="22"/>
          <w:lang w:eastAsia="ja-JP"/>
        </w:rPr>
        <w:t xml:space="preserve">Οι ηλικιωμένοι ασθενείς είναι ιδιαίτερα ευπαθείς στην υπογλυκαιμική δράση των φαρμάκων μείωσης της γλυκόζης. Η υπογλυκαιμία μπορεί να είναι δύσκολο να αναγνωριστεί στους ηλικιωμένους. Η αρχική δόση και η δόση συντήρησης πρέπει να </w:t>
      </w:r>
      <w:r w:rsidR="00E477EE" w:rsidRPr="00F45BD1">
        <w:rPr>
          <w:rFonts w:hint="eastAsia"/>
          <w:szCs w:val="22"/>
        </w:rPr>
        <w:t>εξατομικεύεται</w:t>
      </w:r>
      <w:r w:rsidR="00E477EE" w:rsidRPr="00F45BD1">
        <w:rPr>
          <w:szCs w:val="22"/>
        </w:rPr>
        <w:t xml:space="preserve"> </w:t>
      </w:r>
      <w:r w:rsidR="00E477EE" w:rsidRPr="00F45BD1">
        <w:rPr>
          <w:rFonts w:hint="eastAsia"/>
          <w:szCs w:val="22"/>
        </w:rPr>
        <w:t>και</w:t>
      </w:r>
      <w:r w:rsidR="00E477EE" w:rsidRPr="00F45BD1">
        <w:rPr>
          <w:szCs w:val="22"/>
        </w:rPr>
        <w:t xml:space="preserve"> </w:t>
      </w:r>
      <w:r w:rsidR="00E477EE" w:rsidRPr="00F45BD1">
        <w:rPr>
          <w:rFonts w:hint="eastAsia"/>
          <w:szCs w:val="22"/>
        </w:rPr>
        <w:t>να</w:t>
      </w:r>
      <w:r w:rsidR="00E477EE" w:rsidRPr="00F45BD1">
        <w:rPr>
          <w:szCs w:val="22"/>
        </w:rPr>
        <w:t xml:space="preserve"> </w:t>
      </w:r>
      <w:r w:rsidR="00E477EE" w:rsidRPr="00F45BD1">
        <w:rPr>
          <w:rFonts w:hint="eastAsia"/>
          <w:szCs w:val="22"/>
        </w:rPr>
        <w:t>προσαρμόζεται</w:t>
      </w:r>
      <w:r w:rsidR="00E477EE" w:rsidRPr="00F45BD1">
        <w:rPr>
          <w:szCs w:val="22"/>
        </w:rPr>
        <w:t xml:space="preserve"> </w:t>
      </w:r>
      <w:r w:rsidR="00E477EE" w:rsidRPr="00F45BD1">
        <w:rPr>
          <w:rFonts w:hint="eastAsia"/>
          <w:szCs w:val="22"/>
        </w:rPr>
        <w:t>αναλόγως</w:t>
      </w:r>
      <w:r w:rsidR="00E477EE" w:rsidRPr="00F45BD1">
        <w:rPr>
          <w:szCs w:val="22"/>
        </w:rPr>
        <w:t xml:space="preserve"> </w:t>
      </w:r>
      <w:r w:rsidR="00E477EE" w:rsidRPr="00F45BD1">
        <w:rPr>
          <w:rFonts w:hint="eastAsia"/>
          <w:szCs w:val="22"/>
        </w:rPr>
        <w:t>από</w:t>
      </w:r>
      <w:r w:rsidR="00E477EE" w:rsidRPr="00F45BD1">
        <w:rPr>
          <w:szCs w:val="22"/>
        </w:rPr>
        <w:t xml:space="preserve"> </w:t>
      </w:r>
      <w:r w:rsidR="00E477EE" w:rsidRPr="00F45BD1">
        <w:rPr>
          <w:rFonts w:hint="eastAsia"/>
          <w:szCs w:val="22"/>
        </w:rPr>
        <w:t>τον</w:t>
      </w:r>
      <w:r w:rsidR="00E477EE" w:rsidRPr="00F45BD1">
        <w:rPr>
          <w:szCs w:val="22"/>
        </w:rPr>
        <w:t xml:space="preserve"> </w:t>
      </w:r>
      <w:r w:rsidR="00E477EE" w:rsidRPr="00F45BD1">
        <w:rPr>
          <w:rFonts w:hint="eastAsia"/>
          <w:szCs w:val="22"/>
        </w:rPr>
        <w:t>θεράποντα</w:t>
      </w:r>
      <w:r w:rsidR="00E477EE" w:rsidRPr="00F45BD1">
        <w:rPr>
          <w:szCs w:val="22"/>
        </w:rPr>
        <w:t xml:space="preserve"> </w:t>
      </w:r>
      <w:r w:rsidR="00E477EE" w:rsidRPr="00F45BD1">
        <w:rPr>
          <w:rFonts w:hint="eastAsia"/>
          <w:szCs w:val="22"/>
        </w:rPr>
        <w:t>ιατρό</w:t>
      </w:r>
      <w:r w:rsidR="00E477EE" w:rsidRPr="00F45BD1">
        <w:rPr>
          <w:szCs w:val="22"/>
        </w:rPr>
        <w:t xml:space="preserve"> </w:t>
      </w:r>
      <w:r w:rsidRPr="00F45BD1">
        <w:rPr>
          <w:szCs w:val="22"/>
          <w:lang w:eastAsia="ja-JP"/>
        </w:rPr>
        <w:t>για την αποφυγή υπογλυκαιμικών αντιδράσεων.</w:t>
      </w:r>
    </w:p>
    <w:p w:rsidR="00BD3CEF" w:rsidRPr="00F45BD1" w:rsidRDefault="00BD3CEF" w:rsidP="00BD3CEF">
      <w:pPr>
        <w:widowControl/>
        <w:overflowPunct w:val="0"/>
        <w:autoSpaceDE w:val="0"/>
        <w:autoSpaceDN w:val="0"/>
        <w:adjustRightInd w:val="0"/>
        <w:jc w:val="both"/>
        <w:textAlignment w:val="baseline"/>
        <w:rPr>
          <w:szCs w:val="22"/>
          <w:lang w:eastAsia="ja-JP"/>
        </w:rPr>
      </w:pPr>
      <w:r w:rsidRPr="00F45BD1">
        <w:rPr>
          <w:szCs w:val="22"/>
          <w:lang w:eastAsia="ja-JP"/>
        </w:rPr>
        <w:t xml:space="preserve">Τα συμπτώματα εκείνα της υπογλυκαιμίας που απεικονίζουν την </w:t>
      </w:r>
      <w:proofErr w:type="spellStart"/>
      <w:r w:rsidRPr="00F45BD1">
        <w:rPr>
          <w:szCs w:val="22"/>
          <w:lang w:eastAsia="ja-JP"/>
        </w:rPr>
        <w:t>αδρενεργική</w:t>
      </w:r>
      <w:proofErr w:type="spellEnd"/>
      <w:r w:rsidRPr="00F45BD1">
        <w:rPr>
          <w:szCs w:val="22"/>
          <w:lang w:eastAsia="ja-JP"/>
        </w:rPr>
        <w:t xml:space="preserve"> αντίδραση του οργανισμού (βλ. παράγραφο 4) μπορεί να είναι ηπιότερα ή να είναι απόντα, όταν παρουσιάζεται βαθμιαία υπογλυκαιμία, όταν υπάρχει αυτόνομη νευροπάθεια ή όταν ο ασθενής λαμβάνει συγχρόνως αναστολείς των β-υποδοχέων, </w:t>
      </w:r>
      <w:proofErr w:type="spellStart"/>
      <w:r w:rsidRPr="00F45BD1">
        <w:rPr>
          <w:szCs w:val="22"/>
          <w:lang w:eastAsia="ja-JP"/>
        </w:rPr>
        <w:t>κλονιδίνη</w:t>
      </w:r>
      <w:proofErr w:type="spellEnd"/>
      <w:r w:rsidRPr="00F45BD1">
        <w:rPr>
          <w:szCs w:val="22"/>
          <w:lang w:eastAsia="ja-JP"/>
        </w:rPr>
        <w:t xml:space="preserve">, </w:t>
      </w:r>
      <w:proofErr w:type="spellStart"/>
      <w:r w:rsidRPr="00F45BD1">
        <w:rPr>
          <w:szCs w:val="22"/>
          <w:lang w:eastAsia="ja-JP"/>
        </w:rPr>
        <w:t>ρεζερπίνη</w:t>
      </w:r>
      <w:proofErr w:type="spellEnd"/>
      <w:r w:rsidRPr="00F45BD1">
        <w:rPr>
          <w:szCs w:val="22"/>
          <w:lang w:eastAsia="ja-JP"/>
        </w:rPr>
        <w:t xml:space="preserve">, </w:t>
      </w:r>
      <w:proofErr w:type="spellStart"/>
      <w:r w:rsidRPr="00F45BD1">
        <w:rPr>
          <w:szCs w:val="22"/>
          <w:lang w:eastAsia="ja-JP"/>
        </w:rPr>
        <w:t>γουανεθιδίνη</w:t>
      </w:r>
      <w:proofErr w:type="spellEnd"/>
      <w:r w:rsidRPr="00F45BD1">
        <w:rPr>
          <w:szCs w:val="22"/>
          <w:lang w:eastAsia="ja-JP"/>
        </w:rPr>
        <w:t xml:space="preserve"> ή άλλα </w:t>
      </w:r>
      <w:proofErr w:type="spellStart"/>
      <w:r w:rsidRPr="00F45BD1">
        <w:rPr>
          <w:szCs w:val="22"/>
          <w:lang w:eastAsia="ja-JP"/>
        </w:rPr>
        <w:t>συμπαθητικολυτικά</w:t>
      </w:r>
      <w:proofErr w:type="spellEnd"/>
      <w:r w:rsidRPr="00F45BD1">
        <w:rPr>
          <w:szCs w:val="22"/>
          <w:lang w:eastAsia="ja-JP"/>
        </w:rPr>
        <w:t xml:space="preserve"> φάρμακα.</w:t>
      </w:r>
    </w:p>
    <w:p w:rsidR="00F27403" w:rsidRPr="00F45BD1" w:rsidRDefault="00F27403" w:rsidP="00BD3CEF">
      <w:pPr>
        <w:widowControl/>
        <w:overflowPunct w:val="0"/>
        <w:autoSpaceDE w:val="0"/>
        <w:autoSpaceDN w:val="0"/>
        <w:adjustRightInd w:val="0"/>
        <w:jc w:val="both"/>
        <w:textAlignment w:val="baseline"/>
        <w:rPr>
          <w:szCs w:val="22"/>
          <w:lang w:eastAsia="ja-JP"/>
        </w:rPr>
      </w:pPr>
    </w:p>
    <w:p w:rsidR="00BD3CEF" w:rsidRPr="00F45BD1" w:rsidRDefault="00BD3CEF" w:rsidP="00BD3CEF">
      <w:pPr>
        <w:widowControl/>
        <w:overflowPunct w:val="0"/>
        <w:autoSpaceDE w:val="0"/>
        <w:autoSpaceDN w:val="0"/>
        <w:adjustRightInd w:val="0"/>
        <w:jc w:val="both"/>
        <w:textAlignment w:val="baseline"/>
        <w:rPr>
          <w:szCs w:val="22"/>
          <w:lang w:eastAsia="ja-JP"/>
        </w:rPr>
      </w:pPr>
      <w:r w:rsidRPr="00F45BD1">
        <w:rPr>
          <w:szCs w:val="22"/>
          <w:lang w:eastAsia="ja-JP"/>
        </w:rPr>
        <w:t xml:space="preserve">Η υπογλυκαιμία σχεδόν πάντα μπορεί να ελεγχθεί έγκαιρα με άμεση χορήγηση υδατανθράκων (γλυκόζη ή ζάχαρη, π.χ. κύβοι ζάχαρης, φρουτοχυμός με ζάχαρη ή τσάι). Για το λόγο αυτό οι ασθενείς θα πρέπει να έχουν μαζί τους κατ’ ελάχιστον 20 </w:t>
      </w:r>
      <w:r w:rsidRPr="00F45BD1">
        <w:rPr>
          <w:szCs w:val="22"/>
          <w:lang w:val="en-GB" w:eastAsia="ja-JP"/>
        </w:rPr>
        <w:t>g</w:t>
      </w:r>
      <w:r w:rsidRPr="00F45BD1">
        <w:rPr>
          <w:szCs w:val="22"/>
          <w:lang w:eastAsia="ja-JP"/>
        </w:rPr>
        <w:t xml:space="preserve"> γλυκόζης κάθε στιγμή. Ίσως χρειάζονται τη βοήθεια άλλων ατόμων για την αποφυγή επιπλοκών. </w:t>
      </w:r>
    </w:p>
    <w:p w:rsidR="00BD3CEF" w:rsidRPr="00F45BD1" w:rsidRDefault="00BD3CEF" w:rsidP="00BD3CEF">
      <w:pPr>
        <w:widowControl/>
        <w:overflowPunct w:val="0"/>
        <w:autoSpaceDE w:val="0"/>
        <w:autoSpaceDN w:val="0"/>
        <w:adjustRightInd w:val="0"/>
        <w:jc w:val="both"/>
        <w:textAlignment w:val="baseline"/>
        <w:rPr>
          <w:szCs w:val="22"/>
          <w:lang w:eastAsia="ja-JP"/>
        </w:rPr>
      </w:pPr>
      <w:r w:rsidRPr="00F45BD1">
        <w:rPr>
          <w:szCs w:val="22"/>
          <w:lang w:eastAsia="ja-JP"/>
        </w:rPr>
        <w:t xml:space="preserve">Για την αντιμετώπιση της υπογλυκαιμίας τα τεχνητά γλυκαντικά δεν είναι αποτελεσματικά. </w:t>
      </w:r>
    </w:p>
    <w:p w:rsidR="00BD3CEF" w:rsidRPr="00F45BD1" w:rsidRDefault="00BD3CEF" w:rsidP="00BD3CEF">
      <w:pPr>
        <w:widowControl/>
        <w:overflowPunct w:val="0"/>
        <w:autoSpaceDE w:val="0"/>
        <w:autoSpaceDN w:val="0"/>
        <w:adjustRightInd w:val="0"/>
        <w:jc w:val="both"/>
        <w:textAlignment w:val="baseline"/>
        <w:rPr>
          <w:szCs w:val="22"/>
          <w:lang w:eastAsia="ja-JP"/>
        </w:rPr>
      </w:pPr>
      <w:r w:rsidRPr="00F45BD1">
        <w:rPr>
          <w:szCs w:val="22"/>
          <w:lang w:eastAsia="ja-JP"/>
        </w:rPr>
        <w:t>Παρά τα κατ’ αρχήν ικανοποιητικά μέτρα αντιμετώπισης, η υπογλυκαιμία μπορεί να επανεμφανισθεί. Γι’ αυτό οι ασθενείς θα πρέπει να βρίσκονται υπό στενή παρακολούθηση.</w:t>
      </w:r>
    </w:p>
    <w:p w:rsidR="00BD3CEF" w:rsidRPr="00F45BD1" w:rsidRDefault="00BD3CEF" w:rsidP="00BD3CEF">
      <w:pPr>
        <w:widowControl/>
        <w:overflowPunct w:val="0"/>
        <w:autoSpaceDE w:val="0"/>
        <w:autoSpaceDN w:val="0"/>
        <w:adjustRightInd w:val="0"/>
        <w:jc w:val="both"/>
        <w:textAlignment w:val="baseline"/>
        <w:rPr>
          <w:szCs w:val="22"/>
          <w:lang w:eastAsia="ja-JP"/>
        </w:rPr>
      </w:pPr>
      <w:r w:rsidRPr="00F45BD1">
        <w:rPr>
          <w:szCs w:val="22"/>
          <w:lang w:eastAsia="ja-JP"/>
        </w:rPr>
        <w:t>Σε σοβαρή υπογλυκαιμία ή σε παρατεταμένο επεισόδιο, που μπορεί να ελεγχθεί μόνον παροδικά με τη συνήθη ποσότητα ζάχαρης απαιτείται περαιτέρω άμεση αντιμετώπιση και παρακολούθηση από τον ιατρό ενώ σε μερικές περιπτώσεις ακόμη και εισαγωγή του ασθενούς στο νοσοκομείο.</w:t>
      </w:r>
    </w:p>
    <w:p w:rsidR="00BD3CEF" w:rsidRPr="00F45BD1" w:rsidRDefault="00BD3CEF" w:rsidP="00BD3CEF">
      <w:pPr>
        <w:widowControl/>
        <w:overflowPunct w:val="0"/>
        <w:autoSpaceDE w:val="0"/>
        <w:autoSpaceDN w:val="0"/>
        <w:adjustRightInd w:val="0"/>
        <w:jc w:val="both"/>
        <w:textAlignment w:val="baseline"/>
        <w:rPr>
          <w:szCs w:val="22"/>
          <w:lang w:eastAsia="ja-JP"/>
        </w:rPr>
      </w:pPr>
      <w:r w:rsidRPr="00F45BD1">
        <w:rPr>
          <w:szCs w:val="22"/>
          <w:lang w:eastAsia="ja-JP"/>
        </w:rPr>
        <w:t>Αν οι διαβητικοί αλλάξουν ιατρό (π.χ. εισαγωγή σε νοσοκομείο μετά από ατύχημα, ασθένεια σε διακοπές), θα πρέπει να τον ενημερώσουν σχετικά με το νόσημά τους και την προηγούμενη αγωγή.</w:t>
      </w:r>
    </w:p>
    <w:p w:rsidR="00BD3CEF" w:rsidRPr="00F45BD1" w:rsidRDefault="00BD3CEF" w:rsidP="00BD3CEF">
      <w:pPr>
        <w:widowControl/>
        <w:overflowPunct w:val="0"/>
        <w:autoSpaceDE w:val="0"/>
        <w:autoSpaceDN w:val="0"/>
        <w:adjustRightInd w:val="0"/>
        <w:jc w:val="both"/>
        <w:textAlignment w:val="baseline"/>
        <w:rPr>
          <w:szCs w:val="22"/>
          <w:lang w:eastAsia="ja-JP"/>
        </w:rPr>
      </w:pPr>
    </w:p>
    <w:p w:rsidR="00BD3CEF" w:rsidRPr="00F45BD1" w:rsidRDefault="00BD3CEF" w:rsidP="00BD3CEF">
      <w:pPr>
        <w:widowControl/>
        <w:overflowPunct w:val="0"/>
        <w:autoSpaceDE w:val="0"/>
        <w:autoSpaceDN w:val="0"/>
        <w:adjustRightInd w:val="0"/>
        <w:jc w:val="both"/>
        <w:textAlignment w:val="baseline"/>
        <w:rPr>
          <w:szCs w:val="22"/>
          <w:lang w:eastAsia="ja-JP"/>
        </w:rPr>
      </w:pPr>
      <w:r w:rsidRPr="00F45BD1">
        <w:rPr>
          <w:szCs w:val="22"/>
          <w:lang w:eastAsia="ja-JP"/>
        </w:rPr>
        <w:t>Απαιτείται ιδιαίτερη προσοχή σε αρρώστους με καρδιαγγειακή νόσο καθώς επίσης και σε ηλικιωμένα άτομα λόγω αυξημένου κινδύνου σοβαρής υπογλυκαιμίας.</w:t>
      </w:r>
    </w:p>
    <w:p w:rsidR="00BD3CEF" w:rsidRPr="00F45BD1" w:rsidRDefault="00BD3CEF" w:rsidP="00BD3CEF">
      <w:pPr>
        <w:widowControl/>
        <w:overflowPunct w:val="0"/>
        <w:autoSpaceDE w:val="0"/>
        <w:autoSpaceDN w:val="0"/>
        <w:adjustRightInd w:val="0"/>
        <w:jc w:val="both"/>
        <w:textAlignment w:val="baseline"/>
        <w:rPr>
          <w:szCs w:val="22"/>
          <w:lang w:eastAsia="ja-JP"/>
        </w:rPr>
      </w:pPr>
    </w:p>
    <w:p w:rsidR="00BD3CEF" w:rsidRPr="00F45BD1" w:rsidRDefault="00BD3CEF" w:rsidP="00BD3CEF">
      <w:pPr>
        <w:tabs>
          <w:tab w:val="left" w:pos="567"/>
        </w:tabs>
        <w:rPr>
          <w:position w:val="6"/>
          <w:szCs w:val="22"/>
        </w:rPr>
      </w:pPr>
      <w:r w:rsidRPr="00F45BD1">
        <w:rPr>
          <w:szCs w:val="22"/>
        </w:rPr>
        <w:t xml:space="preserve">Σε ασθενείς με ανεπάρκεια του ενζύμου </w:t>
      </w:r>
      <w:r w:rsidRPr="00F45BD1">
        <w:rPr>
          <w:szCs w:val="22"/>
          <w:lang w:val="en-US"/>
        </w:rPr>
        <w:t>G</w:t>
      </w:r>
      <w:r w:rsidRPr="00F45BD1">
        <w:rPr>
          <w:szCs w:val="22"/>
        </w:rPr>
        <w:t>6</w:t>
      </w:r>
      <w:r w:rsidRPr="00F45BD1">
        <w:rPr>
          <w:szCs w:val="22"/>
          <w:lang w:val="en-US"/>
        </w:rPr>
        <w:t>PD</w:t>
      </w:r>
      <w:r w:rsidRPr="00F45BD1">
        <w:rPr>
          <w:szCs w:val="22"/>
        </w:rPr>
        <w:t xml:space="preserve"> που αντιμετωπίζονται θεραπευτικά με </w:t>
      </w:r>
      <w:proofErr w:type="spellStart"/>
      <w:r w:rsidRPr="00F45BD1">
        <w:rPr>
          <w:szCs w:val="22"/>
        </w:rPr>
        <w:t>σουλφονυλουρίες</w:t>
      </w:r>
      <w:proofErr w:type="spellEnd"/>
      <w:r w:rsidRPr="00F45BD1">
        <w:rPr>
          <w:szCs w:val="22"/>
        </w:rPr>
        <w:t xml:space="preserve"> μπορεί να προκληθεί αιμολυτική αναιμία. Αφού η </w:t>
      </w:r>
      <w:proofErr w:type="spellStart"/>
      <w:r w:rsidRPr="00F45BD1">
        <w:rPr>
          <w:szCs w:val="22"/>
        </w:rPr>
        <w:t>γλιβενκλαμίδη</w:t>
      </w:r>
      <w:proofErr w:type="spellEnd"/>
      <w:r w:rsidRPr="00F45BD1">
        <w:rPr>
          <w:szCs w:val="22"/>
        </w:rPr>
        <w:t xml:space="preserve"> ανήκει στην κατηγορία των </w:t>
      </w:r>
      <w:proofErr w:type="spellStart"/>
      <w:r w:rsidRPr="00F45BD1">
        <w:rPr>
          <w:szCs w:val="22"/>
        </w:rPr>
        <w:t>σουλφονυλουριών</w:t>
      </w:r>
      <w:proofErr w:type="spellEnd"/>
      <w:r w:rsidRPr="00F45BD1">
        <w:rPr>
          <w:szCs w:val="22"/>
        </w:rPr>
        <w:t xml:space="preserve"> απαιτείται προσοχή από τους ασθενείς με ανεπάρκεια του </w:t>
      </w:r>
      <w:r w:rsidRPr="00F45BD1">
        <w:rPr>
          <w:szCs w:val="22"/>
          <w:lang w:val="en-US"/>
        </w:rPr>
        <w:t>G</w:t>
      </w:r>
      <w:r w:rsidRPr="00F45BD1">
        <w:rPr>
          <w:szCs w:val="22"/>
        </w:rPr>
        <w:t>6</w:t>
      </w:r>
      <w:r w:rsidRPr="00F45BD1">
        <w:rPr>
          <w:szCs w:val="22"/>
          <w:lang w:val="en-US"/>
        </w:rPr>
        <w:t>PD</w:t>
      </w:r>
      <w:r w:rsidRPr="00F45BD1">
        <w:rPr>
          <w:szCs w:val="22"/>
        </w:rPr>
        <w:t xml:space="preserve"> και εναλλακτικά πρέπει να ληφθεί υπόψη η χρήση ενός φαρμακευτικού προϊόντος που δεν ανήκει στις </w:t>
      </w:r>
      <w:proofErr w:type="spellStart"/>
      <w:r w:rsidRPr="00F45BD1">
        <w:rPr>
          <w:szCs w:val="22"/>
        </w:rPr>
        <w:t>σουλφονυλουρίες</w:t>
      </w:r>
      <w:proofErr w:type="spellEnd"/>
      <w:r w:rsidRPr="00F45BD1">
        <w:rPr>
          <w:szCs w:val="22"/>
        </w:rPr>
        <w:t>.</w:t>
      </w:r>
    </w:p>
    <w:p w:rsidR="00E063C9" w:rsidRPr="00F45BD1" w:rsidRDefault="00E063C9">
      <w:pPr>
        <w:rPr>
          <w:szCs w:val="22"/>
        </w:rPr>
      </w:pPr>
    </w:p>
    <w:p w:rsidR="00E063C9" w:rsidRPr="00F45BD1" w:rsidRDefault="00E063C9">
      <w:pPr>
        <w:rPr>
          <w:szCs w:val="22"/>
        </w:rPr>
      </w:pPr>
      <w:r w:rsidRPr="00F45BD1">
        <w:rPr>
          <w:szCs w:val="22"/>
        </w:rPr>
        <w:t xml:space="preserve">Λόγω της περιεχόμενης </w:t>
      </w:r>
      <w:proofErr w:type="spellStart"/>
      <w:r w:rsidRPr="00F45BD1">
        <w:rPr>
          <w:szCs w:val="22"/>
        </w:rPr>
        <w:t>σορβιτόλης</w:t>
      </w:r>
      <w:proofErr w:type="spellEnd"/>
      <w:r w:rsidRPr="00F45BD1">
        <w:rPr>
          <w:szCs w:val="22"/>
        </w:rPr>
        <w:t>, οι ασθενείς με σπάνια κληρονομικά προβλήματα δυσανεξίας στη φρουκτόζη δεν πρέπει να πάρουν αυτό το φάρμακο.</w:t>
      </w:r>
    </w:p>
    <w:p w:rsidR="00E063C9" w:rsidRPr="00F45BD1" w:rsidRDefault="00E063C9">
      <w:pPr>
        <w:tabs>
          <w:tab w:val="left" w:pos="870"/>
        </w:tabs>
        <w:rPr>
          <w:b/>
          <w:szCs w:val="22"/>
        </w:rPr>
      </w:pPr>
    </w:p>
    <w:p w:rsidR="00E063C9" w:rsidRPr="00F45BD1" w:rsidRDefault="00E063C9">
      <w:pPr>
        <w:tabs>
          <w:tab w:val="left" w:pos="870"/>
        </w:tabs>
        <w:rPr>
          <w:b/>
          <w:szCs w:val="22"/>
        </w:rPr>
      </w:pPr>
      <w:r w:rsidRPr="00F45BD1">
        <w:rPr>
          <w:b/>
          <w:szCs w:val="22"/>
        </w:rPr>
        <w:t>Μετφορμίνη</w:t>
      </w:r>
    </w:p>
    <w:p w:rsidR="00E063C9" w:rsidRPr="00F45BD1" w:rsidRDefault="00E063C9">
      <w:pPr>
        <w:rPr>
          <w:szCs w:val="22"/>
        </w:rPr>
      </w:pPr>
      <w:r w:rsidRPr="00F45BD1">
        <w:rPr>
          <w:szCs w:val="22"/>
        </w:rPr>
        <w:t>Ο ασθενής θα πρέπει να διδαχθεί να αναγνωρίζει τα πρώτα συμπτώματα της γαλακτικής οξέωσης (ναυτία, έμετος, οξονουρία), της υπογλυκαιμίας (έντονη πείνα, εφίδρωση, τρόμος, ευερεθιστότητα, ανησυχία, καταθλιπτική διάθεση, κεφαλαλγία, διαταραχές ύπνου), παροδικών νευρολογικών διαταραχών (τέτοια όπως διαταραχές όρασης, διαταραχές ομιλίας, συμπτώματα παράλυσης ή παραισθησίες) και υπεργλυκαιμίας (έντονη δίψα, ξηροστομία και ξηρό δέρμα, συχνή ούρηση) προκειμένου να ειδοποιήσει αμέσως τον ιατρό.</w:t>
      </w:r>
    </w:p>
    <w:p w:rsidR="00E063C9" w:rsidRPr="00F45BD1" w:rsidRDefault="00E063C9">
      <w:pPr>
        <w:pStyle w:val="20"/>
        <w:jc w:val="both"/>
        <w:rPr>
          <w:color w:val="auto"/>
          <w:szCs w:val="22"/>
        </w:rPr>
      </w:pPr>
    </w:p>
    <w:p w:rsidR="00E063C9" w:rsidRPr="00F45BD1" w:rsidRDefault="00E063C9">
      <w:pPr>
        <w:pStyle w:val="20"/>
        <w:jc w:val="both"/>
        <w:rPr>
          <w:color w:val="auto"/>
          <w:szCs w:val="22"/>
        </w:rPr>
      </w:pPr>
      <w:r w:rsidRPr="00F45BD1">
        <w:rPr>
          <w:color w:val="auto"/>
          <w:szCs w:val="22"/>
        </w:rPr>
        <w:t>Η θνησιμότητα από γαλακτική οξέωση υπερβαίνει το 50% και γι’ αυτό πρέπει να τηρούνται αυστηρά οι ενδείξεις και αντενδείξεις του φαρμάκου.</w:t>
      </w:r>
    </w:p>
    <w:p w:rsidR="00E063C9" w:rsidRPr="00F45BD1" w:rsidRDefault="00E063C9">
      <w:pPr>
        <w:rPr>
          <w:szCs w:val="22"/>
        </w:rPr>
      </w:pPr>
    </w:p>
    <w:p w:rsidR="00E063C9" w:rsidRPr="00F45BD1" w:rsidRDefault="00E063C9">
      <w:pPr>
        <w:rPr>
          <w:szCs w:val="22"/>
        </w:rPr>
      </w:pPr>
      <w:r w:rsidRPr="00F45BD1">
        <w:rPr>
          <w:szCs w:val="22"/>
        </w:rPr>
        <w:t xml:space="preserve">Να αποφεύγεται η λήψη του </w:t>
      </w:r>
      <w:proofErr w:type="spellStart"/>
      <w:r w:rsidRPr="00F45BD1">
        <w:rPr>
          <w:szCs w:val="22"/>
        </w:rPr>
        <w:t>προεγχειρητικά</w:t>
      </w:r>
      <w:proofErr w:type="spellEnd"/>
      <w:r w:rsidRPr="00F45BD1">
        <w:rPr>
          <w:szCs w:val="22"/>
        </w:rPr>
        <w:t xml:space="preserve"> και μετεγχειρητικά καθώς και η σύγχρονη λήψη οινοπνεύματος, όπως ακόμη και η υπέρβαση της συνιστώμενης δόσης. Να διακόπτεται αμέσως σε εμφάνιση εκδηλώσεων γαλακτικής οξέωσης.</w:t>
      </w:r>
    </w:p>
    <w:p w:rsidR="00E063C9" w:rsidRPr="00F45BD1" w:rsidRDefault="006A7944" w:rsidP="00F45BD1">
      <w:pPr>
        <w:tabs>
          <w:tab w:val="left" w:pos="1335"/>
        </w:tabs>
        <w:rPr>
          <w:szCs w:val="22"/>
        </w:rPr>
      </w:pPr>
      <w:r w:rsidRPr="00F45BD1">
        <w:rPr>
          <w:szCs w:val="22"/>
        </w:rPr>
        <w:tab/>
      </w:r>
    </w:p>
    <w:p w:rsidR="00E063C9" w:rsidRPr="00F45BD1" w:rsidRDefault="00E063C9">
      <w:pPr>
        <w:rPr>
          <w:szCs w:val="22"/>
        </w:rPr>
      </w:pPr>
      <w:r w:rsidRPr="00F45BD1">
        <w:rPr>
          <w:szCs w:val="22"/>
        </w:rPr>
        <w:t>Ο ασθενής θα πρέπει να ακολουθεί αυστηρά τις ιατρικές οδηγίες σχετικά με τη δοσολογία και τον τρόπο χορήγησης, καθώς επίσης και με το παράλληλο διαιτητικό σχήμα και τη σωματική άσκηση.</w:t>
      </w:r>
    </w:p>
    <w:p w:rsidR="00E063C9" w:rsidRPr="00F45BD1" w:rsidRDefault="00E063C9">
      <w:pPr>
        <w:rPr>
          <w:szCs w:val="22"/>
        </w:rPr>
      </w:pPr>
    </w:p>
    <w:p w:rsidR="00E063C9" w:rsidRPr="00F45BD1" w:rsidRDefault="00E063C9">
      <w:pPr>
        <w:rPr>
          <w:szCs w:val="22"/>
        </w:rPr>
      </w:pPr>
      <w:r w:rsidRPr="00F45BD1">
        <w:rPr>
          <w:szCs w:val="22"/>
        </w:rPr>
        <w:t xml:space="preserve">Η ημερήσια δόση της </w:t>
      </w:r>
      <w:proofErr w:type="spellStart"/>
      <w:r w:rsidRPr="00F45BD1">
        <w:rPr>
          <w:szCs w:val="22"/>
        </w:rPr>
        <w:t>μετφορμίνης</w:t>
      </w:r>
      <w:proofErr w:type="spellEnd"/>
      <w:r w:rsidRPr="00F45BD1">
        <w:rPr>
          <w:szCs w:val="22"/>
        </w:rPr>
        <w:t xml:space="preserve"> ποτέ δεν πρέπει να υπερβαίνει τα 2,5 g.</w:t>
      </w:r>
    </w:p>
    <w:p w:rsidR="00E063C9" w:rsidRPr="00F45BD1" w:rsidRDefault="00E063C9">
      <w:pPr>
        <w:rPr>
          <w:szCs w:val="22"/>
        </w:rPr>
      </w:pPr>
      <w:r w:rsidRPr="00F45BD1">
        <w:rPr>
          <w:szCs w:val="22"/>
        </w:rPr>
        <w:lastRenderedPageBreak/>
        <w:t>Να χορηγείται με προσοχή σε άτομα μεγαλύτερα των 65 ετών.</w:t>
      </w:r>
    </w:p>
    <w:p w:rsidR="00E063C9" w:rsidRPr="00F45BD1" w:rsidRDefault="00E063C9">
      <w:pPr>
        <w:rPr>
          <w:szCs w:val="22"/>
        </w:rPr>
      </w:pPr>
      <w:r w:rsidRPr="00F45BD1">
        <w:rPr>
          <w:szCs w:val="22"/>
        </w:rPr>
        <w:t xml:space="preserve"> </w:t>
      </w:r>
    </w:p>
    <w:p w:rsidR="00E063C9" w:rsidRPr="00F45BD1" w:rsidRDefault="00E063C9">
      <w:pPr>
        <w:rPr>
          <w:szCs w:val="22"/>
        </w:rPr>
      </w:pPr>
      <w:r w:rsidRPr="00F45BD1">
        <w:rPr>
          <w:szCs w:val="22"/>
        </w:rPr>
        <w:t xml:space="preserve">Επειδή πρόκειται για συνδυασμό </w:t>
      </w:r>
      <w:proofErr w:type="spellStart"/>
      <w:r w:rsidRPr="00F45BD1">
        <w:rPr>
          <w:szCs w:val="22"/>
        </w:rPr>
        <w:t>σουλφονυλουρίας</w:t>
      </w:r>
      <w:proofErr w:type="spellEnd"/>
      <w:r w:rsidRPr="00F45BD1">
        <w:rPr>
          <w:szCs w:val="22"/>
        </w:rPr>
        <w:t xml:space="preserve">, με τη χρήση του </w:t>
      </w:r>
      <w:proofErr w:type="spellStart"/>
      <w:r w:rsidRPr="00F45BD1">
        <w:rPr>
          <w:szCs w:val="22"/>
        </w:rPr>
        <w:t>Normell</w:t>
      </w:r>
      <w:proofErr w:type="spellEnd"/>
      <w:r w:rsidRPr="00F45BD1">
        <w:rPr>
          <w:szCs w:val="22"/>
        </w:rPr>
        <w:t xml:space="preserve"> πρέπει να περιορίζεται σε ασθενείς με μη </w:t>
      </w:r>
      <w:proofErr w:type="spellStart"/>
      <w:r w:rsidRPr="00F45BD1">
        <w:rPr>
          <w:szCs w:val="22"/>
        </w:rPr>
        <w:t>ινσουλινοεξαρτώμενο</w:t>
      </w:r>
      <w:proofErr w:type="spellEnd"/>
      <w:r w:rsidRPr="00F45BD1">
        <w:rPr>
          <w:szCs w:val="22"/>
        </w:rPr>
        <w:t xml:space="preserve"> σακχαρώδη διαβήτη (τύπου 2, διαβήτης της ώριμης ηλικίας) και μη </w:t>
      </w:r>
      <w:proofErr w:type="spellStart"/>
      <w:r w:rsidRPr="00F45BD1">
        <w:rPr>
          <w:szCs w:val="22"/>
        </w:rPr>
        <w:t>κετονογόνο</w:t>
      </w:r>
      <w:proofErr w:type="spellEnd"/>
      <w:r w:rsidRPr="00F45BD1">
        <w:rPr>
          <w:szCs w:val="22"/>
        </w:rPr>
        <w:t xml:space="preserve">, ο οποίος δεν μπορεί να ελεγχθεί με </w:t>
      </w:r>
      <w:proofErr w:type="spellStart"/>
      <w:r w:rsidRPr="00F45BD1">
        <w:rPr>
          <w:szCs w:val="22"/>
        </w:rPr>
        <w:t>σουλφονυλουρία</w:t>
      </w:r>
      <w:proofErr w:type="spellEnd"/>
      <w:r w:rsidRPr="00F45BD1">
        <w:rPr>
          <w:szCs w:val="22"/>
        </w:rPr>
        <w:t xml:space="preserve"> μόνη και όπου δεν ενδείκνυται η χορήγηση ινσουλίνης.</w:t>
      </w:r>
    </w:p>
    <w:p w:rsidR="00E063C9" w:rsidRPr="00F45BD1" w:rsidRDefault="00E063C9">
      <w:pPr>
        <w:rPr>
          <w:szCs w:val="22"/>
        </w:rPr>
      </w:pPr>
    </w:p>
    <w:p w:rsidR="00E063C9" w:rsidRPr="00F45BD1" w:rsidRDefault="00E063C9">
      <w:pPr>
        <w:rPr>
          <w:szCs w:val="22"/>
        </w:rPr>
      </w:pPr>
      <w:r w:rsidRPr="00F45BD1">
        <w:rPr>
          <w:szCs w:val="22"/>
        </w:rPr>
        <w:t xml:space="preserve">Λόγω της ύπαρξης </w:t>
      </w:r>
      <w:proofErr w:type="spellStart"/>
      <w:r w:rsidRPr="00F45BD1">
        <w:rPr>
          <w:szCs w:val="22"/>
        </w:rPr>
        <w:t>διγουανίδης</w:t>
      </w:r>
      <w:proofErr w:type="spellEnd"/>
      <w:r w:rsidRPr="00F45BD1">
        <w:rPr>
          <w:szCs w:val="22"/>
        </w:rPr>
        <w:t xml:space="preserve"> θα πρέπει να διεξάγονται έλεγχοι της νεφρικής λειτουργίας, όπως προσδιορισμοί της </w:t>
      </w:r>
      <w:proofErr w:type="spellStart"/>
      <w:r w:rsidRPr="00F45BD1">
        <w:rPr>
          <w:szCs w:val="22"/>
        </w:rPr>
        <w:t>κρεατινίνης</w:t>
      </w:r>
      <w:proofErr w:type="spellEnd"/>
      <w:r w:rsidRPr="00F45BD1">
        <w:rPr>
          <w:szCs w:val="22"/>
        </w:rPr>
        <w:t xml:space="preserve"> ορού, πριν από την έναρξη της αγωγής και αργότερα κάθε δύο μήνες κατά το πρώτο εξάμηνο της αγωγής και μετά κάθε έξι μήνες.</w:t>
      </w:r>
    </w:p>
    <w:p w:rsidR="00E063C9" w:rsidRPr="00F45BD1" w:rsidRDefault="00E063C9">
      <w:pPr>
        <w:rPr>
          <w:szCs w:val="22"/>
        </w:rPr>
      </w:pPr>
    </w:p>
    <w:p w:rsidR="00E063C9" w:rsidRPr="00F45BD1" w:rsidRDefault="00E063C9">
      <w:pPr>
        <w:rPr>
          <w:szCs w:val="22"/>
        </w:rPr>
      </w:pPr>
      <w:r w:rsidRPr="00F45BD1">
        <w:rPr>
          <w:szCs w:val="22"/>
        </w:rPr>
        <w:t>Χειρουργική επέμβαση:</w:t>
      </w:r>
    </w:p>
    <w:p w:rsidR="00E063C9" w:rsidRPr="00F45BD1" w:rsidRDefault="00E063C9">
      <w:pPr>
        <w:rPr>
          <w:szCs w:val="22"/>
        </w:rPr>
      </w:pPr>
      <w:r w:rsidRPr="00F45BD1">
        <w:rPr>
          <w:szCs w:val="22"/>
        </w:rPr>
        <w:t>Η υδροχλωρική μετφορμίνη θα πρέπει να διακόπτεται 48 ώρες πριν την προγραμματισμένη χειρουργική επέμβαση με γενική αναισθησία και συνήθως δεν θα πρέπει να επαναλαμβάνεται νωρίτερα από 48 ώρες μετά.</w:t>
      </w:r>
    </w:p>
    <w:p w:rsidR="00E063C9" w:rsidRPr="00F45BD1" w:rsidRDefault="00E063C9">
      <w:pPr>
        <w:rPr>
          <w:szCs w:val="22"/>
        </w:rPr>
      </w:pPr>
    </w:p>
    <w:p w:rsidR="00E063C9" w:rsidRPr="00F45BD1" w:rsidRDefault="00E063C9">
      <w:pPr>
        <w:rPr>
          <w:szCs w:val="22"/>
        </w:rPr>
      </w:pPr>
      <w:r w:rsidRPr="00F45BD1">
        <w:rPr>
          <w:szCs w:val="22"/>
        </w:rPr>
        <w:t xml:space="preserve">Η τακτική παρακολούθηση των επιπέδων </w:t>
      </w:r>
      <w:proofErr w:type="spellStart"/>
      <w:r w:rsidRPr="00F45BD1">
        <w:rPr>
          <w:szCs w:val="22"/>
        </w:rPr>
        <w:t>θυρεοειδικής</w:t>
      </w:r>
      <w:proofErr w:type="spellEnd"/>
      <w:r w:rsidRPr="00F45BD1">
        <w:rPr>
          <w:szCs w:val="22"/>
        </w:rPr>
        <w:t xml:space="preserve"> ορμόνης (TSH) συνιστάται σε ασθενείς με υποθυρεοειδισμό.</w:t>
      </w:r>
    </w:p>
    <w:p w:rsidR="00E063C9" w:rsidRPr="00F45BD1" w:rsidRDefault="00E063C9">
      <w:pPr>
        <w:rPr>
          <w:szCs w:val="22"/>
        </w:rPr>
      </w:pPr>
    </w:p>
    <w:p w:rsidR="00E063C9" w:rsidRPr="00F45BD1" w:rsidRDefault="00E063C9">
      <w:pPr>
        <w:rPr>
          <w:szCs w:val="22"/>
        </w:rPr>
      </w:pPr>
      <w:r w:rsidRPr="00F45BD1">
        <w:rPr>
          <w:szCs w:val="22"/>
        </w:rPr>
        <w:t>Η μακροχρόνια θεραπεία με μετφορμίνη έχει συσχετισθεί με μια μείωση των επιπέδων της βιταμίνης Β12 στον ορό που μπορεί να προκαλέσουν περιφερική νευροπάθεια. Η παρακολούθηση του επιπέδου της βιταμίνης Β12 συνιστάται</w:t>
      </w:r>
    </w:p>
    <w:p w:rsidR="00E063C9" w:rsidRPr="00F45BD1" w:rsidRDefault="00E063C9">
      <w:pPr>
        <w:rPr>
          <w:szCs w:val="22"/>
        </w:rPr>
      </w:pPr>
    </w:p>
    <w:p w:rsidR="00E063C9" w:rsidRPr="00F45BD1" w:rsidRDefault="00E063C9">
      <w:pPr>
        <w:rPr>
          <w:position w:val="6"/>
          <w:szCs w:val="22"/>
        </w:rPr>
      </w:pPr>
      <w:r w:rsidRPr="00F45BD1">
        <w:rPr>
          <w:szCs w:val="22"/>
        </w:rPr>
        <w:t>Σημείωση: Είναι πιθανή η παρουσία λεπτής λευκής σκόνης ή μικρών ανωμαλιών στην επιφάνεια των δισκίων.</w:t>
      </w:r>
    </w:p>
    <w:p w:rsidR="00E124D6" w:rsidRPr="00F45BD1" w:rsidRDefault="00E124D6">
      <w:pPr>
        <w:rPr>
          <w:b/>
          <w:bCs/>
          <w:noProof/>
        </w:rPr>
      </w:pPr>
    </w:p>
    <w:p w:rsidR="00B84E28" w:rsidRPr="00F45BD1" w:rsidRDefault="00B84E28" w:rsidP="00CD1AC3">
      <w:pPr>
        <w:rPr>
          <w:b/>
          <w:bCs/>
          <w:noProof/>
        </w:rPr>
      </w:pPr>
      <w:r w:rsidRPr="00F45BD1">
        <w:rPr>
          <w:b/>
          <w:bCs/>
          <w:noProof/>
        </w:rPr>
        <w:t xml:space="preserve">Άλλα φάρμακα και </w:t>
      </w:r>
      <w:r w:rsidR="007A0F93" w:rsidRPr="00F45BD1">
        <w:rPr>
          <w:b/>
          <w:noProof/>
        </w:rPr>
        <w:t>N</w:t>
      </w:r>
      <w:r w:rsidR="007A0F93" w:rsidRPr="00F45BD1">
        <w:rPr>
          <w:b/>
          <w:noProof/>
          <w:lang w:val="en-US"/>
        </w:rPr>
        <w:t>ormell</w:t>
      </w:r>
    </w:p>
    <w:p w:rsidR="00B84E28" w:rsidRPr="00F45BD1" w:rsidRDefault="00901575" w:rsidP="009C181C">
      <w:pPr>
        <w:rPr>
          <w:noProof/>
        </w:rPr>
      </w:pPr>
      <w:r w:rsidRPr="00F45BD1">
        <w:rPr>
          <w:noProof/>
        </w:rPr>
        <w:t>Ενημερώστε τον γιατρό ή τον φαρμακοποιό σας εάν παίρνετε, έχετε πρόσφατα πάρει ή μπορεί να πάρετε άλλα φάρμακα.</w:t>
      </w:r>
    </w:p>
    <w:p w:rsidR="00901575" w:rsidRPr="00F45BD1" w:rsidRDefault="00901575" w:rsidP="009C181C">
      <w:pPr>
        <w:rPr>
          <w:noProof/>
        </w:rPr>
      </w:pPr>
    </w:p>
    <w:p w:rsidR="0099008B" w:rsidRPr="00F45BD1" w:rsidRDefault="0099008B">
      <w:pPr>
        <w:widowControl/>
        <w:overflowPunct w:val="0"/>
        <w:autoSpaceDE w:val="0"/>
        <w:autoSpaceDN w:val="0"/>
        <w:adjustRightInd w:val="0"/>
        <w:jc w:val="both"/>
        <w:textAlignment w:val="baseline"/>
        <w:rPr>
          <w:b/>
          <w:szCs w:val="22"/>
          <w:lang w:eastAsia="el-GR"/>
        </w:rPr>
      </w:pPr>
      <w:r w:rsidRPr="00F45BD1">
        <w:rPr>
          <w:b/>
          <w:szCs w:val="22"/>
          <w:lang w:eastAsia="el-GR"/>
        </w:rPr>
        <w:t>Μη συνιστώμενοι συνδυασμοί</w:t>
      </w:r>
    </w:p>
    <w:p w:rsidR="0099008B" w:rsidRPr="00F45BD1" w:rsidRDefault="0099008B">
      <w:pPr>
        <w:widowControl/>
        <w:overflowPunct w:val="0"/>
        <w:autoSpaceDE w:val="0"/>
        <w:autoSpaceDN w:val="0"/>
        <w:adjustRightInd w:val="0"/>
        <w:jc w:val="both"/>
        <w:textAlignment w:val="baseline"/>
        <w:rPr>
          <w:i/>
          <w:szCs w:val="22"/>
          <w:lang w:eastAsia="el-GR"/>
        </w:rPr>
      </w:pPr>
      <w:proofErr w:type="spellStart"/>
      <w:r w:rsidRPr="00F45BD1">
        <w:rPr>
          <w:i/>
          <w:szCs w:val="22"/>
          <w:lang w:eastAsia="el-GR"/>
        </w:rPr>
        <w:t>Βοσεντάνη</w:t>
      </w:r>
      <w:proofErr w:type="spellEnd"/>
    </w:p>
    <w:p w:rsidR="0099008B" w:rsidRPr="00F45BD1" w:rsidRDefault="0099008B">
      <w:pPr>
        <w:widowControl/>
        <w:overflowPunct w:val="0"/>
        <w:autoSpaceDE w:val="0"/>
        <w:autoSpaceDN w:val="0"/>
        <w:adjustRightInd w:val="0"/>
        <w:jc w:val="both"/>
        <w:textAlignment w:val="baseline"/>
        <w:rPr>
          <w:szCs w:val="22"/>
          <w:lang w:eastAsia="el-GR"/>
        </w:rPr>
      </w:pPr>
      <w:r w:rsidRPr="00F45BD1">
        <w:rPr>
          <w:szCs w:val="22"/>
          <w:lang w:eastAsia="el-GR"/>
        </w:rPr>
        <w:t xml:space="preserve">Αυξημένο ποσοστό διαταραχής των ηπατικών ενζύμων παρατηρήθηκε σε ασθενείς που έλαβαν ταυτόχρονα </w:t>
      </w:r>
      <w:proofErr w:type="spellStart"/>
      <w:r w:rsidRPr="00F45BD1">
        <w:rPr>
          <w:szCs w:val="22"/>
          <w:lang w:eastAsia="el-GR"/>
        </w:rPr>
        <w:t>γλιβενκλαμίδη</w:t>
      </w:r>
      <w:proofErr w:type="spellEnd"/>
      <w:r w:rsidRPr="00F45BD1">
        <w:rPr>
          <w:szCs w:val="22"/>
          <w:lang w:eastAsia="el-GR"/>
        </w:rPr>
        <w:t xml:space="preserve"> με </w:t>
      </w:r>
      <w:proofErr w:type="spellStart"/>
      <w:r w:rsidRPr="00F45BD1">
        <w:rPr>
          <w:szCs w:val="22"/>
          <w:lang w:eastAsia="el-GR"/>
        </w:rPr>
        <w:t>βοσεντάνη</w:t>
      </w:r>
      <w:proofErr w:type="spellEnd"/>
      <w:r w:rsidRPr="00F45BD1">
        <w:rPr>
          <w:szCs w:val="22"/>
          <w:lang w:eastAsia="el-GR"/>
        </w:rPr>
        <w:t>.</w:t>
      </w:r>
      <w:r w:rsidR="003C7620" w:rsidRPr="00F45BD1">
        <w:rPr>
          <w:szCs w:val="22"/>
          <w:lang w:eastAsia="el-GR"/>
        </w:rPr>
        <w:t xml:space="preserve"> </w:t>
      </w:r>
      <w:r w:rsidRPr="00F45BD1">
        <w:rPr>
          <w:szCs w:val="22"/>
          <w:lang w:eastAsia="el-GR"/>
        </w:rPr>
        <w:t xml:space="preserve">Γι’ αυτό, δεν πρέπει να χρησιμοποιείται αυτός ο συνδυασμός (βλ. παράγραφο </w:t>
      </w:r>
      <w:r w:rsidR="00CD1AC3" w:rsidRPr="00F45BD1">
        <w:rPr>
          <w:szCs w:val="22"/>
          <w:lang w:eastAsia="el-GR"/>
        </w:rPr>
        <w:t>2</w:t>
      </w:r>
      <w:r w:rsidRPr="00F45BD1">
        <w:rPr>
          <w:szCs w:val="22"/>
          <w:lang w:eastAsia="el-GR"/>
        </w:rPr>
        <w:t>).</w:t>
      </w:r>
    </w:p>
    <w:p w:rsidR="0099008B" w:rsidRPr="00F45BD1" w:rsidRDefault="0099008B">
      <w:pPr>
        <w:widowControl/>
        <w:overflowPunct w:val="0"/>
        <w:autoSpaceDE w:val="0"/>
        <w:autoSpaceDN w:val="0"/>
        <w:adjustRightInd w:val="0"/>
        <w:jc w:val="both"/>
        <w:textAlignment w:val="baseline"/>
        <w:rPr>
          <w:szCs w:val="22"/>
          <w:lang w:eastAsia="el-GR"/>
        </w:rPr>
      </w:pPr>
    </w:p>
    <w:p w:rsidR="0099008B" w:rsidRPr="00F45BD1" w:rsidRDefault="0099008B">
      <w:pPr>
        <w:widowControl/>
        <w:overflowPunct w:val="0"/>
        <w:autoSpaceDE w:val="0"/>
        <w:autoSpaceDN w:val="0"/>
        <w:adjustRightInd w:val="0"/>
        <w:jc w:val="both"/>
        <w:textAlignment w:val="baseline"/>
        <w:rPr>
          <w:b/>
          <w:szCs w:val="22"/>
          <w:lang w:eastAsia="el-GR"/>
        </w:rPr>
      </w:pPr>
      <w:r w:rsidRPr="00F45BD1">
        <w:rPr>
          <w:b/>
          <w:szCs w:val="22"/>
          <w:lang w:eastAsia="el-GR"/>
        </w:rPr>
        <w:t>Να λαμβάνονται υπόψη</w:t>
      </w:r>
    </w:p>
    <w:p w:rsidR="003C7620" w:rsidRPr="00F45BD1" w:rsidRDefault="003C7620" w:rsidP="003C7620">
      <w:pPr>
        <w:widowControl/>
        <w:overflowPunct w:val="0"/>
        <w:autoSpaceDE w:val="0"/>
        <w:autoSpaceDN w:val="0"/>
        <w:adjustRightInd w:val="0"/>
        <w:jc w:val="both"/>
        <w:textAlignment w:val="baseline"/>
        <w:rPr>
          <w:szCs w:val="22"/>
          <w:lang w:eastAsia="el-GR"/>
        </w:rPr>
      </w:pPr>
      <w:r w:rsidRPr="00F45BD1">
        <w:rPr>
          <w:szCs w:val="22"/>
          <w:lang w:eastAsia="el-GR"/>
        </w:rPr>
        <w:t xml:space="preserve">Ασθενείς οι οποίοι λαμβάνουν ή διακόπτουν τη λήψη άλλων συγκεκριμένων φαρμάκων, ενώ βρίσκονται υπό αγωγή με </w:t>
      </w:r>
      <w:proofErr w:type="spellStart"/>
      <w:r w:rsidRPr="00F45BD1">
        <w:rPr>
          <w:szCs w:val="22"/>
          <w:lang w:val="en-US" w:eastAsia="el-GR"/>
        </w:rPr>
        <w:t>Normell</w:t>
      </w:r>
      <w:proofErr w:type="spellEnd"/>
      <w:r w:rsidRPr="00F45BD1">
        <w:rPr>
          <w:szCs w:val="22"/>
          <w:lang w:eastAsia="el-GR"/>
        </w:rPr>
        <w:t xml:space="preserve"> μπορεί να εμφανίσουν αλλαγές στον έλεγχο του σακχάρου του αίματος. </w:t>
      </w:r>
    </w:p>
    <w:p w:rsidR="003C7620" w:rsidRPr="00F45BD1" w:rsidRDefault="003C7620" w:rsidP="003C7620">
      <w:pPr>
        <w:widowControl/>
        <w:overflowPunct w:val="0"/>
        <w:autoSpaceDE w:val="0"/>
        <w:autoSpaceDN w:val="0"/>
        <w:adjustRightInd w:val="0"/>
        <w:jc w:val="both"/>
        <w:textAlignment w:val="baseline"/>
        <w:rPr>
          <w:szCs w:val="22"/>
          <w:lang w:eastAsia="el-GR"/>
        </w:rPr>
      </w:pPr>
      <w:r w:rsidRPr="00F45BD1">
        <w:rPr>
          <w:szCs w:val="22"/>
          <w:lang w:eastAsia="el-GR"/>
        </w:rPr>
        <w:t xml:space="preserve">Η </w:t>
      </w:r>
      <w:proofErr w:type="spellStart"/>
      <w:r w:rsidRPr="00F45BD1">
        <w:rPr>
          <w:szCs w:val="22"/>
          <w:lang w:eastAsia="el-GR"/>
        </w:rPr>
        <w:t>γλιβενκλαμίδη</w:t>
      </w:r>
      <w:proofErr w:type="spellEnd"/>
      <w:r w:rsidRPr="00F45BD1">
        <w:rPr>
          <w:szCs w:val="22"/>
          <w:lang w:eastAsia="el-GR"/>
        </w:rPr>
        <w:t xml:space="preserve"> μεταβολίζεται κυρίως από το </w:t>
      </w:r>
      <w:r w:rsidRPr="00F45BD1">
        <w:rPr>
          <w:szCs w:val="22"/>
          <w:lang w:val="en-US" w:eastAsia="el-GR"/>
        </w:rPr>
        <w:t>CYP</w:t>
      </w:r>
      <w:r w:rsidRPr="00F45BD1">
        <w:rPr>
          <w:szCs w:val="22"/>
          <w:lang w:eastAsia="el-GR"/>
        </w:rPr>
        <w:t>2</w:t>
      </w:r>
      <w:r w:rsidRPr="00F45BD1">
        <w:rPr>
          <w:szCs w:val="22"/>
          <w:lang w:val="en-US" w:eastAsia="el-GR"/>
        </w:rPr>
        <w:t>C</w:t>
      </w:r>
      <w:r w:rsidRPr="00F45BD1">
        <w:rPr>
          <w:szCs w:val="22"/>
          <w:lang w:eastAsia="el-GR"/>
        </w:rPr>
        <w:t xml:space="preserve">9 και σε μικρότερο βαθμό από το </w:t>
      </w:r>
      <w:r w:rsidRPr="00F45BD1">
        <w:rPr>
          <w:szCs w:val="22"/>
          <w:lang w:val="en-US" w:eastAsia="el-GR"/>
        </w:rPr>
        <w:t>CYP</w:t>
      </w:r>
      <w:r w:rsidRPr="00F45BD1">
        <w:rPr>
          <w:szCs w:val="22"/>
          <w:lang w:eastAsia="el-GR"/>
        </w:rPr>
        <w:t>3</w:t>
      </w:r>
      <w:r w:rsidRPr="00F45BD1">
        <w:rPr>
          <w:szCs w:val="22"/>
          <w:lang w:val="en-US" w:eastAsia="el-GR"/>
        </w:rPr>
        <w:t>A</w:t>
      </w:r>
      <w:r w:rsidRPr="00F45BD1">
        <w:rPr>
          <w:szCs w:val="22"/>
          <w:lang w:eastAsia="el-GR"/>
        </w:rPr>
        <w:t xml:space="preserve">4. Αυτό θα πρέπει να ληφθεί υπόψη όταν η </w:t>
      </w:r>
      <w:proofErr w:type="spellStart"/>
      <w:r w:rsidRPr="00F45BD1">
        <w:rPr>
          <w:szCs w:val="22"/>
          <w:lang w:eastAsia="el-GR"/>
        </w:rPr>
        <w:t>γλιβενκλαμίδη</w:t>
      </w:r>
      <w:proofErr w:type="spellEnd"/>
      <w:r w:rsidRPr="00F45BD1">
        <w:rPr>
          <w:szCs w:val="22"/>
          <w:lang w:eastAsia="el-GR"/>
        </w:rPr>
        <w:t xml:space="preserve"> </w:t>
      </w:r>
      <w:proofErr w:type="spellStart"/>
      <w:r w:rsidRPr="00F45BD1">
        <w:rPr>
          <w:szCs w:val="22"/>
          <w:lang w:eastAsia="el-GR"/>
        </w:rPr>
        <w:t>συγχορηγείται</w:t>
      </w:r>
      <w:proofErr w:type="spellEnd"/>
      <w:r w:rsidRPr="00F45BD1">
        <w:rPr>
          <w:szCs w:val="22"/>
          <w:lang w:eastAsia="el-GR"/>
        </w:rPr>
        <w:t xml:space="preserve"> με </w:t>
      </w:r>
      <w:proofErr w:type="spellStart"/>
      <w:r w:rsidRPr="00F45BD1">
        <w:rPr>
          <w:szCs w:val="22"/>
          <w:lang w:eastAsia="el-GR"/>
        </w:rPr>
        <w:t>επαγωγείς</w:t>
      </w:r>
      <w:proofErr w:type="spellEnd"/>
      <w:r w:rsidRPr="00F45BD1">
        <w:rPr>
          <w:szCs w:val="22"/>
          <w:lang w:eastAsia="el-GR"/>
        </w:rPr>
        <w:t xml:space="preserve"> ή αναστολείς του </w:t>
      </w:r>
      <w:r w:rsidRPr="00F45BD1">
        <w:rPr>
          <w:szCs w:val="22"/>
          <w:lang w:val="en-US" w:eastAsia="el-GR"/>
        </w:rPr>
        <w:t>CYP</w:t>
      </w:r>
      <w:r w:rsidRPr="00F45BD1">
        <w:rPr>
          <w:szCs w:val="22"/>
          <w:lang w:eastAsia="el-GR"/>
        </w:rPr>
        <w:t>2</w:t>
      </w:r>
      <w:r w:rsidRPr="00F45BD1">
        <w:rPr>
          <w:szCs w:val="22"/>
          <w:lang w:val="en-US" w:eastAsia="el-GR"/>
        </w:rPr>
        <w:t>C</w:t>
      </w:r>
      <w:r w:rsidRPr="00F45BD1">
        <w:rPr>
          <w:szCs w:val="22"/>
          <w:lang w:eastAsia="el-GR"/>
        </w:rPr>
        <w:t>9.</w:t>
      </w:r>
    </w:p>
    <w:p w:rsidR="003C7620" w:rsidRPr="00F45BD1" w:rsidRDefault="003C7620" w:rsidP="003C7620">
      <w:pPr>
        <w:widowControl/>
        <w:overflowPunct w:val="0"/>
        <w:autoSpaceDE w:val="0"/>
        <w:autoSpaceDN w:val="0"/>
        <w:adjustRightInd w:val="0"/>
        <w:jc w:val="both"/>
        <w:textAlignment w:val="baseline"/>
        <w:rPr>
          <w:szCs w:val="22"/>
          <w:lang w:eastAsia="el-GR"/>
        </w:rPr>
      </w:pPr>
      <w:r w:rsidRPr="00F45BD1">
        <w:rPr>
          <w:szCs w:val="22"/>
          <w:lang w:eastAsia="el-GR"/>
        </w:rPr>
        <w:t xml:space="preserve">Ενίσχυση της υπογλυκαιμικής του δράσης και γι’ αυτό σε μερικές περιπτώσεις υπογλυκαιμία είναι δυνατόν να παρουσιασθεί κατά τη συγχορήγηση με άλλα φάρμακα, όπως ινσουλίνη και άλλα από του στόματος χορηγούμενα αντιδιαβητικά, αναστολείς του ΜΕΑ, αναβολικά στεροειδή και ανδρικές ορμόνες, </w:t>
      </w:r>
      <w:proofErr w:type="spellStart"/>
      <w:r w:rsidRPr="00F45BD1">
        <w:rPr>
          <w:szCs w:val="22"/>
          <w:lang w:eastAsia="el-GR"/>
        </w:rPr>
        <w:t>αζαπροπαζάνη</w:t>
      </w:r>
      <w:proofErr w:type="spellEnd"/>
      <w:r w:rsidRPr="00F45BD1">
        <w:rPr>
          <w:szCs w:val="22"/>
          <w:lang w:eastAsia="el-GR"/>
        </w:rPr>
        <w:t xml:space="preserve">, </w:t>
      </w:r>
      <w:proofErr w:type="spellStart"/>
      <w:r w:rsidRPr="00F45BD1">
        <w:rPr>
          <w:szCs w:val="22"/>
          <w:lang w:eastAsia="el-GR"/>
        </w:rPr>
        <w:t>χλωραμφενικόλη</w:t>
      </w:r>
      <w:proofErr w:type="spellEnd"/>
      <w:r w:rsidRPr="00F45BD1">
        <w:rPr>
          <w:szCs w:val="22"/>
          <w:lang w:eastAsia="el-GR"/>
        </w:rPr>
        <w:t xml:space="preserve">, παράγωγα </w:t>
      </w:r>
      <w:proofErr w:type="spellStart"/>
      <w:r w:rsidRPr="00F45BD1">
        <w:rPr>
          <w:szCs w:val="22"/>
          <w:lang w:eastAsia="el-GR"/>
        </w:rPr>
        <w:t>κουμαρίνης</w:t>
      </w:r>
      <w:proofErr w:type="spellEnd"/>
      <w:r w:rsidRPr="00F45BD1">
        <w:rPr>
          <w:szCs w:val="22"/>
          <w:lang w:eastAsia="el-GR"/>
        </w:rPr>
        <w:t xml:space="preserve">, </w:t>
      </w:r>
      <w:proofErr w:type="spellStart"/>
      <w:r w:rsidRPr="00F45BD1">
        <w:rPr>
          <w:szCs w:val="22"/>
          <w:lang w:eastAsia="el-GR"/>
        </w:rPr>
        <w:t>κυκλοφωσφαμίδη</w:t>
      </w:r>
      <w:proofErr w:type="spellEnd"/>
      <w:r w:rsidRPr="00F45BD1">
        <w:rPr>
          <w:szCs w:val="22"/>
          <w:lang w:eastAsia="el-GR"/>
        </w:rPr>
        <w:t xml:space="preserve">, </w:t>
      </w:r>
      <w:proofErr w:type="spellStart"/>
      <w:r w:rsidRPr="00F45BD1">
        <w:rPr>
          <w:szCs w:val="22"/>
          <w:lang w:eastAsia="el-GR"/>
        </w:rPr>
        <w:t>δισοπυραμίδη</w:t>
      </w:r>
      <w:proofErr w:type="spellEnd"/>
      <w:r w:rsidRPr="00F45BD1">
        <w:rPr>
          <w:szCs w:val="22"/>
          <w:lang w:eastAsia="el-GR"/>
        </w:rPr>
        <w:t xml:space="preserve">, </w:t>
      </w:r>
      <w:proofErr w:type="spellStart"/>
      <w:r w:rsidRPr="00F45BD1">
        <w:rPr>
          <w:szCs w:val="22"/>
          <w:lang w:eastAsia="el-GR"/>
        </w:rPr>
        <w:t>φενφλουραμίνη</w:t>
      </w:r>
      <w:proofErr w:type="spellEnd"/>
      <w:r w:rsidRPr="00F45BD1">
        <w:rPr>
          <w:szCs w:val="22"/>
          <w:lang w:eastAsia="el-GR"/>
        </w:rPr>
        <w:t xml:space="preserve">, </w:t>
      </w:r>
      <w:proofErr w:type="spellStart"/>
      <w:r w:rsidRPr="00F45BD1">
        <w:rPr>
          <w:szCs w:val="22"/>
          <w:lang w:eastAsia="el-GR"/>
        </w:rPr>
        <w:t>φαινυραμιδόλη</w:t>
      </w:r>
      <w:proofErr w:type="spellEnd"/>
      <w:r w:rsidRPr="00F45BD1">
        <w:rPr>
          <w:szCs w:val="22"/>
          <w:lang w:eastAsia="el-GR"/>
        </w:rPr>
        <w:t xml:space="preserve">, </w:t>
      </w:r>
      <w:proofErr w:type="spellStart"/>
      <w:r w:rsidRPr="00F45BD1">
        <w:rPr>
          <w:szCs w:val="22"/>
          <w:lang w:eastAsia="el-GR"/>
        </w:rPr>
        <w:t>φιβράτες</w:t>
      </w:r>
      <w:proofErr w:type="spellEnd"/>
      <w:r w:rsidRPr="00F45BD1">
        <w:rPr>
          <w:szCs w:val="22"/>
          <w:lang w:eastAsia="el-GR"/>
        </w:rPr>
        <w:t xml:space="preserve">, </w:t>
      </w:r>
      <w:proofErr w:type="spellStart"/>
      <w:r w:rsidRPr="00F45BD1">
        <w:rPr>
          <w:szCs w:val="22"/>
          <w:lang w:eastAsia="el-GR"/>
        </w:rPr>
        <w:t>φλουοξετίνη</w:t>
      </w:r>
      <w:proofErr w:type="spellEnd"/>
      <w:r w:rsidRPr="00F45BD1">
        <w:rPr>
          <w:szCs w:val="22"/>
          <w:lang w:eastAsia="el-GR"/>
        </w:rPr>
        <w:t xml:space="preserve">, </w:t>
      </w:r>
      <w:proofErr w:type="spellStart"/>
      <w:r w:rsidRPr="00F45BD1">
        <w:rPr>
          <w:szCs w:val="22"/>
          <w:lang w:eastAsia="el-GR"/>
        </w:rPr>
        <w:t>ιφωσφαμίδη</w:t>
      </w:r>
      <w:proofErr w:type="spellEnd"/>
      <w:r w:rsidRPr="00F45BD1">
        <w:rPr>
          <w:szCs w:val="22"/>
          <w:lang w:eastAsia="el-GR"/>
        </w:rPr>
        <w:t xml:space="preserve">, αναστολείς της ΜΑΟ, </w:t>
      </w:r>
      <w:proofErr w:type="spellStart"/>
      <w:r w:rsidRPr="00F45BD1">
        <w:rPr>
          <w:szCs w:val="22"/>
          <w:lang w:eastAsia="el-GR"/>
        </w:rPr>
        <w:t>μικοναζόλη</w:t>
      </w:r>
      <w:proofErr w:type="spellEnd"/>
      <w:r w:rsidRPr="00F45BD1">
        <w:rPr>
          <w:szCs w:val="22"/>
          <w:lang w:eastAsia="el-GR"/>
        </w:rPr>
        <w:t xml:space="preserve">, </w:t>
      </w:r>
      <w:proofErr w:type="spellStart"/>
      <w:r w:rsidRPr="00F45BD1">
        <w:rPr>
          <w:szCs w:val="22"/>
          <w:lang w:eastAsia="el-GR"/>
        </w:rPr>
        <w:t>οξυφαινοβουταζόνη</w:t>
      </w:r>
      <w:proofErr w:type="spellEnd"/>
      <w:r w:rsidRPr="00F45BD1">
        <w:rPr>
          <w:szCs w:val="22"/>
          <w:lang w:eastAsia="el-GR"/>
        </w:rPr>
        <w:t xml:space="preserve">, </w:t>
      </w:r>
      <w:proofErr w:type="spellStart"/>
      <w:r w:rsidRPr="00F45BD1">
        <w:rPr>
          <w:szCs w:val="22"/>
          <w:lang w:eastAsia="el-GR"/>
        </w:rPr>
        <w:t>παρααμινοσαλικυλικό</w:t>
      </w:r>
      <w:proofErr w:type="spellEnd"/>
      <w:r w:rsidRPr="00F45BD1">
        <w:rPr>
          <w:szCs w:val="22"/>
          <w:lang w:eastAsia="el-GR"/>
        </w:rPr>
        <w:t xml:space="preserve"> οξύ, </w:t>
      </w:r>
      <w:proofErr w:type="spellStart"/>
      <w:r w:rsidRPr="00F45BD1">
        <w:rPr>
          <w:szCs w:val="22"/>
          <w:lang w:eastAsia="el-GR"/>
        </w:rPr>
        <w:t>πεντοξυφυλλίνη</w:t>
      </w:r>
      <w:proofErr w:type="spellEnd"/>
      <w:r w:rsidRPr="00F45BD1">
        <w:rPr>
          <w:szCs w:val="22"/>
          <w:lang w:eastAsia="el-GR"/>
        </w:rPr>
        <w:t xml:space="preserve"> παρεντερικά σε υψηλές δόσεις, </w:t>
      </w:r>
      <w:proofErr w:type="spellStart"/>
      <w:r w:rsidRPr="00F45BD1">
        <w:rPr>
          <w:szCs w:val="22"/>
          <w:lang w:eastAsia="el-GR"/>
        </w:rPr>
        <w:t>φαινυλοβουταζόνη</w:t>
      </w:r>
      <w:proofErr w:type="spellEnd"/>
      <w:r w:rsidRPr="00F45BD1">
        <w:rPr>
          <w:szCs w:val="22"/>
          <w:lang w:eastAsia="el-GR"/>
        </w:rPr>
        <w:t xml:space="preserve">, </w:t>
      </w:r>
      <w:proofErr w:type="spellStart"/>
      <w:r w:rsidRPr="00F45BD1">
        <w:rPr>
          <w:szCs w:val="22"/>
          <w:lang w:eastAsia="el-GR"/>
        </w:rPr>
        <w:t>προβενεσίδη</w:t>
      </w:r>
      <w:proofErr w:type="spellEnd"/>
      <w:r w:rsidRPr="00F45BD1">
        <w:rPr>
          <w:szCs w:val="22"/>
          <w:lang w:eastAsia="el-GR"/>
        </w:rPr>
        <w:t xml:space="preserve">, </w:t>
      </w:r>
      <w:proofErr w:type="spellStart"/>
      <w:r w:rsidRPr="00F45BD1">
        <w:rPr>
          <w:szCs w:val="22"/>
          <w:lang w:eastAsia="el-GR"/>
        </w:rPr>
        <w:t>κινολόνες</w:t>
      </w:r>
      <w:proofErr w:type="spellEnd"/>
      <w:r w:rsidRPr="00F45BD1">
        <w:rPr>
          <w:szCs w:val="22"/>
          <w:lang w:eastAsia="el-GR"/>
        </w:rPr>
        <w:t xml:space="preserve">, σαλικυλικά, </w:t>
      </w:r>
      <w:proofErr w:type="spellStart"/>
      <w:r w:rsidRPr="00F45BD1">
        <w:rPr>
          <w:szCs w:val="22"/>
          <w:lang w:eastAsia="el-GR"/>
        </w:rPr>
        <w:t>σουλφυνπυραζόνη</w:t>
      </w:r>
      <w:proofErr w:type="spellEnd"/>
      <w:r w:rsidRPr="00F45BD1">
        <w:rPr>
          <w:szCs w:val="22"/>
          <w:lang w:eastAsia="el-GR"/>
        </w:rPr>
        <w:t xml:space="preserve">, </w:t>
      </w:r>
      <w:proofErr w:type="spellStart"/>
      <w:r w:rsidRPr="00F45BD1">
        <w:rPr>
          <w:szCs w:val="22"/>
          <w:lang w:eastAsia="el-GR"/>
        </w:rPr>
        <w:t>σουλφοναμίδες</w:t>
      </w:r>
      <w:proofErr w:type="spellEnd"/>
      <w:r w:rsidRPr="00F45BD1">
        <w:rPr>
          <w:szCs w:val="22"/>
          <w:lang w:eastAsia="el-GR"/>
        </w:rPr>
        <w:t xml:space="preserve">, </w:t>
      </w:r>
      <w:proofErr w:type="spellStart"/>
      <w:r w:rsidRPr="00F45BD1">
        <w:rPr>
          <w:szCs w:val="22"/>
          <w:lang w:eastAsia="el-GR"/>
        </w:rPr>
        <w:t>συμπαθητικολυτικές</w:t>
      </w:r>
      <w:proofErr w:type="spellEnd"/>
      <w:r w:rsidRPr="00F45BD1">
        <w:rPr>
          <w:szCs w:val="22"/>
          <w:lang w:eastAsia="el-GR"/>
        </w:rPr>
        <w:t xml:space="preserve"> ουσίες (όπως αναστολείς των β-υποδοχέων και </w:t>
      </w:r>
      <w:proofErr w:type="spellStart"/>
      <w:r w:rsidRPr="00F45BD1">
        <w:rPr>
          <w:szCs w:val="22"/>
          <w:lang w:eastAsia="el-GR"/>
        </w:rPr>
        <w:t>γουανεθιδίνη</w:t>
      </w:r>
      <w:proofErr w:type="spellEnd"/>
      <w:r w:rsidRPr="00F45BD1">
        <w:rPr>
          <w:szCs w:val="22"/>
          <w:lang w:eastAsia="el-GR"/>
        </w:rPr>
        <w:t xml:space="preserve">), </w:t>
      </w:r>
      <w:proofErr w:type="spellStart"/>
      <w:r w:rsidRPr="00F45BD1">
        <w:rPr>
          <w:szCs w:val="22"/>
          <w:lang w:eastAsia="el-GR"/>
        </w:rPr>
        <w:t>κλαριθρομυκίνη</w:t>
      </w:r>
      <w:proofErr w:type="spellEnd"/>
      <w:r w:rsidRPr="00F45BD1">
        <w:rPr>
          <w:szCs w:val="22"/>
          <w:lang w:eastAsia="el-GR"/>
        </w:rPr>
        <w:t xml:space="preserve">, </w:t>
      </w:r>
      <w:proofErr w:type="spellStart"/>
      <w:r w:rsidRPr="00F45BD1">
        <w:rPr>
          <w:szCs w:val="22"/>
          <w:lang w:eastAsia="el-GR"/>
        </w:rPr>
        <w:t>τετρακυκλίνες</w:t>
      </w:r>
      <w:proofErr w:type="spellEnd"/>
      <w:r w:rsidRPr="00F45BD1">
        <w:rPr>
          <w:szCs w:val="22"/>
          <w:lang w:eastAsia="el-GR"/>
        </w:rPr>
        <w:t xml:space="preserve">, </w:t>
      </w:r>
      <w:proofErr w:type="spellStart"/>
      <w:r w:rsidRPr="00F45BD1">
        <w:rPr>
          <w:szCs w:val="22"/>
          <w:lang w:eastAsia="el-GR"/>
        </w:rPr>
        <w:t>τριτοκουαλίνη</w:t>
      </w:r>
      <w:proofErr w:type="spellEnd"/>
      <w:r w:rsidRPr="00F45BD1">
        <w:rPr>
          <w:szCs w:val="22"/>
          <w:lang w:eastAsia="el-GR"/>
        </w:rPr>
        <w:t xml:space="preserve">, </w:t>
      </w:r>
      <w:proofErr w:type="spellStart"/>
      <w:r w:rsidRPr="00F45BD1">
        <w:rPr>
          <w:szCs w:val="22"/>
          <w:lang w:eastAsia="el-GR"/>
        </w:rPr>
        <w:t>τροφωσφαμίδη</w:t>
      </w:r>
      <w:proofErr w:type="spellEnd"/>
      <w:r w:rsidRPr="00F45BD1">
        <w:rPr>
          <w:szCs w:val="22"/>
          <w:lang w:eastAsia="el-GR"/>
        </w:rPr>
        <w:t>.</w:t>
      </w:r>
    </w:p>
    <w:p w:rsidR="003C7620" w:rsidRPr="00F45BD1" w:rsidRDefault="003C7620" w:rsidP="003C7620">
      <w:pPr>
        <w:widowControl/>
        <w:overflowPunct w:val="0"/>
        <w:autoSpaceDE w:val="0"/>
        <w:autoSpaceDN w:val="0"/>
        <w:adjustRightInd w:val="0"/>
        <w:jc w:val="both"/>
        <w:textAlignment w:val="baseline"/>
        <w:rPr>
          <w:szCs w:val="22"/>
          <w:lang w:eastAsia="el-GR"/>
        </w:rPr>
      </w:pPr>
    </w:p>
    <w:p w:rsidR="003C7620" w:rsidRPr="00F45BD1" w:rsidRDefault="003C7620" w:rsidP="003C7620">
      <w:pPr>
        <w:widowControl/>
        <w:overflowPunct w:val="0"/>
        <w:autoSpaceDE w:val="0"/>
        <w:autoSpaceDN w:val="0"/>
        <w:adjustRightInd w:val="0"/>
        <w:jc w:val="both"/>
        <w:textAlignment w:val="baseline"/>
        <w:rPr>
          <w:szCs w:val="22"/>
          <w:lang w:eastAsia="el-GR"/>
        </w:rPr>
      </w:pPr>
      <w:r w:rsidRPr="00F45BD1">
        <w:rPr>
          <w:szCs w:val="22"/>
          <w:lang w:eastAsia="el-GR"/>
        </w:rPr>
        <w:t xml:space="preserve">Μείωση της υπογλυκαιμικής δράσης του </w:t>
      </w:r>
      <w:proofErr w:type="spellStart"/>
      <w:r w:rsidRPr="00F45BD1">
        <w:rPr>
          <w:szCs w:val="22"/>
          <w:lang w:val="en-US" w:eastAsia="el-GR"/>
        </w:rPr>
        <w:t>Normell</w:t>
      </w:r>
      <w:proofErr w:type="spellEnd"/>
      <w:r w:rsidRPr="00F45BD1">
        <w:rPr>
          <w:szCs w:val="22"/>
          <w:lang w:eastAsia="el-GR"/>
        </w:rPr>
        <w:t xml:space="preserve"> και κατά συνέπεια αυξημένα επίπεδα σακχάρου στο αίμα δυνατόν να παρατηρηθούν κατά την ταυτόχρονη λήψη με άλλα φάρμακα, όπως </w:t>
      </w:r>
      <w:proofErr w:type="spellStart"/>
      <w:r w:rsidRPr="00F45BD1">
        <w:rPr>
          <w:szCs w:val="22"/>
          <w:lang w:eastAsia="el-GR"/>
        </w:rPr>
        <w:t>ακεταζολαμίδη</w:t>
      </w:r>
      <w:proofErr w:type="spellEnd"/>
      <w:r w:rsidRPr="00F45BD1">
        <w:rPr>
          <w:szCs w:val="22"/>
          <w:lang w:eastAsia="el-GR"/>
        </w:rPr>
        <w:t xml:space="preserve">, βαρβιτουρικά, </w:t>
      </w:r>
      <w:proofErr w:type="spellStart"/>
      <w:r w:rsidRPr="00F45BD1">
        <w:rPr>
          <w:szCs w:val="22"/>
          <w:lang w:eastAsia="el-GR"/>
        </w:rPr>
        <w:t>διαζοξείδη</w:t>
      </w:r>
      <w:proofErr w:type="spellEnd"/>
      <w:r w:rsidRPr="00F45BD1">
        <w:rPr>
          <w:szCs w:val="22"/>
          <w:lang w:eastAsia="el-GR"/>
        </w:rPr>
        <w:t xml:space="preserve">, διουρητικά, </w:t>
      </w:r>
      <w:proofErr w:type="spellStart"/>
      <w:r w:rsidRPr="00F45BD1">
        <w:rPr>
          <w:szCs w:val="22"/>
          <w:lang w:eastAsia="el-GR"/>
        </w:rPr>
        <w:t>θειαζιδικά</w:t>
      </w:r>
      <w:proofErr w:type="spellEnd"/>
      <w:r w:rsidRPr="00F45BD1">
        <w:rPr>
          <w:szCs w:val="22"/>
          <w:lang w:eastAsia="el-GR"/>
        </w:rPr>
        <w:t xml:space="preserve"> διουρητικά, </w:t>
      </w:r>
      <w:proofErr w:type="spellStart"/>
      <w:r w:rsidRPr="00F45BD1">
        <w:rPr>
          <w:szCs w:val="22"/>
          <w:lang w:eastAsia="el-GR"/>
        </w:rPr>
        <w:t>επινεφρίνη</w:t>
      </w:r>
      <w:proofErr w:type="spellEnd"/>
      <w:r w:rsidRPr="00F45BD1">
        <w:rPr>
          <w:szCs w:val="22"/>
          <w:lang w:eastAsia="el-GR"/>
        </w:rPr>
        <w:t xml:space="preserve"> (αδρεναλίνη) και άλλα συμπαθητικομιμητικά σκευάσματα, </w:t>
      </w:r>
      <w:proofErr w:type="spellStart"/>
      <w:r w:rsidRPr="00F45BD1">
        <w:rPr>
          <w:szCs w:val="22"/>
          <w:lang w:eastAsia="el-GR"/>
        </w:rPr>
        <w:t>γλυκαγόνη</w:t>
      </w:r>
      <w:proofErr w:type="spellEnd"/>
      <w:r w:rsidRPr="00F45BD1">
        <w:rPr>
          <w:szCs w:val="22"/>
          <w:lang w:eastAsia="el-GR"/>
        </w:rPr>
        <w:t xml:space="preserve">, </w:t>
      </w:r>
      <w:proofErr w:type="spellStart"/>
      <w:r w:rsidRPr="00F45BD1">
        <w:rPr>
          <w:szCs w:val="22"/>
          <w:lang w:eastAsia="el-GR"/>
        </w:rPr>
        <w:t>κορτικοστεροειδή</w:t>
      </w:r>
      <w:proofErr w:type="spellEnd"/>
      <w:r w:rsidRPr="00F45BD1">
        <w:rPr>
          <w:szCs w:val="22"/>
          <w:lang w:eastAsia="el-GR"/>
        </w:rPr>
        <w:t xml:space="preserve">, καθαρτικά (μετά από </w:t>
      </w:r>
      <w:r w:rsidRPr="00F45BD1">
        <w:rPr>
          <w:szCs w:val="22"/>
          <w:lang w:eastAsia="el-GR"/>
        </w:rPr>
        <w:lastRenderedPageBreak/>
        <w:t xml:space="preserve">παρατεταμένη χρήση), νικοτινικό οξύ (σε υψηλές δόσεις), οιστρογόνα και </w:t>
      </w:r>
      <w:proofErr w:type="spellStart"/>
      <w:r w:rsidRPr="00F45BD1">
        <w:rPr>
          <w:szCs w:val="22"/>
          <w:lang w:eastAsia="el-GR"/>
        </w:rPr>
        <w:t>προγεσταγόνα</w:t>
      </w:r>
      <w:proofErr w:type="spellEnd"/>
      <w:r w:rsidRPr="00F45BD1">
        <w:rPr>
          <w:szCs w:val="22"/>
          <w:lang w:eastAsia="el-GR"/>
        </w:rPr>
        <w:t xml:space="preserve">, </w:t>
      </w:r>
      <w:proofErr w:type="spellStart"/>
      <w:r w:rsidRPr="00F45BD1">
        <w:rPr>
          <w:szCs w:val="22"/>
          <w:lang w:eastAsia="el-GR"/>
        </w:rPr>
        <w:t>φαινοθειαζίνες</w:t>
      </w:r>
      <w:proofErr w:type="spellEnd"/>
      <w:r w:rsidRPr="00F45BD1">
        <w:rPr>
          <w:szCs w:val="22"/>
          <w:lang w:eastAsia="el-GR"/>
        </w:rPr>
        <w:t xml:space="preserve">, </w:t>
      </w:r>
      <w:proofErr w:type="spellStart"/>
      <w:r w:rsidRPr="00F45BD1">
        <w:rPr>
          <w:szCs w:val="22"/>
          <w:lang w:eastAsia="el-GR"/>
        </w:rPr>
        <w:t>φαινυτοΐνη</w:t>
      </w:r>
      <w:proofErr w:type="spellEnd"/>
      <w:r w:rsidRPr="00F45BD1">
        <w:rPr>
          <w:szCs w:val="22"/>
          <w:lang w:eastAsia="el-GR"/>
        </w:rPr>
        <w:t xml:space="preserve">, </w:t>
      </w:r>
      <w:proofErr w:type="spellStart"/>
      <w:r w:rsidRPr="00F45BD1">
        <w:rPr>
          <w:szCs w:val="22"/>
          <w:lang w:eastAsia="el-GR"/>
        </w:rPr>
        <w:t>θυρεοειδικές</w:t>
      </w:r>
      <w:proofErr w:type="spellEnd"/>
      <w:r w:rsidRPr="00F45BD1">
        <w:rPr>
          <w:szCs w:val="22"/>
          <w:lang w:eastAsia="el-GR"/>
        </w:rPr>
        <w:t xml:space="preserve"> ορμόνες, </w:t>
      </w:r>
      <w:proofErr w:type="spellStart"/>
      <w:r w:rsidRPr="00F45BD1">
        <w:rPr>
          <w:szCs w:val="22"/>
          <w:lang w:eastAsia="el-GR"/>
        </w:rPr>
        <w:t>ριφαμπικίνη</w:t>
      </w:r>
      <w:proofErr w:type="spellEnd"/>
      <w:r w:rsidRPr="00F45BD1">
        <w:rPr>
          <w:szCs w:val="22"/>
          <w:lang w:eastAsia="el-GR"/>
        </w:rPr>
        <w:t>.</w:t>
      </w:r>
    </w:p>
    <w:p w:rsidR="003C7620" w:rsidRPr="00F45BD1" w:rsidRDefault="003C7620" w:rsidP="003C7620">
      <w:pPr>
        <w:widowControl/>
        <w:overflowPunct w:val="0"/>
        <w:autoSpaceDE w:val="0"/>
        <w:autoSpaceDN w:val="0"/>
        <w:adjustRightInd w:val="0"/>
        <w:jc w:val="both"/>
        <w:textAlignment w:val="baseline"/>
        <w:rPr>
          <w:szCs w:val="22"/>
          <w:lang w:eastAsia="el-GR"/>
        </w:rPr>
      </w:pPr>
    </w:p>
    <w:p w:rsidR="003C7620" w:rsidRPr="00F45BD1" w:rsidRDefault="003C7620" w:rsidP="003C7620">
      <w:pPr>
        <w:widowControl/>
        <w:overflowPunct w:val="0"/>
        <w:autoSpaceDE w:val="0"/>
        <w:autoSpaceDN w:val="0"/>
        <w:adjustRightInd w:val="0"/>
        <w:jc w:val="both"/>
        <w:textAlignment w:val="baseline"/>
        <w:rPr>
          <w:szCs w:val="22"/>
          <w:lang w:eastAsia="el-GR"/>
        </w:rPr>
      </w:pPr>
      <w:r w:rsidRPr="00F45BD1">
        <w:rPr>
          <w:szCs w:val="22"/>
          <w:lang w:eastAsia="el-GR"/>
        </w:rPr>
        <w:t xml:space="preserve">Κατά τη </w:t>
      </w:r>
      <w:proofErr w:type="spellStart"/>
      <w:r w:rsidRPr="00F45BD1">
        <w:rPr>
          <w:szCs w:val="22"/>
          <w:lang w:eastAsia="el-GR"/>
        </w:rPr>
        <w:t>συγχορήγηση</w:t>
      </w:r>
      <w:proofErr w:type="spellEnd"/>
      <w:r w:rsidRPr="00F45BD1">
        <w:rPr>
          <w:szCs w:val="22"/>
          <w:lang w:eastAsia="el-GR"/>
        </w:rPr>
        <w:t xml:space="preserve"> με Η2-ανταγωνιστές, </w:t>
      </w:r>
      <w:proofErr w:type="spellStart"/>
      <w:r w:rsidRPr="00F45BD1">
        <w:rPr>
          <w:szCs w:val="22"/>
          <w:lang w:eastAsia="el-GR"/>
        </w:rPr>
        <w:t>κλονιδίνη</w:t>
      </w:r>
      <w:proofErr w:type="spellEnd"/>
      <w:r w:rsidRPr="00F45BD1">
        <w:rPr>
          <w:szCs w:val="22"/>
          <w:lang w:eastAsia="el-GR"/>
        </w:rPr>
        <w:t xml:space="preserve"> και </w:t>
      </w:r>
      <w:proofErr w:type="spellStart"/>
      <w:r w:rsidRPr="00F45BD1">
        <w:rPr>
          <w:szCs w:val="22"/>
          <w:lang w:eastAsia="el-GR"/>
        </w:rPr>
        <w:t>ρεζερπίνη</w:t>
      </w:r>
      <w:proofErr w:type="spellEnd"/>
      <w:r w:rsidRPr="00F45BD1">
        <w:rPr>
          <w:szCs w:val="22"/>
          <w:lang w:eastAsia="el-GR"/>
        </w:rPr>
        <w:t xml:space="preserve"> μπορεί να προκληθεί αύξηση ή μείωση της υπογλυκαιμικής δράσης του </w:t>
      </w:r>
      <w:proofErr w:type="spellStart"/>
      <w:r w:rsidRPr="00F45BD1">
        <w:rPr>
          <w:szCs w:val="22"/>
          <w:lang w:val="en-US" w:eastAsia="el-GR"/>
        </w:rPr>
        <w:t>Normell</w:t>
      </w:r>
      <w:proofErr w:type="spellEnd"/>
      <w:r w:rsidRPr="00F45BD1">
        <w:rPr>
          <w:szCs w:val="22"/>
          <w:lang w:eastAsia="el-GR"/>
        </w:rPr>
        <w:t>.</w:t>
      </w:r>
    </w:p>
    <w:p w:rsidR="003C7620" w:rsidRPr="00F45BD1" w:rsidRDefault="003C7620" w:rsidP="003C7620">
      <w:pPr>
        <w:widowControl/>
        <w:overflowPunct w:val="0"/>
        <w:autoSpaceDE w:val="0"/>
        <w:autoSpaceDN w:val="0"/>
        <w:adjustRightInd w:val="0"/>
        <w:jc w:val="both"/>
        <w:textAlignment w:val="baseline"/>
        <w:rPr>
          <w:szCs w:val="22"/>
          <w:lang w:eastAsia="el-GR"/>
        </w:rPr>
      </w:pPr>
    </w:p>
    <w:p w:rsidR="003C7620" w:rsidRPr="00F45BD1" w:rsidRDefault="003C7620" w:rsidP="003C7620">
      <w:pPr>
        <w:widowControl/>
        <w:overflowPunct w:val="0"/>
        <w:autoSpaceDE w:val="0"/>
        <w:autoSpaceDN w:val="0"/>
        <w:adjustRightInd w:val="0"/>
        <w:jc w:val="both"/>
        <w:textAlignment w:val="baseline"/>
        <w:rPr>
          <w:szCs w:val="22"/>
          <w:lang w:eastAsia="el-GR"/>
        </w:rPr>
      </w:pPr>
      <w:r w:rsidRPr="00F45BD1">
        <w:rPr>
          <w:szCs w:val="22"/>
          <w:lang w:eastAsia="el-GR"/>
        </w:rPr>
        <w:t xml:space="preserve">Τα σημεία της </w:t>
      </w:r>
      <w:proofErr w:type="spellStart"/>
      <w:r w:rsidRPr="00F45BD1">
        <w:rPr>
          <w:szCs w:val="22"/>
          <w:lang w:eastAsia="el-GR"/>
        </w:rPr>
        <w:t>αδρενεργικής</w:t>
      </w:r>
      <w:proofErr w:type="spellEnd"/>
      <w:r w:rsidRPr="00F45BD1">
        <w:rPr>
          <w:szCs w:val="22"/>
          <w:lang w:eastAsia="el-GR"/>
        </w:rPr>
        <w:t xml:space="preserve"> αντίδρασης στην υπογλυκαιμία μπορεί να μειωθούν ή να εκλείπουν υπό την επήρεια </w:t>
      </w:r>
      <w:proofErr w:type="spellStart"/>
      <w:r w:rsidRPr="00F45BD1">
        <w:rPr>
          <w:szCs w:val="22"/>
          <w:lang w:eastAsia="el-GR"/>
        </w:rPr>
        <w:t>συμπαθητικολυτικών</w:t>
      </w:r>
      <w:proofErr w:type="spellEnd"/>
      <w:r w:rsidRPr="00F45BD1">
        <w:rPr>
          <w:szCs w:val="22"/>
          <w:lang w:eastAsia="el-GR"/>
        </w:rPr>
        <w:t xml:space="preserve"> φαρμάκων, όπως είναι οι αναστολείς των β-υποδοχέων, η </w:t>
      </w:r>
      <w:proofErr w:type="spellStart"/>
      <w:r w:rsidRPr="00F45BD1">
        <w:rPr>
          <w:szCs w:val="22"/>
          <w:lang w:eastAsia="el-GR"/>
        </w:rPr>
        <w:t>κλονιδίνη</w:t>
      </w:r>
      <w:proofErr w:type="spellEnd"/>
      <w:r w:rsidRPr="00F45BD1">
        <w:rPr>
          <w:szCs w:val="22"/>
          <w:lang w:eastAsia="el-GR"/>
        </w:rPr>
        <w:t xml:space="preserve">, η </w:t>
      </w:r>
      <w:proofErr w:type="spellStart"/>
      <w:r w:rsidRPr="00F45BD1">
        <w:rPr>
          <w:szCs w:val="22"/>
          <w:lang w:eastAsia="el-GR"/>
        </w:rPr>
        <w:t>γουανεθιδίνη</w:t>
      </w:r>
      <w:proofErr w:type="spellEnd"/>
      <w:r w:rsidRPr="00F45BD1">
        <w:rPr>
          <w:szCs w:val="22"/>
          <w:lang w:eastAsia="el-GR"/>
        </w:rPr>
        <w:t xml:space="preserve"> και η </w:t>
      </w:r>
      <w:proofErr w:type="spellStart"/>
      <w:r w:rsidRPr="00F45BD1">
        <w:rPr>
          <w:szCs w:val="22"/>
          <w:lang w:eastAsia="el-GR"/>
        </w:rPr>
        <w:t>ρεζερπίνη</w:t>
      </w:r>
      <w:proofErr w:type="spellEnd"/>
      <w:r w:rsidRPr="00F45BD1">
        <w:rPr>
          <w:szCs w:val="22"/>
          <w:lang w:eastAsia="el-GR"/>
        </w:rPr>
        <w:t xml:space="preserve">. </w:t>
      </w:r>
    </w:p>
    <w:p w:rsidR="003C7620" w:rsidRPr="00F45BD1" w:rsidRDefault="003C7620" w:rsidP="003C7620">
      <w:pPr>
        <w:widowControl/>
        <w:overflowPunct w:val="0"/>
        <w:autoSpaceDE w:val="0"/>
        <w:autoSpaceDN w:val="0"/>
        <w:adjustRightInd w:val="0"/>
        <w:jc w:val="both"/>
        <w:textAlignment w:val="baseline"/>
        <w:rPr>
          <w:szCs w:val="22"/>
          <w:lang w:eastAsia="el-GR"/>
        </w:rPr>
      </w:pPr>
    </w:p>
    <w:p w:rsidR="003C7620" w:rsidRPr="00F45BD1" w:rsidRDefault="003C7620" w:rsidP="003C7620">
      <w:pPr>
        <w:widowControl/>
        <w:overflowPunct w:val="0"/>
        <w:autoSpaceDE w:val="0"/>
        <w:autoSpaceDN w:val="0"/>
        <w:adjustRightInd w:val="0"/>
        <w:jc w:val="both"/>
        <w:textAlignment w:val="baseline"/>
        <w:rPr>
          <w:szCs w:val="22"/>
          <w:lang w:eastAsia="el-GR"/>
        </w:rPr>
      </w:pPr>
      <w:r w:rsidRPr="00F45BD1">
        <w:rPr>
          <w:szCs w:val="22"/>
          <w:lang w:eastAsia="el-GR"/>
        </w:rPr>
        <w:t>Τόσο η οξεία όσο και η χρόνια λήψη οινοπνεύματος μπορεί να ενισχύσει ή να ελαττώσει το υπογλυκαιμικό αποτέλεσμα της γλιβενκλαμίδης με απρόβλεπτο τρόπο.</w:t>
      </w:r>
    </w:p>
    <w:p w:rsidR="003C7620" w:rsidRPr="00F45BD1" w:rsidRDefault="003C7620" w:rsidP="003C7620">
      <w:pPr>
        <w:widowControl/>
        <w:overflowPunct w:val="0"/>
        <w:autoSpaceDE w:val="0"/>
        <w:autoSpaceDN w:val="0"/>
        <w:adjustRightInd w:val="0"/>
        <w:jc w:val="both"/>
        <w:textAlignment w:val="baseline"/>
        <w:rPr>
          <w:szCs w:val="22"/>
          <w:lang w:eastAsia="el-GR"/>
        </w:rPr>
      </w:pPr>
    </w:p>
    <w:p w:rsidR="003C7620" w:rsidRPr="00F45BD1" w:rsidRDefault="003C7620" w:rsidP="003C7620">
      <w:pPr>
        <w:widowControl/>
        <w:overflowPunct w:val="0"/>
        <w:autoSpaceDE w:val="0"/>
        <w:autoSpaceDN w:val="0"/>
        <w:adjustRightInd w:val="0"/>
        <w:jc w:val="both"/>
        <w:textAlignment w:val="baseline"/>
        <w:rPr>
          <w:szCs w:val="22"/>
          <w:lang w:eastAsia="el-GR"/>
        </w:rPr>
      </w:pPr>
      <w:r w:rsidRPr="00F45BD1">
        <w:rPr>
          <w:szCs w:val="22"/>
          <w:lang w:eastAsia="el-GR"/>
        </w:rPr>
        <w:t xml:space="preserve">Η </w:t>
      </w:r>
      <w:proofErr w:type="spellStart"/>
      <w:r w:rsidRPr="00F45BD1">
        <w:rPr>
          <w:szCs w:val="22"/>
          <w:lang w:eastAsia="el-GR"/>
        </w:rPr>
        <w:t>γλιβενκλαμίδη</w:t>
      </w:r>
      <w:proofErr w:type="spellEnd"/>
      <w:r w:rsidRPr="00F45BD1">
        <w:rPr>
          <w:szCs w:val="22"/>
          <w:lang w:eastAsia="el-GR"/>
        </w:rPr>
        <w:t xml:space="preserve"> είναι δυνατόν να ενισχύσει ή να μειώσει τη δράση των </w:t>
      </w:r>
      <w:proofErr w:type="spellStart"/>
      <w:r w:rsidRPr="00F45BD1">
        <w:rPr>
          <w:szCs w:val="22"/>
          <w:lang w:eastAsia="el-GR"/>
        </w:rPr>
        <w:t>κουμαρινικών</w:t>
      </w:r>
      <w:proofErr w:type="spellEnd"/>
      <w:r w:rsidRPr="00F45BD1">
        <w:rPr>
          <w:szCs w:val="22"/>
          <w:lang w:eastAsia="el-GR"/>
        </w:rPr>
        <w:t xml:space="preserve"> παραγώγων.</w:t>
      </w:r>
    </w:p>
    <w:p w:rsidR="003C7620" w:rsidRPr="00F45BD1" w:rsidRDefault="003C7620" w:rsidP="003C7620">
      <w:pPr>
        <w:widowControl/>
        <w:overflowPunct w:val="0"/>
        <w:autoSpaceDE w:val="0"/>
        <w:autoSpaceDN w:val="0"/>
        <w:adjustRightInd w:val="0"/>
        <w:jc w:val="both"/>
        <w:textAlignment w:val="baseline"/>
        <w:rPr>
          <w:szCs w:val="22"/>
          <w:lang w:eastAsia="el-GR"/>
        </w:rPr>
      </w:pPr>
    </w:p>
    <w:p w:rsidR="003C7620" w:rsidRPr="00F45BD1" w:rsidRDefault="003C7620" w:rsidP="003C7620">
      <w:pPr>
        <w:widowControl/>
        <w:overflowPunct w:val="0"/>
        <w:autoSpaceDE w:val="0"/>
        <w:autoSpaceDN w:val="0"/>
        <w:adjustRightInd w:val="0"/>
        <w:jc w:val="both"/>
        <w:textAlignment w:val="baseline"/>
        <w:rPr>
          <w:szCs w:val="22"/>
          <w:lang w:eastAsia="el-GR"/>
        </w:rPr>
      </w:pPr>
      <w:r w:rsidRPr="00F45BD1">
        <w:rPr>
          <w:szCs w:val="22"/>
          <w:lang w:eastAsia="el-GR"/>
        </w:rPr>
        <w:t xml:space="preserve">Η </w:t>
      </w:r>
      <w:proofErr w:type="spellStart"/>
      <w:r w:rsidRPr="00F45BD1">
        <w:rPr>
          <w:szCs w:val="22"/>
          <w:lang w:eastAsia="el-GR"/>
        </w:rPr>
        <w:t>γλιβενκλαμίδη</w:t>
      </w:r>
      <w:proofErr w:type="spellEnd"/>
      <w:r w:rsidRPr="00F45BD1">
        <w:rPr>
          <w:szCs w:val="22"/>
          <w:lang w:eastAsia="el-GR"/>
        </w:rPr>
        <w:t xml:space="preserve"> μπορεί να αυξήσει τη συγκέντρωση στο πλάσμα της </w:t>
      </w:r>
      <w:proofErr w:type="spellStart"/>
      <w:r w:rsidRPr="00F45BD1">
        <w:rPr>
          <w:szCs w:val="22"/>
          <w:lang w:eastAsia="el-GR"/>
        </w:rPr>
        <w:t>κυκλοσπορίνης</w:t>
      </w:r>
      <w:proofErr w:type="spellEnd"/>
      <w:r w:rsidRPr="00F45BD1">
        <w:rPr>
          <w:szCs w:val="22"/>
          <w:lang w:eastAsia="el-GR"/>
        </w:rPr>
        <w:t xml:space="preserve"> και πιθανώς να οδηγήσει σε αυξημένη τοξικότητα αυτής. Επομένως συστήνεται όταν </w:t>
      </w:r>
      <w:proofErr w:type="spellStart"/>
      <w:r w:rsidRPr="00F45BD1">
        <w:rPr>
          <w:szCs w:val="22"/>
          <w:lang w:eastAsia="el-GR"/>
        </w:rPr>
        <w:t>συγχορηγούνται</w:t>
      </w:r>
      <w:proofErr w:type="spellEnd"/>
      <w:r w:rsidRPr="00F45BD1">
        <w:rPr>
          <w:szCs w:val="22"/>
          <w:lang w:eastAsia="el-GR"/>
        </w:rPr>
        <w:t xml:space="preserve"> τα δύο αυτά φάρμακα η παρακολούθηση και προσαρμογή της δοσολογίας της </w:t>
      </w:r>
      <w:proofErr w:type="spellStart"/>
      <w:r w:rsidRPr="00F45BD1">
        <w:rPr>
          <w:szCs w:val="22"/>
          <w:lang w:eastAsia="el-GR"/>
        </w:rPr>
        <w:t>κυκλοσπορίνης</w:t>
      </w:r>
      <w:proofErr w:type="spellEnd"/>
      <w:r w:rsidRPr="00F45BD1">
        <w:rPr>
          <w:szCs w:val="22"/>
          <w:lang w:eastAsia="el-GR"/>
        </w:rPr>
        <w:t xml:space="preserve">. </w:t>
      </w:r>
    </w:p>
    <w:p w:rsidR="003C7620" w:rsidRPr="00F45BD1" w:rsidRDefault="003C7620">
      <w:pPr>
        <w:widowControl/>
        <w:overflowPunct w:val="0"/>
        <w:autoSpaceDE w:val="0"/>
        <w:autoSpaceDN w:val="0"/>
        <w:adjustRightInd w:val="0"/>
        <w:jc w:val="both"/>
        <w:textAlignment w:val="baseline"/>
        <w:rPr>
          <w:szCs w:val="22"/>
          <w:lang w:eastAsia="el-GR"/>
        </w:rPr>
      </w:pPr>
    </w:p>
    <w:p w:rsidR="0099008B" w:rsidRPr="00F45BD1" w:rsidRDefault="0099008B">
      <w:pPr>
        <w:widowControl/>
        <w:overflowPunct w:val="0"/>
        <w:autoSpaceDE w:val="0"/>
        <w:autoSpaceDN w:val="0"/>
        <w:adjustRightInd w:val="0"/>
        <w:jc w:val="both"/>
        <w:textAlignment w:val="baseline"/>
        <w:rPr>
          <w:szCs w:val="22"/>
          <w:lang w:eastAsia="el-GR"/>
        </w:rPr>
      </w:pPr>
      <w:r w:rsidRPr="00F45BD1">
        <w:rPr>
          <w:szCs w:val="22"/>
          <w:lang w:eastAsia="el-GR"/>
        </w:rPr>
        <w:t xml:space="preserve">Η </w:t>
      </w:r>
      <w:proofErr w:type="spellStart"/>
      <w:r w:rsidRPr="00F45BD1">
        <w:rPr>
          <w:szCs w:val="22"/>
          <w:lang w:val="en-US" w:eastAsia="el-GR"/>
        </w:rPr>
        <w:t>colesevelam</w:t>
      </w:r>
      <w:proofErr w:type="spellEnd"/>
      <w:r w:rsidRPr="00F45BD1">
        <w:rPr>
          <w:szCs w:val="22"/>
          <w:lang w:eastAsia="el-GR"/>
        </w:rPr>
        <w:t xml:space="preserve"> συνδέεται στη </w:t>
      </w:r>
      <w:proofErr w:type="spellStart"/>
      <w:r w:rsidRPr="00F45BD1">
        <w:rPr>
          <w:szCs w:val="22"/>
          <w:lang w:eastAsia="el-GR"/>
        </w:rPr>
        <w:t>γλιβενκλαμίδη</w:t>
      </w:r>
      <w:proofErr w:type="spellEnd"/>
      <w:r w:rsidRPr="00F45BD1">
        <w:rPr>
          <w:szCs w:val="22"/>
          <w:lang w:eastAsia="el-GR"/>
        </w:rPr>
        <w:t xml:space="preserve"> και ελαττώνει την απορρόφηση της </w:t>
      </w:r>
      <w:proofErr w:type="spellStart"/>
      <w:r w:rsidRPr="00F45BD1">
        <w:rPr>
          <w:szCs w:val="22"/>
          <w:lang w:eastAsia="el-GR"/>
        </w:rPr>
        <w:t>γλιβενκλαμίδης</w:t>
      </w:r>
      <w:proofErr w:type="spellEnd"/>
      <w:r w:rsidRPr="00F45BD1">
        <w:rPr>
          <w:szCs w:val="22"/>
          <w:lang w:eastAsia="el-GR"/>
        </w:rPr>
        <w:t xml:space="preserve"> από το </w:t>
      </w:r>
      <w:r w:rsidR="00025921" w:rsidRPr="00F45BD1">
        <w:rPr>
          <w:szCs w:val="22"/>
          <w:lang w:eastAsia="el-GR"/>
        </w:rPr>
        <w:t>γαστρεντερικό</w:t>
      </w:r>
      <w:r w:rsidRPr="00F45BD1">
        <w:rPr>
          <w:szCs w:val="22"/>
          <w:lang w:eastAsia="el-GR"/>
        </w:rPr>
        <w:t xml:space="preserve"> σωλήνα. Δεν παρατηρήθηκε κάποια αλληλεπίδραση όταν η </w:t>
      </w:r>
      <w:proofErr w:type="spellStart"/>
      <w:r w:rsidRPr="00F45BD1">
        <w:rPr>
          <w:szCs w:val="22"/>
          <w:lang w:eastAsia="el-GR"/>
        </w:rPr>
        <w:t>γλιβενκλαμίδη</w:t>
      </w:r>
      <w:proofErr w:type="spellEnd"/>
      <w:r w:rsidRPr="00F45BD1">
        <w:rPr>
          <w:szCs w:val="22"/>
          <w:lang w:eastAsia="el-GR"/>
        </w:rPr>
        <w:t xml:space="preserve"> λήφθηκε τουλάχιστον 4 ώρες πριν την </w:t>
      </w:r>
      <w:proofErr w:type="spellStart"/>
      <w:r w:rsidRPr="00F45BD1">
        <w:rPr>
          <w:szCs w:val="22"/>
          <w:lang w:val="en-US" w:eastAsia="el-GR"/>
        </w:rPr>
        <w:t>colesevelam</w:t>
      </w:r>
      <w:proofErr w:type="spellEnd"/>
      <w:r w:rsidRPr="00F45BD1">
        <w:rPr>
          <w:szCs w:val="22"/>
          <w:lang w:eastAsia="el-GR"/>
        </w:rPr>
        <w:t xml:space="preserve">. Επομένως η </w:t>
      </w:r>
      <w:proofErr w:type="spellStart"/>
      <w:r w:rsidRPr="00F45BD1">
        <w:rPr>
          <w:szCs w:val="22"/>
          <w:lang w:eastAsia="el-GR"/>
        </w:rPr>
        <w:t>γλιβενκλαμίδη</w:t>
      </w:r>
      <w:proofErr w:type="spellEnd"/>
      <w:r w:rsidRPr="00F45BD1">
        <w:rPr>
          <w:szCs w:val="22"/>
          <w:lang w:eastAsia="el-GR"/>
        </w:rPr>
        <w:t xml:space="preserve"> θα πρέπει να χορηγείται τουλάχιστον 4 ώρες πριν την </w:t>
      </w:r>
      <w:proofErr w:type="spellStart"/>
      <w:r w:rsidRPr="00F45BD1">
        <w:rPr>
          <w:szCs w:val="22"/>
          <w:lang w:val="en-US" w:eastAsia="el-GR"/>
        </w:rPr>
        <w:t>colesevelam</w:t>
      </w:r>
      <w:proofErr w:type="spellEnd"/>
      <w:r w:rsidRPr="00F45BD1">
        <w:rPr>
          <w:szCs w:val="22"/>
          <w:lang w:eastAsia="el-GR"/>
        </w:rPr>
        <w:t>.</w:t>
      </w:r>
    </w:p>
    <w:p w:rsidR="0099008B" w:rsidRPr="00F45BD1" w:rsidRDefault="0099008B">
      <w:pPr>
        <w:widowControl/>
        <w:overflowPunct w:val="0"/>
        <w:autoSpaceDE w:val="0"/>
        <w:autoSpaceDN w:val="0"/>
        <w:adjustRightInd w:val="0"/>
        <w:jc w:val="both"/>
        <w:textAlignment w:val="baseline"/>
        <w:rPr>
          <w:szCs w:val="22"/>
          <w:lang w:eastAsia="el-GR"/>
        </w:rPr>
      </w:pPr>
    </w:p>
    <w:p w:rsidR="0099008B" w:rsidRPr="00F45BD1" w:rsidRDefault="0099008B">
      <w:pPr>
        <w:widowControl/>
        <w:overflowPunct w:val="0"/>
        <w:autoSpaceDE w:val="0"/>
        <w:autoSpaceDN w:val="0"/>
        <w:adjustRightInd w:val="0"/>
        <w:jc w:val="both"/>
        <w:textAlignment w:val="baseline"/>
        <w:rPr>
          <w:szCs w:val="22"/>
          <w:lang w:eastAsia="el-GR"/>
        </w:rPr>
      </w:pPr>
      <w:r w:rsidRPr="00F45BD1">
        <w:rPr>
          <w:szCs w:val="22"/>
          <w:lang w:eastAsia="el-GR"/>
        </w:rPr>
        <w:t xml:space="preserve">Η </w:t>
      </w:r>
      <w:r w:rsidRPr="00F45BD1">
        <w:rPr>
          <w:rFonts w:hint="eastAsia"/>
          <w:szCs w:val="22"/>
          <w:lang w:eastAsia="el-GR"/>
        </w:rPr>
        <w:t>μετφορμίνη</w:t>
      </w:r>
      <w:r w:rsidRPr="00F45BD1">
        <w:rPr>
          <w:szCs w:val="22"/>
          <w:lang w:eastAsia="el-GR"/>
        </w:rPr>
        <w:t xml:space="preserve"> μπορεί να μειώσει την αντιπηκτική δράση </w:t>
      </w:r>
      <w:proofErr w:type="spellStart"/>
      <w:r w:rsidRPr="00F45BD1">
        <w:rPr>
          <w:rFonts w:hint="eastAsia"/>
          <w:szCs w:val="22"/>
          <w:lang w:eastAsia="el-GR"/>
        </w:rPr>
        <w:t>φαινπροκουμόνης</w:t>
      </w:r>
      <w:proofErr w:type="spellEnd"/>
      <w:r w:rsidRPr="00F45BD1">
        <w:rPr>
          <w:szCs w:val="22"/>
          <w:lang w:eastAsia="el-GR"/>
        </w:rPr>
        <w:t>. Ως εκ τούτου, συνιστάται στενή παρακολούθηση του INR.</w:t>
      </w:r>
    </w:p>
    <w:p w:rsidR="0099008B" w:rsidRPr="00F45BD1" w:rsidRDefault="0099008B">
      <w:pPr>
        <w:widowControl/>
        <w:overflowPunct w:val="0"/>
        <w:autoSpaceDE w:val="0"/>
        <w:autoSpaceDN w:val="0"/>
        <w:adjustRightInd w:val="0"/>
        <w:jc w:val="both"/>
        <w:textAlignment w:val="baseline"/>
        <w:rPr>
          <w:szCs w:val="22"/>
          <w:lang w:eastAsia="el-GR"/>
        </w:rPr>
      </w:pPr>
      <w:r w:rsidRPr="00F45BD1">
        <w:rPr>
          <w:szCs w:val="22"/>
          <w:lang w:eastAsia="el-GR"/>
        </w:rPr>
        <w:t xml:space="preserve">Η </w:t>
      </w:r>
      <w:proofErr w:type="spellStart"/>
      <w:r w:rsidRPr="00F45BD1">
        <w:rPr>
          <w:szCs w:val="22"/>
          <w:lang w:eastAsia="el-GR"/>
        </w:rPr>
        <w:t>λεβοθυροξίνη</w:t>
      </w:r>
      <w:proofErr w:type="spellEnd"/>
      <w:r w:rsidRPr="00F45BD1">
        <w:rPr>
          <w:szCs w:val="22"/>
          <w:lang w:eastAsia="el-GR"/>
        </w:rPr>
        <w:t xml:space="preserve"> μπορεί να μειώσει την υπογλυκαιμική δράση της </w:t>
      </w:r>
      <w:proofErr w:type="spellStart"/>
      <w:r w:rsidRPr="00F45BD1">
        <w:rPr>
          <w:rFonts w:hint="eastAsia"/>
          <w:szCs w:val="22"/>
          <w:lang w:eastAsia="el-GR"/>
        </w:rPr>
        <w:t>μετφορμίνης</w:t>
      </w:r>
      <w:proofErr w:type="spellEnd"/>
      <w:r w:rsidRPr="00F45BD1">
        <w:rPr>
          <w:szCs w:val="22"/>
          <w:lang w:eastAsia="el-GR"/>
        </w:rPr>
        <w:t xml:space="preserve">. Η παρακολούθηση των επιπέδων γλυκόζης στο αίμα συνιστάται, ειδικά όταν αρχίζει ή διακόπτεται η θεραπεία με </w:t>
      </w:r>
      <w:proofErr w:type="spellStart"/>
      <w:r w:rsidRPr="00F45BD1">
        <w:rPr>
          <w:rFonts w:hint="eastAsia"/>
          <w:szCs w:val="22"/>
          <w:lang w:eastAsia="el-GR"/>
        </w:rPr>
        <w:t>θυρεοειδικές</w:t>
      </w:r>
      <w:proofErr w:type="spellEnd"/>
      <w:r w:rsidRPr="00F45BD1">
        <w:rPr>
          <w:szCs w:val="22"/>
          <w:lang w:eastAsia="el-GR"/>
        </w:rPr>
        <w:t xml:space="preserve"> ορμόνες και η δοσολογία της </w:t>
      </w:r>
      <w:proofErr w:type="spellStart"/>
      <w:r w:rsidRPr="00F45BD1">
        <w:rPr>
          <w:rFonts w:hint="eastAsia"/>
          <w:szCs w:val="22"/>
          <w:lang w:eastAsia="el-GR"/>
        </w:rPr>
        <w:t>μετφορμίνης</w:t>
      </w:r>
      <w:proofErr w:type="spellEnd"/>
      <w:r w:rsidRPr="00F45BD1">
        <w:rPr>
          <w:szCs w:val="22"/>
          <w:lang w:eastAsia="el-GR"/>
        </w:rPr>
        <w:t xml:space="preserve"> πρέπει να αναπροσαρμόζεται εφόσον χρειάζεται.</w:t>
      </w:r>
    </w:p>
    <w:p w:rsidR="0099008B" w:rsidRPr="00F45BD1" w:rsidRDefault="0099008B" w:rsidP="000404A6">
      <w:pPr>
        <w:rPr>
          <w:noProof/>
        </w:rPr>
      </w:pPr>
    </w:p>
    <w:p w:rsidR="00901575" w:rsidRPr="00F45BD1" w:rsidRDefault="00901575">
      <w:pPr>
        <w:rPr>
          <w:noProof/>
          <w:szCs w:val="22"/>
        </w:rPr>
      </w:pPr>
      <w:r w:rsidRPr="00F45BD1">
        <w:rPr>
          <w:b/>
          <w:noProof/>
          <w:szCs w:val="22"/>
        </w:rPr>
        <w:t xml:space="preserve">Κύηση και θηλασμός </w:t>
      </w:r>
    </w:p>
    <w:p w:rsidR="00B84E28" w:rsidRPr="00F45BD1" w:rsidRDefault="00B84E28">
      <w:pPr>
        <w:jc w:val="both"/>
        <w:rPr>
          <w:noProof/>
        </w:rPr>
      </w:pPr>
      <w:r w:rsidRPr="00F45BD1">
        <w:rPr>
          <w:noProof/>
        </w:rPr>
        <w:t xml:space="preserve">Εάν </w:t>
      </w:r>
      <w:r w:rsidR="00776724" w:rsidRPr="00F45BD1">
        <w:rPr>
          <w:noProof/>
        </w:rPr>
        <w:t xml:space="preserve">είστε </w:t>
      </w:r>
      <w:r w:rsidRPr="00F45BD1">
        <w:rPr>
          <w:noProof/>
        </w:rPr>
        <w:t>έγ</w:t>
      </w:r>
      <w:r w:rsidR="00E24E34" w:rsidRPr="00F45BD1">
        <w:rPr>
          <w:noProof/>
        </w:rPr>
        <w:t>κ</w:t>
      </w:r>
      <w:r w:rsidRPr="00F45BD1">
        <w:rPr>
          <w:noProof/>
        </w:rPr>
        <w:t xml:space="preserve">υος ή θηλάζετε, </w:t>
      </w:r>
      <w:r w:rsidR="00E24E34" w:rsidRPr="00F45BD1">
        <w:rPr>
          <w:noProof/>
        </w:rPr>
        <w:t>νομίζετε</w:t>
      </w:r>
      <w:r w:rsidRPr="00F45BD1">
        <w:rPr>
          <w:noProof/>
        </w:rPr>
        <w:t xml:space="preserve"> ότι μπορεί να </w:t>
      </w:r>
      <w:r w:rsidR="00D526FB" w:rsidRPr="00F45BD1">
        <w:rPr>
          <w:noProof/>
        </w:rPr>
        <w:t xml:space="preserve">είστε </w:t>
      </w:r>
      <w:r w:rsidRPr="00F45BD1">
        <w:rPr>
          <w:noProof/>
        </w:rPr>
        <w:t>έγ</w:t>
      </w:r>
      <w:r w:rsidR="00E24E34" w:rsidRPr="00F45BD1">
        <w:rPr>
          <w:noProof/>
        </w:rPr>
        <w:t>κ</w:t>
      </w:r>
      <w:r w:rsidRPr="00F45BD1">
        <w:rPr>
          <w:noProof/>
        </w:rPr>
        <w:t>υος ή σχεδιάζετε να αποκτήσετε παιδί, ζητ</w:t>
      </w:r>
      <w:r w:rsidR="00901575" w:rsidRPr="00F45BD1">
        <w:rPr>
          <w:noProof/>
        </w:rPr>
        <w:t xml:space="preserve">ήστε τη συμβουλή </w:t>
      </w:r>
      <w:r w:rsidRPr="00F45BD1">
        <w:rPr>
          <w:noProof/>
        </w:rPr>
        <w:t>του γιατρού</w:t>
      </w:r>
      <w:r w:rsidR="00901575" w:rsidRPr="00F45BD1">
        <w:rPr>
          <w:noProof/>
        </w:rPr>
        <w:t xml:space="preserve"> ή</w:t>
      </w:r>
      <w:r w:rsidRPr="00F45BD1">
        <w:rPr>
          <w:noProof/>
        </w:rPr>
        <w:t xml:space="preserve"> του φαρμακοποιού σας </w:t>
      </w:r>
      <w:r w:rsidR="00D373E8" w:rsidRPr="00F45BD1">
        <w:rPr>
          <w:noProof/>
        </w:rPr>
        <w:t xml:space="preserve">πριν </w:t>
      </w:r>
      <w:r w:rsidR="00901575" w:rsidRPr="00F45BD1">
        <w:rPr>
          <w:noProof/>
        </w:rPr>
        <w:t>πάρετε αυτό το φάρμακο.</w:t>
      </w:r>
    </w:p>
    <w:p w:rsidR="00901575" w:rsidRPr="00F45BD1" w:rsidRDefault="00901575">
      <w:pPr>
        <w:jc w:val="both"/>
        <w:rPr>
          <w:noProof/>
        </w:rPr>
      </w:pPr>
    </w:p>
    <w:p w:rsidR="000404A6" w:rsidRPr="00F45BD1" w:rsidRDefault="000404A6" w:rsidP="000404A6">
      <w:pPr>
        <w:rPr>
          <w:szCs w:val="22"/>
        </w:rPr>
      </w:pPr>
      <w:r w:rsidRPr="00F45BD1">
        <w:rPr>
          <w:szCs w:val="22"/>
        </w:rPr>
        <w:t xml:space="preserve">Το </w:t>
      </w:r>
      <w:proofErr w:type="spellStart"/>
      <w:r w:rsidRPr="00F45BD1">
        <w:rPr>
          <w:bCs/>
          <w:iCs/>
          <w:szCs w:val="22"/>
          <w:lang w:val="en-US"/>
        </w:rPr>
        <w:t>Normell</w:t>
      </w:r>
      <w:proofErr w:type="spellEnd"/>
      <w:r w:rsidRPr="00F45BD1">
        <w:rPr>
          <w:bCs/>
          <w:iCs/>
          <w:szCs w:val="22"/>
        </w:rPr>
        <w:t xml:space="preserve"> </w:t>
      </w:r>
      <w:r w:rsidRPr="00F45BD1">
        <w:rPr>
          <w:szCs w:val="22"/>
        </w:rPr>
        <w:t>δεν πρέπει να χορηγείται κατά την κύηση. Η ασθενής πρέπει να μεταταχθεί σε ινσουλίνη κατά τη διάρκεια της κύησης.</w:t>
      </w:r>
    </w:p>
    <w:p w:rsidR="000404A6" w:rsidRPr="00F45BD1" w:rsidRDefault="000404A6" w:rsidP="000404A6">
      <w:pPr>
        <w:rPr>
          <w:szCs w:val="22"/>
        </w:rPr>
      </w:pPr>
      <w:r w:rsidRPr="00F45BD1">
        <w:rPr>
          <w:szCs w:val="22"/>
        </w:rPr>
        <w:t>Ασθενείς που επιθυμούν να τεκνοποιήσουν, θα πρέπει να ενημερώσουν τον ιατρό τους. Οι ασθενείς αυτές θα πρέπει να μεταταχθούν σε ινσουλίνη.</w:t>
      </w:r>
    </w:p>
    <w:p w:rsidR="000404A6" w:rsidRPr="00F45BD1" w:rsidRDefault="000404A6" w:rsidP="000404A6">
      <w:pPr>
        <w:rPr>
          <w:szCs w:val="22"/>
        </w:rPr>
      </w:pPr>
    </w:p>
    <w:p w:rsidR="000404A6" w:rsidRPr="00F45BD1" w:rsidRDefault="000404A6" w:rsidP="000404A6">
      <w:pPr>
        <w:rPr>
          <w:szCs w:val="22"/>
        </w:rPr>
      </w:pPr>
      <w:r w:rsidRPr="00F45BD1">
        <w:rPr>
          <w:szCs w:val="22"/>
        </w:rPr>
        <w:t xml:space="preserve">Προς αποφυγή πιθανής πρόσληψης με το μητρικό γάλα, δεν θα πρέπει να χορηγείται το </w:t>
      </w:r>
      <w:proofErr w:type="spellStart"/>
      <w:r w:rsidRPr="00F45BD1">
        <w:rPr>
          <w:bCs/>
          <w:iCs/>
          <w:szCs w:val="22"/>
          <w:lang w:val="en-US"/>
        </w:rPr>
        <w:t>Normell</w:t>
      </w:r>
      <w:proofErr w:type="spellEnd"/>
      <w:r w:rsidRPr="00F45BD1">
        <w:rPr>
          <w:bCs/>
          <w:iCs/>
          <w:szCs w:val="22"/>
        </w:rPr>
        <w:t xml:space="preserve"> </w:t>
      </w:r>
      <w:r w:rsidRPr="00F45BD1">
        <w:rPr>
          <w:szCs w:val="22"/>
        </w:rPr>
        <w:t>σε θηλάζουσες. Αν είναι αναγκαίο, η ασθενής πρέπει να μεταταχθεί σε ινσουλίνη ή να σταματήσει τη γαλουχία.</w:t>
      </w:r>
    </w:p>
    <w:p w:rsidR="00B84E28" w:rsidRPr="00F45BD1" w:rsidRDefault="00B84E28">
      <w:pPr>
        <w:rPr>
          <w:noProof/>
        </w:rPr>
      </w:pPr>
    </w:p>
    <w:p w:rsidR="00496809" w:rsidRPr="00F45BD1" w:rsidRDefault="00496809">
      <w:pPr>
        <w:pStyle w:val="a3"/>
        <w:tabs>
          <w:tab w:val="clear" w:pos="4153"/>
          <w:tab w:val="clear" w:pos="8306"/>
        </w:tabs>
        <w:rPr>
          <w:b/>
          <w:noProof/>
        </w:rPr>
      </w:pPr>
      <w:r w:rsidRPr="00F45BD1">
        <w:rPr>
          <w:b/>
          <w:noProof/>
        </w:rPr>
        <w:t xml:space="preserve">Οδήγηση και χειρισμός </w:t>
      </w:r>
      <w:r w:rsidR="00D373E8" w:rsidRPr="00F45BD1">
        <w:rPr>
          <w:b/>
          <w:noProof/>
        </w:rPr>
        <w:t>μηχανημάτων</w:t>
      </w:r>
    </w:p>
    <w:p w:rsidR="0099008B" w:rsidRPr="00F45BD1" w:rsidRDefault="0099008B">
      <w:pPr>
        <w:widowControl/>
        <w:overflowPunct w:val="0"/>
        <w:autoSpaceDE w:val="0"/>
        <w:autoSpaceDN w:val="0"/>
        <w:adjustRightInd w:val="0"/>
        <w:jc w:val="both"/>
        <w:textAlignment w:val="baseline"/>
        <w:rPr>
          <w:szCs w:val="22"/>
          <w:lang w:eastAsia="el-GR"/>
        </w:rPr>
      </w:pPr>
      <w:r w:rsidRPr="00F45BD1">
        <w:rPr>
          <w:szCs w:val="22"/>
          <w:lang w:eastAsia="el-GR"/>
        </w:rPr>
        <w:t xml:space="preserve">Η εγρήγορση και η ταχύτητα αντίδρασης μπορεί να επηρεασθούν από υπογλυκαιμικά ή </w:t>
      </w:r>
      <w:proofErr w:type="spellStart"/>
      <w:r w:rsidRPr="00F45BD1">
        <w:rPr>
          <w:szCs w:val="22"/>
          <w:lang w:eastAsia="el-GR"/>
        </w:rPr>
        <w:t>υπεργλυκαιμικά</w:t>
      </w:r>
      <w:proofErr w:type="spellEnd"/>
      <w:r w:rsidRPr="00F45BD1">
        <w:rPr>
          <w:szCs w:val="22"/>
          <w:lang w:eastAsia="el-GR"/>
        </w:rPr>
        <w:t xml:space="preserve"> επεισόδια και ειδικότερα κατά την έναρξη ή μετά από αλλαγή της αγωγής ή όταν δεν λαμβάνεται κανονικά το </w:t>
      </w:r>
      <w:proofErr w:type="spellStart"/>
      <w:r w:rsidRPr="00F45BD1">
        <w:rPr>
          <w:szCs w:val="22"/>
          <w:lang w:val="en-US" w:eastAsia="el-GR"/>
        </w:rPr>
        <w:t>Normell</w:t>
      </w:r>
      <w:proofErr w:type="spellEnd"/>
      <w:r w:rsidRPr="00F45BD1">
        <w:rPr>
          <w:szCs w:val="22"/>
          <w:lang w:eastAsia="el-GR"/>
        </w:rPr>
        <w:t xml:space="preserve">. </w:t>
      </w:r>
      <w:proofErr w:type="gramStart"/>
      <w:r w:rsidRPr="00F45BD1">
        <w:rPr>
          <w:szCs w:val="22"/>
          <w:lang w:val="en-GB" w:eastAsia="el-GR"/>
        </w:rPr>
        <w:t>A</w:t>
      </w:r>
      <w:proofErr w:type="spellStart"/>
      <w:r w:rsidRPr="00F45BD1">
        <w:rPr>
          <w:szCs w:val="22"/>
          <w:lang w:eastAsia="el-GR"/>
        </w:rPr>
        <w:t>υτό</w:t>
      </w:r>
      <w:proofErr w:type="spellEnd"/>
      <w:r w:rsidRPr="00F45BD1">
        <w:rPr>
          <w:szCs w:val="22"/>
          <w:lang w:eastAsia="el-GR"/>
        </w:rPr>
        <w:t xml:space="preserve"> μπορεί, για παράδειγμα, να επηρεάσει την ικανότητα οδήγησης ή το χειρισμό μηχανημάτων.</w:t>
      </w:r>
      <w:proofErr w:type="gramEnd"/>
    </w:p>
    <w:p w:rsidR="00F716ED" w:rsidRPr="00F45BD1" w:rsidRDefault="00F716ED">
      <w:pPr>
        <w:rPr>
          <w:noProof/>
        </w:rPr>
      </w:pPr>
    </w:p>
    <w:p w:rsidR="00F716ED" w:rsidRPr="00F45BD1" w:rsidRDefault="00F716ED">
      <w:pPr>
        <w:rPr>
          <w:noProof/>
        </w:rPr>
      </w:pPr>
      <w:r w:rsidRPr="00F45BD1">
        <w:rPr>
          <w:b/>
          <w:noProof/>
        </w:rPr>
        <w:t xml:space="preserve">Το </w:t>
      </w:r>
      <w:r w:rsidR="007A0F93" w:rsidRPr="00F45BD1">
        <w:rPr>
          <w:b/>
          <w:noProof/>
        </w:rPr>
        <w:t>N</w:t>
      </w:r>
      <w:r w:rsidR="007A0F93" w:rsidRPr="00F45BD1">
        <w:rPr>
          <w:b/>
          <w:noProof/>
          <w:lang w:val="en-US"/>
        </w:rPr>
        <w:t>ormell</w:t>
      </w:r>
      <w:r w:rsidRPr="00F45BD1">
        <w:rPr>
          <w:b/>
          <w:noProof/>
        </w:rPr>
        <w:t xml:space="preserve"> περιέχει </w:t>
      </w:r>
      <w:r w:rsidR="00901575" w:rsidRPr="00F45BD1">
        <w:rPr>
          <w:b/>
          <w:noProof/>
        </w:rPr>
        <w:t>σορβιτόλη</w:t>
      </w:r>
    </w:p>
    <w:p w:rsidR="00901575" w:rsidRPr="00F45BD1" w:rsidRDefault="00901575">
      <w:pPr>
        <w:rPr>
          <w:szCs w:val="22"/>
        </w:rPr>
      </w:pPr>
      <w:r w:rsidRPr="00F45BD1">
        <w:rPr>
          <w:szCs w:val="22"/>
        </w:rPr>
        <w:t xml:space="preserve">Λόγω της περιεχόμενης </w:t>
      </w:r>
      <w:proofErr w:type="spellStart"/>
      <w:r w:rsidRPr="00F45BD1">
        <w:rPr>
          <w:szCs w:val="22"/>
        </w:rPr>
        <w:t>σορβιτόλης</w:t>
      </w:r>
      <w:proofErr w:type="spellEnd"/>
      <w:r w:rsidRPr="00F45BD1">
        <w:rPr>
          <w:szCs w:val="22"/>
        </w:rPr>
        <w:t>, οι ασθενείς με σπάνια κληρονομικά προβλήματα δυσανεξίας στη φρουκτόζη δεν πρέπει να πάρουν αυτό το φάρμακο.</w:t>
      </w:r>
    </w:p>
    <w:p w:rsidR="00901575" w:rsidRPr="00F45BD1" w:rsidRDefault="00901575">
      <w:pPr>
        <w:autoSpaceDE w:val="0"/>
        <w:autoSpaceDN w:val="0"/>
        <w:adjustRightInd w:val="0"/>
        <w:rPr>
          <w:bCs/>
          <w:szCs w:val="22"/>
        </w:rPr>
      </w:pPr>
      <w:proofErr w:type="gramStart"/>
      <w:r w:rsidRPr="00F45BD1">
        <w:rPr>
          <w:bCs/>
          <w:szCs w:val="22"/>
          <w:lang w:val="en-US"/>
        </w:rPr>
        <w:t>A</w:t>
      </w:r>
      <w:r w:rsidRPr="00F45BD1">
        <w:rPr>
          <w:bCs/>
          <w:szCs w:val="22"/>
        </w:rPr>
        <w:t>ν ο γιατρός σας, σας ενημέρωσε ότι έχετε δυσανεξία σε ορισμένα σάκχαρα, επικοινωνήστε με το γιατρό σας πριν πάρετε αυτό το φαρμακευτικό προϊόν.</w:t>
      </w:r>
      <w:proofErr w:type="gramEnd"/>
    </w:p>
    <w:p w:rsidR="00496809" w:rsidRPr="00F45BD1" w:rsidRDefault="00496809">
      <w:pPr>
        <w:rPr>
          <w:noProof/>
        </w:rPr>
      </w:pPr>
    </w:p>
    <w:p w:rsidR="00496809" w:rsidRPr="00F45BD1" w:rsidRDefault="00496809">
      <w:pPr>
        <w:rPr>
          <w:noProof/>
        </w:rPr>
      </w:pPr>
    </w:p>
    <w:p w:rsidR="00743553" w:rsidRPr="00F45BD1" w:rsidRDefault="00496809">
      <w:pPr>
        <w:rPr>
          <w:noProof/>
        </w:rPr>
      </w:pPr>
      <w:r w:rsidRPr="00F45BD1">
        <w:rPr>
          <w:b/>
          <w:noProof/>
        </w:rPr>
        <w:lastRenderedPageBreak/>
        <w:t>3.</w:t>
      </w:r>
      <w:r w:rsidRPr="00F45BD1">
        <w:rPr>
          <w:b/>
          <w:noProof/>
        </w:rPr>
        <w:tab/>
      </w:r>
      <w:r w:rsidR="00FB48AC" w:rsidRPr="00F45BD1">
        <w:rPr>
          <w:b/>
          <w:noProof/>
        </w:rPr>
        <w:t xml:space="preserve">Πώς να </w:t>
      </w:r>
      <w:r w:rsidR="00743553" w:rsidRPr="00F45BD1">
        <w:rPr>
          <w:b/>
          <w:noProof/>
        </w:rPr>
        <w:t xml:space="preserve">πάρετε το </w:t>
      </w:r>
      <w:r w:rsidR="007C59B2" w:rsidRPr="00F45BD1">
        <w:rPr>
          <w:b/>
          <w:noProof/>
        </w:rPr>
        <w:t>N</w:t>
      </w:r>
      <w:r w:rsidR="007C59B2" w:rsidRPr="00F45BD1">
        <w:rPr>
          <w:b/>
          <w:noProof/>
          <w:lang w:val="en-US"/>
        </w:rPr>
        <w:t>ormell</w:t>
      </w:r>
    </w:p>
    <w:p w:rsidR="00496809" w:rsidRPr="00F45BD1" w:rsidRDefault="00496809">
      <w:pPr>
        <w:rPr>
          <w:noProof/>
        </w:rPr>
      </w:pPr>
    </w:p>
    <w:p w:rsidR="00743553" w:rsidRPr="00F45BD1" w:rsidRDefault="00FB48AC">
      <w:pPr>
        <w:jc w:val="both"/>
        <w:rPr>
          <w:noProof/>
        </w:rPr>
      </w:pPr>
      <w:r w:rsidRPr="00F45BD1">
        <w:rPr>
          <w:noProof/>
        </w:rPr>
        <w:t xml:space="preserve">Πάντοτε να </w:t>
      </w:r>
      <w:r w:rsidR="00743553" w:rsidRPr="00F45BD1">
        <w:rPr>
          <w:noProof/>
        </w:rPr>
        <w:t>παίρνετε το φάρμακο αυτό αυστηρά σύμφ</w:t>
      </w:r>
      <w:r w:rsidRPr="00F45BD1">
        <w:rPr>
          <w:noProof/>
        </w:rPr>
        <w:t>ωνα με τις οδηγίες του γιατρού ή του φαρμακοποιού</w:t>
      </w:r>
      <w:r w:rsidR="00743553" w:rsidRPr="00F45BD1">
        <w:rPr>
          <w:noProof/>
        </w:rPr>
        <w:t xml:space="preserve"> σας. Εάν έχετε αμφιβολίες, ρωτήστε </w:t>
      </w:r>
      <w:r w:rsidRPr="00F45BD1">
        <w:rPr>
          <w:noProof/>
        </w:rPr>
        <w:t>τον γιατρό</w:t>
      </w:r>
      <w:r w:rsidR="00743553" w:rsidRPr="00F45BD1">
        <w:rPr>
          <w:noProof/>
        </w:rPr>
        <w:t xml:space="preserve"> ή τον φαρμακοποιό σας.</w:t>
      </w:r>
    </w:p>
    <w:p w:rsidR="00743553" w:rsidRPr="00F45BD1" w:rsidRDefault="00743553">
      <w:pPr>
        <w:jc w:val="both"/>
        <w:rPr>
          <w:noProof/>
        </w:rPr>
      </w:pPr>
    </w:p>
    <w:p w:rsidR="00E86135" w:rsidRPr="00F45BD1" w:rsidRDefault="00FB48AC">
      <w:pPr>
        <w:rPr>
          <w:szCs w:val="22"/>
        </w:rPr>
      </w:pPr>
      <w:r w:rsidRPr="00F45BD1">
        <w:rPr>
          <w:szCs w:val="22"/>
        </w:rPr>
        <w:t xml:space="preserve">Κατά κανόνα, η δοσολογία του φαρμάκου διέπεται από τα επιθυμητά επίπεδα σακχάρου στο αίμα. </w:t>
      </w:r>
    </w:p>
    <w:p w:rsidR="00FB48AC" w:rsidRPr="00F45BD1" w:rsidRDefault="00FB48AC">
      <w:pPr>
        <w:rPr>
          <w:szCs w:val="22"/>
        </w:rPr>
      </w:pPr>
      <w:r w:rsidRPr="00F45BD1">
        <w:rPr>
          <w:szCs w:val="22"/>
        </w:rPr>
        <w:t xml:space="preserve">Η δόση της γλιβενκλαμίδης πρέπει να είναι η ελάχιστη δυνατή, που μπορεί να είναι αποτελεσματική. </w:t>
      </w:r>
    </w:p>
    <w:p w:rsidR="00FB48AC" w:rsidRPr="00F45BD1" w:rsidRDefault="00FB48AC">
      <w:pPr>
        <w:rPr>
          <w:szCs w:val="22"/>
        </w:rPr>
      </w:pPr>
      <w:r w:rsidRPr="00F45BD1">
        <w:rPr>
          <w:szCs w:val="22"/>
        </w:rPr>
        <w:t xml:space="preserve">Η δοσολογία του </w:t>
      </w:r>
      <w:proofErr w:type="spellStart"/>
      <w:r w:rsidRPr="00F45BD1">
        <w:rPr>
          <w:szCs w:val="22"/>
        </w:rPr>
        <w:t>Normell</w:t>
      </w:r>
      <w:proofErr w:type="spellEnd"/>
      <w:r w:rsidRPr="00F45BD1">
        <w:rPr>
          <w:szCs w:val="22"/>
        </w:rPr>
        <w:t xml:space="preserve"> θα πρέπει να ρυθμίζεται με βάση τη μεταβολική κατάσταση του ασθενή.</w:t>
      </w:r>
    </w:p>
    <w:p w:rsidR="00FB48AC" w:rsidRPr="00F45BD1" w:rsidRDefault="00FB48AC">
      <w:pPr>
        <w:rPr>
          <w:szCs w:val="22"/>
        </w:rPr>
      </w:pPr>
      <w:r w:rsidRPr="00F45BD1">
        <w:rPr>
          <w:szCs w:val="22"/>
        </w:rPr>
        <w:t>Λάθη, όπως π.χ. παράλειψη λήψης μιας δόσης δεν θα πρέπει ποτέ να διορθωθεί στη συνέχεια με χορήγηση μεγαλύτερης δόσης.</w:t>
      </w:r>
    </w:p>
    <w:p w:rsidR="00FB48AC" w:rsidRPr="00F45BD1" w:rsidRDefault="00FB48AC">
      <w:pPr>
        <w:rPr>
          <w:szCs w:val="22"/>
        </w:rPr>
      </w:pPr>
    </w:p>
    <w:p w:rsidR="00FB48AC" w:rsidRPr="00F45BD1" w:rsidRDefault="00FB48AC">
      <w:pPr>
        <w:rPr>
          <w:szCs w:val="22"/>
        </w:rPr>
      </w:pPr>
      <w:r w:rsidRPr="00F45BD1">
        <w:rPr>
          <w:szCs w:val="22"/>
        </w:rPr>
        <w:t xml:space="preserve">Με βάση την κλινική μελέτη που διεξήχθη, προτείνεται το ακόλουθο </w:t>
      </w:r>
      <w:proofErr w:type="spellStart"/>
      <w:r w:rsidRPr="00F45BD1">
        <w:rPr>
          <w:szCs w:val="22"/>
        </w:rPr>
        <w:t>δοσολογικό</w:t>
      </w:r>
      <w:proofErr w:type="spellEnd"/>
      <w:r w:rsidRPr="00F45BD1">
        <w:rPr>
          <w:szCs w:val="22"/>
        </w:rPr>
        <w:t xml:space="preserve"> σχήμα: </w:t>
      </w:r>
    </w:p>
    <w:p w:rsidR="00FB48AC" w:rsidRPr="00F45BD1" w:rsidRDefault="00FB48AC">
      <w:pPr>
        <w:rPr>
          <w:szCs w:val="22"/>
        </w:rPr>
      </w:pPr>
      <w:r w:rsidRPr="00F45BD1">
        <w:rPr>
          <w:b/>
          <w:szCs w:val="22"/>
        </w:rPr>
        <w:t>•</w:t>
      </w:r>
      <w:r w:rsidRPr="00F45BD1">
        <w:rPr>
          <w:szCs w:val="22"/>
        </w:rPr>
        <w:t xml:space="preserve"> Ασθενείς που δεν ρυθμίστηκαν μόνο με </w:t>
      </w:r>
      <w:proofErr w:type="spellStart"/>
      <w:r w:rsidRPr="00F45BD1">
        <w:rPr>
          <w:szCs w:val="22"/>
        </w:rPr>
        <w:t>υγιεινοδιαιτητική</w:t>
      </w:r>
      <w:proofErr w:type="spellEnd"/>
      <w:r w:rsidRPr="00F45BD1">
        <w:rPr>
          <w:szCs w:val="22"/>
        </w:rPr>
        <w:t xml:space="preserve"> αγωγή, έναρξη της αγωγής με 1/2 δισκίο ημερησίως, αύξησή της κατά 1/2 δισκίο κάθε φορά με βάση τις τιμές των επιπέδων σακχάρου στο αίμα μέχρι το μέγιστο των 4 δισκίων ημερησίως.</w:t>
      </w:r>
    </w:p>
    <w:p w:rsidR="00FB48AC" w:rsidRPr="00F45BD1" w:rsidRDefault="00FB48AC">
      <w:pPr>
        <w:rPr>
          <w:szCs w:val="22"/>
        </w:rPr>
      </w:pPr>
    </w:p>
    <w:p w:rsidR="00FB48AC" w:rsidRPr="00F45BD1" w:rsidRDefault="00FB48AC">
      <w:pPr>
        <w:rPr>
          <w:szCs w:val="22"/>
        </w:rPr>
      </w:pPr>
      <w:r w:rsidRPr="00F45BD1">
        <w:rPr>
          <w:b/>
          <w:szCs w:val="22"/>
        </w:rPr>
        <w:t>•</w:t>
      </w:r>
      <w:r w:rsidRPr="00F45BD1">
        <w:rPr>
          <w:szCs w:val="22"/>
        </w:rPr>
        <w:t xml:space="preserve"> Ασθενείς ανθεκτικοί σε άλλα από του στόματος χορηγούμενα υπογλυκαιμικά φάρμακα και ασθενείς όχι αποκλειστικά </w:t>
      </w:r>
      <w:proofErr w:type="spellStart"/>
      <w:r w:rsidRPr="00F45BD1">
        <w:rPr>
          <w:szCs w:val="22"/>
        </w:rPr>
        <w:t>ινσουλινοεξαρτώμενοι</w:t>
      </w:r>
      <w:proofErr w:type="spellEnd"/>
      <w:r w:rsidRPr="00F45BD1">
        <w:rPr>
          <w:szCs w:val="22"/>
        </w:rPr>
        <w:t>, στους οποίους μικρές δόσεις ινσουλίνης μπορούν να αντικατασταθούν, μετά από διακοπή τουλάχιστον 24 ωρών, με χορήγηση 2 δισκίων ημερησίως. Αύξηση κατά 1/2 δισκίο ημερησίως μέχρις ότου επιτευχθεί μεταβολικό ισοζύγιο.</w:t>
      </w:r>
    </w:p>
    <w:p w:rsidR="00FB48AC" w:rsidRPr="00F45BD1" w:rsidRDefault="00FB48AC">
      <w:pPr>
        <w:rPr>
          <w:szCs w:val="22"/>
        </w:rPr>
      </w:pPr>
    </w:p>
    <w:p w:rsidR="00FB48AC" w:rsidRPr="00F45BD1" w:rsidRDefault="00FB48AC">
      <w:pPr>
        <w:rPr>
          <w:szCs w:val="22"/>
          <w:u w:val="single"/>
        </w:rPr>
      </w:pPr>
      <w:r w:rsidRPr="00F45BD1">
        <w:rPr>
          <w:szCs w:val="22"/>
          <w:u w:val="single"/>
        </w:rPr>
        <w:t>Δευτερογενής προσαρμογή της δοσολογίας</w:t>
      </w:r>
    </w:p>
    <w:p w:rsidR="00FB48AC" w:rsidRPr="00F45BD1" w:rsidRDefault="00FB48AC">
      <w:pPr>
        <w:rPr>
          <w:szCs w:val="22"/>
        </w:rPr>
      </w:pPr>
      <w:r w:rsidRPr="00F45BD1">
        <w:rPr>
          <w:szCs w:val="22"/>
        </w:rPr>
        <w:t xml:space="preserve">Επειδή η βελτίωση του ελέγχου του διαβήτη συσχετίζεται από μόνη της με υψηλότερη ευαισθησία στην ινσουλίνη, οι ανάγκες σε </w:t>
      </w:r>
      <w:proofErr w:type="spellStart"/>
      <w:r w:rsidRPr="00F45BD1">
        <w:rPr>
          <w:szCs w:val="22"/>
        </w:rPr>
        <w:t>γλιβενκλαμίδη</w:t>
      </w:r>
      <w:proofErr w:type="spellEnd"/>
      <w:r w:rsidRPr="00F45BD1">
        <w:rPr>
          <w:szCs w:val="22"/>
        </w:rPr>
        <w:t xml:space="preserve"> μπορεί να μειωθούν καθώς συνεχίζεται η αγωγή. Προκειμένου να αποφευχθεί η υπογλυκαιμία θα πρέπει να ληφθεί υπόψη η έγκαιρη μείωση ή η διακοπή της αγωγής γλιβενκλαμίδης.</w:t>
      </w:r>
    </w:p>
    <w:p w:rsidR="00FB48AC" w:rsidRPr="00F45BD1" w:rsidRDefault="00FB48AC">
      <w:pPr>
        <w:rPr>
          <w:szCs w:val="22"/>
        </w:rPr>
      </w:pPr>
    </w:p>
    <w:p w:rsidR="00FB48AC" w:rsidRPr="00F45BD1" w:rsidRDefault="00FB48AC">
      <w:pPr>
        <w:rPr>
          <w:szCs w:val="22"/>
        </w:rPr>
      </w:pPr>
      <w:r w:rsidRPr="00F45BD1">
        <w:rPr>
          <w:szCs w:val="22"/>
        </w:rPr>
        <w:t xml:space="preserve">Τα δισκία </w:t>
      </w:r>
      <w:proofErr w:type="spellStart"/>
      <w:r w:rsidRPr="00F45BD1">
        <w:rPr>
          <w:szCs w:val="22"/>
        </w:rPr>
        <w:t>γλιβενκλαμίδης</w:t>
      </w:r>
      <w:proofErr w:type="spellEnd"/>
      <w:r w:rsidRPr="00F45BD1">
        <w:rPr>
          <w:szCs w:val="22"/>
        </w:rPr>
        <w:t xml:space="preserve"> καταπίνονται ολόκληρα, χωρίς να </w:t>
      </w:r>
      <w:proofErr w:type="spellStart"/>
      <w:r w:rsidRPr="00F45BD1">
        <w:rPr>
          <w:szCs w:val="22"/>
        </w:rPr>
        <w:t>μασώνται</w:t>
      </w:r>
      <w:proofErr w:type="spellEnd"/>
      <w:r w:rsidRPr="00F45BD1">
        <w:rPr>
          <w:szCs w:val="22"/>
        </w:rPr>
        <w:t>, με επαρκή ποσότητα υγρών, π.χ. περίπου με μισό ως ένα ποτήρι νερό.</w:t>
      </w:r>
    </w:p>
    <w:p w:rsidR="00FF7B46" w:rsidRPr="00F45BD1" w:rsidRDefault="00FF7B46">
      <w:pPr>
        <w:jc w:val="both"/>
        <w:rPr>
          <w:noProof/>
        </w:rPr>
      </w:pPr>
    </w:p>
    <w:p w:rsidR="00496809" w:rsidRPr="00F45BD1" w:rsidRDefault="00496809">
      <w:pPr>
        <w:rPr>
          <w:noProof/>
        </w:rPr>
      </w:pPr>
      <w:r w:rsidRPr="00F45BD1">
        <w:rPr>
          <w:b/>
          <w:noProof/>
        </w:rPr>
        <w:t>Εάν πάρετε</w:t>
      </w:r>
      <w:r w:rsidR="0099008B" w:rsidRPr="00F45BD1">
        <w:rPr>
          <w:b/>
          <w:noProof/>
        </w:rPr>
        <w:t xml:space="preserve"> </w:t>
      </w:r>
      <w:r w:rsidRPr="00F45BD1">
        <w:rPr>
          <w:b/>
          <w:noProof/>
        </w:rPr>
        <w:t xml:space="preserve">μεγαλύτερη δόση </w:t>
      </w:r>
      <w:r w:rsidR="007C59B2" w:rsidRPr="00F45BD1">
        <w:rPr>
          <w:b/>
          <w:noProof/>
        </w:rPr>
        <w:t>N</w:t>
      </w:r>
      <w:r w:rsidR="007C59B2" w:rsidRPr="00F45BD1">
        <w:rPr>
          <w:b/>
          <w:noProof/>
          <w:lang w:val="en-US"/>
        </w:rPr>
        <w:t>ormell</w:t>
      </w:r>
      <w:r w:rsidRPr="00F45BD1">
        <w:rPr>
          <w:b/>
          <w:noProof/>
        </w:rPr>
        <w:t xml:space="preserve"> από την κανονική</w:t>
      </w:r>
    </w:p>
    <w:p w:rsidR="000B46B3" w:rsidRPr="00F45BD1" w:rsidRDefault="000B46B3">
      <w:pPr>
        <w:widowControl/>
        <w:tabs>
          <w:tab w:val="left" w:pos="870"/>
        </w:tabs>
        <w:overflowPunct w:val="0"/>
        <w:autoSpaceDE w:val="0"/>
        <w:autoSpaceDN w:val="0"/>
        <w:adjustRightInd w:val="0"/>
        <w:jc w:val="both"/>
        <w:textAlignment w:val="baseline"/>
        <w:rPr>
          <w:b/>
          <w:szCs w:val="22"/>
          <w:lang w:eastAsia="el-GR"/>
        </w:rPr>
      </w:pPr>
      <w:proofErr w:type="spellStart"/>
      <w:r w:rsidRPr="00F45BD1">
        <w:rPr>
          <w:b/>
          <w:szCs w:val="22"/>
          <w:lang w:eastAsia="el-GR"/>
        </w:rPr>
        <w:t>Γλιβενκλαμίδη</w:t>
      </w:r>
      <w:proofErr w:type="spellEnd"/>
    </w:p>
    <w:p w:rsidR="000B46B3" w:rsidRPr="00F45BD1" w:rsidRDefault="000B46B3">
      <w:pPr>
        <w:widowControl/>
        <w:overflowPunct w:val="0"/>
        <w:autoSpaceDE w:val="0"/>
        <w:autoSpaceDN w:val="0"/>
        <w:adjustRightInd w:val="0"/>
        <w:jc w:val="both"/>
        <w:textAlignment w:val="baseline"/>
        <w:rPr>
          <w:szCs w:val="22"/>
          <w:u w:val="single"/>
          <w:lang w:eastAsia="el-GR"/>
        </w:rPr>
      </w:pPr>
      <w:r w:rsidRPr="00F45BD1">
        <w:rPr>
          <w:szCs w:val="22"/>
          <w:u w:val="single"/>
          <w:lang w:eastAsia="el-GR"/>
        </w:rPr>
        <w:t>Σημεία και συμπτώματα</w:t>
      </w:r>
    </w:p>
    <w:p w:rsidR="000B46B3" w:rsidRPr="00F45BD1" w:rsidRDefault="000B46B3">
      <w:pPr>
        <w:widowControl/>
        <w:overflowPunct w:val="0"/>
        <w:autoSpaceDE w:val="0"/>
        <w:autoSpaceDN w:val="0"/>
        <w:adjustRightInd w:val="0"/>
        <w:jc w:val="both"/>
        <w:textAlignment w:val="baseline"/>
        <w:rPr>
          <w:szCs w:val="22"/>
          <w:lang w:eastAsia="el-GR"/>
        </w:rPr>
      </w:pPr>
      <w:r w:rsidRPr="00F45BD1">
        <w:rPr>
          <w:szCs w:val="22"/>
          <w:lang w:eastAsia="el-GR"/>
        </w:rPr>
        <w:t xml:space="preserve">Οξεία </w:t>
      </w:r>
      <w:proofErr w:type="spellStart"/>
      <w:r w:rsidRPr="00F45BD1">
        <w:rPr>
          <w:szCs w:val="22"/>
          <w:lang w:eastAsia="el-GR"/>
        </w:rPr>
        <w:t>υπερδοσολογία</w:t>
      </w:r>
      <w:proofErr w:type="spellEnd"/>
      <w:r w:rsidRPr="00F45BD1">
        <w:rPr>
          <w:szCs w:val="22"/>
          <w:lang w:eastAsia="el-GR"/>
        </w:rPr>
        <w:t xml:space="preserve"> καθώς και μακροχρόνια αγωγή με πολύ υψηλή δόση γλιβενκλαμίδης πιθανόν να οδηγήσει σε σοβαρή, παρατεταμένη, επικίνδυνη για τη ζωή υπογλυκαιμία.</w:t>
      </w:r>
    </w:p>
    <w:p w:rsidR="000B46B3" w:rsidRPr="00F45BD1" w:rsidRDefault="000B46B3">
      <w:pPr>
        <w:widowControl/>
        <w:overflowPunct w:val="0"/>
        <w:autoSpaceDE w:val="0"/>
        <w:autoSpaceDN w:val="0"/>
        <w:adjustRightInd w:val="0"/>
        <w:jc w:val="both"/>
        <w:textAlignment w:val="baseline"/>
        <w:rPr>
          <w:szCs w:val="22"/>
          <w:lang w:eastAsia="el-GR"/>
        </w:rPr>
      </w:pPr>
    </w:p>
    <w:p w:rsidR="000B46B3" w:rsidRPr="00F45BD1" w:rsidRDefault="000B46B3">
      <w:pPr>
        <w:widowControl/>
        <w:overflowPunct w:val="0"/>
        <w:autoSpaceDE w:val="0"/>
        <w:autoSpaceDN w:val="0"/>
        <w:adjustRightInd w:val="0"/>
        <w:jc w:val="both"/>
        <w:textAlignment w:val="baseline"/>
        <w:rPr>
          <w:szCs w:val="22"/>
          <w:u w:val="single"/>
          <w:lang w:eastAsia="el-GR"/>
        </w:rPr>
      </w:pPr>
      <w:r w:rsidRPr="00F45BD1">
        <w:rPr>
          <w:szCs w:val="22"/>
          <w:u w:val="single"/>
          <w:lang w:eastAsia="el-GR"/>
        </w:rPr>
        <w:t>Αντιμετώπιση</w:t>
      </w:r>
    </w:p>
    <w:p w:rsidR="000B46B3" w:rsidRPr="00F45BD1" w:rsidRDefault="000B46B3">
      <w:pPr>
        <w:widowControl/>
        <w:overflowPunct w:val="0"/>
        <w:autoSpaceDE w:val="0"/>
        <w:autoSpaceDN w:val="0"/>
        <w:adjustRightInd w:val="0"/>
        <w:jc w:val="both"/>
        <w:textAlignment w:val="baseline"/>
        <w:rPr>
          <w:szCs w:val="22"/>
          <w:lang w:eastAsia="el-GR"/>
        </w:rPr>
      </w:pPr>
      <w:r w:rsidRPr="00F45BD1">
        <w:rPr>
          <w:szCs w:val="22"/>
          <w:lang w:eastAsia="el-GR"/>
        </w:rPr>
        <w:t xml:space="preserve">Μόλις εντοπιστεί η </w:t>
      </w:r>
      <w:proofErr w:type="spellStart"/>
      <w:r w:rsidRPr="00F45BD1">
        <w:rPr>
          <w:szCs w:val="22"/>
          <w:lang w:eastAsia="el-GR"/>
        </w:rPr>
        <w:t>υπερδοσολογία</w:t>
      </w:r>
      <w:proofErr w:type="spellEnd"/>
      <w:r w:rsidRPr="00F45BD1">
        <w:rPr>
          <w:szCs w:val="22"/>
          <w:lang w:eastAsia="el-GR"/>
        </w:rPr>
        <w:t xml:space="preserve"> από το </w:t>
      </w:r>
      <w:proofErr w:type="spellStart"/>
      <w:r w:rsidRPr="00F45BD1">
        <w:rPr>
          <w:szCs w:val="22"/>
          <w:lang w:val="en-US" w:eastAsia="el-GR"/>
        </w:rPr>
        <w:t>Normell</w:t>
      </w:r>
      <w:proofErr w:type="spellEnd"/>
      <w:r w:rsidRPr="00F45BD1">
        <w:rPr>
          <w:szCs w:val="22"/>
          <w:lang w:eastAsia="el-GR"/>
        </w:rPr>
        <w:t xml:space="preserve">, θα πρέπει να ενημερωθεί ο ιατρός χωρίς καθυστέρηση. Στον ασθενή θα πρέπει να χορηγηθεί αμέσως ζάχαρη, αν είναι δυνατό υπό μορφή γλυκόζης, εκτός και αν ο ιατρός είναι σε θέση να αντιμετωπίσει την </w:t>
      </w:r>
      <w:proofErr w:type="spellStart"/>
      <w:r w:rsidRPr="00F45BD1">
        <w:rPr>
          <w:szCs w:val="22"/>
          <w:lang w:eastAsia="el-GR"/>
        </w:rPr>
        <w:t>υπερδοσολογία</w:t>
      </w:r>
      <w:proofErr w:type="spellEnd"/>
      <w:r w:rsidRPr="00F45BD1">
        <w:rPr>
          <w:szCs w:val="22"/>
          <w:lang w:eastAsia="el-GR"/>
        </w:rPr>
        <w:t xml:space="preserve">. </w:t>
      </w:r>
    </w:p>
    <w:p w:rsidR="000B46B3" w:rsidRPr="00F45BD1" w:rsidRDefault="000B46B3">
      <w:pPr>
        <w:widowControl/>
        <w:overflowPunct w:val="0"/>
        <w:autoSpaceDE w:val="0"/>
        <w:autoSpaceDN w:val="0"/>
        <w:adjustRightInd w:val="0"/>
        <w:jc w:val="both"/>
        <w:textAlignment w:val="baseline"/>
        <w:rPr>
          <w:szCs w:val="22"/>
          <w:lang w:eastAsia="el-GR"/>
        </w:rPr>
      </w:pPr>
      <w:r w:rsidRPr="00F45BD1">
        <w:rPr>
          <w:szCs w:val="22"/>
          <w:lang w:eastAsia="el-GR"/>
        </w:rPr>
        <w:t xml:space="preserve">Ουσιώδους σημασίας είναι η προσεκτική παρακολούθηση μέχρις ότου σιγουρευτεί ο ιατρός, ότι ο ασθενής βρίσκεται εκτός κινδύνου. Θα πρέπει να ληφθεί υπόψη ότι η υπογλυκαιμία και τα κλινικά της σημεία μπορεί να επανεμφανιστούν μετά την αρχική ανάνηψη. </w:t>
      </w:r>
    </w:p>
    <w:p w:rsidR="000B46B3" w:rsidRPr="00F45BD1" w:rsidRDefault="000B46B3">
      <w:pPr>
        <w:widowControl/>
        <w:overflowPunct w:val="0"/>
        <w:autoSpaceDE w:val="0"/>
        <w:autoSpaceDN w:val="0"/>
        <w:adjustRightInd w:val="0"/>
        <w:jc w:val="both"/>
        <w:textAlignment w:val="baseline"/>
        <w:rPr>
          <w:szCs w:val="22"/>
          <w:lang w:eastAsia="el-GR"/>
        </w:rPr>
      </w:pPr>
      <w:r w:rsidRPr="00F45BD1">
        <w:rPr>
          <w:szCs w:val="22"/>
          <w:lang w:eastAsia="el-GR"/>
        </w:rPr>
        <w:t xml:space="preserve">Μερικές φορές ίσως είναι απαραίτητη η εισαγωγή σε νοσοκομείο, ακόμη και ως προληπτικό μέτρο. Ειδικότερα, σημαντική </w:t>
      </w:r>
      <w:proofErr w:type="spellStart"/>
      <w:r w:rsidRPr="00F45BD1">
        <w:rPr>
          <w:szCs w:val="22"/>
          <w:lang w:eastAsia="el-GR"/>
        </w:rPr>
        <w:t>υπερδοσολογία</w:t>
      </w:r>
      <w:proofErr w:type="spellEnd"/>
      <w:r w:rsidRPr="00F45BD1">
        <w:rPr>
          <w:szCs w:val="22"/>
          <w:lang w:eastAsia="el-GR"/>
        </w:rPr>
        <w:t xml:space="preserve"> και σοβαρές αντιδράσεις με σημεία τέτοια όπως απώλεια συνείδησης ή άλλες σοβαρές νευρολογικές διαταραχές σημαίνουν ιατρική έκτακτη ανάγκη και απαιτούν άμεση θεραπευτική αντιμετώπιση και εισαγωγή στο νοσοκομείο. </w:t>
      </w:r>
    </w:p>
    <w:p w:rsidR="000B46B3" w:rsidRPr="00F45BD1" w:rsidRDefault="000B46B3">
      <w:pPr>
        <w:widowControl/>
        <w:overflowPunct w:val="0"/>
        <w:autoSpaceDE w:val="0"/>
        <w:autoSpaceDN w:val="0"/>
        <w:adjustRightInd w:val="0"/>
        <w:jc w:val="both"/>
        <w:textAlignment w:val="baseline"/>
        <w:rPr>
          <w:szCs w:val="22"/>
          <w:lang w:eastAsia="el-GR"/>
        </w:rPr>
      </w:pPr>
      <w:r w:rsidRPr="00F45BD1">
        <w:rPr>
          <w:szCs w:val="22"/>
          <w:lang w:eastAsia="el-GR"/>
        </w:rPr>
        <w:t xml:space="preserve">Αν, για παράδειγμα, ο ασθενής είναι αναίσθητος, χορηγείται ενδοφλέβια ένεση συμπυκνωμένου διαλύματος γλυκόζης (για ενήλικες έναρξη, π.χ. με 40 </w:t>
      </w:r>
      <w:r w:rsidRPr="00F45BD1">
        <w:rPr>
          <w:szCs w:val="22"/>
          <w:lang w:val="en-GB" w:eastAsia="el-GR"/>
        </w:rPr>
        <w:t>ml</w:t>
      </w:r>
      <w:r w:rsidRPr="00F45BD1">
        <w:rPr>
          <w:szCs w:val="22"/>
          <w:lang w:eastAsia="el-GR"/>
        </w:rPr>
        <w:t xml:space="preserve"> διαλύματος 20%). Εναλλακτικά, σε ενήλικες μπορεί να ληφθεί υπόψη η χορήγηση </w:t>
      </w:r>
      <w:proofErr w:type="spellStart"/>
      <w:r w:rsidRPr="00F45BD1">
        <w:rPr>
          <w:szCs w:val="22"/>
          <w:lang w:eastAsia="el-GR"/>
        </w:rPr>
        <w:t>γλουκαγόνης</w:t>
      </w:r>
      <w:proofErr w:type="spellEnd"/>
      <w:r w:rsidRPr="00F45BD1">
        <w:rPr>
          <w:szCs w:val="22"/>
          <w:lang w:eastAsia="el-GR"/>
        </w:rPr>
        <w:t xml:space="preserve"> π.χ. σε δόσεις 0,5-1 </w:t>
      </w:r>
      <w:r w:rsidRPr="00F45BD1">
        <w:rPr>
          <w:szCs w:val="22"/>
          <w:lang w:val="en-GB" w:eastAsia="el-GR"/>
        </w:rPr>
        <w:t>mg</w:t>
      </w:r>
      <w:r w:rsidRPr="00F45BD1">
        <w:rPr>
          <w:szCs w:val="22"/>
          <w:lang w:eastAsia="el-GR"/>
        </w:rPr>
        <w:t xml:space="preserve"> ενδοφλεβίως, υποδορίως ή </w:t>
      </w:r>
      <w:proofErr w:type="spellStart"/>
      <w:r w:rsidRPr="00F45BD1">
        <w:rPr>
          <w:szCs w:val="22"/>
          <w:lang w:eastAsia="el-GR"/>
        </w:rPr>
        <w:t>ενδομυϊκώς</w:t>
      </w:r>
      <w:proofErr w:type="spellEnd"/>
      <w:r w:rsidRPr="00F45BD1">
        <w:rPr>
          <w:szCs w:val="22"/>
          <w:lang w:eastAsia="el-GR"/>
        </w:rPr>
        <w:t xml:space="preserve">. Ιδιαίτερα σε βρέφη και νεαρά παιδιά, όταν αντιμετωπίζεται θεραπευτικά η υπογλυκαιμία θα πρέπει να γίνει πολύ προσεκτικά η προσαρμογή της δόσης γλυκόζης λόγω της πιθανότητας πρόκλησης επικίνδυνης υπεργλυκαιμίας και πρέπει να ελέγχεται με στενή παρακολούθηση η γλυκόζη στο αίμα. </w:t>
      </w:r>
    </w:p>
    <w:p w:rsidR="000B46B3" w:rsidRPr="00F45BD1" w:rsidRDefault="000B46B3">
      <w:pPr>
        <w:widowControl/>
        <w:overflowPunct w:val="0"/>
        <w:autoSpaceDE w:val="0"/>
        <w:autoSpaceDN w:val="0"/>
        <w:adjustRightInd w:val="0"/>
        <w:jc w:val="both"/>
        <w:textAlignment w:val="baseline"/>
        <w:rPr>
          <w:szCs w:val="22"/>
          <w:lang w:eastAsia="el-GR"/>
        </w:rPr>
      </w:pPr>
    </w:p>
    <w:p w:rsidR="000B46B3" w:rsidRPr="00F45BD1" w:rsidRDefault="000B46B3">
      <w:pPr>
        <w:widowControl/>
        <w:overflowPunct w:val="0"/>
        <w:autoSpaceDE w:val="0"/>
        <w:autoSpaceDN w:val="0"/>
        <w:adjustRightInd w:val="0"/>
        <w:jc w:val="both"/>
        <w:textAlignment w:val="baseline"/>
        <w:rPr>
          <w:szCs w:val="22"/>
          <w:lang w:eastAsia="el-GR"/>
        </w:rPr>
      </w:pPr>
      <w:r w:rsidRPr="00F45BD1">
        <w:rPr>
          <w:szCs w:val="22"/>
          <w:lang w:eastAsia="el-GR"/>
        </w:rPr>
        <w:t xml:space="preserve">Ασθενείς οι οποίοι έλαβαν ποσότητα </w:t>
      </w:r>
      <w:proofErr w:type="spellStart"/>
      <w:r w:rsidR="002771E2" w:rsidRPr="00F45BD1">
        <w:rPr>
          <w:bCs/>
          <w:iCs/>
          <w:szCs w:val="22"/>
          <w:lang w:val="en-US"/>
        </w:rPr>
        <w:t>Normell</w:t>
      </w:r>
      <w:proofErr w:type="spellEnd"/>
      <w:r w:rsidRPr="00F45BD1">
        <w:rPr>
          <w:szCs w:val="22"/>
          <w:lang w:eastAsia="el-GR"/>
        </w:rPr>
        <w:t xml:space="preserve">, επικίνδυνη για τη ζωή χρειάζονται αποτοξίνωση (π.χ. με πλύση στομάχου και χορήγηση ιατρικού άνθρακα). </w:t>
      </w:r>
    </w:p>
    <w:p w:rsidR="000B46B3" w:rsidRPr="00F45BD1" w:rsidRDefault="000B46B3">
      <w:pPr>
        <w:widowControl/>
        <w:overflowPunct w:val="0"/>
        <w:autoSpaceDE w:val="0"/>
        <w:autoSpaceDN w:val="0"/>
        <w:adjustRightInd w:val="0"/>
        <w:jc w:val="both"/>
        <w:textAlignment w:val="baseline"/>
        <w:rPr>
          <w:szCs w:val="22"/>
          <w:lang w:eastAsia="el-GR"/>
        </w:rPr>
      </w:pPr>
      <w:r w:rsidRPr="00F45BD1">
        <w:rPr>
          <w:szCs w:val="22"/>
          <w:lang w:eastAsia="el-GR"/>
        </w:rPr>
        <w:lastRenderedPageBreak/>
        <w:t>Μετά την ολοκλήρωση της οξείας υποκατάστασης γλυκόζης, συνήθως είναι απαραίτητη η ενδοφλέβια έγχυση γλυκόζης σε χαμηλότερη συγκέντρωση έτσι ώστε να διασφαλιστεί ότι δεν θα επαναληφθεί η υπογλυκαιμία. Για τουλάχιστον 24 ώρες θα πρέπει να παρακολουθούνται προσεκτικά τα επίπεδα γλυκόζης του ασθενή στο αίμα. Σε βαριές περιπτώσεις με παρατεταμένη πορεία, η υπογλυκαιμία ή ο κίνδυνος εμφάνισης υπογλυκαιμίας μπορεί να εμμένει για μερικές ημέρες.</w:t>
      </w:r>
    </w:p>
    <w:p w:rsidR="000B46B3" w:rsidRPr="00F45BD1" w:rsidRDefault="000B46B3">
      <w:pPr>
        <w:widowControl/>
        <w:overflowPunct w:val="0"/>
        <w:autoSpaceDE w:val="0"/>
        <w:autoSpaceDN w:val="0"/>
        <w:adjustRightInd w:val="0"/>
        <w:jc w:val="both"/>
        <w:textAlignment w:val="baseline"/>
        <w:rPr>
          <w:szCs w:val="22"/>
          <w:lang w:eastAsia="el-GR"/>
        </w:rPr>
      </w:pPr>
    </w:p>
    <w:p w:rsidR="000B46B3" w:rsidRPr="00F45BD1" w:rsidRDefault="000B46B3">
      <w:pPr>
        <w:widowControl/>
        <w:tabs>
          <w:tab w:val="left" w:pos="870"/>
        </w:tabs>
        <w:overflowPunct w:val="0"/>
        <w:autoSpaceDE w:val="0"/>
        <w:autoSpaceDN w:val="0"/>
        <w:adjustRightInd w:val="0"/>
        <w:jc w:val="both"/>
        <w:textAlignment w:val="baseline"/>
        <w:rPr>
          <w:b/>
          <w:szCs w:val="22"/>
          <w:lang w:eastAsia="el-GR"/>
        </w:rPr>
      </w:pPr>
      <w:r w:rsidRPr="00F45BD1">
        <w:rPr>
          <w:b/>
          <w:szCs w:val="22"/>
          <w:lang w:eastAsia="el-GR"/>
        </w:rPr>
        <w:t>Μετφορμίνη</w:t>
      </w:r>
    </w:p>
    <w:p w:rsidR="000B46B3" w:rsidRPr="00F45BD1" w:rsidRDefault="000B46B3">
      <w:pPr>
        <w:widowControl/>
        <w:overflowPunct w:val="0"/>
        <w:autoSpaceDE w:val="0"/>
        <w:autoSpaceDN w:val="0"/>
        <w:adjustRightInd w:val="0"/>
        <w:jc w:val="both"/>
        <w:textAlignment w:val="baseline"/>
        <w:rPr>
          <w:szCs w:val="22"/>
          <w:lang w:eastAsia="el-GR"/>
        </w:rPr>
      </w:pPr>
      <w:r w:rsidRPr="00F45BD1">
        <w:rPr>
          <w:rFonts w:hint="eastAsia"/>
          <w:szCs w:val="22"/>
          <w:lang w:eastAsia="el-GR"/>
        </w:rPr>
        <w:t>Υπογλυκαιμία</w:t>
      </w:r>
      <w:r w:rsidRPr="00F45BD1">
        <w:rPr>
          <w:szCs w:val="22"/>
          <w:lang w:eastAsia="el-GR"/>
        </w:rPr>
        <w:t xml:space="preserve"> δεν έχει παρατηρηθεί με δόσεις </w:t>
      </w:r>
      <w:proofErr w:type="spellStart"/>
      <w:r w:rsidRPr="00F45BD1">
        <w:rPr>
          <w:rFonts w:hint="eastAsia"/>
          <w:szCs w:val="22"/>
          <w:lang w:eastAsia="el-GR"/>
        </w:rPr>
        <w:t>μετφορμίνης</w:t>
      </w:r>
      <w:proofErr w:type="spellEnd"/>
      <w:r w:rsidRPr="00F45BD1">
        <w:rPr>
          <w:szCs w:val="22"/>
          <w:lang w:eastAsia="el-GR"/>
        </w:rPr>
        <w:t xml:space="preserve"> μέχρι 85 g, αν και γαλακτική οξέωση έχει παρουσιαστεί σε αυτές τις περιστάσεις. Υψηλή </w:t>
      </w:r>
      <w:proofErr w:type="spellStart"/>
      <w:r w:rsidRPr="00F45BD1">
        <w:rPr>
          <w:rFonts w:hint="eastAsia"/>
          <w:szCs w:val="22"/>
          <w:lang w:eastAsia="el-GR"/>
        </w:rPr>
        <w:t>υπερδοσολογία</w:t>
      </w:r>
      <w:proofErr w:type="spellEnd"/>
      <w:r w:rsidRPr="00F45BD1">
        <w:rPr>
          <w:szCs w:val="22"/>
          <w:lang w:eastAsia="el-GR"/>
        </w:rPr>
        <w:t xml:space="preserve"> ή οι συνακόλουθοι κίνδυνοι της </w:t>
      </w:r>
      <w:proofErr w:type="spellStart"/>
      <w:r w:rsidRPr="00F45BD1">
        <w:rPr>
          <w:rFonts w:hint="eastAsia"/>
          <w:szCs w:val="22"/>
          <w:lang w:eastAsia="el-GR"/>
        </w:rPr>
        <w:t>μετφορμίνης</w:t>
      </w:r>
      <w:proofErr w:type="spellEnd"/>
      <w:r w:rsidRPr="00F45BD1">
        <w:rPr>
          <w:szCs w:val="22"/>
          <w:lang w:eastAsia="el-GR"/>
        </w:rPr>
        <w:t xml:space="preserve"> μπορεί να οδηγήσουν σε γαλακτική οξέωση. Η γαλακτική οξέωση είναι επείγουσα ιατρική κατάσταση και πρέπει να αντιμετωπίζεται στο νοσοκομείο. Η πιο αποτελεσματική μέθοδος για την απομάκρυνση του γαλακτικού οξέος και της </w:t>
      </w:r>
      <w:proofErr w:type="spellStart"/>
      <w:r w:rsidRPr="00F45BD1">
        <w:rPr>
          <w:rFonts w:hint="eastAsia"/>
          <w:szCs w:val="22"/>
          <w:lang w:eastAsia="el-GR"/>
        </w:rPr>
        <w:t>μετφορμίνης</w:t>
      </w:r>
      <w:proofErr w:type="spellEnd"/>
      <w:r w:rsidRPr="00F45BD1">
        <w:rPr>
          <w:szCs w:val="22"/>
          <w:lang w:eastAsia="el-GR"/>
        </w:rPr>
        <w:t xml:space="preserve"> είναι η </w:t>
      </w:r>
      <w:proofErr w:type="spellStart"/>
      <w:r w:rsidRPr="00F45BD1">
        <w:rPr>
          <w:rFonts w:hint="eastAsia"/>
          <w:szCs w:val="22"/>
          <w:lang w:eastAsia="el-GR"/>
        </w:rPr>
        <w:t>αιμοδιύλιση</w:t>
      </w:r>
      <w:proofErr w:type="spellEnd"/>
      <w:r w:rsidRPr="00F45BD1">
        <w:rPr>
          <w:szCs w:val="22"/>
          <w:lang w:eastAsia="el-GR"/>
        </w:rPr>
        <w:t xml:space="preserve">. </w:t>
      </w:r>
    </w:p>
    <w:p w:rsidR="000B46B3" w:rsidRPr="00F45BD1" w:rsidRDefault="000B46B3">
      <w:pPr>
        <w:widowControl/>
        <w:overflowPunct w:val="0"/>
        <w:autoSpaceDE w:val="0"/>
        <w:autoSpaceDN w:val="0"/>
        <w:adjustRightInd w:val="0"/>
        <w:jc w:val="both"/>
        <w:textAlignment w:val="baseline"/>
        <w:rPr>
          <w:szCs w:val="22"/>
          <w:lang w:eastAsia="el-GR"/>
        </w:rPr>
      </w:pPr>
    </w:p>
    <w:p w:rsidR="000B46B3" w:rsidRPr="00F45BD1" w:rsidRDefault="000B46B3">
      <w:pPr>
        <w:widowControl/>
        <w:overflowPunct w:val="0"/>
        <w:autoSpaceDE w:val="0"/>
        <w:autoSpaceDN w:val="0"/>
        <w:adjustRightInd w:val="0"/>
        <w:jc w:val="both"/>
        <w:textAlignment w:val="baseline"/>
        <w:rPr>
          <w:szCs w:val="22"/>
          <w:lang w:eastAsia="el-GR"/>
        </w:rPr>
      </w:pPr>
      <w:r w:rsidRPr="00F45BD1">
        <w:rPr>
          <w:rFonts w:hint="eastAsia"/>
          <w:szCs w:val="22"/>
          <w:lang w:eastAsia="el-GR"/>
        </w:rPr>
        <w:t>Παγκρεατίτιδα</w:t>
      </w:r>
      <w:r w:rsidRPr="00F45BD1">
        <w:rPr>
          <w:szCs w:val="22"/>
          <w:lang w:eastAsia="el-GR"/>
        </w:rPr>
        <w:t xml:space="preserve"> δύναται να παρουσιαστεί στο πλαίσιο μιας </w:t>
      </w:r>
      <w:proofErr w:type="spellStart"/>
      <w:r w:rsidRPr="00F45BD1">
        <w:rPr>
          <w:rFonts w:hint="eastAsia"/>
          <w:szCs w:val="22"/>
          <w:lang w:eastAsia="el-GR"/>
        </w:rPr>
        <w:t>υπερδοσολογίας</w:t>
      </w:r>
      <w:proofErr w:type="spellEnd"/>
      <w:r w:rsidRPr="00F45BD1">
        <w:rPr>
          <w:szCs w:val="22"/>
          <w:lang w:eastAsia="el-GR"/>
        </w:rPr>
        <w:t xml:space="preserve"> από </w:t>
      </w:r>
      <w:proofErr w:type="spellStart"/>
      <w:r w:rsidRPr="00F45BD1">
        <w:rPr>
          <w:rFonts w:hint="eastAsia"/>
          <w:szCs w:val="22"/>
          <w:lang w:eastAsia="el-GR"/>
        </w:rPr>
        <w:t>μετφορμίνης</w:t>
      </w:r>
      <w:proofErr w:type="spellEnd"/>
      <w:r w:rsidRPr="00F45BD1">
        <w:rPr>
          <w:szCs w:val="22"/>
          <w:lang w:eastAsia="el-GR"/>
        </w:rPr>
        <w:t>.</w:t>
      </w:r>
    </w:p>
    <w:p w:rsidR="00496809" w:rsidRPr="00F45BD1" w:rsidRDefault="00496809">
      <w:pPr>
        <w:rPr>
          <w:noProof/>
        </w:rPr>
      </w:pPr>
    </w:p>
    <w:p w:rsidR="00496809" w:rsidRPr="00F45BD1" w:rsidRDefault="0099008B">
      <w:pPr>
        <w:rPr>
          <w:b/>
          <w:noProof/>
        </w:rPr>
      </w:pPr>
      <w:r w:rsidRPr="00F45BD1">
        <w:rPr>
          <w:b/>
          <w:noProof/>
        </w:rPr>
        <w:t xml:space="preserve">Εάν ξεχάσετε να πάρετε </w:t>
      </w:r>
      <w:r w:rsidR="00496809" w:rsidRPr="00F45BD1">
        <w:rPr>
          <w:b/>
          <w:noProof/>
        </w:rPr>
        <w:t xml:space="preserve">το </w:t>
      </w:r>
      <w:r w:rsidR="007C59B2" w:rsidRPr="00F45BD1">
        <w:rPr>
          <w:b/>
          <w:noProof/>
        </w:rPr>
        <w:t>N</w:t>
      </w:r>
      <w:r w:rsidR="007C59B2" w:rsidRPr="00F45BD1">
        <w:rPr>
          <w:b/>
          <w:noProof/>
          <w:lang w:val="en-US"/>
        </w:rPr>
        <w:t>ormell</w:t>
      </w:r>
    </w:p>
    <w:p w:rsidR="00496809" w:rsidRPr="00F45BD1" w:rsidRDefault="00F0739E">
      <w:pPr>
        <w:rPr>
          <w:noProof/>
        </w:rPr>
      </w:pPr>
      <w:r w:rsidRPr="00F45BD1">
        <w:rPr>
          <w:noProof/>
        </w:rPr>
        <w:t>Αν πρέπει να λαμβάνεται το φάρμακο συνεχώς και παραλείψετε μια δόση, θα πρέπει να πάρετε τη δόση αυτή το ταχύτερο δυνατόν. Αν, εν τούτοις, πλησιάζει η ώρα για την επόμενη δόση μη λάβετε τη δόση που παραλείψατε, αλλά συνεχίστε κανονικά τη θεραπεία.</w:t>
      </w:r>
      <w:r w:rsidR="00496809" w:rsidRPr="00F45BD1">
        <w:rPr>
          <w:noProof/>
        </w:rPr>
        <w:t>Μην πάρετε διπλή δόση για να αναπληρώσετε τη δόση που ξεχάσατε.</w:t>
      </w:r>
    </w:p>
    <w:p w:rsidR="00496809" w:rsidRPr="00F45BD1" w:rsidRDefault="00496809">
      <w:pPr>
        <w:rPr>
          <w:noProof/>
        </w:rPr>
      </w:pPr>
    </w:p>
    <w:p w:rsidR="00AB1D2B" w:rsidRPr="00F45BD1" w:rsidRDefault="00496809">
      <w:pPr>
        <w:rPr>
          <w:noProof/>
        </w:rPr>
      </w:pPr>
      <w:r w:rsidRPr="00F45BD1">
        <w:rPr>
          <w:noProof/>
        </w:rPr>
        <w:t xml:space="preserve">Εάν έχετε περισσότερες ερωτήσεις σχετικά με τη χρήση αυτού του </w:t>
      </w:r>
      <w:r w:rsidR="00AB1D2B" w:rsidRPr="00F45BD1">
        <w:rPr>
          <w:noProof/>
        </w:rPr>
        <w:t>φαρμάκου,</w:t>
      </w:r>
      <w:r w:rsidRPr="00F45BD1">
        <w:rPr>
          <w:noProof/>
        </w:rPr>
        <w:t xml:space="preserve">ρωτήστε </w:t>
      </w:r>
      <w:r w:rsidR="00AB1D2B" w:rsidRPr="00F45BD1">
        <w:rPr>
          <w:noProof/>
        </w:rPr>
        <w:t>τον γιατρό</w:t>
      </w:r>
      <w:r w:rsidR="000B46B3" w:rsidRPr="00F45BD1">
        <w:rPr>
          <w:noProof/>
        </w:rPr>
        <w:t xml:space="preserve"> </w:t>
      </w:r>
      <w:r w:rsidR="00AB1D2B" w:rsidRPr="00F45BD1">
        <w:rPr>
          <w:noProof/>
        </w:rPr>
        <w:t>ή τον</w:t>
      </w:r>
      <w:r w:rsidR="000B46B3" w:rsidRPr="00F45BD1">
        <w:rPr>
          <w:noProof/>
        </w:rPr>
        <w:t xml:space="preserve"> </w:t>
      </w:r>
      <w:r w:rsidR="00AB1D2B" w:rsidRPr="00F45BD1">
        <w:rPr>
          <w:noProof/>
        </w:rPr>
        <w:t>φαρμακοποιό σας.</w:t>
      </w:r>
    </w:p>
    <w:p w:rsidR="00025921" w:rsidRDefault="00025921" w:rsidP="00F45BD1">
      <w:pPr>
        <w:tabs>
          <w:tab w:val="left" w:pos="5205"/>
        </w:tabs>
        <w:rPr>
          <w:noProof/>
        </w:rPr>
      </w:pPr>
    </w:p>
    <w:p w:rsidR="00496809" w:rsidRPr="00F45BD1" w:rsidRDefault="008A5F71" w:rsidP="00F45BD1">
      <w:pPr>
        <w:tabs>
          <w:tab w:val="left" w:pos="5205"/>
        </w:tabs>
        <w:rPr>
          <w:noProof/>
        </w:rPr>
      </w:pPr>
      <w:r w:rsidRPr="00F45BD1">
        <w:rPr>
          <w:noProof/>
        </w:rPr>
        <w:tab/>
      </w:r>
    </w:p>
    <w:p w:rsidR="009F60F4" w:rsidRPr="00F45BD1" w:rsidRDefault="00496809">
      <w:pPr>
        <w:rPr>
          <w:noProof/>
        </w:rPr>
      </w:pPr>
      <w:r w:rsidRPr="00F45BD1">
        <w:rPr>
          <w:b/>
          <w:noProof/>
        </w:rPr>
        <w:t>4.</w:t>
      </w:r>
      <w:r w:rsidRPr="00F45BD1">
        <w:rPr>
          <w:b/>
          <w:noProof/>
        </w:rPr>
        <w:tab/>
      </w:r>
      <w:r w:rsidR="009F60F4" w:rsidRPr="00F45BD1">
        <w:rPr>
          <w:b/>
          <w:noProof/>
        </w:rPr>
        <w:t>Πιθανές ανεπιθύμητες ενέργειες</w:t>
      </w:r>
    </w:p>
    <w:p w:rsidR="00496809" w:rsidRPr="00F45BD1" w:rsidRDefault="00496809">
      <w:pPr>
        <w:rPr>
          <w:noProof/>
        </w:rPr>
      </w:pPr>
    </w:p>
    <w:p w:rsidR="00496809" w:rsidRPr="00F45BD1" w:rsidRDefault="00496809">
      <w:pPr>
        <w:rPr>
          <w:noProof/>
        </w:rPr>
      </w:pPr>
      <w:r w:rsidRPr="00F45BD1">
        <w:rPr>
          <w:noProof/>
        </w:rPr>
        <w:t xml:space="preserve">Όπως όλα τα φάρμακα, έτσι και </w:t>
      </w:r>
      <w:r w:rsidR="009F60F4" w:rsidRPr="00F45BD1">
        <w:rPr>
          <w:noProof/>
        </w:rPr>
        <w:t xml:space="preserve">αυτό το φάρμακο </w:t>
      </w:r>
      <w:r w:rsidRPr="00F45BD1">
        <w:rPr>
          <w:noProof/>
        </w:rPr>
        <w:t>μπορεί να προκαλέσει ανεπιθύμητες ενέργειες αν και δεν παρουσιάζονται σε όλους τους ανθρώπους.</w:t>
      </w:r>
    </w:p>
    <w:p w:rsidR="0099008B" w:rsidRPr="00F45BD1" w:rsidRDefault="0099008B">
      <w:pPr>
        <w:widowControl/>
        <w:overflowPunct w:val="0"/>
        <w:autoSpaceDE w:val="0"/>
        <w:autoSpaceDN w:val="0"/>
        <w:adjustRightInd w:val="0"/>
        <w:jc w:val="both"/>
        <w:textAlignment w:val="baseline"/>
        <w:rPr>
          <w:position w:val="6"/>
          <w:lang w:eastAsia="el-GR"/>
        </w:rPr>
      </w:pPr>
    </w:p>
    <w:p w:rsidR="0099008B" w:rsidRPr="00F45BD1" w:rsidRDefault="0099008B">
      <w:pPr>
        <w:tabs>
          <w:tab w:val="left" w:pos="870"/>
        </w:tabs>
        <w:rPr>
          <w:b/>
          <w:szCs w:val="22"/>
        </w:rPr>
      </w:pPr>
      <w:proofErr w:type="spellStart"/>
      <w:r w:rsidRPr="00F45BD1">
        <w:rPr>
          <w:b/>
          <w:szCs w:val="22"/>
        </w:rPr>
        <w:t>Γλιβενκλαμίδη</w:t>
      </w:r>
      <w:proofErr w:type="spellEnd"/>
    </w:p>
    <w:p w:rsidR="0099008B" w:rsidRPr="00F45BD1" w:rsidRDefault="0099008B">
      <w:pPr>
        <w:pStyle w:val="20"/>
        <w:rPr>
          <w:color w:val="auto"/>
          <w:szCs w:val="22"/>
        </w:rPr>
      </w:pPr>
    </w:p>
    <w:p w:rsidR="0099008B" w:rsidRPr="00F45BD1" w:rsidRDefault="0099008B">
      <w:pPr>
        <w:pStyle w:val="20"/>
        <w:rPr>
          <w:b/>
          <w:i/>
          <w:color w:val="auto"/>
          <w:szCs w:val="22"/>
        </w:rPr>
      </w:pPr>
      <w:r w:rsidRPr="00F45BD1">
        <w:rPr>
          <w:b/>
          <w:i/>
          <w:color w:val="auto"/>
          <w:szCs w:val="22"/>
        </w:rPr>
        <w:t>Διαταραχές του μεταβολισμού και της θρέψης</w:t>
      </w:r>
    </w:p>
    <w:p w:rsidR="0099008B" w:rsidRPr="00F45BD1" w:rsidRDefault="0099008B">
      <w:pPr>
        <w:rPr>
          <w:szCs w:val="22"/>
        </w:rPr>
      </w:pPr>
      <w:r w:rsidRPr="00F45BD1">
        <w:rPr>
          <w:szCs w:val="22"/>
        </w:rPr>
        <w:t xml:space="preserve">Η υπογλυκαιμία, μερικές φορές παρατεταμένη και ακόμη επικίνδυνη για τη ζωή, μπορεί να εμφανισθεί ως επακόλουθο της υπογλυκαιμικής δράσης </w:t>
      </w:r>
      <w:r w:rsidR="001E4531" w:rsidRPr="00F45BD1">
        <w:rPr>
          <w:szCs w:val="22"/>
        </w:rPr>
        <w:t xml:space="preserve">του </w:t>
      </w:r>
      <w:proofErr w:type="spellStart"/>
      <w:r w:rsidR="001E4531" w:rsidRPr="00F45BD1">
        <w:rPr>
          <w:bCs/>
          <w:iCs/>
          <w:szCs w:val="22"/>
          <w:lang w:val="en-US"/>
        </w:rPr>
        <w:t>Normell</w:t>
      </w:r>
      <w:proofErr w:type="spellEnd"/>
      <w:r w:rsidRPr="00F45BD1">
        <w:rPr>
          <w:szCs w:val="22"/>
        </w:rPr>
        <w:t xml:space="preserve">. Αυτό συμβαίνει όταν δεν υπάρχει ισορροπία μεταξύ της δοσολογίας του </w:t>
      </w:r>
      <w:proofErr w:type="spellStart"/>
      <w:r w:rsidRPr="00F45BD1">
        <w:rPr>
          <w:szCs w:val="22"/>
          <w:lang w:val="en-US"/>
        </w:rPr>
        <w:t>Normell</w:t>
      </w:r>
      <w:proofErr w:type="spellEnd"/>
      <w:r w:rsidRPr="00F45BD1">
        <w:rPr>
          <w:szCs w:val="22"/>
        </w:rPr>
        <w:t>, της πρόσληψης υδατανθράκων (δίαιτα), της σωματικής άσκησης και άλλων παραγόντων που επηρεάζουν το μεταβολισμό.</w:t>
      </w:r>
    </w:p>
    <w:p w:rsidR="00416EC1" w:rsidRPr="00F45BD1" w:rsidRDefault="00416EC1">
      <w:pPr>
        <w:rPr>
          <w:szCs w:val="22"/>
        </w:rPr>
      </w:pPr>
    </w:p>
    <w:p w:rsidR="00D45BDD" w:rsidRPr="00F45BD1" w:rsidRDefault="00D45BDD" w:rsidP="00F45BD1">
      <w:pPr>
        <w:pBdr>
          <w:left w:val="single" w:sz="4" w:space="4" w:color="auto"/>
          <w:right w:val="single" w:sz="4" w:space="4" w:color="auto"/>
        </w:pBdr>
        <w:rPr>
          <w:szCs w:val="22"/>
        </w:rPr>
      </w:pPr>
      <w:r w:rsidRPr="00F45BD1">
        <w:rPr>
          <w:szCs w:val="22"/>
        </w:rPr>
        <w:t>Πιθανά συμπτώματα της υπογλυκαιμίας περιλαμβάνουν πονοκέφαλο, έντονη πείνα, ναυτία, έμετο, κόπωση, υπνηλία, διαταραγμένο ύπνο, νευρικότητα, επιθετικότητα, ελάττωση της ικανότητας συγκέντρωσης, εγρήγορση και αντιδράσεις, κατάθλιψη, σύγχυση, διαταραχές ομιλίας, αφασία, διαταραχές όρασης, τρόμος, πάρεση, διαταραχές αισθητικότητας, ζάλη, αδυναμία, απώλεια αυτοελέγχου, παραλήρημα, εγκεφαλικούς σπασμούς, υπνηλία και απώλεια συνείδησης μέχρι και κώμα, ρηχή αναπνοή και βραδυκαρδία.</w:t>
      </w:r>
    </w:p>
    <w:p w:rsidR="00D45BDD" w:rsidRPr="00F45BD1" w:rsidRDefault="00D45BDD" w:rsidP="00D45BDD">
      <w:pPr>
        <w:pStyle w:val="20"/>
        <w:rPr>
          <w:color w:val="auto"/>
          <w:szCs w:val="22"/>
        </w:rPr>
      </w:pPr>
    </w:p>
    <w:p w:rsidR="0099008B" w:rsidRPr="00F45BD1" w:rsidRDefault="00D45BDD" w:rsidP="00D45BDD">
      <w:pPr>
        <w:rPr>
          <w:szCs w:val="22"/>
        </w:rPr>
      </w:pPr>
      <w:r w:rsidRPr="00F45BD1">
        <w:rPr>
          <w:szCs w:val="22"/>
        </w:rPr>
        <w:t xml:space="preserve">Επιπλέον, τα σημεία μιας </w:t>
      </w:r>
      <w:proofErr w:type="spellStart"/>
      <w:r w:rsidRPr="00F45BD1">
        <w:rPr>
          <w:szCs w:val="22"/>
        </w:rPr>
        <w:t>αδρενεργικής</w:t>
      </w:r>
      <w:proofErr w:type="spellEnd"/>
      <w:r w:rsidRPr="00F45BD1">
        <w:rPr>
          <w:szCs w:val="22"/>
        </w:rPr>
        <w:t xml:space="preserve"> </w:t>
      </w:r>
      <w:proofErr w:type="spellStart"/>
      <w:r w:rsidRPr="00F45BD1">
        <w:rPr>
          <w:szCs w:val="22"/>
        </w:rPr>
        <w:t>αντιρρυθμιστικής</w:t>
      </w:r>
      <w:proofErr w:type="spellEnd"/>
      <w:r w:rsidRPr="00F45BD1">
        <w:rPr>
          <w:szCs w:val="22"/>
        </w:rPr>
        <w:t xml:space="preserve"> δράσης μπορεί να είναι παρόντα, όπως εφίδρωση, ιδρωμένο δέρμα, άγχος, ταχυκαρδία, υπέρταση, αίσθημα παλμών, στηθάγχη και καρδιακές αρρυθμίες</w:t>
      </w:r>
    </w:p>
    <w:p w:rsidR="0099008B" w:rsidRPr="00F45BD1" w:rsidRDefault="0099008B" w:rsidP="00D45BDD">
      <w:pPr>
        <w:pStyle w:val="20"/>
        <w:rPr>
          <w:color w:val="auto"/>
          <w:szCs w:val="22"/>
        </w:rPr>
      </w:pPr>
      <w:r w:rsidRPr="00F45BD1">
        <w:rPr>
          <w:color w:val="auto"/>
          <w:szCs w:val="22"/>
        </w:rPr>
        <w:t>Η κλινική εικόνα ενός σοβαρού υπογλυκαιμικού επεισοδίου μπορεί να ομοιάζει με εκείνη της αιφνίδιας προσβολής.</w:t>
      </w:r>
    </w:p>
    <w:p w:rsidR="00D45BDD" w:rsidRPr="00F45BD1" w:rsidRDefault="00D45BDD" w:rsidP="00D45BDD">
      <w:pPr>
        <w:pStyle w:val="20"/>
        <w:rPr>
          <w:color w:val="auto"/>
          <w:szCs w:val="22"/>
        </w:rPr>
      </w:pPr>
      <w:r w:rsidRPr="00F45BD1">
        <w:rPr>
          <w:color w:val="auto"/>
          <w:szCs w:val="22"/>
        </w:rPr>
        <w:t>Τα συμπτώματα της υπογλυκαιμίας σχεδόν πάντα υποχωρούν όταν η υπογλυκαιμία διορθώνεται.</w:t>
      </w:r>
    </w:p>
    <w:p w:rsidR="00D45BDD" w:rsidRPr="00F45BD1" w:rsidRDefault="00D45BDD" w:rsidP="00D45BDD">
      <w:pPr>
        <w:pStyle w:val="20"/>
        <w:rPr>
          <w:color w:val="auto"/>
          <w:szCs w:val="22"/>
        </w:rPr>
      </w:pPr>
    </w:p>
    <w:p w:rsidR="00D45BDD" w:rsidRPr="00F45BD1" w:rsidRDefault="00D45BDD" w:rsidP="00D45BDD">
      <w:pPr>
        <w:pStyle w:val="20"/>
        <w:rPr>
          <w:color w:val="auto"/>
          <w:szCs w:val="22"/>
        </w:rPr>
      </w:pPr>
      <w:r w:rsidRPr="00F45BD1">
        <w:rPr>
          <w:color w:val="auto"/>
          <w:szCs w:val="22"/>
        </w:rPr>
        <w:t>Σε μεμονωμένες περιπτώσεις, η συγκέντρωση νατρίου στον ορό μπορεί να μειωθεί.</w:t>
      </w:r>
    </w:p>
    <w:p w:rsidR="0099008B" w:rsidRPr="00F45BD1" w:rsidRDefault="0099008B" w:rsidP="00D45BDD">
      <w:pPr>
        <w:pStyle w:val="20"/>
        <w:rPr>
          <w:color w:val="auto"/>
          <w:szCs w:val="22"/>
        </w:rPr>
      </w:pPr>
    </w:p>
    <w:p w:rsidR="0099008B" w:rsidRPr="00F45BD1" w:rsidRDefault="0099008B" w:rsidP="001570FB">
      <w:pPr>
        <w:pStyle w:val="20"/>
        <w:rPr>
          <w:b/>
          <w:i/>
          <w:color w:val="auto"/>
          <w:szCs w:val="22"/>
        </w:rPr>
      </w:pPr>
      <w:r w:rsidRPr="00F45BD1">
        <w:rPr>
          <w:b/>
          <w:i/>
          <w:color w:val="auto"/>
          <w:szCs w:val="22"/>
        </w:rPr>
        <w:t>Οφθαλμικές διαταραχές</w:t>
      </w:r>
    </w:p>
    <w:p w:rsidR="0099008B" w:rsidRPr="00F45BD1" w:rsidRDefault="007B48AE" w:rsidP="009C181C">
      <w:pPr>
        <w:pStyle w:val="20"/>
        <w:rPr>
          <w:color w:val="auto"/>
          <w:szCs w:val="22"/>
        </w:rPr>
      </w:pPr>
      <w:r w:rsidRPr="00F45BD1">
        <w:rPr>
          <w:color w:val="auto"/>
          <w:szCs w:val="22"/>
        </w:rPr>
        <w:t>Ιδιαίτερα κ</w:t>
      </w:r>
      <w:r w:rsidR="0099008B" w:rsidRPr="00F45BD1">
        <w:rPr>
          <w:color w:val="auto"/>
          <w:szCs w:val="22"/>
        </w:rPr>
        <w:t xml:space="preserve">ατά την έναρξη της αγωγής </w:t>
      </w:r>
      <w:r w:rsidRPr="00F45BD1">
        <w:rPr>
          <w:color w:val="auto"/>
          <w:szCs w:val="22"/>
        </w:rPr>
        <w:t>πιθανόν</w:t>
      </w:r>
      <w:r w:rsidR="0099008B" w:rsidRPr="00F45BD1">
        <w:rPr>
          <w:color w:val="auto"/>
          <w:szCs w:val="22"/>
        </w:rPr>
        <w:t xml:space="preserve"> να εμφανισθούν παροδικές διαταραχές της όρασης που οφείλονται σε αλλαγές των επιπέδων σακχάρου στο αίμα. Το αίτιο είναι μια παροδική εξοίδηση και </w:t>
      </w:r>
      <w:r w:rsidR="0099008B" w:rsidRPr="00F45BD1">
        <w:rPr>
          <w:color w:val="auto"/>
          <w:szCs w:val="22"/>
        </w:rPr>
        <w:lastRenderedPageBreak/>
        <w:t xml:space="preserve">άρα μεταβολή στο δείκτη διάθλασης των φακών, γεγονός το οποίο έχει σχέση με τα επίπεδα του σακχάρου στο αίμα. </w:t>
      </w:r>
    </w:p>
    <w:p w:rsidR="0099008B" w:rsidRPr="00F45BD1" w:rsidRDefault="0099008B" w:rsidP="009C181C">
      <w:pPr>
        <w:pStyle w:val="20"/>
        <w:rPr>
          <w:color w:val="auto"/>
          <w:szCs w:val="22"/>
        </w:rPr>
      </w:pPr>
    </w:p>
    <w:p w:rsidR="0099008B" w:rsidRPr="00F45BD1" w:rsidRDefault="0099008B">
      <w:pPr>
        <w:pStyle w:val="20"/>
        <w:rPr>
          <w:b/>
          <w:i/>
          <w:color w:val="auto"/>
          <w:szCs w:val="22"/>
        </w:rPr>
      </w:pPr>
      <w:r w:rsidRPr="00F45BD1">
        <w:rPr>
          <w:b/>
          <w:i/>
          <w:color w:val="auto"/>
          <w:szCs w:val="22"/>
        </w:rPr>
        <w:t>Διαταραχές του γαστρεντερικού</w:t>
      </w:r>
    </w:p>
    <w:p w:rsidR="0099008B" w:rsidRPr="00F45BD1" w:rsidRDefault="0099008B">
      <w:pPr>
        <w:pStyle w:val="20"/>
        <w:rPr>
          <w:color w:val="auto"/>
          <w:szCs w:val="22"/>
        </w:rPr>
      </w:pPr>
      <w:r w:rsidRPr="00F45BD1">
        <w:rPr>
          <w:color w:val="auto"/>
          <w:szCs w:val="22"/>
        </w:rPr>
        <w:t xml:space="preserve">Παροδικά είναι δυνατόν να παρουσιαστούν γαστρεντερικά συμπτώματα όπως ναυτία, έμετος, αίσθημα πίεσης ή πληρότητας στο </w:t>
      </w:r>
      <w:proofErr w:type="spellStart"/>
      <w:r w:rsidRPr="00F45BD1">
        <w:rPr>
          <w:color w:val="auto"/>
          <w:szCs w:val="22"/>
        </w:rPr>
        <w:t>επιγάστριο</w:t>
      </w:r>
      <w:proofErr w:type="spellEnd"/>
      <w:r w:rsidRPr="00F45BD1">
        <w:rPr>
          <w:color w:val="auto"/>
          <w:szCs w:val="22"/>
        </w:rPr>
        <w:t xml:space="preserve">, κοιλιακό άλγος και διάρροια. </w:t>
      </w:r>
      <w:r w:rsidR="00D45BDD" w:rsidRPr="00F45BD1">
        <w:rPr>
          <w:color w:val="auto"/>
          <w:szCs w:val="22"/>
        </w:rPr>
        <w:t xml:space="preserve">Ωστόσο, παρά τη συνέχιση της θεραπείας, αυτά συχνά υποχωρούν και συνήθως δεν απαιτούν τη διακοπή του </w:t>
      </w:r>
      <w:proofErr w:type="spellStart"/>
      <w:r w:rsidR="00D45BDD" w:rsidRPr="00F45BD1">
        <w:rPr>
          <w:color w:val="auto"/>
          <w:szCs w:val="22"/>
          <w:lang w:val="en-US"/>
        </w:rPr>
        <w:t>Normell</w:t>
      </w:r>
      <w:proofErr w:type="spellEnd"/>
      <w:r w:rsidR="00D45BDD" w:rsidRPr="00F45BD1">
        <w:rPr>
          <w:color w:val="auto"/>
          <w:szCs w:val="22"/>
        </w:rPr>
        <w:t>.</w:t>
      </w:r>
      <w:r w:rsidRPr="00F45BD1">
        <w:rPr>
          <w:color w:val="auto"/>
          <w:szCs w:val="22"/>
        </w:rPr>
        <w:t xml:space="preserve"> </w:t>
      </w:r>
    </w:p>
    <w:p w:rsidR="0099008B" w:rsidRPr="00F45BD1" w:rsidRDefault="0099008B">
      <w:pPr>
        <w:rPr>
          <w:szCs w:val="22"/>
        </w:rPr>
      </w:pPr>
      <w:r w:rsidRPr="00F45BD1">
        <w:rPr>
          <w:szCs w:val="22"/>
        </w:rPr>
        <w:t xml:space="preserve">Σε </w:t>
      </w:r>
      <w:r w:rsidR="00B222E7" w:rsidRPr="00F45BD1">
        <w:rPr>
          <w:szCs w:val="22"/>
        </w:rPr>
        <w:t>μεμονωμένες</w:t>
      </w:r>
      <w:r w:rsidRPr="00F45BD1">
        <w:rPr>
          <w:szCs w:val="22"/>
        </w:rPr>
        <w:t xml:space="preserve"> περιπτώσεις μπορεί να εκδηλωθεί ηπατίτιδα, αύξηση των επιπέδων των ηπατικών ενζύμων ή/και </w:t>
      </w:r>
      <w:proofErr w:type="spellStart"/>
      <w:r w:rsidRPr="00F45BD1">
        <w:rPr>
          <w:szCs w:val="22"/>
        </w:rPr>
        <w:t>χολόσταση</w:t>
      </w:r>
      <w:proofErr w:type="spellEnd"/>
      <w:r w:rsidRPr="00F45BD1">
        <w:rPr>
          <w:szCs w:val="22"/>
        </w:rPr>
        <w:t xml:space="preserve"> και ίκτερος που μπορεί να εξελιχθούν σε επικίνδυνη για τη ζωή ηπατική ανεπάρκεια, μολονότι μπορεί να υποχωρήσει μετά από τη διακοπή του </w:t>
      </w:r>
      <w:proofErr w:type="spellStart"/>
      <w:r w:rsidRPr="00F45BD1">
        <w:rPr>
          <w:szCs w:val="22"/>
          <w:lang w:val="en-US"/>
        </w:rPr>
        <w:t>Normell</w:t>
      </w:r>
      <w:proofErr w:type="spellEnd"/>
      <w:r w:rsidRPr="00F45BD1">
        <w:rPr>
          <w:szCs w:val="22"/>
        </w:rPr>
        <w:t>.</w:t>
      </w:r>
    </w:p>
    <w:p w:rsidR="0099008B" w:rsidRPr="00F45BD1" w:rsidRDefault="0099008B">
      <w:pPr>
        <w:rPr>
          <w:b/>
          <w:i/>
          <w:szCs w:val="22"/>
        </w:rPr>
      </w:pPr>
    </w:p>
    <w:p w:rsidR="0099008B" w:rsidRPr="00F45BD1" w:rsidRDefault="0099008B">
      <w:pPr>
        <w:rPr>
          <w:b/>
          <w:i/>
          <w:szCs w:val="22"/>
        </w:rPr>
      </w:pPr>
      <w:r w:rsidRPr="00F45BD1">
        <w:rPr>
          <w:b/>
          <w:i/>
          <w:szCs w:val="22"/>
        </w:rPr>
        <w:t>Διαταραχές του αιμοποιητικού και του λεμφικού συστήματος</w:t>
      </w:r>
    </w:p>
    <w:p w:rsidR="0099008B" w:rsidRPr="00F45BD1" w:rsidRDefault="0099008B">
      <w:pPr>
        <w:rPr>
          <w:szCs w:val="22"/>
        </w:rPr>
      </w:pPr>
      <w:r w:rsidRPr="00F45BD1">
        <w:rPr>
          <w:szCs w:val="22"/>
        </w:rPr>
        <w:t>Δυνατόν να εμφανιστούν αλλοιώσεις της αιματολογικής εικόνας, ενδεχομένως επικίνδυνες για τη ζωή. Μπορεί να περιλαμβάνουν, σπ</w:t>
      </w:r>
      <w:r w:rsidR="00B222E7" w:rsidRPr="00F45BD1">
        <w:rPr>
          <w:szCs w:val="22"/>
        </w:rPr>
        <w:t>ανίως</w:t>
      </w:r>
      <w:r w:rsidRPr="00F45BD1">
        <w:rPr>
          <w:szCs w:val="22"/>
        </w:rPr>
        <w:t xml:space="preserve">, ήπια έως σοβαρή </w:t>
      </w:r>
      <w:proofErr w:type="spellStart"/>
      <w:r w:rsidRPr="00F45BD1">
        <w:rPr>
          <w:szCs w:val="22"/>
        </w:rPr>
        <w:t>θρομβοπενία</w:t>
      </w:r>
      <w:proofErr w:type="spellEnd"/>
      <w:r w:rsidRPr="00F45BD1">
        <w:rPr>
          <w:szCs w:val="22"/>
        </w:rPr>
        <w:t xml:space="preserve"> (π.χ. εμφανίζεται ως πορφύρα) και σε μεμονωμένες περιπτώσεις αιμολυτική αναιμία, </w:t>
      </w:r>
      <w:proofErr w:type="spellStart"/>
      <w:r w:rsidRPr="00F45BD1">
        <w:rPr>
          <w:szCs w:val="22"/>
        </w:rPr>
        <w:t>ερυθροπενία</w:t>
      </w:r>
      <w:proofErr w:type="spellEnd"/>
      <w:r w:rsidRPr="00F45BD1">
        <w:rPr>
          <w:szCs w:val="22"/>
        </w:rPr>
        <w:t xml:space="preserve">, </w:t>
      </w:r>
      <w:proofErr w:type="spellStart"/>
      <w:r w:rsidRPr="00F45BD1">
        <w:rPr>
          <w:szCs w:val="22"/>
        </w:rPr>
        <w:t>λευκοπενία</w:t>
      </w:r>
      <w:proofErr w:type="spellEnd"/>
      <w:r w:rsidRPr="00F45BD1">
        <w:rPr>
          <w:szCs w:val="22"/>
        </w:rPr>
        <w:t xml:space="preserve">, </w:t>
      </w:r>
      <w:proofErr w:type="spellStart"/>
      <w:r w:rsidRPr="00F45BD1">
        <w:rPr>
          <w:szCs w:val="22"/>
        </w:rPr>
        <w:t>κοκκιοκυτταροπενία</w:t>
      </w:r>
      <w:proofErr w:type="spellEnd"/>
      <w:r w:rsidRPr="00F45BD1">
        <w:rPr>
          <w:szCs w:val="22"/>
        </w:rPr>
        <w:t xml:space="preserve">, </w:t>
      </w:r>
      <w:proofErr w:type="spellStart"/>
      <w:r w:rsidRPr="00F45BD1">
        <w:rPr>
          <w:szCs w:val="22"/>
        </w:rPr>
        <w:t>ακοκκιοκυτταραιμία</w:t>
      </w:r>
      <w:proofErr w:type="spellEnd"/>
      <w:r w:rsidRPr="00F45BD1">
        <w:rPr>
          <w:szCs w:val="22"/>
        </w:rPr>
        <w:t xml:space="preserve"> και </w:t>
      </w:r>
      <w:proofErr w:type="spellStart"/>
      <w:r w:rsidRPr="00F45BD1">
        <w:rPr>
          <w:szCs w:val="22"/>
        </w:rPr>
        <w:t>πανκυτταροπενία</w:t>
      </w:r>
      <w:proofErr w:type="spellEnd"/>
      <w:r w:rsidRPr="00F45BD1">
        <w:rPr>
          <w:szCs w:val="22"/>
        </w:rPr>
        <w:t xml:space="preserve"> (π.χ. λόγω καταστολής του μυελού). Κατά κανόνα, οι αντιδράσεις αυτές είναι αναστρέψιμες με τη διακοπή του </w:t>
      </w:r>
      <w:proofErr w:type="spellStart"/>
      <w:r w:rsidRPr="00F45BD1">
        <w:rPr>
          <w:szCs w:val="22"/>
          <w:lang w:val="en-US"/>
        </w:rPr>
        <w:t>Normell</w:t>
      </w:r>
      <w:proofErr w:type="spellEnd"/>
      <w:r w:rsidRPr="00F45BD1">
        <w:rPr>
          <w:szCs w:val="22"/>
        </w:rPr>
        <w:t>.</w:t>
      </w:r>
    </w:p>
    <w:p w:rsidR="0099008B" w:rsidRPr="00F45BD1" w:rsidRDefault="0099008B">
      <w:pPr>
        <w:rPr>
          <w:szCs w:val="22"/>
        </w:rPr>
      </w:pPr>
    </w:p>
    <w:p w:rsidR="00D45BDD" w:rsidRPr="00F45BD1" w:rsidRDefault="00D45BDD" w:rsidP="00D45BDD">
      <w:pPr>
        <w:rPr>
          <w:b/>
          <w:i/>
          <w:szCs w:val="22"/>
        </w:rPr>
      </w:pPr>
      <w:r w:rsidRPr="00F45BD1">
        <w:rPr>
          <w:b/>
          <w:i/>
          <w:szCs w:val="22"/>
        </w:rPr>
        <w:t>Διαταραχές του ανοσοποιητικού συστήματος</w:t>
      </w:r>
    </w:p>
    <w:p w:rsidR="00D45BDD" w:rsidRPr="00F45BD1" w:rsidRDefault="00D45BDD" w:rsidP="00D45BDD">
      <w:pPr>
        <w:rPr>
          <w:szCs w:val="22"/>
        </w:rPr>
      </w:pPr>
      <w:r w:rsidRPr="00F45BD1">
        <w:rPr>
          <w:szCs w:val="22"/>
        </w:rPr>
        <w:t xml:space="preserve">Μπορεί να παρουσιαστούν αντιδράσεις υπερευαισθησίας, αλλεργικές ή </w:t>
      </w:r>
      <w:proofErr w:type="spellStart"/>
      <w:r w:rsidRPr="00F45BD1">
        <w:rPr>
          <w:szCs w:val="22"/>
        </w:rPr>
        <w:t>ψευδοαλλεργικές</w:t>
      </w:r>
      <w:proofErr w:type="spellEnd"/>
      <w:r w:rsidRPr="00F45BD1">
        <w:rPr>
          <w:szCs w:val="22"/>
        </w:rPr>
        <w:t xml:space="preserve"> αντιδράσεις που μπορεί να προκαλούνται από την ίδια τη </w:t>
      </w:r>
      <w:proofErr w:type="spellStart"/>
      <w:r w:rsidRPr="00F45BD1">
        <w:rPr>
          <w:szCs w:val="22"/>
        </w:rPr>
        <w:t>γλιβενκλαμίδη</w:t>
      </w:r>
      <w:proofErr w:type="spellEnd"/>
      <w:r w:rsidRPr="00F45BD1">
        <w:rPr>
          <w:szCs w:val="22"/>
        </w:rPr>
        <w:t xml:space="preserve">, αλλά μπορεί εναλλακτικά να ενεργοποιούνται από τα έκδοχα. Αλλεργία στα παράγωγα </w:t>
      </w:r>
      <w:proofErr w:type="spellStart"/>
      <w:r w:rsidRPr="00F45BD1">
        <w:rPr>
          <w:szCs w:val="22"/>
        </w:rPr>
        <w:t>σουλφοναμίδης</w:t>
      </w:r>
      <w:proofErr w:type="spellEnd"/>
      <w:r w:rsidRPr="00F45BD1">
        <w:rPr>
          <w:szCs w:val="22"/>
        </w:rPr>
        <w:t xml:space="preserve"> μπορεί επίσης να ευθύνεται για μια αλλεργική αντίδραση στη </w:t>
      </w:r>
      <w:proofErr w:type="spellStart"/>
      <w:r w:rsidRPr="00F45BD1">
        <w:rPr>
          <w:szCs w:val="22"/>
        </w:rPr>
        <w:t>γλιβενκλαμίδη</w:t>
      </w:r>
      <w:proofErr w:type="spellEnd"/>
      <w:r w:rsidRPr="00F45BD1">
        <w:rPr>
          <w:szCs w:val="22"/>
        </w:rPr>
        <w:t>. Σε μεμονωμένες περιπτώσεις, ήπιες αντιδράσεις με τη μορφή της κνίδωσης μπορεί να εξελιχθούν σε σοβαρές ακόμη και απειλητικές για τη ζωή αντιδράσεις με δύσπνοια και μείωση της αρτηριακής πίεσης που μερικές φορές εξελίσσονται σε καταπληξία. Επομένως, σε περίπτωση κνίδωσης, ο γιατρός πρέπει να ενημερωθεί αμέσως.</w:t>
      </w:r>
    </w:p>
    <w:p w:rsidR="0099008B" w:rsidRPr="00F45BD1" w:rsidRDefault="0099008B" w:rsidP="00D45BDD">
      <w:pPr>
        <w:rPr>
          <w:szCs w:val="22"/>
        </w:rPr>
      </w:pPr>
    </w:p>
    <w:p w:rsidR="00416EC1" w:rsidRPr="00F45BD1" w:rsidRDefault="00416EC1" w:rsidP="00416EC1">
      <w:pPr>
        <w:rPr>
          <w:b/>
          <w:i/>
          <w:szCs w:val="22"/>
        </w:rPr>
      </w:pPr>
      <w:r w:rsidRPr="00F45BD1">
        <w:rPr>
          <w:b/>
          <w:i/>
          <w:szCs w:val="22"/>
        </w:rPr>
        <w:t>Διαταραχές του δέρματος και του υποδόριου ιστού</w:t>
      </w:r>
    </w:p>
    <w:p w:rsidR="00416EC1" w:rsidRPr="00F45BD1" w:rsidRDefault="00416EC1" w:rsidP="00416EC1">
      <w:pPr>
        <w:rPr>
          <w:szCs w:val="22"/>
        </w:rPr>
      </w:pPr>
      <w:r w:rsidRPr="00F45BD1">
        <w:rPr>
          <w:szCs w:val="22"/>
        </w:rPr>
        <w:t xml:space="preserve">Κνησμός, εξανθήματα, </w:t>
      </w:r>
      <w:proofErr w:type="spellStart"/>
      <w:r w:rsidRPr="00F45BD1">
        <w:rPr>
          <w:szCs w:val="22"/>
        </w:rPr>
        <w:t>πομφολυγώδεις</w:t>
      </w:r>
      <w:proofErr w:type="spellEnd"/>
      <w:r w:rsidRPr="00F45BD1">
        <w:rPr>
          <w:szCs w:val="22"/>
        </w:rPr>
        <w:t xml:space="preserve"> αντιδράσεις, πολύμορφο ερύθημα, δερματίτιδα </w:t>
      </w:r>
      <w:proofErr w:type="spellStart"/>
      <w:r w:rsidRPr="00F45BD1">
        <w:rPr>
          <w:szCs w:val="22"/>
        </w:rPr>
        <w:t>αποφολιδωτική</w:t>
      </w:r>
      <w:proofErr w:type="spellEnd"/>
      <w:r w:rsidRPr="00F45BD1">
        <w:rPr>
          <w:szCs w:val="22"/>
        </w:rPr>
        <w:t xml:space="preserve"> έχουν παρατηρηθεί. Σε μεμονωμένες περιπτώσεις, ενδέχεται να παρουσιαστεί υπερευαισθησία του δέρματος στο φως.</w:t>
      </w:r>
    </w:p>
    <w:p w:rsidR="0099008B" w:rsidRPr="00F45BD1" w:rsidRDefault="00416EC1" w:rsidP="00416EC1">
      <w:pPr>
        <w:rPr>
          <w:szCs w:val="22"/>
        </w:rPr>
      </w:pPr>
      <w:r w:rsidRPr="00F45BD1">
        <w:rPr>
          <w:szCs w:val="22"/>
        </w:rPr>
        <w:t>Σε μεμονωμένες περιπτώσεις μπορεί να εκδηλωθεί αλλεργική αγγειίτιδα και σε μερικές περιστάσεις μπορεί να είναι απειλητική για τη ζωή.</w:t>
      </w:r>
    </w:p>
    <w:p w:rsidR="0099008B" w:rsidRPr="00F45BD1" w:rsidRDefault="0099008B" w:rsidP="00416EC1">
      <w:pPr>
        <w:rPr>
          <w:szCs w:val="22"/>
        </w:rPr>
      </w:pPr>
    </w:p>
    <w:p w:rsidR="0099008B" w:rsidRPr="00F45BD1" w:rsidRDefault="0099008B" w:rsidP="00416EC1">
      <w:pPr>
        <w:rPr>
          <w:szCs w:val="22"/>
        </w:rPr>
      </w:pPr>
      <w:r w:rsidRPr="00F45BD1">
        <w:rPr>
          <w:szCs w:val="22"/>
        </w:rPr>
        <w:t>Εφόσον παρουσιασθούν τέτοιου είδους ανεπιθύμητες ενέργειες, ο ιατρός θα πρέπει ν’ αποφασίσει, αν θα διακοπεί η αγωγή.</w:t>
      </w:r>
    </w:p>
    <w:p w:rsidR="00416EC1" w:rsidRPr="00F45BD1" w:rsidRDefault="00416EC1" w:rsidP="00416EC1">
      <w:pPr>
        <w:rPr>
          <w:b/>
          <w:szCs w:val="22"/>
        </w:rPr>
      </w:pPr>
    </w:p>
    <w:p w:rsidR="00416EC1" w:rsidRPr="00F45BD1" w:rsidRDefault="00416EC1" w:rsidP="00416EC1">
      <w:pPr>
        <w:rPr>
          <w:b/>
          <w:i/>
          <w:szCs w:val="22"/>
        </w:rPr>
      </w:pPr>
      <w:proofErr w:type="spellStart"/>
      <w:r w:rsidRPr="00F45BD1">
        <w:rPr>
          <w:b/>
          <w:i/>
          <w:szCs w:val="22"/>
        </w:rPr>
        <w:t>Παρακλινικές</w:t>
      </w:r>
      <w:proofErr w:type="spellEnd"/>
      <w:r w:rsidRPr="00F45BD1">
        <w:rPr>
          <w:b/>
          <w:i/>
          <w:szCs w:val="22"/>
        </w:rPr>
        <w:t xml:space="preserve"> εξετάσεις</w:t>
      </w:r>
    </w:p>
    <w:p w:rsidR="00416EC1" w:rsidRPr="00F45BD1" w:rsidRDefault="00416EC1" w:rsidP="00416EC1">
      <w:pPr>
        <w:rPr>
          <w:szCs w:val="22"/>
        </w:rPr>
      </w:pPr>
      <w:r w:rsidRPr="00F45BD1">
        <w:rPr>
          <w:szCs w:val="22"/>
        </w:rPr>
        <w:t xml:space="preserve">Η </w:t>
      </w:r>
      <w:proofErr w:type="spellStart"/>
      <w:r w:rsidRPr="00F45BD1">
        <w:rPr>
          <w:szCs w:val="22"/>
        </w:rPr>
        <w:t>γλιβενκλαμίδη</w:t>
      </w:r>
      <w:proofErr w:type="spellEnd"/>
      <w:r w:rsidRPr="00F45BD1">
        <w:rPr>
          <w:szCs w:val="22"/>
        </w:rPr>
        <w:t xml:space="preserve">, όπως όλες οι </w:t>
      </w:r>
      <w:proofErr w:type="spellStart"/>
      <w:r w:rsidRPr="00F45BD1">
        <w:rPr>
          <w:szCs w:val="22"/>
        </w:rPr>
        <w:t>σουλφονυλουρίες</w:t>
      </w:r>
      <w:proofErr w:type="spellEnd"/>
      <w:r w:rsidRPr="00F45BD1">
        <w:rPr>
          <w:szCs w:val="22"/>
        </w:rPr>
        <w:t>, μπορεί να προκαλέσει αύξηση του σωματικού βάρους (μη γνωστή συχνότητα).</w:t>
      </w:r>
    </w:p>
    <w:p w:rsidR="0099008B" w:rsidRPr="00F45BD1" w:rsidRDefault="0099008B" w:rsidP="00416EC1">
      <w:pPr>
        <w:rPr>
          <w:szCs w:val="22"/>
        </w:rPr>
      </w:pPr>
    </w:p>
    <w:p w:rsidR="0099008B" w:rsidRPr="00F45BD1" w:rsidRDefault="0099008B" w:rsidP="009C181C">
      <w:pPr>
        <w:tabs>
          <w:tab w:val="left" w:pos="870"/>
        </w:tabs>
        <w:rPr>
          <w:b/>
          <w:szCs w:val="22"/>
        </w:rPr>
      </w:pPr>
      <w:r w:rsidRPr="00F45BD1">
        <w:rPr>
          <w:b/>
          <w:szCs w:val="22"/>
        </w:rPr>
        <w:t>Μετφορμίνη</w:t>
      </w:r>
    </w:p>
    <w:p w:rsidR="0099008B" w:rsidRPr="00F45BD1" w:rsidRDefault="0099008B" w:rsidP="009C181C">
      <w:pPr>
        <w:rPr>
          <w:szCs w:val="22"/>
        </w:rPr>
      </w:pPr>
    </w:p>
    <w:p w:rsidR="0099008B" w:rsidRPr="00F45BD1" w:rsidRDefault="0099008B">
      <w:pPr>
        <w:pStyle w:val="20"/>
        <w:rPr>
          <w:b/>
          <w:i/>
          <w:color w:val="auto"/>
          <w:szCs w:val="22"/>
        </w:rPr>
      </w:pPr>
      <w:r w:rsidRPr="00F45BD1">
        <w:rPr>
          <w:b/>
          <w:i/>
          <w:color w:val="auto"/>
          <w:szCs w:val="22"/>
        </w:rPr>
        <w:t>Διαταραχές του γαστρεντερικού</w:t>
      </w:r>
    </w:p>
    <w:p w:rsidR="0099008B" w:rsidRPr="00F45BD1" w:rsidRDefault="0099008B">
      <w:pPr>
        <w:rPr>
          <w:szCs w:val="22"/>
        </w:rPr>
      </w:pPr>
      <w:r w:rsidRPr="00F45BD1">
        <w:rPr>
          <w:szCs w:val="22"/>
        </w:rPr>
        <w:t xml:space="preserve">Συμπτώματα από το γαστρεντερικό, όπως ναυτία, έμετος, διάρροια, κοιλιακό άλγος και απώλεια της όρεξης (&gt; 10%) είναι πολύ συχνά, συμβαίνουν συχνότερα κατά την έναρξη της θεραπείας και υποχωρούν αυθόρμητα στις περισσότερες περιπτώσεις. Για την πρόληψη από αυτά τα γαστρεντερικά συμπτώματα, συνιστάται η λήψη της </w:t>
      </w:r>
      <w:proofErr w:type="spellStart"/>
      <w:r w:rsidRPr="00F45BD1">
        <w:rPr>
          <w:szCs w:val="22"/>
        </w:rPr>
        <w:t>μετφορμίνης</w:t>
      </w:r>
      <w:proofErr w:type="spellEnd"/>
      <w:r w:rsidRPr="00F45BD1">
        <w:rPr>
          <w:szCs w:val="22"/>
        </w:rPr>
        <w:t xml:space="preserve"> σε 2 ή 3 ημερήσιες δόσεις κατά τη διάρκεια ή μετά τα γεύματα. Μια αργή αύξηση της δόσης μπορεί επίσης να βελτιώσει γαστρεντερική ανεκτικότητα.</w:t>
      </w:r>
    </w:p>
    <w:p w:rsidR="0099008B" w:rsidRPr="00F45BD1" w:rsidRDefault="0099008B">
      <w:pPr>
        <w:rPr>
          <w:szCs w:val="22"/>
        </w:rPr>
      </w:pPr>
      <w:r w:rsidRPr="00F45BD1">
        <w:rPr>
          <w:szCs w:val="22"/>
        </w:rPr>
        <w:t>-Η μεταλλική γεύση (3%) είναι συχνή.</w:t>
      </w:r>
    </w:p>
    <w:p w:rsidR="0099008B" w:rsidRPr="00F45BD1" w:rsidRDefault="0099008B">
      <w:pPr>
        <w:rPr>
          <w:noProof/>
          <w:position w:val="6"/>
          <w:u w:val="single"/>
        </w:rPr>
      </w:pPr>
    </w:p>
    <w:p w:rsidR="0099008B" w:rsidRPr="00F45BD1" w:rsidRDefault="0099008B">
      <w:pPr>
        <w:pStyle w:val="20"/>
        <w:rPr>
          <w:b/>
          <w:i/>
          <w:color w:val="auto"/>
          <w:szCs w:val="22"/>
        </w:rPr>
      </w:pPr>
      <w:r w:rsidRPr="00F45BD1">
        <w:rPr>
          <w:b/>
          <w:i/>
          <w:color w:val="auto"/>
          <w:szCs w:val="22"/>
        </w:rPr>
        <w:t>Διαταραχές του μεταβολισμού και της θρέψης</w:t>
      </w:r>
    </w:p>
    <w:p w:rsidR="0099008B" w:rsidRPr="00F45BD1" w:rsidRDefault="0099008B">
      <w:pPr>
        <w:rPr>
          <w:noProof/>
        </w:rPr>
      </w:pPr>
      <w:r w:rsidRPr="00F45BD1">
        <w:rPr>
          <w:noProof/>
        </w:rPr>
        <w:t xml:space="preserve">- Μείωση των επιπέδων απορρόφησης της βιταμίνης </w:t>
      </w:r>
      <w:r w:rsidRPr="00F45BD1">
        <w:rPr>
          <w:noProof/>
          <w:lang w:val="en-US"/>
        </w:rPr>
        <w:t>B</w:t>
      </w:r>
      <w:r w:rsidRPr="00F45BD1">
        <w:rPr>
          <w:noProof/>
        </w:rPr>
        <w:t>12 με μείωση των επιπέδων στον ορό έχει παρατηρηθεί σε ασθενείς που λαμβάνουν μακροχρόνια θεραπεία με μετφορμίνη και φαίνεται γενικά να είναι χωρίς κλινική σημασία (&lt;0,01%). Ωστόσο, περιπτώσεις περιφερικής νευροπάθειας σε ασθενείς με ανεπάρκεια βιταμίνης Β12 έχουν αναφερθεί από την εμπειρία μετά την κυκλοφορία (μη γνωστή συχνότητα).</w:t>
      </w:r>
    </w:p>
    <w:p w:rsidR="0099008B" w:rsidRPr="00F45BD1" w:rsidRDefault="0099008B">
      <w:pPr>
        <w:rPr>
          <w:noProof/>
        </w:rPr>
      </w:pPr>
      <w:r w:rsidRPr="00F45BD1">
        <w:rPr>
          <w:noProof/>
        </w:rPr>
        <w:lastRenderedPageBreak/>
        <w:t xml:space="preserve">- Η γαλακτική οξέωση (0,03 περιπτώσεις/1000 ασθενείς-έτη) είναι πολύ σπάνια (βλέπε παράγραφο </w:t>
      </w:r>
      <w:r w:rsidR="00CD1AC3" w:rsidRPr="00F45BD1">
        <w:rPr>
          <w:noProof/>
        </w:rPr>
        <w:t xml:space="preserve">2. </w:t>
      </w:r>
      <w:r w:rsidRPr="00F45BD1">
        <w:rPr>
          <w:noProof/>
        </w:rPr>
        <w:t>Προειδοποιήσεις</w:t>
      </w:r>
      <w:r w:rsidR="00CD1AC3" w:rsidRPr="00F45BD1">
        <w:rPr>
          <w:noProof/>
        </w:rPr>
        <w:t xml:space="preserve"> και προφυλάξεις</w:t>
      </w:r>
      <w:r w:rsidRPr="00F45BD1">
        <w:rPr>
          <w:noProof/>
        </w:rPr>
        <w:t>).</w:t>
      </w:r>
    </w:p>
    <w:p w:rsidR="0099008B" w:rsidRPr="00F45BD1" w:rsidRDefault="0099008B" w:rsidP="00F45BD1">
      <w:pPr>
        <w:rPr>
          <w:szCs w:val="22"/>
        </w:rPr>
      </w:pPr>
      <w:r w:rsidRPr="00F45BD1">
        <w:rPr>
          <w:szCs w:val="22"/>
        </w:rPr>
        <w:t xml:space="preserve">Λόγω της ύπαρξης </w:t>
      </w:r>
      <w:proofErr w:type="spellStart"/>
      <w:r w:rsidRPr="00F45BD1">
        <w:rPr>
          <w:szCs w:val="22"/>
        </w:rPr>
        <w:t>διγουανίδης</w:t>
      </w:r>
      <w:proofErr w:type="spellEnd"/>
      <w:r w:rsidRPr="00F45BD1">
        <w:rPr>
          <w:szCs w:val="22"/>
        </w:rPr>
        <w:t xml:space="preserve"> σε ασθενείς με </w:t>
      </w:r>
      <w:proofErr w:type="spellStart"/>
      <w:r w:rsidRPr="00F45BD1">
        <w:rPr>
          <w:szCs w:val="22"/>
        </w:rPr>
        <w:t>προδιαθεσικούς</w:t>
      </w:r>
      <w:proofErr w:type="spellEnd"/>
      <w:r w:rsidRPr="00F45BD1">
        <w:rPr>
          <w:szCs w:val="22"/>
        </w:rPr>
        <w:t xml:space="preserve"> παράγοντες, όπως νεφρική ή καρδιακή ανεπάρκεια δυνατόν να εμφανισθεί γαλακτική οξέωση, η οποία μπορεί να έχει βαριά εξέλιξη, εφόσον δεν διακοπεί η αγωγή και δεν ληφθούν τα απαραίτητα μέτρα αντιμετώπισης.</w:t>
      </w:r>
    </w:p>
    <w:p w:rsidR="0099008B" w:rsidRPr="00F45BD1" w:rsidRDefault="0099008B" w:rsidP="00F45BD1">
      <w:pPr>
        <w:rPr>
          <w:szCs w:val="22"/>
        </w:rPr>
      </w:pPr>
      <w:r w:rsidRPr="00F45BD1">
        <w:rPr>
          <w:szCs w:val="22"/>
        </w:rPr>
        <w:t xml:space="preserve">Για τις </w:t>
      </w:r>
      <w:proofErr w:type="spellStart"/>
      <w:r w:rsidRPr="00F45BD1">
        <w:rPr>
          <w:szCs w:val="22"/>
        </w:rPr>
        <w:t>διγουανίδες</w:t>
      </w:r>
      <w:proofErr w:type="spellEnd"/>
      <w:r w:rsidRPr="00F45BD1">
        <w:rPr>
          <w:szCs w:val="22"/>
        </w:rPr>
        <w:t xml:space="preserve"> αναφέρθηκαν περιπτώσεις υψηλών επιπέδων γαλακτικού οξέος στο αίμα, αυξημένη σχέση γαλακτικού/</w:t>
      </w:r>
      <w:proofErr w:type="spellStart"/>
      <w:r w:rsidRPr="00F45BD1">
        <w:rPr>
          <w:szCs w:val="22"/>
        </w:rPr>
        <w:t>πυροσταφυλικού</w:t>
      </w:r>
      <w:proofErr w:type="spellEnd"/>
      <w:r w:rsidRPr="00F45BD1">
        <w:rPr>
          <w:szCs w:val="22"/>
        </w:rPr>
        <w:t xml:space="preserve">, πτώση της τιμής του </w:t>
      </w:r>
      <w:proofErr w:type="spellStart"/>
      <w:r w:rsidRPr="00F45BD1">
        <w:rPr>
          <w:szCs w:val="22"/>
        </w:rPr>
        <w:t>pH</w:t>
      </w:r>
      <w:proofErr w:type="spellEnd"/>
      <w:r w:rsidRPr="00F45BD1">
        <w:rPr>
          <w:szCs w:val="22"/>
        </w:rPr>
        <w:t xml:space="preserve"> αίματος, </w:t>
      </w:r>
      <w:proofErr w:type="spellStart"/>
      <w:r w:rsidRPr="00F45BD1">
        <w:rPr>
          <w:szCs w:val="22"/>
        </w:rPr>
        <w:t>υπεραζωθαιμία</w:t>
      </w:r>
      <w:proofErr w:type="spellEnd"/>
      <w:r w:rsidRPr="00F45BD1">
        <w:rPr>
          <w:szCs w:val="22"/>
        </w:rPr>
        <w:t>, η οποία σε εξαιρετικές περιπτώσεις δεν είχε ευνοϊκή εξέλιξη.</w:t>
      </w:r>
    </w:p>
    <w:p w:rsidR="0099008B" w:rsidRPr="00F45BD1" w:rsidRDefault="0099008B" w:rsidP="00F45BD1">
      <w:pPr>
        <w:rPr>
          <w:szCs w:val="22"/>
        </w:rPr>
      </w:pPr>
    </w:p>
    <w:p w:rsidR="0099008B" w:rsidRPr="00F45BD1" w:rsidRDefault="0099008B" w:rsidP="00F45BD1">
      <w:pPr>
        <w:rPr>
          <w:noProof/>
          <w:position w:val="6"/>
          <w:u w:val="single"/>
        </w:rPr>
      </w:pPr>
      <w:r w:rsidRPr="00F45BD1">
        <w:rPr>
          <w:szCs w:val="22"/>
        </w:rPr>
        <w:t>Η γαλακτική οξέωση δυνατόν να επιδεινωθεί από την παράλληλη λήψη οινοπνεύματος.</w:t>
      </w:r>
    </w:p>
    <w:p w:rsidR="0099008B" w:rsidRPr="00F45BD1" w:rsidRDefault="0099008B" w:rsidP="009C181C">
      <w:pPr>
        <w:rPr>
          <w:b/>
          <w:szCs w:val="22"/>
        </w:rPr>
      </w:pPr>
    </w:p>
    <w:p w:rsidR="0099008B" w:rsidRPr="00F45BD1" w:rsidRDefault="0099008B">
      <w:pPr>
        <w:rPr>
          <w:b/>
          <w:i/>
          <w:szCs w:val="22"/>
        </w:rPr>
      </w:pPr>
      <w:r w:rsidRPr="00F45BD1">
        <w:rPr>
          <w:b/>
          <w:i/>
          <w:szCs w:val="22"/>
        </w:rPr>
        <w:t>Διαταραχές του αιμοποιητικού και του λεμφικού συστήματος</w:t>
      </w:r>
    </w:p>
    <w:p w:rsidR="0099008B" w:rsidRPr="00F45BD1" w:rsidRDefault="0099008B">
      <w:pPr>
        <w:rPr>
          <w:noProof/>
          <w:position w:val="6"/>
        </w:rPr>
      </w:pPr>
      <w:r w:rsidRPr="00F45BD1">
        <w:rPr>
          <w:noProof/>
        </w:rPr>
        <w:t xml:space="preserve">- Αιμολυτική αναιμία (μη γνωστή συχνότητα) </w:t>
      </w:r>
    </w:p>
    <w:p w:rsidR="0099008B" w:rsidRPr="00F45BD1" w:rsidRDefault="0099008B">
      <w:pPr>
        <w:rPr>
          <w:noProof/>
          <w:u w:val="single"/>
        </w:rPr>
      </w:pPr>
    </w:p>
    <w:p w:rsidR="0099008B" w:rsidRPr="00F45BD1" w:rsidRDefault="0099008B">
      <w:pPr>
        <w:pStyle w:val="20"/>
        <w:rPr>
          <w:b/>
          <w:i/>
          <w:color w:val="auto"/>
          <w:szCs w:val="22"/>
        </w:rPr>
      </w:pPr>
      <w:proofErr w:type="spellStart"/>
      <w:r w:rsidRPr="00F45BD1">
        <w:rPr>
          <w:b/>
          <w:i/>
          <w:color w:val="auto"/>
          <w:szCs w:val="22"/>
        </w:rPr>
        <w:t>Παρακλινικές</w:t>
      </w:r>
      <w:proofErr w:type="spellEnd"/>
      <w:r w:rsidRPr="00F45BD1">
        <w:rPr>
          <w:b/>
          <w:i/>
          <w:color w:val="auto"/>
          <w:szCs w:val="22"/>
        </w:rPr>
        <w:t xml:space="preserve"> εξετάσεις</w:t>
      </w:r>
    </w:p>
    <w:p w:rsidR="0099008B" w:rsidRPr="00F45BD1" w:rsidRDefault="0099008B">
      <w:pPr>
        <w:rPr>
          <w:noProof/>
        </w:rPr>
      </w:pPr>
      <w:r w:rsidRPr="00F45BD1">
        <w:rPr>
          <w:noProof/>
        </w:rPr>
        <w:t>- Μείωση του επιπέδου θυρεοτροπίνης σε ασθενείς με υποθυρεοειδισμό (μη γνωστή συχνότητα)</w:t>
      </w:r>
    </w:p>
    <w:p w:rsidR="0099008B" w:rsidRPr="00F45BD1" w:rsidRDefault="0099008B">
      <w:pPr>
        <w:rPr>
          <w:noProof/>
        </w:rPr>
      </w:pPr>
      <w:r w:rsidRPr="00F45BD1">
        <w:rPr>
          <w:noProof/>
        </w:rPr>
        <w:t>- Υπομαγνησιαιμία, στο πλαίσιο της διάρροιας (μη γνωστής συχνότητας)</w:t>
      </w:r>
    </w:p>
    <w:p w:rsidR="0099008B" w:rsidRPr="00F45BD1" w:rsidRDefault="0099008B">
      <w:pPr>
        <w:rPr>
          <w:noProof/>
          <w:u w:val="single"/>
        </w:rPr>
      </w:pPr>
    </w:p>
    <w:p w:rsidR="0099008B" w:rsidRPr="00F45BD1" w:rsidRDefault="0099008B">
      <w:pPr>
        <w:rPr>
          <w:b/>
          <w:i/>
          <w:szCs w:val="22"/>
        </w:rPr>
      </w:pPr>
      <w:r w:rsidRPr="00F45BD1">
        <w:rPr>
          <w:b/>
          <w:i/>
          <w:szCs w:val="22"/>
        </w:rPr>
        <w:t>Διαταραχές του νευρικού συστήματος</w:t>
      </w:r>
    </w:p>
    <w:p w:rsidR="0099008B" w:rsidRPr="00F45BD1" w:rsidRDefault="0099008B">
      <w:pPr>
        <w:rPr>
          <w:noProof/>
          <w:position w:val="6"/>
        </w:rPr>
      </w:pPr>
      <w:r w:rsidRPr="00F45BD1">
        <w:rPr>
          <w:noProof/>
        </w:rPr>
        <w:t>- Εγκεφαλοπάθεια των βοοειδών (μη γνωστής συχνότητας)</w:t>
      </w:r>
    </w:p>
    <w:p w:rsidR="0099008B" w:rsidRPr="00F45BD1" w:rsidRDefault="0099008B">
      <w:pPr>
        <w:rPr>
          <w:noProof/>
          <w:u w:val="single"/>
        </w:rPr>
      </w:pPr>
    </w:p>
    <w:p w:rsidR="0099008B" w:rsidRPr="00F45BD1" w:rsidRDefault="0099008B">
      <w:pPr>
        <w:rPr>
          <w:b/>
          <w:i/>
          <w:szCs w:val="22"/>
        </w:rPr>
      </w:pPr>
      <w:r w:rsidRPr="00F45BD1">
        <w:rPr>
          <w:b/>
          <w:i/>
          <w:szCs w:val="22"/>
        </w:rPr>
        <w:t>Διαταραχές του δέρματος και του υποδόριου ιστού</w:t>
      </w:r>
    </w:p>
    <w:p w:rsidR="0099008B" w:rsidRPr="00F45BD1" w:rsidRDefault="0099008B">
      <w:pPr>
        <w:rPr>
          <w:noProof/>
          <w:position w:val="6"/>
        </w:rPr>
      </w:pPr>
      <w:r w:rsidRPr="00F45BD1">
        <w:rPr>
          <w:noProof/>
        </w:rPr>
        <w:t>-Ήπιο ερύθημα έχει αναφερθεί σε ορισμένα υπερευαίσθητα άτομα. Η συχνότητα τέτοιων ενεργειών</w:t>
      </w:r>
      <w:r w:rsidRPr="00F45BD1">
        <w:rPr>
          <w:noProof/>
          <w:u w:val="single"/>
        </w:rPr>
        <w:t xml:space="preserve"> </w:t>
      </w:r>
      <w:r w:rsidRPr="00F45BD1">
        <w:rPr>
          <w:noProof/>
        </w:rPr>
        <w:t>θεωρείται πολύ σπάνια (&lt;0,01%).</w:t>
      </w:r>
    </w:p>
    <w:p w:rsidR="0099008B" w:rsidRPr="00F45BD1" w:rsidRDefault="0099008B">
      <w:pPr>
        <w:rPr>
          <w:noProof/>
        </w:rPr>
      </w:pPr>
      <w:r w:rsidRPr="00F45BD1">
        <w:rPr>
          <w:noProof/>
        </w:rPr>
        <w:t xml:space="preserve">- Φωτοευαισθησία (μη γνωστής συχνότητας) </w:t>
      </w:r>
    </w:p>
    <w:p w:rsidR="0099008B" w:rsidRPr="00F45BD1" w:rsidRDefault="0099008B" w:rsidP="00B222E7">
      <w:pPr>
        <w:rPr>
          <w:noProof/>
          <w:u w:val="single"/>
        </w:rPr>
      </w:pPr>
    </w:p>
    <w:p w:rsidR="002916E3" w:rsidRPr="00F45BD1" w:rsidRDefault="002916E3">
      <w:pPr>
        <w:rPr>
          <w:b/>
          <w:noProof/>
          <w:szCs w:val="22"/>
        </w:rPr>
      </w:pPr>
      <w:r w:rsidRPr="00F45BD1">
        <w:rPr>
          <w:b/>
          <w:noProof/>
          <w:szCs w:val="22"/>
        </w:rPr>
        <w:t>Αναφορά ανεπιθύμητων ενεργειών</w:t>
      </w:r>
    </w:p>
    <w:p w:rsidR="000B46B3" w:rsidRPr="00F45BD1" w:rsidRDefault="002916E3">
      <w:pPr>
        <w:widowControl/>
        <w:overflowPunct w:val="0"/>
        <w:autoSpaceDE w:val="0"/>
        <w:autoSpaceDN w:val="0"/>
        <w:adjustRightInd w:val="0"/>
        <w:jc w:val="both"/>
        <w:textAlignment w:val="baseline"/>
        <w:rPr>
          <w:noProof/>
          <w:szCs w:val="22"/>
        </w:rPr>
      </w:pPr>
      <w:r w:rsidRPr="00F45BD1">
        <w:t>Εάν παρατηρήσετε κάποια ανεπιθύμητη ενέργεια, ενημερώστε τον γιατρό</w:t>
      </w:r>
      <w:r w:rsidR="0099008B" w:rsidRPr="00F45BD1">
        <w:t xml:space="preserve"> ή τον φαρμακοποιό ή τον/την νοσοκόμο</w:t>
      </w:r>
      <w:r w:rsidRPr="00F45BD1">
        <w:t xml:space="preserve"> σας. Αυτό ισχύει και για κάθε πιθανή ανεπιθύμητη ενέργεια που δεν αναφέρεται στο παρόν φύλλο οδηγιών χρήσης.</w:t>
      </w:r>
      <w:r w:rsidRPr="00F45BD1">
        <w:rPr>
          <w:noProof/>
          <w:szCs w:val="22"/>
        </w:rPr>
        <w:t xml:space="preserve"> </w:t>
      </w:r>
      <w:r w:rsidRPr="00F45BD1">
        <w:rPr>
          <w:szCs w:val="22"/>
        </w:rPr>
        <w:t>Μπορείτε επίσης να αναφέρετε ανεπιθύμητες ενέργειες</w:t>
      </w:r>
      <w:r w:rsidRPr="00F45BD1">
        <w:rPr>
          <w:noProof/>
          <w:szCs w:val="22"/>
        </w:rPr>
        <w:t xml:space="preserve"> </w:t>
      </w:r>
      <w:r w:rsidRPr="00F45BD1">
        <w:rPr>
          <w:szCs w:val="22"/>
        </w:rPr>
        <w:t>απευθείας</w:t>
      </w:r>
      <w:r w:rsidRPr="00F45BD1">
        <w:rPr>
          <w:noProof/>
          <w:szCs w:val="22"/>
        </w:rPr>
        <w:t>, μέσω του εθνικού συστήματος αναφοράς</w:t>
      </w:r>
      <w:r w:rsidR="000B46B3" w:rsidRPr="00F45BD1">
        <w:rPr>
          <w:noProof/>
          <w:szCs w:val="22"/>
        </w:rPr>
        <w:t>:</w:t>
      </w:r>
    </w:p>
    <w:p w:rsidR="0099008B" w:rsidRPr="00025921" w:rsidRDefault="0099008B">
      <w:pPr>
        <w:widowControl/>
        <w:overflowPunct w:val="0"/>
        <w:autoSpaceDE w:val="0"/>
        <w:autoSpaceDN w:val="0"/>
        <w:adjustRightInd w:val="0"/>
        <w:jc w:val="both"/>
        <w:textAlignment w:val="baseline"/>
        <w:rPr>
          <w:position w:val="6"/>
          <w:lang w:eastAsia="el-GR"/>
        </w:rPr>
      </w:pPr>
      <w:r w:rsidRPr="00025921">
        <w:rPr>
          <w:position w:val="6"/>
          <w:lang w:eastAsia="el-GR"/>
        </w:rPr>
        <w:t>Εθνικός Οργανισμός Φαρμάκων</w:t>
      </w:r>
    </w:p>
    <w:p w:rsidR="0099008B" w:rsidRPr="00F45BD1" w:rsidRDefault="0099008B">
      <w:pPr>
        <w:widowControl/>
        <w:overflowPunct w:val="0"/>
        <w:autoSpaceDE w:val="0"/>
        <w:autoSpaceDN w:val="0"/>
        <w:adjustRightInd w:val="0"/>
        <w:jc w:val="both"/>
        <w:textAlignment w:val="baseline"/>
        <w:rPr>
          <w:position w:val="6"/>
          <w:lang w:eastAsia="el-GR"/>
        </w:rPr>
      </w:pPr>
      <w:r w:rsidRPr="00F45BD1">
        <w:rPr>
          <w:position w:val="6"/>
          <w:lang w:eastAsia="el-GR"/>
        </w:rPr>
        <w:t>Μεσογείων 284</w:t>
      </w:r>
    </w:p>
    <w:p w:rsidR="0099008B" w:rsidRPr="00F45BD1" w:rsidRDefault="0099008B">
      <w:pPr>
        <w:widowControl/>
        <w:overflowPunct w:val="0"/>
        <w:autoSpaceDE w:val="0"/>
        <w:autoSpaceDN w:val="0"/>
        <w:adjustRightInd w:val="0"/>
        <w:jc w:val="both"/>
        <w:textAlignment w:val="baseline"/>
        <w:rPr>
          <w:position w:val="6"/>
          <w:lang w:eastAsia="el-GR"/>
        </w:rPr>
      </w:pPr>
      <w:r w:rsidRPr="00F45BD1">
        <w:rPr>
          <w:position w:val="6"/>
          <w:lang w:val="en-US" w:eastAsia="el-GR"/>
        </w:rPr>
        <w:t>GR</w:t>
      </w:r>
      <w:r w:rsidRPr="00F45BD1">
        <w:rPr>
          <w:position w:val="6"/>
          <w:lang w:eastAsia="el-GR"/>
        </w:rPr>
        <w:t>-15562 Χολαργός, Αθήνα</w:t>
      </w:r>
    </w:p>
    <w:p w:rsidR="0099008B" w:rsidRPr="00F45BD1" w:rsidRDefault="0099008B">
      <w:pPr>
        <w:widowControl/>
        <w:overflowPunct w:val="0"/>
        <w:autoSpaceDE w:val="0"/>
        <w:autoSpaceDN w:val="0"/>
        <w:adjustRightInd w:val="0"/>
        <w:jc w:val="both"/>
        <w:textAlignment w:val="baseline"/>
        <w:rPr>
          <w:position w:val="6"/>
          <w:lang w:eastAsia="el-GR"/>
        </w:rPr>
      </w:pPr>
      <w:proofErr w:type="spellStart"/>
      <w:r w:rsidRPr="00F45BD1">
        <w:rPr>
          <w:position w:val="6"/>
          <w:lang w:eastAsia="el-GR"/>
        </w:rPr>
        <w:t>Τηλ</w:t>
      </w:r>
      <w:proofErr w:type="spellEnd"/>
      <w:r w:rsidRPr="00F45BD1">
        <w:rPr>
          <w:position w:val="6"/>
          <w:lang w:eastAsia="el-GR"/>
        </w:rPr>
        <w:t>: + 30 21 32040380/337</w:t>
      </w:r>
    </w:p>
    <w:p w:rsidR="0099008B" w:rsidRPr="00F45BD1" w:rsidRDefault="0099008B">
      <w:pPr>
        <w:widowControl/>
        <w:overflowPunct w:val="0"/>
        <w:autoSpaceDE w:val="0"/>
        <w:autoSpaceDN w:val="0"/>
        <w:adjustRightInd w:val="0"/>
        <w:jc w:val="both"/>
        <w:textAlignment w:val="baseline"/>
        <w:rPr>
          <w:position w:val="6"/>
          <w:lang w:eastAsia="el-GR"/>
        </w:rPr>
      </w:pPr>
      <w:r w:rsidRPr="00F45BD1">
        <w:rPr>
          <w:position w:val="6"/>
          <w:lang w:eastAsia="el-GR"/>
        </w:rPr>
        <w:t xml:space="preserve">Φαξ: + 30 21 06549585 </w:t>
      </w:r>
    </w:p>
    <w:p w:rsidR="0099008B" w:rsidRPr="00F45BD1" w:rsidRDefault="0099008B">
      <w:pPr>
        <w:widowControl/>
        <w:overflowPunct w:val="0"/>
        <w:autoSpaceDE w:val="0"/>
        <w:autoSpaceDN w:val="0"/>
        <w:adjustRightInd w:val="0"/>
        <w:jc w:val="both"/>
        <w:textAlignment w:val="baseline"/>
        <w:rPr>
          <w:position w:val="6"/>
          <w:lang w:eastAsia="el-GR"/>
        </w:rPr>
      </w:pPr>
      <w:proofErr w:type="spellStart"/>
      <w:r w:rsidRPr="00F45BD1">
        <w:rPr>
          <w:position w:val="6"/>
          <w:lang w:eastAsia="el-GR"/>
        </w:rPr>
        <w:t>Ιστότοπος</w:t>
      </w:r>
      <w:proofErr w:type="spellEnd"/>
      <w:r w:rsidRPr="00F45BD1">
        <w:rPr>
          <w:position w:val="6"/>
          <w:lang w:eastAsia="el-GR"/>
        </w:rPr>
        <w:t xml:space="preserve">: </w:t>
      </w:r>
      <w:hyperlink r:id="rId8" w:history="1">
        <w:r w:rsidRPr="00F45BD1">
          <w:rPr>
            <w:position w:val="6"/>
            <w:u w:val="single"/>
            <w:lang w:val="en-US" w:eastAsia="el-GR"/>
          </w:rPr>
          <w:t>http</w:t>
        </w:r>
        <w:r w:rsidRPr="00F45BD1">
          <w:rPr>
            <w:position w:val="6"/>
            <w:u w:val="single"/>
            <w:lang w:eastAsia="el-GR"/>
          </w:rPr>
          <w:t>://</w:t>
        </w:r>
        <w:r w:rsidRPr="00F45BD1">
          <w:rPr>
            <w:position w:val="6"/>
            <w:u w:val="single"/>
            <w:lang w:val="en-US" w:eastAsia="el-GR"/>
          </w:rPr>
          <w:t>www</w:t>
        </w:r>
        <w:r w:rsidRPr="00F45BD1">
          <w:rPr>
            <w:position w:val="6"/>
            <w:u w:val="single"/>
            <w:lang w:eastAsia="el-GR"/>
          </w:rPr>
          <w:t>.</w:t>
        </w:r>
        <w:proofErr w:type="spellStart"/>
        <w:r w:rsidRPr="00F45BD1">
          <w:rPr>
            <w:position w:val="6"/>
            <w:u w:val="single"/>
            <w:lang w:val="en-US" w:eastAsia="el-GR"/>
          </w:rPr>
          <w:t>eof</w:t>
        </w:r>
        <w:proofErr w:type="spellEnd"/>
        <w:r w:rsidRPr="00F45BD1">
          <w:rPr>
            <w:position w:val="6"/>
            <w:u w:val="single"/>
            <w:lang w:eastAsia="el-GR"/>
          </w:rPr>
          <w:t>.</w:t>
        </w:r>
        <w:r w:rsidRPr="00F45BD1">
          <w:rPr>
            <w:position w:val="6"/>
            <w:u w:val="single"/>
            <w:lang w:val="en-US" w:eastAsia="el-GR"/>
          </w:rPr>
          <w:t>gr</w:t>
        </w:r>
      </w:hyperlink>
    </w:p>
    <w:p w:rsidR="002916E3" w:rsidRPr="00F45BD1" w:rsidRDefault="002916E3">
      <w:pPr>
        <w:rPr>
          <w:noProof/>
          <w:szCs w:val="22"/>
        </w:rPr>
      </w:pPr>
      <w:r w:rsidRPr="00F45BD1">
        <w:rPr>
          <w:szCs w:val="22"/>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F45BD1">
        <w:rPr>
          <w:noProof/>
          <w:szCs w:val="22"/>
        </w:rPr>
        <w:t>.</w:t>
      </w:r>
    </w:p>
    <w:p w:rsidR="002916E3" w:rsidRPr="00F45BD1" w:rsidRDefault="002916E3">
      <w:pPr>
        <w:rPr>
          <w:noProof/>
          <w:szCs w:val="22"/>
        </w:rPr>
      </w:pPr>
    </w:p>
    <w:p w:rsidR="007320E3" w:rsidRPr="00F45BD1" w:rsidRDefault="007320E3">
      <w:pPr>
        <w:rPr>
          <w:b/>
          <w:noProof/>
        </w:rPr>
      </w:pPr>
    </w:p>
    <w:p w:rsidR="00496809" w:rsidRPr="00F45BD1" w:rsidRDefault="00496809">
      <w:pPr>
        <w:rPr>
          <w:noProof/>
        </w:rPr>
      </w:pPr>
      <w:r w:rsidRPr="00F45BD1">
        <w:rPr>
          <w:b/>
          <w:noProof/>
        </w:rPr>
        <w:t>5.</w:t>
      </w:r>
      <w:r w:rsidRPr="00F45BD1">
        <w:rPr>
          <w:b/>
          <w:noProof/>
        </w:rPr>
        <w:tab/>
      </w:r>
      <w:r w:rsidR="00BB3DA5" w:rsidRPr="00F45BD1">
        <w:rPr>
          <w:b/>
          <w:noProof/>
        </w:rPr>
        <w:t>Πώς</w:t>
      </w:r>
      <w:r w:rsidR="00BB3DA5" w:rsidRPr="00F45BD1">
        <w:rPr>
          <w:b/>
        </w:rPr>
        <w:t xml:space="preserve"> </w:t>
      </w:r>
      <w:r w:rsidR="00D526FB" w:rsidRPr="00F45BD1">
        <w:rPr>
          <w:b/>
        </w:rPr>
        <w:t xml:space="preserve">να </w:t>
      </w:r>
      <w:r w:rsidR="00D526FB" w:rsidRPr="00F45BD1">
        <w:rPr>
          <w:b/>
          <w:noProof/>
        </w:rPr>
        <w:t xml:space="preserve">φυλάσσετε </w:t>
      </w:r>
      <w:r w:rsidR="002C0F97" w:rsidRPr="00F45BD1">
        <w:rPr>
          <w:b/>
          <w:noProof/>
        </w:rPr>
        <w:t xml:space="preserve">το </w:t>
      </w:r>
      <w:r w:rsidR="007C59B2" w:rsidRPr="00F45BD1">
        <w:rPr>
          <w:b/>
          <w:noProof/>
        </w:rPr>
        <w:t>N</w:t>
      </w:r>
      <w:r w:rsidR="007C59B2" w:rsidRPr="00F45BD1">
        <w:rPr>
          <w:b/>
          <w:noProof/>
          <w:lang w:val="en-US"/>
        </w:rPr>
        <w:t>ormell</w:t>
      </w:r>
    </w:p>
    <w:p w:rsidR="00496809" w:rsidRPr="00F45BD1" w:rsidRDefault="00496809"/>
    <w:p w:rsidR="00BB3DA5" w:rsidRPr="00F45BD1" w:rsidRDefault="00BB3DA5">
      <w:pPr>
        <w:rPr>
          <w:noProof/>
        </w:rPr>
      </w:pPr>
      <w:r w:rsidRPr="00F45BD1">
        <w:rPr>
          <w:noProof/>
        </w:rPr>
        <w:t>Το φάρμακο αυτό πρέπει να φυλάσσεται σε μέρη που δεν το βλέπουν και δεν το φθάνουν τα παιδιά.</w:t>
      </w:r>
    </w:p>
    <w:p w:rsidR="00496809" w:rsidRPr="00F45BD1" w:rsidRDefault="00496809">
      <w:pPr>
        <w:rPr>
          <w:noProof/>
        </w:rPr>
      </w:pPr>
    </w:p>
    <w:p w:rsidR="00496809" w:rsidRPr="00F45BD1" w:rsidRDefault="00496809">
      <w:pPr>
        <w:rPr>
          <w:noProof/>
        </w:rPr>
      </w:pPr>
      <w:r w:rsidRPr="00F45BD1">
        <w:rPr>
          <w:noProof/>
        </w:rPr>
        <w:t xml:space="preserve">Να μη χρησιμοποιείτε </w:t>
      </w:r>
      <w:r w:rsidR="00BB3DA5" w:rsidRPr="00F45BD1">
        <w:rPr>
          <w:noProof/>
        </w:rPr>
        <w:t xml:space="preserve">αυτό το φάρμακο </w:t>
      </w:r>
      <w:r w:rsidRPr="00F45BD1">
        <w:rPr>
          <w:noProof/>
        </w:rPr>
        <w:t>μετά την ημερομηνία λήξης που αναφέρεται στο κουτί</w:t>
      </w:r>
      <w:r w:rsidR="00257735" w:rsidRPr="00F45BD1">
        <w:rPr>
          <w:noProof/>
        </w:rPr>
        <w:t xml:space="preserve"> </w:t>
      </w:r>
      <w:r w:rsidR="00257735" w:rsidRPr="00F45BD1">
        <w:rPr>
          <w:noProof/>
          <w:szCs w:val="22"/>
        </w:rPr>
        <w:t xml:space="preserve">και στην κυψέλη μετά την ΛΗΞΗ(EXP). </w:t>
      </w:r>
      <w:r w:rsidRPr="00F45BD1">
        <w:rPr>
          <w:noProof/>
        </w:rPr>
        <w:t>Η ημερομηνία  λήξης είναι η τελευταία ημέρα του μήνα που αναφέρεται</w:t>
      </w:r>
      <w:r w:rsidR="00BB3DA5" w:rsidRPr="00F45BD1">
        <w:rPr>
          <w:noProof/>
        </w:rPr>
        <w:t xml:space="preserve"> εκεί</w:t>
      </w:r>
      <w:r w:rsidR="00257735" w:rsidRPr="00F45BD1">
        <w:rPr>
          <w:noProof/>
        </w:rPr>
        <w:t>.</w:t>
      </w:r>
    </w:p>
    <w:p w:rsidR="000B46B3" w:rsidRPr="00F45BD1" w:rsidRDefault="000B46B3">
      <w:pPr>
        <w:widowControl/>
        <w:overflowPunct w:val="0"/>
        <w:autoSpaceDE w:val="0"/>
        <w:autoSpaceDN w:val="0"/>
        <w:adjustRightInd w:val="0"/>
        <w:jc w:val="both"/>
        <w:textAlignment w:val="baseline"/>
        <w:rPr>
          <w:szCs w:val="22"/>
          <w:lang w:eastAsia="el-GR"/>
        </w:rPr>
      </w:pPr>
      <w:r w:rsidRPr="00F45BD1">
        <w:rPr>
          <w:szCs w:val="22"/>
          <w:lang w:eastAsia="el-GR"/>
        </w:rPr>
        <w:t>Φυλάσσετε σε θερμοκρασία μικρότερη των 25°</w:t>
      </w:r>
      <w:r w:rsidRPr="00F45BD1">
        <w:rPr>
          <w:szCs w:val="22"/>
          <w:lang w:val="en-US" w:eastAsia="el-GR"/>
        </w:rPr>
        <w:t>C</w:t>
      </w:r>
      <w:r w:rsidRPr="00F45BD1">
        <w:rPr>
          <w:szCs w:val="22"/>
          <w:lang w:eastAsia="el-GR"/>
        </w:rPr>
        <w:t>.</w:t>
      </w:r>
    </w:p>
    <w:p w:rsidR="00496809" w:rsidRPr="00F45BD1" w:rsidRDefault="00496809">
      <w:pPr>
        <w:rPr>
          <w:noProof/>
        </w:rPr>
      </w:pPr>
    </w:p>
    <w:p w:rsidR="00496809" w:rsidRPr="00F45BD1" w:rsidRDefault="00E748F4">
      <w:pPr>
        <w:rPr>
          <w:noProof/>
        </w:rPr>
      </w:pPr>
      <w:r w:rsidRPr="00F45BD1">
        <w:rPr>
          <w:noProof/>
        </w:rPr>
        <w:t xml:space="preserve">Μην πετάτε </w:t>
      </w:r>
      <w:r w:rsidR="00496809" w:rsidRPr="00F45BD1">
        <w:rPr>
          <w:noProof/>
        </w:rPr>
        <w:t xml:space="preserve">φάρμακα στο νερό της αποχέτευσης ή στα </w:t>
      </w:r>
      <w:r w:rsidR="007C4E35" w:rsidRPr="00F45BD1">
        <w:rPr>
          <w:noProof/>
        </w:rPr>
        <w:t>οικιακά απορρίματα</w:t>
      </w:r>
      <w:r w:rsidR="00496809" w:rsidRPr="00F45BD1">
        <w:rPr>
          <w:noProof/>
        </w:rPr>
        <w:t xml:space="preserve">. Ρωτείστε το φαρμακοποιό σας </w:t>
      </w:r>
      <w:r w:rsidRPr="00F45BD1">
        <w:rPr>
          <w:noProof/>
        </w:rPr>
        <w:t xml:space="preserve">για το </w:t>
      </w:r>
      <w:r w:rsidR="00496809" w:rsidRPr="00F45BD1">
        <w:rPr>
          <w:noProof/>
        </w:rPr>
        <w:t xml:space="preserve">πώς να πετάξετε τα φάρμακα που δεν </w:t>
      </w:r>
      <w:r w:rsidRPr="00F45BD1">
        <w:rPr>
          <w:noProof/>
        </w:rPr>
        <w:t xml:space="preserve">χρησιμοποιείτε </w:t>
      </w:r>
      <w:r w:rsidR="00496809" w:rsidRPr="00F45BD1">
        <w:rPr>
          <w:noProof/>
        </w:rPr>
        <w:t>πια. Αυτά τα μέτρα θα βοηθήσουν στη</w:t>
      </w:r>
      <w:r w:rsidR="00257735" w:rsidRPr="00F45BD1">
        <w:rPr>
          <w:noProof/>
        </w:rPr>
        <w:t>ν  προστασία του περιβάλλοντος.</w:t>
      </w:r>
    </w:p>
    <w:p w:rsidR="00496809" w:rsidRPr="00F45BD1" w:rsidRDefault="00496809">
      <w:pPr>
        <w:rPr>
          <w:noProof/>
        </w:rPr>
      </w:pPr>
    </w:p>
    <w:p w:rsidR="00496809" w:rsidRPr="00F45BD1" w:rsidRDefault="00496809">
      <w:pPr>
        <w:rPr>
          <w:noProof/>
        </w:rPr>
      </w:pPr>
    </w:p>
    <w:p w:rsidR="00B73BB9" w:rsidRPr="00F45BD1" w:rsidRDefault="00496809" w:rsidP="00025921">
      <w:pPr>
        <w:keepNext/>
        <w:keepLines/>
        <w:rPr>
          <w:noProof/>
        </w:rPr>
      </w:pPr>
      <w:r w:rsidRPr="00F45BD1">
        <w:rPr>
          <w:b/>
          <w:noProof/>
        </w:rPr>
        <w:lastRenderedPageBreak/>
        <w:t>6.</w:t>
      </w:r>
      <w:r w:rsidRPr="00F45BD1">
        <w:rPr>
          <w:b/>
          <w:noProof/>
        </w:rPr>
        <w:tab/>
      </w:r>
      <w:r w:rsidR="00B73BB9" w:rsidRPr="00F45BD1">
        <w:rPr>
          <w:b/>
          <w:noProof/>
        </w:rPr>
        <w:t>Περιεχόμενο της συσκευασίας και λοιπές πληροφορίες</w:t>
      </w:r>
    </w:p>
    <w:p w:rsidR="00496809" w:rsidRPr="00F45BD1" w:rsidRDefault="00496809" w:rsidP="00025921">
      <w:pPr>
        <w:keepNext/>
        <w:keepLines/>
        <w:rPr>
          <w:noProof/>
        </w:rPr>
      </w:pPr>
    </w:p>
    <w:p w:rsidR="00496809" w:rsidRPr="00F45BD1" w:rsidRDefault="00496809" w:rsidP="00025921">
      <w:pPr>
        <w:keepNext/>
        <w:keepLines/>
        <w:rPr>
          <w:b/>
          <w:bCs/>
          <w:noProof/>
        </w:rPr>
      </w:pPr>
      <w:r w:rsidRPr="00F45BD1">
        <w:rPr>
          <w:b/>
          <w:bCs/>
          <w:noProof/>
        </w:rPr>
        <w:t xml:space="preserve">Τι περιέχει το </w:t>
      </w:r>
      <w:r w:rsidR="007C59B2" w:rsidRPr="00F45BD1">
        <w:rPr>
          <w:b/>
          <w:noProof/>
        </w:rPr>
        <w:t>N</w:t>
      </w:r>
      <w:r w:rsidR="007C59B2" w:rsidRPr="00F45BD1">
        <w:rPr>
          <w:b/>
          <w:noProof/>
          <w:lang w:val="en-US"/>
        </w:rPr>
        <w:t>ormell</w:t>
      </w:r>
    </w:p>
    <w:p w:rsidR="00496809" w:rsidRPr="00F45BD1" w:rsidRDefault="00496809" w:rsidP="00025921">
      <w:pPr>
        <w:pStyle w:val="a3"/>
        <w:keepNext/>
        <w:keepLines/>
        <w:tabs>
          <w:tab w:val="clear" w:pos="4153"/>
          <w:tab w:val="clear" w:pos="8306"/>
        </w:tabs>
        <w:rPr>
          <w:noProof/>
        </w:rPr>
      </w:pPr>
    </w:p>
    <w:p w:rsidR="00496809" w:rsidRPr="00F45BD1" w:rsidRDefault="00FF7B46" w:rsidP="00025921">
      <w:pPr>
        <w:keepNext/>
        <w:keepLines/>
        <w:numPr>
          <w:ilvl w:val="0"/>
          <w:numId w:val="16"/>
        </w:numPr>
        <w:tabs>
          <w:tab w:val="clear" w:pos="1050"/>
          <w:tab w:val="num" w:pos="540"/>
        </w:tabs>
        <w:ind w:left="630" w:hanging="630"/>
        <w:rPr>
          <w:noProof/>
        </w:rPr>
      </w:pPr>
      <w:r w:rsidRPr="00F45BD1">
        <w:rPr>
          <w:noProof/>
        </w:rPr>
        <w:t>Οι</w:t>
      </w:r>
      <w:r w:rsidR="00B73BB9" w:rsidRPr="00F45BD1">
        <w:rPr>
          <w:noProof/>
        </w:rPr>
        <w:t xml:space="preserve"> </w:t>
      </w:r>
      <w:r w:rsidRPr="00F45BD1">
        <w:rPr>
          <w:noProof/>
        </w:rPr>
        <w:t>δραστικές ουσίες</w:t>
      </w:r>
      <w:r w:rsidR="00496809" w:rsidRPr="00F45BD1">
        <w:rPr>
          <w:noProof/>
        </w:rPr>
        <w:t xml:space="preserve"> είναι </w:t>
      </w:r>
      <w:r w:rsidRPr="00F45BD1">
        <w:rPr>
          <w:noProof/>
        </w:rPr>
        <w:t>η γ</w:t>
      </w:r>
      <w:proofErr w:type="spellStart"/>
      <w:r w:rsidRPr="00F45BD1">
        <w:rPr>
          <w:szCs w:val="22"/>
        </w:rPr>
        <w:t>λιβενκλαμίδη</w:t>
      </w:r>
      <w:proofErr w:type="spellEnd"/>
      <w:r w:rsidRPr="00F45BD1">
        <w:rPr>
          <w:szCs w:val="22"/>
        </w:rPr>
        <w:t xml:space="preserve"> και η υδροχλωρική μετφορμίνη. </w:t>
      </w:r>
    </w:p>
    <w:p w:rsidR="00496809" w:rsidRPr="00F45BD1" w:rsidRDefault="00B73BB9" w:rsidP="00F45BD1">
      <w:pPr>
        <w:numPr>
          <w:ilvl w:val="0"/>
          <w:numId w:val="16"/>
        </w:numPr>
        <w:tabs>
          <w:tab w:val="clear" w:pos="1050"/>
          <w:tab w:val="num" w:pos="567"/>
        </w:tabs>
        <w:ind w:left="567" w:hanging="567"/>
        <w:rPr>
          <w:b/>
          <w:bCs/>
          <w:noProof/>
        </w:rPr>
      </w:pPr>
      <w:r w:rsidRPr="00F45BD1">
        <w:rPr>
          <w:noProof/>
        </w:rPr>
        <w:t>Τα</w:t>
      </w:r>
      <w:r w:rsidR="00FF7B46" w:rsidRPr="00F45BD1">
        <w:rPr>
          <w:noProof/>
        </w:rPr>
        <w:t xml:space="preserve"> άλλ</w:t>
      </w:r>
      <w:r w:rsidRPr="00F45BD1">
        <w:rPr>
          <w:noProof/>
        </w:rPr>
        <w:t>α συστατικά είναι</w:t>
      </w:r>
      <w:r w:rsidR="00FF7B46" w:rsidRPr="00F45BD1">
        <w:rPr>
          <w:noProof/>
        </w:rPr>
        <w:t xml:space="preserve"> </w:t>
      </w:r>
      <w:r w:rsidR="00F90E42" w:rsidRPr="00F45BD1">
        <w:rPr>
          <w:noProof/>
        </w:rPr>
        <w:t>ά</w:t>
      </w:r>
      <w:proofErr w:type="spellStart"/>
      <w:r w:rsidR="00F90E42" w:rsidRPr="00F45BD1">
        <w:rPr>
          <w:szCs w:val="22"/>
        </w:rPr>
        <w:t>μυλο</w:t>
      </w:r>
      <w:proofErr w:type="spellEnd"/>
      <w:r w:rsidR="00F90E42" w:rsidRPr="00F45BD1">
        <w:rPr>
          <w:szCs w:val="22"/>
        </w:rPr>
        <w:t xml:space="preserve"> αραβοσίτου, </w:t>
      </w:r>
      <w:proofErr w:type="spellStart"/>
      <w:r w:rsidR="00F90E42" w:rsidRPr="00F45BD1">
        <w:rPr>
          <w:szCs w:val="22"/>
        </w:rPr>
        <w:t>σορβιτόλη</w:t>
      </w:r>
      <w:proofErr w:type="spellEnd"/>
      <w:r w:rsidR="00F90E42" w:rsidRPr="00F45BD1">
        <w:rPr>
          <w:szCs w:val="22"/>
        </w:rPr>
        <w:t xml:space="preserve">, </w:t>
      </w:r>
      <w:proofErr w:type="spellStart"/>
      <w:r w:rsidR="00F90E42" w:rsidRPr="00F45BD1">
        <w:rPr>
          <w:szCs w:val="22"/>
        </w:rPr>
        <w:t>υπρομελλόζη</w:t>
      </w:r>
      <w:proofErr w:type="spellEnd"/>
      <w:r w:rsidR="00F90E42" w:rsidRPr="00F45BD1">
        <w:rPr>
          <w:szCs w:val="22"/>
        </w:rPr>
        <w:t xml:space="preserve">, μαγνήσιο στεατικό, </w:t>
      </w:r>
      <w:proofErr w:type="spellStart"/>
      <w:r w:rsidR="00F90E42" w:rsidRPr="00F45BD1">
        <w:rPr>
          <w:szCs w:val="22"/>
        </w:rPr>
        <w:t>τάλκη</w:t>
      </w:r>
      <w:r w:rsidR="00025921">
        <w:rPr>
          <w:szCs w:val="22"/>
        </w:rPr>
        <w:t>ς</w:t>
      </w:r>
      <w:proofErr w:type="spellEnd"/>
      <w:r w:rsidR="00F90E42" w:rsidRPr="00F45BD1">
        <w:rPr>
          <w:szCs w:val="22"/>
        </w:rPr>
        <w:t>, τιτανίου διοξείδιο (</w:t>
      </w:r>
      <w:r w:rsidR="00F90E42" w:rsidRPr="00F45BD1">
        <w:rPr>
          <w:szCs w:val="22"/>
          <w:lang w:val="en-US"/>
        </w:rPr>
        <w:t>E</w:t>
      </w:r>
      <w:r w:rsidR="00F90E42" w:rsidRPr="00F45BD1">
        <w:rPr>
          <w:szCs w:val="22"/>
        </w:rPr>
        <w:t xml:space="preserve"> 171), </w:t>
      </w:r>
      <w:proofErr w:type="spellStart"/>
      <w:r w:rsidR="00F90E42" w:rsidRPr="00F45BD1">
        <w:rPr>
          <w:szCs w:val="22"/>
        </w:rPr>
        <w:t>πολυαιθυλενογλυκόλη</w:t>
      </w:r>
      <w:proofErr w:type="spellEnd"/>
      <w:r w:rsidR="00F90E42" w:rsidRPr="00F45BD1">
        <w:rPr>
          <w:szCs w:val="22"/>
        </w:rPr>
        <w:t>.</w:t>
      </w:r>
    </w:p>
    <w:p w:rsidR="00F90E42" w:rsidRPr="00F45BD1" w:rsidRDefault="00F90E42">
      <w:pPr>
        <w:overflowPunct w:val="0"/>
        <w:autoSpaceDE w:val="0"/>
        <w:autoSpaceDN w:val="0"/>
        <w:adjustRightInd w:val="0"/>
        <w:rPr>
          <w:szCs w:val="22"/>
        </w:rPr>
      </w:pPr>
    </w:p>
    <w:p w:rsidR="00F90E42" w:rsidRPr="00F45BD1" w:rsidRDefault="00F90E42">
      <w:pPr>
        <w:overflowPunct w:val="0"/>
        <w:autoSpaceDE w:val="0"/>
        <w:autoSpaceDN w:val="0"/>
        <w:adjustRightInd w:val="0"/>
        <w:rPr>
          <w:b/>
          <w:bCs/>
          <w:szCs w:val="22"/>
        </w:rPr>
      </w:pPr>
      <w:r w:rsidRPr="00F45BD1">
        <w:rPr>
          <w:szCs w:val="22"/>
        </w:rPr>
        <w:t>Κάθε επικαλυμμένο δισκίο περιέχει 2,5 </w:t>
      </w:r>
      <w:r w:rsidRPr="00F45BD1">
        <w:rPr>
          <w:szCs w:val="22"/>
          <w:lang w:val="en-US"/>
        </w:rPr>
        <w:t>mg</w:t>
      </w:r>
      <w:r w:rsidRPr="00F45BD1">
        <w:rPr>
          <w:szCs w:val="22"/>
        </w:rPr>
        <w:t xml:space="preserve"> </w:t>
      </w:r>
      <w:proofErr w:type="spellStart"/>
      <w:r w:rsidRPr="00F45BD1">
        <w:rPr>
          <w:szCs w:val="22"/>
        </w:rPr>
        <w:t>γλιβενκλαμίδη</w:t>
      </w:r>
      <w:proofErr w:type="spellEnd"/>
      <w:r w:rsidRPr="00F45BD1">
        <w:rPr>
          <w:szCs w:val="22"/>
        </w:rPr>
        <w:t xml:space="preserve"> και 400 </w:t>
      </w:r>
      <w:r w:rsidRPr="00F45BD1">
        <w:rPr>
          <w:szCs w:val="22"/>
          <w:lang w:val="en-US"/>
        </w:rPr>
        <w:t>mg</w:t>
      </w:r>
      <w:r w:rsidRPr="00F45BD1">
        <w:rPr>
          <w:szCs w:val="22"/>
        </w:rPr>
        <w:t xml:space="preserve"> υδροχλωρική μετφορμίνη.</w:t>
      </w:r>
    </w:p>
    <w:p w:rsidR="00F90E42" w:rsidRPr="00F45BD1" w:rsidRDefault="00F90E42">
      <w:pPr>
        <w:rPr>
          <w:b/>
          <w:bCs/>
          <w:noProof/>
        </w:rPr>
      </w:pPr>
    </w:p>
    <w:p w:rsidR="00496809" w:rsidRPr="00F45BD1" w:rsidRDefault="00496809">
      <w:pPr>
        <w:rPr>
          <w:b/>
          <w:bCs/>
          <w:noProof/>
        </w:rPr>
      </w:pPr>
      <w:r w:rsidRPr="00F45BD1">
        <w:rPr>
          <w:b/>
          <w:bCs/>
          <w:noProof/>
        </w:rPr>
        <w:t xml:space="preserve">Εμφάνιση του </w:t>
      </w:r>
      <w:r w:rsidR="007C59B2" w:rsidRPr="00F45BD1">
        <w:rPr>
          <w:b/>
          <w:noProof/>
        </w:rPr>
        <w:t>N</w:t>
      </w:r>
      <w:r w:rsidR="007C59B2" w:rsidRPr="00F45BD1">
        <w:rPr>
          <w:b/>
          <w:noProof/>
          <w:lang w:val="en-US"/>
        </w:rPr>
        <w:t>ormell</w:t>
      </w:r>
      <w:r w:rsidRPr="00F45BD1">
        <w:rPr>
          <w:b/>
          <w:bCs/>
          <w:noProof/>
        </w:rPr>
        <w:t xml:space="preserve"> και  περιεχόμενο της συσκευασίας</w:t>
      </w:r>
    </w:p>
    <w:p w:rsidR="001B509E" w:rsidRPr="00F45BD1" w:rsidRDefault="00FF7B46">
      <w:pPr>
        <w:jc w:val="both"/>
        <w:rPr>
          <w:szCs w:val="22"/>
        </w:rPr>
      </w:pPr>
      <w:r w:rsidRPr="00F45BD1">
        <w:rPr>
          <w:szCs w:val="22"/>
        </w:rPr>
        <w:t xml:space="preserve">Στρογγυλά αμφίκυρτα </w:t>
      </w:r>
      <w:r w:rsidR="00025921" w:rsidRPr="00F45BD1">
        <w:rPr>
          <w:szCs w:val="22"/>
        </w:rPr>
        <w:t>επικαλυμμένα</w:t>
      </w:r>
      <w:r w:rsidRPr="00F45BD1">
        <w:rPr>
          <w:szCs w:val="22"/>
        </w:rPr>
        <w:t xml:space="preserve"> δισκία (διαμέτρου 12</w:t>
      </w:r>
      <w:r w:rsidRPr="00F45BD1">
        <w:rPr>
          <w:szCs w:val="22"/>
          <w:lang w:val="en-US"/>
        </w:rPr>
        <w:t> mm</w:t>
      </w:r>
      <w:r w:rsidRPr="00F45BD1">
        <w:rPr>
          <w:szCs w:val="22"/>
        </w:rPr>
        <w:t xml:space="preserve">) με χαραγή στη μία πλευρά για διάτμηση. </w:t>
      </w:r>
    </w:p>
    <w:p w:rsidR="001B509E" w:rsidRPr="00F45BD1" w:rsidRDefault="001B509E" w:rsidP="001B509E">
      <w:pPr>
        <w:rPr>
          <w:bCs/>
          <w:noProof/>
        </w:rPr>
      </w:pPr>
    </w:p>
    <w:p w:rsidR="00FF7B46" w:rsidRPr="00F45BD1" w:rsidRDefault="001B509E" w:rsidP="001B509E">
      <w:pPr>
        <w:jc w:val="both"/>
        <w:rPr>
          <w:szCs w:val="22"/>
        </w:rPr>
      </w:pPr>
      <w:r w:rsidRPr="00F45BD1">
        <w:rPr>
          <w:szCs w:val="22"/>
        </w:rPr>
        <w:t xml:space="preserve">Συσκευάζεται σε κυψέλες των 10 δισκίων η καθεμία. </w:t>
      </w:r>
      <w:r w:rsidR="00FF7B46" w:rsidRPr="00F45BD1">
        <w:rPr>
          <w:szCs w:val="22"/>
        </w:rPr>
        <w:t>Κάθε κουτί περιέχει 40 δισκία και το φύλλο οδηγιών χρήσης.</w:t>
      </w:r>
    </w:p>
    <w:p w:rsidR="00496809" w:rsidRPr="00F45BD1" w:rsidRDefault="00496809">
      <w:pPr>
        <w:rPr>
          <w:b/>
          <w:bCs/>
          <w:noProof/>
        </w:rPr>
      </w:pPr>
    </w:p>
    <w:p w:rsidR="007C59B2" w:rsidRPr="00F45BD1" w:rsidRDefault="007C59B2" w:rsidP="007C59B2">
      <w:pPr>
        <w:rPr>
          <w:noProof/>
        </w:rPr>
      </w:pPr>
      <w:r w:rsidRPr="00F45BD1">
        <w:rPr>
          <w:b/>
          <w:bCs/>
          <w:noProof/>
        </w:rPr>
        <w:t>Κάτοχος Άδειας Κυκλοφορίας και Παρασκευαστής</w:t>
      </w:r>
    </w:p>
    <w:p w:rsidR="007C59B2" w:rsidRPr="00F45BD1" w:rsidRDefault="007C59B2" w:rsidP="007C59B2">
      <w:pPr>
        <w:pStyle w:val="a3"/>
        <w:tabs>
          <w:tab w:val="clear" w:pos="4153"/>
          <w:tab w:val="clear" w:pos="8306"/>
        </w:tabs>
        <w:rPr>
          <w:noProof/>
        </w:rPr>
      </w:pPr>
    </w:p>
    <w:p w:rsidR="007C59B2" w:rsidRPr="00F45BD1" w:rsidRDefault="007C59B2" w:rsidP="007C59B2">
      <w:r w:rsidRPr="00F45BD1">
        <w:rPr>
          <w:b/>
        </w:rPr>
        <w:t>Κάτοχος Άδειας Κυκλοφορίας</w:t>
      </w:r>
    </w:p>
    <w:p w:rsidR="00257735" w:rsidRPr="00F45BD1" w:rsidRDefault="00257735">
      <w:pPr>
        <w:rPr>
          <w:b/>
          <w:noProof/>
          <w:szCs w:val="22"/>
        </w:rPr>
      </w:pPr>
      <w:r w:rsidRPr="00F45BD1">
        <w:rPr>
          <w:b/>
          <w:noProof/>
          <w:szCs w:val="22"/>
        </w:rPr>
        <w:t>Sanofi-aventis AEBE</w:t>
      </w:r>
    </w:p>
    <w:p w:rsidR="00257735" w:rsidRPr="00F45BD1" w:rsidRDefault="00257735">
      <w:pPr>
        <w:rPr>
          <w:noProof/>
          <w:szCs w:val="22"/>
        </w:rPr>
      </w:pPr>
      <w:r w:rsidRPr="00F45BD1">
        <w:rPr>
          <w:noProof/>
          <w:szCs w:val="22"/>
        </w:rPr>
        <w:t>Λεωφ. Συγγρου 348 – Κτίριο Α</w:t>
      </w:r>
    </w:p>
    <w:p w:rsidR="00257735" w:rsidRPr="00F45BD1" w:rsidRDefault="00257735">
      <w:pPr>
        <w:rPr>
          <w:noProof/>
          <w:szCs w:val="22"/>
        </w:rPr>
      </w:pPr>
      <w:r w:rsidRPr="00F45BD1">
        <w:rPr>
          <w:noProof/>
          <w:szCs w:val="22"/>
        </w:rPr>
        <w:t>176 74 Καλλιθέα - Αθήνα</w:t>
      </w:r>
    </w:p>
    <w:p w:rsidR="00257735" w:rsidRPr="00F45BD1" w:rsidRDefault="00257735">
      <w:pPr>
        <w:rPr>
          <w:noProof/>
          <w:szCs w:val="22"/>
        </w:rPr>
      </w:pPr>
      <w:r w:rsidRPr="00F45BD1">
        <w:rPr>
          <w:noProof/>
          <w:szCs w:val="22"/>
        </w:rPr>
        <w:t>Ελλάδα</w:t>
      </w:r>
    </w:p>
    <w:p w:rsidR="001B509E" w:rsidRPr="00F45BD1" w:rsidRDefault="001B509E">
      <w:pPr>
        <w:rPr>
          <w:noProof/>
          <w:szCs w:val="22"/>
        </w:rPr>
      </w:pPr>
    </w:p>
    <w:p w:rsidR="00257735" w:rsidRPr="00F45BD1" w:rsidRDefault="007C59B2">
      <w:pPr>
        <w:rPr>
          <w:b/>
          <w:bCs/>
          <w:noProof/>
          <w:szCs w:val="22"/>
        </w:rPr>
      </w:pPr>
      <w:r w:rsidRPr="00F45BD1">
        <w:rPr>
          <w:b/>
          <w:bCs/>
          <w:noProof/>
        </w:rPr>
        <w:t>Παρασκευαστής</w:t>
      </w:r>
    </w:p>
    <w:p w:rsidR="00F35723" w:rsidRPr="00F45BD1" w:rsidRDefault="00FF7B46">
      <w:pPr>
        <w:rPr>
          <w:noProof/>
        </w:rPr>
      </w:pPr>
      <w:r w:rsidRPr="00F45BD1">
        <w:rPr>
          <w:noProof/>
          <w:lang w:val="en-US"/>
        </w:rPr>
        <w:t>Sanofi</w:t>
      </w:r>
      <w:r w:rsidRPr="00F45BD1">
        <w:rPr>
          <w:noProof/>
        </w:rPr>
        <w:t xml:space="preserve"> </w:t>
      </w:r>
      <w:r w:rsidRPr="00F45BD1">
        <w:rPr>
          <w:noProof/>
          <w:lang w:val="en-US"/>
        </w:rPr>
        <w:t>SpA</w:t>
      </w:r>
      <w:r w:rsidRPr="00F45BD1">
        <w:rPr>
          <w:noProof/>
        </w:rPr>
        <w:t xml:space="preserve"> (</w:t>
      </w:r>
      <w:r w:rsidRPr="00F45BD1">
        <w:rPr>
          <w:noProof/>
          <w:lang w:val="en-US"/>
        </w:rPr>
        <w:t>Scoppito</w:t>
      </w:r>
      <w:r w:rsidRPr="00F45BD1">
        <w:rPr>
          <w:noProof/>
        </w:rPr>
        <w:t>), Ιταλία</w:t>
      </w:r>
    </w:p>
    <w:p w:rsidR="00496809" w:rsidRPr="00F45BD1" w:rsidRDefault="00496809">
      <w:pPr>
        <w:rPr>
          <w:noProof/>
        </w:rPr>
      </w:pPr>
    </w:p>
    <w:p w:rsidR="001B509E" w:rsidRPr="00F45BD1" w:rsidRDefault="001B509E">
      <w:pPr>
        <w:rPr>
          <w:noProof/>
        </w:rPr>
      </w:pPr>
    </w:p>
    <w:p w:rsidR="00496809" w:rsidRPr="00F45BD1" w:rsidRDefault="00496809">
      <w:pPr>
        <w:rPr>
          <w:noProof/>
        </w:rPr>
      </w:pPr>
      <w:r w:rsidRPr="00F45BD1">
        <w:rPr>
          <w:b/>
          <w:noProof/>
        </w:rPr>
        <w:t xml:space="preserve">Το παρόν φύλλο οδηγιών χρήσης </w:t>
      </w:r>
      <w:r w:rsidR="007C4E35" w:rsidRPr="00F45BD1">
        <w:rPr>
          <w:b/>
          <w:noProof/>
        </w:rPr>
        <w:t>ανανε</w:t>
      </w:r>
      <w:r w:rsidR="008E2A05" w:rsidRPr="00F45BD1">
        <w:rPr>
          <w:b/>
          <w:noProof/>
        </w:rPr>
        <w:t>ωρή</w:t>
      </w:r>
      <w:r w:rsidR="007C4E35" w:rsidRPr="00F45BD1">
        <w:rPr>
          <w:b/>
          <w:noProof/>
        </w:rPr>
        <w:t xml:space="preserve">θηκε </w:t>
      </w:r>
      <w:r w:rsidRPr="00F45BD1">
        <w:rPr>
          <w:b/>
          <w:noProof/>
        </w:rPr>
        <w:t xml:space="preserve">για τελευταία φορά στις {ημερομηνία} </w:t>
      </w:r>
    </w:p>
    <w:p w:rsidR="00496809" w:rsidRPr="00F45BD1" w:rsidRDefault="00496809">
      <w:pPr>
        <w:rPr>
          <w:noProof/>
        </w:rPr>
      </w:pPr>
    </w:p>
    <w:p w:rsidR="00257735" w:rsidRPr="00F45BD1" w:rsidRDefault="00257735">
      <w:pPr>
        <w:rPr>
          <w:noProof/>
        </w:rPr>
      </w:pPr>
    </w:p>
    <w:p w:rsidR="007C4E35" w:rsidRPr="00F45BD1" w:rsidRDefault="002C0F97">
      <w:pPr>
        <w:rPr>
          <w:b/>
          <w:noProof/>
        </w:rPr>
      </w:pPr>
      <w:r w:rsidRPr="00F45BD1">
        <w:rPr>
          <w:b/>
          <w:noProof/>
        </w:rPr>
        <w:t>Άλλες πηγές πληροφοριών</w:t>
      </w:r>
    </w:p>
    <w:p w:rsidR="00257735" w:rsidRPr="00F45BD1" w:rsidRDefault="00257735">
      <w:pPr>
        <w:rPr>
          <w:noProof/>
          <w:szCs w:val="22"/>
        </w:rPr>
      </w:pPr>
      <w:r w:rsidRPr="00F45BD1">
        <w:rPr>
          <w:noProof/>
          <w:szCs w:val="22"/>
        </w:rPr>
        <w:t>Λεπτομερείς πληροφορίες για το φάρμακο αυτό είναι διαθέσιμες στο δικτυακό τόπο του Εθνικού Οργανισμού Φαρμάκων http://www.eof.gr.</w:t>
      </w:r>
    </w:p>
    <w:p w:rsidR="00257735" w:rsidRDefault="00257735">
      <w:pPr>
        <w:rPr>
          <w:noProof/>
          <w:szCs w:val="22"/>
        </w:rPr>
      </w:pPr>
    </w:p>
    <w:p w:rsidR="00025921" w:rsidRPr="00F45BD1" w:rsidRDefault="00025921">
      <w:pPr>
        <w:rPr>
          <w:noProof/>
          <w:szCs w:val="22"/>
        </w:rPr>
      </w:pPr>
    </w:p>
    <w:p w:rsidR="00257735" w:rsidRPr="00F45BD1" w:rsidRDefault="00257735">
      <w:pPr>
        <w:jc w:val="both"/>
        <w:rPr>
          <w:szCs w:val="22"/>
          <w:lang w:eastAsia="el-GR"/>
        </w:rPr>
      </w:pPr>
      <w:r w:rsidRPr="00F45BD1">
        <w:rPr>
          <w:b/>
          <w:szCs w:val="22"/>
        </w:rPr>
        <w:t>Τηλέφωνο Κέντρου Δηλητηριάσεων: +30 210 77 93 777</w:t>
      </w:r>
    </w:p>
    <w:p w:rsidR="00496809" w:rsidRPr="00F45BD1" w:rsidRDefault="00496809"/>
    <w:sectPr w:rsidR="00496809" w:rsidRPr="00F45BD1" w:rsidSect="007320E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134" w:right="1418" w:bottom="1134" w:left="1418" w:header="73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812" w:rsidRDefault="00DF3812">
      <w:r>
        <w:separator/>
      </w:r>
    </w:p>
  </w:endnote>
  <w:endnote w:type="continuationSeparator" w:id="0">
    <w:p w:rsidR="00DF3812" w:rsidRDefault="00DF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E3" w:rsidRDefault="007320E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46" w:rsidRDefault="006D3646">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Pr>
        <w:rFonts w:ascii="Arial" w:hAnsi="Arial" w:cs="Arial"/>
        <w:sz w:val="16"/>
        <w:lang w:val="fr-FR"/>
      </w:rPr>
      <w:instrText xml:space="preserve">PAGE  </w:instrText>
    </w:r>
    <w:r>
      <w:rPr>
        <w:rFonts w:ascii="Arial" w:hAnsi="Arial" w:cs="Arial"/>
        <w:sz w:val="16"/>
        <w:lang w:val="fr-FR"/>
      </w:rPr>
      <w:fldChar w:fldCharType="separate"/>
    </w:r>
    <w:r w:rsidR="00F21029">
      <w:rPr>
        <w:rFonts w:ascii="Arial" w:hAnsi="Arial" w:cs="Arial"/>
        <w:noProof/>
        <w:sz w:val="16"/>
        <w:lang w:val="fr-FR"/>
      </w:rPr>
      <w:t>10</w:t>
    </w:r>
    <w:r>
      <w:rPr>
        <w:rFonts w:ascii="Arial" w:hAnsi="Arial" w:cs="Arial"/>
        <w:sz w:val="16"/>
        <w:lang w:val="fr-F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46" w:rsidRDefault="006D3646">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Pr>
        <w:rFonts w:ascii="Arial" w:hAnsi="Arial" w:cs="Arial"/>
        <w:sz w:val="16"/>
        <w:lang w:val="fr-FR"/>
      </w:rPr>
      <w:instrText xml:space="preserve">PAGE  </w:instrText>
    </w:r>
    <w:r>
      <w:rPr>
        <w:rFonts w:ascii="Arial" w:hAnsi="Arial" w:cs="Arial"/>
        <w:sz w:val="16"/>
        <w:lang w:val="fr-FR"/>
      </w:rPr>
      <w:fldChar w:fldCharType="separate"/>
    </w:r>
    <w:r w:rsidR="00F21029">
      <w:rPr>
        <w:rFonts w:ascii="Arial" w:hAnsi="Arial" w:cs="Arial"/>
        <w:noProof/>
        <w:sz w:val="16"/>
        <w:lang w:val="fr-FR"/>
      </w:rPr>
      <w:t>1</w:t>
    </w:r>
    <w:r>
      <w:rPr>
        <w:rFonts w:ascii="Arial" w:hAnsi="Arial" w:cs="Arial"/>
        <w:sz w:val="16"/>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812" w:rsidRDefault="00DF3812">
      <w:r>
        <w:separator/>
      </w:r>
    </w:p>
  </w:footnote>
  <w:footnote w:type="continuationSeparator" w:id="0">
    <w:p w:rsidR="00DF3812" w:rsidRDefault="00DF3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E3" w:rsidRDefault="007320E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E3" w:rsidRDefault="007320E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E3" w:rsidRDefault="007320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6B978CD"/>
    <w:multiLevelType w:val="singleLevel"/>
    <w:tmpl w:val="31304CA6"/>
    <w:lvl w:ilvl="0">
      <w:start w:val="1"/>
      <w:numFmt w:val="decimal"/>
      <w:lvlText w:val="%1."/>
      <w:legacy w:legacy="1" w:legacySpace="0" w:legacyIndent="360"/>
      <w:lvlJc w:val="left"/>
      <w:pPr>
        <w:ind w:left="360" w:hanging="360"/>
      </w:pPr>
    </w:lvl>
  </w:abstractNum>
  <w:abstractNum w:abstractNumId="3">
    <w:nsid w:val="1EA37FC5"/>
    <w:multiLevelType w:val="singleLevel"/>
    <w:tmpl w:val="FFFFFFFF"/>
    <w:lvl w:ilvl="0">
      <w:start w:val="1"/>
      <w:numFmt w:val="bullet"/>
      <w:lvlText w:val="-"/>
      <w:legacy w:legacy="1" w:legacySpace="0" w:legacyIndent="360"/>
      <w:lvlJc w:val="left"/>
      <w:pPr>
        <w:ind w:left="1800" w:hanging="360"/>
      </w:pPr>
    </w:lvl>
  </w:abstractNum>
  <w:abstractNum w:abstractNumId="4">
    <w:nsid w:val="250039AE"/>
    <w:multiLevelType w:val="hybridMultilevel"/>
    <w:tmpl w:val="B0589876"/>
    <w:lvl w:ilvl="0" w:tplc="437E9E4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5D548BC"/>
    <w:multiLevelType w:val="hybridMultilevel"/>
    <w:tmpl w:val="90324DF2"/>
    <w:lvl w:ilvl="0" w:tplc="7278CC84">
      <w:start w:val="6"/>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A810019"/>
    <w:multiLevelType w:val="singleLevel"/>
    <w:tmpl w:val="FFFFFFFF"/>
    <w:lvl w:ilvl="0">
      <w:start w:val="1"/>
      <w:numFmt w:val="bullet"/>
      <w:lvlText w:val="-"/>
      <w:legacy w:legacy="1" w:legacySpace="0" w:legacyIndent="360"/>
      <w:lvlJc w:val="left"/>
      <w:pPr>
        <w:ind w:left="1800" w:hanging="360"/>
      </w:pPr>
    </w:lvl>
  </w:abstractNum>
  <w:abstractNum w:abstractNumId="10">
    <w:nsid w:val="4AA4312D"/>
    <w:multiLevelType w:val="hybridMultilevel"/>
    <w:tmpl w:val="D0B8DB20"/>
    <w:lvl w:ilvl="0" w:tplc="81A03DD0">
      <w:start w:val="10"/>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60C4365"/>
    <w:multiLevelType w:val="singleLevel"/>
    <w:tmpl w:val="FFFFFFFF"/>
    <w:lvl w:ilvl="0">
      <w:start w:val="1"/>
      <w:numFmt w:val="bullet"/>
      <w:lvlText w:val="-"/>
      <w:legacy w:legacy="1" w:legacySpace="0" w:legacyIndent="360"/>
      <w:lvlJc w:val="left"/>
      <w:pPr>
        <w:ind w:left="1800" w:hanging="360"/>
      </w:pPr>
    </w:lvl>
  </w:abstractNum>
  <w:abstractNum w:abstractNumId="12">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13">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14">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16">
    <w:nsid w:val="6F433B24"/>
    <w:multiLevelType w:val="hybridMultilevel"/>
    <w:tmpl w:val="AD1A2EDE"/>
    <w:lvl w:ilvl="0" w:tplc="4152636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3013DB5"/>
    <w:multiLevelType w:val="hybridMultilevel"/>
    <w:tmpl w:val="82929552"/>
    <w:lvl w:ilvl="0" w:tplc="3D8CB4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6641E31"/>
    <w:multiLevelType w:val="hybridMultilevel"/>
    <w:tmpl w:val="C3A406CE"/>
    <w:lvl w:ilvl="0" w:tplc="29E81BE6">
      <w:start w:val="6"/>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8465FC6"/>
    <w:multiLevelType w:val="hybridMultilevel"/>
    <w:tmpl w:val="97503EA2"/>
    <w:lvl w:ilvl="0" w:tplc="7124FE8A">
      <w:start w:val="6"/>
      <w:numFmt w:val="bullet"/>
      <w:lvlText w:val="-"/>
      <w:lvlJc w:val="left"/>
      <w:pPr>
        <w:tabs>
          <w:tab w:val="num" w:pos="1110"/>
        </w:tabs>
        <w:ind w:left="1110" w:hanging="75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0"/>
    <w:lvlOverride w:ilvl="0">
      <w:lvl w:ilvl="0">
        <w:start w:val="1"/>
        <w:numFmt w:val="bullet"/>
        <w:lvlText w:val="-"/>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5"/>
  </w:num>
  <w:num w:numId="6">
    <w:abstractNumId w:val="14"/>
  </w:num>
  <w:num w:numId="7">
    <w:abstractNumId w:val="5"/>
  </w:num>
  <w:num w:numId="8">
    <w:abstractNumId w:val="11"/>
  </w:num>
  <w:num w:numId="9">
    <w:abstractNumId w:val="9"/>
  </w:num>
  <w:num w:numId="10">
    <w:abstractNumId w:val="3"/>
  </w:num>
  <w:num w:numId="11">
    <w:abstractNumId w:val="13"/>
  </w:num>
  <w:num w:numId="12">
    <w:abstractNumId w:val="1"/>
  </w:num>
  <w:num w:numId="13">
    <w:abstractNumId w:val="10"/>
  </w:num>
  <w:num w:numId="14">
    <w:abstractNumId w:val="19"/>
  </w:num>
  <w:num w:numId="15">
    <w:abstractNumId w:val="4"/>
  </w:num>
  <w:num w:numId="16">
    <w:abstractNumId w:val="6"/>
  </w:num>
  <w:num w:numId="17">
    <w:abstractNumId w:val="16"/>
  </w:num>
  <w:num w:numId="18">
    <w:abstractNumId w:val="7"/>
  </w:num>
  <w:num w:numId="19">
    <w:abstractNumId w:val="17"/>
  </w:num>
  <w:num w:numId="20">
    <w:abstractNumId w:val="0"/>
    <w:lvlOverride w:ilvl="0">
      <w:lvl w:ilvl="0">
        <w:numFmt w:val="bullet"/>
        <w:lvlText w:val=""/>
        <w:legacy w:legacy="1" w:legacySpace="0" w:legacyIndent="360"/>
        <w:lvlJc w:val="left"/>
        <w:pPr>
          <w:ind w:left="0" w:firstLine="0"/>
        </w:pPr>
        <w:rPr>
          <w:rFonts w:ascii="Symbol" w:hAnsi="Symbol" w:hint="default"/>
        </w:rPr>
      </w:lvl>
    </w:lvlOverride>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NL" w:vendorID="9" w:dllVersion="512" w:checkStyle="1"/>
  <w:activeWritingStyle w:appName="MSWord" w:lang="en-US" w:vendorID="8" w:dllVersion="513" w:checkStyle="1"/>
  <w:activeWritingStyle w:appName="MSWord" w:lang="de-DE" w:vendorID="9" w:dllVersion="512" w:checkStyle="1"/>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it-IT" w:vendorID="3" w:dllVersion="512" w:checkStyle="1"/>
  <w:activeWritingStyle w:appName="MSWord" w:lang="fr-FR" w:vendorID="9"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stered" w:val="-1"/>
    <w:docVar w:name="Version" w:val="0"/>
  </w:docVars>
  <w:rsids>
    <w:rsidRoot w:val="00496809"/>
    <w:rsid w:val="000101D2"/>
    <w:rsid w:val="000125B7"/>
    <w:rsid w:val="00013910"/>
    <w:rsid w:val="00025921"/>
    <w:rsid w:val="00031D1A"/>
    <w:rsid w:val="00036CD0"/>
    <w:rsid w:val="000403BC"/>
    <w:rsid w:val="000404A6"/>
    <w:rsid w:val="00041E7F"/>
    <w:rsid w:val="00056716"/>
    <w:rsid w:val="00062EB8"/>
    <w:rsid w:val="00080B02"/>
    <w:rsid w:val="0009263E"/>
    <w:rsid w:val="000B46B3"/>
    <w:rsid w:val="000D3F2B"/>
    <w:rsid w:val="000F3AE1"/>
    <w:rsid w:val="000F501B"/>
    <w:rsid w:val="0010327A"/>
    <w:rsid w:val="00104BF9"/>
    <w:rsid w:val="001056BE"/>
    <w:rsid w:val="00106529"/>
    <w:rsid w:val="00110DE4"/>
    <w:rsid w:val="001123C5"/>
    <w:rsid w:val="00125B4C"/>
    <w:rsid w:val="00154E4A"/>
    <w:rsid w:val="001570FB"/>
    <w:rsid w:val="0018145D"/>
    <w:rsid w:val="00190595"/>
    <w:rsid w:val="00195F86"/>
    <w:rsid w:val="001B478F"/>
    <w:rsid w:val="001B509E"/>
    <w:rsid w:val="001C35DF"/>
    <w:rsid w:val="001E4531"/>
    <w:rsid w:val="0020266D"/>
    <w:rsid w:val="00211F3E"/>
    <w:rsid w:val="0021612F"/>
    <w:rsid w:val="0023054A"/>
    <w:rsid w:val="002443A1"/>
    <w:rsid w:val="00244A39"/>
    <w:rsid w:val="00257735"/>
    <w:rsid w:val="00271694"/>
    <w:rsid w:val="002771E2"/>
    <w:rsid w:val="002916E3"/>
    <w:rsid w:val="002A062D"/>
    <w:rsid w:val="002A5831"/>
    <w:rsid w:val="002C0F97"/>
    <w:rsid w:val="002C7789"/>
    <w:rsid w:val="002D4D99"/>
    <w:rsid w:val="002F56D1"/>
    <w:rsid w:val="00315025"/>
    <w:rsid w:val="00324961"/>
    <w:rsid w:val="003521A1"/>
    <w:rsid w:val="003732AD"/>
    <w:rsid w:val="00374D40"/>
    <w:rsid w:val="003808CD"/>
    <w:rsid w:val="003A27AE"/>
    <w:rsid w:val="003A4C45"/>
    <w:rsid w:val="003B4BF5"/>
    <w:rsid w:val="003C0467"/>
    <w:rsid w:val="003C2892"/>
    <w:rsid w:val="003C7620"/>
    <w:rsid w:val="003D725B"/>
    <w:rsid w:val="003E21C2"/>
    <w:rsid w:val="003F7235"/>
    <w:rsid w:val="004121BE"/>
    <w:rsid w:val="00416EC1"/>
    <w:rsid w:val="00423B7D"/>
    <w:rsid w:val="0045257F"/>
    <w:rsid w:val="00464262"/>
    <w:rsid w:val="0047347A"/>
    <w:rsid w:val="00474A45"/>
    <w:rsid w:val="004843F1"/>
    <w:rsid w:val="00485503"/>
    <w:rsid w:val="00496809"/>
    <w:rsid w:val="004A4CFC"/>
    <w:rsid w:val="004B22CF"/>
    <w:rsid w:val="004B5457"/>
    <w:rsid w:val="004C6D3B"/>
    <w:rsid w:val="004D6F7C"/>
    <w:rsid w:val="004F4790"/>
    <w:rsid w:val="004F4B10"/>
    <w:rsid w:val="005042EE"/>
    <w:rsid w:val="00532084"/>
    <w:rsid w:val="005414C1"/>
    <w:rsid w:val="00542F6D"/>
    <w:rsid w:val="00544D4B"/>
    <w:rsid w:val="00566F6B"/>
    <w:rsid w:val="00584FDA"/>
    <w:rsid w:val="0058520A"/>
    <w:rsid w:val="00585BE2"/>
    <w:rsid w:val="00591468"/>
    <w:rsid w:val="005C5540"/>
    <w:rsid w:val="005D5488"/>
    <w:rsid w:val="005E2B7F"/>
    <w:rsid w:val="005F724C"/>
    <w:rsid w:val="00602C70"/>
    <w:rsid w:val="00650705"/>
    <w:rsid w:val="006920E0"/>
    <w:rsid w:val="00693752"/>
    <w:rsid w:val="006A4F76"/>
    <w:rsid w:val="006A7944"/>
    <w:rsid w:val="006B55A2"/>
    <w:rsid w:val="006B5929"/>
    <w:rsid w:val="006D3646"/>
    <w:rsid w:val="006E2F26"/>
    <w:rsid w:val="006F166F"/>
    <w:rsid w:val="00714C8C"/>
    <w:rsid w:val="00720187"/>
    <w:rsid w:val="007320E3"/>
    <w:rsid w:val="00743553"/>
    <w:rsid w:val="00760316"/>
    <w:rsid w:val="0076194A"/>
    <w:rsid w:val="00776724"/>
    <w:rsid w:val="00780FEC"/>
    <w:rsid w:val="00786D07"/>
    <w:rsid w:val="00790B66"/>
    <w:rsid w:val="007A0F93"/>
    <w:rsid w:val="007A4F97"/>
    <w:rsid w:val="007A6584"/>
    <w:rsid w:val="007A7B79"/>
    <w:rsid w:val="007B48AE"/>
    <w:rsid w:val="007C4E35"/>
    <w:rsid w:val="007C59B2"/>
    <w:rsid w:val="007D3462"/>
    <w:rsid w:val="007F0DD3"/>
    <w:rsid w:val="00803C43"/>
    <w:rsid w:val="00830520"/>
    <w:rsid w:val="0084400C"/>
    <w:rsid w:val="00844F56"/>
    <w:rsid w:val="00861159"/>
    <w:rsid w:val="008777F0"/>
    <w:rsid w:val="008A5F71"/>
    <w:rsid w:val="008C3686"/>
    <w:rsid w:val="008C6E2B"/>
    <w:rsid w:val="008D4C58"/>
    <w:rsid w:val="008D77F3"/>
    <w:rsid w:val="008E2A05"/>
    <w:rsid w:val="008E5F81"/>
    <w:rsid w:val="008F33D5"/>
    <w:rsid w:val="00901575"/>
    <w:rsid w:val="00902AB8"/>
    <w:rsid w:val="00920548"/>
    <w:rsid w:val="009254F5"/>
    <w:rsid w:val="00931253"/>
    <w:rsid w:val="0097462F"/>
    <w:rsid w:val="00985D1B"/>
    <w:rsid w:val="00987707"/>
    <w:rsid w:val="0099008B"/>
    <w:rsid w:val="00995A43"/>
    <w:rsid w:val="009A5015"/>
    <w:rsid w:val="009C181C"/>
    <w:rsid w:val="009C1B4C"/>
    <w:rsid w:val="009C3CFC"/>
    <w:rsid w:val="009E24DF"/>
    <w:rsid w:val="009E308C"/>
    <w:rsid w:val="009E3E1C"/>
    <w:rsid w:val="009E7EBA"/>
    <w:rsid w:val="009F3AFA"/>
    <w:rsid w:val="009F438D"/>
    <w:rsid w:val="009F60F4"/>
    <w:rsid w:val="00A056A7"/>
    <w:rsid w:val="00A40F56"/>
    <w:rsid w:val="00A45E23"/>
    <w:rsid w:val="00A50ADF"/>
    <w:rsid w:val="00A641E6"/>
    <w:rsid w:val="00A712E2"/>
    <w:rsid w:val="00A73605"/>
    <w:rsid w:val="00A86CD8"/>
    <w:rsid w:val="00AB1D2B"/>
    <w:rsid w:val="00AC0531"/>
    <w:rsid w:val="00AF310E"/>
    <w:rsid w:val="00AF56E9"/>
    <w:rsid w:val="00B1517B"/>
    <w:rsid w:val="00B222E7"/>
    <w:rsid w:val="00B311F3"/>
    <w:rsid w:val="00B325EA"/>
    <w:rsid w:val="00B51432"/>
    <w:rsid w:val="00B549A0"/>
    <w:rsid w:val="00B73BB9"/>
    <w:rsid w:val="00B80BEC"/>
    <w:rsid w:val="00B84E28"/>
    <w:rsid w:val="00BB3C2A"/>
    <w:rsid w:val="00BB3DA5"/>
    <w:rsid w:val="00BD3CEF"/>
    <w:rsid w:val="00BD3F11"/>
    <w:rsid w:val="00BD41E6"/>
    <w:rsid w:val="00BE3B8B"/>
    <w:rsid w:val="00C07410"/>
    <w:rsid w:val="00C123BB"/>
    <w:rsid w:val="00C573C6"/>
    <w:rsid w:val="00C627F4"/>
    <w:rsid w:val="00C7253D"/>
    <w:rsid w:val="00C8175C"/>
    <w:rsid w:val="00C825C6"/>
    <w:rsid w:val="00C95834"/>
    <w:rsid w:val="00CB525C"/>
    <w:rsid w:val="00CC7F3D"/>
    <w:rsid w:val="00CD0093"/>
    <w:rsid w:val="00CD1AC3"/>
    <w:rsid w:val="00CD4993"/>
    <w:rsid w:val="00CE3701"/>
    <w:rsid w:val="00CF37E3"/>
    <w:rsid w:val="00CF3A90"/>
    <w:rsid w:val="00CF5BFD"/>
    <w:rsid w:val="00D01716"/>
    <w:rsid w:val="00D238B5"/>
    <w:rsid w:val="00D373E8"/>
    <w:rsid w:val="00D453FD"/>
    <w:rsid w:val="00D45BDD"/>
    <w:rsid w:val="00D5236F"/>
    <w:rsid w:val="00D526FB"/>
    <w:rsid w:val="00D56E07"/>
    <w:rsid w:val="00D57B2C"/>
    <w:rsid w:val="00D62725"/>
    <w:rsid w:val="00D64BE0"/>
    <w:rsid w:val="00D74D2B"/>
    <w:rsid w:val="00D92B6C"/>
    <w:rsid w:val="00D93C90"/>
    <w:rsid w:val="00DA3506"/>
    <w:rsid w:val="00DB50B7"/>
    <w:rsid w:val="00DC43EE"/>
    <w:rsid w:val="00DC775D"/>
    <w:rsid w:val="00DF0779"/>
    <w:rsid w:val="00DF3812"/>
    <w:rsid w:val="00DF3BFB"/>
    <w:rsid w:val="00DF6342"/>
    <w:rsid w:val="00E063C9"/>
    <w:rsid w:val="00E124D6"/>
    <w:rsid w:val="00E22EB4"/>
    <w:rsid w:val="00E24E34"/>
    <w:rsid w:val="00E311DD"/>
    <w:rsid w:val="00E31307"/>
    <w:rsid w:val="00E46BDA"/>
    <w:rsid w:val="00E477EE"/>
    <w:rsid w:val="00E57FD5"/>
    <w:rsid w:val="00E6178C"/>
    <w:rsid w:val="00E6414F"/>
    <w:rsid w:val="00E66EE7"/>
    <w:rsid w:val="00E748F4"/>
    <w:rsid w:val="00E83E9E"/>
    <w:rsid w:val="00E86135"/>
    <w:rsid w:val="00E8618B"/>
    <w:rsid w:val="00EA3A94"/>
    <w:rsid w:val="00EA60C0"/>
    <w:rsid w:val="00EB0BF8"/>
    <w:rsid w:val="00ED6457"/>
    <w:rsid w:val="00EE3A79"/>
    <w:rsid w:val="00F02D6C"/>
    <w:rsid w:val="00F03C3E"/>
    <w:rsid w:val="00F0739E"/>
    <w:rsid w:val="00F17452"/>
    <w:rsid w:val="00F20F9F"/>
    <w:rsid w:val="00F21029"/>
    <w:rsid w:val="00F2372E"/>
    <w:rsid w:val="00F27403"/>
    <w:rsid w:val="00F34995"/>
    <w:rsid w:val="00F35723"/>
    <w:rsid w:val="00F45BD1"/>
    <w:rsid w:val="00F57B4C"/>
    <w:rsid w:val="00F63E86"/>
    <w:rsid w:val="00F672C2"/>
    <w:rsid w:val="00F716ED"/>
    <w:rsid w:val="00F86F14"/>
    <w:rsid w:val="00F90E42"/>
    <w:rsid w:val="00F94F48"/>
    <w:rsid w:val="00FA06D0"/>
    <w:rsid w:val="00FA097C"/>
    <w:rsid w:val="00FB48AC"/>
    <w:rsid w:val="00FE4C5C"/>
    <w:rsid w:val="00FE5B0A"/>
    <w:rsid w:val="00FF4ED1"/>
    <w:rsid w:val="00FF4EE7"/>
    <w:rsid w:val="00FF7B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77F3"/>
    <w:pPr>
      <w:widowControl w:val="0"/>
    </w:pPr>
    <w:rPr>
      <w:sz w:val="22"/>
      <w:lang w:eastAsia="en-US"/>
    </w:rPr>
  </w:style>
  <w:style w:type="paragraph" w:styleId="1">
    <w:name w:val="heading 1"/>
    <w:basedOn w:val="a"/>
    <w:next w:val="a"/>
    <w:qFormat/>
    <w:pPr>
      <w:keepNext/>
      <w:jc w:val="center"/>
      <w:outlineLvl w:val="0"/>
    </w:pPr>
    <w:rPr>
      <w:b/>
    </w:rPr>
  </w:style>
  <w:style w:type="paragraph" w:styleId="2">
    <w:name w:val="heading 2"/>
    <w:basedOn w:val="a"/>
    <w:next w:val="a"/>
    <w:qFormat/>
    <w:pPr>
      <w:keepNext/>
      <w:outlineLvl w:val="1"/>
    </w:pPr>
    <w:rPr>
      <w:b/>
    </w:rPr>
  </w:style>
  <w:style w:type="paragraph" w:styleId="6">
    <w:name w:val="heading 6"/>
    <w:basedOn w:val="a"/>
    <w:next w:val="a"/>
    <w:qFormat/>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character" w:styleId="-">
    <w:name w:val="Hyperlink"/>
    <w:uiPriority w:val="99"/>
    <w:rPr>
      <w:color w:val="0000FF"/>
      <w:u w:val="single"/>
    </w:rPr>
  </w:style>
  <w:style w:type="paragraph" w:styleId="a6">
    <w:name w:val="Body Text"/>
    <w:basedOn w:val="a"/>
    <w:pPr>
      <w:jc w:val="center"/>
    </w:pPr>
  </w:style>
  <w:style w:type="paragraph" w:styleId="20">
    <w:name w:val="Body Text 2"/>
    <w:basedOn w:val="a"/>
    <w:rPr>
      <w:color w:val="FF0000"/>
    </w:rPr>
  </w:style>
  <w:style w:type="paragraph" w:customStyle="1" w:styleId="EMEAEnBodyText">
    <w:name w:val="EMEA En Body Text"/>
    <w:basedOn w:val="a"/>
    <w:pPr>
      <w:widowControl/>
      <w:spacing w:before="120" w:after="120"/>
      <w:jc w:val="both"/>
    </w:pPr>
    <w:rPr>
      <w:lang w:val="en-US"/>
    </w:rPr>
  </w:style>
  <w:style w:type="paragraph" w:styleId="a7">
    <w:name w:val="Balloon Text"/>
    <w:basedOn w:val="a"/>
    <w:semiHidden/>
    <w:rPr>
      <w:rFonts w:ascii="Tahoma" w:hAnsi="Tahoma" w:cs="Tahoma"/>
      <w:sz w:val="16"/>
      <w:szCs w:val="16"/>
    </w:rPr>
  </w:style>
  <w:style w:type="character" w:styleId="-0">
    <w:name w:val="FollowedHyperlink"/>
    <w:rsid w:val="00056716"/>
    <w:rPr>
      <w:color w:val="800080"/>
      <w:u w:val="single"/>
    </w:rPr>
  </w:style>
  <w:style w:type="paragraph" w:customStyle="1" w:styleId="10">
    <w:name w:val="Αναθεώρηση1"/>
    <w:hidden/>
    <w:uiPriority w:val="99"/>
    <w:semiHidden/>
    <w:rsid w:val="003A4C45"/>
    <w:rPr>
      <w:sz w:val="22"/>
      <w:lang w:eastAsia="en-US"/>
    </w:rPr>
  </w:style>
  <w:style w:type="character" w:styleId="a8">
    <w:name w:val="annotation reference"/>
    <w:rsid w:val="003A4C45"/>
    <w:rPr>
      <w:sz w:val="16"/>
      <w:szCs w:val="16"/>
    </w:rPr>
  </w:style>
  <w:style w:type="paragraph" w:styleId="a9">
    <w:name w:val="annotation text"/>
    <w:basedOn w:val="a"/>
    <w:link w:val="Char0"/>
    <w:rsid w:val="003A4C45"/>
    <w:rPr>
      <w:sz w:val="20"/>
    </w:rPr>
  </w:style>
  <w:style w:type="character" w:customStyle="1" w:styleId="Char0">
    <w:name w:val="Κείμενο σχολίου Char"/>
    <w:link w:val="a9"/>
    <w:rsid w:val="003A4C45"/>
    <w:rPr>
      <w:lang w:eastAsia="en-US"/>
    </w:rPr>
  </w:style>
  <w:style w:type="paragraph" w:styleId="aa">
    <w:name w:val="annotation subject"/>
    <w:basedOn w:val="a9"/>
    <w:next w:val="a9"/>
    <w:link w:val="Char1"/>
    <w:rsid w:val="003A4C45"/>
    <w:rPr>
      <w:b/>
      <w:bCs/>
    </w:rPr>
  </w:style>
  <w:style w:type="character" w:customStyle="1" w:styleId="Char1">
    <w:name w:val="Θέμα σχολίου Char"/>
    <w:link w:val="aa"/>
    <w:rsid w:val="003A4C45"/>
    <w:rPr>
      <w:b/>
      <w:bCs/>
      <w:lang w:eastAsia="en-US"/>
    </w:rPr>
  </w:style>
  <w:style w:type="character" w:customStyle="1" w:styleId="Char">
    <w:name w:val="Κεφαλίδα Char"/>
    <w:link w:val="a3"/>
    <w:rsid w:val="00257735"/>
    <w:rPr>
      <w:sz w:val="22"/>
      <w:lang w:eastAsia="en-US"/>
    </w:rPr>
  </w:style>
  <w:style w:type="paragraph" w:styleId="21">
    <w:name w:val="Body Text Indent 2"/>
    <w:basedOn w:val="a"/>
    <w:link w:val="2Char"/>
    <w:rsid w:val="00F90E42"/>
    <w:pPr>
      <w:spacing w:after="120" w:line="480" w:lineRule="auto"/>
      <w:ind w:left="283"/>
    </w:pPr>
  </w:style>
  <w:style w:type="character" w:customStyle="1" w:styleId="2Char">
    <w:name w:val="Σώμα κείμενου με εσοχή 2 Char"/>
    <w:link w:val="21"/>
    <w:rsid w:val="00F90E42"/>
    <w:rPr>
      <w:sz w:val="22"/>
      <w:lang w:eastAsia="en-US"/>
    </w:rPr>
  </w:style>
  <w:style w:type="paragraph" w:styleId="3">
    <w:name w:val="Body Text Indent 3"/>
    <w:basedOn w:val="a"/>
    <w:link w:val="3Char"/>
    <w:rsid w:val="00F90E42"/>
    <w:pPr>
      <w:spacing w:after="120"/>
      <w:ind w:left="283"/>
    </w:pPr>
    <w:rPr>
      <w:sz w:val="16"/>
      <w:szCs w:val="16"/>
    </w:rPr>
  </w:style>
  <w:style w:type="character" w:customStyle="1" w:styleId="3Char">
    <w:name w:val="Σώμα κείμενου με εσοχή 3 Char"/>
    <w:link w:val="3"/>
    <w:rsid w:val="00F90E42"/>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77F3"/>
    <w:pPr>
      <w:widowControl w:val="0"/>
    </w:pPr>
    <w:rPr>
      <w:sz w:val="22"/>
      <w:lang w:eastAsia="en-US"/>
    </w:rPr>
  </w:style>
  <w:style w:type="paragraph" w:styleId="1">
    <w:name w:val="heading 1"/>
    <w:basedOn w:val="a"/>
    <w:next w:val="a"/>
    <w:qFormat/>
    <w:pPr>
      <w:keepNext/>
      <w:jc w:val="center"/>
      <w:outlineLvl w:val="0"/>
    </w:pPr>
    <w:rPr>
      <w:b/>
    </w:rPr>
  </w:style>
  <w:style w:type="paragraph" w:styleId="2">
    <w:name w:val="heading 2"/>
    <w:basedOn w:val="a"/>
    <w:next w:val="a"/>
    <w:qFormat/>
    <w:pPr>
      <w:keepNext/>
      <w:outlineLvl w:val="1"/>
    </w:pPr>
    <w:rPr>
      <w:b/>
    </w:rPr>
  </w:style>
  <w:style w:type="paragraph" w:styleId="6">
    <w:name w:val="heading 6"/>
    <w:basedOn w:val="a"/>
    <w:next w:val="a"/>
    <w:qFormat/>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character" w:styleId="-">
    <w:name w:val="Hyperlink"/>
    <w:uiPriority w:val="99"/>
    <w:rPr>
      <w:color w:val="0000FF"/>
      <w:u w:val="single"/>
    </w:rPr>
  </w:style>
  <w:style w:type="paragraph" w:styleId="a6">
    <w:name w:val="Body Text"/>
    <w:basedOn w:val="a"/>
    <w:pPr>
      <w:jc w:val="center"/>
    </w:pPr>
  </w:style>
  <w:style w:type="paragraph" w:styleId="20">
    <w:name w:val="Body Text 2"/>
    <w:basedOn w:val="a"/>
    <w:rPr>
      <w:color w:val="FF0000"/>
    </w:rPr>
  </w:style>
  <w:style w:type="paragraph" w:customStyle="1" w:styleId="EMEAEnBodyText">
    <w:name w:val="EMEA En Body Text"/>
    <w:basedOn w:val="a"/>
    <w:pPr>
      <w:widowControl/>
      <w:spacing w:before="120" w:after="120"/>
      <w:jc w:val="both"/>
    </w:pPr>
    <w:rPr>
      <w:lang w:val="en-US"/>
    </w:rPr>
  </w:style>
  <w:style w:type="paragraph" w:styleId="a7">
    <w:name w:val="Balloon Text"/>
    <w:basedOn w:val="a"/>
    <w:semiHidden/>
    <w:rPr>
      <w:rFonts w:ascii="Tahoma" w:hAnsi="Tahoma" w:cs="Tahoma"/>
      <w:sz w:val="16"/>
      <w:szCs w:val="16"/>
    </w:rPr>
  </w:style>
  <w:style w:type="character" w:styleId="-0">
    <w:name w:val="FollowedHyperlink"/>
    <w:rsid w:val="00056716"/>
    <w:rPr>
      <w:color w:val="800080"/>
      <w:u w:val="single"/>
    </w:rPr>
  </w:style>
  <w:style w:type="paragraph" w:customStyle="1" w:styleId="10">
    <w:name w:val="Αναθεώρηση1"/>
    <w:hidden/>
    <w:uiPriority w:val="99"/>
    <w:semiHidden/>
    <w:rsid w:val="003A4C45"/>
    <w:rPr>
      <w:sz w:val="22"/>
      <w:lang w:eastAsia="en-US"/>
    </w:rPr>
  </w:style>
  <w:style w:type="character" w:styleId="a8">
    <w:name w:val="annotation reference"/>
    <w:rsid w:val="003A4C45"/>
    <w:rPr>
      <w:sz w:val="16"/>
      <w:szCs w:val="16"/>
    </w:rPr>
  </w:style>
  <w:style w:type="paragraph" w:styleId="a9">
    <w:name w:val="annotation text"/>
    <w:basedOn w:val="a"/>
    <w:link w:val="Char0"/>
    <w:rsid w:val="003A4C45"/>
    <w:rPr>
      <w:sz w:val="20"/>
    </w:rPr>
  </w:style>
  <w:style w:type="character" w:customStyle="1" w:styleId="Char0">
    <w:name w:val="Κείμενο σχολίου Char"/>
    <w:link w:val="a9"/>
    <w:rsid w:val="003A4C45"/>
    <w:rPr>
      <w:lang w:eastAsia="en-US"/>
    </w:rPr>
  </w:style>
  <w:style w:type="paragraph" w:styleId="aa">
    <w:name w:val="annotation subject"/>
    <w:basedOn w:val="a9"/>
    <w:next w:val="a9"/>
    <w:link w:val="Char1"/>
    <w:rsid w:val="003A4C45"/>
    <w:rPr>
      <w:b/>
      <w:bCs/>
    </w:rPr>
  </w:style>
  <w:style w:type="character" w:customStyle="1" w:styleId="Char1">
    <w:name w:val="Θέμα σχολίου Char"/>
    <w:link w:val="aa"/>
    <w:rsid w:val="003A4C45"/>
    <w:rPr>
      <w:b/>
      <w:bCs/>
      <w:lang w:eastAsia="en-US"/>
    </w:rPr>
  </w:style>
  <w:style w:type="character" w:customStyle="1" w:styleId="Char">
    <w:name w:val="Κεφαλίδα Char"/>
    <w:link w:val="a3"/>
    <w:rsid w:val="00257735"/>
    <w:rPr>
      <w:sz w:val="22"/>
      <w:lang w:eastAsia="en-US"/>
    </w:rPr>
  </w:style>
  <w:style w:type="paragraph" w:styleId="21">
    <w:name w:val="Body Text Indent 2"/>
    <w:basedOn w:val="a"/>
    <w:link w:val="2Char"/>
    <w:rsid w:val="00F90E42"/>
    <w:pPr>
      <w:spacing w:after="120" w:line="480" w:lineRule="auto"/>
      <w:ind w:left="283"/>
    </w:pPr>
  </w:style>
  <w:style w:type="character" w:customStyle="1" w:styleId="2Char">
    <w:name w:val="Σώμα κείμενου με εσοχή 2 Char"/>
    <w:link w:val="21"/>
    <w:rsid w:val="00F90E42"/>
    <w:rPr>
      <w:sz w:val="22"/>
      <w:lang w:eastAsia="en-US"/>
    </w:rPr>
  </w:style>
  <w:style w:type="paragraph" w:styleId="3">
    <w:name w:val="Body Text Indent 3"/>
    <w:basedOn w:val="a"/>
    <w:link w:val="3Char"/>
    <w:rsid w:val="00F90E42"/>
    <w:pPr>
      <w:spacing w:after="120"/>
      <w:ind w:left="283"/>
    </w:pPr>
    <w:rPr>
      <w:sz w:val="16"/>
      <w:szCs w:val="16"/>
    </w:rPr>
  </w:style>
  <w:style w:type="character" w:customStyle="1" w:styleId="3Char">
    <w:name w:val="Σώμα κείμενου με εσοχή 3 Char"/>
    <w:link w:val="3"/>
    <w:rsid w:val="00F90E42"/>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0645">
      <w:bodyDiv w:val="1"/>
      <w:marLeft w:val="0"/>
      <w:marRight w:val="0"/>
      <w:marTop w:val="0"/>
      <w:marBottom w:val="0"/>
      <w:divBdr>
        <w:top w:val="none" w:sz="0" w:space="0" w:color="auto"/>
        <w:left w:val="none" w:sz="0" w:space="0" w:color="auto"/>
        <w:bottom w:val="none" w:sz="0" w:space="0" w:color="auto"/>
        <w:right w:val="none" w:sz="0" w:space="0" w:color="auto"/>
      </w:divBdr>
    </w:div>
    <w:div w:id="48960321">
      <w:bodyDiv w:val="1"/>
      <w:marLeft w:val="0"/>
      <w:marRight w:val="0"/>
      <w:marTop w:val="0"/>
      <w:marBottom w:val="0"/>
      <w:divBdr>
        <w:top w:val="none" w:sz="0" w:space="0" w:color="auto"/>
        <w:left w:val="none" w:sz="0" w:space="0" w:color="auto"/>
        <w:bottom w:val="none" w:sz="0" w:space="0" w:color="auto"/>
        <w:right w:val="none" w:sz="0" w:space="0" w:color="auto"/>
      </w:divBdr>
    </w:div>
    <w:div w:id="144394187">
      <w:bodyDiv w:val="1"/>
      <w:marLeft w:val="0"/>
      <w:marRight w:val="0"/>
      <w:marTop w:val="0"/>
      <w:marBottom w:val="0"/>
      <w:divBdr>
        <w:top w:val="none" w:sz="0" w:space="0" w:color="auto"/>
        <w:left w:val="none" w:sz="0" w:space="0" w:color="auto"/>
        <w:bottom w:val="none" w:sz="0" w:space="0" w:color="auto"/>
        <w:right w:val="none" w:sz="0" w:space="0" w:color="auto"/>
      </w:divBdr>
    </w:div>
    <w:div w:id="211116099">
      <w:bodyDiv w:val="1"/>
      <w:marLeft w:val="0"/>
      <w:marRight w:val="0"/>
      <w:marTop w:val="0"/>
      <w:marBottom w:val="0"/>
      <w:divBdr>
        <w:top w:val="none" w:sz="0" w:space="0" w:color="auto"/>
        <w:left w:val="none" w:sz="0" w:space="0" w:color="auto"/>
        <w:bottom w:val="none" w:sz="0" w:space="0" w:color="auto"/>
        <w:right w:val="none" w:sz="0" w:space="0" w:color="auto"/>
      </w:divBdr>
    </w:div>
    <w:div w:id="374237150">
      <w:bodyDiv w:val="1"/>
      <w:marLeft w:val="0"/>
      <w:marRight w:val="0"/>
      <w:marTop w:val="0"/>
      <w:marBottom w:val="0"/>
      <w:divBdr>
        <w:top w:val="none" w:sz="0" w:space="0" w:color="auto"/>
        <w:left w:val="none" w:sz="0" w:space="0" w:color="auto"/>
        <w:bottom w:val="none" w:sz="0" w:space="0" w:color="auto"/>
        <w:right w:val="none" w:sz="0" w:space="0" w:color="auto"/>
      </w:divBdr>
    </w:div>
    <w:div w:id="395930885">
      <w:bodyDiv w:val="1"/>
      <w:marLeft w:val="0"/>
      <w:marRight w:val="0"/>
      <w:marTop w:val="0"/>
      <w:marBottom w:val="0"/>
      <w:divBdr>
        <w:top w:val="none" w:sz="0" w:space="0" w:color="auto"/>
        <w:left w:val="none" w:sz="0" w:space="0" w:color="auto"/>
        <w:bottom w:val="none" w:sz="0" w:space="0" w:color="auto"/>
        <w:right w:val="none" w:sz="0" w:space="0" w:color="auto"/>
      </w:divBdr>
    </w:div>
    <w:div w:id="457453352">
      <w:bodyDiv w:val="1"/>
      <w:marLeft w:val="0"/>
      <w:marRight w:val="0"/>
      <w:marTop w:val="0"/>
      <w:marBottom w:val="0"/>
      <w:divBdr>
        <w:top w:val="none" w:sz="0" w:space="0" w:color="auto"/>
        <w:left w:val="none" w:sz="0" w:space="0" w:color="auto"/>
        <w:bottom w:val="none" w:sz="0" w:space="0" w:color="auto"/>
        <w:right w:val="none" w:sz="0" w:space="0" w:color="auto"/>
      </w:divBdr>
    </w:div>
    <w:div w:id="564875009">
      <w:bodyDiv w:val="1"/>
      <w:marLeft w:val="0"/>
      <w:marRight w:val="0"/>
      <w:marTop w:val="0"/>
      <w:marBottom w:val="0"/>
      <w:divBdr>
        <w:top w:val="none" w:sz="0" w:space="0" w:color="auto"/>
        <w:left w:val="none" w:sz="0" w:space="0" w:color="auto"/>
        <w:bottom w:val="none" w:sz="0" w:space="0" w:color="auto"/>
        <w:right w:val="none" w:sz="0" w:space="0" w:color="auto"/>
      </w:divBdr>
    </w:div>
    <w:div w:id="579101165">
      <w:bodyDiv w:val="1"/>
      <w:marLeft w:val="0"/>
      <w:marRight w:val="0"/>
      <w:marTop w:val="0"/>
      <w:marBottom w:val="0"/>
      <w:divBdr>
        <w:top w:val="none" w:sz="0" w:space="0" w:color="auto"/>
        <w:left w:val="none" w:sz="0" w:space="0" w:color="auto"/>
        <w:bottom w:val="none" w:sz="0" w:space="0" w:color="auto"/>
        <w:right w:val="none" w:sz="0" w:space="0" w:color="auto"/>
      </w:divBdr>
    </w:div>
    <w:div w:id="742337028">
      <w:bodyDiv w:val="1"/>
      <w:marLeft w:val="0"/>
      <w:marRight w:val="0"/>
      <w:marTop w:val="0"/>
      <w:marBottom w:val="0"/>
      <w:divBdr>
        <w:top w:val="none" w:sz="0" w:space="0" w:color="auto"/>
        <w:left w:val="none" w:sz="0" w:space="0" w:color="auto"/>
        <w:bottom w:val="none" w:sz="0" w:space="0" w:color="auto"/>
        <w:right w:val="none" w:sz="0" w:space="0" w:color="auto"/>
      </w:divBdr>
    </w:div>
    <w:div w:id="742486723">
      <w:bodyDiv w:val="1"/>
      <w:marLeft w:val="0"/>
      <w:marRight w:val="0"/>
      <w:marTop w:val="0"/>
      <w:marBottom w:val="0"/>
      <w:divBdr>
        <w:top w:val="none" w:sz="0" w:space="0" w:color="auto"/>
        <w:left w:val="none" w:sz="0" w:space="0" w:color="auto"/>
        <w:bottom w:val="none" w:sz="0" w:space="0" w:color="auto"/>
        <w:right w:val="none" w:sz="0" w:space="0" w:color="auto"/>
      </w:divBdr>
    </w:div>
    <w:div w:id="958486850">
      <w:bodyDiv w:val="1"/>
      <w:marLeft w:val="0"/>
      <w:marRight w:val="0"/>
      <w:marTop w:val="0"/>
      <w:marBottom w:val="0"/>
      <w:divBdr>
        <w:top w:val="none" w:sz="0" w:space="0" w:color="auto"/>
        <w:left w:val="none" w:sz="0" w:space="0" w:color="auto"/>
        <w:bottom w:val="none" w:sz="0" w:space="0" w:color="auto"/>
        <w:right w:val="none" w:sz="0" w:space="0" w:color="auto"/>
      </w:divBdr>
    </w:div>
    <w:div w:id="966081233">
      <w:bodyDiv w:val="1"/>
      <w:marLeft w:val="0"/>
      <w:marRight w:val="0"/>
      <w:marTop w:val="0"/>
      <w:marBottom w:val="0"/>
      <w:divBdr>
        <w:top w:val="none" w:sz="0" w:space="0" w:color="auto"/>
        <w:left w:val="none" w:sz="0" w:space="0" w:color="auto"/>
        <w:bottom w:val="none" w:sz="0" w:space="0" w:color="auto"/>
        <w:right w:val="none" w:sz="0" w:space="0" w:color="auto"/>
      </w:divBdr>
    </w:div>
    <w:div w:id="1067192499">
      <w:bodyDiv w:val="1"/>
      <w:marLeft w:val="0"/>
      <w:marRight w:val="0"/>
      <w:marTop w:val="0"/>
      <w:marBottom w:val="0"/>
      <w:divBdr>
        <w:top w:val="none" w:sz="0" w:space="0" w:color="auto"/>
        <w:left w:val="none" w:sz="0" w:space="0" w:color="auto"/>
        <w:bottom w:val="none" w:sz="0" w:space="0" w:color="auto"/>
        <w:right w:val="none" w:sz="0" w:space="0" w:color="auto"/>
      </w:divBdr>
    </w:div>
    <w:div w:id="1191991605">
      <w:bodyDiv w:val="1"/>
      <w:marLeft w:val="0"/>
      <w:marRight w:val="0"/>
      <w:marTop w:val="0"/>
      <w:marBottom w:val="0"/>
      <w:divBdr>
        <w:top w:val="none" w:sz="0" w:space="0" w:color="auto"/>
        <w:left w:val="none" w:sz="0" w:space="0" w:color="auto"/>
        <w:bottom w:val="none" w:sz="0" w:space="0" w:color="auto"/>
        <w:right w:val="none" w:sz="0" w:space="0" w:color="auto"/>
      </w:divBdr>
    </w:div>
    <w:div w:id="1293173531">
      <w:bodyDiv w:val="1"/>
      <w:marLeft w:val="0"/>
      <w:marRight w:val="0"/>
      <w:marTop w:val="0"/>
      <w:marBottom w:val="0"/>
      <w:divBdr>
        <w:top w:val="none" w:sz="0" w:space="0" w:color="auto"/>
        <w:left w:val="none" w:sz="0" w:space="0" w:color="auto"/>
        <w:bottom w:val="none" w:sz="0" w:space="0" w:color="auto"/>
        <w:right w:val="none" w:sz="0" w:space="0" w:color="auto"/>
      </w:divBdr>
    </w:div>
    <w:div w:id="1438403720">
      <w:bodyDiv w:val="1"/>
      <w:marLeft w:val="0"/>
      <w:marRight w:val="0"/>
      <w:marTop w:val="0"/>
      <w:marBottom w:val="0"/>
      <w:divBdr>
        <w:top w:val="none" w:sz="0" w:space="0" w:color="auto"/>
        <w:left w:val="none" w:sz="0" w:space="0" w:color="auto"/>
        <w:bottom w:val="none" w:sz="0" w:space="0" w:color="auto"/>
        <w:right w:val="none" w:sz="0" w:space="0" w:color="auto"/>
      </w:divBdr>
    </w:div>
    <w:div w:id="1450734736">
      <w:bodyDiv w:val="1"/>
      <w:marLeft w:val="0"/>
      <w:marRight w:val="0"/>
      <w:marTop w:val="0"/>
      <w:marBottom w:val="0"/>
      <w:divBdr>
        <w:top w:val="none" w:sz="0" w:space="0" w:color="auto"/>
        <w:left w:val="none" w:sz="0" w:space="0" w:color="auto"/>
        <w:bottom w:val="none" w:sz="0" w:space="0" w:color="auto"/>
        <w:right w:val="none" w:sz="0" w:space="0" w:color="auto"/>
      </w:divBdr>
    </w:div>
    <w:div w:id="1610620235">
      <w:bodyDiv w:val="1"/>
      <w:marLeft w:val="0"/>
      <w:marRight w:val="0"/>
      <w:marTop w:val="0"/>
      <w:marBottom w:val="0"/>
      <w:divBdr>
        <w:top w:val="none" w:sz="0" w:space="0" w:color="auto"/>
        <w:left w:val="none" w:sz="0" w:space="0" w:color="auto"/>
        <w:bottom w:val="none" w:sz="0" w:space="0" w:color="auto"/>
        <w:right w:val="none" w:sz="0" w:space="0" w:color="auto"/>
      </w:divBdr>
    </w:div>
    <w:div w:id="1664627253">
      <w:bodyDiv w:val="1"/>
      <w:marLeft w:val="0"/>
      <w:marRight w:val="0"/>
      <w:marTop w:val="0"/>
      <w:marBottom w:val="0"/>
      <w:divBdr>
        <w:top w:val="none" w:sz="0" w:space="0" w:color="auto"/>
        <w:left w:val="none" w:sz="0" w:space="0" w:color="auto"/>
        <w:bottom w:val="none" w:sz="0" w:space="0" w:color="auto"/>
        <w:right w:val="none" w:sz="0" w:space="0" w:color="auto"/>
      </w:divBdr>
    </w:div>
    <w:div w:id="1795708719">
      <w:bodyDiv w:val="1"/>
      <w:marLeft w:val="0"/>
      <w:marRight w:val="0"/>
      <w:marTop w:val="0"/>
      <w:marBottom w:val="0"/>
      <w:divBdr>
        <w:top w:val="none" w:sz="0" w:space="0" w:color="auto"/>
        <w:left w:val="none" w:sz="0" w:space="0" w:color="auto"/>
        <w:bottom w:val="none" w:sz="0" w:space="0" w:color="auto"/>
        <w:right w:val="none" w:sz="0" w:space="0" w:color="auto"/>
      </w:divBdr>
    </w:div>
    <w:div w:id="1879051926">
      <w:bodyDiv w:val="1"/>
      <w:marLeft w:val="0"/>
      <w:marRight w:val="0"/>
      <w:marTop w:val="0"/>
      <w:marBottom w:val="0"/>
      <w:divBdr>
        <w:top w:val="none" w:sz="0" w:space="0" w:color="auto"/>
        <w:left w:val="none" w:sz="0" w:space="0" w:color="auto"/>
        <w:bottom w:val="none" w:sz="0" w:space="0" w:color="auto"/>
        <w:right w:val="none" w:sz="0" w:space="0" w:color="auto"/>
      </w:divBdr>
    </w:div>
    <w:div w:id="210075789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4754</Words>
  <Characters>25674</Characters>
  <Application>Microsoft Office Word</Application>
  <DocSecurity>0</DocSecurity>
  <Lines>213</Lines>
  <Paragraphs>60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Hreferralspccleanel</vt:lpstr>
      <vt:lpstr>Hreferralspccleanel</vt:lpstr>
    </vt:vector>
  </TitlesOfParts>
  <Company>EMEA</Company>
  <LinksUpToDate>false</LinksUpToDate>
  <CharactersWithSpaces>30368</CharactersWithSpaces>
  <SharedDoc>false</SharedDoc>
  <HLinks>
    <vt:vector size="6" baseType="variant">
      <vt:variant>
        <vt:i4>6291555</vt:i4>
      </vt:variant>
      <vt:variant>
        <vt:i4>0</vt:i4>
      </vt:variant>
      <vt:variant>
        <vt:i4>0</vt:i4>
      </vt:variant>
      <vt:variant>
        <vt:i4>5</vt:i4>
      </vt:variant>
      <vt:variant>
        <vt:lpwstr>http://www.eof.gr/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Hreferralspccleanel</dc:title>
  <dc:subject>General-EMA/53547/2010</dc:subject>
  <dc:creator>User196</dc:creator>
  <cp:lastModifiedBy>ΘΑΛΑΣΣΙΝΟΥ ΜΑΡΙΑ</cp:lastModifiedBy>
  <cp:revision>2</cp:revision>
  <cp:lastPrinted>2000-06-30T06:47:00Z</cp:lastPrinted>
  <dcterms:created xsi:type="dcterms:W3CDTF">2017-05-30T04:45:00Z</dcterms:created>
  <dcterms:modified xsi:type="dcterms:W3CDTF">2017-05-30T04:45:00Z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53547</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General-EMA/53547/2010</vt:lpwstr>
  </property>
  <property fmtid="{D5CDD505-2E9C-101B-9397-08002B2CF9AE}" pid="30" name="DM_Version">
    <vt:lpwstr>CURRENT,1.1</vt:lpwstr>
  </property>
  <property fmtid="{D5CDD505-2E9C-101B-9397-08002B2CF9AE}" pid="31" name="DM_Name">
    <vt:lpwstr>Hreferralspccleanel</vt:lpwstr>
  </property>
  <property fmtid="{D5CDD505-2E9C-101B-9397-08002B2CF9AE}" pid="32" name="DM_Creation_Date">
    <vt:lpwstr>08/06/2015 14:51:29</vt:lpwstr>
  </property>
  <property fmtid="{D5CDD505-2E9C-101B-9397-08002B2CF9AE}" pid="33" name="DM_Modify_Date">
    <vt:lpwstr>08/06/2015 14:51:29</vt:lpwstr>
  </property>
  <property fmtid="{D5CDD505-2E9C-101B-9397-08002B2CF9AE}" pid="34" name="DM_Creator_Name">
    <vt:lpwstr>Guardado Susana</vt:lpwstr>
  </property>
  <property fmtid="{D5CDD505-2E9C-101B-9397-08002B2CF9AE}" pid="35" name="DM_Modifier_Name">
    <vt:lpwstr>Guardado Susana</vt:lpwstr>
  </property>
  <property fmtid="{D5CDD505-2E9C-101B-9397-08002B2CF9AE}" pid="36" name="DM_Type">
    <vt:lpwstr>emea_document</vt:lpwstr>
  </property>
  <property fmtid="{D5CDD505-2E9C-101B-9397-08002B2CF9AE}" pid="37" name="DM_DocRefId">
    <vt:lpwstr>EMA/385413/2015</vt:lpwstr>
  </property>
  <property fmtid="{D5CDD505-2E9C-101B-9397-08002B2CF9AE}" pid="38" name="DM_Category">
    <vt:lpwstr>Templates and Form</vt:lpwstr>
  </property>
  <property fmtid="{D5CDD505-2E9C-101B-9397-08002B2CF9AE}" pid="39" name="DM_Path">
    <vt:lpwstr>/02b. Administration of Scientific Meeting/WPs SAGs DGs and other WGs/CxMP - QRD/3. Other activities/02. Procedures/01. QRD PI templates/03 QRD H-Referral templates/06 H Referral template v 3.1/02 Reviewed by MSs</vt:lpwstr>
  </property>
  <property fmtid="{D5CDD505-2E9C-101B-9397-08002B2CF9AE}" pid="40" name="DM_emea_doc_ref_id">
    <vt:lpwstr>EMA/385413/2015</vt:lpwstr>
  </property>
  <property fmtid="{D5CDD505-2E9C-101B-9397-08002B2CF9AE}" pid="41" name="DM_Modifer_Name">
    <vt:lpwstr>Guardado Susana</vt:lpwstr>
  </property>
  <property fmtid="{D5CDD505-2E9C-101B-9397-08002B2CF9AE}" pid="42" name="DM_Modified_Date">
    <vt:lpwstr>08/06/2015 14:51:29</vt:lpwstr>
  </property>
  <property fmtid="{D5CDD505-2E9C-101B-9397-08002B2CF9AE}" pid="43" name="_AdHocReviewCycleID">
    <vt:i4>2102141235</vt:i4>
  </property>
  <property fmtid="{D5CDD505-2E9C-101B-9397-08002B2CF9AE}" pid="44" name="_NewReviewCycle">
    <vt:lpwstr/>
  </property>
  <property fmtid="{D5CDD505-2E9C-101B-9397-08002B2CF9AE}" pid="45" name="_EmailSubject">
    <vt:lpwstr>Daonil - Normell SPC/PIL</vt:lpwstr>
  </property>
  <property fmtid="{D5CDD505-2E9C-101B-9397-08002B2CF9AE}" pid="46" name="_AuthorEmail">
    <vt:lpwstr>Alexandra.Panoussi@sanofi.com</vt:lpwstr>
  </property>
  <property fmtid="{D5CDD505-2E9C-101B-9397-08002B2CF9AE}" pid="47" name="_AuthorEmailDisplayName">
    <vt:lpwstr>Panoussi, Alexandra PH/GR</vt:lpwstr>
  </property>
  <property fmtid="{D5CDD505-2E9C-101B-9397-08002B2CF9AE}" pid="48" name="_ReviewingToolsShownOnce">
    <vt:lpwstr/>
  </property>
</Properties>
</file>