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94" w:rsidRDefault="00951051">
      <w:pPr>
        <w:pStyle w:val="1"/>
        <w:spacing w:before="74"/>
        <w:ind w:left="1673"/>
      </w:pPr>
      <w:r>
        <w:t>Φύλλο Οδηγιών Χρήσης: Πληροφορίες για το χρήστη</w:t>
      </w:r>
    </w:p>
    <w:p w:rsidR="00F76994" w:rsidRDefault="00F76994">
      <w:pPr>
        <w:pStyle w:val="a3"/>
        <w:spacing w:before="1"/>
        <w:rPr>
          <w:b/>
        </w:rPr>
      </w:pPr>
    </w:p>
    <w:p w:rsidR="00F76994" w:rsidRDefault="00951051">
      <w:pPr>
        <w:ind w:left="834" w:right="1390" w:firstLine="2"/>
        <w:jc w:val="center"/>
      </w:pP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Polio</w:t>
      </w:r>
      <w:proofErr w:type="spellEnd"/>
      <w:r>
        <w:rPr>
          <w:b/>
        </w:rPr>
        <w:t xml:space="preserve">, Ενέσιμο εναιώρημα σε </w:t>
      </w:r>
      <w:proofErr w:type="spellStart"/>
      <w:r>
        <w:rPr>
          <w:b/>
        </w:rPr>
        <w:t>προγεμισμένη</w:t>
      </w:r>
      <w:proofErr w:type="spellEnd"/>
      <w:r>
        <w:rPr>
          <w:b/>
        </w:rPr>
        <w:t xml:space="preserve"> σύριγγα </w:t>
      </w:r>
      <w:r>
        <w:t>Εμβόλιο (προσροφημένο (α), μειωμένο (α) περιεχόμενο (α) σε αντιγόνο</w:t>
      </w:r>
      <w:r>
        <w:rPr>
          <w:spacing w:val="-34"/>
        </w:rPr>
        <w:t xml:space="preserve"> </w:t>
      </w:r>
      <w:r>
        <w:t xml:space="preserve">(α) διφθερίτιδας, τετάνου, </w:t>
      </w:r>
      <w:proofErr w:type="spellStart"/>
      <w:r>
        <w:t>κοκκύτη</w:t>
      </w:r>
      <w:proofErr w:type="spellEnd"/>
      <w:r>
        <w:t xml:space="preserve"> (</w:t>
      </w:r>
      <w:proofErr w:type="spellStart"/>
      <w:r>
        <w:t>ακκυταρικό</w:t>
      </w:r>
      <w:proofErr w:type="spellEnd"/>
      <w:r>
        <w:t xml:space="preserve"> συστατικό και πολιομυελίτιδας (αδρανοποιημένος</w:t>
      </w:r>
      <w:r>
        <w:rPr>
          <w:spacing w:val="-1"/>
        </w:rPr>
        <w:t xml:space="preserve"> </w:t>
      </w:r>
      <w:r>
        <w:t>ιός)</w:t>
      </w:r>
    </w:p>
    <w:p w:rsidR="00F76994" w:rsidRDefault="00F76994">
      <w:pPr>
        <w:pStyle w:val="a3"/>
      </w:pPr>
    </w:p>
    <w:p w:rsidR="00F76994" w:rsidRDefault="00951051">
      <w:pPr>
        <w:pStyle w:val="1"/>
        <w:ind w:right="868"/>
        <w:jc w:val="both"/>
      </w:pPr>
      <w:r>
        <w:t xml:space="preserve">Διαβάστε προσεκτικά ολόκληρο το φύλλο οδηγιών χρήσης πριν εσείς ή το παιδί σας </w:t>
      </w:r>
      <w:proofErr w:type="spellStart"/>
      <w:r>
        <w:t>αρχίσετε(</w:t>
      </w:r>
      <w:r>
        <w:t>σει</w:t>
      </w:r>
      <w:proofErr w:type="spellEnd"/>
      <w:r>
        <w:t xml:space="preserve">) να </w:t>
      </w:r>
      <w:proofErr w:type="spellStart"/>
      <w:r>
        <w:t>κάνετε(ει</w:t>
      </w:r>
      <w:proofErr w:type="spellEnd"/>
      <w:r>
        <w:t>) αυτό το εμβόλιο, διότι περιλαμβάνει σημαντικές πληροφορίες για σας.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before="2" w:line="252" w:lineRule="exact"/>
        <w:ind w:hanging="566"/>
      </w:pPr>
      <w:r>
        <w:t>Φυλάξτε αυτό το φύλλο οδηγιών χρήσης. Ίσως χρειαστεί να το διαβάσετε</w:t>
      </w:r>
      <w:r>
        <w:rPr>
          <w:spacing w:val="-10"/>
        </w:rPr>
        <w:t xml:space="preserve"> </w:t>
      </w:r>
      <w:r>
        <w:t>ξανά.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line="252" w:lineRule="exact"/>
        <w:ind w:hanging="566"/>
      </w:pPr>
      <w:r>
        <w:t>Εάν έχετε περαιτέρω απορίες, ρωτήστε το γιατρό ή το φαρμακοποιό</w:t>
      </w:r>
      <w:r>
        <w:rPr>
          <w:spacing w:val="-10"/>
        </w:rPr>
        <w:t xml:space="preserve"> </w:t>
      </w:r>
      <w:r>
        <w:t>σας.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before="1"/>
        <w:ind w:right="874" w:hanging="566"/>
      </w:pPr>
      <w:r>
        <w:t>Η συνταγή για αυτό το εμβ</w:t>
      </w:r>
      <w:r>
        <w:t>όλιο χορηγήθηκε αποκλειστικά για σας ή το παιδί σας. Δεν πρέπει να δώσετε το εμβόλιο σε</w:t>
      </w:r>
      <w:r>
        <w:rPr>
          <w:spacing w:val="-4"/>
        </w:rPr>
        <w:t xml:space="preserve"> </w:t>
      </w:r>
      <w:r>
        <w:t>άλλους.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885"/>
        </w:tabs>
        <w:spacing w:before="1"/>
        <w:ind w:left="918" w:right="870" w:hanging="600"/>
        <w:jc w:val="both"/>
      </w:pPr>
      <w:r>
        <w:t xml:space="preserve">Εάν εσείς ή το παιδί σας παρατηρήσετε κάποια ανεπιθύμητη </w:t>
      </w:r>
      <w:proofErr w:type="spellStart"/>
      <w:r>
        <w:t>ενέργεια,ενημερώστε</w:t>
      </w:r>
      <w:proofErr w:type="spellEnd"/>
      <w:r>
        <w:t xml:space="preserve"> το γιατρό ή φαρμακοποιό 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1"/>
        <w:jc w:val="both"/>
      </w:pPr>
      <w:r>
        <w:t>Τι περιέχει το παρόν φύλλο</w:t>
      </w:r>
      <w:r>
        <w:t xml:space="preserve"> οδηγιών:</w:t>
      </w:r>
    </w:p>
    <w:p w:rsidR="00F76994" w:rsidRDefault="00951051">
      <w:pPr>
        <w:pStyle w:val="a4"/>
        <w:numPr>
          <w:ilvl w:val="0"/>
          <w:numId w:val="5"/>
        </w:numPr>
        <w:tabs>
          <w:tab w:val="left" w:pos="885"/>
        </w:tabs>
        <w:spacing w:before="2"/>
        <w:ind w:hanging="566"/>
        <w:jc w:val="both"/>
      </w:pPr>
      <w:r>
        <w:t xml:space="preserve">Τι είναι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ποια είναι η χρήση</w:t>
      </w:r>
      <w:r>
        <w:rPr>
          <w:spacing w:val="-6"/>
        </w:rPr>
        <w:t xml:space="preserve"> </w:t>
      </w:r>
      <w:r>
        <w:t>του</w:t>
      </w:r>
    </w:p>
    <w:p w:rsidR="00F76994" w:rsidRDefault="00951051">
      <w:pPr>
        <w:pStyle w:val="a4"/>
        <w:numPr>
          <w:ilvl w:val="0"/>
          <w:numId w:val="5"/>
        </w:numPr>
        <w:tabs>
          <w:tab w:val="left" w:pos="885"/>
        </w:tabs>
        <w:spacing w:before="1" w:line="252" w:lineRule="exact"/>
        <w:ind w:hanging="566"/>
        <w:jc w:val="both"/>
      </w:pPr>
      <w:r>
        <w:t xml:space="preserve">Τι πρέπει να γνωρίζετε πριν χρησιμοποιήσετε το </w:t>
      </w:r>
      <w:proofErr w:type="spellStart"/>
      <w:r>
        <w:t>Boostrix</w:t>
      </w:r>
      <w:proofErr w:type="spellEnd"/>
      <w:r>
        <w:rPr>
          <w:spacing w:val="-4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4"/>
        <w:numPr>
          <w:ilvl w:val="0"/>
          <w:numId w:val="5"/>
        </w:numPr>
        <w:tabs>
          <w:tab w:val="left" w:pos="885"/>
        </w:tabs>
        <w:spacing w:line="252" w:lineRule="exact"/>
        <w:ind w:hanging="566"/>
        <w:jc w:val="both"/>
      </w:pPr>
      <w:r>
        <w:t xml:space="preserve">Πώς να χρησιμοποιήσετε το </w:t>
      </w:r>
      <w:proofErr w:type="spellStart"/>
      <w:r>
        <w:t>Boostrix</w:t>
      </w:r>
      <w:proofErr w:type="spellEnd"/>
      <w:r>
        <w:rPr>
          <w:spacing w:val="-1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4"/>
        <w:numPr>
          <w:ilvl w:val="0"/>
          <w:numId w:val="5"/>
        </w:numPr>
        <w:tabs>
          <w:tab w:val="left" w:pos="885"/>
        </w:tabs>
        <w:spacing w:line="252" w:lineRule="exact"/>
        <w:ind w:hanging="566"/>
        <w:jc w:val="both"/>
      </w:pPr>
      <w:r>
        <w:t>Πιθανές ανεπιθύμητες</w:t>
      </w:r>
      <w:r>
        <w:rPr>
          <w:spacing w:val="-1"/>
        </w:rPr>
        <w:t xml:space="preserve"> </w:t>
      </w:r>
      <w:r>
        <w:t>ενέργειες</w:t>
      </w:r>
    </w:p>
    <w:p w:rsidR="00F76994" w:rsidRDefault="00951051">
      <w:pPr>
        <w:pStyle w:val="a4"/>
        <w:numPr>
          <w:ilvl w:val="0"/>
          <w:numId w:val="5"/>
        </w:numPr>
        <w:tabs>
          <w:tab w:val="left" w:pos="885"/>
        </w:tabs>
        <w:spacing w:before="1" w:line="252" w:lineRule="exact"/>
        <w:ind w:hanging="566"/>
        <w:jc w:val="both"/>
      </w:pPr>
      <w:r>
        <w:t xml:space="preserve">Πως να φυλάσσετε το </w:t>
      </w:r>
      <w:proofErr w:type="spellStart"/>
      <w:r>
        <w:t>Boostrix</w:t>
      </w:r>
      <w:proofErr w:type="spellEnd"/>
      <w:r>
        <w:rPr>
          <w:spacing w:val="-3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3"/>
        <w:spacing w:line="252" w:lineRule="exact"/>
        <w:ind w:left="318"/>
        <w:jc w:val="both"/>
      </w:pPr>
      <w:r>
        <w:t>6. Περιεχόμενο της συσκ</w:t>
      </w:r>
      <w:r>
        <w:t>ευασίας και λοιπές πληροφορίες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9"/>
        <w:rPr>
          <w:sz w:val="19"/>
        </w:rPr>
      </w:pPr>
    </w:p>
    <w:p w:rsidR="00F76994" w:rsidRDefault="00951051">
      <w:pPr>
        <w:pStyle w:val="1"/>
        <w:numPr>
          <w:ilvl w:val="0"/>
          <w:numId w:val="4"/>
        </w:numPr>
        <w:tabs>
          <w:tab w:val="left" w:pos="885"/>
        </w:tabs>
        <w:ind w:firstLine="0"/>
        <w:jc w:val="both"/>
      </w:pPr>
      <w:r>
        <w:t xml:space="preserve">Τι είναι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ποιά είναι η χρήση</w:t>
      </w:r>
      <w:r>
        <w:rPr>
          <w:spacing w:val="2"/>
        </w:rPr>
        <w:t xml:space="preserve"> </w:t>
      </w:r>
      <w:r>
        <w:t>του</w:t>
      </w:r>
    </w:p>
    <w:p w:rsidR="00F76994" w:rsidRDefault="00F76994">
      <w:pPr>
        <w:pStyle w:val="a3"/>
        <w:spacing w:before="3"/>
        <w:rPr>
          <w:b/>
        </w:rPr>
      </w:pPr>
    </w:p>
    <w:p w:rsidR="00F76994" w:rsidRDefault="00951051">
      <w:pPr>
        <w:pStyle w:val="a3"/>
        <w:ind w:left="318" w:right="871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 ένα εμβόλιο που χρησιμοποιείται για αναμνηστική δόση σε παιδιά ηλικίας από 3 ετών και άνω, εφήβους και ενήλικες για την πρόληψη τεσσάρων ασθενειών: διφθερίτιδας, τετάνου, </w:t>
      </w:r>
      <w:proofErr w:type="spellStart"/>
      <w:r>
        <w:t>κοκκύτη</w:t>
      </w:r>
      <w:proofErr w:type="spellEnd"/>
      <w:r>
        <w:t xml:space="preserve"> και πολιομυελίτιδας. Το εμβόλιο λειτουργεί κάνοντας τ</w:t>
      </w:r>
      <w:r>
        <w:t>ον οργανισμό να παράγει τη δική του προστασία (αντισώματα) έναντι αυτών των ασθενειών.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0" w:hanging="566"/>
        <w:jc w:val="both"/>
      </w:pPr>
      <w:r>
        <w:rPr>
          <w:b/>
        </w:rPr>
        <w:t>Διφθερίτιδα</w:t>
      </w:r>
      <w:r>
        <w:t>: Η διφθερίτιδα προσβάλλει κυρίως τις αεροφόρους οδούς και μερικές φορές το δέρμα. Γενικά οι αεροφόροι οδοί αναπτύσσουν φλεγμονή (οίδημα) που προκαλεί σοβαρέ</w:t>
      </w:r>
      <w:r>
        <w:t>ς αναπνευστικές δυσκολίες και μερικές φορές ασφυξία. Τα βακτήρια απελευθερώνουν επίσης μία τοξίνη (δηλητήριο) που μπορεί να προκαλέσει βλάβες στα νεύρα, προβλήματα στην καρδιά, ακόμα και το</w:t>
      </w:r>
      <w:r>
        <w:rPr>
          <w:spacing w:val="-1"/>
        </w:rPr>
        <w:t xml:space="preserve"> </w:t>
      </w:r>
      <w:r>
        <w:t>θάνατο.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2" w:hanging="566"/>
        <w:jc w:val="both"/>
      </w:pPr>
      <w:r>
        <w:rPr>
          <w:b/>
        </w:rPr>
        <w:t>Τέτανος</w:t>
      </w:r>
      <w:r>
        <w:t>: Τα βακτήρια του τετάνου μπαίνουν στον οργανισμό μ</w:t>
      </w:r>
      <w:r>
        <w:t xml:space="preserve">έσω τομών, αμυχών ή πληγών του δέρματος. Τραύματα ιδιαίτερα επιρρεπή σε μόλυνση είναι τα εγκαύματα, τα κατάγματα, βαθιές πληγές ή οι πληγές που μολύνθηκαν από χώμα, σκόνη, κοπριά αλόγων/βρωμιά ή </w:t>
      </w:r>
      <w:proofErr w:type="spellStart"/>
      <w:r>
        <w:t>σχίζες</w:t>
      </w:r>
      <w:proofErr w:type="spellEnd"/>
      <w:r>
        <w:t xml:space="preserve"> ξύλου. Τα βακτήρια απελευθερώνουν μία τοξίνη (δηλητήρι</w:t>
      </w:r>
      <w:r>
        <w:t>ο) που μπορεί να προκαλέσει μυϊκή δυσκαμψία, επώδυνες μυϊκές συσπάσεις, σπασμούς, ακόμα και θάνατο. Οι μυϊκοί σπασμοί μπορεί να είναι αρκετά ισχυροί ώστε να προκαλέσουν κατάγματα στα οστά της σπονδυλικής</w:t>
      </w:r>
      <w:r>
        <w:rPr>
          <w:spacing w:val="-5"/>
        </w:rPr>
        <w:t xml:space="preserve"> </w:t>
      </w:r>
      <w:r>
        <w:t>στήλης.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3" w:hanging="566"/>
        <w:jc w:val="both"/>
      </w:pPr>
      <w:proofErr w:type="spellStart"/>
      <w:r>
        <w:rPr>
          <w:b/>
        </w:rPr>
        <w:t>Κοκκύτης</w:t>
      </w:r>
      <w:proofErr w:type="spellEnd"/>
      <w:r>
        <w:t xml:space="preserve">: Ο </w:t>
      </w:r>
      <w:proofErr w:type="spellStart"/>
      <w:r>
        <w:t>κοκκύτης</w:t>
      </w:r>
      <w:proofErr w:type="spellEnd"/>
      <w:r>
        <w:t xml:space="preserve"> είναι μία ιδιαίτερα μετ</w:t>
      </w:r>
      <w:r>
        <w:t xml:space="preserve">αδοτική νόσος. Η ασθένεια προσβάλλει τις αεροφόρους οδούς και προκαλεί έντονο περιοδικό βήχα που μπορεί να επιδράσει στην ομαλή αναπνοή. Ο βήχας συνήθως συνοδεύεται από ένα «συριγμώδη» ήχο. Ο βήχας μπορεί να διαρκέσει για 1-2 μήνες ή περισσότερο. Ο </w:t>
      </w:r>
      <w:proofErr w:type="spellStart"/>
      <w:r>
        <w:t>κοκκύτη</w:t>
      </w:r>
      <w:r>
        <w:t>ς</w:t>
      </w:r>
      <w:proofErr w:type="spellEnd"/>
      <w:r>
        <w:t xml:space="preserve"> μπορεί επίσης να προκαλέσει λοιμώξεις των</w:t>
      </w:r>
      <w:r>
        <w:rPr>
          <w:spacing w:val="6"/>
        </w:rPr>
        <w:t xml:space="preserve"> </w:t>
      </w:r>
      <w:proofErr w:type="spellStart"/>
      <w:r>
        <w:t>ώτων</w:t>
      </w:r>
      <w:proofErr w:type="spellEnd"/>
      <w:r>
        <w:t>,</w:t>
      </w:r>
    </w:p>
    <w:p w:rsidR="00F76994" w:rsidRDefault="00F76994">
      <w:pPr>
        <w:jc w:val="both"/>
        <w:sectPr w:rsidR="00F76994">
          <w:footerReference w:type="default" r:id="rId8"/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3"/>
        <w:spacing w:before="77"/>
        <w:ind w:left="884" w:right="919"/>
      </w:pPr>
      <w:r>
        <w:lastRenderedPageBreak/>
        <w:t>βρογχίτιδα που μπορεί να διαρκέσει για πολύ χρόνο, πνευμονία, σπασμούς, εγκεφαλική βλάβη, ακόμα και θάνατο.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2" w:hanging="566"/>
        <w:jc w:val="both"/>
      </w:pPr>
      <w:r>
        <w:rPr>
          <w:b/>
        </w:rPr>
        <w:t>Πολιομυελίτιδα</w:t>
      </w:r>
      <w:r>
        <w:t>: Η πολιομυελίτιδα ορισμένες φορές ονομάζεται απλά “</w:t>
      </w:r>
      <w:proofErr w:type="spellStart"/>
      <w:r>
        <w:t>πόλιο</w:t>
      </w:r>
      <w:proofErr w:type="spellEnd"/>
      <w:r>
        <w:t xml:space="preserve">”, είναι </w:t>
      </w:r>
      <w:r>
        <w:t>μία λοίμωξη από ιό που μπορεί να έχει διάφορα επακόλουθα. Συχνά προκαλεί μόνο μία ήπια νόσο, αλλά σε μερικά άτομα προκαλεί μόνιμη βλάβη ή ακόμα και θάνατο. Στη σοβαρότερή της μορφή, η λοίμωξη από τον ιό της πολιομυελίτιδας προκαλεί παράλυση των μυών (οι μύ</w:t>
      </w:r>
      <w:r>
        <w:t>ες δεν μπορούν να κινηθούν), συμπεριλαμβανομένων εκείνων των μυών που χρειάζονται για την αναπνοή και το βάδισμα. Τα μέλη του σώματος που προσβάλλονται από τη νόσο μπορεί να παραμορφωθούν</w:t>
      </w:r>
      <w:r>
        <w:rPr>
          <w:spacing w:val="-4"/>
        </w:rPr>
        <w:t xml:space="preserve"> </w:t>
      </w:r>
      <w:r>
        <w:t>επώδυνα.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spacing w:before="1"/>
        <w:ind w:left="318" w:right="919"/>
      </w:pPr>
      <w:r>
        <w:t>Κανένα από τα συστατικά του εμβολίου δεν μπορεί να προκαλέ</w:t>
      </w:r>
      <w:r>
        <w:t xml:space="preserve">σει διφθερίτιδα, τέτανο, </w:t>
      </w:r>
      <w:proofErr w:type="spellStart"/>
      <w:r>
        <w:t>κοκκύτη</w:t>
      </w:r>
      <w:proofErr w:type="spellEnd"/>
      <w:r>
        <w:t xml:space="preserve"> ή πολιομυελίτιδα.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8"/>
        <w:rPr>
          <w:sz w:val="19"/>
        </w:rPr>
      </w:pPr>
    </w:p>
    <w:p w:rsidR="00F76994" w:rsidRDefault="00951051">
      <w:pPr>
        <w:pStyle w:val="1"/>
        <w:numPr>
          <w:ilvl w:val="0"/>
          <w:numId w:val="4"/>
        </w:numPr>
        <w:tabs>
          <w:tab w:val="left" w:pos="884"/>
          <w:tab w:val="left" w:pos="885"/>
        </w:tabs>
        <w:spacing w:line="480" w:lineRule="auto"/>
        <w:ind w:right="1918" w:firstLine="0"/>
      </w:pPr>
      <w:r>
        <w:t xml:space="preserve">Τι πρέπει να γνωρίζετε πριν χρησιμοποιήσετε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δεν πρέπει να</w:t>
      </w:r>
      <w:r>
        <w:rPr>
          <w:spacing w:val="-5"/>
        </w:rPr>
        <w:t xml:space="preserve"> </w:t>
      </w:r>
      <w:r>
        <w:t>χορηγείται: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spacing w:before="3"/>
        <w:ind w:right="871" w:hanging="523"/>
        <w:jc w:val="both"/>
      </w:pPr>
      <w:r>
        <w:t xml:space="preserve">αν εσείς ή το παιδί σας είχατε προηγουμένως κάποια αλλεργική αντίδραση στο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, ή σε κάποιο από τα άλλα συστατικά αυτού του εμβολίου (αναφέρονται στην παράγραφο 6) ή στη </w:t>
      </w:r>
      <w:proofErr w:type="spellStart"/>
      <w:r>
        <w:t>νεομυκίνη</w:t>
      </w:r>
      <w:proofErr w:type="spellEnd"/>
      <w:r>
        <w:t xml:space="preserve"> ή στην </w:t>
      </w:r>
      <w:proofErr w:type="spellStart"/>
      <w:r>
        <w:t>πολυμυξίνη</w:t>
      </w:r>
      <w:proofErr w:type="spellEnd"/>
      <w:r>
        <w:t xml:space="preserve"> (αντιβιοτικά). Σημεία κάποιας αλλεργικής αντίδρ</w:t>
      </w:r>
      <w:r>
        <w:t>ασης μπορεί να περιλαμβάνουν δερματικό εξάνθημα με φαγούρα, δυσκολία στην αναπνοή και πρήξιμο του προσώπου ή της</w:t>
      </w:r>
      <w:r>
        <w:rPr>
          <w:spacing w:val="-2"/>
        </w:rPr>
        <w:t xml:space="preserve"> </w:t>
      </w:r>
      <w:r>
        <w:t>γλώσσας.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68" w:hanging="523"/>
        <w:jc w:val="both"/>
      </w:pPr>
      <w:r>
        <w:t xml:space="preserve">αν εσείς ή το παιδί σας είχατε προηγουμένως κάποια αλλεργική αντίδραση σε οποιοδήποτε εμβόλιο κατά της διφθερίτιδας, τετάνου, </w:t>
      </w:r>
      <w:proofErr w:type="spellStart"/>
      <w:r>
        <w:t>κοκκύτη</w:t>
      </w:r>
      <w:proofErr w:type="spellEnd"/>
      <w:r>
        <w:t xml:space="preserve"> </w:t>
      </w:r>
      <w:r>
        <w:t>ή πολιομυελίτιδας.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4" w:hanging="523"/>
        <w:jc w:val="both"/>
      </w:pPr>
      <w:r>
        <w:t>αν εσείς ή το παιδί σας παρουσιάσατε προβλήματα από το νευρικό σύστημα (εγκεφαλοπάθεια) εντός 7 ημερών μετά από προηγούμενο εμβολιασμό κατά του</w:t>
      </w:r>
      <w:r>
        <w:rPr>
          <w:spacing w:val="-1"/>
        </w:rPr>
        <w:t xml:space="preserve"> </w:t>
      </w:r>
      <w:proofErr w:type="spellStart"/>
      <w:r>
        <w:t>κοκκύτη</w:t>
      </w:r>
      <w:proofErr w:type="spellEnd"/>
      <w:r>
        <w:t>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58"/>
        </w:tabs>
        <w:ind w:left="858" w:right="874" w:hanging="540"/>
        <w:jc w:val="both"/>
      </w:pPr>
      <w:r>
        <w:t>αν εσείς ή το παιδί σας έχετε εμφανίσει παροδική μείωση των αιμοπεταλίων (το οποίο α</w:t>
      </w:r>
      <w:r>
        <w:t>υξάνει τον κίνδυνο αιμορραγίας ή μώλωπες) ή προβλήματα με τον εγκέφαλο ή τα νεύρα μετά από προηγούμενο εμβολιασμό με εμβόλιο κατά της διφθερίτιδας και/ή του</w:t>
      </w:r>
      <w:r>
        <w:rPr>
          <w:spacing w:val="-2"/>
        </w:rPr>
        <w:t xml:space="preserve"> </w:t>
      </w:r>
      <w:r>
        <w:t>τετάνου.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5" w:hanging="566"/>
        <w:jc w:val="both"/>
      </w:pPr>
      <w:r>
        <w:t>αν εσείς ή το παιδί σας έχετε κάποια σοβαρή λοίμωξη με υψηλό πυρετό (άνω των 38</w:t>
      </w:r>
      <w:r>
        <w:rPr>
          <w:rFonts w:ascii="Symbol" w:hAnsi="Symbol"/>
        </w:rPr>
        <w:t></w:t>
      </w:r>
      <w:r>
        <w:t xml:space="preserve">C). </w:t>
      </w:r>
      <w:r>
        <w:rPr>
          <w:spacing w:val="-2"/>
        </w:rPr>
        <w:t xml:space="preserve">Μια </w:t>
      </w:r>
      <w:r>
        <w:t>ήπ</w:t>
      </w:r>
      <w:r>
        <w:t>ια λοίμωξη δεν πρέπει να θεωρείται πρόβλημα, αλλά ενημερώστε πρώτα το γιατρό</w:t>
      </w:r>
      <w:r>
        <w:rPr>
          <w:spacing w:val="-2"/>
        </w:rPr>
        <w:t xml:space="preserve"> </w:t>
      </w:r>
      <w:r>
        <w:t>σας.</w:t>
      </w:r>
    </w:p>
    <w:p w:rsidR="00F76994" w:rsidRDefault="00F76994">
      <w:pPr>
        <w:pStyle w:val="a3"/>
        <w:spacing w:before="1"/>
        <w:rPr>
          <w:sz w:val="21"/>
        </w:rPr>
      </w:pPr>
    </w:p>
    <w:p w:rsidR="00F76994" w:rsidRDefault="00951051">
      <w:pPr>
        <w:pStyle w:val="1"/>
      </w:pPr>
      <w:r>
        <w:t>Προειδοποιήσεις και προφυλάξεις</w:t>
      </w:r>
    </w:p>
    <w:p w:rsidR="00F76994" w:rsidRDefault="00951051">
      <w:pPr>
        <w:pStyle w:val="a3"/>
        <w:spacing w:before="1"/>
        <w:ind w:left="318" w:right="867"/>
      </w:pPr>
      <w:r>
        <w:t xml:space="preserve">Απευθυνθείτε στον γιατρό ή τον φαρμακοποιό σας προτού δοθεί σε εσάς ή στο παιδί σας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>:</w:t>
      </w:r>
    </w:p>
    <w:p w:rsidR="00F76994" w:rsidRDefault="00F76994">
      <w:pPr>
        <w:pStyle w:val="a3"/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2" w:hanging="566"/>
        <w:jc w:val="both"/>
      </w:pPr>
      <w:r>
        <w:t xml:space="preserve">αν μετά από προηγούμενη δόση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ή κάποιου άλλου εμβολίου κατά του </w:t>
      </w:r>
      <w:proofErr w:type="spellStart"/>
      <w:r>
        <w:t>κοκκύτη</w:t>
      </w:r>
      <w:proofErr w:type="spellEnd"/>
      <w:r>
        <w:t>, εσείς ή το παιδί σας παρουσιάσατε προβλήματα υγείας και</w:t>
      </w:r>
      <w:r>
        <w:rPr>
          <w:spacing w:val="-29"/>
        </w:rPr>
        <w:t xml:space="preserve"> </w:t>
      </w:r>
      <w:r>
        <w:t>ειδικά: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70"/>
        </w:tabs>
        <w:spacing w:line="253" w:lineRule="exact"/>
      </w:pPr>
      <w:r>
        <w:t>Υψηλό πυρετό (άνω των 40°C), εντός 48 ωρών από τον</w:t>
      </w:r>
      <w:r>
        <w:rPr>
          <w:spacing w:val="-9"/>
        </w:rPr>
        <w:t xml:space="preserve"> </w:t>
      </w:r>
      <w:r>
        <w:t>εμβολιασμό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70"/>
        </w:tabs>
        <w:spacing w:before="1" w:line="253" w:lineRule="exact"/>
      </w:pPr>
      <w:r>
        <w:t>Καταπληξία ή κατάσταση όμοια με σοκ, εντός 48 ωρών από τον</w:t>
      </w:r>
      <w:r>
        <w:rPr>
          <w:spacing w:val="-16"/>
        </w:rPr>
        <w:t xml:space="preserve"> </w:t>
      </w:r>
      <w:r>
        <w:t>εμβολιασμό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70"/>
        </w:tabs>
        <w:ind w:right="873"/>
      </w:pPr>
      <w:r>
        <w:t>Επίμονο κλάμα διάρκειας 3 ωρών ή περισσότερο, εντός 48 ωρών από τον εμβολιασμό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70"/>
        </w:tabs>
        <w:ind w:right="871"/>
      </w:pPr>
      <w:r>
        <w:t>Σπασμούς/επιληπτικές κρίσεις με ή χωρίς υψηλό πυρετό, εντός 3 ημερών από τον</w:t>
      </w:r>
      <w:r>
        <w:rPr>
          <w:spacing w:val="-3"/>
        </w:rPr>
        <w:t xml:space="preserve"> </w:t>
      </w:r>
      <w:r>
        <w:t>εμβολιασμό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3" w:hanging="566"/>
        <w:jc w:val="both"/>
      </w:pPr>
      <w:r>
        <w:t>εάν το παιδί σας πάσχει από μη διαγνωσθείσα ή προοδευτική εγκεφαλική νόσο ή μη ελεγχόμενη</w:t>
      </w:r>
      <w:r>
        <w:t xml:space="preserve"> επιληψία. Μετά τον έλεγχο της νόσου το εμβόλιο θα πρέπει να χορηγείται.</w:t>
      </w:r>
    </w:p>
    <w:p w:rsidR="00F76994" w:rsidRDefault="00F76994">
      <w:pPr>
        <w:jc w:val="both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84"/>
          <w:tab w:val="left" w:pos="885"/>
        </w:tabs>
        <w:spacing w:before="76"/>
        <w:ind w:right="877" w:hanging="566"/>
      </w:pPr>
      <w:r>
        <w:lastRenderedPageBreak/>
        <w:t>αν εσείς ή το παιδί σας έχετε πρόβλημα με αιμορραγίες ή κάνετε εύκολα μελανιές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6" w:hanging="566"/>
        <w:jc w:val="both"/>
      </w:pPr>
      <w:r>
        <w:t>αν εσείς ή το παιδί σας έχετε την τάση να παρουσιάζει σπασμούς/επιληπτικές κρίσεις λόγ</w:t>
      </w:r>
      <w:r>
        <w:t>ω πυρετού ή αν υπάρχει οικογενειακό ιστορικό τέτοιων περιπτώσεων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58"/>
        </w:tabs>
        <w:ind w:left="858" w:right="870" w:hanging="540"/>
        <w:jc w:val="both"/>
      </w:pPr>
      <w:r>
        <w:t xml:space="preserve">αν εσείς ή το παιδί σας έχετε μακροχρόνιο πρόβλημα του ανοσοποιητικού συστήματος από οποιαδήποτε αιτία, (περιλαμβανομένης της λοίμωξης HIV). Τόσο εσείς όσο και το παιδί σας μπορείτε και τότε </w:t>
      </w:r>
      <w:r>
        <w:t xml:space="preserve">να πάρετε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>, αλλά η προστασία έναντι των λοιμώξεων μετά τη λήψη του εμβολίου, μπορεί να μην είναι τόσο καλή όσο σε παιδιά και ενήλικες με καλή ανοσία στις</w:t>
      </w:r>
      <w:r>
        <w:rPr>
          <w:spacing w:val="-30"/>
        </w:rPr>
        <w:t xml:space="preserve"> </w:t>
      </w:r>
      <w:r>
        <w:t>λοιμώξεις.</w:t>
      </w:r>
    </w:p>
    <w:p w:rsidR="00F76994" w:rsidRDefault="00F76994">
      <w:pPr>
        <w:pStyle w:val="a3"/>
        <w:spacing w:before="7"/>
        <w:rPr>
          <w:sz w:val="21"/>
        </w:rPr>
      </w:pPr>
    </w:p>
    <w:p w:rsidR="00F76994" w:rsidRDefault="00951051">
      <w:pPr>
        <w:pStyle w:val="a3"/>
        <w:ind w:left="318" w:right="873"/>
        <w:jc w:val="both"/>
      </w:pPr>
      <w:r>
        <w:t>Λιποθυμία μπορεί να συμβεί (κυρίως σε εφήβους) μετά από, ή ακόμη και πριν</w:t>
      </w:r>
      <w:r>
        <w:t xml:space="preserve"> από οποιαδήποτε ένεση. Συνεπώς ενημερώστε τον γιατρό ή τον νοσηλευτή εάν εσείς ή το παιδί σας λιποθυμήσατε με προηγούμενη ένεση.</w:t>
      </w:r>
    </w:p>
    <w:p w:rsidR="00F76994" w:rsidRDefault="00F76994">
      <w:pPr>
        <w:pStyle w:val="a3"/>
        <w:spacing w:before="3"/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57"/>
          <w:tab w:val="left" w:pos="858"/>
        </w:tabs>
        <w:spacing w:before="1" w:line="237" w:lineRule="auto"/>
        <w:ind w:left="858" w:right="873" w:hanging="540"/>
      </w:pPr>
      <w:r>
        <w:t xml:space="preserve">Όπως με όλα τα εμβόλια,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ενδέχεται να μην παρέχει πλήρη προστασία σε όλα τα </w:t>
      </w:r>
      <w:proofErr w:type="spellStart"/>
      <w:r>
        <w:t>εμβολιασθέντα</w:t>
      </w:r>
      <w:proofErr w:type="spellEnd"/>
      <w:r>
        <w:rPr>
          <w:spacing w:val="-5"/>
        </w:rPr>
        <w:t xml:space="preserve"> </w:t>
      </w:r>
      <w:r>
        <w:t>άτομα.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3"/>
        <w:ind w:left="318" w:right="870"/>
        <w:jc w:val="both"/>
      </w:pPr>
      <w:r>
        <w:rPr>
          <w:b/>
        </w:rPr>
        <w:t xml:space="preserve">Άλλα φάρμακα και </w:t>
      </w: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Polio</w:t>
      </w:r>
      <w:proofErr w:type="spellEnd"/>
      <w:r>
        <w:rPr>
          <w:b/>
        </w:rPr>
        <w:t xml:space="preserve"> </w:t>
      </w:r>
      <w:r>
        <w:t>Ενημερώστε τον γιατρό ή τον φαρμακοποιό σας εάν εσείς ή το παιδί σας παίρνετε, έχετε πρόσφατα πάρει ή μπορεί να πάρετε άλλα φάρμακα, ή αν έχετε κάνει πρόσφατα κάποιο άλλο εμβόλιο.</w:t>
      </w:r>
    </w:p>
    <w:p w:rsidR="00F76994" w:rsidRDefault="00F76994">
      <w:pPr>
        <w:pStyle w:val="a3"/>
        <w:spacing w:before="3"/>
      </w:pPr>
    </w:p>
    <w:p w:rsidR="00F76994" w:rsidRDefault="00951051">
      <w:pPr>
        <w:pStyle w:val="a3"/>
        <w:spacing w:before="1"/>
        <w:ind w:left="318" w:right="876"/>
        <w:jc w:val="both"/>
      </w:pPr>
      <w:r>
        <w:rPr>
          <w:color w:val="212121"/>
        </w:rPr>
        <w:t xml:space="preserve">Το </w:t>
      </w:r>
      <w:proofErr w:type="spellStart"/>
      <w:r>
        <w:rPr>
          <w:color w:val="212121"/>
        </w:rPr>
        <w:t>Boostrix</w:t>
      </w:r>
      <w:proofErr w:type="spellEnd"/>
      <w:r>
        <w:rPr>
          <w:color w:val="212121"/>
        </w:rPr>
        <w:t xml:space="preserve"> </w:t>
      </w:r>
      <w:proofErr w:type="spellStart"/>
      <w:r>
        <w:t>Polio</w:t>
      </w:r>
      <w:proofErr w:type="spellEnd"/>
      <w:r>
        <w:t xml:space="preserve"> </w:t>
      </w:r>
      <w:r>
        <w:rPr>
          <w:color w:val="212121"/>
        </w:rPr>
        <w:t>μπορεί να δοθεί ταυτόχρον</w:t>
      </w:r>
      <w:r>
        <w:rPr>
          <w:color w:val="212121"/>
        </w:rPr>
        <w:t>α με ορισμένα άλλα εμβόλια. Ένα διαφορετικό σημείο ένεσης θα χρησιμοποιηθεί για κάθε τύπο εμβολίου.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spacing w:before="1"/>
        <w:ind w:left="318" w:right="871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μπορεί να μη δράσει τόσο καλά εάν εσείς ή το παιδί σας λαμβάνετε φάρμακα τα οποία μειώνουν την αποτελεσματικότητα του ανοσοποιητικού συστ</w:t>
      </w:r>
      <w:r>
        <w:t>ήματος να καταπολεμά τις λοιμώξεις.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1"/>
        <w:jc w:val="both"/>
      </w:pPr>
      <w:r>
        <w:t>Κύηση και θηλασμός</w:t>
      </w:r>
    </w:p>
    <w:p w:rsidR="00F76994" w:rsidRDefault="00F76994">
      <w:pPr>
        <w:pStyle w:val="a3"/>
        <w:rPr>
          <w:b/>
        </w:rPr>
      </w:pPr>
    </w:p>
    <w:p w:rsidR="00F76994" w:rsidRDefault="00951051">
      <w:pPr>
        <w:pStyle w:val="a3"/>
        <w:ind w:left="318" w:right="877"/>
        <w:jc w:val="both"/>
      </w:pPr>
      <w:r>
        <w:t xml:space="preserve">Ο γιατρός σας θα συζητήσει μαζί σας τους πιθανούς κινδύνους και οφέλη από τη χρήση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κατά την κύηση.</w:t>
      </w:r>
    </w:p>
    <w:p w:rsidR="00F76994" w:rsidRDefault="00F76994">
      <w:pPr>
        <w:pStyle w:val="a3"/>
        <w:spacing w:before="2"/>
      </w:pPr>
    </w:p>
    <w:p w:rsidR="00F76994" w:rsidRDefault="00951051">
      <w:pPr>
        <w:pStyle w:val="a3"/>
        <w:ind w:left="318" w:right="870"/>
        <w:jc w:val="both"/>
      </w:pPr>
      <w:r>
        <w:t xml:space="preserve">Δεν είναι γνωστό εάν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εκκρίνεται στο μητρικό γάλα. Ο γιατρός σα</w:t>
      </w:r>
      <w:r>
        <w:t xml:space="preserve">ς θα συζητήσει μαζί σας τους πιθανούς κινδύνους και τα οφέλη της χρήσης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κατά το θηλασμό.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 w:right="875"/>
        <w:jc w:val="both"/>
      </w:pPr>
      <w:r>
        <w:t>Εάν είσθε έγκυος ή θηλάζετε, νομίζετε ότι μπορεί να είσθε έγκυος ή σχεδιάζετε να αποκτήσετε παιδί, ζητήστε τη συμβουλή του γιατρού ή του φαρμακοποι</w:t>
      </w:r>
      <w:r>
        <w:t>ού σας πριν σας δοθεί αυτό το εμβόλιο.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1"/>
        <w:jc w:val="both"/>
      </w:pPr>
      <w:r>
        <w:t>Οδήγηση και χειρισμός μηχανημάτων</w:t>
      </w:r>
    </w:p>
    <w:p w:rsidR="00F76994" w:rsidRDefault="00951051">
      <w:pPr>
        <w:pStyle w:val="a3"/>
        <w:spacing w:before="2"/>
        <w:ind w:left="318" w:right="873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 απίθανο να έχει επίδραση στην ικανότητα οδήγησης ή χειρισμού μηχανημάτων.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1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περιέχει </w:t>
      </w:r>
      <w:proofErr w:type="spellStart"/>
      <w:r>
        <w:t>νεομυκίνη</w:t>
      </w:r>
      <w:proofErr w:type="spellEnd"/>
      <w:r>
        <w:t xml:space="preserve"> και </w:t>
      </w:r>
      <w:proofErr w:type="spellStart"/>
      <w:r>
        <w:t>πολυμυξίνη</w:t>
      </w:r>
      <w:proofErr w:type="spellEnd"/>
    </w:p>
    <w:p w:rsidR="00F76994" w:rsidRDefault="00F76994">
      <w:pPr>
        <w:pStyle w:val="a3"/>
        <w:spacing w:before="3"/>
        <w:rPr>
          <w:b/>
        </w:rPr>
      </w:pPr>
    </w:p>
    <w:p w:rsidR="00F76994" w:rsidRDefault="00951051">
      <w:pPr>
        <w:pStyle w:val="a3"/>
        <w:ind w:left="318" w:right="874"/>
        <w:jc w:val="both"/>
      </w:pPr>
      <w:r>
        <w:t xml:space="preserve">Αυτό το εμβόλιο περιέχει </w:t>
      </w:r>
      <w:proofErr w:type="spellStart"/>
      <w:r>
        <w:t>νεομυκίνη</w:t>
      </w:r>
      <w:proofErr w:type="spellEnd"/>
      <w:r>
        <w:t xml:space="preserve">, </w:t>
      </w:r>
      <w:proofErr w:type="spellStart"/>
      <w:r>
        <w:t>πολυμυξίνη</w:t>
      </w:r>
      <w:proofErr w:type="spellEnd"/>
      <w:r>
        <w:t xml:space="preserve"> (αντιβιοτικά). Παρακαλείσθε να ενημερώσετε το γιατρό σας εάν εσείς ή το παιδί σας είχατε αλλεργική αντίδραση σε αυτά τα συστατικά.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8"/>
        <w:rPr>
          <w:sz w:val="19"/>
        </w:rPr>
      </w:pPr>
    </w:p>
    <w:p w:rsidR="00F76994" w:rsidRDefault="00951051">
      <w:pPr>
        <w:pStyle w:val="1"/>
        <w:numPr>
          <w:ilvl w:val="0"/>
          <w:numId w:val="4"/>
        </w:numPr>
        <w:tabs>
          <w:tab w:val="left" w:pos="885"/>
        </w:tabs>
        <w:spacing w:before="1"/>
        <w:ind w:firstLine="0"/>
        <w:jc w:val="both"/>
      </w:pPr>
      <w:r>
        <w:t xml:space="preserve">Πώς να χρησιμοποιήσετε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</w:p>
    <w:p w:rsidR="00F76994" w:rsidRDefault="00F76994">
      <w:pPr>
        <w:jc w:val="both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885"/>
        </w:tabs>
        <w:spacing w:before="89"/>
        <w:ind w:hanging="206"/>
      </w:pPr>
      <w:r>
        <w:lastRenderedPageBreak/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θα χορηγηθεί ως ένεση στο</w:t>
      </w:r>
      <w:r>
        <w:rPr>
          <w:spacing w:val="-9"/>
        </w:rPr>
        <w:t xml:space="preserve"> </w:t>
      </w:r>
      <w:r>
        <w:t>μυ.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885"/>
        </w:tabs>
        <w:ind w:hanging="206"/>
      </w:pPr>
      <w:r>
        <w:t>Το εμβόλιο δεν θα πρέπει να δοθεί ποτέ μέσα σε αιμοφόρα</w:t>
      </w:r>
      <w:r>
        <w:rPr>
          <w:spacing w:val="-13"/>
        </w:rPr>
        <w:t xml:space="preserve"> </w:t>
      </w:r>
      <w:r>
        <w:t>αγγεία.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885"/>
        </w:tabs>
        <w:ind w:hanging="206"/>
      </w:pPr>
      <w:r>
        <w:t xml:space="preserve">Εσείς ή το παιδί σας θα κάνετε μία ένεση </w:t>
      </w:r>
      <w:proofErr w:type="spellStart"/>
      <w:r>
        <w:t>Boostrix</w:t>
      </w:r>
      <w:proofErr w:type="spellEnd"/>
      <w:r>
        <w:rPr>
          <w:spacing w:val="-6"/>
        </w:rPr>
        <w:t xml:space="preserve"> </w:t>
      </w:r>
      <w:proofErr w:type="spellStart"/>
      <w:r>
        <w:t>Polio</w:t>
      </w:r>
      <w:proofErr w:type="spellEnd"/>
      <w:r>
        <w:t>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885"/>
        </w:tabs>
        <w:ind w:right="873" w:hanging="206"/>
        <w:jc w:val="both"/>
      </w:pPr>
      <w:r>
        <w:t xml:space="preserve">Ο γιατρός θα εξακριβώσει αν εσείς ή το παιδί σας έχει υποβληθεί προηγουμένως σε εμβολιασμό για διφθερίτιδα, τέτανο, </w:t>
      </w:r>
      <w:proofErr w:type="spellStart"/>
      <w:r>
        <w:t>κοκκύτη</w:t>
      </w:r>
      <w:proofErr w:type="spellEnd"/>
      <w:r>
        <w:t xml:space="preserve"> και/ή τον ιό της πολιομυελίτιδας.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885"/>
        </w:tabs>
        <w:ind w:right="876" w:hanging="206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μπορεί να χρησιμοποιηθεί σε περίπτωση υποψίας μόλυνσης με τέτανο, παρόλο που επ</w:t>
      </w:r>
      <w:r>
        <w:t xml:space="preserve">ιπρόσθετες προφυλάξεις, π.χ. επιμελής καθαρισμός της πληγής και/ή εφαρμογή τετανικής </w:t>
      </w:r>
      <w:proofErr w:type="spellStart"/>
      <w:r>
        <w:t>αντιτοξίνης</w:t>
      </w:r>
      <w:proofErr w:type="spellEnd"/>
      <w:r>
        <w:t xml:space="preserve"> θα ληφθούν ώστε να μειωθεί ο κίνδυνος εκδήλωσης της</w:t>
      </w:r>
      <w:r>
        <w:rPr>
          <w:spacing w:val="-3"/>
        </w:rPr>
        <w:t xml:space="preserve"> </w:t>
      </w:r>
      <w:r>
        <w:t>ασθένειας.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/>
      </w:pPr>
      <w:r>
        <w:t>Ο γιατρός θα σας συμβουλέψει για επανάληψη του εμβολιασμού.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rPr>
          <w:sz w:val="20"/>
        </w:rPr>
      </w:pPr>
    </w:p>
    <w:p w:rsidR="00F76994" w:rsidRDefault="00951051">
      <w:pPr>
        <w:pStyle w:val="1"/>
        <w:numPr>
          <w:ilvl w:val="0"/>
          <w:numId w:val="4"/>
        </w:numPr>
        <w:tabs>
          <w:tab w:val="left" w:pos="884"/>
          <w:tab w:val="left" w:pos="885"/>
        </w:tabs>
        <w:ind w:firstLine="0"/>
      </w:pPr>
      <w:r>
        <w:t>Πιθανές ανεπιθύμητες</w:t>
      </w:r>
      <w:r>
        <w:rPr>
          <w:spacing w:val="-9"/>
        </w:rPr>
        <w:t xml:space="preserve"> </w:t>
      </w:r>
      <w:r>
        <w:t>ενέργειες</w:t>
      </w:r>
    </w:p>
    <w:p w:rsidR="00F76994" w:rsidRDefault="00F76994">
      <w:pPr>
        <w:pStyle w:val="a3"/>
        <w:rPr>
          <w:b/>
        </w:rPr>
      </w:pPr>
    </w:p>
    <w:p w:rsidR="00F76994" w:rsidRDefault="00951051">
      <w:pPr>
        <w:pStyle w:val="a3"/>
        <w:ind w:left="318" w:right="874"/>
        <w:jc w:val="both"/>
      </w:pPr>
      <w:r>
        <w:t>Ό</w:t>
      </w:r>
      <w:r>
        <w:t>πως όλα τα φάρμακα, έτσι και το εμβόλιο αυτό μπορεί να προκαλέσει ανεπιθύμητες ενέργειες αν και δεν παρουσιάζονται σε όλους τους ανθρώπους.</w:t>
      </w:r>
    </w:p>
    <w:p w:rsidR="00F76994" w:rsidRDefault="00F76994">
      <w:pPr>
        <w:pStyle w:val="a3"/>
        <w:spacing w:before="2"/>
      </w:pPr>
    </w:p>
    <w:p w:rsidR="00F76994" w:rsidRDefault="00951051">
      <w:pPr>
        <w:pStyle w:val="a3"/>
        <w:ind w:left="318" w:right="872"/>
        <w:jc w:val="both"/>
      </w:pPr>
      <w:r>
        <w:t>Όπως με όλα τα ενέσιμα εμβόλια, μπορεί να εμφανισθούν σοβαρές αλλεργικές αντιδράσεις (</w:t>
      </w:r>
      <w:proofErr w:type="spellStart"/>
      <w:r>
        <w:t>αναφυλακτικές</w:t>
      </w:r>
      <w:proofErr w:type="spellEnd"/>
      <w:r>
        <w:t xml:space="preserve"> αντιδράσεις) πο</w:t>
      </w:r>
      <w:r>
        <w:t>λύ σπάνια (λιγότερο από 1 στις 10.000 δόσεις εμβολίου). Αυτές μπορεί να αναγνωρισθούν</w:t>
      </w:r>
      <w:r>
        <w:rPr>
          <w:spacing w:val="56"/>
        </w:rPr>
        <w:t xml:space="preserve"> </w:t>
      </w:r>
      <w:r>
        <w:t>από: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1397"/>
          <w:tab w:val="left" w:pos="1398"/>
        </w:tabs>
        <w:spacing w:line="268" w:lineRule="exact"/>
        <w:ind w:left="1158" w:hanging="300"/>
      </w:pPr>
      <w:r>
        <w:t>Εξανθήματα που μπορεί να έχουν φαγούρα ή</w:t>
      </w:r>
      <w:r>
        <w:rPr>
          <w:spacing w:val="-4"/>
        </w:rPr>
        <w:t xml:space="preserve"> </w:t>
      </w:r>
      <w:r>
        <w:t>φουσκάλες,</w:t>
      </w:r>
    </w:p>
    <w:p w:rsidR="00F76994" w:rsidRDefault="00951051">
      <w:pPr>
        <w:pStyle w:val="1"/>
        <w:numPr>
          <w:ilvl w:val="1"/>
          <w:numId w:val="4"/>
        </w:numPr>
        <w:tabs>
          <w:tab w:val="left" w:pos="1397"/>
          <w:tab w:val="left" w:pos="1398"/>
        </w:tabs>
        <w:spacing w:line="267" w:lineRule="exact"/>
        <w:ind w:left="1158" w:hanging="300"/>
      </w:pPr>
      <w:r>
        <w:t>Πρήξιμο στα μάτια και στο</w:t>
      </w:r>
      <w:r>
        <w:rPr>
          <w:spacing w:val="-4"/>
        </w:rPr>
        <w:t xml:space="preserve"> </w:t>
      </w:r>
      <w:r>
        <w:t>πρόσωπο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397"/>
          <w:tab w:val="left" w:pos="1398"/>
        </w:tabs>
        <w:spacing w:line="268" w:lineRule="exact"/>
        <w:ind w:left="1158" w:hanging="300"/>
        <w:rPr>
          <w:b/>
        </w:rPr>
      </w:pPr>
      <w:r>
        <w:rPr>
          <w:b/>
        </w:rPr>
        <w:t>Δυσκολία στην αναπνοή ή την</w:t>
      </w:r>
      <w:r>
        <w:rPr>
          <w:b/>
          <w:spacing w:val="-6"/>
        </w:rPr>
        <w:t xml:space="preserve"> </w:t>
      </w:r>
      <w:r>
        <w:rPr>
          <w:b/>
        </w:rPr>
        <w:t>κατάποση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397"/>
          <w:tab w:val="left" w:pos="1398"/>
        </w:tabs>
        <w:spacing w:line="269" w:lineRule="exact"/>
        <w:ind w:left="1158" w:hanging="300"/>
      </w:pPr>
      <w:r>
        <w:t xml:space="preserve">Απότομη πτώση της πίεσης του αίματος και </w:t>
      </w:r>
      <w:r>
        <w:rPr>
          <w:b/>
        </w:rPr>
        <w:t>απώλεια</w:t>
      </w:r>
      <w:r>
        <w:rPr>
          <w:b/>
          <w:spacing w:val="-9"/>
        </w:rPr>
        <w:t xml:space="preserve"> </w:t>
      </w:r>
      <w:r>
        <w:rPr>
          <w:b/>
        </w:rPr>
        <w:t>συνείδησης</w:t>
      </w:r>
      <w:r>
        <w:t>.</w:t>
      </w:r>
    </w:p>
    <w:p w:rsidR="00F76994" w:rsidRDefault="00F76994">
      <w:pPr>
        <w:pStyle w:val="a3"/>
        <w:spacing w:before="1"/>
      </w:pPr>
    </w:p>
    <w:p w:rsidR="00F76994" w:rsidRDefault="00951051">
      <w:pPr>
        <w:ind w:left="318" w:right="870"/>
        <w:jc w:val="both"/>
        <w:rPr>
          <w:b/>
        </w:rPr>
      </w:pPr>
      <w:r>
        <w:t xml:space="preserve">Τέτοιου είδους αντιδράσεις μπορεί να συμβούν πριν φύγετε από το γραφείο του γιατρού σας. Ωστόσο, εάν εμφανίσετε κάποιο από αυτά τα συμπτώματα, </w:t>
      </w:r>
      <w:r>
        <w:rPr>
          <w:b/>
        </w:rPr>
        <w:t>θα πρέπει να επικοινωνήσετε άμεσα με το γιατρό σας.</w:t>
      </w:r>
    </w:p>
    <w:p w:rsidR="00F76994" w:rsidRDefault="00F76994">
      <w:pPr>
        <w:pStyle w:val="a3"/>
        <w:spacing w:before="1"/>
        <w:rPr>
          <w:b/>
        </w:rPr>
      </w:pPr>
    </w:p>
    <w:p w:rsidR="00F76994" w:rsidRDefault="00951051">
      <w:pPr>
        <w:ind w:left="318"/>
        <w:jc w:val="both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>Ανεπιθύμητες ενέργειες που εμφανίσθηκα</w:t>
      </w:r>
      <w:r>
        <w:rPr>
          <w:i/>
          <w:u w:val="single"/>
        </w:rPr>
        <w:t>ν σε παιδιά ηλικίας 4 έως 8 ετών</w:t>
      </w:r>
    </w:p>
    <w:p w:rsidR="00F76994" w:rsidRDefault="00F76994">
      <w:pPr>
        <w:pStyle w:val="a3"/>
        <w:spacing w:before="5"/>
        <w:rPr>
          <w:i/>
          <w:sz w:val="13"/>
        </w:rPr>
      </w:pPr>
    </w:p>
    <w:p w:rsidR="00F76994" w:rsidRDefault="00951051">
      <w:pPr>
        <w:pStyle w:val="a3"/>
        <w:spacing w:before="94" w:line="244" w:lineRule="auto"/>
        <w:ind w:left="318" w:right="919"/>
      </w:pPr>
      <w:r>
        <w:rPr>
          <w:b/>
        </w:rPr>
        <w:t xml:space="preserve">Πολύ συχνές </w:t>
      </w:r>
      <w:r>
        <w:t>(μπορεί να εμφανισθούν σε περισσότερες από 1 στις 10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line="261" w:lineRule="exact"/>
        <w:ind w:left="1158" w:hanging="300"/>
      </w:pPr>
      <w:r>
        <w:t>Πόνος, κοκκινίλα και πρήξιμο στο σημείο της</w:t>
      </w:r>
      <w:r>
        <w:rPr>
          <w:spacing w:val="2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line="269" w:lineRule="exact"/>
        <w:ind w:left="1158" w:hanging="300"/>
      </w:pPr>
      <w:r>
        <w:t>Υπνηλία</w:t>
      </w:r>
    </w:p>
    <w:p w:rsidR="00F76994" w:rsidRDefault="00F76994">
      <w:pPr>
        <w:pStyle w:val="a3"/>
        <w:spacing w:before="8"/>
        <w:rPr>
          <w:sz w:val="21"/>
        </w:rPr>
      </w:pPr>
    </w:p>
    <w:p w:rsidR="00F76994" w:rsidRDefault="00951051">
      <w:pPr>
        <w:pStyle w:val="a3"/>
        <w:ind w:left="318"/>
      </w:pPr>
      <w:r>
        <w:rPr>
          <w:b/>
        </w:rPr>
        <w:t>Συχνές (</w:t>
      </w:r>
      <w:r>
        <w:t>μπορεί να εμφανισθούν σε έως 1 στις 10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before="1"/>
        <w:ind w:left="1158" w:right="871" w:hanging="240"/>
      </w:pPr>
      <w:r>
        <w:t>Πυρετός ίσος ή μεγαλύτερος από 37.5°C (περιλαμβανομένου πυρετού μεγαλύτερου</w:t>
      </w:r>
      <w:r>
        <w:rPr>
          <w:spacing w:val="-1"/>
        </w:rPr>
        <w:t xml:space="preserve"> </w:t>
      </w:r>
      <w:r>
        <w:t>από39°C)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7" w:lineRule="exact"/>
        <w:ind w:left="1170" w:hanging="286"/>
      </w:pPr>
      <w:r>
        <w:t>Αιμορραγία, φαγούρα και σκληρία στο σημείο της</w:t>
      </w:r>
      <w:r>
        <w:rPr>
          <w:spacing w:val="-10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Εκτενές πρήξιμο στο άκρο που έγινε ο</w:t>
      </w:r>
      <w:r>
        <w:rPr>
          <w:spacing w:val="-1"/>
        </w:rPr>
        <w:t xml:space="preserve"> </w:t>
      </w:r>
      <w:r>
        <w:t>εμβολιασμός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Απώλεια της</w:t>
      </w:r>
      <w:r>
        <w:rPr>
          <w:spacing w:val="-2"/>
        </w:rPr>
        <w:t xml:space="preserve"> </w:t>
      </w:r>
      <w:r>
        <w:t>όρεξης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Ευερεθιστότητα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Πονοκέφαλος</w:t>
      </w:r>
    </w:p>
    <w:p w:rsidR="00F76994" w:rsidRDefault="00F76994">
      <w:pPr>
        <w:pStyle w:val="a3"/>
        <w:spacing w:before="8"/>
        <w:rPr>
          <w:sz w:val="21"/>
        </w:rPr>
      </w:pPr>
    </w:p>
    <w:p w:rsidR="00F76994" w:rsidRDefault="00951051">
      <w:pPr>
        <w:pStyle w:val="a3"/>
        <w:ind w:left="318"/>
      </w:pPr>
      <w:r>
        <w:rPr>
          <w:b/>
        </w:rPr>
        <w:t xml:space="preserve">Όχι συχνές </w:t>
      </w:r>
      <w:r>
        <w:t>(μπορεί να</w:t>
      </w:r>
      <w:r>
        <w:t xml:space="preserve"> εμφανισθούν σε έως 1 στις 100 δόσεις του εμβολίου):</w:t>
      </w:r>
    </w:p>
    <w:p w:rsidR="00F76994" w:rsidRDefault="00F76994">
      <w:pPr>
        <w:sectPr w:rsidR="00F76994">
          <w:pgSz w:w="11910" w:h="16850"/>
          <w:pgMar w:top="160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before="76" w:line="269" w:lineRule="exact"/>
        <w:ind w:left="1170" w:hanging="286"/>
      </w:pPr>
      <w:r>
        <w:lastRenderedPageBreak/>
        <w:t>Διάρροια, ναυτία,</w:t>
      </w:r>
      <w:r>
        <w:rPr>
          <w:spacing w:val="2"/>
        </w:rPr>
        <w:t xml:space="preserve"> </w:t>
      </w:r>
      <w:r>
        <w:t>εμετός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Στομαχικός</w:t>
      </w:r>
      <w:r>
        <w:rPr>
          <w:spacing w:val="-1"/>
        </w:rPr>
        <w:t xml:space="preserve"> </w:t>
      </w:r>
      <w:r>
        <w:t>πόνος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  <w:tab w:val="left" w:pos="2501"/>
          <w:tab w:val="left" w:pos="3446"/>
          <w:tab w:val="left" w:pos="4079"/>
          <w:tab w:val="left" w:pos="4962"/>
          <w:tab w:val="left" w:pos="6339"/>
          <w:tab w:val="left" w:pos="6747"/>
          <w:tab w:val="left" w:pos="8095"/>
        </w:tabs>
        <w:ind w:left="1170" w:right="870" w:hanging="286"/>
      </w:pPr>
      <w:r>
        <w:t>Πρησμένοι</w:t>
      </w:r>
      <w:r>
        <w:tab/>
        <w:t>αδένες</w:t>
      </w:r>
      <w:r>
        <w:tab/>
        <w:t>στο</w:t>
      </w:r>
      <w:r>
        <w:tab/>
        <w:t>λαιμό,</w:t>
      </w:r>
      <w:r>
        <w:tab/>
        <w:t>μασχαλιαία</w:t>
      </w:r>
      <w:r>
        <w:tab/>
        <w:t>ή</w:t>
      </w:r>
      <w:r>
        <w:tab/>
        <w:t>βουβωνική</w:t>
      </w:r>
      <w:r>
        <w:tab/>
        <w:t>χώρα (</w:t>
      </w:r>
      <w:proofErr w:type="spellStart"/>
      <w:r>
        <w:t>λεμφαδενοπάθεια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7" w:lineRule="exact"/>
        <w:ind w:left="1170" w:hanging="286"/>
      </w:pPr>
      <w:r>
        <w:t>Διαταραχή στον</w:t>
      </w:r>
      <w:r>
        <w:rPr>
          <w:spacing w:val="-3"/>
        </w:rPr>
        <w:t xml:space="preserve"> </w:t>
      </w:r>
      <w:r>
        <w:t>ύπνο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Απάθεια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Ξηρότητα του</w:t>
      </w:r>
      <w:r>
        <w:rPr>
          <w:spacing w:val="-2"/>
        </w:rPr>
        <w:t xml:space="preserve"> </w:t>
      </w:r>
      <w:r>
        <w:t>φάρυγγα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Κόπωση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ind w:left="318" w:right="872"/>
        <w:jc w:val="both"/>
        <w:rPr>
          <w:i/>
        </w:rPr>
      </w:pPr>
      <w:proofErr w:type="spellStart"/>
      <w:r>
        <w:rPr>
          <w:i/>
          <w:color w:val="212121"/>
        </w:rPr>
        <w:t>Συγχορήγηση</w:t>
      </w:r>
      <w:proofErr w:type="spellEnd"/>
      <w:r>
        <w:rPr>
          <w:i/>
          <w:color w:val="212121"/>
        </w:rPr>
        <w:t xml:space="preserve"> με εμβόλια ιλαράς-παρωτίτιδας-ερυθράς (MMR) ή ιλαράς-παρωτίτιδας- ερυθράς-</w:t>
      </w:r>
      <w:proofErr w:type="spellStart"/>
      <w:r>
        <w:rPr>
          <w:i/>
          <w:color w:val="212121"/>
        </w:rPr>
        <w:t>ανεμευλογιάς</w:t>
      </w:r>
      <w:proofErr w:type="spellEnd"/>
      <w:r>
        <w:rPr>
          <w:i/>
          <w:color w:val="212121"/>
        </w:rPr>
        <w:t xml:space="preserve"> (MMRV) σε παιδιά ηλικίας 3-6 ετών</w:t>
      </w:r>
    </w:p>
    <w:p w:rsidR="00F76994" w:rsidRDefault="00F76994">
      <w:pPr>
        <w:pStyle w:val="a3"/>
        <w:spacing w:before="11"/>
        <w:rPr>
          <w:i/>
          <w:sz w:val="21"/>
        </w:rPr>
      </w:pPr>
    </w:p>
    <w:p w:rsidR="00F76994" w:rsidRDefault="00951051">
      <w:pPr>
        <w:pStyle w:val="a3"/>
        <w:ind w:left="318" w:right="872"/>
        <w:jc w:val="both"/>
      </w:pPr>
      <w:r>
        <w:rPr>
          <w:color w:val="212121"/>
        </w:rPr>
        <w:t xml:space="preserve">Σε μελέτες όπου το </w:t>
      </w:r>
      <w:proofErr w:type="spellStart"/>
      <w:r>
        <w:rPr>
          <w:color w:val="212121"/>
        </w:rPr>
        <w:t>Boostrix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Polio</w:t>
      </w:r>
      <w:proofErr w:type="spellEnd"/>
      <w:r>
        <w:rPr>
          <w:color w:val="212121"/>
        </w:rPr>
        <w:t xml:space="preserve"> δόθηκε ταυτόχρονα με ένα εμβόλιο MMR ή MMRV αναφέρθηκε συχνά δερματικό εξάνθημα και λοίμ</w:t>
      </w:r>
      <w:r>
        <w:rPr>
          <w:color w:val="212121"/>
        </w:rPr>
        <w:t>ωξη του ανώτερου αναπνευστικού συστήματος (συμπεριλαμβανομένης της καταρροής και του πονόλαιμου). Πυρετός, ευερεθιστότητα, κόπωση, απώλεια της όρεξης και γαστρεντερικές διαταραχές (συμπεριλαμβανομένης της διάρροιας και του εμέτου) αναφέρθηκαν συχνότερα (πο</w:t>
      </w:r>
      <w:r>
        <w:rPr>
          <w:color w:val="212121"/>
        </w:rPr>
        <w:t xml:space="preserve">λύ συχνά) από ό, τι σε μελέτες όπου το </w:t>
      </w:r>
      <w:proofErr w:type="spellStart"/>
      <w:r>
        <w:rPr>
          <w:color w:val="212121"/>
        </w:rPr>
        <w:t>Boostrix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Polio</w:t>
      </w:r>
      <w:proofErr w:type="spellEnd"/>
      <w:r>
        <w:rPr>
          <w:color w:val="212121"/>
        </w:rPr>
        <w:t xml:space="preserve"> δόθηκε μόνο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του.</w:t>
      </w:r>
    </w:p>
    <w:p w:rsidR="00F76994" w:rsidRDefault="00F76994">
      <w:pPr>
        <w:pStyle w:val="a3"/>
        <w:spacing w:before="1"/>
      </w:pPr>
    </w:p>
    <w:p w:rsidR="00F76994" w:rsidRDefault="00951051">
      <w:pPr>
        <w:ind w:left="318" w:right="876"/>
        <w:jc w:val="both"/>
        <w:rPr>
          <w:i/>
        </w:rPr>
      </w:pPr>
      <w:r>
        <w:rPr>
          <w:i/>
        </w:rPr>
        <w:t>Ανεπιθύμητες ενέργειες που εμφανίσθηκαν κατά τη διάρκεια κλινικών δοκιμών σε ενήλικες, εφήβους και παιδιά από την ηλικία των 10 ετών και άνω:</w:t>
      </w:r>
    </w:p>
    <w:p w:rsidR="00F76994" w:rsidRDefault="00F76994">
      <w:pPr>
        <w:pStyle w:val="a3"/>
        <w:spacing w:before="8"/>
        <w:rPr>
          <w:i/>
          <w:sz w:val="21"/>
        </w:rPr>
      </w:pPr>
    </w:p>
    <w:p w:rsidR="00F76994" w:rsidRDefault="00951051">
      <w:pPr>
        <w:pStyle w:val="a3"/>
        <w:spacing w:line="244" w:lineRule="auto"/>
        <w:ind w:left="318" w:right="878"/>
        <w:jc w:val="both"/>
      </w:pPr>
      <w:r>
        <w:rPr>
          <w:b/>
        </w:rPr>
        <w:t xml:space="preserve">Πολύ συχνές </w:t>
      </w:r>
      <w:r>
        <w:t>(μπορεί να εμφανισθούν σε περισσότερες από 1 στις 10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line="261" w:lineRule="exact"/>
        <w:ind w:left="1158" w:hanging="300"/>
      </w:pPr>
      <w:r>
        <w:t>Πόνος, κοκκινίλα και πρήξιμο στο σημείο της</w:t>
      </w:r>
      <w:r>
        <w:rPr>
          <w:spacing w:val="-2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line="268" w:lineRule="exact"/>
        <w:ind w:left="1158" w:hanging="300"/>
      </w:pPr>
      <w:r>
        <w:t>Κόπωση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line="268" w:lineRule="exact"/>
        <w:ind w:left="1158" w:hanging="300"/>
      </w:pPr>
      <w:r>
        <w:t>Πονοκέφαλος</w:t>
      </w:r>
    </w:p>
    <w:p w:rsidR="00F76994" w:rsidRDefault="00F76994">
      <w:pPr>
        <w:pStyle w:val="a3"/>
        <w:spacing w:before="8"/>
        <w:rPr>
          <w:sz w:val="21"/>
        </w:rPr>
      </w:pPr>
    </w:p>
    <w:p w:rsidR="00F76994" w:rsidRDefault="00951051">
      <w:pPr>
        <w:pStyle w:val="a3"/>
        <w:ind w:left="318"/>
        <w:jc w:val="both"/>
      </w:pPr>
      <w:r>
        <w:rPr>
          <w:b/>
        </w:rPr>
        <w:t>Συχνές (</w:t>
      </w:r>
      <w:r>
        <w:t>μπορεί να εμφανισθούν σε έως 1 στις 10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before="4" w:line="268" w:lineRule="exact"/>
        <w:ind w:left="1170" w:hanging="286"/>
      </w:pPr>
      <w:r>
        <w:t>Πυρετός ίσος ή μεγαλύτερος από 37,5°C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Φαγ</w:t>
      </w:r>
      <w:r>
        <w:t>ούρα, σκληρία, θερμότητα ή μούδιασμα στο σημείο της</w:t>
      </w:r>
      <w:r>
        <w:rPr>
          <w:spacing w:val="-11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Στομαχικός πόνος, ναυτία,</w:t>
      </w:r>
      <w:r>
        <w:rPr>
          <w:spacing w:val="2"/>
        </w:rPr>
        <w:t xml:space="preserve"> </w:t>
      </w:r>
      <w:r>
        <w:t>εμετός</w:t>
      </w:r>
    </w:p>
    <w:p w:rsidR="00F76994" w:rsidRDefault="00F76994">
      <w:pPr>
        <w:pStyle w:val="a3"/>
        <w:spacing w:before="8"/>
        <w:rPr>
          <w:sz w:val="21"/>
        </w:rPr>
      </w:pPr>
    </w:p>
    <w:p w:rsidR="00F76994" w:rsidRDefault="00951051">
      <w:pPr>
        <w:pStyle w:val="a3"/>
        <w:ind w:left="318"/>
        <w:jc w:val="both"/>
      </w:pPr>
      <w:r>
        <w:rPr>
          <w:b/>
        </w:rPr>
        <w:t>Όχι συχνές (</w:t>
      </w:r>
      <w:r>
        <w:t>μπορεί να εμφανισθούν σε έως 1 στις 100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before="1" w:line="269" w:lineRule="exact"/>
        <w:ind w:left="1170" w:hanging="286"/>
      </w:pPr>
      <w:r>
        <w:t>Πυρετός μεγαλύτερος από 39°C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Πρήξιμο στο άκρο που χορηγήθηκε το</w:t>
      </w:r>
      <w:r>
        <w:rPr>
          <w:spacing w:val="-2"/>
        </w:rPr>
        <w:t xml:space="preserve"> </w:t>
      </w:r>
      <w:r>
        <w:t>εμβόλιο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Ρίγη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Πόνος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Ζάλη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Δυσκαμψία της άρθρωσης, πόνος στους</w:t>
      </w:r>
      <w:r>
        <w:rPr>
          <w:spacing w:val="-1"/>
        </w:rPr>
        <w:t xml:space="preserve"> </w:t>
      </w:r>
      <w:r>
        <w:t>μύες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Φαγούρα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Έρπητας του</w:t>
      </w:r>
      <w:r>
        <w:rPr>
          <w:spacing w:val="-2"/>
        </w:rPr>
        <w:t xml:space="preserve"> </w:t>
      </w:r>
      <w:r>
        <w:t>στόματος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  <w:tab w:val="left" w:pos="2501"/>
          <w:tab w:val="left" w:pos="3446"/>
          <w:tab w:val="left" w:pos="4079"/>
          <w:tab w:val="left" w:pos="4962"/>
          <w:tab w:val="left" w:pos="6339"/>
          <w:tab w:val="left" w:pos="6747"/>
          <w:tab w:val="left" w:pos="8091"/>
        </w:tabs>
        <w:spacing w:before="2" w:line="237" w:lineRule="auto"/>
        <w:ind w:left="1170" w:right="875" w:hanging="286"/>
      </w:pPr>
      <w:r>
        <w:t>Πρησμένοι</w:t>
      </w:r>
      <w:r>
        <w:tab/>
        <w:t>αδένες</w:t>
      </w:r>
      <w:r>
        <w:tab/>
        <w:t>στο</w:t>
      </w:r>
      <w:r>
        <w:tab/>
        <w:t>λαιμό,</w:t>
      </w:r>
      <w:r>
        <w:tab/>
        <w:t>μασχαλιαία</w:t>
      </w:r>
      <w:r>
        <w:tab/>
        <w:t>ή</w:t>
      </w:r>
      <w:r>
        <w:tab/>
        <w:t>βουβωνική</w:t>
      </w:r>
      <w:r>
        <w:tab/>
        <w:t>χώρα (</w:t>
      </w:r>
      <w:proofErr w:type="spellStart"/>
      <w:r>
        <w:t>λεμφαδενοπάθεια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before="1" w:line="268" w:lineRule="exact"/>
        <w:ind w:left="1170" w:hanging="286"/>
      </w:pPr>
      <w:r>
        <w:t>Μειωμένη</w:t>
      </w:r>
      <w:r>
        <w:rPr>
          <w:spacing w:val="-1"/>
        </w:rPr>
        <w:t xml:space="preserve"> </w:t>
      </w:r>
      <w:r>
        <w:t>όρεξη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Μυρμήγκιασμα ή μούδιασμα στα χέρια ή στα πόδια</w:t>
      </w:r>
      <w:r>
        <w:rPr>
          <w:spacing w:val="-8"/>
        </w:rPr>
        <w:t xml:space="preserve"> </w:t>
      </w:r>
      <w:r>
        <w:t>(παραισθησία)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Υπνηλία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Άσθμα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 w:right="878"/>
        <w:jc w:val="both"/>
      </w:pPr>
      <w:r>
        <w:t xml:space="preserve">Οι ακόλουθες ανεπιθύμητες ενέργειες παρουσιάστηκαν κατά τη διάρκεια της συνήθους χρήσης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δεν αφορούν συγκεκριμένη ηλικία:</w:t>
      </w:r>
    </w:p>
    <w:p w:rsidR="00F76994" w:rsidRDefault="00F76994">
      <w:pPr>
        <w:pStyle w:val="a3"/>
        <w:spacing w:before="11"/>
        <w:rPr>
          <w:sz w:val="21"/>
        </w:r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ind w:left="1170" w:hanging="286"/>
      </w:pPr>
      <w:r>
        <w:t>Κατάρρευση ή περίοδοι απώλειας συνείδησης ή απώλειας</w:t>
      </w:r>
      <w:r>
        <w:rPr>
          <w:spacing w:val="-8"/>
        </w:rPr>
        <w:t xml:space="preserve"> </w:t>
      </w:r>
      <w:r>
        <w:t>αντίληψης</w:t>
      </w:r>
    </w:p>
    <w:p w:rsidR="00F76994" w:rsidRDefault="00F76994">
      <w:pPr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before="76"/>
        <w:ind w:left="1170" w:right="874" w:hanging="286"/>
      </w:pPr>
      <w:r>
        <w:lastRenderedPageBreak/>
        <w:t>Πρήξιμο στο πρόσωπο, χείλια, σ</w:t>
      </w:r>
      <w:r>
        <w:t>τόμα, γλώσσα ή λαιμό τα οποία μπορεί να προκαλέσουν δυσκολία στην κατάποση ή την αναπνοή</w:t>
      </w:r>
      <w:r>
        <w:rPr>
          <w:spacing w:val="-16"/>
        </w:rPr>
        <w:t xml:space="preserve"> </w:t>
      </w:r>
      <w:r>
        <w:t>(</w:t>
      </w:r>
      <w:proofErr w:type="spellStart"/>
      <w:r>
        <w:rPr>
          <w:i/>
        </w:rPr>
        <w:t>αγγειοοίδημα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Κρίσεις (με ή χωρίς</w:t>
      </w:r>
      <w:r>
        <w:rPr>
          <w:spacing w:val="-4"/>
        </w:rPr>
        <w:t xml:space="preserve"> </w:t>
      </w:r>
      <w:r>
        <w:t>πυρετό)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Φαγούρα (κνίδωση)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Ασυνήθιστη αδυναμία</w:t>
      </w:r>
      <w:r>
        <w:rPr>
          <w:spacing w:val="-21"/>
        </w:rPr>
        <w:t xml:space="preserve"> </w:t>
      </w:r>
      <w:r>
        <w:t>(εξασθένιση)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 w:right="873"/>
        <w:jc w:val="both"/>
      </w:pPr>
      <w:r>
        <w:t xml:space="preserve">Επιπλέον, οι ακόλουθες ανεπιθύμητες ενέργειες έχουν αναφερθεί κατά τη διάρκεια κλινικών δοκιμών με </w:t>
      </w:r>
      <w:proofErr w:type="spellStart"/>
      <w:r>
        <w:t>Boostrix</w:t>
      </w:r>
      <w:proofErr w:type="spellEnd"/>
      <w:r>
        <w:t xml:space="preserve"> (εμβόλιο αναμνηστικής χορήγησης διφθερίτιδας, τετάνου και </w:t>
      </w:r>
      <w:proofErr w:type="spellStart"/>
      <w:r>
        <w:t>κοκκύτη</w:t>
      </w:r>
      <w:proofErr w:type="spellEnd"/>
      <w:r>
        <w:t xml:space="preserve"> της </w:t>
      </w:r>
      <w:proofErr w:type="spellStart"/>
      <w:r>
        <w:t>GlaxoSmithKline</w:t>
      </w:r>
      <w:proofErr w:type="spellEnd"/>
      <w:r>
        <w:rPr>
          <w:spacing w:val="-3"/>
        </w:rPr>
        <w:t xml:space="preserve"> </w:t>
      </w:r>
      <w:proofErr w:type="spellStart"/>
      <w:r>
        <w:t>Biologicals</w:t>
      </w:r>
      <w:proofErr w:type="spellEnd"/>
      <w:r>
        <w:t>):</w:t>
      </w:r>
    </w:p>
    <w:p w:rsidR="00F76994" w:rsidRDefault="00F76994">
      <w:pPr>
        <w:pStyle w:val="a3"/>
        <w:spacing w:before="1"/>
      </w:pPr>
    </w:p>
    <w:p w:rsidR="00F76994" w:rsidRDefault="00951051">
      <w:pPr>
        <w:ind w:left="318" w:right="874"/>
        <w:jc w:val="both"/>
        <w:rPr>
          <w:i/>
        </w:rPr>
      </w:pPr>
      <w:r>
        <w:rPr>
          <w:i/>
        </w:rPr>
        <w:t xml:space="preserve">Ανεπιθύμητες ενέργειες οι οποίες παρατηρήθηκαν </w:t>
      </w:r>
      <w:r>
        <w:rPr>
          <w:i/>
        </w:rPr>
        <w:t>σε παιδιά από την ηλικία των 4 έως 8 ετών</w:t>
      </w:r>
    </w:p>
    <w:p w:rsidR="00F76994" w:rsidRDefault="00F76994">
      <w:pPr>
        <w:pStyle w:val="a3"/>
        <w:spacing w:before="9"/>
        <w:rPr>
          <w:i/>
          <w:sz w:val="21"/>
        </w:rPr>
      </w:pPr>
    </w:p>
    <w:p w:rsidR="00F76994" w:rsidRDefault="00951051">
      <w:pPr>
        <w:pStyle w:val="a3"/>
        <w:ind w:left="318"/>
        <w:jc w:val="both"/>
      </w:pPr>
      <w:r>
        <w:rPr>
          <w:b/>
        </w:rPr>
        <w:t>Όχι συχνές (</w:t>
      </w:r>
      <w:r>
        <w:t>μπορεί να εμφανισθούν σε έως 1 στις 100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before="1"/>
        <w:ind w:left="1170" w:hanging="286"/>
      </w:pPr>
      <w:r>
        <w:t>Διαταραχή</w:t>
      </w:r>
      <w:r>
        <w:rPr>
          <w:spacing w:val="-1"/>
        </w:rPr>
        <w:t xml:space="preserve"> </w:t>
      </w:r>
      <w:r>
        <w:t>προσοχής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Φαγούρα στα µάτια µε εκκρίσεις και εφελκίδα στα βλέφαρα</w:t>
      </w:r>
      <w:r>
        <w:rPr>
          <w:spacing w:val="-17"/>
        </w:rPr>
        <w:t xml:space="preserve"> </w:t>
      </w:r>
      <w:r>
        <w:t>(επιπεφυκίτιδα)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Πόνος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ind w:left="318" w:right="876"/>
        <w:jc w:val="both"/>
        <w:rPr>
          <w:i/>
        </w:rPr>
      </w:pPr>
      <w:r>
        <w:rPr>
          <w:i/>
        </w:rPr>
        <w:t>Ανεπιθύμητες ενέργειες οι οποίες παρατηρήθηκαν σε ενήλικες, εφήβους και παιδιά από την ηλικία των 10 ετών και άνω</w:t>
      </w:r>
    </w:p>
    <w:p w:rsidR="00F76994" w:rsidRDefault="00F76994">
      <w:pPr>
        <w:pStyle w:val="a3"/>
        <w:spacing w:before="8"/>
        <w:rPr>
          <w:i/>
          <w:sz w:val="21"/>
        </w:rPr>
      </w:pPr>
    </w:p>
    <w:p w:rsidR="00F76994" w:rsidRDefault="00951051">
      <w:pPr>
        <w:pStyle w:val="a3"/>
        <w:spacing w:before="1"/>
        <w:ind w:left="318" w:right="878"/>
        <w:jc w:val="both"/>
      </w:pPr>
      <w:r>
        <w:rPr>
          <w:b/>
        </w:rPr>
        <w:t>Πολύ συχνές (</w:t>
      </w:r>
      <w:r>
        <w:t>μπορεί να εμφανισθούν σε περισσότερες από 1 στις 10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before="2"/>
        <w:ind w:left="1158" w:hanging="300"/>
      </w:pPr>
      <w:r>
        <w:t>Γενικό αίσθημα</w:t>
      </w:r>
      <w:r>
        <w:rPr>
          <w:spacing w:val="-1"/>
        </w:rPr>
        <w:t xml:space="preserve"> </w:t>
      </w:r>
      <w:r>
        <w:t>αδιαθεσίας</w:t>
      </w:r>
    </w:p>
    <w:p w:rsidR="00F76994" w:rsidRDefault="00951051">
      <w:pPr>
        <w:pStyle w:val="a3"/>
        <w:spacing w:before="115"/>
        <w:ind w:left="318"/>
        <w:jc w:val="both"/>
      </w:pPr>
      <w:r>
        <w:rPr>
          <w:b/>
        </w:rPr>
        <w:t>Συχνές (</w:t>
      </w:r>
      <w:r>
        <w:t>μπορεί να εμφανισθού</w:t>
      </w:r>
      <w:r>
        <w:t>ν σε έως 1 στις 10 δόσεις του εμβολίου):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58"/>
        </w:tabs>
        <w:spacing w:before="3"/>
        <w:ind w:left="1158" w:hanging="300"/>
      </w:pPr>
      <w:r>
        <w:t>Σκληρό εξόγκωμα ή απόστημα στο σημείο της</w:t>
      </w:r>
      <w:r>
        <w:rPr>
          <w:spacing w:val="-8"/>
        </w:rPr>
        <w:t xml:space="preserve"> </w:t>
      </w:r>
      <w:r>
        <w:t>ένεσης</w:t>
      </w:r>
    </w:p>
    <w:p w:rsidR="00F76994" w:rsidRDefault="00951051">
      <w:pPr>
        <w:pStyle w:val="a3"/>
        <w:spacing w:before="115"/>
        <w:ind w:left="318"/>
        <w:jc w:val="both"/>
        <w:rPr>
          <w:b/>
        </w:rPr>
      </w:pPr>
      <w:r>
        <w:rPr>
          <w:b/>
        </w:rPr>
        <w:t>Όχι συχνές (</w:t>
      </w:r>
      <w:r>
        <w:t>μπορεί να εμφανισθούν σε έως 1 στις 100 δόσεις του εμβολίου)</w:t>
      </w:r>
      <w:r>
        <w:rPr>
          <w:b/>
        </w:rPr>
        <w:t>: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before="4" w:line="268" w:lineRule="exact"/>
        <w:ind w:left="1170" w:hanging="286"/>
      </w:pPr>
      <w:r>
        <w:t>Λοίμωξη του ανώτερου</w:t>
      </w:r>
      <w:r>
        <w:rPr>
          <w:spacing w:val="-1"/>
        </w:rPr>
        <w:t xml:space="preserve"> </w:t>
      </w:r>
      <w:r>
        <w:t>αναπνευστικού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Πονόλαιμος και δυσφορία κατά την κατάποση</w:t>
      </w:r>
      <w:r>
        <w:rPr>
          <w:spacing w:val="-8"/>
        </w:rPr>
        <w:t xml:space="preserve"> </w:t>
      </w:r>
      <w:r>
        <w:t>(φαρυγγίτιδα)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Λιποθυμία (</w:t>
      </w:r>
      <w:proofErr w:type="spellStart"/>
      <w:r>
        <w:t>συγκοπικό</w:t>
      </w:r>
      <w:proofErr w:type="spellEnd"/>
      <w:r>
        <w:t xml:space="preserve"> επεισόδιο)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Βήχας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9" w:lineRule="exact"/>
        <w:ind w:left="1170" w:hanging="286"/>
      </w:pPr>
      <w:r>
        <w:t>Διάρροια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Υπερβολική εφίδρωση</w:t>
      </w:r>
      <w:r>
        <w:rPr>
          <w:spacing w:val="-2"/>
        </w:rPr>
        <w:t xml:space="preserve"> </w:t>
      </w:r>
      <w:r>
        <w:t>(</w:t>
      </w:r>
      <w:proofErr w:type="spellStart"/>
      <w:r>
        <w:t>υπεριδρωσία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Δερματικό</w:t>
      </w:r>
      <w:r>
        <w:rPr>
          <w:spacing w:val="-1"/>
        </w:rPr>
        <w:t xml:space="preserve"> </w:t>
      </w:r>
      <w:r>
        <w:t>εξάνθημα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spacing w:line="268" w:lineRule="exact"/>
        <w:ind w:left="1170" w:hanging="286"/>
      </w:pPr>
      <w:r>
        <w:t>Δυσκαμψία της άρθρωσης, πόνος στους</w:t>
      </w:r>
      <w:r>
        <w:rPr>
          <w:spacing w:val="-1"/>
        </w:rPr>
        <w:t xml:space="preserve"> </w:t>
      </w:r>
      <w:r>
        <w:t>μύες</w:t>
      </w:r>
    </w:p>
    <w:p w:rsidR="00F76994" w:rsidRDefault="00951051">
      <w:pPr>
        <w:pStyle w:val="a4"/>
        <w:numPr>
          <w:ilvl w:val="1"/>
          <w:numId w:val="4"/>
        </w:numPr>
        <w:tabs>
          <w:tab w:val="left" w:pos="1170"/>
        </w:tabs>
        <w:ind w:left="1170" w:right="872" w:hanging="286"/>
      </w:pPr>
      <w:proofErr w:type="spellStart"/>
      <w:r>
        <w:t>Γριππώδης</w:t>
      </w:r>
      <w:proofErr w:type="spellEnd"/>
      <w:r>
        <w:t xml:space="preserve"> συνδρομή όπως πυρετός, πονόλαιμος, καταρροή, βήχας και ρίγη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3"/>
        <w:spacing w:before="1"/>
        <w:ind w:left="318" w:right="879"/>
        <w:jc w:val="both"/>
      </w:pPr>
      <w:r>
        <w:t xml:space="preserve">Μετά από τη χορήγηση εμβολίων για τον τέτανο έχει αναφερθεί πολύ σπάνια (έως 1 στις 10.000 δόσεις εμβολίου) παροδική φλεγμονή των νεύρων που προκαλεί πόνο, αδυναμία και παράλυση των άκρων και συχνά επεκτείνεται στο θώρακα και το πρόσωπο (σύνδρομο </w:t>
      </w:r>
      <w:proofErr w:type="spellStart"/>
      <w:r>
        <w:t>Guillain</w:t>
      </w:r>
      <w:proofErr w:type="spellEnd"/>
      <w:r>
        <w:t xml:space="preserve"> </w:t>
      </w:r>
      <w:proofErr w:type="spellStart"/>
      <w:r>
        <w:t>Barré</w:t>
      </w:r>
      <w:proofErr w:type="spellEnd"/>
      <w:r>
        <w:t>).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1"/>
        <w:jc w:val="both"/>
      </w:pPr>
      <w:r>
        <w:t>Αναφορά ανεπιθύμητων ενεργειών</w:t>
      </w:r>
    </w:p>
    <w:p w:rsidR="00F76994" w:rsidRDefault="00951051">
      <w:pPr>
        <w:pStyle w:val="a3"/>
        <w:spacing w:before="2"/>
        <w:ind w:left="318" w:right="875"/>
        <w:jc w:val="both"/>
      </w:pPr>
      <w:r>
        <w:t>Εάν παρατηρήσετε κάποια ανεπιθύμητη ενέργεια σε εσάς ή στο παιδί σας ενημερώστε το γιατρό ή φαρμακοποιό σας. Αυτό ισχύει και για κάθε πιθανή ανεπιθύμητη ενέργεια που δεν αναφέρεται στο παρόν φύλλο οδηγιών χρήσης.</w:t>
      </w:r>
    </w:p>
    <w:p w:rsidR="00F76994" w:rsidRDefault="00951051">
      <w:pPr>
        <w:pStyle w:val="a3"/>
        <w:ind w:left="318" w:right="870"/>
        <w:jc w:val="both"/>
      </w:pPr>
      <w:r>
        <w:t>Μπο</w:t>
      </w:r>
      <w:r>
        <w:t xml:space="preserve">ρείτε επίσης να αναφέρετε ανεπιθύμητες ενέργειες απευθείας, στον Εθνικό Οργανισμό Φαρμάκων (Μεσογείων 284, GR-15562 Χολαργός, Αθήνα, </w:t>
      </w:r>
      <w:proofErr w:type="spellStart"/>
      <w:r>
        <w:t>Τηλ</w:t>
      </w:r>
      <w:proofErr w:type="spellEnd"/>
      <w:r>
        <w:t xml:space="preserve">: + 30 21 32040380/337, Φαξ: + 30 21 06549585, </w:t>
      </w:r>
      <w:proofErr w:type="spellStart"/>
      <w:r>
        <w:t>Ιστότοπος</w:t>
      </w:r>
      <w:proofErr w:type="spellEnd"/>
      <w:r>
        <w:t xml:space="preserve">: </w:t>
      </w:r>
      <w:hyperlink r:id="rId9">
        <w:r>
          <w:rPr>
            <w:color w:val="0000FF"/>
            <w:u w:val="single" w:color="0000FF"/>
          </w:rPr>
          <w:t>http://www.eof.gr</w:t>
        </w:r>
      </w:hyperlink>
      <w:r>
        <w:t>). Μέσω</w:t>
      </w:r>
      <w:r>
        <w:t xml:space="preserve">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F76994" w:rsidRDefault="00F76994">
      <w:pPr>
        <w:jc w:val="both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1"/>
        <w:numPr>
          <w:ilvl w:val="0"/>
          <w:numId w:val="4"/>
        </w:numPr>
        <w:tabs>
          <w:tab w:val="left" w:pos="884"/>
          <w:tab w:val="left" w:pos="885"/>
        </w:tabs>
        <w:spacing w:before="87"/>
        <w:ind w:firstLine="0"/>
      </w:pPr>
      <w:r>
        <w:lastRenderedPageBreak/>
        <w:t xml:space="preserve">Πως να φυλάσσετε το </w:t>
      </w:r>
      <w:proofErr w:type="spellStart"/>
      <w:r>
        <w:t>Boostix</w:t>
      </w:r>
      <w:proofErr w:type="spellEnd"/>
      <w:r>
        <w:rPr>
          <w:spacing w:val="-1"/>
        </w:rPr>
        <w:t xml:space="preserve"> </w:t>
      </w:r>
      <w:proofErr w:type="spellStart"/>
      <w:r>
        <w:t>Polio</w:t>
      </w:r>
      <w:proofErr w:type="spellEnd"/>
    </w:p>
    <w:p w:rsidR="00F76994" w:rsidRDefault="00F76994">
      <w:pPr>
        <w:pStyle w:val="a3"/>
        <w:spacing w:before="2"/>
        <w:rPr>
          <w:b/>
        </w:rPr>
      </w:pPr>
    </w:p>
    <w:p w:rsidR="00F76994" w:rsidRDefault="00951051">
      <w:pPr>
        <w:pStyle w:val="a3"/>
        <w:ind w:left="318" w:right="919"/>
      </w:pPr>
      <w:r>
        <w:t>Το εμβόλιο αυτό πρέπει να φυλάσσεται σε μέρη που δεν το βλέπουν και δεν το φθάνουν τα παιδιά.</w:t>
      </w:r>
    </w:p>
    <w:p w:rsidR="00F76994" w:rsidRDefault="00F76994">
      <w:pPr>
        <w:pStyle w:val="a3"/>
      </w:pPr>
    </w:p>
    <w:p w:rsidR="00F76994" w:rsidRDefault="00951051">
      <w:pPr>
        <w:pStyle w:val="a3"/>
        <w:ind w:left="318" w:right="919"/>
      </w:pPr>
      <w:r>
        <w:t>Να μη χρησιμοποιείτε το εμβόλιο αυτό μετά την ημερομηνία λήξης που αναφέρεται στο κουτί. Η ημερομηνία λήξης είναι η τελευταία ημέρα του μήνα που αναφέρεται.</w:t>
      </w:r>
    </w:p>
    <w:p w:rsidR="00F76994" w:rsidRDefault="00F76994">
      <w:pPr>
        <w:pStyle w:val="a3"/>
        <w:spacing w:before="2"/>
      </w:pPr>
    </w:p>
    <w:p w:rsidR="00F76994" w:rsidRDefault="00951051">
      <w:pPr>
        <w:pStyle w:val="a3"/>
        <w:spacing w:line="252" w:lineRule="exact"/>
        <w:ind w:left="318"/>
      </w:pPr>
      <w:r>
        <w:t>Φυλ</w:t>
      </w:r>
      <w:r>
        <w:t>άσσεται σε ψυγείο (2°C – 8°C).</w:t>
      </w:r>
    </w:p>
    <w:p w:rsidR="00F76994" w:rsidRDefault="00951051">
      <w:pPr>
        <w:pStyle w:val="a3"/>
        <w:ind w:left="318" w:right="2174"/>
      </w:pPr>
      <w:r>
        <w:t>Να μην το καταψύχετε. Η κατάψυξη καταστρέφει το εμβόλιο. Φυλάσσεται στην αρχική συσκευασία για να προστατεύεται από το φως.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 w:right="870"/>
        <w:jc w:val="both"/>
      </w:pPr>
      <w:r>
        <w:t>Μην πετάτε φάρμακα στο νερό της αποχέτευσης ή στα οικιακά απορρίμματα. Ρωτήστε το φαρμακοποιό σας γι</w:t>
      </w:r>
      <w:r>
        <w:t>α το πώς να πετάξετε τα φάρμακα που δεν χρησιμοποιείτε πια. Αυτά τα μέτρα θα βοηθήσουν στην προστασία του περιβάλλοντος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rPr>
          <w:sz w:val="20"/>
        </w:rPr>
      </w:pPr>
    </w:p>
    <w:p w:rsidR="00F76994" w:rsidRDefault="00951051">
      <w:pPr>
        <w:pStyle w:val="1"/>
        <w:numPr>
          <w:ilvl w:val="0"/>
          <w:numId w:val="4"/>
        </w:numPr>
        <w:tabs>
          <w:tab w:val="left" w:pos="884"/>
          <w:tab w:val="left" w:pos="885"/>
        </w:tabs>
        <w:spacing w:line="480" w:lineRule="auto"/>
        <w:ind w:right="2841" w:firstLine="0"/>
      </w:pPr>
      <w:r>
        <w:t xml:space="preserve">Περιεχόμενο της συσκευασίας και λοιπές πληροφορίες Τι περιέχει το </w:t>
      </w:r>
      <w:proofErr w:type="spellStart"/>
      <w:r>
        <w:t>Boostrix</w:t>
      </w:r>
      <w:proofErr w:type="spellEnd"/>
      <w:r>
        <w:rPr>
          <w:spacing w:val="-2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before="1"/>
        <w:ind w:hanging="566"/>
      </w:pPr>
      <w:r>
        <w:t>Τα δραστικά συστατικά</w:t>
      </w:r>
      <w:r>
        <w:rPr>
          <w:spacing w:val="-3"/>
        </w:rPr>
        <w:t xml:space="preserve"> </w:t>
      </w:r>
      <w:r>
        <w:t>είναι: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970"/>
        <w:gridCol w:w="5087"/>
      </w:tblGrid>
      <w:tr w:rsidR="00F76994">
        <w:trPr>
          <w:trHeight w:val="262"/>
        </w:trPr>
        <w:tc>
          <w:tcPr>
            <w:tcW w:w="3970" w:type="dxa"/>
          </w:tcPr>
          <w:p w:rsidR="00F76994" w:rsidRDefault="00951051">
            <w:pPr>
              <w:pStyle w:val="TableParagraph"/>
              <w:spacing w:before="1" w:line="241" w:lineRule="exact"/>
              <w:ind w:left="200"/>
            </w:pPr>
            <w:r>
              <w:t>Τοξοειδές της διφθερίτιδας</w:t>
            </w:r>
            <w:r>
              <w:rPr>
                <w:vertAlign w:val="superscript"/>
              </w:rPr>
              <w:t>1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before="1" w:line="241" w:lineRule="exact"/>
              <w:ind w:left="166"/>
            </w:pPr>
            <w:r>
              <w:t xml:space="preserve">όχι λιγότερο από 2 Διεθνείς μονάδες (IU) (2.5 </w:t>
            </w:r>
            <w:proofErr w:type="spellStart"/>
            <w:r>
              <w:t>Lf</w:t>
            </w:r>
            <w:proofErr w:type="spellEnd"/>
            <w:r>
              <w:t>)</w:t>
            </w:r>
          </w:p>
        </w:tc>
      </w:tr>
      <w:tr w:rsidR="00F76994">
        <w:trPr>
          <w:trHeight w:val="266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44" w:lineRule="exact"/>
              <w:ind w:left="200"/>
            </w:pPr>
            <w:r>
              <w:t>Τοξοειδές του τετάνου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line="244" w:lineRule="exact"/>
              <w:ind w:left="166"/>
            </w:pPr>
            <w:r>
              <w:t xml:space="preserve">όχι λιγότερο από 20 Διεθνείς μονάδες (IU) (5 </w:t>
            </w:r>
            <w:proofErr w:type="spellStart"/>
            <w:r>
              <w:t>Lf</w:t>
            </w:r>
            <w:proofErr w:type="spellEnd"/>
            <w:r>
              <w:t>)</w:t>
            </w:r>
          </w:p>
        </w:tc>
      </w:tr>
      <w:tr w:rsidR="00F76994">
        <w:trPr>
          <w:trHeight w:val="239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20" w:lineRule="exact"/>
              <w:ind w:left="200"/>
              <w:rPr>
                <w:i/>
              </w:rPr>
            </w:pPr>
            <w:r>
              <w:rPr>
                <w:i/>
              </w:rPr>
              <w:t xml:space="preserve">Αντιγόνα </w:t>
            </w:r>
            <w:proofErr w:type="spellStart"/>
            <w:r>
              <w:rPr>
                <w:i/>
              </w:rPr>
              <w:t>Bordetella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pertussis</w:t>
            </w:r>
            <w:proofErr w:type="spellEnd"/>
          </w:p>
        </w:tc>
        <w:tc>
          <w:tcPr>
            <w:tcW w:w="5087" w:type="dxa"/>
          </w:tcPr>
          <w:p w:rsidR="00F76994" w:rsidRDefault="00F769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994">
        <w:trPr>
          <w:trHeight w:val="252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32" w:lineRule="exact"/>
              <w:ind w:left="689"/>
            </w:pPr>
            <w:r>
              <w:t xml:space="preserve">Τοξοειδές </w:t>
            </w:r>
            <w:proofErr w:type="spellStart"/>
            <w:r>
              <w:rPr>
                <w:color w:val="FF0000"/>
              </w:rPr>
              <w:t>κοκκύτη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line="232" w:lineRule="exact"/>
              <w:ind w:left="166"/>
            </w:pPr>
            <w:r>
              <w:t>8 μικρογραμμάρια</w:t>
            </w:r>
          </w:p>
        </w:tc>
      </w:tr>
      <w:tr w:rsidR="00F76994">
        <w:trPr>
          <w:trHeight w:val="253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33" w:lineRule="exact"/>
              <w:ind w:left="691"/>
            </w:pPr>
            <w:r>
              <w:t>Νηματοειδής αιμοσυγκολλητίνη</w:t>
            </w:r>
            <w:r>
              <w:rPr>
                <w:vertAlign w:val="superscript"/>
              </w:rPr>
              <w:t>1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line="233" w:lineRule="exact"/>
              <w:ind w:left="166"/>
            </w:pPr>
            <w:r>
              <w:t>8 μικρογραμμάρια</w:t>
            </w:r>
          </w:p>
        </w:tc>
      </w:tr>
      <w:tr w:rsidR="00F76994">
        <w:trPr>
          <w:trHeight w:val="267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45" w:lineRule="exact"/>
              <w:ind w:left="691"/>
            </w:pPr>
            <w:r>
              <w:t>Περτακτίνη</w:t>
            </w:r>
            <w:r>
              <w:rPr>
                <w:vertAlign w:val="superscript"/>
              </w:rPr>
              <w:t>1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line="245" w:lineRule="exact"/>
              <w:ind w:left="166"/>
            </w:pPr>
            <w:r>
              <w:t>2,5 μικρογραμμάρια</w:t>
            </w:r>
          </w:p>
        </w:tc>
      </w:tr>
      <w:tr w:rsidR="00F76994">
        <w:trPr>
          <w:trHeight w:val="239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20" w:lineRule="exact"/>
              <w:ind w:left="200"/>
              <w:rPr>
                <w:i/>
              </w:rPr>
            </w:pPr>
            <w:r>
              <w:rPr>
                <w:i/>
              </w:rPr>
              <w:t>Αδρανοποιημένος ιός πολιομυελίτιδας</w:t>
            </w:r>
          </w:p>
        </w:tc>
        <w:tc>
          <w:tcPr>
            <w:tcW w:w="5087" w:type="dxa"/>
          </w:tcPr>
          <w:p w:rsidR="00F76994" w:rsidRDefault="00F769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994">
        <w:trPr>
          <w:trHeight w:val="253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33" w:lineRule="exact"/>
              <w:ind w:left="689"/>
            </w:pPr>
            <w:r>
              <w:t>Τύπος 1(στέλεχος Mahoney)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line="233" w:lineRule="exact"/>
              <w:ind w:left="166"/>
            </w:pPr>
            <w:r>
              <w:t>40 D-</w:t>
            </w:r>
            <w:proofErr w:type="spellStart"/>
            <w:r>
              <w:t>αντιγονική</w:t>
            </w:r>
            <w:proofErr w:type="spellEnd"/>
            <w:r>
              <w:t xml:space="preserve"> μονάδα</w:t>
            </w:r>
          </w:p>
        </w:tc>
      </w:tr>
      <w:tr w:rsidR="00F76994">
        <w:trPr>
          <w:trHeight w:val="252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32" w:lineRule="exact"/>
              <w:ind w:left="689"/>
            </w:pPr>
            <w:r>
              <w:t>Τύπος 2 (στέλεχος MEF-1)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line="232" w:lineRule="exact"/>
              <w:ind w:left="166"/>
            </w:pPr>
            <w:r>
              <w:t>8 D-</w:t>
            </w:r>
            <w:proofErr w:type="spellStart"/>
            <w:r>
              <w:t>αντιγονική</w:t>
            </w:r>
            <w:proofErr w:type="spellEnd"/>
            <w:r>
              <w:t xml:space="preserve"> μονάδα</w:t>
            </w:r>
          </w:p>
        </w:tc>
      </w:tr>
      <w:tr w:rsidR="00F76994">
        <w:trPr>
          <w:trHeight w:val="253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33" w:lineRule="exact"/>
              <w:ind w:left="689"/>
            </w:pPr>
            <w:r>
              <w:t>Τύπος 3 (στέλεχος Saukett)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87" w:type="dxa"/>
          </w:tcPr>
          <w:p w:rsidR="00F76994" w:rsidRDefault="00951051">
            <w:pPr>
              <w:pStyle w:val="TableParagraph"/>
              <w:spacing w:line="233" w:lineRule="exact"/>
              <w:ind w:left="166"/>
            </w:pPr>
            <w:r>
              <w:t>32 D-</w:t>
            </w:r>
            <w:proofErr w:type="spellStart"/>
            <w:r>
              <w:t>αντιγονική</w:t>
            </w:r>
            <w:proofErr w:type="spellEnd"/>
            <w:r>
              <w:t xml:space="preserve"> μονάδα</w:t>
            </w:r>
          </w:p>
        </w:tc>
      </w:tr>
      <w:tr w:rsidR="00F76994">
        <w:trPr>
          <w:trHeight w:val="777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44" w:lineRule="exact"/>
              <w:ind w:left="200"/>
            </w:pPr>
            <w:r>
              <w:rPr>
                <w:position w:val="10"/>
                <w:sz w:val="14"/>
              </w:rPr>
              <w:t>1</w:t>
            </w:r>
            <w:r>
              <w:t>Προσροφημένο σε ένυδρο</w:t>
            </w:r>
          </w:p>
          <w:p w:rsidR="00F76994" w:rsidRDefault="00951051">
            <w:pPr>
              <w:pStyle w:val="TableParagraph"/>
              <w:ind w:left="200" w:right="496"/>
            </w:pPr>
            <w:r>
              <w:t>υδροξείδιο του αργιλίου (</w:t>
            </w:r>
            <w:proofErr w:type="spellStart"/>
            <w:r>
              <w:t>Al(OH)</w:t>
            </w:r>
            <w:r>
              <w:rPr>
                <w:vertAlign w:val="subscript"/>
              </w:rPr>
              <w:t>3</w:t>
            </w:r>
            <w:proofErr w:type="spellEnd"/>
            <w:r>
              <w:t>) και φωσφορικό αργίλιο(AlPO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5087" w:type="dxa"/>
          </w:tcPr>
          <w:p w:rsidR="00F76994" w:rsidRDefault="00F76994">
            <w:pPr>
              <w:pStyle w:val="TableParagraph"/>
              <w:spacing w:before="2"/>
              <w:rPr>
                <w:sz w:val="21"/>
              </w:rPr>
            </w:pPr>
          </w:p>
          <w:p w:rsidR="00F76994" w:rsidRDefault="00951051">
            <w:pPr>
              <w:pStyle w:val="TableParagraph"/>
              <w:ind w:left="166"/>
            </w:pPr>
            <w:r>
              <w:t xml:space="preserve">0,3 </w:t>
            </w:r>
            <w:proofErr w:type="spellStart"/>
            <w:r>
              <w:t>milligrams</w:t>
            </w:r>
            <w:proofErr w:type="spellEnd"/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vertAlign w:val="superscript"/>
              </w:rPr>
              <w:t>3+</w:t>
            </w:r>
          </w:p>
          <w:p w:rsidR="00F76994" w:rsidRDefault="00951051">
            <w:pPr>
              <w:pStyle w:val="TableParagraph"/>
              <w:spacing w:before="1"/>
              <w:ind w:left="166"/>
            </w:pPr>
            <w:r>
              <w:t xml:space="preserve">0,2 </w:t>
            </w:r>
            <w:proofErr w:type="spellStart"/>
            <w:r>
              <w:t>milligrams</w:t>
            </w:r>
            <w:proofErr w:type="spellEnd"/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vertAlign w:val="superscript"/>
              </w:rPr>
              <w:t>3+</w:t>
            </w:r>
          </w:p>
        </w:tc>
      </w:tr>
      <w:tr w:rsidR="00F76994">
        <w:trPr>
          <w:trHeight w:val="244"/>
        </w:trPr>
        <w:tc>
          <w:tcPr>
            <w:tcW w:w="3970" w:type="dxa"/>
          </w:tcPr>
          <w:p w:rsidR="00F76994" w:rsidRDefault="00951051">
            <w:pPr>
              <w:pStyle w:val="TableParagraph"/>
              <w:spacing w:line="225" w:lineRule="exact"/>
              <w:ind w:left="200"/>
            </w:pPr>
            <w:r>
              <w:t>²αναπαραχθέντα σε κύτταρα VERO</w:t>
            </w:r>
          </w:p>
        </w:tc>
        <w:tc>
          <w:tcPr>
            <w:tcW w:w="5087" w:type="dxa"/>
          </w:tcPr>
          <w:p w:rsidR="00F76994" w:rsidRDefault="00F769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6994" w:rsidRDefault="00F76994">
      <w:pPr>
        <w:pStyle w:val="a3"/>
        <w:spacing w:before="4"/>
        <w:rPr>
          <w:sz w:val="20"/>
        </w:rPr>
      </w:pPr>
    </w:p>
    <w:p w:rsidR="00F76994" w:rsidRDefault="00951051">
      <w:pPr>
        <w:pStyle w:val="a3"/>
        <w:ind w:left="884" w:right="874"/>
        <w:jc w:val="both"/>
      </w:pPr>
      <w:r>
        <w:t xml:space="preserve">Το υδροξείδιο του αργιλίου και το φωσφορικό αργίλιο περιέχονται σε αυτό το εμβόλιο ως </w:t>
      </w:r>
      <w:proofErr w:type="spellStart"/>
      <w:r>
        <w:t>ανοσοενισχυτικά</w:t>
      </w:r>
      <w:proofErr w:type="spellEnd"/>
      <w:r>
        <w:t xml:space="preserve">. Τα </w:t>
      </w:r>
      <w:proofErr w:type="spellStart"/>
      <w:r>
        <w:t>ανοσοενισχυτικά</w:t>
      </w:r>
      <w:proofErr w:type="spellEnd"/>
      <w:r>
        <w:t xml:space="preserve"> είναι ουσίες οι οποίες περιέχονται σε ορισμένα εμβόλια για να επιταχύνουν, να βελτιώσουν και/ή να παρατείνουν την προστατευτική δράση </w:t>
      </w:r>
      <w:r>
        <w:t>του εμβολίου.</w:t>
      </w:r>
    </w:p>
    <w:p w:rsidR="00F76994" w:rsidRDefault="00F76994">
      <w:pPr>
        <w:pStyle w:val="a3"/>
      </w:pPr>
    </w:p>
    <w:p w:rsidR="00F76994" w:rsidRDefault="00951051">
      <w:pPr>
        <w:pStyle w:val="a4"/>
        <w:numPr>
          <w:ilvl w:val="0"/>
          <w:numId w:val="6"/>
        </w:numPr>
        <w:tabs>
          <w:tab w:val="left" w:pos="885"/>
        </w:tabs>
        <w:ind w:right="873" w:hanging="566"/>
        <w:jc w:val="both"/>
      </w:pPr>
      <w:r>
        <w:t xml:space="preserve">Τα άλλα συστατικά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είναι: Μέσο 199 (ως σταθεροποιητής που περιέχει αμινοξέα, μεταλλικά άλατα, βιταμίνες και άλλες ουσίες), χλωριούχο νάτριο και ύδωρ για</w:t>
      </w:r>
      <w:r>
        <w:rPr>
          <w:spacing w:val="-1"/>
        </w:rPr>
        <w:t xml:space="preserve"> </w:t>
      </w:r>
      <w:r>
        <w:t>ενέσιμα.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1"/>
      </w:pPr>
      <w:r>
        <w:t xml:space="preserve">Εμφάνιση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περιεχόμενο της συσκευασίας</w:t>
      </w:r>
    </w:p>
    <w:p w:rsidR="00F76994" w:rsidRDefault="00F76994">
      <w:pPr>
        <w:pStyle w:val="a3"/>
        <w:spacing w:before="1"/>
        <w:rPr>
          <w:b/>
        </w:rPr>
      </w:pPr>
    </w:p>
    <w:p w:rsidR="00F76994" w:rsidRDefault="00951051">
      <w:pPr>
        <w:pStyle w:val="a3"/>
        <w:ind w:left="318"/>
      </w:pPr>
      <w:r>
        <w:t xml:space="preserve">Ενέσιμο εναιώρημα σε </w:t>
      </w:r>
      <w:proofErr w:type="spellStart"/>
      <w:r>
        <w:t>προγεμισμένη</w:t>
      </w:r>
      <w:proofErr w:type="spellEnd"/>
      <w:r>
        <w:t xml:space="preserve"> σύριγγα.</w:t>
      </w:r>
    </w:p>
    <w:p w:rsidR="00F76994" w:rsidRDefault="00F76994">
      <w:pPr>
        <w:pStyle w:val="a3"/>
      </w:pPr>
    </w:p>
    <w:p w:rsidR="00F76994" w:rsidRDefault="00951051">
      <w:pPr>
        <w:pStyle w:val="a3"/>
        <w:ind w:left="318" w:right="919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 ένα λευκό, ελαφρά γαλακτώδες υγρό που διατίθεται σε </w:t>
      </w:r>
      <w:proofErr w:type="spellStart"/>
      <w:r>
        <w:t>προγεμισμένη</w:t>
      </w:r>
      <w:proofErr w:type="spellEnd"/>
      <w:r>
        <w:t xml:space="preserve"> σύριγγα (0,5 ml).</w:t>
      </w:r>
    </w:p>
    <w:p w:rsidR="00F76994" w:rsidRDefault="00F76994">
      <w:pPr>
        <w:sectPr w:rsidR="00F76994">
          <w:pgSz w:w="11910" w:h="16850"/>
          <w:pgMar w:top="1600" w:right="920" w:bottom="900" w:left="1480" w:header="0" w:footer="717" w:gutter="0"/>
          <w:cols w:space="720"/>
        </w:sectPr>
      </w:pPr>
    </w:p>
    <w:p w:rsidR="00F76994" w:rsidRDefault="00951051">
      <w:pPr>
        <w:pStyle w:val="a3"/>
        <w:spacing w:before="77" w:line="480" w:lineRule="auto"/>
        <w:ind w:left="318" w:right="1796"/>
      </w:pPr>
      <w:r>
        <w:lastRenderedPageBreak/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διατίθεται σε συσκευασία του 1 και 10 με ή χωρίς βελόνες. Μπορεί να </w:t>
      </w:r>
      <w:r>
        <w:t>μην κυκλοφορούν όλες οι συσκευασίες.</w:t>
      </w:r>
    </w:p>
    <w:p w:rsidR="00F76994" w:rsidRDefault="00951051">
      <w:pPr>
        <w:pStyle w:val="1"/>
        <w:spacing w:line="252" w:lineRule="exact"/>
      </w:pPr>
      <w:r>
        <w:t>Κάτοχος Άδειας Κυκλοφορίας και Παρασκευαστής</w:t>
      </w:r>
    </w:p>
    <w:p w:rsidR="00F76994" w:rsidRDefault="00F7699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290"/>
        <w:gridCol w:w="3492"/>
      </w:tblGrid>
      <w:tr w:rsidR="00F76994">
        <w:trPr>
          <w:trHeight w:val="377"/>
        </w:trPr>
        <w:tc>
          <w:tcPr>
            <w:tcW w:w="4290" w:type="dxa"/>
          </w:tcPr>
          <w:p w:rsidR="00F76994" w:rsidRDefault="00951051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Κάτοχος Άδειας Κυκλοφορίας</w:t>
            </w:r>
          </w:p>
        </w:tc>
        <w:tc>
          <w:tcPr>
            <w:tcW w:w="3492" w:type="dxa"/>
          </w:tcPr>
          <w:p w:rsidR="00F76994" w:rsidRDefault="00951051">
            <w:pPr>
              <w:pStyle w:val="TableParagraph"/>
              <w:spacing w:line="247" w:lineRule="exact"/>
              <w:ind w:left="172"/>
              <w:rPr>
                <w:b/>
              </w:rPr>
            </w:pPr>
            <w:r>
              <w:rPr>
                <w:b/>
              </w:rPr>
              <w:t>Παρασκευαστής</w:t>
            </w:r>
          </w:p>
        </w:tc>
      </w:tr>
      <w:tr w:rsidR="00F76994" w:rsidRPr="00375386">
        <w:trPr>
          <w:trHeight w:val="2403"/>
        </w:trPr>
        <w:tc>
          <w:tcPr>
            <w:tcW w:w="4290" w:type="dxa"/>
          </w:tcPr>
          <w:p w:rsidR="00F76994" w:rsidRDefault="00951051">
            <w:pPr>
              <w:pStyle w:val="TableParagraph"/>
              <w:spacing w:before="124"/>
              <w:ind w:left="200" w:right="951"/>
            </w:pPr>
            <w:r>
              <w:rPr>
                <w:i/>
              </w:rPr>
              <w:t xml:space="preserve">Δικαιούχος σήματος </w:t>
            </w:r>
            <w:proofErr w:type="spellStart"/>
            <w:r>
              <w:t>GlaxosmithKline</w:t>
            </w:r>
            <w:proofErr w:type="spellEnd"/>
            <w:r>
              <w:t xml:space="preserve"> </w:t>
            </w:r>
            <w:proofErr w:type="spellStart"/>
            <w:r>
              <w:t>Biologicals</w:t>
            </w:r>
            <w:proofErr w:type="spellEnd"/>
            <w:r>
              <w:t xml:space="preserve"> SA, </w:t>
            </w:r>
            <w:proofErr w:type="spellStart"/>
            <w:r>
              <w:t>Rixensart</w:t>
            </w:r>
            <w:proofErr w:type="spellEnd"/>
            <w:r>
              <w:t>, Βέλγιο</w:t>
            </w:r>
          </w:p>
          <w:p w:rsidR="00F76994" w:rsidRDefault="00F76994">
            <w:pPr>
              <w:pStyle w:val="TableParagraph"/>
              <w:spacing w:before="1"/>
              <w:rPr>
                <w:b/>
              </w:rPr>
            </w:pPr>
          </w:p>
          <w:p w:rsidR="00F76994" w:rsidRDefault="00951051">
            <w:pPr>
              <w:pStyle w:val="TableParagraph"/>
              <w:spacing w:line="252" w:lineRule="exact"/>
              <w:ind w:left="200"/>
              <w:rPr>
                <w:i/>
              </w:rPr>
            </w:pPr>
            <w:r>
              <w:rPr>
                <w:i/>
              </w:rPr>
              <w:t>Υπεύθυνος κυκλοφορίας για την Ελλάδα</w:t>
            </w:r>
          </w:p>
          <w:p w:rsidR="00F76994" w:rsidRDefault="00951051">
            <w:pPr>
              <w:pStyle w:val="TableParagraph"/>
              <w:ind w:left="200" w:right="1749"/>
            </w:pPr>
            <w:proofErr w:type="spellStart"/>
            <w:r>
              <w:t>GlaxoSmithKline</w:t>
            </w:r>
            <w:proofErr w:type="spellEnd"/>
            <w:r>
              <w:t xml:space="preserve"> </w:t>
            </w:r>
            <w:proofErr w:type="spellStart"/>
            <w:r>
              <w:t>α.ε.β.ε</w:t>
            </w:r>
            <w:proofErr w:type="spellEnd"/>
            <w:r>
              <w:t xml:space="preserve"> </w:t>
            </w:r>
            <w:proofErr w:type="spellStart"/>
            <w:r>
              <w:t>Λεωφ</w:t>
            </w:r>
            <w:proofErr w:type="spellEnd"/>
            <w:r>
              <w:t>. Κηφισίας 266</w:t>
            </w:r>
          </w:p>
          <w:p w:rsidR="00F76994" w:rsidRDefault="00951051">
            <w:pPr>
              <w:pStyle w:val="TableParagraph"/>
              <w:spacing w:before="1"/>
              <w:ind w:left="200"/>
            </w:pPr>
            <w:r>
              <w:t>152 32 Χαλάνδρι</w:t>
            </w:r>
          </w:p>
          <w:p w:rsidR="00F76994" w:rsidRDefault="00951051">
            <w:pPr>
              <w:pStyle w:val="TableParagraph"/>
              <w:spacing w:before="1" w:line="233" w:lineRule="exact"/>
              <w:ind w:left="200"/>
            </w:pPr>
            <w:proofErr w:type="spellStart"/>
            <w:r>
              <w:t>Τηλ</w:t>
            </w:r>
            <w:proofErr w:type="spellEnd"/>
            <w:r>
              <w:t>. 210 6882100</w:t>
            </w:r>
          </w:p>
        </w:tc>
        <w:tc>
          <w:tcPr>
            <w:tcW w:w="3492" w:type="dxa"/>
          </w:tcPr>
          <w:p w:rsidR="00F76994" w:rsidRPr="00375386" w:rsidRDefault="00F76994">
            <w:pPr>
              <w:pStyle w:val="TableParagraph"/>
              <w:spacing w:before="11"/>
              <w:rPr>
                <w:b/>
                <w:sz w:val="32"/>
                <w:lang w:val="en-US"/>
              </w:rPr>
            </w:pPr>
          </w:p>
          <w:p w:rsidR="00F76994" w:rsidRPr="00375386" w:rsidRDefault="00951051">
            <w:pPr>
              <w:pStyle w:val="TableParagraph"/>
              <w:ind w:left="172" w:right="181"/>
              <w:rPr>
                <w:lang w:val="en-US"/>
              </w:rPr>
            </w:pPr>
            <w:proofErr w:type="spellStart"/>
            <w:r w:rsidRPr="00375386">
              <w:rPr>
                <w:lang w:val="en-US"/>
              </w:rPr>
              <w:t>GlaxosmithKline</w:t>
            </w:r>
            <w:proofErr w:type="spellEnd"/>
            <w:r w:rsidRPr="00375386">
              <w:rPr>
                <w:lang w:val="en-US"/>
              </w:rPr>
              <w:t xml:space="preserve"> Biologicals SA, </w:t>
            </w:r>
            <w:proofErr w:type="spellStart"/>
            <w:r w:rsidRPr="00375386">
              <w:rPr>
                <w:lang w:val="en-US"/>
              </w:rPr>
              <w:t>Rixensart</w:t>
            </w:r>
            <w:proofErr w:type="spellEnd"/>
            <w:r w:rsidRPr="00375386">
              <w:rPr>
                <w:lang w:val="en-US"/>
              </w:rPr>
              <w:t xml:space="preserve">, </w:t>
            </w:r>
            <w:r>
              <w:t>Βέλγιο</w:t>
            </w:r>
          </w:p>
        </w:tc>
      </w:tr>
    </w:tbl>
    <w:p w:rsidR="00F76994" w:rsidRPr="00375386" w:rsidRDefault="00F76994">
      <w:pPr>
        <w:pStyle w:val="a3"/>
        <w:rPr>
          <w:b/>
          <w:sz w:val="24"/>
          <w:lang w:val="en-US"/>
        </w:rPr>
      </w:pPr>
    </w:p>
    <w:p w:rsidR="00F76994" w:rsidRPr="00375386" w:rsidRDefault="00F76994">
      <w:pPr>
        <w:pStyle w:val="a3"/>
        <w:rPr>
          <w:b/>
          <w:sz w:val="24"/>
          <w:lang w:val="en-US"/>
        </w:rPr>
      </w:pPr>
    </w:p>
    <w:p w:rsidR="00F76994" w:rsidRPr="00375386" w:rsidRDefault="00F76994">
      <w:pPr>
        <w:pStyle w:val="a3"/>
        <w:rPr>
          <w:b/>
          <w:sz w:val="24"/>
          <w:lang w:val="en-US"/>
        </w:rPr>
      </w:pPr>
    </w:p>
    <w:p w:rsidR="00F76994" w:rsidRDefault="00951051">
      <w:pPr>
        <w:spacing w:before="181"/>
        <w:ind w:left="318"/>
        <w:rPr>
          <w:b/>
        </w:rPr>
      </w:pPr>
      <w:r>
        <w:rPr>
          <w:b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F76994" w:rsidRDefault="00951051">
      <w:pPr>
        <w:pStyle w:val="a3"/>
        <w:tabs>
          <w:tab w:val="left" w:pos="1452"/>
          <w:tab w:val="left" w:pos="2481"/>
          <w:tab w:val="left" w:pos="3747"/>
          <w:tab w:val="left" w:pos="5482"/>
          <w:tab w:val="left" w:pos="6715"/>
          <w:tab w:val="left" w:pos="7639"/>
        </w:tabs>
        <w:ind w:left="318" w:right="871"/>
      </w:pP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Polio</w:t>
      </w:r>
      <w:proofErr w:type="spellEnd"/>
      <w:r>
        <w:rPr>
          <w:b/>
        </w:rPr>
        <w:t xml:space="preserve">: </w:t>
      </w:r>
      <w:r>
        <w:t>Βέλγιο, Βουλγαρία, Τσεχία, Δανία, Γερμανία, Ελλάδα, Ισπανία, Ισλανδία,</w:t>
      </w:r>
      <w:r>
        <w:tab/>
        <w:t>Λετονία,</w:t>
      </w:r>
      <w:r>
        <w:tab/>
        <w:t>Λιθουανία,</w:t>
      </w:r>
      <w:r>
        <w:tab/>
        <w:t>Λουξεμβούργο,</w:t>
      </w:r>
      <w:r>
        <w:tab/>
        <w:t>Ουγγαρία,</w:t>
      </w:r>
      <w:r>
        <w:tab/>
        <w:t>Μάλτα,</w:t>
      </w:r>
      <w:r>
        <w:tab/>
        <w:t xml:space="preserve">Ολλανδία, Νορβηγία, Αυστρία, Πολωνία, Πορτογαλία, Σλοβενία, Σλοβακία, Φιλανδία, Σουηδία </w:t>
      </w: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Tetra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Γαλλία</w:t>
      </w:r>
    </w:p>
    <w:p w:rsidR="00F76994" w:rsidRDefault="00951051">
      <w:pPr>
        <w:spacing w:line="252" w:lineRule="exact"/>
        <w:ind w:left="318"/>
      </w:pPr>
      <w:r>
        <w:rPr>
          <w:b/>
        </w:rPr>
        <w:t>IPV-</w:t>
      </w:r>
      <w:proofErr w:type="spellStart"/>
      <w:r>
        <w:rPr>
          <w:b/>
        </w:rPr>
        <w:t>Boo</w:t>
      </w:r>
      <w:r>
        <w:rPr>
          <w:b/>
        </w:rPr>
        <w:t>strix</w:t>
      </w:r>
      <w:proofErr w:type="spellEnd"/>
      <w:r>
        <w:rPr>
          <w:b/>
        </w:rPr>
        <w:t xml:space="preserve">: </w:t>
      </w:r>
      <w:r>
        <w:t>Ιρλανδία, Μάλτα</w:t>
      </w:r>
    </w:p>
    <w:p w:rsidR="00F76994" w:rsidRDefault="00951051">
      <w:pPr>
        <w:spacing w:line="252" w:lineRule="exact"/>
        <w:ind w:left="318"/>
      </w:pPr>
      <w:proofErr w:type="spellStart"/>
      <w:r>
        <w:rPr>
          <w:b/>
        </w:rPr>
        <w:t>Polio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: </w:t>
      </w:r>
      <w:r>
        <w:t>Ιταλία</w:t>
      </w:r>
    </w:p>
    <w:p w:rsidR="00F76994" w:rsidRDefault="00951051">
      <w:pPr>
        <w:spacing w:before="1"/>
        <w:ind w:left="318"/>
      </w:pPr>
      <w:proofErr w:type="spellStart"/>
      <w:r>
        <w:rPr>
          <w:b/>
        </w:rPr>
        <w:t>Boostrix</w:t>
      </w:r>
      <w:proofErr w:type="spellEnd"/>
      <w:r>
        <w:rPr>
          <w:b/>
        </w:rPr>
        <w:t>-IPV</w:t>
      </w:r>
      <w:r>
        <w:t>: Ρουμανία, Ηνωμένο Βασίλειο</w:t>
      </w:r>
    </w:p>
    <w:p w:rsidR="00F76994" w:rsidRDefault="00F76994">
      <w:pPr>
        <w:pStyle w:val="a3"/>
      </w:pPr>
    </w:p>
    <w:p w:rsidR="00F76994" w:rsidRDefault="00951051">
      <w:pPr>
        <w:pStyle w:val="1"/>
      </w:pPr>
      <w:r>
        <w:t>Το παρόν φύλλο οδηγιών χρήσης αναθεωρήθηκε για τελευταία φορά στις</w:t>
      </w:r>
    </w:p>
    <w:p w:rsidR="00F76994" w:rsidRDefault="00F76994">
      <w:pPr>
        <w:pStyle w:val="a3"/>
        <w:rPr>
          <w:b/>
          <w:sz w:val="20"/>
        </w:rPr>
      </w:pPr>
    </w:p>
    <w:p w:rsidR="00F76994" w:rsidRDefault="0071040A">
      <w:pPr>
        <w:pStyle w:val="a3"/>
        <w:spacing w:before="7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193675</wp:posOffset>
                </wp:positionV>
                <wp:extent cx="5318125" cy="0"/>
                <wp:effectExtent l="8890" t="12700" r="698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5.25pt" to="50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0l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T7NlNpljRAdfQvIh0VjnP3HdomAUWALnCEzOz84HIiQfQsI9Su+E&#10;lHHYUqGuwIt0tYgJTkvBgjOEOXs8lNKiMwlyiV+sCjyPYQG5Iq7p46KrF5LVJ8XiLQ0nbHuzPRGy&#10;t4GVVOEiqBF43qxeKD9W6Wq73C5no9lksR3N0qoafdyVs9Fil32YV9OqLKvsZ+CczfJGMMZVoD2I&#10;Npv9nShuz6eX21229/4kb9FjI4Hs8I+k45DDXHuFHDS77u0wfNBpDL69qfAQHvdgP778zS8AAAD/&#10;/wMAUEsDBBQABgAIAAAAIQBZd1Fx3wAAAAoBAAAPAAAAZHJzL2Rvd25yZXYueG1sTI/BTsMwDIbv&#10;SLxDZCRuLBmMrStNJwQCaQeE2CbOXmPa0sapmmzt3p5MHOD4259+f85Wo23FkXpfO9YwnSgQxIUz&#10;NZcadtuXmwSED8gGW8ek4UQeVvnlRYapcQN/0HETShFL2KeooQqhS6X0RUUW/cR1xHH35XqLIca+&#10;lKbHIZbbVt4qNZcWa44XKuzoqaKi2RyshrdEPrv35rM4fQ/b1yRZN8vFeqf19dX4+AAi0Bj+YDjr&#10;R3XIo9PeHdh40ca8mC8jquFO3YM4A2o6m4HY/05knsn/L+Q/AAAA//8DAFBLAQItABQABgAIAAAA&#10;IQC2gziS/gAAAOEBAAATAAAAAAAAAAAAAAAAAAAAAABbQ29udGVudF9UeXBlc10ueG1sUEsBAi0A&#10;FAAGAAgAAAAhADj9If/WAAAAlAEAAAsAAAAAAAAAAAAAAAAALwEAAF9yZWxzLy5yZWxzUEsBAi0A&#10;FAAGAAgAAAAhAHBWXSUdAgAAQQQAAA4AAAAAAAAAAAAAAAAALgIAAGRycy9lMm9Eb2MueG1sUEsB&#10;Ai0AFAAGAAgAAAAhAFl3UX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F76994" w:rsidRDefault="00F76994">
      <w:pPr>
        <w:pStyle w:val="a3"/>
        <w:rPr>
          <w:b/>
          <w:sz w:val="20"/>
        </w:rPr>
      </w:pPr>
    </w:p>
    <w:p w:rsidR="00F76994" w:rsidRDefault="00F76994">
      <w:pPr>
        <w:pStyle w:val="a3"/>
        <w:rPr>
          <w:b/>
          <w:sz w:val="21"/>
        </w:rPr>
      </w:pPr>
    </w:p>
    <w:p w:rsidR="00F76994" w:rsidRDefault="00951051">
      <w:pPr>
        <w:spacing w:before="1"/>
        <w:ind w:left="318"/>
        <w:rPr>
          <w:b/>
        </w:rPr>
      </w:pPr>
      <w:r>
        <w:rPr>
          <w:b/>
        </w:rPr>
        <w:t>Άλλες πηγές πληροφόρησης</w:t>
      </w:r>
    </w:p>
    <w:p w:rsidR="00F76994" w:rsidRDefault="00F76994">
      <w:pPr>
        <w:pStyle w:val="a3"/>
        <w:spacing w:before="2"/>
        <w:rPr>
          <w:b/>
        </w:rPr>
      </w:pPr>
    </w:p>
    <w:p w:rsidR="00F76994" w:rsidRDefault="00951051">
      <w:pPr>
        <w:pStyle w:val="a3"/>
        <w:spacing w:before="1"/>
        <w:ind w:left="318" w:right="919"/>
      </w:pPr>
      <w:r>
        <w:t>Λεπτομερή πληροφοριακά στοιχεία για το προϊόν αυτό είναι διαθέσιμα στην ιστοσελίδα του Εθνικού Οργανισμού Φαρμάκων: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/>
      </w:pPr>
      <w:r>
        <w:t>Οι πληροφορίες που ακολουθούν απευθύνονται μόνο σε επαγγελματίες υγείας.</w:t>
      </w:r>
    </w:p>
    <w:p w:rsidR="00F76994" w:rsidRDefault="00F76994">
      <w:pPr>
        <w:pStyle w:val="a3"/>
        <w:spacing w:before="1"/>
      </w:pPr>
    </w:p>
    <w:p w:rsidR="00F76994" w:rsidRDefault="00951051">
      <w:pPr>
        <w:pStyle w:val="a3"/>
        <w:spacing w:before="1"/>
        <w:ind w:left="318" w:right="872"/>
        <w:jc w:val="both"/>
      </w:pPr>
      <w:r>
        <w:t>Πριν από τον εμβολιασμό το εμβόλιο πρέπει να ανακινείται καλά για</w:t>
      </w:r>
      <w:r>
        <w:t xml:space="preserve"> να επιτυγχάνεται ένα ομογενοποιημένο θολό λευκό εναιώρημα και να ελέγχεται οπτικά για την ύπαρξη ξένων σωματιδίων και/ή διαφοροποίησης της φυσικής του κατάστασης. Στην περίπτωση που παρατηρηθεί οτιδήποτε από αυτά, απορρίψτε το εμβόλιο.</w:t>
      </w:r>
    </w:p>
    <w:p w:rsidR="00F76994" w:rsidRDefault="00F76994">
      <w:pPr>
        <w:pStyle w:val="a3"/>
        <w:spacing w:before="11"/>
        <w:rPr>
          <w:sz w:val="21"/>
        </w:rPr>
      </w:pPr>
    </w:p>
    <w:p w:rsidR="00F76994" w:rsidRDefault="00951051">
      <w:pPr>
        <w:pStyle w:val="a3"/>
        <w:ind w:left="318" w:right="919"/>
      </w:pPr>
      <w:r>
        <w:t>Κάθε αχρησιμοποίητ</w:t>
      </w:r>
      <w:r>
        <w:t>ο φαρμακευτικό προϊόν ή υπόλειμμα πρέπει να απορρίπτεται σύμφωνα με τις κατά τόπους ισχύουσες σχετικές διατάξεις.</w:t>
      </w:r>
    </w:p>
    <w:p w:rsidR="00F76994" w:rsidRDefault="00F76994">
      <w:pPr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1"/>
        <w:spacing w:before="74"/>
        <w:ind w:left="1673"/>
      </w:pPr>
      <w:r>
        <w:lastRenderedPageBreak/>
        <w:t>Φύλλο Οδηγιών Χρήσης: Πληροφορίες για το χρήστη</w:t>
      </w:r>
    </w:p>
    <w:p w:rsidR="00F76994" w:rsidRDefault="00F76994">
      <w:pPr>
        <w:pStyle w:val="a3"/>
        <w:spacing w:before="1"/>
        <w:rPr>
          <w:b/>
        </w:rPr>
      </w:pPr>
    </w:p>
    <w:p w:rsidR="00F76994" w:rsidRDefault="00951051">
      <w:pPr>
        <w:ind w:left="2639"/>
        <w:rPr>
          <w:b/>
        </w:rPr>
      </w:pP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Polio</w:t>
      </w:r>
      <w:proofErr w:type="spellEnd"/>
      <w:r>
        <w:rPr>
          <w:b/>
        </w:rPr>
        <w:t>, Ενέσιμο εναιώρημα</w:t>
      </w:r>
    </w:p>
    <w:p w:rsidR="00F76994" w:rsidRDefault="00951051">
      <w:pPr>
        <w:pStyle w:val="a3"/>
        <w:spacing w:before="1"/>
        <w:ind w:left="394" w:right="950" w:hanging="3"/>
        <w:jc w:val="center"/>
      </w:pPr>
      <w:r>
        <w:t xml:space="preserve">Εμβόλιο προσροφημένο, μειωμένο (α) </w:t>
      </w:r>
      <w:proofErr w:type="spellStart"/>
      <w:r>
        <w:t>περιεχ</w:t>
      </w:r>
      <w:r>
        <w:t>όμενο(α</w:t>
      </w:r>
      <w:proofErr w:type="spellEnd"/>
      <w:r>
        <w:t xml:space="preserve">) σε </w:t>
      </w:r>
      <w:proofErr w:type="spellStart"/>
      <w:r>
        <w:t>αντιγόνο(α</w:t>
      </w:r>
      <w:proofErr w:type="spellEnd"/>
      <w:r>
        <w:t xml:space="preserve">) διφθερίτιδας, τετάνου, </w:t>
      </w:r>
      <w:proofErr w:type="spellStart"/>
      <w:r>
        <w:t>κοκκύτη</w:t>
      </w:r>
      <w:proofErr w:type="spellEnd"/>
      <w:r>
        <w:t xml:space="preserve"> (</w:t>
      </w:r>
      <w:proofErr w:type="spellStart"/>
      <w:r>
        <w:t>ακκυταρικό</w:t>
      </w:r>
      <w:proofErr w:type="spellEnd"/>
      <w:r>
        <w:t xml:space="preserve"> συστατικό και πολιομυελίτιδας (αδρανοποιημένος ιός)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1"/>
        <w:ind w:right="871"/>
        <w:jc w:val="both"/>
      </w:pPr>
      <w:r>
        <w:t xml:space="preserve">Διαβάστε προσεκτικά ολόκληρο το φύλλο οδηγιών χρήσης πριν εσείς ή το παιδί σας </w:t>
      </w:r>
      <w:proofErr w:type="spellStart"/>
      <w:r>
        <w:t>αρχίσετε(σει</w:t>
      </w:r>
      <w:proofErr w:type="spellEnd"/>
      <w:r>
        <w:t xml:space="preserve">) να </w:t>
      </w:r>
      <w:proofErr w:type="spellStart"/>
      <w:r>
        <w:t>κάνετε(ει</w:t>
      </w:r>
      <w:proofErr w:type="spellEnd"/>
      <w:r>
        <w:t>) αυτό το εμβόλιο, διότι περιλα</w:t>
      </w:r>
      <w:r>
        <w:t>μβάνει σημαντικές πληροφορίες για σας.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before="4" w:line="252" w:lineRule="exact"/>
        <w:ind w:hanging="566"/>
      </w:pPr>
      <w:r>
        <w:t>Φυλάξτε αυτό το φύλλο οδηγιών χρήσης. Ίσως χρειαστεί να το διαβάσετε</w:t>
      </w:r>
      <w:r>
        <w:rPr>
          <w:spacing w:val="-10"/>
        </w:rPr>
        <w:t xml:space="preserve"> </w:t>
      </w:r>
      <w:r>
        <w:t>ξανά.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line="252" w:lineRule="exact"/>
        <w:ind w:hanging="566"/>
      </w:pPr>
      <w:r>
        <w:t>Εάν έχετε περαιτέρω απορίες, ρωτήστε το γιατρό ή το φαρμακοποιό</w:t>
      </w:r>
      <w:r>
        <w:rPr>
          <w:spacing w:val="-10"/>
        </w:rPr>
        <w:t xml:space="preserve"> </w:t>
      </w:r>
      <w:r>
        <w:t>σας.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ind w:right="874" w:hanging="566"/>
      </w:pPr>
      <w:r>
        <w:t>Η συνταγή για αυτό το εμβόλιο χορηγήθηκε αποκλειστικά για σας ή το παιδί σας. Δεν πρέπει να δώσετε το εμβόλιο σε</w:t>
      </w:r>
      <w:r>
        <w:rPr>
          <w:spacing w:val="-4"/>
        </w:rPr>
        <w:t xml:space="preserve"> </w:t>
      </w:r>
      <w:r>
        <w:t>άλλους.</w:t>
      </w:r>
    </w:p>
    <w:p w:rsidR="00F76994" w:rsidRDefault="00951051">
      <w:pPr>
        <w:pStyle w:val="a4"/>
        <w:numPr>
          <w:ilvl w:val="0"/>
          <w:numId w:val="6"/>
        </w:numPr>
        <w:tabs>
          <w:tab w:val="left" w:pos="918"/>
        </w:tabs>
        <w:ind w:left="918" w:right="872" w:hanging="600"/>
        <w:jc w:val="both"/>
      </w:pPr>
      <w:r>
        <w:t>Εάν εσείς ή το παιδί σας παρατηρήσετε κάποια ανεπιθύμητη ενέργεια ενημερώστε το γιατρό ή φαρμακοποιό σας. Αυτό ισχύει και για κάθε πιθα</w:t>
      </w:r>
      <w:r>
        <w:t>νή ανεπιθύμητη ενέργεια που δεν αναφέρεται στο παρόν φύλλο οδηγιών χρήσης. Βλέπε παράγραφο</w:t>
      </w:r>
      <w:r>
        <w:rPr>
          <w:spacing w:val="1"/>
        </w:rPr>
        <w:t xml:space="preserve"> </w:t>
      </w:r>
      <w:r>
        <w:t>4.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1"/>
        <w:jc w:val="both"/>
      </w:pPr>
      <w:r>
        <w:t>Τι περιέχει το παρόν φύλλο οδηγιών:</w:t>
      </w:r>
    </w:p>
    <w:p w:rsidR="00F76994" w:rsidRDefault="00951051">
      <w:pPr>
        <w:pStyle w:val="a4"/>
        <w:numPr>
          <w:ilvl w:val="0"/>
          <w:numId w:val="2"/>
        </w:numPr>
        <w:tabs>
          <w:tab w:val="left" w:pos="885"/>
        </w:tabs>
        <w:spacing w:before="4" w:line="252" w:lineRule="exact"/>
        <w:ind w:hanging="566"/>
        <w:jc w:val="both"/>
      </w:pPr>
      <w:r>
        <w:t xml:space="preserve">Τι είναι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ποια είναι η χρήση</w:t>
      </w:r>
      <w:r>
        <w:rPr>
          <w:spacing w:val="-6"/>
        </w:rPr>
        <w:t xml:space="preserve"> </w:t>
      </w:r>
      <w:r>
        <w:t>του</w:t>
      </w:r>
    </w:p>
    <w:p w:rsidR="00F76994" w:rsidRDefault="00951051">
      <w:pPr>
        <w:pStyle w:val="a4"/>
        <w:numPr>
          <w:ilvl w:val="0"/>
          <w:numId w:val="2"/>
        </w:numPr>
        <w:tabs>
          <w:tab w:val="left" w:pos="885"/>
        </w:tabs>
        <w:spacing w:line="252" w:lineRule="exact"/>
        <w:ind w:hanging="566"/>
        <w:jc w:val="both"/>
      </w:pPr>
      <w:r>
        <w:t xml:space="preserve">Τι πρέπει να γνωρίζετε πριν χρησιμοποιήσετε το </w:t>
      </w:r>
      <w:proofErr w:type="spellStart"/>
      <w:r>
        <w:t>Boostrix</w:t>
      </w:r>
      <w:proofErr w:type="spellEnd"/>
      <w:r>
        <w:rPr>
          <w:spacing w:val="-3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4"/>
        <w:numPr>
          <w:ilvl w:val="0"/>
          <w:numId w:val="2"/>
        </w:numPr>
        <w:tabs>
          <w:tab w:val="left" w:pos="885"/>
        </w:tabs>
        <w:spacing w:before="1" w:line="252" w:lineRule="exact"/>
        <w:ind w:hanging="566"/>
        <w:jc w:val="both"/>
      </w:pPr>
      <w:r>
        <w:t>Πως να χρ</w:t>
      </w:r>
      <w:r>
        <w:t xml:space="preserve">ησιμοποιήσετε το </w:t>
      </w:r>
      <w:proofErr w:type="spellStart"/>
      <w:r>
        <w:t>Boostrix</w:t>
      </w:r>
      <w:proofErr w:type="spellEnd"/>
      <w:r>
        <w:rPr>
          <w:spacing w:val="-1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4"/>
        <w:numPr>
          <w:ilvl w:val="0"/>
          <w:numId w:val="2"/>
        </w:numPr>
        <w:tabs>
          <w:tab w:val="left" w:pos="885"/>
        </w:tabs>
        <w:spacing w:line="252" w:lineRule="exact"/>
        <w:ind w:hanging="566"/>
        <w:jc w:val="both"/>
      </w:pPr>
      <w:r>
        <w:t>Πιθανές ανεπιθύμητες</w:t>
      </w:r>
      <w:r>
        <w:rPr>
          <w:spacing w:val="-1"/>
        </w:rPr>
        <w:t xml:space="preserve"> </w:t>
      </w:r>
      <w:r>
        <w:t>ενέργειες</w:t>
      </w:r>
    </w:p>
    <w:p w:rsidR="00F76994" w:rsidRDefault="00951051">
      <w:pPr>
        <w:pStyle w:val="a4"/>
        <w:numPr>
          <w:ilvl w:val="0"/>
          <w:numId w:val="2"/>
        </w:numPr>
        <w:tabs>
          <w:tab w:val="left" w:pos="885"/>
        </w:tabs>
        <w:spacing w:line="252" w:lineRule="exact"/>
        <w:ind w:hanging="566"/>
        <w:jc w:val="both"/>
      </w:pPr>
      <w:r>
        <w:t xml:space="preserve">Πως να φυλάσσετε το </w:t>
      </w:r>
      <w:proofErr w:type="spellStart"/>
      <w:r>
        <w:t>Boostrix</w:t>
      </w:r>
      <w:proofErr w:type="spellEnd"/>
      <w:r>
        <w:rPr>
          <w:spacing w:val="-3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3"/>
        <w:spacing w:before="1"/>
        <w:ind w:left="318"/>
        <w:jc w:val="both"/>
      </w:pPr>
      <w:r>
        <w:t>6. Περιεχόμενο της συσκευασίας και λοιπές πληροφορίες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1"/>
        <w:numPr>
          <w:ilvl w:val="0"/>
          <w:numId w:val="1"/>
        </w:numPr>
        <w:tabs>
          <w:tab w:val="left" w:pos="947"/>
        </w:tabs>
        <w:ind w:firstLine="0"/>
        <w:jc w:val="both"/>
      </w:pPr>
      <w:r>
        <w:t xml:space="preserve">Τι είναι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ποιά είναι η χρήση</w:t>
      </w:r>
      <w:r>
        <w:rPr>
          <w:spacing w:val="-6"/>
        </w:rPr>
        <w:t xml:space="preserve"> </w:t>
      </w:r>
      <w:r>
        <w:t>του</w:t>
      </w:r>
    </w:p>
    <w:p w:rsidR="00F76994" w:rsidRDefault="00F76994">
      <w:pPr>
        <w:pStyle w:val="a3"/>
        <w:rPr>
          <w:b/>
        </w:rPr>
      </w:pPr>
    </w:p>
    <w:p w:rsidR="00F76994" w:rsidRDefault="00951051">
      <w:pPr>
        <w:pStyle w:val="a3"/>
        <w:ind w:left="318" w:right="866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 ένα εμβόλιο που χρησιμοποιείται για αναμνηστική δόση σε παιδιά ηλικίας από 3 ετών και άνω, εφήβους και ενήλικες για την πρόληψη τεσσάρων ασθενειών: διφθερίτιδας, τετάνου, </w:t>
      </w:r>
      <w:proofErr w:type="spellStart"/>
      <w:r>
        <w:t>κοκκύτη</w:t>
      </w:r>
      <w:proofErr w:type="spellEnd"/>
      <w:r>
        <w:t xml:space="preserve"> και πολιομυελίτιδας. Το εμβόλιο λειτουργεί κάνοντας τ</w:t>
      </w:r>
      <w:r>
        <w:t>ον οργανισμό να παράγει τη δική του προστασία (αντισώματα) έναντι αυτών των ασθενειών.</w:t>
      </w:r>
    </w:p>
    <w:p w:rsidR="00F76994" w:rsidRDefault="00F76994">
      <w:pPr>
        <w:pStyle w:val="a3"/>
        <w:spacing w:before="11"/>
        <w:rPr>
          <w:sz w:val="21"/>
        </w:r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2" w:hanging="566"/>
        <w:jc w:val="both"/>
      </w:pPr>
      <w:r>
        <w:rPr>
          <w:b/>
        </w:rPr>
        <w:t>Διφθερίτιδα</w:t>
      </w:r>
      <w:r>
        <w:t>: Η διφθερίτιδα προσβάλλει κυρίως τις αεροφόρους οδούς και μερικές φορές το δέρμα. Γενικά οι αεροφόροι οδοί αναπτύσσουν φλεγμονή (οίδημα) που προκαλεί σοβαρέ</w:t>
      </w:r>
      <w:r>
        <w:t>ς αναπνευστικές δυσκολίες και μερικές φορές ασφυξία. Τα βακτήρια απελευθερώνουν επίσης μία τοξίνη (δηλητήριο) που μπορεί να προκαλέσει βλάβες στα νεύρα, προβλήματα στην καρδιά, ακόμα και το</w:t>
      </w:r>
      <w:r>
        <w:rPr>
          <w:spacing w:val="-1"/>
        </w:rPr>
        <w:t xml:space="preserve"> </w:t>
      </w:r>
      <w:r>
        <w:t>θάνατο.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68" w:hanging="566"/>
        <w:jc w:val="both"/>
      </w:pPr>
      <w:r>
        <w:rPr>
          <w:b/>
        </w:rPr>
        <w:t>Τέτανος</w:t>
      </w:r>
      <w:r>
        <w:t>: Τα βακτήρια του τετάνου μπαίνουν στον οργανισμό μ</w:t>
      </w:r>
      <w:r>
        <w:t xml:space="preserve">έσω τομών, αμυχών ή πληγών του δέρματος. Τραύματα ιδιαίτερα επιρρεπή σε μόλυνση είναι τα εγκαύματα, τα κατάγματα, βαθιές πληγές ή οι πληγές που μολύνθηκαν από χώμα, σκόνη, κοπριά αλόγων/βρωμιά ή </w:t>
      </w:r>
      <w:proofErr w:type="spellStart"/>
      <w:r>
        <w:t>σχίζες</w:t>
      </w:r>
      <w:proofErr w:type="spellEnd"/>
      <w:r>
        <w:t xml:space="preserve"> ξύλου. Τα βακτήρια απελευθερώνουν μία τοξίνη (δηλητήρι</w:t>
      </w:r>
      <w:r>
        <w:t>ο) που μπορεί να προκαλέσει μυϊκή δυσκαμψία, επώδυνες μυϊκές συσπάσεις, σπασμούς, ακόμα και θάνατο. Οι μυϊκοί σπασμοί μπορεί να είναι αρκετά ισχυροί ώστε να προκαλέσουν κατάγματα στα οστά της σπονδυλικής</w:t>
      </w:r>
      <w:r>
        <w:rPr>
          <w:spacing w:val="-5"/>
        </w:rPr>
        <w:t xml:space="preserve"> </w:t>
      </w:r>
      <w:r>
        <w:t>στήλης.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3" w:hanging="566"/>
        <w:jc w:val="both"/>
      </w:pPr>
      <w:proofErr w:type="spellStart"/>
      <w:r>
        <w:rPr>
          <w:b/>
        </w:rPr>
        <w:t>Κοκκύτης</w:t>
      </w:r>
      <w:proofErr w:type="spellEnd"/>
      <w:r>
        <w:t xml:space="preserve">: Ο </w:t>
      </w:r>
      <w:proofErr w:type="spellStart"/>
      <w:r>
        <w:t>κοκκύτης</w:t>
      </w:r>
      <w:proofErr w:type="spellEnd"/>
      <w:r>
        <w:t xml:space="preserve"> είναι μία ιδιαίτερα μετ</w:t>
      </w:r>
      <w:r>
        <w:t xml:space="preserve">αδοτική νόσος. Η ασθένεια προσβάλλει τις αεροφόρους οδούς και προκαλεί έντονο περιοδικό βήχα που μπορεί να επιδράσει στην ομαλή αναπνοή. Ο βήχας συνήθως συνοδεύεται από ένα «συριγμώδη» ήχο. Ο βήχας μπορεί να διαρκέσει για 1-2 μήνες ή περισσότερο. Ο </w:t>
      </w:r>
      <w:proofErr w:type="spellStart"/>
      <w:r>
        <w:t>κοκκύτη</w:t>
      </w:r>
      <w:r>
        <w:t>ς</w:t>
      </w:r>
      <w:proofErr w:type="spellEnd"/>
      <w:r>
        <w:t xml:space="preserve"> μπορεί επίσης να προκαλέσει λοιμώξεις των </w:t>
      </w:r>
      <w:proofErr w:type="spellStart"/>
      <w:r>
        <w:t>ώτων</w:t>
      </w:r>
      <w:proofErr w:type="spellEnd"/>
      <w:r>
        <w:t>, βρογχίτιδα που μπορεί να διαρκέσει για πολύ χρόνο, πνευμονία, σπασμούς, εγκεφαλική βλάβη, ακόμα και</w:t>
      </w:r>
      <w:r>
        <w:rPr>
          <w:spacing w:val="-1"/>
        </w:rPr>
        <w:t xml:space="preserve"> </w:t>
      </w:r>
      <w:r>
        <w:t>θάνατο.</w:t>
      </w:r>
    </w:p>
    <w:p w:rsidR="00F76994" w:rsidRDefault="00F76994">
      <w:pPr>
        <w:jc w:val="both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spacing w:before="74"/>
        <w:ind w:right="874" w:hanging="566"/>
        <w:jc w:val="both"/>
      </w:pPr>
      <w:r>
        <w:rPr>
          <w:b/>
        </w:rPr>
        <w:lastRenderedPageBreak/>
        <w:t>Πολιομυελίτιδα</w:t>
      </w:r>
      <w:r>
        <w:t>: Η πολιομυελίτιδα ορισμένες φορές ονομάζεται απλά “</w:t>
      </w:r>
      <w:proofErr w:type="spellStart"/>
      <w:r>
        <w:t>πόλιο</w:t>
      </w:r>
      <w:proofErr w:type="spellEnd"/>
      <w:r>
        <w:t xml:space="preserve">”, είναι </w:t>
      </w:r>
      <w:r>
        <w:t>μία λοίμωξη από ιό που μπορεί να έχει διάφορα επακόλουθα. Συχνά προκαλεί μόνο μία ήπια νόσο, αλλά σε μερικά άτομα προκαλεί μόνιμη βλάβη ή ακόμα και θάνατο. Στη σοβαρότερή της μορφή, η λοίμωξη από τον ιό της πολιομυελίτιδας προκαλεί παράλυση των μυών (οι μύ</w:t>
      </w:r>
      <w:r>
        <w:t>ες δεν μπορούν να κινηθούν), συμπεριλαμβανομένων εκείνων των μυών που χρειάζονται για την αναπνοή και το βάδισμα. Τα μέλη του σώματος που προσβάλλονται από τη νόσο μπορεί να παραμορφωθούν</w:t>
      </w:r>
      <w:r>
        <w:rPr>
          <w:spacing w:val="-4"/>
        </w:rPr>
        <w:t xml:space="preserve"> </w:t>
      </w:r>
      <w:r>
        <w:t>επώδυνα.</w:t>
      </w:r>
    </w:p>
    <w:p w:rsidR="00F76994" w:rsidRDefault="00F76994">
      <w:pPr>
        <w:pStyle w:val="a3"/>
        <w:spacing w:before="1"/>
      </w:pPr>
    </w:p>
    <w:p w:rsidR="00F76994" w:rsidRDefault="00951051">
      <w:pPr>
        <w:pStyle w:val="a3"/>
        <w:spacing w:before="1"/>
        <w:ind w:left="318" w:right="919"/>
      </w:pPr>
      <w:r>
        <w:t xml:space="preserve">Κανένα από τα συστατικά του εμβολίου δεν μπορεί να προκαλέσει διφθερίτιδα, τέτανο, </w:t>
      </w:r>
      <w:proofErr w:type="spellStart"/>
      <w:r>
        <w:t>κοκκύτη</w:t>
      </w:r>
      <w:proofErr w:type="spellEnd"/>
      <w:r>
        <w:t xml:space="preserve"> ή πολιομυελίτιδα.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7"/>
        <w:rPr>
          <w:sz w:val="19"/>
        </w:rPr>
      </w:pPr>
    </w:p>
    <w:p w:rsidR="00F76994" w:rsidRDefault="00951051">
      <w:pPr>
        <w:pStyle w:val="1"/>
        <w:numPr>
          <w:ilvl w:val="0"/>
          <w:numId w:val="1"/>
        </w:numPr>
        <w:tabs>
          <w:tab w:val="left" w:pos="884"/>
          <w:tab w:val="left" w:pos="885"/>
        </w:tabs>
        <w:spacing w:line="480" w:lineRule="auto"/>
        <w:ind w:right="1918" w:firstLine="0"/>
      </w:pPr>
      <w:r>
        <w:t xml:space="preserve">Τι πρέπει να γνωρίζετε πριν χρησιμοποιήσετε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δεν πρέπει να</w:t>
      </w:r>
      <w:r>
        <w:rPr>
          <w:spacing w:val="-5"/>
        </w:rPr>
        <w:t xml:space="preserve"> </w:t>
      </w:r>
      <w:r>
        <w:t>χορηγείται: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spacing w:before="4"/>
        <w:ind w:right="871" w:hanging="523"/>
        <w:jc w:val="both"/>
      </w:pPr>
      <w:r>
        <w:t xml:space="preserve">αν εσείς ή το παιδί σας είχατε προηγουμένως κάποια αλλεργική αντίδραση στο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, ή σε κάποιο από τα άλλα συστατικά αυτού του εμβολίου (αναφέρονται στην παράγραφο 6), ή στη </w:t>
      </w:r>
      <w:proofErr w:type="spellStart"/>
      <w:r>
        <w:t>νεομυκίνη</w:t>
      </w:r>
      <w:proofErr w:type="spellEnd"/>
      <w:r>
        <w:t xml:space="preserve"> ή στην </w:t>
      </w:r>
      <w:proofErr w:type="spellStart"/>
      <w:r>
        <w:t>πολυμυξίνη</w:t>
      </w:r>
      <w:proofErr w:type="spellEnd"/>
      <w:r>
        <w:t xml:space="preserve"> (αντιβιοτικά) . Σημεία κάποιας αλλεργικής αντί</w:t>
      </w:r>
      <w:r>
        <w:t>δρασης μπορεί να περιλαμβάνουν δερματικό εξάνθημα με φαγούρα, δυσκολία στην αναπνοή και πρήξιμο του προσώπου ή της</w:t>
      </w:r>
      <w:r>
        <w:rPr>
          <w:spacing w:val="-2"/>
        </w:rPr>
        <w:t xml:space="preserve"> </w:t>
      </w:r>
      <w:r>
        <w:t>γλώσσας.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3" w:hanging="523"/>
        <w:jc w:val="both"/>
      </w:pPr>
      <w:r>
        <w:t xml:space="preserve">αν εσείς ή το παιδί σας είχατε προηγουμένως κάποια αλλεργική αντίδραση σε οποιοδήποτε εμβόλιο κατά της διφθερίτιδας, τετάνου, </w:t>
      </w:r>
      <w:proofErr w:type="spellStart"/>
      <w:r>
        <w:t>κοκκύτ</w:t>
      </w:r>
      <w:r>
        <w:t>η</w:t>
      </w:r>
      <w:proofErr w:type="spellEnd"/>
      <w:r>
        <w:t xml:space="preserve"> ή πολιομυελίτιδας.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2" w:hanging="523"/>
        <w:jc w:val="both"/>
      </w:pPr>
      <w:r>
        <w:t>αν εσείς ή το παιδί σας παρουσιάσατε προβλήματα από το νευρικό σύστημα (εγκεφαλοπάθεια) εντός 7 ημερών μετά από προηγούμενο εμβολιασμό κατά του</w:t>
      </w:r>
      <w:r>
        <w:rPr>
          <w:spacing w:val="-1"/>
        </w:rPr>
        <w:t xml:space="preserve"> </w:t>
      </w:r>
      <w:proofErr w:type="spellStart"/>
      <w:r>
        <w:t>κοκκύτη</w:t>
      </w:r>
      <w:proofErr w:type="spellEnd"/>
      <w:r>
        <w:t>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58"/>
        </w:tabs>
        <w:ind w:left="858" w:right="873" w:hanging="540"/>
        <w:jc w:val="both"/>
      </w:pPr>
      <w:r>
        <w:t>αν εσείς ή το παιδί σας έχετε εμφανίσει παροδική μείωση των αιμοπεταλίων (το οποίο</w:t>
      </w:r>
      <w:r>
        <w:t xml:space="preserve"> αυξάνει τον κίνδυνο αιμορραγίας ή μώλωπες) ή προβλήματα με τον εγκέφαλο ή τα νεύρα μετά από προηγούμενο εμβολιασμό με εμβόλιο κατά της διφθερίτιδας και/ή του</w:t>
      </w:r>
      <w:r>
        <w:rPr>
          <w:spacing w:val="-2"/>
        </w:rPr>
        <w:t xml:space="preserve"> </w:t>
      </w:r>
      <w:r>
        <w:t>τετάνου.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7" w:hanging="566"/>
        <w:jc w:val="both"/>
      </w:pPr>
      <w:r>
        <w:t>αν εσείς ή το παιδί σας έχετε κάποια σοβαρή λοίμωξη με υψηλό πυρετό (άνω των 38</w:t>
      </w:r>
      <w:r>
        <w:rPr>
          <w:rFonts w:ascii="Symbol" w:hAnsi="Symbol"/>
        </w:rPr>
        <w:t></w:t>
      </w:r>
      <w:r>
        <w:t xml:space="preserve">C). </w:t>
      </w:r>
      <w:r>
        <w:rPr>
          <w:spacing w:val="-2"/>
        </w:rPr>
        <w:t xml:space="preserve">Μια </w:t>
      </w:r>
      <w:r>
        <w:t>ήπια λοίμωξη δεν πρέπει να θεωρείται πρόβλημα, αλλά ενημερώστε πρώτα το γιατρό</w:t>
      </w:r>
      <w:r>
        <w:rPr>
          <w:spacing w:val="-2"/>
        </w:rPr>
        <w:t xml:space="preserve"> </w:t>
      </w:r>
      <w:r>
        <w:t>σας.</w:t>
      </w:r>
    </w:p>
    <w:p w:rsidR="00F76994" w:rsidRDefault="00F76994">
      <w:pPr>
        <w:pStyle w:val="a3"/>
        <w:spacing w:before="1"/>
        <w:rPr>
          <w:sz w:val="21"/>
        </w:rPr>
      </w:pPr>
    </w:p>
    <w:p w:rsidR="00F76994" w:rsidRDefault="00951051">
      <w:pPr>
        <w:pStyle w:val="1"/>
      </w:pPr>
      <w:r>
        <w:t>Προειδοποιήσεις και προφυλάξεις</w:t>
      </w:r>
    </w:p>
    <w:p w:rsidR="00F76994" w:rsidRDefault="00951051">
      <w:pPr>
        <w:pStyle w:val="a3"/>
        <w:spacing w:before="2"/>
        <w:ind w:left="318" w:right="867"/>
      </w:pPr>
      <w:r>
        <w:t xml:space="preserve">Απευθυνθείτε στον γιατρό ή τον φαρμακοποιό σας προτού δοθεί σε εσάς ή στο παιδί σας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>:</w:t>
      </w:r>
    </w:p>
    <w:p w:rsidR="00F76994" w:rsidRDefault="00F76994">
      <w:pPr>
        <w:pStyle w:val="a3"/>
        <w:spacing w:before="3"/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spacing w:line="237" w:lineRule="auto"/>
        <w:ind w:right="872" w:hanging="566"/>
        <w:jc w:val="both"/>
      </w:pPr>
      <w:r>
        <w:t xml:space="preserve">αν μετά από προηγούμενη δόση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ή κάποιου άλλου εμβολίου κατά του </w:t>
      </w:r>
      <w:proofErr w:type="spellStart"/>
      <w:r>
        <w:t>κοκκύτη</w:t>
      </w:r>
      <w:proofErr w:type="spellEnd"/>
      <w:r>
        <w:t>, εσείς ή το παιδί σας παρουσιάσατε προβλήματα υγείας και</w:t>
      </w:r>
      <w:r>
        <w:rPr>
          <w:spacing w:val="-28"/>
        </w:rPr>
        <w:t xml:space="preserve"> </w:t>
      </w:r>
      <w:r>
        <w:t>ειδικά: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69"/>
          <w:tab w:val="left" w:pos="1170"/>
        </w:tabs>
        <w:spacing w:before="3" w:line="253" w:lineRule="exact"/>
        <w:ind w:hanging="286"/>
      </w:pPr>
      <w:r>
        <w:t>Υψηλό πυρετό (άνω των 40°C), εντός 48 ωρών από τον</w:t>
      </w:r>
      <w:r>
        <w:rPr>
          <w:spacing w:val="-10"/>
        </w:rPr>
        <w:t xml:space="preserve"> </w:t>
      </w:r>
      <w:r>
        <w:t>εμβολιασμό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69"/>
          <w:tab w:val="left" w:pos="1170"/>
        </w:tabs>
        <w:spacing w:line="252" w:lineRule="exact"/>
        <w:ind w:hanging="286"/>
      </w:pPr>
      <w:r>
        <w:t xml:space="preserve">Καταπληξία ή κατάσταση όμοια με σοκ, εντός </w:t>
      </w:r>
      <w:r>
        <w:t>48 ωρών από τον</w:t>
      </w:r>
      <w:r>
        <w:rPr>
          <w:spacing w:val="-16"/>
        </w:rPr>
        <w:t xml:space="preserve"> </w:t>
      </w:r>
      <w:r>
        <w:t>εμβολιασμό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69"/>
          <w:tab w:val="left" w:pos="1170"/>
        </w:tabs>
        <w:ind w:right="1116" w:hanging="286"/>
      </w:pPr>
      <w:r>
        <w:t>Επίμονο κλάμα διάρκειας 3 ωρών ή περισσότερο, εντός 48 ωρών από τον εμβολιασμό</w:t>
      </w:r>
    </w:p>
    <w:p w:rsidR="00F76994" w:rsidRDefault="00951051">
      <w:pPr>
        <w:pStyle w:val="a4"/>
        <w:numPr>
          <w:ilvl w:val="1"/>
          <w:numId w:val="3"/>
        </w:numPr>
        <w:tabs>
          <w:tab w:val="left" w:pos="1169"/>
          <w:tab w:val="left" w:pos="1170"/>
        </w:tabs>
        <w:ind w:right="869" w:hanging="286"/>
      </w:pPr>
      <w:r>
        <w:t>Σπασμούς/επιληπτικές κρίσεις με ή χωρίς υψηλό πυρετό, εντός 3 ημερών από τον</w:t>
      </w:r>
      <w:r>
        <w:rPr>
          <w:spacing w:val="-3"/>
        </w:rPr>
        <w:t xml:space="preserve"> </w:t>
      </w:r>
      <w:r>
        <w:t>εμβολιασμό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ind w:right="873" w:hanging="566"/>
        <w:jc w:val="both"/>
      </w:pPr>
      <w:r>
        <w:t>εάν το παιδί σας πάσχει από μη διαγνωσθείσα ή προοδευτική εγκε</w:t>
      </w:r>
      <w:r>
        <w:t>φαλική νόσο ή μη ελεγχόμενη επιληψία. Μετά τον έλεγχο της νόσου το εμβόλιο θα πρέπει να χορηγείται.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spacing w:line="237" w:lineRule="auto"/>
        <w:ind w:right="874" w:hanging="566"/>
        <w:jc w:val="both"/>
      </w:pPr>
      <w:r>
        <w:t>αν εσείς ή το παιδί σας έχετε πρόβλημα με αιμορραγίες ή κάνετε εύκολα μελανιές</w:t>
      </w:r>
    </w:p>
    <w:p w:rsidR="00F76994" w:rsidRDefault="00F76994">
      <w:pPr>
        <w:spacing w:line="237" w:lineRule="auto"/>
        <w:jc w:val="both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85"/>
        </w:tabs>
        <w:spacing w:before="76"/>
        <w:ind w:right="876" w:hanging="566"/>
        <w:jc w:val="both"/>
      </w:pPr>
      <w:r>
        <w:lastRenderedPageBreak/>
        <w:t>αν εσείς ή το παιδί σας έχετε την τάση να παρουσιάζει σπασμούς/επιληπτικές κρίσεις λόγω πυρετού ή αν υπάρχει οικογενειακό ιστορικό τέτοιων περιπτώσεων</w:t>
      </w:r>
    </w:p>
    <w:p w:rsidR="00F76994" w:rsidRDefault="00951051">
      <w:pPr>
        <w:pStyle w:val="a4"/>
        <w:numPr>
          <w:ilvl w:val="0"/>
          <w:numId w:val="3"/>
        </w:numPr>
        <w:tabs>
          <w:tab w:val="left" w:pos="858"/>
        </w:tabs>
        <w:ind w:left="858" w:right="870" w:hanging="540"/>
        <w:jc w:val="both"/>
      </w:pPr>
      <w:r>
        <w:t>αν εσείς ή το παιδί σας έχετε μακροχρόνιο πρόβλημα του ανοσοποιητικού συστήματος από οποιαδήποτε αιτία, (</w:t>
      </w:r>
      <w:r>
        <w:t xml:space="preserve">περιλαμβανομένης της λοίμωξης HIV). Τόσο εσείς όσο και το παιδί σας μπορείτε και τότε να πάρετε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>, αλλά η προστασία έναντι των λοιμώξεων μετά τη λήψη του εμβολίου, μπορεί να μην είναι τόσο καλή όσο σε παιδιά και ενήλικες με καλή ανοσία στις</w:t>
      </w:r>
      <w:r>
        <w:rPr>
          <w:spacing w:val="-28"/>
        </w:rPr>
        <w:t xml:space="preserve"> </w:t>
      </w:r>
      <w:r>
        <w:t>λοιμώξεις.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3"/>
        <w:ind w:left="318" w:right="879"/>
        <w:jc w:val="both"/>
      </w:pPr>
      <w:r>
        <w:t>Λιποθυμία μπορεί να συμβεί (κυρίως σε εφήβους) μετά από, ή ακόμη και πριν από οποιαδήποτε ένεση. Συνεπώς ενημερώστε τον γιατρό ή τον νοσηλευτή εάν εσείς ή το παιδί σας λιποθυμήσατε με προηγούμενη ένεση.</w:t>
      </w:r>
    </w:p>
    <w:p w:rsidR="00F76994" w:rsidRDefault="00F76994">
      <w:pPr>
        <w:pStyle w:val="a3"/>
        <w:spacing w:before="2"/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857"/>
          <w:tab w:val="left" w:pos="858"/>
        </w:tabs>
        <w:spacing w:before="1" w:line="237" w:lineRule="auto"/>
        <w:ind w:left="858" w:right="873" w:hanging="540"/>
      </w:pPr>
      <w:r>
        <w:t xml:space="preserve">Όπως με όλα τα εμβόλια,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</w:t>
      </w:r>
      <w:r>
        <w:t>io</w:t>
      </w:r>
      <w:proofErr w:type="spellEnd"/>
      <w:r>
        <w:t xml:space="preserve"> ενδέχεται να μην παρέχει πλήρη προστασία σε όλα τα </w:t>
      </w:r>
      <w:proofErr w:type="spellStart"/>
      <w:r>
        <w:t>εμβολιασθέντα</w:t>
      </w:r>
      <w:proofErr w:type="spellEnd"/>
      <w:r>
        <w:rPr>
          <w:spacing w:val="-5"/>
        </w:rPr>
        <w:t xml:space="preserve"> </w:t>
      </w:r>
      <w:r>
        <w:t>άτομα.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 w:right="868"/>
        <w:jc w:val="both"/>
      </w:pPr>
      <w:r>
        <w:rPr>
          <w:b/>
        </w:rPr>
        <w:t xml:space="preserve">Άλλα φάρμακα και </w:t>
      </w: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Polio</w:t>
      </w:r>
      <w:proofErr w:type="spellEnd"/>
      <w:r>
        <w:rPr>
          <w:b/>
        </w:rPr>
        <w:t xml:space="preserve"> </w:t>
      </w:r>
      <w:r>
        <w:t>Ενημερώστε τον γιατρό ή τον φαρμακοποιό σας εάν εσείς ή το παιδί σας παίρνετε,, έχετε πρόσφατα πάρει ή μπορεί να πάρετε άλλα φάρμακα, ή αν έχετε κάν</w:t>
      </w:r>
      <w:r>
        <w:t>ει πρόσφατα κάποιο άλλο εμβόλιο.</w:t>
      </w:r>
    </w:p>
    <w:p w:rsidR="00F76994" w:rsidRDefault="00F76994">
      <w:pPr>
        <w:pStyle w:val="a3"/>
        <w:spacing w:before="3"/>
      </w:pPr>
    </w:p>
    <w:p w:rsidR="00F76994" w:rsidRDefault="00951051">
      <w:pPr>
        <w:pStyle w:val="a3"/>
        <w:ind w:left="318" w:right="876"/>
        <w:jc w:val="both"/>
      </w:pPr>
      <w:r>
        <w:rPr>
          <w:color w:val="212121"/>
        </w:rPr>
        <w:t xml:space="preserve">Το </w:t>
      </w:r>
      <w:proofErr w:type="spellStart"/>
      <w:r>
        <w:rPr>
          <w:color w:val="212121"/>
        </w:rPr>
        <w:t>Boostrix</w:t>
      </w:r>
      <w:proofErr w:type="spellEnd"/>
      <w:r>
        <w:rPr>
          <w:color w:val="212121"/>
        </w:rPr>
        <w:t xml:space="preserve"> </w:t>
      </w:r>
      <w:proofErr w:type="spellStart"/>
      <w:r>
        <w:t>Polio</w:t>
      </w:r>
      <w:proofErr w:type="spellEnd"/>
      <w:r>
        <w:t xml:space="preserve"> </w:t>
      </w:r>
      <w:r>
        <w:rPr>
          <w:color w:val="212121"/>
        </w:rPr>
        <w:t>μπορεί να δοθεί ταυτόχρονα με ορισμένα άλλα εμβόλια. Ένα διαφορετικό σημείο ένεσης θα χρησιμοποιηθεί για κάθε τύπο εμβολίου.</w:t>
      </w:r>
    </w:p>
    <w:p w:rsidR="00F76994" w:rsidRDefault="00F76994">
      <w:pPr>
        <w:pStyle w:val="a3"/>
      </w:pPr>
    </w:p>
    <w:p w:rsidR="00F76994" w:rsidRDefault="00951051">
      <w:pPr>
        <w:pStyle w:val="a3"/>
        <w:ind w:left="318" w:right="874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μπορεί να μη δράσει τόσο καλά εάν εσείς ή το παιδί σας λαμβά</w:t>
      </w:r>
      <w:r>
        <w:t>νετε φάρμακα τα οποία μειώνουν την αποτελεσματικότητα του ανοσοποιητικού συστήματος να καταπολεμά τις λοιμώξεις.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1"/>
        <w:jc w:val="both"/>
      </w:pPr>
      <w:r>
        <w:t>Κύηση και θηλασμός</w:t>
      </w:r>
    </w:p>
    <w:p w:rsidR="00F76994" w:rsidRDefault="00F76994">
      <w:pPr>
        <w:pStyle w:val="a3"/>
        <w:rPr>
          <w:b/>
        </w:rPr>
      </w:pPr>
    </w:p>
    <w:p w:rsidR="00F76994" w:rsidRDefault="00951051">
      <w:pPr>
        <w:pStyle w:val="a3"/>
        <w:spacing w:before="1"/>
        <w:ind w:left="318" w:right="877"/>
        <w:jc w:val="both"/>
      </w:pPr>
      <w:r>
        <w:t xml:space="preserve">Ο γιατρός σας θα συζητήσει μαζί σας τους πιθανούς κινδύνους και οφέλη από τη χρήση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κατά την κύηση.</w:t>
      </w:r>
    </w:p>
    <w:p w:rsidR="00F76994" w:rsidRDefault="00F76994">
      <w:pPr>
        <w:pStyle w:val="a3"/>
        <w:spacing w:before="1"/>
      </w:pPr>
    </w:p>
    <w:p w:rsidR="00F76994" w:rsidRDefault="00951051">
      <w:pPr>
        <w:pStyle w:val="a3"/>
        <w:spacing w:before="1"/>
        <w:ind w:left="318" w:right="873"/>
        <w:jc w:val="both"/>
      </w:pPr>
      <w:r>
        <w:t xml:space="preserve">Δεν είναι γνωστό εάν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απεκκρίνεται στο μητρικό γάλα. Ο γιατρός σας θα συζητήσει μαζί σας τους πιθανούς κινδύνους και τα οφέλη της χρήσης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κατά το</w:t>
      </w:r>
      <w:r>
        <w:rPr>
          <w:spacing w:val="-2"/>
        </w:rPr>
        <w:t xml:space="preserve"> </w:t>
      </w:r>
      <w:r>
        <w:t>θηλασμό.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3"/>
        <w:spacing w:before="1"/>
        <w:ind w:left="318" w:right="871"/>
        <w:jc w:val="both"/>
      </w:pPr>
      <w:r>
        <w:t xml:space="preserve">Εάν είσθε έγκυος ή θηλάζετε, νομίζετε ότι μπορεί να είσθε έγκυος </w:t>
      </w:r>
      <w:r>
        <w:t>ή σχεδιάζετε να αποκτήσετε παιδί, ζητήστε τη συμβουλή του γιατρού ή του φαρμακοποιού σας πριν σας δοθεί αυτό το εμβόλιο.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1"/>
        <w:jc w:val="both"/>
      </w:pPr>
      <w:r>
        <w:t>Οδήγηση και χειρισμός μηχανημάτων</w:t>
      </w:r>
    </w:p>
    <w:p w:rsidR="00F76994" w:rsidRDefault="00951051">
      <w:pPr>
        <w:pStyle w:val="a3"/>
        <w:spacing w:before="2"/>
        <w:ind w:left="318" w:right="873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 απίθανο να έχει επίδραση στην ικανότητα οδήγησης ή χειρισμού μηχανημάτων.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1"/>
        <w:jc w:val="both"/>
      </w:pPr>
      <w:r>
        <w:t>Τ</w:t>
      </w:r>
      <w:r>
        <w:t xml:space="preserve">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περιέχει </w:t>
      </w:r>
      <w:proofErr w:type="spellStart"/>
      <w:r>
        <w:t>νεομυκίνη</w:t>
      </w:r>
      <w:proofErr w:type="spellEnd"/>
      <w:r>
        <w:t xml:space="preserve"> και </w:t>
      </w:r>
      <w:proofErr w:type="spellStart"/>
      <w:r>
        <w:t>πολυμυξίνη</w:t>
      </w:r>
      <w:proofErr w:type="spellEnd"/>
    </w:p>
    <w:p w:rsidR="00F76994" w:rsidRDefault="00F76994">
      <w:pPr>
        <w:pStyle w:val="a3"/>
        <w:spacing w:before="3"/>
        <w:rPr>
          <w:b/>
        </w:rPr>
      </w:pPr>
    </w:p>
    <w:p w:rsidR="00F76994" w:rsidRDefault="00951051">
      <w:pPr>
        <w:pStyle w:val="a3"/>
        <w:ind w:left="318" w:right="874"/>
        <w:jc w:val="both"/>
      </w:pPr>
      <w:r>
        <w:t xml:space="preserve">Αυτό το εμβόλιο περιέχει </w:t>
      </w:r>
      <w:proofErr w:type="spellStart"/>
      <w:r>
        <w:t>νεομυκίνη</w:t>
      </w:r>
      <w:proofErr w:type="spellEnd"/>
      <w:r>
        <w:t xml:space="preserve">, </w:t>
      </w:r>
      <w:proofErr w:type="spellStart"/>
      <w:r>
        <w:t>πολυμυξίνη</w:t>
      </w:r>
      <w:proofErr w:type="spellEnd"/>
      <w:r>
        <w:t xml:space="preserve"> (αντιβιοτικά). Παρακαλείσθε να ενημερώσετε το γιατρό σας εάν εσείς ή το παιδί σας είχατε αλλεργική αντίδραση σε αυτά τα συστατικά.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9"/>
        <w:rPr>
          <w:sz w:val="19"/>
        </w:rPr>
      </w:pPr>
    </w:p>
    <w:p w:rsidR="00F76994" w:rsidRDefault="00951051">
      <w:pPr>
        <w:pStyle w:val="1"/>
        <w:numPr>
          <w:ilvl w:val="0"/>
          <w:numId w:val="1"/>
        </w:numPr>
        <w:tabs>
          <w:tab w:val="left" w:pos="885"/>
        </w:tabs>
        <w:ind w:left="884" w:hanging="566"/>
        <w:jc w:val="both"/>
      </w:pPr>
      <w:r>
        <w:t xml:space="preserve">Πώς να χρησιμοποιήσετε 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</w:p>
    <w:p w:rsidR="00F76994" w:rsidRDefault="00F76994">
      <w:pPr>
        <w:pStyle w:val="a3"/>
        <w:spacing w:before="2"/>
        <w:rPr>
          <w:b/>
        </w:r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746"/>
        </w:tabs>
        <w:ind w:left="745" w:hanging="427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θα χορηγηθεί ως ένεση στο</w:t>
      </w:r>
      <w:r>
        <w:rPr>
          <w:spacing w:val="-9"/>
        </w:rPr>
        <w:t xml:space="preserve"> </w:t>
      </w:r>
      <w:r>
        <w:t>μυ.</w:t>
      </w:r>
    </w:p>
    <w:p w:rsidR="00F76994" w:rsidRDefault="00F76994">
      <w:pPr>
        <w:jc w:val="both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745"/>
          <w:tab w:val="left" w:pos="746"/>
        </w:tabs>
        <w:spacing w:before="89"/>
        <w:ind w:left="745" w:hanging="427"/>
      </w:pPr>
      <w:r>
        <w:lastRenderedPageBreak/>
        <w:t>Το εμβόλιο δεν θα πρέπει να δοθεί ποτέ μέσα σε αιμοφόρα</w:t>
      </w:r>
      <w:r>
        <w:rPr>
          <w:spacing w:val="-12"/>
        </w:rPr>
        <w:t xml:space="preserve"> </w:t>
      </w:r>
      <w:r>
        <w:t>αγγεία.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745"/>
          <w:tab w:val="left" w:pos="746"/>
        </w:tabs>
        <w:ind w:left="745" w:hanging="427"/>
      </w:pPr>
      <w:r>
        <w:t xml:space="preserve">Εσείς ή το παιδί σας θα κάνετε μία ένεση </w:t>
      </w:r>
      <w:proofErr w:type="spellStart"/>
      <w:r>
        <w:t>Boostrix</w:t>
      </w:r>
      <w:proofErr w:type="spellEnd"/>
      <w:r>
        <w:rPr>
          <w:spacing w:val="-7"/>
        </w:rPr>
        <w:t xml:space="preserve"> </w:t>
      </w:r>
      <w:proofErr w:type="spellStart"/>
      <w:r>
        <w:t>Polio</w:t>
      </w:r>
      <w:proofErr w:type="spellEnd"/>
      <w:r>
        <w:t>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745"/>
          <w:tab w:val="left" w:pos="746"/>
        </w:tabs>
        <w:ind w:left="745" w:right="873" w:hanging="427"/>
      </w:pPr>
      <w:r>
        <w:t xml:space="preserve">Ο γιατρός θα εξακριβώσει </w:t>
      </w:r>
      <w:r>
        <w:t xml:space="preserve">αν εσείς ή το παιδί σας έχει υποβληθεί προηγουμένως σε εμβολιασμό για διφθερίτιδα, τέτανο, </w:t>
      </w:r>
      <w:proofErr w:type="spellStart"/>
      <w:r>
        <w:t>κοκκύτη</w:t>
      </w:r>
      <w:proofErr w:type="spellEnd"/>
      <w:r>
        <w:t xml:space="preserve"> και/ή τον ιό της</w:t>
      </w:r>
      <w:r>
        <w:rPr>
          <w:spacing w:val="-32"/>
        </w:rPr>
        <w:t xml:space="preserve"> </w:t>
      </w:r>
      <w:r>
        <w:t>πολιομυελίτιδας.</w:t>
      </w:r>
    </w:p>
    <w:p w:rsidR="00F76994" w:rsidRDefault="00F76994">
      <w:pPr>
        <w:pStyle w:val="a3"/>
      </w:pPr>
    </w:p>
    <w:p w:rsidR="00F76994" w:rsidRDefault="00951051">
      <w:pPr>
        <w:pStyle w:val="a4"/>
        <w:numPr>
          <w:ilvl w:val="0"/>
          <w:numId w:val="3"/>
        </w:numPr>
        <w:tabs>
          <w:tab w:val="left" w:pos="746"/>
        </w:tabs>
        <w:ind w:left="745" w:right="873" w:hanging="427"/>
        <w:jc w:val="both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μπορεί να χρησιμοποιηθεί σε περίπτωση υποψίας μόλυνσης με τέτανο, παρόλο που επιπρόσθετες προφυλάξεις, π</w:t>
      </w:r>
      <w:r>
        <w:t xml:space="preserve">.χ. επιμελής καθαρισμός της πληγής και/ή εφαρμογή τετανικής </w:t>
      </w:r>
      <w:proofErr w:type="spellStart"/>
      <w:r>
        <w:t>αντιτοξίνης</w:t>
      </w:r>
      <w:proofErr w:type="spellEnd"/>
      <w:r>
        <w:t xml:space="preserve"> θα ληφθούν ώστε να μειωθεί ο κίνδυνος εκδήλωσης της</w:t>
      </w:r>
      <w:r>
        <w:rPr>
          <w:spacing w:val="-3"/>
        </w:rPr>
        <w:t xml:space="preserve"> </w:t>
      </w:r>
      <w:r>
        <w:t>ασθένειας.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3"/>
        <w:spacing w:before="1"/>
        <w:ind w:left="318"/>
      </w:pPr>
      <w:r>
        <w:t>Ο γιατρός θα σας συμβουλέψει για επανάληψη του εμβολιασμού.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8"/>
        <w:rPr>
          <w:sz w:val="19"/>
        </w:rPr>
      </w:pPr>
    </w:p>
    <w:p w:rsidR="00F76994" w:rsidRDefault="00951051">
      <w:pPr>
        <w:pStyle w:val="1"/>
        <w:numPr>
          <w:ilvl w:val="0"/>
          <w:numId w:val="1"/>
        </w:numPr>
        <w:tabs>
          <w:tab w:val="left" w:pos="884"/>
          <w:tab w:val="left" w:pos="885"/>
        </w:tabs>
        <w:spacing w:before="1"/>
        <w:ind w:left="884" w:hanging="566"/>
      </w:pPr>
      <w:r>
        <w:t>Πιθανές ανεπιθύμητες</w:t>
      </w:r>
      <w:r>
        <w:rPr>
          <w:spacing w:val="-9"/>
        </w:rPr>
        <w:t xml:space="preserve"> </w:t>
      </w:r>
      <w:r>
        <w:t>ενέργειες</w:t>
      </w:r>
    </w:p>
    <w:p w:rsidR="00F76994" w:rsidRDefault="00F76994">
      <w:pPr>
        <w:pStyle w:val="a3"/>
        <w:spacing w:before="2"/>
        <w:rPr>
          <w:b/>
        </w:rPr>
      </w:pPr>
    </w:p>
    <w:p w:rsidR="00F76994" w:rsidRDefault="00951051">
      <w:pPr>
        <w:pStyle w:val="a3"/>
        <w:spacing w:before="1"/>
        <w:ind w:left="318" w:right="867"/>
      </w:pPr>
      <w:r>
        <w:t>Όπως όλα τα φάρμακα, έτσι και το εμβόλιο αυτό μπορεί να προκαλέσει ανεπιθύμητες ενέργειες αν και δεν παρουσιάζονται σε όλους τους ανθρώπους.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ind w:left="318" w:right="872"/>
        <w:jc w:val="both"/>
      </w:pPr>
      <w:r>
        <w:t>Όπως με όλα τα ενέσιμα εμβόλια, μπορεί να εμφανισθούν σοβαρές αλλεργικές αντιδράσεις (</w:t>
      </w:r>
      <w:proofErr w:type="spellStart"/>
      <w:r>
        <w:t>αναφυλακτικές</w:t>
      </w:r>
      <w:proofErr w:type="spellEnd"/>
      <w:r>
        <w:t xml:space="preserve"> αντιδράσεις) π</w:t>
      </w:r>
      <w:r>
        <w:t>ολύ σπάνια (λιγότερο από 1 στις 10.000 δόσεις εμβολίου). Αυτές μπορεί να αναγνωρισθούν</w:t>
      </w:r>
      <w:r>
        <w:rPr>
          <w:spacing w:val="56"/>
        </w:rPr>
        <w:t xml:space="preserve"> </w:t>
      </w:r>
      <w:r>
        <w:t>από: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397"/>
          <w:tab w:val="left" w:pos="1398"/>
        </w:tabs>
        <w:spacing w:line="267" w:lineRule="exact"/>
        <w:ind w:hanging="26"/>
      </w:pPr>
      <w:r>
        <w:t>Εξανθήματα που μπορεί να έχουν φαγούρα ή</w:t>
      </w:r>
      <w:r>
        <w:rPr>
          <w:spacing w:val="-4"/>
        </w:rPr>
        <w:t xml:space="preserve"> </w:t>
      </w:r>
      <w:r>
        <w:t>φουσκάλες,</w:t>
      </w:r>
    </w:p>
    <w:p w:rsidR="00F76994" w:rsidRDefault="00951051">
      <w:pPr>
        <w:pStyle w:val="1"/>
        <w:numPr>
          <w:ilvl w:val="1"/>
          <w:numId w:val="1"/>
        </w:numPr>
        <w:tabs>
          <w:tab w:val="left" w:pos="1397"/>
          <w:tab w:val="left" w:pos="1398"/>
        </w:tabs>
        <w:spacing w:line="268" w:lineRule="exact"/>
        <w:ind w:hanging="26"/>
      </w:pPr>
      <w:r>
        <w:t>Πρήξιμο στα μάτια και στο</w:t>
      </w:r>
      <w:r>
        <w:rPr>
          <w:spacing w:val="-5"/>
        </w:rPr>
        <w:t xml:space="preserve"> </w:t>
      </w:r>
      <w:r>
        <w:t>πρόσωπο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397"/>
          <w:tab w:val="left" w:pos="1398"/>
        </w:tabs>
        <w:spacing w:line="268" w:lineRule="exact"/>
        <w:ind w:hanging="26"/>
        <w:rPr>
          <w:b/>
        </w:rPr>
      </w:pPr>
      <w:r>
        <w:rPr>
          <w:b/>
        </w:rPr>
        <w:t>Δυσκολία στην αναπνοή ή την</w:t>
      </w:r>
      <w:r>
        <w:rPr>
          <w:b/>
          <w:spacing w:val="-6"/>
        </w:rPr>
        <w:t xml:space="preserve"> </w:t>
      </w:r>
      <w:r>
        <w:rPr>
          <w:b/>
        </w:rPr>
        <w:t>κατάποση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397"/>
          <w:tab w:val="left" w:pos="1398"/>
        </w:tabs>
        <w:ind w:right="872" w:hanging="26"/>
        <w:rPr>
          <w:b/>
        </w:rPr>
      </w:pPr>
      <w:r>
        <w:t xml:space="preserve">Απότομη πτώση της πίεσης του αίματος και </w:t>
      </w:r>
      <w:r>
        <w:rPr>
          <w:b/>
        </w:rPr>
        <w:t>απώλεια συνείδησης</w:t>
      </w:r>
      <w:r>
        <w:t xml:space="preserve">. Τέτοιου είδους αντιδράσεις μπορεί να συμβούν πριν φύγετε από το ιατρείο του γιατρού σας. Ωστόσο, εάν εμφανίσετε κάποιο από αυτά τα συμπτώματα, </w:t>
      </w:r>
      <w:r>
        <w:rPr>
          <w:b/>
        </w:rPr>
        <w:t>θα πρέπει να επικοινωνήσετε άμεσα με το γιατρό</w:t>
      </w:r>
      <w:r>
        <w:rPr>
          <w:b/>
          <w:spacing w:val="-9"/>
        </w:rPr>
        <w:t xml:space="preserve"> </w:t>
      </w:r>
      <w:r>
        <w:rPr>
          <w:b/>
        </w:rPr>
        <w:t>σας.</w:t>
      </w:r>
    </w:p>
    <w:p w:rsidR="00F76994" w:rsidRDefault="00F76994">
      <w:pPr>
        <w:pStyle w:val="a3"/>
        <w:rPr>
          <w:b/>
          <w:sz w:val="24"/>
        </w:rPr>
      </w:pPr>
    </w:p>
    <w:p w:rsidR="00F76994" w:rsidRDefault="00F76994">
      <w:pPr>
        <w:pStyle w:val="a3"/>
        <w:spacing w:before="1"/>
        <w:rPr>
          <w:b/>
          <w:sz w:val="20"/>
        </w:rPr>
      </w:pPr>
    </w:p>
    <w:p w:rsidR="00F76994" w:rsidRDefault="00951051">
      <w:pPr>
        <w:ind w:left="318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>Ανεπιθύμητες ενέργειες που εμφανίσθηκαν σε παιδιά ηλικίας 4 έως 8 ετών</w:t>
      </w:r>
    </w:p>
    <w:p w:rsidR="00F76994" w:rsidRDefault="00F76994">
      <w:pPr>
        <w:pStyle w:val="a3"/>
        <w:spacing w:before="8"/>
        <w:rPr>
          <w:i/>
          <w:sz w:val="13"/>
        </w:rPr>
      </w:pPr>
    </w:p>
    <w:p w:rsidR="00F76994" w:rsidRDefault="00951051">
      <w:pPr>
        <w:pStyle w:val="a3"/>
        <w:spacing w:before="94"/>
        <w:ind w:left="318" w:right="919"/>
      </w:pPr>
      <w:r>
        <w:rPr>
          <w:b/>
        </w:rPr>
        <w:t>Πολύ συχνές (</w:t>
      </w:r>
      <w:r>
        <w:t>μπορεί να εμφανισθούν σε περισσότερες από 1 στις 10 δόσεις του εμβολίου)::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9" w:lineRule="exact"/>
        <w:ind w:left="1158" w:hanging="300"/>
      </w:pPr>
      <w:r>
        <w:t>Πόνος, κοκκινίλα και πρήξιμο στο σημείο της</w:t>
      </w:r>
      <w:r>
        <w:rPr>
          <w:spacing w:val="2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300"/>
      </w:pPr>
      <w:r>
        <w:t>Υπνηλία</w:t>
      </w:r>
    </w:p>
    <w:p w:rsidR="00F76994" w:rsidRDefault="00951051">
      <w:pPr>
        <w:pStyle w:val="a3"/>
        <w:spacing w:line="252" w:lineRule="exact"/>
        <w:ind w:left="318"/>
      </w:pPr>
      <w:r>
        <w:rPr>
          <w:b/>
        </w:rPr>
        <w:t>Συχνές (</w:t>
      </w:r>
      <w:r>
        <w:t xml:space="preserve">μπορεί να εμφανισθούν σε έως </w:t>
      </w:r>
      <w:r>
        <w:t>1 στις 10 δόσεις του εμβολίου)::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before="1"/>
        <w:ind w:left="1158" w:right="871" w:hanging="274"/>
      </w:pPr>
      <w:r>
        <w:t>Πυρετός ίσος ή μεγαλύτερος από 37.5°C (περιλαμβανομένου πυρετού μεγαλύτερου από</w:t>
      </w:r>
      <w:r>
        <w:rPr>
          <w:spacing w:val="-1"/>
        </w:rPr>
        <w:t xml:space="preserve"> </w:t>
      </w:r>
      <w:r>
        <w:t>39°C)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Αιμορραγία, φαγούρα και σκληρία στο σημείο της</w:t>
      </w:r>
      <w:r>
        <w:rPr>
          <w:spacing w:val="-10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Εκτενές πρήξιμο στο άκρο που έγινε ο</w:t>
      </w:r>
      <w:r>
        <w:rPr>
          <w:spacing w:val="-2"/>
        </w:rPr>
        <w:t xml:space="preserve"> </w:t>
      </w:r>
      <w:r>
        <w:t>εμβολιασμός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Απώλεια της</w:t>
      </w:r>
      <w:r>
        <w:rPr>
          <w:spacing w:val="-2"/>
        </w:rPr>
        <w:t xml:space="preserve"> </w:t>
      </w:r>
      <w:r>
        <w:t>όρεξης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Ευερεθιστότητα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7" w:lineRule="exact"/>
        <w:ind w:left="1158" w:hanging="274"/>
      </w:pPr>
      <w:r>
        <w:t>Πονοκέφαλος</w:t>
      </w:r>
    </w:p>
    <w:p w:rsidR="00F76994" w:rsidRDefault="00951051">
      <w:pPr>
        <w:pStyle w:val="a3"/>
        <w:spacing w:line="252" w:lineRule="exact"/>
        <w:ind w:left="318"/>
      </w:pPr>
      <w:r>
        <w:rPr>
          <w:b/>
        </w:rPr>
        <w:t>Όχι συχνές (</w:t>
      </w:r>
      <w:r>
        <w:t>μπορεί να εμφανισθούν σε έως 1 στις 100 δόσεις του εμβολίου):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before="1" w:line="269" w:lineRule="exact"/>
        <w:ind w:left="1158" w:hanging="274"/>
      </w:pPr>
      <w:r>
        <w:t>Διάρροια, ναυτία,,</w:t>
      </w:r>
      <w:r>
        <w:rPr>
          <w:spacing w:val="2"/>
        </w:rPr>
        <w:t xml:space="preserve"> </w:t>
      </w:r>
      <w:r>
        <w:t>εμετός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9" w:lineRule="exact"/>
        <w:ind w:left="1158" w:hanging="274"/>
      </w:pPr>
      <w:r>
        <w:t>Στομαχικός</w:t>
      </w:r>
      <w:r>
        <w:rPr>
          <w:spacing w:val="-1"/>
        </w:rPr>
        <w:t xml:space="preserve"> </w:t>
      </w:r>
      <w:r>
        <w:t>πόνος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  <w:tab w:val="left" w:pos="2489"/>
          <w:tab w:val="left" w:pos="3436"/>
          <w:tab w:val="left" w:pos="4069"/>
          <w:tab w:val="left" w:pos="4952"/>
          <w:tab w:val="left" w:pos="6334"/>
          <w:tab w:val="left" w:pos="6742"/>
          <w:tab w:val="left" w:pos="8088"/>
        </w:tabs>
        <w:spacing w:before="2" w:line="237" w:lineRule="auto"/>
        <w:ind w:left="1170" w:right="875" w:hanging="286"/>
      </w:pPr>
      <w:r>
        <w:t>Πρησμένοι</w:t>
      </w:r>
      <w:r>
        <w:tab/>
        <w:t>αδένες</w:t>
      </w:r>
      <w:r>
        <w:tab/>
        <w:t>στο</w:t>
      </w:r>
      <w:r>
        <w:tab/>
        <w:t>λαιμό,</w:t>
      </w:r>
      <w:r>
        <w:tab/>
        <w:t>μασχαλιαία</w:t>
      </w:r>
      <w:r>
        <w:tab/>
        <w:t>ή</w:t>
      </w:r>
      <w:r>
        <w:tab/>
        <w:t>βουβωνική</w:t>
      </w:r>
      <w:r>
        <w:tab/>
        <w:t>χώρα (</w:t>
      </w:r>
      <w:proofErr w:type="spellStart"/>
      <w:r>
        <w:t>λεμφαδενοπάθεια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before="1"/>
        <w:ind w:left="1158" w:hanging="274"/>
      </w:pPr>
      <w:r>
        <w:t>Διαταραχή στον</w:t>
      </w:r>
      <w:r>
        <w:rPr>
          <w:spacing w:val="-3"/>
        </w:rPr>
        <w:t xml:space="preserve"> </w:t>
      </w:r>
      <w:r>
        <w:t>ύπνο</w:t>
      </w:r>
    </w:p>
    <w:p w:rsidR="00F76994" w:rsidRDefault="00F76994">
      <w:pPr>
        <w:sectPr w:rsidR="00F76994">
          <w:pgSz w:w="11910" w:h="16850"/>
          <w:pgMar w:top="1600" w:right="920" w:bottom="900" w:left="1480" w:header="0" w:footer="717" w:gutter="0"/>
          <w:cols w:space="720"/>
        </w:sectPr>
      </w:pP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before="76" w:line="269" w:lineRule="exact"/>
        <w:ind w:left="1158" w:hanging="274"/>
      </w:pPr>
      <w:r>
        <w:lastRenderedPageBreak/>
        <w:t>Απάθεια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Ξηρότητα του</w:t>
      </w:r>
      <w:r>
        <w:rPr>
          <w:spacing w:val="-2"/>
        </w:rPr>
        <w:t xml:space="preserve"> </w:t>
      </w:r>
      <w:r>
        <w:t>φάρυγγα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Κόπωση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ind w:left="318" w:right="872"/>
        <w:jc w:val="both"/>
        <w:rPr>
          <w:i/>
        </w:rPr>
      </w:pPr>
      <w:proofErr w:type="spellStart"/>
      <w:r>
        <w:rPr>
          <w:i/>
          <w:color w:val="212121"/>
        </w:rPr>
        <w:t>Συγχορήγηση</w:t>
      </w:r>
      <w:proofErr w:type="spellEnd"/>
      <w:r>
        <w:rPr>
          <w:i/>
          <w:color w:val="212121"/>
        </w:rPr>
        <w:t xml:space="preserve"> με εμβόλια ιλαράς-παρωτίτιδας-ερυθράς (MMR) ή ιλαράς-παρωτίτιδας- ερυθράς-</w:t>
      </w:r>
      <w:proofErr w:type="spellStart"/>
      <w:r>
        <w:rPr>
          <w:i/>
          <w:color w:val="212121"/>
        </w:rPr>
        <w:t>ανεμευλογιάς</w:t>
      </w:r>
      <w:proofErr w:type="spellEnd"/>
      <w:r>
        <w:rPr>
          <w:i/>
          <w:color w:val="212121"/>
        </w:rPr>
        <w:t xml:space="preserve"> (MMRV) σε παιδιά ηλικίας 3-6 ετών</w:t>
      </w:r>
    </w:p>
    <w:p w:rsidR="00F76994" w:rsidRDefault="00F76994">
      <w:pPr>
        <w:pStyle w:val="a3"/>
        <w:rPr>
          <w:i/>
        </w:rPr>
      </w:pPr>
    </w:p>
    <w:p w:rsidR="00F76994" w:rsidRDefault="00951051">
      <w:pPr>
        <w:pStyle w:val="a3"/>
        <w:ind w:left="318" w:right="872"/>
        <w:jc w:val="both"/>
      </w:pPr>
      <w:r>
        <w:rPr>
          <w:color w:val="212121"/>
        </w:rPr>
        <w:t xml:space="preserve">Σε μελέτες όπου το </w:t>
      </w:r>
      <w:proofErr w:type="spellStart"/>
      <w:r>
        <w:rPr>
          <w:color w:val="212121"/>
        </w:rPr>
        <w:t>Boostrix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Polio</w:t>
      </w:r>
      <w:proofErr w:type="spellEnd"/>
      <w:r>
        <w:rPr>
          <w:color w:val="212121"/>
        </w:rPr>
        <w:t xml:space="preserve"> δόθηκε ταυτόχρονα με ένα εμβόλιο MMR ή MMRV αναφέρθηκε συχνά δερματικό εξάνθημα και λοίμωξη του ανώτερου αναπνευστικού συστήματος (συμπεριλαμβανομένης της καταρροής και του πονόλαιμου). Πυρετός, ευερεθιστότητα, κόπωση, απώ</w:t>
      </w:r>
      <w:r>
        <w:rPr>
          <w:color w:val="212121"/>
        </w:rPr>
        <w:t xml:space="preserve">λεια της όρεξης και γαστρεντερικές διαταραχές (συμπεριλαμβανομένης της διάρροιας και του εμέτου) αναφέρθηκαν συχνότερα (πολύ συχνά) από ό, τι σε μελέτες όπου το </w:t>
      </w:r>
      <w:proofErr w:type="spellStart"/>
      <w:r>
        <w:rPr>
          <w:color w:val="212121"/>
        </w:rPr>
        <w:t>Boostrix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Polio</w:t>
      </w:r>
      <w:proofErr w:type="spellEnd"/>
      <w:r>
        <w:rPr>
          <w:color w:val="212121"/>
        </w:rPr>
        <w:t xml:space="preserve"> δόθηκε μόνο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του.</w:t>
      </w:r>
    </w:p>
    <w:p w:rsidR="00F76994" w:rsidRDefault="00F76994">
      <w:pPr>
        <w:pStyle w:val="a3"/>
      </w:pPr>
    </w:p>
    <w:p w:rsidR="00F76994" w:rsidRDefault="00951051">
      <w:pPr>
        <w:spacing w:line="242" w:lineRule="auto"/>
        <w:ind w:left="318" w:right="876"/>
        <w:jc w:val="both"/>
        <w:rPr>
          <w:i/>
        </w:rPr>
      </w:pPr>
      <w:r>
        <w:rPr>
          <w:i/>
        </w:rPr>
        <w:t>Ανεπιθύμητες ενέργειες που εμφανίσθηκαν κατά τη διάρκεια κλινι</w:t>
      </w:r>
      <w:r>
        <w:rPr>
          <w:i/>
        </w:rPr>
        <w:t>κών δοκιμών σε ενήλικες εφήβους και παιδιά από την ηλικία των 10 ετών και άνω:</w:t>
      </w:r>
    </w:p>
    <w:p w:rsidR="00F76994" w:rsidRDefault="00F76994">
      <w:pPr>
        <w:pStyle w:val="a3"/>
        <w:spacing w:before="4"/>
        <w:rPr>
          <w:i/>
          <w:sz w:val="21"/>
        </w:rPr>
      </w:pPr>
    </w:p>
    <w:p w:rsidR="00F76994" w:rsidRDefault="00951051">
      <w:pPr>
        <w:pStyle w:val="a3"/>
        <w:spacing w:line="244" w:lineRule="auto"/>
        <w:ind w:left="318" w:right="877"/>
        <w:jc w:val="both"/>
      </w:pPr>
      <w:r>
        <w:rPr>
          <w:b/>
        </w:rPr>
        <w:t>Πολύ συχνές (</w:t>
      </w:r>
      <w:r>
        <w:t>μπορεί να εμφανισθούν σε περισσότερες από 1 στις 10 δόσεις του εμβολίου):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1" w:lineRule="exact"/>
        <w:ind w:left="1158" w:hanging="300"/>
      </w:pPr>
      <w:r>
        <w:t>Πόνος, κοκκινίλα και πρήξιμο στο σημείο της</w:t>
      </w:r>
      <w:r>
        <w:rPr>
          <w:spacing w:val="-2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300"/>
      </w:pPr>
      <w:r>
        <w:t>Κόπωση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7" w:lineRule="exact"/>
        <w:ind w:left="1158" w:hanging="300"/>
      </w:pPr>
      <w:r>
        <w:t>Πονοκέφαλος</w:t>
      </w:r>
    </w:p>
    <w:p w:rsidR="00F76994" w:rsidRDefault="00951051">
      <w:pPr>
        <w:pStyle w:val="a3"/>
        <w:spacing w:line="252" w:lineRule="exact"/>
        <w:ind w:left="318"/>
        <w:jc w:val="both"/>
        <w:rPr>
          <w:b/>
        </w:rPr>
      </w:pPr>
      <w:r>
        <w:rPr>
          <w:b/>
        </w:rPr>
        <w:t>Συχνές (</w:t>
      </w:r>
      <w:r>
        <w:t>μπορεί να ε</w:t>
      </w:r>
      <w:r>
        <w:t>μφανισθούν σε έως 1 στις 10 δόσεις του εμβολίου)</w:t>
      </w:r>
      <w:r>
        <w:rPr>
          <w:b/>
        </w:rPr>
        <w:t>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before="1" w:line="269" w:lineRule="exact"/>
        <w:ind w:left="1158" w:hanging="274"/>
      </w:pPr>
      <w:r>
        <w:t>Πυρετός ίσος ή μεγαλύτερος από 37,5°C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9" w:lineRule="exact"/>
        <w:ind w:left="1158" w:hanging="274"/>
      </w:pPr>
      <w:proofErr w:type="spellStart"/>
      <w:r>
        <w:t>Φαγούρα,σκληρία</w:t>
      </w:r>
      <w:proofErr w:type="spellEnd"/>
      <w:r>
        <w:t>, θερμότητα ή μούδιασμα στο σημείο της</w:t>
      </w:r>
      <w:r>
        <w:rPr>
          <w:spacing w:val="-12"/>
        </w:rPr>
        <w:t xml:space="preserve"> </w:t>
      </w:r>
      <w:r>
        <w:t>ένεσης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7" w:lineRule="exact"/>
        <w:ind w:left="1158" w:hanging="274"/>
      </w:pPr>
      <w:r>
        <w:t>Στομαχικός πόνος, ναυτία,</w:t>
      </w:r>
      <w:r>
        <w:rPr>
          <w:spacing w:val="2"/>
        </w:rPr>
        <w:t xml:space="preserve"> </w:t>
      </w:r>
      <w:r>
        <w:t>εμετός</w:t>
      </w:r>
    </w:p>
    <w:p w:rsidR="00F76994" w:rsidRDefault="00951051">
      <w:pPr>
        <w:pStyle w:val="a3"/>
        <w:spacing w:line="250" w:lineRule="exact"/>
        <w:ind w:left="318"/>
        <w:jc w:val="both"/>
      </w:pPr>
      <w:r>
        <w:rPr>
          <w:b/>
        </w:rPr>
        <w:t>Όχι συχνές (</w:t>
      </w:r>
      <w:r>
        <w:t>μπορεί να εμφανισθούν σε έως 1 στις 100 δόσεις του εμβολίου):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before="4" w:line="268" w:lineRule="exact"/>
        <w:ind w:left="1158" w:hanging="274"/>
      </w:pPr>
      <w:r>
        <w:t>Πυρετός μεγαλύτερος από</w:t>
      </w:r>
      <w:r>
        <w:rPr>
          <w:spacing w:val="1"/>
        </w:rPr>
        <w:t xml:space="preserve"> </w:t>
      </w:r>
      <w:r>
        <w:t>39°C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Πρήξιμο στο άκρο που έγινε χορηγήθηκε το</w:t>
      </w:r>
      <w:r>
        <w:rPr>
          <w:spacing w:val="-3"/>
        </w:rPr>
        <w:t xml:space="preserve"> </w:t>
      </w:r>
      <w:r>
        <w:t>εμβόλιο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Ρίγη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Πόνος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9" w:lineRule="exact"/>
        <w:ind w:left="1158" w:hanging="274"/>
      </w:pPr>
      <w:r>
        <w:t>Ζάλη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Δυσκαμψία της άρθρωσης, πόνος στους</w:t>
      </w:r>
      <w:r>
        <w:rPr>
          <w:spacing w:val="-1"/>
        </w:rPr>
        <w:t xml:space="preserve"> </w:t>
      </w:r>
      <w:r>
        <w:t>μύες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Φαγούρα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Έρπητας του</w:t>
      </w:r>
      <w:r>
        <w:rPr>
          <w:spacing w:val="-2"/>
        </w:rPr>
        <w:t xml:space="preserve"> </w:t>
      </w:r>
      <w:r>
        <w:t>στόματος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  <w:tab w:val="left" w:pos="2489"/>
          <w:tab w:val="left" w:pos="3436"/>
          <w:tab w:val="left" w:pos="4069"/>
          <w:tab w:val="left" w:pos="4952"/>
          <w:tab w:val="left" w:pos="6334"/>
          <w:tab w:val="left" w:pos="6742"/>
          <w:tab w:val="left" w:pos="8088"/>
        </w:tabs>
        <w:ind w:left="1170" w:right="875" w:hanging="286"/>
      </w:pPr>
      <w:r>
        <w:t>Πρησμένοι</w:t>
      </w:r>
      <w:r>
        <w:tab/>
        <w:t>αδένες</w:t>
      </w:r>
      <w:r>
        <w:tab/>
        <w:t>στο</w:t>
      </w:r>
      <w:r>
        <w:tab/>
        <w:t>λαιμό,</w:t>
      </w:r>
      <w:r>
        <w:tab/>
        <w:t>μασχαλιαία</w:t>
      </w:r>
      <w:r>
        <w:tab/>
        <w:t>ή</w:t>
      </w:r>
      <w:r>
        <w:tab/>
        <w:t>βουβωνική</w:t>
      </w:r>
      <w:r>
        <w:tab/>
        <w:t>χώρα (</w:t>
      </w:r>
      <w:proofErr w:type="spellStart"/>
      <w:r>
        <w:t>λεμφαδενοπάθεια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7" w:lineRule="exact"/>
        <w:ind w:left="1158" w:hanging="274"/>
      </w:pPr>
      <w:r>
        <w:t>Μειωμένη</w:t>
      </w:r>
      <w:r>
        <w:rPr>
          <w:spacing w:val="-1"/>
        </w:rPr>
        <w:t xml:space="preserve"> </w:t>
      </w:r>
      <w:r>
        <w:t>όρεξη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Μυρμήγκιασμα ή μούδιασμα στα χέρια ή πόδια</w:t>
      </w:r>
      <w:r>
        <w:rPr>
          <w:spacing w:val="-6"/>
        </w:rPr>
        <w:t xml:space="preserve"> </w:t>
      </w:r>
      <w:r>
        <w:t>(παραισθησία)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8" w:lineRule="exact"/>
        <w:ind w:left="1158" w:hanging="274"/>
      </w:pPr>
      <w:r>
        <w:t>Υπνηλία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9" w:lineRule="exact"/>
        <w:ind w:left="1158" w:hanging="274"/>
      </w:pPr>
      <w:r>
        <w:t>Άσθμα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a3"/>
        <w:ind w:left="318" w:right="878"/>
        <w:jc w:val="both"/>
      </w:pPr>
      <w:r>
        <w:t xml:space="preserve">Οι ακόλουθες ανεπιθύμητες ενέργειες παρουσιάστηκαν κατά τη διάρκεια της συνήθους χρήσης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δεν αφορούν συγκεκριμένη ηλικία: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9" w:lineRule="exact"/>
        <w:ind w:left="1170" w:hanging="286"/>
      </w:pPr>
      <w:r>
        <w:t>Κατάρρευση ή περίοδοι απώλειας συνείδησ</w:t>
      </w:r>
      <w:r>
        <w:t>ης ή απώλειας</w:t>
      </w:r>
      <w:r>
        <w:rPr>
          <w:spacing w:val="-10"/>
        </w:rPr>
        <w:t xml:space="preserve"> </w:t>
      </w:r>
      <w:r>
        <w:t>αντίληψης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before="2" w:line="237" w:lineRule="auto"/>
        <w:ind w:left="1170" w:right="874" w:hanging="286"/>
      </w:pPr>
      <w:r>
        <w:t>Πρήξιμο στο πρόσωπο, χείλια, στόμα, γλώσσα ή λαιμό τα οποία μπορεί να προκαλέσουν δυσκολία στην κατάποση ή την αναπνοή</w:t>
      </w:r>
      <w:r>
        <w:rPr>
          <w:spacing w:val="-16"/>
        </w:rPr>
        <w:t xml:space="preserve"> </w:t>
      </w:r>
      <w:r>
        <w:t>(</w:t>
      </w:r>
      <w:proofErr w:type="spellStart"/>
      <w:r>
        <w:rPr>
          <w:i/>
        </w:rPr>
        <w:t>αγγειοοίδημα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before="2" w:line="268" w:lineRule="exact"/>
        <w:ind w:left="1170" w:hanging="286"/>
      </w:pPr>
      <w:r>
        <w:t>Κρίσεις (με ή χωρίς</w:t>
      </w:r>
      <w:r>
        <w:rPr>
          <w:spacing w:val="-4"/>
        </w:rPr>
        <w:t xml:space="preserve"> </w:t>
      </w:r>
      <w:r>
        <w:t>πυρετό)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Φαγούρα (κνίδωση)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9" w:lineRule="exact"/>
        <w:ind w:left="1170" w:hanging="286"/>
      </w:pPr>
      <w:r>
        <w:t>Ασυνήθιστη αδυναμία (εξασθένιση)</w:t>
      </w:r>
    </w:p>
    <w:p w:rsidR="00F76994" w:rsidRDefault="00F76994">
      <w:pPr>
        <w:spacing w:line="269" w:lineRule="exact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3"/>
        <w:spacing w:before="77"/>
        <w:ind w:left="318" w:right="873"/>
        <w:jc w:val="both"/>
      </w:pPr>
      <w:r>
        <w:lastRenderedPageBreak/>
        <w:t xml:space="preserve">Επιπλέον, οι ακόλουθες ανεπιθύμητες ενέργειες αναφέρθηκαν κατά τη διάρκεια κλινικών δοκιμών με </w:t>
      </w:r>
      <w:proofErr w:type="spellStart"/>
      <w:r>
        <w:t>Boostrix</w:t>
      </w:r>
      <w:proofErr w:type="spellEnd"/>
      <w:r>
        <w:t xml:space="preserve"> (εμβόλιο αναμνηστικής χορήγησης διφθερίτιδας, τετάνου και </w:t>
      </w:r>
      <w:proofErr w:type="spellStart"/>
      <w:r>
        <w:t>κοκκύτη</w:t>
      </w:r>
      <w:proofErr w:type="spellEnd"/>
      <w:r>
        <w:t xml:space="preserve"> της </w:t>
      </w:r>
      <w:proofErr w:type="spellStart"/>
      <w:r>
        <w:t>GlaxoSmithKline</w:t>
      </w:r>
      <w:proofErr w:type="spellEnd"/>
      <w:r>
        <w:t xml:space="preserve"> </w:t>
      </w:r>
      <w:proofErr w:type="spellStart"/>
      <w:r>
        <w:t>Biologicals</w:t>
      </w:r>
      <w:proofErr w:type="spellEnd"/>
      <w:r>
        <w:t>):</w:t>
      </w:r>
    </w:p>
    <w:p w:rsidR="00F76994" w:rsidRDefault="00F76994">
      <w:pPr>
        <w:pStyle w:val="a3"/>
        <w:spacing w:before="1"/>
      </w:pPr>
    </w:p>
    <w:p w:rsidR="00F76994" w:rsidRDefault="00951051">
      <w:pPr>
        <w:ind w:left="318"/>
        <w:jc w:val="both"/>
        <w:rPr>
          <w:i/>
        </w:rPr>
      </w:pPr>
      <w:r>
        <w:rPr>
          <w:i/>
        </w:rPr>
        <w:t xml:space="preserve">Ανεπιθύμητες ενέργειες οι οποίες παρουσιάστηκαν σε </w:t>
      </w:r>
      <w:r>
        <w:rPr>
          <w:i/>
        </w:rPr>
        <w:t>παιδιά ηλικίας 4 έως 8 ετών</w:t>
      </w:r>
    </w:p>
    <w:p w:rsidR="00F76994" w:rsidRDefault="00F76994">
      <w:pPr>
        <w:pStyle w:val="a3"/>
        <w:spacing w:before="7"/>
        <w:rPr>
          <w:i/>
          <w:sz w:val="21"/>
        </w:rPr>
      </w:pPr>
    </w:p>
    <w:p w:rsidR="00F76994" w:rsidRDefault="00951051">
      <w:pPr>
        <w:pStyle w:val="a3"/>
        <w:ind w:left="318"/>
        <w:jc w:val="both"/>
      </w:pPr>
      <w:r>
        <w:rPr>
          <w:b/>
        </w:rPr>
        <w:t>Όχι συχνές (</w:t>
      </w:r>
      <w:r>
        <w:t>μπορεί να εμφανισθούν σε έως 1 στις 100 δόσεις του εμβολίου):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before="3" w:line="268" w:lineRule="exact"/>
        <w:ind w:left="1170" w:hanging="286"/>
      </w:pPr>
      <w:r>
        <w:t>Διαταραχή</w:t>
      </w:r>
      <w:r>
        <w:rPr>
          <w:spacing w:val="-1"/>
        </w:rPr>
        <w:t xml:space="preserve"> </w:t>
      </w:r>
      <w:r>
        <w:t>προσοχής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Φαγούρα στα µάτια µε εκκρίσεις και εφελκίδα στα βλέφαρα</w:t>
      </w:r>
      <w:r>
        <w:rPr>
          <w:spacing w:val="-19"/>
        </w:rPr>
        <w:t xml:space="preserve"> </w:t>
      </w:r>
      <w:r>
        <w:t>(επιπεφυκίτιδα)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9" w:lineRule="exact"/>
        <w:ind w:left="1170" w:hanging="286"/>
      </w:pPr>
      <w:r>
        <w:t>Πόνος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spacing w:before="1"/>
        <w:ind w:left="318" w:right="874"/>
        <w:jc w:val="both"/>
        <w:rPr>
          <w:i/>
        </w:rPr>
      </w:pPr>
      <w:r>
        <w:rPr>
          <w:i/>
        </w:rPr>
        <w:t>Ανεπιθύμητες ενέργειες οι οποίες παρατηρήθηκαν σε ενήλικες, εφήβους και παιδιά από την ηλικία των 10 ετών και άνω</w:t>
      </w:r>
    </w:p>
    <w:p w:rsidR="00F76994" w:rsidRDefault="00F76994">
      <w:pPr>
        <w:pStyle w:val="a3"/>
        <w:spacing w:before="8"/>
        <w:rPr>
          <w:i/>
          <w:sz w:val="21"/>
        </w:rPr>
      </w:pPr>
    </w:p>
    <w:p w:rsidR="00F76994" w:rsidRDefault="00951051">
      <w:pPr>
        <w:pStyle w:val="a3"/>
        <w:spacing w:line="244" w:lineRule="auto"/>
        <w:ind w:left="318" w:right="877"/>
        <w:jc w:val="both"/>
      </w:pPr>
      <w:r>
        <w:rPr>
          <w:b/>
        </w:rPr>
        <w:t>Πολύ συχνές (</w:t>
      </w:r>
      <w:r>
        <w:t>μπορεί να εμφανισθούν σε περισσότερες από 1 στις 10 δόσεις του εμβολίου):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line="262" w:lineRule="exact"/>
        <w:ind w:left="1158" w:hanging="300"/>
      </w:pPr>
      <w:r>
        <w:t>Γενικό αίσθημα</w:t>
      </w:r>
      <w:r>
        <w:rPr>
          <w:spacing w:val="-1"/>
        </w:rPr>
        <w:t xml:space="preserve"> </w:t>
      </w:r>
      <w:r>
        <w:t>αδιαθεσίας</w:t>
      </w:r>
    </w:p>
    <w:p w:rsidR="00F76994" w:rsidRDefault="00951051">
      <w:pPr>
        <w:pStyle w:val="a3"/>
        <w:spacing w:before="117"/>
        <w:ind w:left="318"/>
        <w:jc w:val="both"/>
      </w:pPr>
      <w:r>
        <w:rPr>
          <w:b/>
        </w:rPr>
        <w:t>Συχνές (</w:t>
      </w:r>
      <w:r>
        <w:t>μπορεί να εμφανισθούν σε έως 1 στις 10 δόσεις του εμβολίου):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58"/>
        </w:tabs>
        <w:spacing w:before="1"/>
        <w:ind w:left="1158" w:hanging="300"/>
      </w:pPr>
      <w:r>
        <w:t>Σκληρό εξόγκωμα ή απόστημα στο σημείο της</w:t>
      </w:r>
      <w:r>
        <w:rPr>
          <w:spacing w:val="-7"/>
        </w:rPr>
        <w:t xml:space="preserve"> </w:t>
      </w:r>
      <w:r>
        <w:t>ένεσης</w:t>
      </w:r>
    </w:p>
    <w:p w:rsidR="00F76994" w:rsidRDefault="00951051">
      <w:pPr>
        <w:pStyle w:val="a3"/>
        <w:spacing w:before="118"/>
        <w:ind w:left="318"/>
        <w:jc w:val="both"/>
        <w:rPr>
          <w:b/>
        </w:rPr>
      </w:pPr>
      <w:r>
        <w:rPr>
          <w:b/>
        </w:rPr>
        <w:t>Όχι συχνές (</w:t>
      </w:r>
      <w:r>
        <w:t>μπορεί να εμφανισθούν σε έως 1 στις 100 δόσεις του εμβολίου)</w:t>
      </w:r>
      <w:r>
        <w:rPr>
          <w:b/>
        </w:rPr>
        <w:t>: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before="1" w:line="269" w:lineRule="exact"/>
        <w:ind w:left="1170" w:hanging="286"/>
      </w:pPr>
      <w:r>
        <w:t>Λοίμωξη του ανώτερου</w:t>
      </w:r>
      <w:r>
        <w:rPr>
          <w:spacing w:val="-1"/>
        </w:rPr>
        <w:t xml:space="preserve"> </w:t>
      </w:r>
      <w:r>
        <w:t>αναπνευστικού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Πονόλαιμος και δυσφορία κατά την κατά</w:t>
      </w:r>
      <w:r>
        <w:t>ποση</w:t>
      </w:r>
      <w:r>
        <w:rPr>
          <w:spacing w:val="-8"/>
        </w:rPr>
        <w:t xml:space="preserve"> </w:t>
      </w:r>
      <w:r>
        <w:t>(φαρυγγίτιδα)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Λιποθυμία (</w:t>
      </w:r>
      <w:proofErr w:type="spellStart"/>
      <w:r>
        <w:t>συγκοπικό</w:t>
      </w:r>
      <w:proofErr w:type="spellEnd"/>
      <w:r>
        <w:t xml:space="preserve"> επεισόδιο)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Βήχας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Διάρροια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9" w:lineRule="exact"/>
        <w:ind w:left="1170" w:hanging="286"/>
      </w:pPr>
      <w:r>
        <w:t>Υπερβολική εφίδρωση</w:t>
      </w:r>
      <w:r>
        <w:rPr>
          <w:spacing w:val="-2"/>
        </w:rPr>
        <w:t xml:space="preserve"> </w:t>
      </w:r>
      <w:r>
        <w:t>(</w:t>
      </w:r>
      <w:proofErr w:type="spellStart"/>
      <w:r>
        <w:t>υπεριδρωσία</w:t>
      </w:r>
      <w:proofErr w:type="spellEnd"/>
      <w:r>
        <w:t>)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Δερματικό</w:t>
      </w:r>
      <w:r>
        <w:rPr>
          <w:spacing w:val="-1"/>
        </w:rPr>
        <w:t xml:space="preserve"> </w:t>
      </w:r>
      <w:r>
        <w:t>εξάνθημα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line="268" w:lineRule="exact"/>
        <w:ind w:left="1170" w:hanging="286"/>
      </w:pPr>
      <w:r>
        <w:t>Δυσκαμψία της άρθρωσης, πόνος στους</w:t>
      </w:r>
      <w:r>
        <w:rPr>
          <w:spacing w:val="-1"/>
        </w:rPr>
        <w:t xml:space="preserve"> </w:t>
      </w:r>
      <w:r>
        <w:t>μύες</w:t>
      </w:r>
    </w:p>
    <w:p w:rsidR="00F76994" w:rsidRDefault="00951051">
      <w:pPr>
        <w:pStyle w:val="a4"/>
        <w:numPr>
          <w:ilvl w:val="1"/>
          <w:numId w:val="1"/>
        </w:numPr>
        <w:tabs>
          <w:tab w:val="left" w:pos="1170"/>
        </w:tabs>
        <w:spacing w:before="2" w:line="237" w:lineRule="auto"/>
        <w:ind w:left="1170" w:right="872" w:hanging="286"/>
      </w:pPr>
      <w:proofErr w:type="spellStart"/>
      <w:r>
        <w:t>Γριππώδης</w:t>
      </w:r>
      <w:proofErr w:type="spellEnd"/>
      <w:r>
        <w:t xml:space="preserve"> συνδρομή όπως πυρετός, πονόλαιμος, καταρροή, βήχας και ρίγη</w:t>
      </w:r>
    </w:p>
    <w:p w:rsidR="00F76994" w:rsidRDefault="00F76994">
      <w:pPr>
        <w:pStyle w:val="a3"/>
      </w:pPr>
    </w:p>
    <w:p w:rsidR="00F76994" w:rsidRDefault="00951051">
      <w:pPr>
        <w:pStyle w:val="a3"/>
        <w:ind w:left="318" w:right="879"/>
        <w:jc w:val="both"/>
      </w:pPr>
      <w:r>
        <w:t xml:space="preserve">Μετά από τη χορήγηση εμβολίων για τον τέτανο έχει αναφερθεί πολύ σπάνια (έως 1 στις 10.000 δόσεις εμβολίου) παροδική φλεγμονή των νεύρων που προκαλεί πόνο, αδυναμία και παράλυση των άκρων και συχνά επεκτείνεται στο θώρακα και το πρόσωπο (σύνδρομο </w:t>
      </w:r>
      <w:proofErr w:type="spellStart"/>
      <w:r>
        <w:t>Guillain</w:t>
      </w:r>
      <w:proofErr w:type="spellEnd"/>
      <w:r>
        <w:t xml:space="preserve"> </w:t>
      </w:r>
      <w:proofErr w:type="spellStart"/>
      <w:r>
        <w:t>Barré</w:t>
      </w:r>
      <w:proofErr w:type="spellEnd"/>
      <w:r>
        <w:t>).</w:t>
      </w:r>
    </w:p>
    <w:p w:rsidR="00F76994" w:rsidRDefault="00F76994">
      <w:pPr>
        <w:pStyle w:val="a3"/>
        <w:spacing w:before="9"/>
        <w:rPr>
          <w:sz w:val="21"/>
        </w:rPr>
      </w:pPr>
    </w:p>
    <w:p w:rsidR="00F76994" w:rsidRDefault="00951051">
      <w:pPr>
        <w:pStyle w:val="1"/>
        <w:jc w:val="both"/>
      </w:pPr>
      <w:r>
        <w:t>Αναφορά ανεπιθύμητων ενεργειών</w:t>
      </w:r>
    </w:p>
    <w:p w:rsidR="00F76994" w:rsidRDefault="00951051">
      <w:pPr>
        <w:pStyle w:val="a3"/>
        <w:spacing w:before="4"/>
        <w:ind w:left="318" w:right="875"/>
        <w:jc w:val="both"/>
      </w:pPr>
      <w:r>
        <w:t>Εάν παρατηρήσετε κάποια ανεπιθύμητη ενέργεια σε εσάς ή στο παιδί σας ενημερώστε το γιατρό ή φαρμακοποιό σας. Αυτό ισχύει και για κάθε πιθανή ανεπιθύμητη ενέργεια που δεν αναφέρεται στο παρόν φύλλο οδηγιών χρήσης.</w:t>
      </w:r>
    </w:p>
    <w:p w:rsidR="00F76994" w:rsidRDefault="00951051">
      <w:pPr>
        <w:pStyle w:val="a3"/>
        <w:ind w:left="318" w:right="870"/>
        <w:jc w:val="both"/>
      </w:pPr>
      <w:r>
        <w:t>Μπο</w:t>
      </w:r>
      <w:r>
        <w:t xml:space="preserve">ρείτε επίσης να αναφέρετε ανεπιθύμητες ενέργειες απευθείας, στον Εθνικό Οργανισμό Φαρμάκων (Μεσογείων 284, GR-15562 Χολαργός, Αθήνα, </w:t>
      </w:r>
      <w:proofErr w:type="spellStart"/>
      <w:r>
        <w:t>Τηλ</w:t>
      </w:r>
      <w:proofErr w:type="spellEnd"/>
      <w:r>
        <w:t xml:space="preserve">: + 30 21 32040380/337, Φαξ: + 30 21 06549585, </w:t>
      </w:r>
      <w:proofErr w:type="spellStart"/>
      <w:r>
        <w:t>Ιστότοπος</w:t>
      </w:r>
      <w:proofErr w:type="spellEnd"/>
      <w:r>
        <w:t xml:space="preserve">: </w:t>
      </w:r>
      <w:hyperlink r:id="rId10">
        <w:r>
          <w:rPr>
            <w:color w:val="0000FF"/>
            <w:u w:val="single" w:color="0000FF"/>
          </w:rPr>
          <w:t>http://www.eof.gr</w:t>
        </w:r>
      </w:hyperlink>
      <w:r>
        <w:t>). Μέσω</w:t>
      </w:r>
      <w:r>
        <w:t xml:space="preserve">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10"/>
        <w:rPr>
          <w:sz w:val="19"/>
        </w:rPr>
      </w:pPr>
    </w:p>
    <w:p w:rsidR="00F76994" w:rsidRDefault="00951051">
      <w:pPr>
        <w:pStyle w:val="1"/>
        <w:numPr>
          <w:ilvl w:val="0"/>
          <w:numId w:val="1"/>
        </w:numPr>
        <w:tabs>
          <w:tab w:val="left" w:pos="947"/>
        </w:tabs>
        <w:ind w:firstLine="0"/>
        <w:jc w:val="both"/>
      </w:pPr>
      <w:r>
        <w:t xml:space="preserve">Πώς να φυλάσσετε το </w:t>
      </w:r>
      <w:proofErr w:type="spellStart"/>
      <w:r>
        <w:t>Boostix</w:t>
      </w:r>
      <w:proofErr w:type="spellEnd"/>
      <w:r>
        <w:rPr>
          <w:spacing w:val="-2"/>
        </w:rPr>
        <w:t xml:space="preserve"> </w:t>
      </w:r>
      <w:proofErr w:type="spellStart"/>
      <w:r>
        <w:t>Polio</w:t>
      </w:r>
      <w:proofErr w:type="spellEnd"/>
    </w:p>
    <w:p w:rsidR="00F76994" w:rsidRDefault="00F76994">
      <w:pPr>
        <w:pStyle w:val="a3"/>
        <w:rPr>
          <w:b/>
        </w:rPr>
      </w:pPr>
    </w:p>
    <w:p w:rsidR="00F76994" w:rsidRDefault="00951051">
      <w:pPr>
        <w:pStyle w:val="a3"/>
        <w:ind w:left="318" w:right="871"/>
        <w:jc w:val="both"/>
      </w:pPr>
      <w:r>
        <w:t>Το εμβόλιο αυτό πρέπει να φυλάσσεται σε μέρη που δεν το βλέπουν και δεν το φθάνουν τα παιδιά.</w:t>
      </w:r>
    </w:p>
    <w:p w:rsidR="00F76994" w:rsidRDefault="00F76994">
      <w:pPr>
        <w:jc w:val="both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a3"/>
        <w:spacing w:before="77"/>
        <w:ind w:left="318" w:right="919"/>
      </w:pPr>
      <w:r>
        <w:lastRenderedPageBreak/>
        <w:t>Να μη χρησιμοποιείτε το εμβόλιο αυτό μετά την ημερομηνία λήξης που αναφέρεται στο κουτί. Η ημερομηνία λήξης είναι η τελευταία ημέρα του μήνα που</w:t>
      </w:r>
      <w:r>
        <w:t xml:space="preserve"> αναφέρεται.</w:t>
      </w:r>
    </w:p>
    <w:p w:rsidR="00F76994" w:rsidRDefault="00F76994">
      <w:pPr>
        <w:pStyle w:val="a3"/>
        <w:spacing w:before="11"/>
        <w:rPr>
          <w:sz w:val="21"/>
        </w:rPr>
      </w:pPr>
    </w:p>
    <w:p w:rsidR="00F76994" w:rsidRDefault="00951051">
      <w:pPr>
        <w:pStyle w:val="a3"/>
        <w:ind w:left="318"/>
      </w:pPr>
      <w:r>
        <w:t>Φυλάσσεται σε ψυγείο (2°C – 8°C).</w:t>
      </w:r>
    </w:p>
    <w:p w:rsidR="00F76994" w:rsidRDefault="00F76994">
      <w:pPr>
        <w:pStyle w:val="a3"/>
      </w:pPr>
    </w:p>
    <w:p w:rsidR="00F76994" w:rsidRDefault="00951051">
      <w:pPr>
        <w:pStyle w:val="a3"/>
        <w:spacing w:line="252" w:lineRule="exact"/>
        <w:ind w:left="318"/>
      </w:pPr>
      <w:r>
        <w:t>Μην το καταψύχετε. Η κατάψυξη καταστρέφει το εμβόλιο.</w:t>
      </w:r>
    </w:p>
    <w:p w:rsidR="00F76994" w:rsidRDefault="00951051">
      <w:pPr>
        <w:pStyle w:val="a3"/>
        <w:spacing w:line="252" w:lineRule="exact"/>
        <w:ind w:left="318"/>
      </w:pPr>
      <w:r>
        <w:t>Φυλάσσεται στην αρχική συσκευασία για να προστατεύεται από το φως.</w:t>
      </w:r>
    </w:p>
    <w:p w:rsidR="00F76994" w:rsidRDefault="00F76994">
      <w:pPr>
        <w:pStyle w:val="a3"/>
        <w:spacing w:before="1"/>
      </w:pPr>
    </w:p>
    <w:p w:rsidR="00F76994" w:rsidRDefault="00951051">
      <w:pPr>
        <w:pStyle w:val="a3"/>
        <w:ind w:left="318" w:right="872"/>
        <w:jc w:val="both"/>
      </w:pPr>
      <w:r>
        <w:t>Μην πετάτε φάρμακα στο νερό της αποχέτευσης ή στα οικιακά απορρίμματα. Ρωτήστε το φαρμακοποιό σας για το να πετάξετε τα φάρμακα που δεν χρησιμοποιείτε πια. Αυτά τα μέτρα θα βοηθήσουν στην προστασία του περιβάλλοντος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10"/>
        <w:rPr>
          <w:sz w:val="19"/>
        </w:rPr>
      </w:pPr>
    </w:p>
    <w:p w:rsidR="00F76994" w:rsidRDefault="00951051">
      <w:pPr>
        <w:pStyle w:val="1"/>
        <w:numPr>
          <w:ilvl w:val="0"/>
          <w:numId w:val="1"/>
        </w:numPr>
        <w:tabs>
          <w:tab w:val="left" w:pos="884"/>
          <w:tab w:val="left" w:pos="885"/>
        </w:tabs>
        <w:spacing w:line="480" w:lineRule="auto"/>
        <w:ind w:right="2841" w:firstLine="0"/>
      </w:pPr>
      <w:r>
        <w:t>Περιεχόμενο της συσκευασίας και λοιπές</w:t>
      </w:r>
      <w:r>
        <w:t xml:space="preserve"> πληροφορίες Τι περιέχει το </w:t>
      </w:r>
      <w:proofErr w:type="spellStart"/>
      <w:r>
        <w:t>Boostrix</w:t>
      </w:r>
      <w:proofErr w:type="spellEnd"/>
      <w:r>
        <w:rPr>
          <w:spacing w:val="-2"/>
        </w:rPr>
        <w:t xml:space="preserve"> </w:t>
      </w:r>
      <w:proofErr w:type="spellStart"/>
      <w:r>
        <w:t>Polio</w:t>
      </w:r>
      <w:proofErr w:type="spellEnd"/>
    </w:p>
    <w:p w:rsidR="00F76994" w:rsidRDefault="00951051">
      <w:pPr>
        <w:pStyle w:val="a4"/>
        <w:numPr>
          <w:ilvl w:val="0"/>
          <w:numId w:val="6"/>
        </w:numPr>
        <w:tabs>
          <w:tab w:val="left" w:pos="884"/>
          <w:tab w:val="left" w:pos="885"/>
        </w:tabs>
        <w:spacing w:before="2"/>
        <w:ind w:hanging="566"/>
      </w:pPr>
      <w:r>
        <w:t>Τα δραστικά συστατικά</w:t>
      </w:r>
      <w:r>
        <w:rPr>
          <w:spacing w:val="-3"/>
        </w:rPr>
        <w:t xml:space="preserve"> </w:t>
      </w:r>
      <w:r>
        <w:t>είναι: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996"/>
        <w:gridCol w:w="5062"/>
      </w:tblGrid>
      <w:tr w:rsidR="00F76994">
        <w:trPr>
          <w:trHeight w:val="262"/>
        </w:trPr>
        <w:tc>
          <w:tcPr>
            <w:tcW w:w="3996" w:type="dxa"/>
          </w:tcPr>
          <w:p w:rsidR="00F76994" w:rsidRDefault="00951051">
            <w:pPr>
              <w:pStyle w:val="TableParagraph"/>
              <w:spacing w:before="1" w:line="241" w:lineRule="exact"/>
              <w:ind w:left="200"/>
            </w:pPr>
            <w:r>
              <w:t>Τοξοειδές της διφθερίτιδας</w:t>
            </w:r>
            <w:r>
              <w:rPr>
                <w:vertAlign w:val="superscript"/>
              </w:rPr>
              <w:t>1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before="1" w:line="241" w:lineRule="exact"/>
              <w:ind w:left="140"/>
            </w:pPr>
            <w:r>
              <w:t xml:space="preserve">όχι λιγότερο από 2 Διεθνείς μονάδες (IU) (2.5 </w:t>
            </w:r>
            <w:proofErr w:type="spellStart"/>
            <w:r>
              <w:t>Lf</w:t>
            </w:r>
            <w:proofErr w:type="spellEnd"/>
            <w:r>
              <w:t>)</w:t>
            </w:r>
          </w:p>
        </w:tc>
      </w:tr>
      <w:tr w:rsidR="00F76994">
        <w:trPr>
          <w:trHeight w:val="266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44" w:lineRule="exact"/>
              <w:ind w:left="200"/>
            </w:pPr>
            <w:r>
              <w:t>Τοξοειδές του τετάνου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line="244" w:lineRule="exact"/>
              <w:ind w:left="140"/>
            </w:pPr>
            <w:r>
              <w:t xml:space="preserve">όχι λιγότερο από 20 Διεθνείς μονάδες (IU) (5 </w:t>
            </w:r>
            <w:proofErr w:type="spellStart"/>
            <w:r>
              <w:t>Lf</w:t>
            </w:r>
            <w:proofErr w:type="spellEnd"/>
            <w:r>
              <w:t>)</w:t>
            </w:r>
          </w:p>
        </w:tc>
      </w:tr>
      <w:tr w:rsidR="00F76994">
        <w:trPr>
          <w:trHeight w:val="239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20" w:lineRule="exact"/>
              <w:ind w:left="200"/>
              <w:rPr>
                <w:i/>
              </w:rPr>
            </w:pPr>
            <w:r>
              <w:rPr>
                <w:i/>
              </w:rPr>
              <w:t xml:space="preserve">Αντιγόνα </w:t>
            </w:r>
            <w:proofErr w:type="spellStart"/>
            <w:r>
              <w:rPr>
                <w:i/>
              </w:rPr>
              <w:t>Bordetella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pertussis</w:t>
            </w:r>
            <w:proofErr w:type="spellEnd"/>
          </w:p>
        </w:tc>
        <w:tc>
          <w:tcPr>
            <w:tcW w:w="5062" w:type="dxa"/>
          </w:tcPr>
          <w:p w:rsidR="00F76994" w:rsidRDefault="00F769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994">
        <w:trPr>
          <w:trHeight w:val="252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32" w:lineRule="exact"/>
              <w:ind w:left="689"/>
            </w:pPr>
            <w:r>
              <w:t xml:space="preserve">Τοξοειδές </w:t>
            </w:r>
            <w:proofErr w:type="spellStart"/>
            <w:r>
              <w:rPr>
                <w:color w:val="FF0000"/>
              </w:rPr>
              <w:t>κοκκύτη</w:t>
            </w:r>
            <w:proofErr w:type="spellEnd"/>
            <w:r>
              <w:rPr>
                <w:color w:val="FF0000"/>
              </w:rPr>
              <w:t xml:space="preserve"> </w:t>
            </w:r>
            <w:r>
              <w:rPr>
                <w:vertAlign w:val="superscript"/>
              </w:rPr>
              <w:t>1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line="232" w:lineRule="exact"/>
              <w:ind w:left="140"/>
            </w:pPr>
            <w:r>
              <w:t>8 μικρογραμμάρια</w:t>
            </w:r>
          </w:p>
        </w:tc>
      </w:tr>
      <w:tr w:rsidR="00F76994">
        <w:trPr>
          <w:trHeight w:val="253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33" w:lineRule="exact"/>
              <w:ind w:left="691"/>
            </w:pPr>
            <w:r>
              <w:t>Νηματοειδής αιμοσυγκολλητίνη</w:t>
            </w:r>
            <w:r>
              <w:rPr>
                <w:vertAlign w:val="superscript"/>
              </w:rPr>
              <w:t>1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line="233" w:lineRule="exact"/>
              <w:ind w:left="140"/>
            </w:pPr>
            <w:r>
              <w:t>8 μικρογραμμάρια</w:t>
            </w:r>
          </w:p>
        </w:tc>
      </w:tr>
      <w:tr w:rsidR="00F76994">
        <w:trPr>
          <w:trHeight w:val="266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45" w:lineRule="exact"/>
              <w:ind w:left="691"/>
            </w:pPr>
            <w:r>
              <w:t>Περτακτίνη</w:t>
            </w:r>
            <w:r>
              <w:rPr>
                <w:vertAlign w:val="superscript"/>
              </w:rPr>
              <w:t>1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line="245" w:lineRule="exact"/>
              <w:ind w:left="140"/>
            </w:pPr>
            <w:r>
              <w:t>2,5 μικρογραμμάρια</w:t>
            </w:r>
          </w:p>
        </w:tc>
      </w:tr>
      <w:tr w:rsidR="00F76994">
        <w:trPr>
          <w:trHeight w:val="239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20" w:lineRule="exact"/>
              <w:ind w:left="200"/>
              <w:rPr>
                <w:i/>
              </w:rPr>
            </w:pPr>
            <w:r>
              <w:rPr>
                <w:i/>
              </w:rPr>
              <w:t>Αδρανοποιημένος ιός πολιομυελίτιδας</w:t>
            </w:r>
          </w:p>
        </w:tc>
        <w:tc>
          <w:tcPr>
            <w:tcW w:w="5062" w:type="dxa"/>
          </w:tcPr>
          <w:p w:rsidR="00F76994" w:rsidRDefault="00F769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6994">
        <w:trPr>
          <w:trHeight w:val="253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33" w:lineRule="exact"/>
              <w:ind w:left="689"/>
            </w:pPr>
            <w:r>
              <w:t>Τύπος 1(στέλεχος Mahoney)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line="233" w:lineRule="exact"/>
              <w:ind w:left="140"/>
            </w:pPr>
            <w:r>
              <w:t>40 D-</w:t>
            </w:r>
            <w:proofErr w:type="spellStart"/>
            <w:r>
              <w:t>αντιγονική</w:t>
            </w:r>
            <w:proofErr w:type="spellEnd"/>
            <w:r>
              <w:t xml:space="preserve"> μονάδα</w:t>
            </w:r>
          </w:p>
        </w:tc>
      </w:tr>
      <w:tr w:rsidR="00F76994">
        <w:trPr>
          <w:trHeight w:val="252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32" w:lineRule="exact"/>
              <w:ind w:left="689"/>
            </w:pPr>
            <w:r>
              <w:t>Τύπος 2 (στέλεχος MEF-1)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line="232" w:lineRule="exact"/>
              <w:ind w:left="140"/>
            </w:pPr>
            <w:r>
              <w:t>8 D-</w:t>
            </w:r>
            <w:proofErr w:type="spellStart"/>
            <w:r>
              <w:t>αντιγονική</w:t>
            </w:r>
            <w:proofErr w:type="spellEnd"/>
            <w:r>
              <w:t xml:space="preserve"> μονάδα</w:t>
            </w:r>
          </w:p>
        </w:tc>
      </w:tr>
      <w:tr w:rsidR="00F76994">
        <w:trPr>
          <w:trHeight w:val="266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44" w:lineRule="exact"/>
              <w:ind w:left="689"/>
            </w:pPr>
            <w:r>
              <w:t>Τύπος 3 (στέλεχος Saukett)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line="244" w:lineRule="exact"/>
              <w:ind w:left="140"/>
            </w:pPr>
            <w:r>
              <w:t>32 D-</w:t>
            </w:r>
            <w:proofErr w:type="spellStart"/>
            <w:r>
              <w:t>αντιγονική</w:t>
            </w:r>
            <w:proofErr w:type="spellEnd"/>
            <w:r>
              <w:t xml:space="preserve"> μονάδα</w:t>
            </w:r>
          </w:p>
        </w:tc>
      </w:tr>
      <w:tr w:rsidR="00F76994">
        <w:trPr>
          <w:trHeight w:val="764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31" w:lineRule="exact"/>
              <w:ind w:left="200"/>
            </w:pPr>
            <w:r>
              <w:t>Προσροφημένο σε ένυδρο υδροξείδιο</w:t>
            </w:r>
          </w:p>
          <w:p w:rsidR="00F76994" w:rsidRDefault="00951051">
            <w:pPr>
              <w:pStyle w:val="TableParagraph"/>
              <w:spacing w:line="252" w:lineRule="exact"/>
              <w:ind w:left="200"/>
            </w:pPr>
            <w:r>
              <w:t>του αργιλίου (</w:t>
            </w:r>
            <w:proofErr w:type="spellStart"/>
            <w:r>
              <w:t>Al(OH)</w:t>
            </w:r>
            <w:r>
              <w:rPr>
                <w:vertAlign w:val="subscript"/>
              </w:rPr>
              <w:t>3</w:t>
            </w:r>
            <w:proofErr w:type="spellEnd"/>
            <w:r>
              <w:t>)</w:t>
            </w:r>
          </w:p>
          <w:p w:rsidR="00F76994" w:rsidRDefault="00951051">
            <w:pPr>
              <w:pStyle w:val="TableParagraph"/>
              <w:spacing w:before="1"/>
              <w:ind w:left="200"/>
            </w:pPr>
            <w:r>
              <w:t>και φωσφορικό αργίλιο (</w:t>
            </w:r>
            <w:proofErr w:type="spellStart"/>
            <w:r>
              <w:t>AlPO</w:t>
            </w:r>
            <w:r>
              <w:rPr>
                <w:vertAlign w:val="subscript"/>
              </w:rPr>
              <w:t>4</w:t>
            </w:r>
            <w:proofErr w:type="spellEnd"/>
            <w:r>
              <w:t>)</w:t>
            </w:r>
          </w:p>
        </w:tc>
        <w:tc>
          <w:tcPr>
            <w:tcW w:w="5062" w:type="dxa"/>
          </w:tcPr>
          <w:p w:rsidR="00F76994" w:rsidRDefault="00951051">
            <w:pPr>
              <w:pStyle w:val="TableParagraph"/>
              <w:spacing w:before="230"/>
              <w:ind w:left="140"/>
            </w:pPr>
            <w:r>
              <w:t xml:space="preserve">0,3 </w:t>
            </w:r>
            <w:proofErr w:type="spellStart"/>
            <w:r>
              <w:t>milligrams</w:t>
            </w:r>
            <w:proofErr w:type="spellEnd"/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vertAlign w:val="superscript"/>
              </w:rPr>
              <w:t>3+</w:t>
            </w:r>
          </w:p>
          <w:p w:rsidR="00F76994" w:rsidRDefault="00951051">
            <w:pPr>
              <w:pStyle w:val="TableParagraph"/>
              <w:spacing w:before="2"/>
              <w:ind w:left="140"/>
            </w:pPr>
            <w:r>
              <w:t xml:space="preserve">0,2 </w:t>
            </w:r>
            <w:proofErr w:type="spellStart"/>
            <w:r>
              <w:t>milligrams</w:t>
            </w:r>
            <w:proofErr w:type="spellEnd"/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vertAlign w:val="superscript"/>
              </w:rPr>
              <w:t>3+</w:t>
            </w:r>
          </w:p>
        </w:tc>
      </w:tr>
      <w:tr w:rsidR="00F76994">
        <w:trPr>
          <w:trHeight w:val="244"/>
        </w:trPr>
        <w:tc>
          <w:tcPr>
            <w:tcW w:w="3996" w:type="dxa"/>
          </w:tcPr>
          <w:p w:rsidR="00F76994" w:rsidRDefault="00951051">
            <w:pPr>
              <w:pStyle w:val="TableParagraph"/>
              <w:spacing w:line="225" w:lineRule="exact"/>
              <w:ind w:left="200"/>
            </w:pPr>
            <w:r>
              <w:t>²αναπαραχθέντα σε κύτταρα VERO</w:t>
            </w:r>
          </w:p>
        </w:tc>
        <w:tc>
          <w:tcPr>
            <w:tcW w:w="5062" w:type="dxa"/>
          </w:tcPr>
          <w:p w:rsidR="00F76994" w:rsidRDefault="00F769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6994" w:rsidRDefault="00F76994">
      <w:pPr>
        <w:pStyle w:val="a3"/>
        <w:spacing w:before="4"/>
        <w:rPr>
          <w:sz w:val="20"/>
        </w:rPr>
      </w:pPr>
    </w:p>
    <w:p w:rsidR="00F76994" w:rsidRDefault="00951051">
      <w:pPr>
        <w:pStyle w:val="a3"/>
        <w:ind w:left="318" w:right="875"/>
        <w:jc w:val="both"/>
      </w:pPr>
      <w:r>
        <w:t xml:space="preserve">Το υδροξείδιο του αργιλίου και το φωσφορικό αργίλιο περιέχονται σε αυτό το εμβόλιο ως </w:t>
      </w:r>
      <w:proofErr w:type="spellStart"/>
      <w:r>
        <w:t>ανοσοενισχυτικά</w:t>
      </w:r>
      <w:proofErr w:type="spellEnd"/>
      <w:r>
        <w:t xml:space="preserve">. Τα </w:t>
      </w:r>
      <w:proofErr w:type="spellStart"/>
      <w:r>
        <w:t>ανοσοενισχυτικά</w:t>
      </w:r>
      <w:proofErr w:type="spellEnd"/>
      <w:r>
        <w:t xml:space="preserve"> είναι ουσίες οι οποίες περιέχονται σε ορισμένα εμβόλια για να επιταχύνουν, να βελτιώσουν και/ή να παρατείνουν την προστατευτική δράση </w:t>
      </w:r>
      <w:r>
        <w:t>του εμβολίου.</w:t>
      </w:r>
    </w:p>
    <w:p w:rsidR="00F76994" w:rsidRDefault="00F76994">
      <w:pPr>
        <w:pStyle w:val="a3"/>
      </w:pPr>
    </w:p>
    <w:p w:rsidR="00F76994" w:rsidRDefault="00951051">
      <w:pPr>
        <w:pStyle w:val="a4"/>
        <w:numPr>
          <w:ilvl w:val="0"/>
          <w:numId w:val="6"/>
        </w:numPr>
        <w:tabs>
          <w:tab w:val="left" w:pos="885"/>
        </w:tabs>
        <w:ind w:right="873" w:hanging="566"/>
        <w:jc w:val="both"/>
      </w:pPr>
      <w:r>
        <w:t xml:space="preserve">Τα άλλα συστατικά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είναι: Μέσο 199 (ως σταθεροποιητής που περιέχει αμινοξέα, μεταλλικά άλατα, βιταμίνες και άλλες ουσίες), χλωριούχο νάτριο και ύδωρ για</w:t>
      </w:r>
      <w:r>
        <w:rPr>
          <w:spacing w:val="-1"/>
        </w:rPr>
        <w:t xml:space="preserve"> </w:t>
      </w:r>
      <w:r>
        <w:t>ενέσιμα.</w:t>
      </w:r>
    </w:p>
    <w:p w:rsidR="00F76994" w:rsidRDefault="00F76994">
      <w:pPr>
        <w:pStyle w:val="a3"/>
        <w:rPr>
          <w:sz w:val="24"/>
        </w:rPr>
      </w:pPr>
    </w:p>
    <w:p w:rsidR="00F76994" w:rsidRDefault="00F76994">
      <w:pPr>
        <w:pStyle w:val="a3"/>
        <w:spacing w:before="9"/>
        <w:rPr>
          <w:sz w:val="19"/>
        </w:rPr>
      </w:pPr>
    </w:p>
    <w:p w:rsidR="00F76994" w:rsidRDefault="00951051">
      <w:pPr>
        <w:pStyle w:val="1"/>
      </w:pPr>
      <w:r>
        <w:t xml:space="preserve">Εμφάνιση του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και περιεχόμενο της συσκευασίας</w:t>
      </w:r>
    </w:p>
    <w:p w:rsidR="00F76994" w:rsidRDefault="00F76994">
      <w:pPr>
        <w:pStyle w:val="a3"/>
        <w:spacing w:before="3"/>
        <w:rPr>
          <w:b/>
        </w:rPr>
      </w:pPr>
    </w:p>
    <w:p w:rsidR="00F76994" w:rsidRDefault="00951051">
      <w:pPr>
        <w:pStyle w:val="a3"/>
        <w:ind w:left="318"/>
      </w:pPr>
      <w:r>
        <w:t>Ενέσιμο εναιώρημα.</w:t>
      </w:r>
    </w:p>
    <w:p w:rsidR="00F76994" w:rsidRDefault="00F76994">
      <w:pPr>
        <w:pStyle w:val="a3"/>
        <w:spacing w:before="1"/>
      </w:pPr>
    </w:p>
    <w:p w:rsidR="00F76994" w:rsidRDefault="00951051">
      <w:pPr>
        <w:pStyle w:val="a3"/>
        <w:ind w:left="318" w:right="919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είναι ένα λευκό, ελαφρά γαλακτώδες υγρό που διατίθεται σε φιαλίδιο (0,5</w:t>
      </w:r>
      <w:r>
        <w:rPr>
          <w:spacing w:val="-2"/>
        </w:rPr>
        <w:t xml:space="preserve"> </w:t>
      </w:r>
      <w:r>
        <w:t>ml).</w:t>
      </w:r>
    </w:p>
    <w:p w:rsidR="00F76994" w:rsidRDefault="00F76994">
      <w:pPr>
        <w:pStyle w:val="a3"/>
        <w:spacing w:before="11"/>
        <w:rPr>
          <w:sz w:val="21"/>
        </w:rPr>
      </w:pPr>
    </w:p>
    <w:p w:rsidR="00F76994" w:rsidRDefault="00951051">
      <w:pPr>
        <w:pStyle w:val="a3"/>
        <w:spacing w:line="480" w:lineRule="auto"/>
        <w:ind w:left="318" w:right="1796"/>
      </w:pPr>
      <w:r>
        <w:t xml:space="preserve">Το </w:t>
      </w:r>
      <w:proofErr w:type="spellStart"/>
      <w:r>
        <w:t>Boostrix</w:t>
      </w:r>
      <w:proofErr w:type="spellEnd"/>
      <w:r>
        <w:t xml:space="preserve"> </w:t>
      </w:r>
      <w:proofErr w:type="spellStart"/>
      <w:r>
        <w:t>Polio</w:t>
      </w:r>
      <w:proofErr w:type="spellEnd"/>
      <w:r>
        <w:t xml:space="preserve"> διατίθεται σε συσκευασία του 1 και 10 με ή χωρίς βελόνες. Μπορεί να μην κυκλοφορούν όλες οι συσκευασίες.</w:t>
      </w:r>
    </w:p>
    <w:p w:rsidR="00F76994" w:rsidRDefault="00F76994">
      <w:pPr>
        <w:spacing w:line="480" w:lineRule="auto"/>
        <w:sectPr w:rsidR="00F76994">
          <w:pgSz w:w="11910" w:h="16850"/>
          <w:pgMar w:top="1360" w:right="920" w:bottom="900" w:left="1480" w:header="0" w:footer="717" w:gutter="0"/>
          <w:cols w:space="720"/>
        </w:sectPr>
      </w:pPr>
    </w:p>
    <w:p w:rsidR="00F76994" w:rsidRDefault="00951051">
      <w:pPr>
        <w:pStyle w:val="1"/>
        <w:spacing w:before="74"/>
      </w:pPr>
      <w:r>
        <w:lastRenderedPageBreak/>
        <w:t>Κάτοχος Άδειας Κυκλοφορίας και Παρασκευαστής</w:t>
      </w:r>
    </w:p>
    <w:p w:rsidR="00F76994" w:rsidRDefault="00F76994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290"/>
        <w:gridCol w:w="3492"/>
      </w:tblGrid>
      <w:tr w:rsidR="00F76994">
        <w:trPr>
          <w:trHeight w:val="377"/>
        </w:trPr>
        <w:tc>
          <w:tcPr>
            <w:tcW w:w="4290" w:type="dxa"/>
          </w:tcPr>
          <w:p w:rsidR="00F76994" w:rsidRDefault="00951051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Κάτοχος Άδειας Κυκλοφορίας</w:t>
            </w:r>
          </w:p>
        </w:tc>
        <w:tc>
          <w:tcPr>
            <w:tcW w:w="3492" w:type="dxa"/>
          </w:tcPr>
          <w:p w:rsidR="00F76994" w:rsidRDefault="00951051">
            <w:pPr>
              <w:pStyle w:val="TableParagraph"/>
              <w:spacing w:line="247" w:lineRule="exact"/>
              <w:ind w:left="172"/>
              <w:rPr>
                <w:b/>
              </w:rPr>
            </w:pPr>
            <w:r>
              <w:rPr>
                <w:b/>
              </w:rPr>
              <w:t>Παρασκευαστής</w:t>
            </w:r>
          </w:p>
        </w:tc>
      </w:tr>
      <w:tr w:rsidR="00F76994" w:rsidRPr="00375386">
        <w:trPr>
          <w:trHeight w:val="3918"/>
        </w:trPr>
        <w:tc>
          <w:tcPr>
            <w:tcW w:w="4290" w:type="dxa"/>
          </w:tcPr>
          <w:p w:rsidR="00F76994" w:rsidRDefault="00951051">
            <w:pPr>
              <w:pStyle w:val="TableParagraph"/>
              <w:spacing w:before="124"/>
              <w:ind w:left="200" w:right="951"/>
            </w:pPr>
            <w:r>
              <w:rPr>
                <w:i/>
              </w:rPr>
              <w:t xml:space="preserve">Δικαιούχος σήματος </w:t>
            </w:r>
            <w:proofErr w:type="spellStart"/>
            <w:r>
              <w:t>GlaxosmithKline</w:t>
            </w:r>
            <w:proofErr w:type="spellEnd"/>
            <w:r>
              <w:t xml:space="preserve"> </w:t>
            </w:r>
            <w:proofErr w:type="spellStart"/>
            <w:r>
              <w:t>Biologicals</w:t>
            </w:r>
            <w:proofErr w:type="spellEnd"/>
            <w:r>
              <w:t xml:space="preserve"> SA, </w:t>
            </w:r>
            <w:proofErr w:type="spellStart"/>
            <w:r>
              <w:t>Rixensart</w:t>
            </w:r>
            <w:proofErr w:type="spellEnd"/>
            <w:r>
              <w:t>, Βέλγιο</w:t>
            </w:r>
          </w:p>
          <w:p w:rsidR="00F76994" w:rsidRDefault="00F7699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76994" w:rsidRDefault="00951051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Υπεύθυνος κυκλοφορίας για την Ελλάδα</w:t>
            </w:r>
          </w:p>
          <w:p w:rsidR="00F76994" w:rsidRDefault="00951051">
            <w:pPr>
              <w:pStyle w:val="TableParagraph"/>
              <w:spacing w:before="2"/>
              <w:ind w:left="200" w:right="1749"/>
            </w:pPr>
            <w:proofErr w:type="spellStart"/>
            <w:r>
              <w:t>GlaxoSmithKline</w:t>
            </w:r>
            <w:proofErr w:type="spellEnd"/>
            <w:r>
              <w:t xml:space="preserve"> </w:t>
            </w:r>
            <w:proofErr w:type="spellStart"/>
            <w:r>
              <w:t>α.ε.β.ε</w:t>
            </w:r>
            <w:proofErr w:type="spellEnd"/>
            <w:r>
              <w:t xml:space="preserve"> </w:t>
            </w:r>
            <w:proofErr w:type="spellStart"/>
            <w:r>
              <w:t>Λεωφ</w:t>
            </w:r>
            <w:proofErr w:type="spellEnd"/>
            <w:r>
              <w:t>. Κηφισίας 266</w:t>
            </w:r>
          </w:p>
          <w:p w:rsidR="00F76994" w:rsidRDefault="00951051">
            <w:pPr>
              <w:pStyle w:val="TableParagraph"/>
              <w:spacing w:line="251" w:lineRule="exact"/>
              <w:ind w:left="200"/>
            </w:pPr>
            <w:r>
              <w:t>152 32 Χαλάνδρι</w:t>
            </w:r>
          </w:p>
          <w:p w:rsidR="00F76994" w:rsidRDefault="00951051">
            <w:pPr>
              <w:pStyle w:val="TableParagraph"/>
              <w:spacing w:before="1"/>
              <w:ind w:left="200"/>
            </w:pPr>
            <w:proofErr w:type="spellStart"/>
            <w:r>
              <w:t>Τηλ</w:t>
            </w:r>
            <w:proofErr w:type="spellEnd"/>
            <w:r>
              <w:t>. 210 6882100</w:t>
            </w:r>
          </w:p>
          <w:p w:rsidR="00F76994" w:rsidRDefault="00F76994">
            <w:pPr>
              <w:pStyle w:val="TableParagraph"/>
              <w:rPr>
                <w:b/>
              </w:rPr>
            </w:pPr>
          </w:p>
          <w:p w:rsidR="00F76994" w:rsidRDefault="00951051">
            <w:pPr>
              <w:pStyle w:val="TableParagraph"/>
              <w:spacing w:before="1" w:line="253" w:lineRule="exact"/>
              <w:ind w:left="200"/>
              <w:rPr>
                <w:i/>
              </w:rPr>
            </w:pPr>
            <w:r>
              <w:rPr>
                <w:i/>
              </w:rPr>
              <w:t>Υπεύθυνος κυκλοφορίας για την Κύπρο</w:t>
            </w:r>
          </w:p>
          <w:p w:rsidR="00F76994" w:rsidRDefault="00951051">
            <w:pPr>
              <w:pStyle w:val="TableParagraph"/>
              <w:ind w:left="200" w:right="1172"/>
            </w:pPr>
            <w:proofErr w:type="spellStart"/>
            <w:r>
              <w:t>GlaxoSmithKline</w:t>
            </w:r>
            <w:proofErr w:type="spellEnd"/>
            <w:r>
              <w:t xml:space="preserve"> (</w:t>
            </w:r>
            <w:proofErr w:type="spellStart"/>
            <w:r>
              <w:t>Cyprus</w:t>
            </w:r>
            <w:proofErr w:type="spellEnd"/>
            <w:r>
              <w:t xml:space="preserve">) </w:t>
            </w:r>
            <w:proofErr w:type="spellStart"/>
            <w:r>
              <w:t>Ltd</w:t>
            </w:r>
            <w:proofErr w:type="spellEnd"/>
            <w:r>
              <w:t xml:space="preserve"> </w:t>
            </w:r>
            <w:proofErr w:type="spellStart"/>
            <w:r>
              <w:t>Λεωφ</w:t>
            </w:r>
            <w:proofErr w:type="spellEnd"/>
            <w:r>
              <w:t xml:space="preserve"> </w:t>
            </w:r>
            <w:proofErr w:type="spellStart"/>
            <w:r>
              <w:t>Κέννεντυ</w:t>
            </w:r>
            <w:proofErr w:type="spellEnd"/>
            <w:r>
              <w:t xml:space="preserve"> 12-14</w:t>
            </w:r>
          </w:p>
          <w:p w:rsidR="00F76994" w:rsidRDefault="00951051">
            <w:pPr>
              <w:pStyle w:val="TableParagraph"/>
              <w:spacing w:before="5" w:line="252" w:lineRule="exact"/>
              <w:ind w:left="200" w:right="2499"/>
            </w:pPr>
            <w:r>
              <w:t>4</w:t>
            </w:r>
            <w:r>
              <w:rPr>
                <w:vertAlign w:val="superscript"/>
              </w:rPr>
              <w:t>ος</w:t>
            </w:r>
            <w:r>
              <w:t xml:space="preserve"> Όροφος 1087, Λευκωσία</w:t>
            </w:r>
          </w:p>
        </w:tc>
        <w:tc>
          <w:tcPr>
            <w:tcW w:w="3492" w:type="dxa"/>
          </w:tcPr>
          <w:p w:rsidR="00F76994" w:rsidRPr="00375386" w:rsidRDefault="00F76994">
            <w:pPr>
              <w:pStyle w:val="TableParagraph"/>
              <w:spacing w:before="8"/>
              <w:rPr>
                <w:b/>
                <w:sz w:val="32"/>
                <w:lang w:val="en-US"/>
              </w:rPr>
            </w:pPr>
          </w:p>
          <w:p w:rsidR="00F76994" w:rsidRPr="00375386" w:rsidRDefault="00951051">
            <w:pPr>
              <w:pStyle w:val="TableParagraph"/>
              <w:ind w:left="172" w:right="181"/>
              <w:rPr>
                <w:lang w:val="en-US"/>
              </w:rPr>
            </w:pPr>
            <w:proofErr w:type="spellStart"/>
            <w:r w:rsidRPr="00375386">
              <w:rPr>
                <w:lang w:val="en-US"/>
              </w:rPr>
              <w:t>GlaxosmithKline</w:t>
            </w:r>
            <w:proofErr w:type="spellEnd"/>
            <w:r w:rsidRPr="00375386">
              <w:rPr>
                <w:lang w:val="en-US"/>
              </w:rPr>
              <w:t xml:space="preserve"> Biologicals SA, </w:t>
            </w:r>
            <w:proofErr w:type="spellStart"/>
            <w:r w:rsidRPr="00375386">
              <w:rPr>
                <w:lang w:val="en-US"/>
              </w:rPr>
              <w:t>Rixensart</w:t>
            </w:r>
            <w:proofErr w:type="spellEnd"/>
            <w:r w:rsidRPr="00375386">
              <w:rPr>
                <w:lang w:val="en-US"/>
              </w:rPr>
              <w:t xml:space="preserve">, </w:t>
            </w:r>
            <w:r>
              <w:t>Βέλγιο</w:t>
            </w:r>
          </w:p>
        </w:tc>
      </w:tr>
    </w:tbl>
    <w:p w:rsidR="00F76994" w:rsidRPr="00375386" w:rsidRDefault="00F76994">
      <w:pPr>
        <w:pStyle w:val="a3"/>
        <w:rPr>
          <w:b/>
          <w:sz w:val="24"/>
          <w:lang w:val="en-US"/>
        </w:rPr>
      </w:pPr>
    </w:p>
    <w:p w:rsidR="00F76994" w:rsidRPr="00375386" w:rsidRDefault="00F76994">
      <w:pPr>
        <w:pStyle w:val="a3"/>
        <w:spacing w:before="10"/>
        <w:rPr>
          <w:b/>
          <w:sz w:val="19"/>
          <w:lang w:val="en-US"/>
        </w:rPr>
      </w:pPr>
    </w:p>
    <w:p w:rsidR="00F76994" w:rsidRDefault="00951051">
      <w:pPr>
        <w:ind w:left="318"/>
        <w:rPr>
          <w:b/>
        </w:rPr>
      </w:pPr>
      <w:r>
        <w:rPr>
          <w:b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F76994" w:rsidRDefault="00951051">
      <w:pPr>
        <w:pStyle w:val="a3"/>
        <w:tabs>
          <w:tab w:val="left" w:pos="1452"/>
          <w:tab w:val="left" w:pos="2481"/>
          <w:tab w:val="left" w:pos="3747"/>
          <w:tab w:val="left" w:pos="4941"/>
          <w:tab w:val="left" w:pos="5482"/>
          <w:tab w:val="left" w:pos="5759"/>
          <w:tab w:val="left" w:pos="6715"/>
          <w:tab w:val="left" w:pos="6905"/>
          <w:tab w:val="left" w:pos="7639"/>
        </w:tabs>
        <w:ind w:left="318" w:right="874"/>
      </w:pP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Polio</w:t>
      </w:r>
      <w:proofErr w:type="spellEnd"/>
      <w:r>
        <w:rPr>
          <w:b/>
        </w:rPr>
        <w:t xml:space="preserve">:  </w:t>
      </w:r>
      <w:r>
        <w:t>Βέλγιο,</w:t>
      </w:r>
      <w:r>
        <w:rPr>
          <w:spacing w:val="-15"/>
        </w:rPr>
        <w:t xml:space="preserve"> </w:t>
      </w:r>
      <w:r>
        <w:t>Βουλγαρία,</w:t>
      </w:r>
      <w:r>
        <w:rPr>
          <w:spacing w:val="36"/>
        </w:rPr>
        <w:t xml:space="preserve"> </w:t>
      </w:r>
      <w:r>
        <w:t>Τσεχία,</w:t>
      </w:r>
      <w:r>
        <w:tab/>
        <w:t>Δανία,</w:t>
      </w:r>
      <w:r>
        <w:tab/>
        <w:t>Γερμανία,</w:t>
      </w:r>
      <w:r>
        <w:tab/>
      </w:r>
      <w:r>
        <w:tab/>
        <w:t>Ελλάδα, Ισπανία, Ισλανδία,</w:t>
      </w:r>
      <w:r>
        <w:tab/>
        <w:t>Λετονία,</w:t>
      </w:r>
      <w:r>
        <w:tab/>
        <w:t>Λιθουανία,</w:t>
      </w:r>
      <w:r>
        <w:tab/>
        <w:t>Λουξεμβούργο,</w:t>
      </w:r>
      <w:r>
        <w:tab/>
        <w:t>Ουγγαρία</w:t>
      </w:r>
      <w:r>
        <w:t>,</w:t>
      </w:r>
      <w:r>
        <w:tab/>
        <w:t>Μάλτα,</w:t>
      </w:r>
      <w:r>
        <w:tab/>
        <w:t xml:space="preserve">Ολλανδία, Νορβηγία, Αυστρία, Πολωνία, Πορτογαλία, Σλοβενία, Σλοβακία, Φιλανδία, Σουηδία </w:t>
      </w: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Tetra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Γαλλία</w:t>
      </w:r>
    </w:p>
    <w:p w:rsidR="00F76994" w:rsidRDefault="00951051">
      <w:pPr>
        <w:spacing w:line="252" w:lineRule="exact"/>
        <w:ind w:left="318"/>
      </w:pPr>
      <w:r>
        <w:rPr>
          <w:b/>
        </w:rPr>
        <w:t>IPV-</w:t>
      </w: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: </w:t>
      </w:r>
      <w:r>
        <w:t>Ιρλανδία, Μάλτα</w:t>
      </w:r>
    </w:p>
    <w:p w:rsidR="00F76994" w:rsidRDefault="00951051">
      <w:pPr>
        <w:spacing w:line="252" w:lineRule="exact"/>
        <w:ind w:left="318"/>
      </w:pPr>
      <w:proofErr w:type="spellStart"/>
      <w:r>
        <w:rPr>
          <w:b/>
        </w:rPr>
        <w:t>Polio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Boostrix</w:t>
      </w:r>
      <w:proofErr w:type="spellEnd"/>
      <w:r>
        <w:rPr>
          <w:b/>
        </w:rPr>
        <w:t xml:space="preserve">: </w:t>
      </w:r>
      <w:r>
        <w:t>Ιταλία</w:t>
      </w:r>
    </w:p>
    <w:p w:rsidR="00F76994" w:rsidRDefault="00951051">
      <w:pPr>
        <w:spacing w:before="1"/>
        <w:ind w:left="318"/>
      </w:pPr>
      <w:proofErr w:type="spellStart"/>
      <w:r>
        <w:rPr>
          <w:b/>
        </w:rPr>
        <w:t>Boostrix</w:t>
      </w:r>
      <w:proofErr w:type="spellEnd"/>
      <w:r>
        <w:rPr>
          <w:b/>
        </w:rPr>
        <w:t>-IPV</w:t>
      </w:r>
      <w:r>
        <w:t>: Ρουμανία, Ηνωμένο Βασίλειο</w:t>
      </w:r>
    </w:p>
    <w:p w:rsidR="00F76994" w:rsidRDefault="00F76994">
      <w:pPr>
        <w:pStyle w:val="a3"/>
      </w:pPr>
    </w:p>
    <w:p w:rsidR="00F76994" w:rsidRDefault="00951051">
      <w:pPr>
        <w:pStyle w:val="1"/>
        <w:spacing w:before="1"/>
      </w:pPr>
      <w:r>
        <w:t>Το παρόν φύλλο οδηγιών χρήσης αναθεωρήθηκ</w:t>
      </w:r>
      <w:r>
        <w:t>ε για τελευταία φορά στις</w:t>
      </w:r>
    </w:p>
    <w:p w:rsidR="00F76994" w:rsidRDefault="00F76994">
      <w:pPr>
        <w:pStyle w:val="a3"/>
        <w:rPr>
          <w:b/>
          <w:sz w:val="20"/>
        </w:rPr>
      </w:pPr>
    </w:p>
    <w:p w:rsidR="00F76994" w:rsidRDefault="00F76994">
      <w:pPr>
        <w:pStyle w:val="a3"/>
        <w:rPr>
          <w:b/>
          <w:sz w:val="20"/>
        </w:rPr>
      </w:pPr>
    </w:p>
    <w:p w:rsidR="00F76994" w:rsidRDefault="0071040A">
      <w:pPr>
        <w:pStyle w:val="a3"/>
        <w:spacing w:before="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208915</wp:posOffset>
                </wp:positionV>
                <wp:extent cx="5318125" cy="0"/>
                <wp:effectExtent l="8890" t="8890" r="698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6.45pt" to="507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8e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p2yeTaYY0ZsvIcUt0VjnP3HdoWCUWALnCExOW+cDEVLcQsI9Sm+E&#10;lHHYUqG+xLN0MYsJTkvBgjOEOXvYV9KiEwlyiV+sCjyPYQG5Jq4d4qJrEJLVR8XiLS0nbH21PRFy&#10;sIGVVOEiqBF4Xq1BKD8W6WI9X8/zUT6ZrUd5Wtejj5sqH8022Ydp/VRXVZ39DJyzvGgFY1wF2jfR&#10;ZvnfieL6fAa53WV770/yFj02Esje/pF0HHKY66CQvWaXnb0NH3Qag69vKjyExz3Yjy9/9QsAAP//&#10;AwBQSwMEFAAGAAgAAAAhAPYXwynfAAAACgEAAA8AAABkcnMvZG93bnJldi54bWxMj0FPwkAQhe8k&#10;/ofNmHiDLUig1G4JwWjCwRiBeF66Y1vbnW26Cy3/3iEe9DR5My9vvpeuB9uIC3a+cqRgOolAIOXO&#10;VFQoOB5exjEIHzQZ3ThCBVf0sM7uRqlOjOvpAy/7UAgOIZ9oBWUIbSKlz0u02k9ci8S3L9dZHVh2&#10;hTSd7jncNnIWRQtpdUX8odQtbkvM6/3ZKniL5bN7rz/z63d/eI3jXb1a7o5KPdwPmycQAYfwZ4Yb&#10;PqNDxkwndybjRcN6uVixVcHjjOfNEE3ncxCn343MUvm/QvYDAAD//wMAUEsBAi0AFAAGAAgAAAAh&#10;ALaDOJL+AAAA4QEAABMAAAAAAAAAAAAAAAAAAAAAAFtDb250ZW50X1R5cGVzXS54bWxQSwECLQAU&#10;AAYACAAAACEAOP0h/9YAAACUAQAACwAAAAAAAAAAAAAAAAAvAQAAX3JlbHMvLnJlbHNQSwECLQAU&#10;AAYACAAAACEAiI5fHhwCAABBBAAADgAAAAAAAAAAAAAAAAAuAgAAZHJzL2Uyb0RvYy54bWxQSwEC&#10;LQAUAAYACAAAACEA9hfDK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76994" w:rsidRDefault="00F76994">
      <w:pPr>
        <w:pStyle w:val="a3"/>
        <w:spacing w:before="9"/>
        <w:rPr>
          <w:b/>
          <w:sz w:val="10"/>
        </w:rPr>
      </w:pPr>
    </w:p>
    <w:p w:rsidR="00F76994" w:rsidRDefault="00951051">
      <w:pPr>
        <w:spacing w:before="94"/>
        <w:ind w:left="318"/>
        <w:rPr>
          <w:b/>
        </w:rPr>
      </w:pPr>
      <w:r>
        <w:rPr>
          <w:b/>
        </w:rPr>
        <w:t>Άλλες πηγές πληροφόρησης</w:t>
      </w:r>
    </w:p>
    <w:p w:rsidR="00F76994" w:rsidRDefault="00F76994">
      <w:pPr>
        <w:pStyle w:val="a3"/>
        <w:spacing w:before="2"/>
        <w:rPr>
          <w:b/>
        </w:rPr>
      </w:pPr>
    </w:p>
    <w:p w:rsidR="00F76994" w:rsidRDefault="00951051">
      <w:pPr>
        <w:pStyle w:val="a3"/>
        <w:spacing w:before="1"/>
        <w:ind w:left="318" w:right="919"/>
      </w:pPr>
      <w:r>
        <w:t>Λεπτομερή πληροφοριακά στοιχεία για το προϊόν αυτό είναι διαθέσιμα στην ιστοσελίδα του Εθνικού Οργανισμού Φαρμάκων:</w:t>
      </w:r>
    </w:p>
    <w:p w:rsidR="00F76994" w:rsidRDefault="00F76994">
      <w:pPr>
        <w:pStyle w:val="a3"/>
        <w:spacing w:before="10"/>
        <w:rPr>
          <w:sz w:val="21"/>
        </w:rPr>
      </w:pPr>
    </w:p>
    <w:p w:rsidR="00F76994" w:rsidRDefault="00951051">
      <w:pPr>
        <w:pStyle w:val="a3"/>
        <w:spacing w:before="1"/>
        <w:ind w:left="318"/>
      </w:pPr>
      <w:r>
        <w:t>Οι πληροφορίες που ακολουθούν απευθύνονται μόνο σε επαγγελματίες υγείας.</w:t>
      </w:r>
    </w:p>
    <w:p w:rsidR="00F76994" w:rsidRDefault="00F76994">
      <w:pPr>
        <w:pStyle w:val="a3"/>
      </w:pPr>
    </w:p>
    <w:p w:rsidR="00F76994" w:rsidRDefault="00951051">
      <w:pPr>
        <w:pStyle w:val="a3"/>
        <w:spacing w:before="1"/>
        <w:ind w:left="318" w:right="872"/>
        <w:jc w:val="both"/>
      </w:pPr>
      <w:r>
        <w:t>Πριν από τον εμβολιασμό το εμβόλιο πρέπει να ανακινείται καλά για να επιτυγχάνεται ένα ομογενοποιημένο θολό λευκό εναιώρημα και να ελέγχεται οπτικά για την ύπαρξη ξένων σωματιδίων και/ή διαφοροποίησης της φυσικής του κατάστασης. Στην περίπτωση που παρατηρη</w:t>
      </w:r>
      <w:r>
        <w:t>θεί οτιδήποτε από αυτά, απορρίψτε το εμβόλιο.</w:t>
      </w:r>
    </w:p>
    <w:p w:rsidR="00F76994" w:rsidRDefault="00F76994">
      <w:pPr>
        <w:pStyle w:val="a3"/>
        <w:spacing w:before="11"/>
        <w:rPr>
          <w:sz w:val="21"/>
        </w:rPr>
      </w:pPr>
    </w:p>
    <w:p w:rsidR="00F76994" w:rsidRDefault="00951051">
      <w:pPr>
        <w:pStyle w:val="a3"/>
        <w:ind w:left="318" w:right="919"/>
      </w:pPr>
      <w:r>
        <w:t>Κάθε αχρησιμοποίητο φαρμακευτικό προϊόν ή υπόλειμμα πρέπει να απορρίπτεται σύμφωνα με τις κατά τόπους ισχύουσες σχετικές διατάξεις</w:t>
      </w:r>
      <w:bookmarkStart w:id="0" w:name="_GoBack"/>
      <w:bookmarkEnd w:id="0"/>
    </w:p>
    <w:sectPr w:rsidR="00F76994">
      <w:pgSz w:w="11910" w:h="16850"/>
      <w:pgMar w:top="1360" w:right="920" w:bottom="900" w:left="148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51" w:rsidRDefault="00951051">
      <w:r>
        <w:separator/>
      </w:r>
    </w:p>
  </w:endnote>
  <w:endnote w:type="continuationSeparator" w:id="0">
    <w:p w:rsidR="00951051" w:rsidRDefault="009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94" w:rsidRDefault="0071040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854546" wp14:editId="32BF5803">
              <wp:simplePos x="0" y="0"/>
              <wp:positionH relativeFrom="page">
                <wp:posOffset>6256020</wp:posOffset>
              </wp:positionH>
              <wp:positionV relativeFrom="page">
                <wp:posOffset>10099040</wp:posOffset>
              </wp:positionV>
              <wp:extent cx="191135" cy="180975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994" w:rsidRDefault="00951051">
                          <w:pPr>
                            <w:pStyle w:val="a3"/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386">
                            <w:rPr>
                              <w:rFonts w:ascii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6pt;margin-top:795.2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4a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syCcPLOUYlXIVxkCzn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IE8Y&#10;d2A0Un3HqIfRkWH9bU8UxYi/F6B+O2cmQ03GdjKIKOFphg1Go7k24zzad4rtGkAe/y8hb+APqZlT&#10;7xMLoG43MA5cEsfRZefN+d55PQ3Y1S8AAAD//wMAUEsDBBQABgAIAAAAIQDkGlmb4gAAAA4BAAAP&#10;AAAAZHJzL2Rvd25yZXYueG1sTI/BToNAEIbvJr7DZky82V2qEECWpjF6MjFSPHhc2CmQsrPIblt8&#10;e7enepvJ/+Wfb4rNYkZ2wtkNliREKwEMqbV6oE7CV/32kAJzXpFWoyWU8IsONuXtTaFybc9U4Wnn&#10;OxZKyOVKQu/9lHPu2h6Ncis7IYVsb2ejfFjnjutZnUO5GflaiIQbNVC40KsJX3psD7ujkbD9pup1&#10;+PloPqt9NdR1Jug9OUh5f7dsn4F5XPwVhot+UIcyODX2SNqxUUKWxuuAhiDOxBOwCyKi+BFYE6Yk&#10;SjPgZcH/v1H+AQAA//8DAFBLAQItABQABgAIAAAAIQC2gziS/gAAAOEBAAATAAAAAAAAAAAAAAAA&#10;AAAAAABbQ29udGVudF9UeXBlc10ueG1sUEsBAi0AFAAGAAgAAAAhADj9If/WAAAAlAEAAAsAAAAA&#10;AAAAAAAAAAAALwEAAF9yZWxzLy5yZWxzUEsBAi0AFAAGAAgAAAAhAIFxrhqqAgAAqAUAAA4AAAAA&#10;AAAAAAAAAAAALgIAAGRycy9lMm9Eb2MueG1sUEsBAi0AFAAGAAgAAAAhAOQaWZviAAAADgEAAA8A&#10;AAAAAAAAAAAAAAAABAUAAGRycy9kb3ducmV2LnhtbFBLBQYAAAAABAAEAPMAAAATBgAAAAA=&#10;" filled="f" stroked="f">
              <v:textbox inset="0,0,0,0">
                <w:txbxContent>
                  <w:p w:rsidR="00F76994" w:rsidRDefault="00951051">
                    <w:pPr>
                      <w:pStyle w:val="a3"/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386">
                      <w:rPr>
                        <w:rFonts w:ascii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51" w:rsidRDefault="00951051">
      <w:r>
        <w:separator/>
      </w:r>
    </w:p>
  </w:footnote>
  <w:footnote w:type="continuationSeparator" w:id="0">
    <w:p w:rsidR="00951051" w:rsidRDefault="0095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BC0"/>
    <w:multiLevelType w:val="hybridMultilevel"/>
    <w:tmpl w:val="B5B8FBD6"/>
    <w:lvl w:ilvl="0" w:tplc="EC2ABD00">
      <w:start w:val="1"/>
      <w:numFmt w:val="decimal"/>
      <w:lvlText w:val="%1."/>
      <w:lvlJc w:val="left"/>
      <w:pPr>
        <w:ind w:left="318" w:hanging="62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1" w:tplc="4644200E">
      <w:numFmt w:val="bullet"/>
      <w:lvlText w:val=""/>
      <w:lvlJc w:val="left"/>
      <w:pPr>
        <w:ind w:left="884" w:hanging="54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2132F0A0">
      <w:numFmt w:val="bullet"/>
      <w:lvlText w:val="•"/>
      <w:lvlJc w:val="left"/>
      <w:pPr>
        <w:ind w:left="1838" w:hanging="540"/>
      </w:pPr>
      <w:rPr>
        <w:rFonts w:hint="default"/>
        <w:lang w:val="el-GR" w:eastAsia="el-GR" w:bidi="el-GR"/>
      </w:rPr>
    </w:lvl>
    <w:lvl w:ilvl="3" w:tplc="C7220116">
      <w:numFmt w:val="bullet"/>
      <w:lvlText w:val="•"/>
      <w:lvlJc w:val="left"/>
      <w:pPr>
        <w:ind w:left="2796" w:hanging="540"/>
      </w:pPr>
      <w:rPr>
        <w:rFonts w:hint="default"/>
        <w:lang w:val="el-GR" w:eastAsia="el-GR" w:bidi="el-GR"/>
      </w:rPr>
    </w:lvl>
    <w:lvl w:ilvl="4" w:tplc="0344C84E">
      <w:numFmt w:val="bullet"/>
      <w:lvlText w:val="•"/>
      <w:lvlJc w:val="left"/>
      <w:pPr>
        <w:ind w:left="3755" w:hanging="540"/>
      </w:pPr>
      <w:rPr>
        <w:rFonts w:hint="default"/>
        <w:lang w:val="el-GR" w:eastAsia="el-GR" w:bidi="el-GR"/>
      </w:rPr>
    </w:lvl>
    <w:lvl w:ilvl="5" w:tplc="112071F8">
      <w:numFmt w:val="bullet"/>
      <w:lvlText w:val="•"/>
      <w:lvlJc w:val="left"/>
      <w:pPr>
        <w:ind w:left="4713" w:hanging="540"/>
      </w:pPr>
      <w:rPr>
        <w:rFonts w:hint="default"/>
        <w:lang w:val="el-GR" w:eastAsia="el-GR" w:bidi="el-GR"/>
      </w:rPr>
    </w:lvl>
    <w:lvl w:ilvl="6" w:tplc="A698C29A">
      <w:numFmt w:val="bullet"/>
      <w:lvlText w:val="•"/>
      <w:lvlJc w:val="left"/>
      <w:pPr>
        <w:ind w:left="5672" w:hanging="540"/>
      </w:pPr>
      <w:rPr>
        <w:rFonts w:hint="default"/>
        <w:lang w:val="el-GR" w:eastAsia="el-GR" w:bidi="el-GR"/>
      </w:rPr>
    </w:lvl>
    <w:lvl w:ilvl="7" w:tplc="13FADC48">
      <w:numFmt w:val="bullet"/>
      <w:lvlText w:val="•"/>
      <w:lvlJc w:val="left"/>
      <w:pPr>
        <w:ind w:left="6630" w:hanging="540"/>
      </w:pPr>
      <w:rPr>
        <w:rFonts w:hint="default"/>
        <w:lang w:val="el-GR" w:eastAsia="el-GR" w:bidi="el-GR"/>
      </w:rPr>
    </w:lvl>
    <w:lvl w:ilvl="8" w:tplc="3EE0972C">
      <w:numFmt w:val="bullet"/>
      <w:lvlText w:val="•"/>
      <w:lvlJc w:val="left"/>
      <w:pPr>
        <w:ind w:left="7589" w:hanging="540"/>
      </w:pPr>
      <w:rPr>
        <w:rFonts w:hint="default"/>
        <w:lang w:val="el-GR" w:eastAsia="el-GR" w:bidi="el-GR"/>
      </w:rPr>
    </w:lvl>
  </w:abstractNum>
  <w:abstractNum w:abstractNumId="1">
    <w:nsid w:val="17E4282F"/>
    <w:multiLevelType w:val="hybridMultilevel"/>
    <w:tmpl w:val="B1383B14"/>
    <w:lvl w:ilvl="0" w:tplc="C576B64A">
      <w:numFmt w:val="bullet"/>
      <w:lvlText w:val=""/>
      <w:lvlJc w:val="left"/>
      <w:pPr>
        <w:ind w:left="884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C8F018CA">
      <w:numFmt w:val="bullet"/>
      <w:lvlText w:val="-"/>
      <w:lvlJc w:val="left"/>
      <w:pPr>
        <w:ind w:left="1170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l-GR" w:bidi="el-GR"/>
      </w:rPr>
    </w:lvl>
    <w:lvl w:ilvl="2" w:tplc="5226DDE6">
      <w:numFmt w:val="bullet"/>
      <w:lvlText w:val="•"/>
      <w:lvlJc w:val="left"/>
      <w:pPr>
        <w:ind w:left="2105" w:hanging="144"/>
      </w:pPr>
      <w:rPr>
        <w:rFonts w:hint="default"/>
        <w:lang w:val="el-GR" w:eastAsia="el-GR" w:bidi="el-GR"/>
      </w:rPr>
    </w:lvl>
    <w:lvl w:ilvl="3" w:tplc="40CE974E">
      <w:numFmt w:val="bullet"/>
      <w:lvlText w:val="•"/>
      <w:lvlJc w:val="left"/>
      <w:pPr>
        <w:ind w:left="3030" w:hanging="144"/>
      </w:pPr>
      <w:rPr>
        <w:rFonts w:hint="default"/>
        <w:lang w:val="el-GR" w:eastAsia="el-GR" w:bidi="el-GR"/>
      </w:rPr>
    </w:lvl>
    <w:lvl w:ilvl="4" w:tplc="2700874C">
      <w:numFmt w:val="bullet"/>
      <w:lvlText w:val="•"/>
      <w:lvlJc w:val="left"/>
      <w:pPr>
        <w:ind w:left="3955" w:hanging="144"/>
      </w:pPr>
      <w:rPr>
        <w:rFonts w:hint="default"/>
        <w:lang w:val="el-GR" w:eastAsia="el-GR" w:bidi="el-GR"/>
      </w:rPr>
    </w:lvl>
    <w:lvl w:ilvl="5" w:tplc="ECC62C00">
      <w:numFmt w:val="bullet"/>
      <w:lvlText w:val="•"/>
      <w:lvlJc w:val="left"/>
      <w:pPr>
        <w:ind w:left="4880" w:hanging="144"/>
      </w:pPr>
      <w:rPr>
        <w:rFonts w:hint="default"/>
        <w:lang w:val="el-GR" w:eastAsia="el-GR" w:bidi="el-GR"/>
      </w:rPr>
    </w:lvl>
    <w:lvl w:ilvl="6" w:tplc="68D4F0C4">
      <w:numFmt w:val="bullet"/>
      <w:lvlText w:val="•"/>
      <w:lvlJc w:val="left"/>
      <w:pPr>
        <w:ind w:left="5805" w:hanging="144"/>
      </w:pPr>
      <w:rPr>
        <w:rFonts w:hint="default"/>
        <w:lang w:val="el-GR" w:eastAsia="el-GR" w:bidi="el-GR"/>
      </w:rPr>
    </w:lvl>
    <w:lvl w:ilvl="7" w:tplc="378206B6">
      <w:numFmt w:val="bullet"/>
      <w:lvlText w:val="•"/>
      <w:lvlJc w:val="left"/>
      <w:pPr>
        <w:ind w:left="6730" w:hanging="144"/>
      </w:pPr>
      <w:rPr>
        <w:rFonts w:hint="default"/>
        <w:lang w:val="el-GR" w:eastAsia="el-GR" w:bidi="el-GR"/>
      </w:rPr>
    </w:lvl>
    <w:lvl w:ilvl="8" w:tplc="BBE496EC">
      <w:numFmt w:val="bullet"/>
      <w:lvlText w:val="•"/>
      <w:lvlJc w:val="left"/>
      <w:pPr>
        <w:ind w:left="7656" w:hanging="144"/>
      </w:pPr>
      <w:rPr>
        <w:rFonts w:hint="default"/>
        <w:lang w:val="el-GR" w:eastAsia="el-GR" w:bidi="el-GR"/>
      </w:rPr>
    </w:lvl>
  </w:abstractNum>
  <w:abstractNum w:abstractNumId="2">
    <w:nsid w:val="1E140E6A"/>
    <w:multiLevelType w:val="hybridMultilevel"/>
    <w:tmpl w:val="3536E922"/>
    <w:lvl w:ilvl="0" w:tplc="672A2AF6">
      <w:start w:val="1"/>
      <w:numFmt w:val="decimal"/>
      <w:lvlText w:val="%1"/>
      <w:lvlJc w:val="left"/>
      <w:pPr>
        <w:ind w:left="884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97AAE8B2">
      <w:numFmt w:val="bullet"/>
      <w:lvlText w:val="•"/>
      <w:lvlJc w:val="left"/>
      <w:pPr>
        <w:ind w:left="1742" w:hanging="567"/>
      </w:pPr>
      <w:rPr>
        <w:rFonts w:hint="default"/>
        <w:lang w:val="el-GR" w:eastAsia="el-GR" w:bidi="el-GR"/>
      </w:rPr>
    </w:lvl>
    <w:lvl w:ilvl="2" w:tplc="8C169726">
      <w:numFmt w:val="bullet"/>
      <w:lvlText w:val="•"/>
      <w:lvlJc w:val="left"/>
      <w:pPr>
        <w:ind w:left="2605" w:hanging="567"/>
      </w:pPr>
      <w:rPr>
        <w:rFonts w:hint="default"/>
        <w:lang w:val="el-GR" w:eastAsia="el-GR" w:bidi="el-GR"/>
      </w:rPr>
    </w:lvl>
    <w:lvl w:ilvl="3" w:tplc="347E5152">
      <w:numFmt w:val="bullet"/>
      <w:lvlText w:val="•"/>
      <w:lvlJc w:val="left"/>
      <w:pPr>
        <w:ind w:left="3467" w:hanging="567"/>
      </w:pPr>
      <w:rPr>
        <w:rFonts w:hint="default"/>
        <w:lang w:val="el-GR" w:eastAsia="el-GR" w:bidi="el-GR"/>
      </w:rPr>
    </w:lvl>
    <w:lvl w:ilvl="4" w:tplc="3EF6B0EE">
      <w:numFmt w:val="bullet"/>
      <w:lvlText w:val="•"/>
      <w:lvlJc w:val="left"/>
      <w:pPr>
        <w:ind w:left="4330" w:hanging="567"/>
      </w:pPr>
      <w:rPr>
        <w:rFonts w:hint="default"/>
        <w:lang w:val="el-GR" w:eastAsia="el-GR" w:bidi="el-GR"/>
      </w:rPr>
    </w:lvl>
    <w:lvl w:ilvl="5" w:tplc="140434A8">
      <w:numFmt w:val="bullet"/>
      <w:lvlText w:val="•"/>
      <w:lvlJc w:val="left"/>
      <w:pPr>
        <w:ind w:left="5193" w:hanging="567"/>
      </w:pPr>
      <w:rPr>
        <w:rFonts w:hint="default"/>
        <w:lang w:val="el-GR" w:eastAsia="el-GR" w:bidi="el-GR"/>
      </w:rPr>
    </w:lvl>
    <w:lvl w:ilvl="6" w:tplc="80A4721C">
      <w:numFmt w:val="bullet"/>
      <w:lvlText w:val="•"/>
      <w:lvlJc w:val="left"/>
      <w:pPr>
        <w:ind w:left="6055" w:hanging="567"/>
      </w:pPr>
      <w:rPr>
        <w:rFonts w:hint="default"/>
        <w:lang w:val="el-GR" w:eastAsia="el-GR" w:bidi="el-GR"/>
      </w:rPr>
    </w:lvl>
    <w:lvl w:ilvl="7" w:tplc="FAAE9C0A">
      <w:numFmt w:val="bullet"/>
      <w:lvlText w:val="•"/>
      <w:lvlJc w:val="left"/>
      <w:pPr>
        <w:ind w:left="6918" w:hanging="567"/>
      </w:pPr>
      <w:rPr>
        <w:rFonts w:hint="default"/>
        <w:lang w:val="el-GR" w:eastAsia="el-GR" w:bidi="el-GR"/>
      </w:rPr>
    </w:lvl>
    <w:lvl w:ilvl="8" w:tplc="D45C7B2C">
      <w:numFmt w:val="bullet"/>
      <w:lvlText w:val="•"/>
      <w:lvlJc w:val="left"/>
      <w:pPr>
        <w:ind w:left="7781" w:hanging="567"/>
      </w:pPr>
      <w:rPr>
        <w:rFonts w:hint="default"/>
        <w:lang w:val="el-GR" w:eastAsia="el-GR" w:bidi="el-GR"/>
      </w:rPr>
    </w:lvl>
  </w:abstractNum>
  <w:abstractNum w:abstractNumId="3">
    <w:nsid w:val="368A0B46"/>
    <w:multiLevelType w:val="hybridMultilevel"/>
    <w:tmpl w:val="3F703026"/>
    <w:lvl w:ilvl="0" w:tplc="8602717A">
      <w:start w:val="1"/>
      <w:numFmt w:val="decimal"/>
      <w:lvlText w:val="%1."/>
      <w:lvlJc w:val="left"/>
      <w:pPr>
        <w:ind w:left="318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1" w:tplc="BFFA884E">
      <w:numFmt w:val="bullet"/>
      <w:lvlText w:val=""/>
      <w:lvlJc w:val="left"/>
      <w:pPr>
        <w:ind w:left="884" w:hanging="20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C236460A">
      <w:numFmt w:val="bullet"/>
      <w:lvlText w:val="•"/>
      <w:lvlJc w:val="left"/>
      <w:pPr>
        <w:ind w:left="1160" w:hanging="207"/>
      </w:pPr>
      <w:rPr>
        <w:rFonts w:hint="default"/>
        <w:lang w:val="el-GR" w:eastAsia="el-GR" w:bidi="el-GR"/>
      </w:rPr>
    </w:lvl>
    <w:lvl w:ilvl="3" w:tplc="403EEEE6">
      <w:numFmt w:val="bullet"/>
      <w:lvlText w:val="•"/>
      <w:lvlJc w:val="left"/>
      <w:pPr>
        <w:ind w:left="2203" w:hanging="207"/>
      </w:pPr>
      <w:rPr>
        <w:rFonts w:hint="default"/>
        <w:lang w:val="el-GR" w:eastAsia="el-GR" w:bidi="el-GR"/>
      </w:rPr>
    </w:lvl>
    <w:lvl w:ilvl="4" w:tplc="869CA9C4">
      <w:numFmt w:val="bullet"/>
      <w:lvlText w:val="•"/>
      <w:lvlJc w:val="left"/>
      <w:pPr>
        <w:ind w:left="3246" w:hanging="207"/>
      </w:pPr>
      <w:rPr>
        <w:rFonts w:hint="default"/>
        <w:lang w:val="el-GR" w:eastAsia="el-GR" w:bidi="el-GR"/>
      </w:rPr>
    </w:lvl>
    <w:lvl w:ilvl="5" w:tplc="6E226FDA">
      <w:numFmt w:val="bullet"/>
      <w:lvlText w:val="•"/>
      <w:lvlJc w:val="left"/>
      <w:pPr>
        <w:ind w:left="4289" w:hanging="207"/>
      </w:pPr>
      <w:rPr>
        <w:rFonts w:hint="default"/>
        <w:lang w:val="el-GR" w:eastAsia="el-GR" w:bidi="el-GR"/>
      </w:rPr>
    </w:lvl>
    <w:lvl w:ilvl="6" w:tplc="8CE6D3BC">
      <w:numFmt w:val="bullet"/>
      <w:lvlText w:val="•"/>
      <w:lvlJc w:val="left"/>
      <w:pPr>
        <w:ind w:left="5333" w:hanging="207"/>
      </w:pPr>
      <w:rPr>
        <w:rFonts w:hint="default"/>
        <w:lang w:val="el-GR" w:eastAsia="el-GR" w:bidi="el-GR"/>
      </w:rPr>
    </w:lvl>
    <w:lvl w:ilvl="7" w:tplc="6DC8EB96">
      <w:numFmt w:val="bullet"/>
      <w:lvlText w:val="•"/>
      <w:lvlJc w:val="left"/>
      <w:pPr>
        <w:ind w:left="6376" w:hanging="207"/>
      </w:pPr>
      <w:rPr>
        <w:rFonts w:hint="default"/>
        <w:lang w:val="el-GR" w:eastAsia="el-GR" w:bidi="el-GR"/>
      </w:rPr>
    </w:lvl>
    <w:lvl w:ilvl="8" w:tplc="655CFEB0">
      <w:numFmt w:val="bullet"/>
      <w:lvlText w:val="•"/>
      <w:lvlJc w:val="left"/>
      <w:pPr>
        <w:ind w:left="7419" w:hanging="207"/>
      </w:pPr>
      <w:rPr>
        <w:rFonts w:hint="default"/>
        <w:lang w:val="el-GR" w:eastAsia="el-GR" w:bidi="el-GR"/>
      </w:rPr>
    </w:lvl>
  </w:abstractNum>
  <w:abstractNum w:abstractNumId="4">
    <w:nsid w:val="4F7E6266"/>
    <w:multiLevelType w:val="multilevel"/>
    <w:tmpl w:val="30B6177A"/>
    <w:lvl w:ilvl="0">
      <w:start w:val="1"/>
      <w:numFmt w:val="decimal"/>
      <w:lvlText w:val="%1."/>
      <w:lvlJc w:val="left"/>
      <w:pPr>
        <w:ind w:left="884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84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2">
      <w:numFmt w:val="bullet"/>
      <w:lvlText w:val="-"/>
      <w:lvlJc w:val="left"/>
      <w:pPr>
        <w:ind w:left="1400" w:hanging="483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413" w:hanging="48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426" w:hanging="48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439" w:hanging="48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453" w:hanging="48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466" w:hanging="48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479" w:hanging="483"/>
      </w:pPr>
      <w:rPr>
        <w:rFonts w:hint="default"/>
        <w:lang w:val="el-GR" w:eastAsia="el-GR" w:bidi="el-GR"/>
      </w:rPr>
    </w:lvl>
  </w:abstractNum>
  <w:abstractNum w:abstractNumId="5">
    <w:nsid w:val="69C44A49"/>
    <w:multiLevelType w:val="hybridMultilevel"/>
    <w:tmpl w:val="113EC70A"/>
    <w:lvl w:ilvl="0" w:tplc="7F323F3C">
      <w:numFmt w:val="bullet"/>
      <w:lvlText w:val="-"/>
      <w:lvlJc w:val="left"/>
      <w:pPr>
        <w:ind w:left="601" w:hanging="144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3A68F278">
      <w:numFmt w:val="bullet"/>
      <w:lvlText w:val="•"/>
      <w:lvlJc w:val="left"/>
      <w:pPr>
        <w:ind w:left="1490" w:hanging="144"/>
      </w:pPr>
      <w:rPr>
        <w:rFonts w:hint="default"/>
        <w:lang w:val="el-GR" w:eastAsia="el-GR" w:bidi="el-GR"/>
      </w:rPr>
    </w:lvl>
    <w:lvl w:ilvl="2" w:tplc="7212BFBC">
      <w:numFmt w:val="bullet"/>
      <w:lvlText w:val="•"/>
      <w:lvlJc w:val="left"/>
      <w:pPr>
        <w:ind w:left="2381" w:hanging="144"/>
      </w:pPr>
      <w:rPr>
        <w:rFonts w:hint="default"/>
        <w:lang w:val="el-GR" w:eastAsia="el-GR" w:bidi="el-GR"/>
      </w:rPr>
    </w:lvl>
    <w:lvl w:ilvl="3" w:tplc="0CB4C1F8">
      <w:numFmt w:val="bullet"/>
      <w:lvlText w:val="•"/>
      <w:lvlJc w:val="left"/>
      <w:pPr>
        <w:ind w:left="3271" w:hanging="144"/>
      </w:pPr>
      <w:rPr>
        <w:rFonts w:hint="default"/>
        <w:lang w:val="el-GR" w:eastAsia="el-GR" w:bidi="el-GR"/>
      </w:rPr>
    </w:lvl>
    <w:lvl w:ilvl="4" w:tplc="E4FE738E">
      <w:numFmt w:val="bullet"/>
      <w:lvlText w:val="•"/>
      <w:lvlJc w:val="left"/>
      <w:pPr>
        <w:ind w:left="4162" w:hanging="144"/>
      </w:pPr>
      <w:rPr>
        <w:rFonts w:hint="default"/>
        <w:lang w:val="el-GR" w:eastAsia="el-GR" w:bidi="el-GR"/>
      </w:rPr>
    </w:lvl>
    <w:lvl w:ilvl="5" w:tplc="8A567976">
      <w:numFmt w:val="bullet"/>
      <w:lvlText w:val="•"/>
      <w:lvlJc w:val="left"/>
      <w:pPr>
        <w:ind w:left="5053" w:hanging="144"/>
      </w:pPr>
      <w:rPr>
        <w:rFonts w:hint="default"/>
        <w:lang w:val="el-GR" w:eastAsia="el-GR" w:bidi="el-GR"/>
      </w:rPr>
    </w:lvl>
    <w:lvl w:ilvl="6" w:tplc="4A866B76">
      <w:numFmt w:val="bullet"/>
      <w:lvlText w:val="•"/>
      <w:lvlJc w:val="left"/>
      <w:pPr>
        <w:ind w:left="5943" w:hanging="144"/>
      </w:pPr>
      <w:rPr>
        <w:rFonts w:hint="default"/>
        <w:lang w:val="el-GR" w:eastAsia="el-GR" w:bidi="el-GR"/>
      </w:rPr>
    </w:lvl>
    <w:lvl w:ilvl="7" w:tplc="139E19F4">
      <w:numFmt w:val="bullet"/>
      <w:lvlText w:val="•"/>
      <w:lvlJc w:val="left"/>
      <w:pPr>
        <w:ind w:left="6834" w:hanging="144"/>
      </w:pPr>
      <w:rPr>
        <w:rFonts w:hint="default"/>
        <w:lang w:val="el-GR" w:eastAsia="el-GR" w:bidi="el-GR"/>
      </w:rPr>
    </w:lvl>
    <w:lvl w:ilvl="8" w:tplc="F300E410">
      <w:numFmt w:val="bullet"/>
      <w:lvlText w:val="•"/>
      <w:lvlJc w:val="left"/>
      <w:pPr>
        <w:ind w:left="7725" w:hanging="144"/>
      </w:pPr>
      <w:rPr>
        <w:rFonts w:hint="default"/>
        <w:lang w:val="el-GR" w:eastAsia="el-GR" w:bidi="el-GR"/>
      </w:rPr>
    </w:lvl>
  </w:abstractNum>
  <w:abstractNum w:abstractNumId="6">
    <w:nsid w:val="73030F05"/>
    <w:multiLevelType w:val="hybridMultilevel"/>
    <w:tmpl w:val="BD76F9E8"/>
    <w:lvl w:ilvl="0" w:tplc="E7462024">
      <w:numFmt w:val="bullet"/>
      <w:lvlText w:val="-"/>
      <w:lvlJc w:val="left"/>
      <w:pPr>
        <w:ind w:left="884" w:hanging="567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7A58EC3A">
      <w:numFmt w:val="bullet"/>
      <w:lvlText w:val="•"/>
      <w:lvlJc w:val="left"/>
      <w:pPr>
        <w:ind w:left="1742" w:hanging="567"/>
      </w:pPr>
      <w:rPr>
        <w:rFonts w:hint="default"/>
        <w:lang w:val="el-GR" w:eastAsia="el-GR" w:bidi="el-GR"/>
      </w:rPr>
    </w:lvl>
    <w:lvl w:ilvl="2" w:tplc="F1387330">
      <w:numFmt w:val="bullet"/>
      <w:lvlText w:val="•"/>
      <w:lvlJc w:val="left"/>
      <w:pPr>
        <w:ind w:left="2605" w:hanging="567"/>
      </w:pPr>
      <w:rPr>
        <w:rFonts w:hint="default"/>
        <w:lang w:val="el-GR" w:eastAsia="el-GR" w:bidi="el-GR"/>
      </w:rPr>
    </w:lvl>
    <w:lvl w:ilvl="3" w:tplc="8BD29FB4">
      <w:numFmt w:val="bullet"/>
      <w:lvlText w:val="•"/>
      <w:lvlJc w:val="left"/>
      <w:pPr>
        <w:ind w:left="3467" w:hanging="567"/>
      </w:pPr>
      <w:rPr>
        <w:rFonts w:hint="default"/>
        <w:lang w:val="el-GR" w:eastAsia="el-GR" w:bidi="el-GR"/>
      </w:rPr>
    </w:lvl>
    <w:lvl w:ilvl="4" w:tplc="24EA7532">
      <w:numFmt w:val="bullet"/>
      <w:lvlText w:val="•"/>
      <w:lvlJc w:val="left"/>
      <w:pPr>
        <w:ind w:left="4330" w:hanging="567"/>
      </w:pPr>
      <w:rPr>
        <w:rFonts w:hint="default"/>
        <w:lang w:val="el-GR" w:eastAsia="el-GR" w:bidi="el-GR"/>
      </w:rPr>
    </w:lvl>
    <w:lvl w:ilvl="5" w:tplc="917E0362">
      <w:numFmt w:val="bullet"/>
      <w:lvlText w:val="•"/>
      <w:lvlJc w:val="left"/>
      <w:pPr>
        <w:ind w:left="5193" w:hanging="567"/>
      </w:pPr>
      <w:rPr>
        <w:rFonts w:hint="default"/>
        <w:lang w:val="el-GR" w:eastAsia="el-GR" w:bidi="el-GR"/>
      </w:rPr>
    </w:lvl>
    <w:lvl w:ilvl="6" w:tplc="162CF0A0">
      <w:numFmt w:val="bullet"/>
      <w:lvlText w:val="•"/>
      <w:lvlJc w:val="left"/>
      <w:pPr>
        <w:ind w:left="6055" w:hanging="567"/>
      </w:pPr>
      <w:rPr>
        <w:rFonts w:hint="default"/>
        <w:lang w:val="el-GR" w:eastAsia="el-GR" w:bidi="el-GR"/>
      </w:rPr>
    </w:lvl>
    <w:lvl w:ilvl="7" w:tplc="C3A87C2C">
      <w:numFmt w:val="bullet"/>
      <w:lvlText w:val="•"/>
      <w:lvlJc w:val="left"/>
      <w:pPr>
        <w:ind w:left="6918" w:hanging="567"/>
      </w:pPr>
      <w:rPr>
        <w:rFonts w:hint="default"/>
        <w:lang w:val="el-GR" w:eastAsia="el-GR" w:bidi="el-GR"/>
      </w:rPr>
    </w:lvl>
    <w:lvl w:ilvl="8" w:tplc="0C06AA38">
      <w:numFmt w:val="bullet"/>
      <w:lvlText w:val="•"/>
      <w:lvlJc w:val="left"/>
      <w:pPr>
        <w:ind w:left="7781" w:hanging="567"/>
      </w:pPr>
      <w:rPr>
        <w:rFonts w:hint="default"/>
        <w:lang w:val="el-GR" w:eastAsia="el-GR" w:bidi="el-GR"/>
      </w:rPr>
    </w:lvl>
  </w:abstractNum>
  <w:abstractNum w:abstractNumId="7">
    <w:nsid w:val="7B692EE2"/>
    <w:multiLevelType w:val="hybridMultilevel"/>
    <w:tmpl w:val="9B523092"/>
    <w:lvl w:ilvl="0" w:tplc="CB9228EA">
      <w:numFmt w:val="bullet"/>
      <w:lvlText w:val=""/>
      <w:lvlJc w:val="left"/>
      <w:pPr>
        <w:ind w:left="884" w:hanging="20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1C6CD0DE">
      <w:numFmt w:val="bullet"/>
      <w:lvlText w:val="•"/>
      <w:lvlJc w:val="left"/>
      <w:pPr>
        <w:ind w:left="1742" w:hanging="207"/>
      </w:pPr>
      <w:rPr>
        <w:rFonts w:hint="default"/>
        <w:lang w:val="el-GR" w:eastAsia="el-GR" w:bidi="el-GR"/>
      </w:rPr>
    </w:lvl>
    <w:lvl w:ilvl="2" w:tplc="8FC4F7AA">
      <w:numFmt w:val="bullet"/>
      <w:lvlText w:val="•"/>
      <w:lvlJc w:val="left"/>
      <w:pPr>
        <w:ind w:left="2605" w:hanging="207"/>
      </w:pPr>
      <w:rPr>
        <w:rFonts w:hint="default"/>
        <w:lang w:val="el-GR" w:eastAsia="el-GR" w:bidi="el-GR"/>
      </w:rPr>
    </w:lvl>
    <w:lvl w:ilvl="3" w:tplc="BC4AD7CA">
      <w:numFmt w:val="bullet"/>
      <w:lvlText w:val="•"/>
      <w:lvlJc w:val="left"/>
      <w:pPr>
        <w:ind w:left="3467" w:hanging="207"/>
      </w:pPr>
      <w:rPr>
        <w:rFonts w:hint="default"/>
        <w:lang w:val="el-GR" w:eastAsia="el-GR" w:bidi="el-GR"/>
      </w:rPr>
    </w:lvl>
    <w:lvl w:ilvl="4" w:tplc="1526AE46">
      <w:numFmt w:val="bullet"/>
      <w:lvlText w:val="•"/>
      <w:lvlJc w:val="left"/>
      <w:pPr>
        <w:ind w:left="4330" w:hanging="207"/>
      </w:pPr>
      <w:rPr>
        <w:rFonts w:hint="default"/>
        <w:lang w:val="el-GR" w:eastAsia="el-GR" w:bidi="el-GR"/>
      </w:rPr>
    </w:lvl>
    <w:lvl w:ilvl="5" w:tplc="29A60D6E">
      <w:numFmt w:val="bullet"/>
      <w:lvlText w:val="•"/>
      <w:lvlJc w:val="left"/>
      <w:pPr>
        <w:ind w:left="5193" w:hanging="207"/>
      </w:pPr>
      <w:rPr>
        <w:rFonts w:hint="default"/>
        <w:lang w:val="el-GR" w:eastAsia="el-GR" w:bidi="el-GR"/>
      </w:rPr>
    </w:lvl>
    <w:lvl w:ilvl="6" w:tplc="71E014CA">
      <w:numFmt w:val="bullet"/>
      <w:lvlText w:val="•"/>
      <w:lvlJc w:val="left"/>
      <w:pPr>
        <w:ind w:left="6055" w:hanging="207"/>
      </w:pPr>
      <w:rPr>
        <w:rFonts w:hint="default"/>
        <w:lang w:val="el-GR" w:eastAsia="el-GR" w:bidi="el-GR"/>
      </w:rPr>
    </w:lvl>
    <w:lvl w:ilvl="7" w:tplc="0A24669A">
      <w:numFmt w:val="bullet"/>
      <w:lvlText w:val="•"/>
      <w:lvlJc w:val="left"/>
      <w:pPr>
        <w:ind w:left="6918" w:hanging="207"/>
      </w:pPr>
      <w:rPr>
        <w:rFonts w:hint="default"/>
        <w:lang w:val="el-GR" w:eastAsia="el-GR" w:bidi="el-GR"/>
      </w:rPr>
    </w:lvl>
    <w:lvl w:ilvl="8" w:tplc="8D58E6EC">
      <w:numFmt w:val="bullet"/>
      <w:lvlText w:val="•"/>
      <w:lvlJc w:val="left"/>
      <w:pPr>
        <w:ind w:left="7781" w:hanging="207"/>
      </w:pPr>
      <w:rPr>
        <w:rFonts w:hint="default"/>
        <w:lang w:val="el-GR" w:eastAsia="el-GR" w:bidi="el-GR"/>
      </w:rPr>
    </w:lvl>
  </w:abstractNum>
  <w:abstractNum w:abstractNumId="8">
    <w:nsid w:val="7D003CC6"/>
    <w:multiLevelType w:val="hybridMultilevel"/>
    <w:tmpl w:val="50543B22"/>
    <w:lvl w:ilvl="0" w:tplc="F064C25E">
      <w:start w:val="1"/>
      <w:numFmt w:val="decimal"/>
      <w:lvlText w:val="%1"/>
      <w:lvlJc w:val="left"/>
      <w:pPr>
        <w:ind w:left="884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104C8494">
      <w:numFmt w:val="bullet"/>
      <w:lvlText w:val="•"/>
      <w:lvlJc w:val="left"/>
      <w:pPr>
        <w:ind w:left="1742" w:hanging="567"/>
      </w:pPr>
      <w:rPr>
        <w:rFonts w:hint="default"/>
        <w:lang w:val="el-GR" w:eastAsia="el-GR" w:bidi="el-GR"/>
      </w:rPr>
    </w:lvl>
    <w:lvl w:ilvl="2" w:tplc="8020D8BE">
      <w:numFmt w:val="bullet"/>
      <w:lvlText w:val="•"/>
      <w:lvlJc w:val="left"/>
      <w:pPr>
        <w:ind w:left="2605" w:hanging="567"/>
      </w:pPr>
      <w:rPr>
        <w:rFonts w:hint="default"/>
        <w:lang w:val="el-GR" w:eastAsia="el-GR" w:bidi="el-GR"/>
      </w:rPr>
    </w:lvl>
    <w:lvl w:ilvl="3" w:tplc="68725738">
      <w:numFmt w:val="bullet"/>
      <w:lvlText w:val="•"/>
      <w:lvlJc w:val="left"/>
      <w:pPr>
        <w:ind w:left="3467" w:hanging="567"/>
      </w:pPr>
      <w:rPr>
        <w:rFonts w:hint="default"/>
        <w:lang w:val="el-GR" w:eastAsia="el-GR" w:bidi="el-GR"/>
      </w:rPr>
    </w:lvl>
    <w:lvl w:ilvl="4" w:tplc="857A0FA4">
      <w:numFmt w:val="bullet"/>
      <w:lvlText w:val="•"/>
      <w:lvlJc w:val="left"/>
      <w:pPr>
        <w:ind w:left="4330" w:hanging="567"/>
      </w:pPr>
      <w:rPr>
        <w:rFonts w:hint="default"/>
        <w:lang w:val="el-GR" w:eastAsia="el-GR" w:bidi="el-GR"/>
      </w:rPr>
    </w:lvl>
    <w:lvl w:ilvl="5" w:tplc="4BCE9474">
      <w:numFmt w:val="bullet"/>
      <w:lvlText w:val="•"/>
      <w:lvlJc w:val="left"/>
      <w:pPr>
        <w:ind w:left="5193" w:hanging="567"/>
      </w:pPr>
      <w:rPr>
        <w:rFonts w:hint="default"/>
        <w:lang w:val="el-GR" w:eastAsia="el-GR" w:bidi="el-GR"/>
      </w:rPr>
    </w:lvl>
    <w:lvl w:ilvl="6" w:tplc="D00ACB1A">
      <w:numFmt w:val="bullet"/>
      <w:lvlText w:val="•"/>
      <w:lvlJc w:val="left"/>
      <w:pPr>
        <w:ind w:left="6055" w:hanging="567"/>
      </w:pPr>
      <w:rPr>
        <w:rFonts w:hint="default"/>
        <w:lang w:val="el-GR" w:eastAsia="el-GR" w:bidi="el-GR"/>
      </w:rPr>
    </w:lvl>
    <w:lvl w:ilvl="7" w:tplc="504E5628">
      <w:numFmt w:val="bullet"/>
      <w:lvlText w:val="•"/>
      <w:lvlJc w:val="left"/>
      <w:pPr>
        <w:ind w:left="6918" w:hanging="567"/>
      </w:pPr>
      <w:rPr>
        <w:rFonts w:hint="default"/>
        <w:lang w:val="el-GR" w:eastAsia="el-GR" w:bidi="el-GR"/>
      </w:rPr>
    </w:lvl>
    <w:lvl w:ilvl="8" w:tplc="B838F13C">
      <w:numFmt w:val="bullet"/>
      <w:lvlText w:val="•"/>
      <w:lvlJc w:val="left"/>
      <w:pPr>
        <w:ind w:left="7781" w:hanging="567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94"/>
    <w:rsid w:val="00250EE1"/>
    <w:rsid w:val="00375386"/>
    <w:rsid w:val="0071040A"/>
    <w:rsid w:val="00951051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84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84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of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of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5614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Adequate human data …</vt:lpstr>
    </vt:vector>
  </TitlesOfParts>
  <Company>Microsoft</Company>
  <LinksUpToDate>false</LinksUpToDate>
  <CharactersWithSpaces>35862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Adequate human data …</dc:title>
  <dc:creator>OTSD00</dc:creator>
  <cp:lastModifiedBy>ΠΑΝΤΕΛΗ ΓΕΩΡΓΙΑ</cp:lastModifiedBy>
  <cp:revision>3</cp:revision>
  <dcterms:created xsi:type="dcterms:W3CDTF">2018-06-04T07:42:00Z</dcterms:created>
  <dcterms:modified xsi:type="dcterms:W3CDTF">2018-06-04T07:43:00Z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2018-06-04T00:00:00Z</vt:filetime>
  </property>
</Properties>
</file>