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EB" w:rsidRDefault="00E147EB">
      <w:pPr>
        <w:rPr>
          <w:rFonts w:ascii="Verdana" w:hAnsi="Verdana" w:cs="Arial"/>
          <w:b/>
          <w:snapToGrid w:val="0"/>
        </w:rPr>
      </w:pPr>
    </w:p>
    <w:p w:rsidR="001A2760" w:rsidRPr="001A2760" w:rsidRDefault="001A2760" w:rsidP="001A2760">
      <w:pPr>
        <w:rPr>
          <w:b/>
          <w:sz w:val="22"/>
          <w:szCs w:val="22"/>
          <w:lang w:eastAsia="en-US"/>
        </w:rPr>
      </w:pP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r w:rsidRPr="001A2760">
        <w:rPr>
          <w:b/>
          <w:noProof/>
          <w:sz w:val="22"/>
          <w:szCs w:val="22"/>
          <w:lang w:eastAsia="en-US"/>
        </w:rPr>
        <w:t>ΦΥΛΛΟ ΟΔΗΓΙΩΝ ΧΡΗΣΗΣ</w:t>
      </w: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p>
    <w:p w:rsidR="001A2760" w:rsidRPr="001A2760" w:rsidRDefault="001A2760" w:rsidP="001A2760">
      <w:pPr>
        <w:rPr>
          <w:b/>
          <w:noProof/>
          <w:sz w:val="22"/>
          <w:szCs w:val="22"/>
          <w:lang w:eastAsia="en-US"/>
        </w:rPr>
      </w:pPr>
      <w:r w:rsidRPr="001A2760">
        <w:rPr>
          <w:b/>
          <w:noProof/>
          <w:sz w:val="22"/>
          <w:szCs w:val="22"/>
          <w:lang w:eastAsia="en-US"/>
        </w:rPr>
        <w:br w:type="page"/>
      </w: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r w:rsidRPr="001A2760">
        <w:rPr>
          <w:b/>
          <w:noProof/>
          <w:sz w:val="22"/>
          <w:szCs w:val="22"/>
          <w:lang w:eastAsia="en-US"/>
        </w:rPr>
        <w:t>ΦΥΛΛΟ ΟΔΗΓΙΩΝ ΧΡΗΣΗΣ:ΠΛΗΡΟΦΟΡΙΕΣ ΓΙΑ ΤΟΝ ΧΡΗΣΤΗ</w:t>
      </w:r>
    </w:p>
    <w:p w:rsidR="001A2760" w:rsidRPr="001A2760" w:rsidRDefault="001A2760" w:rsidP="001A2760">
      <w:pPr>
        <w:widowControl w:val="0"/>
        <w:jc w:val="center"/>
        <w:rPr>
          <w:b/>
          <w:noProof/>
          <w:sz w:val="22"/>
          <w:szCs w:val="22"/>
          <w:lang w:eastAsia="en-US"/>
        </w:rPr>
      </w:pPr>
    </w:p>
    <w:p w:rsidR="001A2760" w:rsidRPr="001A2760" w:rsidRDefault="001A2760" w:rsidP="001A2760">
      <w:pPr>
        <w:widowControl w:val="0"/>
        <w:jc w:val="center"/>
        <w:rPr>
          <w:b/>
          <w:noProof/>
          <w:sz w:val="22"/>
          <w:szCs w:val="22"/>
          <w:lang w:eastAsia="en-US"/>
        </w:rPr>
      </w:pPr>
      <w:r w:rsidRPr="001A2760">
        <w:rPr>
          <w:b/>
          <w:noProof/>
          <w:sz w:val="22"/>
          <w:szCs w:val="22"/>
          <w:lang w:val="en-US" w:eastAsia="en-US"/>
        </w:rPr>
        <w:t>Beriplex</w:t>
      </w:r>
      <w:r w:rsidRPr="001A2760">
        <w:rPr>
          <w:b/>
          <w:noProof/>
          <w:sz w:val="22"/>
          <w:szCs w:val="22"/>
          <w:vertAlign w:val="superscript"/>
          <w:lang w:eastAsia="en-US"/>
        </w:rPr>
        <w:t>®</w:t>
      </w:r>
      <w:r w:rsidRPr="001A2760">
        <w:rPr>
          <w:b/>
          <w:noProof/>
          <w:sz w:val="22"/>
          <w:szCs w:val="22"/>
          <w:lang w:eastAsia="en-US"/>
        </w:rPr>
        <w:t xml:space="preserve"> </w:t>
      </w:r>
      <w:r w:rsidRPr="001A2760">
        <w:rPr>
          <w:b/>
          <w:noProof/>
          <w:sz w:val="22"/>
          <w:szCs w:val="22"/>
          <w:lang w:val="en-GB" w:eastAsia="en-US"/>
        </w:rPr>
        <w:t>P</w:t>
      </w:r>
      <w:r w:rsidRPr="001A2760">
        <w:rPr>
          <w:b/>
          <w:noProof/>
          <w:sz w:val="22"/>
          <w:szCs w:val="22"/>
          <w:lang w:eastAsia="en-US"/>
        </w:rPr>
        <w:t>/</w:t>
      </w:r>
      <w:r w:rsidRPr="001A2760">
        <w:rPr>
          <w:b/>
          <w:noProof/>
          <w:sz w:val="22"/>
          <w:szCs w:val="22"/>
          <w:lang w:val="en-GB" w:eastAsia="en-US"/>
        </w:rPr>
        <w:t>N</w:t>
      </w:r>
      <w:r w:rsidRPr="001A2760">
        <w:rPr>
          <w:b/>
          <w:noProof/>
          <w:sz w:val="22"/>
          <w:szCs w:val="22"/>
          <w:lang w:eastAsia="en-US"/>
        </w:rPr>
        <w:t xml:space="preserve"> 500 </w:t>
      </w:r>
      <w:r w:rsidRPr="001A2760">
        <w:rPr>
          <w:b/>
          <w:noProof/>
          <w:sz w:val="22"/>
          <w:szCs w:val="22"/>
          <w:lang w:val="en-US" w:eastAsia="en-US"/>
        </w:rPr>
        <w:t>IU</w:t>
      </w:r>
    </w:p>
    <w:p w:rsidR="001A2760" w:rsidRPr="001A2760" w:rsidRDefault="001A2760" w:rsidP="001A2760">
      <w:pPr>
        <w:widowControl w:val="0"/>
        <w:jc w:val="center"/>
        <w:rPr>
          <w:sz w:val="22"/>
          <w:szCs w:val="22"/>
          <w:lang w:eastAsia="en-US"/>
        </w:rPr>
      </w:pPr>
      <w:r w:rsidRPr="001A2760">
        <w:rPr>
          <w:sz w:val="22"/>
          <w:szCs w:val="22"/>
          <w:lang w:eastAsia="en-US"/>
        </w:rPr>
        <w:t>Κόνις και διαλύτης για ενέσιμο διάλυμα</w:t>
      </w:r>
    </w:p>
    <w:p w:rsidR="001A2760" w:rsidRPr="001A2760" w:rsidRDefault="001A2760" w:rsidP="001A2760">
      <w:pPr>
        <w:widowControl w:val="0"/>
        <w:jc w:val="center"/>
        <w:rPr>
          <w:noProof/>
          <w:sz w:val="22"/>
          <w:szCs w:val="22"/>
          <w:lang w:eastAsia="en-US"/>
        </w:rPr>
      </w:pPr>
      <w:r w:rsidRPr="001A2760">
        <w:rPr>
          <w:noProof/>
          <w:sz w:val="22"/>
          <w:szCs w:val="22"/>
          <w:lang w:eastAsia="en-US"/>
        </w:rPr>
        <w:t>Σύμπλεγμα ανθρώπινης προθρομβίνης</w:t>
      </w:r>
    </w:p>
    <w:p w:rsidR="001A2760" w:rsidRPr="001A2760" w:rsidRDefault="001A2760" w:rsidP="001A2760">
      <w:pPr>
        <w:widowControl w:val="0"/>
        <w:jc w:val="both"/>
        <w:rPr>
          <w:noProof/>
          <w:sz w:val="22"/>
          <w:szCs w:val="22"/>
          <w:lang w:eastAsia="en-US"/>
        </w:rPr>
      </w:pPr>
    </w:p>
    <w:p w:rsidR="001A2760" w:rsidRPr="001A2760" w:rsidRDefault="001A2760" w:rsidP="001A2760">
      <w:pPr>
        <w:widowControl w:val="0"/>
        <w:pBdr>
          <w:top w:val="single" w:sz="4" w:space="1" w:color="auto"/>
          <w:left w:val="single" w:sz="4" w:space="4" w:color="auto"/>
          <w:bottom w:val="single" w:sz="4" w:space="1" w:color="auto"/>
          <w:right w:val="single" w:sz="4" w:space="4" w:color="auto"/>
        </w:pBdr>
        <w:jc w:val="both"/>
        <w:rPr>
          <w:noProof/>
          <w:sz w:val="22"/>
          <w:szCs w:val="22"/>
          <w:lang w:eastAsia="en-US"/>
        </w:rPr>
      </w:pPr>
      <w:r w:rsidRPr="001A2760">
        <w:rPr>
          <w:b/>
          <w:noProof/>
          <w:sz w:val="22"/>
          <w:szCs w:val="22"/>
          <w:lang w:eastAsia="en-US"/>
        </w:rPr>
        <w:t>Διαβάστε προσεκτικά ολόκληρο το φύλλο οδηγιών χρήσης πριν αρχίσετε να χρησιμοποιείτε αυτό το φάρμακο, διότι περιλαμβάνει σημαντικές πληροφορίες για σας.</w:t>
      </w:r>
    </w:p>
    <w:p w:rsidR="001A2760" w:rsidRPr="001A2760" w:rsidRDefault="001A2760" w:rsidP="001A2760">
      <w:pPr>
        <w:widowControl w:val="0"/>
        <w:numPr>
          <w:ilvl w:val="0"/>
          <w:numId w:val="40"/>
        </w:numPr>
        <w:pBdr>
          <w:top w:val="single" w:sz="4" w:space="1" w:color="auto"/>
          <w:left w:val="single" w:sz="4" w:space="4" w:color="auto"/>
          <w:bottom w:val="single" w:sz="4" w:space="1" w:color="auto"/>
          <w:right w:val="single" w:sz="4" w:space="4" w:color="auto"/>
        </w:pBdr>
        <w:tabs>
          <w:tab w:val="left" w:pos="426"/>
        </w:tabs>
        <w:ind w:left="426" w:hanging="426"/>
        <w:contextualSpacing/>
        <w:jc w:val="both"/>
        <w:rPr>
          <w:noProof/>
          <w:sz w:val="22"/>
          <w:szCs w:val="22"/>
          <w:lang w:eastAsia="en-US"/>
        </w:rPr>
      </w:pPr>
      <w:r w:rsidRPr="001A2760">
        <w:rPr>
          <w:noProof/>
          <w:sz w:val="22"/>
          <w:szCs w:val="22"/>
          <w:lang w:eastAsia="en-US"/>
        </w:rPr>
        <w:t>Φυλάξτε αυτό το φύλλο οδηγιών χρήσης. Ίσως χρειαστεί να το διαβάσετε ξανά.</w:t>
      </w:r>
    </w:p>
    <w:p w:rsidR="001A2760" w:rsidRPr="001A2760" w:rsidRDefault="001A2760" w:rsidP="001A2760">
      <w:pPr>
        <w:widowControl w:val="0"/>
        <w:numPr>
          <w:ilvl w:val="0"/>
          <w:numId w:val="40"/>
        </w:numPr>
        <w:pBdr>
          <w:top w:val="single" w:sz="4" w:space="1" w:color="auto"/>
          <w:left w:val="single" w:sz="4" w:space="4" w:color="auto"/>
          <w:bottom w:val="single" w:sz="4" w:space="1" w:color="auto"/>
          <w:right w:val="single" w:sz="4" w:space="4" w:color="auto"/>
        </w:pBdr>
        <w:tabs>
          <w:tab w:val="left" w:pos="426"/>
        </w:tabs>
        <w:ind w:left="426" w:hanging="426"/>
        <w:contextualSpacing/>
        <w:jc w:val="both"/>
        <w:rPr>
          <w:noProof/>
          <w:sz w:val="22"/>
          <w:szCs w:val="22"/>
          <w:lang w:eastAsia="en-US"/>
        </w:rPr>
      </w:pPr>
      <w:r w:rsidRPr="001A2760">
        <w:rPr>
          <w:noProof/>
          <w:sz w:val="22"/>
          <w:szCs w:val="22"/>
          <w:lang w:eastAsia="en-US"/>
        </w:rPr>
        <w:t>Εάν έχετε περαιτέρω απορίες, ρωτήστε τον γιατρό ή τον φαρμακοποιό σας.</w:t>
      </w:r>
    </w:p>
    <w:p w:rsidR="001A2760" w:rsidRPr="001A2760" w:rsidRDefault="001A2760" w:rsidP="001A2760">
      <w:pPr>
        <w:widowControl w:val="0"/>
        <w:numPr>
          <w:ilvl w:val="0"/>
          <w:numId w:val="40"/>
        </w:numPr>
        <w:pBdr>
          <w:top w:val="single" w:sz="4" w:space="1" w:color="auto"/>
          <w:left w:val="single" w:sz="4" w:space="4" w:color="auto"/>
          <w:bottom w:val="single" w:sz="4" w:space="1" w:color="auto"/>
          <w:right w:val="single" w:sz="4" w:space="4" w:color="auto"/>
        </w:pBdr>
        <w:tabs>
          <w:tab w:val="left" w:pos="426"/>
        </w:tabs>
        <w:ind w:left="426" w:hanging="426"/>
        <w:contextualSpacing/>
        <w:jc w:val="both"/>
        <w:rPr>
          <w:noProof/>
          <w:sz w:val="22"/>
          <w:szCs w:val="22"/>
          <w:lang w:eastAsia="en-US"/>
        </w:rPr>
      </w:pPr>
      <w:r w:rsidRPr="001A2760">
        <w:rPr>
          <w:noProof/>
          <w:sz w:val="22"/>
          <w:szCs w:val="22"/>
          <w:lang w:eastAsia="en-US"/>
        </w:rPr>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συμπτώματα της ασθένειάς τους είναι ίδια με τα δικά σας.</w:t>
      </w:r>
    </w:p>
    <w:p w:rsidR="001A2760" w:rsidRPr="001A2760" w:rsidRDefault="001A2760" w:rsidP="001A2760">
      <w:pPr>
        <w:widowControl w:val="0"/>
        <w:numPr>
          <w:ilvl w:val="0"/>
          <w:numId w:val="40"/>
        </w:numPr>
        <w:pBdr>
          <w:top w:val="single" w:sz="4" w:space="1" w:color="auto"/>
          <w:left w:val="single" w:sz="4" w:space="4" w:color="auto"/>
          <w:bottom w:val="single" w:sz="4" w:space="1" w:color="auto"/>
          <w:right w:val="single" w:sz="4" w:space="4" w:color="auto"/>
        </w:pBdr>
        <w:tabs>
          <w:tab w:val="left" w:pos="426"/>
        </w:tabs>
        <w:ind w:left="426" w:hanging="426"/>
        <w:contextualSpacing/>
        <w:jc w:val="both"/>
        <w:rPr>
          <w:noProof/>
          <w:sz w:val="22"/>
          <w:szCs w:val="22"/>
          <w:lang w:eastAsia="en-US"/>
        </w:rPr>
      </w:pPr>
      <w:r w:rsidRPr="001A2760">
        <w:rPr>
          <w:noProof/>
          <w:sz w:val="22"/>
          <w:szCs w:val="22"/>
          <w:lang w:eastAsia="en-US"/>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rsidR="001A2760" w:rsidRPr="001A2760" w:rsidRDefault="001A2760" w:rsidP="001A2760">
      <w:pPr>
        <w:widowControl w:val="0"/>
        <w:tabs>
          <w:tab w:val="left" w:pos="426"/>
        </w:tabs>
        <w:ind w:left="426" w:hanging="426"/>
        <w:jc w:val="both"/>
        <w:rPr>
          <w:noProof/>
          <w:sz w:val="22"/>
          <w:szCs w:val="22"/>
          <w:lang w:eastAsia="en-US"/>
        </w:rPr>
      </w:pPr>
    </w:p>
    <w:p w:rsidR="001A2760" w:rsidRPr="001A2760" w:rsidRDefault="001A2760" w:rsidP="001A2760">
      <w:pPr>
        <w:widowControl w:val="0"/>
        <w:jc w:val="both"/>
        <w:rPr>
          <w:b/>
          <w:noProof/>
          <w:sz w:val="22"/>
          <w:szCs w:val="22"/>
          <w:lang w:eastAsia="en-US"/>
        </w:rPr>
      </w:pPr>
    </w:p>
    <w:p w:rsidR="001A2760" w:rsidRPr="001A2760" w:rsidRDefault="001A2760" w:rsidP="001A2760">
      <w:pPr>
        <w:widowControl w:val="0"/>
        <w:jc w:val="both"/>
        <w:rPr>
          <w:noProof/>
          <w:sz w:val="22"/>
          <w:szCs w:val="22"/>
          <w:lang w:eastAsia="en-US"/>
        </w:rPr>
      </w:pPr>
      <w:r w:rsidRPr="001A2760">
        <w:rPr>
          <w:b/>
          <w:noProof/>
          <w:sz w:val="22"/>
          <w:szCs w:val="22"/>
          <w:lang w:eastAsia="en-US"/>
        </w:rPr>
        <w:t>Τι περιέχει το παρόν φύλλο οδηγιών:</w:t>
      </w:r>
    </w:p>
    <w:p w:rsidR="001A2760" w:rsidRPr="001A2760" w:rsidRDefault="001A2760" w:rsidP="001A2760">
      <w:pPr>
        <w:widowControl w:val="0"/>
        <w:tabs>
          <w:tab w:val="left" w:pos="709"/>
        </w:tabs>
        <w:ind w:left="426" w:hanging="426"/>
        <w:jc w:val="both"/>
        <w:rPr>
          <w:noProof/>
          <w:sz w:val="22"/>
          <w:szCs w:val="22"/>
          <w:lang w:eastAsia="en-US"/>
        </w:rPr>
      </w:pPr>
      <w:r w:rsidRPr="001A2760">
        <w:rPr>
          <w:noProof/>
          <w:sz w:val="22"/>
          <w:szCs w:val="22"/>
          <w:lang w:eastAsia="en-US"/>
        </w:rPr>
        <w:t>1.</w:t>
      </w:r>
      <w:r w:rsidRPr="001A2760">
        <w:rPr>
          <w:noProof/>
          <w:sz w:val="22"/>
          <w:szCs w:val="22"/>
          <w:lang w:eastAsia="en-US"/>
        </w:rPr>
        <w:tab/>
        <w:t xml:space="preserve">Τι είναι το </w:t>
      </w:r>
      <w:r w:rsidRPr="001A2760">
        <w:rPr>
          <w:noProof/>
          <w:sz w:val="22"/>
          <w:szCs w:val="22"/>
          <w:lang w:val="en-GB" w:eastAsia="en-US"/>
        </w:rPr>
        <w:t>Beriplex</w:t>
      </w:r>
      <w:r w:rsidRPr="001A2760">
        <w:rPr>
          <w:noProof/>
          <w:sz w:val="22"/>
          <w:szCs w:val="22"/>
          <w:lang w:eastAsia="en-US"/>
        </w:rPr>
        <w:t xml:space="preserve"> και ποια είναι η χρήση του</w:t>
      </w:r>
    </w:p>
    <w:p w:rsidR="001A2760" w:rsidRPr="001A2760" w:rsidRDefault="001A2760" w:rsidP="001A2760">
      <w:pPr>
        <w:widowControl w:val="0"/>
        <w:tabs>
          <w:tab w:val="left" w:pos="709"/>
        </w:tabs>
        <w:ind w:left="426" w:hanging="426"/>
        <w:jc w:val="both"/>
        <w:rPr>
          <w:noProof/>
          <w:sz w:val="22"/>
          <w:szCs w:val="22"/>
          <w:lang w:eastAsia="en-US"/>
        </w:rPr>
      </w:pPr>
      <w:r w:rsidRPr="001A2760">
        <w:rPr>
          <w:noProof/>
          <w:sz w:val="22"/>
          <w:szCs w:val="22"/>
          <w:lang w:eastAsia="en-US"/>
        </w:rPr>
        <w:t>2.</w:t>
      </w:r>
      <w:r w:rsidRPr="001A2760">
        <w:rPr>
          <w:noProof/>
          <w:sz w:val="22"/>
          <w:szCs w:val="22"/>
          <w:lang w:eastAsia="en-US"/>
        </w:rPr>
        <w:tab/>
        <w:t xml:space="preserve">Τι πρέπει να γνωρίζετε πριν χρησιμοποιήσετε το </w:t>
      </w:r>
      <w:r w:rsidRPr="001A2760">
        <w:rPr>
          <w:noProof/>
          <w:sz w:val="22"/>
          <w:szCs w:val="22"/>
          <w:lang w:val="en-GB" w:eastAsia="en-US"/>
        </w:rPr>
        <w:t>Beriplex</w:t>
      </w:r>
      <w:r w:rsidRPr="001A2760">
        <w:rPr>
          <w:noProof/>
          <w:sz w:val="22"/>
          <w:szCs w:val="22"/>
          <w:lang w:eastAsia="en-US"/>
        </w:rPr>
        <w:t xml:space="preserve"> </w:t>
      </w:r>
    </w:p>
    <w:p w:rsidR="001A2760" w:rsidRPr="001A2760" w:rsidRDefault="001A2760" w:rsidP="001A2760">
      <w:pPr>
        <w:widowControl w:val="0"/>
        <w:tabs>
          <w:tab w:val="left" w:pos="709"/>
        </w:tabs>
        <w:ind w:left="426" w:hanging="426"/>
        <w:jc w:val="both"/>
        <w:rPr>
          <w:noProof/>
          <w:sz w:val="22"/>
          <w:szCs w:val="22"/>
          <w:lang w:eastAsia="en-US"/>
        </w:rPr>
      </w:pPr>
      <w:r w:rsidRPr="001A2760">
        <w:rPr>
          <w:noProof/>
          <w:sz w:val="22"/>
          <w:szCs w:val="22"/>
          <w:lang w:eastAsia="en-US"/>
        </w:rPr>
        <w:t>3.</w:t>
      </w:r>
      <w:r w:rsidRPr="001A2760">
        <w:rPr>
          <w:noProof/>
          <w:sz w:val="22"/>
          <w:szCs w:val="22"/>
          <w:lang w:eastAsia="en-US"/>
        </w:rPr>
        <w:tab/>
        <w:t xml:space="preserve">Πώς να χρησιμοποιήσετε το </w:t>
      </w:r>
      <w:r w:rsidRPr="001A2760">
        <w:rPr>
          <w:noProof/>
          <w:sz w:val="22"/>
          <w:szCs w:val="22"/>
          <w:lang w:val="en-GB" w:eastAsia="en-US"/>
        </w:rPr>
        <w:t>Beriplex</w:t>
      </w:r>
    </w:p>
    <w:p w:rsidR="001A2760" w:rsidRPr="001A2760" w:rsidRDefault="001A2760" w:rsidP="001A2760">
      <w:pPr>
        <w:widowControl w:val="0"/>
        <w:tabs>
          <w:tab w:val="left" w:pos="709"/>
        </w:tabs>
        <w:ind w:left="426" w:hanging="426"/>
        <w:jc w:val="both"/>
        <w:rPr>
          <w:noProof/>
          <w:sz w:val="22"/>
          <w:szCs w:val="22"/>
          <w:lang w:eastAsia="en-US"/>
        </w:rPr>
      </w:pPr>
      <w:r w:rsidRPr="001A2760">
        <w:rPr>
          <w:noProof/>
          <w:sz w:val="22"/>
          <w:szCs w:val="22"/>
          <w:lang w:eastAsia="en-US"/>
        </w:rPr>
        <w:t>4.</w:t>
      </w:r>
      <w:r w:rsidRPr="001A2760">
        <w:rPr>
          <w:noProof/>
          <w:sz w:val="22"/>
          <w:szCs w:val="22"/>
          <w:lang w:eastAsia="en-US"/>
        </w:rPr>
        <w:tab/>
        <w:t>Πιθανές ανεπιθύμητες ενέργειες</w:t>
      </w:r>
    </w:p>
    <w:p w:rsidR="001A2760" w:rsidRPr="001A2760" w:rsidRDefault="001A2760" w:rsidP="001A2760">
      <w:pPr>
        <w:widowControl w:val="0"/>
        <w:tabs>
          <w:tab w:val="left" w:pos="709"/>
        </w:tabs>
        <w:ind w:left="426" w:hanging="426"/>
        <w:jc w:val="both"/>
        <w:rPr>
          <w:noProof/>
          <w:sz w:val="22"/>
          <w:szCs w:val="22"/>
          <w:lang w:eastAsia="en-US"/>
        </w:rPr>
      </w:pPr>
      <w:r w:rsidRPr="001A2760">
        <w:rPr>
          <w:noProof/>
          <w:sz w:val="22"/>
          <w:szCs w:val="22"/>
          <w:lang w:eastAsia="en-US"/>
        </w:rPr>
        <w:t>5.</w:t>
      </w:r>
      <w:r w:rsidRPr="001A2760">
        <w:rPr>
          <w:noProof/>
          <w:sz w:val="22"/>
          <w:szCs w:val="22"/>
          <w:lang w:eastAsia="en-US"/>
        </w:rPr>
        <w:tab/>
        <w:t xml:space="preserve">Πώς να φυλάσσετε το </w:t>
      </w:r>
      <w:r w:rsidRPr="001A2760">
        <w:rPr>
          <w:noProof/>
          <w:sz w:val="22"/>
          <w:szCs w:val="22"/>
          <w:lang w:val="en-GB" w:eastAsia="en-US"/>
        </w:rPr>
        <w:t>Beriplex</w:t>
      </w:r>
      <w:r w:rsidRPr="001A2760">
        <w:rPr>
          <w:noProof/>
          <w:sz w:val="22"/>
          <w:szCs w:val="22"/>
          <w:lang w:eastAsia="en-US"/>
        </w:rPr>
        <w:t xml:space="preserve"> </w:t>
      </w:r>
    </w:p>
    <w:p w:rsidR="001A2760" w:rsidRPr="001A2760" w:rsidRDefault="001A2760" w:rsidP="001A2760">
      <w:pPr>
        <w:widowControl w:val="0"/>
        <w:tabs>
          <w:tab w:val="left" w:pos="709"/>
        </w:tabs>
        <w:ind w:left="426" w:hanging="426"/>
        <w:jc w:val="both"/>
        <w:rPr>
          <w:noProof/>
          <w:sz w:val="22"/>
          <w:szCs w:val="22"/>
          <w:lang w:eastAsia="en-US"/>
        </w:rPr>
      </w:pPr>
      <w:r w:rsidRPr="001A2760">
        <w:rPr>
          <w:noProof/>
          <w:sz w:val="22"/>
          <w:szCs w:val="22"/>
          <w:lang w:eastAsia="en-US"/>
        </w:rPr>
        <w:t>6.</w:t>
      </w:r>
      <w:r w:rsidRPr="001A2760">
        <w:rPr>
          <w:noProof/>
          <w:sz w:val="22"/>
          <w:szCs w:val="22"/>
          <w:lang w:eastAsia="en-US"/>
        </w:rPr>
        <w:tab/>
        <w:t>Περιεχόμενο της συσκευασίας και λοιπές πληροφορίες</w:t>
      </w:r>
    </w:p>
    <w:p w:rsidR="001A2760" w:rsidRPr="001A2760" w:rsidRDefault="001A2760" w:rsidP="001A2760">
      <w:pPr>
        <w:widowControl w:val="0"/>
        <w:jc w:val="both"/>
        <w:rPr>
          <w:noProof/>
          <w:sz w:val="22"/>
          <w:szCs w:val="22"/>
          <w:lang w:eastAsia="en-US"/>
        </w:rPr>
      </w:pPr>
    </w:p>
    <w:p w:rsidR="001A2760" w:rsidRPr="001A2760" w:rsidRDefault="001A2760" w:rsidP="001A2760">
      <w:pPr>
        <w:widowControl w:val="0"/>
        <w:jc w:val="both"/>
        <w:rPr>
          <w:noProof/>
          <w:sz w:val="22"/>
          <w:szCs w:val="22"/>
          <w:lang w:eastAsia="en-US"/>
        </w:rPr>
      </w:pPr>
    </w:p>
    <w:p w:rsidR="001A2760" w:rsidRPr="001A2760" w:rsidRDefault="001A2760" w:rsidP="001A2760">
      <w:pPr>
        <w:widowControl w:val="0"/>
        <w:jc w:val="both"/>
        <w:rPr>
          <w:b/>
          <w:noProof/>
          <w:sz w:val="22"/>
          <w:szCs w:val="22"/>
          <w:lang w:eastAsia="en-US"/>
        </w:rPr>
      </w:pPr>
      <w:r w:rsidRPr="001A2760">
        <w:rPr>
          <w:b/>
          <w:noProof/>
          <w:sz w:val="22"/>
          <w:szCs w:val="22"/>
          <w:lang w:eastAsia="en-US"/>
        </w:rPr>
        <w:t xml:space="preserve">1. </w:t>
      </w:r>
      <w:r w:rsidRPr="001A2760">
        <w:rPr>
          <w:b/>
          <w:noProof/>
          <w:sz w:val="22"/>
          <w:szCs w:val="22"/>
          <w:lang w:eastAsia="en-US"/>
        </w:rPr>
        <w:tab/>
        <w:t xml:space="preserve">Τι είναι το </w:t>
      </w:r>
      <w:r w:rsidRPr="001A2760">
        <w:rPr>
          <w:b/>
          <w:noProof/>
          <w:sz w:val="22"/>
          <w:szCs w:val="22"/>
          <w:lang w:val="en-US" w:eastAsia="en-US"/>
        </w:rPr>
        <w:t>Beriplex</w:t>
      </w:r>
      <w:r w:rsidRPr="001A2760">
        <w:rPr>
          <w:b/>
          <w:noProof/>
          <w:sz w:val="22"/>
          <w:szCs w:val="22"/>
          <w:lang w:eastAsia="en-US"/>
        </w:rPr>
        <w:t xml:space="preserve"> και ποια είναι η χρήση του</w:t>
      </w:r>
    </w:p>
    <w:p w:rsidR="001A2760" w:rsidRPr="001A2760" w:rsidRDefault="001A2760" w:rsidP="001A2760">
      <w:pPr>
        <w:widowControl w:val="0"/>
        <w:jc w:val="both"/>
        <w:rPr>
          <w:b/>
          <w:noProof/>
          <w:sz w:val="22"/>
          <w:szCs w:val="22"/>
          <w:lang w:eastAsia="en-US"/>
        </w:rPr>
      </w:pPr>
    </w:p>
    <w:p w:rsidR="001A2760" w:rsidRPr="001A2760" w:rsidRDefault="001A2760" w:rsidP="001A2760">
      <w:pPr>
        <w:widowControl w:val="0"/>
        <w:jc w:val="both"/>
        <w:rPr>
          <w:b/>
          <w:i/>
          <w:noProof/>
          <w:sz w:val="22"/>
          <w:szCs w:val="22"/>
          <w:lang w:eastAsia="en-US"/>
        </w:rPr>
      </w:pPr>
      <w:r w:rsidRPr="001A2760">
        <w:rPr>
          <w:b/>
          <w:i/>
          <w:noProof/>
          <w:sz w:val="22"/>
          <w:szCs w:val="22"/>
          <w:lang w:eastAsia="en-US"/>
        </w:rPr>
        <w:t xml:space="preserve">Τι είναι το </w:t>
      </w:r>
      <w:r w:rsidRPr="001A2760">
        <w:rPr>
          <w:b/>
          <w:i/>
          <w:noProof/>
          <w:sz w:val="22"/>
          <w:szCs w:val="22"/>
          <w:lang w:val="en-GB" w:eastAsia="en-US"/>
        </w:rPr>
        <w:t>Beriplex</w:t>
      </w:r>
      <w:r w:rsidRPr="001A2760">
        <w:rPr>
          <w:b/>
          <w:i/>
          <w:noProof/>
          <w:sz w:val="22"/>
          <w:szCs w:val="22"/>
          <w:lang w:eastAsia="en-US"/>
        </w:rPr>
        <w:t>;</w:t>
      </w:r>
    </w:p>
    <w:p w:rsidR="001A2760" w:rsidRPr="001A2760" w:rsidRDefault="001A2760" w:rsidP="001A2760">
      <w:pPr>
        <w:widowControl w:val="0"/>
        <w:jc w:val="both"/>
        <w:rPr>
          <w:noProof/>
          <w:sz w:val="22"/>
          <w:szCs w:val="22"/>
          <w:lang w:eastAsia="en-US"/>
        </w:rPr>
      </w:pPr>
      <w:r w:rsidRPr="001A2760">
        <w:rPr>
          <w:noProof/>
          <w:sz w:val="22"/>
          <w:szCs w:val="22"/>
          <w:lang w:eastAsia="en-US"/>
        </w:rPr>
        <w:t xml:space="preserve">Το </w:t>
      </w:r>
      <w:r w:rsidRPr="001A2760">
        <w:rPr>
          <w:noProof/>
          <w:sz w:val="22"/>
          <w:szCs w:val="22"/>
          <w:lang w:val="en-GB" w:eastAsia="en-US"/>
        </w:rPr>
        <w:t>Beriplex</w:t>
      </w:r>
      <w:r w:rsidRPr="001A2760">
        <w:rPr>
          <w:noProof/>
          <w:sz w:val="22"/>
          <w:szCs w:val="22"/>
          <w:lang w:eastAsia="en-US"/>
        </w:rPr>
        <w:t xml:space="preserve"> διατίθεται ως κόνις συνοδευόμενη από διαλύτη. </w:t>
      </w:r>
      <w:r w:rsidRPr="001A2760">
        <w:rPr>
          <w:sz w:val="22"/>
          <w:szCs w:val="22"/>
          <w:lang w:eastAsia="en-US"/>
        </w:rPr>
        <w:t xml:space="preserve">Είναι μια λευκή ή ανοιχτόχρωμη </w:t>
      </w:r>
      <w:proofErr w:type="spellStart"/>
      <w:r w:rsidRPr="001A2760">
        <w:rPr>
          <w:sz w:val="22"/>
          <w:szCs w:val="22"/>
          <w:lang w:eastAsia="en-US"/>
        </w:rPr>
        <w:t>κόνις</w:t>
      </w:r>
      <w:proofErr w:type="spellEnd"/>
      <w:r w:rsidRPr="001A2760">
        <w:rPr>
          <w:sz w:val="22"/>
          <w:szCs w:val="22"/>
          <w:lang w:eastAsia="en-US"/>
        </w:rPr>
        <w:t xml:space="preserve"> ή εύθρυπτο στερεό. </w:t>
      </w:r>
      <w:r w:rsidRPr="001A2760">
        <w:rPr>
          <w:noProof/>
          <w:sz w:val="22"/>
          <w:szCs w:val="22"/>
          <w:lang w:eastAsia="en-US"/>
        </w:rPr>
        <w:t>Το διάλυμα που προκύπτει χορηγείται με ένεση σε μια φλέβα.</w:t>
      </w:r>
    </w:p>
    <w:p w:rsidR="001A2760" w:rsidRPr="001A2760" w:rsidRDefault="001A2760" w:rsidP="001A2760">
      <w:pPr>
        <w:widowControl w:val="0"/>
        <w:jc w:val="both"/>
        <w:rPr>
          <w:noProof/>
          <w:sz w:val="22"/>
          <w:szCs w:val="22"/>
          <w:lang w:eastAsia="en-US"/>
        </w:rPr>
      </w:pPr>
    </w:p>
    <w:p w:rsidR="001A2760" w:rsidRPr="001A2760" w:rsidRDefault="001A2760" w:rsidP="001A2760">
      <w:pPr>
        <w:widowControl w:val="0"/>
        <w:jc w:val="both"/>
        <w:rPr>
          <w:noProof/>
          <w:sz w:val="22"/>
          <w:szCs w:val="22"/>
          <w:lang w:eastAsia="en-US"/>
        </w:rPr>
      </w:pPr>
      <w:r w:rsidRPr="001A2760">
        <w:rPr>
          <w:noProof/>
          <w:sz w:val="22"/>
          <w:szCs w:val="22"/>
          <w:lang w:eastAsia="en-US"/>
        </w:rPr>
        <w:t xml:space="preserve">Το </w:t>
      </w:r>
      <w:r w:rsidRPr="001A2760">
        <w:rPr>
          <w:noProof/>
          <w:sz w:val="22"/>
          <w:szCs w:val="22"/>
          <w:lang w:val="en-GB" w:eastAsia="en-US"/>
        </w:rPr>
        <w:t>Beriplex</w:t>
      </w:r>
      <w:r w:rsidRPr="001A2760">
        <w:rPr>
          <w:noProof/>
          <w:sz w:val="22"/>
          <w:szCs w:val="22"/>
          <w:lang w:eastAsia="en-US"/>
        </w:rPr>
        <w:t xml:space="preserve"> παρασκευάζεται από ανθρώπινο πλάσμα (έτσι λέγεται το υγρό μέρος του αίματος) και περιέχει τους ανθρώπινους παράγοντες πήξης ΙΙ, </w:t>
      </w:r>
      <w:r w:rsidRPr="001A2760">
        <w:rPr>
          <w:noProof/>
          <w:sz w:val="22"/>
          <w:szCs w:val="22"/>
          <w:lang w:val="en-GB" w:eastAsia="en-US"/>
        </w:rPr>
        <w:t>VII</w:t>
      </w:r>
      <w:r w:rsidRPr="001A2760">
        <w:rPr>
          <w:noProof/>
          <w:sz w:val="22"/>
          <w:szCs w:val="22"/>
          <w:lang w:eastAsia="en-US"/>
        </w:rPr>
        <w:t xml:space="preserve">, </w:t>
      </w:r>
      <w:r w:rsidRPr="001A2760">
        <w:rPr>
          <w:noProof/>
          <w:sz w:val="22"/>
          <w:szCs w:val="22"/>
          <w:lang w:val="en-GB" w:eastAsia="en-US"/>
        </w:rPr>
        <w:t>IX</w:t>
      </w:r>
      <w:r w:rsidRPr="001A2760">
        <w:rPr>
          <w:noProof/>
          <w:sz w:val="22"/>
          <w:szCs w:val="22"/>
          <w:lang w:eastAsia="en-US"/>
        </w:rPr>
        <w:t xml:space="preserve"> και </w:t>
      </w:r>
      <w:r w:rsidRPr="001A2760">
        <w:rPr>
          <w:noProof/>
          <w:sz w:val="22"/>
          <w:szCs w:val="22"/>
          <w:lang w:val="en-GB" w:eastAsia="en-US"/>
        </w:rPr>
        <w:t>X</w:t>
      </w:r>
      <w:r w:rsidRPr="001A2760">
        <w:rPr>
          <w:noProof/>
          <w:sz w:val="22"/>
          <w:szCs w:val="22"/>
          <w:lang w:eastAsia="en-US"/>
        </w:rPr>
        <w:t xml:space="preserve">. Πυκνά διαλύματα που περιέχουν αυτούς τους παράγοντες πήξης ονομάζονται προϊόντα συμπλέγματος προθρομβίνης. Οι παράγοντες πήξης ΙΙ, </w:t>
      </w:r>
      <w:r w:rsidRPr="001A2760">
        <w:rPr>
          <w:noProof/>
          <w:sz w:val="22"/>
          <w:szCs w:val="22"/>
          <w:lang w:val="en-GB" w:eastAsia="en-US"/>
        </w:rPr>
        <w:t>VII</w:t>
      </w:r>
      <w:r w:rsidRPr="001A2760">
        <w:rPr>
          <w:noProof/>
          <w:sz w:val="22"/>
          <w:szCs w:val="22"/>
          <w:lang w:eastAsia="en-US"/>
        </w:rPr>
        <w:t xml:space="preserve">, </w:t>
      </w:r>
      <w:r w:rsidRPr="001A2760">
        <w:rPr>
          <w:noProof/>
          <w:sz w:val="22"/>
          <w:szCs w:val="22"/>
          <w:lang w:val="en-GB" w:eastAsia="en-US"/>
        </w:rPr>
        <w:t>IX</w:t>
      </w:r>
      <w:r w:rsidRPr="001A2760">
        <w:rPr>
          <w:noProof/>
          <w:sz w:val="22"/>
          <w:szCs w:val="22"/>
          <w:lang w:eastAsia="en-US"/>
        </w:rPr>
        <w:t xml:space="preserve"> και </w:t>
      </w:r>
      <w:r w:rsidRPr="001A2760">
        <w:rPr>
          <w:noProof/>
          <w:sz w:val="22"/>
          <w:szCs w:val="22"/>
          <w:lang w:val="en-GB" w:eastAsia="en-US"/>
        </w:rPr>
        <w:t>X</w:t>
      </w:r>
      <w:r w:rsidRPr="001A2760">
        <w:rPr>
          <w:noProof/>
          <w:sz w:val="22"/>
          <w:szCs w:val="22"/>
          <w:lang w:eastAsia="en-US"/>
        </w:rPr>
        <w:t xml:space="preserve"> εξαρτώνται από τη βιταμίνη Κ και είναι σημαντικοί για την πήξη του αίματος. Η έλλειψη οποιουδήποτε από αυτούς τους παράγοντες συνεπάγεται ότι το αίμα δεν πήζει όσο γρήγορα θα έπρεπε και γι’ αυτό υπάρχει αυξημένη τάση για αιμορραγίες. Η αντικατάσταση των παραγόντων πήξης ΙΙ, </w:t>
      </w:r>
      <w:r w:rsidRPr="001A2760">
        <w:rPr>
          <w:noProof/>
          <w:sz w:val="22"/>
          <w:szCs w:val="22"/>
          <w:lang w:val="en-GB" w:eastAsia="en-US"/>
        </w:rPr>
        <w:t>VII</w:t>
      </w:r>
      <w:r w:rsidRPr="001A2760">
        <w:rPr>
          <w:noProof/>
          <w:sz w:val="22"/>
          <w:szCs w:val="22"/>
          <w:lang w:eastAsia="en-US"/>
        </w:rPr>
        <w:t xml:space="preserve">, </w:t>
      </w:r>
      <w:r w:rsidRPr="001A2760">
        <w:rPr>
          <w:noProof/>
          <w:sz w:val="22"/>
          <w:szCs w:val="22"/>
          <w:lang w:val="en-GB" w:eastAsia="en-US"/>
        </w:rPr>
        <w:t>IX</w:t>
      </w:r>
      <w:r w:rsidRPr="001A2760">
        <w:rPr>
          <w:noProof/>
          <w:sz w:val="22"/>
          <w:szCs w:val="22"/>
          <w:lang w:eastAsia="en-US"/>
        </w:rPr>
        <w:t xml:space="preserve"> και </w:t>
      </w:r>
      <w:r w:rsidRPr="001A2760">
        <w:rPr>
          <w:noProof/>
          <w:sz w:val="22"/>
          <w:szCs w:val="22"/>
          <w:lang w:val="en-GB" w:eastAsia="en-US"/>
        </w:rPr>
        <w:t>X</w:t>
      </w:r>
      <w:r w:rsidRPr="001A2760">
        <w:rPr>
          <w:noProof/>
          <w:sz w:val="22"/>
          <w:szCs w:val="22"/>
          <w:lang w:eastAsia="en-US"/>
        </w:rPr>
        <w:t xml:space="preserve"> με το </w:t>
      </w:r>
      <w:r w:rsidRPr="001A2760">
        <w:rPr>
          <w:noProof/>
          <w:sz w:val="22"/>
          <w:szCs w:val="22"/>
          <w:lang w:val="en-GB" w:eastAsia="en-US"/>
        </w:rPr>
        <w:t>Beriplex</w:t>
      </w:r>
      <w:r w:rsidRPr="001A2760">
        <w:rPr>
          <w:noProof/>
          <w:sz w:val="22"/>
          <w:szCs w:val="22"/>
          <w:lang w:eastAsia="en-US"/>
        </w:rPr>
        <w:t xml:space="preserve"> θα αποκαταστήσει τους μηχανισμούς πήξης.</w:t>
      </w:r>
    </w:p>
    <w:p w:rsidR="001A2760" w:rsidRPr="001A2760" w:rsidRDefault="001A2760" w:rsidP="001A2760">
      <w:pPr>
        <w:widowControl w:val="0"/>
        <w:jc w:val="both"/>
        <w:rPr>
          <w:b/>
          <w:i/>
          <w:noProof/>
          <w:sz w:val="22"/>
          <w:szCs w:val="22"/>
          <w:lang w:eastAsia="en-US"/>
        </w:rPr>
      </w:pPr>
    </w:p>
    <w:p w:rsidR="001A2760" w:rsidRPr="001A2760" w:rsidRDefault="001A2760" w:rsidP="001A2760">
      <w:pPr>
        <w:widowControl w:val="0"/>
        <w:jc w:val="both"/>
        <w:rPr>
          <w:b/>
          <w:i/>
          <w:noProof/>
          <w:sz w:val="22"/>
          <w:szCs w:val="22"/>
          <w:lang w:eastAsia="en-US"/>
        </w:rPr>
      </w:pPr>
      <w:r w:rsidRPr="001A2760">
        <w:rPr>
          <w:b/>
          <w:i/>
          <w:noProof/>
          <w:sz w:val="22"/>
          <w:szCs w:val="22"/>
          <w:lang w:eastAsia="en-US"/>
        </w:rPr>
        <w:t xml:space="preserve">Ποια είναι η χρήση του </w:t>
      </w:r>
      <w:r w:rsidRPr="001A2760">
        <w:rPr>
          <w:b/>
          <w:i/>
          <w:noProof/>
          <w:sz w:val="22"/>
          <w:szCs w:val="22"/>
          <w:lang w:val="en-GB" w:eastAsia="en-US"/>
        </w:rPr>
        <w:t>Beriplex</w:t>
      </w:r>
      <w:r w:rsidRPr="001A2760">
        <w:rPr>
          <w:b/>
          <w:i/>
          <w:noProof/>
          <w:sz w:val="22"/>
          <w:szCs w:val="22"/>
          <w:lang w:eastAsia="en-US"/>
        </w:rPr>
        <w:t>;</w:t>
      </w:r>
    </w:p>
    <w:p w:rsidR="001A2760" w:rsidRPr="001A2760" w:rsidRDefault="001A2760" w:rsidP="001A2760">
      <w:pPr>
        <w:widowControl w:val="0"/>
        <w:jc w:val="both"/>
        <w:rPr>
          <w:b/>
          <w:i/>
          <w:noProof/>
          <w:sz w:val="22"/>
          <w:szCs w:val="22"/>
          <w:lang w:eastAsia="en-US"/>
        </w:rPr>
      </w:pPr>
      <w:r w:rsidRPr="001A2760">
        <w:rPr>
          <w:noProof/>
          <w:sz w:val="22"/>
          <w:szCs w:val="22"/>
          <w:lang w:eastAsia="en-US"/>
        </w:rPr>
        <w:t xml:space="preserve">Το </w:t>
      </w:r>
      <w:r w:rsidRPr="001A2760">
        <w:rPr>
          <w:noProof/>
          <w:sz w:val="22"/>
          <w:szCs w:val="22"/>
          <w:lang w:val="en-GB" w:eastAsia="en-US"/>
        </w:rPr>
        <w:t>Beriplex</w:t>
      </w:r>
      <w:r w:rsidRPr="001A2760">
        <w:rPr>
          <w:noProof/>
          <w:sz w:val="22"/>
          <w:szCs w:val="22"/>
          <w:lang w:eastAsia="en-US"/>
        </w:rPr>
        <w:t xml:space="preserve"> χρησιμοποιείται για την πρόληψη (κατά τη διάρκεια χειρουργικής επέμβασης) και την αντιμετώπιση των αιμορραγιών που οφείλονται σε επίκτητη ή συγγενή έλλειψη των εξαρτώμενων από τη βιταμίνη Κ παραγόντων πήξης ΙΙ, </w:t>
      </w:r>
      <w:r w:rsidRPr="001A2760">
        <w:rPr>
          <w:noProof/>
          <w:sz w:val="22"/>
          <w:szCs w:val="22"/>
          <w:lang w:val="en-GB" w:eastAsia="en-US"/>
        </w:rPr>
        <w:t>VII</w:t>
      </w:r>
      <w:r w:rsidRPr="001A2760">
        <w:rPr>
          <w:noProof/>
          <w:sz w:val="22"/>
          <w:szCs w:val="22"/>
          <w:lang w:eastAsia="en-US"/>
        </w:rPr>
        <w:t xml:space="preserve">, </w:t>
      </w:r>
      <w:r w:rsidRPr="001A2760">
        <w:rPr>
          <w:noProof/>
          <w:sz w:val="22"/>
          <w:szCs w:val="22"/>
          <w:lang w:val="en-GB" w:eastAsia="en-US"/>
        </w:rPr>
        <w:t>IX</w:t>
      </w:r>
      <w:r w:rsidRPr="001A2760">
        <w:rPr>
          <w:noProof/>
          <w:sz w:val="22"/>
          <w:szCs w:val="22"/>
          <w:lang w:eastAsia="en-US"/>
        </w:rPr>
        <w:t xml:space="preserve"> και </w:t>
      </w:r>
      <w:r w:rsidRPr="001A2760">
        <w:rPr>
          <w:noProof/>
          <w:sz w:val="22"/>
          <w:szCs w:val="22"/>
          <w:lang w:val="en-GB" w:eastAsia="en-US"/>
        </w:rPr>
        <w:t>X</w:t>
      </w:r>
      <w:r w:rsidRPr="001A2760">
        <w:rPr>
          <w:noProof/>
          <w:sz w:val="22"/>
          <w:szCs w:val="22"/>
          <w:lang w:eastAsia="en-US"/>
        </w:rPr>
        <w:t xml:space="preserve"> στο αίμα, όταν εξειδικευμένα κεκαθαρμένα προϊόντα παραγόντων πήξης δεν είναι διαθέσιμα.</w:t>
      </w:r>
    </w:p>
    <w:p w:rsidR="001A2760" w:rsidRPr="001A2760" w:rsidRDefault="001A2760" w:rsidP="001A2760">
      <w:pPr>
        <w:widowControl w:val="0"/>
        <w:jc w:val="both"/>
        <w:rPr>
          <w:noProof/>
          <w:sz w:val="22"/>
          <w:szCs w:val="22"/>
          <w:lang w:eastAsia="en-US"/>
        </w:rPr>
      </w:pPr>
    </w:p>
    <w:p w:rsidR="001A2760" w:rsidRPr="001A2760" w:rsidRDefault="001A2760" w:rsidP="001A2760">
      <w:pPr>
        <w:widowControl w:val="0"/>
        <w:ind w:left="284"/>
        <w:contextualSpacing/>
        <w:jc w:val="both"/>
        <w:rPr>
          <w:noProof/>
          <w:sz w:val="22"/>
          <w:szCs w:val="22"/>
          <w:lang w:eastAsia="en-US"/>
        </w:rPr>
      </w:pPr>
    </w:p>
    <w:p w:rsidR="001A2760" w:rsidRPr="001A2760" w:rsidRDefault="001A2760" w:rsidP="001A2760">
      <w:pPr>
        <w:widowControl w:val="0"/>
        <w:jc w:val="both"/>
        <w:rPr>
          <w:b/>
          <w:noProof/>
          <w:sz w:val="22"/>
          <w:szCs w:val="22"/>
          <w:lang w:eastAsia="en-US"/>
        </w:rPr>
      </w:pPr>
      <w:r w:rsidRPr="001A2760">
        <w:rPr>
          <w:b/>
          <w:noProof/>
          <w:sz w:val="22"/>
          <w:szCs w:val="22"/>
          <w:lang w:eastAsia="en-US"/>
        </w:rPr>
        <w:t xml:space="preserve">2. </w:t>
      </w:r>
      <w:r w:rsidRPr="001A2760">
        <w:rPr>
          <w:b/>
          <w:noProof/>
          <w:sz w:val="22"/>
          <w:szCs w:val="22"/>
          <w:lang w:eastAsia="en-US"/>
        </w:rPr>
        <w:tab/>
        <w:t xml:space="preserve">Τι πρέπει να γνωρίζετε πριν χρησιμοποιήσετε το </w:t>
      </w:r>
      <w:r w:rsidRPr="001A2760">
        <w:rPr>
          <w:b/>
          <w:noProof/>
          <w:sz w:val="22"/>
          <w:szCs w:val="22"/>
          <w:lang w:val="en-US" w:eastAsia="en-US"/>
        </w:rPr>
        <w:t>Beriplex</w:t>
      </w:r>
    </w:p>
    <w:p w:rsidR="001A2760" w:rsidRPr="001A2760" w:rsidRDefault="001A2760" w:rsidP="001A2760">
      <w:pPr>
        <w:widowControl w:val="0"/>
        <w:jc w:val="both"/>
        <w:rPr>
          <w:noProof/>
          <w:sz w:val="22"/>
          <w:szCs w:val="22"/>
          <w:lang w:eastAsia="en-US"/>
        </w:rPr>
      </w:pPr>
    </w:p>
    <w:p w:rsidR="001A2760" w:rsidRPr="001A2760" w:rsidRDefault="001A2760" w:rsidP="001A2760">
      <w:pPr>
        <w:widowControl w:val="0"/>
        <w:jc w:val="both"/>
        <w:rPr>
          <w:noProof/>
          <w:sz w:val="22"/>
          <w:szCs w:val="22"/>
          <w:lang w:eastAsia="en-US"/>
        </w:rPr>
      </w:pPr>
      <w:r w:rsidRPr="001A2760">
        <w:rPr>
          <w:noProof/>
          <w:sz w:val="22"/>
          <w:szCs w:val="22"/>
          <w:lang w:eastAsia="en-US"/>
        </w:rPr>
        <w:t xml:space="preserve">Οι ακόλουθες παράγραφοι περιέχουν πληροφορίες που ο γιατρός σας πρέπει να λάβει υπόψη του πριν σας χορηγήσει το </w:t>
      </w:r>
      <w:r w:rsidRPr="001A2760">
        <w:rPr>
          <w:noProof/>
          <w:sz w:val="22"/>
          <w:szCs w:val="22"/>
          <w:lang w:val="en-GB" w:eastAsia="en-US"/>
        </w:rPr>
        <w:t>Beriplex</w:t>
      </w:r>
      <w:r w:rsidRPr="001A2760">
        <w:rPr>
          <w:noProof/>
          <w:sz w:val="22"/>
          <w:szCs w:val="22"/>
          <w:lang w:eastAsia="en-US"/>
        </w:rPr>
        <w:t>.</w:t>
      </w:r>
    </w:p>
    <w:p w:rsidR="001A2760" w:rsidRPr="001A2760" w:rsidRDefault="001A2760" w:rsidP="001A2760">
      <w:pPr>
        <w:widowControl w:val="0"/>
        <w:jc w:val="both"/>
        <w:rPr>
          <w:b/>
          <w:noProof/>
          <w:sz w:val="22"/>
          <w:szCs w:val="22"/>
          <w:lang w:eastAsia="en-US"/>
        </w:rPr>
      </w:pPr>
    </w:p>
    <w:p w:rsidR="001A2760" w:rsidRPr="001A2760" w:rsidRDefault="001A2760" w:rsidP="001A2760">
      <w:pPr>
        <w:rPr>
          <w:b/>
          <w:noProof/>
          <w:sz w:val="22"/>
          <w:szCs w:val="22"/>
          <w:lang w:eastAsia="en-US"/>
        </w:rPr>
      </w:pPr>
      <w:r w:rsidRPr="001A2760">
        <w:rPr>
          <w:b/>
          <w:noProof/>
          <w:sz w:val="22"/>
          <w:szCs w:val="22"/>
          <w:lang w:eastAsia="en-US"/>
        </w:rPr>
        <w:br w:type="page"/>
      </w:r>
    </w:p>
    <w:p w:rsidR="001A2760" w:rsidRPr="001A2760" w:rsidRDefault="001A2760" w:rsidP="001A2760">
      <w:pPr>
        <w:widowControl w:val="0"/>
        <w:jc w:val="both"/>
        <w:rPr>
          <w:b/>
          <w:noProof/>
          <w:sz w:val="22"/>
          <w:szCs w:val="22"/>
          <w:lang w:eastAsia="en-US"/>
        </w:rPr>
      </w:pPr>
      <w:r w:rsidRPr="001A2760">
        <w:rPr>
          <w:b/>
          <w:noProof/>
          <w:sz w:val="22"/>
          <w:szCs w:val="22"/>
          <w:lang w:eastAsia="en-US"/>
        </w:rPr>
        <w:lastRenderedPageBreak/>
        <w:t xml:space="preserve">ΜΗΝ χρησιμοποιήσετε το </w:t>
      </w:r>
      <w:r w:rsidRPr="001A2760">
        <w:rPr>
          <w:b/>
          <w:noProof/>
          <w:sz w:val="22"/>
          <w:szCs w:val="22"/>
          <w:lang w:val="en-GB" w:eastAsia="en-US"/>
        </w:rPr>
        <w:t>Beriplex</w:t>
      </w:r>
    </w:p>
    <w:p w:rsidR="001A2760" w:rsidRPr="001A2760" w:rsidRDefault="001A2760" w:rsidP="001A2760">
      <w:pPr>
        <w:widowControl w:val="0"/>
        <w:numPr>
          <w:ilvl w:val="0"/>
          <w:numId w:val="9"/>
        </w:numPr>
        <w:tabs>
          <w:tab w:val="num" w:pos="426"/>
        </w:tabs>
        <w:ind w:left="426" w:hanging="426"/>
        <w:jc w:val="both"/>
        <w:rPr>
          <w:noProof/>
          <w:sz w:val="22"/>
          <w:szCs w:val="22"/>
          <w:lang w:eastAsia="en-US"/>
        </w:rPr>
      </w:pPr>
      <w:r w:rsidRPr="001A2760">
        <w:rPr>
          <w:noProof/>
          <w:sz w:val="22"/>
          <w:szCs w:val="22"/>
          <w:lang w:eastAsia="en-US"/>
        </w:rPr>
        <w:t>σε περίπτωση αλλεργίας σε οποιαδήποτε από τις δραστικές ουσίες ή σε οποιοδήποτε άλλο από τα συστατικά αυτού του φαρμάκου (αναφέρονται στην παράγραφο 6).</w:t>
      </w:r>
    </w:p>
    <w:p w:rsidR="001A2760" w:rsidRPr="001A2760" w:rsidRDefault="001A2760" w:rsidP="001A2760">
      <w:pPr>
        <w:widowControl w:val="0"/>
        <w:jc w:val="both"/>
        <w:rPr>
          <w:b/>
          <w:noProof/>
          <w:sz w:val="22"/>
          <w:szCs w:val="22"/>
          <w:lang w:eastAsia="en-US"/>
        </w:rPr>
      </w:pPr>
      <w:r w:rsidRPr="001A2760">
        <w:rPr>
          <w:b/>
          <w:noProof/>
          <w:sz w:val="22"/>
          <w:szCs w:val="22"/>
          <w:lang w:eastAsia="en-US"/>
        </w:rPr>
        <w:t>Παρακαλείσθε να ενημερώσετε τον γιατρό σας εάν είστε αλλεργικός/ή σε οποιοδήποτε φάρμακο ή τροφή.</w:t>
      </w:r>
    </w:p>
    <w:p w:rsidR="001A2760" w:rsidRPr="001A2760" w:rsidRDefault="001A2760" w:rsidP="001A2760">
      <w:pPr>
        <w:widowControl w:val="0"/>
        <w:numPr>
          <w:ilvl w:val="0"/>
          <w:numId w:val="9"/>
        </w:numPr>
        <w:tabs>
          <w:tab w:val="num" w:pos="426"/>
        </w:tabs>
        <w:ind w:left="426" w:hanging="426"/>
        <w:contextualSpacing/>
        <w:jc w:val="both"/>
        <w:rPr>
          <w:noProof/>
          <w:sz w:val="22"/>
          <w:szCs w:val="22"/>
          <w:lang w:eastAsia="en-US"/>
        </w:rPr>
      </w:pPr>
      <w:r w:rsidRPr="001A2760">
        <w:rPr>
          <w:noProof/>
          <w:sz w:val="22"/>
          <w:szCs w:val="22"/>
          <w:lang w:eastAsia="en-US"/>
        </w:rPr>
        <w:t>εάν υπάρχει μεγαλύτερη πιθανότητα από το σύνηθες να εμφανίσετε θρόμβους στο αίμα (ασθενείς με κίνδυνο διάχυτης ενδαγγειακής πήξης)</w:t>
      </w:r>
    </w:p>
    <w:p w:rsidR="001A2760" w:rsidRPr="001A2760" w:rsidRDefault="001A2760" w:rsidP="001A2760">
      <w:pPr>
        <w:widowControl w:val="0"/>
        <w:numPr>
          <w:ilvl w:val="0"/>
          <w:numId w:val="9"/>
        </w:numPr>
        <w:tabs>
          <w:tab w:val="num" w:pos="426"/>
        </w:tabs>
        <w:ind w:left="426" w:hanging="426"/>
        <w:contextualSpacing/>
        <w:jc w:val="both"/>
        <w:rPr>
          <w:noProof/>
          <w:sz w:val="22"/>
          <w:szCs w:val="22"/>
          <w:lang w:eastAsia="en-US"/>
        </w:rPr>
      </w:pPr>
      <w:r w:rsidRPr="001A2760">
        <w:rPr>
          <w:noProof/>
          <w:sz w:val="22"/>
          <w:szCs w:val="22"/>
          <w:lang w:eastAsia="en-US"/>
        </w:rPr>
        <w:t>εάν εμφανίσετε αλλεργική αντίδραση στην ηπαρίνη, που προκαλεί πτώση του αριθμού των αιμοπεταλίων (επαγόμενη από την ηπαρίνη θρομβοπενία τύπου ΙΙ, ΗΙΤ τύπου ΙΙ)</w:t>
      </w:r>
    </w:p>
    <w:p w:rsidR="001A2760" w:rsidRPr="001A2760" w:rsidRDefault="001A2760" w:rsidP="001A2760">
      <w:pPr>
        <w:widowControl w:val="0"/>
        <w:jc w:val="both"/>
        <w:rPr>
          <w:b/>
          <w:noProof/>
          <w:sz w:val="22"/>
          <w:szCs w:val="22"/>
          <w:lang w:eastAsia="en-US"/>
        </w:rPr>
      </w:pPr>
      <w:r w:rsidRPr="001A2760">
        <w:rPr>
          <w:b/>
          <w:noProof/>
          <w:sz w:val="22"/>
          <w:szCs w:val="22"/>
          <w:lang w:eastAsia="en-US"/>
        </w:rPr>
        <w:t>Παρακαλείσθε να ενημερώσετε τον γιατρό ή τον φαρμακοποιό σας εάν πάσχετε από κάποια τέτοια ασθένεια.</w:t>
      </w:r>
    </w:p>
    <w:p w:rsidR="001A2760" w:rsidRPr="001A2760" w:rsidRDefault="001A2760" w:rsidP="001A2760">
      <w:pPr>
        <w:widowControl w:val="0"/>
        <w:jc w:val="both"/>
        <w:rPr>
          <w:noProof/>
          <w:sz w:val="22"/>
          <w:szCs w:val="22"/>
          <w:lang w:eastAsia="en-US"/>
        </w:rPr>
      </w:pPr>
    </w:p>
    <w:p w:rsidR="001A2760" w:rsidRPr="001A2760" w:rsidRDefault="001A2760" w:rsidP="001A2760">
      <w:pPr>
        <w:widowControl w:val="0"/>
        <w:jc w:val="both"/>
        <w:rPr>
          <w:b/>
          <w:noProof/>
          <w:sz w:val="22"/>
          <w:szCs w:val="22"/>
          <w:lang w:eastAsia="en-US"/>
        </w:rPr>
      </w:pPr>
      <w:r w:rsidRPr="001A2760">
        <w:rPr>
          <w:b/>
          <w:noProof/>
          <w:sz w:val="22"/>
          <w:szCs w:val="22"/>
          <w:lang w:eastAsia="en-US"/>
        </w:rPr>
        <w:t>Προειδοποιήσεις και προφυλάξεις</w:t>
      </w:r>
    </w:p>
    <w:p w:rsidR="001A2760" w:rsidRPr="001A2760" w:rsidRDefault="001A2760" w:rsidP="001A2760">
      <w:pPr>
        <w:widowControl w:val="0"/>
        <w:jc w:val="both"/>
        <w:rPr>
          <w:noProof/>
          <w:sz w:val="22"/>
          <w:szCs w:val="22"/>
          <w:lang w:eastAsia="en-US"/>
        </w:rPr>
      </w:pPr>
      <w:r w:rsidRPr="001A2760">
        <w:rPr>
          <w:noProof/>
          <w:sz w:val="22"/>
          <w:szCs w:val="22"/>
          <w:lang w:eastAsia="en-US"/>
        </w:rPr>
        <w:t xml:space="preserve">Απευθυνθείτε στον γιατρό ή στον φαρμακοποιό σας πριν χρησιμοποιήσετε το </w:t>
      </w:r>
      <w:r w:rsidRPr="001A2760">
        <w:rPr>
          <w:noProof/>
          <w:sz w:val="22"/>
          <w:szCs w:val="22"/>
          <w:lang w:val="en-US" w:eastAsia="en-US"/>
        </w:rPr>
        <w:t>Beriplex</w:t>
      </w:r>
      <w:r w:rsidRPr="001A2760">
        <w:rPr>
          <w:noProof/>
          <w:sz w:val="22"/>
          <w:szCs w:val="22"/>
          <w:lang w:eastAsia="en-US"/>
        </w:rPr>
        <w:t>.</w:t>
      </w:r>
    </w:p>
    <w:p w:rsidR="001A2760" w:rsidRPr="001A2760" w:rsidRDefault="001A2760" w:rsidP="001A2760">
      <w:pPr>
        <w:widowControl w:val="0"/>
        <w:numPr>
          <w:ilvl w:val="0"/>
          <w:numId w:val="9"/>
        </w:numPr>
        <w:tabs>
          <w:tab w:val="num" w:pos="426"/>
        </w:tabs>
        <w:ind w:left="426" w:hanging="426"/>
        <w:jc w:val="both"/>
        <w:rPr>
          <w:noProof/>
          <w:sz w:val="22"/>
          <w:szCs w:val="22"/>
          <w:lang w:eastAsia="en-US"/>
        </w:rPr>
      </w:pPr>
      <w:r w:rsidRPr="001A2760">
        <w:rPr>
          <w:noProof/>
          <w:sz w:val="22"/>
          <w:szCs w:val="22"/>
          <w:lang w:eastAsia="en-US"/>
        </w:rPr>
        <w:t xml:space="preserve">Επίκτητη ανεπάρκεια σε εξαρτώμενους από τη βιταμίνη Κ παράγοντες πήξης: </w:t>
      </w:r>
    </w:p>
    <w:p w:rsidR="001A2760" w:rsidRPr="001A2760" w:rsidRDefault="001A2760" w:rsidP="001A2760">
      <w:pPr>
        <w:widowControl w:val="0"/>
        <w:ind w:left="426"/>
        <w:jc w:val="both"/>
        <w:rPr>
          <w:noProof/>
          <w:sz w:val="22"/>
          <w:szCs w:val="22"/>
          <w:lang w:eastAsia="en-US"/>
        </w:rPr>
      </w:pPr>
      <w:r w:rsidRPr="001A2760">
        <w:rPr>
          <w:noProof/>
          <w:sz w:val="22"/>
          <w:szCs w:val="22"/>
          <w:lang w:eastAsia="en-US"/>
        </w:rPr>
        <w:t>Αυτό μπορεί να προκληθεί μετά από θεραπεία με φάρμακα που αναστέλλουν τη δράση της βιταμίνης Κ. Το Beriplex επιτρέπεται να χρησιμοποιείται μόνο όταν είναι απαραίτητη η γρήγορη αποκατάσταση των επιπέδων του συμπλέγματος προθρομβίνης, π.χ. σε περίπτωση σοβαρών αιμορραγιών ή επείγουσας χειρουργικής επέμβασης.</w:t>
      </w:r>
    </w:p>
    <w:p w:rsidR="001A2760" w:rsidRPr="001A2760" w:rsidRDefault="001A2760" w:rsidP="001A2760">
      <w:pPr>
        <w:widowControl w:val="0"/>
        <w:numPr>
          <w:ilvl w:val="0"/>
          <w:numId w:val="9"/>
        </w:numPr>
        <w:tabs>
          <w:tab w:val="num" w:pos="426"/>
        </w:tabs>
        <w:ind w:left="426" w:hanging="426"/>
        <w:jc w:val="both"/>
        <w:rPr>
          <w:noProof/>
          <w:sz w:val="22"/>
          <w:szCs w:val="22"/>
          <w:lang w:eastAsia="en-US"/>
        </w:rPr>
      </w:pPr>
      <w:r w:rsidRPr="001A2760">
        <w:rPr>
          <w:noProof/>
          <w:sz w:val="22"/>
          <w:szCs w:val="22"/>
          <w:lang w:eastAsia="en-US"/>
        </w:rPr>
        <w:t xml:space="preserve">Κληρονομική ανεπάρκεια οποιουδήποτε από τους εξαρτώμενους από τη βιταμίνη Κ παράγοντες πήξης: </w:t>
      </w:r>
    </w:p>
    <w:p w:rsidR="001A2760" w:rsidRPr="001A2760" w:rsidRDefault="001A2760" w:rsidP="001A2760">
      <w:pPr>
        <w:widowControl w:val="0"/>
        <w:ind w:left="426"/>
        <w:jc w:val="both"/>
        <w:rPr>
          <w:noProof/>
          <w:sz w:val="22"/>
          <w:szCs w:val="22"/>
          <w:lang w:eastAsia="en-US"/>
        </w:rPr>
      </w:pPr>
      <w:r w:rsidRPr="001A2760">
        <w:rPr>
          <w:noProof/>
          <w:sz w:val="22"/>
          <w:szCs w:val="22"/>
          <w:lang w:eastAsia="en-US"/>
        </w:rPr>
        <w:t>Σε αυτή την περίπτωση θα πρέπει να χρησιμοποιήσετε εξειδικευμένα προϊόντα αυτού του παράγοντα πήξης, όταν είναι διαθέσιμα.</w:t>
      </w:r>
    </w:p>
    <w:p w:rsidR="001A2760" w:rsidRPr="001A2760" w:rsidRDefault="001A2760" w:rsidP="001A2760">
      <w:pPr>
        <w:widowControl w:val="0"/>
        <w:numPr>
          <w:ilvl w:val="0"/>
          <w:numId w:val="9"/>
        </w:numPr>
        <w:tabs>
          <w:tab w:val="num" w:pos="426"/>
        </w:tabs>
        <w:ind w:left="426" w:hanging="426"/>
        <w:jc w:val="both"/>
        <w:rPr>
          <w:noProof/>
          <w:sz w:val="22"/>
          <w:szCs w:val="22"/>
          <w:lang w:eastAsia="en-US"/>
        </w:rPr>
      </w:pPr>
      <w:r w:rsidRPr="001A2760">
        <w:rPr>
          <w:noProof/>
          <w:sz w:val="22"/>
          <w:szCs w:val="22"/>
          <w:lang w:eastAsia="en-US"/>
        </w:rPr>
        <w:t xml:space="preserve">Αλλεργικές ή αναφυλακτικού τύπου αντιδράσεις (μια σοβαρή αλλεργική αντίδραση που προκαλεί σοβαρή δυσκολία στην αναπνοή ή ζάλη): </w:t>
      </w:r>
    </w:p>
    <w:p w:rsidR="001A2760" w:rsidRPr="001A2760" w:rsidRDefault="001A2760" w:rsidP="001A2760">
      <w:pPr>
        <w:widowControl w:val="0"/>
        <w:ind w:left="426"/>
        <w:jc w:val="both"/>
        <w:rPr>
          <w:b/>
          <w:noProof/>
          <w:sz w:val="22"/>
          <w:szCs w:val="22"/>
          <w:lang w:eastAsia="en-US"/>
        </w:rPr>
      </w:pPr>
      <w:r w:rsidRPr="001A2760">
        <w:rPr>
          <w:b/>
          <w:noProof/>
          <w:sz w:val="22"/>
          <w:szCs w:val="22"/>
          <w:lang w:eastAsia="en-US"/>
        </w:rPr>
        <w:t xml:space="preserve">Η χορήγηση του </w:t>
      </w:r>
      <w:r w:rsidRPr="001A2760">
        <w:rPr>
          <w:b/>
          <w:noProof/>
          <w:sz w:val="22"/>
          <w:szCs w:val="22"/>
          <w:lang w:val="en-GB" w:eastAsia="en-US"/>
        </w:rPr>
        <w:t>Beriplex</w:t>
      </w:r>
      <w:r w:rsidRPr="001A2760">
        <w:rPr>
          <w:b/>
          <w:noProof/>
          <w:sz w:val="22"/>
          <w:szCs w:val="22"/>
          <w:lang w:eastAsia="en-US"/>
        </w:rPr>
        <w:t xml:space="preserve"> πρέπει να διακοπεί αμέσως (π.χ. διακοπή της ένεσης).</w:t>
      </w:r>
    </w:p>
    <w:p w:rsidR="001A2760" w:rsidRPr="001A2760" w:rsidRDefault="001A2760" w:rsidP="001A2760">
      <w:pPr>
        <w:widowControl w:val="0"/>
        <w:numPr>
          <w:ilvl w:val="0"/>
          <w:numId w:val="9"/>
        </w:numPr>
        <w:tabs>
          <w:tab w:val="num" w:pos="426"/>
        </w:tabs>
        <w:ind w:left="426" w:hanging="426"/>
        <w:jc w:val="both"/>
        <w:rPr>
          <w:noProof/>
          <w:sz w:val="22"/>
          <w:szCs w:val="22"/>
          <w:lang w:eastAsia="en-US"/>
        </w:rPr>
      </w:pPr>
      <w:r w:rsidRPr="001A2760">
        <w:rPr>
          <w:noProof/>
          <w:sz w:val="22"/>
          <w:szCs w:val="22"/>
          <w:lang w:eastAsia="en-US"/>
        </w:rPr>
        <w:t>Αυξημένος κίνδυνος δημιουργίας θρόμβων στα αιμοφόρα αγγεία (θρόμβωση), ειδικότερα:</w:t>
      </w:r>
    </w:p>
    <w:p w:rsidR="001A2760" w:rsidRPr="001A2760" w:rsidRDefault="001A2760" w:rsidP="001A2760">
      <w:pPr>
        <w:widowControl w:val="0"/>
        <w:numPr>
          <w:ilvl w:val="1"/>
          <w:numId w:val="9"/>
        </w:numPr>
        <w:tabs>
          <w:tab w:val="num" w:pos="709"/>
        </w:tabs>
        <w:ind w:left="709" w:hanging="283"/>
        <w:jc w:val="both"/>
        <w:rPr>
          <w:noProof/>
          <w:sz w:val="22"/>
          <w:szCs w:val="22"/>
          <w:lang w:eastAsia="en-US"/>
        </w:rPr>
      </w:pPr>
      <w:r w:rsidRPr="001A2760">
        <w:rPr>
          <w:noProof/>
          <w:sz w:val="22"/>
          <w:szCs w:val="22"/>
          <w:lang w:eastAsia="en-US"/>
        </w:rPr>
        <w:t>εάν είχατε ποτέ υποστεί καρδιακή προσβολή (ιστορικό στεφανιαίας νόσου ή εμφράγματος μυοκαρδίου).</w:t>
      </w:r>
    </w:p>
    <w:p w:rsidR="001A2760" w:rsidRPr="001A2760" w:rsidRDefault="001A2760" w:rsidP="001A2760">
      <w:pPr>
        <w:widowControl w:val="0"/>
        <w:numPr>
          <w:ilvl w:val="1"/>
          <w:numId w:val="9"/>
        </w:numPr>
        <w:tabs>
          <w:tab w:val="num" w:pos="709"/>
        </w:tabs>
        <w:ind w:left="709" w:hanging="283"/>
        <w:jc w:val="both"/>
        <w:rPr>
          <w:noProof/>
          <w:sz w:val="22"/>
          <w:szCs w:val="22"/>
          <w:lang w:eastAsia="en-US"/>
        </w:rPr>
      </w:pPr>
      <w:r w:rsidRPr="001A2760">
        <w:rPr>
          <w:noProof/>
          <w:sz w:val="22"/>
          <w:szCs w:val="22"/>
          <w:lang w:eastAsia="en-US"/>
        </w:rPr>
        <w:t>εάν πάσχετε από κάποια ασθένεια του ήπατος.</w:t>
      </w:r>
    </w:p>
    <w:p w:rsidR="001A2760" w:rsidRPr="001A2760" w:rsidRDefault="001A2760" w:rsidP="001A2760">
      <w:pPr>
        <w:widowControl w:val="0"/>
        <w:numPr>
          <w:ilvl w:val="1"/>
          <w:numId w:val="9"/>
        </w:numPr>
        <w:tabs>
          <w:tab w:val="num" w:pos="709"/>
        </w:tabs>
        <w:ind w:left="709" w:hanging="283"/>
        <w:jc w:val="both"/>
        <w:rPr>
          <w:noProof/>
          <w:sz w:val="22"/>
          <w:szCs w:val="22"/>
          <w:lang w:eastAsia="en-US"/>
        </w:rPr>
      </w:pPr>
      <w:r w:rsidRPr="001A2760">
        <w:rPr>
          <w:noProof/>
          <w:sz w:val="22"/>
          <w:szCs w:val="22"/>
          <w:lang w:eastAsia="en-US"/>
        </w:rPr>
        <w:t>εάν έχετε πρόσφατα υποβληθεί σε χειρουργική επέμβαση (περιεγχειρητικοί ή μετεγχειρητικοί ασθενείς).</w:t>
      </w:r>
    </w:p>
    <w:p w:rsidR="001A2760" w:rsidRPr="001A2760" w:rsidRDefault="001A2760" w:rsidP="001A2760">
      <w:pPr>
        <w:widowControl w:val="0"/>
        <w:numPr>
          <w:ilvl w:val="1"/>
          <w:numId w:val="9"/>
        </w:numPr>
        <w:tabs>
          <w:tab w:val="num" w:pos="709"/>
        </w:tabs>
        <w:ind w:left="709" w:hanging="283"/>
        <w:jc w:val="both"/>
        <w:rPr>
          <w:noProof/>
          <w:sz w:val="22"/>
          <w:szCs w:val="22"/>
          <w:lang w:eastAsia="en-US"/>
        </w:rPr>
      </w:pPr>
      <w:r w:rsidRPr="001A2760">
        <w:rPr>
          <w:noProof/>
          <w:sz w:val="22"/>
          <w:szCs w:val="22"/>
          <w:lang w:eastAsia="en-US"/>
        </w:rPr>
        <w:t>εάν πρόκειται για νεογέννητα βρέφη (νεογνά).</w:t>
      </w:r>
    </w:p>
    <w:p w:rsidR="001A2760" w:rsidRPr="001A2760" w:rsidRDefault="001A2760" w:rsidP="001A2760">
      <w:pPr>
        <w:widowControl w:val="0"/>
        <w:numPr>
          <w:ilvl w:val="1"/>
          <w:numId w:val="9"/>
        </w:numPr>
        <w:tabs>
          <w:tab w:val="num" w:pos="709"/>
        </w:tabs>
        <w:ind w:left="709" w:hanging="283"/>
        <w:jc w:val="both"/>
        <w:rPr>
          <w:noProof/>
          <w:sz w:val="22"/>
          <w:szCs w:val="22"/>
          <w:lang w:eastAsia="en-US"/>
        </w:rPr>
      </w:pPr>
      <w:r w:rsidRPr="001A2760">
        <w:rPr>
          <w:noProof/>
          <w:sz w:val="22"/>
          <w:szCs w:val="22"/>
          <w:lang w:eastAsia="en-US"/>
        </w:rPr>
        <w:t>εάν έχετε μεγαλύτερη τάση από την κανονική για δημιουργία θρόμβων (ασθενείς που διατρέχουν κίνδυνο εμφάνισης θρομβοεμβολικών επεισοδίων ή διάχυτης ενδοαγγειακής πήξης ή με ταυτόχρονη ανεπάρκεια αναστολέων).</w:t>
      </w:r>
    </w:p>
    <w:p w:rsidR="001A2760" w:rsidRPr="001A2760" w:rsidRDefault="001A2760" w:rsidP="001A2760">
      <w:pPr>
        <w:widowControl w:val="0"/>
        <w:numPr>
          <w:ilvl w:val="0"/>
          <w:numId w:val="9"/>
        </w:numPr>
        <w:tabs>
          <w:tab w:val="num" w:pos="426"/>
        </w:tabs>
        <w:ind w:left="426" w:hanging="426"/>
        <w:jc w:val="both"/>
        <w:rPr>
          <w:noProof/>
          <w:sz w:val="22"/>
          <w:szCs w:val="22"/>
          <w:lang w:eastAsia="en-US"/>
        </w:rPr>
      </w:pPr>
      <w:r w:rsidRPr="001A2760">
        <w:rPr>
          <w:noProof/>
          <w:sz w:val="22"/>
          <w:szCs w:val="22"/>
          <w:lang w:eastAsia="en-US"/>
        </w:rPr>
        <w:t>Αυξημένος κίνδυνος δημιουργίας θρόμβων λόγω αυξημένης κατανάλωσης αιμοπεταλίων ή παραγόντων πήξης. Η θεραπεία με το Beriplex μπορεί να αρχίσει μόνο μετά από την αντιμετώπιση του υποκείμενου αιτίου.</w:t>
      </w:r>
    </w:p>
    <w:p w:rsidR="001A2760" w:rsidRPr="001A2760" w:rsidDel="00612F7D" w:rsidRDefault="001A2760" w:rsidP="001A2760">
      <w:pPr>
        <w:widowControl w:val="0"/>
        <w:numPr>
          <w:ilvl w:val="0"/>
          <w:numId w:val="9"/>
        </w:numPr>
        <w:tabs>
          <w:tab w:val="num" w:pos="426"/>
        </w:tabs>
        <w:ind w:left="426" w:hanging="426"/>
        <w:jc w:val="both"/>
        <w:rPr>
          <w:noProof/>
          <w:sz w:val="22"/>
          <w:szCs w:val="22"/>
          <w:lang w:eastAsia="en-US"/>
        </w:rPr>
      </w:pPr>
      <w:r w:rsidRPr="001A2760" w:rsidDel="00612F7D">
        <w:rPr>
          <w:noProof/>
          <w:sz w:val="22"/>
          <w:szCs w:val="22"/>
          <w:u w:val="single"/>
          <w:lang w:eastAsia="en-US"/>
        </w:rPr>
        <w:t xml:space="preserve">Μειωμένη ανάπτυξη αιμοπεταλίων </w:t>
      </w:r>
      <w:r w:rsidRPr="001A2760" w:rsidDel="00612F7D">
        <w:rPr>
          <w:noProof/>
          <w:sz w:val="22"/>
          <w:szCs w:val="22"/>
          <w:lang w:eastAsia="en-US"/>
        </w:rPr>
        <w:t xml:space="preserve">που οφείλεται στην ηπαρίνη (επαγόμενη από την ηπαρίνη θρομβοπενία, ΗΙΤ τύπου ΙΙ). Η ηπαρίνη, μια πρωτεΐνη που μπορεί να διαλύει τους θρόμβους, είναι ένα από τα συστατικά του Beriplex. Η σοβαρή πτώση </w:t>
      </w:r>
      <w:r w:rsidRPr="001A2760">
        <w:rPr>
          <w:noProof/>
          <w:sz w:val="22"/>
          <w:szCs w:val="22"/>
          <w:lang w:eastAsia="en-US"/>
        </w:rPr>
        <w:t xml:space="preserve">του αριθμού </w:t>
      </w:r>
      <w:r w:rsidRPr="001A2760" w:rsidDel="00612F7D">
        <w:rPr>
          <w:noProof/>
          <w:sz w:val="22"/>
          <w:szCs w:val="22"/>
          <w:lang w:eastAsia="en-US"/>
        </w:rPr>
        <w:t>των αιμοπεταλίων μπορεί να σχετίζεται με:</w:t>
      </w:r>
    </w:p>
    <w:p w:rsidR="001A2760" w:rsidRPr="001A2760" w:rsidDel="00612F7D" w:rsidRDefault="001A2760" w:rsidP="001A2760">
      <w:pPr>
        <w:widowControl w:val="0"/>
        <w:numPr>
          <w:ilvl w:val="0"/>
          <w:numId w:val="10"/>
        </w:numPr>
        <w:tabs>
          <w:tab w:val="num" w:pos="993"/>
        </w:tabs>
        <w:ind w:left="993" w:hanging="284"/>
        <w:jc w:val="both"/>
        <w:rPr>
          <w:noProof/>
          <w:sz w:val="22"/>
          <w:szCs w:val="22"/>
          <w:lang w:eastAsia="en-US"/>
        </w:rPr>
      </w:pPr>
      <w:r w:rsidRPr="001A2760" w:rsidDel="00612F7D">
        <w:rPr>
          <w:noProof/>
          <w:sz w:val="22"/>
          <w:szCs w:val="22"/>
          <w:lang w:eastAsia="en-US"/>
        </w:rPr>
        <w:t>δημιουργία θρόμβων στις φλέβες ή τα πόδια</w:t>
      </w:r>
    </w:p>
    <w:p w:rsidR="001A2760" w:rsidRPr="001A2760" w:rsidDel="00612F7D" w:rsidRDefault="001A2760" w:rsidP="001A2760">
      <w:pPr>
        <w:widowControl w:val="0"/>
        <w:numPr>
          <w:ilvl w:val="0"/>
          <w:numId w:val="10"/>
        </w:numPr>
        <w:tabs>
          <w:tab w:val="num" w:pos="993"/>
        </w:tabs>
        <w:ind w:left="993" w:hanging="284"/>
        <w:jc w:val="both"/>
        <w:rPr>
          <w:noProof/>
          <w:sz w:val="22"/>
          <w:szCs w:val="22"/>
          <w:lang w:eastAsia="en-US"/>
        </w:rPr>
      </w:pPr>
      <w:r w:rsidRPr="001A2760" w:rsidDel="00612F7D">
        <w:rPr>
          <w:noProof/>
          <w:sz w:val="22"/>
          <w:szCs w:val="22"/>
          <w:lang w:eastAsia="en-US"/>
        </w:rPr>
        <w:t>αύξηση της δημιουργίας θρόμβων</w:t>
      </w:r>
    </w:p>
    <w:p w:rsidR="001A2760" w:rsidRPr="001A2760" w:rsidDel="00612F7D" w:rsidRDefault="001A2760" w:rsidP="001A2760">
      <w:pPr>
        <w:widowControl w:val="0"/>
        <w:numPr>
          <w:ilvl w:val="0"/>
          <w:numId w:val="10"/>
        </w:numPr>
        <w:tabs>
          <w:tab w:val="num" w:pos="993"/>
        </w:tabs>
        <w:ind w:left="993" w:hanging="284"/>
        <w:jc w:val="both"/>
        <w:rPr>
          <w:noProof/>
          <w:sz w:val="22"/>
          <w:szCs w:val="22"/>
          <w:lang w:eastAsia="en-US"/>
        </w:rPr>
      </w:pPr>
      <w:r w:rsidRPr="001A2760">
        <w:rPr>
          <w:noProof/>
          <w:sz w:val="22"/>
          <w:szCs w:val="22"/>
          <w:lang w:eastAsia="en-US"/>
        </w:rPr>
        <w:t xml:space="preserve">δερματικό </w:t>
      </w:r>
      <w:r w:rsidRPr="001A2760" w:rsidDel="00612F7D">
        <w:rPr>
          <w:noProof/>
          <w:sz w:val="22"/>
          <w:szCs w:val="22"/>
          <w:lang w:eastAsia="en-US"/>
        </w:rPr>
        <w:t>εξάνθημα στο σημείο της ένεσης σε μερικές περιπτώσεις</w:t>
      </w:r>
    </w:p>
    <w:p w:rsidR="001A2760" w:rsidRPr="001A2760" w:rsidDel="00612F7D" w:rsidRDefault="001A2760" w:rsidP="001A2760">
      <w:pPr>
        <w:widowControl w:val="0"/>
        <w:numPr>
          <w:ilvl w:val="0"/>
          <w:numId w:val="10"/>
        </w:numPr>
        <w:tabs>
          <w:tab w:val="num" w:pos="993"/>
        </w:tabs>
        <w:ind w:left="993" w:hanging="284"/>
        <w:jc w:val="both"/>
        <w:rPr>
          <w:noProof/>
          <w:sz w:val="22"/>
          <w:szCs w:val="22"/>
          <w:lang w:eastAsia="en-US"/>
        </w:rPr>
      </w:pPr>
      <w:r w:rsidRPr="001A2760" w:rsidDel="00612F7D">
        <w:rPr>
          <w:noProof/>
          <w:sz w:val="22"/>
          <w:szCs w:val="22"/>
          <w:lang w:eastAsia="en-US"/>
        </w:rPr>
        <w:t>μικροσκοπική αιμορραγία (στο μέγεθος κεφαλ</w:t>
      </w:r>
      <w:r w:rsidRPr="001A2760">
        <w:rPr>
          <w:noProof/>
          <w:sz w:val="22"/>
          <w:szCs w:val="22"/>
          <w:lang w:eastAsia="en-US"/>
        </w:rPr>
        <w:t>ής</w:t>
      </w:r>
      <w:r w:rsidRPr="001A2760" w:rsidDel="00612F7D">
        <w:rPr>
          <w:noProof/>
          <w:sz w:val="22"/>
          <w:szCs w:val="22"/>
          <w:lang w:eastAsia="en-US"/>
        </w:rPr>
        <w:t xml:space="preserve"> καρφίτσας)</w:t>
      </w:r>
    </w:p>
    <w:p w:rsidR="001A2760" w:rsidRPr="001A2760" w:rsidDel="00612F7D" w:rsidRDefault="001A2760" w:rsidP="001A2760">
      <w:pPr>
        <w:widowControl w:val="0"/>
        <w:numPr>
          <w:ilvl w:val="0"/>
          <w:numId w:val="10"/>
        </w:numPr>
        <w:tabs>
          <w:tab w:val="num" w:pos="993"/>
        </w:tabs>
        <w:ind w:left="993" w:hanging="284"/>
        <w:jc w:val="both"/>
        <w:rPr>
          <w:noProof/>
          <w:sz w:val="22"/>
          <w:szCs w:val="22"/>
          <w:lang w:eastAsia="en-US"/>
        </w:rPr>
      </w:pPr>
      <w:r w:rsidRPr="001A2760" w:rsidDel="00612F7D">
        <w:rPr>
          <w:noProof/>
          <w:sz w:val="22"/>
          <w:szCs w:val="22"/>
          <w:lang w:eastAsia="en-US"/>
        </w:rPr>
        <w:t xml:space="preserve">πισσώδη κόπρανα </w:t>
      </w:r>
    </w:p>
    <w:p w:rsidR="001A2760" w:rsidRPr="001A2760" w:rsidRDefault="001A2760" w:rsidP="001A2760">
      <w:pPr>
        <w:widowControl w:val="0"/>
        <w:ind w:left="426"/>
        <w:jc w:val="both"/>
        <w:rPr>
          <w:noProof/>
          <w:sz w:val="22"/>
          <w:szCs w:val="22"/>
          <w:lang w:eastAsia="en-US"/>
        </w:rPr>
      </w:pPr>
      <w:r w:rsidRPr="001A2760" w:rsidDel="00612F7D">
        <w:rPr>
          <w:noProof/>
          <w:sz w:val="22"/>
          <w:szCs w:val="22"/>
          <w:lang w:eastAsia="en-US"/>
        </w:rPr>
        <w:t>Σε αυτές τις περιπτώσεις η επίδραση της ηπαρίνης μπορεί να μειωθεί (ανοχή στην ηπαρίνη). Εάν εμφανιστούν αυτά τα συμπτώματα, θα πρέπει να σταματήσετε αμέσως να χρησιμοποιείτε αυτό το φάρμακο και να ενημερώσετε το</w:t>
      </w:r>
      <w:r w:rsidRPr="001A2760">
        <w:rPr>
          <w:noProof/>
          <w:sz w:val="22"/>
          <w:szCs w:val="22"/>
          <w:lang w:eastAsia="en-US"/>
        </w:rPr>
        <w:t>ν</w:t>
      </w:r>
      <w:r w:rsidRPr="001A2760" w:rsidDel="00612F7D">
        <w:rPr>
          <w:noProof/>
          <w:sz w:val="22"/>
          <w:szCs w:val="22"/>
          <w:lang w:eastAsia="en-US"/>
        </w:rPr>
        <w:t xml:space="preserve"> γιατρό σας. Στο μέλλον δεν θα πρέπει να χρησιμοποιείτε προϊόντα που περιέχουν ηπαρίνη.</w:t>
      </w:r>
    </w:p>
    <w:p w:rsidR="001A2760" w:rsidRPr="001A2760" w:rsidRDefault="001A2760" w:rsidP="001A2760">
      <w:pPr>
        <w:widowControl w:val="0"/>
        <w:numPr>
          <w:ilvl w:val="0"/>
          <w:numId w:val="9"/>
        </w:numPr>
        <w:tabs>
          <w:tab w:val="num" w:pos="426"/>
        </w:tabs>
        <w:ind w:left="426" w:hanging="426"/>
        <w:jc w:val="both"/>
        <w:rPr>
          <w:noProof/>
          <w:sz w:val="22"/>
          <w:szCs w:val="22"/>
          <w:lang w:eastAsia="en-US"/>
        </w:rPr>
      </w:pPr>
      <w:r w:rsidRPr="001A2760">
        <w:rPr>
          <w:noProof/>
          <w:sz w:val="22"/>
          <w:szCs w:val="22"/>
          <w:u w:val="single"/>
          <w:lang w:eastAsia="en-US"/>
        </w:rPr>
        <w:t>Μια ιδιαίτερη μορφή φλεγμονής των νεφρών</w:t>
      </w:r>
      <w:r w:rsidRPr="001A2760">
        <w:rPr>
          <w:noProof/>
          <w:sz w:val="22"/>
          <w:szCs w:val="22"/>
          <w:lang w:eastAsia="en-US"/>
        </w:rPr>
        <w:t xml:space="preserve"> αναφέρθηκε μετά τη θεραπεία ασθενών με αιμοροφιλία Β που είχαν αναπτύξει αναστολείς έναντι του παράγοντα πήξης ΙΧ. Ήταν επίσης γνωστό ότι οι ασθενείς αυτοί είχαν ιστορικό αλλεργικής αντίδρασης.</w:t>
      </w:r>
    </w:p>
    <w:p w:rsidR="001A2760" w:rsidRPr="001A2760" w:rsidRDefault="001A2760" w:rsidP="001A2760">
      <w:pPr>
        <w:widowControl w:val="0"/>
        <w:jc w:val="both"/>
        <w:rPr>
          <w:noProof/>
          <w:sz w:val="22"/>
          <w:szCs w:val="22"/>
          <w:lang w:eastAsia="en-US"/>
        </w:rPr>
      </w:pPr>
    </w:p>
    <w:p w:rsidR="001A2760" w:rsidRPr="001A2760" w:rsidRDefault="001A2760" w:rsidP="001A2760">
      <w:pPr>
        <w:widowControl w:val="0"/>
        <w:jc w:val="both"/>
        <w:rPr>
          <w:noProof/>
          <w:sz w:val="22"/>
          <w:szCs w:val="22"/>
          <w:lang w:eastAsia="en-US"/>
        </w:rPr>
      </w:pPr>
      <w:r w:rsidRPr="001A2760">
        <w:rPr>
          <w:noProof/>
          <w:sz w:val="22"/>
          <w:szCs w:val="22"/>
          <w:lang w:eastAsia="en-US"/>
        </w:rPr>
        <w:lastRenderedPageBreak/>
        <w:t>Ο γιατρός σας θα αξιολογήσει με προσοχή το όφελος της θεραπείας με το Beriplex έναντι του κινδύνου λόγω των παραπάνω επιπλοκών.</w:t>
      </w:r>
    </w:p>
    <w:p w:rsidR="001A2760" w:rsidRPr="001A2760" w:rsidRDefault="001A2760" w:rsidP="001A2760">
      <w:pPr>
        <w:widowControl w:val="0"/>
        <w:jc w:val="both"/>
        <w:rPr>
          <w:noProof/>
          <w:sz w:val="22"/>
          <w:szCs w:val="22"/>
          <w:lang w:eastAsia="en-US"/>
        </w:rPr>
      </w:pPr>
    </w:p>
    <w:p w:rsidR="001A2760" w:rsidRPr="001A2760" w:rsidRDefault="001A2760" w:rsidP="001A2760">
      <w:pPr>
        <w:widowControl w:val="0"/>
        <w:jc w:val="both"/>
        <w:rPr>
          <w:b/>
          <w:i/>
          <w:noProof/>
          <w:sz w:val="22"/>
          <w:szCs w:val="22"/>
          <w:lang w:eastAsia="en-US"/>
        </w:rPr>
      </w:pPr>
      <w:r w:rsidRPr="001A2760">
        <w:rPr>
          <w:b/>
          <w:i/>
          <w:noProof/>
          <w:sz w:val="22"/>
          <w:szCs w:val="22"/>
          <w:lang w:eastAsia="en-US"/>
        </w:rPr>
        <w:t>Ιολογική ασφάλεια</w:t>
      </w:r>
    </w:p>
    <w:p w:rsidR="001A2760" w:rsidRPr="001A2760" w:rsidRDefault="001A2760" w:rsidP="001A2760">
      <w:pPr>
        <w:widowControl w:val="0"/>
        <w:jc w:val="both"/>
        <w:rPr>
          <w:noProof/>
          <w:sz w:val="22"/>
          <w:szCs w:val="22"/>
          <w:lang w:eastAsia="en-US"/>
        </w:rPr>
      </w:pPr>
      <w:r w:rsidRPr="001A2760">
        <w:rPr>
          <w:noProof/>
          <w:sz w:val="22"/>
          <w:szCs w:val="22"/>
          <w:lang w:eastAsia="en-US"/>
        </w:rPr>
        <w:t>Όταν παρασκευάζονται φάρμακα από ανθρώπινο αίμα ή πλάσμα, λαμβάνονται καθορισμένα μέτρα για την αποφυγή της μετάδοσης λοιμώξεων στους ασθενείς.</w:t>
      </w:r>
    </w:p>
    <w:p w:rsidR="001A2760" w:rsidRPr="001A2760" w:rsidRDefault="001A2760" w:rsidP="001A2760">
      <w:pPr>
        <w:widowControl w:val="0"/>
        <w:jc w:val="both"/>
        <w:rPr>
          <w:noProof/>
          <w:sz w:val="22"/>
          <w:szCs w:val="22"/>
          <w:lang w:eastAsia="en-US"/>
        </w:rPr>
      </w:pPr>
      <w:r w:rsidRPr="001A2760">
        <w:rPr>
          <w:noProof/>
          <w:sz w:val="22"/>
          <w:szCs w:val="22"/>
          <w:lang w:eastAsia="en-US"/>
        </w:rPr>
        <w:t>Τα μέτρα αυτά περιλαμβάνουν:</w:t>
      </w:r>
    </w:p>
    <w:p w:rsidR="001A2760" w:rsidRPr="001A2760" w:rsidRDefault="001A2760" w:rsidP="001A2760">
      <w:pPr>
        <w:widowControl w:val="0"/>
        <w:numPr>
          <w:ilvl w:val="0"/>
          <w:numId w:val="9"/>
        </w:numPr>
        <w:tabs>
          <w:tab w:val="num" w:pos="426"/>
        </w:tabs>
        <w:ind w:left="426" w:hanging="426"/>
        <w:jc w:val="both"/>
        <w:rPr>
          <w:noProof/>
          <w:sz w:val="22"/>
          <w:szCs w:val="22"/>
          <w:lang w:eastAsia="en-US"/>
        </w:rPr>
      </w:pPr>
      <w:r w:rsidRPr="001A2760">
        <w:rPr>
          <w:noProof/>
          <w:sz w:val="22"/>
          <w:szCs w:val="22"/>
          <w:lang w:eastAsia="en-US"/>
        </w:rPr>
        <w:t xml:space="preserve">προσεκτική επιλογή των δοτών αίματος και πλάσματος ώστε να διασφαλίζεται ότι εξαιρούνται όσοι ενέχουν τον κίνδυνο να μεταδώσουν λοιμώξεις, </w:t>
      </w:r>
    </w:p>
    <w:p w:rsidR="001A2760" w:rsidRPr="001A2760" w:rsidRDefault="001A2760" w:rsidP="001A2760">
      <w:pPr>
        <w:widowControl w:val="0"/>
        <w:numPr>
          <w:ilvl w:val="0"/>
          <w:numId w:val="9"/>
        </w:numPr>
        <w:tabs>
          <w:tab w:val="num" w:pos="426"/>
        </w:tabs>
        <w:ind w:left="426" w:hanging="426"/>
        <w:jc w:val="both"/>
        <w:rPr>
          <w:noProof/>
          <w:sz w:val="22"/>
          <w:szCs w:val="22"/>
          <w:lang w:eastAsia="en-US"/>
        </w:rPr>
      </w:pPr>
      <w:r w:rsidRPr="001A2760">
        <w:rPr>
          <w:noProof/>
          <w:sz w:val="22"/>
          <w:szCs w:val="22"/>
          <w:lang w:eastAsia="en-US"/>
        </w:rPr>
        <w:t>έλεγχο κάθε δωρεάς και των δεξαμενών πλάσματος για ειδικούς δείκτες ιών/λοιμώξεων.</w:t>
      </w:r>
    </w:p>
    <w:p w:rsidR="001A2760" w:rsidRPr="001A2760" w:rsidRDefault="001A2760" w:rsidP="001A2760">
      <w:pPr>
        <w:widowControl w:val="0"/>
        <w:numPr>
          <w:ilvl w:val="0"/>
          <w:numId w:val="9"/>
        </w:numPr>
        <w:tabs>
          <w:tab w:val="num" w:pos="426"/>
        </w:tabs>
        <w:ind w:left="426" w:hanging="426"/>
        <w:jc w:val="both"/>
        <w:rPr>
          <w:noProof/>
          <w:sz w:val="22"/>
          <w:szCs w:val="22"/>
          <w:lang w:eastAsia="en-US"/>
        </w:rPr>
      </w:pPr>
      <w:r w:rsidRPr="001A2760">
        <w:rPr>
          <w:noProof/>
          <w:sz w:val="22"/>
          <w:szCs w:val="22"/>
          <w:lang w:eastAsia="en-US"/>
        </w:rPr>
        <w:t>την εισαγωγή σταδιών κατά την επεξεργασία του αίματος ή του πλάσματος που μπορούν να αδρανοποιήσουν ή να απομακρύνουν ιούς.</w:t>
      </w:r>
    </w:p>
    <w:p w:rsidR="001A2760" w:rsidRPr="001A2760" w:rsidRDefault="001A2760" w:rsidP="001A2760">
      <w:pPr>
        <w:widowControl w:val="0"/>
        <w:ind w:left="426"/>
        <w:jc w:val="both"/>
        <w:rPr>
          <w:noProof/>
          <w:sz w:val="22"/>
          <w:szCs w:val="22"/>
          <w:lang w:eastAsia="en-US"/>
        </w:rPr>
      </w:pPr>
    </w:p>
    <w:p w:rsidR="001A2760" w:rsidRPr="001A2760" w:rsidRDefault="001A2760" w:rsidP="001A2760">
      <w:pPr>
        <w:widowControl w:val="0"/>
        <w:jc w:val="both"/>
        <w:rPr>
          <w:sz w:val="22"/>
          <w:szCs w:val="22"/>
          <w:lang w:eastAsia="en-US"/>
        </w:rPr>
      </w:pPr>
      <w:r w:rsidRPr="001A2760">
        <w:rPr>
          <w:sz w:val="22"/>
          <w:szCs w:val="22"/>
          <w:lang w:eastAsia="en-US"/>
        </w:rPr>
        <w:t xml:space="preserve">Παρ’ όλα αυτά, ο πιθανός κίνδυνος μετάδοσης λοιμογόνων παραγόντων δεν μπορεί να αποκλειστεί πλήρως, όταν χορηγούνται φάρμακα  που παρασκευάζονται από ανθρώπινο αίμα ή πλάσμα. Το ίδιο ισχύει και για άγνωστους ή αναδυόμενους ιούς ή άλλους παθογόνους παράγοντες. </w:t>
      </w:r>
    </w:p>
    <w:p w:rsidR="001A2760" w:rsidRPr="001A2760" w:rsidRDefault="001A2760" w:rsidP="001A2760">
      <w:pPr>
        <w:widowControl w:val="0"/>
        <w:jc w:val="both"/>
        <w:rPr>
          <w:sz w:val="22"/>
          <w:szCs w:val="22"/>
          <w:lang w:eastAsia="en-US"/>
        </w:rPr>
      </w:pPr>
      <w:r w:rsidRPr="001A2760">
        <w:rPr>
          <w:sz w:val="22"/>
          <w:szCs w:val="22"/>
          <w:lang w:eastAsia="en-US"/>
        </w:rPr>
        <w:t xml:space="preserve"> </w:t>
      </w:r>
    </w:p>
    <w:p w:rsidR="001A2760" w:rsidRPr="001A2760" w:rsidRDefault="001A2760" w:rsidP="001A2760">
      <w:pPr>
        <w:widowControl w:val="0"/>
        <w:jc w:val="both"/>
        <w:rPr>
          <w:sz w:val="22"/>
          <w:szCs w:val="22"/>
          <w:lang w:eastAsia="en-US"/>
        </w:rPr>
      </w:pPr>
      <w:r w:rsidRPr="001A2760">
        <w:rPr>
          <w:sz w:val="22"/>
          <w:szCs w:val="22"/>
          <w:lang w:eastAsia="en-US"/>
        </w:rPr>
        <w:t xml:space="preserve">Τα μέτρα που λαμβάνονται θεωρούνται αποτελεσματικά έναντι των </w:t>
      </w:r>
      <w:proofErr w:type="spellStart"/>
      <w:r w:rsidRPr="001A2760">
        <w:rPr>
          <w:sz w:val="22"/>
          <w:szCs w:val="22"/>
          <w:lang w:eastAsia="en-US"/>
        </w:rPr>
        <w:t>ελυτροφόρων</w:t>
      </w:r>
      <w:proofErr w:type="spellEnd"/>
      <w:r w:rsidRPr="001A2760">
        <w:rPr>
          <w:sz w:val="22"/>
          <w:szCs w:val="22"/>
          <w:lang w:eastAsia="en-US"/>
        </w:rPr>
        <w:t xml:space="preserve"> ιών όπως είναι ο ιός της ανθρώπινης </w:t>
      </w:r>
      <w:proofErr w:type="spellStart"/>
      <w:r w:rsidRPr="001A2760">
        <w:rPr>
          <w:sz w:val="22"/>
          <w:szCs w:val="22"/>
          <w:lang w:eastAsia="en-US"/>
        </w:rPr>
        <w:t>ανοσοανεπάρκειας</w:t>
      </w:r>
      <w:proofErr w:type="spellEnd"/>
      <w:r w:rsidRPr="001A2760">
        <w:rPr>
          <w:sz w:val="22"/>
          <w:szCs w:val="22"/>
          <w:lang w:eastAsia="en-US"/>
        </w:rPr>
        <w:t xml:space="preserve"> (HIV), ο ιός της ηπατίτιδας Β και ο ιός της ηπατίτιδας </w:t>
      </w:r>
      <w:r w:rsidRPr="001A2760">
        <w:rPr>
          <w:sz w:val="22"/>
          <w:szCs w:val="22"/>
          <w:lang w:val="en-GB" w:eastAsia="en-US"/>
        </w:rPr>
        <w:t>C</w:t>
      </w:r>
      <w:r w:rsidRPr="001A2760">
        <w:rPr>
          <w:sz w:val="22"/>
          <w:szCs w:val="22"/>
          <w:lang w:eastAsia="en-US"/>
        </w:rPr>
        <w:t xml:space="preserve"> καθώς και έναντι των μη </w:t>
      </w:r>
      <w:proofErr w:type="spellStart"/>
      <w:r w:rsidRPr="001A2760">
        <w:rPr>
          <w:sz w:val="22"/>
          <w:szCs w:val="22"/>
          <w:lang w:eastAsia="en-US"/>
        </w:rPr>
        <w:t>ελυτροφόρων</w:t>
      </w:r>
      <w:proofErr w:type="spellEnd"/>
      <w:r w:rsidRPr="001A2760">
        <w:rPr>
          <w:sz w:val="22"/>
          <w:szCs w:val="22"/>
          <w:lang w:eastAsia="en-US"/>
        </w:rPr>
        <w:t xml:space="preserve"> ιών της ηπατίτιδας Α και του </w:t>
      </w:r>
      <w:proofErr w:type="spellStart"/>
      <w:r w:rsidRPr="001A2760">
        <w:rPr>
          <w:sz w:val="22"/>
          <w:szCs w:val="22"/>
          <w:lang w:eastAsia="en-US"/>
        </w:rPr>
        <w:t>παρβοϊού</w:t>
      </w:r>
      <w:proofErr w:type="spellEnd"/>
      <w:r w:rsidRPr="001A2760">
        <w:rPr>
          <w:sz w:val="22"/>
          <w:szCs w:val="22"/>
          <w:lang w:eastAsia="en-US"/>
        </w:rPr>
        <w:t xml:space="preserve"> Β19.</w:t>
      </w:r>
    </w:p>
    <w:p w:rsidR="001A2760" w:rsidRPr="001A2760" w:rsidRDefault="001A2760" w:rsidP="001A2760">
      <w:pPr>
        <w:widowControl w:val="0"/>
        <w:jc w:val="both"/>
        <w:rPr>
          <w:noProof/>
          <w:sz w:val="22"/>
          <w:szCs w:val="22"/>
          <w:lang w:eastAsia="en-US"/>
        </w:rPr>
      </w:pPr>
    </w:p>
    <w:p w:rsidR="001A2760" w:rsidRPr="001A2760" w:rsidRDefault="001A2760" w:rsidP="001A2760">
      <w:pPr>
        <w:widowControl w:val="0"/>
        <w:jc w:val="both"/>
        <w:rPr>
          <w:noProof/>
          <w:sz w:val="22"/>
          <w:szCs w:val="22"/>
          <w:lang w:eastAsia="en-US"/>
        </w:rPr>
      </w:pPr>
      <w:r w:rsidRPr="001A2760">
        <w:rPr>
          <w:noProof/>
          <w:sz w:val="22"/>
          <w:szCs w:val="22"/>
          <w:lang w:eastAsia="en-US"/>
        </w:rPr>
        <w:t>Ο γιατρός σας μπορεί να σας συστήσει να εξετάσετε το ενδεχόμενο του εμβολιασμού έναντι της ηπατίτιδας Α και Β εάν λαμβάνετε τακτικά/επανειλημμένα προϊόντα συμπλέγματος προθρομβίνης που παρασκευάζονται από ανθρώπινο πλάσμα.</w:t>
      </w:r>
    </w:p>
    <w:p w:rsidR="001A2760" w:rsidRPr="001A2760" w:rsidRDefault="001A2760" w:rsidP="001A2760">
      <w:pPr>
        <w:widowControl w:val="0"/>
        <w:jc w:val="both"/>
        <w:rPr>
          <w:noProof/>
          <w:sz w:val="22"/>
          <w:szCs w:val="22"/>
          <w:lang w:eastAsia="en-US"/>
        </w:rPr>
      </w:pPr>
    </w:p>
    <w:p w:rsidR="001A2760" w:rsidRPr="001A2760" w:rsidRDefault="001A2760" w:rsidP="001A2760">
      <w:pPr>
        <w:widowControl w:val="0"/>
        <w:jc w:val="both"/>
        <w:rPr>
          <w:noProof/>
          <w:sz w:val="22"/>
          <w:szCs w:val="22"/>
          <w:lang w:eastAsia="en-US"/>
        </w:rPr>
      </w:pPr>
      <w:r w:rsidRPr="001A2760">
        <w:rPr>
          <w:noProof/>
          <w:sz w:val="22"/>
          <w:szCs w:val="22"/>
          <w:lang w:eastAsia="en-US"/>
        </w:rPr>
        <w:t>Συνιστάται επιτακτικά, κάθε φορά που λαμβάνετε μια δόση  Beriplex, να καταγράφονται το όνομα και η παρτίδα του προϊόντος ώστε να διατηρείται ένα αρχείο των παρτίδων που χρησιμοποιήθηκαν.</w:t>
      </w:r>
    </w:p>
    <w:p w:rsidR="001A2760" w:rsidRPr="001A2760" w:rsidRDefault="001A2760" w:rsidP="001A2760">
      <w:pPr>
        <w:widowControl w:val="0"/>
        <w:jc w:val="both"/>
        <w:rPr>
          <w:sz w:val="22"/>
          <w:szCs w:val="22"/>
          <w:lang w:eastAsia="en-US"/>
        </w:rPr>
      </w:pPr>
    </w:p>
    <w:p w:rsidR="001A2760" w:rsidRPr="001A2760" w:rsidRDefault="001A2760" w:rsidP="001A2760">
      <w:pPr>
        <w:widowControl w:val="0"/>
        <w:jc w:val="both"/>
        <w:rPr>
          <w:b/>
          <w:bCs/>
          <w:noProof/>
          <w:sz w:val="22"/>
          <w:szCs w:val="22"/>
          <w:lang w:eastAsia="en-US"/>
        </w:rPr>
      </w:pPr>
      <w:r w:rsidRPr="001A2760">
        <w:rPr>
          <w:b/>
          <w:bCs/>
          <w:noProof/>
          <w:sz w:val="22"/>
          <w:szCs w:val="22"/>
          <w:lang w:eastAsia="en-US"/>
        </w:rPr>
        <w:t xml:space="preserve">Άλλα φάρμακα και </w:t>
      </w:r>
      <w:r w:rsidRPr="001A2760">
        <w:rPr>
          <w:b/>
          <w:bCs/>
          <w:noProof/>
          <w:sz w:val="22"/>
          <w:szCs w:val="22"/>
          <w:lang w:val="en-US" w:eastAsia="en-US"/>
        </w:rPr>
        <w:t>Beriplex</w:t>
      </w:r>
      <w:r w:rsidRPr="001A2760">
        <w:rPr>
          <w:b/>
          <w:bCs/>
          <w:noProof/>
          <w:sz w:val="22"/>
          <w:szCs w:val="22"/>
          <w:lang w:eastAsia="en-US"/>
        </w:rPr>
        <w:t xml:space="preserve"> </w:t>
      </w:r>
    </w:p>
    <w:p w:rsidR="001A2760" w:rsidRPr="001A2760" w:rsidRDefault="001A2760" w:rsidP="001A2760">
      <w:pPr>
        <w:widowControl w:val="0"/>
        <w:numPr>
          <w:ilvl w:val="0"/>
          <w:numId w:val="35"/>
        </w:numPr>
        <w:ind w:left="426" w:hanging="426"/>
        <w:contextualSpacing/>
        <w:jc w:val="both"/>
        <w:rPr>
          <w:noProof/>
          <w:sz w:val="22"/>
          <w:szCs w:val="22"/>
          <w:lang w:eastAsia="en-US"/>
        </w:rPr>
      </w:pPr>
      <w:r w:rsidRPr="001A2760">
        <w:rPr>
          <w:noProof/>
          <w:sz w:val="22"/>
          <w:szCs w:val="22"/>
          <w:lang w:eastAsia="en-US"/>
        </w:rPr>
        <w:t>Ενημερώστε τον γιατρό ή τον φαρμακοποιό σας εάν παίρνετε, έχετε πάρει πρόσφατα ή μπορεί να πάρετε άλλα φάρμακα.</w:t>
      </w:r>
    </w:p>
    <w:p w:rsidR="001A2760" w:rsidRPr="001A2760" w:rsidRDefault="001A2760" w:rsidP="001A2760">
      <w:pPr>
        <w:widowControl w:val="0"/>
        <w:numPr>
          <w:ilvl w:val="0"/>
          <w:numId w:val="35"/>
        </w:numPr>
        <w:ind w:left="426" w:hanging="426"/>
        <w:contextualSpacing/>
        <w:jc w:val="both"/>
        <w:rPr>
          <w:noProof/>
          <w:sz w:val="22"/>
          <w:szCs w:val="22"/>
          <w:lang w:eastAsia="en-US"/>
        </w:rPr>
      </w:pPr>
      <w:r w:rsidRPr="001A2760">
        <w:rPr>
          <w:noProof/>
          <w:sz w:val="22"/>
          <w:szCs w:val="22"/>
          <w:lang w:eastAsia="en-US"/>
        </w:rPr>
        <w:t>Το Beriplex μπορεί να αναστέλλει τη δράση της θεραπείας με ανταγωνιστές της βιταμίνης Κ. Δεν είναι γνωστές αλληλεπιδράσεις με άλλα φάρμακα.</w:t>
      </w:r>
    </w:p>
    <w:p w:rsidR="001A2760" w:rsidRPr="001A2760" w:rsidRDefault="001A2760" w:rsidP="001A2760">
      <w:pPr>
        <w:widowControl w:val="0"/>
        <w:numPr>
          <w:ilvl w:val="0"/>
          <w:numId w:val="35"/>
        </w:numPr>
        <w:ind w:left="426" w:hanging="426"/>
        <w:contextualSpacing/>
        <w:jc w:val="both"/>
        <w:rPr>
          <w:noProof/>
          <w:sz w:val="22"/>
          <w:szCs w:val="22"/>
          <w:lang w:eastAsia="en-US"/>
        </w:rPr>
      </w:pPr>
      <w:r w:rsidRPr="001A2760">
        <w:rPr>
          <w:noProof/>
          <w:sz w:val="22"/>
          <w:szCs w:val="22"/>
          <w:lang w:eastAsia="en-US"/>
        </w:rPr>
        <w:t>Αυτό το φαρμακευτικό προϊόν δεν πρέπει να αναμιγνύεται με άλλα φαρμακευτικά προϊόντα εκτός αυτών που αναφέρονται στην παράγραφο 6.</w:t>
      </w:r>
    </w:p>
    <w:p w:rsidR="001A2760" w:rsidRPr="001A2760" w:rsidRDefault="001A2760" w:rsidP="001A2760">
      <w:pPr>
        <w:widowControl w:val="0"/>
        <w:jc w:val="both"/>
        <w:rPr>
          <w:noProof/>
          <w:sz w:val="22"/>
          <w:szCs w:val="22"/>
          <w:lang w:eastAsia="en-US"/>
        </w:rPr>
      </w:pPr>
    </w:p>
    <w:p w:rsidR="001A2760" w:rsidRPr="001A2760" w:rsidRDefault="001A2760" w:rsidP="001A2760">
      <w:pPr>
        <w:widowControl w:val="0"/>
        <w:jc w:val="both"/>
        <w:rPr>
          <w:noProof/>
          <w:sz w:val="22"/>
          <w:szCs w:val="22"/>
          <w:lang w:eastAsia="en-US"/>
        </w:rPr>
      </w:pPr>
      <w:r w:rsidRPr="001A2760">
        <w:rPr>
          <w:b/>
          <w:noProof/>
          <w:sz w:val="22"/>
          <w:szCs w:val="22"/>
          <w:lang w:eastAsia="en-US"/>
        </w:rPr>
        <w:t>Κύηση, θηλασμός και γονιμότητα</w:t>
      </w:r>
    </w:p>
    <w:p w:rsidR="001A2760" w:rsidRPr="001A2760" w:rsidRDefault="001A2760" w:rsidP="001A2760">
      <w:pPr>
        <w:widowControl w:val="0"/>
        <w:numPr>
          <w:ilvl w:val="0"/>
          <w:numId w:val="36"/>
        </w:numPr>
        <w:ind w:left="425" w:hanging="425"/>
        <w:jc w:val="both"/>
        <w:rPr>
          <w:noProof/>
          <w:sz w:val="22"/>
          <w:szCs w:val="22"/>
          <w:lang w:eastAsia="en-US"/>
        </w:rPr>
      </w:pPr>
      <w:r w:rsidRPr="001A2760">
        <w:rPr>
          <w:noProof/>
          <w:sz w:val="22"/>
          <w:szCs w:val="22"/>
          <w:lang w:eastAsia="en-US"/>
        </w:rPr>
        <w:t>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πριν πάρετε αυτό το φάρμακο.</w:t>
      </w:r>
    </w:p>
    <w:p w:rsidR="001A2760" w:rsidRPr="001A2760" w:rsidRDefault="001A2760" w:rsidP="001A2760">
      <w:pPr>
        <w:widowControl w:val="0"/>
        <w:numPr>
          <w:ilvl w:val="0"/>
          <w:numId w:val="36"/>
        </w:numPr>
        <w:ind w:left="425" w:hanging="425"/>
        <w:jc w:val="both"/>
        <w:rPr>
          <w:noProof/>
          <w:sz w:val="22"/>
          <w:szCs w:val="22"/>
          <w:lang w:eastAsia="en-US"/>
        </w:rPr>
      </w:pPr>
      <w:r w:rsidRPr="001A2760">
        <w:rPr>
          <w:noProof/>
          <w:sz w:val="22"/>
          <w:szCs w:val="22"/>
          <w:lang w:eastAsia="en-US"/>
        </w:rPr>
        <w:t xml:space="preserve">Κατά τη διάρκεια της κύησης ή του θηλασμού το </w:t>
      </w:r>
      <w:r w:rsidRPr="001A2760">
        <w:rPr>
          <w:noProof/>
          <w:sz w:val="22"/>
          <w:szCs w:val="22"/>
          <w:lang w:val="en-US" w:eastAsia="en-US"/>
        </w:rPr>
        <w:t>Beriplex</w:t>
      </w:r>
      <w:r w:rsidRPr="001A2760">
        <w:rPr>
          <w:noProof/>
          <w:sz w:val="22"/>
          <w:szCs w:val="22"/>
          <w:lang w:eastAsia="en-US"/>
        </w:rPr>
        <w:t xml:space="preserve"> χορηγείται μόνο εάν είναι σαφώς απαραίτητο.</w:t>
      </w:r>
    </w:p>
    <w:p w:rsidR="001A2760" w:rsidRPr="001A2760" w:rsidRDefault="001A2760" w:rsidP="001A2760">
      <w:pPr>
        <w:widowControl w:val="0"/>
        <w:numPr>
          <w:ilvl w:val="0"/>
          <w:numId w:val="36"/>
        </w:numPr>
        <w:ind w:left="425" w:hanging="425"/>
        <w:jc w:val="both"/>
        <w:rPr>
          <w:noProof/>
          <w:sz w:val="22"/>
          <w:szCs w:val="22"/>
          <w:lang w:eastAsia="en-US"/>
        </w:rPr>
      </w:pPr>
      <w:r w:rsidRPr="001A2760">
        <w:rPr>
          <w:noProof/>
          <w:sz w:val="22"/>
          <w:szCs w:val="22"/>
          <w:lang w:eastAsia="en-US"/>
        </w:rPr>
        <w:t>Δεν υπάρχουν διαθέσιμα δεδομένα σχετικά με τη γονιμότητα.</w:t>
      </w:r>
    </w:p>
    <w:p w:rsidR="001A2760" w:rsidRPr="001A2760" w:rsidRDefault="001A2760" w:rsidP="001A2760">
      <w:pPr>
        <w:widowControl w:val="0"/>
        <w:jc w:val="both"/>
        <w:rPr>
          <w:noProof/>
          <w:sz w:val="22"/>
          <w:szCs w:val="22"/>
          <w:lang w:eastAsia="en-US"/>
        </w:rPr>
      </w:pPr>
    </w:p>
    <w:p w:rsidR="001A2760" w:rsidRPr="001A2760" w:rsidRDefault="001A2760" w:rsidP="001A2760">
      <w:pPr>
        <w:widowControl w:val="0"/>
        <w:jc w:val="both"/>
        <w:rPr>
          <w:b/>
          <w:noProof/>
          <w:sz w:val="22"/>
          <w:szCs w:val="22"/>
          <w:lang w:eastAsia="en-US"/>
        </w:rPr>
      </w:pPr>
      <w:r w:rsidRPr="001A2760">
        <w:rPr>
          <w:b/>
          <w:noProof/>
          <w:sz w:val="22"/>
          <w:szCs w:val="22"/>
          <w:lang w:eastAsia="en-US"/>
        </w:rPr>
        <w:t>Οδήγηση και χειρισμός μηχανημάτων</w:t>
      </w:r>
    </w:p>
    <w:p w:rsidR="001A2760" w:rsidRPr="001A2760" w:rsidRDefault="001A2760" w:rsidP="001A2760">
      <w:pPr>
        <w:widowControl w:val="0"/>
        <w:jc w:val="both"/>
        <w:rPr>
          <w:noProof/>
          <w:sz w:val="22"/>
          <w:szCs w:val="22"/>
          <w:lang w:eastAsia="en-US"/>
        </w:rPr>
      </w:pPr>
      <w:r w:rsidRPr="001A2760">
        <w:rPr>
          <w:noProof/>
          <w:sz w:val="22"/>
          <w:szCs w:val="22"/>
          <w:lang w:eastAsia="en-US"/>
        </w:rPr>
        <w:t>Δεν έχουν διεξαχθεί μελέτες σχετικά με τις επιδράσεις στην οδήγηση και στον χειρισμό μηχανημάτων.</w:t>
      </w:r>
    </w:p>
    <w:p w:rsidR="001A2760" w:rsidRPr="001A2760" w:rsidRDefault="001A2760" w:rsidP="001A2760">
      <w:pPr>
        <w:widowControl w:val="0"/>
        <w:jc w:val="both"/>
        <w:rPr>
          <w:noProof/>
          <w:sz w:val="22"/>
          <w:szCs w:val="22"/>
          <w:lang w:eastAsia="en-US"/>
        </w:rPr>
      </w:pPr>
    </w:p>
    <w:p w:rsidR="001A2760" w:rsidRPr="001A2760" w:rsidRDefault="001A2760" w:rsidP="001A2760">
      <w:pPr>
        <w:widowControl w:val="0"/>
        <w:jc w:val="both"/>
        <w:rPr>
          <w:noProof/>
          <w:sz w:val="22"/>
          <w:szCs w:val="22"/>
          <w:lang w:eastAsia="en-US"/>
        </w:rPr>
      </w:pPr>
      <w:r w:rsidRPr="001A2760">
        <w:rPr>
          <w:b/>
          <w:noProof/>
          <w:sz w:val="22"/>
          <w:szCs w:val="22"/>
          <w:lang w:eastAsia="en-US"/>
        </w:rPr>
        <w:t>Το Beriplex περιέχει νάτριο</w:t>
      </w:r>
    </w:p>
    <w:p w:rsidR="001A2760" w:rsidRPr="001A2760" w:rsidRDefault="001A2760" w:rsidP="001A2760">
      <w:pPr>
        <w:widowControl w:val="0"/>
        <w:jc w:val="both"/>
        <w:rPr>
          <w:noProof/>
          <w:sz w:val="22"/>
          <w:szCs w:val="22"/>
          <w:lang w:eastAsia="en-US"/>
        </w:rPr>
      </w:pPr>
      <w:r w:rsidRPr="001A2760">
        <w:rPr>
          <w:noProof/>
          <w:sz w:val="22"/>
          <w:szCs w:val="22"/>
          <w:lang w:eastAsia="en-US"/>
        </w:rPr>
        <w:t xml:space="preserve">Το </w:t>
      </w:r>
      <w:r w:rsidRPr="001A2760">
        <w:rPr>
          <w:noProof/>
          <w:sz w:val="22"/>
          <w:szCs w:val="22"/>
          <w:lang w:val="en-GB" w:eastAsia="en-US"/>
        </w:rPr>
        <w:t>Beriplex</w:t>
      </w:r>
      <w:r w:rsidRPr="001A2760">
        <w:rPr>
          <w:noProof/>
          <w:sz w:val="22"/>
          <w:szCs w:val="22"/>
          <w:lang w:eastAsia="en-US"/>
        </w:rPr>
        <w:t xml:space="preserve"> περιέχει έως και 343 </w:t>
      </w:r>
      <w:r w:rsidRPr="001A2760">
        <w:rPr>
          <w:noProof/>
          <w:sz w:val="22"/>
          <w:szCs w:val="22"/>
          <w:lang w:val="en-GB" w:eastAsia="en-US"/>
        </w:rPr>
        <w:t>mg</w:t>
      </w:r>
      <w:r w:rsidRPr="001A2760">
        <w:rPr>
          <w:noProof/>
          <w:sz w:val="22"/>
          <w:szCs w:val="22"/>
          <w:lang w:eastAsia="en-US"/>
        </w:rPr>
        <w:t xml:space="preserve"> νατρίου (περίπου 15 </w:t>
      </w:r>
      <w:r w:rsidRPr="001A2760">
        <w:rPr>
          <w:noProof/>
          <w:sz w:val="22"/>
          <w:szCs w:val="22"/>
          <w:lang w:val="en-GB" w:eastAsia="en-US"/>
        </w:rPr>
        <w:t>mmol</w:t>
      </w:r>
      <w:r w:rsidRPr="001A2760">
        <w:rPr>
          <w:noProof/>
          <w:sz w:val="22"/>
          <w:szCs w:val="22"/>
          <w:lang w:eastAsia="en-US"/>
        </w:rPr>
        <w:t xml:space="preserve">) ανά 100 </w:t>
      </w:r>
      <w:r w:rsidRPr="001A2760">
        <w:rPr>
          <w:noProof/>
          <w:sz w:val="22"/>
          <w:szCs w:val="22"/>
          <w:lang w:val="en-GB" w:eastAsia="en-US"/>
        </w:rPr>
        <w:t>ml</w:t>
      </w:r>
      <w:r w:rsidRPr="001A2760">
        <w:rPr>
          <w:noProof/>
          <w:sz w:val="22"/>
          <w:szCs w:val="22"/>
          <w:lang w:eastAsia="en-US"/>
        </w:rPr>
        <w:t>. Παρακαλείσθε να το λάβετε υπόψη σας εάν είστε σε δίαιτα ελεγχόμενου νατρίου.</w:t>
      </w:r>
    </w:p>
    <w:p w:rsidR="001A2760" w:rsidRPr="001A2760" w:rsidRDefault="001A2760" w:rsidP="001A2760">
      <w:pPr>
        <w:widowControl w:val="0"/>
        <w:jc w:val="both"/>
        <w:rPr>
          <w:noProof/>
          <w:sz w:val="22"/>
          <w:szCs w:val="22"/>
          <w:lang w:eastAsia="en-US"/>
        </w:rPr>
      </w:pPr>
    </w:p>
    <w:p w:rsidR="001A2760" w:rsidRPr="001A2760" w:rsidRDefault="001A2760" w:rsidP="001A2760">
      <w:pPr>
        <w:widowControl w:val="0"/>
        <w:jc w:val="both"/>
        <w:rPr>
          <w:noProof/>
          <w:sz w:val="22"/>
          <w:szCs w:val="22"/>
          <w:lang w:eastAsia="en-US"/>
        </w:rPr>
      </w:pPr>
    </w:p>
    <w:p w:rsidR="001A2760" w:rsidRPr="001A2760" w:rsidRDefault="001A2760" w:rsidP="001A2760">
      <w:pPr>
        <w:rPr>
          <w:b/>
          <w:noProof/>
          <w:sz w:val="22"/>
          <w:szCs w:val="22"/>
          <w:lang w:eastAsia="en-US"/>
        </w:rPr>
      </w:pPr>
      <w:r w:rsidRPr="001A2760">
        <w:rPr>
          <w:b/>
          <w:noProof/>
          <w:sz w:val="22"/>
          <w:szCs w:val="22"/>
          <w:lang w:eastAsia="en-US"/>
        </w:rPr>
        <w:br w:type="page"/>
      </w:r>
    </w:p>
    <w:p w:rsidR="001A2760" w:rsidRPr="001A2760" w:rsidRDefault="001A2760" w:rsidP="001A2760">
      <w:pPr>
        <w:widowControl w:val="0"/>
        <w:jc w:val="both"/>
        <w:rPr>
          <w:b/>
          <w:noProof/>
          <w:sz w:val="22"/>
          <w:szCs w:val="22"/>
          <w:lang w:eastAsia="en-US"/>
        </w:rPr>
      </w:pPr>
      <w:r w:rsidRPr="001A2760">
        <w:rPr>
          <w:b/>
          <w:noProof/>
          <w:sz w:val="22"/>
          <w:szCs w:val="22"/>
          <w:lang w:eastAsia="en-US"/>
        </w:rPr>
        <w:lastRenderedPageBreak/>
        <w:t>3.</w:t>
      </w:r>
      <w:r w:rsidRPr="001A2760">
        <w:rPr>
          <w:b/>
          <w:noProof/>
          <w:sz w:val="22"/>
          <w:szCs w:val="22"/>
          <w:lang w:eastAsia="en-US"/>
        </w:rPr>
        <w:tab/>
        <w:t xml:space="preserve">Πως να χρησιμοποιήσετε το </w:t>
      </w:r>
      <w:r w:rsidRPr="001A2760">
        <w:rPr>
          <w:b/>
          <w:noProof/>
          <w:sz w:val="22"/>
          <w:szCs w:val="22"/>
          <w:lang w:val="en-US" w:eastAsia="en-US"/>
        </w:rPr>
        <w:t>Beriplex</w:t>
      </w:r>
    </w:p>
    <w:p w:rsidR="001A2760" w:rsidRPr="001A2760" w:rsidRDefault="001A2760" w:rsidP="001A2760">
      <w:pPr>
        <w:widowControl w:val="0"/>
        <w:jc w:val="both"/>
        <w:rPr>
          <w:b/>
          <w:noProof/>
          <w:sz w:val="22"/>
          <w:szCs w:val="22"/>
          <w:lang w:eastAsia="en-US"/>
        </w:rPr>
      </w:pPr>
    </w:p>
    <w:p w:rsidR="001A2760" w:rsidRPr="001A2760" w:rsidRDefault="001A2760" w:rsidP="001A2760">
      <w:pPr>
        <w:widowControl w:val="0"/>
        <w:jc w:val="both"/>
        <w:rPr>
          <w:noProof/>
          <w:sz w:val="22"/>
          <w:szCs w:val="22"/>
          <w:lang w:eastAsia="en-US"/>
        </w:rPr>
      </w:pPr>
      <w:r w:rsidRPr="001A2760">
        <w:rPr>
          <w:noProof/>
          <w:sz w:val="22"/>
          <w:szCs w:val="22"/>
          <w:lang w:eastAsia="en-US"/>
        </w:rPr>
        <w:t>Η έναρξη και η συνέχιση της θεραπείας πρέπει να γίνεται υπό την επίβλεψη ενός γιατρού με εμπειρία σε τέτοιου είδους παθήσεις.</w:t>
      </w:r>
    </w:p>
    <w:p w:rsidR="001A2760" w:rsidRPr="001A2760" w:rsidRDefault="001A2760" w:rsidP="001A2760">
      <w:pPr>
        <w:widowControl w:val="0"/>
        <w:jc w:val="both"/>
        <w:rPr>
          <w:noProof/>
          <w:sz w:val="22"/>
          <w:szCs w:val="22"/>
          <w:lang w:eastAsia="en-US"/>
        </w:rPr>
      </w:pPr>
    </w:p>
    <w:p w:rsidR="001A2760" w:rsidRPr="001A2760" w:rsidRDefault="001A2760" w:rsidP="001A2760">
      <w:pPr>
        <w:widowControl w:val="0"/>
        <w:jc w:val="both"/>
        <w:rPr>
          <w:b/>
          <w:bCs/>
          <w:noProof/>
          <w:sz w:val="22"/>
          <w:szCs w:val="22"/>
          <w:lang w:eastAsia="en-US"/>
        </w:rPr>
      </w:pPr>
      <w:r w:rsidRPr="001A2760">
        <w:rPr>
          <w:b/>
          <w:bCs/>
          <w:noProof/>
          <w:sz w:val="22"/>
          <w:szCs w:val="22"/>
          <w:lang w:eastAsia="en-US"/>
        </w:rPr>
        <w:t>Δοσολογία</w:t>
      </w:r>
    </w:p>
    <w:p w:rsidR="001A2760" w:rsidRPr="001A2760" w:rsidRDefault="001A2760" w:rsidP="001A2760">
      <w:pPr>
        <w:widowControl w:val="0"/>
        <w:jc w:val="both"/>
        <w:rPr>
          <w:noProof/>
          <w:sz w:val="22"/>
          <w:szCs w:val="22"/>
          <w:lang w:eastAsia="en-US"/>
        </w:rPr>
      </w:pPr>
      <w:r w:rsidRPr="001A2760">
        <w:rPr>
          <w:noProof/>
          <w:sz w:val="22"/>
          <w:szCs w:val="22"/>
          <w:lang w:eastAsia="en-US"/>
        </w:rPr>
        <w:t xml:space="preserve">Η ποσότητα του παράγοντα πήξης ΙΙ, VII, IX και X που χρειάζεστε και η διάρκεια της θεραπείας εξαρτώνται από πολλές παραμέτρους, όπως το σωματικό βάρος, η βαρύτητα και η φύση της πάθησής σας, το σημείο που αιμορραγεί και η σοβαρότητα της αιμορραγίας ή η αναγκαιότητα να προληφθεί η αιμορραγία κατά τη διάρκεια κάποιας χειρουργικής επέμβασης ή διαγνωστικής εξέτασης (βλ. παράγραφο «Οι πληροφορίες που ακολουθούν απευθύνονται μόνο σε επαγγελματίες του τομέα υγειονομικής περίθαλψης»). </w:t>
      </w:r>
    </w:p>
    <w:p w:rsidR="001A2760" w:rsidRPr="001A2760" w:rsidRDefault="001A2760" w:rsidP="001A2760">
      <w:pPr>
        <w:widowControl w:val="0"/>
        <w:jc w:val="both"/>
        <w:rPr>
          <w:b/>
          <w:bCs/>
          <w:noProof/>
          <w:sz w:val="22"/>
          <w:szCs w:val="22"/>
          <w:lang w:eastAsia="en-US"/>
        </w:rPr>
      </w:pPr>
    </w:p>
    <w:p w:rsidR="001A2760" w:rsidRPr="001A2760" w:rsidRDefault="001A2760" w:rsidP="001A2760">
      <w:pPr>
        <w:widowControl w:val="0"/>
        <w:jc w:val="both"/>
        <w:rPr>
          <w:noProof/>
          <w:sz w:val="22"/>
          <w:szCs w:val="22"/>
          <w:lang w:eastAsia="en-US"/>
        </w:rPr>
      </w:pPr>
      <w:r w:rsidRPr="001A2760">
        <w:rPr>
          <w:noProof/>
          <w:sz w:val="22"/>
          <w:szCs w:val="22"/>
          <w:lang w:eastAsia="en-US"/>
        </w:rPr>
        <w:t>Εάν έχετε περισσότερες ερωτήσεις σχετικά με τη χρήση αυτού του φαρμάκου, ρωτήστε τον γιατρό ή τον φαρμακοποιό σας.</w:t>
      </w:r>
    </w:p>
    <w:p w:rsidR="001A2760" w:rsidRPr="001A2760" w:rsidRDefault="001A2760" w:rsidP="001A2760">
      <w:pPr>
        <w:widowControl w:val="0"/>
        <w:jc w:val="both"/>
        <w:rPr>
          <w:noProof/>
          <w:sz w:val="22"/>
          <w:szCs w:val="22"/>
          <w:lang w:eastAsia="en-US"/>
        </w:rPr>
      </w:pPr>
    </w:p>
    <w:p w:rsidR="001A2760" w:rsidRPr="001A2760" w:rsidRDefault="001A2760" w:rsidP="001A2760">
      <w:pPr>
        <w:widowControl w:val="0"/>
        <w:jc w:val="both"/>
        <w:rPr>
          <w:b/>
          <w:i/>
          <w:noProof/>
          <w:sz w:val="22"/>
          <w:szCs w:val="22"/>
          <w:lang w:eastAsia="en-US"/>
        </w:rPr>
      </w:pPr>
      <w:r w:rsidRPr="001A2760">
        <w:rPr>
          <w:b/>
          <w:i/>
          <w:noProof/>
          <w:sz w:val="22"/>
          <w:szCs w:val="22"/>
          <w:lang w:eastAsia="en-US"/>
        </w:rPr>
        <w:t>Υπερδοσολογία</w:t>
      </w:r>
    </w:p>
    <w:p w:rsidR="001A2760" w:rsidRPr="001A2760" w:rsidRDefault="001A2760" w:rsidP="001A2760">
      <w:pPr>
        <w:widowControl w:val="0"/>
        <w:jc w:val="both"/>
        <w:rPr>
          <w:noProof/>
          <w:sz w:val="22"/>
          <w:szCs w:val="22"/>
          <w:lang w:eastAsia="en-US"/>
        </w:rPr>
      </w:pPr>
      <w:r w:rsidRPr="001A2760">
        <w:rPr>
          <w:noProof/>
          <w:sz w:val="22"/>
          <w:szCs w:val="22"/>
          <w:lang w:eastAsia="en-US"/>
        </w:rPr>
        <w:t>Ο γιατρός σας οφείλει να ελέγχει τακτικά την πήξη του αίματός σας κατά τη διάρκεια της θεραπείας. Υψηλές δόσεις πυκνού διαλύματος συμπλέγματος προθρομβίνης έχουν συσχετισθεί με περιστατικά καρδιακής προσβολής, διάχυτης ενδαγγειακής πήξης και σχηματισμό θρόμβων σε αιμοφόρα αγγεία σε ασθενείς που διατρέχουν κίνδυνο εμφάνισης των επιπλοκών αυτών.</w:t>
      </w:r>
    </w:p>
    <w:p w:rsidR="001A2760" w:rsidRPr="001A2760" w:rsidRDefault="001A2760" w:rsidP="001A2760">
      <w:pPr>
        <w:widowControl w:val="0"/>
        <w:jc w:val="both"/>
        <w:rPr>
          <w:noProof/>
          <w:sz w:val="22"/>
          <w:szCs w:val="22"/>
          <w:lang w:eastAsia="en-US"/>
        </w:rPr>
      </w:pPr>
    </w:p>
    <w:p w:rsidR="001A2760" w:rsidRPr="001A2760" w:rsidRDefault="001A2760" w:rsidP="001A2760">
      <w:pPr>
        <w:widowControl w:val="0"/>
        <w:jc w:val="both"/>
        <w:rPr>
          <w:noProof/>
          <w:sz w:val="22"/>
          <w:szCs w:val="22"/>
          <w:lang w:eastAsia="en-US"/>
        </w:rPr>
      </w:pPr>
    </w:p>
    <w:p w:rsidR="001A2760" w:rsidRPr="001A2760" w:rsidRDefault="001A2760" w:rsidP="001A2760">
      <w:pPr>
        <w:widowControl w:val="0"/>
        <w:jc w:val="both"/>
        <w:rPr>
          <w:b/>
          <w:noProof/>
          <w:sz w:val="22"/>
          <w:szCs w:val="22"/>
          <w:lang w:eastAsia="en-US"/>
        </w:rPr>
      </w:pPr>
      <w:r w:rsidRPr="001A2760">
        <w:rPr>
          <w:b/>
          <w:noProof/>
          <w:sz w:val="22"/>
          <w:szCs w:val="22"/>
          <w:lang w:eastAsia="en-US"/>
        </w:rPr>
        <w:t>4.</w:t>
      </w:r>
      <w:r w:rsidRPr="001A2760">
        <w:rPr>
          <w:b/>
          <w:noProof/>
          <w:sz w:val="22"/>
          <w:szCs w:val="22"/>
          <w:lang w:eastAsia="en-US"/>
        </w:rPr>
        <w:tab/>
        <w:t>Πιθανές ανεπιθύμητες ενέργειες</w:t>
      </w:r>
    </w:p>
    <w:p w:rsidR="001A2760" w:rsidRPr="001A2760" w:rsidRDefault="001A2760" w:rsidP="001A2760">
      <w:pPr>
        <w:widowControl w:val="0"/>
        <w:jc w:val="both"/>
        <w:rPr>
          <w:noProof/>
          <w:sz w:val="22"/>
          <w:szCs w:val="22"/>
          <w:lang w:eastAsia="en-US"/>
        </w:rPr>
      </w:pPr>
    </w:p>
    <w:p w:rsidR="001A2760" w:rsidRPr="001A2760" w:rsidRDefault="001A2760" w:rsidP="001A2760">
      <w:pPr>
        <w:widowControl w:val="0"/>
        <w:jc w:val="both"/>
        <w:rPr>
          <w:noProof/>
          <w:sz w:val="22"/>
          <w:szCs w:val="22"/>
          <w:lang w:eastAsia="en-US"/>
        </w:rPr>
      </w:pPr>
      <w:r w:rsidRPr="001A2760">
        <w:rPr>
          <w:noProof/>
          <w:sz w:val="22"/>
          <w:szCs w:val="22"/>
          <w:lang w:eastAsia="en-US"/>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1A2760" w:rsidRPr="001A2760" w:rsidRDefault="001A2760" w:rsidP="001A2760">
      <w:pPr>
        <w:widowControl w:val="0"/>
        <w:jc w:val="both"/>
        <w:rPr>
          <w:b/>
          <w:noProof/>
          <w:sz w:val="22"/>
          <w:szCs w:val="22"/>
          <w:lang w:eastAsia="en-US"/>
        </w:rPr>
      </w:pPr>
    </w:p>
    <w:p w:rsidR="001A2760" w:rsidRPr="001A2760" w:rsidRDefault="001A2760" w:rsidP="001A2760">
      <w:pPr>
        <w:widowControl w:val="0"/>
        <w:jc w:val="both"/>
        <w:rPr>
          <w:noProof/>
          <w:sz w:val="22"/>
          <w:szCs w:val="22"/>
          <w:lang w:eastAsia="en-US"/>
        </w:rPr>
      </w:pPr>
      <w:r w:rsidRPr="001A2760">
        <w:rPr>
          <w:noProof/>
          <w:sz w:val="22"/>
          <w:szCs w:val="22"/>
          <w:lang w:eastAsia="en-US"/>
        </w:rPr>
        <w:t xml:space="preserve">Οι παρακάτω ανεπιθύμητες ενέργειες έχουν παρατηρηθεί </w:t>
      </w:r>
      <w:r w:rsidRPr="001A2760">
        <w:rPr>
          <w:b/>
          <w:noProof/>
          <w:sz w:val="22"/>
          <w:szCs w:val="22"/>
          <w:lang w:eastAsia="en-US"/>
        </w:rPr>
        <w:t>συχνά</w:t>
      </w:r>
      <w:r w:rsidRPr="001A2760">
        <w:rPr>
          <w:noProof/>
          <w:sz w:val="22"/>
          <w:szCs w:val="22"/>
          <w:lang w:eastAsia="en-US"/>
        </w:rPr>
        <w:t xml:space="preserve"> (μπορεί να παρουσιαστούν σε 1 στους 10 ανθρώπους):</w:t>
      </w:r>
    </w:p>
    <w:p w:rsidR="001A2760" w:rsidRPr="001A2760" w:rsidRDefault="001A2760" w:rsidP="001A2760">
      <w:pPr>
        <w:widowControl w:val="0"/>
        <w:numPr>
          <w:ilvl w:val="0"/>
          <w:numId w:val="14"/>
        </w:numPr>
        <w:ind w:left="426" w:hanging="426"/>
        <w:contextualSpacing/>
        <w:jc w:val="both"/>
        <w:rPr>
          <w:noProof/>
          <w:sz w:val="22"/>
          <w:szCs w:val="22"/>
          <w:lang w:eastAsia="en-US"/>
        </w:rPr>
      </w:pPr>
      <w:r w:rsidRPr="001A2760">
        <w:rPr>
          <w:noProof/>
          <w:sz w:val="22"/>
          <w:szCs w:val="22"/>
          <w:lang w:eastAsia="en-US"/>
        </w:rPr>
        <w:t xml:space="preserve">Υπάρχει κίνδυνος </w:t>
      </w:r>
      <w:r w:rsidRPr="001A2760">
        <w:rPr>
          <w:noProof/>
          <w:sz w:val="22"/>
          <w:szCs w:val="22"/>
          <w:u w:val="single"/>
          <w:lang w:eastAsia="en-US"/>
        </w:rPr>
        <w:t>σχηματισμού θρόμβων αίματος</w:t>
      </w:r>
      <w:r w:rsidRPr="001A2760">
        <w:rPr>
          <w:noProof/>
          <w:sz w:val="22"/>
          <w:szCs w:val="22"/>
          <w:lang w:eastAsia="en-US"/>
        </w:rPr>
        <w:t xml:space="preserve"> (βλ. παράγραφο 2)</w:t>
      </w:r>
    </w:p>
    <w:p w:rsidR="001A2760" w:rsidRPr="001A2760" w:rsidRDefault="001A2760" w:rsidP="001A2760">
      <w:pPr>
        <w:widowControl w:val="0"/>
        <w:numPr>
          <w:ilvl w:val="0"/>
          <w:numId w:val="14"/>
        </w:numPr>
        <w:ind w:left="426" w:hanging="426"/>
        <w:contextualSpacing/>
        <w:jc w:val="both"/>
        <w:rPr>
          <w:noProof/>
          <w:sz w:val="22"/>
          <w:szCs w:val="22"/>
          <w:u w:val="single"/>
          <w:lang w:eastAsia="en-US"/>
        </w:rPr>
      </w:pPr>
      <w:r w:rsidRPr="001A2760">
        <w:rPr>
          <w:noProof/>
          <w:sz w:val="22"/>
          <w:szCs w:val="22"/>
          <w:u w:val="single"/>
          <w:lang w:eastAsia="en-US"/>
        </w:rPr>
        <w:t>Πονοκέφαλος</w:t>
      </w:r>
    </w:p>
    <w:p w:rsidR="001A2760" w:rsidRPr="001A2760" w:rsidRDefault="001A2760" w:rsidP="001A2760">
      <w:pPr>
        <w:widowControl w:val="0"/>
        <w:numPr>
          <w:ilvl w:val="0"/>
          <w:numId w:val="14"/>
        </w:numPr>
        <w:ind w:left="426" w:hanging="426"/>
        <w:contextualSpacing/>
        <w:jc w:val="both"/>
        <w:rPr>
          <w:noProof/>
          <w:sz w:val="22"/>
          <w:szCs w:val="22"/>
          <w:u w:val="single"/>
          <w:lang w:eastAsia="en-US"/>
        </w:rPr>
      </w:pPr>
      <w:r w:rsidRPr="001A2760">
        <w:rPr>
          <w:noProof/>
          <w:sz w:val="22"/>
          <w:szCs w:val="22"/>
          <w:u w:val="single"/>
          <w:lang w:eastAsia="en-US"/>
        </w:rPr>
        <w:t>Αύξηση της θερμοκρασίας του σώματος</w:t>
      </w:r>
    </w:p>
    <w:p w:rsidR="001A2760" w:rsidRPr="001A2760" w:rsidRDefault="001A2760" w:rsidP="001A2760">
      <w:pPr>
        <w:widowControl w:val="0"/>
        <w:jc w:val="both"/>
        <w:rPr>
          <w:noProof/>
          <w:sz w:val="22"/>
          <w:szCs w:val="22"/>
          <w:lang w:eastAsia="en-US"/>
        </w:rPr>
      </w:pPr>
    </w:p>
    <w:p w:rsidR="001A2760" w:rsidRPr="001A2760" w:rsidRDefault="001A2760" w:rsidP="001A2760">
      <w:pPr>
        <w:widowControl w:val="0"/>
        <w:jc w:val="both"/>
        <w:rPr>
          <w:noProof/>
          <w:sz w:val="22"/>
          <w:szCs w:val="22"/>
          <w:lang w:eastAsia="en-US"/>
        </w:rPr>
      </w:pPr>
      <w:r w:rsidRPr="001A2760">
        <w:rPr>
          <w:noProof/>
          <w:sz w:val="22"/>
          <w:szCs w:val="22"/>
          <w:lang w:eastAsia="en-US"/>
        </w:rPr>
        <w:t xml:space="preserve">Οι παρακάτω ανεπιθύμητες ενέργειες έχουν παρατηρηθεί </w:t>
      </w:r>
      <w:r w:rsidRPr="001A2760">
        <w:rPr>
          <w:b/>
          <w:noProof/>
          <w:sz w:val="22"/>
          <w:szCs w:val="22"/>
          <w:lang w:eastAsia="en-US"/>
        </w:rPr>
        <w:t>όχι συχνά</w:t>
      </w:r>
      <w:r w:rsidRPr="001A2760">
        <w:rPr>
          <w:noProof/>
          <w:sz w:val="22"/>
          <w:szCs w:val="22"/>
          <w:lang w:eastAsia="en-US"/>
        </w:rPr>
        <w:t xml:space="preserve"> (μπορεί να παρουσιαστούν σε 1 στους 100 ανθρώπους):</w:t>
      </w:r>
    </w:p>
    <w:p w:rsidR="001A2760" w:rsidRPr="001A2760" w:rsidRDefault="001A2760" w:rsidP="001A2760">
      <w:pPr>
        <w:widowControl w:val="0"/>
        <w:numPr>
          <w:ilvl w:val="0"/>
          <w:numId w:val="14"/>
        </w:numPr>
        <w:ind w:left="426" w:hanging="426"/>
        <w:contextualSpacing/>
        <w:jc w:val="both"/>
        <w:rPr>
          <w:noProof/>
          <w:sz w:val="22"/>
          <w:szCs w:val="22"/>
          <w:u w:val="single"/>
          <w:lang w:eastAsia="en-US"/>
        </w:rPr>
      </w:pPr>
      <w:r w:rsidRPr="001A2760">
        <w:rPr>
          <w:noProof/>
          <w:sz w:val="22"/>
          <w:szCs w:val="22"/>
          <w:u w:val="single"/>
          <w:lang w:eastAsia="en-US"/>
        </w:rPr>
        <w:t>Υπερευαισθησία ή αλλεργικές αντιδράσεις</w:t>
      </w:r>
      <w:r w:rsidRPr="001A2760">
        <w:rPr>
          <w:noProof/>
          <w:sz w:val="22"/>
          <w:szCs w:val="22"/>
          <w:lang w:eastAsia="en-US"/>
        </w:rPr>
        <w:t xml:space="preserve"> (βλ. παράγραφο 2)</w:t>
      </w:r>
    </w:p>
    <w:p w:rsidR="001A2760" w:rsidRPr="001A2760" w:rsidRDefault="001A2760" w:rsidP="001A2760">
      <w:pPr>
        <w:widowControl w:val="0"/>
        <w:jc w:val="both"/>
        <w:rPr>
          <w:noProof/>
          <w:sz w:val="22"/>
          <w:szCs w:val="22"/>
          <w:u w:val="single"/>
          <w:lang w:eastAsia="en-US"/>
        </w:rPr>
      </w:pPr>
    </w:p>
    <w:p w:rsidR="001A2760" w:rsidRPr="001A2760" w:rsidRDefault="001A2760" w:rsidP="001A2760">
      <w:pPr>
        <w:widowControl w:val="0"/>
        <w:jc w:val="both"/>
        <w:rPr>
          <w:noProof/>
          <w:sz w:val="22"/>
          <w:szCs w:val="22"/>
          <w:lang w:eastAsia="en-US"/>
        </w:rPr>
      </w:pPr>
      <w:r w:rsidRPr="001A2760">
        <w:rPr>
          <w:noProof/>
          <w:sz w:val="22"/>
          <w:szCs w:val="22"/>
          <w:lang w:eastAsia="en-US"/>
        </w:rPr>
        <w:t xml:space="preserve">Η συχνότητα των παρακάτω ανεπιθύμητων ενεργειών είναι </w:t>
      </w:r>
      <w:r w:rsidRPr="001A2760">
        <w:rPr>
          <w:b/>
          <w:noProof/>
          <w:sz w:val="22"/>
          <w:szCs w:val="22"/>
          <w:lang w:eastAsia="en-US"/>
        </w:rPr>
        <w:t xml:space="preserve">μη γνωστή </w:t>
      </w:r>
      <w:r w:rsidRPr="001A2760">
        <w:rPr>
          <w:noProof/>
          <w:sz w:val="22"/>
          <w:szCs w:val="22"/>
          <w:lang w:eastAsia="en-US"/>
        </w:rPr>
        <w:t>(δεν μπορεί να εκτιμηθεί με βάση τα διαθέσιμα δεδομένα):</w:t>
      </w:r>
    </w:p>
    <w:p w:rsidR="001A2760" w:rsidRPr="001A2760" w:rsidRDefault="001A2760" w:rsidP="001A2760">
      <w:pPr>
        <w:widowControl w:val="0"/>
        <w:numPr>
          <w:ilvl w:val="0"/>
          <w:numId w:val="14"/>
        </w:numPr>
        <w:ind w:left="426" w:hanging="426"/>
        <w:contextualSpacing/>
        <w:jc w:val="both"/>
        <w:rPr>
          <w:noProof/>
          <w:sz w:val="22"/>
          <w:szCs w:val="22"/>
          <w:u w:val="single"/>
          <w:lang w:eastAsia="en-US"/>
        </w:rPr>
      </w:pPr>
      <w:r w:rsidRPr="001A2760">
        <w:rPr>
          <w:noProof/>
          <w:sz w:val="22"/>
          <w:szCs w:val="22"/>
          <w:u w:val="single"/>
          <w:lang w:eastAsia="en-US"/>
        </w:rPr>
        <w:t>Υπερβολική πήξη που καταλήγει σε σοβαρή αιμορραγία</w:t>
      </w:r>
    </w:p>
    <w:p w:rsidR="001A2760" w:rsidRPr="001A2760" w:rsidRDefault="001A2760" w:rsidP="001A2760">
      <w:pPr>
        <w:widowControl w:val="0"/>
        <w:numPr>
          <w:ilvl w:val="0"/>
          <w:numId w:val="14"/>
        </w:numPr>
        <w:ind w:left="426" w:hanging="426"/>
        <w:contextualSpacing/>
        <w:jc w:val="both"/>
        <w:rPr>
          <w:noProof/>
          <w:sz w:val="22"/>
          <w:szCs w:val="22"/>
          <w:lang w:eastAsia="en-US"/>
        </w:rPr>
      </w:pPr>
      <w:r w:rsidRPr="001A2760">
        <w:rPr>
          <w:noProof/>
          <w:sz w:val="22"/>
          <w:szCs w:val="22"/>
          <w:u w:val="single"/>
          <w:lang w:eastAsia="en-US"/>
        </w:rPr>
        <w:t xml:space="preserve">Αναφυλακτικές αντιδράσεις </w:t>
      </w:r>
      <w:r w:rsidRPr="001A2760">
        <w:rPr>
          <w:noProof/>
          <w:sz w:val="22"/>
          <w:szCs w:val="22"/>
          <w:lang w:eastAsia="en-US"/>
        </w:rPr>
        <w:t>συμπεριλαμβάνομένης της καταπληξίας (βλ. παράγραφο 2)</w:t>
      </w:r>
    </w:p>
    <w:p w:rsidR="001A2760" w:rsidRPr="001A2760" w:rsidRDefault="001A2760" w:rsidP="001A2760">
      <w:pPr>
        <w:widowControl w:val="0"/>
        <w:numPr>
          <w:ilvl w:val="0"/>
          <w:numId w:val="14"/>
        </w:numPr>
        <w:ind w:left="426" w:hanging="426"/>
        <w:contextualSpacing/>
        <w:jc w:val="both"/>
        <w:rPr>
          <w:noProof/>
          <w:sz w:val="22"/>
          <w:szCs w:val="22"/>
          <w:u w:val="single"/>
          <w:lang w:eastAsia="en-US"/>
        </w:rPr>
      </w:pPr>
      <w:r w:rsidRPr="001A2760">
        <w:rPr>
          <w:noProof/>
          <w:sz w:val="22"/>
          <w:szCs w:val="22"/>
          <w:u w:val="single"/>
          <w:lang w:eastAsia="en-US"/>
        </w:rPr>
        <w:t>Ανάπτυξη κυκλοφορούντων αντισωμάτων</w:t>
      </w:r>
      <w:r w:rsidRPr="001A2760">
        <w:rPr>
          <w:noProof/>
          <w:sz w:val="22"/>
          <w:szCs w:val="22"/>
          <w:lang w:eastAsia="en-US"/>
        </w:rPr>
        <w:t xml:space="preserve"> που αναστέλλουν έναν ή περισσότερους παράγοντες πήξης</w:t>
      </w:r>
    </w:p>
    <w:p w:rsidR="001A2760" w:rsidRPr="001A2760" w:rsidRDefault="001A2760" w:rsidP="001A2760">
      <w:pPr>
        <w:widowControl w:val="0"/>
        <w:jc w:val="both"/>
        <w:rPr>
          <w:b/>
          <w:i/>
          <w:noProof/>
          <w:sz w:val="22"/>
          <w:szCs w:val="22"/>
          <w:lang w:eastAsia="en-US"/>
        </w:rPr>
      </w:pPr>
    </w:p>
    <w:p w:rsidR="001A2760" w:rsidRPr="001A2760" w:rsidRDefault="001A2760" w:rsidP="001A2760">
      <w:pPr>
        <w:widowControl w:val="0"/>
        <w:jc w:val="both"/>
        <w:rPr>
          <w:b/>
          <w:i/>
          <w:noProof/>
          <w:sz w:val="22"/>
          <w:szCs w:val="22"/>
          <w:lang w:eastAsia="en-US"/>
        </w:rPr>
      </w:pPr>
      <w:r w:rsidRPr="001A2760">
        <w:rPr>
          <w:b/>
          <w:i/>
          <w:noProof/>
          <w:sz w:val="22"/>
          <w:szCs w:val="22"/>
          <w:lang w:eastAsia="en-US"/>
        </w:rPr>
        <w:t>Παιδιατρικός πληθυσμός</w:t>
      </w:r>
    </w:p>
    <w:p w:rsidR="001A2760" w:rsidRPr="001A2760" w:rsidRDefault="001A2760" w:rsidP="001A2760">
      <w:pPr>
        <w:widowControl w:val="0"/>
        <w:jc w:val="both"/>
        <w:rPr>
          <w:noProof/>
          <w:sz w:val="22"/>
          <w:szCs w:val="22"/>
          <w:lang w:eastAsia="en-US"/>
        </w:rPr>
      </w:pPr>
      <w:r w:rsidRPr="001A2760">
        <w:rPr>
          <w:noProof/>
          <w:sz w:val="22"/>
          <w:szCs w:val="22"/>
          <w:lang w:eastAsia="en-US"/>
        </w:rPr>
        <w:t xml:space="preserve">Δεν υπάρχουν διαθέσιμα δεδομένα σχετικά με τη χρήση του </w:t>
      </w:r>
      <w:r w:rsidRPr="001A2760">
        <w:rPr>
          <w:noProof/>
          <w:sz w:val="22"/>
          <w:szCs w:val="22"/>
          <w:lang w:val="en-US" w:eastAsia="en-US"/>
        </w:rPr>
        <w:t>Beriplex</w:t>
      </w:r>
      <w:r w:rsidRPr="001A2760">
        <w:rPr>
          <w:noProof/>
          <w:sz w:val="22"/>
          <w:szCs w:val="22"/>
          <w:lang w:eastAsia="en-US"/>
        </w:rPr>
        <w:t xml:space="preserve"> στον παιδιατρικό πληθυσμό.</w:t>
      </w:r>
    </w:p>
    <w:p w:rsidR="001A2760" w:rsidRPr="001A2760" w:rsidRDefault="001A2760" w:rsidP="001A2760">
      <w:pPr>
        <w:widowControl w:val="0"/>
        <w:jc w:val="both"/>
        <w:rPr>
          <w:noProof/>
          <w:sz w:val="22"/>
          <w:szCs w:val="22"/>
          <w:lang w:eastAsia="en-US"/>
        </w:rPr>
      </w:pPr>
    </w:p>
    <w:p w:rsidR="001A2760" w:rsidRPr="001A2760" w:rsidRDefault="001A2760" w:rsidP="001A2760">
      <w:pPr>
        <w:widowControl w:val="0"/>
        <w:rPr>
          <w:b/>
          <w:noProof/>
          <w:sz w:val="22"/>
          <w:szCs w:val="22"/>
          <w:u w:val="single"/>
          <w:lang w:eastAsia="en-US"/>
        </w:rPr>
      </w:pPr>
      <w:r w:rsidRPr="001A2760">
        <w:rPr>
          <w:b/>
          <w:noProof/>
          <w:sz w:val="22"/>
          <w:szCs w:val="22"/>
          <w:u w:val="single"/>
          <w:lang w:eastAsia="en-US"/>
        </w:rPr>
        <w:t>Αναφορά ανεπιθύμητων ενεργειών</w:t>
      </w:r>
    </w:p>
    <w:p w:rsidR="001A2760" w:rsidRPr="001A2760" w:rsidRDefault="001A2760" w:rsidP="001A2760">
      <w:pPr>
        <w:widowControl w:val="0"/>
        <w:jc w:val="both"/>
        <w:rPr>
          <w:sz w:val="22"/>
          <w:szCs w:val="22"/>
          <w:lang w:eastAsia="en-US"/>
        </w:rPr>
      </w:pPr>
      <w:r w:rsidRPr="001A2760">
        <w:rPr>
          <w:sz w:val="22"/>
          <w:szCs w:val="22"/>
          <w:lang w:eastAsia="en-US"/>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w:t>
      </w:r>
      <w:r w:rsidRPr="001A2760">
        <w:rPr>
          <w:noProof/>
          <w:sz w:val="22"/>
          <w:szCs w:val="22"/>
          <w:lang w:eastAsia="en-US"/>
        </w:rPr>
        <w:t xml:space="preserve"> </w:t>
      </w:r>
      <w:r w:rsidRPr="001A2760">
        <w:rPr>
          <w:sz w:val="22"/>
          <w:szCs w:val="22"/>
          <w:lang w:eastAsia="en-US"/>
        </w:rPr>
        <w:t>Μπορείτε επίσης να αναφέρετε ανεπιθύμητες ενέργειες</w:t>
      </w:r>
      <w:r w:rsidRPr="001A2760">
        <w:rPr>
          <w:noProof/>
          <w:sz w:val="22"/>
          <w:szCs w:val="22"/>
          <w:lang w:eastAsia="en-US"/>
        </w:rPr>
        <w:t xml:space="preserve"> </w:t>
      </w:r>
      <w:r w:rsidRPr="001A2760">
        <w:rPr>
          <w:sz w:val="22"/>
          <w:szCs w:val="22"/>
          <w:lang w:eastAsia="en-US"/>
        </w:rPr>
        <w:t>απευθείας:</w:t>
      </w:r>
    </w:p>
    <w:p w:rsidR="001A2760" w:rsidRPr="001A2760" w:rsidRDefault="001A2760" w:rsidP="001A2760">
      <w:pPr>
        <w:widowControl w:val="0"/>
        <w:jc w:val="both"/>
        <w:rPr>
          <w:sz w:val="22"/>
          <w:szCs w:val="22"/>
          <w:lang w:eastAsia="en-US"/>
        </w:rPr>
      </w:pPr>
    </w:p>
    <w:p w:rsidR="001A2760" w:rsidRPr="001A2760" w:rsidRDefault="001A2760" w:rsidP="001A2760">
      <w:pPr>
        <w:widowControl w:val="0"/>
        <w:jc w:val="both"/>
        <w:rPr>
          <w:i/>
          <w:sz w:val="22"/>
          <w:szCs w:val="22"/>
          <w:lang w:eastAsia="en-US"/>
        </w:rPr>
      </w:pPr>
      <w:r w:rsidRPr="001A2760">
        <w:rPr>
          <w:i/>
          <w:sz w:val="22"/>
          <w:szCs w:val="22"/>
          <w:lang w:eastAsia="en-US"/>
        </w:rPr>
        <w:t>Για την Ελλάδα:</w:t>
      </w:r>
    </w:p>
    <w:p w:rsidR="001A2760" w:rsidRPr="001A2760" w:rsidRDefault="001A2760" w:rsidP="001A2760">
      <w:pPr>
        <w:widowControl w:val="0"/>
        <w:jc w:val="both"/>
        <w:rPr>
          <w:rFonts w:eastAsia="Calibri"/>
          <w:noProof/>
          <w:sz w:val="22"/>
          <w:szCs w:val="22"/>
          <w:lang w:eastAsia="zh-CN"/>
        </w:rPr>
      </w:pPr>
      <w:r w:rsidRPr="001A2760">
        <w:rPr>
          <w:sz w:val="22"/>
          <w:szCs w:val="22"/>
          <w:lang w:eastAsia="en-US"/>
        </w:rPr>
        <w:t xml:space="preserve">Εθνικός Οργανισμός Φαρμάκων, Μεσογείων </w:t>
      </w:r>
      <w:r w:rsidRPr="001A2760">
        <w:rPr>
          <w:rFonts w:eastAsia="Calibri"/>
          <w:noProof/>
          <w:sz w:val="22"/>
          <w:szCs w:val="22"/>
          <w:lang w:eastAsia="zh-CN"/>
        </w:rPr>
        <w:t xml:space="preserve">284, </w:t>
      </w:r>
      <w:r w:rsidRPr="001A2760">
        <w:rPr>
          <w:rFonts w:eastAsia="Calibri"/>
          <w:noProof/>
          <w:sz w:val="22"/>
          <w:szCs w:val="22"/>
          <w:lang w:val="en-US" w:eastAsia="zh-CN"/>
        </w:rPr>
        <w:t>GR</w:t>
      </w:r>
      <w:r w:rsidRPr="001A2760">
        <w:rPr>
          <w:rFonts w:eastAsia="Calibri"/>
          <w:noProof/>
          <w:sz w:val="22"/>
          <w:szCs w:val="22"/>
          <w:lang w:eastAsia="zh-CN"/>
        </w:rPr>
        <w:t xml:space="preserve">-15562 Χολαργός, Αθήνα, τηλ: (+30) </w:t>
      </w:r>
      <w:r w:rsidRPr="001A2760">
        <w:rPr>
          <w:rFonts w:eastAsia="Calibri"/>
          <w:sz w:val="22"/>
          <w:szCs w:val="22"/>
          <w:lang w:eastAsia="zh-CN"/>
        </w:rPr>
        <w:t>213 2040380/337</w:t>
      </w:r>
      <w:r w:rsidRPr="001A2760">
        <w:rPr>
          <w:rFonts w:eastAsia="Calibri"/>
          <w:noProof/>
          <w:sz w:val="22"/>
          <w:szCs w:val="22"/>
          <w:lang w:eastAsia="zh-CN"/>
        </w:rPr>
        <w:t>, φ</w:t>
      </w:r>
      <w:r w:rsidRPr="001A2760">
        <w:rPr>
          <w:rFonts w:eastAsia="Calibri"/>
          <w:sz w:val="22"/>
          <w:szCs w:val="22"/>
          <w:lang w:eastAsia="zh-CN"/>
        </w:rPr>
        <w:t>αξ</w:t>
      </w:r>
      <w:r w:rsidRPr="001A2760">
        <w:rPr>
          <w:rFonts w:eastAsia="Calibri"/>
          <w:noProof/>
          <w:sz w:val="22"/>
          <w:szCs w:val="22"/>
          <w:lang w:eastAsia="zh-CN"/>
        </w:rPr>
        <w:t xml:space="preserve">: (+30) </w:t>
      </w:r>
      <w:r w:rsidRPr="001A2760">
        <w:rPr>
          <w:rFonts w:eastAsia="Calibri"/>
          <w:sz w:val="22"/>
          <w:szCs w:val="22"/>
          <w:lang w:eastAsia="zh-CN"/>
        </w:rPr>
        <w:t>210 6549585</w:t>
      </w:r>
      <w:r w:rsidRPr="001A2760">
        <w:rPr>
          <w:rFonts w:eastAsia="Calibri"/>
          <w:noProof/>
          <w:sz w:val="22"/>
          <w:szCs w:val="22"/>
          <w:lang w:eastAsia="zh-CN"/>
        </w:rPr>
        <w:t xml:space="preserve">, </w:t>
      </w:r>
      <w:proofErr w:type="spellStart"/>
      <w:r w:rsidRPr="001A2760">
        <w:rPr>
          <w:rFonts w:eastAsia="Calibri"/>
          <w:noProof/>
          <w:sz w:val="22"/>
          <w:szCs w:val="22"/>
          <w:lang w:eastAsia="zh-CN"/>
        </w:rPr>
        <w:t>ι</w:t>
      </w:r>
      <w:r w:rsidRPr="001A2760">
        <w:rPr>
          <w:rFonts w:eastAsia="Calibri"/>
          <w:sz w:val="22"/>
          <w:szCs w:val="22"/>
          <w:lang w:eastAsia="zh-CN"/>
        </w:rPr>
        <w:t>στότοπος</w:t>
      </w:r>
      <w:proofErr w:type="spellEnd"/>
      <w:r w:rsidRPr="001A2760">
        <w:rPr>
          <w:rFonts w:eastAsia="Calibri"/>
          <w:noProof/>
          <w:sz w:val="22"/>
          <w:szCs w:val="22"/>
          <w:lang w:eastAsia="zh-CN"/>
        </w:rPr>
        <w:t xml:space="preserve">: </w:t>
      </w:r>
      <w:hyperlink r:id="rId9" w:history="1">
        <w:r w:rsidRPr="001A2760">
          <w:rPr>
            <w:rFonts w:eastAsia="Calibri"/>
            <w:sz w:val="22"/>
            <w:szCs w:val="22"/>
            <w:lang w:eastAsia="zh-CN"/>
          </w:rPr>
          <w:t>http://www.eof.gr</w:t>
        </w:r>
      </w:hyperlink>
      <w:r w:rsidRPr="001A2760">
        <w:rPr>
          <w:sz w:val="22"/>
          <w:szCs w:val="22"/>
          <w:lang w:eastAsia="en-US"/>
        </w:rPr>
        <w:t>.</w:t>
      </w:r>
      <w:r w:rsidRPr="001A2760">
        <w:rPr>
          <w:rFonts w:eastAsia="Calibri"/>
          <w:noProof/>
          <w:sz w:val="22"/>
          <w:szCs w:val="22"/>
          <w:lang w:eastAsia="zh-CN"/>
        </w:rPr>
        <w:t xml:space="preserve"> </w:t>
      </w:r>
    </w:p>
    <w:p w:rsidR="001A2760" w:rsidRPr="001A2760" w:rsidRDefault="001A2760" w:rsidP="001A2760">
      <w:pPr>
        <w:widowControl w:val="0"/>
        <w:jc w:val="both"/>
        <w:rPr>
          <w:rFonts w:eastAsia="Calibri"/>
          <w:noProof/>
          <w:sz w:val="22"/>
          <w:szCs w:val="22"/>
          <w:lang w:eastAsia="zh-CN"/>
        </w:rPr>
      </w:pPr>
    </w:p>
    <w:p w:rsidR="001A2760" w:rsidRPr="001A2760" w:rsidRDefault="001A2760" w:rsidP="001A2760">
      <w:pPr>
        <w:widowControl w:val="0"/>
        <w:jc w:val="both"/>
        <w:rPr>
          <w:rFonts w:eastAsia="Calibri"/>
          <w:i/>
          <w:noProof/>
          <w:sz w:val="22"/>
          <w:szCs w:val="22"/>
          <w:lang w:eastAsia="zh-CN"/>
        </w:rPr>
      </w:pPr>
      <w:r w:rsidRPr="001A2760">
        <w:rPr>
          <w:rFonts w:eastAsia="Calibri"/>
          <w:i/>
          <w:noProof/>
          <w:sz w:val="22"/>
          <w:szCs w:val="22"/>
          <w:lang w:eastAsia="zh-CN"/>
        </w:rPr>
        <w:t>Για την Κύπρο:</w:t>
      </w:r>
    </w:p>
    <w:p w:rsidR="001A2760" w:rsidRPr="001A2760" w:rsidRDefault="001A2760" w:rsidP="001A2760">
      <w:pPr>
        <w:widowControl w:val="0"/>
        <w:jc w:val="both"/>
        <w:rPr>
          <w:rFonts w:eastAsia="Calibri"/>
          <w:noProof/>
          <w:sz w:val="22"/>
          <w:szCs w:val="22"/>
          <w:lang w:eastAsia="zh-CN"/>
        </w:rPr>
      </w:pPr>
      <w:r w:rsidRPr="001A2760">
        <w:rPr>
          <w:rFonts w:eastAsia="Calibri"/>
          <w:noProof/>
          <w:sz w:val="22"/>
          <w:szCs w:val="22"/>
          <w:lang w:eastAsia="zh-CN"/>
        </w:rPr>
        <w:t>Φαρμακευτικές Υπηρεσίες, Υπουργείο Υγείας, CY-1475 Λευκωσία, Φαξ: (+357) 22608649, ιστότοπος: http://www.moh.gov.cy/phs.</w:t>
      </w:r>
    </w:p>
    <w:p w:rsidR="001A2760" w:rsidRPr="001A2760" w:rsidRDefault="001A2760" w:rsidP="001A2760">
      <w:pPr>
        <w:widowControl w:val="0"/>
        <w:jc w:val="both"/>
        <w:rPr>
          <w:rFonts w:eastAsia="Calibri"/>
          <w:noProof/>
          <w:sz w:val="22"/>
          <w:szCs w:val="22"/>
          <w:lang w:eastAsia="zh-CN"/>
        </w:rPr>
      </w:pPr>
    </w:p>
    <w:p w:rsidR="001A2760" w:rsidRPr="001A2760" w:rsidRDefault="001A2760" w:rsidP="001A2760">
      <w:pPr>
        <w:widowControl w:val="0"/>
        <w:jc w:val="both"/>
        <w:rPr>
          <w:rFonts w:eastAsia="Calibri"/>
          <w:noProof/>
          <w:sz w:val="22"/>
          <w:szCs w:val="22"/>
          <w:lang w:eastAsia="zh-CN"/>
        </w:rPr>
      </w:pPr>
      <w:r w:rsidRPr="001A2760">
        <w:rPr>
          <w:sz w:val="22"/>
          <w:szCs w:val="22"/>
          <w:lang w:eastAsia="en-US"/>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1A2760">
        <w:rPr>
          <w:noProof/>
          <w:sz w:val="22"/>
          <w:szCs w:val="22"/>
          <w:lang w:eastAsia="en-US"/>
        </w:rPr>
        <w:t>.</w:t>
      </w:r>
    </w:p>
    <w:p w:rsidR="001A2760" w:rsidRPr="001A2760" w:rsidRDefault="001A2760" w:rsidP="001A2760">
      <w:pPr>
        <w:widowControl w:val="0"/>
        <w:jc w:val="both"/>
        <w:rPr>
          <w:b/>
          <w:noProof/>
          <w:sz w:val="22"/>
          <w:szCs w:val="22"/>
          <w:lang w:eastAsia="en-US"/>
        </w:rPr>
      </w:pPr>
    </w:p>
    <w:p w:rsidR="001A2760" w:rsidRPr="001A2760" w:rsidRDefault="001A2760" w:rsidP="001A2760">
      <w:pPr>
        <w:widowControl w:val="0"/>
        <w:jc w:val="both"/>
        <w:rPr>
          <w:b/>
          <w:sz w:val="22"/>
          <w:szCs w:val="22"/>
          <w:lang w:eastAsia="en-US"/>
        </w:rPr>
      </w:pPr>
      <w:r w:rsidRPr="001A2760">
        <w:rPr>
          <w:b/>
          <w:sz w:val="22"/>
          <w:szCs w:val="22"/>
          <w:lang w:eastAsia="en-US"/>
        </w:rPr>
        <w:t>5.</w:t>
      </w:r>
      <w:r w:rsidRPr="001A2760">
        <w:rPr>
          <w:b/>
          <w:sz w:val="22"/>
          <w:szCs w:val="22"/>
          <w:lang w:eastAsia="en-US"/>
        </w:rPr>
        <w:tab/>
        <w:t xml:space="preserve">Πώς να φυλάσσετε το </w:t>
      </w:r>
      <w:proofErr w:type="spellStart"/>
      <w:r w:rsidRPr="001A2760">
        <w:rPr>
          <w:b/>
          <w:sz w:val="22"/>
          <w:szCs w:val="22"/>
          <w:lang w:val="en-US" w:eastAsia="en-US"/>
        </w:rPr>
        <w:t>Beriplex</w:t>
      </w:r>
      <w:proofErr w:type="spellEnd"/>
    </w:p>
    <w:p w:rsidR="001A2760" w:rsidRPr="001A2760" w:rsidRDefault="001A2760" w:rsidP="001A2760">
      <w:pPr>
        <w:widowControl w:val="0"/>
        <w:jc w:val="both"/>
        <w:rPr>
          <w:sz w:val="22"/>
          <w:szCs w:val="22"/>
          <w:lang w:eastAsia="en-US"/>
        </w:rPr>
      </w:pPr>
    </w:p>
    <w:p w:rsidR="001A2760" w:rsidRPr="001A2760" w:rsidRDefault="001A2760" w:rsidP="001A2760">
      <w:pPr>
        <w:widowControl w:val="0"/>
        <w:numPr>
          <w:ilvl w:val="0"/>
          <w:numId w:val="38"/>
        </w:numPr>
        <w:contextualSpacing/>
        <w:jc w:val="both"/>
        <w:rPr>
          <w:noProof/>
          <w:sz w:val="22"/>
          <w:szCs w:val="22"/>
          <w:lang w:eastAsia="en-US"/>
        </w:rPr>
      </w:pPr>
      <w:r w:rsidRPr="001A2760">
        <w:rPr>
          <w:noProof/>
          <w:sz w:val="22"/>
          <w:szCs w:val="22"/>
          <w:lang w:eastAsia="en-US"/>
        </w:rPr>
        <w:t>Φυλάσσετε αυτό το φάρμακο σε μέρη που δεν το βλέπουν και δεν το φθάνουν τα παιδιά.</w:t>
      </w:r>
    </w:p>
    <w:p w:rsidR="001A2760" w:rsidRPr="001A2760" w:rsidRDefault="001A2760" w:rsidP="001A2760">
      <w:pPr>
        <w:widowControl w:val="0"/>
        <w:numPr>
          <w:ilvl w:val="0"/>
          <w:numId w:val="38"/>
        </w:numPr>
        <w:contextualSpacing/>
        <w:jc w:val="both"/>
        <w:rPr>
          <w:noProof/>
          <w:sz w:val="22"/>
          <w:szCs w:val="22"/>
          <w:lang w:eastAsia="en-US"/>
        </w:rPr>
      </w:pPr>
      <w:r w:rsidRPr="001A2760">
        <w:rPr>
          <w:noProof/>
          <w:sz w:val="22"/>
          <w:szCs w:val="22"/>
          <w:lang w:eastAsia="en-US"/>
        </w:rPr>
        <w:t>Μη χρησιμοποιείτε αυτό το φάρμακο μετά την ημερομηνία λήξης που αναφέρεται στην επισήμανση και στο κουτί.</w:t>
      </w:r>
    </w:p>
    <w:p w:rsidR="001A2760" w:rsidRPr="001A2760" w:rsidRDefault="001A2760" w:rsidP="001A2760">
      <w:pPr>
        <w:widowControl w:val="0"/>
        <w:numPr>
          <w:ilvl w:val="0"/>
          <w:numId w:val="38"/>
        </w:numPr>
        <w:contextualSpacing/>
        <w:jc w:val="both"/>
        <w:rPr>
          <w:noProof/>
          <w:sz w:val="22"/>
          <w:szCs w:val="22"/>
          <w:lang w:eastAsia="en-US"/>
        </w:rPr>
      </w:pPr>
      <w:r w:rsidRPr="001A2760">
        <w:rPr>
          <w:noProof/>
          <w:sz w:val="22"/>
          <w:szCs w:val="22"/>
          <w:lang w:eastAsia="en-US"/>
        </w:rPr>
        <w:t>Μη φυλάσσετε σε θερμοκρασία μεγαλύτερη των 25°</w:t>
      </w:r>
      <w:r w:rsidRPr="001A2760">
        <w:rPr>
          <w:noProof/>
          <w:sz w:val="22"/>
          <w:szCs w:val="22"/>
          <w:lang w:val="en-GB" w:eastAsia="en-US"/>
        </w:rPr>
        <w:t>C</w:t>
      </w:r>
      <w:r w:rsidRPr="001A2760">
        <w:rPr>
          <w:noProof/>
          <w:sz w:val="22"/>
          <w:szCs w:val="22"/>
          <w:lang w:eastAsia="en-US"/>
        </w:rPr>
        <w:t>.</w:t>
      </w:r>
    </w:p>
    <w:p w:rsidR="001A2760" w:rsidRPr="001A2760" w:rsidRDefault="001A2760" w:rsidP="001A2760">
      <w:pPr>
        <w:widowControl w:val="0"/>
        <w:numPr>
          <w:ilvl w:val="0"/>
          <w:numId w:val="38"/>
        </w:numPr>
        <w:contextualSpacing/>
        <w:jc w:val="both"/>
        <w:rPr>
          <w:noProof/>
          <w:sz w:val="22"/>
          <w:szCs w:val="22"/>
          <w:lang w:eastAsia="en-US"/>
        </w:rPr>
      </w:pPr>
      <w:r w:rsidRPr="001A2760">
        <w:rPr>
          <w:noProof/>
          <w:sz w:val="22"/>
          <w:szCs w:val="22"/>
          <w:lang w:eastAsia="en-US"/>
        </w:rPr>
        <w:t>Μην καταψύχετε.</w:t>
      </w:r>
    </w:p>
    <w:p w:rsidR="001A2760" w:rsidRPr="001A2760" w:rsidRDefault="001A2760" w:rsidP="001A2760">
      <w:pPr>
        <w:widowControl w:val="0"/>
        <w:numPr>
          <w:ilvl w:val="0"/>
          <w:numId w:val="38"/>
        </w:numPr>
        <w:contextualSpacing/>
        <w:jc w:val="both"/>
        <w:rPr>
          <w:noProof/>
          <w:sz w:val="22"/>
          <w:szCs w:val="22"/>
          <w:lang w:eastAsia="en-US"/>
        </w:rPr>
      </w:pPr>
      <w:r w:rsidRPr="001A2760">
        <w:rPr>
          <w:noProof/>
          <w:sz w:val="22"/>
          <w:szCs w:val="22"/>
          <w:lang w:eastAsia="en-US"/>
        </w:rPr>
        <w:t>Φυλάσσετε το φιαλίδιο στο εξωτερικό κουτί για να προστατεύεται από το φως.</w:t>
      </w:r>
    </w:p>
    <w:p w:rsidR="001A2760" w:rsidRPr="001A2760" w:rsidRDefault="001A2760" w:rsidP="001A2760">
      <w:pPr>
        <w:widowControl w:val="0"/>
        <w:numPr>
          <w:ilvl w:val="0"/>
          <w:numId w:val="38"/>
        </w:numPr>
        <w:contextualSpacing/>
        <w:jc w:val="both"/>
        <w:rPr>
          <w:noProof/>
          <w:sz w:val="22"/>
          <w:szCs w:val="22"/>
          <w:lang w:eastAsia="en-US"/>
        </w:rPr>
      </w:pPr>
      <w:r w:rsidRPr="001A2760">
        <w:rPr>
          <w:noProof/>
          <w:sz w:val="22"/>
          <w:szCs w:val="22"/>
          <w:lang w:eastAsia="en-US"/>
        </w:rPr>
        <w:t xml:space="preserve">Το </w:t>
      </w:r>
      <w:r w:rsidRPr="001A2760">
        <w:rPr>
          <w:noProof/>
          <w:sz w:val="22"/>
          <w:szCs w:val="22"/>
          <w:lang w:val="en-GB" w:eastAsia="en-US"/>
        </w:rPr>
        <w:t>Beriplex</w:t>
      </w:r>
      <w:r w:rsidRPr="001A2760">
        <w:rPr>
          <w:noProof/>
          <w:sz w:val="22"/>
          <w:szCs w:val="22"/>
          <w:lang w:eastAsia="en-US"/>
        </w:rPr>
        <w:t xml:space="preserve"> δεν περιέχει κανένα συντηρητικό, γι’ αυτό το έτοιμο διάλυμα πρέπει να χρησιμοποιείται άμεσα.</w:t>
      </w:r>
    </w:p>
    <w:p w:rsidR="001A2760" w:rsidRPr="001A2760" w:rsidRDefault="001A2760" w:rsidP="001A2760">
      <w:pPr>
        <w:widowControl w:val="0"/>
        <w:jc w:val="both"/>
        <w:rPr>
          <w:noProof/>
          <w:sz w:val="22"/>
          <w:szCs w:val="22"/>
          <w:lang w:eastAsia="en-US"/>
        </w:rPr>
      </w:pPr>
    </w:p>
    <w:p w:rsidR="001A2760" w:rsidRPr="001A2760" w:rsidRDefault="001A2760" w:rsidP="001A2760">
      <w:pPr>
        <w:widowControl w:val="0"/>
        <w:jc w:val="both"/>
        <w:rPr>
          <w:noProof/>
          <w:sz w:val="22"/>
          <w:szCs w:val="22"/>
          <w:lang w:eastAsia="en-US"/>
        </w:rPr>
      </w:pPr>
    </w:p>
    <w:p w:rsidR="001A2760" w:rsidRPr="001A2760" w:rsidRDefault="001A2760" w:rsidP="001A2760">
      <w:pPr>
        <w:widowControl w:val="0"/>
        <w:jc w:val="both"/>
        <w:rPr>
          <w:b/>
          <w:noProof/>
          <w:sz w:val="22"/>
          <w:szCs w:val="22"/>
          <w:lang w:eastAsia="en-US"/>
        </w:rPr>
      </w:pPr>
      <w:r w:rsidRPr="001A2760">
        <w:rPr>
          <w:b/>
          <w:noProof/>
          <w:sz w:val="22"/>
          <w:szCs w:val="22"/>
          <w:lang w:eastAsia="en-US"/>
        </w:rPr>
        <w:t>6.</w:t>
      </w:r>
      <w:r w:rsidRPr="001A2760">
        <w:rPr>
          <w:b/>
          <w:noProof/>
          <w:sz w:val="22"/>
          <w:szCs w:val="22"/>
          <w:lang w:eastAsia="en-US"/>
        </w:rPr>
        <w:tab/>
        <w:t xml:space="preserve"> Περιεχόμενα της συσκευασίας και λοιπές πληροφορίες</w:t>
      </w:r>
    </w:p>
    <w:p w:rsidR="001A2760" w:rsidRPr="001A2760" w:rsidRDefault="001A2760" w:rsidP="001A2760">
      <w:pPr>
        <w:widowControl w:val="0"/>
        <w:jc w:val="both"/>
        <w:rPr>
          <w:noProof/>
          <w:sz w:val="22"/>
          <w:szCs w:val="22"/>
          <w:lang w:eastAsia="en-US"/>
        </w:rPr>
      </w:pPr>
    </w:p>
    <w:p w:rsidR="001A2760" w:rsidRPr="001A2760" w:rsidRDefault="001A2760" w:rsidP="001A2760">
      <w:pPr>
        <w:widowControl w:val="0"/>
        <w:jc w:val="both"/>
        <w:rPr>
          <w:b/>
          <w:bCs/>
          <w:noProof/>
          <w:sz w:val="22"/>
          <w:szCs w:val="22"/>
          <w:lang w:eastAsia="en-US"/>
        </w:rPr>
      </w:pPr>
      <w:r w:rsidRPr="001A2760">
        <w:rPr>
          <w:b/>
          <w:bCs/>
          <w:noProof/>
          <w:sz w:val="22"/>
          <w:szCs w:val="22"/>
          <w:lang w:eastAsia="en-US"/>
        </w:rPr>
        <w:t xml:space="preserve">Τι περιέχει το </w:t>
      </w:r>
      <w:r w:rsidRPr="001A2760">
        <w:rPr>
          <w:b/>
          <w:noProof/>
          <w:sz w:val="22"/>
          <w:szCs w:val="22"/>
          <w:lang w:val="en-GB" w:eastAsia="en-US"/>
        </w:rPr>
        <w:t>Beriplex</w:t>
      </w:r>
    </w:p>
    <w:p w:rsidR="001A2760" w:rsidRPr="001A2760" w:rsidRDefault="001A2760" w:rsidP="001A2760">
      <w:pPr>
        <w:widowControl w:val="0"/>
        <w:jc w:val="both"/>
        <w:rPr>
          <w:noProof/>
          <w:sz w:val="22"/>
          <w:szCs w:val="22"/>
          <w:lang w:eastAsia="en-US"/>
        </w:rPr>
      </w:pPr>
      <w:r w:rsidRPr="001A2760">
        <w:rPr>
          <w:noProof/>
          <w:sz w:val="22"/>
          <w:szCs w:val="22"/>
          <w:lang w:eastAsia="en-US"/>
        </w:rPr>
        <w:t xml:space="preserve">Το </w:t>
      </w:r>
      <w:r w:rsidRPr="001A2760">
        <w:rPr>
          <w:noProof/>
          <w:sz w:val="22"/>
          <w:szCs w:val="22"/>
          <w:lang w:val="en-GB" w:eastAsia="en-US"/>
        </w:rPr>
        <w:t>Beriplex</w:t>
      </w:r>
      <w:r w:rsidRPr="001A2760">
        <w:rPr>
          <w:noProof/>
          <w:sz w:val="22"/>
          <w:szCs w:val="22"/>
          <w:lang w:eastAsia="en-US"/>
        </w:rPr>
        <w:t xml:space="preserve"> περιέχει 400- 620 </w:t>
      </w:r>
      <w:r w:rsidRPr="001A2760">
        <w:rPr>
          <w:noProof/>
          <w:sz w:val="22"/>
          <w:szCs w:val="22"/>
          <w:lang w:val="en-GB" w:eastAsia="en-US"/>
        </w:rPr>
        <w:t>IU</w:t>
      </w:r>
      <w:r w:rsidRPr="001A2760">
        <w:rPr>
          <w:noProof/>
          <w:sz w:val="22"/>
          <w:szCs w:val="22"/>
          <w:lang w:eastAsia="en-US"/>
        </w:rPr>
        <w:t xml:space="preserve"> ανθρώπινου παράγοντα πήξης ΙΧ ανά φιαλίδιο.</w:t>
      </w:r>
    </w:p>
    <w:p w:rsidR="001A2760" w:rsidRPr="001A2760" w:rsidRDefault="001A2760" w:rsidP="001A2760">
      <w:pPr>
        <w:widowControl w:val="0"/>
        <w:jc w:val="both"/>
        <w:rPr>
          <w:noProof/>
          <w:sz w:val="22"/>
          <w:szCs w:val="22"/>
          <w:lang w:eastAsia="en-US"/>
        </w:rPr>
      </w:pPr>
    </w:p>
    <w:p w:rsidR="001A2760" w:rsidRPr="001A2760" w:rsidRDefault="001A2760" w:rsidP="001A2760">
      <w:pPr>
        <w:widowControl w:val="0"/>
        <w:jc w:val="both"/>
        <w:rPr>
          <w:b/>
          <w:noProof/>
          <w:sz w:val="22"/>
          <w:szCs w:val="22"/>
          <w:lang w:eastAsia="en-US"/>
        </w:rPr>
      </w:pPr>
      <w:r w:rsidRPr="001A2760">
        <w:rPr>
          <w:b/>
          <w:noProof/>
          <w:sz w:val="22"/>
          <w:szCs w:val="22"/>
          <w:lang w:eastAsia="en-US"/>
        </w:rPr>
        <w:t>Η δραστική ουσία είναι:</w:t>
      </w:r>
    </w:p>
    <w:p w:rsidR="001A2760" w:rsidRPr="001A2760" w:rsidRDefault="001A2760" w:rsidP="001A2760">
      <w:pPr>
        <w:widowControl w:val="0"/>
        <w:jc w:val="both"/>
        <w:rPr>
          <w:noProof/>
          <w:sz w:val="22"/>
          <w:szCs w:val="22"/>
          <w:lang w:eastAsia="en-US"/>
        </w:rPr>
      </w:pPr>
      <w:r w:rsidRPr="001A2760">
        <w:rPr>
          <w:noProof/>
          <w:sz w:val="22"/>
          <w:szCs w:val="22"/>
          <w:lang w:eastAsia="en-US"/>
        </w:rPr>
        <w:t xml:space="preserve">Ένα συμπύκνωμα των ανθρώπινων παραγόντων πήξης </w:t>
      </w:r>
      <w:r w:rsidRPr="001A2760">
        <w:rPr>
          <w:noProof/>
          <w:sz w:val="22"/>
          <w:szCs w:val="22"/>
          <w:lang w:val="en-GB" w:eastAsia="en-US"/>
        </w:rPr>
        <w:t>II</w:t>
      </w:r>
      <w:r w:rsidRPr="001A2760">
        <w:rPr>
          <w:noProof/>
          <w:sz w:val="22"/>
          <w:szCs w:val="22"/>
          <w:lang w:eastAsia="en-US"/>
        </w:rPr>
        <w:t xml:space="preserve">, </w:t>
      </w:r>
      <w:r w:rsidRPr="001A2760">
        <w:rPr>
          <w:noProof/>
          <w:sz w:val="22"/>
          <w:szCs w:val="22"/>
          <w:lang w:val="en-GB" w:eastAsia="en-US"/>
        </w:rPr>
        <w:t>VII</w:t>
      </w:r>
      <w:r w:rsidRPr="001A2760">
        <w:rPr>
          <w:noProof/>
          <w:sz w:val="22"/>
          <w:szCs w:val="22"/>
          <w:lang w:eastAsia="en-US"/>
        </w:rPr>
        <w:t xml:space="preserve">, </w:t>
      </w:r>
      <w:r w:rsidRPr="001A2760">
        <w:rPr>
          <w:noProof/>
          <w:sz w:val="22"/>
          <w:szCs w:val="22"/>
          <w:lang w:val="en-GB" w:eastAsia="en-US"/>
        </w:rPr>
        <w:t>IX</w:t>
      </w:r>
      <w:r w:rsidRPr="001A2760">
        <w:rPr>
          <w:noProof/>
          <w:sz w:val="22"/>
          <w:szCs w:val="22"/>
          <w:lang w:eastAsia="en-US"/>
        </w:rPr>
        <w:t xml:space="preserve"> και Χ και των πρωτεϊνών </w:t>
      </w:r>
      <w:r w:rsidRPr="001A2760">
        <w:rPr>
          <w:noProof/>
          <w:sz w:val="22"/>
          <w:szCs w:val="22"/>
          <w:lang w:val="en-GB" w:eastAsia="en-US"/>
        </w:rPr>
        <w:t>C</w:t>
      </w:r>
      <w:r w:rsidRPr="001A2760">
        <w:rPr>
          <w:noProof/>
          <w:sz w:val="22"/>
          <w:szCs w:val="22"/>
          <w:lang w:eastAsia="en-US"/>
        </w:rPr>
        <w:t xml:space="preserve"> και </w:t>
      </w:r>
      <w:r w:rsidRPr="001A2760">
        <w:rPr>
          <w:noProof/>
          <w:sz w:val="22"/>
          <w:szCs w:val="22"/>
          <w:lang w:val="en-GB" w:eastAsia="en-US"/>
        </w:rPr>
        <w:t>S</w:t>
      </w:r>
      <w:r w:rsidRPr="001A2760">
        <w:rPr>
          <w:noProof/>
          <w:sz w:val="22"/>
          <w:szCs w:val="22"/>
          <w:lang w:eastAsia="en-US"/>
        </w:rPr>
        <w:t>.</w:t>
      </w:r>
    </w:p>
    <w:p w:rsidR="001A2760" w:rsidRPr="001A2760" w:rsidRDefault="001A2760" w:rsidP="001A2760">
      <w:pPr>
        <w:widowControl w:val="0"/>
        <w:jc w:val="both"/>
        <w:rPr>
          <w:noProof/>
          <w:sz w:val="22"/>
          <w:szCs w:val="22"/>
          <w:lang w:eastAsia="en-US"/>
        </w:rPr>
      </w:pPr>
    </w:p>
    <w:p w:rsidR="001A2760" w:rsidRPr="001A2760" w:rsidRDefault="001A2760" w:rsidP="001A2760">
      <w:pPr>
        <w:widowControl w:val="0"/>
        <w:jc w:val="both"/>
        <w:rPr>
          <w:b/>
          <w:noProof/>
          <w:sz w:val="22"/>
          <w:szCs w:val="22"/>
          <w:lang w:eastAsia="en-US"/>
        </w:rPr>
      </w:pPr>
      <w:r w:rsidRPr="001A2760">
        <w:rPr>
          <w:b/>
          <w:noProof/>
          <w:sz w:val="22"/>
          <w:szCs w:val="22"/>
          <w:lang w:eastAsia="en-US"/>
        </w:rPr>
        <w:t>Τα άλλα συστατικά είναι:</w:t>
      </w:r>
    </w:p>
    <w:p w:rsidR="001A2760" w:rsidRPr="001A2760" w:rsidRDefault="001A2760" w:rsidP="001A2760">
      <w:pPr>
        <w:widowControl w:val="0"/>
        <w:jc w:val="both"/>
        <w:rPr>
          <w:noProof/>
          <w:sz w:val="22"/>
          <w:szCs w:val="22"/>
          <w:lang w:eastAsia="en-US"/>
        </w:rPr>
      </w:pPr>
      <w:r w:rsidRPr="001A2760">
        <w:rPr>
          <w:noProof/>
          <w:sz w:val="22"/>
          <w:szCs w:val="22"/>
          <w:lang w:eastAsia="en-US"/>
        </w:rPr>
        <w:t xml:space="preserve">Ανθρώπινη προθρομβίνη ΙΙΙ, ηπαρίνη, ανθρώπινη λευκωματίνη, νάτριο χλωριούχο, νάτριο κιτρικό, </w:t>
      </w:r>
      <w:r w:rsidRPr="001A2760">
        <w:rPr>
          <w:noProof/>
          <w:sz w:val="22"/>
          <w:szCs w:val="22"/>
          <w:lang w:val="en-GB" w:eastAsia="en-US"/>
        </w:rPr>
        <w:t>HCl</w:t>
      </w:r>
      <w:r w:rsidRPr="001A2760">
        <w:rPr>
          <w:noProof/>
          <w:sz w:val="22"/>
          <w:szCs w:val="22"/>
          <w:lang w:eastAsia="en-US"/>
        </w:rPr>
        <w:t xml:space="preserve"> ή </w:t>
      </w:r>
      <w:r w:rsidRPr="001A2760">
        <w:rPr>
          <w:noProof/>
          <w:sz w:val="22"/>
          <w:szCs w:val="22"/>
          <w:lang w:val="en-GB" w:eastAsia="en-US"/>
        </w:rPr>
        <w:t>NaOH</w:t>
      </w:r>
      <w:r w:rsidRPr="001A2760">
        <w:rPr>
          <w:noProof/>
          <w:sz w:val="22"/>
          <w:szCs w:val="22"/>
          <w:lang w:eastAsia="en-US"/>
        </w:rPr>
        <w:t xml:space="preserve"> (σε μικρές ποσότητες για τη ρύθμιση του </w:t>
      </w:r>
      <w:r w:rsidRPr="001A2760">
        <w:rPr>
          <w:noProof/>
          <w:sz w:val="22"/>
          <w:szCs w:val="22"/>
          <w:lang w:val="en-GB" w:eastAsia="en-US"/>
        </w:rPr>
        <w:t>pH</w:t>
      </w:r>
      <w:r w:rsidRPr="001A2760">
        <w:rPr>
          <w:noProof/>
          <w:sz w:val="22"/>
          <w:szCs w:val="22"/>
          <w:lang w:eastAsia="en-US"/>
        </w:rPr>
        <w:t>).</w:t>
      </w:r>
    </w:p>
    <w:p w:rsidR="001A2760" w:rsidRPr="001A2760" w:rsidRDefault="001A2760" w:rsidP="001A2760">
      <w:pPr>
        <w:widowControl w:val="0"/>
        <w:jc w:val="both"/>
        <w:rPr>
          <w:noProof/>
          <w:sz w:val="22"/>
          <w:szCs w:val="22"/>
          <w:lang w:eastAsia="en-US"/>
        </w:rPr>
      </w:pPr>
      <w:r w:rsidRPr="001A2760">
        <w:rPr>
          <w:noProof/>
          <w:sz w:val="22"/>
          <w:szCs w:val="22"/>
          <w:lang w:eastAsia="en-US"/>
        </w:rPr>
        <w:t>Διαλύτης: ύδωρ για ενέσιμα.</w:t>
      </w:r>
    </w:p>
    <w:p w:rsidR="001A2760" w:rsidRPr="001A2760" w:rsidRDefault="001A2760" w:rsidP="001A2760">
      <w:pPr>
        <w:widowControl w:val="0"/>
        <w:jc w:val="both"/>
        <w:rPr>
          <w:b/>
          <w:bCs/>
          <w:noProof/>
          <w:sz w:val="22"/>
          <w:szCs w:val="22"/>
          <w:lang w:eastAsia="en-US"/>
        </w:rPr>
      </w:pPr>
    </w:p>
    <w:p w:rsidR="001A2760" w:rsidRPr="001A2760" w:rsidRDefault="001A2760" w:rsidP="001A2760">
      <w:pPr>
        <w:widowControl w:val="0"/>
        <w:jc w:val="both"/>
        <w:rPr>
          <w:b/>
          <w:bCs/>
          <w:noProof/>
          <w:sz w:val="22"/>
          <w:szCs w:val="22"/>
          <w:lang w:eastAsia="en-US"/>
        </w:rPr>
      </w:pPr>
      <w:r w:rsidRPr="001A2760">
        <w:rPr>
          <w:b/>
          <w:bCs/>
          <w:noProof/>
          <w:sz w:val="22"/>
          <w:szCs w:val="22"/>
          <w:lang w:eastAsia="en-US"/>
        </w:rPr>
        <w:t xml:space="preserve">Εμφάνιση του </w:t>
      </w:r>
      <w:r w:rsidRPr="001A2760">
        <w:rPr>
          <w:b/>
          <w:noProof/>
          <w:sz w:val="22"/>
          <w:szCs w:val="22"/>
          <w:lang w:val="en-GB" w:eastAsia="en-US"/>
        </w:rPr>
        <w:t>Beriplex</w:t>
      </w:r>
      <w:r w:rsidRPr="001A2760">
        <w:rPr>
          <w:b/>
          <w:noProof/>
          <w:sz w:val="22"/>
          <w:szCs w:val="22"/>
          <w:lang w:eastAsia="en-US"/>
        </w:rPr>
        <w:t xml:space="preserve"> </w:t>
      </w:r>
      <w:r w:rsidRPr="001A2760">
        <w:rPr>
          <w:b/>
          <w:bCs/>
          <w:noProof/>
          <w:sz w:val="22"/>
          <w:szCs w:val="22"/>
          <w:lang w:eastAsia="en-US"/>
        </w:rPr>
        <w:t>και περιεχόμενα της συσκευασίας</w:t>
      </w:r>
    </w:p>
    <w:p w:rsidR="001A2760" w:rsidRPr="001A2760" w:rsidRDefault="001A2760" w:rsidP="001A2760">
      <w:pPr>
        <w:widowControl w:val="0"/>
        <w:jc w:val="both"/>
        <w:rPr>
          <w:noProof/>
          <w:sz w:val="22"/>
          <w:szCs w:val="22"/>
          <w:lang w:eastAsia="en-US"/>
        </w:rPr>
      </w:pPr>
      <w:r w:rsidRPr="001A2760">
        <w:rPr>
          <w:noProof/>
          <w:sz w:val="22"/>
          <w:szCs w:val="22"/>
          <w:lang w:eastAsia="en-US"/>
        </w:rPr>
        <w:t xml:space="preserve">Το </w:t>
      </w:r>
      <w:r w:rsidRPr="001A2760">
        <w:rPr>
          <w:noProof/>
          <w:sz w:val="22"/>
          <w:szCs w:val="22"/>
          <w:lang w:val="en-GB" w:eastAsia="en-US"/>
        </w:rPr>
        <w:t>Beriplex</w:t>
      </w:r>
      <w:r w:rsidRPr="001A2760">
        <w:rPr>
          <w:noProof/>
          <w:sz w:val="22"/>
          <w:szCs w:val="22"/>
          <w:lang w:eastAsia="en-US"/>
        </w:rPr>
        <w:t xml:space="preserve"> είναι μια λευκή ή ανοιχτόχρωμη κόνις συνοδευόμενη από ύδωρ για ενέσιμα ως διαλύτη. Η κόνις πρέπει να διαλυθεί σε 20 </w:t>
      </w:r>
      <w:r w:rsidRPr="001A2760">
        <w:rPr>
          <w:noProof/>
          <w:sz w:val="22"/>
          <w:szCs w:val="22"/>
          <w:lang w:val="en-US" w:eastAsia="en-US"/>
        </w:rPr>
        <w:t>ml</w:t>
      </w:r>
      <w:r w:rsidRPr="001A2760">
        <w:rPr>
          <w:noProof/>
          <w:sz w:val="22"/>
          <w:szCs w:val="22"/>
          <w:lang w:eastAsia="en-US"/>
        </w:rPr>
        <w:t xml:space="preserve"> ύδατος για ενέσιμα.</w:t>
      </w:r>
    </w:p>
    <w:p w:rsidR="001A2760" w:rsidRPr="001A2760" w:rsidRDefault="001A2760" w:rsidP="001A2760">
      <w:pPr>
        <w:widowControl w:val="0"/>
        <w:jc w:val="both"/>
        <w:rPr>
          <w:noProof/>
          <w:sz w:val="22"/>
          <w:szCs w:val="22"/>
          <w:lang w:eastAsia="en-US"/>
        </w:rPr>
      </w:pPr>
      <w:r w:rsidRPr="001A2760">
        <w:rPr>
          <w:noProof/>
          <w:sz w:val="22"/>
          <w:szCs w:val="22"/>
          <w:lang w:eastAsia="en-US"/>
        </w:rPr>
        <w:t>Το διάλυμα που προκύπτει πρέπει να είναι διαυγές ή ελαφρά ιριδίζον, δηλ. μπορεί να ιριδίζει όταν τοποθετηθεί στο φως αλλά δεν πρέπει να περιέχει ορατά σωματίδια.</w:t>
      </w:r>
    </w:p>
    <w:p w:rsidR="001A2760" w:rsidRPr="001A2760" w:rsidRDefault="001A2760" w:rsidP="001A2760">
      <w:pPr>
        <w:widowControl w:val="0"/>
        <w:jc w:val="both"/>
        <w:rPr>
          <w:noProof/>
          <w:sz w:val="22"/>
          <w:szCs w:val="22"/>
          <w:lang w:eastAsia="en-US"/>
        </w:rPr>
      </w:pPr>
    </w:p>
    <w:p w:rsidR="001A2760" w:rsidRPr="001A2760" w:rsidRDefault="001A2760" w:rsidP="001A2760">
      <w:pPr>
        <w:widowControl w:val="0"/>
        <w:jc w:val="both"/>
        <w:rPr>
          <w:b/>
          <w:i/>
          <w:noProof/>
          <w:sz w:val="22"/>
          <w:szCs w:val="22"/>
          <w:lang w:eastAsia="en-US"/>
        </w:rPr>
      </w:pPr>
      <w:r w:rsidRPr="001A2760">
        <w:rPr>
          <w:b/>
          <w:i/>
          <w:noProof/>
          <w:sz w:val="22"/>
          <w:szCs w:val="22"/>
          <w:lang w:eastAsia="en-US"/>
        </w:rPr>
        <w:t>Συσκευασία:</w:t>
      </w:r>
    </w:p>
    <w:p w:rsidR="001A2760" w:rsidRPr="001A2760" w:rsidRDefault="001A2760" w:rsidP="001A2760">
      <w:pPr>
        <w:widowControl w:val="0"/>
        <w:jc w:val="both"/>
        <w:rPr>
          <w:noProof/>
          <w:sz w:val="22"/>
          <w:szCs w:val="22"/>
          <w:lang w:eastAsia="en-US"/>
        </w:rPr>
      </w:pPr>
      <w:r w:rsidRPr="001A2760">
        <w:rPr>
          <w:noProof/>
          <w:sz w:val="22"/>
          <w:szCs w:val="22"/>
          <w:lang w:eastAsia="en-US"/>
        </w:rPr>
        <w:t xml:space="preserve">Μια συσκευασία των 500 </w:t>
      </w:r>
      <w:r w:rsidRPr="001A2760">
        <w:rPr>
          <w:noProof/>
          <w:sz w:val="22"/>
          <w:szCs w:val="22"/>
          <w:lang w:val="en-GB" w:eastAsia="en-US"/>
        </w:rPr>
        <w:t>IU</w:t>
      </w:r>
      <w:r w:rsidRPr="001A2760">
        <w:rPr>
          <w:noProof/>
          <w:sz w:val="22"/>
          <w:szCs w:val="22"/>
          <w:lang w:eastAsia="en-US"/>
        </w:rPr>
        <w:t xml:space="preserve"> περιέχει:</w:t>
      </w:r>
    </w:p>
    <w:p w:rsidR="001A2760" w:rsidRPr="001A2760" w:rsidRDefault="001A2760" w:rsidP="001A2760">
      <w:pPr>
        <w:widowControl w:val="0"/>
        <w:numPr>
          <w:ilvl w:val="0"/>
          <w:numId w:val="11"/>
        </w:numPr>
        <w:tabs>
          <w:tab w:val="num" w:pos="284"/>
        </w:tabs>
        <w:ind w:left="284" w:hanging="284"/>
        <w:jc w:val="both"/>
        <w:rPr>
          <w:bCs/>
          <w:noProof/>
          <w:sz w:val="22"/>
          <w:szCs w:val="22"/>
          <w:lang w:eastAsia="en-US"/>
        </w:rPr>
      </w:pPr>
      <w:r w:rsidRPr="001A2760">
        <w:rPr>
          <w:bCs/>
          <w:noProof/>
          <w:sz w:val="22"/>
          <w:szCs w:val="22"/>
          <w:lang w:eastAsia="en-US"/>
        </w:rPr>
        <w:t>1 φιαλίδιο με κόνι</w:t>
      </w:r>
    </w:p>
    <w:p w:rsidR="001A2760" w:rsidRPr="001A2760" w:rsidRDefault="001A2760" w:rsidP="001A2760">
      <w:pPr>
        <w:widowControl w:val="0"/>
        <w:numPr>
          <w:ilvl w:val="0"/>
          <w:numId w:val="11"/>
        </w:numPr>
        <w:tabs>
          <w:tab w:val="num" w:pos="284"/>
        </w:tabs>
        <w:ind w:left="284" w:hanging="284"/>
        <w:jc w:val="both"/>
        <w:rPr>
          <w:bCs/>
          <w:noProof/>
          <w:sz w:val="22"/>
          <w:szCs w:val="22"/>
          <w:lang w:eastAsia="en-US"/>
        </w:rPr>
      </w:pPr>
      <w:r w:rsidRPr="001A2760">
        <w:rPr>
          <w:bCs/>
          <w:noProof/>
          <w:sz w:val="22"/>
          <w:szCs w:val="22"/>
          <w:lang w:eastAsia="en-US"/>
        </w:rPr>
        <w:t xml:space="preserve">1 φιαλίδιο με 20 </w:t>
      </w:r>
      <w:r w:rsidRPr="001A2760">
        <w:rPr>
          <w:bCs/>
          <w:noProof/>
          <w:sz w:val="22"/>
          <w:szCs w:val="22"/>
          <w:lang w:val="en-GB" w:eastAsia="en-US"/>
        </w:rPr>
        <w:t>ml</w:t>
      </w:r>
      <w:r w:rsidRPr="001A2760">
        <w:rPr>
          <w:bCs/>
          <w:noProof/>
          <w:sz w:val="22"/>
          <w:szCs w:val="22"/>
          <w:lang w:eastAsia="en-US"/>
        </w:rPr>
        <w:t xml:space="preserve"> ύδωρ για ενέσιμα</w:t>
      </w:r>
    </w:p>
    <w:p w:rsidR="001A2760" w:rsidRPr="001A2760" w:rsidRDefault="001A2760" w:rsidP="001A2760">
      <w:pPr>
        <w:widowControl w:val="0"/>
        <w:numPr>
          <w:ilvl w:val="0"/>
          <w:numId w:val="11"/>
        </w:numPr>
        <w:tabs>
          <w:tab w:val="num" w:pos="284"/>
        </w:tabs>
        <w:ind w:left="284" w:hanging="284"/>
        <w:jc w:val="both"/>
        <w:rPr>
          <w:bCs/>
          <w:noProof/>
          <w:sz w:val="22"/>
          <w:szCs w:val="22"/>
          <w:lang w:eastAsia="en-US"/>
        </w:rPr>
      </w:pPr>
      <w:r w:rsidRPr="001A2760">
        <w:rPr>
          <w:bCs/>
          <w:noProof/>
          <w:sz w:val="22"/>
          <w:szCs w:val="22"/>
          <w:lang w:val="en-GB" w:eastAsia="en-US"/>
        </w:rPr>
        <w:t xml:space="preserve">1 </w:t>
      </w:r>
      <w:r w:rsidRPr="001A2760">
        <w:rPr>
          <w:bCs/>
          <w:noProof/>
          <w:sz w:val="22"/>
          <w:szCs w:val="22"/>
          <w:lang w:eastAsia="en-US"/>
        </w:rPr>
        <w:t>συσκευή μεταφοράς με φίλτρο 20/20</w:t>
      </w:r>
    </w:p>
    <w:p w:rsidR="001A2760" w:rsidRPr="001A2760" w:rsidRDefault="001A2760" w:rsidP="001A2760">
      <w:pPr>
        <w:widowControl w:val="0"/>
        <w:jc w:val="both"/>
        <w:rPr>
          <w:b/>
          <w:bCs/>
          <w:noProof/>
          <w:sz w:val="22"/>
          <w:szCs w:val="22"/>
          <w:lang w:eastAsia="en-US"/>
        </w:rPr>
      </w:pPr>
    </w:p>
    <w:p w:rsidR="001A2760" w:rsidRPr="001A2760" w:rsidRDefault="001A2760" w:rsidP="001A2760">
      <w:pPr>
        <w:widowControl w:val="0"/>
        <w:jc w:val="both"/>
        <w:rPr>
          <w:noProof/>
          <w:sz w:val="22"/>
          <w:szCs w:val="22"/>
          <w:lang w:eastAsia="en-US"/>
        </w:rPr>
      </w:pPr>
      <w:r w:rsidRPr="001A2760">
        <w:rPr>
          <w:b/>
          <w:bCs/>
          <w:noProof/>
          <w:sz w:val="22"/>
          <w:szCs w:val="22"/>
          <w:lang w:eastAsia="en-US"/>
        </w:rPr>
        <w:t>Κάτοχος Άδειας Κυκλοφορίας και Παρασκευαστής</w:t>
      </w:r>
    </w:p>
    <w:p w:rsidR="001A2760" w:rsidRPr="001A2760" w:rsidRDefault="001A2760" w:rsidP="001A2760">
      <w:pPr>
        <w:widowControl w:val="0"/>
        <w:jc w:val="both"/>
        <w:rPr>
          <w:noProof/>
          <w:sz w:val="22"/>
          <w:szCs w:val="22"/>
          <w:lang w:eastAsia="en-US"/>
        </w:rPr>
      </w:pPr>
    </w:p>
    <w:p w:rsidR="001A2760" w:rsidRPr="001A2760" w:rsidRDefault="001A2760" w:rsidP="001A2760">
      <w:pPr>
        <w:widowControl w:val="0"/>
        <w:jc w:val="both"/>
        <w:rPr>
          <w:b/>
          <w:bCs/>
          <w:noProof/>
          <w:sz w:val="22"/>
          <w:szCs w:val="22"/>
          <w:lang w:eastAsia="en-US"/>
        </w:rPr>
      </w:pPr>
      <w:r w:rsidRPr="001A2760">
        <w:rPr>
          <w:b/>
          <w:bCs/>
          <w:noProof/>
          <w:sz w:val="22"/>
          <w:szCs w:val="22"/>
          <w:lang w:eastAsia="en-US"/>
        </w:rPr>
        <w:t>Κάτοχος άδειας κυκλοφορίας στην Ελλάδα</w:t>
      </w:r>
    </w:p>
    <w:p w:rsidR="001A2760" w:rsidRPr="001A2760" w:rsidRDefault="001A2760" w:rsidP="001A2760">
      <w:pPr>
        <w:widowControl w:val="0"/>
        <w:jc w:val="both"/>
        <w:rPr>
          <w:noProof/>
          <w:sz w:val="22"/>
          <w:szCs w:val="22"/>
          <w:lang w:eastAsia="en-US"/>
        </w:rPr>
      </w:pPr>
      <w:r w:rsidRPr="001A2760">
        <w:rPr>
          <w:noProof/>
          <w:sz w:val="22"/>
          <w:szCs w:val="22"/>
          <w:lang w:val="en-US" w:eastAsia="en-US"/>
        </w:rPr>
        <w:t>CSL</w:t>
      </w:r>
      <w:r w:rsidRPr="001A2760">
        <w:rPr>
          <w:noProof/>
          <w:sz w:val="22"/>
          <w:szCs w:val="22"/>
          <w:lang w:eastAsia="en-US"/>
        </w:rPr>
        <w:t xml:space="preserve"> </w:t>
      </w:r>
      <w:r w:rsidRPr="001A2760">
        <w:rPr>
          <w:noProof/>
          <w:sz w:val="22"/>
          <w:szCs w:val="22"/>
          <w:lang w:val="en-US" w:eastAsia="en-US"/>
        </w:rPr>
        <w:t>Behring</w:t>
      </w:r>
      <w:r w:rsidRPr="001A2760">
        <w:rPr>
          <w:noProof/>
          <w:sz w:val="22"/>
          <w:szCs w:val="22"/>
          <w:lang w:eastAsia="en-US"/>
        </w:rPr>
        <w:t xml:space="preserve"> ΕΠΕ</w:t>
      </w:r>
    </w:p>
    <w:p w:rsidR="001A2760" w:rsidRPr="001A2760" w:rsidRDefault="001A2760" w:rsidP="001A2760">
      <w:pPr>
        <w:widowControl w:val="0"/>
        <w:jc w:val="both"/>
        <w:rPr>
          <w:noProof/>
          <w:sz w:val="22"/>
          <w:szCs w:val="22"/>
          <w:lang w:eastAsia="en-US"/>
        </w:rPr>
      </w:pPr>
      <w:r w:rsidRPr="001A2760">
        <w:rPr>
          <w:noProof/>
          <w:sz w:val="22"/>
          <w:szCs w:val="22"/>
          <w:lang w:eastAsia="en-US"/>
        </w:rPr>
        <w:t>Χατζηγιάννη Μέξη 5</w:t>
      </w:r>
    </w:p>
    <w:p w:rsidR="001A2760" w:rsidRPr="001A2760" w:rsidRDefault="001A2760" w:rsidP="001A2760">
      <w:pPr>
        <w:widowControl w:val="0"/>
        <w:jc w:val="both"/>
        <w:rPr>
          <w:noProof/>
          <w:sz w:val="22"/>
          <w:szCs w:val="22"/>
          <w:lang w:eastAsia="en-US"/>
        </w:rPr>
      </w:pPr>
      <w:r w:rsidRPr="001A2760">
        <w:rPr>
          <w:noProof/>
          <w:sz w:val="22"/>
          <w:szCs w:val="22"/>
          <w:lang w:eastAsia="en-US"/>
        </w:rPr>
        <w:t>11528 Αθήνα</w:t>
      </w:r>
    </w:p>
    <w:p w:rsidR="001A2760" w:rsidRPr="001A2760" w:rsidRDefault="001A2760" w:rsidP="001A2760">
      <w:pPr>
        <w:widowControl w:val="0"/>
        <w:jc w:val="both"/>
        <w:rPr>
          <w:noProof/>
          <w:sz w:val="22"/>
          <w:szCs w:val="22"/>
          <w:lang w:eastAsia="en-US"/>
        </w:rPr>
      </w:pPr>
      <w:r w:rsidRPr="001A2760">
        <w:rPr>
          <w:noProof/>
          <w:sz w:val="22"/>
          <w:szCs w:val="22"/>
          <w:lang w:eastAsia="en-US"/>
        </w:rPr>
        <w:t>Τηλ.: 210 7255660</w:t>
      </w:r>
    </w:p>
    <w:p w:rsidR="001A2760" w:rsidRPr="001A2760" w:rsidRDefault="001A2760" w:rsidP="001A2760">
      <w:pPr>
        <w:widowControl w:val="0"/>
        <w:jc w:val="both"/>
        <w:rPr>
          <w:noProof/>
          <w:sz w:val="22"/>
          <w:szCs w:val="22"/>
          <w:lang w:eastAsia="en-US"/>
        </w:rPr>
      </w:pPr>
    </w:p>
    <w:p w:rsidR="001A2760" w:rsidRPr="001A2760" w:rsidRDefault="001A2760" w:rsidP="001A2760">
      <w:pPr>
        <w:widowControl w:val="0"/>
        <w:jc w:val="both"/>
        <w:rPr>
          <w:b/>
          <w:bCs/>
          <w:noProof/>
          <w:sz w:val="22"/>
          <w:szCs w:val="22"/>
          <w:lang w:eastAsia="en-US"/>
        </w:rPr>
      </w:pPr>
      <w:r w:rsidRPr="001A2760">
        <w:rPr>
          <w:b/>
          <w:bCs/>
          <w:noProof/>
          <w:sz w:val="22"/>
          <w:szCs w:val="22"/>
          <w:lang w:eastAsia="en-US"/>
        </w:rPr>
        <w:t>Κάτοχος άδειας κυκλοφορίας στην Κύπρο</w:t>
      </w:r>
    </w:p>
    <w:p w:rsidR="001A2760" w:rsidRPr="001A2760" w:rsidRDefault="001A2760" w:rsidP="001A2760">
      <w:pPr>
        <w:widowControl w:val="0"/>
        <w:jc w:val="both"/>
        <w:rPr>
          <w:bCs/>
          <w:noProof/>
          <w:sz w:val="22"/>
          <w:szCs w:val="22"/>
          <w:lang w:val="de-DE" w:eastAsia="en-US"/>
        </w:rPr>
      </w:pPr>
      <w:r w:rsidRPr="001A2760">
        <w:rPr>
          <w:bCs/>
          <w:noProof/>
          <w:sz w:val="22"/>
          <w:szCs w:val="22"/>
          <w:lang w:val="de-DE" w:eastAsia="en-US"/>
        </w:rPr>
        <w:t>CSL Behring</w:t>
      </w:r>
      <w:r w:rsidRPr="001A2760">
        <w:rPr>
          <w:bCs/>
          <w:noProof/>
          <w:sz w:val="22"/>
          <w:szCs w:val="22"/>
          <w:lang w:val="en-US" w:eastAsia="en-US"/>
        </w:rPr>
        <w:t xml:space="preserve"> </w:t>
      </w:r>
      <w:r w:rsidRPr="001A2760">
        <w:rPr>
          <w:bCs/>
          <w:noProof/>
          <w:sz w:val="22"/>
          <w:szCs w:val="22"/>
          <w:lang w:val="de-DE" w:eastAsia="en-US"/>
        </w:rPr>
        <w:t>GmbH</w:t>
      </w:r>
    </w:p>
    <w:p w:rsidR="001A2760" w:rsidRPr="001A2760" w:rsidRDefault="001A2760" w:rsidP="001A2760">
      <w:pPr>
        <w:widowControl w:val="0"/>
        <w:jc w:val="both"/>
        <w:rPr>
          <w:bCs/>
          <w:noProof/>
          <w:sz w:val="22"/>
          <w:szCs w:val="22"/>
          <w:lang w:val="de-DE" w:eastAsia="en-US"/>
        </w:rPr>
      </w:pPr>
      <w:r w:rsidRPr="001A2760">
        <w:rPr>
          <w:bCs/>
          <w:noProof/>
          <w:sz w:val="22"/>
          <w:szCs w:val="22"/>
          <w:lang w:val="de-DE" w:eastAsia="en-US"/>
        </w:rPr>
        <w:t>Emil-von-Strasse 76</w:t>
      </w:r>
    </w:p>
    <w:p w:rsidR="001A2760" w:rsidRPr="001A2760" w:rsidRDefault="001A2760" w:rsidP="001A2760">
      <w:pPr>
        <w:widowControl w:val="0"/>
        <w:jc w:val="both"/>
        <w:rPr>
          <w:bCs/>
          <w:noProof/>
          <w:sz w:val="22"/>
          <w:szCs w:val="22"/>
          <w:lang w:val="de-DE" w:eastAsia="en-US"/>
        </w:rPr>
      </w:pPr>
      <w:r w:rsidRPr="001A2760">
        <w:rPr>
          <w:bCs/>
          <w:noProof/>
          <w:sz w:val="22"/>
          <w:szCs w:val="22"/>
          <w:lang w:val="de-DE" w:eastAsia="en-US"/>
        </w:rPr>
        <w:lastRenderedPageBreak/>
        <w:t>35041 Marburg</w:t>
      </w:r>
    </w:p>
    <w:p w:rsidR="001A2760" w:rsidRPr="001A2760" w:rsidRDefault="001A2760" w:rsidP="001A2760">
      <w:pPr>
        <w:widowControl w:val="0"/>
        <w:jc w:val="both"/>
        <w:rPr>
          <w:bCs/>
          <w:noProof/>
          <w:sz w:val="22"/>
          <w:szCs w:val="22"/>
          <w:lang w:eastAsia="en-US"/>
        </w:rPr>
      </w:pPr>
      <w:r w:rsidRPr="001A2760">
        <w:rPr>
          <w:bCs/>
          <w:noProof/>
          <w:sz w:val="22"/>
          <w:szCs w:val="22"/>
          <w:lang w:eastAsia="en-US"/>
        </w:rPr>
        <w:t>Γερμανία</w:t>
      </w:r>
    </w:p>
    <w:p w:rsidR="001A2760" w:rsidRPr="001A2760" w:rsidRDefault="001A2760" w:rsidP="001A2760">
      <w:pPr>
        <w:widowControl w:val="0"/>
        <w:jc w:val="both"/>
        <w:rPr>
          <w:bCs/>
          <w:noProof/>
          <w:sz w:val="22"/>
          <w:szCs w:val="22"/>
          <w:lang w:eastAsia="en-US"/>
        </w:rPr>
      </w:pPr>
    </w:p>
    <w:p w:rsidR="001A2760" w:rsidRPr="001A2760" w:rsidRDefault="001A2760" w:rsidP="001A2760">
      <w:pPr>
        <w:widowControl w:val="0"/>
        <w:jc w:val="both"/>
        <w:rPr>
          <w:b/>
          <w:bCs/>
          <w:noProof/>
          <w:sz w:val="22"/>
          <w:szCs w:val="22"/>
          <w:lang w:eastAsia="en-US"/>
        </w:rPr>
      </w:pPr>
      <w:r w:rsidRPr="001A2760">
        <w:rPr>
          <w:b/>
          <w:bCs/>
          <w:noProof/>
          <w:sz w:val="22"/>
          <w:szCs w:val="22"/>
          <w:lang w:eastAsia="en-US"/>
        </w:rPr>
        <w:t>Παρασκευαστής</w:t>
      </w:r>
    </w:p>
    <w:p w:rsidR="001A2760" w:rsidRPr="001A2760" w:rsidRDefault="001A2760" w:rsidP="001A2760">
      <w:pPr>
        <w:widowControl w:val="0"/>
        <w:jc w:val="both"/>
        <w:rPr>
          <w:noProof/>
          <w:sz w:val="22"/>
          <w:szCs w:val="22"/>
          <w:lang w:val="de-DE" w:eastAsia="en-US"/>
        </w:rPr>
      </w:pPr>
      <w:r w:rsidRPr="001A2760">
        <w:rPr>
          <w:noProof/>
          <w:sz w:val="22"/>
          <w:szCs w:val="22"/>
          <w:lang w:val="de-DE" w:eastAsia="en-US"/>
        </w:rPr>
        <w:t>CSL Behring</w:t>
      </w:r>
      <w:r w:rsidRPr="001A2760">
        <w:rPr>
          <w:noProof/>
          <w:sz w:val="22"/>
          <w:szCs w:val="22"/>
          <w:lang w:eastAsia="en-US"/>
        </w:rPr>
        <w:t xml:space="preserve"> </w:t>
      </w:r>
      <w:r w:rsidRPr="001A2760">
        <w:rPr>
          <w:noProof/>
          <w:sz w:val="22"/>
          <w:szCs w:val="22"/>
          <w:lang w:val="de-DE" w:eastAsia="en-US"/>
        </w:rPr>
        <w:t>GmbH</w:t>
      </w:r>
    </w:p>
    <w:p w:rsidR="001A2760" w:rsidRPr="001A2760" w:rsidRDefault="001A2760" w:rsidP="001A2760">
      <w:pPr>
        <w:widowControl w:val="0"/>
        <w:jc w:val="both"/>
        <w:rPr>
          <w:noProof/>
          <w:sz w:val="22"/>
          <w:szCs w:val="22"/>
          <w:lang w:val="de-DE" w:eastAsia="en-US"/>
        </w:rPr>
      </w:pPr>
      <w:r w:rsidRPr="001A2760">
        <w:rPr>
          <w:noProof/>
          <w:sz w:val="22"/>
          <w:szCs w:val="22"/>
          <w:lang w:val="de-DE" w:eastAsia="en-US"/>
        </w:rPr>
        <w:t>Emil-von-Strasse 76</w:t>
      </w:r>
    </w:p>
    <w:p w:rsidR="001A2760" w:rsidRPr="001A2760" w:rsidRDefault="001A2760" w:rsidP="001A2760">
      <w:pPr>
        <w:widowControl w:val="0"/>
        <w:jc w:val="both"/>
        <w:rPr>
          <w:noProof/>
          <w:sz w:val="22"/>
          <w:szCs w:val="22"/>
          <w:lang w:val="de-DE" w:eastAsia="en-US"/>
        </w:rPr>
      </w:pPr>
      <w:r w:rsidRPr="001A2760">
        <w:rPr>
          <w:noProof/>
          <w:sz w:val="22"/>
          <w:szCs w:val="22"/>
          <w:lang w:val="de-DE" w:eastAsia="en-US"/>
        </w:rPr>
        <w:t>35041 Marburg</w:t>
      </w:r>
    </w:p>
    <w:p w:rsidR="001A2760" w:rsidRPr="001A2760" w:rsidRDefault="001A2760" w:rsidP="001A2760">
      <w:pPr>
        <w:widowControl w:val="0"/>
        <w:jc w:val="both"/>
        <w:rPr>
          <w:noProof/>
          <w:sz w:val="22"/>
          <w:szCs w:val="22"/>
          <w:lang w:eastAsia="en-US"/>
        </w:rPr>
      </w:pPr>
      <w:r w:rsidRPr="001A2760">
        <w:rPr>
          <w:noProof/>
          <w:sz w:val="22"/>
          <w:szCs w:val="22"/>
          <w:lang w:eastAsia="en-US"/>
        </w:rPr>
        <w:t>Γερμανία</w:t>
      </w:r>
    </w:p>
    <w:p w:rsidR="001A2760" w:rsidRPr="001A2760" w:rsidRDefault="001A2760" w:rsidP="001A2760">
      <w:pPr>
        <w:widowControl w:val="0"/>
        <w:jc w:val="both"/>
        <w:rPr>
          <w:noProof/>
          <w:sz w:val="22"/>
          <w:szCs w:val="22"/>
          <w:lang w:eastAsia="en-US"/>
        </w:rPr>
      </w:pPr>
    </w:p>
    <w:p w:rsidR="001A2760" w:rsidRPr="001A2760" w:rsidRDefault="001A2760" w:rsidP="001A2760">
      <w:pPr>
        <w:rPr>
          <w:b/>
          <w:noProof/>
          <w:sz w:val="22"/>
          <w:szCs w:val="22"/>
          <w:lang w:eastAsia="en-US"/>
        </w:rPr>
      </w:pPr>
    </w:p>
    <w:p w:rsidR="001A2760" w:rsidRPr="001A2760" w:rsidRDefault="001A2760" w:rsidP="001A2760">
      <w:pPr>
        <w:widowControl w:val="0"/>
        <w:jc w:val="both"/>
        <w:rPr>
          <w:b/>
          <w:sz w:val="22"/>
          <w:szCs w:val="22"/>
          <w:lang w:eastAsia="en-US"/>
        </w:rPr>
      </w:pPr>
      <w:r w:rsidRPr="001A2760">
        <w:rPr>
          <w:b/>
          <w:noProof/>
          <w:sz w:val="22"/>
          <w:szCs w:val="22"/>
          <w:lang w:eastAsia="en-US"/>
        </w:rPr>
        <w:t>Αυτό το φαρμακευτικό προϊόν έχει εγκριθεί στα Κράτη Μέλη του Ευρωπαϊκού Οικονομικού Χώρου (ΕΟΧ) με τις ακόλουθες ονομασίες:</w:t>
      </w:r>
    </w:p>
    <w:p w:rsidR="001A2760" w:rsidRPr="001A2760" w:rsidRDefault="001A2760" w:rsidP="001A2760">
      <w:pPr>
        <w:widowControl w:val="0"/>
        <w:jc w:val="both"/>
        <w:rPr>
          <w:noProof/>
          <w:sz w:val="22"/>
          <w:szCs w:val="22"/>
          <w:lang w:eastAsia="en-US"/>
        </w:rPr>
      </w:pPr>
    </w:p>
    <w:tbl>
      <w:tblPr>
        <w:tblW w:w="9544" w:type="dxa"/>
        <w:tblLook w:val="04A0" w:firstRow="1" w:lastRow="0" w:firstColumn="1" w:lastColumn="0" w:noHBand="0" w:noVBand="1"/>
      </w:tblPr>
      <w:tblGrid>
        <w:gridCol w:w="2093"/>
        <w:gridCol w:w="7451"/>
      </w:tblGrid>
      <w:tr w:rsidR="001A2760" w:rsidRPr="00B8418A" w:rsidTr="005B283A">
        <w:tc>
          <w:tcPr>
            <w:tcW w:w="2093" w:type="dxa"/>
          </w:tcPr>
          <w:p w:rsidR="001A2760" w:rsidRPr="001A2760" w:rsidRDefault="001A2760" w:rsidP="001A2760">
            <w:pPr>
              <w:widowControl w:val="0"/>
              <w:tabs>
                <w:tab w:val="left" w:pos="2520"/>
              </w:tabs>
              <w:rPr>
                <w:sz w:val="22"/>
                <w:szCs w:val="20"/>
                <w:lang w:eastAsia="x-none"/>
              </w:rPr>
            </w:pPr>
            <w:r w:rsidRPr="001A2760">
              <w:rPr>
                <w:sz w:val="22"/>
                <w:szCs w:val="20"/>
                <w:lang w:eastAsia="x-none"/>
              </w:rPr>
              <w:t>Αυστρία</w:t>
            </w:r>
          </w:p>
        </w:tc>
        <w:tc>
          <w:tcPr>
            <w:tcW w:w="7451" w:type="dxa"/>
          </w:tcPr>
          <w:p w:rsidR="001A2760" w:rsidRPr="001A2760" w:rsidRDefault="001A2760" w:rsidP="001A2760">
            <w:pPr>
              <w:widowControl w:val="0"/>
              <w:tabs>
                <w:tab w:val="left" w:pos="2520"/>
              </w:tabs>
              <w:rPr>
                <w:sz w:val="22"/>
                <w:szCs w:val="20"/>
                <w:lang w:val="de-DE" w:eastAsia="x-none"/>
              </w:rPr>
            </w:pPr>
            <w:proofErr w:type="spellStart"/>
            <w:r w:rsidRPr="001A2760">
              <w:rPr>
                <w:rFonts w:cs="Arial"/>
                <w:sz w:val="22"/>
                <w:szCs w:val="22"/>
                <w:lang w:val="de-DE" w:eastAsia="x-none"/>
              </w:rPr>
              <w:t>Beriplex</w:t>
            </w:r>
            <w:proofErr w:type="spellEnd"/>
            <w:r w:rsidRPr="001A2760">
              <w:rPr>
                <w:rFonts w:cs="Arial"/>
                <w:sz w:val="22"/>
                <w:szCs w:val="22"/>
                <w:lang w:val="de-DE" w:eastAsia="x-none"/>
              </w:rPr>
              <w:t xml:space="preserve"> P/N 500 I.E. Pulver und Lösungsmittel zur Herstellung einer Injektionslösung</w:t>
            </w:r>
          </w:p>
        </w:tc>
      </w:tr>
      <w:tr w:rsidR="001A2760" w:rsidRPr="00B8418A" w:rsidTr="005B283A">
        <w:tc>
          <w:tcPr>
            <w:tcW w:w="2093" w:type="dxa"/>
          </w:tcPr>
          <w:p w:rsidR="001A2760" w:rsidRPr="001A2760" w:rsidRDefault="001A2760" w:rsidP="001A2760">
            <w:pPr>
              <w:widowControl w:val="0"/>
              <w:tabs>
                <w:tab w:val="left" w:pos="2520"/>
              </w:tabs>
              <w:rPr>
                <w:sz w:val="22"/>
                <w:szCs w:val="20"/>
                <w:lang w:eastAsia="x-none"/>
              </w:rPr>
            </w:pPr>
            <w:r w:rsidRPr="001A2760">
              <w:rPr>
                <w:sz w:val="22"/>
                <w:szCs w:val="20"/>
                <w:lang w:eastAsia="x-none"/>
              </w:rPr>
              <w:t>Βέλγιο</w:t>
            </w:r>
          </w:p>
        </w:tc>
        <w:tc>
          <w:tcPr>
            <w:tcW w:w="7451" w:type="dxa"/>
          </w:tcPr>
          <w:p w:rsidR="001A2760" w:rsidRPr="001A2760" w:rsidRDefault="001A2760" w:rsidP="001A2760">
            <w:pPr>
              <w:widowControl w:val="0"/>
              <w:tabs>
                <w:tab w:val="left" w:pos="2520"/>
              </w:tabs>
              <w:rPr>
                <w:rFonts w:cs="Arial"/>
                <w:sz w:val="22"/>
                <w:szCs w:val="22"/>
                <w:lang w:val="sv-SE" w:eastAsia="x-none"/>
              </w:rPr>
            </w:pPr>
            <w:r w:rsidRPr="001A2760">
              <w:rPr>
                <w:rFonts w:cs="Arial"/>
                <w:sz w:val="22"/>
                <w:szCs w:val="22"/>
                <w:lang w:val="sv-SE" w:eastAsia="x-none"/>
              </w:rPr>
              <w:t>Confidex 500 I.E., poeder en oplosmiddel voor oplossing voor injectie</w:t>
            </w:r>
          </w:p>
        </w:tc>
      </w:tr>
      <w:tr w:rsidR="001A2760" w:rsidRPr="00B8418A" w:rsidTr="005B283A">
        <w:tc>
          <w:tcPr>
            <w:tcW w:w="2093" w:type="dxa"/>
          </w:tcPr>
          <w:p w:rsidR="001A2760" w:rsidRPr="001A2760" w:rsidRDefault="001A2760" w:rsidP="001A2760">
            <w:pPr>
              <w:widowControl w:val="0"/>
              <w:tabs>
                <w:tab w:val="left" w:pos="2520"/>
              </w:tabs>
              <w:rPr>
                <w:sz w:val="22"/>
                <w:szCs w:val="20"/>
                <w:lang w:eastAsia="x-none"/>
              </w:rPr>
            </w:pPr>
            <w:r w:rsidRPr="001A2760">
              <w:rPr>
                <w:sz w:val="22"/>
                <w:szCs w:val="20"/>
                <w:lang w:eastAsia="x-none"/>
              </w:rPr>
              <w:t>Βουλγαρία</w:t>
            </w:r>
          </w:p>
        </w:tc>
        <w:tc>
          <w:tcPr>
            <w:tcW w:w="7451" w:type="dxa"/>
          </w:tcPr>
          <w:p w:rsidR="001A2760" w:rsidRPr="001A2760" w:rsidRDefault="001A2760" w:rsidP="001A2760">
            <w:pPr>
              <w:widowControl w:val="0"/>
              <w:tabs>
                <w:tab w:val="left" w:pos="2820"/>
              </w:tabs>
              <w:spacing w:before="20" w:after="20"/>
              <w:rPr>
                <w:rFonts w:cs="Arial"/>
                <w:sz w:val="22"/>
                <w:szCs w:val="22"/>
                <w:lang w:val="sv-SE" w:eastAsia="en-US"/>
              </w:rPr>
            </w:pPr>
            <w:r w:rsidRPr="001A2760">
              <w:rPr>
                <w:rFonts w:cs="Arial"/>
                <w:sz w:val="22"/>
                <w:szCs w:val="22"/>
                <w:lang w:val="sv-SE" w:eastAsia="en-US"/>
              </w:rPr>
              <w:t>Beriplex P/N 500, 500 IU, Powder and solvent for solution for injection</w:t>
            </w:r>
          </w:p>
        </w:tc>
      </w:tr>
      <w:tr w:rsidR="001A2760" w:rsidRPr="00B8418A" w:rsidTr="005B283A">
        <w:tc>
          <w:tcPr>
            <w:tcW w:w="2093" w:type="dxa"/>
          </w:tcPr>
          <w:p w:rsidR="001A2760" w:rsidRPr="001A2760" w:rsidRDefault="001A2760" w:rsidP="001A2760">
            <w:pPr>
              <w:widowControl w:val="0"/>
              <w:tabs>
                <w:tab w:val="left" w:pos="2520"/>
              </w:tabs>
              <w:rPr>
                <w:sz w:val="22"/>
                <w:szCs w:val="20"/>
                <w:lang w:eastAsia="x-none"/>
              </w:rPr>
            </w:pPr>
            <w:r w:rsidRPr="001A2760">
              <w:rPr>
                <w:sz w:val="22"/>
                <w:szCs w:val="20"/>
                <w:lang w:eastAsia="x-none"/>
              </w:rPr>
              <w:t>Κροατία</w:t>
            </w:r>
          </w:p>
        </w:tc>
        <w:tc>
          <w:tcPr>
            <w:tcW w:w="7451" w:type="dxa"/>
          </w:tcPr>
          <w:p w:rsidR="001A2760" w:rsidRPr="001A2760" w:rsidRDefault="001A2760" w:rsidP="001A2760">
            <w:pPr>
              <w:widowControl w:val="0"/>
              <w:tabs>
                <w:tab w:val="left" w:pos="2820"/>
              </w:tabs>
              <w:spacing w:before="20" w:after="20"/>
              <w:rPr>
                <w:rFonts w:cs="Arial"/>
                <w:sz w:val="22"/>
                <w:szCs w:val="22"/>
                <w:lang w:val="sv-SE" w:eastAsia="en-US"/>
              </w:rPr>
            </w:pPr>
            <w:r w:rsidRPr="001A2760">
              <w:rPr>
                <w:rFonts w:cs="Arial"/>
                <w:sz w:val="22"/>
                <w:szCs w:val="22"/>
                <w:lang w:val="sv-SE" w:eastAsia="en-US"/>
              </w:rPr>
              <w:t>Beriplex P/N 500 IU pra</w:t>
            </w:r>
            <w:r w:rsidRPr="001A2760">
              <w:rPr>
                <w:sz w:val="22"/>
                <w:szCs w:val="22"/>
                <w:lang w:val="sv-SE" w:eastAsia="en-US"/>
              </w:rPr>
              <w:t>š</w:t>
            </w:r>
            <w:r w:rsidRPr="001A2760">
              <w:rPr>
                <w:rFonts w:cs="Arial"/>
                <w:sz w:val="22"/>
                <w:szCs w:val="22"/>
                <w:lang w:val="sv-SE" w:eastAsia="en-US"/>
              </w:rPr>
              <w:t>ak i otapalo za otopinu za injekciju</w:t>
            </w:r>
          </w:p>
        </w:tc>
      </w:tr>
      <w:tr w:rsidR="001A2760" w:rsidRPr="001A2760" w:rsidTr="005B283A">
        <w:tc>
          <w:tcPr>
            <w:tcW w:w="2093" w:type="dxa"/>
          </w:tcPr>
          <w:p w:rsidR="001A2760" w:rsidRPr="001A2760" w:rsidRDefault="001A2760" w:rsidP="001A2760">
            <w:pPr>
              <w:widowControl w:val="0"/>
              <w:tabs>
                <w:tab w:val="left" w:pos="2520"/>
              </w:tabs>
              <w:rPr>
                <w:sz w:val="22"/>
                <w:szCs w:val="20"/>
                <w:lang w:eastAsia="x-none"/>
              </w:rPr>
            </w:pPr>
            <w:r w:rsidRPr="001A2760">
              <w:rPr>
                <w:sz w:val="22"/>
                <w:szCs w:val="20"/>
                <w:lang w:eastAsia="x-none"/>
              </w:rPr>
              <w:t>Τσεχική Δημοκρατία</w:t>
            </w:r>
          </w:p>
        </w:tc>
        <w:tc>
          <w:tcPr>
            <w:tcW w:w="7451" w:type="dxa"/>
          </w:tcPr>
          <w:p w:rsidR="001A2760" w:rsidRPr="001A2760" w:rsidRDefault="001A2760" w:rsidP="001A2760">
            <w:pPr>
              <w:widowControl w:val="0"/>
              <w:tabs>
                <w:tab w:val="left" w:pos="2820"/>
              </w:tabs>
              <w:spacing w:before="20" w:after="20"/>
              <w:rPr>
                <w:rFonts w:cs="Arial"/>
                <w:sz w:val="22"/>
                <w:szCs w:val="22"/>
                <w:lang w:val="sv-SE" w:eastAsia="en-US"/>
              </w:rPr>
            </w:pPr>
            <w:r w:rsidRPr="001A2760">
              <w:rPr>
                <w:rFonts w:cs="Arial"/>
                <w:sz w:val="22"/>
                <w:szCs w:val="22"/>
                <w:lang w:val="sv-SE" w:eastAsia="en-US"/>
              </w:rPr>
              <w:t>Beriplex 500 IU</w:t>
            </w:r>
          </w:p>
        </w:tc>
      </w:tr>
      <w:tr w:rsidR="001A2760" w:rsidRPr="001A2760" w:rsidTr="005B283A">
        <w:tc>
          <w:tcPr>
            <w:tcW w:w="2093" w:type="dxa"/>
          </w:tcPr>
          <w:p w:rsidR="001A2760" w:rsidRPr="001A2760" w:rsidRDefault="001A2760" w:rsidP="001A2760">
            <w:pPr>
              <w:widowControl w:val="0"/>
              <w:tabs>
                <w:tab w:val="left" w:pos="2520"/>
              </w:tabs>
              <w:rPr>
                <w:sz w:val="22"/>
                <w:szCs w:val="20"/>
                <w:lang w:eastAsia="x-none"/>
              </w:rPr>
            </w:pPr>
            <w:r w:rsidRPr="001A2760">
              <w:rPr>
                <w:sz w:val="22"/>
                <w:szCs w:val="20"/>
                <w:lang w:eastAsia="x-none"/>
              </w:rPr>
              <w:t>Δανία</w:t>
            </w:r>
          </w:p>
        </w:tc>
        <w:tc>
          <w:tcPr>
            <w:tcW w:w="7451" w:type="dxa"/>
          </w:tcPr>
          <w:p w:rsidR="001A2760" w:rsidRPr="001A2760" w:rsidRDefault="001A2760" w:rsidP="001A2760">
            <w:pPr>
              <w:widowControl w:val="0"/>
              <w:tabs>
                <w:tab w:val="left" w:pos="2820"/>
              </w:tabs>
              <w:spacing w:before="20" w:after="20"/>
              <w:rPr>
                <w:rFonts w:cs="Arial"/>
                <w:sz w:val="22"/>
                <w:szCs w:val="22"/>
                <w:lang w:val="sv-SE" w:eastAsia="en-US"/>
              </w:rPr>
            </w:pPr>
            <w:r w:rsidRPr="001A2760">
              <w:rPr>
                <w:rFonts w:cs="Arial"/>
                <w:sz w:val="22"/>
                <w:szCs w:val="22"/>
                <w:lang w:val="sv-SE" w:eastAsia="en-US"/>
              </w:rPr>
              <w:t>Confidex</w:t>
            </w:r>
          </w:p>
        </w:tc>
      </w:tr>
      <w:tr w:rsidR="001A2760" w:rsidRPr="00B8418A" w:rsidTr="005B283A">
        <w:tc>
          <w:tcPr>
            <w:tcW w:w="2093" w:type="dxa"/>
          </w:tcPr>
          <w:p w:rsidR="001A2760" w:rsidRPr="001A2760" w:rsidRDefault="001A2760" w:rsidP="001A2760">
            <w:pPr>
              <w:widowControl w:val="0"/>
              <w:tabs>
                <w:tab w:val="left" w:pos="2520"/>
              </w:tabs>
              <w:rPr>
                <w:sz w:val="22"/>
                <w:szCs w:val="20"/>
                <w:lang w:eastAsia="x-none"/>
              </w:rPr>
            </w:pPr>
            <w:r w:rsidRPr="001A2760">
              <w:rPr>
                <w:sz w:val="22"/>
                <w:szCs w:val="20"/>
                <w:lang w:eastAsia="x-none"/>
              </w:rPr>
              <w:t>Φινλανδία</w:t>
            </w:r>
          </w:p>
        </w:tc>
        <w:tc>
          <w:tcPr>
            <w:tcW w:w="7451" w:type="dxa"/>
          </w:tcPr>
          <w:p w:rsidR="001A2760" w:rsidRPr="001A2760" w:rsidRDefault="001A2760" w:rsidP="001A2760">
            <w:pPr>
              <w:widowControl w:val="0"/>
              <w:tabs>
                <w:tab w:val="left" w:pos="2820"/>
              </w:tabs>
              <w:spacing w:before="20" w:after="20"/>
              <w:rPr>
                <w:rFonts w:cs="Arial"/>
                <w:sz w:val="22"/>
                <w:szCs w:val="22"/>
                <w:lang w:val="sv-SE" w:eastAsia="en-US"/>
              </w:rPr>
            </w:pPr>
            <w:r w:rsidRPr="001A2760">
              <w:rPr>
                <w:rFonts w:cs="Arial"/>
                <w:sz w:val="22"/>
                <w:szCs w:val="22"/>
                <w:lang w:val="sv-SE" w:eastAsia="en-US"/>
              </w:rPr>
              <w:t>Confidex 500 IU injektiokuiva-aine ja liuotin, liuosta varten</w:t>
            </w:r>
          </w:p>
        </w:tc>
      </w:tr>
      <w:tr w:rsidR="001A2760" w:rsidRPr="00B8418A" w:rsidTr="005B283A">
        <w:tc>
          <w:tcPr>
            <w:tcW w:w="2093" w:type="dxa"/>
          </w:tcPr>
          <w:p w:rsidR="001A2760" w:rsidRPr="001A2760" w:rsidRDefault="001A2760" w:rsidP="001A2760">
            <w:pPr>
              <w:widowControl w:val="0"/>
              <w:tabs>
                <w:tab w:val="left" w:pos="2520"/>
              </w:tabs>
              <w:rPr>
                <w:sz w:val="22"/>
                <w:szCs w:val="20"/>
                <w:lang w:eastAsia="x-none"/>
              </w:rPr>
            </w:pPr>
            <w:r w:rsidRPr="001A2760">
              <w:rPr>
                <w:sz w:val="22"/>
                <w:szCs w:val="20"/>
                <w:lang w:eastAsia="x-none"/>
              </w:rPr>
              <w:t>Γαλλία</w:t>
            </w:r>
          </w:p>
        </w:tc>
        <w:tc>
          <w:tcPr>
            <w:tcW w:w="7451" w:type="dxa"/>
          </w:tcPr>
          <w:p w:rsidR="001A2760" w:rsidRPr="001A2760" w:rsidRDefault="001A2760" w:rsidP="001A2760">
            <w:pPr>
              <w:widowControl w:val="0"/>
              <w:tabs>
                <w:tab w:val="left" w:pos="2520"/>
              </w:tabs>
              <w:rPr>
                <w:sz w:val="22"/>
                <w:szCs w:val="20"/>
                <w:lang w:val="en-US" w:eastAsia="x-none"/>
              </w:rPr>
            </w:pPr>
            <w:proofErr w:type="spellStart"/>
            <w:r w:rsidRPr="001A2760">
              <w:rPr>
                <w:rFonts w:cs="Arial"/>
                <w:sz w:val="22"/>
                <w:szCs w:val="22"/>
                <w:lang w:val="en-US" w:eastAsia="en-US"/>
              </w:rPr>
              <w:t>Confidex</w:t>
            </w:r>
            <w:proofErr w:type="spellEnd"/>
            <w:r w:rsidRPr="001A2760">
              <w:rPr>
                <w:rFonts w:cs="Arial"/>
                <w:sz w:val="22"/>
                <w:szCs w:val="22"/>
                <w:lang w:val="en-US" w:eastAsia="en-US"/>
              </w:rPr>
              <w:t xml:space="preserve"> 500 UI, </w:t>
            </w:r>
            <w:proofErr w:type="spellStart"/>
            <w:r w:rsidRPr="001A2760">
              <w:rPr>
                <w:rFonts w:cs="Arial"/>
                <w:sz w:val="22"/>
                <w:szCs w:val="22"/>
                <w:lang w:val="en-US" w:eastAsia="en-US"/>
              </w:rPr>
              <w:t>poudre</w:t>
            </w:r>
            <w:proofErr w:type="spellEnd"/>
            <w:r w:rsidRPr="001A2760">
              <w:rPr>
                <w:rFonts w:cs="Arial"/>
                <w:sz w:val="22"/>
                <w:szCs w:val="22"/>
                <w:lang w:val="en-US" w:eastAsia="en-US"/>
              </w:rPr>
              <w:t xml:space="preserve"> et </w:t>
            </w:r>
            <w:proofErr w:type="spellStart"/>
            <w:r w:rsidRPr="001A2760">
              <w:rPr>
                <w:rFonts w:cs="Arial"/>
                <w:sz w:val="22"/>
                <w:szCs w:val="22"/>
                <w:lang w:val="en-US" w:eastAsia="en-US"/>
              </w:rPr>
              <w:t>solvant</w:t>
            </w:r>
            <w:proofErr w:type="spellEnd"/>
            <w:r w:rsidRPr="001A2760">
              <w:rPr>
                <w:rFonts w:cs="Arial"/>
                <w:sz w:val="22"/>
                <w:szCs w:val="22"/>
                <w:lang w:val="en-US" w:eastAsia="en-US"/>
              </w:rPr>
              <w:t xml:space="preserve"> pour solution injectable</w:t>
            </w:r>
          </w:p>
        </w:tc>
      </w:tr>
      <w:tr w:rsidR="001A2760" w:rsidRPr="001A2760" w:rsidTr="005B283A">
        <w:tc>
          <w:tcPr>
            <w:tcW w:w="2093" w:type="dxa"/>
          </w:tcPr>
          <w:p w:rsidR="001A2760" w:rsidRPr="001A2760" w:rsidRDefault="001A2760" w:rsidP="001A2760">
            <w:pPr>
              <w:widowControl w:val="0"/>
              <w:tabs>
                <w:tab w:val="left" w:pos="2520"/>
              </w:tabs>
              <w:rPr>
                <w:sz w:val="22"/>
                <w:szCs w:val="20"/>
                <w:lang w:eastAsia="x-none"/>
              </w:rPr>
            </w:pPr>
            <w:r w:rsidRPr="001A2760">
              <w:rPr>
                <w:sz w:val="22"/>
                <w:szCs w:val="20"/>
                <w:lang w:eastAsia="x-none"/>
              </w:rPr>
              <w:t>Γερμανία</w:t>
            </w:r>
          </w:p>
        </w:tc>
        <w:tc>
          <w:tcPr>
            <w:tcW w:w="7451" w:type="dxa"/>
          </w:tcPr>
          <w:p w:rsidR="001A2760" w:rsidRPr="001A2760" w:rsidRDefault="001A2760" w:rsidP="001A2760">
            <w:pPr>
              <w:widowControl w:val="0"/>
              <w:tabs>
                <w:tab w:val="left" w:pos="2520"/>
              </w:tabs>
              <w:rPr>
                <w:sz w:val="22"/>
                <w:szCs w:val="20"/>
                <w:lang w:val="en-US" w:eastAsia="x-none"/>
              </w:rPr>
            </w:pPr>
            <w:proofErr w:type="spellStart"/>
            <w:r w:rsidRPr="001A2760">
              <w:rPr>
                <w:sz w:val="22"/>
                <w:szCs w:val="20"/>
                <w:lang w:val="en-US" w:eastAsia="x-none"/>
              </w:rPr>
              <w:t>Beriplex</w:t>
            </w:r>
            <w:proofErr w:type="spellEnd"/>
            <w:r w:rsidRPr="001A2760">
              <w:rPr>
                <w:sz w:val="22"/>
                <w:szCs w:val="20"/>
                <w:lang w:val="en-US" w:eastAsia="x-none"/>
              </w:rPr>
              <w:t xml:space="preserve"> P/N 500</w:t>
            </w:r>
          </w:p>
        </w:tc>
      </w:tr>
      <w:tr w:rsidR="001A2760" w:rsidRPr="001A2760" w:rsidTr="005B283A">
        <w:tc>
          <w:tcPr>
            <w:tcW w:w="2093" w:type="dxa"/>
          </w:tcPr>
          <w:p w:rsidR="001A2760" w:rsidRPr="001A2760" w:rsidRDefault="001A2760" w:rsidP="001A2760">
            <w:pPr>
              <w:widowControl w:val="0"/>
              <w:tabs>
                <w:tab w:val="left" w:pos="2520"/>
              </w:tabs>
              <w:rPr>
                <w:sz w:val="22"/>
                <w:szCs w:val="20"/>
                <w:lang w:eastAsia="x-none"/>
              </w:rPr>
            </w:pPr>
            <w:r w:rsidRPr="001A2760">
              <w:rPr>
                <w:sz w:val="22"/>
                <w:szCs w:val="20"/>
                <w:lang w:eastAsia="x-none"/>
              </w:rPr>
              <w:t>Ελλάδα</w:t>
            </w:r>
          </w:p>
        </w:tc>
        <w:tc>
          <w:tcPr>
            <w:tcW w:w="7451" w:type="dxa"/>
          </w:tcPr>
          <w:p w:rsidR="001A2760" w:rsidRPr="001A2760" w:rsidRDefault="001A2760" w:rsidP="001A2760">
            <w:pPr>
              <w:widowControl w:val="0"/>
              <w:tabs>
                <w:tab w:val="left" w:pos="2520"/>
              </w:tabs>
              <w:rPr>
                <w:sz w:val="22"/>
                <w:szCs w:val="20"/>
                <w:lang w:eastAsia="x-none"/>
              </w:rPr>
            </w:pPr>
            <w:proofErr w:type="spellStart"/>
            <w:r w:rsidRPr="001A2760">
              <w:rPr>
                <w:rFonts w:cs="Arial"/>
                <w:sz w:val="22"/>
                <w:szCs w:val="22"/>
                <w:lang w:val="en-US" w:eastAsia="en-US"/>
              </w:rPr>
              <w:t>Beriplex</w:t>
            </w:r>
            <w:proofErr w:type="spellEnd"/>
            <w:r w:rsidRPr="001A2760">
              <w:rPr>
                <w:rFonts w:cs="Arial"/>
                <w:sz w:val="22"/>
                <w:szCs w:val="22"/>
                <w:lang w:eastAsia="en-US"/>
              </w:rPr>
              <w:t xml:space="preserve"> </w:t>
            </w:r>
            <w:r w:rsidRPr="001A2760">
              <w:rPr>
                <w:rFonts w:cs="Arial"/>
                <w:sz w:val="22"/>
                <w:szCs w:val="22"/>
                <w:lang w:val="en-US" w:eastAsia="en-US"/>
              </w:rPr>
              <w:t>P</w:t>
            </w:r>
            <w:r w:rsidRPr="001A2760">
              <w:rPr>
                <w:rFonts w:cs="Arial"/>
                <w:sz w:val="22"/>
                <w:szCs w:val="22"/>
                <w:lang w:eastAsia="en-US"/>
              </w:rPr>
              <w:t>/</w:t>
            </w:r>
            <w:r w:rsidRPr="001A2760">
              <w:rPr>
                <w:rFonts w:cs="Arial"/>
                <w:sz w:val="22"/>
                <w:szCs w:val="22"/>
                <w:lang w:val="en-US" w:eastAsia="en-US"/>
              </w:rPr>
              <w:t>N</w:t>
            </w:r>
            <w:r w:rsidRPr="001A2760">
              <w:rPr>
                <w:rFonts w:cs="Arial"/>
                <w:sz w:val="22"/>
                <w:szCs w:val="22"/>
                <w:lang w:eastAsia="en-US"/>
              </w:rPr>
              <w:t xml:space="preserve">, </w:t>
            </w:r>
            <w:proofErr w:type="spellStart"/>
            <w:r w:rsidRPr="001A2760">
              <w:rPr>
                <w:rFonts w:cs="Arial"/>
                <w:sz w:val="22"/>
                <w:szCs w:val="22"/>
                <w:lang w:eastAsia="en-US"/>
              </w:rPr>
              <w:t>κόνις</w:t>
            </w:r>
            <w:proofErr w:type="spellEnd"/>
            <w:r w:rsidRPr="001A2760">
              <w:rPr>
                <w:rFonts w:cs="Arial"/>
                <w:sz w:val="22"/>
                <w:szCs w:val="22"/>
                <w:lang w:eastAsia="en-US"/>
              </w:rPr>
              <w:t xml:space="preserve"> και διαλύτης για ενέσιμο διάλυμα 500 </w:t>
            </w:r>
            <w:r w:rsidRPr="001A2760">
              <w:rPr>
                <w:rFonts w:cs="Arial"/>
                <w:sz w:val="22"/>
                <w:szCs w:val="22"/>
                <w:lang w:val="en-US" w:eastAsia="en-US"/>
              </w:rPr>
              <w:t>IU</w:t>
            </w:r>
            <w:r w:rsidRPr="001A2760">
              <w:rPr>
                <w:rFonts w:cs="Arial"/>
                <w:sz w:val="22"/>
                <w:szCs w:val="22"/>
                <w:lang w:eastAsia="en-US"/>
              </w:rPr>
              <w:t>/</w:t>
            </w:r>
            <w:r w:rsidRPr="001A2760">
              <w:rPr>
                <w:rFonts w:cs="Arial"/>
                <w:sz w:val="22"/>
                <w:szCs w:val="22"/>
                <w:lang w:val="en-US" w:eastAsia="en-US"/>
              </w:rPr>
              <w:t>vial</w:t>
            </w:r>
          </w:p>
        </w:tc>
      </w:tr>
      <w:tr w:rsidR="001A2760" w:rsidRPr="00B8418A" w:rsidTr="005B283A">
        <w:tc>
          <w:tcPr>
            <w:tcW w:w="2093" w:type="dxa"/>
          </w:tcPr>
          <w:p w:rsidR="001A2760" w:rsidRPr="001A2760" w:rsidRDefault="001A2760" w:rsidP="001A2760">
            <w:pPr>
              <w:widowControl w:val="0"/>
              <w:tabs>
                <w:tab w:val="left" w:pos="2520"/>
              </w:tabs>
              <w:rPr>
                <w:sz w:val="22"/>
                <w:szCs w:val="20"/>
                <w:lang w:eastAsia="x-none"/>
              </w:rPr>
            </w:pPr>
            <w:r w:rsidRPr="001A2760">
              <w:rPr>
                <w:sz w:val="22"/>
                <w:szCs w:val="20"/>
                <w:lang w:eastAsia="x-none"/>
              </w:rPr>
              <w:t>Ιρλανδία</w:t>
            </w:r>
          </w:p>
          <w:p w:rsidR="001A2760" w:rsidRPr="001A2760" w:rsidRDefault="001A2760" w:rsidP="001A2760">
            <w:pPr>
              <w:widowControl w:val="0"/>
              <w:tabs>
                <w:tab w:val="left" w:pos="2520"/>
              </w:tabs>
              <w:rPr>
                <w:sz w:val="22"/>
                <w:szCs w:val="20"/>
                <w:lang w:eastAsia="x-none"/>
              </w:rPr>
            </w:pPr>
            <w:r w:rsidRPr="001A2760">
              <w:rPr>
                <w:sz w:val="22"/>
                <w:szCs w:val="20"/>
                <w:lang w:eastAsia="x-none"/>
              </w:rPr>
              <w:t>Ουγγαρία</w:t>
            </w:r>
          </w:p>
        </w:tc>
        <w:tc>
          <w:tcPr>
            <w:tcW w:w="7451" w:type="dxa"/>
          </w:tcPr>
          <w:p w:rsidR="001A2760" w:rsidRPr="001A2760" w:rsidRDefault="001A2760" w:rsidP="001A2760">
            <w:pPr>
              <w:widowControl w:val="0"/>
              <w:spacing w:before="20" w:after="20"/>
              <w:rPr>
                <w:rFonts w:cs="Arial"/>
                <w:sz w:val="22"/>
                <w:szCs w:val="22"/>
                <w:lang w:val="en-US" w:eastAsia="en-US"/>
              </w:rPr>
            </w:pPr>
            <w:proofErr w:type="spellStart"/>
            <w:r w:rsidRPr="001A2760">
              <w:rPr>
                <w:rFonts w:cs="Arial"/>
                <w:sz w:val="22"/>
                <w:szCs w:val="22"/>
                <w:lang w:val="en-US" w:eastAsia="en-US"/>
              </w:rPr>
              <w:t>Beriplex</w:t>
            </w:r>
            <w:proofErr w:type="spellEnd"/>
            <w:r w:rsidRPr="001A2760">
              <w:rPr>
                <w:rFonts w:cs="Arial"/>
                <w:sz w:val="22"/>
                <w:szCs w:val="22"/>
                <w:lang w:val="en-US" w:eastAsia="en-US"/>
              </w:rPr>
              <w:t xml:space="preserve"> P/N 500 IU, powder and solvent for solution for injection</w:t>
            </w:r>
          </w:p>
          <w:p w:rsidR="001A2760" w:rsidRPr="001A2760" w:rsidRDefault="001A2760" w:rsidP="001A2760">
            <w:pPr>
              <w:widowControl w:val="0"/>
              <w:spacing w:before="20" w:after="20"/>
              <w:rPr>
                <w:rFonts w:cs="Arial"/>
                <w:sz w:val="22"/>
                <w:szCs w:val="22"/>
                <w:lang w:val="en-US" w:eastAsia="en-US"/>
              </w:rPr>
            </w:pPr>
            <w:proofErr w:type="spellStart"/>
            <w:r w:rsidRPr="001A2760">
              <w:rPr>
                <w:rFonts w:cs="Arial"/>
                <w:sz w:val="22"/>
                <w:szCs w:val="22"/>
                <w:lang w:val="en-US" w:eastAsia="en-US"/>
              </w:rPr>
              <w:t>Beriplex</w:t>
            </w:r>
            <w:proofErr w:type="spellEnd"/>
            <w:r w:rsidRPr="001A2760">
              <w:rPr>
                <w:rFonts w:cs="Arial"/>
                <w:sz w:val="22"/>
                <w:szCs w:val="22"/>
                <w:lang w:val="en-US" w:eastAsia="en-US"/>
              </w:rPr>
              <w:t xml:space="preserve"> P/N 500 </w:t>
            </w:r>
            <w:proofErr w:type="spellStart"/>
            <w:r w:rsidRPr="001A2760">
              <w:rPr>
                <w:rFonts w:cs="Arial"/>
                <w:sz w:val="22"/>
                <w:szCs w:val="22"/>
                <w:lang w:val="en-US" w:eastAsia="en-US"/>
              </w:rPr>
              <w:t>por</w:t>
            </w:r>
            <w:proofErr w:type="spellEnd"/>
            <w:r w:rsidRPr="001A2760">
              <w:rPr>
                <w:rFonts w:cs="Arial"/>
                <w:sz w:val="22"/>
                <w:szCs w:val="22"/>
                <w:lang w:val="en-US" w:eastAsia="en-US"/>
              </w:rPr>
              <w:t xml:space="preserve"> </w:t>
            </w:r>
            <w:proofErr w:type="spellStart"/>
            <w:r w:rsidRPr="001A2760">
              <w:rPr>
                <w:rFonts w:cs="Arial"/>
                <w:sz w:val="22"/>
                <w:szCs w:val="22"/>
                <w:lang w:val="en-US" w:eastAsia="en-US"/>
              </w:rPr>
              <w:t>és</w:t>
            </w:r>
            <w:proofErr w:type="spellEnd"/>
            <w:r w:rsidRPr="001A2760">
              <w:rPr>
                <w:rFonts w:cs="Arial"/>
                <w:sz w:val="22"/>
                <w:szCs w:val="22"/>
                <w:lang w:val="en-US" w:eastAsia="en-US"/>
              </w:rPr>
              <w:t xml:space="preserve"> </w:t>
            </w:r>
            <w:proofErr w:type="spellStart"/>
            <w:r w:rsidRPr="001A2760">
              <w:rPr>
                <w:rFonts w:cs="Arial"/>
                <w:sz w:val="22"/>
                <w:szCs w:val="22"/>
                <w:lang w:val="en-US" w:eastAsia="en-US"/>
              </w:rPr>
              <w:t>oldószer</w:t>
            </w:r>
            <w:proofErr w:type="spellEnd"/>
            <w:r w:rsidRPr="001A2760">
              <w:rPr>
                <w:rFonts w:cs="Arial"/>
                <w:sz w:val="22"/>
                <w:szCs w:val="22"/>
                <w:lang w:val="en-US" w:eastAsia="en-US"/>
              </w:rPr>
              <w:t xml:space="preserve"> </w:t>
            </w:r>
            <w:proofErr w:type="spellStart"/>
            <w:r w:rsidRPr="001A2760">
              <w:rPr>
                <w:rFonts w:cs="Arial"/>
                <w:sz w:val="22"/>
                <w:szCs w:val="22"/>
                <w:lang w:val="en-US" w:eastAsia="en-US"/>
              </w:rPr>
              <w:t>oldatos</w:t>
            </w:r>
            <w:proofErr w:type="spellEnd"/>
            <w:r w:rsidRPr="001A2760">
              <w:rPr>
                <w:rFonts w:cs="Arial"/>
                <w:sz w:val="22"/>
                <w:szCs w:val="22"/>
                <w:lang w:val="en-US" w:eastAsia="en-US"/>
              </w:rPr>
              <w:t xml:space="preserve"> </w:t>
            </w:r>
            <w:proofErr w:type="spellStart"/>
            <w:r w:rsidRPr="001A2760">
              <w:rPr>
                <w:rFonts w:cs="Arial"/>
                <w:sz w:val="22"/>
                <w:szCs w:val="22"/>
                <w:lang w:val="en-US" w:eastAsia="en-US"/>
              </w:rPr>
              <w:t>injekcióhoz</w:t>
            </w:r>
            <w:proofErr w:type="spellEnd"/>
          </w:p>
        </w:tc>
      </w:tr>
      <w:tr w:rsidR="001A2760" w:rsidRPr="001A2760" w:rsidTr="005B283A">
        <w:tc>
          <w:tcPr>
            <w:tcW w:w="2093" w:type="dxa"/>
          </w:tcPr>
          <w:p w:rsidR="001A2760" w:rsidRPr="001A2760" w:rsidRDefault="001A2760" w:rsidP="001A2760">
            <w:pPr>
              <w:widowControl w:val="0"/>
              <w:tabs>
                <w:tab w:val="left" w:pos="2520"/>
              </w:tabs>
              <w:rPr>
                <w:sz w:val="22"/>
                <w:szCs w:val="20"/>
                <w:lang w:eastAsia="x-none"/>
              </w:rPr>
            </w:pPr>
            <w:r w:rsidRPr="001A2760">
              <w:rPr>
                <w:sz w:val="22"/>
                <w:szCs w:val="20"/>
                <w:lang w:eastAsia="x-none"/>
              </w:rPr>
              <w:t>Ιταλία</w:t>
            </w:r>
          </w:p>
        </w:tc>
        <w:tc>
          <w:tcPr>
            <w:tcW w:w="7451" w:type="dxa"/>
          </w:tcPr>
          <w:p w:rsidR="001A2760" w:rsidRPr="001A2760" w:rsidRDefault="001A2760" w:rsidP="001A2760">
            <w:pPr>
              <w:widowControl w:val="0"/>
              <w:spacing w:before="20" w:after="20"/>
              <w:rPr>
                <w:rFonts w:cs="Arial"/>
                <w:sz w:val="22"/>
                <w:szCs w:val="22"/>
                <w:lang w:eastAsia="en-US"/>
              </w:rPr>
            </w:pPr>
            <w:proofErr w:type="spellStart"/>
            <w:r w:rsidRPr="001A2760">
              <w:rPr>
                <w:rFonts w:cs="Arial"/>
                <w:sz w:val="22"/>
                <w:szCs w:val="22"/>
                <w:lang w:val="de-DE" w:eastAsia="en-US"/>
              </w:rPr>
              <w:t>Confidex</w:t>
            </w:r>
            <w:proofErr w:type="spellEnd"/>
            <w:r w:rsidRPr="001A2760">
              <w:rPr>
                <w:rFonts w:cs="Arial"/>
                <w:sz w:val="22"/>
                <w:szCs w:val="22"/>
                <w:lang w:val="de-DE" w:eastAsia="en-US"/>
              </w:rPr>
              <w:t xml:space="preserve"> 500</w:t>
            </w:r>
          </w:p>
        </w:tc>
      </w:tr>
      <w:tr w:rsidR="001A2760" w:rsidRPr="00B8418A" w:rsidTr="005B283A">
        <w:tc>
          <w:tcPr>
            <w:tcW w:w="2093" w:type="dxa"/>
          </w:tcPr>
          <w:p w:rsidR="001A2760" w:rsidRPr="001A2760" w:rsidRDefault="001A2760" w:rsidP="001A2760">
            <w:pPr>
              <w:widowControl w:val="0"/>
              <w:tabs>
                <w:tab w:val="left" w:pos="2520"/>
              </w:tabs>
              <w:rPr>
                <w:sz w:val="22"/>
                <w:szCs w:val="20"/>
                <w:lang w:eastAsia="x-none"/>
              </w:rPr>
            </w:pPr>
            <w:r w:rsidRPr="001A2760">
              <w:rPr>
                <w:sz w:val="22"/>
                <w:szCs w:val="20"/>
                <w:lang w:eastAsia="x-none"/>
              </w:rPr>
              <w:t>Λουξεμβούργο</w:t>
            </w:r>
          </w:p>
        </w:tc>
        <w:tc>
          <w:tcPr>
            <w:tcW w:w="7451" w:type="dxa"/>
          </w:tcPr>
          <w:p w:rsidR="001A2760" w:rsidRPr="001A2760" w:rsidRDefault="001A2760" w:rsidP="001A2760">
            <w:pPr>
              <w:widowControl w:val="0"/>
              <w:spacing w:before="20" w:after="20"/>
              <w:rPr>
                <w:rFonts w:cs="Arial"/>
                <w:sz w:val="22"/>
                <w:szCs w:val="22"/>
                <w:lang w:val="en-US" w:eastAsia="en-US"/>
              </w:rPr>
            </w:pPr>
            <w:proofErr w:type="spellStart"/>
            <w:r w:rsidRPr="001A2760">
              <w:rPr>
                <w:rFonts w:cs="Arial"/>
                <w:sz w:val="22"/>
                <w:szCs w:val="22"/>
                <w:lang w:val="en-US" w:eastAsia="en-US"/>
              </w:rPr>
              <w:t>Confidex</w:t>
            </w:r>
            <w:proofErr w:type="spellEnd"/>
            <w:r w:rsidRPr="001A2760">
              <w:rPr>
                <w:rFonts w:cs="Arial"/>
                <w:sz w:val="22"/>
                <w:szCs w:val="22"/>
                <w:lang w:val="en-US" w:eastAsia="en-US"/>
              </w:rPr>
              <w:t xml:space="preserve"> 500 UI </w:t>
            </w:r>
            <w:r w:rsidRPr="001A2760">
              <w:rPr>
                <w:noProof/>
                <w:sz w:val="22"/>
                <w:szCs w:val="22"/>
                <w:lang w:val="en-US" w:eastAsia="en-US"/>
              </w:rPr>
              <w:t>poudre et solvant pour solution injectable</w:t>
            </w:r>
          </w:p>
        </w:tc>
      </w:tr>
      <w:tr w:rsidR="001A2760" w:rsidRPr="00B8418A" w:rsidTr="005B283A">
        <w:tc>
          <w:tcPr>
            <w:tcW w:w="2093" w:type="dxa"/>
          </w:tcPr>
          <w:p w:rsidR="001A2760" w:rsidRPr="001A2760" w:rsidRDefault="001A2760" w:rsidP="001A2760">
            <w:pPr>
              <w:widowControl w:val="0"/>
              <w:tabs>
                <w:tab w:val="left" w:pos="2520"/>
              </w:tabs>
              <w:rPr>
                <w:sz w:val="22"/>
                <w:szCs w:val="20"/>
                <w:lang w:eastAsia="x-none"/>
              </w:rPr>
            </w:pPr>
            <w:r w:rsidRPr="001A2760">
              <w:rPr>
                <w:sz w:val="22"/>
                <w:szCs w:val="20"/>
                <w:lang w:eastAsia="x-none"/>
              </w:rPr>
              <w:t>Μάλτα</w:t>
            </w:r>
          </w:p>
        </w:tc>
        <w:tc>
          <w:tcPr>
            <w:tcW w:w="7451" w:type="dxa"/>
          </w:tcPr>
          <w:p w:rsidR="001A2760" w:rsidRPr="001A2760" w:rsidRDefault="001A2760" w:rsidP="001A2760">
            <w:pPr>
              <w:widowControl w:val="0"/>
              <w:tabs>
                <w:tab w:val="left" w:pos="1580"/>
              </w:tabs>
              <w:spacing w:before="20" w:after="20"/>
              <w:rPr>
                <w:rFonts w:cs="Arial"/>
                <w:sz w:val="22"/>
                <w:szCs w:val="22"/>
                <w:lang w:val="en-US" w:eastAsia="en-US"/>
              </w:rPr>
            </w:pPr>
            <w:proofErr w:type="spellStart"/>
            <w:r w:rsidRPr="001A2760">
              <w:rPr>
                <w:rFonts w:cs="Arial"/>
                <w:sz w:val="22"/>
                <w:szCs w:val="22"/>
                <w:lang w:val="en-US" w:eastAsia="en-US"/>
              </w:rPr>
              <w:t>Beriplex</w:t>
            </w:r>
            <w:proofErr w:type="spellEnd"/>
            <w:r w:rsidRPr="001A2760">
              <w:rPr>
                <w:rFonts w:cs="Arial"/>
                <w:sz w:val="22"/>
                <w:szCs w:val="22"/>
                <w:lang w:val="en-US" w:eastAsia="en-US"/>
              </w:rPr>
              <w:t xml:space="preserve"> P/N 500, powder and solvent for solution for injection</w:t>
            </w:r>
          </w:p>
        </w:tc>
      </w:tr>
      <w:tr w:rsidR="001A2760" w:rsidRPr="00B8418A" w:rsidTr="005B283A">
        <w:tc>
          <w:tcPr>
            <w:tcW w:w="2093" w:type="dxa"/>
          </w:tcPr>
          <w:p w:rsidR="001A2760" w:rsidRPr="001A2760" w:rsidRDefault="001A2760" w:rsidP="001A2760">
            <w:pPr>
              <w:widowControl w:val="0"/>
              <w:tabs>
                <w:tab w:val="left" w:pos="2520"/>
              </w:tabs>
              <w:rPr>
                <w:sz w:val="22"/>
                <w:szCs w:val="20"/>
                <w:lang w:eastAsia="x-none"/>
              </w:rPr>
            </w:pPr>
            <w:r w:rsidRPr="001A2760">
              <w:rPr>
                <w:sz w:val="22"/>
                <w:szCs w:val="20"/>
                <w:lang w:eastAsia="x-none"/>
              </w:rPr>
              <w:t>Ολλανδία</w:t>
            </w:r>
          </w:p>
        </w:tc>
        <w:tc>
          <w:tcPr>
            <w:tcW w:w="7451" w:type="dxa"/>
          </w:tcPr>
          <w:p w:rsidR="001A2760" w:rsidRPr="001A2760" w:rsidRDefault="001A2760" w:rsidP="001A2760">
            <w:pPr>
              <w:widowControl w:val="0"/>
              <w:tabs>
                <w:tab w:val="left" w:pos="1580"/>
              </w:tabs>
              <w:spacing w:before="20" w:after="20"/>
              <w:rPr>
                <w:rFonts w:cs="Arial"/>
                <w:sz w:val="22"/>
                <w:szCs w:val="22"/>
                <w:lang w:val="en-US" w:eastAsia="en-US"/>
              </w:rPr>
            </w:pPr>
            <w:proofErr w:type="spellStart"/>
            <w:r w:rsidRPr="001A2760">
              <w:rPr>
                <w:rFonts w:cs="Arial"/>
                <w:sz w:val="22"/>
                <w:szCs w:val="22"/>
                <w:lang w:val="en-US" w:eastAsia="en-US"/>
              </w:rPr>
              <w:t>Beriplex</w:t>
            </w:r>
            <w:proofErr w:type="spellEnd"/>
            <w:r w:rsidRPr="001A2760">
              <w:rPr>
                <w:rFonts w:cs="Arial"/>
                <w:sz w:val="22"/>
                <w:szCs w:val="22"/>
                <w:lang w:val="en-US" w:eastAsia="en-US"/>
              </w:rPr>
              <w:t xml:space="preserve"> P/N 500 IE, </w:t>
            </w:r>
            <w:proofErr w:type="spellStart"/>
            <w:r w:rsidRPr="001A2760">
              <w:rPr>
                <w:rFonts w:cs="Arial"/>
                <w:sz w:val="22"/>
                <w:szCs w:val="22"/>
                <w:lang w:val="en-US" w:eastAsia="en-US"/>
              </w:rPr>
              <w:t>poeder</w:t>
            </w:r>
            <w:proofErr w:type="spellEnd"/>
            <w:r w:rsidRPr="001A2760">
              <w:rPr>
                <w:rFonts w:cs="Arial"/>
                <w:sz w:val="22"/>
                <w:szCs w:val="22"/>
                <w:lang w:val="en-US" w:eastAsia="en-US"/>
              </w:rPr>
              <w:t xml:space="preserve"> en </w:t>
            </w:r>
            <w:proofErr w:type="spellStart"/>
            <w:r w:rsidRPr="001A2760">
              <w:rPr>
                <w:rFonts w:cs="Arial"/>
                <w:sz w:val="22"/>
                <w:szCs w:val="22"/>
                <w:lang w:val="en-US" w:eastAsia="en-US"/>
              </w:rPr>
              <w:t>oplosmiddel</w:t>
            </w:r>
            <w:proofErr w:type="spellEnd"/>
            <w:r w:rsidRPr="001A2760">
              <w:rPr>
                <w:rFonts w:cs="Arial"/>
                <w:sz w:val="22"/>
                <w:szCs w:val="22"/>
                <w:lang w:val="en-US" w:eastAsia="en-US"/>
              </w:rPr>
              <w:t xml:space="preserve"> </w:t>
            </w:r>
            <w:proofErr w:type="spellStart"/>
            <w:r w:rsidRPr="001A2760">
              <w:rPr>
                <w:rFonts w:cs="Arial"/>
                <w:sz w:val="22"/>
                <w:szCs w:val="22"/>
                <w:lang w:val="en-US" w:eastAsia="en-US"/>
              </w:rPr>
              <w:t>voor</w:t>
            </w:r>
            <w:proofErr w:type="spellEnd"/>
            <w:r w:rsidRPr="001A2760">
              <w:rPr>
                <w:rFonts w:cs="Arial"/>
                <w:sz w:val="22"/>
                <w:szCs w:val="22"/>
                <w:lang w:val="en-US" w:eastAsia="en-US"/>
              </w:rPr>
              <w:t xml:space="preserve"> </w:t>
            </w:r>
            <w:proofErr w:type="spellStart"/>
            <w:r w:rsidRPr="001A2760">
              <w:rPr>
                <w:rFonts w:cs="Arial"/>
                <w:sz w:val="22"/>
                <w:szCs w:val="22"/>
                <w:lang w:val="en-US" w:eastAsia="en-US"/>
              </w:rPr>
              <w:t>oplossing</w:t>
            </w:r>
            <w:proofErr w:type="spellEnd"/>
            <w:r w:rsidRPr="001A2760">
              <w:rPr>
                <w:rFonts w:cs="Arial"/>
                <w:sz w:val="22"/>
                <w:szCs w:val="22"/>
                <w:lang w:val="en-US" w:eastAsia="en-US"/>
              </w:rPr>
              <w:t xml:space="preserve"> </w:t>
            </w:r>
            <w:proofErr w:type="spellStart"/>
            <w:r w:rsidRPr="001A2760">
              <w:rPr>
                <w:rFonts w:cs="Arial"/>
                <w:sz w:val="22"/>
                <w:szCs w:val="22"/>
                <w:lang w:val="en-US" w:eastAsia="en-US"/>
              </w:rPr>
              <w:t>voor</w:t>
            </w:r>
            <w:proofErr w:type="spellEnd"/>
            <w:r w:rsidRPr="001A2760">
              <w:rPr>
                <w:rFonts w:cs="Arial"/>
                <w:sz w:val="22"/>
                <w:szCs w:val="22"/>
                <w:lang w:val="en-US" w:eastAsia="en-US"/>
              </w:rPr>
              <w:t xml:space="preserve"> </w:t>
            </w:r>
            <w:proofErr w:type="spellStart"/>
            <w:r w:rsidRPr="001A2760">
              <w:rPr>
                <w:rFonts w:cs="Arial"/>
                <w:sz w:val="22"/>
                <w:szCs w:val="22"/>
                <w:lang w:val="en-US" w:eastAsia="en-US"/>
              </w:rPr>
              <w:t>injectie</w:t>
            </w:r>
            <w:proofErr w:type="spellEnd"/>
          </w:p>
        </w:tc>
      </w:tr>
      <w:tr w:rsidR="001A2760" w:rsidRPr="00B8418A" w:rsidTr="005B283A">
        <w:tc>
          <w:tcPr>
            <w:tcW w:w="2093" w:type="dxa"/>
          </w:tcPr>
          <w:p w:rsidR="001A2760" w:rsidRPr="001A2760" w:rsidRDefault="001A2760" w:rsidP="001A2760">
            <w:pPr>
              <w:widowControl w:val="0"/>
              <w:tabs>
                <w:tab w:val="left" w:pos="2520"/>
              </w:tabs>
              <w:rPr>
                <w:sz w:val="22"/>
                <w:szCs w:val="20"/>
                <w:lang w:eastAsia="x-none"/>
              </w:rPr>
            </w:pPr>
            <w:r w:rsidRPr="001A2760">
              <w:rPr>
                <w:sz w:val="22"/>
                <w:szCs w:val="20"/>
                <w:lang w:eastAsia="x-none"/>
              </w:rPr>
              <w:t>Νορβηγία</w:t>
            </w:r>
          </w:p>
        </w:tc>
        <w:tc>
          <w:tcPr>
            <w:tcW w:w="7451" w:type="dxa"/>
          </w:tcPr>
          <w:p w:rsidR="001A2760" w:rsidRPr="001A2760" w:rsidRDefault="001A2760" w:rsidP="001A2760">
            <w:pPr>
              <w:widowControl w:val="0"/>
              <w:spacing w:before="20" w:after="20"/>
              <w:rPr>
                <w:rFonts w:cs="Arial"/>
                <w:sz w:val="22"/>
                <w:szCs w:val="22"/>
                <w:lang w:val="en-US" w:eastAsia="en-US"/>
              </w:rPr>
            </w:pPr>
            <w:proofErr w:type="spellStart"/>
            <w:r w:rsidRPr="001A2760">
              <w:rPr>
                <w:rFonts w:cs="Arial"/>
                <w:sz w:val="22"/>
                <w:szCs w:val="22"/>
                <w:lang w:val="en-US" w:eastAsia="en-US"/>
              </w:rPr>
              <w:t>Confidex</w:t>
            </w:r>
            <w:proofErr w:type="spellEnd"/>
            <w:r w:rsidRPr="001A2760">
              <w:rPr>
                <w:rFonts w:cs="Arial"/>
                <w:sz w:val="22"/>
                <w:szCs w:val="22"/>
                <w:lang w:val="en-US" w:eastAsia="en-US"/>
              </w:rPr>
              <w:t xml:space="preserve"> 500 IU </w:t>
            </w:r>
            <w:proofErr w:type="spellStart"/>
            <w:r w:rsidRPr="001A2760">
              <w:rPr>
                <w:rFonts w:cs="Arial"/>
                <w:sz w:val="22"/>
                <w:szCs w:val="22"/>
                <w:lang w:val="en-US" w:eastAsia="en-US"/>
              </w:rPr>
              <w:t>pulver</w:t>
            </w:r>
            <w:proofErr w:type="spellEnd"/>
            <w:r w:rsidRPr="001A2760">
              <w:rPr>
                <w:rFonts w:cs="Arial"/>
                <w:sz w:val="22"/>
                <w:szCs w:val="22"/>
                <w:lang w:val="en-US" w:eastAsia="en-US"/>
              </w:rPr>
              <w:t xml:space="preserve"> </w:t>
            </w:r>
            <w:proofErr w:type="spellStart"/>
            <w:r w:rsidRPr="001A2760">
              <w:rPr>
                <w:rFonts w:cs="Arial"/>
                <w:sz w:val="22"/>
                <w:szCs w:val="22"/>
                <w:lang w:val="en-US" w:eastAsia="en-US"/>
              </w:rPr>
              <w:t>og</w:t>
            </w:r>
            <w:proofErr w:type="spellEnd"/>
            <w:r w:rsidRPr="001A2760">
              <w:rPr>
                <w:rFonts w:cs="Arial"/>
                <w:sz w:val="22"/>
                <w:szCs w:val="22"/>
                <w:lang w:val="en-US" w:eastAsia="en-US"/>
              </w:rPr>
              <w:t xml:space="preserve"> </w:t>
            </w:r>
            <w:proofErr w:type="spellStart"/>
            <w:r w:rsidRPr="001A2760">
              <w:rPr>
                <w:rFonts w:cs="Arial"/>
                <w:sz w:val="22"/>
                <w:szCs w:val="22"/>
                <w:lang w:val="en-US" w:eastAsia="en-US"/>
              </w:rPr>
              <w:t>væske</w:t>
            </w:r>
            <w:proofErr w:type="spellEnd"/>
            <w:r w:rsidRPr="001A2760">
              <w:rPr>
                <w:rFonts w:cs="Arial"/>
                <w:sz w:val="22"/>
                <w:szCs w:val="22"/>
                <w:lang w:val="en-US" w:eastAsia="en-US"/>
              </w:rPr>
              <w:t xml:space="preserve"> </w:t>
            </w:r>
            <w:proofErr w:type="spellStart"/>
            <w:r w:rsidRPr="001A2760">
              <w:rPr>
                <w:rFonts w:cs="Arial"/>
                <w:sz w:val="22"/>
                <w:szCs w:val="22"/>
                <w:lang w:val="en-US" w:eastAsia="en-US"/>
              </w:rPr>
              <w:t>til</w:t>
            </w:r>
            <w:proofErr w:type="spellEnd"/>
            <w:r w:rsidRPr="001A2760">
              <w:rPr>
                <w:rFonts w:cs="Arial"/>
                <w:sz w:val="22"/>
                <w:szCs w:val="22"/>
                <w:lang w:val="en-US" w:eastAsia="en-US"/>
              </w:rPr>
              <w:t xml:space="preserve"> </w:t>
            </w:r>
            <w:proofErr w:type="spellStart"/>
            <w:r w:rsidRPr="001A2760">
              <w:rPr>
                <w:rFonts w:cs="Arial"/>
                <w:sz w:val="22"/>
                <w:szCs w:val="22"/>
                <w:lang w:val="en-US" w:eastAsia="en-US"/>
              </w:rPr>
              <w:t>injeksjonsvæske</w:t>
            </w:r>
            <w:proofErr w:type="spellEnd"/>
            <w:r w:rsidRPr="001A2760">
              <w:rPr>
                <w:rFonts w:cs="Arial"/>
                <w:sz w:val="22"/>
                <w:szCs w:val="22"/>
                <w:lang w:val="en-US" w:eastAsia="en-US"/>
              </w:rPr>
              <w:t xml:space="preserve">, </w:t>
            </w:r>
            <w:proofErr w:type="spellStart"/>
            <w:r w:rsidRPr="001A2760">
              <w:rPr>
                <w:sz w:val="22"/>
                <w:szCs w:val="20"/>
                <w:lang w:val="en-US" w:eastAsia="en-US"/>
              </w:rPr>
              <w:t>oppløsning</w:t>
            </w:r>
            <w:proofErr w:type="spellEnd"/>
          </w:p>
        </w:tc>
      </w:tr>
      <w:tr w:rsidR="001A2760" w:rsidRPr="00B8418A" w:rsidTr="005B283A">
        <w:tc>
          <w:tcPr>
            <w:tcW w:w="2093" w:type="dxa"/>
          </w:tcPr>
          <w:p w:rsidR="001A2760" w:rsidRPr="001A2760" w:rsidRDefault="001A2760" w:rsidP="001A2760">
            <w:pPr>
              <w:widowControl w:val="0"/>
              <w:tabs>
                <w:tab w:val="left" w:pos="2520"/>
              </w:tabs>
              <w:rPr>
                <w:sz w:val="22"/>
                <w:szCs w:val="20"/>
                <w:lang w:eastAsia="x-none"/>
              </w:rPr>
            </w:pPr>
            <w:r w:rsidRPr="001A2760">
              <w:rPr>
                <w:sz w:val="22"/>
                <w:szCs w:val="20"/>
                <w:lang w:eastAsia="x-none"/>
              </w:rPr>
              <w:t>Πολωνία</w:t>
            </w:r>
          </w:p>
          <w:p w:rsidR="001A2760" w:rsidRPr="001A2760" w:rsidRDefault="001A2760" w:rsidP="001A2760">
            <w:pPr>
              <w:widowControl w:val="0"/>
              <w:tabs>
                <w:tab w:val="left" w:pos="2520"/>
              </w:tabs>
              <w:rPr>
                <w:sz w:val="22"/>
                <w:szCs w:val="20"/>
                <w:lang w:eastAsia="x-none"/>
              </w:rPr>
            </w:pPr>
            <w:r w:rsidRPr="001A2760">
              <w:rPr>
                <w:sz w:val="22"/>
                <w:szCs w:val="20"/>
                <w:lang w:eastAsia="x-none"/>
              </w:rPr>
              <w:t>Πορτογαλία</w:t>
            </w:r>
          </w:p>
        </w:tc>
        <w:tc>
          <w:tcPr>
            <w:tcW w:w="7451" w:type="dxa"/>
          </w:tcPr>
          <w:p w:rsidR="001A2760" w:rsidRPr="001A2760" w:rsidRDefault="001A2760" w:rsidP="001A2760">
            <w:pPr>
              <w:widowControl w:val="0"/>
              <w:spacing w:before="20" w:after="20"/>
              <w:rPr>
                <w:rFonts w:cs="Arial"/>
                <w:sz w:val="22"/>
                <w:szCs w:val="22"/>
                <w:lang w:val="en-US" w:eastAsia="en-US"/>
              </w:rPr>
            </w:pPr>
            <w:proofErr w:type="spellStart"/>
            <w:r w:rsidRPr="001A2760">
              <w:rPr>
                <w:rFonts w:cs="Arial"/>
                <w:sz w:val="22"/>
                <w:szCs w:val="22"/>
                <w:lang w:val="en-US" w:eastAsia="en-US"/>
              </w:rPr>
              <w:t>Beriplex</w:t>
            </w:r>
            <w:proofErr w:type="spellEnd"/>
            <w:r w:rsidRPr="001A2760">
              <w:rPr>
                <w:rFonts w:cs="Arial"/>
                <w:sz w:val="22"/>
                <w:szCs w:val="22"/>
                <w:lang w:val="en-US" w:eastAsia="en-US"/>
              </w:rPr>
              <w:t xml:space="preserve"> P/N 500</w:t>
            </w:r>
          </w:p>
          <w:p w:rsidR="001A2760" w:rsidRPr="001A2760" w:rsidRDefault="001A2760" w:rsidP="001A2760">
            <w:pPr>
              <w:widowControl w:val="0"/>
              <w:spacing w:before="20" w:after="20"/>
              <w:rPr>
                <w:rFonts w:cs="Arial"/>
                <w:sz w:val="22"/>
                <w:szCs w:val="22"/>
                <w:lang w:val="en-US" w:eastAsia="en-US"/>
              </w:rPr>
            </w:pPr>
            <w:proofErr w:type="spellStart"/>
            <w:r w:rsidRPr="001A2760">
              <w:rPr>
                <w:rFonts w:cs="Arial"/>
                <w:sz w:val="22"/>
                <w:szCs w:val="22"/>
                <w:lang w:val="de-DE" w:eastAsia="en-US"/>
              </w:rPr>
              <w:t>Beriplex</w:t>
            </w:r>
            <w:proofErr w:type="spellEnd"/>
            <w:r w:rsidRPr="001A2760">
              <w:rPr>
                <w:rFonts w:cs="Arial"/>
                <w:sz w:val="22"/>
                <w:szCs w:val="22"/>
                <w:lang w:val="de-DE" w:eastAsia="en-US"/>
              </w:rPr>
              <w:t xml:space="preserve"> 500 UI </w:t>
            </w:r>
            <w:proofErr w:type="spellStart"/>
            <w:r w:rsidRPr="001A2760">
              <w:rPr>
                <w:rFonts w:cs="Arial"/>
                <w:sz w:val="22"/>
                <w:szCs w:val="22"/>
                <w:lang w:val="de-DE" w:eastAsia="en-US"/>
              </w:rPr>
              <w:t>pó</w:t>
            </w:r>
            <w:proofErr w:type="spellEnd"/>
            <w:r w:rsidRPr="001A2760">
              <w:rPr>
                <w:rFonts w:cs="Arial"/>
                <w:sz w:val="22"/>
                <w:szCs w:val="22"/>
                <w:lang w:val="de-DE" w:eastAsia="en-US"/>
              </w:rPr>
              <w:t xml:space="preserve"> e solvente </w:t>
            </w:r>
            <w:proofErr w:type="spellStart"/>
            <w:r w:rsidRPr="001A2760">
              <w:rPr>
                <w:rFonts w:cs="Arial"/>
                <w:sz w:val="22"/>
                <w:szCs w:val="22"/>
                <w:lang w:val="de-DE" w:eastAsia="en-US"/>
              </w:rPr>
              <w:t>para</w:t>
            </w:r>
            <w:proofErr w:type="spellEnd"/>
            <w:r w:rsidRPr="001A2760">
              <w:rPr>
                <w:rFonts w:cs="Arial"/>
                <w:sz w:val="22"/>
                <w:szCs w:val="22"/>
                <w:lang w:val="de-DE" w:eastAsia="en-US"/>
              </w:rPr>
              <w:t xml:space="preserve"> </w:t>
            </w:r>
            <w:proofErr w:type="spellStart"/>
            <w:r w:rsidRPr="001A2760">
              <w:rPr>
                <w:rFonts w:cs="Arial"/>
                <w:sz w:val="22"/>
                <w:szCs w:val="22"/>
                <w:lang w:val="de-DE" w:eastAsia="en-US"/>
              </w:rPr>
              <w:t>solução</w:t>
            </w:r>
            <w:proofErr w:type="spellEnd"/>
            <w:r w:rsidRPr="001A2760">
              <w:rPr>
                <w:rFonts w:cs="Arial"/>
                <w:sz w:val="22"/>
                <w:szCs w:val="22"/>
                <w:lang w:val="de-DE" w:eastAsia="en-US"/>
              </w:rPr>
              <w:t xml:space="preserve"> </w:t>
            </w:r>
            <w:proofErr w:type="spellStart"/>
            <w:r w:rsidRPr="001A2760">
              <w:rPr>
                <w:rFonts w:cs="Arial"/>
                <w:sz w:val="22"/>
                <w:szCs w:val="22"/>
                <w:lang w:val="de-DE" w:eastAsia="en-US"/>
              </w:rPr>
              <w:t>injectável</w:t>
            </w:r>
            <w:proofErr w:type="spellEnd"/>
          </w:p>
        </w:tc>
      </w:tr>
      <w:tr w:rsidR="001A2760" w:rsidRPr="00B8418A" w:rsidTr="005B283A">
        <w:tc>
          <w:tcPr>
            <w:tcW w:w="2093" w:type="dxa"/>
          </w:tcPr>
          <w:p w:rsidR="001A2760" w:rsidRPr="001A2760" w:rsidRDefault="001A2760" w:rsidP="001A2760">
            <w:pPr>
              <w:widowControl w:val="0"/>
              <w:tabs>
                <w:tab w:val="left" w:pos="2520"/>
              </w:tabs>
              <w:rPr>
                <w:sz w:val="22"/>
                <w:szCs w:val="20"/>
                <w:lang w:eastAsia="x-none"/>
              </w:rPr>
            </w:pPr>
            <w:r w:rsidRPr="001A2760">
              <w:rPr>
                <w:sz w:val="22"/>
                <w:szCs w:val="20"/>
                <w:lang w:eastAsia="x-none"/>
              </w:rPr>
              <w:t>Ρουμανία</w:t>
            </w:r>
          </w:p>
        </w:tc>
        <w:tc>
          <w:tcPr>
            <w:tcW w:w="7451" w:type="dxa"/>
          </w:tcPr>
          <w:p w:rsidR="001A2760" w:rsidRPr="001A2760" w:rsidRDefault="001A2760" w:rsidP="001A2760">
            <w:pPr>
              <w:widowControl w:val="0"/>
              <w:spacing w:before="20" w:after="20"/>
              <w:rPr>
                <w:rFonts w:cs="Arial"/>
                <w:sz w:val="22"/>
                <w:szCs w:val="22"/>
                <w:lang w:val="en-US" w:eastAsia="en-US"/>
              </w:rPr>
            </w:pPr>
            <w:proofErr w:type="spellStart"/>
            <w:r w:rsidRPr="001A2760">
              <w:rPr>
                <w:rFonts w:cs="Arial"/>
                <w:sz w:val="22"/>
                <w:szCs w:val="22"/>
                <w:lang w:val="de-DE" w:eastAsia="en-US"/>
              </w:rPr>
              <w:t>Beriplex</w:t>
            </w:r>
            <w:proofErr w:type="spellEnd"/>
            <w:r w:rsidRPr="001A2760">
              <w:rPr>
                <w:rFonts w:cs="Arial"/>
                <w:sz w:val="22"/>
                <w:szCs w:val="22"/>
                <w:lang w:val="de-DE" w:eastAsia="en-US"/>
              </w:rPr>
              <w:t xml:space="preserve"> P/N 500 UI </w:t>
            </w:r>
            <w:proofErr w:type="spellStart"/>
            <w:r w:rsidRPr="001A2760">
              <w:rPr>
                <w:rFonts w:cs="Arial"/>
                <w:sz w:val="22"/>
                <w:szCs w:val="22"/>
                <w:lang w:val="de-DE" w:eastAsia="en-US"/>
              </w:rPr>
              <w:t>pulbere</w:t>
            </w:r>
            <w:proofErr w:type="spellEnd"/>
            <w:r w:rsidRPr="001A2760">
              <w:rPr>
                <w:rFonts w:cs="Arial"/>
                <w:sz w:val="22"/>
                <w:szCs w:val="22"/>
                <w:lang w:val="de-DE" w:eastAsia="en-US"/>
              </w:rPr>
              <w:t xml:space="preserve"> </w:t>
            </w:r>
            <w:proofErr w:type="spellStart"/>
            <w:r w:rsidRPr="001A2760">
              <w:rPr>
                <w:rFonts w:cs="Arial"/>
                <w:sz w:val="22"/>
                <w:szCs w:val="22"/>
                <w:lang w:val="de-DE" w:eastAsia="en-US"/>
              </w:rPr>
              <w:t>și</w:t>
            </w:r>
            <w:proofErr w:type="spellEnd"/>
            <w:r w:rsidRPr="001A2760">
              <w:rPr>
                <w:rFonts w:cs="Arial"/>
                <w:sz w:val="22"/>
                <w:szCs w:val="22"/>
                <w:lang w:val="de-DE" w:eastAsia="en-US"/>
              </w:rPr>
              <w:t xml:space="preserve"> solvent </w:t>
            </w:r>
            <w:proofErr w:type="spellStart"/>
            <w:r w:rsidRPr="001A2760">
              <w:rPr>
                <w:rFonts w:cs="Arial"/>
                <w:sz w:val="22"/>
                <w:szCs w:val="22"/>
                <w:lang w:val="de-DE" w:eastAsia="en-US"/>
              </w:rPr>
              <w:t>pentru</w:t>
            </w:r>
            <w:proofErr w:type="spellEnd"/>
            <w:r w:rsidRPr="001A2760">
              <w:rPr>
                <w:rFonts w:cs="Arial"/>
                <w:sz w:val="22"/>
                <w:szCs w:val="22"/>
                <w:lang w:val="de-DE" w:eastAsia="en-US"/>
              </w:rPr>
              <w:t xml:space="preserve"> </w:t>
            </w:r>
            <w:proofErr w:type="spellStart"/>
            <w:r w:rsidRPr="001A2760">
              <w:rPr>
                <w:rFonts w:cs="Arial"/>
                <w:sz w:val="22"/>
                <w:szCs w:val="22"/>
                <w:lang w:val="de-DE" w:eastAsia="en-US"/>
              </w:rPr>
              <w:t>soluție</w:t>
            </w:r>
            <w:proofErr w:type="spellEnd"/>
            <w:r w:rsidRPr="001A2760">
              <w:rPr>
                <w:rFonts w:cs="Arial"/>
                <w:sz w:val="22"/>
                <w:szCs w:val="22"/>
                <w:lang w:val="de-DE" w:eastAsia="en-US"/>
              </w:rPr>
              <w:t xml:space="preserve"> </w:t>
            </w:r>
            <w:proofErr w:type="spellStart"/>
            <w:r w:rsidRPr="001A2760">
              <w:rPr>
                <w:rFonts w:cs="Arial"/>
                <w:sz w:val="22"/>
                <w:szCs w:val="22"/>
                <w:lang w:val="de-DE" w:eastAsia="en-US"/>
              </w:rPr>
              <w:t>injectabilă</w:t>
            </w:r>
            <w:proofErr w:type="spellEnd"/>
          </w:p>
        </w:tc>
      </w:tr>
      <w:tr w:rsidR="001A2760" w:rsidRPr="00B8418A" w:rsidTr="005B283A">
        <w:tc>
          <w:tcPr>
            <w:tcW w:w="2093" w:type="dxa"/>
          </w:tcPr>
          <w:p w:rsidR="001A2760" w:rsidRPr="001A2760" w:rsidRDefault="001A2760" w:rsidP="001A2760">
            <w:pPr>
              <w:widowControl w:val="0"/>
              <w:tabs>
                <w:tab w:val="left" w:pos="2520"/>
              </w:tabs>
              <w:rPr>
                <w:sz w:val="22"/>
                <w:szCs w:val="20"/>
                <w:lang w:eastAsia="x-none"/>
              </w:rPr>
            </w:pPr>
            <w:r w:rsidRPr="001A2760">
              <w:rPr>
                <w:sz w:val="22"/>
                <w:szCs w:val="20"/>
                <w:lang w:eastAsia="x-none"/>
              </w:rPr>
              <w:t>Σλοβακία</w:t>
            </w:r>
          </w:p>
          <w:p w:rsidR="001A2760" w:rsidRPr="001A2760" w:rsidRDefault="001A2760" w:rsidP="001A2760">
            <w:pPr>
              <w:widowControl w:val="0"/>
              <w:tabs>
                <w:tab w:val="left" w:pos="2520"/>
              </w:tabs>
              <w:rPr>
                <w:sz w:val="22"/>
                <w:szCs w:val="20"/>
                <w:lang w:eastAsia="x-none"/>
              </w:rPr>
            </w:pPr>
            <w:r w:rsidRPr="001A2760">
              <w:rPr>
                <w:sz w:val="22"/>
                <w:szCs w:val="20"/>
                <w:lang w:eastAsia="x-none"/>
              </w:rPr>
              <w:t>Σλοβενία</w:t>
            </w:r>
          </w:p>
          <w:p w:rsidR="001A2760" w:rsidRPr="001A2760" w:rsidRDefault="001A2760" w:rsidP="001A2760">
            <w:pPr>
              <w:widowControl w:val="0"/>
              <w:tabs>
                <w:tab w:val="left" w:pos="2520"/>
              </w:tabs>
              <w:rPr>
                <w:sz w:val="22"/>
                <w:szCs w:val="20"/>
                <w:lang w:eastAsia="x-none"/>
              </w:rPr>
            </w:pPr>
            <w:r w:rsidRPr="001A2760">
              <w:rPr>
                <w:sz w:val="22"/>
                <w:szCs w:val="20"/>
                <w:lang w:eastAsia="x-none"/>
              </w:rPr>
              <w:t>Ισπανία</w:t>
            </w:r>
          </w:p>
        </w:tc>
        <w:tc>
          <w:tcPr>
            <w:tcW w:w="7451" w:type="dxa"/>
          </w:tcPr>
          <w:p w:rsidR="001A2760" w:rsidRPr="001A2760" w:rsidRDefault="001A2760" w:rsidP="001A2760">
            <w:pPr>
              <w:widowControl w:val="0"/>
              <w:tabs>
                <w:tab w:val="left" w:pos="2520"/>
              </w:tabs>
              <w:rPr>
                <w:rFonts w:cs="Arial"/>
                <w:sz w:val="22"/>
                <w:szCs w:val="22"/>
                <w:lang w:val="en-US" w:eastAsia="en-US"/>
              </w:rPr>
            </w:pPr>
            <w:proofErr w:type="spellStart"/>
            <w:r w:rsidRPr="001A2760">
              <w:rPr>
                <w:rFonts w:cs="Arial"/>
                <w:sz w:val="22"/>
                <w:szCs w:val="22"/>
                <w:lang w:val="en-US" w:eastAsia="en-US"/>
              </w:rPr>
              <w:t>Beriplex</w:t>
            </w:r>
            <w:proofErr w:type="spellEnd"/>
            <w:r w:rsidRPr="001A2760">
              <w:rPr>
                <w:rFonts w:cs="Arial"/>
                <w:sz w:val="22"/>
                <w:szCs w:val="22"/>
                <w:lang w:val="en-US" w:eastAsia="en-US"/>
              </w:rPr>
              <w:t xml:space="preserve"> 500 IU</w:t>
            </w:r>
          </w:p>
          <w:p w:rsidR="001A2760" w:rsidRPr="001A2760" w:rsidRDefault="001A2760" w:rsidP="001A2760">
            <w:pPr>
              <w:widowControl w:val="0"/>
              <w:tabs>
                <w:tab w:val="left" w:pos="2520"/>
              </w:tabs>
              <w:rPr>
                <w:rFonts w:cs="Arial"/>
                <w:sz w:val="22"/>
                <w:szCs w:val="22"/>
                <w:lang w:val="en-US" w:eastAsia="en-US"/>
              </w:rPr>
            </w:pPr>
            <w:proofErr w:type="spellStart"/>
            <w:r w:rsidRPr="001A2760">
              <w:rPr>
                <w:rFonts w:cs="Arial"/>
                <w:sz w:val="22"/>
                <w:szCs w:val="22"/>
                <w:lang w:val="en-US" w:eastAsia="en-US"/>
              </w:rPr>
              <w:t>Beriplex</w:t>
            </w:r>
            <w:proofErr w:type="spellEnd"/>
            <w:r w:rsidRPr="001A2760">
              <w:rPr>
                <w:rFonts w:cs="Arial"/>
                <w:sz w:val="22"/>
                <w:szCs w:val="22"/>
                <w:lang w:val="en-US" w:eastAsia="en-US"/>
              </w:rPr>
              <w:t xml:space="preserve"> P/N 500 i.e. </w:t>
            </w:r>
            <w:proofErr w:type="spellStart"/>
            <w:r w:rsidRPr="001A2760">
              <w:rPr>
                <w:rFonts w:cs="Arial"/>
                <w:sz w:val="22"/>
                <w:szCs w:val="22"/>
                <w:lang w:val="en-US" w:eastAsia="en-US"/>
              </w:rPr>
              <w:t>prašek</w:t>
            </w:r>
            <w:proofErr w:type="spellEnd"/>
            <w:r w:rsidRPr="001A2760">
              <w:rPr>
                <w:rFonts w:cs="Arial"/>
                <w:sz w:val="22"/>
                <w:szCs w:val="22"/>
                <w:lang w:val="en-US" w:eastAsia="en-US"/>
              </w:rPr>
              <w:t xml:space="preserve"> in </w:t>
            </w:r>
            <w:proofErr w:type="spellStart"/>
            <w:r w:rsidRPr="001A2760">
              <w:rPr>
                <w:rFonts w:cs="Arial"/>
                <w:sz w:val="22"/>
                <w:szCs w:val="22"/>
                <w:lang w:val="en-US" w:eastAsia="en-US"/>
              </w:rPr>
              <w:t>vehikel</w:t>
            </w:r>
            <w:proofErr w:type="spellEnd"/>
            <w:r w:rsidRPr="001A2760">
              <w:rPr>
                <w:rFonts w:cs="Arial"/>
                <w:sz w:val="22"/>
                <w:szCs w:val="22"/>
                <w:lang w:val="en-US" w:eastAsia="en-US"/>
              </w:rPr>
              <w:t xml:space="preserve"> </w:t>
            </w:r>
            <w:proofErr w:type="spellStart"/>
            <w:r w:rsidRPr="001A2760">
              <w:rPr>
                <w:rFonts w:cs="Arial"/>
                <w:sz w:val="22"/>
                <w:szCs w:val="22"/>
                <w:lang w:val="en-US" w:eastAsia="en-US"/>
              </w:rPr>
              <w:t>za</w:t>
            </w:r>
            <w:proofErr w:type="spellEnd"/>
            <w:r w:rsidRPr="001A2760">
              <w:rPr>
                <w:rFonts w:cs="Arial"/>
                <w:sz w:val="22"/>
                <w:szCs w:val="22"/>
                <w:lang w:val="en-US" w:eastAsia="en-US"/>
              </w:rPr>
              <w:t xml:space="preserve"> </w:t>
            </w:r>
            <w:proofErr w:type="spellStart"/>
            <w:r w:rsidRPr="001A2760">
              <w:rPr>
                <w:rFonts w:cs="Arial"/>
                <w:sz w:val="22"/>
                <w:szCs w:val="22"/>
                <w:lang w:val="en-US" w:eastAsia="en-US"/>
              </w:rPr>
              <w:t>raztopino</w:t>
            </w:r>
            <w:proofErr w:type="spellEnd"/>
            <w:r w:rsidRPr="001A2760">
              <w:rPr>
                <w:rFonts w:cs="Arial"/>
                <w:sz w:val="22"/>
                <w:szCs w:val="22"/>
                <w:lang w:val="en-US" w:eastAsia="en-US"/>
              </w:rPr>
              <w:t xml:space="preserve"> </w:t>
            </w:r>
            <w:proofErr w:type="spellStart"/>
            <w:r w:rsidRPr="001A2760">
              <w:rPr>
                <w:rFonts w:cs="Arial"/>
                <w:sz w:val="22"/>
                <w:szCs w:val="22"/>
                <w:lang w:val="en-US" w:eastAsia="en-US"/>
              </w:rPr>
              <w:t>za</w:t>
            </w:r>
            <w:proofErr w:type="spellEnd"/>
            <w:r w:rsidRPr="001A2760">
              <w:rPr>
                <w:rFonts w:cs="Arial"/>
                <w:sz w:val="22"/>
                <w:szCs w:val="22"/>
                <w:lang w:val="en-US" w:eastAsia="en-US"/>
              </w:rPr>
              <w:t xml:space="preserve"> </w:t>
            </w:r>
            <w:proofErr w:type="spellStart"/>
            <w:r w:rsidRPr="001A2760">
              <w:rPr>
                <w:rFonts w:cs="Arial"/>
                <w:sz w:val="22"/>
                <w:szCs w:val="22"/>
                <w:lang w:val="en-US" w:eastAsia="en-US"/>
              </w:rPr>
              <w:t>injiciranje</w:t>
            </w:r>
            <w:proofErr w:type="spellEnd"/>
          </w:p>
          <w:p w:rsidR="001A2760" w:rsidRPr="001A2760" w:rsidRDefault="001A2760" w:rsidP="001A2760">
            <w:pPr>
              <w:widowControl w:val="0"/>
              <w:tabs>
                <w:tab w:val="left" w:pos="2520"/>
              </w:tabs>
              <w:rPr>
                <w:sz w:val="22"/>
                <w:szCs w:val="20"/>
                <w:lang w:val="en-US" w:eastAsia="x-none"/>
              </w:rPr>
            </w:pPr>
            <w:proofErr w:type="spellStart"/>
            <w:r w:rsidRPr="001A2760">
              <w:rPr>
                <w:rFonts w:cs="Arial"/>
                <w:sz w:val="22"/>
                <w:szCs w:val="22"/>
                <w:lang w:val="en-US" w:eastAsia="en-US"/>
              </w:rPr>
              <w:t>Beriplex</w:t>
            </w:r>
            <w:proofErr w:type="spellEnd"/>
            <w:r w:rsidRPr="001A2760">
              <w:rPr>
                <w:rFonts w:cs="Arial"/>
                <w:sz w:val="22"/>
                <w:szCs w:val="22"/>
                <w:lang w:val="en-US" w:eastAsia="en-US"/>
              </w:rPr>
              <w:t xml:space="preserve"> 500 UI </w:t>
            </w:r>
            <w:proofErr w:type="spellStart"/>
            <w:r w:rsidRPr="001A2760">
              <w:rPr>
                <w:rFonts w:cs="Arial"/>
                <w:sz w:val="22"/>
                <w:szCs w:val="22"/>
                <w:lang w:val="en-US" w:eastAsia="en-US"/>
              </w:rPr>
              <w:t>polvo</w:t>
            </w:r>
            <w:proofErr w:type="spellEnd"/>
            <w:r w:rsidRPr="001A2760">
              <w:rPr>
                <w:rFonts w:cs="Arial"/>
                <w:sz w:val="22"/>
                <w:szCs w:val="22"/>
                <w:lang w:val="en-US" w:eastAsia="en-US"/>
              </w:rPr>
              <w:t xml:space="preserve"> y </w:t>
            </w:r>
            <w:proofErr w:type="spellStart"/>
            <w:r w:rsidRPr="001A2760">
              <w:rPr>
                <w:rFonts w:cs="Arial"/>
                <w:sz w:val="22"/>
                <w:szCs w:val="22"/>
                <w:lang w:val="en-US" w:eastAsia="en-US"/>
              </w:rPr>
              <w:t>disolvente</w:t>
            </w:r>
            <w:proofErr w:type="spellEnd"/>
            <w:r w:rsidRPr="001A2760">
              <w:rPr>
                <w:rFonts w:cs="Arial"/>
                <w:sz w:val="22"/>
                <w:szCs w:val="22"/>
                <w:lang w:val="en-US" w:eastAsia="en-US"/>
              </w:rPr>
              <w:t xml:space="preserve"> </w:t>
            </w:r>
            <w:proofErr w:type="spellStart"/>
            <w:r w:rsidRPr="001A2760">
              <w:rPr>
                <w:rFonts w:cs="Arial"/>
                <w:sz w:val="22"/>
                <w:szCs w:val="22"/>
                <w:lang w:val="en-US" w:eastAsia="en-US"/>
              </w:rPr>
              <w:t>para</w:t>
            </w:r>
            <w:proofErr w:type="spellEnd"/>
            <w:r w:rsidRPr="001A2760">
              <w:rPr>
                <w:rFonts w:cs="Arial"/>
                <w:sz w:val="22"/>
                <w:szCs w:val="22"/>
                <w:lang w:val="en-US" w:eastAsia="en-US"/>
              </w:rPr>
              <w:t xml:space="preserve"> </w:t>
            </w:r>
            <w:proofErr w:type="spellStart"/>
            <w:r w:rsidRPr="001A2760">
              <w:rPr>
                <w:rFonts w:cs="Arial"/>
                <w:sz w:val="22"/>
                <w:szCs w:val="22"/>
                <w:lang w:val="en-US" w:eastAsia="en-US"/>
              </w:rPr>
              <w:t>solución</w:t>
            </w:r>
            <w:proofErr w:type="spellEnd"/>
            <w:r w:rsidRPr="001A2760">
              <w:rPr>
                <w:rFonts w:cs="Arial"/>
                <w:sz w:val="22"/>
                <w:szCs w:val="22"/>
                <w:lang w:val="en-US" w:eastAsia="en-US"/>
              </w:rPr>
              <w:t xml:space="preserve"> </w:t>
            </w:r>
            <w:proofErr w:type="spellStart"/>
            <w:r w:rsidRPr="001A2760">
              <w:rPr>
                <w:rFonts w:cs="Arial"/>
                <w:sz w:val="22"/>
                <w:szCs w:val="22"/>
                <w:lang w:val="en-US" w:eastAsia="en-US"/>
              </w:rPr>
              <w:t>inyectable</w:t>
            </w:r>
            <w:proofErr w:type="spellEnd"/>
          </w:p>
        </w:tc>
      </w:tr>
      <w:tr w:rsidR="001A2760" w:rsidRPr="00B8418A" w:rsidTr="005B283A">
        <w:tc>
          <w:tcPr>
            <w:tcW w:w="2093" w:type="dxa"/>
          </w:tcPr>
          <w:p w:rsidR="001A2760" w:rsidRPr="001A2760" w:rsidRDefault="001A2760" w:rsidP="001A2760">
            <w:pPr>
              <w:widowControl w:val="0"/>
              <w:tabs>
                <w:tab w:val="left" w:pos="2520"/>
              </w:tabs>
              <w:rPr>
                <w:sz w:val="22"/>
                <w:szCs w:val="20"/>
                <w:lang w:eastAsia="x-none"/>
              </w:rPr>
            </w:pPr>
            <w:r w:rsidRPr="001A2760">
              <w:rPr>
                <w:sz w:val="22"/>
                <w:szCs w:val="20"/>
                <w:lang w:eastAsia="x-none"/>
              </w:rPr>
              <w:t>Σουηδία</w:t>
            </w:r>
          </w:p>
        </w:tc>
        <w:tc>
          <w:tcPr>
            <w:tcW w:w="7451" w:type="dxa"/>
          </w:tcPr>
          <w:p w:rsidR="001A2760" w:rsidRPr="001A2760" w:rsidRDefault="001A2760" w:rsidP="001A2760">
            <w:pPr>
              <w:widowControl w:val="0"/>
              <w:tabs>
                <w:tab w:val="left" w:pos="2820"/>
              </w:tabs>
              <w:spacing w:before="20" w:after="20"/>
              <w:rPr>
                <w:rFonts w:cs="Arial"/>
                <w:sz w:val="22"/>
                <w:szCs w:val="22"/>
                <w:lang w:val="en-US" w:eastAsia="en-US"/>
              </w:rPr>
            </w:pPr>
            <w:r w:rsidRPr="001A2760">
              <w:rPr>
                <w:rFonts w:cs="Arial"/>
                <w:sz w:val="22"/>
                <w:szCs w:val="22"/>
                <w:lang w:val="sv-SE" w:eastAsia="en-US"/>
              </w:rPr>
              <w:t>Confidex 500 IE, pulver och vätska till injektionsvätska, lösning</w:t>
            </w:r>
          </w:p>
        </w:tc>
      </w:tr>
      <w:tr w:rsidR="001A2760" w:rsidRPr="00B8418A" w:rsidTr="005B283A">
        <w:tc>
          <w:tcPr>
            <w:tcW w:w="2093" w:type="dxa"/>
          </w:tcPr>
          <w:p w:rsidR="001A2760" w:rsidRPr="001A2760" w:rsidRDefault="001A2760" w:rsidP="001A2760">
            <w:pPr>
              <w:widowControl w:val="0"/>
              <w:tabs>
                <w:tab w:val="left" w:pos="2520"/>
              </w:tabs>
              <w:rPr>
                <w:sz w:val="22"/>
                <w:szCs w:val="20"/>
                <w:lang w:eastAsia="x-none"/>
              </w:rPr>
            </w:pPr>
            <w:r w:rsidRPr="001A2760">
              <w:rPr>
                <w:sz w:val="22"/>
                <w:szCs w:val="20"/>
                <w:lang w:eastAsia="x-none"/>
              </w:rPr>
              <w:t>Ηνωμένο Βασίλειο</w:t>
            </w:r>
          </w:p>
        </w:tc>
        <w:tc>
          <w:tcPr>
            <w:tcW w:w="7451" w:type="dxa"/>
          </w:tcPr>
          <w:p w:rsidR="001A2760" w:rsidRPr="001A2760" w:rsidRDefault="001A2760" w:rsidP="001A2760">
            <w:pPr>
              <w:widowControl w:val="0"/>
              <w:tabs>
                <w:tab w:val="left" w:pos="2820"/>
              </w:tabs>
              <w:spacing w:before="20" w:after="20"/>
              <w:rPr>
                <w:rFonts w:cs="Arial"/>
                <w:sz w:val="22"/>
                <w:szCs w:val="22"/>
                <w:lang w:val="sv-SE" w:eastAsia="en-US"/>
              </w:rPr>
            </w:pPr>
            <w:r w:rsidRPr="001A2760">
              <w:rPr>
                <w:rFonts w:cs="Arial"/>
                <w:sz w:val="22"/>
                <w:szCs w:val="22"/>
                <w:lang w:val="sv-SE" w:eastAsia="en-US"/>
              </w:rPr>
              <w:t>Beriplex P/N 500 IU, powder and solvent for solution for injection</w:t>
            </w:r>
          </w:p>
        </w:tc>
      </w:tr>
    </w:tbl>
    <w:p w:rsidR="001A2760" w:rsidRPr="001A2760" w:rsidRDefault="001A2760" w:rsidP="001A2760">
      <w:pPr>
        <w:widowControl w:val="0"/>
        <w:jc w:val="both"/>
        <w:rPr>
          <w:b/>
          <w:noProof/>
          <w:sz w:val="22"/>
          <w:szCs w:val="22"/>
          <w:lang w:val="en-US" w:eastAsia="en-US"/>
        </w:rPr>
      </w:pPr>
    </w:p>
    <w:p w:rsidR="001A2760" w:rsidRPr="001A2760" w:rsidRDefault="001A2760" w:rsidP="001A2760">
      <w:pPr>
        <w:widowControl w:val="0"/>
        <w:jc w:val="both"/>
        <w:rPr>
          <w:noProof/>
          <w:sz w:val="22"/>
          <w:szCs w:val="22"/>
          <w:lang w:eastAsia="en-US"/>
        </w:rPr>
      </w:pPr>
      <w:r w:rsidRPr="001A2760">
        <w:rPr>
          <w:b/>
          <w:noProof/>
          <w:sz w:val="22"/>
          <w:szCs w:val="22"/>
          <w:lang w:eastAsia="en-US"/>
        </w:rPr>
        <w:t>Το παρόν φύλλο οδηγιών χρήσης αναθεωρήθηκε για τελευταία φορά 03/2018</w:t>
      </w:r>
    </w:p>
    <w:p w:rsidR="001A2760" w:rsidRPr="001A2760" w:rsidRDefault="001A2760" w:rsidP="001A2760">
      <w:pPr>
        <w:widowControl w:val="0"/>
        <w:jc w:val="both"/>
        <w:rPr>
          <w:b/>
          <w:noProof/>
          <w:sz w:val="22"/>
          <w:szCs w:val="22"/>
          <w:lang w:eastAsia="en-US"/>
        </w:rPr>
      </w:pPr>
      <w:r w:rsidRPr="001A2760">
        <w:rPr>
          <w:b/>
          <w:noProof/>
          <w:sz w:val="22"/>
          <w:szCs w:val="22"/>
          <w:lang w:eastAsia="en-US"/>
        </w:rPr>
        <w:t>Τρόπος Διάθεσης</w:t>
      </w:r>
    </w:p>
    <w:p w:rsidR="001A2760" w:rsidRPr="001A2760" w:rsidRDefault="001A2760" w:rsidP="001A2760">
      <w:pPr>
        <w:widowControl w:val="0"/>
        <w:jc w:val="both"/>
        <w:rPr>
          <w:b/>
          <w:noProof/>
          <w:sz w:val="22"/>
          <w:szCs w:val="22"/>
          <w:lang w:eastAsia="en-US"/>
        </w:rPr>
      </w:pPr>
    </w:p>
    <w:p w:rsidR="001A2760" w:rsidRPr="001A2760" w:rsidRDefault="001A2760" w:rsidP="001A2760">
      <w:pPr>
        <w:widowControl w:val="0"/>
        <w:jc w:val="both"/>
        <w:rPr>
          <w:i/>
          <w:noProof/>
          <w:sz w:val="22"/>
          <w:szCs w:val="22"/>
          <w:lang w:eastAsia="en-US"/>
        </w:rPr>
      </w:pPr>
      <w:r w:rsidRPr="001A2760">
        <w:rPr>
          <w:i/>
          <w:noProof/>
          <w:sz w:val="22"/>
          <w:szCs w:val="22"/>
          <w:lang w:eastAsia="en-US"/>
        </w:rPr>
        <w:t>Για την Ελλάδα:</w:t>
      </w:r>
    </w:p>
    <w:p w:rsidR="001A2760" w:rsidRPr="001A2760" w:rsidRDefault="001A2760" w:rsidP="001A2760">
      <w:pPr>
        <w:widowControl w:val="0"/>
        <w:jc w:val="both"/>
        <w:rPr>
          <w:sz w:val="22"/>
          <w:szCs w:val="22"/>
          <w:lang w:eastAsia="en-US"/>
        </w:rPr>
      </w:pPr>
      <w:r w:rsidRPr="001A2760">
        <w:rPr>
          <w:sz w:val="22"/>
          <w:szCs w:val="22"/>
          <w:lang w:eastAsia="en-US"/>
        </w:rPr>
        <w:t>Με περιορισμένη ιατρική συνταγή: Μόνο για Νοσοκομειακή χρήση.</w:t>
      </w:r>
    </w:p>
    <w:p w:rsidR="001A2760" w:rsidRPr="001A2760" w:rsidRDefault="001A2760" w:rsidP="001A2760">
      <w:pPr>
        <w:widowControl w:val="0"/>
        <w:jc w:val="both"/>
        <w:rPr>
          <w:sz w:val="22"/>
          <w:szCs w:val="22"/>
          <w:lang w:eastAsia="en-US"/>
        </w:rPr>
      </w:pPr>
    </w:p>
    <w:p w:rsidR="001A2760" w:rsidRPr="001A2760" w:rsidRDefault="001A2760" w:rsidP="001A2760">
      <w:pPr>
        <w:widowControl w:val="0"/>
        <w:jc w:val="both"/>
        <w:rPr>
          <w:i/>
          <w:sz w:val="22"/>
          <w:szCs w:val="22"/>
          <w:lang w:eastAsia="en-US"/>
        </w:rPr>
      </w:pPr>
      <w:r w:rsidRPr="001A2760">
        <w:rPr>
          <w:i/>
          <w:sz w:val="22"/>
          <w:szCs w:val="22"/>
          <w:lang w:eastAsia="en-US"/>
        </w:rPr>
        <w:t>Για την Κύπρο:</w:t>
      </w:r>
    </w:p>
    <w:p w:rsidR="001A2760" w:rsidRPr="001A2760" w:rsidRDefault="001A2760" w:rsidP="001A2760">
      <w:pPr>
        <w:widowControl w:val="0"/>
        <w:jc w:val="both"/>
        <w:rPr>
          <w:noProof/>
          <w:sz w:val="22"/>
          <w:szCs w:val="22"/>
          <w:lang w:eastAsia="en-US"/>
        </w:rPr>
      </w:pPr>
      <w:r w:rsidRPr="001A2760">
        <w:rPr>
          <w:sz w:val="22"/>
          <w:szCs w:val="22"/>
          <w:lang w:eastAsia="en-US"/>
        </w:rPr>
        <w:t>Με ιατρική συνταγή.</w:t>
      </w:r>
    </w:p>
    <w:p w:rsidR="001A2760" w:rsidRPr="001A2760" w:rsidRDefault="001A2760" w:rsidP="001A2760">
      <w:pPr>
        <w:widowControl w:val="0"/>
        <w:jc w:val="both"/>
        <w:rPr>
          <w:noProof/>
          <w:sz w:val="22"/>
          <w:szCs w:val="22"/>
          <w:lang w:eastAsia="en-US"/>
        </w:rPr>
      </w:pPr>
      <w:r w:rsidRPr="001A2760">
        <w:rPr>
          <w:noProof/>
          <w:sz w:val="22"/>
          <w:szCs w:val="22"/>
          <w:lang w:eastAsia="en-US"/>
        </w:rPr>
        <w:t>___________________________________________________________________________</w:t>
      </w:r>
    </w:p>
    <w:p w:rsidR="001A2760" w:rsidRPr="001A2760" w:rsidRDefault="001A2760" w:rsidP="001A2760">
      <w:pPr>
        <w:widowControl w:val="0"/>
        <w:jc w:val="both"/>
        <w:rPr>
          <w:noProof/>
          <w:sz w:val="22"/>
          <w:szCs w:val="22"/>
          <w:lang w:eastAsia="en-US"/>
        </w:rPr>
      </w:pPr>
    </w:p>
    <w:p w:rsidR="001A2760" w:rsidRPr="001A2760" w:rsidRDefault="001A2760" w:rsidP="001A2760">
      <w:pPr>
        <w:widowControl w:val="0"/>
        <w:ind w:right="-449"/>
        <w:jc w:val="both"/>
        <w:rPr>
          <w:b/>
          <w:noProof/>
          <w:sz w:val="22"/>
          <w:szCs w:val="22"/>
          <w:lang w:eastAsia="en-US"/>
        </w:rPr>
      </w:pPr>
      <w:r w:rsidRPr="001A2760">
        <w:rPr>
          <w:b/>
          <w:noProof/>
          <w:sz w:val="22"/>
          <w:szCs w:val="22"/>
          <w:lang w:eastAsia="en-US"/>
        </w:rPr>
        <w:t>Οι πληροφορίες που ακολουθούν απευθύνονται μόνο σε επαγγελματίες υγείας:</w:t>
      </w:r>
    </w:p>
    <w:p w:rsidR="001A2760" w:rsidRPr="001A2760" w:rsidRDefault="001A2760" w:rsidP="001A2760">
      <w:pPr>
        <w:widowControl w:val="0"/>
        <w:ind w:right="-449"/>
        <w:jc w:val="both"/>
        <w:rPr>
          <w:noProof/>
          <w:sz w:val="22"/>
          <w:szCs w:val="22"/>
          <w:lang w:eastAsia="en-US"/>
        </w:rPr>
      </w:pPr>
    </w:p>
    <w:p w:rsidR="001A2760" w:rsidRPr="001A2760" w:rsidRDefault="001A2760" w:rsidP="001A2760">
      <w:pPr>
        <w:widowControl w:val="0"/>
        <w:ind w:right="-449"/>
        <w:jc w:val="both"/>
        <w:rPr>
          <w:b/>
          <w:noProof/>
          <w:sz w:val="22"/>
          <w:szCs w:val="22"/>
          <w:lang w:eastAsia="en-US"/>
        </w:rPr>
      </w:pPr>
      <w:r w:rsidRPr="001A2760">
        <w:rPr>
          <w:b/>
          <w:noProof/>
          <w:sz w:val="22"/>
          <w:szCs w:val="22"/>
          <w:lang w:eastAsia="en-US"/>
        </w:rPr>
        <w:t>Ποιοτική και ποσοτική σύνθεση</w:t>
      </w:r>
    </w:p>
    <w:p w:rsidR="001A2760" w:rsidRPr="001A2760" w:rsidRDefault="001A2760" w:rsidP="001A2760">
      <w:pPr>
        <w:widowControl w:val="0"/>
        <w:ind w:right="-449"/>
        <w:jc w:val="both"/>
        <w:rPr>
          <w:noProof/>
          <w:sz w:val="22"/>
          <w:szCs w:val="22"/>
          <w:lang w:eastAsia="en-US"/>
        </w:rPr>
      </w:pPr>
    </w:p>
    <w:p w:rsidR="001A2760" w:rsidRPr="001A2760" w:rsidRDefault="001A2760" w:rsidP="001A2760">
      <w:pPr>
        <w:tabs>
          <w:tab w:val="left" w:pos="567"/>
        </w:tabs>
        <w:spacing w:line="260" w:lineRule="exact"/>
        <w:jc w:val="both"/>
        <w:rPr>
          <w:sz w:val="22"/>
          <w:szCs w:val="22"/>
          <w:lang w:eastAsia="en-US"/>
        </w:rPr>
      </w:pPr>
      <w:r w:rsidRPr="001A2760">
        <w:rPr>
          <w:sz w:val="22"/>
          <w:szCs w:val="22"/>
          <w:lang w:eastAsia="en-US"/>
        </w:rPr>
        <w:lastRenderedPageBreak/>
        <w:t xml:space="preserve">Το </w:t>
      </w:r>
      <w:proofErr w:type="spellStart"/>
      <w:r w:rsidRPr="001A2760">
        <w:rPr>
          <w:sz w:val="22"/>
          <w:szCs w:val="22"/>
          <w:lang w:eastAsia="en-US"/>
        </w:rPr>
        <w:t>Beriplex</w:t>
      </w:r>
      <w:proofErr w:type="spellEnd"/>
      <w:r w:rsidRPr="001A2760">
        <w:rPr>
          <w:sz w:val="22"/>
          <w:szCs w:val="22"/>
          <w:lang w:eastAsia="en-US"/>
        </w:rPr>
        <w:t xml:space="preserve"> περιέχει ονομαστικά τις ακόλουθες διεθνείς μονάδες (IU) ανθρώπινων παραγόντων πήξης, που παρουσιάζονται υπό μορφή πίνακα παρακάτω:</w:t>
      </w:r>
    </w:p>
    <w:p w:rsidR="001A2760" w:rsidRPr="001A2760" w:rsidRDefault="001A2760" w:rsidP="001A2760">
      <w:pPr>
        <w:tabs>
          <w:tab w:val="left" w:pos="567"/>
        </w:tabs>
        <w:spacing w:line="260" w:lineRule="exact"/>
        <w:jc w:val="both"/>
        <w:rPr>
          <w:sz w:val="22"/>
          <w:szCs w:val="22"/>
          <w:lang w:eastAsia="en-US"/>
        </w:rPr>
      </w:pPr>
    </w:p>
    <w:tbl>
      <w:tblPr>
        <w:tblW w:w="9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2250"/>
        <w:gridCol w:w="3039"/>
      </w:tblGrid>
      <w:tr w:rsidR="001A2760" w:rsidRPr="001A2760" w:rsidTr="005B283A">
        <w:tc>
          <w:tcPr>
            <w:tcW w:w="3828" w:type="dxa"/>
          </w:tcPr>
          <w:p w:rsidR="001A2760" w:rsidRPr="001A2760" w:rsidRDefault="001A2760" w:rsidP="001A2760">
            <w:pPr>
              <w:tabs>
                <w:tab w:val="left" w:pos="0"/>
              </w:tabs>
              <w:jc w:val="both"/>
              <w:rPr>
                <w:b/>
                <w:bCs/>
                <w:sz w:val="22"/>
                <w:szCs w:val="22"/>
                <w:lang w:eastAsia="en-US"/>
              </w:rPr>
            </w:pPr>
            <w:r w:rsidRPr="001A2760">
              <w:rPr>
                <w:b/>
                <w:bCs/>
                <w:sz w:val="22"/>
                <w:szCs w:val="22"/>
                <w:lang w:eastAsia="en-US"/>
              </w:rPr>
              <w:t>Ονομασία συστατικών</w:t>
            </w:r>
          </w:p>
        </w:tc>
        <w:tc>
          <w:tcPr>
            <w:tcW w:w="2250" w:type="dxa"/>
          </w:tcPr>
          <w:p w:rsidR="001A2760" w:rsidRPr="001A2760" w:rsidRDefault="001A2760" w:rsidP="001A2760">
            <w:pPr>
              <w:tabs>
                <w:tab w:val="left" w:pos="0"/>
              </w:tabs>
              <w:rPr>
                <w:b/>
                <w:bCs/>
                <w:sz w:val="22"/>
                <w:szCs w:val="22"/>
                <w:lang w:eastAsia="en-US"/>
              </w:rPr>
            </w:pPr>
            <w:r w:rsidRPr="001A2760">
              <w:rPr>
                <w:b/>
                <w:bCs/>
                <w:sz w:val="22"/>
                <w:szCs w:val="22"/>
                <w:lang w:eastAsia="en-US"/>
              </w:rPr>
              <w:t xml:space="preserve">Περιεχόμενο μετά την ανασύσταση </w:t>
            </w:r>
          </w:p>
          <w:p w:rsidR="001A2760" w:rsidRPr="001A2760" w:rsidRDefault="001A2760" w:rsidP="001A2760">
            <w:pPr>
              <w:tabs>
                <w:tab w:val="left" w:pos="0"/>
              </w:tabs>
              <w:rPr>
                <w:b/>
                <w:bCs/>
                <w:sz w:val="22"/>
                <w:szCs w:val="22"/>
                <w:lang w:eastAsia="en-US"/>
              </w:rPr>
            </w:pPr>
            <w:r w:rsidRPr="001A2760">
              <w:rPr>
                <w:b/>
                <w:bCs/>
                <w:sz w:val="22"/>
                <w:szCs w:val="22"/>
                <w:lang w:eastAsia="en-US"/>
              </w:rPr>
              <w:t>(IU/ml)</w:t>
            </w:r>
          </w:p>
        </w:tc>
        <w:tc>
          <w:tcPr>
            <w:tcW w:w="3039" w:type="dxa"/>
          </w:tcPr>
          <w:p w:rsidR="001A2760" w:rsidRPr="001A2760" w:rsidRDefault="001A2760" w:rsidP="001A2760">
            <w:pPr>
              <w:tabs>
                <w:tab w:val="left" w:pos="0"/>
              </w:tabs>
              <w:ind w:left="9"/>
              <w:rPr>
                <w:b/>
                <w:bCs/>
                <w:sz w:val="22"/>
                <w:szCs w:val="22"/>
                <w:lang w:eastAsia="en-US"/>
              </w:rPr>
            </w:pPr>
            <w:proofErr w:type="spellStart"/>
            <w:r w:rsidRPr="001A2760">
              <w:rPr>
                <w:b/>
                <w:bCs/>
                <w:sz w:val="22"/>
                <w:szCs w:val="22"/>
                <w:lang w:eastAsia="en-US"/>
              </w:rPr>
              <w:t>Beriplex</w:t>
            </w:r>
            <w:proofErr w:type="spellEnd"/>
            <w:r w:rsidRPr="001A2760">
              <w:rPr>
                <w:b/>
                <w:bCs/>
                <w:sz w:val="22"/>
                <w:szCs w:val="22"/>
                <w:lang w:eastAsia="en-US"/>
              </w:rPr>
              <w:t xml:space="preserve"> P/N 500 </w:t>
            </w:r>
            <w:r w:rsidRPr="001A2760">
              <w:rPr>
                <w:b/>
                <w:bCs/>
                <w:sz w:val="22"/>
                <w:szCs w:val="22"/>
                <w:lang w:val="en-US" w:eastAsia="en-US"/>
              </w:rPr>
              <w:t>IU</w:t>
            </w:r>
            <w:r w:rsidRPr="001A2760">
              <w:rPr>
                <w:b/>
                <w:bCs/>
                <w:sz w:val="22"/>
                <w:szCs w:val="22"/>
                <w:lang w:eastAsia="en-US"/>
              </w:rPr>
              <w:br/>
              <w:t>περιεχόμενο ανά φιαλίδιο</w:t>
            </w:r>
          </w:p>
          <w:p w:rsidR="001A2760" w:rsidRPr="001A2760" w:rsidRDefault="001A2760" w:rsidP="001A2760">
            <w:pPr>
              <w:tabs>
                <w:tab w:val="left" w:pos="0"/>
              </w:tabs>
              <w:ind w:left="9"/>
              <w:jc w:val="both"/>
              <w:rPr>
                <w:b/>
                <w:bCs/>
                <w:sz w:val="22"/>
                <w:szCs w:val="22"/>
                <w:lang w:eastAsia="en-US"/>
              </w:rPr>
            </w:pPr>
            <w:r w:rsidRPr="001A2760">
              <w:rPr>
                <w:b/>
                <w:bCs/>
                <w:sz w:val="22"/>
                <w:szCs w:val="22"/>
                <w:lang w:eastAsia="en-US"/>
              </w:rPr>
              <w:t>(IU)</w:t>
            </w:r>
          </w:p>
        </w:tc>
      </w:tr>
      <w:tr w:rsidR="001A2760" w:rsidRPr="001A2760" w:rsidTr="005B283A">
        <w:tc>
          <w:tcPr>
            <w:tcW w:w="3828" w:type="dxa"/>
          </w:tcPr>
          <w:p w:rsidR="001A2760" w:rsidRPr="001A2760" w:rsidRDefault="001A2760" w:rsidP="001A2760">
            <w:pPr>
              <w:tabs>
                <w:tab w:val="left" w:pos="0"/>
              </w:tabs>
              <w:spacing w:before="40" w:after="40"/>
              <w:jc w:val="both"/>
              <w:rPr>
                <w:b/>
                <w:bCs/>
                <w:sz w:val="22"/>
                <w:szCs w:val="22"/>
                <w:lang w:eastAsia="en-US"/>
              </w:rPr>
            </w:pPr>
            <w:r w:rsidRPr="001A2760">
              <w:rPr>
                <w:b/>
                <w:bCs/>
                <w:sz w:val="22"/>
                <w:szCs w:val="22"/>
                <w:lang w:eastAsia="en-US"/>
              </w:rPr>
              <w:t>Δραστικά συστατικά</w:t>
            </w:r>
          </w:p>
        </w:tc>
        <w:tc>
          <w:tcPr>
            <w:tcW w:w="2250" w:type="dxa"/>
          </w:tcPr>
          <w:p w:rsidR="001A2760" w:rsidRPr="001A2760" w:rsidRDefault="001A2760" w:rsidP="001A2760">
            <w:pPr>
              <w:tabs>
                <w:tab w:val="left" w:pos="0"/>
              </w:tabs>
              <w:spacing w:before="40" w:after="40"/>
              <w:ind w:right="222"/>
              <w:rPr>
                <w:b/>
                <w:bCs/>
                <w:sz w:val="22"/>
                <w:szCs w:val="22"/>
                <w:lang w:eastAsia="en-US"/>
              </w:rPr>
            </w:pPr>
          </w:p>
        </w:tc>
        <w:tc>
          <w:tcPr>
            <w:tcW w:w="3039" w:type="dxa"/>
          </w:tcPr>
          <w:p w:rsidR="001A2760" w:rsidRPr="001A2760" w:rsidRDefault="001A2760" w:rsidP="001A2760">
            <w:pPr>
              <w:tabs>
                <w:tab w:val="left" w:pos="0"/>
              </w:tabs>
              <w:spacing w:before="40" w:after="40"/>
              <w:ind w:left="9" w:right="254"/>
              <w:jc w:val="both"/>
              <w:rPr>
                <w:b/>
                <w:bCs/>
                <w:sz w:val="22"/>
                <w:szCs w:val="22"/>
                <w:lang w:eastAsia="en-US"/>
              </w:rPr>
            </w:pPr>
          </w:p>
        </w:tc>
      </w:tr>
      <w:tr w:rsidR="001A2760" w:rsidRPr="001A2760" w:rsidTr="005B283A">
        <w:tc>
          <w:tcPr>
            <w:tcW w:w="3828" w:type="dxa"/>
          </w:tcPr>
          <w:p w:rsidR="001A2760" w:rsidRPr="001A2760" w:rsidRDefault="001A2760" w:rsidP="001A2760">
            <w:pPr>
              <w:tabs>
                <w:tab w:val="left" w:pos="0"/>
              </w:tabs>
              <w:spacing w:before="40" w:after="40"/>
              <w:jc w:val="both"/>
              <w:rPr>
                <w:sz w:val="22"/>
                <w:szCs w:val="22"/>
                <w:lang w:eastAsia="en-US"/>
              </w:rPr>
            </w:pPr>
            <w:r w:rsidRPr="001A2760">
              <w:rPr>
                <w:sz w:val="22"/>
                <w:szCs w:val="22"/>
                <w:lang w:eastAsia="en-US"/>
              </w:rPr>
              <w:t>Ανθρώπινος παράγοντας πήξης II</w:t>
            </w:r>
          </w:p>
        </w:tc>
        <w:tc>
          <w:tcPr>
            <w:tcW w:w="2250" w:type="dxa"/>
          </w:tcPr>
          <w:p w:rsidR="001A2760" w:rsidRPr="001A2760" w:rsidRDefault="001A2760" w:rsidP="001A2760">
            <w:pPr>
              <w:tabs>
                <w:tab w:val="left" w:pos="0"/>
              </w:tabs>
              <w:ind w:right="505"/>
              <w:rPr>
                <w:sz w:val="22"/>
                <w:szCs w:val="22"/>
                <w:lang w:val="en-GB" w:eastAsia="en-US"/>
              </w:rPr>
            </w:pPr>
            <w:r w:rsidRPr="001A2760">
              <w:rPr>
                <w:sz w:val="22"/>
                <w:szCs w:val="22"/>
                <w:lang w:val="en-GB" w:eastAsia="en-US"/>
              </w:rPr>
              <w:t xml:space="preserve">20 </w:t>
            </w:r>
            <w:r w:rsidRPr="001A2760">
              <w:rPr>
                <w:sz w:val="22"/>
                <w:szCs w:val="22"/>
                <w:lang w:eastAsia="en-US"/>
              </w:rPr>
              <w:t>-</w:t>
            </w:r>
            <w:r w:rsidRPr="001A2760">
              <w:rPr>
                <w:sz w:val="22"/>
                <w:szCs w:val="22"/>
                <w:lang w:val="en-GB" w:eastAsia="en-US"/>
              </w:rPr>
              <w:t xml:space="preserve"> 48 </w:t>
            </w:r>
          </w:p>
        </w:tc>
        <w:tc>
          <w:tcPr>
            <w:tcW w:w="3039" w:type="dxa"/>
          </w:tcPr>
          <w:p w:rsidR="001A2760" w:rsidRPr="001A2760" w:rsidRDefault="001A2760" w:rsidP="001A2760">
            <w:pPr>
              <w:tabs>
                <w:tab w:val="left" w:pos="0"/>
              </w:tabs>
              <w:ind w:left="9" w:right="396"/>
              <w:rPr>
                <w:sz w:val="22"/>
                <w:szCs w:val="22"/>
                <w:lang w:val="en-GB" w:eastAsia="en-US"/>
              </w:rPr>
            </w:pPr>
            <w:r w:rsidRPr="001A2760">
              <w:rPr>
                <w:sz w:val="22"/>
                <w:szCs w:val="22"/>
                <w:lang w:val="en-GB" w:eastAsia="en-US"/>
              </w:rPr>
              <w:t xml:space="preserve">400 </w:t>
            </w:r>
            <w:r w:rsidRPr="001A2760">
              <w:rPr>
                <w:sz w:val="22"/>
                <w:szCs w:val="22"/>
                <w:lang w:eastAsia="en-US"/>
              </w:rPr>
              <w:t>-</w:t>
            </w:r>
            <w:r w:rsidRPr="001A2760">
              <w:rPr>
                <w:sz w:val="22"/>
                <w:szCs w:val="22"/>
                <w:lang w:val="en-GB" w:eastAsia="en-US"/>
              </w:rPr>
              <w:t xml:space="preserve"> 960 </w:t>
            </w:r>
          </w:p>
        </w:tc>
      </w:tr>
      <w:tr w:rsidR="001A2760" w:rsidRPr="001A2760" w:rsidTr="005B283A">
        <w:tc>
          <w:tcPr>
            <w:tcW w:w="3828" w:type="dxa"/>
          </w:tcPr>
          <w:p w:rsidR="001A2760" w:rsidRPr="001A2760" w:rsidRDefault="001A2760" w:rsidP="001A2760">
            <w:pPr>
              <w:tabs>
                <w:tab w:val="left" w:pos="0"/>
              </w:tabs>
              <w:spacing w:before="40" w:after="40"/>
              <w:jc w:val="both"/>
              <w:rPr>
                <w:sz w:val="22"/>
                <w:szCs w:val="22"/>
                <w:lang w:eastAsia="en-US"/>
              </w:rPr>
            </w:pPr>
            <w:r w:rsidRPr="001A2760">
              <w:rPr>
                <w:sz w:val="22"/>
                <w:szCs w:val="22"/>
                <w:lang w:eastAsia="en-US"/>
              </w:rPr>
              <w:t>Ανθρώπινος παράγοντας πήξης VII</w:t>
            </w:r>
          </w:p>
        </w:tc>
        <w:tc>
          <w:tcPr>
            <w:tcW w:w="2250" w:type="dxa"/>
          </w:tcPr>
          <w:p w:rsidR="001A2760" w:rsidRPr="001A2760" w:rsidRDefault="001A2760" w:rsidP="001A2760">
            <w:pPr>
              <w:tabs>
                <w:tab w:val="left" w:pos="0"/>
              </w:tabs>
              <w:ind w:right="505"/>
              <w:rPr>
                <w:sz w:val="22"/>
                <w:szCs w:val="22"/>
                <w:lang w:val="en-GB" w:eastAsia="en-US"/>
              </w:rPr>
            </w:pPr>
            <w:r w:rsidRPr="001A2760">
              <w:rPr>
                <w:sz w:val="22"/>
                <w:szCs w:val="22"/>
                <w:lang w:val="en-GB" w:eastAsia="en-US"/>
              </w:rPr>
              <w:t xml:space="preserve">10 </w:t>
            </w:r>
            <w:r w:rsidRPr="001A2760">
              <w:rPr>
                <w:sz w:val="22"/>
                <w:szCs w:val="22"/>
                <w:lang w:eastAsia="en-US"/>
              </w:rPr>
              <w:t>-</w:t>
            </w:r>
            <w:r w:rsidRPr="001A2760">
              <w:rPr>
                <w:sz w:val="22"/>
                <w:szCs w:val="22"/>
                <w:lang w:val="en-GB" w:eastAsia="en-US"/>
              </w:rPr>
              <w:t xml:space="preserve"> 25 </w:t>
            </w:r>
          </w:p>
        </w:tc>
        <w:tc>
          <w:tcPr>
            <w:tcW w:w="3039" w:type="dxa"/>
          </w:tcPr>
          <w:p w:rsidR="001A2760" w:rsidRPr="001A2760" w:rsidRDefault="001A2760" w:rsidP="001A2760">
            <w:pPr>
              <w:tabs>
                <w:tab w:val="left" w:pos="0"/>
              </w:tabs>
              <w:ind w:left="9" w:right="396"/>
              <w:rPr>
                <w:sz w:val="22"/>
                <w:szCs w:val="22"/>
                <w:lang w:val="en-GB" w:eastAsia="en-US"/>
              </w:rPr>
            </w:pPr>
            <w:r w:rsidRPr="001A2760">
              <w:rPr>
                <w:sz w:val="22"/>
                <w:szCs w:val="22"/>
                <w:lang w:val="en-GB" w:eastAsia="en-US"/>
              </w:rPr>
              <w:t xml:space="preserve">200 </w:t>
            </w:r>
            <w:r w:rsidRPr="001A2760">
              <w:rPr>
                <w:sz w:val="22"/>
                <w:szCs w:val="22"/>
                <w:lang w:eastAsia="en-US"/>
              </w:rPr>
              <w:t>-</w:t>
            </w:r>
            <w:r w:rsidRPr="001A2760">
              <w:rPr>
                <w:sz w:val="22"/>
                <w:szCs w:val="22"/>
                <w:lang w:val="en-GB" w:eastAsia="en-US"/>
              </w:rPr>
              <w:t xml:space="preserve"> 500 </w:t>
            </w:r>
          </w:p>
        </w:tc>
      </w:tr>
      <w:tr w:rsidR="001A2760" w:rsidRPr="001A2760" w:rsidTr="005B283A">
        <w:tc>
          <w:tcPr>
            <w:tcW w:w="3828" w:type="dxa"/>
          </w:tcPr>
          <w:p w:rsidR="001A2760" w:rsidRPr="001A2760" w:rsidRDefault="001A2760" w:rsidP="001A2760">
            <w:pPr>
              <w:tabs>
                <w:tab w:val="left" w:pos="0"/>
              </w:tabs>
              <w:spacing w:before="40" w:after="40"/>
              <w:jc w:val="both"/>
              <w:rPr>
                <w:sz w:val="22"/>
                <w:szCs w:val="22"/>
                <w:lang w:eastAsia="en-US"/>
              </w:rPr>
            </w:pPr>
            <w:r w:rsidRPr="001A2760">
              <w:rPr>
                <w:sz w:val="22"/>
                <w:szCs w:val="22"/>
                <w:lang w:eastAsia="en-US"/>
              </w:rPr>
              <w:t>Ανθρώπινος παράγοντας πήξης IX</w:t>
            </w:r>
          </w:p>
        </w:tc>
        <w:tc>
          <w:tcPr>
            <w:tcW w:w="2250" w:type="dxa"/>
          </w:tcPr>
          <w:p w:rsidR="001A2760" w:rsidRPr="001A2760" w:rsidRDefault="001A2760" w:rsidP="001A2760">
            <w:pPr>
              <w:tabs>
                <w:tab w:val="left" w:pos="0"/>
              </w:tabs>
              <w:ind w:right="505"/>
              <w:rPr>
                <w:sz w:val="22"/>
                <w:szCs w:val="22"/>
                <w:lang w:val="it-IT" w:eastAsia="en-US"/>
              </w:rPr>
            </w:pPr>
            <w:r w:rsidRPr="001A2760">
              <w:rPr>
                <w:sz w:val="22"/>
                <w:szCs w:val="22"/>
                <w:lang w:val="it-IT" w:eastAsia="en-US"/>
              </w:rPr>
              <w:t xml:space="preserve">20 </w:t>
            </w:r>
            <w:r w:rsidRPr="001A2760">
              <w:rPr>
                <w:sz w:val="22"/>
                <w:szCs w:val="22"/>
                <w:lang w:eastAsia="en-US"/>
              </w:rPr>
              <w:t>-</w:t>
            </w:r>
            <w:r w:rsidRPr="001A2760">
              <w:rPr>
                <w:sz w:val="22"/>
                <w:szCs w:val="22"/>
                <w:lang w:val="it-IT" w:eastAsia="en-US"/>
              </w:rPr>
              <w:t xml:space="preserve"> 31 </w:t>
            </w:r>
          </w:p>
        </w:tc>
        <w:tc>
          <w:tcPr>
            <w:tcW w:w="3039" w:type="dxa"/>
          </w:tcPr>
          <w:p w:rsidR="001A2760" w:rsidRPr="001A2760" w:rsidRDefault="001A2760" w:rsidP="001A2760">
            <w:pPr>
              <w:tabs>
                <w:tab w:val="left" w:pos="0"/>
              </w:tabs>
              <w:ind w:left="9" w:right="396"/>
              <w:rPr>
                <w:sz w:val="22"/>
                <w:szCs w:val="22"/>
                <w:lang w:val="en-GB" w:eastAsia="en-US"/>
              </w:rPr>
            </w:pPr>
            <w:r w:rsidRPr="001A2760">
              <w:rPr>
                <w:sz w:val="22"/>
                <w:szCs w:val="22"/>
                <w:lang w:val="en-GB" w:eastAsia="en-US"/>
              </w:rPr>
              <w:t xml:space="preserve">400 </w:t>
            </w:r>
            <w:r w:rsidRPr="001A2760">
              <w:rPr>
                <w:sz w:val="22"/>
                <w:szCs w:val="22"/>
                <w:lang w:eastAsia="en-US"/>
              </w:rPr>
              <w:t>-</w:t>
            </w:r>
            <w:r w:rsidRPr="001A2760">
              <w:rPr>
                <w:sz w:val="22"/>
                <w:szCs w:val="22"/>
                <w:lang w:val="en-GB" w:eastAsia="en-US"/>
              </w:rPr>
              <w:t xml:space="preserve"> 620 </w:t>
            </w:r>
          </w:p>
        </w:tc>
      </w:tr>
      <w:tr w:rsidR="001A2760" w:rsidRPr="001A2760" w:rsidTr="005B283A">
        <w:tc>
          <w:tcPr>
            <w:tcW w:w="3828" w:type="dxa"/>
          </w:tcPr>
          <w:p w:rsidR="001A2760" w:rsidRPr="001A2760" w:rsidRDefault="001A2760" w:rsidP="001A2760">
            <w:pPr>
              <w:tabs>
                <w:tab w:val="left" w:pos="0"/>
              </w:tabs>
              <w:spacing w:before="40" w:after="40"/>
              <w:jc w:val="both"/>
              <w:rPr>
                <w:sz w:val="22"/>
                <w:szCs w:val="22"/>
                <w:lang w:eastAsia="en-US"/>
              </w:rPr>
            </w:pPr>
            <w:r w:rsidRPr="001A2760">
              <w:rPr>
                <w:sz w:val="22"/>
                <w:szCs w:val="22"/>
                <w:lang w:eastAsia="en-US"/>
              </w:rPr>
              <w:t>Ανθρώπινος παράγοντας πήξης X</w:t>
            </w:r>
          </w:p>
        </w:tc>
        <w:tc>
          <w:tcPr>
            <w:tcW w:w="2250" w:type="dxa"/>
          </w:tcPr>
          <w:p w:rsidR="001A2760" w:rsidRPr="001A2760" w:rsidRDefault="001A2760" w:rsidP="001A2760">
            <w:pPr>
              <w:tabs>
                <w:tab w:val="left" w:pos="0"/>
              </w:tabs>
              <w:ind w:right="505"/>
              <w:rPr>
                <w:sz w:val="22"/>
                <w:szCs w:val="22"/>
                <w:lang w:val="en-GB" w:eastAsia="en-US"/>
              </w:rPr>
            </w:pPr>
            <w:r w:rsidRPr="001A2760">
              <w:rPr>
                <w:sz w:val="22"/>
                <w:szCs w:val="22"/>
                <w:lang w:val="en-GB" w:eastAsia="en-US"/>
              </w:rPr>
              <w:t xml:space="preserve">22 </w:t>
            </w:r>
            <w:r w:rsidRPr="001A2760">
              <w:rPr>
                <w:sz w:val="22"/>
                <w:szCs w:val="22"/>
                <w:lang w:eastAsia="en-US"/>
              </w:rPr>
              <w:t>-</w:t>
            </w:r>
            <w:r w:rsidRPr="001A2760">
              <w:rPr>
                <w:sz w:val="22"/>
                <w:szCs w:val="22"/>
                <w:lang w:val="en-GB" w:eastAsia="en-US"/>
              </w:rPr>
              <w:t xml:space="preserve"> 60 </w:t>
            </w:r>
          </w:p>
        </w:tc>
        <w:tc>
          <w:tcPr>
            <w:tcW w:w="3039" w:type="dxa"/>
          </w:tcPr>
          <w:p w:rsidR="001A2760" w:rsidRPr="001A2760" w:rsidRDefault="001A2760" w:rsidP="001A2760">
            <w:pPr>
              <w:tabs>
                <w:tab w:val="left" w:pos="0"/>
              </w:tabs>
              <w:ind w:left="9" w:right="396"/>
              <w:rPr>
                <w:sz w:val="22"/>
                <w:szCs w:val="22"/>
                <w:lang w:val="en-GB" w:eastAsia="en-US"/>
              </w:rPr>
            </w:pPr>
            <w:r w:rsidRPr="001A2760">
              <w:rPr>
                <w:sz w:val="22"/>
                <w:szCs w:val="22"/>
                <w:lang w:val="en-GB" w:eastAsia="en-US"/>
              </w:rPr>
              <w:t xml:space="preserve">440 </w:t>
            </w:r>
            <w:r w:rsidRPr="001A2760">
              <w:rPr>
                <w:sz w:val="22"/>
                <w:szCs w:val="22"/>
                <w:lang w:eastAsia="en-US"/>
              </w:rPr>
              <w:t>-</w:t>
            </w:r>
            <w:r w:rsidRPr="001A2760">
              <w:rPr>
                <w:sz w:val="22"/>
                <w:szCs w:val="22"/>
                <w:lang w:val="en-GB" w:eastAsia="en-US"/>
              </w:rPr>
              <w:t xml:space="preserve"> 1200 </w:t>
            </w:r>
          </w:p>
        </w:tc>
      </w:tr>
      <w:tr w:rsidR="001A2760" w:rsidRPr="001A2760" w:rsidTr="005B283A">
        <w:tc>
          <w:tcPr>
            <w:tcW w:w="3828" w:type="dxa"/>
          </w:tcPr>
          <w:p w:rsidR="001A2760" w:rsidRPr="001A2760" w:rsidRDefault="001A2760" w:rsidP="001A2760">
            <w:pPr>
              <w:tabs>
                <w:tab w:val="left" w:pos="0"/>
              </w:tabs>
              <w:spacing w:before="40" w:after="40"/>
              <w:jc w:val="both"/>
              <w:rPr>
                <w:b/>
                <w:bCs/>
                <w:sz w:val="22"/>
                <w:szCs w:val="22"/>
                <w:lang w:eastAsia="en-US"/>
              </w:rPr>
            </w:pPr>
            <w:r w:rsidRPr="001A2760">
              <w:rPr>
                <w:b/>
                <w:bCs/>
                <w:sz w:val="22"/>
                <w:szCs w:val="22"/>
                <w:lang w:eastAsia="en-US"/>
              </w:rPr>
              <w:t>Επιπλέον δραστικά συστατικά</w:t>
            </w:r>
          </w:p>
        </w:tc>
        <w:tc>
          <w:tcPr>
            <w:tcW w:w="2250" w:type="dxa"/>
          </w:tcPr>
          <w:p w:rsidR="001A2760" w:rsidRPr="001A2760" w:rsidRDefault="001A2760" w:rsidP="001A2760">
            <w:pPr>
              <w:tabs>
                <w:tab w:val="left" w:pos="0"/>
              </w:tabs>
              <w:ind w:right="505"/>
              <w:rPr>
                <w:b/>
                <w:bCs/>
                <w:sz w:val="22"/>
                <w:szCs w:val="22"/>
                <w:lang w:val="en-GB" w:eastAsia="en-US"/>
              </w:rPr>
            </w:pPr>
          </w:p>
        </w:tc>
        <w:tc>
          <w:tcPr>
            <w:tcW w:w="3039" w:type="dxa"/>
          </w:tcPr>
          <w:p w:rsidR="001A2760" w:rsidRPr="001A2760" w:rsidRDefault="001A2760" w:rsidP="001A2760">
            <w:pPr>
              <w:tabs>
                <w:tab w:val="left" w:pos="0"/>
              </w:tabs>
              <w:ind w:left="9" w:right="396"/>
              <w:rPr>
                <w:b/>
                <w:bCs/>
                <w:sz w:val="22"/>
                <w:szCs w:val="22"/>
                <w:lang w:val="en-GB" w:eastAsia="en-US"/>
              </w:rPr>
            </w:pPr>
          </w:p>
        </w:tc>
      </w:tr>
      <w:tr w:rsidR="001A2760" w:rsidRPr="001A2760" w:rsidTr="005B283A">
        <w:tc>
          <w:tcPr>
            <w:tcW w:w="3828" w:type="dxa"/>
          </w:tcPr>
          <w:p w:rsidR="001A2760" w:rsidRPr="001A2760" w:rsidRDefault="001A2760" w:rsidP="001A2760">
            <w:pPr>
              <w:tabs>
                <w:tab w:val="left" w:pos="0"/>
              </w:tabs>
              <w:spacing w:before="40" w:after="40"/>
              <w:jc w:val="both"/>
              <w:rPr>
                <w:sz w:val="22"/>
                <w:szCs w:val="22"/>
                <w:lang w:eastAsia="en-US"/>
              </w:rPr>
            </w:pPr>
            <w:r w:rsidRPr="001A2760">
              <w:rPr>
                <w:sz w:val="22"/>
                <w:szCs w:val="22"/>
                <w:lang w:eastAsia="en-US"/>
              </w:rPr>
              <w:t>Πρωτεΐνη C</w:t>
            </w:r>
          </w:p>
        </w:tc>
        <w:tc>
          <w:tcPr>
            <w:tcW w:w="2250" w:type="dxa"/>
          </w:tcPr>
          <w:p w:rsidR="001A2760" w:rsidRPr="001A2760" w:rsidRDefault="001A2760" w:rsidP="001A2760">
            <w:pPr>
              <w:tabs>
                <w:tab w:val="left" w:pos="0"/>
              </w:tabs>
              <w:ind w:right="505"/>
              <w:rPr>
                <w:sz w:val="22"/>
                <w:szCs w:val="22"/>
                <w:lang w:val="it-IT" w:eastAsia="en-US"/>
              </w:rPr>
            </w:pPr>
            <w:r w:rsidRPr="001A2760">
              <w:rPr>
                <w:sz w:val="22"/>
                <w:szCs w:val="22"/>
                <w:lang w:val="it-IT" w:eastAsia="en-US"/>
              </w:rPr>
              <w:t xml:space="preserve">15 </w:t>
            </w:r>
            <w:r w:rsidRPr="001A2760">
              <w:rPr>
                <w:sz w:val="22"/>
                <w:szCs w:val="22"/>
                <w:lang w:eastAsia="en-US"/>
              </w:rPr>
              <w:t>-</w:t>
            </w:r>
            <w:r w:rsidRPr="001A2760">
              <w:rPr>
                <w:sz w:val="22"/>
                <w:szCs w:val="22"/>
                <w:lang w:val="it-IT" w:eastAsia="en-US"/>
              </w:rPr>
              <w:t xml:space="preserve"> 45 </w:t>
            </w:r>
          </w:p>
        </w:tc>
        <w:tc>
          <w:tcPr>
            <w:tcW w:w="3039" w:type="dxa"/>
          </w:tcPr>
          <w:p w:rsidR="001A2760" w:rsidRPr="001A2760" w:rsidRDefault="001A2760" w:rsidP="001A2760">
            <w:pPr>
              <w:tabs>
                <w:tab w:val="left" w:pos="0"/>
              </w:tabs>
              <w:ind w:left="9" w:right="396"/>
              <w:rPr>
                <w:sz w:val="22"/>
                <w:szCs w:val="22"/>
                <w:lang w:val="it-IT" w:eastAsia="en-US"/>
              </w:rPr>
            </w:pPr>
            <w:r w:rsidRPr="001A2760">
              <w:rPr>
                <w:sz w:val="22"/>
                <w:szCs w:val="22"/>
                <w:lang w:val="it-IT" w:eastAsia="en-US"/>
              </w:rPr>
              <w:t xml:space="preserve">300 </w:t>
            </w:r>
            <w:r w:rsidRPr="001A2760">
              <w:rPr>
                <w:sz w:val="22"/>
                <w:szCs w:val="22"/>
                <w:lang w:eastAsia="en-US"/>
              </w:rPr>
              <w:t>-</w:t>
            </w:r>
            <w:r w:rsidRPr="001A2760">
              <w:rPr>
                <w:sz w:val="22"/>
                <w:szCs w:val="22"/>
                <w:lang w:val="it-IT" w:eastAsia="en-US"/>
              </w:rPr>
              <w:t xml:space="preserve"> 900 </w:t>
            </w:r>
          </w:p>
        </w:tc>
      </w:tr>
      <w:tr w:rsidR="001A2760" w:rsidRPr="001A2760" w:rsidTr="005B283A">
        <w:tc>
          <w:tcPr>
            <w:tcW w:w="3828" w:type="dxa"/>
          </w:tcPr>
          <w:p w:rsidR="001A2760" w:rsidRPr="001A2760" w:rsidRDefault="001A2760" w:rsidP="001A2760">
            <w:pPr>
              <w:tabs>
                <w:tab w:val="left" w:pos="0"/>
              </w:tabs>
              <w:spacing w:before="40" w:after="40"/>
              <w:jc w:val="both"/>
              <w:rPr>
                <w:sz w:val="22"/>
                <w:szCs w:val="22"/>
                <w:lang w:eastAsia="en-US"/>
              </w:rPr>
            </w:pPr>
            <w:r w:rsidRPr="001A2760">
              <w:rPr>
                <w:sz w:val="22"/>
                <w:szCs w:val="22"/>
                <w:lang w:eastAsia="en-US"/>
              </w:rPr>
              <w:t>Πρωτεΐνη S</w:t>
            </w:r>
          </w:p>
        </w:tc>
        <w:tc>
          <w:tcPr>
            <w:tcW w:w="2250" w:type="dxa"/>
          </w:tcPr>
          <w:p w:rsidR="001A2760" w:rsidRPr="001A2760" w:rsidRDefault="001A2760" w:rsidP="001A2760">
            <w:pPr>
              <w:tabs>
                <w:tab w:val="left" w:pos="0"/>
              </w:tabs>
              <w:ind w:right="505"/>
              <w:rPr>
                <w:sz w:val="22"/>
                <w:szCs w:val="22"/>
                <w:lang w:val="it-IT" w:eastAsia="en-US"/>
              </w:rPr>
            </w:pPr>
            <w:r w:rsidRPr="001A2760">
              <w:rPr>
                <w:sz w:val="22"/>
                <w:szCs w:val="22"/>
                <w:lang w:val="it-IT" w:eastAsia="en-US"/>
              </w:rPr>
              <w:t xml:space="preserve">12 - 38 </w:t>
            </w:r>
          </w:p>
        </w:tc>
        <w:tc>
          <w:tcPr>
            <w:tcW w:w="3039" w:type="dxa"/>
          </w:tcPr>
          <w:p w:rsidR="001A2760" w:rsidRPr="001A2760" w:rsidRDefault="001A2760" w:rsidP="001A2760">
            <w:pPr>
              <w:tabs>
                <w:tab w:val="left" w:pos="0"/>
              </w:tabs>
              <w:ind w:left="9" w:right="396"/>
              <w:rPr>
                <w:sz w:val="22"/>
                <w:szCs w:val="22"/>
                <w:lang w:val="en-GB" w:eastAsia="en-US"/>
              </w:rPr>
            </w:pPr>
            <w:r w:rsidRPr="001A2760">
              <w:rPr>
                <w:sz w:val="22"/>
                <w:szCs w:val="22"/>
                <w:lang w:val="en-GB" w:eastAsia="en-US"/>
              </w:rPr>
              <w:t xml:space="preserve">240 - 760 </w:t>
            </w:r>
          </w:p>
        </w:tc>
      </w:tr>
    </w:tbl>
    <w:p w:rsidR="001A2760" w:rsidRPr="001A2760" w:rsidRDefault="001A2760" w:rsidP="001A2760">
      <w:pPr>
        <w:tabs>
          <w:tab w:val="left" w:pos="567"/>
        </w:tabs>
        <w:spacing w:line="260" w:lineRule="exact"/>
        <w:jc w:val="both"/>
        <w:rPr>
          <w:color w:val="FF0000"/>
          <w:sz w:val="22"/>
          <w:szCs w:val="22"/>
          <w:lang w:eastAsia="en-US"/>
        </w:rPr>
      </w:pPr>
    </w:p>
    <w:p w:rsidR="001A2760" w:rsidRPr="001A2760" w:rsidRDefault="001A2760" w:rsidP="001A2760">
      <w:pPr>
        <w:widowControl w:val="0"/>
        <w:jc w:val="both"/>
        <w:rPr>
          <w:sz w:val="22"/>
          <w:szCs w:val="22"/>
          <w:lang w:eastAsia="en-US"/>
        </w:rPr>
      </w:pPr>
      <w:r w:rsidRPr="001A2760">
        <w:rPr>
          <w:sz w:val="22"/>
          <w:szCs w:val="22"/>
          <w:lang w:eastAsia="en-US"/>
        </w:rPr>
        <w:t xml:space="preserve">Η ολική περιεχόμενη πρωτεΐνη είναι 6 - 14 </w:t>
      </w:r>
      <w:proofErr w:type="spellStart"/>
      <w:r w:rsidRPr="001A2760">
        <w:rPr>
          <w:sz w:val="22"/>
          <w:szCs w:val="22"/>
          <w:lang w:eastAsia="en-US"/>
        </w:rPr>
        <w:t>mg</w:t>
      </w:r>
      <w:proofErr w:type="spellEnd"/>
      <w:r w:rsidRPr="001A2760">
        <w:rPr>
          <w:sz w:val="22"/>
          <w:szCs w:val="22"/>
          <w:lang w:eastAsia="en-US"/>
        </w:rPr>
        <w:t xml:space="preserve">/ml </w:t>
      </w:r>
      <w:proofErr w:type="spellStart"/>
      <w:r w:rsidRPr="001A2760">
        <w:rPr>
          <w:sz w:val="22"/>
          <w:szCs w:val="22"/>
          <w:lang w:eastAsia="en-US"/>
        </w:rPr>
        <w:t>ανασυσταμένου</w:t>
      </w:r>
      <w:proofErr w:type="spellEnd"/>
      <w:r w:rsidRPr="001A2760">
        <w:rPr>
          <w:sz w:val="22"/>
          <w:szCs w:val="22"/>
          <w:lang w:eastAsia="en-US"/>
        </w:rPr>
        <w:t xml:space="preserve"> διαλύματος.</w:t>
      </w:r>
    </w:p>
    <w:p w:rsidR="001A2760" w:rsidRPr="001A2760" w:rsidRDefault="001A2760" w:rsidP="001A2760">
      <w:pPr>
        <w:widowControl w:val="0"/>
        <w:jc w:val="both"/>
        <w:rPr>
          <w:sz w:val="22"/>
          <w:szCs w:val="22"/>
          <w:lang w:eastAsia="en-US"/>
        </w:rPr>
      </w:pPr>
    </w:p>
    <w:p w:rsidR="001A2760" w:rsidRPr="001A2760" w:rsidRDefault="001A2760" w:rsidP="001A2760">
      <w:pPr>
        <w:widowControl w:val="0"/>
        <w:jc w:val="both"/>
        <w:rPr>
          <w:sz w:val="22"/>
          <w:szCs w:val="22"/>
          <w:lang w:eastAsia="en-US"/>
        </w:rPr>
      </w:pPr>
      <w:r w:rsidRPr="001A2760">
        <w:rPr>
          <w:sz w:val="22"/>
          <w:szCs w:val="22"/>
          <w:lang w:eastAsia="en-US"/>
        </w:rPr>
        <w:t xml:space="preserve">Η ειδική δραστικότητα του παράγοντα IX είναι 2,5 IU ανά </w:t>
      </w:r>
      <w:proofErr w:type="spellStart"/>
      <w:r w:rsidRPr="001A2760">
        <w:rPr>
          <w:sz w:val="22"/>
          <w:szCs w:val="22"/>
          <w:lang w:eastAsia="en-US"/>
        </w:rPr>
        <w:t>mg</w:t>
      </w:r>
      <w:proofErr w:type="spellEnd"/>
      <w:r w:rsidRPr="001A2760">
        <w:rPr>
          <w:sz w:val="22"/>
          <w:szCs w:val="22"/>
          <w:lang w:eastAsia="en-US"/>
        </w:rPr>
        <w:t xml:space="preserve"> ολικής πρωτεΐνης.</w:t>
      </w:r>
    </w:p>
    <w:p w:rsidR="001A2760" w:rsidRPr="001A2760" w:rsidRDefault="001A2760" w:rsidP="001A2760">
      <w:pPr>
        <w:widowControl w:val="0"/>
        <w:jc w:val="both"/>
        <w:rPr>
          <w:sz w:val="22"/>
          <w:szCs w:val="22"/>
          <w:lang w:eastAsia="en-US"/>
        </w:rPr>
      </w:pPr>
    </w:p>
    <w:p w:rsidR="001A2760" w:rsidRPr="001A2760" w:rsidRDefault="001A2760" w:rsidP="001A2760">
      <w:pPr>
        <w:widowControl w:val="0"/>
        <w:jc w:val="both"/>
        <w:rPr>
          <w:sz w:val="22"/>
          <w:szCs w:val="22"/>
          <w:lang w:eastAsia="en-US"/>
        </w:rPr>
      </w:pPr>
      <w:r w:rsidRPr="001A2760">
        <w:rPr>
          <w:sz w:val="22"/>
          <w:szCs w:val="22"/>
          <w:lang w:eastAsia="en-US"/>
        </w:rPr>
        <w:t>Οι δραστικότητες όλων των παραγόντων πήξης, καθώς επίσης και των Πρωτεϊνών C και S (αντιγόνο) έχουν ελεγχθεί σύμφωνα με τα ισχύοντα διεθνή πρότυπα κατά ΠΟΥ (WHO).</w:t>
      </w:r>
    </w:p>
    <w:p w:rsidR="001A2760" w:rsidRPr="001A2760" w:rsidRDefault="001A2760" w:rsidP="001A2760">
      <w:pPr>
        <w:widowControl w:val="0"/>
        <w:jc w:val="both"/>
        <w:rPr>
          <w:sz w:val="22"/>
          <w:szCs w:val="22"/>
          <w:lang w:eastAsia="en-US"/>
        </w:rPr>
      </w:pPr>
    </w:p>
    <w:p w:rsidR="001A2760" w:rsidRPr="001A2760" w:rsidRDefault="001A2760" w:rsidP="001A2760">
      <w:pPr>
        <w:widowControl w:val="0"/>
        <w:jc w:val="both"/>
        <w:rPr>
          <w:sz w:val="22"/>
          <w:szCs w:val="22"/>
          <w:lang w:eastAsia="en-US"/>
        </w:rPr>
      </w:pPr>
      <w:r w:rsidRPr="001A2760">
        <w:rPr>
          <w:b/>
          <w:sz w:val="22"/>
          <w:szCs w:val="22"/>
          <w:lang w:eastAsia="en-US"/>
        </w:rPr>
        <w:t>Δοσολογία και τρόπος χορήγησης</w:t>
      </w:r>
    </w:p>
    <w:p w:rsidR="001A2760" w:rsidRPr="001A2760" w:rsidRDefault="001A2760" w:rsidP="001A2760">
      <w:pPr>
        <w:widowControl w:val="0"/>
        <w:jc w:val="both"/>
        <w:rPr>
          <w:sz w:val="22"/>
          <w:szCs w:val="22"/>
          <w:lang w:eastAsia="en-US"/>
        </w:rPr>
      </w:pPr>
    </w:p>
    <w:p w:rsidR="001A2760" w:rsidRPr="001A2760" w:rsidRDefault="001A2760" w:rsidP="001A2760">
      <w:pPr>
        <w:widowControl w:val="0"/>
        <w:jc w:val="both"/>
        <w:rPr>
          <w:sz w:val="22"/>
          <w:szCs w:val="22"/>
          <w:lang w:eastAsia="en-US"/>
        </w:rPr>
      </w:pPr>
      <w:r w:rsidRPr="001A2760">
        <w:rPr>
          <w:b/>
          <w:i/>
          <w:sz w:val="22"/>
          <w:szCs w:val="22"/>
          <w:lang w:eastAsia="en-US"/>
        </w:rPr>
        <w:t>Δοσολογία</w:t>
      </w:r>
    </w:p>
    <w:p w:rsidR="001A2760" w:rsidRPr="001A2760" w:rsidRDefault="001A2760" w:rsidP="001A2760">
      <w:pPr>
        <w:widowControl w:val="0"/>
        <w:jc w:val="both"/>
        <w:rPr>
          <w:sz w:val="22"/>
          <w:szCs w:val="22"/>
          <w:lang w:eastAsia="en-US"/>
        </w:rPr>
      </w:pPr>
      <w:r w:rsidRPr="001A2760">
        <w:rPr>
          <w:sz w:val="22"/>
          <w:szCs w:val="22"/>
          <w:lang w:eastAsia="en-US"/>
        </w:rPr>
        <w:t xml:space="preserve">Παρακάτω δίνονται μόνο γενικές </w:t>
      </w:r>
      <w:proofErr w:type="spellStart"/>
      <w:r w:rsidRPr="001A2760">
        <w:rPr>
          <w:sz w:val="22"/>
          <w:szCs w:val="22"/>
          <w:lang w:eastAsia="en-US"/>
        </w:rPr>
        <w:t>δοσολογικές</w:t>
      </w:r>
      <w:proofErr w:type="spellEnd"/>
      <w:r w:rsidRPr="001A2760">
        <w:rPr>
          <w:sz w:val="22"/>
          <w:szCs w:val="22"/>
          <w:lang w:eastAsia="en-US"/>
        </w:rPr>
        <w:t xml:space="preserve"> οδηγίες.</w:t>
      </w:r>
    </w:p>
    <w:p w:rsidR="001A2760" w:rsidRPr="001A2760" w:rsidRDefault="001A2760" w:rsidP="001A2760">
      <w:pPr>
        <w:widowControl w:val="0"/>
        <w:jc w:val="both"/>
        <w:rPr>
          <w:sz w:val="22"/>
          <w:szCs w:val="22"/>
          <w:lang w:eastAsia="en-US"/>
        </w:rPr>
      </w:pPr>
    </w:p>
    <w:p w:rsidR="001A2760" w:rsidRPr="001A2760" w:rsidRDefault="001A2760" w:rsidP="001A2760">
      <w:pPr>
        <w:widowControl w:val="0"/>
        <w:jc w:val="both"/>
        <w:rPr>
          <w:sz w:val="22"/>
          <w:szCs w:val="22"/>
          <w:lang w:eastAsia="en-US"/>
        </w:rPr>
      </w:pPr>
      <w:r w:rsidRPr="001A2760">
        <w:rPr>
          <w:sz w:val="22"/>
          <w:szCs w:val="22"/>
          <w:lang w:eastAsia="en-US"/>
        </w:rPr>
        <w:t xml:space="preserve">Η ποσότητα και η συχνότητα χορήγησης πρέπει να υπολογίζονται βάσει των εξατομικευμένων αναγκών του ασθενούς. Τα μεσοδιαστήματα μεταξύ των δόσεων πρέπει να προσαρμόζονται στο διαφορετικό χρόνο ημίσειας ζωής των αντίστοιχων παραγόντων πήξης του συμπλέγματος προθρομβίνης στην κυκλοφορία. Οι εξατομικευμένες </w:t>
      </w:r>
      <w:proofErr w:type="spellStart"/>
      <w:r w:rsidRPr="001A2760">
        <w:rPr>
          <w:sz w:val="22"/>
          <w:szCs w:val="22"/>
          <w:lang w:eastAsia="en-US"/>
        </w:rPr>
        <w:t>δοσολογικές</w:t>
      </w:r>
      <w:proofErr w:type="spellEnd"/>
      <w:r w:rsidRPr="001A2760">
        <w:rPr>
          <w:sz w:val="22"/>
          <w:szCs w:val="22"/>
          <w:lang w:eastAsia="en-US"/>
        </w:rPr>
        <w:t xml:space="preserve"> απαιτήσεις μπορούν να προσδιοριστούν μόνο βάσει τακτικών προσδιορισμών των επιπέδων παραγόντων πήξης που παρουσιάζουν ενδιαφέρον στο πλάσμα του ατόμου ή βάσει πλήρων ελέγχων των επιπέδων του συμπλέγματος προθρομβίνης (τιμή INR, χρόνος </w:t>
      </w:r>
      <w:proofErr w:type="spellStart"/>
      <w:r w:rsidRPr="001A2760">
        <w:rPr>
          <w:sz w:val="22"/>
          <w:szCs w:val="22"/>
          <w:lang w:eastAsia="en-US"/>
        </w:rPr>
        <w:t>Quick</w:t>
      </w:r>
      <w:proofErr w:type="spellEnd"/>
      <w:r w:rsidRPr="001A2760">
        <w:rPr>
          <w:sz w:val="22"/>
          <w:szCs w:val="22"/>
          <w:lang w:eastAsia="en-US"/>
        </w:rPr>
        <w:t>) και συνεχούς παρακολούθησης της κλινικής κατάστασης του ασθενούς.</w:t>
      </w:r>
    </w:p>
    <w:p w:rsidR="001A2760" w:rsidRPr="001A2760" w:rsidRDefault="001A2760" w:rsidP="001A2760">
      <w:pPr>
        <w:widowControl w:val="0"/>
        <w:jc w:val="both"/>
        <w:rPr>
          <w:sz w:val="22"/>
          <w:szCs w:val="22"/>
          <w:lang w:eastAsia="en-US"/>
        </w:rPr>
      </w:pPr>
    </w:p>
    <w:p w:rsidR="001A2760" w:rsidRPr="001A2760" w:rsidRDefault="001A2760" w:rsidP="001A2760">
      <w:pPr>
        <w:widowControl w:val="0"/>
        <w:jc w:val="both"/>
        <w:rPr>
          <w:sz w:val="22"/>
          <w:szCs w:val="22"/>
          <w:lang w:eastAsia="en-US"/>
        </w:rPr>
      </w:pPr>
      <w:r w:rsidRPr="001A2760">
        <w:rPr>
          <w:sz w:val="22"/>
          <w:szCs w:val="22"/>
          <w:lang w:eastAsia="en-US"/>
        </w:rPr>
        <w:t xml:space="preserve">Σε περίπτωση </w:t>
      </w:r>
      <w:proofErr w:type="spellStart"/>
      <w:r w:rsidRPr="001A2760">
        <w:rPr>
          <w:sz w:val="22"/>
          <w:szCs w:val="22"/>
          <w:lang w:eastAsia="en-US"/>
        </w:rPr>
        <w:t>μείζονων</w:t>
      </w:r>
      <w:proofErr w:type="spellEnd"/>
      <w:r w:rsidRPr="001A2760">
        <w:rPr>
          <w:sz w:val="22"/>
          <w:szCs w:val="22"/>
          <w:lang w:eastAsia="en-US"/>
        </w:rPr>
        <w:t xml:space="preserve"> χειρουργικών επεμβάσεων, είναι απαραίτητη η ακριβής παρακολούθηση της θεραπείας υποκατάστασης με προσδιορισμούς πήξης (ειδικοί προσδιορισμοί των παραγόντων πήξης και/ή πλήρεις έλεγχοι των επιπέδων του συμπλέγματος προθρομβίνης).</w:t>
      </w:r>
    </w:p>
    <w:p w:rsidR="001A2760" w:rsidRPr="001A2760" w:rsidRDefault="001A2760" w:rsidP="001A2760">
      <w:pPr>
        <w:widowControl w:val="0"/>
        <w:jc w:val="both"/>
        <w:rPr>
          <w:sz w:val="22"/>
          <w:szCs w:val="22"/>
          <w:lang w:eastAsia="en-US"/>
        </w:rPr>
      </w:pPr>
    </w:p>
    <w:p w:rsidR="001A2760" w:rsidRPr="001A2760" w:rsidRDefault="001A2760" w:rsidP="001A2760">
      <w:pPr>
        <w:widowControl w:val="0"/>
        <w:numPr>
          <w:ilvl w:val="0"/>
          <w:numId w:val="9"/>
        </w:numPr>
        <w:tabs>
          <w:tab w:val="num" w:pos="426"/>
        </w:tabs>
        <w:ind w:left="426" w:hanging="426"/>
        <w:jc w:val="both"/>
        <w:rPr>
          <w:b/>
          <w:noProof/>
          <w:sz w:val="22"/>
          <w:szCs w:val="22"/>
          <w:lang w:eastAsia="en-US"/>
        </w:rPr>
      </w:pPr>
      <w:r w:rsidRPr="001A2760">
        <w:rPr>
          <w:b/>
          <w:noProof/>
          <w:sz w:val="22"/>
          <w:szCs w:val="22"/>
          <w:lang w:eastAsia="en-US"/>
        </w:rPr>
        <w:t>Αιμορραγία και περιεγχειρητική προφύλαξη από αιμορραγίες κατά τη διάρκεια θεραπείας με ανταγωνιστές της βιταμίνης Κ.</w:t>
      </w:r>
    </w:p>
    <w:p w:rsidR="001A2760" w:rsidRPr="001A2760" w:rsidRDefault="001A2760" w:rsidP="001A2760">
      <w:pPr>
        <w:tabs>
          <w:tab w:val="left" w:pos="426"/>
        </w:tabs>
        <w:ind w:left="426"/>
        <w:jc w:val="both"/>
        <w:rPr>
          <w:sz w:val="22"/>
          <w:szCs w:val="22"/>
          <w:lang w:eastAsia="en-US"/>
        </w:rPr>
      </w:pPr>
    </w:p>
    <w:p w:rsidR="001A2760" w:rsidRPr="001A2760" w:rsidRDefault="001A2760" w:rsidP="001A2760">
      <w:pPr>
        <w:tabs>
          <w:tab w:val="left" w:pos="426"/>
        </w:tabs>
        <w:ind w:left="426"/>
        <w:jc w:val="both"/>
        <w:rPr>
          <w:sz w:val="22"/>
          <w:szCs w:val="22"/>
          <w:lang w:eastAsia="en-US"/>
        </w:rPr>
      </w:pPr>
      <w:r w:rsidRPr="001A2760">
        <w:rPr>
          <w:sz w:val="22"/>
          <w:szCs w:val="22"/>
          <w:lang w:eastAsia="en-US"/>
        </w:rPr>
        <w:t xml:space="preserve">Η δόση θα εξαρτηθεί από την τιμή INR πριν από τη θεραπεία και τη στοχευόμενη τιμή INR. Η τιμή INR πριν από τη θεραπεία πρέπει να προσδιοριστεί όσο το δυνατόν πλησιέστερα στη χρονική στιγμή χορήγησης της δόσης ώστε να υπολογιστεί η κατάλληλη δόση του </w:t>
      </w:r>
      <w:proofErr w:type="spellStart"/>
      <w:r w:rsidRPr="001A2760">
        <w:rPr>
          <w:sz w:val="22"/>
          <w:szCs w:val="22"/>
          <w:lang w:val="en-US" w:eastAsia="en-US"/>
        </w:rPr>
        <w:t>Beriplex</w:t>
      </w:r>
      <w:proofErr w:type="spellEnd"/>
      <w:r w:rsidRPr="001A2760">
        <w:rPr>
          <w:sz w:val="22"/>
          <w:szCs w:val="22"/>
          <w:lang w:eastAsia="en-US"/>
        </w:rPr>
        <w:t>. Στον ακόλουθο πίνακα δίνονται οι κατά προσέγγιση δόσεις (σε ml/</w:t>
      </w:r>
      <w:proofErr w:type="spellStart"/>
      <w:r w:rsidRPr="001A2760">
        <w:rPr>
          <w:sz w:val="22"/>
          <w:szCs w:val="22"/>
          <w:lang w:eastAsia="en-US"/>
        </w:rPr>
        <w:t>kg</w:t>
      </w:r>
      <w:proofErr w:type="spellEnd"/>
      <w:r w:rsidRPr="001A2760">
        <w:rPr>
          <w:sz w:val="22"/>
          <w:szCs w:val="22"/>
          <w:lang w:eastAsia="en-US"/>
        </w:rPr>
        <w:t xml:space="preserve"> βάρους σώματος του </w:t>
      </w:r>
      <w:proofErr w:type="spellStart"/>
      <w:r w:rsidRPr="001A2760">
        <w:rPr>
          <w:sz w:val="22"/>
          <w:szCs w:val="22"/>
          <w:lang w:eastAsia="en-US"/>
        </w:rPr>
        <w:t>ανασυσταμένου</w:t>
      </w:r>
      <w:proofErr w:type="spellEnd"/>
      <w:r w:rsidRPr="001A2760">
        <w:rPr>
          <w:sz w:val="22"/>
          <w:szCs w:val="22"/>
          <w:lang w:eastAsia="en-US"/>
        </w:rPr>
        <w:t xml:space="preserve"> προϊόντος και σε IU παράγοντα IX/</w:t>
      </w:r>
      <w:proofErr w:type="spellStart"/>
      <w:r w:rsidRPr="001A2760">
        <w:rPr>
          <w:sz w:val="22"/>
          <w:szCs w:val="22"/>
          <w:lang w:eastAsia="en-US"/>
        </w:rPr>
        <w:t>kg</w:t>
      </w:r>
      <w:proofErr w:type="spellEnd"/>
      <w:r w:rsidRPr="001A2760">
        <w:rPr>
          <w:sz w:val="22"/>
          <w:szCs w:val="22"/>
          <w:lang w:eastAsia="en-US"/>
        </w:rPr>
        <w:t xml:space="preserve"> βάρους σώματος) που απαιτούνται για την ομαλοποίηση της τιμής INR (π.χ. </w:t>
      </w:r>
      <w:r w:rsidRPr="001A2760">
        <w:rPr>
          <w:sz w:val="22"/>
          <w:szCs w:val="22"/>
          <w:lang w:eastAsia="en-US"/>
        </w:rPr>
        <w:sym w:font="Symbol" w:char="F0A3"/>
      </w:r>
      <w:r w:rsidRPr="001A2760">
        <w:rPr>
          <w:sz w:val="22"/>
          <w:szCs w:val="22"/>
          <w:lang w:eastAsia="en-US"/>
        </w:rPr>
        <w:t xml:space="preserve"> 1,3) για διαφορετικά αρχικά επίπεδα INR.</w:t>
      </w:r>
    </w:p>
    <w:p w:rsidR="001A2760" w:rsidRPr="001A2760" w:rsidRDefault="001A2760" w:rsidP="001A2760">
      <w:pPr>
        <w:tabs>
          <w:tab w:val="left" w:pos="426"/>
        </w:tabs>
        <w:ind w:left="426"/>
        <w:jc w:val="both"/>
        <w:rPr>
          <w:sz w:val="22"/>
          <w:szCs w:val="22"/>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1"/>
        <w:gridCol w:w="1276"/>
        <w:gridCol w:w="1275"/>
        <w:gridCol w:w="1134"/>
      </w:tblGrid>
      <w:tr w:rsidR="001A2760" w:rsidRPr="001A2760" w:rsidTr="005B283A">
        <w:tc>
          <w:tcPr>
            <w:tcW w:w="4961" w:type="dxa"/>
          </w:tcPr>
          <w:p w:rsidR="001A2760" w:rsidRPr="001A2760" w:rsidRDefault="001A2760" w:rsidP="001A2760">
            <w:pPr>
              <w:tabs>
                <w:tab w:val="left" w:pos="0"/>
              </w:tabs>
              <w:jc w:val="both"/>
              <w:rPr>
                <w:sz w:val="22"/>
                <w:szCs w:val="22"/>
                <w:lang w:eastAsia="en-US"/>
              </w:rPr>
            </w:pPr>
            <w:r w:rsidRPr="001A2760">
              <w:rPr>
                <w:sz w:val="22"/>
                <w:szCs w:val="22"/>
                <w:lang w:eastAsia="en-US"/>
              </w:rPr>
              <w:t>Τιμή INR πριν από τη θεραπεία</w:t>
            </w:r>
          </w:p>
        </w:tc>
        <w:tc>
          <w:tcPr>
            <w:tcW w:w="1276" w:type="dxa"/>
          </w:tcPr>
          <w:p w:rsidR="001A2760" w:rsidRPr="001A2760" w:rsidRDefault="001A2760" w:rsidP="001A2760">
            <w:pPr>
              <w:tabs>
                <w:tab w:val="left" w:pos="0"/>
              </w:tabs>
              <w:jc w:val="both"/>
              <w:rPr>
                <w:sz w:val="22"/>
                <w:szCs w:val="22"/>
                <w:lang w:eastAsia="en-US"/>
              </w:rPr>
            </w:pPr>
            <w:r w:rsidRPr="001A2760">
              <w:rPr>
                <w:sz w:val="22"/>
                <w:szCs w:val="22"/>
                <w:lang w:eastAsia="en-US"/>
              </w:rPr>
              <w:t>2,0 - 3,9</w:t>
            </w:r>
          </w:p>
        </w:tc>
        <w:tc>
          <w:tcPr>
            <w:tcW w:w="1275" w:type="dxa"/>
          </w:tcPr>
          <w:p w:rsidR="001A2760" w:rsidRPr="001A2760" w:rsidRDefault="001A2760" w:rsidP="001A2760">
            <w:pPr>
              <w:tabs>
                <w:tab w:val="left" w:pos="0"/>
              </w:tabs>
              <w:jc w:val="both"/>
              <w:rPr>
                <w:sz w:val="22"/>
                <w:szCs w:val="22"/>
                <w:lang w:eastAsia="en-US"/>
              </w:rPr>
            </w:pPr>
            <w:r w:rsidRPr="001A2760">
              <w:rPr>
                <w:sz w:val="22"/>
                <w:szCs w:val="22"/>
                <w:lang w:eastAsia="en-US"/>
              </w:rPr>
              <w:t>4,0 - 6,0</w:t>
            </w:r>
          </w:p>
        </w:tc>
        <w:tc>
          <w:tcPr>
            <w:tcW w:w="1134" w:type="dxa"/>
          </w:tcPr>
          <w:p w:rsidR="001A2760" w:rsidRPr="001A2760" w:rsidRDefault="001A2760" w:rsidP="001A2760">
            <w:pPr>
              <w:tabs>
                <w:tab w:val="left" w:pos="-1"/>
              </w:tabs>
              <w:ind w:left="-1"/>
              <w:jc w:val="both"/>
              <w:rPr>
                <w:sz w:val="22"/>
                <w:szCs w:val="22"/>
                <w:lang w:eastAsia="en-US"/>
              </w:rPr>
            </w:pPr>
            <w:r w:rsidRPr="001A2760">
              <w:rPr>
                <w:sz w:val="22"/>
                <w:szCs w:val="22"/>
                <w:lang w:eastAsia="en-US"/>
              </w:rPr>
              <w:t>&gt; 6,0</w:t>
            </w:r>
          </w:p>
        </w:tc>
      </w:tr>
      <w:tr w:rsidR="001A2760" w:rsidRPr="001A2760" w:rsidTr="005B283A">
        <w:tc>
          <w:tcPr>
            <w:tcW w:w="4961" w:type="dxa"/>
          </w:tcPr>
          <w:p w:rsidR="001A2760" w:rsidRPr="001A2760" w:rsidRDefault="001A2760" w:rsidP="001A2760">
            <w:pPr>
              <w:tabs>
                <w:tab w:val="left" w:pos="0"/>
              </w:tabs>
              <w:jc w:val="both"/>
              <w:rPr>
                <w:sz w:val="22"/>
                <w:szCs w:val="22"/>
                <w:lang w:eastAsia="en-US"/>
              </w:rPr>
            </w:pPr>
            <w:r w:rsidRPr="001A2760">
              <w:rPr>
                <w:sz w:val="22"/>
                <w:szCs w:val="22"/>
                <w:lang w:eastAsia="en-US"/>
              </w:rPr>
              <w:t>Κατά προσέγγιση δόση σε ml/</w:t>
            </w:r>
            <w:proofErr w:type="spellStart"/>
            <w:r w:rsidRPr="001A2760">
              <w:rPr>
                <w:sz w:val="22"/>
                <w:szCs w:val="22"/>
                <w:lang w:eastAsia="en-US"/>
              </w:rPr>
              <w:t>kg</w:t>
            </w:r>
            <w:proofErr w:type="spellEnd"/>
            <w:r w:rsidRPr="001A2760">
              <w:rPr>
                <w:sz w:val="22"/>
                <w:szCs w:val="22"/>
                <w:lang w:eastAsia="en-US"/>
              </w:rPr>
              <w:t xml:space="preserve"> βάρους σώματος</w:t>
            </w:r>
          </w:p>
        </w:tc>
        <w:tc>
          <w:tcPr>
            <w:tcW w:w="1276" w:type="dxa"/>
          </w:tcPr>
          <w:p w:rsidR="001A2760" w:rsidRPr="001A2760" w:rsidRDefault="001A2760" w:rsidP="001A2760">
            <w:pPr>
              <w:tabs>
                <w:tab w:val="left" w:pos="0"/>
              </w:tabs>
              <w:jc w:val="both"/>
              <w:rPr>
                <w:sz w:val="22"/>
                <w:szCs w:val="22"/>
                <w:lang w:eastAsia="en-US"/>
              </w:rPr>
            </w:pPr>
            <w:r w:rsidRPr="001A2760">
              <w:rPr>
                <w:sz w:val="22"/>
                <w:szCs w:val="22"/>
                <w:lang w:eastAsia="en-US"/>
              </w:rPr>
              <w:t>1</w:t>
            </w:r>
          </w:p>
        </w:tc>
        <w:tc>
          <w:tcPr>
            <w:tcW w:w="1275" w:type="dxa"/>
          </w:tcPr>
          <w:p w:rsidR="001A2760" w:rsidRPr="001A2760" w:rsidRDefault="001A2760" w:rsidP="001A2760">
            <w:pPr>
              <w:tabs>
                <w:tab w:val="left" w:pos="0"/>
              </w:tabs>
              <w:jc w:val="both"/>
              <w:rPr>
                <w:sz w:val="22"/>
                <w:szCs w:val="22"/>
                <w:lang w:eastAsia="en-US"/>
              </w:rPr>
            </w:pPr>
            <w:r w:rsidRPr="001A2760">
              <w:rPr>
                <w:sz w:val="22"/>
                <w:szCs w:val="22"/>
                <w:lang w:eastAsia="en-US"/>
              </w:rPr>
              <w:t>1,4</w:t>
            </w:r>
          </w:p>
        </w:tc>
        <w:tc>
          <w:tcPr>
            <w:tcW w:w="1134" w:type="dxa"/>
          </w:tcPr>
          <w:p w:rsidR="001A2760" w:rsidRPr="001A2760" w:rsidRDefault="001A2760" w:rsidP="001A2760">
            <w:pPr>
              <w:tabs>
                <w:tab w:val="left" w:pos="-1"/>
              </w:tabs>
              <w:ind w:left="-1"/>
              <w:jc w:val="both"/>
              <w:rPr>
                <w:sz w:val="22"/>
                <w:szCs w:val="22"/>
                <w:lang w:eastAsia="en-US"/>
              </w:rPr>
            </w:pPr>
            <w:r w:rsidRPr="001A2760">
              <w:rPr>
                <w:sz w:val="22"/>
                <w:szCs w:val="22"/>
                <w:lang w:eastAsia="en-US"/>
              </w:rPr>
              <w:t>2</w:t>
            </w:r>
          </w:p>
        </w:tc>
      </w:tr>
      <w:tr w:rsidR="001A2760" w:rsidRPr="001A2760" w:rsidTr="005B283A">
        <w:tc>
          <w:tcPr>
            <w:tcW w:w="4961" w:type="dxa"/>
          </w:tcPr>
          <w:p w:rsidR="001A2760" w:rsidRPr="001A2760" w:rsidRDefault="001A2760" w:rsidP="001A2760">
            <w:pPr>
              <w:tabs>
                <w:tab w:val="left" w:pos="0"/>
              </w:tabs>
              <w:jc w:val="both"/>
              <w:rPr>
                <w:sz w:val="22"/>
                <w:szCs w:val="22"/>
                <w:lang w:eastAsia="en-US"/>
              </w:rPr>
            </w:pPr>
            <w:r w:rsidRPr="001A2760">
              <w:rPr>
                <w:sz w:val="22"/>
                <w:szCs w:val="22"/>
                <w:lang w:eastAsia="en-US"/>
              </w:rPr>
              <w:t>Κατά προσέγγιση δόση σε IU (Παράγοντα IX)/</w:t>
            </w:r>
            <w:proofErr w:type="spellStart"/>
            <w:r w:rsidRPr="001A2760">
              <w:rPr>
                <w:sz w:val="22"/>
                <w:szCs w:val="22"/>
                <w:lang w:eastAsia="en-US"/>
              </w:rPr>
              <w:t>kg</w:t>
            </w:r>
            <w:proofErr w:type="spellEnd"/>
            <w:r w:rsidRPr="001A2760">
              <w:rPr>
                <w:sz w:val="22"/>
                <w:szCs w:val="22"/>
                <w:lang w:eastAsia="en-US"/>
              </w:rPr>
              <w:t xml:space="preserve"> βάρους σώματος</w:t>
            </w:r>
          </w:p>
        </w:tc>
        <w:tc>
          <w:tcPr>
            <w:tcW w:w="1276" w:type="dxa"/>
          </w:tcPr>
          <w:p w:rsidR="001A2760" w:rsidRPr="001A2760" w:rsidRDefault="001A2760" w:rsidP="001A2760">
            <w:pPr>
              <w:tabs>
                <w:tab w:val="left" w:pos="0"/>
              </w:tabs>
              <w:jc w:val="both"/>
              <w:rPr>
                <w:sz w:val="22"/>
                <w:szCs w:val="22"/>
                <w:lang w:eastAsia="en-US"/>
              </w:rPr>
            </w:pPr>
            <w:r w:rsidRPr="001A2760">
              <w:rPr>
                <w:sz w:val="22"/>
                <w:szCs w:val="22"/>
                <w:lang w:eastAsia="en-US"/>
              </w:rPr>
              <w:t>25</w:t>
            </w:r>
          </w:p>
        </w:tc>
        <w:tc>
          <w:tcPr>
            <w:tcW w:w="1275" w:type="dxa"/>
          </w:tcPr>
          <w:p w:rsidR="001A2760" w:rsidRPr="001A2760" w:rsidRDefault="001A2760" w:rsidP="001A2760">
            <w:pPr>
              <w:tabs>
                <w:tab w:val="left" w:pos="0"/>
              </w:tabs>
              <w:jc w:val="both"/>
              <w:rPr>
                <w:sz w:val="22"/>
                <w:szCs w:val="22"/>
                <w:lang w:eastAsia="en-US"/>
              </w:rPr>
            </w:pPr>
            <w:r w:rsidRPr="001A2760">
              <w:rPr>
                <w:sz w:val="22"/>
                <w:szCs w:val="22"/>
                <w:lang w:eastAsia="en-US"/>
              </w:rPr>
              <w:t>35</w:t>
            </w:r>
          </w:p>
        </w:tc>
        <w:tc>
          <w:tcPr>
            <w:tcW w:w="1134" w:type="dxa"/>
          </w:tcPr>
          <w:p w:rsidR="001A2760" w:rsidRPr="001A2760" w:rsidRDefault="001A2760" w:rsidP="001A2760">
            <w:pPr>
              <w:tabs>
                <w:tab w:val="left" w:pos="-1"/>
              </w:tabs>
              <w:ind w:left="-1"/>
              <w:jc w:val="both"/>
              <w:rPr>
                <w:sz w:val="22"/>
                <w:szCs w:val="22"/>
                <w:lang w:eastAsia="en-US"/>
              </w:rPr>
            </w:pPr>
            <w:r w:rsidRPr="001A2760">
              <w:rPr>
                <w:sz w:val="22"/>
                <w:szCs w:val="22"/>
                <w:lang w:eastAsia="en-US"/>
              </w:rPr>
              <w:t>50</w:t>
            </w:r>
          </w:p>
        </w:tc>
      </w:tr>
    </w:tbl>
    <w:p w:rsidR="001A2760" w:rsidRPr="001A2760" w:rsidRDefault="001A2760" w:rsidP="001A2760">
      <w:pPr>
        <w:tabs>
          <w:tab w:val="left" w:pos="426"/>
        </w:tabs>
        <w:ind w:left="426"/>
        <w:jc w:val="both"/>
        <w:rPr>
          <w:sz w:val="22"/>
          <w:szCs w:val="22"/>
          <w:lang w:eastAsia="en-US"/>
        </w:rPr>
      </w:pPr>
    </w:p>
    <w:p w:rsidR="001A2760" w:rsidRPr="001A2760" w:rsidRDefault="001A2760" w:rsidP="001A2760">
      <w:pPr>
        <w:tabs>
          <w:tab w:val="left" w:pos="426"/>
        </w:tabs>
        <w:ind w:left="426"/>
        <w:jc w:val="both"/>
        <w:rPr>
          <w:sz w:val="22"/>
          <w:szCs w:val="22"/>
          <w:lang w:eastAsia="en-US"/>
        </w:rPr>
      </w:pPr>
      <w:r w:rsidRPr="001A2760">
        <w:rPr>
          <w:sz w:val="22"/>
          <w:szCs w:val="22"/>
          <w:lang w:eastAsia="en-US"/>
        </w:rPr>
        <w:t xml:space="preserve">Η δόση βασίζεται σε βάρος σώματος που δεν ξεπερνά τα 100 </w:t>
      </w:r>
      <w:r w:rsidRPr="001A2760">
        <w:rPr>
          <w:sz w:val="22"/>
          <w:szCs w:val="22"/>
          <w:lang w:val="en-US" w:eastAsia="en-US"/>
        </w:rPr>
        <w:t>kg</w:t>
      </w:r>
      <w:r w:rsidRPr="001A2760">
        <w:rPr>
          <w:sz w:val="22"/>
          <w:szCs w:val="22"/>
          <w:lang w:eastAsia="en-US"/>
        </w:rPr>
        <w:t xml:space="preserve">. Για τους ασθενείς που έχουν βάρος μεγαλύτερο των 100 </w:t>
      </w:r>
      <w:r w:rsidRPr="001A2760">
        <w:rPr>
          <w:sz w:val="22"/>
          <w:szCs w:val="22"/>
          <w:lang w:val="en-US" w:eastAsia="en-US"/>
        </w:rPr>
        <w:t>kg</w:t>
      </w:r>
      <w:r w:rsidRPr="001A2760">
        <w:rPr>
          <w:sz w:val="22"/>
          <w:szCs w:val="22"/>
          <w:lang w:eastAsia="en-US"/>
        </w:rPr>
        <w:t>, η μέγιστη εφάπαξ δόση (</w:t>
      </w:r>
      <w:r w:rsidRPr="001A2760">
        <w:rPr>
          <w:sz w:val="22"/>
          <w:szCs w:val="22"/>
          <w:lang w:val="en-US" w:eastAsia="en-US"/>
        </w:rPr>
        <w:t>IU</w:t>
      </w:r>
      <w:r w:rsidRPr="001A2760">
        <w:rPr>
          <w:sz w:val="22"/>
          <w:szCs w:val="22"/>
          <w:lang w:eastAsia="en-US"/>
        </w:rPr>
        <w:t xml:space="preserve"> παράγοντα </w:t>
      </w:r>
      <w:r w:rsidRPr="001A2760">
        <w:rPr>
          <w:sz w:val="22"/>
          <w:szCs w:val="22"/>
          <w:lang w:val="en-US" w:eastAsia="en-US"/>
        </w:rPr>
        <w:t>IX</w:t>
      </w:r>
      <w:r w:rsidRPr="001A2760">
        <w:rPr>
          <w:sz w:val="22"/>
          <w:szCs w:val="22"/>
          <w:lang w:eastAsia="en-US"/>
        </w:rPr>
        <w:t xml:space="preserve">) δεν πρέπει να υπερβαίνει τα 2.500 </w:t>
      </w:r>
      <w:r w:rsidRPr="001A2760">
        <w:rPr>
          <w:sz w:val="22"/>
          <w:szCs w:val="22"/>
          <w:lang w:val="en-US" w:eastAsia="en-US"/>
        </w:rPr>
        <w:t>IU</w:t>
      </w:r>
      <w:r w:rsidRPr="001A2760">
        <w:rPr>
          <w:sz w:val="22"/>
          <w:szCs w:val="22"/>
          <w:lang w:eastAsia="en-US"/>
        </w:rPr>
        <w:t xml:space="preserve"> για τιμή INR 2,0 - 3,9, τα 3.500 </w:t>
      </w:r>
      <w:r w:rsidRPr="001A2760">
        <w:rPr>
          <w:sz w:val="22"/>
          <w:szCs w:val="22"/>
          <w:lang w:val="en-US" w:eastAsia="en-US"/>
        </w:rPr>
        <w:t>IU</w:t>
      </w:r>
      <w:r w:rsidRPr="001A2760">
        <w:rPr>
          <w:sz w:val="22"/>
          <w:szCs w:val="22"/>
          <w:lang w:eastAsia="en-US"/>
        </w:rPr>
        <w:t xml:space="preserve"> για τιμή INR 4,0 - 6,0 και τα 5.000 </w:t>
      </w:r>
      <w:r w:rsidRPr="001A2760">
        <w:rPr>
          <w:sz w:val="22"/>
          <w:szCs w:val="22"/>
          <w:lang w:val="en-US" w:eastAsia="en-US"/>
        </w:rPr>
        <w:t>IU</w:t>
      </w:r>
      <w:r w:rsidRPr="001A2760">
        <w:rPr>
          <w:sz w:val="22"/>
          <w:szCs w:val="22"/>
          <w:lang w:eastAsia="en-US"/>
        </w:rPr>
        <w:t xml:space="preserve"> για τιμή INR &gt; 6,0.</w:t>
      </w:r>
    </w:p>
    <w:p w:rsidR="001A2760" w:rsidRPr="001A2760" w:rsidRDefault="001A2760" w:rsidP="001A2760">
      <w:pPr>
        <w:tabs>
          <w:tab w:val="left" w:pos="426"/>
        </w:tabs>
        <w:ind w:left="426"/>
        <w:jc w:val="both"/>
        <w:rPr>
          <w:sz w:val="22"/>
          <w:szCs w:val="22"/>
          <w:lang w:eastAsia="en-US"/>
        </w:rPr>
      </w:pPr>
    </w:p>
    <w:p w:rsidR="001A2760" w:rsidRPr="001A2760" w:rsidRDefault="001A2760" w:rsidP="001A2760">
      <w:pPr>
        <w:tabs>
          <w:tab w:val="left" w:pos="426"/>
        </w:tabs>
        <w:ind w:left="426"/>
        <w:jc w:val="both"/>
        <w:rPr>
          <w:sz w:val="22"/>
          <w:szCs w:val="22"/>
          <w:lang w:eastAsia="en-US"/>
        </w:rPr>
      </w:pPr>
      <w:r w:rsidRPr="001A2760">
        <w:rPr>
          <w:sz w:val="22"/>
          <w:szCs w:val="22"/>
          <w:lang w:eastAsia="en-US"/>
        </w:rPr>
        <w:t xml:space="preserve">Η αποκατάσταση της προκαλούμενης από ανταγωνιστές της βιταμίνης Κ διαταραχής της αιμόστασης επιτυγχάνεται συνήθως σε περίπου 30 λεπτά μετά την ένεση. Για τους ασθενείς που λαμβάνουν </w:t>
      </w:r>
      <w:proofErr w:type="spellStart"/>
      <w:r w:rsidRPr="001A2760">
        <w:rPr>
          <w:sz w:val="22"/>
          <w:szCs w:val="22"/>
          <w:lang w:val="en-US" w:eastAsia="en-US"/>
        </w:rPr>
        <w:t>Beriplex</w:t>
      </w:r>
      <w:proofErr w:type="spellEnd"/>
      <w:r w:rsidRPr="001A2760">
        <w:rPr>
          <w:sz w:val="22"/>
          <w:szCs w:val="22"/>
          <w:lang w:eastAsia="en-US"/>
        </w:rPr>
        <w:t xml:space="preserve"> για την άμεση αναστροφή της δράσης των ανταγωνιστών της βιταμίνης Κ, πρέπει να εξεταστεί η σύγχρονη χορήγηση βιταμίνης Κ, καθώς η δράση της βιταμίνης Κ επιτυγχάνεται συνήθως εντός 4-6 ωρών. Η χορήγηση επαναλαμβανόμενων δόσεων </w:t>
      </w:r>
      <w:proofErr w:type="spellStart"/>
      <w:r w:rsidRPr="001A2760">
        <w:rPr>
          <w:sz w:val="22"/>
          <w:szCs w:val="22"/>
          <w:lang w:val="en-US" w:eastAsia="en-US"/>
        </w:rPr>
        <w:t>Beriplex</w:t>
      </w:r>
      <w:proofErr w:type="spellEnd"/>
      <w:r w:rsidRPr="001A2760">
        <w:rPr>
          <w:sz w:val="22"/>
          <w:szCs w:val="22"/>
          <w:lang w:eastAsia="en-US"/>
        </w:rPr>
        <w:t xml:space="preserve"> για τους ασθενείς που χρειάζονται θεραπεία για την άμεση αναστροφή της δράσης των ανταγωνιστών της βιταμίνης Κ, δεν υποστηρίζεται από κλινικά δεδομένα και γι’ αυτό δεν συνιστάται.</w:t>
      </w:r>
    </w:p>
    <w:p w:rsidR="001A2760" w:rsidRPr="001A2760" w:rsidRDefault="001A2760" w:rsidP="001A2760">
      <w:pPr>
        <w:tabs>
          <w:tab w:val="left" w:pos="426"/>
        </w:tabs>
        <w:ind w:left="426"/>
        <w:jc w:val="both"/>
        <w:rPr>
          <w:sz w:val="22"/>
          <w:szCs w:val="22"/>
          <w:lang w:eastAsia="en-US"/>
        </w:rPr>
      </w:pPr>
    </w:p>
    <w:p w:rsidR="001A2760" w:rsidRPr="001A2760" w:rsidRDefault="001A2760" w:rsidP="001A2760">
      <w:pPr>
        <w:tabs>
          <w:tab w:val="left" w:pos="426"/>
        </w:tabs>
        <w:ind w:left="426"/>
        <w:jc w:val="both"/>
        <w:rPr>
          <w:sz w:val="22"/>
          <w:szCs w:val="22"/>
          <w:lang w:eastAsia="en-US"/>
        </w:rPr>
      </w:pPr>
      <w:r w:rsidRPr="001A2760">
        <w:rPr>
          <w:sz w:val="22"/>
          <w:szCs w:val="22"/>
          <w:lang w:eastAsia="en-US"/>
        </w:rPr>
        <w:t>Οι συστάσεις αυτές βασίζονται σε δεδομένα από κλινικές μελέτες σε περιορισμένο αριθμό ατόμων. Η ανάκτηση και η διάρκεια της δράσης μπορεί να ποικίλλουν, επομένως είναι υποχρεωτική η παρακολούθηση του INR κατά τη διάρκεια της θεραπείας.</w:t>
      </w:r>
    </w:p>
    <w:p w:rsidR="001A2760" w:rsidRPr="001A2760" w:rsidRDefault="001A2760" w:rsidP="001A2760">
      <w:pPr>
        <w:tabs>
          <w:tab w:val="left" w:pos="426"/>
        </w:tabs>
        <w:ind w:left="426"/>
        <w:jc w:val="both"/>
        <w:rPr>
          <w:sz w:val="22"/>
          <w:szCs w:val="22"/>
          <w:lang w:eastAsia="en-US"/>
        </w:rPr>
      </w:pPr>
    </w:p>
    <w:p w:rsidR="001A2760" w:rsidRPr="001A2760" w:rsidRDefault="001A2760" w:rsidP="001A2760">
      <w:pPr>
        <w:widowControl w:val="0"/>
        <w:numPr>
          <w:ilvl w:val="0"/>
          <w:numId w:val="9"/>
        </w:numPr>
        <w:tabs>
          <w:tab w:val="num" w:pos="426"/>
        </w:tabs>
        <w:ind w:left="426" w:hanging="426"/>
        <w:jc w:val="both"/>
        <w:rPr>
          <w:b/>
          <w:noProof/>
          <w:sz w:val="22"/>
          <w:szCs w:val="22"/>
          <w:lang w:eastAsia="en-US"/>
        </w:rPr>
      </w:pPr>
      <w:r w:rsidRPr="001A2760">
        <w:rPr>
          <w:b/>
          <w:noProof/>
          <w:sz w:val="22"/>
          <w:szCs w:val="22"/>
          <w:lang w:eastAsia="en-US"/>
        </w:rPr>
        <w:t>Αιμορραγίες και περιεγχειρητική προφύλαξη σε συγγενή ανεπάρκεια οποιωνδήποτε από τους εξαρτώμενους από τη βιταμίνη Κ παράγοντες πήξης, όταν δεν διατίθενται εξειδικευμένα προϊόντα του παράγοντα πήξης.</w:t>
      </w:r>
    </w:p>
    <w:p w:rsidR="001A2760" w:rsidRPr="001A2760" w:rsidRDefault="001A2760" w:rsidP="001A2760">
      <w:pPr>
        <w:jc w:val="both"/>
        <w:rPr>
          <w:sz w:val="22"/>
          <w:szCs w:val="22"/>
          <w:lang w:eastAsia="en-US"/>
        </w:rPr>
      </w:pPr>
    </w:p>
    <w:p w:rsidR="001A2760" w:rsidRPr="001A2760" w:rsidRDefault="001A2760" w:rsidP="001A2760">
      <w:pPr>
        <w:ind w:left="426"/>
        <w:jc w:val="both"/>
        <w:rPr>
          <w:sz w:val="22"/>
          <w:szCs w:val="22"/>
          <w:lang w:eastAsia="en-US"/>
        </w:rPr>
      </w:pPr>
      <w:r w:rsidRPr="001A2760">
        <w:rPr>
          <w:sz w:val="22"/>
          <w:szCs w:val="22"/>
          <w:lang w:eastAsia="en-US"/>
        </w:rPr>
        <w:t>Ο υπολογισμός της απαιτούμενης δοσολογίας συμπυκνώματος συμπλέγματος προθρομβίνης βασίζεται σε δεδομένα από κλινικές μελέτες:</w:t>
      </w:r>
    </w:p>
    <w:p w:rsidR="001A2760" w:rsidRPr="001A2760" w:rsidRDefault="001A2760" w:rsidP="001A2760">
      <w:pPr>
        <w:widowControl w:val="0"/>
        <w:numPr>
          <w:ilvl w:val="0"/>
          <w:numId w:val="39"/>
        </w:numPr>
        <w:jc w:val="both"/>
        <w:rPr>
          <w:sz w:val="22"/>
          <w:szCs w:val="22"/>
          <w:lang w:eastAsia="en-US"/>
        </w:rPr>
      </w:pPr>
      <w:r w:rsidRPr="001A2760">
        <w:rPr>
          <w:sz w:val="22"/>
          <w:szCs w:val="22"/>
          <w:lang w:eastAsia="en-US"/>
        </w:rPr>
        <w:t xml:space="preserve">1 IU παράγοντα IX ανά </w:t>
      </w:r>
      <w:proofErr w:type="spellStart"/>
      <w:r w:rsidRPr="001A2760">
        <w:rPr>
          <w:sz w:val="22"/>
          <w:szCs w:val="22"/>
          <w:lang w:eastAsia="en-US"/>
        </w:rPr>
        <w:t>kg</w:t>
      </w:r>
      <w:proofErr w:type="spellEnd"/>
      <w:r w:rsidRPr="001A2760">
        <w:rPr>
          <w:sz w:val="22"/>
          <w:szCs w:val="22"/>
          <w:lang w:eastAsia="en-US"/>
        </w:rPr>
        <w:t xml:space="preserve"> βάρους σώματος μπορεί να αναμένεται ότι θα αυξήσει τη δραστικότητα του παράγοντα IX στο πλάσμα κατά 1,3 % (0,013 IU/ml) του φυσιολογικού.</w:t>
      </w:r>
    </w:p>
    <w:p w:rsidR="001A2760" w:rsidRPr="001A2760" w:rsidRDefault="001A2760" w:rsidP="001A2760">
      <w:pPr>
        <w:widowControl w:val="0"/>
        <w:numPr>
          <w:ilvl w:val="0"/>
          <w:numId w:val="39"/>
        </w:numPr>
        <w:jc w:val="both"/>
        <w:rPr>
          <w:sz w:val="22"/>
          <w:szCs w:val="22"/>
          <w:lang w:eastAsia="en-US"/>
        </w:rPr>
      </w:pPr>
      <w:r w:rsidRPr="001A2760">
        <w:rPr>
          <w:sz w:val="22"/>
          <w:szCs w:val="22"/>
          <w:lang w:eastAsia="en-US"/>
        </w:rPr>
        <w:t xml:space="preserve">1 IU παράγοντα VII ανά </w:t>
      </w:r>
      <w:proofErr w:type="spellStart"/>
      <w:r w:rsidRPr="001A2760">
        <w:rPr>
          <w:sz w:val="22"/>
          <w:szCs w:val="22"/>
          <w:lang w:eastAsia="en-US"/>
        </w:rPr>
        <w:t>kg</w:t>
      </w:r>
      <w:proofErr w:type="spellEnd"/>
      <w:r w:rsidRPr="001A2760">
        <w:rPr>
          <w:sz w:val="22"/>
          <w:szCs w:val="22"/>
          <w:lang w:eastAsia="en-US"/>
        </w:rPr>
        <w:t xml:space="preserve"> βάρους σώματος αυξάνει τη δραστικότητα του παράγοντα VII στο πλάσμα κατά 1,7 % (0,017 IU/ml) του φυσιολογικού.</w:t>
      </w:r>
    </w:p>
    <w:p w:rsidR="001A2760" w:rsidRPr="001A2760" w:rsidRDefault="001A2760" w:rsidP="001A2760">
      <w:pPr>
        <w:widowControl w:val="0"/>
        <w:numPr>
          <w:ilvl w:val="0"/>
          <w:numId w:val="39"/>
        </w:numPr>
        <w:jc w:val="both"/>
        <w:rPr>
          <w:sz w:val="22"/>
          <w:szCs w:val="22"/>
          <w:lang w:eastAsia="en-US"/>
        </w:rPr>
      </w:pPr>
      <w:r w:rsidRPr="001A2760">
        <w:rPr>
          <w:sz w:val="22"/>
          <w:szCs w:val="22"/>
          <w:lang w:eastAsia="en-US"/>
        </w:rPr>
        <w:t xml:space="preserve">1 IU παράγοντα II ανά </w:t>
      </w:r>
      <w:proofErr w:type="spellStart"/>
      <w:r w:rsidRPr="001A2760">
        <w:rPr>
          <w:sz w:val="22"/>
          <w:szCs w:val="22"/>
          <w:lang w:eastAsia="en-US"/>
        </w:rPr>
        <w:t>kg</w:t>
      </w:r>
      <w:proofErr w:type="spellEnd"/>
      <w:r w:rsidRPr="001A2760">
        <w:rPr>
          <w:sz w:val="22"/>
          <w:szCs w:val="22"/>
          <w:lang w:eastAsia="en-US"/>
        </w:rPr>
        <w:t xml:space="preserve"> βάρους σώματος αυξάνει τη δραστικότητα του παράγοντα II στο πλάσμα κατά 1,9 % (0,019 IU/ml) του φυσιολογικού.</w:t>
      </w:r>
    </w:p>
    <w:p w:rsidR="001A2760" w:rsidRPr="001A2760" w:rsidRDefault="001A2760" w:rsidP="001A2760">
      <w:pPr>
        <w:widowControl w:val="0"/>
        <w:numPr>
          <w:ilvl w:val="0"/>
          <w:numId w:val="39"/>
        </w:numPr>
        <w:jc w:val="both"/>
        <w:rPr>
          <w:sz w:val="22"/>
          <w:szCs w:val="22"/>
          <w:lang w:eastAsia="en-US"/>
        </w:rPr>
      </w:pPr>
      <w:r w:rsidRPr="001A2760">
        <w:rPr>
          <w:sz w:val="22"/>
          <w:szCs w:val="22"/>
          <w:lang w:eastAsia="en-US"/>
        </w:rPr>
        <w:t xml:space="preserve">1 IU παράγοντα X ανά </w:t>
      </w:r>
      <w:proofErr w:type="spellStart"/>
      <w:r w:rsidRPr="001A2760">
        <w:rPr>
          <w:sz w:val="22"/>
          <w:szCs w:val="22"/>
          <w:lang w:eastAsia="en-US"/>
        </w:rPr>
        <w:t>kg</w:t>
      </w:r>
      <w:proofErr w:type="spellEnd"/>
      <w:r w:rsidRPr="001A2760">
        <w:rPr>
          <w:sz w:val="22"/>
          <w:szCs w:val="22"/>
          <w:lang w:eastAsia="en-US"/>
        </w:rPr>
        <w:t xml:space="preserve"> βάρους σώματος αυξάνει τη δραστικότητα του παράγοντα X στο πλάσμα κατά 1,9 % (0,019 IU/ml) του φυσιολογικού.</w:t>
      </w:r>
    </w:p>
    <w:p w:rsidR="001A2760" w:rsidRPr="001A2760" w:rsidRDefault="001A2760" w:rsidP="001A2760">
      <w:pPr>
        <w:jc w:val="both"/>
        <w:rPr>
          <w:sz w:val="22"/>
          <w:szCs w:val="22"/>
          <w:lang w:eastAsia="en-US"/>
        </w:rPr>
      </w:pPr>
    </w:p>
    <w:p w:rsidR="001A2760" w:rsidRPr="001A2760" w:rsidRDefault="001A2760" w:rsidP="001A2760">
      <w:pPr>
        <w:widowControl w:val="0"/>
        <w:jc w:val="both"/>
        <w:rPr>
          <w:sz w:val="22"/>
          <w:szCs w:val="22"/>
          <w:lang w:eastAsia="en-US"/>
        </w:rPr>
      </w:pPr>
      <w:r w:rsidRPr="001A2760">
        <w:rPr>
          <w:sz w:val="22"/>
          <w:szCs w:val="22"/>
          <w:lang w:eastAsia="en-US"/>
        </w:rPr>
        <w:t>Η δόση ενός συγκεκριμένου χορηγούμενου παράγοντα εκφράζεται σε Διεθνείς Μονάδες (</w:t>
      </w:r>
      <w:proofErr w:type="spellStart"/>
      <w:r w:rsidRPr="001A2760">
        <w:rPr>
          <w:sz w:val="22"/>
          <w:szCs w:val="22"/>
          <w:lang w:eastAsia="en-US"/>
        </w:rPr>
        <w:t>International</w:t>
      </w:r>
      <w:proofErr w:type="spellEnd"/>
      <w:r w:rsidRPr="001A2760">
        <w:rPr>
          <w:sz w:val="22"/>
          <w:szCs w:val="22"/>
          <w:lang w:eastAsia="en-US"/>
        </w:rPr>
        <w:t xml:space="preserve"> </w:t>
      </w:r>
      <w:proofErr w:type="spellStart"/>
      <w:r w:rsidRPr="001A2760">
        <w:rPr>
          <w:sz w:val="22"/>
          <w:szCs w:val="22"/>
          <w:lang w:eastAsia="en-US"/>
        </w:rPr>
        <w:t>Units</w:t>
      </w:r>
      <w:proofErr w:type="spellEnd"/>
      <w:r w:rsidRPr="001A2760">
        <w:rPr>
          <w:sz w:val="22"/>
          <w:szCs w:val="22"/>
          <w:lang w:eastAsia="en-US"/>
        </w:rPr>
        <w:t xml:space="preserve"> – IU), που σχετίζονται με το ισχύον πρότυπο κατά ΠΟΥ (WHO) για κάθε παράγοντα. Η δραστικότητα στο πλάσμα ενός συγκεκριμένου παράγοντα πήξης εκφράζεται είτε ως ποσοστό (ανάλογο προς το φυσιολογικό πλάσμα) είτε σε Διεθνείς Μονάδες (ανάλογες προς το διεθνές πρότυπο για το συγκεκριμένο παράγοντα πήξης).</w:t>
      </w:r>
    </w:p>
    <w:p w:rsidR="001A2760" w:rsidRPr="001A2760" w:rsidRDefault="001A2760" w:rsidP="001A2760">
      <w:pPr>
        <w:widowControl w:val="0"/>
        <w:jc w:val="both"/>
        <w:rPr>
          <w:sz w:val="22"/>
          <w:szCs w:val="22"/>
          <w:lang w:eastAsia="en-US"/>
        </w:rPr>
      </w:pPr>
    </w:p>
    <w:p w:rsidR="001A2760" w:rsidRPr="001A2760" w:rsidRDefault="001A2760" w:rsidP="001A2760">
      <w:pPr>
        <w:widowControl w:val="0"/>
        <w:jc w:val="both"/>
        <w:rPr>
          <w:sz w:val="22"/>
          <w:szCs w:val="22"/>
          <w:lang w:eastAsia="en-US"/>
        </w:rPr>
      </w:pPr>
      <w:r w:rsidRPr="001A2760">
        <w:rPr>
          <w:sz w:val="22"/>
          <w:szCs w:val="22"/>
          <w:lang w:eastAsia="en-US"/>
        </w:rPr>
        <w:t>Μία Διεθνής Μονάδα (IU) δραστικότητας ενός παράγοντα πήξης ισοδυναμεί με την ποσότητα σε ένα ml του φυσιολογικού ανθρώπινου πλάσματος.</w:t>
      </w:r>
    </w:p>
    <w:p w:rsidR="001A2760" w:rsidRPr="001A2760" w:rsidRDefault="001A2760" w:rsidP="001A2760">
      <w:pPr>
        <w:widowControl w:val="0"/>
        <w:jc w:val="both"/>
        <w:rPr>
          <w:sz w:val="22"/>
          <w:szCs w:val="22"/>
          <w:lang w:eastAsia="en-US"/>
        </w:rPr>
      </w:pPr>
    </w:p>
    <w:p w:rsidR="001A2760" w:rsidRPr="001A2760" w:rsidRDefault="001A2760" w:rsidP="001A2760">
      <w:pPr>
        <w:widowControl w:val="0"/>
        <w:jc w:val="both"/>
        <w:rPr>
          <w:sz w:val="22"/>
          <w:szCs w:val="22"/>
          <w:lang w:eastAsia="en-US"/>
        </w:rPr>
      </w:pPr>
      <w:r w:rsidRPr="001A2760">
        <w:rPr>
          <w:sz w:val="22"/>
          <w:szCs w:val="22"/>
          <w:lang w:eastAsia="en-US"/>
        </w:rPr>
        <w:t xml:space="preserve">Για παράδειγμα, ο υπολογισμός της απαιτούμενης δόσης παράγοντα Χ βασίζεται στο εύρημα ότι 1 Διεθνής Μονάδα (IU) του παράγοντα X ανά </w:t>
      </w:r>
      <w:proofErr w:type="spellStart"/>
      <w:r w:rsidRPr="001A2760">
        <w:rPr>
          <w:sz w:val="22"/>
          <w:szCs w:val="22"/>
          <w:lang w:eastAsia="en-US"/>
        </w:rPr>
        <w:t>kg</w:t>
      </w:r>
      <w:proofErr w:type="spellEnd"/>
      <w:r w:rsidRPr="001A2760">
        <w:rPr>
          <w:sz w:val="22"/>
          <w:szCs w:val="22"/>
          <w:lang w:eastAsia="en-US"/>
        </w:rPr>
        <w:t xml:space="preserve"> βάρους σώματος αυξάνει τη δραστικότητα του παράγοντα Χ στο πλάσμα κατά 0,019 IU/ml.</w:t>
      </w:r>
    </w:p>
    <w:p w:rsidR="001A2760" w:rsidRPr="001A2760" w:rsidRDefault="001A2760" w:rsidP="001A2760">
      <w:pPr>
        <w:widowControl w:val="0"/>
        <w:jc w:val="both"/>
        <w:rPr>
          <w:sz w:val="22"/>
          <w:szCs w:val="22"/>
          <w:lang w:eastAsia="en-US"/>
        </w:rPr>
      </w:pPr>
    </w:p>
    <w:p w:rsidR="001A2760" w:rsidRPr="001A2760" w:rsidRDefault="001A2760" w:rsidP="001A2760">
      <w:pPr>
        <w:widowControl w:val="0"/>
        <w:jc w:val="both"/>
        <w:rPr>
          <w:sz w:val="22"/>
          <w:szCs w:val="22"/>
          <w:lang w:eastAsia="en-US"/>
        </w:rPr>
      </w:pPr>
      <w:r w:rsidRPr="001A2760">
        <w:rPr>
          <w:sz w:val="22"/>
          <w:szCs w:val="22"/>
          <w:lang w:eastAsia="en-US"/>
        </w:rPr>
        <w:t>Η απαιτούμενη δοσολογία καθορίζεται χρησιμοποιώντας τον ακόλουθο τύπο:</w:t>
      </w:r>
    </w:p>
    <w:p w:rsidR="001A2760" w:rsidRPr="001A2760" w:rsidRDefault="001A2760" w:rsidP="001A2760">
      <w:pPr>
        <w:jc w:val="both"/>
        <w:rPr>
          <w:sz w:val="22"/>
          <w:szCs w:val="22"/>
          <w:lang w:eastAsia="en-US"/>
        </w:rPr>
      </w:pPr>
      <w:r w:rsidRPr="001A2760">
        <w:rPr>
          <w:sz w:val="22"/>
          <w:szCs w:val="22"/>
          <w:lang w:eastAsia="en-US"/>
        </w:rPr>
        <w:t>Απαιτούμενες μονάδες = βάρος σώματος [</w:t>
      </w:r>
      <w:proofErr w:type="spellStart"/>
      <w:r w:rsidRPr="001A2760">
        <w:rPr>
          <w:sz w:val="22"/>
          <w:szCs w:val="22"/>
          <w:lang w:eastAsia="en-US"/>
        </w:rPr>
        <w:t>kg</w:t>
      </w:r>
      <w:proofErr w:type="spellEnd"/>
      <w:r w:rsidRPr="001A2760">
        <w:rPr>
          <w:sz w:val="22"/>
          <w:szCs w:val="22"/>
          <w:lang w:eastAsia="en-US"/>
        </w:rPr>
        <w:t>] x επιθυμητή αύξηση παράγοντα Χ [IU/ml] x 53,</w:t>
      </w:r>
    </w:p>
    <w:p w:rsidR="001A2760" w:rsidRPr="001A2760" w:rsidRDefault="001A2760" w:rsidP="001A2760">
      <w:pPr>
        <w:jc w:val="both"/>
        <w:rPr>
          <w:sz w:val="22"/>
          <w:szCs w:val="22"/>
          <w:lang w:eastAsia="en-US"/>
        </w:rPr>
      </w:pPr>
      <w:r w:rsidRPr="001A2760">
        <w:rPr>
          <w:sz w:val="22"/>
          <w:szCs w:val="22"/>
          <w:lang w:eastAsia="en-US"/>
        </w:rPr>
        <w:t>όπου 53 (ml/kg) είναι το αντίστροφο της εκτιμώμενης τιμής ανάκτησης.</w:t>
      </w:r>
    </w:p>
    <w:p w:rsidR="001A2760" w:rsidRPr="001A2760" w:rsidRDefault="001A2760" w:rsidP="001A2760">
      <w:pPr>
        <w:jc w:val="both"/>
        <w:rPr>
          <w:sz w:val="22"/>
          <w:szCs w:val="22"/>
          <w:lang w:eastAsia="en-US"/>
        </w:rPr>
      </w:pPr>
    </w:p>
    <w:p w:rsidR="001A2760" w:rsidRPr="001A2760" w:rsidRDefault="001A2760" w:rsidP="001A2760">
      <w:pPr>
        <w:widowControl w:val="0"/>
        <w:jc w:val="both"/>
        <w:rPr>
          <w:sz w:val="22"/>
          <w:szCs w:val="22"/>
          <w:lang w:eastAsia="en-US"/>
        </w:rPr>
      </w:pPr>
      <w:r w:rsidRPr="001A2760">
        <w:rPr>
          <w:sz w:val="22"/>
          <w:szCs w:val="22"/>
          <w:lang w:eastAsia="en-US"/>
        </w:rPr>
        <w:t>Πρέπει να ληφθεί υπόψη ότι ο υπολογισμός βασίζεται σε δεδομένα από ασθενείς που λάμβαναν ανταγωνιστές της βιταμίνης Κ. Ο υπολογισμός με βάση δεδομένα από υγιείς ανθρώπους θα παρείχε μια χαμηλότερη τιμή για την απαιτούμενη δόση.</w:t>
      </w:r>
    </w:p>
    <w:p w:rsidR="001A2760" w:rsidRPr="001A2760" w:rsidRDefault="001A2760" w:rsidP="001A2760">
      <w:pPr>
        <w:widowControl w:val="0"/>
        <w:jc w:val="both"/>
        <w:rPr>
          <w:sz w:val="22"/>
          <w:szCs w:val="22"/>
          <w:lang w:eastAsia="en-US"/>
        </w:rPr>
      </w:pPr>
    </w:p>
    <w:p w:rsidR="001A2760" w:rsidRPr="001A2760" w:rsidRDefault="001A2760" w:rsidP="001A2760">
      <w:pPr>
        <w:widowControl w:val="0"/>
        <w:jc w:val="both"/>
        <w:rPr>
          <w:sz w:val="22"/>
          <w:szCs w:val="22"/>
          <w:lang w:eastAsia="en-US"/>
        </w:rPr>
      </w:pPr>
      <w:r w:rsidRPr="001A2760">
        <w:rPr>
          <w:sz w:val="22"/>
          <w:szCs w:val="22"/>
          <w:lang w:eastAsia="en-US"/>
        </w:rPr>
        <w:t>Εάν η ατομική τιμή ανάκτησης είναι γνωστή, πρέπει να χρησιμοποιηθεί αυτή η τιμή για τον υπολογισμό.</w:t>
      </w:r>
    </w:p>
    <w:p w:rsidR="001A2760" w:rsidRPr="001A2760" w:rsidRDefault="001A2760" w:rsidP="001A2760">
      <w:pPr>
        <w:widowControl w:val="0"/>
        <w:jc w:val="both"/>
        <w:rPr>
          <w:sz w:val="22"/>
          <w:szCs w:val="22"/>
          <w:lang w:eastAsia="en-US"/>
        </w:rPr>
      </w:pPr>
    </w:p>
    <w:p w:rsidR="001A2760" w:rsidRPr="001A2760" w:rsidRDefault="001A2760" w:rsidP="001A2760">
      <w:pPr>
        <w:widowControl w:val="0"/>
        <w:jc w:val="both"/>
        <w:rPr>
          <w:sz w:val="22"/>
          <w:szCs w:val="22"/>
          <w:lang w:eastAsia="en-US"/>
        </w:rPr>
      </w:pPr>
      <w:r w:rsidRPr="001A2760">
        <w:rPr>
          <w:sz w:val="22"/>
          <w:szCs w:val="22"/>
          <w:lang w:eastAsia="en-US"/>
        </w:rPr>
        <w:lastRenderedPageBreak/>
        <w:t xml:space="preserve">Δεδομένα για αυτό το προϊόν είναι διαθέσιμα από κλινικές μελέτες σε υγιείς εθελοντές (Ν=15) κατά τη θεραπεία αναστροφής της δράσης των ανταγωνιστών της βιταμίνης Κ για την αντιμετώπιση οξείας μείζονος αιμορραγίας ή για </w:t>
      </w:r>
      <w:proofErr w:type="spellStart"/>
      <w:r w:rsidRPr="001A2760">
        <w:rPr>
          <w:sz w:val="22"/>
          <w:szCs w:val="22"/>
          <w:lang w:eastAsia="en-US"/>
        </w:rPr>
        <w:t>περιεγχειρητική</w:t>
      </w:r>
      <w:proofErr w:type="spellEnd"/>
      <w:r w:rsidRPr="001A2760">
        <w:rPr>
          <w:sz w:val="22"/>
          <w:szCs w:val="22"/>
          <w:lang w:eastAsia="en-US"/>
        </w:rPr>
        <w:t xml:space="preserve"> προφύλαξη από αιμορραγίες (Ν=98, Ν=43).</w:t>
      </w:r>
    </w:p>
    <w:p w:rsidR="001A2760" w:rsidRPr="001A2760" w:rsidRDefault="001A2760" w:rsidP="001A2760">
      <w:pPr>
        <w:widowControl w:val="0"/>
        <w:jc w:val="both"/>
        <w:rPr>
          <w:sz w:val="22"/>
          <w:szCs w:val="22"/>
          <w:lang w:eastAsia="en-US"/>
        </w:rPr>
      </w:pPr>
    </w:p>
    <w:p w:rsidR="001A2760" w:rsidRPr="001A2760" w:rsidRDefault="001A2760" w:rsidP="001A2760">
      <w:pPr>
        <w:widowControl w:val="0"/>
        <w:rPr>
          <w:b/>
          <w:i/>
          <w:noProof/>
          <w:sz w:val="22"/>
          <w:szCs w:val="22"/>
          <w:lang w:eastAsia="en-US"/>
        </w:rPr>
      </w:pPr>
      <w:r w:rsidRPr="001A2760">
        <w:rPr>
          <w:b/>
          <w:i/>
          <w:noProof/>
          <w:sz w:val="22"/>
          <w:szCs w:val="22"/>
          <w:lang w:eastAsia="en-US"/>
        </w:rPr>
        <w:t>Παιδιατρικός πληθυσμός</w:t>
      </w:r>
    </w:p>
    <w:p w:rsidR="001A2760" w:rsidRPr="001A2760" w:rsidRDefault="001A2760" w:rsidP="001A2760">
      <w:pPr>
        <w:widowControl w:val="0"/>
        <w:jc w:val="both"/>
        <w:rPr>
          <w:sz w:val="22"/>
          <w:szCs w:val="22"/>
          <w:lang w:eastAsia="en-US"/>
        </w:rPr>
      </w:pPr>
      <w:r w:rsidRPr="001A2760">
        <w:rPr>
          <w:sz w:val="22"/>
          <w:szCs w:val="22"/>
          <w:lang w:eastAsia="en-US"/>
        </w:rPr>
        <w:t xml:space="preserve">Η ασφάλεια και η αποτελεσματικότητα του </w:t>
      </w:r>
      <w:proofErr w:type="spellStart"/>
      <w:r w:rsidRPr="001A2760">
        <w:rPr>
          <w:sz w:val="22"/>
          <w:szCs w:val="22"/>
          <w:lang w:val="en-GB" w:eastAsia="en-US"/>
        </w:rPr>
        <w:t>Beriplex</w:t>
      </w:r>
      <w:proofErr w:type="spellEnd"/>
      <w:r w:rsidRPr="001A2760">
        <w:rPr>
          <w:sz w:val="22"/>
          <w:szCs w:val="22"/>
          <w:lang w:eastAsia="en-US"/>
        </w:rPr>
        <w:t xml:space="preserve"> στα παιδιά και τους εφήβους δεν έχει ακόμα τεκμηριωθεί με ελεγχόμενες κλινικές μελέτες.</w:t>
      </w:r>
    </w:p>
    <w:p w:rsidR="001A2760" w:rsidRPr="001A2760" w:rsidRDefault="001A2760" w:rsidP="001A2760">
      <w:pPr>
        <w:widowControl w:val="0"/>
        <w:jc w:val="both"/>
        <w:rPr>
          <w:sz w:val="22"/>
          <w:szCs w:val="22"/>
          <w:lang w:eastAsia="en-US"/>
        </w:rPr>
      </w:pPr>
    </w:p>
    <w:p w:rsidR="001A2760" w:rsidRPr="001A2760" w:rsidRDefault="001A2760" w:rsidP="001A2760">
      <w:pPr>
        <w:widowControl w:val="0"/>
        <w:jc w:val="both"/>
        <w:rPr>
          <w:b/>
          <w:i/>
          <w:sz w:val="22"/>
          <w:szCs w:val="22"/>
          <w:lang w:eastAsia="en-US"/>
        </w:rPr>
      </w:pPr>
      <w:r w:rsidRPr="001A2760">
        <w:rPr>
          <w:b/>
          <w:i/>
          <w:sz w:val="22"/>
          <w:szCs w:val="22"/>
          <w:lang w:eastAsia="en-US"/>
        </w:rPr>
        <w:t>Ηλικιωμένοι</w:t>
      </w:r>
    </w:p>
    <w:p w:rsidR="001A2760" w:rsidRPr="001A2760" w:rsidRDefault="001A2760" w:rsidP="001A2760">
      <w:pPr>
        <w:widowControl w:val="0"/>
        <w:jc w:val="both"/>
        <w:rPr>
          <w:sz w:val="22"/>
          <w:szCs w:val="22"/>
          <w:lang w:eastAsia="en-US"/>
        </w:rPr>
      </w:pPr>
      <w:r w:rsidRPr="001A2760">
        <w:rPr>
          <w:sz w:val="22"/>
          <w:szCs w:val="22"/>
          <w:lang w:eastAsia="en-US"/>
        </w:rPr>
        <w:t>Η δοσολογία και η μέθοδος χορήγησης σε ηλικιωμένα άτομα (&gt; 65 ετών) είναι αντίστοιχες με αυτές των γενικών συστάσεων.</w:t>
      </w:r>
    </w:p>
    <w:p w:rsidR="001A2760" w:rsidRPr="001A2760" w:rsidRDefault="001A2760" w:rsidP="001A2760">
      <w:pPr>
        <w:widowControl w:val="0"/>
        <w:jc w:val="both"/>
        <w:rPr>
          <w:sz w:val="22"/>
          <w:szCs w:val="22"/>
          <w:lang w:eastAsia="en-US"/>
        </w:rPr>
      </w:pPr>
    </w:p>
    <w:p w:rsidR="001A2760" w:rsidRPr="001A2760" w:rsidRDefault="001A2760" w:rsidP="001A2760">
      <w:pPr>
        <w:widowControl w:val="0"/>
        <w:jc w:val="both"/>
        <w:rPr>
          <w:sz w:val="22"/>
          <w:szCs w:val="22"/>
          <w:lang w:eastAsia="en-US"/>
        </w:rPr>
      </w:pPr>
      <w:r w:rsidRPr="001A2760">
        <w:rPr>
          <w:b/>
          <w:i/>
          <w:sz w:val="22"/>
          <w:szCs w:val="22"/>
          <w:lang w:eastAsia="en-US"/>
        </w:rPr>
        <w:t>Τρόπος χορήγησης</w:t>
      </w:r>
    </w:p>
    <w:p w:rsidR="001A2760" w:rsidRPr="001A2760" w:rsidRDefault="001A2760" w:rsidP="001A2760">
      <w:pPr>
        <w:widowControl w:val="0"/>
        <w:jc w:val="both"/>
        <w:rPr>
          <w:sz w:val="22"/>
          <w:szCs w:val="22"/>
          <w:lang w:eastAsia="en-US"/>
        </w:rPr>
      </w:pPr>
    </w:p>
    <w:p w:rsidR="001A2760" w:rsidRPr="001A2760" w:rsidRDefault="001A2760" w:rsidP="001A2760">
      <w:pPr>
        <w:keepNext/>
        <w:widowControl w:val="0"/>
        <w:jc w:val="both"/>
        <w:outlineLvl w:val="1"/>
        <w:rPr>
          <w:i/>
          <w:sz w:val="22"/>
          <w:szCs w:val="22"/>
          <w:lang w:eastAsia="en-US"/>
        </w:rPr>
      </w:pPr>
      <w:r w:rsidRPr="001A2760">
        <w:rPr>
          <w:i/>
          <w:sz w:val="22"/>
          <w:szCs w:val="22"/>
          <w:lang w:eastAsia="en-US"/>
        </w:rPr>
        <w:t>Γενικές οδηγίες</w:t>
      </w:r>
    </w:p>
    <w:p w:rsidR="001A2760" w:rsidRPr="001A2760" w:rsidRDefault="001A2760" w:rsidP="001A2760">
      <w:pPr>
        <w:widowControl w:val="0"/>
        <w:numPr>
          <w:ilvl w:val="0"/>
          <w:numId w:val="8"/>
        </w:numPr>
        <w:suppressAutoHyphens/>
        <w:jc w:val="both"/>
        <w:rPr>
          <w:spacing w:val="-3"/>
          <w:sz w:val="22"/>
          <w:szCs w:val="22"/>
          <w:lang w:eastAsia="en-US"/>
        </w:rPr>
      </w:pPr>
      <w:r w:rsidRPr="001A2760">
        <w:rPr>
          <w:spacing w:val="-3"/>
          <w:sz w:val="22"/>
          <w:szCs w:val="22"/>
          <w:lang w:eastAsia="en-US"/>
        </w:rPr>
        <w:t xml:space="preserve">Το διάλυμα πρέπει να είναι διαυγές ή ελαφρά ιριδίζον. Μετά τη διήθηση/αναρρόφηση (δείτε παρακάτω) το </w:t>
      </w:r>
      <w:proofErr w:type="spellStart"/>
      <w:r w:rsidRPr="001A2760">
        <w:rPr>
          <w:spacing w:val="-3"/>
          <w:sz w:val="22"/>
          <w:szCs w:val="22"/>
          <w:lang w:eastAsia="en-US"/>
        </w:rPr>
        <w:t>ανασυσταμένο</w:t>
      </w:r>
      <w:proofErr w:type="spellEnd"/>
      <w:r w:rsidRPr="001A2760">
        <w:rPr>
          <w:spacing w:val="-3"/>
          <w:sz w:val="22"/>
          <w:szCs w:val="22"/>
          <w:lang w:eastAsia="en-US"/>
        </w:rPr>
        <w:t xml:space="preserve"> προϊόν πρέπει να ελέγχεται οπτικά για αιωρούμενα σωματίδια και αποχρωματισμό πριν από τη χορήγηση. </w:t>
      </w:r>
    </w:p>
    <w:p w:rsidR="001A2760" w:rsidRPr="001A2760" w:rsidRDefault="001A2760" w:rsidP="001A2760">
      <w:pPr>
        <w:widowControl w:val="0"/>
        <w:numPr>
          <w:ilvl w:val="0"/>
          <w:numId w:val="8"/>
        </w:numPr>
        <w:suppressAutoHyphens/>
        <w:jc w:val="both"/>
        <w:rPr>
          <w:spacing w:val="-3"/>
          <w:sz w:val="22"/>
          <w:szCs w:val="22"/>
          <w:lang w:eastAsia="en-US"/>
        </w:rPr>
      </w:pPr>
      <w:r w:rsidRPr="001A2760">
        <w:rPr>
          <w:spacing w:val="-3"/>
          <w:sz w:val="22"/>
          <w:szCs w:val="22"/>
          <w:lang w:eastAsia="en-US"/>
        </w:rPr>
        <w:t>Μη χρησιμοποιείτε διαλύματα που είναι θολά ή περιέχουν εναποθέσεις.</w:t>
      </w:r>
    </w:p>
    <w:p w:rsidR="001A2760" w:rsidRPr="001A2760" w:rsidRDefault="001A2760" w:rsidP="001A2760">
      <w:pPr>
        <w:widowControl w:val="0"/>
        <w:numPr>
          <w:ilvl w:val="0"/>
          <w:numId w:val="8"/>
        </w:numPr>
        <w:suppressAutoHyphens/>
        <w:jc w:val="both"/>
        <w:rPr>
          <w:spacing w:val="-3"/>
          <w:sz w:val="22"/>
          <w:szCs w:val="22"/>
          <w:lang w:eastAsia="en-US"/>
        </w:rPr>
      </w:pPr>
      <w:r w:rsidRPr="001A2760">
        <w:rPr>
          <w:spacing w:val="-3"/>
          <w:sz w:val="22"/>
          <w:szCs w:val="22"/>
          <w:lang w:eastAsia="en-US"/>
        </w:rPr>
        <w:t>Η ανασύσταση και η αναρρόφηση πρέπει να διενεργούνται υπό άσηπτες συνθήκες.</w:t>
      </w:r>
    </w:p>
    <w:p w:rsidR="001A2760" w:rsidRPr="001A2760" w:rsidRDefault="001A2760" w:rsidP="001A2760">
      <w:pPr>
        <w:widowControl w:val="0"/>
        <w:tabs>
          <w:tab w:val="left" w:pos="-720"/>
          <w:tab w:val="left" w:pos="0"/>
          <w:tab w:val="left" w:pos="720"/>
        </w:tabs>
        <w:suppressAutoHyphens/>
        <w:jc w:val="both"/>
        <w:rPr>
          <w:spacing w:val="-3"/>
          <w:sz w:val="22"/>
          <w:szCs w:val="22"/>
          <w:lang w:eastAsia="en-US"/>
        </w:rPr>
      </w:pPr>
    </w:p>
    <w:p w:rsidR="001A2760" w:rsidRPr="001A2760" w:rsidRDefault="001A2760" w:rsidP="001A2760">
      <w:pPr>
        <w:keepNext/>
        <w:widowControl w:val="0"/>
        <w:jc w:val="both"/>
        <w:outlineLvl w:val="1"/>
        <w:rPr>
          <w:i/>
          <w:sz w:val="22"/>
          <w:szCs w:val="22"/>
          <w:lang w:eastAsia="en-US"/>
        </w:rPr>
      </w:pPr>
      <w:r w:rsidRPr="001A2760">
        <w:rPr>
          <w:i/>
          <w:sz w:val="22"/>
          <w:szCs w:val="22"/>
          <w:lang w:eastAsia="en-US"/>
        </w:rPr>
        <w:t>Ανασύσταση</w:t>
      </w:r>
    </w:p>
    <w:p w:rsidR="001A2760" w:rsidRPr="001A2760" w:rsidRDefault="001A2760" w:rsidP="001A2760">
      <w:pPr>
        <w:widowControl w:val="0"/>
        <w:jc w:val="both"/>
        <w:rPr>
          <w:sz w:val="22"/>
          <w:szCs w:val="22"/>
          <w:lang w:eastAsia="en-US"/>
        </w:rPr>
      </w:pPr>
      <w:r w:rsidRPr="001A2760">
        <w:rPr>
          <w:sz w:val="22"/>
          <w:szCs w:val="22"/>
          <w:lang w:eastAsia="en-US"/>
        </w:rPr>
        <w:t>Αφήστε τον διαλύτη να έρθει σε θερμοκρασία δωματίου. Βεβαιωθείτε ότι τα καπάκια των φιαλιδίων του προϊόντος και του διαλύτη έχουν αφαιρεθεί και τα πώματα έχουν καθαριστεί με άσηπτο διάλυμα και έχουν αφεθεί να στεγνώσουν πριν το άνοιγμα της συσκευασίας του Mix2Vial.</w:t>
      </w:r>
    </w:p>
    <w:p w:rsidR="001A2760" w:rsidRPr="001A2760" w:rsidRDefault="001A2760" w:rsidP="001A2760">
      <w:pPr>
        <w:widowControl w:val="0"/>
        <w:jc w:val="both"/>
        <w:rPr>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528"/>
      </w:tblGrid>
      <w:tr w:rsidR="001A2760" w:rsidRPr="001A2760" w:rsidTr="005B283A">
        <w:tc>
          <w:tcPr>
            <w:tcW w:w="3544" w:type="dxa"/>
          </w:tcPr>
          <w:p w:rsidR="001A2760" w:rsidRPr="001A2760" w:rsidRDefault="001A2760" w:rsidP="001A2760">
            <w:pPr>
              <w:widowControl w:val="0"/>
              <w:jc w:val="center"/>
              <w:rPr>
                <w:sz w:val="22"/>
                <w:szCs w:val="22"/>
                <w:lang w:eastAsia="en-US"/>
              </w:rPr>
            </w:pPr>
            <w:r w:rsidRPr="001A2760">
              <w:rPr>
                <w:noProof/>
                <w:sz w:val="22"/>
                <w:szCs w:val="20"/>
              </w:rPr>
              <w:drawing>
                <wp:inline distT="0" distB="0" distL="0" distR="0" wp14:anchorId="5937CA48" wp14:editId="4C58114F">
                  <wp:extent cx="693420" cy="709295"/>
                  <wp:effectExtent l="0" t="0" r="0" b="0"/>
                  <wp:docPr id="3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3420" cy="709295"/>
                          </a:xfrm>
                          <a:prstGeom prst="rect">
                            <a:avLst/>
                          </a:prstGeom>
                          <a:noFill/>
                          <a:ln>
                            <a:noFill/>
                          </a:ln>
                        </pic:spPr>
                      </pic:pic>
                    </a:graphicData>
                  </a:graphic>
                </wp:inline>
              </w:drawing>
            </w:r>
            <w:r w:rsidRPr="001A2760">
              <w:rPr>
                <w:sz w:val="22"/>
                <w:szCs w:val="22"/>
                <w:lang w:eastAsia="en-US"/>
              </w:rPr>
              <w:t>1</w:t>
            </w:r>
          </w:p>
        </w:tc>
        <w:tc>
          <w:tcPr>
            <w:tcW w:w="5528" w:type="dxa"/>
          </w:tcPr>
          <w:p w:rsidR="001A2760" w:rsidRPr="001A2760" w:rsidRDefault="001A2760" w:rsidP="001A2760">
            <w:pPr>
              <w:widowControl w:val="0"/>
              <w:jc w:val="both"/>
              <w:rPr>
                <w:b/>
                <w:bCs/>
                <w:i/>
                <w:iCs/>
                <w:sz w:val="22"/>
                <w:szCs w:val="22"/>
                <w:lang w:eastAsia="en-US"/>
              </w:rPr>
            </w:pPr>
            <w:r w:rsidRPr="001A2760">
              <w:rPr>
                <w:sz w:val="22"/>
                <w:szCs w:val="22"/>
                <w:lang w:eastAsia="en-US"/>
              </w:rPr>
              <w:t xml:space="preserve">1. Ανοίξτε τη συσκευασία του Mix2Vial βγάζοντας το κάλυμμα. </w:t>
            </w:r>
            <w:r w:rsidRPr="001A2760">
              <w:rPr>
                <w:b/>
                <w:sz w:val="22"/>
                <w:szCs w:val="22"/>
                <w:u w:val="single"/>
                <w:lang w:eastAsia="en-US"/>
              </w:rPr>
              <w:t>Μην</w:t>
            </w:r>
            <w:r w:rsidRPr="001A2760">
              <w:rPr>
                <w:sz w:val="22"/>
                <w:szCs w:val="22"/>
                <w:lang w:eastAsia="en-US"/>
              </w:rPr>
              <w:t xml:space="preserve"> απομακρύνετε το Mix2Vial από τη συσκευασία κυψέλης!</w:t>
            </w:r>
          </w:p>
        </w:tc>
      </w:tr>
      <w:tr w:rsidR="001A2760" w:rsidRPr="001A2760" w:rsidTr="005B283A">
        <w:tc>
          <w:tcPr>
            <w:tcW w:w="3544" w:type="dxa"/>
            <w:tcBorders>
              <w:bottom w:val="single" w:sz="4" w:space="0" w:color="auto"/>
            </w:tcBorders>
          </w:tcPr>
          <w:p w:rsidR="001A2760" w:rsidRPr="001A2760" w:rsidRDefault="001A2760" w:rsidP="001A2760">
            <w:pPr>
              <w:widowControl w:val="0"/>
              <w:jc w:val="center"/>
              <w:rPr>
                <w:sz w:val="22"/>
                <w:szCs w:val="22"/>
                <w:lang w:eastAsia="en-US"/>
              </w:rPr>
            </w:pPr>
            <w:r w:rsidRPr="001A2760">
              <w:rPr>
                <w:noProof/>
                <w:sz w:val="22"/>
                <w:szCs w:val="20"/>
              </w:rPr>
              <w:drawing>
                <wp:inline distT="0" distB="0" distL="0" distR="0" wp14:anchorId="6ED9D599" wp14:editId="35E43D1A">
                  <wp:extent cx="534670" cy="1080770"/>
                  <wp:effectExtent l="0" t="0" r="0" b="5080"/>
                  <wp:docPr id="3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1080770"/>
                          </a:xfrm>
                          <a:prstGeom prst="rect">
                            <a:avLst/>
                          </a:prstGeom>
                          <a:noFill/>
                          <a:ln>
                            <a:noFill/>
                          </a:ln>
                        </pic:spPr>
                      </pic:pic>
                    </a:graphicData>
                  </a:graphic>
                </wp:inline>
              </w:drawing>
            </w:r>
            <w:r w:rsidRPr="001A2760">
              <w:rPr>
                <w:sz w:val="22"/>
                <w:szCs w:val="22"/>
                <w:lang w:eastAsia="en-US"/>
              </w:rPr>
              <w:t>2</w:t>
            </w:r>
          </w:p>
        </w:tc>
        <w:tc>
          <w:tcPr>
            <w:tcW w:w="5528" w:type="dxa"/>
          </w:tcPr>
          <w:p w:rsidR="001A2760" w:rsidRPr="001A2760" w:rsidRDefault="001A2760" w:rsidP="001A2760">
            <w:pPr>
              <w:keepNext/>
              <w:keepLines/>
              <w:widowControl w:val="0"/>
              <w:ind w:left="34" w:hanging="34"/>
              <w:jc w:val="both"/>
              <w:rPr>
                <w:sz w:val="22"/>
                <w:szCs w:val="22"/>
                <w:lang w:eastAsia="en-US"/>
              </w:rPr>
            </w:pPr>
            <w:r w:rsidRPr="001A2760">
              <w:rPr>
                <w:sz w:val="22"/>
                <w:szCs w:val="22"/>
                <w:lang w:eastAsia="en-US"/>
              </w:rPr>
              <w:t xml:space="preserve">2. Βάλτε το φιαλίδιο του διαλύτη σε μια επίπεδη, καθαρή επιφάνεια και κρατήστε το σταθερά. Πάρτε το Mix2Vial μαζί με τη συσκευασία κυψέλης και πιέστε την ακίδα στο άκρο του </w:t>
            </w:r>
            <w:r w:rsidRPr="001A2760">
              <w:rPr>
                <w:b/>
                <w:sz w:val="22"/>
                <w:szCs w:val="22"/>
                <w:lang w:eastAsia="en-US"/>
              </w:rPr>
              <w:t>μπλε</w:t>
            </w:r>
            <w:r w:rsidRPr="001A2760">
              <w:rPr>
                <w:sz w:val="22"/>
                <w:szCs w:val="22"/>
                <w:lang w:eastAsia="en-US"/>
              </w:rPr>
              <w:t xml:space="preserve"> </w:t>
            </w:r>
            <w:proofErr w:type="spellStart"/>
            <w:r w:rsidRPr="001A2760">
              <w:rPr>
                <w:sz w:val="22"/>
                <w:szCs w:val="22"/>
                <w:lang w:eastAsia="en-US"/>
              </w:rPr>
              <w:t>προσαρμοστή</w:t>
            </w:r>
            <w:proofErr w:type="spellEnd"/>
            <w:r w:rsidRPr="001A2760">
              <w:rPr>
                <w:sz w:val="22"/>
                <w:szCs w:val="22"/>
                <w:lang w:eastAsia="en-US"/>
              </w:rPr>
              <w:t xml:space="preserve"> </w:t>
            </w:r>
            <w:r w:rsidRPr="001A2760">
              <w:rPr>
                <w:b/>
                <w:sz w:val="22"/>
                <w:szCs w:val="22"/>
                <w:lang w:eastAsia="en-US"/>
              </w:rPr>
              <w:t>ευθεία προς τα κάτω</w:t>
            </w:r>
            <w:r w:rsidRPr="001A2760">
              <w:rPr>
                <w:sz w:val="22"/>
                <w:szCs w:val="22"/>
                <w:lang w:eastAsia="en-US"/>
              </w:rPr>
              <w:t xml:space="preserve">, διαμέσου του πώματος του φιαλιδίου του διαλύτη. </w:t>
            </w:r>
          </w:p>
          <w:p w:rsidR="001A2760" w:rsidRPr="001A2760" w:rsidRDefault="001A2760" w:rsidP="001A2760">
            <w:pPr>
              <w:widowControl w:val="0"/>
              <w:jc w:val="both"/>
              <w:rPr>
                <w:b/>
                <w:bCs/>
                <w:i/>
                <w:iCs/>
                <w:sz w:val="22"/>
                <w:szCs w:val="22"/>
                <w:lang w:eastAsia="en-US"/>
              </w:rPr>
            </w:pPr>
          </w:p>
        </w:tc>
      </w:tr>
      <w:tr w:rsidR="001A2760" w:rsidRPr="001A2760" w:rsidTr="005B283A">
        <w:tc>
          <w:tcPr>
            <w:tcW w:w="3544" w:type="dxa"/>
          </w:tcPr>
          <w:p w:rsidR="001A2760" w:rsidRPr="001A2760" w:rsidRDefault="001A2760" w:rsidP="001A2760">
            <w:pPr>
              <w:widowControl w:val="0"/>
              <w:jc w:val="center"/>
              <w:rPr>
                <w:sz w:val="22"/>
                <w:szCs w:val="22"/>
                <w:lang w:eastAsia="en-US"/>
              </w:rPr>
            </w:pPr>
            <w:r w:rsidRPr="001A2760">
              <w:rPr>
                <w:noProof/>
                <w:sz w:val="22"/>
                <w:szCs w:val="20"/>
              </w:rPr>
              <w:drawing>
                <wp:inline distT="0" distB="0" distL="0" distR="0" wp14:anchorId="498DAA89" wp14:editId="5AD433F1">
                  <wp:extent cx="439420" cy="1151890"/>
                  <wp:effectExtent l="0" t="0" r="0" b="0"/>
                  <wp:docPr id="3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9420" cy="1151890"/>
                          </a:xfrm>
                          <a:prstGeom prst="rect">
                            <a:avLst/>
                          </a:prstGeom>
                          <a:noFill/>
                          <a:ln>
                            <a:noFill/>
                          </a:ln>
                        </pic:spPr>
                      </pic:pic>
                    </a:graphicData>
                  </a:graphic>
                </wp:inline>
              </w:drawing>
            </w:r>
            <w:r w:rsidRPr="001A2760">
              <w:rPr>
                <w:sz w:val="22"/>
                <w:szCs w:val="22"/>
                <w:lang w:eastAsia="en-US"/>
              </w:rPr>
              <w:t>3</w:t>
            </w:r>
          </w:p>
        </w:tc>
        <w:tc>
          <w:tcPr>
            <w:tcW w:w="5528" w:type="dxa"/>
          </w:tcPr>
          <w:p w:rsidR="001A2760" w:rsidRPr="001A2760" w:rsidRDefault="001A2760" w:rsidP="001A2760">
            <w:pPr>
              <w:widowControl w:val="0"/>
              <w:jc w:val="both"/>
              <w:rPr>
                <w:b/>
                <w:bCs/>
                <w:i/>
                <w:iCs/>
                <w:sz w:val="22"/>
                <w:szCs w:val="22"/>
                <w:lang w:eastAsia="en-US"/>
              </w:rPr>
            </w:pPr>
            <w:r w:rsidRPr="001A2760">
              <w:rPr>
                <w:sz w:val="22"/>
                <w:szCs w:val="22"/>
                <w:lang w:eastAsia="en-US"/>
              </w:rPr>
              <w:t xml:space="preserve">3. Βγάλτε προσεκτικά τη συσκευασία κυψέλης από το σετ του Mix2Vial κρατώντας τον δακτύλιο και τραβώντας </w:t>
            </w:r>
            <w:r w:rsidRPr="001A2760">
              <w:rPr>
                <w:b/>
                <w:sz w:val="22"/>
                <w:szCs w:val="22"/>
                <w:lang w:eastAsia="en-US"/>
              </w:rPr>
              <w:t>κάθετα</w:t>
            </w:r>
            <w:r w:rsidRPr="001A2760">
              <w:rPr>
                <w:sz w:val="22"/>
                <w:szCs w:val="22"/>
                <w:lang w:eastAsia="en-US"/>
              </w:rPr>
              <w:t xml:space="preserve"> προς τα επάνω. Βεβαιωθείτε ότι έχετε τραβήξει μόνο τη συσκευασία κυψέλης και όχι το σετ του Mix2Vial.</w:t>
            </w:r>
          </w:p>
        </w:tc>
      </w:tr>
      <w:tr w:rsidR="001A2760" w:rsidRPr="001A2760" w:rsidTr="005B283A">
        <w:tc>
          <w:tcPr>
            <w:tcW w:w="3544" w:type="dxa"/>
          </w:tcPr>
          <w:p w:rsidR="001A2760" w:rsidRPr="001A2760" w:rsidRDefault="001A2760" w:rsidP="001A2760">
            <w:pPr>
              <w:jc w:val="center"/>
              <w:rPr>
                <w:kern w:val="28"/>
                <w:sz w:val="22"/>
                <w:szCs w:val="22"/>
              </w:rPr>
            </w:pPr>
            <w:r w:rsidRPr="001A2760">
              <w:rPr>
                <w:rFonts w:ascii="Tahoma" w:hAnsi="Tahoma"/>
                <w:noProof/>
                <w:kern w:val="28"/>
                <w:sz w:val="28"/>
                <w:szCs w:val="20"/>
              </w:rPr>
              <w:drawing>
                <wp:inline distT="0" distB="0" distL="0" distR="0" wp14:anchorId="28508B80" wp14:editId="35047608">
                  <wp:extent cx="308610" cy="1175385"/>
                  <wp:effectExtent l="0" t="0" r="0" b="5715"/>
                  <wp:docPr id="3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8610" cy="1175385"/>
                          </a:xfrm>
                          <a:prstGeom prst="rect">
                            <a:avLst/>
                          </a:prstGeom>
                          <a:noFill/>
                          <a:ln>
                            <a:noFill/>
                          </a:ln>
                        </pic:spPr>
                      </pic:pic>
                    </a:graphicData>
                  </a:graphic>
                </wp:inline>
              </w:drawing>
            </w:r>
            <w:r w:rsidRPr="001A2760">
              <w:rPr>
                <w:kern w:val="28"/>
                <w:sz w:val="22"/>
                <w:szCs w:val="22"/>
              </w:rPr>
              <w:t>4</w:t>
            </w:r>
          </w:p>
        </w:tc>
        <w:tc>
          <w:tcPr>
            <w:tcW w:w="5528" w:type="dxa"/>
          </w:tcPr>
          <w:p w:rsidR="001A2760" w:rsidRPr="001A2760" w:rsidRDefault="001A2760" w:rsidP="001A2760">
            <w:pPr>
              <w:widowControl w:val="0"/>
              <w:jc w:val="both"/>
              <w:rPr>
                <w:b/>
                <w:bCs/>
                <w:i/>
                <w:iCs/>
                <w:sz w:val="22"/>
                <w:szCs w:val="22"/>
                <w:lang w:eastAsia="en-US"/>
              </w:rPr>
            </w:pPr>
            <w:r w:rsidRPr="001A2760">
              <w:rPr>
                <w:sz w:val="22"/>
                <w:szCs w:val="22"/>
                <w:lang w:eastAsia="en-US"/>
              </w:rPr>
              <w:t xml:space="preserve">4. Τοποθετήστε το </w:t>
            </w:r>
            <w:r w:rsidRPr="001A2760">
              <w:rPr>
                <w:b/>
                <w:sz w:val="22"/>
                <w:szCs w:val="22"/>
                <w:lang w:eastAsia="en-US"/>
              </w:rPr>
              <w:t>φιαλίδιο του προϊόντος</w:t>
            </w:r>
            <w:r w:rsidRPr="001A2760">
              <w:rPr>
                <w:sz w:val="22"/>
                <w:szCs w:val="22"/>
                <w:lang w:eastAsia="en-US"/>
              </w:rPr>
              <w:t xml:space="preserve"> επάνω σε μια επίπεδη και σταθερή επιφάνεια. Αναστρέψτε το φιαλίδιο του διαλύτη, με το σετ του Mix2Vial προσαρτημένο, και πιέστε την ακίδα στο άκρο του </w:t>
            </w:r>
            <w:r w:rsidRPr="001A2760">
              <w:rPr>
                <w:b/>
                <w:sz w:val="22"/>
                <w:szCs w:val="22"/>
                <w:lang w:eastAsia="en-US"/>
              </w:rPr>
              <w:t>διάφανου</w:t>
            </w:r>
            <w:r w:rsidRPr="001A2760">
              <w:rPr>
                <w:sz w:val="22"/>
                <w:szCs w:val="22"/>
                <w:lang w:eastAsia="en-US"/>
              </w:rPr>
              <w:t xml:space="preserve"> </w:t>
            </w:r>
            <w:proofErr w:type="spellStart"/>
            <w:r w:rsidRPr="001A2760">
              <w:rPr>
                <w:sz w:val="22"/>
                <w:szCs w:val="22"/>
                <w:lang w:eastAsia="en-US"/>
              </w:rPr>
              <w:t>προσαρμοστή</w:t>
            </w:r>
            <w:proofErr w:type="spellEnd"/>
            <w:r w:rsidRPr="001A2760">
              <w:rPr>
                <w:sz w:val="22"/>
                <w:szCs w:val="22"/>
                <w:lang w:eastAsia="en-US"/>
              </w:rPr>
              <w:t xml:space="preserve"> </w:t>
            </w:r>
            <w:r w:rsidRPr="001A2760">
              <w:rPr>
                <w:b/>
                <w:sz w:val="22"/>
                <w:szCs w:val="22"/>
                <w:lang w:eastAsia="en-US"/>
              </w:rPr>
              <w:t>ευθεία προς τα κάτω</w:t>
            </w:r>
            <w:r w:rsidRPr="001A2760">
              <w:rPr>
                <w:sz w:val="22"/>
                <w:szCs w:val="22"/>
                <w:lang w:eastAsia="en-US"/>
              </w:rPr>
              <w:t>, διαμέσου του πώματος του φιαλιδίου του προϊόντος. Ο διαλύτης θα εισρεύσει αυτόματα στο φιαλίδιο του προϊόντος.</w:t>
            </w:r>
          </w:p>
        </w:tc>
      </w:tr>
      <w:tr w:rsidR="001A2760" w:rsidRPr="001A2760" w:rsidTr="005B283A">
        <w:tc>
          <w:tcPr>
            <w:tcW w:w="3544" w:type="dxa"/>
          </w:tcPr>
          <w:p w:rsidR="001A2760" w:rsidRPr="001A2760" w:rsidRDefault="001A2760" w:rsidP="001A2760">
            <w:pPr>
              <w:widowControl w:val="0"/>
              <w:jc w:val="center"/>
              <w:rPr>
                <w:sz w:val="22"/>
                <w:szCs w:val="22"/>
                <w:lang w:eastAsia="en-US"/>
              </w:rPr>
            </w:pPr>
            <w:r w:rsidRPr="001A2760">
              <w:rPr>
                <w:noProof/>
                <w:sz w:val="22"/>
                <w:szCs w:val="20"/>
              </w:rPr>
              <w:lastRenderedPageBreak/>
              <w:drawing>
                <wp:inline distT="0" distB="0" distL="0" distR="0" wp14:anchorId="7EB8778F" wp14:editId="05CFA509">
                  <wp:extent cx="391795" cy="1247140"/>
                  <wp:effectExtent l="0" t="0" r="8255" b="0"/>
                  <wp:docPr id="4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1795" cy="1247140"/>
                          </a:xfrm>
                          <a:prstGeom prst="rect">
                            <a:avLst/>
                          </a:prstGeom>
                          <a:noFill/>
                          <a:ln>
                            <a:noFill/>
                          </a:ln>
                        </pic:spPr>
                      </pic:pic>
                    </a:graphicData>
                  </a:graphic>
                </wp:inline>
              </w:drawing>
            </w:r>
            <w:r w:rsidRPr="001A2760">
              <w:rPr>
                <w:sz w:val="22"/>
                <w:szCs w:val="22"/>
                <w:lang w:eastAsia="en-US"/>
              </w:rPr>
              <w:t xml:space="preserve"> 5</w:t>
            </w:r>
          </w:p>
        </w:tc>
        <w:tc>
          <w:tcPr>
            <w:tcW w:w="5528" w:type="dxa"/>
          </w:tcPr>
          <w:p w:rsidR="001A2760" w:rsidRPr="001A2760" w:rsidRDefault="001A2760" w:rsidP="001A2760">
            <w:pPr>
              <w:keepNext/>
              <w:keepLines/>
              <w:widowControl w:val="0"/>
              <w:jc w:val="both"/>
              <w:rPr>
                <w:sz w:val="22"/>
                <w:szCs w:val="22"/>
                <w:lang w:eastAsia="en-US"/>
              </w:rPr>
            </w:pPr>
            <w:r w:rsidRPr="001A2760">
              <w:rPr>
                <w:sz w:val="22"/>
                <w:szCs w:val="22"/>
                <w:lang w:eastAsia="en-US"/>
              </w:rPr>
              <w:t xml:space="preserve">5. Με το ένα χέρι κρατήστε την πλευρά του προϊόντος του Mix2Vial και με το άλλο την πλευρά του διαλύτη και ξεβιδώστε αριστερόστροφα το σετ σε δυο κομμάτια με προσοχή. </w:t>
            </w:r>
          </w:p>
          <w:p w:rsidR="001A2760" w:rsidRPr="001A2760" w:rsidRDefault="001A2760" w:rsidP="001A2760">
            <w:pPr>
              <w:keepNext/>
              <w:keepLines/>
              <w:widowControl w:val="0"/>
              <w:jc w:val="both"/>
              <w:rPr>
                <w:sz w:val="22"/>
                <w:szCs w:val="22"/>
                <w:lang w:eastAsia="en-US"/>
              </w:rPr>
            </w:pPr>
            <w:r w:rsidRPr="001A2760">
              <w:rPr>
                <w:sz w:val="22"/>
                <w:szCs w:val="22"/>
                <w:lang w:eastAsia="en-US"/>
              </w:rPr>
              <w:t xml:space="preserve">Απορρίψτε το φιαλίδιο του διαλύτη με τον προσαρτημένο μπλε </w:t>
            </w:r>
            <w:proofErr w:type="spellStart"/>
            <w:r w:rsidRPr="001A2760">
              <w:rPr>
                <w:sz w:val="22"/>
                <w:szCs w:val="22"/>
                <w:lang w:eastAsia="en-US"/>
              </w:rPr>
              <w:t>προσαρμοστή</w:t>
            </w:r>
            <w:proofErr w:type="spellEnd"/>
            <w:r w:rsidRPr="001A2760">
              <w:rPr>
                <w:sz w:val="22"/>
                <w:szCs w:val="22"/>
                <w:lang w:eastAsia="en-US"/>
              </w:rPr>
              <w:t xml:space="preserve"> του Mix2Vial.</w:t>
            </w:r>
          </w:p>
          <w:p w:rsidR="001A2760" w:rsidRPr="001A2760" w:rsidRDefault="001A2760" w:rsidP="001A2760">
            <w:pPr>
              <w:widowControl w:val="0"/>
              <w:jc w:val="both"/>
              <w:rPr>
                <w:b/>
                <w:bCs/>
                <w:i/>
                <w:iCs/>
                <w:sz w:val="22"/>
                <w:szCs w:val="22"/>
                <w:lang w:eastAsia="en-US"/>
              </w:rPr>
            </w:pPr>
          </w:p>
        </w:tc>
      </w:tr>
      <w:tr w:rsidR="001A2760" w:rsidRPr="001A2760" w:rsidTr="005B283A">
        <w:trPr>
          <w:trHeight w:val="1294"/>
        </w:trPr>
        <w:tc>
          <w:tcPr>
            <w:tcW w:w="3544" w:type="dxa"/>
          </w:tcPr>
          <w:p w:rsidR="001A2760" w:rsidRPr="001A2760" w:rsidRDefault="001A2760" w:rsidP="001A2760">
            <w:pPr>
              <w:widowControl w:val="0"/>
              <w:jc w:val="center"/>
              <w:rPr>
                <w:sz w:val="22"/>
                <w:szCs w:val="22"/>
                <w:bdr w:val="single" w:sz="4" w:space="0" w:color="auto"/>
                <w:lang w:eastAsia="en-US"/>
              </w:rPr>
            </w:pPr>
            <w:r w:rsidRPr="001A2760">
              <w:rPr>
                <w:noProof/>
                <w:sz w:val="22"/>
                <w:szCs w:val="22"/>
              </w:rPr>
              <mc:AlternateContent>
                <mc:Choice Requires="wps">
                  <w:drawing>
                    <wp:anchor distT="0" distB="0" distL="114300" distR="114300" simplePos="0" relativeHeight="251671552" behindDoc="0" locked="0" layoutInCell="1" allowOverlap="1" wp14:anchorId="360D697B" wp14:editId="3B9451A6">
                      <wp:simplePos x="0" y="0"/>
                      <wp:positionH relativeFrom="column">
                        <wp:posOffset>1210310</wp:posOffset>
                      </wp:positionH>
                      <wp:positionV relativeFrom="paragraph">
                        <wp:posOffset>445135</wp:posOffset>
                      </wp:positionV>
                      <wp:extent cx="228600" cy="342900"/>
                      <wp:effectExtent l="0" t="0" r="0" b="0"/>
                      <wp:wrapNone/>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AA" w:rsidRDefault="005343AA" w:rsidP="001A2760">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95.3pt;margin-top:35.05pt;width:1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15TuAIAAME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" filled="f" stroked="f">
                      <v:textbox>
                        <w:txbxContent>
                          <w:p w:rsidR="005343AA" w:rsidRDefault="005343AA" w:rsidP="001A2760">
                            <w:r>
                              <w:t>6</w:t>
                            </w:r>
                          </w:p>
                        </w:txbxContent>
                      </v:textbox>
                    </v:shape>
                  </w:pict>
                </mc:Fallback>
              </mc:AlternateContent>
            </w:r>
            <w:r w:rsidRPr="001A2760">
              <w:rPr>
                <w:noProof/>
                <w:sz w:val="22"/>
                <w:szCs w:val="20"/>
              </w:rPr>
              <w:drawing>
                <wp:inline distT="0" distB="0" distL="0" distR="0" wp14:anchorId="440D2F76" wp14:editId="48E299C2">
                  <wp:extent cx="902335" cy="902335"/>
                  <wp:effectExtent l="0" t="0" r="0" b="0"/>
                  <wp:docPr id="4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a:ln>
                            <a:noFill/>
                          </a:ln>
                        </pic:spPr>
                      </pic:pic>
                    </a:graphicData>
                  </a:graphic>
                </wp:inline>
              </w:drawing>
            </w:r>
          </w:p>
        </w:tc>
        <w:tc>
          <w:tcPr>
            <w:tcW w:w="5528" w:type="dxa"/>
          </w:tcPr>
          <w:p w:rsidR="001A2760" w:rsidRPr="001A2760" w:rsidRDefault="001A2760" w:rsidP="001A2760">
            <w:pPr>
              <w:keepNext/>
              <w:keepLines/>
              <w:widowControl w:val="0"/>
              <w:jc w:val="both"/>
              <w:rPr>
                <w:sz w:val="22"/>
                <w:szCs w:val="22"/>
                <w:lang w:eastAsia="en-US"/>
              </w:rPr>
            </w:pPr>
            <w:r w:rsidRPr="001A2760">
              <w:rPr>
                <w:sz w:val="22"/>
                <w:szCs w:val="22"/>
                <w:lang w:eastAsia="en-US"/>
              </w:rPr>
              <w:t xml:space="preserve">6. Περιστρέψτε απαλά το φιαλίδιο του προϊόντος με τον προσαρτημένο διάφανο </w:t>
            </w:r>
            <w:proofErr w:type="spellStart"/>
            <w:r w:rsidRPr="001A2760">
              <w:rPr>
                <w:sz w:val="22"/>
                <w:szCs w:val="22"/>
                <w:lang w:eastAsia="en-US"/>
              </w:rPr>
              <w:t>προσαρμοστή</w:t>
            </w:r>
            <w:proofErr w:type="spellEnd"/>
            <w:r w:rsidRPr="001A2760">
              <w:rPr>
                <w:sz w:val="22"/>
                <w:szCs w:val="22"/>
                <w:lang w:eastAsia="en-US"/>
              </w:rPr>
              <w:t xml:space="preserve"> έως ότου η ουσία διαλυθεί πλήρως. Μην αναταράσσετε.</w:t>
            </w:r>
          </w:p>
        </w:tc>
      </w:tr>
      <w:tr w:rsidR="001A2760" w:rsidRPr="001A2760" w:rsidTr="005B283A">
        <w:tc>
          <w:tcPr>
            <w:tcW w:w="3544" w:type="dxa"/>
            <w:tcBorders>
              <w:bottom w:val="single" w:sz="4" w:space="0" w:color="auto"/>
            </w:tcBorders>
          </w:tcPr>
          <w:p w:rsidR="001A2760" w:rsidRPr="001A2760" w:rsidRDefault="001A2760" w:rsidP="001A2760">
            <w:pPr>
              <w:widowControl w:val="0"/>
              <w:jc w:val="both"/>
              <w:rPr>
                <w:sz w:val="22"/>
                <w:szCs w:val="22"/>
                <w:bdr w:val="single" w:sz="4" w:space="0" w:color="auto"/>
                <w:lang w:eastAsia="en-US"/>
              </w:rPr>
            </w:pPr>
            <w:r w:rsidRPr="001A2760">
              <w:rPr>
                <w:noProof/>
                <w:sz w:val="22"/>
                <w:szCs w:val="22"/>
              </w:rPr>
              <mc:AlternateContent>
                <mc:Choice Requires="wps">
                  <w:drawing>
                    <wp:anchor distT="0" distB="0" distL="114300" distR="114300" simplePos="0" relativeHeight="251672576" behindDoc="0" locked="0" layoutInCell="1" allowOverlap="1" wp14:anchorId="0964C8E9" wp14:editId="7A7C3E40">
                      <wp:simplePos x="0" y="0"/>
                      <wp:positionH relativeFrom="column">
                        <wp:posOffset>1322927</wp:posOffset>
                      </wp:positionH>
                      <wp:positionV relativeFrom="paragraph">
                        <wp:posOffset>1282089</wp:posOffset>
                      </wp:positionV>
                      <wp:extent cx="356259" cy="318951"/>
                      <wp:effectExtent l="0" t="0" r="0" b="508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59" cy="318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AA" w:rsidRDefault="005343AA" w:rsidP="001A2760">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04.15pt;margin-top:100.95pt;width:28.05pt;height:2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XMug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" filled="f" stroked="f">
                      <v:textbox>
                        <w:txbxContent>
                          <w:p w:rsidR="005343AA" w:rsidRDefault="005343AA" w:rsidP="001A2760">
                            <w:r>
                              <w:t>7</w:t>
                            </w:r>
                          </w:p>
                        </w:txbxContent>
                      </v:textbox>
                    </v:shape>
                  </w:pict>
                </mc:Fallback>
              </mc:AlternateContent>
            </w:r>
            <w:r w:rsidRPr="001A2760">
              <w:rPr>
                <w:noProof/>
                <w:sz w:val="22"/>
                <w:szCs w:val="20"/>
              </w:rPr>
              <w:drawing>
                <wp:anchor distT="0" distB="0" distL="114300" distR="114300" simplePos="0" relativeHeight="251673600" behindDoc="1" locked="0" layoutInCell="1" allowOverlap="1" wp14:anchorId="0B6D1284" wp14:editId="726C0FC4">
                  <wp:simplePos x="0" y="0"/>
                  <wp:positionH relativeFrom="column">
                    <wp:posOffset>609600</wp:posOffset>
                  </wp:positionH>
                  <wp:positionV relativeFrom="paragraph">
                    <wp:posOffset>165735</wp:posOffset>
                  </wp:positionV>
                  <wp:extent cx="1068705" cy="1508125"/>
                  <wp:effectExtent l="0" t="0" r="0" b="0"/>
                  <wp:wrapTight wrapText="bothSides">
                    <wp:wrapPolygon edited="0">
                      <wp:start x="0" y="0"/>
                      <wp:lineTo x="0" y="21282"/>
                      <wp:lineTo x="21176" y="21282"/>
                      <wp:lineTo x="21176" y="0"/>
                      <wp:lineTo x="0" y="0"/>
                    </wp:wrapPolygon>
                  </wp:wrapTight>
                  <wp:docPr id="4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8705" cy="150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760" w:rsidRPr="001A2760" w:rsidRDefault="001A2760" w:rsidP="001A2760">
            <w:pPr>
              <w:widowControl w:val="0"/>
              <w:jc w:val="center"/>
              <w:rPr>
                <w:sz w:val="22"/>
                <w:szCs w:val="22"/>
                <w:bdr w:val="single" w:sz="4" w:space="0" w:color="auto"/>
                <w:lang w:eastAsia="en-US"/>
              </w:rPr>
            </w:pPr>
          </w:p>
        </w:tc>
        <w:tc>
          <w:tcPr>
            <w:tcW w:w="5528" w:type="dxa"/>
            <w:tcBorders>
              <w:bottom w:val="single" w:sz="4" w:space="0" w:color="auto"/>
            </w:tcBorders>
          </w:tcPr>
          <w:p w:rsidR="001A2760" w:rsidRPr="001A2760" w:rsidRDefault="001A2760" w:rsidP="001A2760">
            <w:pPr>
              <w:keepNext/>
              <w:keepLines/>
              <w:widowControl w:val="0"/>
              <w:jc w:val="both"/>
              <w:rPr>
                <w:sz w:val="22"/>
                <w:szCs w:val="22"/>
                <w:lang w:eastAsia="en-US"/>
              </w:rPr>
            </w:pPr>
            <w:r w:rsidRPr="001A2760">
              <w:rPr>
                <w:sz w:val="22"/>
                <w:szCs w:val="22"/>
                <w:lang w:eastAsia="en-US"/>
              </w:rPr>
              <w:t xml:space="preserve">7. Αντλήστε αέρα σε μια άδεια, αποστειρωμένη σύριγγα. Καθώς το φιαλίδιο του προϊόντος βρίσκεται σε όρθια θέση, συνδέστε τη σύριγγα στη σύνδεση </w:t>
            </w:r>
            <w:proofErr w:type="spellStart"/>
            <w:r w:rsidRPr="001A2760">
              <w:rPr>
                <w:sz w:val="22"/>
                <w:szCs w:val="22"/>
                <w:lang w:val="en-GB" w:eastAsia="en-US"/>
              </w:rPr>
              <w:t>Luer</w:t>
            </w:r>
            <w:proofErr w:type="spellEnd"/>
            <w:r w:rsidRPr="001A2760">
              <w:rPr>
                <w:sz w:val="22"/>
                <w:szCs w:val="22"/>
                <w:lang w:eastAsia="en-US"/>
              </w:rPr>
              <w:t xml:space="preserve"> </w:t>
            </w:r>
            <w:r w:rsidRPr="001A2760">
              <w:rPr>
                <w:sz w:val="22"/>
                <w:szCs w:val="22"/>
                <w:lang w:val="en-GB" w:eastAsia="en-US"/>
              </w:rPr>
              <w:t>Lock</w:t>
            </w:r>
            <w:r w:rsidRPr="001A2760">
              <w:rPr>
                <w:sz w:val="22"/>
                <w:szCs w:val="22"/>
                <w:lang w:eastAsia="en-US"/>
              </w:rPr>
              <w:t xml:space="preserve"> του </w:t>
            </w:r>
            <w:r w:rsidRPr="001A2760">
              <w:rPr>
                <w:sz w:val="22"/>
                <w:szCs w:val="22"/>
                <w:lang w:val="en-GB" w:eastAsia="en-US"/>
              </w:rPr>
              <w:t>Mix</w:t>
            </w:r>
            <w:r w:rsidRPr="001A2760">
              <w:rPr>
                <w:sz w:val="22"/>
                <w:szCs w:val="22"/>
                <w:lang w:eastAsia="en-US"/>
              </w:rPr>
              <w:t>2</w:t>
            </w:r>
            <w:r w:rsidRPr="001A2760">
              <w:rPr>
                <w:sz w:val="22"/>
                <w:szCs w:val="22"/>
                <w:lang w:val="en-GB" w:eastAsia="en-US"/>
              </w:rPr>
              <w:t>Vial</w:t>
            </w:r>
            <w:r w:rsidRPr="001A2760">
              <w:rPr>
                <w:sz w:val="22"/>
                <w:szCs w:val="22"/>
                <w:lang w:eastAsia="en-US"/>
              </w:rPr>
              <w:t xml:space="preserve"> βιδώνοντας δεξιόστροφα. Εισάγετε αέρα στο φιαλίδιο του προϊόντος.</w:t>
            </w:r>
          </w:p>
        </w:tc>
      </w:tr>
    </w:tbl>
    <w:p w:rsidR="001A2760" w:rsidRPr="001A2760" w:rsidRDefault="001A2760" w:rsidP="001A2760">
      <w:pPr>
        <w:widowControl w:val="0"/>
        <w:jc w:val="both"/>
        <w:rPr>
          <w:sz w:val="22"/>
          <w:szCs w:val="22"/>
          <w:lang w:eastAsia="en-US"/>
        </w:rPr>
      </w:pPr>
    </w:p>
    <w:p w:rsidR="001A2760" w:rsidRPr="001A2760" w:rsidRDefault="001A2760" w:rsidP="001A2760">
      <w:pPr>
        <w:widowControl w:val="0"/>
        <w:tabs>
          <w:tab w:val="left" w:pos="720"/>
        </w:tabs>
        <w:jc w:val="both"/>
        <w:outlineLvl w:val="4"/>
        <w:rPr>
          <w:bCs/>
          <w:i/>
          <w:iCs/>
          <w:sz w:val="22"/>
          <w:szCs w:val="22"/>
          <w:lang w:eastAsia="en-US"/>
        </w:rPr>
      </w:pPr>
      <w:r w:rsidRPr="001A2760">
        <w:rPr>
          <w:bCs/>
          <w:i/>
          <w:iCs/>
          <w:sz w:val="22"/>
          <w:szCs w:val="22"/>
          <w:lang w:eastAsia="en-US"/>
        </w:rPr>
        <w:t>Αναρρόφηση και εφαρμογή</w:t>
      </w:r>
    </w:p>
    <w:p w:rsidR="001A2760" w:rsidRPr="001A2760" w:rsidRDefault="001A2760" w:rsidP="001A2760">
      <w:pPr>
        <w:widowControl w:val="0"/>
        <w:jc w:val="both"/>
        <w:rPr>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528"/>
      </w:tblGrid>
      <w:tr w:rsidR="001A2760" w:rsidRPr="001A2760" w:rsidTr="005B283A">
        <w:tc>
          <w:tcPr>
            <w:tcW w:w="3544" w:type="dxa"/>
            <w:tcBorders>
              <w:top w:val="single" w:sz="4" w:space="0" w:color="auto"/>
              <w:left w:val="single" w:sz="4" w:space="0" w:color="auto"/>
              <w:bottom w:val="single" w:sz="4" w:space="0" w:color="auto"/>
              <w:right w:val="single" w:sz="4" w:space="0" w:color="auto"/>
            </w:tcBorders>
          </w:tcPr>
          <w:p w:rsidR="001A2760" w:rsidRPr="001A2760" w:rsidRDefault="001A2760" w:rsidP="001A2760">
            <w:pPr>
              <w:widowControl w:val="0"/>
              <w:jc w:val="center"/>
              <w:rPr>
                <w:sz w:val="22"/>
                <w:szCs w:val="22"/>
                <w:bdr w:val="single" w:sz="4" w:space="0" w:color="auto"/>
                <w:lang w:eastAsia="en-US"/>
              </w:rPr>
            </w:pPr>
            <w:r w:rsidRPr="001A2760">
              <w:rPr>
                <w:noProof/>
                <w:sz w:val="22"/>
                <w:szCs w:val="20"/>
              </w:rPr>
              <w:drawing>
                <wp:inline distT="0" distB="0" distL="0" distR="0" wp14:anchorId="5FE0DEDA" wp14:editId="50D244BC">
                  <wp:extent cx="278130" cy="1447165"/>
                  <wp:effectExtent l="0" t="0" r="7620" b="635"/>
                  <wp:docPr id="4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 cy="1447165"/>
                          </a:xfrm>
                          <a:prstGeom prst="rect">
                            <a:avLst/>
                          </a:prstGeom>
                          <a:noFill/>
                          <a:ln>
                            <a:noFill/>
                          </a:ln>
                        </pic:spPr>
                      </pic:pic>
                    </a:graphicData>
                  </a:graphic>
                </wp:inline>
              </w:drawing>
            </w:r>
            <w:r w:rsidRPr="001A2760">
              <w:rPr>
                <w:sz w:val="22"/>
                <w:szCs w:val="22"/>
                <w:lang w:eastAsia="en-US"/>
              </w:rPr>
              <w:t xml:space="preserve"> 8</w:t>
            </w:r>
          </w:p>
        </w:tc>
        <w:tc>
          <w:tcPr>
            <w:tcW w:w="5528" w:type="dxa"/>
            <w:tcBorders>
              <w:top w:val="single" w:sz="4" w:space="0" w:color="auto"/>
              <w:left w:val="single" w:sz="4" w:space="0" w:color="auto"/>
              <w:bottom w:val="single" w:sz="4" w:space="0" w:color="auto"/>
              <w:right w:val="single" w:sz="4" w:space="0" w:color="auto"/>
            </w:tcBorders>
          </w:tcPr>
          <w:p w:rsidR="001A2760" w:rsidRPr="001A2760" w:rsidRDefault="001A2760" w:rsidP="001A2760">
            <w:pPr>
              <w:keepNext/>
              <w:keepLines/>
              <w:widowControl w:val="0"/>
              <w:jc w:val="both"/>
              <w:rPr>
                <w:sz w:val="22"/>
                <w:szCs w:val="22"/>
                <w:lang w:eastAsia="en-US"/>
              </w:rPr>
            </w:pPr>
            <w:r w:rsidRPr="001A2760">
              <w:rPr>
                <w:sz w:val="22"/>
                <w:szCs w:val="22"/>
                <w:lang w:eastAsia="en-US"/>
              </w:rPr>
              <w:t xml:space="preserve">8. Όσο θα κρατάτε το έμβολο της σύριγγας πιεσμένο, αναποδογυρίστε το σύστημα και βάλτε το διάλυμα στη σύριγγα τραβώντας το έμβολο αργά προς τα πίσω. </w:t>
            </w:r>
          </w:p>
          <w:p w:rsidR="001A2760" w:rsidRPr="001A2760" w:rsidRDefault="001A2760" w:rsidP="001A2760">
            <w:pPr>
              <w:widowControl w:val="0"/>
              <w:jc w:val="both"/>
              <w:rPr>
                <w:b/>
                <w:bCs/>
                <w:i/>
                <w:iCs/>
                <w:sz w:val="22"/>
                <w:szCs w:val="22"/>
                <w:lang w:eastAsia="en-US"/>
              </w:rPr>
            </w:pPr>
          </w:p>
        </w:tc>
      </w:tr>
      <w:tr w:rsidR="001A2760" w:rsidRPr="001A2760" w:rsidTr="005B283A">
        <w:tc>
          <w:tcPr>
            <w:tcW w:w="3544" w:type="dxa"/>
            <w:tcBorders>
              <w:top w:val="single" w:sz="4" w:space="0" w:color="auto"/>
              <w:left w:val="single" w:sz="4" w:space="0" w:color="auto"/>
              <w:bottom w:val="single" w:sz="4" w:space="0" w:color="auto"/>
              <w:right w:val="single" w:sz="4" w:space="0" w:color="auto"/>
            </w:tcBorders>
          </w:tcPr>
          <w:p w:rsidR="001A2760" w:rsidRPr="001A2760" w:rsidRDefault="001A2760" w:rsidP="001A2760">
            <w:pPr>
              <w:widowControl w:val="0"/>
              <w:jc w:val="center"/>
              <w:rPr>
                <w:sz w:val="22"/>
                <w:szCs w:val="22"/>
                <w:bdr w:val="single" w:sz="4" w:space="0" w:color="auto"/>
                <w:lang w:eastAsia="en-US"/>
              </w:rPr>
            </w:pPr>
            <w:r w:rsidRPr="001A2760">
              <w:rPr>
                <w:noProof/>
                <w:sz w:val="22"/>
                <w:szCs w:val="20"/>
              </w:rPr>
              <w:drawing>
                <wp:inline distT="0" distB="0" distL="0" distR="0" wp14:anchorId="11ACED32" wp14:editId="32144ADE">
                  <wp:extent cx="278130" cy="1518920"/>
                  <wp:effectExtent l="0" t="0" r="7620" b="5080"/>
                  <wp:docPr id="4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130" cy="1518920"/>
                          </a:xfrm>
                          <a:prstGeom prst="rect">
                            <a:avLst/>
                          </a:prstGeom>
                          <a:noFill/>
                          <a:ln>
                            <a:noFill/>
                          </a:ln>
                        </pic:spPr>
                      </pic:pic>
                    </a:graphicData>
                  </a:graphic>
                </wp:inline>
              </w:drawing>
            </w:r>
            <w:r w:rsidRPr="001A2760">
              <w:rPr>
                <w:noProof/>
                <w:sz w:val="22"/>
                <w:szCs w:val="22"/>
                <w:lang w:val="en-US" w:eastAsia="en-US"/>
              </w:rPr>
              <w:t>9</w:t>
            </w:r>
          </w:p>
        </w:tc>
        <w:tc>
          <w:tcPr>
            <w:tcW w:w="5528" w:type="dxa"/>
            <w:tcBorders>
              <w:top w:val="single" w:sz="4" w:space="0" w:color="auto"/>
              <w:left w:val="single" w:sz="4" w:space="0" w:color="auto"/>
              <w:bottom w:val="single" w:sz="4" w:space="0" w:color="auto"/>
              <w:right w:val="single" w:sz="4" w:space="0" w:color="auto"/>
            </w:tcBorders>
          </w:tcPr>
          <w:p w:rsidR="001A2760" w:rsidRPr="001A2760" w:rsidRDefault="001A2760" w:rsidP="001A2760">
            <w:pPr>
              <w:keepNext/>
              <w:keepLines/>
              <w:widowControl w:val="0"/>
              <w:ind w:firstLine="34"/>
              <w:jc w:val="both"/>
              <w:rPr>
                <w:sz w:val="22"/>
                <w:szCs w:val="22"/>
                <w:lang w:eastAsia="en-US"/>
              </w:rPr>
            </w:pPr>
            <w:r w:rsidRPr="001A2760">
              <w:rPr>
                <w:sz w:val="22"/>
                <w:szCs w:val="22"/>
                <w:lang w:eastAsia="en-US"/>
              </w:rPr>
              <w:t xml:space="preserve">9.Τώρα που το διάλυμα έχει μεταφερθεί μέσα στη σύριγγα, κρατήστε σταθερό το σώμα της σύριγγας (κρατώντας το έμβολο της σύριγγας προς τα κάτω) και αποσυνδέστε  τον διάφανο </w:t>
            </w:r>
            <w:proofErr w:type="spellStart"/>
            <w:r w:rsidRPr="001A2760">
              <w:rPr>
                <w:sz w:val="22"/>
                <w:szCs w:val="22"/>
                <w:lang w:eastAsia="en-US"/>
              </w:rPr>
              <w:t>προσαρμοστή</w:t>
            </w:r>
            <w:proofErr w:type="spellEnd"/>
            <w:r w:rsidRPr="001A2760">
              <w:rPr>
                <w:sz w:val="22"/>
                <w:szCs w:val="22"/>
                <w:lang w:eastAsia="en-US"/>
              </w:rPr>
              <w:t xml:space="preserve"> του Mix2Vial από τη σύριγγα ξεβιδώνοντας αριστερόστροφα. </w:t>
            </w:r>
          </w:p>
          <w:p w:rsidR="001A2760" w:rsidRPr="001A2760" w:rsidRDefault="001A2760" w:rsidP="001A2760">
            <w:pPr>
              <w:widowControl w:val="0"/>
              <w:jc w:val="both"/>
              <w:rPr>
                <w:b/>
                <w:bCs/>
                <w:i/>
                <w:iCs/>
                <w:sz w:val="22"/>
                <w:szCs w:val="22"/>
                <w:lang w:eastAsia="en-US"/>
              </w:rPr>
            </w:pPr>
          </w:p>
        </w:tc>
      </w:tr>
    </w:tbl>
    <w:p w:rsidR="001A2760" w:rsidRPr="001A2760" w:rsidRDefault="001A2760" w:rsidP="001A2760">
      <w:pPr>
        <w:widowControl w:val="0"/>
        <w:jc w:val="both"/>
        <w:rPr>
          <w:sz w:val="22"/>
          <w:szCs w:val="22"/>
          <w:lang w:eastAsia="en-US"/>
        </w:rPr>
      </w:pPr>
    </w:p>
    <w:p w:rsidR="001A2760" w:rsidRPr="001A2760" w:rsidRDefault="001A2760" w:rsidP="001A2760">
      <w:pPr>
        <w:widowControl w:val="0"/>
        <w:tabs>
          <w:tab w:val="left" w:pos="-720"/>
          <w:tab w:val="left" w:pos="0"/>
          <w:tab w:val="left" w:pos="720"/>
        </w:tabs>
        <w:suppressAutoHyphens/>
        <w:jc w:val="both"/>
        <w:rPr>
          <w:spacing w:val="-3"/>
          <w:sz w:val="22"/>
          <w:szCs w:val="22"/>
          <w:lang w:eastAsia="en-US"/>
        </w:rPr>
      </w:pPr>
      <w:r w:rsidRPr="001A2760">
        <w:rPr>
          <w:spacing w:val="-3"/>
          <w:sz w:val="22"/>
          <w:szCs w:val="22"/>
          <w:lang w:eastAsia="en-US"/>
        </w:rPr>
        <w:t xml:space="preserve">Πρέπει να δίδεται προσοχή ώστε να μην εισέλθει αίμα στη σύριγγα που είναι γεμισμένη με το προϊόν, καθώς υπάρχει κίνδυνος να πήξει το αίμα στη σύριγγα και κατά συνέπεια να χορηγηθούν στον ασθενή θρόμβοι ινώδους. </w:t>
      </w:r>
    </w:p>
    <w:p w:rsidR="001A2760" w:rsidRPr="001A2760" w:rsidRDefault="001A2760" w:rsidP="001A2760">
      <w:pPr>
        <w:widowControl w:val="0"/>
        <w:tabs>
          <w:tab w:val="left" w:pos="-720"/>
          <w:tab w:val="left" w:pos="0"/>
          <w:tab w:val="left" w:pos="720"/>
        </w:tabs>
        <w:suppressAutoHyphens/>
        <w:jc w:val="both"/>
        <w:rPr>
          <w:spacing w:val="-3"/>
          <w:sz w:val="22"/>
          <w:szCs w:val="22"/>
          <w:lang w:eastAsia="en-US"/>
        </w:rPr>
      </w:pPr>
    </w:p>
    <w:p w:rsidR="001A2760" w:rsidRPr="001A2760" w:rsidRDefault="001A2760" w:rsidP="001A2760">
      <w:pPr>
        <w:widowControl w:val="0"/>
        <w:tabs>
          <w:tab w:val="left" w:pos="-720"/>
          <w:tab w:val="left" w:pos="0"/>
          <w:tab w:val="left" w:pos="720"/>
        </w:tabs>
        <w:suppressAutoHyphens/>
        <w:jc w:val="both"/>
        <w:rPr>
          <w:spacing w:val="-3"/>
          <w:sz w:val="22"/>
          <w:szCs w:val="22"/>
          <w:lang w:eastAsia="en-US"/>
        </w:rPr>
      </w:pPr>
      <w:r w:rsidRPr="001A2760">
        <w:rPr>
          <w:spacing w:val="-3"/>
          <w:sz w:val="22"/>
          <w:szCs w:val="22"/>
          <w:lang w:eastAsia="en-US"/>
        </w:rPr>
        <w:t xml:space="preserve">Σε περίπτωση που απαιτούνται περισσότερα από ένα φιαλίδια </w:t>
      </w:r>
      <w:proofErr w:type="spellStart"/>
      <w:r w:rsidRPr="001A2760">
        <w:rPr>
          <w:spacing w:val="-3"/>
          <w:sz w:val="22"/>
          <w:szCs w:val="22"/>
          <w:lang w:val="en-US" w:eastAsia="en-US"/>
        </w:rPr>
        <w:t>Beriplex</w:t>
      </w:r>
      <w:proofErr w:type="spellEnd"/>
      <w:r w:rsidRPr="001A2760">
        <w:rPr>
          <w:spacing w:val="-3"/>
          <w:sz w:val="22"/>
          <w:szCs w:val="22"/>
          <w:lang w:eastAsia="en-US"/>
        </w:rPr>
        <w:t xml:space="preserve">, είναι δυνατό να αναμειχθούν πολλά φιαλίδια </w:t>
      </w:r>
      <w:proofErr w:type="spellStart"/>
      <w:r w:rsidRPr="001A2760">
        <w:rPr>
          <w:spacing w:val="-3"/>
          <w:sz w:val="22"/>
          <w:szCs w:val="22"/>
          <w:lang w:val="en-US" w:eastAsia="en-US"/>
        </w:rPr>
        <w:t>Beriplex</w:t>
      </w:r>
      <w:proofErr w:type="spellEnd"/>
      <w:r w:rsidRPr="001A2760">
        <w:rPr>
          <w:spacing w:val="-3"/>
          <w:sz w:val="22"/>
          <w:szCs w:val="22"/>
          <w:lang w:eastAsia="en-US"/>
        </w:rPr>
        <w:t xml:space="preserve"> για μια μόνο έγχυση μέσω μιας εμπορικά διαθέσιμης συσκευής έγχυσης.</w:t>
      </w:r>
    </w:p>
    <w:p w:rsidR="001A2760" w:rsidRPr="001A2760" w:rsidRDefault="001A2760" w:rsidP="001A2760">
      <w:pPr>
        <w:widowControl w:val="0"/>
        <w:tabs>
          <w:tab w:val="left" w:pos="-720"/>
          <w:tab w:val="left" w:pos="0"/>
          <w:tab w:val="left" w:pos="720"/>
        </w:tabs>
        <w:suppressAutoHyphens/>
        <w:jc w:val="both"/>
        <w:rPr>
          <w:spacing w:val="-3"/>
          <w:sz w:val="22"/>
          <w:szCs w:val="22"/>
          <w:lang w:eastAsia="en-US"/>
        </w:rPr>
      </w:pPr>
    </w:p>
    <w:p w:rsidR="001A2760" w:rsidRPr="001A2760" w:rsidRDefault="001A2760" w:rsidP="001A2760">
      <w:pPr>
        <w:widowControl w:val="0"/>
        <w:tabs>
          <w:tab w:val="left" w:pos="-720"/>
          <w:tab w:val="left" w:pos="0"/>
          <w:tab w:val="left" w:pos="720"/>
        </w:tabs>
        <w:suppressAutoHyphens/>
        <w:jc w:val="both"/>
        <w:rPr>
          <w:spacing w:val="-3"/>
          <w:sz w:val="22"/>
          <w:szCs w:val="22"/>
          <w:lang w:eastAsia="en-US"/>
        </w:rPr>
      </w:pPr>
      <w:r w:rsidRPr="001A2760">
        <w:rPr>
          <w:spacing w:val="-3"/>
          <w:sz w:val="22"/>
          <w:szCs w:val="22"/>
          <w:lang w:eastAsia="en-US"/>
        </w:rPr>
        <w:t xml:space="preserve">Το διάλυμα </w:t>
      </w:r>
      <w:proofErr w:type="spellStart"/>
      <w:r w:rsidRPr="001A2760">
        <w:rPr>
          <w:spacing w:val="-3"/>
          <w:sz w:val="22"/>
          <w:szCs w:val="22"/>
          <w:lang w:val="en-US" w:eastAsia="en-US"/>
        </w:rPr>
        <w:t>Beriplex</w:t>
      </w:r>
      <w:proofErr w:type="spellEnd"/>
      <w:r w:rsidRPr="001A2760">
        <w:rPr>
          <w:spacing w:val="-3"/>
          <w:sz w:val="22"/>
          <w:szCs w:val="22"/>
          <w:lang w:eastAsia="en-US"/>
        </w:rPr>
        <w:t xml:space="preserve"> δεν πρέπει να αραιώνεται.</w:t>
      </w:r>
    </w:p>
    <w:p w:rsidR="001A2760" w:rsidRPr="001A2760" w:rsidRDefault="001A2760" w:rsidP="001A2760">
      <w:pPr>
        <w:tabs>
          <w:tab w:val="left" w:pos="567"/>
        </w:tabs>
        <w:jc w:val="both"/>
        <w:rPr>
          <w:spacing w:val="-3"/>
          <w:sz w:val="22"/>
          <w:szCs w:val="22"/>
          <w:lang w:eastAsia="en-US"/>
        </w:rPr>
      </w:pPr>
    </w:p>
    <w:p w:rsidR="001A2760" w:rsidRPr="001A2760" w:rsidRDefault="001A2760" w:rsidP="001A2760">
      <w:pPr>
        <w:widowControl w:val="0"/>
        <w:jc w:val="both"/>
        <w:rPr>
          <w:sz w:val="22"/>
          <w:szCs w:val="22"/>
          <w:lang w:eastAsia="en-US"/>
        </w:rPr>
      </w:pPr>
      <w:r w:rsidRPr="001A2760">
        <w:rPr>
          <w:spacing w:val="-3"/>
          <w:sz w:val="22"/>
          <w:szCs w:val="22"/>
          <w:lang w:eastAsia="en-US"/>
        </w:rPr>
        <w:lastRenderedPageBreak/>
        <w:t xml:space="preserve">Το </w:t>
      </w:r>
      <w:proofErr w:type="spellStart"/>
      <w:r w:rsidRPr="001A2760">
        <w:rPr>
          <w:spacing w:val="-3"/>
          <w:sz w:val="22"/>
          <w:szCs w:val="22"/>
          <w:lang w:eastAsia="en-US"/>
        </w:rPr>
        <w:t>ανασυσταμένο</w:t>
      </w:r>
      <w:proofErr w:type="spellEnd"/>
      <w:r w:rsidRPr="001A2760">
        <w:rPr>
          <w:spacing w:val="-3"/>
          <w:sz w:val="22"/>
          <w:szCs w:val="22"/>
          <w:lang w:eastAsia="en-US"/>
        </w:rPr>
        <w:t xml:space="preserve"> διάλυμα πρέπει να χορηγείται </w:t>
      </w:r>
      <w:r w:rsidRPr="001A2760">
        <w:rPr>
          <w:sz w:val="22"/>
          <w:szCs w:val="22"/>
          <w:lang w:eastAsia="en-US"/>
        </w:rPr>
        <w:t xml:space="preserve">ενδοφλεβίως (όχι πάνω από 8 </w:t>
      </w:r>
      <w:r w:rsidRPr="001A2760">
        <w:rPr>
          <w:sz w:val="22"/>
          <w:szCs w:val="22"/>
          <w:lang w:val="en-GB" w:eastAsia="en-US"/>
        </w:rPr>
        <w:t>ml</w:t>
      </w:r>
      <w:r w:rsidRPr="001A2760">
        <w:rPr>
          <w:sz w:val="22"/>
          <w:szCs w:val="22"/>
          <w:lang w:eastAsia="en-US"/>
        </w:rPr>
        <w:t>/</w:t>
      </w:r>
      <w:r w:rsidRPr="001A2760">
        <w:rPr>
          <w:sz w:val="22"/>
          <w:szCs w:val="22"/>
          <w:lang w:val="en-GB" w:eastAsia="en-US"/>
        </w:rPr>
        <w:t>min</w:t>
      </w:r>
      <w:r w:rsidRPr="001A2760">
        <w:rPr>
          <w:sz w:val="22"/>
          <w:szCs w:val="22"/>
          <w:lang w:eastAsia="en-US"/>
        </w:rPr>
        <w:t>*).</w:t>
      </w:r>
    </w:p>
    <w:p w:rsidR="001A2760" w:rsidRPr="001A2760" w:rsidRDefault="001A2760" w:rsidP="001A2760">
      <w:pPr>
        <w:widowControl w:val="0"/>
        <w:jc w:val="both"/>
        <w:rPr>
          <w:sz w:val="22"/>
          <w:szCs w:val="22"/>
          <w:lang w:eastAsia="en-US"/>
        </w:rPr>
      </w:pPr>
    </w:p>
    <w:p w:rsidR="001A2760" w:rsidRPr="001A2760" w:rsidRDefault="001A2760" w:rsidP="001A2760">
      <w:pPr>
        <w:widowControl w:val="0"/>
        <w:jc w:val="both"/>
        <w:rPr>
          <w:sz w:val="22"/>
          <w:szCs w:val="22"/>
          <w:lang w:eastAsia="en-US"/>
        </w:rPr>
      </w:pPr>
      <w:r w:rsidRPr="001A2760">
        <w:rPr>
          <w:sz w:val="22"/>
          <w:szCs w:val="22"/>
          <w:lang w:eastAsia="en-US"/>
        </w:rPr>
        <w:t xml:space="preserve">Κάθε </w:t>
      </w:r>
      <w:r w:rsidRPr="001A2760">
        <w:rPr>
          <w:noProof/>
          <w:sz w:val="22"/>
          <w:szCs w:val="22"/>
          <w:lang w:eastAsia="en-US"/>
        </w:rPr>
        <w:t xml:space="preserve">αχρησιμοποίητο φαρμακευτικό </w:t>
      </w:r>
      <w:r w:rsidRPr="001A2760">
        <w:rPr>
          <w:sz w:val="22"/>
          <w:szCs w:val="22"/>
          <w:lang w:eastAsia="en-US"/>
        </w:rPr>
        <w:t xml:space="preserve">προϊόν ή υπόλειμμα πρέπει να </w:t>
      </w:r>
      <w:r w:rsidRPr="001A2760">
        <w:rPr>
          <w:noProof/>
          <w:sz w:val="22"/>
          <w:szCs w:val="22"/>
          <w:lang w:eastAsia="en-US"/>
        </w:rPr>
        <w:t xml:space="preserve">απορρίπτεται </w:t>
      </w:r>
      <w:r w:rsidRPr="001A2760">
        <w:rPr>
          <w:sz w:val="22"/>
          <w:szCs w:val="22"/>
          <w:lang w:eastAsia="en-US"/>
        </w:rPr>
        <w:t>σύμφωνα με τις κατά τόπους ισχύουσες σχετικές διατάξεις.</w:t>
      </w:r>
    </w:p>
    <w:p w:rsidR="001A2760" w:rsidRPr="001A2760" w:rsidRDefault="001A2760" w:rsidP="001A2760">
      <w:pPr>
        <w:widowControl w:val="0"/>
        <w:jc w:val="both"/>
        <w:rPr>
          <w:sz w:val="22"/>
          <w:szCs w:val="22"/>
          <w:lang w:eastAsia="en-US"/>
        </w:rPr>
      </w:pPr>
    </w:p>
    <w:p w:rsidR="001A2760" w:rsidRPr="001A2760" w:rsidRDefault="001A2760" w:rsidP="001A2760">
      <w:pPr>
        <w:widowControl w:val="0"/>
        <w:jc w:val="both"/>
        <w:rPr>
          <w:b/>
          <w:sz w:val="22"/>
          <w:szCs w:val="22"/>
          <w:lang w:eastAsia="en-US"/>
        </w:rPr>
      </w:pPr>
      <w:r w:rsidRPr="001A2760">
        <w:rPr>
          <w:b/>
          <w:sz w:val="22"/>
          <w:szCs w:val="22"/>
          <w:lang w:eastAsia="en-US"/>
        </w:rPr>
        <w:t>Ειδικές προειδοποιήσεις και προφυλάξεις κατά τη χρήση</w:t>
      </w:r>
    </w:p>
    <w:p w:rsidR="001A2760" w:rsidRPr="001A2760" w:rsidRDefault="001A2760" w:rsidP="001A2760">
      <w:pPr>
        <w:widowControl w:val="0"/>
        <w:jc w:val="both"/>
        <w:rPr>
          <w:sz w:val="22"/>
          <w:szCs w:val="22"/>
          <w:lang w:eastAsia="en-US"/>
        </w:rPr>
      </w:pPr>
    </w:p>
    <w:p w:rsidR="001A2760" w:rsidRPr="001A2760" w:rsidRDefault="001A2760" w:rsidP="001A2760">
      <w:pPr>
        <w:widowControl w:val="0"/>
        <w:jc w:val="both"/>
        <w:rPr>
          <w:sz w:val="22"/>
          <w:szCs w:val="22"/>
          <w:lang w:eastAsia="en-US"/>
        </w:rPr>
      </w:pPr>
      <w:r w:rsidRPr="001A2760">
        <w:rPr>
          <w:sz w:val="22"/>
          <w:szCs w:val="22"/>
          <w:lang w:eastAsia="en-US"/>
        </w:rPr>
        <w:t xml:space="preserve">Δεν υπάρχουν διαθέσιμα δεδομένα σχετικά με τη χρήση του </w:t>
      </w:r>
      <w:proofErr w:type="spellStart"/>
      <w:r w:rsidRPr="001A2760">
        <w:rPr>
          <w:sz w:val="22"/>
          <w:szCs w:val="22"/>
          <w:lang w:eastAsia="en-US"/>
        </w:rPr>
        <w:t>Beriplex</w:t>
      </w:r>
      <w:proofErr w:type="spellEnd"/>
      <w:r w:rsidRPr="001A2760">
        <w:rPr>
          <w:sz w:val="22"/>
          <w:szCs w:val="22"/>
          <w:lang w:eastAsia="en-US"/>
        </w:rPr>
        <w:t xml:space="preserve"> στην περίπτωση της </w:t>
      </w:r>
      <w:proofErr w:type="spellStart"/>
      <w:r w:rsidRPr="001A2760">
        <w:rPr>
          <w:sz w:val="22"/>
          <w:szCs w:val="22"/>
          <w:lang w:eastAsia="en-US"/>
        </w:rPr>
        <w:t>περιγεννητικής</w:t>
      </w:r>
      <w:proofErr w:type="spellEnd"/>
      <w:r w:rsidRPr="001A2760">
        <w:rPr>
          <w:sz w:val="22"/>
          <w:szCs w:val="22"/>
          <w:lang w:eastAsia="en-US"/>
        </w:rPr>
        <w:t xml:space="preserve"> αιμορραγίας λόγω ανεπάρκειας της βιταμίνης Κ στα νεογνά.</w:t>
      </w:r>
    </w:p>
    <w:p w:rsidR="001A2760" w:rsidRPr="001A2760" w:rsidRDefault="001A2760" w:rsidP="001A2760">
      <w:pPr>
        <w:widowControl w:val="0"/>
        <w:jc w:val="both"/>
        <w:rPr>
          <w:sz w:val="22"/>
          <w:szCs w:val="22"/>
          <w:lang w:eastAsia="en-US"/>
        </w:rPr>
      </w:pPr>
    </w:p>
    <w:p w:rsidR="001A2760" w:rsidRPr="001A2760" w:rsidRDefault="001A2760" w:rsidP="001A2760">
      <w:pPr>
        <w:keepNext/>
        <w:widowControl w:val="0"/>
        <w:jc w:val="both"/>
        <w:rPr>
          <w:sz w:val="22"/>
          <w:szCs w:val="22"/>
          <w:u w:val="single"/>
          <w:lang w:eastAsia="en-US"/>
        </w:rPr>
      </w:pPr>
      <w:r w:rsidRPr="001A2760">
        <w:rPr>
          <w:sz w:val="22"/>
          <w:szCs w:val="22"/>
          <w:u w:val="single"/>
          <w:lang w:eastAsia="en-US"/>
        </w:rPr>
        <w:t>Σημείωση για τον έλεγχο του αριθμού των αιμοπεταλίων:</w:t>
      </w:r>
    </w:p>
    <w:p w:rsidR="001A2760" w:rsidRPr="001A2760" w:rsidRDefault="001A2760" w:rsidP="001A2760">
      <w:pPr>
        <w:keepNext/>
        <w:widowControl w:val="0"/>
        <w:jc w:val="both"/>
        <w:rPr>
          <w:sz w:val="22"/>
          <w:szCs w:val="22"/>
          <w:lang w:eastAsia="en-US"/>
        </w:rPr>
      </w:pPr>
      <w:r w:rsidRPr="001A2760">
        <w:rPr>
          <w:sz w:val="22"/>
          <w:szCs w:val="22"/>
          <w:lang w:eastAsia="en-US"/>
        </w:rPr>
        <w:t>Ο αριθμός των αιμοπεταλίων πρέπει να παρακολουθείται στενά.</w:t>
      </w:r>
    </w:p>
    <w:p w:rsidR="001A2760" w:rsidRPr="001A2760" w:rsidRDefault="001A2760" w:rsidP="001A2760">
      <w:pPr>
        <w:widowControl w:val="0"/>
        <w:jc w:val="both"/>
        <w:rPr>
          <w:sz w:val="22"/>
          <w:szCs w:val="22"/>
          <w:lang w:eastAsia="en-US"/>
        </w:rPr>
      </w:pPr>
    </w:p>
    <w:p w:rsidR="001A2760" w:rsidRPr="001A2760" w:rsidRDefault="001A2760" w:rsidP="001A2760">
      <w:pPr>
        <w:widowControl w:val="0"/>
        <w:jc w:val="both"/>
        <w:rPr>
          <w:sz w:val="22"/>
          <w:szCs w:val="22"/>
          <w:lang w:eastAsia="en-US"/>
        </w:rPr>
      </w:pPr>
      <w:r w:rsidRPr="001A2760">
        <w:rPr>
          <w:b/>
          <w:sz w:val="22"/>
          <w:szCs w:val="22"/>
          <w:lang w:eastAsia="en-US"/>
        </w:rPr>
        <w:t>Αλληλεπιδράσεις με άλλα φαρμακευτικά προϊόντα και άλλες μορφές αλληλεπίδρασης</w:t>
      </w:r>
    </w:p>
    <w:p w:rsidR="001A2760" w:rsidRPr="001A2760" w:rsidRDefault="001A2760" w:rsidP="001A2760">
      <w:pPr>
        <w:widowControl w:val="0"/>
        <w:jc w:val="both"/>
        <w:rPr>
          <w:sz w:val="22"/>
          <w:szCs w:val="22"/>
          <w:lang w:eastAsia="en-US"/>
        </w:rPr>
      </w:pPr>
      <w:r w:rsidRPr="001A2760">
        <w:rPr>
          <w:sz w:val="22"/>
          <w:szCs w:val="22"/>
          <w:lang w:eastAsia="en-US"/>
        </w:rPr>
        <w:t xml:space="preserve">Όταν πραγματοποιούνται έλεγχοι πήξης που είναι ευαίσθητοι στην ηπαρίνη σε ασθενείς που λαμβάνουν υψηλές δόσεις συμπλέγματος ανθρώπινης προθρομβίνης, πρέπει να λαμβάνεται υπόψη η ύπαρξη ηπαρίνης ως συστατικό του χορηγούμενου προϊόντος. </w:t>
      </w:r>
    </w:p>
    <w:p w:rsidR="001A2760" w:rsidRPr="001A2760" w:rsidRDefault="001A2760" w:rsidP="001A2760">
      <w:pPr>
        <w:widowControl w:val="0"/>
        <w:jc w:val="both"/>
        <w:rPr>
          <w:sz w:val="22"/>
          <w:szCs w:val="22"/>
          <w:lang w:eastAsia="en-US"/>
        </w:rPr>
      </w:pPr>
    </w:p>
    <w:p w:rsidR="001A2760" w:rsidRPr="001A2760" w:rsidRDefault="001A2760" w:rsidP="001A2760">
      <w:pPr>
        <w:rPr>
          <w:b/>
          <w:sz w:val="22"/>
          <w:szCs w:val="22"/>
          <w:lang w:eastAsia="en-US"/>
        </w:rPr>
      </w:pPr>
      <w:r w:rsidRPr="001A2760">
        <w:rPr>
          <w:b/>
          <w:sz w:val="22"/>
          <w:szCs w:val="22"/>
          <w:lang w:eastAsia="en-US"/>
        </w:rPr>
        <w:t>_______________________________</w:t>
      </w:r>
    </w:p>
    <w:p w:rsidR="00B8418A" w:rsidRDefault="001A2760" w:rsidP="00B8418A">
      <w:pPr>
        <w:widowControl w:val="0"/>
        <w:ind w:left="284" w:hanging="284"/>
        <w:rPr>
          <w:sz w:val="22"/>
          <w:szCs w:val="22"/>
          <w:lang w:val="en-US" w:eastAsia="en-US"/>
        </w:rPr>
      </w:pPr>
      <w:r w:rsidRPr="001A2760">
        <w:rPr>
          <w:b/>
          <w:sz w:val="22"/>
          <w:szCs w:val="22"/>
          <w:lang w:eastAsia="en-US"/>
        </w:rPr>
        <w:t>*</w:t>
      </w:r>
      <w:r w:rsidRPr="001A2760">
        <w:rPr>
          <w:sz w:val="22"/>
          <w:szCs w:val="22"/>
          <w:lang w:eastAsia="en-US"/>
        </w:rPr>
        <w:t xml:space="preserve"> </w:t>
      </w:r>
      <w:r w:rsidRPr="001A2760">
        <w:rPr>
          <w:sz w:val="22"/>
          <w:szCs w:val="22"/>
          <w:lang w:eastAsia="en-US"/>
        </w:rPr>
        <w:tab/>
        <w:t xml:space="preserve">Στις κλινικές μελέτες με το </w:t>
      </w:r>
      <w:proofErr w:type="spellStart"/>
      <w:r w:rsidRPr="001A2760">
        <w:rPr>
          <w:sz w:val="22"/>
          <w:szCs w:val="22"/>
          <w:lang w:val="en-US" w:eastAsia="en-US"/>
        </w:rPr>
        <w:t>Beriplex</w:t>
      </w:r>
      <w:proofErr w:type="spellEnd"/>
      <w:r w:rsidRPr="001A2760">
        <w:rPr>
          <w:sz w:val="22"/>
          <w:szCs w:val="22"/>
          <w:lang w:eastAsia="en-US"/>
        </w:rPr>
        <w:t xml:space="preserve">, ο μέγιστος ρυθμός έγχυσης ήταν 0,12 </w:t>
      </w:r>
      <w:r w:rsidRPr="001A2760">
        <w:rPr>
          <w:sz w:val="22"/>
          <w:szCs w:val="22"/>
          <w:lang w:val="en-US" w:eastAsia="en-US"/>
        </w:rPr>
        <w:t>ml</w:t>
      </w:r>
      <w:r w:rsidRPr="001A2760">
        <w:rPr>
          <w:sz w:val="22"/>
          <w:szCs w:val="22"/>
          <w:lang w:eastAsia="en-US"/>
        </w:rPr>
        <w:t>/</w:t>
      </w:r>
      <w:r w:rsidRPr="001A2760">
        <w:rPr>
          <w:sz w:val="22"/>
          <w:szCs w:val="22"/>
          <w:lang w:val="en-US" w:eastAsia="en-US"/>
        </w:rPr>
        <w:t>kg</w:t>
      </w:r>
      <w:r w:rsidRPr="001A2760">
        <w:rPr>
          <w:sz w:val="22"/>
          <w:szCs w:val="22"/>
          <w:lang w:eastAsia="en-US"/>
        </w:rPr>
        <w:t>/</w:t>
      </w:r>
      <w:r w:rsidRPr="001A2760">
        <w:rPr>
          <w:sz w:val="22"/>
          <w:szCs w:val="22"/>
          <w:lang w:val="en-US" w:eastAsia="en-US"/>
        </w:rPr>
        <w:t>min</w:t>
      </w:r>
      <w:r w:rsidRPr="001A2760">
        <w:rPr>
          <w:sz w:val="22"/>
          <w:szCs w:val="22"/>
          <w:lang w:eastAsia="en-US"/>
        </w:rPr>
        <w:t xml:space="preserve"> (μικρότερος από 8 </w:t>
      </w:r>
      <w:r w:rsidRPr="001A2760">
        <w:rPr>
          <w:sz w:val="22"/>
          <w:szCs w:val="22"/>
          <w:lang w:val="en-GB" w:eastAsia="en-US"/>
        </w:rPr>
        <w:t>ml</w:t>
      </w:r>
      <w:r w:rsidRPr="001A2760">
        <w:rPr>
          <w:sz w:val="22"/>
          <w:szCs w:val="22"/>
          <w:lang w:eastAsia="en-US"/>
        </w:rPr>
        <w:t>/</w:t>
      </w:r>
      <w:r w:rsidRPr="001A2760">
        <w:rPr>
          <w:sz w:val="22"/>
          <w:szCs w:val="22"/>
          <w:lang w:val="en-GB" w:eastAsia="en-US"/>
        </w:rPr>
        <w:t>min</w:t>
      </w:r>
      <w:r w:rsidRPr="001A2760">
        <w:rPr>
          <w:sz w:val="22"/>
          <w:szCs w:val="22"/>
          <w:lang w:eastAsia="en-US"/>
        </w:rPr>
        <w:t xml:space="preserve">) για τους ασθενείς που ζύγιζαν &lt; 70 </w:t>
      </w:r>
      <w:proofErr w:type="spellStart"/>
      <w:r w:rsidRPr="001A2760">
        <w:rPr>
          <w:sz w:val="22"/>
          <w:szCs w:val="22"/>
          <w:lang w:eastAsia="en-US"/>
        </w:rPr>
        <w:t>kg</w:t>
      </w:r>
      <w:proofErr w:type="spellEnd"/>
      <w:r w:rsidRPr="001A2760">
        <w:rPr>
          <w:sz w:val="22"/>
          <w:szCs w:val="22"/>
          <w:lang w:eastAsia="en-US"/>
        </w:rPr>
        <w:t>.</w:t>
      </w:r>
    </w:p>
    <w:p w:rsidR="00B8418A" w:rsidRDefault="00B8418A" w:rsidP="00B8418A">
      <w:pPr>
        <w:widowControl w:val="0"/>
        <w:ind w:left="284" w:hanging="284"/>
        <w:rPr>
          <w:rFonts w:ascii="Verdana" w:hAnsi="Verdana" w:cs="Arial"/>
          <w:b/>
          <w:snapToGrid w:val="0"/>
          <w:lang w:val="en-US"/>
        </w:rPr>
      </w:pPr>
    </w:p>
    <w:p w:rsidR="00B8418A" w:rsidRDefault="00B8418A" w:rsidP="00B8418A">
      <w:pPr>
        <w:widowControl w:val="0"/>
        <w:ind w:left="284" w:hanging="284"/>
        <w:rPr>
          <w:rFonts w:ascii="Verdana" w:hAnsi="Verdana" w:cs="Arial"/>
          <w:b/>
          <w:snapToGrid w:val="0"/>
          <w:lang w:val="en-US"/>
        </w:rPr>
      </w:pPr>
    </w:p>
    <w:p w:rsidR="00B8418A" w:rsidRDefault="00B8418A" w:rsidP="00B8418A">
      <w:pPr>
        <w:widowControl w:val="0"/>
        <w:ind w:left="284" w:hanging="284"/>
        <w:rPr>
          <w:rFonts w:ascii="Verdana" w:hAnsi="Verdana" w:cs="Arial"/>
          <w:b/>
          <w:snapToGrid w:val="0"/>
          <w:lang w:val="en-US"/>
        </w:rPr>
      </w:pPr>
    </w:p>
    <w:p w:rsidR="00B8418A" w:rsidRDefault="00B8418A" w:rsidP="00B8418A">
      <w:pPr>
        <w:widowControl w:val="0"/>
        <w:ind w:left="284" w:hanging="284"/>
        <w:rPr>
          <w:rFonts w:ascii="Verdana" w:hAnsi="Verdana" w:cs="Arial"/>
          <w:b/>
          <w:snapToGrid w:val="0"/>
          <w:lang w:val="en-US"/>
        </w:rPr>
      </w:pPr>
    </w:p>
    <w:p w:rsidR="00B8418A" w:rsidRDefault="00B8418A" w:rsidP="00B8418A">
      <w:pPr>
        <w:widowControl w:val="0"/>
        <w:ind w:left="284" w:hanging="284"/>
        <w:rPr>
          <w:rFonts w:ascii="Verdana" w:hAnsi="Verdana" w:cs="Arial"/>
          <w:b/>
          <w:snapToGrid w:val="0"/>
          <w:lang w:val="en-US"/>
        </w:rPr>
      </w:pPr>
    </w:p>
    <w:p w:rsidR="000B4C15" w:rsidRPr="00B8418A" w:rsidRDefault="000B4C15" w:rsidP="00B8418A">
      <w:pPr>
        <w:widowControl w:val="0"/>
        <w:ind w:left="284" w:hanging="284"/>
        <w:rPr>
          <w:sz w:val="22"/>
          <w:szCs w:val="22"/>
          <w:lang w:eastAsia="en-US"/>
        </w:rPr>
      </w:pPr>
      <w:bookmarkStart w:id="0" w:name="_GoBack"/>
      <w:bookmarkEnd w:id="0"/>
    </w:p>
    <w:sectPr w:rsidR="000B4C15" w:rsidRPr="00B8418A" w:rsidSect="008164FC">
      <w:pgSz w:w="11906" w:h="16838"/>
      <w:pgMar w:top="1135" w:right="1274"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3AA" w:rsidRDefault="005343AA" w:rsidP="009A7F59">
      <w:r>
        <w:separator/>
      </w:r>
    </w:p>
  </w:endnote>
  <w:endnote w:type="continuationSeparator" w:id="0">
    <w:p w:rsidR="005343AA" w:rsidRDefault="005343AA" w:rsidP="009A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Garamond">
    <w:panose1 w:val="02020404030301010803"/>
    <w:charset w:val="A1"/>
    <w:family w:val="roman"/>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3AA" w:rsidRDefault="005343AA" w:rsidP="009A7F59">
      <w:r>
        <w:separator/>
      </w:r>
    </w:p>
  </w:footnote>
  <w:footnote w:type="continuationSeparator" w:id="0">
    <w:p w:rsidR="005343AA" w:rsidRDefault="005343AA" w:rsidP="009A7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FE4476"/>
    <w:multiLevelType w:val="singleLevel"/>
    <w:tmpl w:val="2FFEB436"/>
    <w:lvl w:ilvl="0">
      <w:start w:val="2"/>
      <w:numFmt w:val="bullet"/>
      <w:lvlText w:val="-"/>
      <w:lvlJc w:val="left"/>
      <w:pPr>
        <w:tabs>
          <w:tab w:val="num" w:pos="360"/>
        </w:tabs>
        <w:ind w:left="360" w:hanging="360"/>
      </w:pPr>
      <w:rPr>
        <w:rFonts w:ascii="Times New Roman" w:hAnsi="Times New Roman" w:hint="default"/>
        <w:b/>
      </w:rPr>
    </w:lvl>
  </w:abstractNum>
  <w:abstractNum w:abstractNumId="2">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EB07A1"/>
    <w:multiLevelType w:val="hybridMultilevel"/>
    <w:tmpl w:val="13C4868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B8A4D0E"/>
    <w:multiLevelType w:val="hybridMultilevel"/>
    <w:tmpl w:val="CD04CC26"/>
    <w:lvl w:ilvl="0" w:tplc="1706A35E">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0F7D6764"/>
    <w:multiLevelType w:val="hybridMultilevel"/>
    <w:tmpl w:val="46FE050E"/>
    <w:lvl w:ilvl="0" w:tplc="982A261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4290B8E"/>
    <w:multiLevelType w:val="hybridMultilevel"/>
    <w:tmpl w:val="F5FA02F2"/>
    <w:lvl w:ilvl="0" w:tplc="D332AC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13BCC"/>
    <w:multiLevelType w:val="hybridMultilevel"/>
    <w:tmpl w:val="47223F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6B978CD"/>
    <w:multiLevelType w:val="singleLevel"/>
    <w:tmpl w:val="31304CA6"/>
    <w:lvl w:ilvl="0">
      <w:start w:val="1"/>
      <w:numFmt w:val="decimal"/>
      <w:lvlText w:val="%1."/>
      <w:legacy w:legacy="1" w:legacySpace="0" w:legacyIndent="360"/>
      <w:lvlJc w:val="left"/>
      <w:pPr>
        <w:ind w:left="360" w:hanging="360"/>
      </w:pPr>
    </w:lvl>
  </w:abstractNum>
  <w:abstractNum w:abstractNumId="9">
    <w:nsid w:val="1EA37FC5"/>
    <w:multiLevelType w:val="singleLevel"/>
    <w:tmpl w:val="FFFFFFFF"/>
    <w:lvl w:ilvl="0">
      <w:start w:val="1"/>
      <w:numFmt w:val="bullet"/>
      <w:lvlText w:val="-"/>
      <w:legacy w:legacy="1" w:legacySpace="0" w:legacyIndent="360"/>
      <w:lvlJc w:val="left"/>
      <w:pPr>
        <w:ind w:left="1800" w:hanging="360"/>
      </w:pPr>
    </w:lvl>
  </w:abstractNum>
  <w:abstractNum w:abstractNumId="10">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B4F2E9B"/>
    <w:multiLevelType w:val="hybridMultilevel"/>
    <w:tmpl w:val="641A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5163852"/>
    <w:multiLevelType w:val="hybridMultilevel"/>
    <w:tmpl w:val="D49A8EDE"/>
    <w:lvl w:ilvl="0" w:tplc="D332ACF8">
      <w:start w:val="1"/>
      <w:numFmt w:val="bullet"/>
      <w:lvlText w:val="-"/>
      <w:lvlJc w:val="left"/>
      <w:pPr>
        <w:tabs>
          <w:tab w:val="num" w:pos="1440"/>
        </w:tabs>
        <w:ind w:left="1440" w:hanging="360"/>
      </w:pPr>
      <w:rPr>
        <w:rFonts w:ascii="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DE966AF"/>
    <w:multiLevelType w:val="hybridMultilevel"/>
    <w:tmpl w:val="0E4C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971333"/>
    <w:multiLevelType w:val="hybridMultilevel"/>
    <w:tmpl w:val="381050E8"/>
    <w:lvl w:ilvl="0" w:tplc="04080001">
      <w:start w:val="1"/>
      <w:numFmt w:val="bullet"/>
      <w:lvlText w:val=""/>
      <w:lvlJc w:val="left"/>
      <w:pPr>
        <w:tabs>
          <w:tab w:val="num" w:pos="720"/>
        </w:tabs>
        <w:ind w:left="720" w:hanging="360"/>
      </w:pPr>
      <w:rPr>
        <w:rFonts w:ascii="Symbol" w:hAnsi="Symbol" w:hint="default"/>
      </w:rPr>
    </w:lvl>
    <w:lvl w:ilvl="1" w:tplc="D332ACF8">
      <w:start w:val="1"/>
      <w:numFmt w:val="bullet"/>
      <w:lvlText w:val="-"/>
      <w:lvlJc w:val="left"/>
      <w:pPr>
        <w:tabs>
          <w:tab w:val="num" w:pos="1440"/>
        </w:tabs>
        <w:ind w:left="1440" w:hanging="360"/>
      </w:pPr>
      <w:rPr>
        <w:rFonts w:ascii="Times New Roman" w:hAnsi="Times New Roman"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41D4141F"/>
    <w:multiLevelType w:val="hybridMultilevel"/>
    <w:tmpl w:val="C6FC6F2C"/>
    <w:lvl w:ilvl="0" w:tplc="07F23D5C">
      <w:start w:val="1"/>
      <w:numFmt w:val="decimal"/>
      <w:lvlText w:val="%1)"/>
      <w:lvlJc w:val="left"/>
      <w:pPr>
        <w:ind w:left="502"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6C668D8"/>
    <w:multiLevelType w:val="hybridMultilevel"/>
    <w:tmpl w:val="C6FC6F2C"/>
    <w:lvl w:ilvl="0" w:tplc="07F23D5C">
      <w:start w:val="1"/>
      <w:numFmt w:val="decimal"/>
      <w:lvlText w:val="%1)"/>
      <w:lvlJc w:val="left"/>
      <w:pPr>
        <w:ind w:left="502"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9DE2000"/>
    <w:multiLevelType w:val="hybridMultilevel"/>
    <w:tmpl w:val="C6FC6F2C"/>
    <w:lvl w:ilvl="0" w:tplc="07F23D5C">
      <w:start w:val="1"/>
      <w:numFmt w:val="decimal"/>
      <w:lvlText w:val="%1)"/>
      <w:lvlJc w:val="left"/>
      <w:pPr>
        <w:ind w:left="502"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A810019"/>
    <w:multiLevelType w:val="singleLevel"/>
    <w:tmpl w:val="FFFFFFFF"/>
    <w:lvl w:ilvl="0">
      <w:start w:val="1"/>
      <w:numFmt w:val="bullet"/>
      <w:lvlText w:val="-"/>
      <w:legacy w:legacy="1" w:legacySpace="0" w:legacyIndent="360"/>
      <w:lvlJc w:val="left"/>
      <w:pPr>
        <w:ind w:left="1800" w:hanging="360"/>
      </w:pPr>
    </w:lvl>
  </w:abstractNum>
  <w:abstractNum w:abstractNumId="22">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4FB218D8"/>
    <w:multiLevelType w:val="hybridMultilevel"/>
    <w:tmpl w:val="15CCA0CE"/>
    <w:lvl w:ilvl="0" w:tplc="3A1A4A04">
      <w:start w:val="1"/>
      <w:numFmt w:val="bullet"/>
      <w:lvlText w:val="-"/>
      <w:lvlJc w:val="left"/>
      <w:pPr>
        <w:tabs>
          <w:tab w:val="num" w:pos="2291"/>
        </w:tabs>
        <w:ind w:left="2291" w:hanging="360"/>
      </w:pPr>
      <w:rPr>
        <w:rFonts w:ascii="Times New Roman" w:hAnsi="Times New Roman" w:cs="Times New Roman" w:hint="default"/>
      </w:rPr>
    </w:lvl>
    <w:lvl w:ilvl="1" w:tplc="04090001">
      <w:start w:val="1"/>
      <w:numFmt w:val="bullet"/>
      <w:lvlText w:val=""/>
      <w:lvlJc w:val="left"/>
      <w:pPr>
        <w:tabs>
          <w:tab w:val="num" w:pos="2291"/>
        </w:tabs>
        <w:ind w:left="2291" w:hanging="360"/>
      </w:pPr>
      <w:rPr>
        <w:rFonts w:ascii="Symbol" w:hAnsi="Symbol"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nsid w:val="50620B80"/>
    <w:multiLevelType w:val="hybridMultilevel"/>
    <w:tmpl w:val="AEA2F63C"/>
    <w:lvl w:ilvl="0" w:tplc="04080011">
      <w:start w:val="1"/>
      <w:numFmt w:val="decimal"/>
      <w:lvlText w:val="%1)"/>
      <w:lvlJc w:val="left"/>
      <w:pPr>
        <w:ind w:left="721" w:hanging="360"/>
      </w:pPr>
    </w:lvl>
    <w:lvl w:ilvl="1" w:tplc="04080019" w:tentative="1">
      <w:start w:val="1"/>
      <w:numFmt w:val="lowerLetter"/>
      <w:lvlText w:val="%2."/>
      <w:lvlJc w:val="left"/>
      <w:pPr>
        <w:ind w:left="1441" w:hanging="360"/>
      </w:pPr>
    </w:lvl>
    <w:lvl w:ilvl="2" w:tplc="0408001B" w:tentative="1">
      <w:start w:val="1"/>
      <w:numFmt w:val="lowerRoman"/>
      <w:lvlText w:val="%3."/>
      <w:lvlJc w:val="right"/>
      <w:pPr>
        <w:ind w:left="2161" w:hanging="180"/>
      </w:pPr>
    </w:lvl>
    <w:lvl w:ilvl="3" w:tplc="0408000F" w:tentative="1">
      <w:start w:val="1"/>
      <w:numFmt w:val="decimal"/>
      <w:lvlText w:val="%4."/>
      <w:lvlJc w:val="left"/>
      <w:pPr>
        <w:ind w:left="2881" w:hanging="360"/>
      </w:pPr>
    </w:lvl>
    <w:lvl w:ilvl="4" w:tplc="04080019" w:tentative="1">
      <w:start w:val="1"/>
      <w:numFmt w:val="lowerLetter"/>
      <w:lvlText w:val="%5."/>
      <w:lvlJc w:val="left"/>
      <w:pPr>
        <w:ind w:left="3601" w:hanging="360"/>
      </w:pPr>
    </w:lvl>
    <w:lvl w:ilvl="5" w:tplc="0408001B" w:tentative="1">
      <w:start w:val="1"/>
      <w:numFmt w:val="lowerRoman"/>
      <w:lvlText w:val="%6."/>
      <w:lvlJc w:val="right"/>
      <w:pPr>
        <w:ind w:left="4321" w:hanging="180"/>
      </w:pPr>
    </w:lvl>
    <w:lvl w:ilvl="6" w:tplc="0408000F" w:tentative="1">
      <w:start w:val="1"/>
      <w:numFmt w:val="decimal"/>
      <w:lvlText w:val="%7."/>
      <w:lvlJc w:val="left"/>
      <w:pPr>
        <w:ind w:left="5041" w:hanging="360"/>
      </w:pPr>
    </w:lvl>
    <w:lvl w:ilvl="7" w:tplc="04080019" w:tentative="1">
      <w:start w:val="1"/>
      <w:numFmt w:val="lowerLetter"/>
      <w:lvlText w:val="%8."/>
      <w:lvlJc w:val="left"/>
      <w:pPr>
        <w:ind w:left="5761" w:hanging="360"/>
      </w:pPr>
    </w:lvl>
    <w:lvl w:ilvl="8" w:tplc="0408001B" w:tentative="1">
      <w:start w:val="1"/>
      <w:numFmt w:val="lowerRoman"/>
      <w:lvlText w:val="%9."/>
      <w:lvlJc w:val="right"/>
      <w:pPr>
        <w:ind w:left="6481" w:hanging="180"/>
      </w:pPr>
    </w:lvl>
  </w:abstractNum>
  <w:abstractNum w:abstractNumId="25">
    <w:nsid w:val="537206BE"/>
    <w:multiLevelType w:val="hybridMultilevel"/>
    <w:tmpl w:val="94D8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0C4365"/>
    <w:multiLevelType w:val="singleLevel"/>
    <w:tmpl w:val="FFFFFFFF"/>
    <w:lvl w:ilvl="0">
      <w:start w:val="1"/>
      <w:numFmt w:val="bullet"/>
      <w:lvlText w:val="-"/>
      <w:legacy w:legacy="1" w:legacySpace="0" w:legacyIndent="360"/>
      <w:lvlJc w:val="left"/>
      <w:pPr>
        <w:ind w:left="1800" w:hanging="360"/>
      </w:pPr>
    </w:lvl>
  </w:abstractNum>
  <w:abstractNum w:abstractNumId="27">
    <w:nsid w:val="5795424A"/>
    <w:multiLevelType w:val="hybridMultilevel"/>
    <w:tmpl w:val="5290C37A"/>
    <w:lvl w:ilvl="0" w:tplc="953A6162">
      <w:start w:val="1"/>
      <w:numFmt w:val="decimal"/>
      <w:lvlText w:val="%1)"/>
      <w:lvlJc w:val="left"/>
      <w:pPr>
        <w:ind w:left="794" w:hanging="360"/>
      </w:pPr>
      <w:rPr>
        <w:b/>
      </w:rPr>
    </w:lvl>
    <w:lvl w:ilvl="1" w:tplc="04080019" w:tentative="1">
      <w:start w:val="1"/>
      <w:numFmt w:val="lowerLetter"/>
      <w:lvlText w:val="%2."/>
      <w:lvlJc w:val="left"/>
      <w:pPr>
        <w:ind w:left="1514" w:hanging="360"/>
      </w:pPr>
    </w:lvl>
    <w:lvl w:ilvl="2" w:tplc="0408001B" w:tentative="1">
      <w:start w:val="1"/>
      <w:numFmt w:val="lowerRoman"/>
      <w:lvlText w:val="%3."/>
      <w:lvlJc w:val="right"/>
      <w:pPr>
        <w:ind w:left="2234" w:hanging="180"/>
      </w:pPr>
    </w:lvl>
    <w:lvl w:ilvl="3" w:tplc="0408000F" w:tentative="1">
      <w:start w:val="1"/>
      <w:numFmt w:val="decimal"/>
      <w:lvlText w:val="%4."/>
      <w:lvlJc w:val="left"/>
      <w:pPr>
        <w:ind w:left="2954" w:hanging="360"/>
      </w:pPr>
    </w:lvl>
    <w:lvl w:ilvl="4" w:tplc="04080019" w:tentative="1">
      <w:start w:val="1"/>
      <w:numFmt w:val="lowerLetter"/>
      <w:lvlText w:val="%5."/>
      <w:lvlJc w:val="left"/>
      <w:pPr>
        <w:ind w:left="3674" w:hanging="360"/>
      </w:pPr>
    </w:lvl>
    <w:lvl w:ilvl="5" w:tplc="0408001B" w:tentative="1">
      <w:start w:val="1"/>
      <w:numFmt w:val="lowerRoman"/>
      <w:lvlText w:val="%6."/>
      <w:lvlJc w:val="right"/>
      <w:pPr>
        <w:ind w:left="4394" w:hanging="180"/>
      </w:pPr>
    </w:lvl>
    <w:lvl w:ilvl="6" w:tplc="0408000F" w:tentative="1">
      <w:start w:val="1"/>
      <w:numFmt w:val="decimal"/>
      <w:lvlText w:val="%7."/>
      <w:lvlJc w:val="left"/>
      <w:pPr>
        <w:ind w:left="5114" w:hanging="360"/>
      </w:pPr>
    </w:lvl>
    <w:lvl w:ilvl="7" w:tplc="04080019" w:tentative="1">
      <w:start w:val="1"/>
      <w:numFmt w:val="lowerLetter"/>
      <w:lvlText w:val="%8."/>
      <w:lvlJc w:val="left"/>
      <w:pPr>
        <w:ind w:left="5834" w:hanging="360"/>
      </w:pPr>
    </w:lvl>
    <w:lvl w:ilvl="8" w:tplc="0408001B" w:tentative="1">
      <w:start w:val="1"/>
      <w:numFmt w:val="lowerRoman"/>
      <w:lvlText w:val="%9."/>
      <w:lvlJc w:val="right"/>
      <w:pPr>
        <w:ind w:left="6554" w:hanging="180"/>
      </w:pPr>
    </w:lvl>
  </w:abstractNum>
  <w:abstractNum w:abstractNumId="28">
    <w:nsid w:val="5A81584C"/>
    <w:multiLevelType w:val="hybridMultilevel"/>
    <w:tmpl w:val="40C8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0">
    <w:nsid w:val="5E606381"/>
    <w:multiLevelType w:val="hybridMultilevel"/>
    <w:tmpl w:val="4056B83E"/>
    <w:lvl w:ilvl="0" w:tplc="D332ACF8">
      <w:start w:val="1"/>
      <w:numFmt w:val="bullet"/>
      <w:lvlText w:val="-"/>
      <w:lvlJc w:val="left"/>
      <w:pPr>
        <w:tabs>
          <w:tab w:val="num" w:pos="1440"/>
        </w:tabs>
        <w:ind w:left="1440" w:hanging="360"/>
      </w:pPr>
      <w:rPr>
        <w:rFonts w:ascii="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626A47AF"/>
    <w:multiLevelType w:val="hybridMultilevel"/>
    <w:tmpl w:val="0A5CC87C"/>
    <w:lvl w:ilvl="0" w:tplc="87EE52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F11423"/>
    <w:multiLevelType w:val="hybridMultilevel"/>
    <w:tmpl w:val="8CBE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4">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6">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85216C"/>
    <w:multiLevelType w:val="hybridMultilevel"/>
    <w:tmpl w:val="E62E1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646AC5"/>
    <w:multiLevelType w:val="hybridMultilevel"/>
    <w:tmpl w:val="F8848F1C"/>
    <w:lvl w:ilvl="0" w:tplc="072ED59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3B37037"/>
    <w:multiLevelType w:val="hybridMultilevel"/>
    <w:tmpl w:val="76B6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nsid w:val="7F2171F0"/>
    <w:multiLevelType w:val="hybridMultilevel"/>
    <w:tmpl w:val="AA367588"/>
    <w:lvl w:ilvl="0" w:tplc="953A6162">
      <w:start w:val="1"/>
      <w:numFmt w:val="decimal"/>
      <w:lvlText w:val="%1)"/>
      <w:lvlJc w:val="left"/>
      <w:pPr>
        <w:ind w:left="1222" w:hanging="360"/>
      </w:pPr>
      <w:rPr>
        <w:b/>
      </w:rPr>
    </w:lvl>
    <w:lvl w:ilvl="1" w:tplc="04080019" w:tentative="1">
      <w:start w:val="1"/>
      <w:numFmt w:val="lowerLetter"/>
      <w:lvlText w:val="%2."/>
      <w:lvlJc w:val="left"/>
      <w:pPr>
        <w:ind w:left="1942" w:hanging="360"/>
      </w:pPr>
    </w:lvl>
    <w:lvl w:ilvl="2" w:tplc="0408001B" w:tentative="1">
      <w:start w:val="1"/>
      <w:numFmt w:val="lowerRoman"/>
      <w:lvlText w:val="%3."/>
      <w:lvlJc w:val="right"/>
      <w:pPr>
        <w:ind w:left="2662" w:hanging="180"/>
      </w:pPr>
    </w:lvl>
    <w:lvl w:ilvl="3" w:tplc="0408000F" w:tentative="1">
      <w:start w:val="1"/>
      <w:numFmt w:val="decimal"/>
      <w:lvlText w:val="%4."/>
      <w:lvlJc w:val="left"/>
      <w:pPr>
        <w:ind w:left="3382" w:hanging="360"/>
      </w:pPr>
    </w:lvl>
    <w:lvl w:ilvl="4" w:tplc="04080019" w:tentative="1">
      <w:start w:val="1"/>
      <w:numFmt w:val="lowerLetter"/>
      <w:lvlText w:val="%5."/>
      <w:lvlJc w:val="left"/>
      <w:pPr>
        <w:ind w:left="4102" w:hanging="360"/>
      </w:pPr>
    </w:lvl>
    <w:lvl w:ilvl="5" w:tplc="0408001B" w:tentative="1">
      <w:start w:val="1"/>
      <w:numFmt w:val="lowerRoman"/>
      <w:lvlText w:val="%6."/>
      <w:lvlJc w:val="right"/>
      <w:pPr>
        <w:ind w:left="4822" w:hanging="180"/>
      </w:pPr>
    </w:lvl>
    <w:lvl w:ilvl="6" w:tplc="0408000F" w:tentative="1">
      <w:start w:val="1"/>
      <w:numFmt w:val="decimal"/>
      <w:lvlText w:val="%7."/>
      <w:lvlJc w:val="left"/>
      <w:pPr>
        <w:ind w:left="5542" w:hanging="360"/>
      </w:pPr>
    </w:lvl>
    <w:lvl w:ilvl="7" w:tplc="04080019" w:tentative="1">
      <w:start w:val="1"/>
      <w:numFmt w:val="lowerLetter"/>
      <w:lvlText w:val="%8."/>
      <w:lvlJc w:val="left"/>
      <w:pPr>
        <w:ind w:left="6262" w:hanging="360"/>
      </w:pPr>
    </w:lvl>
    <w:lvl w:ilvl="8" w:tplc="0408001B" w:tentative="1">
      <w:start w:val="1"/>
      <w:numFmt w:val="lowerRoman"/>
      <w:lvlText w:val="%9."/>
      <w:lvlJc w:val="right"/>
      <w:pPr>
        <w:ind w:left="6982" w:hanging="180"/>
      </w:pPr>
    </w:lvl>
  </w:abstractNum>
  <w:abstractNum w:abstractNumId="43">
    <w:nsid w:val="7FCC18E4"/>
    <w:multiLevelType w:val="hybridMultilevel"/>
    <w:tmpl w:val="457AADF4"/>
    <w:lvl w:ilvl="0" w:tplc="953A616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5"/>
  </w:num>
  <w:num w:numId="3">
    <w:abstractNumId w:val="20"/>
  </w:num>
  <w:num w:numId="4">
    <w:abstractNumId w:val="7"/>
  </w:num>
  <w:num w:numId="5">
    <w:abstractNumId w:val="27"/>
  </w:num>
  <w:num w:numId="6">
    <w:abstractNumId w:val="38"/>
  </w:num>
  <w:num w:numId="7">
    <w:abstractNumId w:val="23"/>
  </w:num>
  <w:num w:numId="8">
    <w:abstractNumId w:val="1"/>
  </w:num>
  <w:num w:numId="9">
    <w:abstractNumId w:val="17"/>
  </w:num>
  <w:num w:numId="10">
    <w:abstractNumId w:val="13"/>
  </w:num>
  <w:num w:numId="11">
    <w:abstractNumId w:val="30"/>
  </w:num>
  <w:num w:numId="12">
    <w:abstractNumId w:val="4"/>
  </w:num>
  <w:num w:numId="13">
    <w:abstractNumId w:val="40"/>
  </w:num>
  <w:num w:numId="14">
    <w:abstractNumId w:val="25"/>
  </w:num>
  <w:num w:numId="15">
    <w:abstractNumId w:val="8"/>
  </w:num>
  <w:num w:numId="16">
    <w:abstractNumId w:val="29"/>
  </w:num>
  <w:num w:numId="17">
    <w:abstractNumId w:val="0"/>
    <w:lvlOverride w:ilvl="0">
      <w:lvl w:ilvl="0">
        <w:start w:val="1"/>
        <w:numFmt w:val="bullet"/>
        <w:lvlText w:val="-"/>
        <w:legacy w:legacy="1" w:legacySpace="0" w:legacyIndent="360"/>
        <w:lvlJc w:val="left"/>
        <w:pPr>
          <w:ind w:left="360" w:hanging="360"/>
        </w:pPr>
      </w:lvl>
    </w:lvlOverride>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35"/>
  </w:num>
  <w:num w:numId="20">
    <w:abstractNumId w:val="34"/>
  </w:num>
  <w:num w:numId="21">
    <w:abstractNumId w:val="12"/>
  </w:num>
  <w:num w:numId="22">
    <w:abstractNumId w:val="26"/>
  </w:num>
  <w:num w:numId="23">
    <w:abstractNumId w:val="21"/>
  </w:num>
  <w:num w:numId="24">
    <w:abstractNumId w:val="9"/>
  </w:num>
  <w:num w:numId="25">
    <w:abstractNumId w:val="33"/>
  </w:num>
  <w:num w:numId="26">
    <w:abstractNumId w:val="2"/>
  </w:num>
  <w:num w:numId="27">
    <w:abstractNumId w:val="22"/>
  </w:num>
  <w:num w:numId="28">
    <w:abstractNumId w:val="41"/>
  </w:num>
  <w:num w:numId="29">
    <w:abstractNumId w:val="10"/>
  </w:num>
  <w:num w:numId="30">
    <w:abstractNumId w:val="14"/>
  </w:num>
  <w:num w:numId="31">
    <w:abstractNumId w:val="36"/>
  </w:num>
  <w:num w:numId="32">
    <w:abstractNumId w:val="15"/>
  </w:num>
  <w:num w:numId="33">
    <w:abstractNumId w:val="39"/>
  </w:num>
  <w:num w:numId="34">
    <w:abstractNumId w:val="31"/>
  </w:num>
  <w:num w:numId="35">
    <w:abstractNumId w:val="28"/>
  </w:num>
  <w:num w:numId="36">
    <w:abstractNumId w:val="16"/>
  </w:num>
  <w:num w:numId="37">
    <w:abstractNumId w:val="6"/>
  </w:num>
  <w:num w:numId="38">
    <w:abstractNumId w:val="32"/>
  </w:num>
  <w:num w:numId="39">
    <w:abstractNumId w:val="37"/>
  </w:num>
  <w:num w:numId="40">
    <w:abstractNumId w:val="11"/>
  </w:num>
  <w:num w:numId="41">
    <w:abstractNumId w:val="24"/>
  </w:num>
  <w:num w:numId="42">
    <w:abstractNumId w:val="43"/>
  </w:num>
  <w:num w:numId="43">
    <w:abstractNumId w:val="42"/>
  </w:num>
  <w:num w:numId="44">
    <w:abstractNumId w:val="18"/>
  </w:num>
  <w:num w:numId="4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A3D"/>
    <w:rsid w:val="00004980"/>
    <w:rsid w:val="00010043"/>
    <w:rsid w:val="00011793"/>
    <w:rsid w:val="00022B1A"/>
    <w:rsid w:val="0003034A"/>
    <w:rsid w:val="000433C0"/>
    <w:rsid w:val="00067674"/>
    <w:rsid w:val="00076F49"/>
    <w:rsid w:val="00077388"/>
    <w:rsid w:val="000831E4"/>
    <w:rsid w:val="000848B5"/>
    <w:rsid w:val="00084D59"/>
    <w:rsid w:val="000B44F0"/>
    <w:rsid w:val="000B4C15"/>
    <w:rsid w:val="000D6A1A"/>
    <w:rsid w:val="000E686D"/>
    <w:rsid w:val="000F66E4"/>
    <w:rsid w:val="00112887"/>
    <w:rsid w:val="0012476D"/>
    <w:rsid w:val="00124AD6"/>
    <w:rsid w:val="0012560D"/>
    <w:rsid w:val="00130DBC"/>
    <w:rsid w:val="0014287C"/>
    <w:rsid w:val="001609DE"/>
    <w:rsid w:val="001A04E8"/>
    <w:rsid w:val="001A2760"/>
    <w:rsid w:val="001A6617"/>
    <w:rsid w:val="001B268B"/>
    <w:rsid w:val="001B6934"/>
    <w:rsid w:val="001D31A1"/>
    <w:rsid w:val="001E2A59"/>
    <w:rsid w:val="001F33D7"/>
    <w:rsid w:val="001F79B7"/>
    <w:rsid w:val="001F7D8C"/>
    <w:rsid w:val="0020387B"/>
    <w:rsid w:val="002251AC"/>
    <w:rsid w:val="00230255"/>
    <w:rsid w:val="00234E46"/>
    <w:rsid w:val="00237787"/>
    <w:rsid w:val="002401E3"/>
    <w:rsid w:val="002512A9"/>
    <w:rsid w:val="002512EB"/>
    <w:rsid w:val="002549F2"/>
    <w:rsid w:val="00255129"/>
    <w:rsid w:val="00270148"/>
    <w:rsid w:val="00274E2B"/>
    <w:rsid w:val="002844FA"/>
    <w:rsid w:val="00287E14"/>
    <w:rsid w:val="00290D69"/>
    <w:rsid w:val="002A0C9F"/>
    <w:rsid w:val="002A3BF4"/>
    <w:rsid w:val="002A5BB3"/>
    <w:rsid w:val="002B2787"/>
    <w:rsid w:val="002B2E5D"/>
    <w:rsid w:val="002B796A"/>
    <w:rsid w:val="002C084E"/>
    <w:rsid w:val="002C3D36"/>
    <w:rsid w:val="002D483F"/>
    <w:rsid w:val="002E4195"/>
    <w:rsid w:val="002F0DAE"/>
    <w:rsid w:val="003062B3"/>
    <w:rsid w:val="00325F0F"/>
    <w:rsid w:val="00330416"/>
    <w:rsid w:val="00331E87"/>
    <w:rsid w:val="00336205"/>
    <w:rsid w:val="00343256"/>
    <w:rsid w:val="00346E42"/>
    <w:rsid w:val="00350E58"/>
    <w:rsid w:val="00352C82"/>
    <w:rsid w:val="003702F6"/>
    <w:rsid w:val="003769BA"/>
    <w:rsid w:val="00380331"/>
    <w:rsid w:val="00396FD1"/>
    <w:rsid w:val="003A1EF1"/>
    <w:rsid w:val="003B0E13"/>
    <w:rsid w:val="003B2391"/>
    <w:rsid w:val="003B4742"/>
    <w:rsid w:val="003C6CBF"/>
    <w:rsid w:val="003D4595"/>
    <w:rsid w:val="003D7B54"/>
    <w:rsid w:val="003E46FE"/>
    <w:rsid w:val="003E5A55"/>
    <w:rsid w:val="00401211"/>
    <w:rsid w:val="0040365D"/>
    <w:rsid w:val="0040540F"/>
    <w:rsid w:val="00426206"/>
    <w:rsid w:val="004271BC"/>
    <w:rsid w:val="00456614"/>
    <w:rsid w:val="00465ADC"/>
    <w:rsid w:val="0047099B"/>
    <w:rsid w:val="00474CF6"/>
    <w:rsid w:val="00484C4F"/>
    <w:rsid w:val="004B7E10"/>
    <w:rsid w:val="004D3A0C"/>
    <w:rsid w:val="004E1332"/>
    <w:rsid w:val="004E13A9"/>
    <w:rsid w:val="004E659F"/>
    <w:rsid w:val="00500ECF"/>
    <w:rsid w:val="0051165F"/>
    <w:rsid w:val="00522752"/>
    <w:rsid w:val="00525F04"/>
    <w:rsid w:val="005315E7"/>
    <w:rsid w:val="00531F5B"/>
    <w:rsid w:val="005343AA"/>
    <w:rsid w:val="00553748"/>
    <w:rsid w:val="0055418A"/>
    <w:rsid w:val="00554F1F"/>
    <w:rsid w:val="00566E81"/>
    <w:rsid w:val="00570987"/>
    <w:rsid w:val="00572A3D"/>
    <w:rsid w:val="00577130"/>
    <w:rsid w:val="00582554"/>
    <w:rsid w:val="005850E4"/>
    <w:rsid w:val="005866BD"/>
    <w:rsid w:val="00597568"/>
    <w:rsid w:val="005A2995"/>
    <w:rsid w:val="005B283A"/>
    <w:rsid w:val="005B505D"/>
    <w:rsid w:val="005C28F7"/>
    <w:rsid w:val="005C6DFC"/>
    <w:rsid w:val="005D659F"/>
    <w:rsid w:val="005E786D"/>
    <w:rsid w:val="00617272"/>
    <w:rsid w:val="00620AE8"/>
    <w:rsid w:val="006311F4"/>
    <w:rsid w:val="006337DE"/>
    <w:rsid w:val="00643B70"/>
    <w:rsid w:val="006448CF"/>
    <w:rsid w:val="006465A1"/>
    <w:rsid w:val="006937FC"/>
    <w:rsid w:val="006966A8"/>
    <w:rsid w:val="00697D45"/>
    <w:rsid w:val="006B1DB9"/>
    <w:rsid w:val="006B1E31"/>
    <w:rsid w:val="006C45E9"/>
    <w:rsid w:val="006C6D33"/>
    <w:rsid w:val="006D1CEE"/>
    <w:rsid w:val="006E360B"/>
    <w:rsid w:val="006F34FC"/>
    <w:rsid w:val="006F4259"/>
    <w:rsid w:val="006F4351"/>
    <w:rsid w:val="006F6737"/>
    <w:rsid w:val="007068FE"/>
    <w:rsid w:val="00724A6D"/>
    <w:rsid w:val="0072578D"/>
    <w:rsid w:val="00726101"/>
    <w:rsid w:val="00756290"/>
    <w:rsid w:val="007605CC"/>
    <w:rsid w:val="00765006"/>
    <w:rsid w:val="00766268"/>
    <w:rsid w:val="00767713"/>
    <w:rsid w:val="00780AE0"/>
    <w:rsid w:val="00782E3D"/>
    <w:rsid w:val="007873BB"/>
    <w:rsid w:val="00797D43"/>
    <w:rsid w:val="007A13A8"/>
    <w:rsid w:val="007A20F8"/>
    <w:rsid w:val="007A2135"/>
    <w:rsid w:val="007B2FDE"/>
    <w:rsid w:val="007B6C46"/>
    <w:rsid w:val="007C05DD"/>
    <w:rsid w:val="007C37F9"/>
    <w:rsid w:val="007C769E"/>
    <w:rsid w:val="007D2C61"/>
    <w:rsid w:val="007F0618"/>
    <w:rsid w:val="00814A1D"/>
    <w:rsid w:val="008164FC"/>
    <w:rsid w:val="00822C47"/>
    <w:rsid w:val="00824753"/>
    <w:rsid w:val="00824C0F"/>
    <w:rsid w:val="008264DB"/>
    <w:rsid w:val="00826E7B"/>
    <w:rsid w:val="0083612F"/>
    <w:rsid w:val="008516FB"/>
    <w:rsid w:val="008542F4"/>
    <w:rsid w:val="00861535"/>
    <w:rsid w:val="00885A85"/>
    <w:rsid w:val="00894545"/>
    <w:rsid w:val="008A18F7"/>
    <w:rsid w:val="008B281E"/>
    <w:rsid w:val="008B6330"/>
    <w:rsid w:val="008D0DD2"/>
    <w:rsid w:val="008D2B60"/>
    <w:rsid w:val="008D2D62"/>
    <w:rsid w:val="008E080D"/>
    <w:rsid w:val="008E08D7"/>
    <w:rsid w:val="008E3593"/>
    <w:rsid w:val="009060E9"/>
    <w:rsid w:val="0090643A"/>
    <w:rsid w:val="00923398"/>
    <w:rsid w:val="00924E17"/>
    <w:rsid w:val="00932B64"/>
    <w:rsid w:val="00945A41"/>
    <w:rsid w:val="0094659C"/>
    <w:rsid w:val="009550EE"/>
    <w:rsid w:val="00955B73"/>
    <w:rsid w:val="00963624"/>
    <w:rsid w:val="00971F76"/>
    <w:rsid w:val="009809A4"/>
    <w:rsid w:val="009A6563"/>
    <w:rsid w:val="009A7F59"/>
    <w:rsid w:val="009B5642"/>
    <w:rsid w:val="009C1287"/>
    <w:rsid w:val="009C5FD4"/>
    <w:rsid w:val="009D6EDE"/>
    <w:rsid w:val="009F3466"/>
    <w:rsid w:val="00A154BB"/>
    <w:rsid w:val="00A26167"/>
    <w:rsid w:val="00A31EDE"/>
    <w:rsid w:val="00A4735D"/>
    <w:rsid w:val="00A7058A"/>
    <w:rsid w:val="00A712DA"/>
    <w:rsid w:val="00A7305D"/>
    <w:rsid w:val="00A94984"/>
    <w:rsid w:val="00A95516"/>
    <w:rsid w:val="00AA0682"/>
    <w:rsid w:val="00AA4A6D"/>
    <w:rsid w:val="00AB21CE"/>
    <w:rsid w:val="00AC0D75"/>
    <w:rsid w:val="00AD1774"/>
    <w:rsid w:val="00AD2C27"/>
    <w:rsid w:val="00AD67BF"/>
    <w:rsid w:val="00AF0B5F"/>
    <w:rsid w:val="00B011D6"/>
    <w:rsid w:val="00B034DE"/>
    <w:rsid w:val="00B04A4C"/>
    <w:rsid w:val="00B07DC1"/>
    <w:rsid w:val="00B52E67"/>
    <w:rsid w:val="00B60F6A"/>
    <w:rsid w:val="00B6225B"/>
    <w:rsid w:val="00B74D16"/>
    <w:rsid w:val="00B76CFF"/>
    <w:rsid w:val="00B8418A"/>
    <w:rsid w:val="00B870DA"/>
    <w:rsid w:val="00B90A23"/>
    <w:rsid w:val="00B93F27"/>
    <w:rsid w:val="00B976D6"/>
    <w:rsid w:val="00BA2159"/>
    <w:rsid w:val="00BA30BF"/>
    <w:rsid w:val="00BA4C27"/>
    <w:rsid w:val="00BB298D"/>
    <w:rsid w:val="00BB6FB0"/>
    <w:rsid w:val="00BC1E23"/>
    <w:rsid w:val="00BC4A31"/>
    <w:rsid w:val="00BC5C19"/>
    <w:rsid w:val="00BC637E"/>
    <w:rsid w:val="00BE1A29"/>
    <w:rsid w:val="00BF1D06"/>
    <w:rsid w:val="00C004E8"/>
    <w:rsid w:val="00C01EE1"/>
    <w:rsid w:val="00C104D6"/>
    <w:rsid w:val="00C128B8"/>
    <w:rsid w:val="00C20E72"/>
    <w:rsid w:val="00C2283E"/>
    <w:rsid w:val="00C23A6D"/>
    <w:rsid w:val="00C27B90"/>
    <w:rsid w:val="00C322ED"/>
    <w:rsid w:val="00C32D2D"/>
    <w:rsid w:val="00C348A0"/>
    <w:rsid w:val="00C4546D"/>
    <w:rsid w:val="00C5218B"/>
    <w:rsid w:val="00C56924"/>
    <w:rsid w:val="00C6035A"/>
    <w:rsid w:val="00C778C5"/>
    <w:rsid w:val="00C81F56"/>
    <w:rsid w:val="00C853D1"/>
    <w:rsid w:val="00C87303"/>
    <w:rsid w:val="00C940D9"/>
    <w:rsid w:val="00C960FA"/>
    <w:rsid w:val="00C96474"/>
    <w:rsid w:val="00CA6A3E"/>
    <w:rsid w:val="00CB2BF2"/>
    <w:rsid w:val="00CC1334"/>
    <w:rsid w:val="00CC4B51"/>
    <w:rsid w:val="00CE3C19"/>
    <w:rsid w:val="00CE659A"/>
    <w:rsid w:val="00D01D11"/>
    <w:rsid w:val="00D05147"/>
    <w:rsid w:val="00D10A1B"/>
    <w:rsid w:val="00D12993"/>
    <w:rsid w:val="00D20949"/>
    <w:rsid w:val="00D3381A"/>
    <w:rsid w:val="00D371E5"/>
    <w:rsid w:val="00D5743E"/>
    <w:rsid w:val="00D630D2"/>
    <w:rsid w:val="00D7052B"/>
    <w:rsid w:val="00D86CCE"/>
    <w:rsid w:val="00D90DC2"/>
    <w:rsid w:val="00D9317E"/>
    <w:rsid w:val="00D947DB"/>
    <w:rsid w:val="00DA7FD8"/>
    <w:rsid w:val="00DC75E0"/>
    <w:rsid w:val="00DD2939"/>
    <w:rsid w:val="00DE5434"/>
    <w:rsid w:val="00E02426"/>
    <w:rsid w:val="00E147EB"/>
    <w:rsid w:val="00E15FBB"/>
    <w:rsid w:val="00E16C94"/>
    <w:rsid w:val="00E20E69"/>
    <w:rsid w:val="00E26583"/>
    <w:rsid w:val="00E26752"/>
    <w:rsid w:val="00E33BCC"/>
    <w:rsid w:val="00E35291"/>
    <w:rsid w:val="00E431EB"/>
    <w:rsid w:val="00E67081"/>
    <w:rsid w:val="00E77723"/>
    <w:rsid w:val="00E82B5B"/>
    <w:rsid w:val="00E860B7"/>
    <w:rsid w:val="00EA2E8F"/>
    <w:rsid w:val="00EC600D"/>
    <w:rsid w:val="00EC75F6"/>
    <w:rsid w:val="00ED0C18"/>
    <w:rsid w:val="00EE2BBB"/>
    <w:rsid w:val="00EE4554"/>
    <w:rsid w:val="00EF4BDD"/>
    <w:rsid w:val="00F041D1"/>
    <w:rsid w:val="00F17A65"/>
    <w:rsid w:val="00F31ABC"/>
    <w:rsid w:val="00F31B28"/>
    <w:rsid w:val="00F43862"/>
    <w:rsid w:val="00F47BEB"/>
    <w:rsid w:val="00F664A5"/>
    <w:rsid w:val="00F70B1A"/>
    <w:rsid w:val="00F83ABC"/>
    <w:rsid w:val="00F91062"/>
    <w:rsid w:val="00F9450D"/>
    <w:rsid w:val="00FA4A45"/>
    <w:rsid w:val="00FA62B8"/>
    <w:rsid w:val="00FB3C3B"/>
    <w:rsid w:val="00FC1306"/>
    <w:rsid w:val="00FF59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211"/>
    <w:rPr>
      <w:rFonts w:ascii="Times New Roman" w:eastAsia="Times New Roman" w:hAnsi="Times New Roman"/>
      <w:sz w:val="24"/>
      <w:szCs w:val="24"/>
    </w:rPr>
  </w:style>
  <w:style w:type="paragraph" w:styleId="1">
    <w:name w:val="heading 1"/>
    <w:basedOn w:val="a"/>
    <w:next w:val="a"/>
    <w:link w:val="1Char"/>
    <w:qFormat/>
    <w:rsid w:val="009A7F59"/>
    <w:pPr>
      <w:keepNext/>
      <w:widowControl w:val="0"/>
      <w:jc w:val="center"/>
      <w:outlineLvl w:val="0"/>
    </w:pPr>
    <w:rPr>
      <w:b/>
      <w:sz w:val="22"/>
      <w:szCs w:val="20"/>
      <w:lang w:eastAsia="en-US"/>
    </w:rPr>
  </w:style>
  <w:style w:type="paragraph" w:styleId="2">
    <w:name w:val="heading 2"/>
    <w:basedOn w:val="a"/>
    <w:next w:val="a"/>
    <w:link w:val="2Char"/>
    <w:qFormat/>
    <w:rsid w:val="009A7F59"/>
    <w:pPr>
      <w:keepNext/>
      <w:widowControl w:val="0"/>
      <w:outlineLvl w:val="1"/>
    </w:pPr>
    <w:rPr>
      <w:b/>
      <w:sz w:val="22"/>
      <w:szCs w:val="20"/>
      <w:lang w:eastAsia="en-US"/>
    </w:rPr>
  </w:style>
  <w:style w:type="paragraph" w:styleId="5">
    <w:name w:val="heading 5"/>
    <w:basedOn w:val="a"/>
    <w:next w:val="a"/>
    <w:link w:val="5Char"/>
    <w:qFormat/>
    <w:rsid w:val="009A7F59"/>
    <w:pPr>
      <w:widowControl w:val="0"/>
      <w:spacing w:before="240" w:after="60"/>
      <w:outlineLvl w:val="4"/>
    </w:pPr>
    <w:rPr>
      <w:b/>
      <w:bCs/>
      <w:i/>
      <w:iCs/>
      <w:sz w:val="26"/>
      <w:szCs w:val="26"/>
      <w:lang w:eastAsia="en-US"/>
    </w:rPr>
  </w:style>
  <w:style w:type="paragraph" w:styleId="6">
    <w:name w:val="heading 6"/>
    <w:basedOn w:val="a"/>
    <w:next w:val="a"/>
    <w:link w:val="6Char"/>
    <w:qFormat/>
    <w:rsid w:val="009A7F59"/>
    <w:pPr>
      <w:keepNext/>
      <w:widowControl w:val="0"/>
      <w:tabs>
        <w:tab w:val="left" w:pos="-720"/>
        <w:tab w:val="left" w:pos="567"/>
        <w:tab w:val="left" w:pos="4536"/>
      </w:tabs>
      <w:suppressAutoHyphens/>
      <w:spacing w:line="-260" w:lineRule="auto"/>
      <w:outlineLvl w:val="5"/>
    </w:pPr>
    <w:rPr>
      <w:i/>
      <w:sz w:val="22"/>
      <w:szCs w:val="20"/>
      <w:lang w:val="en-GB" w:eastAsia="en-US"/>
    </w:rPr>
  </w:style>
  <w:style w:type="paragraph" w:styleId="7">
    <w:name w:val="heading 7"/>
    <w:basedOn w:val="a"/>
    <w:next w:val="a"/>
    <w:link w:val="7Char"/>
    <w:qFormat/>
    <w:rsid w:val="009A7F59"/>
    <w:pPr>
      <w:keepNext/>
      <w:widowControl w:val="0"/>
      <w:tabs>
        <w:tab w:val="left" w:pos="-720"/>
        <w:tab w:val="left" w:pos="567"/>
        <w:tab w:val="left" w:pos="4536"/>
      </w:tabs>
      <w:suppressAutoHyphens/>
      <w:spacing w:line="-260" w:lineRule="auto"/>
      <w:jc w:val="both"/>
      <w:outlineLvl w:val="6"/>
    </w:pPr>
    <w:rPr>
      <w:i/>
      <w:sz w:val="22"/>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A3D"/>
    <w:pPr>
      <w:ind w:left="720"/>
      <w:contextualSpacing/>
    </w:pPr>
  </w:style>
  <w:style w:type="table" w:styleId="a4">
    <w:name w:val="Table Grid"/>
    <w:basedOn w:val="a1"/>
    <w:uiPriority w:val="59"/>
    <w:rsid w:val="00BA21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FISPCNormal">
    <w:name w:val="LA_FI_SPC_Normal"/>
    <w:basedOn w:val="a"/>
    <w:rsid w:val="00570987"/>
    <w:pPr>
      <w:tabs>
        <w:tab w:val="left" w:pos="567"/>
      </w:tabs>
      <w:ind w:left="567"/>
    </w:pPr>
    <w:rPr>
      <w:szCs w:val="20"/>
      <w:lang w:val="en-GB" w:eastAsia="en-US"/>
    </w:rPr>
  </w:style>
  <w:style w:type="character" w:customStyle="1" w:styleId="1Char">
    <w:name w:val="Επικεφαλίδα 1 Char"/>
    <w:basedOn w:val="a0"/>
    <w:link w:val="1"/>
    <w:rsid w:val="009A7F59"/>
    <w:rPr>
      <w:rFonts w:ascii="Times New Roman" w:eastAsia="Times New Roman" w:hAnsi="Times New Roman"/>
      <w:b/>
      <w:sz w:val="22"/>
      <w:lang w:eastAsia="en-US"/>
    </w:rPr>
  </w:style>
  <w:style w:type="character" w:customStyle="1" w:styleId="2Char">
    <w:name w:val="Επικεφαλίδα 2 Char"/>
    <w:basedOn w:val="a0"/>
    <w:link w:val="2"/>
    <w:rsid w:val="009A7F59"/>
    <w:rPr>
      <w:rFonts w:ascii="Times New Roman" w:eastAsia="Times New Roman" w:hAnsi="Times New Roman"/>
      <w:b/>
      <w:sz w:val="22"/>
      <w:lang w:eastAsia="en-US"/>
    </w:rPr>
  </w:style>
  <w:style w:type="character" w:customStyle="1" w:styleId="5Char">
    <w:name w:val="Επικεφαλίδα 5 Char"/>
    <w:basedOn w:val="a0"/>
    <w:link w:val="5"/>
    <w:rsid w:val="009A7F59"/>
    <w:rPr>
      <w:rFonts w:ascii="Times New Roman" w:eastAsia="Times New Roman" w:hAnsi="Times New Roman"/>
      <w:b/>
      <w:bCs/>
      <w:i/>
      <w:iCs/>
      <w:sz w:val="26"/>
      <w:szCs w:val="26"/>
      <w:lang w:eastAsia="en-US"/>
    </w:rPr>
  </w:style>
  <w:style w:type="character" w:customStyle="1" w:styleId="6Char">
    <w:name w:val="Επικεφαλίδα 6 Char"/>
    <w:basedOn w:val="a0"/>
    <w:link w:val="6"/>
    <w:rsid w:val="009A7F59"/>
    <w:rPr>
      <w:rFonts w:ascii="Times New Roman" w:eastAsia="Times New Roman" w:hAnsi="Times New Roman"/>
      <w:i/>
      <w:sz w:val="22"/>
      <w:lang w:val="en-GB" w:eastAsia="en-US"/>
    </w:rPr>
  </w:style>
  <w:style w:type="character" w:customStyle="1" w:styleId="7Char">
    <w:name w:val="Επικεφαλίδα 7 Char"/>
    <w:basedOn w:val="a0"/>
    <w:link w:val="7"/>
    <w:rsid w:val="009A7F59"/>
    <w:rPr>
      <w:rFonts w:ascii="Times New Roman" w:eastAsia="Times New Roman" w:hAnsi="Times New Roman"/>
      <w:i/>
      <w:sz w:val="22"/>
      <w:lang w:val="en-GB" w:eastAsia="en-US"/>
    </w:rPr>
  </w:style>
  <w:style w:type="numbering" w:customStyle="1" w:styleId="10">
    <w:name w:val="Χωρίς λίστα1"/>
    <w:next w:val="a2"/>
    <w:uiPriority w:val="99"/>
    <w:semiHidden/>
    <w:unhideWhenUsed/>
    <w:rsid w:val="009A7F59"/>
  </w:style>
  <w:style w:type="paragraph" w:styleId="a5">
    <w:name w:val="header"/>
    <w:basedOn w:val="a"/>
    <w:link w:val="Char"/>
    <w:rsid w:val="009A7F59"/>
    <w:pPr>
      <w:widowControl w:val="0"/>
      <w:tabs>
        <w:tab w:val="center" w:pos="4153"/>
        <w:tab w:val="right" w:pos="8306"/>
      </w:tabs>
    </w:pPr>
    <w:rPr>
      <w:sz w:val="22"/>
      <w:szCs w:val="20"/>
      <w:lang w:eastAsia="en-US"/>
    </w:rPr>
  </w:style>
  <w:style w:type="character" w:customStyle="1" w:styleId="Char">
    <w:name w:val="Κεφαλίδα Char"/>
    <w:basedOn w:val="a0"/>
    <w:link w:val="a5"/>
    <w:rsid w:val="009A7F59"/>
    <w:rPr>
      <w:rFonts w:ascii="Times New Roman" w:eastAsia="Times New Roman" w:hAnsi="Times New Roman"/>
      <w:sz w:val="22"/>
      <w:lang w:eastAsia="en-US"/>
    </w:rPr>
  </w:style>
  <w:style w:type="paragraph" w:styleId="a6">
    <w:name w:val="footer"/>
    <w:basedOn w:val="a"/>
    <w:link w:val="Char0"/>
    <w:rsid w:val="009A7F59"/>
    <w:pPr>
      <w:widowControl w:val="0"/>
      <w:tabs>
        <w:tab w:val="center" w:pos="4153"/>
        <w:tab w:val="right" w:pos="8306"/>
      </w:tabs>
    </w:pPr>
    <w:rPr>
      <w:sz w:val="22"/>
      <w:szCs w:val="20"/>
      <w:lang w:eastAsia="en-US"/>
    </w:rPr>
  </w:style>
  <w:style w:type="character" w:customStyle="1" w:styleId="Char0">
    <w:name w:val="Υποσέλιδο Char"/>
    <w:basedOn w:val="a0"/>
    <w:link w:val="a6"/>
    <w:rsid w:val="009A7F59"/>
    <w:rPr>
      <w:rFonts w:ascii="Times New Roman" w:eastAsia="Times New Roman" w:hAnsi="Times New Roman"/>
      <w:sz w:val="22"/>
      <w:lang w:eastAsia="en-US"/>
    </w:rPr>
  </w:style>
  <w:style w:type="character" w:styleId="a7">
    <w:name w:val="page number"/>
    <w:basedOn w:val="a0"/>
    <w:rsid w:val="009A7F59"/>
  </w:style>
  <w:style w:type="character" w:styleId="-">
    <w:name w:val="Hyperlink"/>
    <w:basedOn w:val="a0"/>
    <w:uiPriority w:val="99"/>
    <w:rsid w:val="009A7F59"/>
    <w:rPr>
      <w:color w:val="0000FF"/>
      <w:u w:val="single"/>
    </w:rPr>
  </w:style>
  <w:style w:type="paragraph" w:styleId="a8">
    <w:name w:val="Body Text"/>
    <w:basedOn w:val="a"/>
    <w:link w:val="Char1"/>
    <w:rsid w:val="009A7F59"/>
    <w:pPr>
      <w:widowControl w:val="0"/>
      <w:jc w:val="center"/>
    </w:pPr>
    <w:rPr>
      <w:sz w:val="22"/>
      <w:szCs w:val="20"/>
      <w:lang w:eastAsia="en-US"/>
    </w:rPr>
  </w:style>
  <w:style w:type="character" w:customStyle="1" w:styleId="Char1">
    <w:name w:val="Σώμα κειμένου Char"/>
    <w:basedOn w:val="a0"/>
    <w:link w:val="a8"/>
    <w:rsid w:val="009A7F59"/>
    <w:rPr>
      <w:rFonts w:ascii="Times New Roman" w:eastAsia="Times New Roman" w:hAnsi="Times New Roman"/>
      <w:sz w:val="22"/>
      <w:lang w:eastAsia="en-US"/>
    </w:rPr>
  </w:style>
  <w:style w:type="paragraph" w:styleId="20">
    <w:name w:val="Body Text 2"/>
    <w:basedOn w:val="a"/>
    <w:link w:val="2Char0"/>
    <w:rsid w:val="009A7F59"/>
    <w:pPr>
      <w:widowControl w:val="0"/>
    </w:pPr>
    <w:rPr>
      <w:color w:val="FF0000"/>
      <w:sz w:val="22"/>
      <w:szCs w:val="20"/>
      <w:lang w:eastAsia="en-US"/>
    </w:rPr>
  </w:style>
  <w:style w:type="character" w:customStyle="1" w:styleId="2Char0">
    <w:name w:val="Σώμα κείμενου 2 Char"/>
    <w:basedOn w:val="a0"/>
    <w:link w:val="20"/>
    <w:rsid w:val="009A7F59"/>
    <w:rPr>
      <w:rFonts w:ascii="Times New Roman" w:eastAsia="Times New Roman" w:hAnsi="Times New Roman"/>
      <w:color w:val="FF0000"/>
      <w:sz w:val="22"/>
      <w:lang w:eastAsia="en-US"/>
    </w:rPr>
  </w:style>
  <w:style w:type="paragraph" w:customStyle="1" w:styleId="EMEAEnBodyText">
    <w:name w:val="EMEA En Body Text"/>
    <w:basedOn w:val="a"/>
    <w:rsid w:val="009A7F59"/>
    <w:pPr>
      <w:spacing w:before="120" w:after="120"/>
      <w:jc w:val="both"/>
    </w:pPr>
    <w:rPr>
      <w:sz w:val="22"/>
      <w:szCs w:val="20"/>
      <w:lang w:val="en-US" w:eastAsia="en-US"/>
    </w:rPr>
  </w:style>
  <w:style w:type="paragraph" w:styleId="a9">
    <w:name w:val="Balloon Text"/>
    <w:basedOn w:val="a"/>
    <w:link w:val="Char2"/>
    <w:semiHidden/>
    <w:rsid w:val="009A7F59"/>
    <w:pPr>
      <w:widowControl w:val="0"/>
    </w:pPr>
    <w:rPr>
      <w:rFonts w:ascii="Tahoma" w:hAnsi="Tahoma" w:cs="Tahoma"/>
      <w:sz w:val="16"/>
      <w:szCs w:val="16"/>
      <w:lang w:eastAsia="en-US"/>
    </w:rPr>
  </w:style>
  <w:style w:type="character" w:customStyle="1" w:styleId="Char2">
    <w:name w:val="Κείμενο πλαισίου Char"/>
    <w:basedOn w:val="a0"/>
    <w:link w:val="a9"/>
    <w:semiHidden/>
    <w:rsid w:val="009A7F59"/>
    <w:rPr>
      <w:rFonts w:ascii="Tahoma" w:eastAsia="Times New Roman" w:hAnsi="Tahoma" w:cs="Tahoma"/>
      <w:sz w:val="16"/>
      <w:szCs w:val="16"/>
      <w:lang w:eastAsia="en-US"/>
    </w:rPr>
  </w:style>
  <w:style w:type="paragraph" w:styleId="aa">
    <w:name w:val="footnote text"/>
    <w:basedOn w:val="a"/>
    <w:link w:val="Char3"/>
    <w:semiHidden/>
    <w:rsid w:val="009A7F59"/>
    <w:rPr>
      <w:rFonts w:ascii="Tahoma" w:hAnsi="Tahoma"/>
      <w:kern w:val="28"/>
      <w:sz w:val="28"/>
      <w:szCs w:val="20"/>
    </w:rPr>
  </w:style>
  <w:style w:type="character" w:customStyle="1" w:styleId="Char3">
    <w:name w:val="Κείμενο υποσημείωσης Char"/>
    <w:basedOn w:val="a0"/>
    <w:link w:val="aa"/>
    <w:semiHidden/>
    <w:rsid w:val="009A7F59"/>
    <w:rPr>
      <w:rFonts w:ascii="Tahoma" w:eastAsia="Times New Roman" w:hAnsi="Tahoma"/>
      <w:kern w:val="28"/>
      <w:sz w:val="28"/>
    </w:rPr>
  </w:style>
  <w:style w:type="paragraph" w:customStyle="1" w:styleId="LARev1stpage">
    <w:name w:val="LA_Rev_1st_page"/>
    <w:basedOn w:val="a"/>
    <w:rsid w:val="009A7F59"/>
    <w:rPr>
      <w:iCs/>
      <w:szCs w:val="20"/>
      <w:lang w:val="en-GB" w:eastAsia="en-US"/>
    </w:rPr>
  </w:style>
  <w:style w:type="character" w:styleId="ab">
    <w:name w:val="annotation reference"/>
    <w:basedOn w:val="a0"/>
    <w:semiHidden/>
    <w:rsid w:val="009A7F59"/>
    <w:rPr>
      <w:sz w:val="16"/>
      <w:szCs w:val="16"/>
    </w:rPr>
  </w:style>
  <w:style w:type="paragraph" w:styleId="ac">
    <w:name w:val="annotation text"/>
    <w:basedOn w:val="a"/>
    <w:link w:val="Char4"/>
    <w:semiHidden/>
    <w:rsid w:val="009A7F59"/>
    <w:pPr>
      <w:widowControl w:val="0"/>
    </w:pPr>
    <w:rPr>
      <w:sz w:val="20"/>
      <w:szCs w:val="20"/>
      <w:lang w:eastAsia="en-US"/>
    </w:rPr>
  </w:style>
  <w:style w:type="character" w:customStyle="1" w:styleId="Char4">
    <w:name w:val="Κείμενο σχολίου Char"/>
    <w:basedOn w:val="a0"/>
    <w:link w:val="ac"/>
    <w:semiHidden/>
    <w:rsid w:val="009A7F59"/>
    <w:rPr>
      <w:rFonts w:ascii="Times New Roman" w:eastAsia="Times New Roman" w:hAnsi="Times New Roman"/>
      <w:lang w:eastAsia="en-US"/>
    </w:rPr>
  </w:style>
  <w:style w:type="paragraph" w:styleId="ad">
    <w:name w:val="annotation subject"/>
    <w:basedOn w:val="ac"/>
    <w:next w:val="ac"/>
    <w:link w:val="Char5"/>
    <w:semiHidden/>
    <w:rsid w:val="009A7F59"/>
    <w:rPr>
      <w:b/>
      <w:bCs/>
    </w:rPr>
  </w:style>
  <w:style w:type="character" w:customStyle="1" w:styleId="Char5">
    <w:name w:val="Θέμα σχολίου Char"/>
    <w:basedOn w:val="Char4"/>
    <w:link w:val="ad"/>
    <w:semiHidden/>
    <w:rsid w:val="009A7F59"/>
    <w:rPr>
      <w:rFonts w:ascii="Times New Roman" w:eastAsia="Times New Roman" w:hAnsi="Times New Roman"/>
      <w:b/>
      <w:bCs/>
      <w:lang w:eastAsia="en-US"/>
    </w:rPr>
  </w:style>
  <w:style w:type="paragraph" w:styleId="ae">
    <w:name w:val="Document Map"/>
    <w:basedOn w:val="a"/>
    <w:link w:val="Char6"/>
    <w:semiHidden/>
    <w:rsid w:val="009A7F59"/>
    <w:pPr>
      <w:widowControl w:val="0"/>
      <w:shd w:val="clear" w:color="auto" w:fill="000080"/>
    </w:pPr>
    <w:rPr>
      <w:rFonts w:ascii="Tahoma" w:hAnsi="Tahoma" w:cs="Tahoma"/>
      <w:sz w:val="20"/>
      <w:szCs w:val="20"/>
      <w:lang w:eastAsia="en-US"/>
    </w:rPr>
  </w:style>
  <w:style w:type="character" w:customStyle="1" w:styleId="Char6">
    <w:name w:val="Χάρτης εγγράφου Char"/>
    <w:basedOn w:val="a0"/>
    <w:link w:val="ae"/>
    <w:semiHidden/>
    <w:rsid w:val="009A7F59"/>
    <w:rPr>
      <w:rFonts w:ascii="Tahoma" w:eastAsia="Times New Roman" w:hAnsi="Tahoma" w:cs="Tahoma"/>
      <w:shd w:val="clear" w:color="auto" w:fill="000080"/>
      <w:lang w:eastAsia="en-US"/>
    </w:rPr>
  </w:style>
  <w:style w:type="paragraph" w:customStyle="1" w:styleId="LATitle1stpage">
    <w:name w:val="LA_Title_1st_page"/>
    <w:basedOn w:val="a"/>
    <w:next w:val="a"/>
    <w:rsid w:val="009A7F59"/>
    <w:rPr>
      <w:rFonts w:ascii="Times New Roman Bold" w:hAnsi="Times New Roman Bold"/>
      <w:b/>
      <w:iCs/>
      <w:caps/>
      <w:sz w:val="28"/>
      <w:szCs w:val="20"/>
      <w:lang w:val="en-GB" w:eastAsia="en-US"/>
    </w:rPr>
  </w:style>
  <w:style w:type="paragraph" w:customStyle="1" w:styleId="LAGIPINormal">
    <w:name w:val="LA_GI_PI_Normal"/>
    <w:basedOn w:val="a8"/>
    <w:rsid w:val="009A7F59"/>
    <w:pPr>
      <w:widowControl/>
      <w:jc w:val="left"/>
    </w:pPr>
    <w:rPr>
      <w:sz w:val="24"/>
      <w:lang w:val="en-GB" w:eastAsia="x-none"/>
    </w:rPr>
  </w:style>
  <w:style w:type="table" w:customStyle="1" w:styleId="11">
    <w:name w:val="Πλέγμα πίνακα1"/>
    <w:basedOn w:val="a1"/>
    <w:next w:val="a4"/>
    <w:rsid w:val="009A7F59"/>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endnote text"/>
    <w:basedOn w:val="a"/>
    <w:link w:val="Char7"/>
    <w:rsid w:val="009A7F59"/>
    <w:pPr>
      <w:widowControl w:val="0"/>
    </w:pPr>
    <w:rPr>
      <w:sz w:val="20"/>
      <w:szCs w:val="20"/>
      <w:lang w:eastAsia="en-US"/>
    </w:rPr>
  </w:style>
  <w:style w:type="character" w:customStyle="1" w:styleId="Char7">
    <w:name w:val="Κείμενο σημείωσης τέλους Char"/>
    <w:basedOn w:val="a0"/>
    <w:link w:val="af"/>
    <w:rsid w:val="009A7F59"/>
    <w:rPr>
      <w:rFonts w:ascii="Times New Roman" w:eastAsia="Times New Roman" w:hAnsi="Times New Roman"/>
      <w:lang w:eastAsia="en-US"/>
    </w:rPr>
  </w:style>
  <w:style w:type="character" w:styleId="af0">
    <w:name w:val="endnote reference"/>
    <w:basedOn w:val="a0"/>
    <w:rsid w:val="009A7F59"/>
    <w:rPr>
      <w:vertAlign w:val="superscript"/>
    </w:rPr>
  </w:style>
  <w:style w:type="character" w:styleId="af1">
    <w:name w:val="footnote reference"/>
    <w:basedOn w:val="a0"/>
    <w:rsid w:val="009A7F59"/>
    <w:rPr>
      <w:vertAlign w:val="superscript"/>
    </w:rPr>
  </w:style>
  <w:style w:type="numbering" w:customStyle="1" w:styleId="21">
    <w:name w:val="Χωρίς λίστα2"/>
    <w:next w:val="a2"/>
    <w:uiPriority w:val="99"/>
    <w:semiHidden/>
    <w:unhideWhenUsed/>
    <w:rsid w:val="00E147EB"/>
  </w:style>
  <w:style w:type="character" w:styleId="-0">
    <w:name w:val="FollowedHyperlink"/>
    <w:rsid w:val="00E147EB"/>
    <w:rPr>
      <w:color w:val="800080"/>
      <w:u w:val="single"/>
    </w:rPr>
  </w:style>
  <w:style w:type="table" w:customStyle="1" w:styleId="22">
    <w:name w:val="Πλέγμα πίνακα2"/>
    <w:basedOn w:val="a1"/>
    <w:next w:val="a4"/>
    <w:rsid w:val="00E147EB"/>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Χωρίς λίστα3"/>
    <w:next w:val="a2"/>
    <w:uiPriority w:val="99"/>
    <w:semiHidden/>
    <w:unhideWhenUsed/>
    <w:rsid w:val="001A2760"/>
  </w:style>
  <w:style w:type="table" w:customStyle="1" w:styleId="30">
    <w:name w:val="Πλέγμα πίνακα3"/>
    <w:basedOn w:val="a1"/>
    <w:next w:val="a4"/>
    <w:rsid w:val="001A2760"/>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211"/>
    <w:rPr>
      <w:rFonts w:ascii="Times New Roman" w:eastAsia="Times New Roman" w:hAnsi="Times New Roman"/>
      <w:sz w:val="24"/>
      <w:szCs w:val="24"/>
    </w:rPr>
  </w:style>
  <w:style w:type="paragraph" w:styleId="1">
    <w:name w:val="heading 1"/>
    <w:basedOn w:val="a"/>
    <w:next w:val="a"/>
    <w:link w:val="1Char"/>
    <w:qFormat/>
    <w:rsid w:val="009A7F59"/>
    <w:pPr>
      <w:keepNext/>
      <w:widowControl w:val="0"/>
      <w:jc w:val="center"/>
      <w:outlineLvl w:val="0"/>
    </w:pPr>
    <w:rPr>
      <w:b/>
      <w:sz w:val="22"/>
      <w:szCs w:val="20"/>
      <w:lang w:eastAsia="en-US"/>
    </w:rPr>
  </w:style>
  <w:style w:type="paragraph" w:styleId="2">
    <w:name w:val="heading 2"/>
    <w:basedOn w:val="a"/>
    <w:next w:val="a"/>
    <w:link w:val="2Char"/>
    <w:qFormat/>
    <w:rsid w:val="009A7F59"/>
    <w:pPr>
      <w:keepNext/>
      <w:widowControl w:val="0"/>
      <w:outlineLvl w:val="1"/>
    </w:pPr>
    <w:rPr>
      <w:b/>
      <w:sz w:val="22"/>
      <w:szCs w:val="20"/>
      <w:lang w:eastAsia="en-US"/>
    </w:rPr>
  </w:style>
  <w:style w:type="paragraph" w:styleId="5">
    <w:name w:val="heading 5"/>
    <w:basedOn w:val="a"/>
    <w:next w:val="a"/>
    <w:link w:val="5Char"/>
    <w:qFormat/>
    <w:rsid w:val="009A7F59"/>
    <w:pPr>
      <w:widowControl w:val="0"/>
      <w:spacing w:before="240" w:after="60"/>
      <w:outlineLvl w:val="4"/>
    </w:pPr>
    <w:rPr>
      <w:b/>
      <w:bCs/>
      <w:i/>
      <w:iCs/>
      <w:sz w:val="26"/>
      <w:szCs w:val="26"/>
      <w:lang w:eastAsia="en-US"/>
    </w:rPr>
  </w:style>
  <w:style w:type="paragraph" w:styleId="6">
    <w:name w:val="heading 6"/>
    <w:basedOn w:val="a"/>
    <w:next w:val="a"/>
    <w:link w:val="6Char"/>
    <w:qFormat/>
    <w:rsid w:val="009A7F59"/>
    <w:pPr>
      <w:keepNext/>
      <w:widowControl w:val="0"/>
      <w:tabs>
        <w:tab w:val="left" w:pos="-720"/>
        <w:tab w:val="left" w:pos="567"/>
        <w:tab w:val="left" w:pos="4536"/>
      </w:tabs>
      <w:suppressAutoHyphens/>
      <w:spacing w:line="-260" w:lineRule="auto"/>
      <w:outlineLvl w:val="5"/>
    </w:pPr>
    <w:rPr>
      <w:i/>
      <w:sz w:val="22"/>
      <w:szCs w:val="20"/>
      <w:lang w:val="en-GB" w:eastAsia="en-US"/>
    </w:rPr>
  </w:style>
  <w:style w:type="paragraph" w:styleId="7">
    <w:name w:val="heading 7"/>
    <w:basedOn w:val="a"/>
    <w:next w:val="a"/>
    <w:link w:val="7Char"/>
    <w:qFormat/>
    <w:rsid w:val="009A7F59"/>
    <w:pPr>
      <w:keepNext/>
      <w:widowControl w:val="0"/>
      <w:tabs>
        <w:tab w:val="left" w:pos="-720"/>
        <w:tab w:val="left" w:pos="567"/>
        <w:tab w:val="left" w:pos="4536"/>
      </w:tabs>
      <w:suppressAutoHyphens/>
      <w:spacing w:line="-260" w:lineRule="auto"/>
      <w:jc w:val="both"/>
      <w:outlineLvl w:val="6"/>
    </w:pPr>
    <w:rPr>
      <w:i/>
      <w:sz w:val="22"/>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A3D"/>
    <w:pPr>
      <w:ind w:left="720"/>
      <w:contextualSpacing/>
    </w:pPr>
  </w:style>
  <w:style w:type="table" w:styleId="a4">
    <w:name w:val="Table Grid"/>
    <w:basedOn w:val="a1"/>
    <w:uiPriority w:val="59"/>
    <w:rsid w:val="00BA21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FISPCNormal">
    <w:name w:val="LA_FI_SPC_Normal"/>
    <w:basedOn w:val="a"/>
    <w:rsid w:val="00570987"/>
    <w:pPr>
      <w:tabs>
        <w:tab w:val="left" w:pos="567"/>
      </w:tabs>
      <w:ind w:left="567"/>
    </w:pPr>
    <w:rPr>
      <w:szCs w:val="20"/>
      <w:lang w:val="en-GB" w:eastAsia="en-US"/>
    </w:rPr>
  </w:style>
  <w:style w:type="character" w:customStyle="1" w:styleId="1Char">
    <w:name w:val="Επικεφαλίδα 1 Char"/>
    <w:basedOn w:val="a0"/>
    <w:link w:val="1"/>
    <w:rsid w:val="009A7F59"/>
    <w:rPr>
      <w:rFonts w:ascii="Times New Roman" w:eastAsia="Times New Roman" w:hAnsi="Times New Roman"/>
      <w:b/>
      <w:sz w:val="22"/>
      <w:lang w:eastAsia="en-US"/>
    </w:rPr>
  </w:style>
  <w:style w:type="character" w:customStyle="1" w:styleId="2Char">
    <w:name w:val="Επικεφαλίδα 2 Char"/>
    <w:basedOn w:val="a0"/>
    <w:link w:val="2"/>
    <w:rsid w:val="009A7F59"/>
    <w:rPr>
      <w:rFonts w:ascii="Times New Roman" w:eastAsia="Times New Roman" w:hAnsi="Times New Roman"/>
      <w:b/>
      <w:sz w:val="22"/>
      <w:lang w:eastAsia="en-US"/>
    </w:rPr>
  </w:style>
  <w:style w:type="character" w:customStyle="1" w:styleId="5Char">
    <w:name w:val="Επικεφαλίδα 5 Char"/>
    <w:basedOn w:val="a0"/>
    <w:link w:val="5"/>
    <w:rsid w:val="009A7F59"/>
    <w:rPr>
      <w:rFonts w:ascii="Times New Roman" w:eastAsia="Times New Roman" w:hAnsi="Times New Roman"/>
      <w:b/>
      <w:bCs/>
      <w:i/>
      <w:iCs/>
      <w:sz w:val="26"/>
      <w:szCs w:val="26"/>
      <w:lang w:eastAsia="en-US"/>
    </w:rPr>
  </w:style>
  <w:style w:type="character" w:customStyle="1" w:styleId="6Char">
    <w:name w:val="Επικεφαλίδα 6 Char"/>
    <w:basedOn w:val="a0"/>
    <w:link w:val="6"/>
    <w:rsid w:val="009A7F59"/>
    <w:rPr>
      <w:rFonts w:ascii="Times New Roman" w:eastAsia="Times New Roman" w:hAnsi="Times New Roman"/>
      <w:i/>
      <w:sz w:val="22"/>
      <w:lang w:val="en-GB" w:eastAsia="en-US"/>
    </w:rPr>
  </w:style>
  <w:style w:type="character" w:customStyle="1" w:styleId="7Char">
    <w:name w:val="Επικεφαλίδα 7 Char"/>
    <w:basedOn w:val="a0"/>
    <w:link w:val="7"/>
    <w:rsid w:val="009A7F59"/>
    <w:rPr>
      <w:rFonts w:ascii="Times New Roman" w:eastAsia="Times New Roman" w:hAnsi="Times New Roman"/>
      <w:i/>
      <w:sz w:val="22"/>
      <w:lang w:val="en-GB" w:eastAsia="en-US"/>
    </w:rPr>
  </w:style>
  <w:style w:type="numbering" w:customStyle="1" w:styleId="10">
    <w:name w:val="Χωρίς λίστα1"/>
    <w:next w:val="a2"/>
    <w:uiPriority w:val="99"/>
    <w:semiHidden/>
    <w:unhideWhenUsed/>
    <w:rsid w:val="009A7F59"/>
  </w:style>
  <w:style w:type="paragraph" w:styleId="a5">
    <w:name w:val="header"/>
    <w:basedOn w:val="a"/>
    <w:link w:val="Char"/>
    <w:rsid w:val="009A7F59"/>
    <w:pPr>
      <w:widowControl w:val="0"/>
      <w:tabs>
        <w:tab w:val="center" w:pos="4153"/>
        <w:tab w:val="right" w:pos="8306"/>
      </w:tabs>
    </w:pPr>
    <w:rPr>
      <w:sz w:val="22"/>
      <w:szCs w:val="20"/>
      <w:lang w:eastAsia="en-US"/>
    </w:rPr>
  </w:style>
  <w:style w:type="character" w:customStyle="1" w:styleId="Char">
    <w:name w:val="Κεφαλίδα Char"/>
    <w:basedOn w:val="a0"/>
    <w:link w:val="a5"/>
    <w:rsid w:val="009A7F59"/>
    <w:rPr>
      <w:rFonts w:ascii="Times New Roman" w:eastAsia="Times New Roman" w:hAnsi="Times New Roman"/>
      <w:sz w:val="22"/>
      <w:lang w:eastAsia="en-US"/>
    </w:rPr>
  </w:style>
  <w:style w:type="paragraph" w:styleId="a6">
    <w:name w:val="footer"/>
    <w:basedOn w:val="a"/>
    <w:link w:val="Char0"/>
    <w:rsid w:val="009A7F59"/>
    <w:pPr>
      <w:widowControl w:val="0"/>
      <w:tabs>
        <w:tab w:val="center" w:pos="4153"/>
        <w:tab w:val="right" w:pos="8306"/>
      </w:tabs>
    </w:pPr>
    <w:rPr>
      <w:sz w:val="22"/>
      <w:szCs w:val="20"/>
      <w:lang w:eastAsia="en-US"/>
    </w:rPr>
  </w:style>
  <w:style w:type="character" w:customStyle="1" w:styleId="Char0">
    <w:name w:val="Υποσέλιδο Char"/>
    <w:basedOn w:val="a0"/>
    <w:link w:val="a6"/>
    <w:rsid w:val="009A7F59"/>
    <w:rPr>
      <w:rFonts w:ascii="Times New Roman" w:eastAsia="Times New Roman" w:hAnsi="Times New Roman"/>
      <w:sz w:val="22"/>
      <w:lang w:eastAsia="en-US"/>
    </w:rPr>
  </w:style>
  <w:style w:type="character" w:styleId="a7">
    <w:name w:val="page number"/>
    <w:basedOn w:val="a0"/>
    <w:rsid w:val="009A7F59"/>
  </w:style>
  <w:style w:type="character" w:styleId="-">
    <w:name w:val="Hyperlink"/>
    <w:basedOn w:val="a0"/>
    <w:uiPriority w:val="99"/>
    <w:rsid w:val="009A7F59"/>
    <w:rPr>
      <w:color w:val="0000FF"/>
      <w:u w:val="single"/>
    </w:rPr>
  </w:style>
  <w:style w:type="paragraph" w:styleId="a8">
    <w:name w:val="Body Text"/>
    <w:basedOn w:val="a"/>
    <w:link w:val="Char1"/>
    <w:rsid w:val="009A7F59"/>
    <w:pPr>
      <w:widowControl w:val="0"/>
      <w:jc w:val="center"/>
    </w:pPr>
    <w:rPr>
      <w:sz w:val="22"/>
      <w:szCs w:val="20"/>
      <w:lang w:eastAsia="en-US"/>
    </w:rPr>
  </w:style>
  <w:style w:type="character" w:customStyle="1" w:styleId="Char1">
    <w:name w:val="Σώμα κειμένου Char"/>
    <w:basedOn w:val="a0"/>
    <w:link w:val="a8"/>
    <w:rsid w:val="009A7F59"/>
    <w:rPr>
      <w:rFonts w:ascii="Times New Roman" w:eastAsia="Times New Roman" w:hAnsi="Times New Roman"/>
      <w:sz w:val="22"/>
      <w:lang w:eastAsia="en-US"/>
    </w:rPr>
  </w:style>
  <w:style w:type="paragraph" w:styleId="20">
    <w:name w:val="Body Text 2"/>
    <w:basedOn w:val="a"/>
    <w:link w:val="2Char0"/>
    <w:rsid w:val="009A7F59"/>
    <w:pPr>
      <w:widowControl w:val="0"/>
    </w:pPr>
    <w:rPr>
      <w:color w:val="FF0000"/>
      <w:sz w:val="22"/>
      <w:szCs w:val="20"/>
      <w:lang w:eastAsia="en-US"/>
    </w:rPr>
  </w:style>
  <w:style w:type="character" w:customStyle="1" w:styleId="2Char0">
    <w:name w:val="Σώμα κείμενου 2 Char"/>
    <w:basedOn w:val="a0"/>
    <w:link w:val="20"/>
    <w:rsid w:val="009A7F59"/>
    <w:rPr>
      <w:rFonts w:ascii="Times New Roman" w:eastAsia="Times New Roman" w:hAnsi="Times New Roman"/>
      <w:color w:val="FF0000"/>
      <w:sz w:val="22"/>
      <w:lang w:eastAsia="en-US"/>
    </w:rPr>
  </w:style>
  <w:style w:type="paragraph" w:customStyle="1" w:styleId="EMEAEnBodyText">
    <w:name w:val="EMEA En Body Text"/>
    <w:basedOn w:val="a"/>
    <w:rsid w:val="009A7F59"/>
    <w:pPr>
      <w:spacing w:before="120" w:after="120"/>
      <w:jc w:val="both"/>
    </w:pPr>
    <w:rPr>
      <w:sz w:val="22"/>
      <w:szCs w:val="20"/>
      <w:lang w:val="en-US" w:eastAsia="en-US"/>
    </w:rPr>
  </w:style>
  <w:style w:type="paragraph" w:styleId="a9">
    <w:name w:val="Balloon Text"/>
    <w:basedOn w:val="a"/>
    <w:link w:val="Char2"/>
    <w:semiHidden/>
    <w:rsid w:val="009A7F59"/>
    <w:pPr>
      <w:widowControl w:val="0"/>
    </w:pPr>
    <w:rPr>
      <w:rFonts w:ascii="Tahoma" w:hAnsi="Tahoma" w:cs="Tahoma"/>
      <w:sz w:val="16"/>
      <w:szCs w:val="16"/>
      <w:lang w:eastAsia="en-US"/>
    </w:rPr>
  </w:style>
  <w:style w:type="character" w:customStyle="1" w:styleId="Char2">
    <w:name w:val="Κείμενο πλαισίου Char"/>
    <w:basedOn w:val="a0"/>
    <w:link w:val="a9"/>
    <w:semiHidden/>
    <w:rsid w:val="009A7F59"/>
    <w:rPr>
      <w:rFonts w:ascii="Tahoma" w:eastAsia="Times New Roman" w:hAnsi="Tahoma" w:cs="Tahoma"/>
      <w:sz w:val="16"/>
      <w:szCs w:val="16"/>
      <w:lang w:eastAsia="en-US"/>
    </w:rPr>
  </w:style>
  <w:style w:type="paragraph" w:styleId="aa">
    <w:name w:val="footnote text"/>
    <w:basedOn w:val="a"/>
    <w:link w:val="Char3"/>
    <w:semiHidden/>
    <w:rsid w:val="009A7F59"/>
    <w:rPr>
      <w:rFonts w:ascii="Tahoma" w:hAnsi="Tahoma"/>
      <w:kern w:val="28"/>
      <w:sz w:val="28"/>
      <w:szCs w:val="20"/>
    </w:rPr>
  </w:style>
  <w:style w:type="character" w:customStyle="1" w:styleId="Char3">
    <w:name w:val="Κείμενο υποσημείωσης Char"/>
    <w:basedOn w:val="a0"/>
    <w:link w:val="aa"/>
    <w:semiHidden/>
    <w:rsid w:val="009A7F59"/>
    <w:rPr>
      <w:rFonts w:ascii="Tahoma" w:eastAsia="Times New Roman" w:hAnsi="Tahoma"/>
      <w:kern w:val="28"/>
      <w:sz w:val="28"/>
    </w:rPr>
  </w:style>
  <w:style w:type="paragraph" w:customStyle="1" w:styleId="LARev1stpage">
    <w:name w:val="LA_Rev_1st_page"/>
    <w:basedOn w:val="a"/>
    <w:rsid w:val="009A7F59"/>
    <w:rPr>
      <w:iCs/>
      <w:szCs w:val="20"/>
      <w:lang w:val="en-GB" w:eastAsia="en-US"/>
    </w:rPr>
  </w:style>
  <w:style w:type="character" w:styleId="ab">
    <w:name w:val="annotation reference"/>
    <w:basedOn w:val="a0"/>
    <w:semiHidden/>
    <w:rsid w:val="009A7F59"/>
    <w:rPr>
      <w:sz w:val="16"/>
      <w:szCs w:val="16"/>
    </w:rPr>
  </w:style>
  <w:style w:type="paragraph" w:styleId="ac">
    <w:name w:val="annotation text"/>
    <w:basedOn w:val="a"/>
    <w:link w:val="Char4"/>
    <w:semiHidden/>
    <w:rsid w:val="009A7F59"/>
    <w:pPr>
      <w:widowControl w:val="0"/>
    </w:pPr>
    <w:rPr>
      <w:sz w:val="20"/>
      <w:szCs w:val="20"/>
      <w:lang w:eastAsia="en-US"/>
    </w:rPr>
  </w:style>
  <w:style w:type="character" w:customStyle="1" w:styleId="Char4">
    <w:name w:val="Κείμενο σχολίου Char"/>
    <w:basedOn w:val="a0"/>
    <w:link w:val="ac"/>
    <w:semiHidden/>
    <w:rsid w:val="009A7F59"/>
    <w:rPr>
      <w:rFonts w:ascii="Times New Roman" w:eastAsia="Times New Roman" w:hAnsi="Times New Roman"/>
      <w:lang w:eastAsia="en-US"/>
    </w:rPr>
  </w:style>
  <w:style w:type="paragraph" w:styleId="ad">
    <w:name w:val="annotation subject"/>
    <w:basedOn w:val="ac"/>
    <w:next w:val="ac"/>
    <w:link w:val="Char5"/>
    <w:semiHidden/>
    <w:rsid w:val="009A7F59"/>
    <w:rPr>
      <w:b/>
      <w:bCs/>
    </w:rPr>
  </w:style>
  <w:style w:type="character" w:customStyle="1" w:styleId="Char5">
    <w:name w:val="Θέμα σχολίου Char"/>
    <w:basedOn w:val="Char4"/>
    <w:link w:val="ad"/>
    <w:semiHidden/>
    <w:rsid w:val="009A7F59"/>
    <w:rPr>
      <w:rFonts w:ascii="Times New Roman" w:eastAsia="Times New Roman" w:hAnsi="Times New Roman"/>
      <w:b/>
      <w:bCs/>
      <w:lang w:eastAsia="en-US"/>
    </w:rPr>
  </w:style>
  <w:style w:type="paragraph" w:styleId="ae">
    <w:name w:val="Document Map"/>
    <w:basedOn w:val="a"/>
    <w:link w:val="Char6"/>
    <w:semiHidden/>
    <w:rsid w:val="009A7F59"/>
    <w:pPr>
      <w:widowControl w:val="0"/>
      <w:shd w:val="clear" w:color="auto" w:fill="000080"/>
    </w:pPr>
    <w:rPr>
      <w:rFonts w:ascii="Tahoma" w:hAnsi="Tahoma" w:cs="Tahoma"/>
      <w:sz w:val="20"/>
      <w:szCs w:val="20"/>
      <w:lang w:eastAsia="en-US"/>
    </w:rPr>
  </w:style>
  <w:style w:type="character" w:customStyle="1" w:styleId="Char6">
    <w:name w:val="Χάρτης εγγράφου Char"/>
    <w:basedOn w:val="a0"/>
    <w:link w:val="ae"/>
    <w:semiHidden/>
    <w:rsid w:val="009A7F59"/>
    <w:rPr>
      <w:rFonts w:ascii="Tahoma" w:eastAsia="Times New Roman" w:hAnsi="Tahoma" w:cs="Tahoma"/>
      <w:shd w:val="clear" w:color="auto" w:fill="000080"/>
      <w:lang w:eastAsia="en-US"/>
    </w:rPr>
  </w:style>
  <w:style w:type="paragraph" w:customStyle="1" w:styleId="LATitle1stpage">
    <w:name w:val="LA_Title_1st_page"/>
    <w:basedOn w:val="a"/>
    <w:next w:val="a"/>
    <w:rsid w:val="009A7F59"/>
    <w:rPr>
      <w:rFonts w:ascii="Times New Roman Bold" w:hAnsi="Times New Roman Bold"/>
      <w:b/>
      <w:iCs/>
      <w:caps/>
      <w:sz w:val="28"/>
      <w:szCs w:val="20"/>
      <w:lang w:val="en-GB" w:eastAsia="en-US"/>
    </w:rPr>
  </w:style>
  <w:style w:type="paragraph" w:customStyle="1" w:styleId="LAGIPINormal">
    <w:name w:val="LA_GI_PI_Normal"/>
    <w:basedOn w:val="a8"/>
    <w:rsid w:val="009A7F59"/>
    <w:pPr>
      <w:widowControl/>
      <w:jc w:val="left"/>
    </w:pPr>
    <w:rPr>
      <w:sz w:val="24"/>
      <w:lang w:val="en-GB" w:eastAsia="x-none"/>
    </w:rPr>
  </w:style>
  <w:style w:type="table" w:customStyle="1" w:styleId="11">
    <w:name w:val="Πλέγμα πίνακα1"/>
    <w:basedOn w:val="a1"/>
    <w:next w:val="a4"/>
    <w:rsid w:val="009A7F59"/>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endnote text"/>
    <w:basedOn w:val="a"/>
    <w:link w:val="Char7"/>
    <w:rsid w:val="009A7F59"/>
    <w:pPr>
      <w:widowControl w:val="0"/>
    </w:pPr>
    <w:rPr>
      <w:sz w:val="20"/>
      <w:szCs w:val="20"/>
      <w:lang w:eastAsia="en-US"/>
    </w:rPr>
  </w:style>
  <w:style w:type="character" w:customStyle="1" w:styleId="Char7">
    <w:name w:val="Κείμενο σημείωσης τέλους Char"/>
    <w:basedOn w:val="a0"/>
    <w:link w:val="af"/>
    <w:rsid w:val="009A7F59"/>
    <w:rPr>
      <w:rFonts w:ascii="Times New Roman" w:eastAsia="Times New Roman" w:hAnsi="Times New Roman"/>
      <w:lang w:eastAsia="en-US"/>
    </w:rPr>
  </w:style>
  <w:style w:type="character" w:styleId="af0">
    <w:name w:val="endnote reference"/>
    <w:basedOn w:val="a0"/>
    <w:rsid w:val="009A7F59"/>
    <w:rPr>
      <w:vertAlign w:val="superscript"/>
    </w:rPr>
  </w:style>
  <w:style w:type="character" w:styleId="af1">
    <w:name w:val="footnote reference"/>
    <w:basedOn w:val="a0"/>
    <w:rsid w:val="009A7F59"/>
    <w:rPr>
      <w:vertAlign w:val="superscript"/>
    </w:rPr>
  </w:style>
  <w:style w:type="numbering" w:customStyle="1" w:styleId="21">
    <w:name w:val="Χωρίς λίστα2"/>
    <w:next w:val="a2"/>
    <w:uiPriority w:val="99"/>
    <w:semiHidden/>
    <w:unhideWhenUsed/>
    <w:rsid w:val="00E147EB"/>
  </w:style>
  <w:style w:type="character" w:styleId="-0">
    <w:name w:val="FollowedHyperlink"/>
    <w:rsid w:val="00E147EB"/>
    <w:rPr>
      <w:color w:val="800080"/>
      <w:u w:val="single"/>
    </w:rPr>
  </w:style>
  <w:style w:type="table" w:customStyle="1" w:styleId="22">
    <w:name w:val="Πλέγμα πίνακα2"/>
    <w:basedOn w:val="a1"/>
    <w:next w:val="a4"/>
    <w:rsid w:val="00E147EB"/>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Χωρίς λίστα3"/>
    <w:next w:val="a2"/>
    <w:uiPriority w:val="99"/>
    <w:semiHidden/>
    <w:unhideWhenUsed/>
    <w:rsid w:val="001A2760"/>
  </w:style>
  <w:style w:type="table" w:customStyle="1" w:styleId="30">
    <w:name w:val="Πλέγμα πίνακα3"/>
    <w:basedOn w:val="a1"/>
    <w:next w:val="a4"/>
    <w:rsid w:val="001A2760"/>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362340">
      <w:bodyDiv w:val="1"/>
      <w:marLeft w:val="0"/>
      <w:marRight w:val="0"/>
      <w:marTop w:val="0"/>
      <w:marBottom w:val="0"/>
      <w:divBdr>
        <w:top w:val="none" w:sz="0" w:space="0" w:color="auto"/>
        <w:left w:val="none" w:sz="0" w:space="0" w:color="auto"/>
        <w:bottom w:val="none" w:sz="0" w:space="0" w:color="auto"/>
        <w:right w:val="none" w:sz="0" w:space="0" w:color="auto"/>
      </w:divBdr>
    </w:div>
    <w:div w:id="140825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of.gr" TargetMode="External"/><Relationship Id="rId1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57057-DBBC-46F0-9E19-40CD9603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4124</Words>
  <Characters>22270</Characters>
  <Application>Microsoft Office Word</Application>
  <DocSecurity>0</DocSecurity>
  <Lines>185</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user82</dc:creator>
  <cp:lastModifiedBy>ΜΑΥΡΗΣ ΚΩΝΣΤΑΝΤΙΝΟΣ</cp:lastModifiedBy>
  <cp:revision>2</cp:revision>
  <cp:lastPrinted>2015-04-27T12:01:00Z</cp:lastPrinted>
  <dcterms:created xsi:type="dcterms:W3CDTF">2018-07-23T09:57:00Z</dcterms:created>
  <dcterms:modified xsi:type="dcterms:W3CDTF">2018-07-23T09:57:00Z</dcterms:modified>
</cp:coreProperties>
</file>