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Default="005318A6" w:rsidP="005318A6">
      <w:pPr>
        <w:jc w:val="center"/>
        <w:rPr>
          <w:noProof/>
          <w:lang w:val="en-GB"/>
        </w:rPr>
      </w:pPr>
    </w:p>
    <w:p w:rsidR="005318A6" w:rsidRPr="005318A6" w:rsidRDefault="005318A6" w:rsidP="005318A6">
      <w:pPr>
        <w:jc w:val="center"/>
        <w:rPr>
          <w:noProof/>
          <w:lang w:val="en-GB"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noProof/>
        </w:rPr>
      </w:pPr>
    </w:p>
    <w:p w:rsidR="005318A6" w:rsidRPr="00786D07" w:rsidRDefault="005318A6" w:rsidP="005318A6">
      <w:pPr>
        <w:jc w:val="center"/>
        <w:rPr>
          <w:b/>
          <w:noProof/>
        </w:rPr>
      </w:pPr>
      <w:r w:rsidRPr="00786D07">
        <w:rPr>
          <w:b/>
          <w:noProof/>
        </w:rPr>
        <w:t>ΦΥΛΛΟ ΟΔΗΓΙΩΝ ΧΡΗΣΗΣ</w:t>
      </w:r>
    </w:p>
    <w:p w:rsidR="005318A6" w:rsidRPr="00786D07" w:rsidRDefault="005318A6" w:rsidP="005318A6">
      <w:pPr>
        <w:jc w:val="center"/>
        <w:rPr>
          <w:b/>
          <w:noProof/>
        </w:rPr>
      </w:pPr>
      <w:r w:rsidRPr="00786D07">
        <w:rPr>
          <w:noProof/>
        </w:rPr>
        <w:br w:type="page"/>
      </w:r>
      <w:r w:rsidRPr="00786D07">
        <w:rPr>
          <w:b/>
          <w:noProof/>
        </w:rPr>
        <w:lastRenderedPageBreak/>
        <w:t>ΦΥΛΛΟ ΟΔΗΓΙΩΝ ΧΡΗΣΗΣ: ΠΛΗΡΟΦΟΡΙΕΣ ΓΙΑ ΤΟΝ ΧΡΗΣΤΗ</w:t>
      </w:r>
    </w:p>
    <w:p w:rsidR="005318A6" w:rsidRPr="00786D07" w:rsidRDefault="005318A6" w:rsidP="005318A6">
      <w:pPr>
        <w:jc w:val="center"/>
        <w:rPr>
          <w:b/>
          <w:noProof/>
        </w:rPr>
      </w:pPr>
    </w:p>
    <w:p w:rsidR="005318A6" w:rsidRPr="00295EC3" w:rsidRDefault="005318A6" w:rsidP="005318A6">
      <w:pPr>
        <w:jc w:val="center"/>
      </w:pPr>
      <w:r>
        <w:rPr>
          <w:lang w:val="en-US"/>
        </w:rPr>
        <w:t>Cognomem</w:t>
      </w:r>
      <w:r w:rsidRPr="00295EC3">
        <w:t xml:space="preserve"> 10</w:t>
      </w:r>
      <w:r>
        <w:rPr>
          <w:lang w:val="en-US"/>
        </w:rPr>
        <w:t> mg</w:t>
      </w:r>
      <w:r w:rsidRPr="00295EC3">
        <w:t xml:space="preserve"> </w:t>
      </w:r>
      <w:r>
        <w:t>επικαλυμμένα με λεπτό υμένιο δισκία</w:t>
      </w:r>
    </w:p>
    <w:p w:rsidR="005318A6" w:rsidRPr="00295EC3" w:rsidRDefault="005318A6" w:rsidP="005318A6">
      <w:pPr>
        <w:jc w:val="center"/>
      </w:pPr>
      <w:r w:rsidRPr="00237B14">
        <w:rPr>
          <w:highlight w:val="lightGray"/>
          <w:lang w:val="en-US"/>
        </w:rPr>
        <w:t>Cognomem</w:t>
      </w:r>
      <w:r w:rsidRPr="00295EC3">
        <w:rPr>
          <w:highlight w:val="lightGray"/>
        </w:rPr>
        <w:t xml:space="preserve"> 20</w:t>
      </w:r>
      <w:r w:rsidRPr="00295EC3">
        <w:rPr>
          <w:highlight w:val="lightGray"/>
          <w:lang w:val="en-US"/>
        </w:rPr>
        <w:t> mg</w:t>
      </w:r>
      <w:r w:rsidRPr="00295EC3">
        <w:rPr>
          <w:highlight w:val="lightGray"/>
        </w:rPr>
        <w:t xml:space="preserve"> επικαλυμμένα με λεπτό υμένιο δισκία</w:t>
      </w:r>
    </w:p>
    <w:p w:rsidR="005318A6" w:rsidRDefault="005318A6" w:rsidP="005318A6">
      <w:pPr>
        <w:jc w:val="center"/>
        <w:rPr>
          <w:noProof/>
        </w:rPr>
      </w:pPr>
    </w:p>
    <w:p w:rsidR="005318A6" w:rsidRPr="00343647" w:rsidRDefault="005318A6" w:rsidP="005318A6">
      <w:pPr>
        <w:jc w:val="center"/>
        <w:rPr>
          <w:noProof/>
        </w:rPr>
      </w:pPr>
      <w:r>
        <w:rPr>
          <w:noProof/>
        </w:rPr>
        <w:t>Μεμαντίνη υδροχλωρική</w:t>
      </w:r>
    </w:p>
    <w:p w:rsidR="005318A6" w:rsidRPr="00786D07" w:rsidRDefault="005318A6" w:rsidP="005318A6">
      <w:pPr>
        <w:pStyle w:val="a3"/>
        <w:tabs>
          <w:tab w:val="clear" w:pos="4153"/>
          <w:tab w:val="clear" w:pos="8306"/>
        </w:tabs>
        <w:rPr>
          <w:noProof/>
        </w:rPr>
      </w:pPr>
    </w:p>
    <w:p w:rsidR="005318A6" w:rsidRPr="00786D07" w:rsidRDefault="005318A6" w:rsidP="005318A6">
      <w:pPr>
        <w:rPr>
          <w:noProof/>
        </w:rPr>
      </w:pPr>
      <w:r w:rsidRPr="00786D07">
        <w:rPr>
          <w:b/>
          <w:noProof/>
        </w:rPr>
        <w:t>Διαβάστε προσεκτικά ολόκληρο το φύλλο οδηγιών χρήσης προτού αρχίσετε να παίρνετε αυτό το φάρμακο,</w:t>
      </w:r>
      <w:r>
        <w:rPr>
          <w:b/>
          <w:noProof/>
        </w:rPr>
        <w:t xml:space="preserve"> </w:t>
      </w:r>
      <w:r w:rsidRPr="00786D07">
        <w:rPr>
          <w:b/>
          <w:noProof/>
        </w:rPr>
        <w:t>διότι περιλαμβάνει σημαντικές πληροφορίες για σας.</w:t>
      </w:r>
    </w:p>
    <w:p w:rsidR="005318A6" w:rsidRPr="00786D07" w:rsidRDefault="005318A6" w:rsidP="005318A6">
      <w:pPr>
        <w:tabs>
          <w:tab w:val="left" w:pos="567"/>
        </w:tabs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Φυλάξτε αυτό το φύλλο οδηγιών χρήσης. Ίσως χρειαστεί να το διαβάσετε ξανά.</w:t>
      </w:r>
    </w:p>
    <w:p w:rsidR="005318A6" w:rsidRPr="00786D07" w:rsidRDefault="005318A6" w:rsidP="005318A6">
      <w:pPr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έχετε περαιτέρω απορίες, ρωτήστε τον γιατρό ή τον φαρμακοποιό σας.</w:t>
      </w:r>
    </w:p>
    <w:p w:rsidR="005318A6" w:rsidRPr="00786D07" w:rsidRDefault="005318A6" w:rsidP="005318A6">
      <w:pPr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 xml:space="preserve">Η συνταγή γι’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>
        <w:rPr>
          <w:noProof/>
        </w:rPr>
        <w:t>σημεία της ασθένειάς</w:t>
      </w:r>
      <w:r w:rsidRPr="00786D07">
        <w:rPr>
          <w:noProof/>
        </w:rPr>
        <w:t xml:space="preserve"> τους είναι ίδια με τα δικά σας.</w:t>
      </w:r>
    </w:p>
    <w:p w:rsidR="005318A6" w:rsidRPr="00824A9E" w:rsidRDefault="005318A6" w:rsidP="005318A6">
      <w:pPr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παρατηρήσετε κάποια ανεπιθύμητη ενέργεια</w:t>
      </w:r>
      <w:r>
        <w:rPr>
          <w:noProof/>
        </w:rPr>
        <w:t>,</w:t>
      </w:r>
      <w:r w:rsidRPr="00786D07">
        <w:rPr>
          <w:noProof/>
        </w:rPr>
        <w:t xml:space="preserve"> ενημερώστε το γιατρό ή τον φαρμακοποιό σας</w:t>
      </w:r>
      <w:r>
        <w:rPr>
          <w:noProof/>
        </w:rPr>
        <w:t xml:space="preserve">. </w:t>
      </w:r>
      <w:r w:rsidRPr="00786D07">
        <w:rPr>
          <w:noProof/>
        </w:rPr>
        <w:t>Αυτό ισχύει και για κάθε πιθανή ανεπιθύμητη ενέργεια που δεν αναφέρεται</w:t>
      </w:r>
      <w:r>
        <w:rPr>
          <w:noProof/>
        </w:rPr>
        <w:t xml:space="preserve"> στο παρόν φύλλο οδηγιών χρήσης.</w:t>
      </w:r>
      <w:r w:rsidRPr="00824A9E">
        <w:rPr>
          <w:noProof/>
        </w:rPr>
        <w:t xml:space="preserve"> </w:t>
      </w:r>
      <w:r>
        <w:rPr>
          <w:noProof/>
        </w:rPr>
        <w:t>Βλέπε παράγραφο 4.</w:t>
      </w:r>
    </w:p>
    <w:p w:rsidR="005318A6" w:rsidRPr="00786D07" w:rsidRDefault="005318A6" w:rsidP="005318A6">
      <w:pPr>
        <w:rPr>
          <w:b/>
          <w:noProof/>
        </w:rPr>
      </w:pPr>
    </w:p>
    <w:p w:rsidR="005318A6" w:rsidRPr="00786D07" w:rsidRDefault="005318A6" w:rsidP="005318A6">
      <w:pPr>
        <w:rPr>
          <w:noProof/>
        </w:rPr>
      </w:pPr>
      <w:r w:rsidRPr="00786D07">
        <w:rPr>
          <w:b/>
          <w:noProof/>
        </w:rPr>
        <w:t>Τι περιέχει το παρόν φύλλο οδηγιών:</w:t>
      </w:r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1</w:t>
      </w:r>
      <w:r>
        <w:rPr>
          <w:noProof/>
        </w:rPr>
        <w:t>.</w:t>
      </w:r>
      <w:r w:rsidRPr="00786D07">
        <w:rPr>
          <w:noProof/>
        </w:rPr>
        <w:tab/>
        <w:t xml:space="preserve">Τι είναι το </w:t>
      </w:r>
      <w:r>
        <w:rPr>
          <w:noProof/>
          <w:lang w:val="en-US"/>
        </w:rPr>
        <w:t>Cognomem</w:t>
      </w:r>
      <w:r w:rsidRPr="00786D07">
        <w:rPr>
          <w:noProof/>
        </w:rPr>
        <w:t xml:space="preserve"> και ποια είναι η χρήση του</w:t>
      </w:r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2</w:t>
      </w:r>
      <w:r>
        <w:rPr>
          <w:noProof/>
        </w:rPr>
        <w:t>.</w:t>
      </w:r>
      <w:r w:rsidRPr="00786D07">
        <w:rPr>
          <w:noProof/>
        </w:rPr>
        <w:tab/>
        <w:t xml:space="preserve">Τι πρέπει να γνωρίζετε προτού πάρετε το </w:t>
      </w:r>
      <w:r>
        <w:rPr>
          <w:noProof/>
          <w:lang w:val="en-US"/>
        </w:rPr>
        <w:t>Cognomem</w:t>
      </w:r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3</w:t>
      </w:r>
      <w:r>
        <w:rPr>
          <w:noProof/>
        </w:rPr>
        <w:t>.</w:t>
      </w:r>
      <w:r>
        <w:rPr>
          <w:noProof/>
        </w:rPr>
        <w:tab/>
        <w:t xml:space="preserve">Πώς να </w:t>
      </w:r>
      <w:r w:rsidRPr="00786D07">
        <w:rPr>
          <w:noProof/>
        </w:rPr>
        <w:t>πάρετ</w:t>
      </w:r>
      <w:r>
        <w:rPr>
          <w:noProof/>
        </w:rPr>
        <w:t>ε</w:t>
      </w:r>
      <w:r w:rsidRPr="00786D07">
        <w:rPr>
          <w:noProof/>
        </w:rPr>
        <w:t xml:space="preserve"> το </w:t>
      </w:r>
      <w:r>
        <w:rPr>
          <w:noProof/>
          <w:lang w:val="en-US"/>
        </w:rPr>
        <w:t>Cognomem</w:t>
      </w:r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4</w:t>
      </w:r>
      <w:r>
        <w:rPr>
          <w:noProof/>
        </w:rPr>
        <w:t>.</w:t>
      </w:r>
      <w:r w:rsidRPr="00786D07">
        <w:rPr>
          <w:noProof/>
        </w:rPr>
        <w:tab/>
        <w:t>Πιθανές ανεπιθύμητες ενέργειες</w:t>
      </w:r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5</w:t>
      </w:r>
      <w:r>
        <w:rPr>
          <w:noProof/>
        </w:rPr>
        <w:t>.</w:t>
      </w:r>
      <w:r w:rsidRPr="00786D07">
        <w:rPr>
          <w:noProof/>
        </w:rPr>
        <w:tab/>
        <w:t xml:space="preserve">Πώς να φυλάσσεται το </w:t>
      </w:r>
      <w:bookmarkStart w:id="0" w:name="OLE_LINK5"/>
      <w:bookmarkStart w:id="1" w:name="OLE_LINK6"/>
      <w:r>
        <w:rPr>
          <w:noProof/>
          <w:lang w:val="en-US"/>
        </w:rPr>
        <w:t>Cognomem</w:t>
      </w:r>
      <w:bookmarkEnd w:id="0"/>
      <w:bookmarkEnd w:id="1"/>
    </w:p>
    <w:p w:rsidR="005318A6" w:rsidRPr="00786D07" w:rsidRDefault="005318A6" w:rsidP="005318A6">
      <w:pPr>
        <w:rPr>
          <w:noProof/>
        </w:rPr>
      </w:pPr>
      <w:r w:rsidRPr="00786D07">
        <w:rPr>
          <w:noProof/>
        </w:rPr>
        <w:t>6.</w:t>
      </w:r>
      <w:r w:rsidRPr="00786D07">
        <w:rPr>
          <w:noProof/>
        </w:rPr>
        <w:tab/>
        <w:t>Περιεχόμενο της συσκευασίας και λοιπές πληροφορίες</w:t>
      </w:r>
    </w:p>
    <w:p w:rsidR="005318A6" w:rsidRDefault="005318A6" w:rsidP="005318A6">
      <w:pPr>
        <w:rPr>
          <w:b/>
          <w:noProof/>
        </w:rPr>
      </w:pPr>
    </w:p>
    <w:p w:rsidR="005318A6" w:rsidRDefault="005318A6" w:rsidP="005318A6">
      <w:pPr>
        <w:rPr>
          <w:b/>
          <w:noProof/>
        </w:rPr>
      </w:pPr>
    </w:p>
    <w:p w:rsidR="005318A6" w:rsidRPr="00786D07" w:rsidRDefault="005318A6" w:rsidP="005318A6">
      <w:pPr>
        <w:rPr>
          <w:noProof/>
        </w:rPr>
      </w:pPr>
      <w:r w:rsidRPr="00786D07">
        <w:rPr>
          <w:b/>
          <w:noProof/>
        </w:rPr>
        <w:t>1.</w:t>
      </w:r>
      <w:r w:rsidRPr="00786D07">
        <w:rPr>
          <w:b/>
          <w:noProof/>
        </w:rPr>
        <w:tab/>
        <w:t xml:space="preserve">Τι είναι το </w:t>
      </w:r>
      <w:r w:rsidRPr="00E01A5E">
        <w:rPr>
          <w:b/>
          <w:noProof/>
          <w:lang w:val="en-US"/>
        </w:rPr>
        <w:t>Cognomem</w:t>
      </w:r>
      <w:r w:rsidRPr="00786D07">
        <w:rPr>
          <w:noProof/>
        </w:rPr>
        <w:t xml:space="preserve"> </w:t>
      </w:r>
      <w:r w:rsidRPr="00786D07">
        <w:rPr>
          <w:b/>
          <w:noProof/>
        </w:rPr>
        <w:t>και ποια είναι η χρήση του</w:t>
      </w:r>
    </w:p>
    <w:p w:rsidR="005318A6" w:rsidRPr="00786D07" w:rsidRDefault="005318A6" w:rsidP="005318A6">
      <w:pPr>
        <w:rPr>
          <w:noProof/>
        </w:rPr>
      </w:pPr>
    </w:p>
    <w:p w:rsidR="005318A6" w:rsidRPr="00E01A5E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val="en-US" w:eastAsia="ko-KR"/>
        </w:rPr>
        <w:t>To</w:t>
      </w:r>
      <w:r w:rsidRPr="00E01A5E">
        <w:rPr>
          <w:rFonts w:eastAsia="TimesNewRomanPSMT"/>
          <w:szCs w:val="22"/>
          <w:lang w:eastAsia="ko-KR"/>
        </w:rPr>
        <w:t xml:space="preserve"> </w:t>
      </w:r>
      <w:r>
        <w:rPr>
          <w:noProof/>
          <w:lang w:val="en-US"/>
        </w:rPr>
        <w:t>Cognomem</w:t>
      </w:r>
      <w:r w:rsidRPr="00E01A5E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χρησιμοποιείται για τη θεραπεία των ασθενών με μέτρια έως σοβαρή νόσο του </w:t>
      </w:r>
      <w:r>
        <w:rPr>
          <w:rFonts w:eastAsia="TimesNewRomanPSMT"/>
          <w:szCs w:val="22"/>
          <w:lang w:val="en-US" w:eastAsia="ko-KR"/>
        </w:rPr>
        <w:t>Alzheimer</w:t>
      </w:r>
      <w:r w:rsidRPr="00E01A5E">
        <w:rPr>
          <w:rFonts w:eastAsia="TimesNewRomanPSMT"/>
          <w:szCs w:val="22"/>
          <w:lang w:eastAsia="ko-KR"/>
        </w:rPr>
        <w:t xml:space="preserve">. </w:t>
      </w:r>
      <w:r>
        <w:rPr>
          <w:rFonts w:eastAsia="TimesNewRomanPSMT"/>
          <w:szCs w:val="22"/>
          <w:lang w:val="en-US" w:eastAsia="ko-KR"/>
        </w:rPr>
        <w:t>To</w:t>
      </w:r>
      <w:r>
        <w:rPr>
          <w:rFonts w:eastAsia="TimesNewRomanPSMT"/>
          <w:szCs w:val="22"/>
          <w:lang w:eastAsia="ko-KR"/>
        </w:rPr>
        <w:t xml:space="preserve"> </w:t>
      </w:r>
      <w:r>
        <w:rPr>
          <w:noProof/>
          <w:lang w:val="en-US"/>
        </w:rPr>
        <w:t>Cognomem</w:t>
      </w:r>
      <w:r w:rsidRPr="00E01A5E">
        <w:rPr>
          <w:rFonts w:eastAsia="TimesNewRomanPSMT"/>
          <w:szCs w:val="22"/>
          <w:lang w:eastAsia="ko-KR"/>
        </w:rPr>
        <w:t xml:space="preserve"> ανήκει σε μια </w:t>
      </w:r>
      <w:r>
        <w:rPr>
          <w:rFonts w:eastAsia="TimesNewRomanPSMT"/>
          <w:szCs w:val="22"/>
          <w:lang w:eastAsia="ko-KR"/>
        </w:rPr>
        <w:t>ομάδα</w:t>
      </w:r>
      <w:r w:rsidRPr="00E01A5E">
        <w:rPr>
          <w:rFonts w:eastAsia="TimesNewRomanPSMT"/>
          <w:szCs w:val="22"/>
          <w:lang w:eastAsia="ko-KR"/>
        </w:rPr>
        <w:t xml:space="preserve"> φαρμάκων γνωστά ως φάρμακα</w:t>
      </w:r>
      <w:r>
        <w:rPr>
          <w:rFonts w:eastAsia="TimesNewRomanPSMT"/>
          <w:szCs w:val="22"/>
          <w:lang w:eastAsia="ko-KR"/>
        </w:rPr>
        <w:t xml:space="preserve"> κατά της άνοιας</w:t>
      </w:r>
      <w:r w:rsidRPr="00E01A5E">
        <w:rPr>
          <w:rFonts w:eastAsia="TimesNewRomanPSMT"/>
          <w:szCs w:val="22"/>
          <w:lang w:eastAsia="ko-KR"/>
        </w:rPr>
        <w:t>.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Pr="00E01A5E" w:rsidRDefault="005318A6" w:rsidP="005318A6">
      <w:pPr>
        <w:widowControl/>
        <w:autoSpaceDE w:val="0"/>
        <w:autoSpaceDN w:val="0"/>
        <w:adjustRightInd w:val="0"/>
        <w:rPr>
          <w:noProof/>
        </w:rPr>
      </w:pPr>
      <w:r>
        <w:rPr>
          <w:rFonts w:eastAsia="TimesNewRomanPSMT"/>
          <w:szCs w:val="22"/>
          <w:lang w:eastAsia="ko-KR"/>
        </w:rPr>
        <w:t>Η</w:t>
      </w:r>
      <w:r w:rsidRPr="00E01A5E">
        <w:rPr>
          <w:rFonts w:eastAsia="TimesNewRomanPSMT"/>
          <w:szCs w:val="22"/>
          <w:lang w:eastAsia="ko-KR"/>
        </w:rPr>
        <w:t xml:space="preserve"> απώλεια μνήμης στην περίπτωση της νόσου του Alzheimer οφείλεται σε κάποια διαταραχή </w:t>
      </w:r>
      <w:r>
        <w:rPr>
          <w:rFonts w:eastAsia="TimesNewRomanPSMT"/>
          <w:szCs w:val="22"/>
          <w:lang w:eastAsia="ko-KR"/>
        </w:rPr>
        <w:t>στα σήματα των μηνυμάτων</w:t>
      </w:r>
      <w:r w:rsidRPr="00E01A5E">
        <w:rPr>
          <w:rFonts w:eastAsia="TimesNewRomanPSMT"/>
          <w:szCs w:val="22"/>
          <w:lang w:eastAsia="ko-KR"/>
        </w:rPr>
        <w:t xml:space="preserve"> στον εγκέφαλο. Ο εγκέφαλος περιέχει τους αποκαλούμενους υποδοχείς-</w:t>
      </w:r>
      <w:r>
        <w:rPr>
          <w:rFonts w:eastAsia="TimesNewRomanPSMT"/>
          <w:szCs w:val="22"/>
          <w:lang w:eastAsia="ko-KR"/>
        </w:rPr>
        <w:t>Ν-μεθυλο-</w:t>
      </w:r>
      <w:r>
        <w:rPr>
          <w:rFonts w:eastAsia="TimesNewRomanPSMT"/>
          <w:szCs w:val="22"/>
          <w:lang w:val="en-US" w:eastAsia="ko-KR"/>
        </w:rPr>
        <w:t>D</w:t>
      </w:r>
      <w:r>
        <w:rPr>
          <w:rFonts w:eastAsia="TimesNewRomanPSMT"/>
          <w:szCs w:val="22"/>
          <w:lang w:eastAsia="ko-KR"/>
        </w:rPr>
        <w:t>-ασπαρτικού (</w:t>
      </w:r>
      <w:r w:rsidRPr="00E01A5E">
        <w:rPr>
          <w:rFonts w:eastAsia="TimesNewRomanPSMT"/>
          <w:szCs w:val="22"/>
          <w:lang w:eastAsia="ko-KR"/>
        </w:rPr>
        <w:t>NMDA</w:t>
      </w:r>
      <w:r>
        <w:rPr>
          <w:rFonts w:eastAsia="TimesNewRomanPSMT"/>
          <w:szCs w:val="22"/>
          <w:lang w:eastAsia="ko-KR"/>
        </w:rPr>
        <w:t>) που</w:t>
      </w:r>
      <w:r w:rsidRPr="00E01A5E">
        <w:rPr>
          <w:rFonts w:eastAsia="TimesNewRomanPSMT"/>
          <w:szCs w:val="22"/>
          <w:lang w:eastAsia="ko-KR"/>
        </w:rPr>
        <w:t xml:space="preserve"> εμπλέκονται στη διαβίβαση νευρικών σημάτων που είναι μεγάλης σημασίας </w:t>
      </w:r>
      <w:r>
        <w:rPr>
          <w:rFonts w:eastAsia="TimesNewRomanPSMT"/>
          <w:szCs w:val="22"/>
          <w:lang w:eastAsia="ko-KR"/>
        </w:rPr>
        <w:t>στην</w:t>
      </w:r>
      <w:r w:rsidRPr="00E01A5E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εκ</w:t>
      </w:r>
      <w:r w:rsidRPr="00E01A5E">
        <w:rPr>
          <w:rFonts w:eastAsia="TimesNewRomanPSMT"/>
          <w:szCs w:val="22"/>
          <w:lang w:eastAsia="ko-KR"/>
        </w:rPr>
        <w:t xml:space="preserve">μάθηση και τη μνήμη. Το </w:t>
      </w:r>
      <w:r>
        <w:rPr>
          <w:noProof/>
          <w:lang w:val="en-US"/>
        </w:rPr>
        <w:t>Cognomem</w:t>
      </w:r>
      <w:r w:rsidRPr="00E01A5E">
        <w:rPr>
          <w:rFonts w:eastAsia="TimesNewRomanPSMT"/>
          <w:szCs w:val="22"/>
          <w:lang w:eastAsia="ko-KR"/>
        </w:rPr>
        <w:t xml:space="preserve"> ανήκει σε μία ομάδα </w:t>
      </w:r>
      <w:r>
        <w:rPr>
          <w:rFonts w:eastAsia="TimesNewRomanPSMT"/>
          <w:szCs w:val="22"/>
          <w:lang w:eastAsia="ko-KR"/>
        </w:rPr>
        <w:t xml:space="preserve">φαρμάκων </w:t>
      </w:r>
      <w:r w:rsidRPr="00E01A5E">
        <w:rPr>
          <w:rFonts w:eastAsia="TimesNewRomanPSMT"/>
          <w:szCs w:val="22"/>
          <w:lang w:eastAsia="ko-KR"/>
        </w:rPr>
        <w:t>που ονομάζονται ανταγωνιστές υποδοχέων-</w:t>
      </w:r>
      <w:r>
        <w:rPr>
          <w:rFonts w:eastAsia="TimesNewRomanPSMT"/>
          <w:szCs w:val="22"/>
          <w:lang w:eastAsia="ko-KR"/>
        </w:rPr>
        <w:t>(</w:t>
      </w:r>
      <w:r w:rsidRPr="00E01A5E">
        <w:rPr>
          <w:rFonts w:eastAsia="TimesNewRomanPSMT"/>
          <w:szCs w:val="22"/>
          <w:lang w:eastAsia="ko-KR"/>
        </w:rPr>
        <w:t>NMDA</w:t>
      </w:r>
      <w:r>
        <w:rPr>
          <w:rFonts w:eastAsia="TimesNewRomanPSMT"/>
          <w:szCs w:val="22"/>
          <w:lang w:eastAsia="ko-KR"/>
        </w:rPr>
        <w:t>)</w:t>
      </w:r>
      <w:r w:rsidRPr="00E01A5E">
        <w:rPr>
          <w:rFonts w:eastAsia="TimesNewRomanPSMT"/>
          <w:szCs w:val="22"/>
          <w:lang w:eastAsia="ko-KR"/>
        </w:rPr>
        <w:t xml:space="preserve">. Το </w:t>
      </w:r>
      <w:r>
        <w:rPr>
          <w:noProof/>
          <w:lang w:val="en-US"/>
        </w:rPr>
        <w:t>Cognomem</w:t>
      </w:r>
      <w:r w:rsidRPr="00E01A5E">
        <w:rPr>
          <w:rFonts w:eastAsia="TimesNewRomanPSMT"/>
          <w:szCs w:val="22"/>
          <w:lang w:eastAsia="ko-KR"/>
        </w:rPr>
        <w:t xml:space="preserve"> ενεργεί πάνω σε αυτούς του υποδοχείς-</w:t>
      </w:r>
      <w:r>
        <w:rPr>
          <w:rFonts w:eastAsia="TimesNewRomanPSMT"/>
          <w:szCs w:val="22"/>
          <w:lang w:eastAsia="ko-KR"/>
        </w:rPr>
        <w:t>(</w:t>
      </w:r>
      <w:r w:rsidRPr="00E01A5E">
        <w:rPr>
          <w:rFonts w:eastAsia="TimesNewRomanPSMT"/>
          <w:szCs w:val="22"/>
          <w:lang w:eastAsia="ko-KR"/>
        </w:rPr>
        <w:t>NMDA</w:t>
      </w:r>
      <w:r>
        <w:rPr>
          <w:rFonts w:eastAsia="TimesNewRomanPSMT"/>
          <w:szCs w:val="22"/>
          <w:lang w:eastAsia="ko-KR"/>
        </w:rPr>
        <w:t>)</w:t>
      </w:r>
      <w:r w:rsidRPr="00E01A5E">
        <w:rPr>
          <w:rFonts w:eastAsia="TimesNewRomanPSMT"/>
          <w:szCs w:val="22"/>
          <w:lang w:eastAsia="ko-KR"/>
        </w:rPr>
        <w:t xml:space="preserve"> βελτιώνοντας τη διαβίβαση των νευρικών σημάτων και τη μνήμη.</w:t>
      </w:r>
    </w:p>
    <w:p w:rsidR="005318A6" w:rsidRPr="00786D07" w:rsidRDefault="005318A6" w:rsidP="005318A6">
      <w:pPr>
        <w:rPr>
          <w:noProof/>
        </w:rPr>
      </w:pPr>
    </w:p>
    <w:p w:rsidR="005318A6" w:rsidRPr="00786D07" w:rsidRDefault="005318A6" w:rsidP="005318A6">
      <w:pPr>
        <w:rPr>
          <w:noProof/>
        </w:rPr>
      </w:pPr>
    </w:p>
    <w:p w:rsidR="005318A6" w:rsidRPr="00786D07" w:rsidRDefault="005318A6" w:rsidP="005318A6">
      <w:pPr>
        <w:rPr>
          <w:noProof/>
        </w:rPr>
      </w:pPr>
      <w:r w:rsidRPr="00786D07">
        <w:rPr>
          <w:b/>
          <w:noProof/>
        </w:rPr>
        <w:t>2.</w:t>
      </w:r>
      <w:r w:rsidRPr="00E01A5E">
        <w:rPr>
          <w:b/>
          <w:noProof/>
        </w:rPr>
        <w:tab/>
      </w:r>
      <w:r w:rsidRPr="00786D07">
        <w:rPr>
          <w:b/>
          <w:noProof/>
        </w:rPr>
        <w:t xml:space="preserve">Τι πρέπει να γνωρίζετε πριν να πάρετε το </w:t>
      </w:r>
      <w:r w:rsidRPr="00E01A5E">
        <w:rPr>
          <w:b/>
          <w:noProof/>
          <w:lang w:val="en-US"/>
        </w:rPr>
        <w:t>Cognomem</w:t>
      </w:r>
    </w:p>
    <w:p w:rsidR="005318A6" w:rsidRPr="00786D07" w:rsidRDefault="005318A6" w:rsidP="005318A6">
      <w:pPr>
        <w:rPr>
          <w:noProof/>
        </w:rPr>
      </w:pPr>
    </w:p>
    <w:p w:rsidR="005318A6" w:rsidRDefault="005318A6" w:rsidP="005318A6">
      <w:pPr>
        <w:rPr>
          <w:b/>
          <w:noProof/>
        </w:rPr>
      </w:pPr>
      <w:r w:rsidRPr="00786D07">
        <w:rPr>
          <w:b/>
          <w:noProof/>
        </w:rPr>
        <w:t xml:space="preserve">Μην πάρετε το </w:t>
      </w:r>
      <w:r w:rsidRPr="00E01A5E">
        <w:rPr>
          <w:b/>
          <w:noProof/>
          <w:lang w:val="en-US"/>
        </w:rPr>
        <w:t>Cognomem</w:t>
      </w:r>
    </w:p>
    <w:p w:rsidR="005318A6" w:rsidRPr="00824A9E" w:rsidRDefault="005318A6" w:rsidP="005318A6">
      <w:pPr>
        <w:rPr>
          <w:b/>
          <w:noProof/>
        </w:rPr>
      </w:pPr>
    </w:p>
    <w:p w:rsidR="005318A6" w:rsidRPr="00E01A5E" w:rsidRDefault="005318A6" w:rsidP="005318A6">
      <w:pPr>
        <w:ind w:left="720" w:hanging="720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σε περίπτωση αλλεργίας</w:t>
      </w:r>
      <w:r>
        <w:rPr>
          <w:noProof/>
        </w:rPr>
        <w:t xml:space="preserve"> στην υδροχλωρική μεμαντίνη</w:t>
      </w:r>
      <w:r w:rsidRPr="00E01A5E">
        <w:rPr>
          <w:noProof/>
        </w:rPr>
        <w:t xml:space="preserve"> ή σε οποιοδήποτε άλλο από </w:t>
      </w:r>
      <w:r w:rsidRPr="00964540">
        <w:rPr>
          <w:noProof/>
        </w:rPr>
        <w:t>τα συστατικά αυτού του φαρμάκου (αναφέρονται στην παράγραφο 6).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Προειδοποιήσεις και προφυλάξεις</w:t>
      </w:r>
    </w:p>
    <w:p w:rsidR="005318A6" w:rsidRDefault="005318A6" w:rsidP="005318A6">
      <w:pPr>
        <w:jc w:val="both"/>
        <w:rPr>
          <w:noProof/>
        </w:rPr>
      </w:pPr>
    </w:p>
    <w:p w:rsidR="005318A6" w:rsidRDefault="005318A6" w:rsidP="005318A6">
      <w:pPr>
        <w:rPr>
          <w:noProof/>
        </w:rPr>
      </w:pPr>
      <w:r>
        <w:rPr>
          <w:noProof/>
        </w:rPr>
        <w:t xml:space="preserve">Απευθυνθείτε στον γιατρό </w:t>
      </w:r>
      <w:r w:rsidRPr="00E01A5E">
        <w:rPr>
          <w:noProof/>
        </w:rPr>
        <w:t>ή</w:t>
      </w:r>
      <w:r>
        <w:rPr>
          <w:noProof/>
        </w:rPr>
        <w:t xml:space="preserve"> </w:t>
      </w:r>
      <w:r w:rsidRPr="00E01A5E">
        <w:rPr>
          <w:noProof/>
        </w:rPr>
        <w:t>τον φαρμακοποιό</w:t>
      </w:r>
      <w:r>
        <w:rPr>
          <w:noProof/>
        </w:rPr>
        <w:t xml:space="preserve"> σας προτού </w:t>
      </w:r>
      <w:r w:rsidRPr="00E01A5E">
        <w:rPr>
          <w:noProof/>
        </w:rPr>
        <w:t xml:space="preserve">πάρετε το </w:t>
      </w:r>
      <w:r w:rsidRPr="00E01A5E">
        <w:rPr>
          <w:noProof/>
          <w:lang w:val="en-US"/>
        </w:rPr>
        <w:t>Cognomem</w:t>
      </w:r>
    </w:p>
    <w:p w:rsidR="005318A6" w:rsidRDefault="005318A6" w:rsidP="005318A6">
      <w:pPr>
        <w:numPr>
          <w:ilvl w:val="0"/>
          <w:numId w:val="1"/>
        </w:numPr>
        <w:rPr>
          <w:noProof/>
        </w:rPr>
      </w:pPr>
      <w:r>
        <w:rPr>
          <w:noProof/>
        </w:rPr>
        <w:t>Εάν έχετε ιστορικό επιληπτικών κρίσεων,</w:t>
      </w:r>
    </w:p>
    <w:p w:rsidR="005318A6" w:rsidRDefault="005318A6" w:rsidP="005318A6">
      <w:pPr>
        <w:numPr>
          <w:ilvl w:val="0"/>
          <w:numId w:val="1"/>
        </w:numPr>
        <w:rPr>
          <w:noProof/>
        </w:rPr>
      </w:pPr>
      <w:r>
        <w:rPr>
          <w:noProof/>
        </w:rPr>
        <w:t>Εάν έχετε πρόσφατα υποστεί έμφραγμα του μυοκαρδίου (καρδιακή προσβολή) ή εάν υποφέρετε από συμφορητική καρδιακή ανεπάρκεια ή από μη ελεγχόμενη υπέρταση (υψηλή αρτηριακή πίεση).</w:t>
      </w:r>
    </w:p>
    <w:p w:rsidR="005318A6" w:rsidRPr="00607417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607417">
        <w:rPr>
          <w:rFonts w:eastAsia="TimesNewRomanPSMT"/>
          <w:szCs w:val="22"/>
          <w:lang w:eastAsia="ko-KR"/>
        </w:rPr>
        <w:t>Σε αυτές τις περιπτώσεις η αγωγή πρέπει να βρίσκεται υπό προσεκτική</w:t>
      </w:r>
      <w:r>
        <w:rPr>
          <w:rFonts w:eastAsia="TimesNewRomanPSMT"/>
          <w:szCs w:val="22"/>
          <w:lang w:eastAsia="ko-KR"/>
        </w:rPr>
        <w:t xml:space="preserve"> επιτήρηση</w:t>
      </w:r>
      <w:r w:rsidRPr="00607417">
        <w:rPr>
          <w:rFonts w:eastAsia="TimesNewRomanPSMT"/>
          <w:szCs w:val="22"/>
          <w:lang w:eastAsia="ko-KR"/>
        </w:rPr>
        <w:t xml:space="preserve"> και το κλινικό όφελος του </w:t>
      </w:r>
      <w:r>
        <w:rPr>
          <w:rFonts w:eastAsia="TimesNewRomanPSMT"/>
          <w:szCs w:val="22"/>
          <w:lang w:val="en-US" w:eastAsia="ko-KR"/>
        </w:rPr>
        <w:t>Cognomem</w:t>
      </w:r>
      <w:r w:rsidRPr="00607417">
        <w:rPr>
          <w:rFonts w:eastAsia="TimesNewRomanPSMT"/>
          <w:szCs w:val="22"/>
          <w:lang w:eastAsia="ko-KR"/>
        </w:rPr>
        <w:t xml:space="preserve"> να </w:t>
      </w:r>
      <w:r>
        <w:rPr>
          <w:rFonts w:eastAsia="TimesNewRomanPSMT"/>
          <w:szCs w:val="22"/>
          <w:lang w:eastAsia="ko-KR"/>
        </w:rPr>
        <w:t>επαν</w:t>
      </w:r>
      <w:r w:rsidRPr="00607417">
        <w:rPr>
          <w:rFonts w:eastAsia="TimesNewRomanPSMT"/>
          <w:szCs w:val="22"/>
          <w:lang w:eastAsia="ko-KR"/>
        </w:rPr>
        <w:t xml:space="preserve">αξιολογείται σε </w:t>
      </w:r>
      <w:r>
        <w:rPr>
          <w:rFonts w:eastAsia="TimesNewRomanPSMT"/>
          <w:szCs w:val="22"/>
          <w:lang w:eastAsia="ko-KR"/>
        </w:rPr>
        <w:t>τακτική</w:t>
      </w:r>
      <w:r w:rsidRPr="00607417">
        <w:rPr>
          <w:rFonts w:eastAsia="TimesNewRomanPSMT"/>
          <w:szCs w:val="22"/>
          <w:lang w:eastAsia="ko-KR"/>
        </w:rPr>
        <w:t xml:space="preserve"> βάση από το γιατρό σας.</w:t>
      </w:r>
    </w:p>
    <w:p w:rsidR="005318A6" w:rsidRPr="00D50EB2" w:rsidRDefault="005318A6" w:rsidP="005318A6">
      <w:pPr>
        <w:widowControl/>
        <w:autoSpaceDE w:val="0"/>
        <w:autoSpaceDN w:val="0"/>
        <w:adjustRightInd w:val="0"/>
        <w:rPr>
          <w:noProof/>
        </w:rPr>
      </w:pPr>
      <w:r w:rsidRPr="00D50EB2">
        <w:rPr>
          <w:rFonts w:eastAsia="TimesNewRomanPSMT"/>
          <w:szCs w:val="22"/>
          <w:lang w:eastAsia="ko-KR"/>
        </w:rPr>
        <w:lastRenderedPageBreak/>
        <w:t>Θα πρέπει να ενημερώ</w:t>
      </w:r>
      <w:r>
        <w:rPr>
          <w:rFonts w:eastAsia="TimesNewRomanPSMT"/>
          <w:szCs w:val="22"/>
          <w:lang w:eastAsia="ko-KR"/>
        </w:rPr>
        <w:t>σ</w:t>
      </w:r>
      <w:r w:rsidRPr="00D50EB2">
        <w:rPr>
          <w:rFonts w:eastAsia="TimesNewRomanPSMT"/>
          <w:szCs w:val="22"/>
          <w:lang w:eastAsia="ko-KR"/>
        </w:rPr>
        <w:t>ετε το γιατρό σας εάν υποφέρετε από καταστάσεις οξέωσης του νεφρικού σωληναρίου</w:t>
      </w:r>
      <w:r>
        <w:rPr>
          <w:rFonts w:eastAsia="TimesNewRomanPSMT"/>
          <w:szCs w:val="22"/>
          <w:lang w:eastAsia="ko-KR"/>
        </w:rPr>
        <w:t xml:space="preserve"> </w:t>
      </w:r>
      <w:r w:rsidRPr="00D50EB2">
        <w:rPr>
          <w:rFonts w:eastAsia="TimesNewRomanPSMT"/>
          <w:szCs w:val="22"/>
          <w:lang w:eastAsia="ko-KR"/>
        </w:rPr>
        <w:t xml:space="preserve">(RTA, περίσσεια ουσιών που σχηματίζουν οξέα στο αίμα </w:t>
      </w:r>
      <w:r>
        <w:rPr>
          <w:rFonts w:eastAsia="TimesNewRomanPSMT"/>
          <w:szCs w:val="22"/>
          <w:lang w:eastAsia="ko-KR"/>
        </w:rPr>
        <w:t>λόγω</w:t>
      </w:r>
      <w:r w:rsidRPr="00D50EB2">
        <w:rPr>
          <w:rFonts w:eastAsia="TimesNewRomanPSMT"/>
          <w:szCs w:val="22"/>
          <w:lang w:eastAsia="ko-KR"/>
        </w:rPr>
        <w:t xml:space="preserve"> νεφρικής </w:t>
      </w:r>
      <w:r>
        <w:rPr>
          <w:rFonts w:eastAsia="TimesNewRomanPSMT"/>
          <w:szCs w:val="22"/>
          <w:lang w:eastAsia="ko-KR"/>
        </w:rPr>
        <w:t>δυσλειτουργίας</w:t>
      </w:r>
      <w:r w:rsidRPr="00D50EB2">
        <w:rPr>
          <w:rFonts w:eastAsia="TimesNewRomanPSMT"/>
          <w:szCs w:val="22"/>
          <w:lang w:eastAsia="ko-KR"/>
        </w:rPr>
        <w:t xml:space="preserve"> (μειωμένη</w:t>
      </w:r>
      <w:r>
        <w:rPr>
          <w:rFonts w:eastAsia="TimesNewRomanPSMT"/>
          <w:szCs w:val="22"/>
          <w:lang w:eastAsia="ko-KR"/>
        </w:rPr>
        <w:t xml:space="preserve"> λειτουργία των νεφρών)</w:t>
      </w:r>
      <w:r w:rsidRPr="00D50EB2">
        <w:rPr>
          <w:rFonts w:eastAsia="TimesNewRomanPSMT"/>
          <w:szCs w:val="22"/>
          <w:lang w:eastAsia="ko-KR"/>
        </w:rPr>
        <w:t xml:space="preserve"> ή σοβαρές μολύνσεις της </w:t>
      </w:r>
      <w:r>
        <w:rPr>
          <w:rFonts w:eastAsia="TimesNewRomanPSMT"/>
          <w:szCs w:val="22"/>
          <w:lang w:eastAsia="ko-KR"/>
        </w:rPr>
        <w:t>ουροφόρου</w:t>
      </w:r>
      <w:r w:rsidRPr="00D50EB2">
        <w:rPr>
          <w:rFonts w:eastAsia="TimesNewRomanPSMT"/>
          <w:szCs w:val="22"/>
          <w:lang w:eastAsia="ko-KR"/>
        </w:rPr>
        <w:t xml:space="preserve"> οδού (</w:t>
      </w:r>
      <w:r>
        <w:rPr>
          <w:rFonts w:eastAsia="TimesNewRomanPSMT"/>
          <w:szCs w:val="22"/>
          <w:lang w:eastAsia="ko-KR"/>
        </w:rPr>
        <w:t xml:space="preserve">δομή </w:t>
      </w:r>
      <w:r w:rsidRPr="00D50EB2">
        <w:rPr>
          <w:rFonts w:eastAsia="TimesNewRomanPSMT"/>
          <w:szCs w:val="22"/>
          <w:lang w:eastAsia="ko-KR"/>
        </w:rPr>
        <w:t>για την αποβολή των ούρων),</w:t>
      </w:r>
      <w:r>
        <w:rPr>
          <w:rFonts w:eastAsia="TimesNewRomanPSMT"/>
          <w:szCs w:val="22"/>
          <w:lang w:eastAsia="ko-KR"/>
        </w:rPr>
        <w:t xml:space="preserve"> </w:t>
      </w:r>
      <w:r w:rsidRPr="00D50EB2">
        <w:rPr>
          <w:rFonts w:eastAsia="TimesNewRomanPSMT"/>
          <w:szCs w:val="22"/>
          <w:lang w:eastAsia="ko-KR"/>
        </w:rPr>
        <w:t xml:space="preserve">καθώς ο γιατρός </w:t>
      </w:r>
      <w:r>
        <w:rPr>
          <w:rFonts w:eastAsia="TimesNewRomanPSMT"/>
          <w:szCs w:val="22"/>
          <w:lang w:eastAsia="ko-KR"/>
        </w:rPr>
        <w:t xml:space="preserve">ενδέχεται να χρειαστεί να προσαρμόσει </w:t>
      </w:r>
      <w:r w:rsidRPr="00D50EB2">
        <w:rPr>
          <w:rFonts w:eastAsia="TimesNewRomanPSMT"/>
          <w:szCs w:val="22"/>
          <w:lang w:eastAsia="ko-KR"/>
        </w:rPr>
        <w:t>τη δ</w:t>
      </w:r>
      <w:r>
        <w:rPr>
          <w:rFonts w:eastAsia="TimesNewRomanPSMT"/>
          <w:szCs w:val="22"/>
          <w:lang w:eastAsia="ko-KR"/>
        </w:rPr>
        <w:t>όση</w:t>
      </w:r>
      <w:r w:rsidRPr="00D50EB2">
        <w:rPr>
          <w:rFonts w:eastAsia="TimesNewRomanPSMT"/>
          <w:szCs w:val="22"/>
          <w:lang w:eastAsia="ko-KR"/>
        </w:rPr>
        <w:t xml:space="preserve"> του φαρμάκου</w:t>
      </w:r>
      <w:r>
        <w:rPr>
          <w:rFonts w:eastAsia="TimesNewRomanPSMT"/>
          <w:szCs w:val="22"/>
          <w:lang w:eastAsia="ko-KR"/>
        </w:rPr>
        <w:t xml:space="preserve"> σας</w:t>
      </w:r>
      <w:r w:rsidRPr="00D50EB2">
        <w:rPr>
          <w:rFonts w:eastAsia="TimesNewRomanPSMT"/>
          <w:szCs w:val="22"/>
          <w:lang w:eastAsia="ko-KR"/>
        </w:rPr>
        <w:t>.</w:t>
      </w:r>
    </w:p>
    <w:p w:rsidR="005318A6" w:rsidRPr="00E01A5E" w:rsidRDefault="005318A6" w:rsidP="005318A6">
      <w:pPr>
        <w:rPr>
          <w:b/>
          <w:noProof/>
        </w:rPr>
      </w:pPr>
    </w:p>
    <w:p w:rsidR="005318A6" w:rsidRPr="00607417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607417">
        <w:rPr>
          <w:rFonts w:eastAsia="TimesNewRomanPSMT"/>
          <w:szCs w:val="22"/>
          <w:lang w:eastAsia="ko-KR"/>
        </w:rPr>
        <w:t xml:space="preserve">Στην περίπτωση που υποφέρετε από νεφρική </w:t>
      </w:r>
      <w:r>
        <w:rPr>
          <w:rFonts w:eastAsia="TimesNewRomanPSMT"/>
          <w:szCs w:val="22"/>
          <w:lang w:eastAsia="ko-KR"/>
        </w:rPr>
        <w:t>δυσλειτουργία</w:t>
      </w:r>
      <w:r w:rsidRPr="00607417">
        <w:rPr>
          <w:rFonts w:eastAsia="TimesNewRomanPSMT"/>
          <w:szCs w:val="22"/>
          <w:lang w:eastAsia="ko-KR"/>
        </w:rPr>
        <w:t xml:space="preserve"> (προβλήματα </w:t>
      </w:r>
      <w:r>
        <w:rPr>
          <w:rFonts w:eastAsia="TimesNewRomanPSMT"/>
          <w:szCs w:val="22"/>
          <w:lang w:eastAsia="ko-KR"/>
        </w:rPr>
        <w:t>των νεφρών</w:t>
      </w:r>
      <w:r w:rsidRPr="00607417">
        <w:rPr>
          <w:rFonts w:eastAsia="TimesNewRomanPSMT"/>
          <w:szCs w:val="22"/>
          <w:lang w:eastAsia="ko-KR"/>
        </w:rPr>
        <w:t>), ο γιατρός σας πρέπει να παρακολουθεί στενά τη νεφρική λειτουργία σας και εάν είναι απαραίτητο να προσαρμόζει</w:t>
      </w:r>
      <w:r>
        <w:rPr>
          <w:rFonts w:eastAsia="TimesNewRomanPSMT"/>
          <w:szCs w:val="22"/>
          <w:lang w:eastAsia="ko-KR"/>
        </w:rPr>
        <w:t xml:space="preserve"> ανάλογα τις δόσεις της μεμαντίνης</w:t>
      </w:r>
      <w:r w:rsidRPr="00607417">
        <w:rPr>
          <w:rFonts w:eastAsia="TimesNewRomanPSMT"/>
          <w:szCs w:val="22"/>
          <w:lang w:eastAsia="ko-KR"/>
        </w:rPr>
        <w:t>.</w:t>
      </w:r>
    </w:p>
    <w:p w:rsidR="005318A6" w:rsidRPr="004E3374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Pr="00607417" w:rsidRDefault="005318A6" w:rsidP="005318A6">
      <w:pPr>
        <w:widowControl/>
        <w:autoSpaceDE w:val="0"/>
        <w:autoSpaceDN w:val="0"/>
        <w:adjustRightInd w:val="0"/>
        <w:rPr>
          <w:noProof/>
        </w:rPr>
      </w:pPr>
      <w:r w:rsidRPr="00607417">
        <w:rPr>
          <w:rFonts w:eastAsia="TimesNewRomanPSMT"/>
          <w:szCs w:val="22"/>
          <w:lang w:eastAsia="ko-KR"/>
        </w:rPr>
        <w:t xml:space="preserve">Η χρήση </w:t>
      </w:r>
      <w:r>
        <w:rPr>
          <w:rFonts w:eastAsia="TimesNewRomanPSMT"/>
          <w:szCs w:val="22"/>
          <w:lang w:eastAsia="ko-KR"/>
        </w:rPr>
        <w:t>φαρμακευτικών</w:t>
      </w:r>
      <w:r w:rsidRPr="00607417">
        <w:rPr>
          <w:rFonts w:eastAsia="TimesNewRomanPSMT"/>
          <w:szCs w:val="22"/>
          <w:lang w:eastAsia="ko-KR"/>
        </w:rPr>
        <w:t xml:space="preserve"> προϊόντων </w:t>
      </w:r>
      <w:r>
        <w:rPr>
          <w:rFonts w:eastAsia="TimesNewRomanPSMT"/>
          <w:szCs w:val="22"/>
          <w:lang w:eastAsia="ko-KR"/>
        </w:rPr>
        <w:t>που ονομάζονται</w:t>
      </w:r>
      <w:r w:rsidRPr="00607417">
        <w:rPr>
          <w:rFonts w:eastAsia="TimesNewRomanPSMT"/>
          <w:szCs w:val="22"/>
          <w:lang w:eastAsia="ko-KR"/>
        </w:rPr>
        <w:t xml:space="preserve"> αμανταδίνη (για τη θεραπεία της</w:t>
      </w:r>
      <w:r>
        <w:rPr>
          <w:rFonts w:eastAsia="TimesNewRomanPSMT"/>
          <w:szCs w:val="22"/>
          <w:lang w:eastAsia="ko-KR"/>
        </w:rPr>
        <w:t xml:space="preserve"> </w:t>
      </w:r>
      <w:r w:rsidRPr="00607417">
        <w:rPr>
          <w:rFonts w:eastAsia="TimesNewRomanPSMT"/>
          <w:szCs w:val="22"/>
          <w:lang w:eastAsia="ko-KR"/>
        </w:rPr>
        <w:t>ασθένειας του Parkinson)</w:t>
      </w:r>
      <w:r>
        <w:rPr>
          <w:rFonts w:eastAsia="TimesNewRomanPSMT"/>
          <w:szCs w:val="22"/>
          <w:lang w:eastAsia="ko-KR"/>
        </w:rPr>
        <w:t>,</w:t>
      </w:r>
      <w:r w:rsidRPr="00607417">
        <w:rPr>
          <w:rFonts w:eastAsia="TimesNewRomanPSMT"/>
          <w:szCs w:val="22"/>
          <w:lang w:eastAsia="ko-KR"/>
        </w:rPr>
        <w:t xml:space="preserve"> κεταμίνη (μια ουσία που χρησιμοποιείται γενικά ως αναισθητικό)</w:t>
      </w:r>
      <w:r>
        <w:rPr>
          <w:rFonts w:eastAsia="TimesNewRomanPSMT"/>
          <w:szCs w:val="22"/>
          <w:lang w:eastAsia="ko-KR"/>
        </w:rPr>
        <w:t xml:space="preserve">, </w:t>
      </w:r>
      <w:r w:rsidRPr="00607417">
        <w:rPr>
          <w:rFonts w:eastAsia="TimesNewRomanPSMT"/>
          <w:szCs w:val="22"/>
          <w:lang w:eastAsia="ko-KR"/>
        </w:rPr>
        <w:t>δεξτρομεθορφάνη (</w:t>
      </w:r>
      <w:r>
        <w:rPr>
          <w:rFonts w:eastAsia="TimesNewRomanPSMT"/>
          <w:szCs w:val="22"/>
          <w:lang w:eastAsia="ko-KR"/>
        </w:rPr>
        <w:t>χρησιμοποιείται γενικά</w:t>
      </w:r>
      <w:r w:rsidRPr="00607417">
        <w:rPr>
          <w:rFonts w:eastAsia="TimesNewRomanPSMT"/>
          <w:szCs w:val="22"/>
          <w:lang w:eastAsia="ko-KR"/>
        </w:rPr>
        <w:t xml:space="preserve"> για την θεραπεία του βήχα) και άλλων ανταγωνιστών-NMDA πρέπει να αποφεύγεται.</w:t>
      </w:r>
    </w:p>
    <w:p w:rsidR="005318A6" w:rsidRPr="00E01A5E" w:rsidRDefault="005318A6" w:rsidP="005318A6">
      <w:pPr>
        <w:rPr>
          <w:b/>
          <w:bCs/>
          <w:noProof/>
        </w:rPr>
      </w:pPr>
    </w:p>
    <w:p w:rsidR="005318A6" w:rsidRPr="00E01A5E" w:rsidRDefault="005318A6" w:rsidP="005318A6">
      <w:pPr>
        <w:rPr>
          <w:b/>
          <w:bCs/>
          <w:noProof/>
        </w:rPr>
      </w:pPr>
      <w:r w:rsidRPr="00E01A5E">
        <w:rPr>
          <w:b/>
          <w:bCs/>
          <w:noProof/>
        </w:rPr>
        <w:t xml:space="preserve">Παιδιά </w:t>
      </w:r>
      <w:r>
        <w:rPr>
          <w:b/>
          <w:bCs/>
          <w:noProof/>
        </w:rPr>
        <w:t>και έφηβοι</w:t>
      </w:r>
    </w:p>
    <w:p w:rsidR="005318A6" w:rsidRDefault="005318A6" w:rsidP="005318A6">
      <w:pPr>
        <w:rPr>
          <w:b/>
          <w:bCs/>
          <w:noProof/>
        </w:rPr>
      </w:pPr>
    </w:p>
    <w:p w:rsidR="005318A6" w:rsidRPr="00C64814" w:rsidRDefault="005318A6" w:rsidP="005318A6">
      <w:pPr>
        <w:rPr>
          <w:bCs/>
          <w:noProof/>
        </w:rPr>
      </w:pPr>
      <w:r w:rsidRPr="00C64814">
        <w:rPr>
          <w:rFonts w:eastAsia="TimesNewRomanPSMT"/>
          <w:szCs w:val="22"/>
          <w:lang w:eastAsia="ko-KR"/>
        </w:rPr>
        <w:t xml:space="preserve">Το </w:t>
      </w:r>
      <w:r>
        <w:rPr>
          <w:rFonts w:eastAsia="TimesNewRomanPSMT"/>
          <w:szCs w:val="22"/>
          <w:lang w:val="en-US" w:eastAsia="ko-KR"/>
        </w:rPr>
        <w:t>Cognomem</w:t>
      </w:r>
      <w:r w:rsidRPr="00C64814">
        <w:rPr>
          <w:rFonts w:eastAsia="TimesNewRomanPSMT"/>
          <w:szCs w:val="22"/>
          <w:lang w:eastAsia="ko-KR"/>
        </w:rPr>
        <w:t xml:space="preserve"> δε συνιστάται για χρήση σε παιδιά και εφήβους </w:t>
      </w:r>
      <w:r>
        <w:rPr>
          <w:rFonts w:eastAsia="TimesNewRomanPSMT"/>
          <w:szCs w:val="22"/>
          <w:lang w:eastAsia="ko-KR"/>
        </w:rPr>
        <w:t xml:space="preserve">ηλικίας </w:t>
      </w:r>
      <w:r w:rsidRPr="00C64814">
        <w:rPr>
          <w:rFonts w:eastAsia="TimesNewRomanPSMT"/>
          <w:szCs w:val="22"/>
          <w:lang w:eastAsia="ko-KR"/>
        </w:rPr>
        <w:t>κάτω των 18 ετών.</w:t>
      </w:r>
    </w:p>
    <w:p w:rsidR="005318A6" w:rsidRPr="00E01A5E" w:rsidRDefault="005318A6" w:rsidP="005318A6">
      <w:pPr>
        <w:rPr>
          <w:b/>
          <w:bCs/>
          <w:noProof/>
        </w:rPr>
      </w:pPr>
    </w:p>
    <w:p w:rsidR="005318A6" w:rsidRPr="00E01A5E" w:rsidRDefault="005318A6" w:rsidP="005318A6">
      <w:pPr>
        <w:rPr>
          <w:b/>
          <w:bCs/>
          <w:noProof/>
        </w:rPr>
      </w:pPr>
      <w:r w:rsidRPr="00E01A5E">
        <w:rPr>
          <w:b/>
          <w:bCs/>
          <w:noProof/>
        </w:rPr>
        <w:t xml:space="preserve">Άλλα φάρμακα και </w:t>
      </w:r>
      <w:r w:rsidRPr="00E01A5E">
        <w:rPr>
          <w:b/>
          <w:noProof/>
          <w:lang w:val="en-US"/>
        </w:rPr>
        <w:t>Cognomem</w:t>
      </w:r>
    </w:p>
    <w:p w:rsidR="005318A6" w:rsidRDefault="005318A6" w:rsidP="005318A6">
      <w:pPr>
        <w:jc w:val="both"/>
        <w:rPr>
          <w:noProof/>
        </w:rPr>
      </w:pPr>
    </w:p>
    <w:p w:rsidR="005318A6" w:rsidRDefault="005318A6" w:rsidP="005318A6">
      <w:pPr>
        <w:rPr>
          <w:noProof/>
        </w:rPr>
      </w:pPr>
      <w:r w:rsidRPr="00E01A5E">
        <w:rPr>
          <w:noProof/>
        </w:rPr>
        <w:t>Ενημερώστε τον γιατρό ή τον φαρμακοποιό</w:t>
      </w:r>
      <w:r>
        <w:rPr>
          <w:noProof/>
        </w:rPr>
        <w:t xml:space="preserve"> σας εάν </w:t>
      </w:r>
      <w:r w:rsidRPr="00E01A5E">
        <w:rPr>
          <w:noProof/>
        </w:rPr>
        <w:t>παίρνετε</w:t>
      </w:r>
      <w:r>
        <w:rPr>
          <w:noProof/>
        </w:rPr>
        <w:t>, έχετε πρόσφατα πάρει</w:t>
      </w:r>
      <w:r w:rsidRPr="00E01A5E">
        <w:rPr>
          <w:noProof/>
        </w:rPr>
        <w:t xml:space="preserve"> </w:t>
      </w:r>
      <w:r>
        <w:rPr>
          <w:noProof/>
        </w:rPr>
        <w:t xml:space="preserve">ή μπορεί να </w:t>
      </w:r>
      <w:r w:rsidRPr="00E01A5E">
        <w:rPr>
          <w:noProof/>
        </w:rPr>
        <w:t>πάρετε άλλα φάρμακα.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Συγκεκριμένα</w:t>
      </w:r>
      <w:r>
        <w:rPr>
          <w:rFonts w:eastAsia="TimesNewRomanPSMT"/>
          <w:szCs w:val="22"/>
          <w:lang w:eastAsia="ko-KR"/>
        </w:rPr>
        <w:t>,</w:t>
      </w:r>
      <w:r w:rsidRPr="005E62F0">
        <w:rPr>
          <w:rFonts w:eastAsia="TimesNewRomanPSMT"/>
          <w:szCs w:val="22"/>
          <w:lang w:eastAsia="ko-KR"/>
        </w:rPr>
        <w:t xml:space="preserve"> το </w:t>
      </w:r>
      <w:r>
        <w:rPr>
          <w:rFonts w:eastAsia="TimesNewRomanPSMT"/>
          <w:szCs w:val="22"/>
          <w:lang w:val="en-US" w:eastAsia="ko-KR"/>
        </w:rPr>
        <w:t>Cognomem</w:t>
      </w:r>
      <w:r w:rsidRPr="00C64814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ενδέχεται</w:t>
      </w:r>
      <w:r w:rsidRPr="005E62F0">
        <w:rPr>
          <w:rFonts w:eastAsia="TimesNewRomanPSMT"/>
          <w:szCs w:val="22"/>
          <w:lang w:eastAsia="ko-KR"/>
        </w:rPr>
        <w:t xml:space="preserve"> να μεταβάλει την επίδραση των παρακάτω φαρμάκων και η δόση τους</w:t>
      </w:r>
      <w:r>
        <w:rPr>
          <w:rFonts w:eastAsia="TimesNewRomanPSMT"/>
          <w:szCs w:val="22"/>
          <w:lang w:eastAsia="ko-KR"/>
        </w:rPr>
        <w:t xml:space="preserve"> ενδέχεται να χρειαστεί</w:t>
      </w:r>
      <w:r w:rsidRPr="005E62F0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να προσαρμοστεί</w:t>
      </w:r>
      <w:r w:rsidRPr="005E62F0">
        <w:rPr>
          <w:rFonts w:eastAsia="TimesNewRomanPSMT"/>
          <w:szCs w:val="22"/>
          <w:lang w:eastAsia="ko-KR"/>
        </w:rPr>
        <w:t xml:space="preserve"> από το γιατρό σας: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 xml:space="preserve">αμανταδίνη, κεταμίνη, </w:t>
      </w:r>
      <w:r>
        <w:rPr>
          <w:rFonts w:eastAsia="TimesNewRomanPSMT"/>
          <w:szCs w:val="22"/>
          <w:lang w:eastAsia="ko-KR"/>
        </w:rPr>
        <w:t>δεξτρομεθορφάνη,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δαντρολένιο, βακλοφαίνη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σιμετιδίνη, ρανιτιδίνη, προκαϊναμίδη, κινιδίνη, κινίνη, νικοτίνη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υδροχλωροθειαζίδη (ή οποιοσδήποτε συνδυασμός με υδροχλωροθειαζίδη)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 xml:space="preserve">αντιχολινεργικά (ουσίες </w:t>
      </w:r>
      <w:r>
        <w:rPr>
          <w:rFonts w:eastAsia="TimesNewRomanPSMT"/>
          <w:szCs w:val="22"/>
          <w:lang w:eastAsia="ko-KR"/>
        </w:rPr>
        <w:t>που γενικά χρησιμοποιούνται για τη</w:t>
      </w:r>
      <w:r w:rsidRPr="005E62F0">
        <w:rPr>
          <w:rFonts w:eastAsia="TimesNewRomanPSMT"/>
          <w:szCs w:val="22"/>
          <w:lang w:eastAsia="ko-KR"/>
        </w:rPr>
        <w:t xml:space="preserve"> θεραπεία κινητικών</w:t>
      </w:r>
      <w:r>
        <w:rPr>
          <w:rFonts w:eastAsia="TimesNewRomanPSMT"/>
          <w:szCs w:val="22"/>
          <w:lang w:eastAsia="ko-KR"/>
        </w:rPr>
        <w:t xml:space="preserve"> </w:t>
      </w:r>
      <w:r w:rsidRPr="005E62F0">
        <w:rPr>
          <w:rFonts w:eastAsia="TimesNewRomanPSMT"/>
          <w:szCs w:val="22"/>
          <w:lang w:eastAsia="ko-KR"/>
        </w:rPr>
        <w:t>διαταραχών και των εντερικών συσπάσεων)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αντι</w:t>
      </w:r>
      <w:r>
        <w:rPr>
          <w:rFonts w:eastAsia="TimesNewRomanPSMT"/>
          <w:szCs w:val="22"/>
          <w:lang w:eastAsia="ko-KR"/>
        </w:rPr>
        <w:t>σπασμωδι</w:t>
      </w:r>
      <w:r w:rsidRPr="005E62F0">
        <w:rPr>
          <w:rFonts w:eastAsia="TimesNewRomanPSMT"/>
          <w:szCs w:val="22"/>
          <w:lang w:eastAsia="ko-KR"/>
        </w:rPr>
        <w:t>κά (ουσίες που χρησιμοπ</w:t>
      </w:r>
      <w:r>
        <w:rPr>
          <w:rFonts w:eastAsia="TimesNewRomanPSMT"/>
          <w:szCs w:val="22"/>
          <w:lang w:eastAsia="ko-KR"/>
        </w:rPr>
        <w:t>οιούνται για την πρόληψη και τη</w:t>
      </w:r>
      <w:r w:rsidRPr="005E62F0">
        <w:rPr>
          <w:rFonts w:eastAsia="TimesNewRomanPSMT"/>
          <w:szCs w:val="22"/>
          <w:lang w:eastAsia="ko-KR"/>
        </w:rPr>
        <w:t xml:space="preserve"> θεραπεία των επιληπτικών</w:t>
      </w:r>
      <w:r w:rsidRPr="00433CCA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κρίσεων),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βαρβιτουρικά (ουσίες που γενικά χρησιμοποιούνται για την πρόκληση ύπνου)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ντοπαμινεργικοί αγωνιστές (ουσίες όπως η L-dopa, η βρωμοκρυπτίνη)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νευροληπτικά (ουσίες που χρησιμοποιούνται στη θεραπεία ψυχικών διαταραχών)</w:t>
      </w:r>
      <w:r>
        <w:rPr>
          <w:rFonts w:eastAsia="TimesNewRomanPSMT"/>
          <w:szCs w:val="22"/>
          <w:lang w:eastAsia="ko-KR"/>
        </w:rPr>
        <w:t>,</w:t>
      </w:r>
    </w:p>
    <w:p w:rsidR="005318A6" w:rsidRPr="005E62F0" w:rsidRDefault="005318A6" w:rsidP="005318A6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E62F0">
        <w:rPr>
          <w:rFonts w:eastAsia="TimesNewRomanPSMT"/>
          <w:szCs w:val="22"/>
          <w:lang w:eastAsia="ko-KR"/>
        </w:rPr>
        <w:t>από του στόματος αντιπηκτικά</w:t>
      </w:r>
      <w:r>
        <w:rPr>
          <w:rFonts w:eastAsia="TimesNewRomanPSMT"/>
          <w:szCs w:val="22"/>
          <w:lang w:eastAsia="ko-KR"/>
        </w:rPr>
        <w:t>.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Pr="005E62F0" w:rsidRDefault="005318A6" w:rsidP="005318A6">
      <w:pPr>
        <w:widowControl/>
        <w:autoSpaceDE w:val="0"/>
        <w:autoSpaceDN w:val="0"/>
        <w:adjustRightInd w:val="0"/>
        <w:rPr>
          <w:noProof/>
        </w:rPr>
      </w:pPr>
      <w:r w:rsidRPr="005E62F0">
        <w:rPr>
          <w:rFonts w:eastAsia="TimesNewRomanPSMT"/>
          <w:szCs w:val="22"/>
          <w:lang w:eastAsia="ko-KR"/>
        </w:rPr>
        <w:t>Στην περίπτωση εισαγωγής σας σε νοσοκομείο</w:t>
      </w:r>
      <w:r>
        <w:rPr>
          <w:rFonts w:eastAsia="TimesNewRomanPSMT"/>
          <w:szCs w:val="22"/>
          <w:lang w:eastAsia="ko-KR"/>
        </w:rPr>
        <w:t>,</w:t>
      </w:r>
      <w:r w:rsidRPr="005E62F0">
        <w:rPr>
          <w:rFonts w:eastAsia="TimesNewRomanPSMT"/>
          <w:szCs w:val="22"/>
          <w:lang w:eastAsia="ko-KR"/>
        </w:rPr>
        <w:t xml:space="preserve"> ενημερώστε το γιατρό σας </w:t>
      </w:r>
      <w:r>
        <w:rPr>
          <w:rFonts w:eastAsia="TimesNewRomanPSMT"/>
          <w:szCs w:val="22"/>
          <w:lang w:eastAsia="ko-KR"/>
        </w:rPr>
        <w:t>ότι παίρνετε</w:t>
      </w:r>
      <w:r w:rsidRPr="005E62F0">
        <w:rPr>
          <w:rFonts w:eastAsia="TimesNewRomanPSMT"/>
          <w:szCs w:val="22"/>
          <w:lang w:eastAsia="ko-KR"/>
        </w:rPr>
        <w:t xml:space="preserve"> το</w:t>
      </w:r>
      <w:r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val="en-US" w:eastAsia="ko-KR"/>
        </w:rPr>
        <w:t>Cognomem</w:t>
      </w:r>
      <w:r w:rsidRPr="005E62F0">
        <w:rPr>
          <w:rFonts w:eastAsia="TimesNewRomanPSMT"/>
          <w:szCs w:val="22"/>
          <w:lang w:eastAsia="ko-KR"/>
        </w:rPr>
        <w:t>.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b/>
          <w:noProof/>
        </w:rPr>
      </w:pPr>
      <w:r w:rsidRPr="00E01A5E">
        <w:rPr>
          <w:b/>
          <w:noProof/>
        </w:rPr>
        <w:t xml:space="preserve">Το </w:t>
      </w:r>
      <w:r w:rsidRPr="00E01A5E">
        <w:rPr>
          <w:b/>
          <w:noProof/>
          <w:lang w:val="en-US"/>
        </w:rPr>
        <w:t>Cognomem</w:t>
      </w:r>
      <w:r w:rsidRPr="00E01A5E">
        <w:rPr>
          <w:b/>
          <w:noProof/>
        </w:rPr>
        <w:t xml:space="preserve"> με τροφές, ποτά και </w:t>
      </w:r>
      <w:r>
        <w:rPr>
          <w:b/>
          <w:noProof/>
        </w:rPr>
        <w:t>οινόπνευμα</w:t>
      </w:r>
    </w:p>
    <w:p w:rsidR="005318A6" w:rsidRDefault="005318A6" w:rsidP="005318A6">
      <w:pPr>
        <w:rPr>
          <w:b/>
          <w:noProof/>
        </w:rPr>
      </w:pPr>
    </w:p>
    <w:p w:rsidR="005318A6" w:rsidRPr="00D50EB2" w:rsidRDefault="005318A6" w:rsidP="005318A6">
      <w:pPr>
        <w:widowControl/>
        <w:autoSpaceDE w:val="0"/>
        <w:autoSpaceDN w:val="0"/>
        <w:adjustRightInd w:val="0"/>
        <w:rPr>
          <w:noProof/>
        </w:rPr>
      </w:pPr>
      <w:r w:rsidRPr="00D50EB2">
        <w:rPr>
          <w:rFonts w:eastAsia="TimesNewRomanPSMT"/>
          <w:szCs w:val="22"/>
          <w:lang w:eastAsia="ko-KR"/>
        </w:rPr>
        <w:t>Θα πρέπει να ενημερώ</w:t>
      </w:r>
      <w:r>
        <w:rPr>
          <w:rFonts w:eastAsia="TimesNewRomanPSMT"/>
          <w:szCs w:val="22"/>
          <w:lang w:eastAsia="ko-KR"/>
        </w:rPr>
        <w:t>σ</w:t>
      </w:r>
      <w:r w:rsidRPr="00D50EB2">
        <w:rPr>
          <w:rFonts w:eastAsia="TimesNewRomanPSMT"/>
          <w:szCs w:val="22"/>
          <w:lang w:eastAsia="ko-KR"/>
        </w:rPr>
        <w:t>ετε το γιατρό σας σε περίπτωση που έχετε προσφάτως αλλάξει ή σκοπεύετε να</w:t>
      </w:r>
      <w:r>
        <w:rPr>
          <w:rFonts w:eastAsia="TimesNewRomanPSMT"/>
          <w:szCs w:val="22"/>
          <w:lang w:eastAsia="ko-KR"/>
        </w:rPr>
        <w:t xml:space="preserve"> </w:t>
      </w:r>
      <w:r w:rsidRPr="00D50EB2">
        <w:rPr>
          <w:rFonts w:eastAsia="TimesNewRomanPSMT"/>
          <w:szCs w:val="22"/>
          <w:lang w:eastAsia="ko-KR"/>
        </w:rPr>
        <w:t xml:space="preserve">αλλάξετε </w:t>
      </w:r>
      <w:r>
        <w:rPr>
          <w:rFonts w:eastAsia="TimesNewRomanPSMT"/>
          <w:szCs w:val="22"/>
          <w:lang w:eastAsia="ko-KR"/>
        </w:rPr>
        <w:t>σημαντικά τη</w:t>
      </w:r>
      <w:r w:rsidRPr="00D50EB2">
        <w:rPr>
          <w:rFonts w:eastAsia="TimesNewRomanPSMT"/>
          <w:szCs w:val="22"/>
          <w:lang w:eastAsia="ko-KR"/>
        </w:rPr>
        <w:t xml:space="preserve"> διατρ</w:t>
      </w:r>
      <w:r>
        <w:rPr>
          <w:rFonts w:eastAsia="TimesNewRomanPSMT"/>
          <w:szCs w:val="22"/>
          <w:lang w:eastAsia="ko-KR"/>
        </w:rPr>
        <w:t>οφή</w:t>
      </w:r>
      <w:r w:rsidRPr="00D50EB2">
        <w:rPr>
          <w:rFonts w:eastAsia="TimesNewRomanPSMT"/>
          <w:szCs w:val="22"/>
          <w:lang w:eastAsia="ko-KR"/>
        </w:rPr>
        <w:t xml:space="preserve"> σας (π.χ. από κανονική διατροφή σε διατροφή</w:t>
      </w:r>
      <w:r>
        <w:rPr>
          <w:rFonts w:eastAsia="TimesNewRomanPSMT"/>
          <w:szCs w:val="22"/>
          <w:lang w:eastAsia="ko-KR"/>
        </w:rPr>
        <w:t xml:space="preserve"> </w:t>
      </w:r>
      <w:r w:rsidRPr="00D50EB2">
        <w:rPr>
          <w:rFonts w:eastAsia="TimesNewRomanPSMT"/>
          <w:szCs w:val="22"/>
          <w:lang w:eastAsia="ko-KR"/>
        </w:rPr>
        <w:t>αυστηρά με βάση τα λαχανικά),</w:t>
      </w:r>
      <w:r>
        <w:rPr>
          <w:rFonts w:eastAsia="TimesNewRomanPSMT"/>
          <w:szCs w:val="22"/>
          <w:lang w:eastAsia="ko-KR"/>
        </w:rPr>
        <w:t xml:space="preserve"> </w:t>
      </w:r>
      <w:r w:rsidRPr="00D50EB2">
        <w:rPr>
          <w:rFonts w:eastAsia="TimesNewRomanPSMT"/>
          <w:szCs w:val="22"/>
          <w:lang w:eastAsia="ko-KR"/>
        </w:rPr>
        <w:t xml:space="preserve">καθώς ο γιατρός </w:t>
      </w:r>
      <w:r>
        <w:rPr>
          <w:rFonts w:eastAsia="TimesNewRomanPSMT"/>
          <w:szCs w:val="22"/>
          <w:lang w:eastAsia="ko-KR"/>
        </w:rPr>
        <w:t xml:space="preserve">ενδέχεται να χρειαστεί να προσαρμόσει </w:t>
      </w:r>
      <w:r w:rsidRPr="00D50EB2">
        <w:rPr>
          <w:rFonts w:eastAsia="TimesNewRomanPSMT"/>
          <w:szCs w:val="22"/>
          <w:lang w:eastAsia="ko-KR"/>
        </w:rPr>
        <w:t>τη δ</w:t>
      </w:r>
      <w:r>
        <w:rPr>
          <w:rFonts w:eastAsia="TimesNewRomanPSMT"/>
          <w:szCs w:val="22"/>
          <w:lang w:eastAsia="ko-KR"/>
        </w:rPr>
        <w:t>όση</w:t>
      </w:r>
      <w:r w:rsidRPr="00D50EB2">
        <w:rPr>
          <w:rFonts w:eastAsia="TimesNewRomanPSMT"/>
          <w:szCs w:val="22"/>
          <w:lang w:eastAsia="ko-KR"/>
        </w:rPr>
        <w:t xml:space="preserve"> του φαρμάκου</w:t>
      </w:r>
      <w:r>
        <w:rPr>
          <w:rFonts w:eastAsia="TimesNewRomanPSMT"/>
          <w:szCs w:val="22"/>
          <w:lang w:eastAsia="ko-KR"/>
        </w:rPr>
        <w:t xml:space="preserve"> σας</w:t>
      </w:r>
      <w:r w:rsidRPr="00D50EB2">
        <w:rPr>
          <w:rFonts w:eastAsia="TimesNewRomanPSMT"/>
          <w:szCs w:val="22"/>
          <w:lang w:eastAsia="ko-KR"/>
        </w:rPr>
        <w:t>.</w:t>
      </w:r>
    </w:p>
    <w:p w:rsidR="005318A6" w:rsidRPr="00E01A5E" w:rsidRDefault="005318A6" w:rsidP="005318A6">
      <w:pPr>
        <w:rPr>
          <w:b/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Κύηση, θηλασμός και γονιμότητα</w:t>
      </w:r>
    </w:p>
    <w:p w:rsidR="005318A6" w:rsidRDefault="005318A6" w:rsidP="005318A6">
      <w:pPr>
        <w:jc w:val="both"/>
        <w:rPr>
          <w:noProof/>
        </w:rPr>
      </w:pPr>
    </w:p>
    <w:p w:rsidR="005318A6" w:rsidRDefault="005318A6" w:rsidP="005318A6">
      <w:pPr>
        <w:rPr>
          <w:noProof/>
        </w:rPr>
      </w:pPr>
      <w:r w:rsidRPr="00E01A5E">
        <w:rPr>
          <w:noProof/>
        </w:rPr>
        <w:t>Εάν είσθε έγκυος ή θηλάζετε, νομίζετε ότι μπορεί να είσθε έγκυος ή σχεδιάζετε να αποκτήσ</w:t>
      </w:r>
      <w:r>
        <w:rPr>
          <w:noProof/>
        </w:rPr>
        <w:t xml:space="preserve">ετε παιδί, ζητήστε τη συμβουλή </w:t>
      </w:r>
      <w:r w:rsidRPr="00E01A5E">
        <w:rPr>
          <w:noProof/>
        </w:rPr>
        <w:t>του γιατρο</w:t>
      </w:r>
      <w:r>
        <w:rPr>
          <w:noProof/>
        </w:rPr>
        <w:t>ύ</w:t>
      </w:r>
      <w:r w:rsidRPr="00E01A5E">
        <w:rPr>
          <w:noProof/>
        </w:rPr>
        <w:t xml:space="preserve"> ή </w:t>
      </w:r>
      <w:r>
        <w:rPr>
          <w:noProof/>
        </w:rPr>
        <w:t xml:space="preserve">του φαρμακοποιού </w:t>
      </w:r>
      <w:r w:rsidRPr="00E01A5E">
        <w:rPr>
          <w:noProof/>
        </w:rPr>
        <w:t>σας</w:t>
      </w:r>
      <w:r>
        <w:rPr>
          <w:noProof/>
        </w:rPr>
        <w:t xml:space="preserve"> προτού πάρετε αυτό το φάρμακο.</w:t>
      </w:r>
    </w:p>
    <w:p w:rsidR="005318A6" w:rsidRDefault="005318A6" w:rsidP="005318A6">
      <w:pPr>
        <w:rPr>
          <w:noProof/>
        </w:rPr>
      </w:pPr>
      <w:r>
        <w:rPr>
          <w:noProof/>
        </w:rPr>
        <w:t xml:space="preserve">Η χρήση του </w:t>
      </w:r>
      <w:r>
        <w:rPr>
          <w:noProof/>
          <w:lang w:val="en-US"/>
        </w:rPr>
        <w:t>Cognomem</w:t>
      </w:r>
      <w:r w:rsidRPr="00C54A6F">
        <w:rPr>
          <w:noProof/>
        </w:rPr>
        <w:t xml:space="preserve"> </w:t>
      </w:r>
      <w:r>
        <w:rPr>
          <w:noProof/>
        </w:rPr>
        <w:t>στις έγκυες γυναίκες δε συνιστάται.</w:t>
      </w:r>
    </w:p>
    <w:p w:rsidR="005318A6" w:rsidRPr="00E01A5E" w:rsidRDefault="005318A6" w:rsidP="005318A6">
      <w:pPr>
        <w:rPr>
          <w:noProof/>
        </w:rPr>
      </w:pPr>
      <w:r>
        <w:rPr>
          <w:noProof/>
        </w:rPr>
        <w:t>Οι γυναίκες που παίρνουν αυτό το φάρμακο δεν πρέπει να θηλάζουν.</w:t>
      </w:r>
    </w:p>
    <w:p w:rsidR="005318A6" w:rsidRPr="00E01A5E" w:rsidRDefault="005318A6" w:rsidP="005318A6">
      <w:pPr>
        <w:pStyle w:val="a3"/>
        <w:tabs>
          <w:tab w:val="clear" w:pos="4153"/>
          <w:tab w:val="clear" w:pos="8306"/>
        </w:tabs>
        <w:rPr>
          <w:b/>
          <w:noProof/>
        </w:rPr>
      </w:pPr>
      <w:r>
        <w:rPr>
          <w:noProof/>
        </w:rPr>
        <w:br w:type="page"/>
      </w:r>
      <w:r w:rsidRPr="00E01A5E">
        <w:rPr>
          <w:b/>
          <w:noProof/>
        </w:rPr>
        <w:lastRenderedPageBreak/>
        <w:t>Οδήγηση και χειρισμός μηχανών</w:t>
      </w:r>
    </w:p>
    <w:p w:rsidR="005318A6" w:rsidRPr="00E01A5E" w:rsidRDefault="005318A6" w:rsidP="005318A6">
      <w:pPr>
        <w:rPr>
          <w:noProof/>
        </w:rPr>
      </w:pPr>
    </w:p>
    <w:p w:rsidR="005318A6" w:rsidRPr="00C54A6F" w:rsidRDefault="005318A6" w:rsidP="005318A6">
      <w:pPr>
        <w:widowControl/>
        <w:autoSpaceDE w:val="0"/>
        <w:autoSpaceDN w:val="0"/>
        <w:adjustRightInd w:val="0"/>
        <w:rPr>
          <w:noProof/>
        </w:rPr>
      </w:pPr>
      <w:r w:rsidRPr="00C54A6F">
        <w:rPr>
          <w:rFonts w:eastAsia="TimesNewRomanPSMT"/>
          <w:szCs w:val="22"/>
          <w:lang w:eastAsia="ko-KR"/>
        </w:rPr>
        <w:t xml:space="preserve">Ο γιατρός </w:t>
      </w:r>
      <w:r>
        <w:rPr>
          <w:rFonts w:eastAsia="TimesNewRomanPSMT"/>
          <w:szCs w:val="22"/>
          <w:lang w:eastAsia="ko-KR"/>
        </w:rPr>
        <w:t>σας θα σά</w:t>
      </w:r>
      <w:r w:rsidRPr="00C54A6F">
        <w:rPr>
          <w:rFonts w:eastAsia="TimesNewRomanPSMT"/>
          <w:szCs w:val="22"/>
          <w:lang w:eastAsia="ko-KR"/>
        </w:rPr>
        <w:t xml:space="preserve">ς ενημερώσει για την περίπτωση που η ασθένειά σας </w:t>
      </w:r>
      <w:r>
        <w:rPr>
          <w:rFonts w:eastAsia="TimesNewRomanPSMT"/>
          <w:szCs w:val="22"/>
          <w:lang w:eastAsia="ko-KR"/>
        </w:rPr>
        <w:t xml:space="preserve">σάς </w:t>
      </w:r>
      <w:r w:rsidRPr="00C54A6F">
        <w:rPr>
          <w:rFonts w:eastAsia="TimesNewRomanPSMT"/>
          <w:szCs w:val="22"/>
          <w:lang w:eastAsia="ko-KR"/>
        </w:rPr>
        <w:t>επιτρέπει την οδήγηση και το</w:t>
      </w:r>
      <w:r>
        <w:rPr>
          <w:rFonts w:eastAsia="TimesNewRomanPSMT"/>
          <w:szCs w:val="22"/>
          <w:lang w:eastAsia="ko-KR"/>
        </w:rPr>
        <w:t xml:space="preserve"> </w:t>
      </w:r>
      <w:r w:rsidRPr="00C54A6F">
        <w:rPr>
          <w:rFonts w:eastAsia="TimesNewRomanPSMT"/>
          <w:szCs w:val="22"/>
          <w:lang w:eastAsia="ko-KR"/>
        </w:rPr>
        <w:t xml:space="preserve">χειρισμό μηχανημάτων με ασφάλεια. Επίσης, το </w:t>
      </w:r>
      <w:r>
        <w:rPr>
          <w:rFonts w:eastAsia="TimesNewRomanPSMT"/>
          <w:szCs w:val="22"/>
          <w:lang w:val="en-US" w:eastAsia="ko-KR"/>
        </w:rPr>
        <w:t>Cognomem</w:t>
      </w:r>
      <w:r w:rsidRPr="00C54A6F">
        <w:rPr>
          <w:rFonts w:eastAsia="TimesNewRomanPSMT"/>
          <w:szCs w:val="22"/>
          <w:lang w:eastAsia="ko-KR"/>
        </w:rPr>
        <w:t xml:space="preserve"> ενδέχεται να μεταβάλλει την ικανότητά σας</w:t>
      </w:r>
      <w:r>
        <w:rPr>
          <w:rFonts w:eastAsia="TimesNewRomanPSMT"/>
          <w:szCs w:val="22"/>
          <w:lang w:eastAsia="ko-KR"/>
        </w:rPr>
        <w:t xml:space="preserve"> </w:t>
      </w:r>
      <w:r w:rsidRPr="00C54A6F">
        <w:rPr>
          <w:rFonts w:eastAsia="TimesNewRomanPSMT"/>
          <w:szCs w:val="22"/>
          <w:lang w:eastAsia="ko-KR"/>
        </w:rPr>
        <w:t>για αντίδραση, καθιστώντας την οδήγηση ή τη χρήση μηχανημάτων ακατάλληλη.</w:t>
      </w:r>
    </w:p>
    <w:p w:rsidR="005318A6" w:rsidRPr="00E01A5E" w:rsidRDefault="005318A6" w:rsidP="005318A6">
      <w:pPr>
        <w:rPr>
          <w:noProof/>
        </w:rPr>
      </w:pPr>
    </w:p>
    <w:p w:rsidR="005318A6" w:rsidRPr="003C4A6C" w:rsidRDefault="005318A6" w:rsidP="005318A6">
      <w:pPr>
        <w:rPr>
          <w:noProof/>
        </w:rPr>
      </w:pPr>
      <w:r w:rsidRPr="00E01A5E">
        <w:rPr>
          <w:b/>
          <w:noProof/>
        </w:rPr>
        <w:t xml:space="preserve">Το </w:t>
      </w:r>
      <w:r w:rsidRPr="00E01A5E">
        <w:rPr>
          <w:b/>
          <w:noProof/>
          <w:lang w:val="en-US"/>
        </w:rPr>
        <w:t>Cognomem</w:t>
      </w:r>
      <w:r w:rsidRPr="00E01A5E">
        <w:rPr>
          <w:b/>
          <w:noProof/>
        </w:rPr>
        <w:t xml:space="preserve"> περιέχει </w:t>
      </w:r>
      <w:r>
        <w:rPr>
          <w:b/>
          <w:bCs/>
          <w:noProof/>
        </w:rPr>
        <w:t>λακτόζη</w:t>
      </w:r>
    </w:p>
    <w:p w:rsidR="005318A6" w:rsidRPr="003C4A6C" w:rsidRDefault="005318A6" w:rsidP="005318A6">
      <w:pPr>
        <w:rPr>
          <w:noProof/>
        </w:rPr>
      </w:pPr>
      <w:r>
        <w:t>Αν ο γιατρός σας, σας ενημέρωσε ότι έχετε δυσανεξία σε ορισμένα σάκχαρα, επικοινωνήστε με τον γιατρό σας πριν πάρετε αυτό το φαρμακευτικό προϊόν.</w:t>
      </w:r>
    </w:p>
    <w:p w:rsidR="005318A6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3.</w:t>
      </w:r>
      <w:r w:rsidRPr="00E01A5E">
        <w:rPr>
          <w:b/>
          <w:noProof/>
        </w:rPr>
        <w:tab/>
        <w:t xml:space="preserve">Πώς να πάρετε το </w:t>
      </w:r>
      <w:r w:rsidRPr="00E01A5E">
        <w:rPr>
          <w:b/>
          <w:noProof/>
          <w:lang w:val="en-US"/>
        </w:rPr>
        <w:t>Cognomem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Πάντοτε να παίρνετε το φάρμακο αυτό αυστηρά σύμφ</w:t>
      </w:r>
      <w:r>
        <w:rPr>
          <w:noProof/>
        </w:rPr>
        <w:t xml:space="preserve">ωνα με τις οδηγίες του γιατρού </w:t>
      </w:r>
      <w:r w:rsidRPr="00E01A5E">
        <w:rPr>
          <w:noProof/>
        </w:rPr>
        <w:t>ή του</w:t>
      </w:r>
      <w:r>
        <w:rPr>
          <w:noProof/>
        </w:rPr>
        <w:t xml:space="preserve"> </w:t>
      </w:r>
      <w:r w:rsidRPr="00E01A5E">
        <w:rPr>
          <w:noProof/>
        </w:rPr>
        <w:t>φαρμακοποιού σας.</w:t>
      </w:r>
      <w:r>
        <w:rPr>
          <w:noProof/>
        </w:rPr>
        <w:t xml:space="preserve"> Εάν έχετε αμφιβολίες, ρωτήστε </w:t>
      </w:r>
      <w:r w:rsidRPr="00E01A5E">
        <w:rPr>
          <w:noProof/>
        </w:rPr>
        <w:t>τον για</w:t>
      </w:r>
      <w:r>
        <w:rPr>
          <w:noProof/>
        </w:rPr>
        <w:t>τρό ή τον φαρμακοποιό σας.</w:t>
      </w:r>
    </w:p>
    <w:p w:rsidR="005318A6" w:rsidRPr="00E01A5E" w:rsidRDefault="005318A6" w:rsidP="005318A6">
      <w:pPr>
        <w:jc w:val="both"/>
        <w:rPr>
          <w:noProof/>
        </w:rPr>
      </w:pPr>
    </w:p>
    <w:p w:rsidR="005318A6" w:rsidRDefault="005318A6" w:rsidP="005318A6">
      <w:pPr>
        <w:jc w:val="both"/>
        <w:rPr>
          <w:b/>
          <w:noProof/>
        </w:rPr>
      </w:pPr>
      <w:r>
        <w:rPr>
          <w:b/>
          <w:noProof/>
        </w:rPr>
        <w:t>Δοσολογία</w:t>
      </w:r>
    </w:p>
    <w:p w:rsidR="005318A6" w:rsidRDefault="005318A6" w:rsidP="005318A6">
      <w:pPr>
        <w:jc w:val="both"/>
        <w:rPr>
          <w:b/>
          <w:noProof/>
        </w:rPr>
      </w:pPr>
    </w:p>
    <w:p w:rsidR="005318A6" w:rsidRPr="005318A6" w:rsidRDefault="005318A6" w:rsidP="005318A6">
      <w:pPr>
        <w:jc w:val="both"/>
        <w:rPr>
          <w:noProof/>
        </w:rPr>
      </w:pPr>
      <w:r>
        <w:rPr>
          <w:noProof/>
        </w:rPr>
        <w:t xml:space="preserve">Η συνιστώμενη δόση του </w:t>
      </w:r>
      <w:r>
        <w:rPr>
          <w:noProof/>
          <w:lang w:val="en-US"/>
        </w:rPr>
        <w:t>Cognomem</w:t>
      </w:r>
      <w:r w:rsidRPr="00E57B54">
        <w:rPr>
          <w:noProof/>
        </w:rPr>
        <w:t xml:space="preserve"> </w:t>
      </w:r>
      <w:r>
        <w:rPr>
          <w:noProof/>
        </w:rPr>
        <w:t>για τους ενήλικες και ηλικιωμένους ασθενείς είναι 20 </w:t>
      </w:r>
      <w:r>
        <w:rPr>
          <w:noProof/>
          <w:lang w:val="en-US"/>
        </w:rPr>
        <w:t>mg</w:t>
      </w:r>
      <w:r>
        <w:rPr>
          <w:noProof/>
        </w:rPr>
        <w:t xml:space="preserve"> μία φορά την ημέρα. Προκειμένου να μειωθεί ο κίνδυνος ανεπιθύμητων ενεργειών, η δόση αυτή επιτυγχάνεται σταδιακά βάσει του ακόλουθου ημερήσιου θεραπευτικού σχήματος:</w:t>
      </w:r>
    </w:p>
    <w:p w:rsidR="005318A6" w:rsidRPr="005318A6" w:rsidRDefault="005318A6" w:rsidP="005318A6">
      <w:pPr>
        <w:jc w:val="both"/>
        <w:rPr>
          <w:noProof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3969"/>
      </w:tblGrid>
      <w:tr w:rsidR="005318A6" w:rsidTr="008F7637">
        <w:tc>
          <w:tcPr>
            <w:tcW w:w="1559" w:type="dxa"/>
            <w:shd w:val="clear" w:color="auto" w:fill="auto"/>
          </w:tcPr>
          <w:p w:rsidR="005318A6" w:rsidRDefault="005318A6" w:rsidP="008F7637">
            <w:pPr>
              <w:jc w:val="both"/>
              <w:rPr>
                <w:noProof/>
              </w:rPr>
            </w:pPr>
            <w:r>
              <w:rPr>
                <w:noProof/>
              </w:rPr>
              <w:t>εβδομάδα 1</w:t>
            </w:r>
          </w:p>
        </w:tc>
        <w:tc>
          <w:tcPr>
            <w:tcW w:w="3969" w:type="dxa"/>
            <w:shd w:val="clear" w:color="auto" w:fill="auto"/>
          </w:tcPr>
          <w:p w:rsidR="005318A6" w:rsidRPr="00E57B54" w:rsidRDefault="005318A6" w:rsidP="008F7637">
            <w:pPr>
              <w:rPr>
                <w:noProof/>
              </w:rPr>
            </w:pPr>
            <w:r>
              <w:rPr>
                <w:noProof/>
              </w:rPr>
              <w:t>μισό δισκίο των 10 </w:t>
            </w:r>
            <w:r w:rsidRPr="00944DA9">
              <w:rPr>
                <w:noProof/>
                <w:lang w:val="en-US"/>
              </w:rPr>
              <w:t>mg</w:t>
            </w:r>
            <w:r>
              <w:rPr>
                <w:noProof/>
              </w:rPr>
              <w:t xml:space="preserve"> (5 </w:t>
            </w:r>
            <w:r w:rsidRPr="00944DA9">
              <w:rPr>
                <w:noProof/>
                <w:lang w:val="en-US"/>
              </w:rPr>
              <w:t>mg</w:t>
            </w:r>
            <w:r w:rsidRPr="00E57B54">
              <w:rPr>
                <w:noProof/>
              </w:rPr>
              <w:t>)</w:t>
            </w:r>
          </w:p>
        </w:tc>
      </w:tr>
      <w:tr w:rsidR="005318A6" w:rsidTr="008F7637">
        <w:tc>
          <w:tcPr>
            <w:tcW w:w="1559" w:type="dxa"/>
            <w:shd w:val="clear" w:color="auto" w:fill="auto"/>
          </w:tcPr>
          <w:p w:rsidR="005318A6" w:rsidRPr="00944DA9" w:rsidRDefault="005318A6" w:rsidP="008F7637">
            <w:pPr>
              <w:rPr>
                <w:lang w:val="en-US"/>
              </w:rPr>
            </w:pPr>
            <w:r w:rsidRPr="003967F4">
              <w:rPr>
                <w:noProof/>
              </w:rPr>
              <w:t xml:space="preserve">εβδομάδα </w:t>
            </w:r>
            <w:r w:rsidRPr="00944DA9">
              <w:rPr>
                <w:noProof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318A6" w:rsidRDefault="005318A6" w:rsidP="008F7637">
            <w:pPr>
              <w:rPr>
                <w:noProof/>
              </w:rPr>
            </w:pPr>
            <w:r>
              <w:rPr>
                <w:noProof/>
              </w:rPr>
              <w:t>ένα δισκίο των 10 </w:t>
            </w:r>
            <w:r w:rsidRPr="00944DA9">
              <w:rPr>
                <w:noProof/>
                <w:lang w:val="en-US"/>
              </w:rPr>
              <w:t>mg</w:t>
            </w:r>
            <w:r>
              <w:rPr>
                <w:noProof/>
              </w:rPr>
              <w:t xml:space="preserve"> (10 </w:t>
            </w:r>
            <w:r w:rsidRPr="00944DA9">
              <w:rPr>
                <w:noProof/>
                <w:lang w:val="en-US"/>
              </w:rPr>
              <w:t>mg</w:t>
            </w:r>
            <w:r w:rsidRPr="00E57B54">
              <w:rPr>
                <w:noProof/>
              </w:rPr>
              <w:t>)</w:t>
            </w:r>
          </w:p>
        </w:tc>
      </w:tr>
      <w:tr w:rsidR="005318A6" w:rsidTr="008F7637">
        <w:tc>
          <w:tcPr>
            <w:tcW w:w="1559" w:type="dxa"/>
            <w:shd w:val="clear" w:color="auto" w:fill="auto"/>
          </w:tcPr>
          <w:p w:rsidR="005318A6" w:rsidRPr="00944DA9" w:rsidRDefault="005318A6" w:rsidP="008F7637">
            <w:pPr>
              <w:rPr>
                <w:lang w:val="en-US"/>
              </w:rPr>
            </w:pPr>
            <w:r w:rsidRPr="003967F4">
              <w:rPr>
                <w:noProof/>
              </w:rPr>
              <w:t xml:space="preserve">εβδομάδα </w:t>
            </w:r>
            <w:r w:rsidRPr="00944DA9">
              <w:rPr>
                <w:noProof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318A6" w:rsidRDefault="005318A6" w:rsidP="008F7637">
            <w:pPr>
              <w:rPr>
                <w:noProof/>
              </w:rPr>
            </w:pPr>
            <w:r>
              <w:rPr>
                <w:noProof/>
              </w:rPr>
              <w:t>ένα δισκίο και μισό των 10 </w:t>
            </w:r>
            <w:r w:rsidRPr="00944DA9">
              <w:rPr>
                <w:noProof/>
                <w:lang w:val="en-US"/>
              </w:rPr>
              <w:t>mg</w:t>
            </w:r>
            <w:r>
              <w:rPr>
                <w:noProof/>
              </w:rPr>
              <w:t xml:space="preserve"> (15 </w:t>
            </w:r>
            <w:r w:rsidRPr="00944DA9">
              <w:rPr>
                <w:noProof/>
                <w:lang w:val="en-US"/>
              </w:rPr>
              <w:t>mg</w:t>
            </w:r>
            <w:r w:rsidRPr="00E57B54">
              <w:rPr>
                <w:noProof/>
              </w:rPr>
              <w:t>)</w:t>
            </w:r>
          </w:p>
        </w:tc>
      </w:tr>
      <w:tr w:rsidR="005318A6" w:rsidTr="008F7637">
        <w:tc>
          <w:tcPr>
            <w:tcW w:w="1559" w:type="dxa"/>
            <w:shd w:val="clear" w:color="auto" w:fill="auto"/>
          </w:tcPr>
          <w:p w:rsidR="005318A6" w:rsidRPr="00E57B54" w:rsidRDefault="005318A6" w:rsidP="008F7637">
            <w:r w:rsidRPr="003967F4">
              <w:rPr>
                <w:noProof/>
              </w:rPr>
              <w:t xml:space="preserve">εβδομάδα </w:t>
            </w:r>
            <w:r w:rsidRPr="00944DA9">
              <w:rPr>
                <w:noProof/>
                <w:lang w:val="en-US"/>
              </w:rPr>
              <w:t>4</w:t>
            </w:r>
            <w:r>
              <w:rPr>
                <w:noProof/>
              </w:rPr>
              <w:t xml:space="preserve"> και μετά</w:t>
            </w:r>
          </w:p>
        </w:tc>
        <w:tc>
          <w:tcPr>
            <w:tcW w:w="3969" w:type="dxa"/>
            <w:shd w:val="clear" w:color="auto" w:fill="auto"/>
          </w:tcPr>
          <w:p w:rsidR="005318A6" w:rsidRDefault="005318A6" w:rsidP="008F7637">
            <w:pPr>
              <w:rPr>
                <w:noProof/>
              </w:rPr>
            </w:pPr>
            <w:r>
              <w:rPr>
                <w:noProof/>
              </w:rPr>
              <w:t>δύο δισκία των 10 </w:t>
            </w:r>
            <w:r w:rsidRPr="00944DA9">
              <w:rPr>
                <w:noProof/>
                <w:lang w:val="en-US"/>
              </w:rPr>
              <w:t>mg</w:t>
            </w:r>
            <w:r>
              <w:rPr>
                <w:noProof/>
              </w:rPr>
              <w:t xml:space="preserve"> μία φορά την ημέρα ή ένα δισκίο των 20 </w:t>
            </w:r>
            <w:r w:rsidRPr="00944DA9">
              <w:rPr>
                <w:noProof/>
                <w:lang w:val="en-US"/>
              </w:rPr>
              <w:t>mg</w:t>
            </w:r>
            <w:r w:rsidRPr="00E57B54">
              <w:rPr>
                <w:noProof/>
              </w:rPr>
              <w:t xml:space="preserve"> </w:t>
            </w:r>
            <w:r>
              <w:rPr>
                <w:noProof/>
              </w:rPr>
              <w:t>(</w:t>
            </w:r>
            <w:r w:rsidRPr="00E57B54">
              <w:rPr>
                <w:noProof/>
              </w:rPr>
              <w:t>2</w:t>
            </w:r>
            <w:r>
              <w:rPr>
                <w:noProof/>
              </w:rPr>
              <w:t>0 </w:t>
            </w:r>
            <w:r w:rsidRPr="00944DA9">
              <w:rPr>
                <w:noProof/>
                <w:lang w:val="en-US"/>
              </w:rPr>
              <w:t>mg</w:t>
            </w:r>
            <w:r w:rsidRPr="00E57B54">
              <w:rPr>
                <w:noProof/>
              </w:rPr>
              <w:t>)</w:t>
            </w:r>
          </w:p>
        </w:tc>
      </w:tr>
    </w:tbl>
    <w:p w:rsidR="005318A6" w:rsidRPr="00E57B54" w:rsidRDefault="005318A6" w:rsidP="005318A6">
      <w:pPr>
        <w:jc w:val="both"/>
        <w:rPr>
          <w:noProof/>
        </w:rPr>
      </w:pPr>
    </w:p>
    <w:p w:rsidR="005318A6" w:rsidRPr="0066689C" w:rsidRDefault="005318A6" w:rsidP="005318A6">
      <w:pPr>
        <w:rPr>
          <w:noProof/>
        </w:rPr>
      </w:pPr>
      <w:r>
        <w:rPr>
          <w:noProof/>
        </w:rPr>
        <w:t>Η συνήθης δόση έναρξης είναι μισό δισκίο των 10 </w:t>
      </w:r>
      <w:r>
        <w:rPr>
          <w:noProof/>
          <w:lang w:val="en-US"/>
        </w:rPr>
        <w:t>mg</w:t>
      </w:r>
      <w:r w:rsidRPr="0001087D">
        <w:rPr>
          <w:noProof/>
        </w:rPr>
        <w:t xml:space="preserve"> </w:t>
      </w:r>
      <w:r>
        <w:rPr>
          <w:noProof/>
        </w:rPr>
        <w:t xml:space="preserve">μία φορά την ημέρα (1 </w:t>
      </w:r>
      <w:r>
        <w:rPr>
          <w:noProof/>
          <w:lang w:val="en-US"/>
        </w:rPr>
        <w:t>x</w:t>
      </w:r>
      <w:r w:rsidRPr="0001087D">
        <w:rPr>
          <w:noProof/>
        </w:rPr>
        <w:t xml:space="preserve"> 5</w:t>
      </w:r>
      <w:r>
        <w:rPr>
          <w:noProof/>
          <w:lang w:val="en-US"/>
        </w:rPr>
        <w:t> mg</w:t>
      </w:r>
      <w:r w:rsidRPr="0001087D">
        <w:rPr>
          <w:noProof/>
        </w:rPr>
        <w:t xml:space="preserve">) </w:t>
      </w:r>
      <w:r>
        <w:rPr>
          <w:noProof/>
        </w:rPr>
        <w:t>για την πρώτη εβδομάδα. Αυτό αυξάνεται σε ένα δισκίο των 10 </w:t>
      </w:r>
      <w:r>
        <w:rPr>
          <w:noProof/>
          <w:lang w:val="en-US"/>
        </w:rPr>
        <w:t>mg</w:t>
      </w:r>
      <w:r w:rsidRPr="0066689C">
        <w:rPr>
          <w:noProof/>
        </w:rPr>
        <w:t xml:space="preserve"> </w:t>
      </w:r>
      <w:r>
        <w:rPr>
          <w:noProof/>
        </w:rPr>
        <w:t>μία φορά την ημέρα (1</w:t>
      </w:r>
      <w:r w:rsidRPr="0066689C">
        <w:rPr>
          <w:noProof/>
        </w:rPr>
        <w:t xml:space="preserve"> </w:t>
      </w:r>
      <w:r>
        <w:rPr>
          <w:noProof/>
          <w:lang w:val="en-US"/>
        </w:rPr>
        <w:t>x</w:t>
      </w:r>
      <w:r w:rsidRPr="0066689C">
        <w:rPr>
          <w:noProof/>
        </w:rPr>
        <w:t xml:space="preserve"> 10</w:t>
      </w:r>
      <w:r>
        <w:rPr>
          <w:noProof/>
          <w:lang w:val="en-US"/>
        </w:rPr>
        <w:t> mg</w:t>
      </w:r>
      <w:r w:rsidRPr="0066689C">
        <w:rPr>
          <w:noProof/>
        </w:rPr>
        <w:t>)</w:t>
      </w:r>
      <w:r>
        <w:rPr>
          <w:noProof/>
        </w:rPr>
        <w:t xml:space="preserve"> τη δεύτερη εβδομάδα και σε ένα και μισό δισκιο των 10 </w:t>
      </w:r>
      <w:r>
        <w:rPr>
          <w:noProof/>
          <w:lang w:val="en-US"/>
        </w:rPr>
        <w:t>mg</w:t>
      </w:r>
      <w:r w:rsidRPr="0066689C">
        <w:rPr>
          <w:noProof/>
        </w:rPr>
        <w:t xml:space="preserve"> </w:t>
      </w:r>
      <w:r>
        <w:rPr>
          <w:noProof/>
        </w:rPr>
        <w:t>μία φορά την ημέρα (</w:t>
      </w:r>
      <w:r w:rsidRPr="0066689C">
        <w:rPr>
          <w:noProof/>
        </w:rPr>
        <w:t xml:space="preserve">1 </w:t>
      </w:r>
      <w:r>
        <w:rPr>
          <w:noProof/>
          <w:lang w:val="en-US"/>
        </w:rPr>
        <w:t>x</w:t>
      </w:r>
      <w:r w:rsidRPr="0066689C">
        <w:rPr>
          <w:noProof/>
        </w:rPr>
        <w:t xml:space="preserve"> 15</w:t>
      </w:r>
      <w:r>
        <w:rPr>
          <w:noProof/>
          <w:lang w:val="en-US"/>
        </w:rPr>
        <w:t> mg</w:t>
      </w:r>
      <w:r w:rsidRPr="0066689C">
        <w:rPr>
          <w:noProof/>
        </w:rPr>
        <w:t xml:space="preserve">) </w:t>
      </w:r>
      <w:r>
        <w:rPr>
          <w:noProof/>
        </w:rPr>
        <w:t>την τρίτη εβδομάδα. Από την τέταρτη εβδομάδα και μετά, η συνήθης δόση είναι 2 δισκία των 10 </w:t>
      </w:r>
      <w:r>
        <w:rPr>
          <w:noProof/>
          <w:lang w:val="en-US"/>
        </w:rPr>
        <w:t>mg</w:t>
      </w:r>
      <w:r>
        <w:rPr>
          <w:noProof/>
        </w:rPr>
        <w:t xml:space="preserve"> ή ένα δισκίο των 20 </w:t>
      </w:r>
      <w:r>
        <w:rPr>
          <w:noProof/>
          <w:lang w:val="en-US"/>
        </w:rPr>
        <w:t>mg</w:t>
      </w:r>
      <w:r>
        <w:rPr>
          <w:noProof/>
        </w:rPr>
        <w:t xml:space="preserve"> μία φορά την ημέρα (</w:t>
      </w:r>
      <w:r w:rsidRPr="0066689C">
        <w:rPr>
          <w:noProof/>
        </w:rPr>
        <w:t xml:space="preserve">1 </w:t>
      </w:r>
      <w:r>
        <w:rPr>
          <w:noProof/>
          <w:lang w:val="en-US"/>
        </w:rPr>
        <w:t>x</w:t>
      </w:r>
      <w:r w:rsidRPr="0066689C">
        <w:rPr>
          <w:noProof/>
        </w:rPr>
        <w:t xml:space="preserve"> 20</w:t>
      </w:r>
      <w:r>
        <w:rPr>
          <w:noProof/>
          <w:lang w:val="en-US"/>
        </w:rPr>
        <w:t> mg</w:t>
      </w:r>
      <w:r w:rsidRPr="0066689C">
        <w:rPr>
          <w:noProof/>
        </w:rPr>
        <w:t>).</w:t>
      </w:r>
    </w:p>
    <w:p w:rsidR="005318A6" w:rsidRPr="005318A6" w:rsidRDefault="005318A6" w:rsidP="005318A6">
      <w:pPr>
        <w:rPr>
          <w:noProof/>
        </w:rPr>
      </w:pPr>
    </w:p>
    <w:p w:rsidR="005318A6" w:rsidRDefault="005318A6" w:rsidP="005318A6">
      <w:pPr>
        <w:rPr>
          <w:noProof/>
          <w:u w:val="single"/>
        </w:rPr>
      </w:pPr>
      <w:r>
        <w:rPr>
          <w:noProof/>
          <w:u w:val="single"/>
        </w:rPr>
        <w:t>Δοσολογία στους ασθενείς με νεφρική δυσλειτουργία</w:t>
      </w:r>
    </w:p>
    <w:p w:rsidR="005318A6" w:rsidRPr="0066689C" w:rsidRDefault="005318A6" w:rsidP="005318A6">
      <w:pPr>
        <w:widowControl/>
        <w:autoSpaceDE w:val="0"/>
        <w:autoSpaceDN w:val="0"/>
        <w:adjustRightInd w:val="0"/>
        <w:rPr>
          <w:noProof/>
        </w:rPr>
      </w:pPr>
      <w:r>
        <w:rPr>
          <w:rFonts w:eastAsia="TimesNewRomanPSMT"/>
          <w:szCs w:val="22"/>
          <w:lang w:eastAsia="ko-KR"/>
        </w:rPr>
        <w:t>Εάν έχετε νεφρική</w:t>
      </w:r>
      <w:r w:rsidRPr="0066689C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δυσ</w:t>
      </w:r>
      <w:r w:rsidRPr="0066689C">
        <w:rPr>
          <w:rFonts w:eastAsia="TimesNewRomanPSMT"/>
          <w:szCs w:val="22"/>
          <w:lang w:eastAsia="ko-KR"/>
        </w:rPr>
        <w:t xml:space="preserve">λειτουργία, ο γιατρός </w:t>
      </w:r>
      <w:r>
        <w:rPr>
          <w:rFonts w:eastAsia="TimesNewRomanPSMT"/>
          <w:szCs w:val="22"/>
          <w:lang w:eastAsia="ko-KR"/>
        </w:rPr>
        <w:t xml:space="preserve">σας </w:t>
      </w:r>
      <w:r w:rsidRPr="0066689C">
        <w:rPr>
          <w:rFonts w:eastAsia="TimesNewRomanPSMT"/>
          <w:szCs w:val="22"/>
          <w:lang w:eastAsia="ko-KR"/>
        </w:rPr>
        <w:t>θα αποφασίσει ποια δόση ταιριάζει στην</w:t>
      </w:r>
      <w:r>
        <w:rPr>
          <w:rFonts w:eastAsia="TimesNewRomanPSMT"/>
          <w:szCs w:val="22"/>
          <w:lang w:eastAsia="ko-KR"/>
        </w:rPr>
        <w:t xml:space="preserve"> κατάστασή</w:t>
      </w:r>
      <w:r w:rsidRPr="0066689C">
        <w:rPr>
          <w:rFonts w:eastAsia="TimesNewRomanPSMT"/>
          <w:szCs w:val="22"/>
          <w:lang w:eastAsia="ko-KR"/>
        </w:rPr>
        <w:t xml:space="preserve"> σας. Σε αυτή την περίπτωση, η νεφρική σας λειτουργία θα πρέπει να </w:t>
      </w:r>
      <w:r>
        <w:rPr>
          <w:rFonts w:eastAsia="TimesNewRomanPSMT"/>
          <w:szCs w:val="22"/>
          <w:lang w:eastAsia="ko-KR"/>
        </w:rPr>
        <w:t>παρακολουθείται από το γιατρό σας σε συγκεκριμένα</w:t>
      </w:r>
      <w:r w:rsidRPr="0066689C">
        <w:rPr>
          <w:rFonts w:eastAsia="TimesNewRomanPSMT"/>
          <w:szCs w:val="22"/>
          <w:lang w:eastAsia="ko-KR"/>
        </w:rPr>
        <w:t xml:space="preserve"> χρονικά διαστήματα.</w:t>
      </w:r>
    </w:p>
    <w:p w:rsidR="005318A6" w:rsidRDefault="005318A6" w:rsidP="005318A6">
      <w:pPr>
        <w:rPr>
          <w:noProof/>
        </w:rPr>
      </w:pPr>
    </w:p>
    <w:p w:rsidR="005318A6" w:rsidRPr="007C540E" w:rsidRDefault="005318A6" w:rsidP="005318A6">
      <w:pPr>
        <w:widowControl/>
        <w:autoSpaceDE w:val="0"/>
        <w:autoSpaceDN w:val="0"/>
        <w:adjustRightInd w:val="0"/>
        <w:rPr>
          <w:rFonts w:eastAsia="Batang"/>
          <w:b/>
          <w:bCs/>
          <w:szCs w:val="22"/>
          <w:lang w:eastAsia="ko-KR"/>
        </w:rPr>
      </w:pPr>
      <w:r w:rsidRPr="007C540E">
        <w:rPr>
          <w:rFonts w:eastAsia="Batang"/>
          <w:b/>
          <w:bCs/>
          <w:szCs w:val="22"/>
          <w:lang w:eastAsia="ko-KR"/>
        </w:rPr>
        <w:t>Χορήγηση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C540E">
        <w:rPr>
          <w:rFonts w:eastAsia="TimesNewRomanPSMT"/>
          <w:szCs w:val="22"/>
          <w:lang w:eastAsia="ko-KR"/>
        </w:rPr>
        <w:t xml:space="preserve">Το </w:t>
      </w:r>
      <w:r>
        <w:rPr>
          <w:rFonts w:eastAsia="TimesNewRomanPSMT"/>
          <w:szCs w:val="22"/>
          <w:lang w:val="en-US" w:eastAsia="ko-KR"/>
        </w:rPr>
        <w:t>Cognomem</w:t>
      </w:r>
      <w:r w:rsidRPr="007C540E">
        <w:rPr>
          <w:rFonts w:eastAsia="TimesNewRomanPSMT"/>
          <w:szCs w:val="22"/>
          <w:lang w:eastAsia="ko-KR"/>
        </w:rPr>
        <w:t xml:space="preserve"> πρέπει να χορηγείται από </w:t>
      </w:r>
      <w:r>
        <w:rPr>
          <w:rFonts w:eastAsia="TimesNewRomanPSMT"/>
          <w:szCs w:val="22"/>
          <w:lang w:eastAsia="ko-KR"/>
        </w:rPr>
        <w:t xml:space="preserve">του </w:t>
      </w:r>
      <w:r w:rsidRPr="007C540E">
        <w:rPr>
          <w:rFonts w:eastAsia="TimesNewRomanPSMT"/>
          <w:szCs w:val="22"/>
          <w:lang w:eastAsia="ko-KR"/>
        </w:rPr>
        <w:t xml:space="preserve">στόματος μία φορά την ημέρα. Για να </w:t>
      </w:r>
      <w:r>
        <w:rPr>
          <w:rFonts w:eastAsia="TimesNewRomanPSMT"/>
          <w:szCs w:val="22"/>
          <w:lang w:eastAsia="ko-KR"/>
        </w:rPr>
        <w:t>επω</w:t>
      </w:r>
      <w:r w:rsidRPr="007C540E">
        <w:rPr>
          <w:rFonts w:eastAsia="TimesNewRomanPSMT"/>
          <w:szCs w:val="22"/>
          <w:lang w:eastAsia="ko-KR"/>
        </w:rPr>
        <w:t>φελ</w:t>
      </w:r>
      <w:r>
        <w:rPr>
          <w:rFonts w:eastAsia="TimesNewRomanPSMT"/>
          <w:szCs w:val="22"/>
          <w:lang w:eastAsia="ko-KR"/>
        </w:rPr>
        <w:t>ηθεί</w:t>
      </w:r>
      <w:r w:rsidRPr="007C540E">
        <w:rPr>
          <w:rFonts w:eastAsia="TimesNewRomanPSMT"/>
          <w:szCs w:val="22"/>
          <w:lang w:eastAsia="ko-KR"/>
        </w:rPr>
        <w:t>τε από το</w:t>
      </w:r>
      <w:r>
        <w:rPr>
          <w:rFonts w:eastAsia="TimesNewRomanPSMT"/>
          <w:szCs w:val="22"/>
          <w:lang w:eastAsia="ko-KR"/>
        </w:rPr>
        <w:t xml:space="preserve"> </w:t>
      </w:r>
      <w:r w:rsidRPr="007C540E">
        <w:rPr>
          <w:rFonts w:eastAsia="TimesNewRomanPSMT"/>
          <w:szCs w:val="22"/>
          <w:lang w:eastAsia="ko-KR"/>
        </w:rPr>
        <w:t xml:space="preserve">φάρμακό σας θα πρέπει να το </w:t>
      </w:r>
      <w:r>
        <w:rPr>
          <w:rFonts w:eastAsia="TimesNewRomanPSMT"/>
          <w:szCs w:val="22"/>
          <w:lang w:eastAsia="ko-KR"/>
        </w:rPr>
        <w:t>παίρνετε</w:t>
      </w:r>
      <w:r w:rsidRPr="007C540E">
        <w:rPr>
          <w:rFonts w:eastAsia="TimesNewRomanPSMT"/>
          <w:szCs w:val="22"/>
          <w:lang w:eastAsia="ko-KR"/>
        </w:rPr>
        <w:t xml:space="preserve"> τακτικά κάθε ημέρα και την ίδια ώρα της ημέρας. Τα δισκία</w:t>
      </w:r>
      <w:r>
        <w:rPr>
          <w:rFonts w:eastAsia="TimesNewRomanPSMT"/>
          <w:szCs w:val="22"/>
          <w:lang w:eastAsia="ko-KR"/>
        </w:rPr>
        <w:t xml:space="preserve"> </w:t>
      </w:r>
      <w:r w:rsidRPr="007C540E">
        <w:rPr>
          <w:rFonts w:eastAsia="TimesNewRomanPSMT"/>
          <w:szCs w:val="22"/>
          <w:lang w:eastAsia="ko-KR"/>
        </w:rPr>
        <w:t xml:space="preserve">πρέπει να καταπίνονται μαζί με λίγο νερό. </w:t>
      </w:r>
    </w:p>
    <w:p w:rsidR="005318A6" w:rsidRPr="007C540E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C540E">
        <w:rPr>
          <w:rFonts w:eastAsia="TimesNewRomanPSMT"/>
          <w:szCs w:val="22"/>
          <w:lang w:eastAsia="ko-KR"/>
        </w:rPr>
        <w:t>Τα δισκία μπορούν να λαμβάνονται με ή χωρίς τροφή.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Batang"/>
          <w:b/>
          <w:bCs/>
          <w:szCs w:val="22"/>
          <w:lang w:eastAsia="ko-KR"/>
        </w:rPr>
      </w:pPr>
    </w:p>
    <w:p w:rsidR="005318A6" w:rsidRPr="007C540E" w:rsidRDefault="005318A6" w:rsidP="005318A6">
      <w:pPr>
        <w:widowControl/>
        <w:autoSpaceDE w:val="0"/>
        <w:autoSpaceDN w:val="0"/>
        <w:adjustRightInd w:val="0"/>
        <w:rPr>
          <w:rFonts w:eastAsia="Batang"/>
          <w:b/>
          <w:bCs/>
          <w:szCs w:val="22"/>
          <w:lang w:eastAsia="ko-KR"/>
        </w:rPr>
      </w:pPr>
      <w:r w:rsidRPr="007C540E">
        <w:rPr>
          <w:rFonts w:eastAsia="Batang"/>
          <w:b/>
          <w:bCs/>
          <w:szCs w:val="22"/>
          <w:lang w:eastAsia="ko-KR"/>
        </w:rPr>
        <w:t>Διάρκεια θεραπευτικής αγωγής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Pr="001723EB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C540E">
        <w:rPr>
          <w:rFonts w:eastAsia="TimesNewRomanPSMT"/>
          <w:szCs w:val="22"/>
          <w:lang w:eastAsia="ko-KR"/>
        </w:rPr>
        <w:t xml:space="preserve">Συνεχίστε να παίρνετε το </w:t>
      </w:r>
      <w:r>
        <w:rPr>
          <w:rFonts w:eastAsia="TimesNewRomanPSMT"/>
          <w:szCs w:val="22"/>
          <w:lang w:val="en-US" w:eastAsia="ko-KR"/>
        </w:rPr>
        <w:t>Cognomem</w:t>
      </w:r>
      <w:r w:rsidRPr="007C540E">
        <w:rPr>
          <w:rFonts w:eastAsia="TimesNewRomanPSMT"/>
          <w:szCs w:val="22"/>
          <w:lang w:eastAsia="ko-KR"/>
        </w:rPr>
        <w:t xml:space="preserve"> για όσο χρονικό διάστημα </w:t>
      </w:r>
      <w:r>
        <w:rPr>
          <w:rFonts w:eastAsia="TimesNewRomanPSMT"/>
          <w:szCs w:val="22"/>
          <w:lang w:eastAsia="ko-KR"/>
        </w:rPr>
        <w:t>είναι επωφελές για εσάς</w:t>
      </w:r>
      <w:r w:rsidRPr="007C540E">
        <w:rPr>
          <w:rFonts w:eastAsia="TimesNewRomanPSMT"/>
          <w:szCs w:val="22"/>
          <w:lang w:eastAsia="ko-KR"/>
        </w:rPr>
        <w:t xml:space="preserve">. Ο γιατρός </w:t>
      </w:r>
      <w:r>
        <w:rPr>
          <w:rFonts w:eastAsia="TimesNewRomanPSMT"/>
          <w:szCs w:val="22"/>
          <w:lang w:eastAsia="ko-KR"/>
        </w:rPr>
        <w:t xml:space="preserve">σας </w:t>
      </w:r>
      <w:r w:rsidRPr="007C540E">
        <w:rPr>
          <w:rFonts w:eastAsia="TimesNewRomanPSMT"/>
          <w:szCs w:val="22"/>
          <w:lang w:eastAsia="ko-KR"/>
        </w:rPr>
        <w:t>πρέπει να αξιολογεί τη</w:t>
      </w:r>
      <w:r>
        <w:rPr>
          <w:rFonts w:eastAsia="TimesNewRomanPSMT"/>
          <w:szCs w:val="22"/>
          <w:lang w:eastAsia="ko-KR"/>
        </w:rPr>
        <w:t>ν</w:t>
      </w:r>
      <w:r w:rsidRPr="007C540E">
        <w:rPr>
          <w:rFonts w:eastAsia="TimesNewRomanPSMT"/>
          <w:szCs w:val="22"/>
          <w:lang w:eastAsia="ko-KR"/>
        </w:rPr>
        <w:t xml:space="preserve"> αγωγή </w:t>
      </w:r>
      <w:r>
        <w:rPr>
          <w:rFonts w:eastAsia="TimesNewRomanPSMT"/>
          <w:szCs w:val="22"/>
          <w:lang w:eastAsia="ko-KR"/>
        </w:rPr>
        <w:t>σας σε τακτική βάση</w:t>
      </w:r>
      <w:r w:rsidRPr="007C540E">
        <w:rPr>
          <w:rFonts w:eastAsia="TimesNewRomanPSMT"/>
          <w:szCs w:val="22"/>
          <w:lang w:eastAsia="ko-KR"/>
        </w:rPr>
        <w:t>.</w:t>
      </w:r>
    </w:p>
    <w:p w:rsidR="005318A6" w:rsidRPr="0066689C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 xml:space="preserve">Εάν πάρετε μεγαλύτερη δόση </w:t>
      </w:r>
      <w:r w:rsidRPr="00E01A5E">
        <w:rPr>
          <w:b/>
          <w:noProof/>
          <w:lang w:val="en-US"/>
        </w:rPr>
        <w:t>Cognomem</w:t>
      </w:r>
      <w:r w:rsidRPr="00E01A5E">
        <w:rPr>
          <w:b/>
          <w:noProof/>
        </w:rPr>
        <w:t xml:space="preserve"> από την κανονική</w:t>
      </w:r>
    </w:p>
    <w:p w:rsidR="005318A6" w:rsidRDefault="005318A6" w:rsidP="005318A6">
      <w:pPr>
        <w:rPr>
          <w:noProof/>
        </w:rPr>
      </w:pPr>
    </w:p>
    <w:p w:rsidR="005318A6" w:rsidRPr="00D71517" w:rsidRDefault="005318A6" w:rsidP="005318A6">
      <w:pPr>
        <w:widowControl/>
        <w:autoSpaceDE w:val="0"/>
        <w:autoSpaceDN w:val="0"/>
        <w:adjustRightInd w:val="0"/>
        <w:ind w:left="142" w:hanging="142"/>
        <w:rPr>
          <w:rFonts w:eastAsia="TimesNewRomanPSMT"/>
          <w:szCs w:val="22"/>
          <w:lang w:eastAsia="ko-KR"/>
        </w:rPr>
      </w:pPr>
      <w:r w:rsidRPr="00D71517">
        <w:rPr>
          <w:rFonts w:eastAsia="TimesNewRomanPSMT"/>
          <w:szCs w:val="22"/>
          <w:lang w:eastAsia="ko-KR"/>
        </w:rPr>
        <w:t>- Γενικ</w:t>
      </w:r>
      <w:r>
        <w:rPr>
          <w:rFonts w:eastAsia="TimesNewRomanPSMT"/>
          <w:szCs w:val="22"/>
          <w:lang w:eastAsia="ko-KR"/>
        </w:rPr>
        <w:t>ά</w:t>
      </w:r>
      <w:r w:rsidRPr="00D71517">
        <w:rPr>
          <w:rFonts w:eastAsia="TimesNewRomanPSMT"/>
          <w:szCs w:val="22"/>
          <w:lang w:eastAsia="ko-KR"/>
        </w:rPr>
        <w:t xml:space="preserve">, η λήψη υπερβολικών δόσεων </w:t>
      </w:r>
      <w:r w:rsidRPr="00C414B1">
        <w:rPr>
          <w:noProof/>
          <w:lang w:val="en-US"/>
        </w:rPr>
        <w:t>Cognomem</w:t>
      </w:r>
      <w:r w:rsidRPr="00E01A5E">
        <w:rPr>
          <w:b/>
          <w:noProof/>
        </w:rPr>
        <w:t xml:space="preserve"> </w:t>
      </w:r>
      <w:r>
        <w:rPr>
          <w:rFonts w:eastAsia="TimesNewRomanPSMT"/>
          <w:szCs w:val="22"/>
          <w:lang w:eastAsia="ko-KR"/>
        </w:rPr>
        <w:t>δε</w:t>
      </w:r>
      <w:r w:rsidRPr="00D7151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θα </w:t>
      </w:r>
      <w:r w:rsidRPr="00D71517">
        <w:rPr>
          <w:rFonts w:eastAsia="TimesNewRomanPSMT"/>
          <w:szCs w:val="22"/>
          <w:lang w:eastAsia="ko-KR"/>
        </w:rPr>
        <w:t>προκαλ</w:t>
      </w:r>
      <w:r>
        <w:rPr>
          <w:rFonts w:eastAsia="TimesNewRomanPSMT"/>
          <w:szCs w:val="22"/>
          <w:lang w:eastAsia="ko-KR"/>
        </w:rPr>
        <w:t>έσει κάποια</w:t>
      </w:r>
      <w:r w:rsidRPr="00D71517">
        <w:rPr>
          <w:rFonts w:eastAsia="TimesNewRomanPSMT"/>
          <w:szCs w:val="22"/>
          <w:lang w:eastAsia="ko-KR"/>
        </w:rPr>
        <w:t xml:space="preserve"> βλάβη</w:t>
      </w:r>
      <w:r>
        <w:rPr>
          <w:rFonts w:eastAsia="TimesNewRomanPSMT"/>
          <w:szCs w:val="22"/>
          <w:lang w:eastAsia="ko-KR"/>
        </w:rPr>
        <w:t xml:space="preserve"> σε εσάς</w:t>
      </w:r>
      <w:r w:rsidRPr="00D71517">
        <w:rPr>
          <w:rFonts w:eastAsia="TimesNewRomanPSMT"/>
          <w:szCs w:val="22"/>
          <w:lang w:eastAsia="ko-KR"/>
        </w:rPr>
        <w:t>. Ενδέχεται να παρατηρήσετε</w:t>
      </w:r>
      <w:r>
        <w:rPr>
          <w:rFonts w:eastAsia="TimesNewRomanPSMT"/>
          <w:szCs w:val="22"/>
          <w:lang w:eastAsia="ko-KR"/>
        </w:rPr>
        <w:t xml:space="preserve"> </w:t>
      </w:r>
      <w:r w:rsidRPr="00D71517">
        <w:rPr>
          <w:rFonts w:eastAsia="TimesNewRomanPSMT"/>
          <w:szCs w:val="22"/>
          <w:lang w:eastAsia="ko-KR"/>
        </w:rPr>
        <w:t>αυξημένα συμπτώματα όπως π</w:t>
      </w:r>
      <w:r>
        <w:rPr>
          <w:rFonts w:eastAsia="TimesNewRomanPSMT"/>
          <w:szCs w:val="22"/>
          <w:lang w:eastAsia="ko-KR"/>
        </w:rPr>
        <w:t>εριγράφονται στην παράγραφο 4. «Πιθανές ανεπιθύμητες ενέργειες»</w:t>
      </w:r>
      <w:r w:rsidRPr="00D71517">
        <w:rPr>
          <w:rFonts w:eastAsia="TimesNewRomanPSMT"/>
          <w:szCs w:val="22"/>
          <w:lang w:eastAsia="ko-KR"/>
        </w:rPr>
        <w:t>.</w:t>
      </w:r>
    </w:p>
    <w:p w:rsidR="005318A6" w:rsidRPr="00D71517" w:rsidRDefault="005318A6" w:rsidP="005318A6">
      <w:pPr>
        <w:widowControl/>
        <w:autoSpaceDE w:val="0"/>
        <w:autoSpaceDN w:val="0"/>
        <w:adjustRightInd w:val="0"/>
        <w:ind w:left="142" w:hanging="142"/>
        <w:rPr>
          <w:noProof/>
          <w:szCs w:val="22"/>
        </w:rPr>
      </w:pPr>
      <w:r w:rsidRPr="00D71517">
        <w:rPr>
          <w:rFonts w:eastAsia="TimesNewRomanPSMT"/>
          <w:szCs w:val="22"/>
          <w:lang w:eastAsia="ko-KR"/>
        </w:rPr>
        <w:lastRenderedPageBreak/>
        <w:t xml:space="preserve">- Σε περίπτωση λήψης υπερβολικής δόσης </w:t>
      </w:r>
      <w:r>
        <w:rPr>
          <w:noProof/>
        </w:rPr>
        <w:t>αυτού του φαρμάκου,</w:t>
      </w:r>
      <w:r w:rsidRPr="00E01A5E">
        <w:rPr>
          <w:b/>
          <w:noProof/>
        </w:rPr>
        <w:t xml:space="preserve"> </w:t>
      </w:r>
      <w:r w:rsidRPr="00D71517">
        <w:rPr>
          <w:rFonts w:eastAsia="TimesNewRomanPSMT"/>
          <w:szCs w:val="22"/>
          <w:lang w:eastAsia="ko-KR"/>
        </w:rPr>
        <w:t>επικοινωνήστε με το γιατρό σας ή ζητήστε</w:t>
      </w:r>
      <w:r>
        <w:rPr>
          <w:rFonts w:eastAsia="TimesNewRomanPSMT"/>
          <w:szCs w:val="22"/>
          <w:lang w:eastAsia="ko-KR"/>
        </w:rPr>
        <w:t xml:space="preserve"> </w:t>
      </w:r>
      <w:r w:rsidRPr="00D71517">
        <w:rPr>
          <w:rFonts w:eastAsia="TimesNewRomanPSMT"/>
          <w:szCs w:val="22"/>
          <w:lang w:eastAsia="ko-KR"/>
        </w:rPr>
        <w:t>ιατρικ</w:t>
      </w:r>
      <w:r>
        <w:rPr>
          <w:rFonts w:eastAsia="TimesNewRomanPSMT"/>
          <w:szCs w:val="22"/>
          <w:lang w:eastAsia="ko-KR"/>
        </w:rPr>
        <w:t>ή</w:t>
      </w:r>
      <w:r w:rsidRPr="00D71517">
        <w:rPr>
          <w:rFonts w:eastAsia="TimesNewRomanPSMT"/>
          <w:szCs w:val="22"/>
          <w:lang w:eastAsia="ko-KR"/>
        </w:rPr>
        <w:t xml:space="preserve"> συμβουλ</w:t>
      </w:r>
      <w:r>
        <w:rPr>
          <w:rFonts w:eastAsia="TimesNewRomanPSMT"/>
          <w:szCs w:val="22"/>
          <w:lang w:eastAsia="ko-KR"/>
        </w:rPr>
        <w:t>ή</w:t>
      </w:r>
      <w:r w:rsidRPr="00D71517">
        <w:rPr>
          <w:rFonts w:eastAsia="TimesNewRomanPSMT"/>
          <w:szCs w:val="22"/>
          <w:lang w:eastAsia="ko-KR"/>
        </w:rPr>
        <w:t>, καθώς ενδέχεται να χρειάζεστε ιατρική βοήθεια.</w:t>
      </w:r>
    </w:p>
    <w:p w:rsidR="005318A6" w:rsidRDefault="005318A6" w:rsidP="005318A6">
      <w:pPr>
        <w:rPr>
          <w:b/>
          <w:noProof/>
        </w:rPr>
      </w:pPr>
    </w:p>
    <w:p w:rsidR="005318A6" w:rsidRPr="00E01A5E" w:rsidRDefault="005318A6" w:rsidP="005318A6">
      <w:pPr>
        <w:rPr>
          <w:b/>
          <w:noProof/>
        </w:rPr>
      </w:pPr>
      <w:r w:rsidRPr="00E01A5E">
        <w:rPr>
          <w:b/>
          <w:noProof/>
        </w:rPr>
        <w:t xml:space="preserve">Εάν ξεχάσετε να πάρετε το </w:t>
      </w:r>
      <w:r w:rsidRPr="00E01A5E">
        <w:rPr>
          <w:b/>
          <w:noProof/>
          <w:lang w:val="en-US"/>
        </w:rPr>
        <w:t>Cognomem</w:t>
      </w:r>
    </w:p>
    <w:p w:rsidR="005318A6" w:rsidRPr="00E01A5E" w:rsidRDefault="005318A6" w:rsidP="005318A6">
      <w:pPr>
        <w:rPr>
          <w:b/>
          <w:noProof/>
        </w:rPr>
      </w:pPr>
    </w:p>
    <w:p w:rsidR="005318A6" w:rsidRDefault="005318A6" w:rsidP="005318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noProof/>
        </w:rPr>
      </w:pPr>
      <w:r>
        <w:rPr>
          <w:noProof/>
        </w:rPr>
        <w:t xml:space="preserve">Εάν ανακαλύψετε ότι έχετε ξεχάσει να πάρετε τη δόση σας από το </w:t>
      </w:r>
      <w:r>
        <w:rPr>
          <w:noProof/>
          <w:lang w:val="en-US"/>
        </w:rPr>
        <w:t>Cognomem</w:t>
      </w:r>
      <w:r w:rsidRPr="00F10CF5">
        <w:rPr>
          <w:noProof/>
        </w:rPr>
        <w:t xml:space="preserve">, </w:t>
      </w:r>
      <w:r>
        <w:rPr>
          <w:noProof/>
        </w:rPr>
        <w:t>περιμένετε και πάρτε την επόμενη δόση σας στη συνηθισμένη ώρα.</w:t>
      </w:r>
    </w:p>
    <w:p w:rsidR="005318A6" w:rsidRDefault="005318A6" w:rsidP="005318A6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noProof/>
        </w:rPr>
      </w:pPr>
      <w:r w:rsidRPr="00E01A5E">
        <w:rPr>
          <w:noProof/>
        </w:rPr>
        <w:t>Μην πάρετε διπλή δόση για να αναπληρώσετε τη δόση</w:t>
      </w:r>
      <w:r>
        <w:rPr>
          <w:noProof/>
        </w:rPr>
        <w:t xml:space="preserve"> που ξεχάσατε.</w:t>
      </w:r>
    </w:p>
    <w:p w:rsidR="005318A6" w:rsidRPr="00F10CF5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Εάν έχετε περισσότερες ερωτήσεις σχετικά με τη χρήση αυτού του φαρμάκου,</w:t>
      </w:r>
      <w:r>
        <w:rPr>
          <w:noProof/>
        </w:rPr>
        <w:t xml:space="preserve"> </w:t>
      </w:r>
      <w:r w:rsidRPr="00E01A5E">
        <w:rPr>
          <w:noProof/>
        </w:rPr>
        <w:t xml:space="preserve">ρωτήστε </w:t>
      </w:r>
      <w:r>
        <w:rPr>
          <w:noProof/>
        </w:rPr>
        <w:t xml:space="preserve">τον γιατρό ή τον </w:t>
      </w:r>
      <w:r w:rsidRPr="00E01A5E">
        <w:rPr>
          <w:noProof/>
        </w:rPr>
        <w:t>φαρ</w:t>
      </w:r>
      <w:r>
        <w:rPr>
          <w:noProof/>
        </w:rPr>
        <w:t>μακοποιό σας.</w:t>
      </w:r>
    </w:p>
    <w:p w:rsidR="005318A6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4.</w:t>
      </w:r>
      <w:r w:rsidRPr="00E01A5E">
        <w:rPr>
          <w:b/>
          <w:noProof/>
        </w:rPr>
        <w:tab/>
        <w:t>Πιθανές ανεπιθύμητες ενέργειες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Όπως όλα τα φάρμακα, έτσι και αυτό το φάρμακο μπορεί να προκαλέσει ανεπιθύμητες ενέργειες αν και δεν παρουσιάζονται σε όλους τους ανθρώπους.</w:t>
      </w:r>
    </w:p>
    <w:p w:rsidR="005318A6" w:rsidRPr="00617B1E" w:rsidRDefault="005318A6" w:rsidP="005318A6">
      <w:pPr>
        <w:rPr>
          <w:noProof/>
        </w:rPr>
      </w:pP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617B1E">
        <w:rPr>
          <w:rFonts w:eastAsia="TimesNewRomanPSMT"/>
          <w:szCs w:val="22"/>
          <w:lang w:eastAsia="ko-KR"/>
        </w:rPr>
        <w:t>Γενικά, οι ανεπιθύμητες ενέργειες</w:t>
      </w:r>
      <w:r>
        <w:rPr>
          <w:rFonts w:eastAsia="TimesNewRomanPSMT"/>
          <w:szCs w:val="22"/>
          <w:lang w:eastAsia="ko-KR"/>
        </w:rPr>
        <w:t xml:space="preserve"> που έχουν παρατηρηθεί</w:t>
      </w:r>
      <w:r w:rsidRPr="00617B1E">
        <w:rPr>
          <w:rFonts w:eastAsia="TimesNewRomanPSMT"/>
          <w:szCs w:val="22"/>
          <w:lang w:eastAsia="ko-KR"/>
        </w:rPr>
        <w:t xml:space="preserve"> είναι ήπιες έως μέτριες.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i/>
          <w:iCs/>
          <w:szCs w:val="22"/>
          <w:lang w:eastAsia="ko-KR"/>
        </w:rPr>
      </w:pPr>
      <w:r w:rsidRPr="00617B1E">
        <w:rPr>
          <w:rFonts w:eastAsia="TimesNewRomanPSMT"/>
          <w:i/>
          <w:iCs/>
          <w:szCs w:val="22"/>
          <w:lang w:eastAsia="ko-KR"/>
        </w:rPr>
        <w:t>Συχνές (</w:t>
      </w:r>
      <w:r>
        <w:rPr>
          <w:rFonts w:eastAsia="TimesNewRomanPSMT"/>
          <w:i/>
          <w:iCs/>
          <w:szCs w:val="22"/>
          <w:lang w:eastAsia="ko-KR"/>
        </w:rPr>
        <w:t xml:space="preserve">ενδέχεται να </w:t>
      </w:r>
      <w:r w:rsidRPr="00617B1E">
        <w:rPr>
          <w:rFonts w:eastAsia="TimesNewRomanPSMT"/>
          <w:i/>
          <w:iCs/>
          <w:szCs w:val="22"/>
          <w:lang w:eastAsia="ko-KR"/>
        </w:rPr>
        <w:t>επηρεά</w:t>
      </w:r>
      <w:r>
        <w:rPr>
          <w:rFonts w:eastAsia="TimesNewRomanPSMT"/>
          <w:i/>
          <w:iCs/>
          <w:szCs w:val="22"/>
          <w:lang w:eastAsia="ko-KR"/>
        </w:rPr>
        <w:t>σ</w:t>
      </w:r>
      <w:r w:rsidRPr="00617B1E">
        <w:rPr>
          <w:rFonts w:eastAsia="TimesNewRomanPSMT"/>
          <w:i/>
          <w:iCs/>
          <w:szCs w:val="22"/>
          <w:lang w:eastAsia="ko-KR"/>
        </w:rPr>
        <w:t xml:space="preserve">ουν 1 </w:t>
      </w:r>
      <w:r>
        <w:rPr>
          <w:rFonts w:eastAsia="TimesNewRomanPSMT"/>
          <w:i/>
          <w:iCs/>
          <w:szCs w:val="22"/>
          <w:lang w:eastAsia="ko-KR"/>
        </w:rPr>
        <w:t>στα</w:t>
      </w:r>
      <w:r w:rsidRPr="00617B1E">
        <w:rPr>
          <w:rFonts w:eastAsia="TimesNewRomanPSMT"/>
          <w:i/>
          <w:iCs/>
          <w:szCs w:val="22"/>
          <w:lang w:eastAsia="ko-KR"/>
        </w:rPr>
        <w:t xml:space="preserve"> 10</w:t>
      </w:r>
      <w:r>
        <w:rPr>
          <w:rFonts w:eastAsia="TimesNewRomanPSMT"/>
          <w:i/>
          <w:iCs/>
          <w:szCs w:val="22"/>
          <w:lang w:eastAsia="ko-KR"/>
        </w:rPr>
        <w:t> άτομα</w:t>
      </w:r>
      <w:r w:rsidRPr="00617B1E">
        <w:rPr>
          <w:rFonts w:eastAsia="TimesNewRomanPSMT"/>
          <w:i/>
          <w:iCs/>
          <w:szCs w:val="22"/>
          <w:lang w:eastAsia="ko-KR"/>
        </w:rPr>
        <w:t>):</w:t>
      </w:r>
    </w:p>
    <w:p w:rsidR="005318A6" w:rsidRPr="00617B1E" w:rsidRDefault="005318A6" w:rsidP="005318A6">
      <w:pPr>
        <w:widowControl/>
        <w:numPr>
          <w:ilvl w:val="0"/>
          <w:numId w:val="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PSMT"/>
          <w:szCs w:val="22"/>
          <w:lang w:eastAsia="ko-KR"/>
        </w:rPr>
      </w:pPr>
      <w:r w:rsidRPr="00617B1E">
        <w:rPr>
          <w:rFonts w:eastAsia="TimesNewRomanPSMT"/>
          <w:szCs w:val="22"/>
          <w:lang w:eastAsia="ko-KR"/>
        </w:rPr>
        <w:t xml:space="preserve">Πονοκέφαλος, υπνηλία, δυσκοιλιότητα, </w:t>
      </w:r>
      <w:r>
        <w:rPr>
          <w:rFonts w:eastAsia="TimesNewRomanPSMT"/>
          <w:szCs w:val="22"/>
          <w:lang w:eastAsia="ko-KR"/>
        </w:rPr>
        <w:t xml:space="preserve">αυξημένα αποτελέσματα στις εξετάσεις λειτουργίας του συκωτιού, </w:t>
      </w:r>
      <w:r w:rsidRPr="00617B1E">
        <w:rPr>
          <w:rFonts w:eastAsia="TimesNewRomanPSMT"/>
          <w:szCs w:val="22"/>
          <w:lang w:eastAsia="ko-KR"/>
        </w:rPr>
        <w:t xml:space="preserve">ζάλη, </w:t>
      </w:r>
      <w:r>
        <w:rPr>
          <w:rFonts w:eastAsia="TimesNewRomanPSMT"/>
          <w:szCs w:val="22"/>
          <w:lang w:eastAsia="ko-KR"/>
        </w:rPr>
        <w:t>διαταραχές ισορροπίας, δυσκολία στην</w:t>
      </w:r>
      <w:r w:rsidRPr="00617B1E">
        <w:rPr>
          <w:rFonts w:eastAsia="TimesNewRomanPSMT"/>
          <w:szCs w:val="22"/>
          <w:lang w:eastAsia="ko-KR"/>
        </w:rPr>
        <w:t xml:space="preserve"> αναπνοή, υψηλή αρτηριακή πίεση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ind w:left="284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και υπερευαισθησία στο</w:t>
      </w:r>
      <w:r w:rsidRPr="00617B1E">
        <w:rPr>
          <w:rFonts w:eastAsia="TimesNewRomanPSMT"/>
          <w:szCs w:val="22"/>
          <w:lang w:eastAsia="ko-KR"/>
        </w:rPr>
        <w:t xml:space="preserve"> φά</w:t>
      </w:r>
      <w:r>
        <w:rPr>
          <w:rFonts w:eastAsia="TimesNewRomanPSMT"/>
          <w:szCs w:val="22"/>
          <w:lang w:eastAsia="ko-KR"/>
        </w:rPr>
        <w:t>ρμακο.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i/>
          <w:iCs/>
          <w:szCs w:val="22"/>
          <w:lang w:eastAsia="ko-KR"/>
        </w:rPr>
      </w:pPr>
      <w:r w:rsidRPr="00617B1E">
        <w:rPr>
          <w:rFonts w:eastAsia="TimesNewRomanPSMT"/>
          <w:i/>
          <w:iCs/>
          <w:szCs w:val="22"/>
          <w:lang w:eastAsia="ko-KR"/>
        </w:rPr>
        <w:t>Όχι συχνές (</w:t>
      </w:r>
      <w:r>
        <w:rPr>
          <w:rFonts w:eastAsia="TimesNewRomanPSMT"/>
          <w:i/>
          <w:iCs/>
          <w:szCs w:val="22"/>
          <w:lang w:eastAsia="ko-KR"/>
        </w:rPr>
        <w:t xml:space="preserve">ενδέχεται να </w:t>
      </w:r>
      <w:r w:rsidRPr="00617B1E">
        <w:rPr>
          <w:rFonts w:eastAsia="TimesNewRomanPSMT"/>
          <w:i/>
          <w:iCs/>
          <w:szCs w:val="22"/>
          <w:lang w:eastAsia="ko-KR"/>
        </w:rPr>
        <w:t>επηρεά</w:t>
      </w:r>
      <w:r>
        <w:rPr>
          <w:rFonts w:eastAsia="TimesNewRomanPSMT"/>
          <w:i/>
          <w:iCs/>
          <w:szCs w:val="22"/>
          <w:lang w:eastAsia="ko-KR"/>
        </w:rPr>
        <w:t>σ</w:t>
      </w:r>
      <w:r w:rsidRPr="00617B1E">
        <w:rPr>
          <w:rFonts w:eastAsia="TimesNewRomanPSMT"/>
          <w:i/>
          <w:iCs/>
          <w:szCs w:val="22"/>
          <w:lang w:eastAsia="ko-KR"/>
        </w:rPr>
        <w:t xml:space="preserve">ουν 1 </w:t>
      </w:r>
      <w:r>
        <w:rPr>
          <w:rFonts w:eastAsia="TimesNewRomanPSMT"/>
          <w:i/>
          <w:iCs/>
          <w:szCs w:val="22"/>
          <w:lang w:eastAsia="ko-KR"/>
        </w:rPr>
        <w:t>στα</w:t>
      </w:r>
      <w:r w:rsidRPr="00617B1E">
        <w:rPr>
          <w:rFonts w:eastAsia="TimesNewRomanPSMT"/>
          <w:i/>
          <w:iCs/>
          <w:szCs w:val="22"/>
          <w:lang w:eastAsia="ko-KR"/>
        </w:rPr>
        <w:t xml:space="preserve"> 10</w:t>
      </w:r>
      <w:r>
        <w:rPr>
          <w:rFonts w:eastAsia="TimesNewRomanPSMT"/>
          <w:i/>
          <w:iCs/>
          <w:szCs w:val="22"/>
          <w:lang w:eastAsia="ko-KR"/>
        </w:rPr>
        <w:t>0 άτομα</w:t>
      </w:r>
      <w:r w:rsidRPr="00617B1E">
        <w:rPr>
          <w:rFonts w:eastAsia="TimesNewRomanPSMT"/>
          <w:i/>
          <w:iCs/>
          <w:szCs w:val="22"/>
          <w:lang w:eastAsia="ko-KR"/>
        </w:rPr>
        <w:t>):</w:t>
      </w:r>
    </w:p>
    <w:p w:rsidR="005318A6" w:rsidRPr="00617B1E" w:rsidRDefault="005318A6" w:rsidP="005318A6">
      <w:pPr>
        <w:widowControl/>
        <w:numPr>
          <w:ilvl w:val="0"/>
          <w:numId w:val="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Κούραση, μυκητιασικές μολύνσεις</w:t>
      </w:r>
      <w:r w:rsidRPr="00617B1E">
        <w:rPr>
          <w:rFonts w:eastAsia="TimesNewRomanPSMT"/>
          <w:szCs w:val="22"/>
          <w:lang w:eastAsia="ko-KR"/>
        </w:rPr>
        <w:t xml:space="preserve">, σύγχυση, ψευδαισθήσεις, </w:t>
      </w:r>
      <w:r>
        <w:rPr>
          <w:rFonts w:eastAsia="TimesNewRomanPSMT"/>
          <w:szCs w:val="22"/>
          <w:lang w:eastAsia="ko-KR"/>
        </w:rPr>
        <w:t>έμετος</w:t>
      </w:r>
      <w:r w:rsidRPr="00617B1E">
        <w:rPr>
          <w:rFonts w:eastAsia="TimesNewRomanPSMT"/>
          <w:szCs w:val="22"/>
          <w:lang w:eastAsia="ko-KR"/>
        </w:rPr>
        <w:t xml:space="preserve">, </w:t>
      </w:r>
      <w:r>
        <w:rPr>
          <w:rFonts w:eastAsia="TimesNewRomanPSMT"/>
          <w:szCs w:val="22"/>
          <w:lang w:eastAsia="ko-KR"/>
        </w:rPr>
        <w:t xml:space="preserve"> μη φυσιολογικό </w:t>
      </w:r>
      <w:r w:rsidRPr="00617B1E">
        <w:rPr>
          <w:rFonts w:eastAsia="TimesNewRomanPSMT"/>
          <w:szCs w:val="22"/>
          <w:lang w:eastAsia="ko-KR"/>
        </w:rPr>
        <w:t>βάδισ</w:t>
      </w:r>
      <w:r>
        <w:rPr>
          <w:rFonts w:eastAsia="TimesNewRomanPSMT"/>
          <w:szCs w:val="22"/>
          <w:lang w:eastAsia="ko-KR"/>
        </w:rPr>
        <w:t>μα</w:t>
      </w:r>
      <w:r w:rsidRPr="00617B1E">
        <w:rPr>
          <w:rFonts w:eastAsia="TimesNewRomanPSMT"/>
          <w:szCs w:val="22"/>
          <w:lang w:eastAsia="ko-KR"/>
        </w:rPr>
        <w:t>,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ind w:left="284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καρδιακή ανεπάρκεια και θρόμβωση των φλεβών</w:t>
      </w:r>
      <w:r w:rsidRPr="00617B1E">
        <w:rPr>
          <w:rFonts w:eastAsia="TimesNewRomanPSMT"/>
          <w:szCs w:val="22"/>
          <w:lang w:eastAsia="ko-KR"/>
        </w:rPr>
        <w:t xml:space="preserve"> (θρόμβωση/θρομβοεμβολή)</w:t>
      </w:r>
      <w:r>
        <w:rPr>
          <w:rFonts w:eastAsia="TimesNewRomanPSMT"/>
          <w:szCs w:val="22"/>
          <w:lang w:eastAsia="ko-KR"/>
        </w:rPr>
        <w:t>.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i/>
          <w:iCs/>
          <w:szCs w:val="22"/>
          <w:lang w:eastAsia="ko-KR"/>
        </w:rPr>
      </w:pPr>
      <w:r w:rsidRPr="00617B1E">
        <w:rPr>
          <w:rFonts w:eastAsia="TimesNewRomanPSMT"/>
          <w:i/>
          <w:iCs/>
          <w:szCs w:val="22"/>
          <w:lang w:eastAsia="ko-KR"/>
        </w:rPr>
        <w:t>Πολύ σπάνιες (</w:t>
      </w:r>
      <w:r>
        <w:rPr>
          <w:rFonts w:eastAsia="TimesNewRomanPSMT"/>
          <w:i/>
          <w:iCs/>
          <w:szCs w:val="22"/>
          <w:lang w:eastAsia="ko-KR"/>
        </w:rPr>
        <w:t>ενδέχεται να επηρεάσουν 1 στα</w:t>
      </w:r>
      <w:r w:rsidRPr="00617B1E">
        <w:rPr>
          <w:rFonts w:eastAsia="TimesNewRomanPSMT"/>
          <w:i/>
          <w:iCs/>
          <w:szCs w:val="22"/>
          <w:lang w:eastAsia="ko-KR"/>
        </w:rPr>
        <w:t xml:space="preserve"> </w:t>
      </w:r>
      <w:r>
        <w:rPr>
          <w:rFonts w:eastAsia="TimesNewRomanPSMT"/>
          <w:i/>
          <w:iCs/>
          <w:szCs w:val="22"/>
          <w:lang w:eastAsia="ko-KR"/>
        </w:rPr>
        <w:t>10.000 άτομα):</w:t>
      </w:r>
    </w:p>
    <w:p w:rsidR="005318A6" w:rsidRPr="00617B1E" w:rsidRDefault="005318A6" w:rsidP="005318A6">
      <w:pPr>
        <w:widowControl/>
        <w:numPr>
          <w:ilvl w:val="0"/>
          <w:numId w:val="3"/>
        </w:numPr>
        <w:tabs>
          <w:tab w:val="clear" w:pos="1080"/>
          <w:tab w:val="num" w:pos="284"/>
        </w:tabs>
        <w:autoSpaceDE w:val="0"/>
        <w:autoSpaceDN w:val="0"/>
        <w:adjustRightInd w:val="0"/>
        <w:ind w:left="284" w:hanging="284"/>
        <w:rPr>
          <w:rFonts w:eastAsia="TimesNewRomanPSMT"/>
          <w:szCs w:val="22"/>
          <w:lang w:eastAsia="ko-KR"/>
        </w:rPr>
      </w:pPr>
      <w:r w:rsidRPr="00617B1E">
        <w:rPr>
          <w:rFonts w:eastAsia="TimesNewRomanPSMT"/>
          <w:szCs w:val="22"/>
          <w:lang w:eastAsia="ko-KR"/>
        </w:rPr>
        <w:t>Επιληπτικές κρίσεις</w:t>
      </w:r>
      <w:r>
        <w:rPr>
          <w:rFonts w:eastAsia="TimesNewRomanPSMT"/>
          <w:szCs w:val="22"/>
          <w:lang w:eastAsia="ko-KR"/>
        </w:rPr>
        <w:t>.</w:t>
      </w: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i/>
          <w:iCs/>
          <w:szCs w:val="22"/>
          <w:lang w:eastAsia="ko-KR"/>
        </w:rPr>
      </w:pPr>
      <w:r>
        <w:rPr>
          <w:rFonts w:eastAsia="TimesNewRomanPSMT"/>
          <w:i/>
          <w:iCs/>
          <w:szCs w:val="22"/>
          <w:lang w:eastAsia="ko-KR"/>
        </w:rPr>
        <w:t>Μη γνωστέ</w:t>
      </w:r>
      <w:r w:rsidRPr="00617B1E">
        <w:rPr>
          <w:rFonts w:eastAsia="TimesNewRomanPSMT"/>
          <w:i/>
          <w:iCs/>
          <w:szCs w:val="22"/>
          <w:lang w:eastAsia="ko-KR"/>
        </w:rPr>
        <w:t>ς (η συχνότητ</w:t>
      </w:r>
      <w:r>
        <w:rPr>
          <w:rFonts w:eastAsia="TimesNewRomanPSMT"/>
          <w:i/>
          <w:iCs/>
          <w:szCs w:val="22"/>
          <w:lang w:eastAsia="ko-KR"/>
        </w:rPr>
        <w:t>α</w:t>
      </w:r>
      <w:r w:rsidRPr="00617B1E">
        <w:rPr>
          <w:rFonts w:eastAsia="TimesNewRomanPSMT"/>
          <w:i/>
          <w:iCs/>
          <w:szCs w:val="22"/>
          <w:lang w:eastAsia="ko-KR"/>
        </w:rPr>
        <w:t xml:space="preserve"> δεν μπορεί να εκτιμηθεί </w:t>
      </w:r>
      <w:r>
        <w:rPr>
          <w:rFonts w:eastAsia="TimesNewRomanPSMT"/>
          <w:i/>
          <w:iCs/>
          <w:szCs w:val="22"/>
          <w:lang w:eastAsia="ko-KR"/>
        </w:rPr>
        <w:t>με βάση</w:t>
      </w:r>
      <w:r w:rsidRPr="00617B1E">
        <w:rPr>
          <w:rFonts w:eastAsia="TimesNewRomanPSMT"/>
          <w:i/>
          <w:iCs/>
          <w:szCs w:val="22"/>
          <w:lang w:eastAsia="ko-KR"/>
        </w:rPr>
        <w:t xml:space="preserve"> τα διαθέσιμα </w:t>
      </w:r>
      <w:r>
        <w:rPr>
          <w:rFonts w:eastAsia="TimesNewRomanPSMT"/>
          <w:i/>
          <w:iCs/>
          <w:szCs w:val="22"/>
          <w:lang w:eastAsia="ko-KR"/>
        </w:rPr>
        <w:t>δεδομένα</w:t>
      </w:r>
      <w:r w:rsidRPr="00617B1E">
        <w:rPr>
          <w:rFonts w:eastAsia="TimesNewRomanPSMT"/>
          <w:i/>
          <w:iCs/>
          <w:szCs w:val="22"/>
          <w:lang w:eastAsia="ko-KR"/>
        </w:rPr>
        <w:t>):</w:t>
      </w:r>
    </w:p>
    <w:p w:rsidR="005318A6" w:rsidRPr="00432238" w:rsidRDefault="005318A6" w:rsidP="005318A6">
      <w:pPr>
        <w:numPr>
          <w:ilvl w:val="0"/>
          <w:numId w:val="3"/>
        </w:numPr>
        <w:tabs>
          <w:tab w:val="clear" w:pos="1080"/>
          <w:tab w:val="num" w:pos="284"/>
        </w:tabs>
        <w:ind w:left="284" w:hanging="284"/>
        <w:rPr>
          <w:rFonts w:eastAsia="TimesNewRomanPSMT"/>
          <w:iCs/>
          <w:szCs w:val="22"/>
          <w:lang w:eastAsia="ko-KR"/>
        </w:rPr>
      </w:pPr>
      <w:r w:rsidRPr="00432238">
        <w:rPr>
          <w:rFonts w:eastAsia="TimesNewRomanPSMT"/>
          <w:iCs/>
          <w:szCs w:val="22"/>
          <w:lang w:eastAsia="ko-KR"/>
        </w:rPr>
        <w:t>Φλεγμονή του παγκρέατος</w:t>
      </w:r>
      <w:r>
        <w:rPr>
          <w:rFonts w:eastAsia="TimesNewRomanPSMT"/>
          <w:iCs/>
          <w:szCs w:val="22"/>
          <w:lang w:eastAsia="ko-KR"/>
        </w:rPr>
        <w:t>, φλεγμονή του συκωτιού (ηπατίτιδα)</w:t>
      </w:r>
      <w:r w:rsidRPr="00432238">
        <w:rPr>
          <w:rFonts w:eastAsia="TimesNewRomanPSMT"/>
          <w:iCs/>
          <w:szCs w:val="22"/>
          <w:lang w:eastAsia="ko-KR"/>
        </w:rPr>
        <w:t xml:space="preserve"> και ψυχωσικές αντιδράσεις</w:t>
      </w:r>
      <w:r>
        <w:rPr>
          <w:rFonts w:eastAsia="TimesNewRomanPSMT"/>
          <w:iCs/>
          <w:szCs w:val="22"/>
          <w:lang w:eastAsia="ko-KR"/>
        </w:rPr>
        <w:t>.</w:t>
      </w:r>
    </w:p>
    <w:p w:rsidR="005318A6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5318A6" w:rsidRPr="00617B1E" w:rsidRDefault="005318A6" w:rsidP="005318A6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617B1E">
        <w:rPr>
          <w:rFonts w:eastAsia="TimesNewRomanPSMT"/>
          <w:szCs w:val="22"/>
          <w:lang w:eastAsia="ko-KR"/>
        </w:rPr>
        <w:t>Η νόσος Αlzheimer έχει συσχετιστεί με την κατάθλιψη, τον αυτοκτονικό ιδεασμό και την αυτοκτονία.</w:t>
      </w:r>
    </w:p>
    <w:p w:rsidR="005318A6" w:rsidRPr="00617B1E" w:rsidRDefault="005318A6" w:rsidP="005318A6">
      <w:pPr>
        <w:rPr>
          <w:noProof/>
        </w:rPr>
      </w:pPr>
      <w:r w:rsidRPr="00617B1E">
        <w:rPr>
          <w:rFonts w:eastAsia="TimesNewRomanPSMT"/>
          <w:szCs w:val="22"/>
          <w:lang w:eastAsia="ko-KR"/>
        </w:rPr>
        <w:t xml:space="preserve">Τα περιστατικά αυτά έχουν αναφερθεί σε ασθενείς που λάμβαναν θεραπεία με </w:t>
      </w:r>
      <w:r>
        <w:rPr>
          <w:rFonts w:eastAsia="TimesNewRomanPSMT"/>
          <w:szCs w:val="22"/>
          <w:lang w:val="en-US" w:eastAsia="ko-KR"/>
        </w:rPr>
        <w:t>Cognomem</w:t>
      </w:r>
      <w:r w:rsidRPr="00617B1E">
        <w:rPr>
          <w:rFonts w:eastAsia="TimesNewRomanPSMT"/>
          <w:szCs w:val="22"/>
          <w:lang w:eastAsia="ko-KR"/>
        </w:rPr>
        <w:t>.</w:t>
      </w:r>
    </w:p>
    <w:p w:rsidR="005318A6" w:rsidRPr="005318A6" w:rsidRDefault="005318A6" w:rsidP="005318A6">
      <w:pPr>
        <w:rPr>
          <w:b/>
          <w:noProof/>
        </w:rPr>
      </w:pPr>
    </w:p>
    <w:p w:rsidR="005318A6" w:rsidRPr="007D47AE" w:rsidRDefault="005318A6" w:rsidP="005318A6">
      <w:pPr>
        <w:rPr>
          <w:b/>
          <w:noProof/>
          <w:szCs w:val="22"/>
        </w:rPr>
      </w:pPr>
      <w:r>
        <w:rPr>
          <w:b/>
          <w:noProof/>
          <w:szCs w:val="22"/>
        </w:rPr>
        <w:t>Αναφορά ανεπιθύμητων ενεργειών</w:t>
      </w:r>
    </w:p>
    <w:p w:rsidR="005318A6" w:rsidRPr="007D47AE" w:rsidRDefault="005318A6" w:rsidP="005318A6">
      <w:pPr>
        <w:rPr>
          <w:b/>
          <w:noProof/>
          <w:szCs w:val="22"/>
        </w:rPr>
      </w:pPr>
    </w:p>
    <w:p w:rsidR="005318A6" w:rsidRPr="005943F3" w:rsidRDefault="005318A6" w:rsidP="005318A6">
      <w:pPr>
        <w:keepNext/>
        <w:rPr>
          <w:noProof/>
          <w:szCs w:val="22"/>
        </w:rPr>
      </w:pPr>
      <w:r w:rsidRPr="005943F3">
        <w:t>Εάν παρατηρήσετε κάποια ανεπιθύμητη ενέργεια, ενημερώστε τον γιατρό ή τον φαρμακοποιό σας. Αυτό ισχύει και για κάθε ανεπιθύμητη ενέργεια που δεν αναφέρεται στο παρόν φύλλο οδηγιών χρήσης.</w:t>
      </w:r>
      <w:r w:rsidRPr="005943F3">
        <w:rPr>
          <w:szCs w:val="22"/>
        </w:rPr>
        <w:t xml:space="preserve"> Μπορείτε επίσης να αναφέρετε ανεπιθύμητες ενέργειες απευθείας</w:t>
      </w:r>
      <w:r w:rsidRPr="005943F3">
        <w:rPr>
          <w:noProof/>
          <w:szCs w:val="22"/>
        </w:rPr>
        <w:t>, μέσω του εθνικού συστήματος αναφοράς:</w:t>
      </w:r>
    </w:p>
    <w:p w:rsidR="00176D29" w:rsidRDefault="00176D29" w:rsidP="005318A6">
      <w:pPr>
        <w:rPr>
          <w:rFonts w:eastAsia="Calibri"/>
          <w:b/>
          <w:noProof/>
          <w:szCs w:val="22"/>
          <w:lang w:eastAsia="zh-CN"/>
        </w:rPr>
      </w:pPr>
    </w:p>
    <w:p w:rsidR="00176D29" w:rsidRDefault="00176D29" w:rsidP="005318A6">
      <w:pPr>
        <w:rPr>
          <w:rFonts w:eastAsia="Calibri"/>
          <w:b/>
          <w:noProof/>
          <w:szCs w:val="22"/>
          <w:lang w:eastAsia="zh-CN"/>
        </w:rPr>
      </w:pPr>
      <w:r>
        <w:rPr>
          <w:rFonts w:eastAsia="Calibri"/>
          <w:b/>
          <w:noProof/>
          <w:szCs w:val="22"/>
          <w:lang w:eastAsia="zh-CN"/>
        </w:rPr>
        <w:t>Ελλάδα</w:t>
      </w:r>
    </w:p>
    <w:p w:rsidR="005318A6" w:rsidRPr="005943F3" w:rsidRDefault="005318A6" w:rsidP="005318A6">
      <w:pPr>
        <w:rPr>
          <w:rFonts w:eastAsia="Calibri"/>
          <w:noProof/>
          <w:szCs w:val="22"/>
          <w:lang w:eastAsia="zh-CN"/>
        </w:rPr>
      </w:pPr>
      <w:r w:rsidRPr="005943F3">
        <w:rPr>
          <w:rFonts w:eastAsia="Calibri"/>
          <w:noProof/>
          <w:szCs w:val="22"/>
          <w:lang w:eastAsia="zh-CN"/>
        </w:rPr>
        <w:t>Εθνικός Οργανισμός Φαρμάκων</w:t>
      </w:r>
    </w:p>
    <w:p w:rsidR="005318A6" w:rsidRPr="005943F3" w:rsidRDefault="005318A6" w:rsidP="005318A6">
      <w:pPr>
        <w:rPr>
          <w:rFonts w:eastAsia="Calibri"/>
          <w:noProof/>
          <w:szCs w:val="22"/>
          <w:lang w:eastAsia="zh-CN"/>
        </w:rPr>
      </w:pPr>
      <w:r w:rsidRPr="005943F3">
        <w:rPr>
          <w:rFonts w:eastAsia="Calibri"/>
          <w:noProof/>
          <w:szCs w:val="22"/>
          <w:lang w:eastAsia="zh-CN"/>
        </w:rPr>
        <w:t>Μεσογείων 284</w:t>
      </w:r>
    </w:p>
    <w:p w:rsidR="005318A6" w:rsidRPr="005943F3" w:rsidRDefault="005318A6" w:rsidP="005318A6">
      <w:pPr>
        <w:rPr>
          <w:rFonts w:eastAsia="Calibri"/>
          <w:noProof/>
          <w:szCs w:val="22"/>
          <w:lang w:eastAsia="zh-CN"/>
        </w:rPr>
      </w:pPr>
      <w:r w:rsidRPr="005943F3">
        <w:rPr>
          <w:rFonts w:eastAsia="Calibri"/>
          <w:noProof/>
          <w:szCs w:val="22"/>
          <w:lang w:eastAsia="zh-CN"/>
        </w:rPr>
        <w:t>GR-15562 Χολαργός, Αθήνα</w:t>
      </w:r>
    </w:p>
    <w:p w:rsidR="005318A6" w:rsidRPr="005943F3" w:rsidRDefault="005318A6" w:rsidP="005318A6">
      <w:pPr>
        <w:rPr>
          <w:rFonts w:eastAsia="Calibri"/>
          <w:szCs w:val="22"/>
          <w:lang w:eastAsia="zh-CN"/>
        </w:rPr>
      </w:pPr>
      <w:r w:rsidRPr="005943F3">
        <w:rPr>
          <w:rFonts w:eastAsia="Calibri"/>
          <w:noProof/>
          <w:szCs w:val="22"/>
          <w:lang w:eastAsia="zh-CN"/>
        </w:rPr>
        <w:t xml:space="preserve">Τηλ: + 30 </w:t>
      </w:r>
      <w:r w:rsidRPr="005943F3">
        <w:rPr>
          <w:rFonts w:eastAsia="Calibri"/>
          <w:szCs w:val="22"/>
          <w:lang w:eastAsia="zh-CN"/>
        </w:rPr>
        <w:t>21 32040380/337</w:t>
      </w:r>
    </w:p>
    <w:p w:rsidR="005318A6" w:rsidRPr="005943F3" w:rsidRDefault="005318A6" w:rsidP="005318A6">
      <w:pPr>
        <w:rPr>
          <w:rFonts w:eastAsia="Calibri"/>
          <w:noProof/>
          <w:szCs w:val="22"/>
          <w:lang w:eastAsia="zh-CN"/>
        </w:rPr>
      </w:pPr>
      <w:r w:rsidRPr="005943F3">
        <w:rPr>
          <w:rFonts w:eastAsia="Calibri"/>
          <w:lang w:eastAsia="zh-CN"/>
        </w:rPr>
        <w:t>Φαξ</w:t>
      </w:r>
      <w:r w:rsidRPr="005943F3">
        <w:rPr>
          <w:rFonts w:eastAsia="Calibri"/>
          <w:noProof/>
          <w:szCs w:val="22"/>
          <w:lang w:eastAsia="zh-CN"/>
        </w:rPr>
        <w:t xml:space="preserve">: + 30 </w:t>
      </w:r>
      <w:r w:rsidRPr="005943F3">
        <w:rPr>
          <w:rFonts w:eastAsia="Calibri"/>
          <w:szCs w:val="22"/>
          <w:lang w:eastAsia="zh-CN"/>
        </w:rPr>
        <w:t>21 06549585</w:t>
      </w:r>
      <w:r w:rsidRPr="005943F3">
        <w:rPr>
          <w:rFonts w:eastAsia="Calibri"/>
          <w:noProof/>
          <w:szCs w:val="22"/>
          <w:lang w:eastAsia="zh-CN"/>
        </w:rPr>
        <w:t xml:space="preserve"> </w:t>
      </w:r>
    </w:p>
    <w:p w:rsidR="005318A6" w:rsidRPr="005943F3" w:rsidRDefault="005318A6" w:rsidP="005318A6">
      <w:pPr>
        <w:tabs>
          <w:tab w:val="left" w:pos="-720"/>
        </w:tabs>
        <w:suppressAutoHyphens/>
        <w:rPr>
          <w:rFonts w:eastAsia="Calibri"/>
          <w:szCs w:val="22"/>
          <w:lang w:eastAsia="zh-CN"/>
        </w:rPr>
      </w:pPr>
      <w:r w:rsidRPr="005943F3">
        <w:rPr>
          <w:rFonts w:eastAsia="Calibri"/>
          <w:lang w:eastAsia="zh-CN"/>
        </w:rPr>
        <w:t>Ιστότοπος</w:t>
      </w:r>
      <w:r w:rsidRPr="005943F3">
        <w:rPr>
          <w:rFonts w:eastAsia="Calibri"/>
          <w:noProof/>
          <w:szCs w:val="22"/>
          <w:lang w:eastAsia="zh-CN"/>
        </w:rPr>
        <w:t xml:space="preserve">: </w:t>
      </w:r>
      <w:r w:rsidRPr="0005688C">
        <w:rPr>
          <w:rFonts w:eastAsia="Calibri"/>
          <w:szCs w:val="22"/>
          <w:lang w:eastAsia="zh-CN"/>
        </w:rPr>
        <w:t>http://www.eof.gr</w:t>
      </w:r>
    </w:p>
    <w:p w:rsidR="005318A6" w:rsidRPr="005318A6" w:rsidRDefault="005318A6" w:rsidP="005318A6">
      <w:pPr>
        <w:keepNext/>
        <w:rPr>
          <w:szCs w:val="22"/>
        </w:rPr>
      </w:pPr>
    </w:p>
    <w:p w:rsidR="005318A6" w:rsidRDefault="005318A6" w:rsidP="005318A6">
      <w:r>
        <w:rPr>
          <w:b/>
          <w:bCs/>
          <w:color w:val="000000"/>
        </w:rPr>
        <w:t>Κύπρος</w:t>
      </w:r>
    </w:p>
    <w:p w:rsidR="005318A6" w:rsidRDefault="005318A6" w:rsidP="005318A6">
      <w:r>
        <w:rPr>
          <w:color w:val="000000"/>
        </w:rPr>
        <w:t>Φαρμακευτικές Υπηρεσίες</w:t>
      </w:r>
    </w:p>
    <w:p w:rsidR="005318A6" w:rsidRDefault="005318A6" w:rsidP="005318A6">
      <w:r>
        <w:rPr>
          <w:color w:val="000000"/>
        </w:rPr>
        <w:t>Υπουργείο Υγείας</w:t>
      </w:r>
    </w:p>
    <w:p w:rsidR="005318A6" w:rsidRDefault="005318A6" w:rsidP="005318A6">
      <w:r>
        <w:rPr>
          <w:color w:val="000000"/>
        </w:rPr>
        <w:t>CY-1475 Λευκωσία</w:t>
      </w:r>
    </w:p>
    <w:p w:rsidR="005318A6" w:rsidRPr="00D536E6" w:rsidRDefault="005318A6" w:rsidP="005318A6">
      <w:r>
        <w:rPr>
          <w:color w:val="000000"/>
        </w:rPr>
        <w:t>Φαξ: + 357 22608649</w:t>
      </w:r>
    </w:p>
    <w:p w:rsidR="005318A6" w:rsidRPr="00D536E6" w:rsidRDefault="005318A6" w:rsidP="005318A6">
      <w:pPr>
        <w:rPr>
          <w:color w:val="000000"/>
        </w:rPr>
      </w:pPr>
      <w:r>
        <w:rPr>
          <w:color w:val="000000"/>
        </w:rPr>
        <w:t xml:space="preserve">Ιστότοπος: </w:t>
      </w:r>
      <w:r w:rsidRPr="0005688C">
        <w:rPr>
          <w:color w:val="000000"/>
        </w:rPr>
        <w:t>www.moh.gov.cy/phs</w:t>
      </w:r>
      <w:r w:rsidRPr="00D536E6">
        <w:rPr>
          <w:color w:val="000000"/>
        </w:rPr>
        <w:t xml:space="preserve"> </w:t>
      </w:r>
    </w:p>
    <w:p w:rsidR="005318A6" w:rsidRPr="00D536E6" w:rsidRDefault="005318A6" w:rsidP="005318A6">
      <w:pPr>
        <w:keepNext/>
        <w:rPr>
          <w:szCs w:val="22"/>
        </w:rPr>
      </w:pPr>
    </w:p>
    <w:p w:rsidR="005318A6" w:rsidRPr="005943F3" w:rsidRDefault="005318A6" w:rsidP="005318A6">
      <w:pPr>
        <w:rPr>
          <w:noProof/>
        </w:rPr>
      </w:pPr>
      <w:r w:rsidRPr="005943F3">
        <w:rPr>
          <w:szCs w:val="22"/>
        </w:rPr>
        <w:t xml:space="preserve">Μέσω της αναφοράς ανεπιθύμητων ενεργειών μπορείτε να βοηθήσετε στη συλλογή περισσότερων </w:t>
      </w:r>
      <w:r w:rsidRPr="005943F3">
        <w:rPr>
          <w:szCs w:val="22"/>
        </w:rPr>
        <w:lastRenderedPageBreak/>
        <w:t>πληροφοριών σχετικά με την ασφάλεια του παρόντος φαρμάκου</w:t>
      </w:r>
      <w:r w:rsidRPr="005943F3">
        <w:rPr>
          <w:noProof/>
          <w:szCs w:val="22"/>
        </w:rPr>
        <w:t>.</w:t>
      </w:r>
    </w:p>
    <w:p w:rsidR="005318A6" w:rsidRPr="00432238" w:rsidRDefault="005318A6" w:rsidP="005318A6">
      <w:pPr>
        <w:rPr>
          <w:b/>
          <w:noProof/>
        </w:rPr>
      </w:pPr>
    </w:p>
    <w:p w:rsidR="005318A6" w:rsidRPr="00E01A5E" w:rsidRDefault="005318A6" w:rsidP="005318A6">
      <w:pPr>
        <w:rPr>
          <w:b/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5.</w:t>
      </w:r>
      <w:r w:rsidRPr="00E01A5E">
        <w:rPr>
          <w:b/>
          <w:noProof/>
        </w:rPr>
        <w:tab/>
        <w:t>Πώς</w:t>
      </w:r>
      <w:r w:rsidRPr="00E01A5E">
        <w:rPr>
          <w:b/>
        </w:rPr>
        <w:t xml:space="preserve"> </w:t>
      </w:r>
      <w:r w:rsidRPr="00E01A5E">
        <w:rPr>
          <w:b/>
          <w:noProof/>
        </w:rPr>
        <w:t xml:space="preserve">φυλάσσεται το </w:t>
      </w:r>
      <w:r w:rsidRPr="00E01A5E">
        <w:rPr>
          <w:b/>
          <w:noProof/>
          <w:lang w:val="en-US"/>
        </w:rPr>
        <w:t>Cognomem</w:t>
      </w:r>
    </w:p>
    <w:p w:rsidR="005318A6" w:rsidRPr="00E01A5E" w:rsidRDefault="005318A6" w:rsidP="005318A6"/>
    <w:p w:rsidR="005318A6" w:rsidRPr="00CB4062" w:rsidRDefault="005318A6" w:rsidP="005318A6">
      <w:pPr>
        <w:rPr>
          <w:noProof/>
        </w:rPr>
      </w:pPr>
      <w:r>
        <w:rPr>
          <w:noProof/>
        </w:rPr>
        <w:t>Δεν υπάρχουν ειδικές οδηγίες διατήρησης για το προϊόν αυτό.</w:t>
      </w:r>
    </w:p>
    <w:p w:rsidR="005318A6" w:rsidRPr="00CB4062" w:rsidRDefault="005318A6" w:rsidP="005318A6">
      <w:pPr>
        <w:rPr>
          <w:color w:val="FF0000"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Το φάρμακο αυτό πρέπει να φυλάσσεται σε μέρη που δεν το βλέπουν και δεν το φθάνουν τα παιδιά.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Να μη χρησιμοποιείτε αυτό το φάρμακο μετά την ημερομηνία λήξης που αναφέρεται στο κουτί</w:t>
      </w:r>
      <w:r w:rsidRPr="008C4EA3">
        <w:rPr>
          <w:noProof/>
        </w:rPr>
        <w:t xml:space="preserve"> </w:t>
      </w:r>
      <w:r w:rsidRPr="00E01A5E">
        <w:rPr>
          <w:noProof/>
        </w:rPr>
        <w:t xml:space="preserve">μετά την </w:t>
      </w:r>
      <w:r>
        <w:rPr>
          <w:noProof/>
        </w:rPr>
        <w:t>ΛΗΞΗ</w:t>
      </w:r>
      <w:r w:rsidRPr="00E01A5E">
        <w:rPr>
          <w:noProof/>
        </w:rPr>
        <w:t>.</w:t>
      </w:r>
      <w:r>
        <w:rPr>
          <w:noProof/>
        </w:rPr>
        <w:t xml:space="preserve"> </w:t>
      </w:r>
      <w:r w:rsidRPr="00E01A5E">
        <w:rPr>
          <w:noProof/>
        </w:rPr>
        <w:t>Η ημερομηνία λήξης είναι η τελευταία ημέρα του μήνα που αναφέρεται εκεί</w:t>
      </w:r>
      <w:r>
        <w:rPr>
          <w:noProof/>
        </w:rPr>
        <w:t>.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noProof/>
        </w:rPr>
        <w:t>Μην πετάτε φάρμακα στο νερό της αποχέτευσης ή στα σκουπίδια. Ρωτείστε το φαρμακοποιό σας για το πώς να πετάξετε τα φάρμακα που δεν χρησιμοποιείτε πια. Αυτά τα μέτρα θα βοηθήσουν στη</w:t>
      </w:r>
      <w:r>
        <w:rPr>
          <w:noProof/>
        </w:rPr>
        <w:t>ν  προστασία του περιβάλλοντος.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>6.</w:t>
      </w:r>
      <w:r w:rsidRPr="00E01A5E">
        <w:rPr>
          <w:b/>
          <w:noProof/>
        </w:rPr>
        <w:tab/>
        <w:t>Περιεχόμενο της συσκευασίας και λοιπές πληροφορίες</w:t>
      </w:r>
    </w:p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b/>
          <w:bCs/>
          <w:noProof/>
        </w:rPr>
      </w:pPr>
      <w:r w:rsidRPr="00E01A5E">
        <w:rPr>
          <w:b/>
          <w:bCs/>
          <w:noProof/>
        </w:rPr>
        <w:t xml:space="preserve">Τι περιέχει το </w:t>
      </w:r>
      <w:r w:rsidRPr="00E01A5E">
        <w:rPr>
          <w:b/>
          <w:noProof/>
          <w:lang w:val="en-US"/>
        </w:rPr>
        <w:t>Cognomem</w:t>
      </w:r>
    </w:p>
    <w:p w:rsidR="005318A6" w:rsidRPr="00E01A5E" w:rsidRDefault="005318A6" w:rsidP="005318A6">
      <w:pPr>
        <w:pStyle w:val="a3"/>
        <w:tabs>
          <w:tab w:val="clear" w:pos="4153"/>
          <w:tab w:val="clear" w:pos="8306"/>
        </w:tabs>
        <w:rPr>
          <w:noProof/>
        </w:rPr>
      </w:pPr>
    </w:p>
    <w:p w:rsidR="005318A6" w:rsidRDefault="005318A6" w:rsidP="005318A6">
      <w:pPr>
        <w:rPr>
          <w:noProof/>
        </w:rPr>
      </w:pPr>
      <w:r w:rsidRPr="00E01A5E">
        <w:rPr>
          <w:noProof/>
        </w:rPr>
        <w:t>Η δραστική</w:t>
      </w:r>
      <w:r>
        <w:rPr>
          <w:noProof/>
        </w:rPr>
        <w:t xml:space="preserve"> ουσία είναι η υδροχλωρική μεμαντίνη.</w:t>
      </w:r>
    </w:p>
    <w:p w:rsidR="005318A6" w:rsidRDefault="005318A6" w:rsidP="005318A6">
      <w:pPr>
        <w:rPr>
          <w:noProof/>
        </w:rPr>
      </w:pPr>
      <w:r>
        <w:rPr>
          <w:noProof/>
        </w:rPr>
        <w:t xml:space="preserve">Τα άλλα συστατικά είναι : </w:t>
      </w:r>
    </w:p>
    <w:p w:rsidR="005318A6" w:rsidRDefault="005318A6" w:rsidP="005318A6">
      <w:pPr>
        <w:rPr>
          <w:noProof/>
        </w:rPr>
      </w:pPr>
      <w:r>
        <w:rPr>
          <w:noProof/>
          <w:u w:val="single"/>
        </w:rPr>
        <w:t>Πυρήνας δισκίου</w:t>
      </w:r>
      <w:r>
        <w:rPr>
          <w:noProof/>
        </w:rPr>
        <w:t xml:space="preserve">: </w:t>
      </w:r>
      <w:r>
        <w:t>Λακτόζη μονοϋδρική, κυτταρίνη μικροκρυσταλλική, πυρίτιο κολλοειδές άνυδρο, τάλκης, μαγνήσιο στεατικό.</w:t>
      </w:r>
    </w:p>
    <w:p w:rsidR="005318A6" w:rsidRPr="00A30237" w:rsidRDefault="005318A6" w:rsidP="005318A6">
      <w:r>
        <w:rPr>
          <w:u w:val="single"/>
        </w:rPr>
        <w:t>Επικάλυψη δισκίου</w:t>
      </w:r>
      <w:r>
        <w:t>: Υπρομελλόζη (Ε464), τιτανίου διοξείδιο (Ε171), π</w:t>
      </w:r>
      <w:r w:rsidRPr="00A30237">
        <w:t>ολυαιθυλενογλυκόλη</w:t>
      </w:r>
      <w:r>
        <w:t xml:space="preserve"> 400 (Ε1521).</w:t>
      </w:r>
    </w:p>
    <w:p w:rsidR="005318A6" w:rsidRPr="00E01A5E" w:rsidRDefault="005318A6" w:rsidP="005318A6">
      <w:pPr>
        <w:rPr>
          <w:b/>
          <w:bCs/>
          <w:noProof/>
        </w:rPr>
      </w:pPr>
    </w:p>
    <w:p w:rsidR="005318A6" w:rsidRPr="00E01A5E" w:rsidRDefault="005318A6" w:rsidP="005318A6">
      <w:pPr>
        <w:rPr>
          <w:b/>
          <w:bCs/>
          <w:noProof/>
        </w:rPr>
      </w:pPr>
      <w:r w:rsidRPr="00E01A5E">
        <w:rPr>
          <w:b/>
          <w:bCs/>
          <w:noProof/>
        </w:rPr>
        <w:t xml:space="preserve">Εμφάνιση του </w:t>
      </w:r>
      <w:r w:rsidRPr="00E01A5E">
        <w:rPr>
          <w:b/>
          <w:noProof/>
          <w:lang w:val="en-US"/>
        </w:rPr>
        <w:t>Cognomem</w:t>
      </w:r>
      <w:r w:rsidRPr="00E01A5E">
        <w:rPr>
          <w:b/>
          <w:bCs/>
          <w:noProof/>
        </w:rPr>
        <w:t xml:space="preserve"> </w:t>
      </w:r>
      <w:r>
        <w:rPr>
          <w:b/>
          <w:bCs/>
          <w:noProof/>
        </w:rPr>
        <w:t>και</w:t>
      </w:r>
      <w:r w:rsidRPr="00E01A5E">
        <w:rPr>
          <w:b/>
          <w:bCs/>
          <w:noProof/>
        </w:rPr>
        <w:t xml:space="preserve"> περιεχόμενο της συσκευασίας</w:t>
      </w:r>
    </w:p>
    <w:p w:rsidR="005318A6" w:rsidRPr="00FE6026" w:rsidRDefault="005318A6" w:rsidP="005318A6">
      <w:pPr>
        <w:rPr>
          <w:bCs/>
          <w:noProof/>
        </w:rPr>
      </w:pPr>
    </w:p>
    <w:p w:rsidR="005318A6" w:rsidRDefault="005318A6" w:rsidP="005318A6">
      <w:r>
        <w:rPr>
          <w:lang w:val="en-US"/>
        </w:rPr>
        <w:t>Cognomem</w:t>
      </w:r>
      <w:r w:rsidRPr="00EE64E5">
        <w:t xml:space="preserve"> 10</w:t>
      </w:r>
      <w:r>
        <w:rPr>
          <w:lang w:val="en-US"/>
        </w:rPr>
        <w:t> mg</w:t>
      </w:r>
      <w:r w:rsidRPr="00EE64E5">
        <w:t xml:space="preserve"> </w:t>
      </w:r>
      <w:r>
        <w:t>επικαλυμμένα με λεπτό υμένιο δισκία: επικαλυμμένα με λεπτό υμένιο δισκία των 10 </w:t>
      </w:r>
      <w:r>
        <w:rPr>
          <w:lang w:val="en-US"/>
        </w:rPr>
        <w:t>mg</w:t>
      </w:r>
      <w:r>
        <w:t xml:space="preserve"> που μπορούν να σπάσουν.</w:t>
      </w:r>
    </w:p>
    <w:p w:rsidR="005318A6" w:rsidRPr="00ED3ADF" w:rsidRDefault="005318A6" w:rsidP="005318A6">
      <w:r>
        <w:t>Λευκά έως υπόλευκα, σχήματος καψακίου επικαλυμμένα με λεπτό υμένιο δισκία με μήκος περίπου 11,1±0,2 </w:t>
      </w:r>
      <w:r>
        <w:rPr>
          <w:lang w:val="en-US"/>
        </w:rPr>
        <w:t>mm</w:t>
      </w:r>
      <w:r>
        <w:t xml:space="preserve"> και πλάτος περίπου 5,1±0,2 </w:t>
      </w:r>
      <w:r>
        <w:rPr>
          <w:lang w:val="en-US"/>
        </w:rPr>
        <w:t>mm</w:t>
      </w:r>
      <w:r>
        <w:t>, με εγκοπή και στις δύο πλευρές.</w:t>
      </w:r>
    </w:p>
    <w:p w:rsidR="005318A6" w:rsidRDefault="005318A6" w:rsidP="005318A6">
      <w:r w:rsidRPr="00ED3ADF">
        <w:rPr>
          <w:lang w:val="en-US"/>
        </w:rPr>
        <w:t>Cognomem</w:t>
      </w:r>
      <w:r w:rsidRPr="00ED3ADF">
        <w:t xml:space="preserve"> 20</w:t>
      </w:r>
      <w:r w:rsidRPr="00ED3ADF">
        <w:rPr>
          <w:lang w:val="en-US"/>
        </w:rPr>
        <w:t> mg</w:t>
      </w:r>
      <w:r w:rsidRPr="00ED3ADF">
        <w:t xml:space="preserve"> επικαλυμμένα με λεπτό υμένιο δισκία</w:t>
      </w:r>
      <w:r>
        <w:t>: επικαλυμμένα με λεπτό υμένιο δισκία των 20 </w:t>
      </w:r>
      <w:r>
        <w:rPr>
          <w:lang w:val="en-US"/>
        </w:rPr>
        <w:t>mg</w:t>
      </w:r>
      <w:r>
        <w:t xml:space="preserve"> που μπορούν να σπάσουν.</w:t>
      </w:r>
    </w:p>
    <w:p w:rsidR="005318A6" w:rsidRPr="00ED3ADF" w:rsidRDefault="005318A6" w:rsidP="005318A6">
      <w:r>
        <w:t xml:space="preserve">Λευκά έως υπόλευκα, σχήματος καψακίου επικαλυμμένα με λεπτό υμένιο δισκία με </w:t>
      </w:r>
      <w:r>
        <w:rPr>
          <w:highlight w:val="lightGray"/>
        </w:rPr>
        <w:t>μήκος περίπου 13,30±0,2 </w:t>
      </w:r>
      <w:r>
        <w:rPr>
          <w:highlight w:val="lightGray"/>
          <w:lang w:val="en-US"/>
        </w:rPr>
        <w:t>mm</w:t>
      </w:r>
      <w:r>
        <w:rPr>
          <w:highlight w:val="lightGray"/>
        </w:rPr>
        <w:t xml:space="preserve"> και πλάτος περίπου 7,2±0,2 </w:t>
      </w:r>
      <w:r>
        <w:rPr>
          <w:highlight w:val="lightGray"/>
          <w:lang w:val="en-US"/>
        </w:rPr>
        <w:t>mm</w:t>
      </w:r>
      <w:r>
        <w:rPr>
          <w:highlight w:val="lightGray"/>
        </w:rPr>
        <w:t xml:space="preserve">, με </w:t>
      </w:r>
      <w:r>
        <w:t>διαχωριστική γραμμή «</w:t>
      </w:r>
      <w:r>
        <w:rPr>
          <w:lang w:val="en-US"/>
        </w:rPr>
        <w:t>SNAP</w:t>
      </w:r>
      <w:r w:rsidRPr="00B677CF">
        <w:t xml:space="preserve"> </w:t>
      </w:r>
      <w:r>
        <w:rPr>
          <w:lang w:val="en-US"/>
        </w:rPr>
        <w:t>TAB</w:t>
      </w:r>
      <w:r>
        <w:t>» στη μία πλευρά και εγκοπή για τη θραύση στην άλλη πλευρά.</w:t>
      </w:r>
    </w:p>
    <w:p w:rsidR="005318A6" w:rsidRPr="00786D07" w:rsidRDefault="005318A6" w:rsidP="005318A6">
      <w:pPr>
        <w:rPr>
          <w:noProof/>
        </w:rPr>
      </w:pPr>
    </w:p>
    <w:p w:rsidR="005318A6" w:rsidRPr="00786D07" w:rsidRDefault="005318A6" w:rsidP="005318A6">
      <w:r w:rsidRPr="00786D07">
        <w:rPr>
          <w:noProof/>
        </w:rPr>
        <w:t>Το δισκίο μπορεί να διαχωριστεί σε δύο</w:t>
      </w:r>
      <w:r>
        <w:rPr>
          <w:noProof/>
        </w:rPr>
        <w:t xml:space="preserve"> </w:t>
      </w:r>
      <w:r w:rsidRPr="00786D07">
        <w:rPr>
          <w:noProof/>
        </w:rPr>
        <w:t>ίσες δόσεις</w:t>
      </w:r>
      <w:r>
        <w:rPr>
          <w:noProof/>
        </w:rPr>
        <w:t>.</w:t>
      </w:r>
    </w:p>
    <w:p w:rsidR="005318A6" w:rsidRDefault="005318A6" w:rsidP="005318A6">
      <w:pPr>
        <w:rPr>
          <w:b/>
          <w:bCs/>
          <w:noProof/>
        </w:rPr>
      </w:pPr>
    </w:p>
    <w:p w:rsidR="005318A6" w:rsidRPr="00D76EA0" w:rsidRDefault="005318A6" w:rsidP="005318A6">
      <w:r>
        <w:rPr>
          <w:lang w:val="en-US"/>
        </w:rPr>
        <w:t>Cognomem</w:t>
      </w:r>
      <w:r w:rsidRPr="00D76EA0">
        <w:t xml:space="preserve"> 10</w:t>
      </w:r>
      <w:r>
        <w:rPr>
          <w:lang w:val="en-US"/>
        </w:rPr>
        <w:t> mg</w:t>
      </w:r>
      <w:r w:rsidRPr="00D76EA0">
        <w:t xml:space="preserve"> </w:t>
      </w:r>
      <w:r>
        <w:t xml:space="preserve">επικαλυμμένα με λεπτό υμένιο δισκία: περιέκτης δισκίων (κυψέλη) από </w:t>
      </w:r>
      <w:r>
        <w:rPr>
          <w:lang w:val="en-US"/>
        </w:rPr>
        <w:t>PVC</w:t>
      </w:r>
      <w:r w:rsidRPr="00D76EA0">
        <w:t>/</w:t>
      </w:r>
      <w:r>
        <w:t>αλουμίνιο που περιέχει 14</w:t>
      </w:r>
      <w:r w:rsidRPr="00D76EA0">
        <w:rPr>
          <w:highlight w:val="lightGray"/>
        </w:rPr>
        <w:t>, 28, 30, 42, 45, 50, 56, 60, 84, 90, 98, 100 και 112</w:t>
      </w:r>
      <w:r>
        <w:t> επικαλυμμένα με λεπτό υμένιο δισκία.</w:t>
      </w:r>
    </w:p>
    <w:p w:rsidR="005318A6" w:rsidRPr="00D76EA0" w:rsidRDefault="005318A6" w:rsidP="005318A6">
      <w:r w:rsidRPr="00A850E4">
        <w:rPr>
          <w:highlight w:val="lightGray"/>
          <w:lang w:val="en-US"/>
        </w:rPr>
        <w:t>Cognomem</w:t>
      </w:r>
      <w:r w:rsidRPr="00A850E4">
        <w:rPr>
          <w:highlight w:val="lightGray"/>
        </w:rPr>
        <w:t xml:space="preserve"> 20</w:t>
      </w:r>
      <w:r w:rsidRPr="00A850E4">
        <w:rPr>
          <w:highlight w:val="lightGray"/>
          <w:lang w:val="en-US"/>
        </w:rPr>
        <w:t> mg</w:t>
      </w:r>
      <w:r w:rsidRPr="00A850E4">
        <w:rPr>
          <w:highlight w:val="lightGray"/>
        </w:rPr>
        <w:t xml:space="preserve"> επικαλυμμένα με λεπτό υμένιο δισκία: περιέκτης </w:t>
      </w:r>
      <w:r w:rsidRPr="005318EF">
        <w:rPr>
          <w:highlight w:val="lightGray"/>
        </w:rPr>
        <w:t xml:space="preserve">δισκίων (κυψέλη) από </w:t>
      </w:r>
      <w:r w:rsidRPr="00A850E4">
        <w:rPr>
          <w:highlight w:val="lightGray"/>
          <w:lang w:val="en-US"/>
        </w:rPr>
        <w:t>PVC</w:t>
      </w:r>
      <w:r w:rsidRPr="00A850E4">
        <w:rPr>
          <w:highlight w:val="lightGray"/>
        </w:rPr>
        <w:t>/αλουμίνιο που περιέχει 14, 28, 30, 42, 45, 50, 56, 60, 84, 90, 98, 100 και 112 επικαλυμμένα με λεπτό υμένιο δισκία.</w:t>
      </w:r>
    </w:p>
    <w:p w:rsidR="005318A6" w:rsidRPr="00A850E4" w:rsidRDefault="005318A6" w:rsidP="005318A6">
      <w:pPr>
        <w:rPr>
          <w:b/>
        </w:rPr>
      </w:pPr>
      <w:r w:rsidRPr="00786D07">
        <w:t>Μπορεί να μη κυκλοφορούν όλες οι συσκευ</w:t>
      </w:r>
      <w:r>
        <w:t>ασίες.</w:t>
      </w:r>
    </w:p>
    <w:p w:rsidR="005318A6" w:rsidRPr="00E01A5E" w:rsidRDefault="005318A6" w:rsidP="005318A6">
      <w:pPr>
        <w:rPr>
          <w:b/>
          <w:bCs/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bCs/>
          <w:noProof/>
        </w:rPr>
        <w:t>Κάτοχος αδείας κυκλοφορίας και παραγωγός</w:t>
      </w:r>
    </w:p>
    <w:p w:rsidR="005318A6" w:rsidRPr="00E01A5E" w:rsidRDefault="005318A6" w:rsidP="005318A6">
      <w:pPr>
        <w:pStyle w:val="a3"/>
        <w:tabs>
          <w:tab w:val="clear" w:pos="4153"/>
          <w:tab w:val="clear" w:pos="8306"/>
        </w:tabs>
        <w:rPr>
          <w:noProof/>
        </w:rPr>
      </w:pPr>
    </w:p>
    <w:p w:rsidR="005318A6" w:rsidRPr="00E01A5E" w:rsidRDefault="005318A6" w:rsidP="005318A6">
      <w:pPr>
        <w:autoSpaceDE w:val="0"/>
        <w:autoSpaceDN w:val="0"/>
        <w:adjustRightInd w:val="0"/>
        <w:jc w:val="both"/>
        <w:rPr>
          <w:rFonts w:eastAsia="MS Mincho"/>
          <w:bCs/>
          <w:color w:val="000000"/>
          <w:szCs w:val="22"/>
          <w:u w:val="single"/>
        </w:rPr>
      </w:pPr>
      <w:r w:rsidRPr="00E01A5E">
        <w:rPr>
          <w:rFonts w:eastAsia="MS Mincho"/>
          <w:bCs/>
          <w:color w:val="000000"/>
          <w:szCs w:val="22"/>
          <w:u w:val="single"/>
        </w:rPr>
        <w:t>Κάτοχος αδείας κυκλοφορίας</w:t>
      </w:r>
    </w:p>
    <w:p w:rsidR="00176D29" w:rsidRPr="008A3DE0" w:rsidRDefault="00176D29" w:rsidP="00176D29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szCs w:val="22"/>
        </w:rPr>
      </w:pPr>
      <w:r w:rsidRPr="004948A8">
        <w:rPr>
          <w:rFonts w:eastAsia="MS Mincho"/>
          <w:b/>
          <w:bCs/>
          <w:color w:val="000000"/>
          <w:szCs w:val="22"/>
          <w:lang w:val="en-US"/>
        </w:rPr>
        <w:t>sanofi</w:t>
      </w:r>
      <w:r w:rsidRPr="008A3DE0">
        <w:rPr>
          <w:rFonts w:eastAsia="MS Mincho"/>
          <w:b/>
          <w:bCs/>
          <w:color w:val="000000"/>
          <w:szCs w:val="22"/>
        </w:rPr>
        <w:t>-</w:t>
      </w:r>
      <w:r w:rsidRPr="004948A8">
        <w:rPr>
          <w:rFonts w:eastAsia="MS Mincho"/>
          <w:b/>
          <w:bCs/>
          <w:color w:val="000000"/>
          <w:szCs w:val="22"/>
          <w:lang w:val="en-US"/>
        </w:rPr>
        <w:t>aventis</w:t>
      </w:r>
      <w:r w:rsidRPr="008A3DE0">
        <w:rPr>
          <w:rFonts w:eastAsia="MS Mincho"/>
          <w:b/>
          <w:bCs/>
          <w:color w:val="000000"/>
          <w:szCs w:val="22"/>
        </w:rPr>
        <w:t xml:space="preserve"> </w:t>
      </w:r>
      <w:r w:rsidRPr="004948A8">
        <w:rPr>
          <w:rFonts w:eastAsia="MS Mincho"/>
          <w:b/>
          <w:bCs/>
          <w:color w:val="000000"/>
          <w:szCs w:val="22"/>
          <w:lang w:val="en-US"/>
        </w:rPr>
        <w:t>AEBE</w:t>
      </w:r>
    </w:p>
    <w:p w:rsidR="00176D29" w:rsidRPr="008A3DE0" w:rsidRDefault="00176D29" w:rsidP="00176D29">
      <w:pPr>
        <w:autoSpaceDE w:val="0"/>
        <w:autoSpaceDN w:val="0"/>
        <w:adjustRightInd w:val="0"/>
        <w:ind w:firstLine="11"/>
        <w:jc w:val="both"/>
        <w:rPr>
          <w:rFonts w:eastAsia="MS Mincho"/>
          <w:color w:val="000000"/>
          <w:szCs w:val="22"/>
        </w:rPr>
      </w:pPr>
      <w:r w:rsidRPr="008A3DE0">
        <w:rPr>
          <w:rFonts w:eastAsia="MS Mincho"/>
          <w:color w:val="000000"/>
          <w:szCs w:val="22"/>
        </w:rPr>
        <w:t>Λεωφ. Συγγρού 348 – Κτίριο Α</w:t>
      </w:r>
    </w:p>
    <w:p w:rsidR="00176D29" w:rsidRPr="00F52FC6" w:rsidRDefault="00176D29" w:rsidP="00176D29">
      <w:pPr>
        <w:autoSpaceDE w:val="0"/>
        <w:autoSpaceDN w:val="0"/>
        <w:adjustRightInd w:val="0"/>
        <w:ind w:firstLine="11"/>
        <w:jc w:val="both"/>
        <w:rPr>
          <w:rFonts w:eastAsia="MS Mincho"/>
          <w:color w:val="000000"/>
          <w:szCs w:val="22"/>
        </w:rPr>
      </w:pPr>
      <w:r w:rsidRPr="00F52FC6">
        <w:rPr>
          <w:rFonts w:eastAsia="MS Mincho"/>
          <w:color w:val="000000"/>
          <w:szCs w:val="22"/>
        </w:rPr>
        <w:t xml:space="preserve">176 74 Καλλιθέα – Αθήνα </w:t>
      </w:r>
    </w:p>
    <w:p w:rsidR="005318A6" w:rsidRPr="00D550B2" w:rsidRDefault="00176D29" w:rsidP="00176D29">
      <w:pPr>
        <w:autoSpaceDE w:val="0"/>
        <w:autoSpaceDN w:val="0"/>
        <w:adjustRightInd w:val="0"/>
        <w:ind w:firstLine="11"/>
        <w:rPr>
          <w:rFonts w:eastAsia="MS Mincho"/>
          <w:color w:val="000000"/>
          <w:szCs w:val="22"/>
        </w:rPr>
      </w:pPr>
      <w:r w:rsidRPr="00F52FC6">
        <w:rPr>
          <w:rFonts w:eastAsia="MS Mincho"/>
          <w:color w:val="000000"/>
          <w:szCs w:val="22"/>
        </w:rPr>
        <w:t xml:space="preserve">Τηλ.: +30 </w:t>
      </w:r>
      <w:r w:rsidRPr="004948A8">
        <w:rPr>
          <w:rFonts w:eastAsia="MS Mincho"/>
          <w:color w:val="000000"/>
          <w:szCs w:val="22"/>
          <w:lang w:val="en-US"/>
        </w:rPr>
        <w:t>210 90</w:t>
      </w:r>
      <w:r>
        <w:rPr>
          <w:rFonts w:eastAsia="MS Mincho"/>
          <w:color w:val="000000"/>
          <w:szCs w:val="22"/>
          <w:lang w:val="en-US"/>
        </w:rPr>
        <w:t xml:space="preserve"> </w:t>
      </w:r>
      <w:r w:rsidRPr="004948A8">
        <w:rPr>
          <w:rFonts w:eastAsia="MS Mincho"/>
          <w:color w:val="000000"/>
          <w:szCs w:val="22"/>
          <w:lang w:val="en-US"/>
        </w:rPr>
        <w:t>01</w:t>
      </w:r>
      <w:r>
        <w:rPr>
          <w:rFonts w:eastAsia="MS Mincho"/>
          <w:color w:val="000000"/>
          <w:szCs w:val="22"/>
          <w:lang w:val="en-US"/>
        </w:rPr>
        <w:t xml:space="preserve"> </w:t>
      </w:r>
      <w:r w:rsidRPr="004948A8">
        <w:rPr>
          <w:rFonts w:eastAsia="MS Mincho"/>
          <w:color w:val="000000"/>
          <w:szCs w:val="22"/>
          <w:lang w:val="en-US"/>
        </w:rPr>
        <w:t>600</w:t>
      </w:r>
    </w:p>
    <w:p w:rsidR="005318A6" w:rsidRPr="00E01A5E" w:rsidRDefault="005318A6" w:rsidP="005318A6">
      <w:pPr>
        <w:pStyle w:val="a3"/>
        <w:tabs>
          <w:tab w:val="clear" w:pos="4153"/>
          <w:tab w:val="clear" w:pos="8306"/>
        </w:tabs>
        <w:rPr>
          <w:noProof/>
        </w:rPr>
      </w:pPr>
    </w:p>
    <w:p w:rsidR="005318A6" w:rsidRPr="00E01A5E" w:rsidRDefault="005318A6" w:rsidP="005318A6">
      <w:pPr>
        <w:pStyle w:val="a3"/>
        <w:tabs>
          <w:tab w:val="clear" w:pos="4153"/>
          <w:tab w:val="clear" w:pos="8306"/>
        </w:tabs>
        <w:rPr>
          <w:noProof/>
          <w:u w:val="single"/>
        </w:rPr>
      </w:pPr>
      <w:r>
        <w:rPr>
          <w:noProof/>
          <w:u w:val="single"/>
        </w:rPr>
        <w:t>Παραγωγός</w:t>
      </w:r>
    </w:p>
    <w:p w:rsidR="005318A6" w:rsidRDefault="005318A6" w:rsidP="005318A6">
      <w:pPr>
        <w:rPr>
          <w:bCs/>
        </w:rPr>
      </w:pPr>
      <w:r w:rsidRPr="00F505F5">
        <w:rPr>
          <w:bCs/>
          <w:lang w:val="cs-CZ"/>
        </w:rPr>
        <w:t>S.C Zentiva S.A</w:t>
      </w:r>
      <w:r w:rsidRPr="00F505F5">
        <w:rPr>
          <w:bCs/>
        </w:rPr>
        <w:t xml:space="preserve">, </w:t>
      </w:r>
    </w:p>
    <w:p w:rsidR="005318A6" w:rsidRPr="00F505F5" w:rsidRDefault="005318A6" w:rsidP="005318A6">
      <w:pPr>
        <w:rPr>
          <w:lang w:val="en-GB"/>
        </w:rPr>
      </w:pPr>
      <w:r w:rsidRPr="00F505F5">
        <w:rPr>
          <w:lang w:val="cs-CZ"/>
        </w:rPr>
        <w:t>B-dul Theodor Pallady nr.50, sector 3, Bucureşti, cod 032266</w:t>
      </w:r>
      <w:r w:rsidRPr="00F505F5">
        <w:rPr>
          <w:lang w:val="en-GB"/>
        </w:rPr>
        <w:t xml:space="preserve">, </w:t>
      </w:r>
    </w:p>
    <w:p w:rsidR="005318A6" w:rsidRPr="00F505F5" w:rsidRDefault="005318A6" w:rsidP="005318A6">
      <w:pPr>
        <w:rPr>
          <w:noProof/>
        </w:rPr>
      </w:pPr>
      <w:r w:rsidRPr="00F505F5">
        <w:rPr>
          <w:bCs/>
        </w:rPr>
        <w:t>Ρουμανία</w:t>
      </w:r>
    </w:p>
    <w:p w:rsidR="005318A6" w:rsidRPr="00E01A5E" w:rsidRDefault="005318A6" w:rsidP="005318A6">
      <w:pPr>
        <w:rPr>
          <w:noProof/>
        </w:rPr>
      </w:pPr>
    </w:p>
    <w:p w:rsidR="005318A6" w:rsidRPr="00BE3314" w:rsidRDefault="005318A6" w:rsidP="005318A6">
      <w:pPr>
        <w:rPr>
          <w:rFonts w:ascii="Arial" w:hAnsi="Arial" w:cs="Arial"/>
          <w:b/>
          <w:sz w:val="20"/>
        </w:rPr>
      </w:pPr>
      <w:r w:rsidRPr="00BE3314">
        <w:rPr>
          <w:b/>
          <w:noProof/>
        </w:rPr>
        <w:t>Αυτό το φαρμακευτικό προϊόν έχει εγκριθεί στα Κράτη Μέλη του Ευρωπαϊκού Οικονομικού Χώρου (ΕΟΧ) με τις ακόλουθες ονομασίες:</w:t>
      </w:r>
    </w:p>
    <w:p w:rsidR="005318A6" w:rsidRPr="0048324C" w:rsidRDefault="005318A6" w:rsidP="005318A6">
      <w:pPr>
        <w:rPr>
          <w:lang w:val="en-GB"/>
        </w:rPr>
      </w:pPr>
      <w:r w:rsidRPr="0048324C">
        <w:rPr>
          <w:highlight w:val="lightGray"/>
          <w:lang w:val="en-GB"/>
        </w:rPr>
        <w:t>CZ/H/0225/01-02/DC: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8"/>
        <w:gridCol w:w="3148"/>
      </w:tblGrid>
      <w:tr w:rsidR="005318A6" w:rsidRPr="0048324C" w:rsidTr="008F7637">
        <w:tc>
          <w:tcPr>
            <w:tcW w:w="6487" w:type="dxa"/>
            <w:shd w:val="clear" w:color="auto" w:fill="BFBFBF"/>
          </w:tcPr>
          <w:p w:rsidR="005318A6" w:rsidRPr="005318A6" w:rsidRDefault="005318A6" w:rsidP="008F7637">
            <w:pPr>
              <w:numPr>
                <w:ilvl w:val="12"/>
                <w:numId w:val="0"/>
              </w:numPr>
              <w:ind w:right="-2"/>
            </w:pPr>
            <w:r w:rsidRPr="005318EF">
              <w:t>Λιθουανία</w:t>
            </w:r>
            <w:r w:rsidRPr="005318A6">
              <w:t xml:space="preserve">, </w:t>
            </w:r>
            <w:r w:rsidRPr="005318EF">
              <w:t>Εσθονία</w:t>
            </w:r>
            <w:r w:rsidRPr="005318A6">
              <w:t xml:space="preserve">, </w:t>
            </w:r>
            <w:r w:rsidRPr="005318EF">
              <w:t>Ρουμανία</w:t>
            </w:r>
            <w:r w:rsidRPr="005318A6">
              <w:t xml:space="preserve">, </w:t>
            </w:r>
            <w:r w:rsidRPr="005318EF">
              <w:t>Σλοβακία</w:t>
            </w:r>
            <w:r w:rsidRPr="005318A6">
              <w:t xml:space="preserve">, </w:t>
            </w:r>
            <w:r w:rsidRPr="005318EF">
              <w:t>Τσεχική</w:t>
            </w:r>
            <w:r w:rsidRPr="005318A6">
              <w:t xml:space="preserve"> </w:t>
            </w:r>
            <w:r w:rsidRPr="005318EF">
              <w:t>Δημοκρατία</w:t>
            </w:r>
            <w:r w:rsidRPr="005318A6">
              <w:t xml:space="preserve">, </w:t>
            </w:r>
            <w:r w:rsidRPr="005318EF">
              <w:t>Βουλγαρία</w:t>
            </w:r>
            <w:r w:rsidRPr="005318A6">
              <w:t xml:space="preserve">, </w:t>
            </w:r>
            <w:r w:rsidRPr="005318EF">
              <w:t>Λετονία</w:t>
            </w:r>
            <w:r w:rsidRPr="005318A6">
              <w:t xml:space="preserve">, </w:t>
            </w:r>
            <w:r w:rsidRPr="005318EF">
              <w:t>Πολωνία</w:t>
            </w:r>
            <w:r w:rsidRPr="005318A6">
              <w:t xml:space="preserve">, </w:t>
            </w:r>
            <w:r w:rsidRPr="005318EF">
              <w:t>Ελλάδα</w:t>
            </w:r>
            <w:r w:rsidRPr="005318A6">
              <w:t xml:space="preserve">, </w:t>
            </w:r>
            <w:r w:rsidRPr="005318EF">
              <w:t>Σλοβενία</w:t>
            </w:r>
            <w:r w:rsidRPr="005318A6">
              <w:t xml:space="preserve"> </w:t>
            </w:r>
            <w:r w:rsidRPr="005318EF">
              <w:t>και</w:t>
            </w:r>
            <w:r w:rsidRPr="005318A6">
              <w:t xml:space="preserve"> </w:t>
            </w:r>
            <w:r w:rsidRPr="005318EF">
              <w:t>Κύπρος</w:t>
            </w:r>
          </w:p>
        </w:tc>
        <w:tc>
          <w:tcPr>
            <w:tcW w:w="3292" w:type="dxa"/>
            <w:shd w:val="clear" w:color="auto" w:fill="BFBFBF"/>
          </w:tcPr>
          <w:p w:rsidR="005318A6" w:rsidRPr="00006C01" w:rsidRDefault="005318A6" w:rsidP="008F7637">
            <w:pPr>
              <w:numPr>
                <w:ilvl w:val="12"/>
                <w:numId w:val="0"/>
              </w:numPr>
              <w:ind w:right="-2"/>
              <w:rPr>
                <w:lang w:val="en-US"/>
              </w:rPr>
            </w:pPr>
            <w:r w:rsidRPr="005318EF">
              <w:rPr>
                <w:lang w:val="en-GB"/>
              </w:rPr>
              <w:t>Cognomem</w:t>
            </w:r>
          </w:p>
        </w:tc>
      </w:tr>
    </w:tbl>
    <w:p w:rsidR="005318A6" w:rsidRPr="0048324C" w:rsidRDefault="005318A6" w:rsidP="005318A6">
      <w:pPr>
        <w:rPr>
          <w:lang w:val="en-GB"/>
        </w:rPr>
      </w:pPr>
      <w:r w:rsidRPr="0048324C">
        <w:rPr>
          <w:highlight w:val="lightGray"/>
          <w:lang w:val="en-GB"/>
        </w:rPr>
        <w:t>CZ/H/0443/01-02/DC: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5"/>
        <w:gridCol w:w="6321"/>
      </w:tblGrid>
      <w:tr w:rsidR="005318A6" w:rsidRPr="0048324C" w:rsidTr="008F7637">
        <w:tc>
          <w:tcPr>
            <w:tcW w:w="3085" w:type="dxa"/>
            <w:shd w:val="clear" w:color="auto" w:fill="BFBFBF"/>
          </w:tcPr>
          <w:p w:rsidR="005318A6" w:rsidRPr="006D4E67" w:rsidRDefault="005318A6" w:rsidP="008F7637">
            <w:pPr>
              <w:tabs>
                <w:tab w:val="left" w:pos="0"/>
                <w:tab w:val="left" w:pos="1843"/>
              </w:tabs>
            </w:pPr>
            <w:r>
              <w:t>Τσεχική Δημοκρατία</w:t>
            </w:r>
          </w:p>
        </w:tc>
        <w:tc>
          <w:tcPr>
            <w:tcW w:w="6694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 w:rsidRPr="0048324C">
              <w:t>Memantin Zentiva</w:t>
            </w:r>
          </w:p>
        </w:tc>
      </w:tr>
      <w:tr w:rsidR="005318A6" w:rsidRPr="0048324C" w:rsidTr="008F7637">
        <w:tc>
          <w:tcPr>
            <w:tcW w:w="3085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>
              <w:t>Ισπανία</w:t>
            </w:r>
          </w:p>
        </w:tc>
        <w:tc>
          <w:tcPr>
            <w:tcW w:w="6694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 w:rsidRPr="0048324C">
              <w:t>Memantina Zentiva</w:t>
            </w:r>
          </w:p>
        </w:tc>
      </w:tr>
      <w:tr w:rsidR="005318A6" w:rsidRPr="0048324C" w:rsidTr="008F7637">
        <w:tc>
          <w:tcPr>
            <w:tcW w:w="3085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>
              <w:t>Γαλλία</w:t>
            </w:r>
          </w:p>
        </w:tc>
        <w:tc>
          <w:tcPr>
            <w:tcW w:w="6694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 w:rsidRPr="0048324C">
              <w:t>MEMANTINE ZENTIVA</w:t>
            </w:r>
          </w:p>
        </w:tc>
      </w:tr>
      <w:tr w:rsidR="005318A6" w:rsidRPr="0048324C" w:rsidTr="008F7637">
        <w:tc>
          <w:tcPr>
            <w:tcW w:w="3085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>
              <w:t>Ουγγαρία</w:t>
            </w:r>
          </w:p>
        </w:tc>
        <w:tc>
          <w:tcPr>
            <w:tcW w:w="6694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 w:rsidRPr="0048324C">
              <w:t>Memantin-Zentiva</w:t>
            </w:r>
          </w:p>
        </w:tc>
      </w:tr>
      <w:tr w:rsidR="005318A6" w:rsidRPr="0048324C" w:rsidTr="008F7637">
        <w:tc>
          <w:tcPr>
            <w:tcW w:w="3085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>
              <w:t>Γερμανία</w:t>
            </w:r>
          </w:p>
        </w:tc>
        <w:tc>
          <w:tcPr>
            <w:tcW w:w="6694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 w:rsidRPr="0048324C">
              <w:t>Memantin Winthrop</w:t>
            </w:r>
          </w:p>
        </w:tc>
      </w:tr>
      <w:tr w:rsidR="005318A6" w:rsidTr="008F7637">
        <w:tc>
          <w:tcPr>
            <w:tcW w:w="3085" w:type="dxa"/>
            <w:shd w:val="clear" w:color="auto" w:fill="BFBFBF"/>
          </w:tcPr>
          <w:p w:rsidR="005318A6" w:rsidRPr="0048324C" w:rsidRDefault="005318A6" w:rsidP="008F7637">
            <w:pPr>
              <w:tabs>
                <w:tab w:val="left" w:pos="0"/>
                <w:tab w:val="left" w:pos="1843"/>
              </w:tabs>
            </w:pPr>
            <w:r>
              <w:t>Ηνωμένο Βασίλειο</w:t>
            </w:r>
          </w:p>
        </w:tc>
        <w:tc>
          <w:tcPr>
            <w:tcW w:w="6694" w:type="dxa"/>
            <w:shd w:val="clear" w:color="auto" w:fill="BFBFBF"/>
          </w:tcPr>
          <w:p w:rsidR="005318A6" w:rsidRDefault="005318A6" w:rsidP="008F7637">
            <w:pPr>
              <w:tabs>
                <w:tab w:val="left" w:pos="0"/>
              </w:tabs>
            </w:pPr>
            <w:r w:rsidRPr="0048324C">
              <w:t>Memantine hydrochloride Zentiva</w:t>
            </w:r>
          </w:p>
        </w:tc>
      </w:tr>
    </w:tbl>
    <w:p w:rsidR="005318A6" w:rsidRPr="00E01A5E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  <w:r w:rsidRPr="00E01A5E">
        <w:rPr>
          <w:b/>
          <w:noProof/>
        </w:rPr>
        <w:t xml:space="preserve">Το παρόν φύλλο οδηγιών χρήσης </w:t>
      </w:r>
      <w:r>
        <w:rPr>
          <w:b/>
          <w:noProof/>
        </w:rPr>
        <w:t>αναθεωρήθηκε</w:t>
      </w:r>
      <w:r w:rsidRPr="00E01A5E">
        <w:rPr>
          <w:b/>
          <w:noProof/>
        </w:rPr>
        <w:t xml:space="preserve"> για τελευταία φορά στις </w:t>
      </w:r>
    </w:p>
    <w:p w:rsidR="005318A6" w:rsidRDefault="005318A6" w:rsidP="005318A6">
      <w:pPr>
        <w:rPr>
          <w:noProof/>
        </w:rPr>
      </w:pPr>
    </w:p>
    <w:p w:rsidR="005318A6" w:rsidRPr="00E01A5E" w:rsidRDefault="005318A6" w:rsidP="005318A6">
      <w:pPr>
        <w:rPr>
          <w:noProof/>
        </w:rPr>
      </w:pPr>
    </w:p>
    <w:p w:rsidR="005318A6" w:rsidRPr="008564F6" w:rsidRDefault="005318A6" w:rsidP="005318A6">
      <w:pPr>
        <w:rPr>
          <w:b/>
          <w:noProof/>
          <w:szCs w:val="22"/>
        </w:rPr>
      </w:pPr>
      <w:r>
        <w:rPr>
          <w:b/>
          <w:noProof/>
          <w:szCs w:val="22"/>
        </w:rPr>
        <w:t>7.</w:t>
      </w:r>
      <w:r>
        <w:rPr>
          <w:b/>
          <w:noProof/>
          <w:szCs w:val="22"/>
        </w:rPr>
        <w:tab/>
        <w:t>Τρόπος διάθεσης</w:t>
      </w:r>
    </w:p>
    <w:p w:rsidR="005318A6" w:rsidRPr="008564F6" w:rsidRDefault="005318A6" w:rsidP="005318A6">
      <w:pPr>
        <w:rPr>
          <w:b/>
          <w:noProof/>
          <w:szCs w:val="22"/>
        </w:rPr>
      </w:pPr>
    </w:p>
    <w:p w:rsidR="005318A6" w:rsidRPr="004E0404" w:rsidRDefault="005318A6" w:rsidP="005318A6">
      <w:pPr>
        <w:rPr>
          <w:noProof/>
          <w:szCs w:val="22"/>
        </w:rPr>
      </w:pPr>
      <w:r w:rsidRPr="008564F6">
        <w:rPr>
          <w:noProof/>
          <w:szCs w:val="22"/>
        </w:rPr>
        <w:t>Φαρμακευτικό προϊόν για το οποίο απαιτείται ιατρική συνταγή.</w:t>
      </w:r>
    </w:p>
    <w:p w:rsidR="005318A6" w:rsidRPr="00AF16D8" w:rsidRDefault="005318A6" w:rsidP="005318A6">
      <w:pPr>
        <w:rPr>
          <w:noProof/>
          <w:szCs w:val="22"/>
        </w:rPr>
      </w:pPr>
    </w:p>
    <w:p w:rsidR="005318A6" w:rsidRPr="00AF16D8" w:rsidRDefault="005318A6" w:rsidP="005318A6">
      <w:pPr>
        <w:rPr>
          <w:noProof/>
          <w:szCs w:val="22"/>
        </w:rPr>
      </w:pPr>
    </w:p>
    <w:p w:rsidR="005318A6" w:rsidRPr="004E0404" w:rsidRDefault="005318A6" w:rsidP="005318A6">
      <w:pPr>
        <w:rPr>
          <w:b/>
          <w:noProof/>
          <w:szCs w:val="22"/>
        </w:rPr>
      </w:pPr>
      <w:r w:rsidRPr="004E0404">
        <w:rPr>
          <w:b/>
          <w:noProof/>
          <w:szCs w:val="22"/>
        </w:rPr>
        <w:t xml:space="preserve">Τηλέφωνο Κέντρου Δηλητηριάσεων: </w:t>
      </w:r>
      <w:r w:rsidR="00176D29" w:rsidRPr="004E0404">
        <w:rPr>
          <w:b/>
          <w:noProof/>
          <w:szCs w:val="22"/>
        </w:rPr>
        <w:t>+30 210 77 93 777</w:t>
      </w:r>
    </w:p>
    <w:p w:rsidR="005318A6" w:rsidRDefault="005318A6" w:rsidP="005318A6"/>
    <w:p w:rsidR="00121868" w:rsidRDefault="00121868"/>
    <w:sectPr w:rsidR="00121868">
      <w:footerReference w:type="default" r:id="rId7"/>
      <w:footerReference w:type="first" r:id="rId8"/>
      <w:endnotePr>
        <w:numFmt w:val="decimal"/>
      </w:endnotePr>
      <w:pgSz w:w="11896" w:h="16834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0D" w:rsidRDefault="00AE2B0D">
      <w:r>
        <w:separator/>
      </w:r>
    </w:p>
  </w:endnote>
  <w:endnote w:type="continuationSeparator" w:id="0">
    <w:p w:rsidR="00AE2B0D" w:rsidRDefault="00AE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7" w:rsidRPr="009C4659" w:rsidRDefault="008F7637" w:rsidP="008F7637">
    <w:pPr>
      <w:pStyle w:val="a4"/>
      <w:tabs>
        <w:tab w:val="clear" w:pos="4153"/>
        <w:tab w:val="clear" w:pos="8306"/>
        <w:tab w:val="left" w:pos="570"/>
        <w:tab w:val="center" w:pos="4536"/>
        <w:tab w:val="center" w:pos="8930"/>
        <w:tab w:val="right" w:pos="9060"/>
      </w:tabs>
      <w:rPr>
        <w:rFonts w:ascii="Arial" w:hAnsi="Arial" w:cs="Arial"/>
        <w:i/>
        <w:sz w:val="16"/>
        <w:lang w:val="en-GB"/>
      </w:rPr>
    </w:pPr>
    <w:r w:rsidRPr="008801C2">
      <w:rPr>
        <w:rFonts w:ascii="Arial" w:hAnsi="Arial" w:cs="Arial"/>
        <w:i/>
        <w:sz w:val="16"/>
        <w:lang w:val="fr-FR"/>
      </w:rPr>
      <w:fldChar w:fldCharType="begin"/>
    </w:r>
    <w:r w:rsidRPr="009C4659">
      <w:rPr>
        <w:rFonts w:ascii="Arial" w:hAnsi="Arial" w:cs="Arial"/>
        <w:i/>
        <w:sz w:val="16"/>
        <w:lang w:val="en-GB"/>
      </w:rPr>
      <w:instrText xml:space="preserve"> FILENAME </w:instrText>
    </w:r>
    <w:r w:rsidRPr="008801C2">
      <w:rPr>
        <w:rFonts w:ascii="Arial" w:hAnsi="Arial" w:cs="Arial"/>
        <w:i/>
        <w:sz w:val="16"/>
        <w:lang w:val="fr-FR"/>
      </w:rPr>
      <w:fldChar w:fldCharType="separate"/>
    </w:r>
    <w:r w:rsidR="00B26AE0">
      <w:rPr>
        <w:rFonts w:ascii="Arial" w:hAnsi="Arial" w:cs="Arial"/>
        <w:i/>
        <w:noProof/>
        <w:sz w:val="16"/>
        <w:lang w:val="en-GB"/>
      </w:rPr>
      <w:t>Cognomem_FCTab_Prop_PIL_Registr_19Mar2014</w:t>
    </w:r>
    <w:r w:rsidRPr="008801C2">
      <w:rPr>
        <w:rFonts w:ascii="Arial" w:hAnsi="Arial" w:cs="Arial"/>
        <w:i/>
        <w:sz w:val="16"/>
        <w:lang w:val="fr-FR"/>
      </w:rPr>
      <w:fldChar w:fldCharType="end"/>
    </w:r>
    <w:r w:rsidRPr="009C4659">
      <w:rPr>
        <w:rFonts w:ascii="Arial" w:hAnsi="Arial" w:cs="Arial"/>
        <w:i/>
        <w:sz w:val="16"/>
        <w:lang w:val="en-GB"/>
      </w:rPr>
      <w:tab/>
    </w:r>
    <w:r w:rsidRPr="009C4659">
      <w:rPr>
        <w:rFonts w:ascii="Arial" w:hAnsi="Arial" w:cs="Arial"/>
        <w:i/>
        <w:sz w:val="16"/>
        <w:lang w:val="en-GB"/>
      </w:rPr>
      <w:tab/>
    </w:r>
    <w:r w:rsidRPr="009C4659">
      <w:rPr>
        <w:rFonts w:ascii="Arial" w:hAnsi="Arial" w:cs="Arial"/>
        <w:i/>
        <w:sz w:val="16"/>
        <w:lang w:val="en-GB"/>
      </w:rPr>
      <w:tab/>
    </w:r>
    <w:r w:rsidRPr="003B4BCE">
      <w:rPr>
        <w:rFonts w:ascii="Arial" w:hAnsi="Arial" w:cs="Arial"/>
        <w:sz w:val="16"/>
        <w:lang w:val="fr-FR"/>
      </w:rPr>
      <w:fldChar w:fldCharType="begin"/>
    </w:r>
    <w:r w:rsidRPr="003B4BCE">
      <w:rPr>
        <w:rFonts w:ascii="Arial" w:hAnsi="Arial" w:cs="Arial"/>
        <w:sz w:val="16"/>
        <w:lang w:val="en-GB"/>
      </w:rPr>
      <w:instrText xml:space="preserve">PAGE  </w:instrText>
    </w:r>
    <w:r w:rsidRPr="003B4BCE">
      <w:rPr>
        <w:rFonts w:ascii="Arial" w:hAnsi="Arial" w:cs="Arial"/>
        <w:sz w:val="16"/>
        <w:lang w:val="fr-FR"/>
      </w:rPr>
      <w:fldChar w:fldCharType="separate"/>
    </w:r>
    <w:r w:rsidR="0081504A">
      <w:rPr>
        <w:rFonts w:ascii="Arial" w:hAnsi="Arial" w:cs="Arial"/>
        <w:noProof/>
        <w:sz w:val="16"/>
        <w:lang w:val="en-GB"/>
      </w:rPr>
      <w:t>7</w:t>
    </w:r>
    <w:r w:rsidRPr="003B4BCE"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7" w:rsidRDefault="008F7637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81504A">
      <w:rPr>
        <w:rFonts w:ascii="Arial" w:hAnsi="Arial" w:cs="Arial"/>
        <w:noProof/>
        <w:sz w:val="16"/>
        <w:lang w:val="fr-FR"/>
      </w:rPr>
      <w:t>1</w:t>
    </w:r>
    <w:r>
      <w:rPr>
        <w:rFonts w:ascii="Arial" w:hAnsi="Arial" w:cs="Arial"/>
        <w:sz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0D" w:rsidRDefault="00AE2B0D">
      <w:r>
        <w:separator/>
      </w:r>
    </w:p>
  </w:footnote>
  <w:footnote w:type="continuationSeparator" w:id="0">
    <w:p w:rsidR="00AE2B0D" w:rsidRDefault="00AE2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A20"/>
    <w:multiLevelType w:val="hybridMultilevel"/>
    <w:tmpl w:val="754EACF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A2DA4"/>
    <w:multiLevelType w:val="hybridMultilevel"/>
    <w:tmpl w:val="4B7C59B2"/>
    <w:lvl w:ilvl="0" w:tplc="A0B25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44232CD1"/>
    <w:multiLevelType w:val="hybridMultilevel"/>
    <w:tmpl w:val="8EF004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21955"/>
    <w:multiLevelType w:val="hybridMultilevel"/>
    <w:tmpl w:val="FD0A257A"/>
    <w:lvl w:ilvl="0" w:tplc="A0B2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318A6"/>
    <w:rsid w:val="0005688C"/>
    <w:rsid w:val="00121868"/>
    <w:rsid w:val="00176D29"/>
    <w:rsid w:val="0020471F"/>
    <w:rsid w:val="003B4BCE"/>
    <w:rsid w:val="005318A6"/>
    <w:rsid w:val="00585137"/>
    <w:rsid w:val="0081504A"/>
    <w:rsid w:val="00827FD1"/>
    <w:rsid w:val="00844CFE"/>
    <w:rsid w:val="008F7637"/>
    <w:rsid w:val="00AE2B0D"/>
    <w:rsid w:val="00B2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A6"/>
    <w:pPr>
      <w:widowControl w:val="0"/>
    </w:pPr>
    <w:rPr>
      <w:rFonts w:ascii="Times New Roman" w:eastAsia="Times New Roman" w:hAnsi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18A6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">
    <w:name w:val="Κεφαλίδα Char"/>
    <w:link w:val="a3"/>
    <w:rsid w:val="005318A6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rsid w:val="005318A6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0">
    <w:name w:val="Υποσέλιδο Char"/>
    <w:link w:val="a4"/>
    <w:rsid w:val="005318A6"/>
    <w:rPr>
      <w:rFonts w:ascii="Times New Roman" w:eastAsia="Times New Roman" w:hAnsi="Times New Roman" w:cs="Times New Roman"/>
      <w:szCs w:val="20"/>
    </w:rPr>
  </w:style>
  <w:style w:type="character" w:styleId="-">
    <w:name w:val="Hyperlink"/>
    <w:rsid w:val="005318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2114</Words>
  <Characters>11417</Characters>
  <Application>Microsoft Office Word</Application>
  <DocSecurity>0</DocSecurity>
  <Lines>95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Koullourou, Thelma PH/CY</dc:creator>
  <cp:lastModifiedBy>user146</cp:lastModifiedBy>
  <cp:revision>2</cp:revision>
  <cp:lastPrinted>2014-06-13T10:13:00Z</cp:lastPrinted>
  <dcterms:created xsi:type="dcterms:W3CDTF">2014-12-04T12:22:00Z</dcterms:created>
  <dcterms:modified xsi:type="dcterms:W3CDTF">2014-12-04T12:22:00Z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1774950025</vt:i4>
  </property>
  <property fmtid="{D5CDD505-2E9C-101B-9397-08002B2CF9AE}" pid="3" name="_NewReviewCycle">
    <vt:lpwstr/>
  </property>
  <property fmtid="{D5CDD505-2E9C-101B-9397-08002B2CF9AE}" pid="4" name="_EmailSubject">
    <vt:lpwstr>CZ/H/225/001-003/DC:Τελικά Προτειν. Παραρτήματα του προϊόντος COGNOMEM (περιλ. διορθώσεις των κυπριακών Αρχών)</vt:lpwstr>
  </property>
  <property fmtid="{D5CDD505-2E9C-101B-9397-08002B2CF9AE}" pid="5" name="_AuthorEmail">
    <vt:lpwstr>George.Christias@sanofi.com</vt:lpwstr>
  </property>
  <property fmtid="{D5CDD505-2E9C-101B-9397-08002B2CF9AE}" pid="6" name="_AuthorEmailDisplayName">
    <vt:lpwstr>Christias, George PH/GR</vt:lpwstr>
  </property>
  <property fmtid="{D5CDD505-2E9C-101B-9397-08002B2CF9AE}" pid="7" name="_ReviewingToolsShownOnce">
    <vt:lpwstr/>
  </property>
</Properties>
</file>