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6E" w:rsidRPr="007D082F" w:rsidRDefault="00745EAA">
      <w:pPr>
        <w:spacing w:before="75" w:after="0" w:line="240" w:lineRule="auto"/>
        <w:ind w:left="2903" w:right="2907"/>
        <w:jc w:val="center"/>
        <w:rPr>
          <w:rFonts w:ascii="Times New Roman" w:eastAsia="Times New Roman" w:hAnsi="Times New Roman" w:cs="Times New Roman"/>
        </w:rPr>
      </w:pPr>
      <w:bookmarkStart w:id="0" w:name="_GoBack"/>
      <w:bookmarkEnd w:id="0"/>
      <w:r>
        <w:rPr>
          <w:rFonts w:ascii="Times New Roman" w:hAnsi="Times New Roman"/>
          <w:b/>
          <w:spacing w:val="-2"/>
        </w:rPr>
        <w:t>Φύλλο οδηγιών χρήσης: Πληροφορίες για τον χρήστη</w:t>
      </w:r>
    </w:p>
    <w:p w:rsidR="00271F6E" w:rsidRPr="007D082F" w:rsidRDefault="00271F6E">
      <w:pPr>
        <w:spacing w:before="8" w:after="0" w:line="280" w:lineRule="exact"/>
        <w:rPr>
          <w:rFonts w:ascii="Times New Roman" w:hAnsi="Times New Roman" w:cs="Times New Roman"/>
        </w:rPr>
      </w:pPr>
    </w:p>
    <w:p w:rsidR="00271F6E" w:rsidRPr="007D082F" w:rsidRDefault="00147333" w:rsidP="00BA70F0">
      <w:pPr>
        <w:tabs>
          <w:tab w:val="left" w:pos="7371"/>
        </w:tabs>
        <w:spacing w:after="0" w:line="240" w:lineRule="auto"/>
        <w:ind w:left="2694" w:right="2509"/>
        <w:jc w:val="center"/>
        <w:rPr>
          <w:rFonts w:ascii="Times New Roman" w:eastAsia="Times New Roman" w:hAnsi="Times New Roman" w:cs="Times New Roman"/>
        </w:rPr>
      </w:pPr>
      <w:r>
        <w:rPr>
          <w:rFonts w:ascii="Times New Roman" w:hAnsi="Times New Roman"/>
          <w:b/>
          <w:spacing w:val="2"/>
        </w:rPr>
        <w:t>CYCLOLUX 0,5 mmol/ml</w:t>
      </w:r>
    </w:p>
    <w:p w:rsidR="00271F6E" w:rsidRPr="007D082F" w:rsidRDefault="00745EAA">
      <w:pPr>
        <w:spacing w:before="17" w:after="0" w:line="240" w:lineRule="auto"/>
        <w:ind w:left="3502" w:right="3510"/>
        <w:jc w:val="center"/>
        <w:rPr>
          <w:rFonts w:ascii="Times New Roman" w:eastAsia="Times New Roman" w:hAnsi="Times New Roman" w:cs="Times New Roman"/>
        </w:rPr>
      </w:pPr>
      <w:r>
        <w:rPr>
          <w:rFonts w:ascii="Times New Roman" w:hAnsi="Times New Roman"/>
          <w:b/>
          <w:spacing w:val="-5"/>
        </w:rPr>
        <w:t>Ενέσιμο διάλυμα (DE/H/4015/001/DC)</w:t>
      </w:r>
    </w:p>
    <w:p w:rsidR="00271F6E" w:rsidRPr="007D082F" w:rsidRDefault="00745EAA" w:rsidP="00ED6C21">
      <w:pPr>
        <w:widowControl/>
        <w:spacing w:after="0" w:line="240" w:lineRule="auto"/>
        <w:jc w:val="center"/>
        <w:outlineLvl w:val="0"/>
        <w:rPr>
          <w:rFonts w:ascii="Times New Roman" w:eastAsia="Times New Roman" w:hAnsi="Times New Roman" w:cs="Times New Roman"/>
          <w:noProof/>
        </w:rPr>
      </w:pPr>
      <w:r>
        <w:rPr>
          <w:rFonts w:ascii="Times New Roman" w:hAnsi="Times New Roman"/>
          <w:noProof/>
        </w:rPr>
        <w:t>Γαδοτερικό οξύ</w:t>
      </w:r>
    </w:p>
    <w:p w:rsidR="00ED6C21" w:rsidRPr="007D082F" w:rsidRDefault="00ED6C21" w:rsidP="008A7F4C">
      <w:pPr>
        <w:widowControl/>
        <w:suppressAutoHyphens/>
        <w:spacing w:after="0" w:line="240" w:lineRule="auto"/>
        <w:rPr>
          <w:rFonts w:ascii="Times New Roman" w:eastAsia="Times New Roman" w:hAnsi="Times New Roman" w:cs="Times New Roman"/>
          <w:b/>
          <w:noProof/>
        </w:rPr>
      </w:pPr>
    </w:p>
    <w:p w:rsidR="00271F6E" w:rsidRPr="007D082F" w:rsidRDefault="00745EAA" w:rsidP="00745EAA">
      <w:pPr>
        <w:widowControl/>
        <w:suppressAutoHyphens/>
        <w:spacing w:after="0" w:line="240" w:lineRule="auto"/>
        <w:jc w:val="both"/>
        <w:rPr>
          <w:rFonts w:ascii="Times New Roman" w:eastAsia="Times New Roman" w:hAnsi="Times New Roman" w:cs="Times New Roman"/>
          <w:b/>
          <w:noProof/>
        </w:rPr>
      </w:pPr>
      <w:r>
        <w:rPr>
          <w:rFonts w:ascii="Times New Roman" w:hAnsi="Times New Roman"/>
          <w:b/>
          <w:noProof/>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271F6E" w:rsidRPr="007D082F" w:rsidRDefault="00745EAA" w:rsidP="00745EAA">
      <w:pPr>
        <w:pStyle w:val="a3"/>
        <w:widowControl/>
        <w:numPr>
          <w:ilvl w:val="0"/>
          <w:numId w:val="6"/>
        </w:numPr>
        <w:tabs>
          <w:tab w:val="left" w:pos="709"/>
        </w:tabs>
        <w:spacing w:after="0" w:line="240" w:lineRule="auto"/>
        <w:ind w:right="-2"/>
        <w:jc w:val="both"/>
        <w:rPr>
          <w:rFonts w:ascii="Times New Roman" w:eastAsia="Times New Roman" w:hAnsi="Times New Roman" w:cs="Times New Roman"/>
          <w:noProof/>
        </w:rPr>
      </w:pPr>
      <w:r>
        <w:rPr>
          <w:rFonts w:ascii="Times New Roman" w:hAnsi="Times New Roman"/>
          <w:noProof/>
        </w:rPr>
        <w:t>Φυλάξτε αυτό το φύλλο οδηγιών χρήσης. Ίσως χρειαστεί να το διαβάσετε ξανά.</w:t>
      </w:r>
    </w:p>
    <w:p w:rsidR="00271F6E" w:rsidRPr="007D082F" w:rsidRDefault="00745EAA" w:rsidP="00745EAA">
      <w:pPr>
        <w:pStyle w:val="a3"/>
        <w:widowControl/>
        <w:numPr>
          <w:ilvl w:val="0"/>
          <w:numId w:val="6"/>
        </w:numPr>
        <w:tabs>
          <w:tab w:val="left" w:pos="709"/>
        </w:tabs>
        <w:spacing w:after="0" w:line="240" w:lineRule="auto"/>
        <w:ind w:right="-2"/>
        <w:jc w:val="both"/>
        <w:rPr>
          <w:rFonts w:ascii="Times New Roman" w:eastAsia="Times New Roman" w:hAnsi="Times New Roman" w:cs="Times New Roman"/>
          <w:noProof/>
        </w:rPr>
      </w:pPr>
      <w:r>
        <w:rPr>
          <w:rFonts w:ascii="Times New Roman" w:hAnsi="Times New Roman"/>
          <w:noProof/>
        </w:rPr>
        <w:t xml:space="preserve">Εάν έχετε περαιτέρω απορίες, ρωτήστε </w:t>
      </w:r>
      <w:r w:rsidR="00116476">
        <w:rPr>
          <w:rFonts w:ascii="Times New Roman" w:hAnsi="Times New Roman"/>
          <w:noProof/>
        </w:rPr>
        <w:t>το γιατρό</w:t>
      </w:r>
      <w:r>
        <w:rPr>
          <w:rFonts w:ascii="Times New Roman" w:hAnsi="Times New Roman"/>
          <w:noProof/>
        </w:rPr>
        <w:t xml:space="preserve"> ή τον ακτινολόγο σας.</w:t>
      </w:r>
    </w:p>
    <w:p w:rsidR="00271F6E" w:rsidRPr="007D082F" w:rsidRDefault="00745EAA" w:rsidP="00745EAA">
      <w:pPr>
        <w:pStyle w:val="a3"/>
        <w:widowControl/>
        <w:numPr>
          <w:ilvl w:val="0"/>
          <w:numId w:val="6"/>
        </w:numPr>
        <w:tabs>
          <w:tab w:val="left" w:pos="709"/>
        </w:tabs>
        <w:spacing w:after="0" w:line="240" w:lineRule="auto"/>
        <w:ind w:right="-2"/>
        <w:jc w:val="both"/>
        <w:rPr>
          <w:rFonts w:ascii="Times New Roman" w:eastAsia="Times New Roman" w:hAnsi="Times New Roman" w:cs="Times New Roman"/>
          <w:noProof/>
        </w:rPr>
      </w:pPr>
      <w:r>
        <w:rPr>
          <w:rFonts w:ascii="Times New Roman" w:hAnsi="Times New Roman"/>
          <w:noProof/>
        </w:rPr>
        <w:t xml:space="preserve">Εάν παρατηρήσετε κάποια ανεπιθύμητη ενέργεια, ενημερώστε </w:t>
      </w:r>
      <w:r w:rsidR="00116476">
        <w:rPr>
          <w:rFonts w:ascii="Times New Roman" w:hAnsi="Times New Roman"/>
          <w:noProof/>
        </w:rPr>
        <w:t>το γιατρό</w:t>
      </w:r>
      <w:r>
        <w:rPr>
          <w:rFonts w:ascii="Times New Roman" w:hAnsi="Times New Roman"/>
          <w:noProof/>
        </w:rPr>
        <w:t xml:space="preserve">, τον ακτινολόγο ή </w:t>
      </w:r>
      <w:r w:rsidR="00116476">
        <w:rPr>
          <w:rFonts w:ascii="Times New Roman" w:hAnsi="Times New Roman"/>
          <w:noProof/>
        </w:rPr>
        <w:t>το φαρμακοποιό</w:t>
      </w:r>
      <w:r>
        <w:rPr>
          <w:rFonts w:ascii="Times New Roman" w:hAnsi="Times New Roman"/>
          <w:noProof/>
        </w:rPr>
        <w:t xml:space="preserve"> σας. Αυτό ισχύει και για κάθε πιθανή ανεπιθύμητη ενέργεια που δεν αναφέρεται στο παρόν φύλλο οδηγιών χρήσης. Βλέπε παράγραφο 4.</w:t>
      </w:r>
    </w:p>
    <w:p w:rsidR="00271F6E" w:rsidRPr="007D082F" w:rsidRDefault="00271F6E" w:rsidP="00745EAA">
      <w:pPr>
        <w:widowControl/>
        <w:suppressAutoHyphens/>
        <w:spacing w:after="0" w:line="240" w:lineRule="auto"/>
        <w:jc w:val="both"/>
        <w:rPr>
          <w:rFonts w:ascii="Times New Roman" w:eastAsia="Times New Roman" w:hAnsi="Times New Roman" w:cs="Times New Roman"/>
          <w:b/>
          <w:noProof/>
        </w:rPr>
      </w:pPr>
    </w:p>
    <w:p w:rsidR="00271F6E" w:rsidRPr="007D082F" w:rsidRDefault="00745EAA" w:rsidP="00745EAA">
      <w:pPr>
        <w:widowControl/>
        <w:suppressAutoHyphens/>
        <w:spacing w:after="0" w:line="240" w:lineRule="auto"/>
        <w:jc w:val="both"/>
        <w:rPr>
          <w:rFonts w:ascii="Times New Roman" w:eastAsia="Times New Roman" w:hAnsi="Times New Roman" w:cs="Times New Roman"/>
          <w:b/>
          <w:noProof/>
        </w:rPr>
      </w:pPr>
      <w:r>
        <w:rPr>
          <w:rFonts w:ascii="Times New Roman" w:hAnsi="Times New Roman"/>
          <w:b/>
          <w:noProof/>
        </w:rPr>
        <w:t>Τι περιέχει το παρόν φύλλο οδηγιών:</w:t>
      </w:r>
    </w:p>
    <w:p w:rsidR="00271F6E" w:rsidRPr="007D082F" w:rsidRDefault="00745EAA" w:rsidP="00745EAA">
      <w:pPr>
        <w:widowControl/>
        <w:spacing w:after="0" w:line="240" w:lineRule="auto"/>
        <w:ind w:right="-29"/>
        <w:jc w:val="both"/>
        <w:rPr>
          <w:rFonts w:ascii="Times New Roman" w:eastAsia="Times New Roman" w:hAnsi="Times New Roman" w:cs="Times New Roman"/>
          <w:noProof/>
        </w:rPr>
      </w:pPr>
      <w:r>
        <w:rPr>
          <w:rFonts w:ascii="Times New Roman" w:hAnsi="Times New Roman"/>
          <w:noProof/>
        </w:rPr>
        <w:t xml:space="preserve">1. </w:t>
      </w:r>
      <w:r>
        <w:tab/>
      </w:r>
      <w:r>
        <w:rPr>
          <w:rFonts w:ascii="Times New Roman" w:hAnsi="Times New Roman"/>
          <w:noProof/>
        </w:rPr>
        <w:t>Τι είναι το Cyclolux και ποια είναι η χρήση του</w:t>
      </w:r>
    </w:p>
    <w:p w:rsidR="00271F6E" w:rsidRPr="007D082F" w:rsidRDefault="00745EAA" w:rsidP="00745EAA">
      <w:pPr>
        <w:widowControl/>
        <w:spacing w:after="0" w:line="240" w:lineRule="auto"/>
        <w:ind w:right="-29"/>
        <w:jc w:val="both"/>
        <w:rPr>
          <w:rFonts w:ascii="Times New Roman" w:eastAsia="Times New Roman" w:hAnsi="Times New Roman" w:cs="Times New Roman"/>
          <w:noProof/>
        </w:rPr>
      </w:pPr>
      <w:r>
        <w:rPr>
          <w:rFonts w:ascii="Times New Roman" w:hAnsi="Times New Roman"/>
          <w:noProof/>
        </w:rPr>
        <w:t xml:space="preserve">2. </w:t>
      </w:r>
      <w:r>
        <w:tab/>
      </w:r>
      <w:r>
        <w:rPr>
          <w:rFonts w:ascii="Times New Roman" w:hAnsi="Times New Roman"/>
          <w:noProof/>
        </w:rPr>
        <w:t>Τι πρέπει να γνωρίζετε προτού χρησιμοποι</w:t>
      </w:r>
      <w:r w:rsidR="00E83684">
        <w:rPr>
          <w:rFonts w:ascii="Times New Roman" w:hAnsi="Times New Roman"/>
          <w:noProof/>
        </w:rPr>
        <w:t xml:space="preserve">ηθεί </w:t>
      </w:r>
      <w:r>
        <w:rPr>
          <w:rFonts w:ascii="Times New Roman" w:hAnsi="Times New Roman"/>
          <w:noProof/>
        </w:rPr>
        <w:t>το Cyclolux</w:t>
      </w:r>
    </w:p>
    <w:p w:rsidR="00271F6E" w:rsidRPr="007D082F" w:rsidRDefault="00745EAA" w:rsidP="00745EAA">
      <w:pPr>
        <w:widowControl/>
        <w:spacing w:after="0" w:line="240" w:lineRule="auto"/>
        <w:ind w:right="-29"/>
        <w:jc w:val="both"/>
        <w:rPr>
          <w:rFonts w:ascii="Times New Roman" w:eastAsia="Times New Roman" w:hAnsi="Times New Roman" w:cs="Times New Roman"/>
          <w:noProof/>
        </w:rPr>
      </w:pPr>
      <w:r>
        <w:rPr>
          <w:rFonts w:ascii="Times New Roman" w:hAnsi="Times New Roman"/>
          <w:noProof/>
        </w:rPr>
        <w:t xml:space="preserve">3. </w:t>
      </w:r>
      <w:r>
        <w:tab/>
      </w:r>
      <w:r>
        <w:rPr>
          <w:rFonts w:ascii="Times New Roman" w:hAnsi="Times New Roman"/>
          <w:noProof/>
        </w:rPr>
        <w:t xml:space="preserve">Πώς </w:t>
      </w:r>
      <w:r w:rsidR="00E83684">
        <w:rPr>
          <w:rFonts w:ascii="Times New Roman" w:hAnsi="Times New Roman"/>
          <w:noProof/>
        </w:rPr>
        <w:t>χρησιμοποιείται</w:t>
      </w:r>
      <w:r>
        <w:rPr>
          <w:rFonts w:ascii="Times New Roman" w:hAnsi="Times New Roman"/>
          <w:noProof/>
        </w:rPr>
        <w:t xml:space="preserve"> το Cyclolux</w:t>
      </w:r>
    </w:p>
    <w:p w:rsidR="00271F6E" w:rsidRPr="007D082F" w:rsidRDefault="00745EAA" w:rsidP="00745EAA">
      <w:pPr>
        <w:widowControl/>
        <w:spacing w:after="0" w:line="240" w:lineRule="auto"/>
        <w:ind w:right="-29"/>
        <w:jc w:val="both"/>
        <w:rPr>
          <w:rFonts w:ascii="Times New Roman" w:eastAsia="Times New Roman" w:hAnsi="Times New Roman" w:cs="Times New Roman"/>
          <w:noProof/>
        </w:rPr>
      </w:pPr>
      <w:r>
        <w:rPr>
          <w:rFonts w:ascii="Times New Roman" w:hAnsi="Times New Roman"/>
          <w:noProof/>
        </w:rPr>
        <w:t xml:space="preserve">4. </w:t>
      </w:r>
      <w:r>
        <w:tab/>
      </w:r>
      <w:r>
        <w:rPr>
          <w:rFonts w:ascii="Times New Roman" w:hAnsi="Times New Roman"/>
          <w:noProof/>
        </w:rPr>
        <w:t>Πιθανές ανεπιθύμητες ενέργειες</w:t>
      </w:r>
    </w:p>
    <w:p w:rsidR="00271F6E" w:rsidRPr="007D082F" w:rsidRDefault="00745EAA" w:rsidP="00745EAA">
      <w:pPr>
        <w:widowControl/>
        <w:spacing w:after="0" w:line="240" w:lineRule="auto"/>
        <w:ind w:right="-29"/>
        <w:jc w:val="both"/>
        <w:rPr>
          <w:rFonts w:ascii="Times New Roman" w:eastAsia="Times New Roman" w:hAnsi="Times New Roman" w:cs="Times New Roman"/>
          <w:noProof/>
        </w:rPr>
      </w:pPr>
      <w:r>
        <w:rPr>
          <w:rFonts w:ascii="Times New Roman" w:hAnsi="Times New Roman"/>
          <w:noProof/>
        </w:rPr>
        <w:t xml:space="preserve">5. </w:t>
      </w:r>
      <w:r>
        <w:tab/>
      </w:r>
      <w:r>
        <w:rPr>
          <w:rFonts w:ascii="Times New Roman" w:hAnsi="Times New Roman"/>
          <w:noProof/>
        </w:rPr>
        <w:t>Πώς να φυλάσσετ</w:t>
      </w:r>
      <w:r w:rsidR="00116476">
        <w:rPr>
          <w:rFonts w:ascii="Times New Roman" w:hAnsi="Times New Roman"/>
          <w:noProof/>
        </w:rPr>
        <w:t>ε</w:t>
      </w:r>
      <w:r>
        <w:rPr>
          <w:rFonts w:ascii="Times New Roman" w:hAnsi="Times New Roman"/>
          <w:noProof/>
        </w:rPr>
        <w:t xml:space="preserve"> το Cyclolux</w:t>
      </w:r>
    </w:p>
    <w:p w:rsidR="00271F6E" w:rsidRPr="007D082F" w:rsidRDefault="00745EAA" w:rsidP="00745EAA">
      <w:pPr>
        <w:widowControl/>
        <w:spacing w:after="0" w:line="240" w:lineRule="auto"/>
        <w:ind w:right="-29"/>
        <w:jc w:val="both"/>
        <w:rPr>
          <w:rFonts w:ascii="Times New Roman" w:eastAsia="Times New Roman" w:hAnsi="Times New Roman" w:cs="Times New Roman"/>
          <w:noProof/>
        </w:rPr>
      </w:pPr>
      <w:r>
        <w:rPr>
          <w:rFonts w:ascii="Times New Roman" w:hAnsi="Times New Roman"/>
          <w:noProof/>
        </w:rPr>
        <w:t xml:space="preserve">6. </w:t>
      </w:r>
      <w:r>
        <w:tab/>
      </w:r>
      <w:r>
        <w:rPr>
          <w:rFonts w:ascii="Times New Roman" w:hAnsi="Times New Roman"/>
          <w:noProof/>
        </w:rPr>
        <w:t>Περιεχόμενο της συσκευασίας και λοιπές πληροφορίες</w:t>
      </w:r>
    </w:p>
    <w:p w:rsidR="00271F6E" w:rsidRPr="007D082F" w:rsidRDefault="00271F6E" w:rsidP="00745EAA">
      <w:pPr>
        <w:spacing w:after="0" w:line="200" w:lineRule="exact"/>
        <w:jc w:val="both"/>
        <w:rPr>
          <w:rFonts w:ascii="Times New Roman" w:hAnsi="Times New Roman" w:cs="Times New Roman"/>
        </w:rPr>
      </w:pPr>
    </w:p>
    <w:p w:rsidR="00271F6E" w:rsidRPr="007D082F" w:rsidRDefault="00745EAA" w:rsidP="00745EAA">
      <w:pPr>
        <w:widowControl/>
        <w:spacing w:after="0" w:line="240" w:lineRule="auto"/>
        <w:ind w:left="570" w:right="-2" w:hanging="570"/>
        <w:jc w:val="both"/>
        <w:rPr>
          <w:rFonts w:ascii="Times New Roman" w:eastAsia="Times New Roman" w:hAnsi="Times New Roman" w:cs="Times New Roman"/>
          <w:b/>
          <w:noProof/>
        </w:rPr>
      </w:pPr>
      <w:r>
        <w:rPr>
          <w:rFonts w:ascii="Times New Roman" w:hAnsi="Times New Roman"/>
          <w:b/>
          <w:noProof/>
        </w:rPr>
        <w:t>1.</w:t>
      </w:r>
      <w:r>
        <w:tab/>
      </w:r>
      <w:r>
        <w:rPr>
          <w:rFonts w:ascii="Times New Roman" w:hAnsi="Times New Roman"/>
          <w:b/>
          <w:caps/>
          <w:noProof/>
        </w:rPr>
        <w:t>Τι είναι το Cyclolux και ποια είναι η χρήση του</w:t>
      </w:r>
    </w:p>
    <w:p w:rsidR="00271F6E" w:rsidRPr="007D082F" w:rsidRDefault="00271F6E" w:rsidP="00745EAA">
      <w:pPr>
        <w:widowControl/>
        <w:spacing w:after="0" w:line="240" w:lineRule="auto"/>
        <w:ind w:left="570" w:right="-2" w:hanging="570"/>
        <w:jc w:val="both"/>
        <w:rPr>
          <w:rFonts w:ascii="Times New Roman" w:eastAsia="Times New Roman" w:hAnsi="Times New Roman" w:cs="Times New Roman"/>
          <w:b/>
          <w:noProof/>
        </w:rPr>
      </w:pPr>
    </w:p>
    <w:p w:rsidR="00271F6E" w:rsidRPr="007D082F"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Cyclolux είναι ένας διαγνωστικός παράγοντας. Ανήκει στην κατηγορία των σκιαγραφικών παραγόντων που χρησιμοποιούνται στη μαγνητική τομογραφία (MRI).</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Cyclolux χρησιμοποιείται για την ενίσχυση της αντίθεσης των εικόνων που λαμβάνονται με τεχνικές εξέτασης MRI. Αυτή η ενίσχυση της αντίθεσης βελτιώνει την οπτικοποίηση και την οριοθέτηση:</w:t>
      </w:r>
    </w:p>
    <w:p w:rsidR="00271F6E" w:rsidRPr="007D082F" w:rsidRDefault="00147333" w:rsidP="00745EAA">
      <w:pPr>
        <w:pStyle w:val="a3"/>
        <w:numPr>
          <w:ilvl w:val="0"/>
          <w:numId w:val="7"/>
        </w:numPr>
        <w:tabs>
          <w:tab w:val="left" w:pos="709"/>
        </w:tabs>
        <w:spacing w:after="0" w:line="260" w:lineRule="exact"/>
        <w:jc w:val="both"/>
        <w:rPr>
          <w:rFonts w:ascii="Times New Roman" w:eastAsia="Times New Roman" w:hAnsi="Times New Roman" w:cs="Times New Roman"/>
          <w:noProof/>
        </w:rPr>
      </w:pPr>
      <w:r>
        <w:rPr>
          <w:rFonts w:ascii="Times New Roman" w:hAnsi="Times New Roman"/>
          <w:noProof/>
        </w:rPr>
        <w:t>στην MRI του ΚΝΣ, συμπεριλαμβανομένων βλαβών του εγκεφάλου, της σπονδυλικής στήλης και του προσκείμενου ιστού,</w:t>
      </w:r>
    </w:p>
    <w:p w:rsidR="00271F6E" w:rsidRPr="007D082F" w:rsidRDefault="00147333" w:rsidP="00745EAA">
      <w:pPr>
        <w:pStyle w:val="a3"/>
        <w:numPr>
          <w:ilvl w:val="0"/>
          <w:numId w:val="7"/>
        </w:numPr>
        <w:tabs>
          <w:tab w:val="left" w:pos="709"/>
        </w:tabs>
        <w:spacing w:after="0" w:line="260" w:lineRule="exact"/>
        <w:jc w:val="both"/>
        <w:rPr>
          <w:rFonts w:ascii="Times New Roman" w:eastAsia="Times New Roman" w:hAnsi="Times New Roman" w:cs="Times New Roman"/>
          <w:noProof/>
        </w:rPr>
      </w:pPr>
      <w:r>
        <w:rPr>
          <w:rFonts w:ascii="Times New Roman" w:hAnsi="Times New Roman"/>
          <w:noProof/>
        </w:rPr>
        <w:t>στην πλήρη MRI σώματος, συμπεριλαμβανομένων βλαβών του ήπατος, των νεφρών, του παγκρέατος, της λεκάνης, των πνευμόνων, της καρδιάς, του στήθους και του μυοσκελετικού συστήματος,</w:t>
      </w:r>
    </w:p>
    <w:p w:rsidR="008A7F4C" w:rsidRPr="007D082F" w:rsidRDefault="00147333" w:rsidP="00745EAA">
      <w:pPr>
        <w:pStyle w:val="a3"/>
        <w:numPr>
          <w:ilvl w:val="0"/>
          <w:numId w:val="7"/>
        </w:numPr>
        <w:tabs>
          <w:tab w:val="left" w:pos="709"/>
        </w:tabs>
        <w:spacing w:after="0" w:line="260" w:lineRule="exact"/>
        <w:jc w:val="both"/>
        <w:rPr>
          <w:rFonts w:ascii="Times New Roman" w:eastAsia="Times New Roman" w:hAnsi="Times New Roman" w:cs="Times New Roman"/>
          <w:noProof/>
        </w:rPr>
      </w:pPr>
      <w:r>
        <w:rPr>
          <w:rFonts w:ascii="Times New Roman" w:hAnsi="Times New Roman"/>
          <w:noProof/>
        </w:rPr>
        <w:t xml:space="preserve">στην αγγειογραφία μαγνητικού συντονισμού, συμπεριλαμβανομένων βλαβών ή στενώσεων των αρτηριών, με εξαίρεση τις στεφανιαίες. </w:t>
      </w:r>
    </w:p>
    <w:p w:rsidR="008A7F4C" w:rsidRPr="007D082F" w:rsidRDefault="008A7F4C"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φάρμακο αυτό προορίζεται μόνο για διαγνωστική χρήση.</w:t>
      </w:r>
    </w:p>
    <w:p w:rsidR="00745EAA" w:rsidRPr="007D082F" w:rsidRDefault="00745EAA" w:rsidP="00745EAA">
      <w:pPr>
        <w:spacing w:after="0" w:line="200" w:lineRule="exact"/>
        <w:jc w:val="both"/>
        <w:rPr>
          <w:rFonts w:ascii="Times New Roman" w:hAnsi="Times New Roman" w:cs="Times New Roman"/>
        </w:rPr>
      </w:pPr>
    </w:p>
    <w:p w:rsidR="00271F6E" w:rsidRPr="007D082F" w:rsidRDefault="00745EAA" w:rsidP="00745EAA">
      <w:pPr>
        <w:widowControl/>
        <w:spacing w:after="0" w:line="240" w:lineRule="auto"/>
        <w:ind w:left="570" w:right="-2" w:hanging="570"/>
        <w:jc w:val="both"/>
        <w:rPr>
          <w:rFonts w:ascii="Times New Roman" w:eastAsia="Times New Roman" w:hAnsi="Times New Roman" w:cs="Times New Roman"/>
          <w:b/>
          <w:caps/>
          <w:noProof/>
        </w:rPr>
      </w:pPr>
      <w:r>
        <w:rPr>
          <w:rFonts w:ascii="Times New Roman" w:hAnsi="Times New Roman"/>
          <w:b/>
          <w:caps/>
          <w:noProof/>
        </w:rPr>
        <w:t>2.</w:t>
      </w:r>
      <w:r>
        <w:tab/>
      </w:r>
      <w:r>
        <w:rPr>
          <w:rFonts w:ascii="Times New Roman" w:hAnsi="Times New Roman"/>
          <w:b/>
          <w:caps/>
          <w:noProof/>
        </w:rPr>
        <w:t>Τι πρέπει να γνωρίζετε προτού χρησιμοποιηθεί το CYCLOLUX</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Οι πληροφορίες σε αυτή την παράγραφο θα πρέπει να διαβαστούν προσεκτικά.</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Οι πληροφορίες που δίνονται θα πρέπει να λαμβάνονται υπόψη από εσάς και </w:t>
      </w:r>
      <w:r w:rsidR="00116476">
        <w:rPr>
          <w:rFonts w:ascii="Times New Roman" w:hAnsi="Times New Roman"/>
          <w:noProof/>
        </w:rPr>
        <w:t>το γιατρό</w:t>
      </w:r>
      <w:r>
        <w:rPr>
          <w:rFonts w:ascii="Times New Roman" w:hAnsi="Times New Roman"/>
          <w:noProof/>
        </w:rPr>
        <w:t xml:space="preserve"> ή τον ακτινολόγο σας, πριν σας χορηγηθεί το Cyclolux.</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sidRPr="008B05CE">
        <w:rPr>
          <w:rFonts w:ascii="Times New Roman" w:hAnsi="Times New Roman"/>
          <w:b/>
          <w:noProof/>
          <w:u w:val="single"/>
        </w:rPr>
        <w:t>ΔΕΝ</w:t>
      </w:r>
      <w:r>
        <w:rPr>
          <w:rFonts w:ascii="Times New Roman" w:hAnsi="Times New Roman"/>
          <w:b/>
          <w:noProof/>
        </w:rPr>
        <w:t xml:space="preserve"> θα πρέπει να σας χορηγηθεί το Cyclolux</w:t>
      </w:r>
    </w:p>
    <w:p w:rsidR="00271F6E" w:rsidRPr="007D082F" w:rsidRDefault="00745EAA" w:rsidP="00745EAA">
      <w:pPr>
        <w:pStyle w:val="a3"/>
        <w:numPr>
          <w:ilvl w:val="0"/>
          <w:numId w:val="8"/>
        </w:numPr>
        <w:spacing w:after="0" w:line="260" w:lineRule="exact"/>
        <w:jc w:val="both"/>
        <w:rPr>
          <w:rFonts w:ascii="Times New Roman" w:eastAsia="Times New Roman" w:hAnsi="Times New Roman" w:cs="Times New Roman"/>
          <w:noProof/>
        </w:rPr>
      </w:pPr>
      <w:r>
        <w:rPr>
          <w:rFonts w:ascii="Times New Roman" w:hAnsi="Times New Roman"/>
          <w:noProof/>
        </w:rPr>
        <w:t>σε περίπτωση αλλεργίας στη δραστική ουσία ή οποιοδήποτε άλλο από τα συστατικά αυτού του φαρμάκου (αναφέρονται στην παράγραφο 6).</w:t>
      </w:r>
    </w:p>
    <w:p w:rsidR="00271F6E" w:rsidRPr="007D082F" w:rsidRDefault="00745EAA" w:rsidP="00745EAA">
      <w:pPr>
        <w:pStyle w:val="a3"/>
        <w:numPr>
          <w:ilvl w:val="0"/>
          <w:numId w:val="8"/>
        </w:numPr>
        <w:spacing w:after="0" w:line="260" w:lineRule="exact"/>
        <w:jc w:val="both"/>
        <w:rPr>
          <w:rFonts w:ascii="Times New Roman" w:eastAsia="Times New Roman" w:hAnsi="Times New Roman" w:cs="Times New Roman"/>
          <w:noProof/>
        </w:rPr>
      </w:pPr>
      <w:r>
        <w:rPr>
          <w:rFonts w:ascii="Times New Roman" w:hAnsi="Times New Roman"/>
          <w:noProof/>
        </w:rPr>
        <w:t>σε περίπτωση αλλεργίας σε φάρμακα που περιέχουν γαδολίνιο (όπως άλλους σκιαγραφικούς παράγοντες που χρησιμοποιούνται στη μαγνητική τομογραφία).</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widowControl/>
        <w:spacing w:after="0" w:line="240" w:lineRule="auto"/>
        <w:ind w:right="-2"/>
        <w:jc w:val="both"/>
        <w:outlineLvl w:val="0"/>
        <w:rPr>
          <w:rFonts w:ascii="Times New Roman" w:eastAsia="Times New Roman" w:hAnsi="Times New Roman" w:cs="Times New Roman"/>
          <w:b/>
          <w:noProof/>
        </w:rPr>
      </w:pPr>
      <w:r>
        <w:rPr>
          <w:rFonts w:ascii="Times New Roman" w:hAnsi="Times New Roman"/>
          <w:b/>
          <w:noProof/>
        </w:rPr>
        <w:t>Προειδοποιήσεις και προφυλάξεις</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Ενημερώστε </w:t>
      </w:r>
      <w:r w:rsidR="00116476">
        <w:rPr>
          <w:rFonts w:ascii="Times New Roman" w:hAnsi="Times New Roman"/>
          <w:noProof/>
        </w:rPr>
        <w:t>το γιατρό</w:t>
      </w:r>
      <w:r>
        <w:rPr>
          <w:rFonts w:ascii="Times New Roman" w:hAnsi="Times New Roman"/>
          <w:noProof/>
        </w:rPr>
        <w:t xml:space="preserve"> ή τον ακτινολόγο σας σε περίπτωση που κάποιο από τα παραπάνω ισχύει για εσάς:</w:t>
      </w:r>
    </w:p>
    <w:p w:rsidR="00271F6E" w:rsidRPr="007D082F" w:rsidRDefault="00745EAA" w:rsidP="00745EAA">
      <w:pPr>
        <w:pStyle w:val="a3"/>
        <w:numPr>
          <w:ilvl w:val="0"/>
          <w:numId w:val="9"/>
        </w:numPr>
        <w:spacing w:after="0" w:line="260" w:lineRule="exact"/>
        <w:jc w:val="both"/>
        <w:rPr>
          <w:rFonts w:ascii="Times New Roman" w:eastAsia="Times New Roman" w:hAnsi="Times New Roman" w:cs="Times New Roman"/>
          <w:noProof/>
        </w:rPr>
      </w:pPr>
      <w:r>
        <w:rPr>
          <w:rFonts w:ascii="Times New Roman" w:hAnsi="Times New Roman"/>
          <w:noProof/>
        </w:rPr>
        <w:t>έχετε στο παρελθόν παρουσιάσει αντίδραση σε σκιαγραφικό παράγοντα κατά τη διάρκεια εξέτασης,</w:t>
      </w:r>
    </w:p>
    <w:p w:rsidR="00271F6E" w:rsidRPr="007D082F" w:rsidRDefault="00745EAA" w:rsidP="00745EAA">
      <w:pPr>
        <w:pStyle w:val="a3"/>
        <w:numPr>
          <w:ilvl w:val="0"/>
          <w:numId w:val="9"/>
        </w:numPr>
        <w:spacing w:after="0" w:line="260" w:lineRule="exact"/>
        <w:jc w:val="both"/>
        <w:rPr>
          <w:rFonts w:ascii="Times New Roman" w:eastAsia="Times New Roman" w:hAnsi="Times New Roman" w:cs="Times New Roman"/>
          <w:noProof/>
        </w:rPr>
      </w:pPr>
      <w:r>
        <w:rPr>
          <w:rFonts w:ascii="Times New Roman" w:hAnsi="Times New Roman"/>
          <w:noProof/>
        </w:rPr>
        <w:t>έχετε άσθμα,</w:t>
      </w:r>
    </w:p>
    <w:p w:rsidR="00271F6E" w:rsidRPr="007D082F" w:rsidRDefault="00745EAA" w:rsidP="00745EAA">
      <w:pPr>
        <w:pStyle w:val="a3"/>
        <w:numPr>
          <w:ilvl w:val="0"/>
          <w:numId w:val="9"/>
        </w:numPr>
        <w:spacing w:after="0" w:line="260" w:lineRule="exact"/>
        <w:jc w:val="both"/>
        <w:rPr>
          <w:rFonts w:ascii="Times New Roman" w:eastAsia="Times New Roman" w:hAnsi="Times New Roman" w:cs="Times New Roman"/>
          <w:noProof/>
        </w:rPr>
      </w:pPr>
      <w:r>
        <w:rPr>
          <w:rFonts w:ascii="Times New Roman" w:hAnsi="Times New Roman"/>
          <w:noProof/>
        </w:rPr>
        <w:t>έχετε ιστορικό αλλεργίας (όπως αλλεργία σε θαλασσινά, κνίδωση, πυρετό εκ χόρτου),</w:t>
      </w:r>
    </w:p>
    <w:p w:rsidR="00271F6E" w:rsidRPr="007D082F" w:rsidRDefault="00745EAA" w:rsidP="00745EAA">
      <w:pPr>
        <w:pStyle w:val="a3"/>
        <w:numPr>
          <w:ilvl w:val="0"/>
          <w:numId w:val="9"/>
        </w:numPr>
        <w:spacing w:after="0" w:line="260" w:lineRule="exact"/>
        <w:jc w:val="both"/>
        <w:rPr>
          <w:rFonts w:ascii="Times New Roman" w:eastAsia="Times New Roman" w:hAnsi="Times New Roman" w:cs="Times New Roman"/>
          <w:noProof/>
        </w:rPr>
      </w:pPr>
      <w:r>
        <w:rPr>
          <w:rFonts w:ascii="Times New Roman" w:hAnsi="Times New Roman"/>
          <w:noProof/>
        </w:rPr>
        <w:lastRenderedPageBreak/>
        <w:t>λαμβάνετε θεραπεία με β-αποκλειστή (φάρμακο για καρδιακές διαταραχές και διαταραχές της αρτηριακής πίεσης, όπως η μετοπρολόλη),</w:t>
      </w:r>
    </w:p>
    <w:p w:rsidR="00271F6E" w:rsidRPr="007D082F" w:rsidRDefault="00745EAA" w:rsidP="00745EAA">
      <w:pPr>
        <w:pStyle w:val="a3"/>
        <w:numPr>
          <w:ilvl w:val="0"/>
          <w:numId w:val="9"/>
        </w:numPr>
        <w:spacing w:after="0" w:line="260" w:lineRule="exact"/>
        <w:jc w:val="both"/>
        <w:rPr>
          <w:rFonts w:ascii="Times New Roman" w:eastAsia="Times New Roman" w:hAnsi="Times New Roman" w:cs="Times New Roman"/>
          <w:noProof/>
        </w:rPr>
      </w:pPr>
      <w:r>
        <w:rPr>
          <w:rFonts w:ascii="Times New Roman" w:hAnsi="Times New Roman"/>
          <w:noProof/>
        </w:rPr>
        <w:t>τα νεφρά σας δεν λειτουργούν κανονικά,</w:t>
      </w:r>
    </w:p>
    <w:p w:rsidR="00271F6E" w:rsidRPr="007D082F" w:rsidRDefault="00745EAA" w:rsidP="00745EAA">
      <w:pPr>
        <w:pStyle w:val="a3"/>
        <w:numPr>
          <w:ilvl w:val="0"/>
          <w:numId w:val="9"/>
        </w:numPr>
        <w:spacing w:after="0" w:line="260" w:lineRule="exact"/>
        <w:jc w:val="both"/>
        <w:rPr>
          <w:rFonts w:ascii="Times New Roman" w:eastAsia="Times New Roman" w:hAnsi="Times New Roman" w:cs="Times New Roman"/>
          <w:noProof/>
        </w:rPr>
      </w:pPr>
      <w:r>
        <w:rPr>
          <w:rFonts w:ascii="Times New Roman" w:hAnsi="Times New Roman"/>
          <w:noProof/>
        </w:rPr>
        <w:t>υποβληθήκατε πρόσφατα ή αναμένεται σύντομα να υποβληθείτε σε μεταμόσχευση ήπατος,</w:t>
      </w:r>
    </w:p>
    <w:p w:rsidR="00271F6E" w:rsidRPr="007D082F" w:rsidRDefault="00745EAA" w:rsidP="00745EAA">
      <w:pPr>
        <w:pStyle w:val="a3"/>
        <w:numPr>
          <w:ilvl w:val="0"/>
          <w:numId w:val="9"/>
        </w:numPr>
        <w:spacing w:after="0" w:line="260" w:lineRule="exact"/>
        <w:jc w:val="both"/>
        <w:rPr>
          <w:rFonts w:ascii="Times New Roman" w:eastAsia="Times New Roman" w:hAnsi="Times New Roman" w:cs="Times New Roman"/>
          <w:noProof/>
        </w:rPr>
      </w:pPr>
      <w:r>
        <w:rPr>
          <w:rFonts w:ascii="Times New Roman" w:hAnsi="Times New Roman"/>
          <w:noProof/>
        </w:rPr>
        <w:t>έχετε μια ασθένεια που επηρεάζει την καρδιά ή τα αιμοφόρα αγγεία σας,</w:t>
      </w:r>
    </w:p>
    <w:p w:rsidR="00271F6E" w:rsidRPr="007D082F" w:rsidRDefault="00745EAA" w:rsidP="00745EAA">
      <w:pPr>
        <w:pStyle w:val="a3"/>
        <w:numPr>
          <w:ilvl w:val="0"/>
          <w:numId w:val="9"/>
        </w:numPr>
        <w:spacing w:after="0" w:line="260" w:lineRule="exact"/>
        <w:jc w:val="both"/>
        <w:rPr>
          <w:rFonts w:ascii="Times New Roman" w:eastAsia="Times New Roman" w:hAnsi="Times New Roman" w:cs="Times New Roman"/>
          <w:noProof/>
        </w:rPr>
      </w:pPr>
      <w:r>
        <w:rPr>
          <w:rFonts w:ascii="Times New Roman" w:hAnsi="Times New Roman"/>
          <w:noProof/>
        </w:rPr>
        <w:t>είχατε σπασμούς ή λαμβάνετε θεραπεία για την επιληψία.</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Σε όλες αυτές τις περιπτώσεις, ο γιατρός ή ο ακτινολόγος σας θα εκτιμήσει το λόγο οφέλους/κινδύνου και θα αποφασίσει, εάν θα πρέπει να σας χορηγηθεί το Cyclolux. Εάν σας χορηγηθεί το Cyclolux, ο γιατρός ή ο ακτινολόγος σας θα πάρει τα απαραίτητα μέτρα προφύλαξης και η χορήγηση του Cyclolux θα παρακολουθείται προσεκτικά.</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Ο γιατρός ή ο ακτινολόγος σας ενδέχεται να αποφασίσει να διεξάγει αιματολογικές εξετάσεις, προκειμένου να ελέγξει το πόσο καλά λειτουργούν οι νεφροί σας, πριν λάβει την απόφαση να χρησιμοποιήσει το Cyclolux, ειδικά εάν είστε ηλικίας 65 ετών ή μεγαλύτερης.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u w:val="single"/>
        </w:rPr>
      </w:pPr>
      <w:r>
        <w:rPr>
          <w:rFonts w:ascii="Times New Roman" w:hAnsi="Times New Roman"/>
          <w:noProof/>
          <w:u w:val="single"/>
        </w:rPr>
        <w:t>Νεογνά και βρέφη</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Λόγω της ανώριμης νεφρικής λειτουργίας των νεογέννητων ηλικίας έως 4 εβδομάδων και των βρεφών ηλικίας έως 1 έτους, το Cyclolux θα πρέπει να χρησιμοποιείται σε αυτούς τους ασθενείς μόνο μετά από προσεκτική εξέταση από </w:t>
      </w:r>
      <w:r w:rsidR="00116476">
        <w:rPr>
          <w:rFonts w:ascii="Times New Roman" w:hAnsi="Times New Roman"/>
          <w:noProof/>
        </w:rPr>
        <w:t>το γιατρό</w:t>
      </w:r>
      <w:r>
        <w:rPr>
          <w:rFonts w:ascii="Times New Roman" w:hAnsi="Times New Roman"/>
          <w:noProof/>
        </w:rPr>
        <w:t>.</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Αφαιρέστε όλα τα μεταλλικά αντικείμενα που ενδέχεται να φοράτε πριν την εξέταση. Ενημερώστε </w:t>
      </w:r>
      <w:r w:rsidR="00116476">
        <w:rPr>
          <w:rFonts w:ascii="Times New Roman" w:hAnsi="Times New Roman"/>
          <w:noProof/>
        </w:rPr>
        <w:t>το γιατρό</w:t>
      </w:r>
      <w:r>
        <w:rPr>
          <w:rFonts w:ascii="Times New Roman" w:hAnsi="Times New Roman"/>
          <w:noProof/>
        </w:rPr>
        <w:t xml:space="preserve"> ή τον ακτινολόγο σας, εάν φέρετε:</w:t>
      </w:r>
    </w:p>
    <w:p w:rsidR="00271F6E" w:rsidRPr="007D082F" w:rsidRDefault="00745EAA" w:rsidP="00745EAA">
      <w:pPr>
        <w:pStyle w:val="a3"/>
        <w:numPr>
          <w:ilvl w:val="0"/>
          <w:numId w:val="10"/>
        </w:numPr>
        <w:spacing w:after="0" w:line="260" w:lineRule="exact"/>
        <w:jc w:val="both"/>
        <w:rPr>
          <w:rFonts w:ascii="Times New Roman" w:eastAsia="Times New Roman" w:hAnsi="Times New Roman" w:cs="Times New Roman"/>
          <w:noProof/>
        </w:rPr>
      </w:pPr>
      <w:r>
        <w:rPr>
          <w:rFonts w:ascii="Times New Roman" w:hAnsi="Times New Roman"/>
          <w:noProof/>
        </w:rPr>
        <w:t>βηματοδότη,</w:t>
      </w:r>
    </w:p>
    <w:p w:rsidR="00271F6E" w:rsidRPr="007D082F" w:rsidRDefault="00745EAA" w:rsidP="00745EAA">
      <w:pPr>
        <w:pStyle w:val="a3"/>
        <w:numPr>
          <w:ilvl w:val="0"/>
          <w:numId w:val="10"/>
        </w:numPr>
        <w:spacing w:after="0" w:line="260" w:lineRule="exact"/>
        <w:jc w:val="both"/>
        <w:rPr>
          <w:rFonts w:ascii="Times New Roman" w:eastAsia="Times New Roman" w:hAnsi="Times New Roman" w:cs="Times New Roman"/>
          <w:noProof/>
        </w:rPr>
      </w:pPr>
      <w:r>
        <w:rPr>
          <w:rFonts w:ascii="Times New Roman" w:hAnsi="Times New Roman"/>
          <w:noProof/>
        </w:rPr>
        <w:t>αγγειακό αγκτήρα,</w:t>
      </w:r>
    </w:p>
    <w:p w:rsidR="00271F6E" w:rsidRPr="007D082F" w:rsidRDefault="00745EAA" w:rsidP="00745EAA">
      <w:pPr>
        <w:pStyle w:val="a3"/>
        <w:numPr>
          <w:ilvl w:val="0"/>
          <w:numId w:val="10"/>
        </w:numPr>
        <w:spacing w:after="0" w:line="260" w:lineRule="exact"/>
        <w:jc w:val="both"/>
        <w:rPr>
          <w:rFonts w:ascii="Times New Roman" w:eastAsia="Times New Roman" w:hAnsi="Times New Roman" w:cs="Times New Roman"/>
          <w:noProof/>
        </w:rPr>
      </w:pPr>
      <w:r>
        <w:rPr>
          <w:rFonts w:ascii="Times New Roman" w:hAnsi="Times New Roman"/>
          <w:noProof/>
        </w:rPr>
        <w:t>αντλία έγχυσης,</w:t>
      </w:r>
    </w:p>
    <w:p w:rsidR="00271F6E" w:rsidRPr="007D082F" w:rsidRDefault="00745EAA" w:rsidP="00745EAA">
      <w:pPr>
        <w:pStyle w:val="a3"/>
        <w:numPr>
          <w:ilvl w:val="0"/>
          <w:numId w:val="10"/>
        </w:numPr>
        <w:spacing w:after="0" w:line="260" w:lineRule="exact"/>
        <w:jc w:val="both"/>
        <w:rPr>
          <w:rFonts w:ascii="Times New Roman" w:eastAsia="Times New Roman" w:hAnsi="Times New Roman" w:cs="Times New Roman"/>
          <w:noProof/>
        </w:rPr>
      </w:pPr>
      <w:r>
        <w:rPr>
          <w:rFonts w:ascii="Times New Roman" w:hAnsi="Times New Roman"/>
          <w:noProof/>
        </w:rPr>
        <w:t>διεγέρτη νεύρου,</w:t>
      </w:r>
    </w:p>
    <w:p w:rsidR="00271F6E" w:rsidRPr="007D082F" w:rsidRDefault="00745EAA" w:rsidP="00745EAA">
      <w:pPr>
        <w:pStyle w:val="a3"/>
        <w:numPr>
          <w:ilvl w:val="0"/>
          <w:numId w:val="10"/>
        </w:numPr>
        <w:spacing w:after="0" w:line="260" w:lineRule="exact"/>
        <w:jc w:val="both"/>
        <w:rPr>
          <w:rFonts w:ascii="Times New Roman" w:eastAsia="Times New Roman" w:hAnsi="Times New Roman" w:cs="Times New Roman"/>
          <w:noProof/>
        </w:rPr>
      </w:pPr>
      <w:r>
        <w:rPr>
          <w:rFonts w:ascii="Times New Roman" w:hAnsi="Times New Roman"/>
          <w:noProof/>
        </w:rPr>
        <w:t>κοχλιακό εμφύτευμα (εμφύτευμα στο έσω αυτί),</w:t>
      </w:r>
    </w:p>
    <w:p w:rsidR="00271F6E" w:rsidRPr="007D082F" w:rsidRDefault="00745EAA" w:rsidP="00745EAA">
      <w:pPr>
        <w:pStyle w:val="a3"/>
        <w:numPr>
          <w:ilvl w:val="0"/>
          <w:numId w:val="10"/>
        </w:numPr>
        <w:spacing w:after="0" w:line="260" w:lineRule="exact"/>
        <w:jc w:val="both"/>
        <w:rPr>
          <w:rFonts w:ascii="Times New Roman" w:eastAsia="Times New Roman" w:hAnsi="Times New Roman" w:cs="Times New Roman"/>
          <w:noProof/>
        </w:rPr>
      </w:pPr>
      <w:r>
        <w:rPr>
          <w:rFonts w:ascii="Times New Roman" w:hAnsi="Times New Roman"/>
          <w:noProof/>
        </w:rPr>
        <w:t>οποιαδήποτε ξένα σώματα που πιθανολογείται ότι είναι μεταλλικά, ιδιαίτερα στο μάτι.</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Αυτό είναι σημαντικό, καθώς αυτά μπορεί να επιφέρουν σοβαρά προβλήματα, καθώς οι συσκευές μαγνητικής τομογραφίας χρησιμοποιούν πολύ ισχυρά μαγνητικά πεδία.</w:t>
      </w:r>
    </w:p>
    <w:p w:rsidR="00271F6E" w:rsidRPr="007D082F" w:rsidRDefault="00271F6E" w:rsidP="00745EAA">
      <w:pPr>
        <w:spacing w:before="6" w:after="0" w:line="280" w:lineRule="exact"/>
        <w:jc w:val="both"/>
        <w:rPr>
          <w:rFonts w:ascii="Times New Roman" w:hAnsi="Times New Roman" w:cs="Times New Roman"/>
        </w:rPr>
      </w:pPr>
    </w:p>
    <w:p w:rsidR="00271F6E" w:rsidRPr="007D082F" w:rsidRDefault="00745EAA" w:rsidP="00745EAA">
      <w:pPr>
        <w:widowControl/>
        <w:spacing w:after="0" w:line="240" w:lineRule="auto"/>
        <w:ind w:right="-2"/>
        <w:jc w:val="both"/>
        <w:outlineLvl w:val="0"/>
        <w:rPr>
          <w:rFonts w:ascii="Times New Roman" w:eastAsia="Times New Roman" w:hAnsi="Times New Roman" w:cs="Times New Roman"/>
          <w:b/>
          <w:noProof/>
        </w:rPr>
      </w:pPr>
      <w:r>
        <w:rPr>
          <w:rFonts w:ascii="Times New Roman" w:hAnsi="Times New Roman"/>
          <w:b/>
          <w:noProof/>
        </w:rPr>
        <w:t>Άλλα φάρμακα και Cyclolux</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Ενημερώστε </w:t>
      </w:r>
      <w:r w:rsidR="00116476">
        <w:rPr>
          <w:rFonts w:ascii="Times New Roman" w:hAnsi="Times New Roman"/>
          <w:noProof/>
        </w:rPr>
        <w:t>το γιατρό</w:t>
      </w:r>
      <w:r>
        <w:rPr>
          <w:rFonts w:ascii="Times New Roman" w:hAnsi="Times New Roman"/>
          <w:noProof/>
        </w:rPr>
        <w:t xml:space="preserve"> σας ή τον ακτινολόγο σας, εάν παίρνετε ή έχετε πρόσφατα πάρει άλλα φάρμακα. Συγκεκριμένα, ενημερώστε </w:t>
      </w:r>
      <w:r w:rsidR="00116476">
        <w:rPr>
          <w:rFonts w:ascii="Times New Roman" w:hAnsi="Times New Roman"/>
          <w:noProof/>
        </w:rPr>
        <w:t>το γιατρό</w:t>
      </w:r>
      <w:r>
        <w:rPr>
          <w:rFonts w:ascii="Times New Roman" w:hAnsi="Times New Roman"/>
          <w:noProof/>
        </w:rPr>
        <w:t xml:space="preserve">, τον ακτινολόγο σας ή </w:t>
      </w:r>
      <w:r w:rsidR="00116476">
        <w:rPr>
          <w:rFonts w:ascii="Times New Roman" w:hAnsi="Times New Roman"/>
          <w:noProof/>
        </w:rPr>
        <w:t>το φαρμακοποιό</w:t>
      </w:r>
      <w:r>
        <w:rPr>
          <w:rFonts w:ascii="Times New Roman" w:hAnsi="Times New Roman"/>
          <w:noProof/>
        </w:rPr>
        <w:t xml:space="preserve"> σας, εάν παίρνετε ή έχετε πρόσφατα πάρει φάρμακα για καρδιακές διαταραχές ή διαταραχές της αρτηριακής πίεσης, όπως παράγοντες β-αποκλεισμού (όπως η μετοπρολόλη), αγγειοδραστικές ουσίες (όπως η δοξαζοσίνη), αναστολείς του μετατρεπτικού ενζύμου της αγγειοτασίνης (όπως η ραμιπρίλη), ανταγωνιστές των υποδοχέων της αγγειοτασίνης ΙΙ (όπως η βαλσαρτάνη).</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147333" w:rsidP="00745EAA">
      <w:pPr>
        <w:widowControl/>
        <w:spacing w:after="0" w:line="240" w:lineRule="auto"/>
        <w:ind w:right="-2"/>
        <w:jc w:val="both"/>
        <w:outlineLvl w:val="0"/>
        <w:rPr>
          <w:rFonts w:ascii="Times New Roman" w:eastAsia="Times New Roman" w:hAnsi="Times New Roman" w:cs="Times New Roman"/>
          <w:b/>
          <w:noProof/>
        </w:rPr>
      </w:pPr>
      <w:r>
        <w:rPr>
          <w:rFonts w:ascii="Times New Roman" w:hAnsi="Times New Roman"/>
          <w:b/>
          <w:noProof/>
        </w:rPr>
        <w:t>Το Cyclolux με τροφές, ποτά και οινόπνευμα</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Δεν υπάρχουν γνωστές αλληλεπιδράσεις μεταξύ του Cyclolux και τροφών ή ποτών. Ωστόσο, ρωτήστε </w:t>
      </w:r>
      <w:r w:rsidR="00116476">
        <w:rPr>
          <w:rFonts w:ascii="Times New Roman" w:hAnsi="Times New Roman"/>
          <w:noProof/>
        </w:rPr>
        <w:t>το γιατρό</w:t>
      </w:r>
      <w:r>
        <w:rPr>
          <w:rFonts w:ascii="Times New Roman" w:hAnsi="Times New Roman"/>
          <w:noProof/>
        </w:rPr>
        <w:t xml:space="preserve">, τον ακτινολόγο ή </w:t>
      </w:r>
      <w:r w:rsidR="00116476">
        <w:rPr>
          <w:rFonts w:ascii="Times New Roman" w:hAnsi="Times New Roman"/>
          <w:noProof/>
        </w:rPr>
        <w:t>το φαρμακοποιό</w:t>
      </w:r>
      <w:r>
        <w:rPr>
          <w:rFonts w:ascii="Times New Roman" w:hAnsi="Times New Roman"/>
          <w:noProof/>
        </w:rPr>
        <w:t xml:space="preserve"> σας εάν απαιτείται να μην φάτε ή να μην πιείτε πριν την εξέταση</w:t>
      </w:r>
      <w:r w:rsidR="00213323">
        <w:rPr>
          <w:rFonts w:ascii="Times New Roman" w:hAnsi="Times New Roman"/>
          <w:noProof/>
        </w:rPr>
        <w:t>.</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widowControl/>
        <w:spacing w:after="0" w:line="240" w:lineRule="auto"/>
        <w:ind w:right="-2"/>
        <w:jc w:val="both"/>
        <w:outlineLvl w:val="0"/>
        <w:rPr>
          <w:rFonts w:ascii="Times New Roman" w:eastAsia="Times New Roman" w:hAnsi="Times New Roman" w:cs="Times New Roman"/>
          <w:b/>
          <w:noProof/>
        </w:rPr>
      </w:pPr>
      <w:r>
        <w:rPr>
          <w:rFonts w:ascii="Times New Roman" w:hAnsi="Times New Roman"/>
          <w:b/>
          <w:noProof/>
        </w:rPr>
        <w:t>Κύηση, θηλασμός και γονιμότητα</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Εάν είστε έγκυος ή θηλάζετε, νομίζετε ότι μπορεί να είστε έγκυος ή σχεδιάζετε να αποκτήσετε παιδί, ζητήστε τη συμβουλή του γιατρού ή του ακτινολόγου σας, προτού πάρετε αυτό το φάρμακο.</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i/>
          <w:noProof/>
        </w:rPr>
      </w:pPr>
      <w:r>
        <w:rPr>
          <w:rFonts w:ascii="Times New Roman" w:hAnsi="Times New Roman"/>
          <w:i/>
          <w:noProof/>
        </w:rPr>
        <w:t>Εγκυμοσύνη</w:t>
      </w:r>
    </w:p>
    <w:p w:rsidR="00271F6E" w:rsidRPr="007D082F"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Cyclolux δεν πρέπει να χρησιμοποιείται κατά τη διάρκεια της εγκυμοσύνης, εκτός εάν είναι αυστηρά απαραίτητο.</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i/>
          <w:noProof/>
        </w:rPr>
      </w:pPr>
      <w:r>
        <w:rPr>
          <w:rFonts w:ascii="Times New Roman" w:hAnsi="Times New Roman"/>
          <w:i/>
          <w:noProof/>
        </w:rPr>
        <w:t>Θηλασμός</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Ο γιατρός ή ο ακτινολόγος σας θα συζητήσει εάν θα πρέπει να συνεχίσετε τον θηλασμό ή να διακόψετε τον θηλασμό για ένα διάστημα 24 ωρών μετά τη λήψη του Cyclolux.</w:t>
      </w:r>
    </w:p>
    <w:p w:rsidR="009D322B" w:rsidRPr="007D082F" w:rsidRDefault="009D322B"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widowControl/>
        <w:spacing w:after="0" w:line="240" w:lineRule="auto"/>
        <w:ind w:right="-2"/>
        <w:jc w:val="both"/>
        <w:outlineLvl w:val="0"/>
        <w:rPr>
          <w:rFonts w:ascii="Times New Roman" w:eastAsia="Times New Roman" w:hAnsi="Times New Roman" w:cs="Times New Roman"/>
          <w:b/>
          <w:noProof/>
        </w:rPr>
      </w:pPr>
      <w:r>
        <w:rPr>
          <w:rFonts w:ascii="Times New Roman" w:hAnsi="Times New Roman"/>
          <w:b/>
          <w:noProof/>
        </w:rPr>
        <w:lastRenderedPageBreak/>
        <w:t>Οδήγηση και χειρισμός μηχανών</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spacing w:val="2"/>
        </w:rPr>
        <w:t>Δεν υπάρχουν διαθέσιμα δεδομένα αναφορικά με τις επιδράσεις του Cyclolux στην ικανότητα οδήγησης. Εάν δεν αισθάνεστε καλά μετά την εξέταση, δεν θα πρέπει να οδηγήσετε ή να χειριστείτε μηχανήματα.</w:t>
      </w:r>
    </w:p>
    <w:p w:rsidR="00745EAA" w:rsidRPr="007D082F" w:rsidRDefault="00745EAA" w:rsidP="00745EAA">
      <w:pPr>
        <w:tabs>
          <w:tab w:val="left" w:pos="567"/>
        </w:tabs>
        <w:spacing w:after="0" w:line="260" w:lineRule="exact"/>
        <w:jc w:val="both"/>
        <w:rPr>
          <w:rFonts w:ascii="Times New Roman" w:eastAsia="Times New Roman" w:hAnsi="Times New Roman" w:cs="Times New Roman"/>
          <w:noProof/>
        </w:rPr>
      </w:pPr>
    </w:p>
    <w:p w:rsidR="00271F6E" w:rsidRPr="00BA70F0" w:rsidRDefault="00745EAA" w:rsidP="00745EAA">
      <w:pPr>
        <w:widowControl/>
        <w:spacing w:after="0" w:line="240" w:lineRule="auto"/>
        <w:ind w:left="570" w:right="-2" w:hanging="570"/>
        <w:jc w:val="both"/>
        <w:rPr>
          <w:rFonts w:ascii="Times New Roman" w:eastAsia="Times New Roman" w:hAnsi="Times New Roman" w:cs="Times New Roman"/>
          <w:b/>
          <w:caps/>
          <w:noProof/>
        </w:rPr>
      </w:pPr>
      <w:r>
        <w:rPr>
          <w:rFonts w:ascii="Times New Roman" w:hAnsi="Times New Roman"/>
          <w:b/>
          <w:caps/>
          <w:noProof/>
        </w:rPr>
        <w:t>3.</w:t>
      </w:r>
      <w:r>
        <w:tab/>
      </w:r>
      <w:r>
        <w:rPr>
          <w:rFonts w:ascii="Times New Roman" w:hAnsi="Times New Roman"/>
          <w:b/>
          <w:caps/>
          <w:noProof/>
        </w:rPr>
        <w:t>Πώς χρησιμοποιείται το Cyclolux</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Cyclolux θα σας χορηγηθεί μέσω ενδοφλέβιας ένεσης.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b/>
          <w:noProof/>
        </w:rPr>
        <w:t>Κατά τη διάρκεια της εξέτασης</w:t>
      </w:r>
      <w:r>
        <w:rPr>
          <w:rFonts w:ascii="Times New Roman" w:hAnsi="Times New Roman"/>
          <w:noProof/>
        </w:rPr>
        <w:t>, θα βρίσκεστε υπό την επίβλεψη γιατρού ή ακτινολόγου. Μια βελόνα θα αφεθεί στη φλέβα σας. Αυτό θα επιτρέψει σ</w:t>
      </w:r>
      <w:r w:rsidR="00116476">
        <w:rPr>
          <w:rFonts w:ascii="Times New Roman" w:hAnsi="Times New Roman"/>
          <w:noProof/>
        </w:rPr>
        <w:t xml:space="preserve">το γιατρό ή </w:t>
      </w:r>
      <w:r>
        <w:rPr>
          <w:rFonts w:ascii="Times New Roman" w:hAnsi="Times New Roman"/>
          <w:noProof/>
        </w:rPr>
        <w:t>τον ακτινολόγο να σας χορηγήσει μέσω ένεσης κατάλληλα φάρμακα έκτακτης ανάγκης, εάν χρειαστεί. Εάν αντιμετωπίσετε αλλεργική αντίδραση, η χορήγηση του Cyclolux θα πρέπει να σταματήσει.</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Cyclolux μπορεί να χορηγηθεί χειρωνακτικά ή μέσω αυτόματης συσκευής ένεσης. Στα παιδιά, το προϊόν μπορεί να χορηγηθεί μόνο χειρωνακτικά.</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Η διαδικασία θα διεξαχθεί σε νοσοκομείο, κλινική ή ιδιωτικό ιατρείο. Το ιατρικό προσωπικό γνωρίζει ποιες προφυλάξεις πρέπει να ληφθούν για την εξέταση. Γνωρίζει επίσης τις πιθανές επιπλοκές που μπορούν να παρουσιαστούν.</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Δοσολογία</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Ο γιατρός ή ο ακτινολόγος θα καθορίσει τη δόση που θα λάβετε και θα επιβλέψει την ένεση.</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Δοσολογία σε ειδικές κατηγορίες ασθενών</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Η χρήση του Cyclolux δεν συνιστάται σε ασθενείς με βαριά νεφρικά προβλήματα και ασθενείς που υποβλήθηκαν πρόσφατα ή αναμένεται να υποβληθούν σύντομα σε μεταμόσχευση ήπατος. Ωστόσο, εάν η χρήση του είναι απαραίτητη, θα πρέπει να λάβετε μία δόση Cyclolux κατά τη διάρκεια μιας σάρωσης και δεν θα πρέπει να λάβετε δεύτερη ένεση για τουλάχιστον 7 ημέρες.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i/>
          <w:noProof/>
        </w:rPr>
      </w:pPr>
      <w:r>
        <w:rPr>
          <w:rFonts w:ascii="Times New Roman" w:hAnsi="Times New Roman"/>
          <w:i/>
          <w:noProof/>
        </w:rPr>
        <w:t>Νεογέννητα, βρέφη, παιδιά και έφηβοι</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Λόγω της ανώριμης νεφρικής λειτουργίας των νεογέννητων ηλικίας έως 4 εβδομάδων και των βρεφών ηλικίας έως 1 έτους, το Cyclolux θα πρέπει να χρησιμοποιείται σε αυτούς τους ασθενείς μόνο μετά από προσεκτική </w:t>
      </w:r>
      <w:r w:rsidR="00213323">
        <w:rPr>
          <w:rFonts w:ascii="Times New Roman" w:hAnsi="Times New Roman"/>
          <w:noProof/>
        </w:rPr>
        <w:t>εκτίμη</w:t>
      </w:r>
      <w:r>
        <w:rPr>
          <w:rFonts w:ascii="Times New Roman" w:hAnsi="Times New Roman"/>
          <w:noProof/>
        </w:rPr>
        <w:t xml:space="preserve">ση από </w:t>
      </w:r>
      <w:r w:rsidR="00116476">
        <w:rPr>
          <w:rFonts w:ascii="Times New Roman" w:hAnsi="Times New Roman"/>
          <w:noProof/>
        </w:rPr>
        <w:t>το γιατρό</w:t>
      </w:r>
      <w:r>
        <w:rPr>
          <w:rFonts w:ascii="Times New Roman" w:hAnsi="Times New Roman"/>
          <w:noProof/>
        </w:rPr>
        <w:t>. Τα νεογέννητα και τα βρέφη θα πρέπει να λάβουν μία δόση Cyclolux κατά τη διάρκεια μιας σάρωσης και δεν θα πρέπει να λάβουν δεύτερη ένεση για τουλάχιστον 7 ημέρες.</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Η χρήση για αγγειογραφία δεν συνιστάται σε παιδιά ηλικίας μικρότερης των 18 ετών.</w:t>
      </w:r>
    </w:p>
    <w:p w:rsidR="004641A3" w:rsidRPr="007D082F" w:rsidRDefault="004641A3" w:rsidP="004641A3">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Η χρήση για ολόσωμη MRI δεν συνιστάται σε παιδιά ηλικίας μικρότερης των 6 μηνών.</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i/>
          <w:noProof/>
        </w:rPr>
      </w:pPr>
      <w:r>
        <w:rPr>
          <w:rFonts w:ascii="Times New Roman" w:hAnsi="Times New Roman"/>
          <w:i/>
          <w:noProof/>
        </w:rPr>
        <w:t>Ηλικιωμένοι</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Δεν είναι απαραίτητη η προσαρμογή της δόσης, εάν είστε ηλικίας 65 ετών ή μεγαλύτερης, αλλά ενδέχεται να υποβληθείτε σε αιματολογικές εξετάσεις, προκειμένου να ελεγχθεί το πόσο καλά λειτουργούν οι νεφροί σας.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Εάν σας χορηγήθηκε υπερβολικά πολύ Cyclolux</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Είναι ιδιαίτερα απίθανο να σας χορηγηθεί υπερβολική δόση. Το Cyclolux θα σας χορηγηθεί σε ιατρικό περιβάλλον από εκπαιδευμένο άτομο. Σε περίπτωση που συμβεί υπερδοσολογία, το Cyclolux μπορεί να απομακρυνθεί από το σώμα με αιμο</w:t>
      </w:r>
      <w:r w:rsidR="00213323">
        <w:rPr>
          <w:rFonts w:ascii="Times New Roman" w:hAnsi="Times New Roman"/>
          <w:noProof/>
        </w:rPr>
        <w:t>κάθαρ</w:t>
      </w:r>
      <w:r>
        <w:rPr>
          <w:rFonts w:ascii="Times New Roman" w:hAnsi="Times New Roman"/>
          <w:noProof/>
        </w:rPr>
        <w:t>ση (καθαρισμός του αίματος).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Πρόσθετες πληροφορίες αναφορικά με τη χρήση και τον χειρισμό από το ιατρικό προσωπικό και το προσωπικό του τομέα υγειονομικής περίθαλψης δίνονται στο τέλος αυτού του φύλλου οδηγιών χρήσης.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Εάν έχετε περισσότερες ερωτήσεις σχετικά με τη χρήση αυτού του φαρμάκου, ρωτήστε </w:t>
      </w:r>
      <w:r w:rsidR="00116476">
        <w:rPr>
          <w:rFonts w:ascii="Times New Roman" w:hAnsi="Times New Roman"/>
          <w:noProof/>
        </w:rPr>
        <w:t>το γιατρό</w:t>
      </w:r>
      <w:r>
        <w:rPr>
          <w:rFonts w:ascii="Times New Roman" w:hAnsi="Times New Roman"/>
          <w:noProof/>
        </w:rPr>
        <w:t xml:space="preserve"> ή τον ακτινολόγο σας.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BA70F0" w:rsidRDefault="00745EAA" w:rsidP="00745EAA">
      <w:pPr>
        <w:widowControl/>
        <w:spacing w:after="0" w:line="240" w:lineRule="auto"/>
        <w:ind w:left="567" w:right="-2" w:hanging="567"/>
        <w:jc w:val="both"/>
        <w:rPr>
          <w:rFonts w:ascii="Times New Roman" w:eastAsia="Times New Roman" w:hAnsi="Times New Roman" w:cs="Times New Roman"/>
          <w:b/>
          <w:caps/>
          <w:noProof/>
        </w:rPr>
      </w:pPr>
      <w:r>
        <w:rPr>
          <w:rFonts w:ascii="Times New Roman" w:hAnsi="Times New Roman"/>
          <w:b/>
          <w:caps/>
          <w:noProof/>
        </w:rPr>
        <w:t>4.</w:t>
      </w:r>
      <w:r>
        <w:tab/>
      </w:r>
      <w:r>
        <w:rPr>
          <w:rFonts w:ascii="Times New Roman" w:hAnsi="Times New Roman"/>
          <w:b/>
          <w:caps/>
          <w:noProof/>
        </w:rPr>
        <w:t>Πιθανές ανεπιθύμητες ενέργειες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sidRPr="00391157">
        <w:rPr>
          <w:rFonts w:ascii="Times New Roman" w:hAnsi="Times New Roman"/>
          <w:b/>
          <w:noProof/>
        </w:rPr>
        <w:lastRenderedPageBreak/>
        <w:t>Μετά τη χορήγηση, θα παραμείνετε υπό παρακολούθηση για τουλάχιστον μισή ώρα.</w:t>
      </w:r>
      <w:r>
        <w:rPr>
          <w:rFonts w:ascii="Times New Roman" w:hAnsi="Times New Roman"/>
          <w:noProof/>
        </w:rPr>
        <w:t xml:space="preserve"> Οι περισσότερες ανεπιθύμητες ενέργειες παρουσιάζονται αμέσως ή μερικές φορές καθυστερημένα. Μερικές </w:t>
      </w:r>
      <w:r w:rsidR="00213323">
        <w:rPr>
          <w:rFonts w:ascii="Times New Roman" w:hAnsi="Times New Roman"/>
          <w:noProof/>
        </w:rPr>
        <w:t>ενέργειες</w:t>
      </w:r>
      <w:r>
        <w:rPr>
          <w:rFonts w:ascii="Times New Roman" w:hAnsi="Times New Roman"/>
          <w:noProof/>
        </w:rPr>
        <w:t xml:space="preserve"> μπορούν να παρουσιαστούν έως και επτά ημέρες μετά την ένεση Cyclolux.</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b/>
          <w:noProof/>
        </w:rPr>
        <w:t>Υπάρχει ένας μικρός κίνδυνος να παρουσιάσετε αλλεργική αντίδραση στο Cyclolux</w:t>
      </w:r>
      <w:r w:rsidRPr="00391157">
        <w:rPr>
          <w:rFonts w:ascii="Times New Roman" w:hAnsi="Times New Roman"/>
          <w:b/>
          <w:noProof/>
        </w:rPr>
        <w:t>. Τέτοιες αντιδράσεις μπορεί να είναι βαριές και να καταλήξουν σε καταπληξία</w:t>
      </w:r>
      <w:r>
        <w:rPr>
          <w:rFonts w:ascii="Times New Roman" w:hAnsi="Times New Roman"/>
          <w:noProof/>
        </w:rPr>
        <w:t xml:space="preserve"> (περίπτωση αλλεργικής αντίδρασης που θα μπορούσε να θέση τη ζωή σας σε κίνδυνο). Τα ακόλουθα συμπτώματα ενδέχεται να αποτελούν τα πρώτα σημεία καταπληξίας. Ενημερώστε </w:t>
      </w:r>
      <w:r w:rsidR="00116476">
        <w:rPr>
          <w:rFonts w:ascii="Times New Roman" w:hAnsi="Times New Roman"/>
          <w:noProof/>
        </w:rPr>
        <w:t>το γιατρό</w:t>
      </w:r>
      <w:r>
        <w:rPr>
          <w:rFonts w:ascii="Times New Roman" w:hAnsi="Times New Roman"/>
          <w:noProof/>
        </w:rPr>
        <w:t>, τον ακτινολόγο ή τον επαγγελματία του τομέα της υγειονομικής περίθαλψης αμέσως, εάν αισθανθείται οποιοδήποτε από αυτά:</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πρήξιμο του προσώπου, του στόματος ή του λαιμού, το οποίο ενδέχεται να σας προκαλεί δυσκολίες στην κατάποση ή την αναπνοή</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πρήξιμο των χεριών ή των ποδιών</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σκοτοδίνη (υπόταση)</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δυσκολίες στην αναπνοή</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αναπνευστικός συριγμός</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βήχας</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κνησμός</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ρινική καταρροή</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πτέρνισμα</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οφθαλμικός ερεθισμός</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κνίδωση</w:t>
      </w:r>
    </w:p>
    <w:p w:rsidR="00271F6E" w:rsidRPr="007D082F" w:rsidRDefault="00745EAA" w:rsidP="00745EAA">
      <w:pPr>
        <w:pStyle w:val="a3"/>
        <w:numPr>
          <w:ilvl w:val="0"/>
          <w:numId w:val="11"/>
        </w:numPr>
        <w:spacing w:after="0" w:line="260" w:lineRule="exact"/>
        <w:jc w:val="both"/>
        <w:rPr>
          <w:rFonts w:ascii="Times New Roman" w:eastAsia="Times New Roman" w:hAnsi="Times New Roman" w:cs="Times New Roman"/>
          <w:noProof/>
        </w:rPr>
      </w:pPr>
      <w:r>
        <w:rPr>
          <w:rFonts w:ascii="Times New Roman" w:hAnsi="Times New Roman"/>
          <w:noProof/>
        </w:rPr>
        <w:t>δερματικό εξάνθημα</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Πολύ συχνές ανεπιθύμητες ενέργειες (ενδέχεται να επηρεάσουν περισσότερα από 1 στα 10 άτομα)</w:t>
      </w:r>
    </w:p>
    <w:p w:rsidR="00271F6E" w:rsidRPr="007D082F" w:rsidRDefault="00745EAA" w:rsidP="00745EAA">
      <w:pPr>
        <w:pStyle w:val="a3"/>
        <w:numPr>
          <w:ilvl w:val="0"/>
          <w:numId w:val="12"/>
        </w:numPr>
        <w:spacing w:after="0" w:line="260" w:lineRule="exact"/>
        <w:jc w:val="both"/>
        <w:rPr>
          <w:rFonts w:ascii="Times New Roman" w:eastAsia="Times New Roman" w:hAnsi="Times New Roman" w:cs="Times New Roman"/>
          <w:noProof/>
        </w:rPr>
      </w:pPr>
      <w:r>
        <w:rPr>
          <w:rFonts w:ascii="Times New Roman" w:hAnsi="Times New Roman"/>
          <w:noProof/>
        </w:rPr>
        <w:t>πονοκέφαλοι</w:t>
      </w:r>
    </w:p>
    <w:p w:rsidR="00271F6E" w:rsidRPr="007D082F" w:rsidRDefault="00745EAA" w:rsidP="00745EAA">
      <w:pPr>
        <w:pStyle w:val="a3"/>
        <w:numPr>
          <w:ilvl w:val="0"/>
          <w:numId w:val="12"/>
        </w:numPr>
        <w:spacing w:after="0" w:line="260" w:lineRule="exact"/>
        <w:jc w:val="both"/>
        <w:rPr>
          <w:rFonts w:ascii="Times New Roman" w:eastAsia="Times New Roman" w:hAnsi="Times New Roman" w:cs="Times New Roman"/>
          <w:noProof/>
        </w:rPr>
      </w:pPr>
      <w:r>
        <w:rPr>
          <w:rFonts w:ascii="Times New Roman" w:hAnsi="Times New Roman"/>
          <w:noProof/>
        </w:rPr>
        <w:t>μυρμηκίαση</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Συχνές ανεπιθύμητες ενέργειες (ενδέχεται να επηρεάσουν έως και 1 στα 10 άτομα)</w:t>
      </w:r>
    </w:p>
    <w:p w:rsidR="00271F6E" w:rsidRPr="007D082F" w:rsidRDefault="00745EAA" w:rsidP="00745EAA">
      <w:pPr>
        <w:pStyle w:val="a3"/>
        <w:numPr>
          <w:ilvl w:val="0"/>
          <w:numId w:val="13"/>
        </w:numPr>
        <w:spacing w:after="0" w:line="260" w:lineRule="exact"/>
        <w:jc w:val="both"/>
        <w:rPr>
          <w:rFonts w:ascii="Times New Roman" w:eastAsia="Times New Roman" w:hAnsi="Times New Roman" w:cs="Times New Roman"/>
          <w:noProof/>
        </w:rPr>
      </w:pPr>
      <w:r>
        <w:rPr>
          <w:rFonts w:ascii="Times New Roman" w:hAnsi="Times New Roman"/>
          <w:noProof/>
        </w:rPr>
        <w:t>αίσθηση ζέστης ή κρύου ή/και πόνος στη θέση ένεσης</w:t>
      </w:r>
    </w:p>
    <w:p w:rsidR="00271F6E" w:rsidRPr="007D082F" w:rsidRDefault="00745EAA" w:rsidP="00745EAA">
      <w:pPr>
        <w:pStyle w:val="a3"/>
        <w:numPr>
          <w:ilvl w:val="0"/>
          <w:numId w:val="13"/>
        </w:numPr>
        <w:spacing w:after="0" w:line="260" w:lineRule="exact"/>
        <w:jc w:val="both"/>
        <w:rPr>
          <w:rFonts w:ascii="Times New Roman" w:eastAsia="Times New Roman" w:hAnsi="Times New Roman" w:cs="Times New Roman"/>
          <w:noProof/>
        </w:rPr>
      </w:pPr>
      <w:r>
        <w:rPr>
          <w:rFonts w:ascii="Times New Roman" w:hAnsi="Times New Roman"/>
          <w:noProof/>
        </w:rPr>
        <w:t>ναυτία (αίσθηση αδιαθεσίας)</w:t>
      </w:r>
    </w:p>
    <w:p w:rsidR="00271F6E" w:rsidRPr="007D082F" w:rsidRDefault="00745EAA" w:rsidP="00745EAA">
      <w:pPr>
        <w:pStyle w:val="a3"/>
        <w:numPr>
          <w:ilvl w:val="0"/>
          <w:numId w:val="13"/>
        </w:numPr>
        <w:spacing w:after="0" w:line="260" w:lineRule="exact"/>
        <w:jc w:val="both"/>
        <w:rPr>
          <w:rFonts w:ascii="Times New Roman" w:eastAsia="Times New Roman" w:hAnsi="Times New Roman" w:cs="Times New Roman"/>
          <w:noProof/>
        </w:rPr>
      </w:pPr>
      <w:r>
        <w:rPr>
          <w:rFonts w:ascii="Times New Roman" w:hAnsi="Times New Roman"/>
          <w:noProof/>
        </w:rPr>
        <w:t>έμετος (αδιαθεσία)</w:t>
      </w:r>
    </w:p>
    <w:p w:rsidR="00271F6E" w:rsidRPr="007D082F" w:rsidRDefault="00745EAA" w:rsidP="00745EAA">
      <w:pPr>
        <w:pStyle w:val="a3"/>
        <w:numPr>
          <w:ilvl w:val="0"/>
          <w:numId w:val="13"/>
        </w:numPr>
        <w:spacing w:after="0" w:line="260" w:lineRule="exact"/>
        <w:jc w:val="both"/>
        <w:rPr>
          <w:rFonts w:ascii="Times New Roman" w:eastAsia="Times New Roman" w:hAnsi="Times New Roman" w:cs="Times New Roman"/>
          <w:noProof/>
        </w:rPr>
      </w:pPr>
      <w:r>
        <w:rPr>
          <w:rFonts w:ascii="Times New Roman" w:hAnsi="Times New Roman"/>
          <w:noProof/>
        </w:rPr>
        <w:t>κοκκίνισμα του δέρματος, κνησμός και εξάνθημα</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Όχι συχνές ανεπιθύμητες ενέργειες (ενδέχεται να επηρεάσουν έως και 1 στα 100 άτομα)</w:t>
      </w:r>
    </w:p>
    <w:p w:rsidR="00271F6E" w:rsidRPr="007D082F" w:rsidRDefault="00745EAA" w:rsidP="00745EAA">
      <w:pPr>
        <w:pStyle w:val="a3"/>
        <w:numPr>
          <w:ilvl w:val="0"/>
          <w:numId w:val="14"/>
        </w:numPr>
        <w:spacing w:after="0" w:line="260" w:lineRule="exact"/>
        <w:jc w:val="both"/>
        <w:rPr>
          <w:rFonts w:ascii="Times New Roman" w:eastAsia="Times New Roman" w:hAnsi="Times New Roman" w:cs="Times New Roman"/>
          <w:noProof/>
        </w:rPr>
      </w:pPr>
      <w:r>
        <w:rPr>
          <w:rFonts w:ascii="Times New Roman" w:hAnsi="Times New Roman"/>
          <w:noProof/>
        </w:rPr>
        <w:t>αλλεργικές αντιδράσεις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Σπάνιες ανεπιθύμητες ενέργειες (ενδέχεται να επηρεάσουν έως και 1 στα 1.000 άτομα)</w:t>
      </w:r>
    </w:p>
    <w:p w:rsidR="00271F6E" w:rsidRPr="007D082F" w:rsidRDefault="00745EAA" w:rsidP="00745EAA">
      <w:pPr>
        <w:pStyle w:val="a3"/>
        <w:numPr>
          <w:ilvl w:val="0"/>
          <w:numId w:val="14"/>
        </w:numPr>
        <w:spacing w:after="0" w:line="260" w:lineRule="exact"/>
        <w:jc w:val="both"/>
        <w:rPr>
          <w:rFonts w:ascii="Times New Roman" w:eastAsia="Times New Roman" w:hAnsi="Times New Roman" w:cs="Times New Roman"/>
          <w:noProof/>
        </w:rPr>
      </w:pPr>
      <w:r>
        <w:rPr>
          <w:rFonts w:ascii="Times New Roman" w:hAnsi="Times New Roman"/>
          <w:noProof/>
        </w:rPr>
        <w:t>ασυνήθιστη γεύση στο στόμα</w:t>
      </w:r>
    </w:p>
    <w:p w:rsidR="00271F6E" w:rsidRPr="007D082F" w:rsidRDefault="00745EAA" w:rsidP="00745EAA">
      <w:pPr>
        <w:pStyle w:val="a3"/>
        <w:numPr>
          <w:ilvl w:val="0"/>
          <w:numId w:val="14"/>
        </w:numPr>
        <w:spacing w:after="0" w:line="260" w:lineRule="exact"/>
        <w:jc w:val="both"/>
        <w:rPr>
          <w:rFonts w:ascii="Times New Roman" w:eastAsia="Times New Roman" w:hAnsi="Times New Roman" w:cs="Times New Roman"/>
          <w:noProof/>
        </w:rPr>
      </w:pPr>
      <w:r>
        <w:rPr>
          <w:rFonts w:ascii="Times New Roman" w:hAnsi="Times New Roman"/>
          <w:noProof/>
        </w:rPr>
        <w:t>κνίδωση, αυξημένη εφίδρωση</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Πολύ σπάνιες ανεπιθύμητες ενέργειες (ενδέχεται να επηρεάσουν έως και 1 στα 10.000 άτομα)</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διέγερση, άγχος</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κώμα, κρίσεις, συγκοπή (σύντομης διάρκειας απώλεια της συνείδησης), τάση λιποθυμίας (ζάλη και επαπειλούμενη απώλεια της συνείδησης), ζάλη, διαταραχή της όσφρησης (αντίληψη συχνά δυσάρεστων οσμών), τρέμουλο</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επιπεφυκίτιδα, κόκκινα μάτια, θολή όραση, αυξημένη έκκριση δακρύων, πρήξιμο στα μάτια</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καρδιακή ανακοπή, επιτάχυνση ή επιβράδυνση του καρδιακού ρυθμού, ακανόνιστος καρδιακός ρυθμός, αίσθημα παλμών, υψηλή ή χαμηλή αρτηριακή πίεση, αγγειακή διάταση, ωχρότητα</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αναπνευστική ανακοπή, πνευμονικό οίδημα, δυσκολίες στην αναπνοή, αίσθηση σφιξίματος στον λαιμό, συρίττουσα αναπνοή, βουλωμένη μύτη, πτέρνισμα, βήχας, ξηρός λαιμός</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διάρροια, στομαχικός πόνος, αυξημένη έκκριση σάλιου</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έκζεμα</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μυϊκές συσπάσεις, μυϊκή αδυναμία, πόνος στην πλάτη</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 xml:space="preserve">κακουχία, θωρακικός πόνος, θωρακική δυσφορία, πυρετός, ρίγη, πρήξιμο του προσώπου, κόπωση, δυσφορία στη θέση ένεσης, πρήξιμο στη θέση ένεσης, διάχυση του προϊόντος εκτός των αιμοφόρων αγγείων που μπορεί να οδηγήσει σε φλεγμονή (ερυθρότητα και τοπικός πόνος) ή νέκρωση του ιστού </w:t>
      </w:r>
      <w:r>
        <w:rPr>
          <w:rFonts w:ascii="Times New Roman" w:hAnsi="Times New Roman"/>
          <w:noProof/>
        </w:rPr>
        <w:lastRenderedPageBreak/>
        <w:t>στη θέση ένεσης, φλεγμονή φλέβας</w:t>
      </w:r>
    </w:p>
    <w:p w:rsidR="00271F6E" w:rsidRPr="007D082F" w:rsidRDefault="00745EAA" w:rsidP="00745EAA">
      <w:pPr>
        <w:pStyle w:val="a3"/>
        <w:numPr>
          <w:ilvl w:val="0"/>
          <w:numId w:val="15"/>
        </w:numPr>
        <w:spacing w:after="0" w:line="260" w:lineRule="exact"/>
        <w:jc w:val="both"/>
        <w:rPr>
          <w:rFonts w:ascii="Times New Roman" w:eastAsia="Times New Roman" w:hAnsi="Times New Roman" w:cs="Times New Roman"/>
          <w:noProof/>
        </w:rPr>
      </w:pPr>
      <w:r>
        <w:rPr>
          <w:rFonts w:ascii="Times New Roman" w:hAnsi="Times New Roman"/>
          <w:noProof/>
        </w:rPr>
        <w:t>μείωση του επιπέδου οξυγόνου στο αίμα</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147333"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Έχουν υπάρξει αναφορές νεφρογενούς συστηματικής ίνωσης (η οποία προκαλεί σκλήρυνση του δέρματος και ενδέχεται να επηρεάσει επίσης μαλακούς ιστούς και εσωτερικά όργανα), οι περισσότερες εκ των οποίων ήταν σε ασθενείς που έλαβαν Cyclolux μαζί με άλλους σκιαγραφικούς παράγοντες που περιείχαν γαδολίνιο. Εάν, κατά τις εβδομάδες που θα ακολουθήσουν την εξέταση μαγνητικής τομογραφίας, παρατηρήσετε μεταβολές του χρώματος ή/και του πάχους του δέρματός σας σε οποιοδήποτε μέρος του σώματος, ενημερώστε τον ακτινολόγο που πραγματοποίησε την εξέταση.</w:t>
      </w:r>
    </w:p>
    <w:p w:rsidR="00271F6E" w:rsidRPr="00147333"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FF00B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Εάν παρατηρήσετε κάποια ανεπιθύμητη ενέργεια, ενημερώστε </w:t>
      </w:r>
      <w:r w:rsidR="00116476">
        <w:rPr>
          <w:rFonts w:ascii="Times New Roman" w:hAnsi="Times New Roman"/>
          <w:noProof/>
        </w:rPr>
        <w:t>το γιατρό</w:t>
      </w:r>
      <w:r>
        <w:rPr>
          <w:rFonts w:ascii="Times New Roman" w:hAnsi="Times New Roman"/>
          <w:noProof/>
        </w:rPr>
        <w:t xml:space="preserve"> ή τον ακτινολόγο σας. Αυτό ισχύει και για κάθε </w:t>
      </w:r>
      <w:r w:rsidRPr="00FF00BF">
        <w:rPr>
          <w:rFonts w:ascii="Times New Roman" w:hAnsi="Times New Roman"/>
          <w:noProof/>
        </w:rPr>
        <w:t>πιθανή ανεπιθύμητη ενέργεια που δεν αναφέρεται στο παρόν φύλλο οδηγιών χρήσης.</w:t>
      </w:r>
    </w:p>
    <w:p w:rsidR="00271F6E" w:rsidRPr="00FF00BF" w:rsidRDefault="00271F6E" w:rsidP="00745EAA">
      <w:pPr>
        <w:tabs>
          <w:tab w:val="left" w:pos="567"/>
        </w:tabs>
        <w:spacing w:after="0" w:line="260" w:lineRule="exact"/>
        <w:jc w:val="both"/>
        <w:rPr>
          <w:rFonts w:ascii="Times New Roman" w:eastAsia="Times New Roman" w:hAnsi="Times New Roman" w:cs="Times New Roman"/>
          <w:noProof/>
        </w:rPr>
      </w:pPr>
    </w:p>
    <w:p w:rsidR="00147333" w:rsidRPr="00FF00BF" w:rsidRDefault="00147333" w:rsidP="00147333">
      <w:pPr>
        <w:tabs>
          <w:tab w:val="left" w:pos="567"/>
        </w:tabs>
        <w:spacing w:after="0" w:line="260" w:lineRule="exact"/>
        <w:jc w:val="both"/>
        <w:rPr>
          <w:rFonts w:ascii="Times New Roman" w:eastAsia="Times New Roman" w:hAnsi="Times New Roman" w:cs="Times New Roman"/>
          <w:b/>
          <w:noProof/>
          <w:szCs w:val="20"/>
        </w:rPr>
      </w:pPr>
      <w:r w:rsidRPr="00FF00BF">
        <w:rPr>
          <w:rFonts w:ascii="Times New Roman" w:hAnsi="Times New Roman"/>
          <w:b/>
          <w:noProof/>
        </w:rPr>
        <w:t>Αναφορά ανεπιθύμητων ενεργειών</w:t>
      </w:r>
    </w:p>
    <w:p w:rsidR="00EB38FF" w:rsidRPr="00FF00BF" w:rsidRDefault="00EB38FF" w:rsidP="00EB38FF">
      <w:pPr>
        <w:spacing w:after="0"/>
        <w:rPr>
          <w:rFonts w:ascii="Times New Roman" w:eastAsia="Times New Roman" w:hAnsi="Times New Roman" w:cs="Times New Roman"/>
          <w:spacing w:val="1"/>
        </w:rPr>
      </w:pPr>
      <w:r w:rsidRPr="00FF00BF">
        <w:rPr>
          <w:rFonts w:ascii="Times New Roman" w:eastAsia="Times New Roman" w:hAnsi="Times New Roman" w:cs="Times New Roman"/>
          <w:spacing w:val="1"/>
        </w:rPr>
        <w:t xml:space="preserve">Εάν παρατηρήσετε κάποια ανεπιθύμητη ενέργεια, ενημερώστε </w:t>
      </w:r>
      <w:r w:rsidR="00116476">
        <w:rPr>
          <w:rFonts w:ascii="Times New Roman" w:eastAsia="Times New Roman" w:hAnsi="Times New Roman" w:cs="Times New Roman"/>
          <w:spacing w:val="1"/>
        </w:rPr>
        <w:t>το γιατρό</w:t>
      </w:r>
      <w:r w:rsidRPr="00FF00BF">
        <w:rPr>
          <w:rFonts w:ascii="Times New Roman" w:eastAsia="Times New Roman" w:hAnsi="Times New Roman" w:cs="Times New Roman"/>
          <w:spacing w:val="1"/>
        </w:rPr>
        <w:t xml:space="preserve">, </w:t>
      </w:r>
      <w:r w:rsidR="00116476">
        <w:rPr>
          <w:rFonts w:ascii="Times New Roman" w:eastAsia="Times New Roman" w:hAnsi="Times New Roman" w:cs="Times New Roman"/>
          <w:spacing w:val="1"/>
        </w:rPr>
        <w:t>το φαρμακοποιό</w:t>
      </w:r>
      <w:r w:rsidRPr="00FF00BF">
        <w:rPr>
          <w:rFonts w:ascii="Times New Roman" w:eastAsia="Times New Roman" w:hAnsi="Times New Roman" w:cs="Times New Roman"/>
          <w:spacing w:val="1"/>
        </w:rPr>
        <w:t xml:space="preserve"> ή </w:t>
      </w:r>
      <w:r w:rsidR="00116476">
        <w:rPr>
          <w:rFonts w:ascii="Times New Roman" w:eastAsia="Times New Roman" w:hAnsi="Times New Roman" w:cs="Times New Roman"/>
          <w:spacing w:val="1"/>
        </w:rPr>
        <w:t>το</w:t>
      </w:r>
      <w:r w:rsidRPr="00FF00BF">
        <w:rPr>
          <w:rFonts w:ascii="Times New Roman" w:eastAsia="Times New Roman" w:hAnsi="Times New Roman" w:cs="Times New Roman"/>
          <w:spacing w:val="1"/>
        </w:rPr>
        <w:t xml:space="preserve">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GR-15562 Χολαργός, Αθήνα, Τηλ:+30 21 32040380/337, Φαξ: + 30 21 06549585, Ιστότοπος: </w:t>
      </w:r>
      <w:hyperlink r:id="rId8" w:history="1">
        <w:r w:rsidRPr="00FF00BF">
          <w:rPr>
            <w:rFonts w:ascii="Times New Roman" w:eastAsia="Times New Roman" w:hAnsi="Times New Roman" w:cs="Times New Roman"/>
            <w:spacing w:val="1"/>
          </w:rPr>
          <w:t>http://www.eof.gr</w:t>
        </w:r>
      </w:hyperlink>
      <w:r w:rsidRPr="00FF00BF">
        <w:rPr>
          <w:rFonts w:ascii="Times New Roman" w:eastAsia="Times New Roman" w:hAnsi="Times New Roman" w:cs="Times New Roman"/>
          <w:spacing w:val="1"/>
        </w:rPr>
        <w:t xml:space="preserve">. </w:t>
      </w:r>
    </w:p>
    <w:p w:rsidR="00147333" w:rsidRPr="00FF00BF" w:rsidRDefault="00EB38FF" w:rsidP="00EB38FF">
      <w:pPr>
        <w:tabs>
          <w:tab w:val="left" w:pos="567"/>
        </w:tabs>
        <w:spacing w:after="0" w:line="260" w:lineRule="exact"/>
        <w:jc w:val="both"/>
        <w:rPr>
          <w:rFonts w:ascii="Times New Roman" w:eastAsia="Times New Roman" w:hAnsi="Times New Roman" w:cs="Times New Roman"/>
          <w:noProof/>
        </w:rPr>
      </w:pPr>
      <w:r w:rsidRPr="00FF00BF">
        <w:rPr>
          <w:rFonts w:ascii="Times New Roman" w:eastAsia="Times New Roman" w:hAnsi="Times New Roman" w:cs="Times New Roman"/>
          <w:spacing w:val="1"/>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271F6E" w:rsidRPr="00FF00BF" w:rsidRDefault="00271F6E" w:rsidP="00745EAA">
      <w:pPr>
        <w:widowControl/>
        <w:spacing w:after="0" w:line="240" w:lineRule="auto"/>
        <w:ind w:left="567" w:right="-2" w:hanging="567"/>
        <w:jc w:val="both"/>
        <w:rPr>
          <w:rFonts w:ascii="Times New Roman" w:eastAsia="Times New Roman" w:hAnsi="Times New Roman" w:cs="Times New Roman"/>
          <w:b/>
          <w:noProof/>
        </w:rPr>
      </w:pPr>
    </w:p>
    <w:p w:rsidR="00271F6E" w:rsidRPr="00BA70F0" w:rsidRDefault="00745EAA" w:rsidP="00BA70F0">
      <w:pPr>
        <w:widowControl/>
        <w:spacing w:after="0" w:line="240" w:lineRule="auto"/>
        <w:ind w:left="709" w:right="-2" w:hanging="709"/>
        <w:jc w:val="both"/>
        <w:rPr>
          <w:rFonts w:ascii="Times New Roman" w:eastAsia="Times New Roman" w:hAnsi="Times New Roman" w:cs="Times New Roman"/>
          <w:b/>
          <w:caps/>
          <w:noProof/>
        </w:rPr>
      </w:pPr>
      <w:r w:rsidRPr="00FF00BF">
        <w:rPr>
          <w:rFonts w:ascii="Times New Roman" w:hAnsi="Times New Roman"/>
          <w:b/>
          <w:caps/>
          <w:noProof/>
        </w:rPr>
        <w:t>5.</w:t>
      </w:r>
      <w:r w:rsidRPr="00FF00BF">
        <w:tab/>
      </w:r>
      <w:r w:rsidRPr="00FF00BF">
        <w:rPr>
          <w:rFonts w:ascii="Times New Roman" w:hAnsi="Times New Roman"/>
          <w:b/>
          <w:caps/>
          <w:noProof/>
        </w:rPr>
        <w:t>Πώς να φυλάσσετ</w:t>
      </w:r>
      <w:r w:rsidR="00116476">
        <w:rPr>
          <w:rFonts w:ascii="Times New Roman" w:hAnsi="Times New Roman"/>
          <w:b/>
          <w:caps/>
          <w:noProof/>
        </w:rPr>
        <w:t>ε</w:t>
      </w:r>
      <w:r w:rsidRPr="00FF00BF">
        <w:rPr>
          <w:rFonts w:ascii="Times New Roman" w:hAnsi="Times New Roman"/>
          <w:b/>
          <w:caps/>
          <w:noProof/>
        </w:rPr>
        <w:t xml:space="preserve"> το CYCLOLUX</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φάρμακο αυτό πρέπει να φυλάσσεται σε μέρη που δεν το βλέπουν και δεν το φθάνουν τα παιδιά.</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φαρμακευτικό αυτό προϊόν δεν απαιτεί ιδιαίτερες προφυλάξεις για τη φύλαξή του.</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6204E8" w:rsidRPr="00F33226" w:rsidRDefault="006204E8"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Η χημική και φυσική σταθερότητα κατά τη χρήση έχει δειχθεί για 72 ώρες σε θερμοκρασία δωματίου. Από μικροβιολογικής άποψης, το προϊόν πρέπει να χρησιμοποιηθεί αμέσως. Εάν δεν χρησιμοποιηθεί αμέσως, οι χρόνοι και συνθήκες αποθήκευσης πριν τη χρήση αποτελούν ευθύνη του χρήστη και κανονικά δεν πρέπει να υπερβαίνουν τις 24 ώρες σε θερμοκρασία 2 έως 8°C, εκτός εάν το άνοιγμα πραγματοποιήθηκε σε ελεγχόμενες και αξιόπιστα άσηπτες συνθήκες.</w:t>
      </w:r>
    </w:p>
    <w:p w:rsidR="006204E8" w:rsidRDefault="006204E8"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Να μη χρησιμοποιείτε αυτό το φάρμακο μετά την ημερομηνία λήξης που αναφέρεται στο φιαλίδιο και στο κουτί μετά το «ΛΗΞΗ». Η ημερομηνία λήξης είναι η τελευταία ημέρα του μήνα που αναφέρεται εκεί.</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BA70F0" w:rsidRDefault="00745EAA" w:rsidP="00745EAA">
      <w:pPr>
        <w:widowControl/>
        <w:spacing w:after="0" w:line="240" w:lineRule="auto"/>
        <w:ind w:right="-2"/>
        <w:jc w:val="both"/>
        <w:rPr>
          <w:rFonts w:ascii="Times New Roman" w:eastAsia="Times New Roman" w:hAnsi="Times New Roman" w:cs="Times New Roman"/>
          <w:b/>
          <w:caps/>
          <w:noProof/>
        </w:rPr>
      </w:pPr>
      <w:r>
        <w:rPr>
          <w:rFonts w:ascii="Times New Roman" w:hAnsi="Times New Roman"/>
          <w:b/>
          <w:caps/>
          <w:noProof/>
        </w:rPr>
        <w:t>6.</w:t>
      </w:r>
      <w:r>
        <w:tab/>
      </w:r>
      <w:r>
        <w:rPr>
          <w:rFonts w:ascii="Times New Roman" w:hAnsi="Times New Roman"/>
          <w:b/>
          <w:caps/>
          <w:noProof/>
        </w:rPr>
        <w:t>Περιεχόμενο της συσκευασίας και λοιπές πληροφορίες</w:t>
      </w:r>
    </w:p>
    <w:p w:rsidR="00271F6E" w:rsidRPr="007D082F" w:rsidRDefault="00271F6E" w:rsidP="00745EAA">
      <w:pPr>
        <w:tabs>
          <w:tab w:val="left" w:pos="567"/>
        </w:tabs>
        <w:spacing w:after="0" w:line="260" w:lineRule="exact"/>
        <w:jc w:val="both"/>
        <w:rPr>
          <w:rFonts w:ascii="Times New Roman" w:eastAsia="Times New Roman" w:hAnsi="Times New Roman" w:cs="Times New Roman"/>
          <w:b/>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Τι περιέχει το Cyclolux</w:t>
      </w:r>
    </w:p>
    <w:p w:rsidR="00271F6E" w:rsidRPr="007D082F" w:rsidRDefault="00745EAA" w:rsidP="00745EAA">
      <w:pPr>
        <w:pStyle w:val="a3"/>
        <w:numPr>
          <w:ilvl w:val="0"/>
          <w:numId w:val="16"/>
        </w:numPr>
        <w:spacing w:after="0" w:line="260" w:lineRule="exact"/>
        <w:jc w:val="both"/>
        <w:rPr>
          <w:rFonts w:ascii="Times New Roman" w:eastAsia="Times New Roman" w:hAnsi="Times New Roman" w:cs="Times New Roman"/>
          <w:noProof/>
        </w:rPr>
      </w:pPr>
      <w:r>
        <w:rPr>
          <w:rFonts w:ascii="Times New Roman" w:hAnsi="Times New Roman"/>
          <w:noProof/>
        </w:rPr>
        <w:t>Η δραστική ουσία είναι το γαδοτερικό οξύ. Ένα κυβικό εκατοστό ενέσιμου διαλύματος περιέχει 279,32 mg γαδοτερικού οξέος (ως άλας μεγλουμίνη</w:t>
      </w:r>
      <w:r w:rsidR="00417988">
        <w:rPr>
          <w:rFonts w:ascii="Times New Roman" w:hAnsi="Times New Roman"/>
          <w:noProof/>
        </w:rPr>
        <w:t>ς</w:t>
      </w:r>
      <w:r>
        <w:rPr>
          <w:rFonts w:ascii="Times New Roman" w:hAnsi="Times New Roman"/>
          <w:noProof/>
        </w:rPr>
        <w:t>), ισοδύναμα με 0,5 mmol γαδοτερικού οξέος (ως άλας μεγλουμίνη</w:t>
      </w:r>
      <w:r w:rsidR="00417988">
        <w:rPr>
          <w:rFonts w:ascii="Times New Roman" w:hAnsi="Times New Roman"/>
          <w:noProof/>
        </w:rPr>
        <w:t>ς</w:t>
      </w:r>
      <w:r>
        <w:rPr>
          <w:rFonts w:ascii="Times New Roman" w:hAnsi="Times New Roman"/>
          <w:noProof/>
        </w:rPr>
        <w:t>).</w:t>
      </w:r>
    </w:p>
    <w:p w:rsidR="00271F6E" w:rsidRPr="007D082F" w:rsidRDefault="00745EAA" w:rsidP="00745EAA">
      <w:pPr>
        <w:pStyle w:val="a3"/>
        <w:numPr>
          <w:ilvl w:val="0"/>
          <w:numId w:val="16"/>
        </w:numPr>
        <w:spacing w:after="0" w:line="260" w:lineRule="exact"/>
        <w:jc w:val="both"/>
        <w:rPr>
          <w:rFonts w:ascii="Times New Roman" w:eastAsia="Times New Roman" w:hAnsi="Times New Roman" w:cs="Times New Roman"/>
          <w:noProof/>
        </w:rPr>
      </w:pPr>
      <w:r>
        <w:rPr>
          <w:rFonts w:ascii="Times New Roman" w:hAnsi="Times New Roman"/>
          <w:noProof/>
        </w:rPr>
        <w:t>Τα άλλα συστατικά είναι μεγλουμίνη, DOTA και ύδωρ για ενέσιμα.</w:t>
      </w:r>
    </w:p>
    <w:p w:rsidR="00271F6E" w:rsidRPr="007D082F" w:rsidRDefault="00271F6E" w:rsidP="00745EAA">
      <w:pPr>
        <w:spacing w:after="0" w:line="200" w:lineRule="exact"/>
        <w:jc w:val="both"/>
        <w:rPr>
          <w:rFonts w:ascii="Times New Roman" w:hAnsi="Times New Roman" w:cs="Times New Roman"/>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Εμφάνιση του Cyclolux και περιεχόμενο της συσκευασίας</w:t>
      </w:r>
    </w:p>
    <w:p w:rsidR="00271F6E" w:rsidRPr="007D082F"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Cyclolux είναι ένα διαυγές, άχρωμο έως κίτρινο διάλυμα για ενδοφλέβια ένεση.</w:t>
      </w:r>
    </w:p>
    <w:p w:rsid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Η συσκευασία Cyclolux περιέχει ένα ή δέκα φιαλίδια με 10, 15 και 20 ml ενέσιμου διαλύματος</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Μπορεί να μην κυκλοφορούν όλες οι συσκευασίες.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Κάτοχος άδειας κυκλοφορίας</w:t>
      </w:r>
    </w:p>
    <w:p w:rsidR="00271F6E" w:rsidRPr="00097F9A"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Sanochemia Pharmazeutika AG</w:t>
      </w:r>
    </w:p>
    <w:p w:rsidR="00147333" w:rsidRPr="00F33226"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Boltzmanngasse 11</w:t>
      </w:r>
    </w:p>
    <w:p w:rsidR="00147333" w:rsidRPr="00F33226"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1090 Vienna, Αυστρία</w:t>
      </w:r>
    </w:p>
    <w:p w:rsidR="00271F6E" w:rsidRPr="00F33226" w:rsidRDefault="00271F6E" w:rsidP="00745EAA">
      <w:pPr>
        <w:tabs>
          <w:tab w:val="left" w:pos="567"/>
        </w:tabs>
        <w:spacing w:after="0" w:line="260" w:lineRule="exact"/>
        <w:jc w:val="both"/>
        <w:rPr>
          <w:rFonts w:ascii="Times New Roman" w:eastAsia="Times New Roman" w:hAnsi="Times New Roman" w:cs="Times New Roman"/>
          <w:noProof/>
        </w:rPr>
      </w:pPr>
    </w:p>
    <w:p w:rsidR="00147333" w:rsidRPr="00F33226" w:rsidRDefault="00147333" w:rsidP="00147333">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Παραγωγός</w:t>
      </w:r>
    </w:p>
    <w:p w:rsidR="00147333" w:rsidRPr="002D6936" w:rsidRDefault="00147333" w:rsidP="00147333">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lastRenderedPageBreak/>
        <w:t>Sanochemia Pharmazeutika AG</w:t>
      </w:r>
    </w:p>
    <w:p w:rsidR="00147333" w:rsidRPr="004641A3" w:rsidRDefault="00147333" w:rsidP="00147333">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Landeggerstrasse 7</w:t>
      </w:r>
    </w:p>
    <w:p w:rsidR="00147333" w:rsidRPr="00097F9A" w:rsidRDefault="00147333" w:rsidP="00147333">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2491 Neufeld/Leitha, Αυστρία</w:t>
      </w:r>
    </w:p>
    <w:p w:rsidR="00147333" w:rsidRPr="00F33226" w:rsidRDefault="00147333" w:rsidP="00745EAA">
      <w:pPr>
        <w:tabs>
          <w:tab w:val="left" w:pos="567"/>
        </w:tabs>
        <w:spacing w:after="0" w:line="260" w:lineRule="exact"/>
        <w:jc w:val="both"/>
        <w:rPr>
          <w:rFonts w:ascii="Times New Roman" w:eastAsia="Times New Roman" w:hAnsi="Times New Roman" w:cs="Times New Roman"/>
          <w:noProof/>
        </w:rPr>
      </w:pPr>
    </w:p>
    <w:p w:rsidR="006F765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 xml:space="preserve">Αυτό το φαρμακευτικό προϊόν έχει εγκριθεί στα Κράτη Μέλη του Ευρωπαϊκού Οικονομικού Χώρου (ΕΟΧ) με τις ακόλουθες ονομασίες: </w:t>
      </w:r>
    </w:p>
    <w:p w:rsidR="006F765F" w:rsidRPr="00F33226" w:rsidRDefault="006F765F" w:rsidP="00745EAA">
      <w:pPr>
        <w:tabs>
          <w:tab w:val="left" w:pos="567"/>
        </w:tabs>
        <w:spacing w:after="0" w:line="260" w:lineRule="exact"/>
        <w:jc w:val="both"/>
        <w:rPr>
          <w:rFonts w:ascii="Times New Roman" w:eastAsia="Times New Roman" w:hAnsi="Times New Roman" w:cs="Times New Roman"/>
          <w:noProof/>
        </w:rPr>
      </w:pPr>
    </w:p>
    <w:p w:rsidR="00097F9A" w:rsidRPr="00F33226" w:rsidRDefault="00097F9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rPr>
        <w:t>Cyclolux 0.5 mmol/ml Injektionslösung (</w:t>
      </w:r>
      <w:r>
        <w:rPr>
          <w:rFonts w:ascii="Times New Roman" w:hAnsi="Times New Roman"/>
          <w:b/>
          <w:noProof/>
        </w:rPr>
        <w:t>Γερμανία</w:t>
      </w:r>
      <w:r>
        <w:rPr>
          <w:rFonts w:ascii="Times New Roman" w:hAnsi="Times New Roman"/>
        </w:rPr>
        <w:t>)</w:t>
      </w:r>
    </w:p>
    <w:p w:rsidR="00097F9A" w:rsidRPr="00F33226" w:rsidRDefault="00097F9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rPr>
        <w:t>Cyclolux 0,5 mmol/ml Injektionslösung (</w:t>
      </w:r>
      <w:r>
        <w:rPr>
          <w:rFonts w:ascii="Times New Roman" w:hAnsi="Times New Roman"/>
          <w:b/>
          <w:noProof/>
        </w:rPr>
        <w:t>Αυστρία</w:t>
      </w:r>
      <w:r>
        <w:rPr>
          <w:rFonts w:ascii="Times New Roman" w:hAnsi="Times New Roman"/>
        </w:rPr>
        <w:t>)</w:t>
      </w:r>
    </w:p>
    <w:p w:rsidR="00097F9A" w:rsidRPr="00F33226" w:rsidRDefault="00097F9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rPr>
        <w:t>Cyclolux 279 MG/ML INJEKČNÍ ROZTOK (</w:t>
      </w:r>
      <w:r>
        <w:rPr>
          <w:rFonts w:ascii="Times New Roman" w:hAnsi="Times New Roman"/>
          <w:b/>
          <w:noProof/>
        </w:rPr>
        <w:t>Τσεχική Δημοκρατία</w:t>
      </w:r>
      <w:r>
        <w:rPr>
          <w:rFonts w:ascii="Times New Roman" w:hAnsi="Times New Roman"/>
        </w:rPr>
        <w:t>)</w:t>
      </w:r>
    </w:p>
    <w:p w:rsidR="00097F9A" w:rsidRPr="008B05CE" w:rsidRDefault="00097F9A" w:rsidP="00745EAA">
      <w:pPr>
        <w:tabs>
          <w:tab w:val="left" w:pos="567"/>
        </w:tabs>
        <w:spacing w:after="0" w:line="260" w:lineRule="exact"/>
        <w:jc w:val="both"/>
        <w:rPr>
          <w:rFonts w:ascii="Times New Roman" w:eastAsia="Times New Roman" w:hAnsi="Times New Roman" w:cs="Times New Roman"/>
          <w:noProof/>
          <w:lang w:val="en-US"/>
        </w:rPr>
      </w:pPr>
      <w:r w:rsidRPr="008B05CE">
        <w:rPr>
          <w:rFonts w:ascii="Times New Roman" w:hAnsi="Times New Roman"/>
          <w:lang w:val="en-US"/>
        </w:rPr>
        <w:t>Cyclolux 0.5 mmol/ml solution for injection (</w:t>
      </w:r>
      <w:r>
        <w:rPr>
          <w:rFonts w:ascii="Times New Roman" w:hAnsi="Times New Roman"/>
          <w:b/>
          <w:noProof/>
        </w:rPr>
        <w:t>Ηνωμένο</w:t>
      </w:r>
      <w:r w:rsidRPr="008B05CE">
        <w:rPr>
          <w:rFonts w:ascii="Times New Roman" w:hAnsi="Times New Roman"/>
          <w:b/>
          <w:noProof/>
          <w:lang w:val="en-US"/>
        </w:rPr>
        <w:t xml:space="preserve"> </w:t>
      </w:r>
      <w:r>
        <w:rPr>
          <w:rFonts w:ascii="Times New Roman" w:hAnsi="Times New Roman"/>
          <w:b/>
          <w:noProof/>
        </w:rPr>
        <w:t>Βασίλειο</w:t>
      </w:r>
      <w:r w:rsidRPr="008B05CE">
        <w:rPr>
          <w:rFonts w:ascii="Times New Roman" w:hAnsi="Times New Roman"/>
          <w:lang w:val="en-US"/>
        </w:rPr>
        <w:t>)</w:t>
      </w:r>
    </w:p>
    <w:p w:rsidR="00E83684" w:rsidRPr="00F33226" w:rsidRDefault="00097F9A" w:rsidP="00E83684">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Cyclolux (</w:t>
      </w:r>
      <w:r>
        <w:rPr>
          <w:rFonts w:ascii="Times New Roman" w:hAnsi="Times New Roman"/>
          <w:b/>
          <w:noProof/>
        </w:rPr>
        <w:t xml:space="preserve">Ελλάδα, </w:t>
      </w:r>
      <w:r w:rsidRPr="00FF00BF">
        <w:rPr>
          <w:rFonts w:ascii="Times New Roman" w:hAnsi="Times New Roman"/>
          <w:b/>
          <w:noProof/>
        </w:rPr>
        <w:t>Ουγγαρία, Πολωνία, Ισπανία</w:t>
      </w:r>
      <w:r w:rsidRPr="00FF00BF">
        <w:rPr>
          <w:rFonts w:ascii="Times New Roman" w:hAnsi="Times New Roman"/>
          <w:noProof/>
        </w:rPr>
        <w:t>)</w:t>
      </w:r>
    </w:p>
    <w:p w:rsidR="00E83684" w:rsidRPr="008B05CE" w:rsidRDefault="00E83684" w:rsidP="00E83684">
      <w:pPr>
        <w:tabs>
          <w:tab w:val="left" w:pos="567"/>
        </w:tabs>
        <w:spacing w:after="0" w:line="260" w:lineRule="exact"/>
        <w:jc w:val="both"/>
        <w:rPr>
          <w:rFonts w:ascii="Times New Roman" w:eastAsia="Times New Roman" w:hAnsi="Times New Roman" w:cs="Times New Roman"/>
          <w:b/>
          <w:noProof/>
          <w:lang w:val="en-US"/>
        </w:rPr>
      </w:pPr>
      <w:r w:rsidRPr="008B05CE">
        <w:rPr>
          <w:rFonts w:ascii="Times New Roman" w:hAnsi="Times New Roman" w:cs="Times New Roman"/>
          <w:lang w:val="en-US"/>
        </w:rPr>
        <w:t>Cyclolux 0,5 mmol/ml Injek</w:t>
      </w:r>
      <w:r w:rsidRPr="008B05CE">
        <w:rPr>
          <w:rFonts w:ascii="Times New Roman" w:hAnsi="Times New Roman" w:cs="Times New Roman" w:hint="eastAsia"/>
          <w:lang w:val="en-US"/>
        </w:rPr>
        <w:t>č</w:t>
      </w:r>
      <w:r w:rsidRPr="008B05CE">
        <w:rPr>
          <w:rFonts w:ascii="Times New Roman" w:hAnsi="Times New Roman" w:cs="Times New Roman"/>
          <w:lang w:val="en-US"/>
        </w:rPr>
        <w:t>ný roztok</w:t>
      </w:r>
      <w:r w:rsidRPr="008B05CE">
        <w:rPr>
          <w:rFonts w:ascii="Times New Roman" w:eastAsia="Times New Roman" w:hAnsi="Times New Roman" w:cs="Times New Roman"/>
          <w:noProof/>
          <w:lang w:val="en-US"/>
        </w:rPr>
        <w:t xml:space="preserve"> (</w:t>
      </w:r>
      <w:r w:rsidRPr="008B05CE">
        <w:rPr>
          <w:rFonts w:ascii="Times New Roman" w:eastAsia="Times New Roman" w:hAnsi="Times New Roman" w:cs="Times New Roman"/>
          <w:b/>
          <w:noProof/>
          <w:lang w:val="en-US"/>
        </w:rPr>
        <w:t>Slovak Republic</w:t>
      </w:r>
      <w:r w:rsidRPr="008B05CE">
        <w:rPr>
          <w:rFonts w:ascii="Times New Roman" w:eastAsia="Times New Roman" w:hAnsi="Times New Roman" w:cs="Times New Roman"/>
          <w:noProof/>
          <w:lang w:val="en-US"/>
        </w:rPr>
        <w:t>)</w:t>
      </w:r>
    </w:p>
    <w:p w:rsidR="00963E37" w:rsidRDefault="00963E37" w:rsidP="00745EAA">
      <w:pPr>
        <w:tabs>
          <w:tab w:val="left" w:pos="567"/>
        </w:tabs>
        <w:spacing w:after="0" w:line="260" w:lineRule="exact"/>
        <w:jc w:val="both"/>
        <w:rPr>
          <w:rFonts w:ascii="Times New Roman" w:hAnsi="Times New Roman"/>
          <w:b/>
          <w:noProof/>
          <w:lang w:val="de-DE"/>
        </w:rPr>
      </w:pPr>
    </w:p>
    <w:p w:rsidR="00271F6E" w:rsidRPr="00FF00BF" w:rsidRDefault="00EC6C85" w:rsidP="00745EAA">
      <w:pPr>
        <w:tabs>
          <w:tab w:val="left" w:pos="567"/>
        </w:tabs>
        <w:spacing w:after="0" w:line="260" w:lineRule="exact"/>
        <w:jc w:val="both"/>
        <w:rPr>
          <w:rFonts w:ascii="Times New Roman" w:eastAsia="Times New Roman" w:hAnsi="Times New Roman" w:cs="Times New Roman"/>
          <w:noProof/>
        </w:rPr>
      </w:pPr>
      <w:r w:rsidRPr="00FF00BF">
        <w:rPr>
          <w:rFonts w:ascii="Times New Roman" w:hAnsi="Times New Roman"/>
          <w:b/>
          <w:noProof/>
        </w:rPr>
        <w:t>Το παρόν φύλλο οδηγιών χρήσης α</w:t>
      </w:r>
      <w:r w:rsidR="00312513">
        <w:rPr>
          <w:rFonts w:ascii="Times New Roman" w:hAnsi="Times New Roman"/>
          <w:b/>
          <w:noProof/>
        </w:rPr>
        <w:t xml:space="preserve">ναθεωρήθηκε για τελευταία φορά </w:t>
      </w:r>
      <w:r w:rsidR="00312513" w:rsidRPr="00312513">
        <w:rPr>
          <w:rFonts w:ascii="Times New Roman" w:hAnsi="Times New Roman"/>
          <w:b/>
          <w:noProof/>
        </w:rPr>
        <w:t>τον</w:t>
      </w:r>
      <w:r w:rsidR="005C1A68" w:rsidRPr="00312513">
        <w:rPr>
          <w:rFonts w:ascii="Times New Roman" w:hAnsi="Times New Roman"/>
          <w:b/>
          <w:noProof/>
        </w:rPr>
        <w:t xml:space="preserve"> </w:t>
      </w:r>
    </w:p>
    <w:p w:rsidR="00271F6E" w:rsidRPr="007D082F" w:rsidRDefault="00745EAA" w:rsidP="00745EAA">
      <w:pPr>
        <w:spacing w:after="0" w:line="240" w:lineRule="auto"/>
        <w:ind w:left="102" w:right="-20"/>
        <w:jc w:val="both"/>
        <w:rPr>
          <w:rFonts w:ascii="Times New Roman" w:eastAsia="Times New Roman" w:hAnsi="Times New Roman" w:cs="Times New Roman"/>
        </w:rPr>
      </w:pPr>
      <w:r w:rsidRPr="00FF00BF">
        <w:rPr>
          <w:rFonts w:ascii="Times New Roman" w:hAnsi="Times New Roman"/>
          <w:w w:val="102"/>
        </w:rPr>
        <w:t>-----------------------------------------------------------------------------------------------------------------------------------</w:t>
      </w:r>
    </w:p>
    <w:p w:rsidR="00745EAA" w:rsidRPr="007D082F" w:rsidRDefault="00745EAA">
      <w:pPr>
        <w:rPr>
          <w:rFonts w:ascii="Times New Roman" w:eastAsia="Times New Roman" w:hAnsi="Times New Roman" w:cs="Times New Roman"/>
          <w:noProof/>
        </w:rPr>
      </w:pPr>
      <w:r>
        <w:br w:type="page"/>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Οι πληροφορίες που ακολουθούν απευθύνονται μόνο σε γιατρούς ή επαγγελματίες του τομέα υγειονομικής περίθαλψης: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113B37" w:rsidRDefault="00745EAA" w:rsidP="00745EAA">
      <w:pPr>
        <w:tabs>
          <w:tab w:val="left" w:pos="567"/>
        </w:tabs>
        <w:spacing w:after="0" w:line="260" w:lineRule="exact"/>
        <w:jc w:val="both"/>
        <w:rPr>
          <w:rFonts w:ascii="Times New Roman" w:hAnsi="Times New Roman"/>
          <w:b/>
          <w:noProof/>
        </w:rPr>
      </w:pPr>
      <w:r>
        <w:rPr>
          <w:rFonts w:ascii="Times New Roman" w:hAnsi="Times New Roman"/>
          <w:b/>
          <w:noProof/>
        </w:rPr>
        <w:t>Δοσολογία</w:t>
      </w:r>
    </w:p>
    <w:p w:rsidR="00096616" w:rsidRPr="00113B37" w:rsidRDefault="00096616" w:rsidP="00745EAA">
      <w:pPr>
        <w:tabs>
          <w:tab w:val="left" w:pos="567"/>
        </w:tabs>
        <w:spacing w:after="0" w:line="260" w:lineRule="exact"/>
        <w:jc w:val="both"/>
        <w:rPr>
          <w:rFonts w:ascii="Times New Roman" w:hAnsi="Times New Roman"/>
          <w:noProof/>
        </w:rPr>
      </w:pPr>
    </w:p>
    <w:p w:rsidR="00096616" w:rsidRPr="00113B37" w:rsidRDefault="00096616" w:rsidP="00113B37">
      <w:pPr>
        <w:tabs>
          <w:tab w:val="left" w:pos="567"/>
        </w:tabs>
        <w:spacing w:after="0" w:line="260" w:lineRule="exact"/>
        <w:jc w:val="both"/>
        <w:rPr>
          <w:rFonts w:ascii="Times New Roman" w:hAnsi="Times New Roman"/>
          <w:noProof/>
        </w:rPr>
      </w:pPr>
      <w:r w:rsidRPr="00113B37">
        <w:rPr>
          <w:rFonts w:ascii="Times New Roman" w:hAnsi="Times New Roman"/>
          <w:noProof/>
        </w:rPr>
        <w:t>Πρέπει να χρησιμοποιείται η χαμηλότερη δόση που παρέχει επαρκή ενίσχυση για διαγνωστικούς σκοπούς. Η δόση πρέπει να υπολογίζεται με βάση το σωματικό βάρος του ασθενούς και δεν πρέπει να υπερβαίνει τη συνιστώμενη δόση ανά χιλιόγραμμο σωματικού βάρους που καθορίζεται σε αυτήν την παράγραφο.</w:t>
      </w:r>
    </w:p>
    <w:p w:rsidR="00096616" w:rsidRPr="00963E37" w:rsidRDefault="00096616" w:rsidP="00745EAA">
      <w:pPr>
        <w:tabs>
          <w:tab w:val="left" w:pos="567"/>
        </w:tabs>
        <w:spacing w:after="0" w:line="260" w:lineRule="exact"/>
        <w:jc w:val="both"/>
        <w:rPr>
          <w:rFonts w:ascii="Times New Roman" w:eastAsia="Times New Roman" w:hAnsi="Times New Roman" w:cs="Times New Roman"/>
          <w:b/>
          <w:noProof/>
        </w:rPr>
      </w:pPr>
    </w:p>
    <w:p w:rsidR="00271F6E" w:rsidRPr="007D082F" w:rsidRDefault="00745EAA" w:rsidP="007D082F">
      <w:pPr>
        <w:pStyle w:val="a3"/>
        <w:numPr>
          <w:ilvl w:val="0"/>
          <w:numId w:val="5"/>
        </w:numPr>
        <w:spacing w:after="0" w:line="260" w:lineRule="exact"/>
        <w:rPr>
          <w:rFonts w:ascii="Times New Roman" w:eastAsia="Times New Roman" w:hAnsi="Times New Roman" w:cs="Times New Roman"/>
          <w:noProof/>
        </w:rPr>
      </w:pPr>
      <w:r>
        <w:rPr>
          <w:rFonts w:ascii="Times New Roman" w:hAnsi="Times New Roman"/>
          <w:noProof/>
        </w:rPr>
        <w:t>MRI εγκεφάλου και σπονδυλικής στήλης: Σε νευρολογικές εξετάσεις, η δόση μπορεί να κυμαίνεται από 0,1 έως 0,3 mmol/kg σ.β., που αντιστοιχούν σε 0,2 έως 0,6 ml/kg σ.β. Μετά από χορήγηση 0,1 mmol/kg σ.β. σε ασθενείς με εγκεφαλικούς όγκους, μια επιπρόσθετη δόση 0,2 mmol/kg σ.β. ενδέχεται να βελτιώσει τον χαρακτηρισμό του όγκου και να διευκολύνει τη λήψη αποφάσεων σχετικά με τη θεραπεία.</w:t>
      </w:r>
    </w:p>
    <w:p w:rsidR="00271F6E" w:rsidRPr="007D082F" w:rsidRDefault="00745EAA" w:rsidP="007D082F">
      <w:pPr>
        <w:pStyle w:val="a3"/>
        <w:numPr>
          <w:ilvl w:val="0"/>
          <w:numId w:val="5"/>
        </w:numPr>
        <w:spacing w:after="0" w:line="260" w:lineRule="exact"/>
        <w:rPr>
          <w:rFonts w:ascii="Times New Roman" w:eastAsia="Times New Roman" w:hAnsi="Times New Roman" w:cs="Times New Roman"/>
          <w:noProof/>
        </w:rPr>
      </w:pPr>
      <w:r>
        <w:rPr>
          <w:rFonts w:ascii="Times New Roman" w:hAnsi="Times New Roman"/>
          <w:noProof/>
        </w:rPr>
        <w:t>MRI άλλων οργάνων και αγγειογραφία: Η συνιστώμενη δόση για ενδοφλέβια ένεση είναι 0,1 mmol/kg (δηλαδή 0,2 ml/kg) προκειμένου να επιτευχθεί διαγνωστικά επαρκής αντίθεση.</w:t>
      </w:r>
    </w:p>
    <w:p w:rsidR="00271F6E" w:rsidRPr="007D082F" w:rsidRDefault="00745EAA" w:rsidP="00745EAA">
      <w:pPr>
        <w:pStyle w:val="a3"/>
        <w:numPr>
          <w:ilvl w:val="0"/>
          <w:numId w:val="5"/>
        </w:numPr>
        <w:spacing w:after="0" w:line="260" w:lineRule="exact"/>
        <w:jc w:val="both"/>
        <w:rPr>
          <w:rFonts w:ascii="Times New Roman" w:eastAsia="Times New Roman" w:hAnsi="Times New Roman" w:cs="Times New Roman"/>
          <w:noProof/>
        </w:rPr>
      </w:pPr>
      <w:r>
        <w:rPr>
          <w:rFonts w:ascii="Times New Roman" w:hAnsi="Times New Roman"/>
          <w:noProof/>
        </w:rPr>
        <w:t>Αγγειογραφία: Σε εξαιρετικές περιστάσεις (π.χ. αδυναμία επίτευξης ικανοποιητικών εικόνων μιας εκτεταμένης αγγειακής περιοχής) ενδέχεται να είναι δικαιολογημένη η χορήγηση δεύτερης διαδοχικής ένεσης 0,1 mmol/kg σ.β., ισοδύναμων με 0,2 ml/kg σ.β. Ωστόσο, αν αναμένεται η χρήση 2 διαδοχικών δόσεων Cyclolux πριν από την εκκίνηση της αγγειογραφίας, η χρήση 0,05 mmol/kg σ.β., ισοδύναμων με 0,1 ml/kg σ.β. για κάθε δόση ενδέχεται να είναι ωφέλιμη, ανάλογα με τον διαθέσιμο απεικονιστικό εξοπλισμό.</w:t>
      </w:r>
    </w:p>
    <w:p w:rsidR="00271F6E" w:rsidRPr="007D082F" w:rsidRDefault="00745EAA" w:rsidP="007D082F">
      <w:pPr>
        <w:pStyle w:val="a3"/>
        <w:numPr>
          <w:ilvl w:val="0"/>
          <w:numId w:val="5"/>
        </w:numPr>
        <w:spacing w:after="0" w:line="260" w:lineRule="exact"/>
        <w:rPr>
          <w:rFonts w:ascii="Times New Roman" w:eastAsia="Times New Roman" w:hAnsi="Times New Roman" w:cs="Times New Roman"/>
          <w:noProof/>
        </w:rPr>
      </w:pPr>
      <w:r>
        <w:rPr>
          <w:rFonts w:ascii="Times New Roman" w:hAnsi="Times New Roman"/>
          <w:noProof/>
        </w:rPr>
        <w:t>Παιδιά: Η δόση 0,1 mmol/kg σ.β. εφαρμόζεται σε όλες τις ενδείξεις εκτός της αγγειογραφίας, λόγω του ότι δεν υπάρχουν επαρκή δεδομένα για την αποτελεσματικότη</w:t>
      </w:r>
      <w:r w:rsidR="00A82686">
        <w:rPr>
          <w:rFonts w:ascii="Times New Roman" w:hAnsi="Times New Roman"/>
          <w:noProof/>
        </w:rPr>
        <w:t>τ</w:t>
      </w:r>
      <w:r>
        <w:rPr>
          <w:rFonts w:ascii="Times New Roman" w:hAnsi="Times New Roman"/>
          <w:noProof/>
        </w:rPr>
        <w:t>α και την ασφάλεια σε αυτή την ένδειξη.Λόγω της ανώριμης νεφρικής λειτουργίας των νεογνών ηλικίας έως 4 εβδομάδων και των βρεφών ηλικίας έως 1 έτους, το Cyclolux θα πρέπει να χρησιμοποιείται σε αυτούς τους ασθενείς μόνο μετά από προσεκτική εξέταση, σε δόση που δεν υπερβαίνει τα 0,1 mmol/kg σ.β. Δεν θα πρέπει να χρησιμοποιηθούν περισσότερες από μία δόσεις σε μία σάρωση.</w:t>
      </w:r>
      <w:r w:rsidR="000D502B">
        <w:rPr>
          <w:rFonts w:ascii="Times New Roman" w:hAnsi="Times New Roman"/>
          <w:noProof/>
        </w:rPr>
        <w:t xml:space="preserve"> </w:t>
      </w:r>
      <w:r>
        <w:rPr>
          <w:rFonts w:ascii="Times New Roman" w:hAnsi="Times New Roman"/>
          <w:noProof/>
        </w:rPr>
        <w:t xml:space="preserve"> Λόγω της έλλειψης πληροφοριών αναφορικά με την επαναλαμβανόμενη χορήγηση, οι ενέσεις Cyclolux δεν πρέπει να επαναλαμβάνονται, εκτός εάν το διάστημα μεταξύ των ενέσεων είναι τουλάχιστον 7 ημέρες.</w:t>
      </w:r>
      <w:r>
        <w:rPr>
          <w:rFonts w:ascii="Times New Roman" w:eastAsia="Times New Roman" w:hAnsi="Times New Roman" w:cs="Times New Roman"/>
          <w:noProof/>
        </w:rPr>
        <w:br/>
      </w:r>
      <w:r>
        <w:rPr>
          <w:rFonts w:ascii="Times New Roman" w:hAnsi="Times New Roman"/>
          <w:noProof/>
        </w:rPr>
        <w:t>Σε νεογνά και βρέφη, η απαιτούμενη δόση θα πρέπει να χορηγείται χειρωνακτικά.</w:t>
      </w:r>
    </w:p>
    <w:p w:rsidR="00271F6E" w:rsidRPr="007D082F" w:rsidRDefault="00745EAA" w:rsidP="00745EAA">
      <w:pPr>
        <w:pStyle w:val="a3"/>
        <w:numPr>
          <w:ilvl w:val="0"/>
          <w:numId w:val="5"/>
        </w:numPr>
        <w:spacing w:after="0" w:line="260" w:lineRule="exact"/>
        <w:jc w:val="both"/>
        <w:rPr>
          <w:rFonts w:ascii="Times New Roman" w:eastAsia="Times New Roman" w:hAnsi="Times New Roman" w:cs="Times New Roman"/>
          <w:noProof/>
        </w:rPr>
      </w:pPr>
      <w:r>
        <w:rPr>
          <w:rFonts w:ascii="Times New Roman" w:hAnsi="Times New Roman"/>
          <w:noProof/>
        </w:rPr>
        <w:t>Ασθενείς με νεφρική δυσλειτουργία: Για ασθενείς με ήπια έως μέτρια νεφρική δυσλειτουργία (</w:t>
      </w:r>
      <w:r w:rsidR="00A82686">
        <w:rPr>
          <w:rFonts w:ascii="Times New Roman" w:hAnsi="Times New Roman"/>
          <w:noProof/>
          <w:lang w:val="en-US"/>
        </w:rPr>
        <w:t>GFR</w:t>
      </w:r>
      <w:r>
        <w:rPr>
          <w:rFonts w:ascii="Times New Roman" w:hAnsi="Times New Roman"/>
          <w:noProof/>
        </w:rPr>
        <w:t> ≥ 30 ml/min/1,73 m</w:t>
      </w:r>
      <w:r>
        <w:rPr>
          <w:rFonts w:ascii="Times New Roman" w:hAnsi="Times New Roman"/>
          <w:noProof/>
          <w:vertAlign w:val="superscript"/>
        </w:rPr>
        <w:t>2</w:t>
      </w:r>
      <w:r>
        <w:rPr>
          <w:rFonts w:ascii="Times New Roman" w:hAnsi="Times New Roman"/>
          <w:noProof/>
        </w:rPr>
        <w:t>) ισχύει η δόση ενηλίκων. Βλέπε παρακάτω «Νεφρική δυσλειτουργία».</w:t>
      </w:r>
    </w:p>
    <w:p w:rsidR="00271F6E" w:rsidRPr="007D082F" w:rsidRDefault="00745EAA" w:rsidP="00745EAA">
      <w:pPr>
        <w:pStyle w:val="a3"/>
        <w:numPr>
          <w:ilvl w:val="0"/>
          <w:numId w:val="5"/>
        </w:numPr>
        <w:spacing w:after="0" w:line="260" w:lineRule="exact"/>
        <w:jc w:val="both"/>
        <w:rPr>
          <w:rFonts w:ascii="Times New Roman" w:eastAsia="Times New Roman" w:hAnsi="Times New Roman" w:cs="Times New Roman"/>
          <w:noProof/>
        </w:rPr>
      </w:pPr>
      <w:r>
        <w:rPr>
          <w:rFonts w:ascii="Times New Roman" w:hAnsi="Times New Roman"/>
          <w:noProof/>
        </w:rPr>
        <w:t>Ασθενείς με ηπατική δυσλειτουργία: Σε αυτούς τους ασθενείς εφαρμόζεται η δόση ενηλίκων. Συνιστάται προσοχή, ειδικά στην περίπτωση περιεγχειρητικής περιόδου μεταμόσχευσης ήπατος.</w:t>
      </w:r>
    </w:p>
    <w:p w:rsidR="00271F6E" w:rsidRPr="007D082F" w:rsidRDefault="00271F6E" w:rsidP="00745EAA">
      <w:pPr>
        <w:spacing w:before="8" w:after="0" w:line="280" w:lineRule="exact"/>
        <w:jc w:val="both"/>
        <w:rPr>
          <w:rFonts w:ascii="Times New Roman" w:hAnsi="Times New Roman" w:cs="Times New Roman"/>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Τρόπος χορήγησης</w:t>
      </w:r>
    </w:p>
    <w:p w:rsidR="00271F6E" w:rsidRPr="007D082F"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Cyclolux ενδείκνυται για ενδοφλέβια χορήγηση μόνο. Το Cyclolux δεν πρέπει να χορηγείται με υπαραχνοειδή (ή επισκληρίδιο) ένεση</w:t>
      </w:r>
      <w:r w:rsidR="000D502B">
        <w:rPr>
          <w:rFonts w:ascii="Times New Roman" w:hAnsi="Times New Roman"/>
          <w:noProof/>
        </w:rPr>
        <w:t>.</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Ρυθμός έγχυσης: 3 – 5 ml/min (Υψηλότεροι ρυθμοί έγχυσης, έως και 120 ml/min, δηλαδή 2 ml/sec, μπορούν να χρησιμοποιηθούν για αγγειογραφικές διαδικασίες.)</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Βέλτιστη απεικόνιση: εντός 45 λεπτών από την ένεση</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Βέλτιστη ακολουθία εικόνας: Τ1-σταθμισμένη</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Η ενδαγγειακή χορήγηση σκιαγραφικών μέσων θα πρέπει, εάν είναι δυνατόν, να πραγματοποιείται με τον ασθενή σε οριζόντια θέση. Μετά τη χορήγηση, ο ασθενής θα πρέπει να παραμένει υπό παρατήρηση για τουλάχιστον μισή ώρα, καθώς η εμπειρία δείχνει ότι η πλειοψηφία των ανεπιθύμητων ενεργειών παρουσιάζονται μέσα σε αυτό το διάστημα.</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Προετοιμάστε μια σύριγγα με βελόνα. Αφαιρέστε τον πλαστικό δίσκο. Αφού καθαρίσετε το πώμα εισχώρησης με ένα τολύπιο εμποτισμένο με οινόπνευμα, διατρυπήστε το πώμα με τη βελόνα. Αφαιρέστε την ποσότητα του προϊόντος που απαιτείται για την εξέταση και χορηγείστε την ενδοφλεβίως με ένεση.</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Για μία μόνο χρήση. Κάθε αχρησιμοποίητο διάλυμα πρέπει να απορρίπτεται.</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ενέσιμο διάλυμα θα πρέπει να ελέγχεται οπτικά πριν τη χρήση. Θα πρέπει να χρησιμοποιούνται μόνο διαυγή διαλύματα, ελεύθερα ορατών σωματιδίων.</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Νεφρική δυσλειτουργία</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Πριν από τη χορήγηση του Cyclolux, συνιστάται όλοι οι ασθενείς να ελέγχονται για νεφρική δυσλειτουργία με διενέργεια εργαστηριακών εξετάσεων:</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Έχουν υπάρξει αναφορές νεφρογενούς συστηματικής ίνωσης (ΝΣΙ) συσχετιζόμενης με τη χρήση μερικών σκιαγραφικών παραγόντων που περιέχουν γαδολίνιο σε ασθενείς με οξεία ή χρόνια βαριά νεφρική δυσλειτουργία (</w:t>
      </w:r>
      <w:r w:rsidR="00A82686">
        <w:rPr>
          <w:rFonts w:ascii="Times New Roman" w:hAnsi="Times New Roman"/>
          <w:noProof/>
          <w:lang w:val="en-US"/>
        </w:rPr>
        <w:t>GFR</w:t>
      </w:r>
      <w:r>
        <w:rPr>
          <w:rFonts w:ascii="Times New Roman" w:hAnsi="Times New Roman"/>
          <w:noProof/>
        </w:rPr>
        <w:t> &lt; 30ml/min/1,73m</w:t>
      </w:r>
      <w:r>
        <w:rPr>
          <w:rFonts w:ascii="Times New Roman" w:hAnsi="Times New Roman"/>
          <w:noProof/>
          <w:vertAlign w:val="superscript"/>
        </w:rPr>
        <w:t>2</w:t>
      </w:r>
      <w:r>
        <w:rPr>
          <w:rFonts w:ascii="Times New Roman" w:hAnsi="Times New Roman"/>
          <w:noProof/>
        </w:rPr>
        <w:t>). Οι ασθενείς που υποβάλλονται σε μεταμόσχευση ήπατος βρίσκονται σε ιδιαίτερο κίνδυνο, καθώς η συχνότητα εμφάνισης οξείας νεφρικής ανεπάρκειας είναι υψηλή σε αυτή την ομάδα. Καθώς με το Cyclolux υφίσταται η δυνατότητα να εμφανιστεί ΝΣΙ, θα πρέπει αυτό να χρησιμοποιείται σε ασθενείς με βαριά νεφρική δυσλειτουργία και σε ασθενείς στην περιεγχειρητική περίοδο μεταμόσχευσης ήπατος μόνο μετά από προσεκτική εκτίμηση της σχέσης οφέλους/κινδύνου και εάν η διαγνωστική πληροφορία είναι απαραίτητη και δεν μπορεί να ληφθεί με μη ενισχυμένη με σκιαγραφικό μέσο MRI. Εάν χρειάζεται να χρησιμοποιήσετε το Cyclolux, η δόση δεν θα πρέπει να υπερβεί τα 0,1 mmol/kg σ.β. Δεν θα πρέπει να χρησιμοποιηθούν περισσότερες από μία δόσεις σε μία σάρωση. Λόγω της έλλειψης πληροφοριών αναφορικά με την επαναλαμβανόμενη χορήγηση, οι ενέσεις Cyclolux δεν πρέπει να επαναλαμβάνονται, εκτός εάν το διάστημα μεταξύ των ενέσεων είναι τουλάχιστον 7 ημέρες.</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Η αιμο</w:t>
      </w:r>
      <w:r w:rsidR="00A82686">
        <w:rPr>
          <w:rFonts w:ascii="Times New Roman" w:hAnsi="Times New Roman"/>
          <w:noProof/>
        </w:rPr>
        <w:t>κάθαρ</w:t>
      </w:r>
      <w:r>
        <w:rPr>
          <w:rFonts w:ascii="Times New Roman" w:hAnsi="Times New Roman"/>
          <w:noProof/>
        </w:rPr>
        <w:t>ση σε σύντομο χρόνο μετά τη χορήγηση του Cyclolux ενδέχεται να είναι χρήσιμη για την απομάκρυνση του Cyclolux από το σώμα. Δεν υπάρχουν στοιχεία που να υποστηρίζουν την εκκίνηση αιμο</w:t>
      </w:r>
      <w:r w:rsidR="00A82686">
        <w:rPr>
          <w:rFonts w:ascii="Times New Roman" w:hAnsi="Times New Roman"/>
          <w:noProof/>
        </w:rPr>
        <w:t>κάθαρ</w:t>
      </w:r>
      <w:r>
        <w:rPr>
          <w:rFonts w:ascii="Times New Roman" w:hAnsi="Times New Roman"/>
          <w:noProof/>
        </w:rPr>
        <w:t>σης με σκοπό την πρόληψη ή τη θεραπεία της ΝΣΙ σε ασθενείς που δε</w:t>
      </w:r>
      <w:r w:rsidR="00A82686">
        <w:rPr>
          <w:rFonts w:ascii="Times New Roman" w:hAnsi="Times New Roman"/>
          <w:noProof/>
        </w:rPr>
        <w:t>ν</w:t>
      </w:r>
      <w:r>
        <w:rPr>
          <w:rFonts w:ascii="Times New Roman" w:hAnsi="Times New Roman"/>
          <w:noProof/>
        </w:rPr>
        <w:t xml:space="preserve"> υποβάλλονται ήδη σε αιμο</w:t>
      </w:r>
      <w:r w:rsidR="00A82686">
        <w:rPr>
          <w:rFonts w:ascii="Times New Roman" w:hAnsi="Times New Roman"/>
          <w:noProof/>
        </w:rPr>
        <w:t>κάθαρ</w:t>
      </w:r>
      <w:r>
        <w:rPr>
          <w:rFonts w:ascii="Times New Roman" w:hAnsi="Times New Roman"/>
          <w:noProof/>
        </w:rPr>
        <w:t>ση.</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Ηλικιωμένοι</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Καθώς η νεφρική κάθαρση του γαδοτερικού οξέως ενδέχεται να είναι μειωμένη στους ηλικιωμένους, είναι ιδιαίτερα σημαντικός ο έλεγχος των ασθενών ηλικίας 65 και άνω για νεφρική δυσλειτουργία.</w:t>
      </w:r>
    </w:p>
    <w:p w:rsidR="00C374B1" w:rsidRPr="007D082F" w:rsidRDefault="00C374B1"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Νεογνά και βρέφη</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Βλέπε το «Δοσολογία, Παιδιά».</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Κύηση και θηλασμός</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147333"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Το Cyclolux δεν θα πρέπει να χρησιμοποιείται κατά τη διάρκεια της εγκυμοσύνης, εκτός εάν η κλινική κατάσταση της γυναίκας απαιτεί τη χρήση γαδοτερικού οξέος.</w:t>
      </w: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 xml:space="preserve">Η συνέχιση ή η διακοπή του θηλασμού για μια περίοδο 24 ωρών μετά τη χορήγηση του Cyclolux θα πρέπει να αποφασίζεται από </w:t>
      </w:r>
      <w:r w:rsidR="00116476">
        <w:rPr>
          <w:rFonts w:ascii="Times New Roman" w:hAnsi="Times New Roman"/>
          <w:noProof/>
        </w:rPr>
        <w:t>το γιατρό</w:t>
      </w:r>
      <w:r>
        <w:rPr>
          <w:rFonts w:ascii="Times New Roman" w:hAnsi="Times New Roman"/>
          <w:noProof/>
        </w:rPr>
        <w:t xml:space="preserve"> και τη θηλάζουσα μητέρα.</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b/>
          <w:noProof/>
        </w:rPr>
      </w:pPr>
      <w:r>
        <w:rPr>
          <w:rFonts w:ascii="Times New Roman" w:hAnsi="Times New Roman"/>
          <w:b/>
          <w:noProof/>
        </w:rPr>
        <w:t>Οδηγίες χειρισμού</w:t>
      </w:r>
    </w:p>
    <w:p w:rsidR="00271F6E" w:rsidRPr="007D082F" w:rsidRDefault="00271F6E" w:rsidP="00745EAA">
      <w:pPr>
        <w:tabs>
          <w:tab w:val="left" w:pos="567"/>
        </w:tabs>
        <w:spacing w:after="0" w:line="260" w:lineRule="exact"/>
        <w:jc w:val="both"/>
        <w:rPr>
          <w:rFonts w:ascii="Times New Roman" w:eastAsia="Times New Roman" w:hAnsi="Times New Roman" w:cs="Times New Roman"/>
          <w:noProof/>
        </w:rPr>
      </w:pPr>
    </w:p>
    <w:p w:rsidR="00271F6E" w:rsidRPr="007D082F" w:rsidRDefault="00745EAA" w:rsidP="00745EAA">
      <w:pPr>
        <w:tabs>
          <w:tab w:val="left" w:pos="567"/>
        </w:tabs>
        <w:spacing w:after="0" w:line="260" w:lineRule="exact"/>
        <w:jc w:val="both"/>
        <w:rPr>
          <w:rFonts w:ascii="Times New Roman" w:eastAsia="Times New Roman" w:hAnsi="Times New Roman" w:cs="Times New Roman"/>
          <w:noProof/>
        </w:rPr>
      </w:pPr>
      <w:r>
        <w:rPr>
          <w:rFonts w:ascii="Times New Roman" w:hAnsi="Times New Roman"/>
          <w:noProof/>
        </w:rPr>
        <w:t>Η αποκολλούμενη επισήμανση ιχνηλασιμότητας στα φιαλίδια θα πρέπει να επικολληθεί στον φάκελο του ασθενή, προκειμένου να είναι δυνατή η ακριβής καταγραφή του σκιαγραφικού παράγοντα γαδολινίου που χρησιμοποιήθηκε. Η χρησιμοποιηθείσα δόση θα πρέπει επίσης να καταγραφεί. Εάν χρησιμοποιούνται ηλεκτρονικοί φάκελοι ασθενών, θα πρέπει στον φάκελο του ασθενή να καταχωρηθεί το όνομα του προϊόντος, ο αριθμός παρτίδας και η δόση.</w:t>
      </w:r>
    </w:p>
    <w:sectPr w:rsidR="00271F6E" w:rsidRPr="007D082F" w:rsidSect="005C1A68">
      <w:footerReference w:type="default" r:id="rId9"/>
      <w:pgSz w:w="11920" w:h="16860"/>
      <w:pgMar w:top="1080" w:right="1000" w:bottom="880" w:left="104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C1" w:rsidRDefault="003E3AC1">
      <w:pPr>
        <w:spacing w:after="0" w:line="240" w:lineRule="auto"/>
      </w:pPr>
      <w:r>
        <w:separator/>
      </w:r>
    </w:p>
  </w:endnote>
  <w:endnote w:type="continuationSeparator" w:id="0">
    <w:p w:rsidR="003E3AC1" w:rsidRDefault="003E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88" w:rsidRDefault="00417988" w:rsidP="00ED6C21">
    <w:pPr>
      <w:pStyle w:val="a5"/>
      <w:tabs>
        <w:tab w:val="right" w:pos="8931"/>
      </w:tabs>
      <w:ind w:right="96"/>
      <w:jc w:val="center"/>
    </w:pPr>
    <w:r>
      <w:fldChar w:fldCharType="begin"/>
    </w:r>
    <w:r>
      <w:instrText xml:space="preserve"> EQ </w:instrText>
    </w:r>
    <w:r>
      <w:fldChar w:fldCharType="end"/>
    </w:r>
    <w:r>
      <w:rPr>
        <w:rStyle w:val="a6"/>
      </w:rPr>
      <w:fldChar w:fldCharType="begin"/>
    </w:r>
    <w:r>
      <w:rPr>
        <w:rStyle w:val="a6"/>
      </w:rPr>
      <w:instrText xml:space="preserve">PAGE  </w:instrText>
    </w:r>
    <w:r>
      <w:rPr>
        <w:rStyle w:val="a6"/>
      </w:rPr>
      <w:fldChar w:fldCharType="separate"/>
    </w:r>
    <w:r w:rsidR="00C40192">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C1" w:rsidRDefault="003E3AC1">
      <w:pPr>
        <w:spacing w:after="0" w:line="240" w:lineRule="auto"/>
      </w:pPr>
      <w:r>
        <w:separator/>
      </w:r>
    </w:p>
  </w:footnote>
  <w:footnote w:type="continuationSeparator" w:id="0">
    <w:p w:rsidR="003E3AC1" w:rsidRDefault="003E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680"/>
    <w:multiLevelType w:val="hybridMultilevel"/>
    <w:tmpl w:val="991A25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1">
    <w:nsid w:val="06841D91"/>
    <w:multiLevelType w:val="hybridMultilevel"/>
    <w:tmpl w:val="D95A1298"/>
    <w:lvl w:ilvl="0" w:tplc="9C7CD7DA">
      <w:numFmt w:val="bullet"/>
      <w:lvlText w:val=""/>
      <w:lvlJc w:val="left"/>
      <w:pPr>
        <w:ind w:left="720" w:hanging="360"/>
      </w:pPr>
      <w:rPr>
        <w:rFonts w:ascii="Symbol" w:eastAsia="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2">
    <w:nsid w:val="06906E63"/>
    <w:multiLevelType w:val="hybridMultilevel"/>
    <w:tmpl w:val="451A567C"/>
    <w:lvl w:ilvl="0" w:tplc="FFFFFFFF">
      <w:start w:val="1"/>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3">
    <w:nsid w:val="11AA51FC"/>
    <w:multiLevelType w:val="hybridMultilevel"/>
    <w:tmpl w:val="0898EC3E"/>
    <w:lvl w:ilvl="0" w:tplc="FFFFFFFF">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4">
    <w:nsid w:val="1F483285"/>
    <w:multiLevelType w:val="hybridMultilevel"/>
    <w:tmpl w:val="BC42C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5">
    <w:nsid w:val="252F2B2B"/>
    <w:multiLevelType w:val="hybridMultilevel"/>
    <w:tmpl w:val="79EEFC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6">
    <w:nsid w:val="2AC61C24"/>
    <w:multiLevelType w:val="hybridMultilevel"/>
    <w:tmpl w:val="83361F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7">
    <w:nsid w:val="32B46CF9"/>
    <w:multiLevelType w:val="hybridMultilevel"/>
    <w:tmpl w:val="49D87956"/>
    <w:lvl w:ilvl="0" w:tplc="9C7CD7DA">
      <w:numFmt w:val="bullet"/>
      <w:lvlText w:val=""/>
      <w:lvlJc w:val="left"/>
      <w:pPr>
        <w:ind w:left="462" w:hanging="360"/>
      </w:pPr>
      <w:rPr>
        <w:rFonts w:ascii="Symbol" w:eastAsia="Symbol" w:hAnsi="Symbol" w:cs="Symbol" w:hint="default"/>
      </w:rPr>
    </w:lvl>
    <w:lvl w:ilvl="1" w:tplc="0C070003" w:tentative="1">
      <w:start w:val="1"/>
      <w:numFmt w:val="bullet"/>
      <w:lvlText w:val="o"/>
      <w:lvlJc w:val="left"/>
      <w:pPr>
        <w:ind w:left="1182" w:hanging="360"/>
      </w:pPr>
      <w:rPr>
        <w:rFonts w:ascii="Courier New" w:hAnsi="Courier New" w:cs="Courier New" w:hint="default"/>
      </w:rPr>
    </w:lvl>
    <w:lvl w:ilvl="2" w:tplc="0C070005" w:tentative="1">
      <w:start w:val="1"/>
      <w:numFmt w:val="bullet"/>
      <w:lvlText w:val=""/>
      <w:lvlJc w:val="left"/>
      <w:pPr>
        <w:ind w:left="1902" w:hanging="360"/>
      </w:pPr>
      <w:rPr>
        <w:rFonts w:ascii="Marlett" w:hAnsi="Marlett" w:hint="default"/>
      </w:rPr>
    </w:lvl>
    <w:lvl w:ilvl="3" w:tplc="0C070001" w:tentative="1">
      <w:start w:val="1"/>
      <w:numFmt w:val="bullet"/>
      <w:lvlText w:val=""/>
      <w:lvlJc w:val="left"/>
      <w:pPr>
        <w:ind w:left="2622" w:hanging="360"/>
      </w:pPr>
      <w:rPr>
        <w:rFonts w:ascii="Symbol" w:hAnsi="Symbol" w:hint="default"/>
      </w:rPr>
    </w:lvl>
    <w:lvl w:ilvl="4" w:tplc="0C070003" w:tentative="1">
      <w:start w:val="1"/>
      <w:numFmt w:val="bullet"/>
      <w:lvlText w:val="o"/>
      <w:lvlJc w:val="left"/>
      <w:pPr>
        <w:ind w:left="3342" w:hanging="360"/>
      </w:pPr>
      <w:rPr>
        <w:rFonts w:ascii="Courier New" w:hAnsi="Courier New" w:cs="Courier New" w:hint="default"/>
      </w:rPr>
    </w:lvl>
    <w:lvl w:ilvl="5" w:tplc="0C070005" w:tentative="1">
      <w:start w:val="1"/>
      <w:numFmt w:val="bullet"/>
      <w:lvlText w:val=""/>
      <w:lvlJc w:val="left"/>
      <w:pPr>
        <w:ind w:left="4062" w:hanging="360"/>
      </w:pPr>
      <w:rPr>
        <w:rFonts w:ascii="Marlett" w:hAnsi="Marlett" w:hint="default"/>
      </w:rPr>
    </w:lvl>
    <w:lvl w:ilvl="6" w:tplc="0C070001" w:tentative="1">
      <w:start w:val="1"/>
      <w:numFmt w:val="bullet"/>
      <w:lvlText w:val=""/>
      <w:lvlJc w:val="left"/>
      <w:pPr>
        <w:ind w:left="4782" w:hanging="360"/>
      </w:pPr>
      <w:rPr>
        <w:rFonts w:ascii="Symbol" w:hAnsi="Symbol" w:hint="default"/>
      </w:rPr>
    </w:lvl>
    <w:lvl w:ilvl="7" w:tplc="0C070003" w:tentative="1">
      <w:start w:val="1"/>
      <w:numFmt w:val="bullet"/>
      <w:lvlText w:val="o"/>
      <w:lvlJc w:val="left"/>
      <w:pPr>
        <w:ind w:left="5502" w:hanging="360"/>
      </w:pPr>
      <w:rPr>
        <w:rFonts w:ascii="Courier New" w:hAnsi="Courier New" w:cs="Courier New" w:hint="default"/>
      </w:rPr>
    </w:lvl>
    <w:lvl w:ilvl="8" w:tplc="0C070005" w:tentative="1">
      <w:start w:val="1"/>
      <w:numFmt w:val="bullet"/>
      <w:lvlText w:val=""/>
      <w:lvlJc w:val="left"/>
      <w:pPr>
        <w:ind w:left="6222" w:hanging="360"/>
      </w:pPr>
      <w:rPr>
        <w:rFonts w:ascii="Marlett" w:hAnsi="Marlett" w:hint="default"/>
      </w:rPr>
    </w:lvl>
  </w:abstractNum>
  <w:abstractNum w:abstractNumId="8">
    <w:nsid w:val="340D04DC"/>
    <w:multiLevelType w:val="hybridMultilevel"/>
    <w:tmpl w:val="466E3D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9">
    <w:nsid w:val="341016B9"/>
    <w:multiLevelType w:val="hybridMultilevel"/>
    <w:tmpl w:val="F78C5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10">
    <w:nsid w:val="45C72E11"/>
    <w:multiLevelType w:val="hybridMultilevel"/>
    <w:tmpl w:val="1EA87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11">
    <w:nsid w:val="49DB14D8"/>
    <w:multiLevelType w:val="hybridMultilevel"/>
    <w:tmpl w:val="96FA9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12">
    <w:nsid w:val="4A9D40CB"/>
    <w:multiLevelType w:val="hybridMultilevel"/>
    <w:tmpl w:val="BB9253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13">
    <w:nsid w:val="4C6E6271"/>
    <w:multiLevelType w:val="hybridMultilevel"/>
    <w:tmpl w:val="CC28AF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14">
    <w:nsid w:val="72BD12DC"/>
    <w:multiLevelType w:val="hybridMultilevel"/>
    <w:tmpl w:val="7FA0AB64"/>
    <w:lvl w:ilvl="0" w:tplc="FFFFFFFF">
      <w:start w:val="1"/>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abstractNum w:abstractNumId="15">
    <w:nsid w:val="7EE1534E"/>
    <w:multiLevelType w:val="hybridMultilevel"/>
    <w:tmpl w:val="2C5AC91C"/>
    <w:lvl w:ilvl="0" w:tplc="FFFFFFFF">
      <w:start w:val="1"/>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Marlett" w:hAnsi="Marlett"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Marlett" w:hAnsi="Marlett"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Marlett" w:hAnsi="Marlett" w:hint="default"/>
      </w:rPr>
    </w:lvl>
  </w:abstractNum>
  <w:num w:numId="1">
    <w:abstractNumId w:val="7"/>
  </w:num>
  <w:num w:numId="2">
    <w:abstractNumId w:val="15"/>
  </w:num>
  <w:num w:numId="3">
    <w:abstractNumId w:val="2"/>
  </w:num>
  <w:num w:numId="4">
    <w:abstractNumId w:val="14"/>
  </w:num>
  <w:num w:numId="5">
    <w:abstractNumId w:val="1"/>
  </w:num>
  <w:num w:numId="6">
    <w:abstractNumId w:val="3"/>
  </w:num>
  <w:num w:numId="7">
    <w:abstractNumId w:val="5"/>
  </w:num>
  <w:num w:numId="8">
    <w:abstractNumId w:val="8"/>
  </w:num>
  <w:num w:numId="9">
    <w:abstractNumId w:val="11"/>
  </w:num>
  <w:num w:numId="10">
    <w:abstractNumId w:val="4"/>
  </w:num>
  <w:num w:numId="11">
    <w:abstractNumId w:val="6"/>
  </w:num>
  <w:num w:numId="12">
    <w:abstractNumId w:val="12"/>
  </w:num>
  <w:num w:numId="13">
    <w:abstractNumId w:val="13"/>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6E"/>
    <w:rsid w:val="00021F12"/>
    <w:rsid w:val="00040882"/>
    <w:rsid w:val="00096616"/>
    <w:rsid w:val="00097F9A"/>
    <w:rsid w:val="000D502B"/>
    <w:rsid w:val="00113B37"/>
    <w:rsid w:val="00116476"/>
    <w:rsid w:val="00126333"/>
    <w:rsid w:val="00147333"/>
    <w:rsid w:val="00213323"/>
    <w:rsid w:val="002541A4"/>
    <w:rsid w:val="00271F6E"/>
    <w:rsid w:val="002D0609"/>
    <w:rsid w:val="00312513"/>
    <w:rsid w:val="00391157"/>
    <w:rsid w:val="003E3AC1"/>
    <w:rsid w:val="00417988"/>
    <w:rsid w:val="004641A3"/>
    <w:rsid w:val="00583E61"/>
    <w:rsid w:val="005C0FF0"/>
    <w:rsid w:val="005C1A68"/>
    <w:rsid w:val="006204E8"/>
    <w:rsid w:val="006F765F"/>
    <w:rsid w:val="00745EAA"/>
    <w:rsid w:val="007B7736"/>
    <w:rsid w:val="007C26AE"/>
    <w:rsid w:val="007D082F"/>
    <w:rsid w:val="008A7F4C"/>
    <w:rsid w:val="008B05CE"/>
    <w:rsid w:val="008D3A2F"/>
    <w:rsid w:val="008F641C"/>
    <w:rsid w:val="00963E37"/>
    <w:rsid w:val="009944BA"/>
    <w:rsid w:val="009D322B"/>
    <w:rsid w:val="00A32BB9"/>
    <w:rsid w:val="00A46AFB"/>
    <w:rsid w:val="00A82686"/>
    <w:rsid w:val="00AA2943"/>
    <w:rsid w:val="00B44125"/>
    <w:rsid w:val="00BA70F0"/>
    <w:rsid w:val="00C374B1"/>
    <w:rsid w:val="00C40192"/>
    <w:rsid w:val="00CB0DD5"/>
    <w:rsid w:val="00DC1C81"/>
    <w:rsid w:val="00E83684"/>
    <w:rsid w:val="00EB38FF"/>
    <w:rsid w:val="00EC6C85"/>
    <w:rsid w:val="00ED6C21"/>
    <w:rsid w:val="00F23709"/>
    <w:rsid w:val="00F33226"/>
    <w:rsid w:val="00FF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22B"/>
    <w:pPr>
      <w:ind w:left="720"/>
      <w:contextualSpacing/>
    </w:pPr>
  </w:style>
  <w:style w:type="paragraph" w:styleId="a4">
    <w:name w:val="header"/>
    <w:basedOn w:val="a"/>
    <w:link w:val="Char"/>
    <w:uiPriority w:val="99"/>
    <w:unhideWhenUsed/>
    <w:rsid w:val="00C374B1"/>
    <w:pPr>
      <w:tabs>
        <w:tab w:val="center" w:pos="4513"/>
        <w:tab w:val="right" w:pos="9026"/>
      </w:tabs>
      <w:spacing w:after="0" w:line="240" w:lineRule="auto"/>
    </w:pPr>
  </w:style>
  <w:style w:type="character" w:customStyle="1" w:styleId="Char">
    <w:name w:val="Κεφαλίδα Char"/>
    <w:basedOn w:val="a0"/>
    <w:link w:val="a4"/>
    <w:uiPriority w:val="99"/>
    <w:rsid w:val="00C374B1"/>
  </w:style>
  <w:style w:type="paragraph" w:styleId="a5">
    <w:name w:val="footer"/>
    <w:basedOn w:val="a"/>
    <w:link w:val="Char0"/>
    <w:unhideWhenUsed/>
    <w:rsid w:val="00C374B1"/>
    <w:pPr>
      <w:tabs>
        <w:tab w:val="center" w:pos="4513"/>
        <w:tab w:val="right" w:pos="9026"/>
      </w:tabs>
      <w:spacing w:after="0" w:line="240" w:lineRule="auto"/>
    </w:pPr>
  </w:style>
  <w:style w:type="character" w:customStyle="1" w:styleId="Char0">
    <w:name w:val="Υποσέλιδο Char"/>
    <w:basedOn w:val="a0"/>
    <w:link w:val="a5"/>
    <w:uiPriority w:val="99"/>
    <w:rsid w:val="00C374B1"/>
  </w:style>
  <w:style w:type="character" w:styleId="a6">
    <w:name w:val="page number"/>
    <w:basedOn w:val="a0"/>
    <w:rsid w:val="00ED6C21"/>
  </w:style>
  <w:style w:type="paragraph" w:styleId="a7">
    <w:name w:val="Balloon Text"/>
    <w:basedOn w:val="a"/>
    <w:link w:val="Char1"/>
    <w:uiPriority w:val="99"/>
    <w:semiHidden/>
    <w:unhideWhenUsed/>
    <w:rsid w:val="0014733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47333"/>
    <w:rPr>
      <w:rFonts w:ascii="Tahoma" w:hAnsi="Tahoma" w:cs="Tahoma"/>
      <w:sz w:val="16"/>
      <w:szCs w:val="16"/>
    </w:rPr>
  </w:style>
  <w:style w:type="table" w:styleId="a8">
    <w:name w:val="Table Grid"/>
    <w:basedOn w:val="a1"/>
    <w:rsid w:val="00097F9A"/>
    <w:pPr>
      <w:widowControl/>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22B"/>
    <w:pPr>
      <w:ind w:left="720"/>
      <w:contextualSpacing/>
    </w:pPr>
  </w:style>
  <w:style w:type="paragraph" w:styleId="a4">
    <w:name w:val="header"/>
    <w:basedOn w:val="a"/>
    <w:link w:val="Char"/>
    <w:uiPriority w:val="99"/>
    <w:unhideWhenUsed/>
    <w:rsid w:val="00C374B1"/>
    <w:pPr>
      <w:tabs>
        <w:tab w:val="center" w:pos="4513"/>
        <w:tab w:val="right" w:pos="9026"/>
      </w:tabs>
      <w:spacing w:after="0" w:line="240" w:lineRule="auto"/>
    </w:pPr>
  </w:style>
  <w:style w:type="character" w:customStyle="1" w:styleId="Char">
    <w:name w:val="Κεφαλίδα Char"/>
    <w:basedOn w:val="a0"/>
    <w:link w:val="a4"/>
    <w:uiPriority w:val="99"/>
    <w:rsid w:val="00C374B1"/>
  </w:style>
  <w:style w:type="paragraph" w:styleId="a5">
    <w:name w:val="footer"/>
    <w:basedOn w:val="a"/>
    <w:link w:val="Char0"/>
    <w:unhideWhenUsed/>
    <w:rsid w:val="00C374B1"/>
    <w:pPr>
      <w:tabs>
        <w:tab w:val="center" w:pos="4513"/>
        <w:tab w:val="right" w:pos="9026"/>
      </w:tabs>
      <w:spacing w:after="0" w:line="240" w:lineRule="auto"/>
    </w:pPr>
  </w:style>
  <w:style w:type="character" w:customStyle="1" w:styleId="Char0">
    <w:name w:val="Υποσέλιδο Char"/>
    <w:basedOn w:val="a0"/>
    <w:link w:val="a5"/>
    <w:uiPriority w:val="99"/>
    <w:rsid w:val="00C374B1"/>
  </w:style>
  <w:style w:type="character" w:styleId="a6">
    <w:name w:val="page number"/>
    <w:basedOn w:val="a0"/>
    <w:rsid w:val="00ED6C21"/>
  </w:style>
  <w:style w:type="paragraph" w:styleId="a7">
    <w:name w:val="Balloon Text"/>
    <w:basedOn w:val="a"/>
    <w:link w:val="Char1"/>
    <w:uiPriority w:val="99"/>
    <w:semiHidden/>
    <w:unhideWhenUsed/>
    <w:rsid w:val="0014733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47333"/>
    <w:rPr>
      <w:rFonts w:ascii="Tahoma" w:hAnsi="Tahoma" w:cs="Tahoma"/>
      <w:sz w:val="16"/>
      <w:szCs w:val="16"/>
    </w:rPr>
  </w:style>
  <w:style w:type="table" w:styleId="a8">
    <w:name w:val="Table Grid"/>
    <w:basedOn w:val="a1"/>
    <w:rsid w:val="00097F9A"/>
    <w:pPr>
      <w:widowControl/>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2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3403</Words>
  <Characters>18382</Characters>
  <Application>Microsoft Office Word</Application>
  <DocSecurity>0</DocSecurity>
  <Lines>153</Lines>
  <Paragraphs>43</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Version 1</vt:lpstr>
      <vt:lpstr>Version 1</vt:lpstr>
      <vt:lpstr>Version 1</vt:lpstr>
    </vt:vector>
  </TitlesOfParts>
  <Company>Sanochemia Pharmazeutika AG</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General-EMEA/224286/2006</dc:subject>
  <dc:creator>SYSTEM</dc:creator>
  <cp:lastModifiedBy>ΜΑΥΡΗΣ ΚΩΝΣΤΑΝΤΙΝΟΣ</cp:lastModifiedBy>
  <cp:revision>2</cp:revision>
  <cp:lastPrinted>2018-06-14T07:38:00Z</cp:lastPrinted>
  <dcterms:created xsi:type="dcterms:W3CDTF">2018-06-14T07:39:00Z</dcterms:created>
  <dcterms:modified xsi:type="dcterms:W3CDTF">2018-06-14T07:39:00Z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2012-06-29T00:00:00Z</vt:filetime>
  </property>
  <property fmtid="{D5CDD505-2E9C-101B-9397-08002B2CF9AE}" pid="3" name="LastSaved">
    <vt:filetime>2013-06-12T00:00:00Z</vt:filetime>
  </property>
</Properties>
</file>