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D3" w:rsidRPr="00B336DF" w:rsidRDefault="000875D3" w:rsidP="000875D3">
      <w:pPr>
        <w:rPr>
          <w:noProof/>
          <w:szCs w:val="22"/>
        </w:rPr>
      </w:pPr>
      <w:bookmarkStart w:id="0" w:name="_GoBack"/>
      <w:bookmarkEnd w:id="0"/>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rPr>
          <w:noProof/>
          <w:szCs w:val="22"/>
        </w:rPr>
      </w:pPr>
    </w:p>
    <w:p w:rsidR="000875D3" w:rsidRPr="00B336DF" w:rsidRDefault="000875D3" w:rsidP="000875D3">
      <w:pPr>
        <w:jc w:val="center"/>
        <w:rPr>
          <w:b/>
          <w:noProof/>
          <w:szCs w:val="22"/>
        </w:rPr>
      </w:pPr>
      <w:r w:rsidRPr="00B336DF">
        <w:rPr>
          <w:b/>
          <w:noProof/>
          <w:szCs w:val="22"/>
        </w:rPr>
        <w:t>ΦΥΛΛΟ ΟΔΗΓΙΩΝ ΧΡΗΣΗΣ</w:t>
      </w:r>
    </w:p>
    <w:p w:rsidR="000875D3" w:rsidRPr="00B336DF" w:rsidRDefault="000875D3" w:rsidP="000875D3">
      <w:pPr>
        <w:jc w:val="center"/>
        <w:rPr>
          <w:b/>
          <w:noProof/>
          <w:szCs w:val="22"/>
        </w:rPr>
      </w:pPr>
      <w:r w:rsidRPr="00B336DF">
        <w:rPr>
          <w:noProof/>
          <w:szCs w:val="22"/>
        </w:rPr>
        <w:br w:type="page"/>
      </w:r>
      <w:r w:rsidRPr="00B336DF">
        <w:rPr>
          <w:b/>
          <w:noProof/>
          <w:szCs w:val="22"/>
        </w:rPr>
        <w:lastRenderedPageBreak/>
        <w:t xml:space="preserve">Φύλλο οδηγιών χρήσης: Πληροφορίες για τον χρήστη </w:t>
      </w:r>
    </w:p>
    <w:p w:rsidR="00930A02" w:rsidRPr="00B336DF" w:rsidRDefault="00930A02" w:rsidP="00930A02">
      <w:pPr>
        <w:jc w:val="center"/>
        <w:rPr>
          <w:b/>
          <w:bCs/>
          <w:noProof/>
          <w:szCs w:val="22"/>
        </w:rPr>
      </w:pPr>
    </w:p>
    <w:p w:rsidR="00930A02" w:rsidRPr="00B336DF" w:rsidRDefault="00930A02" w:rsidP="00930A02">
      <w:pPr>
        <w:jc w:val="center"/>
        <w:rPr>
          <w:b/>
          <w:bCs/>
          <w:noProof/>
          <w:szCs w:val="22"/>
        </w:rPr>
      </w:pPr>
      <w:r w:rsidRPr="00B336DF">
        <w:rPr>
          <w:b/>
          <w:bCs/>
          <w:noProof/>
          <w:szCs w:val="22"/>
        </w:rPr>
        <w:t>Voriconazole BRADEX 200 mg κόνις για διάλυμα προς έγχυση</w:t>
      </w:r>
    </w:p>
    <w:p w:rsidR="000875D3" w:rsidRPr="00B336DF" w:rsidRDefault="00930A02" w:rsidP="00930A02">
      <w:pPr>
        <w:jc w:val="center"/>
        <w:rPr>
          <w:noProof/>
          <w:szCs w:val="22"/>
        </w:rPr>
      </w:pPr>
      <w:r w:rsidRPr="00B336DF">
        <w:rPr>
          <w:bCs/>
          <w:noProof/>
          <w:szCs w:val="22"/>
        </w:rPr>
        <w:t>Boρικοναζόλη</w:t>
      </w:r>
    </w:p>
    <w:p w:rsidR="00930A02" w:rsidRPr="00B336DF" w:rsidRDefault="00930A02" w:rsidP="000875D3">
      <w:pPr>
        <w:jc w:val="center"/>
        <w:rPr>
          <w:color w:val="FF0000"/>
          <w:szCs w:val="22"/>
        </w:rPr>
      </w:pPr>
    </w:p>
    <w:p w:rsidR="00930A02" w:rsidRPr="00B336DF" w:rsidRDefault="00930A02" w:rsidP="000875D3">
      <w:pPr>
        <w:rPr>
          <w:noProof/>
          <w:szCs w:val="22"/>
        </w:rPr>
      </w:pPr>
    </w:p>
    <w:p w:rsidR="00930A02" w:rsidRPr="00B336DF" w:rsidRDefault="00930A02" w:rsidP="00930A02">
      <w:pPr>
        <w:tabs>
          <w:tab w:val="left" w:pos="567"/>
        </w:tabs>
        <w:ind w:left="567" w:hanging="567"/>
        <w:rPr>
          <w:b/>
          <w:noProof/>
          <w:szCs w:val="22"/>
        </w:rPr>
      </w:pPr>
      <w:r w:rsidRPr="00B336DF">
        <w:rPr>
          <w:b/>
          <w:noProof/>
          <w:szCs w:val="22"/>
        </w:rPr>
        <w:t>Διαβάστε προσεκτικά ολόκληρο το φύλλο οδηγιών χρήσης προτού αρχίσετε να παίρνετε αυτό το</w:t>
      </w:r>
    </w:p>
    <w:p w:rsidR="00930A02" w:rsidRPr="00B336DF" w:rsidRDefault="00930A02" w:rsidP="00930A02">
      <w:pPr>
        <w:tabs>
          <w:tab w:val="left" w:pos="567"/>
        </w:tabs>
        <w:ind w:left="567" w:hanging="567"/>
        <w:rPr>
          <w:b/>
          <w:noProof/>
          <w:szCs w:val="22"/>
        </w:rPr>
      </w:pPr>
      <w:r w:rsidRPr="00B336DF">
        <w:rPr>
          <w:b/>
          <w:noProof/>
          <w:szCs w:val="22"/>
        </w:rPr>
        <w:t>φάρμακο, διότι περιλαμβάνει σημαντικές πληροφορίες για σας.</w:t>
      </w:r>
    </w:p>
    <w:p w:rsidR="00930A02" w:rsidRPr="00B336DF" w:rsidRDefault="000875D3" w:rsidP="00930A02">
      <w:pPr>
        <w:widowControl/>
        <w:autoSpaceDE w:val="0"/>
        <w:autoSpaceDN w:val="0"/>
        <w:adjustRightInd w:val="0"/>
        <w:rPr>
          <w:rFonts w:eastAsiaTheme="minorEastAsia"/>
          <w:szCs w:val="22"/>
          <w:lang w:eastAsia="zh-CN"/>
        </w:rPr>
      </w:pPr>
      <w:r w:rsidRPr="00B336DF">
        <w:rPr>
          <w:noProof/>
          <w:szCs w:val="22"/>
        </w:rPr>
        <w:t>-</w:t>
      </w:r>
      <w:r w:rsidRPr="00B336DF">
        <w:rPr>
          <w:noProof/>
          <w:szCs w:val="22"/>
        </w:rPr>
        <w:tab/>
      </w:r>
      <w:r w:rsidR="00930A02" w:rsidRPr="00B336DF">
        <w:rPr>
          <w:rFonts w:eastAsiaTheme="minorEastAsia"/>
          <w:szCs w:val="22"/>
          <w:lang w:eastAsia="zh-CN"/>
        </w:rPr>
        <w:t>Φυλάξτε αυτό το φύλλο οδηγιών χρήσης. Ίσως χρειαστεί να το διαβάσετε ξανά.</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w:t>
      </w:r>
      <w:r w:rsidRPr="00B336DF">
        <w:rPr>
          <w:rFonts w:eastAsiaTheme="minorEastAsia"/>
          <w:szCs w:val="22"/>
          <w:lang w:eastAsia="zh-CN"/>
        </w:rPr>
        <w:tab/>
        <w:t>Εάν έχετε περαιτέρω απορίες, ρωτήστε τον γιατρό, τον φαρμακοποιό ή τον νοσοκόμο σας.</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w:t>
      </w:r>
      <w:r w:rsidRPr="00B336DF">
        <w:rPr>
          <w:rFonts w:eastAsiaTheme="minorEastAsia"/>
          <w:szCs w:val="22"/>
          <w:lang w:eastAsia="zh-CN"/>
        </w:rPr>
        <w:tab/>
        <w:t>Η συνταγή γι’ αυτό το φάρμακο χορηγήθηκε για σας αποκλειστικά. Δεν πρέπει να δώσετε το</w:t>
      </w:r>
    </w:p>
    <w:p w:rsidR="00930A02" w:rsidRPr="00B336DF" w:rsidRDefault="00930A02" w:rsidP="00930A02">
      <w:pPr>
        <w:widowControl/>
        <w:autoSpaceDE w:val="0"/>
        <w:autoSpaceDN w:val="0"/>
        <w:adjustRightInd w:val="0"/>
        <w:ind w:left="709"/>
        <w:rPr>
          <w:rFonts w:eastAsiaTheme="minorEastAsia"/>
          <w:szCs w:val="22"/>
          <w:lang w:eastAsia="zh-CN"/>
        </w:rPr>
      </w:pPr>
      <w:r w:rsidRPr="00B336DF">
        <w:rPr>
          <w:rFonts w:eastAsiaTheme="minorEastAsia"/>
          <w:szCs w:val="22"/>
          <w:lang w:eastAsia="zh-CN"/>
        </w:rPr>
        <w:t>φάρμακο σε άλλους. Μπορεί να τους προκαλέσει βλάβη, ακόμα και όταν τα σημεία της</w:t>
      </w:r>
    </w:p>
    <w:p w:rsidR="00930A02" w:rsidRPr="00B336DF" w:rsidRDefault="00930A02" w:rsidP="00930A02">
      <w:pPr>
        <w:widowControl/>
        <w:autoSpaceDE w:val="0"/>
        <w:autoSpaceDN w:val="0"/>
        <w:adjustRightInd w:val="0"/>
        <w:ind w:firstLine="709"/>
        <w:rPr>
          <w:rFonts w:eastAsiaTheme="minorEastAsia"/>
          <w:szCs w:val="22"/>
          <w:lang w:eastAsia="zh-CN"/>
        </w:rPr>
      </w:pPr>
      <w:r w:rsidRPr="00B336DF">
        <w:rPr>
          <w:rFonts w:eastAsiaTheme="minorEastAsia"/>
          <w:szCs w:val="22"/>
          <w:lang w:eastAsia="zh-CN"/>
        </w:rPr>
        <w:t>ασθένειάς τους είναι ίδια με τα δικά σας.</w:t>
      </w:r>
    </w:p>
    <w:p w:rsidR="00930A02" w:rsidRPr="00B336DF" w:rsidRDefault="00930A02" w:rsidP="00930A02">
      <w:pPr>
        <w:pStyle w:val="a7"/>
        <w:widowControl/>
        <w:numPr>
          <w:ilvl w:val="0"/>
          <w:numId w:val="4"/>
        </w:numPr>
        <w:autoSpaceDE w:val="0"/>
        <w:autoSpaceDN w:val="0"/>
        <w:adjustRightInd w:val="0"/>
        <w:ind w:left="709" w:hanging="643"/>
        <w:rPr>
          <w:rFonts w:eastAsiaTheme="minorEastAsia"/>
          <w:szCs w:val="22"/>
          <w:lang w:eastAsia="zh-CN"/>
        </w:rPr>
      </w:pPr>
      <w:r w:rsidRPr="00B336DF">
        <w:rPr>
          <w:rFonts w:eastAsiaTheme="minorEastAsia"/>
          <w:szCs w:val="22"/>
          <w:lang w:eastAsia="zh-CN"/>
        </w:rPr>
        <w:t>Εάν παρατηρήσετε κάποια ανεπιθύμητη ενέργεια, ενημερώστε τον γιατρό, τον φαρμακοποιό ή</w:t>
      </w:r>
    </w:p>
    <w:p w:rsidR="00930A02" w:rsidRPr="00B336DF" w:rsidRDefault="00930A02" w:rsidP="00930A02">
      <w:pPr>
        <w:widowControl/>
        <w:autoSpaceDE w:val="0"/>
        <w:autoSpaceDN w:val="0"/>
        <w:adjustRightInd w:val="0"/>
        <w:ind w:firstLine="709"/>
        <w:rPr>
          <w:rFonts w:eastAsiaTheme="minorEastAsia"/>
          <w:szCs w:val="22"/>
          <w:lang w:eastAsia="zh-CN"/>
        </w:rPr>
      </w:pPr>
      <w:r w:rsidRPr="00B336DF">
        <w:rPr>
          <w:rFonts w:eastAsiaTheme="minorEastAsia"/>
          <w:szCs w:val="22"/>
          <w:lang w:eastAsia="zh-CN"/>
        </w:rPr>
        <w:t>τον νοσοκόμο σας. Αυτό ισχύει και για κάθε πιθανή ανεπιθύμητη ενέργεια που δεν αναφέρεται</w:t>
      </w:r>
    </w:p>
    <w:p w:rsidR="000875D3" w:rsidRPr="00B336DF" w:rsidRDefault="00930A02" w:rsidP="00930A02">
      <w:pPr>
        <w:tabs>
          <w:tab w:val="left" w:pos="567"/>
        </w:tabs>
        <w:ind w:left="567" w:hanging="567"/>
        <w:rPr>
          <w:rFonts w:eastAsiaTheme="minorEastAsia"/>
          <w:szCs w:val="22"/>
          <w:lang w:eastAsia="zh-CN"/>
        </w:rPr>
      </w:pPr>
      <w:r w:rsidRPr="00B336DF">
        <w:rPr>
          <w:rFonts w:eastAsiaTheme="minorEastAsia"/>
          <w:szCs w:val="22"/>
          <w:lang w:eastAsia="zh-CN"/>
        </w:rPr>
        <w:tab/>
      </w:r>
      <w:r w:rsidRPr="00B336DF">
        <w:rPr>
          <w:rFonts w:eastAsiaTheme="minorEastAsia"/>
          <w:szCs w:val="22"/>
          <w:lang w:eastAsia="zh-CN"/>
        </w:rPr>
        <w:tab/>
        <w:t>στο παρόν φύλλο οδηγιών χρήσης</w:t>
      </w:r>
      <w:r w:rsidR="00441C63" w:rsidRPr="00B336DF">
        <w:rPr>
          <w:rFonts w:eastAsiaTheme="minorEastAsia"/>
          <w:szCs w:val="22"/>
          <w:lang w:eastAsia="zh-CN"/>
        </w:rPr>
        <w:t>.</w:t>
      </w:r>
      <w:r w:rsidRPr="00B336DF">
        <w:rPr>
          <w:rFonts w:eastAsiaTheme="minorEastAsia"/>
          <w:szCs w:val="22"/>
          <w:lang w:eastAsia="zh-CN"/>
        </w:rPr>
        <w:t xml:space="preserve"> Βλέπε παράγραφο 4.</w:t>
      </w:r>
    </w:p>
    <w:p w:rsidR="000875D3" w:rsidRPr="00B336DF" w:rsidRDefault="000875D3" w:rsidP="000875D3">
      <w:pPr>
        <w:rPr>
          <w:noProof/>
          <w:szCs w:val="22"/>
        </w:rPr>
      </w:pPr>
    </w:p>
    <w:p w:rsidR="00930A02" w:rsidRPr="00B336DF" w:rsidRDefault="00930A02" w:rsidP="000875D3">
      <w:pPr>
        <w:rPr>
          <w:noProof/>
          <w:szCs w:val="22"/>
        </w:rPr>
      </w:pPr>
    </w:p>
    <w:p w:rsidR="000875D3" w:rsidRPr="00B336DF" w:rsidRDefault="000875D3" w:rsidP="000875D3">
      <w:pPr>
        <w:rPr>
          <w:noProof/>
          <w:szCs w:val="22"/>
        </w:rPr>
      </w:pPr>
      <w:r w:rsidRPr="00B336DF">
        <w:rPr>
          <w:b/>
          <w:noProof/>
          <w:szCs w:val="22"/>
        </w:rPr>
        <w:t>Τι περιέχει το παρόν φύλλο οδηγιών:</w:t>
      </w:r>
    </w:p>
    <w:p w:rsidR="000875D3" w:rsidRPr="00B336DF" w:rsidRDefault="000875D3" w:rsidP="000875D3">
      <w:pPr>
        <w:rPr>
          <w:noProof/>
          <w:szCs w:val="22"/>
        </w:rPr>
      </w:pPr>
      <w:r w:rsidRPr="00B336DF">
        <w:rPr>
          <w:noProof/>
          <w:szCs w:val="22"/>
        </w:rPr>
        <w:t>1</w:t>
      </w:r>
      <w:r w:rsidRPr="00B336DF">
        <w:rPr>
          <w:noProof/>
          <w:szCs w:val="22"/>
        </w:rPr>
        <w:tab/>
        <w:t xml:space="preserve">Τι είναι το </w:t>
      </w:r>
      <w:r w:rsidR="00930A02" w:rsidRPr="00B336DF">
        <w:rPr>
          <w:noProof/>
          <w:szCs w:val="22"/>
        </w:rPr>
        <w:t>Voriconazole BRADEX</w:t>
      </w:r>
      <w:r w:rsidRPr="00B336DF">
        <w:rPr>
          <w:noProof/>
          <w:szCs w:val="22"/>
        </w:rPr>
        <w:t xml:space="preserve"> και ποια είναι η χρήση του</w:t>
      </w:r>
    </w:p>
    <w:p w:rsidR="000875D3" w:rsidRPr="00B336DF" w:rsidRDefault="000875D3" w:rsidP="000875D3">
      <w:pPr>
        <w:rPr>
          <w:noProof/>
          <w:szCs w:val="22"/>
        </w:rPr>
      </w:pPr>
      <w:r w:rsidRPr="00B336DF">
        <w:rPr>
          <w:noProof/>
          <w:szCs w:val="22"/>
        </w:rPr>
        <w:t>2</w:t>
      </w:r>
      <w:r w:rsidRPr="00B336DF">
        <w:rPr>
          <w:noProof/>
          <w:szCs w:val="22"/>
        </w:rPr>
        <w:tab/>
        <w:t xml:space="preserve">Τι πρέπει να γνωρίζετε πριν πάρετε το </w:t>
      </w:r>
      <w:r w:rsidR="00930A02" w:rsidRPr="00B336DF">
        <w:rPr>
          <w:noProof/>
          <w:szCs w:val="22"/>
        </w:rPr>
        <w:t>Voriconazole BRADEX</w:t>
      </w:r>
    </w:p>
    <w:p w:rsidR="000875D3" w:rsidRPr="00B336DF" w:rsidRDefault="00930A02" w:rsidP="000875D3">
      <w:pPr>
        <w:rPr>
          <w:noProof/>
          <w:szCs w:val="22"/>
        </w:rPr>
      </w:pPr>
      <w:r w:rsidRPr="00B336DF">
        <w:rPr>
          <w:noProof/>
          <w:szCs w:val="22"/>
        </w:rPr>
        <w:t>3</w:t>
      </w:r>
      <w:r w:rsidRPr="00B336DF">
        <w:rPr>
          <w:noProof/>
          <w:szCs w:val="22"/>
        </w:rPr>
        <w:tab/>
        <w:t xml:space="preserve">Πώς να </w:t>
      </w:r>
      <w:r w:rsidR="000875D3" w:rsidRPr="00B336DF">
        <w:rPr>
          <w:noProof/>
          <w:szCs w:val="22"/>
        </w:rPr>
        <w:t xml:space="preserve">πάρετε το </w:t>
      </w:r>
      <w:r w:rsidRPr="00B336DF">
        <w:rPr>
          <w:noProof/>
          <w:szCs w:val="22"/>
        </w:rPr>
        <w:t>Voriconazole BRADEX</w:t>
      </w:r>
    </w:p>
    <w:p w:rsidR="000875D3" w:rsidRPr="00B336DF" w:rsidRDefault="000875D3" w:rsidP="000875D3">
      <w:pPr>
        <w:rPr>
          <w:noProof/>
          <w:szCs w:val="22"/>
        </w:rPr>
      </w:pPr>
      <w:r w:rsidRPr="00B336DF">
        <w:rPr>
          <w:noProof/>
          <w:szCs w:val="22"/>
        </w:rPr>
        <w:t>4</w:t>
      </w:r>
      <w:r w:rsidRPr="00B336DF">
        <w:rPr>
          <w:noProof/>
          <w:szCs w:val="22"/>
        </w:rPr>
        <w:tab/>
        <w:t>Πιθανές ανεπιθύμητες ενέργειες</w:t>
      </w:r>
    </w:p>
    <w:p w:rsidR="000875D3" w:rsidRPr="00B336DF" w:rsidRDefault="000875D3" w:rsidP="000875D3">
      <w:pPr>
        <w:rPr>
          <w:noProof/>
          <w:szCs w:val="22"/>
        </w:rPr>
      </w:pPr>
      <w:r w:rsidRPr="00B336DF">
        <w:rPr>
          <w:noProof/>
          <w:szCs w:val="22"/>
        </w:rPr>
        <w:t>5</w:t>
      </w:r>
      <w:r w:rsidRPr="00B336DF">
        <w:rPr>
          <w:noProof/>
          <w:szCs w:val="22"/>
        </w:rPr>
        <w:tab/>
        <w:t xml:space="preserve">Πώς να φυλάσσετε το </w:t>
      </w:r>
      <w:r w:rsidR="00930A02" w:rsidRPr="00B336DF">
        <w:rPr>
          <w:noProof/>
          <w:szCs w:val="22"/>
        </w:rPr>
        <w:t>Voriconazole BRADEX</w:t>
      </w:r>
    </w:p>
    <w:p w:rsidR="000875D3" w:rsidRPr="00B336DF" w:rsidRDefault="000875D3" w:rsidP="000875D3">
      <w:pPr>
        <w:rPr>
          <w:noProof/>
          <w:szCs w:val="22"/>
        </w:rPr>
      </w:pPr>
      <w:r w:rsidRPr="00B336DF">
        <w:rPr>
          <w:noProof/>
          <w:szCs w:val="22"/>
        </w:rPr>
        <w:t>6.</w:t>
      </w:r>
      <w:r w:rsidRPr="00B336DF">
        <w:rPr>
          <w:noProof/>
          <w:szCs w:val="22"/>
        </w:rPr>
        <w:tab/>
        <w:t>Περιεχόμενο της συσκευασίας και λοιπές πληροφορίες</w:t>
      </w:r>
    </w:p>
    <w:p w:rsidR="000875D3" w:rsidRPr="00B336DF" w:rsidRDefault="000875D3" w:rsidP="000875D3">
      <w:pPr>
        <w:rPr>
          <w:b/>
          <w:noProof/>
          <w:szCs w:val="22"/>
        </w:rPr>
      </w:pPr>
    </w:p>
    <w:p w:rsidR="000875D3" w:rsidRPr="00B336DF" w:rsidRDefault="000875D3" w:rsidP="000875D3">
      <w:pPr>
        <w:rPr>
          <w:b/>
          <w:noProof/>
          <w:szCs w:val="22"/>
        </w:rPr>
      </w:pPr>
    </w:p>
    <w:p w:rsidR="000875D3" w:rsidRPr="00B336DF" w:rsidRDefault="000875D3" w:rsidP="000875D3">
      <w:pPr>
        <w:rPr>
          <w:noProof/>
          <w:szCs w:val="22"/>
        </w:rPr>
      </w:pPr>
      <w:r w:rsidRPr="00B336DF">
        <w:rPr>
          <w:b/>
          <w:noProof/>
          <w:szCs w:val="22"/>
        </w:rPr>
        <w:t>1.</w:t>
      </w:r>
      <w:r w:rsidRPr="00B336DF">
        <w:rPr>
          <w:b/>
          <w:noProof/>
          <w:szCs w:val="22"/>
        </w:rPr>
        <w:tab/>
        <w:t xml:space="preserve">Τι είναι το </w:t>
      </w:r>
      <w:r w:rsidR="00930A02" w:rsidRPr="00B336DF">
        <w:rPr>
          <w:b/>
          <w:noProof/>
          <w:szCs w:val="22"/>
        </w:rPr>
        <w:t>Voriconazole BRADEX</w:t>
      </w:r>
      <w:r w:rsidRPr="00B336DF">
        <w:rPr>
          <w:b/>
          <w:noProof/>
          <w:szCs w:val="22"/>
        </w:rPr>
        <w:t xml:space="preserve"> και ποια είναι η χρήση του</w:t>
      </w:r>
    </w:p>
    <w:p w:rsidR="000875D3" w:rsidRPr="00B336DF" w:rsidRDefault="000875D3" w:rsidP="000875D3">
      <w:pPr>
        <w:rPr>
          <w:noProof/>
          <w:szCs w:val="22"/>
        </w:rPr>
      </w:pPr>
    </w:p>
    <w:p w:rsidR="00930A02" w:rsidRPr="00B336DF" w:rsidRDefault="00930A02" w:rsidP="00930A02">
      <w:pPr>
        <w:rPr>
          <w:noProof/>
          <w:szCs w:val="22"/>
        </w:rPr>
      </w:pPr>
      <w:r w:rsidRPr="00B336DF">
        <w:rPr>
          <w:noProof/>
          <w:szCs w:val="22"/>
        </w:rPr>
        <w:t>Voriconazole BRADEX περιέχει τη δραστική ουσία βορικοναζόλη. Το Voriconazole BRADEX είναι ένα αντιμυκητιασικό φάρμακο. Δρα θανατώνοντας ή αναστέλλοντας την ανάπτυξη των μυκήτων που προκαλούν λοιμώξεις.</w:t>
      </w:r>
    </w:p>
    <w:p w:rsidR="00930A02" w:rsidRPr="00B336DF" w:rsidRDefault="00930A02" w:rsidP="00930A02">
      <w:pPr>
        <w:rPr>
          <w:noProof/>
          <w:szCs w:val="22"/>
        </w:rPr>
      </w:pPr>
    </w:p>
    <w:p w:rsidR="00930A02" w:rsidRPr="00B336DF" w:rsidRDefault="00930A02" w:rsidP="00930A02">
      <w:pPr>
        <w:rPr>
          <w:noProof/>
          <w:szCs w:val="22"/>
        </w:rPr>
      </w:pPr>
      <w:r w:rsidRPr="00B336DF">
        <w:rPr>
          <w:noProof/>
          <w:szCs w:val="22"/>
        </w:rPr>
        <w:t>Χρησιμοποιείται για τη θεραπεία ασθενών (ενηλίκων και παιδιών άνω των 2 ετών) με:</w:t>
      </w:r>
    </w:p>
    <w:p w:rsidR="00930A02" w:rsidRPr="00B336DF" w:rsidRDefault="00930A02" w:rsidP="00930A02">
      <w:pPr>
        <w:pStyle w:val="a7"/>
        <w:numPr>
          <w:ilvl w:val="0"/>
          <w:numId w:val="5"/>
        </w:numPr>
        <w:ind w:left="426"/>
        <w:rPr>
          <w:noProof/>
          <w:szCs w:val="22"/>
        </w:rPr>
      </w:pPr>
      <w:r w:rsidRPr="00B336DF">
        <w:rPr>
          <w:noProof/>
          <w:szCs w:val="22"/>
        </w:rPr>
        <w:t>εν τω βάθει ασπεργίλλωση (ένας τύπος μυκητιασικής λοίμωξης, που οφείλεται σε είδη</w:t>
      </w:r>
    </w:p>
    <w:p w:rsidR="00930A02" w:rsidRPr="00B336DF" w:rsidRDefault="00930A02" w:rsidP="00930A02">
      <w:pPr>
        <w:ind w:firstLine="426"/>
        <w:rPr>
          <w:noProof/>
          <w:szCs w:val="22"/>
        </w:rPr>
      </w:pPr>
      <w:r w:rsidRPr="00B336DF">
        <w:rPr>
          <w:noProof/>
          <w:szCs w:val="22"/>
        </w:rPr>
        <w:t>Aspergillus),</w:t>
      </w:r>
    </w:p>
    <w:p w:rsidR="00930A02" w:rsidRPr="00B336DF" w:rsidRDefault="00930A02" w:rsidP="00930A02">
      <w:pPr>
        <w:pStyle w:val="a7"/>
        <w:numPr>
          <w:ilvl w:val="0"/>
          <w:numId w:val="5"/>
        </w:numPr>
        <w:ind w:left="426"/>
        <w:rPr>
          <w:noProof/>
          <w:szCs w:val="22"/>
        </w:rPr>
      </w:pPr>
      <w:r w:rsidRPr="00B336DF">
        <w:rPr>
          <w:noProof/>
          <w:szCs w:val="22"/>
        </w:rPr>
        <w:t>καντινταιμία (άλλος τύπος μυκητιασικής λοίμωξης που οφείλεται σε είδη Candida) σε μη</w:t>
      </w:r>
    </w:p>
    <w:p w:rsidR="00930A02" w:rsidRPr="00B336DF" w:rsidRDefault="00930A02" w:rsidP="00930A02">
      <w:pPr>
        <w:ind w:firstLine="426"/>
        <w:rPr>
          <w:noProof/>
          <w:szCs w:val="22"/>
        </w:rPr>
      </w:pPr>
      <w:r w:rsidRPr="00B336DF">
        <w:rPr>
          <w:noProof/>
          <w:szCs w:val="22"/>
        </w:rPr>
        <w:t>ουδετεροπενικούς ασθενείς (ασθενείς χωρίς παθολογικά χαμηλό αριθμό λευκοκυττάρων),</w:t>
      </w:r>
    </w:p>
    <w:p w:rsidR="00930A02" w:rsidRPr="00B336DF" w:rsidRDefault="00930A02" w:rsidP="00930A02">
      <w:pPr>
        <w:pStyle w:val="a7"/>
        <w:numPr>
          <w:ilvl w:val="0"/>
          <w:numId w:val="5"/>
        </w:numPr>
        <w:ind w:left="426"/>
        <w:rPr>
          <w:noProof/>
          <w:szCs w:val="22"/>
        </w:rPr>
      </w:pPr>
      <w:r w:rsidRPr="00B336DF">
        <w:rPr>
          <w:noProof/>
          <w:szCs w:val="22"/>
        </w:rPr>
        <w:t>σοβαρές εν τω βάθει, λοιμώξεις από είδη Candida, όταν ο μύκητας είναι ανθεκτικός στη</w:t>
      </w:r>
    </w:p>
    <w:p w:rsidR="00930A02" w:rsidRPr="00B336DF" w:rsidRDefault="00930A02" w:rsidP="00930A02">
      <w:pPr>
        <w:ind w:firstLine="426"/>
        <w:rPr>
          <w:noProof/>
          <w:szCs w:val="22"/>
        </w:rPr>
      </w:pPr>
      <w:r w:rsidRPr="00B336DF">
        <w:rPr>
          <w:noProof/>
          <w:szCs w:val="22"/>
        </w:rPr>
        <w:t>φλουκοναζόλη (ένα άλλο αντιμυκητιασικό φάρμακο),</w:t>
      </w:r>
    </w:p>
    <w:p w:rsidR="00930A02" w:rsidRPr="00B336DF" w:rsidRDefault="00930A02" w:rsidP="00930A02">
      <w:pPr>
        <w:pStyle w:val="a7"/>
        <w:numPr>
          <w:ilvl w:val="0"/>
          <w:numId w:val="5"/>
        </w:numPr>
        <w:ind w:left="426"/>
        <w:rPr>
          <w:noProof/>
          <w:szCs w:val="22"/>
        </w:rPr>
      </w:pPr>
      <w:r w:rsidRPr="00B336DF">
        <w:rPr>
          <w:noProof/>
          <w:szCs w:val="22"/>
        </w:rPr>
        <w:t>σοβαρές μυκητιασικές λοιμώξεις που προκαλούνται από είδη Scedosporium ή Fusarium (2</w:t>
      </w:r>
    </w:p>
    <w:p w:rsidR="00930A02" w:rsidRPr="00B336DF" w:rsidRDefault="00930A02" w:rsidP="00930A02">
      <w:pPr>
        <w:ind w:firstLine="426"/>
        <w:rPr>
          <w:noProof/>
          <w:szCs w:val="22"/>
        </w:rPr>
      </w:pPr>
      <w:r w:rsidRPr="00B336DF">
        <w:rPr>
          <w:noProof/>
          <w:szCs w:val="22"/>
        </w:rPr>
        <w:t>διαφορετικά είδη μυκήτων).</w:t>
      </w:r>
    </w:p>
    <w:p w:rsidR="00930A02" w:rsidRPr="00B336DF" w:rsidRDefault="00930A02" w:rsidP="00930A02">
      <w:pPr>
        <w:rPr>
          <w:noProof/>
          <w:szCs w:val="22"/>
        </w:rPr>
      </w:pPr>
    </w:p>
    <w:p w:rsidR="00930A02" w:rsidRPr="00B336DF" w:rsidRDefault="00930A02" w:rsidP="00930A02">
      <w:pPr>
        <w:rPr>
          <w:noProof/>
          <w:szCs w:val="22"/>
        </w:rPr>
      </w:pPr>
      <w:r w:rsidRPr="00B336DF">
        <w:rPr>
          <w:noProof/>
          <w:szCs w:val="22"/>
        </w:rPr>
        <w:t>Το Voriconazole BRADEX προορίζεται για ασθενείς με επιδεινούμενες, πιθανώς επαπειλούσες τη ζωή, μυκητιασικές λοιμώξεις.</w:t>
      </w:r>
    </w:p>
    <w:p w:rsidR="00930A02" w:rsidRPr="00B336DF" w:rsidRDefault="00930A02" w:rsidP="00930A02">
      <w:pPr>
        <w:rPr>
          <w:noProof/>
          <w:szCs w:val="22"/>
        </w:rPr>
      </w:pPr>
    </w:p>
    <w:p w:rsidR="00930A02" w:rsidRPr="00B336DF" w:rsidRDefault="00930A02" w:rsidP="00930A02">
      <w:pPr>
        <w:rPr>
          <w:noProof/>
          <w:szCs w:val="22"/>
        </w:rPr>
      </w:pPr>
      <w:r w:rsidRPr="00B336DF">
        <w:rPr>
          <w:noProof/>
          <w:szCs w:val="22"/>
        </w:rPr>
        <w:t>Πρόληψη των μυκητιασικών λοιμώξεων σε ασθενείς υψηλού κινδύνου που υποβάλλονται σε</w:t>
      </w:r>
    </w:p>
    <w:p w:rsidR="00930A02" w:rsidRPr="00B336DF" w:rsidRDefault="00930A02" w:rsidP="00930A02">
      <w:pPr>
        <w:rPr>
          <w:noProof/>
          <w:szCs w:val="22"/>
        </w:rPr>
      </w:pPr>
      <w:r w:rsidRPr="00B336DF">
        <w:rPr>
          <w:noProof/>
          <w:szCs w:val="22"/>
        </w:rPr>
        <w:t>μεταμόσχευση μυελού των οστών.</w:t>
      </w:r>
    </w:p>
    <w:p w:rsidR="00930A02" w:rsidRPr="00B336DF" w:rsidRDefault="00930A02" w:rsidP="00930A02">
      <w:pPr>
        <w:rPr>
          <w:noProof/>
          <w:szCs w:val="22"/>
        </w:rPr>
      </w:pPr>
    </w:p>
    <w:p w:rsidR="000875D3" w:rsidRPr="00B336DF" w:rsidRDefault="00930A02" w:rsidP="00930A02">
      <w:pPr>
        <w:rPr>
          <w:noProof/>
          <w:szCs w:val="22"/>
        </w:rPr>
      </w:pPr>
      <w:r w:rsidRPr="00B336DF">
        <w:rPr>
          <w:noProof/>
          <w:szCs w:val="22"/>
        </w:rPr>
        <w:t>Το προϊόν αυτό πρέπει να χρησιμοποιείται μόνον υπό την επίβλεψη του γιατρού.</w:t>
      </w:r>
    </w:p>
    <w:p w:rsidR="000875D3" w:rsidRPr="00B336DF" w:rsidRDefault="000875D3" w:rsidP="000875D3">
      <w:pPr>
        <w:rPr>
          <w:noProof/>
          <w:szCs w:val="22"/>
        </w:rPr>
      </w:pPr>
    </w:p>
    <w:p w:rsidR="00930A02" w:rsidRPr="00B336DF" w:rsidRDefault="00930A02" w:rsidP="000875D3">
      <w:pPr>
        <w:rPr>
          <w:noProof/>
          <w:szCs w:val="22"/>
        </w:rPr>
      </w:pPr>
    </w:p>
    <w:p w:rsidR="000875D3" w:rsidRPr="00B336DF" w:rsidRDefault="000875D3" w:rsidP="000875D3">
      <w:pPr>
        <w:rPr>
          <w:noProof/>
          <w:szCs w:val="22"/>
        </w:rPr>
      </w:pPr>
      <w:r w:rsidRPr="00B336DF">
        <w:rPr>
          <w:b/>
          <w:noProof/>
          <w:szCs w:val="22"/>
        </w:rPr>
        <w:t>2.</w:t>
      </w:r>
      <w:r w:rsidR="00930A02" w:rsidRPr="00B336DF">
        <w:rPr>
          <w:b/>
          <w:noProof/>
          <w:szCs w:val="22"/>
        </w:rPr>
        <w:t xml:space="preserve">Τι πρέπει να γνωρίζετε πριν </w:t>
      </w:r>
      <w:r w:rsidRPr="00B336DF">
        <w:rPr>
          <w:b/>
          <w:noProof/>
          <w:szCs w:val="22"/>
        </w:rPr>
        <w:t xml:space="preserve">πάρετε το </w:t>
      </w:r>
      <w:r w:rsidR="00930A02" w:rsidRPr="00B336DF">
        <w:rPr>
          <w:b/>
          <w:noProof/>
          <w:szCs w:val="22"/>
        </w:rPr>
        <w:t>Voriconazole BRADEX</w:t>
      </w:r>
      <w:r w:rsidRPr="00B336DF" w:rsidDel="0047347A">
        <w:rPr>
          <w:b/>
          <w:noProof/>
          <w:szCs w:val="22"/>
        </w:rPr>
        <w:t xml:space="preserve"> </w:t>
      </w:r>
    </w:p>
    <w:p w:rsidR="000875D3" w:rsidRPr="00B336DF" w:rsidRDefault="000875D3" w:rsidP="000875D3">
      <w:pPr>
        <w:rPr>
          <w:noProof/>
          <w:szCs w:val="22"/>
        </w:rPr>
      </w:pPr>
    </w:p>
    <w:p w:rsidR="000875D3" w:rsidRPr="00B336DF" w:rsidRDefault="00930A02" w:rsidP="000875D3">
      <w:pPr>
        <w:rPr>
          <w:b/>
          <w:noProof/>
          <w:szCs w:val="22"/>
        </w:rPr>
      </w:pPr>
      <w:r w:rsidRPr="00B336DF">
        <w:rPr>
          <w:b/>
          <w:noProof/>
          <w:szCs w:val="22"/>
        </w:rPr>
        <w:lastRenderedPageBreak/>
        <w:t xml:space="preserve">Μην </w:t>
      </w:r>
      <w:r w:rsidR="000875D3" w:rsidRPr="00B336DF">
        <w:rPr>
          <w:b/>
          <w:noProof/>
          <w:szCs w:val="22"/>
        </w:rPr>
        <w:t xml:space="preserve">πάρετε το </w:t>
      </w:r>
      <w:r w:rsidRPr="00B336DF">
        <w:rPr>
          <w:b/>
          <w:noProof/>
          <w:szCs w:val="22"/>
        </w:rPr>
        <w:t>Voriconazole BRADEX</w:t>
      </w:r>
    </w:p>
    <w:p w:rsidR="00930A02" w:rsidRPr="00B336DF" w:rsidRDefault="00930A02" w:rsidP="00930A02">
      <w:pPr>
        <w:widowControl/>
        <w:autoSpaceDE w:val="0"/>
        <w:autoSpaceDN w:val="0"/>
        <w:adjustRightInd w:val="0"/>
        <w:rPr>
          <w:rFonts w:eastAsiaTheme="minorEastAsia"/>
          <w:szCs w:val="22"/>
          <w:lang w:eastAsia="zh-CN"/>
        </w:rPr>
      </w:pP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Σε περίπτωση αλλεργίας στη δραστική ουσία βορικοναζόλη, ή στη νατριούχο σουλφοβουτυλο-αιθερο</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β-κυκλοδεξτρίνη (αναφέρονται στην παράγραφο 6).</w:t>
      </w:r>
    </w:p>
    <w:p w:rsidR="00930A02" w:rsidRPr="00B336DF" w:rsidRDefault="00930A02" w:rsidP="00930A02">
      <w:pPr>
        <w:widowControl/>
        <w:autoSpaceDE w:val="0"/>
        <w:autoSpaceDN w:val="0"/>
        <w:adjustRightInd w:val="0"/>
        <w:rPr>
          <w:rFonts w:eastAsiaTheme="minorEastAsia"/>
          <w:szCs w:val="22"/>
          <w:lang w:eastAsia="zh-CN"/>
        </w:rPr>
      </w:pP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Είναι πολύ σημαντικό να ενημερώσετε τον γιατρό σας ή τον φαρμακοποιό σας εάν παίρνετε ή έχετε</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πάρει οποιαδήποτε άλλα φάρμακα, ακόμα και αυτά που χορηγούνται χωρίς ιατρική συνταγή ή φυτικά</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φάρμακα. Δεν πρέπει να πάρετε τα φάρμακα της ακόλουθης λίστας την περίοδο που παίρνετε το</w:t>
      </w:r>
    </w:p>
    <w:p w:rsidR="000875D3" w:rsidRPr="00B336DF" w:rsidRDefault="00930A02" w:rsidP="00930A02">
      <w:pPr>
        <w:rPr>
          <w:rFonts w:eastAsiaTheme="minorEastAsia"/>
          <w:szCs w:val="22"/>
          <w:lang w:eastAsia="zh-CN"/>
        </w:rPr>
      </w:pPr>
      <w:r w:rsidRPr="00B336DF">
        <w:rPr>
          <w:rFonts w:eastAsiaTheme="minorEastAsia"/>
          <w:szCs w:val="22"/>
          <w:lang w:val="en-US" w:eastAsia="zh-CN"/>
        </w:rPr>
        <w:t>Voriconazole BRADEX:</w:t>
      </w:r>
    </w:p>
    <w:p w:rsidR="00930A02" w:rsidRPr="00B336DF" w:rsidRDefault="00930A02" w:rsidP="00930A02">
      <w:pPr>
        <w:widowControl/>
        <w:autoSpaceDE w:val="0"/>
        <w:autoSpaceDN w:val="0"/>
        <w:adjustRightInd w:val="0"/>
        <w:rPr>
          <w:rFonts w:eastAsiaTheme="minorEastAsia"/>
          <w:szCs w:val="22"/>
          <w:lang w:eastAsia="zh-CN"/>
        </w:rPr>
      </w:pPr>
    </w:p>
    <w:p w:rsidR="00930A02" w:rsidRPr="00B336DF" w:rsidRDefault="00930A02" w:rsidP="001A7333">
      <w:pPr>
        <w:pStyle w:val="a7"/>
        <w:numPr>
          <w:ilvl w:val="0"/>
          <w:numId w:val="5"/>
        </w:numPr>
        <w:ind w:left="426"/>
        <w:rPr>
          <w:noProof/>
          <w:szCs w:val="22"/>
        </w:rPr>
      </w:pPr>
      <w:r w:rsidRPr="00B336DF">
        <w:rPr>
          <w:noProof/>
          <w:szCs w:val="22"/>
        </w:rPr>
        <w:t>Τερφεναδίνη (χρησιμοποιείται για την αλλεργία)</w:t>
      </w:r>
    </w:p>
    <w:p w:rsidR="00930A02" w:rsidRPr="00B336DF" w:rsidRDefault="00930A02" w:rsidP="001A7333">
      <w:pPr>
        <w:pStyle w:val="a7"/>
        <w:numPr>
          <w:ilvl w:val="0"/>
          <w:numId w:val="5"/>
        </w:numPr>
        <w:ind w:left="426"/>
        <w:rPr>
          <w:noProof/>
          <w:szCs w:val="22"/>
        </w:rPr>
      </w:pPr>
      <w:r w:rsidRPr="00B336DF">
        <w:rPr>
          <w:noProof/>
          <w:szCs w:val="22"/>
        </w:rPr>
        <w:t>Αστεμιζόλη (χρησιμοποιείται για την αλλεργία)</w:t>
      </w:r>
    </w:p>
    <w:p w:rsidR="00930A02" w:rsidRPr="00B336DF" w:rsidRDefault="00930A02" w:rsidP="001A7333">
      <w:pPr>
        <w:pStyle w:val="a7"/>
        <w:numPr>
          <w:ilvl w:val="0"/>
          <w:numId w:val="5"/>
        </w:numPr>
        <w:ind w:left="426"/>
        <w:rPr>
          <w:noProof/>
          <w:szCs w:val="22"/>
        </w:rPr>
      </w:pPr>
      <w:r w:rsidRPr="00B336DF">
        <w:rPr>
          <w:noProof/>
          <w:szCs w:val="22"/>
        </w:rPr>
        <w:t>Σιζαπρίδη (χρησιμοποιείται για στομαχικά προβλήματα)</w:t>
      </w:r>
    </w:p>
    <w:p w:rsidR="00930A02" w:rsidRPr="00B336DF" w:rsidRDefault="00930A02" w:rsidP="001A7333">
      <w:pPr>
        <w:pStyle w:val="a7"/>
        <w:numPr>
          <w:ilvl w:val="0"/>
          <w:numId w:val="5"/>
        </w:numPr>
        <w:ind w:left="426"/>
        <w:rPr>
          <w:noProof/>
          <w:szCs w:val="22"/>
        </w:rPr>
      </w:pPr>
      <w:r w:rsidRPr="00B336DF">
        <w:rPr>
          <w:noProof/>
          <w:szCs w:val="22"/>
        </w:rPr>
        <w:t>Πιμοζίδη (χρησιμοποιείται για την αντιμετώπιση ψυχικών παθήσεων)</w:t>
      </w:r>
    </w:p>
    <w:p w:rsidR="00930A02" w:rsidRPr="00B336DF" w:rsidRDefault="00930A02" w:rsidP="001A7333">
      <w:pPr>
        <w:pStyle w:val="a7"/>
        <w:numPr>
          <w:ilvl w:val="0"/>
          <w:numId w:val="5"/>
        </w:numPr>
        <w:ind w:left="426"/>
        <w:rPr>
          <w:noProof/>
          <w:szCs w:val="22"/>
        </w:rPr>
      </w:pPr>
      <w:r w:rsidRPr="00B336DF">
        <w:rPr>
          <w:noProof/>
          <w:szCs w:val="22"/>
        </w:rPr>
        <w:t>Κινιδίνη (χρησιμοποιείται για τις καρδιακές αρρυθμίες)</w:t>
      </w:r>
    </w:p>
    <w:p w:rsidR="00930A02" w:rsidRPr="00B336DF" w:rsidRDefault="00930A02" w:rsidP="001A7333">
      <w:pPr>
        <w:pStyle w:val="a7"/>
        <w:numPr>
          <w:ilvl w:val="0"/>
          <w:numId w:val="5"/>
        </w:numPr>
        <w:ind w:left="426"/>
        <w:rPr>
          <w:noProof/>
          <w:szCs w:val="22"/>
        </w:rPr>
      </w:pPr>
      <w:r w:rsidRPr="00B336DF">
        <w:rPr>
          <w:noProof/>
          <w:szCs w:val="22"/>
        </w:rPr>
        <w:t>Ριφαμπικίνη (χρησιμοποιείται για τη θεραπεία της φυματίωσης)</w:t>
      </w:r>
    </w:p>
    <w:p w:rsidR="00930A02" w:rsidRPr="00B336DF" w:rsidRDefault="00930A02" w:rsidP="001A7333">
      <w:pPr>
        <w:pStyle w:val="a7"/>
        <w:numPr>
          <w:ilvl w:val="0"/>
          <w:numId w:val="5"/>
        </w:numPr>
        <w:ind w:left="426"/>
        <w:rPr>
          <w:noProof/>
          <w:szCs w:val="22"/>
        </w:rPr>
      </w:pPr>
      <w:r w:rsidRPr="00B336DF">
        <w:rPr>
          <w:noProof/>
          <w:szCs w:val="22"/>
        </w:rPr>
        <w:t>Εφαβιρένζη (χρησιμοποιείται στη θεραπεία κατά του AIDS) σε δόσεις των 400 mg και άνω, 1</w:t>
      </w:r>
      <w:r w:rsidR="001A7333" w:rsidRPr="00B336DF">
        <w:rPr>
          <w:noProof/>
          <w:szCs w:val="22"/>
        </w:rPr>
        <w:t xml:space="preserve"> </w:t>
      </w:r>
      <w:r w:rsidRPr="00B336DF">
        <w:rPr>
          <w:noProof/>
          <w:szCs w:val="22"/>
        </w:rPr>
        <w:t>φορά ημερησίως</w:t>
      </w:r>
    </w:p>
    <w:p w:rsidR="00930A02" w:rsidRPr="00B336DF" w:rsidRDefault="00930A02" w:rsidP="001A7333">
      <w:pPr>
        <w:pStyle w:val="a7"/>
        <w:numPr>
          <w:ilvl w:val="0"/>
          <w:numId w:val="5"/>
        </w:numPr>
        <w:ind w:left="426"/>
        <w:rPr>
          <w:noProof/>
          <w:szCs w:val="22"/>
        </w:rPr>
      </w:pPr>
      <w:r w:rsidRPr="00B336DF">
        <w:rPr>
          <w:noProof/>
          <w:szCs w:val="22"/>
        </w:rPr>
        <w:t>Καρβαμαζεπίνη (χρησιμοποιείται για την αντιμετώπιση σπασμών)</w:t>
      </w:r>
    </w:p>
    <w:p w:rsidR="00930A02" w:rsidRPr="00B336DF" w:rsidRDefault="00930A02" w:rsidP="001A7333">
      <w:pPr>
        <w:pStyle w:val="a7"/>
        <w:numPr>
          <w:ilvl w:val="0"/>
          <w:numId w:val="5"/>
        </w:numPr>
        <w:ind w:left="426"/>
        <w:rPr>
          <w:noProof/>
          <w:szCs w:val="22"/>
        </w:rPr>
      </w:pPr>
      <w:r w:rsidRPr="00B336DF">
        <w:rPr>
          <w:noProof/>
          <w:szCs w:val="22"/>
        </w:rPr>
        <w:t>Φαινοβαρβιτάλη (χρησιμοποιείται για την αντιμετώπιση σοβαρής αϋπνίας και σπασμών)</w:t>
      </w:r>
    </w:p>
    <w:p w:rsidR="00930A02" w:rsidRPr="00B336DF" w:rsidRDefault="00930A02" w:rsidP="001A7333">
      <w:pPr>
        <w:pStyle w:val="a7"/>
        <w:numPr>
          <w:ilvl w:val="0"/>
          <w:numId w:val="5"/>
        </w:numPr>
        <w:ind w:left="426"/>
        <w:rPr>
          <w:noProof/>
          <w:szCs w:val="22"/>
        </w:rPr>
      </w:pPr>
      <w:r w:rsidRPr="00B336DF">
        <w:rPr>
          <w:noProof/>
          <w:szCs w:val="22"/>
        </w:rPr>
        <w:t>Αλκαλοειδή της ερυσιβώδους όλυρας (π.χ., εργοταμίνη, διυδροεργοταμίνη, χρησιμοποιούνται</w:t>
      </w:r>
      <w:r w:rsidR="001A7333" w:rsidRPr="00B336DF">
        <w:rPr>
          <w:noProof/>
          <w:szCs w:val="22"/>
        </w:rPr>
        <w:t xml:space="preserve"> </w:t>
      </w:r>
      <w:r w:rsidRPr="00B336DF">
        <w:rPr>
          <w:noProof/>
          <w:szCs w:val="22"/>
        </w:rPr>
        <w:t>για την ημικρανία)</w:t>
      </w:r>
    </w:p>
    <w:p w:rsidR="00930A02" w:rsidRPr="00B336DF" w:rsidRDefault="00930A02" w:rsidP="001A7333">
      <w:pPr>
        <w:pStyle w:val="a7"/>
        <w:numPr>
          <w:ilvl w:val="0"/>
          <w:numId w:val="5"/>
        </w:numPr>
        <w:ind w:left="426"/>
        <w:rPr>
          <w:noProof/>
          <w:szCs w:val="22"/>
        </w:rPr>
      </w:pPr>
      <w:r w:rsidRPr="00B336DF">
        <w:rPr>
          <w:noProof/>
          <w:szCs w:val="22"/>
        </w:rPr>
        <w:t>Σιρόλιμους (χρησιμοποιείται σε ασθενείς που υποβλήθηκαν σε μεταμόσχευση)</w:t>
      </w:r>
    </w:p>
    <w:p w:rsidR="00930A02" w:rsidRPr="00B336DF" w:rsidRDefault="00930A02" w:rsidP="001A7333">
      <w:pPr>
        <w:pStyle w:val="a7"/>
        <w:numPr>
          <w:ilvl w:val="0"/>
          <w:numId w:val="5"/>
        </w:numPr>
        <w:ind w:left="426"/>
        <w:rPr>
          <w:noProof/>
          <w:szCs w:val="22"/>
        </w:rPr>
      </w:pPr>
      <w:r w:rsidRPr="00B336DF">
        <w:rPr>
          <w:noProof/>
          <w:szCs w:val="22"/>
        </w:rPr>
        <w:t>Ριτοναβίρη (χρησιμοποιείται στη θεραπεία κατά του AIDS) σε δόσεις των 400 mg και άνω, 2</w:t>
      </w:r>
      <w:r w:rsidR="001A7333" w:rsidRPr="00B336DF">
        <w:rPr>
          <w:noProof/>
          <w:szCs w:val="22"/>
        </w:rPr>
        <w:t xml:space="preserve"> </w:t>
      </w:r>
      <w:r w:rsidRPr="00B336DF">
        <w:rPr>
          <w:noProof/>
          <w:szCs w:val="22"/>
        </w:rPr>
        <w:t>φορές ημερησίως</w:t>
      </w:r>
    </w:p>
    <w:p w:rsidR="00930A02" w:rsidRPr="00B336DF" w:rsidRDefault="00930A02" w:rsidP="001A7333">
      <w:pPr>
        <w:pStyle w:val="a7"/>
        <w:numPr>
          <w:ilvl w:val="0"/>
          <w:numId w:val="5"/>
        </w:numPr>
        <w:ind w:left="426"/>
        <w:rPr>
          <w:noProof/>
          <w:szCs w:val="22"/>
        </w:rPr>
      </w:pPr>
      <w:r w:rsidRPr="00B336DF">
        <w:rPr>
          <w:noProof/>
          <w:szCs w:val="22"/>
        </w:rPr>
        <w:t>St. John’s Wort (φυτικό συμπλήρωμα)</w:t>
      </w:r>
    </w:p>
    <w:p w:rsidR="00930A02" w:rsidRPr="00B336DF" w:rsidRDefault="00930A02" w:rsidP="000875D3">
      <w:pPr>
        <w:rPr>
          <w:b/>
          <w:noProof/>
          <w:szCs w:val="22"/>
        </w:rPr>
      </w:pPr>
    </w:p>
    <w:p w:rsidR="000875D3" w:rsidRPr="00B336DF" w:rsidRDefault="000875D3" w:rsidP="000875D3">
      <w:pPr>
        <w:rPr>
          <w:noProof/>
          <w:szCs w:val="22"/>
        </w:rPr>
      </w:pPr>
      <w:r w:rsidRPr="00B336DF">
        <w:rPr>
          <w:b/>
          <w:noProof/>
          <w:szCs w:val="22"/>
        </w:rPr>
        <w:t>Προειδοποιήσεις και προφυλάξεις</w:t>
      </w:r>
    </w:p>
    <w:p w:rsidR="000875D3" w:rsidRPr="00B336DF" w:rsidRDefault="000875D3" w:rsidP="000875D3">
      <w:pPr>
        <w:rPr>
          <w:noProof/>
          <w:szCs w:val="22"/>
        </w:rPr>
      </w:pP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 xml:space="preserve">Απευθυνθείτε στον γιατρό, τον φαρμακοποιό ή τον νοσοκόμο σας προτού πάρετε το </w:t>
      </w:r>
      <w:r w:rsidR="00C0675B"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εάν:</w:t>
      </w:r>
    </w:p>
    <w:p w:rsidR="00930A02" w:rsidRPr="00B336DF" w:rsidRDefault="00930A02" w:rsidP="00930A02">
      <w:pPr>
        <w:widowControl/>
        <w:autoSpaceDE w:val="0"/>
        <w:autoSpaceDN w:val="0"/>
        <w:adjustRightInd w:val="0"/>
        <w:rPr>
          <w:rFonts w:eastAsiaTheme="minorEastAsia"/>
          <w:szCs w:val="22"/>
          <w:lang w:eastAsia="zh-CN"/>
        </w:rPr>
      </w:pPr>
    </w:p>
    <w:p w:rsidR="00930A02" w:rsidRPr="00B336DF" w:rsidRDefault="00930A02" w:rsidP="001A7333">
      <w:pPr>
        <w:pStyle w:val="a7"/>
        <w:numPr>
          <w:ilvl w:val="0"/>
          <w:numId w:val="5"/>
        </w:numPr>
        <w:ind w:left="426"/>
        <w:rPr>
          <w:noProof/>
          <w:szCs w:val="22"/>
        </w:rPr>
      </w:pPr>
      <w:r w:rsidRPr="00B336DF">
        <w:rPr>
          <w:noProof/>
          <w:szCs w:val="22"/>
        </w:rPr>
        <w:t>είχατε αλλεργική αντίδραση σε άλλες αζόλες.</w:t>
      </w:r>
    </w:p>
    <w:p w:rsidR="00930A02" w:rsidRPr="00B336DF" w:rsidRDefault="00930A02" w:rsidP="001A7333">
      <w:pPr>
        <w:pStyle w:val="a7"/>
        <w:numPr>
          <w:ilvl w:val="0"/>
          <w:numId w:val="5"/>
        </w:numPr>
        <w:ind w:left="426"/>
        <w:rPr>
          <w:noProof/>
          <w:szCs w:val="22"/>
        </w:rPr>
      </w:pPr>
      <w:r w:rsidRPr="00B336DF">
        <w:rPr>
          <w:noProof/>
          <w:szCs w:val="22"/>
        </w:rPr>
        <w:t>πάσχετε ή πάσχατε ποτέ από ηπατική νόσο. Εάν έχετε ηπατική νόσο, ο γιατρός σας μπορεί να</w:t>
      </w:r>
    </w:p>
    <w:p w:rsidR="00930A02" w:rsidRPr="00B336DF" w:rsidRDefault="00930A02" w:rsidP="00C040B6">
      <w:pPr>
        <w:pStyle w:val="a7"/>
        <w:ind w:left="426"/>
        <w:rPr>
          <w:noProof/>
          <w:szCs w:val="22"/>
        </w:rPr>
      </w:pPr>
      <w:r w:rsidRPr="00B336DF">
        <w:rPr>
          <w:noProof/>
          <w:szCs w:val="22"/>
        </w:rPr>
        <w:t xml:space="preserve">συνταγογραφήσει μία χαμηλότερη δόση </w:t>
      </w:r>
      <w:r w:rsidR="00C0675B" w:rsidRPr="00B336DF">
        <w:rPr>
          <w:noProof/>
          <w:szCs w:val="22"/>
        </w:rPr>
        <w:t>Voriconazole</w:t>
      </w:r>
      <w:r w:rsidR="00983777" w:rsidRPr="00B336DF">
        <w:rPr>
          <w:noProof/>
          <w:szCs w:val="22"/>
        </w:rPr>
        <w:t xml:space="preserve"> BRADEX</w:t>
      </w:r>
      <w:r w:rsidRPr="00B336DF">
        <w:rPr>
          <w:noProof/>
          <w:szCs w:val="22"/>
        </w:rPr>
        <w:t xml:space="preserve">. Ο </w:t>
      </w:r>
      <w:r w:rsidR="001A7333" w:rsidRPr="00B336DF">
        <w:rPr>
          <w:noProof/>
          <w:szCs w:val="22"/>
        </w:rPr>
        <w:t xml:space="preserve">γιατρός σας θα πρέπει </w:t>
      </w:r>
      <w:r w:rsidRPr="00B336DF">
        <w:rPr>
          <w:noProof/>
          <w:szCs w:val="22"/>
        </w:rPr>
        <w:t xml:space="preserve">επίσης ναπαρακολουθεί την ηπατική σας λειτουργία, ενώ είστε υπό θεραπεία με </w:t>
      </w:r>
      <w:r w:rsidR="00C0675B" w:rsidRPr="00B336DF">
        <w:rPr>
          <w:noProof/>
          <w:szCs w:val="22"/>
        </w:rPr>
        <w:t>Voriconazole</w:t>
      </w:r>
      <w:r w:rsidR="00983777" w:rsidRPr="00B336DF">
        <w:rPr>
          <w:noProof/>
          <w:szCs w:val="22"/>
        </w:rPr>
        <w:t xml:space="preserve"> BRADEX</w:t>
      </w:r>
      <w:r w:rsidRPr="00B336DF">
        <w:rPr>
          <w:noProof/>
          <w:szCs w:val="22"/>
        </w:rPr>
        <w:t>, με εξετάσεις</w:t>
      </w:r>
      <w:r w:rsidR="001A7333" w:rsidRPr="00B336DF">
        <w:rPr>
          <w:noProof/>
          <w:szCs w:val="22"/>
        </w:rPr>
        <w:t xml:space="preserve"> </w:t>
      </w:r>
      <w:r w:rsidRPr="00B336DF">
        <w:rPr>
          <w:noProof/>
          <w:szCs w:val="22"/>
        </w:rPr>
        <w:t>αίματος.</w:t>
      </w:r>
    </w:p>
    <w:p w:rsidR="00930A02" w:rsidRPr="00B336DF" w:rsidRDefault="00930A02" w:rsidP="001A7333">
      <w:pPr>
        <w:pStyle w:val="a7"/>
        <w:numPr>
          <w:ilvl w:val="0"/>
          <w:numId w:val="5"/>
        </w:numPr>
        <w:ind w:left="426"/>
        <w:rPr>
          <w:noProof/>
          <w:szCs w:val="22"/>
        </w:rPr>
      </w:pPr>
      <w:r w:rsidRPr="00B336DF">
        <w:rPr>
          <w:noProof/>
          <w:szCs w:val="22"/>
        </w:rPr>
        <w:t>εάν γνωρίζετε ότι έχετε καρδιoμυοπάθεια, ανώμαλο καρδιακό ρυθμό, βραδυκαρδία ή μία</w:t>
      </w:r>
      <w:r w:rsidR="001A7333" w:rsidRPr="00B336DF">
        <w:rPr>
          <w:noProof/>
          <w:szCs w:val="22"/>
        </w:rPr>
        <w:t xml:space="preserve"> </w:t>
      </w:r>
      <w:r w:rsidRPr="00B336DF">
        <w:rPr>
          <w:noProof/>
          <w:szCs w:val="22"/>
        </w:rPr>
        <w:t>ανωμαλία</w:t>
      </w:r>
      <w:r w:rsidRPr="00B336DF">
        <w:rPr>
          <w:rFonts w:eastAsiaTheme="minorEastAsia"/>
          <w:szCs w:val="22"/>
          <w:lang w:eastAsia="zh-CN"/>
        </w:rPr>
        <w:t xml:space="preserve"> στο ηλεκτροκαρδιογράφημα (ΗΚΓ) η οποία ονομάζεται «σύνδρομο μακρού </w:t>
      </w:r>
      <w:r w:rsidRPr="00B336DF">
        <w:rPr>
          <w:rFonts w:eastAsiaTheme="minorEastAsia"/>
          <w:szCs w:val="22"/>
          <w:lang w:val="en-US" w:eastAsia="zh-CN"/>
        </w:rPr>
        <w:t>QTc</w:t>
      </w:r>
      <w:r w:rsidRPr="00B336DF">
        <w:rPr>
          <w:rFonts w:eastAsiaTheme="minorEastAsia"/>
          <w:szCs w:val="22"/>
          <w:lang w:eastAsia="zh-CN"/>
        </w:rPr>
        <w:t>».</w:t>
      </w:r>
    </w:p>
    <w:p w:rsidR="00930A02" w:rsidRPr="00B336DF" w:rsidRDefault="00930A02" w:rsidP="00930A02">
      <w:pPr>
        <w:widowControl/>
        <w:autoSpaceDE w:val="0"/>
        <w:autoSpaceDN w:val="0"/>
        <w:adjustRightInd w:val="0"/>
        <w:rPr>
          <w:rFonts w:eastAsiaTheme="minorEastAsia"/>
          <w:szCs w:val="22"/>
          <w:lang w:eastAsia="zh-CN"/>
        </w:rPr>
      </w:pP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Θα πρέπει να αποφεύγετε οποιαδήποτε έκθεση σε ηλιακό φως και στον ήλιο κατά τη διάρκεια της</w:t>
      </w:r>
    </w:p>
    <w:p w:rsidR="00930A02" w:rsidRPr="00B336DF" w:rsidRDefault="00930A02" w:rsidP="00930A02">
      <w:pPr>
        <w:widowControl/>
        <w:autoSpaceDE w:val="0"/>
        <w:autoSpaceDN w:val="0"/>
        <w:adjustRightInd w:val="0"/>
        <w:ind w:left="426" w:hanging="426"/>
        <w:rPr>
          <w:rFonts w:eastAsiaTheme="minorEastAsia"/>
          <w:szCs w:val="22"/>
          <w:lang w:eastAsia="zh-CN"/>
        </w:rPr>
      </w:pPr>
      <w:r w:rsidRPr="00B336DF">
        <w:rPr>
          <w:rFonts w:eastAsiaTheme="minorEastAsia"/>
          <w:szCs w:val="22"/>
          <w:lang w:eastAsia="zh-CN"/>
        </w:rPr>
        <w:t>θεραπείας. Είναι σημαντικό να καλύπτετε τις επιφάνειες του δέρματος που είναι εκτεθειμένες στον</w:t>
      </w:r>
    </w:p>
    <w:p w:rsidR="00930A02" w:rsidRPr="00B336DF" w:rsidRDefault="00930A02"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ήλιο και να χρησιμοποιείτε αντιηλιακό με υψηλό δείκτη προστασίας από τον ήλιο (</w:t>
      </w:r>
      <w:r w:rsidRPr="00B336DF">
        <w:rPr>
          <w:rFonts w:eastAsiaTheme="minorEastAsia"/>
          <w:szCs w:val="22"/>
          <w:lang w:val="en-US" w:eastAsia="zh-CN"/>
        </w:rPr>
        <w:t>SPF</w:t>
      </w:r>
      <w:r w:rsidRPr="00B336DF">
        <w:rPr>
          <w:rFonts w:eastAsiaTheme="minorEastAsia"/>
          <w:szCs w:val="22"/>
          <w:lang w:eastAsia="zh-CN"/>
        </w:rPr>
        <w:t>), καθώς</w:t>
      </w:r>
      <w:r w:rsidR="00C96646" w:rsidRPr="00B336DF">
        <w:rPr>
          <w:rFonts w:eastAsiaTheme="minorEastAsia"/>
          <w:szCs w:val="22"/>
          <w:lang w:eastAsia="zh-CN"/>
        </w:rPr>
        <w:t xml:space="preserve"> </w:t>
      </w:r>
      <w:r w:rsidRPr="00B336DF">
        <w:rPr>
          <w:rFonts w:eastAsiaTheme="minorEastAsia"/>
          <w:szCs w:val="22"/>
          <w:lang w:eastAsia="zh-CN"/>
        </w:rPr>
        <w:t>μπορεί να εμφανιστεί αυξημένη ευαισθησία του δέρματος στις υπεριώδεις ακτίνες του ήλιου. Αυτές οι</w:t>
      </w: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προφυλάξεις ισχύουν επίσης για τα παιδιά.</w:t>
      </w:r>
    </w:p>
    <w:p w:rsidR="00C96646" w:rsidRPr="00B336DF" w:rsidRDefault="00C96646" w:rsidP="00930A02">
      <w:pPr>
        <w:widowControl/>
        <w:autoSpaceDE w:val="0"/>
        <w:autoSpaceDN w:val="0"/>
        <w:adjustRightInd w:val="0"/>
        <w:rPr>
          <w:rFonts w:eastAsiaTheme="minorEastAsia"/>
          <w:szCs w:val="22"/>
          <w:lang w:eastAsia="zh-CN"/>
        </w:rPr>
      </w:pPr>
    </w:p>
    <w:p w:rsidR="00930A02" w:rsidRPr="00B336DF" w:rsidRDefault="00930A02" w:rsidP="00930A02">
      <w:pPr>
        <w:widowControl/>
        <w:autoSpaceDE w:val="0"/>
        <w:autoSpaceDN w:val="0"/>
        <w:adjustRightInd w:val="0"/>
        <w:rPr>
          <w:rFonts w:eastAsiaTheme="minorEastAsia"/>
          <w:szCs w:val="22"/>
          <w:lang w:eastAsia="zh-CN"/>
        </w:rPr>
      </w:pPr>
      <w:r w:rsidRPr="00B336DF">
        <w:rPr>
          <w:rFonts w:eastAsiaTheme="minorEastAsia"/>
          <w:szCs w:val="22"/>
          <w:lang w:eastAsia="zh-CN"/>
        </w:rPr>
        <w:t xml:space="preserve">Ενώ λαμβάνετε θεραπεία με </w:t>
      </w:r>
      <w:r w:rsidR="00983777" w:rsidRPr="00B336DF">
        <w:rPr>
          <w:rFonts w:eastAsiaTheme="minorEastAsia"/>
          <w:szCs w:val="22"/>
          <w:lang w:val="en-US" w:eastAsia="zh-CN"/>
        </w:rPr>
        <w:t>V</w:t>
      </w:r>
      <w:r w:rsidR="00D019EE" w:rsidRPr="00B336DF">
        <w:rPr>
          <w:rFonts w:eastAsiaTheme="minorEastAsia"/>
          <w:szCs w:val="22"/>
          <w:lang w:val="en-US" w:eastAsia="zh-CN"/>
        </w:rPr>
        <w:t>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w:t>
      </w:r>
    </w:p>
    <w:p w:rsidR="00930A02" w:rsidRPr="00B336DF" w:rsidRDefault="00930A02" w:rsidP="00735384">
      <w:pPr>
        <w:pStyle w:val="a7"/>
        <w:numPr>
          <w:ilvl w:val="0"/>
          <w:numId w:val="5"/>
        </w:numPr>
        <w:ind w:left="851"/>
        <w:rPr>
          <w:noProof/>
          <w:szCs w:val="22"/>
        </w:rPr>
      </w:pPr>
      <w:r w:rsidRPr="00B336DF">
        <w:rPr>
          <w:noProof/>
          <w:szCs w:val="22"/>
        </w:rPr>
        <w:t>ενημερώστε αμέσως τον γιατρό σας, αν αναπτύξετε</w:t>
      </w:r>
    </w:p>
    <w:p w:rsidR="00930A02" w:rsidRPr="00B336DF" w:rsidRDefault="00930A02" w:rsidP="00735384">
      <w:pPr>
        <w:pStyle w:val="a7"/>
        <w:numPr>
          <w:ilvl w:val="0"/>
          <w:numId w:val="5"/>
        </w:numPr>
        <w:ind w:left="851"/>
        <w:rPr>
          <w:noProof/>
          <w:szCs w:val="22"/>
        </w:rPr>
      </w:pPr>
      <w:r w:rsidRPr="00B336DF">
        <w:rPr>
          <w:noProof/>
          <w:szCs w:val="22"/>
        </w:rPr>
        <w:t>έγκαυμα από ηλιακή ακτινοβολία</w:t>
      </w:r>
    </w:p>
    <w:p w:rsidR="00930A02" w:rsidRPr="00B336DF" w:rsidRDefault="00930A02" w:rsidP="00735384">
      <w:pPr>
        <w:pStyle w:val="a7"/>
        <w:numPr>
          <w:ilvl w:val="0"/>
          <w:numId w:val="5"/>
        </w:numPr>
        <w:ind w:left="851"/>
        <w:rPr>
          <w:noProof/>
          <w:szCs w:val="22"/>
        </w:rPr>
      </w:pPr>
      <w:r w:rsidRPr="00B336DF">
        <w:rPr>
          <w:noProof/>
          <w:szCs w:val="22"/>
        </w:rPr>
        <w:t>σοβαρό δερματικό εξάνθημα ή φυσαλίδες</w:t>
      </w:r>
    </w:p>
    <w:p w:rsidR="00930A02" w:rsidRPr="00B336DF" w:rsidRDefault="00930A02" w:rsidP="00735384">
      <w:pPr>
        <w:pStyle w:val="a7"/>
        <w:numPr>
          <w:ilvl w:val="0"/>
          <w:numId w:val="5"/>
        </w:numPr>
        <w:ind w:left="851"/>
        <w:rPr>
          <w:noProof/>
          <w:szCs w:val="22"/>
        </w:rPr>
      </w:pPr>
      <w:r w:rsidRPr="00B336DF">
        <w:rPr>
          <w:noProof/>
          <w:szCs w:val="22"/>
        </w:rPr>
        <w:t>πόνο στα οστά</w:t>
      </w:r>
    </w:p>
    <w:p w:rsidR="00C96646" w:rsidRPr="00B336DF" w:rsidRDefault="00C96646" w:rsidP="00C96646">
      <w:pPr>
        <w:ind w:left="426" w:hanging="426"/>
        <w:rPr>
          <w:rFonts w:eastAsiaTheme="minorEastAsia"/>
          <w:szCs w:val="22"/>
          <w:lang w:eastAsia="zh-CN"/>
        </w:rPr>
      </w:pP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lastRenderedPageBreak/>
        <w:t>Εάν εμφανίσετε διαταραχές του δέρματος, όπως περιγράφονται παραπάνω, ο γιατρός σας μπορεί να σας παραπέμψει σε έναν δερματολόγο, ο οποίος μετά την επίσκεψη μπορεί να αποφασίσει ότι είναι σημαντικό να έχετε παρακολούθηση σε τακτική βάση. Υπάρχει μικρή πιθανότητα εμφάνισης</w:t>
      </w:r>
    </w:p>
    <w:p w:rsidR="00C96646" w:rsidRPr="00B336DF" w:rsidRDefault="00C96646" w:rsidP="00C96646">
      <w:pPr>
        <w:ind w:left="426" w:hanging="426"/>
        <w:rPr>
          <w:rFonts w:eastAsiaTheme="minorEastAsia"/>
          <w:szCs w:val="22"/>
          <w:lang w:eastAsia="zh-CN"/>
        </w:rPr>
      </w:pPr>
      <w:r w:rsidRPr="00B336DF">
        <w:rPr>
          <w:rFonts w:eastAsiaTheme="minorEastAsia"/>
          <w:szCs w:val="22"/>
          <w:lang w:eastAsia="zh-CN"/>
        </w:rPr>
        <w:t xml:space="preserve">καρκίνου του δέρματος με τη μακροχρόνια χρήση του </w:t>
      </w:r>
      <w:r w:rsidR="00C0675B" w:rsidRPr="00B336DF">
        <w:rPr>
          <w:rFonts w:eastAsiaTheme="minorEastAsia"/>
          <w:szCs w:val="22"/>
          <w:lang w:eastAsia="zh-CN"/>
        </w:rPr>
        <w:t>Voriconazole Bradex</w:t>
      </w:r>
      <w:r w:rsidRPr="00B336DF">
        <w:rPr>
          <w:rFonts w:eastAsiaTheme="minorEastAsia"/>
          <w:szCs w:val="22"/>
          <w:lang w:eastAsia="zh-CN"/>
        </w:rPr>
        <w:t>.</w:t>
      </w:r>
    </w:p>
    <w:p w:rsidR="00C96646" w:rsidRPr="00B336DF" w:rsidRDefault="00C96646" w:rsidP="00C96646">
      <w:pPr>
        <w:ind w:left="426" w:hanging="426"/>
        <w:rPr>
          <w:rFonts w:eastAsiaTheme="minorEastAsia"/>
          <w:szCs w:val="22"/>
          <w:lang w:eastAsia="zh-CN"/>
        </w:rPr>
      </w:pPr>
    </w:p>
    <w:p w:rsidR="00C96646" w:rsidRPr="00B336DF" w:rsidRDefault="00C96646" w:rsidP="00C96646">
      <w:pPr>
        <w:rPr>
          <w:bCs/>
          <w:noProof/>
          <w:szCs w:val="22"/>
        </w:rPr>
      </w:pPr>
      <w:r w:rsidRPr="00B336DF">
        <w:rPr>
          <w:bCs/>
          <w:noProof/>
          <w:szCs w:val="22"/>
        </w:rPr>
        <w:t>Ο γιατρός σας πρέπει να παρακολουθεί την ηπατική και νεφρική λειτουργία σας με εξετάσεις αίματος.</w:t>
      </w:r>
    </w:p>
    <w:p w:rsidR="00C96646" w:rsidRPr="00B336DF" w:rsidRDefault="00C96646" w:rsidP="000875D3">
      <w:pPr>
        <w:rPr>
          <w:b/>
          <w:bCs/>
          <w:noProof/>
          <w:szCs w:val="22"/>
        </w:rPr>
      </w:pPr>
    </w:p>
    <w:p w:rsidR="00C96646" w:rsidRPr="00B336DF" w:rsidRDefault="00C96646" w:rsidP="000875D3">
      <w:pPr>
        <w:rPr>
          <w:b/>
          <w:bCs/>
          <w:noProof/>
          <w:szCs w:val="22"/>
        </w:rPr>
      </w:pPr>
      <w:r w:rsidRPr="00B336DF">
        <w:rPr>
          <w:b/>
          <w:bCs/>
          <w:noProof/>
          <w:szCs w:val="22"/>
        </w:rPr>
        <w:t xml:space="preserve">Παιδιά </w:t>
      </w:r>
      <w:r w:rsidR="000875D3" w:rsidRPr="00B336DF">
        <w:rPr>
          <w:b/>
          <w:bCs/>
          <w:noProof/>
          <w:szCs w:val="22"/>
        </w:rPr>
        <w:t>και έφηβοι</w:t>
      </w:r>
    </w:p>
    <w:p w:rsidR="00C96646" w:rsidRPr="00B336DF" w:rsidRDefault="00C96646" w:rsidP="000875D3">
      <w:pPr>
        <w:rPr>
          <w:b/>
          <w:bCs/>
          <w:noProof/>
          <w:szCs w:val="22"/>
        </w:rPr>
      </w:pPr>
    </w:p>
    <w:p w:rsidR="000875D3" w:rsidRPr="00B336DF" w:rsidRDefault="00C96646" w:rsidP="000875D3">
      <w:pPr>
        <w:rPr>
          <w:b/>
          <w:bCs/>
          <w:noProof/>
          <w:szCs w:val="22"/>
        </w:rPr>
      </w:pPr>
      <w:r w:rsidRPr="00B336DF">
        <w:rPr>
          <w:rFonts w:eastAsiaTheme="minorEastAsia"/>
          <w:szCs w:val="22"/>
          <w:lang w:eastAsia="zh-CN"/>
        </w:rPr>
        <w:t xml:space="preserve">Το </w:t>
      </w:r>
      <w:r w:rsidR="00C0675B"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δεν θα πρέπει να χορηγείται σε παιδιά μικρότερα των 2 ετών.</w:t>
      </w:r>
      <w:r w:rsidR="000875D3" w:rsidRPr="00B336DF">
        <w:rPr>
          <w:b/>
          <w:bCs/>
          <w:noProof/>
          <w:szCs w:val="22"/>
        </w:rPr>
        <w:t xml:space="preserve"> </w:t>
      </w:r>
    </w:p>
    <w:p w:rsidR="000875D3" w:rsidRPr="00B336DF" w:rsidRDefault="000875D3" w:rsidP="000875D3">
      <w:pPr>
        <w:rPr>
          <w:b/>
          <w:bCs/>
          <w:noProof/>
          <w:szCs w:val="22"/>
        </w:rPr>
      </w:pPr>
    </w:p>
    <w:p w:rsidR="000875D3" w:rsidRPr="00B336DF" w:rsidRDefault="000875D3" w:rsidP="000875D3">
      <w:pPr>
        <w:rPr>
          <w:b/>
          <w:bCs/>
          <w:noProof/>
          <w:szCs w:val="22"/>
        </w:rPr>
      </w:pPr>
      <w:r w:rsidRPr="00B336DF">
        <w:rPr>
          <w:b/>
          <w:bCs/>
          <w:noProof/>
          <w:szCs w:val="22"/>
        </w:rPr>
        <w:t xml:space="preserve">Άλλα φάρμακα και </w:t>
      </w:r>
      <w:r w:rsidR="00C0675B" w:rsidRPr="00B336DF">
        <w:rPr>
          <w:b/>
          <w:bCs/>
          <w:noProof/>
          <w:szCs w:val="22"/>
        </w:rPr>
        <w:t>Voriconazole BRADEX</w:t>
      </w:r>
    </w:p>
    <w:p w:rsidR="00C96646" w:rsidRPr="00B336DF" w:rsidRDefault="00C96646" w:rsidP="000875D3">
      <w:pPr>
        <w:rPr>
          <w:b/>
          <w:bCs/>
          <w:noProof/>
          <w:szCs w:val="22"/>
        </w:rPr>
      </w:pP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Παρακαλείστε να ενημερώσετε τον γιατρό ή τον φαρμακοποιό σας εάν παίρνετε, έχετε πρόσφατα πάρει ή μπορεί να πάρετε άλλα φάρμακα, ακόμη και αυτά που χορηγούνται χωρίς ιατρική συνταγή.</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1A7333">
      <w:pPr>
        <w:pStyle w:val="a7"/>
        <w:numPr>
          <w:ilvl w:val="0"/>
          <w:numId w:val="5"/>
        </w:numPr>
        <w:ind w:left="426"/>
        <w:rPr>
          <w:noProof/>
          <w:szCs w:val="22"/>
        </w:rPr>
      </w:pPr>
      <w:r w:rsidRPr="00B336DF">
        <w:rPr>
          <w:noProof/>
          <w:szCs w:val="22"/>
        </w:rPr>
        <w:t xml:space="preserve">Μερικά φάρμακα, όταν λαμβάνονται ταυτόχρονα με το </w:t>
      </w:r>
      <w:r w:rsidR="00C0675B" w:rsidRPr="00B336DF">
        <w:rPr>
          <w:noProof/>
          <w:szCs w:val="22"/>
        </w:rPr>
        <w:t>Voriconazole</w:t>
      </w:r>
      <w:r w:rsidR="00983777" w:rsidRPr="00B336DF">
        <w:rPr>
          <w:noProof/>
          <w:szCs w:val="22"/>
        </w:rPr>
        <w:t xml:space="preserve"> BRADEX</w:t>
      </w:r>
      <w:r w:rsidRPr="00B336DF">
        <w:rPr>
          <w:noProof/>
          <w:szCs w:val="22"/>
        </w:rPr>
        <w:t>, μπορούν να επηρεάσουν τη</w:t>
      </w:r>
      <w:r w:rsidR="001A7333" w:rsidRPr="00B336DF">
        <w:rPr>
          <w:noProof/>
          <w:szCs w:val="22"/>
        </w:rPr>
        <w:t xml:space="preserve"> </w:t>
      </w:r>
      <w:r w:rsidRPr="00B336DF">
        <w:rPr>
          <w:noProof/>
          <w:szCs w:val="22"/>
        </w:rPr>
        <w:t xml:space="preserve">δράση του </w:t>
      </w:r>
      <w:r w:rsidR="00C0675B" w:rsidRPr="00B336DF">
        <w:rPr>
          <w:noProof/>
          <w:szCs w:val="22"/>
        </w:rPr>
        <w:t>Voriconazole</w:t>
      </w:r>
      <w:r w:rsidR="00983777" w:rsidRPr="00B336DF">
        <w:rPr>
          <w:noProof/>
          <w:szCs w:val="22"/>
        </w:rPr>
        <w:t xml:space="preserve"> BRADEX</w:t>
      </w:r>
      <w:r w:rsidRPr="00B336DF">
        <w:rPr>
          <w:noProof/>
          <w:szCs w:val="22"/>
        </w:rPr>
        <w:t xml:space="preserve">, ή μπορεί το </w:t>
      </w:r>
      <w:r w:rsidR="00C0675B" w:rsidRPr="00B336DF">
        <w:rPr>
          <w:noProof/>
          <w:szCs w:val="22"/>
        </w:rPr>
        <w:t>Voriconazole</w:t>
      </w:r>
      <w:r w:rsidR="00983777" w:rsidRPr="00B336DF">
        <w:rPr>
          <w:noProof/>
          <w:szCs w:val="22"/>
        </w:rPr>
        <w:t xml:space="preserve"> BRADEX</w:t>
      </w:r>
      <w:r w:rsidRPr="00B336DF">
        <w:rPr>
          <w:noProof/>
          <w:szCs w:val="22"/>
        </w:rPr>
        <w:t xml:space="preserve"> να επηρεάσει τη δράση τους</w:t>
      </w:r>
      <w:r w:rsidRPr="00B336DF">
        <w:rPr>
          <w:rFonts w:eastAsiaTheme="minorEastAsia"/>
          <w:szCs w:val="22"/>
          <w:lang w:eastAsia="zh-CN"/>
        </w:rPr>
        <w:t>.</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Πείτε στον γιατρό σας εάν παίρνετε το παρακάτω φάρμακο, καθώς η ταυτόχρονη θεραπεία με το</w:t>
      </w:r>
    </w:p>
    <w:p w:rsidR="00C96646" w:rsidRPr="00B336DF" w:rsidRDefault="00C0675B" w:rsidP="00C96646">
      <w:pPr>
        <w:widowControl/>
        <w:autoSpaceDE w:val="0"/>
        <w:autoSpaceDN w:val="0"/>
        <w:adjustRightInd w:val="0"/>
        <w:rPr>
          <w:rFonts w:eastAsiaTheme="minorEastAsia"/>
          <w:szCs w:val="22"/>
          <w:lang w:eastAsia="zh-CN"/>
        </w:rPr>
      </w:pPr>
      <w:r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00C96646" w:rsidRPr="00B336DF">
        <w:rPr>
          <w:rFonts w:eastAsiaTheme="minorEastAsia"/>
          <w:szCs w:val="22"/>
          <w:lang w:eastAsia="zh-CN"/>
        </w:rPr>
        <w:t xml:space="preserve"> πρέπει, εάν είναι δυνατό, να αποφεύγεται:</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1A7333">
      <w:pPr>
        <w:pStyle w:val="a7"/>
        <w:numPr>
          <w:ilvl w:val="0"/>
          <w:numId w:val="5"/>
        </w:numPr>
        <w:ind w:left="426"/>
        <w:rPr>
          <w:noProof/>
          <w:szCs w:val="22"/>
        </w:rPr>
      </w:pPr>
      <w:r w:rsidRPr="00B336DF">
        <w:rPr>
          <w:noProof/>
          <w:szCs w:val="22"/>
        </w:rPr>
        <w:t>Ριτοναβίρη (χρησιμοποιείται στη θεραπεία του ιού HIV) σε δόσεις των 100 mg 2 φορές ημερησίως</w:t>
      </w:r>
    </w:p>
    <w:p w:rsidR="00C96646" w:rsidRPr="00B336DF" w:rsidRDefault="00C96646" w:rsidP="001A7333">
      <w:pPr>
        <w:ind w:left="66"/>
        <w:rPr>
          <w:noProof/>
          <w:szCs w:val="22"/>
        </w:rPr>
      </w:pP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Πείτε στον γιατρό σας εάν παίρνετε κάποιο από τα παρακάτω φάρμακα, καθώς η ταυτόχρονη</w:t>
      </w: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 xml:space="preserve">θεραπεία με το </w:t>
      </w:r>
      <w:r w:rsidR="00C0675B"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πρέπει να αποφεύγεται, εάν είναι δυνατό, και μπορεί να απαιτείται</w:t>
      </w:r>
      <w:r w:rsidR="00C0675B" w:rsidRPr="00B336DF">
        <w:rPr>
          <w:rFonts w:eastAsiaTheme="minorEastAsia"/>
          <w:szCs w:val="22"/>
          <w:lang w:eastAsia="zh-CN"/>
        </w:rPr>
        <w:t xml:space="preserve"> </w:t>
      </w:r>
      <w:r w:rsidRPr="00B336DF">
        <w:rPr>
          <w:rFonts w:eastAsiaTheme="minorEastAsia"/>
          <w:szCs w:val="22"/>
          <w:lang w:eastAsia="zh-CN"/>
        </w:rPr>
        <w:t>αναπροσαρμογή της δόσης της βορικοναζόλης:</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1A7333">
      <w:pPr>
        <w:pStyle w:val="a7"/>
        <w:numPr>
          <w:ilvl w:val="0"/>
          <w:numId w:val="5"/>
        </w:numPr>
        <w:ind w:left="426"/>
        <w:rPr>
          <w:noProof/>
          <w:szCs w:val="22"/>
        </w:rPr>
      </w:pPr>
      <w:r w:rsidRPr="00B336DF">
        <w:rPr>
          <w:noProof/>
          <w:szCs w:val="22"/>
        </w:rPr>
        <w:t>Ριφαμπουτίνη (χρησιμοποιείται για τη θεραπεία της φυματίωσης). Εάν λαμβάνετε ήδη θεραπεία</w:t>
      </w:r>
      <w:r w:rsidR="001A7333" w:rsidRPr="00B336DF">
        <w:rPr>
          <w:noProof/>
          <w:szCs w:val="22"/>
        </w:rPr>
        <w:t xml:space="preserve"> </w:t>
      </w:r>
      <w:r w:rsidRPr="00B336DF">
        <w:rPr>
          <w:noProof/>
          <w:szCs w:val="22"/>
        </w:rPr>
        <w:t>με ριφαμπουτίνη, θα χρειαστεί να παρακολουθούνται οι εξετάσεις αίματός σας και οι</w:t>
      </w:r>
      <w:r w:rsidR="001A7333" w:rsidRPr="00B336DF">
        <w:rPr>
          <w:noProof/>
          <w:szCs w:val="22"/>
        </w:rPr>
        <w:t xml:space="preserve"> </w:t>
      </w:r>
      <w:r w:rsidRPr="00B336DF">
        <w:rPr>
          <w:noProof/>
          <w:szCs w:val="22"/>
        </w:rPr>
        <w:t>ανεπιθύμητες ενέργειες από τη ριφαμπουτίνη.</w:t>
      </w:r>
    </w:p>
    <w:p w:rsidR="00C96646" w:rsidRPr="00B336DF" w:rsidRDefault="00C96646" w:rsidP="001A7333">
      <w:pPr>
        <w:pStyle w:val="a7"/>
        <w:numPr>
          <w:ilvl w:val="0"/>
          <w:numId w:val="5"/>
        </w:numPr>
        <w:ind w:left="426"/>
        <w:rPr>
          <w:noProof/>
          <w:szCs w:val="22"/>
        </w:rPr>
      </w:pPr>
      <w:r w:rsidRPr="00B336DF">
        <w:rPr>
          <w:noProof/>
          <w:szCs w:val="22"/>
        </w:rPr>
        <w:t>Φαινυτοΐνη (χρησιμοποιείται για τη θεραπεία της επιληψίας). Εάν λαμβάνετε ήδη θεραπεία με</w:t>
      </w:r>
      <w:r w:rsidR="001A7333" w:rsidRPr="00B336DF">
        <w:rPr>
          <w:noProof/>
          <w:szCs w:val="22"/>
        </w:rPr>
        <w:t xml:space="preserve"> </w:t>
      </w:r>
      <w:r w:rsidRPr="00B336DF">
        <w:rPr>
          <w:noProof/>
          <w:szCs w:val="22"/>
        </w:rPr>
        <w:t xml:space="preserve">φαινυτοΐνη, θα χρειαστεί να παρακολουθείται η συγκέντρωση της φαινυτοΐνης στο αίμα </w:t>
      </w:r>
      <w:r w:rsidR="001A7333" w:rsidRPr="00B336DF">
        <w:rPr>
          <w:noProof/>
          <w:szCs w:val="22"/>
        </w:rPr>
        <w:t xml:space="preserve">σας </w:t>
      </w:r>
      <w:r w:rsidRPr="00B336DF">
        <w:rPr>
          <w:noProof/>
          <w:szCs w:val="22"/>
        </w:rPr>
        <w:t xml:space="preserve">κατά τη διάρκεια της θεραπείας με το </w:t>
      </w:r>
      <w:r w:rsidR="00C0675B" w:rsidRPr="00B336DF">
        <w:rPr>
          <w:noProof/>
          <w:szCs w:val="22"/>
        </w:rPr>
        <w:t>Voriconazole</w:t>
      </w:r>
      <w:r w:rsidR="00983777" w:rsidRPr="00B336DF">
        <w:rPr>
          <w:noProof/>
          <w:szCs w:val="22"/>
        </w:rPr>
        <w:t xml:space="preserve"> BRADEX</w:t>
      </w:r>
      <w:r w:rsidRPr="00B336DF">
        <w:rPr>
          <w:noProof/>
          <w:szCs w:val="22"/>
        </w:rPr>
        <w:t xml:space="preserve"> και μπορεί να αναπροσαρμοστεί η δόση σας.</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Πείτε στον γιατρό σας εάν παίρνετε κάποιο από τα παρακάτω φάρμακα, καθώς μπορεί να απαιτείται</w:t>
      </w:r>
    </w:p>
    <w:p w:rsidR="00C96646" w:rsidRPr="00B336DF" w:rsidRDefault="00C96646" w:rsidP="00C96646">
      <w:pPr>
        <w:widowControl/>
        <w:autoSpaceDE w:val="0"/>
        <w:autoSpaceDN w:val="0"/>
        <w:adjustRightInd w:val="0"/>
        <w:rPr>
          <w:rFonts w:eastAsiaTheme="minorEastAsia"/>
          <w:szCs w:val="22"/>
          <w:lang w:eastAsia="zh-CN"/>
        </w:rPr>
      </w:pPr>
      <w:r w:rsidRPr="00B336DF">
        <w:rPr>
          <w:rFonts w:eastAsiaTheme="minorEastAsia"/>
          <w:szCs w:val="22"/>
          <w:lang w:eastAsia="zh-CN"/>
        </w:rPr>
        <w:t xml:space="preserve">αναπροσαρμογή ή παρακολούθηση για να ελεγχθεί εάν τα φάρμακα και/ή το </w:t>
      </w:r>
      <w:r w:rsidR="00C0675B"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εξακολουθούν</w:t>
      </w:r>
      <w:r w:rsidR="00C0675B" w:rsidRPr="00B336DF">
        <w:rPr>
          <w:rFonts w:eastAsiaTheme="minorEastAsia"/>
          <w:szCs w:val="22"/>
          <w:lang w:eastAsia="zh-CN"/>
        </w:rPr>
        <w:t xml:space="preserve"> </w:t>
      </w:r>
      <w:r w:rsidRPr="00B336DF">
        <w:rPr>
          <w:rFonts w:eastAsiaTheme="minorEastAsia"/>
          <w:szCs w:val="22"/>
          <w:lang w:eastAsia="zh-CN"/>
        </w:rPr>
        <w:t>να έχουν το επιθυμητό αποτέλεσμα:</w:t>
      </w:r>
    </w:p>
    <w:p w:rsidR="00C96646" w:rsidRPr="00B336DF" w:rsidRDefault="00C96646" w:rsidP="00C96646">
      <w:pPr>
        <w:widowControl/>
        <w:autoSpaceDE w:val="0"/>
        <w:autoSpaceDN w:val="0"/>
        <w:adjustRightInd w:val="0"/>
        <w:rPr>
          <w:rFonts w:eastAsiaTheme="minorEastAsia"/>
          <w:szCs w:val="22"/>
          <w:lang w:eastAsia="zh-CN"/>
        </w:rPr>
      </w:pPr>
    </w:p>
    <w:p w:rsidR="00C96646" w:rsidRPr="00B336DF" w:rsidRDefault="00C96646" w:rsidP="001A7333">
      <w:pPr>
        <w:pStyle w:val="a7"/>
        <w:numPr>
          <w:ilvl w:val="0"/>
          <w:numId w:val="5"/>
        </w:numPr>
        <w:ind w:left="426"/>
        <w:rPr>
          <w:noProof/>
          <w:szCs w:val="22"/>
        </w:rPr>
      </w:pPr>
      <w:r w:rsidRPr="00B336DF">
        <w:rPr>
          <w:noProof/>
          <w:szCs w:val="22"/>
        </w:rPr>
        <w:t>Βαρφαρίνη και άλλα αντιπηκτικά (π.χ., φαινπροκουμόνη, ασενοκουμαρόλη, χρησιμοποιούνται</w:t>
      </w:r>
      <w:r w:rsidR="001A7333" w:rsidRPr="00B336DF">
        <w:rPr>
          <w:noProof/>
          <w:szCs w:val="22"/>
        </w:rPr>
        <w:t xml:space="preserve"> </w:t>
      </w:r>
      <w:r w:rsidRPr="00B336DF">
        <w:rPr>
          <w:noProof/>
          <w:szCs w:val="22"/>
        </w:rPr>
        <w:t>για την ελάττωση της πηκτικότητας του αίματος)</w:t>
      </w:r>
    </w:p>
    <w:p w:rsidR="00C96646" w:rsidRPr="00B336DF" w:rsidRDefault="00C96646" w:rsidP="001A7333">
      <w:pPr>
        <w:pStyle w:val="a7"/>
        <w:numPr>
          <w:ilvl w:val="0"/>
          <w:numId w:val="5"/>
        </w:numPr>
        <w:ind w:left="426"/>
        <w:rPr>
          <w:noProof/>
          <w:szCs w:val="22"/>
        </w:rPr>
      </w:pPr>
      <w:r w:rsidRPr="00B336DF">
        <w:rPr>
          <w:noProof/>
          <w:szCs w:val="22"/>
        </w:rPr>
        <w:t>Κυκλοσπορίνη (χρησιμοποιείται σε ασθενείς που υποβλήθηκαν σε μεταμόσχευση)</w:t>
      </w:r>
    </w:p>
    <w:p w:rsidR="00C96646" w:rsidRPr="00B336DF" w:rsidRDefault="00C96646" w:rsidP="001A7333">
      <w:pPr>
        <w:pStyle w:val="a7"/>
        <w:numPr>
          <w:ilvl w:val="0"/>
          <w:numId w:val="5"/>
        </w:numPr>
        <w:ind w:left="426"/>
        <w:rPr>
          <w:noProof/>
          <w:szCs w:val="22"/>
        </w:rPr>
      </w:pPr>
      <w:r w:rsidRPr="00B336DF">
        <w:rPr>
          <w:noProof/>
          <w:szCs w:val="22"/>
        </w:rPr>
        <w:t>Τακρόλιμους (χρησιμοποιείται σε ασθενείς που υποβλήθηκαν σε μεταμόσχευση)</w:t>
      </w:r>
    </w:p>
    <w:p w:rsidR="00C96646" w:rsidRPr="00B336DF" w:rsidRDefault="00C96646" w:rsidP="00C0675B">
      <w:pPr>
        <w:pStyle w:val="a7"/>
        <w:widowControl/>
        <w:numPr>
          <w:ilvl w:val="0"/>
          <w:numId w:val="5"/>
        </w:numPr>
        <w:autoSpaceDE w:val="0"/>
        <w:autoSpaceDN w:val="0"/>
        <w:adjustRightInd w:val="0"/>
        <w:ind w:left="426" w:hanging="426"/>
        <w:rPr>
          <w:rFonts w:eastAsiaTheme="minorEastAsia"/>
          <w:szCs w:val="22"/>
          <w:lang w:eastAsia="zh-CN"/>
        </w:rPr>
      </w:pPr>
      <w:r w:rsidRPr="00B336DF">
        <w:rPr>
          <w:rFonts w:eastAsiaTheme="minorEastAsia"/>
          <w:szCs w:val="22"/>
          <w:lang w:eastAsia="zh-CN"/>
        </w:rPr>
        <w:t>Σουλφονυλουρίες (π.χ., τολβουταμίδη, γλιπιζίδη και γλιβουρίδη) (χρησιμοποιούνται για τον διαβήτη)</w:t>
      </w:r>
    </w:p>
    <w:p w:rsidR="00C96646" w:rsidRPr="00B336DF" w:rsidRDefault="00C96646" w:rsidP="001A7333">
      <w:pPr>
        <w:pStyle w:val="a7"/>
        <w:numPr>
          <w:ilvl w:val="0"/>
          <w:numId w:val="5"/>
        </w:numPr>
        <w:ind w:left="426"/>
        <w:rPr>
          <w:noProof/>
          <w:szCs w:val="22"/>
        </w:rPr>
      </w:pPr>
      <w:r w:rsidRPr="00B336DF">
        <w:rPr>
          <w:noProof/>
          <w:szCs w:val="22"/>
        </w:rPr>
        <w:t>Στατίνες (π.χ., ατορβαστατίνη, σιμβαστατίνη) (χρησιμοποιούνται για τη μείωση των επιπέδων</w:t>
      </w:r>
      <w:r w:rsidR="001A7333" w:rsidRPr="00B336DF">
        <w:rPr>
          <w:noProof/>
          <w:szCs w:val="22"/>
        </w:rPr>
        <w:t xml:space="preserve"> </w:t>
      </w:r>
      <w:r w:rsidRPr="00B336DF">
        <w:rPr>
          <w:noProof/>
          <w:szCs w:val="22"/>
        </w:rPr>
        <w:t>της χοληστερόλης)</w:t>
      </w:r>
    </w:p>
    <w:p w:rsidR="00C96646" w:rsidRPr="00B336DF" w:rsidRDefault="00C96646" w:rsidP="001A7333">
      <w:pPr>
        <w:pStyle w:val="a7"/>
        <w:numPr>
          <w:ilvl w:val="0"/>
          <w:numId w:val="5"/>
        </w:numPr>
        <w:ind w:left="426"/>
        <w:rPr>
          <w:noProof/>
          <w:szCs w:val="22"/>
        </w:rPr>
      </w:pPr>
      <w:r w:rsidRPr="00B336DF">
        <w:rPr>
          <w:noProof/>
          <w:szCs w:val="22"/>
        </w:rPr>
        <w:t>Βενζοδιαζεπίνες (π.χ. μιδαζολάμη, τριαζολάμη) (χρησιμοποιούνται για σοβαρές καταστάσεις</w:t>
      </w:r>
      <w:r w:rsidR="001A7333" w:rsidRPr="00B336DF">
        <w:rPr>
          <w:noProof/>
          <w:szCs w:val="22"/>
        </w:rPr>
        <w:t xml:space="preserve"> </w:t>
      </w:r>
      <w:r w:rsidRPr="00B336DF">
        <w:rPr>
          <w:noProof/>
          <w:szCs w:val="22"/>
        </w:rPr>
        <w:t>αϋπνίας και άγχους)</w:t>
      </w:r>
    </w:p>
    <w:p w:rsidR="00C96646" w:rsidRPr="00B336DF" w:rsidRDefault="00C96646" w:rsidP="001A7333">
      <w:pPr>
        <w:pStyle w:val="a7"/>
        <w:numPr>
          <w:ilvl w:val="0"/>
          <w:numId w:val="5"/>
        </w:numPr>
        <w:ind w:left="426"/>
        <w:rPr>
          <w:noProof/>
          <w:szCs w:val="22"/>
        </w:rPr>
      </w:pPr>
      <w:r w:rsidRPr="00B336DF">
        <w:rPr>
          <w:noProof/>
          <w:szCs w:val="22"/>
        </w:rPr>
        <w:t>Ομεπραζόλη (χρησιμοποιείται για τη θεραπεία ελκών)</w:t>
      </w:r>
    </w:p>
    <w:p w:rsidR="00C96646" w:rsidRPr="00B336DF" w:rsidRDefault="00C96646" w:rsidP="001A7333">
      <w:pPr>
        <w:pStyle w:val="a7"/>
        <w:numPr>
          <w:ilvl w:val="0"/>
          <w:numId w:val="5"/>
        </w:numPr>
        <w:ind w:left="426"/>
        <w:rPr>
          <w:noProof/>
          <w:szCs w:val="22"/>
        </w:rPr>
      </w:pPr>
      <w:r w:rsidRPr="00B336DF">
        <w:rPr>
          <w:noProof/>
          <w:szCs w:val="22"/>
        </w:rPr>
        <w:t xml:space="preserve">Από του στόματος αντισυλληπτικά (εάν λαμβάνετε </w:t>
      </w:r>
      <w:r w:rsidR="00C0675B" w:rsidRPr="00B336DF">
        <w:rPr>
          <w:noProof/>
          <w:szCs w:val="22"/>
        </w:rPr>
        <w:t>Voriconazole</w:t>
      </w:r>
      <w:r w:rsidR="00983777" w:rsidRPr="00B336DF">
        <w:rPr>
          <w:noProof/>
          <w:szCs w:val="22"/>
        </w:rPr>
        <w:t xml:space="preserve"> BRADEX</w:t>
      </w:r>
      <w:r w:rsidR="001A7333" w:rsidRPr="00B336DF">
        <w:rPr>
          <w:noProof/>
          <w:szCs w:val="22"/>
        </w:rPr>
        <w:t xml:space="preserve"> ενώ </w:t>
      </w:r>
      <w:r w:rsidRPr="00B336DF">
        <w:rPr>
          <w:noProof/>
          <w:szCs w:val="22"/>
        </w:rPr>
        <w:t xml:space="preserve">χρησιμοποιείτε </w:t>
      </w:r>
      <w:r w:rsidRPr="00B336DF">
        <w:rPr>
          <w:noProof/>
          <w:szCs w:val="22"/>
        </w:rPr>
        <w:lastRenderedPageBreak/>
        <w:t>από του</w:t>
      </w:r>
      <w:r w:rsidR="001A7333" w:rsidRPr="00B336DF">
        <w:rPr>
          <w:noProof/>
          <w:szCs w:val="22"/>
        </w:rPr>
        <w:t xml:space="preserve"> </w:t>
      </w:r>
      <w:r w:rsidRPr="00B336DF">
        <w:rPr>
          <w:noProof/>
          <w:szCs w:val="22"/>
        </w:rPr>
        <w:t>στόματος αντισυλληπτικά ενδέχεται να εμφανίσετε ανεπιθύμητες ενέργειες όπως ναυτία και</w:t>
      </w:r>
      <w:r w:rsidR="001A7333" w:rsidRPr="00B336DF">
        <w:rPr>
          <w:noProof/>
          <w:szCs w:val="22"/>
        </w:rPr>
        <w:t xml:space="preserve"> </w:t>
      </w:r>
      <w:r w:rsidRPr="00B336DF">
        <w:rPr>
          <w:noProof/>
          <w:szCs w:val="22"/>
        </w:rPr>
        <w:t>διαταραχές της εμμήνου ρύσεως)</w:t>
      </w:r>
    </w:p>
    <w:p w:rsidR="00C96646" w:rsidRPr="00B336DF" w:rsidRDefault="00C96646" w:rsidP="001A7333">
      <w:pPr>
        <w:pStyle w:val="a7"/>
        <w:numPr>
          <w:ilvl w:val="0"/>
          <w:numId w:val="5"/>
        </w:numPr>
        <w:ind w:left="426"/>
        <w:rPr>
          <w:noProof/>
          <w:szCs w:val="22"/>
        </w:rPr>
      </w:pPr>
      <w:r w:rsidRPr="00B336DF">
        <w:rPr>
          <w:noProof/>
          <w:szCs w:val="22"/>
        </w:rPr>
        <w:t>Αλκαλοειδή της Vinca (π.χ., βινκριστίνη και βιμπλαστίνη) (χρησιμοποιούνται για τη θεραπεία</w:t>
      </w:r>
      <w:r w:rsidR="001A7333" w:rsidRPr="00B336DF">
        <w:rPr>
          <w:noProof/>
          <w:szCs w:val="22"/>
        </w:rPr>
        <w:t xml:space="preserve"> </w:t>
      </w:r>
      <w:r w:rsidRPr="00B336DF">
        <w:rPr>
          <w:noProof/>
          <w:szCs w:val="22"/>
        </w:rPr>
        <w:t>καρκίνου)</w:t>
      </w:r>
    </w:p>
    <w:p w:rsidR="00C96646" w:rsidRPr="00B336DF" w:rsidRDefault="00C96646" w:rsidP="001A7333">
      <w:pPr>
        <w:pStyle w:val="a7"/>
        <w:numPr>
          <w:ilvl w:val="0"/>
          <w:numId w:val="5"/>
        </w:numPr>
        <w:ind w:left="426"/>
        <w:rPr>
          <w:noProof/>
          <w:szCs w:val="22"/>
        </w:rPr>
      </w:pPr>
      <w:r w:rsidRPr="00B336DF">
        <w:rPr>
          <w:noProof/>
          <w:szCs w:val="22"/>
        </w:rPr>
        <w:t>Ινδιναβίρη και άλλους αναστολείς της HIV πρωτεάσης (χρησιμοποιούνται για τη θεραπεία του</w:t>
      </w:r>
      <w:r w:rsidR="001A7333" w:rsidRPr="00B336DF">
        <w:rPr>
          <w:noProof/>
          <w:szCs w:val="22"/>
        </w:rPr>
        <w:t xml:space="preserve"> </w:t>
      </w:r>
      <w:r w:rsidRPr="00B336DF">
        <w:rPr>
          <w:noProof/>
          <w:szCs w:val="22"/>
        </w:rPr>
        <w:t>HIV)</w:t>
      </w:r>
    </w:p>
    <w:p w:rsidR="00C96646" w:rsidRPr="00B336DF" w:rsidRDefault="00C96646" w:rsidP="001A7333">
      <w:pPr>
        <w:pStyle w:val="a7"/>
        <w:numPr>
          <w:ilvl w:val="0"/>
          <w:numId w:val="5"/>
        </w:numPr>
        <w:ind w:left="426"/>
        <w:rPr>
          <w:noProof/>
          <w:szCs w:val="22"/>
        </w:rPr>
      </w:pPr>
      <w:r w:rsidRPr="00B336DF">
        <w:rPr>
          <w:noProof/>
          <w:szCs w:val="22"/>
        </w:rPr>
        <w:t xml:space="preserve">Μη νουκλεοσιδικοί αναστολείς της αντίστροφης μεταγραφάσης (π.χ., εφαβιρένζη, ντελαβιρδίνη, νεβιραπίνη) (χρησιμοποιούνται για τη θεραπεία του HIV) (κάποιες δόσεις της εφαβιρένζης ΔΕΝ μπορούν να ληφθούν ταυτόχρονα με το </w:t>
      </w:r>
      <w:r w:rsidR="00C0675B" w:rsidRPr="00B336DF">
        <w:rPr>
          <w:noProof/>
          <w:szCs w:val="22"/>
        </w:rPr>
        <w:t>Voriconazole</w:t>
      </w:r>
      <w:r w:rsidR="00983777" w:rsidRPr="00B336DF">
        <w:rPr>
          <w:noProof/>
          <w:szCs w:val="22"/>
        </w:rPr>
        <w:t xml:space="preserve"> BRADEX</w:t>
      </w:r>
      <w:r w:rsidRPr="00B336DF">
        <w:rPr>
          <w:noProof/>
          <w:szCs w:val="22"/>
        </w:rPr>
        <w:t>)</w:t>
      </w:r>
    </w:p>
    <w:p w:rsidR="00C96646" w:rsidRPr="00B336DF" w:rsidRDefault="00C96646" w:rsidP="001A7333">
      <w:pPr>
        <w:pStyle w:val="a7"/>
        <w:numPr>
          <w:ilvl w:val="0"/>
          <w:numId w:val="5"/>
        </w:numPr>
        <w:ind w:left="426"/>
        <w:rPr>
          <w:noProof/>
          <w:szCs w:val="22"/>
        </w:rPr>
      </w:pPr>
      <w:r w:rsidRPr="00B336DF">
        <w:rPr>
          <w:noProof/>
          <w:szCs w:val="22"/>
        </w:rPr>
        <w:t>Μεθαδόνη (χρησιμοποιείται για την αντιμετώπιση του εθισμού στην ηρωίνη)</w:t>
      </w:r>
    </w:p>
    <w:p w:rsidR="00C96646" w:rsidRPr="00B336DF" w:rsidRDefault="00C96646" w:rsidP="001A7333">
      <w:pPr>
        <w:pStyle w:val="a7"/>
        <w:numPr>
          <w:ilvl w:val="0"/>
          <w:numId w:val="5"/>
        </w:numPr>
        <w:ind w:left="426"/>
        <w:rPr>
          <w:noProof/>
          <w:szCs w:val="22"/>
        </w:rPr>
      </w:pPr>
      <w:r w:rsidRPr="00B336DF">
        <w:rPr>
          <w:noProof/>
          <w:szCs w:val="22"/>
        </w:rPr>
        <w:t>Αλφαιντανίλη και φαιντανύλη και άλλα βραχείας δράσης οπιοειδή όπως σουφαιντανίλη</w:t>
      </w:r>
      <w:r w:rsidR="001A7333" w:rsidRPr="00B336DF">
        <w:rPr>
          <w:noProof/>
          <w:szCs w:val="22"/>
        </w:rPr>
        <w:t xml:space="preserve"> </w:t>
      </w:r>
      <w:r w:rsidRPr="00B336DF">
        <w:rPr>
          <w:noProof/>
          <w:szCs w:val="22"/>
        </w:rPr>
        <w:t>(παυσίπονα που χρησιμοποιούνται στις χειρουργικές επεμβάσεις)</w:t>
      </w:r>
    </w:p>
    <w:p w:rsidR="00C96646" w:rsidRPr="00B336DF" w:rsidRDefault="00C96646" w:rsidP="001A7333">
      <w:pPr>
        <w:pStyle w:val="a7"/>
        <w:numPr>
          <w:ilvl w:val="0"/>
          <w:numId w:val="5"/>
        </w:numPr>
        <w:ind w:left="426"/>
        <w:rPr>
          <w:noProof/>
          <w:szCs w:val="22"/>
        </w:rPr>
      </w:pPr>
      <w:r w:rsidRPr="00B336DF">
        <w:rPr>
          <w:noProof/>
          <w:szCs w:val="22"/>
        </w:rPr>
        <w:t>Οξυκωδόνη και άλλα μακράς διάρκειας οπιοειδή όπως υδροκωδόνη (χρησιμοποιούνται σε μέτριο έως σοβαρό πόνο)</w:t>
      </w:r>
    </w:p>
    <w:p w:rsidR="00C96646" w:rsidRPr="00B336DF" w:rsidRDefault="00C96646" w:rsidP="001A7333">
      <w:pPr>
        <w:pStyle w:val="a7"/>
        <w:numPr>
          <w:ilvl w:val="0"/>
          <w:numId w:val="5"/>
        </w:numPr>
        <w:ind w:left="426"/>
        <w:rPr>
          <w:noProof/>
          <w:szCs w:val="22"/>
        </w:rPr>
      </w:pPr>
      <w:r w:rsidRPr="00B336DF">
        <w:rPr>
          <w:noProof/>
          <w:szCs w:val="22"/>
        </w:rPr>
        <w:t>Μη στεροειδή αντιφλεγμονώδη φάρμακα (π.χ., ιβουπροφαίνη, δικλοφενάκη) (χρησιμοποιούνται για τη θεραπεία πόνου και φλεγμονής)</w:t>
      </w:r>
    </w:p>
    <w:p w:rsidR="00C96646" w:rsidRPr="00B336DF" w:rsidRDefault="00C96646" w:rsidP="001A7333">
      <w:pPr>
        <w:pStyle w:val="a7"/>
        <w:numPr>
          <w:ilvl w:val="0"/>
          <w:numId w:val="5"/>
        </w:numPr>
        <w:ind w:left="426"/>
        <w:rPr>
          <w:noProof/>
          <w:szCs w:val="22"/>
        </w:rPr>
      </w:pPr>
      <w:r w:rsidRPr="00B336DF">
        <w:rPr>
          <w:noProof/>
          <w:szCs w:val="22"/>
        </w:rPr>
        <w:t>Φλουκοναζόλη (χρησιμοποιείται στις μυκητιασικές λοιμώξεις)</w:t>
      </w:r>
    </w:p>
    <w:p w:rsidR="00C96646" w:rsidRPr="00B336DF" w:rsidRDefault="00C96646" w:rsidP="001A7333">
      <w:pPr>
        <w:pStyle w:val="a7"/>
        <w:numPr>
          <w:ilvl w:val="0"/>
          <w:numId w:val="5"/>
        </w:numPr>
        <w:ind w:left="426"/>
        <w:rPr>
          <w:noProof/>
          <w:szCs w:val="22"/>
        </w:rPr>
      </w:pPr>
      <w:r w:rsidRPr="00B336DF">
        <w:rPr>
          <w:noProof/>
          <w:szCs w:val="22"/>
        </w:rPr>
        <w:t>Eβερόλιμους (χρησιμοποιείται για τη θεραπεία προχωρημένου νεφρικού καρκίνου και σε μεταμοσχευμένους ασθενείς)</w:t>
      </w:r>
    </w:p>
    <w:p w:rsidR="00C96646" w:rsidRPr="00B336DF" w:rsidRDefault="00C96646" w:rsidP="00C96646">
      <w:pPr>
        <w:rPr>
          <w:rFonts w:eastAsiaTheme="minorEastAsia"/>
          <w:szCs w:val="22"/>
          <w:lang w:eastAsia="zh-CN"/>
        </w:rPr>
      </w:pPr>
    </w:p>
    <w:p w:rsidR="000875D3" w:rsidRPr="00B336DF" w:rsidRDefault="00C96646" w:rsidP="00C96646">
      <w:pPr>
        <w:rPr>
          <w:b/>
          <w:noProof/>
          <w:szCs w:val="22"/>
        </w:rPr>
      </w:pPr>
      <w:r w:rsidRPr="00B336DF">
        <w:rPr>
          <w:b/>
          <w:noProof/>
          <w:szCs w:val="22"/>
        </w:rPr>
        <w:t xml:space="preserve">Κύηση </w:t>
      </w:r>
      <w:r w:rsidR="000875D3" w:rsidRPr="00B336DF">
        <w:rPr>
          <w:b/>
          <w:noProof/>
          <w:szCs w:val="22"/>
        </w:rPr>
        <w:t>και</w:t>
      </w:r>
      <w:r w:rsidRPr="00B336DF">
        <w:rPr>
          <w:b/>
          <w:noProof/>
          <w:szCs w:val="22"/>
        </w:rPr>
        <w:t xml:space="preserve"> θηλασμός</w:t>
      </w:r>
    </w:p>
    <w:p w:rsidR="00C96646" w:rsidRPr="00B336DF" w:rsidRDefault="00C96646" w:rsidP="00C96646">
      <w:pPr>
        <w:rPr>
          <w:b/>
          <w:noProof/>
          <w:szCs w:val="22"/>
        </w:rPr>
      </w:pPr>
    </w:p>
    <w:p w:rsidR="00C96646" w:rsidRPr="00B336DF" w:rsidRDefault="00C96646" w:rsidP="00C96646">
      <w:pPr>
        <w:rPr>
          <w:noProof/>
          <w:szCs w:val="22"/>
        </w:rPr>
      </w:pPr>
      <w:r w:rsidRPr="00B336DF">
        <w:rPr>
          <w:noProof/>
          <w:szCs w:val="22"/>
        </w:rPr>
        <w:t xml:space="preserve">Το </w:t>
      </w:r>
      <w:r w:rsidR="00C0675B" w:rsidRPr="00B336DF">
        <w:rPr>
          <w:noProof/>
          <w:szCs w:val="22"/>
        </w:rPr>
        <w:t>Voriconazole</w:t>
      </w:r>
      <w:r w:rsidR="00983777" w:rsidRPr="00B336DF">
        <w:rPr>
          <w:noProof/>
          <w:szCs w:val="22"/>
        </w:rPr>
        <w:t xml:space="preserve"> BRADEX</w:t>
      </w:r>
      <w:r w:rsidRPr="00B336DF">
        <w:rPr>
          <w:noProof/>
          <w:szCs w:val="22"/>
        </w:rPr>
        <w:t xml:space="preserve"> δεν πρέπει να λαμβάνεται στη διάρκεια της εγκυμοσύνης, εκτός και αν το συστήσει ο</w:t>
      </w:r>
      <w:r w:rsidR="00C0675B" w:rsidRPr="00B336DF">
        <w:rPr>
          <w:noProof/>
          <w:szCs w:val="22"/>
        </w:rPr>
        <w:t xml:space="preserve"> </w:t>
      </w:r>
      <w:r w:rsidRPr="00B336DF">
        <w:rPr>
          <w:noProof/>
          <w:szCs w:val="22"/>
        </w:rPr>
        <w:t>γιατρός σας. Οι γυναίκες σε αναπαραγωγική ηλικία πρέπει να χρησιμοποιούν αποτελεσματικά μέτρα</w:t>
      </w:r>
      <w:r w:rsidR="00C0675B" w:rsidRPr="00B336DF">
        <w:rPr>
          <w:noProof/>
          <w:szCs w:val="22"/>
        </w:rPr>
        <w:t xml:space="preserve"> </w:t>
      </w:r>
      <w:r w:rsidRPr="00B336DF">
        <w:rPr>
          <w:noProof/>
          <w:szCs w:val="22"/>
        </w:rPr>
        <w:t>αντισύλληψης. Επικοινωνήστε αμέσως με τον γιατρό σας, εάν μείνετε έγκυος την περίοδο που</w:t>
      </w:r>
      <w:r w:rsidR="00C0675B" w:rsidRPr="00B336DF">
        <w:rPr>
          <w:noProof/>
          <w:szCs w:val="22"/>
        </w:rPr>
        <w:t xml:space="preserve"> </w:t>
      </w:r>
      <w:r w:rsidRPr="00B336DF">
        <w:rPr>
          <w:noProof/>
          <w:szCs w:val="22"/>
        </w:rPr>
        <w:t xml:space="preserve">παίρνετε το </w:t>
      </w:r>
      <w:r w:rsidR="00C0675B" w:rsidRPr="00B336DF">
        <w:rPr>
          <w:noProof/>
          <w:szCs w:val="22"/>
        </w:rPr>
        <w:t>Voriconazole</w:t>
      </w:r>
      <w:r w:rsidR="00983777" w:rsidRPr="00B336DF">
        <w:rPr>
          <w:noProof/>
          <w:szCs w:val="22"/>
        </w:rPr>
        <w:t xml:space="preserve"> BRADEX</w:t>
      </w:r>
      <w:r w:rsidRPr="00B336DF">
        <w:rPr>
          <w:noProof/>
          <w:szCs w:val="22"/>
        </w:rPr>
        <w:t>.</w:t>
      </w:r>
    </w:p>
    <w:p w:rsidR="00C96646" w:rsidRPr="00B336DF" w:rsidRDefault="00C96646" w:rsidP="00C96646">
      <w:pPr>
        <w:rPr>
          <w:noProof/>
          <w:szCs w:val="22"/>
        </w:rPr>
      </w:pPr>
    </w:p>
    <w:p w:rsidR="00C96646" w:rsidRPr="00B336DF" w:rsidRDefault="00C96646" w:rsidP="00C96646">
      <w:pPr>
        <w:rPr>
          <w:noProof/>
          <w:szCs w:val="22"/>
        </w:rPr>
      </w:pPr>
      <w:r w:rsidRPr="00B336DF">
        <w:rPr>
          <w:noProof/>
          <w:szCs w:val="22"/>
        </w:rPr>
        <w:t>Εάν είσθε έγκυος ή θηλάζετε, νομίζετε ότι μπορεί να είσθε έγκυος ή σχεδιάζετε να αποκτήσετε παιδί,</w:t>
      </w:r>
    </w:p>
    <w:p w:rsidR="00C96646" w:rsidRPr="00B336DF" w:rsidRDefault="00C96646" w:rsidP="00C96646">
      <w:pPr>
        <w:rPr>
          <w:noProof/>
          <w:szCs w:val="22"/>
        </w:rPr>
      </w:pPr>
      <w:r w:rsidRPr="00B336DF">
        <w:rPr>
          <w:noProof/>
          <w:szCs w:val="22"/>
        </w:rPr>
        <w:t>ζητήστε τη συμβουλή του γιατρού ή του φαρμακοποιού σας προτού πάρετε αυτό το φάρμακο.</w:t>
      </w:r>
    </w:p>
    <w:p w:rsidR="000875D3" w:rsidRPr="00B336DF" w:rsidRDefault="000875D3" w:rsidP="000875D3">
      <w:pPr>
        <w:rPr>
          <w:noProof/>
          <w:szCs w:val="22"/>
        </w:rPr>
      </w:pPr>
    </w:p>
    <w:p w:rsidR="000875D3" w:rsidRPr="00B336DF" w:rsidRDefault="000875D3" w:rsidP="000875D3">
      <w:pPr>
        <w:rPr>
          <w:b/>
          <w:noProof/>
          <w:szCs w:val="22"/>
        </w:rPr>
      </w:pPr>
      <w:r w:rsidRPr="00B336DF">
        <w:rPr>
          <w:b/>
          <w:noProof/>
          <w:szCs w:val="22"/>
        </w:rPr>
        <w:t>Οδήγηση και χειρισμός μηχανημάτων</w:t>
      </w:r>
    </w:p>
    <w:p w:rsidR="000875D3" w:rsidRPr="00B336DF" w:rsidRDefault="000875D3" w:rsidP="000875D3">
      <w:pPr>
        <w:rPr>
          <w:noProof/>
          <w:szCs w:val="22"/>
        </w:rPr>
      </w:pPr>
    </w:p>
    <w:p w:rsidR="000875D3" w:rsidRPr="00B336DF" w:rsidRDefault="00C96646" w:rsidP="00C96646">
      <w:pPr>
        <w:rPr>
          <w:noProof/>
          <w:szCs w:val="22"/>
        </w:rPr>
      </w:pPr>
      <w:r w:rsidRPr="00B336DF">
        <w:rPr>
          <w:noProof/>
          <w:szCs w:val="22"/>
        </w:rPr>
        <w:t xml:space="preserve">Το </w:t>
      </w:r>
      <w:r w:rsidR="00C0675B" w:rsidRPr="00B336DF">
        <w:rPr>
          <w:noProof/>
          <w:szCs w:val="22"/>
        </w:rPr>
        <w:t>Voriconazole</w:t>
      </w:r>
      <w:r w:rsidR="00983777" w:rsidRPr="00B336DF">
        <w:rPr>
          <w:noProof/>
          <w:szCs w:val="22"/>
        </w:rPr>
        <w:t xml:space="preserve"> BRADEX</w:t>
      </w:r>
      <w:r w:rsidRPr="00B336DF">
        <w:rPr>
          <w:noProof/>
          <w:szCs w:val="22"/>
        </w:rPr>
        <w:t xml:space="preserve"> μπορεί να προκαλέσει θόλωση της όρασης ή δυσάρεστη αίσθηση στην έκθεση στο φως.</w:t>
      </w:r>
      <w:r w:rsidR="00C0675B" w:rsidRPr="00B336DF">
        <w:rPr>
          <w:noProof/>
          <w:szCs w:val="22"/>
        </w:rPr>
        <w:t xml:space="preserve"> </w:t>
      </w:r>
      <w:r w:rsidRPr="00B336DF">
        <w:rPr>
          <w:noProof/>
          <w:szCs w:val="22"/>
        </w:rPr>
        <w:t>Όταν αυτό σας συμβεί, να μην οδηγήσετε ή μη χειριστείτε εργαλεία ή μηχανήματα. Εάν εμφανίσετε</w:t>
      </w:r>
      <w:r w:rsidR="00C0675B" w:rsidRPr="00B336DF">
        <w:rPr>
          <w:noProof/>
          <w:szCs w:val="22"/>
        </w:rPr>
        <w:t xml:space="preserve"> </w:t>
      </w:r>
      <w:r w:rsidRPr="00B336DF">
        <w:rPr>
          <w:noProof/>
          <w:szCs w:val="22"/>
        </w:rPr>
        <w:t>τέτοια συμπτώματα, επικοινωνήστε με τον γιατρό σας.</w:t>
      </w:r>
    </w:p>
    <w:p w:rsidR="00C96646" w:rsidRPr="00B336DF" w:rsidRDefault="00C96646" w:rsidP="00C96646">
      <w:pPr>
        <w:rPr>
          <w:noProof/>
          <w:szCs w:val="22"/>
        </w:rPr>
      </w:pPr>
    </w:p>
    <w:p w:rsidR="00C96646" w:rsidRPr="00B336DF" w:rsidRDefault="00C96646" w:rsidP="00C96646">
      <w:pPr>
        <w:rPr>
          <w:b/>
          <w:noProof/>
          <w:szCs w:val="22"/>
        </w:rPr>
      </w:pPr>
      <w:r w:rsidRPr="00B336DF">
        <w:rPr>
          <w:b/>
          <w:noProof/>
          <w:szCs w:val="22"/>
        </w:rPr>
        <w:t xml:space="preserve">Το </w:t>
      </w:r>
      <w:r w:rsidR="00C0675B" w:rsidRPr="00B336DF">
        <w:rPr>
          <w:b/>
          <w:noProof/>
          <w:szCs w:val="22"/>
        </w:rPr>
        <w:t xml:space="preserve">Voriconazole </w:t>
      </w:r>
      <w:r w:rsidR="00983777" w:rsidRPr="00B336DF">
        <w:rPr>
          <w:b/>
          <w:noProof/>
          <w:szCs w:val="22"/>
        </w:rPr>
        <w:t>BRADEX</w:t>
      </w:r>
      <w:r w:rsidRPr="00B336DF">
        <w:rPr>
          <w:b/>
          <w:noProof/>
          <w:szCs w:val="22"/>
        </w:rPr>
        <w:t xml:space="preserve"> περιέχει νάτριο</w:t>
      </w:r>
      <w:r w:rsidRPr="00B336DF">
        <w:rPr>
          <w:szCs w:val="22"/>
        </w:rPr>
        <w:t xml:space="preserve"> </w:t>
      </w:r>
      <w:r w:rsidR="00983777" w:rsidRPr="00B336DF">
        <w:rPr>
          <w:b/>
          <w:noProof/>
          <w:szCs w:val="22"/>
        </w:rPr>
        <w:t>V</w:t>
      </w:r>
      <w:r w:rsidR="00C0675B" w:rsidRPr="00B336DF">
        <w:rPr>
          <w:b/>
          <w:noProof/>
          <w:szCs w:val="22"/>
        </w:rPr>
        <w:t>oriconazole</w:t>
      </w:r>
      <w:r w:rsidR="00983777" w:rsidRPr="00B336DF">
        <w:rPr>
          <w:b/>
          <w:noProof/>
          <w:szCs w:val="22"/>
        </w:rPr>
        <w:t xml:space="preserve"> BRADEX</w:t>
      </w:r>
    </w:p>
    <w:p w:rsidR="00C96646" w:rsidRPr="00B336DF" w:rsidRDefault="00C96646" w:rsidP="00C96646">
      <w:pPr>
        <w:rPr>
          <w:b/>
          <w:noProof/>
          <w:szCs w:val="22"/>
        </w:rPr>
      </w:pPr>
    </w:p>
    <w:p w:rsidR="00C96646" w:rsidRPr="00B336DF" w:rsidRDefault="00C96646" w:rsidP="00C0675B">
      <w:pPr>
        <w:widowControl/>
        <w:autoSpaceDE w:val="0"/>
        <w:autoSpaceDN w:val="0"/>
        <w:adjustRightInd w:val="0"/>
        <w:rPr>
          <w:b/>
          <w:noProof/>
          <w:szCs w:val="22"/>
        </w:rPr>
      </w:pPr>
      <w:r w:rsidRPr="00B336DF">
        <w:rPr>
          <w:rFonts w:eastAsiaTheme="minorEastAsia"/>
          <w:szCs w:val="22"/>
          <w:lang w:eastAsia="zh-CN"/>
        </w:rPr>
        <w:t xml:space="preserve">Κάθε φιαλίδιο </w:t>
      </w:r>
      <w:r w:rsidR="00C0675B" w:rsidRPr="00B336DF">
        <w:rPr>
          <w:rFonts w:eastAsiaTheme="minorEastAsia"/>
          <w:szCs w:val="22"/>
          <w:lang w:val="en-US" w:eastAsia="zh-CN"/>
        </w:rPr>
        <w:t>Voriconazole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περιέχει 217,6 </w:t>
      </w:r>
      <w:r w:rsidRPr="00B336DF">
        <w:rPr>
          <w:rFonts w:eastAsiaTheme="minorEastAsia"/>
          <w:szCs w:val="22"/>
          <w:lang w:val="en-US" w:eastAsia="zh-CN"/>
        </w:rPr>
        <w:t>mg</w:t>
      </w:r>
      <w:r w:rsidRPr="00B336DF">
        <w:rPr>
          <w:rFonts w:eastAsiaTheme="minorEastAsia"/>
          <w:szCs w:val="22"/>
          <w:lang w:eastAsia="zh-CN"/>
        </w:rPr>
        <w:t xml:space="preserve"> νατρίου. Αυτό πρέπει να λαμβάνεται υπόψη σε ασθενείς</w:t>
      </w:r>
      <w:r w:rsidR="00C0675B" w:rsidRPr="00B336DF">
        <w:rPr>
          <w:rFonts w:eastAsiaTheme="minorEastAsia"/>
          <w:szCs w:val="22"/>
          <w:lang w:eastAsia="zh-CN"/>
        </w:rPr>
        <w:t xml:space="preserve"> </w:t>
      </w:r>
      <w:r w:rsidRPr="00B336DF">
        <w:rPr>
          <w:rFonts w:eastAsiaTheme="minorEastAsia"/>
          <w:szCs w:val="22"/>
          <w:lang w:eastAsia="zh-CN"/>
        </w:rPr>
        <w:t>που βρίσκονται σε ελεγχόμενη δίαιτα νατρίου.</w:t>
      </w:r>
    </w:p>
    <w:p w:rsidR="000875D3" w:rsidRPr="00B336DF" w:rsidRDefault="000875D3" w:rsidP="000875D3">
      <w:pPr>
        <w:rPr>
          <w:noProof/>
          <w:szCs w:val="22"/>
        </w:rPr>
      </w:pPr>
    </w:p>
    <w:p w:rsidR="000875D3" w:rsidRPr="00B336DF" w:rsidRDefault="00C96646" w:rsidP="000875D3">
      <w:pPr>
        <w:rPr>
          <w:noProof/>
          <w:szCs w:val="22"/>
        </w:rPr>
      </w:pPr>
      <w:r w:rsidRPr="00B336DF">
        <w:rPr>
          <w:b/>
          <w:noProof/>
          <w:szCs w:val="22"/>
        </w:rPr>
        <w:t>3.</w:t>
      </w:r>
      <w:r w:rsidRPr="00B336DF">
        <w:rPr>
          <w:b/>
          <w:noProof/>
          <w:szCs w:val="22"/>
        </w:rPr>
        <w:tab/>
        <w:t xml:space="preserve">Πώς να </w:t>
      </w:r>
      <w:r w:rsidR="000875D3" w:rsidRPr="00B336DF">
        <w:rPr>
          <w:b/>
          <w:noProof/>
          <w:szCs w:val="22"/>
        </w:rPr>
        <w:t xml:space="preserve">πάρετε το </w:t>
      </w:r>
      <w:r w:rsidR="00C0675B" w:rsidRPr="00B336DF">
        <w:rPr>
          <w:b/>
          <w:noProof/>
          <w:szCs w:val="22"/>
        </w:rPr>
        <w:t>Voriconazole BRADEX</w:t>
      </w:r>
    </w:p>
    <w:p w:rsidR="000875D3" w:rsidRPr="00B336DF" w:rsidRDefault="000875D3" w:rsidP="000875D3">
      <w:pPr>
        <w:rPr>
          <w:noProof/>
          <w:szCs w:val="22"/>
        </w:rPr>
      </w:pPr>
    </w:p>
    <w:p w:rsidR="00C96646" w:rsidRPr="00B336DF" w:rsidRDefault="00C96646" w:rsidP="00C96646">
      <w:pPr>
        <w:jc w:val="both"/>
        <w:rPr>
          <w:noProof/>
          <w:szCs w:val="22"/>
        </w:rPr>
      </w:pPr>
      <w:r w:rsidRPr="00B336DF">
        <w:rPr>
          <w:noProof/>
          <w:szCs w:val="22"/>
        </w:rPr>
        <w:t>Πάντοτε να παίρνετε το φάρμακο αυτό αυστηρά σύμφωνα με τις οδηγίες του γιατρού σας. Εάν έχετε</w:t>
      </w:r>
    </w:p>
    <w:p w:rsidR="00C96646" w:rsidRPr="00B336DF" w:rsidRDefault="00C96646" w:rsidP="00C96646">
      <w:pPr>
        <w:jc w:val="both"/>
        <w:rPr>
          <w:noProof/>
          <w:szCs w:val="22"/>
        </w:rPr>
      </w:pPr>
      <w:r w:rsidRPr="00B336DF">
        <w:rPr>
          <w:noProof/>
          <w:szCs w:val="22"/>
        </w:rPr>
        <w:t>αμφιβολίες, ρωτήστε τον γιατρό σας.</w:t>
      </w:r>
    </w:p>
    <w:p w:rsidR="00551603" w:rsidRPr="00B336DF" w:rsidRDefault="00551603" w:rsidP="00C96646">
      <w:pPr>
        <w:jc w:val="both"/>
        <w:rPr>
          <w:noProof/>
          <w:szCs w:val="22"/>
        </w:rPr>
      </w:pPr>
    </w:p>
    <w:p w:rsidR="00C96646" w:rsidRPr="00B336DF" w:rsidRDefault="00C96646" w:rsidP="00C96646">
      <w:pPr>
        <w:jc w:val="both"/>
        <w:rPr>
          <w:noProof/>
          <w:szCs w:val="22"/>
        </w:rPr>
      </w:pPr>
      <w:r w:rsidRPr="00B336DF">
        <w:rPr>
          <w:noProof/>
          <w:szCs w:val="22"/>
        </w:rPr>
        <w:t>Ο γιατρός σας θα αποφασίσει για τη δόση σας ανάλογα με το βάρος σας και το είδος της λοίμωξης</w:t>
      </w:r>
    </w:p>
    <w:p w:rsidR="00C96646" w:rsidRPr="00B336DF" w:rsidRDefault="00C96646" w:rsidP="00C96646">
      <w:pPr>
        <w:jc w:val="both"/>
        <w:rPr>
          <w:noProof/>
          <w:szCs w:val="22"/>
        </w:rPr>
      </w:pPr>
      <w:r w:rsidRPr="00B336DF">
        <w:rPr>
          <w:noProof/>
          <w:szCs w:val="22"/>
        </w:rPr>
        <w:t>που έχετε.</w:t>
      </w:r>
    </w:p>
    <w:p w:rsidR="00551603" w:rsidRPr="00B336DF" w:rsidRDefault="00551603" w:rsidP="00C96646">
      <w:pPr>
        <w:jc w:val="both"/>
        <w:rPr>
          <w:noProof/>
          <w:szCs w:val="22"/>
        </w:rPr>
      </w:pPr>
    </w:p>
    <w:p w:rsidR="00551603" w:rsidRPr="00B336DF" w:rsidRDefault="00C96646" w:rsidP="00C96646">
      <w:pPr>
        <w:jc w:val="both"/>
        <w:rPr>
          <w:noProof/>
          <w:szCs w:val="22"/>
        </w:rPr>
      </w:pPr>
      <w:r w:rsidRPr="00B336DF">
        <w:rPr>
          <w:noProof/>
          <w:szCs w:val="22"/>
        </w:rPr>
        <w:t xml:space="preserve">Ο γιατρός σας μπορεί να αλλάξει τη δόση σας ανάλογα με την κατάστασή σας. </w:t>
      </w:r>
    </w:p>
    <w:p w:rsidR="00551603" w:rsidRPr="00B336DF" w:rsidRDefault="00551603" w:rsidP="00551603">
      <w:pPr>
        <w:jc w:val="both"/>
        <w:rPr>
          <w:noProof/>
          <w:szCs w:val="22"/>
        </w:rPr>
      </w:pPr>
      <w:r w:rsidRPr="00B336DF">
        <w:rPr>
          <w:noProof/>
          <w:szCs w:val="22"/>
        </w:rPr>
        <w:t>Η συνιστώμενη δόση για ενηλίκους (συμπεριλαμβανομένων των ηλικιωμένων ασθενών) είναι η</w:t>
      </w:r>
    </w:p>
    <w:p w:rsidR="000875D3" w:rsidRDefault="00551603" w:rsidP="00551603">
      <w:pPr>
        <w:jc w:val="both"/>
        <w:rPr>
          <w:noProof/>
          <w:szCs w:val="22"/>
        </w:rPr>
      </w:pPr>
      <w:r w:rsidRPr="00B336DF">
        <w:rPr>
          <w:noProof/>
          <w:szCs w:val="22"/>
        </w:rPr>
        <w:t>ακόλουθη:</w:t>
      </w:r>
    </w:p>
    <w:p w:rsidR="004563AB" w:rsidRPr="00B336DF" w:rsidRDefault="004563AB" w:rsidP="00551603">
      <w:pPr>
        <w:jc w:val="both"/>
        <w:rPr>
          <w:noProof/>
          <w:szCs w:val="22"/>
        </w:rPr>
      </w:pPr>
    </w:p>
    <w:p w:rsidR="00551603" w:rsidRPr="00B336DF" w:rsidRDefault="00551603" w:rsidP="00551603">
      <w:pPr>
        <w:jc w:val="both"/>
        <w:rPr>
          <w:noProof/>
          <w:szCs w:val="22"/>
        </w:rPr>
      </w:pPr>
    </w:p>
    <w:tbl>
      <w:tblPr>
        <w:tblStyle w:val="a6"/>
        <w:tblW w:w="0" w:type="auto"/>
        <w:tblLook w:val="04A0" w:firstRow="1" w:lastRow="0" w:firstColumn="1" w:lastColumn="0" w:noHBand="0" w:noVBand="1"/>
      </w:tblPr>
      <w:tblGrid>
        <w:gridCol w:w="4665"/>
        <w:gridCol w:w="4666"/>
      </w:tblGrid>
      <w:tr w:rsidR="00551603" w:rsidRPr="00B336DF" w:rsidTr="00551603">
        <w:tc>
          <w:tcPr>
            <w:tcW w:w="4665" w:type="dxa"/>
            <w:vAlign w:val="center"/>
          </w:tcPr>
          <w:p w:rsidR="00551603" w:rsidRPr="00B336DF" w:rsidRDefault="00551603" w:rsidP="00551603">
            <w:pPr>
              <w:jc w:val="center"/>
              <w:rPr>
                <w:noProof/>
                <w:sz w:val="22"/>
                <w:szCs w:val="22"/>
              </w:rPr>
            </w:pPr>
          </w:p>
        </w:tc>
        <w:tc>
          <w:tcPr>
            <w:tcW w:w="4666" w:type="dxa"/>
            <w:vAlign w:val="center"/>
          </w:tcPr>
          <w:p w:rsidR="00551603" w:rsidRPr="00B336DF" w:rsidRDefault="00551603" w:rsidP="00551603">
            <w:pPr>
              <w:jc w:val="center"/>
              <w:rPr>
                <w:b/>
                <w:noProof/>
                <w:sz w:val="22"/>
                <w:szCs w:val="22"/>
              </w:rPr>
            </w:pPr>
            <w:r w:rsidRPr="00B336DF">
              <w:rPr>
                <w:b/>
                <w:noProof/>
                <w:sz w:val="22"/>
                <w:szCs w:val="22"/>
              </w:rPr>
              <w:t>Ενδοφλέβια</w:t>
            </w:r>
          </w:p>
        </w:tc>
      </w:tr>
      <w:tr w:rsidR="00551603" w:rsidRPr="00B336DF" w:rsidTr="00551603">
        <w:tc>
          <w:tcPr>
            <w:tcW w:w="4665" w:type="dxa"/>
            <w:vAlign w:val="center"/>
          </w:tcPr>
          <w:p w:rsidR="00551603" w:rsidRPr="00B336DF" w:rsidRDefault="00551603" w:rsidP="00551603">
            <w:pPr>
              <w:tabs>
                <w:tab w:val="left" w:pos="1358"/>
              </w:tabs>
              <w:jc w:val="center"/>
              <w:rPr>
                <w:b/>
                <w:noProof/>
                <w:sz w:val="22"/>
                <w:szCs w:val="22"/>
              </w:rPr>
            </w:pPr>
            <w:r w:rsidRPr="00B336DF">
              <w:rPr>
                <w:b/>
                <w:noProof/>
                <w:sz w:val="22"/>
                <w:szCs w:val="22"/>
              </w:rPr>
              <w:t>Δόση για τις πρώτες 24 ώρες</w:t>
            </w:r>
          </w:p>
          <w:p w:rsidR="00551603" w:rsidRPr="00B336DF" w:rsidRDefault="00551603" w:rsidP="00551603">
            <w:pPr>
              <w:tabs>
                <w:tab w:val="left" w:pos="1358"/>
              </w:tabs>
              <w:jc w:val="center"/>
              <w:rPr>
                <w:noProof/>
                <w:sz w:val="22"/>
                <w:szCs w:val="22"/>
              </w:rPr>
            </w:pPr>
            <w:r w:rsidRPr="00B336DF">
              <w:rPr>
                <w:noProof/>
                <w:sz w:val="22"/>
                <w:szCs w:val="22"/>
              </w:rPr>
              <w:t>(Δόση Εφόδου)</w:t>
            </w:r>
          </w:p>
        </w:tc>
        <w:tc>
          <w:tcPr>
            <w:tcW w:w="4666" w:type="dxa"/>
            <w:vAlign w:val="center"/>
          </w:tcPr>
          <w:p w:rsidR="00551603" w:rsidRPr="00B336DF" w:rsidRDefault="00551603" w:rsidP="00551603">
            <w:pPr>
              <w:jc w:val="center"/>
              <w:rPr>
                <w:noProof/>
                <w:sz w:val="22"/>
                <w:szCs w:val="22"/>
              </w:rPr>
            </w:pPr>
            <w:r w:rsidRPr="00B336DF">
              <w:rPr>
                <w:noProof/>
                <w:sz w:val="22"/>
                <w:szCs w:val="22"/>
              </w:rPr>
              <w:t>6 mg/kg κάθε 12 ώρες για τις πρώτες 24 ώρες</w:t>
            </w:r>
          </w:p>
        </w:tc>
      </w:tr>
      <w:tr w:rsidR="00551603" w:rsidRPr="00B336DF" w:rsidTr="00551603">
        <w:tc>
          <w:tcPr>
            <w:tcW w:w="4665" w:type="dxa"/>
            <w:vAlign w:val="center"/>
          </w:tcPr>
          <w:p w:rsidR="00551603" w:rsidRPr="00B336DF" w:rsidRDefault="00551603" w:rsidP="00551603">
            <w:pPr>
              <w:jc w:val="center"/>
              <w:rPr>
                <w:b/>
                <w:noProof/>
                <w:sz w:val="22"/>
                <w:szCs w:val="22"/>
              </w:rPr>
            </w:pPr>
            <w:r w:rsidRPr="00B336DF">
              <w:rPr>
                <w:b/>
                <w:noProof/>
                <w:sz w:val="22"/>
                <w:szCs w:val="22"/>
              </w:rPr>
              <w:t>Δόση μετά τις πρώτες 24 ώρες</w:t>
            </w:r>
          </w:p>
          <w:p w:rsidR="00551603" w:rsidRPr="00B336DF" w:rsidRDefault="00551603" w:rsidP="00551603">
            <w:pPr>
              <w:jc w:val="center"/>
              <w:rPr>
                <w:noProof/>
                <w:sz w:val="22"/>
                <w:szCs w:val="22"/>
              </w:rPr>
            </w:pPr>
            <w:r w:rsidRPr="00B336DF">
              <w:rPr>
                <w:noProof/>
                <w:sz w:val="22"/>
                <w:szCs w:val="22"/>
              </w:rPr>
              <w:t>(Δόση Συντήρησης)</w:t>
            </w:r>
          </w:p>
        </w:tc>
        <w:tc>
          <w:tcPr>
            <w:tcW w:w="4666" w:type="dxa"/>
            <w:vAlign w:val="center"/>
          </w:tcPr>
          <w:p w:rsidR="00551603" w:rsidRPr="00B336DF" w:rsidRDefault="00551603" w:rsidP="00551603">
            <w:pPr>
              <w:jc w:val="center"/>
              <w:rPr>
                <w:noProof/>
                <w:sz w:val="22"/>
                <w:szCs w:val="22"/>
              </w:rPr>
            </w:pPr>
            <w:r w:rsidRPr="00B336DF">
              <w:rPr>
                <w:noProof/>
                <w:sz w:val="22"/>
                <w:szCs w:val="22"/>
              </w:rPr>
              <w:t>4 mg/kg δύο φορές την ημέρα</w:t>
            </w:r>
          </w:p>
        </w:tc>
      </w:tr>
    </w:tbl>
    <w:p w:rsidR="00551603" w:rsidRPr="00B336DF" w:rsidRDefault="00551603" w:rsidP="00551603">
      <w:pPr>
        <w:jc w:val="both"/>
        <w:rPr>
          <w:noProof/>
          <w:szCs w:val="22"/>
        </w:rPr>
      </w:pPr>
    </w:p>
    <w:p w:rsidR="00551603" w:rsidRPr="00B336DF" w:rsidRDefault="00551603" w:rsidP="00551603">
      <w:pPr>
        <w:jc w:val="both"/>
        <w:rPr>
          <w:szCs w:val="22"/>
        </w:rPr>
      </w:pPr>
      <w:r w:rsidRPr="00B336DF">
        <w:rPr>
          <w:szCs w:val="22"/>
        </w:rPr>
        <w:t>Ανάλογα με την ανταπόκρισή σας στη θεραπεία ο γιατρός σας μπορεί να μειώσει τη δόση στα 3</w:t>
      </w:r>
    </w:p>
    <w:p w:rsidR="00551603" w:rsidRPr="00B336DF" w:rsidRDefault="00551603" w:rsidP="00551603">
      <w:pPr>
        <w:jc w:val="both"/>
        <w:rPr>
          <w:szCs w:val="22"/>
        </w:rPr>
      </w:pPr>
      <w:r w:rsidRPr="00B336DF">
        <w:rPr>
          <w:szCs w:val="22"/>
        </w:rPr>
        <w:t>mg/kg δύο φορές ημερησίως.</w:t>
      </w:r>
    </w:p>
    <w:p w:rsidR="00551603" w:rsidRPr="00B336DF" w:rsidRDefault="00551603" w:rsidP="00551603">
      <w:pPr>
        <w:jc w:val="both"/>
        <w:rPr>
          <w:szCs w:val="22"/>
        </w:rPr>
      </w:pPr>
    </w:p>
    <w:p w:rsidR="000875D3" w:rsidRPr="00B336DF" w:rsidRDefault="00551603" w:rsidP="00551603">
      <w:pPr>
        <w:jc w:val="both"/>
        <w:rPr>
          <w:noProof/>
          <w:szCs w:val="22"/>
        </w:rPr>
      </w:pPr>
      <w:r w:rsidRPr="00B336DF">
        <w:rPr>
          <w:szCs w:val="22"/>
        </w:rPr>
        <w:t>Ο γιατρός μπορεί να αποφασίσει να μειώσει τη δόση εάν έχετε ήπια έως μέτρια κίρρωση.</w:t>
      </w:r>
    </w:p>
    <w:p w:rsidR="00551603" w:rsidRPr="00B336DF" w:rsidRDefault="00551603" w:rsidP="000875D3">
      <w:pPr>
        <w:rPr>
          <w:b/>
          <w:noProof/>
          <w:szCs w:val="22"/>
        </w:rPr>
      </w:pPr>
    </w:p>
    <w:p w:rsidR="000875D3" w:rsidRPr="00B336DF" w:rsidRDefault="000875D3" w:rsidP="000875D3">
      <w:pPr>
        <w:rPr>
          <w:b/>
          <w:noProof/>
          <w:szCs w:val="22"/>
        </w:rPr>
      </w:pPr>
      <w:r w:rsidRPr="00B336DF">
        <w:rPr>
          <w:b/>
          <w:noProof/>
          <w:szCs w:val="22"/>
        </w:rPr>
        <w:t>Χρήση σε παιδιά</w:t>
      </w:r>
      <w:r w:rsidR="00551603" w:rsidRPr="00B336DF">
        <w:rPr>
          <w:b/>
          <w:noProof/>
          <w:szCs w:val="22"/>
        </w:rPr>
        <w:t xml:space="preserve"> </w:t>
      </w:r>
      <w:r w:rsidRPr="00B336DF">
        <w:rPr>
          <w:b/>
          <w:noProof/>
          <w:szCs w:val="22"/>
        </w:rPr>
        <w:t>και εφήβους</w:t>
      </w:r>
    </w:p>
    <w:p w:rsidR="000875D3" w:rsidRPr="00B336DF" w:rsidRDefault="000875D3" w:rsidP="000875D3">
      <w:pPr>
        <w:rPr>
          <w:noProof/>
          <w:szCs w:val="22"/>
        </w:rPr>
      </w:pPr>
    </w:p>
    <w:p w:rsidR="000875D3" w:rsidRPr="00B336DF" w:rsidRDefault="00551603" w:rsidP="000875D3">
      <w:pPr>
        <w:rPr>
          <w:noProof/>
          <w:szCs w:val="22"/>
          <w:u w:val="single"/>
        </w:rPr>
      </w:pPr>
      <w:r w:rsidRPr="00B336DF">
        <w:rPr>
          <w:noProof/>
          <w:szCs w:val="22"/>
          <w:u w:val="single"/>
        </w:rPr>
        <w:t>Η συνιστώμενη δόση για παιδιά και εφήβους είναι η ακόλουθη:</w:t>
      </w:r>
    </w:p>
    <w:p w:rsidR="00551603" w:rsidRPr="00B336DF" w:rsidRDefault="00551603" w:rsidP="000875D3">
      <w:pPr>
        <w:rPr>
          <w:noProof/>
          <w:szCs w:val="22"/>
        </w:rPr>
      </w:pPr>
    </w:p>
    <w:tbl>
      <w:tblPr>
        <w:tblStyle w:val="a6"/>
        <w:tblW w:w="0" w:type="auto"/>
        <w:tblLook w:val="04A0" w:firstRow="1" w:lastRow="0" w:firstColumn="1" w:lastColumn="0" w:noHBand="0" w:noVBand="1"/>
      </w:tblPr>
      <w:tblGrid>
        <w:gridCol w:w="2943"/>
        <w:gridCol w:w="3261"/>
        <w:gridCol w:w="3127"/>
      </w:tblGrid>
      <w:tr w:rsidR="00551603" w:rsidRPr="00B336DF" w:rsidTr="00551603">
        <w:tc>
          <w:tcPr>
            <w:tcW w:w="2943" w:type="dxa"/>
            <w:vAlign w:val="center"/>
          </w:tcPr>
          <w:p w:rsidR="00551603" w:rsidRPr="00B336DF" w:rsidRDefault="00551603" w:rsidP="00344DCA">
            <w:pPr>
              <w:jc w:val="center"/>
              <w:rPr>
                <w:noProof/>
                <w:sz w:val="22"/>
                <w:szCs w:val="22"/>
              </w:rPr>
            </w:pPr>
          </w:p>
        </w:tc>
        <w:tc>
          <w:tcPr>
            <w:tcW w:w="6388" w:type="dxa"/>
            <w:gridSpan w:val="2"/>
            <w:vAlign w:val="center"/>
          </w:tcPr>
          <w:p w:rsidR="00551603" w:rsidRPr="00B336DF" w:rsidRDefault="00551603" w:rsidP="00344DCA">
            <w:pPr>
              <w:jc w:val="center"/>
              <w:rPr>
                <w:b/>
                <w:noProof/>
                <w:sz w:val="22"/>
                <w:szCs w:val="22"/>
              </w:rPr>
            </w:pPr>
            <w:r w:rsidRPr="00B336DF">
              <w:rPr>
                <w:b/>
                <w:noProof/>
                <w:sz w:val="22"/>
                <w:szCs w:val="22"/>
              </w:rPr>
              <w:t>Ενδοφλέβια</w:t>
            </w:r>
          </w:p>
        </w:tc>
      </w:tr>
      <w:tr w:rsidR="00551603" w:rsidRPr="00B336DF" w:rsidTr="00551603">
        <w:tc>
          <w:tcPr>
            <w:tcW w:w="2943" w:type="dxa"/>
            <w:vAlign w:val="center"/>
          </w:tcPr>
          <w:p w:rsidR="00551603" w:rsidRPr="00B336DF" w:rsidRDefault="00551603" w:rsidP="00344DCA">
            <w:pPr>
              <w:tabs>
                <w:tab w:val="left" w:pos="1358"/>
              </w:tabs>
              <w:jc w:val="center"/>
              <w:rPr>
                <w:noProof/>
                <w:sz w:val="22"/>
                <w:szCs w:val="22"/>
              </w:rPr>
            </w:pPr>
          </w:p>
        </w:tc>
        <w:tc>
          <w:tcPr>
            <w:tcW w:w="3261" w:type="dxa"/>
            <w:vAlign w:val="center"/>
          </w:tcPr>
          <w:p w:rsidR="00551603" w:rsidRPr="00B336DF" w:rsidRDefault="00551603" w:rsidP="00551603">
            <w:pPr>
              <w:jc w:val="center"/>
              <w:rPr>
                <w:noProof/>
                <w:sz w:val="22"/>
                <w:szCs w:val="22"/>
              </w:rPr>
            </w:pPr>
            <w:r w:rsidRPr="00B336DF">
              <w:rPr>
                <w:noProof/>
                <w:sz w:val="22"/>
                <w:szCs w:val="22"/>
              </w:rPr>
              <w:t>Παιδιά ηλικίας από 2 έως μικρότερα των 12 ετών και έφηβοι ηλικίας από 12 έως 14 ετών με σωματικό βάρος μικρότερο των 50 kg</w:t>
            </w:r>
          </w:p>
        </w:tc>
        <w:tc>
          <w:tcPr>
            <w:tcW w:w="3127" w:type="dxa"/>
            <w:vAlign w:val="center"/>
          </w:tcPr>
          <w:p w:rsidR="00551603" w:rsidRPr="00B336DF" w:rsidRDefault="00551603" w:rsidP="00551603">
            <w:pPr>
              <w:jc w:val="center"/>
              <w:rPr>
                <w:noProof/>
                <w:sz w:val="22"/>
                <w:szCs w:val="22"/>
              </w:rPr>
            </w:pPr>
            <w:r w:rsidRPr="00B336DF">
              <w:rPr>
                <w:noProof/>
                <w:sz w:val="22"/>
                <w:szCs w:val="22"/>
              </w:rPr>
              <w:t>Έφηβοι ηλικίας 12 έως 14 ετών με σωματικό βάρος από 50 kg και πάνω, και όλοι οι έφηβοι ηλικίας άνω των 14 ετών</w:t>
            </w:r>
          </w:p>
        </w:tc>
      </w:tr>
      <w:tr w:rsidR="00551603" w:rsidRPr="00B336DF" w:rsidTr="00551603">
        <w:tc>
          <w:tcPr>
            <w:tcW w:w="2943" w:type="dxa"/>
            <w:vAlign w:val="center"/>
          </w:tcPr>
          <w:p w:rsidR="00551603" w:rsidRPr="00B336DF" w:rsidRDefault="00551603" w:rsidP="00344DCA">
            <w:pPr>
              <w:tabs>
                <w:tab w:val="left" w:pos="1358"/>
              </w:tabs>
              <w:jc w:val="center"/>
              <w:rPr>
                <w:b/>
                <w:noProof/>
                <w:sz w:val="22"/>
                <w:szCs w:val="22"/>
              </w:rPr>
            </w:pPr>
            <w:r w:rsidRPr="00B336DF">
              <w:rPr>
                <w:b/>
                <w:noProof/>
                <w:sz w:val="22"/>
                <w:szCs w:val="22"/>
              </w:rPr>
              <w:t>Δόση για τις πρώτες 24 ώρες</w:t>
            </w:r>
          </w:p>
          <w:p w:rsidR="00551603" w:rsidRPr="00B336DF" w:rsidRDefault="00551603" w:rsidP="00344DCA">
            <w:pPr>
              <w:tabs>
                <w:tab w:val="left" w:pos="1358"/>
              </w:tabs>
              <w:jc w:val="center"/>
              <w:rPr>
                <w:noProof/>
                <w:sz w:val="22"/>
                <w:szCs w:val="22"/>
              </w:rPr>
            </w:pPr>
            <w:r w:rsidRPr="00B336DF">
              <w:rPr>
                <w:noProof/>
                <w:sz w:val="22"/>
                <w:szCs w:val="22"/>
              </w:rPr>
              <w:t>(Δόση Εφόδου)</w:t>
            </w:r>
          </w:p>
        </w:tc>
        <w:tc>
          <w:tcPr>
            <w:tcW w:w="3261" w:type="dxa"/>
            <w:vAlign w:val="center"/>
          </w:tcPr>
          <w:p w:rsidR="00551603" w:rsidRPr="00B336DF" w:rsidRDefault="00FB242C" w:rsidP="00FB242C">
            <w:pPr>
              <w:jc w:val="center"/>
              <w:rPr>
                <w:noProof/>
                <w:sz w:val="22"/>
                <w:szCs w:val="22"/>
              </w:rPr>
            </w:pPr>
            <w:r w:rsidRPr="00620A4B">
              <w:rPr>
                <w:noProof/>
                <w:szCs w:val="22"/>
              </w:rPr>
              <w:t>9</w:t>
            </w:r>
            <w:r w:rsidR="00551603" w:rsidRPr="00B336DF">
              <w:rPr>
                <w:noProof/>
                <w:sz w:val="22"/>
                <w:szCs w:val="22"/>
              </w:rPr>
              <w:t xml:space="preserve"> mg/kg κάθε 12 ώρες για τις πρώτες 24 ώρες</w:t>
            </w:r>
          </w:p>
        </w:tc>
        <w:tc>
          <w:tcPr>
            <w:tcW w:w="3127" w:type="dxa"/>
            <w:vAlign w:val="center"/>
          </w:tcPr>
          <w:p w:rsidR="00551603" w:rsidRPr="00B336DF" w:rsidRDefault="00551603" w:rsidP="00551603">
            <w:pPr>
              <w:jc w:val="center"/>
              <w:rPr>
                <w:noProof/>
                <w:sz w:val="22"/>
                <w:szCs w:val="22"/>
              </w:rPr>
            </w:pPr>
            <w:r w:rsidRPr="00B336DF">
              <w:rPr>
                <w:noProof/>
                <w:sz w:val="22"/>
                <w:szCs w:val="22"/>
              </w:rPr>
              <w:t>6 mg/kg κάθε 12 ώρες για τις</w:t>
            </w:r>
          </w:p>
          <w:p w:rsidR="00551603" w:rsidRPr="00B336DF" w:rsidRDefault="00551603" w:rsidP="00551603">
            <w:pPr>
              <w:jc w:val="center"/>
              <w:rPr>
                <w:noProof/>
                <w:sz w:val="22"/>
                <w:szCs w:val="22"/>
              </w:rPr>
            </w:pPr>
            <w:r w:rsidRPr="00B336DF">
              <w:rPr>
                <w:noProof/>
                <w:sz w:val="22"/>
                <w:szCs w:val="22"/>
              </w:rPr>
              <w:t>πρώτες 24 ώρες</w:t>
            </w:r>
          </w:p>
        </w:tc>
      </w:tr>
      <w:tr w:rsidR="00551603" w:rsidRPr="00B336DF" w:rsidTr="00551603">
        <w:tc>
          <w:tcPr>
            <w:tcW w:w="2943" w:type="dxa"/>
            <w:vAlign w:val="center"/>
          </w:tcPr>
          <w:p w:rsidR="00551603" w:rsidRPr="00B336DF" w:rsidRDefault="00551603" w:rsidP="00344DCA">
            <w:pPr>
              <w:jc w:val="center"/>
              <w:rPr>
                <w:b/>
                <w:noProof/>
                <w:sz w:val="22"/>
                <w:szCs w:val="22"/>
              </w:rPr>
            </w:pPr>
            <w:r w:rsidRPr="00B336DF">
              <w:rPr>
                <w:b/>
                <w:noProof/>
                <w:sz w:val="22"/>
                <w:szCs w:val="22"/>
              </w:rPr>
              <w:t>Δόση μετά τις πρώτες 24 ώρες</w:t>
            </w:r>
          </w:p>
          <w:p w:rsidR="00551603" w:rsidRPr="00B336DF" w:rsidRDefault="00551603" w:rsidP="00344DCA">
            <w:pPr>
              <w:jc w:val="center"/>
              <w:rPr>
                <w:noProof/>
                <w:sz w:val="22"/>
                <w:szCs w:val="22"/>
              </w:rPr>
            </w:pPr>
            <w:r w:rsidRPr="00B336DF">
              <w:rPr>
                <w:noProof/>
                <w:sz w:val="22"/>
                <w:szCs w:val="22"/>
              </w:rPr>
              <w:t>(Δόση Συντήρησης)</w:t>
            </w:r>
          </w:p>
        </w:tc>
        <w:tc>
          <w:tcPr>
            <w:tcW w:w="3261" w:type="dxa"/>
            <w:vAlign w:val="center"/>
          </w:tcPr>
          <w:p w:rsidR="00551603" w:rsidRPr="00B336DF" w:rsidRDefault="00551603" w:rsidP="00344DCA">
            <w:pPr>
              <w:jc w:val="center"/>
              <w:rPr>
                <w:noProof/>
                <w:sz w:val="22"/>
                <w:szCs w:val="22"/>
              </w:rPr>
            </w:pPr>
            <w:r w:rsidRPr="00B336DF">
              <w:rPr>
                <w:noProof/>
                <w:sz w:val="22"/>
                <w:szCs w:val="22"/>
              </w:rPr>
              <w:t>8 mg/kg δύο φορές την ημέρα</w:t>
            </w:r>
          </w:p>
        </w:tc>
        <w:tc>
          <w:tcPr>
            <w:tcW w:w="3127" w:type="dxa"/>
            <w:vAlign w:val="center"/>
          </w:tcPr>
          <w:p w:rsidR="00551603" w:rsidRPr="00B336DF" w:rsidRDefault="00551603" w:rsidP="00344DCA">
            <w:pPr>
              <w:jc w:val="center"/>
              <w:rPr>
                <w:noProof/>
                <w:sz w:val="22"/>
                <w:szCs w:val="22"/>
              </w:rPr>
            </w:pPr>
            <w:r w:rsidRPr="00B336DF">
              <w:rPr>
                <w:noProof/>
                <w:sz w:val="22"/>
                <w:szCs w:val="22"/>
              </w:rPr>
              <w:t>4 mg/kg δύο φορές την ημέρα</w:t>
            </w:r>
          </w:p>
        </w:tc>
      </w:tr>
    </w:tbl>
    <w:p w:rsidR="00551603" w:rsidRPr="00B336DF" w:rsidRDefault="00551603" w:rsidP="000875D3">
      <w:pPr>
        <w:rPr>
          <w:noProof/>
          <w:szCs w:val="22"/>
        </w:rPr>
      </w:pPr>
    </w:p>
    <w:p w:rsidR="00551603" w:rsidRPr="00B336DF" w:rsidRDefault="00551603" w:rsidP="00551603">
      <w:pPr>
        <w:rPr>
          <w:noProof/>
          <w:szCs w:val="22"/>
        </w:rPr>
      </w:pPr>
      <w:r w:rsidRPr="00B336DF">
        <w:rPr>
          <w:noProof/>
          <w:szCs w:val="22"/>
        </w:rPr>
        <w:t>Ανάλογα με την ανταπόκρισή σας στη θεραπεία, ο γιατρός σας μπορεί να αυξήσει ή να μειώσει την</w:t>
      </w:r>
    </w:p>
    <w:p w:rsidR="00551603" w:rsidRPr="00B336DF" w:rsidRDefault="00551603" w:rsidP="00551603">
      <w:pPr>
        <w:rPr>
          <w:noProof/>
          <w:szCs w:val="22"/>
        </w:rPr>
      </w:pPr>
      <w:r w:rsidRPr="00B336DF">
        <w:rPr>
          <w:noProof/>
          <w:szCs w:val="22"/>
        </w:rPr>
        <w:t>ημερήσια δόση.</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 xml:space="preserve">Η σκόνη για διάλυμα προς έγχυση </w:t>
      </w:r>
      <w:r w:rsidR="00983777" w:rsidRPr="00B336DF">
        <w:rPr>
          <w:noProof/>
          <w:szCs w:val="22"/>
        </w:rPr>
        <w:t>V</w:t>
      </w:r>
      <w:r w:rsidR="00C0675B" w:rsidRPr="00B336DF">
        <w:rPr>
          <w:noProof/>
          <w:szCs w:val="22"/>
        </w:rPr>
        <w:t>oriconazole</w:t>
      </w:r>
      <w:r w:rsidR="00983777" w:rsidRPr="00B336DF">
        <w:rPr>
          <w:noProof/>
          <w:szCs w:val="22"/>
        </w:rPr>
        <w:t xml:space="preserve"> BRADEX</w:t>
      </w:r>
      <w:r w:rsidRPr="00B336DF">
        <w:rPr>
          <w:noProof/>
          <w:szCs w:val="22"/>
        </w:rPr>
        <w:t xml:space="preserve"> θα ανασυσταθεί και θα αραιωθεί στην σωστή</w:t>
      </w:r>
    </w:p>
    <w:p w:rsidR="00551603" w:rsidRPr="00B336DF" w:rsidRDefault="00551603" w:rsidP="00551603">
      <w:pPr>
        <w:rPr>
          <w:noProof/>
          <w:szCs w:val="22"/>
        </w:rPr>
      </w:pPr>
      <w:r w:rsidRPr="00B336DF">
        <w:rPr>
          <w:noProof/>
          <w:szCs w:val="22"/>
        </w:rPr>
        <w:t>συγκέντρωση από τον νοσοκομειακό φαρμακοποιό ή τη νοσηλεύτριά σας (Παρακαλείσθε να</w:t>
      </w:r>
    </w:p>
    <w:p w:rsidR="00551603" w:rsidRPr="00B336DF" w:rsidRDefault="00551603" w:rsidP="00551603">
      <w:pPr>
        <w:rPr>
          <w:noProof/>
          <w:szCs w:val="22"/>
        </w:rPr>
      </w:pPr>
      <w:r w:rsidRPr="00B336DF">
        <w:rPr>
          <w:noProof/>
          <w:szCs w:val="22"/>
        </w:rPr>
        <w:t>ανατρέξετε στο τέλος του παρόντος φύλλου οδηγιών για περισσότερες πληροφορίες).</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Η παραπάνω δόση θα σας χορηγηθεί με ενδοφλέβια έγχυση (σε μία φλέβα) με μέγιστο ρυθμό 3 mg/kg</w:t>
      </w:r>
    </w:p>
    <w:p w:rsidR="00551603" w:rsidRPr="00B336DF" w:rsidRDefault="00551603" w:rsidP="00551603">
      <w:pPr>
        <w:rPr>
          <w:noProof/>
          <w:szCs w:val="22"/>
        </w:rPr>
      </w:pPr>
      <w:r w:rsidRPr="00B336DF">
        <w:rPr>
          <w:noProof/>
          <w:szCs w:val="22"/>
        </w:rPr>
        <w:t>ανά ώρα εντός 1 έως 3 ωρών.</w:t>
      </w:r>
    </w:p>
    <w:p w:rsidR="00551603" w:rsidRPr="00B336DF" w:rsidRDefault="00551603" w:rsidP="000875D3">
      <w:pPr>
        <w:rPr>
          <w:noProof/>
          <w:szCs w:val="22"/>
        </w:rPr>
      </w:pPr>
    </w:p>
    <w:p w:rsidR="00551603" w:rsidRPr="00B336DF" w:rsidRDefault="00551603" w:rsidP="00C0675B">
      <w:pPr>
        <w:widowControl/>
        <w:autoSpaceDE w:val="0"/>
        <w:autoSpaceDN w:val="0"/>
        <w:adjustRightInd w:val="0"/>
        <w:rPr>
          <w:noProof/>
          <w:szCs w:val="22"/>
        </w:rPr>
      </w:pPr>
      <w:r w:rsidRPr="00B336DF">
        <w:rPr>
          <w:rFonts w:eastAsiaTheme="minorEastAsia"/>
          <w:szCs w:val="22"/>
          <w:lang w:eastAsia="zh-CN"/>
        </w:rPr>
        <w:t xml:space="preserve">Εάν εσείς ή το παιδί σας παίρνετε </w:t>
      </w:r>
      <w:r w:rsidR="00983777" w:rsidRPr="00B336DF">
        <w:rPr>
          <w:rFonts w:eastAsiaTheme="minorEastAsia"/>
          <w:szCs w:val="22"/>
          <w:lang w:val="en-US" w:eastAsia="zh-CN"/>
        </w:rPr>
        <w:t>V</w:t>
      </w:r>
      <w:r w:rsidR="00C0675B" w:rsidRPr="00B336DF">
        <w:rPr>
          <w:rFonts w:eastAsiaTheme="minorEastAsia"/>
          <w:szCs w:val="22"/>
          <w:lang w:val="en-US" w:eastAsia="zh-CN"/>
        </w:rPr>
        <w:t>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για την πρόληψη από μυκητιασικές λοιμώξεις, ο γιατρός</w:t>
      </w:r>
      <w:r w:rsidR="00C0675B" w:rsidRPr="00B336DF">
        <w:rPr>
          <w:rFonts w:eastAsiaTheme="minorEastAsia"/>
          <w:szCs w:val="22"/>
          <w:lang w:eastAsia="zh-CN"/>
        </w:rPr>
        <w:t xml:space="preserve"> </w:t>
      </w:r>
      <w:r w:rsidRPr="00B336DF">
        <w:rPr>
          <w:rFonts w:eastAsiaTheme="minorEastAsia"/>
          <w:szCs w:val="22"/>
          <w:lang w:eastAsia="zh-CN"/>
        </w:rPr>
        <w:t xml:space="preserve">σας μπορεί να σταματήσει να σας χορηγεί </w:t>
      </w:r>
      <w:r w:rsidR="00983777" w:rsidRPr="00B336DF">
        <w:rPr>
          <w:rFonts w:eastAsiaTheme="minorEastAsia"/>
          <w:szCs w:val="22"/>
          <w:lang w:val="en-US" w:eastAsia="zh-CN"/>
        </w:rPr>
        <w:t>V</w:t>
      </w:r>
      <w:r w:rsidR="00C0675B" w:rsidRPr="00B336DF">
        <w:rPr>
          <w:rFonts w:eastAsiaTheme="minorEastAsia"/>
          <w:szCs w:val="22"/>
          <w:lang w:val="en-US" w:eastAsia="zh-CN"/>
        </w:rPr>
        <w:t>oriconazole</w:t>
      </w:r>
      <w:r w:rsidR="00983777" w:rsidRPr="00B336DF">
        <w:rPr>
          <w:rFonts w:eastAsiaTheme="minorEastAsia"/>
          <w:szCs w:val="22"/>
          <w:lang w:eastAsia="zh-CN"/>
        </w:rPr>
        <w:t xml:space="preserve"> </w:t>
      </w:r>
      <w:r w:rsidR="00983777" w:rsidRPr="00B336DF">
        <w:rPr>
          <w:rFonts w:eastAsiaTheme="minorEastAsia"/>
          <w:szCs w:val="22"/>
          <w:lang w:val="en-US" w:eastAsia="zh-CN"/>
        </w:rPr>
        <w:t>BRADEX</w:t>
      </w:r>
      <w:r w:rsidRPr="00B336DF">
        <w:rPr>
          <w:rFonts w:eastAsiaTheme="minorEastAsia"/>
          <w:szCs w:val="22"/>
          <w:lang w:eastAsia="zh-CN"/>
        </w:rPr>
        <w:t xml:space="preserve"> εάν εσείς ή το παιδί σας αναπτύξετε ανεπιθύμητες</w:t>
      </w:r>
      <w:r w:rsidR="00C0675B" w:rsidRPr="00B336DF">
        <w:rPr>
          <w:rFonts w:eastAsiaTheme="minorEastAsia"/>
          <w:szCs w:val="22"/>
          <w:lang w:eastAsia="zh-CN"/>
        </w:rPr>
        <w:t xml:space="preserve"> </w:t>
      </w:r>
      <w:r w:rsidRPr="00B336DF">
        <w:rPr>
          <w:rFonts w:eastAsiaTheme="minorEastAsia"/>
          <w:szCs w:val="22"/>
          <w:lang w:eastAsia="zh-CN"/>
        </w:rPr>
        <w:t>ενέργειες που σχετίζονται με τη θεραπεία.</w:t>
      </w:r>
    </w:p>
    <w:p w:rsidR="00551603" w:rsidRPr="00B336DF" w:rsidRDefault="00551603" w:rsidP="000875D3">
      <w:pPr>
        <w:rPr>
          <w:b/>
          <w:noProof/>
          <w:szCs w:val="22"/>
        </w:rPr>
      </w:pPr>
    </w:p>
    <w:p w:rsidR="000875D3" w:rsidRPr="00B336DF" w:rsidRDefault="00551603" w:rsidP="000875D3">
      <w:pPr>
        <w:rPr>
          <w:b/>
          <w:noProof/>
          <w:szCs w:val="22"/>
        </w:rPr>
      </w:pPr>
      <w:r w:rsidRPr="00B336DF">
        <w:rPr>
          <w:b/>
          <w:noProof/>
          <w:szCs w:val="22"/>
        </w:rPr>
        <w:t xml:space="preserve">Εάν ξεχάσετε να </w:t>
      </w:r>
      <w:r w:rsidR="000875D3" w:rsidRPr="00B336DF">
        <w:rPr>
          <w:b/>
          <w:noProof/>
          <w:szCs w:val="22"/>
        </w:rPr>
        <w:t>πάρετε</w:t>
      </w:r>
      <w:r w:rsidRPr="00B336DF">
        <w:rPr>
          <w:b/>
          <w:noProof/>
          <w:szCs w:val="22"/>
        </w:rPr>
        <w:t xml:space="preserve"> </w:t>
      </w:r>
      <w:r w:rsidR="000875D3" w:rsidRPr="00B336DF">
        <w:rPr>
          <w:b/>
          <w:noProof/>
          <w:szCs w:val="22"/>
        </w:rPr>
        <w:t xml:space="preserve">το </w:t>
      </w:r>
      <w:r w:rsidR="00983777" w:rsidRPr="00B336DF">
        <w:rPr>
          <w:b/>
          <w:noProof/>
          <w:szCs w:val="22"/>
        </w:rPr>
        <w:t>V</w:t>
      </w:r>
      <w:r w:rsidR="00C0675B" w:rsidRPr="00B336DF">
        <w:rPr>
          <w:b/>
          <w:noProof/>
          <w:szCs w:val="22"/>
        </w:rPr>
        <w:t>oriconazole</w:t>
      </w:r>
      <w:r w:rsidR="00983777" w:rsidRPr="00B336DF">
        <w:rPr>
          <w:b/>
          <w:noProof/>
          <w:szCs w:val="22"/>
        </w:rPr>
        <w:t xml:space="preserve"> BRADEX</w:t>
      </w:r>
    </w:p>
    <w:p w:rsidR="000875D3" w:rsidRPr="00B336DF" w:rsidRDefault="000875D3" w:rsidP="000875D3">
      <w:pPr>
        <w:rPr>
          <w:b/>
          <w:noProof/>
          <w:szCs w:val="22"/>
        </w:rPr>
      </w:pPr>
    </w:p>
    <w:p w:rsidR="00551603" w:rsidRPr="00B336DF" w:rsidRDefault="00551603" w:rsidP="00551603">
      <w:pPr>
        <w:rPr>
          <w:noProof/>
          <w:szCs w:val="22"/>
        </w:rPr>
      </w:pPr>
      <w:r w:rsidRPr="00B336DF">
        <w:rPr>
          <w:noProof/>
          <w:szCs w:val="22"/>
        </w:rPr>
        <w:t>Αφού θα λαμβάνετε αυτό το φάρμακο κάτω από στενή ιατρική παρακολούθηση, είναι απίθανο να</w:t>
      </w:r>
    </w:p>
    <w:p w:rsidR="00551603" w:rsidRPr="00B336DF" w:rsidRDefault="00551603" w:rsidP="00551603">
      <w:pPr>
        <w:rPr>
          <w:noProof/>
          <w:szCs w:val="22"/>
        </w:rPr>
      </w:pPr>
      <w:r w:rsidRPr="00B336DF">
        <w:rPr>
          <w:noProof/>
          <w:szCs w:val="22"/>
        </w:rPr>
        <w:t>παραλειφθεί μία δόση. Παρόλα αυτά ενημερώστε τον γιατρό ή τον φαρμακοποιό σας αν νομίζετε ότι</w:t>
      </w:r>
    </w:p>
    <w:p w:rsidR="000875D3" w:rsidRPr="00B336DF" w:rsidRDefault="00551603" w:rsidP="00551603">
      <w:pPr>
        <w:rPr>
          <w:noProof/>
          <w:szCs w:val="22"/>
        </w:rPr>
      </w:pPr>
      <w:r w:rsidRPr="00B336DF">
        <w:rPr>
          <w:noProof/>
          <w:szCs w:val="22"/>
        </w:rPr>
        <w:t>μια δόση έχει ξεχαστεί.</w:t>
      </w:r>
    </w:p>
    <w:p w:rsidR="00551603" w:rsidRPr="00B336DF" w:rsidRDefault="00551603" w:rsidP="00551603">
      <w:pPr>
        <w:rPr>
          <w:noProof/>
          <w:szCs w:val="22"/>
        </w:rPr>
      </w:pPr>
    </w:p>
    <w:p w:rsidR="000875D3" w:rsidRPr="00B336DF" w:rsidRDefault="00551603" w:rsidP="000875D3">
      <w:pPr>
        <w:rPr>
          <w:b/>
          <w:bCs/>
          <w:noProof/>
          <w:szCs w:val="22"/>
        </w:rPr>
      </w:pPr>
      <w:r w:rsidRPr="00B336DF">
        <w:rPr>
          <w:b/>
          <w:bCs/>
          <w:noProof/>
          <w:szCs w:val="22"/>
        </w:rPr>
        <w:t xml:space="preserve">Εάν σταματήσετε να </w:t>
      </w:r>
      <w:r w:rsidR="000875D3" w:rsidRPr="00B336DF">
        <w:rPr>
          <w:b/>
          <w:bCs/>
          <w:noProof/>
          <w:szCs w:val="22"/>
        </w:rPr>
        <w:t xml:space="preserve">παίρνετε το </w:t>
      </w:r>
      <w:r w:rsidR="00983777" w:rsidRPr="00B336DF">
        <w:rPr>
          <w:b/>
          <w:bCs/>
          <w:noProof/>
          <w:szCs w:val="22"/>
        </w:rPr>
        <w:t>V</w:t>
      </w:r>
      <w:r w:rsidR="00C0675B" w:rsidRPr="00B336DF">
        <w:rPr>
          <w:b/>
          <w:bCs/>
          <w:noProof/>
          <w:szCs w:val="22"/>
        </w:rPr>
        <w:t>oriconazole</w:t>
      </w:r>
      <w:r w:rsidR="00983777" w:rsidRPr="00B336DF">
        <w:rPr>
          <w:b/>
          <w:bCs/>
          <w:noProof/>
          <w:szCs w:val="22"/>
        </w:rPr>
        <w:t xml:space="preserve"> BRADEX</w:t>
      </w:r>
    </w:p>
    <w:p w:rsidR="000875D3" w:rsidRPr="00B336DF" w:rsidRDefault="000875D3" w:rsidP="000875D3">
      <w:pPr>
        <w:rPr>
          <w:b/>
          <w:bCs/>
          <w:noProof/>
          <w:szCs w:val="22"/>
        </w:rPr>
      </w:pPr>
    </w:p>
    <w:p w:rsidR="00551603" w:rsidRPr="00B336DF" w:rsidRDefault="00551603" w:rsidP="00551603">
      <w:pPr>
        <w:rPr>
          <w:noProof/>
          <w:szCs w:val="22"/>
        </w:rPr>
      </w:pPr>
      <w:r w:rsidRPr="00B336DF">
        <w:rPr>
          <w:noProof/>
          <w:szCs w:val="22"/>
        </w:rPr>
        <w:t xml:space="preserve">Η θεραπεία με </w:t>
      </w:r>
      <w:r w:rsidR="00983777" w:rsidRPr="00B336DF">
        <w:rPr>
          <w:noProof/>
          <w:szCs w:val="22"/>
        </w:rPr>
        <w:t>V</w:t>
      </w:r>
      <w:r w:rsidR="00C0675B" w:rsidRPr="00B336DF">
        <w:rPr>
          <w:noProof/>
          <w:szCs w:val="22"/>
        </w:rPr>
        <w:t>oriconazole</w:t>
      </w:r>
      <w:r w:rsidR="00983777" w:rsidRPr="00B336DF">
        <w:rPr>
          <w:noProof/>
          <w:szCs w:val="22"/>
        </w:rPr>
        <w:t xml:space="preserve"> BRADEX</w:t>
      </w:r>
      <w:r w:rsidRPr="00B336DF">
        <w:rPr>
          <w:noProof/>
          <w:szCs w:val="22"/>
        </w:rPr>
        <w:t xml:space="preserve"> θα συνεχισθεί για όσο διάστημα αποφασίσει ο γιατρός σας, εντούτοις η</w:t>
      </w:r>
      <w:r w:rsidR="00C0675B" w:rsidRPr="00B336DF">
        <w:rPr>
          <w:noProof/>
          <w:szCs w:val="22"/>
        </w:rPr>
        <w:t xml:space="preserve"> </w:t>
      </w:r>
      <w:r w:rsidRPr="00B336DF">
        <w:rPr>
          <w:noProof/>
          <w:szCs w:val="22"/>
        </w:rPr>
        <w:t xml:space="preserve">διάρκεια της θεραπείας με την σκόνη για διάλυμα προς έγχυση </w:t>
      </w:r>
      <w:r w:rsidR="00983777" w:rsidRPr="00B336DF">
        <w:rPr>
          <w:noProof/>
          <w:szCs w:val="22"/>
        </w:rPr>
        <w:t>V</w:t>
      </w:r>
      <w:r w:rsidR="00C0675B" w:rsidRPr="00B336DF">
        <w:rPr>
          <w:noProof/>
          <w:szCs w:val="22"/>
        </w:rPr>
        <w:t>oriconazole</w:t>
      </w:r>
      <w:r w:rsidR="00983777" w:rsidRPr="00B336DF">
        <w:rPr>
          <w:noProof/>
          <w:szCs w:val="22"/>
        </w:rPr>
        <w:t xml:space="preserve"> BRADEX</w:t>
      </w:r>
      <w:r w:rsidRPr="00B336DF">
        <w:rPr>
          <w:noProof/>
          <w:szCs w:val="22"/>
        </w:rPr>
        <w:t xml:space="preserve"> δεν πρέπει να είναι</w:t>
      </w:r>
      <w:r w:rsidR="00C0675B" w:rsidRPr="00B336DF">
        <w:rPr>
          <w:noProof/>
          <w:szCs w:val="22"/>
        </w:rPr>
        <w:t xml:space="preserve"> </w:t>
      </w:r>
      <w:r w:rsidRPr="00B336DF">
        <w:rPr>
          <w:noProof/>
          <w:szCs w:val="22"/>
        </w:rPr>
        <w:t>μεγαλύτερη των 6 μηνών.</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lastRenderedPageBreak/>
        <w:t>Ασθενείς με αδύναμο ανοσοποιητικό σύστημα ή αυτοί με δύσκολες λοιμώξεις ίσως χρειασθούν</w:t>
      </w:r>
    </w:p>
    <w:p w:rsidR="00551603" w:rsidRPr="00B336DF" w:rsidRDefault="00551603" w:rsidP="00551603">
      <w:pPr>
        <w:rPr>
          <w:noProof/>
          <w:szCs w:val="22"/>
        </w:rPr>
      </w:pPr>
      <w:r w:rsidRPr="00B336DF">
        <w:rPr>
          <w:noProof/>
          <w:szCs w:val="22"/>
        </w:rPr>
        <w:t>μακροχρόνια θεραπεία για να αποφευχθεί η υποτροπή της λοίμωξης. Ο γιατρός σας ενδέχεται να σας</w:t>
      </w:r>
    </w:p>
    <w:p w:rsidR="00551603" w:rsidRPr="00B336DF" w:rsidRDefault="00551603" w:rsidP="00551603">
      <w:pPr>
        <w:rPr>
          <w:noProof/>
          <w:szCs w:val="22"/>
        </w:rPr>
      </w:pPr>
      <w:r w:rsidRPr="00B336DF">
        <w:rPr>
          <w:noProof/>
          <w:szCs w:val="22"/>
        </w:rPr>
        <w:t>περάσει από την ενδοφλέβια έγχυση σε δισκία μόλις η κατάστασή σας βελτιωθεί.</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 xml:space="preserve">Όταν σταματήσει η θεραπεία με το </w:t>
      </w:r>
      <w:r w:rsidR="00983777" w:rsidRPr="00B336DF">
        <w:rPr>
          <w:noProof/>
          <w:szCs w:val="22"/>
        </w:rPr>
        <w:t>V</w:t>
      </w:r>
      <w:r w:rsidR="00C0675B" w:rsidRPr="00B336DF">
        <w:rPr>
          <w:noProof/>
          <w:szCs w:val="22"/>
        </w:rPr>
        <w:t>oriconazole</w:t>
      </w:r>
      <w:r w:rsidR="00983777" w:rsidRPr="00B336DF">
        <w:rPr>
          <w:noProof/>
          <w:szCs w:val="22"/>
        </w:rPr>
        <w:t xml:space="preserve"> BRADEX</w:t>
      </w:r>
      <w:r w:rsidRPr="00B336DF">
        <w:rPr>
          <w:noProof/>
          <w:szCs w:val="22"/>
        </w:rPr>
        <w:t xml:space="preserve"> από τον γιατρό σας, δεν πρέπει να εμφανίσετε κάποιο</w:t>
      </w:r>
    </w:p>
    <w:p w:rsidR="00551603" w:rsidRPr="00B336DF" w:rsidRDefault="00551603" w:rsidP="00551603">
      <w:pPr>
        <w:rPr>
          <w:noProof/>
          <w:szCs w:val="22"/>
        </w:rPr>
      </w:pPr>
      <w:r w:rsidRPr="00B336DF">
        <w:rPr>
          <w:noProof/>
          <w:szCs w:val="22"/>
        </w:rPr>
        <w:t>σύμπτωμα.</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Εάν έχετε περισσότερες ερωτήσεις σχετικά με τη χρήση αυτού του φαρμάκου ρωτήστε τον γιατρό,</w:t>
      </w:r>
    </w:p>
    <w:p w:rsidR="000875D3" w:rsidRPr="00B336DF" w:rsidRDefault="00551603" w:rsidP="00551603">
      <w:pPr>
        <w:rPr>
          <w:noProof/>
          <w:szCs w:val="22"/>
        </w:rPr>
      </w:pPr>
      <w:r w:rsidRPr="00B336DF">
        <w:rPr>
          <w:noProof/>
          <w:szCs w:val="22"/>
        </w:rPr>
        <w:t>τον φαρμακοποιό ή τον νοσοκόμο σας.</w:t>
      </w:r>
    </w:p>
    <w:p w:rsidR="00551603" w:rsidRPr="00B336DF" w:rsidRDefault="00551603" w:rsidP="00551603">
      <w:pPr>
        <w:rPr>
          <w:noProof/>
          <w:szCs w:val="22"/>
        </w:rPr>
      </w:pPr>
    </w:p>
    <w:p w:rsidR="000875D3" w:rsidRPr="00B336DF" w:rsidRDefault="000875D3" w:rsidP="000875D3">
      <w:pPr>
        <w:rPr>
          <w:noProof/>
          <w:szCs w:val="22"/>
        </w:rPr>
      </w:pPr>
      <w:r w:rsidRPr="00B336DF">
        <w:rPr>
          <w:b/>
          <w:noProof/>
          <w:szCs w:val="22"/>
        </w:rPr>
        <w:t>4.</w:t>
      </w:r>
      <w:r w:rsidRPr="00B336DF">
        <w:rPr>
          <w:b/>
          <w:noProof/>
          <w:szCs w:val="22"/>
        </w:rPr>
        <w:tab/>
        <w:t>Πιθανές ανεπιθύμητες ενέργειες</w:t>
      </w:r>
    </w:p>
    <w:p w:rsidR="000875D3" w:rsidRPr="00B336DF" w:rsidRDefault="000875D3" w:rsidP="000875D3">
      <w:pPr>
        <w:rPr>
          <w:noProof/>
          <w:szCs w:val="22"/>
        </w:rPr>
      </w:pPr>
    </w:p>
    <w:p w:rsidR="00551603" w:rsidRPr="00B336DF" w:rsidRDefault="00551603" w:rsidP="00551603">
      <w:pPr>
        <w:rPr>
          <w:noProof/>
          <w:szCs w:val="22"/>
        </w:rPr>
      </w:pPr>
      <w:r w:rsidRPr="00B336DF">
        <w:rPr>
          <w:noProof/>
          <w:szCs w:val="22"/>
        </w:rPr>
        <w:t>Όπως όλα τα φάρμακα, έτσι και αυτό το φάρμακο μπορεί να προκαλέσει ανεπιθύμητες ενέργειες, αν</w:t>
      </w:r>
    </w:p>
    <w:p w:rsidR="00551603" w:rsidRPr="00B336DF" w:rsidRDefault="00551603" w:rsidP="00551603">
      <w:pPr>
        <w:rPr>
          <w:noProof/>
          <w:szCs w:val="22"/>
        </w:rPr>
      </w:pPr>
      <w:r w:rsidRPr="00B336DF">
        <w:rPr>
          <w:noProof/>
          <w:szCs w:val="22"/>
        </w:rPr>
        <w:t>και δεν παρουσιάζονται σε όλους τους ανθρώπους.</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Εάν εμφανισθούν ανεπιθύμητες ενέργειες, κατά πάσα πιθανότητα θα είναι ήπιες και παροδικές. Παρ’</w:t>
      </w:r>
    </w:p>
    <w:p w:rsidR="00551603" w:rsidRPr="00B336DF" w:rsidRDefault="00551603" w:rsidP="00551603">
      <w:pPr>
        <w:rPr>
          <w:noProof/>
          <w:szCs w:val="22"/>
        </w:rPr>
      </w:pPr>
      <w:r w:rsidRPr="00B336DF">
        <w:rPr>
          <w:noProof/>
          <w:szCs w:val="22"/>
        </w:rPr>
        <w:t>όλα αυτά, κάποιες μπορεί να είναι σοβαρές και να απαιτήσουν ιατρική παρακολούθηση.</w:t>
      </w:r>
    </w:p>
    <w:p w:rsidR="00551603" w:rsidRPr="00B336DF" w:rsidRDefault="00551603" w:rsidP="00551603">
      <w:pPr>
        <w:rPr>
          <w:noProof/>
          <w:szCs w:val="22"/>
        </w:rPr>
      </w:pPr>
    </w:p>
    <w:p w:rsidR="00551603" w:rsidRPr="00B336DF" w:rsidRDefault="00551603" w:rsidP="00551603">
      <w:pPr>
        <w:rPr>
          <w:b/>
          <w:noProof/>
          <w:szCs w:val="22"/>
        </w:rPr>
      </w:pPr>
      <w:r w:rsidRPr="00B336DF">
        <w:rPr>
          <w:b/>
          <w:noProof/>
          <w:szCs w:val="22"/>
        </w:rPr>
        <w:t xml:space="preserve">Σοβαρές ανεπιθύμητες ενέργειες – Σταματήστε να παίρνετε το </w:t>
      </w:r>
      <w:r w:rsidR="00983777" w:rsidRPr="00B336DF">
        <w:rPr>
          <w:b/>
          <w:noProof/>
          <w:szCs w:val="22"/>
        </w:rPr>
        <w:t>V</w:t>
      </w:r>
      <w:r w:rsidR="00C0675B" w:rsidRPr="00B336DF">
        <w:rPr>
          <w:b/>
          <w:noProof/>
          <w:szCs w:val="22"/>
        </w:rPr>
        <w:t>oriconazole</w:t>
      </w:r>
      <w:r w:rsidR="00983777" w:rsidRPr="00B336DF">
        <w:rPr>
          <w:b/>
          <w:noProof/>
          <w:szCs w:val="22"/>
        </w:rPr>
        <w:t xml:space="preserve"> BRADEX</w:t>
      </w:r>
      <w:r w:rsidRPr="00B336DF">
        <w:rPr>
          <w:b/>
          <w:noProof/>
          <w:szCs w:val="22"/>
        </w:rPr>
        <w:t xml:space="preserve"> και δείτε αμέσως έναν</w:t>
      </w:r>
      <w:r w:rsidR="000C6440" w:rsidRPr="00B336DF">
        <w:rPr>
          <w:b/>
          <w:noProof/>
          <w:szCs w:val="22"/>
        </w:rPr>
        <w:t xml:space="preserve"> γιατρό</w:t>
      </w:r>
    </w:p>
    <w:p w:rsidR="000C6440" w:rsidRPr="00B336DF" w:rsidRDefault="000C6440" w:rsidP="00551603">
      <w:pPr>
        <w:rPr>
          <w:b/>
          <w:noProof/>
          <w:szCs w:val="22"/>
        </w:rPr>
      </w:pPr>
    </w:p>
    <w:p w:rsidR="00551603" w:rsidRPr="00B336DF" w:rsidRDefault="00551603" w:rsidP="00551603">
      <w:pPr>
        <w:pStyle w:val="a7"/>
        <w:numPr>
          <w:ilvl w:val="0"/>
          <w:numId w:val="5"/>
        </w:numPr>
        <w:ind w:left="426" w:hanging="426"/>
        <w:rPr>
          <w:noProof/>
          <w:szCs w:val="22"/>
        </w:rPr>
      </w:pPr>
      <w:r w:rsidRPr="00B336DF">
        <w:rPr>
          <w:noProof/>
          <w:szCs w:val="22"/>
        </w:rPr>
        <w:t>Εξάνθημα</w:t>
      </w:r>
    </w:p>
    <w:p w:rsidR="00551603" w:rsidRPr="00B336DF" w:rsidRDefault="00551603" w:rsidP="00551603">
      <w:pPr>
        <w:pStyle w:val="a7"/>
        <w:numPr>
          <w:ilvl w:val="0"/>
          <w:numId w:val="5"/>
        </w:numPr>
        <w:ind w:left="426" w:hanging="426"/>
        <w:rPr>
          <w:noProof/>
          <w:szCs w:val="22"/>
        </w:rPr>
      </w:pPr>
      <w:r w:rsidRPr="00B336DF">
        <w:rPr>
          <w:noProof/>
          <w:szCs w:val="22"/>
        </w:rPr>
        <w:t>Ίκτερος, Μεταβολές στις εξετάσεις αίματος της ηπατικής λειτουργίας</w:t>
      </w:r>
    </w:p>
    <w:p w:rsidR="00551603" w:rsidRPr="00B336DF" w:rsidRDefault="00551603" w:rsidP="00551603">
      <w:pPr>
        <w:pStyle w:val="a7"/>
        <w:numPr>
          <w:ilvl w:val="0"/>
          <w:numId w:val="5"/>
        </w:numPr>
        <w:ind w:left="426" w:hanging="426"/>
        <w:rPr>
          <w:noProof/>
          <w:szCs w:val="22"/>
        </w:rPr>
      </w:pPr>
      <w:r w:rsidRPr="00B336DF">
        <w:rPr>
          <w:noProof/>
          <w:szCs w:val="22"/>
        </w:rPr>
        <w:t>Παγκρεατίτιδα</w:t>
      </w:r>
    </w:p>
    <w:p w:rsidR="00551603" w:rsidRPr="00B336DF" w:rsidRDefault="00551603" w:rsidP="00551603">
      <w:pPr>
        <w:rPr>
          <w:noProof/>
          <w:szCs w:val="22"/>
        </w:rPr>
      </w:pPr>
    </w:p>
    <w:p w:rsidR="00551603" w:rsidRPr="00B336DF" w:rsidRDefault="00551603" w:rsidP="00551603">
      <w:pPr>
        <w:rPr>
          <w:b/>
          <w:noProof/>
          <w:szCs w:val="22"/>
        </w:rPr>
      </w:pPr>
      <w:r w:rsidRPr="00B336DF">
        <w:rPr>
          <w:b/>
          <w:noProof/>
          <w:szCs w:val="22"/>
        </w:rPr>
        <w:t>Άλλες ανεπιθύμητες ενέργειες</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Πολύ συχνές (μπορεί να επηρεάσουν περισσότερους από 1 στους 10</w:t>
      </w:r>
      <w:r w:rsidR="006A1609" w:rsidRPr="00B336DF">
        <w:rPr>
          <w:noProof/>
          <w:szCs w:val="22"/>
        </w:rPr>
        <w:t xml:space="preserve"> </w:t>
      </w:r>
      <w:r w:rsidRPr="00B336DF">
        <w:rPr>
          <w:noProof/>
          <w:szCs w:val="22"/>
        </w:rPr>
        <w:t>ανθρώπους):</w:t>
      </w:r>
    </w:p>
    <w:p w:rsidR="00551603" w:rsidRPr="00B336DF" w:rsidRDefault="00551603" w:rsidP="00551603">
      <w:pPr>
        <w:rPr>
          <w:noProof/>
          <w:szCs w:val="22"/>
        </w:rPr>
      </w:pPr>
    </w:p>
    <w:p w:rsidR="00551603" w:rsidRPr="007525A0" w:rsidRDefault="00551603" w:rsidP="00620A4B">
      <w:pPr>
        <w:pStyle w:val="a7"/>
        <w:numPr>
          <w:ilvl w:val="0"/>
          <w:numId w:val="5"/>
        </w:numPr>
        <w:ind w:left="426" w:hanging="426"/>
        <w:rPr>
          <w:noProof/>
          <w:szCs w:val="22"/>
        </w:rPr>
      </w:pPr>
      <w:r w:rsidRPr="00AB4F39">
        <w:rPr>
          <w:noProof/>
          <w:szCs w:val="22"/>
        </w:rPr>
        <w:t>Οπτική βλάβη (μεταβολή στην όραση</w:t>
      </w:r>
      <w:r w:rsidR="00C0675B" w:rsidRPr="00AB4F39">
        <w:rPr>
          <w:noProof/>
          <w:szCs w:val="22"/>
        </w:rPr>
        <w:t xml:space="preserve"> </w:t>
      </w:r>
      <w:r w:rsidR="00965525" w:rsidRPr="00E72D8A">
        <w:rPr>
          <w:noProof/>
          <w:szCs w:val="22"/>
        </w:rPr>
        <w:t>συμπεριλαμβανομένη</w:t>
      </w:r>
      <w:r w:rsidR="00965525" w:rsidRPr="00732539">
        <w:rPr>
          <w:noProof/>
          <w:szCs w:val="22"/>
        </w:rPr>
        <w:t xml:space="preserve">ς της θαμπής όρασης, μεταβολών στην οπτική αντίληψη των χρωμάτων, μη φυσιολογικής </w:t>
      </w:r>
      <w:r w:rsidR="00965525" w:rsidRPr="00620A4B">
        <w:rPr>
          <w:noProof/>
          <w:szCs w:val="22"/>
        </w:rPr>
        <w:t>δυσανεξίας</w:t>
      </w:r>
      <w:r w:rsidR="00965525" w:rsidRPr="00AB4F39">
        <w:rPr>
          <w:noProof/>
          <w:szCs w:val="22"/>
        </w:rPr>
        <w:t xml:space="preserve"> στην οπτική αντίληψη του φωτός</w:t>
      </w:r>
      <w:r w:rsidR="00965525" w:rsidRPr="007525A0">
        <w:rPr>
          <w:noProof/>
          <w:szCs w:val="22"/>
        </w:rPr>
        <w:t>, αχρωματοψίας, οφθαλμικ</w:t>
      </w:r>
      <w:r w:rsidR="00AB4F39" w:rsidRPr="007525A0">
        <w:rPr>
          <w:noProof/>
          <w:szCs w:val="22"/>
        </w:rPr>
        <w:t>ών</w:t>
      </w:r>
      <w:r w:rsidR="00965525" w:rsidRPr="007525A0">
        <w:rPr>
          <w:noProof/>
          <w:szCs w:val="22"/>
        </w:rPr>
        <w:t xml:space="preserve"> διαταραχ</w:t>
      </w:r>
      <w:r w:rsidR="00AB4F39" w:rsidRPr="007525A0">
        <w:rPr>
          <w:noProof/>
          <w:szCs w:val="22"/>
        </w:rPr>
        <w:t>ών</w:t>
      </w:r>
      <w:r w:rsidR="00965525" w:rsidRPr="00511414">
        <w:rPr>
          <w:noProof/>
          <w:szCs w:val="22"/>
        </w:rPr>
        <w:t>, όρασης δίκην φωτοστεφάνου, νυκταλωπίας, όρασης κατά την οποία τα αντικείμενα φαίνο</w:t>
      </w:r>
      <w:r w:rsidR="00965525" w:rsidRPr="00AB4F39">
        <w:rPr>
          <w:noProof/>
          <w:szCs w:val="22"/>
        </w:rPr>
        <w:t xml:space="preserve">νται ταλαντευόμενα, όρασης με σπινθηρισμούς, </w:t>
      </w:r>
      <w:r w:rsidR="007706C1" w:rsidRPr="00620A4B">
        <w:rPr>
          <w:noProof/>
          <w:szCs w:val="22"/>
        </w:rPr>
        <w:t>οπτική</w:t>
      </w:r>
      <w:r w:rsidR="00AB4F39">
        <w:rPr>
          <w:noProof/>
          <w:szCs w:val="22"/>
        </w:rPr>
        <w:t>ς</w:t>
      </w:r>
      <w:r w:rsidR="007706C1" w:rsidRPr="00620A4B">
        <w:rPr>
          <w:noProof/>
          <w:szCs w:val="22"/>
        </w:rPr>
        <w:t xml:space="preserve"> </w:t>
      </w:r>
      <w:r w:rsidR="00965525" w:rsidRPr="00AB4F39">
        <w:rPr>
          <w:noProof/>
          <w:szCs w:val="22"/>
        </w:rPr>
        <w:t>αύρα</w:t>
      </w:r>
      <w:r w:rsidR="00AB4F39">
        <w:rPr>
          <w:noProof/>
          <w:szCs w:val="22"/>
        </w:rPr>
        <w:t>ς</w:t>
      </w:r>
      <w:r w:rsidR="00965525" w:rsidRPr="00E72D8A">
        <w:rPr>
          <w:noProof/>
          <w:szCs w:val="22"/>
        </w:rPr>
        <w:t xml:space="preserve">, </w:t>
      </w:r>
      <w:r w:rsidR="00B149B6" w:rsidRPr="00732539">
        <w:rPr>
          <w:noProof/>
          <w:szCs w:val="22"/>
        </w:rPr>
        <w:t>μειωμένης</w:t>
      </w:r>
      <w:r w:rsidR="00965525" w:rsidRPr="00732539">
        <w:rPr>
          <w:noProof/>
          <w:szCs w:val="22"/>
        </w:rPr>
        <w:t xml:space="preserve"> οπτικής οξύτητας, </w:t>
      </w:r>
      <w:r w:rsidR="00B149B6" w:rsidRPr="007525A0">
        <w:rPr>
          <w:noProof/>
          <w:szCs w:val="22"/>
        </w:rPr>
        <w:t>οπτική</w:t>
      </w:r>
      <w:r w:rsidR="00B149B6" w:rsidRPr="00620A4B">
        <w:rPr>
          <w:noProof/>
          <w:szCs w:val="22"/>
        </w:rPr>
        <w:t>ς</w:t>
      </w:r>
      <w:r w:rsidR="00B149B6" w:rsidRPr="00AB4F39">
        <w:rPr>
          <w:noProof/>
          <w:szCs w:val="22"/>
        </w:rPr>
        <w:t xml:space="preserve"> φωτεινότητας</w:t>
      </w:r>
      <w:r w:rsidR="00965525" w:rsidRPr="00E72D8A">
        <w:rPr>
          <w:noProof/>
          <w:szCs w:val="22"/>
        </w:rPr>
        <w:t>, απώλειας μέρους του συνήθους οπτικού πεδίου, κηλίδων μπροστά από τα μάτια</w:t>
      </w:r>
      <w:r w:rsidRPr="007525A0">
        <w:rPr>
          <w:noProof/>
          <w:szCs w:val="22"/>
        </w:rPr>
        <w:t>)</w:t>
      </w:r>
    </w:p>
    <w:p w:rsidR="00551603" w:rsidRPr="00B336DF" w:rsidRDefault="00551603" w:rsidP="00551603">
      <w:pPr>
        <w:pStyle w:val="a7"/>
        <w:numPr>
          <w:ilvl w:val="0"/>
          <w:numId w:val="5"/>
        </w:numPr>
        <w:ind w:left="426" w:hanging="426"/>
        <w:rPr>
          <w:noProof/>
          <w:szCs w:val="22"/>
        </w:rPr>
      </w:pPr>
      <w:r w:rsidRPr="00B336DF">
        <w:rPr>
          <w:noProof/>
          <w:szCs w:val="22"/>
        </w:rPr>
        <w:t>Πυρετός</w:t>
      </w:r>
    </w:p>
    <w:p w:rsidR="00551603" w:rsidRPr="00B336DF" w:rsidRDefault="00551603" w:rsidP="00551603">
      <w:pPr>
        <w:pStyle w:val="a7"/>
        <w:numPr>
          <w:ilvl w:val="0"/>
          <w:numId w:val="5"/>
        </w:numPr>
        <w:ind w:left="426" w:hanging="426"/>
        <w:rPr>
          <w:noProof/>
          <w:szCs w:val="22"/>
        </w:rPr>
      </w:pPr>
      <w:r w:rsidRPr="00B336DF">
        <w:rPr>
          <w:noProof/>
          <w:szCs w:val="22"/>
        </w:rPr>
        <w:t>Εξάνθημα</w:t>
      </w:r>
    </w:p>
    <w:p w:rsidR="00551603" w:rsidRPr="00B336DF" w:rsidRDefault="00551603" w:rsidP="00551603">
      <w:pPr>
        <w:pStyle w:val="a7"/>
        <w:numPr>
          <w:ilvl w:val="0"/>
          <w:numId w:val="5"/>
        </w:numPr>
        <w:ind w:left="426" w:hanging="426"/>
        <w:rPr>
          <w:noProof/>
          <w:szCs w:val="22"/>
        </w:rPr>
      </w:pPr>
      <w:r w:rsidRPr="00B336DF">
        <w:rPr>
          <w:noProof/>
          <w:szCs w:val="22"/>
        </w:rPr>
        <w:t>Ναυτία, έμετος, διάρροια</w:t>
      </w:r>
    </w:p>
    <w:p w:rsidR="00551603" w:rsidRPr="00B336DF" w:rsidRDefault="00551603" w:rsidP="00551603">
      <w:pPr>
        <w:pStyle w:val="a7"/>
        <w:numPr>
          <w:ilvl w:val="0"/>
          <w:numId w:val="5"/>
        </w:numPr>
        <w:ind w:left="426" w:hanging="426"/>
        <w:rPr>
          <w:noProof/>
          <w:szCs w:val="22"/>
        </w:rPr>
      </w:pPr>
      <w:r w:rsidRPr="00B336DF">
        <w:rPr>
          <w:noProof/>
          <w:szCs w:val="22"/>
        </w:rPr>
        <w:t>Πονοκέφαλος</w:t>
      </w:r>
    </w:p>
    <w:p w:rsidR="00551603" w:rsidRPr="00B336DF" w:rsidRDefault="00551603" w:rsidP="00551603">
      <w:pPr>
        <w:pStyle w:val="a7"/>
        <w:numPr>
          <w:ilvl w:val="0"/>
          <w:numId w:val="5"/>
        </w:numPr>
        <w:ind w:left="426" w:hanging="426"/>
        <w:rPr>
          <w:noProof/>
          <w:szCs w:val="22"/>
        </w:rPr>
      </w:pPr>
      <w:r w:rsidRPr="00B336DF">
        <w:rPr>
          <w:noProof/>
          <w:szCs w:val="22"/>
        </w:rPr>
        <w:t>Πρήξιμο στα άκρα</w:t>
      </w:r>
    </w:p>
    <w:p w:rsidR="00551603" w:rsidRPr="00B336DF" w:rsidRDefault="00551603" w:rsidP="00551603">
      <w:pPr>
        <w:pStyle w:val="a7"/>
        <w:numPr>
          <w:ilvl w:val="0"/>
          <w:numId w:val="5"/>
        </w:numPr>
        <w:ind w:left="426" w:hanging="426"/>
        <w:rPr>
          <w:noProof/>
          <w:szCs w:val="22"/>
        </w:rPr>
      </w:pPr>
      <w:r w:rsidRPr="00B336DF">
        <w:rPr>
          <w:noProof/>
          <w:szCs w:val="22"/>
        </w:rPr>
        <w:t>Πόνος στο στομάχι</w:t>
      </w:r>
    </w:p>
    <w:p w:rsidR="00551603" w:rsidRPr="00B336DF" w:rsidRDefault="00551603" w:rsidP="00551603">
      <w:pPr>
        <w:pStyle w:val="a7"/>
        <w:numPr>
          <w:ilvl w:val="0"/>
          <w:numId w:val="5"/>
        </w:numPr>
        <w:ind w:left="426" w:hanging="426"/>
        <w:rPr>
          <w:noProof/>
          <w:szCs w:val="22"/>
        </w:rPr>
      </w:pPr>
      <w:r w:rsidRPr="00B336DF">
        <w:rPr>
          <w:noProof/>
          <w:szCs w:val="22"/>
        </w:rPr>
        <w:t>Δυσκολία στην αναπνοή</w:t>
      </w:r>
    </w:p>
    <w:p w:rsidR="001451AE" w:rsidRPr="00B336DF" w:rsidRDefault="001451AE" w:rsidP="00551603">
      <w:pPr>
        <w:pStyle w:val="a7"/>
        <w:numPr>
          <w:ilvl w:val="0"/>
          <w:numId w:val="5"/>
        </w:numPr>
        <w:ind w:left="426" w:hanging="426"/>
        <w:rPr>
          <w:noProof/>
          <w:szCs w:val="22"/>
        </w:rPr>
      </w:pPr>
      <w:r w:rsidRPr="00B336DF">
        <w:rPr>
          <w:noProof/>
          <w:szCs w:val="22"/>
        </w:rPr>
        <w:t>Αύξηση των ηπατικών ενζύμων</w:t>
      </w:r>
    </w:p>
    <w:p w:rsidR="00551603" w:rsidRPr="00B336DF" w:rsidRDefault="00551603" w:rsidP="00551603">
      <w:pPr>
        <w:rPr>
          <w:noProof/>
          <w:szCs w:val="22"/>
        </w:rPr>
      </w:pPr>
    </w:p>
    <w:p w:rsidR="00551603" w:rsidRPr="00B336DF" w:rsidRDefault="00551603" w:rsidP="00551603">
      <w:pPr>
        <w:rPr>
          <w:noProof/>
          <w:szCs w:val="22"/>
        </w:rPr>
      </w:pPr>
      <w:r w:rsidRPr="00B336DF">
        <w:rPr>
          <w:noProof/>
          <w:szCs w:val="22"/>
        </w:rPr>
        <w:t>Συχνές (μπορεί να επηρεάσουν έως 1 στους 10 ανθρώπους):</w:t>
      </w:r>
    </w:p>
    <w:p w:rsidR="00551603" w:rsidRPr="00B336DF" w:rsidRDefault="00551603" w:rsidP="00551603">
      <w:pPr>
        <w:rPr>
          <w:noProof/>
          <w:szCs w:val="22"/>
        </w:rPr>
      </w:pPr>
    </w:p>
    <w:p w:rsidR="00551603" w:rsidRPr="00B336DF" w:rsidRDefault="00C945EA" w:rsidP="00551603">
      <w:pPr>
        <w:pStyle w:val="a7"/>
        <w:numPr>
          <w:ilvl w:val="0"/>
          <w:numId w:val="5"/>
        </w:numPr>
        <w:ind w:left="426" w:hanging="426"/>
        <w:rPr>
          <w:noProof/>
          <w:szCs w:val="22"/>
        </w:rPr>
      </w:pPr>
      <w:r w:rsidRPr="00B336DF">
        <w:rPr>
          <w:noProof/>
          <w:szCs w:val="22"/>
        </w:rPr>
        <w:t>Φ</w:t>
      </w:r>
      <w:r w:rsidR="00551603" w:rsidRPr="00B336DF">
        <w:rPr>
          <w:noProof/>
          <w:szCs w:val="22"/>
        </w:rPr>
        <w:t>λεγμονή των</w:t>
      </w:r>
      <w:r w:rsidR="000C6440" w:rsidRPr="00B336DF">
        <w:rPr>
          <w:noProof/>
          <w:szCs w:val="22"/>
        </w:rPr>
        <w:t xml:space="preserve"> </w:t>
      </w:r>
      <w:r w:rsidR="00551603" w:rsidRPr="00B336DF">
        <w:rPr>
          <w:noProof/>
          <w:szCs w:val="22"/>
        </w:rPr>
        <w:t>παραρρινίων κόλπων, φλεγμονή των ούλων, ρίγη, αδυναμία</w:t>
      </w:r>
    </w:p>
    <w:p w:rsidR="00551603" w:rsidRPr="00B336DF" w:rsidRDefault="00551603" w:rsidP="00551603">
      <w:pPr>
        <w:pStyle w:val="a7"/>
        <w:numPr>
          <w:ilvl w:val="0"/>
          <w:numId w:val="5"/>
        </w:numPr>
        <w:ind w:left="426" w:hanging="426"/>
        <w:rPr>
          <w:noProof/>
          <w:szCs w:val="22"/>
        </w:rPr>
      </w:pPr>
      <w:r w:rsidRPr="00B336DF">
        <w:rPr>
          <w:noProof/>
          <w:szCs w:val="22"/>
        </w:rPr>
        <w:t>Χαμηλοί αριθμοί</w:t>
      </w:r>
      <w:r w:rsidR="00C945EA" w:rsidRPr="00B336DF">
        <w:rPr>
          <w:noProof/>
          <w:szCs w:val="22"/>
        </w:rPr>
        <w:t xml:space="preserve"> </w:t>
      </w:r>
      <w:r w:rsidRPr="00B336DF">
        <w:rPr>
          <w:noProof/>
          <w:szCs w:val="22"/>
        </w:rPr>
        <w:t>μερικών τύπων</w:t>
      </w:r>
      <w:r w:rsidR="00C945EA" w:rsidRPr="00B336DF">
        <w:rPr>
          <w:noProof/>
          <w:szCs w:val="22"/>
        </w:rPr>
        <w:t xml:space="preserve">, συμπεριλαμβανομένων </w:t>
      </w:r>
      <w:r w:rsidR="00AB4F39">
        <w:rPr>
          <w:noProof/>
          <w:szCs w:val="22"/>
        </w:rPr>
        <w:t>των</w:t>
      </w:r>
      <w:r w:rsidR="00C945EA" w:rsidRPr="00B336DF">
        <w:rPr>
          <w:noProof/>
          <w:szCs w:val="22"/>
        </w:rPr>
        <w:t xml:space="preserve"> </w:t>
      </w:r>
      <w:r w:rsidRPr="00B336DF">
        <w:rPr>
          <w:noProof/>
          <w:szCs w:val="22"/>
        </w:rPr>
        <w:t xml:space="preserve">ερυθροκυττάρων </w:t>
      </w:r>
      <w:r w:rsidR="00C945EA" w:rsidRPr="00B336DF">
        <w:rPr>
          <w:noProof/>
          <w:szCs w:val="22"/>
        </w:rPr>
        <w:t xml:space="preserve">(μερικές φορές </w:t>
      </w:r>
      <w:r w:rsidR="00FB4D07" w:rsidRPr="00B336DF">
        <w:rPr>
          <w:noProof/>
          <w:szCs w:val="22"/>
        </w:rPr>
        <w:t>ανοσοεξαρτώμενων</w:t>
      </w:r>
      <w:r w:rsidR="00C945EA" w:rsidRPr="00B336DF">
        <w:rPr>
          <w:noProof/>
          <w:szCs w:val="22"/>
        </w:rPr>
        <w:t xml:space="preserve">) </w:t>
      </w:r>
      <w:r w:rsidRPr="00B336DF">
        <w:rPr>
          <w:noProof/>
          <w:szCs w:val="22"/>
        </w:rPr>
        <w:t>ή</w:t>
      </w:r>
      <w:r w:rsidR="00C945EA" w:rsidRPr="00B336DF">
        <w:rPr>
          <w:noProof/>
          <w:szCs w:val="22"/>
        </w:rPr>
        <w:t>/και</w:t>
      </w:r>
      <w:r w:rsidRPr="00B336DF">
        <w:rPr>
          <w:noProof/>
          <w:szCs w:val="22"/>
        </w:rPr>
        <w:t xml:space="preserve"> λευκοκυττάρων</w:t>
      </w:r>
      <w:r w:rsidR="00C945EA" w:rsidRPr="00B336DF">
        <w:rPr>
          <w:noProof/>
          <w:szCs w:val="22"/>
        </w:rPr>
        <w:t xml:space="preserve"> (μερικές φορές με πυρετό)</w:t>
      </w:r>
      <w:r w:rsidRPr="00B336DF">
        <w:rPr>
          <w:noProof/>
          <w:szCs w:val="22"/>
        </w:rPr>
        <w:t>, χαμηλοί αριθμοί των</w:t>
      </w:r>
      <w:r w:rsidR="000C6440" w:rsidRPr="00B336DF">
        <w:rPr>
          <w:noProof/>
          <w:szCs w:val="22"/>
        </w:rPr>
        <w:t xml:space="preserve"> </w:t>
      </w:r>
      <w:r w:rsidRPr="00B336DF">
        <w:rPr>
          <w:noProof/>
          <w:szCs w:val="22"/>
        </w:rPr>
        <w:t>κυττάρων που ονομάζονται αιμοπετάλια, τα οποία βοηθούν στην πήξη του αίματος</w:t>
      </w:r>
    </w:p>
    <w:p w:rsidR="00551603" w:rsidRPr="00B336DF" w:rsidRDefault="00551603" w:rsidP="00551603">
      <w:pPr>
        <w:pStyle w:val="a7"/>
        <w:numPr>
          <w:ilvl w:val="0"/>
          <w:numId w:val="5"/>
        </w:numPr>
        <w:ind w:left="426" w:hanging="426"/>
        <w:rPr>
          <w:noProof/>
          <w:szCs w:val="22"/>
        </w:rPr>
      </w:pPr>
      <w:r w:rsidRPr="00B336DF">
        <w:rPr>
          <w:noProof/>
          <w:szCs w:val="22"/>
        </w:rPr>
        <w:t>Αλλεργική αντίδραση ή υπερβολική ανοσολογική απάντηση</w:t>
      </w:r>
    </w:p>
    <w:p w:rsidR="00551603" w:rsidRPr="00B336DF" w:rsidRDefault="00551603" w:rsidP="00551603">
      <w:pPr>
        <w:pStyle w:val="a7"/>
        <w:numPr>
          <w:ilvl w:val="0"/>
          <w:numId w:val="5"/>
        </w:numPr>
        <w:ind w:left="426" w:hanging="426"/>
        <w:rPr>
          <w:noProof/>
          <w:szCs w:val="22"/>
        </w:rPr>
      </w:pPr>
      <w:r w:rsidRPr="00B336DF">
        <w:rPr>
          <w:noProof/>
          <w:szCs w:val="22"/>
        </w:rPr>
        <w:t>Χαμηλή γλυκόζη αίματος, χαμηλό κάλιο αίματος, χαμηλό νάτριο αίματος</w:t>
      </w:r>
    </w:p>
    <w:p w:rsidR="000875D3" w:rsidRPr="00B336DF" w:rsidRDefault="00551603" w:rsidP="00551603">
      <w:pPr>
        <w:pStyle w:val="a7"/>
        <w:numPr>
          <w:ilvl w:val="0"/>
          <w:numId w:val="5"/>
        </w:numPr>
        <w:ind w:left="426" w:hanging="426"/>
        <w:rPr>
          <w:noProof/>
          <w:szCs w:val="22"/>
        </w:rPr>
      </w:pPr>
      <w:r w:rsidRPr="00B336DF">
        <w:rPr>
          <w:noProof/>
          <w:szCs w:val="22"/>
        </w:rPr>
        <w:t>Άγχος, κατάθλιψη, σύγχυση, διέγερση, αϋπνία, ψευδαισθήσεις</w:t>
      </w:r>
    </w:p>
    <w:p w:rsidR="00551603" w:rsidRPr="00B336DF" w:rsidRDefault="00551603" w:rsidP="00551603">
      <w:pPr>
        <w:pStyle w:val="a7"/>
        <w:numPr>
          <w:ilvl w:val="0"/>
          <w:numId w:val="5"/>
        </w:numPr>
        <w:ind w:left="426" w:hanging="426"/>
        <w:rPr>
          <w:noProof/>
          <w:szCs w:val="22"/>
        </w:rPr>
      </w:pPr>
      <w:r w:rsidRPr="00B336DF">
        <w:rPr>
          <w:noProof/>
          <w:szCs w:val="22"/>
        </w:rPr>
        <w:lastRenderedPageBreak/>
        <w:t>Σπασμοί, τρόμος ή μη ελεγχόμενες κινήσεις των μυών, μυρμήγκιασμα ή παθολογική αίσθηση</w:t>
      </w:r>
      <w:r w:rsidR="000C6440" w:rsidRPr="00B336DF">
        <w:rPr>
          <w:noProof/>
          <w:szCs w:val="22"/>
        </w:rPr>
        <w:t xml:space="preserve"> </w:t>
      </w:r>
      <w:r w:rsidRPr="00B336DF">
        <w:rPr>
          <w:noProof/>
          <w:szCs w:val="22"/>
        </w:rPr>
        <w:t>του δέρματος, αυξημένος μυικός τόνος, υπνηλία, ζάλη</w:t>
      </w:r>
    </w:p>
    <w:p w:rsidR="00551603" w:rsidRPr="00B336DF" w:rsidRDefault="00551603" w:rsidP="00551603">
      <w:pPr>
        <w:pStyle w:val="a7"/>
        <w:numPr>
          <w:ilvl w:val="0"/>
          <w:numId w:val="5"/>
        </w:numPr>
        <w:ind w:left="426" w:hanging="426"/>
        <w:rPr>
          <w:noProof/>
          <w:szCs w:val="22"/>
        </w:rPr>
      </w:pPr>
      <w:r w:rsidRPr="00B336DF">
        <w:rPr>
          <w:noProof/>
          <w:szCs w:val="22"/>
        </w:rPr>
        <w:t>Αιμορραγία στο μάτι</w:t>
      </w:r>
    </w:p>
    <w:p w:rsidR="00551603" w:rsidRPr="00B336DF" w:rsidRDefault="00551603" w:rsidP="00551603">
      <w:pPr>
        <w:pStyle w:val="a7"/>
        <w:numPr>
          <w:ilvl w:val="0"/>
          <w:numId w:val="5"/>
        </w:numPr>
        <w:ind w:left="426" w:hanging="426"/>
        <w:rPr>
          <w:noProof/>
          <w:szCs w:val="22"/>
        </w:rPr>
      </w:pPr>
      <w:r w:rsidRPr="00B336DF">
        <w:rPr>
          <w:noProof/>
          <w:szCs w:val="22"/>
        </w:rPr>
        <w:t>Προβλήματα καρδιακού ρυθμού περιλαμβανομένου του πολύ γρήγορου καρδιακού ρυθμού,</w:t>
      </w:r>
      <w:r w:rsidR="000C6440" w:rsidRPr="00B336DF">
        <w:rPr>
          <w:noProof/>
          <w:szCs w:val="22"/>
        </w:rPr>
        <w:t xml:space="preserve"> </w:t>
      </w:r>
      <w:r w:rsidRPr="00B336DF">
        <w:rPr>
          <w:noProof/>
          <w:szCs w:val="22"/>
        </w:rPr>
        <w:t>πολύ αργού καρδιακού ρυθμού, λιποθυμία</w:t>
      </w:r>
    </w:p>
    <w:p w:rsidR="00551603" w:rsidRPr="00B336DF" w:rsidRDefault="00551603" w:rsidP="00551603">
      <w:pPr>
        <w:pStyle w:val="a7"/>
        <w:numPr>
          <w:ilvl w:val="0"/>
          <w:numId w:val="5"/>
        </w:numPr>
        <w:ind w:left="426" w:hanging="426"/>
        <w:rPr>
          <w:noProof/>
          <w:szCs w:val="22"/>
        </w:rPr>
      </w:pPr>
      <w:r w:rsidRPr="00B336DF">
        <w:rPr>
          <w:noProof/>
          <w:szCs w:val="22"/>
        </w:rPr>
        <w:t>Χαμηλή πίεση, φλεγμονή φλέβας (η οποία μπορεί να σχετίζεται με το σχηματισμό θρόμβου στο</w:t>
      </w:r>
      <w:r w:rsidR="000C6440" w:rsidRPr="00B336DF">
        <w:rPr>
          <w:noProof/>
          <w:szCs w:val="22"/>
        </w:rPr>
        <w:t xml:space="preserve"> </w:t>
      </w:r>
      <w:r w:rsidRPr="00B336DF">
        <w:rPr>
          <w:noProof/>
          <w:szCs w:val="22"/>
        </w:rPr>
        <w:t>αίμα)</w:t>
      </w:r>
    </w:p>
    <w:p w:rsidR="00551603" w:rsidRPr="00B336DF" w:rsidRDefault="00C945EA" w:rsidP="00551603">
      <w:pPr>
        <w:pStyle w:val="a7"/>
        <w:numPr>
          <w:ilvl w:val="0"/>
          <w:numId w:val="5"/>
        </w:numPr>
        <w:ind w:left="426" w:hanging="426"/>
        <w:rPr>
          <w:noProof/>
          <w:szCs w:val="22"/>
        </w:rPr>
      </w:pPr>
      <w:r w:rsidRPr="00B336DF">
        <w:rPr>
          <w:noProof/>
          <w:szCs w:val="22"/>
        </w:rPr>
        <w:t>Οξεία δ</w:t>
      </w:r>
      <w:r w:rsidR="00551603" w:rsidRPr="00B336DF">
        <w:rPr>
          <w:noProof/>
          <w:szCs w:val="22"/>
        </w:rPr>
        <w:t>υσκολία στην αναπνοή, θωρακικό άλγος, οίδημα του προσώπου</w:t>
      </w:r>
      <w:r w:rsidRPr="00B336DF">
        <w:rPr>
          <w:noProof/>
          <w:szCs w:val="22"/>
        </w:rPr>
        <w:t xml:space="preserve"> (στόμα, χείλη και γύρω από τα μάτια)</w:t>
      </w:r>
      <w:r w:rsidR="00551603" w:rsidRPr="00B336DF">
        <w:rPr>
          <w:noProof/>
          <w:szCs w:val="22"/>
        </w:rPr>
        <w:t xml:space="preserve">, συσσώρευση υγρών </w:t>
      </w:r>
      <w:r w:rsidR="000C6440" w:rsidRPr="00B336DF">
        <w:rPr>
          <w:noProof/>
          <w:szCs w:val="22"/>
        </w:rPr>
        <w:t xml:space="preserve">στους </w:t>
      </w:r>
      <w:r w:rsidR="00551603" w:rsidRPr="00B336DF">
        <w:rPr>
          <w:noProof/>
          <w:szCs w:val="22"/>
        </w:rPr>
        <w:t>πνεύμονες</w:t>
      </w:r>
    </w:p>
    <w:p w:rsidR="00551603" w:rsidRPr="00B336DF" w:rsidRDefault="00551603" w:rsidP="00551603">
      <w:pPr>
        <w:pStyle w:val="a7"/>
        <w:numPr>
          <w:ilvl w:val="0"/>
          <w:numId w:val="5"/>
        </w:numPr>
        <w:ind w:left="426" w:hanging="426"/>
        <w:rPr>
          <w:noProof/>
          <w:szCs w:val="22"/>
        </w:rPr>
      </w:pPr>
      <w:r w:rsidRPr="00B336DF">
        <w:rPr>
          <w:noProof/>
          <w:szCs w:val="22"/>
        </w:rPr>
        <w:t>Δυσκοιλιότητα, δυσπεψία, φλεγμονή των χειλέων</w:t>
      </w:r>
    </w:p>
    <w:p w:rsidR="00551603" w:rsidRPr="00B336DF" w:rsidRDefault="00551603" w:rsidP="00551603">
      <w:pPr>
        <w:pStyle w:val="a7"/>
        <w:numPr>
          <w:ilvl w:val="0"/>
          <w:numId w:val="5"/>
        </w:numPr>
        <w:ind w:left="426" w:hanging="426"/>
        <w:rPr>
          <w:noProof/>
          <w:szCs w:val="22"/>
        </w:rPr>
      </w:pPr>
      <w:r w:rsidRPr="00B336DF">
        <w:rPr>
          <w:noProof/>
          <w:szCs w:val="22"/>
        </w:rPr>
        <w:t xml:space="preserve">Ίκτερος, φλεγμονή του ήπατος </w:t>
      </w:r>
      <w:r w:rsidR="00C945EA" w:rsidRPr="00B336DF">
        <w:rPr>
          <w:noProof/>
          <w:szCs w:val="22"/>
        </w:rPr>
        <w:t>και ηπατική βλάβη</w:t>
      </w:r>
    </w:p>
    <w:p w:rsidR="00551603" w:rsidRPr="00B336DF" w:rsidRDefault="00551603" w:rsidP="00551603">
      <w:pPr>
        <w:pStyle w:val="a7"/>
        <w:numPr>
          <w:ilvl w:val="0"/>
          <w:numId w:val="5"/>
        </w:numPr>
        <w:ind w:left="426" w:hanging="426"/>
        <w:rPr>
          <w:noProof/>
          <w:szCs w:val="22"/>
        </w:rPr>
      </w:pPr>
      <w:r w:rsidRPr="00B336DF">
        <w:rPr>
          <w:noProof/>
          <w:szCs w:val="22"/>
        </w:rPr>
        <w:t>Εξανθήματα του δέρματος που μπορεί να οδηγήσουν σε σοβαρές φυσαλίδες και ξεφλούδισμα</w:t>
      </w:r>
      <w:r w:rsidR="000C6440" w:rsidRPr="00B336DF">
        <w:rPr>
          <w:noProof/>
          <w:szCs w:val="22"/>
        </w:rPr>
        <w:t xml:space="preserve"> </w:t>
      </w:r>
      <w:r w:rsidRPr="00B336DF">
        <w:rPr>
          <w:noProof/>
          <w:szCs w:val="22"/>
        </w:rPr>
        <w:t>του δέρματος που χαρακτηρίζονται από μια επίπεδη, ερυθρή περιοχή του δέρματος που</w:t>
      </w:r>
      <w:r w:rsidR="000C6440" w:rsidRPr="00B336DF">
        <w:rPr>
          <w:noProof/>
          <w:szCs w:val="22"/>
        </w:rPr>
        <w:t xml:space="preserve"> </w:t>
      </w:r>
      <w:r w:rsidRPr="00B336DF">
        <w:rPr>
          <w:noProof/>
          <w:szCs w:val="22"/>
        </w:rPr>
        <w:t xml:space="preserve">καλύπτεται </w:t>
      </w:r>
      <w:r w:rsidR="000C6440" w:rsidRPr="00B336DF">
        <w:rPr>
          <w:noProof/>
          <w:szCs w:val="22"/>
        </w:rPr>
        <w:t>α</w:t>
      </w:r>
      <w:r w:rsidRPr="00B336DF">
        <w:rPr>
          <w:noProof/>
          <w:szCs w:val="22"/>
        </w:rPr>
        <w:t>πό μικρά συρρέοντα οζίδια</w:t>
      </w:r>
      <w:r w:rsidR="00487138" w:rsidRPr="00B336DF">
        <w:rPr>
          <w:noProof/>
          <w:szCs w:val="22"/>
        </w:rPr>
        <w:t>, ερυθρότητα του δέρματος</w:t>
      </w:r>
    </w:p>
    <w:p w:rsidR="00551603" w:rsidRPr="00B336DF" w:rsidRDefault="00551603" w:rsidP="00551603">
      <w:pPr>
        <w:pStyle w:val="a7"/>
        <w:numPr>
          <w:ilvl w:val="0"/>
          <w:numId w:val="5"/>
        </w:numPr>
        <w:ind w:left="426" w:hanging="426"/>
        <w:rPr>
          <w:noProof/>
          <w:szCs w:val="22"/>
        </w:rPr>
      </w:pPr>
      <w:r w:rsidRPr="00B336DF">
        <w:rPr>
          <w:noProof/>
          <w:szCs w:val="22"/>
        </w:rPr>
        <w:t>Κνησμός</w:t>
      </w:r>
    </w:p>
    <w:p w:rsidR="00551603" w:rsidRPr="00B336DF" w:rsidRDefault="00551603" w:rsidP="00551603">
      <w:pPr>
        <w:pStyle w:val="a7"/>
        <w:numPr>
          <w:ilvl w:val="0"/>
          <w:numId w:val="5"/>
        </w:numPr>
        <w:ind w:left="426" w:hanging="426"/>
        <w:rPr>
          <w:noProof/>
          <w:szCs w:val="22"/>
        </w:rPr>
      </w:pPr>
      <w:r w:rsidRPr="00B336DF">
        <w:rPr>
          <w:noProof/>
          <w:szCs w:val="22"/>
        </w:rPr>
        <w:t>Απώλεια μαλλιών</w:t>
      </w:r>
    </w:p>
    <w:p w:rsidR="00551603" w:rsidRPr="00B336DF" w:rsidRDefault="00551603" w:rsidP="00551603">
      <w:pPr>
        <w:pStyle w:val="a7"/>
        <w:numPr>
          <w:ilvl w:val="0"/>
          <w:numId w:val="5"/>
        </w:numPr>
        <w:ind w:left="426" w:hanging="426"/>
        <w:rPr>
          <w:noProof/>
          <w:szCs w:val="22"/>
        </w:rPr>
      </w:pPr>
      <w:r w:rsidRPr="00B336DF">
        <w:rPr>
          <w:noProof/>
          <w:szCs w:val="22"/>
        </w:rPr>
        <w:t>Οσφυαλγία</w:t>
      </w:r>
    </w:p>
    <w:p w:rsidR="00551603" w:rsidRPr="00B336DF" w:rsidRDefault="00551603" w:rsidP="00551603">
      <w:pPr>
        <w:pStyle w:val="a7"/>
        <w:numPr>
          <w:ilvl w:val="0"/>
          <w:numId w:val="5"/>
        </w:numPr>
        <w:ind w:left="426" w:hanging="426"/>
        <w:rPr>
          <w:noProof/>
          <w:szCs w:val="22"/>
        </w:rPr>
      </w:pPr>
      <w:r w:rsidRPr="00B336DF">
        <w:rPr>
          <w:noProof/>
          <w:szCs w:val="22"/>
        </w:rPr>
        <w:t>Νεφρική ανεπάρκεια, αίμα στα ούρα, μεταβολές στις εξετάσεις της νεφρικής λειτουργίας</w:t>
      </w:r>
    </w:p>
    <w:p w:rsidR="00551603" w:rsidRPr="00B336DF" w:rsidRDefault="00551603" w:rsidP="000875D3">
      <w:pPr>
        <w:rPr>
          <w:b/>
          <w:noProof/>
          <w:szCs w:val="22"/>
        </w:rPr>
      </w:pPr>
    </w:p>
    <w:p w:rsidR="00551603" w:rsidRPr="00B336DF" w:rsidRDefault="000C6440" w:rsidP="000875D3">
      <w:pPr>
        <w:rPr>
          <w:noProof/>
          <w:szCs w:val="22"/>
        </w:rPr>
      </w:pPr>
      <w:r w:rsidRPr="00B336DF">
        <w:rPr>
          <w:noProof/>
          <w:szCs w:val="22"/>
        </w:rPr>
        <w:t>Όχι συχνές (μπορεί να επηρεάσουν έως 1 στους 100 ανθρώπους):</w:t>
      </w:r>
    </w:p>
    <w:p w:rsidR="000C6440" w:rsidRPr="00B336DF" w:rsidRDefault="000C6440" w:rsidP="000875D3">
      <w:pPr>
        <w:rPr>
          <w:noProof/>
          <w:szCs w:val="22"/>
        </w:rPr>
      </w:pPr>
    </w:p>
    <w:p w:rsidR="000C6440" w:rsidRPr="00B336DF" w:rsidRDefault="009D34C3" w:rsidP="00965525">
      <w:pPr>
        <w:pStyle w:val="a7"/>
        <w:numPr>
          <w:ilvl w:val="0"/>
          <w:numId w:val="5"/>
        </w:numPr>
        <w:ind w:left="426" w:hanging="426"/>
        <w:rPr>
          <w:noProof/>
          <w:szCs w:val="22"/>
        </w:rPr>
      </w:pPr>
      <w:r w:rsidRPr="00B336DF">
        <w:rPr>
          <w:noProof/>
          <w:szCs w:val="22"/>
        </w:rPr>
        <w:t>Γριπώδ</w:t>
      </w:r>
      <w:r w:rsidR="00FB4D07" w:rsidRPr="00B336DF">
        <w:rPr>
          <w:noProof/>
          <w:szCs w:val="22"/>
        </w:rPr>
        <w:t xml:space="preserve">η συμπτώματα, ερεθισμός και </w:t>
      </w:r>
      <w:r w:rsidR="00965525" w:rsidRPr="00B336DF">
        <w:rPr>
          <w:noProof/>
          <w:szCs w:val="22"/>
        </w:rPr>
        <w:t>φ</w:t>
      </w:r>
      <w:r w:rsidR="000C6440" w:rsidRPr="00B336DF">
        <w:rPr>
          <w:noProof/>
          <w:szCs w:val="22"/>
        </w:rPr>
        <w:t>λεγμονή του γαστρεντερικού σωλήνα</w:t>
      </w:r>
      <w:r w:rsidR="00FC78F2" w:rsidRPr="00B336DF">
        <w:rPr>
          <w:noProof/>
          <w:szCs w:val="22"/>
        </w:rPr>
        <w:t xml:space="preserve">, φλεγμονή του </w:t>
      </w:r>
      <w:r w:rsidR="000C6440" w:rsidRPr="00B336DF">
        <w:rPr>
          <w:noProof/>
          <w:szCs w:val="22"/>
        </w:rPr>
        <w:t xml:space="preserve"> </w:t>
      </w:r>
      <w:r w:rsidR="00FC78F2" w:rsidRPr="00B336DF">
        <w:rPr>
          <w:noProof/>
          <w:szCs w:val="22"/>
        </w:rPr>
        <w:t xml:space="preserve">γαστρεντερικού σωλήνα </w:t>
      </w:r>
      <w:r w:rsidR="000C6440" w:rsidRPr="00B336DF">
        <w:rPr>
          <w:noProof/>
          <w:szCs w:val="22"/>
        </w:rPr>
        <w:t>προκαλ</w:t>
      </w:r>
      <w:r w:rsidR="00FC78F2" w:rsidRPr="00B336DF">
        <w:rPr>
          <w:noProof/>
          <w:szCs w:val="22"/>
        </w:rPr>
        <w:t>ώντας</w:t>
      </w:r>
      <w:r w:rsidR="000C6440" w:rsidRPr="00B336DF">
        <w:rPr>
          <w:noProof/>
          <w:szCs w:val="22"/>
        </w:rPr>
        <w:t xml:space="preserve"> </w:t>
      </w:r>
      <w:r w:rsidR="00FC78F2" w:rsidRPr="00B336DF">
        <w:rPr>
          <w:noProof/>
          <w:szCs w:val="22"/>
        </w:rPr>
        <w:t xml:space="preserve">σχετιζόμενη με αντιβιοτικά </w:t>
      </w:r>
      <w:r w:rsidR="000C6440" w:rsidRPr="00B336DF">
        <w:rPr>
          <w:noProof/>
          <w:szCs w:val="22"/>
        </w:rPr>
        <w:t>διάρροια, φλεγμονή των λεμφαγγείων</w:t>
      </w:r>
    </w:p>
    <w:p w:rsidR="000C6440" w:rsidRPr="00B336DF" w:rsidRDefault="000C6440" w:rsidP="000C6440">
      <w:pPr>
        <w:pStyle w:val="a7"/>
        <w:numPr>
          <w:ilvl w:val="0"/>
          <w:numId w:val="5"/>
        </w:numPr>
        <w:ind w:left="426" w:hanging="426"/>
        <w:rPr>
          <w:noProof/>
          <w:szCs w:val="22"/>
        </w:rPr>
      </w:pPr>
      <w:r w:rsidRPr="00B336DF">
        <w:rPr>
          <w:noProof/>
          <w:szCs w:val="22"/>
        </w:rPr>
        <w:t>Φλεγμονή του λεπτού ιστού που επικαλύπτει το εσωτερικό τοίχωμα της κοιλιάς και καλύπτει τα κοιλιακά όργανα</w:t>
      </w:r>
    </w:p>
    <w:p w:rsidR="000C6440" w:rsidRPr="00B336DF" w:rsidRDefault="000C6440" w:rsidP="000C6440">
      <w:pPr>
        <w:pStyle w:val="a7"/>
        <w:numPr>
          <w:ilvl w:val="0"/>
          <w:numId w:val="5"/>
        </w:numPr>
        <w:ind w:left="426" w:hanging="426"/>
        <w:rPr>
          <w:noProof/>
          <w:szCs w:val="22"/>
        </w:rPr>
      </w:pPr>
      <w:r w:rsidRPr="00B336DF">
        <w:rPr>
          <w:noProof/>
          <w:szCs w:val="22"/>
        </w:rPr>
        <w:t>Διογκωμένοι λεμφαδένες (επώδυνοι ορισμένες φορές), , ανεπάρκεια του αιματοποιητικού μυελού, αύξηση του αριθμού των ηωσινόφιλων</w:t>
      </w:r>
    </w:p>
    <w:p w:rsidR="000C6440" w:rsidRPr="00B336DF" w:rsidRDefault="000C6440" w:rsidP="000C6440">
      <w:pPr>
        <w:pStyle w:val="a7"/>
        <w:numPr>
          <w:ilvl w:val="0"/>
          <w:numId w:val="5"/>
        </w:numPr>
        <w:ind w:left="426" w:hanging="426"/>
        <w:rPr>
          <w:noProof/>
          <w:szCs w:val="22"/>
        </w:rPr>
      </w:pPr>
      <w:r w:rsidRPr="00B336DF">
        <w:rPr>
          <w:noProof/>
          <w:szCs w:val="22"/>
        </w:rPr>
        <w:t>Ελαττωμένη λειτουργία των επινεφριδίων, υπολειτουργία του θυρεοειδούς αδένα</w:t>
      </w:r>
    </w:p>
    <w:p w:rsidR="000C6440" w:rsidRPr="00B336DF" w:rsidRDefault="000C6440" w:rsidP="000C6440">
      <w:pPr>
        <w:pStyle w:val="a7"/>
        <w:numPr>
          <w:ilvl w:val="0"/>
          <w:numId w:val="5"/>
        </w:numPr>
        <w:ind w:left="426" w:hanging="426"/>
        <w:rPr>
          <w:noProof/>
          <w:szCs w:val="22"/>
        </w:rPr>
      </w:pPr>
      <w:r w:rsidRPr="00B336DF">
        <w:rPr>
          <w:noProof/>
          <w:szCs w:val="22"/>
        </w:rPr>
        <w:t>Παθολογική εγκεφαλική λειτουργία, συμπτώματα τύπου Parkinson, βλάβη νεύρου που προκαλεί μουδιάσματα, άλγος, μυρμήγκιασμα ή καύσο στα χέρια ή τα πόδια</w:t>
      </w:r>
    </w:p>
    <w:p w:rsidR="000C6440" w:rsidRPr="00B336DF" w:rsidRDefault="000C6440" w:rsidP="000C6440">
      <w:pPr>
        <w:pStyle w:val="a7"/>
        <w:numPr>
          <w:ilvl w:val="0"/>
          <w:numId w:val="5"/>
        </w:numPr>
        <w:ind w:left="426" w:hanging="426"/>
        <w:rPr>
          <w:noProof/>
          <w:szCs w:val="22"/>
        </w:rPr>
      </w:pPr>
      <w:r w:rsidRPr="00B336DF">
        <w:rPr>
          <w:noProof/>
          <w:szCs w:val="22"/>
        </w:rPr>
        <w:t>Προβλήματα με την ισορροπία ή τον συντονισμό</w:t>
      </w:r>
    </w:p>
    <w:p w:rsidR="000C6440" w:rsidRPr="00B336DF" w:rsidRDefault="000C6440" w:rsidP="000C6440">
      <w:pPr>
        <w:pStyle w:val="a7"/>
        <w:numPr>
          <w:ilvl w:val="0"/>
          <w:numId w:val="5"/>
        </w:numPr>
        <w:ind w:left="426" w:hanging="426"/>
        <w:rPr>
          <w:noProof/>
          <w:szCs w:val="22"/>
        </w:rPr>
      </w:pPr>
      <w:r w:rsidRPr="00B336DF">
        <w:rPr>
          <w:noProof/>
          <w:szCs w:val="22"/>
        </w:rPr>
        <w:t>Εγκεφαλικό οίδημα</w:t>
      </w:r>
    </w:p>
    <w:p w:rsidR="000C6440" w:rsidRPr="00B336DF" w:rsidRDefault="000C6440" w:rsidP="000C6440">
      <w:pPr>
        <w:pStyle w:val="a7"/>
        <w:numPr>
          <w:ilvl w:val="0"/>
          <w:numId w:val="5"/>
        </w:numPr>
        <w:ind w:left="426" w:hanging="426"/>
        <w:rPr>
          <w:noProof/>
          <w:szCs w:val="22"/>
        </w:rPr>
      </w:pPr>
      <w:r w:rsidRPr="00B336DF">
        <w:rPr>
          <w:noProof/>
          <w:szCs w:val="22"/>
        </w:rPr>
        <w:t>Διπλωπία, σοβαρές καταστάσεις του οφθαλμού που περιλαμβάνουν: πόνο και φλεγμονή των οφθαλμών και των βλεφάρων, παθολογική κίνηση του οφθαλμού, βλάβη του οπτικού νεύρου που οδηγεί σε μείωση της όρασης, οίδημα της οπτικής θηλής</w:t>
      </w:r>
    </w:p>
    <w:p w:rsidR="000C6440" w:rsidRPr="00B336DF" w:rsidRDefault="000C6440" w:rsidP="000C6440">
      <w:pPr>
        <w:pStyle w:val="a7"/>
        <w:numPr>
          <w:ilvl w:val="0"/>
          <w:numId w:val="5"/>
        </w:numPr>
        <w:ind w:left="426" w:hanging="426"/>
        <w:rPr>
          <w:noProof/>
          <w:szCs w:val="22"/>
        </w:rPr>
      </w:pPr>
      <w:r w:rsidRPr="00B336DF">
        <w:rPr>
          <w:noProof/>
          <w:szCs w:val="22"/>
        </w:rPr>
        <w:t>Μειωμένη ευαισθησία στην αφή</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Μη φυσιολογική αίσθηση της γεύσης</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Δυσκολίες στην ακοή, εμβοές των ώτων, ίλιγγος</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Φλεγμονή ορισμένων εσωτερικών οργάνων – πάγκρεας και δωδεκαδάκτυλο, οίδημα και φλεγμονή της γλώσσας</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Διογκωμένο ήπαρ, ηπατική ανεπάρκεια, νόσος της χοληδόχου κύστης, χολόλιθοι</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Φλεγμονή των αρθρώσεων, φλεγμονή των φλεβών κάτω από το δέρμα (η οποία μπορεί να σχετίζεται με τη δημιουργία θρόμβου αίματος)</w:t>
      </w:r>
    </w:p>
    <w:p w:rsidR="000C6440" w:rsidRPr="00B336DF" w:rsidRDefault="000C6440" w:rsidP="00E44FB5">
      <w:pPr>
        <w:pStyle w:val="a7"/>
        <w:numPr>
          <w:ilvl w:val="0"/>
          <w:numId w:val="5"/>
        </w:numPr>
        <w:ind w:left="426" w:hanging="426"/>
        <w:rPr>
          <w:noProof/>
          <w:szCs w:val="22"/>
        </w:rPr>
      </w:pPr>
      <w:r w:rsidRPr="00B336DF">
        <w:rPr>
          <w:rFonts w:eastAsiaTheme="minorEastAsia"/>
          <w:szCs w:val="22"/>
          <w:lang w:eastAsia="zh-CN"/>
        </w:rPr>
        <w:t>Φλεγμονή του νεφρού, πρωτεΐνες στα ούρα</w:t>
      </w:r>
      <w:r w:rsidR="00FB4D07" w:rsidRPr="00B336DF">
        <w:rPr>
          <w:rFonts w:eastAsiaTheme="minorEastAsia"/>
          <w:szCs w:val="22"/>
          <w:lang w:eastAsia="zh-CN"/>
        </w:rPr>
        <w:t>,</w:t>
      </w:r>
      <w:r w:rsidR="00FB4D07" w:rsidRPr="00B336DF">
        <w:rPr>
          <w:szCs w:val="22"/>
        </w:rPr>
        <w:t xml:space="preserve"> </w:t>
      </w:r>
      <w:r w:rsidR="00FB4D07" w:rsidRPr="00B336DF">
        <w:rPr>
          <w:rFonts w:eastAsiaTheme="minorEastAsia"/>
          <w:szCs w:val="22"/>
          <w:lang w:eastAsia="zh-CN"/>
        </w:rPr>
        <w:t>βλάβη του νεφρού</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Πολύ γρήγορος καρδιακός ρυθμός ή έκτακτες συστολές</w:t>
      </w:r>
      <w:r w:rsidR="00FB4D07" w:rsidRPr="00B336DF">
        <w:rPr>
          <w:rFonts w:eastAsiaTheme="minorEastAsia"/>
          <w:szCs w:val="22"/>
          <w:lang w:eastAsia="zh-CN"/>
        </w:rPr>
        <w:t xml:space="preserve">, </w:t>
      </w:r>
      <w:r w:rsidR="00FB4D07" w:rsidRPr="00B336DF">
        <w:rPr>
          <w:szCs w:val="22"/>
        </w:rPr>
        <w:t>ορισμένες φορές με ακανόνιστα ηλεκτρικά ερεθίσματα</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Μη φυσιολογικό ηλεκτροκαρδιογράφημα (ΗΚΓ)</w:t>
      </w:r>
    </w:p>
    <w:p w:rsidR="000C6440" w:rsidRPr="00B336DF" w:rsidRDefault="000C6440" w:rsidP="000C6440">
      <w:pPr>
        <w:pStyle w:val="a7"/>
        <w:numPr>
          <w:ilvl w:val="0"/>
          <w:numId w:val="5"/>
        </w:numPr>
        <w:ind w:left="426" w:hanging="426"/>
        <w:rPr>
          <w:noProof/>
          <w:szCs w:val="22"/>
        </w:rPr>
      </w:pPr>
      <w:r w:rsidRPr="00B336DF">
        <w:rPr>
          <w:rFonts w:eastAsiaTheme="minorEastAsia"/>
          <w:szCs w:val="22"/>
          <w:lang w:eastAsia="zh-CN"/>
        </w:rPr>
        <w:t>Αύξηση χοληστερόλης αίματος, αύξηση ουρίας αίματος</w:t>
      </w:r>
    </w:p>
    <w:p w:rsidR="00754B91" w:rsidRPr="00B336DF" w:rsidRDefault="000C6440" w:rsidP="005C6204">
      <w:pPr>
        <w:pStyle w:val="a7"/>
        <w:numPr>
          <w:ilvl w:val="0"/>
          <w:numId w:val="5"/>
        </w:numPr>
        <w:ind w:left="426" w:hanging="426"/>
        <w:rPr>
          <w:rFonts w:eastAsiaTheme="minorEastAsia"/>
          <w:szCs w:val="22"/>
          <w:lang w:eastAsia="zh-CN"/>
        </w:rPr>
      </w:pPr>
      <w:r w:rsidRPr="00B336DF">
        <w:rPr>
          <w:rFonts w:eastAsiaTheme="minorEastAsia"/>
          <w:szCs w:val="22"/>
          <w:lang w:eastAsia="zh-CN"/>
        </w:rPr>
        <w:t xml:space="preserve">Αλλεργικές αντιδράσεις δέρματος (ορισμένες φορές βαριάς μορφής), που περιλαμβάνουν </w:t>
      </w:r>
      <w:r w:rsidR="00754B91" w:rsidRPr="00B336DF">
        <w:rPr>
          <w:rFonts w:eastAsiaTheme="minorEastAsia"/>
          <w:szCs w:val="22"/>
          <w:lang w:eastAsia="zh-CN"/>
        </w:rPr>
        <w:t xml:space="preserve">απειλητική για τη ζωή κατάσταση του δέρματος που προκαλεί επώδυνες </w:t>
      </w:r>
      <w:r w:rsidR="00F6437C" w:rsidRPr="00B336DF">
        <w:rPr>
          <w:rFonts w:eastAsiaTheme="minorEastAsia"/>
          <w:szCs w:val="22"/>
          <w:lang w:eastAsia="zh-CN"/>
        </w:rPr>
        <w:t>φυσαλίδες</w:t>
      </w:r>
      <w:r w:rsidR="00754B91" w:rsidRPr="00B336DF">
        <w:rPr>
          <w:rFonts w:eastAsiaTheme="minorEastAsia"/>
          <w:szCs w:val="22"/>
          <w:lang w:eastAsia="zh-CN"/>
        </w:rPr>
        <w:t xml:space="preserve"> </w:t>
      </w:r>
      <w:r w:rsidR="00F6437C" w:rsidRPr="00B336DF">
        <w:rPr>
          <w:rFonts w:eastAsiaTheme="minorEastAsia"/>
          <w:szCs w:val="22"/>
          <w:lang w:eastAsia="zh-CN"/>
        </w:rPr>
        <w:t xml:space="preserve">και </w:t>
      </w:r>
      <w:r w:rsidR="00754B91" w:rsidRPr="00B336DF">
        <w:rPr>
          <w:rFonts w:eastAsiaTheme="minorEastAsia"/>
          <w:szCs w:val="22"/>
          <w:lang w:eastAsia="zh-CN"/>
        </w:rPr>
        <w:t xml:space="preserve">έλκη </w:t>
      </w:r>
      <w:r w:rsidRPr="00B336DF">
        <w:rPr>
          <w:rFonts w:eastAsiaTheme="minorEastAsia"/>
          <w:szCs w:val="22"/>
          <w:lang w:eastAsia="zh-CN"/>
        </w:rPr>
        <w:t xml:space="preserve">του δέρματος </w:t>
      </w:r>
      <w:r w:rsidR="00754B91" w:rsidRPr="00B336DF">
        <w:rPr>
          <w:rFonts w:eastAsiaTheme="minorEastAsia"/>
          <w:szCs w:val="22"/>
          <w:lang w:eastAsia="zh-CN"/>
        </w:rPr>
        <w:t xml:space="preserve">και των βλεννογόνων, ειδικά στο στόμα, φλεγμονή του δέρματος, κνίδωση, ηλιακό έγκαυμα ή βαριάς μορφής δερματική αντίδραση μετά από έκθεση σε φως ή στον ήλιο, </w:t>
      </w:r>
      <w:r w:rsidR="00754B91" w:rsidRPr="00B336DF">
        <w:rPr>
          <w:rFonts w:eastAsiaTheme="minorEastAsia"/>
          <w:szCs w:val="22"/>
          <w:lang w:eastAsia="zh-CN"/>
        </w:rPr>
        <w:lastRenderedPageBreak/>
        <w:t xml:space="preserve">ερυθρότητα και ερεθισμό του δέρματος, ερυθρό ή μωβ </w:t>
      </w:r>
      <w:r w:rsidR="00E72D8A" w:rsidRPr="00B336DF">
        <w:rPr>
          <w:rFonts w:eastAsiaTheme="minorEastAsia"/>
          <w:szCs w:val="22"/>
          <w:lang w:eastAsia="zh-CN"/>
        </w:rPr>
        <w:t>αποχρωματισμό</w:t>
      </w:r>
      <w:r w:rsidR="00754B91" w:rsidRPr="00B336DF">
        <w:rPr>
          <w:rFonts w:eastAsiaTheme="minorEastAsia"/>
          <w:szCs w:val="22"/>
          <w:lang w:eastAsia="zh-CN"/>
        </w:rPr>
        <w:t xml:space="preserve"> του δέρματος που μπορεί να έχει προκληθεί από χαμηλό αριθμό αιμοπεταλίων, έκζεμα</w:t>
      </w:r>
    </w:p>
    <w:p w:rsidR="000C6440" w:rsidRPr="00B336DF" w:rsidRDefault="000C6440" w:rsidP="000C6440">
      <w:pPr>
        <w:pStyle w:val="a7"/>
        <w:numPr>
          <w:ilvl w:val="0"/>
          <w:numId w:val="5"/>
        </w:numPr>
        <w:ind w:left="426" w:hanging="426"/>
        <w:rPr>
          <w:rFonts w:eastAsiaTheme="minorEastAsia"/>
          <w:szCs w:val="22"/>
          <w:lang w:eastAsia="zh-CN"/>
        </w:rPr>
      </w:pPr>
      <w:r w:rsidRPr="00B336DF">
        <w:rPr>
          <w:rFonts w:eastAsiaTheme="minorEastAsia"/>
          <w:szCs w:val="22"/>
          <w:lang w:eastAsia="zh-CN"/>
        </w:rPr>
        <w:t xml:space="preserve">Αντίδραση της θέσης </w:t>
      </w:r>
      <w:r w:rsidR="00754B91" w:rsidRPr="00B336DF">
        <w:rPr>
          <w:rFonts w:eastAsiaTheme="minorEastAsia"/>
          <w:szCs w:val="22"/>
          <w:lang w:eastAsia="zh-CN"/>
        </w:rPr>
        <w:t>έγχυσης</w:t>
      </w:r>
    </w:p>
    <w:p w:rsidR="000C6440" w:rsidRPr="00B336DF" w:rsidRDefault="000C6440" w:rsidP="000875D3">
      <w:pPr>
        <w:rPr>
          <w:b/>
          <w:noProof/>
          <w:szCs w:val="22"/>
        </w:rPr>
      </w:pPr>
    </w:p>
    <w:p w:rsidR="000C6440" w:rsidRPr="00B336DF" w:rsidRDefault="000C6440" w:rsidP="000C6440">
      <w:pPr>
        <w:rPr>
          <w:noProof/>
          <w:szCs w:val="22"/>
        </w:rPr>
      </w:pPr>
      <w:r w:rsidRPr="00B336DF">
        <w:rPr>
          <w:noProof/>
          <w:szCs w:val="22"/>
        </w:rPr>
        <w:t>Σπάνιες (μπορεί να επηρεάσουν έως 1 στους 1000 ανθρώπους):</w:t>
      </w:r>
    </w:p>
    <w:p w:rsidR="000C6440" w:rsidRPr="00B336DF" w:rsidRDefault="000C6440" w:rsidP="000C6440">
      <w:pPr>
        <w:rPr>
          <w:noProof/>
          <w:szCs w:val="22"/>
        </w:rPr>
      </w:pPr>
    </w:p>
    <w:p w:rsidR="000C6440" w:rsidRPr="00B336DF" w:rsidRDefault="000C6440" w:rsidP="000C6440">
      <w:pPr>
        <w:pStyle w:val="a7"/>
        <w:numPr>
          <w:ilvl w:val="0"/>
          <w:numId w:val="6"/>
        </w:numPr>
        <w:ind w:left="426" w:hanging="426"/>
        <w:rPr>
          <w:noProof/>
          <w:szCs w:val="22"/>
        </w:rPr>
      </w:pPr>
      <w:r w:rsidRPr="00B336DF">
        <w:rPr>
          <w:noProof/>
          <w:szCs w:val="22"/>
        </w:rPr>
        <w:t>Υπερλειτουργικός θυρεοειδής αδένας</w:t>
      </w:r>
    </w:p>
    <w:p w:rsidR="000C6440" w:rsidRPr="00B336DF" w:rsidRDefault="000C6440" w:rsidP="000C6440">
      <w:pPr>
        <w:pStyle w:val="a7"/>
        <w:numPr>
          <w:ilvl w:val="0"/>
          <w:numId w:val="6"/>
        </w:numPr>
        <w:ind w:left="426" w:hanging="426"/>
        <w:rPr>
          <w:noProof/>
          <w:szCs w:val="22"/>
        </w:rPr>
      </w:pPr>
      <w:r w:rsidRPr="00B336DF">
        <w:rPr>
          <w:noProof/>
          <w:szCs w:val="22"/>
        </w:rPr>
        <w:t>Επιδείνωση της εγκεφαλικής λειτουργίας η οποία αποτελεί σοβαρή επιπλοκή της πάθησης του ήπατος</w:t>
      </w:r>
    </w:p>
    <w:p w:rsidR="00754B91" w:rsidRPr="00B336DF" w:rsidRDefault="00754B91" w:rsidP="004302F4">
      <w:pPr>
        <w:pStyle w:val="a7"/>
        <w:numPr>
          <w:ilvl w:val="0"/>
          <w:numId w:val="6"/>
        </w:numPr>
        <w:ind w:left="426" w:hanging="426"/>
        <w:rPr>
          <w:noProof/>
          <w:szCs w:val="22"/>
        </w:rPr>
      </w:pPr>
      <w:r w:rsidRPr="00B336DF">
        <w:rPr>
          <w:noProof/>
          <w:szCs w:val="22"/>
        </w:rPr>
        <w:t>Απώλεια των περισσότερων ινών του οπτικού νεύρου, θολερότητα κερατοειδούς, ακούσια κίνηση του οφθαλμού</w:t>
      </w:r>
    </w:p>
    <w:p w:rsidR="000C6440" w:rsidRPr="00B336DF" w:rsidRDefault="000C6440" w:rsidP="000C6440">
      <w:pPr>
        <w:pStyle w:val="a7"/>
        <w:numPr>
          <w:ilvl w:val="0"/>
          <w:numId w:val="6"/>
        </w:numPr>
        <w:ind w:left="426" w:hanging="426"/>
        <w:rPr>
          <w:noProof/>
          <w:szCs w:val="22"/>
        </w:rPr>
      </w:pPr>
      <w:r w:rsidRPr="00B336DF">
        <w:rPr>
          <w:noProof/>
          <w:szCs w:val="22"/>
        </w:rPr>
        <w:t>Πομφολυγώδης φωτοευαισθησία</w:t>
      </w:r>
    </w:p>
    <w:p w:rsidR="000C6440" w:rsidRPr="00B336DF" w:rsidRDefault="000C6440" w:rsidP="000C6440">
      <w:pPr>
        <w:pStyle w:val="a7"/>
        <w:numPr>
          <w:ilvl w:val="0"/>
          <w:numId w:val="6"/>
        </w:numPr>
        <w:ind w:left="426" w:hanging="426"/>
        <w:rPr>
          <w:noProof/>
          <w:szCs w:val="22"/>
        </w:rPr>
      </w:pPr>
      <w:r w:rsidRPr="00B336DF">
        <w:rPr>
          <w:noProof/>
          <w:szCs w:val="22"/>
        </w:rPr>
        <w:t>Διαταραχή κατά την οποία το ανοσοποιητικό σύστημα του σώματος επιτίθεται σε μέρος του περιφερικού νευρικού συστήματος</w:t>
      </w:r>
    </w:p>
    <w:p w:rsidR="000C6440" w:rsidRPr="00B336DF" w:rsidRDefault="000D11D2" w:rsidP="007641BF">
      <w:pPr>
        <w:pStyle w:val="a7"/>
        <w:numPr>
          <w:ilvl w:val="0"/>
          <w:numId w:val="6"/>
        </w:numPr>
        <w:ind w:left="426" w:hanging="426"/>
        <w:rPr>
          <w:noProof/>
          <w:szCs w:val="22"/>
        </w:rPr>
      </w:pPr>
      <w:r w:rsidRPr="00B336DF">
        <w:rPr>
          <w:noProof/>
          <w:szCs w:val="22"/>
        </w:rPr>
        <w:t>Π</w:t>
      </w:r>
      <w:r w:rsidR="000C6440" w:rsidRPr="00B336DF">
        <w:rPr>
          <w:noProof/>
          <w:szCs w:val="22"/>
        </w:rPr>
        <w:t xml:space="preserve">ροβλήματα του καρδιακού ρυθμού </w:t>
      </w:r>
      <w:r w:rsidRPr="00B336DF">
        <w:rPr>
          <w:noProof/>
          <w:szCs w:val="22"/>
        </w:rPr>
        <w:t xml:space="preserve">ή της καρδιακής αγωγιμότητας (μερικές φορές </w:t>
      </w:r>
      <w:r w:rsidR="000C6440" w:rsidRPr="00B336DF">
        <w:rPr>
          <w:noProof/>
          <w:szCs w:val="22"/>
        </w:rPr>
        <w:t>απειλητικά για τη ζωή</w:t>
      </w:r>
      <w:r w:rsidRPr="00B336DF">
        <w:rPr>
          <w:noProof/>
          <w:szCs w:val="22"/>
        </w:rPr>
        <w:t>)</w:t>
      </w:r>
    </w:p>
    <w:p w:rsidR="000D11D2" w:rsidRPr="00B336DF" w:rsidRDefault="000D11D2" w:rsidP="008B3FF2">
      <w:pPr>
        <w:pStyle w:val="a7"/>
        <w:numPr>
          <w:ilvl w:val="0"/>
          <w:numId w:val="6"/>
        </w:numPr>
        <w:ind w:left="426" w:hanging="426"/>
        <w:rPr>
          <w:noProof/>
          <w:szCs w:val="22"/>
        </w:rPr>
      </w:pPr>
      <w:r w:rsidRPr="00B336DF">
        <w:rPr>
          <w:noProof/>
          <w:szCs w:val="22"/>
        </w:rPr>
        <w:t>Απειλητική για τη ζωή αλλεργική αντίδραση</w:t>
      </w:r>
    </w:p>
    <w:p w:rsidR="000D11D2" w:rsidRPr="00B336DF" w:rsidRDefault="000D11D2" w:rsidP="008B3FF2">
      <w:pPr>
        <w:pStyle w:val="a7"/>
        <w:numPr>
          <w:ilvl w:val="0"/>
          <w:numId w:val="6"/>
        </w:numPr>
        <w:ind w:left="426" w:hanging="426"/>
        <w:rPr>
          <w:noProof/>
          <w:szCs w:val="22"/>
        </w:rPr>
      </w:pPr>
      <w:r w:rsidRPr="00B336DF">
        <w:rPr>
          <w:noProof/>
          <w:szCs w:val="22"/>
        </w:rPr>
        <w:t>Διαταραχή του συστήματος πήξης του αίματος</w:t>
      </w:r>
    </w:p>
    <w:p w:rsidR="000D11D2" w:rsidRPr="00B336DF" w:rsidRDefault="000D11D2" w:rsidP="00E22316">
      <w:pPr>
        <w:pStyle w:val="a7"/>
        <w:numPr>
          <w:ilvl w:val="0"/>
          <w:numId w:val="6"/>
        </w:numPr>
        <w:ind w:left="426" w:hanging="426"/>
        <w:rPr>
          <w:noProof/>
          <w:szCs w:val="22"/>
        </w:rPr>
      </w:pPr>
      <w:r w:rsidRPr="00B336DF">
        <w:rPr>
          <w:noProof/>
          <w:szCs w:val="22"/>
        </w:rPr>
        <w:t>Αλλεργικές δερματικές αντιδράσεις (μερικές φορές βαριάς μορφής), οι οποίες περιλαμβάνουν ταχύ πρήξιμο (οίδημα) του χορίου, του υποδόριου ιστού, των βλεννογόνων και των υποβλεννογόνιων ιστών, κνησμώδεις ή επώδυνες βλάβες παχέος, ερυθρ</w:t>
      </w:r>
      <w:r w:rsidR="000F6CA4" w:rsidRPr="00B336DF">
        <w:rPr>
          <w:noProof/>
          <w:szCs w:val="22"/>
        </w:rPr>
        <w:t>ό</w:t>
      </w:r>
      <w:r w:rsidRPr="00B336DF">
        <w:rPr>
          <w:noProof/>
          <w:szCs w:val="22"/>
        </w:rPr>
        <w:t xml:space="preserve"> δέρμα με ασημί δερματικές φολίδες, ερεθισμό του δέρματος και των βλεννογόνων, απειλητική για τη ζωή κατάσταση του δέρματος που προκαλεί την αποκόλληση μεγάλων τμημάτων της επιδερμίδας, της εξωτερικής στιβάδας του δέρματος, από τις στιβάδες του δέρματος που βρίσκονται κάτω από αυτήν</w:t>
      </w:r>
    </w:p>
    <w:p w:rsidR="000D11D2" w:rsidRPr="00B336DF" w:rsidRDefault="000D11D2" w:rsidP="00E22316">
      <w:pPr>
        <w:pStyle w:val="a7"/>
        <w:numPr>
          <w:ilvl w:val="0"/>
          <w:numId w:val="6"/>
        </w:numPr>
        <w:ind w:left="426" w:hanging="426"/>
        <w:rPr>
          <w:noProof/>
          <w:szCs w:val="22"/>
        </w:rPr>
      </w:pPr>
      <w:r w:rsidRPr="00B336DF">
        <w:rPr>
          <w:noProof/>
          <w:szCs w:val="22"/>
        </w:rPr>
        <w:t>Μικρές ξηρές φολιδωτές δερματικές πλάκες, ορισμένες φορές παχιές με αιχμές ή «κερατοειδείς σχηματισμούς»</w:t>
      </w:r>
    </w:p>
    <w:p w:rsidR="000D11D2" w:rsidRPr="00B336DF" w:rsidRDefault="000D11D2" w:rsidP="00E22316">
      <w:pPr>
        <w:rPr>
          <w:noProof/>
          <w:szCs w:val="22"/>
        </w:rPr>
      </w:pPr>
    </w:p>
    <w:p w:rsidR="000D11D2" w:rsidRPr="00B336DF" w:rsidRDefault="000D11D2" w:rsidP="008B3FF2">
      <w:pPr>
        <w:rPr>
          <w:noProof/>
          <w:szCs w:val="22"/>
        </w:rPr>
      </w:pPr>
      <w:r w:rsidRPr="00B336DF">
        <w:rPr>
          <w:noProof/>
          <w:szCs w:val="22"/>
        </w:rPr>
        <w:t>Ανεπιθύμητες ενέργειες με μη γνωστή συχνότητα:</w:t>
      </w:r>
    </w:p>
    <w:p w:rsidR="000D11D2" w:rsidRPr="00B336DF" w:rsidRDefault="000D11D2" w:rsidP="008B3FF2">
      <w:pPr>
        <w:rPr>
          <w:noProof/>
          <w:szCs w:val="22"/>
        </w:rPr>
      </w:pPr>
    </w:p>
    <w:p w:rsidR="000D11D2" w:rsidRPr="00B336DF" w:rsidRDefault="000D11D2" w:rsidP="008B3FF2">
      <w:pPr>
        <w:pStyle w:val="a7"/>
        <w:numPr>
          <w:ilvl w:val="0"/>
          <w:numId w:val="6"/>
        </w:numPr>
        <w:ind w:left="426" w:hanging="426"/>
        <w:rPr>
          <w:noProof/>
          <w:szCs w:val="22"/>
        </w:rPr>
      </w:pPr>
      <w:r w:rsidRPr="00B336DF">
        <w:rPr>
          <w:noProof/>
          <w:szCs w:val="22"/>
        </w:rPr>
        <w:t xml:space="preserve">Φακίδες και </w:t>
      </w:r>
      <w:r w:rsidR="00E72D8A">
        <w:rPr>
          <w:noProof/>
          <w:szCs w:val="22"/>
        </w:rPr>
        <w:t>καφέ</w:t>
      </w:r>
      <w:r w:rsidR="00E72D8A" w:rsidRPr="00B336DF">
        <w:rPr>
          <w:noProof/>
          <w:szCs w:val="22"/>
        </w:rPr>
        <w:t xml:space="preserve"> </w:t>
      </w:r>
      <w:r w:rsidRPr="00B336DF">
        <w:rPr>
          <w:noProof/>
          <w:szCs w:val="22"/>
        </w:rPr>
        <w:t>κηλίδες</w:t>
      </w:r>
    </w:p>
    <w:p w:rsidR="000C6440" w:rsidRPr="00B336DF" w:rsidRDefault="000C6440" w:rsidP="000C6440">
      <w:pPr>
        <w:rPr>
          <w:noProof/>
          <w:szCs w:val="22"/>
        </w:rPr>
      </w:pPr>
    </w:p>
    <w:p w:rsidR="000C6440" w:rsidRPr="00B336DF" w:rsidRDefault="000C6440" w:rsidP="000C6440">
      <w:pPr>
        <w:rPr>
          <w:noProof/>
          <w:szCs w:val="22"/>
        </w:rPr>
      </w:pPr>
      <w:r w:rsidRPr="00B336DF">
        <w:rPr>
          <w:noProof/>
          <w:szCs w:val="22"/>
        </w:rPr>
        <w:t>Άλλες σημαντικές ανεπιθύμητες ενέργειες των οποίων η συχνότητα δεν είναι γνωστή, αλλά θα πρέπει</w:t>
      </w:r>
    </w:p>
    <w:p w:rsidR="000C6440" w:rsidRPr="00B336DF" w:rsidRDefault="000C6440" w:rsidP="000C6440">
      <w:pPr>
        <w:rPr>
          <w:noProof/>
          <w:szCs w:val="22"/>
        </w:rPr>
      </w:pPr>
      <w:r w:rsidRPr="00B336DF">
        <w:rPr>
          <w:noProof/>
          <w:szCs w:val="22"/>
        </w:rPr>
        <w:t>να αναφερθούν άμεσα στον ιατρό σας:</w:t>
      </w:r>
    </w:p>
    <w:p w:rsidR="000C6440" w:rsidRPr="00B336DF" w:rsidRDefault="000C6440" w:rsidP="000875D3">
      <w:pPr>
        <w:rPr>
          <w:b/>
          <w:noProof/>
          <w:szCs w:val="22"/>
        </w:rPr>
      </w:pPr>
    </w:p>
    <w:p w:rsidR="000C6440" w:rsidRPr="00B336DF" w:rsidRDefault="000C6440" w:rsidP="000C6440">
      <w:pPr>
        <w:pStyle w:val="a7"/>
        <w:numPr>
          <w:ilvl w:val="0"/>
          <w:numId w:val="7"/>
        </w:numPr>
        <w:ind w:left="426" w:hanging="426"/>
        <w:rPr>
          <w:noProof/>
          <w:szCs w:val="22"/>
        </w:rPr>
      </w:pPr>
      <w:r w:rsidRPr="00B336DF">
        <w:rPr>
          <w:noProof/>
          <w:szCs w:val="22"/>
        </w:rPr>
        <w:t>Καρκίνος του δέρματος</w:t>
      </w:r>
    </w:p>
    <w:p w:rsidR="000C6440" w:rsidRPr="00B336DF" w:rsidRDefault="000C6440" w:rsidP="000C6440">
      <w:pPr>
        <w:pStyle w:val="a7"/>
        <w:numPr>
          <w:ilvl w:val="0"/>
          <w:numId w:val="7"/>
        </w:numPr>
        <w:ind w:left="426" w:hanging="426"/>
        <w:rPr>
          <w:noProof/>
          <w:szCs w:val="22"/>
        </w:rPr>
      </w:pPr>
      <w:r w:rsidRPr="00B336DF">
        <w:rPr>
          <w:noProof/>
          <w:szCs w:val="22"/>
        </w:rPr>
        <w:t>Φλεγμονή των ιστών που περιβάλλουν το οστό</w:t>
      </w:r>
    </w:p>
    <w:p w:rsidR="000C6440" w:rsidRPr="00B336DF" w:rsidRDefault="000C6440" w:rsidP="000C6440">
      <w:pPr>
        <w:pStyle w:val="a7"/>
        <w:numPr>
          <w:ilvl w:val="0"/>
          <w:numId w:val="7"/>
        </w:numPr>
        <w:ind w:left="426" w:hanging="426"/>
        <w:rPr>
          <w:noProof/>
          <w:szCs w:val="22"/>
        </w:rPr>
      </w:pPr>
      <w:r w:rsidRPr="00B336DF">
        <w:rPr>
          <w:noProof/>
          <w:szCs w:val="22"/>
        </w:rPr>
        <w:t>Ερυθρές, φολιδώδεις βλάβες ή δακτυλιοειδείς βλάβες του δέρματος οι οποίες μπορεί να αποτελούν σύμπτωμα μιας αυτοάνοσης πάθησης που ονομάζεται δερματικός ερυθηματώδης λύκος</w:t>
      </w:r>
    </w:p>
    <w:p w:rsidR="000C6440" w:rsidRPr="00B336DF" w:rsidRDefault="000C6440" w:rsidP="000C6440">
      <w:pPr>
        <w:rPr>
          <w:b/>
          <w:noProof/>
          <w:szCs w:val="22"/>
        </w:rPr>
      </w:pPr>
    </w:p>
    <w:p w:rsidR="000C6440" w:rsidRPr="00B336DF" w:rsidRDefault="000C6440" w:rsidP="000C6440">
      <w:pPr>
        <w:rPr>
          <w:noProof/>
          <w:szCs w:val="22"/>
        </w:rPr>
      </w:pPr>
      <w:r w:rsidRPr="00B336DF">
        <w:rPr>
          <w:noProof/>
          <w:szCs w:val="22"/>
        </w:rPr>
        <w:t xml:space="preserve">Αντιδράσεις κατά τη διάρκεια της έγχυσης έχουν συμβεί σπάνια με το </w:t>
      </w:r>
      <w:r w:rsidR="00983777" w:rsidRPr="00B336DF">
        <w:rPr>
          <w:noProof/>
          <w:szCs w:val="22"/>
        </w:rPr>
        <w:t>V</w:t>
      </w:r>
      <w:r w:rsidR="000D11D2" w:rsidRPr="00B336DF">
        <w:rPr>
          <w:noProof/>
          <w:szCs w:val="22"/>
        </w:rPr>
        <w:t>oriconazole</w:t>
      </w:r>
      <w:r w:rsidR="00983777" w:rsidRPr="00B336DF">
        <w:rPr>
          <w:noProof/>
          <w:szCs w:val="22"/>
        </w:rPr>
        <w:t xml:space="preserve"> BRADEX</w:t>
      </w:r>
      <w:r w:rsidRPr="00B336DF">
        <w:rPr>
          <w:noProof/>
          <w:szCs w:val="22"/>
        </w:rPr>
        <w:t xml:space="preserve"> (που συμπεριλαμβάνουν έξαψη, πυρετό, εφίδρωση, αυξημένο καρδιακό ρυθμό και δυσκολία στην</w:t>
      </w:r>
    </w:p>
    <w:p w:rsidR="000C6440" w:rsidRPr="00B336DF" w:rsidRDefault="000C6440" w:rsidP="000C6440">
      <w:pPr>
        <w:rPr>
          <w:noProof/>
          <w:szCs w:val="22"/>
        </w:rPr>
      </w:pPr>
      <w:r w:rsidRPr="00B336DF">
        <w:rPr>
          <w:noProof/>
          <w:szCs w:val="22"/>
        </w:rPr>
        <w:t xml:space="preserve">αναπνοή). Ο γιατρός σας μπορεί να διακόψει την έγχυση του </w:t>
      </w:r>
      <w:r w:rsidR="00983777" w:rsidRPr="00B336DF">
        <w:rPr>
          <w:noProof/>
          <w:szCs w:val="22"/>
        </w:rPr>
        <w:t>V</w:t>
      </w:r>
      <w:r w:rsidR="000D11D2" w:rsidRPr="00B336DF">
        <w:rPr>
          <w:noProof/>
          <w:szCs w:val="22"/>
        </w:rPr>
        <w:t>oriconazole</w:t>
      </w:r>
      <w:r w:rsidR="00983777" w:rsidRPr="00B336DF">
        <w:rPr>
          <w:noProof/>
          <w:szCs w:val="22"/>
        </w:rPr>
        <w:t xml:space="preserve"> BRADEX</w:t>
      </w:r>
      <w:r w:rsidRPr="00B336DF">
        <w:rPr>
          <w:noProof/>
          <w:szCs w:val="22"/>
        </w:rPr>
        <w:t xml:space="preserve"> εάν αυτό συμβεί.</w:t>
      </w:r>
    </w:p>
    <w:p w:rsidR="000C6440" w:rsidRPr="00B336DF" w:rsidRDefault="000C6440" w:rsidP="000C6440">
      <w:pPr>
        <w:rPr>
          <w:noProof/>
          <w:szCs w:val="22"/>
        </w:rPr>
      </w:pPr>
    </w:p>
    <w:p w:rsidR="000C6440" w:rsidRPr="00B336DF" w:rsidRDefault="000C6440" w:rsidP="000C6440">
      <w:pPr>
        <w:rPr>
          <w:noProof/>
          <w:szCs w:val="22"/>
        </w:rPr>
      </w:pPr>
      <w:r w:rsidRPr="00B336DF">
        <w:rPr>
          <w:noProof/>
          <w:szCs w:val="22"/>
        </w:rPr>
        <w:t xml:space="preserve">Επειδή είναι γνωστό ότι το </w:t>
      </w:r>
      <w:r w:rsidR="00983777" w:rsidRPr="00B336DF">
        <w:rPr>
          <w:noProof/>
          <w:szCs w:val="22"/>
        </w:rPr>
        <w:t>V</w:t>
      </w:r>
      <w:r w:rsidR="000D11D2" w:rsidRPr="00B336DF">
        <w:rPr>
          <w:noProof/>
          <w:szCs w:val="22"/>
        </w:rPr>
        <w:t>oriconazole</w:t>
      </w:r>
      <w:r w:rsidR="00983777" w:rsidRPr="00B336DF">
        <w:rPr>
          <w:noProof/>
          <w:szCs w:val="22"/>
        </w:rPr>
        <w:t xml:space="preserve"> BRADEX</w:t>
      </w:r>
      <w:r w:rsidRPr="00B336DF">
        <w:rPr>
          <w:noProof/>
          <w:szCs w:val="22"/>
        </w:rPr>
        <w:t xml:space="preserve"> επηρεάζει το ήπαρ και τα νεφρά, ο γιατρός σας πρέπει να</w:t>
      </w:r>
      <w:r w:rsidR="000D11D2" w:rsidRPr="00B336DF">
        <w:rPr>
          <w:noProof/>
          <w:szCs w:val="22"/>
        </w:rPr>
        <w:t xml:space="preserve"> </w:t>
      </w:r>
      <w:r w:rsidRPr="00B336DF">
        <w:rPr>
          <w:noProof/>
          <w:szCs w:val="22"/>
        </w:rPr>
        <w:t>παρακολουθεί την ηπατική και τη νεφρική σας λειτουργία με εξετάσεις αίματος. Παρακαλείσθε να ενημερώσετε τον γιατρό σας εάν έχετε κάποιο πόνο στο στομάχι, ή εάν οι κενώσεις σας έχουν</w:t>
      </w:r>
      <w:r w:rsidR="000D11D2" w:rsidRPr="00B336DF">
        <w:rPr>
          <w:noProof/>
          <w:szCs w:val="22"/>
        </w:rPr>
        <w:t xml:space="preserve"> </w:t>
      </w:r>
      <w:r w:rsidRPr="00B336DF">
        <w:rPr>
          <w:noProof/>
          <w:szCs w:val="22"/>
        </w:rPr>
        <w:t>διαφορετική σύσταση.</w:t>
      </w:r>
    </w:p>
    <w:p w:rsidR="00A526F7" w:rsidRPr="00B336DF" w:rsidRDefault="00A526F7" w:rsidP="000C6440">
      <w:pPr>
        <w:rPr>
          <w:noProof/>
          <w:szCs w:val="22"/>
        </w:rPr>
      </w:pPr>
    </w:p>
    <w:p w:rsidR="000C6440" w:rsidRPr="00B336DF" w:rsidRDefault="000C6440" w:rsidP="000C6440">
      <w:pPr>
        <w:rPr>
          <w:noProof/>
          <w:szCs w:val="22"/>
        </w:rPr>
      </w:pPr>
      <w:r w:rsidRPr="00B336DF">
        <w:rPr>
          <w:noProof/>
          <w:szCs w:val="22"/>
        </w:rPr>
        <w:t xml:space="preserve">Έχουν υπάρξει αναφορές καρκίνου του δέρματος σε ασθενείς που λάμβαναν αγωγή με </w:t>
      </w:r>
      <w:r w:rsidR="00983777" w:rsidRPr="00B336DF">
        <w:rPr>
          <w:noProof/>
          <w:szCs w:val="22"/>
        </w:rPr>
        <w:t>V</w:t>
      </w:r>
      <w:r w:rsidR="000D11D2" w:rsidRPr="00B336DF">
        <w:rPr>
          <w:noProof/>
          <w:szCs w:val="22"/>
        </w:rPr>
        <w:t>oriconazole</w:t>
      </w:r>
      <w:r w:rsidR="00983777" w:rsidRPr="00B336DF">
        <w:rPr>
          <w:noProof/>
          <w:szCs w:val="22"/>
        </w:rPr>
        <w:t xml:space="preserve"> BRADEX</w:t>
      </w:r>
      <w:r w:rsidRPr="00B336DF">
        <w:rPr>
          <w:noProof/>
          <w:szCs w:val="22"/>
        </w:rPr>
        <w:t xml:space="preserve"> για</w:t>
      </w:r>
      <w:r w:rsidR="000D11D2" w:rsidRPr="00B336DF">
        <w:rPr>
          <w:noProof/>
          <w:szCs w:val="22"/>
        </w:rPr>
        <w:t xml:space="preserve"> </w:t>
      </w:r>
      <w:r w:rsidRPr="00B336DF">
        <w:rPr>
          <w:noProof/>
          <w:szCs w:val="22"/>
        </w:rPr>
        <w:t>μεγάλες χρονικές περιόδους.</w:t>
      </w:r>
    </w:p>
    <w:p w:rsidR="00A526F7" w:rsidRPr="00B336DF" w:rsidRDefault="00A526F7" w:rsidP="000C6440">
      <w:pPr>
        <w:rPr>
          <w:noProof/>
          <w:szCs w:val="22"/>
        </w:rPr>
      </w:pPr>
    </w:p>
    <w:p w:rsidR="000C6440" w:rsidRPr="00B336DF" w:rsidRDefault="000C6440" w:rsidP="000C6440">
      <w:pPr>
        <w:rPr>
          <w:noProof/>
          <w:szCs w:val="22"/>
        </w:rPr>
      </w:pPr>
      <w:r w:rsidRPr="00B336DF">
        <w:rPr>
          <w:noProof/>
          <w:szCs w:val="22"/>
        </w:rPr>
        <w:lastRenderedPageBreak/>
        <w:t>Το ηλιακό έγκαυμα ή η σοβαρή δερματική αντίδραση μετά από έκθεση σε φως ή στον ήλιο</w:t>
      </w:r>
    </w:p>
    <w:p w:rsidR="000C6440" w:rsidRPr="00B336DF" w:rsidRDefault="000C6440" w:rsidP="000C6440">
      <w:pPr>
        <w:rPr>
          <w:noProof/>
          <w:szCs w:val="22"/>
        </w:rPr>
      </w:pPr>
      <w:r w:rsidRPr="00B336DF">
        <w:rPr>
          <w:noProof/>
          <w:szCs w:val="22"/>
        </w:rPr>
        <w:t>παρουσιάστηκε πιο συχνά σε παιδιά. Εάν εσείς ή το παιδί σας αναπτύξετε διαταραχές του δέρματος, ο</w:t>
      </w:r>
    </w:p>
    <w:p w:rsidR="000C6440" w:rsidRPr="00B336DF" w:rsidRDefault="000C6440" w:rsidP="000C6440">
      <w:pPr>
        <w:rPr>
          <w:noProof/>
          <w:szCs w:val="22"/>
        </w:rPr>
      </w:pPr>
      <w:r w:rsidRPr="00B336DF">
        <w:rPr>
          <w:noProof/>
          <w:szCs w:val="22"/>
        </w:rPr>
        <w:t>γιατρός σας μπορεί να σας παραπέμψει σε δερματολόγο, ο οποίος μετά από συζήτηση μπορεί να</w:t>
      </w:r>
    </w:p>
    <w:p w:rsidR="000C6440" w:rsidRPr="00B336DF" w:rsidRDefault="000C6440" w:rsidP="000C6440">
      <w:pPr>
        <w:rPr>
          <w:noProof/>
          <w:szCs w:val="22"/>
        </w:rPr>
      </w:pPr>
      <w:r w:rsidRPr="00B336DF">
        <w:rPr>
          <w:noProof/>
          <w:szCs w:val="22"/>
        </w:rPr>
        <w:t>αποφασίσει ότι είναι σημαντικό να παρακολουθείστε τακτικά εσείς ή το παιδί σας.</w:t>
      </w:r>
    </w:p>
    <w:p w:rsidR="00EA3944" w:rsidRPr="00B336DF" w:rsidRDefault="00EA3944" w:rsidP="00EA3944">
      <w:pPr>
        <w:rPr>
          <w:noProof/>
          <w:szCs w:val="22"/>
        </w:rPr>
      </w:pPr>
      <w:r w:rsidRPr="00B336DF">
        <w:rPr>
          <w:noProof/>
          <w:szCs w:val="22"/>
        </w:rPr>
        <w:t>Αύξηση των ηπατικών ενζύμων παρατηρήθηκε επίσης συχνότερα σε παιδιά.</w:t>
      </w:r>
    </w:p>
    <w:p w:rsidR="000C6440" w:rsidRPr="00B336DF" w:rsidRDefault="000C6440" w:rsidP="00EA3944">
      <w:pPr>
        <w:rPr>
          <w:noProof/>
          <w:szCs w:val="22"/>
        </w:rPr>
      </w:pPr>
      <w:r w:rsidRPr="00B336DF">
        <w:rPr>
          <w:noProof/>
          <w:szCs w:val="22"/>
        </w:rPr>
        <w:t>Εάν κάποια από αυτές τις ανεπιθύμητες ενέργειες επιμένει ή σας προκαλεί πρόβλημα, παρακαλείσθε</w:t>
      </w:r>
    </w:p>
    <w:p w:rsidR="000C6440" w:rsidRPr="00B336DF" w:rsidRDefault="000C6440" w:rsidP="000C6440">
      <w:pPr>
        <w:rPr>
          <w:noProof/>
          <w:szCs w:val="22"/>
        </w:rPr>
      </w:pPr>
      <w:r w:rsidRPr="00B336DF">
        <w:rPr>
          <w:noProof/>
          <w:szCs w:val="22"/>
        </w:rPr>
        <w:t>να ενημερώσετε τον γιατρό σας.</w:t>
      </w:r>
    </w:p>
    <w:p w:rsidR="000C6440" w:rsidRPr="00B336DF" w:rsidRDefault="000C6440" w:rsidP="000875D3">
      <w:pPr>
        <w:rPr>
          <w:noProof/>
          <w:szCs w:val="22"/>
        </w:rPr>
      </w:pPr>
    </w:p>
    <w:p w:rsidR="000875D3" w:rsidRPr="00B336DF" w:rsidRDefault="000875D3" w:rsidP="000875D3">
      <w:pPr>
        <w:rPr>
          <w:b/>
          <w:noProof/>
          <w:szCs w:val="22"/>
        </w:rPr>
      </w:pPr>
      <w:r w:rsidRPr="00B336DF">
        <w:rPr>
          <w:b/>
          <w:noProof/>
          <w:szCs w:val="22"/>
        </w:rPr>
        <w:t>Αναφορά ανεπιθύμητων ενεργειών</w:t>
      </w:r>
    </w:p>
    <w:p w:rsidR="008E71E9" w:rsidRPr="00B336DF" w:rsidRDefault="000875D3" w:rsidP="000875D3">
      <w:pPr>
        <w:rPr>
          <w:szCs w:val="22"/>
        </w:rPr>
      </w:pPr>
      <w:r w:rsidRPr="00B336DF">
        <w:rPr>
          <w:szCs w:val="22"/>
        </w:rPr>
        <w:t>Εάν παρατηρήσετε κάποια ανεπιθύμητη ενέργεια, ενημερώστε τον γιατρό</w:t>
      </w:r>
      <w:r w:rsidR="008E71E9" w:rsidRPr="00B336DF">
        <w:rPr>
          <w:szCs w:val="22"/>
        </w:rPr>
        <w:t xml:space="preserve"> </w:t>
      </w:r>
      <w:r w:rsidRPr="00B336DF">
        <w:rPr>
          <w:szCs w:val="22"/>
        </w:rPr>
        <w:t>ή</w:t>
      </w:r>
      <w:r w:rsidR="008E71E9" w:rsidRPr="00B336DF">
        <w:rPr>
          <w:szCs w:val="22"/>
        </w:rPr>
        <w:t xml:space="preserve"> </w:t>
      </w:r>
      <w:r w:rsidRPr="00B336DF">
        <w:rPr>
          <w:szCs w:val="22"/>
        </w:rPr>
        <w:t>τον φαρμακοποιό</w:t>
      </w:r>
      <w:r w:rsidR="008E71E9" w:rsidRPr="00B336DF">
        <w:rPr>
          <w:szCs w:val="22"/>
        </w:rPr>
        <w:t xml:space="preserve"> </w:t>
      </w:r>
      <w:r w:rsidRPr="00B336DF">
        <w:rPr>
          <w:szCs w:val="22"/>
        </w:rPr>
        <w:t>σας. Αυτό ισχύει και για κάθε πιθανή ανεπιθύμητη ενέργεια που δεν αναφέρεται στο παρόν φύλλο οδηγιών χρήσης.</w:t>
      </w:r>
      <w:r w:rsidRPr="00B336DF">
        <w:rPr>
          <w:noProof/>
          <w:szCs w:val="22"/>
        </w:rPr>
        <w:t xml:space="preserve"> </w:t>
      </w:r>
      <w:r w:rsidRPr="00B336DF">
        <w:rPr>
          <w:szCs w:val="22"/>
        </w:rPr>
        <w:t>Μπορείτε επίσης να αναφέρετε ανεπιθύμητες ενέργειες</w:t>
      </w:r>
      <w:r w:rsidRPr="00B336DF">
        <w:rPr>
          <w:noProof/>
          <w:szCs w:val="22"/>
        </w:rPr>
        <w:t xml:space="preserve"> </w:t>
      </w:r>
      <w:r w:rsidRPr="00B336DF">
        <w:rPr>
          <w:szCs w:val="22"/>
        </w:rPr>
        <w:t>απευθείας</w:t>
      </w:r>
      <w:r w:rsidRPr="00B336DF">
        <w:rPr>
          <w:noProof/>
          <w:szCs w:val="22"/>
        </w:rPr>
        <w:t xml:space="preserve">, μέσω </w:t>
      </w:r>
      <w:r w:rsidR="008E71E9" w:rsidRPr="00B336DF">
        <w:rPr>
          <w:szCs w:val="22"/>
        </w:rPr>
        <w:t xml:space="preserve">μέσω του Εθνικού Οργανισμού Φαρμάκων, Μεσογείων 284 ΤΚ 15562 Χολαργός, Αθήνα, Τηλ: + 30 21 32040380/337, Φαξ: + 30 21 06549585, Ιστότοπος: </w:t>
      </w:r>
      <w:hyperlink r:id="rId9" w:history="1">
        <w:r w:rsidR="008E71E9" w:rsidRPr="00B336DF">
          <w:rPr>
            <w:rStyle w:val="-"/>
            <w:szCs w:val="22"/>
          </w:rPr>
          <w:t>http://www.eof.gr</w:t>
        </w:r>
      </w:hyperlink>
      <w:r w:rsidRPr="00B336DF">
        <w:rPr>
          <w:noProof/>
          <w:szCs w:val="22"/>
        </w:rPr>
        <w:t>.</w:t>
      </w:r>
    </w:p>
    <w:p w:rsidR="000875D3" w:rsidRPr="00B336DF" w:rsidRDefault="000875D3" w:rsidP="000875D3">
      <w:pPr>
        <w:rPr>
          <w:noProof/>
          <w:szCs w:val="22"/>
        </w:rPr>
      </w:pPr>
      <w:r w:rsidRPr="00B336DF">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B336DF">
        <w:rPr>
          <w:noProof/>
          <w:szCs w:val="22"/>
        </w:rPr>
        <w:t>.</w:t>
      </w:r>
    </w:p>
    <w:p w:rsidR="000875D3" w:rsidRPr="00B336DF" w:rsidRDefault="000875D3" w:rsidP="000875D3">
      <w:pPr>
        <w:rPr>
          <w:noProof/>
          <w:szCs w:val="22"/>
        </w:rPr>
      </w:pPr>
    </w:p>
    <w:p w:rsidR="000875D3" w:rsidRPr="00B336DF" w:rsidRDefault="000875D3" w:rsidP="000875D3">
      <w:pPr>
        <w:rPr>
          <w:b/>
          <w:noProof/>
          <w:szCs w:val="22"/>
        </w:rPr>
      </w:pPr>
    </w:p>
    <w:p w:rsidR="000875D3" w:rsidRPr="00B336DF" w:rsidRDefault="000875D3" w:rsidP="000875D3">
      <w:pPr>
        <w:rPr>
          <w:noProof/>
          <w:szCs w:val="22"/>
        </w:rPr>
      </w:pPr>
      <w:r w:rsidRPr="00B336DF">
        <w:rPr>
          <w:b/>
          <w:noProof/>
          <w:szCs w:val="22"/>
        </w:rPr>
        <w:t>5.</w:t>
      </w:r>
      <w:r w:rsidRPr="00B336DF">
        <w:rPr>
          <w:b/>
          <w:noProof/>
          <w:szCs w:val="22"/>
        </w:rPr>
        <w:tab/>
        <w:t>Πώς</w:t>
      </w:r>
      <w:r w:rsidRPr="00B336DF">
        <w:rPr>
          <w:b/>
          <w:szCs w:val="22"/>
        </w:rPr>
        <w:t xml:space="preserve"> να </w:t>
      </w:r>
      <w:r w:rsidR="00A526F7" w:rsidRPr="00B336DF">
        <w:rPr>
          <w:b/>
          <w:noProof/>
          <w:szCs w:val="22"/>
        </w:rPr>
        <w:t xml:space="preserve">φυλάσσετε το </w:t>
      </w:r>
      <w:r w:rsidR="00983777" w:rsidRPr="00B336DF">
        <w:rPr>
          <w:b/>
          <w:noProof/>
          <w:szCs w:val="22"/>
        </w:rPr>
        <w:t>V</w:t>
      </w:r>
      <w:r w:rsidR="00EA3944" w:rsidRPr="00B336DF">
        <w:rPr>
          <w:b/>
          <w:noProof/>
          <w:szCs w:val="22"/>
        </w:rPr>
        <w:t>oriconazole</w:t>
      </w:r>
      <w:r w:rsidR="00983777" w:rsidRPr="00B336DF">
        <w:rPr>
          <w:b/>
          <w:noProof/>
          <w:szCs w:val="22"/>
        </w:rPr>
        <w:t xml:space="preserve"> BRADEX</w:t>
      </w:r>
    </w:p>
    <w:p w:rsidR="000875D3" w:rsidRPr="00B336DF" w:rsidRDefault="000875D3" w:rsidP="000875D3">
      <w:pPr>
        <w:rPr>
          <w:szCs w:val="22"/>
        </w:rPr>
      </w:pPr>
    </w:p>
    <w:p w:rsidR="00A526F7" w:rsidRPr="00B336DF" w:rsidRDefault="00A526F7" w:rsidP="00A526F7">
      <w:pPr>
        <w:rPr>
          <w:color w:val="000000" w:themeColor="text1"/>
          <w:szCs w:val="22"/>
        </w:rPr>
      </w:pPr>
      <w:r w:rsidRPr="00B336DF">
        <w:rPr>
          <w:color w:val="000000" w:themeColor="text1"/>
          <w:szCs w:val="22"/>
        </w:rPr>
        <w:t>Το φάρμακο αυτό πρέπει να φυλάσσεται σε μέρη που δεν το βλέπουν και δεν το φθάνουν τα παιδιά.</w:t>
      </w:r>
    </w:p>
    <w:p w:rsidR="00A526F7" w:rsidRPr="00B336DF" w:rsidRDefault="00A526F7" w:rsidP="00A526F7">
      <w:pPr>
        <w:rPr>
          <w:color w:val="000000" w:themeColor="text1"/>
          <w:szCs w:val="22"/>
        </w:rPr>
      </w:pPr>
    </w:p>
    <w:p w:rsidR="00A526F7" w:rsidRPr="00B336DF" w:rsidRDefault="00A526F7" w:rsidP="00A526F7">
      <w:pPr>
        <w:rPr>
          <w:color w:val="000000" w:themeColor="text1"/>
          <w:szCs w:val="22"/>
        </w:rPr>
      </w:pPr>
      <w:r w:rsidRPr="00B336DF">
        <w:rPr>
          <w:color w:val="000000" w:themeColor="text1"/>
          <w:szCs w:val="22"/>
        </w:rPr>
        <w:t>Να μη χρησιμοποιείτε αυτό το φάρμακο μετά την ημερομηνία λήξης που αναφέρεται στην</w:t>
      </w:r>
    </w:p>
    <w:p w:rsidR="00A526F7" w:rsidRPr="00B336DF" w:rsidRDefault="00A526F7" w:rsidP="00A526F7">
      <w:pPr>
        <w:rPr>
          <w:color w:val="000000" w:themeColor="text1"/>
          <w:szCs w:val="22"/>
        </w:rPr>
      </w:pPr>
      <w:r w:rsidRPr="00B336DF">
        <w:rPr>
          <w:color w:val="000000" w:themeColor="text1"/>
          <w:szCs w:val="22"/>
        </w:rPr>
        <w:t>επισήμανση. Η ημερομηνία λήξης είναι η τελευταία ημέρα του μήνα που αναφέρεται εκεί.</w:t>
      </w:r>
    </w:p>
    <w:p w:rsidR="00A526F7" w:rsidRPr="00B336DF" w:rsidRDefault="00A526F7" w:rsidP="00A526F7">
      <w:pPr>
        <w:rPr>
          <w:color w:val="000000" w:themeColor="text1"/>
          <w:szCs w:val="22"/>
        </w:rPr>
      </w:pPr>
    </w:p>
    <w:p w:rsidR="00A526F7" w:rsidRPr="00B336DF" w:rsidRDefault="00A526F7" w:rsidP="00A526F7">
      <w:pPr>
        <w:rPr>
          <w:color w:val="000000" w:themeColor="text1"/>
          <w:szCs w:val="22"/>
        </w:rPr>
      </w:pPr>
      <w:r w:rsidRPr="00B336DF">
        <w:rPr>
          <w:color w:val="000000" w:themeColor="text1"/>
          <w:szCs w:val="22"/>
        </w:rPr>
        <w:t xml:space="preserve">Εφόσον ανασυσταθεί το </w:t>
      </w:r>
      <w:r w:rsidR="00983777" w:rsidRPr="00B336DF">
        <w:rPr>
          <w:color w:val="000000" w:themeColor="text1"/>
          <w:szCs w:val="22"/>
        </w:rPr>
        <w:t>V</w:t>
      </w:r>
      <w:r w:rsidR="000D11D2" w:rsidRPr="00B336DF">
        <w:rPr>
          <w:color w:val="000000" w:themeColor="text1"/>
          <w:szCs w:val="22"/>
        </w:rPr>
        <w:t>oriconazole</w:t>
      </w:r>
      <w:r w:rsidR="00983777" w:rsidRPr="00B336DF">
        <w:rPr>
          <w:color w:val="000000" w:themeColor="text1"/>
          <w:szCs w:val="22"/>
        </w:rPr>
        <w:t xml:space="preserve"> BRADEX</w:t>
      </w:r>
      <w:r w:rsidRPr="00B336DF">
        <w:rPr>
          <w:color w:val="000000" w:themeColor="text1"/>
          <w:szCs w:val="22"/>
        </w:rPr>
        <w:t xml:space="preserve"> πρέπει να χρησιμοποιείται αμέσως, αλλά εάν είναι απαραίτητο,</w:t>
      </w:r>
      <w:r w:rsidR="000D11D2" w:rsidRPr="00B336DF">
        <w:rPr>
          <w:color w:val="000000" w:themeColor="text1"/>
          <w:szCs w:val="22"/>
        </w:rPr>
        <w:t xml:space="preserve"> </w:t>
      </w:r>
      <w:r w:rsidRPr="00B336DF">
        <w:rPr>
          <w:color w:val="000000" w:themeColor="text1"/>
          <w:szCs w:val="22"/>
        </w:rPr>
        <w:t>μπορεί να φυλάσσεται για έως και 24 ώρες στους 2</w:t>
      </w:r>
      <w:r w:rsidRPr="00B336DF">
        <w:rPr>
          <w:color w:val="000000" w:themeColor="text1"/>
          <w:szCs w:val="22"/>
          <w:vertAlign w:val="superscript"/>
        </w:rPr>
        <w:t>o</w:t>
      </w:r>
      <w:r w:rsidRPr="00B336DF">
        <w:rPr>
          <w:color w:val="000000" w:themeColor="text1"/>
          <w:szCs w:val="22"/>
        </w:rPr>
        <w:t>C – 8</w:t>
      </w:r>
      <w:r w:rsidRPr="00B336DF">
        <w:rPr>
          <w:color w:val="000000" w:themeColor="text1"/>
          <w:szCs w:val="22"/>
          <w:vertAlign w:val="superscript"/>
        </w:rPr>
        <w:t>ο</w:t>
      </w:r>
      <w:r w:rsidRPr="00B336DF">
        <w:rPr>
          <w:color w:val="000000" w:themeColor="text1"/>
          <w:szCs w:val="22"/>
        </w:rPr>
        <w:t xml:space="preserve">C (στο ψυγείο). Το </w:t>
      </w:r>
      <w:r w:rsidR="000D11D2" w:rsidRPr="00B336DF">
        <w:rPr>
          <w:color w:val="000000" w:themeColor="text1"/>
          <w:szCs w:val="22"/>
        </w:rPr>
        <w:t xml:space="preserve"> α</w:t>
      </w:r>
      <w:r w:rsidRPr="00B336DF">
        <w:rPr>
          <w:color w:val="000000" w:themeColor="text1"/>
          <w:szCs w:val="22"/>
        </w:rPr>
        <w:t xml:space="preserve">νασυσταθέν </w:t>
      </w:r>
      <w:r w:rsidR="00983777" w:rsidRPr="00B336DF">
        <w:rPr>
          <w:color w:val="000000" w:themeColor="text1"/>
          <w:szCs w:val="22"/>
        </w:rPr>
        <w:t>V</w:t>
      </w:r>
      <w:r w:rsidR="000D11D2" w:rsidRPr="00B336DF">
        <w:rPr>
          <w:color w:val="000000" w:themeColor="text1"/>
          <w:szCs w:val="22"/>
        </w:rPr>
        <w:t>oriconazole</w:t>
      </w:r>
      <w:r w:rsidR="00983777" w:rsidRPr="00B336DF">
        <w:rPr>
          <w:color w:val="000000" w:themeColor="text1"/>
          <w:szCs w:val="22"/>
        </w:rPr>
        <w:t xml:space="preserve"> BRADEX</w:t>
      </w:r>
      <w:r w:rsidR="000D11D2" w:rsidRPr="00B336DF">
        <w:rPr>
          <w:color w:val="000000" w:themeColor="text1"/>
          <w:szCs w:val="22"/>
        </w:rPr>
        <w:t xml:space="preserve"> </w:t>
      </w:r>
      <w:r w:rsidRPr="00B336DF">
        <w:rPr>
          <w:color w:val="000000" w:themeColor="text1"/>
          <w:szCs w:val="22"/>
        </w:rPr>
        <w:t>χρειάζεται να αραιωθεί πρώτα με κάποιο συμβατό διάλυμα έγχυσης πριν εγχυθεί. (Παρακαλείσθε να</w:t>
      </w:r>
      <w:r w:rsidR="000D11D2" w:rsidRPr="00B336DF">
        <w:rPr>
          <w:color w:val="000000" w:themeColor="text1"/>
          <w:szCs w:val="22"/>
        </w:rPr>
        <w:t xml:space="preserve"> </w:t>
      </w:r>
      <w:r w:rsidRPr="00B336DF">
        <w:rPr>
          <w:color w:val="000000" w:themeColor="text1"/>
          <w:szCs w:val="22"/>
        </w:rPr>
        <w:t>ανατρέξετε στο τέλος του παρόντος φύλλου οδηγιών για περισσότερες πληροφορίες).</w:t>
      </w:r>
    </w:p>
    <w:p w:rsidR="00A526F7" w:rsidRPr="00B336DF" w:rsidRDefault="00A526F7" w:rsidP="00A526F7">
      <w:pPr>
        <w:rPr>
          <w:color w:val="000000" w:themeColor="text1"/>
          <w:szCs w:val="22"/>
        </w:rPr>
      </w:pPr>
    </w:p>
    <w:p w:rsidR="00A526F7" w:rsidRPr="00B336DF" w:rsidRDefault="00A526F7" w:rsidP="00A526F7">
      <w:pPr>
        <w:rPr>
          <w:color w:val="000000" w:themeColor="text1"/>
          <w:szCs w:val="22"/>
        </w:rPr>
      </w:pPr>
      <w:r w:rsidRPr="00B336DF">
        <w:rPr>
          <w:color w:val="000000" w:themeColor="text1"/>
          <w:szCs w:val="22"/>
        </w:rPr>
        <w:t>Μην πετάτε φάρμακα στο νερό της αποχέτευσης ή στα σκουπίδια. Ρωτήστε τον φαρμακοποιό σας για</w:t>
      </w:r>
    </w:p>
    <w:p w:rsidR="00A526F7" w:rsidRPr="00B336DF" w:rsidRDefault="00A526F7" w:rsidP="00A526F7">
      <w:pPr>
        <w:rPr>
          <w:color w:val="000000" w:themeColor="text1"/>
          <w:szCs w:val="22"/>
        </w:rPr>
      </w:pPr>
      <w:r w:rsidRPr="00B336DF">
        <w:rPr>
          <w:color w:val="000000" w:themeColor="text1"/>
          <w:szCs w:val="22"/>
        </w:rPr>
        <w:t>το πώς να πετάξετε τα φάρμακα που δεν σας χρειάζονται πια. Αυτά τα μέτρα θα βοηθήσουν στην</w:t>
      </w:r>
    </w:p>
    <w:p w:rsidR="000875D3" w:rsidRPr="00B336DF" w:rsidRDefault="00A526F7" w:rsidP="00A526F7">
      <w:pPr>
        <w:rPr>
          <w:noProof/>
          <w:color w:val="000000" w:themeColor="text1"/>
          <w:szCs w:val="22"/>
        </w:rPr>
      </w:pPr>
      <w:r w:rsidRPr="00B336DF">
        <w:rPr>
          <w:color w:val="000000" w:themeColor="text1"/>
          <w:szCs w:val="22"/>
        </w:rPr>
        <w:t>προστασία του περιβάλλοντος.</w:t>
      </w:r>
    </w:p>
    <w:p w:rsidR="000875D3" w:rsidRPr="00B336DF" w:rsidRDefault="000875D3" w:rsidP="000875D3">
      <w:pPr>
        <w:rPr>
          <w:noProof/>
          <w:szCs w:val="22"/>
        </w:rPr>
      </w:pPr>
    </w:p>
    <w:p w:rsidR="00A526F7" w:rsidRPr="00B336DF" w:rsidRDefault="00A526F7" w:rsidP="000875D3">
      <w:pPr>
        <w:rPr>
          <w:noProof/>
          <w:szCs w:val="22"/>
        </w:rPr>
      </w:pPr>
    </w:p>
    <w:p w:rsidR="000875D3" w:rsidRPr="00B336DF" w:rsidRDefault="000875D3" w:rsidP="000875D3">
      <w:pPr>
        <w:rPr>
          <w:noProof/>
          <w:szCs w:val="22"/>
        </w:rPr>
      </w:pPr>
      <w:r w:rsidRPr="00B336DF">
        <w:rPr>
          <w:b/>
          <w:noProof/>
          <w:szCs w:val="22"/>
        </w:rPr>
        <w:t>6.</w:t>
      </w:r>
      <w:r w:rsidRPr="00B336DF">
        <w:rPr>
          <w:b/>
          <w:noProof/>
          <w:szCs w:val="22"/>
        </w:rPr>
        <w:tab/>
        <w:t>Περιεχόμενα της συσκευασίας και λοιπές πληροφορίες</w:t>
      </w:r>
    </w:p>
    <w:p w:rsidR="000875D3" w:rsidRPr="00B336DF" w:rsidRDefault="000875D3" w:rsidP="000875D3">
      <w:pPr>
        <w:rPr>
          <w:noProof/>
          <w:szCs w:val="22"/>
        </w:rPr>
      </w:pPr>
    </w:p>
    <w:p w:rsidR="000875D3" w:rsidRPr="00B336DF" w:rsidRDefault="000875D3" w:rsidP="000875D3">
      <w:pPr>
        <w:rPr>
          <w:b/>
          <w:bCs/>
          <w:noProof/>
          <w:szCs w:val="22"/>
        </w:rPr>
      </w:pPr>
      <w:r w:rsidRPr="00B336DF">
        <w:rPr>
          <w:b/>
          <w:bCs/>
          <w:noProof/>
          <w:szCs w:val="22"/>
        </w:rPr>
        <w:t xml:space="preserve">Τι περιέχει το </w:t>
      </w:r>
      <w:r w:rsidR="00983777" w:rsidRPr="00B336DF">
        <w:rPr>
          <w:b/>
          <w:bCs/>
          <w:noProof/>
          <w:szCs w:val="22"/>
        </w:rPr>
        <w:t>V</w:t>
      </w:r>
      <w:r w:rsidR="00EA3944" w:rsidRPr="00B336DF">
        <w:rPr>
          <w:b/>
          <w:bCs/>
          <w:noProof/>
          <w:szCs w:val="22"/>
        </w:rPr>
        <w:t>oriconazole</w:t>
      </w:r>
      <w:r w:rsidR="00983777" w:rsidRPr="00B336DF">
        <w:rPr>
          <w:b/>
          <w:bCs/>
          <w:noProof/>
          <w:szCs w:val="22"/>
        </w:rPr>
        <w:t xml:space="preserve"> BRADEX</w:t>
      </w:r>
    </w:p>
    <w:p w:rsidR="000875D3" w:rsidRPr="00B336DF" w:rsidRDefault="000875D3" w:rsidP="000875D3">
      <w:pPr>
        <w:rPr>
          <w:noProof/>
          <w:szCs w:val="22"/>
        </w:rPr>
      </w:pPr>
    </w:p>
    <w:p w:rsidR="00A526F7" w:rsidRPr="00B336DF" w:rsidRDefault="00A526F7" w:rsidP="00A526F7">
      <w:pPr>
        <w:pStyle w:val="a7"/>
        <w:numPr>
          <w:ilvl w:val="0"/>
          <w:numId w:val="8"/>
        </w:numPr>
        <w:ind w:left="426" w:hanging="426"/>
        <w:rPr>
          <w:noProof/>
          <w:szCs w:val="22"/>
        </w:rPr>
      </w:pPr>
      <w:r w:rsidRPr="00B336DF">
        <w:rPr>
          <w:noProof/>
          <w:szCs w:val="22"/>
        </w:rPr>
        <w:t>Η δραστική ουσία είναι η βορικοναζόλη.</w:t>
      </w:r>
    </w:p>
    <w:p w:rsidR="00A526F7" w:rsidRPr="001B5CDE" w:rsidRDefault="00A526F7" w:rsidP="00A526F7">
      <w:pPr>
        <w:pStyle w:val="a7"/>
        <w:numPr>
          <w:ilvl w:val="0"/>
          <w:numId w:val="8"/>
        </w:numPr>
        <w:ind w:left="426" w:hanging="426"/>
        <w:rPr>
          <w:noProof/>
          <w:szCs w:val="22"/>
        </w:rPr>
      </w:pPr>
      <w:r w:rsidRPr="00B336DF">
        <w:rPr>
          <w:noProof/>
          <w:szCs w:val="22"/>
        </w:rPr>
        <w:t xml:space="preserve">Το άλλο συστατικό είναι η </w:t>
      </w:r>
      <w:r w:rsidRPr="001B5CDE">
        <w:rPr>
          <w:noProof/>
          <w:szCs w:val="22"/>
        </w:rPr>
        <w:t>νατριούχος σουλφοβουτυλο-αιθερο β-κυκλοδεξτρίνη.</w:t>
      </w:r>
    </w:p>
    <w:p w:rsidR="000875D3" w:rsidRPr="00B336DF" w:rsidRDefault="00A526F7" w:rsidP="00A526F7">
      <w:pPr>
        <w:pStyle w:val="a7"/>
        <w:numPr>
          <w:ilvl w:val="0"/>
          <w:numId w:val="8"/>
        </w:numPr>
        <w:ind w:left="426" w:hanging="426"/>
        <w:rPr>
          <w:noProof/>
          <w:szCs w:val="22"/>
        </w:rPr>
      </w:pPr>
      <w:r w:rsidRPr="001B5CDE">
        <w:rPr>
          <w:noProof/>
          <w:szCs w:val="22"/>
        </w:rPr>
        <w:t>Κάθε φιαλίδιο περιέχει 200 mg βορικοναζόλης που ισοδυναμούν με διάλυμα</w:t>
      </w:r>
      <w:r w:rsidRPr="00B336DF">
        <w:rPr>
          <w:noProof/>
          <w:szCs w:val="22"/>
        </w:rPr>
        <w:t xml:space="preserve"> των 10 mg/ml, όταν ανασυσταθεί σύμφωνα με τις οδηγίες από τον νοσοκομειακό φαρμακοποιό ή τη νοσηλεύτριά σας (βλ. τις πληροφορίες στο τέλος του παρόντος φύλλου οδηγιών).</w:t>
      </w:r>
    </w:p>
    <w:p w:rsidR="00A526F7" w:rsidRPr="00B336DF" w:rsidRDefault="00A526F7" w:rsidP="00A526F7">
      <w:pPr>
        <w:rPr>
          <w:noProof/>
          <w:szCs w:val="22"/>
        </w:rPr>
      </w:pPr>
    </w:p>
    <w:p w:rsidR="00A526F7" w:rsidRPr="00B336DF" w:rsidRDefault="00A526F7" w:rsidP="00A526F7">
      <w:pPr>
        <w:rPr>
          <w:b/>
          <w:bCs/>
          <w:noProof/>
          <w:szCs w:val="22"/>
        </w:rPr>
      </w:pPr>
    </w:p>
    <w:p w:rsidR="000875D3" w:rsidRPr="00B336DF" w:rsidRDefault="000875D3" w:rsidP="000875D3">
      <w:pPr>
        <w:rPr>
          <w:b/>
          <w:bCs/>
          <w:noProof/>
          <w:szCs w:val="22"/>
        </w:rPr>
      </w:pPr>
      <w:r w:rsidRPr="00B336DF">
        <w:rPr>
          <w:b/>
          <w:bCs/>
          <w:noProof/>
          <w:szCs w:val="22"/>
        </w:rPr>
        <w:t xml:space="preserve">Εμφάνιση του </w:t>
      </w:r>
      <w:r w:rsidR="00983777" w:rsidRPr="00B336DF">
        <w:rPr>
          <w:b/>
          <w:bCs/>
          <w:noProof/>
          <w:szCs w:val="22"/>
        </w:rPr>
        <w:t>V</w:t>
      </w:r>
      <w:r w:rsidR="00EA3944" w:rsidRPr="00B336DF">
        <w:rPr>
          <w:b/>
          <w:bCs/>
          <w:noProof/>
          <w:szCs w:val="22"/>
        </w:rPr>
        <w:t>oriconazole</w:t>
      </w:r>
      <w:r w:rsidR="00983777" w:rsidRPr="00B336DF">
        <w:rPr>
          <w:b/>
          <w:bCs/>
          <w:noProof/>
          <w:szCs w:val="22"/>
        </w:rPr>
        <w:t xml:space="preserve"> BRADEX</w:t>
      </w:r>
      <w:r w:rsidRPr="00B336DF">
        <w:rPr>
          <w:b/>
          <w:bCs/>
          <w:noProof/>
          <w:szCs w:val="22"/>
        </w:rPr>
        <w:t xml:space="preserve"> και  περιεχόμενα της συσκευασίας</w:t>
      </w:r>
    </w:p>
    <w:p w:rsidR="000875D3" w:rsidRPr="00B336DF" w:rsidRDefault="000875D3" w:rsidP="000875D3">
      <w:pPr>
        <w:rPr>
          <w:b/>
          <w:bCs/>
          <w:noProof/>
          <w:szCs w:val="22"/>
        </w:rPr>
      </w:pPr>
    </w:p>
    <w:p w:rsidR="000875D3" w:rsidRPr="00B336DF" w:rsidRDefault="00A526F7" w:rsidP="000875D3">
      <w:pPr>
        <w:rPr>
          <w:color w:val="000000" w:themeColor="text1"/>
          <w:szCs w:val="22"/>
        </w:rPr>
      </w:pPr>
      <w:r w:rsidRPr="00B336DF">
        <w:rPr>
          <w:color w:val="000000" w:themeColor="text1"/>
          <w:szCs w:val="22"/>
        </w:rPr>
        <w:t xml:space="preserve">Το </w:t>
      </w:r>
      <w:r w:rsidR="00983777" w:rsidRPr="00B336DF">
        <w:rPr>
          <w:color w:val="000000" w:themeColor="text1"/>
          <w:szCs w:val="22"/>
        </w:rPr>
        <w:t>V</w:t>
      </w:r>
      <w:r w:rsidR="00EA3944" w:rsidRPr="00B336DF">
        <w:rPr>
          <w:color w:val="000000" w:themeColor="text1"/>
          <w:szCs w:val="22"/>
        </w:rPr>
        <w:t>oriconazole</w:t>
      </w:r>
      <w:r w:rsidR="00983777" w:rsidRPr="00B336DF">
        <w:rPr>
          <w:color w:val="000000" w:themeColor="text1"/>
          <w:szCs w:val="22"/>
        </w:rPr>
        <w:t xml:space="preserve"> BRADEX</w:t>
      </w:r>
      <w:r w:rsidRPr="00B336DF">
        <w:rPr>
          <w:color w:val="000000" w:themeColor="text1"/>
          <w:szCs w:val="22"/>
        </w:rPr>
        <w:t xml:space="preserve"> διατίθεται σε γυάλινα φιαλίδια μιας χρήσης ως σκόνη για διάλυμα προς έγχυση.</w:t>
      </w:r>
    </w:p>
    <w:p w:rsidR="00A526F7" w:rsidRPr="00B336DF" w:rsidRDefault="00A526F7" w:rsidP="000875D3">
      <w:pPr>
        <w:rPr>
          <w:b/>
          <w:bCs/>
          <w:noProof/>
          <w:szCs w:val="22"/>
        </w:rPr>
      </w:pPr>
    </w:p>
    <w:p w:rsidR="000875D3" w:rsidRPr="00B336DF" w:rsidRDefault="000875D3" w:rsidP="000875D3">
      <w:pPr>
        <w:rPr>
          <w:noProof/>
          <w:szCs w:val="22"/>
        </w:rPr>
      </w:pPr>
      <w:r w:rsidRPr="00B336DF">
        <w:rPr>
          <w:b/>
          <w:bCs/>
          <w:noProof/>
          <w:szCs w:val="22"/>
        </w:rPr>
        <w:t>Κάτοχος Άδειας Κυκλοφορίας και Παρασκευαστής</w:t>
      </w:r>
    </w:p>
    <w:p w:rsidR="000875D3" w:rsidRPr="00B336DF" w:rsidRDefault="000875D3" w:rsidP="000875D3">
      <w:pPr>
        <w:rPr>
          <w:noProof/>
          <w:szCs w:val="22"/>
        </w:rPr>
      </w:pPr>
    </w:p>
    <w:p w:rsidR="007525A0" w:rsidRDefault="00732539" w:rsidP="00732539">
      <w:pPr>
        <w:rPr>
          <w:szCs w:val="22"/>
          <w:highlight w:val="yellow"/>
        </w:rPr>
      </w:pPr>
      <w:r w:rsidRPr="005C0045">
        <w:rPr>
          <w:b/>
          <w:szCs w:val="22"/>
        </w:rPr>
        <w:lastRenderedPageBreak/>
        <w:t>Κάτοχος Άδειας Κυκλοφορίας:</w:t>
      </w:r>
      <w:r w:rsidR="007525A0">
        <w:rPr>
          <w:b/>
          <w:szCs w:val="22"/>
        </w:rPr>
        <w:t xml:space="preserve"> </w:t>
      </w:r>
      <w:r w:rsidR="001D6EBC" w:rsidRPr="001D6EBC">
        <w:rPr>
          <w:szCs w:val="22"/>
        </w:rPr>
        <w:t>BRADEX AEBE,</w:t>
      </w:r>
      <w:r w:rsidR="001D6EBC">
        <w:rPr>
          <w:szCs w:val="22"/>
        </w:rPr>
        <w:t xml:space="preserve"> </w:t>
      </w:r>
      <w:r w:rsidR="001D6EBC" w:rsidRPr="001D6EBC">
        <w:rPr>
          <w:szCs w:val="22"/>
        </w:rPr>
        <w:t>Βιο</w:t>
      </w:r>
      <w:r w:rsidR="001D6EBC">
        <w:rPr>
          <w:szCs w:val="22"/>
        </w:rPr>
        <w:t xml:space="preserve">μηχανία Φαρμακευτικών Προϊόντων, </w:t>
      </w:r>
      <w:r w:rsidR="001D6EBC" w:rsidRPr="001D6EBC">
        <w:rPr>
          <w:szCs w:val="22"/>
        </w:rPr>
        <w:t>Ασκληπιού 27, 145 68 Κρυονέρι Αττικής</w:t>
      </w:r>
      <w:r w:rsidR="001D6EBC">
        <w:rPr>
          <w:szCs w:val="22"/>
        </w:rPr>
        <w:t xml:space="preserve">, </w:t>
      </w:r>
      <w:r w:rsidR="001D6EBC" w:rsidRPr="001D6EBC">
        <w:rPr>
          <w:szCs w:val="22"/>
          <w:lang w:val="en-US"/>
        </w:rPr>
        <w:t>T</w:t>
      </w:r>
      <w:r w:rsidR="001D6EBC" w:rsidRPr="001D6EBC">
        <w:rPr>
          <w:szCs w:val="22"/>
        </w:rPr>
        <w:t>ηλ.: +30 2106221801, +30 2106220323,</w:t>
      </w:r>
      <w:r w:rsidR="001D6EBC">
        <w:rPr>
          <w:szCs w:val="22"/>
        </w:rPr>
        <w:t xml:space="preserve"> </w:t>
      </w:r>
      <w:r w:rsidR="001D6EBC" w:rsidRPr="001D6EBC">
        <w:rPr>
          <w:szCs w:val="22"/>
        </w:rPr>
        <w:t>Φαξ: +30 2106221802</w:t>
      </w:r>
      <w:r w:rsidR="001D6EBC">
        <w:rPr>
          <w:szCs w:val="22"/>
        </w:rPr>
        <w:t>.</w:t>
      </w:r>
    </w:p>
    <w:p w:rsidR="001C641A" w:rsidRPr="001C641A" w:rsidRDefault="00732539" w:rsidP="001C641A">
      <w:pPr>
        <w:rPr>
          <w:szCs w:val="22"/>
        </w:rPr>
      </w:pPr>
      <w:r w:rsidRPr="005C0045">
        <w:rPr>
          <w:b/>
          <w:noProof/>
          <w:szCs w:val="22"/>
        </w:rPr>
        <w:t>Παρασκευαστής:</w:t>
      </w:r>
      <w:r w:rsidR="007525A0" w:rsidRPr="007525A0">
        <w:rPr>
          <w:szCs w:val="22"/>
        </w:rPr>
        <w:t xml:space="preserve"> </w:t>
      </w:r>
      <w:r w:rsidR="001C641A" w:rsidRPr="001C641A">
        <w:rPr>
          <w:szCs w:val="22"/>
        </w:rPr>
        <w:t>DEMO ΑΒΕΕ Βιομηχανία Φαρμάκων, 21ο χλμ Εθνικής Οδού Αθηνών-Λαμίας,</w:t>
      </w:r>
    </w:p>
    <w:p w:rsidR="00732539" w:rsidRPr="005C0045" w:rsidRDefault="001C641A" w:rsidP="001C641A">
      <w:pPr>
        <w:rPr>
          <w:b/>
          <w:noProof/>
          <w:szCs w:val="22"/>
        </w:rPr>
      </w:pPr>
      <w:r>
        <w:rPr>
          <w:szCs w:val="22"/>
        </w:rPr>
        <w:t>145 68 Κρυονέρι,</w:t>
      </w:r>
      <w:r w:rsidRPr="001C641A">
        <w:rPr>
          <w:szCs w:val="22"/>
        </w:rPr>
        <w:t xml:space="preserve"> Αττικής, Ελλάδα, Τηλ: +30 210 8161802, Φαξ: +30 210 8161587</w:t>
      </w:r>
    </w:p>
    <w:p w:rsidR="00732539" w:rsidRDefault="00732539" w:rsidP="000875D3">
      <w:pPr>
        <w:rPr>
          <w:noProof/>
          <w:szCs w:val="22"/>
        </w:rPr>
      </w:pPr>
    </w:p>
    <w:p w:rsidR="00732539" w:rsidRPr="00732539" w:rsidRDefault="00732539" w:rsidP="000875D3">
      <w:pPr>
        <w:rPr>
          <w:noProof/>
          <w:szCs w:val="22"/>
        </w:rPr>
      </w:pPr>
    </w:p>
    <w:p w:rsidR="000875D3" w:rsidRPr="00B336DF" w:rsidRDefault="000875D3" w:rsidP="000875D3">
      <w:pPr>
        <w:rPr>
          <w:b/>
          <w:szCs w:val="22"/>
        </w:rPr>
      </w:pPr>
      <w:r w:rsidRPr="00B336DF">
        <w:rPr>
          <w:b/>
          <w:noProof/>
          <w:szCs w:val="22"/>
        </w:rPr>
        <w:t>Αυτό το φαρμακευτικό προϊόν έχει εγκριθεί στα Κράτη Μέλη του Ευρωπαϊκού Οικονομικού Χώρου (ΕΟΧ) με τις ακόλουθες ονομασίες:</w:t>
      </w:r>
    </w:p>
    <w:p w:rsidR="000875D3" w:rsidRPr="00B336DF" w:rsidRDefault="000875D3" w:rsidP="000875D3">
      <w:pPr>
        <w:rPr>
          <w:noProof/>
          <w:szCs w:val="22"/>
        </w:rPr>
      </w:pPr>
    </w:p>
    <w:p w:rsidR="000875D3" w:rsidRPr="005C0045" w:rsidRDefault="007525A0" w:rsidP="000875D3">
      <w:pPr>
        <w:rPr>
          <w:noProof/>
          <w:szCs w:val="22"/>
          <w:highlight w:val="yellow"/>
        </w:rPr>
      </w:pPr>
      <w:r w:rsidRPr="005C0045">
        <w:rPr>
          <w:noProof/>
          <w:szCs w:val="22"/>
        </w:rPr>
        <w:t>Πορτογαλία:</w:t>
      </w:r>
      <w:r>
        <w:rPr>
          <w:noProof/>
          <w:szCs w:val="22"/>
        </w:rPr>
        <w:tab/>
      </w:r>
      <w:r w:rsidRPr="007525A0">
        <w:rPr>
          <w:noProof/>
          <w:szCs w:val="22"/>
        </w:rPr>
        <w:t>Voriconazole Bradex</w:t>
      </w:r>
    </w:p>
    <w:p w:rsidR="000875D3" w:rsidRPr="00B336DF" w:rsidRDefault="007525A0" w:rsidP="000875D3">
      <w:pPr>
        <w:rPr>
          <w:noProof/>
          <w:szCs w:val="22"/>
        </w:rPr>
      </w:pPr>
      <w:r>
        <w:rPr>
          <w:noProof/>
          <w:szCs w:val="22"/>
        </w:rPr>
        <w:t>Ελλάδα:</w:t>
      </w:r>
      <w:r>
        <w:rPr>
          <w:noProof/>
          <w:szCs w:val="22"/>
        </w:rPr>
        <w:tab/>
      </w:r>
      <w:r w:rsidRPr="007525A0">
        <w:rPr>
          <w:noProof/>
          <w:szCs w:val="22"/>
        </w:rPr>
        <w:t>Voriconazole Bradex 200 mg κόνις για διάλυμα προς έγχυση</w:t>
      </w:r>
    </w:p>
    <w:p w:rsidR="000875D3" w:rsidRPr="00B336DF" w:rsidRDefault="000875D3" w:rsidP="000875D3">
      <w:pPr>
        <w:rPr>
          <w:noProof/>
          <w:szCs w:val="22"/>
        </w:rPr>
      </w:pPr>
    </w:p>
    <w:p w:rsidR="000875D3" w:rsidRPr="00B336DF" w:rsidRDefault="000875D3" w:rsidP="000875D3">
      <w:pPr>
        <w:rPr>
          <w:noProof/>
          <w:szCs w:val="22"/>
        </w:rPr>
      </w:pPr>
      <w:r w:rsidRPr="00B336DF">
        <w:rPr>
          <w:b/>
          <w:noProof/>
          <w:szCs w:val="22"/>
        </w:rPr>
        <w:t xml:space="preserve">Το παρόν φύλλο οδηγιών χρήσης ανανεωρήθηκε για τελευταία φορά στις </w:t>
      </w:r>
      <w:r w:rsidR="007525A0">
        <w:rPr>
          <w:b/>
          <w:noProof/>
          <w:szCs w:val="22"/>
        </w:rPr>
        <w:t>02/2017.</w:t>
      </w:r>
      <w:r w:rsidRPr="00B336DF">
        <w:rPr>
          <w:b/>
          <w:noProof/>
          <w:szCs w:val="22"/>
        </w:rPr>
        <w:t xml:space="preserve"> </w:t>
      </w:r>
    </w:p>
    <w:p w:rsidR="000875D3" w:rsidRPr="00B336DF" w:rsidRDefault="000875D3" w:rsidP="000875D3">
      <w:pPr>
        <w:rPr>
          <w:noProof/>
          <w:szCs w:val="22"/>
        </w:rPr>
      </w:pPr>
    </w:p>
    <w:p w:rsidR="000875D3" w:rsidRPr="00B336DF" w:rsidRDefault="000875D3" w:rsidP="000875D3">
      <w:pPr>
        <w:ind w:right="-449"/>
        <w:rPr>
          <w:noProof/>
          <w:szCs w:val="22"/>
        </w:rPr>
      </w:pPr>
      <w:r w:rsidRPr="00B336DF">
        <w:rPr>
          <w:noProof/>
          <w:szCs w:val="22"/>
        </w:rPr>
        <w:t>------------------------------------------------------------------------------------------------------------------------------</w:t>
      </w:r>
    </w:p>
    <w:p w:rsidR="000875D3" w:rsidRPr="00B336DF" w:rsidRDefault="000875D3" w:rsidP="000875D3">
      <w:pPr>
        <w:ind w:right="-449"/>
        <w:rPr>
          <w:noProof/>
          <w:szCs w:val="22"/>
        </w:rPr>
      </w:pPr>
      <w:r w:rsidRPr="00B336DF">
        <w:rPr>
          <w:noProof/>
          <w:szCs w:val="22"/>
        </w:rPr>
        <w:t>Οι πληροφορίες που ακολουθούν απευθύνονται μόνο σε επαγγελματίες υγείας:</w:t>
      </w:r>
    </w:p>
    <w:p w:rsidR="000875D3" w:rsidRPr="00B336DF" w:rsidRDefault="000875D3" w:rsidP="000875D3">
      <w:pPr>
        <w:rPr>
          <w:szCs w:val="22"/>
        </w:rPr>
      </w:pPr>
    </w:p>
    <w:p w:rsidR="0079412B" w:rsidRPr="00B336DF" w:rsidRDefault="0079412B" w:rsidP="0079412B">
      <w:pPr>
        <w:rPr>
          <w:b/>
          <w:bCs/>
          <w:szCs w:val="22"/>
        </w:rPr>
      </w:pPr>
      <w:r w:rsidRPr="00B336DF">
        <w:rPr>
          <w:b/>
          <w:bCs/>
          <w:szCs w:val="22"/>
        </w:rPr>
        <w:t>Πληροφορίες για την ανασύσταση και την αραίωση</w:t>
      </w:r>
    </w:p>
    <w:p w:rsidR="0079412B" w:rsidRPr="00B336DF" w:rsidRDefault="0079412B" w:rsidP="0079412B">
      <w:pPr>
        <w:rPr>
          <w:szCs w:val="22"/>
        </w:rPr>
      </w:pPr>
      <w:r w:rsidRPr="00B336DF">
        <w:rPr>
          <w:szCs w:val="22"/>
        </w:rPr>
        <w:t>1. Η σκόνη για διάλυμα προς έγχυση V</w:t>
      </w:r>
      <w:r w:rsidRPr="00B336DF">
        <w:rPr>
          <w:szCs w:val="22"/>
          <w:lang w:val="en-US"/>
        </w:rPr>
        <w:t>oriconazole</w:t>
      </w:r>
      <w:r w:rsidRPr="00F84FDB">
        <w:rPr>
          <w:szCs w:val="22"/>
        </w:rPr>
        <w:t xml:space="preserve"> </w:t>
      </w:r>
      <w:r w:rsidRPr="00B336DF">
        <w:rPr>
          <w:szCs w:val="22"/>
          <w:lang w:val="en-US"/>
        </w:rPr>
        <w:t>Bradex</w:t>
      </w:r>
      <w:r w:rsidRPr="00B336DF">
        <w:rPr>
          <w:szCs w:val="22"/>
        </w:rPr>
        <w:t xml:space="preserve"> πρέπει πρώτα να ανασυσταθεί είτε με 19 ml Ύδατος</w:t>
      </w:r>
      <w:r w:rsidR="00521410" w:rsidRPr="00F84FDB">
        <w:rPr>
          <w:szCs w:val="22"/>
        </w:rPr>
        <w:t xml:space="preserve"> </w:t>
      </w:r>
      <w:r w:rsidRPr="00B336DF">
        <w:rPr>
          <w:szCs w:val="22"/>
        </w:rPr>
        <w:t>για ενέσιμα ή με 19 ml Διαλύματος Χλωριούχου Νατρίου για Έγχυση 9 mg/ml (0,9%) για να</w:t>
      </w:r>
      <w:r w:rsidR="00521410" w:rsidRPr="00F84FDB">
        <w:rPr>
          <w:szCs w:val="22"/>
        </w:rPr>
        <w:t xml:space="preserve"> </w:t>
      </w:r>
      <w:r w:rsidRPr="00B336DF">
        <w:rPr>
          <w:szCs w:val="22"/>
        </w:rPr>
        <w:t>παρέχει εξαγώγιμο όγκο 20 ml διαυγούς συμπυκνώματος που περιέχει 10 mg/ml βορικοναζόλης.</w:t>
      </w:r>
    </w:p>
    <w:p w:rsidR="0079412B" w:rsidRPr="00B336DF" w:rsidRDefault="0079412B" w:rsidP="0079412B">
      <w:pPr>
        <w:rPr>
          <w:szCs w:val="22"/>
        </w:rPr>
      </w:pPr>
      <w:r w:rsidRPr="00B336DF">
        <w:rPr>
          <w:szCs w:val="22"/>
        </w:rPr>
        <w:t>2. Απορρίψτε το φιαλίδιο V</w:t>
      </w:r>
      <w:r w:rsidRPr="00B336DF">
        <w:rPr>
          <w:szCs w:val="22"/>
          <w:lang w:val="en-US"/>
        </w:rPr>
        <w:t>oriconazole</w:t>
      </w:r>
      <w:r w:rsidRPr="00B336DF">
        <w:rPr>
          <w:szCs w:val="22"/>
        </w:rPr>
        <w:t xml:space="preserve"> </w:t>
      </w:r>
      <w:r w:rsidR="00D019EE" w:rsidRPr="00B336DF">
        <w:rPr>
          <w:szCs w:val="22"/>
          <w:lang w:val="en-US"/>
        </w:rPr>
        <w:t>BRADEX</w:t>
      </w:r>
      <w:r w:rsidR="00D019EE" w:rsidRPr="00B336DF">
        <w:rPr>
          <w:szCs w:val="22"/>
        </w:rPr>
        <w:t xml:space="preserve"> </w:t>
      </w:r>
      <w:r w:rsidRPr="00B336DF">
        <w:rPr>
          <w:szCs w:val="22"/>
        </w:rPr>
        <w:t>εάν το κενό δεν εισροφά τον διαλύτη στο φιαλίδιο.</w:t>
      </w:r>
    </w:p>
    <w:p w:rsidR="0079412B" w:rsidRPr="00B336DF" w:rsidRDefault="0079412B" w:rsidP="0079412B">
      <w:pPr>
        <w:rPr>
          <w:szCs w:val="22"/>
        </w:rPr>
      </w:pPr>
      <w:r w:rsidRPr="00B336DF">
        <w:rPr>
          <w:szCs w:val="22"/>
        </w:rPr>
        <w:t>3. Συνιστάται να χρησιμοποιείται μία συνήθης σύριγγα των 20 ml (όχι αυτοματοποιημένη) για να</w:t>
      </w:r>
    </w:p>
    <w:p w:rsidR="0079412B" w:rsidRPr="00B336DF" w:rsidRDefault="0079412B" w:rsidP="0079412B">
      <w:pPr>
        <w:rPr>
          <w:szCs w:val="22"/>
        </w:rPr>
      </w:pPr>
      <w:r w:rsidRPr="00B336DF">
        <w:rPr>
          <w:szCs w:val="22"/>
        </w:rPr>
        <w:t>εξασφαλιστεί ότι έχει χορηγηθεί η ακριβής ποσότητα (19,0 ml) Ύδατος για ενέσιμα ή Διαλύματος</w:t>
      </w:r>
    </w:p>
    <w:p w:rsidR="0079412B" w:rsidRPr="00B336DF" w:rsidRDefault="0079412B" w:rsidP="0079412B">
      <w:pPr>
        <w:rPr>
          <w:szCs w:val="22"/>
        </w:rPr>
      </w:pPr>
      <w:r w:rsidRPr="00B336DF">
        <w:rPr>
          <w:szCs w:val="22"/>
        </w:rPr>
        <w:t>Χλωριούχου Νατρίου για Έγχυση 9 mg/ml (0,9%).</w:t>
      </w:r>
    </w:p>
    <w:p w:rsidR="0079412B" w:rsidRPr="00B336DF" w:rsidRDefault="0079412B" w:rsidP="0079412B">
      <w:pPr>
        <w:rPr>
          <w:szCs w:val="22"/>
        </w:rPr>
      </w:pPr>
      <w:r w:rsidRPr="00B336DF">
        <w:rPr>
          <w:szCs w:val="22"/>
        </w:rPr>
        <w:t>4. Ο απαιτούμενος όγκος του ανασυσταθέντος συμπυκνώματος προστίθεται μετά σε κάποιο από τα</w:t>
      </w:r>
    </w:p>
    <w:p w:rsidR="0079412B" w:rsidRPr="00B336DF" w:rsidRDefault="0079412B" w:rsidP="0079412B">
      <w:pPr>
        <w:rPr>
          <w:szCs w:val="22"/>
        </w:rPr>
      </w:pPr>
      <w:r w:rsidRPr="00B336DF">
        <w:rPr>
          <w:szCs w:val="22"/>
        </w:rPr>
        <w:t>προτεινόμενα συμβατά διαλύματα προς έγχυση που αναφέρονται παρακάτω για να παρέχει τελικό</w:t>
      </w:r>
    </w:p>
    <w:p w:rsidR="0079412B" w:rsidRPr="00B336DF" w:rsidRDefault="0079412B" w:rsidP="0079412B">
      <w:pPr>
        <w:rPr>
          <w:szCs w:val="22"/>
        </w:rPr>
      </w:pPr>
      <w:r w:rsidRPr="00B336DF">
        <w:rPr>
          <w:szCs w:val="22"/>
        </w:rPr>
        <w:t>διάλυμα V</w:t>
      </w:r>
      <w:r w:rsidRPr="00B336DF">
        <w:rPr>
          <w:szCs w:val="22"/>
          <w:lang w:val="en-US"/>
        </w:rPr>
        <w:t>oriconazole</w:t>
      </w:r>
      <w:r w:rsidRPr="00B336DF">
        <w:rPr>
          <w:szCs w:val="22"/>
        </w:rPr>
        <w:t xml:space="preserve"> </w:t>
      </w:r>
      <w:r w:rsidR="00D019EE" w:rsidRPr="00B336DF">
        <w:rPr>
          <w:szCs w:val="22"/>
          <w:lang w:val="en-US"/>
        </w:rPr>
        <w:t>BRADEX</w:t>
      </w:r>
      <w:r w:rsidR="00D019EE" w:rsidRPr="00B336DF">
        <w:rPr>
          <w:szCs w:val="22"/>
        </w:rPr>
        <w:t xml:space="preserve"> </w:t>
      </w:r>
      <w:r w:rsidRPr="00B336DF">
        <w:rPr>
          <w:szCs w:val="22"/>
        </w:rPr>
        <w:t>που να περιέχει 0,5-5 mg/ml βορικοναζόλης.</w:t>
      </w:r>
    </w:p>
    <w:p w:rsidR="0079412B" w:rsidRPr="00B336DF" w:rsidRDefault="0079412B" w:rsidP="0079412B">
      <w:pPr>
        <w:rPr>
          <w:szCs w:val="22"/>
        </w:rPr>
      </w:pPr>
      <w:r w:rsidRPr="00B336DF">
        <w:rPr>
          <w:szCs w:val="22"/>
        </w:rPr>
        <w:t>5. Το φαρμακευτικό αυτό προϊόν είναι για μία μόνο χρήση και κάθε μη χρησιμοποιηθέν διάλυμα</w:t>
      </w:r>
    </w:p>
    <w:p w:rsidR="0079412B" w:rsidRPr="00B336DF" w:rsidRDefault="0079412B" w:rsidP="0079412B">
      <w:pPr>
        <w:rPr>
          <w:szCs w:val="22"/>
        </w:rPr>
      </w:pPr>
      <w:r w:rsidRPr="00B336DF">
        <w:rPr>
          <w:szCs w:val="22"/>
        </w:rPr>
        <w:t>πρέπει να απορριφθεί και μόνο διαυγή διαλύματα χωρίς σωματίδια πρέπει να χρησιμοποιούνται.</w:t>
      </w:r>
    </w:p>
    <w:p w:rsidR="0079412B" w:rsidRPr="00B336DF" w:rsidRDefault="0079412B" w:rsidP="0079412B">
      <w:pPr>
        <w:rPr>
          <w:szCs w:val="22"/>
        </w:rPr>
      </w:pPr>
      <w:r w:rsidRPr="00B336DF">
        <w:rPr>
          <w:szCs w:val="22"/>
        </w:rPr>
        <w:t>6. Να μην χορηγηθεί ως ταχεία εφάπαξ ένεση (bolus).</w:t>
      </w:r>
    </w:p>
    <w:p w:rsidR="0079412B" w:rsidRPr="00B336DF" w:rsidRDefault="0079412B" w:rsidP="0079412B">
      <w:pPr>
        <w:rPr>
          <w:szCs w:val="22"/>
        </w:rPr>
      </w:pPr>
      <w:r w:rsidRPr="00B336DF">
        <w:rPr>
          <w:szCs w:val="22"/>
        </w:rPr>
        <w:t>7. Για οδηγίες φύλαξης, παρακαλείσθε να απευθυνθείτε στην παράγραφο 5 ‘Πώς να φυλάσσεται το</w:t>
      </w:r>
    </w:p>
    <w:p w:rsidR="00C1159A" w:rsidRPr="00F84FDB" w:rsidRDefault="0079412B" w:rsidP="0079412B">
      <w:pPr>
        <w:rPr>
          <w:szCs w:val="22"/>
        </w:rPr>
      </w:pPr>
      <w:r w:rsidRPr="00B336DF">
        <w:rPr>
          <w:szCs w:val="22"/>
        </w:rPr>
        <w:t>V</w:t>
      </w:r>
      <w:r w:rsidRPr="00B336DF">
        <w:rPr>
          <w:szCs w:val="22"/>
          <w:lang w:val="en-US"/>
        </w:rPr>
        <w:t>oriconazole</w:t>
      </w:r>
      <w:r w:rsidRPr="00B336DF">
        <w:rPr>
          <w:szCs w:val="22"/>
        </w:rPr>
        <w:t xml:space="preserve"> </w:t>
      </w:r>
      <w:r w:rsidR="00D019EE" w:rsidRPr="00B336DF">
        <w:rPr>
          <w:szCs w:val="22"/>
          <w:lang w:val="en-US"/>
        </w:rPr>
        <w:t>BRADEX</w:t>
      </w:r>
      <w:r w:rsidR="00D019EE" w:rsidRPr="00B336DF">
        <w:rPr>
          <w:szCs w:val="22"/>
        </w:rPr>
        <w:t>’</w:t>
      </w:r>
      <w:r w:rsidRPr="00B336DF">
        <w:rPr>
          <w:szCs w:val="22"/>
        </w:rPr>
        <w:t>.</w:t>
      </w:r>
    </w:p>
    <w:p w:rsidR="00EA2881" w:rsidRPr="00F84FDB" w:rsidRDefault="00EA2881" w:rsidP="0079412B">
      <w:pPr>
        <w:rPr>
          <w:szCs w:val="22"/>
        </w:rPr>
      </w:pPr>
    </w:p>
    <w:p w:rsidR="00EA2881" w:rsidRPr="00F84FDB" w:rsidRDefault="00EA2881" w:rsidP="0079412B">
      <w:pPr>
        <w:rPr>
          <w:i/>
          <w:szCs w:val="22"/>
        </w:rPr>
      </w:pPr>
      <w:r w:rsidRPr="00F84FDB">
        <w:rPr>
          <w:i/>
          <w:szCs w:val="22"/>
        </w:rPr>
        <w:t>Απαιτούμενοι Όγκοι Συμπυκνώματος V</w:t>
      </w:r>
      <w:r w:rsidRPr="00F84FDB">
        <w:rPr>
          <w:i/>
          <w:szCs w:val="22"/>
          <w:lang w:val="en-US"/>
        </w:rPr>
        <w:t>oriconazole</w:t>
      </w:r>
      <w:r w:rsidRPr="00F84FDB">
        <w:rPr>
          <w:i/>
          <w:szCs w:val="22"/>
        </w:rPr>
        <w:t xml:space="preserve"> </w:t>
      </w:r>
      <w:r w:rsidR="00D019EE" w:rsidRPr="00F84FDB">
        <w:rPr>
          <w:i/>
          <w:szCs w:val="22"/>
          <w:lang w:val="en-US"/>
        </w:rPr>
        <w:t>BRADEX</w:t>
      </w:r>
      <w:r w:rsidR="00D019EE" w:rsidRPr="00F84FDB">
        <w:rPr>
          <w:i/>
          <w:szCs w:val="22"/>
        </w:rPr>
        <w:t xml:space="preserve"> </w:t>
      </w:r>
      <w:r w:rsidRPr="00F84FDB">
        <w:rPr>
          <w:i/>
          <w:szCs w:val="22"/>
        </w:rPr>
        <w:t xml:space="preserve">10 </w:t>
      </w:r>
      <w:r w:rsidRPr="00F84FDB">
        <w:rPr>
          <w:i/>
          <w:szCs w:val="22"/>
          <w:lang w:val="en-US"/>
        </w:rPr>
        <w:t>mg</w:t>
      </w:r>
      <w:r w:rsidRPr="00F84FDB">
        <w:rPr>
          <w:i/>
          <w:szCs w:val="22"/>
        </w:rPr>
        <w:t>/</w:t>
      </w:r>
      <w:r w:rsidRPr="00F84FDB">
        <w:rPr>
          <w:i/>
          <w:szCs w:val="22"/>
          <w:lang w:val="en-US"/>
        </w:rPr>
        <w:t>ml</w:t>
      </w:r>
    </w:p>
    <w:p w:rsidR="00157722" w:rsidRPr="00F84FDB" w:rsidRDefault="00157722" w:rsidP="0079412B">
      <w:pPr>
        <w:rPr>
          <w:i/>
          <w:szCs w:val="22"/>
        </w:rPr>
      </w:pPr>
    </w:p>
    <w:tbl>
      <w:tblPr>
        <w:tblW w:w="9307" w:type="dxa"/>
        <w:tblLayout w:type="fixed"/>
        <w:tblCellMar>
          <w:left w:w="0" w:type="dxa"/>
          <w:right w:w="0" w:type="dxa"/>
        </w:tblCellMar>
        <w:tblLook w:val="0000" w:firstRow="0" w:lastRow="0" w:firstColumn="0" w:lastColumn="0" w:noHBand="0" w:noVBand="0"/>
      </w:tblPr>
      <w:tblGrid>
        <w:gridCol w:w="1085"/>
        <w:gridCol w:w="1670"/>
        <w:gridCol w:w="1541"/>
        <w:gridCol w:w="1666"/>
        <w:gridCol w:w="1675"/>
        <w:gridCol w:w="1670"/>
      </w:tblGrid>
      <w:tr w:rsidR="00157722" w:rsidRPr="00F84FDB" w:rsidTr="00157722">
        <w:trPr>
          <w:trHeight w:hRule="exact" w:val="293"/>
        </w:trPr>
        <w:tc>
          <w:tcPr>
            <w:tcW w:w="1085" w:type="dxa"/>
            <w:vMerge w:val="restart"/>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Βάρος</w:t>
            </w:r>
          </w:p>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σώματος</w:t>
            </w:r>
          </w:p>
          <w:p w:rsidR="00157722" w:rsidRPr="00F84FDB" w:rsidRDefault="00157722" w:rsidP="00423073">
            <w:pPr>
              <w:ind w:left="340"/>
              <w:rPr>
                <w:b/>
                <w:szCs w:val="22"/>
                <w:lang w:eastAsia="el-GR"/>
              </w:rPr>
            </w:pPr>
            <w:r w:rsidRPr="00F84FDB">
              <w:rPr>
                <w:b/>
                <w:color w:val="000000"/>
                <w:szCs w:val="22"/>
                <w:shd w:val="clear" w:color="auto" w:fill="FFFFFF"/>
              </w:rPr>
              <w:t>(kg)</w:t>
            </w:r>
          </w:p>
        </w:tc>
        <w:tc>
          <w:tcPr>
            <w:tcW w:w="8222" w:type="dxa"/>
            <w:gridSpan w:val="5"/>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b/>
                <w:szCs w:val="22"/>
                <w:lang w:eastAsia="el-GR"/>
              </w:rPr>
            </w:pPr>
            <w:r w:rsidRPr="00F84FDB">
              <w:rPr>
                <w:b/>
                <w:color w:val="000000"/>
                <w:szCs w:val="22"/>
                <w:shd w:val="clear" w:color="auto" w:fill="FFFFFF"/>
              </w:rPr>
              <w:t xml:space="preserve">Όγκος Συμπυκνώματος </w:t>
            </w:r>
            <w:r w:rsidRPr="00F84FDB">
              <w:rPr>
                <w:b/>
                <w:color w:val="000000"/>
                <w:szCs w:val="22"/>
                <w:shd w:val="clear" w:color="auto" w:fill="FFFFFF"/>
                <w:lang w:val="en-US"/>
              </w:rPr>
              <w:t>Voriconazole</w:t>
            </w:r>
            <w:r w:rsidRPr="00F84FDB">
              <w:rPr>
                <w:b/>
                <w:color w:val="000000"/>
                <w:szCs w:val="22"/>
                <w:shd w:val="clear" w:color="auto" w:fill="FFFFFF"/>
              </w:rPr>
              <w:t xml:space="preserve"> </w:t>
            </w:r>
            <w:r w:rsidRPr="00F84FDB">
              <w:rPr>
                <w:b/>
                <w:color w:val="000000"/>
                <w:szCs w:val="22"/>
                <w:shd w:val="clear" w:color="auto" w:fill="FFFFFF"/>
                <w:lang w:val="en-US"/>
              </w:rPr>
              <w:t>BRADEX</w:t>
            </w:r>
            <w:r w:rsidRPr="00F84FDB">
              <w:rPr>
                <w:b/>
                <w:color w:val="000000"/>
                <w:szCs w:val="22"/>
                <w:shd w:val="clear" w:color="auto" w:fill="FFFFFF"/>
              </w:rPr>
              <w:t xml:space="preserve"> (10 </w:t>
            </w:r>
            <w:r w:rsidRPr="00F84FDB">
              <w:rPr>
                <w:b/>
                <w:color w:val="000000"/>
                <w:szCs w:val="22"/>
                <w:shd w:val="clear" w:color="auto" w:fill="FFFFFF"/>
                <w:lang w:val="en-US"/>
              </w:rPr>
              <w:t>mg</w:t>
            </w:r>
            <w:r w:rsidRPr="00F84FDB">
              <w:rPr>
                <w:b/>
                <w:color w:val="000000"/>
                <w:szCs w:val="22"/>
                <w:shd w:val="clear" w:color="auto" w:fill="FFFFFF"/>
              </w:rPr>
              <w:t>/</w:t>
            </w:r>
            <w:r w:rsidRPr="00F84FDB">
              <w:rPr>
                <w:b/>
                <w:color w:val="000000"/>
                <w:szCs w:val="22"/>
                <w:shd w:val="clear" w:color="auto" w:fill="FFFFFF"/>
                <w:lang w:val="en-US"/>
              </w:rPr>
              <w:t>ml</w:t>
            </w:r>
            <w:r w:rsidRPr="00F84FDB">
              <w:rPr>
                <w:b/>
                <w:color w:val="000000"/>
                <w:szCs w:val="22"/>
                <w:shd w:val="clear" w:color="auto" w:fill="FFFFFF"/>
              </w:rPr>
              <w:t>) που απαιτείται για:</w:t>
            </w:r>
          </w:p>
        </w:tc>
      </w:tr>
      <w:tr w:rsidR="00157722" w:rsidRPr="00F84FDB" w:rsidTr="00157722">
        <w:trPr>
          <w:trHeight w:hRule="exact" w:val="768"/>
        </w:trPr>
        <w:tc>
          <w:tcPr>
            <w:tcW w:w="1085" w:type="dxa"/>
            <w:vMerge/>
            <w:tcBorders>
              <w:top w:val="nil"/>
              <w:left w:val="single" w:sz="4" w:space="0" w:color="auto"/>
              <w:bottom w:val="nil"/>
              <w:right w:val="nil"/>
            </w:tcBorders>
            <w:shd w:val="clear" w:color="auto" w:fill="FFFFFF"/>
            <w:vAlign w:val="bottom"/>
          </w:tcPr>
          <w:p w:rsidR="00157722" w:rsidRPr="00F84FDB" w:rsidRDefault="00157722" w:rsidP="00423073">
            <w:pPr>
              <w:jc w:val="center"/>
              <w:rPr>
                <w:b/>
                <w:szCs w:val="22"/>
                <w:lang w:eastAsia="el-GR"/>
              </w:rPr>
            </w:pPr>
          </w:p>
        </w:tc>
        <w:tc>
          <w:tcPr>
            <w:tcW w:w="1670"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 xml:space="preserve">Δόση 3 </w:t>
            </w:r>
            <w:r w:rsidRPr="00F84FDB">
              <w:rPr>
                <w:b/>
                <w:color w:val="000000"/>
                <w:szCs w:val="22"/>
                <w:shd w:val="clear" w:color="auto" w:fill="FFFFFF"/>
                <w:lang w:val="en-US"/>
              </w:rPr>
              <w:t>mg</w:t>
            </w:r>
            <w:r w:rsidRPr="00F84FDB">
              <w:rPr>
                <w:b/>
                <w:color w:val="000000"/>
                <w:szCs w:val="22"/>
                <w:shd w:val="clear" w:color="auto" w:fill="FFFFFF"/>
              </w:rPr>
              <w:t>/</w:t>
            </w:r>
            <w:r w:rsidRPr="00F84FDB">
              <w:rPr>
                <w:b/>
                <w:color w:val="000000"/>
                <w:szCs w:val="22"/>
                <w:shd w:val="clear" w:color="auto" w:fill="FFFFFF"/>
                <w:lang w:val="en-US"/>
              </w:rPr>
              <w:t>kg</w:t>
            </w:r>
          </w:p>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(αριθμός</w:t>
            </w:r>
          </w:p>
          <w:p w:rsidR="00157722" w:rsidRPr="00F84FDB" w:rsidRDefault="00157722" w:rsidP="00423073">
            <w:pPr>
              <w:jc w:val="center"/>
              <w:rPr>
                <w:b/>
                <w:szCs w:val="22"/>
                <w:lang w:eastAsia="el-GR"/>
              </w:rPr>
            </w:pPr>
            <w:r w:rsidRPr="00F84FDB">
              <w:rPr>
                <w:b/>
                <w:color w:val="000000"/>
                <w:szCs w:val="22"/>
                <w:shd w:val="clear" w:color="auto" w:fill="FFFFFF"/>
              </w:rPr>
              <w:t>φιαλιδίων)</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 xml:space="preserve">Δόση 4 </w:t>
            </w:r>
            <w:r w:rsidRPr="00F84FDB">
              <w:rPr>
                <w:b/>
                <w:color w:val="000000"/>
                <w:szCs w:val="22"/>
                <w:shd w:val="clear" w:color="auto" w:fill="FFFFFF"/>
                <w:lang w:val="en-US"/>
              </w:rPr>
              <w:t>mg</w:t>
            </w:r>
            <w:r w:rsidRPr="00F84FDB">
              <w:rPr>
                <w:b/>
                <w:color w:val="000000"/>
                <w:szCs w:val="22"/>
                <w:shd w:val="clear" w:color="auto" w:fill="FFFFFF"/>
              </w:rPr>
              <w:t>/</w:t>
            </w:r>
            <w:r w:rsidRPr="00F84FDB">
              <w:rPr>
                <w:b/>
                <w:color w:val="000000"/>
                <w:szCs w:val="22"/>
                <w:shd w:val="clear" w:color="auto" w:fill="FFFFFF"/>
                <w:lang w:val="en-US"/>
              </w:rPr>
              <w:t>kg</w:t>
            </w:r>
          </w:p>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(αριθμός</w:t>
            </w:r>
          </w:p>
          <w:p w:rsidR="00157722" w:rsidRPr="00F84FDB" w:rsidRDefault="00157722" w:rsidP="00423073">
            <w:pPr>
              <w:jc w:val="center"/>
              <w:rPr>
                <w:b/>
                <w:szCs w:val="22"/>
                <w:lang w:eastAsia="el-GR"/>
              </w:rPr>
            </w:pPr>
            <w:r w:rsidRPr="00F84FDB">
              <w:rPr>
                <w:b/>
                <w:color w:val="000000"/>
                <w:szCs w:val="22"/>
                <w:shd w:val="clear" w:color="auto" w:fill="FFFFFF"/>
              </w:rPr>
              <w:t>φιαλιδίων)</w:t>
            </w:r>
          </w:p>
        </w:tc>
        <w:tc>
          <w:tcPr>
            <w:tcW w:w="1666"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b/>
                <w:szCs w:val="22"/>
                <w:lang w:eastAsia="el-GR"/>
              </w:rPr>
            </w:pPr>
            <w:r w:rsidRPr="00F84FDB">
              <w:rPr>
                <w:b/>
                <w:szCs w:val="22"/>
                <w:lang w:eastAsia="el-GR"/>
              </w:rPr>
              <w:t>Δόση 6 mg/kg</w:t>
            </w:r>
          </w:p>
          <w:p w:rsidR="00157722" w:rsidRPr="00F84FDB" w:rsidRDefault="00157722" w:rsidP="00423073">
            <w:pPr>
              <w:jc w:val="center"/>
              <w:rPr>
                <w:b/>
                <w:szCs w:val="22"/>
                <w:lang w:eastAsia="el-GR"/>
              </w:rPr>
            </w:pPr>
            <w:r w:rsidRPr="00F84FDB">
              <w:rPr>
                <w:b/>
                <w:szCs w:val="22"/>
                <w:lang w:eastAsia="el-GR"/>
              </w:rPr>
              <w:t>(αριθμός</w:t>
            </w:r>
          </w:p>
          <w:p w:rsidR="00157722" w:rsidRPr="00F84FDB" w:rsidRDefault="00157722" w:rsidP="00423073">
            <w:pPr>
              <w:jc w:val="center"/>
              <w:rPr>
                <w:b/>
                <w:szCs w:val="22"/>
                <w:lang w:eastAsia="el-GR"/>
              </w:rPr>
            </w:pPr>
            <w:r w:rsidRPr="00F84FDB">
              <w:rPr>
                <w:b/>
                <w:szCs w:val="22"/>
                <w:lang w:eastAsia="el-GR"/>
              </w:rPr>
              <w:t>φιαλιδίων)</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 xml:space="preserve">Δόση 8 </w:t>
            </w:r>
            <w:r w:rsidRPr="00F84FDB">
              <w:rPr>
                <w:b/>
                <w:color w:val="000000"/>
                <w:szCs w:val="22"/>
                <w:shd w:val="clear" w:color="auto" w:fill="FFFFFF"/>
                <w:lang w:val="en-US"/>
              </w:rPr>
              <w:t>mg</w:t>
            </w:r>
            <w:r w:rsidRPr="00F84FDB">
              <w:rPr>
                <w:b/>
                <w:color w:val="000000"/>
                <w:szCs w:val="22"/>
                <w:shd w:val="clear" w:color="auto" w:fill="FFFFFF"/>
              </w:rPr>
              <w:t>/</w:t>
            </w:r>
            <w:r w:rsidRPr="00F84FDB">
              <w:rPr>
                <w:b/>
                <w:color w:val="000000"/>
                <w:szCs w:val="22"/>
                <w:shd w:val="clear" w:color="auto" w:fill="FFFFFF"/>
                <w:lang w:val="en-US"/>
              </w:rPr>
              <w:t>kg</w:t>
            </w:r>
          </w:p>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(αριθμός</w:t>
            </w:r>
          </w:p>
          <w:p w:rsidR="00157722" w:rsidRPr="00F84FDB" w:rsidRDefault="00157722" w:rsidP="00423073">
            <w:pPr>
              <w:jc w:val="center"/>
              <w:rPr>
                <w:b/>
                <w:szCs w:val="22"/>
                <w:lang w:eastAsia="el-GR"/>
              </w:rPr>
            </w:pPr>
            <w:r w:rsidRPr="00F84FDB">
              <w:rPr>
                <w:b/>
                <w:color w:val="000000"/>
                <w:szCs w:val="22"/>
                <w:shd w:val="clear" w:color="auto" w:fill="FFFFFF"/>
              </w:rPr>
              <w:t>φιαλιδίων)</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b/>
                <w:color w:val="000000"/>
                <w:szCs w:val="22"/>
                <w:shd w:val="clear" w:color="auto" w:fill="FFFFFF"/>
              </w:rPr>
            </w:pPr>
            <w:r w:rsidRPr="00F84FDB">
              <w:rPr>
                <w:b/>
                <w:color w:val="000000"/>
                <w:szCs w:val="22"/>
                <w:shd w:val="clear" w:color="auto" w:fill="FFFFFF"/>
              </w:rPr>
              <w:t xml:space="preserve">Δόση 9 </w:t>
            </w:r>
            <w:r w:rsidRPr="00F84FDB">
              <w:rPr>
                <w:b/>
                <w:color w:val="000000"/>
                <w:szCs w:val="22"/>
                <w:shd w:val="clear" w:color="auto" w:fill="FFFFFF"/>
                <w:lang w:val="en-US"/>
              </w:rPr>
              <w:t>mg</w:t>
            </w:r>
            <w:r w:rsidRPr="00F84FDB">
              <w:rPr>
                <w:b/>
                <w:color w:val="000000"/>
                <w:szCs w:val="22"/>
                <w:shd w:val="clear" w:color="auto" w:fill="FFFFFF"/>
              </w:rPr>
              <w:t>/</w:t>
            </w:r>
            <w:r w:rsidRPr="00F84FDB">
              <w:rPr>
                <w:b/>
                <w:color w:val="000000"/>
                <w:szCs w:val="22"/>
                <w:shd w:val="clear" w:color="auto" w:fill="FFFFFF"/>
                <w:lang w:val="en-US"/>
              </w:rPr>
              <w:t>kg</w:t>
            </w:r>
          </w:p>
          <w:p w:rsidR="00157722" w:rsidRPr="00F84FDB" w:rsidRDefault="00157722" w:rsidP="00423073">
            <w:pPr>
              <w:jc w:val="center"/>
              <w:rPr>
                <w:b/>
                <w:szCs w:val="22"/>
                <w:lang w:eastAsia="el-GR"/>
              </w:rPr>
            </w:pPr>
            <w:r w:rsidRPr="00F84FDB">
              <w:rPr>
                <w:b/>
                <w:color w:val="000000"/>
                <w:szCs w:val="22"/>
                <w:shd w:val="clear" w:color="auto" w:fill="FFFFFF"/>
              </w:rPr>
              <w:t>(αριθμός φιαλιδίων)</w:t>
            </w:r>
          </w:p>
        </w:tc>
      </w:tr>
      <w:tr w:rsidR="00157722" w:rsidRPr="00F84FDB" w:rsidTr="00157722">
        <w:trPr>
          <w:trHeight w:hRule="exact" w:val="274"/>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10</w:t>
            </w:r>
          </w:p>
        </w:tc>
        <w:tc>
          <w:tcPr>
            <w:tcW w:w="1670"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4,0 ml (1)</w:t>
            </w:r>
          </w:p>
        </w:tc>
        <w:tc>
          <w:tcPr>
            <w:tcW w:w="1666"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8,0 ml (1)</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9,0 ml (1)</w:t>
            </w:r>
          </w:p>
        </w:tc>
      </w:tr>
      <w:tr w:rsidR="00157722" w:rsidRPr="00F84FDB" w:rsidTr="00157722">
        <w:trPr>
          <w:trHeight w:hRule="exact" w:val="264"/>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15</w:t>
            </w:r>
          </w:p>
        </w:tc>
        <w:tc>
          <w:tcPr>
            <w:tcW w:w="1670"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6,0 ml (1)</w:t>
            </w:r>
          </w:p>
        </w:tc>
        <w:tc>
          <w:tcPr>
            <w:tcW w:w="1666"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12,0 ml (1)</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13,5 ml (1)</w:t>
            </w:r>
          </w:p>
        </w:tc>
      </w:tr>
      <w:tr w:rsidR="00157722" w:rsidRPr="00F84FDB" w:rsidTr="00157722">
        <w:trPr>
          <w:trHeight w:hRule="exact" w:val="269"/>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20</w:t>
            </w:r>
          </w:p>
        </w:tc>
        <w:tc>
          <w:tcPr>
            <w:tcW w:w="1670"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8,0 ml (1)</w:t>
            </w:r>
          </w:p>
        </w:tc>
        <w:tc>
          <w:tcPr>
            <w:tcW w:w="1666"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16,0 ml (1)</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18,0 ml (1)</w:t>
            </w:r>
          </w:p>
        </w:tc>
      </w:tr>
      <w:tr w:rsidR="00157722" w:rsidRPr="00F84FDB" w:rsidTr="00157722">
        <w:trPr>
          <w:trHeight w:hRule="exact" w:val="264"/>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25</w:t>
            </w:r>
          </w:p>
        </w:tc>
        <w:tc>
          <w:tcPr>
            <w:tcW w:w="1670"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ind w:left="320"/>
              <w:rPr>
                <w:szCs w:val="22"/>
                <w:lang w:eastAsia="el-GR"/>
              </w:rPr>
            </w:pPr>
            <w:r w:rsidRPr="00F84FDB">
              <w:rPr>
                <w:color w:val="000000"/>
                <w:szCs w:val="22"/>
                <w:shd w:val="clear" w:color="auto" w:fill="FFFFFF"/>
              </w:rPr>
              <w:t>10,0 ml (1)</w:t>
            </w:r>
          </w:p>
        </w:tc>
        <w:tc>
          <w:tcPr>
            <w:tcW w:w="1666" w:type="dxa"/>
            <w:tcBorders>
              <w:top w:val="single" w:sz="4" w:space="0" w:color="auto"/>
              <w:left w:val="single" w:sz="4" w:space="0" w:color="auto"/>
              <w:bottom w:val="nil"/>
              <w:right w:val="nil"/>
            </w:tcBorders>
            <w:shd w:val="clear" w:color="auto" w:fill="FFFFFF"/>
            <w:vAlign w:val="center"/>
          </w:tcPr>
          <w:p w:rsidR="00157722" w:rsidRPr="00F84FDB" w:rsidRDefault="00157722" w:rsidP="00423073">
            <w:pPr>
              <w:jc w:val="center"/>
              <w:rPr>
                <w:szCs w:val="22"/>
                <w:lang w:eastAsia="el-GR"/>
              </w:rPr>
            </w:pPr>
            <w:r w:rsidRPr="00F84FDB">
              <w:rPr>
                <w:color w:val="000000"/>
                <w:szCs w:val="22"/>
                <w:shd w:val="clear" w:color="auto" w:fill="FFFFFF"/>
              </w:rPr>
              <w:t>-</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20,0 ml (1)</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22,5 ml (2)</w:t>
            </w:r>
          </w:p>
        </w:tc>
      </w:tr>
      <w:tr w:rsidR="00157722" w:rsidRPr="00F84FDB" w:rsidTr="00157722">
        <w:trPr>
          <w:trHeight w:hRule="exact" w:val="269"/>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30</w:t>
            </w:r>
          </w:p>
        </w:tc>
        <w:tc>
          <w:tcPr>
            <w:tcW w:w="1670"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9,0 ml (1)</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ind w:left="320"/>
              <w:rPr>
                <w:szCs w:val="22"/>
                <w:lang w:eastAsia="el-GR"/>
              </w:rPr>
            </w:pPr>
            <w:r w:rsidRPr="00F84FDB">
              <w:rPr>
                <w:color w:val="000000"/>
                <w:szCs w:val="22"/>
                <w:shd w:val="clear" w:color="auto" w:fill="FFFFFF"/>
              </w:rPr>
              <w:t>12,0 ml (1)</w:t>
            </w:r>
          </w:p>
        </w:tc>
        <w:tc>
          <w:tcPr>
            <w:tcW w:w="1666"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18,0 ml (1)</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24,0 ml (2)</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27,0 ml (2)</w:t>
            </w:r>
          </w:p>
        </w:tc>
      </w:tr>
      <w:tr w:rsidR="00157722" w:rsidRPr="00F84FDB" w:rsidTr="00157722">
        <w:trPr>
          <w:trHeight w:hRule="exact" w:val="269"/>
        </w:trPr>
        <w:tc>
          <w:tcPr>
            <w:tcW w:w="108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35</w:t>
            </w:r>
          </w:p>
        </w:tc>
        <w:tc>
          <w:tcPr>
            <w:tcW w:w="1670"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10,5 ml (1)</w:t>
            </w:r>
          </w:p>
        </w:tc>
        <w:tc>
          <w:tcPr>
            <w:tcW w:w="1541"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ind w:left="320"/>
              <w:rPr>
                <w:szCs w:val="22"/>
                <w:lang w:eastAsia="el-GR"/>
              </w:rPr>
            </w:pPr>
            <w:r w:rsidRPr="00F84FDB">
              <w:rPr>
                <w:color w:val="000000"/>
                <w:szCs w:val="22"/>
                <w:shd w:val="clear" w:color="auto" w:fill="FFFFFF"/>
              </w:rPr>
              <w:t>14,0 ml (1)</w:t>
            </w:r>
          </w:p>
        </w:tc>
        <w:tc>
          <w:tcPr>
            <w:tcW w:w="1666"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21,0 ml (2)</w:t>
            </w:r>
          </w:p>
        </w:tc>
        <w:tc>
          <w:tcPr>
            <w:tcW w:w="1675" w:type="dxa"/>
            <w:tcBorders>
              <w:top w:val="single" w:sz="4" w:space="0" w:color="auto"/>
              <w:left w:val="single" w:sz="4" w:space="0" w:color="auto"/>
              <w:bottom w:val="nil"/>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28,0 ml (2)</w:t>
            </w:r>
          </w:p>
        </w:tc>
        <w:tc>
          <w:tcPr>
            <w:tcW w:w="1670" w:type="dxa"/>
            <w:tcBorders>
              <w:top w:val="single" w:sz="4" w:space="0" w:color="auto"/>
              <w:left w:val="single" w:sz="4" w:space="0" w:color="auto"/>
              <w:bottom w:val="nil"/>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31,5 ml (2)</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40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12,0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szCs w:val="22"/>
                <w:lang w:eastAsia="el-GR"/>
              </w:rPr>
            </w:pPr>
            <w:r w:rsidRPr="00F84FDB">
              <w:rPr>
                <w:color w:val="000000"/>
                <w:szCs w:val="22"/>
                <w:shd w:val="clear" w:color="auto" w:fill="FFFFFF"/>
              </w:rPr>
              <w:t>16,0 ml (1)</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24,0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32,0 ml (2)</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szCs w:val="22"/>
                <w:lang w:eastAsia="el-GR"/>
              </w:rPr>
            </w:pPr>
            <w:r w:rsidRPr="00F84FDB">
              <w:rPr>
                <w:color w:val="000000"/>
                <w:szCs w:val="22"/>
                <w:shd w:val="clear" w:color="auto" w:fill="FFFFFF"/>
              </w:rPr>
              <w:t>36,0 ml (2)</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13,5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18,0 ml (1)</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27,0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36,0 ml (2)</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40,5 ml (3)</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15,0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20,0 ml (1)</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30,0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40,0 ml (2)</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45,0 ml (3)</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16,5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22,0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33,0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44,0 ml (3)</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49,5 ml (3)</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60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18,0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24,0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36,0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48,0 ml (3)</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54,0 ml (3)</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65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19,5 ml (1)</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26,0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39,0 ml (2)</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52,0 ml (3)</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58,5 ml (3)</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lastRenderedPageBreak/>
              <w:t>70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21,0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28,0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42,0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75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22,5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30,0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45,0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80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24,0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32,0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48,0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85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25,5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34,0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51,0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90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27,0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36,0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54,0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95</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28,5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38,0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57,0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r w:rsidR="00157722" w:rsidRPr="00F84FDB" w:rsidTr="00157722">
        <w:trPr>
          <w:trHeight w:hRule="exact" w:val="278"/>
        </w:trPr>
        <w:tc>
          <w:tcPr>
            <w:tcW w:w="108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100</w:t>
            </w:r>
          </w:p>
        </w:tc>
        <w:tc>
          <w:tcPr>
            <w:tcW w:w="1670"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30,0 ml (2)</w:t>
            </w:r>
          </w:p>
        </w:tc>
        <w:tc>
          <w:tcPr>
            <w:tcW w:w="1541"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ind w:left="320"/>
              <w:rPr>
                <w:color w:val="000000"/>
                <w:szCs w:val="22"/>
              </w:rPr>
            </w:pPr>
            <w:r w:rsidRPr="00F84FDB">
              <w:rPr>
                <w:color w:val="000000"/>
                <w:szCs w:val="22"/>
                <w:shd w:val="clear" w:color="auto" w:fill="FFFFFF"/>
              </w:rPr>
              <w:t>40,0 ml (2)</w:t>
            </w:r>
          </w:p>
        </w:tc>
        <w:tc>
          <w:tcPr>
            <w:tcW w:w="1666"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60,0 ml (3)</w:t>
            </w:r>
          </w:p>
        </w:tc>
        <w:tc>
          <w:tcPr>
            <w:tcW w:w="1675" w:type="dxa"/>
            <w:tcBorders>
              <w:top w:val="single" w:sz="4" w:space="0" w:color="auto"/>
              <w:left w:val="single" w:sz="4" w:space="0" w:color="auto"/>
              <w:bottom w:val="single" w:sz="4" w:space="0" w:color="auto"/>
              <w:right w:val="nil"/>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157722" w:rsidRPr="00F84FDB" w:rsidRDefault="00157722" w:rsidP="00423073">
            <w:pPr>
              <w:jc w:val="center"/>
              <w:rPr>
                <w:color w:val="000000"/>
                <w:szCs w:val="22"/>
              </w:rPr>
            </w:pPr>
            <w:r w:rsidRPr="00F84FDB">
              <w:rPr>
                <w:color w:val="000000"/>
                <w:szCs w:val="22"/>
                <w:shd w:val="clear" w:color="auto" w:fill="FFFFFF"/>
              </w:rPr>
              <w:t>-</w:t>
            </w:r>
          </w:p>
        </w:tc>
      </w:tr>
    </w:tbl>
    <w:p w:rsidR="00CE1A61" w:rsidRPr="00F84FDB" w:rsidRDefault="00CE1A61" w:rsidP="0079412B">
      <w:pPr>
        <w:rPr>
          <w:i/>
          <w:szCs w:val="22"/>
        </w:rPr>
      </w:pPr>
    </w:p>
    <w:p w:rsidR="00CE1A61" w:rsidRPr="00F84FDB" w:rsidRDefault="00CE1A61" w:rsidP="00CE1A61">
      <w:pPr>
        <w:rPr>
          <w:szCs w:val="22"/>
        </w:rPr>
      </w:pPr>
      <w:r w:rsidRPr="00F84FDB">
        <w:rPr>
          <w:szCs w:val="22"/>
        </w:rPr>
        <w:t xml:space="preserve">Το </w:t>
      </w:r>
      <w:r w:rsidR="004708D6" w:rsidRPr="00F84FDB">
        <w:rPr>
          <w:szCs w:val="22"/>
        </w:rPr>
        <w:t>V</w:t>
      </w:r>
      <w:r w:rsidR="004708D6" w:rsidRPr="00F84FDB">
        <w:rPr>
          <w:szCs w:val="22"/>
          <w:lang w:val="en-US"/>
        </w:rPr>
        <w:t>oriconazole</w:t>
      </w:r>
      <w:r w:rsidR="004708D6" w:rsidRPr="00F84FDB">
        <w:rPr>
          <w:szCs w:val="22"/>
        </w:rPr>
        <w:t xml:space="preserve"> </w:t>
      </w:r>
      <w:r w:rsidR="00D019EE" w:rsidRPr="00F84FDB">
        <w:rPr>
          <w:szCs w:val="22"/>
          <w:lang w:val="en-US"/>
        </w:rPr>
        <w:t>BRADEX</w:t>
      </w:r>
      <w:r w:rsidR="00D019EE" w:rsidRPr="00F84FDB">
        <w:rPr>
          <w:szCs w:val="22"/>
        </w:rPr>
        <w:t xml:space="preserve"> </w:t>
      </w:r>
      <w:r w:rsidRPr="00F84FDB">
        <w:rPr>
          <w:szCs w:val="22"/>
        </w:rPr>
        <w:t>είναι ένα χωρίς συντηρητικά στείρο λυόφιλο εφάπαξ δόσης. Επομένως, από</w:t>
      </w:r>
      <w:r w:rsidR="00157722" w:rsidRPr="00F84FDB">
        <w:rPr>
          <w:szCs w:val="22"/>
        </w:rPr>
        <w:t xml:space="preserve"> </w:t>
      </w:r>
      <w:r w:rsidRPr="00F84FDB">
        <w:rPr>
          <w:szCs w:val="22"/>
        </w:rPr>
        <w:t>μικροβιολογικής άποψης, το ανασυσταθέν διάλυμα πρέπει να χρησιμοποιείται αμέσως. Εάν δεν χρησιμοποιηθεί αμέσως, οι χρόνοι και οι συνθήκες φύλαξης πριν τη χρήση είναι στην ευθύνη του</w:t>
      </w:r>
    </w:p>
    <w:p w:rsidR="00CE1A61" w:rsidRPr="00F84FDB" w:rsidRDefault="00CE1A61" w:rsidP="00CE1A61">
      <w:pPr>
        <w:rPr>
          <w:szCs w:val="22"/>
        </w:rPr>
      </w:pPr>
      <w:r w:rsidRPr="00F84FDB">
        <w:rPr>
          <w:szCs w:val="22"/>
        </w:rPr>
        <w:t>χρήστη και δεν πρέπει να ξεπερνούν, υπό ομαλές συνθήκες, τις 24 ώρες σε θερμοκρασία 2 έως 8°</w:t>
      </w:r>
      <w:r w:rsidRPr="00F84FDB">
        <w:rPr>
          <w:szCs w:val="22"/>
          <w:lang w:val="en-US"/>
        </w:rPr>
        <w:t>C</w:t>
      </w:r>
      <w:r w:rsidRPr="00F84FDB">
        <w:rPr>
          <w:szCs w:val="22"/>
        </w:rPr>
        <w:t>,</w:t>
      </w:r>
    </w:p>
    <w:p w:rsidR="00CE1A61" w:rsidRPr="00F84FDB" w:rsidRDefault="00CE1A61" w:rsidP="00CE1A61">
      <w:pPr>
        <w:rPr>
          <w:szCs w:val="22"/>
        </w:rPr>
      </w:pPr>
      <w:r w:rsidRPr="00F84FDB">
        <w:rPr>
          <w:szCs w:val="22"/>
        </w:rPr>
        <w:t>εκτός εάν η ανασύσταση έχει λάβει χώρα σε ελεγχόμενες και διακριβωμένα άσηπτες συνθήκες.</w:t>
      </w:r>
    </w:p>
    <w:p w:rsidR="00CE1A61" w:rsidRPr="00F84FDB" w:rsidRDefault="00CE1A61" w:rsidP="00CE1A61">
      <w:pPr>
        <w:rPr>
          <w:szCs w:val="22"/>
        </w:rPr>
      </w:pPr>
    </w:p>
    <w:p w:rsidR="00CE1A61" w:rsidRPr="00F84FDB" w:rsidRDefault="00CE1A61" w:rsidP="00CE1A61">
      <w:pPr>
        <w:rPr>
          <w:b/>
          <w:szCs w:val="22"/>
        </w:rPr>
      </w:pPr>
      <w:r w:rsidRPr="00F84FDB">
        <w:rPr>
          <w:b/>
          <w:szCs w:val="22"/>
        </w:rPr>
        <w:t>Συμβατοί διαλύτες:</w:t>
      </w:r>
    </w:p>
    <w:p w:rsidR="00CE1A61" w:rsidRPr="00F84FDB" w:rsidRDefault="00CE1A61" w:rsidP="00CE1A61">
      <w:pPr>
        <w:rPr>
          <w:b/>
          <w:szCs w:val="22"/>
        </w:rPr>
      </w:pPr>
    </w:p>
    <w:p w:rsidR="00CE1A61" w:rsidRPr="00F84FDB" w:rsidRDefault="00CE1A61" w:rsidP="00CE1A61">
      <w:pPr>
        <w:rPr>
          <w:szCs w:val="22"/>
        </w:rPr>
      </w:pPr>
      <w:r w:rsidRPr="00F84FDB">
        <w:rPr>
          <w:szCs w:val="22"/>
        </w:rPr>
        <w:t>Το ανασυσταθέν διάλυμα μπορεί να αραιωθεί με:</w:t>
      </w:r>
    </w:p>
    <w:p w:rsidR="00CE1A61" w:rsidRPr="00F84FDB" w:rsidRDefault="00CE1A61" w:rsidP="00CE1A61">
      <w:pPr>
        <w:rPr>
          <w:szCs w:val="22"/>
        </w:rPr>
      </w:pPr>
      <w:r w:rsidRPr="00F84FDB">
        <w:rPr>
          <w:szCs w:val="22"/>
        </w:rPr>
        <w:t xml:space="preserve">Ενέσιμο Διάλυμα Χλωριούχου νατρίου 9 </w:t>
      </w:r>
      <w:r w:rsidRPr="00F84FDB">
        <w:rPr>
          <w:szCs w:val="22"/>
          <w:lang w:val="en-US"/>
        </w:rPr>
        <w:t>mg</w:t>
      </w:r>
      <w:r w:rsidRPr="00F84FDB">
        <w:rPr>
          <w:szCs w:val="22"/>
        </w:rPr>
        <w:t>/</w:t>
      </w:r>
      <w:r w:rsidRPr="00F84FDB">
        <w:rPr>
          <w:szCs w:val="22"/>
          <w:lang w:val="en-US"/>
        </w:rPr>
        <w:t>ml</w:t>
      </w:r>
      <w:r w:rsidRPr="00F84FDB">
        <w:rPr>
          <w:szCs w:val="22"/>
        </w:rPr>
        <w:t xml:space="preserve"> (0,9%)</w:t>
      </w:r>
    </w:p>
    <w:p w:rsidR="00CE1A61" w:rsidRPr="00F84FDB" w:rsidRDefault="00CE1A61" w:rsidP="00CE1A61">
      <w:pPr>
        <w:rPr>
          <w:szCs w:val="22"/>
        </w:rPr>
      </w:pPr>
      <w:r w:rsidRPr="00F84FDB">
        <w:rPr>
          <w:szCs w:val="22"/>
        </w:rPr>
        <w:t xml:space="preserve">Διάλυμα </w:t>
      </w:r>
      <w:r w:rsidRPr="00F84FDB">
        <w:rPr>
          <w:szCs w:val="22"/>
          <w:lang w:val="en-US"/>
        </w:rPr>
        <w:t>Compound</w:t>
      </w:r>
      <w:r w:rsidRPr="00F84FDB">
        <w:rPr>
          <w:szCs w:val="22"/>
        </w:rPr>
        <w:t xml:space="preserve"> </w:t>
      </w:r>
      <w:r w:rsidRPr="00F84FDB">
        <w:rPr>
          <w:szCs w:val="22"/>
          <w:lang w:val="en-US"/>
        </w:rPr>
        <w:t>Sodium</w:t>
      </w:r>
      <w:r w:rsidRPr="00F84FDB">
        <w:rPr>
          <w:szCs w:val="22"/>
        </w:rPr>
        <w:t xml:space="preserve"> </w:t>
      </w:r>
      <w:r w:rsidRPr="00F84FDB">
        <w:rPr>
          <w:szCs w:val="22"/>
          <w:lang w:val="en-US"/>
        </w:rPr>
        <w:t>Lactate</w:t>
      </w:r>
      <w:r w:rsidRPr="00F84FDB">
        <w:rPr>
          <w:szCs w:val="22"/>
        </w:rPr>
        <w:t xml:space="preserve"> για ενδοφλέβια έγχυση</w:t>
      </w:r>
    </w:p>
    <w:p w:rsidR="00CE1A61" w:rsidRPr="00F84FDB" w:rsidRDefault="00CE1A61" w:rsidP="00CE1A61">
      <w:pPr>
        <w:rPr>
          <w:szCs w:val="22"/>
        </w:rPr>
      </w:pPr>
      <w:r w:rsidRPr="00F84FDB">
        <w:rPr>
          <w:szCs w:val="22"/>
        </w:rPr>
        <w:t xml:space="preserve">Διάλυμα Γλυκόζης 5% και </w:t>
      </w:r>
      <w:r w:rsidRPr="00F84FDB">
        <w:rPr>
          <w:szCs w:val="22"/>
          <w:lang w:val="en-US"/>
        </w:rPr>
        <w:t>Lactated</w:t>
      </w:r>
      <w:r w:rsidRPr="00F84FDB">
        <w:rPr>
          <w:szCs w:val="22"/>
        </w:rPr>
        <w:t xml:space="preserve"> </w:t>
      </w:r>
      <w:r w:rsidRPr="00F84FDB">
        <w:rPr>
          <w:szCs w:val="22"/>
          <w:lang w:val="en-US"/>
        </w:rPr>
        <w:t>Ringer</w:t>
      </w:r>
      <w:r w:rsidRPr="00F84FDB">
        <w:rPr>
          <w:szCs w:val="22"/>
        </w:rPr>
        <w:t xml:space="preserve"> για ενδοφλέβια έγχυση</w:t>
      </w:r>
    </w:p>
    <w:p w:rsidR="00CE1A61" w:rsidRPr="00F84FDB" w:rsidRDefault="00CE1A61" w:rsidP="00CE1A61">
      <w:pPr>
        <w:rPr>
          <w:szCs w:val="22"/>
        </w:rPr>
      </w:pPr>
      <w:r w:rsidRPr="00F84FDB">
        <w:rPr>
          <w:szCs w:val="22"/>
        </w:rPr>
        <w:t>Διάλυμα Γλυκόζης 5% και Χλωριούχου νατρίου 0,45% για ενδοφλέβια έγχυση</w:t>
      </w:r>
    </w:p>
    <w:p w:rsidR="00CE1A61" w:rsidRPr="00F84FDB" w:rsidRDefault="00CE1A61" w:rsidP="00CE1A61">
      <w:pPr>
        <w:rPr>
          <w:szCs w:val="22"/>
        </w:rPr>
      </w:pPr>
      <w:r w:rsidRPr="00F84FDB">
        <w:rPr>
          <w:szCs w:val="22"/>
        </w:rPr>
        <w:t>Διάλυμα Γλυκόζης 5% για ενδοφλέβια έγχυση</w:t>
      </w:r>
    </w:p>
    <w:p w:rsidR="00CE1A61" w:rsidRPr="00F84FDB" w:rsidRDefault="00CE1A61" w:rsidP="00CE1A61">
      <w:pPr>
        <w:rPr>
          <w:szCs w:val="22"/>
        </w:rPr>
      </w:pPr>
      <w:r w:rsidRPr="00F84FDB">
        <w:rPr>
          <w:szCs w:val="22"/>
        </w:rPr>
        <w:t xml:space="preserve">Διάλυμα Γλυκόζης 5% σε 20 </w:t>
      </w:r>
      <w:r w:rsidRPr="00F84FDB">
        <w:rPr>
          <w:szCs w:val="22"/>
          <w:lang w:val="en-US"/>
        </w:rPr>
        <w:t>m</w:t>
      </w:r>
      <w:r w:rsidRPr="00F84FDB">
        <w:rPr>
          <w:szCs w:val="22"/>
        </w:rPr>
        <w:t>Ε</w:t>
      </w:r>
      <w:r w:rsidRPr="00F84FDB">
        <w:rPr>
          <w:szCs w:val="22"/>
          <w:lang w:val="en-US"/>
        </w:rPr>
        <w:t>q</w:t>
      </w:r>
      <w:r w:rsidRPr="00F84FDB">
        <w:rPr>
          <w:szCs w:val="22"/>
        </w:rPr>
        <w:t xml:space="preserve"> Χλωριούχου καλίου για ενδοφλέβια έγχυση</w:t>
      </w:r>
    </w:p>
    <w:p w:rsidR="00CE1A61" w:rsidRPr="00F84FDB" w:rsidRDefault="00CE1A61" w:rsidP="00CE1A61">
      <w:pPr>
        <w:rPr>
          <w:szCs w:val="22"/>
        </w:rPr>
      </w:pPr>
      <w:r w:rsidRPr="00F84FDB">
        <w:rPr>
          <w:szCs w:val="22"/>
        </w:rPr>
        <w:t>Διάλυμα Χλωριούχου νατρίου 0,45% για ενδοφλέβια έγχυση</w:t>
      </w:r>
    </w:p>
    <w:p w:rsidR="00CE1A61" w:rsidRPr="00F84FDB" w:rsidRDefault="00CE1A61" w:rsidP="00CE1A61">
      <w:pPr>
        <w:rPr>
          <w:szCs w:val="22"/>
        </w:rPr>
      </w:pPr>
      <w:r w:rsidRPr="00F84FDB">
        <w:rPr>
          <w:szCs w:val="22"/>
        </w:rPr>
        <w:t>Διάλυμα Γλυκόζης 5% και Χλωριούχου νατρίου 0,9% για ενδοφλέβια έγχυση</w:t>
      </w:r>
    </w:p>
    <w:p w:rsidR="00861E37" w:rsidRPr="00F84FDB" w:rsidRDefault="00861E37" w:rsidP="00CE1A61">
      <w:pPr>
        <w:rPr>
          <w:szCs w:val="22"/>
        </w:rPr>
      </w:pPr>
    </w:p>
    <w:p w:rsidR="00CE1A61" w:rsidRPr="00F84FDB" w:rsidRDefault="00CE1A61" w:rsidP="00CE1A61">
      <w:pPr>
        <w:rPr>
          <w:szCs w:val="22"/>
        </w:rPr>
      </w:pPr>
      <w:r w:rsidRPr="00F84FDB">
        <w:rPr>
          <w:szCs w:val="22"/>
        </w:rPr>
        <w:t xml:space="preserve">Η συμβατότητα του </w:t>
      </w:r>
      <w:r w:rsidR="004708D6" w:rsidRPr="00F84FDB">
        <w:rPr>
          <w:szCs w:val="22"/>
        </w:rPr>
        <w:t>V</w:t>
      </w:r>
      <w:r w:rsidR="004708D6" w:rsidRPr="00F84FDB">
        <w:rPr>
          <w:szCs w:val="22"/>
          <w:lang w:val="en-US"/>
        </w:rPr>
        <w:t>oriconazole</w:t>
      </w:r>
      <w:r w:rsidR="004708D6" w:rsidRPr="00F84FDB">
        <w:rPr>
          <w:szCs w:val="22"/>
        </w:rPr>
        <w:t xml:space="preserve"> </w:t>
      </w:r>
      <w:r w:rsidR="00D019EE" w:rsidRPr="00F84FDB">
        <w:rPr>
          <w:szCs w:val="22"/>
          <w:lang w:val="en-US"/>
        </w:rPr>
        <w:t>BRADEX</w:t>
      </w:r>
      <w:r w:rsidR="00D019EE" w:rsidRPr="00F84FDB">
        <w:rPr>
          <w:szCs w:val="22"/>
        </w:rPr>
        <w:t xml:space="preserve"> </w:t>
      </w:r>
      <w:r w:rsidRPr="00F84FDB">
        <w:rPr>
          <w:szCs w:val="22"/>
        </w:rPr>
        <w:t>με άλλους διαλύτες, εκτός από τους συγκεκριμένους που αναφέρονται</w:t>
      </w:r>
      <w:r w:rsidR="00861E37" w:rsidRPr="00F84FDB">
        <w:rPr>
          <w:szCs w:val="22"/>
        </w:rPr>
        <w:t xml:space="preserve"> </w:t>
      </w:r>
      <w:r w:rsidRPr="00F84FDB">
        <w:rPr>
          <w:szCs w:val="22"/>
        </w:rPr>
        <w:t>παραπάνω (ή αναφέρονται παρακάτω στις “Ασυμβατότητες”) είναι άγνωστη.</w:t>
      </w:r>
    </w:p>
    <w:p w:rsidR="00CE1A61" w:rsidRPr="00F84FDB" w:rsidRDefault="00CE1A61" w:rsidP="00CE1A61">
      <w:pPr>
        <w:rPr>
          <w:szCs w:val="22"/>
        </w:rPr>
      </w:pPr>
    </w:p>
    <w:p w:rsidR="00CE1A61" w:rsidRPr="00F84FDB" w:rsidRDefault="00CE1A61" w:rsidP="00CE1A61">
      <w:pPr>
        <w:rPr>
          <w:b/>
          <w:bCs/>
          <w:szCs w:val="22"/>
        </w:rPr>
      </w:pPr>
      <w:r w:rsidRPr="00F84FDB">
        <w:rPr>
          <w:b/>
          <w:bCs/>
          <w:szCs w:val="22"/>
        </w:rPr>
        <w:t>Ασυμβατότητες:</w:t>
      </w:r>
    </w:p>
    <w:p w:rsidR="00CE1A61" w:rsidRPr="00F84FDB" w:rsidRDefault="00CE1A61" w:rsidP="00CE1A61">
      <w:pPr>
        <w:rPr>
          <w:szCs w:val="22"/>
        </w:rPr>
      </w:pPr>
      <w:r w:rsidRPr="00F84FDB">
        <w:rPr>
          <w:szCs w:val="22"/>
        </w:rPr>
        <w:t xml:space="preserve">Το </w:t>
      </w:r>
      <w:r w:rsidR="004708D6" w:rsidRPr="00F84FDB">
        <w:rPr>
          <w:szCs w:val="22"/>
        </w:rPr>
        <w:t>V</w:t>
      </w:r>
      <w:r w:rsidR="004708D6" w:rsidRPr="00F84FDB">
        <w:rPr>
          <w:szCs w:val="22"/>
          <w:lang w:val="en-US"/>
        </w:rPr>
        <w:t>oriconazole</w:t>
      </w:r>
      <w:r w:rsidR="004708D6" w:rsidRPr="00F84FDB">
        <w:rPr>
          <w:szCs w:val="22"/>
        </w:rPr>
        <w:t xml:space="preserve"> </w:t>
      </w:r>
      <w:r w:rsidR="00D019EE" w:rsidRPr="00F84FDB">
        <w:rPr>
          <w:szCs w:val="22"/>
          <w:lang w:val="en-US"/>
        </w:rPr>
        <w:t>BRADEX</w:t>
      </w:r>
      <w:r w:rsidR="00D019EE" w:rsidRPr="00F84FDB">
        <w:rPr>
          <w:szCs w:val="22"/>
        </w:rPr>
        <w:t xml:space="preserve"> </w:t>
      </w:r>
      <w:r w:rsidRPr="00F84FDB">
        <w:rPr>
          <w:szCs w:val="22"/>
        </w:rPr>
        <w:t>δεν πρέπει να εγχέεται στην ίδια γραμμή ή κάνουλα ταυτόχρονα με άλλα φάρμακα προς</w:t>
      </w:r>
      <w:r w:rsidR="004708D6" w:rsidRPr="00F84FDB">
        <w:rPr>
          <w:szCs w:val="22"/>
        </w:rPr>
        <w:t xml:space="preserve"> </w:t>
      </w:r>
      <w:r w:rsidRPr="00F84FDB">
        <w:rPr>
          <w:szCs w:val="22"/>
        </w:rPr>
        <w:t>έγχυση, συμπεριλαμβανομένης της παρεντερικής διατροφής (π.χ. Aminofusin 10% Plus).</w:t>
      </w:r>
    </w:p>
    <w:p w:rsidR="00CE1A61" w:rsidRPr="00F84FDB" w:rsidRDefault="00CE1A61" w:rsidP="00CE1A61">
      <w:pPr>
        <w:rPr>
          <w:szCs w:val="22"/>
        </w:rPr>
      </w:pPr>
      <w:r w:rsidRPr="00F84FDB">
        <w:rPr>
          <w:szCs w:val="22"/>
        </w:rPr>
        <w:t xml:space="preserve">Εγχύσεις παραγόντων αίματος δεν πρέπει να γίνονται ταυτόχρονα με το </w:t>
      </w:r>
      <w:r w:rsidR="004708D6" w:rsidRPr="00F84FDB">
        <w:rPr>
          <w:szCs w:val="22"/>
        </w:rPr>
        <w:t>V</w:t>
      </w:r>
      <w:r w:rsidR="004708D6" w:rsidRPr="00F84FDB">
        <w:rPr>
          <w:szCs w:val="22"/>
          <w:lang w:val="en-US"/>
        </w:rPr>
        <w:t>oriconazole</w:t>
      </w:r>
      <w:r w:rsidR="004708D6" w:rsidRPr="00F84FDB">
        <w:rPr>
          <w:szCs w:val="22"/>
        </w:rPr>
        <w:t xml:space="preserve"> </w:t>
      </w:r>
      <w:r w:rsidR="00D019EE" w:rsidRPr="00F84FDB">
        <w:rPr>
          <w:szCs w:val="22"/>
          <w:lang w:val="en-US"/>
        </w:rPr>
        <w:t>BRADEX</w:t>
      </w:r>
      <w:r w:rsidRPr="00F84FDB">
        <w:rPr>
          <w:szCs w:val="22"/>
        </w:rPr>
        <w:t>.</w:t>
      </w:r>
    </w:p>
    <w:p w:rsidR="00CE1A61" w:rsidRPr="00F84FDB" w:rsidRDefault="00CE1A61" w:rsidP="00CE1A61">
      <w:pPr>
        <w:rPr>
          <w:szCs w:val="22"/>
        </w:rPr>
      </w:pPr>
      <w:r w:rsidRPr="00F84FDB">
        <w:rPr>
          <w:szCs w:val="22"/>
        </w:rPr>
        <w:t>Η έγχυση ολικής παρεντερικής διατροφής μπορεί να γίνει ταυτόχρονα με τη βορικοναζόλη, αλλά όχι</w:t>
      </w:r>
    </w:p>
    <w:p w:rsidR="00CE1A61" w:rsidRPr="00F84FDB" w:rsidRDefault="00CE1A61" w:rsidP="00CE1A61">
      <w:pPr>
        <w:rPr>
          <w:szCs w:val="22"/>
        </w:rPr>
      </w:pPr>
      <w:r w:rsidRPr="00F84FDB">
        <w:rPr>
          <w:szCs w:val="22"/>
        </w:rPr>
        <w:t>στην ίδια γραμμή ή κάνουλα.</w:t>
      </w:r>
    </w:p>
    <w:p w:rsidR="00CE1A61" w:rsidRPr="00B336DF" w:rsidRDefault="00CE1A61" w:rsidP="00CE1A61">
      <w:pPr>
        <w:rPr>
          <w:szCs w:val="22"/>
        </w:rPr>
      </w:pPr>
      <w:r w:rsidRPr="00F84FDB">
        <w:rPr>
          <w:szCs w:val="22"/>
        </w:rPr>
        <w:t xml:space="preserve">Το </w:t>
      </w:r>
      <w:r w:rsidR="004708D6" w:rsidRPr="00F84FDB">
        <w:rPr>
          <w:szCs w:val="22"/>
        </w:rPr>
        <w:t>V</w:t>
      </w:r>
      <w:r w:rsidR="004708D6" w:rsidRPr="00F84FDB">
        <w:rPr>
          <w:szCs w:val="22"/>
          <w:lang w:val="en-US"/>
        </w:rPr>
        <w:t>oriconazole</w:t>
      </w:r>
      <w:r w:rsidR="004708D6" w:rsidRPr="00F84FDB">
        <w:rPr>
          <w:szCs w:val="22"/>
        </w:rPr>
        <w:t xml:space="preserve"> </w:t>
      </w:r>
      <w:r w:rsidR="00D019EE" w:rsidRPr="00F84FDB">
        <w:rPr>
          <w:szCs w:val="22"/>
          <w:lang w:val="en-US"/>
        </w:rPr>
        <w:t>BRADEX</w:t>
      </w:r>
      <w:r w:rsidR="00D019EE" w:rsidRPr="00F84FDB">
        <w:rPr>
          <w:szCs w:val="22"/>
        </w:rPr>
        <w:t xml:space="preserve"> </w:t>
      </w:r>
      <w:r w:rsidRPr="00F84FDB">
        <w:rPr>
          <w:szCs w:val="22"/>
        </w:rPr>
        <w:t>δεν πρέπει να αραιώνεται με διάλυμα ενδοφλέβιας έγχυσης διττανθρακικού νατρίου</w:t>
      </w:r>
      <w:r w:rsidR="00861E37" w:rsidRPr="00F84FDB">
        <w:rPr>
          <w:szCs w:val="22"/>
        </w:rPr>
        <w:t xml:space="preserve"> </w:t>
      </w:r>
      <w:r w:rsidRPr="00F84FDB">
        <w:rPr>
          <w:szCs w:val="22"/>
        </w:rPr>
        <w:t>4,2%.</w:t>
      </w:r>
    </w:p>
    <w:sectPr w:rsidR="00CE1A61" w:rsidRPr="00B336DF" w:rsidSect="00E402E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F3" w:rsidRDefault="006E7DF3" w:rsidP="007B76E5">
      <w:r>
        <w:separator/>
      </w:r>
    </w:p>
  </w:endnote>
  <w:endnote w:type="continuationSeparator" w:id="0">
    <w:p w:rsidR="006E7DF3" w:rsidRDefault="006E7DF3" w:rsidP="007B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F3" w:rsidRDefault="006E7DF3" w:rsidP="007B76E5">
      <w:r>
        <w:separator/>
      </w:r>
    </w:p>
  </w:footnote>
  <w:footnote w:type="continuationSeparator" w:id="0">
    <w:p w:rsidR="006E7DF3" w:rsidRDefault="006E7DF3" w:rsidP="007B7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vertAlign w:val="superscript"/>
      </w:rPr>
    </w:lvl>
  </w:abstractNum>
  <w:abstractNum w:abstractNumId="1">
    <w:nsid w:val="13D1728C"/>
    <w:multiLevelType w:val="hybridMultilevel"/>
    <w:tmpl w:val="9696A614"/>
    <w:lvl w:ilvl="0" w:tplc="0D1C3424">
      <w:start w:val="200"/>
      <w:numFmt w:val="bullet"/>
      <w:lvlText w:val="-"/>
      <w:lvlJc w:val="left"/>
      <w:pPr>
        <w:ind w:left="1363" w:hanging="360"/>
      </w:pPr>
      <w:rPr>
        <w:rFonts w:ascii="TimesNewRoman" w:eastAsiaTheme="minorEastAsia" w:hAnsi="TimesNewRoman" w:cs="TimesNewRoman"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2">
    <w:nsid w:val="27B34555"/>
    <w:multiLevelType w:val="hybridMultilevel"/>
    <w:tmpl w:val="422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92D46"/>
    <w:multiLevelType w:val="hybridMultilevel"/>
    <w:tmpl w:val="6B9C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B2FCC"/>
    <w:multiLevelType w:val="hybridMultilevel"/>
    <w:tmpl w:val="D63A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C06135C"/>
    <w:multiLevelType w:val="hybridMultilevel"/>
    <w:tmpl w:val="B676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1750F"/>
    <w:multiLevelType w:val="hybridMultilevel"/>
    <w:tmpl w:val="95CAF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3"/>
  </w:num>
  <w:num w:numId="6">
    <w:abstractNumId w:val="4"/>
  </w:num>
  <w:num w:numId="7">
    <w:abstractNumId w:val="6"/>
  </w:num>
  <w:num w:numId="8">
    <w:abstractNumId w:val="2"/>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1"/>
    <w:rsid w:val="00000831"/>
    <w:rsid w:val="000024B1"/>
    <w:rsid w:val="00004EE6"/>
    <w:rsid w:val="0000586A"/>
    <w:rsid w:val="000209E2"/>
    <w:rsid w:val="000263FC"/>
    <w:rsid w:val="0003012F"/>
    <w:rsid w:val="00032811"/>
    <w:rsid w:val="00033DBA"/>
    <w:rsid w:val="00033EA5"/>
    <w:rsid w:val="0003711C"/>
    <w:rsid w:val="00041BD1"/>
    <w:rsid w:val="00042CBB"/>
    <w:rsid w:val="00043BDF"/>
    <w:rsid w:val="00046450"/>
    <w:rsid w:val="000479C6"/>
    <w:rsid w:val="000540BE"/>
    <w:rsid w:val="00057933"/>
    <w:rsid w:val="000605AA"/>
    <w:rsid w:val="00063311"/>
    <w:rsid w:val="000650F2"/>
    <w:rsid w:val="00065AC8"/>
    <w:rsid w:val="00066105"/>
    <w:rsid w:val="00066D4B"/>
    <w:rsid w:val="00070FE4"/>
    <w:rsid w:val="00071B1B"/>
    <w:rsid w:val="00073FA6"/>
    <w:rsid w:val="00076C5D"/>
    <w:rsid w:val="00080DE1"/>
    <w:rsid w:val="00086A11"/>
    <w:rsid w:val="000875D3"/>
    <w:rsid w:val="000955FC"/>
    <w:rsid w:val="00097722"/>
    <w:rsid w:val="000A0499"/>
    <w:rsid w:val="000A2E99"/>
    <w:rsid w:val="000A5AC6"/>
    <w:rsid w:val="000A5B2A"/>
    <w:rsid w:val="000B0240"/>
    <w:rsid w:val="000B0D74"/>
    <w:rsid w:val="000B0FB1"/>
    <w:rsid w:val="000B10FF"/>
    <w:rsid w:val="000B677A"/>
    <w:rsid w:val="000B6F14"/>
    <w:rsid w:val="000B7285"/>
    <w:rsid w:val="000C0661"/>
    <w:rsid w:val="000C6440"/>
    <w:rsid w:val="000C7A80"/>
    <w:rsid w:val="000D073C"/>
    <w:rsid w:val="000D11D2"/>
    <w:rsid w:val="000D13FC"/>
    <w:rsid w:val="000D20AD"/>
    <w:rsid w:val="000D5231"/>
    <w:rsid w:val="000D596A"/>
    <w:rsid w:val="000D5FA0"/>
    <w:rsid w:val="000D7444"/>
    <w:rsid w:val="000F09B9"/>
    <w:rsid w:val="000F1D67"/>
    <w:rsid w:val="000F2699"/>
    <w:rsid w:val="000F6CA4"/>
    <w:rsid w:val="00100F5C"/>
    <w:rsid w:val="00102F0E"/>
    <w:rsid w:val="00104E44"/>
    <w:rsid w:val="001077BA"/>
    <w:rsid w:val="00107BC9"/>
    <w:rsid w:val="00107D05"/>
    <w:rsid w:val="00111BBC"/>
    <w:rsid w:val="00111E5C"/>
    <w:rsid w:val="00112979"/>
    <w:rsid w:val="00120DE5"/>
    <w:rsid w:val="00124015"/>
    <w:rsid w:val="00124817"/>
    <w:rsid w:val="00124D69"/>
    <w:rsid w:val="0012682E"/>
    <w:rsid w:val="00126B10"/>
    <w:rsid w:val="00126EC6"/>
    <w:rsid w:val="001272DC"/>
    <w:rsid w:val="0013130F"/>
    <w:rsid w:val="00131351"/>
    <w:rsid w:val="00132AD9"/>
    <w:rsid w:val="00133360"/>
    <w:rsid w:val="00133410"/>
    <w:rsid w:val="00134222"/>
    <w:rsid w:val="00141864"/>
    <w:rsid w:val="00141C4B"/>
    <w:rsid w:val="00142D9F"/>
    <w:rsid w:val="00142F9E"/>
    <w:rsid w:val="001449A2"/>
    <w:rsid w:val="001451AE"/>
    <w:rsid w:val="00150AA1"/>
    <w:rsid w:val="0015509F"/>
    <w:rsid w:val="00157722"/>
    <w:rsid w:val="00170C4A"/>
    <w:rsid w:val="0017154C"/>
    <w:rsid w:val="0017524C"/>
    <w:rsid w:val="001814FF"/>
    <w:rsid w:val="00181A74"/>
    <w:rsid w:val="00184C9D"/>
    <w:rsid w:val="001852F4"/>
    <w:rsid w:val="001914F2"/>
    <w:rsid w:val="00194D68"/>
    <w:rsid w:val="00195CC5"/>
    <w:rsid w:val="00196761"/>
    <w:rsid w:val="001A0834"/>
    <w:rsid w:val="001A17F5"/>
    <w:rsid w:val="001A4DEE"/>
    <w:rsid w:val="001A5340"/>
    <w:rsid w:val="001A7333"/>
    <w:rsid w:val="001B5CDE"/>
    <w:rsid w:val="001C226F"/>
    <w:rsid w:val="001C2A5F"/>
    <w:rsid w:val="001C2D41"/>
    <w:rsid w:val="001C641A"/>
    <w:rsid w:val="001D29A3"/>
    <w:rsid w:val="001D498F"/>
    <w:rsid w:val="001D5112"/>
    <w:rsid w:val="001D5ECE"/>
    <w:rsid w:val="001D6EBC"/>
    <w:rsid w:val="001E10B6"/>
    <w:rsid w:val="001F111E"/>
    <w:rsid w:val="00202BFE"/>
    <w:rsid w:val="002038E4"/>
    <w:rsid w:val="00206AB5"/>
    <w:rsid w:val="002075F6"/>
    <w:rsid w:val="00207D27"/>
    <w:rsid w:val="0021368F"/>
    <w:rsid w:val="00213A0E"/>
    <w:rsid w:val="00223088"/>
    <w:rsid w:val="00226A7F"/>
    <w:rsid w:val="00230F9C"/>
    <w:rsid w:val="00231EC6"/>
    <w:rsid w:val="00232B1C"/>
    <w:rsid w:val="002344ED"/>
    <w:rsid w:val="0023492A"/>
    <w:rsid w:val="002367EA"/>
    <w:rsid w:val="002371ED"/>
    <w:rsid w:val="00240D5A"/>
    <w:rsid w:val="00241628"/>
    <w:rsid w:val="002430C7"/>
    <w:rsid w:val="002442BD"/>
    <w:rsid w:val="002447DB"/>
    <w:rsid w:val="002449DA"/>
    <w:rsid w:val="00244A14"/>
    <w:rsid w:val="0024645D"/>
    <w:rsid w:val="00246E8C"/>
    <w:rsid w:val="002475CC"/>
    <w:rsid w:val="00251178"/>
    <w:rsid w:val="0025436A"/>
    <w:rsid w:val="00254505"/>
    <w:rsid w:val="0025457F"/>
    <w:rsid w:val="00254F1A"/>
    <w:rsid w:val="0025536B"/>
    <w:rsid w:val="00257905"/>
    <w:rsid w:val="00260D87"/>
    <w:rsid w:val="00261183"/>
    <w:rsid w:val="00261ADC"/>
    <w:rsid w:val="0026316C"/>
    <w:rsid w:val="00264888"/>
    <w:rsid w:val="00264F35"/>
    <w:rsid w:val="00266F3D"/>
    <w:rsid w:val="0027366B"/>
    <w:rsid w:val="00274B8F"/>
    <w:rsid w:val="00276DD9"/>
    <w:rsid w:val="00277471"/>
    <w:rsid w:val="002835E2"/>
    <w:rsid w:val="002850D2"/>
    <w:rsid w:val="00287690"/>
    <w:rsid w:val="00287B09"/>
    <w:rsid w:val="00290A94"/>
    <w:rsid w:val="00291C40"/>
    <w:rsid w:val="00294731"/>
    <w:rsid w:val="00295479"/>
    <w:rsid w:val="002A033F"/>
    <w:rsid w:val="002A0385"/>
    <w:rsid w:val="002A1473"/>
    <w:rsid w:val="002A3256"/>
    <w:rsid w:val="002A4836"/>
    <w:rsid w:val="002A4E21"/>
    <w:rsid w:val="002A536B"/>
    <w:rsid w:val="002A666B"/>
    <w:rsid w:val="002A722A"/>
    <w:rsid w:val="002A7837"/>
    <w:rsid w:val="002B1174"/>
    <w:rsid w:val="002B4797"/>
    <w:rsid w:val="002C26CD"/>
    <w:rsid w:val="002C3F3A"/>
    <w:rsid w:val="002C4DB6"/>
    <w:rsid w:val="002C5A80"/>
    <w:rsid w:val="002C773F"/>
    <w:rsid w:val="002D0398"/>
    <w:rsid w:val="002D31E4"/>
    <w:rsid w:val="002D36D2"/>
    <w:rsid w:val="002D6307"/>
    <w:rsid w:val="002E180D"/>
    <w:rsid w:val="002E30E5"/>
    <w:rsid w:val="002E52F0"/>
    <w:rsid w:val="002E5787"/>
    <w:rsid w:val="002E5F0A"/>
    <w:rsid w:val="002F4A96"/>
    <w:rsid w:val="002F7491"/>
    <w:rsid w:val="00303116"/>
    <w:rsid w:val="00303B0B"/>
    <w:rsid w:val="00304381"/>
    <w:rsid w:val="003119D8"/>
    <w:rsid w:val="0031578A"/>
    <w:rsid w:val="003161F0"/>
    <w:rsid w:val="003208A1"/>
    <w:rsid w:val="00320BA0"/>
    <w:rsid w:val="00327811"/>
    <w:rsid w:val="003308A6"/>
    <w:rsid w:val="003309A3"/>
    <w:rsid w:val="00331146"/>
    <w:rsid w:val="003323D2"/>
    <w:rsid w:val="0033437C"/>
    <w:rsid w:val="003366FF"/>
    <w:rsid w:val="00336A6D"/>
    <w:rsid w:val="00337D82"/>
    <w:rsid w:val="00340DF0"/>
    <w:rsid w:val="003411F0"/>
    <w:rsid w:val="00342947"/>
    <w:rsid w:val="00344DCA"/>
    <w:rsid w:val="0034712B"/>
    <w:rsid w:val="00350A17"/>
    <w:rsid w:val="00350F37"/>
    <w:rsid w:val="003513AB"/>
    <w:rsid w:val="003520C8"/>
    <w:rsid w:val="00352997"/>
    <w:rsid w:val="003609A3"/>
    <w:rsid w:val="00361123"/>
    <w:rsid w:val="00361D8A"/>
    <w:rsid w:val="00365ACD"/>
    <w:rsid w:val="00370559"/>
    <w:rsid w:val="00376DE4"/>
    <w:rsid w:val="003801D0"/>
    <w:rsid w:val="00381A2D"/>
    <w:rsid w:val="00382279"/>
    <w:rsid w:val="00391CE5"/>
    <w:rsid w:val="00397340"/>
    <w:rsid w:val="003A1E49"/>
    <w:rsid w:val="003A3B7B"/>
    <w:rsid w:val="003A551C"/>
    <w:rsid w:val="003B0942"/>
    <w:rsid w:val="003B3056"/>
    <w:rsid w:val="003B7947"/>
    <w:rsid w:val="003C3422"/>
    <w:rsid w:val="003C58EB"/>
    <w:rsid w:val="003C7724"/>
    <w:rsid w:val="003D1E31"/>
    <w:rsid w:val="003D4B39"/>
    <w:rsid w:val="003D4EC7"/>
    <w:rsid w:val="003D73D7"/>
    <w:rsid w:val="003E01F5"/>
    <w:rsid w:val="003E181C"/>
    <w:rsid w:val="003F0009"/>
    <w:rsid w:val="00400181"/>
    <w:rsid w:val="004010C1"/>
    <w:rsid w:val="004039CF"/>
    <w:rsid w:val="004041C8"/>
    <w:rsid w:val="0040501F"/>
    <w:rsid w:val="004114D0"/>
    <w:rsid w:val="00412BB5"/>
    <w:rsid w:val="00414793"/>
    <w:rsid w:val="004150F1"/>
    <w:rsid w:val="004168B5"/>
    <w:rsid w:val="004208DA"/>
    <w:rsid w:val="00422CD6"/>
    <w:rsid w:val="00423073"/>
    <w:rsid w:val="004239C2"/>
    <w:rsid w:val="004302F4"/>
    <w:rsid w:val="004304A1"/>
    <w:rsid w:val="00437222"/>
    <w:rsid w:val="004401BB"/>
    <w:rsid w:val="00441C63"/>
    <w:rsid w:val="004435B0"/>
    <w:rsid w:val="00447E57"/>
    <w:rsid w:val="0045308C"/>
    <w:rsid w:val="0045365B"/>
    <w:rsid w:val="0045493D"/>
    <w:rsid w:val="0045504D"/>
    <w:rsid w:val="004551C8"/>
    <w:rsid w:val="00455907"/>
    <w:rsid w:val="00456068"/>
    <w:rsid w:val="004563AB"/>
    <w:rsid w:val="004615BA"/>
    <w:rsid w:val="00462602"/>
    <w:rsid w:val="004629D0"/>
    <w:rsid w:val="004708D6"/>
    <w:rsid w:val="0047525C"/>
    <w:rsid w:val="0047642F"/>
    <w:rsid w:val="0048031C"/>
    <w:rsid w:val="00482125"/>
    <w:rsid w:val="00485AAB"/>
    <w:rsid w:val="00486C5C"/>
    <w:rsid w:val="00487138"/>
    <w:rsid w:val="004876B1"/>
    <w:rsid w:val="00487E9B"/>
    <w:rsid w:val="00490CDC"/>
    <w:rsid w:val="00491E10"/>
    <w:rsid w:val="00492449"/>
    <w:rsid w:val="00492706"/>
    <w:rsid w:val="004948E3"/>
    <w:rsid w:val="00495247"/>
    <w:rsid w:val="0049582F"/>
    <w:rsid w:val="00496107"/>
    <w:rsid w:val="00496598"/>
    <w:rsid w:val="004973BC"/>
    <w:rsid w:val="0049787E"/>
    <w:rsid w:val="004A4991"/>
    <w:rsid w:val="004A50BF"/>
    <w:rsid w:val="004A65A7"/>
    <w:rsid w:val="004A6B94"/>
    <w:rsid w:val="004A7DA6"/>
    <w:rsid w:val="004B004F"/>
    <w:rsid w:val="004B0961"/>
    <w:rsid w:val="004B37CB"/>
    <w:rsid w:val="004B39C9"/>
    <w:rsid w:val="004B4A0A"/>
    <w:rsid w:val="004B7416"/>
    <w:rsid w:val="004C219D"/>
    <w:rsid w:val="004C494E"/>
    <w:rsid w:val="004C5133"/>
    <w:rsid w:val="004C52F2"/>
    <w:rsid w:val="004C5DB0"/>
    <w:rsid w:val="004C6BD3"/>
    <w:rsid w:val="004D5E71"/>
    <w:rsid w:val="004D5FB7"/>
    <w:rsid w:val="004E6557"/>
    <w:rsid w:val="004F0527"/>
    <w:rsid w:val="004F416C"/>
    <w:rsid w:val="004F4C2B"/>
    <w:rsid w:val="00503811"/>
    <w:rsid w:val="0050392C"/>
    <w:rsid w:val="005044D9"/>
    <w:rsid w:val="00505109"/>
    <w:rsid w:val="00507EBE"/>
    <w:rsid w:val="0051026D"/>
    <w:rsid w:val="00510972"/>
    <w:rsid w:val="00511341"/>
    <w:rsid w:val="00511414"/>
    <w:rsid w:val="00514322"/>
    <w:rsid w:val="00521410"/>
    <w:rsid w:val="00522769"/>
    <w:rsid w:val="005248F3"/>
    <w:rsid w:val="005320A0"/>
    <w:rsid w:val="005355CF"/>
    <w:rsid w:val="0053612C"/>
    <w:rsid w:val="0054051A"/>
    <w:rsid w:val="00540D12"/>
    <w:rsid w:val="00541F14"/>
    <w:rsid w:val="0054368F"/>
    <w:rsid w:val="00545956"/>
    <w:rsid w:val="005464C8"/>
    <w:rsid w:val="00551603"/>
    <w:rsid w:val="0055613F"/>
    <w:rsid w:val="00556306"/>
    <w:rsid w:val="00556795"/>
    <w:rsid w:val="00565E8D"/>
    <w:rsid w:val="0056734C"/>
    <w:rsid w:val="00573952"/>
    <w:rsid w:val="00574FFA"/>
    <w:rsid w:val="0058224D"/>
    <w:rsid w:val="00582581"/>
    <w:rsid w:val="00586418"/>
    <w:rsid w:val="0058657C"/>
    <w:rsid w:val="0058715C"/>
    <w:rsid w:val="005945CB"/>
    <w:rsid w:val="0059502C"/>
    <w:rsid w:val="0059666A"/>
    <w:rsid w:val="005970D5"/>
    <w:rsid w:val="005A4927"/>
    <w:rsid w:val="005A72C5"/>
    <w:rsid w:val="005B3904"/>
    <w:rsid w:val="005B5B2D"/>
    <w:rsid w:val="005C0045"/>
    <w:rsid w:val="005C3C6F"/>
    <w:rsid w:val="005C4168"/>
    <w:rsid w:val="005C4511"/>
    <w:rsid w:val="005C6204"/>
    <w:rsid w:val="005D0C12"/>
    <w:rsid w:val="005D21E9"/>
    <w:rsid w:val="005D4129"/>
    <w:rsid w:val="005D449F"/>
    <w:rsid w:val="005D463F"/>
    <w:rsid w:val="005D49FC"/>
    <w:rsid w:val="005D5BF5"/>
    <w:rsid w:val="005E087D"/>
    <w:rsid w:val="005E0B73"/>
    <w:rsid w:val="005E2B50"/>
    <w:rsid w:val="005E35B8"/>
    <w:rsid w:val="005F12A6"/>
    <w:rsid w:val="005F74A7"/>
    <w:rsid w:val="00600FC9"/>
    <w:rsid w:val="006034C2"/>
    <w:rsid w:val="0061230F"/>
    <w:rsid w:val="006164F8"/>
    <w:rsid w:val="0061710F"/>
    <w:rsid w:val="00620A4B"/>
    <w:rsid w:val="00621985"/>
    <w:rsid w:val="00621D5E"/>
    <w:rsid w:val="00622B2A"/>
    <w:rsid w:val="0062753E"/>
    <w:rsid w:val="00632C57"/>
    <w:rsid w:val="0063595D"/>
    <w:rsid w:val="00637C5E"/>
    <w:rsid w:val="0064114C"/>
    <w:rsid w:val="00650CE3"/>
    <w:rsid w:val="00651DCC"/>
    <w:rsid w:val="0065264D"/>
    <w:rsid w:val="0065440C"/>
    <w:rsid w:val="006602ED"/>
    <w:rsid w:val="006608D8"/>
    <w:rsid w:val="00661D04"/>
    <w:rsid w:val="0066241E"/>
    <w:rsid w:val="00665135"/>
    <w:rsid w:val="00665B09"/>
    <w:rsid w:val="0067127C"/>
    <w:rsid w:val="00671B2D"/>
    <w:rsid w:val="00686EF7"/>
    <w:rsid w:val="00690283"/>
    <w:rsid w:val="00693176"/>
    <w:rsid w:val="006971F0"/>
    <w:rsid w:val="00697906"/>
    <w:rsid w:val="00697FA5"/>
    <w:rsid w:val="006A14BB"/>
    <w:rsid w:val="006A1609"/>
    <w:rsid w:val="006A1A0B"/>
    <w:rsid w:val="006A2350"/>
    <w:rsid w:val="006A34DE"/>
    <w:rsid w:val="006A6D0B"/>
    <w:rsid w:val="006B1882"/>
    <w:rsid w:val="006B5876"/>
    <w:rsid w:val="006B7FA8"/>
    <w:rsid w:val="006C388A"/>
    <w:rsid w:val="006C4FA6"/>
    <w:rsid w:val="006C55CB"/>
    <w:rsid w:val="006C5ACD"/>
    <w:rsid w:val="006D16BA"/>
    <w:rsid w:val="006D2B1D"/>
    <w:rsid w:val="006D548E"/>
    <w:rsid w:val="006D71E8"/>
    <w:rsid w:val="006E23E1"/>
    <w:rsid w:val="006E354C"/>
    <w:rsid w:val="006E35BE"/>
    <w:rsid w:val="006E60D4"/>
    <w:rsid w:val="006E7DF3"/>
    <w:rsid w:val="006F0E68"/>
    <w:rsid w:val="006F2A03"/>
    <w:rsid w:val="006F2F5A"/>
    <w:rsid w:val="006F61E2"/>
    <w:rsid w:val="006F6795"/>
    <w:rsid w:val="006F753C"/>
    <w:rsid w:val="007008A0"/>
    <w:rsid w:val="007040A8"/>
    <w:rsid w:val="00705645"/>
    <w:rsid w:val="00707A06"/>
    <w:rsid w:val="00714253"/>
    <w:rsid w:val="007151F5"/>
    <w:rsid w:val="00717149"/>
    <w:rsid w:val="00717CDC"/>
    <w:rsid w:val="00720648"/>
    <w:rsid w:val="007221B3"/>
    <w:rsid w:val="00730F9C"/>
    <w:rsid w:val="00731515"/>
    <w:rsid w:val="00731BF9"/>
    <w:rsid w:val="00732539"/>
    <w:rsid w:val="00735384"/>
    <w:rsid w:val="00735720"/>
    <w:rsid w:val="0073609B"/>
    <w:rsid w:val="00740DEA"/>
    <w:rsid w:val="00742881"/>
    <w:rsid w:val="007434F9"/>
    <w:rsid w:val="007476A6"/>
    <w:rsid w:val="00747F29"/>
    <w:rsid w:val="007525A0"/>
    <w:rsid w:val="007529A3"/>
    <w:rsid w:val="00754B91"/>
    <w:rsid w:val="0076244A"/>
    <w:rsid w:val="00763775"/>
    <w:rsid w:val="007641BF"/>
    <w:rsid w:val="00766931"/>
    <w:rsid w:val="007706C1"/>
    <w:rsid w:val="00772F9B"/>
    <w:rsid w:val="0077350E"/>
    <w:rsid w:val="00773923"/>
    <w:rsid w:val="007768EB"/>
    <w:rsid w:val="0078004A"/>
    <w:rsid w:val="00783746"/>
    <w:rsid w:val="00783B75"/>
    <w:rsid w:val="00785A9E"/>
    <w:rsid w:val="007913C0"/>
    <w:rsid w:val="007935A2"/>
    <w:rsid w:val="00793F7A"/>
    <w:rsid w:val="0079412B"/>
    <w:rsid w:val="00795F17"/>
    <w:rsid w:val="007A3132"/>
    <w:rsid w:val="007A3BBE"/>
    <w:rsid w:val="007A4131"/>
    <w:rsid w:val="007A5E44"/>
    <w:rsid w:val="007B04AA"/>
    <w:rsid w:val="007B2C77"/>
    <w:rsid w:val="007B6E42"/>
    <w:rsid w:val="007B76E5"/>
    <w:rsid w:val="007C1DBA"/>
    <w:rsid w:val="007C272A"/>
    <w:rsid w:val="007C29EB"/>
    <w:rsid w:val="007C6BF4"/>
    <w:rsid w:val="007C7718"/>
    <w:rsid w:val="007D2212"/>
    <w:rsid w:val="007D28A3"/>
    <w:rsid w:val="007D5D13"/>
    <w:rsid w:val="007D747C"/>
    <w:rsid w:val="007E133C"/>
    <w:rsid w:val="007E1724"/>
    <w:rsid w:val="007E2221"/>
    <w:rsid w:val="007F0724"/>
    <w:rsid w:val="007F2488"/>
    <w:rsid w:val="007F43C8"/>
    <w:rsid w:val="007F452C"/>
    <w:rsid w:val="007F5174"/>
    <w:rsid w:val="007F6A3E"/>
    <w:rsid w:val="007F6F9C"/>
    <w:rsid w:val="0080018A"/>
    <w:rsid w:val="00801072"/>
    <w:rsid w:val="008010C2"/>
    <w:rsid w:val="00803C84"/>
    <w:rsid w:val="0080609A"/>
    <w:rsid w:val="008114E4"/>
    <w:rsid w:val="008227E3"/>
    <w:rsid w:val="00823D2F"/>
    <w:rsid w:val="008248A3"/>
    <w:rsid w:val="008264A3"/>
    <w:rsid w:val="00832F10"/>
    <w:rsid w:val="008451D0"/>
    <w:rsid w:val="008456F0"/>
    <w:rsid w:val="008457F8"/>
    <w:rsid w:val="00847B68"/>
    <w:rsid w:val="008605C9"/>
    <w:rsid w:val="00861318"/>
    <w:rsid w:val="00861E37"/>
    <w:rsid w:val="00862E8C"/>
    <w:rsid w:val="00870FB5"/>
    <w:rsid w:val="00871320"/>
    <w:rsid w:val="008716A0"/>
    <w:rsid w:val="008733C1"/>
    <w:rsid w:val="008825BD"/>
    <w:rsid w:val="008847DD"/>
    <w:rsid w:val="00885683"/>
    <w:rsid w:val="00887947"/>
    <w:rsid w:val="00892D9F"/>
    <w:rsid w:val="008970DE"/>
    <w:rsid w:val="008A0733"/>
    <w:rsid w:val="008A1C34"/>
    <w:rsid w:val="008A33BD"/>
    <w:rsid w:val="008A6B30"/>
    <w:rsid w:val="008B0C27"/>
    <w:rsid w:val="008B3FF2"/>
    <w:rsid w:val="008C3AB0"/>
    <w:rsid w:val="008C4CD8"/>
    <w:rsid w:val="008C54CB"/>
    <w:rsid w:val="008C57D1"/>
    <w:rsid w:val="008C584F"/>
    <w:rsid w:val="008C6153"/>
    <w:rsid w:val="008C7490"/>
    <w:rsid w:val="008D1038"/>
    <w:rsid w:val="008D452B"/>
    <w:rsid w:val="008D4B50"/>
    <w:rsid w:val="008D523B"/>
    <w:rsid w:val="008D7842"/>
    <w:rsid w:val="008E0FB8"/>
    <w:rsid w:val="008E2F6D"/>
    <w:rsid w:val="008E53BC"/>
    <w:rsid w:val="008E71E9"/>
    <w:rsid w:val="008F1B20"/>
    <w:rsid w:val="008F2D73"/>
    <w:rsid w:val="008F3D21"/>
    <w:rsid w:val="0090023B"/>
    <w:rsid w:val="009020C6"/>
    <w:rsid w:val="00911249"/>
    <w:rsid w:val="00911370"/>
    <w:rsid w:val="00913D30"/>
    <w:rsid w:val="0091784A"/>
    <w:rsid w:val="00920B74"/>
    <w:rsid w:val="009235A0"/>
    <w:rsid w:val="00923A06"/>
    <w:rsid w:val="00925898"/>
    <w:rsid w:val="00926B8C"/>
    <w:rsid w:val="00930A02"/>
    <w:rsid w:val="009317E1"/>
    <w:rsid w:val="00932675"/>
    <w:rsid w:val="0093355E"/>
    <w:rsid w:val="00933D96"/>
    <w:rsid w:val="00934DA2"/>
    <w:rsid w:val="009356D5"/>
    <w:rsid w:val="009359CA"/>
    <w:rsid w:val="0094116B"/>
    <w:rsid w:val="00942B7A"/>
    <w:rsid w:val="00943E7F"/>
    <w:rsid w:val="009519A4"/>
    <w:rsid w:val="0095222C"/>
    <w:rsid w:val="00952505"/>
    <w:rsid w:val="009553B6"/>
    <w:rsid w:val="0095679C"/>
    <w:rsid w:val="009609AF"/>
    <w:rsid w:val="00961556"/>
    <w:rsid w:val="00964AB3"/>
    <w:rsid w:val="00965525"/>
    <w:rsid w:val="00966C11"/>
    <w:rsid w:val="00966F52"/>
    <w:rsid w:val="00967342"/>
    <w:rsid w:val="009675D4"/>
    <w:rsid w:val="00970BDD"/>
    <w:rsid w:val="009746F4"/>
    <w:rsid w:val="00976B74"/>
    <w:rsid w:val="00977366"/>
    <w:rsid w:val="0098064C"/>
    <w:rsid w:val="00981E63"/>
    <w:rsid w:val="00983777"/>
    <w:rsid w:val="009838FF"/>
    <w:rsid w:val="00984AEB"/>
    <w:rsid w:val="0098685D"/>
    <w:rsid w:val="0098712D"/>
    <w:rsid w:val="00991B31"/>
    <w:rsid w:val="009A17C6"/>
    <w:rsid w:val="009A29C0"/>
    <w:rsid w:val="009A309F"/>
    <w:rsid w:val="009A5C45"/>
    <w:rsid w:val="009A6D15"/>
    <w:rsid w:val="009B195A"/>
    <w:rsid w:val="009B217D"/>
    <w:rsid w:val="009B3600"/>
    <w:rsid w:val="009B3C61"/>
    <w:rsid w:val="009B5954"/>
    <w:rsid w:val="009C424D"/>
    <w:rsid w:val="009C4807"/>
    <w:rsid w:val="009C4951"/>
    <w:rsid w:val="009C75D4"/>
    <w:rsid w:val="009D2ACF"/>
    <w:rsid w:val="009D34C3"/>
    <w:rsid w:val="009E3F51"/>
    <w:rsid w:val="009E4CE4"/>
    <w:rsid w:val="009E6C78"/>
    <w:rsid w:val="009F15B8"/>
    <w:rsid w:val="009F37EB"/>
    <w:rsid w:val="009F45D4"/>
    <w:rsid w:val="009F5B31"/>
    <w:rsid w:val="00A015C7"/>
    <w:rsid w:val="00A032BA"/>
    <w:rsid w:val="00A0372D"/>
    <w:rsid w:val="00A06F9D"/>
    <w:rsid w:val="00A07C80"/>
    <w:rsid w:val="00A134CB"/>
    <w:rsid w:val="00A146AA"/>
    <w:rsid w:val="00A146F8"/>
    <w:rsid w:val="00A15333"/>
    <w:rsid w:val="00A213CB"/>
    <w:rsid w:val="00A21A7A"/>
    <w:rsid w:val="00A22F64"/>
    <w:rsid w:val="00A2415C"/>
    <w:rsid w:val="00A24178"/>
    <w:rsid w:val="00A2575E"/>
    <w:rsid w:val="00A312DA"/>
    <w:rsid w:val="00A31E14"/>
    <w:rsid w:val="00A3225A"/>
    <w:rsid w:val="00A32873"/>
    <w:rsid w:val="00A360E5"/>
    <w:rsid w:val="00A372CD"/>
    <w:rsid w:val="00A41F1D"/>
    <w:rsid w:val="00A45AD2"/>
    <w:rsid w:val="00A465B7"/>
    <w:rsid w:val="00A526F7"/>
    <w:rsid w:val="00A52775"/>
    <w:rsid w:val="00A52D70"/>
    <w:rsid w:val="00A5353D"/>
    <w:rsid w:val="00A5460E"/>
    <w:rsid w:val="00A55B9B"/>
    <w:rsid w:val="00A56817"/>
    <w:rsid w:val="00A576E9"/>
    <w:rsid w:val="00A60863"/>
    <w:rsid w:val="00A6131A"/>
    <w:rsid w:val="00A71076"/>
    <w:rsid w:val="00A8201A"/>
    <w:rsid w:val="00A8369E"/>
    <w:rsid w:val="00A85885"/>
    <w:rsid w:val="00A86949"/>
    <w:rsid w:val="00A87491"/>
    <w:rsid w:val="00A877C9"/>
    <w:rsid w:val="00A92F33"/>
    <w:rsid w:val="00AA1859"/>
    <w:rsid w:val="00AA3B2C"/>
    <w:rsid w:val="00AA62E0"/>
    <w:rsid w:val="00AA7C66"/>
    <w:rsid w:val="00AB1A06"/>
    <w:rsid w:val="00AB2FF7"/>
    <w:rsid w:val="00AB3F4C"/>
    <w:rsid w:val="00AB4F39"/>
    <w:rsid w:val="00AB7215"/>
    <w:rsid w:val="00AB7E89"/>
    <w:rsid w:val="00AC23E2"/>
    <w:rsid w:val="00AC422B"/>
    <w:rsid w:val="00AC5FB4"/>
    <w:rsid w:val="00AC7298"/>
    <w:rsid w:val="00AD34E6"/>
    <w:rsid w:val="00AD52AC"/>
    <w:rsid w:val="00AD6838"/>
    <w:rsid w:val="00AE0AA5"/>
    <w:rsid w:val="00AE141B"/>
    <w:rsid w:val="00AE2E2E"/>
    <w:rsid w:val="00AE2EAC"/>
    <w:rsid w:val="00AE606C"/>
    <w:rsid w:val="00AE67AD"/>
    <w:rsid w:val="00AE7433"/>
    <w:rsid w:val="00AF4842"/>
    <w:rsid w:val="00AF721C"/>
    <w:rsid w:val="00B01B76"/>
    <w:rsid w:val="00B02849"/>
    <w:rsid w:val="00B11E85"/>
    <w:rsid w:val="00B13D91"/>
    <w:rsid w:val="00B14714"/>
    <w:rsid w:val="00B149B6"/>
    <w:rsid w:val="00B1552C"/>
    <w:rsid w:val="00B15DDB"/>
    <w:rsid w:val="00B21B92"/>
    <w:rsid w:val="00B23585"/>
    <w:rsid w:val="00B23CD4"/>
    <w:rsid w:val="00B24C05"/>
    <w:rsid w:val="00B24DEA"/>
    <w:rsid w:val="00B25A6C"/>
    <w:rsid w:val="00B25BDC"/>
    <w:rsid w:val="00B25CE6"/>
    <w:rsid w:val="00B336DF"/>
    <w:rsid w:val="00B35262"/>
    <w:rsid w:val="00B35EB1"/>
    <w:rsid w:val="00B35FB5"/>
    <w:rsid w:val="00B3717C"/>
    <w:rsid w:val="00B4021C"/>
    <w:rsid w:val="00B411CD"/>
    <w:rsid w:val="00B42511"/>
    <w:rsid w:val="00B44E8C"/>
    <w:rsid w:val="00B51B82"/>
    <w:rsid w:val="00B569DE"/>
    <w:rsid w:val="00B66378"/>
    <w:rsid w:val="00B67C28"/>
    <w:rsid w:val="00B709EE"/>
    <w:rsid w:val="00B735D0"/>
    <w:rsid w:val="00B7688C"/>
    <w:rsid w:val="00B834C2"/>
    <w:rsid w:val="00B847F8"/>
    <w:rsid w:val="00B8647F"/>
    <w:rsid w:val="00B9327D"/>
    <w:rsid w:val="00B9616E"/>
    <w:rsid w:val="00B97B66"/>
    <w:rsid w:val="00BA2E63"/>
    <w:rsid w:val="00BA4847"/>
    <w:rsid w:val="00BA68B0"/>
    <w:rsid w:val="00BB1B39"/>
    <w:rsid w:val="00BB3E38"/>
    <w:rsid w:val="00BB6EC7"/>
    <w:rsid w:val="00BB6EE4"/>
    <w:rsid w:val="00BB7DB0"/>
    <w:rsid w:val="00BC07E2"/>
    <w:rsid w:val="00BC25DA"/>
    <w:rsid w:val="00BC3AE8"/>
    <w:rsid w:val="00BC5F6B"/>
    <w:rsid w:val="00BD209D"/>
    <w:rsid w:val="00BD31AD"/>
    <w:rsid w:val="00BD5597"/>
    <w:rsid w:val="00BD6D67"/>
    <w:rsid w:val="00BD7314"/>
    <w:rsid w:val="00BE387E"/>
    <w:rsid w:val="00BE5394"/>
    <w:rsid w:val="00BE6A94"/>
    <w:rsid w:val="00BE7DA6"/>
    <w:rsid w:val="00BF2316"/>
    <w:rsid w:val="00BF323B"/>
    <w:rsid w:val="00C00000"/>
    <w:rsid w:val="00C016E8"/>
    <w:rsid w:val="00C01946"/>
    <w:rsid w:val="00C03DF4"/>
    <w:rsid w:val="00C040B6"/>
    <w:rsid w:val="00C05748"/>
    <w:rsid w:val="00C062B2"/>
    <w:rsid w:val="00C0675B"/>
    <w:rsid w:val="00C06766"/>
    <w:rsid w:val="00C10FF3"/>
    <w:rsid w:val="00C1159A"/>
    <w:rsid w:val="00C1351C"/>
    <w:rsid w:val="00C14A16"/>
    <w:rsid w:val="00C16B69"/>
    <w:rsid w:val="00C17BFC"/>
    <w:rsid w:val="00C17F83"/>
    <w:rsid w:val="00C25C61"/>
    <w:rsid w:val="00C26A53"/>
    <w:rsid w:val="00C26FB3"/>
    <w:rsid w:val="00C3290F"/>
    <w:rsid w:val="00C34B4C"/>
    <w:rsid w:val="00C3670D"/>
    <w:rsid w:val="00C36966"/>
    <w:rsid w:val="00C422F0"/>
    <w:rsid w:val="00C43634"/>
    <w:rsid w:val="00C47A4B"/>
    <w:rsid w:val="00C50BB4"/>
    <w:rsid w:val="00C5238C"/>
    <w:rsid w:val="00C5604B"/>
    <w:rsid w:val="00C56B27"/>
    <w:rsid w:val="00C56BC3"/>
    <w:rsid w:val="00C614DB"/>
    <w:rsid w:val="00C62F68"/>
    <w:rsid w:val="00C63562"/>
    <w:rsid w:val="00C63944"/>
    <w:rsid w:val="00C64944"/>
    <w:rsid w:val="00C6730D"/>
    <w:rsid w:val="00C704A4"/>
    <w:rsid w:val="00C73317"/>
    <w:rsid w:val="00C746B6"/>
    <w:rsid w:val="00C7502C"/>
    <w:rsid w:val="00C757AB"/>
    <w:rsid w:val="00C802E7"/>
    <w:rsid w:val="00C80562"/>
    <w:rsid w:val="00C82505"/>
    <w:rsid w:val="00C913C4"/>
    <w:rsid w:val="00C945EA"/>
    <w:rsid w:val="00C949C4"/>
    <w:rsid w:val="00C962D1"/>
    <w:rsid w:val="00C963A3"/>
    <w:rsid w:val="00C96646"/>
    <w:rsid w:val="00CA2FD1"/>
    <w:rsid w:val="00CA36C7"/>
    <w:rsid w:val="00CB4290"/>
    <w:rsid w:val="00CB4833"/>
    <w:rsid w:val="00CC2014"/>
    <w:rsid w:val="00CC2C3D"/>
    <w:rsid w:val="00CC6B04"/>
    <w:rsid w:val="00CC7C05"/>
    <w:rsid w:val="00CD1A62"/>
    <w:rsid w:val="00CD2125"/>
    <w:rsid w:val="00CD264B"/>
    <w:rsid w:val="00CD68D5"/>
    <w:rsid w:val="00CD7D99"/>
    <w:rsid w:val="00CE1A61"/>
    <w:rsid w:val="00CE4185"/>
    <w:rsid w:val="00CE5598"/>
    <w:rsid w:val="00CE698C"/>
    <w:rsid w:val="00CE7755"/>
    <w:rsid w:val="00CF0456"/>
    <w:rsid w:val="00CF1984"/>
    <w:rsid w:val="00CF5B45"/>
    <w:rsid w:val="00D008C3"/>
    <w:rsid w:val="00D019EE"/>
    <w:rsid w:val="00D06F68"/>
    <w:rsid w:val="00D10A8B"/>
    <w:rsid w:val="00D12A9D"/>
    <w:rsid w:val="00D14171"/>
    <w:rsid w:val="00D208A9"/>
    <w:rsid w:val="00D26E16"/>
    <w:rsid w:val="00D3157E"/>
    <w:rsid w:val="00D33953"/>
    <w:rsid w:val="00D353A2"/>
    <w:rsid w:val="00D374B9"/>
    <w:rsid w:val="00D4051A"/>
    <w:rsid w:val="00D467C3"/>
    <w:rsid w:val="00D470D5"/>
    <w:rsid w:val="00D5181A"/>
    <w:rsid w:val="00D5344D"/>
    <w:rsid w:val="00D62FCF"/>
    <w:rsid w:val="00D63B29"/>
    <w:rsid w:val="00D6689A"/>
    <w:rsid w:val="00D66C24"/>
    <w:rsid w:val="00D679E9"/>
    <w:rsid w:val="00D8083C"/>
    <w:rsid w:val="00D80FA8"/>
    <w:rsid w:val="00D81357"/>
    <w:rsid w:val="00D846A8"/>
    <w:rsid w:val="00D8493B"/>
    <w:rsid w:val="00D84FCA"/>
    <w:rsid w:val="00D9340F"/>
    <w:rsid w:val="00D950C4"/>
    <w:rsid w:val="00D9534E"/>
    <w:rsid w:val="00DA0519"/>
    <w:rsid w:val="00DA08C5"/>
    <w:rsid w:val="00DA1DDE"/>
    <w:rsid w:val="00DA2274"/>
    <w:rsid w:val="00DA6090"/>
    <w:rsid w:val="00DB2154"/>
    <w:rsid w:val="00DB2607"/>
    <w:rsid w:val="00DB2B31"/>
    <w:rsid w:val="00DB305B"/>
    <w:rsid w:val="00DB5876"/>
    <w:rsid w:val="00DC4789"/>
    <w:rsid w:val="00DC6CB7"/>
    <w:rsid w:val="00DC7A92"/>
    <w:rsid w:val="00DD1501"/>
    <w:rsid w:val="00DD1593"/>
    <w:rsid w:val="00DE1A6B"/>
    <w:rsid w:val="00DE3CAF"/>
    <w:rsid w:val="00DE5840"/>
    <w:rsid w:val="00DF0D9E"/>
    <w:rsid w:val="00DF0E97"/>
    <w:rsid w:val="00DF0F36"/>
    <w:rsid w:val="00DF49C8"/>
    <w:rsid w:val="00DF5CEC"/>
    <w:rsid w:val="00DF7C72"/>
    <w:rsid w:val="00E01225"/>
    <w:rsid w:val="00E01A24"/>
    <w:rsid w:val="00E0323B"/>
    <w:rsid w:val="00E04748"/>
    <w:rsid w:val="00E061DB"/>
    <w:rsid w:val="00E06CE5"/>
    <w:rsid w:val="00E12916"/>
    <w:rsid w:val="00E15B58"/>
    <w:rsid w:val="00E15E0A"/>
    <w:rsid w:val="00E16A48"/>
    <w:rsid w:val="00E16B1B"/>
    <w:rsid w:val="00E21E2E"/>
    <w:rsid w:val="00E22316"/>
    <w:rsid w:val="00E237DE"/>
    <w:rsid w:val="00E243C5"/>
    <w:rsid w:val="00E2488A"/>
    <w:rsid w:val="00E2558F"/>
    <w:rsid w:val="00E30227"/>
    <w:rsid w:val="00E31C9B"/>
    <w:rsid w:val="00E32C41"/>
    <w:rsid w:val="00E3413A"/>
    <w:rsid w:val="00E344BF"/>
    <w:rsid w:val="00E402E9"/>
    <w:rsid w:val="00E44FB5"/>
    <w:rsid w:val="00E50617"/>
    <w:rsid w:val="00E52C13"/>
    <w:rsid w:val="00E5647E"/>
    <w:rsid w:val="00E61304"/>
    <w:rsid w:val="00E63504"/>
    <w:rsid w:val="00E70177"/>
    <w:rsid w:val="00E70B7A"/>
    <w:rsid w:val="00E7158F"/>
    <w:rsid w:val="00E71B7F"/>
    <w:rsid w:val="00E72D8A"/>
    <w:rsid w:val="00E77F75"/>
    <w:rsid w:val="00E869FB"/>
    <w:rsid w:val="00E86FF1"/>
    <w:rsid w:val="00E87549"/>
    <w:rsid w:val="00E9618B"/>
    <w:rsid w:val="00EA2881"/>
    <w:rsid w:val="00EA3107"/>
    <w:rsid w:val="00EA3944"/>
    <w:rsid w:val="00EA39A0"/>
    <w:rsid w:val="00EA3F47"/>
    <w:rsid w:val="00EA406A"/>
    <w:rsid w:val="00EA6401"/>
    <w:rsid w:val="00EB2A34"/>
    <w:rsid w:val="00EB3CF8"/>
    <w:rsid w:val="00EB420B"/>
    <w:rsid w:val="00EB6770"/>
    <w:rsid w:val="00EC073D"/>
    <w:rsid w:val="00EC0A49"/>
    <w:rsid w:val="00EC3D8D"/>
    <w:rsid w:val="00EC586A"/>
    <w:rsid w:val="00EC5894"/>
    <w:rsid w:val="00EC71E0"/>
    <w:rsid w:val="00ED30A2"/>
    <w:rsid w:val="00ED4AD3"/>
    <w:rsid w:val="00ED679D"/>
    <w:rsid w:val="00ED6E54"/>
    <w:rsid w:val="00EE113F"/>
    <w:rsid w:val="00EE6966"/>
    <w:rsid w:val="00EF07CC"/>
    <w:rsid w:val="00EF322F"/>
    <w:rsid w:val="00EF380C"/>
    <w:rsid w:val="00EF698F"/>
    <w:rsid w:val="00EF795F"/>
    <w:rsid w:val="00F03B59"/>
    <w:rsid w:val="00F03CC9"/>
    <w:rsid w:val="00F14FF1"/>
    <w:rsid w:val="00F1752A"/>
    <w:rsid w:val="00F21006"/>
    <w:rsid w:val="00F232C5"/>
    <w:rsid w:val="00F2570C"/>
    <w:rsid w:val="00F327B1"/>
    <w:rsid w:val="00F33E9C"/>
    <w:rsid w:val="00F35ADB"/>
    <w:rsid w:val="00F372E3"/>
    <w:rsid w:val="00F37FBE"/>
    <w:rsid w:val="00F40EC3"/>
    <w:rsid w:val="00F44C7A"/>
    <w:rsid w:val="00F465D8"/>
    <w:rsid w:val="00F470AB"/>
    <w:rsid w:val="00F55A37"/>
    <w:rsid w:val="00F56A1E"/>
    <w:rsid w:val="00F6437C"/>
    <w:rsid w:val="00F645AD"/>
    <w:rsid w:val="00F668E0"/>
    <w:rsid w:val="00F66D75"/>
    <w:rsid w:val="00F66E17"/>
    <w:rsid w:val="00F70712"/>
    <w:rsid w:val="00F70858"/>
    <w:rsid w:val="00F72F12"/>
    <w:rsid w:val="00F7434A"/>
    <w:rsid w:val="00F74421"/>
    <w:rsid w:val="00F77DBF"/>
    <w:rsid w:val="00F77F5E"/>
    <w:rsid w:val="00F84FDB"/>
    <w:rsid w:val="00F87E8D"/>
    <w:rsid w:val="00F94A48"/>
    <w:rsid w:val="00F954BF"/>
    <w:rsid w:val="00F95C36"/>
    <w:rsid w:val="00F95D0F"/>
    <w:rsid w:val="00FA09C5"/>
    <w:rsid w:val="00FA2330"/>
    <w:rsid w:val="00FA2AB9"/>
    <w:rsid w:val="00FB1915"/>
    <w:rsid w:val="00FB1C07"/>
    <w:rsid w:val="00FB242C"/>
    <w:rsid w:val="00FB26D2"/>
    <w:rsid w:val="00FB4D07"/>
    <w:rsid w:val="00FB5C5D"/>
    <w:rsid w:val="00FC00AE"/>
    <w:rsid w:val="00FC0455"/>
    <w:rsid w:val="00FC37D9"/>
    <w:rsid w:val="00FC3D19"/>
    <w:rsid w:val="00FC4162"/>
    <w:rsid w:val="00FC46B0"/>
    <w:rsid w:val="00FC485A"/>
    <w:rsid w:val="00FC60C3"/>
    <w:rsid w:val="00FC78F2"/>
    <w:rsid w:val="00FD7EA2"/>
    <w:rsid w:val="00FF02F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39"/>
    <w:pPr>
      <w:widowControl w:val="0"/>
      <w:spacing w:after="0" w:line="240" w:lineRule="auto"/>
    </w:pPr>
    <w:rPr>
      <w:rFonts w:ascii="Times New Roman" w:eastAsia="Times New Roman" w:hAnsi="Times New Roman" w:cs="Times New Roman"/>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717CDC"/>
    <w:rPr>
      <w:color w:val="0000FF"/>
      <w:u w:val="single"/>
    </w:rPr>
  </w:style>
  <w:style w:type="paragraph" w:styleId="a3">
    <w:name w:val="header"/>
    <w:basedOn w:val="a"/>
    <w:link w:val="Char"/>
    <w:unhideWhenUsed/>
    <w:rsid w:val="00717CDC"/>
    <w:pPr>
      <w:tabs>
        <w:tab w:val="center" w:pos="4153"/>
        <w:tab w:val="right" w:pos="8306"/>
      </w:tabs>
    </w:pPr>
  </w:style>
  <w:style w:type="character" w:customStyle="1" w:styleId="Char">
    <w:name w:val="Κεφαλίδα Char"/>
    <w:basedOn w:val="a0"/>
    <w:link w:val="a3"/>
    <w:rsid w:val="00717CDC"/>
    <w:rPr>
      <w:rFonts w:ascii="Times New Roman" w:eastAsia="Times New Roman" w:hAnsi="Times New Roman" w:cs="Times New Roman"/>
      <w:szCs w:val="20"/>
      <w:lang w:eastAsia="en-US"/>
    </w:rPr>
  </w:style>
  <w:style w:type="paragraph" w:styleId="2">
    <w:name w:val="Body Text 2"/>
    <w:basedOn w:val="a"/>
    <w:link w:val="2Char"/>
    <w:semiHidden/>
    <w:unhideWhenUsed/>
    <w:rsid w:val="00717CDC"/>
    <w:rPr>
      <w:color w:val="FF0000"/>
    </w:rPr>
  </w:style>
  <w:style w:type="character" w:customStyle="1" w:styleId="2Char">
    <w:name w:val="Σώμα κείμενου 2 Char"/>
    <w:basedOn w:val="a0"/>
    <w:link w:val="2"/>
    <w:semiHidden/>
    <w:rsid w:val="00717CDC"/>
    <w:rPr>
      <w:rFonts w:ascii="Times New Roman" w:eastAsia="Times New Roman" w:hAnsi="Times New Roman" w:cs="Times New Roman"/>
      <w:color w:val="FF0000"/>
      <w:szCs w:val="20"/>
      <w:lang w:eastAsia="en-US"/>
    </w:rPr>
  </w:style>
  <w:style w:type="paragraph" w:customStyle="1" w:styleId="EMEAEnBodyText">
    <w:name w:val="EMEA En Body Text"/>
    <w:basedOn w:val="a"/>
    <w:rsid w:val="00717CDC"/>
    <w:pPr>
      <w:widowControl/>
      <w:spacing w:before="120" w:after="120"/>
      <w:jc w:val="both"/>
    </w:pPr>
    <w:rPr>
      <w:lang w:val="en-US"/>
    </w:rPr>
  </w:style>
  <w:style w:type="character" w:styleId="a4">
    <w:name w:val="annotation reference"/>
    <w:semiHidden/>
    <w:unhideWhenUsed/>
    <w:rsid w:val="00717CDC"/>
    <w:rPr>
      <w:sz w:val="16"/>
      <w:szCs w:val="16"/>
    </w:rPr>
  </w:style>
  <w:style w:type="paragraph" w:styleId="a5">
    <w:name w:val="Balloon Text"/>
    <w:basedOn w:val="a"/>
    <w:link w:val="Char0"/>
    <w:uiPriority w:val="99"/>
    <w:semiHidden/>
    <w:unhideWhenUsed/>
    <w:rsid w:val="00717CDC"/>
    <w:rPr>
      <w:rFonts w:ascii="Tahoma" w:hAnsi="Tahoma" w:cs="Tahoma"/>
      <w:sz w:val="16"/>
      <w:szCs w:val="16"/>
    </w:rPr>
  </w:style>
  <w:style w:type="character" w:customStyle="1" w:styleId="Char0">
    <w:name w:val="Κείμενο πλαισίου Char"/>
    <w:basedOn w:val="a0"/>
    <w:link w:val="a5"/>
    <w:uiPriority w:val="99"/>
    <w:semiHidden/>
    <w:rsid w:val="00717CDC"/>
    <w:rPr>
      <w:rFonts w:ascii="Tahoma" w:eastAsia="Times New Roman" w:hAnsi="Tahoma" w:cs="Tahoma"/>
      <w:sz w:val="16"/>
      <w:szCs w:val="16"/>
      <w:lang w:eastAsia="en-US"/>
    </w:rPr>
  </w:style>
  <w:style w:type="table" w:styleId="a6">
    <w:name w:val="Table Grid"/>
    <w:basedOn w:val="a1"/>
    <w:uiPriority w:val="59"/>
    <w:rsid w:val="003520C8"/>
    <w:pPr>
      <w:spacing w:after="0" w:line="240" w:lineRule="auto"/>
    </w:pPr>
    <w:rPr>
      <w:rFonts w:ascii="Courier New" w:eastAsia="Times New Roman" w:hAnsi="Courier New" w:cs="Times New Roman"/>
      <w:sz w:val="24"/>
      <w:szCs w:val="24"/>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C71E0"/>
    <w:pPr>
      <w:ind w:left="720"/>
      <w:contextualSpacing/>
    </w:pPr>
  </w:style>
  <w:style w:type="character" w:customStyle="1" w:styleId="Bodytext2">
    <w:name w:val="Body text (2)_"/>
    <w:basedOn w:val="a0"/>
    <w:link w:val="Bodytext21"/>
    <w:uiPriority w:val="99"/>
    <w:rsid w:val="00327811"/>
    <w:rPr>
      <w:rFonts w:ascii="Times New Roman" w:hAnsi="Times New Roman" w:cs="Times New Roman"/>
      <w:shd w:val="clear" w:color="auto" w:fill="FFFFFF"/>
    </w:rPr>
  </w:style>
  <w:style w:type="paragraph" w:customStyle="1" w:styleId="Bodytext21">
    <w:name w:val="Body text (2)1"/>
    <w:basedOn w:val="a"/>
    <w:link w:val="Bodytext2"/>
    <w:uiPriority w:val="99"/>
    <w:rsid w:val="00327811"/>
    <w:pPr>
      <w:shd w:val="clear" w:color="auto" w:fill="FFFFFF"/>
      <w:spacing w:before="260" w:after="500" w:line="244" w:lineRule="exact"/>
      <w:ind w:hanging="620"/>
    </w:pPr>
    <w:rPr>
      <w:rFonts w:eastAsiaTheme="minorEastAsia"/>
      <w:szCs w:val="22"/>
      <w:lang w:eastAsia="zh-CN"/>
    </w:rPr>
  </w:style>
  <w:style w:type="table" w:customStyle="1" w:styleId="TableGrid1">
    <w:name w:val="Table Grid1"/>
    <w:basedOn w:val="a1"/>
    <w:next w:val="a6"/>
    <w:uiPriority w:val="59"/>
    <w:rsid w:val="00A32873"/>
    <w:pPr>
      <w:spacing w:after="0" w:line="240" w:lineRule="auto"/>
    </w:pPr>
    <w:rPr>
      <w:rFonts w:ascii="Courier New" w:eastAsia="Times New Roman" w:hAnsi="Courier New" w:cs="Times New Roman"/>
      <w:sz w:val="24"/>
      <w:szCs w:val="24"/>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rsid w:val="00361D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a0"/>
    <w:link w:val="Tablecaption1"/>
    <w:uiPriority w:val="99"/>
    <w:rsid w:val="00540D12"/>
    <w:rPr>
      <w:rFonts w:ascii="Times New Roman" w:hAnsi="Times New Roman" w:cs="Times New Roman"/>
      <w:shd w:val="clear" w:color="auto" w:fill="FFFFFF"/>
    </w:rPr>
  </w:style>
  <w:style w:type="paragraph" w:customStyle="1" w:styleId="Tablecaption1">
    <w:name w:val="Table caption1"/>
    <w:basedOn w:val="a"/>
    <w:link w:val="Tablecaption"/>
    <w:uiPriority w:val="99"/>
    <w:rsid w:val="00540D12"/>
    <w:pPr>
      <w:shd w:val="clear" w:color="auto" w:fill="FFFFFF"/>
      <w:spacing w:line="244" w:lineRule="exact"/>
      <w:ind w:hanging="620"/>
    </w:pPr>
    <w:rPr>
      <w:rFonts w:eastAsiaTheme="minorEastAsia"/>
      <w:szCs w:val="22"/>
      <w:lang w:eastAsia="zh-CN"/>
    </w:rPr>
  </w:style>
  <w:style w:type="paragraph" w:styleId="a8">
    <w:name w:val="Body Text"/>
    <w:basedOn w:val="a"/>
    <w:link w:val="Char1"/>
    <w:uiPriority w:val="99"/>
    <w:semiHidden/>
    <w:unhideWhenUsed/>
    <w:rsid w:val="000875D3"/>
    <w:pPr>
      <w:spacing w:after="120"/>
    </w:pPr>
  </w:style>
  <w:style w:type="character" w:customStyle="1" w:styleId="Char1">
    <w:name w:val="Σώμα κειμένου Char"/>
    <w:basedOn w:val="a0"/>
    <w:link w:val="a8"/>
    <w:uiPriority w:val="99"/>
    <w:semiHidden/>
    <w:rsid w:val="000875D3"/>
    <w:rPr>
      <w:rFonts w:ascii="Times New Roman" w:eastAsia="Times New Roman" w:hAnsi="Times New Roman" w:cs="Times New Roman"/>
      <w:szCs w:val="20"/>
      <w:lang w:eastAsia="en-US"/>
    </w:rPr>
  </w:style>
  <w:style w:type="paragraph" w:styleId="a9">
    <w:name w:val="annotation text"/>
    <w:basedOn w:val="a"/>
    <w:link w:val="Char2"/>
    <w:uiPriority w:val="99"/>
    <w:semiHidden/>
    <w:unhideWhenUsed/>
    <w:rsid w:val="00C0675B"/>
    <w:rPr>
      <w:sz w:val="20"/>
    </w:rPr>
  </w:style>
  <w:style w:type="character" w:customStyle="1" w:styleId="Char2">
    <w:name w:val="Κείμενο σχολίου Char"/>
    <w:basedOn w:val="a0"/>
    <w:link w:val="a9"/>
    <w:uiPriority w:val="99"/>
    <w:semiHidden/>
    <w:rsid w:val="00C0675B"/>
    <w:rPr>
      <w:rFonts w:ascii="Times New Roman" w:eastAsia="Times New Roman" w:hAnsi="Times New Roman" w:cs="Times New Roman"/>
      <w:sz w:val="20"/>
      <w:szCs w:val="20"/>
      <w:lang w:eastAsia="en-US"/>
    </w:rPr>
  </w:style>
  <w:style w:type="paragraph" w:styleId="aa">
    <w:name w:val="annotation subject"/>
    <w:basedOn w:val="a9"/>
    <w:next w:val="a9"/>
    <w:link w:val="Char3"/>
    <w:uiPriority w:val="99"/>
    <w:semiHidden/>
    <w:unhideWhenUsed/>
    <w:rsid w:val="00C0675B"/>
    <w:rPr>
      <w:b/>
      <w:bCs/>
    </w:rPr>
  </w:style>
  <w:style w:type="character" w:customStyle="1" w:styleId="Char3">
    <w:name w:val="Θέμα σχολίου Char"/>
    <w:basedOn w:val="Char2"/>
    <w:link w:val="aa"/>
    <w:uiPriority w:val="99"/>
    <w:semiHidden/>
    <w:rsid w:val="00C0675B"/>
    <w:rPr>
      <w:rFonts w:ascii="Times New Roman" w:eastAsia="Times New Roman" w:hAnsi="Times New Roman" w:cs="Times New Roman"/>
      <w:b/>
      <w:bCs/>
      <w:sz w:val="20"/>
      <w:szCs w:val="20"/>
      <w:lang w:eastAsia="en-US"/>
    </w:rPr>
  </w:style>
  <w:style w:type="paragraph" w:styleId="ab">
    <w:name w:val="footer"/>
    <w:basedOn w:val="a"/>
    <w:link w:val="Char4"/>
    <w:uiPriority w:val="99"/>
    <w:unhideWhenUsed/>
    <w:rsid w:val="007B76E5"/>
    <w:pPr>
      <w:tabs>
        <w:tab w:val="center" w:pos="4153"/>
        <w:tab w:val="right" w:pos="8306"/>
      </w:tabs>
    </w:pPr>
  </w:style>
  <w:style w:type="character" w:customStyle="1" w:styleId="Char4">
    <w:name w:val="Υποσέλιδο Char"/>
    <w:basedOn w:val="a0"/>
    <w:link w:val="ab"/>
    <w:uiPriority w:val="99"/>
    <w:rsid w:val="007B76E5"/>
    <w:rPr>
      <w:rFonts w:ascii="Times New Roman" w:eastAsia="Times New Roman" w:hAnsi="Times New Roman" w:cs="Times New Roman"/>
      <w:szCs w:val="20"/>
      <w:lang w:eastAsia="en-US"/>
    </w:rPr>
  </w:style>
  <w:style w:type="character" w:styleId="-0">
    <w:name w:val="FollowedHyperlink"/>
    <w:basedOn w:val="a0"/>
    <w:uiPriority w:val="99"/>
    <w:semiHidden/>
    <w:unhideWhenUsed/>
    <w:rsid w:val="00FC6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39"/>
    <w:pPr>
      <w:widowControl w:val="0"/>
      <w:spacing w:after="0" w:line="240" w:lineRule="auto"/>
    </w:pPr>
    <w:rPr>
      <w:rFonts w:ascii="Times New Roman" w:eastAsia="Times New Roman" w:hAnsi="Times New Roman" w:cs="Times New Roman"/>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717CDC"/>
    <w:rPr>
      <w:color w:val="0000FF"/>
      <w:u w:val="single"/>
    </w:rPr>
  </w:style>
  <w:style w:type="paragraph" w:styleId="a3">
    <w:name w:val="header"/>
    <w:basedOn w:val="a"/>
    <w:link w:val="Char"/>
    <w:unhideWhenUsed/>
    <w:rsid w:val="00717CDC"/>
    <w:pPr>
      <w:tabs>
        <w:tab w:val="center" w:pos="4153"/>
        <w:tab w:val="right" w:pos="8306"/>
      </w:tabs>
    </w:pPr>
  </w:style>
  <w:style w:type="character" w:customStyle="1" w:styleId="Char">
    <w:name w:val="Κεφαλίδα Char"/>
    <w:basedOn w:val="a0"/>
    <w:link w:val="a3"/>
    <w:rsid w:val="00717CDC"/>
    <w:rPr>
      <w:rFonts w:ascii="Times New Roman" w:eastAsia="Times New Roman" w:hAnsi="Times New Roman" w:cs="Times New Roman"/>
      <w:szCs w:val="20"/>
      <w:lang w:eastAsia="en-US"/>
    </w:rPr>
  </w:style>
  <w:style w:type="paragraph" w:styleId="2">
    <w:name w:val="Body Text 2"/>
    <w:basedOn w:val="a"/>
    <w:link w:val="2Char"/>
    <w:semiHidden/>
    <w:unhideWhenUsed/>
    <w:rsid w:val="00717CDC"/>
    <w:rPr>
      <w:color w:val="FF0000"/>
    </w:rPr>
  </w:style>
  <w:style w:type="character" w:customStyle="1" w:styleId="2Char">
    <w:name w:val="Σώμα κείμενου 2 Char"/>
    <w:basedOn w:val="a0"/>
    <w:link w:val="2"/>
    <w:semiHidden/>
    <w:rsid w:val="00717CDC"/>
    <w:rPr>
      <w:rFonts w:ascii="Times New Roman" w:eastAsia="Times New Roman" w:hAnsi="Times New Roman" w:cs="Times New Roman"/>
      <w:color w:val="FF0000"/>
      <w:szCs w:val="20"/>
      <w:lang w:eastAsia="en-US"/>
    </w:rPr>
  </w:style>
  <w:style w:type="paragraph" w:customStyle="1" w:styleId="EMEAEnBodyText">
    <w:name w:val="EMEA En Body Text"/>
    <w:basedOn w:val="a"/>
    <w:rsid w:val="00717CDC"/>
    <w:pPr>
      <w:widowControl/>
      <w:spacing w:before="120" w:after="120"/>
      <w:jc w:val="both"/>
    </w:pPr>
    <w:rPr>
      <w:lang w:val="en-US"/>
    </w:rPr>
  </w:style>
  <w:style w:type="character" w:styleId="a4">
    <w:name w:val="annotation reference"/>
    <w:semiHidden/>
    <w:unhideWhenUsed/>
    <w:rsid w:val="00717CDC"/>
    <w:rPr>
      <w:sz w:val="16"/>
      <w:szCs w:val="16"/>
    </w:rPr>
  </w:style>
  <w:style w:type="paragraph" w:styleId="a5">
    <w:name w:val="Balloon Text"/>
    <w:basedOn w:val="a"/>
    <w:link w:val="Char0"/>
    <w:uiPriority w:val="99"/>
    <w:semiHidden/>
    <w:unhideWhenUsed/>
    <w:rsid w:val="00717CDC"/>
    <w:rPr>
      <w:rFonts w:ascii="Tahoma" w:hAnsi="Tahoma" w:cs="Tahoma"/>
      <w:sz w:val="16"/>
      <w:szCs w:val="16"/>
    </w:rPr>
  </w:style>
  <w:style w:type="character" w:customStyle="1" w:styleId="Char0">
    <w:name w:val="Κείμενο πλαισίου Char"/>
    <w:basedOn w:val="a0"/>
    <w:link w:val="a5"/>
    <w:uiPriority w:val="99"/>
    <w:semiHidden/>
    <w:rsid w:val="00717CDC"/>
    <w:rPr>
      <w:rFonts w:ascii="Tahoma" w:eastAsia="Times New Roman" w:hAnsi="Tahoma" w:cs="Tahoma"/>
      <w:sz w:val="16"/>
      <w:szCs w:val="16"/>
      <w:lang w:eastAsia="en-US"/>
    </w:rPr>
  </w:style>
  <w:style w:type="table" w:styleId="a6">
    <w:name w:val="Table Grid"/>
    <w:basedOn w:val="a1"/>
    <w:uiPriority w:val="59"/>
    <w:rsid w:val="003520C8"/>
    <w:pPr>
      <w:spacing w:after="0" w:line="240" w:lineRule="auto"/>
    </w:pPr>
    <w:rPr>
      <w:rFonts w:ascii="Courier New" w:eastAsia="Times New Roman" w:hAnsi="Courier New" w:cs="Times New Roman"/>
      <w:sz w:val="24"/>
      <w:szCs w:val="24"/>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C71E0"/>
    <w:pPr>
      <w:ind w:left="720"/>
      <w:contextualSpacing/>
    </w:pPr>
  </w:style>
  <w:style w:type="character" w:customStyle="1" w:styleId="Bodytext2">
    <w:name w:val="Body text (2)_"/>
    <w:basedOn w:val="a0"/>
    <w:link w:val="Bodytext21"/>
    <w:uiPriority w:val="99"/>
    <w:rsid w:val="00327811"/>
    <w:rPr>
      <w:rFonts w:ascii="Times New Roman" w:hAnsi="Times New Roman" w:cs="Times New Roman"/>
      <w:shd w:val="clear" w:color="auto" w:fill="FFFFFF"/>
    </w:rPr>
  </w:style>
  <w:style w:type="paragraph" w:customStyle="1" w:styleId="Bodytext21">
    <w:name w:val="Body text (2)1"/>
    <w:basedOn w:val="a"/>
    <w:link w:val="Bodytext2"/>
    <w:uiPriority w:val="99"/>
    <w:rsid w:val="00327811"/>
    <w:pPr>
      <w:shd w:val="clear" w:color="auto" w:fill="FFFFFF"/>
      <w:spacing w:before="260" w:after="500" w:line="244" w:lineRule="exact"/>
      <w:ind w:hanging="620"/>
    </w:pPr>
    <w:rPr>
      <w:rFonts w:eastAsiaTheme="minorEastAsia"/>
      <w:szCs w:val="22"/>
      <w:lang w:eastAsia="zh-CN"/>
    </w:rPr>
  </w:style>
  <w:style w:type="table" w:customStyle="1" w:styleId="TableGrid1">
    <w:name w:val="Table Grid1"/>
    <w:basedOn w:val="a1"/>
    <w:next w:val="a6"/>
    <w:uiPriority w:val="59"/>
    <w:rsid w:val="00A32873"/>
    <w:pPr>
      <w:spacing w:after="0" w:line="240" w:lineRule="auto"/>
    </w:pPr>
    <w:rPr>
      <w:rFonts w:ascii="Courier New" w:eastAsia="Times New Roman" w:hAnsi="Courier New" w:cs="Times New Roman"/>
      <w:sz w:val="24"/>
      <w:szCs w:val="24"/>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rsid w:val="00361D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a0"/>
    <w:link w:val="Tablecaption1"/>
    <w:uiPriority w:val="99"/>
    <w:rsid w:val="00540D12"/>
    <w:rPr>
      <w:rFonts w:ascii="Times New Roman" w:hAnsi="Times New Roman" w:cs="Times New Roman"/>
      <w:shd w:val="clear" w:color="auto" w:fill="FFFFFF"/>
    </w:rPr>
  </w:style>
  <w:style w:type="paragraph" w:customStyle="1" w:styleId="Tablecaption1">
    <w:name w:val="Table caption1"/>
    <w:basedOn w:val="a"/>
    <w:link w:val="Tablecaption"/>
    <w:uiPriority w:val="99"/>
    <w:rsid w:val="00540D12"/>
    <w:pPr>
      <w:shd w:val="clear" w:color="auto" w:fill="FFFFFF"/>
      <w:spacing w:line="244" w:lineRule="exact"/>
      <w:ind w:hanging="620"/>
    </w:pPr>
    <w:rPr>
      <w:rFonts w:eastAsiaTheme="minorEastAsia"/>
      <w:szCs w:val="22"/>
      <w:lang w:eastAsia="zh-CN"/>
    </w:rPr>
  </w:style>
  <w:style w:type="paragraph" w:styleId="a8">
    <w:name w:val="Body Text"/>
    <w:basedOn w:val="a"/>
    <w:link w:val="Char1"/>
    <w:uiPriority w:val="99"/>
    <w:semiHidden/>
    <w:unhideWhenUsed/>
    <w:rsid w:val="000875D3"/>
    <w:pPr>
      <w:spacing w:after="120"/>
    </w:pPr>
  </w:style>
  <w:style w:type="character" w:customStyle="1" w:styleId="Char1">
    <w:name w:val="Σώμα κειμένου Char"/>
    <w:basedOn w:val="a0"/>
    <w:link w:val="a8"/>
    <w:uiPriority w:val="99"/>
    <w:semiHidden/>
    <w:rsid w:val="000875D3"/>
    <w:rPr>
      <w:rFonts w:ascii="Times New Roman" w:eastAsia="Times New Roman" w:hAnsi="Times New Roman" w:cs="Times New Roman"/>
      <w:szCs w:val="20"/>
      <w:lang w:eastAsia="en-US"/>
    </w:rPr>
  </w:style>
  <w:style w:type="paragraph" w:styleId="a9">
    <w:name w:val="annotation text"/>
    <w:basedOn w:val="a"/>
    <w:link w:val="Char2"/>
    <w:uiPriority w:val="99"/>
    <w:semiHidden/>
    <w:unhideWhenUsed/>
    <w:rsid w:val="00C0675B"/>
    <w:rPr>
      <w:sz w:val="20"/>
    </w:rPr>
  </w:style>
  <w:style w:type="character" w:customStyle="1" w:styleId="Char2">
    <w:name w:val="Κείμενο σχολίου Char"/>
    <w:basedOn w:val="a0"/>
    <w:link w:val="a9"/>
    <w:uiPriority w:val="99"/>
    <w:semiHidden/>
    <w:rsid w:val="00C0675B"/>
    <w:rPr>
      <w:rFonts w:ascii="Times New Roman" w:eastAsia="Times New Roman" w:hAnsi="Times New Roman" w:cs="Times New Roman"/>
      <w:sz w:val="20"/>
      <w:szCs w:val="20"/>
      <w:lang w:eastAsia="en-US"/>
    </w:rPr>
  </w:style>
  <w:style w:type="paragraph" w:styleId="aa">
    <w:name w:val="annotation subject"/>
    <w:basedOn w:val="a9"/>
    <w:next w:val="a9"/>
    <w:link w:val="Char3"/>
    <w:uiPriority w:val="99"/>
    <w:semiHidden/>
    <w:unhideWhenUsed/>
    <w:rsid w:val="00C0675B"/>
    <w:rPr>
      <w:b/>
      <w:bCs/>
    </w:rPr>
  </w:style>
  <w:style w:type="character" w:customStyle="1" w:styleId="Char3">
    <w:name w:val="Θέμα σχολίου Char"/>
    <w:basedOn w:val="Char2"/>
    <w:link w:val="aa"/>
    <w:uiPriority w:val="99"/>
    <w:semiHidden/>
    <w:rsid w:val="00C0675B"/>
    <w:rPr>
      <w:rFonts w:ascii="Times New Roman" w:eastAsia="Times New Roman" w:hAnsi="Times New Roman" w:cs="Times New Roman"/>
      <w:b/>
      <w:bCs/>
      <w:sz w:val="20"/>
      <w:szCs w:val="20"/>
      <w:lang w:eastAsia="en-US"/>
    </w:rPr>
  </w:style>
  <w:style w:type="paragraph" w:styleId="ab">
    <w:name w:val="footer"/>
    <w:basedOn w:val="a"/>
    <w:link w:val="Char4"/>
    <w:uiPriority w:val="99"/>
    <w:unhideWhenUsed/>
    <w:rsid w:val="007B76E5"/>
    <w:pPr>
      <w:tabs>
        <w:tab w:val="center" w:pos="4153"/>
        <w:tab w:val="right" w:pos="8306"/>
      </w:tabs>
    </w:pPr>
  </w:style>
  <w:style w:type="character" w:customStyle="1" w:styleId="Char4">
    <w:name w:val="Υποσέλιδο Char"/>
    <w:basedOn w:val="a0"/>
    <w:link w:val="ab"/>
    <w:uiPriority w:val="99"/>
    <w:rsid w:val="007B76E5"/>
    <w:rPr>
      <w:rFonts w:ascii="Times New Roman" w:eastAsia="Times New Roman" w:hAnsi="Times New Roman" w:cs="Times New Roman"/>
      <w:szCs w:val="20"/>
      <w:lang w:eastAsia="en-US"/>
    </w:rPr>
  </w:style>
  <w:style w:type="character" w:styleId="-0">
    <w:name w:val="FollowedHyperlink"/>
    <w:basedOn w:val="a0"/>
    <w:uiPriority w:val="99"/>
    <w:semiHidden/>
    <w:unhideWhenUsed/>
    <w:rsid w:val="00FC6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5788">
      <w:bodyDiv w:val="1"/>
      <w:marLeft w:val="0"/>
      <w:marRight w:val="0"/>
      <w:marTop w:val="0"/>
      <w:marBottom w:val="0"/>
      <w:divBdr>
        <w:top w:val="none" w:sz="0" w:space="0" w:color="auto"/>
        <w:left w:val="none" w:sz="0" w:space="0" w:color="auto"/>
        <w:bottom w:val="none" w:sz="0" w:space="0" w:color="auto"/>
        <w:right w:val="none" w:sz="0" w:space="0" w:color="auto"/>
      </w:divBdr>
    </w:div>
    <w:div w:id="7456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4D87-89C6-4860-8675-202DA1FF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4470</Words>
  <Characters>24140</Characters>
  <Application>Microsoft Office Word</Application>
  <DocSecurity>0</DocSecurity>
  <Lines>201</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Vlassopoulou Alexandra</dc:creator>
  <cp:lastModifiedBy>ΠΑΝΤΕΛΗ ΓΕΩΡΓΙΑ</cp:lastModifiedBy>
  <cp:revision>3</cp:revision>
  <dcterms:created xsi:type="dcterms:W3CDTF">2017-07-06T07:33:00Z</dcterms:created>
  <dcterms:modified xsi:type="dcterms:W3CDTF">2017-07-06T07:34:00Z</dcterms:modified>
</cp:coreProperties>
</file>