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7B" w:rsidRDefault="0006617B" w:rsidP="0025183E">
      <w:pPr>
        <w:jc w:val="center"/>
        <w:rPr>
          <w:b/>
          <w:noProof/>
          <w:sz w:val="22"/>
          <w:szCs w:val="22"/>
          <w:lang w:val="el-GR"/>
        </w:rPr>
      </w:pPr>
      <w:bookmarkStart w:id="0" w:name="_GoBack"/>
      <w:bookmarkEnd w:id="0"/>
    </w:p>
    <w:p w:rsidR="0006617B" w:rsidRDefault="0006617B" w:rsidP="0025183E">
      <w:pPr>
        <w:jc w:val="center"/>
        <w:rPr>
          <w:b/>
          <w:noProof/>
          <w:sz w:val="22"/>
          <w:szCs w:val="22"/>
          <w:lang w:val="el-GR"/>
        </w:rPr>
      </w:pPr>
    </w:p>
    <w:p w:rsidR="0006617B" w:rsidRDefault="0006617B" w:rsidP="0025183E">
      <w:pPr>
        <w:jc w:val="center"/>
        <w:rPr>
          <w:b/>
          <w:noProof/>
          <w:sz w:val="22"/>
          <w:szCs w:val="22"/>
          <w:lang w:val="el-GR"/>
        </w:rPr>
      </w:pPr>
    </w:p>
    <w:p w:rsidR="0006617B" w:rsidRDefault="0006617B" w:rsidP="0025183E">
      <w:pPr>
        <w:jc w:val="center"/>
        <w:rPr>
          <w:b/>
          <w:noProof/>
          <w:sz w:val="22"/>
          <w:szCs w:val="22"/>
          <w:lang w:val="el-GR"/>
        </w:rPr>
      </w:pPr>
    </w:p>
    <w:p w:rsidR="0006617B" w:rsidRDefault="0006617B" w:rsidP="0025183E">
      <w:pPr>
        <w:jc w:val="center"/>
        <w:rPr>
          <w:b/>
          <w:noProof/>
          <w:sz w:val="22"/>
          <w:szCs w:val="22"/>
          <w:lang w:val="el-GR"/>
        </w:rPr>
      </w:pPr>
    </w:p>
    <w:p w:rsidR="0006617B" w:rsidRDefault="0006617B" w:rsidP="0025183E">
      <w:pPr>
        <w:jc w:val="center"/>
        <w:rPr>
          <w:b/>
          <w:noProof/>
          <w:sz w:val="22"/>
          <w:szCs w:val="22"/>
          <w:lang w:val="el-GR"/>
        </w:rPr>
      </w:pPr>
    </w:p>
    <w:p w:rsidR="0006617B" w:rsidRDefault="0006617B" w:rsidP="0025183E">
      <w:pPr>
        <w:jc w:val="center"/>
        <w:rPr>
          <w:b/>
          <w:noProof/>
          <w:sz w:val="22"/>
          <w:szCs w:val="22"/>
          <w:lang w:val="el-GR"/>
        </w:rPr>
      </w:pPr>
    </w:p>
    <w:p w:rsidR="0006617B" w:rsidRDefault="0006617B" w:rsidP="0025183E">
      <w:pPr>
        <w:jc w:val="center"/>
        <w:rPr>
          <w:b/>
          <w:noProof/>
          <w:sz w:val="22"/>
          <w:szCs w:val="22"/>
          <w:lang w:val="el-GR"/>
        </w:rPr>
      </w:pPr>
    </w:p>
    <w:p w:rsidR="0006617B" w:rsidRDefault="0006617B" w:rsidP="0025183E">
      <w:pPr>
        <w:jc w:val="center"/>
        <w:rPr>
          <w:b/>
          <w:noProof/>
          <w:sz w:val="22"/>
          <w:szCs w:val="22"/>
          <w:lang w:val="el-GR"/>
        </w:rPr>
      </w:pPr>
    </w:p>
    <w:p w:rsidR="0006617B" w:rsidRDefault="0006617B" w:rsidP="0025183E">
      <w:pPr>
        <w:jc w:val="center"/>
        <w:rPr>
          <w:b/>
          <w:noProof/>
          <w:sz w:val="22"/>
          <w:szCs w:val="22"/>
          <w:lang w:val="el-GR"/>
        </w:rPr>
      </w:pPr>
    </w:p>
    <w:p w:rsidR="0006617B" w:rsidRDefault="0006617B" w:rsidP="0025183E">
      <w:pPr>
        <w:jc w:val="center"/>
        <w:rPr>
          <w:b/>
          <w:noProof/>
          <w:sz w:val="22"/>
          <w:szCs w:val="22"/>
          <w:lang w:val="el-GR"/>
        </w:rPr>
      </w:pPr>
    </w:p>
    <w:p w:rsidR="0006617B" w:rsidRDefault="0006617B" w:rsidP="0025183E">
      <w:pPr>
        <w:jc w:val="center"/>
        <w:rPr>
          <w:b/>
          <w:noProof/>
          <w:sz w:val="22"/>
          <w:szCs w:val="22"/>
          <w:lang w:val="el-GR"/>
        </w:rPr>
      </w:pPr>
    </w:p>
    <w:p w:rsidR="0006617B" w:rsidRDefault="0006617B" w:rsidP="0025183E">
      <w:pPr>
        <w:jc w:val="center"/>
        <w:rPr>
          <w:b/>
          <w:noProof/>
          <w:sz w:val="22"/>
          <w:szCs w:val="22"/>
          <w:lang w:val="el-GR"/>
        </w:rPr>
      </w:pPr>
    </w:p>
    <w:p w:rsidR="0006617B" w:rsidRDefault="0006617B" w:rsidP="0025183E">
      <w:pPr>
        <w:jc w:val="center"/>
        <w:rPr>
          <w:b/>
          <w:noProof/>
          <w:sz w:val="22"/>
          <w:szCs w:val="22"/>
          <w:lang w:val="el-GR"/>
        </w:rPr>
      </w:pPr>
    </w:p>
    <w:p w:rsidR="0006617B" w:rsidRDefault="0006617B" w:rsidP="0025183E">
      <w:pPr>
        <w:jc w:val="center"/>
        <w:rPr>
          <w:b/>
          <w:noProof/>
          <w:sz w:val="22"/>
          <w:szCs w:val="22"/>
          <w:lang w:val="el-GR"/>
        </w:rPr>
      </w:pPr>
    </w:p>
    <w:p w:rsidR="0006617B" w:rsidRDefault="0006617B" w:rsidP="0025183E">
      <w:pPr>
        <w:jc w:val="center"/>
        <w:rPr>
          <w:b/>
          <w:noProof/>
          <w:sz w:val="22"/>
          <w:szCs w:val="22"/>
          <w:lang w:val="el-GR"/>
        </w:rPr>
      </w:pPr>
    </w:p>
    <w:p w:rsidR="0006617B" w:rsidRPr="0006617B" w:rsidRDefault="0006617B" w:rsidP="0025183E">
      <w:pPr>
        <w:jc w:val="center"/>
        <w:rPr>
          <w:b/>
          <w:noProof/>
          <w:sz w:val="22"/>
          <w:szCs w:val="22"/>
          <w:lang w:val="el-GR"/>
        </w:rPr>
      </w:pPr>
      <w:r w:rsidRPr="0006617B">
        <w:rPr>
          <w:b/>
          <w:noProof/>
          <w:sz w:val="22"/>
          <w:szCs w:val="22"/>
          <w:lang w:val="el-GR"/>
        </w:rPr>
        <w:t>ΠΕΡΙΛΗΨΗ ΤΩΝ ΧΑΡΑΚΤΗΡΙΣΤΙΚΩΝ ΤΟΥ ΠΡΟΪΟΝΤΟΣ</w:t>
      </w:r>
    </w:p>
    <w:p w:rsidR="0006617B" w:rsidRDefault="0006617B" w:rsidP="0025183E">
      <w:pPr>
        <w:pStyle w:val="1"/>
        <w:numPr>
          <w:ilvl w:val="0"/>
          <w:numId w:val="0"/>
        </w:numPr>
        <w:rPr>
          <w:sz w:val="22"/>
          <w:szCs w:val="22"/>
        </w:rPr>
      </w:pPr>
      <w:r>
        <w:rPr>
          <w:sz w:val="22"/>
          <w:szCs w:val="22"/>
        </w:rPr>
        <w:br w:type="page"/>
      </w:r>
    </w:p>
    <w:p w:rsidR="005B6C30" w:rsidRPr="00A77130" w:rsidRDefault="005B6C30" w:rsidP="0025183E">
      <w:pPr>
        <w:pStyle w:val="1"/>
        <w:rPr>
          <w:sz w:val="22"/>
          <w:szCs w:val="22"/>
        </w:rPr>
      </w:pPr>
      <w:r w:rsidRPr="00A77130">
        <w:rPr>
          <w:sz w:val="22"/>
          <w:szCs w:val="22"/>
        </w:rPr>
        <w:lastRenderedPageBreak/>
        <w:t xml:space="preserve">ONOMAΣΙΑ ΤΟΥ ΦΑΡΜΑΚΕΥΤΙΚΟΥ ΠΡΟΪΟΝΤΟΣ  </w:t>
      </w:r>
    </w:p>
    <w:p w:rsidR="005B6C30" w:rsidRPr="00A77130" w:rsidRDefault="005B6C30" w:rsidP="0025183E">
      <w:pPr>
        <w:pStyle w:val="a8"/>
        <w:rPr>
          <w:b/>
          <w:sz w:val="22"/>
          <w:szCs w:val="22"/>
        </w:rPr>
      </w:pPr>
      <w:r w:rsidRPr="00A77130">
        <w:rPr>
          <w:b/>
          <w:sz w:val="22"/>
          <w:szCs w:val="22"/>
        </w:rPr>
        <w:t>DIAMICRON</w:t>
      </w:r>
      <w:r w:rsidRPr="00A77130">
        <w:rPr>
          <w:b/>
          <w:sz w:val="22"/>
          <w:szCs w:val="22"/>
          <w:vertAlign w:val="superscript"/>
        </w:rPr>
        <w:sym w:font="Symbol" w:char="F0D2"/>
      </w:r>
      <w:r w:rsidRPr="00A77130">
        <w:rPr>
          <w:b/>
          <w:sz w:val="22"/>
          <w:szCs w:val="22"/>
        </w:rPr>
        <w:t xml:space="preserve"> MR </w:t>
      </w:r>
      <w:r w:rsidR="00BE5A47" w:rsidRPr="00BE5A47">
        <w:rPr>
          <w:b/>
          <w:sz w:val="22"/>
          <w:szCs w:val="22"/>
        </w:rPr>
        <w:t>60</w:t>
      </w:r>
      <w:r w:rsidR="00B56F08" w:rsidRPr="00B56F08">
        <w:rPr>
          <w:b/>
          <w:sz w:val="22"/>
          <w:szCs w:val="22"/>
        </w:rPr>
        <w:t xml:space="preserve"> </w:t>
      </w:r>
      <w:r w:rsidR="00B56F08">
        <w:rPr>
          <w:b/>
          <w:sz w:val="22"/>
          <w:szCs w:val="22"/>
          <w:lang w:val="en-US"/>
        </w:rPr>
        <w:t>mg</w:t>
      </w:r>
      <w:r w:rsidRPr="00A77130">
        <w:rPr>
          <w:sz w:val="22"/>
          <w:szCs w:val="22"/>
        </w:rPr>
        <w:t>, δισκί</w:t>
      </w:r>
      <w:r w:rsidR="00D0173C" w:rsidRPr="00A77130">
        <w:rPr>
          <w:sz w:val="22"/>
          <w:szCs w:val="22"/>
        </w:rPr>
        <w:t>ο</w:t>
      </w:r>
      <w:r w:rsidRPr="00A77130">
        <w:rPr>
          <w:sz w:val="22"/>
          <w:szCs w:val="22"/>
        </w:rPr>
        <w:t xml:space="preserve"> ελεγχόμενης αποδέσμευσης</w:t>
      </w:r>
    </w:p>
    <w:p w:rsidR="005B6C30" w:rsidRPr="00A77130" w:rsidRDefault="005B6C30" w:rsidP="0025183E">
      <w:pPr>
        <w:pStyle w:val="1"/>
        <w:rPr>
          <w:sz w:val="22"/>
          <w:szCs w:val="22"/>
        </w:rPr>
      </w:pPr>
      <w:r w:rsidRPr="00A77130">
        <w:rPr>
          <w:sz w:val="22"/>
          <w:szCs w:val="22"/>
        </w:rPr>
        <w:t>ΠΟΙΟΤΙΚΗ ΚΑΙ ΠΟΣΟΤΙΚΗ ΣΥΝΘΕΣΗ</w:t>
      </w:r>
    </w:p>
    <w:p w:rsidR="005B6C30" w:rsidRPr="00ED4A4D" w:rsidRDefault="005B6C30" w:rsidP="00BC7A8A">
      <w:pPr>
        <w:pStyle w:val="a8"/>
        <w:spacing w:before="0" w:after="0"/>
        <w:rPr>
          <w:sz w:val="22"/>
          <w:szCs w:val="22"/>
        </w:rPr>
      </w:pPr>
      <w:r w:rsidRPr="00A77130">
        <w:rPr>
          <w:sz w:val="22"/>
          <w:szCs w:val="22"/>
        </w:rPr>
        <w:t>Το κάθε δισκίο</w:t>
      </w:r>
      <w:r w:rsidR="00BE5A47" w:rsidRPr="00BE5A47">
        <w:rPr>
          <w:sz w:val="22"/>
          <w:szCs w:val="22"/>
        </w:rPr>
        <w:t xml:space="preserve"> </w:t>
      </w:r>
      <w:r w:rsidR="00BE5A47">
        <w:rPr>
          <w:sz w:val="22"/>
          <w:szCs w:val="22"/>
        </w:rPr>
        <w:t>ελεγχόμενης αποδέσμευσης</w:t>
      </w:r>
      <w:r w:rsidRPr="00A77130">
        <w:rPr>
          <w:sz w:val="22"/>
          <w:szCs w:val="22"/>
        </w:rPr>
        <w:t xml:space="preserve"> περιέχει </w:t>
      </w:r>
      <w:r w:rsidR="00BE5A47">
        <w:rPr>
          <w:sz w:val="22"/>
          <w:szCs w:val="22"/>
        </w:rPr>
        <w:t>60</w:t>
      </w:r>
      <w:r w:rsidR="00BE5A47" w:rsidRPr="00A77130">
        <w:rPr>
          <w:sz w:val="22"/>
          <w:szCs w:val="22"/>
        </w:rPr>
        <w:t xml:space="preserve"> </w:t>
      </w:r>
      <w:r w:rsidRPr="00A77130">
        <w:rPr>
          <w:sz w:val="22"/>
          <w:szCs w:val="22"/>
        </w:rPr>
        <w:t>mg γλικλαζίδης.</w:t>
      </w:r>
    </w:p>
    <w:p w:rsidR="00BE5A47" w:rsidRDefault="00BE5A47" w:rsidP="00BC7A8A">
      <w:pPr>
        <w:pStyle w:val="a8"/>
        <w:spacing w:before="0" w:after="0"/>
        <w:rPr>
          <w:sz w:val="22"/>
          <w:szCs w:val="22"/>
        </w:rPr>
      </w:pPr>
      <w:r>
        <w:rPr>
          <w:sz w:val="22"/>
          <w:szCs w:val="22"/>
        </w:rPr>
        <w:t>Έκδοχ</w:t>
      </w:r>
      <w:r w:rsidR="00BC7A8A">
        <w:rPr>
          <w:sz w:val="22"/>
          <w:szCs w:val="22"/>
        </w:rPr>
        <w:t xml:space="preserve">ο </w:t>
      </w:r>
      <w:r w:rsidR="00BC7A8A" w:rsidRPr="004C2DDE">
        <w:rPr>
          <w:noProof/>
        </w:rPr>
        <w:t>με γνωστές δράσεις</w:t>
      </w:r>
      <w:r>
        <w:rPr>
          <w:sz w:val="22"/>
          <w:szCs w:val="22"/>
        </w:rPr>
        <w:t xml:space="preserve">: </w:t>
      </w:r>
      <w:r w:rsidR="00BC7A8A">
        <w:rPr>
          <w:sz w:val="22"/>
          <w:szCs w:val="22"/>
        </w:rPr>
        <w:t xml:space="preserve">μονοΰδρική </w:t>
      </w:r>
      <w:r>
        <w:rPr>
          <w:sz w:val="22"/>
          <w:szCs w:val="22"/>
        </w:rPr>
        <w:t>λακτόζη</w:t>
      </w:r>
    </w:p>
    <w:p w:rsidR="007850AF" w:rsidRPr="00A77130" w:rsidRDefault="007850AF" w:rsidP="00BC7A8A">
      <w:pPr>
        <w:pStyle w:val="a8"/>
        <w:spacing w:before="0" w:after="0"/>
        <w:rPr>
          <w:sz w:val="22"/>
          <w:szCs w:val="22"/>
        </w:rPr>
      </w:pPr>
      <w:r w:rsidRPr="00A77130">
        <w:rPr>
          <w:sz w:val="22"/>
          <w:szCs w:val="22"/>
        </w:rPr>
        <w:t xml:space="preserve">Για </w:t>
      </w:r>
      <w:r w:rsidR="00BE5A47">
        <w:rPr>
          <w:sz w:val="22"/>
          <w:szCs w:val="22"/>
        </w:rPr>
        <w:t>πλήρη κατάλογο των εκδόχων</w:t>
      </w:r>
      <w:r w:rsidRPr="00A77130">
        <w:rPr>
          <w:sz w:val="22"/>
          <w:szCs w:val="22"/>
        </w:rPr>
        <w:t xml:space="preserve">, </w:t>
      </w:r>
      <w:r w:rsidR="000325DB" w:rsidRPr="00A77130">
        <w:rPr>
          <w:sz w:val="22"/>
          <w:szCs w:val="22"/>
        </w:rPr>
        <w:t>βλ.</w:t>
      </w:r>
      <w:r w:rsidRPr="00A77130">
        <w:rPr>
          <w:sz w:val="22"/>
          <w:szCs w:val="22"/>
        </w:rPr>
        <w:t xml:space="preserve"> </w:t>
      </w:r>
      <w:r w:rsidR="00BE5A47">
        <w:rPr>
          <w:sz w:val="22"/>
          <w:szCs w:val="22"/>
        </w:rPr>
        <w:t>παράγραφο</w:t>
      </w:r>
      <w:r w:rsidR="00BE5A47" w:rsidRPr="00A77130">
        <w:rPr>
          <w:sz w:val="22"/>
          <w:szCs w:val="22"/>
        </w:rPr>
        <w:t xml:space="preserve"> </w:t>
      </w:r>
      <w:r w:rsidRPr="00A77130">
        <w:rPr>
          <w:sz w:val="22"/>
          <w:szCs w:val="22"/>
        </w:rPr>
        <w:t>6.1</w:t>
      </w:r>
      <w:r w:rsidR="007E2517" w:rsidRPr="00A77130">
        <w:rPr>
          <w:sz w:val="22"/>
          <w:szCs w:val="22"/>
        </w:rPr>
        <w:t>.</w:t>
      </w:r>
      <w:r w:rsidR="00BF39A5" w:rsidRPr="00A77130">
        <w:rPr>
          <w:sz w:val="22"/>
          <w:szCs w:val="22"/>
        </w:rPr>
        <w:t xml:space="preserve"> </w:t>
      </w:r>
    </w:p>
    <w:p w:rsidR="005B6C30" w:rsidRPr="00A77130" w:rsidRDefault="005B6C30" w:rsidP="0025183E">
      <w:pPr>
        <w:pStyle w:val="1"/>
        <w:rPr>
          <w:sz w:val="22"/>
          <w:szCs w:val="22"/>
        </w:rPr>
      </w:pPr>
      <w:r w:rsidRPr="00A77130">
        <w:rPr>
          <w:sz w:val="22"/>
          <w:szCs w:val="22"/>
        </w:rPr>
        <w:t>ΦΑΡΜΑΚΟΤΕΧΝΙΚΗ ΜΟΡΦΗ</w:t>
      </w:r>
    </w:p>
    <w:p w:rsidR="005B6C30" w:rsidRPr="00A77130" w:rsidRDefault="005B6C30" w:rsidP="00A0347D">
      <w:pPr>
        <w:pStyle w:val="a8"/>
        <w:spacing w:before="0" w:after="0"/>
        <w:rPr>
          <w:sz w:val="22"/>
          <w:szCs w:val="22"/>
        </w:rPr>
      </w:pPr>
      <w:r w:rsidRPr="00A77130">
        <w:rPr>
          <w:sz w:val="22"/>
          <w:szCs w:val="22"/>
        </w:rPr>
        <w:t>Δισκί</w:t>
      </w:r>
      <w:r w:rsidR="00D0173C" w:rsidRPr="00A77130">
        <w:rPr>
          <w:sz w:val="22"/>
          <w:szCs w:val="22"/>
        </w:rPr>
        <w:t>ο</w:t>
      </w:r>
      <w:r w:rsidRPr="00A77130">
        <w:rPr>
          <w:sz w:val="22"/>
          <w:szCs w:val="22"/>
        </w:rPr>
        <w:t xml:space="preserve"> ελεγχόμενης αποδέσμευσης.</w:t>
      </w:r>
    </w:p>
    <w:p w:rsidR="005B6C30" w:rsidRDefault="005B6C30" w:rsidP="00A0347D">
      <w:pPr>
        <w:pStyle w:val="a8"/>
        <w:spacing w:before="0" w:after="0"/>
        <w:rPr>
          <w:sz w:val="22"/>
          <w:szCs w:val="22"/>
        </w:rPr>
      </w:pPr>
      <w:r w:rsidRPr="00A77130">
        <w:rPr>
          <w:sz w:val="22"/>
          <w:szCs w:val="22"/>
        </w:rPr>
        <w:t>Λευκό επίμηκες δισκίο,</w:t>
      </w:r>
      <w:r w:rsidR="00BE5A47">
        <w:rPr>
          <w:sz w:val="22"/>
          <w:szCs w:val="22"/>
        </w:rPr>
        <w:t xml:space="preserve"> </w:t>
      </w:r>
      <w:r w:rsidR="00727FD8">
        <w:rPr>
          <w:sz w:val="22"/>
          <w:szCs w:val="22"/>
        </w:rPr>
        <w:t xml:space="preserve">15 </w:t>
      </w:r>
      <w:r w:rsidR="00727FD8">
        <w:rPr>
          <w:sz w:val="22"/>
          <w:szCs w:val="22"/>
          <w:lang w:val="en-US"/>
        </w:rPr>
        <w:t>mm</w:t>
      </w:r>
      <w:r w:rsidR="00727FD8">
        <w:rPr>
          <w:sz w:val="22"/>
          <w:szCs w:val="22"/>
        </w:rPr>
        <w:t xml:space="preserve"> μήκος και 7 </w:t>
      </w:r>
      <w:r w:rsidR="00727FD8">
        <w:rPr>
          <w:sz w:val="22"/>
          <w:szCs w:val="22"/>
          <w:lang w:val="en-US"/>
        </w:rPr>
        <w:t>mm</w:t>
      </w:r>
      <w:r w:rsidR="00727FD8">
        <w:rPr>
          <w:sz w:val="22"/>
          <w:szCs w:val="22"/>
        </w:rPr>
        <w:t xml:space="preserve"> πλάτος, </w:t>
      </w:r>
      <w:r w:rsidR="00BE5A47">
        <w:rPr>
          <w:sz w:val="22"/>
          <w:szCs w:val="22"/>
        </w:rPr>
        <w:t>διχοτομούμενο και</w:t>
      </w:r>
      <w:r w:rsidRPr="00A77130">
        <w:rPr>
          <w:sz w:val="22"/>
          <w:szCs w:val="22"/>
        </w:rPr>
        <w:t xml:space="preserve"> χαραγμένο και στις δύο πλευρές με τα διακριτικά “</w:t>
      </w:r>
      <w:r w:rsidRPr="00A77130">
        <w:rPr>
          <w:sz w:val="22"/>
          <w:szCs w:val="22"/>
          <w:lang w:val="en-US"/>
        </w:rPr>
        <w:t>DIA</w:t>
      </w:r>
      <w:r w:rsidRPr="00A77130">
        <w:rPr>
          <w:sz w:val="22"/>
          <w:szCs w:val="22"/>
        </w:rPr>
        <w:t xml:space="preserve"> </w:t>
      </w:r>
      <w:smartTag w:uri="urn:schemas-microsoft-com:office:smarttags" w:element="metricconverter">
        <w:smartTagPr>
          <w:attr w:name="ProductID" w:val="60”"/>
        </w:smartTagPr>
        <w:r w:rsidR="00BE5A47">
          <w:rPr>
            <w:sz w:val="22"/>
            <w:szCs w:val="22"/>
          </w:rPr>
          <w:t>6</w:t>
        </w:r>
        <w:r w:rsidR="00BE5A47" w:rsidRPr="00A77130">
          <w:rPr>
            <w:sz w:val="22"/>
            <w:szCs w:val="22"/>
          </w:rPr>
          <w:t>0</w:t>
        </w:r>
        <w:r w:rsidRPr="00A77130">
          <w:rPr>
            <w:sz w:val="22"/>
            <w:szCs w:val="22"/>
          </w:rPr>
          <w:t>”</w:t>
        </w:r>
      </w:smartTag>
      <w:r w:rsidRPr="00A77130">
        <w:rPr>
          <w:sz w:val="22"/>
          <w:szCs w:val="22"/>
        </w:rPr>
        <w:t>.</w:t>
      </w:r>
    </w:p>
    <w:p w:rsidR="00BE5A47" w:rsidRPr="00A77130" w:rsidRDefault="00BE5A47" w:rsidP="00A0347D">
      <w:pPr>
        <w:pStyle w:val="a8"/>
        <w:spacing w:before="0" w:after="0"/>
        <w:rPr>
          <w:sz w:val="22"/>
          <w:szCs w:val="22"/>
        </w:rPr>
      </w:pPr>
      <w:r>
        <w:rPr>
          <w:sz w:val="22"/>
          <w:szCs w:val="22"/>
        </w:rPr>
        <w:t xml:space="preserve">Το δισκίο μπορεί να χωριστεί σε δύο </w:t>
      </w:r>
      <w:r w:rsidR="00BC7A8A">
        <w:rPr>
          <w:sz w:val="22"/>
          <w:szCs w:val="22"/>
        </w:rPr>
        <w:t>ίσες δόσεις</w:t>
      </w:r>
      <w:r>
        <w:rPr>
          <w:sz w:val="22"/>
          <w:szCs w:val="22"/>
        </w:rPr>
        <w:t>.</w:t>
      </w:r>
    </w:p>
    <w:p w:rsidR="005B6C30" w:rsidRPr="00A77130" w:rsidRDefault="005B6C30" w:rsidP="0025183E">
      <w:pPr>
        <w:pStyle w:val="1"/>
        <w:rPr>
          <w:sz w:val="22"/>
          <w:szCs w:val="22"/>
        </w:rPr>
      </w:pPr>
      <w:r w:rsidRPr="00A77130">
        <w:rPr>
          <w:sz w:val="22"/>
          <w:szCs w:val="22"/>
        </w:rPr>
        <w:t>ΚΛΙΝΙΚ</w:t>
      </w:r>
      <w:r w:rsidR="0025183E">
        <w:rPr>
          <w:sz w:val="22"/>
          <w:szCs w:val="22"/>
        </w:rPr>
        <w:t>ΕΣ ΠΛΗΡΟΦΟΡΙΕΣ</w:t>
      </w:r>
    </w:p>
    <w:p w:rsidR="005B6C30" w:rsidRPr="00A77130" w:rsidRDefault="005B6C30" w:rsidP="0025183E">
      <w:pPr>
        <w:pStyle w:val="2"/>
        <w:rPr>
          <w:sz w:val="22"/>
          <w:szCs w:val="22"/>
        </w:rPr>
      </w:pPr>
      <w:r w:rsidRPr="00A77130">
        <w:rPr>
          <w:sz w:val="22"/>
          <w:szCs w:val="22"/>
        </w:rPr>
        <w:t>Θεραπευτικές ενδείξεις</w:t>
      </w:r>
      <w:r w:rsidRPr="00A77130">
        <w:rPr>
          <w:sz w:val="22"/>
          <w:szCs w:val="22"/>
        </w:rPr>
        <w:tab/>
        <w:t xml:space="preserve"> </w:t>
      </w:r>
    </w:p>
    <w:p w:rsidR="005B6C30" w:rsidRPr="00A77130" w:rsidRDefault="005B6C30" w:rsidP="0025183E">
      <w:pPr>
        <w:pStyle w:val="a8"/>
        <w:rPr>
          <w:sz w:val="22"/>
          <w:szCs w:val="22"/>
        </w:rPr>
      </w:pPr>
      <w:r w:rsidRPr="00A77130">
        <w:rPr>
          <w:sz w:val="22"/>
          <w:szCs w:val="22"/>
        </w:rPr>
        <w:t xml:space="preserve">Μη ινσουλινοεξαρτώμενος διαβήτης (τύπου 2) των ενηλίκων, όταν η </w:t>
      </w:r>
      <w:r w:rsidR="00EE1710" w:rsidRPr="00A77130">
        <w:rPr>
          <w:sz w:val="22"/>
          <w:szCs w:val="22"/>
        </w:rPr>
        <w:t>δίαιτα</w:t>
      </w:r>
      <w:r w:rsidRPr="00A77130">
        <w:rPr>
          <w:sz w:val="22"/>
          <w:szCs w:val="22"/>
        </w:rPr>
        <w:t>, η σωματική άσκηση και η μείωση του σωματικού βάρους δεν είναι από μόνες τους επαρκείς για τη ρύθμιση της γλυκαιμίας.</w:t>
      </w:r>
    </w:p>
    <w:p w:rsidR="005B6C30" w:rsidRPr="00A77130" w:rsidRDefault="005B6C30" w:rsidP="0025183E">
      <w:pPr>
        <w:pStyle w:val="2"/>
        <w:rPr>
          <w:sz w:val="22"/>
          <w:szCs w:val="22"/>
        </w:rPr>
      </w:pPr>
      <w:r w:rsidRPr="00A77130">
        <w:rPr>
          <w:sz w:val="22"/>
          <w:szCs w:val="22"/>
        </w:rPr>
        <w:t>Δοσολογία και τρόπος χορήγησης</w:t>
      </w:r>
    </w:p>
    <w:p w:rsidR="007D4587" w:rsidRDefault="007D4587" w:rsidP="00A0347D">
      <w:pPr>
        <w:pStyle w:val="a8"/>
        <w:spacing w:before="0" w:after="0"/>
        <w:rPr>
          <w:sz w:val="22"/>
          <w:szCs w:val="22"/>
          <w:u w:val="single"/>
        </w:rPr>
      </w:pPr>
      <w:r w:rsidRPr="00BC0E0C">
        <w:rPr>
          <w:sz w:val="22"/>
          <w:szCs w:val="22"/>
          <w:u w:val="single"/>
        </w:rPr>
        <w:t xml:space="preserve">Δοσολογία </w:t>
      </w:r>
    </w:p>
    <w:p w:rsidR="007D4587" w:rsidRPr="00BC0E0C" w:rsidRDefault="007D4587" w:rsidP="00A0347D">
      <w:pPr>
        <w:pStyle w:val="a8"/>
        <w:spacing w:before="0" w:after="0"/>
        <w:rPr>
          <w:sz w:val="22"/>
          <w:szCs w:val="22"/>
          <w:u w:val="single"/>
        </w:rPr>
      </w:pPr>
    </w:p>
    <w:p w:rsidR="005B6C30" w:rsidRPr="00A77130" w:rsidRDefault="005B6C30" w:rsidP="00A0347D">
      <w:pPr>
        <w:pStyle w:val="a8"/>
        <w:spacing w:before="0" w:after="0"/>
        <w:rPr>
          <w:sz w:val="22"/>
          <w:szCs w:val="22"/>
        </w:rPr>
      </w:pPr>
      <w:r w:rsidRPr="00A77130">
        <w:rPr>
          <w:sz w:val="22"/>
          <w:szCs w:val="22"/>
        </w:rPr>
        <w:t>Η ημερήσια δόση</w:t>
      </w:r>
      <w:r w:rsidR="00BE5A47">
        <w:rPr>
          <w:sz w:val="22"/>
          <w:szCs w:val="22"/>
        </w:rPr>
        <w:t xml:space="preserve"> </w:t>
      </w:r>
      <w:r w:rsidR="00BE5A47">
        <w:rPr>
          <w:sz w:val="22"/>
          <w:szCs w:val="22"/>
          <w:lang w:val="en-US"/>
        </w:rPr>
        <w:t>DIAMICRON</w:t>
      </w:r>
      <w:r w:rsidR="00BE5A47" w:rsidRPr="00BE5A47">
        <w:rPr>
          <w:sz w:val="22"/>
          <w:szCs w:val="22"/>
        </w:rPr>
        <w:t xml:space="preserve"> </w:t>
      </w:r>
      <w:r w:rsidR="00BE5A47">
        <w:rPr>
          <w:sz w:val="22"/>
          <w:szCs w:val="22"/>
          <w:lang w:val="en-US"/>
        </w:rPr>
        <w:t>MR</w:t>
      </w:r>
      <w:r w:rsidR="00BE5A47" w:rsidRPr="00BE5A47">
        <w:rPr>
          <w:sz w:val="22"/>
          <w:szCs w:val="22"/>
        </w:rPr>
        <w:t xml:space="preserve"> 60</w:t>
      </w:r>
      <w:r w:rsidR="00B56F08" w:rsidRPr="00B56F08">
        <w:rPr>
          <w:sz w:val="22"/>
          <w:szCs w:val="22"/>
        </w:rPr>
        <w:t xml:space="preserve"> </w:t>
      </w:r>
      <w:r w:rsidR="00B56F08">
        <w:rPr>
          <w:sz w:val="22"/>
          <w:szCs w:val="22"/>
          <w:lang w:val="en-US"/>
        </w:rPr>
        <w:t>mg</w:t>
      </w:r>
      <w:r w:rsidRPr="00A77130">
        <w:rPr>
          <w:sz w:val="22"/>
          <w:szCs w:val="22"/>
        </w:rPr>
        <w:t xml:space="preserve"> μπορεί να κυμαίνεται από </w:t>
      </w:r>
      <w:r w:rsidR="00BE5A47">
        <w:rPr>
          <w:sz w:val="22"/>
          <w:szCs w:val="22"/>
        </w:rPr>
        <w:t>μισό</w:t>
      </w:r>
      <w:r w:rsidR="00BE5A47" w:rsidRPr="00A77130">
        <w:rPr>
          <w:sz w:val="22"/>
          <w:szCs w:val="22"/>
        </w:rPr>
        <w:t xml:space="preserve"> </w:t>
      </w:r>
      <w:r w:rsidRPr="00A77130">
        <w:rPr>
          <w:sz w:val="22"/>
          <w:szCs w:val="22"/>
        </w:rPr>
        <w:t xml:space="preserve">έως </w:t>
      </w:r>
      <w:r w:rsidR="00BE5A47">
        <w:rPr>
          <w:sz w:val="22"/>
          <w:szCs w:val="22"/>
        </w:rPr>
        <w:t>2</w:t>
      </w:r>
      <w:r w:rsidR="00BE5A47" w:rsidRPr="00A77130">
        <w:rPr>
          <w:sz w:val="22"/>
          <w:szCs w:val="22"/>
        </w:rPr>
        <w:t xml:space="preserve"> </w:t>
      </w:r>
      <w:r w:rsidRPr="00A77130">
        <w:rPr>
          <w:sz w:val="22"/>
          <w:szCs w:val="22"/>
        </w:rPr>
        <w:t xml:space="preserve">δισκία, δηλαδή από 30 έως 120 mg σε εφ’ άπαξ λήψη από το στόμα </w:t>
      </w:r>
      <w:r w:rsidR="00443D72" w:rsidRPr="00A77130">
        <w:rPr>
          <w:sz w:val="22"/>
          <w:szCs w:val="22"/>
        </w:rPr>
        <w:t>με το πρόγευμα</w:t>
      </w:r>
      <w:r w:rsidRPr="00A77130">
        <w:rPr>
          <w:sz w:val="22"/>
          <w:szCs w:val="22"/>
        </w:rPr>
        <w:t>.</w:t>
      </w:r>
    </w:p>
    <w:p w:rsidR="005B6C30" w:rsidRPr="00A77130" w:rsidRDefault="005B6C30" w:rsidP="00A0347D">
      <w:pPr>
        <w:pStyle w:val="a8"/>
        <w:spacing w:before="0" w:after="0"/>
        <w:rPr>
          <w:sz w:val="22"/>
          <w:szCs w:val="22"/>
        </w:rPr>
      </w:pPr>
      <w:r w:rsidRPr="00A77130">
        <w:rPr>
          <w:sz w:val="22"/>
          <w:szCs w:val="22"/>
        </w:rPr>
        <w:t xml:space="preserve">Συνιστάται η </w:t>
      </w:r>
      <w:r w:rsidR="00B45C33" w:rsidRPr="00A77130">
        <w:rPr>
          <w:sz w:val="22"/>
          <w:szCs w:val="22"/>
        </w:rPr>
        <w:t>κατάποση</w:t>
      </w:r>
      <w:r w:rsidR="00BE5A47">
        <w:rPr>
          <w:sz w:val="22"/>
          <w:szCs w:val="22"/>
        </w:rPr>
        <w:t xml:space="preserve"> </w:t>
      </w:r>
      <w:r w:rsidR="00EA0243">
        <w:rPr>
          <w:sz w:val="22"/>
          <w:szCs w:val="22"/>
        </w:rPr>
        <w:t>των δισκίων</w:t>
      </w:r>
      <w:r w:rsidR="00BE5A47">
        <w:rPr>
          <w:sz w:val="22"/>
          <w:szCs w:val="22"/>
        </w:rPr>
        <w:t xml:space="preserve"> </w:t>
      </w:r>
      <w:r w:rsidR="00BE5A47" w:rsidRPr="00EA0243">
        <w:rPr>
          <w:sz w:val="22"/>
          <w:szCs w:val="22"/>
        </w:rPr>
        <w:t>χωρίς να συνθλίβ</w:t>
      </w:r>
      <w:r w:rsidR="00EA0243" w:rsidRPr="00EA0243">
        <w:rPr>
          <w:sz w:val="22"/>
          <w:szCs w:val="22"/>
        </w:rPr>
        <w:t>ον</w:t>
      </w:r>
      <w:r w:rsidR="00BE5A47" w:rsidRPr="00EA0243">
        <w:rPr>
          <w:sz w:val="22"/>
          <w:szCs w:val="22"/>
        </w:rPr>
        <w:t>ται ή να μασ</w:t>
      </w:r>
      <w:r w:rsidR="00EA0243" w:rsidRPr="00EA0243">
        <w:rPr>
          <w:sz w:val="22"/>
          <w:szCs w:val="22"/>
        </w:rPr>
        <w:t>ώντ</w:t>
      </w:r>
      <w:r w:rsidR="00BE5A47" w:rsidRPr="00EA0243">
        <w:rPr>
          <w:sz w:val="22"/>
          <w:szCs w:val="22"/>
        </w:rPr>
        <w:t>αι.</w:t>
      </w:r>
      <w:r w:rsidR="00B45C33" w:rsidRPr="00EA0243">
        <w:rPr>
          <w:sz w:val="22"/>
          <w:szCs w:val="22"/>
        </w:rPr>
        <w:t xml:space="preserve"> </w:t>
      </w:r>
    </w:p>
    <w:p w:rsidR="005B6C30" w:rsidRPr="00A77130" w:rsidRDefault="005B6C30" w:rsidP="00A0347D">
      <w:pPr>
        <w:pStyle w:val="a8"/>
        <w:spacing w:before="0" w:after="0"/>
        <w:rPr>
          <w:sz w:val="22"/>
          <w:szCs w:val="22"/>
        </w:rPr>
      </w:pPr>
      <w:r w:rsidRPr="00A77130">
        <w:rPr>
          <w:sz w:val="22"/>
          <w:szCs w:val="22"/>
        </w:rPr>
        <w:t>Σε περίπτωση που παραλειφθεί μία δόση, δεν επιτρέπεται η αύξηση της δόσης την επόμενη ημέρα.</w:t>
      </w:r>
    </w:p>
    <w:p w:rsidR="005B6C30" w:rsidRDefault="005B6C30" w:rsidP="00A0347D">
      <w:pPr>
        <w:pStyle w:val="a8"/>
        <w:spacing w:before="0" w:after="0"/>
        <w:rPr>
          <w:sz w:val="22"/>
          <w:szCs w:val="22"/>
        </w:rPr>
      </w:pPr>
      <w:r w:rsidRPr="00A77130">
        <w:rPr>
          <w:sz w:val="22"/>
          <w:szCs w:val="22"/>
        </w:rPr>
        <w:t xml:space="preserve">Όπως ισχύει για κάθε υπογλυκαιμικό παράγοντα, η δοσολογία πρέπει να προσαρμόζεται ανάλογα με τη μεταβολική ανταπόκριση του </w:t>
      </w:r>
      <w:r w:rsidR="00EE1710" w:rsidRPr="00A77130">
        <w:rPr>
          <w:sz w:val="22"/>
          <w:szCs w:val="22"/>
        </w:rPr>
        <w:t xml:space="preserve">κάθε </w:t>
      </w:r>
      <w:r w:rsidRPr="00A77130">
        <w:rPr>
          <w:sz w:val="22"/>
          <w:szCs w:val="22"/>
        </w:rPr>
        <w:t xml:space="preserve">ασθενή (γλυκόζη αίματος, HbA1c). </w:t>
      </w:r>
    </w:p>
    <w:p w:rsidR="00BC7A8A" w:rsidRPr="00A77130" w:rsidRDefault="00BC7A8A" w:rsidP="00A0347D">
      <w:pPr>
        <w:pStyle w:val="a8"/>
        <w:spacing w:before="0" w:after="0"/>
        <w:rPr>
          <w:sz w:val="22"/>
          <w:szCs w:val="22"/>
        </w:rPr>
      </w:pPr>
    </w:p>
    <w:p w:rsidR="005B6C30" w:rsidRPr="00A77130" w:rsidRDefault="005B6C30" w:rsidP="00A0347D">
      <w:pPr>
        <w:pStyle w:val="a8"/>
        <w:numPr>
          <w:ilvl w:val="0"/>
          <w:numId w:val="21"/>
        </w:numPr>
        <w:spacing w:before="0" w:after="0"/>
        <w:rPr>
          <w:sz w:val="22"/>
          <w:szCs w:val="22"/>
          <w:u w:val="single"/>
        </w:rPr>
      </w:pPr>
      <w:r w:rsidRPr="00A77130">
        <w:rPr>
          <w:sz w:val="22"/>
          <w:szCs w:val="22"/>
          <w:u w:val="single"/>
        </w:rPr>
        <w:t>Αρχική δόση:</w:t>
      </w:r>
    </w:p>
    <w:p w:rsidR="005B6C30" w:rsidRPr="00A77130" w:rsidRDefault="005B6C30" w:rsidP="00A0347D">
      <w:pPr>
        <w:pStyle w:val="a8"/>
        <w:spacing w:before="0" w:after="0"/>
        <w:rPr>
          <w:sz w:val="22"/>
          <w:szCs w:val="22"/>
        </w:rPr>
      </w:pPr>
      <w:r w:rsidRPr="00A77130">
        <w:rPr>
          <w:sz w:val="22"/>
          <w:szCs w:val="22"/>
        </w:rPr>
        <w:t>Η συνιστώμενη αρχική δόση είναι 30 mg ημερησίως</w:t>
      </w:r>
      <w:r w:rsidR="00BE5A47">
        <w:rPr>
          <w:sz w:val="22"/>
          <w:szCs w:val="22"/>
        </w:rPr>
        <w:t xml:space="preserve"> (μισό δισκίο </w:t>
      </w:r>
      <w:r w:rsidR="00BE5A47">
        <w:rPr>
          <w:sz w:val="22"/>
          <w:szCs w:val="22"/>
          <w:lang w:val="en-US"/>
        </w:rPr>
        <w:t>DIAMICRON</w:t>
      </w:r>
      <w:r w:rsidR="00BE5A47" w:rsidRPr="00BE5A47">
        <w:rPr>
          <w:sz w:val="22"/>
          <w:szCs w:val="22"/>
        </w:rPr>
        <w:t xml:space="preserve"> </w:t>
      </w:r>
      <w:r w:rsidR="00BE5A47">
        <w:rPr>
          <w:sz w:val="22"/>
          <w:szCs w:val="22"/>
          <w:lang w:val="en-US"/>
        </w:rPr>
        <w:t>MR</w:t>
      </w:r>
      <w:r w:rsidR="00BE5A47" w:rsidRPr="00BE5A47">
        <w:rPr>
          <w:sz w:val="22"/>
          <w:szCs w:val="22"/>
        </w:rPr>
        <w:t xml:space="preserve"> 60</w:t>
      </w:r>
      <w:r w:rsidR="00B56F08" w:rsidRPr="00B56F08">
        <w:rPr>
          <w:sz w:val="22"/>
          <w:szCs w:val="22"/>
        </w:rPr>
        <w:t xml:space="preserve"> </w:t>
      </w:r>
      <w:r w:rsidR="00B56F08">
        <w:rPr>
          <w:sz w:val="22"/>
          <w:szCs w:val="22"/>
          <w:lang w:val="en-US"/>
        </w:rPr>
        <w:t>mg</w:t>
      </w:r>
      <w:r w:rsidR="00BE5A47" w:rsidRPr="00BE5A47">
        <w:rPr>
          <w:sz w:val="22"/>
          <w:szCs w:val="22"/>
        </w:rPr>
        <w:t xml:space="preserve">). </w:t>
      </w:r>
      <w:r w:rsidRPr="00A77130">
        <w:rPr>
          <w:sz w:val="22"/>
          <w:szCs w:val="22"/>
        </w:rPr>
        <w:t>Εάν η γλυκαιμική ρύθμιση είναι ικανοποιητική, η δοσολογία αυτή μπορεί να υιοθετηθεί ως αγωγή συντήρησης.</w:t>
      </w:r>
    </w:p>
    <w:p w:rsidR="005B6C30" w:rsidRPr="00A77130" w:rsidRDefault="005B6C30" w:rsidP="00A0347D">
      <w:pPr>
        <w:pStyle w:val="a8"/>
        <w:spacing w:before="0" w:after="0"/>
        <w:rPr>
          <w:sz w:val="22"/>
          <w:szCs w:val="22"/>
        </w:rPr>
      </w:pPr>
      <w:r w:rsidRPr="00A77130">
        <w:rPr>
          <w:sz w:val="22"/>
          <w:szCs w:val="22"/>
        </w:rPr>
        <w:t xml:space="preserve">Εάν η γλυκαιμική ρύθμιση δεν είναι ικανοποιητική, η δοσολογία μπορεί να αυξηθεί σταδιακά στα 60, 90 ή 120 mg ημερησίως. </w:t>
      </w:r>
      <w:r w:rsidRPr="00A77130">
        <w:rPr>
          <w:sz w:val="22"/>
          <w:szCs w:val="22"/>
          <w:u w:val="single"/>
        </w:rPr>
        <w:t>Το διάστημα που μεσολαβεί από την προηγούμενη μέχρι την επόμενη αύξηση δόσης θα πρέπει να είναι τουλάχιστον 1 μήνας</w:t>
      </w:r>
      <w:r w:rsidRPr="00A77130">
        <w:rPr>
          <w:sz w:val="22"/>
          <w:szCs w:val="22"/>
        </w:rPr>
        <w:t>, εκτός εάν πρόκειται για ασθενείς η γλυκαιμία των οποίων δεν παρουσιάζει καμία μείωση έπειτα από δύο εβδομάδες αγωγής. Στην περίπτωση αυτή, είναι δυνατόν να αυξηθεί η δόση ήδη από το τέλος της δεύτερης εβδομάδας αγωγής.</w:t>
      </w:r>
    </w:p>
    <w:p w:rsidR="005B6C30" w:rsidRPr="0038495D" w:rsidRDefault="005B6C30" w:rsidP="00A0347D">
      <w:pPr>
        <w:pStyle w:val="a8"/>
        <w:spacing w:before="0" w:after="0"/>
        <w:rPr>
          <w:sz w:val="22"/>
          <w:szCs w:val="22"/>
        </w:rPr>
      </w:pPr>
      <w:r w:rsidRPr="00A77130">
        <w:rPr>
          <w:sz w:val="22"/>
          <w:szCs w:val="22"/>
        </w:rPr>
        <w:t>Η μέγιστη συνιστώμενη δόση είναι τα 120 mg ημερησίως.</w:t>
      </w:r>
    </w:p>
    <w:p w:rsidR="0025183E" w:rsidRPr="00A77130" w:rsidRDefault="00BE5A47" w:rsidP="00A0347D">
      <w:pPr>
        <w:pStyle w:val="a8"/>
        <w:spacing w:before="0" w:after="0"/>
        <w:rPr>
          <w:sz w:val="22"/>
          <w:szCs w:val="22"/>
        </w:rPr>
      </w:pPr>
      <w:r>
        <w:rPr>
          <w:sz w:val="22"/>
          <w:szCs w:val="22"/>
        </w:rPr>
        <w:t>Ένα δισκίο ελεγχόμενης αποδέσμευσης</w:t>
      </w:r>
      <w:r w:rsidRPr="00BE5A47">
        <w:rPr>
          <w:sz w:val="22"/>
          <w:szCs w:val="22"/>
        </w:rPr>
        <w:t xml:space="preserve"> </w:t>
      </w:r>
      <w:r>
        <w:rPr>
          <w:sz w:val="22"/>
          <w:szCs w:val="22"/>
          <w:lang w:val="en-US"/>
        </w:rPr>
        <w:t>DIAMICRON</w:t>
      </w:r>
      <w:r w:rsidRPr="00BE5A47">
        <w:rPr>
          <w:sz w:val="22"/>
          <w:szCs w:val="22"/>
        </w:rPr>
        <w:t xml:space="preserve"> </w:t>
      </w:r>
      <w:r>
        <w:rPr>
          <w:sz w:val="22"/>
          <w:szCs w:val="22"/>
          <w:lang w:val="en-US"/>
        </w:rPr>
        <w:t>MR</w:t>
      </w:r>
      <w:r w:rsidRPr="00BE5A47">
        <w:rPr>
          <w:sz w:val="22"/>
          <w:szCs w:val="22"/>
        </w:rPr>
        <w:t xml:space="preserve"> 60</w:t>
      </w:r>
      <w:r w:rsidR="00B56F08" w:rsidRPr="00B56F08">
        <w:rPr>
          <w:sz w:val="22"/>
          <w:szCs w:val="22"/>
        </w:rPr>
        <w:t xml:space="preserve"> </w:t>
      </w:r>
      <w:r w:rsidR="00B56F08">
        <w:rPr>
          <w:sz w:val="22"/>
          <w:szCs w:val="22"/>
          <w:lang w:val="en-US"/>
        </w:rPr>
        <w:t>mg</w:t>
      </w:r>
      <w:r>
        <w:rPr>
          <w:sz w:val="22"/>
          <w:szCs w:val="22"/>
        </w:rPr>
        <w:t xml:space="preserve"> ισοδυναμεί με δύο δισκία ελεγχόμενης αποδέσμευσης </w:t>
      </w:r>
      <w:r>
        <w:rPr>
          <w:sz w:val="22"/>
          <w:szCs w:val="22"/>
          <w:lang w:val="en-US"/>
        </w:rPr>
        <w:t>DIAMICRON</w:t>
      </w:r>
      <w:r w:rsidRPr="00BE5A47">
        <w:rPr>
          <w:sz w:val="22"/>
          <w:szCs w:val="22"/>
        </w:rPr>
        <w:t xml:space="preserve"> </w:t>
      </w:r>
      <w:r>
        <w:rPr>
          <w:sz w:val="22"/>
          <w:szCs w:val="22"/>
          <w:lang w:val="en-US"/>
        </w:rPr>
        <w:t>MR</w:t>
      </w:r>
      <w:r w:rsidRPr="00BE5A47">
        <w:rPr>
          <w:sz w:val="22"/>
          <w:szCs w:val="22"/>
        </w:rPr>
        <w:t xml:space="preserve"> 30 </w:t>
      </w:r>
      <w:r>
        <w:rPr>
          <w:sz w:val="22"/>
          <w:szCs w:val="22"/>
          <w:lang w:val="en-US"/>
        </w:rPr>
        <w:t>mg</w:t>
      </w:r>
      <w:r>
        <w:rPr>
          <w:sz w:val="22"/>
          <w:szCs w:val="22"/>
        </w:rPr>
        <w:t xml:space="preserve">. Η δυνατότητα διχοτόμησης του δισκίου ελεγχόμενης αποδέσμευσης </w:t>
      </w:r>
      <w:r>
        <w:rPr>
          <w:sz w:val="22"/>
          <w:szCs w:val="22"/>
          <w:lang w:val="en-US"/>
        </w:rPr>
        <w:t>DIAMICRON</w:t>
      </w:r>
      <w:r w:rsidRPr="00BE5A47">
        <w:rPr>
          <w:sz w:val="22"/>
          <w:szCs w:val="22"/>
        </w:rPr>
        <w:t xml:space="preserve"> </w:t>
      </w:r>
      <w:r>
        <w:rPr>
          <w:sz w:val="22"/>
          <w:szCs w:val="22"/>
          <w:lang w:val="en-US"/>
        </w:rPr>
        <w:t>MR</w:t>
      </w:r>
      <w:r w:rsidRPr="00BE5A47">
        <w:rPr>
          <w:sz w:val="22"/>
          <w:szCs w:val="22"/>
        </w:rPr>
        <w:t xml:space="preserve"> 60</w:t>
      </w:r>
      <w:r>
        <w:rPr>
          <w:sz w:val="22"/>
          <w:szCs w:val="22"/>
        </w:rPr>
        <w:t xml:space="preserve"> </w:t>
      </w:r>
      <w:r w:rsidR="0015355F">
        <w:rPr>
          <w:sz w:val="22"/>
          <w:szCs w:val="22"/>
          <w:lang w:val="en-US"/>
        </w:rPr>
        <w:t>mg</w:t>
      </w:r>
      <w:r w:rsidR="0015355F" w:rsidRPr="0015355F">
        <w:rPr>
          <w:sz w:val="22"/>
          <w:szCs w:val="22"/>
        </w:rPr>
        <w:t xml:space="preserve"> </w:t>
      </w:r>
      <w:r>
        <w:rPr>
          <w:sz w:val="22"/>
          <w:szCs w:val="22"/>
        </w:rPr>
        <w:t>επιτρέπει την ευελιξία της δόσης που πρέπει να επιτευχθεί.</w:t>
      </w:r>
    </w:p>
    <w:p w:rsidR="00BC7A8A" w:rsidRDefault="00BC7A8A" w:rsidP="00BC7A8A">
      <w:pPr>
        <w:pStyle w:val="a8"/>
        <w:ind w:left="927"/>
        <w:rPr>
          <w:sz w:val="22"/>
          <w:szCs w:val="22"/>
          <w:u w:val="single"/>
        </w:rPr>
      </w:pPr>
    </w:p>
    <w:p w:rsidR="005B6C30" w:rsidRPr="00A77130" w:rsidRDefault="005B6C30" w:rsidP="0025183E">
      <w:pPr>
        <w:pStyle w:val="a8"/>
        <w:numPr>
          <w:ilvl w:val="0"/>
          <w:numId w:val="21"/>
        </w:numPr>
        <w:rPr>
          <w:sz w:val="22"/>
          <w:szCs w:val="22"/>
          <w:u w:val="single"/>
        </w:rPr>
      </w:pPr>
      <w:r w:rsidRPr="00A77130">
        <w:rPr>
          <w:sz w:val="22"/>
          <w:szCs w:val="22"/>
          <w:u w:val="single"/>
        </w:rPr>
        <w:t xml:space="preserve">Αντικατάσταση του DIAMICRON 80 mg δισκία με DIAMICRON MR </w:t>
      </w:r>
      <w:r w:rsidR="00BE5A47">
        <w:rPr>
          <w:sz w:val="22"/>
          <w:szCs w:val="22"/>
          <w:u w:val="single"/>
        </w:rPr>
        <w:t>60</w:t>
      </w:r>
      <w:r w:rsidR="00BE5A47" w:rsidRPr="00A77130">
        <w:rPr>
          <w:sz w:val="22"/>
          <w:szCs w:val="22"/>
          <w:u w:val="single"/>
        </w:rPr>
        <w:t xml:space="preserve"> </w:t>
      </w:r>
      <w:r w:rsidRPr="00A77130">
        <w:rPr>
          <w:sz w:val="22"/>
          <w:szCs w:val="22"/>
          <w:u w:val="single"/>
        </w:rPr>
        <w:t>mg δισκία ελεγχόμενης αποδέσμευσης:</w:t>
      </w:r>
    </w:p>
    <w:p w:rsidR="005B6C30" w:rsidRPr="00A77130" w:rsidRDefault="00E44F01" w:rsidP="00BC7A8A">
      <w:pPr>
        <w:pStyle w:val="a8"/>
        <w:spacing w:before="0" w:after="120"/>
        <w:rPr>
          <w:sz w:val="22"/>
          <w:szCs w:val="22"/>
        </w:rPr>
      </w:pPr>
      <w:r>
        <w:rPr>
          <w:sz w:val="22"/>
          <w:szCs w:val="22"/>
        </w:rPr>
        <w:t>Ένα</w:t>
      </w:r>
      <w:r w:rsidRPr="00A77130">
        <w:rPr>
          <w:sz w:val="22"/>
          <w:szCs w:val="22"/>
        </w:rPr>
        <w:t xml:space="preserve"> </w:t>
      </w:r>
      <w:r w:rsidR="005B6C30" w:rsidRPr="00A77130">
        <w:rPr>
          <w:sz w:val="22"/>
          <w:szCs w:val="22"/>
        </w:rPr>
        <w:t xml:space="preserve">δισκίο DIAMICRON 80 mg αντιστοιχεί </w:t>
      </w:r>
      <w:r>
        <w:rPr>
          <w:sz w:val="22"/>
          <w:szCs w:val="22"/>
        </w:rPr>
        <w:t xml:space="preserve">σε 30 </w:t>
      </w:r>
      <w:r>
        <w:rPr>
          <w:sz w:val="22"/>
          <w:szCs w:val="22"/>
          <w:lang w:val="en-US"/>
        </w:rPr>
        <w:t>mg</w:t>
      </w:r>
      <w:r>
        <w:rPr>
          <w:sz w:val="22"/>
          <w:szCs w:val="22"/>
        </w:rPr>
        <w:t xml:space="preserve"> της μορφής ελεγχόμενης αποδέσμευσης (δηλαδή μισό δισκίο </w:t>
      </w:r>
      <w:r>
        <w:rPr>
          <w:sz w:val="22"/>
          <w:szCs w:val="22"/>
          <w:lang w:val="en-US"/>
        </w:rPr>
        <w:t>DIAMICRON</w:t>
      </w:r>
      <w:r w:rsidRPr="00E44F01">
        <w:rPr>
          <w:sz w:val="22"/>
          <w:szCs w:val="22"/>
        </w:rPr>
        <w:t xml:space="preserve"> </w:t>
      </w:r>
      <w:r>
        <w:rPr>
          <w:sz w:val="22"/>
          <w:szCs w:val="22"/>
          <w:lang w:val="en-US"/>
        </w:rPr>
        <w:t>MR</w:t>
      </w:r>
      <w:r w:rsidRPr="00E44F01">
        <w:rPr>
          <w:sz w:val="22"/>
          <w:szCs w:val="22"/>
        </w:rPr>
        <w:t xml:space="preserve"> 60</w:t>
      </w:r>
      <w:r w:rsidR="00B56F08" w:rsidRPr="00B56F08">
        <w:rPr>
          <w:sz w:val="22"/>
          <w:szCs w:val="22"/>
        </w:rPr>
        <w:t xml:space="preserve"> </w:t>
      </w:r>
      <w:r w:rsidR="00B56F08">
        <w:rPr>
          <w:sz w:val="22"/>
          <w:szCs w:val="22"/>
          <w:lang w:val="en-US"/>
        </w:rPr>
        <w:t>mg</w:t>
      </w:r>
      <w:r w:rsidRPr="00E44F01">
        <w:rPr>
          <w:sz w:val="22"/>
          <w:szCs w:val="22"/>
        </w:rPr>
        <w:t>).</w:t>
      </w:r>
      <w:r w:rsidR="005B6C30" w:rsidRPr="00A77130">
        <w:rPr>
          <w:sz w:val="22"/>
          <w:szCs w:val="22"/>
        </w:rPr>
        <w:t xml:space="preserve"> Συνεπώς, η αντικατάσταση μπορεί να γίνει με την προϋπόθεση ότι παρακολουθούνται προσεκτικά οι εξετάσεις αίματος.</w:t>
      </w:r>
    </w:p>
    <w:p w:rsidR="005B6C30" w:rsidRPr="00A77130" w:rsidRDefault="005B6C30" w:rsidP="0025183E">
      <w:pPr>
        <w:pStyle w:val="a8"/>
        <w:numPr>
          <w:ilvl w:val="0"/>
          <w:numId w:val="21"/>
        </w:numPr>
        <w:rPr>
          <w:sz w:val="22"/>
          <w:szCs w:val="22"/>
          <w:u w:val="single"/>
        </w:rPr>
      </w:pPr>
      <w:r w:rsidRPr="00A77130">
        <w:rPr>
          <w:sz w:val="22"/>
          <w:szCs w:val="22"/>
          <w:u w:val="single"/>
        </w:rPr>
        <w:lastRenderedPageBreak/>
        <w:t xml:space="preserve">Αντικατάσταση άλλου αντιδιαβητικού παράγοντα από το στόμα με DIAMICRON MR </w:t>
      </w:r>
      <w:r w:rsidR="00E44F01" w:rsidRPr="00E44F01">
        <w:rPr>
          <w:sz w:val="22"/>
          <w:szCs w:val="22"/>
          <w:u w:val="single"/>
        </w:rPr>
        <w:t>60</w:t>
      </w:r>
      <w:r w:rsidR="00B56F08" w:rsidRPr="00B56F08">
        <w:rPr>
          <w:sz w:val="22"/>
          <w:szCs w:val="22"/>
          <w:u w:val="single"/>
        </w:rPr>
        <w:t xml:space="preserve"> </w:t>
      </w:r>
      <w:r w:rsidR="00B56F08">
        <w:rPr>
          <w:sz w:val="22"/>
          <w:szCs w:val="22"/>
          <w:u w:val="single"/>
          <w:lang w:val="en-US"/>
        </w:rPr>
        <w:t>mg</w:t>
      </w:r>
      <w:r w:rsidRPr="00A77130">
        <w:rPr>
          <w:sz w:val="22"/>
          <w:szCs w:val="22"/>
          <w:u w:val="single"/>
        </w:rPr>
        <w:t>:</w:t>
      </w:r>
    </w:p>
    <w:p w:rsidR="005B6C30" w:rsidRPr="00A77130" w:rsidRDefault="005B6C30" w:rsidP="00BC7A8A">
      <w:pPr>
        <w:pStyle w:val="a8"/>
        <w:spacing w:before="0" w:after="0"/>
        <w:rPr>
          <w:sz w:val="22"/>
          <w:szCs w:val="22"/>
        </w:rPr>
      </w:pPr>
      <w:r w:rsidRPr="00A77130">
        <w:rPr>
          <w:sz w:val="22"/>
          <w:szCs w:val="22"/>
        </w:rPr>
        <w:t xml:space="preserve">Το DIAMICRON MR </w:t>
      </w:r>
      <w:r w:rsidR="00E44F01" w:rsidRPr="00E44F01">
        <w:rPr>
          <w:sz w:val="22"/>
          <w:szCs w:val="22"/>
        </w:rPr>
        <w:t>60</w:t>
      </w:r>
      <w:r w:rsidR="00B56F08" w:rsidRPr="00B56F08">
        <w:rPr>
          <w:sz w:val="22"/>
          <w:szCs w:val="22"/>
        </w:rPr>
        <w:t xml:space="preserve"> </w:t>
      </w:r>
      <w:r w:rsidR="00B56F08">
        <w:rPr>
          <w:sz w:val="22"/>
          <w:szCs w:val="22"/>
          <w:lang w:val="en-US"/>
        </w:rPr>
        <w:t>mg</w:t>
      </w:r>
      <w:r w:rsidRPr="00A77130">
        <w:rPr>
          <w:sz w:val="22"/>
          <w:szCs w:val="22"/>
        </w:rPr>
        <w:t xml:space="preserve"> μπορεί να αντικαταστήσει άλλο</w:t>
      </w:r>
      <w:r w:rsidR="00E44F01">
        <w:rPr>
          <w:sz w:val="22"/>
          <w:szCs w:val="22"/>
        </w:rPr>
        <w:t>υς</w:t>
      </w:r>
      <w:r w:rsidRPr="00A77130">
        <w:rPr>
          <w:sz w:val="22"/>
          <w:szCs w:val="22"/>
        </w:rPr>
        <w:t xml:space="preserve"> αντιδιαβητικ</w:t>
      </w:r>
      <w:r w:rsidR="00E44F01">
        <w:rPr>
          <w:sz w:val="22"/>
          <w:szCs w:val="22"/>
        </w:rPr>
        <w:t>ούς</w:t>
      </w:r>
      <w:r w:rsidRPr="00A77130">
        <w:rPr>
          <w:sz w:val="22"/>
          <w:szCs w:val="22"/>
        </w:rPr>
        <w:t xml:space="preserve"> παράγοντ</w:t>
      </w:r>
      <w:r w:rsidR="00E44F01">
        <w:rPr>
          <w:sz w:val="22"/>
          <w:szCs w:val="22"/>
        </w:rPr>
        <w:t>ες</w:t>
      </w:r>
      <w:r w:rsidRPr="00A77130">
        <w:rPr>
          <w:sz w:val="22"/>
          <w:szCs w:val="22"/>
        </w:rPr>
        <w:t xml:space="preserve"> από το στόμα. Κατά την αντικατάσταση με DIAMICRON MR </w:t>
      </w:r>
      <w:r w:rsidR="00E44F01">
        <w:rPr>
          <w:sz w:val="22"/>
          <w:szCs w:val="22"/>
        </w:rPr>
        <w:t>60</w:t>
      </w:r>
      <w:r w:rsidRPr="00A77130">
        <w:rPr>
          <w:sz w:val="22"/>
          <w:szCs w:val="22"/>
        </w:rPr>
        <w:t xml:space="preserve"> </w:t>
      </w:r>
      <w:r w:rsidR="00B56F08">
        <w:rPr>
          <w:sz w:val="22"/>
          <w:szCs w:val="22"/>
          <w:lang w:val="en-US"/>
        </w:rPr>
        <w:t>mg</w:t>
      </w:r>
      <w:r w:rsidR="00B56F08" w:rsidRPr="00B56F08">
        <w:rPr>
          <w:sz w:val="22"/>
          <w:szCs w:val="22"/>
        </w:rPr>
        <w:t xml:space="preserve"> </w:t>
      </w:r>
      <w:r w:rsidRPr="00A77130">
        <w:rPr>
          <w:sz w:val="22"/>
          <w:szCs w:val="22"/>
        </w:rPr>
        <w:t xml:space="preserve">πρέπει να λαμβάνονται υπόψη η δοσολογία και </w:t>
      </w:r>
      <w:r w:rsidR="00EE1710" w:rsidRPr="00A77130">
        <w:rPr>
          <w:sz w:val="22"/>
          <w:szCs w:val="22"/>
        </w:rPr>
        <w:t>ο χρόνος ημιζωής</w:t>
      </w:r>
      <w:r w:rsidRPr="00A77130">
        <w:rPr>
          <w:sz w:val="22"/>
          <w:szCs w:val="22"/>
        </w:rPr>
        <w:t xml:space="preserve"> του προηγούμενου αντιδιαβητικού παράγοντα. </w:t>
      </w:r>
    </w:p>
    <w:p w:rsidR="005B6C30" w:rsidRPr="00A77130" w:rsidRDefault="005B6C30" w:rsidP="00BC7A8A">
      <w:pPr>
        <w:pStyle w:val="a8"/>
        <w:spacing w:before="0" w:after="0"/>
        <w:rPr>
          <w:sz w:val="22"/>
          <w:szCs w:val="22"/>
        </w:rPr>
      </w:pPr>
      <w:r w:rsidRPr="00A77130">
        <w:rPr>
          <w:sz w:val="22"/>
          <w:szCs w:val="22"/>
        </w:rPr>
        <w:t>Η αντικατάσταση γίνεται, συνήθως, χωρίς να μεσολαβεί κάποια μεταβατική περίοδος</w:t>
      </w:r>
      <w:r w:rsidR="0025183E">
        <w:rPr>
          <w:sz w:val="22"/>
          <w:szCs w:val="22"/>
        </w:rPr>
        <w:t xml:space="preserve">. </w:t>
      </w:r>
      <w:r w:rsidRPr="00A77130">
        <w:rPr>
          <w:sz w:val="22"/>
          <w:szCs w:val="22"/>
        </w:rPr>
        <w:t xml:space="preserve"> </w:t>
      </w:r>
      <w:r w:rsidR="0025183E">
        <w:rPr>
          <w:sz w:val="22"/>
          <w:szCs w:val="22"/>
        </w:rPr>
        <w:t xml:space="preserve">Αρχικά θα πρέπει να χορηγείται η δόση των </w:t>
      </w:r>
      <w:r w:rsidRPr="00A77130">
        <w:rPr>
          <w:sz w:val="22"/>
          <w:szCs w:val="22"/>
        </w:rPr>
        <w:t xml:space="preserve">30 mg και </w:t>
      </w:r>
      <w:r w:rsidR="0025183E">
        <w:rPr>
          <w:sz w:val="22"/>
          <w:szCs w:val="22"/>
        </w:rPr>
        <w:t>στη συνέχεια να γίνεται προσαρμογή</w:t>
      </w:r>
      <w:r w:rsidRPr="00A77130">
        <w:rPr>
          <w:sz w:val="22"/>
          <w:szCs w:val="22"/>
        </w:rPr>
        <w:t xml:space="preserve"> τη</w:t>
      </w:r>
      <w:r w:rsidR="0025183E">
        <w:rPr>
          <w:sz w:val="22"/>
          <w:szCs w:val="22"/>
        </w:rPr>
        <w:t>ς</w:t>
      </w:r>
      <w:r w:rsidRPr="00A77130">
        <w:rPr>
          <w:sz w:val="22"/>
          <w:szCs w:val="22"/>
        </w:rPr>
        <w:t xml:space="preserve"> δόση</w:t>
      </w:r>
      <w:r w:rsidR="0025183E">
        <w:rPr>
          <w:sz w:val="22"/>
          <w:szCs w:val="22"/>
        </w:rPr>
        <w:t>ς</w:t>
      </w:r>
      <w:r w:rsidRPr="00A77130">
        <w:rPr>
          <w:sz w:val="22"/>
          <w:szCs w:val="22"/>
        </w:rPr>
        <w:t>, όπως αναφέρεται παραπάνω, ανάλογα με τη μεταβολική ανταπόκριση κάθε ασθενή.</w:t>
      </w:r>
    </w:p>
    <w:p w:rsidR="005B6C30" w:rsidRDefault="005B6C30" w:rsidP="00BC7A8A">
      <w:pPr>
        <w:pStyle w:val="a8"/>
        <w:spacing w:before="0" w:after="0"/>
        <w:rPr>
          <w:sz w:val="22"/>
          <w:szCs w:val="22"/>
        </w:rPr>
      </w:pPr>
      <w:r w:rsidRPr="00A77130">
        <w:rPr>
          <w:sz w:val="22"/>
          <w:szCs w:val="22"/>
        </w:rPr>
        <w:t xml:space="preserve">Σε περίπτωση αντικατάστασης αντιδιαβητικής σουλφονυλουρίας με </w:t>
      </w:r>
      <w:r w:rsidRPr="00EA0243">
        <w:rPr>
          <w:sz w:val="22"/>
          <w:szCs w:val="22"/>
          <w:u w:val="single"/>
        </w:rPr>
        <w:t>παρατεταμέν</w:t>
      </w:r>
      <w:r w:rsidR="00EE1710" w:rsidRPr="00EA0243">
        <w:rPr>
          <w:sz w:val="22"/>
          <w:szCs w:val="22"/>
          <w:u w:val="single"/>
        </w:rPr>
        <w:t>ο</w:t>
      </w:r>
      <w:r w:rsidRPr="00EA0243">
        <w:rPr>
          <w:sz w:val="22"/>
          <w:szCs w:val="22"/>
          <w:u w:val="single"/>
        </w:rPr>
        <w:t xml:space="preserve"> </w:t>
      </w:r>
      <w:r w:rsidR="00EE1710" w:rsidRPr="00EA0243">
        <w:rPr>
          <w:sz w:val="22"/>
          <w:szCs w:val="22"/>
          <w:u w:val="single"/>
        </w:rPr>
        <w:t>χρόνο ημιζωής</w:t>
      </w:r>
      <w:r w:rsidRPr="00A77130">
        <w:rPr>
          <w:sz w:val="22"/>
          <w:szCs w:val="22"/>
        </w:rPr>
        <w:t xml:space="preserve">, ίσως χρειαστεί να μεσολαβήσει ένα διάστημα λίγων ημερών χωρίς να ακολουθείται καμία αγωγή, προκειμένου να αποφευχθεί η αθροιστική δράση των δύο προϊόντων, η οποία θα μπορούσε να προκαλέσει υπογλυκαιμία. </w:t>
      </w:r>
      <w:r w:rsidR="00E44F01">
        <w:rPr>
          <w:sz w:val="22"/>
          <w:szCs w:val="22"/>
        </w:rPr>
        <w:t xml:space="preserve">Η </w:t>
      </w:r>
      <w:r w:rsidRPr="00A77130">
        <w:rPr>
          <w:sz w:val="22"/>
          <w:szCs w:val="22"/>
        </w:rPr>
        <w:t xml:space="preserve">διαδικασία που </w:t>
      </w:r>
      <w:r w:rsidR="00E44F01">
        <w:rPr>
          <w:sz w:val="22"/>
          <w:szCs w:val="22"/>
        </w:rPr>
        <w:t>περιγράφεται</w:t>
      </w:r>
      <w:r w:rsidRPr="00A77130">
        <w:rPr>
          <w:sz w:val="22"/>
          <w:szCs w:val="22"/>
        </w:rPr>
        <w:t xml:space="preserve"> για την έναρξη της θεραπευτικής αγωγής</w:t>
      </w:r>
      <w:r w:rsidR="00E44F01">
        <w:rPr>
          <w:sz w:val="22"/>
          <w:szCs w:val="22"/>
        </w:rPr>
        <w:t xml:space="preserve"> θα πρέπει επίσης να χρησιμοποιείται όταν αντικαθίσταται η αγωγή</w:t>
      </w:r>
      <w:r w:rsidRPr="00A77130">
        <w:rPr>
          <w:sz w:val="22"/>
          <w:szCs w:val="22"/>
        </w:rPr>
        <w:t xml:space="preserve"> με DIAMICRON MR </w:t>
      </w:r>
      <w:r w:rsidR="00E44F01">
        <w:rPr>
          <w:sz w:val="22"/>
          <w:szCs w:val="22"/>
        </w:rPr>
        <w:t>60</w:t>
      </w:r>
      <w:r w:rsidR="00B56F08" w:rsidRPr="00B56F08">
        <w:rPr>
          <w:sz w:val="22"/>
          <w:szCs w:val="22"/>
        </w:rPr>
        <w:t xml:space="preserve"> </w:t>
      </w:r>
      <w:r w:rsidR="00B56F08">
        <w:rPr>
          <w:sz w:val="22"/>
          <w:szCs w:val="22"/>
          <w:lang w:val="en-US"/>
        </w:rPr>
        <w:t>mg</w:t>
      </w:r>
      <w:r w:rsidRPr="00A77130">
        <w:rPr>
          <w:sz w:val="22"/>
          <w:szCs w:val="22"/>
        </w:rPr>
        <w:t>, δηλαδή αρχική δόση 30 mg την ημέρα και στη συνέχεια σταδιακή αύξηση της δοσολογίας, ανάλογα με τη μεταβολική ανταπόκριση.</w:t>
      </w:r>
    </w:p>
    <w:p w:rsidR="00BC7A8A" w:rsidRPr="00A77130" w:rsidRDefault="00BC7A8A" w:rsidP="00BC7A8A">
      <w:pPr>
        <w:pStyle w:val="a8"/>
        <w:spacing w:before="0" w:after="0"/>
        <w:rPr>
          <w:sz w:val="22"/>
          <w:szCs w:val="22"/>
        </w:rPr>
      </w:pPr>
    </w:p>
    <w:p w:rsidR="005B6C30" w:rsidRPr="00A77130" w:rsidRDefault="005B6C30" w:rsidP="0025183E">
      <w:pPr>
        <w:pStyle w:val="a8"/>
        <w:numPr>
          <w:ilvl w:val="0"/>
          <w:numId w:val="21"/>
        </w:numPr>
        <w:rPr>
          <w:sz w:val="22"/>
          <w:szCs w:val="22"/>
          <w:u w:val="single"/>
        </w:rPr>
      </w:pPr>
      <w:r w:rsidRPr="00A77130">
        <w:rPr>
          <w:sz w:val="22"/>
          <w:szCs w:val="22"/>
          <w:u w:val="single"/>
        </w:rPr>
        <w:t>Συγχορήγηση με άλλους αντιδιαβητικούς παράγοντες:</w:t>
      </w:r>
    </w:p>
    <w:p w:rsidR="005B6C30" w:rsidRPr="00A77130" w:rsidRDefault="005B6C30" w:rsidP="00A0347D">
      <w:pPr>
        <w:pStyle w:val="a8"/>
        <w:spacing w:before="0" w:after="0"/>
        <w:rPr>
          <w:sz w:val="22"/>
          <w:szCs w:val="22"/>
        </w:rPr>
      </w:pPr>
      <w:r w:rsidRPr="00A77130">
        <w:rPr>
          <w:sz w:val="22"/>
          <w:szCs w:val="22"/>
        </w:rPr>
        <w:t xml:space="preserve">Το DIAMICRON MR </w:t>
      </w:r>
      <w:r w:rsidR="00E44F01">
        <w:rPr>
          <w:sz w:val="22"/>
          <w:szCs w:val="22"/>
        </w:rPr>
        <w:t>60</w:t>
      </w:r>
      <w:r w:rsidRPr="00A77130">
        <w:rPr>
          <w:sz w:val="22"/>
          <w:szCs w:val="22"/>
        </w:rPr>
        <w:t xml:space="preserve"> </w:t>
      </w:r>
      <w:r w:rsidR="00B56F08">
        <w:rPr>
          <w:sz w:val="22"/>
          <w:szCs w:val="22"/>
          <w:lang w:val="en-US"/>
        </w:rPr>
        <w:t>mg</w:t>
      </w:r>
      <w:r w:rsidR="00B56F08" w:rsidRPr="00B56F08">
        <w:rPr>
          <w:sz w:val="22"/>
          <w:szCs w:val="22"/>
        </w:rPr>
        <w:t xml:space="preserve"> </w:t>
      </w:r>
      <w:r w:rsidRPr="00A77130">
        <w:rPr>
          <w:sz w:val="22"/>
          <w:szCs w:val="22"/>
        </w:rPr>
        <w:t>μπορεί να χορηγηθεί σε συνδυασμό με διγουανίδια, αναστολείς της α-γλυκοσιδάσης ή ινσουλίνη.</w:t>
      </w:r>
    </w:p>
    <w:p w:rsidR="005B6C30" w:rsidRDefault="005B6C30" w:rsidP="00A0347D">
      <w:pPr>
        <w:pStyle w:val="a8"/>
        <w:spacing w:before="0" w:after="0"/>
        <w:rPr>
          <w:sz w:val="22"/>
          <w:szCs w:val="22"/>
        </w:rPr>
      </w:pPr>
      <w:r w:rsidRPr="00A77130">
        <w:rPr>
          <w:sz w:val="22"/>
          <w:szCs w:val="22"/>
        </w:rPr>
        <w:t xml:space="preserve">Σε ασθενείς που δεν ρυθμίζονται επαρκώς με </w:t>
      </w:r>
      <w:r w:rsidRPr="00A77130">
        <w:rPr>
          <w:sz w:val="22"/>
          <w:szCs w:val="22"/>
          <w:lang w:val="en-US"/>
        </w:rPr>
        <w:t>DIAMICRON</w:t>
      </w:r>
      <w:r w:rsidRPr="00A77130">
        <w:rPr>
          <w:sz w:val="22"/>
          <w:szCs w:val="22"/>
        </w:rPr>
        <w:t xml:space="preserve"> </w:t>
      </w:r>
      <w:r w:rsidRPr="00A77130">
        <w:rPr>
          <w:sz w:val="22"/>
          <w:szCs w:val="22"/>
          <w:lang w:val="en-US"/>
        </w:rPr>
        <w:t>MR</w:t>
      </w:r>
      <w:r w:rsidRPr="00A77130">
        <w:rPr>
          <w:sz w:val="22"/>
          <w:szCs w:val="22"/>
        </w:rPr>
        <w:t xml:space="preserve"> </w:t>
      </w:r>
      <w:r w:rsidR="00E44F01">
        <w:rPr>
          <w:sz w:val="22"/>
          <w:szCs w:val="22"/>
        </w:rPr>
        <w:t>60</w:t>
      </w:r>
      <w:r w:rsidR="00B56F08" w:rsidRPr="00B56F08">
        <w:rPr>
          <w:sz w:val="22"/>
          <w:szCs w:val="22"/>
        </w:rPr>
        <w:t xml:space="preserve"> </w:t>
      </w:r>
      <w:r w:rsidR="00B56F08">
        <w:rPr>
          <w:sz w:val="22"/>
          <w:szCs w:val="22"/>
          <w:lang w:val="en-US"/>
        </w:rPr>
        <w:t>mg</w:t>
      </w:r>
      <w:r w:rsidRPr="00A77130">
        <w:rPr>
          <w:sz w:val="22"/>
          <w:szCs w:val="22"/>
        </w:rPr>
        <w:t xml:space="preserve">, μπορεί </w:t>
      </w:r>
      <w:r w:rsidR="00E44F01">
        <w:rPr>
          <w:sz w:val="22"/>
          <w:szCs w:val="22"/>
        </w:rPr>
        <w:t xml:space="preserve">ταυτόχρονα </w:t>
      </w:r>
      <w:r w:rsidRPr="00A77130">
        <w:rPr>
          <w:sz w:val="22"/>
          <w:szCs w:val="22"/>
        </w:rPr>
        <w:t xml:space="preserve">να </w:t>
      </w:r>
      <w:r w:rsidR="00EE1710" w:rsidRPr="00A77130">
        <w:rPr>
          <w:sz w:val="22"/>
          <w:szCs w:val="22"/>
        </w:rPr>
        <w:t xml:space="preserve">ξεκινήσει </w:t>
      </w:r>
      <w:r w:rsidRPr="00A77130">
        <w:rPr>
          <w:sz w:val="22"/>
          <w:szCs w:val="22"/>
        </w:rPr>
        <w:t>ινσουλινοθεραπεία κάτω από στενή ιατρική επίβλεψη.</w:t>
      </w:r>
    </w:p>
    <w:p w:rsidR="0034739D" w:rsidRDefault="0034739D" w:rsidP="00A0347D">
      <w:pPr>
        <w:pStyle w:val="a8"/>
        <w:spacing w:before="0" w:after="0"/>
        <w:rPr>
          <w:sz w:val="22"/>
          <w:szCs w:val="22"/>
        </w:rPr>
      </w:pPr>
    </w:p>
    <w:p w:rsidR="0034739D" w:rsidRDefault="0034739D" w:rsidP="0034739D">
      <w:pPr>
        <w:pStyle w:val="a8"/>
        <w:rPr>
          <w:i/>
          <w:sz w:val="22"/>
          <w:szCs w:val="22"/>
        </w:rPr>
      </w:pPr>
      <w:r>
        <w:rPr>
          <w:i/>
          <w:sz w:val="22"/>
          <w:szCs w:val="22"/>
        </w:rPr>
        <w:t>Ειδικοί Πληθυσμοί</w:t>
      </w:r>
    </w:p>
    <w:p w:rsidR="0034739D" w:rsidRPr="0038495D" w:rsidRDefault="0034739D" w:rsidP="00A0347D">
      <w:pPr>
        <w:pStyle w:val="a8"/>
        <w:spacing w:before="0" w:after="0"/>
        <w:rPr>
          <w:i/>
          <w:sz w:val="22"/>
          <w:szCs w:val="22"/>
        </w:rPr>
      </w:pPr>
      <w:r>
        <w:rPr>
          <w:i/>
          <w:sz w:val="22"/>
          <w:szCs w:val="22"/>
        </w:rPr>
        <w:t>Ηλικιωμένοι</w:t>
      </w:r>
    </w:p>
    <w:p w:rsidR="0034739D" w:rsidRDefault="0034739D" w:rsidP="0038495D">
      <w:pPr>
        <w:pStyle w:val="a8"/>
        <w:rPr>
          <w:sz w:val="22"/>
          <w:szCs w:val="22"/>
        </w:rPr>
      </w:pPr>
      <w:r>
        <w:rPr>
          <w:sz w:val="22"/>
          <w:szCs w:val="22"/>
        </w:rPr>
        <w:t>Τ</w:t>
      </w:r>
      <w:r w:rsidR="005B6C30" w:rsidRPr="00A77130">
        <w:rPr>
          <w:sz w:val="22"/>
          <w:szCs w:val="22"/>
        </w:rPr>
        <w:t xml:space="preserve">ο DIAMICRON MR </w:t>
      </w:r>
      <w:r w:rsidR="00E44F01">
        <w:rPr>
          <w:sz w:val="22"/>
          <w:szCs w:val="22"/>
        </w:rPr>
        <w:t>60</w:t>
      </w:r>
      <w:r w:rsidR="00B56F08" w:rsidRPr="00B56F08">
        <w:rPr>
          <w:sz w:val="22"/>
          <w:szCs w:val="22"/>
        </w:rPr>
        <w:t xml:space="preserve"> </w:t>
      </w:r>
      <w:r w:rsidR="00B56F08">
        <w:rPr>
          <w:sz w:val="22"/>
          <w:szCs w:val="22"/>
          <w:lang w:val="en-US"/>
        </w:rPr>
        <w:t>mg</w:t>
      </w:r>
      <w:r w:rsidR="00B56F08" w:rsidRPr="00B56F08">
        <w:rPr>
          <w:sz w:val="22"/>
          <w:szCs w:val="22"/>
        </w:rPr>
        <w:t xml:space="preserve"> </w:t>
      </w:r>
      <w:r w:rsidR="005B6C30" w:rsidRPr="00A77130">
        <w:rPr>
          <w:sz w:val="22"/>
          <w:szCs w:val="22"/>
        </w:rPr>
        <w:t xml:space="preserve">πρέπει να χορηγείται βάσει του ίδιου θεραπευτικού σχήματος που χρησιμοποιείται για άτομα κάτω των 65 ετών. </w:t>
      </w:r>
    </w:p>
    <w:p w:rsidR="0034739D" w:rsidRPr="0038495D" w:rsidRDefault="007D4587" w:rsidP="0034739D">
      <w:pPr>
        <w:pStyle w:val="a8"/>
        <w:spacing w:before="0" w:after="0"/>
        <w:rPr>
          <w:i/>
          <w:sz w:val="22"/>
          <w:szCs w:val="22"/>
        </w:rPr>
      </w:pPr>
      <w:r>
        <w:rPr>
          <w:i/>
          <w:sz w:val="22"/>
          <w:szCs w:val="22"/>
        </w:rPr>
        <w:t>Ν</w:t>
      </w:r>
      <w:r w:rsidR="0034739D">
        <w:rPr>
          <w:i/>
          <w:sz w:val="22"/>
          <w:szCs w:val="22"/>
        </w:rPr>
        <w:t>εφρική δυσλειτουργία</w:t>
      </w:r>
    </w:p>
    <w:p w:rsidR="005B6C30" w:rsidRPr="00A77130" w:rsidRDefault="005B6C30" w:rsidP="0034739D">
      <w:pPr>
        <w:pStyle w:val="a8"/>
        <w:rPr>
          <w:sz w:val="22"/>
          <w:szCs w:val="22"/>
        </w:rPr>
      </w:pPr>
      <w:r w:rsidRPr="0038495D">
        <w:rPr>
          <w:sz w:val="22"/>
          <w:szCs w:val="22"/>
        </w:rPr>
        <w:t>Σε ασθενείς με ήπια έως μέτρια νεφρική ανεπάρκεια</w:t>
      </w:r>
      <w:r w:rsidRPr="0034739D">
        <w:rPr>
          <w:sz w:val="22"/>
          <w:szCs w:val="22"/>
        </w:rPr>
        <w:t>,</w:t>
      </w:r>
      <w:r w:rsidRPr="00A77130">
        <w:rPr>
          <w:sz w:val="22"/>
          <w:szCs w:val="22"/>
        </w:rPr>
        <w:t xml:space="preserve"> η δοσολογία μπορεί να ακολουθήσει το ίδιο θεραπευτικό σχήμα που χρησιμοποιείται και για άτομα με φυσιολογική νεφρική λειτουργία, με προσεκτική παρακολούθηση του ασθενή. Τα στοιχεία αυτά έχουν επιβεβαιωθεί </w:t>
      </w:r>
      <w:r w:rsidR="00EE1710" w:rsidRPr="00A77130">
        <w:rPr>
          <w:sz w:val="22"/>
          <w:szCs w:val="22"/>
        </w:rPr>
        <w:t>από κλινικές μελέτες</w:t>
      </w:r>
      <w:r w:rsidRPr="00A77130">
        <w:rPr>
          <w:sz w:val="22"/>
          <w:szCs w:val="22"/>
        </w:rPr>
        <w:t>.</w:t>
      </w:r>
    </w:p>
    <w:p w:rsidR="005B6C30" w:rsidRPr="00A77130" w:rsidRDefault="0034739D" w:rsidP="0038495D">
      <w:pPr>
        <w:pStyle w:val="a8"/>
        <w:spacing w:before="0" w:after="0"/>
        <w:rPr>
          <w:sz w:val="22"/>
          <w:szCs w:val="22"/>
          <w:u w:val="single"/>
        </w:rPr>
      </w:pPr>
      <w:r w:rsidRPr="0038495D">
        <w:rPr>
          <w:i/>
          <w:sz w:val="22"/>
          <w:szCs w:val="22"/>
        </w:rPr>
        <w:t>Α</w:t>
      </w:r>
      <w:r w:rsidR="005B6C30" w:rsidRPr="0038495D">
        <w:rPr>
          <w:i/>
          <w:sz w:val="22"/>
          <w:szCs w:val="22"/>
        </w:rPr>
        <w:t>σθενείς με κίνδυνο υπογλυκαιμίας</w:t>
      </w:r>
    </w:p>
    <w:p w:rsidR="005B6C30" w:rsidRPr="00A77130" w:rsidRDefault="007D4587" w:rsidP="00A0347D">
      <w:pPr>
        <w:pStyle w:val="Bullet3"/>
        <w:spacing w:before="0" w:after="0"/>
        <w:rPr>
          <w:sz w:val="22"/>
          <w:szCs w:val="22"/>
        </w:rPr>
      </w:pPr>
      <w:r>
        <w:rPr>
          <w:sz w:val="22"/>
          <w:szCs w:val="22"/>
        </w:rPr>
        <w:t>Κ</w:t>
      </w:r>
      <w:r w:rsidR="005B6C30" w:rsidRPr="00A77130">
        <w:rPr>
          <w:sz w:val="22"/>
          <w:szCs w:val="22"/>
        </w:rPr>
        <w:t>ατάσταση υποσιτισμού ή κακής διατροφής,</w:t>
      </w:r>
    </w:p>
    <w:p w:rsidR="005B6C30" w:rsidRPr="00A77130" w:rsidRDefault="007D4587" w:rsidP="00A0347D">
      <w:pPr>
        <w:pStyle w:val="Bullet3"/>
        <w:spacing w:before="0" w:after="0"/>
        <w:rPr>
          <w:sz w:val="22"/>
          <w:szCs w:val="22"/>
        </w:rPr>
      </w:pPr>
      <w:r>
        <w:rPr>
          <w:sz w:val="22"/>
          <w:szCs w:val="22"/>
        </w:rPr>
        <w:t>Σ</w:t>
      </w:r>
      <w:r w:rsidR="005B6C30" w:rsidRPr="00A77130">
        <w:rPr>
          <w:sz w:val="22"/>
          <w:szCs w:val="22"/>
        </w:rPr>
        <w:t>οβαρές ή ανεπαρκώς ρυθμισμένες ενδοκρινικές διαταραχές (ανεπάρκεια του προσθίου λοβού της υπόφυσης, υποθυρεοειδισμός, ανεπάρκεια φλοιού επινεφριδίων),</w:t>
      </w:r>
    </w:p>
    <w:p w:rsidR="005B6C30" w:rsidRPr="00A77130" w:rsidRDefault="007D4587" w:rsidP="00A0347D">
      <w:pPr>
        <w:pStyle w:val="Bullet3"/>
        <w:spacing w:before="0" w:after="0"/>
        <w:rPr>
          <w:sz w:val="22"/>
          <w:szCs w:val="22"/>
        </w:rPr>
      </w:pPr>
      <w:r>
        <w:rPr>
          <w:sz w:val="22"/>
          <w:szCs w:val="22"/>
        </w:rPr>
        <w:t>Δ</w:t>
      </w:r>
      <w:r w:rsidR="005B6C30" w:rsidRPr="00A77130">
        <w:rPr>
          <w:sz w:val="22"/>
          <w:szCs w:val="22"/>
        </w:rPr>
        <w:t>ιακοπή μακροχρόνιας και/ή υψηλών δόσεων θεραπείας με κορτικοστεροειδή,</w:t>
      </w:r>
    </w:p>
    <w:p w:rsidR="005B6C30" w:rsidRPr="00A77130" w:rsidRDefault="007D4587" w:rsidP="00A0347D">
      <w:pPr>
        <w:pStyle w:val="Bullet3"/>
        <w:spacing w:before="0" w:after="0"/>
        <w:rPr>
          <w:sz w:val="22"/>
          <w:szCs w:val="22"/>
        </w:rPr>
      </w:pPr>
      <w:r>
        <w:rPr>
          <w:sz w:val="22"/>
          <w:szCs w:val="22"/>
        </w:rPr>
        <w:t>Σ</w:t>
      </w:r>
      <w:r w:rsidR="005B6C30" w:rsidRPr="00A77130">
        <w:rPr>
          <w:sz w:val="22"/>
          <w:szCs w:val="22"/>
        </w:rPr>
        <w:t xml:space="preserve">οβαρή αγγειακή πάθηση (σοβαρή στεφανιαία νόσος, σοβαρή </w:t>
      </w:r>
      <w:r w:rsidR="0034739D">
        <w:rPr>
          <w:sz w:val="22"/>
          <w:szCs w:val="22"/>
          <w:u w:val="single"/>
        </w:rPr>
        <w:t>διαταραχή</w:t>
      </w:r>
      <w:r w:rsidR="006B782A">
        <w:rPr>
          <w:sz w:val="22"/>
          <w:szCs w:val="22"/>
          <w:u w:val="single"/>
        </w:rPr>
        <w:t xml:space="preserve"> </w:t>
      </w:r>
      <w:r w:rsidR="005B6C30" w:rsidRPr="00A77130">
        <w:rPr>
          <w:sz w:val="22"/>
          <w:szCs w:val="22"/>
        </w:rPr>
        <w:t>των καρωτίδων, εκτεταμένη αγγειοπάθεια),</w:t>
      </w:r>
    </w:p>
    <w:p w:rsidR="000A2738" w:rsidRPr="000A2738" w:rsidRDefault="0034739D" w:rsidP="0038495D">
      <w:pPr>
        <w:pStyle w:val="a8"/>
        <w:spacing w:before="0" w:after="0"/>
        <w:rPr>
          <w:i/>
          <w:sz w:val="22"/>
          <w:szCs w:val="22"/>
        </w:rPr>
      </w:pPr>
      <w:r>
        <w:rPr>
          <w:sz w:val="22"/>
          <w:szCs w:val="22"/>
        </w:rPr>
        <w:t>Σ</w:t>
      </w:r>
      <w:r w:rsidR="005B6C30" w:rsidRPr="00A77130">
        <w:rPr>
          <w:sz w:val="22"/>
          <w:szCs w:val="22"/>
        </w:rPr>
        <w:t>υνιστάται η έναρξη της θεραπευτικής αγωγής με τη χορήγηση της ελάχιστης ημερήσιας δόσης των 30 mg.</w:t>
      </w:r>
    </w:p>
    <w:p w:rsidR="000A2738" w:rsidRPr="00BC0E0C" w:rsidRDefault="000A2738" w:rsidP="0038495D">
      <w:pPr>
        <w:pStyle w:val="a8"/>
        <w:spacing w:before="0" w:after="0"/>
        <w:rPr>
          <w:i/>
          <w:sz w:val="22"/>
          <w:szCs w:val="22"/>
        </w:rPr>
      </w:pPr>
    </w:p>
    <w:p w:rsidR="0034739D" w:rsidRPr="00AC5A8A" w:rsidRDefault="0034739D" w:rsidP="0038495D">
      <w:pPr>
        <w:pStyle w:val="a8"/>
        <w:spacing w:before="0" w:after="0"/>
        <w:rPr>
          <w:i/>
          <w:sz w:val="22"/>
          <w:szCs w:val="22"/>
        </w:rPr>
      </w:pPr>
      <w:r w:rsidRPr="00AC5A8A">
        <w:rPr>
          <w:i/>
          <w:sz w:val="22"/>
          <w:szCs w:val="22"/>
        </w:rPr>
        <w:t>Παιδιατρικός πληθυσμός</w:t>
      </w:r>
    </w:p>
    <w:p w:rsidR="005B6C30" w:rsidRPr="00124D7C" w:rsidRDefault="0034739D" w:rsidP="0038495D">
      <w:pPr>
        <w:pStyle w:val="a8"/>
        <w:rPr>
          <w:sz w:val="22"/>
          <w:szCs w:val="22"/>
        </w:rPr>
      </w:pPr>
      <w:r w:rsidRPr="000A2738">
        <w:rPr>
          <w:noProof/>
          <w:sz w:val="22"/>
          <w:szCs w:val="22"/>
        </w:rPr>
        <w:t xml:space="preserve">Η ασφάλεια και η αποτελεσματικότητα του </w:t>
      </w:r>
      <w:r w:rsidRPr="000A2738">
        <w:rPr>
          <w:sz w:val="22"/>
          <w:szCs w:val="22"/>
        </w:rPr>
        <w:t>DIAMICRON MR 60</w:t>
      </w:r>
      <w:r w:rsidRPr="00124D7C">
        <w:rPr>
          <w:sz w:val="22"/>
          <w:szCs w:val="22"/>
        </w:rPr>
        <w:t xml:space="preserve"> </w:t>
      </w:r>
      <w:r w:rsidRPr="00124D7C">
        <w:rPr>
          <w:sz w:val="22"/>
          <w:szCs w:val="22"/>
          <w:lang w:val="en-US"/>
        </w:rPr>
        <w:t>mg</w:t>
      </w:r>
      <w:r w:rsidRPr="00124D7C">
        <w:rPr>
          <w:sz w:val="22"/>
          <w:szCs w:val="22"/>
        </w:rPr>
        <w:t xml:space="preserve"> σε παιδιά και εφήβους δεν έχει τεκμηριωθεί. </w:t>
      </w:r>
      <w:r w:rsidR="005B6C30" w:rsidRPr="00124D7C">
        <w:rPr>
          <w:sz w:val="22"/>
          <w:szCs w:val="22"/>
        </w:rPr>
        <w:t xml:space="preserve">Δεν υπάρχουν </w:t>
      </w:r>
      <w:r w:rsidRPr="00124D7C">
        <w:rPr>
          <w:sz w:val="22"/>
          <w:szCs w:val="22"/>
        </w:rPr>
        <w:t>διαθέσιμα</w:t>
      </w:r>
      <w:r w:rsidRPr="00124D7C" w:rsidDel="0034739D">
        <w:rPr>
          <w:sz w:val="22"/>
          <w:szCs w:val="22"/>
        </w:rPr>
        <w:t xml:space="preserve"> </w:t>
      </w:r>
      <w:r w:rsidRPr="00124D7C">
        <w:rPr>
          <w:sz w:val="22"/>
          <w:szCs w:val="22"/>
        </w:rPr>
        <w:t>δεδομένα</w:t>
      </w:r>
      <w:r w:rsidR="000A2738" w:rsidRPr="00124D7C">
        <w:rPr>
          <w:sz w:val="22"/>
          <w:szCs w:val="22"/>
          <w:lang w:val="en-US"/>
        </w:rPr>
        <w:t xml:space="preserve"> </w:t>
      </w:r>
      <w:r w:rsidR="005B6C30" w:rsidRPr="00124D7C">
        <w:rPr>
          <w:sz w:val="22"/>
          <w:szCs w:val="22"/>
          <w:u w:val="single"/>
        </w:rPr>
        <w:t>για παιδιά.</w:t>
      </w:r>
    </w:p>
    <w:p w:rsidR="005B6C30" w:rsidRDefault="005B6C30" w:rsidP="0025183E">
      <w:pPr>
        <w:pStyle w:val="2"/>
        <w:rPr>
          <w:sz w:val="22"/>
          <w:szCs w:val="22"/>
        </w:rPr>
      </w:pPr>
      <w:r w:rsidRPr="00A77130">
        <w:rPr>
          <w:sz w:val="22"/>
          <w:szCs w:val="22"/>
        </w:rPr>
        <w:t>Αντενδείξεις</w:t>
      </w:r>
    </w:p>
    <w:p w:rsidR="00195E2B" w:rsidRDefault="00195E2B" w:rsidP="00BC0E0C"/>
    <w:p w:rsidR="0053742D" w:rsidRPr="00BC0E0C" w:rsidRDefault="0053742D" w:rsidP="00BC0E0C">
      <w:pPr>
        <w:rPr>
          <w:b/>
          <w:sz w:val="22"/>
          <w:szCs w:val="22"/>
          <w:lang w:val="el-GR"/>
        </w:rPr>
      </w:pPr>
      <w:r w:rsidRPr="00BC0E0C">
        <w:rPr>
          <w:sz w:val="22"/>
          <w:szCs w:val="22"/>
          <w:lang w:val="el-GR"/>
        </w:rPr>
        <w:t>Το φαρμακευτικό αυτό προϊόν αντενδείκνυται σε περίπτωση:</w:t>
      </w:r>
    </w:p>
    <w:p w:rsidR="005B6C30" w:rsidRPr="00A77130" w:rsidRDefault="0034739D" w:rsidP="0038495D">
      <w:pPr>
        <w:pStyle w:val="Bullet3"/>
        <w:numPr>
          <w:ilvl w:val="0"/>
          <w:numId w:val="30"/>
        </w:numPr>
        <w:spacing w:before="0" w:after="0"/>
        <w:rPr>
          <w:sz w:val="22"/>
          <w:szCs w:val="22"/>
        </w:rPr>
      </w:pPr>
      <w:r>
        <w:rPr>
          <w:sz w:val="22"/>
          <w:szCs w:val="22"/>
        </w:rPr>
        <w:t>Υ</w:t>
      </w:r>
      <w:r w:rsidR="005B6C30" w:rsidRPr="00A77130">
        <w:rPr>
          <w:sz w:val="22"/>
          <w:szCs w:val="22"/>
        </w:rPr>
        <w:t>περευαισθησία</w:t>
      </w:r>
      <w:r w:rsidR="0053742D">
        <w:rPr>
          <w:sz w:val="22"/>
          <w:szCs w:val="22"/>
        </w:rPr>
        <w:t>ς</w:t>
      </w:r>
      <w:r w:rsidR="005B6C30" w:rsidRPr="00A77130">
        <w:rPr>
          <w:sz w:val="22"/>
          <w:szCs w:val="22"/>
        </w:rPr>
        <w:t xml:space="preserve"> στη γλικλαζίδη ή σε κάποιο από τα έκδοχα</w:t>
      </w:r>
      <w:r w:rsidRPr="0034739D">
        <w:rPr>
          <w:noProof/>
          <w:sz w:val="22"/>
          <w:szCs w:val="22"/>
        </w:rPr>
        <w:t xml:space="preserve"> </w:t>
      </w:r>
      <w:r w:rsidRPr="00227A78">
        <w:rPr>
          <w:noProof/>
          <w:sz w:val="22"/>
          <w:szCs w:val="22"/>
        </w:rPr>
        <w:t>που αναφέρονται στοην παράγραφο 6.1</w:t>
      </w:r>
      <w:r w:rsidR="005B6C30" w:rsidRPr="00A77130">
        <w:rPr>
          <w:sz w:val="22"/>
          <w:szCs w:val="22"/>
        </w:rPr>
        <w:t xml:space="preserve">, σε άλλες σουλφονυλουρίες, </w:t>
      </w:r>
      <w:r w:rsidR="00EE1710" w:rsidRPr="00A77130">
        <w:rPr>
          <w:sz w:val="22"/>
          <w:szCs w:val="22"/>
        </w:rPr>
        <w:t xml:space="preserve">σε </w:t>
      </w:r>
      <w:r w:rsidR="005B6C30" w:rsidRPr="00A77130">
        <w:rPr>
          <w:sz w:val="22"/>
          <w:szCs w:val="22"/>
        </w:rPr>
        <w:t>σουλφοναμίδες.</w:t>
      </w:r>
    </w:p>
    <w:p w:rsidR="005B6C30" w:rsidRPr="00A77130" w:rsidRDefault="007D4587" w:rsidP="0038495D">
      <w:pPr>
        <w:pStyle w:val="Bullet3"/>
        <w:numPr>
          <w:ilvl w:val="0"/>
          <w:numId w:val="30"/>
        </w:numPr>
        <w:spacing w:before="0" w:after="0"/>
        <w:rPr>
          <w:sz w:val="22"/>
          <w:szCs w:val="22"/>
        </w:rPr>
      </w:pPr>
      <w:r>
        <w:rPr>
          <w:sz w:val="22"/>
          <w:szCs w:val="22"/>
        </w:rPr>
        <w:t>Δ</w:t>
      </w:r>
      <w:r w:rsidR="005B6C30" w:rsidRPr="00A77130">
        <w:rPr>
          <w:sz w:val="22"/>
          <w:szCs w:val="22"/>
        </w:rPr>
        <w:t>ιαβήτη τύπου 1.</w:t>
      </w:r>
    </w:p>
    <w:p w:rsidR="005B6C30" w:rsidRPr="00A77130" w:rsidRDefault="007D4587" w:rsidP="0038495D">
      <w:pPr>
        <w:pStyle w:val="Bullet3"/>
        <w:numPr>
          <w:ilvl w:val="0"/>
          <w:numId w:val="30"/>
        </w:numPr>
        <w:spacing w:before="0" w:after="0"/>
        <w:rPr>
          <w:sz w:val="22"/>
          <w:szCs w:val="22"/>
        </w:rPr>
      </w:pPr>
      <w:r>
        <w:rPr>
          <w:sz w:val="22"/>
          <w:szCs w:val="22"/>
        </w:rPr>
        <w:t>Δ</w:t>
      </w:r>
      <w:r w:rsidR="005B6C30" w:rsidRPr="00A77130">
        <w:rPr>
          <w:sz w:val="22"/>
          <w:szCs w:val="22"/>
        </w:rPr>
        <w:t>ιαβητικό προκώμα και κώμα, διαβητική κετοοξέωση.</w:t>
      </w:r>
    </w:p>
    <w:p w:rsidR="005B6C30" w:rsidRPr="00A77130" w:rsidRDefault="007D4587" w:rsidP="0038495D">
      <w:pPr>
        <w:pStyle w:val="Bullet3"/>
        <w:numPr>
          <w:ilvl w:val="0"/>
          <w:numId w:val="30"/>
        </w:numPr>
        <w:spacing w:before="0" w:after="0"/>
        <w:rPr>
          <w:sz w:val="22"/>
          <w:szCs w:val="22"/>
        </w:rPr>
      </w:pPr>
      <w:r>
        <w:rPr>
          <w:sz w:val="22"/>
          <w:szCs w:val="22"/>
        </w:rPr>
        <w:lastRenderedPageBreak/>
        <w:t>Σ</w:t>
      </w:r>
      <w:r w:rsidR="005B6C30" w:rsidRPr="00A77130">
        <w:rPr>
          <w:sz w:val="22"/>
          <w:szCs w:val="22"/>
        </w:rPr>
        <w:t>οβαρή</w:t>
      </w:r>
      <w:r w:rsidR="0053742D">
        <w:rPr>
          <w:sz w:val="22"/>
          <w:szCs w:val="22"/>
        </w:rPr>
        <w:t>ς</w:t>
      </w:r>
      <w:r w:rsidR="005B6C30" w:rsidRPr="00A77130">
        <w:rPr>
          <w:sz w:val="22"/>
          <w:szCs w:val="22"/>
        </w:rPr>
        <w:t xml:space="preserve"> νεφρική</w:t>
      </w:r>
      <w:r w:rsidR="0053742D">
        <w:rPr>
          <w:sz w:val="22"/>
          <w:szCs w:val="22"/>
        </w:rPr>
        <w:t>ς</w:t>
      </w:r>
      <w:r w:rsidR="005B6C30" w:rsidRPr="00A77130">
        <w:rPr>
          <w:sz w:val="22"/>
          <w:szCs w:val="22"/>
        </w:rPr>
        <w:t xml:space="preserve"> ή ηπατική</w:t>
      </w:r>
      <w:r w:rsidR="0053742D">
        <w:rPr>
          <w:sz w:val="22"/>
          <w:szCs w:val="22"/>
        </w:rPr>
        <w:t>ς</w:t>
      </w:r>
      <w:r w:rsidR="005B6C30" w:rsidRPr="00A77130">
        <w:rPr>
          <w:sz w:val="22"/>
          <w:szCs w:val="22"/>
        </w:rPr>
        <w:t xml:space="preserve"> ανεπάρκεια</w:t>
      </w:r>
      <w:r w:rsidR="0053742D">
        <w:rPr>
          <w:sz w:val="22"/>
          <w:szCs w:val="22"/>
        </w:rPr>
        <w:t>ς</w:t>
      </w:r>
      <w:r w:rsidR="005B6C30" w:rsidRPr="00A77130">
        <w:rPr>
          <w:sz w:val="22"/>
          <w:szCs w:val="22"/>
        </w:rPr>
        <w:t>: στις περιπτώσεις αυτές, συνιστάται η χρήση ινσουλίνης.</w:t>
      </w:r>
    </w:p>
    <w:p w:rsidR="005B6C30" w:rsidRPr="00A77130" w:rsidRDefault="007D4587" w:rsidP="0038495D">
      <w:pPr>
        <w:pStyle w:val="Bullet3"/>
        <w:numPr>
          <w:ilvl w:val="0"/>
          <w:numId w:val="30"/>
        </w:numPr>
        <w:spacing w:before="0" w:after="0"/>
        <w:rPr>
          <w:sz w:val="22"/>
          <w:szCs w:val="22"/>
        </w:rPr>
      </w:pPr>
      <w:r>
        <w:rPr>
          <w:sz w:val="22"/>
          <w:szCs w:val="22"/>
        </w:rPr>
        <w:t>Θ</w:t>
      </w:r>
      <w:r w:rsidR="005B6C30" w:rsidRPr="00A77130">
        <w:rPr>
          <w:sz w:val="22"/>
          <w:szCs w:val="22"/>
        </w:rPr>
        <w:t>εραπευτική</w:t>
      </w:r>
      <w:r w:rsidR="0053742D">
        <w:rPr>
          <w:sz w:val="22"/>
          <w:szCs w:val="22"/>
        </w:rPr>
        <w:t>ς</w:t>
      </w:r>
      <w:r w:rsidR="005B6C30" w:rsidRPr="00A77130">
        <w:rPr>
          <w:sz w:val="22"/>
          <w:szCs w:val="22"/>
        </w:rPr>
        <w:t xml:space="preserve"> αγωγή</w:t>
      </w:r>
      <w:r w:rsidR="0053742D">
        <w:rPr>
          <w:sz w:val="22"/>
          <w:szCs w:val="22"/>
        </w:rPr>
        <w:t>ς</w:t>
      </w:r>
      <w:r w:rsidR="005B6C30" w:rsidRPr="00A77130">
        <w:rPr>
          <w:sz w:val="22"/>
          <w:szCs w:val="22"/>
        </w:rPr>
        <w:t xml:space="preserve"> με μικοναζόλη (βλ. </w:t>
      </w:r>
      <w:r w:rsidR="00727FD8">
        <w:rPr>
          <w:sz w:val="22"/>
          <w:szCs w:val="22"/>
        </w:rPr>
        <w:t>π</w:t>
      </w:r>
      <w:r w:rsidR="00727FD8" w:rsidRPr="00A77130">
        <w:rPr>
          <w:sz w:val="22"/>
          <w:szCs w:val="22"/>
        </w:rPr>
        <w:t xml:space="preserve">αράγραφο </w:t>
      </w:r>
      <w:r w:rsidR="000D0C0A">
        <w:rPr>
          <w:sz w:val="22"/>
          <w:szCs w:val="22"/>
        </w:rPr>
        <w:t>4.5</w:t>
      </w:r>
      <w:r w:rsidR="005B6C30" w:rsidRPr="00A77130">
        <w:rPr>
          <w:sz w:val="22"/>
          <w:szCs w:val="22"/>
        </w:rPr>
        <w:t>).</w:t>
      </w:r>
    </w:p>
    <w:p w:rsidR="005B6C30" w:rsidRPr="00A77130" w:rsidRDefault="007D4587" w:rsidP="0038495D">
      <w:pPr>
        <w:pStyle w:val="Bullet3"/>
        <w:numPr>
          <w:ilvl w:val="0"/>
          <w:numId w:val="30"/>
        </w:numPr>
        <w:spacing w:before="0" w:after="0"/>
        <w:rPr>
          <w:sz w:val="22"/>
          <w:szCs w:val="22"/>
        </w:rPr>
      </w:pPr>
      <w:r>
        <w:rPr>
          <w:sz w:val="22"/>
          <w:szCs w:val="22"/>
        </w:rPr>
        <w:t>Γ</w:t>
      </w:r>
      <w:r w:rsidR="005B6C30" w:rsidRPr="00A77130">
        <w:rPr>
          <w:sz w:val="22"/>
          <w:szCs w:val="22"/>
        </w:rPr>
        <w:t>αλουχία</w:t>
      </w:r>
      <w:r w:rsidR="0053742D">
        <w:rPr>
          <w:sz w:val="22"/>
          <w:szCs w:val="22"/>
        </w:rPr>
        <w:t>ς</w:t>
      </w:r>
      <w:r w:rsidR="005B6C30" w:rsidRPr="00A77130">
        <w:rPr>
          <w:sz w:val="22"/>
          <w:szCs w:val="22"/>
        </w:rPr>
        <w:t xml:space="preserve"> (βλ. </w:t>
      </w:r>
      <w:r w:rsidR="00727FD8">
        <w:rPr>
          <w:sz w:val="22"/>
          <w:szCs w:val="22"/>
        </w:rPr>
        <w:t>π</w:t>
      </w:r>
      <w:r w:rsidR="00727FD8" w:rsidRPr="00A77130">
        <w:rPr>
          <w:sz w:val="22"/>
          <w:szCs w:val="22"/>
        </w:rPr>
        <w:t xml:space="preserve">αράγραφο </w:t>
      </w:r>
      <w:r w:rsidR="000D0C0A">
        <w:rPr>
          <w:sz w:val="22"/>
          <w:szCs w:val="22"/>
        </w:rPr>
        <w:t>4.6</w:t>
      </w:r>
      <w:r w:rsidR="005B6C30" w:rsidRPr="00A77130">
        <w:rPr>
          <w:sz w:val="22"/>
          <w:szCs w:val="22"/>
        </w:rPr>
        <w:t>).</w:t>
      </w:r>
    </w:p>
    <w:p w:rsidR="005B6C30" w:rsidRDefault="005B6C30" w:rsidP="0025183E">
      <w:pPr>
        <w:pStyle w:val="2"/>
        <w:rPr>
          <w:sz w:val="22"/>
          <w:szCs w:val="22"/>
        </w:rPr>
      </w:pPr>
      <w:r w:rsidRPr="00A77130">
        <w:rPr>
          <w:sz w:val="22"/>
          <w:szCs w:val="22"/>
        </w:rPr>
        <w:t>Ειδικές προειδοποιήσεις και προφυλάξεις κατά τη χρήση</w:t>
      </w:r>
    </w:p>
    <w:p w:rsidR="0053742D" w:rsidRPr="00BC0E0C" w:rsidRDefault="0053742D" w:rsidP="00BC0E0C">
      <w:pPr>
        <w:rPr>
          <w:lang w:val="el-GR"/>
        </w:rPr>
      </w:pPr>
    </w:p>
    <w:p w:rsidR="000A2738" w:rsidRDefault="0034739D" w:rsidP="00A0347D">
      <w:pPr>
        <w:pStyle w:val="a8"/>
        <w:spacing w:before="0" w:after="0"/>
        <w:rPr>
          <w:sz w:val="22"/>
          <w:szCs w:val="22"/>
          <w:u w:val="single"/>
        </w:rPr>
      </w:pPr>
      <w:r>
        <w:rPr>
          <w:sz w:val="22"/>
          <w:szCs w:val="22"/>
          <w:u w:val="single"/>
        </w:rPr>
        <w:t>Υπογλυκαιμία</w:t>
      </w:r>
    </w:p>
    <w:p w:rsidR="0053742D" w:rsidRPr="00BC0E0C" w:rsidRDefault="0053742D" w:rsidP="00A0347D">
      <w:pPr>
        <w:pStyle w:val="a8"/>
        <w:spacing w:before="0" w:after="0"/>
        <w:rPr>
          <w:sz w:val="22"/>
          <w:szCs w:val="22"/>
          <w:u w:val="single"/>
        </w:rPr>
      </w:pPr>
    </w:p>
    <w:p w:rsidR="005B6C30" w:rsidRPr="00A77130" w:rsidRDefault="005B6C30" w:rsidP="00A0347D">
      <w:pPr>
        <w:pStyle w:val="a8"/>
        <w:spacing w:before="0" w:after="0"/>
        <w:rPr>
          <w:sz w:val="22"/>
          <w:szCs w:val="22"/>
        </w:rPr>
      </w:pPr>
      <w:r w:rsidRPr="00A77130">
        <w:rPr>
          <w:sz w:val="22"/>
          <w:szCs w:val="22"/>
        </w:rPr>
        <w:t>Η θεραπευτική αυτή αγωγή πρέπει να χορηγείται μόνο εάν ο ασθενής έχει τη δυνατότητα να ακολουθεί τακτική διατροφή (συμπεριλαμβανομένου του προγεύματος). Είναι σημαντική η τακτική πρόσληψη υδατανθράκων, λόγω του αυξημένου κινδύνου υπογλυκαιμίας σε περίπτωση που καθυστερήσει ένα γεύμα, ή εάν καταναλωθεί ανεπαρκής ποσότητα τροφής ή εάν καταναλωθεί τροφή που έχει χαμηλή περιεκτικότητα σε υδατάνθρακες. Οι πιθανότητες να παρουσιαστεί υπογλυκαιμία είναι μεγαλύτερες σε περίπτωση υποθερμιδικής δίαιτας, μετά από παρατεταμένη ή έντονη άσκηση, μετά από κατανάλωση οινοπνεύματος ή κατά τη συγχορήγηση υπογλυκαιμικών παραγόντων.</w:t>
      </w:r>
    </w:p>
    <w:p w:rsidR="005B6C30" w:rsidRPr="00A77130" w:rsidRDefault="005B6C30" w:rsidP="00A0347D">
      <w:pPr>
        <w:pStyle w:val="a8"/>
        <w:spacing w:before="0" w:after="0"/>
        <w:rPr>
          <w:sz w:val="22"/>
          <w:szCs w:val="22"/>
        </w:rPr>
      </w:pPr>
      <w:r w:rsidRPr="00A77130">
        <w:rPr>
          <w:sz w:val="22"/>
          <w:szCs w:val="22"/>
        </w:rPr>
        <w:t xml:space="preserve">Υπογλυκαιμία μπορεί να εκδηλωθεί μετά από χορήγηση αντιδιαβητικών σουλφονυλουριών (βλ. </w:t>
      </w:r>
      <w:r w:rsidR="00AD1DF9">
        <w:rPr>
          <w:sz w:val="22"/>
          <w:szCs w:val="22"/>
        </w:rPr>
        <w:t xml:space="preserve">παράγραφο </w:t>
      </w:r>
      <w:r w:rsidRPr="00A77130">
        <w:rPr>
          <w:sz w:val="22"/>
          <w:szCs w:val="22"/>
        </w:rPr>
        <w:t xml:space="preserve">4.8). Ορισμένες </w:t>
      </w:r>
      <w:r w:rsidR="002A2675" w:rsidRPr="00A77130">
        <w:rPr>
          <w:sz w:val="22"/>
          <w:szCs w:val="22"/>
        </w:rPr>
        <w:t xml:space="preserve">φορές </w:t>
      </w:r>
      <w:r w:rsidRPr="00A77130">
        <w:rPr>
          <w:sz w:val="22"/>
          <w:szCs w:val="22"/>
        </w:rPr>
        <w:t>μπορεί να είναι σοβαρ</w:t>
      </w:r>
      <w:r w:rsidR="00EE1710" w:rsidRPr="00A77130">
        <w:rPr>
          <w:sz w:val="22"/>
          <w:szCs w:val="22"/>
        </w:rPr>
        <w:t>ή</w:t>
      </w:r>
      <w:r w:rsidRPr="00A77130">
        <w:rPr>
          <w:sz w:val="22"/>
          <w:szCs w:val="22"/>
        </w:rPr>
        <w:t xml:space="preserve"> και παρατεταμέν</w:t>
      </w:r>
      <w:r w:rsidR="00EE1710" w:rsidRPr="00A77130">
        <w:rPr>
          <w:sz w:val="22"/>
          <w:szCs w:val="22"/>
        </w:rPr>
        <w:t>η</w:t>
      </w:r>
      <w:r w:rsidRPr="00A77130">
        <w:rPr>
          <w:sz w:val="22"/>
          <w:szCs w:val="22"/>
        </w:rPr>
        <w:t>. Η νοσηλεία μπορεί να είναι απαραίτητη και ίσως χρειαστεί να συνεχιστεί η χορήγηση γλυκόζης για αρκετές ημέρες.</w:t>
      </w:r>
    </w:p>
    <w:p w:rsidR="005B6C30" w:rsidRDefault="005B6C30" w:rsidP="00A0347D">
      <w:pPr>
        <w:pStyle w:val="a8"/>
        <w:spacing w:before="0" w:after="0"/>
        <w:rPr>
          <w:sz w:val="22"/>
          <w:szCs w:val="22"/>
        </w:rPr>
      </w:pPr>
      <w:r w:rsidRPr="00A77130">
        <w:rPr>
          <w:sz w:val="22"/>
          <w:szCs w:val="22"/>
        </w:rPr>
        <w:t>Για τη μείωση του κινδύνου υπογλυκαιμικών επεισοδίων, απαιτείται προσεκτική επιλογή των ασθενών και της χορηγούμενης δόσης, ενώ είναι απαραίτητες και οι σαφείς οδηγίες στους ασθενείς.</w:t>
      </w:r>
    </w:p>
    <w:p w:rsidR="0034739D" w:rsidRPr="00A77130" w:rsidRDefault="0034739D" w:rsidP="00A0347D">
      <w:pPr>
        <w:pStyle w:val="a8"/>
        <w:spacing w:before="0" w:after="0"/>
        <w:rPr>
          <w:sz w:val="22"/>
          <w:szCs w:val="22"/>
        </w:rPr>
      </w:pPr>
    </w:p>
    <w:p w:rsidR="005B6C30" w:rsidRPr="00A77130" w:rsidRDefault="005B6C30" w:rsidP="00A0347D">
      <w:pPr>
        <w:pStyle w:val="a8"/>
        <w:spacing w:before="0" w:after="0"/>
        <w:rPr>
          <w:sz w:val="22"/>
          <w:szCs w:val="22"/>
        </w:rPr>
      </w:pPr>
      <w:r w:rsidRPr="00A77130">
        <w:rPr>
          <w:sz w:val="22"/>
          <w:szCs w:val="22"/>
        </w:rPr>
        <w:t>Παράγοντες που αυξάνουν τον κίνδυνο εκδήλωσης υπογλυκαιμίας:</w:t>
      </w:r>
    </w:p>
    <w:p w:rsidR="005B6C30" w:rsidRPr="00A77130" w:rsidRDefault="0053742D" w:rsidP="0038495D">
      <w:pPr>
        <w:pStyle w:val="Bullet3"/>
        <w:numPr>
          <w:ilvl w:val="0"/>
          <w:numId w:val="31"/>
        </w:numPr>
        <w:spacing w:before="0" w:after="0"/>
        <w:rPr>
          <w:sz w:val="22"/>
          <w:szCs w:val="22"/>
        </w:rPr>
      </w:pPr>
      <w:r>
        <w:rPr>
          <w:sz w:val="22"/>
          <w:szCs w:val="22"/>
        </w:rPr>
        <w:t>Ά</w:t>
      </w:r>
      <w:r w:rsidR="005B6C30" w:rsidRPr="00A77130">
        <w:rPr>
          <w:sz w:val="22"/>
          <w:szCs w:val="22"/>
        </w:rPr>
        <w:t>ρνηση ή (ιδιαίτερα στους ηλικιωμένους) ανικανότητα του ασθενή να συνεργαστεί,</w:t>
      </w:r>
    </w:p>
    <w:p w:rsidR="005B6C30" w:rsidRPr="00A77130" w:rsidRDefault="0053742D" w:rsidP="0038495D">
      <w:pPr>
        <w:pStyle w:val="Bullet3"/>
        <w:numPr>
          <w:ilvl w:val="0"/>
          <w:numId w:val="31"/>
        </w:numPr>
        <w:spacing w:before="0" w:after="0"/>
        <w:rPr>
          <w:sz w:val="22"/>
          <w:szCs w:val="22"/>
        </w:rPr>
      </w:pPr>
      <w:r>
        <w:rPr>
          <w:sz w:val="22"/>
          <w:szCs w:val="22"/>
        </w:rPr>
        <w:t>Κ</w:t>
      </w:r>
      <w:r w:rsidR="005B6C30" w:rsidRPr="00A77130">
        <w:rPr>
          <w:sz w:val="22"/>
          <w:szCs w:val="22"/>
        </w:rPr>
        <w:t>ακή διατροφή, άτακτα γεύματα, παράλειψη γευμάτων, περίοδοι νηστείας ή αλλαγή της δίαιτας,</w:t>
      </w:r>
    </w:p>
    <w:p w:rsidR="005B6C30" w:rsidRPr="00A77130" w:rsidRDefault="0053742D" w:rsidP="0038495D">
      <w:pPr>
        <w:pStyle w:val="Bullet3"/>
        <w:numPr>
          <w:ilvl w:val="0"/>
          <w:numId w:val="31"/>
        </w:numPr>
        <w:spacing w:before="0" w:after="0"/>
        <w:rPr>
          <w:sz w:val="22"/>
          <w:szCs w:val="22"/>
        </w:rPr>
      </w:pPr>
      <w:r>
        <w:rPr>
          <w:sz w:val="22"/>
          <w:szCs w:val="22"/>
        </w:rPr>
        <w:t>Έ</w:t>
      </w:r>
      <w:r w:rsidR="00EE1710" w:rsidRPr="00A77130">
        <w:rPr>
          <w:sz w:val="22"/>
          <w:szCs w:val="22"/>
        </w:rPr>
        <w:t xml:space="preserve">λλειψη ισορροπίας </w:t>
      </w:r>
      <w:r w:rsidR="005B6C30" w:rsidRPr="00A77130">
        <w:rPr>
          <w:sz w:val="22"/>
          <w:szCs w:val="22"/>
        </w:rPr>
        <w:t>μεταξύ σωματικής άσκησης και πρόσληψης υδατανθράκων,</w:t>
      </w:r>
    </w:p>
    <w:p w:rsidR="005B6C30" w:rsidRPr="00A77130" w:rsidRDefault="0053742D" w:rsidP="0038495D">
      <w:pPr>
        <w:pStyle w:val="Bullet3"/>
        <w:numPr>
          <w:ilvl w:val="0"/>
          <w:numId w:val="31"/>
        </w:numPr>
        <w:spacing w:before="0" w:after="0"/>
        <w:rPr>
          <w:sz w:val="22"/>
          <w:szCs w:val="22"/>
        </w:rPr>
      </w:pPr>
      <w:r>
        <w:rPr>
          <w:sz w:val="22"/>
          <w:szCs w:val="22"/>
        </w:rPr>
        <w:t>Ν</w:t>
      </w:r>
      <w:r w:rsidR="005B6C30" w:rsidRPr="00A77130">
        <w:rPr>
          <w:sz w:val="22"/>
          <w:szCs w:val="22"/>
        </w:rPr>
        <w:t>εφρική ανεπάρκεια,</w:t>
      </w:r>
    </w:p>
    <w:p w:rsidR="005B6C30" w:rsidRPr="00A77130" w:rsidRDefault="0053742D" w:rsidP="0038495D">
      <w:pPr>
        <w:pStyle w:val="Bullet3"/>
        <w:numPr>
          <w:ilvl w:val="0"/>
          <w:numId w:val="31"/>
        </w:numPr>
        <w:spacing w:before="0" w:after="0"/>
        <w:rPr>
          <w:sz w:val="22"/>
          <w:szCs w:val="22"/>
        </w:rPr>
      </w:pPr>
      <w:r>
        <w:rPr>
          <w:sz w:val="22"/>
          <w:szCs w:val="22"/>
        </w:rPr>
        <w:t>Σ</w:t>
      </w:r>
      <w:r w:rsidR="005B6C30" w:rsidRPr="00A77130">
        <w:rPr>
          <w:sz w:val="22"/>
          <w:szCs w:val="22"/>
        </w:rPr>
        <w:t>οβαρή ηπατική ανεπάρκεια,</w:t>
      </w:r>
    </w:p>
    <w:p w:rsidR="005B6C30" w:rsidRPr="00A77130" w:rsidRDefault="0053742D" w:rsidP="0038495D">
      <w:pPr>
        <w:pStyle w:val="Bullet3"/>
        <w:numPr>
          <w:ilvl w:val="0"/>
          <w:numId w:val="31"/>
        </w:numPr>
        <w:spacing w:before="0" w:after="0"/>
        <w:rPr>
          <w:sz w:val="22"/>
          <w:szCs w:val="22"/>
        </w:rPr>
      </w:pPr>
      <w:r>
        <w:rPr>
          <w:sz w:val="22"/>
          <w:szCs w:val="22"/>
        </w:rPr>
        <w:t>Υ</w:t>
      </w:r>
      <w:r w:rsidR="005B6C30" w:rsidRPr="00A77130">
        <w:rPr>
          <w:sz w:val="22"/>
          <w:szCs w:val="22"/>
        </w:rPr>
        <w:t>περδοσολογία DIAMICRON MR,</w:t>
      </w:r>
    </w:p>
    <w:p w:rsidR="005B6C30" w:rsidRPr="00A77130" w:rsidRDefault="0053742D" w:rsidP="0038495D">
      <w:pPr>
        <w:pStyle w:val="Bullet3"/>
        <w:numPr>
          <w:ilvl w:val="0"/>
          <w:numId w:val="31"/>
        </w:numPr>
        <w:spacing w:before="0" w:after="0"/>
        <w:rPr>
          <w:sz w:val="22"/>
          <w:szCs w:val="22"/>
        </w:rPr>
      </w:pPr>
      <w:r>
        <w:rPr>
          <w:sz w:val="22"/>
          <w:szCs w:val="22"/>
        </w:rPr>
        <w:t>Ο</w:t>
      </w:r>
      <w:r w:rsidR="005B6C30" w:rsidRPr="00A77130">
        <w:rPr>
          <w:sz w:val="22"/>
          <w:szCs w:val="22"/>
        </w:rPr>
        <w:t>ρισμένες ενδοκρινικές διαταραχές: διαταραχές θυρεοειδούς, ανεπάρκεια υπόφυσης και επινεφριδίων,</w:t>
      </w:r>
    </w:p>
    <w:p w:rsidR="005B6C30" w:rsidRPr="00A77130" w:rsidRDefault="0053742D" w:rsidP="0038495D">
      <w:pPr>
        <w:pStyle w:val="Bullet3"/>
        <w:numPr>
          <w:ilvl w:val="0"/>
          <w:numId w:val="31"/>
        </w:numPr>
        <w:spacing w:before="0" w:after="0"/>
        <w:rPr>
          <w:sz w:val="22"/>
          <w:szCs w:val="22"/>
        </w:rPr>
      </w:pPr>
      <w:r>
        <w:rPr>
          <w:sz w:val="22"/>
          <w:szCs w:val="22"/>
        </w:rPr>
        <w:t>Σ</w:t>
      </w:r>
      <w:r w:rsidR="005B6C30" w:rsidRPr="00A77130">
        <w:rPr>
          <w:sz w:val="22"/>
          <w:szCs w:val="22"/>
        </w:rPr>
        <w:t xml:space="preserve">υγχορήγηση ορισμένων άλλων φαρμάκων (βλ. </w:t>
      </w:r>
      <w:r w:rsidR="00727FD8">
        <w:rPr>
          <w:sz w:val="22"/>
          <w:szCs w:val="22"/>
        </w:rPr>
        <w:t>π</w:t>
      </w:r>
      <w:r w:rsidR="00727FD8" w:rsidRPr="00A0347D">
        <w:rPr>
          <w:sz w:val="22"/>
          <w:szCs w:val="22"/>
        </w:rPr>
        <w:t xml:space="preserve">αράγραφο </w:t>
      </w:r>
      <w:r w:rsidR="00670267" w:rsidRPr="00A0347D">
        <w:rPr>
          <w:sz w:val="22"/>
          <w:szCs w:val="22"/>
        </w:rPr>
        <w:t>4.5</w:t>
      </w:r>
      <w:r w:rsidR="005B6C30" w:rsidRPr="00A77130">
        <w:rPr>
          <w:sz w:val="22"/>
          <w:szCs w:val="22"/>
        </w:rPr>
        <w:t>).</w:t>
      </w:r>
    </w:p>
    <w:p w:rsidR="0034739D" w:rsidRDefault="0034739D" w:rsidP="00A0347D">
      <w:pPr>
        <w:pStyle w:val="a8"/>
        <w:spacing w:before="0" w:after="0"/>
        <w:rPr>
          <w:sz w:val="22"/>
          <w:szCs w:val="22"/>
        </w:rPr>
      </w:pPr>
    </w:p>
    <w:p w:rsidR="005B6C30" w:rsidRPr="00A77130" w:rsidRDefault="005B6C30" w:rsidP="00A0347D">
      <w:pPr>
        <w:pStyle w:val="a8"/>
        <w:spacing w:before="0" w:after="0"/>
        <w:rPr>
          <w:sz w:val="22"/>
          <w:szCs w:val="22"/>
        </w:rPr>
      </w:pPr>
      <w:r w:rsidRPr="00A77130">
        <w:rPr>
          <w:sz w:val="22"/>
          <w:szCs w:val="22"/>
        </w:rPr>
        <w:t xml:space="preserve">Νεφρική και ηπατική ανεπάρκεια: η φαρμακοκινητική και/ή η φαρμακοδυναμική της γλικλαζίδης μπορεί να μεταβληθεί σε ασθενείς με ηπατική ανεπάρκεια ή σοβαρή νεφρική ανεπάρκεια. Επειδή ένα υπογλυκαιμικό επεισόδιο σε αυτούς τους ασθενείς μπορεί να έχει παρατεταμένη διάρκεια, θα πρέπει να ακολουθηθεί η κατάλληλη αντιμετώπιση. </w:t>
      </w:r>
    </w:p>
    <w:p w:rsidR="0034739D" w:rsidRDefault="0034739D" w:rsidP="0025183E">
      <w:pPr>
        <w:pStyle w:val="a8"/>
        <w:rPr>
          <w:sz w:val="22"/>
          <w:szCs w:val="22"/>
        </w:rPr>
      </w:pPr>
    </w:p>
    <w:p w:rsidR="005B6C30" w:rsidRPr="00A77130" w:rsidRDefault="005B6C30" w:rsidP="00A0347D">
      <w:pPr>
        <w:pStyle w:val="a8"/>
        <w:spacing w:before="0" w:after="0"/>
        <w:rPr>
          <w:sz w:val="22"/>
          <w:szCs w:val="22"/>
        </w:rPr>
      </w:pPr>
      <w:r w:rsidRPr="00A77130">
        <w:rPr>
          <w:sz w:val="22"/>
          <w:szCs w:val="22"/>
        </w:rPr>
        <w:t>Ενημέρωση του ασθενή:</w:t>
      </w:r>
    </w:p>
    <w:p w:rsidR="005B6C30" w:rsidRDefault="005B6C30" w:rsidP="00A0347D">
      <w:pPr>
        <w:pStyle w:val="a8"/>
        <w:spacing w:before="0" w:after="0"/>
        <w:rPr>
          <w:sz w:val="22"/>
          <w:szCs w:val="22"/>
        </w:rPr>
      </w:pPr>
      <w:r w:rsidRPr="00A77130">
        <w:rPr>
          <w:sz w:val="22"/>
          <w:szCs w:val="22"/>
        </w:rPr>
        <w:t xml:space="preserve">Οι κίνδυνοι υπογλυκαιμίας, τα συμπτώματα </w:t>
      </w:r>
      <w:r w:rsidR="006B782A">
        <w:rPr>
          <w:sz w:val="22"/>
          <w:szCs w:val="22"/>
        </w:rPr>
        <w:t>(</w:t>
      </w:r>
      <w:r w:rsidR="006B782A" w:rsidRPr="00A77130">
        <w:rPr>
          <w:sz w:val="22"/>
          <w:szCs w:val="22"/>
        </w:rPr>
        <w:t xml:space="preserve">βλ. </w:t>
      </w:r>
      <w:r w:rsidR="006B782A">
        <w:rPr>
          <w:sz w:val="22"/>
          <w:szCs w:val="22"/>
        </w:rPr>
        <w:t>Παράγραφο 4.8),</w:t>
      </w:r>
      <w:r w:rsidRPr="00A77130">
        <w:rPr>
          <w:sz w:val="22"/>
          <w:szCs w:val="22"/>
        </w:rPr>
        <w:t xml:space="preserve"> η θεραπευτική αντιμετώπισή της, καθώς και οι προδιαθεσικοί παράγοντες που οδηγούν στην εμφάνισή της, πρέπει να εξηγούνται στον ασθενή και στην οικογένειά του. </w:t>
      </w:r>
      <w:r w:rsidR="00E329CA">
        <w:rPr>
          <w:sz w:val="22"/>
          <w:szCs w:val="22"/>
        </w:rPr>
        <w:t>Ο ασθενής π</w:t>
      </w:r>
      <w:r w:rsidRPr="00A77130">
        <w:rPr>
          <w:sz w:val="22"/>
          <w:szCs w:val="22"/>
        </w:rPr>
        <w:t>ρέπει να ενημερώνεται για τη σημασία που έχει η τήρηση της διαιτητικής αγωγής, το τακτικό πρόγραμμα σωματικής άσκησης και η συστηματική παρακολούθηση των επιπέδων γλυκόζης του αίματος.</w:t>
      </w:r>
    </w:p>
    <w:p w:rsidR="006B782A" w:rsidRPr="00A77130" w:rsidRDefault="006B782A" w:rsidP="00A0347D">
      <w:pPr>
        <w:pStyle w:val="a8"/>
        <w:spacing w:before="0" w:after="0"/>
        <w:rPr>
          <w:sz w:val="22"/>
          <w:szCs w:val="22"/>
        </w:rPr>
      </w:pPr>
    </w:p>
    <w:p w:rsidR="00B66E78" w:rsidRDefault="005B6C30" w:rsidP="00A0347D">
      <w:pPr>
        <w:pStyle w:val="a8"/>
        <w:spacing w:before="0" w:after="0"/>
        <w:rPr>
          <w:sz w:val="22"/>
          <w:szCs w:val="22"/>
        </w:rPr>
      </w:pPr>
      <w:r w:rsidRPr="00A77130">
        <w:rPr>
          <w:sz w:val="22"/>
          <w:szCs w:val="22"/>
          <w:u w:val="single"/>
        </w:rPr>
        <w:t>Ανεπαρκής ρύθμιση της γλυκόζης του αίματος</w:t>
      </w:r>
      <w:r w:rsidRPr="00A77130">
        <w:rPr>
          <w:sz w:val="22"/>
          <w:szCs w:val="22"/>
        </w:rPr>
        <w:t xml:space="preserve">: </w:t>
      </w:r>
    </w:p>
    <w:p w:rsidR="004C296F" w:rsidRDefault="004C296F" w:rsidP="00A0347D">
      <w:pPr>
        <w:pStyle w:val="a8"/>
        <w:spacing w:before="0" w:after="0"/>
        <w:rPr>
          <w:sz w:val="22"/>
          <w:szCs w:val="22"/>
        </w:rPr>
      </w:pPr>
    </w:p>
    <w:p w:rsidR="005B6C30" w:rsidRPr="00A77130" w:rsidRDefault="00B66E78" w:rsidP="00A0347D">
      <w:pPr>
        <w:pStyle w:val="a8"/>
        <w:spacing w:before="0" w:after="0"/>
        <w:rPr>
          <w:sz w:val="22"/>
          <w:szCs w:val="22"/>
        </w:rPr>
      </w:pPr>
      <w:r>
        <w:rPr>
          <w:sz w:val="22"/>
          <w:szCs w:val="22"/>
        </w:rPr>
        <w:t xml:space="preserve">Η </w:t>
      </w:r>
      <w:r w:rsidR="005B6C30" w:rsidRPr="00A77130">
        <w:rPr>
          <w:sz w:val="22"/>
          <w:szCs w:val="22"/>
        </w:rPr>
        <w:t xml:space="preserve">ρύθμιση της γλυκόζης του αίματος σε ασθενή που ακολουθεί αντιδιαβητική αγωγή μπορεί να διαταραχθεί εξ αιτίας ενός από τους ακόλουθους παράγοντες: </w:t>
      </w:r>
      <w:r>
        <w:rPr>
          <w:sz w:val="22"/>
          <w:szCs w:val="22"/>
        </w:rPr>
        <w:t xml:space="preserve">παρασκευάσματα </w:t>
      </w:r>
      <w:r>
        <w:rPr>
          <w:sz w:val="22"/>
          <w:szCs w:val="22"/>
          <w:lang w:val="en-US"/>
        </w:rPr>
        <w:t>St</w:t>
      </w:r>
      <w:r>
        <w:rPr>
          <w:sz w:val="22"/>
          <w:szCs w:val="22"/>
        </w:rPr>
        <w:t>.</w:t>
      </w:r>
      <w:r w:rsidRPr="00BC0E0C">
        <w:rPr>
          <w:sz w:val="22"/>
          <w:szCs w:val="22"/>
        </w:rPr>
        <w:t xml:space="preserve"> </w:t>
      </w:r>
      <w:r>
        <w:rPr>
          <w:sz w:val="22"/>
          <w:szCs w:val="22"/>
          <w:lang w:val="en-US"/>
        </w:rPr>
        <w:t>John</w:t>
      </w:r>
      <w:r w:rsidRPr="00BC0E0C">
        <w:rPr>
          <w:sz w:val="22"/>
          <w:szCs w:val="22"/>
        </w:rPr>
        <w:t>’</w:t>
      </w:r>
      <w:r>
        <w:rPr>
          <w:sz w:val="22"/>
          <w:szCs w:val="22"/>
          <w:lang w:val="en-US"/>
        </w:rPr>
        <w:t>s</w:t>
      </w:r>
      <w:r w:rsidRPr="00BC0E0C">
        <w:rPr>
          <w:sz w:val="22"/>
          <w:szCs w:val="22"/>
        </w:rPr>
        <w:t xml:space="preserve"> </w:t>
      </w:r>
      <w:r>
        <w:rPr>
          <w:sz w:val="22"/>
          <w:szCs w:val="22"/>
          <w:lang w:val="en-US"/>
        </w:rPr>
        <w:lastRenderedPageBreak/>
        <w:t>Wort</w:t>
      </w:r>
      <w:r w:rsidRPr="00BC0E0C">
        <w:rPr>
          <w:sz w:val="22"/>
          <w:szCs w:val="22"/>
        </w:rPr>
        <w:t xml:space="preserve"> (</w:t>
      </w:r>
      <w:r w:rsidRPr="00BC0E0C">
        <w:rPr>
          <w:i/>
          <w:sz w:val="22"/>
          <w:szCs w:val="22"/>
        </w:rPr>
        <w:t>Υπερικόν το διάτρητον</w:t>
      </w:r>
      <w:r>
        <w:rPr>
          <w:sz w:val="22"/>
          <w:szCs w:val="22"/>
        </w:rPr>
        <w:t xml:space="preserve">), </w:t>
      </w:r>
      <w:r w:rsidR="005B6C30" w:rsidRPr="00A77130">
        <w:rPr>
          <w:sz w:val="22"/>
          <w:szCs w:val="22"/>
        </w:rPr>
        <w:t>πυρετός, τραυματισμός, λοίμωξη ή χειρουργική επέμβαση. Σε ορισμένες περιπτώσεις, μπορεί να χρειαστεί χορήγηση ινσουλίνης.</w:t>
      </w:r>
    </w:p>
    <w:p w:rsidR="005B6C30" w:rsidRDefault="005B6C30" w:rsidP="00A0347D">
      <w:pPr>
        <w:pStyle w:val="a8"/>
        <w:spacing w:before="0" w:after="0"/>
        <w:rPr>
          <w:sz w:val="22"/>
          <w:szCs w:val="22"/>
        </w:rPr>
      </w:pPr>
      <w:r w:rsidRPr="00A77130">
        <w:rPr>
          <w:sz w:val="22"/>
          <w:szCs w:val="22"/>
        </w:rPr>
        <w:t>Η υπογλυκαιμική αποτελεσματικότητα οποιουδήποτε αντιδιαβητικού παράγοντα από το στόμα, συμπεριλαμβανομένης της γλικλαζίδης, φθίνει σε πολλούς ασθενείς μετά από μια μακρά περίοδο χορήγησης</w:t>
      </w:r>
      <w:r w:rsidR="00670267">
        <w:rPr>
          <w:sz w:val="22"/>
          <w:szCs w:val="22"/>
        </w:rPr>
        <w:t>:</w:t>
      </w:r>
      <w:r w:rsidRPr="00A77130">
        <w:rPr>
          <w:sz w:val="22"/>
          <w:szCs w:val="22"/>
        </w:rPr>
        <w:t xml:space="preserve"> </w:t>
      </w:r>
      <w:r w:rsidR="00670267">
        <w:rPr>
          <w:sz w:val="22"/>
          <w:szCs w:val="22"/>
        </w:rPr>
        <w:t>α</w:t>
      </w:r>
      <w:r w:rsidRPr="00A77130">
        <w:rPr>
          <w:sz w:val="22"/>
          <w:szCs w:val="22"/>
        </w:rPr>
        <w:t xml:space="preserve">υτό μπορεί να οφείλεται στην επιδείνωση της σοβαρότητας του διαβήτη ή σε μείωση της ανταπόκρισης στην αγωγή. Το φαινόμενο αυτό είναι γνωστό ως δευτερογενής αστοχία και διαφέρει από την πρωτογενή αστοχία κατά την οποία μία δραστική ουσία είναι αναποτελεσματική, όταν χορηγείται ως πρώτης γραμμής αγωγή. Πριν καταταχθεί κάποιος ασθενής στα περιστατικά δευτερογενούς αστοχίας, πρέπει να αξιολογηθεί η επαρκής προσαρμογή της δόσης και η συμμόρφωση προς τα διαιτητικά μέτρα. </w:t>
      </w:r>
    </w:p>
    <w:p w:rsidR="006B782A" w:rsidRPr="00A77130" w:rsidRDefault="006B782A" w:rsidP="00A0347D">
      <w:pPr>
        <w:pStyle w:val="a8"/>
        <w:spacing w:before="0" w:after="0"/>
        <w:rPr>
          <w:sz w:val="22"/>
          <w:szCs w:val="22"/>
        </w:rPr>
      </w:pPr>
    </w:p>
    <w:p w:rsidR="004C296F" w:rsidRDefault="004C296F" w:rsidP="00A0347D">
      <w:pPr>
        <w:pStyle w:val="a8"/>
        <w:spacing w:before="0" w:after="0"/>
        <w:rPr>
          <w:sz w:val="22"/>
          <w:szCs w:val="22"/>
          <w:u w:val="single"/>
        </w:rPr>
      </w:pPr>
      <w:r>
        <w:rPr>
          <w:sz w:val="22"/>
          <w:szCs w:val="22"/>
          <w:u w:val="single"/>
        </w:rPr>
        <w:t>Δυσγλυκαιμία:</w:t>
      </w:r>
    </w:p>
    <w:p w:rsidR="009F0411" w:rsidRDefault="009F0411" w:rsidP="00A0347D">
      <w:pPr>
        <w:pStyle w:val="a8"/>
        <w:spacing w:before="0" w:after="0"/>
        <w:rPr>
          <w:sz w:val="22"/>
          <w:szCs w:val="22"/>
          <w:u w:val="single"/>
        </w:rPr>
      </w:pPr>
    </w:p>
    <w:p w:rsidR="004C296F" w:rsidRPr="00BC0E0C" w:rsidRDefault="004C296F" w:rsidP="00A0347D">
      <w:pPr>
        <w:pStyle w:val="a8"/>
        <w:spacing w:before="0" w:after="0"/>
        <w:rPr>
          <w:sz w:val="22"/>
          <w:szCs w:val="22"/>
        </w:rPr>
      </w:pPr>
      <w:r w:rsidRPr="00BC0E0C">
        <w:rPr>
          <w:sz w:val="22"/>
          <w:szCs w:val="22"/>
        </w:rPr>
        <w:t xml:space="preserve">Έχουν αναφερθεί διαταραχές στη γλυκόζη του αίματος, συμπεριλαμβανομένης υπογλυκαιμίας και υπεργλυκαμίας, σε διαβητικούς ασθενείς που λαμβάνουν ταυτόχρονα αγωγή με φλουοροκινολόνες, ιδιαίτερα σε ηλικιωμένους ασθενείς. </w:t>
      </w:r>
      <w:r w:rsidR="009F0411" w:rsidRPr="00BC0E0C">
        <w:rPr>
          <w:sz w:val="22"/>
          <w:szCs w:val="22"/>
        </w:rPr>
        <w:t>Πράγματι</w:t>
      </w:r>
      <w:r w:rsidRPr="00BC0E0C">
        <w:rPr>
          <w:sz w:val="22"/>
          <w:szCs w:val="22"/>
        </w:rPr>
        <w:t xml:space="preserve">, </w:t>
      </w:r>
      <w:r w:rsidR="009F0411" w:rsidRPr="00BC0E0C">
        <w:rPr>
          <w:sz w:val="22"/>
          <w:szCs w:val="22"/>
        </w:rPr>
        <w:t>συνιστάται προσεκτική παρακολούθηση της γλυκόζης του αίματος</w:t>
      </w:r>
      <w:r w:rsidRPr="00BC0E0C">
        <w:rPr>
          <w:sz w:val="22"/>
          <w:szCs w:val="22"/>
        </w:rPr>
        <w:t xml:space="preserve"> </w:t>
      </w:r>
      <w:r w:rsidR="009F0411" w:rsidRPr="00BC0E0C">
        <w:rPr>
          <w:sz w:val="22"/>
          <w:szCs w:val="22"/>
        </w:rPr>
        <w:t xml:space="preserve">σε όλους τους ασθενείς που λαμβάνουν ταυτόχρονα </w:t>
      </w:r>
      <w:r w:rsidRPr="00BC0E0C">
        <w:rPr>
          <w:sz w:val="22"/>
          <w:szCs w:val="22"/>
          <w:lang w:val="en-US"/>
        </w:rPr>
        <w:t>DIAMICRON</w:t>
      </w:r>
      <w:r w:rsidRPr="00BC0E0C">
        <w:rPr>
          <w:sz w:val="22"/>
          <w:szCs w:val="22"/>
        </w:rPr>
        <w:t xml:space="preserve"> 60 </w:t>
      </w:r>
      <w:r w:rsidRPr="00BC0E0C">
        <w:rPr>
          <w:sz w:val="22"/>
          <w:szCs w:val="22"/>
          <w:lang w:val="en-US"/>
        </w:rPr>
        <w:t>mg</w:t>
      </w:r>
      <w:r w:rsidRPr="00BC0E0C">
        <w:rPr>
          <w:sz w:val="22"/>
          <w:szCs w:val="22"/>
        </w:rPr>
        <w:t xml:space="preserve"> </w:t>
      </w:r>
      <w:r w:rsidR="009F0411" w:rsidRPr="00BC0E0C">
        <w:rPr>
          <w:sz w:val="22"/>
          <w:szCs w:val="22"/>
        </w:rPr>
        <w:t>και μια φλουοροκινολόνη</w:t>
      </w:r>
      <w:r w:rsidRPr="00BC0E0C">
        <w:rPr>
          <w:sz w:val="22"/>
          <w:szCs w:val="22"/>
        </w:rPr>
        <w:t>.</w:t>
      </w:r>
    </w:p>
    <w:p w:rsidR="004C296F" w:rsidRPr="00223D9D" w:rsidRDefault="004C296F" w:rsidP="00A0347D">
      <w:pPr>
        <w:pStyle w:val="a8"/>
        <w:spacing w:before="0" w:after="0"/>
        <w:rPr>
          <w:sz w:val="22"/>
          <w:szCs w:val="22"/>
          <w:u w:val="single"/>
        </w:rPr>
      </w:pPr>
    </w:p>
    <w:p w:rsidR="009F0411" w:rsidRDefault="005B6C30" w:rsidP="00A0347D">
      <w:pPr>
        <w:pStyle w:val="a8"/>
        <w:spacing w:before="0" w:after="0"/>
        <w:rPr>
          <w:sz w:val="22"/>
          <w:szCs w:val="22"/>
        </w:rPr>
      </w:pPr>
      <w:r w:rsidRPr="00A77130">
        <w:rPr>
          <w:sz w:val="22"/>
          <w:szCs w:val="22"/>
          <w:u w:val="single"/>
        </w:rPr>
        <w:t>Εργαστηριακές αναλύσεις</w:t>
      </w:r>
      <w:r w:rsidRPr="00A77130">
        <w:rPr>
          <w:sz w:val="22"/>
          <w:szCs w:val="22"/>
        </w:rPr>
        <w:t xml:space="preserve">: </w:t>
      </w:r>
    </w:p>
    <w:p w:rsidR="009F0411" w:rsidRDefault="009F0411" w:rsidP="00A0347D">
      <w:pPr>
        <w:pStyle w:val="a8"/>
        <w:spacing w:before="0" w:after="0"/>
        <w:rPr>
          <w:sz w:val="22"/>
          <w:szCs w:val="22"/>
        </w:rPr>
      </w:pPr>
    </w:p>
    <w:p w:rsidR="005B6C30" w:rsidRDefault="009F0411" w:rsidP="00A0347D">
      <w:pPr>
        <w:pStyle w:val="a8"/>
        <w:spacing w:before="0" w:after="0"/>
        <w:rPr>
          <w:sz w:val="22"/>
          <w:szCs w:val="22"/>
        </w:rPr>
      </w:pPr>
      <w:r>
        <w:rPr>
          <w:sz w:val="22"/>
          <w:szCs w:val="22"/>
        </w:rPr>
        <w:t>Σ</w:t>
      </w:r>
      <w:r w:rsidR="005B6C30" w:rsidRPr="00A77130">
        <w:rPr>
          <w:sz w:val="22"/>
          <w:szCs w:val="22"/>
        </w:rPr>
        <w:t>υνιστάται η μέτρηση των επιπέδων γλυκοζυλιωμένης αιμοσφαιρίνης (ή γλυκόζης νηστείας πλάσματος) για την αξιολόγηση του γλυκαιμικού ελέγχου. Η παρακολούθηση της γλυκόζης αίματος από τον ίδιο τον ασθενή μπορεί επίσης να είναι χρήσιμη.</w:t>
      </w:r>
    </w:p>
    <w:p w:rsidR="002A5549" w:rsidRDefault="002A5549" w:rsidP="00A0347D">
      <w:pPr>
        <w:pStyle w:val="a8"/>
        <w:spacing w:before="0" w:after="0"/>
        <w:rPr>
          <w:sz w:val="22"/>
          <w:szCs w:val="22"/>
        </w:rPr>
      </w:pPr>
      <w:r w:rsidRPr="001A5B5E">
        <w:rPr>
          <w:sz w:val="22"/>
          <w:szCs w:val="22"/>
        </w:rPr>
        <w:t xml:space="preserve">Η αγωγή ασθενών με ανεπάρκεια του ενζύμου </w:t>
      </w:r>
      <w:r w:rsidRPr="001A5B5E">
        <w:rPr>
          <w:sz w:val="22"/>
          <w:szCs w:val="22"/>
          <w:lang w:val="en-US"/>
        </w:rPr>
        <w:t>G</w:t>
      </w:r>
      <w:r w:rsidRPr="001A5B5E">
        <w:rPr>
          <w:sz w:val="22"/>
          <w:szCs w:val="22"/>
        </w:rPr>
        <w:t>6</w:t>
      </w:r>
      <w:r w:rsidRPr="001A5B5E">
        <w:rPr>
          <w:sz w:val="22"/>
          <w:szCs w:val="22"/>
          <w:lang w:val="en-US"/>
        </w:rPr>
        <w:t>PD</w:t>
      </w:r>
      <w:r w:rsidRPr="001A5B5E">
        <w:rPr>
          <w:sz w:val="22"/>
          <w:szCs w:val="22"/>
        </w:rPr>
        <w:t xml:space="preserve">, με παράγοντες σουλφονυλουρίας μπορεί να οδηγήσει σε αιμολυτική αναιμία. Εφόσον η γλικλαζίδη ανήκει χημικά στην </w:t>
      </w:r>
      <w:r w:rsidR="00670267">
        <w:rPr>
          <w:sz w:val="22"/>
          <w:szCs w:val="22"/>
        </w:rPr>
        <w:t>κατηγορία</w:t>
      </w:r>
      <w:r w:rsidR="00670267" w:rsidRPr="001A5B5E">
        <w:rPr>
          <w:sz w:val="22"/>
          <w:szCs w:val="22"/>
        </w:rPr>
        <w:t xml:space="preserve"> </w:t>
      </w:r>
      <w:r w:rsidRPr="001A5B5E">
        <w:rPr>
          <w:sz w:val="22"/>
          <w:szCs w:val="22"/>
        </w:rPr>
        <w:t xml:space="preserve">των φαρμάκων σουλφονυλουρίας, θα πρέπει να δίδεται προσοχή σε ασθενείς με ανεπάρκεια του ενζύμου </w:t>
      </w:r>
      <w:r w:rsidRPr="001A5B5E">
        <w:rPr>
          <w:sz w:val="22"/>
          <w:szCs w:val="22"/>
          <w:lang w:val="en-US"/>
        </w:rPr>
        <w:t>G</w:t>
      </w:r>
      <w:r w:rsidRPr="001A5B5E">
        <w:rPr>
          <w:sz w:val="22"/>
          <w:szCs w:val="22"/>
        </w:rPr>
        <w:t>6</w:t>
      </w:r>
      <w:r w:rsidRPr="001A5B5E">
        <w:rPr>
          <w:sz w:val="22"/>
          <w:szCs w:val="22"/>
          <w:lang w:val="en-US"/>
        </w:rPr>
        <w:t>PD</w:t>
      </w:r>
      <w:r w:rsidRPr="001A5B5E">
        <w:rPr>
          <w:sz w:val="22"/>
          <w:szCs w:val="22"/>
        </w:rPr>
        <w:t xml:space="preserve"> και εναλλακτική αγωγή με μη παράγοντα σουλφονυλουρίας θα πρέπει να λαμβάνεται υπόψη. </w:t>
      </w:r>
    </w:p>
    <w:p w:rsidR="006B782A" w:rsidRDefault="006B782A" w:rsidP="00A0347D">
      <w:pPr>
        <w:pStyle w:val="a8"/>
        <w:spacing w:before="0" w:after="0"/>
        <w:rPr>
          <w:sz w:val="22"/>
          <w:szCs w:val="22"/>
        </w:rPr>
      </w:pPr>
    </w:p>
    <w:p w:rsidR="00670267" w:rsidRDefault="00670267" w:rsidP="00A0347D">
      <w:pPr>
        <w:pStyle w:val="a8"/>
        <w:spacing w:before="0" w:after="0"/>
        <w:rPr>
          <w:sz w:val="22"/>
          <w:szCs w:val="22"/>
          <w:u w:val="single"/>
        </w:rPr>
      </w:pPr>
      <w:r>
        <w:rPr>
          <w:sz w:val="22"/>
          <w:szCs w:val="22"/>
          <w:u w:val="single"/>
        </w:rPr>
        <w:t>Έκδοχα:</w:t>
      </w:r>
    </w:p>
    <w:p w:rsidR="009F0411" w:rsidRDefault="009F0411" w:rsidP="00A0347D">
      <w:pPr>
        <w:pStyle w:val="a8"/>
        <w:spacing w:before="0" w:after="0"/>
        <w:rPr>
          <w:sz w:val="22"/>
          <w:szCs w:val="22"/>
          <w:u w:val="single"/>
        </w:rPr>
      </w:pPr>
    </w:p>
    <w:p w:rsidR="00670267" w:rsidRPr="00B56F08" w:rsidRDefault="00670267" w:rsidP="00A0347D">
      <w:pPr>
        <w:pStyle w:val="a8"/>
        <w:spacing w:before="0" w:after="0"/>
        <w:rPr>
          <w:sz w:val="22"/>
          <w:szCs w:val="22"/>
        </w:rPr>
      </w:pPr>
      <w:r w:rsidRPr="00B56F08">
        <w:rPr>
          <w:sz w:val="22"/>
          <w:szCs w:val="22"/>
        </w:rPr>
        <w:t xml:space="preserve">Το </w:t>
      </w:r>
      <w:r w:rsidR="00862E48" w:rsidRPr="00862E48">
        <w:rPr>
          <w:sz w:val="22"/>
          <w:szCs w:val="22"/>
          <w:lang w:val="en-GB"/>
        </w:rPr>
        <w:t>DIAMICRON</w:t>
      </w:r>
      <w:r w:rsidRPr="00B56F08">
        <w:rPr>
          <w:sz w:val="22"/>
          <w:szCs w:val="22"/>
        </w:rPr>
        <w:t xml:space="preserve"> </w:t>
      </w:r>
      <w:r w:rsidRPr="00B56F08">
        <w:rPr>
          <w:sz w:val="22"/>
          <w:szCs w:val="22"/>
          <w:lang w:val="en-US"/>
        </w:rPr>
        <w:t>MR</w:t>
      </w:r>
      <w:r w:rsidRPr="00B56F08">
        <w:rPr>
          <w:sz w:val="22"/>
          <w:szCs w:val="22"/>
        </w:rPr>
        <w:t xml:space="preserve"> 60</w:t>
      </w:r>
      <w:r w:rsidR="00B56F08" w:rsidRPr="00B56F08">
        <w:rPr>
          <w:sz w:val="22"/>
          <w:szCs w:val="22"/>
        </w:rPr>
        <w:t xml:space="preserve"> </w:t>
      </w:r>
      <w:r w:rsidR="00B56F08">
        <w:rPr>
          <w:sz w:val="22"/>
          <w:szCs w:val="22"/>
          <w:lang w:val="en-US"/>
        </w:rPr>
        <w:t>mg</w:t>
      </w:r>
      <w:r w:rsidRPr="00B56F08">
        <w:rPr>
          <w:sz w:val="22"/>
          <w:szCs w:val="22"/>
        </w:rPr>
        <w:t xml:space="preserve"> δεν θα πρέπει να χορηγείται σε ασθενείς με σπάνια κληρονομικά προβλήματα δυσανεξίας στη γαλακτόζη, ανεπάρκειας λακτάσης τύπου </w:t>
      </w:r>
      <w:r w:rsidRPr="00B56F08">
        <w:rPr>
          <w:sz w:val="22"/>
          <w:szCs w:val="22"/>
          <w:lang w:val="en-US"/>
        </w:rPr>
        <w:t>Lapp</w:t>
      </w:r>
      <w:r w:rsidRPr="00B56F08">
        <w:rPr>
          <w:sz w:val="22"/>
          <w:szCs w:val="22"/>
        </w:rPr>
        <w:t xml:space="preserve"> ή δυσαπορρόφησης γλυκόζης – γαλακτόζης.</w:t>
      </w:r>
    </w:p>
    <w:p w:rsidR="005B6C30" w:rsidRPr="00A77130" w:rsidRDefault="005B6C30" w:rsidP="0025183E">
      <w:pPr>
        <w:pStyle w:val="2"/>
        <w:rPr>
          <w:sz w:val="22"/>
          <w:szCs w:val="22"/>
        </w:rPr>
      </w:pPr>
      <w:r w:rsidRPr="00A77130">
        <w:rPr>
          <w:sz w:val="22"/>
          <w:szCs w:val="22"/>
        </w:rPr>
        <w:t xml:space="preserve">Αλληλεπιδράσεις με άλλα </w:t>
      </w:r>
      <w:r w:rsidR="000E1183" w:rsidRPr="000E1183">
        <w:rPr>
          <w:sz w:val="22"/>
          <w:szCs w:val="22"/>
        </w:rPr>
        <w:t>φαρμακευτικά προϊόντα</w:t>
      </w:r>
      <w:r w:rsidRPr="00A77130">
        <w:rPr>
          <w:sz w:val="22"/>
          <w:szCs w:val="22"/>
        </w:rPr>
        <w:t xml:space="preserve"> και άλλες μορφές</w:t>
      </w:r>
      <w:r w:rsidR="007D16BD">
        <w:rPr>
          <w:sz w:val="22"/>
          <w:szCs w:val="22"/>
        </w:rPr>
        <w:t xml:space="preserve"> αλληλεπίδρασης</w:t>
      </w:r>
    </w:p>
    <w:p w:rsidR="009F0411" w:rsidRDefault="009F0411" w:rsidP="00BC0E0C">
      <w:pPr>
        <w:pStyle w:val="Number1"/>
        <w:numPr>
          <w:ilvl w:val="0"/>
          <w:numId w:val="0"/>
        </w:numPr>
        <w:spacing w:before="0" w:after="0"/>
        <w:ind w:left="567"/>
        <w:rPr>
          <w:sz w:val="22"/>
          <w:szCs w:val="22"/>
        </w:rPr>
      </w:pPr>
    </w:p>
    <w:p w:rsidR="005B6C30" w:rsidRDefault="005B6C30" w:rsidP="00BC0E0C">
      <w:pPr>
        <w:pStyle w:val="Number1"/>
        <w:numPr>
          <w:ilvl w:val="0"/>
          <w:numId w:val="0"/>
        </w:numPr>
        <w:spacing w:before="0" w:after="0"/>
        <w:ind w:left="567"/>
        <w:rPr>
          <w:sz w:val="22"/>
          <w:szCs w:val="22"/>
        </w:rPr>
      </w:pPr>
      <w:r w:rsidRPr="00A77130">
        <w:rPr>
          <w:sz w:val="22"/>
          <w:szCs w:val="22"/>
        </w:rPr>
        <w:t>Τα ακόλουθα προϊόντα έχουν πιθανότητα να αυξήσουν τον κίνδυνο υπογλυκαιμίας</w:t>
      </w:r>
    </w:p>
    <w:p w:rsidR="006B782A" w:rsidRPr="00A77130" w:rsidRDefault="006B782A" w:rsidP="006B782A">
      <w:pPr>
        <w:pStyle w:val="Number1"/>
        <w:numPr>
          <w:ilvl w:val="0"/>
          <w:numId w:val="0"/>
        </w:numPr>
        <w:spacing w:before="0" w:after="0"/>
        <w:rPr>
          <w:sz w:val="22"/>
          <w:szCs w:val="22"/>
        </w:rPr>
      </w:pPr>
    </w:p>
    <w:p w:rsidR="005B6C30" w:rsidRPr="00A77130" w:rsidRDefault="005B6C30" w:rsidP="00A0347D">
      <w:pPr>
        <w:pStyle w:val="6"/>
        <w:spacing w:before="0" w:after="0"/>
        <w:rPr>
          <w:sz w:val="22"/>
          <w:szCs w:val="22"/>
          <w:lang w:val="el-GR"/>
        </w:rPr>
      </w:pPr>
      <w:r w:rsidRPr="00A77130">
        <w:rPr>
          <w:sz w:val="22"/>
          <w:szCs w:val="22"/>
          <w:lang w:val="el-GR"/>
        </w:rPr>
        <w:t xml:space="preserve">Συνδυασμός που αντενδείκνυται: </w:t>
      </w:r>
    </w:p>
    <w:p w:rsidR="005B6C30" w:rsidRDefault="005B6C30" w:rsidP="00A0347D">
      <w:pPr>
        <w:pStyle w:val="Bullet4"/>
        <w:spacing w:before="0" w:after="0"/>
        <w:rPr>
          <w:sz w:val="22"/>
          <w:szCs w:val="22"/>
          <w:lang w:val="el-GR"/>
        </w:rPr>
      </w:pPr>
      <w:r w:rsidRPr="00A77130">
        <w:rPr>
          <w:b/>
          <w:sz w:val="22"/>
          <w:szCs w:val="22"/>
          <w:lang w:val="el-GR"/>
        </w:rPr>
        <w:t xml:space="preserve">Μικοναζόλη </w:t>
      </w:r>
      <w:r w:rsidRPr="00A77130">
        <w:rPr>
          <w:sz w:val="22"/>
          <w:szCs w:val="22"/>
          <w:lang w:val="el-GR"/>
        </w:rPr>
        <w:t>(συστηματική οδός, στοματική γέλη): αύξηση της υπογλυκαιμικής δράσης με πιθανή εκδήλωση υπογλυκαιμικών συμπτωμάτων έως και κώματος.</w:t>
      </w:r>
    </w:p>
    <w:p w:rsidR="006B782A" w:rsidRPr="00A77130" w:rsidRDefault="006B782A" w:rsidP="006B782A">
      <w:pPr>
        <w:pStyle w:val="Bullet4"/>
        <w:numPr>
          <w:ilvl w:val="0"/>
          <w:numId w:val="0"/>
        </w:numPr>
        <w:spacing w:before="0" w:after="0"/>
        <w:ind w:left="907"/>
        <w:rPr>
          <w:sz w:val="22"/>
          <w:szCs w:val="22"/>
          <w:lang w:val="el-GR"/>
        </w:rPr>
      </w:pPr>
    </w:p>
    <w:p w:rsidR="005B6C30" w:rsidRPr="00A77130" w:rsidRDefault="005B6C30" w:rsidP="006B782A">
      <w:pPr>
        <w:pStyle w:val="6"/>
        <w:spacing w:before="0" w:after="0"/>
        <w:rPr>
          <w:sz w:val="22"/>
          <w:szCs w:val="22"/>
          <w:lang w:val="el-GR"/>
        </w:rPr>
      </w:pPr>
      <w:r w:rsidRPr="00A77130">
        <w:rPr>
          <w:sz w:val="22"/>
          <w:szCs w:val="22"/>
          <w:lang w:val="el-GR"/>
        </w:rPr>
        <w:t>Μη συνιστώμενοι συνδυασμοί:</w:t>
      </w:r>
    </w:p>
    <w:p w:rsidR="005B6C30" w:rsidRPr="00A77130" w:rsidRDefault="005B6C30" w:rsidP="006B782A">
      <w:pPr>
        <w:pStyle w:val="Bullet4"/>
        <w:spacing w:before="0" w:after="0"/>
        <w:rPr>
          <w:sz w:val="22"/>
          <w:szCs w:val="22"/>
          <w:lang w:val="el-GR"/>
        </w:rPr>
      </w:pPr>
      <w:r w:rsidRPr="00A77130">
        <w:rPr>
          <w:b/>
          <w:sz w:val="22"/>
          <w:szCs w:val="22"/>
          <w:lang w:val="el-GR"/>
        </w:rPr>
        <w:t>Φαινυλβουταζόνη</w:t>
      </w:r>
      <w:r w:rsidRPr="00A77130">
        <w:rPr>
          <w:sz w:val="22"/>
          <w:szCs w:val="22"/>
          <w:lang w:val="el-GR"/>
        </w:rPr>
        <w:t xml:space="preserve"> (συστηματική οδός): αύξηση της υπογλυκαιμικής δράσης των σουλφονυλουριών (αποδέσμευση από τις πρωτεΐνες του πλάσματος και / ή μείωση της απέκκρισής τους).</w:t>
      </w:r>
    </w:p>
    <w:p w:rsidR="005B6C30" w:rsidRDefault="005B6C30" w:rsidP="006B782A">
      <w:pPr>
        <w:pStyle w:val="BlockTextindent"/>
        <w:spacing w:before="0" w:after="0"/>
        <w:rPr>
          <w:sz w:val="22"/>
          <w:szCs w:val="22"/>
        </w:rPr>
      </w:pPr>
      <w:r w:rsidRPr="00A77130">
        <w:rPr>
          <w:sz w:val="22"/>
          <w:szCs w:val="22"/>
        </w:rPr>
        <w:t>Να χορηγείται κατά προτίμηση άλλο αντιφλεγμονώδες, διαφορετικά να προειδοποιείται ο ασθενής ώστε να εντείνει την ιδιο-παρακολούθησή του. Να προσαρμόζεται, όποτε είναι απαραίτητο, η δοσολογία της σουλφονυλουρίας τόσο κατά τη διάρκεια της θεραπευτικής αγωγής με αντιφλεγμονώδες όσο και μετά από τη διακοπή της.</w:t>
      </w:r>
    </w:p>
    <w:p w:rsidR="006B782A" w:rsidRPr="00A77130" w:rsidRDefault="006B782A" w:rsidP="006B782A">
      <w:pPr>
        <w:pStyle w:val="BlockTextindent"/>
        <w:spacing w:before="0" w:after="0"/>
        <w:rPr>
          <w:sz w:val="22"/>
          <w:szCs w:val="22"/>
        </w:rPr>
      </w:pPr>
    </w:p>
    <w:p w:rsidR="005B6C30" w:rsidRPr="00A77130" w:rsidRDefault="005B6C30" w:rsidP="006B782A">
      <w:pPr>
        <w:pStyle w:val="Bullet4"/>
        <w:spacing w:before="0" w:after="0"/>
        <w:rPr>
          <w:sz w:val="22"/>
          <w:szCs w:val="22"/>
          <w:lang w:val="el-GR"/>
        </w:rPr>
      </w:pPr>
      <w:r w:rsidRPr="00A77130">
        <w:rPr>
          <w:b/>
          <w:sz w:val="22"/>
          <w:szCs w:val="22"/>
          <w:lang w:val="el-GR"/>
        </w:rPr>
        <w:t>Αλκοόλη</w:t>
      </w:r>
      <w:r w:rsidRPr="00A77130">
        <w:rPr>
          <w:sz w:val="22"/>
          <w:szCs w:val="22"/>
          <w:lang w:val="el-GR"/>
        </w:rPr>
        <w:t xml:space="preserve">: αύξηση της υπογλυκαιμικής αντίδρασης (μέσω αναστολής των αντιρροπιστικών μηχανισμών), γεγονός που μπορεί να οδηγήσει σε εκδήλωση </w:t>
      </w:r>
      <w:r w:rsidRPr="00A77130">
        <w:rPr>
          <w:sz w:val="22"/>
          <w:szCs w:val="22"/>
          <w:lang w:val="el-GR"/>
        </w:rPr>
        <w:lastRenderedPageBreak/>
        <w:t>υπογλυκαιμικού κώματος. Να αποφεύγεται η κατανάλωση αλκοολούχων ποτών και φαρμάκων που περιέχουν αλκοόλη.</w:t>
      </w:r>
    </w:p>
    <w:p w:rsidR="005B6C30" w:rsidRPr="00A77130" w:rsidRDefault="005B6C30" w:rsidP="0025183E">
      <w:pPr>
        <w:pStyle w:val="6"/>
        <w:rPr>
          <w:sz w:val="22"/>
          <w:szCs w:val="22"/>
          <w:lang w:val="el-GR"/>
        </w:rPr>
      </w:pPr>
      <w:r w:rsidRPr="00A77130">
        <w:rPr>
          <w:sz w:val="22"/>
          <w:szCs w:val="22"/>
          <w:lang w:val="el-GR"/>
        </w:rPr>
        <w:t>Συνδυασμοί που απαιτούν προφυλάξεις κατά τη χρήση</w:t>
      </w:r>
    </w:p>
    <w:p w:rsidR="005B6C30" w:rsidRPr="00A77130" w:rsidRDefault="005B6C30" w:rsidP="0025183E">
      <w:pPr>
        <w:pStyle w:val="a8"/>
        <w:rPr>
          <w:sz w:val="22"/>
          <w:szCs w:val="22"/>
        </w:rPr>
      </w:pPr>
      <w:r w:rsidRPr="00A77130">
        <w:rPr>
          <w:sz w:val="22"/>
          <w:szCs w:val="22"/>
        </w:rPr>
        <w:t xml:space="preserve">Είναι δυνατόν να ενισχυθεί η δράση μείωσης της γλυκόζης αίματος και επομένως, σε κάποιες περιπτώσεις να εκδηλωθεί υπογλυκαιμία, όταν λαμβάνεται ένα από τα ακόλουθα φάρμακα: </w:t>
      </w:r>
      <w:r w:rsidR="006B782A">
        <w:rPr>
          <w:sz w:val="22"/>
          <w:szCs w:val="22"/>
        </w:rPr>
        <w:t>ά</w:t>
      </w:r>
      <w:r w:rsidRPr="00A77130">
        <w:rPr>
          <w:sz w:val="22"/>
          <w:szCs w:val="22"/>
        </w:rPr>
        <w:t>λλοι αντιδιαβητικοί παράγοντες (ινσουλίνες, ακαρβόζη,</w:t>
      </w:r>
      <w:r w:rsidR="006B782A" w:rsidRPr="006B782A">
        <w:rPr>
          <w:sz w:val="22"/>
          <w:szCs w:val="22"/>
        </w:rPr>
        <w:t xml:space="preserve"> </w:t>
      </w:r>
      <w:r w:rsidR="006B782A">
        <w:rPr>
          <w:sz w:val="22"/>
          <w:szCs w:val="22"/>
        </w:rPr>
        <w:t xml:space="preserve">μετφορμίνη, θειαζολιδινεδιόνες, αναστολείς της διπεπτιδυλικής πεπτιδάσης 4, αγωνιστές του υποδοχέα </w:t>
      </w:r>
      <w:r w:rsidR="006B782A">
        <w:rPr>
          <w:sz w:val="22"/>
          <w:szCs w:val="22"/>
          <w:lang w:val="en-US"/>
        </w:rPr>
        <w:t>GLP</w:t>
      </w:r>
      <w:r w:rsidR="006B782A" w:rsidRPr="00227A78">
        <w:rPr>
          <w:sz w:val="22"/>
          <w:szCs w:val="22"/>
        </w:rPr>
        <w:t>-1</w:t>
      </w:r>
      <w:r w:rsidRPr="00A77130">
        <w:rPr>
          <w:sz w:val="22"/>
          <w:szCs w:val="22"/>
        </w:rPr>
        <w:t>), β-αποκλειστές, φλουκοναζόλη, αναστολείς του μετατρεπτικού ενζύμου της αγγειοτασίνης (καπτοπρίλη, εναλαπρίλη), ανταγωνιστές των Η</w:t>
      </w:r>
      <w:r w:rsidRPr="00A77130">
        <w:rPr>
          <w:sz w:val="22"/>
          <w:szCs w:val="22"/>
          <w:vertAlign w:val="subscript"/>
        </w:rPr>
        <w:t>2</w:t>
      </w:r>
      <w:r w:rsidRPr="00A77130">
        <w:rPr>
          <w:sz w:val="22"/>
          <w:szCs w:val="22"/>
        </w:rPr>
        <w:t>-υποδοχέων, αναστολείς της ΜΑΟ, σουλφοναμίδες</w:t>
      </w:r>
      <w:r w:rsidR="006B782A">
        <w:rPr>
          <w:sz w:val="22"/>
          <w:szCs w:val="22"/>
        </w:rPr>
        <w:t>, κλαριθρομυκίνη</w:t>
      </w:r>
      <w:r w:rsidRPr="00A77130">
        <w:rPr>
          <w:sz w:val="22"/>
          <w:szCs w:val="22"/>
        </w:rPr>
        <w:t xml:space="preserve"> και μη </w:t>
      </w:r>
      <w:r w:rsidR="00EE1710" w:rsidRPr="00A77130">
        <w:rPr>
          <w:sz w:val="22"/>
          <w:szCs w:val="22"/>
        </w:rPr>
        <w:t>στεροειδή αντιφλεγμονώδη φάρμακα</w:t>
      </w:r>
      <w:r w:rsidRPr="00A77130">
        <w:rPr>
          <w:sz w:val="22"/>
          <w:szCs w:val="22"/>
        </w:rPr>
        <w:t>.</w:t>
      </w:r>
    </w:p>
    <w:p w:rsidR="00126629" w:rsidRDefault="00126629" w:rsidP="00BC0E0C">
      <w:pPr>
        <w:pStyle w:val="Number1"/>
        <w:numPr>
          <w:ilvl w:val="0"/>
          <w:numId w:val="0"/>
        </w:numPr>
        <w:ind w:left="567"/>
        <w:rPr>
          <w:sz w:val="22"/>
          <w:szCs w:val="22"/>
        </w:rPr>
      </w:pPr>
    </w:p>
    <w:p w:rsidR="005B6C30" w:rsidRPr="00A77130" w:rsidRDefault="005B6C30" w:rsidP="00BC0E0C">
      <w:pPr>
        <w:pStyle w:val="Number1"/>
        <w:numPr>
          <w:ilvl w:val="0"/>
          <w:numId w:val="0"/>
        </w:numPr>
        <w:ind w:left="567"/>
        <w:rPr>
          <w:sz w:val="22"/>
          <w:szCs w:val="22"/>
        </w:rPr>
      </w:pPr>
      <w:r w:rsidRPr="00A77130">
        <w:rPr>
          <w:sz w:val="22"/>
          <w:szCs w:val="22"/>
        </w:rPr>
        <w:t>Τα ακόλουθα προϊόντα μπορούν να προκαλέσουν αύξηση της γλυκαιμίας</w:t>
      </w:r>
    </w:p>
    <w:p w:rsidR="005B6C30" w:rsidRPr="00A77130" w:rsidRDefault="005B6C30" w:rsidP="00A0347D">
      <w:pPr>
        <w:pStyle w:val="6"/>
        <w:spacing w:before="0" w:after="0"/>
        <w:rPr>
          <w:sz w:val="22"/>
          <w:szCs w:val="22"/>
          <w:lang w:val="el-GR"/>
        </w:rPr>
      </w:pPr>
      <w:r w:rsidRPr="00A77130">
        <w:rPr>
          <w:sz w:val="22"/>
          <w:szCs w:val="22"/>
          <w:lang w:val="el-GR"/>
        </w:rPr>
        <w:t>Μη συνιστώμενος συνδυασμός</w:t>
      </w:r>
    </w:p>
    <w:p w:rsidR="005B6C30" w:rsidRPr="00A77130" w:rsidRDefault="005B6C30" w:rsidP="00A0347D">
      <w:pPr>
        <w:pStyle w:val="Bullet4"/>
        <w:spacing w:before="0" w:after="0"/>
        <w:rPr>
          <w:sz w:val="22"/>
          <w:szCs w:val="22"/>
          <w:lang w:val="el-GR"/>
        </w:rPr>
      </w:pPr>
      <w:r w:rsidRPr="00A77130">
        <w:rPr>
          <w:b/>
          <w:sz w:val="22"/>
          <w:szCs w:val="22"/>
          <w:lang w:val="el-GR"/>
        </w:rPr>
        <w:t>Δαναζόλη</w:t>
      </w:r>
      <w:r w:rsidRPr="00A77130">
        <w:rPr>
          <w:sz w:val="22"/>
          <w:szCs w:val="22"/>
          <w:lang w:val="el-GR"/>
        </w:rPr>
        <w:t xml:space="preserve">: διαβητογόνος δράση της δαναζόλης. </w:t>
      </w:r>
    </w:p>
    <w:p w:rsidR="005B6C30" w:rsidRDefault="005B6C30" w:rsidP="00A0347D">
      <w:pPr>
        <w:pStyle w:val="BlockTextindent"/>
        <w:spacing w:before="0" w:after="0"/>
        <w:rPr>
          <w:sz w:val="22"/>
          <w:szCs w:val="22"/>
        </w:rPr>
      </w:pPr>
      <w:r w:rsidRPr="00A77130">
        <w:rPr>
          <w:sz w:val="22"/>
          <w:szCs w:val="22"/>
        </w:rPr>
        <w:t>Εάν δεν μπορεί να αποφευχθεί η χρήση αυτής της δραστικής ουσίας, πρέπει να προειδοποιείται ο ασθενής και να εντείνεται η παρακολούθηση της γλυκόζης στο αίμα και τα ούρα. Πιθανώς να χρειαστεί προσαρμογή της δοσολογίας του αντιδιαβητικού τόσο κατά τη διάρκεια της αγωγής με δαναζόλη όσο και μετά τη διακοπή της.</w:t>
      </w:r>
    </w:p>
    <w:p w:rsidR="006B782A" w:rsidRPr="00A77130" w:rsidRDefault="006B782A" w:rsidP="00A0347D">
      <w:pPr>
        <w:pStyle w:val="BlockTextindent"/>
        <w:spacing w:before="0" w:after="0"/>
        <w:rPr>
          <w:sz w:val="22"/>
          <w:szCs w:val="22"/>
        </w:rPr>
      </w:pPr>
    </w:p>
    <w:p w:rsidR="005B6C30" w:rsidRPr="00A77130" w:rsidRDefault="005B6C30" w:rsidP="000A2738">
      <w:pPr>
        <w:pStyle w:val="6"/>
        <w:keepNext/>
        <w:spacing w:before="0" w:after="0"/>
        <w:rPr>
          <w:sz w:val="22"/>
          <w:szCs w:val="22"/>
          <w:lang w:val="el-GR"/>
        </w:rPr>
      </w:pPr>
      <w:r w:rsidRPr="00A77130">
        <w:rPr>
          <w:sz w:val="22"/>
          <w:szCs w:val="22"/>
          <w:lang w:val="el-GR"/>
        </w:rPr>
        <w:t>Συνδυασμοί που απαιτούν προφυλάξεις κατά τη χορήγηση</w:t>
      </w:r>
    </w:p>
    <w:p w:rsidR="005B6C30" w:rsidRDefault="005B6C30" w:rsidP="000A2738">
      <w:pPr>
        <w:pStyle w:val="Bullet4"/>
        <w:keepNext/>
        <w:spacing w:before="0" w:after="0"/>
        <w:jc w:val="both"/>
        <w:rPr>
          <w:sz w:val="22"/>
          <w:szCs w:val="22"/>
          <w:lang w:val="el-GR"/>
        </w:rPr>
      </w:pPr>
      <w:r w:rsidRPr="00A77130">
        <w:rPr>
          <w:b/>
          <w:sz w:val="22"/>
          <w:szCs w:val="22"/>
          <w:lang w:val="el-GR"/>
        </w:rPr>
        <w:t xml:space="preserve">Χλωροπρομαζίνη </w:t>
      </w:r>
      <w:r w:rsidRPr="00A77130">
        <w:rPr>
          <w:sz w:val="22"/>
          <w:szCs w:val="22"/>
          <w:lang w:val="el-GR"/>
        </w:rPr>
        <w:t xml:space="preserve">(νευροληπτικό): σε μεγάλες δόσεις (&gt;100 </w:t>
      </w:r>
      <w:r w:rsidRPr="00A77130">
        <w:rPr>
          <w:sz w:val="22"/>
          <w:szCs w:val="22"/>
        </w:rPr>
        <w:t>mg</w:t>
      </w:r>
      <w:r w:rsidRPr="00A77130">
        <w:rPr>
          <w:sz w:val="22"/>
          <w:szCs w:val="22"/>
          <w:lang w:val="el-GR"/>
        </w:rPr>
        <w:t xml:space="preserve"> χλωροπρομαζίνης ημερησίως), αύξηση της γλυκαιμίας (μείωση της έκκρισης ινσουλίνης). Να προειδοποιείται ο ασθενής και να εντείνεται η παρακολούθηση της γλυκαιμίας. Πιθανώς να χρειαστεί προσαρμογή της δοσολογίας της αντιδιαβητικής δραστικής ουσίας τόσο κατά τη διάρκεια της αγωγής με το νευροληπτικό όσο και μετά τη διακοπή της.</w:t>
      </w:r>
    </w:p>
    <w:p w:rsidR="006B782A" w:rsidRPr="00A77130" w:rsidRDefault="006B782A" w:rsidP="006B782A">
      <w:pPr>
        <w:pStyle w:val="Bullet4"/>
        <w:numPr>
          <w:ilvl w:val="0"/>
          <w:numId w:val="0"/>
        </w:numPr>
        <w:spacing w:before="0" w:after="0"/>
        <w:ind w:left="907"/>
        <w:jc w:val="both"/>
        <w:rPr>
          <w:sz w:val="22"/>
          <w:szCs w:val="22"/>
          <w:lang w:val="el-GR"/>
        </w:rPr>
      </w:pPr>
    </w:p>
    <w:p w:rsidR="005B6C30" w:rsidRDefault="005B6C30" w:rsidP="00A0347D">
      <w:pPr>
        <w:pStyle w:val="Bullet4"/>
        <w:tabs>
          <w:tab w:val="clear" w:pos="927"/>
          <w:tab w:val="left" w:pos="907"/>
        </w:tabs>
        <w:spacing w:before="0" w:after="0"/>
        <w:jc w:val="both"/>
        <w:rPr>
          <w:sz w:val="22"/>
          <w:szCs w:val="22"/>
          <w:lang w:val="el-GR"/>
        </w:rPr>
      </w:pPr>
      <w:r w:rsidRPr="00A77130">
        <w:rPr>
          <w:b/>
          <w:sz w:val="22"/>
          <w:szCs w:val="22"/>
          <w:lang w:val="el-GR"/>
        </w:rPr>
        <w:t>Γλυκοκορτικοειδή</w:t>
      </w:r>
      <w:r w:rsidRPr="00A0347D">
        <w:rPr>
          <w:b/>
          <w:sz w:val="22"/>
          <w:szCs w:val="22"/>
          <w:lang w:val="el-GR"/>
        </w:rPr>
        <w:t xml:space="preserve"> </w:t>
      </w:r>
      <w:r w:rsidRPr="00A0347D">
        <w:rPr>
          <w:sz w:val="22"/>
          <w:szCs w:val="22"/>
          <w:lang w:val="el-GR"/>
        </w:rPr>
        <w:t xml:space="preserve">(συστηματική και τοπική οδός: ενδοαρθρική, δερματική και ορθική χρήση) και τετρακοσακτρίνη: αύξηση της γλυκαιμίας, με πιθανή εκδήλωση κέτωσης (μείωση της ανοχής στους υδατάνθρακες εξ αιτίας των γλυκοκορτικοειδών). </w:t>
      </w:r>
      <w:r w:rsidRPr="0038495D">
        <w:rPr>
          <w:sz w:val="22"/>
          <w:szCs w:val="22"/>
          <w:lang w:val="el-GR"/>
        </w:rPr>
        <w:t xml:space="preserve">Να προειδοποιείται ο ασθενής και να εντείνεται η παρακολούθηση της γλυκαιμίας, κυρίως κατά την έναρξη της αγωγής. </w:t>
      </w:r>
      <w:r w:rsidRPr="00EB3BA7">
        <w:rPr>
          <w:sz w:val="22"/>
          <w:szCs w:val="22"/>
          <w:lang w:val="el-GR"/>
        </w:rPr>
        <w:t>Πιθανώς να χρειαστεί  προσαρμογή της δοσολογίας της αντιδιαβητικής δραστικής ουσίας τόσο κατά τη διάρκεια της αγωγής με γλυκοκορτικοειδή όσο και μετά τη διακοπή τ</w:t>
      </w:r>
      <w:r w:rsidR="00EB3BA7">
        <w:rPr>
          <w:sz w:val="22"/>
          <w:szCs w:val="22"/>
          <w:lang w:val="el-GR"/>
        </w:rPr>
        <w:t>ους</w:t>
      </w:r>
      <w:r w:rsidRPr="00EB3BA7">
        <w:rPr>
          <w:sz w:val="22"/>
          <w:szCs w:val="22"/>
          <w:lang w:val="el-GR"/>
        </w:rPr>
        <w:t>.</w:t>
      </w:r>
    </w:p>
    <w:p w:rsidR="006B782A" w:rsidRPr="00EB3BA7" w:rsidRDefault="006B782A" w:rsidP="006B782A">
      <w:pPr>
        <w:pStyle w:val="Bullet4"/>
        <w:numPr>
          <w:ilvl w:val="0"/>
          <w:numId w:val="0"/>
        </w:numPr>
        <w:spacing w:before="0" w:after="0"/>
        <w:ind w:left="907"/>
        <w:jc w:val="both"/>
        <w:rPr>
          <w:sz w:val="22"/>
          <w:szCs w:val="22"/>
          <w:lang w:val="el-GR"/>
        </w:rPr>
      </w:pPr>
    </w:p>
    <w:p w:rsidR="005B6C30" w:rsidRPr="00BC0E0C" w:rsidRDefault="005B6C30" w:rsidP="00A0347D">
      <w:pPr>
        <w:pStyle w:val="Bullet4"/>
        <w:tabs>
          <w:tab w:val="clear" w:pos="927"/>
          <w:tab w:val="left" w:pos="907"/>
        </w:tabs>
        <w:spacing w:before="0" w:after="0"/>
        <w:jc w:val="both"/>
        <w:rPr>
          <w:sz w:val="22"/>
          <w:szCs w:val="22"/>
        </w:rPr>
      </w:pPr>
      <w:r w:rsidRPr="00A0347D">
        <w:rPr>
          <w:b/>
          <w:sz w:val="22"/>
          <w:szCs w:val="22"/>
          <w:lang w:val="el-GR"/>
        </w:rPr>
        <w:t>Ριτοδρίνη, σαλβουταμόλη, τερβουταλίνη</w:t>
      </w:r>
      <w:r w:rsidRPr="00A0347D">
        <w:rPr>
          <w:sz w:val="22"/>
          <w:szCs w:val="22"/>
          <w:lang w:val="el-GR"/>
        </w:rPr>
        <w:t xml:space="preserve">: (ενδοφλέβια οδός). </w:t>
      </w:r>
      <w:r w:rsidRPr="0038495D">
        <w:rPr>
          <w:sz w:val="22"/>
          <w:szCs w:val="22"/>
          <w:lang w:val="el-GR"/>
        </w:rPr>
        <w:t xml:space="preserve">Αύξηση της γλυκαιμίας λόγω της δράσης των β-2 αγωνιστών. Να τονίζεται η σημασία της παρακολούθησης των επιπέδων γλυκόζης του αίματος. </w:t>
      </w:r>
      <w:r w:rsidRPr="00A77130">
        <w:rPr>
          <w:sz w:val="22"/>
          <w:szCs w:val="22"/>
        </w:rPr>
        <w:t>Εάν χρειάζεται, να αντικαθίσταται η αγωγή με ινσουλίνη.</w:t>
      </w:r>
    </w:p>
    <w:p w:rsidR="00126629" w:rsidRDefault="00126629" w:rsidP="00BC0E0C">
      <w:pPr>
        <w:pStyle w:val="af0"/>
        <w:rPr>
          <w:sz w:val="22"/>
          <w:szCs w:val="22"/>
        </w:rPr>
      </w:pPr>
    </w:p>
    <w:p w:rsidR="00126629" w:rsidRPr="00BC0E0C" w:rsidRDefault="00126629" w:rsidP="00A0347D">
      <w:pPr>
        <w:pStyle w:val="Bullet4"/>
        <w:tabs>
          <w:tab w:val="clear" w:pos="927"/>
          <w:tab w:val="left" w:pos="907"/>
        </w:tabs>
        <w:spacing w:before="0" w:after="0"/>
        <w:jc w:val="both"/>
        <w:rPr>
          <w:sz w:val="22"/>
          <w:szCs w:val="22"/>
          <w:lang w:val="el-GR"/>
        </w:rPr>
      </w:pPr>
      <w:r>
        <w:rPr>
          <w:sz w:val="22"/>
          <w:szCs w:val="22"/>
          <w:lang w:val="el-GR"/>
        </w:rPr>
        <w:t xml:space="preserve">Παρασκευάσματα </w:t>
      </w:r>
      <w:r>
        <w:rPr>
          <w:sz w:val="22"/>
          <w:szCs w:val="22"/>
          <w:lang w:val="en-US"/>
        </w:rPr>
        <w:t>St</w:t>
      </w:r>
      <w:r w:rsidRPr="00BC0E0C">
        <w:rPr>
          <w:sz w:val="22"/>
          <w:szCs w:val="22"/>
          <w:lang w:val="el-GR"/>
        </w:rPr>
        <w:t xml:space="preserve">. </w:t>
      </w:r>
      <w:r>
        <w:rPr>
          <w:sz w:val="22"/>
          <w:szCs w:val="22"/>
        </w:rPr>
        <w:t>John</w:t>
      </w:r>
      <w:r w:rsidRPr="00BC0E0C">
        <w:rPr>
          <w:sz w:val="22"/>
          <w:szCs w:val="22"/>
          <w:lang w:val="el-GR"/>
        </w:rPr>
        <w:t>’</w:t>
      </w:r>
      <w:r>
        <w:rPr>
          <w:sz w:val="22"/>
          <w:szCs w:val="22"/>
        </w:rPr>
        <w:t>s</w:t>
      </w:r>
      <w:r w:rsidRPr="00BC0E0C">
        <w:rPr>
          <w:sz w:val="22"/>
          <w:szCs w:val="22"/>
          <w:lang w:val="el-GR"/>
        </w:rPr>
        <w:t xml:space="preserve"> </w:t>
      </w:r>
      <w:r>
        <w:rPr>
          <w:sz w:val="22"/>
          <w:szCs w:val="22"/>
        </w:rPr>
        <w:t>Wort</w:t>
      </w:r>
      <w:r w:rsidRPr="00BC0E0C">
        <w:rPr>
          <w:sz w:val="22"/>
          <w:szCs w:val="22"/>
          <w:lang w:val="el-GR"/>
        </w:rPr>
        <w:t xml:space="preserve"> (</w:t>
      </w:r>
      <w:r w:rsidRPr="00BC0E0C">
        <w:rPr>
          <w:i/>
          <w:sz w:val="22"/>
          <w:szCs w:val="22"/>
          <w:lang w:val="el-GR"/>
        </w:rPr>
        <w:t>Υπερικόν το διάτρητον)</w:t>
      </w:r>
      <w:r>
        <w:rPr>
          <w:sz w:val="22"/>
          <w:szCs w:val="22"/>
          <w:lang w:val="el-GR"/>
        </w:rPr>
        <w:t xml:space="preserve">: η έκθεση στη γλικλαζίδη μειώνεται από το </w:t>
      </w:r>
      <w:r>
        <w:rPr>
          <w:sz w:val="22"/>
          <w:szCs w:val="22"/>
          <w:lang w:val="en-US"/>
        </w:rPr>
        <w:t>St</w:t>
      </w:r>
      <w:r w:rsidRPr="009F4984">
        <w:rPr>
          <w:sz w:val="22"/>
          <w:szCs w:val="22"/>
          <w:lang w:val="el-GR"/>
        </w:rPr>
        <w:t xml:space="preserve">. </w:t>
      </w:r>
      <w:r>
        <w:rPr>
          <w:sz w:val="22"/>
          <w:szCs w:val="22"/>
        </w:rPr>
        <w:t>John</w:t>
      </w:r>
      <w:r w:rsidRPr="009F4984">
        <w:rPr>
          <w:sz w:val="22"/>
          <w:szCs w:val="22"/>
          <w:lang w:val="el-GR"/>
        </w:rPr>
        <w:t>’</w:t>
      </w:r>
      <w:r>
        <w:rPr>
          <w:sz w:val="22"/>
          <w:szCs w:val="22"/>
        </w:rPr>
        <w:t>s</w:t>
      </w:r>
      <w:r w:rsidRPr="009F4984">
        <w:rPr>
          <w:sz w:val="22"/>
          <w:szCs w:val="22"/>
          <w:lang w:val="el-GR"/>
        </w:rPr>
        <w:t xml:space="preserve"> </w:t>
      </w:r>
      <w:r>
        <w:rPr>
          <w:sz w:val="22"/>
          <w:szCs w:val="22"/>
        </w:rPr>
        <w:t>Wort</w:t>
      </w:r>
      <w:r w:rsidRPr="009F4984">
        <w:rPr>
          <w:sz w:val="22"/>
          <w:szCs w:val="22"/>
          <w:lang w:val="el-GR"/>
        </w:rPr>
        <w:t xml:space="preserve"> (</w:t>
      </w:r>
      <w:r w:rsidRPr="00BC0E0C">
        <w:rPr>
          <w:i/>
          <w:sz w:val="22"/>
          <w:szCs w:val="22"/>
          <w:lang w:val="el-GR"/>
        </w:rPr>
        <w:t>Υπερικόν το διάτρητον</w:t>
      </w:r>
      <w:r>
        <w:rPr>
          <w:sz w:val="22"/>
          <w:szCs w:val="22"/>
          <w:lang w:val="el-GR"/>
        </w:rPr>
        <w:t>). Πρέπει να τονίζεται η σημαντικότητα της παρακολούθησης των επιπέδων γλυκόζης στο αίμα.</w:t>
      </w:r>
    </w:p>
    <w:p w:rsidR="00223D9D" w:rsidRDefault="00223D9D" w:rsidP="00BC0E0C">
      <w:pPr>
        <w:widowControl w:val="0"/>
        <w:spacing w:after="120" w:line="260" w:lineRule="exact"/>
        <w:ind w:left="567"/>
        <w:jc w:val="both"/>
        <w:rPr>
          <w:u w:val="single"/>
          <w:lang w:val="el-GR"/>
        </w:rPr>
      </w:pPr>
    </w:p>
    <w:p w:rsidR="00223D9D" w:rsidRPr="00BC0E0C" w:rsidRDefault="00223D9D" w:rsidP="00BC0E0C">
      <w:pPr>
        <w:widowControl w:val="0"/>
        <w:spacing w:after="120" w:line="260" w:lineRule="exact"/>
        <w:ind w:left="567"/>
        <w:jc w:val="both"/>
        <w:rPr>
          <w:sz w:val="22"/>
          <w:szCs w:val="22"/>
          <w:u w:val="single"/>
          <w:lang w:val="el-GR"/>
        </w:rPr>
      </w:pPr>
      <w:r w:rsidRPr="00BC0E0C">
        <w:rPr>
          <w:sz w:val="22"/>
          <w:szCs w:val="22"/>
          <w:u w:val="single"/>
          <w:lang w:val="el-GR"/>
        </w:rPr>
        <w:t xml:space="preserve">Τα παρακάτω προϊόντα μπορεί να προκαλέσουν δυσγλυκαιμία </w:t>
      </w:r>
    </w:p>
    <w:p w:rsidR="00223D9D" w:rsidRPr="00A77130" w:rsidRDefault="00223D9D" w:rsidP="00223D9D">
      <w:pPr>
        <w:pStyle w:val="6"/>
        <w:keepNext/>
        <w:spacing w:before="0" w:after="0"/>
        <w:rPr>
          <w:sz w:val="22"/>
          <w:szCs w:val="22"/>
          <w:lang w:val="el-GR"/>
        </w:rPr>
      </w:pPr>
      <w:r w:rsidRPr="00A77130">
        <w:rPr>
          <w:sz w:val="22"/>
          <w:szCs w:val="22"/>
          <w:lang w:val="el-GR"/>
        </w:rPr>
        <w:t>Συνδυασμοί που απαιτούν προφυλάξεις κατά τη χορήγηση</w:t>
      </w:r>
    </w:p>
    <w:p w:rsidR="00223D9D" w:rsidRPr="00814CAC" w:rsidRDefault="00814CAC" w:rsidP="00BC0E0C">
      <w:pPr>
        <w:pStyle w:val="Number1"/>
        <w:numPr>
          <w:ilvl w:val="0"/>
          <w:numId w:val="34"/>
        </w:numPr>
        <w:rPr>
          <w:sz w:val="22"/>
          <w:szCs w:val="22"/>
        </w:rPr>
      </w:pPr>
      <w:r>
        <w:rPr>
          <w:b/>
          <w:sz w:val="22"/>
          <w:szCs w:val="22"/>
        </w:rPr>
        <w:t>Φλουοροκινολόνες</w:t>
      </w:r>
      <w:r w:rsidR="00223D9D" w:rsidRPr="00BC0E0C">
        <w:rPr>
          <w:b/>
          <w:sz w:val="22"/>
          <w:szCs w:val="22"/>
          <w:lang w:val="es-US"/>
        </w:rPr>
        <w:t>:</w:t>
      </w:r>
      <w:r w:rsidR="00223D9D" w:rsidRPr="00BC0E0C">
        <w:rPr>
          <w:sz w:val="22"/>
          <w:szCs w:val="22"/>
        </w:rPr>
        <w:t xml:space="preserve"> </w:t>
      </w:r>
      <w:r>
        <w:rPr>
          <w:sz w:val="22"/>
          <w:szCs w:val="22"/>
        </w:rPr>
        <w:t>σε</w:t>
      </w:r>
      <w:r w:rsidRPr="00814CAC">
        <w:rPr>
          <w:sz w:val="22"/>
          <w:szCs w:val="22"/>
        </w:rPr>
        <w:t xml:space="preserve"> </w:t>
      </w:r>
      <w:r>
        <w:rPr>
          <w:sz w:val="22"/>
          <w:szCs w:val="22"/>
        </w:rPr>
        <w:t>περίπτωση</w:t>
      </w:r>
      <w:r w:rsidRPr="00814CAC">
        <w:rPr>
          <w:sz w:val="22"/>
          <w:szCs w:val="22"/>
        </w:rPr>
        <w:t xml:space="preserve"> </w:t>
      </w:r>
      <w:r>
        <w:rPr>
          <w:sz w:val="22"/>
          <w:szCs w:val="22"/>
        </w:rPr>
        <w:t>ταυτόχρονης</w:t>
      </w:r>
      <w:r w:rsidRPr="00814CAC">
        <w:rPr>
          <w:sz w:val="22"/>
          <w:szCs w:val="22"/>
        </w:rPr>
        <w:t xml:space="preserve"> </w:t>
      </w:r>
      <w:r>
        <w:rPr>
          <w:sz w:val="22"/>
          <w:szCs w:val="22"/>
        </w:rPr>
        <w:t>χορήγησης</w:t>
      </w:r>
      <w:r w:rsidRPr="00814CAC">
        <w:rPr>
          <w:sz w:val="22"/>
          <w:szCs w:val="22"/>
        </w:rPr>
        <w:t xml:space="preserve"> </w:t>
      </w:r>
      <w:r>
        <w:rPr>
          <w:sz w:val="22"/>
          <w:szCs w:val="22"/>
        </w:rPr>
        <w:t>του</w:t>
      </w:r>
      <w:r w:rsidR="00223D9D" w:rsidRPr="00BC0E0C">
        <w:rPr>
          <w:sz w:val="22"/>
          <w:szCs w:val="22"/>
        </w:rPr>
        <w:t xml:space="preserve"> </w:t>
      </w:r>
      <w:r w:rsidR="00223D9D" w:rsidRPr="00BC0E0C">
        <w:rPr>
          <w:sz w:val="22"/>
          <w:szCs w:val="22"/>
          <w:lang w:val="en-US"/>
        </w:rPr>
        <w:t>DIAMICRON</w:t>
      </w:r>
      <w:r w:rsidR="00223D9D" w:rsidRPr="00BC0E0C">
        <w:rPr>
          <w:sz w:val="22"/>
          <w:szCs w:val="22"/>
        </w:rPr>
        <w:t xml:space="preserve"> 60</w:t>
      </w:r>
      <w:r w:rsidR="00223D9D" w:rsidRPr="00BC0E0C">
        <w:rPr>
          <w:sz w:val="22"/>
          <w:szCs w:val="22"/>
          <w:lang w:val="en-US"/>
        </w:rPr>
        <w:t> mg</w:t>
      </w:r>
      <w:r w:rsidR="00223D9D" w:rsidRPr="00BC0E0C">
        <w:rPr>
          <w:sz w:val="22"/>
          <w:szCs w:val="22"/>
        </w:rPr>
        <w:t xml:space="preserve"> </w:t>
      </w:r>
      <w:r>
        <w:rPr>
          <w:sz w:val="22"/>
          <w:szCs w:val="22"/>
        </w:rPr>
        <w:t>και μιας φλουοροκινολόνης</w:t>
      </w:r>
      <w:r w:rsidR="00223D9D" w:rsidRPr="00BC0E0C">
        <w:rPr>
          <w:sz w:val="22"/>
          <w:szCs w:val="22"/>
        </w:rPr>
        <w:t xml:space="preserve">, </w:t>
      </w:r>
      <w:r>
        <w:rPr>
          <w:sz w:val="22"/>
          <w:szCs w:val="22"/>
        </w:rPr>
        <w:t>ο ασθενής πρέπει να προειδοποιείται για τον κίνδυνο της δυσγλυκαιμίας</w:t>
      </w:r>
      <w:r w:rsidR="00223D9D" w:rsidRPr="00BC0E0C">
        <w:rPr>
          <w:sz w:val="22"/>
          <w:szCs w:val="22"/>
        </w:rPr>
        <w:t xml:space="preserve">, </w:t>
      </w:r>
      <w:r>
        <w:rPr>
          <w:sz w:val="22"/>
          <w:szCs w:val="22"/>
        </w:rPr>
        <w:t>και πρέπει να τονίζεται η σημαντικότητα της παρακολούθησης της γλυκόζης αίματος.</w:t>
      </w:r>
    </w:p>
    <w:p w:rsidR="00BC0E0C" w:rsidRDefault="00BC0E0C">
      <w:pPr>
        <w:spacing w:before="0" w:after="0"/>
        <w:rPr>
          <w:sz w:val="22"/>
          <w:szCs w:val="22"/>
          <w:u w:val="single"/>
          <w:lang w:val="el-GR"/>
        </w:rPr>
      </w:pPr>
      <w:r w:rsidRPr="00924E79">
        <w:rPr>
          <w:sz w:val="22"/>
          <w:szCs w:val="22"/>
          <w:lang w:val="el-GR"/>
        </w:rPr>
        <w:br w:type="page"/>
      </w:r>
    </w:p>
    <w:p w:rsidR="005B6C30" w:rsidRPr="00A77130" w:rsidRDefault="005B6C30" w:rsidP="00BC0E0C">
      <w:pPr>
        <w:pStyle w:val="Number1"/>
        <w:numPr>
          <w:ilvl w:val="0"/>
          <w:numId w:val="0"/>
        </w:numPr>
        <w:ind w:left="567"/>
        <w:rPr>
          <w:sz w:val="22"/>
          <w:szCs w:val="22"/>
        </w:rPr>
      </w:pPr>
      <w:r w:rsidRPr="00A77130">
        <w:rPr>
          <w:sz w:val="22"/>
          <w:szCs w:val="22"/>
        </w:rPr>
        <w:lastRenderedPageBreak/>
        <w:t>Συνδυασμός που πρέπει να λαμβάνεται υπόψη:</w:t>
      </w:r>
    </w:p>
    <w:p w:rsidR="005B6C30" w:rsidRPr="00A77130" w:rsidRDefault="005B6C30" w:rsidP="00BC0E0C">
      <w:pPr>
        <w:pStyle w:val="Bullet4"/>
        <w:numPr>
          <w:ilvl w:val="0"/>
          <w:numId w:val="34"/>
        </w:numPr>
        <w:spacing w:before="0" w:after="0"/>
        <w:jc w:val="both"/>
        <w:rPr>
          <w:sz w:val="22"/>
          <w:szCs w:val="22"/>
          <w:lang w:val="el-GR"/>
        </w:rPr>
      </w:pPr>
      <w:r w:rsidRPr="00A77130">
        <w:rPr>
          <w:b/>
          <w:sz w:val="22"/>
          <w:szCs w:val="22"/>
          <w:lang w:val="el-GR"/>
        </w:rPr>
        <w:t>Αγωγή με αντιπηκτικά</w:t>
      </w:r>
      <w:r w:rsidRPr="00A77130">
        <w:rPr>
          <w:sz w:val="22"/>
          <w:szCs w:val="22"/>
          <w:lang w:val="el-GR"/>
        </w:rPr>
        <w:t xml:space="preserve"> (βαρφαρίνη κλπ)</w:t>
      </w:r>
    </w:p>
    <w:p w:rsidR="005B6C30" w:rsidRPr="00A77130" w:rsidRDefault="005B6C30" w:rsidP="00A0347D">
      <w:pPr>
        <w:pStyle w:val="BlockTextindent"/>
        <w:spacing w:before="0" w:after="0"/>
        <w:rPr>
          <w:sz w:val="22"/>
          <w:szCs w:val="22"/>
        </w:rPr>
      </w:pPr>
      <w:r w:rsidRPr="00A77130">
        <w:rPr>
          <w:sz w:val="22"/>
          <w:szCs w:val="22"/>
        </w:rPr>
        <w:t>Οι σουλφονυλουρίες μπορεί να προκαλέσουν ενίσχυση της αντιπηκτικής δράσης κατά τη συγχορήγηση.</w:t>
      </w:r>
    </w:p>
    <w:p w:rsidR="005B6C30" w:rsidRPr="00A77130" w:rsidRDefault="005B6C30" w:rsidP="00A0347D">
      <w:pPr>
        <w:pStyle w:val="BlockTextindent"/>
        <w:spacing w:before="0" w:after="0"/>
        <w:rPr>
          <w:sz w:val="22"/>
          <w:szCs w:val="22"/>
        </w:rPr>
      </w:pPr>
      <w:r w:rsidRPr="00A77130">
        <w:rPr>
          <w:sz w:val="22"/>
          <w:szCs w:val="22"/>
        </w:rPr>
        <w:t>Πιθανώς να χρειαστεί προσαρμογή της δόσης του αντιπηκτικού.</w:t>
      </w:r>
    </w:p>
    <w:p w:rsidR="005B6C30" w:rsidRPr="00A77130" w:rsidRDefault="006B782A" w:rsidP="0025183E">
      <w:pPr>
        <w:pStyle w:val="2"/>
        <w:rPr>
          <w:sz w:val="22"/>
          <w:szCs w:val="22"/>
        </w:rPr>
      </w:pPr>
      <w:r>
        <w:rPr>
          <w:sz w:val="22"/>
          <w:szCs w:val="22"/>
        </w:rPr>
        <w:t>Γονιμότητα, κ</w:t>
      </w:r>
      <w:r w:rsidR="005B6C30" w:rsidRPr="00A77130">
        <w:rPr>
          <w:sz w:val="22"/>
          <w:szCs w:val="22"/>
        </w:rPr>
        <w:t>ύηση και γαλουχία</w:t>
      </w:r>
    </w:p>
    <w:p w:rsidR="000A2738" w:rsidRPr="00BC0E0C" w:rsidRDefault="006B782A" w:rsidP="00A0347D">
      <w:pPr>
        <w:pStyle w:val="a8"/>
        <w:spacing w:before="0" w:after="0"/>
        <w:rPr>
          <w:sz w:val="22"/>
          <w:szCs w:val="22"/>
          <w:u w:val="single"/>
          <w:lang w:val="en-US"/>
        </w:rPr>
      </w:pPr>
      <w:r w:rsidRPr="00BC0E0C">
        <w:rPr>
          <w:sz w:val="22"/>
          <w:szCs w:val="22"/>
          <w:u w:val="single"/>
        </w:rPr>
        <w:t>Εγκυμοσύνη</w:t>
      </w:r>
    </w:p>
    <w:p w:rsidR="005B6C30" w:rsidRDefault="00097E23" w:rsidP="00924E79">
      <w:pPr>
        <w:pStyle w:val="a8"/>
        <w:spacing w:before="0" w:after="0"/>
        <w:rPr>
          <w:sz w:val="22"/>
          <w:szCs w:val="22"/>
        </w:rPr>
      </w:pPr>
      <w:r w:rsidRPr="00BC0E0C">
        <w:rPr>
          <w:bCs/>
          <w:sz w:val="22"/>
          <w:szCs w:val="22"/>
        </w:rPr>
        <w:t xml:space="preserve">Δεν υπάρχουν </w:t>
      </w:r>
      <w:r w:rsidR="00727FD8">
        <w:rPr>
          <w:sz w:val="22"/>
          <w:szCs w:val="22"/>
        </w:rPr>
        <w:t xml:space="preserve">ή τα δεδομένα είναι περιορισμένα </w:t>
      </w:r>
      <w:r w:rsidRPr="00BC0E0C">
        <w:rPr>
          <w:bCs/>
          <w:sz w:val="22"/>
          <w:szCs w:val="22"/>
        </w:rPr>
        <w:t xml:space="preserve">(λιγότερες από 300 εκβάσεις κύησης) για τη χρήση </w:t>
      </w:r>
      <w:r w:rsidR="005B6C30" w:rsidRPr="00A77130">
        <w:rPr>
          <w:sz w:val="22"/>
          <w:szCs w:val="22"/>
        </w:rPr>
        <w:t xml:space="preserve">της γλικλαζίδης </w:t>
      </w:r>
      <w:r w:rsidR="00924E79">
        <w:rPr>
          <w:sz w:val="22"/>
          <w:szCs w:val="22"/>
        </w:rPr>
        <w:t xml:space="preserve">σε </w:t>
      </w:r>
      <w:r w:rsidR="00727FD8">
        <w:rPr>
          <w:sz w:val="22"/>
          <w:szCs w:val="22"/>
        </w:rPr>
        <w:t xml:space="preserve">έγκυες γυναίκες </w:t>
      </w:r>
      <w:r w:rsidR="005B6C30" w:rsidRPr="00A77130">
        <w:rPr>
          <w:sz w:val="22"/>
          <w:szCs w:val="22"/>
        </w:rPr>
        <w:t>, παρ’ όλο που υπάρχουν κάποια στοιχεία για άλλες σουλφονυλουρίες.</w:t>
      </w:r>
      <w:r w:rsidR="00924E79">
        <w:rPr>
          <w:sz w:val="22"/>
          <w:szCs w:val="22"/>
        </w:rPr>
        <w:t xml:space="preserve"> </w:t>
      </w:r>
      <w:r w:rsidR="005B6C30" w:rsidRPr="00A77130">
        <w:rPr>
          <w:sz w:val="22"/>
          <w:szCs w:val="22"/>
        </w:rPr>
        <w:t>Σε μελέτες πειραματοζώων, η γλικλαζίδη δεν προκαλεί τερατογένεση</w:t>
      </w:r>
      <w:r>
        <w:rPr>
          <w:sz w:val="22"/>
          <w:szCs w:val="22"/>
        </w:rPr>
        <w:t xml:space="preserve"> (βλ. παράγραφο 5.3)</w:t>
      </w:r>
      <w:r w:rsidR="005B6C30" w:rsidRPr="00A77130">
        <w:rPr>
          <w:sz w:val="22"/>
          <w:szCs w:val="22"/>
        </w:rPr>
        <w:t>.</w:t>
      </w:r>
    </w:p>
    <w:p w:rsidR="00DC58B6" w:rsidRDefault="00DC58B6" w:rsidP="00A0347D">
      <w:pPr>
        <w:pStyle w:val="a8"/>
        <w:spacing w:before="0" w:after="0"/>
        <w:rPr>
          <w:sz w:val="22"/>
          <w:szCs w:val="22"/>
        </w:rPr>
      </w:pPr>
    </w:p>
    <w:p w:rsidR="006B782A" w:rsidRPr="00A77130" w:rsidRDefault="00097E23" w:rsidP="00A0347D">
      <w:pPr>
        <w:pStyle w:val="a8"/>
        <w:spacing w:before="0" w:after="0"/>
        <w:rPr>
          <w:sz w:val="22"/>
          <w:szCs w:val="22"/>
        </w:rPr>
      </w:pPr>
      <w:r>
        <w:rPr>
          <w:sz w:val="22"/>
          <w:szCs w:val="22"/>
        </w:rPr>
        <w:t xml:space="preserve">Ως μέτρο πρόληψης, είναι προτιμότερο να αποφεύγεται η χρήση της </w:t>
      </w:r>
      <w:r w:rsidR="00727FD8">
        <w:rPr>
          <w:sz w:val="22"/>
          <w:szCs w:val="22"/>
        </w:rPr>
        <w:t>γ</w:t>
      </w:r>
      <w:r>
        <w:rPr>
          <w:sz w:val="22"/>
          <w:szCs w:val="22"/>
        </w:rPr>
        <w:t>λικλαζίδης κατά τη διάρκεια της κύησης.</w:t>
      </w:r>
    </w:p>
    <w:p w:rsidR="005B6C30" w:rsidRDefault="005B6C30" w:rsidP="00A0347D">
      <w:pPr>
        <w:pStyle w:val="a8"/>
        <w:spacing w:before="0" w:after="0"/>
        <w:rPr>
          <w:sz w:val="22"/>
          <w:szCs w:val="22"/>
        </w:rPr>
      </w:pPr>
      <w:r w:rsidRPr="00A77130">
        <w:rPr>
          <w:sz w:val="22"/>
          <w:szCs w:val="22"/>
        </w:rPr>
        <w:t>Ο διαβήτης θα πρέπει να ρυθμιστεί πριν από τη σύλληψη, ώστε να μειωθεί ο κίνδυνος συγγενών δυσπλασιών που σχετίζονται με αρρύθμιστο διαβήτη.</w:t>
      </w:r>
    </w:p>
    <w:p w:rsidR="005B6C30" w:rsidRDefault="005B6C30" w:rsidP="00A0347D">
      <w:pPr>
        <w:pStyle w:val="a8"/>
        <w:spacing w:before="0" w:after="0"/>
        <w:rPr>
          <w:sz w:val="22"/>
          <w:szCs w:val="22"/>
        </w:rPr>
      </w:pPr>
      <w:r w:rsidRPr="00A77130">
        <w:rPr>
          <w:sz w:val="22"/>
          <w:szCs w:val="22"/>
        </w:rPr>
        <w:t>Οι αντιδιαβητικοί παράγοντες από το στόμα δεν είναι κατάλληλοι, ενώ η ινσουλίνη αποτελεί το φάρμακο πρώτης επιλογής για τη θεραπευτική αγωγή του διαβήτη κατά την κύηση. Συνιστάται να γίνεται αντικατάσταση των χορηγούμενων από το στόμα αντιδιαβητικών παραγόντων με ινσουλίνη από τη στιγμή που προγραμματίζεται κύηση ή αμέσως αφού επιβεβαιωθεί η κύηση.</w:t>
      </w:r>
    </w:p>
    <w:p w:rsidR="00DC58B6" w:rsidRPr="00A77130" w:rsidRDefault="00DC58B6" w:rsidP="00A0347D">
      <w:pPr>
        <w:pStyle w:val="a8"/>
        <w:spacing w:before="0" w:after="0"/>
        <w:rPr>
          <w:sz w:val="22"/>
          <w:szCs w:val="22"/>
        </w:rPr>
      </w:pPr>
    </w:p>
    <w:p w:rsidR="000A2738" w:rsidRPr="00BC0E0C" w:rsidRDefault="006B782A" w:rsidP="00A0347D">
      <w:pPr>
        <w:pStyle w:val="a8"/>
        <w:spacing w:before="0" w:after="0"/>
        <w:rPr>
          <w:sz w:val="22"/>
          <w:szCs w:val="22"/>
          <w:u w:val="single"/>
        </w:rPr>
      </w:pPr>
      <w:r w:rsidRPr="00BC0E0C">
        <w:rPr>
          <w:sz w:val="22"/>
          <w:szCs w:val="22"/>
          <w:u w:val="single"/>
        </w:rPr>
        <w:t>Θηλασμός</w:t>
      </w:r>
    </w:p>
    <w:p w:rsidR="00727FD8" w:rsidRDefault="00727FD8" w:rsidP="00727FD8">
      <w:pPr>
        <w:pStyle w:val="a8"/>
        <w:spacing w:before="0" w:after="0"/>
        <w:rPr>
          <w:sz w:val="22"/>
          <w:szCs w:val="22"/>
        </w:rPr>
      </w:pPr>
      <w:r w:rsidRPr="00BC0E0C">
        <w:rPr>
          <w:sz w:val="22"/>
          <w:szCs w:val="22"/>
        </w:rPr>
        <w:t xml:space="preserve">Είναι άγνωστο </w:t>
      </w:r>
      <w:r w:rsidR="005B6C30" w:rsidRPr="00A77130">
        <w:rPr>
          <w:sz w:val="22"/>
          <w:szCs w:val="22"/>
        </w:rPr>
        <w:t xml:space="preserve">εάν η γλικλαζίδη ή οι μεταβολίτες της απεκκρίνονται στο </w:t>
      </w:r>
      <w:r>
        <w:rPr>
          <w:sz w:val="22"/>
          <w:szCs w:val="22"/>
        </w:rPr>
        <w:t>ανθρώπινο</w:t>
      </w:r>
      <w:r w:rsidR="005B6C30" w:rsidRPr="00A77130">
        <w:rPr>
          <w:sz w:val="22"/>
          <w:szCs w:val="22"/>
        </w:rPr>
        <w:t xml:space="preserve"> γάλα. Δεδομένου του κινδύνου εμφάνισης υπογλυκαιμίας στο νεογνό, το προϊόν </w:t>
      </w:r>
      <w:r w:rsidRPr="00BC0E0C">
        <w:rPr>
          <w:sz w:val="22"/>
          <w:szCs w:val="22"/>
        </w:rPr>
        <w:t xml:space="preserve">συνεπώς </w:t>
      </w:r>
      <w:r w:rsidR="005B6C30" w:rsidRPr="00A77130">
        <w:rPr>
          <w:sz w:val="22"/>
          <w:szCs w:val="22"/>
        </w:rPr>
        <w:t>αντενδείκνυται για μητέρες σε περίοδο γαλουχίας.</w:t>
      </w:r>
      <w:r w:rsidR="00DC58B6">
        <w:rPr>
          <w:sz w:val="22"/>
          <w:szCs w:val="22"/>
        </w:rPr>
        <w:t xml:space="preserve"> </w:t>
      </w:r>
    </w:p>
    <w:p w:rsidR="00727FD8" w:rsidRDefault="00727FD8" w:rsidP="00727FD8">
      <w:pPr>
        <w:pStyle w:val="a8"/>
        <w:spacing w:before="0" w:after="0"/>
        <w:rPr>
          <w:sz w:val="22"/>
          <w:szCs w:val="22"/>
        </w:rPr>
      </w:pPr>
      <w:r>
        <w:rPr>
          <w:sz w:val="22"/>
          <w:szCs w:val="22"/>
        </w:rPr>
        <w:t>Ο κίνδυνος για τα νεογνά/ βρέφη, δεν μπορεί να αποκλειστεί.</w:t>
      </w:r>
    </w:p>
    <w:p w:rsidR="00DC58B6" w:rsidRDefault="00DC58B6" w:rsidP="00A0347D">
      <w:pPr>
        <w:pStyle w:val="a8"/>
        <w:spacing w:before="0" w:after="0"/>
        <w:rPr>
          <w:sz w:val="22"/>
          <w:szCs w:val="22"/>
        </w:rPr>
      </w:pPr>
    </w:p>
    <w:p w:rsidR="00DC58B6" w:rsidRDefault="00DC58B6" w:rsidP="00A0347D">
      <w:pPr>
        <w:pStyle w:val="a8"/>
        <w:spacing w:before="0" w:after="0"/>
        <w:rPr>
          <w:sz w:val="22"/>
          <w:szCs w:val="22"/>
        </w:rPr>
      </w:pPr>
      <w:r>
        <w:rPr>
          <w:sz w:val="22"/>
          <w:szCs w:val="22"/>
        </w:rPr>
        <w:t xml:space="preserve">Γονιμότητα </w:t>
      </w:r>
    </w:p>
    <w:p w:rsidR="00DC58B6" w:rsidRPr="00DC58B6" w:rsidRDefault="009255C2" w:rsidP="00A0347D">
      <w:pPr>
        <w:pStyle w:val="a8"/>
        <w:spacing w:before="0" w:after="0"/>
        <w:rPr>
          <w:sz w:val="22"/>
          <w:szCs w:val="22"/>
        </w:rPr>
      </w:pPr>
      <w:r>
        <w:rPr>
          <w:sz w:val="22"/>
          <w:szCs w:val="22"/>
        </w:rPr>
        <w:t>Δ</w:t>
      </w:r>
      <w:r w:rsidR="00DC58B6" w:rsidRPr="00BC0E0C">
        <w:rPr>
          <w:sz w:val="22"/>
          <w:szCs w:val="22"/>
        </w:rPr>
        <w:t>εν έχ</w:t>
      </w:r>
      <w:r>
        <w:rPr>
          <w:sz w:val="22"/>
          <w:szCs w:val="22"/>
        </w:rPr>
        <w:t>ει</w:t>
      </w:r>
      <w:r w:rsidR="00DC58B6" w:rsidRPr="00BC0E0C">
        <w:rPr>
          <w:sz w:val="22"/>
          <w:szCs w:val="22"/>
        </w:rPr>
        <w:t xml:space="preserve"> </w:t>
      </w:r>
      <w:r w:rsidR="0004744B">
        <w:rPr>
          <w:sz w:val="22"/>
          <w:szCs w:val="22"/>
        </w:rPr>
        <w:t>κατα</w:t>
      </w:r>
      <w:r>
        <w:rPr>
          <w:sz w:val="22"/>
          <w:szCs w:val="22"/>
        </w:rPr>
        <w:t>δειχθεί</w:t>
      </w:r>
      <w:r w:rsidR="00DC58B6" w:rsidRPr="00BC0E0C">
        <w:rPr>
          <w:sz w:val="22"/>
          <w:szCs w:val="22"/>
        </w:rPr>
        <w:t xml:space="preserve"> επίδραση στη γονιμότητα </w:t>
      </w:r>
      <w:r>
        <w:rPr>
          <w:sz w:val="22"/>
          <w:szCs w:val="22"/>
        </w:rPr>
        <w:t xml:space="preserve">ή στην αναπαραγωγική ικανότητα </w:t>
      </w:r>
      <w:r w:rsidR="00DC58B6" w:rsidRPr="00BC0E0C">
        <w:rPr>
          <w:sz w:val="22"/>
          <w:szCs w:val="22"/>
        </w:rPr>
        <w:t>σε θηλυκούς και αρσενικούς αρουραίους (βλ. παράγραφο 5.3).</w:t>
      </w:r>
    </w:p>
    <w:p w:rsidR="005B6C30" w:rsidRPr="00A77130" w:rsidRDefault="000E1183" w:rsidP="0025183E">
      <w:pPr>
        <w:pStyle w:val="2"/>
        <w:rPr>
          <w:sz w:val="22"/>
          <w:szCs w:val="22"/>
        </w:rPr>
      </w:pPr>
      <w:r w:rsidRPr="000E1183">
        <w:rPr>
          <w:sz w:val="22"/>
          <w:szCs w:val="22"/>
        </w:rPr>
        <w:t>Επιδράσεις</w:t>
      </w:r>
      <w:r w:rsidR="005B6C30" w:rsidRPr="00A77130">
        <w:rPr>
          <w:sz w:val="22"/>
          <w:szCs w:val="22"/>
        </w:rPr>
        <w:t xml:space="preserve"> στην ικανότητα οδήγησης και χειρισμού μηχανημάτων </w:t>
      </w:r>
    </w:p>
    <w:p w:rsidR="005B6C30" w:rsidRPr="00A77130" w:rsidRDefault="006B782A" w:rsidP="0025183E">
      <w:pPr>
        <w:pStyle w:val="a8"/>
        <w:rPr>
          <w:sz w:val="22"/>
          <w:szCs w:val="22"/>
        </w:rPr>
      </w:pPr>
      <w:r>
        <w:rPr>
          <w:noProof/>
        </w:rPr>
        <w:t xml:space="preserve">Το </w:t>
      </w:r>
      <w:r w:rsidRPr="00227A78">
        <w:rPr>
          <w:sz w:val="22"/>
          <w:szCs w:val="22"/>
        </w:rPr>
        <w:t xml:space="preserve">DIAMICRON MR </w:t>
      </w:r>
      <w:r>
        <w:rPr>
          <w:sz w:val="22"/>
          <w:szCs w:val="22"/>
        </w:rPr>
        <w:t>6</w:t>
      </w:r>
      <w:r w:rsidRPr="00227A78">
        <w:rPr>
          <w:sz w:val="22"/>
          <w:szCs w:val="22"/>
        </w:rPr>
        <w:t>0</w:t>
      </w:r>
      <w:r>
        <w:rPr>
          <w:sz w:val="22"/>
          <w:szCs w:val="22"/>
        </w:rPr>
        <w:t xml:space="preserve"> </w:t>
      </w:r>
      <w:r>
        <w:rPr>
          <w:sz w:val="22"/>
          <w:szCs w:val="22"/>
          <w:lang w:val="en-US"/>
        </w:rPr>
        <w:t>mg</w:t>
      </w:r>
      <w:r>
        <w:rPr>
          <w:sz w:val="22"/>
          <w:szCs w:val="22"/>
        </w:rPr>
        <w:t xml:space="preserve"> </w:t>
      </w:r>
      <w:r w:rsidR="00C36FB9" w:rsidRPr="00E708FD">
        <w:rPr>
          <w:sz w:val="22"/>
          <w:szCs w:val="22"/>
        </w:rPr>
        <w:t>δεν έχει καμία ή έχει ασήμαντη επίδραση στην ικανότητα οδήγησης και χειρισμού μηχανών.</w:t>
      </w:r>
      <w:r>
        <w:rPr>
          <w:noProof/>
        </w:rPr>
        <w:t xml:space="preserve">. </w:t>
      </w:r>
      <w:r w:rsidRPr="00BC0E0C">
        <w:rPr>
          <w:noProof/>
          <w:sz w:val="22"/>
          <w:szCs w:val="22"/>
        </w:rPr>
        <w:t>Παρόλα αυτά,</w:t>
      </w:r>
      <w:r w:rsidRPr="00C36FB9">
        <w:rPr>
          <w:sz w:val="22"/>
          <w:szCs w:val="22"/>
        </w:rPr>
        <w:t xml:space="preserve">  οι</w:t>
      </w:r>
      <w:r w:rsidR="005B6C30" w:rsidRPr="00A77130">
        <w:rPr>
          <w:sz w:val="22"/>
          <w:szCs w:val="22"/>
        </w:rPr>
        <w:t xml:space="preserve"> ασθενείς πρέπει να ενημερώνονται για τα συμπτώματα της υπογλυκαιμίας και να είναι προσεκτικοί όταν οδηγούν ή χειρίζονται μηχανήματα, ιδιαίτερα κατά την έναρξη της αγωγής.</w:t>
      </w:r>
    </w:p>
    <w:p w:rsidR="005B6C30" w:rsidRPr="00A77130" w:rsidRDefault="005B6C30" w:rsidP="0025183E">
      <w:pPr>
        <w:pStyle w:val="2"/>
        <w:rPr>
          <w:sz w:val="22"/>
          <w:szCs w:val="22"/>
        </w:rPr>
      </w:pPr>
      <w:r w:rsidRPr="00A77130">
        <w:rPr>
          <w:sz w:val="22"/>
          <w:szCs w:val="22"/>
        </w:rPr>
        <w:t>Ανεπιθύμητες ενέργειες:</w:t>
      </w:r>
    </w:p>
    <w:p w:rsidR="00426CA8" w:rsidRPr="0038495D" w:rsidRDefault="00426CA8" w:rsidP="00FC08C1">
      <w:pPr>
        <w:pStyle w:val="5"/>
        <w:spacing w:before="0" w:after="0"/>
        <w:jc w:val="both"/>
        <w:rPr>
          <w:i w:val="0"/>
          <w:sz w:val="22"/>
          <w:szCs w:val="22"/>
          <w:lang w:val="el-GR"/>
        </w:rPr>
      </w:pPr>
      <w:r w:rsidRPr="00A77130">
        <w:rPr>
          <w:i w:val="0"/>
          <w:sz w:val="22"/>
          <w:szCs w:val="22"/>
          <w:lang w:val="el-GR"/>
        </w:rPr>
        <w:t xml:space="preserve">Με βάση την εμπειρία από τη γλικλαζίδη </w:t>
      </w:r>
      <w:r w:rsidR="006B782A" w:rsidRPr="00A77130">
        <w:rPr>
          <w:i w:val="0"/>
          <w:sz w:val="22"/>
          <w:szCs w:val="22"/>
          <w:lang w:val="el-GR"/>
        </w:rPr>
        <w:t>έχουν αναφερθεί</w:t>
      </w:r>
      <w:r w:rsidR="003D06D7" w:rsidRPr="00A77130">
        <w:rPr>
          <w:i w:val="0"/>
          <w:sz w:val="22"/>
          <w:szCs w:val="22"/>
          <w:lang w:val="el-GR"/>
        </w:rPr>
        <w:t xml:space="preserve"> </w:t>
      </w:r>
      <w:r w:rsidRPr="00A77130">
        <w:rPr>
          <w:i w:val="0"/>
          <w:sz w:val="22"/>
          <w:szCs w:val="22"/>
          <w:lang w:val="el-GR"/>
        </w:rPr>
        <w:t>οι ακόλουθες ανεπιθύμητες ενέργειες.</w:t>
      </w:r>
    </w:p>
    <w:p w:rsidR="005B6C30" w:rsidRPr="00BC0E0C" w:rsidRDefault="00FC08C1" w:rsidP="00FC08C1">
      <w:pPr>
        <w:pStyle w:val="5"/>
        <w:keepNext/>
        <w:spacing w:before="0" w:after="0"/>
        <w:ind w:left="0"/>
        <w:jc w:val="both"/>
        <w:rPr>
          <w:i w:val="0"/>
          <w:sz w:val="22"/>
          <w:szCs w:val="22"/>
          <w:lang w:val="el-GR"/>
        </w:rPr>
      </w:pPr>
      <w:r>
        <w:rPr>
          <w:i w:val="0"/>
          <w:sz w:val="22"/>
          <w:szCs w:val="22"/>
          <w:lang w:val="el-GR"/>
        </w:rPr>
        <w:t xml:space="preserve">          </w:t>
      </w:r>
      <w:r w:rsidR="00C36FB9">
        <w:rPr>
          <w:i w:val="0"/>
          <w:sz w:val="22"/>
          <w:szCs w:val="22"/>
          <w:lang w:val="el-GR"/>
        </w:rPr>
        <w:t>Η πιο συχνή ανεπιθύμητη ενέργεια</w:t>
      </w:r>
      <w:r w:rsidR="00C36FB9" w:rsidRPr="00C36FB9" w:rsidDel="00C36FB9">
        <w:rPr>
          <w:i w:val="0"/>
          <w:sz w:val="22"/>
          <w:szCs w:val="22"/>
          <w:lang w:val="el-GR"/>
        </w:rPr>
        <w:t xml:space="preserve"> </w:t>
      </w:r>
      <w:r w:rsidR="009255C2" w:rsidRPr="00BC0E0C">
        <w:rPr>
          <w:i w:val="0"/>
          <w:sz w:val="22"/>
          <w:szCs w:val="22"/>
          <w:lang w:val="el-GR"/>
        </w:rPr>
        <w:t>με τη γλικλαζίδη είναι η υπ</w:t>
      </w:r>
      <w:r w:rsidR="005B6C30" w:rsidRPr="00BC0E0C">
        <w:rPr>
          <w:i w:val="0"/>
          <w:sz w:val="22"/>
          <w:szCs w:val="22"/>
          <w:lang w:val="el-GR"/>
        </w:rPr>
        <w:t>ογλυκαιμία</w:t>
      </w:r>
      <w:r w:rsidR="009255C2">
        <w:rPr>
          <w:i w:val="0"/>
          <w:sz w:val="22"/>
          <w:szCs w:val="22"/>
          <w:lang w:val="el-GR"/>
        </w:rPr>
        <w:t>.</w:t>
      </w:r>
    </w:p>
    <w:p w:rsidR="005B6C30" w:rsidRPr="00A77130" w:rsidRDefault="005B6C30" w:rsidP="00FC08C1">
      <w:pPr>
        <w:pStyle w:val="a8"/>
        <w:keepNext/>
        <w:spacing w:before="0" w:after="0"/>
        <w:rPr>
          <w:sz w:val="22"/>
          <w:szCs w:val="22"/>
        </w:rPr>
      </w:pPr>
      <w:r w:rsidRPr="00A77130">
        <w:rPr>
          <w:sz w:val="22"/>
          <w:szCs w:val="22"/>
        </w:rPr>
        <w:t xml:space="preserve">Όπως συμβαίνει και με τις άλλες σουλφονυλουρίες, η θεραπευτική αγωγή με </w:t>
      </w:r>
      <w:r w:rsidRPr="00A77130">
        <w:rPr>
          <w:sz w:val="22"/>
          <w:szCs w:val="22"/>
          <w:lang w:val="en-US"/>
        </w:rPr>
        <w:t>DIAMICRON</w:t>
      </w:r>
      <w:r w:rsidRPr="00A77130">
        <w:rPr>
          <w:sz w:val="22"/>
          <w:szCs w:val="22"/>
        </w:rPr>
        <w:t xml:space="preserve"> </w:t>
      </w:r>
      <w:r w:rsidRPr="00A77130">
        <w:rPr>
          <w:sz w:val="22"/>
          <w:szCs w:val="22"/>
          <w:lang w:val="en-US"/>
        </w:rPr>
        <w:t>MR</w:t>
      </w:r>
      <w:r w:rsidRPr="00A77130">
        <w:rPr>
          <w:sz w:val="22"/>
          <w:szCs w:val="22"/>
        </w:rPr>
        <w:t xml:space="preserve"> μπορεί να προκαλέσει υπογλυκαιμία, εάν τα γεύματα είναι άτακτα και ιδιαίτερα εάν παραλείπονται. Τα πιθανά συμπτώματα της υπογλυκαιμίας είναι: κεφαλαλγία, έντονη πείνα, ναυτία, έμετος, ατονία, διαταραχές του ύπνου, ευερεθιστότητα, επιθετικότητα, αδυναμία συγκέντρωσης, μείωση της εγρήγορσης και επιβράδυνση των αντιδράσεων, κατάθλιψη, σύγχυση, διαταραχές της όρασης και του λόγου, αφασία, τρόμος, πάρεση, διαταραχές των αισθήσεων, ζάλη, αίσθημα αδυναμίας, απώλεια αυτοελέγχου, παραλήρημα, σπασμοί, επιπόλαιη αναπνοή, βραδυκαρδία, </w:t>
      </w:r>
      <w:r w:rsidR="002B0004" w:rsidRPr="00A77130">
        <w:rPr>
          <w:sz w:val="22"/>
          <w:szCs w:val="22"/>
        </w:rPr>
        <w:t xml:space="preserve">νωθρότητα </w:t>
      </w:r>
      <w:r w:rsidRPr="00A77130">
        <w:rPr>
          <w:sz w:val="22"/>
          <w:szCs w:val="22"/>
        </w:rPr>
        <w:t>και απώλεια συνείδησης, που πιθανά καταλήγει σε κώμα και σε θανατηφόρα έκβαση.</w:t>
      </w:r>
    </w:p>
    <w:p w:rsidR="005B6C30" w:rsidRPr="00A77130" w:rsidRDefault="005B6C30" w:rsidP="00FC08C1">
      <w:pPr>
        <w:pStyle w:val="a8"/>
        <w:spacing w:before="0" w:after="0"/>
        <w:rPr>
          <w:sz w:val="22"/>
          <w:szCs w:val="22"/>
        </w:rPr>
      </w:pPr>
      <w:r w:rsidRPr="00A77130">
        <w:rPr>
          <w:sz w:val="22"/>
          <w:szCs w:val="22"/>
        </w:rPr>
        <w:t>Επιπλέον, μπορεί να παρατηρηθούν σημεία αντισταθμιστικής αδρενεργικής ρύθμισης: εφίδρωση, υγρό δέρμα, άγχος, ταχυκαρδία, υπέρταση, αίσθημα παλμών, στηθάγχη και καρδιακές αρρυθμίες.</w:t>
      </w:r>
    </w:p>
    <w:p w:rsidR="005B6C30" w:rsidRPr="00A77130" w:rsidRDefault="005B6C30" w:rsidP="00A0347D">
      <w:pPr>
        <w:pStyle w:val="a8"/>
        <w:spacing w:before="0" w:after="0"/>
        <w:rPr>
          <w:sz w:val="22"/>
          <w:szCs w:val="22"/>
        </w:rPr>
      </w:pPr>
      <w:r w:rsidRPr="00A77130">
        <w:rPr>
          <w:sz w:val="22"/>
          <w:szCs w:val="22"/>
        </w:rPr>
        <w:lastRenderedPageBreak/>
        <w:t>Τα συμπτώματα συνήθως υποχωρούν με την λήψη υδατανθράκων (ζάχαρη). Όμως, οι τεχνητοί γλυκαντικοί παράγοντες δεν έχουν αποτέλεσμα. Η εμπειρία με άλλες σουλφονυλουρίες δείχνει ότι η υπογλυκαιμία μπορεί να επανέλθει ακόμα και όταν τα μέτρα που λαμβάνονται αποδεικνύονται αρχικώς αποτελεσματικά.</w:t>
      </w:r>
    </w:p>
    <w:p w:rsidR="005B6C30" w:rsidRPr="0038495D" w:rsidRDefault="005B6C30" w:rsidP="00A0347D">
      <w:pPr>
        <w:pStyle w:val="a8"/>
        <w:spacing w:before="0" w:after="0"/>
        <w:rPr>
          <w:sz w:val="22"/>
          <w:szCs w:val="22"/>
        </w:rPr>
      </w:pPr>
      <w:r w:rsidRPr="00A77130">
        <w:rPr>
          <w:sz w:val="22"/>
          <w:szCs w:val="22"/>
        </w:rPr>
        <w:t>Εάν ένα υπογλυκαιμικό επεισόδιο είναι σοβαρό ή μεγάλης διάρκειας, ακόμα και αν προσωρινά υποχωρήσει με την πρόσληψη ζάχαρης, απαιτείται άμεση ιατρική αντιμετώπιση ή ακόμα και νοσηλεία.</w:t>
      </w:r>
    </w:p>
    <w:p w:rsidR="006B782A" w:rsidRPr="0038495D" w:rsidRDefault="006B782A" w:rsidP="00A0347D">
      <w:pPr>
        <w:pStyle w:val="a8"/>
        <w:spacing w:before="0" w:after="0"/>
        <w:rPr>
          <w:sz w:val="22"/>
          <w:szCs w:val="22"/>
        </w:rPr>
      </w:pPr>
    </w:p>
    <w:p w:rsidR="00757BA6" w:rsidRPr="00757BA6" w:rsidRDefault="00757BA6" w:rsidP="00A0347D">
      <w:pPr>
        <w:pStyle w:val="a8"/>
        <w:spacing w:before="0" w:after="0"/>
        <w:rPr>
          <w:sz w:val="22"/>
          <w:szCs w:val="22"/>
          <w:u w:val="single"/>
        </w:rPr>
      </w:pPr>
      <w:r>
        <w:rPr>
          <w:sz w:val="22"/>
          <w:szCs w:val="22"/>
          <w:u w:val="single"/>
        </w:rPr>
        <w:t>Άλλες ανεπιθύμητες ενέργειες:</w:t>
      </w:r>
    </w:p>
    <w:p w:rsidR="005B6C30" w:rsidRPr="00A77130" w:rsidRDefault="005B6C30" w:rsidP="00A0347D">
      <w:pPr>
        <w:pStyle w:val="a8"/>
        <w:spacing w:before="0" w:after="0"/>
        <w:rPr>
          <w:sz w:val="22"/>
          <w:szCs w:val="22"/>
        </w:rPr>
      </w:pPr>
      <w:r w:rsidRPr="00A77130">
        <w:rPr>
          <w:sz w:val="22"/>
          <w:szCs w:val="22"/>
        </w:rPr>
        <w:t xml:space="preserve">Έχουν αναφερθεί γαστρεντερικές διαταραχές, συμπεριλαμβανομένων </w:t>
      </w:r>
      <w:r w:rsidR="00443D72" w:rsidRPr="00A77130">
        <w:rPr>
          <w:sz w:val="22"/>
          <w:szCs w:val="22"/>
        </w:rPr>
        <w:t xml:space="preserve">των: </w:t>
      </w:r>
      <w:r w:rsidRPr="00A77130">
        <w:rPr>
          <w:sz w:val="22"/>
          <w:szCs w:val="22"/>
        </w:rPr>
        <w:t>κοιλιακού άλγους, ναυτίας, εμέτου, δυσπεψίας, διάρροιας</w:t>
      </w:r>
      <w:r w:rsidR="00757BA6">
        <w:rPr>
          <w:sz w:val="22"/>
          <w:szCs w:val="22"/>
        </w:rPr>
        <w:t xml:space="preserve"> και</w:t>
      </w:r>
      <w:r w:rsidRPr="00A77130">
        <w:rPr>
          <w:sz w:val="22"/>
          <w:szCs w:val="22"/>
        </w:rPr>
        <w:t xml:space="preserve"> δυσκοιλιότητας. Αυτές μπορούν να αποφευχθούν ή να ελαχιστοποιηθούν εάν η γλικλαζίδη λαμβάνεται μαζί με το πρόγευμα.</w:t>
      </w:r>
    </w:p>
    <w:p w:rsidR="005B6C30" w:rsidRPr="00A77130" w:rsidRDefault="005B6C30" w:rsidP="00A0347D">
      <w:pPr>
        <w:pStyle w:val="a8"/>
        <w:spacing w:before="0" w:after="0"/>
        <w:rPr>
          <w:sz w:val="22"/>
          <w:szCs w:val="22"/>
        </w:rPr>
      </w:pPr>
      <w:r w:rsidRPr="00A77130">
        <w:rPr>
          <w:sz w:val="22"/>
          <w:szCs w:val="22"/>
        </w:rPr>
        <w:t>Πιο σπάνια έχουν αναφερθεί οι ακόλουθες ανεπιθύμητες ενέργειες:</w:t>
      </w:r>
    </w:p>
    <w:p w:rsidR="00A0347D" w:rsidRPr="0038495D" w:rsidRDefault="005B6C30" w:rsidP="00A0347D">
      <w:pPr>
        <w:pStyle w:val="Bullet4"/>
        <w:spacing w:before="0" w:after="0"/>
        <w:jc w:val="both"/>
        <w:rPr>
          <w:sz w:val="22"/>
          <w:szCs w:val="22"/>
          <w:lang w:val="el-GR"/>
        </w:rPr>
      </w:pPr>
      <w:r w:rsidRPr="00A77130">
        <w:rPr>
          <w:sz w:val="22"/>
          <w:szCs w:val="22"/>
          <w:lang w:val="el-GR"/>
        </w:rPr>
        <w:t>Διαταραχές του δέρματος και του υποδόριου ιστού: εξάνθημα, κνησμός, κνίδωση,</w:t>
      </w:r>
      <w:r w:rsidR="00A0347D" w:rsidRPr="00A0347D">
        <w:rPr>
          <w:sz w:val="22"/>
          <w:szCs w:val="22"/>
          <w:lang w:val="el-GR"/>
        </w:rPr>
        <w:t xml:space="preserve"> </w:t>
      </w:r>
      <w:r w:rsidR="00A0347D">
        <w:rPr>
          <w:sz w:val="22"/>
          <w:szCs w:val="22"/>
          <w:lang w:val="el-GR"/>
        </w:rPr>
        <w:t>αγγειοοίδημα,</w:t>
      </w:r>
      <w:r w:rsidRPr="00A77130">
        <w:rPr>
          <w:sz w:val="22"/>
          <w:szCs w:val="22"/>
          <w:lang w:val="el-GR"/>
        </w:rPr>
        <w:t xml:space="preserve"> ερύθημα, </w:t>
      </w:r>
      <w:r w:rsidR="00EE1710" w:rsidRPr="00A77130">
        <w:rPr>
          <w:sz w:val="22"/>
          <w:szCs w:val="22"/>
          <w:lang w:val="el-GR"/>
        </w:rPr>
        <w:t>κηλιδοβλατιδώδες εξάνθημα</w:t>
      </w:r>
      <w:r w:rsidRPr="00A77130">
        <w:rPr>
          <w:sz w:val="22"/>
          <w:szCs w:val="22"/>
          <w:lang w:val="el-GR"/>
        </w:rPr>
        <w:t>, πομφολυγώδεις αντιδράσεις</w:t>
      </w:r>
      <w:r w:rsidR="00A0347D" w:rsidRPr="00A0347D">
        <w:rPr>
          <w:sz w:val="22"/>
          <w:szCs w:val="22"/>
          <w:lang w:val="el-GR"/>
        </w:rPr>
        <w:t xml:space="preserve"> </w:t>
      </w:r>
      <w:r w:rsidR="00A0347D">
        <w:rPr>
          <w:sz w:val="22"/>
          <w:szCs w:val="22"/>
          <w:lang w:val="el-GR"/>
        </w:rPr>
        <w:t xml:space="preserve">(όπως το σύνδρομο </w:t>
      </w:r>
      <w:r w:rsidR="00A0347D">
        <w:rPr>
          <w:sz w:val="22"/>
          <w:szCs w:val="22"/>
          <w:lang w:val="en-US"/>
        </w:rPr>
        <w:t>Stevens</w:t>
      </w:r>
      <w:r w:rsidR="00A0347D" w:rsidRPr="00E41E0C">
        <w:rPr>
          <w:sz w:val="22"/>
          <w:szCs w:val="22"/>
          <w:lang w:val="el-GR"/>
        </w:rPr>
        <w:t xml:space="preserve"> – </w:t>
      </w:r>
      <w:r w:rsidR="00A0347D">
        <w:rPr>
          <w:sz w:val="22"/>
          <w:szCs w:val="22"/>
          <w:lang w:val="en-US"/>
        </w:rPr>
        <w:t>Johnson</w:t>
      </w:r>
      <w:r w:rsidR="00A0347D" w:rsidRPr="00E41E0C">
        <w:rPr>
          <w:sz w:val="22"/>
          <w:szCs w:val="22"/>
          <w:lang w:val="el-GR"/>
        </w:rPr>
        <w:t xml:space="preserve"> </w:t>
      </w:r>
      <w:r w:rsidR="00A0347D">
        <w:rPr>
          <w:sz w:val="22"/>
          <w:szCs w:val="22"/>
          <w:lang w:val="el-GR"/>
        </w:rPr>
        <w:t>και τοξική επιδερμική νεκρόλυση)</w:t>
      </w:r>
      <w:r w:rsidR="00575A51">
        <w:rPr>
          <w:sz w:val="22"/>
          <w:szCs w:val="22"/>
          <w:lang w:val="el-GR"/>
        </w:rPr>
        <w:t xml:space="preserve"> και κατ’ εξαίρεση </w:t>
      </w:r>
      <w:r w:rsidR="00575A51" w:rsidRPr="00575A51">
        <w:rPr>
          <w:iCs/>
          <w:sz w:val="22"/>
          <w:szCs w:val="22"/>
          <w:lang w:val="el-GR"/>
        </w:rPr>
        <w:t>φαρμακευτικό εξάνθημα με ηωσινοφιλία και συστηματικά συμπτώματα (</w:t>
      </w:r>
      <w:r w:rsidR="00575A51" w:rsidRPr="00575A51">
        <w:rPr>
          <w:iCs/>
          <w:sz w:val="22"/>
          <w:szCs w:val="22"/>
          <w:lang w:val="en-US"/>
        </w:rPr>
        <w:t>DRESS</w:t>
      </w:r>
      <w:r w:rsidR="00575A51" w:rsidRPr="00575A51">
        <w:rPr>
          <w:iCs/>
          <w:sz w:val="22"/>
          <w:szCs w:val="22"/>
          <w:lang w:val="el-GR"/>
        </w:rPr>
        <w:t>)</w:t>
      </w:r>
      <w:r w:rsidR="00575A51">
        <w:rPr>
          <w:iCs/>
          <w:sz w:val="22"/>
          <w:szCs w:val="22"/>
          <w:lang w:val="el-GR"/>
        </w:rPr>
        <w:t>.</w:t>
      </w:r>
    </w:p>
    <w:p w:rsidR="00A0347D" w:rsidRDefault="00A0347D" w:rsidP="0038495D">
      <w:pPr>
        <w:pStyle w:val="Bullet4"/>
        <w:numPr>
          <w:ilvl w:val="0"/>
          <w:numId w:val="0"/>
        </w:numPr>
        <w:spacing w:before="0" w:after="0"/>
        <w:ind w:left="907"/>
        <w:jc w:val="both"/>
        <w:rPr>
          <w:sz w:val="22"/>
          <w:szCs w:val="22"/>
          <w:lang w:val="el-GR"/>
        </w:rPr>
      </w:pPr>
    </w:p>
    <w:p w:rsidR="005B6C30" w:rsidRPr="00A77130" w:rsidRDefault="005B6C30" w:rsidP="00A0347D">
      <w:pPr>
        <w:pStyle w:val="Bullet4"/>
        <w:spacing w:before="0" w:after="0"/>
        <w:jc w:val="both"/>
        <w:rPr>
          <w:sz w:val="22"/>
          <w:szCs w:val="22"/>
          <w:lang w:val="el-GR"/>
        </w:rPr>
      </w:pPr>
      <w:r w:rsidRPr="00A77130">
        <w:rPr>
          <w:sz w:val="22"/>
          <w:szCs w:val="22"/>
          <w:lang w:val="el-GR"/>
        </w:rPr>
        <w:t>Διαταραχές του αίματος και του λεμφικού συστήματος: Οι αιματολογικές μεταβολές είναι σπάνιες. Μπορεί να περιλαμβάνουν αναιμία, λευκοπενία, θρομβοκυτταροπενία, κοκκιοκυτταροπενία. Είναι συνήθως αναστρέψιμες με τη διακοπή του φαρμάκου.</w:t>
      </w:r>
    </w:p>
    <w:p w:rsidR="005B6C30" w:rsidRPr="00A77130" w:rsidRDefault="00757BA6" w:rsidP="0025183E">
      <w:pPr>
        <w:pStyle w:val="Bullet4"/>
        <w:jc w:val="both"/>
        <w:rPr>
          <w:sz w:val="22"/>
          <w:szCs w:val="22"/>
          <w:lang w:val="el-GR"/>
        </w:rPr>
      </w:pPr>
      <w:r>
        <w:rPr>
          <w:sz w:val="22"/>
          <w:szCs w:val="22"/>
          <w:lang w:val="el-GR"/>
        </w:rPr>
        <w:t>Δ</w:t>
      </w:r>
      <w:r w:rsidR="005B6C30" w:rsidRPr="00A77130">
        <w:rPr>
          <w:sz w:val="22"/>
          <w:szCs w:val="22"/>
          <w:lang w:val="el-GR"/>
        </w:rPr>
        <w:t>ιαταραχές</w:t>
      </w:r>
      <w:r>
        <w:rPr>
          <w:sz w:val="22"/>
          <w:szCs w:val="22"/>
          <w:lang w:val="el-GR"/>
        </w:rPr>
        <w:t xml:space="preserve"> του ήπατος και των χοληφόρων</w:t>
      </w:r>
      <w:r w:rsidR="005B6C30" w:rsidRPr="00A77130">
        <w:rPr>
          <w:sz w:val="22"/>
          <w:szCs w:val="22"/>
          <w:lang w:val="el-GR"/>
        </w:rPr>
        <w:t>: αυξημένα επίπεδα ηπατικών ενζύμων (</w:t>
      </w:r>
      <w:r w:rsidR="005B6C30" w:rsidRPr="00A77130">
        <w:rPr>
          <w:sz w:val="22"/>
          <w:szCs w:val="22"/>
          <w:lang w:val="en-US"/>
        </w:rPr>
        <w:t>AST</w:t>
      </w:r>
      <w:r w:rsidR="005B6C30" w:rsidRPr="00A77130">
        <w:rPr>
          <w:sz w:val="22"/>
          <w:szCs w:val="22"/>
          <w:lang w:val="el-GR"/>
        </w:rPr>
        <w:t xml:space="preserve">, </w:t>
      </w:r>
      <w:r w:rsidR="005B6C30" w:rsidRPr="00A77130">
        <w:rPr>
          <w:sz w:val="22"/>
          <w:szCs w:val="22"/>
          <w:lang w:val="en-US"/>
        </w:rPr>
        <w:t>ALT</w:t>
      </w:r>
      <w:r w:rsidR="005B6C30" w:rsidRPr="00A77130">
        <w:rPr>
          <w:sz w:val="22"/>
          <w:szCs w:val="22"/>
          <w:lang w:val="el-GR"/>
        </w:rPr>
        <w:t>, αλκαλική φωσφατάση), ηπατίτιδα (μεμονωμένες αναφορές). Συνιστάται η διακοπή της αγωγής σε περίπτωση χολοστατικού ικτέρου.</w:t>
      </w:r>
    </w:p>
    <w:p w:rsidR="005B6C30" w:rsidRPr="00A77130" w:rsidRDefault="005B6C30" w:rsidP="0025183E">
      <w:pPr>
        <w:pStyle w:val="BlockTextindent"/>
        <w:rPr>
          <w:sz w:val="22"/>
          <w:szCs w:val="22"/>
        </w:rPr>
      </w:pPr>
      <w:r w:rsidRPr="00A77130">
        <w:rPr>
          <w:sz w:val="22"/>
          <w:szCs w:val="22"/>
        </w:rPr>
        <w:t>Τα συμπτώματα αυτά συνήθως υποχωρούν με τη διακοπή της θεραπευτικής αγωγής.</w:t>
      </w:r>
    </w:p>
    <w:p w:rsidR="005B6C30" w:rsidRPr="0004744B" w:rsidRDefault="008902F0" w:rsidP="00BC0E0C">
      <w:pPr>
        <w:pStyle w:val="BlockTextindent"/>
        <w:numPr>
          <w:ilvl w:val="0"/>
          <w:numId w:val="29"/>
        </w:numPr>
        <w:rPr>
          <w:sz w:val="22"/>
          <w:szCs w:val="22"/>
        </w:rPr>
      </w:pPr>
      <w:r w:rsidRPr="008902F0">
        <w:rPr>
          <w:sz w:val="22"/>
          <w:szCs w:val="22"/>
        </w:rPr>
        <w:t>Οφθαλμικές διαταραχές</w:t>
      </w:r>
      <w:r w:rsidR="00575A51">
        <w:rPr>
          <w:sz w:val="22"/>
          <w:szCs w:val="22"/>
        </w:rPr>
        <w:t xml:space="preserve">: </w:t>
      </w:r>
      <w:r w:rsidR="00575A51" w:rsidRPr="00575A51">
        <w:rPr>
          <w:sz w:val="22"/>
          <w:szCs w:val="22"/>
        </w:rPr>
        <w:t>π</w:t>
      </w:r>
      <w:r w:rsidR="005B6C30" w:rsidRPr="00575A51">
        <w:rPr>
          <w:sz w:val="22"/>
          <w:szCs w:val="22"/>
        </w:rPr>
        <w:t>αροδικές διαταραχές της όρασης μπορεί να σημειωθούν, ιδιαίτερα κατά την έναρξη της αγωγής, λόγω των μεταβολών στα επίπεδα γλυκόζης του αίματος.</w:t>
      </w:r>
    </w:p>
    <w:p w:rsidR="00A0347D" w:rsidRPr="0038495D" w:rsidRDefault="00A0347D" w:rsidP="00A0347D">
      <w:pPr>
        <w:pStyle w:val="BlockTextindent"/>
        <w:spacing w:before="0" w:after="0"/>
        <w:rPr>
          <w:sz w:val="22"/>
          <w:szCs w:val="22"/>
        </w:rPr>
      </w:pPr>
    </w:p>
    <w:p w:rsidR="00157A89" w:rsidRPr="00BC0E0C" w:rsidRDefault="00575A51" w:rsidP="00BC0E0C">
      <w:pPr>
        <w:pStyle w:val="BlockTextindent"/>
        <w:spacing w:before="0" w:after="0"/>
        <w:ind w:left="0"/>
        <w:rPr>
          <w:sz w:val="22"/>
          <w:szCs w:val="22"/>
          <w:u w:val="single"/>
        </w:rPr>
      </w:pPr>
      <w:r>
        <w:rPr>
          <w:sz w:val="22"/>
          <w:szCs w:val="22"/>
        </w:rPr>
        <w:t xml:space="preserve">         </w:t>
      </w:r>
      <w:r w:rsidRPr="00BC0E0C">
        <w:rPr>
          <w:sz w:val="22"/>
          <w:szCs w:val="22"/>
          <w:u w:val="single"/>
        </w:rPr>
        <w:t xml:space="preserve"> </w:t>
      </w:r>
      <w:r w:rsidR="00B45C33" w:rsidRPr="00BC0E0C">
        <w:rPr>
          <w:sz w:val="22"/>
          <w:szCs w:val="22"/>
          <w:u w:val="single"/>
        </w:rPr>
        <w:t xml:space="preserve">Επιδράσεις </w:t>
      </w:r>
      <w:r w:rsidR="008606D3" w:rsidRPr="00BC0E0C">
        <w:rPr>
          <w:sz w:val="22"/>
          <w:szCs w:val="22"/>
          <w:u w:val="single"/>
        </w:rPr>
        <w:t>που αποδίδονται στη</w:t>
      </w:r>
      <w:r w:rsidR="00B45C33" w:rsidRPr="00BC0E0C">
        <w:rPr>
          <w:sz w:val="22"/>
          <w:szCs w:val="22"/>
          <w:u w:val="single"/>
        </w:rPr>
        <w:t xml:space="preserve"> φαρμακευτική κατηγορία</w:t>
      </w:r>
      <w:r w:rsidR="00157A89" w:rsidRPr="00BC0E0C">
        <w:rPr>
          <w:sz w:val="22"/>
          <w:szCs w:val="22"/>
          <w:u w:val="single"/>
        </w:rPr>
        <w:t>:</w:t>
      </w:r>
    </w:p>
    <w:p w:rsidR="005E0C0F" w:rsidRPr="00A77130" w:rsidRDefault="005E0C0F" w:rsidP="00BC0E0C">
      <w:pPr>
        <w:pStyle w:val="BlockTextindent"/>
        <w:spacing w:before="0" w:after="0"/>
        <w:ind w:left="0"/>
        <w:rPr>
          <w:sz w:val="22"/>
          <w:szCs w:val="22"/>
        </w:rPr>
      </w:pPr>
    </w:p>
    <w:p w:rsidR="005E0C0F" w:rsidRDefault="002D2196" w:rsidP="00BC0E0C">
      <w:pPr>
        <w:pStyle w:val="BlockTextindent"/>
        <w:spacing w:before="0" w:after="0"/>
        <w:ind w:left="852"/>
        <w:rPr>
          <w:sz w:val="22"/>
          <w:szCs w:val="22"/>
        </w:rPr>
      </w:pPr>
      <w:bookmarkStart w:id="1" w:name="OLE_LINK1"/>
      <w:bookmarkStart w:id="2" w:name="OLE_LINK2"/>
      <w:r>
        <w:rPr>
          <w:sz w:val="22"/>
          <w:szCs w:val="22"/>
        </w:rPr>
        <w:t xml:space="preserve">Όπως και με άλλες </w:t>
      </w:r>
      <w:r w:rsidRPr="00A77130">
        <w:rPr>
          <w:sz w:val="22"/>
          <w:szCs w:val="22"/>
        </w:rPr>
        <w:t>σουλφονυλουρίες</w:t>
      </w:r>
      <w:r>
        <w:rPr>
          <w:sz w:val="22"/>
          <w:szCs w:val="22"/>
        </w:rPr>
        <w:t>, έχουν παρατηρηθεί οι παρακάτω ανεπιθύμητες ενέργειες</w:t>
      </w:r>
      <w:r w:rsidRPr="00A2627A">
        <w:rPr>
          <w:sz w:val="22"/>
          <w:szCs w:val="22"/>
        </w:rPr>
        <w:t>:</w:t>
      </w:r>
      <w:bookmarkEnd w:id="1"/>
      <w:bookmarkEnd w:id="2"/>
      <w:r>
        <w:rPr>
          <w:sz w:val="22"/>
          <w:szCs w:val="22"/>
        </w:rPr>
        <w:t xml:space="preserve"> π</w:t>
      </w:r>
      <w:r w:rsidR="00B45C33" w:rsidRPr="00A77130">
        <w:rPr>
          <w:sz w:val="22"/>
          <w:szCs w:val="22"/>
        </w:rPr>
        <w:t>εριστατικά</w:t>
      </w:r>
      <w:r w:rsidR="008F41FB" w:rsidRPr="00A77130">
        <w:rPr>
          <w:sz w:val="22"/>
          <w:szCs w:val="22"/>
        </w:rPr>
        <w:t xml:space="preserve"> </w:t>
      </w:r>
      <w:r w:rsidR="00250CF2" w:rsidRPr="00A77130">
        <w:rPr>
          <w:sz w:val="22"/>
          <w:szCs w:val="22"/>
        </w:rPr>
        <w:t>ερυθροπενίας</w:t>
      </w:r>
      <w:r w:rsidR="00157A89" w:rsidRPr="00A77130">
        <w:rPr>
          <w:sz w:val="22"/>
          <w:szCs w:val="22"/>
        </w:rPr>
        <w:t xml:space="preserve">, </w:t>
      </w:r>
      <w:r w:rsidR="00B45C33" w:rsidRPr="00A77130">
        <w:rPr>
          <w:sz w:val="22"/>
          <w:szCs w:val="22"/>
        </w:rPr>
        <w:t>ακοκκιοκυτταραιμία</w:t>
      </w:r>
      <w:r w:rsidR="00157A89" w:rsidRPr="00A77130">
        <w:rPr>
          <w:sz w:val="22"/>
          <w:szCs w:val="22"/>
        </w:rPr>
        <w:t xml:space="preserve">, </w:t>
      </w:r>
      <w:r w:rsidR="00D35D05" w:rsidRPr="00A77130">
        <w:rPr>
          <w:sz w:val="22"/>
          <w:szCs w:val="22"/>
        </w:rPr>
        <w:t>αιμολυτική αναιμία</w:t>
      </w:r>
      <w:r w:rsidR="00157A89" w:rsidRPr="00A77130">
        <w:rPr>
          <w:sz w:val="22"/>
          <w:szCs w:val="22"/>
        </w:rPr>
        <w:t xml:space="preserve">, </w:t>
      </w:r>
      <w:r w:rsidR="00245442" w:rsidRPr="00A77130">
        <w:rPr>
          <w:sz w:val="22"/>
          <w:szCs w:val="22"/>
        </w:rPr>
        <w:t>πανκυτταροπενία</w:t>
      </w:r>
      <w:r>
        <w:rPr>
          <w:sz w:val="22"/>
          <w:szCs w:val="22"/>
        </w:rPr>
        <w:t>,</w:t>
      </w:r>
      <w:r w:rsidR="00245442" w:rsidRPr="00A77130">
        <w:rPr>
          <w:sz w:val="22"/>
          <w:szCs w:val="22"/>
        </w:rPr>
        <w:t xml:space="preserve"> </w:t>
      </w:r>
      <w:r w:rsidR="00B93D90" w:rsidRPr="00A77130">
        <w:rPr>
          <w:sz w:val="22"/>
          <w:szCs w:val="22"/>
        </w:rPr>
        <w:t>αλλεργική αγγειίτιδα</w:t>
      </w:r>
      <w:r>
        <w:rPr>
          <w:sz w:val="22"/>
          <w:szCs w:val="22"/>
        </w:rPr>
        <w:t>, υπονατριαιμία,</w:t>
      </w:r>
      <w:r w:rsidR="0041797C" w:rsidRPr="00A77130">
        <w:rPr>
          <w:sz w:val="22"/>
          <w:szCs w:val="22"/>
        </w:rPr>
        <w:t xml:space="preserve"> </w:t>
      </w:r>
      <w:r w:rsidR="00B45C33" w:rsidRPr="00A77130">
        <w:rPr>
          <w:sz w:val="22"/>
          <w:szCs w:val="22"/>
        </w:rPr>
        <w:t>α</w:t>
      </w:r>
      <w:r w:rsidR="008F41FB" w:rsidRPr="00A77130">
        <w:rPr>
          <w:sz w:val="22"/>
          <w:szCs w:val="22"/>
        </w:rPr>
        <w:t>υξημένα επίπεδα ηπατικών ενζύμων</w:t>
      </w:r>
      <w:r w:rsidR="00B45C33" w:rsidRPr="00A77130">
        <w:rPr>
          <w:sz w:val="22"/>
          <w:szCs w:val="22"/>
        </w:rPr>
        <w:t>,</w:t>
      </w:r>
      <w:r w:rsidR="008F41FB" w:rsidRPr="00A77130">
        <w:rPr>
          <w:sz w:val="22"/>
          <w:szCs w:val="22"/>
        </w:rPr>
        <w:t xml:space="preserve"> </w:t>
      </w:r>
      <w:r w:rsidR="00D35D05" w:rsidRPr="00A77130">
        <w:rPr>
          <w:sz w:val="22"/>
          <w:szCs w:val="22"/>
        </w:rPr>
        <w:t xml:space="preserve">ακόμα και διαταραχή της ηπατικής λειτουργίας (π.χ. με χολόσταση και ίκτερο) και ηπατίτιδα που υποχώρησε μετά </w:t>
      </w:r>
      <w:r w:rsidR="00A16572" w:rsidRPr="00A77130">
        <w:rPr>
          <w:sz w:val="22"/>
          <w:szCs w:val="22"/>
        </w:rPr>
        <w:t>από διακοπή της σουλφονυλουρίας ή προκάλεσ</w:t>
      </w:r>
      <w:r w:rsidR="00B45C33" w:rsidRPr="00A77130">
        <w:rPr>
          <w:sz w:val="22"/>
          <w:szCs w:val="22"/>
        </w:rPr>
        <w:t>ε</w:t>
      </w:r>
      <w:r w:rsidR="00A16572" w:rsidRPr="00A77130">
        <w:rPr>
          <w:sz w:val="22"/>
          <w:szCs w:val="22"/>
        </w:rPr>
        <w:t xml:space="preserve"> </w:t>
      </w:r>
      <w:r w:rsidR="002F44C2" w:rsidRPr="00A77130">
        <w:rPr>
          <w:sz w:val="22"/>
          <w:szCs w:val="22"/>
        </w:rPr>
        <w:t xml:space="preserve">απειλητική για τη ζωή ηπατική ανεπάρκεια </w:t>
      </w:r>
      <w:r w:rsidR="00A16572" w:rsidRPr="00A77130">
        <w:rPr>
          <w:sz w:val="22"/>
          <w:szCs w:val="22"/>
        </w:rPr>
        <w:t>σε μεμονωμένες περιπτώσεις</w:t>
      </w:r>
      <w:r w:rsidR="00E71007" w:rsidRPr="00A77130">
        <w:rPr>
          <w:sz w:val="22"/>
          <w:szCs w:val="22"/>
        </w:rPr>
        <w:t xml:space="preserve">. </w:t>
      </w:r>
    </w:p>
    <w:p w:rsidR="005E0C0F" w:rsidRDefault="005E0C0F" w:rsidP="00BC0E0C">
      <w:pPr>
        <w:pStyle w:val="BlockTextindent"/>
        <w:spacing w:before="0" w:after="0"/>
        <w:ind w:left="852"/>
        <w:rPr>
          <w:sz w:val="22"/>
          <w:szCs w:val="22"/>
        </w:rPr>
      </w:pPr>
    </w:p>
    <w:p w:rsidR="005E0C0F" w:rsidRPr="00BC0E0C" w:rsidRDefault="005E0C0F" w:rsidP="00BC0E0C">
      <w:pPr>
        <w:pStyle w:val="BlockTextindent"/>
        <w:spacing w:before="0" w:after="0"/>
        <w:ind w:left="0"/>
        <w:rPr>
          <w:b/>
          <w:sz w:val="22"/>
          <w:szCs w:val="22"/>
        </w:rPr>
      </w:pPr>
      <w:r>
        <w:rPr>
          <w:sz w:val="22"/>
          <w:szCs w:val="22"/>
        </w:rPr>
        <w:t xml:space="preserve">          </w:t>
      </w:r>
      <w:r w:rsidRPr="00BC0E0C">
        <w:rPr>
          <w:b/>
          <w:sz w:val="22"/>
          <w:szCs w:val="22"/>
        </w:rPr>
        <w:t>Αναφορά πιθανολογούμενων ανεπιθύμητων ενεργειών</w:t>
      </w:r>
    </w:p>
    <w:p w:rsidR="00C36FB9" w:rsidRPr="00AF04E0" w:rsidRDefault="005E0C0F" w:rsidP="00C36FB9">
      <w:pPr>
        <w:tabs>
          <w:tab w:val="left" w:pos="6061"/>
        </w:tabs>
        <w:spacing w:before="0" w:after="0"/>
        <w:ind w:left="720"/>
        <w:jc w:val="both"/>
        <w:rPr>
          <w:sz w:val="22"/>
          <w:lang w:val="el-GR" w:eastAsia="en-US"/>
        </w:rPr>
      </w:pPr>
      <w:r w:rsidRPr="00BC0E0C">
        <w:rPr>
          <w:sz w:val="22"/>
          <w:szCs w:val="22"/>
          <w:lang w:val="el-GR"/>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w:t>
      </w:r>
      <w:r w:rsidR="00C36FB9" w:rsidRPr="00AF04E0">
        <w:rPr>
          <w:sz w:val="22"/>
          <w:lang w:val="el-GR" w:eastAsia="en-US"/>
        </w:rPr>
        <w:t xml:space="preserve">απευθείας στον Εθνικό Οργανισμό Φαρμάκων: Μεσογείων 284 </w:t>
      </w:r>
      <w:r w:rsidR="00C36FB9" w:rsidRPr="00AF04E0">
        <w:rPr>
          <w:sz w:val="22"/>
          <w:lang w:eastAsia="en-US"/>
        </w:rPr>
        <w:t>GR</w:t>
      </w:r>
      <w:r w:rsidR="00C36FB9" w:rsidRPr="00AF04E0">
        <w:rPr>
          <w:sz w:val="22"/>
          <w:lang w:val="el-GR" w:eastAsia="en-US"/>
        </w:rPr>
        <w:t xml:space="preserve">-15562  Χολαργός, Αθήνα Τηλ: + 30 21 32040380/337 Φαξ: + 30 21 06549585  Ιστότοπος: </w:t>
      </w:r>
      <w:hyperlink r:id="rId9" w:history="1">
        <w:r w:rsidR="00C36FB9" w:rsidRPr="00AF04E0">
          <w:rPr>
            <w:color w:val="0000FF"/>
            <w:sz w:val="22"/>
            <w:lang w:eastAsia="en-US"/>
          </w:rPr>
          <w:t>http</w:t>
        </w:r>
        <w:r w:rsidR="00C36FB9" w:rsidRPr="00AF04E0">
          <w:rPr>
            <w:color w:val="0000FF"/>
            <w:sz w:val="22"/>
            <w:lang w:val="el-GR" w:eastAsia="en-US"/>
          </w:rPr>
          <w:t>://</w:t>
        </w:r>
        <w:r w:rsidR="00C36FB9" w:rsidRPr="00AF04E0">
          <w:rPr>
            <w:color w:val="0000FF"/>
            <w:sz w:val="22"/>
            <w:lang w:eastAsia="en-US"/>
          </w:rPr>
          <w:t>www</w:t>
        </w:r>
        <w:r w:rsidR="00C36FB9" w:rsidRPr="00AF04E0">
          <w:rPr>
            <w:color w:val="0000FF"/>
            <w:sz w:val="22"/>
            <w:lang w:val="el-GR" w:eastAsia="en-US"/>
          </w:rPr>
          <w:t>.</w:t>
        </w:r>
        <w:r w:rsidR="00C36FB9" w:rsidRPr="00AF04E0">
          <w:rPr>
            <w:color w:val="0000FF"/>
            <w:sz w:val="22"/>
            <w:lang w:eastAsia="en-US"/>
          </w:rPr>
          <w:t>eof</w:t>
        </w:r>
        <w:r w:rsidR="00C36FB9" w:rsidRPr="00AF04E0">
          <w:rPr>
            <w:color w:val="0000FF"/>
            <w:sz w:val="22"/>
            <w:lang w:val="el-GR" w:eastAsia="en-US"/>
          </w:rPr>
          <w:t>.</w:t>
        </w:r>
        <w:r w:rsidR="00C36FB9" w:rsidRPr="00AF04E0">
          <w:rPr>
            <w:color w:val="0000FF"/>
            <w:sz w:val="22"/>
            <w:lang w:eastAsia="en-US"/>
          </w:rPr>
          <w:t>gr</w:t>
        </w:r>
      </w:hyperlink>
      <w:r w:rsidR="00C36FB9" w:rsidRPr="00AF04E0">
        <w:rPr>
          <w:sz w:val="22"/>
          <w:lang w:val="el-GR" w:eastAsia="en-US"/>
        </w:rPr>
        <w:t>.</w:t>
      </w:r>
    </w:p>
    <w:p w:rsidR="005E0C0F" w:rsidRPr="00A77130" w:rsidRDefault="005E0C0F" w:rsidP="00BC0E0C">
      <w:pPr>
        <w:pStyle w:val="BlockTextindent"/>
        <w:rPr>
          <w:sz w:val="22"/>
          <w:szCs w:val="22"/>
        </w:rPr>
      </w:pPr>
    </w:p>
    <w:p w:rsidR="005B6C30" w:rsidRPr="00A77130" w:rsidRDefault="005B6C30" w:rsidP="0025183E">
      <w:pPr>
        <w:pStyle w:val="2"/>
        <w:rPr>
          <w:sz w:val="22"/>
          <w:szCs w:val="22"/>
        </w:rPr>
      </w:pPr>
      <w:r w:rsidRPr="00A77130">
        <w:rPr>
          <w:sz w:val="22"/>
          <w:szCs w:val="22"/>
        </w:rPr>
        <w:t>Υπερδοσολογία</w:t>
      </w:r>
    </w:p>
    <w:p w:rsidR="005B6C30" w:rsidRPr="00A77130" w:rsidRDefault="005B6C30" w:rsidP="00A0347D">
      <w:pPr>
        <w:pStyle w:val="a8"/>
        <w:spacing w:before="0" w:after="0"/>
        <w:rPr>
          <w:sz w:val="22"/>
          <w:szCs w:val="22"/>
        </w:rPr>
      </w:pPr>
      <w:r w:rsidRPr="00A77130">
        <w:rPr>
          <w:sz w:val="22"/>
          <w:szCs w:val="22"/>
        </w:rPr>
        <w:t>Η υπέρβαση της δόσης των σουλφονυλουριών μπορεί να προκαλέσει υπογλυκαιμία.</w:t>
      </w:r>
    </w:p>
    <w:p w:rsidR="005B6C30" w:rsidRPr="00A77130" w:rsidRDefault="005B6C30" w:rsidP="00A0347D">
      <w:pPr>
        <w:pStyle w:val="a8"/>
        <w:spacing w:before="0" w:after="0"/>
        <w:rPr>
          <w:sz w:val="22"/>
          <w:szCs w:val="22"/>
        </w:rPr>
      </w:pPr>
      <w:r w:rsidRPr="00A77130">
        <w:rPr>
          <w:sz w:val="22"/>
          <w:szCs w:val="22"/>
        </w:rPr>
        <w:t xml:space="preserve">Τα μέτρια συμπτώματα της υπογλυκαιμίας, χωρίς απώλεια συνείδησης ή νευρολογικά σημεία, πρέπει να αντιμετωπίζονται με πρόσληψη υδατανθράκων, προσαρμογή της δόσης και / ή αλλαγή της δίαιτας. Η </w:t>
      </w:r>
      <w:r w:rsidRPr="00757BA6">
        <w:rPr>
          <w:sz w:val="22"/>
          <w:szCs w:val="22"/>
          <w:u w:val="single"/>
        </w:rPr>
        <w:t>αυστηρή παρακολούθηση</w:t>
      </w:r>
      <w:r w:rsidRPr="00A77130">
        <w:rPr>
          <w:sz w:val="22"/>
          <w:szCs w:val="22"/>
        </w:rPr>
        <w:t xml:space="preserve"> πρέπει να συνεχίζεται μέχρι να βεβαιωθεί ο γιατρός ότι ο ασθενής βρίσκεται εκτός κινδύνου.</w:t>
      </w:r>
    </w:p>
    <w:p w:rsidR="005B6C30" w:rsidRPr="00A77130" w:rsidRDefault="005B6C30" w:rsidP="00A0347D">
      <w:pPr>
        <w:pStyle w:val="a8"/>
        <w:spacing w:before="0" w:after="0"/>
        <w:rPr>
          <w:sz w:val="22"/>
          <w:szCs w:val="22"/>
        </w:rPr>
      </w:pPr>
      <w:r w:rsidRPr="00A77130">
        <w:rPr>
          <w:sz w:val="22"/>
          <w:szCs w:val="22"/>
        </w:rPr>
        <w:lastRenderedPageBreak/>
        <w:t>Οι σοβαρές υπογλυκαιμικές αντιδράσεις με κώμα, σπασμούς ή άλλες νευρολογικές διαταραχές, είναι πιθανές και πρέπει να αντιμετωπίζονται με τη διαδικασία του επείγοντος ιατρικού περιστατικού, καθώς απαιτούν άμεση νοσηλεία.</w:t>
      </w:r>
    </w:p>
    <w:p w:rsidR="005B6C30" w:rsidRPr="00A77130" w:rsidRDefault="005B6C30" w:rsidP="00A0347D">
      <w:pPr>
        <w:pStyle w:val="a8"/>
        <w:spacing w:before="0" w:after="0"/>
        <w:rPr>
          <w:sz w:val="22"/>
          <w:szCs w:val="22"/>
        </w:rPr>
      </w:pPr>
      <w:r w:rsidRPr="00A77130">
        <w:rPr>
          <w:sz w:val="22"/>
          <w:szCs w:val="22"/>
        </w:rPr>
        <w:t xml:space="preserve">Εάν διαγνωσθεί ή υπάρχει η υποψία υπογλυκαιμικού κώματος, πρέπει να χορηγείται ταχύτατα στον ασθενή ενδοφλέβια ένεση 50 </w:t>
      </w:r>
      <w:r w:rsidRPr="00A77130">
        <w:rPr>
          <w:sz w:val="22"/>
          <w:szCs w:val="22"/>
          <w:lang w:val="en-US"/>
        </w:rPr>
        <w:t>mL</w:t>
      </w:r>
      <w:r w:rsidRPr="00A77130">
        <w:rPr>
          <w:sz w:val="22"/>
          <w:szCs w:val="22"/>
        </w:rPr>
        <w:t xml:space="preserve"> συμπυκνωμένου διαλύματος γλυκόζης (20 έως 30%). Αυτό πρέπει να ακολουθείται από συνεχή έγχυση πιο αραιού διαλύματος γλυκόζης (10%) στο ρυθμό που είναι απαραίτητος για να διατηρηθούν τα επίπεδα γλυκόζης του αίματος πάνω από 1 </w:t>
      </w:r>
      <w:r w:rsidRPr="00A77130">
        <w:rPr>
          <w:sz w:val="22"/>
          <w:szCs w:val="22"/>
          <w:lang w:val="en-US"/>
        </w:rPr>
        <w:t>g</w:t>
      </w:r>
      <w:r w:rsidRPr="00A77130">
        <w:rPr>
          <w:sz w:val="22"/>
          <w:szCs w:val="22"/>
        </w:rPr>
        <w:t>/</w:t>
      </w:r>
      <w:r w:rsidRPr="00A77130">
        <w:rPr>
          <w:sz w:val="22"/>
          <w:szCs w:val="22"/>
          <w:lang w:val="en-US"/>
        </w:rPr>
        <w:t>L</w:t>
      </w:r>
      <w:r w:rsidRPr="00A77130">
        <w:rPr>
          <w:sz w:val="22"/>
          <w:szCs w:val="22"/>
        </w:rPr>
        <w:t>. Οι ασθενείς πρέπει να παρακολουθούνται στενά και, ανάλογα με την κατάστασή τους έπειτα από αυτό, ο γιατρός αποφασίζει εάν χρειάζεται περαιτέρω παρακολούθηση.</w:t>
      </w:r>
    </w:p>
    <w:p w:rsidR="005B6C30" w:rsidRPr="00B52DFE" w:rsidRDefault="005B6C30" w:rsidP="00A0347D">
      <w:pPr>
        <w:pStyle w:val="a8"/>
        <w:spacing w:before="0" w:after="0"/>
        <w:rPr>
          <w:sz w:val="22"/>
          <w:szCs w:val="22"/>
        </w:rPr>
      </w:pPr>
      <w:r w:rsidRPr="00A77130">
        <w:rPr>
          <w:sz w:val="22"/>
          <w:szCs w:val="22"/>
        </w:rPr>
        <w:t>Η αιμοδι</w:t>
      </w:r>
      <w:r w:rsidR="00B52DFE">
        <w:rPr>
          <w:sz w:val="22"/>
          <w:szCs w:val="22"/>
        </w:rPr>
        <w:t>ύ</w:t>
      </w:r>
      <w:r w:rsidRPr="00A77130">
        <w:rPr>
          <w:sz w:val="22"/>
          <w:szCs w:val="22"/>
        </w:rPr>
        <w:t>λιση δεν ωφελεί σε αυτούς τους ασθενείς λόγω της ισχυρής σύνδεσης της γλικλαζίδης με τις πρωτεΐνες.</w:t>
      </w:r>
    </w:p>
    <w:p w:rsidR="00ED4A4D" w:rsidRPr="00B52DFE" w:rsidRDefault="00ED4A4D" w:rsidP="0025183E">
      <w:pPr>
        <w:pStyle w:val="a8"/>
        <w:rPr>
          <w:sz w:val="22"/>
          <w:szCs w:val="22"/>
        </w:rPr>
      </w:pPr>
    </w:p>
    <w:p w:rsidR="005B6C30" w:rsidRPr="00A77130" w:rsidRDefault="005B6C30" w:rsidP="0025183E">
      <w:pPr>
        <w:pStyle w:val="1"/>
        <w:rPr>
          <w:sz w:val="22"/>
          <w:szCs w:val="22"/>
        </w:rPr>
      </w:pPr>
      <w:r w:rsidRPr="00A77130">
        <w:rPr>
          <w:sz w:val="22"/>
          <w:szCs w:val="22"/>
        </w:rPr>
        <w:t>ΦΑΡΜΑΚΟΛΟΓΙΚΕΣ ΙΔΙΟΤΗΤΕΣ</w:t>
      </w:r>
    </w:p>
    <w:p w:rsidR="005B6C30" w:rsidRPr="00A77130" w:rsidRDefault="005B6C30" w:rsidP="0025183E">
      <w:pPr>
        <w:pStyle w:val="2"/>
        <w:rPr>
          <w:sz w:val="22"/>
          <w:szCs w:val="22"/>
        </w:rPr>
      </w:pPr>
      <w:r w:rsidRPr="00A77130">
        <w:rPr>
          <w:sz w:val="22"/>
          <w:szCs w:val="22"/>
        </w:rPr>
        <w:t>Φαρμακοδυναμικές ιδιότητες</w:t>
      </w:r>
    </w:p>
    <w:p w:rsidR="00157A89" w:rsidRPr="0038495D" w:rsidRDefault="00157A89" w:rsidP="00A0347D">
      <w:pPr>
        <w:pStyle w:val="a8"/>
        <w:spacing w:before="0" w:after="0"/>
        <w:rPr>
          <w:sz w:val="22"/>
          <w:szCs w:val="22"/>
        </w:rPr>
      </w:pPr>
      <w:r w:rsidRPr="00A77130" w:rsidDel="00157A89">
        <w:rPr>
          <w:sz w:val="22"/>
          <w:szCs w:val="22"/>
        </w:rPr>
        <w:t xml:space="preserve"> </w:t>
      </w:r>
      <w:r w:rsidR="00A0347D" w:rsidRPr="00F70526">
        <w:rPr>
          <w:noProof/>
          <w:sz w:val="22"/>
          <w:szCs w:val="22"/>
        </w:rPr>
        <w:t xml:space="preserve">Φαρμακοθεραπευτική κατηγορία: σουλφοναμίδια, παράγωγα ουρίας </w:t>
      </w:r>
      <w:r w:rsidR="00313E5E" w:rsidRPr="00A77130">
        <w:rPr>
          <w:sz w:val="22"/>
          <w:szCs w:val="22"/>
        </w:rPr>
        <w:t>Κωδικός ATC</w:t>
      </w:r>
      <w:r w:rsidRPr="00A77130">
        <w:rPr>
          <w:sz w:val="22"/>
          <w:szCs w:val="22"/>
        </w:rPr>
        <w:t>: A10BB09</w:t>
      </w:r>
    </w:p>
    <w:p w:rsidR="00A0347D" w:rsidRPr="0038495D" w:rsidRDefault="00A0347D" w:rsidP="00A0347D">
      <w:pPr>
        <w:pStyle w:val="a8"/>
        <w:spacing w:before="0" w:after="0"/>
        <w:rPr>
          <w:sz w:val="22"/>
          <w:szCs w:val="22"/>
        </w:rPr>
      </w:pPr>
    </w:p>
    <w:p w:rsidR="006F2D01" w:rsidRPr="006F2D01" w:rsidRDefault="006F2D01" w:rsidP="006F2D01">
      <w:pPr>
        <w:pStyle w:val="a8"/>
        <w:rPr>
          <w:sz w:val="22"/>
          <w:szCs w:val="22"/>
          <w:u w:val="single"/>
        </w:rPr>
      </w:pPr>
      <w:r w:rsidRPr="006F2D01">
        <w:rPr>
          <w:sz w:val="22"/>
          <w:szCs w:val="22"/>
          <w:u w:val="single"/>
        </w:rPr>
        <w:t xml:space="preserve">Μηχανισμός δράσης </w:t>
      </w:r>
    </w:p>
    <w:p w:rsidR="005B6C30" w:rsidRPr="00A77130" w:rsidRDefault="005B6C30" w:rsidP="00A0347D">
      <w:pPr>
        <w:pStyle w:val="a8"/>
        <w:spacing w:before="0" w:after="0"/>
        <w:rPr>
          <w:sz w:val="22"/>
          <w:szCs w:val="22"/>
        </w:rPr>
      </w:pPr>
      <w:r w:rsidRPr="00A77130">
        <w:rPr>
          <w:sz w:val="22"/>
          <w:szCs w:val="22"/>
        </w:rPr>
        <w:t>Η γλικλαζίδη είναι αντιδιαβητική δραστική ουσία που ανήκει στις σουλφονυλουρίες και χορηγείται από το στόμα, η οποία διαθέτει ετεροκυκλικό δακτύλιο αζώτου με ενδοκυκλικό δεσμό, γεγονός που τη διαφοροποιεί από τα άλλα φάρμακα της ίδιας κατηγορίας.</w:t>
      </w:r>
    </w:p>
    <w:p w:rsidR="005B6C30" w:rsidRPr="00A77130" w:rsidRDefault="005B6C30" w:rsidP="00A0347D">
      <w:pPr>
        <w:pStyle w:val="a8"/>
        <w:spacing w:before="0" w:after="0"/>
        <w:rPr>
          <w:sz w:val="22"/>
          <w:szCs w:val="22"/>
        </w:rPr>
      </w:pPr>
      <w:r w:rsidRPr="00A77130">
        <w:rPr>
          <w:sz w:val="22"/>
          <w:szCs w:val="22"/>
        </w:rPr>
        <w:t xml:space="preserve">Η γλικλαζίδη μειώνει τη γλυκόζη του αίματος διεγείροντας την έκκριση ινσουλίνης από τα β-κύτταρα των νησιδίων του </w:t>
      </w:r>
      <w:r w:rsidRPr="00A77130">
        <w:rPr>
          <w:sz w:val="22"/>
          <w:szCs w:val="22"/>
          <w:lang w:val="en-US"/>
        </w:rPr>
        <w:t>Langerhans</w:t>
      </w:r>
      <w:r w:rsidRPr="00A77130">
        <w:rPr>
          <w:sz w:val="22"/>
          <w:szCs w:val="22"/>
        </w:rPr>
        <w:t xml:space="preserve">. Αύξηση της μεταγευματικής έκκρισης ινσουλίνης και </w:t>
      </w:r>
      <w:r w:rsidRPr="00A77130">
        <w:rPr>
          <w:sz w:val="22"/>
          <w:szCs w:val="22"/>
          <w:lang w:val="en-US"/>
        </w:rPr>
        <w:t>C</w:t>
      </w:r>
      <w:r w:rsidRPr="00A77130">
        <w:rPr>
          <w:sz w:val="22"/>
          <w:szCs w:val="22"/>
        </w:rPr>
        <w:t xml:space="preserve"> πεπτιδίων εξακολουθεί να παρατηρείται μετά από 2 χρόνια αγωγής.</w:t>
      </w:r>
    </w:p>
    <w:p w:rsidR="005B6C30" w:rsidRPr="00A77130" w:rsidRDefault="005B6C30" w:rsidP="0025183E">
      <w:pPr>
        <w:pStyle w:val="a8"/>
        <w:rPr>
          <w:sz w:val="22"/>
          <w:szCs w:val="22"/>
        </w:rPr>
      </w:pPr>
      <w:r w:rsidRPr="00A77130">
        <w:rPr>
          <w:sz w:val="22"/>
          <w:szCs w:val="22"/>
        </w:rPr>
        <w:t xml:space="preserve">Εκτός από τις μεταβολικές αυτές ιδιότητες, η γλικλαζίδη διαθέτει και </w:t>
      </w:r>
      <w:r w:rsidRPr="008A1104">
        <w:rPr>
          <w:sz w:val="22"/>
          <w:szCs w:val="22"/>
        </w:rPr>
        <w:t>αιμοδυναμικές</w:t>
      </w:r>
      <w:r w:rsidRPr="00A77130">
        <w:rPr>
          <w:sz w:val="22"/>
          <w:szCs w:val="22"/>
        </w:rPr>
        <w:t xml:space="preserve"> ιδιότητες.</w:t>
      </w:r>
    </w:p>
    <w:p w:rsidR="006F2D01" w:rsidRPr="00BC0E0C" w:rsidRDefault="006F2D01" w:rsidP="006F2D01">
      <w:pPr>
        <w:pStyle w:val="3"/>
        <w:rPr>
          <w:b w:val="0"/>
          <w:sz w:val="22"/>
          <w:szCs w:val="22"/>
        </w:rPr>
      </w:pPr>
      <w:r w:rsidRPr="00BC0E0C">
        <w:rPr>
          <w:b w:val="0"/>
          <w:sz w:val="22"/>
          <w:szCs w:val="22"/>
        </w:rPr>
        <w:t>Φαρμακοδυναμικές επιδράσεις</w:t>
      </w:r>
    </w:p>
    <w:p w:rsidR="006F2D01" w:rsidRDefault="006F2D01" w:rsidP="00A0347D">
      <w:pPr>
        <w:pStyle w:val="3"/>
        <w:spacing w:before="0" w:after="0"/>
        <w:rPr>
          <w:b w:val="0"/>
          <w:sz w:val="22"/>
          <w:szCs w:val="22"/>
        </w:rPr>
      </w:pPr>
    </w:p>
    <w:p w:rsidR="005B6C30" w:rsidRPr="00A77130" w:rsidRDefault="005B6C30" w:rsidP="00A0347D">
      <w:pPr>
        <w:pStyle w:val="3"/>
        <w:spacing w:before="0" w:after="0"/>
        <w:rPr>
          <w:b w:val="0"/>
          <w:sz w:val="22"/>
          <w:szCs w:val="22"/>
        </w:rPr>
      </w:pPr>
      <w:r w:rsidRPr="00A77130">
        <w:rPr>
          <w:b w:val="0"/>
          <w:sz w:val="22"/>
          <w:szCs w:val="22"/>
        </w:rPr>
        <w:t>Επίδραση στην έκκριση ινσουλίνης</w:t>
      </w:r>
    </w:p>
    <w:p w:rsidR="005B6C30" w:rsidRPr="008A1104" w:rsidRDefault="005B6C30" w:rsidP="00A0347D">
      <w:pPr>
        <w:pStyle w:val="a8"/>
        <w:spacing w:before="0" w:after="0"/>
        <w:rPr>
          <w:sz w:val="22"/>
          <w:szCs w:val="22"/>
        </w:rPr>
      </w:pPr>
      <w:r w:rsidRPr="00A77130">
        <w:rPr>
          <w:sz w:val="22"/>
          <w:szCs w:val="22"/>
        </w:rPr>
        <w:t xml:space="preserve">Στους διαβητικούς τύπου 2, η γλικλαζίδη αποκαθιστά την πρώιμη αιχμή ινσουλινοέκκρισης, </w:t>
      </w:r>
      <w:r w:rsidR="00443D72" w:rsidRPr="00A77130">
        <w:rPr>
          <w:sz w:val="22"/>
          <w:szCs w:val="22"/>
        </w:rPr>
        <w:t xml:space="preserve">ως απάντηση στη </w:t>
      </w:r>
      <w:r w:rsidRPr="00A77130">
        <w:rPr>
          <w:sz w:val="22"/>
          <w:szCs w:val="22"/>
        </w:rPr>
        <w:t xml:space="preserve">γλυκόζη, και αυξάνει τη δεύτερη φάση ινσουλινοέκκρισης. Παρατηρείται </w:t>
      </w:r>
      <w:r w:rsidR="00443D72" w:rsidRPr="008A1104">
        <w:rPr>
          <w:sz w:val="22"/>
          <w:szCs w:val="22"/>
        </w:rPr>
        <w:t xml:space="preserve">σημαντική </w:t>
      </w:r>
      <w:r w:rsidRPr="008A1104">
        <w:rPr>
          <w:sz w:val="22"/>
          <w:szCs w:val="22"/>
        </w:rPr>
        <w:t xml:space="preserve">αύξηση της έκκρισης ινσουλίνης ως ανταπόκριση της διέγερσης που προκαλείται μετά την πρόσληψη γεύματος ή γλυκόζης. </w:t>
      </w:r>
    </w:p>
    <w:p w:rsidR="00A0347D" w:rsidRPr="008A1104" w:rsidRDefault="00A0347D" w:rsidP="00A0347D">
      <w:pPr>
        <w:pStyle w:val="a8"/>
        <w:spacing w:before="0" w:after="0"/>
        <w:rPr>
          <w:sz w:val="22"/>
          <w:szCs w:val="22"/>
        </w:rPr>
      </w:pPr>
    </w:p>
    <w:p w:rsidR="005B6C30" w:rsidRPr="00A77130" w:rsidRDefault="005B6C30" w:rsidP="00A0347D">
      <w:pPr>
        <w:pStyle w:val="3"/>
        <w:spacing w:before="0" w:after="0"/>
        <w:rPr>
          <w:b w:val="0"/>
          <w:sz w:val="22"/>
          <w:szCs w:val="22"/>
        </w:rPr>
      </w:pPr>
      <w:r w:rsidRPr="008A1104">
        <w:rPr>
          <w:b w:val="0"/>
          <w:sz w:val="22"/>
          <w:szCs w:val="22"/>
        </w:rPr>
        <w:t>Αιμοδυναμικές ιδιότητες</w:t>
      </w:r>
    </w:p>
    <w:p w:rsidR="005B6C30" w:rsidRPr="00A77130" w:rsidRDefault="005B6C30" w:rsidP="00A0347D">
      <w:pPr>
        <w:pStyle w:val="a8"/>
        <w:spacing w:before="0" w:after="0"/>
        <w:rPr>
          <w:sz w:val="22"/>
          <w:szCs w:val="22"/>
        </w:rPr>
      </w:pPr>
      <w:r w:rsidRPr="00A77130">
        <w:rPr>
          <w:sz w:val="22"/>
          <w:szCs w:val="22"/>
        </w:rPr>
        <w:t>Η γλικλαζίδη μειώνει τη μικροθρόμβωση μέσω δύο μηχανισμών που μπορεί να εμπλέκονται στις επιπλοκές του διαβήτη:</w:t>
      </w:r>
    </w:p>
    <w:p w:rsidR="005B6C30" w:rsidRPr="00A77130" w:rsidRDefault="0004744B" w:rsidP="00BC0E0C">
      <w:pPr>
        <w:pStyle w:val="Bullet3"/>
        <w:numPr>
          <w:ilvl w:val="0"/>
          <w:numId w:val="34"/>
        </w:numPr>
        <w:spacing w:before="0" w:after="0"/>
        <w:rPr>
          <w:sz w:val="22"/>
          <w:szCs w:val="22"/>
        </w:rPr>
      </w:pPr>
      <w:r>
        <w:rPr>
          <w:sz w:val="22"/>
          <w:szCs w:val="22"/>
        </w:rPr>
        <w:t>Μ</w:t>
      </w:r>
      <w:r w:rsidR="005B6C30" w:rsidRPr="00A77130">
        <w:rPr>
          <w:sz w:val="22"/>
          <w:szCs w:val="22"/>
        </w:rPr>
        <w:t>ερική αναστολή της συσσώρευσης και συγκόλλησης αιμοπεταλίων με μείωση των δεικτών ενεργοποίησης των αιμοπεταλίων (β-θρομβοσφαιρίνη, θρομβοξάνη Β</w:t>
      </w:r>
      <w:r w:rsidR="005B6C30" w:rsidRPr="00A77130">
        <w:rPr>
          <w:sz w:val="22"/>
          <w:szCs w:val="22"/>
          <w:vertAlign w:val="subscript"/>
        </w:rPr>
        <w:t>2</w:t>
      </w:r>
      <w:r w:rsidR="005B6C30" w:rsidRPr="00A77130">
        <w:rPr>
          <w:sz w:val="22"/>
          <w:szCs w:val="22"/>
        </w:rPr>
        <w:t xml:space="preserve">). </w:t>
      </w:r>
    </w:p>
    <w:p w:rsidR="005B6C30" w:rsidRPr="00A77130" w:rsidRDefault="0004744B" w:rsidP="00BC0E0C">
      <w:pPr>
        <w:pStyle w:val="Bullet3"/>
        <w:numPr>
          <w:ilvl w:val="0"/>
          <w:numId w:val="34"/>
        </w:numPr>
        <w:spacing w:before="0" w:after="0"/>
        <w:rPr>
          <w:sz w:val="22"/>
          <w:szCs w:val="22"/>
        </w:rPr>
      </w:pPr>
      <w:r>
        <w:rPr>
          <w:sz w:val="22"/>
          <w:szCs w:val="22"/>
        </w:rPr>
        <w:t>Ε</w:t>
      </w:r>
      <w:r w:rsidR="005B6C30" w:rsidRPr="00A77130">
        <w:rPr>
          <w:sz w:val="22"/>
          <w:szCs w:val="22"/>
        </w:rPr>
        <w:t xml:space="preserve">πίδραση στην ινωδολυτική δραστηριότητα του ενδοθηλίου των αγγείων </w:t>
      </w:r>
      <w:r w:rsidR="00757BA6">
        <w:rPr>
          <w:sz w:val="22"/>
          <w:szCs w:val="22"/>
        </w:rPr>
        <w:t xml:space="preserve">με </w:t>
      </w:r>
      <w:r w:rsidR="005B6C30" w:rsidRPr="00A77130">
        <w:rPr>
          <w:sz w:val="22"/>
          <w:szCs w:val="22"/>
        </w:rPr>
        <w:t xml:space="preserve">αύξηση της δραστηριότητας του </w:t>
      </w:r>
      <w:r w:rsidR="005B6C30" w:rsidRPr="00A77130">
        <w:rPr>
          <w:sz w:val="22"/>
          <w:szCs w:val="22"/>
          <w:lang w:val="en-US"/>
        </w:rPr>
        <w:t>tPA</w:t>
      </w:r>
      <w:r w:rsidR="005B6C30" w:rsidRPr="00A77130">
        <w:rPr>
          <w:sz w:val="22"/>
          <w:szCs w:val="22"/>
        </w:rPr>
        <w:t>.</w:t>
      </w:r>
    </w:p>
    <w:p w:rsidR="005B6C30" w:rsidRPr="00A77130" w:rsidRDefault="005B6C30" w:rsidP="0025183E">
      <w:pPr>
        <w:pStyle w:val="2"/>
        <w:rPr>
          <w:sz w:val="22"/>
          <w:szCs w:val="22"/>
        </w:rPr>
      </w:pPr>
      <w:r w:rsidRPr="00A77130">
        <w:rPr>
          <w:sz w:val="22"/>
          <w:szCs w:val="22"/>
        </w:rPr>
        <w:t>Φαρμακοκινητικές ιδιότητες</w:t>
      </w:r>
    </w:p>
    <w:p w:rsidR="00A0347D" w:rsidRDefault="00A0347D" w:rsidP="00A0347D">
      <w:pPr>
        <w:pStyle w:val="a8"/>
        <w:spacing w:before="0" w:after="0"/>
        <w:rPr>
          <w:noProof/>
          <w:lang w:val="en-US"/>
        </w:rPr>
      </w:pPr>
    </w:p>
    <w:p w:rsidR="00A0347D" w:rsidRPr="00BC0E0C" w:rsidRDefault="00A0347D" w:rsidP="00A0347D">
      <w:pPr>
        <w:pStyle w:val="a8"/>
        <w:spacing w:before="0" w:after="0"/>
        <w:rPr>
          <w:sz w:val="22"/>
          <w:szCs w:val="22"/>
          <w:u w:val="single"/>
          <w:lang w:val="en-US"/>
        </w:rPr>
      </w:pPr>
      <w:r w:rsidRPr="00BC0E0C">
        <w:rPr>
          <w:noProof/>
          <w:sz w:val="22"/>
          <w:szCs w:val="22"/>
          <w:u w:val="single"/>
        </w:rPr>
        <w:t>Απορρόφηση</w:t>
      </w:r>
    </w:p>
    <w:p w:rsidR="005B6C30" w:rsidRPr="00124D7C" w:rsidRDefault="005B6C30" w:rsidP="00A0347D">
      <w:pPr>
        <w:pStyle w:val="a8"/>
        <w:spacing w:before="0" w:after="0"/>
        <w:rPr>
          <w:sz w:val="22"/>
          <w:szCs w:val="22"/>
        </w:rPr>
      </w:pPr>
      <w:r w:rsidRPr="00124D7C">
        <w:rPr>
          <w:sz w:val="22"/>
          <w:szCs w:val="22"/>
        </w:rPr>
        <w:t>Η συγκέντρωση στο πλάσμα αυξάνεται προοδευτικά για έξι ώρες μετά τη χορήγηση, ενώ από την έκτη έως τη δωδέκατη ώρα η καμπύλη γίνεται επίπεδη.</w:t>
      </w:r>
    </w:p>
    <w:p w:rsidR="005B6C30" w:rsidRPr="00124D7C" w:rsidRDefault="005B6C30" w:rsidP="00A0347D">
      <w:pPr>
        <w:pStyle w:val="a8"/>
        <w:spacing w:before="0" w:after="0"/>
        <w:rPr>
          <w:sz w:val="22"/>
          <w:szCs w:val="22"/>
        </w:rPr>
      </w:pPr>
      <w:r w:rsidRPr="00124D7C">
        <w:rPr>
          <w:sz w:val="22"/>
          <w:szCs w:val="22"/>
        </w:rPr>
        <w:t>Οι διακυμάνσεις μεταξύ των ατόμων είναι μικρές.</w:t>
      </w:r>
    </w:p>
    <w:p w:rsidR="005B6C30" w:rsidRPr="00124D7C" w:rsidRDefault="005B6C30" w:rsidP="00A0347D">
      <w:pPr>
        <w:pStyle w:val="a8"/>
        <w:spacing w:before="0" w:after="0"/>
        <w:rPr>
          <w:sz w:val="22"/>
          <w:szCs w:val="22"/>
        </w:rPr>
      </w:pPr>
      <w:r w:rsidRPr="00124D7C">
        <w:rPr>
          <w:sz w:val="22"/>
          <w:szCs w:val="22"/>
        </w:rPr>
        <w:t>Η γλικλαζίδη απορροφάται πλήρως. Η πρόσληψη τροφής δεν επηρεάζει το ρυθμό ή το βαθμό απορρόφησης.</w:t>
      </w:r>
    </w:p>
    <w:p w:rsidR="00124D7C" w:rsidRPr="00BC0E0C" w:rsidRDefault="00124D7C" w:rsidP="00A0347D">
      <w:pPr>
        <w:pStyle w:val="a8"/>
        <w:spacing w:before="0" w:after="0"/>
        <w:rPr>
          <w:noProof/>
          <w:sz w:val="22"/>
          <w:szCs w:val="22"/>
        </w:rPr>
      </w:pPr>
    </w:p>
    <w:p w:rsidR="00A0347D" w:rsidRPr="00BC0E0C" w:rsidRDefault="00A0347D" w:rsidP="00A0347D">
      <w:pPr>
        <w:pStyle w:val="a8"/>
        <w:spacing w:before="0" w:after="0"/>
        <w:rPr>
          <w:sz w:val="22"/>
          <w:szCs w:val="22"/>
          <w:u w:val="single"/>
        </w:rPr>
      </w:pPr>
      <w:r w:rsidRPr="00BC0E0C">
        <w:rPr>
          <w:noProof/>
          <w:sz w:val="22"/>
          <w:szCs w:val="22"/>
          <w:u w:val="single"/>
        </w:rPr>
        <w:t>Κατανομή</w:t>
      </w:r>
    </w:p>
    <w:p w:rsidR="00A0347D" w:rsidRPr="00124D7C" w:rsidRDefault="005B6C30" w:rsidP="00A0347D">
      <w:pPr>
        <w:pStyle w:val="a8"/>
        <w:spacing w:before="0" w:after="0"/>
        <w:rPr>
          <w:sz w:val="22"/>
          <w:szCs w:val="22"/>
        </w:rPr>
      </w:pPr>
      <w:r w:rsidRPr="00124D7C">
        <w:rPr>
          <w:sz w:val="22"/>
          <w:szCs w:val="22"/>
        </w:rPr>
        <w:lastRenderedPageBreak/>
        <w:t>Η σύνδεση με τις πρωτεΐνες του πλάσματος είναι περίπου 95%.</w:t>
      </w:r>
      <w:r w:rsidR="00A0347D" w:rsidRPr="00124D7C">
        <w:rPr>
          <w:sz w:val="22"/>
          <w:szCs w:val="22"/>
        </w:rPr>
        <w:t xml:space="preserve"> Ο όγκος κατανομής είναι περίπου 30 λίτρα. Η εφάπαξ ημερήσια χορήγηση του DIAMICRON MR 60 </w:t>
      </w:r>
      <w:r w:rsidR="00A0347D" w:rsidRPr="00124D7C">
        <w:rPr>
          <w:sz w:val="22"/>
          <w:szCs w:val="22"/>
          <w:lang w:val="en-US"/>
        </w:rPr>
        <w:t>mg</w:t>
      </w:r>
      <w:r w:rsidR="00A0347D" w:rsidRPr="00124D7C">
        <w:rPr>
          <w:sz w:val="22"/>
          <w:szCs w:val="22"/>
        </w:rPr>
        <w:t xml:space="preserve"> επιτρέπει τη διατήρηση αποτελεσματικής συγκέντρωσης της γλικλαζίδης στο πλάσμα για 24 ώρες.</w:t>
      </w:r>
    </w:p>
    <w:p w:rsidR="00A0347D" w:rsidRPr="00124D7C" w:rsidRDefault="00A0347D" w:rsidP="00A0347D">
      <w:pPr>
        <w:pStyle w:val="a8"/>
        <w:spacing w:before="0" w:after="0"/>
        <w:rPr>
          <w:noProof/>
          <w:sz w:val="22"/>
          <w:szCs w:val="22"/>
        </w:rPr>
      </w:pPr>
    </w:p>
    <w:p w:rsidR="005B6C30" w:rsidRPr="00BC0E0C" w:rsidRDefault="00A0347D" w:rsidP="00A0347D">
      <w:pPr>
        <w:pStyle w:val="a8"/>
        <w:spacing w:before="0" w:after="0"/>
        <w:rPr>
          <w:sz w:val="22"/>
          <w:szCs w:val="22"/>
          <w:u w:val="single"/>
        </w:rPr>
      </w:pPr>
      <w:r w:rsidRPr="00BC0E0C">
        <w:rPr>
          <w:noProof/>
          <w:sz w:val="22"/>
          <w:szCs w:val="22"/>
          <w:u w:val="single"/>
        </w:rPr>
        <w:t>Βιομετασχηματισμός</w:t>
      </w:r>
    </w:p>
    <w:p w:rsidR="005B6C30" w:rsidRPr="0038495D" w:rsidRDefault="005B6C30" w:rsidP="00A0347D">
      <w:pPr>
        <w:pStyle w:val="a8"/>
        <w:spacing w:before="0" w:after="0"/>
        <w:rPr>
          <w:sz w:val="22"/>
          <w:szCs w:val="22"/>
        </w:rPr>
      </w:pPr>
      <w:r w:rsidRPr="00A77130">
        <w:rPr>
          <w:sz w:val="22"/>
          <w:szCs w:val="22"/>
        </w:rPr>
        <w:t>Η γλικλαζίδη μεταβολίζεται κυρίως στο ήπαρ και απεκκρίνεται κυρίως από τα ούρα: λιγότερο από 1% αμετάβλητης ουσίας ανιχνεύεται στα ούρα. Δεν έχουν εντοπιστεί ενεργοί μεταβολίτες στο πλάσμα.</w:t>
      </w:r>
    </w:p>
    <w:p w:rsidR="00A0347D" w:rsidRPr="0038495D" w:rsidRDefault="00A0347D" w:rsidP="00A0347D">
      <w:pPr>
        <w:pStyle w:val="a8"/>
        <w:spacing w:before="0" w:after="0"/>
        <w:rPr>
          <w:sz w:val="22"/>
          <w:szCs w:val="22"/>
        </w:rPr>
      </w:pPr>
    </w:p>
    <w:p w:rsidR="00A0347D" w:rsidRPr="00BC0E0C" w:rsidRDefault="00A0347D" w:rsidP="00A0347D">
      <w:pPr>
        <w:pStyle w:val="a8"/>
        <w:spacing w:before="0" w:after="0"/>
        <w:rPr>
          <w:sz w:val="22"/>
          <w:szCs w:val="22"/>
          <w:u w:val="single"/>
        </w:rPr>
      </w:pPr>
      <w:r w:rsidRPr="00BC0E0C">
        <w:rPr>
          <w:noProof/>
          <w:sz w:val="22"/>
          <w:szCs w:val="22"/>
          <w:u w:val="single"/>
        </w:rPr>
        <w:t>Αποβολή</w:t>
      </w:r>
    </w:p>
    <w:p w:rsidR="005B6C30" w:rsidRPr="00124D7C" w:rsidRDefault="00EE1710" w:rsidP="00A0347D">
      <w:pPr>
        <w:pStyle w:val="a8"/>
        <w:spacing w:before="0" w:after="0"/>
        <w:rPr>
          <w:sz w:val="22"/>
          <w:szCs w:val="22"/>
        </w:rPr>
      </w:pPr>
      <w:r w:rsidRPr="00124D7C">
        <w:rPr>
          <w:sz w:val="22"/>
          <w:szCs w:val="22"/>
        </w:rPr>
        <w:t>Ο χρόνος ημιζωής</w:t>
      </w:r>
      <w:r w:rsidR="005B6C30" w:rsidRPr="00124D7C">
        <w:rPr>
          <w:sz w:val="22"/>
          <w:szCs w:val="22"/>
        </w:rPr>
        <w:t xml:space="preserve"> της γλικλαζίδης κυμαίνεται μεταξύ 12 και 20 ωρών.</w:t>
      </w:r>
    </w:p>
    <w:p w:rsidR="00A0347D" w:rsidRPr="00124D7C" w:rsidRDefault="00A0347D" w:rsidP="00A0347D">
      <w:pPr>
        <w:pStyle w:val="a8"/>
        <w:spacing w:before="0" w:after="0"/>
        <w:rPr>
          <w:sz w:val="22"/>
          <w:szCs w:val="22"/>
        </w:rPr>
      </w:pPr>
    </w:p>
    <w:p w:rsidR="00A0347D" w:rsidRPr="00BC0E0C" w:rsidRDefault="00A0347D" w:rsidP="00A0347D">
      <w:pPr>
        <w:pStyle w:val="a8"/>
        <w:spacing w:before="0" w:after="0"/>
        <w:rPr>
          <w:sz w:val="22"/>
          <w:szCs w:val="22"/>
          <w:u w:val="single"/>
        </w:rPr>
      </w:pPr>
      <w:r w:rsidRPr="00BC0E0C">
        <w:rPr>
          <w:sz w:val="22"/>
          <w:szCs w:val="22"/>
          <w:u w:val="single"/>
        </w:rPr>
        <w:t xml:space="preserve">Γραμμικότητα/μη γραμμικότητα </w:t>
      </w:r>
    </w:p>
    <w:p w:rsidR="00A0347D" w:rsidRPr="00124D7C" w:rsidRDefault="00A0347D" w:rsidP="00A0347D">
      <w:pPr>
        <w:pStyle w:val="a8"/>
        <w:spacing w:before="0" w:after="0"/>
        <w:rPr>
          <w:sz w:val="22"/>
          <w:szCs w:val="22"/>
        </w:rPr>
      </w:pPr>
      <w:r w:rsidRPr="00124D7C">
        <w:rPr>
          <w:sz w:val="22"/>
          <w:szCs w:val="22"/>
        </w:rPr>
        <w:t xml:space="preserve">Η σχέση μεταξύ της χορηγούμενης δόσης έως τα 120 </w:t>
      </w:r>
      <w:r w:rsidRPr="00124D7C">
        <w:rPr>
          <w:sz w:val="22"/>
          <w:szCs w:val="22"/>
          <w:lang w:val="en-US"/>
        </w:rPr>
        <w:t>mg</w:t>
      </w:r>
      <w:r w:rsidRPr="00124D7C">
        <w:rPr>
          <w:sz w:val="22"/>
          <w:szCs w:val="22"/>
        </w:rPr>
        <w:t xml:space="preserve"> και της περιοχής κάτω από την καμπύλη της συγκέντρωσης σε συνάρτηση με το χρόνο είναι γραμμική.</w:t>
      </w:r>
    </w:p>
    <w:p w:rsidR="00A0347D" w:rsidRPr="00124D7C" w:rsidRDefault="00A0347D" w:rsidP="00A0347D">
      <w:pPr>
        <w:pStyle w:val="a8"/>
        <w:spacing w:before="0" w:after="0"/>
        <w:rPr>
          <w:sz w:val="22"/>
          <w:szCs w:val="22"/>
        </w:rPr>
      </w:pPr>
    </w:p>
    <w:p w:rsidR="00A0347D" w:rsidRPr="00BC0E0C" w:rsidRDefault="00A0347D" w:rsidP="00A0347D">
      <w:pPr>
        <w:pStyle w:val="a8"/>
        <w:spacing w:before="0" w:after="0"/>
        <w:rPr>
          <w:sz w:val="22"/>
          <w:szCs w:val="22"/>
          <w:u w:val="single"/>
        </w:rPr>
      </w:pPr>
      <w:r w:rsidRPr="00BC0E0C">
        <w:rPr>
          <w:sz w:val="22"/>
          <w:szCs w:val="22"/>
          <w:u w:val="single"/>
        </w:rPr>
        <w:t>Ειδικοί πληθυσμοί</w:t>
      </w:r>
    </w:p>
    <w:p w:rsidR="00A0347D" w:rsidRPr="00227A78" w:rsidRDefault="00A0347D" w:rsidP="00A0347D">
      <w:pPr>
        <w:pStyle w:val="a8"/>
        <w:spacing w:before="0" w:after="0"/>
        <w:rPr>
          <w:i/>
          <w:sz w:val="22"/>
          <w:szCs w:val="22"/>
        </w:rPr>
      </w:pPr>
      <w:r>
        <w:rPr>
          <w:i/>
          <w:sz w:val="22"/>
          <w:szCs w:val="22"/>
        </w:rPr>
        <w:t>Ηλικιωμένοι</w:t>
      </w:r>
    </w:p>
    <w:p w:rsidR="005B6C30" w:rsidRPr="00A77130" w:rsidRDefault="005B6C30" w:rsidP="00A0347D">
      <w:pPr>
        <w:pStyle w:val="a8"/>
        <w:spacing w:before="0" w:after="0"/>
        <w:rPr>
          <w:sz w:val="22"/>
          <w:szCs w:val="22"/>
        </w:rPr>
      </w:pPr>
      <w:r w:rsidRPr="00A77130">
        <w:rPr>
          <w:sz w:val="22"/>
          <w:szCs w:val="22"/>
        </w:rPr>
        <w:t>Δεν παρατηρείται κλινικά σημαντική διαφοροποίηση στις φαρμακοκινητικές παραμέτρους στα ηλικιωμένα άτομα.</w:t>
      </w:r>
    </w:p>
    <w:p w:rsidR="005B6C30" w:rsidRPr="00A77130" w:rsidRDefault="005B6C30" w:rsidP="0025183E">
      <w:pPr>
        <w:pStyle w:val="2"/>
        <w:rPr>
          <w:sz w:val="22"/>
          <w:szCs w:val="22"/>
        </w:rPr>
      </w:pPr>
      <w:r w:rsidRPr="00A77130">
        <w:rPr>
          <w:sz w:val="22"/>
          <w:szCs w:val="22"/>
        </w:rPr>
        <w:t xml:space="preserve">Προκλινικά </w:t>
      </w:r>
      <w:r w:rsidR="00614772" w:rsidRPr="001B4025">
        <w:rPr>
          <w:sz w:val="22"/>
          <w:szCs w:val="22"/>
        </w:rPr>
        <w:t>δεδομένα</w:t>
      </w:r>
      <w:r w:rsidR="00614772" w:rsidRPr="001B4025" w:rsidDel="00614772">
        <w:rPr>
          <w:sz w:val="22"/>
          <w:szCs w:val="22"/>
        </w:rPr>
        <w:t xml:space="preserve"> </w:t>
      </w:r>
      <w:r w:rsidR="001B4025" w:rsidRPr="001B4025">
        <w:rPr>
          <w:sz w:val="22"/>
          <w:szCs w:val="22"/>
        </w:rPr>
        <w:t xml:space="preserve"> </w:t>
      </w:r>
      <w:r w:rsidRPr="00A77130">
        <w:rPr>
          <w:sz w:val="22"/>
          <w:szCs w:val="22"/>
        </w:rPr>
        <w:t xml:space="preserve">για την ασφάλεια </w:t>
      </w:r>
    </w:p>
    <w:p w:rsidR="00C36FB9" w:rsidRPr="0038495D" w:rsidRDefault="005B6C30" w:rsidP="00C36FB9">
      <w:pPr>
        <w:pStyle w:val="a8"/>
        <w:spacing w:before="0" w:after="0"/>
        <w:rPr>
          <w:sz w:val="22"/>
          <w:szCs w:val="22"/>
        </w:rPr>
      </w:pPr>
      <w:r w:rsidRPr="00A77130">
        <w:rPr>
          <w:sz w:val="22"/>
          <w:szCs w:val="22"/>
        </w:rPr>
        <w:t xml:space="preserve">Τα προκλινικά στοιχεία δεν αποκαλύπτουν ιδιαίτερους κινδύνους για τον άνθρωπο, σύμφωνα με συμβατικές μελέτες επαναλαμβανόμενης χορήγησης, για τοξικότητα και γενοτοξικότητα. Δεν έχουν πραγματοποιηθεί μακροχρόνιες μελέτες καρκινογένεσης. Οι μελέτες σε πειραματόζωα δεν έχουν καταδείξει </w:t>
      </w:r>
      <w:r w:rsidR="00EE1710" w:rsidRPr="00A77130">
        <w:rPr>
          <w:sz w:val="22"/>
          <w:szCs w:val="22"/>
        </w:rPr>
        <w:t>τερατογόνο δράση</w:t>
      </w:r>
      <w:r w:rsidRPr="00A77130">
        <w:rPr>
          <w:sz w:val="22"/>
          <w:szCs w:val="22"/>
        </w:rPr>
        <w:t xml:space="preserve">, </w:t>
      </w:r>
      <w:r w:rsidR="00EE1710" w:rsidRPr="00A77130">
        <w:rPr>
          <w:sz w:val="22"/>
          <w:szCs w:val="22"/>
        </w:rPr>
        <w:t xml:space="preserve">όμως </w:t>
      </w:r>
      <w:r w:rsidRPr="00A77130">
        <w:rPr>
          <w:sz w:val="22"/>
          <w:szCs w:val="22"/>
        </w:rPr>
        <w:t xml:space="preserve">έχει παρατηρηθεί </w:t>
      </w:r>
      <w:r w:rsidR="00EE1710" w:rsidRPr="00A77130">
        <w:rPr>
          <w:sz w:val="22"/>
          <w:szCs w:val="22"/>
        </w:rPr>
        <w:t>μικρότερο</w:t>
      </w:r>
      <w:r w:rsidRPr="00A77130">
        <w:rPr>
          <w:sz w:val="22"/>
          <w:szCs w:val="22"/>
        </w:rPr>
        <w:t xml:space="preserve"> σωματικό βάρος</w:t>
      </w:r>
      <w:r w:rsidR="00EE1710" w:rsidRPr="00A77130">
        <w:rPr>
          <w:sz w:val="22"/>
          <w:szCs w:val="22"/>
        </w:rPr>
        <w:t xml:space="preserve"> εμβρύου</w:t>
      </w:r>
      <w:r w:rsidRPr="00A77130">
        <w:rPr>
          <w:sz w:val="22"/>
          <w:szCs w:val="22"/>
        </w:rPr>
        <w:t xml:space="preserve"> σε πειραματόζωα στα οποία χορηγούνταν δόσεις 25 φορές υψηλότερες της μέγιστης συνιστώμενης δόσης για τον άνθρωπο</w:t>
      </w:r>
      <w:r w:rsidR="00C36FB9" w:rsidRPr="00A77130">
        <w:rPr>
          <w:sz w:val="22"/>
          <w:szCs w:val="22"/>
        </w:rPr>
        <w:t>.</w:t>
      </w:r>
      <w:r w:rsidR="00C36FB9">
        <w:rPr>
          <w:sz w:val="22"/>
          <w:szCs w:val="22"/>
        </w:rPr>
        <w:t xml:space="preserve"> Σε μελέτες με πειραματόζωα, η γονιμότητα και η αναπαραγωγική ικανότητα δεν επηρεάστηκαν μετά από χορήγηση γλικλαζίδης.</w:t>
      </w:r>
    </w:p>
    <w:p w:rsidR="005B6C30" w:rsidRPr="0038495D" w:rsidRDefault="005B6C30" w:rsidP="00A0347D">
      <w:pPr>
        <w:pStyle w:val="a8"/>
        <w:spacing w:before="0" w:after="0"/>
        <w:rPr>
          <w:sz w:val="22"/>
          <w:szCs w:val="22"/>
        </w:rPr>
      </w:pPr>
    </w:p>
    <w:p w:rsidR="000C1F8A" w:rsidRPr="00CE224D" w:rsidRDefault="000C1F8A" w:rsidP="00A0347D">
      <w:pPr>
        <w:pStyle w:val="a8"/>
        <w:spacing w:before="0" w:after="0"/>
        <w:rPr>
          <w:sz w:val="22"/>
          <w:szCs w:val="22"/>
        </w:rPr>
      </w:pPr>
    </w:p>
    <w:p w:rsidR="005B6C30" w:rsidRPr="00A77130" w:rsidRDefault="00614772" w:rsidP="0025183E">
      <w:pPr>
        <w:pStyle w:val="1"/>
        <w:rPr>
          <w:sz w:val="22"/>
          <w:szCs w:val="22"/>
        </w:rPr>
      </w:pPr>
      <w:r w:rsidRPr="00614772">
        <w:rPr>
          <w:sz w:val="22"/>
          <w:szCs w:val="22"/>
          <w:lang w:val="en-GB"/>
        </w:rPr>
        <w:t xml:space="preserve">ΦΑΡΜΑΚΕΥΤΙΚΕΣ ΠΛΗΡΟΦΟΡΙΕΣ </w:t>
      </w:r>
    </w:p>
    <w:p w:rsidR="005B6C30" w:rsidRPr="00A77130" w:rsidRDefault="005B6C30" w:rsidP="0025183E">
      <w:pPr>
        <w:pStyle w:val="2"/>
        <w:rPr>
          <w:sz w:val="22"/>
          <w:szCs w:val="22"/>
        </w:rPr>
      </w:pPr>
      <w:r w:rsidRPr="00A77130">
        <w:rPr>
          <w:sz w:val="22"/>
          <w:szCs w:val="22"/>
        </w:rPr>
        <w:t>Kατάλογος των εκδόχων</w:t>
      </w:r>
    </w:p>
    <w:p w:rsidR="005B6C30" w:rsidRPr="00A77130" w:rsidRDefault="0009543F" w:rsidP="00A0347D">
      <w:pPr>
        <w:pStyle w:val="a8"/>
        <w:spacing w:before="0" w:after="0"/>
        <w:rPr>
          <w:sz w:val="22"/>
          <w:szCs w:val="22"/>
        </w:rPr>
      </w:pPr>
      <w:r>
        <w:rPr>
          <w:sz w:val="22"/>
          <w:szCs w:val="22"/>
        </w:rPr>
        <w:t>Μονοϋδρική λακτόζη</w:t>
      </w:r>
    </w:p>
    <w:p w:rsidR="00D3083A" w:rsidRPr="00A77130" w:rsidRDefault="00D3083A" w:rsidP="00A0347D">
      <w:pPr>
        <w:pStyle w:val="a8"/>
        <w:spacing w:before="0" w:after="0"/>
        <w:rPr>
          <w:sz w:val="22"/>
          <w:szCs w:val="22"/>
        </w:rPr>
      </w:pPr>
      <w:r w:rsidRPr="00A77130">
        <w:rPr>
          <w:sz w:val="22"/>
          <w:szCs w:val="22"/>
        </w:rPr>
        <w:t>Μαλτοδεξτρίνη</w:t>
      </w:r>
    </w:p>
    <w:p w:rsidR="00D3083A" w:rsidRPr="00A77130" w:rsidRDefault="00D3083A" w:rsidP="00A0347D">
      <w:pPr>
        <w:pStyle w:val="a8"/>
        <w:spacing w:before="0" w:after="0"/>
        <w:rPr>
          <w:sz w:val="22"/>
          <w:szCs w:val="22"/>
        </w:rPr>
      </w:pPr>
      <w:r w:rsidRPr="00A77130">
        <w:rPr>
          <w:sz w:val="22"/>
          <w:szCs w:val="22"/>
        </w:rPr>
        <w:t>Υπρομελλόζη</w:t>
      </w:r>
    </w:p>
    <w:p w:rsidR="00D3083A" w:rsidRPr="00A77130" w:rsidRDefault="00EE1710" w:rsidP="00A0347D">
      <w:pPr>
        <w:pStyle w:val="a8"/>
        <w:spacing w:before="0" w:after="0"/>
        <w:rPr>
          <w:sz w:val="22"/>
          <w:szCs w:val="22"/>
        </w:rPr>
      </w:pPr>
      <w:r w:rsidRPr="00A77130">
        <w:rPr>
          <w:sz w:val="22"/>
          <w:szCs w:val="22"/>
        </w:rPr>
        <w:t>Στεατικό μ</w:t>
      </w:r>
      <w:r w:rsidR="00D3083A" w:rsidRPr="00A77130">
        <w:rPr>
          <w:sz w:val="22"/>
          <w:szCs w:val="22"/>
        </w:rPr>
        <w:t xml:space="preserve">αγνήσιο </w:t>
      </w:r>
    </w:p>
    <w:p w:rsidR="00D3083A" w:rsidRPr="00A77130" w:rsidRDefault="00181912" w:rsidP="00A0347D">
      <w:pPr>
        <w:pStyle w:val="a8"/>
        <w:spacing w:before="0" w:after="0"/>
        <w:rPr>
          <w:sz w:val="22"/>
          <w:szCs w:val="22"/>
        </w:rPr>
      </w:pPr>
      <w:r>
        <w:rPr>
          <w:sz w:val="22"/>
          <w:szCs w:val="22"/>
        </w:rPr>
        <w:t>Άνυδρο κολλοειδές πυρίτιο</w:t>
      </w:r>
    </w:p>
    <w:p w:rsidR="005B6C30" w:rsidRPr="00A77130" w:rsidRDefault="005B6C30" w:rsidP="0025183E">
      <w:pPr>
        <w:pStyle w:val="2"/>
        <w:rPr>
          <w:sz w:val="22"/>
          <w:szCs w:val="22"/>
        </w:rPr>
      </w:pPr>
      <w:r w:rsidRPr="00A77130">
        <w:rPr>
          <w:sz w:val="22"/>
          <w:szCs w:val="22"/>
        </w:rPr>
        <w:t xml:space="preserve">Ασυμβατότητες </w:t>
      </w:r>
    </w:p>
    <w:p w:rsidR="005B6C30" w:rsidRPr="00A77130" w:rsidRDefault="00181912" w:rsidP="0025183E">
      <w:pPr>
        <w:pStyle w:val="a8"/>
        <w:rPr>
          <w:sz w:val="22"/>
          <w:szCs w:val="22"/>
        </w:rPr>
      </w:pPr>
      <w:r>
        <w:rPr>
          <w:sz w:val="22"/>
          <w:szCs w:val="22"/>
        </w:rPr>
        <w:t>Δεν εφαρμόζεται</w:t>
      </w:r>
      <w:r w:rsidR="005B6C30" w:rsidRPr="00A77130">
        <w:rPr>
          <w:sz w:val="22"/>
          <w:szCs w:val="22"/>
        </w:rPr>
        <w:t>.</w:t>
      </w:r>
    </w:p>
    <w:p w:rsidR="005B6C30" w:rsidRPr="00A77130" w:rsidRDefault="005B6C30" w:rsidP="0025183E">
      <w:pPr>
        <w:pStyle w:val="2"/>
        <w:rPr>
          <w:sz w:val="22"/>
          <w:szCs w:val="22"/>
        </w:rPr>
      </w:pPr>
      <w:r w:rsidRPr="00A77130">
        <w:rPr>
          <w:sz w:val="22"/>
          <w:szCs w:val="22"/>
        </w:rPr>
        <w:t xml:space="preserve">Διάρκεια ζωής </w:t>
      </w:r>
    </w:p>
    <w:p w:rsidR="005B6C30" w:rsidRPr="00A77130" w:rsidRDefault="005B6C30" w:rsidP="0025183E">
      <w:pPr>
        <w:pStyle w:val="a8"/>
        <w:rPr>
          <w:sz w:val="22"/>
          <w:szCs w:val="22"/>
        </w:rPr>
      </w:pPr>
      <w:r w:rsidRPr="00A77130">
        <w:rPr>
          <w:sz w:val="22"/>
          <w:szCs w:val="22"/>
        </w:rPr>
        <w:t>3 έτη.</w:t>
      </w:r>
    </w:p>
    <w:p w:rsidR="005B6C30" w:rsidRPr="00A77130" w:rsidRDefault="005B6C30" w:rsidP="0025183E">
      <w:pPr>
        <w:pStyle w:val="2"/>
        <w:rPr>
          <w:sz w:val="22"/>
          <w:szCs w:val="22"/>
        </w:rPr>
      </w:pPr>
      <w:r w:rsidRPr="00A77130">
        <w:rPr>
          <w:sz w:val="22"/>
          <w:szCs w:val="22"/>
        </w:rPr>
        <w:t>Ιδιαίτερες προφυλάξεις κατά τη φύλαξη του προϊόντος</w:t>
      </w:r>
    </w:p>
    <w:p w:rsidR="005B6C30" w:rsidRPr="00A77130" w:rsidRDefault="005B6C30" w:rsidP="0025183E">
      <w:pPr>
        <w:pStyle w:val="a8"/>
        <w:rPr>
          <w:sz w:val="22"/>
          <w:szCs w:val="22"/>
        </w:rPr>
      </w:pPr>
      <w:r w:rsidRPr="00A77130">
        <w:rPr>
          <w:sz w:val="22"/>
          <w:szCs w:val="22"/>
        </w:rPr>
        <w:t xml:space="preserve"> </w:t>
      </w:r>
      <w:r w:rsidR="00181912">
        <w:rPr>
          <w:sz w:val="22"/>
          <w:szCs w:val="22"/>
        </w:rPr>
        <w:t>Δεν απαιτούνται ιδιαίτερες συνθήκες φύλαξης γι’ αυτό το φαρμακευτικό προϊόν</w:t>
      </w:r>
      <w:r w:rsidRPr="00A77130">
        <w:rPr>
          <w:sz w:val="22"/>
          <w:szCs w:val="22"/>
        </w:rPr>
        <w:t>.</w:t>
      </w:r>
    </w:p>
    <w:p w:rsidR="005B6C30" w:rsidRPr="00A77130" w:rsidRDefault="005B6C30" w:rsidP="0025183E">
      <w:pPr>
        <w:pStyle w:val="2"/>
        <w:rPr>
          <w:sz w:val="22"/>
          <w:szCs w:val="22"/>
        </w:rPr>
      </w:pPr>
      <w:r w:rsidRPr="00A77130">
        <w:rPr>
          <w:sz w:val="22"/>
          <w:szCs w:val="22"/>
        </w:rPr>
        <w:t xml:space="preserve">Φύση και συστατικά του περιέκτη </w:t>
      </w:r>
    </w:p>
    <w:p w:rsidR="00157A89" w:rsidRPr="00A77130" w:rsidRDefault="00181912" w:rsidP="0025183E">
      <w:pPr>
        <w:pStyle w:val="a8"/>
        <w:rPr>
          <w:sz w:val="22"/>
          <w:szCs w:val="22"/>
        </w:rPr>
      </w:pPr>
      <w:r>
        <w:rPr>
          <w:sz w:val="22"/>
          <w:szCs w:val="22"/>
        </w:rPr>
        <w:t>Διαφανείς κ</w:t>
      </w:r>
      <w:r w:rsidR="00EE1710" w:rsidRPr="00A77130">
        <w:rPr>
          <w:sz w:val="22"/>
          <w:szCs w:val="22"/>
        </w:rPr>
        <w:t xml:space="preserve">υψέλες </w:t>
      </w:r>
      <w:r w:rsidR="007307AB" w:rsidRPr="00A77130">
        <w:rPr>
          <w:sz w:val="22"/>
          <w:szCs w:val="22"/>
        </w:rPr>
        <w:t xml:space="preserve">από </w:t>
      </w:r>
      <w:r w:rsidR="00B45C33" w:rsidRPr="00A77130">
        <w:rPr>
          <w:sz w:val="22"/>
          <w:szCs w:val="22"/>
        </w:rPr>
        <w:t>Aλουμίνιο</w:t>
      </w:r>
      <w:r w:rsidR="001C201B" w:rsidRPr="00A77130">
        <w:rPr>
          <w:sz w:val="22"/>
          <w:szCs w:val="22"/>
        </w:rPr>
        <w:t>/Πολυ(βινυλοχλωρίδιο)</w:t>
      </w:r>
      <w:r w:rsidR="00157A89" w:rsidRPr="00A77130">
        <w:rPr>
          <w:sz w:val="22"/>
          <w:szCs w:val="22"/>
        </w:rPr>
        <w:t xml:space="preserve">, </w:t>
      </w:r>
      <w:r w:rsidR="007307AB" w:rsidRPr="00A77130">
        <w:rPr>
          <w:sz w:val="22"/>
          <w:szCs w:val="22"/>
        </w:rPr>
        <w:t>συσκευασμέν</w:t>
      </w:r>
      <w:r w:rsidR="001C201B" w:rsidRPr="00A77130">
        <w:rPr>
          <w:sz w:val="22"/>
          <w:szCs w:val="22"/>
        </w:rPr>
        <w:t>ες</w:t>
      </w:r>
      <w:r w:rsidR="007307AB" w:rsidRPr="00A77130">
        <w:rPr>
          <w:sz w:val="22"/>
          <w:szCs w:val="22"/>
        </w:rPr>
        <w:t xml:space="preserve"> σε </w:t>
      </w:r>
      <w:r w:rsidR="001C201B" w:rsidRPr="00A77130">
        <w:rPr>
          <w:sz w:val="22"/>
          <w:szCs w:val="22"/>
        </w:rPr>
        <w:t>χάρτινα κουτιά</w:t>
      </w:r>
      <w:r w:rsidR="007307AB" w:rsidRPr="00A77130">
        <w:rPr>
          <w:sz w:val="22"/>
          <w:szCs w:val="22"/>
        </w:rPr>
        <w:t>.</w:t>
      </w:r>
    </w:p>
    <w:p w:rsidR="00157A89" w:rsidRPr="00A77130" w:rsidRDefault="001C201B" w:rsidP="0025183E">
      <w:pPr>
        <w:ind w:left="567"/>
        <w:jc w:val="both"/>
        <w:rPr>
          <w:b/>
          <w:bCs/>
          <w:sz w:val="22"/>
          <w:szCs w:val="22"/>
          <w:lang w:val="el-GR"/>
        </w:rPr>
      </w:pPr>
      <w:r w:rsidRPr="00A77130">
        <w:rPr>
          <w:b/>
          <w:bCs/>
          <w:sz w:val="22"/>
          <w:szCs w:val="22"/>
          <w:lang w:val="el-GR"/>
        </w:rPr>
        <w:t>Μεγέθη συσκευασίας</w:t>
      </w:r>
    </w:p>
    <w:p w:rsidR="00157A89" w:rsidRPr="0038495D" w:rsidRDefault="005B6C30" w:rsidP="0038495D">
      <w:pPr>
        <w:spacing w:before="0" w:after="0"/>
        <w:ind w:left="567"/>
        <w:jc w:val="both"/>
        <w:rPr>
          <w:sz w:val="22"/>
          <w:szCs w:val="22"/>
          <w:lang w:val="el-GR"/>
        </w:rPr>
      </w:pPr>
      <w:r w:rsidRPr="0038495D">
        <w:rPr>
          <w:sz w:val="22"/>
          <w:szCs w:val="22"/>
          <w:lang w:val="el-GR"/>
        </w:rPr>
        <w:t>7, 10, 14,</w:t>
      </w:r>
      <w:r w:rsidR="00181912">
        <w:rPr>
          <w:sz w:val="22"/>
          <w:szCs w:val="22"/>
          <w:lang w:val="el-GR"/>
        </w:rPr>
        <w:t xml:space="preserve"> 15,</w:t>
      </w:r>
      <w:r w:rsidRPr="0038495D">
        <w:rPr>
          <w:sz w:val="22"/>
          <w:szCs w:val="22"/>
          <w:lang w:val="el-GR"/>
        </w:rPr>
        <w:t xml:space="preserve"> 20, 28, 30, 56, 60, 84, 90, 100, 112, 120, 180 </w:t>
      </w:r>
      <w:r w:rsidR="001C201B" w:rsidRPr="00A77130">
        <w:rPr>
          <w:sz w:val="22"/>
          <w:szCs w:val="22"/>
          <w:lang w:val="el-GR"/>
        </w:rPr>
        <w:t>και</w:t>
      </w:r>
      <w:r w:rsidR="001C201B" w:rsidRPr="0038495D">
        <w:rPr>
          <w:sz w:val="22"/>
          <w:szCs w:val="22"/>
          <w:lang w:val="el-GR"/>
        </w:rPr>
        <w:t xml:space="preserve"> </w:t>
      </w:r>
      <w:r w:rsidRPr="0038495D">
        <w:rPr>
          <w:sz w:val="22"/>
          <w:szCs w:val="22"/>
          <w:lang w:val="el-GR"/>
        </w:rPr>
        <w:t>500 δισκία.</w:t>
      </w:r>
      <w:r w:rsidR="00157A89" w:rsidRPr="0038495D">
        <w:rPr>
          <w:sz w:val="22"/>
          <w:szCs w:val="22"/>
          <w:lang w:val="el-GR"/>
        </w:rPr>
        <w:t xml:space="preserve"> </w:t>
      </w:r>
    </w:p>
    <w:p w:rsidR="007307AB" w:rsidRPr="0038495D" w:rsidRDefault="007307AB" w:rsidP="0038495D">
      <w:pPr>
        <w:spacing w:before="0" w:after="0"/>
        <w:ind w:left="567"/>
        <w:jc w:val="both"/>
        <w:rPr>
          <w:iCs/>
          <w:sz w:val="22"/>
          <w:szCs w:val="22"/>
          <w:lang w:val="el-GR"/>
        </w:rPr>
      </w:pPr>
      <w:r w:rsidRPr="0038495D">
        <w:rPr>
          <w:sz w:val="22"/>
          <w:szCs w:val="22"/>
          <w:lang w:val="el-GR"/>
        </w:rPr>
        <w:lastRenderedPageBreak/>
        <w:t>Μπορεί να μην κυκλοφορούν όλες οι συσκευασίες.</w:t>
      </w:r>
    </w:p>
    <w:p w:rsidR="005B6C30" w:rsidRPr="00A77130" w:rsidRDefault="007E4614" w:rsidP="0025183E">
      <w:pPr>
        <w:pStyle w:val="2"/>
        <w:rPr>
          <w:sz w:val="22"/>
          <w:szCs w:val="22"/>
        </w:rPr>
      </w:pPr>
      <w:r w:rsidRPr="007E4614">
        <w:rPr>
          <w:sz w:val="22"/>
          <w:szCs w:val="22"/>
        </w:rPr>
        <w:t>Ιδιαίτερες προφυλάξεις απόρριψη</w:t>
      </w:r>
      <w:r>
        <w:rPr>
          <w:sz w:val="22"/>
          <w:szCs w:val="22"/>
        </w:rPr>
        <w:t>ς</w:t>
      </w:r>
      <w:r w:rsidR="005B6C30" w:rsidRPr="00A77130">
        <w:rPr>
          <w:sz w:val="22"/>
          <w:szCs w:val="22"/>
        </w:rPr>
        <w:t xml:space="preserve"> </w:t>
      </w:r>
    </w:p>
    <w:p w:rsidR="005B6C30" w:rsidRDefault="005B6C30" w:rsidP="0038495D">
      <w:pPr>
        <w:pStyle w:val="a8"/>
        <w:spacing w:before="0" w:after="0"/>
        <w:rPr>
          <w:sz w:val="22"/>
          <w:szCs w:val="22"/>
        </w:rPr>
      </w:pPr>
      <w:r w:rsidRPr="00A77130">
        <w:rPr>
          <w:sz w:val="22"/>
          <w:szCs w:val="22"/>
        </w:rPr>
        <w:t>Δεν υφίστανται ιδιαίτερες απαιτήσεις.</w:t>
      </w:r>
    </w:p>
    <w:p w:rsidR="00181912" w:rsidRDefault="00EA0243" w:rsidP="0038495D">
      <w:pPr>
        <w:pStyle w:val="a8"/>
        <w:spacing w:before="0" w:after="0"/>
        <w:rPr>
          <w:noProof/>
        </w:rPr>
      </w:pPr>
      <w:r>
        <w:rPr>
          <w:noProof/>
        </w:rPr>
        <w:t>Κάθε προϊόν που δεν έχει χρησιμοποιηθεί ή υπόλειμμα πρέπει να απορριφθεί σύμφωνα με τις κατά τόπους ισχύουσες σχετικές διατάξεις.</w:t>
      </w:r>
    </w:p>
    <w:p w:rsidR="007E4614" w:rsidRPr="00A77130" w:rsidRDefault="007E4614" w:rsidP="0038495D">
      <w:pPr>
        <w:pStyle w:val="a8"/>
        <w:spacing w:before="0" w:after="0"/>
        <w:rPr>
          <w:sz w:val="22"/>
          <w:szCs w:val="22"/>
        </w:rPr>
      </w:pPr>
    </w:p>
    <w:p w:rsidR="005B6C30" w:rsidRPr="00A77130" w:rsidRDefault="007C490C" w:rsidP="0025183E">
      <w:pPr>
        <w:pStyle w:val="1"/>
        <w:rPr>
          <w:sz w:val="22"/>
          <w:szCs w:val="22"/>
        </w:rPr>
      </w:pPr>
      <w:r>
        <w:rPr>
          <w:sz w:val="22"/>
          <w:szCs w:val="22"/>
        </w:rPr>
        <w:t>ΚΑΤΟΧΟΣ της ΑΔΕΙΑΣ</w:t>
      </w:r>
      <w:r w:rsidRPr="00A77130">
        <w:rPr>
          <w:sz w:val="22"/>
          <w:szCs w:val="22"/>
        </w:rPr>
        <w:t xml:space="preserve"> </w:t>
      </w:r>
      <w:r w:rsidR="005B6C30" w:rsidRPr="00A77130">
        <w:rPr>
          <w:sz w:val="22"/>
          <w:szCs w:val="22"/>
        </w:rPr>
        <w:t>κυκλοφορίας</w:t>
      </w:r>
    </w:p>
    <w:p w:rsidR="005B6C30" w:rsidRPr="00A77130" w:rsidRDefault="005B6C30" w:rsidP="0038495D">
      <w:pPr>
        <w:pStyle w:val="a8"/>
        <w:spacing w:before="0" w:after="0"/>
        <w:rPr>
          <w:sz w:val="22"/>
          <w:szCs w:val="22"/>
        </w:rPr>
      </w:pPr>
      <w:r w:rsidRPr="00A77130">
        <w:rPr>
          <w:sz w:val="22"/>
          <w:szCs w:val="22"/>
        </w:rPr>
        <w:t>ΣΕΡΒΙΕ ΕΛΛΑΣ ΦΑΡΜΑΚΕΥΤΙΚΗ Ε.Π.Ε.</w:t>
      </w:r>
    </w:p>
    <w:p w:rsidR="007118C9" w:rsidRPr="007118C9" w:rsidRDefault="007118C9" w:rsidP="0038495D">
      <w:pPr>
        <w:pStyle w:val="a8"/>
        <w:spacing w:before="0" w:after="0"/>
        <w:rPr>
          <w:sz w:val="22"/>
          <w:szCs w:val="22"/>
        </w:rPr>
      </w:pPr>
      <w:r w:rsidRPr="007118C9">
        <w:rPr>
          <w:sz w:val="22"/>
          <w:szCs w:val="22"/>
        </w:rPr>
        <w:t xml:space="preserve">Εθνικής Αντιστάσεως 72 &amp; Αγαμέμνονος </w:t>
      </w:r>
    </w:p>
    <w:p w:rsidR="007118C9" w:rsidRPr="007118C9" w:rsidRDefault="007118C9" w:rsidP="0038495D">
      <w:pPr>
        <w:pStyle w:val="a8"/>
        <w:spacing w:before="0" w:after="0"/>
        <w:rPr>
          <w:sz w:val="22"/>
          <w:szCs w:val="22"/>
        </w:rPr>
      </w:pPr>
      <w:r w:rsidRPr="007118C9">
        <w:rPr>
          <w:sz w:val="22"/>
          <w:szCs w:val="22"/>
        </w:rPr>
        <w:t>152 31 Χαλάνδρι</w:t>
      </w:r>
    </w:p>
    <w:p w:rsidR="005B6C30" w:rsidRPr="00A77130" w:rsidRDefault="005B6C30" w:rsidP="0025183E">
      <w:pPr>
        <w:pStyle w:val="a8"/>
        <w:spacing w:before="0"/>
        <w:rPr>
          <w:b/>
          <w:sz w:val="22"/>
          <w:szCs w:val="22"/>
          <w:lang w:val="fr-FR"/>
        </w:rPr>
      </w:pPr>
    </w:p>
    <w:p w:rsidR="005B6C30" w:rsidRDefault="005B6C30" w:rsidP="0025183E">
      <w:pPr>
        <w:pStyle w:val="1"/>
        <w:rPr>
          <w:sz w:val="22"/>
          <w:szCs w:val="22"/>
        </w:rPr>
      </w:pPr>
      <w:r w:rsidRPr="00A77130">
        <w:rPr>
          <w:sz w:val="22"/>
          <w:szCs w:val="22"/>
        </w:rPr>
        <w:t>ΑΡΙΘΜΟΣ ΑΔΕΙΑΣ ΚΥΚΛΟΦΟΡΙΑΣ</w:t>
      </w:r>
    </w:p>
    <w:p w:rsidR="00614772" w:rsidRPr="00614772" w:rsidRDefault="00614772" w:rsidP="00614772">
      <w:pPr>
        <w:rPr>
          <w:lang w:val="el-GR"/>
        </w:rPr>
      </w:pPr>
    </w:p>
    <w:p w:rsidR="005B6C30" w:rsidRDefault="005B6C30" w:rsidP="0025183E">
      <w:pPr>
        <w:pStyle w:val="1"/>
        <w:rPr>
          <w:sz w:val="22"/>
          <w:szCs w:val="22"/>
        </w:rPr>
      </w:pPr>
      <w:r w:rsidRPr="00A77130">
        <w:rPr>
          <w:sz w:val="22"/>
          <w:szCs w:val="22"/>
        </w:rPr>
        <w:t xml:space="preserve">ΗΜΕΡΟΜΗΝΙΑ ΠΡΩΤΗΣ </w:t>
      </w:r>
      <w:r w:rsidR="007E4614" w:rsidRPr="00227A78">
        <w:rPr>
          <w:sz w:val="22"/>
          <w:szCs w:val="22"/>
        </w:rPr>
        <w:t>ΕΓΚΡΙΣΗΣ</w:t>
      </w:r>
      <w:r w:rsidR="007E4614" w:rsidRPr="00A77130" w:rsidDel="007E4614">
        <w:rPr>
          <w:sz w:val="22"/>
          <w:szCs w:val="22"/>
        </w:rPr>
        <w:t xml:space="preserve"> </w:t>
      </w:r>
      <w:r w:rsidRPr="00A77130">
        <w:rPr>
          <w:sz w:val="22"/>
          <w:szCs w:val="22"/>
        </w:rPr>
        <w:t>/ΤΕΛΕΥΤΑΙΑΣ ΑΝΑΝΕΩΣΗΣ</w:t>
      </w:r>
    </w:p>
    <w:p w:rsidR="007C490C" w:rsidRDefault="00CE224D" w:rsidP="0038495D">
      <w:pPr>
        <w:ind w:left="567"/>
        <w:rPr>
          <w:sz w:val="22"/>
          <w:szCs w:val="22"/>
          <w:lang w:val="en-US"/>
        </w:rPr>
      </w:pPr>
      <w:r>
        <w:rPr>
          <w:sz w:val="22"/>
          <w:szCs w:val="22"/>
          <w:lang w:val="el-GR"/>
        </w:rPr>
        <w:t>Ημερομηνία</w:t>
      </w:r>
      <w:r>
        <w:rPr>
          <w:sz w:val="22"/>
          <w:szCs w:val="22"/>
          <w:lang w:val="en-US"/>
        </w:rPr>
        <w:t xml:space="preserve"> </w:t>
      </w:r>
      <w:r w:rsidR="007E4614">
        <w:rPr>
          <w:sz w:val="22"/>
          <w:szCs w:val="22"/>
          <w:lang w:val="el-GR"/>
        </w:rPr>
        <w:t>Πρώτης Έγκρισης</w:t>
      </w:r>
      <w:r w:rsidR="007E4614" w:rsidRPr="007118C9">
        <w:rPr>
          <w:sz w:val="22"/>
          <w:szCs w:val="22"/>
          <w:lang w:val="el-GR"/>
        </w:rPr>
        <w:t xml:space="preserve">:  </w:t>
      </w:r>
      <w:r w:rsidR="007E4614">
        <w:rPr>
          <w:sz w:val="22"/>
          <w:szCs w:val="22"/>
          <w:lang w:val="el-GR"/>
        </w:rPr>
        <w:t>8 Δεκεμβρίου 2010</w:t>
      </w:r>
    </w:p>
    <w:p w:rsidR="008A1104" w:rsidRPr="008A1104" w:rsidRDefault="008A1104" w:rsidP="0038495D">
      <w:pPr>
        <w:ind w:left="567"/>
        <w:rPr>
          <w:lang w:val="en-US"/>
        </w:rPr>
      </w:pPr>
    </w:p>
    <w:p w:rsidR="005B6C30" w:rsidRPr="00A77130" w:rsidRDefault="005B6C30" w:rsidP="0025183E">
      <w:pPr>
        <w:pStyle w:val="1"/>
        <w:rPr>
          <w:sz w:val="22"/>
          <w:szCs w:val="22"/>
        </w:rPr>
      </w:pPr>
      <w:r w:rsidRPr="00A77130">
        <w:rPr>
          <w:sz w:val="22"/>
          <w:szCs w:val="22"/>
        </w:rPr>
        <w:t>ΗΜΕΡΟΜΗΝΙΑ ΑΝΑΘΕΩΡΗΣΗΣ ΤΟΥ ΚΕΙΜΕΝΟΥ</w:t>
      </w:r>
    </w:p>
    <w:p w:rsidR="00C62B68" w:rsidRPr="0081523E" w:rsidRDefault="00C62B68" w:rsidP="0081523E">
      <w:pPr>
        <w:rPr>
          <w:i/>
          <w:lang w:val="el-GR"/>
        </w:rPr>
      </w:pPr>
    </w:p>
    <w:sectPr w:rsidR="00C62B68" w:rsidRPr="0081523E" w:rsidSect="00C62B68">
      <w:headerReference w:type="even" r:id="rId10"/>
      <w:headerReference w:type="default" r:id="rId11"/>
      <w:footerReference w:type="even" r:id="rId12"/>
      <w:footerReference w:type="default" r:id="rId13"/>
      <w:headerReference w:type="first" r:id="rId14"/>
      <w:footerReference w:type="first" r:id="rId15"/>
      <w:pgSz w:w="11913" w:h="16834"/>
      <w:pgMar w:top="1134" w:right="1565" w:bottom="1276"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82" w:rsidRDefault="004C6E82">
      <w:r>
        <w:separator/>
      </w:r>
    </w:p>
  </w:endnote>
  <w:endnote w:type="continuationSeparator" w:id="0">
    <w:p w:rsidR="004C6E82" w:rsidRDefault="004C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B7" w:rsidRDefault="004920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920B7" w:rsidRDefault="004920B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B7" w:rsidRPr="0006617B" w:rsidRDefault="004920B7" w:rsidP="0006617B">
    <w:pPr>
      <w:pStyle w:val="a3"/>
      <w:framePr w:wrap="around" w:vAnchor="text" w:hAnchor="page" w:x="9802" w:y="32"/>
      <w:rPr>
        <w:rStyle w:val="a4"/>
        <w:rFonts w:ascii="Arial" w:hAnsi="Arial" w:cs="Arial"/>
        <w:sz w:val="20"/>
      </w:rPr>
    </w:pPr>
    <w:r w:rsidRPr="0006617B">
      <w:rPr>
        <w:rStyle w:val="a4"/>
        <w:rFonts w:ascii="Arial" w:hAnsi="Arial" w:cs="Arial"/>
        <w:sz w:val="20"/>
      </w:rPr>
      <w:fldChar w:fldCharType="begin"/>
    </w:r>
    <w:r w:rsidRPr="0006617B">
      <w:rPr>
        <w:rStyle w:val="a4"/>
        <w:rFonts w:ascii="Arial" w:hAnsi="Arial" w:cs="Arial"/>
        <w:sz w:val="20"/>
      </w:rPr>
      <w:instrText xml:space="preserve">PAGE  </w:instrText>
    </w:r>
    <w:r w:rsidRPr="0006617B">
      <w:rPr>
        <w:rStyle w:val="a4"/>
        <w:rFonts w:ascii="Arial" w:hAnsi="Arial" w:cs="Arial"/>
        <w:sz w:val="20"/>
      </w:rPr>
      <w:fldChar w:fldCharType="separate"/>
    </w:r>
    <w:r w:rsidR="00832A3C">
      <w:rPr>
        <w:rStyle w:val="a4"/>
        <w:rFonts w:ascii="Arial" w:hAnsi="Arial" w:cs="Arial"/>
        <w:noProof/>
        <w:sz w:val="20"/>
      </w:rPr>
      <w:t>1</w:t>
    </w:r>
    <w:r w:rsidRPr="0006617B">
      <w:rPr>
        <w:rStyle w:val="a4"/>
        <w:rFonts w:ascii="Arial" w:hAnsi="Arial" w:cs="Arial"/>
        <w:sz w:val="20"/>
      </w:rPr>
      <w:fldChar w:fldCharType="end"/>
    </w:r>
  </w:p>
  <w:p w:rsidR="004920B7" w:rsidRPr="00EA0243" w:rsidRDefault="004920B7" w:rsidP="008F671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C7" w:rsidRDefault="008235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82" w:rsidRDefault="004C6E82">
      <w:r>
        <w:separator/>
      </w:r>
    </w:p>
  </w:footnote>
  <w:footnote w:type="continuationSeparator" w:id="0">
    <w:p w:rsidR="004C6E82" w:rsidRDefault="004C6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C7" w:rsidRDefault="008235C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C7" w:rsidRDefault="008235C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C7" w:rsidRDefault="008235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220AC2"/>
    <w:multiLevelType w:val="multilevel"/>
    <w:tmpl w:val="5F8E46EE"/>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E5B34B8"/>
    <w:multiLevelType w:val="multilevel"/>
    <w:tmpl w:val="5F8E46EE"/>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FA40EB6"/>
    <w:multiLevelType w:val="hybridMultilevel"/>
    <w:tmpl w:val="16AE86F0"/>
    <w:lvl w:ilvl="0" w:tplc="FFFFFFFF">
      <w:start w:val="1"/>
      <w:numFmt w:val="bullet"/>
      <w:lvlText w:val="-"/>
      <w:legacy w:legacy="1" w:legacySpace="0" w:legacyIndent="360"/>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15D2DB6"/>
    <w:multiLevelType w:val="singleLevel"/>
    <w:tmpl w:val="02469680"/>
    <w:lvl w:ilvl="0">
      <w:start w:val="2"/>
      <w:numFmt w:val="bullet"/>
      <w:lvlText w:val="-"/>
      <w:lvlJc w:val="left"/>
      <w:pPr>
        <w:tabs>
          <w:tab w:val="num" w:pos="360"/>
        </w:tabs>
        <w:ind w:left="360" w:hanging="360"/>
      </w:pPr>
      <w:rPr>
        <w:rFonts w:hint="default"/>
      </w:rPr>
    </w:lvl>
  </w:abstractNum>
  <w:abstractNum w:abstractNumId="5">
    <w:nsid w:val="255F5E8C"/>
    <w:multiLevelType w:val="hybridMultilevel"/>
    <w:tmpl w:val="4FA877A0"/>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6">
    <w:nsid w:val="28033C20"/>
    <w:multiLevelType w:val="multilevel"/>
    <w:tmpl w:val="5F8E46EE"/>
    <w:lvl w:ilvl="0">
      <w:start w:val="1"/>
      <w:numFmt w:val="decimal"/>
      <w:pStyle w:val="1"/>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9FF6677"/>
    <w:multiLevelType w:val="hybridMultilevel"/>
    <w:tmpl w:val="4F1C74B2"/>
    <w:lvl w:ilvl="0" w:tplc="04080001">
      <w:start w:val="1"/>
      <w:numFmt w:val="bullet"/>
      <w:lvlText w:val=""/>
      <w:lvlJc w:val="left"/>
      <w:pPr>
        <w:tabs>
          <w:tab w:val="num" w:pos="927"/>
        </w:tabs>
        <w:ind w:left="927" w:hanging="360"/>
      </w:pPr>
      <w:rPr>
        <w:rFonts w:ascii="Symbol" w:hAnsi="Symbol" w:hint="default"/>
      </w:rPr>
    </w:lvl>
    <w:lvl w:ilvl="1" w:tplc="04080003" w:tentative="1">
      <w:start w:val="1"/>
      <w:numFmt w:val="bullet"/>
      <w:lvlText w:val="o"/>
      <w:lvlJc w:val="left"/>
      <w:pPr>
        <w:tabs>
          <w:tab w:val="num" w:pos="1647"/>
        </w:tabs>
        <w:ind w:left="1647" w:hanging="360"/>
      </w:pPr>
      <w:rPr>
        <w:rFonts w:ascii="Courier New" w:hAnsi="Courier New" w:cs="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cs="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cs="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8">
    <w:nsid w:val="2AF5414C"/>
    <w:multiLevelType w:val="hybridMultilevel"/>
    <w:tmpl w:val="950215B6"/>
    <w:lvl w:ilvl="0" w:tplc="62F6E89A">
      <w:start w:val="1"/>
      <w:numFmt w:val="bullet"/>
      <w:lvlText w:val="•"/>
      <w:lvlJc w:val="left"/>
      <w:pPr>
        <w:tabs>
          <w:tab w:val="num" w:pos="927"/>
        </w:tabs>
        <w:ind w:left="887" w:hanging="320"/>
      </w:pPr>
      <w:rPr>
        <w:rFonts w:ascii="Times New Roman" w:hAnsi="Times New Roman" w:cs="Times New Roman" w:hint="default"/>
        <w:b/>
        <w:i w:val="0"/>
        <w:sz w:val="22"/>
      </w:rPr>
    </w:lvl>
    <w:lvl w:ilvl="1" w:tplc="2E50311C">
      <w:start w:val="1"/>
      <w:numFmt w:val="bullet"/>
      <w:lvlText w:val=""/>
      <w:lvlJc w:val="left"/>
      <w:pPr>
        <w:tabs>
          <w:tab w:val="num" w:pos="1081"/>
        </w:tabs>
        <w:ind w:left="1081" w:hanging="567"/>
      </w:pPr>
      <w:rPr>
        <w:rFonts w:ascii="Symbol" w:hAnsi="Symbol" w:hint="default"/>
        <w:sz w:val="20"/>
      </w:rPr>
    </w:lvl>
    <w:lvl w:ilvl="2" w:tplc="040C0005" w:tentative="1">
      <w:start w:val="1"/>
      <w:numFmt w:val="bullet"/>
      <w:lvlText w:val=""/>
      <w:lvlJc w:val="left"/>
      <w:pPr>
        <w:tabs>
          <w:tab w:val="num" w:pos="1594"/>
        </w:tabs>
        <w:ind w:left="1594" w:hanging="360"/>
      </w:pPr>
      <w:rPr>
        <w:rFonts w:ascii="Wingdings" w:hAnsi="Wingdings" w:hint="default"/>
      </w:rPr>
    </w:lvl>
    <w:lvl w:ilvl="3" w:tplc="040C0001" w:tentative="1">
      <w:start w:val="1"/>
      <w:numFmt w:val="bullet"/>
      <w:lvlText w:val=""/>
      <w:lvlJc w:val="left"/>
      <w:pPr>
        <w:tabs>
          <w:tab w:val="num" w:pos="2314"/>
        </w:tabs>
        <w:ind w:left="2314" w:hanging="360"/>
      </w:pPr>
      <w:rPr>
        <w:rFonts w:ascii="Symbol" w:hAnsi="Symbol" w:hint="default"/>
      </w:rPr>
    </w:lvl>
    <w:lvl w:ilvl="4" w:tplc="040C0003" w:tentative="1">
      <w:start w:val="1"/>
      <w:numFmt w:val="bullet"/>
      <w:lvlText w:val="o"/>
      <w:lvlJc w:val="left"/>
      <w:pPr>
        <w:tabs>
          <w:tab w:val="num" w:pos="3034"/>
        </w:tabs>
        <w:ind w:left="3034" w:hanging="360"/>
      </w:pPr>
      <w:rPr>
        <w:rFonts w:ascii="Courier New" w:hAnsi="Courier New" w:hint="default"/>
      </w:rPr>
    </w:lvl>
    <w:lvl w:ilvl="5" w:tplc="040C0005" w:tentative="1">
      <w:start w:val="1"/>
      <w:numFmt w:val="bullet"/>
      <w:lvlText w:val=""/>
      <w:lvlJc w:val="left"/>
      <w:pPr>
        <w:tabs>
          <w:tab w:val="num" w:pos="3754"/>
        </w:tabs>
        <w:ind w:left="3754" w:hanging="360"/>
      </w:pPr>
      <w:rPr>
        <w:rFonts w:ascii="Wingdings" w:hAnsi="Wingdings" w:hint="default"/>
      </w:rPr>
    </w:lvl>
    <w:lvl w:ilvl="6" w:tplc="040C0001" w:tentative="1">
      <w:start w:val="1"/>
      <w:numFmt w:val="bullet"/>
      <w:lvlText w:val=""/>
      <w:lvlJc w:val="left"/>
      <w:pPr>
        <w:tabs>
          <w:tab w:val="num" w:pos="4474"/>
        </w:tabs>
        <w:ind w:left="4474" w:hanging="360"/>
      </w:pPr>
      <w:rPr>
        <w:rFonts w:ascii="Symbol" w:hAnsi="Symbol" w:hint="default"/>
      </w:rPr>
    </w:lvl>
    <w:lvl w:ilvl="7" w:tplc="040C0003" w:tentative="1">
      <w:start w:val="1"/>
      <w:numFmt w:val="bullet"/>
      <w:lvlText w:val="o"/>
      <w:lvlJc w:val="left"/>
      <w:pPr>
        <w:tabs>
          <w:tab w:val="num" w:pos="5194"/>
        </w:tabs>
        <w:ind w:left="5194" w:hanging="360"/>
      </w:pPr>
      <w:rPr>
        <w:rFonts w:ascii="Courier New" w:hAnsi="Courier New" w:hint="default"/>
      </w:rPr>
    </w:lvl>
    <w:lvl w:ilvl="8" w:tplc="040C0005" w:tentative="1">
      <w:start w:val="1"/>
      <w:numFmt w:val="bullet"/>
      <w:lvlText w:val=""/>
      <w:lvlJc w:val="left"/>
      <w:pPr>
        <w:tabs>
          <w:tab w:val="num" w:pos="5914"/>
        </w:tabs>
        <w:ind w:left="5914" w:hanging="360"/>
      </w:pPr>
      <w:rPr>
        <w:rFonts w:ascii="Wingdings" w:hAnsi="Wingdings" w:hint="default"/>
      </w:rPr>
    </w:lvl>
  </w:abstractNum>
  <w:abstractNum w:abstractNumId="9">
    <w:nsid w:val="33CC5BFC"/>
    <w:multiLevelType w:val="multilevel"/>
    <w:tmpl w:val="4666479A"/>
    <w:lvl w:ilvl="0">
      <w:start w:val="6"/>
      <w:numFmt w:val="decimal"/>
      <w:lvlText w:val="%1."/>
      <w:lvlJc w:val="left"/>
      <w:pPr>
        <w:tabs>
          <w:tab w:val="num" w:pos="570"/>
        </w:tabs>
        <w:ind w:left="570" w:hanging="570"/>
      </w:pPr>
      <w:rPr>
        <w:rFonts w:hint="default"/>
      </w:rPr>
    </w:lvl>
    <w:lvl w:ilvl="1">
      <w:start w:val="8"/>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0">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7556ED6"/>
    <w:multiLevelType w:val="hybridMultilevel"/>
    <w:tmpl w:val="4B648B9A"/>
    <w:lvl w:ilvl="0" w:tplc="04080001">
      <w:start w:val="1"/>
      <w:numFmt w:val="bullet"/>
      <w:lvlText w:val=""/>
      <w:lvlJc w:val="left"/>
      <w:pPr>
        <w:tabs>
          <w:tab w:val="num" w:pos="927"/>
        </w:tabs>
        <w:ind w:left="927" w:hanging="360"/>
      </w:pPr>
      <w:rPr>
        <w:rFonts w:ascii="Symbol" w:hAnsi="Symbol" w:hint="default"/>
      </w:rPr>
    </w:lvl>
    <w:lvl w:ilvl="1" w:tplc="04080003" w:tentative="1">
      <w:start w:val="1"/>
      <w:numFmt w:val="bullet"/>
      <w:lvlText w:val="o"/>
      <w:lvlJc w:val="left"/>
      <w:pPr>
        <w:tabs>
          <w:tab w:val="num" w:pos="1647"/>
        </w:tabs>
        <w:ind w:left="1647" w:hanging="360"/>
      </w:pPr>
      <w:rPr>
        <w:rFonts w:ascii="Courier New" w:hAnsi="Courier New" w:cs="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cs="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cs="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12">
    <w:nsid w:val="398A135F"/>
    <w:multiLevelType w:val="singleLevel"/>
    <w:tmpl w:val="02469680"/>
    <w:lvl w:ilvl="0">
      <w:start w:val="2"/>
      <w:numFmt w:val="bullet"/>
      <w:lvlText w:val="-"/>
      <w:lvlJc w:val="left"/>
      <w:pPr>
        <w:tabs>
          <w:tab w:val="num" w:pos="360"/>
        </w:tabs>
        <w:ind w:left="360" w:hanging="360"/>
      </w:pPr>
      <w:rPr>
        <w:rFonts w:hint="default"/>
      </w:rPr>
    </w:lvl>
  </w:abstractNum>
  <w:abstractNum w:abstractNumId="13">
    <w:nsid w:val="3B7B0FB5"/>
    <w:multiLevelType w:val="hybridMultilevel"/>
    <w:tmpl w:val="AA3EB6E2"/>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4">
    <w:nsid w:val="41AE7CE3"/>
    <w:multiLevelType w:val="singleLevel"/>
    <w:tmpl w:val="02469680"/>
    <w:lvl w:ilvl="0">
      <w:start w:val="4"/>
      <w:numFmt w:val="bullet"/>
      <w:lvlText w:val="-"/>
      <w:lvlJc w:val="left"/>
      <w:pPr>
        <w:tabs>
          <w:tab w:val="num" w:pos="360"/>
        </w:tabs>
        <w:ind w:left="360" w:hanging="360"/>
      </w:pPr>
      <w:rPr>
        <w:rFonts w:hint="default"/>
      </w:rPr>
    </w:lvl>
  </w:abstractNum>
  <w:abstractNum w:abstractNumId="15">
    <w:nsid w:val="50755F79"/>
    <w:multiLevelType w:val="singleLevel"/>
    <w:tmpl w:val="04080001"/>
    <w:lvl w:ilvl="0">
      <w:start w:val="4"/>
      <w:numFmt w:val="bullet"/>
      <w:lvlText w:val=""/>
      <w:lvlJc w:val="left"/>
      <w:pPr>
        <w:tabs>
          <w:tab w:val="num" w:pos="360"/>
        </w:tabs>
        <w:ind w:left="360" w:hanging="360"/>
      </w:pPr>
      <w:rPr>
        <w:rFonts w:ascii="Symbol" w:hAnsi="Symbol" w:hint="default"/>
      </w:rPr>
    </w:lvl>
  </w:abstractNum>
  <w:abstractNum w:abstractNumId="16">
    <w:nsid w:val="5C18519C"/>
    <w:multiLevelType w:val="singleLevel"/>
    <w:tmpl w:val="103AEC30"/>
    <w:lvl w:ilvl="0">
      <w:start w:val="1"/>
      <w:numFmt w:val="bullet"/>
      <w:pStyle w:val="Bullet4"/>
      <w:lvlText w:val=""/>
      <w:lvlJc w:val="left"/>
      <w:pPr>
        <w:tabs>
          <w:tab w:val="num" w:pos="927"/>
        </w:tabs>
        <w:ind w:left="907" w:hanging="340"/>
      </w:pPr>
      <w:rPr>
        <w:rFonts w:ascii="Symbol" w:hAnsi="Symbol" w:hint="default"/>
      </w:rPr>
    </w:lvl>
  </w:abstractNum>
  <w:abstractNum w:abstractNumId="17">
    <w:nsid w:val="60E75297"/>
    <w:multiLevelType w:val="hybridMultilevel"/>
    <w:tmpl w:val="6A825F7E"/>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8">
    <w:nsid w:val="67E500A8"/>
    <w:multiLevelType w:val="singleLevel"/>
    <w:tmpl w:val="FFFFFFFF"/>
    <w:lvl w:ilvl="0">
      <w:start w:val="1"/>
      <w:numFmt w:val="bullet"/>
      <w:lvlText w:val=""/>
      <w:legacy w:legacy="1" w:legacySpace="0" w:legacyIndent="360"/>
      <w:lvlJc w:val="left"/>
      <w:pPr>
        <w:ind w:left="1778" w:hanging="360"/>
      </w:pPr>
      <w:rPr>
        <w:rFonts w:ascii="Symbol" w:hAnsi="Symbol" w:hint="default"/>
      </w:rPr>
    </w:lvl>
  </w:abstractNum>
  <w:abstractNum w:abstractNumId="19">
    <w:nsid w:val="6A336311"/>
    <w:multiLevelType w:val="singleLevel"/>
    <w:tmpl w:val="A498DA68"/>
    <w:lvl w:ilvl="0">
      <w:start w:val="1"/>
      <w:numFmt w:val="decimal"/>
      <w:pStyle w:val="Number1"/>
      <w:lvlText w:val="%1)"/>
      <w:lvlJc w:val="left"/>
      <w:pPr>
        <w:tabs>
          <w:tab w:val="num" w:pos="567"/>
        </w:tabs>
        <w:ind w:left="567" w:hanging="567"/>
      </w:pPr>
      <w:rPr>
        <w:rFonts w:hint="default"/>
        <w:u w:val="none"/>
      </w:rPr>
    </w:lvl>
  </w:abstractNum>
  <w:abstractNum w:abstractNumId="20">
    <w:nsid w:val="6AE3505E"/>
    <w:multiLevelType w:val="hybridMultilevel"/>
    <w:tmpl w:val="E69210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6B184914"/>
    <w:multiLevelType w:val="hybridMultilevel"/>
    <w:tmpl w:val="77323862"/>
    <w:lvl w:ilvl="0" w:tplc="23307042">
      <w:numFmt w:val="bullet"/>
      <w:lvlText w:val=""/>
      <w:lvlJc w:val="left"/>
      <w:pPr>
        <w:tabs>
          <w:tab w:val="num" w:pos="1068"/>
        </w:tabs>
        <w:ind w:left="992" w:hanging="284"/>
      </w:pPr>
      <w:rPr>
        <w:rFonts w:ascii="Wingdings" w:hAnsi="Wingdings" w:hint="default"/>
        <w:sz w:val="20"/>
      </w:rPr>
    </w:lvl>
    <w:lvl w:ilvl="1" w:tplc="040C0003">
      <w:start w:val="1"/>
      <w:numFmt w:val="decimal"/>
      <w:lvlText w:val="%2."/>
      <w:lvlJc w:val="left"/>
      <w:pPr>
        <w:tabs>
          <w:tab w:val="num" w:pos="447"/>
        </w:tabs>
        <w:ind w:left="447" w:hanging="360"/>
      </w:pPr>
    </w:lvl>
    <w:lvl w:ilvl="2" w:tplc="040C0005">
      <w:start w:val="1"/>
      <w:numFmt w:val="decimal"/>
      <w:lvlText w:val="%3."/>
      <w:lvlJc w:val="left"/>
      <w:pPr>
        <w:tabs>
          <w:tab w:val="num" w:pos="1167"/>
        </w:tabs>
        <w:ind w:left="1167" w:hanging="360"/>
      </w:pPr>
    </w:lvl>
    <w:lvl w:ilvl="3" w:tplc="040C0001">
      <w:start w:val="1"/>
      <w:numFmt w:val="decimal"/>
      <w:lvlText w:val="%4."/>
      <w:lvlJc w:val="left"/>
      <w:pPr>
        <w:tabs>
          <w:tab w:val="num" w:pos="1887"/>
        </w:tabs>
        <w:ind w:left="1887" w:hanging="360"/>
      </w:pPr>
    </w:lvl>
    <w:lvl w:ilvl="4" w:tplc="040C0003">
      <w:start w:val="1"/>
      <w:numFmt w:val="decimal"/>
      <w:lvlText w:val="%5."/>
      <w:lvlJc w:val="left"/>
      <w:pPr>
        <w:tabs>
          <w:tab w:val="num" w:pos="2607"/>
        </w:tabs>
        <w:ind w:left="2607" w:hanging="360"/>
      </w:pPr>
    </w:lvl>
    <w:lvl w:ilvl="5" w:tplc="040C0005">
      <w:start w:val="1"/>
      <w:numFmt w:val="decimal"/>
      <w:lvlText w:val="%6."/>
      <w:lvlJc w:val="left"/>
      <w:pPr>
        <w:tabs>
          <w:tab w:val="num" w:pos="3327"/>
        </w:tabs>
        <w:ind w:left="3327" w:hanging="360"/>
      </w:pPr>
    </w:lvl>
    <w:lvl w:ilvl="6" w:tplc="040C0001">
      <w:start w:val="1"/>
      <w:numFmt w:val="decimal"/>
      <w:lvlText w:val="%7."/>
      <w:lvlJc w:val="left"/>
      <w:pPr>
        <w:tabs>
          <w:tab w:val="num" w:pos="4047"/>
        </w:tabs>
        <w:ind w:left="4047" w:hanging="360"/>
      </w:pPr>
    </w:lvl>
    <w:lvl w:ilvl="7" w:tplc="040C0003">
      <w:start w:val="1"/>
      <w:numFmt w:val="decimal"/>
      <w:lvlText w:val="%8."/>
      <w:lvlJc w:val="left"/>
      <w:pPr>
        <w:tabs>
          <w:tab w:val="num" w:pos="4767"/>
        </w:tabs>
        <w:ind w:left="4767" w:hanging="360"/>
      </w:pPr>
    </w:lvl>
    <w:lvl w:ilvl="8" w:tplc="040C0005">
      <w:start w:val="1"/>
      <w:numFmt w:val="decimal"/>
      <w:lvlText w:val="%9."/>
      <w:lvlJc w:val="left"/>
      <w:pPr>
        <w:tabs>
          <w:tab w:val="num" w:pos="5487"/>
        </w:tabs>
        <w:ind w:left="5487" w:hanging="360"/>
      </w:pPr>
    </w:lvl>
  </w:abstractNum>
  <w:abstractNum w:abstractNumId="22">
    <w:nsid w:val="73E0286B"/>
    <w:multiLevelType w:val="hybridMultilevel"/>
    <w:tmpl w:val="9B266CDE"/>
    <w:lvl w:ilvl="0" w:tplc="D15AE5B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4A82935"/>
    <w:multiLevelType w:val="singleLevel"/>
    <w:tmpl w:val="4F6C45E2"/>
    <w:lvl w:ilvl="0">
      <w:start w:val="1"/>
      <w:numFmt w:val="bullet"/>
      <w:pStyle w:val="Bullet3"/>
      <w:lvlText w:val="–"/>
      <w:lvlJc w:val="left"/>
      <w:pPr>
        <w:tabs>
          <w:tab w:val="num" w:pos="927"/>
        </w:tabs>
        <w:ind w:left="907" w:hanging="340"/>
      </w:pPr>
      <w:rPr>
        <w:rFonts w:ascii="Times New Roman" w:hAnsi="Times New Roman" w:hint="default"/>
      </w:rPr>
    </w:lvl>
  </w:abstractNum>
  <w:abstractNum w:abstractNumId="24">
    <w:nsid w:val="7BF94C52"/>
    <w:multiLevelType w:val="hybridMultilevel"/>
    <w:tmpl w:val="4BF6996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5">
    <w:nsid w:val="7E2D635E"/>
    <w:multiLevelType w:val="singleLevel"/>
    <w:tmpl w:val="A1AA80A2"/>
    <w:lvl w:ilvl="0">
      <w:start w:val="4"/>
      <w:numFmt w:val="bullet"/>
      <w:pStyle w:val="Bullet1"/>
      <w:lvlText w:val=""/>
      <w:lvlJc w:val="left"/>
      <w:pPr>
        <w:tabs>
          <w:tab w:val="num" w:pos="360"/>
        </w:tabs>
        <w:ind w:left="340" w:hanging="34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19"/>
  </w:num>
  <w:num w:numId="5">
    <w:abstractNumId w:val="15"/>
  </w:num>
  <w:num w:numId="6">
    <w:abstractNumId w:val="9"/>
  </w:num>
  <w:num w:numId="7">
    <w:abstractNumId w:val="4"/>
  </w:num>
  <w:num w:numId="8">
    <w:abstractNumId w:val="12"/>
  </w:num>
  <w:num w:numId="9">
    <w:abstractNumId w:val="18"/>
  </w:num>
  <w:num w:numId="10">
    <w:abstractNumId w:val="25"/>
  </w:num>
  <w:num w:numId="11">
    <w:abstractNumId w:val="23"/>
  </w:num>
  <w:num w:numId="12">
    <w:abstractNumId w:val="6"/>
  </w:num>
  <w:num w:numId="13">
    <w:abstractNumId w:val="6"/>
  </w:num>
  <w:num w:numId="14">
    <w:abstractNumId w:val="25"/>
  </w:num>
  <w:num w:numId="15">
    <w:abstractNumId w:val="23"/>
  </w:num>
  <w:num w:numId="16">
    <w:abstractNumId w:val="16"/>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21"/>
  </w:num>
  <w:num w:numId="21">
    <w:abstractNumId w:val="7"/>
  </w:num>
  <w:num w:numId="22">
    <w:abstractNumId w:val="11"/>
  </w:num>
  <w:num w:numId="23">
    <w:abstractNumId w:val="16"/>
  </w:num>
  <w:num w:numId="24">
    <w:abstractNumId w:val="16"/>
  </w:num>
  <w:num w:numId="25">
    <w:abstractNumId w:val="6"/>
  </w:num>
  <w:num w:numId="26">
    <w:abstractNumId w:val="22"/>
  </w:num>
  <w:num w:numId="27">
    <w:abstractNumId w:val="3"/>
  </w:num>
  <w:num w:numId="28">
    <w:abstractNumId w:val="10"/>
  </w:num>
  <w:num w:numId="29">
    <w:abstractNumId w:val="8"/>
  </w:num>
  <w:num w:numId="30">
    <w:abstractNumId w:val="17"/>
  </w:num>
  <w:num w:numId="31">
    <w:abstractNumId w:val="13"/>
  </w:num>
  <w:num w:numId="32">
    <w:abstractNumId w:val="24"/>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B8"/>
    <w:rsid w:val="000325DB"/>
    <w:rsid w:val="00040F75"/>
    <w:rsid w:val="000455A7"/>
    <w:rsid w:val="0004744B"/>
    <w:rsid w:val="0006617B"/>
    <w:rsid w:val="0009543F"/>
    <w:rsid w:val="00097E23"/>
    <w:rsid w:val="000A2738"/>
    <w:rsid w:val="000A6F5B"/>
    <w:rsid w:val="000B7CDD"/>
    <w:rsid w:val="000C1F8A"/>
    <w:rsid w:val="000C2612"/>
    <w:rsid w:val="000D0C0A"/>
    <w:rsid w:val="000D5E5F"/>
    <w:rsid w:val="000E1183"/>
    <w:rsid w:val="001071AA"/>
    <w:rsid w:val="00124D7C"/>
    <w:rsid w:val="00126629"/>
    <w:rsid w:val="0014741D"/>
    <w:rsid w:val="0015355F"/>
    <w:rsid w:val="00157A89"/>
    <w:rsid w:val="00175B8F"/>
    <w:rsid w:val="00181912"/>
    <w:rsid w:val="00187777"/>
    <w:rsid w:val="00195DAD"/>
    <w:rsid w:val="00195E2B"/>
    <w:rsid w:val="001A00A4"/>
    <w:rsid w:val="001A537A"/>
    <w:rsid w:val="001A5B5E"/>
    <w:rsid w:val="001A6A8D"/>
    <w:rsid w:val="001B390A"/>
    <w:rsid w:val="001B4025"/>
    <w:rsid w:val="001C201B"/>
    <w:rsid w:val="001F0309"/>
    <w:rsid w:val="00223D9D"/>
    <w:rsid w:val="002367E7"/>
    <w:rsid w:val="00241C74"/>
    <w:rsid w:val="00245442"/>
    <w:rsid w:val="00250CF2"/>
    <w:rsid w:val="002510BE"/>
    <w:rsid w:val="0025183E"/>
    <w:rsid w:val="00252A3E"/>
    <w:rsid w:val="00254763"/>
    <w:rsid w:val="00290286"/>
    <w:rsid w:val="002A2675"/>
    <w:rsid w:val="002A5549"/>
    <w:rsid w:val="002B0004"/>
    <w:rsid w:val="002B4B4D"/>
    <w:rsid w:val="002C1641"/>
    <w:rsid w:val="002D2196"/>
    <w:rsid w:val="002D7604"/>
    <w:rsid w:val="002E28D9"/>
    <w:rsid w:val="002F190C"/>
    <w:rsid w:val="002F286D"/>
    <w:rsid w:val="002F44C2"/>
    <w:rsid w:val="00300E26"/>
    <w:rsid w:val="00313E5E"/>
    <w:rsid w:val="0032247F"/>
    <w:rsid w:val="00337C4A"/>
    <w:rsid w:val="00346127"/>
    <w:rsid w:val="0034739D"/>
    <w:rsid w:val="00367CB4"/>
    <w:rsid w:val="00370226"/>
    <w:rsid w:val="0038495D"/>
    <w:rsid w:val="00387586"/>
    <w:rsid w:val="003C0D57"/>
    <w:rsid w:val="003C4446"/>
    <w:rsid w:val="003D06D7"/>
    <w:rsid w:val="003E220B"/>
    <w:rsid w:val="003F7FD2"/>
    <w:rsid w:val="0041797C"/>
    <w:rsid w:val="00426CA8"/>
    <w:rsid w:val="00431BD4"/>
    <w:rsid w:val="00436908"/>
    <w:rsid w:val="00443D72"/>
    <w:rsid w:val="0044452B"/>
    <w:rsid w:val="004460C9"/>
    <w:rsid w:val="00453F53"/>
    <w:rsid w:val="004920B7"/>
    <w:rsid w:val="004C0347"/>
    <w:rsid w:val="004C1830"/>
    <w:rsid w:val="004C296F"/>
    <w:rsid w:val="004C62B1"/>
    <w:rsid w:val="004C6E82"/>
    <w:rsid w:val="004D5922"/>
    <w:rsid w:val="004D5E94"/>
    <w:rsid w:val="004E3985"/>
    <w:rsid w:val="005270C8"/>
    <w:rsid w:val="00533343"/>
    <w:rsid w:val="00533B77"/>
    <w:rsid w:val="0053742D"/>
    <w:rsid w:val="00564F82"/>
    <w:rsid w:val="00575A51"/>
    <w:rsid w:val="00577D3D"/>
    <w:rsid w:val="00580F01"/>
    <w:rsid w:val="00583567"/>
    <w:rsid w:val="005A1C0E"/>
    <w:rsid w:val="005B6C30"/>
    <w:rsid w:val="005E0C0F"/>
    <w:rsid w:val="005E4713"/>
    <w:rsid w:val="00614772"/>
    <w:rsid w:val="00643A74"/>
    <w:rsid w:val="0065710A"/>
    <w:rsid w:val="00670267"/>
    <w:rsid w:val="0069336B"/>
    <w:rsid w:val="006B782A"/>
    <w:rsid w:val="006C51A4"/>
    <w:rsid w:val="006D4B85"/>
    <w:rsid w:val="006F2D01"/>
    <w:rsid w:val="006F3C76"/>
    <w:rsid w:val="006F5326"/>
    <w:rsid w:val="0070486D"/>
    <w:rsid w:val="007118C9"/>
    <w:rsid w:val="00727FD8"/>
    <w:rsid w:val="007307AB"/>
    <w:rsid w:val="00756FF1"/>
    <w:rsid w:val="00757BA6"/>
    <w:rsid w:val="00766052"/>
    <w:rsid w:val="00780E25"/>
    <w:rsid w:val="007850AF"/>
    <w:rsid w:val="007B29A8"/>
    <w:rsid w:val="007C490C"/>
    <w:rsid w:val="007C68F3"/>
    <w:rsid w:val="007D16BD"/>
    <w:rsid w:val="007D4587"/>
    <w:rsid w:val="007D5580"/>
    <w:rsid w:val="007E1E8E"/>
    <w:rsid w:val="007E2517"/>
    <w:rsid w:val="007E4614"/>
    <w:rsid w:val="00814CAC"/>
    <w:rsid w:val="0081523E"/>
    <w:rsid w:val="0081675A"/>
    <w:rsid w:val="008235C7"/>
    <w:rsid w:val="00830D78"/>
    <w:rsid w:val="00832A3C"/>
    <w:rsid w:val="008414E5"/>
    <w:rsid w:val="00852108"/>
    <w:rsid w:val="008606D3"/>
    <w:rsid w:val="00862E48"/>
    <w:rsid w:val="008849C7"/>
    <w:rsid w:val="008902F0"/>
    <w:rsid w:val="008A1104"/>
    <w:rsid w:val="008A6D1E"/>
    <w:rsid w:val="008A73DB"/>
    <w:rsid w:val="008B4A4B"/>
    <w:rsid w:val="008E1BC8"/>
    <w:rsid w:val="008E1DFD"/>
    <w:rsid w:val="008E7921"/>
    <w:rsid w:val="008F392D"/>
    <w:rsid w:val="008F41FB"/>
    <w:rsid w:val="008F623A"/>
    <w:rsid w:val="008F6717"/>
    <w:rsid w:val="009214A5"/>
    <w:rsid w:val="00924E79"/>
    <w:rsid w:val="009255C2"/>
    <w:rsid w:val="00926EEF"/>
    <w:rsid w:val="00947BB8"/>
    <w:rsid w:val="009551A7"/>
    <w:rsid w:val="00967782"/>
    <w:rsid w:val="00975949"/>
    <w:rsid w:val="0098023F"/>
    <w:rsid w:val="009A4EB4"/>
    <w:rsid w:val="009A5291"/>
    <w:rsid w:val="009E017C"/>
    <w:rsid w:val="009F0411"/>
    <w:rsid w:val="009F471B"/>
    <w:rsid w:val="00A0347D"/>
    <w:rsid w:val="00A06D3F"/>
    <w:rsid w:val="00A14271"/>
    <w:rsid w:val="00A16572"/>
    <w:rsid w:val="00A64D14"/>
    <w:rsid w:val="00A77130"/>
    <w:rsid w:val="00A81A2E"/>
    <w:rsid w:val="00A82FFA"/>
    <w:rsid w:val="00AA247E"/>
    <w:rsid w:val="00AB45DE"/>
    <w:rsid w:val="00AC1350"/>
    <w:rsid w:val="00AC25B6"/>
    <w:rsid w:val="00AC6F06"/>
    <w:rsid w:val="00AD1DF9"/>
    <w:rsid w:val="00AD34F6"/>
    <w:rsid w:val="00AD545F"/>
    <w:rsid w:val="00AD5BD1"/>
    <w:rsid w:val="00AE20BC"/>
    <w:rsid w:val="00AF1D5F"/>
    <w:rsid w:val="00AF2D4D"/>
    <w:rsid w:val="00AF79A8"/>
    <w:rsid w:val="00B04CFB"/>
    <w:rsid w:val="00B13FDD"/>
    <w:rsid w:val="00B20DF6"/>
    <w:rsid w:val="00B45C33"/>
    <w:rsid w:val="00B5256C"/>
    <w:rsid w:val="00B52DFE"/>
    <w:rsid w:val="00B56CEF"/>
    <w:rsid w:val="00B56F08"/>
    <w:rsid w:val="00B66E78"/>
    <w:rsid w:val="00B93D90"/>
    <w:rsid w:val="00BA2037"/>
    <w:rsid w:val="00BB1304"/>
    <w:rsid w:val="00BB79FE"/>
    <w:rsid w:val="00BC0E0C"/>
    <w:rsid w:val="00BC5EEA"/>
    <w:rsid w:val="00BC7A8A"/>
    <w:rsid w:val="00BE07A9"/>
    <w:rsid w:val="00BE0849"/>
    <w:rsid w:val="00BE182B"/>
    <w:rsid w:val="00BE5A47"/>
    <w:rsid w:val="00BE6269"/>
    <w:rsid w:val="00BE7F51"/>
    <w:rsid w:val="00BF39A5"/>
    <w:rsid w:val="00C0264F"/>
    <w:rsid w:val="00C02959"/>
    <w:rsid w:val="00C241AA"/>
    <w:rsid w:val="00C36FB9"/>
    <w:rsid w:val="00C50A19"/>
    <w:rsid w:val="00C535F8"/>
    <w:rsid w:val="00C62B68"/>
    <w:rsid w:val="00C648D7"/>
    <w:rsid w:val="00C7114B"/>
    <w:rsid w:val="00C74C51"/>
    <w:rsid w:val="00CA5081"/>
    <w:rsid w:val="00CA6214"/>
    <w:rsid w:val="00CD757F"/>
    <w:rsid w:val="00CE224D"/>
    <w:rsid w:val="00D0173C"/>
    <w:rsid w:val="00D158AA"/>
    <w:rsid w:val="00D3083A"/>
    <w:rsid w:val="00D35D05"/>
    <w:rsid w:val="00D632DC"/>
    <w:rsid w:val="00D64C81"/>
    <w:rsid w:val="00D728A3"/>
    <w:rsid w:val="00D828AF"/>
    <w:rsid w:val="00D95145"/>
    <w:rsid w:val="00DC0CC1"/>
    <w:rsid w:val="00DC58B6"/>
    <w:rsid w:val="00DE38A3"/>
    <w:rsid w:val="00DE3EE2"/>
    <w:rsid w:val="00DF5D4B"/>
    <w:rsid w:val="00DF67DC"/>
    <w:rsid w:val="00E329CA"/>
    <w:rsid w:val="00E40947"/>
    <w:rsid w:val="00E44F01"/>
    <w:rsid w:val="00E50BC4"/>
    <w:rsid w:val="00E61F61"/>
    <w:rsid w:val="00E652F8"/>
    <w:rsid w:val="00E70E2F"/>
    <w:rsid w:val="00E71007"/>
    <w:rsid w:val="00E71569"/>
    <w:rsid w:val="00E77BBD"/>
    <w:rsid w:val="00EA0243"/>
    <w:rsid w:val="00EA29CC"/>
    <w:rsid w:val="00EA3F0E"/>
    <w:rsid w:val="00EB3BA7"/>
    <w:rsid w:val="00ED4A4D"/>
    <w:rsid w:val="00EE1710"/>
    <w:rsid w:val="00EE2918"/>
    <w:rsid w:val="00F1336D"/>
    <w:rsid w:val="00F41DDB"/>
    <w:rsid w:val="00F64940"/>
    <w:rsid w:val="00F815B8"/>
    <w:rsid w:val="00F90D71"/>
    <w:rsid w:val="00F90F22"/>
    <w:rsid w:val="00FA212C"/>
    <w:rsid w:val="00FC08C1"/>
    <w:rsid w:val="00FD02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CC1"/>
    <w:pPr>
      <w:spacing w:before="60" w:after="60"/>
    </w:pPr>
    <w:rPr>
      <w:sz w:val="24"/>
      <w:lang w:val="en-GB"/>
    </w:rPr>
  </w:style>
  <w:style w:type="paragraph" w:styleId="1">
    <w:name w:val="heading 1"/>
    <w:basedOn w:val="a"/>
    <w:next w:val="a"/>
    <w:qFormat/>
    <w:pPr>
      <w:keepNext/>
      <w:numPr>
        <w:numId w:val="13"/>
      </w:numPr>
      <w:spacing w:before="240"/>
      <w:jc w:val="both"/>
      <w:outlineLvl w:val="0"/>
    </w:pPr>
    <w:rPr>
      <w:b/>
      <w:caps/>
      <w:lang w:val="el-GR"/>
    </w:rPr>
  </w:style>
  <w:style w:type="paragraph" w:styleId="2">
    <w:name w:val="heading 2"/>
    <w:basedOn w:val="a"/>
    <w:next w:val="a"/>
    <w:qFormat/>
    <w:pPr>
      <w:keepNext/>
      <w:numPr>
        <w:ilvl w:val="1"/>
        <w:numId w:val="13"/>
      </w:numPr>
      <w:spacing w:before="240"/>
      <w:outlineLvl w:val="1"/>
    </w:pPr>
    <w:rPr>
      <w:b/>
      <w:lang w:val="el-GR"/>
    </w:rPr>
  </w:style>
  <w:style w:type="paragraph" w:styleId="3">
    <w:name w:val="heading 3"/>
    <w:basedOn w:val="a"/>
    <w:next w:val="a"/>
    <w:qFormat/>
    <w:pPr>
      <w:keepNext/>
      <w:spacing w:before="120"/>
      <w:ind w:left="567"/>
      <w:jc w:val="both"/>
      <w:outlineLvl w:val="2"/>
    </w:pPr>
    <w:rPr>
      <w:b/>
      <w:u w:val="single"/>
      <w:lang w:val="el-GR"/>
    </w:rPr>
  </w:style>
  <w:style w:type="paragraph" w:styleId="4">
    <w:name w:val="heading 4"/>
    <w:basedOn w:val="a"/>
    <w:next w:val="a"/>
    <w:qFormat/>
    <w:pPr>
      <w:keepNext/>
      <w:spacing w:before="120" w:after="120"/>
      <w:ind w:right="572"/>
      <w:jc w:val="both"/>
      <w:outlineLvl w:val="3"/>
    </w:pPr>
    <w:rPr>
      <w:b/>
      <w:u w:val="double"/>
      <w:lang w:val="el-GR"/>
    </w:rPr>
  </w:style>
  <w:style w:type="paragraph" w:styleId="5">
    <w:name w:val="heading 5"/>
    <w:basedOn w:val="a"/>
    <w:next w:val="a"/>
    <w:qFormat/>
    <w:pPr>
      <w:spacing w:before="120" w:after="120"/>
      <w:ind w:left="567"/>
      <w:outlineLvl w:val="4"/>
    </w:pPr>
    <w:rPr>
      <w:i/>
    </w:rPr>
  </w:style>
  <w:style w:type="paragraph" w:styleId="6">
    <w:name w:val="heading 6"/>
    <w:basedOn w:val="a"/>
    <w:next w:val="a"/>
    <w:qFormat/>
    <w:pPr>
      <w:spacing w:before="240"/>
      <w:ind w:left="567"/>
      <w:outlineLvl w:val="5"/>
    </w:pPr>
    <w:rPr>
      <w:i/>
      <w:u w:val="single"/>
    </w:rPr>
  </w:style>
  <w:style w:type="paragraph" w:styleId="7">
    <w:name w:val="heading 7"/>
    <w:basedOn w:val="a"/>
    <w:next w:val="a"/>
    <w:qFormat/>
    <w:pPr>
      <w:spacing w:before="240"/>
      <w:outlineLvl w:val="6"/>
    </w:pPr>
    <w:rPr>
      <w:rFonts w:ascii="Arial" w:hAnsi="Arial"/>
    </w:rPr>
  </w:style>
  <w:style w:type="paragraph" w:styleId="8">
    <w:name w:val="heading 8"/>
    <w:basedOn w:val="a"/>
    <w:next w:val="a"/>
    <w:qFormat/>
    <w:pPr>
      <w:spacing w:before="240"/>
      <w:outlineLvl w:val="7"/>
    </w:pPr>
    <w:rPr>
      <w:rFonts w:ascii="Arial" w:hAnsi="Arial"/>
      <w:i/>
    </w:rPr>
  </w:style>
  <w:style w:type="paragraph" w:styleId="9">
    <w:name w:val="heading 9"/>
    <w:basedOn w:val="a"/>
    <w:next w:val="a"/>
    <w:link w:val="9Char"/>
    <w:qFormat/>
    <w:pPr>
      <w:spacing w:before="24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19"/>
        <w:tab w:val="right" w:pos="9071"/>
      </w:tabs>
    </w:pPr>
  </w:style>
  <w:style w:type="character" w:styleId="a4">
    <w:name w:val="page number"/>
    <w:basedOn w:val="a0"/>
  </w:style>
  <w:style w:type="paragraph" w:styleId="a5">
    <w:name w:val="Body Text Indent"/>
    <w:basedOn w:val="a"/>
    <w:pPr>
      <w:spacing w:before="120" w:after="120"/>
      <w:ind w:left="360"/>
      <w:jc w:val="both"/>
    </w:pPr>
    <w:rPr>
      <w:lang w:val="el-GR"/>
    </w:rPr>
  </w:style>
  <w:style w:type="paragraph" w:styleId="a6">
    <w:name w:val="Body Text"/>
    <w:basedOn w:val="a"/>
    <w:pPr>
      <w:tabs>
        <w:tab w:val="left" w:pos="0"/>
      </w:tabs>
      <w:spacing w:before="120" w:after="120"/>
      <w:jc w:val="both"/>
    </w:pPr>
    <w:rPr>
      <w:lang w:val="el-GR"/>
    </w:rPr>
  </w:style>
  <w:style w:type="paragraph" w:styleId="a7">
    <w:name w:val="header"/>
    <w:basedOn w:val="a"/>
    <w:pPr>
      <w:tabs>
        <w:tab w:val="center" w:pos="4153"/>
        <w:tab w:val="right" w:pos="8306"/>
      </w:tabs>
    </w:pPr>
  </w:style>
  <w:style w:type="paragraph" w:styleId="20">
    <w:name w:val="Body Text 2"/>
    <w:basedOn w:val="a"/>
    <w:pPr>
      <w:spacing w:before="120" w:after="120"/>
    </w:pPr>
    <w:rPr>
      <w:lang w:val="en-US"/>
    </w:rPr>
  </w:style>
  <w:style w:type="paragraph" w:styleId="21">
    <w:name w:val="Body Text Indent 2"/>
    <w:basedOn w:val="a"/>
    <w:pPr>
      <w:spacing w:before="120" w:after="120"/>
      <w:ind w:left="709"/>
      <w:jc w:val="both"/>
    </w:pPr>
    <w:rPr>
      <w:lang w:val="el-GR"/>
    </w:rPr>
  </w:style>
  <w:style w:type="paragraph" w:styleId="a8">
    <w:name w:val="Block Text"/>
    <w:basedOn w:val="a"/>
    <w:pPr>
      <w:ind w:left="567"/>
      <w:jc w:val="both"/>
    </w:pPr>
    <w:rPr>
      <w:lang w:val="el-GR"/>
    </w:rPr>
  </w:style>
  <w:style w:type="paragraph" w:customStyle="1" w:styleId="Bullet1">
    <w:name w:val="Bullet1"/>
    <w:basedOn w:val="a"/>
    <w:pPr>
      <w:numPr>
        <w:numId w:val="14"/>
      </w:numPr>
      <w:tabs>
        <w:tab w:val="clear" w:pos="360"/>
        <w:tab w:val="left" w:pos="340"/>
      </w:tabs>
      <w:jc w:val="both"/>
    </w:pPr>
    <w:rPr>
      <w:lang w:val="el-GR"/>
    </w:rPr>
  </w:style>
  <w:style w:type="paragraph" w:customStyle="1" w:styleId="Bullet2">
    <w:name w:val="Bullet2"/>
    <w:basedOn w:val="Bullet1"/>
    <w:pPr>
      <w:numPr>
        <w:numId w:val="0"/>
      </w:numPr>
      <w:tabs>
        <w:tab w:val="left" w:pos="340"/>
        <w:tab w:val="left" w:pos="567"/>
      </w:tabs>
      <w:ind w:left="567" w:hanging="340"/>
    </w:pPr>
  </w:style>
  <w:style w:type="paragraph" w:customStyle="1" w:styleId="Bullet3">
    <w:name w:val="Bullet3"/>
    <w:basedOn w:val="Bullet2"/>
    <w:pPr>
      <w:numPr>
        <w:numId w:val="15"/>
      </w:numPr>
      <w:tabs>
        <w:tab w:val="clear" w:pos="567"/>
        <w:tab w:val="clear" w:pos="927"/>
        <w:tab w:val="left" w:pos="907"/>
      </w:tabs>
    </w:pPr>
  </w:style>
  <w:style w:type="paragraph" w:styleId="a9">
    <w:name w:val="Title"/>
    <w:basedOn w:val="a"/>
    <w:qFormat/>
    <w:pPr>
      <w:pBdr>
        <w:top w:val="single" w:sz="6" w:space="2" w:color="auto" w:shadow="1"/>
        <w:left w:val="single" w:sz="6" w:space="2" w:color="auto" w:shadow="1"/>
        <w:bottom w:val="single" w:sz="6" w:space="2" w:color="auto" w:shadow="1"/>
        <w:right w:val="single" w:sz="6" w:space="2" w:color="auto" w:shadow="1"/>
      </w:pBdr>
      <w:shd w:val="pct25" w:color="auto" w:fill="auto"/>
      <w:spacing w:before="120" w:after="120"/>
      <w:ind w:right="5"/>
      <w:jc w:val="center"/>
    </w:pPr>
    <w:rPr>
      <w:b/>
      <w:lang w:val="el-GR"/>
    </w:rPr>
  </w:style>
  <w:style w:type="paragraph" w:styleId="aa">
    <w:name w:val="Balloon Text"/>
    <w:basedOn w:val="a"/>
    <w:semiHidden/>
    <w:rsid w:val="0006617B"/>
    <w:rPr>
      <w:rFonts w:ascii="Tahoma" w:hAnsi="Tahoma" w:cs="Tahoma"/>
      <w:sz w:val="16"/>
      <w:szCs w:val="16"/>
    </w:rPr>
  </w:style>
  <w:style w:type="paragraph" w:customStyle="1" w:styleId="Number1">
    <w:name w:val="Number1"/>
    <w:basedOn w:val="a"/>
    <w:pPr>
      <w:numPr>
        <w:numId w:val="4"/>
      </w:numPr>
      <w:spacing w:before="120" w:after="120"/>
      <w:jc w:val="both"/>
    </w:pPr>
    <w:rPr>
      <w:u w:val="single"/>
      <w:lang w:val="el-GR"/>
    </w:rPr>
  </w:style>
  <w:style w:type="paragraph" w:customStyle="1" w:styleId="BlockTextindent">
    <w:name w:val="Block Text indent"/>
    <w:basedOn w:val="a8"/>
    <w:pPr>
      <w:ind w:left="907"/>
    </w:pPr>
  </w:style>
  <w:style w:type="paragraph" w:customStyle="1" w:styleId="Bullet4">
    <w:name w:val="Bullet4"/>
    <w:basedOn w:val="a"/>
    <w:pPr>
      <w:numPr>
        <w:numId w:val="16"/>
      </w:numPr>
    </w:pPr>
  </w:style>
  <w:style w:type="paragraph" w:styleId="ab">
    <w:name w:val="annotation text"/>
    <w:basedOn w:val="a"/>
    <w:semiHidden/>
    <w:rsid w:val="00C62B68"/>
    <w:pPr>
      <w:tabs>
        <w:tab w:val="left" w:pos="567"/>
      </w:tabs>
      <w:spacing w:before="0" w:after="0" w:line="260" w:lineRule="exact"/>
    </w:pPr>
    <w:rPr>
      <w:sz w:val="20"/>
      <w:lang w:eastAsia="en-US"/>
    </w:rPr>
  </w:style>
  <w:style w:type="paragraph" w:customStyle="1" w:styleId="EMEAEnBodyText">
    <w:name w:val="EMEA En Body Text"/>
    <w:basedOn w:val="a"/>
    <w:rsid w:val="00C62B68"/>
    <w:pPr>
      <w:spacing w:before="120" w:after="120"/>
      <w:jc w:val="both"/>
    </w:pPr>
    <w:rPr>
      <w:sz w:val="22"/>
      <w:lang w:val="en-US" w:eastAsia="en-US"/>
    </w:rPr>
  </w:style>
  <w:style w:type="paragraph" w:styleId="ac">
    <w:name w:val="endnote text"/>
    <w:basedOn w:val="a"/>
    <w:next w:val="a"/>
    <w:semiHidden/>
    <w:rsid w:val="00C62B68"/>
    <w:pPr>
      <w:tabs>
        <w:tab w:val="left" w:pos="567"/>
      </w:tabs>
      <w:spacing w:before="0" w:after="0"/>
    </w:pPr>
    <w:rPr>
      <w:sz w:val="22"/>
      <w:lang w:eastAsia="en-US"/>
    </w:rPr>
  </w:style>
  <w:style w:type="paragraph" w:styleId="ad">
    <w:name w:val="Document Map"/>
    <w:basedOn w:val="a"/>
    <w:semiHidden/>
    <w:rsid w:val="00E652F8"/>
    <w:pPr>
      <w:shd w:val="clear" w:color="auto" w:fill="000080"/>
    </w:pPr>
    <w:rPr>
      <w:rFonts w:ascii="Tahoma" w:hAnsi="Tahoma" w:cs="Tahoma"/>
      <w:sz w:val="20"/>
    </w:rPr>
  </w:style>
  <w:style w:type="character" w:styleId="ae">
    <w:name w:val="annotation reference"/>
    <w:basedOn w:val="a0"/>
    <w:semiHidden/>
    <w:rsid w:val="002F286D"/>
    <w:rPr>
      <w:sz w:val="16"/>
      <w:szCs w:val="16"/>
    </w:rPr>
  </w:style>
  <w:style w:type="paragraph" w:styleId="af">
    <w:name w:val="annotation subject"/>
    <w:basedOn w:val="ab"/>
    <w:next w:val="ab"/>
    <w:semiHidden/>
    <w:rsid w:val="002F286D"/>
    <w:pPr>
      <w:tabs>
        <w:tab w:val="clear" w:pos="567"/>
      </w:tabs>
      <w:spacing w:before="60" w:after="60" w:line="240" w:lineRule="auto"/>
    </w:pPr>
    <w:rPr>
      <w:b/>
      <w:bCs/>
      <w:lang w:eastAsia="el-GR"/>
    </w:rPr>
  </w:style>
  <w:style w:type="character" w:customStyle="1" w:styleId="9Char">
    <w:name w:val="Επικεφαλίδα 9 Char"/>
    <w:link w:val="9"/>
    <w:rsid w:val="00BC5EEA"/>
    <w:rPr>
      <w:rFonts w:ascii="Arial" w:hAnsi="Arial"/>
      <w:b/>
      <w:i/>
      <w:sz w:val="18"/>
      <w:lang w:val="en-GB"/>
    </w:rPr>
  </w:style>
  <w:style w:type="paragraph" w:styleId="af0">
    <w:name w:val="List Paragraph"/>
    <w:basedOn w:val="a"/>
    <w:uiPriority w:val="34"/>
    <w:qFormat/>
    <w:rsid w:val="00126629"/>
    <w:pPr>
      <w:ind w:left="720"/>
      <w:contextualSpacing/>
    </w:pPr>
  </w:style>
  <w:style w:type="character" w:styleId="-">
    <w:name w:val="Hyperlink"/>
    <w:basedOn w:val="a0"/>
    <w:rsid w:val="005E0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CC1"/>
    <w:pPr>
      <w:spacing w:before="60" w:after="60"/>
    </w:pPr>
    <w:rPr>
      <w:sz w:val="24"/>
      <w:lang w:val="en-GB"/>
    </w:rPr>
  </w:style>
  <w:style w:type="paragraph" w:styleId="1">
    <w:name w:val="heading 1"/>
    <w:basedOn w:val="a"/>
    <w:next w:val="a"/>
    <w:qFormat/>
    <w:pPr>
      <w:keepNext/>
      <w:numPr>
        <w:numId w:val="13"/>
      </w:numPr>
      <w:spacing w:before="240"/>
      <w:jc w:val="both"/>
      <w:outlineLvl w:val="0"/>
    </w:pPr>
    <w:rPr>
      <w:b/>
      <w:caps/>
      <w:lang w:val="el-GR"/>
    </w:rPr>
  </w:style>
  <w:style w:type="paragraph" w:styleId="2">
    <w:name w:val="heading 2"/>
    <w:basedOn w:val="a"/>
    <w:next w:val="a"/>
    <w:qFormat/>
    <w:pPr>
      <w:keepNext/>
      <w:numPr>
        <w:ilvl w:val="1"/>
        <w:numId w:val="13"/>
      </w:numPr>
      <w:spacing w:before="240"/>
      <w:outlineLvl w:val="1"/>
    </w:pPr>
    <w:rPr>
      <w:b/>
      <w:lang w:val="el-GR"/>
    </w:rPr>
  </w:style>
  <w:style w:type="paragraph" w:styleId="3">
    <w:name w:val="heading 3"/>
    <w:basedOn w:val="a"/>
    <w:next w:val="a"/>
    <w:qFormat/>
    <w:pPr>
      <w:keepNext/>
      <w:spacing w:before="120"/>
      <w:ind w:left="567"/>
      <w:jc w:val="both"/>
      <w:outlineLvl w:val="2"/>
    </w:pPr>
    <w:rPr>
      <w:b/>
      <w:u w:val="single"/>
      <w:lang w:val="el-GR"/>
    </w:rPr>
  </w:style>
  <w:style w:type="paragraph" w:styleId="4">
    <w:name w:val="heading 4"/>
    <w:basedOn w:val="a"/>
    <w:next w:val="a"/>
    <w:qFormat/>
    <w:pPr>
      <w:keepNext/>
      <w:spacing w:before="120" w:after="120"/>
      <w:ind w:right="572"/>
      <w:jc w:val="both"/>
      <w:outlineLvl w:val="3"/>
    </w:pPr>
    <w:rPr>
      <w:b/>
      <w:u w:val="double"/>
      <w:lang w:val="el-GR"/>
    </w:rPr>
  </w:style>
  <w:style w:type="paragraph" w:styleId="5">
    <w:name w:val="heading 5"/>
    <w:basedOn w:val="a"/>
    <w:next w:val="a"/>
    <w:qFormat/>
    <w:pPr>
      <w:spacing w:before="120" w:after="120"/>
      <w:ind w:left="567"/>
      <w:outlineLvl w:val="4"/>
    </w:pPr>
    <w:rPr>
      <w:i/>
    </w:rPr>
  </w:style>
  <w:style w:type="paragraph" w:styleId="6">
    <w:name w:val="heading 6"/>
    <w:basedOn w:val="a"/>
    <w:next w:val="a"/>
    <w:qFormat/>
    <w:pPr>
      <w:spacing w:before="240"/>
      <w:ind w:left="567"/>
      <w:outlineLvl w:val="5"/>
    </w:pPr>
    <w:rPr>
      <w:i/>
      <w:u w:val="single"/>
    </w:rPr>
  </w:style>
  <w:style w:type="paragraph" w:styleId="7">
    <w:name w:val="heading 7"/>
    <w:basedOn w:val="a"/>
    <w:next w:val="a"/>
    <w:qFormat/>
    <w:pPr>
      <w:spacing w:before="240"/>
      <w:outlineLvl w:val="6"/>
    </w:pPr>
    <w:rPr>
      <w:rFonts w:ascii="Arial" w:hAnsi="Arial"/>
    </w:rPr>
  </w:style>
  <w:style w:type="paragraph" w:styleId="8">
    <w:name w:val="heading 8"/>
    <w:basedOn w:val="a"/>
    <w:next w:val="a"/>
    <w:qFormat/>
    <w:pPr>
      <w:spacing w:before="240"/>
      <w:outlineLvl w:val="7"/>
    </w:pPr>
    <w:rPr>
      <w:rFonts w:ascii="Arial" w:hAnsi="Arial"/>
      <w:i/>
    </w:rPr>
  </w:style>
  <w:style w:type="paragraph" w:styleId="9">
    <w:name w:val="heading 9"/>
    <w:basedOn w:val="a"/>
    <w:next w:val="a"/>
    <w:link w:val="9Char"/>
    <w:qFormat/>
    <w:pPr>
      <w:spacing w:before="24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19"/>
        <w:tab w:val="right" w:pos="9071"/>
      </w:tabs>
    </w:pPr>
  </w:style>
  <w:style w:type="character" w:styleId="a4">
    <w:name w:val="page number"/>
    <w:basedOn w:val="a0"/>
  </w:style>
  <w:style w:type="paragraph" w:styleId="a5">
    <w:name w:val="Body Text Indent"/>
    <w:basedOn w:val="a"/>
    <w:pPr>
      <w:spacing w:before="120" w:after="120"/>
      <w:ind w:left="360"/>
      <w:jc w:val="both"/>
    </w:pPr>
    <w:rPr>
      <w:lang w:val="el-GR"/>
    </w:rPr>
  </w:style>
  <w:style w:type="paragraph" w:styleId="a6">
    <w:name w:val="Body Text"/>
    <w:basedOn w:val="a"/>
    <w:pPr>
      <w:tabs>
        <w:tab w:val="left" w:pos="0"/>
      </w:tabs>
      <w:spacing w:before="120" w:after="120"/>
      <w:jc w:val="both"/>
    </w:pPr>
    <w:rPr>
      <w:lang w:val="el-GR"/>
    </w:rPr>
  </w:style>
  <w:style w:type="paragraph" w:styleId="a7">
    <w:name w:val="header"/>
    <w:basedOn w:val="a"/>
    <w:pPr>
      <w:tabs>
        <w:tab w:val="center" w:pos="4153"/>
        <w:tab w:val="right" w:pos="8306"/>
      </w:tabs>
    </w:pPr>
  </w:style>
  <w:style w:type="paragraph" w:styleId="20">
    <w:name w:val="Body Text 2"/>
    <w:basedOn w:val="a"/>
    <w:pPr>
      <w:spacing w:before="120" w:after="120"/>
    </w:pPr>
    <w:rPr>
      <w:lang w:val="en-US"/>
    </w:rPr>
  </w:style>
  <w:style w:type="paragraph" w:styleId="21">
    <w:name w:val="Body Text Indent 2"/>
    <w:basedOn w:val="a"/>
    <w:pPr>
      <w:spacing w:before="120" w:after="120"/>
      <w:ind w:left="709"/>
      <w:jc w:val="both"/>
    </w:pPr>
    <w:rPr>
      <w:lang w:val="el-GR"/>
    </w:rPr>
  </w:style>
  <w:style w:type="paragraph" w:styleId="a8">
    <w:name w:val="Block Text"/>
    <w:basedOn w:val="a"/>
    <w:pPr>
      <w:ind w:left="567"/>
      <w:jc w:val="both"/>
    </w:pPr>
    <w:rPr>
      <w:lang w:val="el-GR"/>
    </w:rPr>
  </w:style>
  <w:style w:type="paragraph" w:customStyle="1" w:styleId="Bullet1">
    <w:name w:val="Bullet1"/>
    <w:basedOn w:val="a"/>
    <w:pPr>
      <w:numPr>
        <w:numId w:val="14"/>
      </w:numPr>
      <w:tabs>
        <w:tab w:val="clear" w:pos="360"/>
        <w:tab w:val="left" w:pos="340"/>
      </w:tabs>
      <w:jc w:val="both"/>
    </w:pPr>
    <w:rPr>
      <w:lang w:val="el-GR"/>
    </w:rPr>
  </w:style>
  <w:style w:type="paragraph" w:customStyle="1" w:styleId="Bullet2">
    <w:name w:val="Bullet2"/>
    <w:basedOn w:val="Bullet1"/>
    <w:pPr>
      <w:numPr>
        <w:numId w:val="0"/>
      </w:numPr>
      <w:tabs>
        <w:tab w:val="left" w:pos="340"/>
        <w:tab w:val="left" w:pos="567"/>
      </w:tabs>
      <w:ind w:left="567" w:hanging="340"/>
    </w:pPr>
  </w:style>
  <w:style w:type="paragraph" w:customStyle="1" w:styleId="Bullet3">
    <w:name w:val="Bullet3"/>
    <w:basedOn w:val="Bullet2"/>
    <w:pPr>
      <w:numPr>
        <w:numId w:val="15"/>
      </w:numPr>
      <w:tabs>
        <w:tab w:val="clear" w:pos="567"/>
        <w:tab w:val="clear" w:pos="927"/>
        <w:tab w:val="left" w:pos="907"/>
      </w:tabs>
    </w:pPr>
  </w:style>
  <w:style w:type="paragraph" w:styleId="a9">
    <w:name w:val="Title"/>
    <w:basedOn w:val="a"/>
    <w:qFormat/>
    <w:pPr>
      <w:pBdr>
        <w:top w:val="single" w:sz="6" w:space="2" w:color="auto" w:shadow="1"/>
        <w:left w:val="single" w:sz="6" w:space="2" w:color="auto" w:shadow="1"/>
        <w:bottom w:val="single" w:sz="6" w:space="2" w:color="auto" w:shadow="1"/>
        <w:right w:val="single" w:sz="6" w:space="2" w:color="auto" w:shadow="1"/>
      </w:pBdr>
      <w:shd w:val="pct25" w:color="auto" w:fill="auto"/>
      <w:spacing w:before="120" w:after="120"/>
      <w:ind w:right="5"/>
      <w:jc w:val="center"/>
    </w:pPr>
    <w:rPr>
      <w:b/>
      <w:lang w:val="el-GR"/>
    </w:rPr>
  </w:style>
  <w:style w:type="paragraph" w:styleId="aa">
    <w:name w:val="Balloon Text"/>
    <w:basedOn w:val="a"/>
    <w:semiHidden/>
    <w:rsid w:val="0006617B"/>
    <w:rPr>
      <w:rFonts w:ascii="Tahoma" w:hAnsi="Tahoma" w:cs="Tahoma"/>
      <w:sz w:val="16"/>
      <w:szCs w:val="16"/>
    </w:rPr>
  </w:style>
  <w:style w:type="paragraph" w:customStyle="1" w:styleId="Number1">
    <w:name w:val="Number1"/>
    <w:basedOn w:val="a"/>
    <w:pPr>
      <w:numPr>
        <w:numId w:val="4"/>
      </w:numPr>
      <w:spacing w:before="120" w:after="120"/>
      <w:jc w:val="both"/>
    </w:pPr>
    <w:rPr>
      <w:u w:val="single"/>
      <w:lang w:val="el-GR"/>
    </w:rPr>
  </w:style>
  <w:style w:type="paragraph" w:customStyle="1" w:styleId="BlockTextindent">
    <w:name w:val="Block Text indent"/>
    <w:basedOn w:val="a8"/>
    <w:pPr>
      <w:ind w:left="907"/>
    </w:pPr>
  </w:style>
  <w:style w:type="paragraph" w:customStyle="1" w:styleId="Bullet4">
    <w:name w:val="Bullet4"/>
    <w:basedOn w:val="a"/>
    <w:pPr>
      <w:numPr>
        <w:numId w:val="16"/>
      </w:numPr>
    </w:pPr>
  </w:style>
  <w:style w:type="paragraph" w:styleId="ab">
    <w:name w:val="annotation text"/>
    <w:basedOn w:val="a"/>
    <w:semiHidden/>
    <w:rsid w:val="00C62B68"/>
    <w:pPr>
      <w:tabs>
        <w:tab w:val="left" w:pos="567"/>
      </w:tabs>
      <w:spacing w:before="0" w:after="0" w:line="260" w:lineRule="exact"/>
    </w:pPr>
    <w:rPr>
      <w:sz w:val="20"/>
      <w:lang w:eastAsia="en-US"/>
    </w:rPr>
  </w:style>
  <w:style w:type="paragraph" w:customStyle="1" w:styleId="EMEAEnBodyText">
    <w:name w:val="EMEA En Body Text"/>
    <w:basedOn w:val="a"/>
    <w:rsid w:val="00C62B68"/>
    <w:pPr>
      <w:spacing w:before="120" w:after="120"/>
      <w:jc w:val="both"/>
    </w:pPr>
    <w:rPr>
      <w:sz w:val="22"/>
      <w:lang w:val="en-US" w:eastAsia="en-US"/>
    </w:rPr>
  </w:style>
  <w:style w:type="paragraph" w:styleId="ac">
    <w:name w:val="endnote text"/>
    <w:basedOn w:val="a"/>
    <w:next w:val="a"/>
    <w:semiHidden/>
    <w:rsid w:val="00C62B68"/>
    <w:pPr>
      <w:tabs>
        <w:tab w:val="left" w:pos="567"/>
      </w:tabs>
      <w:spacing w:before="0" w:after="0"/>
    </w:pPr>
    <w:rPr>
      <w:sz w:val="22"/>
      <w:lang w:eastAsia="en-US"/>
    </w:rPr>
  </w:style>
  <w:style w:type="paragraph" w:styleId="ad">
    <w:name w:val="Document Map"/>
    <w:basedOn w:val="a"/>
    <w:semiHidden/>
    <w:rsid w:val="00E652F8"/>
    <w:pPr>
      <w:shd w:val="clear" w:color="auto" w:fill="000080"/>
    </w:pPr>
    <w:rPr>
      <w:rFonts w:ascii="Tahoma" w:hAnsi="Tahoma" w:cs="Tahoma"/>
      <w:sz w:val="20"/>
    </w:rPr>
  </w:style>
  <w:style w:type="character" w:styleId="ae">
    <w:name w:val="annotation reference"/>
    <w:basedOn w:val="a0"/>
    <w:semiHidden/>
    <w:rsid w:val="002F286D"/>
    <w:rPr>
      <w:sz w:val="16"/>
      <w:szCs w:val="16"/>
    </w:rPr>
  </w:style>
  <w:style w:type="paragraph" w:styleId="af">
    <w:name w:val="annotation subject"/>
    <w:basedOn w:val="ab"/>
    <w:next w:val="ab"/>
    <w:semiHidden/>
    <w:rsid w:val="002F286D"/>
    <w:pPr>
      <w:tabs>
        <w:tab w:val="clear" w:pos="567"/>
      </w:tabs>
      <w:spacing w:before="60" w:after="60" w:line="240" w:lineRule="auto"/>
    </w:pPr>
    <w:rPr>
      <w:b/>
      <w:bCs/>
      <w:lang w:eastAsia="el-GR"/>
    </w:rPr>
  </w:style>
  <w:style w:type="character" w:customStyle="1" w:styleId="9Char">
    <w:name w:val="Επικεφαλίδα 9 Char"/>
    <w:link w:val="9"/>
    <w:rsid w:val="00BC5EEA"/>
    <w:rPr>
      <w:rFonts w:ascii="Arial" w:hAnsi="Arial"/>
      <w:b/>
      <w:i/>
      <w:sz w:val="18"/>
      <w:lang w:val="en-GB"/>
    </w:rPr>
  </w:style>
  <w:style w:type="paragraph" w:styleId="af0">
    <w:name w:val="List Paragraph"/>
    <w:basedOn w:val="a"/>
    <w:uiPriority w:val="34"/>
    <w:qFormat/>
    <w:rsid w:val="00126629"/>
    <w:pPr>
      <w:ind w:left="720"/>
      <w:contextualSpacing/>
    </w:pPr>
  </w:style>
  <w:style w:type="character" w:styleId="-">
    <w:name w:val="Hyperlink"/>
    <w:basedOn w:val="a0"/>
    <w:rsid w:val="005E0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of.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954942-BFA3-4599-90D7-6F8C95B6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4054</Words>
  <Characters>21893</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ΠΕΡΙΛΗΨΗ  ΤΩΝ  ΧΑΡΑΚΤΗΡΙΣΤΙΚΩΝ  ΤΟΥ  ΠΡΟΪΟΝΤΟΣ</vt:lpstr>
    </vt:vector>
  </TitlesOfParts>
  <Company>Servier Hellas</Company>
  <LinksUpToDate>false</LinksUpToDate>
  <CharactersWithSpaces>25896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Spanaki</dc:creator>
  <cp:lastModifiedBy>ΚΑΡΥΔΑ ΕΥΑΓΓΕΛΙΑ</cp:lastModifiedBy>
  <cp:revision>2</cp:revision>
  <cp:lastPrinted>2009-10-19T12:24:00Z</cp:lastPrinted>
  <dcterms:created xsi:type="dcterms:W3CDTF">2018-02-12T10:36:00Z</dcterms:created>
  <dcterms:modified xsi:type="dcterms:W3CDTF">2018-02-12T10:36:00Z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mission date">
    <vt:lpwstr>2009-10-30T00:00:00Z</vt:lpwstr>
  </property>
  <property fmtid="{D5CDD505-2E9C-101B-9397-08002B2CF9AE}" pid="3" name="S Number">
    <vt:lpwstr>S05762</vt:lpwstr>
  </property>
  <property fmtid="{D5CDD505-2E9C-101B-9397-08002B2CF9AE}" pid="4" name="Dosage">
    <vt:lpwstr>60mg</vt:lpwstr>
  </property>
  <property fmtid="{D5CDD505-2E9C-101B-9397-08002B2CF9AE}" pid="5" name="DCI">
    <vt:lpwstr>Gliclazide</vt:lpwstr>
  </property>
  <property fmtid="{D5CDD505-2E9C-101B-9397-08002B2CF9AE}" pid="6" name="Procedure number">
    <vt:lpwstr>FR/H/171/02</vt:lpwstr>
  </property>
  <property fmtid="{D5CDD505-2E9C-101B-9397-08002B2CF9AE}" pid="7" name="Language">
    <vt:lpwstr>Greek</vt:lpwstr>
  </property>
  <property fmtid="{D5CDD505-2E9C-101B-9397-08002B2CF9AE}" pid="8" name="Comment">
    <vt:lpwstr>Marketing Authorization</vt:lpwstr>
  </property>
  <property fmtid="{D5CDD505-2E9C-101B-9397-08002B2CF9AE}" pid="9" name="Reference trade name">
    <vt:lpwstr>Diamicron 60 mg</vt:lpwstr>
  </property>
  <property fmtid="{D5CDD505-2E9C-101B-9397-08002B2CF9AE}" pid="10" name="Procedure type">
    <vt:lpwstr>DCP</vt:lpwstr>
  </property>
  <property fmtid="{D5CDD505-2E9C-101B-9397-08002B2CF9AE}" pid="11" name="ContentType">
    <vt:lpwstr>Document</vt:lpwstr>
  </property>
  <property fmtid="{D5CDD505-2E9C-101B-9397-08002B2CF9AE}" pid="12" name="Country">
    <vt:lpwstr>Greece</vt:lpwstr>
  </property>
  <property fmtid="{D5CDD505-2E9C-101B-9397-08002B2CF9AE}" pid="13" name="Local trade name">
    <vt:lpwstr>Diamicron MR 60 mg/tab</vt:lpwstr>
  </property>
  <property fmtid="{D5CDD505-2E9C-101B-9397-08002B2CF9AE}" pid="14" name="Status">
    <vt:lpwstr>Approved</vt:lpwstr>
  </property>
  <property fmtid="{D5CDD505-2E9C-101B-9397-08002B2CF9AE}" pid="15" name="Approval date">
    <vt:lpwstr>2010-12-08T00:00:00Z</vt:lpwstr>
  </property>
  <property fmtid="{D5CDD505-2E9C-101B-9397-08002B2CF9AE}" pid="16" name="Code event">
    <vt:lpwstr>FR/H/171/02/DC</vt:lpwstr>
  </property>
</Properties>
</file>