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6F" w:rsidRPr="002562F9" w:rsidRDefault="0086736F" w:rsidP="008179B8">
      <w:pPr>
        <w:pStyle w:val="1"/>
        <w:rPr>
          <w:rFonts w:ascii="Arial" w:hAnsi="Arial"/>
          <w:b/>
          <w:color w:val="000000"/>
          <w:sz w:val="22"/>
        </w:rPr>
      </w:pPr>
      <w:r w:rsidRPr="002562F9">
        <w:rPr>
          <w:rFonts w:ascii="Arial" w:hAnsi="Arial"/>
          <w:b/>
          <w:color w:val="000000"/>
          <w:sz w:val="22"/>
        </w:rPr>
        <w:t>ΠΕΡΙΛΗΨΗ ΧΑΡΑΚΤΗΡΙΣΤΙΚΩΝ ΤΟΥ ΠΡΟΪΟΝΤΟΣ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1. </w:t>
      </w:r>
      <w:r w:rsidR="001A0274" w:rsidRPr="002562F9">
        <w:rPr>
          <w:rFonts w:ascii="Arial" w:hAnsi="Arial"/>
          <w:b/>
          <w:color w:val="000000"/>
          <w:sz w:val="22"/>
          <w:lang w:val="el-GR"/>
        </w:rPr>
        <w:tab/>
      </w:r>
      <w:r w:rsidR="006C76E2" w:rsidRPr="002562F9">
        <w:rPr>
          <w:rFonts w:ascii="Arial" w:hAnsi="Arial"/>
          <w:b/>
          <w:color w:val="000000"/>
          <w:sz w:val="22"/>
          <w:lang w:val="el-GR"/>
        </w:rPr>
        <w:tab/>
      </w:r>
      <w:r w:rsidRPr="002562F9">
        <w:rPr>
          <w:rFonts w:ascii="Arial" w:hAnsi="Arial"/>
          <w:b/>
          <w:color w:val="000000"/>
          <w:sz w:val="22"/>
          <w:lang w:val="el-GR"/>
        </w:rPr>
        <w:t>ΟΝΟΜΑΣΙΑ ΤΟΥ ΦΑΡΜΑΚΕΥΤΙΚΟΥ ΠΡΟΪΟΝΤΟΣ</w:t>
      </w: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360" w:hanging="360"/>
        <w:jc w:val="both"/>
        <w:rPr>
          <w:rFonts w:ascii="Arial" w:hAnsi="Arial"/>
          <w:color w:val="000000"/>
          <w:sz w:val="22"/>
          <w:lang w:val="el-GR"/>
        </w:rPr>
      </w:pPr>
      <w:r w:rsidRPr="002562F9">
        <w:rPr>
          <w:rFonts w:ascii="Arial" w:hAnsi="Arial"/>
          <w:color w:val="000000"/>
          <w:sz w:val="22"/>
        </w:rPr>
        <w:t>FRAXIPARINE</w:t>
      </w:r>
      <w:r w:rsidRPr="002562F9">
        <w:rPr>
          <w:rFonts w:ascii="Arial" w:hAnsi="Arial"/>
          <w:color w:val="000000"/>
          <w:sz w:val="22"/>
          <w:vertAlign w:val="superscript"/>
        </w:rPr>
        <w:sym w:font="Symbol" w:char="F0E2"/>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2. </w:t>
      </w:r>
      <w:r w:rsidR="001A0274" w:rsidRPr="002562F9">
        <w:rPr>
          <w:rFonts w:ascii="Arial" w:hAnsi="Arial"/>
          <w:b/>
          <w:color w:val="000000"/>
          <w:sz w:val="22"/>
          <w:lang w:val="el-GR"/>
        </w:rPr>
        <w:tab/>
      </w:r>
      <w:r w:rsidR="006C76E2" w:rsidRPr="002562F9">
        <w:rPr>
          <w:rFonts w:ascii="Arial" w:hAnsi="Arial"/>
          <w:b/>
          <w:color w:val="000000"/>
          <w:sz w:val="22"/>
          <w:lang w:val="el-GR"/>
        </w:rPr>
        <w:tab/>
      </w:r>
      <w:r w:rsidRPr="002562F9">
        <w:rPr>
          <w:rFonts w:ascii="Arial" w:hAnsi="Arial"/>
          <w:b/>
          <w:color w:val="000000"/>
          <w:sz w:val="22"/>
          <w:lang w:val="el-GR"/>
        </w:rPr>
        <w:t>ΠΟΙΟΤΙΚΗ ΚΑΙ ΠΟΣΟΤΙΚΗ ΣΥΝΘΕΣΗ</w:t>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color w:val="000000"/>
          <w:sz w:val="22"/>
          <w:lang w:val="el-GR"/>
        </w:rPr>
      </w:pPr>
      <w:r w:rsidRPr="002562F9">
        <w:rPr>
          <w:rFonts w:ascii="Arial" w:hAnsi="Arial"/>
          <w:color w:val="000000"/>
          <w:sz w:val="22"/>
          <w:lang w:val="el-GR"/>
        </w:rPr>
        <w:t xml:space="preserve">Σύνθεση ανά 1 </w:t>
      </w:r>
      <w:r w:rsidRPr="002562F9">
        <w:rPr>
          <w:rFonts w:ascii="Arial" w:hAnsi="Arial"/>
          <w:color w:val="000000"/>
          <w:sz w:val="22"/>
        </w:rPr>
        <w:t>ml</w:t>
      </w:r>
      <w:r w:rsidRPr="002562F9">
        <w:rPr>
          <w:rFonts w:ascii="Arial" w:hAnsi="Arial"/>
          <w:color w:val="000000"/>
          <w:sz w:val="22"/>
          <w:lang w:val="el-GR"/>
        </w:rPr>
        <w:t xml:space="preserve"> ενέσιμου διαλύματος: </w:t>
      </w:r>
    </w:p>
    <w:p w:rsidR="0086736F" w:rsidRPr="002562F9" w:rsidRDefault="0086736F" w:rsidP="008179B8">
      <w:pPr>
        <w:jc w:val="both"/>
        <w:rPr>
          <w:rFonts w:ascii="Arial" w:hAnsi="Arial"/>
          <w:color w:val="000000"/>
          <w:sz w:val="22"/>
          <w:lang w:val="el-GR"/>
        </w:rPr>
      </w:pPr>
    </w:p>
    <w:p w:rsidR="0086736F" w:rsidRPr="007D7554" w:rsidRDefault="0086736F" w:rsidP="008179B8">
      <w:pPr>
        <w:jc w:val="both"/>
        <w:rPr>
          <w:rFonts w:ascii="Arial" w:hAnsi="Arial"/>
          <w:color w:val="000000"/>
          <w:sz w:val="22"/>
          <w:lang w:val="en-US"/>
        </w:rPr>
      </w:pPr>
      <w:r w:rsidRPr="002562F9">
        <w:rPr>
          <w:rFonts w:ascii="Arial" w:hAnsi="Arial"/>
          <w:color w:val="000000"/>
          <w:sz w:val="22"/>
        </w:rPr>
        <w:t>Nadroparin</w:t>
      </w:r>
      <w:r w:rsidRPr="007D7554">
        <w:rPr>
          <w:rFonts w:ascii="Arial" w:hAnsi="Arial"/>
          <w:color w:val="000000"/>
          <w:sz w:val="22"/>
          <w:lang w:val="en-US"/>
        </w:rPr>
        <w:t xml:space="preserve"> </w:t>
      </w:r>
      <w:r w:rsidRPr="002562F9">
        <w:rPr>
          <w:rFonts w:ascii="Arial" w:hAnsi="Arial"/>
          <w:color w:val="000000"/>
          <w:sz w:val="22"/>
        </w:rPr>
        <w:t>Calcium</w:t>
      </w:r>
      <w:r w:rsidRPr="007D7554">
        <w:rPr>
          <w:rFonts w:ascii="Arial" w:hAnsi="Arial"/>
          <w:color w:val="000000"/>
          <w:sz w:val="22"/>
          <w:lang w:val="en-US"/>
        </w:rPr>
        <w:t xml:space="preserve"> (</w:t>
      </w:r>
      <w:r w:rsidRPr="002562F9">
        <w:rPr>
          <w:rFonts w:ascii="Arial" w:hAnsi="Arial"/>
          <w:color w:val="000000"/>
          <w:sz w:val="22"/>
          <w:lang w:val="el-GR"/>
        </w:rPr>
        <w:t>ΙΝΝ</w:t>
      </w:r>
      <w:r w:rsidRPr="007D7554">
        <w:rPr>
          <w:rFonts w:ascii="Arial" w:hAnsi="Arial"/>
          <w:color w:val="000000"/>
          <w:sz w:val="22"/>
          <w:lang w:val="en-US"/>
        </w:rPr>
        <w:t xml:space="preserve">) </w:t>
      </w:r>
      <w:r w:rsidRPr="007D7554">
        <w:rPr>
          <w:rFonts w:ascii="Arial" w:hAnsi="Arial"/>
          <w:color w:val="000000"/>
          <w:sz w:val="22"/>
          <w:lang w:val="en-US"/>
        </w:rPr>
        <w:tab/>
      </w:r>
      <w:r w:rsidRPr="007D7554">
        <w:rPr>
          <w:rFonts w:ascii="Arial" w:hAnsi="Arial"/>
          <w:color w:val="000000"/>
          <w:sz w:val="22"/>
          <w:lang w:val="en-US"/>
        </w:rPr>
        <w:tab/>
        <w:t xml:space="preserve">9.500 </w:t>
      </w:r>
      <w:r w:rsidRPr="002562F9">
        <w:rPr>
          <w:rFonts w:ascii="Arial" w:hAnsi="Arial"/>
          <w:color w:val="000000"/>
          <w:sz w:val="22"/>
        </w:rPr>
        <w:t>IU</w:t>
      </w:r>
      <w:r w:rsidRPr="007D7554">
        <w:rPr>
          <w:rFonts w:ascii="Arial" w:hAnsi="Arial"/>
          <w:color w:val="000000"/>
          <w:sz w:val="22"/>
          <w:lang w:val="en-US"/>
        </w:rPr>
        <w:t xml:space="preserve"> </w:t>
      </w:r>
      <w:r w:rsidRPr="002562F9">
        <w:rPr>
          <w:rFonts w:ascii="Arial" w:hAnsi="Arial"/>
          <w:color w:val="000000"/>
          <w:sz w:val="22"/>
          <w:lang w:val="el-GR"/>
        </w:rPr>
        <w:t>αντι</w:t>
      </w:r>
      <w:r w:rsidRPr="007D7554">
        <w:rPr>
          <w:rFonts w:ascii="Arial" w:hAnsi="Arial"/>
          <w:color w:val="000000"/>
          <w:sz w:val="22"/>
          <w:lang w:val="en-US"/>
        </w:rPr>
        <w:t>-</w:t>
      </w:r>
      <w:r w:rsidRPr="002562F9">
        <w:rPr>
          <w:rFonts w:ascii="Arial" w:hAnsi="Arial"/>
          <w:color w:val="000000"/>
          <w:sz w:val="22"/>
        </w:rPr>
        <w:t>X</w:t>
      </w:r>
      <w:r w:rsidRPr="002562F9">
        <w:rPr>
          <w:rFonts w:ascii="Arial" w:hAnsi="Arial"/>
          <w:color w:val="000000"/>
          <w:sz w:val="22"/>
          <w:lang w:val="en-US"/>
        </w:rPr>
        <w:t>a</w:t>
      </w:r>
    </w:p>
    <w:p w:rsidR="0086736F" w:rsidRPr="007D7554" w:rsidRDefault="0086736F" w:rsidP="008179B8">
      <w:pPr>
        <w:jc w:val="both"/>
        <w:rPr>
          <w:rFonts w:ascii="Arial" w:hAnsi="Arial"/>
          <w:color w:val="000000"/>
          <w:sz w:val="22"/>
          <w:lang w:val="en-US"/>
        </w:rPr>
      </w:pPr>
    </w:p>
    <w:p w:rsidR="0086736F" w:rsidRPr="00A133C1" w:rsidRDefault="0086736F" w:rsidP="008179B8">
      <w:pPr>
        <w:jc w:val="both"/>
        <w:rPr>
          <w:rFonts w:ascii="Arial" w:hAnsi="Arial"/>
          <w:color w:val="000000"/>
          <w:sz w:val="22"/>
          <w:lang w:val="en-US"/>
        </w:rPr>
      </w:pPr>
      <w:r w:rsidRPr="002562F9">
        <w:rPr>
          <w:rFonts w:ascii="Arial" w:hAnsi="Arial"/>
          <w:color w:val="000000"/>
          <w:sz w:val="22"/>
          <w:lang w:val="el-GR"/>
        </w:rPr>
        <w:t>Διάλυμα</w:t>
      </w:r>
      <w:r w:rsidRPr="00A133C1">
        <w:rPr>
          <w:rFonts w:ascii="Arial" w:hAnsi="Arial"/>
          <w:color w:val="000000"/>
          <w:sz w:val="22"/>
          <w:lang w:val="en-US"/>
        </w:rPr>
        <w:t xml:space="preserve"> </w:t>
      </w:r>
      <w:r w:rsidRPr="002562F9">
        <w:rPr>
          <w:rFonts w:ascii="Arial" w:hAnsi="Arial"/>
          <w:color w:val="000000"/>
          <w:sz w:val="22"/>
        </w:rPr>
        <w:t>Calcium</w:t>
      </w:r>
      <w:r w:rsidRPr="00A133C1">
        <w:rPr>
          <w:rFonts w:ascii="Arial" w:hAnsi="Arial"/>
          <w:color w:val="000000"/>
          <w:sz w:val="22"/>
          <w:lang w:val="en-US"/>
        </w:rPr>
        <w:t xml:space="preserve"> </w:t>
      </w:r>
      <w:r w:rsidRPr="002562F9">
        <w:rPr>
          <w:rFonts w:ascii="Arial" w:hAnsi="Arial"/>
          <w:color w:val="000000"/>
          <w:sz w:val="22"/>
        </w:rPr>
        <w:t>hydroxide</w:t>
      </w:r>
      <w:r w:rsidRPr="00A133C1">
        <w:rPr>
          <w:rFonts w:ascii="Arial" w:hAnsi="Arial"/>
          <w:color w:val="000000"/>
          <w:sz w:val="22"/>
          <w:lang w:val="en-US"/>
        </w:rPr>
        <w:t xml:space="preserve"> </w:t>
      </w:r>
      <w:r w:rsidRPr="002562F9">
        <w:rPr>
          <w:rFonts w:ascii="Arial" w:hAnsi="Arial"/>
          <w:color w:val="000000"/>
          <w:sz w:val="22"/>
          <w:lang w:val="el-GR"/>
        </w:rPr>
        <w:t>ή</w:t>
      </w:r>
    </w:p>
    <w:p w:rsidR="0086736F" w:rsidRPr="00A133C1" w:rsidRDefault="0086736F" w:rsidP="008179B8">
      <w:pPr>
        <w:jc w:val="both"/>
        <w:rPr>
          <w:rFonts w:ascii="Arial" w:hAnsi="Arial"/>
          <w:color w:val="000000"/>
          <w:sz w:val="22"/>
          <w:lang w:val="en-US"/>
        </w:rPr>
      </w:pPr>
      <w:r w:rsidRPr="002562F9">
        <w:rPr>
          <w:rFonts w:ascii="Arial" w:hAnsi="Arial"/>
          <w:color w:val="000000"/>
          <w:sz w:val="22"/>
          <w:lang w:val="el-GR"/>
        </w:rPr>
        <w:t>αραιωμένο</w:t>
      </w:r>
      <w:r w:rsidRPr="00A133C1">
        <w:rPr>
          <w:rFonts w:ascii="Arial" w:hAnsi="Arial"/>
          <w:color w:val="000000"/>
          <w:sz w:val="22"/>
          <w:lang w:val="en-US"/>
        </w:rPr>
        <w:t xml:space="preserve"> </w:t>
      </w:r>
      <w:r w:rsidRPr="002562F9">
        <w:rPr>
          <w:rFonts w:ascii="Arial" w:hAnsi="Arial"/>
          <w:color w:val="000000"/>
          <w:sz w:val="22"/>
          <w:lang w:val="el-GR"/>
        </w:rPr>
        <w:t>υδροχλωρικό</w:t>
      </w:r>
      <w:r w:rsidRPr="00A133C1">
        <w:rPr>
          <w:rFonts w:ascii="Arial" w:hAnsi="Arial"/>
          <w:color w:val="000000"/>
          <w:sz w:val="22"/>
          <w:lang w:val="en-US"/>
        </w:rPr>
        <w:t xml:space="preserve"> </w:t>
      </w:r>
      <w:r w:rsidRPr="002562F9">
        <w:rPr>
          <w:rFonts w:ascii="Arial" w:hAnsi="Arial"/>
          <w:color w:val="000000"/>
          <w:sz w:val="22"/>
          <w:lang w:val="el-GR"/>
        </w:rPr>
        <w:t>οξύ</w:t>
      </w:r>
      <w:r w:rsidRPr="00A133C1">
        <w:rPr>
          <w:rFonts w:ascii="Arial" w:hAnsi="Arial"/>
          <w:color w:val="000000"/>
          <w:sz w:val="22"/>
          <w:lang w:val="en-US"/>
        </w:rPr>
        <w:t xml:space="preserve"> </w:t>
      </w:r>
      <w:r w:rsidRPr="00A133C1">
        <w:rPr>
          <w:rFonts w:ascii="Arial" w:hAnsi="Arial"/>
          <w:color w:val="000000"/>
          <w:sz w:val="22"/>
          <w:lang w:val="en-US"/>
        </w:rPr>
        <w:tab/>
      </w:r>
      <w:r w:rsidRPr="002562F9">
        <w:rPr>
          <w:rFonts w:ascii="Arial" w:hAnsi="Arial"/>
          <w:color w:val="000000"/>
          <w:sz w:val="22"/>
        </w:rPr>
        <w:t>q</w:t>
      </w:r>
      <w:r w:rsidRPr="00A133C1">
        <w:rPr>
          <w:rFonts w:ascii="Arial" w:hAnsi="Arial"/>
          <w:color w:val="000000"/>
          <w:sz w:val="22"/>
          <w:lang w:val="en-US"/>
        </w:rPr>
        <w:t>.</w:t>
      </w:r>
      <w:r w:rsidRPr="002562F9">
        <w:rPr>
          <w:rFonts w:ascii="Arial" w:hAnsi="Arial"/>
          <w:color w:val="000000"/>
          <w:sz w:val="22"/>
        </w:rPr>
        <w:t>s</w:t>
      </w:r>
      <w:r w:rsidRPr="00A133C1">
        <w:rPr>
          <w:rFonts w:ascii="Arial" w:hAnsi="Arial"/>
          <w:color w:val="000000"/>
          <w:sz w:val="22"/>
          <w:lang w:val="en-US"/>
        </w:rPr>
        <w:tab/>
      </w:r>
      <w:r w:rsidRPr="002562F9">
        <w:rPr>
          <w:rFonts w:ascii="Arial" w:hAnsi="Arial"/>
          <w:color w:val="000000"/>
          <w:sz w:val="22"/>
        </w:rPr>
        <w:t>pH</w:t>
      </w:r>
      <w:r w:rsidRPr="00A133C1">
        <w:rPr>
          <w:rFonts w:ascii="Arial" w:hAnsi="Arial"/>
          <w:color w:val="000000"/>
          <w:sz w:val="22"/>
          <w:lang w:val="en-US"/>
        </w:rPr>
        <w:t xml:space="preserve">=5 </w:t>
      </w:r>
      <w:r w:rsidRPr="002562F9">
        <w:rPr>
          <w:rFonts w:ascii="Arial" w:hAnsi="Arial"/>
          <w:color w:val="000000"/>
          <w:sz w:val="22"/>
          <w:lang w:val="el-GR"/>
        </w:rPr>
        <w:t>έως</w:t>
      </w:r>
      <w:r w:rsidRPr="00A133C1">
        <w:rPr>
          <w:rFonts w:ascii="Arial" w:hAnsi="Arial"/>
          <w:color w:val="000000"/>
          <w:sz w:val="22"/>
          <w:lang w:val="en-US"/>
        </w:rPr>
        <w:t xml:space="preserve"> 7,5</w:t>
      </w:r>
    </w:p>
    <w:p w:rsidR="0086736F" w:rsidRPr="00A133C1" w:rsidRDefault="0086736F" w:rsidP="008179B8">
      <w:pPr>
        <w:jc w:val="both"/>
        <w:rPr>
          <w:rFonts w:ascii="Arial" w:hAnsi="Arial"/>
          <w:color w:val="000000"/>
          <w:sz w:val="22"/>
          <w:lang w:val="en-US"/>
        </w:rPr>
      </w:pPr>
    </w:p>
    <w:p w:rsidR="0086736F" w:rsidRPr="002562F9" w:rsidRDefault="008A5D1C" w:rsidP="008179B8">
      <w:pPr>
        <w:jc w:val="both"/>
        <w:rPr>
          <w:rFonts w:ascii="Arial" w:hAnsi="Arial"/>
          <w:color w:val="000000"/>
          <w:sz w:val="22"/>
          <w:lang w:val="el-GR"/>
        </w:rPr>
      </w:pPr>
      <w:r>
        <w:rPr>
          <w:rFonts w:ascii="Arial" w:hAnsi="Arial"/>
          <w:color w:val="000000"/>
          <w:sz w:val="22"/>
          <w:lang w:val="el-GR"/>
        </w:rPr>
        <w:t>Ύδωρ</w:t>
      </w:r>
      <w:r w:rsidR="0086736F" w:rsidRPr="002562F9">
        <w:rPr>
          <w:rFonts w:ascii="Arial" w:hAnsi="Arial"/>
          <w:color w:val="000000"/>
          <w:sz w:val="22"/>
          <w:lang w:val="el-GR"/>
        </w:rPr>
        <w:t xml:space="preserve"> για ενέσιμα </w:t>
      </w:r>
      <w:r w:rsidR="0086736F" w:rsidRPr="002562F9">
        <w:rPr>
          <w:rFonts w:ascii="Arial" w:hAnsi="Arial"/>
          <w:color w:val="000000"/>
          <w:sz w:val="22"/>
          <w:lang w:val="el-GR"/>
        </w:rPr>
        <w:tab/>
      </w:r>
      <w:r w:rsidR="0086736F" w:rsidRPr="002562F9">
        <w:rPr>
          <w:rFonts w:ascii="Arial" w:hAnsi="Arial"/>
          <w:color w:val="000000"/>
          <w:sz w:val="22"/>
          <w:lang w:val="el-GR"/>
        </w:rPr>
        <w:tab/>
      </w:r>
      <w:r w:rsidR="0086736F" w:rsidRPr="002562F9">
        <w:rPr>
          <w:rFonts w:ascii="Arial" w:hAnsi="Arial"/>
          <w:color w:val="000000"/>
          <w:sz w:val="22"/>
          <w:lang w:val="el-GR"/>
        </w:rPr>
        <w:tab/>
      </w:r>
      <w:r w:rsidR="0086736F" w:rsidRPr="002562F9">
        <w:rPr>
          <w:rFonts w:ascii="Arial" w:hAnsi="Arial"/>
          <w:color w:val="000000"/>
          <w:sz w:val="22"/>
        </w:rPr>
        <w:t>q</w:t>
      </w:r>
      <w:r w:rsidR="0086736F" w:rsidRPr="002562F9">
        <w:rPr>
          <w:rFonts w:ascii="Arial" w:hAnsi="Arial"/>
          <w:color w:val="000000"/>
          <w:sz w:val="22"/>
          <w:lang w:val="el-GR"/>
        </w:rPr>
        <w:t>.</w:t>
      </w:r>
      <w:r w:rsidR="0086736F" w:rsidRPr="002562F9">
        <w:rPr>
          <w:rFonts w:ascii="Arial" w:hAnsi="Arial"/>
          <w:color w:val="000000"/>
          <w:sz w:val="22"/>
        </w:rPr>
        <w:t>s</w:t>
      </w:r>
      <w:r w:rsidR="0086736F" w:rsidRPr="002562F9">
        <w:rPr>
          <w:rFonts w:ascii="Arial" w:hAnsi="Arial"/>
          <w:color w:val="000000"/>
          <w:sz w:val="22"/>
          <w:lang w:val="el-GR"/>
        </w:rPr>
        <w:t xml:space="preserve"> </w:t>
      </w:r>
      <w:r w:rsidR="0086736F" w:rsidRPr="002562F9">
        <w:rPr>
          <w:rFonts w:ascii="Arial" w:hAnsi="Arial"/>
          <w:color w:val="000000"/>
          <w:sz w:val="22"/>
          <w:lang w:val="el-GR"/>
        </w:rPr>
        <w:tab/>
        <w:t xml:space="preserve">1 </w:t>
      </w:r>
      <w:r w:rsidR="0086736F" w:rsidRPr="002562F9">
        <w:rPr>
          <w:rFonts w:ascii="Arial" w:hAnsi="Arial"/>
          <w:color w:val="000000"/>
          <w:sz w:val="22"/>
        </w:rPr>
        <w:t>ml</w:t>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3. </w:t>
      </w:r>
      <w:r w:rsidR="001A0274" w:rsidRPr="002562F9">
        <w:rPr>
          <w:rFonts w:ascii="Arial" w:hAnsi="Arial"/>
          <w:b/>
          <w:color w:val="000000"/>
          <w:sz w:val="22"/>
          <w:lang w:val="el-GR"/>
        </w:rPr>
        <w:tab/>
      </w:r>
      <w:r w:rsidR="006C76E2" w:rsidRPr="002562F9">
        <w:rPr>
          <w:rFonts w:ascii="Arial" w:hAnsi="Arial"/>
          <w:b/>
          <w:color w:val="000000"/>
          <w:sz w:val="22"/>
          <w:lang w:val="el-GR"/>
        </w:rPr>
        <w:tab/>
      </w:r>
      <w:r w:rsidRPr="002562F9">
        <w:rPr>
          <w:rFonts w:ascii="Arial" w:hAnsi="Arial"/>
          <w:b/>
          <w:color w:val="000000"/>
          <w:sz w:val="22"/>
          <w:lang w:val="el-GR"/>
        </w:rPr>
        <w:t>ΦΑΡΜΑΚΕΥΤΙΚΗ ΜΟΡΦΗ</w:t>
      </w: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360" w:hanging="360"/>
        <w:jc w:val="both"/>
        <w:rPr>
          <w:rFonts w:ascii="Arial" w:hAnsi="Arial"/>
          <w:color w:val="000000"/>
          <w:sz w:val="22"/>
          <w:lang w:val="el-GR"/>
        </w:rPr>
      </w:pPr>
      <w:r w:rsidRPr="002562F9">
        <w:rPr>
          <w:rFonts w:ascii="Arial" w:hAnsi="Arial"/>
          <w:color w:val="000000"/>
          <w:sz w:val="22"/>
          <w:lang w:val="el-GR"/>
        </w:rPr>
        <w:t>Ενέσιμο διάλυμα σε προγεμισμένες</w:t>
      </w:r>
      <w:r w:rsidRPr="002562F9">
        <w:rPr>
          <w:rFonts w:ascii="Arial" w:hAnsi="Arial"/>
          <w:color w:val="000000"/>
          <w:sz w:val="22"/>
          <w:u w:val="single"/>
          <w:lang w:val="el-GR"/>
        </w:rPr>
        <w:t xml:space="preserve"> </w:t>
      </w:r>
      <w:r w:rsidRPr="002562F9">
        <w:rPr>
          <w:rFonts w:ascii="Arial" w:hAnsi="Arial"/>
          <w:color w:val="000000"/>
          <w:sz w:val="22"/>
          <w:lang w:val="el-GR"/>
        </w:rPr>
        <w:t>σύριγγες που περιέχουν:</w:t>
      </w:r>
    </w:p>
    <w:p w:rsidR="0086736F" w:rsidRPr="002562F9" w:rsidRDefault="0086736F" w:rsidP="008179B8">
      <w:pPr>
        <w:jc w:val="both"/>
        <w:rPr>
          <w:rFonts w:ascii="Arial" w:hAnsi="Arial"/>
          <w:color w:val="000000"/>
          <w:sz w:val="22"/>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0"/>
        <w:gridCol w:w="2840"/>
        <w:gridCol w:w="3359"/>
      </w:tblGrid>
      <w:tr w:rsidR="0086736F" w:rsidRPr="002562F9">
        <w:tblPrEx>
          <w:tblCellMar>
            <w:top w:w="0" w:type="dxa"/>
            <w:bottom w:w="0" w:type="dxa"/>
          </w:tblCellMar>
        </w:tblPrEx>
        <w:tc>
          <w:tcPr>
            <w:tcW w:w="2840" w:type="dxa"/>
          </w:tcPr>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rPr>
            </w:pPr>
            <w:r w:rsidRPr="002562F9">
              <w:rPr>
                <w:rFonts w:ascii="Arial" w:hAnsi="Arial"/>
                <w:b/>
                <w:color w:val="000000"/>
                <w:sz w:val="22"/>
                <w:lang w:val="el-GR"/>
              </w:rPr>
              <w:t>Όγκος</w:t>
            </w:r>
          </w:p>
          <w:p w:rsidR="0086736F" w:rsidRPr="002562F9" w:rsidRDefault="0086736F" w:rsidP="008179B8">
            <w:pPr>
              <w:jc w:val="both"/>
              <w:rPr>
                <w:rFonts w:ascii="Arial" w:hAnsi="Arial"/>
                <w:b/>
                <w:color w:val="000000"/>
                <w:sz w:val="22"/>
              </w:rPr>
            </w:pPr>
          </w:p>
        </w:tc>
        <w:tc>
          <w:tcPr>
            <w:tcW w:w="2840" w:type="dxa"/>
          </w:tcPr>
          <w:p w:rsidR="0086736F" w:rsidRPr="002562F9" w:rsidRDefault="0086736F" w:rsidP="008179B8">
            <w:pPr>
              <w:jc w:val="both"/>
              <w:rPr>
                <w:rFonts w:ascii="Arial" w:hAnsi="Arial"/>
                <w:b/>
                <w:color w:val="000000"/>
                <w:sz w:val="22"/>
              </w:rPr>
            </w:pPr>
          </w:p>
          <w:p w:rsidR="0086736F" w:rsidRPr="002562F9" w:rsidRDefault="0086736F" w:rsidP="008179B8">
            <w:pPr>
              <w:jc w:val="both"/>
              <w:rPr>
                <w:rFonts w:ascii="Arial" w:hAnsi="Arial"/>
                <w:b/>
                <w:color w:val="000000"/>
                <w:sz w:val="22"/>
              </w:rPr>
            </w:pPr>
            <w:r w:rsidRPr="002562F9">
              <w:rPr>
                <w:rFonts w:ascii="Arial" w:hAnsi="Arial"/>
                <w:b/>
                <w:color w:val="000000"/>
                <w:sz w:val="22"/>
                <w:lang w:val="el-GR"/>
              </w:rPr>
              <w:t>Είδος</w:t>
            </w:r>
            <w:r w:rsidRPr="002562F9">
              <w:rPr>
                <w:rFonts w:ascii="Arial" w:hAnsi="Arial"/>
                <w:b/>
                <w:color w:val="000000"/>
                <w:sz w:val="22"/>
              </w:rPr>
              <w:t xml:space="preserve"> </w:t>
            </w:r>
            <w:r w:rsidRPr="002562F9">
              <w:rPr>
                <w:rFonts w:ascii="Arial" w:hAnsi="Arial"/>
                <w:b/>
                <w:color w:val="000000"/>
                <w:sz w:val="22"/>
                <w:lang w:val="el-GR"/>
              </w:rPr>
              <w:t>σύριγγας</w:t>
            </w:r>
          </w:p>
        </w:tc>
        <w:tc>
          <w:tcPr>
            <w:tcW w:w="3359" w:type="dxa"/>
          </w:tcPr>
          <w:p w:rsidR="0086736F" w:rsidRPr="002562F9" w:rsidRDefault="0086736F" w:rsidP="008179B8">
            <w:pPr>
              <w:jc w:val="both"/>
              <w:rPr>
                <w:rFonts w:ascii="Arial" w:hAnsi="Arial"/>
                <w:b/>
                <w:color w:val="000000"/>
                <w:sz w:val="22"/>
                <w:lang w:val="it-IT"/>
              </w:rPr>
            </w:pPr>
          </w:p>
          <w:p w:rsidR="0086736F" w:rsidRPr="002562F9" w:rsidRDefault="0086736F" w:rsidP="008179B8">
            <w:pPr>
              <w:jc w:val="both"/>
              <w:rPr>
                <w:rFonts w:ascii="Arial" w:hAnsi="Arial"/>
                <w:b/>
                <w:color w:val="000000"/>
                <w:sz w:val="22"/>
                <w:lang w:val="it-IT"/>
              </w:rPr>
            </w:pPr>
            <w:r w:rsidRPr="002562F9">
              <w:rPr>
                <w:rFonts w:ascii="Arial" w:hAnsi="Arial"/>
                <w:b/>
                <w:color w:val="000000"/>
                <w:sz w:val="22"/>
                <w:lang w:val="it-IT"/>
              </w:rPr>
              <w:t>Nadroparin Calcium</w:t>
            </w:r>
          </w:p>
          <w:p w:rsidR="0086736F" w:rsidRPr="002562F9" w:rsidRDefault="0086736F" w:rsidP="008179B8">
            <w:pPr>
              <w:jc w:val="both"/>
              <w:rPr>
                <w:rFonts w:ascii="Arial" w:hAnsi="Arial"/>
                <w:b/>
                <w:color w:val="000000"/>
                <w:sz w:val="22"/>
                <w:lang w:val="it-IT"/>
              </w:rPr>
            </w:pPr>
            <w:r w:rsidRPr="002562F9">
              <w:rPr>
                <w:rFonts w:ascii="Arial" w:hAnsi="Arial"/>
                <w:b/>
                <w:color w:val="000000"/>
                <w:sz w:val="22"/>
                <w:lang w:val="it-IT"/>
              </w:rPr>
              <w:t xml:space="preserve">   (IU anti-Xa)</w:t>
            </w:r>
          </w:p>
        </w:tc>
      </w:tr>
      <w:tr w:rsidR="0086736F" w:rsidRPr="002562F9">
        <w:tblPrEx>
          <w:tblCellMar>
            <w:top w:w="0" w:type="dxa"/>
            <w:bottom w:w="0" w:type="dxa"/>
          </w:tblCellMar>
        </w:tblPrEx>
        <w:tc>
          <w:tcPr>
            <w:tcW w:w="2840" w:type="dxa"/>
          </w:tcPr>
          <w:p w:rsidR="0086736F" w:rsidRPr="002562F9" w:rsidRDefault="0086736F" w:rsidP="008179B8">
            <w:pPr>
              <w:jc w:val="both"/>
              <w:rPr>
                <w:rFonts w:ascii="Arial" w:hAnsi="Arial"/>
                <w:color w:val="000000"/>
                <w:sz w:val="22"/>
              </w:rPr>
            </w:pPr>
            <w:r w:rsidRPr="002562F9">
              <w:rPr>
                <w:rFonts w:ascii="Arial" w:hAnsi="Arial"/>
                <w:color w:val="000000"/>
                <w:sz w:val="22"/>
              </w:rPr>
              <w:t>0,3 ml</w:t>
            </w:r>
          </w:p>
        </w:tc>
        <w:tc>
          <w:tcPr>
            <w:tcW w:w="2840" w:type="dxa"/>
          </w:tcPr>
          <w:p w:rsidR="0086736F" w:rsidRPr="002562F9" w:rsidRDefault="0086736F" w:rsidP="008179B8">
            <w:pPr>
              <w:jc w:val="both"/>
              <w:rPr>
                <w:rFonts w:ascii="Arial" w:hAnsi="Arial"/>
                <w:color w:val="000000"/>
                <w:sz w:val="22"/>
              </w:rPr>
            </w:pPr>
            <w:r w:rsidRPr="002562F9">
              <w:rPr>
                <w:rFonts w:ascii="Arial" w:hAnsi="Arial"/>
                <w:color w:val="000000"/>
                <w:sz w:val="22"/>
                <w:lang w:val="el-GR"/>
              </w:rPr>
              <w:t>Χωρίς</w:t>
            </w:r>
            <w:r w:rsidRPr="002562F9">
              <w:rPr>
                <w:rFonts w:ascii="Arial" w:hAnsi="Arial"/>
                <w:color w:val="000000"/>
                <w:sz w:val="22"/>
              </w:rPr>
              <w:t xml:space="preserve"> </w:t>
            </w:r>
            <w:r w:rsidRPr="002562F9">
              <w:rPr>
                <w:rFonts w:ascii="Arial" w:hAnsi="Arial"/>
                <w:color w:val="000000"/>
                <w:sz w:val="22"/>
                <w:lang w:val="el-GR"/>
              </w:rPr>
              <w:t>βαθμολόγηση</w:t>
            </w:r>
            <w:r w:rsidRPr="002562F9">
              <w:rPr>
                <w:rFonts w:ascii="Arial" w:hAnsi="Arial"/>
                <w:color w:val="000000"/>
                <w:sz w:val="22"/>
              </w:rPr>
              <w:t xml:space="preserve"> </w:t>
            </w:r>
          </w:p>
        </w:tc>
        <w:tc>
          <w:tcPr>
            <w:tcW w:w="3359" w:type="dxa"/>
          </w:tcPr>
          <w:p w:rsidR="0086736F" w:rsidRPr="002562F9" w:rsidRDefault="0086736F" w:rsidP="008179B8">
            <w:pPr>
              <w:jc w:val="both"/>
              <w:rPr>
                <w:rFonts w:ascii="Arial" w:hAnsi="Arial"/>
                <w:color w:val="000000"/>
                <w:sz w:val="22"/>
              </w:rPr>
            </w:pPr>
            <w:r w:rsidRPr="002562F9">
              <w:rPr>
                <w:rFonts w:ascii="Arial" w:hAnsi="Arial"/>
                <w:color w:val="000000"/>
                <w:sz w:val="22"/>
              </w:rPr>
              <w:t>2.850</w:t>
            </w:r>
          </w:p>
        </w:tc>
      </w:tr>
      <w:tr w:rsidR="0086736F" w:rsidRPr="002562F9">
        <w:tblPrEx>
          <w:tblCellMar>
            <w:top w:w="0" w:type="dxa"/>
            <w:bottom w:w="0" w:type="dxa"/>
          </w:tblCellMar>
        </w:tblPrEx>
        <w:tc>
          <w:tcPr>
            <w:tcW w:w="2840" w:type="dxa"/>
          </w:tcPr>
          <w:p w:rsidR="0086736F" w:rsidRPr="002562F9" w:rsidRDefault="0086736F" w:rsidP="008179B8">
            <w:pPr>
              <w:jc w:val="both"/>
              <w:rPr>
                <w:rFonts w:ascii="Arial" w:hAnsi="Arial"/>
                <w:color w:val="000000"/>
                <w:sz w:val="22"/>
              </w:rPr>
            </w:pPr>
          </w:p>
        </w:tc>
        <w:tc>
          <w:tcPr>
            <w:tcW w:w="2840" w:type="dxa"/>
          </w:tcPr>
          <w:p w:rsidR="0086736F" w:rsidRPr="002562F9" w:rsidRDefault="0086736F" w:rsidP="008179B8">
            <w:pPr>
              <w:jc w:val="both"/>
              <w:rPr>
                <w:rFonts w:ascii="Arial" w:hAnsi="Arial"/>
                <w:color w:val="000000"/>
                <w:sz w:val="22"/>
              </w:rPr>
            </w:pPr>
          </w:p>
        </w:tc>
        <w:tc>
          <w:tcPr>
            <w:tcW w:w="3359" w:type="dxa"/>
          </w:tcPr>
          <w:p w:rsidR="0086736F" w:rsidRPr="002562F9" w:rsidRDefault="0086736F" w:rsidP="008179B8">
            <w:pPr>
              <w:jc w:val="both"/>
              <w:rPr>
                <w:rFonts w:ascii="Arial" w:hAnsi="Arial"/>
                <w:color w:val="000000"/>
                <w:sz w:val="22"/>
              </w:rPr>
            </w:pPr>
          </w:p>
        </w:tc>
      </w:tr>
      <w:tr w:rsidR="0086736F" w:rsidRPr="002562F9">
        <w:tblPrEx>
          <w:tblCellMar>
            <w:top w:w="0" w:type="dxa"/>
            <w:bottom w:w="0" w:type="dxa"/>
          </w:tblCellMar>
        </w:tblPrEx>
        <w:tc>
          <w:tcPr>
            <w:tcW w:w="2840" w:type="dxa"/>
          </w:tcPr>
          <w:p w:rsidR="0086736F" w:rsidRPr="002562F9" w:rsidRDefault="0086736F" w:rsidP="008179B8">
            <w:pPr>
              <w:jc w:val="both"/>
              <w:rPr>
                <w:rFonts w:ascii="Arial" w:hAnsi="Arial"/>
                <w:color w:val="000000"/>
                <w:sz w:val="22"/>
              </w:rPr>
            </w:pPr>
            <w:r w:rsidRPr="002562F9">
              <w:rPr>
                <w:rFonts w:ascii="Arial" w:hAnsi="Arial"/>
                <w:color w:val="000000"/>
                <w:sz w:val="22"/>
              </w:rPr>
              <w:t>0,6 ml</w:t>
            </w:r>
          </w:p>
        </w:tc>
        <w:tc>
          <w:tcPr>
            <w:tcW w:w="2840" w:type="dxa"/>
          </w:tcPr>
          <w:p w:rsidR="0086736F" w:rsidRPr="002562F9" w:rsidRDefault="0086736F" w:rsidP="008179B8">
            <w:pPr>
              <w:jc w:val="both"/>
              <w:rPr>
                <w:rFonts w:ascii="Arial" w:hAnsi="Arial"/>
                <w:color w:val="000000"/>
                <w:sz w:val="22"/>
              </w:rPr>
            </w:pPr>
            <w:r w:rsidRPr="002562F9">
              <w:rPr>
                <w:rFonts w:ascii="Arial" w:hAnsi="Arial"/>
                <w:color w:val="000000"/>
                <w:sz w:val="22"/>
                <w:lang w:val="el-GR"/>
              </w:rPr>
              <w:t>Βαθμολογημένη</w:t>
            </w:r>
          </w:p>
        </w:tc>
        <w:tc>
          <w:tcPr>
            <w:tcW w:w="3359" w:type="dxa"/>
          </w:tcPr>
          <w:p w:rsidR="0086736F" w:rsidRPr="002562F9" w:rsidRDefault="0086736F" w:rsidP="008179B8">
            <w:pPr>
              <w:jc w:val="both"/>
              <w:rPr>
                <w:rFonts w:ascii="Arial" w:hAnsi="Arial"/>
                <w:color w:val="000000"/>
                <w:sz w:val="22"/>
              </w:rPr>
            </w:pPr>
            <w:r w:rsidRPr="002562F9">
              <w:rPr>
                <w:rFonts w:ascii="Arial" w:hAnsi="Arial"/>
                <w:color w:val="000000"/>
                <w:sz w:val="22"/>
              </w:rPr>
              <w:t>5.700</w:t>
            </w:r>
          </w:p>
        </w:tc>
      </w:tr>
      <w:tr w:rsidR="0086736F" w:rsidRPr="002562F9">
        <w:tblPrEx>
          <w:tblCellMar>
            <w:top w:w="0" w:type="dxa"/>
            <w:bottom w:w="0" w:type="dxa"/>
          </w:tblCellMar>
        </w:tblPrEx>
        <w:tc>
          <w:tcPr>
            <w:tcW w:w="2840" w:type="dxa"/>
          </w:tcPr>
          <w:p w:rsidR="0086736F" w:rsidRPr="002562F9" w:rsidRDefault="0086736F" w:rsidP="008179B8">
            <w:pPr>
              <w:jc w:val="both"/>
              <w:rPr>
                <w:rFonts w:ascii="Arial" w:hAnsi="Arial"/>
                <w:color w:val="000000"/>
                <w:sz w:val="22"/>
              </w:rPr>
            </w:pPr>
          </w:p>
        </w:tc>
        <w:tc>
          <w:tcPr>
            <w:tcW w:w="2840" w:type="dxa"/>
          </w:tcPr>
          <w:p w:rsidR="0086736F" w:rsidRPr="002562F9" w:rsidRDefault="0086736F" w:rsidP="008179B8">
            <w:pPr>
              <w:jc w:val="both"/>
              <w:rPr>
                <w:rFonts w:ascii="Arial" w:hAnsi="Arial"/>
                <w:color w:val="000000"/>
                <w:sz w:val="22"/>
              </w:rPr>
            </w:pPr>
          </w:p>
        </w:tc>
        <w:tc>
          <w:tcPr>
            <w:tcW w:w="3359" w:type="dxa"/>
          </w:tcPr>
          <w:p w:rsidR="0086736F" w:rsidRPr="002562F9" w:rsidRDefault="0086736F" w:rsidP="008179B8">
            <w:pPr>
              <w:jc w:val="both"/>
              <w:rPr>
                <w:rFonts w:ascii="Arial" w:hAnsi="Arial"/>
                <w:color w:val="000000"/>
                <w:sz w:val="22"/>
              </w:rPr>
            </w:pPr>
          </w:p>
        </w:tc>
      </w:tr>
      <w:tr w:rsidR="0086736F" w:rsidRPr="002562F9">
        <w:tblPrEx>
          <w:tblCellMar>
            <w:top w:w="0" w:type="dxa"/>
            <w:bottom w:w="0" w:type="dxa"/>
          </w:tblCellMar>
        </w:tblPrEx>
        <w:tc>
          <w:tcPr>
            <w:tcW w:w="2840" w:type="dxa"/>
          </w:tcPr>
          <w:p w:rsidR="0086736F" w:rsidRPr="002562F9" w:rsidRDefault="0086736F" w:rsidP="008179B8">
            <w:pPr>
              <w:jc w:val="both"/>
              <w:rPr>
                <w:rFonts w:ascii="Arial" w:hAnsi="Arial"/>
                <w:color w:val="000000"/>
                <w:sz w:val="22"/>
              </w:rPr>
            </w:pPr>
            <w:r w:rsidRPr="002562F9">
              <w:rPr>
                <w:rFonts w:ascii="Arial" w:hAnsi="Arial"/>
                <w:color w:val="000000"/>
                <w:sz w:val="22"/>
              </w:rPr>
              <w:t>1,0 ml</w:t>
            </w:r>
          </w:p>
        </w:tc>
        <w:tc>
          <w:tcPr>
            <w:tcW w:w="2840" w:type="dxa"/>
          </w:tcPr>
          <w:p w:rsidR="0086736F" w:rsidRPr="002562F9" w:rsidRDefault="0086736F" w:rsidP="008179B8">
            <w:pPr>
              <w:jc w:val="both"/>
              <w:rPr>
                <w:rFonts w:ascii="Arial" w:hAnsi="Arial"/>
                <w:color w:val="000000"/>
                <w:sz w:val="22"/>
              </w:rPr>
            </w:pPr>
            <w:r w:rsidRPr="002562F9">
              <w:rPr>
                <w:rFonts w:ascii="Arial" w:hAnsi="Arial"/>
                <w:color w:val="000000"/>
                <w:sz w:val="22"/>
                <w:lang w:val="el-GR"/>
              </w:rPr>
              <w:t>Βαθμολογημένη</w:t>
            </w:r>
          </w:p>
        </w:tc>
        <w:tc>
          <w:tcPr>
            <w:tcW w:w="3359" w:type="dxa"/>
          </w:tcPr>
          <w:p w:rsidR="0086736F" w:rsidRPr="002562F9" w:rsidRDefault="0086736F" w:rsidP="008179B8">
            <w:pPr>
              <w:jc w:val="both"/>
              <w:rPr>
                <w:rFonts w:ascii="Arial" w:hAnsi="Arial"/>
                <w:color w:val="000000"/>
                <w:sz w:val="22"/>
              </w:rPr>
            </w:pPr>
            <w:r w:rsidRPr="002562F9">
              <w:rPr>
                <w:rFonts w:ascii="Arial" w:hAnsi="Arial"/>
                <w:color w:val="000000"/>
                <w:sz w:val="22"/>
              </w:rPr>
              <w:t>9.500</w:t>
            </w:r>
          </w:p>
        </w:tc>
      </w:tr>
    </w:tbl>
    <w:p w:rsidR="0086736F" w:rsidRPr="002562F9" w:rsidRDefault="0086736F" w:rsidP="008179B8">
      <w:pPr>
        <w:jc w:val="both"/>
        <w:rPr>
          <w:rFonts w:ascii="Arial" w:hAnsi="Arial"/>
          <w:color w:val="000000"/>
          <w:sz w:val="22"/>
        </w:rPr>
      </w:pPr>
    </w:p>
    <w:p w:rsidR="0086736F" w:rsidRPr="002562F9" w:rsidRDefault="0086736F" w:rsidP="008179B8">
      <w:pPr>
        <w:jc w:val="both"/>
        <w:rPr>
          <w:rFonts w:ascii="Arial" w:hAnsi="Arial"/>
          <w:color w:val="000000"/>
          <w:sz w:val="22"/>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rPr>
        <w:t xml:space="preserve">4. </w:t>
      </w:r>
      <w:r w:rsidR="001A0274" w:rsidRPr="002562F9">
        <w:rPr>
          <w:rFonts w:ascii="Arial" w:hAnsi="Arial"/>
          <w:b/>
          <w:color w:val="000000"/>
          <w:sz w:val="22"/>
        </w:rPr>
        <w:tab/>
      </w:r>
      <w:r w:rsidR="006C76E2" w:rsidRPr="002562F9">
        <w:rPr>
          <w:rFonts w:ascii="Arial" w:hAnsi="Arial"/>
          <w:b/>
          <w:color w:val="000000"/>
          <w:sz w:val="22"/>
        </w:rPr>
        <w:tab/>
      </w:r>
      <w:r w:rsidRPr="002562F9">
        <w:rPr>
          <w:rFonts w:ascii="Arial" w:hAnsi="Arial"/>
          <w:b/>
          <w:color w:val="000000"/>
          <w:sz w:val="22"/>
          <w:lang w:val="el-GR"/>
        </w:rPr>
        <w:t>ΚΛΙΝΙΚ</w:t>
      </w:r>
      <w:r w:rsidR="00E1578B">
        <w:rPr>
          <w:rFonts w:ascii="Arial" w:hAnsi="Arial"/>
          <w:b/>
          <w:color w:val="000000"/>
          <w:sz w:val="22"/>
          <w:lang w:val="el-GR"/>
        </w:rPr>
        <w:t>ΕΣ</w:t>
      </w:r>
      <w:r w:rsidRPr="002562F9">
        <w:rPr>
          <w:rFonts w:ascii="Arial" w:hAnsi="Arial"/>
          <w:b/>
          <w:color w:val="000000"/>
          <w:sz w:val="22"/>
          <w:lang w:val="el-GR"/>
        </w:rPr>
        <w:t xml:space="preserve"> </w:t>
      </w:r>
      <w:r w:rsidR="00E1578B">
        <w:rPr>
          <w:rFonts w:ascii="Arial" w:hAnsi="Arial"/>
          <w:b/>
          <w:color w:val="000000"/>
          <w:sz w:val="22"/>
          <w:lang w:val="el-GR"/>
        </w:rPr>
        <w:t>ΠΛΗΡΟΦΟΡΙΕΣ</w:t>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4.1 </w:t>
      </w:r>
      <w:r w:rsidR="001A0274" w:rsidRPr="002562F9">
        <w:rPr>
          <w:rFonts w:ascii="Arial" w:hAnsi="Arial"/>
          <w:b/>
          <w:color w:val="000000"/>
          <w:sz w:val="22"/>
          <w:lang w:val="el-GR"/>
        </w:rPr>
        <w:tab/>
      </w:r>
      <w:r w:rsidRPr="002562F9">
        <w:rPr>
          <w:rFonts w:ascii="Arial" w:hAnsi="Arial"/>
          <w:b/>
          <w:color w:val="000000"/>
          <w:sz w:val="22"/>
          <w:lang w:val="el-GR"/>
        </w:rPr>
        <w:t>Θεραπευτικές ενδείξεις</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Προφύλαξη θρομβοεμβολικών επεισοδίων, ιδιαίτερα εκείνων που σχετίζονται με την γενική ή την ορθοπεδική χειρουργική.</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Θεραπεία της εν τω βάθει Φλεβικής Θρόμβωσης και της Πνευμονικής Εμβολής.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Προφύλαξη σχηματισμού θρόμβου κατά την διάρκεια της αιμοδιάλυσης.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Θεραπεία ασταθούς στηθάγχης και εμφράγματος του μυοκαρδίου χωρίς </w:t>
      </w:r>
      <w:r w:rsidR="00AC7CF1">
        <w:rPr>
          <w:rFonts w:ascii="Arial" w:hAnsi="Arial"/>
          <w:sz w:val="22"/>
          <w:lang w:val="el-GR"/>
        </w:rPr>
        <w:t>κύμα</w:t>
      </w:r>
      <w:r w:rsidRPr="002562F9">
        <w:rPr>
          <w:rFonts w:ascii="Arial" w:hAnsi="Arial"/>
          <w:color w:val="000000"/>
          <w:sz w:val="22"/>
          <w:lang w:val="el-GR"/>
        </w:rPr>
        <w:t xml:space="preserve"> </w:t>
      </w:r>
      <w:r w:rsidRPr="002562F9">
        <w:rPr>
          <w:rFonts w:ascii="Arial" w:hAnsi="Arial"/>
          <w:color w:val="000000"/>
          <w:sz w:val="22"/>
        </w:rPr>
        <w:t>Q</w:t>
      </w:r>
      <w:r w:rsidRPr="002562F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4.2 </w:t>
      </w:r>
      <w:r w:rsidR="001A0274" w:rsidRPr="002562F9">
        <w:rPr>
          <w:rFonts w:ascii="Arial" w:hAnsi="Arial"/>
          <w:b/>
          <w:color w:val="000000"/>
          <w:sz w:val="22"/>
          <w:lang w:val="el-GR"/>
        </w:rPr>
        <w:tab/>
      </w:r>
      <w:r w:rsidRPr="002562F9">
        <w:rPr>
          <w:rFonts w:ascii="Arial" w:hAnsi="Arial"/>
          <w:b/>
          <w:color w:val="000000"/>
          <w:sz w:val="22"/>
          <w:lang w:val="el-GR"/>
        </w:rPr>
        <w:t>Δοσολογία και τρόπος χορήγησης</w:t>
      </w:r>
    </w:p>
    <w:p w:rsidR="0086736F" w:rsidRPr="002562F9" w:rsidRDefault="0086736F" w:rsidP="008179B8">
      <w:pPr>
        <w:jc w:val="both"/>
        <w:rPr>
          <w:rFonts w:ascii="Arial" w:hAnsi="Arial"/>
          <w:b/>
          <w:color w:val="000000"/>
          <w:sz w:val="22"/>
          <w:lang w:val="el-GR"/>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522"/>
      </w:tblGrid>
      <w:tr w:rsidR="0086736F" w:rsidRPr="002562F9">
        <w:tblPrEx>
          <w:tblCellMar>
            <w:top w:w="0" w:type="dxa"/>
            <w:bottom w:w="0" w:type="dxa"/>
          </w:tblCellMar>
        </w:tblPrEx>
        <w:tc>
          <w:tcPr>
            <w:tcW w:w="8522" w:type="dxa"/>
            <w:shd w:val="pct10" w:color="auto" w:fill="auto"/>
          </w:tcPr>
          <w:p w:rsidR="0086736F" w:rsidRPr="002562F9" w:rsidRDefault="0086736F" w:rsidP="008179B8">
            <w:pPr>
              <w:jc w:val="both"/>
              <w:rPr>
                <w:rFonts w:ascii="Arial" w:hAnsi="Arial"/>
                <w:b/>
                <w:color w:val="000000"/>
                <w:sz w:val="22"/>
                <w:lang w:val="el-GR"/>
              </w:rPr>
            </w:pPr>
            <w:r w:rsidRPr="002562F9">
              <w:rPr>
                <w:rFonts w:ascii="Arial" w:hAnsi="Arial"/>
                <w:b/>
                <w:color w:val="000000"/>
                <w:sz w:val="22"/>
                <w:u w:val="single"/>
                <w:lang w:val="el-GR"/>
              </w:rPr>
              <w:t>ΣΗΜΕΙΩΣΗ: ΔΟΣΟΛΟΓΙΑ</w:t>
            </w: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Ιδιαίτερη προσοχή θα πρέπει να δίνεται στις ακριβείς οδηγίες όσον αφορά την δοσολογία για κάθε διαφορετικό σκεύασμα ΗΧΜΒ καθώς χρησιμοποιούνται διαφορετικά συστήματα μονάδων (</w:t>
            </w:r>
            <w:r w:rsidRPr="002562F9">
              <w:rPr>
                <w:rFonts w:ascii="Arial" w:hAnsi="Arial"/>
                <w:b/>
                <w:color w:val="000000"/>
                <w:sz w:val="22"/>
              </w:rPr>
              <w:t>units</w:t>
            </w:r>
            <w:r w:rsidRPr="002562F9">
              <w:rPr>
                <w:rFonts w:ascii="Arial" w:hAnsi="Arial"/>
                <w:b/>
                <w:color w:val="000000"/>
                <w:sz w:val="22"/>
                <w:lang w:val="el-GR"/>
              </w:rPr>
              <w:t xml:space="preserve"> ή </w:t>
            </w:r>
            <w:r w:rsidRPr="002562F9">
              <w:rPr>
                <w:rFonts w:ascii="Arial" w:hAnsi="Arial"/>
                <w:b/>
                <w:color w:val="000000"/>
                <w:sz w:val="22"/>
              </w:rPr>
              <w:t>mg</w:t>
            </w:r>
            <w:r w:rsidRPr="002562F9">
              <w:rPr>
                <w:rFonts w:ascii="Arial" w:hAnsi="Arial"/>
                <w:b/>
                <w:color w:val="000000"/>
                <w:sz w:val="22"/>
                <w:lang w:val="el-GR"/>
              </w:rPr>
              <w:t>) για τον καθορισμό των δόσεων και μπορεί να υπάρχουν διαφορετικές περιεκτικότητες.</w:t>
            </w:r>
          </w:p>
        </w:tc>
      </w:tr>
    </w:tbl>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lastRenderedPageBreak/>
        <w:t xml:space="preserve">Η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δεν χορηγείται ενδομυϊκά.</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Στην προφύλαξη και θεραπεία των θρομβοεμβολικών διαταραχών, η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θα </w:t>
      </w:r>
      <w:r w:rsidR="002F11D4" w:rsidRPr="002562F9">
        <w:rPr>
          <w:rFonts w:ascii="Arial" w:hAnsi="Arial"/>
          <w:color w:val="000000"/>
          <w:sz w:val="22"/>
          <w:lang w:val="el-GR"/>
        </w:rPr>
        <w:t>πρέπει</w:t>
      </w:r>
      <w:r w:rsidRPr="002562F9">
        <w:rPr>
          <w:rFonts w:ascii="Arial" w:hAnsi="Arial"/>
          <w:color w:val="000000"/>
          <w:sz w:val="22"/>
          <w:lang w:val="el-GR"/>
        </w:rPr>
        <w:t xml:space="preserve"> να χορηγείται δια της υποδόριας οδού. Στην πρόληψη σχηματισμού θρόμβων κατά τη διάρκεια της αιμοδιάλυσης η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θα </w:t>
      </w:r>
      <w:r w:rsidR="002F11D4" w:rsidRPr="002562F9">
        <w:rPr>
          <w:rFonts w:ascii="Arial" w:hAnsi="Arial"/>
          <w:color w:val="000000"/>
          <w:sz w:val="22"/>
          <w:lang w:val="el-GR"/>
        </w:rPr>
        <w:t>πρέπει</w:t>
      </w:r>
      <w:r w:rsidRPr="002562F9">
        <w:rPr>
          <w:rFonts w:ascii="Arial" w:hAnsi="Arial"/>
          <w:color w:val="000000"/>
          <w:sz w:val="22"/>
          <w:lang w:val="el-GR"/>
        </w:rPr>
        <w:t xml:space="preserve"> να χορηγείται στην αρτηριακή γραμμή στην αρχή κάθε συνεδρίας.</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Όταν χορηγείται υποδορίως, η συνηθισμένη περιοχή της ένεσης είναι τα προσθιοπλάγια κοιλιακά τοιχώματα, εναλλακτικά στα δεξιά και αριστερά.</w:t>
      </w: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Η βελόνα πρέπει να εισέρχεται κάθετα σε όλο της το μήκος και όχι υπό γωνία, σε μία δερματική πτυχή που δημιουργείται μεταξύ του δείκτη και του αντίχειρα και διατηρείται καθ’ όλη την διάρκεια της ένεσης.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Οι βαθμολογημένες σύριγγες προορίζονται για χορήγηση ρυθμιζόμενων δόσεων όταν η προσαρμογή με το σωματικό βάρος είναι απαραίτητη.</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Η χρήση συριγγών υψηλής ακριβείας και πολύ λεπτής βελόνας (διαμέτρου 0,5 </w:t>
      </w:r>
      <w:r w:rsidRPr="002562F9">
        <w:rPr>
          <w:rFonts w:ascii="Arial" w:hAnsi="Arial"/>
          <w:color w:val="000000"/>
          <w:sz w:val="22"/>
        </w:rPr>
        <w:t>mm</w:t>
      </w:r>
      <w:r w:rsidRPr="002562F9">
        <w:rPr>
          <w:rFonts w:ascii="Arial" w:hAnsi="Arial"/>
          <w:color w:val="000000"/>
          <w:sz w:val="22"/>
          <w:lang w:val="el-GR"/>
        </w:rPr>
        <w:t xml:space="preserve">) ενδείκνυται όταν χρησιμοποιείται το διάλυμα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από φιαλίδια.</w:t>
      </w:r>
    </w:p>
    <w:p w:rsidR="0086736F" w:rsidRPr="002562F9" w:rsidRDefault="0086736F" w:rsidP="008179B8">
      <w:pPr>
        <w:jc w:val="both"/>
        <w:rPr>
          <w:rFonts w:ascii="Arial" w:hAnsi="Arial"/>
          <w:b/>
          <w:color w:val="000000"/>
          <w:sz w:val="22"/>
          <w:u w:val="single"/>
          <w:lang w:val="el-GR"/>
        </w:rPr>
      </w:pPr>
    </w:p>
    <w:p w:rsidR="00303661" w:rsidRPr="00AF04BB" w:rsidRDefault="00906585" w:rsidP="00AF04BB">
      <w:pPr>
        <w:jc w:val="both"/>
        <w:rPr>
          <w:rFonts w:ascii="Arial" w:hAnsi="Arial" w:cs="Arial"/>
          <w:color w:val="000000"/>
          <w:sz w:val="22"/>
          <w:szCs w:val="22"/>
          <w:lang w:val="el-GR"/>
        </w:rPr>
      </w:pPr>
      <w:r w:rsidRPr="00AF04BB">
        <w:rPr>
          <w:rFonts w:ascii="Arial" w:hAnsi="Arial" w:cs="Arial"/>
          <w:color w:val="000000"/>
          <w:sz w:val="22"/>
          <w:szCs w:val="22"/>
          <w:lang w:val="el-GR"/>
        </w:rPr>
        <w:t xml:space="preserve">Θα πρέπει να ακολουθούνται οι ειδικές συστάσεις σχετικά με </w:t>
      </w:r>
      <w:r w:rsidR="00806A89">
        <w:rPr>
          <w:rFonts w:ascii="Arial" w:hAnsi="Arial" w:cs="Arial"/>
          <w:color w:val="000000"/>
          <w:sz w:val="22"/>
          <w:szCs w:val="22"/>
          <w:lang w:val="el-GR"/>
        </w:rPr>
        <w:t>το χρόνο χορήγησης</w:t>
      </w:r>
      <w:r w:rsidR="00981E48">
        <w:rPr>
          <w:rFonts w:ascii="Arial" w:hAnsi="Arial" w:cs="Arial"/>
          <w:color w:val="000000"/>
          <w:sz w:val="22"/>
          <w:szCs w:val="22"/>
          <w:lang w:val="el-GR"/>
        </w:rPr>
        <w:t xml:space="preserve"> της ναδροπαρίνης </w:t>
      </w:r>
      <w:r w:rsidR="00806A89">
        <w:rPr>
          <w:rFonts w:ascii="Arial" w:hAnsi="Arial" w:cs="Arial"/>
          <w:color w:val="000000"/>
          <w:sz w:val="22"/>
          <w:szCs w:val="22"/>
          <w:lang w:val="el-GR"/>
        </w:rPr>
        <w:t xml:space="preserve">πριν και μετά τη ραχιαία/επισκληρίδιο αναισθησία ή την οσφυονωτιαία παρακέντηση </w:t>
      </w:r>
      <w:r w:rsidR="00303661" w:rsidRPr="00AF04BB">
        <w:rPr>
          <w:rFonts w:ascii="Arial" w:hAnsi="Arial" w:cs="Arial"/>
          <w:color w:val="000000"/>
          <w:sz w:val="22"/>
          <w:szCs w:val="22"/>
          <w:lang w:val="el-GR"/>
        </w:rPr>
        <w:t>(</w:t>
      </w:r>
      <w:r w:rsidRPr="00AF04BB">
        <w:rPr>
          <w:rFonts w:ascii="Arial" w:hAnsi="Arial" w:cs="Arial"/>
          <w:color w:val="000000"/>
          <w:sz w:val="22"/>
          <w:szCs w:val="22"/>
          <w:lang w:val="el-GR"/>
        </w:rPr>
        <w:t>βλέπε παράγραφο 4.4</w:t>
      </w:r>
      <w:r w:rsidR="00303661" w:rsidRPr="00AF04BB">
        <w:rPr>
          <w:rFonts w:ascii="Arial" w:hAnsi="Arial" w:cs="Arial"/>
          <w:color w:val="000000"/>
          <w:sz w:val="22"/>
          <w:szCs w:val="22"/>
          <w:lang w:val="el-GR"/>
        </w:rPr>
        <w:t xml:space="preserve">). </w:t>
      </w:r>
    </w:p>
    <w:p w:rsidR="00303661" w:rsidRPr="00AF04BB" w:rsidRDefault="00303661" w:rsidP="008179B8">
      <w:pPr>
        <w:jc w:val="both"/>
        <w:rPr>
          <w:rFonts w:ascii="Arial" w:hAnsi="Arial" w:cs="Arial"/>
          <w:color w:val="000000"/>
          <w:sz w:val="22"/>
          <w:szCs w:val="22"/>
          <w:u w:val="single"/>
          <w:lang w:val="el-GR"/>
        </w:rPr>
      </w:pPr>
    </w:p>
    <w:p w:rsidR="0086736F" w:rsidRPr="002562F9" w:rsidRDefault="0086736F" w:rsidP="008179B8">
      <w:pPr>
        <w:jc w:val="both"/>
        <w:rPr>
          <w:rFonts w:ascii="Arial" w:hAnsi="Arial"/>
          <w:b/>
          <w:color w:val="000000"/>
          <w:sz w:val="22"/>
          <w:u w:val="single"/>
          <w:lang w:val="el-GR"/>
        </w:rPr>
      </w:pPr>
      <w:r w:rsidRPr="002562F9">
        <w:rPr>
          <w:rFonts w:ascii="Arial" w:hAnsi="Arial"/>
          <w:b/>
          <w:color w:val="000000"/>
          <w:sz w:val="22"/>
          <w:u w:val="single"/>
          <w:lang w:val="el-GR"/>
        </w:rPr>
        <w:t>Προφύλαξη θρομβοεμβολικών επεισοδίων</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Γενική προφύλαξη:</w:t>
      </w:r>
    </w:p>
    <w:p w:rsidR="0086736F" w:rsidRPr="002562F9" w:rsidRDefault="0086736F" w:rsidP="008179B8">
      <w:pPr>
        <w:jc w:val="both"/>
        <w:rPr>
          <w:rFonts w:ascii="Arial" w:hAnsi="Arial"/>
          <w:b/>
          <w:color w:val="000000"/>
          <w:sz w:val="22"/>
          <w:lang w:val="el-GR"/>
        </w:rPr>
      </w:pPr>
      <w:r w:rsidRPr="002562F9">
        <w:rPr>
          <w:rFonts w:ascii="Arial" w:hAnsi="Arial"/>
          <w:color w:val="000000"/>
          <w:sz w:val="22"/>
          <w:lang w:val="el-GR"/>
        </w:rPr>
        <w:t xml:space="preserve">Η </w:t>
      </w:r>
      <w:r w:rsidRPr="002562F9">
        <w:rPr>
          <w:rFonts w:ascii="Arial" w:hAnsi="Arial"/>
          <w:color w:val="000000"/>
          <w:sz w:val="22"/>
        </w:rPr>
        <w:t>Fraxiparine</w:t>
      </w:r>
      <w:r w:rsidRPr="002562F9">
        <w:rPr>
          <w:rFonts w:ascii="Arial" w:hAnsi="Arial"/>
          <w:color w:val="000000"/>
          <w:sz w:val="22"/>
          <w:lang w:val="el-GR"/>
        </w:rPr>
        <w:t xml:space="preserve"> θα πρέπει να χορηγείται σε μία εφ’ άπαξ ημερήσια δόση των 0,3 </w:t>
      </w:r>
      <w:r w:rsidRPr="002562F9">
        <w:rPr>
          <w:rFonts w:ascii="Arial" w:hAnsi="Arial"/>
          <w:color w:val="000000"/>
          <w:sz w:val="22"/>
        </w:rPr>
        <w:t>ml</w:t>
      </w:r>
      <w:r w:rsidRPr="002562F9">
        <w:rPr>
          <w:rFonts w:ascii="Arial" w:hAnsi="Arial"/>
          <w:color w:val="000000"/>
          <w:sz w:val="22"/>
          <w:lang w:val="el-GR"/>
        </w:rPr>
        <w:t xml:space="preserve"> για τουλάχιστον 7 ημέρες. Σε όλες τις περιπτώσεις η προφύλαξη θα πρέπει να συνεχίζεται καθ’ όλο το διάστημα που ο ασθενής βρίσκεται σε κίνδυνο και τουλάχιστον μέχρις ότου κινητοποιηθεί. Στην γενική χειρουργική η πρώτη δόση θα πρέπει να χορηγείται 2 έως 4 ώρες πριν την επέμβαση.   </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Ορθοπεδική χειρουργική:</w:t>
      </w: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Οι αρχικές δόσεις θα πρέπει να χορηγούνται 12 ώρες πριν την επέμβαση και κατόπιν 12 ώρες μετά το τέλος της επέμβασης. Αυτές όπως και οι εφ’ άπαξ ημερήσιες δόσεις που ακολουθούν θα πρέπει να προσαρμόζονται σύμφωνα με το βάρος του σώματος βασιζόμενοι στον κατωτέρω πίνακα.</w:t>
      </w:r>
    </w:p>
    <w:p w:rsidR="0086736F" w:rsidRPr="002562F9" w:rsidRDefault="0086736F" w:rsidP="008179B8">
      <w:pPr>
        <w:jc w:val="both"/>
        <w:rPr>
          <w:rFonts w:ascii="Arial" w:hAnsi="Arial"/>
          <w:b/>
          <w:color w:val="000000"/>
          <w:sz w:val="22"/>
          <w:lang w:val="el-GR"/>
        </w:rPr>
      </w:pPr>
      <w:r w:rsidRPr="002562F9">
        <w:rPr>
          <w:rFonts w:ascii="Arial" w:hAnsi="Arial"/>
          <w:color w:val="000000"/>
          <w:sz w:val="22"/>
          <w:lang w:val="el-GR"/>
        </w:rPr>
        <w:t xml:space="preserve">Η θεραπεία θα πρέπει να συνεχίζεται για τουλάχιστον 10 ημέρες. Σε όλες τις περιπτώσεις η προφύλαξη θα πρέπει να συνεχίζεται καθ’ όλο το διάστημα που ο ασθενής ευρίσκεται σε κίνδυνο και τουλάχιστον μέχρις ότου κινητοποιηθεί. </w:t>
      </w:r>
    </w:p>
    <w:p w:rsidR="0086736F" w:rsidRPr="002562F9" w:rsidRDefault="0086736F" w:rsidP="008179B8">
      <w:pPr>
        <w:jc w:val="both"/>
        <w:rPr>
          <w:rFonts w:ascii="Arial" w:hAnsi="Arial"/>
          <w:b/>
          <w:color w:val="000000"/>
          <w:sz w:val="22"/>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2958"/>
        <w:gridCol w:w="2762"/>
      </w:tblGrid>
      <w:tr w:rsidR="0086736F" w:rsidRPr="002562F9">
        <w:tblPrEx>
          <w:tblCellMar>
            <w:top w:w="0" w:type="dxa"/>
            <w:bottom w:w="0" w:type="dxa"/>
          </w:tblCellMar>
        </w:tblPrEx>
        <w:tc>
          <w:tcPr>
            <w:tcW w:w="2802" w:type="dxa"/>
            <w:tcBorders>
              <w:bottom w:val="nil"/>
            </w:tcBorders>
            <w:shd w:val="pct10" w:color="auto" w:fill="auto"/>
          </w:tcPr>
          <w:p w:rsidR="0086736F" w:rsidRPr="002562F9" w:rsidRDefault="0086736F" w:rsidP="008179B8">
            <w:pPr>
              <w:jc w:val="both"/>
              <w:rPr>
                <w:rFonts w:ascii="Arial" w:hAnsi="Arial"/>
                <w:b/>
                <w:color w:val="000000"/>
                <w:sz w:val="22"/>
              </w:rPr>
            </w:pPr>
            <w:r w:rsidRPr="002562F9">
              <w:rPr>
                <w:rFonts w:ascii="Arial" w:hAnsi="Arial"/>
                <w:b/>
                <w:color w:val="000000"/>
                <w:sz w:val="22"/>
                <w:lang w:val="el-GR"/>
              </w:rPr>
              <w:t>Ορθοπεδική</w:t>
            </w:r>
            <w:r w:rsidRPr="002562F9">
              <w:rPr>
                <w:rFonts w:ascii="Arial" w:hAnsi="Arial"/>
                <w:b/>
                <w:color w:val="000000"/>
                <w:sz w:val="22"/>
              </w:rPr>
              <w:t xml:space="preserve"> </w:t>
            </w:r>
          </w:p>
          <w:p w:rsidR="0086736F" w:rsidRPr="002562F9" w:rsidRDefault="0086736F" w:rsidP="008179B8">
            <w:pPr>
              <w:jc w:val="both"/>
              <w:rPr>
                <w:rFonts w:ascii="Arial" w:hAnsi="Arial"/>
                <w:b/>
                <w:color w:val="000000"/>
                <w:sz w:val="22"/>
              </w:rPr>
            </w:pPr>
            <w:r w:rsidRPr="002562F9">
              <w:rPr>
                <w:rFonts w:ascii="Arial" w:hAnsi="Arial"/>
                <w:b/>
                <w:color w:val="000000"/>
                <w:sz w:val="22"/>
                <w:lang w:val="el-GR"/>
              </w:rPr>
              <w:t>Χειρουργική</w:t>
            </w:r>
          </w:p>
          <w:p w:rsidR="0086736F" w:rsidRPr="002562F9" w:rsidRDefault="0086736F" w:rsidP="008179B8">
            <w:pPr>
              <w:jc w:val="both"/>
              <w:rPr>
                <w:rFonts w:ascii="Arial" w:hAnsi="Arial"/>
                <w:b/>
                <w:color w:val="000000"/>
                <w:sz w:val="22"/>
              </w:rPr>
            </w:pPr>
          </w:p>
        </w:tc>
        <w:tc>
          <w:tcPr>
            <w:tcW w:w="5720" w:type="dxa"/>
            <w:gridSpan w:val="2"/>
            <w:tcBorders>
              <w:bottom w:val="nil"/>
            </w:tcBorders>
            <w:shd w:val="pct10" w:color="auto" w:fill="auto"/>
          </w:tcPr>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Όγκος </w:t>
            </w:r>
            <w:r w:rsidRPr="002562F9">
              <w:rPr>
                <w:rFonts w:ascii="Arial" w:hAnsi="Arial"/>
                <w:b/>
                <w:color w:val="000000"/>
                <w:sz w:val="22"/>
              </w:rPr>
              <w:t>Fraxiparine</w:t>
            </w:r>
            <w:r w:rsidRPr="002562F9">
              <w:rPr>
                <w:rFonts w:ascii="Arial" w:hAnsi="Arial"/>
                <w:b/>
                <w:color w:val="000000"/>
                <w:sz w:val="22"/>
                <w:lang w:val="el-GR"/>
              </w:rPr>
              <w:t xml:space="preserve"> που πρέπει να ενίεται υποδορίως </w:t>
            </w:r>
            <w:r w:rsidRPr="002562F9">
              <w:rPr>
                <w:rFonts w:ascii="Arial" w:hAnsi="Arial"/>
                <w:b/>
                <w:color w:val="000000"/>
                <w:sz w:val="22"/>
                <w:u w:val="single"/>
                <w:lang w:val="el-GR"/>
              </w:rPr>
              <w:t>ΜΙΑ ΦΟΡΑ</w:t>
            </w:r>
            <w:r w:rsidRPr="002562F9">
              <w:rPr>
                <w:rFonts w:ascii="Arial" w:hAnsi="Arial"/>
                <w:b/>
                <w:color w:val="000000"/>
                <w:sz w:val="22"/>
                <w:lang w:val="el-GR"/>
              </w:rPr>
              <w:t xml:space="preserve"> ημερησίως</w:t>
            </w:r>
          </w:p>
        </w:tc>
      </w:tr>
      <w:tr w:rsidR="0086736F" w:rsidRPr="002562F9">
        <w:tblPrEx>
          <w:tblCellMar>
            <w:top w:w="0" w:type="dxa"/>
            <w:bottom w:w="0" w:type="dxa"/>
          </w:tblCellMar>
        </w:tblPrEx>
        <w:tc>
          <w:tcPr>
            <w:tcW w:w="2802" w:type="dxa"/>
          </w:tcPr>
          <w:p w:rsidR="0086736F" w:rsidRPr="002562F9" w:rsidRDefault="0086736F" w:rsidP="008179B8">
            <w:pPr>
              <w:jc w:val="both"/>
              <w:rPr>
                <w:rFonts w:ascii="Arial" w:hAnsi="Arial"/>
                <w:b/>
                <w:color w:val="000000"/>
                <w:sz w:val="22"/>
                <w:u w:val="single"/>
              </w:rPr>
            </w:pPr>
            <w:r w:rsidRPr="002562F9">
              <w:rPr>
                <w:rFonts w:ascii="Arial" w:hAnsi="Arial"/>
                <w:color w:val="000000"/>
                <w:sz w:val="22"/>
                <w:lang w:val="el-GR"/>
              </w:rPr>
              <w:t>Βάρος</w:t>
            </w:r>
            <w:r w:rsidRPr="002562F9">
              <w:rPr>
                <w:rFonts w:ascii="Arial" w:hAnsi="Arial"/>
                <w:color w:val="000000"/>
                <w:sz w:val="22"/>
              </w:rPr>
              <w:t xml:space="preserve"> </w:t>
            </w:r>
            <w:r w:rsidRPr="002562F9">
              <w:rPr>
                <w:rFonts w:ascii="Arial" w:hAnsi="Arial"/>
                <w:color w:val="000000"/>
                <w:sz w:val="22"/>
                <w:lang w:val="el-GR"/>
              </w:rPr>
              <w:t>σώματος</w:t>
            </w:r>
          </w:p>
        </w:tc>
        <w:tc>
          <w:tcPr>
            <w:tcW w:w="2958" w:type="dxa"/>
          </w:tcPr>
          <w:p w:rsidR="0086736F" w:rsidRPr="002562F9" w:rsidRDefault="0086736F" w:rsidP="008179B8">
            <w:pPr>
              <w:jc w:val="both"/>
              <w:rPr>
                <w:rFonts w:ascii="Arial" w:hAnsi="Arial"/>
                <w:b/>
                <w:color w:val="000000"/>
                <w:sz w:val="22"/>
                <w:u w:val="single"/>
                <w:lang w:val="el-GR"/>
              </w:rPr>
            </w:pPr>
            <w:r w:rsidRPr="002562F9">
              <w:rPr>
                <w:rFonts w:ascii="Arial" w:hAnsi="Arial"/>
                <w:color w:val="000000"/>
                <w:sz w:val="22"/>
                <w:lang w:val="el-GR"/>
              </w:rPr>
              <w:t>Πριν την επέμβαση και μέχρι την τρίτη ημέρα</w:t>
            </w:r>
          </w:p>
        </w:tc>
        <w:tc>
          <w:tcPr>
            <w:tcW w:w="2762" w:type="dxa"/>
          </w:tcPr>
          <w:p w:rsidR="0086736F" w:rsidRPr="002562F9" w:rsidRDefault="0086736F" w:rsidP="008179B8">
            <w:pPr>
              <w:jc w:val="both"/>
              <w:rPr>
                <w:rFonts w:ascii="Arial" w:hAnsi="Arial"/>
                <w:b/>
                <w:color w:val="000000"/>
                <w:sz w:val="22"/>
                <w:u w:val="single"/>
                <w:lang w:val="el-GR"/>
              </w:rPr>
            </w:pPr>
            <w:r w:rsidRPr="002562F9">
              <w:rPr>
                <w:rFonts w:ascii="Arial" w:hAnsi="Arial"/>
                <w:color w:val="000000"/>
                <w:sz w:val="22"/>
                <w:lang w:val="el-GR"/>
              </w:rPr>
              <w:t xml:space="preserve">Από την τέταρτη ημέρα και </w:t>
            </w:r>
            <w:r w:rsidR="002F11D4" w:rsidRPr="002562F9">
              <w:rPr>
                <w:rFonts w:ascii="Arial" w:hAnsi="Arial"/>
                <w:color w:val="000000"/>
                <w:sz w:val="22"/>
                <w:lang w:val="el-GR"/>
              </w:rPr>
              <w:t>μετά</w:t>
            </w:r>
          </w:p>
        </w:tc>
      </w:tr>
      <w:tr w:rsidR="0086736F" w:rsidRPr="002562F9">
        <w:tblPrEx>
          <w:tblCellMar>
            <w:top w:w="0" w:type="dxa"/>
            <w:bottom w:w="0" w:type="dxa"/>
          </w:tblCellMar>
        </w:tblPrEx>
        <w:tc>
          <w:tcPr>
            <w:tcW w:w="2802" w:type="dxa"/>
          </w:tcPr>
          <w:p w:rsidR="0086736F" w:rsidRPr="002562F9" w:rsidRDefault="0086736F" w:rsidP="008179B8">
            <w:pPr>
              <w:jc w:val="both"/>
              <w:rPr>
                <w:rFonts w:ascii="Arial" w:hAnsi="Arial"/>
                <w:color w:val="000000"/>
                <w:sz w:val="22"/>
              </w:rPr>
            </w:pPr>
            <w:r w:rsidRPr="002562F9">
              <w:rPr>
                <w:rFonts w:ascii="Arial" w:hAnsi="Arial"/>
                <w:color w:val="000000"/>
                <w:sz w:val="22"/>
              </w:rPr>
              <w:t>&lt; 50</w:t>
            </w:r>
          </w:p>
        </w:tc>
        <w:tc>
          <w:tcPr>
            <w:tcW w:w="2958" w:type="dxa"/>
          </w:tcPr>
          <w:p w:rsidR="0086736F" w:rsidRPr="002562F9" w:rsidRDefault="0086736F" w:rsidP="008179B8">
            <w:pPr>
              <w:jc w:val="both"/>
              <w:rPr>
                <w:rFonts w:ascii="Arial" w:hAnsi="Arial"/>
                <w:color w:val="000000"/>
                <w:sz w:val="22"/>
              </w:rPr>
            </w:pPr>
            <w:r w:rsidRPr="002562F9">
              <w:rPr>
                <w:rFonts w:ascii="Arial" w:hAnsi="Arial"/>
                <w:color w:val="000000"/>
                <w:sz w:val="22"/>
              </w:rPr>
              <w:t>0,2 ml</w:t>
            </w:r>
          </w:p>
        </w:tc>
        <w:tc>
          <w:tcPr>
            <w:tcW w:w="2762" w:type="dxa"/>
          </w:tcPr>
          <w:p w:rsidR="0086736F" w:rsidRPr="002562F9" w:rsidRDefault="0086736F" w:rsidP="008179B8">
            <w:pPr>
              <w:jc w:val="both"/>
              <w:rPr>
                <w:rFonts w:ascii="Arial" w:hAnsi="Arial"/>
                <w:color w:val="000000"/>
                <w:sz w:val="22"/>
              </w:rPr>
            </w:pPr>
            <w:r w:rsidRPr="002562F9">
              <w:rPr>
                <w:rFonts w:ascii="Arial" w:hAnsi="Arial"/>
                <w:color w:val="000000"/>
                <w:sz w:val="22"/>
              </w:rPr>
              <w:t>0,3 ml</w:t>
            </w:r>
          </w:p>
        </w:tc>
      </w:tr>
      <w:tr w:rsidR="0086736F" w:rsidRPr="002562F9">
        <w:tblPrEx>
          <w:tblCellMar>
            <w:top w:w="0" w:type="dxa"/>
            <w:bottom w:w="0" w:type="dxa"/>
          </w:tblCellMar>
        </w:tblPrEx>
        <w:tc>
          <w:tcPr>
            <w:tcW w:w="2802" w:type="dxa"/>
          </w:tcPr>
          <w:p w:rsidR="0086736F" w:rsidRPr="002562F9" w:rsidRDefault="0086736F" w:rsidP="008179B8">
            <w:pPr>
              <w:jc w:val="both"/>
              <w:rPr>
                <w:rFonts w:ascii="Arial" w:hAnsi="Arial"/>
                <w:color w:val="000000"/>
                <w:sz w:val="22"/>
              </w:rPr>
            </w:pPr>
            <w:r w:rsidRPr="002562F9">
              <w:rPr>
                <w:rFonts w:ascii="Arial" w:hAnsi="Arial"/>
                <w:color w:val="000000"/>
                <w:sz w:val="22"/>
              </w:rPr>
              <w:t xml:space="preserve">50 </w:t>
            </w:r>
            <w:r w:rsidR="004F7A9E" w:rsidRPr="002562F9">
              <w:rPr>
                <w:rFonts w:ascii="Arial" w:hAnsi="Arial"/>
                <w:color w:val="000000"/>
                <w:sz w:val="22"/>
              </w:rPr>
              <w:t>–</w:t>
            </w:r>
            <w:r w:rsidRPr="002562F9">
              <w:rPr>
                <w:rFonts w:ascii="Arial" w:hAnsi="Arial"/>
                <w:color w:val="000000"/>
                <w:sz w:val="22"/>
              </w:rPr>
              <w:t xml:space="preserve"> 69</w:t>
            </w:r>
          </w:p>
        </w:tc>
        <w:tc>
          <w:tcPr>
            <w:tcW w:w="2958" w:type="dxa"/>
          </w:tcPr>
          <w:p w:rsidR="0086736F" w:rsidRPr="002562F9" w:rsidRDefault="0086736F" w:rsidP="008179B8">
            <w:pPr>
              <w:jc w:val="both"/>
              <w:rPr>
                <w:rFonts w:ascii="Arial" w:hAnsi="Arial"/>
                <w:color w:val="000000"/>
                <w:sz w:val="22"/>
              </w:rPr>
            </w:pPr>
            <w:r w:rsidRPr="002562F9">
              <w:rPr>
                <w:rFonts w:ascii="Arial" w:hAnsi="Arial"/>
                <w:color w:val="000000"/>
                <w:sz w:val="22"/>
              </w:rPr>
              <w:t>0,3 ml</w:t>
            </w:r>
          </w:p>
        </w:tc>
        <w:tc>
          <w:tcPr>
            <w:tcW w:w="2762" w:type="dxa"/>
          </w:tcPr>
          <w:p w:rsidR="0086736F" w:rsidRPr="002562F9" w:rsidRDefault="0086736F" w:rsidP="008179B8">
            <w:pPr>
              <w:jc w:val="both"/>
              <w:rPr>
                <w:rFonts w:ascii="Arial" w:hAnsi="Arial"/>
                <w:color w:val="000000"/>
                <w:sz w:val="22"/>
              </w:rPr>
            </w:pPr>
            <w:r w:rsidRPr="002562F9">
              <w:rPr>
                <w:rFonts w:ascii="Arial" w:hAnsi="Arial"/>
                <w:color w:val="000000"/>
                <w:sz w:val="22"/>
              </w:rPr>
              <w:t>0,4 ml</w:t>
            </w:r>
          </w:p>
        </w:tc>
      </w:tr>
      <w:tr w:rsidR="0086736F" w:rsidRPr="002562F9">
        <w:tblPrEx>
          <w:tblCellMar>
            <w:top w:w="0" w:type="dxa"/>
            <w:bottom w:w="0" w:type="dxa"/>
          </w:tblCellMar>
        </w:tblPrEx>
        <w:tc>
          <w:tcPr>
            <w:tcW w:w="2802" w:type="dxa"/>
          </w:tcPr>
          <w:p w:rsidR="0086736F" w:rsidRPr="002562F9" w:rsidRDefault="0086736F" w:rsidP="008179B8">
            <w:pPr>
              <w:jc w:val="both"/>
              <w:rPr>
                <w:rFonts w:ascii="Arial" w:hAnsi="Arial"/>
                <w:color w:val="000000"/>
                <w:sz w:val="22"/>
              </w:rPr>
            </w:pPr>
            <w:r w:rsidRPr="002562F9">
              <w:rPr>
                <w:rFonts w:ascii="Arial" w:hAnsi="Arial"/>
                <w:color w:val="000000"/>
                <w:sz w:val="22"/>
                <w:u w:val="single"/>
              </w:rPr>
              <w:t>&gt;</w:t>
            </w:r>
            <w:r w:rsidRPr="002562F9">
              <w:rPr>
                <w:rFonts w:ascii="Arial" w:hAnsi="Arial"/>
                <w:color w:val="000000"/>
                <w:sz w:val="22"/>
              </w:rPr>
              <w:t xml:space="preserve"> 70</w:t>
            </w:r>
          </w:p>
        </w:tc>
        <w:tc>
          <w:tcPr>
            <w:tcW w:w="2958" w:type="dxa"/>
          </w:tcPr>
          <w:p w:rsidR="0086736F" w:rsidRPr="002562F9" w:rsidRDefault="0086736F" w:rsidP="008179B8">
            <w:pPr>
              <w:jc w:val="both"/>
              <w:rPr>
                <w:rFonts w:ascii="Arial" w:hAnsi="Arial"/>
                <w:color w:val="000000"/>
                <w:sz w:val="22"/>
              </w:rPr>
            </w:pPr>
            <w:r w:rsidRPr="002562F9">
              <w:rPr>
                <w:rFonts w:ascii="Arial" w:hAnsi="Arial"/>
                <w:color w:val="000000"/>
                <w:sz w:val="22"/>
              </w:rPr>
              <w:t>0,4 ml</w:t>
            </w:r>
          </w:p>
        </w:tc>
        <w:tc>
          <w:tcPr>
            <w:tcW w:w="2762" w:type="dxa"/>
          </w:tcPr>
          <w:p w:rsidR="0086736F" w:rsidRPr="002562F9" w:rsidRDefault="0086736F" w:rsidP="008179B8">
            <w:pPr>
              <w:jc w:val="both"/>
              <w:rPr>
                <w:rFonts w:ascii="Arial" w:hAnsi="Arial"/>
                <w:color w:val="000000"/>
                <w:sz w:val="22"/>
              </w:rPr>
            </w:pPr>
            <w:r w:rsidRPr="002562F9">
              <w:rPr>
                <w:rFonts w:ascii="Arial" w:hAnsi="Arial"/>
                <w:color w:val="000000"/>
                <w:sz w:val="22"/>
              </w:rPr>
              <w:t>0,6 ml</w:t>
            </w:r>
          </w:p>
        </w:tc>
      </w:tr>
    </w:tbl>
    <w:p w:rsidR="0086736F" w:rsidRPr="002562F9" w:rsidRDefault="0086736F" w:rsidP="008179B8">
      <w:pPr>
        <w:jc w:val="both"/>
        <w:rPr>
          <w:rFonts w:ascii="Arial" w:hAnsi="Arial"/>
          <w:color w:val="000000"/>
          <w:sz w:val="22"/>
        </w:rPr>
      </w:pPr>
    </w:p>
    <w:p w:rsidR="0086736F" w:rsidRPr="002562F9" w:rsidRDefault="0086736F" w:rsidP="008179B8">
      <w:pPr>
        <w:jc w:val="both"/>
        <w:rPr>
          <w:rFonts w:ascii="Arial" w:hAnsi="Arial"/>
          <w:b/>
          <w:color w:val="000000"/>
          <w:sz w:val="22"/>
          <w:u w:val="single"/>
          <w:lang w:val="el-GR"/>
        </w:rPr>
      </w:pPr>
      <w:r w:rsidRPr="002562F9">
        <w:rPr>
          <w:rFonts w:ascii="Arial" w:hAnsi="Arial"/>
          <w:b/>
          <w:color w:val="000000"/>
          <w:sz w:val="22"/>
          <w:u w:val="single"/>
          <w:lang w:val="el-GR"/>
        </w:rPr>
        <w:t>Θεραπεία της Φλεβικής εν τω βάθει Θρόμβωσης και της Πνευμονικής Εμβολής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Η </w:t>
      </w:r>
      <w:r w:rsidRPr="002562F9">
        <w:rPr>
          <w:rFonts w:ascii="Arial" w:hAnsi="Arial"/>
          <w:color w:val="000000"/>
          <w:sz w:val="22"/>
        </w:rPr>
        <w:t>Fraxiparine</w:t>
      </w:r>
      <w:r w:rsidRPr="002562F9">
        <w:rPr>
          <w:rFonts w:ascii="Arial" w:hAnsi="Arial"/>
          <w:color w:val="000000"/>
          <w:sz w:val="22"/>
          <w:lang w:val="el-GR"/>
        </w:rPr>
        <w:t xml:space="preserve"> θα πρέπει να χορηγείται υποδορίως δύο φορές την ημέρα (κάθε 12 ώρες) για διάστημα 10 ημερών με προσαρμογή της δόσης σύμφωνα με το βάρος του ασθενή όπως φαίνεται κατωτέρω:</w:t>
      </w:r>
    </w:p>
    <w:p w:rsidR="0086736F" w:rsidRPr="002562F9" w:rsidRDefault="0086736F" w:rsidP="008179B8">
      <w:pPr>
        <w:jc w:val="both"/>
        <w:rPr>
          <w:rFonts w:ascii="Arial" w:hAnsi="Arial"/>
          <w:color w:val="000000"/>
          <w:sz w:val="22"/>
          <w:lang w:val="el-GR"/>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1"/>
        <w:gridCol w:w="4261"/>
      </w:tblGrid>
      <w:tr w:rsidR="0086736F" w:rsidRPr="002562F9">
        <w:tblPrEx>
          <w:tblCellMar>
            <w:top w:w="0" w:type="dxa"/>
            <w:bottom w:w="0" w:type="dxa"/>
          </w:tblCellMar>
        </w:tblPrEx>
        <w:tc>
          <w:tcPr>
            <w:tcW w:w="8522" w:type="dxa"/>
            <w:gridSpan w:val="2"/>
            <w:tcBorders>
              <w:top w:val="single" w:sz="6" w:space="0" w:color="auto"/>
              <w:bottom w:val="nil"/>
            </w:tcBorders>
            <w:shd w:val="pct10" w:color="auto" w:fill="auto"/>
          </w:tcPr>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Θεραπεία εν τω βάθει </w:t>
            </w:r>
            <w:r w:rsidR="00A17B1F" w:rsidRPr="002562F9">
              <w:rPr>
                <w:rFonts w:ascii="Arial" w:hAnsi="Arial"/>
                <w:b/>
                <w:color w:val="000000"/>
                <w:sz w:val="22"/>
                <w:lang w:val="el-GR"/>
              </w:rPr>
              <w:t xml:space="preserve">Φλεβικής </w:t>
            </w:r>
            <w:r w:rsidRPr="002562F9">
              <w:rPr>
                <w:rFonts w:ascii="Arial" w:hAnsi="Arial"/>
                <w:b/>
                <w:color w:val="000000"/>
                <w:sz w:val="22"/>
                <w:lang w:val="el-GR"/>
              </w:rPr>
              <w:t>Θρόμβωσης και Πνευμονικής Εμβολής</w:t>
            </w:r>
          </w:p>
          <w:p w:rsidR="0086736F" w:rsidRPr="002562F9" w:rsidRDefault="0086736F" w:rsidP="008179B8">
            <w:pPr>
              <w:jc w:val="both"/>
              <w:rPr>
                <w:rFonts w:ascii="Arial" w:hAnsi="Arial"/>
                <w:b/>
                <w:color w:val="000000"/>
                <w:sz w:val="22"/>
                <w:lang w:val="el-GR"/>
              </w:rPr>
            </w:pP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lang w:val="el-GR"/>
              </w:rPr>
              <w:t>Βάρος</w:t>
            </w:r>
            <w:r w:rsidRPr="002562F9">
              <w:rPr>
                <w:rFonts w:ascii="Arial" w:hAnsi="Arial"/>
                <w:color w:val="000000"/>
                <w:sz w:val="22"/>
              </w:rPr>
              <w:t xml:space="preserve"> </w:t>
            </w:r>
            <w:r w:rsidRPr="002562F9">
              <w:rPr>
                <w:rFonts w:ascii="Arial" w:hAnsi="Arial"/>
                <w:color w:val="000000"/>
                <w:sz w:val="22"/>
                <w:lang w:val="el-GR"/>
              </w:rPr>
              <w:t>σώματος</w:t>
            </w:r>
            <w:r w:rsidRPr="002562F9">
              <w:rPr>
                <w:rFonts w:ascii="Arial" w:hAnsi="Arial"/>
                <w:color w:val="000000"/>
                <w:sz w:val="22"/>
              </w:rPr>
              <w:t xml:space="preserve"> (kg)</w:t>
            </w:r>
          </w:p>
        </w:tc>
        <w:tc>
          <w:tcPr>
            <w:tcW w:w="4261" w:type="dxa"/>
          </w:tcPr>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Όγκος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που πρέπει να ενίεται υποδορίως 2 φορές ημερησίως</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&lt; 50</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0,4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 xml:space="preserve">50 </w:t>
            </w:r>
            <w:r w:rsidR="004F7A9E" w:rsidRPr="002562F9">
              <w:rPr>
                <w:rFonts w:ascii="Arial" w:hAnsi="Arial"/>
                <w:color w:val="000000"/>
                <w:sz w:val="22"/>
              </w:rPr>
              <w:t>–</w:t>
            </w:r>
            <w:r w:rsidRPr="002562F9">
              <w:rPr>
                <w:rFonts w:ascii="Arial" w:hAnsi="Arial"/>
                <w:color w:val="000000"/>
                <w:sz w:val="22"/>
              </w:rPr>
              <w:t xml:space="preserve"> 59</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0,5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 xml:space="preserve">60 </w:t>
            </w:r>
            <w:r w:rsidR="004F7A9E" w:rsidRPr="002562F9">
              <w:rPr>
                <w:rFonts w:ascii="Arial" w:hAnsi="Arial"/>
                <w:color w:val="000000"/>
                <w:sz w:val="22"/>
              </w:rPr>
              <w:t>–</w:t>
            </w:r>
            <w:r w:rsidRPr="002562F9">
              <w:rPr>
                <w:rFonts w:ascii="Arial" w:hAnsi="Arial"/>
                <w:color w:val="000000"/>
                <w:sz w:val="22"/>
              </w:rPr>
              <w:t xml:space="preserve"> 69</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0,6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 xml:space="preserve">70 </w:t>
            </w:r>
            <w:r w:rsidR="004F7A9E" w:rsidRPr="002562F9">
              <w:rPr>
                <w:rFonts w:ascii="Arial" w:hAnsi="Arial"/>
                <w:color w:val="000000"/>
                <w:sz w:val="22"/>
              </w:rPr>
              <w:t>–</w:t>
            </w:r>
            <w:r w:rsidRPr="002562F9">
              <w:rPr>
                <w:rFonts w:ascii="Arial" w:hAnsi="Arial"/>
                <w:color w:val="000000"/>
                <w:sz w:val="22"/>
              </w:rPr>
              <w:t xml:space="preserve"> 79</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0,7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 xml:space="preserve">80 </w:t>
            </w:r>
            <w:r w:rsidR="004F7A9E" w:rsidRPr="002562F9">
              <w:rPr>
                <w:rFonts w:ascii="Arial" w:hAnsi="Arial"/>
                <w:color w:val="000000"/>
                <w:sz w:val="22"/>
              </w:rPr>
              <w:t>–</w:t>
            </w:r>
            <w:r w:rsidRPr="002562F9">
              <w:rPr>
                <w:rFonts w:ascii="Arial" w:hAnsi="Arial"/>
                <w:color w:val="000000"/>
                <w:sz w:val="22"/>
              </w:rPr>
              <w:t xml:space="preserve"> 89</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0,8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u w:val="single"/>
              </w:rPr>
              <w:t>&gt;</w:t>
            </w:r>
            <w:r w:rsidRPr="002562F9">
              <w:rPr>
                <w:rFonts w:ascii="Arial" w:hAnsi="Arial"/>
                <w:color w:val="000000"/>
                <w:sz w:val="22"/>
              </w:rPr>
              <w:t xml:space="preserve"> 90 </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0,9 ml</w:t>
            </w:r>
          </w:p>
        </w:tc>
      </w:tr>
    </w:tbl>
    <w:p w:rsidR="0086736F" w:rsidRPr="002562F9" w:rsidRDefault="0086736F" w:rsidP="008179B8">
      <w:pPr>
        <w:jc w:val="both"/>
        <w:rPr>
          <w:rFonts w:ascii="Arial" w:hAnsi="Arial"/>
          <w:color w:val="000000"/>
          <w:sz w:val="22"/>
        </w:rPr>
      </w:pPr>
    </w:p>
    <w:p w:rsidR="0086736F" w:rsidRPr="002562F9" w:rsidRDefault="0086736F" w:rsidP="008179B8">
      <w:pPr>
        <w:jc w:val="both"/>
        <w:rPr>
          <w:rFonts w:ascii="Arial" w:hAnsi="Arial"/>
          <w:b/>
          <w:color w:val="000000"/>
          <w:sz w:val="22"/>
          <w:lang w:val="el-GR"/>
        </w:rPr>
      </w:pPr>
      <w:r w:rsidRPr="002562F9">
        <w:rPr>
          <w:rFonts w:ascii="Arial" w:hAnsi="Arial"/>
          <w:color w:val="000000"/>
          <w:sz w:val="22"/>
          <w:lang w:val="el-GR"/>
        </w:rPr>
        <w:t xml:space="preserve">Αντιπηκτική θεραπεία από του στόματος θα πρέπει να εφαρμόζεται το ταχύτερο δυνατό εκτός εάν αντενδείκνυται. Η θεραπεία με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δεν θα </w:t>
      </w:r>
      <w:r w:rsidR="00A17B1F" w:rsidRPr="002562F9">
        <w:rPr>
          <w:rFonts w:ascii="Arial" w:hAnsi="Arial"/>
          <w:color w:val="000000"/>
          <w:sz w:val="22"/>
          <w:lang w:val="el-GR"/>
        </w:rPr>
        <w:t>πρέπει</w:t>
      </w:r>
      <w:r w:rsidRPr="002562F9">
        <w:rPr>
          <w:rFonts w:ascii="Arial" w:hAnsi="Arial"/>
          <w:color w:val="000000"/>
          <w:sz w:val="22"/>
          <w:lang w:val="el-GR"/>
        </w:rPr>
        <w:t xml:space="preserve"> να σταματά πριν επιτευχθεί ο στόχος </w:t>
      </w:r>
      <w:r w:rsidRPr="002562F9">
        <w:rPr>
          <w:rFonts w:ascii="Arial" w:hAnsi="Arial"/>
          <w:color w:val="000000"/>
          <w:sz w:val="22"/>
        </w:rPr>
        <w:t>INR</w:t>
      </w:r>
      <w:r w:rsidRPr="002562F9">
        <w:rPr>
          <w:rFonts w:ascii="Arial" w:hAnsi="Arial"/>
          <w:color w:val="000000"/>
          <w:sz w:val="22"/>
          <w:lang w:val="el-GR"/>
        </w:rPr>
        <w:t>.</w:t>
      </w:r>
      <w:r w:rsidRPr="002562F9">
        <w:rPr>
          <w:rFonts w:ascii="Arial" w:hAnsi="Arial"/>
          <w:b/>
          <w:color w:val="000000"/>
          <w:sz w:val="22"/>
          <w:lang w:val="el-GR"/>
        </w:rPr>
        <w:t xml:space="preserve"> </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Ο αριθμός αιμοπεταλίων πρέπει να ελέγχεται κατά τη διάρκεια της θεραπείας με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vertAlign w:val="superscript"/>
          <w:lang w:val="el-GR"/>
        </w:rPr>
        <w:t xml:space="preserve"> </w:t>
      </w:r>
      <w:r w:rsidRPr="002562F9">
        <w:rPr>
          <w:rFonts w:ascii="Arial" w:hAnsi="Arial"/>
          <w:color w:val="000000"/>
          <w:sz w:val="22"/>
          <w:lang w:val="el-GR"/>
        </w:rPr>
        <w:t xml:space="preserve">(βλέπε </w:t>
      </w:r>
      <w:r w:rsidR="003B7D13" w:rsidRPr="002562F9">
        <w:rPr>
          <w:rFonts w:ascii="Arial" w:hAnsi="Arial"/>
          <w:color w:val="000000"/>
          <w:sz w:val="22"/>
          <w:lang w:val="el-GR"/>
        </w:rPr>
        <w:t xml:space="preserve">παράγραφο </w:t>
      </w:r>
      <w:r w:rsidRPr="002562F9">
        <w:rPr>
          <w:rFonts w:ascii="Arial" w:hAnsi="Arial"/>
          <w:color w:val="000000"/>
          <w:sz w:val="22"/>
          <w:lang w:val="el-GR"/>
        </w:rPr>
        <w:t>4.4.1).</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u w:val="single"/>
          <w:lang w:val="el-GR"/>
        </w:rPr>
      </w:pPr>
      <w:r w:rsidRPr="002562F9">
        <w:rPr>
          <w:rFonts w:ascii="Arial" w:hAnsi="Arial"/>
          <w:b/>
          <w:color w:val="000000"/>
          <w:sz w:val="22"/>
          <w:u w:val="single"/>
          <w:lang w:val="el-GR"/>
        </w:rPr>
        <w:t>Προφύλαξη σχηματισμού θρόμβων κατά τη διάρκεια της Αιμοδιάλυσης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Η δόση προσαρμόζεται σύμφωνα με τις ανάγκες κάθε ασθενούς και λαμβάνονται υπ’ όψιν οι τεχνικές συνθήκες της αιμοδιάλυσης. Συνήθως χορηγείται μία εφ’ άπαξ δόση </w:t>
      </w:r>
      <w:r w:rsidRPr="002562F9">
        <w:rPr>
          <w:rFonts w:ascii="Arial" w:hAnsi="Arial"/>
          <w:color w:val="000000"/>
          <w:sz w:val="22"/>
        </w:rPr>
        <w:t>Fraxiparine</w:t>
      </w:r>
      <w:r w:rsidRPr="002562F9">
        <w:rPr>
          <w:rFonts w:ascii="Arial" w:hAnsi="Arial"/>
          <w:color w:val="000000"/>
          <w:sz w:val="22"/>
          <w:lang w:val="el-GR"/>
        </w:rPr>
        <w:t xml:space="preserve"> στην αρτηριακή γραμμή στην αρχή κάθε συνεδρίας. Διαφορετικά</w:t>
      </w:r>
      <w:r w:rsidRPr="002562F9">
        <w:rPr>
          <w:rFonts w:ascii="Arial" w:hAnsi="Arial"/>
          <w:b/>
          <w:color w:val="000000"/>
          <w:sz w:val="22"/>
          <w:lang w:val="el-GR"/>
        </w:rPr>
        <w:t xml:space="preserve"> </w:t>
      </w:r>
      <w:r w:rsidRPr="002562F9">
        <w:rPr>
          <w:rFonts w:ascii="Arial" w:hAnsi="Arial"/>
          <w:color w:val="000000"/>
          <w:sz w:val="22"/>
          <w:lang w:val="el-GR"/>
        </w:rPr>
        <w:t xml:space="preserve">σε ασθενείς χωρίς κίνδυνο αιμορραγίας, προτείνεται η ακόλουθη δοσολογία σύμφωνα με το σωματικό βάρος: </w:t>
      </w:r>
    </w:p>
    <w:p w:rsidR="0086736F" w:rsidRPr="002562F9" w:rsidRDefault="0086736F" w:rsidP="008179B8">
      <w:pPr>
        <w:jc w:val="both"/>
        <w:rPr>
          <w:rFonts w:ascii="Arial" w:hAnsi="Arial"/>
          <w:color w:val="000000"/>
          <w:sz w:val="22"/>
          <w:lang w:val="el-GR"/>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1"/>
        <w:gridCol w:w="4261"/>
      </w:tblGrid>
      <w:tr w:rsidR="0086736F" w:rsidRPr="002562F9">
        <w:tblPrEx>
          <w:tblCellMar>
            <w:top w:w="0" w:type="dxa"/>
            <w:bottom w:w="0" w:type="dxa"/>
          </w:tblCellMar>
        </w:tblPrEx>
        <w:tc>
          <w:tcPr>
            <w:tcW w:w="8522" w:type="dxa"/>
            <w:gridSpan w:val="2"/>
            <w:tcBorders>
              <w:top w:val="single" w:sz="6" w:space="0" w:color="auto"/>
              <w:bottom w:val="nil"/>
            </w:tcBorders>
            <w:shd w:val="pct10" w:color="auto" w:fill="auto"/>
          </w:tcPr>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Προφύλαξη σχηματισμού θρόμβου κατά την διάρκεια της Αιμοδιάλυσης </w:t>
            </w:r>
          </w:p>
          <w:p w:rsidR="0086736F" w:rsidRPr="002562F9" w:rsidRDefault="0086736F" w:rsidP="008179B8">
            <w:pPr>
              <w:jc w:val="both"/>
              <w:rPr>
                <w:rFonts w:ascii="Arial" w:hAnsi="Arial"/>
                <w:b/>
                <w:color w:val="000000"/>
                <w:sz w:val="22"/>
                <w:lang w:val="el-GR"/>
              </w:rPr>
            </w:pP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lang w:val="el-GR"/>
              </w:rPr>
              <w:t>Βάρος</w:t>
            </w:r>
            <w:r w:rsidRPr="002562F9">
              <w:rPr>
                <w:rFonts w:ascii="Arial" w:hAnsi="Arial"/>
                <w:color w:val="000000"/>
                <w:sz w:val="22"/>
              </w:rPr>
              <w:t xml:space="preserve"> </w:t>
            </w:r>
            <w:r w:rsidRPr="002562F9">
              <w:rPr>
                <w:rFonts w:ascii="Arial" w:hAnsi="Arial"/>
                <w:color w:val="000000"/>
                <w:sz w:val="22"/>
                <w:lang w:val="el-GR"/>
              </w:rPr>
              <w:t>Σώματος</w:t>
            </w:r>
            <w:r w:rsidRPr="002562F9">
              <w:rPr>
                <w:rFonts w:ascii="Arial" w:hAnsi="Arial"/>
                <w:color w:val="000000"/>
                <w:sz w:val="22"/>
              </w:rPr>
              <w:t xml:space="preserve"> (kg)</w:t>
            </w:r>
          </w:p>
        </w:tc>
        <w:tc>
          <w:tcPr>
            <w:tcW w:w="4261" w:type="dxa"/>
          </w:tcPr>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Όγκος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που ενίεται στην αρχή της Αιμοδιάλυσης</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&lt; 50</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0,3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 xml:space="preserve">50 - 69 </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0,4 ml</w:t>
            </w:r>
          </w:p>
        </w:tc>
      </w:tr>
      <w:tr w:rsidR="0086736F" w:rsidRPr="002562F9">
        <w:tblPrEx>
          <w:tblBorders>
            <w:insideH w:val="single" w:sz="6" w:space="0" w:color="auto"/>
            <w:insideV w:val="single" w:sz="6" w:space="0" w:color="auto"/>
          </w:tblBorders>
          <w:tblCellMar>
            <w:top w:w="0" w:type="dxa"/>
            <w:bottom w:w="0" w:type="dxa"/>
          </w:tblCellMar>
        </w:tblPrEx>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u w:val="single"/>
              </w:rPr>
              <w:t>&gt;</w:t>
            </w:r>
            <w:r w:rsidRPr="002562F9">
              <w:rPr>
                <w:rFonts w:ascii="Arial" w:hAnsi="Arial"/>
                <w:color w:val="000000"/>
                <w:sz w:val="22"/>
              </w:rPr>
              <w:t xml:space="preserve"> 70</w:t>
            </w:r>
          </w:p>
        </w:tc>
        <w:tc>
          <w:tcPr>
            <w:tcW w:w="4261" w:type="dxa"/>
          </w:tcPr>
          <w:p w:rsidR="0086736F" w:rsidRPr="002562F9" w:rsidRDefault="0086736F" w:rsidP="008179B8">
            <w:pPr>
              <w:jc w:val="both"/>
              <w:rPr>
                <w:rFonts w:ascii="Arial" w:hAnsi="Arial"/>
                <w:color w:val="000000"/>
                <w:sz w:val="22"/>
              </w:rPr>
            </w:pPr>
            <w:r w:rsidRPr="002562F9">
              <w:rPr>
                <w:rFonts w:ascii="Arial" w:hAnsi="Arial"/>
                <w:color w:val="000000"/>
                <w:sz w:val="22"/>
              </w:rPr>
              <w:t>0,6 ml</w:t>
            </w:r>
          </w:p>
        </w:tc>
      </w:tr>
    </w:tbl>
    <w:p w:rsidR="0086736F" w:rsidRPr="002562F9" w:rsidRDefault="0086736F" w:rsidP="008179B8">
      <w:pPr>
        <w:jc w:val="both"/>
        <w:rPr>
          <w:rFonts w:ascii="Arial" w:hAnsi="Arial"/>
          <w:b/>
          <w:color w:val="000000"/>
          <w:sz w:val="22"/>
        </w:rPr>
      </w:pPr>
    </w:p>
    <w:p w:rsidR="0086736F" w:rsidRPr="002562F9" w:rsidRDefault="0086736F" w:rsidP="008179B8">
      <w:pPr>
        <w:jc w:val="both"/>
        <w:rPr>
          <w:rFonts w:ascii="Arial" w:hAnsi="Arial"/>
          <w:b/>
          <w:color w:val="000000"/>
          <w:sz w:val="22"/>
          <w:lang w:val="el-GR"/>
        </w:rPr>
      </w:pPr>
      <w:r w:rsidRPr="002562F9">
        <w:rPr>
          <w:rFonts w:ascii="Arial" w:hAnsi="Arial"/>
          <w:color w:val="000000"/>
          <w:sz w:val="22"/>
          <w:lang w:val="el-GR"/>
        </w:rPr>
        <w:t>Σε ασθενείς που παρουσιάζουν αυξημένο κίνδυνο αιμορραγίας, οι συνεδρίες της αιμοδιάλυσης μπορούν να γίνουν χρησιμοποιώντας τις μισές δόσεις.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Μία επιπρόσθετη μικρότερη δόση μπορεί να χορηγηθεί κατά την διάρκεια της αιμοδιάλυσης για συνεδρίες που διαρκούν περισσότερο από 4 ώρες.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Η δοσολογία στις επόμενες συνεδρίες θα πρέπει να προσαρμόζεται σύμφωνα με τα δεδομένα της αρχικής.</w:t>
      </w:r>
    </w:p>
    <w:p w:rsidR="0086736F" w:rsidRPr="002562F9" w:rsidRDefault="0086736F" w:rsidP="008179B8">
      <w:pPr>
        <w:jc w:val="both"/>
        <w:rPr>
          <w:rFonts w:ascii="Arial" w:hAnsi="Arial"/>
          <w:color w:val="000000"/>
          <w:sz w:val="22"/>
          <w:lang w:val="el-GR"/>
        </w:rPr>
      </w:pPr>
    </w:p>
    <w:p w:rsidR="0086736F" w:rsidRPr="002562F9" w:rsidRDefault="0086736F" w:rsidP="008179B8">
      <w:pPr>
        <w:tabs>
          <w:tab w:val="left" w:pos="5460"/>
          <w:tab w:val="left" w:pos="7080"/>
        </w:tabs>
        <w:jc w:val="both"/>
        <w:rPr>
          <w:rFonts w:ascii="Arial" w:hAnsi="Arial"/>
          <w:b/>
          <w:color w:val="000000"/>
          <w:sz w:val="22"/>
          <w:u w:val="single"/>
          <w:lang w:val="el-GR"/>
        </w:rPr>
      </w:pPr>
      <w:r w:rsidRPr="002562F9">
        <w:rPr>
          <w:rFonts w:ascii="Arial" w:hAnsi="Arial"/>
          <w:b/>
          <w:color w:val="000000"/>
          <w:sz w:val="22"/>
          <w:u w:val="single"/>
          <w:lang w:val="el-GR"/>
        </w:rPr>
        <w:t xml:space="preserve">Θεραπεία ασταθούς στηθάγχης και εμφράγματος του μυοκαρδίου χωρίς </w:t>
      </w:r>
      <w:r w:rsidR="00AC7CF1">
        <w:rPr>
          <w:rFonts w:ascii="Arial" w:hAnsi="Arial"/>
          <w:b/>
          <w:sz w:val="22"/>
          <w:u w:val="single"/>
          <w:lang w:val="el-GR"/>
        </w:rPr>
        <w:t>κύμα</w:t>
      </w:r>
      <w:r w:rsidRPr="002562F9">
        <w:rPr>
          <w:rFonts w:ascii="Arial" w:hAnsi="Arial"/>
          <w:b/>
          <w:color w:val="000000"/>
          <w:sz w:val="22"/>
          <w:u w:val="single"/>
          <w:lang w:val="el-GR"/>
        </w:rPr>
        <w:t xml:space="preserve"> </w:t>
      </w:r>
      <w:r w:rsidRPr="002562F9">
        <w:rPr>
          <w:rFonts w:ascii="Arial" w:hAnsi="Arial"/>
          <w:b/>
          <w:color w:val="000000"/>
          <w:sz w:val="22"/>
          <w:u w:val="single"/>
        </w:rPr>
        <w:t>Q</w:t>
      </w:r>
    </w:p>
    <w:p w:rsidR="0086736F" w:rsidRPr="002562F9" w:rsidRDefault="0086736F" w:rsidP="008179B8">
      <w:pPr>
        <w:tabs>
          <w:tab w:val="left" w:pos="5460"/>
          <w:tab w:val="left" w:pos="7080"/>
        </w:tabs>
        <w:ind w:left="567"/>
        <w:jc w:val="both"/>
        <w:rPr>
          <w:rFonts w:ascii="Arial" w:hAnsi="Arial"/>
          <w:b/>
          <w:color w:val="000000"/>
          <w:sz w:val="22"/>
          <w:u w:val="single"/>
          <w:lang w:val="el-GR"/>
        </w:rPr>
      </w:pPr>
    </w:p>
    <w:p w:rsidR="0086736F" w:rsidRPr="002562F9" w:rsidRDefault="0086736F" w:rsidP="008179B8">
      <w:pPr>
        <w:tabs>
          <w:tab w:val="left" w:pos="5460"/>
          <w:tab w:val="left" w:pos="7080"/>
        </w:tabs>
        <w:jc w:val="both"/>
        <w:rPr>
          <w:rFonts w:ascii="Arial" w:hAnsi="Arial"/>
          <w:color w:val="000000"/>
          <w:sz w:val="22"/>
          <w:lang w:val="el-GR"/>
        </w:rPr>
      </w:pPr>
      <w:r w:rsidRPr="002562F9">
        <w:rPr>
          <w:rFonts w:ascii="Arial" w:hAnsi="Arial"/>
          <w:color w:val="000000"/>
          <w:sz w:val="22"/>
          <w:lang w:val="el-GR"/>
        </w:rPr>
        <w:t xml:space="preserve">Η </w:t>
      </w:r>
      <w:r w:rsidRPr="002562F9">
        <w:rPr>
          <w:rFonts w:ascii="Arial" w:hAnsi="Arial"/>
          <w:color w:val="000000"/>
          <w:sz w:val="22"/>
        </w:rPr>
        <w:t>Fraxiparine</w:t>
      </w:r>
      <w:r w:rsidRPr="002562F9">
        <w:rPr>
          <w:rFonts w:ascii="Arial" w:hAnsi="Arial"/>
          <w:color w:val="000000"/>
          <w:sz w:val="22"/>
          <w:vertAlign w:val="superscript"/>
        </w:rPr>
        <w:sym w:font="Symbol" w:char="F0D2"/>
      </w:r>
      <w:r w:rsidRPr="002562F9">
        <w:rPr>
          <w:rFonts w:ascii="Arial" w:hAnsi="Arial"/>
          <w:color w:val="000000"/>
          <w:sz w:val="22"/>
          <w:lang w:val="el-GR"/>
        </w:rPr>
        <w:t xml:space="preserve"> θα πρέπει να χορηγείται υποδορίως δύο φορές την ημέρα (κάθε 12 ώρες) σε συνδυασμό με ασπιρίνη έως 325 </w:t>
      </w:r>
      <w:r w:rsidRPr="002562F9">
        <w:rPr>
          <w:rFonts w:ascii="Arial" w:hAnsi="Arial"/>
          <w:color w:val="000000"/>
          <w:sz w:val="22"/>
        </w:rPr>
        <w:t>mg</w:t>
      </w:r>
      <w:r w:rsidRPr="002562F9">
        <w:rPr>
          <w:rFonts w:ascii="Arial" w:hAnsi="Arial"/>
          <w:color w:val="000000"/>
          <w:sz w:val="22"/>
          <w:lang w:val="el-GR"/>
        </w:rPr>
        <w:t xml:space="preserve"> την ημέρα. Η αρχική δόση θα πρέπει να δίνεται με άμεση ενδοφλέβια έγχυση  86 </w:t>
      </w:r>
      <w:r w:rsidRPr="002562F9">
        <w:rPr>
          <w:rFonts w:ascii="Arial" w:hAnsi="Arial"/>
          <w:color w:val="000000"/>
          <w:sz w:val="22"/>
        </w:rPr>
        <w:t>IU</w:t>
      </w:r>
      <w:r w:rsidRPr="002562F9">
        <w:rPr>
          <w:rFonts w:ascii="Arial" w:hAnsi="Arial"/>
          <w:color w:val="000000"/>
          <w:sz w:val="22"/>
          <w:lang w:val="el-GR"/>
        </w:rPr>
        <w:t xml:space="preserve"> </w:t>
      </w:r>
      <w:r w:rsidRPr="002562F9">
        <w:rPr>
          <w:rFonts w:ascii="Arial" w:hAnsi="Arial"/>
          <w:color w:val="000000"/>
          <w:sz w:val="22"/>
        </w:rPr>
        <w:t>anti</w:t>
      </w:r>
      <w:r w:rsidRPr="002562F9">
        <w:rPr>
          <w:rFonts w:ascii="Arial" w:hAnsi="Arial"/>
          <w:color w:val="000000"/>
          <w:sz w:val="22"/>
          <w:lang w:val="el-GR"/>
        </w:rPr>
        <w:t xml:space="preserve"> </w:t>
      </w:r>
      <w:r w:rsidRPr="002562F9">
        <w:rPr>
          <w:rFonts w:ascii="Arial" w:hAnsi="Arial"/>
          <w:color w:val="000000"/>
          <w:sz w:val="22"/>
        </w:rPr>
        <w:t>Xa</w:t>
      </w:r>
      <w:r w:rsidRPr="002562F9">
        <w:rPr>
          <w:rFonts w:ascii="Arial" w:hAnsi="Arial"/>
          <w:color w:val="000000"/>
          <w:sz w:val="22"/>
          <w:lang w:val="el-GR"/>
        </w:rPr>
        <w:t>/</w:t>
      </w:r>
      <w:r w:rsidRPr="002562F9">
        <w:rPr>
          <w:rFonts w:ascii="Arial" w:hAnsi="Arial"/>
          <w:color w:val="000000"/>
          <w:sz w:val="22"/>
        </w:rPr>
        <w:t>kg</w:t>
      </w:r>
      <w:r w:rsidRPr="002562F9">
        <w:rPr>
          <w:rFonts w:ascii="Arial" w:hAnsi="Arial"/>
          <w:color w:val="000000"/>
          <w:sz w:val="22"/>
          <w:lang w:val="el-GR"/>
        </w:rPr>
        <w:t xml:space="preserve"> βάρους σώματος ακολουθούμενη από υποδόρια ένεση 86 </w:t>
      </w:r>
      <w:r w:rsidRPr="002562F9">
        <w:rPr>
          <w:rFonts w:ascii="Arial" w:hAnsi="Arial"/>
          <w:color w:val="000000"/>
          <w:sz w:val="22"/>
        </w:rPr>
        <w:t>IU</w:t>
      </w:r>
      <w:r w:rsidRPr="002562F9">
        <w:rPr>
          <w:rFonts w:ascii="Arial" w:hAnsi="Arial"/>
          <w:color w:val="000000"/>
          <w:sz w:val="22"/>
          <w:lang w:val="el-GR"/>
        </w:rPr>
        <w:t xml:space="preserve"> </w:t>
      </w:r>
      <w:r w:rsidRPr="002562F9">
        <w:rPr>
          <w:rFonts w:ascii="Arial" w:hAnsi="Arial"/>
          <w:color w:val="000000"/>
          <w:sz w:val="22"/>
        </w:rPr>
        <w:t>anti</w:t>
      </w:r>
      <w:r w:rsidRPr="002562F9">
        <w:rPr>
          <w:rFonts w:ascii="Arial" w:hAnsi="Arial"/>
          <w:color w:val="000000"/>
          <w:sz w:val="22"/>
          <w:lang w:val="el-GR"/>
        </w:rPr>
        <w:t xml:space="preserve"> </w:t>
      </w:r>
      <w:r w:rsidRPr="002562F9">
        <w:rPr>
          <w:rFonts w:ascii="Arial" w:hAnsi="Arial"/>
          <w:color w:val="000000"/>
          <w:sz w:val="22"/>
        </w:rPr>
        <w:t>Xa</w:t>
      </w:r>
      <w:r w:rsidRPr="002562F9">
        <w:rPr>
          <w:rFonts w:ascii="Arial" w:hAnsi="Arial"/>
          <w:color w:val="000000"/>
          <w:sz w:val="22"/>
          <w:lang w:val="el-GR"/>
        </w:rPr>
        <w:t>/</w:t>
      </w:r>
      <w:r w:rsidRPr="002562F9">
        <w:rPr>
          <w:rFonts w:ascii="Arial" w:hAnsi="Arial"/>
          <w:color w:val="000000"/>
          <w:sz w:val="22"/>
        </w:rPr>
        <w:t>kg</w:t>
      </w:r>
      <w:r w:rsidRPr="002562F9">
        <w:rPr>
          <w:rFonts w:ascii="Arial" w:hAnsi="Arial"/>
          <w:color w:val="000000"/>
          <w:sz w:val="22"/>
          <w:lang w:val="el-GR"/>
        </w:rPr>
        <w:t xml:space="preserve"> βάρους σώματος. Η συνηθισμένη διάρκεια θεραπείας είναι 6 ημέρες με ρύθμιση της δόσης ανάλογα με το σωματικό βάρος όπως φαίνεται στον πιο κάτω πίνακα:</w:t>
      </w:r>
    </w:p>
    <w:p w:rsidR="0086736F" w:rsidRPr="002562F9" w:rsidRDefault="0086736F" w:rsidP="008179B8">
      <w:pPr>
        <w:jc w:val="both"/>
        <w:rPr>
          <w:rFonts w:ascii="Arial" w:hAnsi="Arial"/>
          <w:color w:val="000000"/>
          <w:sz w:val="22"/>
          <w:lang w:val="el-GR"/>
        </w:rPr>
      </w:pPr>
    </w:p>
    <w:tbl>
      <w:tblPr>
        <w:tblW w:w="0" w:type="auto"/>
        <w:tblInd w:w="80" w:type="dxa"/>
        <w:tblLayout w:type="fixed"/>
        <w:tblCellMar>
          <w:left w:w="80" w:type="dxa"/>
          <w:right w:w="80" w:type="dxa"/>
        </w:tblCellMar>
        <w:tblLook w:val="0000"/>
      </w:tblPr>
      <w:tblGrid>
        <w:gridCol w:w="3119"/>
        <w:gridCol w:w="1814"/>
        <w:gridCol w:w="2103"/>
        <w:gridCol w:w="2104"/>
      </w:tblGrid>
      <w:tr w:rsidR="0086736F" w:rsidRPr="002562F9">
        <w:tblPrEx>
          <w:tblCellMar>
            <w:top w:w="0" w:type="dxa"/>
            <w:bottom w:w="0" w:type="dxa"/>
          </w:tblCellMar>
        </w:tblPrEx>
        <w:trPr>
          <w:cantSplit/>
        </w:trPr>
        <w:tc>
          <w:tcPr>
            <w:tcW w:w="9140" w:type="dxa"/>
            <w:gridSpan w:val="4"/>
            <w:tcBorders>
              <w:top w:val="single" w:sz="6" w:space="0" w:color="auto"/>
              <w:left w:val="single" w:sz="6" w:space="0" w:color="auto"/>
              <w:right w:val="single" w:sz="6" w:space="0" w:color="auto"/>
            </w:tcBorders>
            <w:shd w:val="pct10" w:color="auto" w:fill="auto"/>
            <w:vAlign w:val="center"/>
          </w:tcPr>
          <w:p w:rsidR="0086736F" w:rsidRPr="002562F9" w:rsidRDefault="0086736F" w:rsidP="008179B8">
            <w:pPr>
              <w:tabs>
                <w:tab w:val="left" w:pos="5460"/>
                <w:tab w:val="left" w:pos="7080"/>
              </w:tabs>
              <w:ind w:left="-73" w:firstLine="73"/>
              <w:jc w:val="both"/>
              <w:rPr>
                <w:rFonts w:ascii="Arial" w:hAnsi="Arial"/>
                <w:b/>
                <w:color w:val="000000"/>
                <w:sz w:val="22"/>
                <w:lang w:val="el-GR"/>
              </w:rPr>
            </w:pPr>
          </w:p>
          <w:p w:rsidR="0086736F" w:rsidRPr="002562F9" w:rsidRDefault="0086736F" w:rsidP="008179B8">
            <w:pPr>
              <w:tabs>
                <w:tab w:val="left" w:pos="5460"/>
                <w:tab w:val="left" w:pos="7080"/>
              </w:tabs>
              <w:ind w:left="-73" w:firstLine="73"/>
              <w:jc w:val="both"/>
              <w:rPr>
                <w:rFonts w:ascii="Arial" w:hAnsi="Arial"/>
                <w:b/>
                <w:color w:val="000000"/>
                <w:sz w:val="22"/>
                <w:lang w:val="el-GR"/>
              </w:rPr>
            </w:pPr>
            <w:r w:rsidRPr="002562F9">
              <w:rPr>
                <w:rFonts w:ascii="Arial" w:hAnsi="Arial"/>
                <w:b/>
                <w:color w:val="000000"/>
                <w:sz w:val="22"/>
                <w:lang w:val="el-GR"/>
              </w:rPr>
              <w:t xml:space="preserve">Θεραπεία ασταθούς στηθάγχης και εμφράγματος του μυοκαρδίου χωρίς </w:t>
            </w:r>
            <w:r w:rsidR="00AC7CF1">
              <w:rPr>
                <w:rFonts w:ascii="Arial" w:hAnsi="Arial"/>
                <w:b/>
                <w:sz w:val="22"/>
                <w:lang w:val="el-GR"/>
              </w:rPr>
              <w:t>κύμα</w:t>
            </w:r>
            <w:r w:rsidRPr="002562F9">
              <w:rPr>
                <w:rFonts w:ascii="Arial" w:hAnsi="Arial"/>
                <w:b/>
                <w:color w:val="000000"/>
                <w:sz w:val="22"/>
                <w:lang w:val="el-GR"/>
              </w:rPr>
              <w:t xml:space="preserve"> </w:t>
            </w:r>
            <w:r w:rsidRPr="002562F9">
              <w:rPr>
                <w:rFonts w:ascii="Arial" w:hAnsi="Arial"/>
                <w:b/>
                <w:color w:val="000000"/>
                <w:sz w:val="22"/>
              </w:rPr>
              <w:t>Q</w:t>
            </w:r>
          </w:p>
          <w:p w:rsidR="0086736F" w:rsidRPr="002562F9" w:rsidRDefault="0086736F" w:rsidP="008179B8">
            <w:pPr>
              <w:tabs>
                <w:tab w:val="left" w:pos="5460"/>
                <w:tab w:val="left" w:pos="7080"/>
              </w:tabs>
              <w:ind w:left="-73" w:firstLine="73"/>
              <w:jc w:val="both"/>
              <w:rPr>
                <w:rFonts w:ascii="Arial" w:hAnsi="Arial"/>
                <w:b/>
                <w:color w:val="000000"/>
                <w:sz w:val="22"/>
                <w:lang w:val="el-GR"/>
              </w:rPr>
            </w:pPr>
            <w:r w:rsidRPr="002562F9">
              <w:rPr>
                <w:rFonts w:ascii="Arial" w:hAnsi="Arial"/>
                <w:b/>
                <w:color w:val="000000"/>
                <w:sz w:val="22"/>
                <w:lang w:val="el-GR"/>
              </w:rPr>
              <w:t xml:space="preserve"> </w:t>
            </w:r>
          </w:p>
        </w:tc>
      </w:tr>
      <w:tr w:rsidR="0086736F" w:rsidRPr="002562F9">
        <w:tblPrEx>
          <w:tblCellMar>
            <w:top w:w="0" w:type="dxa"/>
            <w:bottom w:w="0" w:type="dxa"/>
          </w:tblCellMar>
        </w:tblPrEx>
        <w:trPr>
          <w:cantSplit/>
        </w:trPr>
        <w:tc>
          <w:tcPr>
            <w:tcW w:w="3119" w:type="dxa"/>
            <w:tcBorders>
              <w:top w:val="single" w:sz="6" w:space="0" w:color="auto"/>
              <w:left w:val="single" w:sz="6" w:space="0" w:color="auto"/>
              <w:right w:val="single" w:sz="6" w:space="0" w:color="auto"/>
            </w:tcBorders>
          </w:tcPr>
          <w:p w:rsidR="0086736F" w:rsidRPr="002562F9" w:rsidRDefault="0086736F" w:rsidP="008179B8">
            <w:pPr>
              <w:tabs>
                <w:tab w:val="left" w:pos="5460"/>
                <w:tab w:val="left" w:pos="7080"/>
              </w:tabs>
              <w:ind w:left="-73" w:firstLine="73"/>
              <w:jc w:val="both"/>
              <w:rPr>
                <w:rFonts w:ascii="Arial" w:hAnsi="Arial"/>
                <w:color w:val="000000"/>
                <w:sz w:val="22"/>
                <w:lang w:val="el-GR"/>
              </w:rPr>
            </w:pPr>
          </w:p>
        </w:tc>
        <w:tc>
          <w:tcPr>
            <w:tcW w:w="1814" w:type="dxa"/>
            <w:tcBorders>
              <w:top w:val="single" w:sz="6" w:space="0" w:color="auto"/>
              <w:bottom w:val="single" w:sz="6" w:space="0" w:color="auto"/>
            </w:tcBorders>
            <w:vAlign w:val="center"/>
          </w:tcPr>
          <w:p w:rsidR="0086736F" w:rsidRPr="002562F9" w:rsidRDefault="0086736F" w:rsidP="008179B8">
            <w:pPr>
              <w:tabs>
                <w:tab w:val="left" w:pos="5460"/>
                <w:tab w:val="left" w:pos="7080"/>
              </w:tabs>
              <w:jc w:val="both"/>
              <w:rPr>
                <w:rFonts w:ascii="Arial" w:hAnsi="Arial"/>
                <w:color w:val="000000"/>
                <w:sz w:val="22"/>
                <w:lang w:val="el-GR"/>
              </w:rPr>
            </w:pPr>
          </w:p>
          <w:p w:rsidR="0086736F" w:rsidRPr="002562F9" w:rsidRDefault="0086736F" w:rsidP="008179B8">
            <w:pPr>
              <w:tabs>
                <w:tab w:val="left" w:pos="5460"/>
                <w:tab w:val="left" w:pos="7080"/>
              </w:tabs>
              <w:jc w:val="both"/>
              <w:rPr>
                <w:rFonts w:ascii="Arial" w:hAnsi="Arial"/>
                <w:color w:val="000000"/>
                <w:sz w:val="22"/>
                <w:lang w:val="el-GR"/>
              </w:rPr>
            </w:pPr>
          </w:p>
        </w:tc>
        <w:tc>
          <w:tcPr>
            <w:tcW w:w="2103" w:type="dxa"/>
            <w:tcBorders>
              <w:top w:val="single" w:sz="6" w:space="0" w:color="auto"/>
              <w:left w:val="nil"/>
              <w:bottom w:val="single" w:sz="6" w:space="0" w:color="auto"/>
            </w:tcBorders>
            <w:vAlign w:val="center"/>
          </w:tcPr>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lang w:val="el-GR"/>
              </w:rPr>
              <w:t>Όγκος</w:t>
            </w:r>
            <w:r w:rsidRPr="002562F9">
              <w:rPr>
                <w:rFonts w:ascii="Arial" w:hAnsi="Arial"/>
                <w:color w:val="000000"/>
                <w:sz w:val="22"/>
              </w:rPr>
              <w:t xml:space="preserve"> </w:t>
            </w:r>
            <w:r w:rsidRPr="002562F9">
              <w:rPr>
                <w:rFonts w:ascii="Arial" w:hAnsi="Arial"/>
                <w:color w:val="000000"/>
                <w:sz w:val="22"/>
                <w:lang w:val="el-GR"/>
              </w:rPr>
              <w:t>που</w:t>
            </w:r>
            <w:r w:rsidRPr="002562F9">
              <w:rPr>
                <w:rFonts w:ascii="Arial" w:hAnsi="Arial"/>
                <w:color w:val="000000"/>
                <w:sz w:val="22"/>
              </w:rPr>
              <w:t xml:space="preserve"> </w:t>
            </w:r>
            <w:r w:rsidRPr="002562F9">
              <w:rPr>
                <w:rFonts w:ascii="Arial" w:hAnsi="Arial"/>
                <w:color w:val="000000"/>
                <w:sz w:val="22"/>
                <w:lang w:val="el-GR"/>
              </w:rPr>
              <w:t>ενίεται</w:t>
            </w:r>
          </w:p>
        </w:tc>
        <w:tc>
          <w:tcPr>
            <w:tcW w:w="2104" w:type="dxa"/>
            <w:tcBorders>
              <w:top w:val="single" w:sz="6" w:space="0" w:color="auto"/>
              <w:left w:val="nil"/>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rPr>
            </w:pPr>
          </w:p>
        </w:tc>
      </w:tr>
      <w:tr w:rsidR="0086736F" w:rsidRPr="002562F9">
        <w:tblPrEx>
          <w:tblCellMar>
            <w:top w:w="0" w:type="dxa"/>
            <w:bottom w:w="0" w:type="dxa"/>
          </w:tblCellMar>
        </w:tblPrEx>
        <w:trPr>
          <w:cantSplit/>
        </w:trPr>
        <w:tc>
          <w:tcPr>
            <w:tcW w:w="3119" w:type="dxa"/>
            <w:tcBorders>
              <w:left w:val="single" w:sz="6" w:space="0" w:color="auto"/>
              <w:bottom w:val="single" w:sz="6" w:space="0" w:color="auto"/>
              <w:right w:val="single" w:sz="6" w:space="0" w:color="auto"/>
            </w:tcBorders>
          </w:tcPr>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lang w:val="el-GR"/>
              </w:rPr>
              <w:t>Βάρος</w:t>
            </w:r>
            <w:r w:rsidRPr="002562F9">
              <w:rPr>
                <w:rFonts w:ascii="Arial" w:hAnsi="Arial"/>
                <w:color w:val="000000"/>
                <w:sz w:val="22"/>
              </w:rPr>
              <w:t xml:space="preserve"> </w:t>
            </w:r>
            <w:r w:rsidRPr="002562F9">
              <w:rPr>
                <w:rFonts w:ascii="Arial" w:hAnsi="Arial"/>
                <w:color w:val="000000"/>
                <w:sz w:val="22"/>
                <w:lang w:val="el-GR"/>
              </w:rPr>
              <w:t>Σώματος</w:t>
            </w:r>
            <w:r w:rsidRPr="002562F9">
              <w:rPr>
                <w:rFonts w:ascii="Arial" w:hAnsi="Arial"/>
                <w:color w:val="000000"/>
                <w:sz w:val="22"/>
              </w:rPr>
              <w:t xml:space="preserve"> (kg)</w:t>
            </w:r>
          </w:p>
          <w:p w:rsidR="0086736F" w:rsidRPr="002562F9" w:rsidRDefault="0086736F" w:rsidP="008179B8">
            <w:pPr>
              <w:tabs>
                <w:tab w:val="left" w:pos="5460"/>
                <w:tab w:val="left" w:pos="7080"/>
              </w:tabs>
              <w:ind w:left="-73" w:firstLine="73"/>
              <w:jc w:val="both"/>
              <w:rPr>
                <w:rFonts w:ascii="Arial" w:hAnsi="Arial"/>
                <w:color w:val="000000"/>
                <w:sz w:val="22"/>
              </w:rPr>
            </w:pPr>
          </w:p>
          <w:p w:rsidR="0086736F" w:rsidRPr="002562F9" w:rsidRDefault="0086736F" w:rsidP="008179B8">
            <w:pPr>
              <w:tabs>
                <w:tab w:val="left" w:pos="5460"/>
                <w:tab w:val="left" w:pos="7080"/>
              </w:tabs>
              <w:ind w:left="-73" w:firstLine="73"/>
              <w:jc w:val="both"/>
              <w:rPr>
                <w:rFonts w:ascii="Arial" w:hAnsi="Arial"/>
                <w:color w:val="000000"/>
                <w:sz w:val="22"/>
              </w:rPr>
            </w:pPr>
          </w:p>
        </w:tc>
        <w:tc>
          <w:tcPr>
            <w:tcW w:w="1814" w:type="dxa"/>
            <w:tcBorders>
              <w:top w:val="single" w:sz="6" w:space="0" w:color="auto"/>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lang w:val="el-GR"/>
              </w:rPr>
              <w:t>Αρχική</w:t>
            </w:r>
            <w:r w:rsidRPr="002562F9">
              <w:rPr>
                <w:rFonts w:ascii="Arial" w:hAnsi="Arial"/>
                <w:color w:val="000000"/>
                <w:sz w:val="22"/>
              </w:rPr>
              <w:t xml:space="preserve"> </w:t>
            </w:r>
            <w:r w:rsidRPr="002562F9">
              <w:rPr>
                <w:rFonts w:ascii="Arial" w:hAnsi="Arial"/>
                <w:color w:val="000000"/>
                <w:sz w:val="22"/>
                <w:lang w:val="el-GR"/>
              </w:rPr>
              <w:t>ενδοφλέβια</w:t>
            </w:r>
            <w:r w:rsidRPr="002562F9">
              <w:rPr>
                <w:rFonts w:ascii="Arial" w:hAnsi="Arial"/>
                <w:color w:val="000000"/>
                <w:sz w:val="22"/>
              </w:rPr>
              <w:t xml:space="preserve"> </w:t>
            </w:r>
            <w:r w:rsidRPr="002562F9">
              <w:rPr>
                <w:rFonts w:ascii="Arial" w:hAnsi="Arial"/>
                <w:color w:val="000000"/>
                <w:sz w:val="22"/>
                <w:lang w:val="el-GR"/>
              </w:rPr>
              <w:t>χορήγηση</w:t>
            </w:r>
            <w:r w:rsidRPr="002562F9">
              <w:rPr>
                <w:rFonts w:ascii="Arial" w:hAnsi="Arial"/>
                <w:color w:val="000000"/>
                <w:sz w:val="22"/>
              </w:rPr>
              <w:t xml:space="preserve"> </w:t>
            </w:r>
          </w:p>
        </w:tc>
        <w:tc>
          <w:tcPr>
            <w:tcW w:w="2103" w:type="dxa"/>
            <w:tcBorders>
              <w:top w:val="single" w:sz="6" w:space="0" w:color="auto"/>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lang w:val="el-GR"/>
              </w:rPr>
              <w:t>Υποδόριες</w:t>
            </w:r>
            <w:r w:rsidRPr="002562F9">
              <w:rPr>
                <w:rFonts w:ascii="Arial" w:hAnsi="Arial"/>
                <w:color w:val="000000"/>
                <w:sz w:val="22"/>
              </w:rPr>
              <w:t xml:space="preserve"> </w:t>
            </w:r>
            <w:r w:rsidRPr="002562F9">
              <w:rPr>
                <w:rFonts w:ascii="Arial" w:hAnsi="Arial"/>
                <w:color w:val="000000"/>
                <w:sz w:val="22"/>
                <w:lang w:val="el-GR"/>
              </w:rPr>
              <w:t>ενέσεις</w:t>
            </w:r>
            <w:r w:rsidRPr="002562F9">
              <w:rPr>
                <w:rFonts w:ascii="Arial" w:hAnsi="Arial"/>
                <w:color w:val="000000"/>
                <w:sz w:val="22"/>
              </w:rPr>
              <w:t xml:space="preserve">  </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w:t>
            </w:r>
            <w:r w:rsidRPr="002562F9">
              <w:rPr>
                <w:rFonts w:ascii="Arial" w:hAnsi="Arial"/>
                <w:color w:val="000000"/>
                <w:sz w:val="22"/>
                <w:lang w:val="el-GR"/>
              </w:rPr>
              <w:t>κάθε</w:t>
            </w:r>
            <w:r w:rsidRPr="002562F9">
              <w:rPr>
                <w:rFonts w:ascii="Arial" w:hAnsi="Arial"/>
                <w:color w:val="000000"/>
                <w:sz w:val="22"/>
              </w:rPr>
              <w:t xml:space="preserve"> 12 </w:t>
            </w:r>
            <w:r w:rsidRPr="002562F9">
              <w:rPr>
                <w:rFonts w:ascii="Arial" w:hAnsi="Arial"/>
                <w:color w:val="000000"/>
                <w:sz w:val="22"/>
                <w:lang w:val="el-GR"/>
              </w:rPr>
              <w:t>ώρες</w:t>
            </w:r>
            <w:r w:rsidRPr="002562F9">
              <w:rPr>
                <w:rFonts w:ascii="Arial" w:hAnsi="Arial"/>
                <w:color w:val="000000"/>
                <w:sz w:val="22"/>
              </w:rPr>
              <w:t>)</w:t>
            </w:r>
          </w:p>
        </w:tc>
        <w:tc>
          <w:tcPr>
            <w:tcW w:w="2104" w:type="dxa"/>
            <w:tcBorders>
              <w:top w:val="single" w:sz="6" w:space="0" w:color="auto"/>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lang w:val="el-GR"/>
              </w:rPr>
            </w:pPr>
            <w:r w:rsidRPr="002562F9">
              <w:rPr>
                <w:rFonts w:ascii="Arial" w:hAnsi="Arial"/>
                <w:color w:val="000000"/>
                <w:sz w:val="22"/>
                <w:lang w:val="el-GR"/>
              </w:rPr>
              <w:t xml:space="preserve">Αντιστοιχία σε  </w:t>
            </w:r>
          </w:p>
          <w:p w:rsidR="0086736F" w:rsidRPr="002562F9" w:rsidRDefault="0086736F" w:rsidP="008179B8">
            <w:pPr>
              <w:tabs>
                <w:tab w:val="left" w:pos="5460"/>
                <w:tab w:val="left" w:pos="7080"/>
              </w:tabs>
              <w:jc w:val="both"/>
              <w:rPr>
                <w:rFonts w:ascii="Arial" w:hAnsi="Arial"/>
                <w:color w:val="000000"/>
                <w:sz w:val="22"/>
                <w:lang w:val="el-GR"/>
              </w:rPr>
            </w:pPr>
            <w:r w:rsidRPr="002562F9">
              <w:rPr>
                <w:rFonts w:ascii="Arial" w:hAnsi="Arial"/>
                <w:color w:val="000000"/>
                <w:sz w:val="22"/>
              </w:rPr>
              <w:t>IU</w:t>
            </w:r>
            <w:r w:rsidRPr="002562F9">
              <w:rPr>
                <w:rFonts w:ascii="Arial" w:hAnsi="Arial"/>
                <w:color w:val="000000"/>
                <w:sz w:val="22"/>
                <w:lang w:val="el-GR"/>
              </w:rPr>
              <w:t xml:space="preserve"> </w:t>
            </w:r>
            <w:r w:rsidRPr="002562F9">
              <w:rPr>
                <w:rFonts w:ascii="Arial" w:hAnsi="Arial"/>
                <w:color w:val="000000"/>
                <w:sz w:val="22"/>
              </w:rPr>
              <w:t>anti</w:t>
            </w:r>
            <w:r w:rsidRPr="002562F9">
              <w:rPr>
                <w:rFonts w:ascii="Arial" w:hAnsi="Arial"/>
                <w:color w:val="000000"/>
                <w:sz w:val="22"/>
                <w:lang w:val="el-GR"/>
              </w:rPr>
              <w:t>-</w:t>
            </w:r>
            <w:r w:rsidRPr="002562F9">
              <w:rPr>
                <w:rFonts w:ascii="Arial" w:hAnsi="Arial"/>
                <w:color w:val="000000"/>
                <w:sz w:val="22"/>
              </w:rPr>
              <w:t>Xa</w:t>
            </w:r>
          </w:p>
        </w:tc>
      </w:tr>
      <w:tr w:rsidR="0086736F" w:rsidRPr="002562F9">
        <w:tblPrEx>
          <w:tblCellMar>
            <w:top w:w="0" w:type="dxa"/>
            <w:bottom w:w="0"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rsidR="0086736F" w:rsidRPr="002562F9" w:rsidRDefault="0086736F" w:rsidP="008179B8">
            <w:pPr>
              <w:tabs>
                <w:tab w:val="left" w:pos="5460"/>
                <w:tab w:val="left" w:pos="7080"/>
              </w:tabs>
              <w:ind w:left="-73" w:firstLine="73"/>
              <w:jc w:val="both"/>
              <w:rPr>
                <w:rFonts w:ascii="Arial" w:hAnsi="Arial"/>
                <w:color w:val="000000"/>
                <w:sz w:val="22"/>
                <w:lang w:val="el-GR"/>
              </w:rPr>
            </w:pP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rPr>
              <w:t>&lt; 50</w:t>
            </w: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rPr>
              <w:t>50-59</w:t>
            </w: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rPr>
              <w:t>60-69</w:t>
            </w: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rPr>
              <w:t>70-79</w:t>
            </w: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rPr>
              <w:t>80-89</w:t>
            </w: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rPr>
              <w:t>90-99</w:t>
            </w:r>
          </w:p>
          <w:p w:rsidR="0086736F" w:rsidRPr="002562F9" w:rsidRDefault="0086736F" w:rsidP="008179B8">
            <w:pPr>
              <w:tabs>
                <w:tab w:val="left" w:pos="5460"/>
                <w:tab w:val="left" w:pos="7080"/>
              </w:tabs>
              <w:ind w:left="-73" w:firstLine="73"/>
              <w:jc w:val="both"/>
              <w:rPr>
                <w:rFonts w:ascii="Arial" w:hAnsi="Arial"/>
                <w:color w:val="000000"/>
                <w:sz w:val="22"/>
              </w:rPr>
            </w:pPr>
            <w:r w:rsidRPr="002562F9">
              <w:rPr>
                <w:rFonts w:ascii="Arial" w:hAnsi="Arial"/>
                <w:color w:val="000000"/>
                <w:sz w:val="22"/>
                <w:u w:val="single"/>
              </w:rPr>
              <w:t>&gt;</w:t>
            </w:r>
            <w:r w:rsidRPr="002562F9">
              <w:rPr>
                <w:rFonts w:ascii="Arial" w:hAnsi="Arial"/>
                <w:color w:val="000000"/>
                <w:sz w:val="22"/>
              </w:rPr>
              <w:t>100</w:t>
            </w:r>
          </w:p>
          <w:p w:rsidR="0086736F" w:rsidRPr="002562F9" w:rsidRDefault="0086736F" w:rsidP="008179B8">
            <w:pPr>
              <w:tabs>
                <w:tab w:val="left" w:pos="5460"/>
                <w:tab w:val="left" w:pos="7080"/>
              </w:tabs>
              <w:ind w:left="-73" w:firstLine="73"/>
              <w:jc w:val="both"/>
              <w:rPr>
                <w:rFonts w:ascii="Arial" w:hAnsi="Arial"/>
                <w:color w:val="000000"/>
                <w:sz w:val="22"/>
              </w:rPr>
            </w:pPr>
          </w:p>
        </w:tc>
        <w:tc>
          <w:tcPr>
            <w:tcW w:w="1814" w:type="dxa"/>
            <w:tcBorders>
              <w:top w:val="single" w:sz="6" w:space="0" w:color="auto"/>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rPr>
            </w:pP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0.4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0.5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0.6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0.7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0.8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0.9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1.0 ml</w:t>
            </w:r>
          </w:p>
        </w:tc>
        <w:tc>
          <w:tcPr>
            <w:tcW w:w="2103" w:type="dxa"/>
            <w:tcBorders>
              <w:top w:val="single" w:sz="6" w:space="0" w:color="auto"/>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rPr>
            </w:pP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0.4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0.5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0.6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0.7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0.8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0.9 ml</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1.0 ml</w:t>
            </w:r>
          </w:p>
        </w:tc>
        <w:tc>
          <w:tcPr>
            <w:tcW w:w="2104" w:type="dxa"/>
            <w:tcBorders>
              <w:top w:val="single" w:sz="6" w:space="0" w:color="auto"/>
              <w:bottom w:val="single" w:sz="6" w:space="0" w:color="auto"/>
              <w:right w:val="single" w:sz="6" w:space="0" w:color="auto"/>
            </w:tcBorders>
          </w:tcPr>
          <w:p w:rsidR="0086736F" w:rsidRPr="002562F9" w:rsidRDefault="0086736F" w:rsidP="008179B8">
            <w:pPr>
              <w:tabs>
                <w:tab w:val="left" w:pos="5460"/>
                <w:tab w:val="left" w:pos="7080"/>
              </w:tabs>
              <w:jc w:val="both"/>
              <w:rPr>
                <w:rFonts w:ascii="Arial" w:hAnsi="Arial"/>
                <w:color w:val="000000"/>
                <w:sz w:val="22"/>
              </w:rPr>
            </w:pP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3800</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4750</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5700</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6650</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7600</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8550</w:t>
            </w:r>
          </w:p>
          <w:p w:rsidR="0086736F" w:rsidRPr="002562F9" w:rsidRDefault="0086736F" w:rsidP="008179B8">
            <w:pPr>
              <w:tabs>
                <w:tab w:val="left" w:pos="5460"/>
                <w:tab w:val="left" w:pos="7080"/>
              </w:tabs>
              <w:jc w:val="both"/>
              <w:rPr>
                <w:rFonts w:ascii="Arial" w:hAnsi="Arial"/>
                <w:color w:val="000000"/>
                <w:sz w:val="22"/>
              </w:rPr>
            </w:pPr>
            <w:r w:rsidRPr="002562F9">
              <w:rPr>
                <w:rFonts w:ascii="Arial" w:hAnsi="Arial"/>
                <w:color w:val="000000"/>
                <w:sz w:val="22"/>
              </w:rPr>
              <w:t>9500</w:t>
            </w:r>
          </w:p>
        </w:tc>
      </w:tr>
    </w:tbl>
    <w:p w:rsidR="0086736F" w:rsidRPr="002562F9" w:rsidRDefault="0086736F" w:rsidP="008179B8">
      <w:pPr>
        <w:jc w:val="both"/>
        <w:rPr>
          <w:rFonts w:ascii="Arial" w:hAnsi="Arial"/>
          <w:color w:val="000000"/>
          <w:sz w:val="22"/>
          <w:lang w:val="el-GR"/>
        </w:rPr>
      </w:pPr>
    </w:p>
    <w:p w:rsidR="00196B8B" w:rsidRPr="002562F9" w:rsidRDefault="00233F49" w:rsidP="008179B8">
      <w:pPr>
        <w:pStyle w:val="BridgeheadGDS"/>
      </w:pPr>
      <w:r w:rsidRPr="002562F9">
        <w:t>Παιδιά και έφηβοι</w:t>
      </w:r>
    </w:p>
    <w:p w:rsidR="00196B8B" w:rsidRPr="002562F9" w:rsidRDefault="00196B8B" w:rsidP="008179B8">
      <w:pPr>
        <w:jc w:val="both"/>
        <w:rPr>
          <w:rFonts w:ascii="Arial" w:hAnsi="Arial" w:cs="Arial"/>
          <w:color w:val="000000"/>
          <w:sz w:val="22"/>
          <w:szCs w:val="22"/>
          <w:lang w:val="el-GR"/>
        </w:rPr>
      </w:pPr>
    </w:p>
    <w:p w:rsidR="00196B8B" w:rsidRPr="002562F9" w:rsidRDefault="00233F49" w:rsidP="008179B8">
      <w:pPr>
        <w:jc w:val="both"/>
        <w:rPr>
          <w:rFonts w:ascii="Arial" w:hAnsi="Arial" w:cs="Arial"/>
          <w:color w:val="000000"/>
          <w:sz w:val="22"/>
          <w:szCs w:val="22"/>
          <w:lang w:val="el-GR"/>
        </w:rPr>
      </w:pPr>
      <w:r w:rsidRPr="002562F9">
        <w:rPr>
          <w:rFonts w:ascii="Arial" w:hAnsi="Arial" w:cs="Arial"/>
          <w:color w:val="000000"/>
          <w:sz w:val="22"/>
          <w:szCs w:val="22"/>
          <w:lang w:val="el-GR"/>
        </w:rPr>
        <w:t xml:space="preserve">Η </w:t>
      </w:r>
      <w:r w:rsidR="00515ADC" w:rsidRPr="002562F9">
        <w:rPr>
          <w:rFonts w:ascii="Arial" w:hAnsi="Arial" w:cs="Arial"/>
          <w:color w:val="000000"/>
          <w:sz w:val="22"/>
          <w:szCs w:val="22"/>
          <w:lang w:val="el-GR"/>
        </w:rPr>
        <w:t>ναδροπαρίνη</w:t>
      </w:r>
      <w:r w:rsidR="00196B8B" w:rsidRPr="002562F9">
        <w:rPr>
          <w:rFonts w:ascii="Arial" w:hAnsi="Arial" w:cs="Arial"/>
          <w:color w:val="000000"/>
          <w:sz w:val="22"/>
          <w:szCs w:val="22"/>
          <w:lang w:val="el-GR"/>
        </w:rPr>
        <w:t xml:space="preserve"> </w:t>
      </w:r>
      <w:r w:rsidRPr="002562F9">
        <w:rPr>
          <w:rFonts w:ascii="Arial" w:hAnsi="Arial" w:cs="Arial"/>
          <w:color w:val="000000"/>
          <w:sz w:val="22"/>
          <w:szCs w:val="22"/>
          <w:lang w:val="el-GR"/>
        </w:rPr>
        <w:t xml:space="preserve">δεν συνιστάται σε παιδιά και εφήβους καθώς δεν υπάρχουν αρκετά στοιχεία ασφάλειας και αποτελεσματικότητας </w:t>
      </w:r>
      <w:r w:rsidR="00BD3624" w:rsidRPr="002562F9">
        <w:rPr>
          <w:rFonts w:ascii="Arial" w:hAnsi="Arial" w:cs="Arial"/>
          <w:color w:val="000000"/>
          <w:sz w:val="22"/>
          <w:szCs w:val="22"/>
          <w:lang w:val="el-GR"/>
        </w:rPr>
        <w:t xml:space="preserve">για τον καθορισμό δοσολογίας </w:t>
      </w:r>
      <w:r w:rsidRPr="002562F9">
        <w:rPr>
          <w:rFonts w:ascii="Arial" w:hAnsi="Arial" w:cs="Arial"/>
          <w:color w:val="000000"/>
          <w:sz w:val="22"/>
          <w:szCs w:val="22"/>
          <w:lang w:val="el-GR"/>
        </w:rPr>
        <w:t>σε ασθενείς ηλικίας μικρότερης των 18 ετών</w:t>
      </w:r>
      <w:r w:rsidR="00196B8B" w:rsidRPr="002562F9">
        <w:rPr>
          <w:rFonts w:ascii="Arial" w:hAnsi="Arial" w:cs="Arial"/>
          <w:color w:val="000000"/>
          <w:sz w:val="22"/>
          <w:szCs w:val="22"/>
          <w:lang w:val="el-GR"/>
        </w:rPr>
        <w:t>.</w:t>
      </w:r>
    </w:p>
    <w:p w:rsidR="00196B8B" w:rsidRPr="002562F9" w:rsidRDefault="00196B8B" w:rsidP="008179B8">
      <w:pPr>
        <w:pStyle w:val="BridgeheadGDS"/>
      </w:pPr>
    </w:p>
    <w:p w:rsidR="00196B8B" w:rsidRPr="002562F9" w:rsidRDefault="00233F49" w:rsidP="004E2B7C">
      <w:pPr>
        <w:pStyle w:val="BridgeheadGDS"/>
      </w:pPr>
      <w:r w:rsidRPr="002562F9">
        <w:t>Ηλικιωμένοι</w:t>
      </w:r>
    </w:p>
    <w:p w:rsidR="00196B8B" w:rsidRPr="002562F9" w:rsidRDefault="00196B8B" w:rsidP="008179B8">
      <w:pPr>
        <w:jc w:val="both"/>
        <w:rPr>
          <w:rFonts w:ascii="Arial" w:hAnsi="Arial" w:cs="Arial"/>
          <w:color w:val="000000"/>
          <w:sz w:val="22"/>
          <w:szCs w:val="22"/>
        </w:rPr>
      </w:pPr>
    </w:p>
    <w:p w:rsidR="00196B8B" w:rsidRPr="002562F9" w:rsidRDefault="00BD3624" w:rsidP="008179B8">
      <w:pPr>
        <w:jc w:val="both"/>
        <w:rPr>
          <w:rFonts w:ascii="Arial" w:hAnsi="Arial" w:cs="Arial"/>
          <w:color w:val="000000"/>
          <w:sz w:val="22"/>
          <w:szCs w:val="22"/>
          <w:lang w:val="el-GR"/>
        </w:rPr>
      </w:pPr>
      <w:r w:rsidRPr="002562F9">
        <w:rPr>
          <w:rFonts w:ascii="Arial" w:hAnsi="Arial" w:cs="Arial"/>
          <w:color w:val="000000"/>
          <w:sz w:val="22"/>
          <w:szCs w:val="22"/>
          <w:lang w:val="el-GR"/>
        </w:rPr>
        <w:t xml:space="preserve">Δεν απαιτείται ρύθμιση της δοσολογίας σε ηλικιωμένους εκτός εάν </w:t>
      </w:r>
      <w:r w:rsidR="0091240E" w:rsidRPr="002562F9">
        <w:rPr>
          <w:rFonts w:ascii="Arial" w:hAnsi="Arial" w:cs="Arial"/>
          <w:color w:val="000000"/>
          <w:sz w:val="22"/>
          <w:szCs w:val="22"/>
          <w:lang w:val="el-GR"/>
        </w:rPr>
        <w:t>υπάρχ</w:t>
      </w:r>
      <w:r w:rsidR="002F11D4" w:rsidRPr="002562F9">
        <w:rPr>
          <w:rFonts w:ascii="Arial" w:hAnsi="Arial" w:cs="Arial"/>
          <w:color w:val="000000"/>
          <w:sz w:val="22"/>
          <w:szCs w:val="22"/>
          <w:lang w:val="el-GR"/>
        </w:rPr>
        <w:t>ει</w:t>
      </w:r>
      <w:r w:rsidR="0091240E" w:rsidRPr="002562F9">
        <w:rPr>
          <w:rFonts w:ascii="Arial" w:hAnsi="Arial" w:cs="Arial"/>
          <w:color w:val="000000"/>
          <w:sz w:val="22"/>
          <w:szCs w:val="22"/>
          <w:lang w:val="el-GR"/>
        </w:rPr>
        <w:t xml:space="preserve"> διαταραχή της νεφρικής λειτουργίας. </w:t>
      </w:r>
      <w:r w:rsidRPr="002562F9">
        <w:rPr>
          <w:rFonts w:ascii="Arial" w:hAnsi="Arial" w:cs="Arial"/>
          <w:color w:val="000000"/>
          <w:sz w:val="22"/>
          <w:szCs w:val="22"/>
          <w:lang w:val="el-GR"/>
        </w:rPr>
        <w:t>Συνιστάται να αξιολογείται η νεφρική λειτουργία πριν την έναρξη της θεραπείας</w:t>
      </w:r>
      <w:r w:rsidR="00196B8B" w:rsidRPr="002562F9">
        <w:rPr>
          <w:rFonts w:ascii="Arial" w:hAnsi="Arial" w:cs="Arial"/>
          <w:color w:val="000000"/>
          <w:sz w:val="22"/>
          <w:szCs w:val="22"/>
          <w:lang w:val="el-GR"/>
        </w:rPr>
        <w:t xml:space="preserve"> (</w:t>
      </w:r>
      <w:r w:rsidRPr="002562F9">
        <w:rPr>
          <w:rFonts w:ascii="Arial" w:hAnsi="Arial" w:cs="Arial"/>
          <w:color w:val="000000"/>
          <w:sz w:val="22"/>
          <w:szCs w:val="22"/>
          <w:lang w:val="el-GR"/>
        </w:rPr>
        <w:t xml:space="preserve">βλέπε νεφρική ανεπάρκεια παρακάτω και </w:t>
      </w:r>
      <w:r w:rsidR="003B7D13" w:rsidRPr="002562F9">
        <w:rPr>
          <w:rFonts w:ascii="Arial" w:hAnsi="Arial"/>
          <w:color w:val="000000"/>
          <w:sz w:val="22"/>
          <w:lang w:val="el-GR"/>
        </w:rPr>
        <w:t>παράγραφο</w:t>
      </w:r>
      <w:r w:rsidR="003B7D13" w:rsidRPr="002562F9">
        <w:rPr>
          <w:rFonts w:ascii="Arial" w:hAnsi="Arial" w:cs="Arial"/>
          <w:color w:val="000000"/>
          <w:sz w:val="22"/>
          <w:szCs w:val="22"/>
          <w:lang w:val="el-GR"/>
        </w:rPr>
        <w:t xml:space="preserve"> </w:t>
      </w:r>
      <w:r w:rsidRPr="002562F9">
        <w:rPr>
          <w:rFonts w:ascii="Arial" w:hAnsi="Arial" w:cs="Arial"/>
          <w:color w:val="000000"/>
          <w:sz w:val="22"/>
          <w:szCs w:val="22"/>
          <w:lang w:val="el-GR"/>
        </w:rPr>
        <w:t>5.2)</w:t>
      </w:r>
    </w:p>
    <w:p w:rsidR="00196B8B" w:rsidRPr="002562F9" w:rsidRDefault="00196B8B" w:rsidP="008179B8">
      <w:pPr>
        <w:pStyle w:val="BridgeheadGDS"/>
      </w:pPr>
    </w:p>
    <w:p w:rsidR="00581D28" w:rsidRPr="002562F9" w:rsidRDefault="00CC5140" w:rsidP="004E2B7C">
      <w:pPr>
        <w:pStyle w:val="BridgeheadGDS"/>
      </w:pPr>
      <w:r w:rsidRPr="002562F9">
        <w:t>Νεφρική ανεπάρκεια</w:t>
      </w:r>
    </w:p>
    <w:p w:rsidR="003B7D13" w:rsidRPr="002562F9" w:rsidRDefault="003B7D13" w:rsidP="00AF04BB">
      <w:pPr>
        <w:pStyle w:val="BridgeheadGDS"/>
      </w:pPr>
    </w:p>
    <w:p w:rsidR="004F7A9E" w:rsidRPr="002562F9" w:rsidRDefault="004F7A9E" w:rsidP="008179B8">
      <w:pPr>
        <w:jc w:val="both"/>
        <w:rPr>
          <w:rFonts w:ascii="Arial" w:hAnsi="Arial" w:cs="Arial"/>
          <w:i/>
          <w:color w:val="000000"/>
          <w:sz w:val="22"/>
          <w:szCs w:val="22"/>
          <w:lang w:val="el-GR"/>
        </w:rPr>
      </w:pPr>
      <w:r w:rsidRPr="002562F9">
        <w:rPr>
          <w:rFonts w:ascii="Arial" w:hAnsi="Arial" w:cs="Arial"/>
          <w:i/>
          <w:color w:val="000000"/>
          <w:sz w:val="22"/>
          <w:szCs w:val="22"/>
          <w:lang w:val="el-GR"/>
        </w:rPr>
        <w:t>Προφύλαξη από θρομβοεμβολικά επεισόδια</w:t>
      </w:r>
    </w:p>
    <w:p w:rsidR="004F7A9E" w:rsidRPr="002562F9" w:rsidRDefault="004F7A9E" w:rsidP="008179B8">
      <w:pPr>
        <w:jc w:val="both"/>
        <w:rPr>
          <w:rFonts w:ascii="Arial" w:hAnsi="Arial" w:cs="Arial"/>
          <w:i/>
          <w:color w:val="000000"/>
          <w:sz w:val="22"/>
          <w:szCs w:val="22"/>
          <w:lang w:val="el-GR"/>
        </w:rPr>
      </w:pPr>
    </w:p>
    <w:p w:rsidR="004F7A9E" w:rsidRPr="002562F9" w:rsidRDefault="004F7A9E" w:rsidP="008179B8">
      <w:pPr>
        <w:ind w:left="360"/>
        <w:jc w:val="both"/>
        <w:rPr>
          <w:rStyle w:val="CSIchar"/>
          <w:rFonts w:ascii="Arial" w:hAnsi="Arial" w:cs="Arial"/>
          <w:color w:val="000000"/>
          <w:sz w:val="22"/>
          <w:szCs w:val="22"/>
          <w:lang w:val="el-GR"/>
        </w:rPr>
      </w:pPr>
      <w:r w:rsidRPr="002562F9">
        <w:rPr>
          <w:rFonts w:ascii="Arial" w:hAnsi="Arial" w:cs="Arial"/>
          <w:color w:val="000000"/>
          <w:sz w:val="22"/>
          <w:szCs w:val="22"/>
          <w:lang w:val="el-GR"/>
        </w:rPr>
        <w:t xml:space="preserve">Σε ασθενείς με ήπια νεφρική ανεπάρκεια (κάθαρση κρεατινίνης μεγαλύτερη ή ίση με 50 </w:t>
      </w:r>
      <w:r w:rsidRPr="002562F9">
        <w:rPr>
          <w:rFonts w:ascii="Arial" w:hAnsi="Arial" w:cs="Arial"/>
          <w:color w:val="000000"/>
          <w:sz w:val="22"/>
          <w:szCs w:val="22"/>
        </w:rPr>
        <w:t>ml</w:t>
      </w:r>
      <w:r w:rsidRPr="002562F9">
        <w:rPr>
          <w:rFonts w:ascii="Arial" w:hAnsi="Arial" w:cs="Arial"/>
          <w:color w:val="000000"/>
          <w:sz w:val="22"/>
          <w:szCs w:val="22"/>
          <w:lang w:val="el-GR"/>
        </w:rPr>
        <w:t>/</w:t>
      </w:r>
      <w:r w:rsidRPr="002562F9">
        <w:rPr>
          <w:rFonts w:ascii="Arial" w:hAnsi="Arial" w:cs="Arial"/>
          <w:color w:val="000000"/>
          <w:sz w:val="22"/>
          <w:szCs w:val="22"/>
        </w:rPr>
        <w:t>min</w:t>
      </w:r>
      <w:r w:rsidRPr="002562F9">
        <w:rPr>
          <w:rFonts w:ascii="Arial" w:hAnsi="Arial" w:cs="Arial"/>
          <w:color w:val="000000"/>
          <w:sz w:val="22"/>
          <w:szCs w:val="22"/>
          <w:lang w:val="el-GR"/>
        </w:rPr>
        <w:t>), δεν απαιτείται μείωση της δόσης</w:t>
      </w:r>
      <w:r w:rsidRPr="002562F9">
        <w:rPr>
          <w:rStyle w:val="CSIchar"/>
          <w:rFonts w:ascii="Arial" w:hAnsi="Arial" w:cs="Arial"/>
          <w:color w:val="000000"/>
          <w:sz w:val="22"/>
          <w:szCs w:val="22"/>
          <w:shd w:val="clear" w:color="auto" w:fill="auto"/>
          <w:lang w:val="el-GR"/>
        </w:rPr>
        <w:t>.</w:t>
      </w:r>
    </w:p>
    <w:p w:rsidR="004F7A9E" w:rsidRPr="002562F9" w:rsidRDefault="004F7A9E" w:rsidP="008179B8">
      <w:pPr>
        <w:pStyle w:val="listindentnospace"/>
        <w:ind w:left="360"/>
        <w:jc w:val="both"/>
        <w:rPr>
          <w:rStyle w:val="CSIchar"/>
          <w:rFonts w:ascii="Arial" w:hAnsi="Arial" w:cs="Arial"/>
          <w:color w:val="000000"/>
          <w:sz w:val="22"/>
          <w:szCs w:val="22"/>
          <w:lang w:val="el-GR"/>
        </w:rPr>
      </w:pPr>
    </w:p>
    <w:p w:rsidR="004F7A9E" w:rsidRPr="002562F9" w:rsidRDefault="004F7A9E" w:rsidP="008179B8">
      <w:pPr>
        <w:pStyle w:val="listindentnospace"/>
        <w:ind w:left="360"/>
        <w:jc w:val="both"/>
        <w:rPr>
          <w:rFonts w:ascii="Arial" w:hAnsi="Arial" w:cs="Arial"/>
          <w:color w:val="000000"/>
          <w:sz w:val="22"/>
          <w:szCs w:val="22"/>
          <w:lang w:val="el-GR"/>
        </w:rPr>
      </w:pPr>
      <w:r w:rsidRPr="002562F9">
        <w:rPr>
          <w:rFonts w:ascii="Arial" w:hAnsi="Arial" w:cs="Arial"/>
          <w:color w:val="000000"/>
          <w:sz w:val="22"/>
          <w:szCs w:val="22"/>
          <w:lang w:val="el-GR" w:eastAsia="en-GB"/>
        </w:rPr>
        <w:t>Σε ασθενείς με μέτρια νεφρική ανεπάρκεια</w:t>
      </w:r>
      <w:r w:rsidRPr="002562F9">
        <w:rPr>
          <w:rStyle w:val="CSIchar"/>
          <w:rFonts w:ascii="Arial" w:hAnsi="Arial" w:cs="Arial"/>
          <w:color w:val="000000"/>
          <w:sz w:val="22"/>
          <w:szCs w:val="22"/>
          <w:shd w:val="clear" w:color="auto" w:fill="auto"/>
          <w:lang w:val="el-GR"/>
        </w:rPr>
        <w:t xml:space="preserve"> (κάθαρση κρεατινίνης μεγαλύτερη ή ίση με 30 </w:t>
      </w:r>
      <w:r w:rsidRPr="002562F9">
        <w:rPr>
          <w:rStyle w:val="CSIchar"/>
          <w:rFonts w:ascii="Arial" w:hAnsi="Arial" w:cs="Arial"/>
          <w:color w:val="000000"/>
          <w:sz w:val="22"/>
          <w:szCs w:val="22"/>
          <w:shd w:val="clear" w:color="auto" w:fill="auto"/>
        </w:rPr>
        <w:t>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Pr="002562F9">
        <w:rPr>
          <w:rStyle w:val="CSIchar"/>
          <w:rFonts w:ascii="Arial" w:hAnsi="Arial" w:cs="Arial"/>
          <w:color w:val="000000"/>
          <w:sz w:val="22"/>
          <w:szCs w:val="22"/>
          <w:shd w:val="clear" w:color="auto" w:fill="auto"/>
          <w:lang w:val="el-GR"/>
        </w:rPr>
        <w:t xml:space="preserve"> και μικρότερη από 50</w:t>
      </w:r>
      <w:r w:rsidRPr="002562F9">
        <w:rPr>
          <w:rStyle w:val="CSIchar"/>
          <w:rFonts w:ascii="Arial" w:hAnsi="Arial" w:cs="Arial"/>
          <w:color w:val="000000"/>
          <w:sz w:val="22"/>
          <w:szCs w:val="22"/>
          <w:shd w:val="clear" w:color="auto" w:fill="auto"/>
        </w:rPr>
        <w:t> 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Pr="002562F9">
        <w:rPr>
          <w:rStyle w:val="CSIchar"/>
          <w:rFonts w:ascii="Arial" w:hAnsi="Arial" w:cs="Arial"/>
          <w:color w:val="000000"/>
          <w:sz w:val="22"/>
          <w:szCs w:val="22"/>
          <w:shd w:val="clear" w:color="auto" w:fill="auto"/>
          <w:lang w:val="el-GR"/>
        </w:rPr>
        <w:t xml:space="preserve">), </w:t>
      </w:r>
      <w:r w:rsidRPr="002562F9">
        <w:rPr>
          <w:rFonts w:ascii="Arial" w:hAnsi="Arial" w:cs="Arial"/>
          <w:color w:val="000000"/>
          <w:sz w:val="22"/>
          <w:szCs w:val="22"/>
          <w:lang w:val="el-GR" w:eastAsia="en-GB"/>
        </w:rPr>
        <w:t xml:space="preserve">εάν θεωρηθεί απαραίτητη η μείωση της δόσης από τον θεράποντα ιατρό, λαμβάνοντας υπ’ όψη τους ατομικούς παράγοντες κινδύνου αιμορραγίας και θρομβοεμβολής, </w:t>
      </w:r>
      <w:r w:rsidRPr="002562F9">
        <w:rPr>
          <w:rStyle w:val="CSIchar"/>
          <w:rFonts w:ascii="Arial" w:hAnsi="Arial" w:cs="Arial"/>
          <w:color w:val="000000"/>
          <w:sz w:val="22"/>
          <w:szCs w:val="22"/>
          <w:shd w:val="clear" w:color="auto" w:fill="auto"/>
          <w:lang w:val="el-GR"/>
        </w:rPr>
        <w:t xml:space="preserve">η δόση θα πρέπει να μειώνεται </w:t>
      </w:r>
      <w:r w:rsidR="001B3BF2">
        <w:rPr>
          <w:rStyle w:val="CSIchar"/>
          <w:rFonts w:ascii="Arial" w:hAnsi="Arial" w:cs="Arial"/>
          <w:color w:val="000000"/>
          <w:sz w:val="22"/>
          <w:szCs w:val="22"/>
          <w:shd w:val="clear" w:color="auto" w:fill="auto"/>
          <w:lang w:val="el-GR"/>
        </w:rPr>
        <w:t xml:space="preserve">συνήθως </w:t>
      </w:r>
      <w:r w:rsidRPr="002562F9">
        <w:rPr>
          <w:rStyle w:val="CSIchar"/>
          <w:rFonts w:ascii="Arial" w:hAnsi="Arial" w:cs="Arial"/>
          <w:color w:val="000000"/>
          <w:sz w:val="22"/>
          <w:szCs w:val="22"/>
          <w:shd w:val="clear" w:color="auto" w:fill="auto"/>
          <w:lang w:val="el-GR"/>
        </w:rPr>
        <w:t>κατά 25 έως 33%</w:t>
      </w:r>
      <w:r w:rsidR="001B3BF2">
        <w:rPr>
          <w:rStyle w:val="CSIchar"/>
          <w:rFonts w:ascii="Arial" w:hAnsi="Arial" w:cs="Arial"/>
          <w:color w:val="000000"/>
          <w:sz w:val="22"/>
          <w:szCs w:val="22"/>
          <w:shd w:val="clear" w:color="auto" w:fill="auto"/>
          <w:lang w:val="el-GR"/>
        </w:rPr>
        <w:t xml:space="preserve"> </w:t>
      </w:r>
      <w:r w:rsidR="001B3BF2">
        <w:rPr>
          <w:rFonts w:ascii="Arial" w:hAnsi="Arial" w:cs="Arial"/>
          <w:color w:val="000000"/>
          <w:sz w:val="22"/>
          <w:szCs w:val="22"/>
          <w:lang w:val="el-GR"/>
        </w:rPr>
        <w:t>κατά περίπτωση</w:t>
      </w:r>
      <w:r w:rsidRPr="002562F9">
        <w:rPr>
          <w:rFonts w:ascii="Arial" w:hAnsi="Arial" w:cs="Arial"/>
          <w:color w:val="000000"/>
          <w:sz w:val="22"/>
          <w:szCs w:val="22"/>
          <w:lang w:val="el-GR"/>
        </w:rPr>
        <w:t xml:space="preserve"> (βλέπε παραγράφους 4.4 και 5.2).</w:t>
      </w:r>
    </w:p>
    <w:p w:rsidR="004F7A9E" w:rsidRPr="002562F9" w:rsidRDefault="004F7A9E" w:rsidP="008179B8">
      <w:pPr>
        <w:pStyle w:val="listindentnospace"/>
        <w:ind w:left="360"/>
        <w:jc w:val="both"/>
        <w:rPr>
          <w:rStyle w:val="CSIchar"/>
          <w:rFonts w:ascii="Arial" w:hAnsi="Arial" w:cs="Arial"/>
          <w:color w:val="000000"/>
          <w:sz w:val="22"/>
          <w:szCs w:val="22"/>
          <w:lang w:val="el-GR"/>
        </w:rPr>
      </w:pPr>
    </w:p>
    <w:p w:rsidR="004F7A9E" w:rsidRPr="002562F9" w:rsidRDefault="004F7A9E" w:rsidP="008179B8">
      <w:pPr>
        <w:pStyle w:val="listindentnospace"/>
        <w:ind w:left="360"/>
        <w:jc w:val="both"/>
        <w:rPr>
          <w:rFonts w:ascii="Arial" w:hAnsi="Arial" w:cs="Arial"/>
          <w:color w:val="000000"/>
          <w:sz w:val="22"/>
          <w:szCs w:val="22"/>
          <w:lang w:val="el-GR"/>
        </w:rPr>
      </w:pPr>
      <w:r w:rsidRPr="002562F9">
        <w:rPr>
          <w:rFonts w:ascii="Arial" w:hAnsi="Arial" w:cs="Arial"/>
          <w:color w:val="000000"/>
          <w:sz w:val="22"/>
          <w:szCs w:val="22"/>
          <w:lang w:val="el-GR"/>
        </w:rPr>
        <w:t>Σε ασθενείς με σοβαρή νεφρική ανεπάρκεια</w:t>
      </w:r>
      <w:r w:rsidRPr="002562F9">
        <w:rPr>
          <w:rFonts w:ascii="Arial" w:hAnsi="Arial" w:cs="Arial"/>
          <w:color w:val="000000"/>
          <w:sz w:val="22"/>
          <w:szCs w:val="22"/>
          <w:lang w:val="el-GR" w:eastAsia="en-GB"/>
        </w:rPr>
        <w:t xml:space="preserve"> (κάθαρση κρεατινίνης μικρότερη από 30 </w:t>
      </w:r>
      <w:r w:rsidRPr="002562F9">
        <w:rPr>
          <w:rFonts w:ascii="Arial" w:hAnsi="Arial" w:cs="Arial"/>
          <w:color w:val="000000"/>
          <w:sz w:val="22"/>
          <w:szCs w:val="22"/>
          <w:lang w:eastAsia="en-GB"/>
        </w:rPr>
        <w:t>ml</w:t>
      </w:r>
      <w:r w:rsidRPr="002562F9">
        <w:rPr>
          <w:rFonts w:ascii="Arial" w:hAnsi="Arial" w:cs="Arial"/>
          <w:color w:val="000000"/>
          <w:sz w:val="22"/>
          <w:szCs w:val="22"/>
          <w:lang w:val="el-GR" w:eastAsia="en-GB"/>
        </w:rPr>
        <w:t>/</w:t>
      </w:r>
      <w:r w:rsidRPr="002562F9">
        <w:rPr>
          <w:rFonts w:ascii="Arial" w:hAnsi="Arial" w:cs="Arial"/>
          <w:color w:val="000000"/>
          <w:sz w:val="22"/>
          <w:szCs w:val="22"/>
          <w:lang w:eastAsia="en-GB"/>
        </w:rPr>
        <w:t>min</w:t>
      </w:r>
      <w:r w:rsidRPr="002562F9">
        <w:rPr>
          <w:rFonts w:ascii="Arial" w:hAnsi="Arial" w:cs="Arial"/>
          <w:color w:val="000000"/>
          <w:sz w:val="22"/>
          <w:szCs w:val="22"/>
          <w:lang w:val="el-GR" w:eastAsia="en-GB"/>
        </w:rPr>
        <w:t>),</w:t>
      </w:r>
      <w:r w:rsidRPr="002562F9">
        <w:rPr>
          <w:rFonts w:ascii="Arial" w:hAnsi="Arial" w:cs="Arial"/>
          <w:color w:val="000000"/>
          <w:sz w:val="22"/>
          <w:szCs w:val="22"/>
          <w:lang w:val="el-GR"/>
        </w:rPr>
        <w:t xml:space="preserve"> </w:t>
      </w:r>
      <w:r w:rsidRPr="002562F9">
        <w:rPr>
          <w:rStyle w:val="CSIchar"/>
          <w:rFonts w:ascii="Arial" w:hAnsi="Arial" w:cs="Arial"/>
          <w:color w:val="000000"/>
          <w:sz w:val="22"/>
          <w:szCs w:val="22"/>
          <w:shd w:val="clear" w:color="auto" w:fill="auto"/>
          <w:lang w:val="el-GR"/>
        </w:rPr>
        <w:t xml:space="preserve">η δόση θα πρέπει να μειώνεται </w:t>
      </w:r>
      <w:r w:rsidR="001B3BF2">
        <w:rPr>
          <w:rStyle w:val="CSIchar"/>
          <w:rFonts w:ascii="Arial" w:hAnsi="Arial" w:cs="Arial"/>
          <w:color w:val="000000"/>
          <w:sz w:val="22"/>
          <w:szCs w:val="22"/>
          <w:shd w:val="clear" w:color="auto" w:fill="auto"/>
          <w:lang w:val="el-GR"/>
        </w:rPr>
        <w:t xml:space="preserve">συνήθως </w:t>
      </w:r>
      <w:r w:rsidRPr="002562F9">
        <w:rPr>
          <w:rStyle w:val="CSIchar"/>
          <w:rFonts w:ascii="Arial" w:hAnsi="Arial" w:cs="Arial"/>
          <w:color w:val="000000"/>
          <w:sz w:val="22"/>
          <w:szCs w:val="22"/>
          <w:shd w:val="clear" w:color="auto" w:fill="auto"/>
          <w:lang w:val="el-GR"/>
        </w:rPr>
        <w:t>κατά 25 έως 33%</w:t>
      </w:r>
      <w:r w:rsidRPr="002562F9">
        <w:rPr>
          <w:rFonts w:ascii="Arial" w:hAnsi="Arial" w:cs="Arial"/>
          <w:color w:val="000000"/>
          <w:sz w:val="22"/>
          <w:szCs w:val="22"/>
          <w:lang w:val="el-GR"/>
        </w:rPr>
        <w:t xml:space="preserve"> </w:t>
      </w:r>
      <w:r w:rsidR="001B3BF2">
        <w:rPr>
          <w:rFonts w:ascii="Arial" w:hAnsi="Arial" w:cs="Arial"/>
          <w:color w:val="000000"/>
          <w:sz w:val="22"/>
          <w:szCs w:val="22"/>
          <w:lang w:val="el-GR"/>
        </w:rPr>
        <w:t xml:space="preserve">κατά περίπτωση </w:t>
      </w:r>
      <w:r w:rsidRPr="002562F9">
        <w:rPr>
          <w:rFonts w:ascii="Arial" w:hAnsi="Arial" w:cs="Arial"/>
          <w:color w:val="000000"/>
          <w:sz w:val="22"/>
          <w:szCs w:val="22"/>
          <w:lang w:val="el-GR"/>
        </w:rPr>
        <w:t>(βλέπε παραγράφους 4.4 και 5.2).</w:t>
      </w:r>
    </w:p>
    <w:p w:rsidR="004F7A9E" w:rsidRPr="002562F9" w:rsidRDefault="004F7A9E" w:rsidP="008179B8">
      <w:pPr>
        <w:pStyle w:val="ListEnd"/>
        <w:jc w:val="both"/>
        <w:rPr>
          <w:rFonts w:ascii="Arial" w:hAnsi="Arial" w:cs="Arial"/>
          <w:color w:val="000000"/>
          <w:sz w:val="22"/>
          <w:szCs w:val="22"/>
          <w:lang w:val="el-GR"/>
        </w:rPr>
      </w:pPr>
    </w:p>
    <w:p w:rsidR="004F7A9E" w:rsidRPr="002562F9" w:rsidRDefault="004F7A9E" w:rsidP="008179B8">
      <w:pPr>
        <w:jc w:val="both"/>
        <w:rPr>
          <w:rFonts w:ascii="Arial" w:hAnsi="Arial" w:cs="Arial"/>
          <w:i/>
          <w:color w:val="000000"/>
          <w:sz w:val="22"/>
          <w:szCs w:val="22"/>
          <w:lang w:val="el-GR"/>
        </w:rPr>
      </w:pPr>
      <w:r w:rsidRPr="002562F9">
        <w:rPr>
          <w:rFonts w:ascii="Arial" w:hAnsi="Arial" w:cs="Arial"/>
          <w:i/>
          <w:color w:val="000000"/>
          <w:sz w:val="22"/>
          <w:szCs w:val="22"/>
          <w:lang w:val="el-GR"/>
        </w:rPr>
        <w:t xml:space="preserve">Αντιμετώπιση θρομβοεμβολικώνεπεισοδίων, ασταθούς στηθάγχης και εμφράγματος του μυοκαρδίου χωρίς κύμα </w:t>
      </w:r>
      <w:r w:rsidRPr="002562F9">
        <w:rPr>
          <w:rFonts w:ascii="Arial" w:hAnsi="Arial" w:cs="Arial"/>
          <w:i/>
          <w:color w:val="000000"/>
          <w:sz w:val="22"/>
          <w:szCs w:val="22"/>
        </w:rPr>
        <w:t>Q</w:t>
      </w:r>
    </w:p>
    <w:p w:rsidR="004F7A9E" w:rsidRPr="002562F9" w:rsidRDefault="004F7A9E" w:rsidP="008179B8">
      <w:pPr>
        <w:rPr>
          <w:rFonts w:ascii="Arial" w:hAnsi="Arial" w:cs="Arial"/>
          <w:color w:val="000000"/>
          <w:sz w:val="22"/>
          <w:szCs w:val="22"/>
          <w:lang w:val="el-GR"/>
        </w:rPr>
      </w:pPr>
    </w:p>
    <w:p w:rsidR="004F7A9E" w:rsidRPr="002562F9" w:rsidRDefault="004F7A9E" w:rsidP="008179B8">
      <w:pPr>
        <w:ind w:left="360"/>
        <w:jc w:val="both"/>
        <w:rPr>
          <w:rStyle w:val="CSIchar"/>
          <w:rFonts w:ascii="Arial" w:hAnsi="Arial" w:cs="Arial"/>
          <w:color w:val="000000"/>
          <w:sz w:val="22"/>
          <w:szCs w:val="22"/>
          <w:lang w:val="el-GR"/>
        </w:rPr>
      </w:pPr>
      <w:r w:rsidRPr="002562F9">
        <w:rPr>
          <w:rFonts w:ascii="Arial" w:hAnsi="Arial" w:cs="Arial"/>
          <w:color w:val="000000"/>
          <w:sz w:val="22"/>
          <w:szCs w:val="22"/>
          <w:lang w:val="el-GR"/>
        </w:rPr>
        <w:t xml:space="preserve">Σε ασθενείς με ήπια νεφρική ανεπάρκεια (κάθαρση κρεατινίνης μεγαλύτερη ή ίση με 50 </w:t>
      </w:r>
      <w:r w:rsidRPr="002562F9">
        <w:rPr>
          <w:rFonts w:ascii="Arial" w:hAnsi="Arial" w:cs="Arial"/>
          <w:color w:val="000000"/>
          <w:sz w:val="22"/>
          <w:szCs w:val="22"/>
        </w:rPr>
        <w:t>ml</w:t>
      </w:r>
      <w:r w:rsidRPr="002562F9">
        <w:rPr>
          <w:rFonts w:ascii="Arial" w:hAnsi="Arial" w:cs="Arial"/>
          <w:color w:val="000000"/>
          <w:sz w:val="22"/>
          <w:szCs w:val="22"/>
          <w:lang w:val="el-GR"/>
        </w:rPr>
        <w:t>/</w:t>
      </w:r>
      <w:r w:rsidRPr="002562F9">
        <w:rPr>
          <w:rFonts w:ascii="Arial" w:hAnsi="Arial" w:cs="Arial"/>
          <w:color w:val="000000"/>
          <w:sz w:val="22"/>
          <w:szCs w:val="22"/>
        </w:rPr>
        <w:t>min</w:t>
      </w:r>
      <w:r w:rsidRPr="002562F9">
        <w:rPr>
          <w:rFonts w:ascii="Arial" w:hAnsi="Arial" w:cs="Arial"/>
          <w:color w:val="000000"/>
          <w:sz w:val="22"/>
          <w:szCs w:val="22"/>
          <w:lang w:val="el-GR"/>
        </w:rPr>
        <w:t>), δεν απαιτείται μείωση της δόσης</w:t>
      </w:r>
      <w:r w:rsidRPr="002562F9">
        <w:rPr>
          <w:rStyle w:val="CSIchar"/>
          <w:rFonts w:ascii="Arial" w:hAnsi="Arial" w:cs="Arial"/>
          <w:color w:val="000000"/>
          <w:sz w:val="22"/>
          <w:szCs w:val="22"/>
          <w:shd w:val="clear" w:color="auto" w:fill="auto"/>
          <w:lang w:val="el-GR"/>
        </w:rPr>
        <w:t>.</w:t>
      </w:r>
    </w:p>
    <w:p w:rsidR="004F7A9E" w:rsidRPr="002562F9" w:rsidRDefault="004F7A9E" w:rsidP="008179B8">
      <w:pPr>
        <w:pStyle w:val="listindentnospace"/>
        <w:ind w:left="360"/>
        <w:jc w:val="both"/>
        <w:rPr>
          <w:rStyle w:val="CSIchar"/>
          <w:rFonts w:ascii="Arial" w:hAnsi="Arial" w:cs="Arial"/>
          <w:color w:val="000000"/>
          <w:sz w:val="22"/>
          <w:szCs w:val="22"/>
          <w:lang w:val="el-GR"/>
        </w:rPr>
      </w:pPr>
    </w:p>
    <w:p w:rsidR="004F7A9E" w:rsidRPr="002562F9" w:rsidRDefault="004F7A9E" w:rsidP="008179B8">
      <w:pPr>
        <w:pStyle w:val="listindentnospace"/>
        <w:ind w:left="360"/>
        <w:jc w:val="both"/>
        <w:rPr>
          <w:rStyle w:val="CSIchar"/>
          <w:rFonts w:ascii="Arial" w:hAnsi="Arial" w:cs="Arial"/>
          <w:color w:val="000000"/>
          <w:sz w:val="22"/>
          <w:szCs w:val="22"/>
          <w:lang w:val="el-GR"/>
        </w:rPr>
      </w:pPr>
      <w:r w:rsidRPr="002562F9">
        <w:rPr>
          <w:rFonts w:ascii="Arial" w:hAnsi="Arial" w:cs="Arial"/>
          <w:color w:val="000000"/>
          <w:sz w:val="22"/>
          <w:szCs w:val="22"/>
          <w:lang w:val="el-GR" w:eastAsia="en-GB"/>
        </w:rPr>
        <w:t>Η μέτρια και σοβαρή νεφρική ανεπάρκεια σχετίζονται με αυξημένη έκθεση στη ναδροπαρίνη. Οι ασθενείς αυτοί έχουν αυξημένο κίνδυνο θρομβοεμβολής και αιμορραγίας</w:t>
      </w:r>
      <w:r w:rsidRPr="002562F9">
        <w:rPr>
          <w:rFonts w:ascii="Arial" w:hAnsi="Arial" w:cs="Arial"/>
          <w:bCs/>
          <w:iCs/>
          <w:color w:val="000000"/>
          <w:sz w:val="22"/>
          <w:szCs w:val="22"/>
          <w:lang w:val="el-GR" w:eastAsia="en-GB"/>
        </w:rPr>
        <w:t>.</w:t>
      </w:r>
    </w:p>
    <w:p w:rsidR="004F7A9E" w:rsidRPr="002562F9" w:rsidRDefault="004F7A9E" w:rsidP="008179B8">
      <w:pPr>
        <w:pStyle w:val="listindentnospace"/>
        <w:ind w:left="360"/>
        <w:jc w:val="both"/>
        <w:rPr>
          <w:rStyle w:val="CSIchar"/>
          <w:rFonts w:ascii="Arial" w:hAnsi="Arial" w:cs="Arial"/>
          <w:color w:val="000000"/>
          <w:sz w:val="22"/>
          <w:szCs w:val="22"/>
          <w:lang w:val="el-GR"/>
        </w:rPr>
      </w:pPr>
    </w:p>
    <w:p w:rsidR="004F7A9E" w:rsidRPr="002562F9" w:rsidRDefault="004F7A9E" w:rsidP="008179B8">
      <w:pPr>
        <w:pStyle w:val="listindentnospace"/>
        <w:ind w:left="360"/>
        <w:jc w:val="both"/>
        <w:rPr>
          <w:rFonts w:ascii="Arial" w:hAnsi="Arial" w:cs="Arial"/>
          <w:color w:val="000000"/>
          <w:sz w:val="22"/>
          <w:szCs w:val="22"/>
          <w:lang w:val="el-GR"/>
        </w:rPr>
      </w:pPr>
      <w:r w:rsidRPr="002562F9">
        <w:rPr>
          <w:rFonts w:ascii="Arial" w:hAnsi="Arial" w:cs="Arial"/>
          <w:color w:val="000000"/>
          <w:sz w:val="22"/>
          <w:szCs w:val="22"/>
          <w:lang w:val="el-GR" w:eastAsia="en-GB"/>
        </w:rPr>
        <w:t>Σε ασθενείς με μέτρια νεφρική ανεπάρκεια</w:t>
      </w:r>
      <w:r w:rsidRPr="002562F9">
        <w:rPr>
          <w:rStyle w:val="CSIchar"/>
          <w:rFonts w:ascii="Arial" w:hAnsi="Arial" w:cs="Arial"/>
          <w:color w:val="000000"/>
          <w:sz w:val="22"/>
          <w:szCs w:val="22"/>
          <w:shd w:val="clear" w:color="auto" w:fill="auto"/>
          <w:lang w:val="el-GR"/>
        </w:rPr>
        <w:t xml:space="preserve"> (κάθαρση κρεατινίνης μεγαλύτερη ή ίση με 30 </w:t>
      </w:r>
      <w:r w:rsidRPr="002562F9">
        <w:rPr>
          <w:rStyle w:val="CSIchar"/>
          <w:rFonts w:ascii="Arial" w:hAnsi="Arial" w:cs="Arial"/>
          <w:color w:val="000000"/>
          <w:sz w:val="22"/>
          <w:szCs w:val="22"/>
          <w:shd w:val="clear" w:color="auto" w:fill="auto"/>
        </w:rPr>
        <w:t>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Pr="002562F9">
        <w:rPr>
          <w:rStyle w:val="CSIchar"/>
          <w:rFonts w:ascii="Arial" w:hAnsi="Arial" w:cs="Arial"/>
          <w:color w:val="000000"/>
          <w:sz w:val="22"/>
          <w:szCs w:val="22"/>
          <w:shd w:val="clear" w:color="auto" w:fill="auto"/>
          <w:lang w:val="el-GR"/>
        </w:rPr>
        <w:t xml:space="preserve"> και μικρότερη από 50</w:t>
      </w:r>
      <w:r w:rsidRPr="002562F9">
        <w:rPr>
          <w:rStyle w:val="CSIchar"/>
          <w:rFonts w:ascii="Arial" w:hAnsi="Arial" w:cs="Arial"/>
          <w:color w:val="000000"/>
          <w:sz w:val="22"/>
          <w:szCs w:val="22"/>
          <w:shd w:val="clear" w:color="auto" w:fill="auto"/>
        </w:rPr>
        <w:t> 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Pr="002562F9">
        <w:rPr>
          <w:rStyle w:val="CSIchar"/>
          <w:rFonts w:ascii="Arial" w:hAnsi="Arial" w:cs="Arial"/>
          <w:color w:val="000000"/>
          <w:sz w:val="22"/>
          <w:szCs w:val="22"/>
          <w:shd w:val="clear" w:color="auto" w:fill="auto"/>
          <w:lang w:val="el-GR"/>
        </w:rPr>
        <w:t xml:space="preserve">), </w:t>
      </w:r>
      <w:r w:rsidRPr="002562F9">
        <w:rPr>
          <w:rFonts w:ascii="Arial" w:hAnsi="Arial" w:cs="Arial"/>
          <w:color w:val="000000"/>
          <w:sz w:val="22"/>
          <w:szCs w:val="22"/>
          <w:lang w:val="el-GR" w:eastAsia="en-GB"/>
        </w:rPr>
        <w:t xml:space="preserve">εάν θεωρηθεί απαραίτητη η μείωση της δόσης από </w:t>
      </w:r>
      <w:r w:rsidRPr="002562F9">
        <w:rPr>
          <w:rFonts w:ascii="Arial" w:hAnsi="Arial" w:cs="Arial"/>
          <w:color w:val="000000"/>
          <w:sz w:val="22"/>
          <w:szCs w:val="22"/>
          <w:lang w:val="el-GR" w:eastAsia="en-GB"/>
        </w:rPr>
        <w:lastRenderedPageBreak/>
        <w:t xml:space="preserve">τον θεράποντα ιατρό, λαμβάνοντας υπ’ όψη τους ατομικούς παράγοντες κινδύνου αιμορραγίας και θρομβοεμβολής, </w:t>
      </w:r>
      <w:r w:rsidRPr="002562F9">
        <w:rPr>
          <w:rStyle w:val="CSIchar"/>
          <w:rFonts w:ascii="Arial" w:hAnsi="Arial" w:cs="Arial"/>
          <w:color w:val="000000"/>
          <w:sz w:val="22"/>
          <w:szCs w:val="22"/>
          <w:shd w:val="clear" w:color="auto" w:fill="auto"/>
          <w:lang w:val="el-GR"/>
        </w:rPr>
        <w:t>η δόση θα πρέπει να μειώνεται κατά 25 έως 33%</w:t>
      </w:r>
      <w:r w:rsidRPr="002562F9">
        <w:rPr>
          <w:rFonts w:ascii="Arial" w:hAnsi="Arial" w:cs="Arial"/>
          <w:color w:val="000000"/>
          <w:sz w:val="22"/>
          <w:szCs w:val="22"/>
          <w:lang w:val="el-GR"/>
        </w:rPr>
        <w:t xml:space="preserve"> (βλέπε παραγράφους 4.4 και 5.2).</w:t>
      </w:r>
    </w:p>
    <w:p w:rsidR="004F7A9E" w:rsidRPr="002562F9" w:rsidRDefault="004F7A9E" w:rsidP="008179B8">
      <w:pPr>
        <w:pStyle w:val="listindentnospace"/>
        <w:ind w:left="360"/>
        <w:jc w:val="both"/>
        <w:rPr>
          <w:rStyle w:val="CSIchar"/>
          <w:rFonts w:ascii="Arial" w:hAnsi="Arial" w:cs="Arial"/>
          <w:color w:val="000000"/>
          <w:sz w:val="22"/>
          <w:szCs w:val="22"/>
          <w:lang w:val="el-GR"/>
        </w:rPr>
      </w:pPr>
    </w:p>
    <w:p w:rsidR="004F7A9E" w:rsidRPr="002562F9" w:rsidRDefault="004F7A9E" w:rsidP="008179B8">
      <w:pPr>
        <w:pStyle w:val="listindentnospace"/>
        <w:ind w:left="360"/>
        <w:jc w:val="both"/>
        <w:rPr>
          <w:rFonts w:ascii="Arial" w:hAnsi="Arial" w:cs="Arial"/>
          <w:color w:val="000000"/>
          <w:sz w:val="22"/>
          <w:szCs w:val="22"/>
          <w:lang w:val="el-GR"/>
        </w:rPr>
      </w:pPr>
      <w:r w:rsidRPr="002562F9">
        <w:rPr>
          <w:rStyle w:val="CSIchar"/>
          <w:rFonts w:ascii="Arial" w:hAnsi="Arial" w:cs="Arial"/>
          <w:color w:val="000000"/>
          <w:sz w:val="22"/>
          <w:szCs w:val="22"/>
          <w:shd w:val="clear" w:color="auto" w:fill="auto"/>
          <w:lang w:val="el-GR"/>
        </w:rPr>
        <w:t>Η ναδροπαρίνη αντενδείκνυται σε ασθενείς με σοβαρή νεφρική ανεπάρκεια</w:t>
      </w:r>
      <w:r w:rsidRPr="002562F9">
        <w:rPr>
          <w:rFonts w:ascii="Arial" w:hAnsi="Arial" w:cs="Arial"/>
          <w:color w:val="000000"/>
          <w:sz w:val="22"/>
          <w:szCs w:val="22"/>
          <w:lang w:val="el-GR"/>
        </w:rPr>
        <w:t xml:space="preserve"> (βλέπε παραγράφους </w:t>
      </w:r>
      <w:r w:rsidRPr="002562F9">
        <w:rPr>
          <w:rFonts w:ascii="Arial" w:hAnsi="Arial"/>
          <w:color w:val="000000"/>
          <w:sz w:val="22"/>
          <w:lang w:val="el-GR"/>
        </w:rPr>
        <w:t>4.3</w:t>
      </w:r>
      <w:r w:rsidRPr="002562F9">
        <w:rPr>
          <w:rFonts w:ascii="Arial" w:hAnsi="Arial" w:cs="Arial"/>
          <w:color w:val="000000"/>
          <w:sz w:val="22"/>
          <w:szCs w:val="22"/>
          <w:lang w:val="el-GR"/>
        </w:rPr>
        <w:t>, 4.4 και 5.2).</w:t>
      </w:r>
    </w:p>
    <w:p w:rsidR="00581D28" w:rsidRPr="002562F9" w:rsidRDefault="00581D28" w:rsidP="008179B8">
      <w:pPr>
        <w:pStyle w:val="BridgeheadGDS"/>
      </w:pPr>
    </w:p>
    <w:p w:rsidR="00196B8B" w:rsidRPr="002562F9" w:rsidRDefault="00570C2C" w:rsidP="004E2B7C">
      <w:pPr>
        <w:pStyle w:val="BridgeheadGDS"/>
      </w:pPr>
      <w:r w:rsidRPr="002562F9">
        <w:t>Ηπατική ανεπάρκεια</w:t>
      </w:r>
    </w:p>
    <w:p w:rsidR="00196B8B" w:rsidRPr="002562F9" w:rsidRDefault="00196B8B" w:rsidP="008179B8">
      <w:pPr>
        <w:jc w:val="both"/>
        <w:rPr>
          <w:rFonts w:ascii="Arial" w:hAnsi="Arial" w:cs="Arial"/>
          <w:color w:val="000000"/>
          <w:sz w:val="22"/>
          <w:szCs w:val="22"/>
        </w:rPr>
      </w:pPr>
    </w:p>
    <w:p w:rsidR="00196B8B" w:rsidRPr="002562F9" w:rsidRDefault="00570C2C" w:rsidP="008179B8">
      <w:pPr>
        <w:jc w:val="both"/>
        <w:rPr>
          <w:rFonts w:ascii="Arial" w:hAnsi="Arial" w:cs="Arial"/>
          <w:color w:val="000000"/>
          <w:sz w:val="22"/>
          <w:szCs w:val="22"/>
          <w:lang w:val="el-GR"/>
        </w:rPr>
      </w:pPr>
      <w:r w:rsidRPr="002562F9">
        <w:rPr>
          <w:rFonts w:ascii="Arial" w:hAnsi="Arial" w:cs="Arial"/>
          <w:color w:val="000000"/>
          <w:sz w:val="22"/>
          <w:szCs w:val="22"/>
          <w:lang w:val="el-GR"/>
        </w:rPr>
        <w:t>Δεν υπάρχουν μελέτες σε ασθενείς με ηπατική ανεπάρκεια</w:t>
      </w:r>
      <w:r w:rsidR="00196B8B" w:rsidRPr="002562F9">
        <w:rPr>
          <w:rFonts w:ascii="Arial" w:hAnsi="Arial" w:cs="Arial"/>
          <w:color w:val="000000"/>
          <w:sz w:val="22"/>
          <w:szCs w:val="22"/>
          <w:lang w:val="el-GR"/>
        </w:rPr>
        <w:t>.</w:t>
      </w:r>
    </w:p>
    <w:p w:rsidR="00196B8B" w:rsidRPr="002562F9" w:rsidRDefault="00196B8B" w:rsidP="008179B8">
      <w:pPr>
        <w:jc w:val="both"/>
        <w:rPr>
          <w:rFonts w:ascii="Arial" w:hAnsi="Arial" w:cs="Arial"/>
          <w:b/>
          <w:color w:val="000000"/>
          <w:sz w:val="22"/>
          <w:szCs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4.3  </w:t>
      </w:r>
      <w:r w:rsidR="001A0274" w:rsidRPr="002562F9">
        <w:rPr>
          <w:rFonts w:ascii="Arial" w:hAnsi="Arial"/>
          <w:b/>
          <w:color w:val="000000"/>
          <w:sz w:val="22"/>
          <w:lang w:val="el-GR"/>
        </w:rPr>
        <w:tab/>
      </w:r>
      <w:r w:rsidRPr="002562F9">
        <w:rPr>
          <w:rFonts w:ascii="Arial" w:hAnsi="Arial"/>
          <w:b/>
          <w:color w:val="000000"/>
          <w:sz w:val="22"/>
          <w:lang w:val="el-GR"/>
        </w:rPr>
        <w:t>Αντενδείξεις</w:t>
      </w:r>
    </w:p>
    <w:p w:rsidR="0086736F" w:rsidRPr="002562F9" w:rsidRDefault="0086736F" w:rsidP="008179B8">
      <w:pPr>
        <w:jc w:val="both"/>
        <w:rPr>
          <w:rFonts w:ascii="Arial" w:hAnsi="Arial"/>
          <w:b/>
          <w:color w:val="000000"/>
          <w:sz w:val="22"/>
          <w:lang w:val="el-GR"/>
        </w:rPr>
      </w:pPr>
    </w:p>
    <w:p w:rsidR="0086736F" w:rsidRPr="00AF04BB"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Υπερευαισθησία</w:t>
      </w:r>
      <w:r w:rsidRPr="00AF04BB">
        <w:rPr>
          <w:rFonts w:ascii="Arial" w:hAnsi="Arial"/>
          <w:color w:val="000000"/>
          <w:sz w:val="22"/>
          <w:lang w:val="el-GR"/>
        </w:rPr>
        <w:t xml:space="preserve"> </w:t>
      </w:r>
      <w:r w:rsidRPr="002562F9">
        <w:rPr>
          <w:rFonts w:ascii="Arial" w:hAnsi="Arial"/>
          <w:color w:val="000000"/>
          <w:sz w:val="22"/>
          <w:lang w:val="el-GR"/>
        </w:rPr>
        <w:t>στη</w:t>
      </w:r>
      <w:r w:rsidRPr="00AF04BB">
        <w:rPr>
          <w:rFonts w:ascii="Arial" w:hAnsi="Arial"/>
          <w:color w:val="000000"/>
          <w:sz w:val="22"/>
          <w:lang w:val="el-GR"/>
        </w:rPr>
        <w:t xml:space="preserve"> </w:t>
      </w:r>
      <w:r w:rsidR="00515ADC" w:rsidRPr="00AF04BB">
        <w:rPr>
          <w:rFonts w:ascii="Arial" w:hAnsi="Arial"/>
          <w:color w:val="000000"/>
          <w:sz w:val="22"/>
          <w:lang w:val="el-GR"/>
        </w:rPr>
        <w:t>ναδροπαρίνη</w:t>
      </w:r>
      <w:r w:rsidR="00C36AEC">
        <w:rPr>
          <w:rFonts w:ascii="Arial" w:hAnsi="Arial"/>
          <w:color w:val="000000"/>
          <w:sz w:val="22"/>
          <w:lang w:val="el-GR"/>
        </w:rPr>
        <w:t xml:space="preserve"> ή σε οποιοδήποτε από τα έκδοχα</w:t>
      </w:r>
      <w:r w:rsidRPr="00AF04BB">
        <w:rPr>
          <w:rFonts w:ascii="Arial" w:hAnsi="Arial"/>
          <w:color w:val="000000"/>
          <w:sz w:val="22"/>
          <w:lang w:val="el-GR"/>
        </w:rPr>
        <w:t>.</w:t>
      </w:r>
    </w:p>
    <w:p w:rsidR="0086736F" w:rsidRPr="002562F9" w:rsidRDefault="0086736F" w:rsidP="008179B8">
      <w:pPr>
        <w:numPr>
          <w:ilvl w:val="0"/>
          <w:numId w:val="23"/>
        </w:numPr>
        <w:jc w:val="both"/>
        <w:rPr>
          <w:rFonts w:ascii="Arial" w:hAnsi="Arial"/>
          <w:i/>
          <w:color w:val="000000"/>
          <w:sz w:val="22"/>
          <w:lang w:val="el-GR"/>
        </w:rPr>
      </w:pPr>
      <w:r w:rsidRPr="002562F9">
        <w:rPr>
          <w:rFonts w:ascii="Arial" w:hAnsi="Arial"/>
          <w:color w:val="000000"/>
          <w:sz w:val="22"/>
          <w:lang w:val="el-GR"/>
        </w:rPr>
        <w:t xml:space="preserve">Ιστορικό </w:t>
      </w:r>
      <w:r w:rsidR="004E2B7C">
        <w:rPr>
          <w:rFonts w:ascii="Arial" w:hAnsi="Arial"/>
          <w:sz w:val="22"/>
          <w:lang w:val="el-GR"/>
        </w:rPr>
        <w:t xml:space="preserve"> θρομβοπενία</w:t>
      </w:r>
      <w:r w:rsidR="00AC7CF1">
        <w:rPr>
          <w:rFonts w:ascii="Arial" w:hAnsi="Arial"/>
          <w:sz w:val="22"/>
          <w:lang w:val="el-GR"/>
        </w:rPr>
        <w:t xml:space="preserve">ς με </w:t>
      </w:r>
      <w:r w:rsidRPr="002562F9">
        <w:rPr>
          <w:rFonts w:ascii="Arial" w:hAnsi="Arial"/>
          <w:color w:val="000000"/>
          <w:sz w:val="22"/>
          <w:lang w:val="el-GR"/>
        </w:rPr>
        <w:t xml:space="preserve"> </w:t>
      </w:r>
      <w:r w:rsidR="00515ADC" w:rsidRPr="002562F9">
        <w:rPr>
          <w:rFonts w:ascii="Arial" w:hAnsi="Arial"/>
          <w:color w:val="000000"/>
          <w:sz w:val="22"/>
          <w:lang w:val="el-GR"/>
        </w:rPr>
        <w:t>ναδροπαρίνη</w:t>
      </w:r>
      <w:r w:rsidRPr="002562F9">
        <w:rPr>
          <w:rFonts w:ascii="Arial" w:hAnsi="Arial"/>
          <w:color w:val="000000"/>
          <w:sz w:val="22"/>
          <w:lang w:val="el-GR"/>
        </w:rPr>
        <w:t xml:space="preserve"> (βλ</w:t>
      </w:r>
      <w:r w:rsidR="00471F43" w:rsidRPr="002562F9">
        <w:rPr>
          <w:rFonts w:ascii="Arial" w:hAnsi="Arial"/>
          <w:color w:val="000000"/>
          <w:sz w:val="22"/>
          <w:lang w:val="el-GR"/>
        </w:rPr>
        <w:t>έπε</w:t>
      </w:r>
      <w:r w:rsidRPr="002562F9">
        <w:rPr>
          <w:rFonts w:ascii="Arial" w:hAnsi="Arial"/>
          <w:color w:val="000000"/>
          <w:sz w:val="22"/>
          <w:lang w:val="el-GR"/>
        </w:rPr>
        <w:t xml:space="preserve"> </w:t>
      </w:r>
      <w:r w:rsidR="003B7D13" w:rsidRPr="002562F9">
        <w:rPr>
          <w:rFonts w:ascii="Arial" w:hAnsi="Arial"/>
          <w:color w:val="000000"/>
          <w:sz w:val="22"/>
          <w:lang w:val="el-GR"/>
        </w:rPr>
        <w:t xml:space="preserve">παράγραφο </w:t>
      </w:r>
      <w:r w:rsidRPr="002562F9">
        <w:rPr>
          <w:rFonts w:ascii="Arial" w:hAnsi="Arial"/>
          <w:color w:val="000000"/>
          <w:sz w:val="22"/>
          <w:lang w:val="el-GR"/>
        </w:rPr>
        <w:t>4.4.1).</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 xml:space="preserve">Αιμορραγία ή αυξημένος κίνδυνος αιμορραγίας </w:t>
      </w:r>
      <w:r w:rsidR="00823D20" w:rsidRPr="002562F9">
        <w:rPr>
          <w:rFonts w:ascii="Arial" w:hAnsi="Arial"/>
          <w:color w:val="000000"/>
          <w:sz w:val="22"/>
          <w:lang w:val="el-GR"/>
        </w:rPr>
        <w:t>σχετιζόμενος</w:t>
      </w:r>
      <w:r w:rsidRPr="002562F9">
        <w:rPr>
          <w:rFonts w:ascii="Arial" w:hAnsi="Arial"/>
          <w:color w:val="000000"/>
          <w:sz w:val="22"/>
          <w:lang w:val="el-GR"/>
        </w:rPr>
        <w:t xml:space="preserve"> με διαταραχές της αιμόστασης εκτός από διάχυτη ενδοαγγειακή πήξη που δεν προκαλείται από την ηπαρίνη.</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 xml:space="preserve">Οργανική βλάβη που </w:t>
      </w:r>
      <w:r w:rsidR="00823D20" w:rsidRPr="002562F9">
        <w:rPr>
          <w:rFonts w:ascii="Arial" w:hAnsi="Arial"/>
          <w:color w:val="000000"/>
          <w:sz w:val="22"/>
          <w:lang w:val="el-GR"/>
        </w:rPr>
        <w:t xml:space="preserve">ενδέχεται </w:t>
      </w:r>
      <w:r w:rsidRPr="002562F9">
        <w:rPr>
          <w:rFonts w:ascii="Arial" w:hAnsi="Arial"/>
          <w:color w:val="000000"/>
          <w:sz w:val="22"/>
          <w:lang w:val="el-GR"/>
        </w:rPr>
        <w:t>να αιμορραγήσει (όπως ενεργό πεπτικό έλκος)</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 xml:space="preserve">Αιμορραγικό </w:t>
      </w:r>
      <w:r w:rsidR="00B142AC" w:rsidRPr="002562F9">
        <w:rPr>
          <w:rFonts w:ascii="Arial" w:hAnsi="Arial"/>
          <w:color w:val="000000"/>
          <w:sz w:val="22"/>
          <w:lang w:val="el-GR"/>
        </w:rPr>
        <w:t xml:space="preserve">αγγειακό </w:t>
      </w:r>
      <w:r w:rsidRPr="002562F9">
        <w:rPr>
          <w:rFonts w:ascii="Arial" w:hAnsi="Arial"/>
          <w:color w:val="000000"/>
          <w:sz w:val="22"/>
          <w:lang w:val="el-GR"/>
        </w:rPr>
        <w:t>εγκεφαλικό επεισόδιο.</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Οξεία ενδοκαρδίτιδα βακτηριακής αιτιολογίας.</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 xml:space="preserve">Σε ασθενείς με σοβαρή νεφρική ανεπάρκεια (κάθαρση κρεατινίνης &lt; 30 </w:t>
      </w:r>
      <w:r w:rsidRPr="002562F9">
        <w:rPr>
          <w:rFonts w:ascii="Arial" w:hAnsi="Arial"/>
          <w:color w:val="000000"/>
          <w:sz w:val="22"/>
          <w:lang w:val="en-US"/>
        </w:rPr>
        <w:t>mL</w:t>
      </w:r>
      <w:r w:rsidRPr="002562F9">
        <w:rPr>
          <w:rFonts w:ascii="Arial" w:hAnsi="Arial"/>
          <w:color w:val="000000"/>
          <w:sz w:val="22"/>
          <w:lang w:val="el-GR"/>
        </w:rPr>
        <w:t>/</w:t>
      </w:r>
      <w:r w:rsidRPr="002562F9">
        <w:rPr>
          <w:rFonts w:ascii="Arial" w:hAnsi="Arial"/>
          <w:color w:val="000000"/>
          <w:sz w:val="22"/>
          <w:lang w:val="en-US"/>
        </w:rPr>
        <w:t>min</w:t>
      </w:r>
      <w:r w:rsidRPr="002562F9">
        <w:rPr>
          <w:rFonts w:ascii="Arial" w:hAnsi="Arial"/>
          <w:color w:val="000000"/>
          <w:sz w:val="22"/>
          <w:lang w:val="el-GR"/>
        </w:rPr>
        <w:t>) που έχουν ανάγκη θεραπευτικής αγωγής</w:t>
      </w:r>
      <w:r w:rsidR="00E31B95">
        <w:rPr>
          <w:rFonts w:ascii="Arial" w:hAnsi="Arial"/>
          <w:color w:val="000000"/>
          <w:sz w:val="22"/>
          <w:lang w:val="el-GR"/>
        </w:rPr>
        <w:t xml:space="preserve"> για την αντιμετώπιση θρομβοεμβολικών επεισοδίων ασταθούς στηθάγχης και εμφράγματος του μυοκαρδίου χωρίς κύμα </w:t>
      </w:r>
      <w:r w:rsidR="00E31B95">
        <w:rPr>
          <w:rFonts w:ascii="Arial" w:hAnsi="Arial"/>
          <w:color w:val="000000"/>
          <w:sz w:val="22"/>
          <w:lang w:val="en-US"/>
        </w:rPr>
        <w:t>Q</w:t>
      </w:r>
      <w:r w:rsidR="00E31B95">
        <w:rPr>
          <w:rFonts w:ascii="Arial" w:hAnsi="Arial"/>
          <w:color w:val="000000"/>
          <w:sz w:val="22"/>
          <w:lang w:val="el-GR"/>
        </w:rPr>
        <w:t>.</w:t>
      </w:r>
      <w:r w:rsidRPr="002562F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4.4  </w:t>
      </w:r>
      <w:r w:rsidR="001A0274" w:rsidRPr="002562F9">
        <w:rPr>
          <w:rFonts w:ascii="Arial" w:hAnsi="Arial"/>
          <w:b/>
          <w:color w:val="000000"/>
          <w:sz w:val="22"/>
          <w:lang w:val="el-GR"/>
        </w:rPr>
        <w:tab/>
      </w:r>
      <w:r w:rsidRPr="002562F9">
        <w:rPr>
          <w:rFonts w:ascii="Arial" w:hAnsi="Arial"/>
          <w:b/>
          <w:color w:val="000000"/>
          <w:sz w:val="22"/>
          <w:lang w:val="el-GR"/>
        </w:rPr>
        <w:t>Ειδικές προειδοποιήσεις και προφυλάξεις κατά τη χρήση</w:t>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4.4.1 </w:t>
      </w:r>
      <w:r w:rsidR="001A0274" w:rsidRPr="002562F9">
        <w:rPr>
          <w:rFonts w:ascii="Arial" w:hAnsi="Arial"/>
          <w:b/>
          <w:color w:val="000000"/>
          <w:sz w:val="22"/>
          <w:lang w:val="el-GR"/>
        </w:rPr>
        <w:tab/>
      </w:r>
      <w:r w:rsidRPr="002562F9">
        <w:rPr>
          <w:rFonts w:ascii="Arial" w:hAnsi="Arial"/>
          <w:b/>
          <w:color w:val="000000"/>
          <w:sz w:val="22"/>
          <w:lang w:val="el-GR"/>
        </w:rPr>
        <w:t>Ειδικές προειδοποιήσεις</w:t>
      </w:r>
    </w:p>
    <w:p w:rsidR="0086736F" w:rsidRPr="002562F9" w:rsidRDefault="0086736F" w:rsidP="008179B8">
      <w:pPr>
        <w:ind w:left="360" w:hanging="360"/>
        <w:jc w:val="both"/>
        <w:rPr>
          <w:rFonts w:ascii="Arial" w:hAnsi="Arial"/>
          <w:color w:val="000000"/>
          <w:sz w:val="22"/>
          <w:lang w:val="el-GR"/>
        </w:rPr>
      </w:pPr>
    </w:p>
    <w:p w:rsidR="0086736F" w:rsidRPr="002562F9" w:rsidRDefault="00AE1893" w:rsidP="008179B8">
      <w:pPr>
        <w:jc w:val="both"/>
        <w:rPr>
          <w:rFonts w:ascii="Arial" w:hAnsi="Arial"/>
          <w:b/>
          <w:color w:val="000000"/>
          <w:sz w:val="22"/>
          <w:lang w:val="el-GR"/>
        </w:rPr>
      </w:pPr>
      <w:r w:rsidRPr="002562F9">
        <w:rPr>
          <w:rFonts w:ascii="Arial" w:hAnsi="Arial"/>
          <w:i/>
          <w:color w:val="000000"/>
          <w:sz w:val="22"/>
          <w:u w:val="single"/>
          <w:lang w:val="el-GR"/>
        </w:rPr>
        <w:t>Θρομβο</w:t>
      </w:r>
      <w:r w:rsidR="004E2B7C">
        <w:rPr>
          <w:rFonts w:ascii="Arial" w:hAnsi="Arial"/>
          <w:i/>
          <w:color w:val="000000"/>
          <w:sz w:val="22"/>
          <w:u w:val="single"/>
          <w:lang w:val="el-GR"/>
        </w:rPr>
        <w:t>πενία</w:t>
      </w:r>
      <w:r w:rsidR="00B80530">
        <w:rPr>
          <w:rFonts w:ascii="Arial" w:hAnsi="Arial"/>
          <w:i/>
          <w:color w:val="000000"/>
          <w:sz w:val="22"/>
          <w:u w:val="single"/>
          <w:lang w:val="el-GR"/>
        </w:rPr>
        <w:t xml:space="preserve"> επαγώμενη από την ηπαρίνη</w:t>
      </w:r>
      <w:r w:rsidR="00AE5C5F" w:rsidRPr="00AE5C5F">
        <w:rPr>
          <w:rFonts w:ascii="Arial" w:hAnsi="Arial"/>
          <w:i/>
          <w:color w:val="000000"/>
          <w:sz w:val="22"/>
          <w:u w:val="single"/>
          <w:lang w:val="el-GR"/>
        </w:rPr>
        <w:t>:</w:t>
      </w:r>
      <w:r w:rsidR="00AE5C5F" w:rsidRPr="00AF04BB">
        <w:rPr>
          <w:rFonts w:ascii="Arial" w:hAnsi="Arial"/>
          <w:color w:val="000000"/>
          <w:sz w:val="22"/>
          <w:lang w:val="el-GR"/>
        </w:rPr>
        <w:t xml:space="preserve"> </w:t>
      </w:r>
      <w:r w:rsidR="00B142AC" w:rsidRPr="002562F9">
        <w:rPr>
          <w:rFonts w:ascii="Arial" w:hAnsi="Arial"/>
          <w:color w:val="000000"/>
          <w:sz w:val="22"/>
          <w:lang w:val="el-GR"/>
        </w:rPr>
        <w:t>Εξαιτίας της πιθανότητας θρομβοκπενίας προκαλούμενης από ηπαρίνη</w:t>
      </w:r>
      <w:r w:rsidR="00C0443C" w:rsidRPr="002562F9">
        <w:rPr>
          <w:rFonts w:ascii="Arial" w:hAnsi="Arial"/>
          <w:color w:val="000000"/>
          <w:sz w:val="22"/>
          <w:lang w:val="el-GR"/>
        </w:rPr>
        <w:t xml:space="preserve"> (ΗΙΤ)</w:t>
      </w:r>
      <w:r w:rsidR="0086736F" w:rsidRPr="002562F9">
        <w:rPr>
          <w:rFonts w:ascii="Arial" w:hAnsi="Arial"/>
          <w:color w:val="000000"/>
          <w:sz w:val="22"/>
          <w:lang w:val="el-GR"/>
        </w:rPr>
        <w:t xml:space="preserve">, </w:t>
      </w:r>
      <w:r w:rsidR="0086736F" w:rsidRPr="002562F9">
        <w:rPr>
          <w:rFonts w:ascii="Arial" w:hAnsi="Arial"/>
          <w:b/>
          <w:color w:val="000000"/>
          <w:sz w:val="22"/>
          <w:lang w:val="el-GR"/>
        </w:rPr>
        <w:t>θα πρέπει να παρακολούθ</w:t>
      </w:r>
      <w:r w:rsidR="00E31B95">
        <w:rPr>
          <w:rFonts w:ascii="Arial" w:hAnsi="Arial"/>
          <w:b/>
          <w:color w:val="000000"/>
          <w:sz w:val="22"/>
          <w:lang w:val="el-GR"/>
        </w:rPr>
        <w:t>είται</w:t>
      </w:r>
      <w:r w:rsidR="0086736F" w:rsidRPr="002562F9">
        <w:rPr>
          <w:rFonts w:ascii="Arial" w:hAnsi="Arial"/>
          <w:b/>
          <w:color w:val="000000"/>
          <w:sz w:val="22"/>
          <w:lang w:val="el-GR"/>
        </w:rPr>
        <w:t xml:space="preserve"> ο αριθμ</w:t>
      </w:r>
      <w:r w:rsidR="00E31B95">
        <w:rPr>
          <w:rFonts w:ascii="Arial" w:hAnsi="Arial"/>
          <w:b/>
          <w:color w:val="000000"/>
          <w:sz w:val="22"/>
          <w:lang w:val="el-GR"/>
        </w:rPr>
        <w:t>ός</w:t>
      </w:r>
      <w:r w:rsidR="0086736F" w:rsidRPr="002562F9">
        <w:rPr>
          <w:rFonts w:ascii="Arial" w:hAnsi="Arial"/>
          <w:b/>
          <w:color w:val="000000"/>
          <w:sz w:val="22"/>
          <w:lang w:val="el-GR"/>
        </w:rPr>
        <w:t xml:space="preserve"> των αιμοπεταλίων καθ’ όλη την διάρκεια της θεραπείας με </w:t>
      </w:r>
      <w:r w:rsidR="00515ADC" w:rsidRPr="002562F9">
        <w:rPr>
          <w:rFonts w:ascii="Arial" w:hAnsi="Arial"/>
          <w:b/>
          <w:color w:val="000000"/>
          <w:sz w:val="22"/>
          <w:lang w:val="el-GR"/>
        </w:rPr>
        <w:t>ναδροπαρίνη</w:t>
      </w:r>
      <w:r w:rsidR="0086736F" w:rsidRPr="002562F9">
        <w:rPr>
          <w:rFonts w:ascii="Arial" w:hAnsi="Arial"/>
          <w:b/>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Έχουν αναφερθεί σπάνιες περιπτώσεις </w:t>
      </w:r>
      <w:r w:rsidR="00AC7CF1">
        <w:rPr>
          <w:rFonts w:ascii="Arial" w:hAnsi="Arial"/>
          <w:sz w:val="22"/>
          <w:lang w:val="el-GR"/>
        </w:rPr>
        <w:t>θρομβοκυτ</w:t>
      </w:r>
      <w:r w:rsidR="00E6396C">
        <w:rPr>
          <w:rFonts w:ascii="Arial" w:hAnsi="Arial"/>
          <w:sz w:val="22"/>
          <w:lang w:val="el-GR"/>
        </w:rPr>
        <w:t>τ</w:t>
      </w:r>
      <w:r w:rsidR="00AC7CF1">
        <w:rPr>
          <w:rFonts w:ascii="Arial" w:hAnsi="Arial"/>
          <w:sz w:val="22"/>
          <w:lang w:val="el-GR"/>
        </w:rPr>
        <w:t>οπενίας</w:t>
      </w:r>
      <w:r w:rsidRPr="002562F9">
        <w:rPr>
          <w:rFonts w:ascii="Arial" w:hAnsi="Arial"/>
          <w:color w:val="000000"/>
          <w:sz w:val="22"/>
          <w:lang w:val="el-GR"/>
        </w:rPr>
        <w:t>, ορισμένες</w:t>
      </w:r>
      <w:r w:rsidR="00C0443C" w:rsidRPr="002562F9">
        <w:rPr>
          <w:rFonts w:ascii="Arial" w:hAnsi="Arial"/>
          <w:color w:val="000000"/>
          <w:sz w:val="22"/>
          <w:lang w:val="el-GR"/>
        </w:rPr>
        <w:t xml:space="preserve"> φορές σοβαρής μορφής, οι οποίες μ</w:t>
      </w:r>
      <w:r w:rsidRPr="002562F9">
        <w:rPr>
          <w:rFonts w:ascii="Arial" w:hAnsi="Arial"/>
          <w:color w:val="000000"/>
          <w:sz w:val="22"/>
          <w:lang w:val="el-GR"/>
        </w:rPr>
        <w:t>πορεί να σχετίζονται με αρτηριακή ή φλεβική θρόμβωση. Η διάγνωση αυτή θα πρέπει να λ</w:t>
      </w:r>
      <w:r w:rsidR="00C0443C" w:rsidRPr="002562F9">
        <w:rPr>
          <w:rFonts w:ascii="Arial" w:hAnsi="Arial"/>
          <w:color w:val="000000"/>
          <w:sz w:val="22"/>
          <w:lang w:val="el-GR"/>
        </w:rPr>
        <w:t>αμβάνεται</w:t>
      </w:r>
      <w:r w:rsidRPr="002562F9">
        <w:rPr>
          <w:rFonts w:ascii="Arial" w:hAnsi="Arial"/>
          <w:color w:val="000000"/>
          <w:sz w:val="22"/>
          <w:lang w:val="el-GR"/>
        </w:rPr>
        <w:t xml:space="preserve"> υπόψη στις παρακάτω περιπτώσεις:</w:t>
      </w:r>
    </w:p>
    <w:p w:rsidR="0086736F" w:rsidRPr="00E6396C" w:rsidRDefault="00AC7CF1" w:rsidP="008179B8">
      <w:pPr>
        <w:numPr>
          <w:ilvl w:val="0"/>
          <w:numId w:val="23"/>
        </w:numPr>
        <w:jc w:val="both"/>
        <w:rPr>
          <w:rFonts w:ascii="Arial" w:hAnsi="Arial"/>
          <w:sz w:val="22"/>
          <w:lang w:val="el-GR"/>
        </w:rPr>
      </w:pPr>
      <w:r>
        <w:rPr>
          <w:rFonts w:ascii="Arial" w:hAnsi="Arial"/>
          <w:sz w:val="22"/>
          <w:lang w:val="el-GR"/>
        </w:rPr>
        <w:t>θρομβοπενία</w:t>
      </w:r>
      <w:r w:rsidR="0086736F" w:rsidRPr="00E6396C">
        <w:rPr>
          <w:rFonts w:ascii="Arial" w:hAnsi="Arial"/>
          <w:sz w:val="22"/>
          <w:lang w:val="el-GR"/>
        </w:rPr>
        <w:t xml:space="preserve"> </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οποιαδήποτε σημαντική ελάττωση του αριθμού των αιμοπεταλίων</w:t>
      </w:r>
      <w:r w:rsidR="00C0443C" w:rsidRPr="002562F9">
        <w:rPr>
          <w:rFonts w:ascii="Arial" w:hAnsi="Arial"/>
          <w:color w:val="000000"/>
          <w:sz w:val="22"/>
          <w:lang w:val="el-GR"/>
        </w:rPr>
        <w:t xml:space="preserve"> (</w:t>
      </w:r>
      <w:r w:rsidRPr="002562F9">
        <w:rPr>
          <w:rFonts w:ascii="Arial" w:hAnsi="Arial"/>
          <w:color w:val="000000"/>
          <w:sz w:val="22"/>
          <w:lang w:val="el-GR"/>
        </w:rPr>
        <w:t xml:space="preserve">30-50% της </w:t>
      </w:r>
      <w:r w:rsidR="00651972" w:rsidRPr="002562F9">
        <w:rPr>
          <w:rFonts w:ascii="Arial" w:hAnsi="Arial"/>
          <w:color w:val="000000"/>
          <w:sz w:val="22"/>
          <w:lang w:val="el-GR"/>
        </w:rPr>
        <w:t>αρχικής</w:t>
      </w:r>
      <w:r w:rsidRPr="002562F9">
        <w:rPr>
          <w:rFonts w:ascii="Arial" w:hAnsi="Arial"/>
          <w:color w:val="000000"/>
          <w:sz w:val="22"/>
          <w:lang w:val="el-GR"/>
        </w:rPr>
        <w:t xml:space="preserve"> τιμής</w:t>
      </w:r>
      <w:r w:rsidR="00651972" w:rsidRPr="002562F9">
        <w:rPr>
          <w:rFonts w:ascii="Arial" w:hAnsi="Arial"/>
          <w:color w:val="000000"/>
          <w:sz w:val="22"/>
          <w:lang w:val="el-GR"/>
        </w:rPr>
        <w:t>)</w:t>
      </w:r>
      <w:r w:rsidRPr="002562F9">
        <w:rPr>
          <w:rFonts w:ascii="Arial" w:hAnsi="Arial"/>
          <w:color w:val="000000"/>
          <w:sz w:val="22"/>
          <w:lang w:val="el-GR"/>
        </w:rPr>
        <w:t>,</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 xml:space="preserve">επιδείνωση της αρχικής θρόμβωσης κατά τη διάρκεια της θεραπείας </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θρόμβωση κατά την διάρκεια της θεραπείας</w:t>
      </w:r>
    </w:p>
    <w:p w:rsidR="0086736F" w:rsidRPr="002562F9" w:rsidRDefault="0086736F" w:rsidP="008179B8">
      <w:pPr>
        <w:numPr>
          <w:ilvl w:val="0"/>
          <w:numId w:val="23"/>
        </w:numPr>
        <w:jc w:val="both"/>
        <w:rPr>
          <w:rFonts w:ascii="Arial" w:hAnsi="Arial"/>
          <w:color w:val="000000"/>
          <w:sz w:val="22"/>
          <w:lang w:val="el-GR"/>
        </w:rPr>
      </w:pPr>
      <w:r w:rsidRPr="002562F9">
        <w:rPr>
          <w:rFonts w:ascii="Arial" w:hAnsi="Arial"/>
          <w:color w:val="000000"/>
          <w:sz w:val="22"/>
          <w:lang w:val="el-GR"/>
        </w:rPr>
        <w:t xml:space="preserve">διάχυτη </w:t>
      </w:r>
      <w:r w:rsidR="00AC7CF1">
        <w:rPr>
          <w:rFonts w:ascii="Arial" w:hAnsi="Arial"/>
          <w:sz w:val="22"/>
          <w:lang w:val="el-GR"/>
        </w:rPr>
        <w:t>ενδαγγειακή</w:t>
      </w:r>
      <w:r w:rsidRPr="00E6396C">
        <w:rPr>
          <w:rFonts w:ascii="Arial" w:hAnsi="Arial"/>
          <w:sz w:val="22"/>
          <w:lang w:val="el-GR"/>
        </w:rPr>
        <w:t xml:space="preserve"> </w:t>
      </w:r>
      <w:r w:rsidRPr="002562F9">
        <w:rPr>
          <w:rFonts w:ascii="Arial" w:hAnsi="Arial"/>
          <w:color w:val="000000"/>
          <w:sz w:val="22"/>
          <w:lang w:val="el-GR"/>
        </w:rPr>
        <w:t>πήξη</w:t>
      </w:r>
    </w:p>
    <w:p w:rsidR="0086736F" w:rsidRPr="002562F9" w:rsidRDefault="0086736F" w:rsidP="008179B8">
      <w:pPr>
        <w:jc w:val="both"/>
        <w:rPr>
          <w:rFonts w:ascii="Arial" w:hAnsi="Arial"/>
          <w:color w:val="000000"/>
          <w:sz w:val="22"/>
          <w:lang w:val="el-GR"/>
        </w:rPr>
      </w:pPr>
    </w:p>
    <w:p w:rsidR="00C0443C" w:rsidRPr="002562F9" w:rsidRDefault="00C0443C" w:rsidP="008179B8">
      <w:pPr>
        <w:jc w:val="both"/>
        <w:rPr>
          <w:rFonts w:ascii="Arial" w:hAnsi="Arial"/>
          <w:color w:val="000000"/>
          <w:sz w:val="22"/>
          <w:lang w:val="el-GR"/>
        </w:rPr>
      </w:pPr>
      <w:r w:rsidRPr="002562F9">
        <w:rPr>
          <w:rFonts w:ascii="Arial" w:hAnsi="Arial"/>
          <w:color w:val="000000"/>
          <w:sz w:val="22"/>
          <w:lang w:val="el-GR"/>
        </w:rPr>
        <w:t xml:space="preserve">Στην περίπτωση αυτή, η θεραπεία με </w:t>
      </w:r>
      <w:r w:rsidR="00515ADC" w:rsidRPr="002562F9">
        <w:rPr>
          <w:rFonts w:ascii="Arial" w:hAnsi="Arial"/>
          <w:color w:val="000000"/>
          <w:sz w:val="22"/>
          <w:lang w:val="el-GR"/>
        </w:rPr>
        <w:t>ναδροπαρίνη</w:t>
      </w:r>
      <w:r w:rsidRPr="002562F9">
        <w:rPr>
          <w:rFonts w:ascii="Arial" w:hAnsi="Arial"/>
          <w:color w:val="000000"/>
          <w:sz w:val="22"/>
          <w:lang w:val="el-GR"/>
        </w:rPr>
        <w:t xml:space="preserve"> θα πρέπει να διακόπτεται.</w:t>
      </w:r>
    </w:p>
    <w:p w:rsidR="00C0443C" w:rsidRPr="002562F9" w:rsidRDefault="00C0443C" w:rsidP="008179B8">
      <w:pPr>
        <w:jc w:val="both"/>
        <w:rPr>
          <w:rFonts w:ascii="Arial" w:hAnsi="Arial"/>
          <w:color w:val="000000"/>
          <w:sz w:val="22"/>
          <w:lang w:val="el-GR"/>
        </w:rPr>
      </w:pPr>
    </w:p>
    <w:p w:rsidR="0086736F" w:rsidRPr="002562F9" w:rsidRDefault="00C0443C" w:rsidP="008179B8">
      <w:pPr>
        <w:jc w:val="both"/>
        <w:rPr>
          <w:rFonts w:ascii="Arial" w:hAnsi="Arial"/>
          <w:color w:val="000000"/>
          <w:sz w:val="22"/>
          <w:lang w:val="el-GR"/>
        </w:rPr>
      </w:pPr>
      <w:r w:rsidRPr="002562F9">
        <w:rPr>
          <w:rFonts w:ascii="Arial" w:hAnsi="Arial"/>
          <w:color w:val="000000"/>
          <w:sz w:val="22"/>
          <w:lang w:val="el-GR"/>
        </w:rPr>
        <w:t>Οι επιδράσεις αυτές</w:t>
      </w:r>
      <w:r w:rsidR="0086736F" w:rsidRPr="002562F9">
        <w:rPr>
          <w:rFonts w:ascii="Arial" w:hAnsi="Arial"/>
          <w:color w:val="000000"/>
          <w:sz w:val="22"/>
          <w:lang w:val="el-GR"/>
        </w:rPr>
        <w:t xml:space="preserve"> είναι </w:t>
      </w:r>
      <w:r w:rsidRPr="002562F9">
        <w:rPr>
          <w:rFonts w:ascii="Arial" w:hAnsi="Arial"/>
          <w:color w:val="000000"/>
          <w:sz w:val="22"/>
          <w:lang w:val="el-GR"/>
        </w:rPr>
        <w:t>πιθανώς</w:t>
      </w:r>
      <w:r w:rsidR="0086736F" w:rsidRPr="002562F9">
        <w:rPr>
          <w:rFonts w:ascii="Arial" w:hAnsi="Arial"/>
          <w:color w:val="000000"/>
          <w:sz w:val="22"/>
          <w:lang w:val="el-GR"/>
        </w:rPr>
        <w:t xml:space="preserve"> ανοσοαλλεργικής φύσης και στην περίπτωση </w:t>
      </w:r>
      <w:r w:rsidRPr="002562F9">
        <w:rPr>
          <w:rFonts w:ascii="Arial" w:hAnsi="Arial"/>
          <w:color w:val="000000"/>
          <w:sz w:val="22"/>
          <w:lang w:val="el-GR"/>
        </w:rPr>
        <w:t>που πρόκειται για το πρώτο θεραπευτικό σχήμα,</w:t>
      </w:r>
      <w:r w:rsidR="0086736F" w:rsidRPr="002562F9">
        <w:rPr>
          <w:rFonts w:ascii="Arial" w:hAnsi="Arial"/>
          <w:color w:val="000000"/>
          <w:sz w:val="22"/>
          <w:lang w:val="el-GR"/>
        </w:rPr>
        <w:t xml:space="preserve"> </w:t>
      </w:r>
      <w:r w:rsidRPr="002562F9">
        <w:rPr>
          <w:rFonts w:ascii="Arial" w:hAnsi="Arial"/>
          <w:color w:val="000000"/>
          <w:sz w:val="22"/>
          <w:lang w:val="el-GR"/>
        </w:rPr>
        <w:t>εμφανίζονται</w:t>
      </w:r>
      <w:r w:rsidR="0086736F" w:rsidRPr="002562F9">
        <w:rPr>
          <w:rFonts w:ascii="Arial" w:hAnsi="Arial"/>
          <w:color w:val="000000"/>
          <w:sz w:val="22"/>
          <w:lang w:val="el-GR"/>
        </w:rPr>
        <w:t xml:space="preserve"> κυρίως μεταξύ της 5ης και της 21ης ημέρας θεραπείας</w:t>
      </w:r>
      <w:r w:rsidRPr="002562F9">
        <w:rPr>
          <w:rFonts w:ascii="Arial" w:hAnsi="Arial"/>
          <w:color w:val="000000"/>
          <w:sz w:val="22"/>
          <w:lang w:val="el-GR"/>
        </w:rPr>
        <w:t>. Ωστόσο,</w:t>
      </w:r>
      <w:r w:rsidR="0086736F" w:rsidRPr="002562F9">
        <w:rPr>
          <w:rFonts w:ascii="Arial" w:hAnsi="Arial"/>
          <w:color w:val="000000"/>
          <w:sz w:val="22"/>
          <w:lang w:val="el-GR"/>
        </w:rPr>
        <w:t xml:space="preserve"> μπορεί να εμφανισθούν αρκετά νωρίτερα εάν υπάρχει ιστορικό </w:t>
      </w:r>
      <w:r w:rsidR="00AC7CF1">
        <w:rPr>
          <w:rFonts w:ascii="Arial" w:hAnsi="Arial"/>
          <w:sz w:val="22"/>
          <w:lang w:val="el-GR"/>
        </w:rPr>
        <w:t>θρομβοπενίας</w:t>
      </w:r>
      <w:r w:rsidR="0086736F" w:rsidRPr="002562F9">
        <w:rPr>
          <w:rFonts w:ascii="Arial" w:hAnsi="Arial"/>
          <w:color w:val="000000"/>
          <w:sz w:val="22"/>
          <w:lang w:val="el-GR"/>
        </w:rPr>
        <w:t xml:space="preserve"> </w:t>
      </w:r>
      <w:r w:rsidR="00B80530">
        <w:rPr>
          <w:rFonts w:ascii="Arial" w:hAnsi="Arial"/>
          <w:color w:val="000000"/>
          <w:sz w:val="22"/>
          <w:lang w:val="el-GR"/>
        </w:rPr>
        <w:t>επαγώμενη από την</w:t>
      </w:r>
      <w:r w:rsidR="0086736F" w:rsidRPr="002562F9">
        <w:rPr>
          <w:rFonts w:ascii="Arial" w:hAnsi="Arial"/>
          <w:color w:val="000000"/>
          <w:sz w:val="22"/>
          <w:lang w:val="el-GR"/>
        </w:rPr>
        <w:t xml:space="preserve"> ηπαρίνη.</w:t>
      </w:r>
    </w:p>
    <w:p w:rsidR="0086736F" w:rsidRPr="002562F9" w:rsidRDefault="0086736F" w:rsidP="008179B8">
      <w:pPr>
        <w:jc w:val="both"/>
        <w:rPr>
          <w:rFonts w:ascii="Arial" w:hAnsi="Arial"/>
          <w:color w:val="000000"/>
          <w:sz w:val="22"/>
          <w:lang w:val="el-GR"/>
        </w:rPr>
      </w:pPr>
    </w:p>
    <w:p w:rsidR="001E64BA" w:rsidRPr="002562F9" w:rsidRDefault="001E64BA" w:rsidP="008179B8">
      <w:pPr>
        <w:jc w:val="both"/>
        <w:rPr>
          <w:rFonts w:ascii="Arial" w:hAnsi="Arial"/>
          <w:color w:val="000000"/>
          <w:sz w:val="22"/>
          <w:lang w:val="el-GR"/>
        </w:rPr>
      </w:pPr>
      <w:r w:rsidRPr="002562F9">
        <w:rPr>
          <w:rFonts w:ascii="Arial" w:hAnsi="Arial"/>
          <w:color w:val="000000"/>
          <w:sz w:val="22"/>
          <w:lang w:val="el-GR"/>
        </w:rPr>
        <w:t>Εάν υπάρχει ιστορικό θρομβοπενία</w:t>
      </w:r>
      <w:r w:rsidR="00823D20" w:rsidRPr="002562F9">
        <w:rPr>
          <w:rFonts w:ascii="Arial" w:hAnsi="Arial"/>
          <w:color w:val="000000"/>
          <w:sz w:val="22"/>
          <w:lang w:val="el-GR"/>
        </w:rPr>
        <w:t>ς</w:t>
      </w:r>
      <w:r w:rsidRPr="002562F9">
        <w:rPr>
          <w:rFonts w:ascii="Arial" w:hAnsi="Arial"/>
          <w:color w:val="000000"/>
          <w:sz w:val="22"/>
          <w:lang w:val="el-GR"/>
        </w:rPr>
        <w:t xml:space="preserve"> προκαλούμενη</w:t>
      </w:r>
      <w:r w:rsidR="00823D20" w:rsidRPr="002562F9">
        <w:rPr>
          <w:rFonts w:ascii="Arial" w:hAnsi="Arial"/>
          <w:color w:val="000000"/>
          <w:sz w:val="22"/>
          <w:lang w:val="el-GR"/>
        </w:rPr>
        <w:t>ς</w:t>
      </w:r>
      <w:r w:rsidRPr="002562F9">
        <w:rPr>
          <w:rFonts w:ascii="Arial" w:hAnsi="Arial"/>
          <w:color w:val="000000"/>
          <w:sz w:val="22"/>
          <w:lang w:val="el-GR"/>
        </w:rPr>
        <w:t xml:space="preserve"> από ηπαρίνη (είτε </w:t>
      </w:r>
      <w:r w:rsidR="00AC7CF1">
        <w:rPr>
          <w:rFonts w:ascii="Arial" w:hAnsi="Arial"/>
          <w:sz w:val="22"/>
          <w:lang w:val="el-GR"/>
        </w:rPr>
        <w:t>κλασσική</w:t>
      </w:r>
      <w:r w:rsidRPr="002562F9">
        <w:rPr>
          <w:rFonts w:ascii="Arial" w:hAnsi="Arial"/>
          <w:color w:val="000000"/>
          <w:sz w:val="22"/>
          <w:lang w:val="el-GR"/>
        </w:rPr>
        <w:t xml:space="preserve">, είτε χαμηλού μοριακού βάρους), θα πρέπει να </w:t>
      </w:r>
      <w:r w:rsidR="00CD3DCE" w:rsidRPr="002562F9">
        <w:rPr>
          <w:rFonts w:ascii="Arial" w:hAnsi="Arial"/>
          <w:color w:val="000000"/>
          <w:sz w:val="22"/>
          <w:lang w:val="el-GR"/>
        </w:rPr>
        <w:t>εξετάζεται το ενδεχόμενο</w:t>
      </w:r>
      <w:r w:rsidRPr="002562F9">
        <w:rPr>
          <w:rFonts w:ascii="Arial" w:hAnsi="Arial"/>
          <w:color w:val="000000"/>
          <w:sz w:val="22"/>
          <w:lang w:val="el-GR"/>
        </w:rPr>
        <w:t xml:space="preserve"> για θεραπεία με </w:t>
      </w:r>
      <w:r w:rsidR="00515ADC" w:rsidRPr="002562F9">
        <w:rPr>
          <w:rFonts w:ascii="Arial" w:hAnsi="Arial"/>
          <w:color w:val="000000"/>
          <w:sz w:val="22"/>
          <w:lang w:val="el-GR"/>
        </w:rPr>
        <w:t>ναδροπαρίνη</w:t>
      </w:r>
      <w:r w:rsidRPr="002562F9">
        <w:rPr>
          <w:rFonts w:ascii="Arial" w:hAnsi="Arial"/>
          <w:color w:val="000000"/>
          <w:sz w:val="22"/>
          <w:lang w:val="el-GR"/>
        </w:rPr>
        <w:t xml:space="preserve"> αν αυτό είναι απαραίτητο. Σε τέτοιες περιπτώσεις, θα πρέπει να υπάρχει κλινική παρακολούθηση και </w:t>
      </w:r>
      <w:r w:rsidR="00590EDB" w:rsidRPr="002562F9">
        <w:rPr>
          <w:rFonts w:ascii="Arial" w:hAnsi="Arial"/>
          <w:color w:val="000000"/>
          <w:sz w:val="22"/>
          <w:lang w:val="el-GR"/>
        </w:rPr>
        <w:t>μέτρηση</w:t>
      </w:r>
      <w:r w:rsidRPr="002562F9">
        <w:rPr>
          <w:rFonts w:ascii="Arial" w:hAnsi="Arial"/>
          <w:color w:val="000000"/>
          <w:sz w:val="22"/>
          <w:lang w:val="el-GR"/>
        </w:rPr>
        <w:t xml:space="preserve"> του αριθμού αιμοπεταλίων σε ημερήσια βάση τουλάχιστον. Εάν εμφανισθεί θρομβοοπενία</w:t>
      </w:r>
      <w:r w:rsidR="009D0ECE" w:rsidRPr="002562F9">
        <w:rPr>
          <w:rFonts w:ascii="Arial" w:hAnsi="Arial"/>
          <w:color w:val="000000"/>
          <w:sz w:val="22"/>
          <w:lang w:val="el-GR"/>
        </w:rPr>
        <w:t>,</w:t>
      </w:r>
      <w:r w:rsidRPr="002562F9">
        <w:rPr>
          <w:rFonts w:ascii="Arial" w:hAnsi="Arial"/>
          <w:color w:val="000000"/>
          <w:sz w:val="22"/>
          <w:lang w:val="el-GR"/>
        </w:rPr>
        <w:t xml:space="preserve"> η θεραπεία πρέπει να διακοπεί αμέσω</w:t>
      </w:r>
      <w:r w:rsidR="00487FDE" w:rsidRPr="002562F9">
        <w:rPr>
          <w:rFonts w:ascii="Arial" w:hAnsi="Arial"/>
          <w:color w:val="000000"/>
          <w:sz w:val="22"/>
          <w:lang w:val="el-GR"/>
        </w:rPr>
        <w:t>ς</w:t>
      </w:r>
      <w:r w:rsidRPr="002562F9">
        <w:rPr>
          <w:rFonts w:ascii="Arial" w:hAnsi="Arial"/>
          <w:color w:val="000000"/>
          <w:sz w:val="22"/>
          <w:lang w:val="el-GR"/>
        </w:rPr>
        <w:t>.</w:t>
      </w:r>
    </w:p>
    <w:p w:rsidR="001E64BA" w:rsidRPr="002562F9" w:rsidRDefault="001E64BA" w:rsidP="008179B8">
      <w:pPr>
        <w:jc w:val="both"/>
        <w:rPr>
          <w:rFonts w:ascii="Arial" w:hAnsi="Arial"/>
          <w:color w:val="000000"/>
          <w:sz w:val="22"/>
          <w:lang w:val="el-GR"/>
        </w:rPr>
      </w:pPr>
    </w:p>
    <w:p w:rsidR="0086736F" w:rsidRPr="002562F9" w:rsidRDefault="00267BD8" w:rsidP="008179B8">
      <w:pPr>
        <w:jc w:val="both"/>
        <w:rPr>
          <w:rFonts w:ascii="Arial" w:hAnsi="Arial"/>
          <w:color w:val="000000"/>
          <w:sz w:val="22"/>
          <w:lang w:val="el-GR"/>
        </w:rPr>
      </w:pPr>
      <w:r w:rsidRPr="002562F9">
        <w:rPr>
          <w:rFonts w:ascii="Arial" w:hAnsi="Arial"/>
          <w:color w:val="000000"/>
          <w:sz w:val="22"/>
          <w:lang w:val="el-GR"/>
        </w:rPr>
        <w:lastRenderedPageBreak/>
        <w:t>Εάν συμβεί</w:t>
      </w:r>
      <w:r w:rsidR="0086736F" w:rsidRPr="002562F9">
        <w:rPr>
          <w:rFonts w:ascii="Arial" w:hAnsi="Arial"/>
          <w:color w:val="000000"/>
          <w:sz w:val="22"/>
          <w:lang w:val="el-GR"/>
        </w:rPr>
        <w:t xml:space="preserve"> θρομβοπενία </w:t>
      </w:r>
      <w:r w:rsidRPr="002562F9">
        <w:rPr>
          <w:rFonts w:ascii="Arial" w:hAnsi="Arial"/>
          <w:color w:val="000000"/>
          <w:sz w:val="22"/>
          <w:lang w:val="el-GR"/>
        </w:rPr>
        <w:t>προκαλούμενη από</w:t>
      </w:r>
      <w:r w:rsidR="0086736F" w:rsidRPr="002562F9">
        <w:rPr>
          <w:rFonts w:ascii="Arial" w:hAnsi="Arial"/>
          <w:color w:val="000000"/>
          <w:sz w:val="22"/>
          <w:lang w:val="el-GR"/>
        </w:rPr>
        <w:t xml:space="preserve"> ηπαρίνη (είτε κλασσική, είτε χαμηλού μοριακού βάρους), θα πρέπει να </w:t>
      </w:r>
      <w:r w:rsidR="00CD3DCE" w:rsidRPr="002562F9">
        <w:rPr>
          <w:rFonts w:ascii="Arial" w:hAnsi="Arial"/>
          <w:color w:val="000000"/>
          <w:sz w:val="22"/>
          <w:lang w:val="el-GR"/>
        </w:rPr>
        <w:t>εξετάζεται το ενδεχόμενο</w:t>
      </w:r>
      <w:r w:rsidR="0086736F" w:rsidRPr="002562F9">
        <w:rPr>
          <w:rFonts w:ascii="Arial" w:hAnsi="Arial"/>
          <w:color w:val="000000"/>
          <w:sz w:val="22"/>
          <w:lang w:val="el-GR"/>
        </w:rPr>
        <w:t xml:space="preserve"> αντικατάστασή</w:t>
      </w:r>
      <w:r w:rsidR="00CD3DCE" w:rsidRPr="002562F9">
        <w:rPr>
          <w:rFonts w:ascii="Arial" w:hAnsi="Arial"/>
          <w:color w:val="000000"/>
          <w:sz w:val="22"/>
          <w:lang w:val="el-GR"/>
        </w:rPr>
        <w:t>ς</w:t>
      </w:r>
      <w:r w:rsidR="0086736F" w:rsidRPr="002562F9">
        <w:rPr>
          <w:rFonts w:ascii="Arial" w:hAnsi="Arial"/>
          <w:color w:val="000000"/>
          <w:sz w:val="22"/>
          <w:lang w:val="el-GR"/>
        </w:rPr>
        <w:t xml:space="preserve"> της με μία άλλη αντιθρομβωτική κατηγορία φαρμάκων. Εάν δεν </w:t>
      </w:r>
      <w:r w:rsidRPr="002562F9">
        <w:rPr>
          <w:rFonts w:ascii="Arial" w:hAnsi="Arial"/>
          <w:color w:val="000000"/>
          <w:sz w:val="22"/>
          <w:lang w:val="el-GR"/>
        </w:rPr>
        <w:t>είναι διαθέσιμη</w:t>
      </w:r>
      <w:r w:rsidR="0086736F" w:rsidRPr="002562F9">
        <w:rPr>
          <w:rFonts w:ascii="Arial" w:hAnsi="Arial"/>
          <w:color w:val="000000"/>
          <w:sz w:val="22"/>
          <w:lang w:val="el-GR"/>
        </w:rPr>
        <w:t xml:space="preserve"> και η χορήγηση ηπαρίνης είναι απαραίτητη, θα πρέπει να </w:t>
      </w:r>
      <w:r w:rsidR="006E0E5F" w:rsidRPr="002562F9">
        <w:rPr>
          <w:rFonts w:ascii="Arial" w:hAnsi="Arial"/>
          <w:color w:val="000000"/>
          <w:sz w:val="22"/>
          <w:lang w:val="el-GR"/>
        </w:rPr>
        <w:t>εξετ</w:t>
      </w:r>
      <w:r w:rsidR="003F436D" w:rsidRPr="002562F9">
        <w:rPr>
          <w:rFonts w:ascii="Arial" w:hAnsi="Arial"/>
          <w:color w:val="000000"/>
          <w:sz w:val="22"/>
          <w:lang w:val="el-GR"/>
        </w:rPr>
        <w:t>άζεται</w:t>
      </w:r>
      <w:r w:rsidR="006E0E5F" w:rsidRPr="002562F9">
        <w:rPr>
          <w:rFonts w:ascii="Arial" w:hAnsi="Arial"/>
          <w:color w:val="000000"/>
          <w:sz w:val="22"/>
          <w:lang w:val="el-GR"/>
        </w:rPr>
        <w:t xml:space="preserve"> το ενδεχόμενο</w:t>
      </w:r>
      <w:r w:rsidR="0086736F" w:rsidRPr="002562F9">
        <w:rPr>
          <w:rFonts w:ascii="Arial" w:hAnsi="Arial"/>
          <w:color w:val="000000"/>
          <w:sz w:val="22"/>
          <w:lang w:val="el-GR"/>
        </w:rPr>
        <w:t xml:space="preserve"> αντικατάστασή</w:t>
      </w:r>
      <w:r w:rsidR="006E0E5F" w:rsidRPr="002562F9">
        <w:rPr>
          <w:rFonts w:ascii="Arial" w:hAnsi="Arial"/>
          <w:color w:val="000000"/>
          <w:sz w:val="22"/>
          <w:lang w:val="el-GR"/>
        </w:rPr>
        <w:t>ς</w:t>
      </w:r>
      <w:r w:rsidR="0086736F" w:rsidRPr="002562F9">
        <w:rPr>
          <w:rFonts w:ascii="Arial" w:hAnsi="Arial"/>
          <w:color w:val="000000"/>
          <w:sz w:val="22"/>
          <w:lang w:val="el-GR"/>
        </w:rPr>
        <w:t xml:space="preserve"> της με μία άλλη ηπαρίνη χαμηλού μοριακού βάρους. </w:t>
      </w:r>
      <w:r w:rsidR="0086736F" w:rsidRPr="002562F9">
        <w:rPr>
          <w:rFonts w:ascii="Arial" w:hAnsi="Arial"/>
          <w:color w:val="000000"/>
          <w:sz w:val="22"/>
          <w:szCs w:val="22"/>
          <w:lang w:val="el-GR"/>
        </w:rPr>
        <w:t>Σ</w:t>
      </w:r>
      <w:r w:rsidR="001E64BA" w:rsidRPr="002562F9">
        <w:rPr>
          <w:rFonts w:ascii="Arial" w:hAnsi="Arial"/>
          <w:color w:val="000000"/>
          <w:sz w:val="22"/>
          <w:szCs w:val="22"/>
          <w:lang w:val="el-GR"/>
        </w:rPr>
        <w:t>ε</w:t>
      </w:r>
      <w:r w:rsidR="0086736F" w:rsidRPr="002562F9">
        <w:rPr>
          <w:rFonts w:ascii="Arial" w:hAnsi="Arial"/>
          <w:color w:val="000000"/>
          <w:sz w:val="22"/>
          <w:lang w:val="el-GR"/>
        </w:rPr>
        <w:t xml:space="preserve"> </w:t>
      </w:r>
      <w:r w:rsidR="001E64BA" w:rsidRPr="002562F9">
        <w:rPr>
          <w:rFonts w:ascii="Arial" w:hAnsi="Arial"/>
          <w:color w:val="000000"/>
          <w:sz w:val="22"/>
          <w:lang w:val="el-GR"/>
        </w:rPr>
        <w:t xml:space="preserve">τέτοιες </w:t>
      </w:r>
      <w:r w:rsidR="0086736F" w:rsidRPr="002562F9">
        <w:rPr>
          <w:rFonts w:ascii="Arial" w:hAnsi="Arial"/>
          <w:color w:val="000000"/>
          <w:sz w:val="22"/>
          <w:lang w:val="el-GR"/>
        </w:rPr>
        <w:t>περ</w:t>
      </w:r>
      <w:r w:rsidR="001E64BA" w:rsidRPr="002562F9">
        <w:rPr>
          <w:rFonts w:ascii="Arial" w:hAnsi="Arial"/>
          <w:color w:val="000000"/>
          <w:sz w:val="22"/>
          <w:lang w:val="el-GR"/>
        </w:rPr>
        <w:t>ι</w:t>
      </w:r>
      <w:r w:rsidR="0086736F" w:rsidRPr="002562F9">
        <w:rPr>
          <w:rFonts w:ascii="Arial" w:hAnsi="Arial"/>
          <w:color w:val="000000"/>
          <w:sz w:val="22"/>
          <w:lang w:val="el-GR"/>
        </w:rPr>
        <w:t>πτ</w:t>
      </w:r>
      <w:r w:rsidR="001E64BA" w:rsidRPr="002562F9">
        <w:rPr>
          <w:rFonts w:ascii="Arial" w:hAnsi="Arial"/>
          <w:color w:val="000000"/>
          <w:sz w:val="22"/>
          <w:lang w:val="el-GR"/>
        </w:rPr>
        <w:t>ώ</w:t>
      </w:r>
      <w:r w:rsidR="0086736F" w:rsidRPr="002562F9">
        <w:rPr>
          <w:rFonts w:ascii="Arial" w:hAnsi="Arial"/>
          <w:color w:val="000000"/>
          <w:sz w:val="22"/>
          <w:lang w:val="el-GR"/>
        </w:rPr>
        <w:t>σ</w:t>
      </w:r>
      <w:r w:rsidR="001E64BA" w:rsidRPr="002562F9">
        <w:rPr>
          <w:rFonts w:ascii="Arial" w:hAnsi="Arial"/>
          <w:color w:val="000000"/>
          <w:sz w:val="22"/>
          <w:lang w:val="el-GR"/>
        </w:rPr>
        <w:t>εις</w:t>
      </w:r>
      <w:r w:rsidRPr="002562F9">
        <w:rPr>
          <w:rFonts w:ascii="Arial" w:hAnsi="Arial"/>
          <w:color w:val="000000"/>
          <w:sz w:val="22"/>
          <w:lang w:val="el-GR"/>
        </w:rPr>
        <w:t>,</w:t>
      </w:r>
      <w:r w:rsidR="0086736F" w:rsidRPr="002562F9">
        <w:rPr>
          <w:rFonts w:ascii="Arial" w:hAnsi="Arial"/>
          <w:color w:val="000000"/>
          <w:sz w:val="22"/>
          <w:lang w:val="el-GR"/>
        </w:rPr>
        <w:t xml:space="preserve"> θα πρέπει να υπάρχει παρακολούθηση </w:t>
      </w:r>
      <w:r w:rsidR="00C15CA4" w:rsidRPr="002562F9">
        <w:rPr>
          <w:rFonts w:ascii="Arial" w:hAnsi="Arial"/>
          <w:color w:val="000000"/>
          <w:sz w:val="22"/>
          <w:lang w:val="el-GR"/>
        </w:rPr>
        <w:t xml:space="preserve">του αριθμού των αιμοπεταλίων </w:t>
      </w:r>
      <w:r w:rsidR="0086736F" w:rsidRPr="002562F9">
        <w:rPr>
          <w:rFonts w:ascii="Arial" w:hAnsi="Arial"/>
          <w:color w:val="000000"/>
          <w:sz w:val="22"/>
          <w:lang w:val="el-GR"/>
        </w:rPr>
        <w:t xml:space="preserve">σε ημερήσια βάση τουλάχιστον και η θεραπεία θα πρέπει να διακοπεί όσο το δυνατόν συντομότερα, </w:t>
      </w:r>
      <w:r w:rsidRPr="002562F9">
        <w:rPr>
          <w:rFonts w:ascii="Arial" w:hAnsi="Arial"/>
          <w:color w:val="000000"/>
          <w:sz w:val="22"/>
          <w:lang w:val="el-GR"/>
        </w:rPr>
        <w:t xml:space="preserve">επειδή έχουν περιγραφεί περιπτώσεις κατά τις οποίες η </w:t>
      </w:r>
      <w:r w:rsidR="0086736F" w:rsidRPr="002562F9">
        <w:rPr>
          <w:rFonts w:ascii="Arial" w:hAnsi="Arial"/>
          <w:color w:val="000000"/>
          <w:sz w:val="22"/>
          <w:lang w:val="el-GR"/>
        </w:rPr>
        <w:t xml:space="preserve">αρχική </w:t>
      </w:r>
      <w:r w:rsidR="00AC7CF1">
        <w:rPr>
          <w:rFonts w:ascii="Arial" w:hAnsi="Arial"/>
          <w:sz w:val="22"/>
          <w:lang w:val="el-GR"/>
        </w:rPr>
        <w:t>θρομβοπενία</w:t>
      </w:r>
      <w:r w:rsidR="0086736F" w:rsidRPr="002562F9">
        <w:rPr>
          <w:rFonts w:ascii="Arial" w:hAnsi="Arial"/>
          <w:color w:val="000000"/>
          <w:sz w:val="22"/>
          <w:lang w:val="el-GR"/>
        </w:rPr>
        <w:t xml:space="preserve"> συνεχίζεται και μετά την αντικατάσταση</w:t>
      </w:r>
      <w:r w:rsidR="007D3DDB" w:rsidRPr="002562F9">
        <w:rPr>
          <w:rFonts w:ascii="Arial" w:hAnsi="Arial"/>
          <w:color w:val="000000"/>
          <w:sz w:val="22"/>
          <w:lang w:val="el-GR"/>
        </w:rPr>
        <w:t xml:space="preserve"> (βλέπε </w:t>
      </w:r>
      <w:r w:rsidR="003B7D13" w:rsidRPr="002562F9">
        <w:rPr>
          <w:rFonts w:ascii="Arial" w:hAnsi="Arial"/>
          <w:color w:val="000000"/>
          <w:sz w:val="22"/>
          <w:lang w:val="el-GR"/>
        </w:rPr>
        <w:t xml:space="preserve">παράγραφο </w:t>
      </w:r>
      <w:r w:rsidR="007D3DDB" w:rsidRPr="002562F9">
        <w:rPr>
          <w:rFonts w:ascii="Arial" w:hAnsi="Arial"/>
          <w:color w:val="000000"/>
          <w:sz w:val="22"/>
          <w:lang w:val="el-GR"/>
        </w:rPr>
        <w:t>4.3)</w:t>
      </w:r>
      <w:r w:rsidR="0086736F" w:rsidRPr="002562F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AC0348" w:rsidP="008179B8">
      <w:pPr>
        <w:jc w:val="both"/>
        <w:rPr>
          <w:rFonts w:ascii="Arial" w:hAnsi="Arial"/>
          <w:color w:val="000000"/>
          <w:sz w:val="22"/>
          <w:lang w:val="el-GR"/>
        </w:rPr>
      </w:pPr>
      <w:r w:rsidRPr="002562F9">
        <w:rPr>
          <w:rFonts w:ascii="Arial" w:hAnsi="Arial"/>
          <w:color w:val="000000"/>
          <w:sz w:val="22"/>
          <w:lang w:val="el-GR"/>
        </w:rPr>
        <w:t>Οι</w:t>
      </w:r>
      <w:r w:rsidR="0086736F" w:rsidRPr="002562F9">
        <w:rPr>
          <w:rFonts w:ascii="Arial" w:hAnsi="Arial"/>
          <w:color w:val="000000"/>
          <w:sz w:val="22"/>
          <w:lang w:val="el-GR"/>
        </w:rPr>
        <w:t xml:space="preserve"> </w:t>
      </w:r>
      <w:r w:rsidR="0086736F" w:rsidRPr="002562F9">
        <w:rPr>
          <w:rFonts w:ascii="Arial" w:hAnsi="Arial"/>
          <w:i/>
          <w:color w:val="000000"/>
          <w:sz w:val="22"/>
        </w:rPr>
        <w:t>in</w:t>
      </w:r>
      <w:r w:rsidR="0086736F" w:rsidRPr="002562F9">
        <w:rPr>
          <w:rFonts w:ascii="Arial" w:hAnsi="Arial"/>
          <w:i/>
          <w:color w:val="000000"/>
          <w:sz w:val="22"/>
          <w:lang w:val="el-GR"/>
        </w:rPr>
        <w:t xml:space="preserve"> </w:t>
      </w:r>
      <w:r w:rsidR="0086736F" w:rsidRPr="002562F9">
        <w:rPr>
          <w:rFonts w:ascii="Arial" w:hAnsi="Arial"/>
          <w:i/>
          <w:color w:val="000000"/>
          <w:sz w:val="22"/>
        </w:rPr>
        <w:t>vitro</w:t>
      </w:r>
      <w:r w:rsidR="0086736F" w:rsidRPr="002562F9">
        <w:rPr>
          <w:rFonts w:ascii="Arial" w:hAnsi="Arial"/>
          <w:color w:val="000000"/>
          <w:sz w:val="22"/>
          <w:lang w:val="el-GR"/>
        </w:rPr>
        <w:t xml:space="preserve"> </w:t>
      </w:r>
      <w:r w:rsidR="00267BD8" w:rsidRPr="002562F9">
        <w:rPr>
          <w:rFonts w:ascii="Arial" w:hAnsi="Arial"/>
          <w:color w:val="000000"/>
          <w:sz w:val="22"/>
          <w:lang w:val="el-GR"/>
        </w:rPr>
        <w:t>δοκιμασίες συσσώρευσης</w:t>
      </w:r>
      <w:r w:rsidR="0086736F" w:rsidRPr="002562F9">
        <w:rPr>
          <w:rFonts w:ascii="Arial" w:hAnsi="Arial"/>
          <w:color w:val="000000"/>
          <w:sz w:val="22"/>
          <w:lang w:val="el-GR"/>
        </w:rPr>
        <w:t xml:space="preserve"> αιμοπεταλίων είναι περιορισμένης αξίας</w:t>
      </w:r>
      <w:r w:rsidR="00267BD8" w:rsidRPr="002562F9">
        <w:rPr>
          <w:rFonts w:ascii="Arial" w:hAnsi="Arial"/>
          <w:color w:val="000000"/>
          <w:sz w:val="22"/>
          <w:lang w:val="el-GR"/>
        </w:rPr>
        <w:t xml:space="preserve"> για τη διάγνωση θρομβοπενίας προκαλούμενης από την ηπαρίνη (ΗΙΤ)</w:t>
      </w:r>
      <w:r w:rsidR="0086736F" w:rsidRPr="002562F9">
        <w:rPr>
          <w:rFonts w:ascii="Arial" w:hAnsi="Arial"/>
          <w:color w:val="000000"/>
          <w:sz w:val="22"/>
          <w:lang w:val="el-GR"/>
        </w:rPr>
        <w:t xml:space="preserve">.  </w:t>
      </w:r>
    </w:p>
    <w:p w:rsidR="0086736F" w:rsidRPr="002562F9" w:rsidRDefault="0086736F" w:rsidP="008179B8">
      <w:pPr>
        <w:jc w:val="both"/>
        <w:rPr>
          <w:rFonts w:ascii="Arial" w:hAnsi="Arial"/>
          <w:color w:val="000000"/>
          <w:sz w:val="22"/>
          <w:lang w:val="el-GR"/>
        </w:rPr>
      </w:pPr>
    </w:p>
    <w:p w:rsidR="0086736F" w:rsidRPr="00B36667" w:rsidRDefault="00AC7CF1" w:rsidP="008179B8">
      <w:pPr>
        <w:ind w:left="360" w:hanging="360"/>
        <w:jc w:val="both"/>
        <w:rPr>
          <w:rFonts w:ascii="Arial" w:hAnsi="Arial"/>
          <w:b/>
          <w:sz w:val="22"/>
          <w:lang w:val="el-GR"/>
        </w:rPr>
      </w:pPr>
      <w:r>
        <w:rPr>
          <w:rFonts w:ascii="Arial" w:hAnsi="Arial"/>
          <w:b/>
          <w:sz w:val="22"/>
          <w:lang w:val="el-GR"/>
        </w:rPr>
        <w:t xml:space="preserve">4.4.2 </w:t>
      </w:r>
      <w:r w:rsidR="0086736F" w:rsidRPr="00B36667">
        <w:rPr>
          <w:rFonts w:ascii="Arial" w:hAnsi="Arial"/>
          <w:b/>
          <w:sz w:val="22"/>
          <w:lang w:val="el-GR"/>
        </w:rPr>
        <w:t>Ιδιαίτερες προφυλάξεις</w:t>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Να χορηγείται με προσοχή στις παρακάτω</w:t>
      </w:r>
      <w:r w:rsidRPr="002562F9">
        <w:rPr>
          <w:rFonts w:ascii="Arial" w:hAnsi="Arial"/>
          <w:b/>
          <w:color w:val="000000"/>
          <w:sz w:val="22"/>
          <w:lang w:val="el-GR"/>
        </w:rPr>
        <w:t xml:space="preserve"> </w:t>
      </w:r>
      <w:r w:rsidRPr="002562F9">
        <w:rPr>
          <w:rFonts w:ascii="Arial" w:hAnsi="Arial"/>
          <w:color w:val="000000"/>
          <w:sz w:val="22"/>
          <w:lang w:val="el-GR"/>
        </w:rPr>
        <w:t>περιπτώσεις</w:t>
      </w:r>
      <w:r w:rsidR="00C36AEC">
        <w:rPr>
          <w:rFonts w:ascii="Arial" w:hAnsi="Arial"/>
          <w:color w:val="000000"/>
          <w:sz w:val="22"/>
          <w:lang w:val="el-GR"/>
        </w:rPr>
        <w:t xml:space="preserve"> καθώς μπορεί να σχετίζεται με αυξημένο κίνδυνο αιμορραγίας</w:t>
      </w:r>
      <w:r w:rsidRPr="002562F9">
        <w:rPr>
          <w:rFonts w:ascii="Arial" w:hAnsi="Arial"/>
          <w:color w:val="000000"/>
          <w:sz w:val="22"/>
          <w:lang w:val="el-GR"/>
        </w:rPr>
        <w:t xml:space="preserve">: </w:t>
      </w:r>
    </w:p>
    <w:p w:rsidR="0086736F" w:rsidRPr="002562F9" w:rsidRDefault="0086736F" w:rsidP="008179B8">
      <w:pPr>
        <w:numPr>
          <w:ilvl w:val="0"/>
          <w:numId w:val="14"/>
        </w:numPr>
        <w:jc w:val="both"/>
        <w:rPr>
          <w:rFonts w:ascii="Arial" w:hAnsi="Arial"/>
          <w:color w:val="000000"/>
          <w:sz w:val="22"/>
        </w:rPr>
      </w:pPr>
      <w:r w:rsidRPr="002562F9">
        <w:rPr>
          <w:rFonts w:ascii="Arial" w:hAnsi="Arial"/>
          <w:color w:val="000000"/>
          <w:sz w:val="22"/>
          <w:lang w:val="el-GR"/>
        </w:rPr>
        <w:t>ηπατική</w:t>
      </w:r>
      <w:r w:rsidRPr="002562F9">
        <w:rPr>
          <w:rFonts w:ascii="Arial" w:hAnsi="Arial"/>
          <w:color w:val="000000"/>
          <w:sz w:val="22"/>
        </w:rPr>
        <w:t xml:space="preserve"> </w:t>
      </w:r>
      <w:r w:rsidRPr="002562F9">
        <w:rPr>
          <w:rFonts w:ascii="Arial" w:hAnsi="Arial"/>
          <w:color w:val="000000"/>
          <w:sz w:val="22"/>
          <w:lang w:val="el-GR"/>
        </w:rPr>
        <w:t>ανεπάρκεια</w:t>
      </w:r>
      <w:r w:rsidRPr="002562F9">
        <w:rPr>
          <w:rFonts w:ascii="Arial" w:hAnsi="Arial"/>
          <w:color w:val="000000"/>
          <w:sz w:val="22"/>
        </w:rPr>
        <w:t xml:space="preserve">, </w:t>
      </w:r>
    </w:p>
    <w:p w:rsidR="0086736F" w:rsidRPr="002562F9" w:rsidRDefault="0086736F" w:rsidP="008179B8">
      <w:pPr>
        <w:numPr>
          <w:ilvl w:val="0"/>
          <w:numId w:val="16"/>
        </w:numPr>
        <w:jc w:val="both"/>
        <w:rPr>
          <w:rFonts w:ascii="Arial" w:hAnsi="Arial"/>
          <w:color w:val="000000"/>
          <w:sz w:val="22"/>
        </w:rPr>
      </w:pPr>
      <w:r w:rsidRPr="002562F9">
        <w:rPr>
          <w:rFonts w:ascii="Arial" w:hAnsi="Arial"/>
          <w:color w:val="000000"/>
          <w:sz w:val="22"/>
          <w:lang w:val="el-GR"/>
        </w:rPr>
        <w:t>σοβαρή</w:t>
      </w:r>
      <w:r w:rsidRPr="002562F9">
        <w:rPr>
          <w:rFonts w:ascii="Arial" w:hAnsi="Arial"/>
          <w:color w:val="000000"/>
          <w:sz w:val="22"/>
        </w:rPr>
        <w:t xml:space="preserve"> </w:t>
      </w:r>
      <w:r w:rsidRPr="002562F9">
        <w:rPr>
          <w:rFonts w:ascii="Arial" w:hAnsi="Arial"/>
          <w:color w:val="000000"/>
          <w:sz w:val="22"/>
          <w:lang w:val="el-GR"/>
        </w:rPr>
        <w:t>αρτηριακή</w:t>
      </w:r>
      <w:r w:rsidRPr="002562F9">
        <w:rPr>
          <w:rFonts w:ascii="Arial" w:hAnsi="Arial"/>
          <w:color w:val="000000"/>
          <w:sz w:val="22"/>
        </w:rPr>
        <w:t xml:space="preserve"> </w:t>
      </w:r>
      <w:r w:rsidRPr="002562F9">
        <w:rPr>
          <w:rFonts w:ascii="Arial" w:hAnsi="Arial"/>
          <w:color w:val="000000"/>
          <w:sz w:val="22"/>
          <w:lang w:val="el-GR"/>
        </w:rPr>
        <w:t>υπέρταση</w:t>
      </w:r>
      <w:r w:rsidRPr="002562F9">
        <w:rPr>
          <w:rFonts w:ascii="Arial" w:hAnsi="Arial"/>
          <w:color w:val="000000"/>
          <w:sz w:val="22"/>
        </w:rPr>
        <w:t xml:space="preserve">, </w:t>
      </w:r>
    </w:p>
    <w:p w:rsidR="0086736F" w:rsidRPr="002562F9" w:rsidRDefault="0086736F" w:rsidP="008179B8">
      <w:pPr>
        <w:numPr>
          <w:ilvl w:val="0"/>
          <w:numId w:val="16"/>
        </w:numPr>
        <w:jc w:val="both"/>
        <w:rPr>
          <w:rFonts w:ascii="Arial" w:hAnsi="Arial"/>
          <w:color w:val="000000"/>
          <w:sz w:val="22"/>
          <w:lang w:val="el-GR"/>
        </w:rPr>
      </w:pPr>
      <w:r w:rsidRPr="002562F9">
        <w:rPr>
          <w:rFonts w:ascii="Arial" w:hAnsi="Arial"/>
          <w:color w:val="000000"/>
          <w:sz w:val="22"/>
          <w:lang w:val="el-GR"/>
        </w:rPr>
        <w:t xml:space="preserve">ιστορικό πεπτικού έλκους ή </w:t>
      </w:r>
      <w:r w:rsidR="00AC7CF1">
        <w:rPr>
          <w:rFonts w:ascii="Arial" w:hAnsi="Arial"/>
          <w:sz w:val="22"/>
          <w:lang w:val="el-GR"/>
        </w:rPr>
        <w:t>οποια</w:t>
      </w:r>
      <w:r w:rsidR="00B36667">
        <w:rPr>
          <w:rFonts w:ascii="Arial" w:hAnsi="Arial"/>
          <w:sz w:val="22"/>
          <w:lang w:val="el-GR"/>
        </w:rPr>
        <w:t>σ</w:t>
      </w:r>
      <w:r w:rsidR="00AC7CF1">
        <w:rPr>
          <w:rFonts w:ascii="Arial" w:hAnsi="Arial"/>
          <w:sz w:val="22"/>
          <w:lang w:val="el-GR"/>
        </w:rPr>
        <w:t>δήποτε άλλη</w:t>
      </w:r>
      <w:r w:rsidR="00B36667">
        <w:rPr>
          <w:rFonts w:ascii="Arial" w:hAnsi="Arial"/>
          <w:sz w:val="22"/>
          <w:lang w:val="el-GR"/>
        </w:rPr>
        <w:t>ς</w:t>
      </w:r>
      <w:r w:rsidR="00AC7CF1">
        <w:rPr>
          <w:rFonts w:ascii="Arial" w:hAnsi="Arial"/>
          <w:sz w:val="22"/>
          <w:lang w:val="el-GR"/>
        </w:rPr>
        <w:t xml:space="preserve"> οργανική</w:t>
      </w:r>
      <w:r w:rsidR="00B36667">
        <w:rPr>
          <w:rFonts w:ascii="Arial" w:hAnsi="Arial"/>
          <w:sz w:val="22"/>
          <w:lang w:val="el-GR"/>
        </w:rPr>
        <w:t>ς</w:t>
      </w:r>
      <w:r w:rsidR="00AC7CF1">
        <w:rPr>
          <w:rFonts w:ascii="Arial" w:hAnsi="Arial"/>
          <w:sz w:val="22"/>
          <w:lang w:val="el-GR"/>
        </w:rPr>
        <w:t xml:space="preserve"> βλάβη</w:t>
      </w:r>
      <w:r w:rsidR="00B36667">
        <w:rPr>
          <w:rFonts w:ascii="Arial" w:hAnsi="Arial"/>
          <w:sz w:val="22"/>
          <w:lang w:val="el-GR"/>
        </w:rPr>
        <w:t>ς</w:t>
      </w:r>
      <w:r w:rsidRPr="00B36667">
        <w:rPr>
          <w:rFonts w:ascii="Arial" w:hAnsi="Arial"/>
          <w:sz w:val="22"/>
          <w:lang w:val="el-GR"/>
        </w:rPr>
        <w:t xml:space="preserve"> που </w:t>
      </w:r>
      <w:r w:rsidRPr="002562F9">
        <w:rPr>
          <w:rFonts w:ascii="Arial" w:hAnsi="Arial"/>
          <w:color w:val="000000"/>
          <w:sz w:val="22"/>
          <w:lang w:val="el-GR"/>
        </w:rPr>
        <w:t xml:space="preserve">ενδέχεται να αιμορραγήσει, </w:t>
      </w:r>
    </w:p>
    <w:p w:rsidR="0086736F" w:rsidRPr="002562F9" w:rsidRDefault="0086736F" w:rsidP="008179B8">
      <w:pPr>
        <w:numPr>
          <w:ilvl w:val="0"/>
          <w:numId w:val="16"/>
        </w:numPr>
        <w:jc w:val="both"/>
        <w:rPr>
          <w:rFonts w:ascii="Arial" w:hAnsi="Arial"/>
          <w:color w:val="000000"/>
          <w:sz w:val="22"/>
        </w:rPr>
      </w:pPr>
      <w:r w:rsidRPr="002562F9">
        <w:rPr>
          <w:rFonts w:ascii="Arial" w:hAnsi="Arial"/>
          <w:color w:val="000000"/>
          <w:sz w:val="22"/>
          <w:lang w:val="el-GR"/>
        </w:rPr>
        <w:t>αγγειακές</w:t>
      </w:r>
      <w:r w:rsidRPr="002562F9">
        <w:rPr>
          <w:rFonts w:ascii="Arial" w:hAnsi="Arial"/>
          <w:color w:val="000000"/>
          <w:sz w:val="22"/>
        </w:rPr>
        <w:t xml:space="preserve"> </w:t>
      </w:r>
      <w:r w:rsidRPr="002562F9">
        <w:rPr>
          <w:rFonts w:ascii="Arial" w:hAnsi="Arial"/>
          <w:color w:val="000000"/>
          <w:sz w:val="22"/>
          <w:lang w:val="el-GR"/>
        </w:rPr>
        <w:t>διαταραχές</w:t>
      </w:r>
      <w:r w:rsidRPr="002562F9">
        <w:rPr>
          <w:rFonts w:ascii="Arial" w:hAnsi="Arial"/>
          <w:color w:val="000000"/>
          <w:sz w:val="22"/>
        </w:rPr>
        <w:t xml:space="preserve"> </w:t>
      </w:r>
      <w:r w:rsidRPr="002562F9">
        <w:rPr>
          <w:rFonts w:ascii="Arial" w:hAnsi="Arial"/>
          <w:color w:val="000000"/>
          <w:sz w:val="22"/>
          <w:lang w:val="el-GR"/>
        </w:rPr>
        <w:t>του</w:t>
      </w:r>
      <w:r w:rsidRPr="002562F9">
        <w:rPr>
          <w:rFonts w:ascii="Arial" w:hAnsi="Arial"/>
          <w:color w:val="000000"/>
          <w:sz w:val="22"/>
        </w:rPr>
        <w:t xml:space="preserve"> </w:t>
      </w:r>
      <w:r w:rsidRPr="002562F9">
        <w:rPr>
          <w:rFonts w:ascii="Arial" w:hAnsi="Arial"/>
          <w:color w:val="000000"/>
          <w:sz w:val="22"/>
          <w:lang w:val="el-GR"/>
        </w:rPr>
        <w:t>χοριοαμφιβληστροειδούς</w:t>
      </w:r>
    </w:p>
    <w:p w:rsidR="0086736F" w:rsidRPr="002562F9" w:rsidRDefault="00E71D3E" w:rsidP="008179B8">
      <w:pPr>
        <w:numPr>
          <w:ilvl w:val="0"/>
          <w:numId w:val="16"/>
        </w:numPr>
        <w:jc w:val="both"/>
        <w:rPr>
          <w:rFonts w:ascii="Arial" w:hAnsi="Arial"/>
          <w:color w:val="000000"/>
          <w:sz w:val="22"/>
          <w:lang w:val="el-GR"/>
        </w:rPr>
      </w:pPr>
      <w:r w:rsidRPr="002562F9">
        <w:rPr>
          <w:rFonts w:ascii="Arial" w:hAnsi="Arial"/>
          <w:color w:val="000000"/>
          <w:sz w:val="22"/>
          <w:lang w:val="el-GR"/>
        </w:rPr>
        <w:t xml:space="preserve">κατά </w:t>
      </w:r>
      <w:r w:rsidR="0086736F" w:rsidRPr="002562F9">
        <w:rPr>
          <w:rFonts w:ascii="Arial" w:hAnsi="Arial"/>
          <w:color w:val="000000"/>
          <w:sz w:val="22"/>
          <w:lang w:val="el-GR"/>
        </w:rPr>
        <w:t>την μετεγχειρητική περίοδο χειρουργ</w:t>
      </w:r>
      <w:r w:rsidRPr="002562F9">
        <w:rPr>
          <w:rFonts w:ascii="Arial" w:hAnsi="Arial"/>
          <w:color w:val="000000"/>
          <w:sz w:val="22"/>
          <w:lang w:val="el-GR"/>
        </w:rPr>
        <w:t>ική</w:t>
      </w:r>
      <w:r w:rsidR="006A1034" w:rsidRPr="002562F9">
        <w:rPr>
          <w:rFonts w:ascii="Arial" w:hAnsi="Arial"/>
          <w:color w:val="000000"/>
          <w:sz w:val="22"/>
          <w:lang w:val="el-GR"/>
        </w:rPr>
        <w:t>ς</w:t>
      </w:r>
      <w:r w:rsidRPr="002562F9">
        <w:rPr>
          <w:rFonts w:ascii="Arial" w:hAnsi="Arial"/>
          <w:color w:val="000000"/>
          <w:sz w:val="22"/>
          <w:lang w:val="el-GR"/>
        </w:rPr>
        <w:t xml:space="preserve"> επέμβαση</w:t>
      </w:r>
      <w:r w:rsidR="006A1034" w:rsidRPr="002562F9">
        <w:rPr>
          <w:rFonts w:ascii="Arial" w:hAnsi="Arial"/>
          <w:color w:val="000000"/>
          <w:sz w:val="22"/>
          <w:lang w:val="el-GR"/>
        </w:rPr>
        <w:t>ς</w:t>
      </w:r>
      <w:r w:rsidR="0086736F" w:rsidRPr="002562F9">
        <w:rPr>
          <w:rFonts w:ascii="Arial" w:hAnsi="Arial"/>
          <w:color w:val="000000"/>
          <w:sz w:val="22"/>
          <w:lang w:val="el-GR"/>
        </w:rPr>
        <w:t xml:space="preserve"> εγκεφάλου, σπονδυλικής στήλης ή οφθαλμών.</w:t>
      </w:r>
    </w:p>
    <w:p w:rsidR="0086736F" w:rsidRPr="002562F9" w:rsidRDefault="0086736F" w:rsidP="008179B8">
      <w:pPr>
        <w:ind w:left="360" w:hanging="360"/>
        <w:jc w:val="both"/>
        <w:rPr>
          <w:rFonts w:ascii="Arial" w:hAnsi="Arial"/>
          <w:color w:val="000000"/>
          <w:sz w:val="22"/>
          <w:lang w:val="el-GR"/>
        </w:rPr>
      </w:pPr>
    </w:p>
    <w:p w:rsidR="00581D28" w:rsidRPr="004E2B7C" w:rsidRDefault="0096798D" w:rsidP="008179B8">
      <w:pPr>
        <w:pStyle w:val="BridgeheadGDS"/>
      </w:pPr>
      <w:r w:rsidRPr="0018765F">
        <w:t>Νεφρική ανεπάρκεια</w:t>
      </w:r>
    </w:p>
    <w:p w:rsidR="00AE1893" w:rsidRPr="002562F9" w:rsidRDefault="00AE1893" w:rsidP="008179B8">
      <w:pPr>
        <w:jc w:val="both"/>
        <w:rPr>
          <w:rFonts w:ascii="Arial" w:hAnsi="Arial" w:cs="Arial"/>
          <w:color w:val="000000"/>
          <w:sz w:val="22"/>
          <w:szCs w:val="22"/>
          <w:lang w:val="el-GR"/>
        </w:rPr>
      </w:pPr>
      <w:r w:rsidRPr="002562F9">
        <w:rPr>
          <w:rStyle w:val="CSIchar"/>
          <w:rFonts w:ascii="Arial" w:hAnsi="Arial" w:cs="Arial"/>
          <w:color w:val="000000"/>
          <w:sz w:val="22"/>
          <w:szCs w:val="22"/>
          <w:shd w:val="clear" w:color="auto" w:fill="auto"/>
          <w:lang w:val="el-GR"/>
        </w:rPr>
        <w:t>Η ναδροπαρίνη είναι γνωστό ότι απεκκρίνεται κυρίως από τους νεφρούς, το οποίο έχει ως αποτέλεσμα αυξημένη έκθεση στη ναδροπαρίνη σε ασθενείς με νεφρική ανεπάρκεια</w:t>
      </w:r>
      <w:r w:rsidRPr="002562F9">
        <w:rPr>
          <w:rFonts w:ascii="Arial" w:hAnsi="Arial" w:cs="Arial"/>
          <w:color w:val="000000"/>
          <w:sz w:val="22"/>
          <w:szCs w:val="22"/>
          <w:lang w:val="el-GR"/>
        </w:rPr>
        <w:t xml:space="preserve"> (βλέπε παράγραφο 5.2). Οι ασθενείς με διαταραχή της νεφρικής λειτουργίας έχουν αυξημένο κίνδυνο αιμορραγίας και θα πρέπει να αντιμετωπίζονται με προσοχή</w:t>
      </w:r>
      <w:r w:rsidRPr="002562F9">
        <w:rPr>
          <w:rStyle w:val="CSIchar"/>
          <w:rFonts w:ascii="Arial" w:hAnsi="Arial" w:cs="Arial"/>
          <w:color w:val="000000"/>
          <w:sz w:val="22"/>
          <w:szCs w:val="22"/>
          <w:shd w:val="clear" w:color="auto" w:fill="auto"/>
          <w:lang w:val="el-GR"/>
        </w:rPr>
        <w:t>.</w:t>
      </w:r>
    </w:p>
    <w:p w:rsidR="00AE1893" w:rsidRPr="002562F9" w:rsidRDefault="00AE1893" w:rsidP="008179B8">
      <w:pPr>
        <w:jc w:val="both"/>
        <w:rPr>
          <w:rFonts w:ascii="Arial" w:hAnsi="Arial" w:cs="Arial"/>
          <w:color w:val="000000"/>
          <w:sz w:val="22"/>
          <w:szCs w:val="22"/>
          <w:lang w:val="el-GR"/>
        </w:rPr>
      </w:pPr>
    </w:p>
    <w:p w:rsidR="00AE1893" w:rsidRPr="002562F9" w:rsidRDefault="00AE1893" w:rsidP="008179B8">
      <w:pPr>
        <w:jc w:val="both"/>
        <w:rPr>
          <w:rFonts w:ascii="Arial" w:hAnsi="Arial" w:cs="Arial"/>
          <w:color w:val="000000"/>
          <w:sz w:val="22"/>
          <w:szCs w:val="22"/>
          <w:lang w:val="el-GR"/>
        </w:rPr>
      </w:pPr>
      <w:r w:rsidRPr="002562F9">
        <w:rPr>
          <w:rStyle w:val="CSIchar"/>
          <w:rFonts w:ascii="Arial" w:hAnsi="Arial" w:cs="Arial"/>
          <w:color w:val="000000"/>
          <w:sz w:val="22"/>
          <w:szCs w:val="22"/>
          <w:shd w:val="clear" w:color="auto" w:fill="auto"/>
          <w:lang w:val="el-GR"/>
        </w:rPr>
        <w:t xml:space="preserve">Η απόφαση για το εάν απαιτείται μείωση της δόσης σε ασθενείς με κάθαρση κρεατινίνης 30 έως 50 </w:t>
      </w:r>
      <w:r w:rsidRPr="002562F9">
        <w:rPr>
          <w:rStyle w:val="CSIchar"/>
          <w:rFonts w:ascii="Arial" w:hAnsi="Arial" w:cs="Arial"/>
          <w:color w:val="000000"/>
          <w:sz w:val="22"/>
          <w:szCs w:val="22"/>
          <w:shd w:val="clear" w:color="auto" w:fill="auto"/>
        </w:rPr>
        <w:t>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00E31B95">
        <w:rPr>
          <w:rStyle w:val="CSIchar"/>
          <w:rFonts w:ascii="Arial" w:hAnsi="Arial" w:cs="Arial"/>
          <w:color w:val="000000"/>
          <w:sz w:val="22"/>
          <w:szCs w:val="22"/>
          <w:shd w:val="clear" w:color="auto" w:fill="auto"/>
          <w:lang w:val="el-GR"/>
        </w:rPr>
        <w:t xml:space="preserve"> (μέτρια νεφρική ανεπάρκεια)</w:t>
      </w:r>
      <w:r w:rsidRPr="002562F9">
        <w:rPr>
          <w:rStyle w:val="CSIchar"/>
          <w:rFonts w:ascii="Arial" w:hAnsi="Arial" w:cs="Arial"/>
          <w:color w:val="000000"/>
          <w:sz w:val="22"/>
          <w:szCs w:val="22"/>
          <w:shd w:val="clear" w:color="auto" w:fill="auto"/>
          <w:lang w:val="el-GR"/>
        </w:rPr>
        <w:t>, θα πρέπει να βασίζεται στην αξιολόγηση από τον γιατρό του ατομικού κινδύνου αιμορραγίας του ασθενούς έναντι του κινδύνου θρομβοεμβολής</w:t>
      </w:r>
      <w:r w:rsidRPr="002562F9">
        <w:rPr>
          <w:rFonts w:ascii="Arial" w:hAnsi="Arial" w:cs="Arial"/>
          <w:color w:val="000000"/>
          <w:sz w:val="22"/>
          <w:szCs w:val="22"/>
          <w:lang w:val="el-GR"/>
        </w:rPr>
        <w:t xml:space="preserve"> (βλέπε παράγραφο 4.2).</w:t>
      </w:r>
    </w:p>
    <w:p w:rsidR="00581D28" w:rsidRPr="002562F9" w:rsidRDefault="00581D28" w:rsidP="008179B8">
      <w:pPr>
        <w:jc w:val="both"/>
        <w:rPr>
          <w:rFonts w:ascii="Arial" w:hAnsi="Arial" w:cs="Arial"/>
          <w:color w:val="000000"/>
          <w:sz w:val="22"/>
          <w:szCs w:val="22"/>
          <w:lang w:val="el-GR"/>
        </w:rPr>
      </w:pPr>
    </w:p>
    <w:p w:rsidR="00FA0A96" w:rsidRPr="002562F9" w:rsidRDefault="00FA0A96" w:rsidP="008179B8">
      <w:pPr>
        <w:jc w:val="both"/>
        <w:rPr>
          <w:rFonts w:ascii="Arial" w:hAnsi="Arial"/>
          <w:b/>
          <w:i/>
          <w:color w:val="000000"/>
          <w:sz w:val="22"/>
          <w:lang w:val="el-GR"/>
        </w:rPr>
      </w:pPr>
      <w:r w:rsidRPr="002562F9">
        <w:rPr>
          <w:rFonts w:ascii="Arial" w:hAnsi="Arial"/>
          <w:b/>
          <w:i/>
          <w:color w:val="000000"/>
          <w:sz w:val="22"/>
          <w:lang w:val="el-GR"/>
        </w:rPr>
        <w:t>Ηλικιωμένοι</w:t>
      </w:r>
    </w:p>
    <w:p w:rsidR="00FA0A96" w:rsidRPr="002562F9" w:rsidRDefault="00FA0A96" w:rsidP="008179B8">
      <w:pPr>
        <w:jc w:val="both"/>
        <w:rPr>
          <w:rFonts w:ascii="Arial" w:hAnsi="Arial"/>
          <w:color w:val="000000"/>
          <w:sz w:val="22"/>
          <w:lang w:val="el-GR"/>
        </w:rPr>
      </w:pPr>
      <w:r w:rsidRPr="002562F9">
        <w:rPr>
          <w:rFonts w:ascii="Arial" w:hAnsi="Arial"/>
          <w:color w:val="000000"/>
          <w:sz w:val="22"/>
          <w:lang w:val="el-GR"/>
        </w:rPr>
        <w:t xml:space="preserve">Πριν την έναρξη της θεραπείας, συνιστάται αξιολόγηση της νεφρικής λειτουργίας (βλέπε </w:t>
      </w:r>
      <w:r w:rsidR="003B7D13" w:rsidRPr="002562F9">
        <w:rPr>
          <w:rFonts w:ascii="Arial" w:hAnsi="Arial"/>
          <w:color w:val="000000"/>
          <w:sz w:val="22"/>
          <w:lang w:val="el-GR"/>
        </w:rPr>
        <w:t>παρ</w:t>
      </w:r>
      <w:r w:rsidR="0018765F">
        <w:rPr>
          <w:rFonts w:ascii="Arial" w:hAnsi="Arial"/>
          <w:color w:val="000000"/>
          <w:sz w:val="22"/>
          <w:lang w:val="el-GR"/>
        </w:rPr>
        <w:t>ά</w:t>
      </w:r>
      <w:r w:rsidR="003B7D13" w:rsidRPr="002562F9">
        <w:rPr>
          <w:rFonts w:ascii="Arial" w:hAnsi="Arial"/>
          <w:color w:val="000000"/>
          <w:sz w:val="22"/>
          <w:lang w:val="el-GR"/>
        </w:rPr>
        <w:t>γρ</w:t>
      </w:r>
      <w:r w:rsidR="0018765F">
        <w:rPr>
          <w:rFonts w:ascii="Arial" w:hAnsi="Arial"/>
          <w:color w:val="000000"/>
          <w:sz w:val="22"/>
          <w:lang w:val="el-GR"/>
        </w:rPr>
        <w:t>α</w:t>
      </w:r>
      <w:r w:rsidR="003B7D13" w:rsidRPr="002562F9">
        <w:rPr>
          <w:rFonts w:ascii="Arial" w:hAnsi="Arial"/>
          <w:color w:val="000000"/>
          <w:sz w:val="22"/>
          <w:lang w:val="el-GR"/>
        </w:rPr>
        <w:t xml:space="preserve">φο </w:t>
      </w:r>
      <w:r w:rsidRPr="002562F9">
        <w:rPr>
          <w:rFonts w:ascii="Arial" w:hAnsi="Arial"/>
          <w:color w:val="000000"/>
          <w:sz w:val="22"/>
          <w:lang w:val="el-GR"/>
        </w:rPr>
        <w:t>4.3).</w:t>
      </w:r>
    </w:p>
    <w:p w:rsidR="00FA0A96" w:rsidRPr="002562F9" w:rsidRDefault="00FA0A96" w:rsidP="008179B8">
      <w:pPr>
        <w:jc w:val="both"/>
        <w:rPr>
          <w:rFonts w:ascii="Arial" w:hAnsi="Arial"/>
          <w:color w:val="000000"/>
          <w:sz w:val="22"/>
          <w:lang w:val="el-GR"/>
        </w:rPr>
      </w:pPr>
    </w:p>
    <w:p w:rsidR="00FA0A96" w:rsidRPr="002562F9" w:rsidRDefault="00FA0A96" w:rsidP="008179B8">
      <w:pPr>
        <w:jc w:val="both"/>
        <w:rPr>
          <w:rFonts w:ascii="Arial" w:hAnsi="Arial"/>
          <w:b/>
          <w:i/>
          <w:color w:val="000000"/>
          <w:sz w:val="22"/>
          <w:lang w:val="el-GR"/>
        </w:rPr>
      </w:pPr>
      <w:r w:rsidRPr="002562F9">
        <w:rPr>
          <w:rFonts w:ascii="Arial" w:hAnsi="Arial"/>
          <w:b/>
          <w:i/>
          <w:color w:val="000000"/>
          <w:sz w:val="22"/>
          <w:lang w:val="el-GR"/>
        </w:rPr>
        <w:t>Υπερκαλιαιμία</w:t>
      </w: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Η ηπαρίνη μπορεί να καταστείλει την έκκριση της αλδοστερόνης</w:t>
      </w:r>
      <w:r w:rsidR="00E71D3E" w:rsidRPr="002562F9">
        <w:rPr>
          <w:rFonts w:ascii="Arial" w:hAnsi="Arial"/>
          <w:color w:val="000000"/>
          <w:sz w:val="22"/>
          <w:lang w:val="el-GR"/>
        </w:rPr>
        <w:t xml:space="preserve"> από τα επινεφρίδια,</w:t>
      </w:r>
      <w:r w:rsidRPr="002562F9">
        <w:rPr>
          <w:rFonts w:ascii="Arial" w:hAnsi="Arial"/>
          <w:color w:val="000000"/>
          <w:sz w:val="22"/>
          <w:lang w:val="el-GR"/>
        </w:rPr>
        <w:t xml:space="preserve"> οδηγώντας σε υπερκαλιαιμία, ιδιαίτερα σε ασθενείς με αυξημένα επίπεδα </w:t>
      </w:r>
      <w:r w:rsidR="00B36667">
        <w:rPr>
          <w:rFonts w:ascii="Arial" w:hAnsi="Arial"/>
          <w:color w:val="000000"/>
          <w:sz w:val="22"/>
          <w:lang w:val="el-GR"/>
        </w:rPr>
        <w:t>κ</w:t>
      </w:r>
      <w:r w:rsidR="00AC7CF1">
        <w:rPr>
          <w:rFonts w:ascii="Arial" w:hAnsi="Arial"/>
          <w:sz w:val="22"/>
          <w:lang w:val="el-GR"/>
        </w:rPr>
        <w:t>αλίου</w:t>
      </w:r>
      <w:r w:rsidRPr="00B36667">
        <w:rPr>
          <w:rFonts w:ascii="Arial" w:hAnsi="Arial"/>
          <w:sz w:val="22"/>
          <w:lang w:val="el-GR"/>
        </w:rPr>
        <w:t xml:space="preserve"> στο πλάσμα ή σε ασθενείς με κίνδυνο αύξησης των επιπέδων </w:t>
      </w:r>
      <w:r w:rsidR="00B36667">
        <w:rPr>
          <w:rFonts w:ascii="Arial" w:hAnsi="Arial"/>
          <w:sz w:val="22"/>
          <w:lang w:val="el-GR"/>
        </w:rPr>
        <w:t>κ</w:t>
      </w:r>
      <w:r w:rsidR="00AC7CF1">
        <w:rPr>
          <w:rFonts w:ascii="Arial" w:hAnsi="Arial"/>
          <w:sz w:val="22"/>
          <w:lang w:val="el-GR"/>
        </w:rPr>
        <w:t>αλίου</w:t>
      </w:r>
      <w:r w:rsidRPr="00B36667">
        <w:rPr>
          <w:rFonts w:ascii="Arial" w:hAnsi="Arial"/>
          <w:sz w:val="22"/>
          <w:lang w:val="el-GR"/>
        </w:rPr>
        <w:t xml:space="preserve"> στο πλάσμα</w:t>
      </w:r>
      <w:r w:rsidRPr="002562F9">
        <w:rPr>
          <w:rFonts w:ascii="Arial" w:hAnsi="Arial"/>
          <w:color w:val="000000"/>
          <w:sz w:val="22"/>
          <w:lang w:val="el-GR"/>
        </w:rPr>
        <w:t xml:space="preserve">, όπως ασθενείς με σακχαρώδη διαβήτη, χρόνια νεφρική ανεπάρκεια, προϋπάρχουσα μεταβολική οξέωση ή ασθενείς που λαμβάνουν φάρμακα τα οποία μπορεί να αυξήσουν τα επίπεδα </w:t>
      </w:r>
      <w:r w:rsidR="00B36667">
        <w:rPr>
          <w:rFonts w:ascii="Arial" w:hAnsi="Arial"/>
          <w:color w:val="000000"/>
          <w:sz w:val="22"/>
          <w:lang w:val="el-GR"/>
        </w:rPr>
        <w:t>κ</w:t>
      </w:r>
      <w:r w:rsidR="00AC7CF1">
        <w:rPr>
          <w:rFonts w:ascii="Arial" w:hAnsi="Arial"/>
          <w:sz w:val="22"/>
          <w:lang w:val="el-GR"/>
        </w:rPr>
        <w:t>αλίου</w:t>
      </w:r>
      <w:r w:rsidRPr="00B36667">
        <w:rPr>
          <w:rFonts w:ascii="Arial" w:hAnsi="Arial"/>
          <w:sz w:val="22"/>
          <w:lang w:val="el-GR"/>
        </w:rPr>
        <w:t xml:space="preserve"> </w:t>
      </w:r>
      <w:r w:rsidRPr="002562F9">
        <w:rPr>
          <w:rFonts w:ascii="Arial" w:hAnsi="Arial"/>
          <w:color w:val="000000"/>
          <w:sz w:val="22"/>
          <w:lang w:val="el-GR"/>
        </w:rPr>
        <w:t>στο αίμα (π.χ</w:t>
      </w:r>
      <w:r w:rsidR="00E71D3E" w:rsidRPr="002562F9">
        <w:rPr>
          <w:rFonts w:ascii="Arial" w:hAnsi="Arial"/>
          <w:color w:val="000000"/>
          <w:sz w:val="22"/>
          <w:lang w:val="el-GR"/>
        </w:rPr>
        <w:t>.</w:t>
      </w:r>
      <w:r w:rsidRPr="002562F9">
        <w:rPr>
          <w:rFonts w:ascii="Arial" w:hAnsi="Arial"/>
          <w:color w:val="000000"/>
          <w:sz w:val="22"/>
          <w:lang w:val="el-GR"/>
        </w:rPr>
        <w:t xml:space="preserve"> αναστολείς </w:t>
      </w:r>
      <w:r w:rsidR="0018765F">
        <w:rPr>
          <w:rFonts w:ascii="Arial" w:hAnsi="Arial"/>
          <w:color w:val="000000"/>
          <w:sz w:val="22"/>
          <w:lang w:val="el-GR"/>
        </w:rPr>
        <w:t xml:space="preserve">του Μετατρεπτικού Ενζύμου της Αγγειοτενσίνης </w:t>
      </w:r>
      <w:r w:rsidR="00B80530">
        <w:rPr>
          <w:rFonts w:ascii="Arial" w:hAnsi="Arial"/>
          <w:color w:val="000000"/>
          <w:sz w:val="22"/>
          <w:lang w:val="el-GR"/>
        </w:rPr>
        <w:t>(</w:t>
      </w:r>
      <w:r w:rsidR="008C30F0">
        <w:rPr>
          <w:rFonts w:ascii="Arial" w:hAnsi="Arial"/>
          <w:color w:val="000000"/>
          <w:sz w:val="22"/>
          <w:lang w:val="el-GR"/>
        </w:rPr>
        <w:t>α</w:t>
      </w:r>
      <w:r w:rsidR="00E71D3E" w:rsidRPr="002562F9">
        <w:rPr>
          <w:rFonts w:ascii="Arial" w:hAnsi="Arial"/>
          <w:color w:val="000000"/>
          <w:sz w:val="22"/>
          <w:lang w:val="el-GR"/>
        </w:rPr>
        <w:t>ΜΕΑ</w:t>
      </w:r>
      <w:r w:rsidR="00B80530">
        <w:rPr>
          <w:rFonts w:ascii="Arial" w:hAnsi="Arial"/>
          <w:color w:val="000000"/>
          <w:sz w:val="22"/>
          <w:lang w:val="el-GR"/>
        </w:rPr>
        <w:t>)</w:t>
      </w:r>
      <w:r w:rsidRPr="002562F9">
        <w:rPr>
          <w:rFonts w:ascii="Arial" w:hAnsi="Arial"/>
          <w:color w:val="000000"/>
          <w:sz w:val="22"/>
          <w:lang w:val="el-GR"/>
        </w:rPr>
        <w:t xml:space="preserve">, </w:t>
      </w:r>
      <w:r w:rsidR="00B80530">
        <w:rPr>
          <w:rFonts w:ascii="Arial" w:hAnsi="Arial"/>
          <w:color w:val="000000"/>
          <w:sz w:val="22"/>
          <w:lang w:val="el-GR"/>
        </w:rPr>
        <w:t>Μη Στεροειδή Αντιφλεγμονώδη Φάρμακα (</w:t>
      </w:r>
      <w:r w:rsidRPr="002562F9">
        <w:rPr>
          <w:rFonts w:ascii="Arial" w:hAnsi="Arial"/>
          <w:color w:val="000000"/>
          <w:sz w:val="22"/>
          <w:lang w:val="el-GR"/>
        </w:rPr>
        <w:t xml:space="preserve">ΜΣΑΦ). </w:t>
      </w:r>
    </w:p>
    <w:p w:rsidR="00B80530" w:rsidRDefault="00B80530" w:rsidP="008179B8">
      <w:pPr>
        <w:jc w:val="both"/>
        <w:rPr>
          <w:rFonts w:ascii="Arial" w:hAnsi="Arial"/>
          <w:color w:val="000000"/>
          <w:sz w:val="22"/>
          <w:lang w:val="el-GR"/>
        </w:rPr>
      </w:pPr>
    </w:p>
    <w:p w:rsidR="0018765F" w:rsidRDefault="0086736F" w:rsidP="008179B8">
      <w:pPr>
        <w:jc w:val="both"/>
        <w:rPr>
          <w:rFonts w:ascii="Arial" w:hAnsi="Arial"/>
          <w:color w:val="000000"/>
          <w:sz w:val="22"/>
          <w:lang w:val="el-GR"/>
        </w:rPr>
      </w:pPr>
      <w:r w:rsidRPr="002562F9">
        <w:rPr>
          <w:rFonts w:ascii="Arial" w:hAnsi="Arial"/>
          <w:color w:val="000000"/>
          <w:sz w:val="22"/>
          <w:lang w:val="el-GR"/>
        </w:rPr>
        <w:t xml:space="preserve">Ο κίνδυνος υπερκαλιαιμίας φαίνεται να </w:t>
      </w:r>
      <w:r w:rsidR="00AC7CF1">
        <w:rPr>
          <w:rFonts w:ascii="Arial" w:hAnsi="Arial"/>
          <w:sz w:val="22"/>
          <w:lang w:val="el-GR"/>
        </w:rPr>
        <w:t>αυξάνε</w:t>
      </w:r>
      <w:r w:rsidR="00B36667">
        <w:rPr>
          <w:rFonts w:ascii="Arial" w:hAnsi="Arial"/>
          <w:sz w:val="22"/>
          <w:lang w:val="el-GR"/>
        </w:rPr>
        <w:t>τα</w:t>
      </w:r>
      <w:r w:rsidR="00AC7CF1">
        <w:rPr>
          <w:rFonts w:ascii="Arial" w:hAnsi="Arial"/>
          <w:sz w:val="22"/>
          <w:lang w:val="el-GR"/>
        </w:rPr>
        <w:t>ι</w:t>
      </w:r>
      <w:r w:rsidRPr="002562F9">
        <w:rPr>
          <w:rFonts w:ascii="Arial" w:hAnsi="Arial"/>
          <w:color w:val="000000"/>
          <w:sz w:val="22"/>
          <w:lang w:val="el-GR"/>
        </w:rPr>
        <w:t xml:space="preserve"> με την διάρκεια της θεραπείας</w:t>
      </w:r>
      <w:r w:rsidR="00E71D3E" w:rsidRPr="002562F9">
        <w:rPr>
          <w:rFonts w:ascii="Arial" w:hAnsi="Arial"/>
          <w:color w:val="000000"/>
          <w:sz w:val="22"/>
          <w:lang w:val="el-GR"/>
        </w:rPr>
        <w:t>,</w:t>
      </w:r>
      <w:r w:rsidRPr="002562F9">
        <w:rPr>
          <w:rFonts w:ascii="Arial" w:hAnsi="Arial"/>
          <w:color w:val="000000"/>
          <w:sz w:val="22"/>
          <w:lang w:val="el-GR"/>
        </w:rPr>
        <w:t xml:space="preserve"> αλλά συνήθως είναι αναστρέψιμος. </w:t>
      </w:r>
    </w:p>
    <w:p w:rsidR="0018765F" w:rsidRDefault="0018765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Τα επίπεδα του </w:t>
      </w:r>
      <w:r w:rsidR="00B36667">
        <w:rPr>
          <w:rFonts w:ascii="Arial" w:hAnsi="Arial"/>
          <w:color w:val="000000"/>
          <w:sz w:val="22"/>
          <w:lang w:val="el-GR"/>
        </w:rPr>
        <w:t>κ</w:t>
      </w:r>
      <w:r w:rsidR="00AC7CF1">
        <w:rPr>
          <w:rFonts w:ascii="Arial" w:hAnsi="Arial"/>
          <w:sz w:val="22"/>
          <w:lang w:val="el-GR"/>
        </w:rPr>
        <w:t>αλίου</w:t>
      </w:r>
      <w:r w:rsidRPr="002562F9">
        <w:rPr>
          <w:rFonts w:ascii="Arial" w:hAnsi="Arial"/>
          <w:color w:val="000000"/>
          <w:sz w:val="22"/>
          <w:lang w:val="el-GR"/>
        </w:rPr>
        <w:t xml:space="preserve"> στο πλάσμα θα πρέπει να παρακολουθούνται σε ασθενείς σε κίνδυνο.</w:t>
      </w:r>
    </w:p>
    <w:p w:rsidR="0086736F" w:rsidRPr="002562F9" w:rsidRDefault="0086736F" w:rsidP="008179B8">
      <w:pPr>
        <w:jc w:val="both"/>
        <w:rPr>
          <w:rFonts w:ascii="Arial" w:hAnsi="Arial"/>
          <w:color w:val="000000"/>
          <w:sz w:val="22"/>
          <w:lang w:val="el-GR"/>
        </w:rPr>
      </w:pPr>
    </w:p>
    <w:p w:rsidR="00FA0A96" w:rsidRPr="002562F9" w:rsidRDefault="00FA0A96" w:rsidP="008179B8">
      <w:pPr>
        <w:jc w:val="both"/>
        <w:rPr>
          <w:rFonts w:ascii="Arial" w:hAnsi="Arial"/>
          <w:b/>
          <w:i/>
          <w:color w:val="000000"/>
          <w:sz w:val="22"/>
          <w:lang w:val="el-GR"/>
        </w:rPr>
      </w:pPr>
      <w:r w:rsidRPr="002562F9">
        <w:rPr>
          <w:rFonts w:ascii="Arial" w:hAnsi="Arial"/>
          <w:b/>
          <w:i/>
          <w:color w:val="000000"/>
          <w:sz w:val="22"/>
          <w:lang w:val="el-GR"/>
        </w:rPr>
        <w:lastRenderedPageBreak/>
        <w:t>Ραχιαία /</w:t>
      </w:r>
      <w:r w:rsidRPr="002562F9">
        <w:rPr>
          <w:rFonts w:ascii="Arial" w:hAnsi="Arial"/>
          <w:b/>
          <w:i/>
          <w:color w:val="000000"/>
          <w:sz w:val="22"/>
        </w:rPr>
        <w:t>E</w:t>
      </w:r>
      <w:r w:rsidRPr="002562F9">
        <w:rPr>
          <w:rFonts w:ascii="Arial" w:hAnsi="Arial"/>
          <w:b/>
          <w:i/>
          <w:color w:val="000000"/>
          <w:sz w:val="22"/>
          <w:lang w:val="el-GR"/>
        </w:rPr>
        <w:t>πισκληρίδος αναισθησία/οσφυονωτιαία παρακέντηση και συγχορηγούμενα φάρμακα</w:t>
      </w:r>
      <w:r w:rsidRPr="002562F9" w:rsidDel="00FE4A0A">
        <w:rPr>
          <w:rFonts w:ascii="Arial" w:hAnsi="Arial"/>
          <w:b/>
          <w:i/>
          <w:color w:val="000000"/>
          <w:sz w:val="22"/>
          <w:highlight w:val="yellow"/>
          <w:lang w:val="el-GR"/>
        </w:rPr>
        <w:t xml:space="preserve"> </w:t>
      </w: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Ο κίνδυνος </w:t>
      </w:r>
      <w:r w:rsidR="008C30F0">
        <w:rPr>
          <w:rFonts w:ascii="Arial" w:hAnsi="Arial"/>
          <w:color w:val="000000"/>
          <w:sz w:val="22"/>
          <w:lang w:val="el-GR"/>
        </w:rPr>
        <w:t>ραχιαίων</w:t>
      </w:r>
      <w:r w:rsidRPr="002562F9">
        <w:rPr>
          <w:rFonts w:ascii="Arial" w:hAnsi="Arial"/>
          <w:color w:val="000000"/>
          <w:sz w:val="22"/>
          <w:lang w:val="el-GR"/>
        </w:rPr>
        <w:t xml:space="preserve">/επισκληρίδιων αιματωμάτων </w:t>
      </w:r>
      <w:r w:rsidR="00E71D3E" w:rsidRPr="002562F9">
        <w:rPr>
          <w:rFonts w:ascii="Arial" w:hAnsi="Arial"/>
          <w:color w:val="000000"/>
          <w:sz w:val="22"/>
          <w:lang w:val="el-GR"/>
        </w:rPr>
        <w:t>αυξάνεται με τη χρήση</w:t>
      </w:r>
      <w:r w:rsidRPr="002562F9">
        <w:rPr>
          <w:rFonts w:ascii="Arial" w:hAnsi="Arial"/>
          <w:color w:val="000000"/>
          <w:sz w:val="22"/>
          <w:lang w:val="el-GR"/>
        </w:rPr>
        <w:t xml:space="preserve"> επισκληρίδιων καθετήρων ή </w:t>
      </w:r>
      <w:r w:rsidR="00E71D3E" w:rsidRPr="002562F9">
        <w:rPr>
          <w:rFonts w:ascii="Arial" w:hAnsi="Arial"/>
          <w:color w:val="000000"/>
          <w:sz w:val="22"/>
          <w:lang w:val="el-GR"/>
        </w:rPr>
        <w:t>κατά</w:t>
      </w:r>
      <w:r w:rsidRPr="002562F9">
        <w:rPr>
          <w:rFonts w:ascii="Arial" w:hAnsi="Arial"/>
          <w:color w:val="000000"/>
          <w:sz w:val="22"/>
          <w:lang w:val="el-GR"/>
        </w:rPr>
        <w:t xml:space="preserve"> την συγχορήγηση άλλων φαρμάκων τα οποία μπορεί να επηρεάσουν την αιμόσταση</w:t>
      </w:r>
      <w:r w:rsidR="006A1034" w:rsidRPr="002562F9">
        <w:rPr>
          <w:rFonts w:ascii="Arial" w:hAnsi="Arial"/>
          <w:color w:val="000000"/>
          <w:sz w:val="22"/>
          <w:lang w:val="el-GR"/>
        </w:rPr>
        <w:t>,</w:t>
      </w:r>
      <w:r w:rsidRPr="002562F9">
        <w:rPr>
          <w:rFonts w:ascii="Arial" w:hAnsi="Arial"/>
          <w:color w:val="000000"/>
          <w:sz w:val="22"/>
          <w:lang w:val="el-GR"/>
        </w:rPr>
        <w:t xml:space="preserve"> όπως ΜΣΑΦ, αν</w:t>
      </w:r>
      <w:r w:rsidR="00E71D3E" w:rsidRPr="002562F9">
        <w:rPr>
          <w:rFonts w:ascii="Arial" w:hAnsi="Arial"/>
          <w:color w:val="000000"/>
          <w:sz w:val="22"/>
          <w:lang w:val="el-GR"/>
        </w:rPr>
        <w:t>τιαιμοπεταλιακ</w:t>
      </w:r>
      <w:r w:rsidR="008C30F0">
        <w:rPr>
          <w:rFonts w:ascii="Arial" w:hAnsi="Arial"/>
          <w:color w:val="000000"/>
          <w:sz w:val="22"/>
          <w:lang w:val="el-GR"/>
        </w:rPr>
        <w:t>ών</w:t>
      </w:r>
      <w:r w:rsidRPr="002562F9">
        <w:rPr>
          <w:rFonts w:ascii="Arial" w:hAnsi="Arial"/>
          <w:color w:val="000000"/>
          <w:sz w:val="22"/>
          <w:lang w:val="el-GR"/>
        </w:rPr>
        <w:t xml:space="preserve"> ή άλλ</w:t>
      </w:r>
      <w:r w:rsidR="008C30F0">
        <w:rPr>
          <w:rFonts w:ascii="Arial" w:hAnsi="Arial"/>
          <w:color w:val="000000"/>
          <w:sz w:val="22"/>
          <w:lang w:val="el-GR"/>
        </w:rPr>
        <w:t>ων</w:t>
      </w:r>
      <w:r w:rsidRPr="002562F9">
        <w:rPr>
          <w:rFonts w:ascii="Arial" w:hAnsi="Arial"/>
          <w:color w:val="000000"/>
          <w:sz w:val="22"/>
          <w:lang w:val="el-GR"/>
        </w:rPr>
        <w:t xml:space="preserve"> αντιπηκτικ</w:t>
      </w:r>
      <w:r w:rsidR="008C30F0">
        <w:rPr>
          <w:rFonts w:ascii="Arial" w:hAnsi="Arial"/>
          <w:color w:val="000000"/>
          <w:sz w:val="22"/>
          <w:lang w:val="el-GR"/>
        </w:rPr>
        <w:t>ών</w:t>
      </w:r>
      <w:r w:rsidRPr="002562F9">
        <w:rPr>
          <w:rFonts w:ascii="Arial" w:hAnsi="Arial"/>
          <w:color w:val="000000"/>
          <w:sz w:val="22"/>
          <w:lang w:val="el-GR"/>
        </w:rPr>
        <w:t xml:space="preserve">. Ο κίνδυνος επίσης </w:t>
      </w:r>
      <w:r w:rsidR="00E71D3E" w:rsidRPr="002562F9">
        <w:rPr>
          <w:rFonts w:ascii="Arial" w:hAnsi="Arial"/>
          <w:color w:val="000000"/>
          <w:sz w:val="22"/>
          <w:lang w:val="el-GR"/>
        </w:rPr>
        <w:t xml:space="preserve">φαίνεται ότι αυξάνεται σε περίπτωση </w:t>
      </w:r>
      <w:r w:rsidRPr="002562F9">
        <w:rPr>
          <w:rFonts w:ascii="Arial" w:hAnsi="Arial"/>
          <w:color w:val="000000"/>
          <w:sz w:val="22"/>
          <w:lang w:val="el-GR"/>
        </w:rPr>
        <w:t>τραυματική</w:t>
      </w:r>
      <w:r w:rsidR="00E71D3E" w:rsidRPr="002562F9">
        <w:rPr>
          <w:rFonts w:ascii="Arial" w:hAnsi="Arial"/>
          <w:color w:val="000000"/>
          <w:sz w:val="22"/>
          <w:lang w:val="el-GR"/>
        </w:rPr>
        <w:t>ς</w:t>
      </w:r>
      <w:r w:rsidRPr="002562F9">
        <w:rPr>
          <w:rFonts w:ascii="Arial" w:hAnsi="Arial"/>
          <w:color w:val="000000"/>
          <w:sz w:val="22"/>
          <w:lang w:val="el-GR"/>
        </w:rPr>
        <w:t xml:space="preserve"> ή </w:t>
      </w:r>
      <w:r w:rsidR="00AC7CF1">
        <w:rPr>
          <w:rFonts w:ascii="Arial" w:hAnsi="Arial"/>
          <w:sz w:val="22"/>
          <w:lang w:val="el-GR"/>
        </w:rPr>
        <w:t>επαναλαμβανόμενη</w:t>
      </w:r>
      <w:r w:rsidR="006F7891">
        <w:rPr>
          <w:rFonts w:ascii="Arial" w:hAnsi="Arial"/>
          <w:sz w:val="22"/>
          <w:lang w:val="el-GR"/>
        </w:rPr>
        <w:t>ς</w:t>
      </w:r>
      <w:r w:rsidR="00AC7CF1">
        <w:rPr>
          <w:rFonts w:ascii="Arial" w:hAnsi="Arial"/>
          <w:sz w:val="22"/>
          <w:lang w:val="el-GR"/>
        </w:rPr>
        <w:t xml:space="preserve"> επισκληρίδι</w:t>
      </w:r>
      <w:r w:rsidR="006F7891">
        <w:rPr>
          <w:rFonts w:ascii="Arial" w:hAnsi="Arial"/>
          <w:sz w:val="22"/>
          <w:lang w:val="el-GR"/>
        </w:rPr>
        <w:t>ας</w:t>
      </w:r>
      <w:r w:rsidRPr="002562F9">
        <w:rPr>
          <w:rFonts w:ascii="Arial" w:hAnsi="Arial"/>
          <w:color w:val="000000"/>
          <w:sz w:val="22"/>
          <w:lang w:val="el-GR"/>
        </w:rPr>
        <w:t xml:space="preserve"> ή </w:t>
      </w:r>
      <w:r w:rsidR="008C30F0">
        <w:rPr>
          <w:rFonts w:ascii="Arial" w:hAnsi="Arial"/>
          <w:color w:val="000000"/>
          <w:sz w:val="22"/>
          <w:lang w:val="el-GR"/>
        </w:rPr>
        <w:t>ραχιαίας</w:t>
      </w:r>
      <w:r w:rsidR="00AC7CF1">
        <w:rPr>
          <w:rFonts w:ascii="Arial" w:hAnsi="Arial"/>
          <w:sz w:val="22"/>
          <w:lang w:val="el-GR"/>
        </w:rPr>
        <w:t xml:space="preserve"> παρακέντηση</w:t>
      </w:r>
      <w:r w:rsidR="00E71D3E" w:rsidRPr="002562F9">
        <w:rPr>
          <w:rFonts w:ascii="Arial" w:hAnsi="Arial"/>
          <w:color w:val="000000"/>
          <w:sz w:val="22"/>
          <w:lang w:val="el-GR"/>
        </w:rPr>
        <w:t>ς</w:t>
      </w:r>
      <w:r w:rsidRPr="002562F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Επομένως η ταυτόχρονη χορήγηση αντιπηκτικής θεραπείας </w:t>
      </w:r>
      <w:r w:rsidR="008C30F0">
        <w:rPr>
          <w:rFonts w:ascii="Arial" w:hAnsi="Arial"/>
          <w:color w:val="000000"/>
          <w:sz w:val="22"/>
          <w:lang w:val="el-GR"/>
        </w:rPr>
        <w:t xml:space="preserve">και </w:t>
      </w:r>
      <w:r w:rsidR="00A718E4" w:rsidRPr="002562F9">
        <w:rPr>
          <w:rFonts w:ascii="Arial" w:hAnsi="Arial"/>
          <w:color w:val="000000"/>
          <w:sz w:val="22"/>
          <w:lang w:val="el-GR"/>
        </w:rPr>
        <w:t>νευ</w:t>
      </w:r>
      <w:r w:rsidR="009B7B1C" w:rsidRPr="002562F9">
        <w:rPr>
          <w:rFonts w:ascii="Arial" w:hAnsi="Arial"/>
          <w:color w:val="000000"/>
          <w:sz w:val="22"/>
          <w:lang w:val="el-GR"/>
        </w:rPr>
        <w:t>ρ</w:t>
      </w:r>
      <w:r w:rsidR="00A718E4" w:rsidRPr="002562F9">
        <w:rPr>
          <w:rFonts w:ascii="Arial" w:hAnsi="Arial"/>
          <w:color w:val="000000"/>
          <w:sz w:val="22"/>
          <w:lang w:val="el-GR"/>
        </w:rPr>
        <w:t>αξονικ</w:t>
      </w:r>
      <w:r w:rsidR="008C30F0">
        <w:rPr>
          <w:rFonts w:ascii="Arial" w:hAnsi="Arial"/>
          <w:color w:val="000000"/>
          <w:sz w:val="22"/>
          <w:lang w:val="el-GR"/>
        </w:rPr>
        <w:t>ού</w:t>
      </w:r>
      <w:r w:rsidR="00A718E4" w:rsidRPr="002562F9">
        <w:rPr>
          <w:rFonts w:ascii="Arial" w:hAnsi="Arial"/>
          <w:color w:val="000000"/>
          <w:sz w:val="22"/>
          <w:lang w:val="el-GR"/>
        </w:rPr>
        <w:t xml:space="preserve"> αποκλεισμ</w:t>
      </w:r>
      <w:r w:rsidR="008C30F0">
        <w:rPr>
          <w:rFonts w:ascii="Arial" w:hAnsi="Arial"/>
          <w:color w:val="000000"/>
          <w:sz w:val="22"/>
          <w:lang w:val="el-GR"/>
        </w:rPr>
        <w:t>ού,</w:t>
      </w:r>
      <w:r w:rsidR="00A718E4" w:rsidRPr="002562F9">
        <w:rPr>
          <w:rFonts w:ascii="Arial" w:hAnsi="Arial"/>
          <w:color w:val="000000"/>
          <w:sz w:val="22"/>
          <w:lang w:val="el-GR"/>
        </w:rPr>
        <w:t xml:space="preserve"> </w:t>
      </w:r>
      <w:r w:rsidRPr="002562F9">
        <w:rPr>
          <w:rFonts w:ascii="Arial" w:hAnsi="Arial"/>
          <w:color w:val="000000"/>
          <w:sz w:val="22"/>
          <w:lang w:val="el-GR"/>
        </w:rPr>
        <w:t xml:space="preserve">θα πρέπει να αποφασίζεται μετά από προσεκτική εξατομικευμένη αξιολόγηση </w:t>
      </w:r>
      <w:r w:rsidR="006A1034" w:rsidRPr="002562F9">
        <w:rPr>
          <w:rFonts w:ascii="Arial" w:hAnsi="Arial"/>
          <w:color w:val="000000"/>
          <w:sz w:val="22"/>
          <w:lang w:val="el-GR"/>
        </w:rPr>
        <w:t>της σχέσεως</w:t>
      </w:r>
      <w:r w:rsidRPr="002562F9">
        <w:rPr>
          <w:rFonts w:ascii="Arial" w:hAnsi="Arial"/>
          <w:color w:val="000000"/>
          <w:sz w:val="22"/>
          <w:lang w:val="el-GR"/>
        </w:rPr>
        <w:t xml:space="preserve"> </w:t>
      </w:r>
      <w:r w:rsidR="00133DC0" w:rsidRPr="002562F9">
        <w:rPr>
          <w:rFonts w:ascii="Arial" w:hAnsi="Arial"/>
          <w:color w:val="000000"/>
          <w:sz w:val="22"/>
          <w:lang w:val="el-GR"/>
        </w:rPr>
        <w:t>οφέλους</w:t>
      </w:r>
      <w:r w:rsidRPr="002562F9">
        <w:rPr>
          <w:rFonts w:ascii="Arial" w:hAnsi="Arial"/>
          <w:color w:val="000000"/>
          <w:sz w:val="22"/>
          <w:lang w:val="el-GR"/>
        </w:rPr>
        <w:t>/κ</w:t>
      </w:r>
      <w:r w:rsidR="00133DC0" w:rsidRPr="002562F9">
        <w:rPr>
          <w:rFonts w:ascii="Arial" w:hAnsi="Arial"/>
          <w:color w:val="000000"/>
          <w:sz w:val="22"/>
          <w:lang w:val="el-GR"/>
        </w:rPr>
        <w:t>ινδύνου</w:t>
      </w:r>
      <w:r w:rsidRPr="002562F9">
        <w:rPr>
          <w:rFonts w:ascii="Arial" w:hAnsi="Arial"/>
          <w:color w:val="000000"/>
          <w:sz w:val="22"/>
          <w:lang w:val="el-GR"/>
        </w:rPr>
        <w:t xml:space="preserve"> στις ακόλουθες περιπτώσεις:</w:t>
      </w:r>
    </w:p>
    <w:p w:rsidR="0086736F" w:rsidRPr="002562F9" w:rsidRDefault="0086736F" w:rsidP="008179B8">
      <w:pPr>
        <w:jc w:val="both"/>
        <w:rPr>
          <w:rFonts w:ascii="Arial" w:hAnsi="Arial"/>
          <w:color w:val="000000"/>
          <w:sz w:val="22"/>
          <w:lang w:val="el-GR"/>
        </w:rPr>
      </w:pPr>
    </w:p>
    <w:p w:rsidR="0086736F" w:rsidRPr="002562F9" w:rsidRDefault="0086736F" w:rsidP="008179B8">
      <w:pPr>
        <w:numPr>
          <w:ilvl w:val="0"/>
          <w:numId w:val="18"/>
        </w:numPr>
        <w:jc w:val="both"/>
        <w:rPr>
          <w:rFonts w:ascii="Arial" w:hAnsi="Arial"/>
          <w:color w:val="000000"/>
          <w:sz w:val="22"/>
          <w:lang w:val="el-GR"/>
        </w:rPr>
      </w:pPr>
      <w:r w:rsidRPr="002562F9">
        <w:rPr>
          <w:rFonts w:ascii="Arial" w:hAnsi="Arial"/>
          <w:color w:val="000000"/>
          <w:sz w:val="22"/>
          <w:lang w:val="el-GR"/>
        </w:rPr>
        <w:t xml:space="preserve">Σε ασθενείς που έχουν ήδη λάβει αντιπηκτικά, τα οφέλη </w:t>
      </w:r>
      <w:r w:rsidR="006A1034" w:rsidRPr="002562F9">
        <w:rPr>
          <w:rFonts w:ascii="Arial" w:hAnsi="Arial"/>
          <w:color w:val="000000"/>
          <w:sz w:val="22"/>
          <w:lang w:val="el-GR"/>
        </w:rPr>
        <w:t>του</w:t>
      </w:r>
      <w:r w:rsidRPr="002562F9">
        <w:rPr>
          <w:rFonts w:ascii="Arial" w:hAnsi="Arial"/>
          <w:color w:val="000000"/>
          <w:sz w:val="22"/>
          <w:lang w:val="el-GR"/>
        </w:rPr>
        <w:t xml:space="preserve"> </w:t>
      </w:r>
      <w:r w:rsidR="009B7B1C" w:rsidRPr="002562F9">
        <w:rPr>
          <w:rFonts w:ascii="Arial" w:hAnsi="Arial"/>
          <w:color w:val="000000"/>
          <w:sz w:val="22"/>
          <w:lang w:val="el-GR"/>
        </w:rPr>
        <w:t xml:space="preserve">νευραξονικού </w:t>
      </w:r>
      <w:r w:rsidRPr="002562F9">
        <w:rPr>
          <w:rFonts w:ascii="Arial" w:hAnsi="Arial"/>
          <w:color w:val="000000"/>
          <w:sz w:val="22"/>
          <w:lang w:val="el-GR"/>
        </w:rPr>
        <w:t>αποκλεισμού πρέπει να σταθμίζονται προσεκτικά έναντι των κινδύνων.</w:t>
      </w:r>
    </w:p>
    <w:p w:rsidR="0086736F" w:rsidRPr="002562F9" w:rsidRDefault="0086736F" w:rsidP="008179B8">
      <w:pPr>
        <w:jc w:val="both"/>
        <w:rPr>
          <w:rFonts w:ascii="Arial" w:hAnsi="Arial"/>
          <w:color w:val="000000"/>
          <w:sz w:val="22"/>
          <w:lang w:val="el-GR"/>
        </w:rPr>
      </w:pPr>
    </w:p>
    <w:p w:rsidR="0086736F" w:rsidRPr="002562F9" w:rsidRDefault="0086736F" w:rsidP="008179B8">
      <w:pPr>
        <w:numPr>
          <w:ilvl w:val="0"/>
          <w:numId w:val="18"/>
        </w:numPr>
        <w:jc w:val="both"/>
        <w:rPr>
          <w:rFonts w:ascii="Arial" w:hAnsi="Arial"/>
          <w:color w:val="000000"/>
          <w:sz w:val="22"/>
          <w:lang w:val="el-GR"/>
        </w:rPr>
      </w:pPr>
      <w:r w:rsidRPr="002562F9">
        <w:rPr>
          <w:rFonts w:ascii="Arial" w:hAnsi="Arial"/>
          <w:color w:val="000000"/>
          <w:sz w:val="22"/>
          <w:lang w:val="el-GR"/>
        </w:rPr>
        <w:t xml:space="preserve">Σε ασθενείς που πρόκειται να υποστούν προγραμματισμένη χειρουργική επέμβαση με </w:t>
      </w:r>
      <w:r w:rsidR="006A1034" w:rsidRPr="002562F9">
        <w:rPr>
          <w:rFonts w:ascii="Arial" w:hAnsi="Arial"/>
          <w:color w:val="000000"/>
          <w:sz w:val="22"/>
          <w:lang w:val="el-GR"/>
        </w:rPr>
        <w:t xml:space="preserve">νευραξονικό </w:t>
      </w:r>
      <w:r w:rsidRPr="002562F9">
        <w:rPr>
          <w:rFonts w:ascii="Arial" w:hAnsi="Arial"/>
          <w:color w:val="000000"/>
          <w:sz w:val="22"/>
          <w:lang w:val="el-GR"/>
        </w:rPr>
        <w:t>αποκλεισμό, τα οφέλη της αντιπηκτικής θεραπείας πρέπει να σταθμίζονται προσεκτικά έναντι των κινδύνων.</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Σε περίπτωση ασθενών με οσφυονωτιαία παρακέντηση, </w:t>
      </w:r>
      <w:r w:rsidR="008C30F0">
        <w:rPr>
          <w:rFonts w:ascii="Arial" w:hAnsi="Arial"/>
          <w:color w:val="000000"/>
          <w:sz w:val="22"/>
          <w:lang w:val="el-GR"/>
        </w:rPr>
        <w:t>ραχιαία</w:t>
      </w:r>
      <w:r w:rsidRPr="002562F9">
        <w:rPr>
          <w:rFonts w:ascii="Arial" w:hAnsi="Arial"/>
          <w:color w:val="000000"/>
          <w:sz w:val="22"/>
          <w:lang w:val="el-GR"/>
        </w:rPr>
        <w:t xml:space="preserve"> ή επισκληρίδιο αναισθησία, θα πρέπει να μεσολαβ</w:t>
      </w:r>
      <w:r w:rsidR="00330318">
        <w:rPr>
          <w:rFonts w:ascii="Arial" w:hAnsi="Arial"/>
          <w:color w:val="000000"/>
          <w:sz w:val="22"/>
          <w:lang w:val="el-GR"/>
        </w:rPr>
        <w:t>ούν</w:t>
      </w:r>
      <w:r w:rsidRPr="002562F9">
        <w:rPr>
          <w:rFonts w:ascii="Arial" w:hAnsi="Arial"/>
          <w:color w:val="000000"/>
          <w:sz w:val="22"/>
          <w:lang w:val="el-GR"/>
        </w:rPr>
        <w:t xml:space="preserve"> </w:t>
      </w:r>
      <w:r w:rsidR="00330318">
        <w:rPr>
          <w:rFonts w:ascii="Arial" w:hAnsi="Arial"/>
          <w:color w:val="000000"/>
          <w:sz w:val="22"/>
          <w:lang w:val="el-GR"/>
        </w:rPr>
        <w:t xml:space="preserve">τουλάχιστον 12 ώρες </w:t>
      </w:r>
      <w:r w:rsidRPr="002562F9">
        <w:rPr>
          <w:rFonts w:ascii="Arial" w:hAnsi="Arial"/>
          <w:color w:val="000000"/>
          <w:sz w:val="22"/>
          <w:lang w:val="el-GR"/>
        </w:rPr>
        <w:t xml:space="preserve">μεταξύ της ένεσης </w:t>
      </w:r>
      <w:r w:rsidR="00330318">
        <w:rPr>
          <w:rFonts w:ascii="Arial" w:hAnsi="Arial"/>
          <w:color w:val="000000"/>
          <w:sz w:val="22"/>
          <w:lang w:val="el-GR"/>
        </w:rPr>
        <w:t xml:space="preserve">ναδροπαρίνης σε δόσεις προφύλαξης, ή 24 ώρες σε θεραπευτικές δόσεις </w:t>
      </w:r>
      <w:r w:rsidRPr="002562F9">
        <w:rPr>
          <w:rFonts w:ascii="Arial" w:hAnsi="Arial"/>
          <w:color w:val="000000"/>
          <w:sz w:val="22"/>
          <w:lang w:val="el-GR"/>
        </w:rPr>
        <w:t xml:space="preserve">και της εισαγωγής ή της </w:t>
      </w:r>
      <w:r w:rsidR="00133DC0" w:rsidRPr="002562F9">
        <w:rPr>
          <w:rFonts w:ascii="Arial" w:hAnsi="Arial"/>
          <w:color w:val="000000"/>
          <w:sz w:val="22"/>
          <w:lang w:val="el-GR"/>
        </w:rPr>
        <w:t>αφαίρεσης</w:t>
      </w:r>
      <w:r w:rsidRPr="002562F9">
        <w:rPr>
          <w:rFonts w:ascii="Arial" w:hAnsi="Arial"/>
          <w:color w:val="000000"/>
          <w:sz w:val="22"/>
          <w:lang w:val="el-GR"/>
        </w:rPr>
        <w:t xml:space="preserve"> του </w:t>
      </w:r>
      <w:r w:rsidR="008C30F0">
        <w:rPr>
          <w:rFonts w:ascii="Arial" w:hAnsi="Arial"/>
          <w:color w:val="000000"/>
          <w:sz w:val="22"/>
          <w:lang w:val="el-GR"/>
        </w:rPr>
        <w:t>ραχιαίαου</w:t>
      </w:r>
      <w:r w:rsidRPr="002562F9">
        <w:rPr>
          <w:rFonts w:ascii="Arial" w:hAnsi="Arial"/>
          <w:color w:val="000000"/>
          <w:sz w:val="22"/>
          <w:lang w:val="el-GR"/>
        </w:rPr>
        <w:t xml:space="preserve"> / επισκληρίδιου καθετήρα ή της βελόνας.</w:t>
      </w:r>
      <w:r w:rsidR="00330318">
        <w:rPr>
          <w:rFonts w:ascii="Arial" w:hAnsi="Arial"/>
          <w:color w:val="000000"/>
          <w:sz w:val="22"/>
          <w:lang w:val="el-GR"/>
        </w:rPr>
        <w:t xml:space="preserve"> Σε α</w:t>
      </w:r>
      <w:r w:rsidR="008C30F0">
        <w:rPr>
          <w:rFonts w:ascii="Arial" w:hAnsi="Arial"/>
          <w:color w:val="000000"/>
          <w:sz w:val="22"/>
          <w:lang w:val="el-GR"/>
        </w:rPr>
        <w:t>σθενείς με νεφρική ανεπάρκεια</w:t>
      </w:r>
      <w:r w:rsidR="005704FA">
        <w:rPr>
          <w:rFonts w:ascii="Arial" w:hAnsi="Arial"/>
          <w:color w:val="000000"/>
          <w:sz w:val="22"/>
          <w:lang w:val="el-GR"/>
        </w:rPr>
        <w:t xml:space="preserve"> μπορεί να εξετασθεί το ενδεχόμενο μεγαλύτερων διαστημάτων.</w:t>
      </w:r>
    </w:p>
    <w:p w:rsidR="0086736F" w:rsidRPr="002562F9" w:rsidRDefault="0086736F" w:rsidP="008179B8">
      <w:pPr>
        <w:jc w:val="both"/>
        <w:rPr>
          <w:rFonts w:ascii="Arial" w:hAnsi="Arial"/>
          <w:color w:val="000000"/>
          <w:sz w:val="22"/>
          <w:lang w:val="el-GR"/>
        </w:rPr>
      </w:pPr>
    </w:p>
    <w:p w:rsidR="00133DC0"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Οι ασθενείς θα πρέπει να παρακολουθούνται συχνά για σημεία και συμπτώματα νευρολογικής </w:t>
      </w:r>
      <w:r w:rsidR="00133DC0" w:rsidRPr="002562F9">
        <w:rPr>
          <w:rFonts w:ascii="Arial" w:hAnsi="Arial"/>
          <w:color w:val="000000"/>
          <w:sz w:val="22"/>
          <w:lang w:val="el-GR"/>
        </w:rPr>
        <w:t>έκπτωσης.</w:t>
      </w:r>
      <w:r w:rsidRPr="002562F9">
        <w:rPr>
          <w:rFonts w:ascii="Arial" w:hAnsi="Arial"/>
          <w:color w:val="000000"/>
          <w:sz w:val="22"/>
          <w:lang w:val="el-GR"/>
        </w:rPr>
        <w:t xml:space="preserve"> </w:t>
      </w:r>
      <w:r w:rsidR="00133DC0" w:rsidRPr="002562F9">
        <w:rPr>
          <w:rFonts w:ascii="Arial" w:hAnsi="Arial"/>
          <w:color w:val="000000"/>
          <w:sz w:val="22"/>
          <w:lang w:val="el-GR"/>
        </w:rPr>
        <w:t>Εάν παρατηρηθεί νευρολογική έκπτωση, θα πρέπει να ξεκινά επείγουσα θεραπεία.</w:t>
      </w:r>
    </w:p>
    <w:p w:rsidR="0086736F" w:rsidRPr="002562F9" w:rsidRDefault="0086736F" w:rsidP="008179B8">
      <w:pPr>
        <w:jc w:val="both"/>
        <w:rPr>
          <w:rFonts w:ascii="Arial" w:hAnsi="Arial"/>
          <w:b/>
          <w:color w:val="000000"/>
          <w:sz w:val="22"/>
          <w:lang w:val="el-GR"/>
        </w:rPr>
      </w:pPr>
    </w:p>
    <w:p w:rsidR="00FA0A96" w:rsidRPr="002562F9" w:rsidRDefault="00FA0A96" w:rsidP="008179B8">
      <w:pPr>
        <w:jc w:val="both"/>
        <w:rPr>
          <w:rFonts w:ascii="Arial" w:hAnsi="Arial"/>
          <w:b/>
          <w:i/>
          <w:color w:val="000000"/>
          <w:sz w:val="22"/>
          <w:lang w:val="el-GR"/>
        </w:rPr>
      </w:pPr>
      <w:r w:rsidRPr="002562F9">
        <w:rPr>
          <w:rFonts w:ascii="Arial" w:hAnsi="Arial"/>
          <w:b/>
          <w:i/>
          <w:color w:val="000000"/>
          <w:sz w:val="22"/>
          <w:lang w:val="el-GR"/>
        </w:rPr>
        <w:t>Σαλικυλικά, μη στεροειδή αντιφλεγμονώδη και αντιαιμοπεταλιακά φάρμακα</w:t>
      </w:r>
    </w:p>
    <w:p w:rsidR="003443C0" w:rsidRDefault="0086736F" w:rsidP="008179B8">
      <w:pPr>
        <w:jc w:val="both"/>
        <w:rPr>
          <w:rFonts w:ascii="Arial" w:hAnsi="Arial"/>
          <w:color w:val="000000"/>
          <w:sz w:val="22"/>
          <w:lang w:val="el-GR"/>
        </w:rPr>
      </w:pPr>
      <w:r w:rsidRPr="003443C0">
        <w:rPr>
          <w:rFonts w:ascii="Arial" w:hAnsi="Arial"/>
          <w:color w:val="000000"/>
          <w:sz w:val="22"/>
          <w:lang w:val="el-GR"/>
        </w:rPr>
        <w:t xml:space="preserve">Η ταυτόχρονη χρήση σαλικυλικών, ή </w:t>
      </w:r>
      <w:r w:rsidR="003443C0">
        <w:rPr>
          <w:rFonts w:ascii="Arial" w:hAnsi="Arial"/>
          <w:color w:val="000000"/>
          <w:sz w:val="22"/>
          <w:lang w:val="el-GR"/>
        </w:rPr>
        <w:t>ΜΣΦΑ</w:t>
      </w:r>
      <w:r w:rsidRPr="003443C0">
        <w:rPr>
          <w:rFonts w:ascii="Arial" w:hAnsi="Arial"/>
          <w:color w:val="000000"/>
          <w:sz w:val="22"/>
          <w:lang w:val="el-GR"/>
        </w:rPr>
        <w:t xml:space="preserve"> αποτελεί σχετική αντένδειξη για τη χορήγηση της </w:t>
      </w:r>
      <w:r w:rsidR="00515ADC" w:rsidRPr="003443C0">
        <w:rPr>
          <w:rFonts w:ascii="Arial" w:hAnsi="Arial"/>
          <w:color w:val="000000"/>
          <w:sz w:val="22"/>
          <w:lang w:val="el-GR"/>
        </w:rPr>
        <w:t>ναδροπαρίνη</w:t>
      </w:r>
      <w:r w:rsidR="00E54CD6" w:rsidRPr="003443C0">
        <w:rPr>
          <w:rFonts w:ascii="Arial" w:hAnsi="Arial"/>
          <w:color w:val="000000"/>
          <w:sz w:val="22"/>
          <w:lang w:val="el-GR"/>
        </w:rPr>
        <w:t>ς</w:t>
      </w:r>
      <w:r w:rsidR="00947E8D" w:rsidRPr="003443C0">
        <w:rPr>
          <w:rFonts w:ascii="Arial" w:hAnsi="Arial"/>
          <w:color w:val="000000"/>
          <w:sz w:val="22"/>
          <w:lang w:val="el-GR"/>
        </w:rPr>
        <w:t>,</w:t>
      </w:r>
      <w:r w:rsidRPr="003443C0">
        <w:rPr>
          <w:rFonts w:ascii="Arial" w:hAnsi="Arial"/>
          <w:color w:val="000000"/>
          <w:sz w:val="22"/>
          <w:lang w:val="el-GR"/>
        </w:rPr>
        <w:t xml:space="preserve"> όπως και για τη χορήγηση αντιαιμοπεταλιακών παραγόντων, στην προφύλαξη ή θεραπεία των φλεβικών θρομβοεμβολικών </w:t>
      </w:r>
      <w:r w:rsidR="00947E8D" w:rsidRPr="003443C0">
        <w:rPr>
          <w:rFonts w:ascii="Arial" w:hAnsi="Arial"/>
          <w:color w:val="000000"/>
          <w:sz w:val="22"/>
          <w:lang w:val="el-GR"/>
        </w:rPr>
        <w:t>επιπλοκών</w:t>
      </w:r>
      <w:r w:rsidRPr="003443C0">
        <w:rPr>
          <w:rFonts w:ascii="Arial" w:hAnsi="Arial"/>
          <w:color w:val="000000"/>
          <w:sz w:val="22"/>
          <w:lang w:val="el-GR"/>
        </w:rPr>
        <w:t xml:space="preserve"> και στην πρόληψη σχηματισμού θρόμβου κατά την αιμοδιάλυση (βλ</w:t>
      </w:r>
      <w:r w:rsidR="00471F43" w:rsidRPr="003443C0">
        <w:rPr>
          <w:rFonts w:ascii="Arial" w:hAnsi="Arial"/>
          <w:color w:val="000000"/>
          <w:sz w:val="22"/>
          <w:lang w:val="el-GR"/>
        </w:rPr>
        <w:t>έπε</w:t>
      </w:r>
      <w:r w:rsidRPr="003443C0">
        <w:rPr>
          <w:rFonts w:ascii="Arial" w:hAnsi="Arial"/>
          <w:color w:val="000000"/>
          <w:sz w:val="22"/>
          <w:lang w:val="el-GR"/>
        </w:rPr>
        <w:t xml:space="preserve"> </w:t>
      </w:r>
      <w:r w:rsidR="003B7D13" w:rsidRPr="003443C0">
        <w:rPr>
          <w:rFonts w:ascii="Arial" w:hAnsi="Arial"/>
          <w:color w:val="000000"/>
          <w:sz w:val="22"/>
          <w:lang w:val="el-GR"/>
        </w:rPr>
        <w:t xml:space="preserve">παράγραφο </w:t>
      </w:r>
      <w:r w:rsidRPr="003443C0">
        <w:rPr>
          <w:rFonts w:ascii="Arial" w:hAnsi="Arial"/>
          <w:color w:val="000000"/>
          <w:sz w:val="22"/>
          <w:lang w:val="el-GR"/>
        </w:rPr>
        <w:t xml:space="preserve">4.5). </w:t>
      </w:r>
    </w:p>
    <w:p w:rsidR="003443C0" w:rsidRDefault="003443C0"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3443C0">
        <w:rPr>
          <w:rFonts w:ascii="Arial" w:hAnsi="Arial"/>
          <w:color w:val="000000"/>
          <w:sz w:val="22"/>
          <w:lang w:val="el-GR"/>
        </w:rPr>
        <w:t xml:space="preserve">Σε περιπτώσεις θεραπείας ασταθούς στηθάγχης και εμφράγματος του μυοκαρδίου χωρίς </w:t>
      </w:r>
      <w:r w:rsidR="00AC7CF1" w:rsidRPr="003443C0">
        <w:rPr>
          <w:rFonts w:ascii="Arial" w:hAnsi="Arial"/>
          <w:sz w:val="22"/>
          <w:lang w:val="el-GR"/>
        </w:rPr>
        <w:t>κύμα</w:t>
      </w:r>
      <w:r w:rsidRPr="003443C0">
        <w:rPr>
          <w:rFonts w:ascii="Arial" w:hAnsi="Arial"/>
          <w:color w:val="000000"/>
          <w:sz w:val="22"/>
          <w:lang w:val="el-GR"/>
        </w:rPr>
        <w:t xml:space="preserve"> </w:t>
      </w:r>
      <w:r w:rsidRPr="003443C0">
        <w:rPr>
          <w:rFonts w:ascii="Arial" w:hAnsi="Arial"/>
          <w:color w:val="000000"/>
          <w:sz w:val="22"/>
        </w:rPr>
        <w:t>Q</w:t>
      </w:r>
      <w:r w:rsidRPr="003443C0">
        <w:rPr>
          <w:rFonts w:ascii="Arial" w:hAnsi="Arial"/>
          <w:color w:val="000000"/>
          <w:sz w:val="22"/>
          <w:lang w:val="el-GR"/>
        </w:rPr>
        <w:t xml:space="preserve"> η </w:t>
      </w:r>
      <w:r w:rsidR="00515ADC" w:rsidRPr="003443C0">
        <w:rPr>
          <w:rFonts w:ascii="Arial" w:hAnsi="Arial"/>
          <w:color w:val="000000"/>
          <w:sz w:val="22"/>
          <w:lang w:val="el-GR"/>
        </w:rPr>
        <w:t>ναδροπαρίνη</w:t>
      </w:r>
      <w:r w:rsidRPr="003443C0">
        <w:rPr>
          <w:rFonts w:ascii="Arial" w:hAnsi="Arial"/>
          <w:color w:val="000000"/>
          <w:sz w:val="22"/>
          <w:lang w:val="el-GR"/>
        </w:rPr>
        <w:t xml:space="preserve"> θα πρέπει να συνδυάζεται με ασπιρίνη έως 325 </w:t>
      </w:r>
      <w:r w:rsidRPr="003443C0">
        <w:rPr>
          <w:rFonts w:ascii="Arial" w:hAnsi="Arial"/>
          <w:color w:val="000000"/>
          <w:sz w:val="22"/>
        </w:rPr>
        <w:t>mg</w:t>
      </w:r>
      <w:r w:rsidRPr="003443C0">
        <w:rPr>
          <w:rFonts w:ascii="Arial" w:hAnsi="Arial"/>
          <w:color w:val="000000"/>
          <w:sz w:val="22"/>
          <w:lang w:val="el-GR"/>
        </w:rPr>
        <w:t xml:space="preserve"> ημερησίως (βλέπε </w:t>
      </w:r>
      <w:r w:rsidR="003B7D13" w:rsidRPr="003443C0">
        <w:rPr>
          <w:rFonts w:ascii="Arial" w:hAnsi="Arial"/>
          <w:color w:val="000000"/>
          <w:sz w:val="22"/>
          <w:lang w:val="el-GR"/>
        </w:rPr>
        <w:t xml:space="preserve">παραγράφους </w:t>
      </w:r>
      <w:r w:rsidRPr="003443C0">
        <w:rPr>
          <w:rFonts w:ascii="Arial" w:hAnsi="Arial"/>
          <w:color w:val="000000"/>
          <w:sz w:val="22"/>
          <w:lang w:val="el-GR"/>
        </w:rPr>
        <w:t>4.2 και 4.5).</w:t>
      </w:r>
    </w:p>
    <w:p w:rsidR="006B77C5" w:rsidRPr="00AF04BB" w:rsidRDefault="006B77C5" w:rsidP="008179B8">
      <w:pPr>
        <w:jc w:val="both"/>
        <w:rPr>
          <w:rFonts w:ascii="Arial" w:hAnsi="Arial" w:cs="Arial"/>
          <w:b/>
          <w:i/>
          <w:color w:val="000000"/>
          <w:sz w:val="22"/>
          <w:szCs w:val="22"/>
        </w:rPr>
      </w:pPr>
      <w:r w:rsidRPr="00AF04BB">
        <w:rPr>
          <w:rFonts w:ascii="Arial" w:hAnsi="Arial" w:cs="Arial"/>
          <w:b/>
          <w:i/>
          <w:color w:val="000000"/>
          <w:sz w:val="22"/>
          <w:szCs w:val="22"/>
          <w:lang w:val="el-GR"/>
        </w:rPr>
        <w:t>Δερματική</w:t>
      </w:r>
      <w:r w:rsidRPr="00AF04BB">
        <w:rPr>
          <w:rFonts w:ascii="Arial" w:hAnsi="Arial" w:cs="Arial"/>
          <w:b/>
          <w:i/>
          <w:color w:val="000000"/>
          <w:sz w:val="22"/>
          <w:szCs w:val="22"/>
          <w:lang w:val="en-US"/>
        </w:rPr>
        <w:t xml:space="preserve"> </w:t>
      </w:r>
      <w:r w:rsidRPr="00AF04BB">
        <w:rPr>
          <w:rFonts w:ascii="Arial" w:hAnsi="Arial" w:cs="Arial"/>
          <w:b/>
          <w:i/>
          <w:color w:val="000000"/>
          <w:sz w:val="22"/>
          <w:szCs w:val="22"/>
          <w:lang w:val="el-GR"/>
        </w:rPr>
        <w:t>νέκρωση</w:t>
      </w:r>
    </w:p>
    <w:p w:rsidR="006B77C5" w:rsidRPr="00AF04BB" w:rsidRDefault="006B77C5" w:rsidP="008179B8">
      <w:pPr>
        <w:jc w:val="both"/>
        <w:rPr>
          <w:rFonts w:ascii="Arial" w:hAnsi="Arial"/>
          <w:color w:val="000000"/>
          <w:sz w:val="22"/>
          <w:lang w:val="el-GR"/>
        </w:rPr>
      </w:pPr>
      <w:r>
        <w:rPr>
          <w:rFonts w:ascii="Arial" w:hAnsi="Arial"/>
          <w:color w:val="000000"/>
          <w:sz w:val="22"/>
          <w:lang w:val="el-GR"/>
        </w:rPr>
        <w:t>Δερματική</w:t>
      </w:r>
      <w:r w:rsidRPr="006B77C5">
        <w:rPr>
          <w:rFonts w:ascii="Arial" w:hAnsi="Arial"/>
          <w:color w:val="000000"/>
          <w:sz w:val="22"/>
          <w:lang w:val="el-GR"/>
        </w:rPr>
        <w:t xml:space="preserve"> </w:t>
      </w:r>
      <w:r>
        <w:rPr>
          <w:rFonts w:ascii="Arial" w:hAnsi="Arial"/>
          <w:color w:val="000000"/>
          <w:sz w:val="22"/>
          <w:lang w:val="el-GR"/>
        </w:rPr>
        <w:t>νέκρωση</w:t>
      </w:r>
      <w:r w:rsidRPr="006B77C5">
        <w:rPr>
          <w:rFonts w:ascii="Arial" w:hAnsi="Arial"/>
          <w:color w:val="000000"/>
          <w:sz w:val="22"/>
          <w:lang w:val="el-GR"/>
        </w:rPr>
        <w:t xml:space="preserve"> </w:t>
      </w:r>
      <w:r>
        <w:rPr>
          <w:rFonts w:ascii="Arial" w:hAnsi="Arial"/>
          <w:color w:val="000000"/>
          <w:sz w:val="22"/>
          <w:lang w:val="el-GR"/>
        </w:rPr>
        <w:t>έχει</w:t>
      </w:r>
      <w:r w:rsidRPr="006B77C5">
        <w:rPr>
          <w:rFonts w:ascii="Arial" w:hAnsi="Arial"/>
          <w:color w:val="000000"/>
          <w:sz w:val="22"/>
          <w:lang w:val="el-GR"/>
        </w:rPr>
        <w:t xml:space="preserve"> </w:t>
      </w:r>
      <w:r>
        <w:rPr>
          <w:rFonts w:ascii="Arial" w:hAnsi="Arial"/>
          <w:color w:val="000000"/>
          <w:sz w:val="22"/>
          <w:lang w:val="el-GR"/>
        </w:rPr>
        <w:t>παρατηρηθεί</w:t>
      </w:r>
      <w:r w:rsidRPr="006B77C5">
        <w:rPr>
          <w:rFonts w:ascii="Arial" w:hAnsi="Arial"/>
          <w:color w:val="000000"/>
          <w:sz w:val="22"/>
          <w:lang w:val="el-GR"/>
        </w:rPr>
        <w:t xml:space="preserve"> </w:t>
      </w:r>
      <w:r>
        <w:rPr>
          <w:rFonts w:ascii="Arial" w:hAnsi="Arial"/>
          <w:color w:val="000000"/>
          <w:sz w:val="22"/>
          <w:lang w:val="el-GR"/>
        </w:rPr>
        <w:t>πολύ</w:t>
      </w:r>
      <w:r w:rsidRPr="006B77C5">
        <w:rPr>
          <w:rFonts w:ascii="Arial" w:hAnsi="Arial"/>
          <w:color w:val="000000"/>
          <w:sz w:val="22"/>
          <w:lang w:val="el-GR"/>
        </w:rPr>
        <w:t xml:space="preserve"> </w:t>
      </w:r>
      <w:r>
        <w:rPr>
          <w:rFonts w:ascii="Arial" w:hAnsi="Arial"/>
          <w:color w:val="000000"/>
          <w:sz w:val="22"/>
          <w:lang w:val="el-GR"/>
        </w:rPr>
        <w:t>σπάνια</w:t>
      </w:r>
      <w:r w:rsidRPr="00AF04BB">
        <w:rPr>
          <w:rFonts w:ascii="Arial" w:hAnsi="Arial"/>
          <w:color w:val="000000"/>
          <w:sz w:val="22"/>
          <w:lang w:val="el-GR"/>
        </w:rPr>
        <w:t xml:space="preserve">. </w:t>
      </w:r>
      <w:r w:rsidR="00BB0105" w:rsidRPr="002562F9">
        <w:rPr>
          <w:rFonts w:ascii="Arial" w:hAnsi="Arial"/>
          <w:color w:val="000000"/>
          <w:sz w:val="22"/>
          <w:lang w:val="el-GR"/>
        </w:rPr>
        <w:t>Προηγείται πορφύρα, ή διηθ</w:t>
      </w:r>
      <w:r w:rsidR="009D3039">
        <w:rPr>
          <w:rFonts w:ascii="Arial" w:hAnsi="Arial"/>
          <w:color w:val="000000"/>
          <w:sz w:val="22"/>
          <w:lang w:val="el-GR"/>
        </w:rPr>
        <w:t>ήσεις</w:t>
      </w:r>
      <w:r w:rsidR="00BB0105" w:rsidRPr="002562F9">
        <w:rPr>
          <w:rFonts w:ascii="Arial" w:hAnsi="Arial"/>
          <w:color w:val="000000"/>
          <w:sz w:val="22"/>
          <w:lang w:val="el-GR"/>
        </w:rPr>
        <w:t xml:space="preserve"> ή επώδυνες ερυθηματώδεις εγχυμώσεις με ή χωρίς συστηματική συμπτωματολογία.</w:t>
      </w:r>
      <w:r w:rsidR="00BB0105">
        <w:rPr>
          <w:rFonts w:ascii="Arial" w:hAnsi="Arial"/>
          <w:color w:val="000000"/>
          <w:sz w:val="22"/>
          <w:lang w:val="el-GR"/>
        </w:rPr>
        <w:t xml:space="preserve"> </w:t>
      </w:r>
      <w:r>
        <w:rPr>
          <w:rFonts w:ascii="Arial" w:hAnsi="Arial"/>
          <w:color w:val="000000"/>
          <w:sz w:val="22"/>
          <w:lang w:val="el-GR"/>
        </w:rPr>
        <w:t>Σε</w:t>
      </w:r>
      <w:r w:rsidRPr="006B77C5">
        <w:rPr>
          <w:rFonts w:ascii="Arial" w:hAnsi="Arial"/>
          <w:color w:val="000000"/>
          <w:sz w:val="22"/>
          <w:lang w:val="el-GR"/>
        </w:rPr>
        <w:t xml:space="preserve"> </w:t>
      </w:r>
      <w:r>
        <w:rPr>
          <w:rFonts w:ascii="Arial" w:hAnsi="Arial"/>
          <w:color w:val="000000"/>
          <w:sz w:val="22"/>
          <w:lang w:val="el-GR"/>
        </w:rPr>
        <w:t>τέτοιες</w:t>
      </w:r>
      <w:r w:rsidRPr="006B77C5">
        <w:rPr>
          <w:rFonts w:ascii="Arial" w:hAnsi="Arial"/>
          <w:color w:val="000000"/>
          <w:sz w:val="22"/>
          <w:lang w:val="el-GR"/>
        </w:rPr>
        <w:t xml:space="preserve"> </w:t>
      </w:r>
      <w:r>
        <w:rPr>
          <w:rFonts w:ascii="Arial" w:hAnsi="Arial"/>
          <w:color w:val="000000"/>
          <w:sz w:val="22"/>
          <w:lang w:val="el-GR"/>
        </w:rPr>
        <w:t>περιπτώσεις</w:t>
      </w:r>
      <w:r w:rsidR="009D3039">
        <w:rPr>
          <w:rFonts w:ascii="Arial" w:hAnsi="Arial"/>
          <w:color w:val="000000"/>
          <w:sz w:val="22"/>
          <w:lang w:val="el-GR"/>
        </w:rPr>
        <w:t>,</w:t>
      </w:r>
      <w:r w:rsidRPr="006B77C5">
        <w:rPr>
          <w:rFonts w:ascii="Arial" w:hAnsi="Arial"/>
          <w:color w:val="000000"/>
          <w:sz w:val="22"/>
          <w:lang w:val="el-GR"/>
        </w:rPr>
        <w:t xml:space="preserve"> </w:t>
      </w:r>
      <w:r>
        <w:rPr>
          <w:rFonts w:ascii="Arial" w:hAnsi="Arial"/>
          <w:color w:val="000000"/>
          <w:sz w:val="22"/>
          <w:lang w:val="el-GR"/>
        </w:rPr>
        <w:t>η</w:t>
      </w:r>
      <w:r w:rsidRPr="006B77C5">
        <w:rPr>
          <w:rFonts w:ascii="Arial" w:hAnsi="Arial"/>
          <w:color w:val="000000"/>
          <w:sz w:val="22"/>
          <w:lang w:val="el-GR"/>
        </w:rPr>
        <w:t xml:space="preserve"> </w:t>
      </w:r>
      <w:r>
        <w:rPr>
          <w:rFonts w:ascii="Arial" w:hAnsi="Arial"/>
          <w:color w:val="000000"/>
          <w:sz w:val="22"/>
          <w:lang w:val="el-GR"/>
        </w:rPr>
        <w:t>θεραπεία</w:t>
      </w:r>
      <w:r w:rsidRPr="006B77C5">
        <w:rPr>
          <w:rFonts w:ascii="Arial" w:hAnsi="Arial"/>
          <w:color w:val="000000"/>
          <w:sz w:val="22"/>
          <w:lang w:val="el-GR"/>
        </w:rPr>
        <w:t xml:space="preserve"> </w:t>
      </w:r>
      <w:r>
        <w:rPr>
          <w:rFonts w:ascii="Arial" w:hAnsi="Arial"/>
          <w:color w:val="000000"/>
          <w:sz w:val="22"/>
          <w:lang w:val="el-GR"/>
        </w:rPr>
        <w:t>θα</w:t>
      </w:r>
      <w:r w:rsidRPr="006B77C5">
        <w:rPr>
          <w:rFonts w:ascii="Arial" w:hAnsi="Arial"/>
          <w:color w:val="000000"/>
          <w:sz w:val="22"/>
          <w:lang w:val="el-GR"/>
        </w:rPr>
        <w:t xml:space="preserve"> </w:t>
      </w:r>
      <w:r>
        <w:rPr>
          <w:rFonts w:ascii="Arial" w:hAnsi="Arial"/>
          <w:color w:val="000000"/>
          <w:sz w:val="22"/>
          <w:lang w:val="el-GR"/>
        </w:rPr>
        <w:t>πρέπει</w:t>
      </w:r>
      <w:r w:rsidRPr="006B77C5">
        <w:rPr>
          <w:rFonts w:ascii="Arial" w:hAnsi="Arial"/>
          <w:color w:val="000000"/>
          <w:sz w:val="22"/>
          <w:lang w:val="el-GR"/>
        </w:rPr>
        <w:t xml:space="preserve"> </w:t>
      </w:r>
      <w:r>
        <w:rPr>
          <w:rFonts w:ascii="Arial" w:hAnsi="Arial"/>
          <w:color w:val="000000"/>
          <w:sz w:val="22"/>
          <w:lang w:val="el-GR"/>
        </w:rPr>
        <w:t>να</w:t>
      </w:r>
      <w:r w:rsidRPr="006B77C5">
        <w:rPr>
          <w:rFonts w:ascii="Arial" w:hAnsi="Arial"/>
          <w:color w:val="000000"/>
          <w:sz w:val="22"/>
          <w:lang w:val="el-GR"/>
        </w:rPr>
        <w:t xml:space="preserve"> </w:t>
      </w:r>
      <w:r>
        <w:rPr>
          <w:rFonts w:ascii="Arial" w:hAnsi="Arial"/>
          <w:color w:val="000000"/>
          <w:sz w:val="22"/>
          <w:lang w:val="el-GR"/>
        </w:rPr>
        <w:t>διακόπτεται άμεσα</w:t>
      </w:r>
      <w:r w:rsidRPr="00AF04BB">
        <w:rPr>
          <w:rFonts w:ascii="Arial" w:hAnsi="Arial"/>
          <w:color w:val="000000"/>
          <w:sz w:val="22"/>
          <w:lang w:val="el-GR"/>
        </w:rPr>
        <w:t>.</w:t>
      </w:r>
    </w:p>
    <w:p w:rsidR="00BB0105" w:rsidRPr="00E1578B" w:rsidRDefault="00BB0105" w:rsidP="008179B8">
      <w:pPr>
        <w:jc w:val="both"/>
        <w:rPr>
          <w:rFonts w:ascii="Arial" w:hAnsi="Arial"/>
          <w:b/>
          <w:color w:val="000000"/>
          <w:sz w:val="22"/>
          <w:lang w:val="el-GR"/>
        </w:rPr>
      </w:pPr>
    </w:p>
    <w:p w:rsidR="00F0744B" w:rsidRPr="00AF04BB" w:rsidRDefault="00864A15" w:rsidP="008179B8">
      <w:pPr>
        <w:jc w:val="both"/>
        <w:rPr>
          <w:rFonts w:ascii="Arial" w:hAnsi="Arial"/>
          <w:b/>
          <w:i/>
          <w:color w:val="000000"/>
          <w:sz w:val="22"/>
          <w:lang w:val="el-GR"/>
        </w:rPr>
      </w:pPr>
      <w:r w:rsidRPr="00AF04BB">
        <w:rPr>
          <w:rFonts w:ascii="Arial" w:hAnsi="Arial"/>
          <w:b/>
          <w:i/>
          <w:color w:val="000000"/>
          <w:sz w:val="22"/>
          <w:lang w:val="el-GR"/>
        </w:rPr>
        <w:t>Αλλεργία στο λάτεξ</w:t>
      </w:r>
    </w:p>
    <w:p w:rsidR="00F0744B" w:rsidRPr="00864A15" w:rsidRDefault="00864A15" w:rsidP="008179B8">
      <w:pPr>
        <w:jc w:val="both"/>
        <w:rPr>
          <w:rFonts w:ascii="Arial" w:hAnsi="Arial"/>
          <w:color w:val="000000"/>
          <w:sz w:val="22"/>
          <w:lang w:val="el-GR"/>
        </w:rPr>
      </w:pPr>
      <w:r>
        <w:rPr>
          <w:rFonts w:ascii="Arial" w:hAnsi="Arial"/>
          <w:color w:val="000000"/>
          <w:sz w:val="22"/>
          <w:lang w:val="el-GR"/>
        </w:rPr>
        <w:t xml:space="preserve">Το προστατευτικό </w:t>
      </w:r>
      <w:r w:rsidR="006B77C5">
        <w:rPr>
          <w:rFonts w:ascii="Arial" w:hAnsi="Arial"/>
          <w:color w:val="000000"/>
          <w:sz w:val="22"/>
          <w:lang w:val="el-GR"/>
        </w:rPr>
        <w:t>κάλυμ</w:t>
      </w:r>
      <w:r w:rsidR="00283D24">
        <w:rPr>
          <w:rFonts w:ascii="Arial" w:hAnsi="Arial"/>
          <w:color w:val="000000"/>
          <w:sz w:val="22"/>
          <w:lang w:val="el-GR"/>
        </w:rPr>
        <w:t>μ</w:t>
      </w:r>
      <w:r w:rsidR="006B77C5">
        <w:rPr>
          <w:rFonts w:ascii="Arial" w:hAnsi="Arial"/>
          <w:color w:val="000000"/>
          <w:sz w:val="22"/>
          <w:lang w:val="el-GR"/>
        </w:rPr>
        <w:t xml:space="preserve">α </w:t>
      </w:r>
      <w:r>
        <w:rPr>
          <w:rFonts w:ascii="Arial" w:hAnsi="Arial"/>
          <w:color w:val="000000"/>
          <w:sz w:val="22"/>
          <w:lang w:val="el-GR"/>
        </w:rPr>
        <w:t>της βελόνας</w:t>
      </w:r>
      <w:r w:rsidR="00F0744B" w:rsidRPr="00864A15">
        <w:rPr>
          <w:rFonts w:ascii="Arial" w:hAnsi="Arial"/>
          <w:color w:val="000000"/>
          <w:sz w:val="22"/>
          <w:lang w:val="el-GR"/>
        </w:rPr>
        <w:t xml:space="preserve"> </w:t>
      </w:r>
      <w:r w:rsidR="00F0744B">
        <w:rPr>
          <w:rFonts w:ascii="Arial" w:hAnsi="Arial"/>
          <w:color w:val="000000"/>
          <w:sz w:val="22"/>
          <w:lang w:val="el-GR"/>
        </w:rPr>
        <w:t>της</w:t>
      </w:r>
      <w:r w:rsidR="00F0744B" w:rsidRPr="00864A15">
        <w:rPr>
          <w:rFonts w:ascii="Arial" w:hAnsi="Arial"/>
          <w:color w:val="000000"/>
          <w:sz w:val="22"/>
          <w:lang w:val="el-GR"/>
        </w:rPr>
        <w:t xml:space="preserve"> </w:t>
      </w:r>
      <w:r w:rsidR="00F0744B">
        <w:rPr>
          <w:rFonts w:ascii="Arial" w:hAnsi="Arial"/>
          <w:color w:val="000000"/>
          <w:sz w:val="22"/>
          <w:lang w:val="el-GR"/>
        </w:rPr>
        <w:t>προγεμισμένης</w:t>
      </w:r>
      <w:r w:rsidR="00F0744B" w:rsidRPr="00864A15">
        <w:rPr>
          <w:rFonts w:ascii="Arial" w:hAnsi="Arial"/>
          <w:color w:val="000000"/>
          <w:sz w:val="22"/>
          <w:lang w:val="el-GR"/>
        </w:rPr>
        <w:t xml:space="preserve"> </w:t>
      </w:r>
      <w:r w:rsidR="00F0744B">
        <w:rPr>
          <w:rFonts w:ascii="Arial" w:hAnsi="Arial"/>
          <w:color w:val="000000"/>
          <w:sz w:val="22"/>
          <w:lang w:val="el-GR"/>
        </w:rPr>
        <w:t>σύριγγας</w:t>
      </w:r>
      <w:r w:rsidR="00F0744B" w:rsidRPr="00864A15">
        <w:rPr>
          <w:rFonts w:ascii="Arial" w:hAnsi="Arial"/>
          <w:color w:val="000000"/>
          <w:sz w:val="22"/>
          <w:lang w:val="el-GR"/>
        </w:rPr>
        <w:t xml:space="preserve"> </w:t>
      </w:r>
      <w:r w:rsidR="006B77C5">
        <w:rPr>
          <w:rFonts w:ascii="Arial" w:hAnsi="Arial"/>
          <w:color w:val="000000"/>
          <w:sz w:val="22"/>
          <w:lang w:val="el-GR"/>
        </w:rPr>
        <w:t xml:space="preserve">μπορεί να </w:t>
      </w:r>
      <w:r w:rsidR="00F0744B">
        <w:rPr>
          <w:rFonts w:ascii="Arial" w:hAnsi="Arial"/>
          <w:color w:val="000000"/>
          <w:sz w:val="22"/>
          <w:lang w:val="el-GR"/>
        </w:rPr>
        <w:t>περιέχει</w:t>
      </w:r>
      <w:r w:rsidR="00F0744B" w:rsidRPr="00864A15">
        <w:rPr>
          <w:rFonts w:ascii="Arial" w:hAnsi="Arial"/>
          <w:color w:val="000000"/>
          <w:sz w:val="22"/>
          <w:lang w:val="el-GR"/>
        </w:rPr>
        <w:t xml:space="preserve"> </w:t>
      </w:r>
      <w:r>
        <w:rPr>
          <w:rFonts w:ascii="Arial" w:hAnsi="Arial"/>
          <w:color w:val="000000"/>
          <w:sz w:val="22"/>
          <w:lang w:val="el-GR"/>
        </w:rPr>
        <w:t>ξηρό φυσικό ελαστικό κόμμι</w:t>
      </w:r>
      <w:r w:rsidR="00F0744B" w:rsidRPr="00864A15">
        <w:rPr>
          <w:rFonts w:ascii="Arial" w:hAnsi="Arial"/>
          <w:color w:val="000000"/>
          <w:sz w:val="22"/>
          <w:lang w:val="el-GR"/>
        </w:rPr>
        <w:t xml:space="preserve"> </w:t>
      </w:r>
      <w:r w:rsidR="00F0744B">
        <w:rPr>
          <w:rFonts w:ascii="Arial" w:hAnsi="Arial"/>
          <w:color w:val="000000"/>
          <w:sz w:val="22"/>
          <w:lang w:val="el-GR"/>
        </w:rPr>
        <w:t>που</w:t>
      </w:r>
      <w:r w:rsidR="00F0744B" w:rsidRPr="00864A15">
        <w:rPr>
          <w:rFonts w:ascii="Arial" w:hAnsi="Arial"/>
          <w:color w:val="000000"/>
          <w:sz w:val="22"/>
          <w:lang w:val="el-GR"/>
        </w:rPr>
        <w:t xml:space="preserve"> </w:t>
      </w:r>
      <w:r w:rsidR="00F0744B">
        <w:rPr>
          <w:rFonts w:ascii="Arial" w:hAnsi="Arial"/>
          <w:color w:val="000000"/>
          <w:sz w:val="22"/>
          <w:lang w:val="el-GR"/>
        </w:rPr>
        <w:t>δυνητικά</w:t>
      </w:r>
      <w:r w:rsidR="00F0744B" w:rsidRPr="00864A15">
        <w:rPr>
          <w:rFonts w:ascii="Arial" w:hAnsi="Arial"/>
          <w:color w:val="000000"/>
          <w:sz w:val="22"/>
          <w:lang w:val="el-GR"/>
        </w:rPr>
        <w:t xml:space="preserve"> </w:t>
      </w:r>
      <w:r w:rsidR="00F0744B">
        <w:rPr>
          <w:rFonts w:ascii="Arial" w:hAnsi="Arial"/>
          <w:color w:val="000000"/>
          <w:sz w:val="22"/>
          <w:lang w:val="el-GR"/>
        </w:rPr>
        <w:t>μπορεί</w:t>
      </w:r>
      <w:r w:rsidR="00F0744B" w:rsidRPr="00864A15">
        <w:rPr>
          <w:rFonts w:ascii="Arial" w:hAnsi="Arial"/>
          <w:color w:val="000000"/>
          <w:sz w:val="22"/>
          <w:lang w:val="el-GR"/>
        </w:rPr>
        <w:t xml:space="preserve"> </w:t>
      </w:r>
      <w:r w:rsidR="00F0744B">
        <w:rPr>
          <w:rFonts w:ascii="Arial" w:hAnsi="Arial"/>
          <w:color w:val="000000"/>
          <w:sz w:val="22"/>
          <w:lang w:val="el-GR"/>
        </w:rPr>
        <w:t>να</w:t>
      </w:r>
      <w:r w:rsidR="00F0744B" w:rsidRPr="00864A15">
        <w:rPr>
          <w:rFonts w:ascii="Arial" w:hAnsi="Arial"/>
          <w:color w:val="000000"/>
          <w:sz w:val="22"/>
          <w:lang w:val="el-GR"/>
        </w:rPr>
        <w:t xml:space="preserve"> </w:t>
      </w:r>
      <w:r w:rsidR="00F0744B">
        <w:rPr>
          <w:rFonts w:ascii="Arial" w:hAnsi="Arial"/>
          <w:color w:val="000000"/>
          <w:sz w:val="22"/>
          <w:lang w:val="el-GR"/>
        </w:rPr>
        <w:t>προκαλέσει</w:t>
      </w:r>
      <w:r w:rsidR="00F0744B" w:rsidRPr="00864A15">
        <w:rPr>
          <w:rFonts w:ascii="Arial" w:hAnsi="Arial"/>
          <w:color w:val="000000"/>
          <w:sz w:val="22"/>
          <w:lang w:val="el-GR"/>
        </w:rPr>
        <w:t xml:space="preserve"> </w:t>
      </w:r>
      <w:r w:rsidR="00F0744B">
        <w:rPr>
          <w:rFonts w:ascii="Arial" w:hAnsi="Arial"/>
          <w:color w:val="000000"/>
          <w:sz w:val="22"/>
          <w:lang w:val="el-GR"/>
        </w:rPr>
        <w:t>αλλεργικές</w:t>
      </w:r>
      <w:r w:rsidR="00F0744B" w:rsidRPr="00864A15">
        <w:rPr>
          <w:rFonts w:ascii="Arial" w:hAnsi="Arial"/>
          <w:color w:val="000000"/>
          <w:sz w:val="22"/>
          <w:lang w:val="el-GR"/>
        </w:rPr>
        <w:t xml:space="preserve"> </w:t>
      </w:r>
      <w:r w:rsidR="00F0744B">
        <w:rPr>
          <w:rFonts w:ascii="Arial" w:hAnsi="Arial"/>
          <w:color w:val="000000"/>
          <w:sz w:val="22"/>
          <w:lang w:val="el-GR"/>
        </w:rPr>
        <w:t>αντιδράσεις</w:t>
      </w:r>
      <w:r w:rsidR="00F0744B" w:rsidRPr="00864A15">
        <w:rPr>
          <w:rFonts w:ascii="Arial" w:hAnsi="Arial"/>
          <w:color w:val="000000"/>
          <w:sz w:val="22"/>
          <w:lang w:val="el-GR"/>
        </w:rPr>
        <w:t xml:space="preserve"> </w:t>
      </w:r>
      <w:r w:rsidR="00F0744B">
        <w:rPr>
          <w:rFonts w:ascii="Arial" w:hAnsi="Arial"/>
          <w:color w:val="000000"/>
          <w:sz w:val="22"/>
          <w:lang w:val="el-GR"/>
        </w:rPr>
        <w:t>σε</w:t>
      </w:r>
      <w:r w:rsidR="00F0744B" w:rsidRPr="00864A15">
        <w:rPr>
          <w:rFonts w:ascii="Arial" w:hAnsi="Arial"/>
          <w:color w:val="000000"/>
          <w:sz w:val="22"/>
          <w:lang w:val="el-GR"/>
        </w:rPr>
        <w:t xml:space="preserve"> </w:t>
      </w:r>
      <w:r>
        <w:rPr>
          <w:rFonts w:ascii="Arial" w:hAnsi="Arial"/>
          <w:color w:val="000000"/>
          <w:sz w:val="22"/>
          <w:lang w:val="el-GR"/>
        </w:rPr>
        <w:t>άτομα που είναι ευαίσθητα στο λάτεξ</w:t>
      </w:r>
      <w:r w:rsidR="00F0744B" w:rsidRPr="00864A15">
        <w:rPr>
          <w:rFonts w:ascii="Arial" w:hAnsi="Arial"/>
          <w:color w:val="000000"/>
          <w:sz w:val="22"/>
          <w:lang w:val="el-GR"/>
        </w:rPr>
        <w:t>.</w:t>
      </w:r>
    </w:p>
    <w:p w:rsidR="00F0744B" w:rsidRPr="00864A15" w:rsidRDefault="00F0744B" w:rsidP="008179B8">
      <w:pPr>
        <w:jc w:val="both"/>
        <w:rPr>
          <w:rFonts w:ascii="Arial" w:hAnsi="Arial"/>
          <w:color w:val="000000"/>
          <w:sz w:val="22"/>
          <w:lang w:val="el-GR"/>
        </w:rPr>
      </w:pPr>
    </w:p>
    <w:p w:rsidR="0086736F" w:rsidRPr="002562F9" w:rsidRDefault="0086736F" w:rsidP="008179B8">
      <w:pPr>
        <w:ind w:left="720" w:hanging="720"/>
        <w:jc w:val="both"/>
        <w:rPr>
          <w:rFonts w:ascii="Arial" w:hAnsi="Arial"/>
          <w:b/>
          <w:color w:val="000000"/>
          <w:sz w:val="22"/>
          <w:lang w:val="el-GR"/>
        </w:rPr>
      </w:pPr>
      <w:r w:rsidRPr="002562F9">
        <w:rPr>
          <w:rFonts w:ascii="Arial" w:hAnsi="Arial"/>
          <w:b/>
          <w:color w:val="000000"/>
          <w:sz w:val="22"/>
          <w:lang w:val="el-GR"/>
        </w:rPr>
        <w:t>4.5  Αλληλεπιδράσεις με άλλα φαρμακευτικά προϊόντα και άλλες μορφές αλληλεπίδρασης</w:t>
      </w: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Δεν συνιστάται ο συνδυασμός της αγωγής με τα παρακάτω φάρμακα:</w:t>
      </w: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Ασπιρίνη (ή άλλα σαλικυλικά), μη στεροειδή </w:t>
      </w:r>
      <w:r w:rsidR="00AC7CF1">
        <w:rPr>
          <w:rFonts w:ascii="Arial" w:hAnsi="Arial"/>
          <w:sz w:val="22"/>
          <w:lang w:val="el-GR"/>
        </w:rPr>
        <w:t>αντιφλεγμονώδη</w:t>
      </w:r>
      <w:r w:rsidRPr="00CB3ECD">
        <w:rPr>
          <w:rFonts w:ascii="Arial" w:hAnsi="Arial"/>
          <w:sz w:val="22"/>
          <w:lang w:val="el-GR"/>
        </w:rPr>
        <w:t xml:space="preserve"> </w:t>
      </w:r>
      <w:r w:rsidRPr="002562F9">
        <w:rPr>
          <w:rFonts w:ascii="Arial" w:hAnsi="Arial"/>
          <w:color w:val="000000"/>
          <w:sz w:val="22"/>
          <w:lang w:val="el-GR"/>
        </w:rPr>
        <w:t>φάρμακα, αντιαιμοπεταλιακούς παράγοντες  (βλ</w:t>
      </w:r>
      <w:r w:rsidR="00471F43" w:rsidRPr="002562F9">
        <w:rPr>
          <w:rFonts w:ascii="Arial" w:hAnsi="Arial"/>
          <w:color w:val="000000"/>
          <w:sz w:val="22"/>
          <w:lang w:val="el-GR"/>
        </w:rPr>
        <w:t>έπε</w:t>
      </w:r>
      <w:r w:rsidRPr="002562F9">
        <w:rPr>
          <w:rFonts w:ascii="Arial" w:hAnsi="Arial"/>
          <w:color w:val="000000"/>
          <w:sz w:val="22"/>
          <w:lang w:val="el-GR"/>
        </w:rPr>
        <w:t xml:space="preserve"> </w:t>
      </w:r>
      <w:r w:rsidR="003B7D13" w:rsidRPr="002562F9">
        <w:rPr>
          <w:rFonts w:ascii="Arial" w:hAnsi="Arial"/>
          <w:color w:val="000000"/>
          <w:sz w:val="22"/>
          <w:lang w:val="el-GR"/>
        </w:rPr>
        <w:t xml:space="preserve">παράγραφο </w:t>
      </w:r>
      <w:r w:rsidRPr="002562F9">
        <w:rPr>
          <w:rFonts w:ascii="Arial" w:hAnsi="Arial"/>
          <w:color w:val="000000"/>
          <w:sz w:val="22"/>
          <w:lang w:val="el-GR"/>
        </w:rPr>
        <w:t>4.4.2)</w:t>
      </w:r>
      <w:r w:rsidR="00947E8D" w:rsidRPr="002562F9">
        <w:rPr>
          <w:rFonts w:ascii="Arial" w:hAnsi="Arial"/>
          <w:color w:val="000000"/>
          <w:sz w:val="22"/>
          <w:lang w:val="el-GR"/>
        </w:rPr>
        <w:t>,</w:t>
      </w:r>
      <w:r w:rsidRPr="002562F9">
        <w:rPr>
          <w:rFonts w:ascii="Arial" w:hAnsi="Arial"/>
          <w:color w:val="000000"/>
          <w:sz w:val="22"/>
          <w:lang w:val="el-GR"/>
        </w:rPr>
        <w:t xml:space="preserve"> διότι μπορεί να αυξηθεί ο κίνδυνος αιμορραγίας.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lastRenderedPageBreak/>
        <w:t xml:space="preserve">Σε περιπτώσεις θεραπείας ασταθούς στηθάγχης και εμφράγματος του μυοκαρδίου χωρίς </w:t>
      </w:r>
      <w:r w:rsidR="00AC7CF1">
        <w:rPr>
          <w:rFonts w:ascii="Arial" w:hAnsi="Arial"/>
          <w:sz w:val="22"/>
          <w:lang w:val="el-GR"/>
        </w:rPr>
        <w:t>κύμα</w:t>
      </w:r>
      <w:r w:rsidRPr="00CB3ECD">
        <w:rPr>
          <w:rFonts w:ascii="Arial" w:hAnsi="Arial"/>
          <w:sz w:val="22"/>
          <w:lang w:val="el-GR"/>
        </w:rPr>
        <w:t xml:space="preserve"> </w:t>
      </w:r>
      <w:r w:rsidRPr="002562F9">
        <w:rPr>
          <w:rFonts w:ascii="Arial" w:hAnsi="Arial"/>
          <w:color w:val="000000"/>
          <w:sz w:val="22"/>
        </w:rPr>
        <w:t>Q</w:t>
      </w:r>
      <w:r w:rsidR="00947E8D" w:rsidRPr="002562F9">
        <w:rPr>
          <w:rFonts w:ascii="Arial" w:hAnsi="Arial"/>
          <w:color w:val="000000"/>
          <w:sz w:val="22"/>
          <w:lang w:val="el-GR"/>
        </w:rPr>
        <w:t>,</w:t>
      </w:r>
      <w:r w:rsidRPr="002562F9">
        <w:rPr>
          <w:rFonts w:ascii="Arial" w:hAnsi="Arial"/>
          <w:color w:val="000000"/>
          <w:sz w:val="22"/>
          <w:lang w:val="el-GR"/>
        </w:rPr>
        <w:t xml:space="preserve"> η </w:t>
      </w:r>
      <w:r w:rsidR="00515ADC" w:rsidRPr="002562F9">
        <w:rPr>
          <w:rFonts w:ascii="Arial" w:hAnsi="Arial"/>
          <w:color w:val="000000"/>
          <w:sz w:val="22"/>
          <w:lang w:val="el-GR"/>
        </w:rPr>
        <w:t>ναδροπαρίνη</w:t>
      </w:r>
      <w:r w:rsidRPr="002562F9">
        <w:rPr>
          <w:rFonts w:ascii="Arial" w:hAnsi="Arial"/>
          <w:color w:val="000000"/>
          <w:sz w:val="22"/>
          <w:vertAlign w:val="superscript"/>
          <w:lang w:val="el-GR"/>
        </w:rPr>
        <w:t xml:space="preserve"> </w:t>
      </w:r>
      <w:r w:rsidRPr="002562F9">
        <w:rPr>
          <w:rFonts w:ascii="Arial" w:hAnsi="Arial"/>
          <w:color w:val="000000"/>
          <w:sz w:val="22"/>
          <w:lang w:val="el-GR"/>
        </w:rPr>
        <w:t xml:space="preserve"> θα πρέπει να συνδυάζεται με ασπιρίνη έως 325 </w:t>
      </w:r>
      <w:r w:rsidRPr="002562F9">
        <w:rPr>
          <w:rFonts w:ascii="Arial" w:hAnsi="Arial"/>
          <w:color w:val="000000"/>
          <w:sz w:val="22"/>
        </w:rPr>
        <w:t>mg</w:t>
      </w:r>
      <w:r w:rsidRPr="002562F9">
        <w:rPr>
          <w:rFonts w:ascii="Arial" w:hAnsi="Arial"/>
          <w:color w:val="000000"/>
          <w:sz w:val="22"/>
          <w:lang w:val="el-GR"/>
        </w:rPr>
        <w:t xml:space="preserve"> ημερησίως (βλ</w:t>
      </w:r>
      <w:r w:rsidR="00471F43" w:rsidRPr="002562F9">
        <w:rPr>
          <w:rFonts w:ascii="Arial" w:hAnsi="Arial"/>
          <w:color w:val="000000"/>
          <w:sz w:val="22"/>
          <w:lang w:val="el-GR"/>
        </w:rPr>
        <w:t>έπε</w:t>
      </w:r>
      <w:r w:rsidRPr="002562F9">
        <w:rPr>
          <w:rFonts w:ascii="Arial" w:hAnsi="Arial"/>
          <w:color w:val="000000"/>
          <w:sz w:val="22"/>
          <w:lang w:val="el-GR"/>
        </w:rPr>
        <w:t xml:space="preserve">  </w:t>
      </w:r>
      <w:r w:rsidR="003B7D13" w:rsidRPr="002562F9">
        <w:rPr>
          <w:rFonts w:ascii="Arial" w:hAnsi="Arial"/>
          <w:color w:val="000000"/>
          <w:sz w:val="22"/>
          <w:lang w:val="el-GR"/>
        </w:rPr>
        <w:t xml:space="preserve">παραγράφους </w:t>
      </w:r>
      <w:r w:rsidRPr="002562F9">
        <w:rPr>
          <w:rFonts w:ascii="Arial" w:hAnsi="Arial"/>
          <w:color w:val="000000"/>
          <w:sz w:val="22"/>
          <w:lang w:val="el-GR"/>
        </w:rPr>
        <w:t>4.2 και 4.4.2).</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Συνδυασμοί που απαιτούν προσοχή:</w:t>
      </w: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Αντιπηκτικοί παράγοντες που λαμβάνονται από το στόμα, συστηματικά (γλ</w:t>
      </w:r>
      <w:r w:rsidR="00947E8D" w:rsidRPr="002562F9">
        <w:rPr>
          <w:rFonts w:ascii="Arial" w:hAnsi="Arial"/>
          <w:color w:val="000000"/>
          <w:sz w:val="22"/>
          <w:lang w:val="el-GR"/>
        </w:rPr>
        <w:t>υ</w:t>
      </w:r>
      <w:r w:rsidRPr="002562F9">
        <w:rPr>
          <w:rFonts w:ascii="Arial" w:hAnsi="Arial"/>
          <w:color w:val="000000"/>
          <w:sz w:val="22"/>
          <w:lang w:val="el-GR"/>
        </w:rPr>
        <w:t>κο-)</w:t>
      </w:r>
      <w:r w:rsidR="00367B11" w:rsidRPr="002562F9">
        <w:rPr>
          <w:rFonts w:ascii="Arial" w:hAnsi="Arial"/>
          <w:color w:val="000000"/>
          <w:sz w:val="22"/>
          <w:lang w:val="el-GR"/>
        </w:rPr>
        <w:t xml:space="preserve"> </w:t>
      </w:r>
      <w:r w:rsidRPr="002562F9">
        <w:rPr>
          <w:rFonts w:ascii="Arial" w:hAnsi="Arial"/>
          <w:color w:val="000000"/>
          <w:sz w:val="22"/>
          <w:lang w:val="el-GR"/>
        </w:rPr>
        <w:t xml:space="preserve">κορτικοστεροειδή και δεξτράνες. Όταν </w:t>
      </w:r>
      <w:r w:rsidR="00947E8D" w:rsidRPr="002562F9">
        <w:rPr>
          <w:rFonts w:ascii="Arial" w:hAnsi="Arial"/>
          <w:color w:val="000000"/>
          <w:sz w:val="22"/>
          <w:lang w:val="el-GR"/>
        </w:rPr>
        <w:t>ξεκινά</w:t>
      </w:r>
      <w:r w:rsidRPr="002562F9">
        <w:rPr>
          <w:rFonts w:ascii="Arial" w:hAnsi="Arial"/>
          <w:color w:val="000000"/>
          <w:sz w:val="22"/>
          <w:lang w:val="el-GR"/>
        </w:rPr>
        <w:t xml:space="preserve"> από του στόματος αντιπηκτική θεραπεία σε ασθενείς που λαμβάνουν </w:t>
      </w:r>
      <w:r w:rsidR="00515ADC" w:rsidRPr="002562F9">
        <w:rPr>
          <w:rFonts w:ascii="Arial" w:hAnsi="Arial"/>
          <w:color w:val="000000"/>
          <w:sz w:val="22"/>
          <w:lang w:val="el-GR"/>
        </w:rPr>
        <w:t>ναδροπαρίνη</w:t>
      </w:r>
      <w:r w:rsidRPr="002562F9">
        <w:rPr>
          <w:rFonts w:ascii="Arial" w:hAnsi="Arial"/>
          <w:color w:val="000000"/>
          <w:sz w:val="22"/>
          <w:lang w:val="el-GR"/>
        </w:rPr>
        <w:t xml:space="preserve">, η θεραπεία με ηπαρίνη θα πρέπει να συνεχίζεται </w:t>
      </w:r>
      <w:r w:rsidR="00947E8D" w:rsidRPr="002562F9">
        <w:rPr>
          <w:rFonts w:ascii="Arial" w:hAnsi="Arial"/>
          <w:color w:val="000000"/>
          <w:sz w:val="22"/>
          <w:lang w:val="el-GR"/>
        </w:rPr>
        <w:t>έως</w:t>
      </w:r>
      <w:r w:rsidRPr="002562F9">
        <w:rPr>
          <w:rFonts w:ascii="Arial" w:hAnsi="Arial"/>
          <w:color w:val="000000"/>
          <w:sz w:val="22"/>
          <w:lang w:val="el-GR"/>
        </w:rPr>
        <w:t xml:space="preserve"> ότου το </w:t>
      </w:r>
      <w:r w:rsidRPr="002562F9">
        <w:rPr>
          <w:rFonts w:ascii="Arial" w:hAnsi="Arial"/>
          <w:color w:val="000000"/>
          <w:sz w:val="22"/>
        </w:rPr>
        <w:t>INR</w:t>
      </w:r>
      <w:r w:rsidRPr="002562F9">
        <w:rPr>
          <w:rFonts w:ascii="Arial" w:hAnsi="Arial"/>
          <w:color w:val="000000"/>
          <w:sz w:val="22"/>
          <w:lang w:val="el-GR"/>
        </w:rPr>
        <w:t xml:space="preserve"> σταθεροποιηθεί στην τιμή</w:t>
      </w:r>
      <w:r w:rsidR="00947E8D" w:rsidRPr="002562F9">
        <w:rPr>
          <w:rFonts w:ascii="Arial" w:hAnsi="Arial"/>
          <w:color w:val="000000"/>
          <w:sz w:val="22"/>
          <w:lang w:val="el-GR"/>
        </w:rPr>
        <w:t>-στόχο</w:t>
      </w:r>
      <w:r w:rsidRPr="002562F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4.6  </w:t>
      </w:r>
      <w:r w:rsidR="001A0274" w:rsidRPr="002562F9">
        <w:rPr>
          <w:rFonts w:ascii="Arial" w:hAnsi="Arial"/>
          <w:b/>
          <w:color w:val="000000"/>
          <w:sz w:val="22"/>
          <w:lang w:val="el-GR"/>
        </w:rPr>
        <w:tab/>
      </w:r>
      <w:r w:rsidR="004A7349">
        <w:rPr>
          <w:rFonts w:ascii="Arial" w:hAnsi="Arial"/>
          <w:b/>
          <w:color w:val="000000"/>
          <w:sz w:val="22"/>
          <w:lang w:val="el-GR"/>
        </w:rPr>
        <w:t>Γονιμότητα, κ</w:t>
      </w:r>
      <w:r w:rsidRPr="002562F9">
        <w:rPr>
          <w:rFonts w:ascii="Arial" w:hAnsi="Arial"/>
          <w:b/>
          <w:color w:val="000000"/>
          <w:sz w:val="22"/>
          <w:lang w:val="el-GR"/>
        </w:rPr>
        <w:t>ύηση και γαλουχία</w:t>
      </w:r>
    </w:p>
    <w:p w:rsidR="0086736F" w:rsidRPr="002562F9" w:rsidRDefault="0086736F" w:rsidP="008179B8">
      <w:pPr>
        <w:ind w:left="360" w:hanging="360"/>
        <w:jc w:val="both"/>
        <w:rPr>
          <w:rFonts w:ascii="Arial" w:hAnsi="Arial"/>
          <w:color w:val="000000"/>
          <w:sz w:val="22"/>
          <w:lang w:val="el-GR"/>
        </w:rPr>
      </w:pPr>
    </w:p>
    <w:p w:rsidR="00C40801" w:rsidRPr="002562F9" w:rsidRDefault="00C40801" w:rsidP="008179B8">
      <w:pPr>
        <w:jc w:val="both"/>
        <w:rPr>
          <w:rFonts w:ascii="Arial" w:hAnsi="Arial"/>
          <w:color w:val="000000"/>
          <w:sz w:val="22"/>
          <w:u w:val="single"/>
          <w:lang w:val="el-GR"/>
        </w:rPr>
      </w:pPr>
      <w:r w:rsidRPr="002562F9">
        <w:rPr>
          <w:rFonts w:ascii="Arial" w:hAnsi="Arial"/>
          <w:color w:val="000000"/>
          <w:sz w:val="22"/>
          <w:u w:val="single"/>
          <w:lang w:val="el-GR"/>
        </w:rPr>
        <w:t>Γονιμότητα:</w:t>
      </w:r>
    </w:p>
    <w:p w:rsidR="00C40801" w:rsidRPr="002562F9" w:rsidRDefault="00C40801" w:rsidP="008179B8">
      <w:pPr>
        <w:jc w:val="both"/>
        <w:rPr>
          <w:rFonts w:ascii="Arial" w:hAnsi="Arial"/>
          <w:color w:val="000000"/>
          <w:sz w:val="22"/>
          <w:lang w:val="el-GR"/>
        </w:rPr>
      </w:pPr>
      <w:r w:rsidRPr="002562F9">
        <w:rPr>
          <w:rFonts w:ascii="Arial" w:hAnsi="Arial"/>
          <w:color w:val="000000"/>
          <w:sz w:val="22"/>
          <w:lang w:val="el-GR"/>
        </w:rPr>
        <w:t xml:space="preserve">Δεν υπάρχουν κλινικές μελέτες για την επίδραση της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στην γονιμότητα.</w:t>
      </w:r>
    </w:p>
    <w:p w:rsidR="00C40801" w:rsidRPr="002562F9" w:rsidRDefault="00C40801" w:rsidP="008179B8">
      <w:pPr>
        <w:jc w:val="both"/>
        <w:rPr>
          <w:rFonts w:ascii="Arial" w:hAnsi="Arial"/>
          <w:color w:val="000000"/>
          <w:sz w:val="22"/>
          <w:u w:val="single"/>
          <w:lang w:val="el-GR"/>
        </w:rPr>
      </w:pPr>
    </w:p>
    <w:p w:rsidR="00367B11" w:rsidRPr="002562F9" w:rsidRDefault="0086736F" w:rsidP="008179B8">
      <w:pPr>
        <w:jc w:val="both"/>
        <w:rPr>
          <w:rFonts w:ascii="Arial" w:hAnsi="Arial"/>
          <w:color w:val="000000"/>
          <w:sz w:val="22"/>
          <w:u w:val="single"/>
          <w:lang w:val="el-GR"/>
        </w:rPr>
      </w:pPr>
      <w:r w:rsidRPr="002562F9">
        <w:rPr>
          <w:rFonts w:ascii="Arial" w:hAnsi="Arial"/>
          <w:color w:val="000000"/>
          <w:sz w:val="22"/>
          <w:u w:val="single"/>
          <w:lang w:val="el-GR"/>
        </w:rPr>
        <w:t>Κύηση</w:t>
      </w:r>
      <w:r w:rsidRPr="002562F9">
        <w:rPr>
          <w:rFonts w:ascii="Arial" w:hAnsi="Arial"/>
          <w:color w:val="000000"/>
          <w:sz w:val="22"/>
          <w:lang w:val="el-GR"/>
        </w:rPr>
        <w:t>:</w:t>
      </w:r>
      <w:r w:rsidRPr="002562F9">
        <w:rPr>
          <w:rFonts w:ascii="Arial" w:hAnsi="Arial"/>
          <w:color w:val="000000"/>
          <w:sz w:val="22"/>
          <w:u w:val="single"/>
          <w:lang w:val="el-GR"/>
        </w:rPr>
        <w:t xml:space="preserve"> </w:t>
      </w:r>
    </w:p>
    <w:p w:rsidR="0086736F" w:rsidRPr="002562F9" w:rsidRDefault="0086736F" w:rsidP="008179B8">
      <w:pPr>
        <w:jc w:val="both"/>
        <w:rPr>
          <w:rFonts w:ascii="Arial" w:hAnsi="Arial"/>
          <w:color w:val="000000"/>
          <w:sz w:val="22"/>
          <w:u w:val="single"/>
          <w:lang w:val="el-GR"/>
        </w:rPr>
      </w:pPr>
      <w:r w:rsidRPr="002562F9">
        <w:rPr>
          <w:rFonts w:ascii="Arial" w:hAnsi="Arial"/>
          <w:color w:val="000000"/>
          <w:sz w:val="22"/>
          <w:lang w:val="el-GR"/>
        </w:rPr>
        <w:t>Μελέτες σε ζώα δεν έχουν δείξει τερατογέννεση ή εμβρυοτοξικότητα.</w:t>
      </w:r>
      <w:r w:rsidR="00D43EBD">
        <w:rPr>
          <w:rFonts w:ascii="Arial" w:hAnsi="Arial"/>
          <w:color w:val="000000"/>
          <w:sz w:val="22"/>
          <w:lang w:val="el-GR"/>
        </w:rPr>
        <w:t xml:space="preserve"> </w:t>
      </w:r>
      <w:r w:rsidR="00367B11" w:rsidRPr="002562F9">
        <w:rPr>
          <w:rFonts w:ascii="Arial" w:hAnsi="Arial"/>
          <w:color w:val="000000"/>
          <w:sz w:val="22"/>
          <w:lang w:val="el-GR"/>
        </w:rPr>
        <w:t>Ωστόσο</w:t>
      </w:r>
      <w:r w:rsidRPr="002562F9">
        <w:rPr>
          <w:rFonts w:ascii="Arial" w:hAnsi="Arial"/>
          <w:color w:val="000000"/>
          <w:sz w:val="22"/>
          <w:lang w:val="el-GR"/>
        </w:rPr>
        <w:t xml:space="preserve">, υπάρχει περιορισμένη μόνο πληροφόρηση και κλινικά δεδομένα σε ανθρώπους σχετικά με την διαπερατότητα της στον πλακούντα. Στοιχεία από ένα περιορισμένο αριθμό κυήσεων υπό αγωγή, δεν έδειξαν ανεπιθύμητες ενέργειες της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στην κύηση ή στην υγεία του εμβρύου/νεογέννητου. Μέχρι σήμερα, κανένα άλλο επιδημιολογικό στοιχείο δεν είναι διαθέσιμο. Συνεπώς η χρήση της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κατά την διάρκεια της εγκυμοσύνης, δεν συνίσταται εκτός εάν τα θεραπευτικά οφέλη αντισταθμίζουν τους πιθανούς κινδύνους.</w:t>
      </w:r>
    </w:p>
    <w:p w:rsidR="0086736F" w:rsidRPr="002562F9" w:rsidRDefault="0086736F" w:rsidP="008179B8">
      <w:pPr>
        <w:jc w:val="both"/>
        <w:rPr>
          <w:rFonts w:ascii="Arial" w:hAnsi="Arial"/>
          <w:color w:val="000000"/>
          <w:sz w:val="22"/>
          <w:lang w:val="el-GR"/>
        </w:rPr>
      </w:pPr>
    </w:p>
    <w:p w:rsidR="00122617" w:rsidRPr="002562F9" w:rsidRDefault="0086736F" w:rsidP="008179B8">
      <w:pPr>
        <w:jc w:val="both"/>
        <w:rPr>
          <w:rFonts w:ascii="Arial" w:hAnsi="Arial"/>
          <w:color w:val="000000"/>
          <w:sz w:val="22"/>
          <w:lang w:val="el-GR"/>
        </w:rPr>
      </w:pPr>
      <w:r w:rsidRPr="002562F9">
        <w:rPr>
          <w:rFonts w:ascii="Arial" w:hAnsi="Arial"/>
          <w:color w:val="000000"/>
          <w:sz w:val="22"/>
          <w:u w:val="single"/>
          <w:lang w:val="el-GR"/>
        </w:rPr>
        <w:t>Γαλουχία:</w:t>
      </w:r>
      <w:r w:rsidRPr="002562F9">
        <w:rPr>
          <w:rFonts w:ascii="Arial" w:hAnsi="Arial"/>
          <w:color w:val="000000"/>
          <w:sz w:val="22"/>
          <w:lang w:val="el-GR"/>
        </w:rPr>
        <w:t xml:space="preserve"> </w:t>
      </w:r>
    </w:p>
    <w:p w:rsidR="0086736F" w:rsidRPr="002562F9" w:rsidRDefault="0086736F" w:rsidP="008179B8">
      <w:pPr>
        <w:jc w:val="both"/>
        <w:rPr>
          <w:rFonts w:ascii="Arial" w:hAnsi="Arial"/>
          <w:color w:val="000000"/>
          <w:sz w:val="22"/>
          <w:u w:val="single"/>
          <w:lang w:val="el-GR"/>
        </w:rPr>
      </w:pPr>
      <w:r w:rsidRPr="002562F9">
        <w:rPr>
          <w:rFonts w:ascii="Arial" w:hAnsi="Arial"/>
          <w:color w:val="000000"/>
          <w:sz w:val="22"/>
          <w:lang w:val="el-GR"/>
        </w:rPr>
        <w:t xml:space="preserve">Οι πληροφορίες σχετικά με την απέκκριση της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στο μητρικό γάλα είναι περιορισμένες. Συνεπώς η χρήση της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κατά τη διάρκεια του θηλασμού, δεν συνιστάται. </w:t>
      </w:r>
    </w:p>
    <w:p w:rsidR="00C40801" w:rsidRPr="002562F9" w:rsidRDefault="00C40801"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pacing w:val="-35"/>
          <w:sz w:val="22"/>
          <w:lang w:val="el-GR"/>
        </w:rPr>
      </w:pPr>
      <w:r w:rsidRPr="002562F9">
        <w:rPr>
          <w:rFonts w:ascii="Arial" w:hAnsi="Arial"/>
          <w:b/>
          <w:color w:val="000000"/>
          <w:sz w:val="22"/>
          <w:lang w:val="el-GR"/>
        </w:rPr>
        <w:t xml:space="preserve">4.7 </w:t>
      </w:r>
      <w:r w:rsidR="001A0274" w:rsidRPr="002562F9">
        <w:rPr>
          <w:rFonts w:ascii="Arial" w:hAnsi="Arial"/>
          <w:b/>
          <w:color w:val="000000"/>
          <w:sz w:val="22"/>
          <w:lang w:val="el-GR"/>
        </w:rPr>
        <w:tab/>
      </w:r>
      <w:r w:rsidRPr="002562F9">
        <w:rPr>
          <w:rFonts w:ascii="Arial" w:hAnsi="Arial"/>
          <w:b/>
          <w:color w:val="000000"/>
          <w:sz w:val="22"/>
          <w:lang w:val="el-GR"/>
        </w:rPr>
        <w:t>Επίδραση στην ικανότητα οδήγησης και χειρισμού μηχανών</w:t>
      </w:r>
    </w:p>
    <w:p w:rsidR="0086736F" w:rsidRPr="002562F9" w:rsidRDefault="0086736F" w:rsidP="008179B8">
      <w:pPr>
        <w:jc w:val="both"/>
        <w:rPr>
          <w:rFonts w:ascii="Arial" w:hAnsi="Arial"/>
          <w:b/>
          <w:color w:val="000000"/>
          <w:sz w:val="22"/>
          <w:lang w:val="el-GR"/>
        </w:rPr>
      </w:pPr>
    </w:p>
    <w:p w:rsidR="0086736F" w:rsidRPr="002562F9" w:rsidRDefault="00F84EBC" w:rsidP="008179B8">
      <w:pPr>
        <w:jc w:val="both"/>
        <w:rPr>
          <w:rFonts w:ascii="Arial" w:hAnsi="Arial"/>
          <w:color w:val="000000"/>
          <w:sz w:val="22"/>
          <w:lang w:val="el-GR"/>
        </w:rPr>
      </w:pPr>
      <w:r>
        <w:rPr>
          <w:rFonts w:ascii="Arial" w:hAnsi="Arial"/>
          <w:color w:val="000000"/>
          <w:sz w:val="22"/>
          <w:lang w:val="el-GR"/>
        </w:rPr>
        <w:t>Δεν υπάρχουν δεδομένα για την επίδραση της ναδροπαρίνης στην ικανότητα οδήγησης ή χειρισμού μηχανών</w:t>
      </w:r>
      <w:r w:rsidR="009D303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4.8 </w:t>
      </w:r>
      <w:r w:rsidR="001A0274" w:rsidRPr="002562F9">
        <w:rPr>
          <w:rFonts w:ascii="Arial" w:hAnsi="Arial"/>
          <w:b/>
          <w:color w:val="000000"/>
          <w:sz w:val="22"/>
          <w:lang w:val="el-GR"/>
        </w:rPr>
        <w:tab/>
      </w:r>
      <w:r w:rsidRPr="002562F9">
        <w:rPr>
          <w:rFonts w:ascii="Arial" w:hAnsi="Arial"/>
          <w:b/>
          <w:color w:val="000000"/>
          <w:sz w:val="22"/>
          <w:lang w:val="el-GR"/>
        </w:rPr>
        <w:t>Ανεπιθύμητες ενέργειες</w:t>
      </w:r>
    </w:p>
    <w:p w:rsidR="0086736F" w:rsidRPr="002562F9" w:rsidRDefault="0086736F" w:rsidP="008179B8">
      <w:pPr>
        <w:ind w:left="360" w:hanging="360"/>
        <w:jc w:val="both"/>
        <w:rPr>
          <w:rFonts w:ascii="Arial" w:hAnsi="Arial"/>
          <w:color w:val="000000"/>
          <w:sz w:val="22"/>
          <w:lang w:val="el-GR"/>
        </w:rPr>
      </w:pPr>
    </w:p>
    <w:p w:rsidR="00555888" w:rsidRPr="002562F9" w:rsidRDefault="00555888" w:rsidP="008179B8">
      <w:pPr>
        <w:jc w:val="both"/>
        <w:rPr>
          <w:rFonts w:ascii="Arial" w:hAnsi="Arial"/>
          <w:color w:val="000000"/>
          <w:sz w:val="22"/>
          <w:lang w:val="el-GR"/>
        </w:rPr>
      </w:pPr>
      <w:r w:rsidRPr="002562F9">
        <w:rPr>
          <w:rFonts w:ascii="Arial" w:hAnsi="Arial"/>
          <w:color w:val="000000"/>
          <w:sz w:val="22"/>
          <w:lang w:val="el-GR"/>
        </w:rPr>
        <w:t>Οι ανεπιθύμητες ενέργειες παρατίθενται παρακάτω ανά κατηγορία οργανικού συστήματος και συχνότητα.</w:t>
      </w:r>
    </w:p>
    <w:p w:rsidR="00555888" w:rsidRPr="002562F9" w:rsidRDefault="00555888" w:rsidP="008179B8">
      <w:pPr>
        <w:ind w:left="360" w:hanging="360"/>
        <w:jc w:val="both"/>
        <w:rPr>
          <w:rFonts w:ascii="Arial" w:hAnsi="Arial"/>
          <w:color w:val="000000"/>
          <w:sz w:val="22"/>
          <w:lang w:val="el-GR"/>
        </w:rPr>
      </w:pPr>
    </w:p>
    <w:p w:rsidR="00555888" w:rsidRDefault="00555888" w:rsidP="008179B8">
      <w:pPr>
        <w:jc w:val="both"/>
        <w:rPr>
          <w:rFonts w:ascii="Arial" w:hAnsi="Arial" w:cs="Arial"/>
          <w:color w:val="000000"/>
          <w:sz w:val="22"/>
          <w:lang w:val="el-GR"/>
        </w:rPr>
      </w:pPr>
      <w:r w:rsidRPr="002562F9">
        <w:rPr>
          <w:rFonts w:ascii="Arial" w:hAnsi="Arial"/>
          <w:color w:val="000000"/>
          <w:sz w:val="22"/>
          <w:lang w:val="el-GR"/>
        </w:rPr>
        <w:t xml:space="preserve">Η ακόλουθη συνθήκη έχει χρησιμοποιηθεί για την κατάταξη των ανεπιθύμητων ενεργειών ως προς τη συχνότητα. Πολύ συχνές </w:t>
      </w:r>
      <w:r w:rsidRPr="002562F9">
        <w:rPr>
          <w:rFonts w:ascii="Arial" w:hAnsi="Arial" w:cs="Arial"/>
          <w:color w:val="000000"/>
          <w:sz w:val="22"/>
          <w:lang w:val="el-GR"/>
        </w:rPr>
        <w:t xml:space="preserve">≥1/10, συχνές ≥1/100 </w:t>
      </w:r>
      <w:r w:rsidR="003447E9">
        <w:rPr>
          <w:rFonts w:ascii="Arial" w:hAnsi="Arial" w:cs="Arial"/>
          <w:color w:val="000000"/>
          <w:sz w:val="22"/>
          <w:lang w:val="el-GR"/>
        </w:rPr>
        <w:t>έως</w:t>
      </w:r>
      <w:r w:rsidRPr="002562F9">
        <w:rPr>
          <w:rFonts w:ascii="Arial" w:hAnsi="Arial" w:cs="Arial"/>
          <w:color w:val="000000"/>
          <w:sz w:val="22"/>
          <w:lang w:val="el-GR"/>
        </w:rPr>
        <w:t xml:space="preserve"> &lt;1/10, όχι συχνές ≥1/1000 </w:t>
      </w:r>
      <w:r w:rsidR="003447E9">
        <w:rPr>
          <w:rFonts w:ascii="Arial" w:hAnsi="Arial" w:cs="Arial"/>
          <w:color w:val="000000"/>
          <w:sz w:val="22"/>
          <w:lang w:val="el-GR"/>
        </w:rPr>
        <w:t>έως</w:t>
      </w:r>
      <w:r w:rsidRPr="002562F9">
        <w:rPr>
          <w:rFonts w:ascii="Arial" w:hAnsi="Arial" w:cs="Arial"/>
          <w:color w:val="000000"/>
          <w:sz w:val="22"/>
          <w:lang w:val="el-GR"/>
        </w:rPr>
        <w:t xml:space="preserve"> &lt;1/100, σπάνιες ≥1/10.000 </w:t>
      </w:r>
      <w:r w:rsidR="003447E9">
        <w:rPr>
          <w:rFonts w:ascii="Arial" w:hAnsi="Arial" w:cs="Arial"/>
          <w:color w:val="000000"/>
          <w:sz w:val="22"/>
          <w:lang w:val="el-GR"/>
        </w:rPr>
        <w:t>έως</w:t>
      </w:r>
      <w:r w:rsidRPr="002562F9">
        <w:rPr>
          <w:rFonts w:ascii="Arial" w:hAnsi="Arial" w:cs="Arial"/>
          <w:color w:val="000000"/>
          <w:sz w:val="22"/>
          <w:lang w:val="el-GR"/>
        </w:rPr>
        <w:t xml:space="preserve"> &lt;1/1000, πολύ σπάνιες &lt;1/10.000.</w:t>
      </w:r>
    </w:p>
    <w:p w:rsidR="00555888" w:rsidRPr="002562F9" w:rsidRDefault="00555888" w:rsidP="008179B8">
      <w:pPr>
        <w:jc w:val="both"/>
        <w:rPr>
          <w:rFonts w:ascii="Arial" w:hAnsi="Arial" w:cs="Arial"/>
          <w:color w:val="000000"/>
          <w:sz w:val="22"/>
          <w:lang w:val="el-GR"/>
        </w:rPr>
      </w:pPr>
    </w:p>
    <w:p w:rsidR="00122617" w:rsidRPr="002562F9" w:rsidRDefault="00122617" w:rsidP="008179B8">
      <w:pPr>
        <w:jc w:val="both"/>
        <w:rPr>
          <w:rFonts w:ascii="Arial" w:hAnsi="Arial"/>
          <w:color w:val="000000"/>
          <w:sz w:val="22"/>
          <w:lang w:val="el-GR"/>
        </w:rPr>
      </w:pPr>
    </w:p>
    <w:p w:rsidR="00387228" w:rsidRPr="002562F9" w:rsidRDefault="00387228" w:rsidP="008179B8">
      <w:pPr>
        <w:pStyle w:val="aff2"/>
        <w:spacing w:before="0" w:after="0"/>
        <w:jc w:val="both"/>
        <w:rPr>
          <w:noProof/>
          <w:color w:val="000000"/>
          <w:sz w:val="22"/>
          <w:szCs w:val="22"/>
          <w:lang w:val="el-GR"/>
        </w:rPr>
      </w:pPr>
      <w:r w:rsidRPr="002562F9">
        <w:rPr>
          <w:noProof/>
          <w:color w:val="000000"/>
          <w:sz w:val="22"/>
          <w:szCs w:val="22"/>
          <w:lang w:val="el-GR"/>
        </w:rPr>
        <w:t>Διαταραχές του αιμοποιητικού και του λεμφικού συστήματος</w:t>
      </w:r>
    </w:p>
    <w:p w:rsidR="00122617" w:rsidRPr="002562F9" w:rsidRDefault="00122617" w:rsidP="008179B8">
      <w:pPr>
        <w:jc w:val="both"/>
        <w:rPr>
          <w:rFonts w:ascii="Arial" w:hAnsi="Arial"/>
          <w:color w:val="000000"/>
          <w:sz w:val="22"/>
          <w:lang w:val="el-GR"/>
        </w:rPr>
      </w:pPr>
    </w:p>
    <w:p w:rsidR="0086736F" w:rsidRPr="002562F9" w:rsidRDefault="0086736F" w:rsidP="008179B8">
      <w:pPr>
        <w:ind w:left="1701" w:hanging="1701"/>
        <w:jc w:val="both"/>
        <w:rPr>
          <w:rFonts w:ascii="Arial" w:hAnsi="Arial"/>
          <w:color w:val="000000"/>
          <w:sz w:val="22"/>
          <w:lang w:val="el-GR"/>
        </w:rPr>
      </w:pPr>
      <w:r w:rsidRPr="002562F9">
        <w:rPr>
          <w:rFonts w:ascii="Arial" w:hAnsi="Arial"/>
          <w:color w:val="000000"/>
          <w:sz w:val="22"/>
          <w:lang w:val="el-GR"/>
        </w:rPr>
        <w:t>Πολύ συχν</w:t>
      </w:r>
      <w:r w:rsidR="00122617" w:rsidRPr="002562F9">
        <w:rPr>
          <w:rFonts w:ascii="Arial" w:hAnsi="Arial"/>
          <w:color w:val="000000"/>
          <w:sz w:val="22"/>
          <w:lang w:val="el-GR"/>
        </w:rPr>
        <w:t>ές</w:t>
      </w:r>
      <w:r w:rsidRPr="002562F9">
        <w:rPr>
          <w:rFonts w:ascii="Arial" w:hAnsi="Arial"/>
          <w:color w:val="000000"/>
          <w:sz w:val="22"/>
          <w:lang w:val="el-GR"/>
        </w:rPr>
        <w:t xml:space="preserve">: </w:t>
      </w:r>
      <w:r w:rsidR="0038172D" w:rsidRPr="002562F9">
        <w:rPr>
          <w:rFonts w:ascii="Arial" w:hAnsi="Arial"/>
          <w:color w:val="000000"/>
          <w:sz w:val="22"/>
          <w:lang w:val="el-GR"/>
        </w:rPr>
        <w:tab/>
        <w:t>Α</w:t>
      </w:r>
      <w:r w:rsidRPr="002562F9">
        <w:rPr>
          <w:rFonts w:ascii="Arial" w:hAnsi="Arial"/>
          <w:color w:val="000000"/>
          <w:sz w:val="22"/>
          <w:lang w:val="el-GR"/>
        </w:rPr>
        <w:t>ιμορραγικ</w:t>
      </w:r>
      <w:r w:rsidR="00133DC0" w:rsidRPr="002562F9">
        <w:rPr>
          <w:rFonts w:ascii="Arial" w:hAnsi="Arial"/>
          <w:color w:val="000000"/>
          <w:sz w:val="22"/>
          <w:lang w:val="el-GR"/>
        </w:rPr>
        <w:t>ές εκδηλώσεις</w:t>
      </w:r>
      <w:r w:rsidRPr="002562F9">
        <w:rPr>
          <w:rFonts w:ascii="Arial" w:hAnsi="Arial"/>
          <w:color w:val="000000"/>
          <w:sz w:val="22"/>
          <w:lang w:val="el-GR"/>
        </w:rPr>
        <w:t xml:space="preserve"> σε διάφορα σημεία, πιο συχνά σε ασθενείς με άλλους παράγοντες κινδύνου (βλ</w:t>
      </w:r>
      <w:r w:rsidR="00471F43" w:rsidRPr="002562F9">
        <w:rPr>
          <w:rFonts w:ascii="Arial" w:hAnsi="Arial"/>
          <w:color w:val="000000"/>
          <w:sz w:val="22"/>
          <w:lang w:val="el-GR"/>
        </w:rPr>
        <w:t>έπε</w:t>
      </w:r>
      <w:r w:rsidRPr="002562F9">
        <w:rPr>
          <w:rFonts w:ascii="Arial" w:hAnsi="Arial"/>
          <w:color w:val="000000"/>
          <w:sz w:val="22"/>
          <w:lang w:val="el-GR"/>
        </w:rPr>
        <w:t xml:space="preserve"> </w:t>
      </w:r>
      <w:r w:rsidR="003B7D13" w:rsidRPr="002562F9">
        <w:rPr>
          <w:rFonts w:ascii="Arial" w:hAnsi="Arial"/>
          <w:color w:val="000000"/>
          <w:sz w:val="22"/>
          <w:lang w:val="el-GR"/>
        </w:rPr>
        <w:t xml:space="preserve">παραγράφους </w:t>
      </w:r>
      <w:r w:rsidRPr="002562F9">
        <w:rPr>
          <w:rFonts w:ascii="Arial" w:hAnsi="Arial"/>
          <w:color w:val="000000"/>
          <w:sz w:val="22"/>
          <w:lang w:val="el-GR"/>
        </w:rPr>
        <w:t>4.3 και 4.5).</w:t>
      </w:r>
    </w:p>
    <w:p w:rsidR="0086736F" w:rsidRPr="002562F9" w:rsidRDefault="0086736F" w:rsidP="008179B8">
      <w:pPr>
        <w:jc w:val="both"/>
        <w:rPr>
          <w:rFonts w:ascii="Arial" w:hAnsi="Arial"/>
          <w:color w:val="000000"/>
          <w:sz w:val="22"/>
          <w:lang w:val="el-GR"/>
        </w:rPr>
      </w:pPr>
    </w:p>
    <w:p w:rsidR="0086736F" w:rsidRPr="002562F9" w:rsidRDefault="0086736F" w:rsidP="008179B8">
      <w:pPr>
        <w:ind w:left="1701" w:hanging="1701"/>
        <w:jc w:val="both"/>
        <w:rPr>
          <w:rFonts w:ascii="Arial" w:hAnsi="Arial"/>
          <w:color w:val="000000"/>
          <w:sz w:val="22"/>
          <w:lang w:val="el-GR"/>
        </w:rPr>
      </w:pPr>
      <w:r w:rsidRPr="002562F9">
        <w:rPr>
          <w:rFonts w:ascii="Arial" w:hAnsi="Arial"/>
          <w:color w:val="000000"/>
          <w:sz w:val="22"/>
          <w:lang w:val="el-GR"/>
        </w:rPr>
        <w:t>Σπάνι</w:t>
      </w:r>
      <w:r w:rsidR="00122617" w:rsidRPr="002562F9">
        <w:rPr>
          <w:rFonts w:ascii="Arial" w:hAnsi="Arial"/>
          <w:color w:val="000000"/>
          <w:sz w:val="22"/>
          <w:lang w:val="el-GR"/>
        </w:rPr>
        <w:t>ες</w:t>
      </w:r>
      <w:r w:rsidRPr="002562F9">
        <w:rPr>
          <w:rFonts w:ascii="Arial" w:hAnsi="Arial"/>
          <w:color w:val="000000"/>
          <w:sz w:val="22"/>
          <w:lang w:val="el-GR"/>
        </w:rPr>
        <w:t xml:space="preserve">: </w:t>
      </w:r>
      <w:r w:rsidR="00122617" w:rsidRPr="002562F9">
        <w:rPr>
          <w:rFonts w:ascii="Arial" w:hAnsi="Arial"/>
          <w:color w:val="000000"/>
          <w:sz w:val="22"/>
          <w:lang w:val="el-GR"/>
        </w:rPr>
        <w:tab/>
      </w:r>
      <w:r w:rsidR="0038172D" w:rsidRPr="002562F9">
        <w:rPr>
          <w:rFonts w:ascii="Arial" w:hAnsi="Arial"/>
          <w:color w:val="000000"/>
          <w:sz w:val="22"/>
          <w:lang w:val="el-GR"/>
        </w:rPr>
        <w:t>Θ</w:t>
      </w:r>
      <w:r w:rsidRPr="002562F9">
        <w:rPr>
          <w:rFonts w:ascii="Arial" w:hAnsi="Arial"/>
          <w:color w:val="000000"/>
          <w:sz w:val="22"/>
          <w:lang w:val="el-GR"/>
        </w:rPr>
        <w:t xml:space="preserve">ρομβοπενία, </w:t>
      </w:r>
      <w:r w:rsidR="00EC4005" w:rsidRPr="00EC4005">
        <w:rPr>
          <w:rFonts w:ascii="Arial" w:hAnsi="Arial"/>
          <w:color w:val="000000"/>
          <w:sz w:val="22"/>
          <w:lang w:val="el-GR"/>
        </w:rPr>
        <w:t>(</w:t>
      </w:r>
      <w:r w:rsidR="00EC4005">
        <w:rPr>
          <w:rFonts w:ascii="Arial" w:hAnsi="Arial"/>
          <w:color w:val="000000"/>
          <w:sz w:val="22"/>
          <w:lang w:val="el-GR"/>
        </w:rPr>
        <w:t>περιλαμβανομένης της θρομβοπενίας επαγώμενης από την ηπαρίνη</w:t>
      </w:r>
      <w:r w:rsidR="00EC4005" w:rsidRPr="00EC4005">
        <w:rPr>
          <w:rFonts w:ascii="Arial" w:hAnsi="Arial"/>
          <w:color w:val="000000"/>
          <w:sz w:val="22"/>
          <w:lang w:val="el-GR"/>
        </w:rPr>
        <w:t>)</w:t>
      </w:r>
      <w:r w:rsidR="00FA0A96" w:rsidRPr="002562F9">
        <w:rPr>
          <w:rFonts w:ascii="Arial" w:hAnsi="Arial"/>
          <w:color w:val="000000"/>
          <w:sz w:val="22"/>
          <w:lang w:val="el-GR"/>
        </w:rPr>
        <w:t>,</w:t>
      </w:r>
      <w:r w:rsidRPr="002562F9">
        <w:rPr>
          <w:rFonts w:ascii="Arial" w:hAnsi="Arial"/>
          <w:color w:val="000000"/>
          <w:sz w:val="22"/>
          <w:lang w:val="el-GR"/>
        </w:rPr>
        <w:t xml:space="preserve"> </w:t>
      </w:r>
      <w:r w:rsidR="00EC4005">
        <w:rPr>
          <w:rFonts w:ascii="Arial" w:hAnsi="Arial"/>
          <w:color w:val="000000"/>
          <w:sz w:val="22"/>
          <w:lang w:val="el-GR"/>
        </w:rPr>
        <w:t xml:space="preserve">(βλέπε παράγραφο 4.4), </w:t>
      </w:r>
      <w:r w:rsidR="00FA0A96" w:rsidRPr="002562F9">
        <w:rPr>
          <w:rFonts w:ascii="Arial" w:hAnsi="Arial"/>
          <w:color w:val="000000"/>
          <w:sz w:val="22"/>
          <w:lang w:val="el-GR"/>
        </w:rPr>
        <w:t>θρομβοκυττάρωση</w:t>
      </w:r>
      <w:r w:rsidRPr="002562F9">
        <w:rPr>
          <w:rFonts w:ascii="Arial" w:hAnsi="Arial"/>
          <w:color w:val="000000"/>
          <w:sz w:val="22"/>
          <w:lang w:val="el-GR"/>
        </w:rPr>
        <w:t>.</w:t>
      </w:r>
    </w:p>
    <w:p w:rsidR="0086736F" w:rsidRPr="002562F9" w:rsidRDefault="0086736F" w:rsidP="008179B8">
      <w:pPr>
        <w:jc w:val="both"/>
        <w:rPr>
          <w:rFonts w:ascii="Arial" w:hAnsi="Arial"/>
          <w:color w:val="000000"/>
          <w:sz w:val="22"/>
          <w:lang w:val="el-GR"/>
        </w:rPr>
      </w:pPr>
    </w:p>
    <w:p w:rsidR="0086736F" w:rsidRPr="002562F9" w:rsidRDefault="00555888" w:rsidP="008179B8">
      <w:pPr>
        <w:ind w:left="1701" w:hanging="1701"/>
        <w:jc w:val="both"/>
        <w:rPr>
          <w:rFonts w:ascii="Arial" w:hAnsi="Arial"/>
          <w:color w:val="000000"/>
          <w:sz w:val="22"/>
          <w:lang w:val="el-GR"/>
        </w:rPr>
      </w:pPr>
      <w:r>
        <w:rPr>
          <w:rFonts w:ascii="Arial" w:hAnsi="Arial"/>
          <w:sz w:val="22"/>
          <w:lang w:val="el-GR"/>
        </w:rPr>
        <w:t>Πολύ σπάνιες</w:t>
      </w:r>
      <w:r w:rsidRPr="00555888">
        <w:rPr>
          <w:rFonts w:ascii="Arial" w:hAnsi="Arial"/>
          <w:sz w:val="22"/>
          <w:lang w:val="el-GR"/>
        </w:rPr>
        <w:t>:</w:t>
      </w:r>
      <w:r w:rsidR="0086736F" w:rsidRPr="002562F9">
        <w:rPr>
          <w:rFonts w:ascii="Arial" w:hAnsi="Arial"/>
          <w:color w:val="000000"/>
          <w:sz w:val="22"/>
          <w:lang w:val="el-GR"/>
        </w:rPr>
        <w:t xml:space="preserve"> </w:t>
      </w:r>
      <w:r w:rsidR="002E7E5B" w:rsidRPr="002562F9">
        <w:rPr>
          <w:rFonts w:ascii="Arial" w:hAnsi="Arial"/>
          <w:color w:val="000000"/>
          <w:sz w:val="22"/>
          <w:lang w:val="el-GR"/>
        </w:rPr>
        <w:tab/>
      </w:r>
      <w:r w:rsidR="00FF1CBA" w:rsidRPr="002562F9">
        <w:rPr>
          <w:rFonts w:ascii="Arial" w:hAnsi="Arial"/>
          <w:color w:val="000000"/>
          <w:sz w:val="22"/>
          <w:lang w:val="el-GR"/>
        </w:rPr>
        <w:t>Η</w:t>
      </w:r>
      <w:r w:rsidR="0086736F" w:rsidRPr="002562F9">
        <w:rPr>
          <w:rFonts w:ascii="Arial" w:hAnsi="Arial"/>
          <w:color w:val="000000"/>
          <w:sz w:val="22"/>
          <w:lang w:val="el-GR"/>
        </w:rPr>
        <w:t>ωσινοφιλία, αναστρέψιμη με τη διακοπή της θεραπείας</w:t>
      </w:r>
    </w:p>
    <w:p w:rsidR="0086736F" w:rsidRPr="002562F9" w:rsidRDefault="00122C02" w:rsidP="008179B8">
      <w:pPr>
        <w:tabs>
          <w:tab w:val="left" w:pos="1050"/>
        </w:tabs>
        <w:jc w:val="both"/>
        <w:rPr>
          <w:rFonts w:ascii="Arial" w:hAnsi="Arial"/>
          <w:color w:val="000000"/>
          <w:sz w:val="22"/>
          <w:lang w:val="el-GR"/>
        </w:rPr>
      </w:pPr>
      <w:r w:rsidRPr="002562F9">
        <w:rPr>
          <w:rFonts w:ascii="Arial" w:hAnsi="Arial"/>
          <w:color w:val="000000"/>
          <w:sz w:val="22"/>
          <w:lang w:val="el-GR"/>
        </w:rPr>
        <w:tab/>
      </w:r>
    </w:p>
    <w:p w:rsidR="00387228" w:rsidRPr="002562F9" w:rsidRDefault="00387228" w:rsidP="008179B8">
      <w:pPr>
        <w:pStyle w:val="aff2"/>
        <w:spacing w:before="0" w:after="0"/>
        <w:jc w:val="both"/>
        <w:rPr>
          <w:noProof/>
          <w:color w:val="000000"/>
          <w:sz w:val="22"/>
          <w:szCs w:val="22"/>
          <w:lang w:val="el-GR"/>
        </w:rPr>
      </w:pPr>
      <w:r w:rsidRPr="002562F9">
        <w:rPr>
          <w:noProof/>
          <w:color w:val="000000"/>
          <w:sz w:val="22"/>
          <w:szCs w:val="22"/>
          <w:lang w:val="el-GR"/>
        </w:rPr>
        <w:t>Διαταραχές του ανοσοποιητικού συστήματος</w:t>
      </w:r>
    </w:p>
    <w:p w:rsidR="00387228" w:rsidRPr="002562F9" w:rsidRDefault="00387228" w:rsidP="008179B8">
      <w:pPr>
        <w:jc w:val="both"/>
        <w:rPr>
          <w:rFonts w:ascii="Arial" w:hAnsi="Arial"/>
          <w:color w:val="000000"/>
          <w:sz w:val="22"/>
          <w:lang w:val="el-GR"/>
        </w:rPr>
      </w:pPr>
    </w:p>
    <w:p w:rsidR="00387228" w:rsidRPr="002562F9" w:rsidRDefault="00387228" w:rsidP="008179B8">
      <w:pPr>
        <w:ind w:left="1701" w:hanging="1701"/>
        <w:jc w:val="both"/>
        <w:rPr>
          <w:rFonts w:ascii="Arial" w:hAnsi="Arial"/>
          <w:color w:val="000000"/>
          <w:sz w:val="22"/>
          <w:lang w:val="el-GR"/>
        </w:rPr>
      </w:pPr>
      <w:r w:rsidRPr="002562F9">
        <w:rPr>
          <w:rFonts w:ascii="Arial" w:hAnsi="Arial"/>
          <w:color w:val="000000"/>
          <w:sz w:val="22"/>
          <w:lang w:val="el-GR"/>
        </w:rPr>
        <w:lastRenderedPageBreak/>
        <w:t>Πολύ σπάνιες:</w:t>
      </w:r>
      <w:r w:rsidRPr="002562F9">
        <w:rPr>
          <w:rFonts w:ascii="Arial" w:hAnsi="Arial"/>
          <w:color w:val="000000"/>
          <w:sz w:val="22"/>
          <w:lang w:val="el-GR"/>
        </w:rPr>
        <w:tab/>
        <w:t>Αντιδράσεις υπερευαισθησίας (περιλαμβανομένου του αγγειοιδήματος και των δερματικών αντιδράσεων)</w:t>
      </w:r>
      <w:r w:rsidR="00FA0A96" w:rsidRPr="002562F9">
        <w:rPr>
          <w:rFonts w:ascii="Arial" w:hAnsi="Arial"/>
          <w:color w:val="000000"/>
          <w:sz w:val="22"/>
          <w:lang w:val="el-GR"/>
        </w:rPr>
        <w:t>, αναφυλακτοειδής αντίδραση.</w:t>
      </w:r>
      <w:r w:rsidRPr="002562F9">
        <w:rPr>
          <w:rFonts w:ascii="Arial" w:hAnsi="Arial"/>
          <w:color w:val="000000"/>
          <w:sz w:val="22"/>
          <w:lang w:val="el-GR"/>
        </w:rPr>
        <w:t>.</w:t>
      </w:r>
    </w:p>
    <w:p w:rsidR="00387228" w:rsidRPr="002562F9" w:rsidRDefault="00387228" w:rsidP="008179B8">
      <w:pPr>
        <w:ind w:left="1843" w:hanging="1843"/>
        <w:jc w:val="both"/>
        <w:rPr>
          <w:rFonts w:ascii="Arial" w:hAnsi="Arial"/>
          <w:color w:val="000000"/>
          <w:sz w:val="22"/>
          <w:lang w:val="el-GR"/>
        </w:rPr>
      </w:pPr>
    </w:p>
    <w:p w:rsidR="00673CCB" w:rsidRPr="002562F9" w:rsidRDefault="00673CCB" w:rsidP="008179B8">
      <w:pPr>
        <w:pStyle w:val="aff2"/>
        <w:spacing w:before="0" w:after="0"/>
        <w:jc w:val="both"/>
        <w:rPr>
          <w:noProof/>
          <w:color w:val="000000"/>
          <w:sz w:val="22"/>
          <w:szCs w:val="22"/>
          <w:lang w:val="el-GR"/>
        </w:rPr>
      </w:pPr>
      <w:r w:rsidRPr="002562F9">
        <w:rPr>
          <w:noProof/>
          <w:color w:val="000000"/>
          <w:sz w:val="22"/>
          <w:szCs w:val="22"/>
          <w:lang w:val="el-GR"/>
        </w:rPr>
        <w:t>Διαταραχές του μεταβολισμού και της θρέψης</w:t>
      </w:r>
    </w:p>
    <w:p w:rsidR="00673CCB" w:rsidRPr="002562F9" w:rsidRDefault="00673CCB" w:rsidP="008179B8">
      <w:pPr>
        <w:ind w:left="1843" w:hanging="1843"/>
        <w:jc w:val="both"/>
        <w:rPr>
          <w:rFonts w:ascii="Arial" w:hAnsi="Arial"/>
          <w:color w:val="000000"/>
          <w:sz w:val="22"/>
          <w:lang w:val="el-GR"/>
        </w:rPr>
      </w:pPr>
    </w:p>
    <w:p w:rsidR="00673CCB" w:rsidRPr="002562F9" w:rsidRDefault="00673CCB" w:rsidP="008179B8">
      <w:pPr>
        <w:ind w:left="1701" w:hanging="1701"/>
        <w:jc w:val="both"/>
        <w:rPr>
          <w:rFonts w:ascii="Arial" w:hAnsi="Arial"/>
          <w:color w:val="000000"/>
          <w:sz w:val="22"/>
          <w:lang w:val="el-GR"/>
        </w:rPr>
      </w:pPr>
      <w:r w:rsidRPr="002562F9">
        <w:rPr>
          <w:rFonts w:ascii="Arial" w:hAnsi="Arial"/>
          <w:color w:val="000000"/>
          <w:sz w:val="22"/>
          <w:lang w:val="el-GR"/>
        </w:rPr>
        <w:t>Πολύ σπάνιες:</w:t>
      </w:r>
      <w:r w:rsidRPr="002562F9">
        <w:rPr>
          <w:rFonts w:ascii="Arial" w:hAnsi="Arial"/>
          <w:color w:val="000000"/>
          <w:sz w:val="22"/>
          <w:lang w:val="el-GR"/>
        </w:rPr>
        <w:tab/>
      </w:r>
      <w:r w:rsidR="0038172D" w:rsidRPr="002562F9">
        <w:rPr>
          <w:rFonts w:ascii="Arial" w:hAnsi="Arial"/>
          <w:color w:val="000000"/>
          <w:sz w:val="22"/>
          <w:lang w:val="el-GR"/>
        </w:rPr>
        <w:t>Α</w:t>
      </w:r>
      <w:r w:rsidRPr="002562F9">
        <w:rPr>
          <w:rFonts w:ascii="Arial" w:hAnsi="Arial"/>
          <w:color w:val="000000"/>
          <w:sz w:val="22"/>
          <w:lang w:val="el-GR"/>
        </w:rPr>
        <w:t xml:space="preserve">ναστρέψιμη υπερκαλιαιμία οφειλόμενη σε υποαλδοστερονισμό σχετιζόμενο με τη χορήγηση ηπαρίνης ιδιαίτερα σε ασθενείς υψηλού κινδύνου (βλέπε </w:t>
      </w:r>
      <w:r w:rsidR="003B7D13" w:rsidRPr="002562F9">
        <w:rPr>
          <w:rFonts w:ascii="Arial" w:hAnsi="Arial"/>
          <w:color w:val="000000"/>
          <w:sz w:val="22"/>
          <w:lang w:val="el-GR"/>
        </w:rPr>
        <w:t xml:space="preserve">παράγραφο </w:t>
      </w:r>
      <w:r w:rsidRPr="002562F9">
        <w:rPr>
          <w:rFonts w:ascii="Arial" w:hAnsi="Arial"/>
          <w:color w:val="000000"/>
          <w:sz w:val="22"/>
          <w:lang w:val="el-GR"/>
        </w:rPr>
        <w:t>4.4.2).</w:t>
      </w:r>
    </w:p>
    <w:p w:rsidR="00673CCB" w:rsidRPr="002562F9" w:rsidRDefault="00673CCB" w:rsidP="008179B8">
      <w:pPr>
        <w:ind w:left="1843" w:hanging="1843"/>
        <w:jc w:val="both"/>
        <w:rPr>
          <w:rFonts w:ascii="Arial" w:hAnsi="Arial"/>
          <w:color w:val="000000"/>
          <w:sz w:val="22"/>
          <w:lang w:val="el-GR"/>
        </w:rPr>
      </w:pPr>
    </w:p>
    <w:p w:rsidR="00673CCB" w:rsidRPr="002562F9" w:rsidRDefault="00673CCB" w:rsidP="008179B8">
      <w:pPr>
        <w:pStyle w:val="aff2"/>
        <w:spacing w:before="0" w:after="0"/>
        <w:jc w:val="both"/>
        <w:rPr>
          <w:noProof/>
          <w:color w:val="000000"/>
          <w:sz w:val="22"/>
          <w:szCs w:val="22"/>
          <w:lang w:val="el-GR"/>
        </w:rPr>
      </w:pPr>
      <w:r w:rsidRPr="002562F9">
        <w:rPr>
          <w:noProof/>
          <w:color w:val="000000"/>
          <w:sz w:val="22"/>
          <w:szCs w:val="22"/>
          <w:lang w:val="el-GR"/>
        </w:rPr>
        <w:t>Διαταραχές του ήπατος και των χοληφόρων</w:t>
      </w:r>
    </w:p>
    <w:p w:rsidR="00673CCB" w:rsidRPr="002562F9" w:rsidRDefault="00673CCB" w:rsidP="008179B8">
      <w:pPr>
        <w:jc w:val="both"/>
        <w:rPr>
          <w:rFonts w:ascii="Arial" w:hAnsi="Arial"/>
          <w:color w:val="000000"/>
          <w:sz w:val="22"/>
          <w:lang w:val="el-GR"/>
        </w:rPr>
      </w:pPr>
    </w:p>
    <w:p w:rsidR="00673CCB" w:rsidRPr="002562F9" w:rsidRDefault="00673CCB" w:rsidP="008179B8">
      <w:pPr>
        <w:ind w:left="1701" w:hanging="1701"/>
        <w:jc w:val="both"/>
        <w:rPr>
          <w:rFonts w:ascii="Arial" w:hAnsi="Arial"/>
          <w:color w:val="000000"/>
          <w:sz w:val="22"/>
          <w:lang w:val="el-GR"/>
        </w:rPr>
      </w:pPr>
      <w:r w:rsidRPr="002562F9">
        <w:rPr>
          <w:rFonts w:ascii="Arial" w:hAnsi="Arial"/>
          <w:color w:val="000000"/>
          <w:sz w:val="22"/>
          <w:lang w:val="el-GR"/>
        </w:rPr>
        <w:t xml:space="preserve">Συχνές: </w:t>
      </w:r>
      <w:r w:rsidRPr="002562F9">
        <w:rPr>
          <w:rFonts w:ascii="Arial" w:hAnsi="Arial"/>
          <w:color w:val="000000"/>
          <w:sz w:val="22"/>
          <w:lang w:val="el-GR"/>
        </w:rPr>
        <w:tab/>
      </w:r>
      <w:r w:rsidR="0038172D" w:rsidRPr="002562F9">
        <w:rPr>
          <w:rFonts w:ascii="Arial" w:hAnsi="Arial"/>
          <w:color w:val="000000"/>
          <w:sz w:val="22"/>
          <w:lang w:val="el-GR"/>
        </w:rPr>
        <w:t>Α</w:t>
      </w:r>
      <w:r w:rsidRPr="002562F9">
        <w:rPr>
          <w:rFonts w:ascii="Arial" w:hAnsi="Arial"/>
          <w:color w:val="000000"/>
          <w:sz w:val="22"/>
          <w:lang w:val="el-GR"/>
        </w:rPr>
        <w:t>υξημένες τρανσαμινάσες, συνήθως παροδικά.</w:t>
      </w:r>
    </w:p>
    <w:p w:rsidR="00673CCB" w:rsidRPr="002562F9" w:rsidRDefault="00673CCB" w:rsidP="008179B8">
      <w:pPr>
        <w:ind w:left="1843" w:hanging="1843"/>
        <w:jc w:val="both"/>
        <w:rPr>
          <w:rFonts w:ascii="Arial" w:hAnsi="Arial"/>
          <w:color w:val="000000"/>
          <w:sz w:val="22"/>
          <w:lang w:val="el-GR"/>
        </w:rPr>
      </w:pPr>
    </w:p>
    <w:p w:rsidR="00FA0A96" w:rsidRPr="002562F9" w:rsidRDefault="00FA0A96" w:rsidP="008179B8">
      <w:pPr>
        <w:pStyle w:val="aff2"/>
        <w:spacing w:before="0" w:after="0"/>
        <w:jc w:val="both"/>
        <w:rPr>
          <w:noProof/>
          <w:color w:val="000000"/>
          <w:sz w:val="22"/>
          <w:szCs w:val="22"/>
          <w:lang w:val="el-GR"/>
        </w:rPr>
      </w:pPr>
      <w:r w:rsidRPr="002562F9">
        <w:rPr>
          <w:noProof/>
          <w:color w:val="000000"/>
          <w:sz w:val="22"/>
          <w:szCs w:val="22"/>
          <w:lang w:val="el-GR"/>
        </w:rPr>
        <w:t>Διαταραχές του αναπαραγωγικού συστήματος και του μαστού</w:t>
      </w:r>
    </w:p>
    <w:p w:rsidR="00FA0A96" w:rsidRPr="002562F9" w:rsidRDefault="00FA0A96" w:rsidP="008179B8">
      <w:pPr>
        <w:jc w:val="both"/>
        <w:rPr>
          <w:rFonts w:ascii="Arial" w:hAnsi="Arial"/>
          <w:b/>
          <w:color w:val="000000"/>
          <w:sz w:val="22"/>
          <w:lang w:val="el-GR"/>
        </w:rPr>
      </w:pPr>
    </w:p>
    <w:p w:rsidR="00FA0A96" w:rsidRPr="002562F9" w:rsidRDefault="00FA0A96" w:rsidP="008179B8">
      <w:pPr>
        <w:ind w:left="1701" w:hanging="1701"/>
        <w:jc w:val="both"/>
        <w:rPr>
          <w:rFonts w:ascii="Arial" w:hAnsi="Arial"/>
          <w:color w:val="000000"/>
          <w:sz w:val="22"/>
          <w:lang w:val="el-GR"/>
        </w:rPr>
      </w:pPr>
      <w:r w:rsidRPr="002562F9">
        <w:rPr>
          <w:rFonts w:ascii="Arial" w:hAnsi="Arial"/>
          <w:color w:val="000000"/>
          <w:sz w:val="22"/>
          <w:lang w:val="el-GR"/>
        </w:rPr>
        <w:t xml:space="preserve">Πολύ σπάνιες: </w:t>
      </w:r>
      <w:r w:rsidRPr="002562F9">
        <w:rPr>
          <w:rFonts w:ascii="Arial" w:hAnsi="Arial"/>
          <w:color w:val="000000"/>
          <w:sz w:val="22"/>
          <w:lang w:val="el-GR"/>
        </w:rPr>
        <w:tab/>
        <w:t>Πριαπισμός</w:t>
      </w:r>
    </w:p>
    <w:p w:rsidR="00881E2C" w:rsidRPr="00AF04BB" w:rsidRDefault="00881E2C" w:rsidP="00AF04BB">
      <w:pPr>
        <w:pStyle w:val="aff2"/>
        <w:spacing w:before="0" w:after="0"/>
        <w:jc w:val="both"/>
        <w:rPr>
          <w:rFonts w:cs="Arial"/>
          <w:b w:val="0"/>
          <w:noProof/>
          <w:color w:val="000000"/>
          <w:sz w:val="22"/>
          <w:szCs w:val="22"/>
          <w:lang w:val="el-GR"/>
        </w:rPr>
      </w:pPr>
    </w:p>
    <w:p w:rsidR="00881E2C" w:rsidRPr="0081773D" w:rsidRDefault="0081773D" w:rsidP="00AF04BB">
      <w:pPr>
        <w:pStyle w:val="aff2"/>
        <w:spacing w:before="0" w:after="0"/>
        <w:jc w:val="both"/>
        <w:rPr>
          <w:rFonts w:cs="Arial"/>
          <w:noProof/>
          <w:color w:val="000000"/>
          <w:sz w:val="22"/>
          <w:szCs w:val="22"/>
          <w:lang w:val="el-GR"/>
        </w:rPr>
      </w:pPr>
      <w:r w:rsidRPr="00AF04BB">
        <w:rPr>
          <w:rFonts w:cs="Arial"/>
          <w:noProof/>
          <w:sz w:val="22"/>
          <w:lang w:val="el-GR"/>
        </w:rPr>
        <w:t>Διαταραχές του δέρματος και του υποδόριου ιστού</w:t>
      </w:r>
    </w:p>
    <w:p w:rsidR="00881E2C" w:rsidRPr="004E2B7C" w:rsidRDefault="00881E2C" w:rsidP="00AF04BB">
      <w:pPr>
        <w:pStyle w:val="aff2"/>
        <w:spacing w:before="0" w:after="0"/>
        <w:jc w:val="both"/>
        <w:rPr>
          <w:rFonts w:cs="Arial"/>
          <w:b w:val="0"/>
          <w:noProof/>
          <w:color w:val="000000"/>
          <w:sz w:val="22"/>
          <w:szCs w:val="22"/>
          <w:lang w:val="el-GR"/>
        </w:rPr>
      </w:pPr>
    </w:p>
    <w:p w:rsidR="00881E2C" w:rsidRPr="00AF04BB" w:rsidRDefault="00881E2C" w:rsidP="00AF04BB">
      <w:pPr>
        <w:pStyle w:val="aff2"/>
        <w:tabs>
          <w:tab w:val="left" w:pos="1680"/>
        </w:tabs>
        <w:spacing w:before="0" w:after="0"/>
        <w:jc w:val="both"/>
        <w:rPr>
          <w:rFonts w:cs="Arial"/>
          <w:b w:val="0"/>
          <w:noProof/>
          <w:color w:val="000000"/>
          <w:sz w:val="22"/>
          <w:szCs w:val="22"/>
          <w:lang w:val="en-US"/>
        </w:rPr>
      </w:pPr>
      <w:r>
        <w:rPr>
          <w:rFonts w:cs="Arial"/>
          <w:b w:val="0"/>
          <w:noProof/>
          <w:color w:val="000000"/>
          <w:sz w:val="22"/>
          <w:szCs w:val="22"/>
          <w:lang w:val="el-GR"/>
        </w:rPr>
        <w:t>Σπάνιες</w:t>
      </w:r>
      <w:r w:rsidRPr="00AF04BB">
        <w:rPr>
          <w:rFonts w:cs="Arial"/>
          <w:b w:val="0"/>
          <w:noProof/>
          <w:color w:val="000000"/>
          <w:sz w:val="22"/>
          <w:szCs w:val="22"/>
          <w:lang w:val="en-US"/>
        </w:rPr>
        <w:t xml:space="preserve">:              </w:t>
      </w:r>
      <w:r>
        <w:rPr>
          <w:rFonts w:cs="Arial"/>
          <w:b w:val="0"/>
          <w:noProof/>
          <w:color w:val="000000"/>
          <w:sz w:val="22"/>
          <w:szCs w:val="22"/>
          <w:lang w:val="el-GR"/>
        </w:rPr>
        <w:t>Εξάνθημα</w:t>
      </w:r>
      <w:r w:rsidRPr="00AF04BB">
        <w:rPr>
          <w:rFonts w:cs="Arial"/>
          <w:b w:val="0"/>
          <w:noProof/>
          <w:color w:val="000000"/>
          <w:sz w:val="22"/>
          <w:szCs w:val="22"/>
          <w:lang w:val="en-US"/>
        </w:rPr>
        <w:t xml:space="preserve">, </w:t>
      </w:r>
      <w:r>
        <w:rPr>
          <w:rFonts w:cs="Arial"/>
          <w:b w:val="0"/>
          <w:noProof/>
          <w:color w:val="000000"/>
          <w:sz w:val="22"/>
          <w:szCs w:val="22"/>
          <w:lang w:val="el-GR"/>
        </w:rPr>
        <w:t>κνίδωση</w:t>
      </w:r>
      <w:r w:rsidRPr="00AF04BB">
        <w:rPr>
          <w:rFonts w:cs="Arial"/>
          <w:b w:val="0"/>
          <w:noProof/>
          <w:color w:val="000000"/>
          <w:sz w:val="22"/>
          <w:szCs w:val="22"/>
          <w:lang w:val="en-US"/>
        </w:rPr>
        <w:t xml:space="preserve">, </w:t>
      </w:r>
      <w:r>
        <w:rPr>
          <w:rFonts w:cs="Arial"/>
          <w:b w:val="0"/>
          <w:noProof/>
          <w:color w:val="000000"/>
          <w:sz w:val="22"/>
          <w:szCs w:val="22"/>
          <w:lang w:val="el-GR"/>
        </w:rPr>
        <w:t>ερύθημα</w:t>
      </w:r>
      <w:r w:rsidRPr="00AF04BB">
        <w:rPr>
          <w:rFonts w:cs="Arial"/>
          <w:b w:val="0"/>
          <w:noProof/>
          <w:color w:val="000000"/>
          <w:sz w:val="22"/>
          <w:szCs w:val="22"/>
          <w:lang w:val="en-US"/>
        </w:rPr>
        <w:t xml:space="preserve">, </w:t>
      </w:r>
      <w:r>
        <w:rPr>
          <w:rFonts w:cs="Arial"/>
          <w:b w:val="0"/>
          <w:noProof/>
          <w:color w:val="000000"/>
          <w:sz w:val="22"/>
          <w:szCs w:val="22"/>
          <w:lang w:val="el-GR"/>
        </w:rPr>
        <w:t>κνησμός</w:t>
      </w:r>
    </w:p>
    <w:p w:rsidR="00881E2C" w:rsidRPr="00AF04BB" w:rsidRDefault="00881E2C" w:rsidP="00AF04BB">
      <w:pPr>
        <w:pStyle w:val="aff2"/>
        <w:spacing w:before="0" w:after="0"/>
        <w:jc w:val="both"/>
        <w:rPr>
          <w:rFonts w:cs="Arial"/>
          <w:b w:val="0"/>
          <w:noProof/>
          <w:color w:val="000000"/>
          <w:sz w:val="22"/>
          <w:szCs w:val="22"/>
          <w:lang w:val="en-US"/>
        </w:rPr>
      </w:pPr>
    </w:p>
    <w:p w:rsidR="00881E2C" w:rsidRPr="00AF04BB" w:rsidRDefault="00881E2C" w:rsidP="00AF04BB">
      <w:pPr>
        <w:pStyle w:val="aff2"/>
        <w:spacing w:before="0" w:after="0"/>
        <w:ind w:left="1680" w:hanging="1680"/>
        <w:jc w:val="both"/>
        <w:rPr>
          <w:rFonts w:cs="Arial"/>
          <w:b w:val="0"/>
          <w:noProof/>
          <w:color w:val="000000"/>
          <w:sz w:val="22"/>
          <w:szCs w:val="22"/>
          <w:lang w:val="el-GR"/>
        </w:rPr>
      </w:pPr>
      <w:r>
        <w:rPr>
          <w:rFonts w:cs="Arial"/>
          <w:b w:val="0"/>
          <w:noProof/>
          <w:color w:val="000000"/>
          <w:sz w:val="22"/>
          <w:szCs w:val="22"/>
          <w:lang w:val="el-GR"/>
        </w:rPr>
        <w:t>Πολύ</w:t>
      </w:r>
      <w:r w:rsidRPr="00881E2C">
        <w:rPr>
          <w:rFonts w:cs="Arial"/>
          <w:b w:val="0"/>
          <w:noProof/>
          <w:color w:val="000000"/>
          <w:sz w:val="22"/>
          <w:szCs w:val="22"/>
          <w:lang w:val="el-GR"/>
        </w:rPr>
        <w:t xml:space="preserve"> </w:t>
      </w:r>
      <w:r>
        <w:rPr>
          <w:rFonts w:cs="Arial"/>
          <w:b w:val="0"/>
          <w:noProof/>
          <w:color w:val="000000"/>
          <w:sz w:val="22"/>
          <w:szCs w:val="22"/>
          <w:lang w:val="el-GR"/>
        </w:rPr>
        <w:t>σπάνιες</w:t>
      </w:r>
      <w:r w:rsidRPr="00AF04BB">
        <w:rPr>
          <w:rFonts w:cs="Arial"/>
          <w:b w:val="0"/>
          <w:noProof/>
          <w:color w:val="000000"/>
          <w:sz w:val="22"/>
          <w:szCs w:val="22"/>
          <w:lang w:val="el-GR"/>
        </w:rPr>
        <w:t>:</w:t>
      </w:r>
      <w:r w:rsidRPr="00881E2C">
        <w:rPr>
          <w:rFonts w:cs="Arial"/>
          <w:b w:val="0"/>
          <w:noProof/>
          <w:color w:val="000000"/>
          <w:sz w:val="22"/>
          <w:szCs w:val="22"/>
          <w:lang w:val="el-GR"/>
        </w:rPr>
        <w:tab/>
      </w:r>
      <w:r>
        <w:rPr>
          <w:rFonts w:cs="Arial"/>
          <w:b w:val="0"/>
          <w:noProof/>
          <w:color w:val="000000"/>
          <w:sz w:val="22"/>
          <w:szCs w:val="22"/>
          <w:lang w:val="el-GR"/>
        </w:rPr>
        <w:t>Δερματική</w:t>
      </w:r>
      <w:r w:rsidRPr="00881E2C">
        <w:rPr>
          <w:rFonts w:cs="Arial"/>
          <w:b w:val="0"/>
          <w:noProof/>
          <w:color w:val="000000"/>
          <w:sz w:val="22"/>
          <w:szCs w:val="22"/>
          <w:lang w:val="el-GR"/>
        </w:rPr>
        <w:t xml:space="preserve"> </w:t>
      </w:r>
      <w:r>
        <w:rPr>
          <w:rFonts w:cs="Arial"/>
          <w:b w:val="0"/>
          <w:noProof/>
          <w:color w:val="000000"/>
          <w:sz w:val="22"/>
          <w:szCs w:val="22"/>
          <w:lang w:val="el-GR"/>
        </w:rPr>
        <w:t>νέκρωση</w:t>
      </w:r>
      <w:r w:rsidRPr="00AF04BB">
        <w:rPr>
          <w:rFonts w:cs="Arial"/>
          <w:b w:val="0"/>
          <w:noProof/>
          <w:color w:val="000000"/>
          <w:sz w:val="22"/>
          <w:szCs w:val="22"/>
          <w:lang w:val="el-GR"/>
        </w:rPr>
        <w:t xml:space="preserve">, </w:t>
      </w:r>
      <w:r>
        <w:rPr>
          <w:rFonts w:cs="Arial"/>
          <w:b w:val="0"/>
          <w:noProof/>
          <w:color w:val="000000"/>
          <w:sz w:val="22"/>
          <w:szCs w:val="22"/>
          <w:lang w:val="el-GR"/>
        </w:rPr>
        <w:t>συνήθως</w:t>
      </w:r>
      <w:r w:rsidRPr="00881E2C">
        <w:rPr>
          <w:rFonts w:cs="Arial"/>
          <w:b w:val="0"/>
          <w:noProof/>
          <w:color w:val="000000"/>
          <w:sz w:val="22"/>
          <w:szCs w:val="22"/>
          <w:lang w:val="el-GR"/>
        </w:rPr>
        <w:t xml:space="preserve"> </w:t>
      </w:r>
      <w:r>
        <w:rPr>
          <w:rFonts w:cs="Arial"/>
          <w:b w:val="0"/>
          <w:noProof/>
          <w:color w:val="000000"/>
          <w:sz w:val="22"/>
          <w:szCs w:val="22"/>
          <w:lang w:val="el-GR"/>
        </w:rPr>
        <w:t>εμφανίζεται</w:t>
      </w:r>
      <w:r w:rsidRPr="00881E2C">
        <w:rPr>
          <w:rFonts w:cs="Arial"/>
          <w:b w:val="0"/>
          <w:noProof/>
          <w:color w:val="000000"/>
          <w:sz w:val="22"/>
          <w:szCs w:val="22"/>
          <w:lang w:val="el-GR"/>
        </w:rPr>
        <w:t xml:space="preserve"> </w:t>
      </w:r>
      <w:r>
        <w:rPr>
          <w:rFonts w:cs="Arial"/>
          <w:b w:val="0"/>
          <w:noProof/>
          <w:color w:val="000000"/>
          <w:sz w:val="22"/>
          <w:szCs w:val="22"/>
          <w:lang w:val="el-GR"/>
        </w:rPr>
        <w:t>στ</w:t>
      </w:r>
      <w:r w:rsidR="00BB0105">
        <w:rPr>
          <w:rFonts w:cs="Arial"/>
          <w:b w:val="0"/>
          <w:noProof/>
          <w:color w:val="000000"/>
          <w:sz w:val="22"/>
          <w:szCs w:val="22"/>
          <w:lang w:val="el-GR"/>
        </w:rPr>
        <w:t>ο σημείο</w:t>
      </w:r>
      <w:r>
        <w:rPr>
          <w:rFonts w:cs="Arial"/>
          <w:b w:val="0"/>
          <w:noProof/>
          <w:color w:val="000000"/>
          <w:sz w:val="22"/>
          <w:szCs w:val="22"/>
          <w:lang w:val="el-GR"/>
        </w:rPr>
        <w:t xml:space="preserve"> της ένεσης</w:t>
      </w:r>
      <w:r w:rsidRPr="00AF04BB">
        <w:rPr>
          <w:rFonts w:cs="Arial"/>
          <w:b w:val="0"/>
          <w:noProof/>
          <w:color w:val="000000"/>
          <w:sz w:val="22"/>
          <w:szCs w:val="22"/>
          <w:lang w:val="el-GR"/>
        </w:rPr>
        <w:t xml:space="preserve"> (</w:t>
      </w:r>
      <w:r>
        <w:rPr>
          <w:rFonts w:cs="Arial"/>
          <w:b w:val="0"/>
          <w:noProof/>
          <w:color w:val="000000"/>
          <w:sz w:val="22"/>
          <w:szCs w:val="22"/>
          <w:lang w:val="el-GR"/>
        </w:rPr>
        <w:t>βλέπε</w:t>
      </w:r>
      <w:r w:rsidRPr="00881E2C">
        <w:rPr>
          <w:rFonts w:cs="Arial"/>
          <w:b w:val="0"/>
          <w:noProof/>
          <w:color w:val="000000"/>
          <w:sz w:val="22"/>
          <w:szCs w:val="22"/>
          <w:lang w:val="el-GR"/>
        </w:rPr>
        <w:t xml:space="preserve"> </w:t>
      </w:r>
      <w:r>
        <w:rPr>
          <w:rFonts w:cs="Arial"/>
          <w:b w:val="0"/>
          <w:noProof/>
          <w:color w:val="000000"/>
          <w:sz w:val="22"/>
          <w:szCs w:val="22"/>
          <w:lang w:val="el-GR"/>
        </w:rPr>
        <w:t>παράγραφο 4.4</w:t>
      </w:r>
      <w:r w:rsidRPr="00AF04BB">
        <w:rPr>
          <w:rFonts w:cs="Arial"/>
          <w:b w:val="0"/>
          <w:noProof/>
          <w:color w:val="000000"/>
          <w:sz w:val="22"/>
          <w:szCs w:val="22"/>
          <w:lang w:val="el-GR"/>
        </w:rPr>
        <w:t xml:space="preserve">). </w:t>
      </w:r>
    </w:p>
    <w:p w:rsidR="00881E2C" w:rsidRPr="00AF04BB" w:rsidRDefault="00881E2C" w:rsidP="008179B8">
      <w:pPr>
        <w:pStyle w:val="aff2"/>
        <w:spacing w:before="0" w:after="0"/>
        <w:jc w:val="both"/>
        <w:rPr>
          <w:rFonts w:cs="Arial"/>
          <w:b w:val="0"/>
          <w:noProof/>
          <w:color w:val="000000"/>
          <w:sz w:val="22"/>
          <w:szCs w:val="22"/>
          <w:lang w:val="el-GR"/>
        </w:rPr>
      </w:pPr>
    </w:p>
    <w:p w:rsidR="00673CCB" w:rsidRPr="002562F9" w:rsidRDefault="00FA0A96" w:rsidP="008179B8">
      <w:pPr>
        <w:pStyle w:val="aff2"/>
        <w:spacing w:before="0" w:after="0"/>
        <w:jc w:val="both"/>
        <w:rPr>
          <w:noProof/>
          <w:color w:val="000000"/>
          <w:sz w:val="22"/>
          <w:szCs w:val="22"/>
          <w:lang w:val="el-GR"/>
        </w:rPr>
      </w:pPr>
      <w:r w:rsidRPr="002562F9">
        <w:rPr>
          <w:rFonts w:cs="Arial"/>
          <w:noProof/>
          <w:color w:val="000000"/>
          <w:sz w:val="22"/>
          <w:szCs w:val="22"/>
          <w:lang w:val="el-GR"/>
        </w:rPr>
        <w:t xml:space="preserve">Γενικές διαταραχές και </w:t>
      </w:r>
      <w:r w:rsidRPr="002562F9">
        <w:rPr>
          <w:rFonts w:cs="Arial"/>
          <w:noProof/>
          <w:color w:val="000000"/>
          <w:sz w:val="22"/>
          <w:lang w:val="el-GR"/>
        </w:rPr>
        <w:t>καταστάσεις της οδού χορήγησης</w:t>
      </w:r>
    </w:p>
    <w:p w:rsidR="00122617" w:rsidRPr="002562F9" w:rsidRDefault="00122617" w:rsidP="008179B8">
      <w:pPr>
        <w:jc w:val="both"/>
        <w:rPr>
          <w:rFonts w:ascii="Arial" w:hAnsi="Arial"/>
          <w:color w:val="000000"/>
          <w:sz w:val="22"/>
          <w:lang w:val="el-GR"/>
        </w:rPr>
      </w:pPr>
    </w:p>
    <w:p w:rsidR="00673CCB" w:rsidRPr="002562F9" w:rsidRDefault="0086736F" w:rsidP="008179B8">
      <w:pPr>
        <w:ind w:left="1701" w:hanging="1701"/>
        <w:jc w:val="both"/>
        <w:rPr>
          <w:rFonts w:ascii="Arial" w:hAnsi="Arial"/>
          <w:color w:val="000000"/>
          <w:sz w:val="22"/>
          <w:lang w:val="el-GR"/>
        </w:rPr>
      </w:pPr>
      <w:r w:rsidRPr="002562F9">
        <w:rPr>
          <w:rFonts w:ascii="Arial" w:hAnsi="Arial"/>
          <w:color w:val="000000"/>
          <w:sz w:val="22"/>
          <w:lang w:val="el-GR"/>
        </w:rPr>
        <w:t>Πολύ συχν</w:t>
      </w:r>
      <w:r w:rsidR="00122617" w:rsidRPr="002562F9">
        <w:rPr>
          <w:rFonts w:ascii="Arial" w:hAnsi="Arial"/>
          <w:color w:val="000000"/>
          <w:sz w:val="22"/>
          <w:lang w:val="el-GR"/>
        </w:rPr>
        <w:t>ές</w:t>
      </w:r>
      <w:r w:rsidRPr="002562F9">
        <w:rPr>
          <w:rFonts w:ascii="Arial" w:hAnsi="Arial"/>
          <w:color w:val="000000"/>
          <w:sz w:val="22"/>
          <w:lang w:val="el-GR"/>
        </w:rPr>
        <w:t xml:space="preserve">: </w:t>
      </w:r>
      <w:r w:rsidR="00122617" w:rsidRPr="002562F9">
        <w:rPr>
          <w:rFonts w:ascii="Arial" w:hAnsi="Arial"/>
          <w:color w:val="000000"/>
          <w:sz w:val="22"/>
          <w:lang w:val="el-GR"/>
        </w:rPr>
        <w:tab/>
      </w:r>
      <w:r w:rsidR="0038172D" w:rsidRPr="002562F9">
        <w:rPr>
          <w:rFonts w:ascii="Arial" w:hAnsi="Arial"/>
          <w:color w:val="000000"/>
          <w:sz w:val="22"/>
          <w:lang w:val="el-GR"/>
        </w:rPr>
        <w:t>Μ</w:t>
      </w:r>
      <w:r w:rsidRPr="002562F9">
        <w:rPr>
          <w:rFonts w:ascii="Arial" w:hAnsi="Arial"/>
          <w:color w:val="000000"/>
          <w:sz w:val="22"/>
          <w:lang w:val="el-GR"/>
        </w:rPr>
        <w:t xml:space="preserve">ικρό αιμάτωμα στο σημείο της ένεσης. </w:t>
      </w:r>
    </w:p>
    <w:p w:rsidR="00673CCB" w:rsidRPr="002562F9" w:rsidRDefault="00673CCB" w:rsidP="008179B8">
      <w:pPr>
        <w:ind w:left="1843" w:hanging="1843"/>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Σε ορισμένες περιπτώσεις μπορεί να παρατηρηθεί η εμφάνιση σκληρών οζιδίων τα οποία δεν υποδηλώνουν την δημιουργία κύστης λόγω της ηπαρίνης που έχει χορηγηθεί. Τα οζίδια αυτά εξαφανίζονται συνήθως μετά από λίγες ημέρες.</w:t>
      </w:r>
    </w:p>
    <w:p w:rsidR="0086736F" w:rsidRPr="002562F9" w:rsidRDefault="0086736F" w:rsidP="008179B8">
      <w:pPr>
        <w:ind w:firstLine="720"/>
        <w:jc w:val="both"/>
        <w:rPr>
          <w:rFonts w:ascii="Arial" w:hAnsi="Arial"/>
          <w:color w:val="000000"/>
          <w:sz w:val="22"/>
          <w:lang w:val="el-GR"/>
        </w:rPr>
      </w:pPr>
    </w:p>
    <w:p w:rsidR="00FA0A96" w:rsidRPr="002562F9" w:rsidRDefault="00FA0A96" w:rsidP="008179B8">
      <w:pPr>
        <w:ind w:left="1701" w:hanging="1701"/>
        <w:jc w:val="both"/>
        <w:rPr>
          <w:rFonts w:ascii="Arial" w:hAnsi="Arial"/>
          <w:color w:val="000000"/>
          <w:sz w:val="22"/>
          <w:lang w:val="el-GR"/>
        </w:rPr>
      </w:pPr>
      <w:r w:rsidRPr="002562F9">
        <w:rPr>
          <w:rFonts w:ascii="Arial" w:hAnsi="Arial"/>
          <w:color w:val="000000"/>
          <w:sz w:val="22"/>
          <w:lang w:val="el-GR"/>
        </w:rPr>
        <w:t>Συχνές:</w:t>
      </w:r>
      <w:r w:rsidRPr="002562F9">
        <w:rPr>
          <w:rFonts w:ascii="Arial" w:hAnsi="Arial"/>
          <w:color w:val="000000"/>
          <w:sz w:val="22"/>
          <w:lang w:val="el-GR"/>
        </w:rPr>
        <w:tab/>
        <w:t>Αντίδραση στο σημείο της ένεσης</w:t>
      </w:r>
    </w:p>
    <w:p w:rsidR="00FA0A96" w:rsidRPr="002562F9" w:rsidRDefault="00FA0A96" w:rsidP="008179B8">
      <w:pPr>
        <w:ind w:left="1701" w:hanging="1701"/>
        <w:jc w:val="both"/>
        <w:rPr>
          <w:rFonts w:ascii="Arial" w:hAnsi="Arial"/>
          <w:color w:val="000000"/>
          <w:sz w:val="22"/>
          <w:lang w:val="el-GR"/>
        </w:rPr>
      </w:pPr>
    </w:p>
    <w:p w:rsidR="00FA0A96" w:rsidRPr="002562F9" w:rsidRDefault="00FA0A96" w:rsidP="008179B8">
      <w:pPr>
        <w:ind w:left="1701" w:hanging="1701"/>
        <w:jc w:val="both"/>
        <w:rPr>
          <w:rFonts w:ascii="Arial" w:hAnsi="Arial"/>
          <w:color w:val="000000"/>
          <w:sz w:val="22"/>
          <w:lang w:val="el-GR"/>
        </w:rPr>
      </w:pPr>
      <w:r w:rsidRPr="002562F9">
        <w:rPr>
          <w:rFonts w:ascii="Arial" w:hAnsi="Arial"/>
          <w:color w:val="000000"/>
          <w:sz w:val="22"/>
          <w:lang w:val="el-GR"/>
        </w:rPr>
        <w:t>Σπάνιες:</w:t>
      </w:r>
      <w:r w:rsidRPr="002562F9">
        <w:rPr>
          <w:rFonts w:ascii="Arial" w:hAnsi="Arial"/>
          <w:color w:val="000000"/>
          <w:sz w:val="22"/>
          <w:lang w:val="el-GR"/>
        </w:rPr>
        <w:tab/>
        <w:t>Ασβέσ</w:t>
      </w:r>
      <w:r w:rsidRPr="002562F9">
        <w:rPr>
          <w:rFonts w:ascii="Arial" w:hAnsi="Arial"/>
          <w:color w:val="000000"/>
          <w:sz w:val="22"/>
        </w:rPr>
        <w:t>t</w:t>
      </w:r>
      <w:r w:rsidRPr="002562F9">
        <w:rPr>
          <w:rFonts w:ascii="Arial" w:hAnsi="Arial"/>
          <w:color w:val="000000"/>
          <w:sz w:val="22"/>
          <w:lang w:val="el-GR"/>
        </w:rPr>
        <w:t>ωση στο σημείο της ένεσης</w:t>
      </w:r>
    </w:p>
    <w:p w:rsidR="00FA0A96" w:rsidRPr="002562F9" w:rsidRDefault="00FA0A96" w:rsidP="008179B8">
      <w:pPr>
        <w:ind w:left="1701" w:hanging="1701"/>
        <w:jc w:val="both"/>
        <w:rPr>
          <w:rFonts w:ascii="Arial" w:hAnsi="Arial"/>
          <w:color w:val="000000"/>
          <w:sz w:val="22"/>
          <w:lang w:val="el-GR"/>
        </w:rPr>
      </w:pPr>
    </w:p>
    <w:p w:rsidR="00FA0A96" w:rsidRPr="002562F9" w:rsidRDefault="00FA0A96" w:rsidP="008179B8">
      <w:pPr>
        <w:jc w:val="both"/>
        <w:rPr>
          <w:rFonts w:ascii="Arial" w:hAnsi="Arial"/>
          <w:color w:val="000000"/>
          <w:sz w:val="22"/>
          <w:lang w:val="el-GR"/>
        </w:rPr>
      </w:pPr>
      <w:r w:rsidRPr="002562F9">
        <w:rPr>
          <w:rFonts w:ascii="Arial" w:hAnsi="Arial"/>
          <w:color w:val="000000"/>
          <w:sz w:val="22"/>
          <w:lang w:val="el-GR"/>
        </w:rPr>
        <w:t>Η ασβέστωση είναι πιο συχνή σε ασθενείς με παθολογικά επίπεδα φωσφορικού ασβεστίου, όπως σε κάποιες περιπτώσεις χρόνιας νεφρικής ανεπάρκειας.</w:t>
      </w:r>
    </w:p>
    <w:p w:rsidR="00FA0A96" w:rsidRPr="002562F9" w:rsidRDefault="00FA0A96" w:rsidP="008179B8">
      <w:pPr>
        <w:ind w:left="1701" w:hanging="1701"/>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4.9  </w:t>
      </w:r>
      <w:r w:rsidR="001A0274" w:rsidRPr="002562F9">
        <w:rPr>
          <w:rFonts w:ascii="Arial" w:hAnsi="Arial"/>
          <w:b/>
          <w:color w:val="000000"/>
          <w:sz w:val="22"/>
          <w:lang w:val="el-GR"/>
        </w:rPr>
        <w:tab/>
      </w:r>
      <w:r w:rsidRPr="002562F9">
        <w:rPr>
          <w:rFonts w:ascii="Arial" w:hAnsi="Arial"/>
          <w:b/>
          <w:color w:val="000000"/>
          <w:sz w:val="22"/>
          <w:lang w:val="el-GR"/>
        </w:rPr>
        <w:t>Υπερδοσολογία</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Η αιμορραγία είναι το βασικό κλινικό σύμπτωμα υποδόριας ή ενδοφλέβιας</w:t>
      </w:r>
      <w:r w:rsidRPr="002562F9">
        <w:rPr>
          <w:rFonts w:ascii="Arial" w:hAnsi="Arial"/>
          <w:b/>
          <w:color w:val="000000"/>
          <w:sz w:val="22"/>
          <w:lang w:val="el-GR"/>
        </w:rPr>
        <w:t xml:space="preserve"> </w:t>
      </w:r>
      <w:r w:rsidRPr="002562F9">
        <w:rPr>
          <w:rFonts w:ascii="Arial" w:hAnsi="Arial"/>
          <w:color w:val="000000"/>
          <w:sz w:val="22"/>
          <w:lang w:val="el-GR"/>
        </w:rPr>
        <w:t xml:space="preserve">υπερδοσολογίας. Ο αριθμός των αιμοπεταλίων και άλλοι παράγοντες πήξεως θα πρέπει να μετρώνται. Ελάσσων αιμορραγία σπανίως απαιτεί συγκεκριμένη θεραπεία και συνήθως μία μείωση ή καθυστέρηση της επόμενης δόσης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είναι αρκετή.</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Η χρήση θειικής πρωταμίνης θα πρέπει να γίνεται μόνο σε πιο σοβαρές περιπτώσεις. Εξουδετερώνει σε μεγάλο βαθμό το αντιπηκτικό αποτέλεσμα της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αλλά κάποια αντι-Χa δραστικότητα παραμένει. </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Τα 0,6 </w:t>
      </w:r>
      <w:r w:rsidRPr="002562F9">
        <w:rPr>
          <w:rFonts w:ascii="Arial" w:hAnsi="Arial"/>
          <w:color w:val="000000"/>
          <w:sz w:val="22"/>
        </w:rPr>
        <w:t>ml</w:t>
      </w:r>
      <w:r w:rsidRPr="002562F9">
        <w:rPr>
          <w:rFonts w:ascii="Arial" w:hAnsi="Arial"/>
          <w:color w:val="000000"/>
          <w:sz w:val="22"/>
          <w:lang w:val="el-GR"/>
        </w:rPr>
        <w:t xml:space="preserve"> θειϊκής πρωταμίνης εξουδετερώνουν περίπου 950 </w:t>
      </w:r>
      <w:r w:rsidRPr="002562F9">
        <w:rPr>
          <w:rFonts w:ascii="Arial" w:hAnsi="Arial"/>
          <w:color w:val="000000"/>
          <w:sz w:val="22"/>
        </w:rPr>
        <w:t>IU</w:t>
      </w:r>
      <w:r w:rsidRPr="002562F9">
        <w:rPr>
          <w:rFonts w:ascii="Arial" w:hAnsi="Arial"/>
          <w:color w:val="000000"/>
          <w:sz w:val="22"/>
          <w:lang w:val="el-GR"/>
        </w:rPr>
        <w:t xml:space="preserve"> </w:t>
      </w:r>
      <w:r w:rsidRPr="002562F9">
        <w:rPr>
          <w:rFonts w:ascii="Arial" w:hAnsi="Arial"/>
          <w:color w:val="000000"/>
          <w:sz w:val="22"/>
        </w:rPr>
        <w:t>anti</w:t>
      </w:r>
      <w:r w:rsidRPr="002562F9">
        <w:rPr>
          <w:rFonts w:ascii="Arial" w:hAnsi="Arial"/>
          <w:color w:val="000000"/>
          <w:sz w:val="22"/>
          <w:lang w:val="el-GR"/>
        </w:rPr>
        <w:t>-</w:t>
      </w:r>
      <w:r w:rsidRPr="002562F9">
        <w:rPr>
          <w:rFonts w:ascii="Arial" w:hAnsi="Arial"/>
          <w:color w:val="000000"/>
          <w:sz w:val="22"/>
        </w:rPr>
        <w:t>Xa</w:t>
      </w:r>
      <w:r w:rsidRPr="002562F9">
        <w:rPr>
          <w:rFonts w:ascii="Arial" w:hAnsi="Arial"/>
          <w:color w:val="000000"/>
          <w:sz w:val="22"/>
          <w:lang w:val="el-GR"/>
        </w:rPr>
        <w:t xml:space="preserve"> </w:t>
      </w:r>
      <w:r w:rsidR="00515ADC" w:rsidRPr="002562F9">
        <w:rPr>
          <w:rFonts w:ascii="Arial" w:hAnsi="Arial"/>
          <w:color w:val="000000"/>
          <w:sz w:val="22"/>
          <w:lang w:val="el-GR"/>
        </w:rPr>
        <w:t>ναδροπαρίνη</w:t>
      </w:r>
      <w:r w:rsidR="00E54CD6" w:rsidRPr="002562F9">
        <w:rPr>
          <w:rFonts w:ascii="Arial" w:hAnsi="Arial"/>
          <w:color w:val="000000"/>
          <w:sz w:val="22"/>
          <w:lang w:val="el-GR"/>
        </w:rPr>
        <w:t>ς</w:t>
      </w:r>
      <w:r w:rsidRPr="002562F9">
        <w:rPr>
          <w:rFonts w:ascii="Arial" w:hAnsi="Arial"/>
          <w:color w:val="000000"/>
          <w:sz w:val="22"/>
          <w:lang w:val="el-GR"/>
        </w:rPr>
        <w:t xml:space="preserve">. Η ποσότητα της πρωταμίνης που θα χορηγηθεί θα πρέπει να υπολογίζεται με βάση τον χρόνο που έχει περάσει από την ένεση της </w:t>
      </w:r>
      <w:r w:rsidRPr="002562F9">
        <w:rPr>
          <w:rFonts w:ascii="Arial" w:hAnsi="Arial"/>
          <w:color w:val="000000"/>
          <w:sz w:val="22"/>
        </w:rPr>
        <w:t>Fraxiparine</w:t>
      </w:r>
      <w:r w:rsidRPr="002562F9">
        <w:rPr>
          <w:rFonts w:ascii="Arial" w:hAnsi="Arial"/>
          <w:color w:val="000000"/>
          <w:sz w:val="22"/>
          <w:vertAlign w:val="superscript"/>
        </w:rPr>
        <w:sym w:font="Symbol" w:char="F0E2"/>
      </w:r>
      <w:r w:rsidRPr="002562F9">
        <w:rPr>
          <w:rFonts w:ascii="Arial" w:hAnsi="Arial"/>
          <w:color w:val="000000"/>
          <w:sz w:val="22"/>
          <w:lang w:val="el-GR"/>
        </w:rPr>
        <w:t xml:space="preserve">  και πιθανόν να χρειάζεται μείωση της δόσης.</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lastRenderedPageBreak/>
        <w:t xml:space="preserve">5. </w:t>
      </w:r>
      <w:r w:rsidR="001A0274" w:rsidRPr="002562F9">
        <w:rPr>
          <w:rFonts w:ascii="Arial" w:hAnsi="Arial"/>
          <w:b/>
          <w:color w:val="000000"/>
          <w:sz w:val="22"/>
          <w:lang w:val="el-GR"/>
        </w:rPr>
        <w:tab/>
      </w:r>
      <w:r w:rsidRPr="002562F9">
        <w:rPr>
          <w:rFonts w:ascii="Arial" w:hAnsi="Arial"/>
          <w:b/>
          <w:color w:val="000000"/>
          <w:sz w:val="22"/>
          <w:lang w:val="el-GR"/>
        </w:rPr>
        <w:t>ΦΑΡΜΑΚΟΛΟΓΙΚΕΣ ΙΔΙΟΤΗΤΕΣ</w:t>
      </w:r>
    </w:p>
    <w:p w:rsidR="0086736F" w:rsidRPr="002562F9" w:rsidRDefault="0086736F" w:rsidP="008179B8">
      <w:pPr>
        <w:jc w:val="both"/>
        <w:rPr>
          <w:rFonts w:ascii="Arial" w:hAnsi="Arial"/>
          <w:color w:val="000000"/>
          <w:sz w:val="22"/>
          <w:lang w:val="el-GR"/>
        </w:rPr>
      </w:pPr>
    </w:p>
    <w:p w:rsidR="00FC0569" w:rsidRPr="002562F9" w:rsidRDefault="00FC0569" w:rsidP="008179B8">
      <w:pPr>
        <w:jc w:val="both"/>
        <w:rPr>
          <w:rFonts w:ascii="Arial" w:hAnsi="Arial"/>
          <w:color w:val="000000"/>
          <w:sz w:val="22"/>
          <w:lang w:val="el-GR"/>
        </w:rPr>
      </w:pPr>
      <w:r w:rsidRPr="002562F9">
        <w:rPr>
          <w:rFonts w:ascii="Arial" w:hAnsi="Arial"/>
          <w:color w:val="000000"/>
          <w:sz w:val="22"/>
          <w:lang w:val="el-GR"/>
        </w:rPr>
        <w:t>Κωδικός ΑΤ</w:t>
      </w:r>
      <w:r w:rsidRPr="002562F9">
        <w:rPr>
          <w:rFonts w:ascii="Arial" w:hAnsi="Arial"/>
          <w:color w:val="000000"/>
          <w:sz w:val="22"/>
          <w:lang w:val="en-US"/>
        </w:rPr>
        <w:t>C</w:t>
      </w:r>
      <w:r w:rsidRPr="002562F9">
        <w:rPr>
          <w:rFonts w:ascii="Arial" w:hAnsi="Arial"/>
          <w:color w:val="000000"/>
          <w:sz w:val="22"/>
          <w:lang w:val="el-GR"/>
        </w:rPr>
        <w:t xml:space="preserve">: </w:t>
      </w:r>
      <w:r w:rsidRPr="002562F9">
        <w:rPr>
          <w:rFonts w:ascii="Arial" w:hAnsi="Arial"/>
          <w:color w:val="000000"/>
          <w:sz w:val="22"/>
          <w:lang w:val="en-US"/>
        </w:rPr>
        <w:t>B</w:t>
      </w:r>
      <w:r w:rsidRPr="002562F9">
        <w:rPr>
          <w:rFonts w:ascii="Arial" w:hAnsi="Arial"/>
          <w:color w:val="000000"/>
          <w:sz w:val="22"/>
          <w:lang w:val="el-GR"/>
        </w:rPr>
        <w:t>01</w:t>
      </w:r>
      <w:r w:rsidRPr="002562F9">
        <w:rPr>
          <w:rFonts w:ascii="Arial" w:hAnsi="Arial"/>
          <w:color w:val="000000"/>
          <w:sz w:val="22"/>
          <w:lang w:val="en-US"/>
        </w:rPr>
        <w:t>AB</w:t>
      </w:r>
      <w:r w:rsidRPr="002562F9">
        <w:rPr>
          <w:rFonts w:ascii="Arial" w:hAnsi="Arial"/>
          <w:color w:val="000000"/>
          <w:sz w:val="22"/>
          <w:lang w:val="el-GR"/>
        </w:rPr>
        <w:t>06</w:t>
      </w:r>
    </w:p>
    <w:p w:rsidR="00FC0569" w:rsidRPr="002562F9" w:rsidRDefault="00FC0569" w:rsidP="008179B8">
      <w:pPr>
        <w:jc w:val="both"/>
        <w:rPr>
          <w:rFonts w:ascii="Arial" w:hAnsi="Arial"/>
          <w:color w:val="000000"/>
          <w:sz w:val="22"/>
          <w:lang w:val="el-GR"/>
        </w:rPr>
      </w:pPr>
      <w:r w:rsidRPr="002562F9">
        <w:rPr>
          <w:rFonts w:ascii="Arial" w:hAnsi="Arial"/>
          <w:color w:val="000000"/>
          <w:sz w:val="22"/>
          <w:lang w:val="el-GR"/>
        </w:rPr>
        <w:t>Φαρμακοθεραπευτική κατηγορία: Αντιθρομβ</w:t>
      </w:r>
      <w:r w:rsidR="000F14E2" w:rsidRPr="002562F9">
        <w:rPr>
          <w:rFonts w:ascii="Arial" w:hAnsi="Arial"/>
          <w:color w:val="000000"/>
          <w:sz w:val="22"/>
          <w:lang w:val="el-GR"/>
        </w:rPr>
        <w:t>ω</w:t>
      </w:r>
      <w:r w:rsidRPr="002562F9">
        <w:rPr>
          <w:rFonts w:ascii="Arial" w:hAnsi="Arial"/>
          <w:color w:val="000000"/>
          <w:sz w:val="22"/>
          <w:lang w:val="el-GR"/>
        </w:rPr>
        <w:t>τικοί παράγοντες- ομάδα ηπαρίνης.</w:t>
      </w:r>
    </w:p>
    <w:p w:rsidR="00FC0569" w:rsidRPr="002562F9" w:rsidRDefault="00FC0569"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5.1 </w:t>
      </w:r>
      <w:r w:rsidR="001A0274" w:rsidRPr="002562F9">
        <w:rPr>
          <w:rFonts w:ascii="Arial" w:hAnsi="Arial"/>
          <w:b/>
          <w:color w:val="000000"/>
          <w:sz w:val="22"/>
          <w:lang w:val="el-GR"/>
        </w:rPr>
        <w:tab/>
      </w:r>
      <w:r w:rsidRPr="002562F9">
        <w:rPr>
          <w:rFonts w:ascii="Arial" w:hAnsi="Arial"/>
          <w:b/>
          <w:color w:val="000000"/>
          <w:sz w:val="22"/>
          <w:lang w:val="el-GR"/>
        </w:rPr>
        <w:t>Φαρμακοδυναμικές ιδιότητες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Η </w:t>
      </w:r>
      <w:r w:rsidR="00515ADC" w:rsidRPr="002562F9">
        <w:rPr>
          <w:rFonts w:ascii="Arial" w:hAnsi="Arial"/>
          <w:color w:val="000000"/>
          <w:sz w:val="22"/>
          <w:lang w:val="el-GR"/>
        </w:rPr>
        <w:t>ναδροπαρίνη</w:t>
      </w:r>
      <w:r w:rsidRPr="002562F9">
        <w:rPr>
          <w:rFonts w:ascii="Arial" w:hAnsi="Arial"/>
          <w:color w:val="000000"/>
          <w:sz w:val="22"/>
          <w:lang w:val="el-GR"/>
        </w:rPr>
        <w:t xml:space="preserve"> είναι μία ηπαρίνη χαμηλού μοριακού βάρους που παράγεται με αποπολυμερισμό της κλασσικής ηπαρίνης. Είναι ένα γλυκοαμινογλυκανικό παράγωγο μέσου μοριακού βάρους περίπου 4.300 </w:t>
      </w:r>
      <w:r w:rsidRPr="002562F9">
        <w:rPr>
          <w:rFonts w:ascii="Arial" w:hAnsi="Arial"/>
          <w:color w:val="000000"/>
          <w:sz w:val="22"/>
        </w:rPr>
        <w:t>daltons</w:t>
      </w:r>
      <w:r w:rsidRPr="002562F9">
        <w:rPr>
          <w:rFonts w:ascii="Arial" w:hAnsi="Arial"/>
          <w:color w:val="000000"/>
          <w:sz w:val="22"/>
          <w:lang w:val="el-GR"/>
        </w:rPr>
        <w:t>. Εμφανίζει μία υψηλότερη αναλογία αντι-Χ</w:t>
      </w:r>
      <w:r w:rsidRPr="002562F9">
        <w:rPr>
          <w:rFonts w:ascii="Arial" w:hAnsi="Arial"/>
          <w:color w:val="000000"/>
          <w:sz w:val="22"/>
          <w:lang w:val="en-US"/>
        </w:rPr>
        <w:t>a</w:t>
      </w:r>
      <w:r w:rsidRPr="002562F9">
        <w:rPr>
          <w:rFonts w:ascii="Arial" w:hAnsi="Arial"/>
          <w:color w:val="000000"/>
          <w:sz w:val="22"/>
          <w:lang w:val="el-GR"/>
        </w:rPr>
        <w:t xml:space="preserve"> δραστικότητας από την αντι-ΙΙα δραστικότητα. Η </w:t>
      </w:r>
      <w:r w:rsidR="00515ADC" w:rsidRPr="002562F9">
        <w:rPr>
          <w:rFonts w:ascii="Arial" w:hAnsi="Arial"/>
          <w:color w:val="000000"/>
          <w:sz w:val="22"/>
          <w:lang w:val="el-GR"/>
        </w:rPr>
        <w:t>ναδροπαρίνη</w:t>
      </w:r>
      <w:r w:rsidRPr="002562F9">
        <w:rPr>
          <w:rFonts w:ascii="Arial" w:hAnsi="Arial"/>
          <w:color w:val="000000"/>
          <w:sz w:val="22"/>
          <w:lang w:val="el-GR"/>
        </w:rPr>
        <w:t xml:space="preserve"> εμφανίζει άμεση και παρατεταμένη αντι-θρομβωτική δράση. </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5.2. </w:t>
      </w:r>
      <w:r w:rsidR="001A0274" w:rsidRPr="002562F9">
        <w:rPr>
          <w:rFonts w:ascii="Arial" w:hAnsi="Arial"/>
          <w:b/>
          <w:color w:val="000000"/>
          <w:sz w:val="22"/>
          <w:lang w:val="el-GR"/>
        </w:rPr>
        <w:tab/>
      </w:r>
      <w:r w:rsidRPr="002562F9">
        <w:rPr>
          <w:rFonts w:ascii="Arial" w:hAnsi="Arial"/>
          <w:b/>
          <w:color w:val="000000"/>
          <w:sz w:val="22"/>
          <w:lang w:val="el-GR"/>
        </w:rPr>
        <w:t>Φαρμακοκινητικές ιδιότητες</w:t>
      </w:r>
    </w:p>
    <w:p w:rsidR="0086736F" w:rsidRPr="002562F9" w:rsidRDefault="0086736F" w:rsidP="008179B8">
      <w:pPr>
        <w:jc w:val="both"/>
        <w:rPr>
          <w:rFonts w:ascii="Arial" w:hAnsi="Arial"/>
          <w:b/>
          <w:color w:val="000000"/>
          <w:sz w:val="22"/>
          <w:lang w:val="el-GR"/>
        </w:rPr>
      </w:pPr>
    </w:p>
    <w:p w:rsidR="0086736F" w:rsidRPr="002562F9" w:rsidRDefault="0086736F" w:rsidP="008179B8">
      <w:pPr>
        <w:ind w:left="360" w:hanging="360"/>
        <w:jc w:val="both"/>
        <w:rPr>
          <w:rFonts w:ascii="Arial" w:hAnsi="Arial"/>
          <w:color w:val="000000"/>
          <w:sz w:val="22"/>
          <w:lang w:val="el-GR"/>
        </w:rPr>
      </w:pPr>
      <w:r w:rsidRPr="002562F9">
        <w:rPr>
          <w:rFonts w:ascii="Arial" w:hAnsi="Arial"/>
          <w:color w:val="000000"/>
          <w:sz w:val="22"/>
          <w:lang w:val="el-GR"/>
        </w:rPr>
        <w:t xml:space="preserve">Αυτές έχουν προσδιορισθεί με μέτρηση της αντι-Χα δραστικότητας στο πλάσμα. </w:t>
      </w:r>
    </w:p>
    <w:p w:rsidR="000F325D" w:rsidRPr="00AF04BB" w:rsidRDefault="0086736F" w:rsidP="008179B8">
      <w:pPr>
        <w:jc w:val="both"/>
        <w:rPr>
          <w:rFonts w:ascii="Arial" w:hAnsi="Arial"/>
          <w:color w:val="000000"/>
          <w:sz w:val="22"/>
          <w:lang w:val="el-GR"/>
        </w:rPr>
      </w:pPr>
      <w:r w:rsidRPr="000F325D">
        <w:rPr>
          <w:rFonts w:ascii="Arial" w:hAnsi="Arial"/>
          <w:color w:val="000000"/>
          <w:sz w:val="22"/>
          <w:lang w:val="el-GR"/>
        </w:rPr>
        <w:t xml:space="preserve">Η μέγιστη συγκέντρωση στο πλάσμα εμφανίζεται περίπου </w:t>
      </w:r>
      <w:r w:rsidR="00910B10" w:rsidRPr="004E2B7C">
        <w:rPr>
          <w:rFonts w:ascii="Arial" w:hAnsi="Arial"/>
          <w:color w:val="000000"/>
          <w:sz w:val="22"/>
          <w:lang w:val="el-GR"/>
        </w:rPr>
        <w:t xml:space="preserve">3 </w:t>
      </w:r>
      <w:r w:rsidR="00910B10" w:rsidRPr="00AF04BB">
        <w:rPr>
          <w:rFonts w:ascii="Arial" w:hAnsi="Arial"/>
          <w:color w:val="000000"/>
          <w:sz w:val="22"/>
          <w:lang w:val="el-GR"/>
        </w:rPr>
        <w:t>έως 5</w:t>
      </w:r>
      <w:r w:rsidRPr="00AF04BB">
        <w:rPr>
          <w:rFonts w:ascii="Arial" w:hAnsi="Arial"/>
          <w:color w:val="000000"/>
          <w:sz w:val="22"/>
          <w:lang w:val="el-GR"/>
        </w:rPr>
        <w:t xml:space="preserve"> ώρες μετά την υποδόρια ένεση. </w:t>
      </w:r>
    </w:p>
    <w:p w:rsidR="0086736F" w:rsidRPr="002562F9" w:rsidRDefault="0086736F" w:rsidP="008179B8">
      <w:pPr>
        <w:jc w:val="both"/>
        <w:rPr>
          <w:rFonts w:ascii="Arial" w:hAnsi="Arial"/>
          <w:color w:val="000000"/>
          <w:sz w:val="22"/>
          <w:lang w:val="el-GR"/>
        </w:rPr>
      </w:pPr>
      <w:r w:rsidRPr="000F325D">
        <w:rPr>
          <w:rFonts w:ascii="Arial" w:hAnsi="Arial"/>
          <w:color w:val="000000"/>
          <w:sz w:val="22"/>
          <w:lang w:val="el-GR"/>
        </w:rPr>
        <w:t xml:space="preserve">Ο χρόνος ημισείας απέκκρισης </w:t>
      </w:r>
      <w:r w:rsidR="000F325D" w:rsidRPr="00AF04BB">
        <w:rPr>
          <w:rFonts w:ascii="Arial" w:hAnsi="Arial"/>
          <w:color w:val="000000"/>
          <w:sz w:val="22"/>
          <w:lang w:val="el-GR"/>
        </w:rPr>
        <w:t>μετά από υποδόρια χορήγηση</w:t>
      </w:r>
      <w:r w:rsidRPr="00AF04BB">
        <w:rPr>
          <w:rFonts w:ascii="Arial" w:hAnsi="Arial"/>
          <w:color w:val="000000"/>
          <w:sz w:val="22"/>
          <w:lang w:val="el-GR"/>
        </w:rPr>
        <w:t xml:space="preserve"> είναι περίπου </w:t>
      </w:r>
      <w:r w:rsidR="000F325D" w:rsidRPr="00AF04BB">
        <w:rPr>
          <w:rFonts w:ascii="Arial" w:hAnsi="Arial"/>
          <w:color w:val="000000"/>
          <w:sz w:val="22"/>
          <w:lang w:val="el-GR"/>
        </w:rPr>
        <w:t>3.5</w:t>
      </w:r>
      <w:r w:rsidRPr="004E2B7C">
        <w:rPr>
          <w:rFonts w:ascii="Arial" w:hAnsi="Arial"/>
          <w:color w:val="000000"/>
          <w:sz w:val="22"/>
          <w:lang w:val="el-GR"/>
        </w:rPr>
        <w:t xml:space="preserve"> ώρες. Η δράση του παράγοντα αντι-Χa (&gt; 0,05 </w:t>
      </w:r>
      <w:r w:rsidRPr="00AF04BB">
        <w:rPr>
          <w:rFonts w:ascii="Arial" w:hAnsi="Arial"/>
          <w:color w:val="000000"/>
          <w:sz w:val="22"/>
        </w:rPr>
        <w:t>IU</w:t>
      </w:r>
      <w:r w:rsidRPr="00AF04BB">
        <w:rPr>
          <w:rFonts w:ascii="Arial" w:hAnsi="Arial"/>
          <w:color w:val="000000"/>
          <w:sz w:val="22"/>
          <w:lang w:val="el-GR"/>
        </w:rPr>
        <w:t>/</w:t>
      </w:r>
      <w:r w:rsidRPr="00AF04BB">
        <w:rPr>
          <w:rFonts w:ascii="Arial" w:hAnsi="Arial"/>
          <w:color w:val="000000"/>
          <w:sz w:val="22"/>
        </w:rPr>
        <w:t>ml</w:t>
      </w:r>
      <w:r w:rsidRPr="00AF04BB">
        <w:rPr>
          <w:rFonts w:ascii="Arial" w:hAnsi="Arial"/>
          <w:color w:val="000000"/>
          <w:sz w:val="22"/>
          <w:lang w:val="el-GR"/>
        </w:rPr>
        <w:t>)</w:t>
      </w:r>
      <w:r w:rsidRPr="00AF04BB">
        <w:rPr>
          <w:rFonts w:ascii="Arial" w:hAnsi="Arial"/>
          <w:b/>
          <w:color w:val="000000"/>
          <w:sz w:val="22"/>
          <w:lang w:val="el-GR"/>
        </w:rPr>
        <w:t xml:space="preserve"> </w:t>
      </w:r>
      <w:r w:rsidRPr="00AF04BB">
        <w:rPr>
          <w:rFonts w:ascii="Arial" w:hAnsi="Arial"/>
          <w:color w:val="000000"/>
          <w:sz w:val="22"/>
          <w:lang w:val="el-GR"/>
        </w:rPr>
        <w:t>παραμένει για τουλάχιστον 18 ώρες μετά την ένεση.</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 xml:space="preserve">Η βιοδιαθεσιμότητα είναι σχεδόν πλήρης (περίπου </w:t>
      </w:r>
      <w:r w:rsidR="00910B10">
        <w:rPr>
          <w:rFonts w:ascii="Arial" w:hAnsi="Arial"/>
          <w:color w:val="000000"/>
          <w:sz w:val="22"/>
          <w:lang w:val="el-GR"/>
        </w:rPr>
        <w:t>8</w:t>
      </w:r>
      <w:r w:rsidRPr="002562F9">
        <w:rPr>
          <w:rFonts w:ascii="Arial" w:hAnsi="Arial"/>
          <w:color w:val="000000"/>
          <w:sz w:val="22"/>
          <w:lang w:val="el-GR"/>
        </w:rPr>
        <w:t>8 τα εκατό).</w:t>
      </w:r>
    </w:p>
    <w:p w:rsidR="00930CAC" w:rsidRPr="002562F9" w:rsidRDefault="00930CAC" w:rsidP="008179B8">
      <w:pPr>
        <w:jc w:val="both"/>
        <w:rPr>
          <w:rStyle w:val="CSIchar"/>
          <w:rFonts w:ascii="Arial" w:hAnsi="Arial"/>
          <w:color w:val="000000"/>
          <w:sz w:val="22"/>
          <w:lang w:val="el-GR"/>
        </w:rPr>
      </w:pPr>
    </w:p>
    <w:p w:rsidR="00930CAC" w:rsidRPr="002562F9" w:rsidRDefault="00930CAC" w:rsidP="008179B8">
      <w:pPr>
        <w:jc w:val="both"/>
        <w:rPr>
          <w:rStyle w:val="CSIchar"/>
          <w:rFonts w:ascii="Arial" w:hAnsi="Arial" w:cs="Arial"/>
          <w:i/>
          <w:color w:val="000000"/>
          <w:sz w:val="22"/>
          <w:szCs w:val="22"/>
          <w:lang w:val="el-GR"/>
        </w:rPr>
      </w:pPr>
      <w:r w:rsidRPr="002562F9">
        <w:rPr>
          <w:rStyle w:val="CSIchar"/>
          <w:rFonts w:ascii="Arial" w:hAnsi="Arial" w:cs="Arial"/>
          <w:i/>
          <w:color w:val="000000"/>
          <w:sz w:val="22"/>
          <w:szCs w:val="22"/>
          <w:shd w:val="clear" w:color="auto" w:fill="auto"/>
          <w:lang w:val="el-GR"/>
        </w:rPr>
        <w:t>Νεφρική ανεπάρκεια</w:t>
      </w:r>
    </w:p>
    <w:p w:rsidR="00930CAC" w:rsidRPr="002562F9" w:rsidRDefault="00930CAC" w:rsidP="008179B8">
      <w:pPr>
        <w:jc w:val="both"/>
        <w:rPr>
          <w:rStyle w:val="CSIchar"/>
          <w:rFonts w:ascii="Arial" w:hAnsi="Arial" w:cs="Arial"/>
          <w:color w:val="000000"/>
          <w:sz w:val="22"/>
          <w:szCs w:val="22"/>
          <w:lang w:val="el-GR"/>
        </w:rPr>
      </w:pPr>
    </w:p>
    <w:p w:rsidR="00AE1893" w:rsidRPr="002562F9" w:rsidRDefault="00AE1893" w:rsidP="008179B8">
      <w:pPr>
        <w:jc w:val="both"/>
        <w:rPr>
          <w:rFonts w:ascii="Arial" w:hAnsi="Arial" w:cs="Arial"/>
          <w:color w:val="000000"/>
          <w:sz w:val="22"/>
          <w:szCs w:val="22"/>
          <w:lang w:val="el-GR"/>
        </w:rPr>
      </w:pPr>
      <w:r w:rsidRPr="002562F9">
        <w:rPr>
          <w:rStyle w:val="CSIchar"/>
          <w:rFonts w:ascii="Arial" w:hAnsi="Arial" w:cs="Arial"/>
          <w:color w:val="000000"/>
          <w:sz w:val="22"/>
          <w:szCs w:val="22"/>
          <w:shd w:val="clear" w:color="auto" w:fill="auto"/>
          <w:lang w:val="el-GR"/>
        </w:rPr>
        <w:t>Σε μία κλινική μελέτη αξιολόγησης της φαρμακοκινητικής της ναδροπαρίνης, χορηγούμενης ενδοφλεβίως σε ασθενείς με ποικίλου βαθμού νεφρική ανεπάρκεια, παρατηρήθηκε συσχέτιση μεταξύ της κάθαρσης ναδροπαρίνης και της κάθαρσης κρεατινίνης. Σε ασθενείς με μέτρια νεφρική ανεπάρκεια (κάθαρση κρεατινίνης 3</w:t>
      </w:r>
      <w:r w:rsidR="00CF0B94" w:rsidRPr="00CF0B94">
        <w:rPr>
          <w:rStyle w:val="CSIchar"/>
          <w:rFonts w:ascii="Arial" w:hAnsi="Arial" w:cs="Arial"/>
          <w:color w:val="000000"/>
          <w:sz w:val="22"/>
          <w:szCs w:val="22"/>
          <w:shd w:val="clear" w:color="auto" w:fill="auto"/>
          <w:lang w:val="el-GR"/>
        </w:rPr>
        <w:t>6</w:t>
      </w:r>
      <w:r w:rsidRPr="002562F9">
        <w:rPr>
          <w:rStyle w:val="CSIchar"/>
          <w:rFonts w:ascii="Arial" w:hAnsi="Arial" w:cs="Arial"/>
          <w:color w:val="000000"/>
          <w:sz w:val="22"/>
          <w:szCs w:val="22"/>
          <w:shd w:val="clear" w:color="auto" w:fill="auto"/>
          <w:lang w:val="el-GR"/>
        </w:rPr>
        <w:t xml:space="preserve">-43 </w:t>
      </w:r>
      <w:r w:rsidRPr="002562F9">
        <w:rPr>
          <w:rStyle w:val="CSIchar"/>
          <w:rFonts w:ascii="Arial" w:hAnsi="Arial" w:cs="Arial"/>
          <w:color w:val="000000"/>
          <w:sz w:val="22"/>
          <w:szCs w:val="22"/>
          <w:shd w:val="clear" w:color="auto" w:fill="auto"/>
        </w:rPr>
        <w:t>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Pr="002562F9">
        <w:rPr>
          <w:rStyle w:val="CSIchar"/>
          <w:rFonts w:ascii="Arial" w:hAnsi="Arial" w:cs="Arial"/>
          <w:color w:val="000000"/>
          <w:sz w:val="22"/>
          <w:szCs w:val="22"/>
          <w:shd w:val="clear" w:color="auto" w:fill="auto"/>
          <w:lang w:val="el-GR"/>
        </w:rPr>
        <w:t xml:space="preserve">), τόσο η μέση </w:t>
      </w:r>
      <w:r w:rsidRPr="002562F9">
        <w:rPr>
          <w:rStyle w:val="CSIchar"/>
          <w:rFonts w:ascii="Arial" w:hAnsi="Arial" w:cs="Arial"/>
          <w:color w:val="000000"/>
          <w:sz w:val="22"/>
          <w:szCs w:val="22"/>
          <w:shd w:val="clear" w:color="auto" w:fill="auto"/>
        </w:rPr>
        <w:t>AUC</w:t>
      </w:r>
      <w:r w:rsidRPr="002562F9">
        <w:rPr>
          <w:rStyle w:val="CSIchar"/>
          <w:rFonts w:ascii="Arial" w:hAnsi="Arial" w:cs="Arial"/>
          <w:color w:val="000000"/>
          <w:sz w:val="22"/>
          <w:szCs w:val="22"/>
          <w:shd w:val="clear" w:color="auto" w:fill="auto"/>
          <w:lang w:val="el-GR"/>
        </w:rPr>
        <w:t xml:space="preserve"> όσο και ο χρόνος ημίσειας ζωής, αυξήθηκαν κατά 52 και 39% αντίστοιχα, συγκριτικά με υγιείς εθελοντές. Στους ασθενείς αυτούς, η μέση κάθαρση ναδροπαρίνης στο πλάσμα μειώθηκε στο 63% της φυσιολογικής. Στη μελέτη παρατηρήθηκαν ευρείες διακυμάνσεις από άτομο σε άτομο. Σε άτομα με σοβαρή νεφρική ανεπάρκεια (κάθαρση κρεατινίνης 10-20 </w:t>
      </w:r>
      <w:r w:rsidRPr="002562F9">
        <w:rPr>
          <w:rStyle w:val="CSIchar"/>
          <w:rFonts w:ascii="Arial" w:hAnsi="Arial" w:cs="Arial"/>
          <w:color w:val="000000"/>
          <w:sz w:val="22"/>
          <w:szCs w:val="22"/>
          <w:shd w:val="clear" w:color="auto" w:fill="auto"/>
        </w:rPr>
        <w:t>ml</w:t>
      </w:r>
      <w:r w:rsidRPr="002562F9">
        <w:rPr>
          <w:rStyle w:val="CSIchar"/>
          <w:rFonts w:ascii="Arial" w:hAnsi="Arial" w:cs="Arial"/>
          <w:color w:val="000000"/>
          <w:sz w:val="22"/>
          <w:szCs w:val="22"/>
          <w:shd w:val="clear" w:color="auto" w:fill="auto"/>
          <w:lang w:val="el-GR"/>
        </w:rPr>
        <w:t>/</w:t>
      </w:r>
      <w:r w:rsidRPr="002562F9">
        <w:rPr>
          <w:rStyle w:val="CSIchar"/>
          <w:rFonts w:ascii="Arial" w:hAnsi="Arial" w:cs="Arial"/>
          <w:color w:val="000000"/>
          <w:sz w:val="22"/>
          <w:szCs w:val="22"/>
          <w:shd w:val="clear" w:color="auto" w:fill="auto"/>
        </w:rPr>
        <w:t>min</w:t>
      </w:r>
      <w:r w:rsidRPr="002562F9">
        <w:rPr>
          <w:rStyle w:val="CSIchar"/>
          <w:rFonts w:ascii="Arial" w:hAnsi="Arial" w:cs="Arial"/>
          <w:color w:val="000000"/>
          <w:sz w:val="22"/>
          <w:szCs w:val="22"/>
          <w:shd w:val="clear" w:color="auto" w:fill="auto"/>
          <w:lang w:val="el-GR"/>
        </w:rPr>
        <w:t xml:space="preserve">), τόσο η μέση </w:t>
      </w:r>
      <w:r w:rsidRPr="002562F9">
        <w:rPr>
          <w:rStyle w:val="CSIchar"/>
          <w:rFonts w:ascii="Arial" w:hAnsi="Arial" w:cs="Arial"/>
          <w:color w:val="000000"/>
          <w:sz w:val="22"/>
          <w:szCs w:val="22"/>
          <w:shd w:val="clear" w:color="auto" w:fill="auto"/>
        </w:rPr>
        <w:t>AUC</w:t>
      </w:r>
      <w:r w:rsidRPr="002562F9">
        <w:rPr>
          <w:rStyle w:val="CSIchar"/>
          <w:rFonts w:ascii="Arial" w:hAnsi="Arial" w:cs="Arial"/>
          <w:color w:val="000000"/>
          <w:sz w:val="22"/>
          <w:szCs w:val="22"/>
          <w:shd w:val="clear" w:color="auto" w:fill="auto"/>
          <w:lang w:val="el-GR"/>
        </w:rPr>
        <w:t xml:space="preserve"> όσο και ο χρόνος ημίσειας ζωής, αυξήθηκαν κατά </w:t>
      </w:r>
      <w:r w:rsidR="00910B10">
        <w:rPr>
          <w:rStyle w:val="CSIchar"/>
          <w:rFonts w:ascii="Arial" w:hAnsi="Arial" w:cs="Arial"/>
          <w:color w:val="000000"/>
          <w:sz w:val="22"/>
          <w:szCs w:val="22"/>
          <w:shd w:val="clear" w:color="auto" w:fill="auto"/>
          <w:lang w:val="el-GR"/>
        </w:rPr>
        <w:t>9</w:t>
      </w:r>
      <w:r w:rsidR="00CF0B94" w:rsidRPr="00CF0B94">
        <w:rPr>
          <w:rStyle w:val="CSIchar"/>
          <w:rFonts w:ascii="Arial" w:hAnsi="Arial" w:cs="Arial"/>
          <w:color w:val="000000"/>
          <w:sz w:val="22"/>
          <w:szCs w:val="22"/>
          <w:shd w:val="clear" w:color="auto" w:fill="auto"/>
          <w:lang w:val="el-GR"/>
        </w:rPr>
        <w:t>5</w:t>
      </w:r>
      <w:r w:rsidRPr="002562F9">
        <w:rPr>
          <w:rStyle w:val="CSIchar"/>
          <w:rFonts w:ascii="Arial" w:hAnsi="Arial" w:cs="Arial"/>
          <w:color w:val="000000"/>
          <w:sz w:val="22"/>
          <w:szCs w:val="22"/>
          <w:shd w:val="clear" w:color="auto" w:fill="auto"/>
          <w:lang w:val="el-GR"/>
        </w:rPr>
        <w:t xml:space="preserve"> και </w:t>
      </w:r>
      <w:r w:rsidR="00910B10">
        <w:rPr>
          <w:rStyle w:val="CSIchar"/>
          <w:rFonts w:ascii="Arial" w:hAnsi="Arial" w:cs="Arial"/>
          <w:color w:val="000000"/>
          <w:sz w:val="22"/>
          <w:szCs w:val="22"/>
          <w:shd w:val="clear" w:color="auto" w:fill="auto"/>
          <w:lang w:val="el-GR"/>
        </w:rPr>
        <w:t>11</w:t>
      </w:r>
      <w:r w:rsidR="00CF0B94" w:rsidRPr="00CF0B94">
        <w:rPr>
          <w:rStyle w:val="CSIchar"/>
          <w:rFonts w:ascii="Arial" w:hAnsi="Arial" w:cs="Arial"/>
          <w:color w:val="000000"/>
          <w:sz w:val="22"/>
          <w:szCs w:val="22"/>
          <w:shd w:val="clear" w:color="auto" w:fill="auto"/>
          <w:lang w:val="el-GR"/>
        </w:rPr>
        <w:t>2</w:t>
      </w:r>
      <w:r w:rsidRPr="002562F9">
        <w:rPr>
          <w:rStyle w:val="CSIchar"/>
          <w:rFonts w:ascii="Arial" w:hAnsi="Arial" w:cs="Arial"/>
          <w:color w:val="000000"/>
          <w:sz w:val="22"/>
          <w:szCs w:val="22"/>
          <w:shd w:val="clear" w:color="auto" w:fill="auto"/>
          <w:lang w:val="el-GR"/>
        </w:rPr>
        <w:t xml:space="preserve">% αντίστοιχα, συγκριτικά με υγιείς εθελοντές. Η κάθαρση στο πλάσμα σε ασθενείς με σοβαρή νεφρική ανεπάρκεια μειώθηκε στο </w:t>
      </w:r>
      <w:r w:rsidR="00CF0B94" w:rsidRPr="00CF0B94">
        <w:rPr>
          <w:rStyle w:val="CSIchar"/>
          <w:rFonts w:ascii="Arial" w:hAnsi="Arial" w:cs="Arial"/>
          <w:color w:val="000000"/>
          <w:sz w:val="22"/>
          <w:szCs w:val="22"/>
          <w:shd w:val="clear" w:color="auto" w:fill="auto"/>
          <w:lang w:val="el-GR"/>
        </w:rPr>
        <w:t>50</w:t>
      </w:r>
      <w:r w:rsidRPr="002562F9">
        <w:rPr>
          <w:rStyle w:val="CSIchar"/>
          <w:rFonts w:ascii="Arial" w:hAnsi="Arial" w:cs="Arial"/>
          <w:color w:val="000000"/>
          <w:sz w:val="22"/>
          <w:szCs w:val="22"/>
          <w:shd w:val="clear" w:color="auto" w:fill="auto"/>
          <w:lang w:val="el-GR"/>
        </w:rPr>
        <w:t>% αυτής που παρατηρήθηκε σε ασθενείς με φυσιολογική νεφρική λειτουργία.</w:t>
      </w:r>
      <w:r w:rsidRPr="002562F9">
        <w:rPr>
          <w:rFonts w:ascii="Arial" w:hAnsi="Arial" w:cs="Arial"/>
          <w:color w:val="000000"/>
          <w:sz w:val="22"/>
          <w:szCs w:val="22"/>
          <w:lang w:val="el-GR"/>
        </w:rPr>
        <w:t xml:space="preserve"> </w:t>
      </w:r>
      <w:r w:rsidR="00CF0B94" w:rsidRPr="002562F9">
        <w:rPr>
          <w:rStyle w:val="CSIchar"/>
          <w:rFonts w:ascii="Arial" w:hAnsi="Arial" w:cs="Arial"/>
          <w:color w:val="000000"/>
          <w:sz w:val="22"/>
          <w:szCs w:val="22"/>
          <w:shd w:val="clear" w:color="auto" w:fill="auto"/>
          <w:lang w:val="el-GR"/>
        </w:rPr>
        <w:t xml:space="preserve">Σε άτομα με σοβαρή νεφρική ανεπάρκεια (κάθαρση κρεατινίνης </w:t>
      </w:r>
      <w:r w:rsidR="00CF0B94" w:rsidRPr="00CF0B94">
        <w:rPr>
          <w:rStyle w:val="CSIchar"/>
          <w:rFonts w:ascii="Arial" w:hAnsi="Arial" w:cs="Arial"/>
          <w:color w:val="000000"/>
          <w:sz w:val="22"/>
          <w:szCs w:val="22"/>
          <w:shd w:val="clear" w:color="auto" w:fill="auto"/>
          <w:lang w:val="el-GR"/>
        </w:rPr>
        <w:t>3</w:t>
      </w:r>
      <w:r w:rsidR="00CF0B94" w:rsidRPr="002562F9">
        <w:rPr>
          <w:rStyle w:val="CSIchar"/>
          <w:rFonts w:ascii="Arial" w:hAnsi="Arial" w:cs="Arial"/>
          <w:color w:val="000000"/>
          <w:sz w:val="22"/>
          <w:szCs w:val="22"/>
          <w:shd w:val="clear" w:color="auto" w:fill="auto"/>
          <w:lang w:val="el-GR"/>
        </w:rPr>
        <w:t>-</w:t>
      </w:r>
      <w:r w:rsidR="00CF0B94" w:rsidRPr="00CF0B94">
        <w:rPr>
          <w:rStyle w:val="CSIchar"/>
          <w:rFonts w:ascii="Arial" w:hAnsi="Arial" w:cs="Arial"/>
          <w:color w:val="000000"/>
          <w:sz w:val="22"/>
          <w:szCs w:val="22"/>
          <w:shd w:val="clear" w:color="auto" w:fill="auto"/>
          <w:lang w:val="el-GR"/>
        </w:rPr>
        <w:t>6</w:t>
      </w:r>
      <w:r w:rsidR="00CF0B94" w:rsidRPr="002562F9">
        <w:rPr>
          <w:rStyle w:val="CSIchar"/>
          <w:rFonts w:ascii="Arial" w:hAnsi="Arial" w:cs="Arial"/>
          <w:color w:val="000000"/>
          <w:sz w:val="22"/>
          <w:szCs w:val="22"/>
          <w:shd w:val="clear" w:color="auto" w:fill="auto"/>
          <w:lang w:val="el-GR"/>
        </w:rPr>
        <w:t xml:space="preserve"> </w:t>
      </w:r>
      <w:r w:rsidR="00CF0B94" w:rsidRPr="002562F9">
        <w:rPr>
          <w:rStyle w:val="CSIchar"/>
          <w:rFonts w:ascii="Arial" w:hAnsi="Arial" w:cs="Arial"/>
          <w:color w:val="000000"/>
          <w:sz w:val="22"/>
          <w:szCs w:val="22"/>
          <w:shd w:val="clear" w:color="auto" w:fill="auto"/>
        </w:rPr>
        <w:t>ml</w:t>
      </w:r>
      <w:r w:rsidR="00CF0B94" w:rsidRPr="002562F9">
        <w:rPr>
          <w:rStyle w:val="CSIchar"/>
          <w:rFonts w:ascii="Arial" w:hAnsi="Arial" w:cs="Arial"/>
          <w:color w:val="000000"/>
          <w:sz w:val="22"/>
          <w:szCs w:val="22"/>
          <w:shd w:val="clear" w:color="auto" w:fill="auto"/>
          <w:lang w:val="el-GR"/>
        </w:rPr>
        <w:t>/</w:t>
      </w:r>
      <w:r w:rsidR="00CF0B94" w:rsidRPr="002562F9">
        <w:rPr>
          <w:rStyle w:val="CSIchar"/>
          <w:rFonts w:ascii="Arial" w:hAnsi="Arial" w:cs="Arial"/>
          <w:color w:val="000000"/>
          <w:sz w:val="22"/>
          <w:szCs w:val="22"/>
          <w:shd w:val="clear" w:color="auto" w:fill="auto"/>
        </w:rPr>
        <w:t>min</w:t>
      </w:r>
      <w:r w:rsidR="00CF0B94" w:rsidRPr="002562F9">
        <w:rPr>
          <w:rStyle w:val="CSIchar"/>
          <w:rFonts w:ascii="Arial" w:hAnsi="Arial" w:cs="Arial"/>
          <w:color w:val="000000"/>
          <w:sz w:val="22"/>
          <w:szCs w:val="22"/>
          <w:shd w:val="clear" w:color="auto" w:fill="auto"/>
          <w:lang w:val="el-GR"/>
        </w:rPr>
        <w:t xml:space="preserve">) </w:t>
      </w:r>
      <w:r w:rsidR="00CF0B94">
        <w:rPr>
          <w:rStyle w:val="CSIchar"/>
          <w:rFonts w:ascii="Arial" w:hAnsi="Arial" w:cs="Arial"/>
          <w:color w:val="000000"/>
          <w:sz w:val="22"/>
          <w:szCs w:val="22"/>
          <w:shd w:val="clear" w:color="auto" w:fill="auto"/>
          <w:lang w:val="el-GR"/>
        </w:rPr>
        <w:t xml:space="preserve">σε αιμοκάθαρση, </w:t>
      </w:r>
      <w:r w:rsidR="00CF0B94" w:rsidRPr="002562F9">
        <w:rPr>
          <w:rStyle w:val="CSIchar"/>
          <w:rFonts w:ascii="Arial" w:hAnsi="Arial" w:cs="Arial"/>
          <w:color w:val="000000"/>
          <w:sz w:val="22"/>
          <w:szCs w:val="22"/>
          <w:shd w:val="clear" w:color="auto" w:fill="auto"/>
          <w:lang w:val="el-GR"/>
        </w:rPr>
        <w:t xml:space="preserve">τόσο η μέση </w:t>
      </w:r>
      <w:r w:rsidR="00CF0B94" w:rsidRPr="002562F9">
        <w:rPr>
          <w:rStyle w:val="CSIchar"/>
          <w:rFonts w:ascii="Arial" w:hAnsi="Arial" w:cs="Arial"/>
          <w:color w:val="000000"/>
          <w:sz w:val="22"/>
          <w:szCs w:val="22"/>
          <w:shd w:val="clear" w:color="auto" w:fill="auto"/>
        </w:rPr>
        <w:t>AUC</w:t>
      </w:r>
      <w:r w:rsidR="00CF0B94" w:rsidRPr="002562F9">
        <w:rPr>
          <w:rStyle w:val="CSIchar"/>
          <w:rFonts w:ascii="Arial" w:hAnsi="Arial" w:cs="Arial"/>
          <w:color w:val="000000"/>
          <w:sz w:val="22"/>
          <w:szCs w:val="22"/>
          <w:shd w:val="clear" w:color="auto" w:fill="auto"/>
          <w:lang w:val="el-GR"/>
        </w:rPr>
        <w:t xml:space="preserve"> όσο και ο χρόνος ημίσειας ζωής, αυξήθηκαν κατά 6</w:t>
      </w:r>
      <w:r w:rsidR="00CF0B94">
        <w:rPr>
          <w:rStyle w:val="CSIchar"/>
          <w:rFonts w:ascii="Arial" w:hAnsi="Arial" w:cs="Arial"/>
          <w:color w:val="000000"/>
          <w:sz w:val="22"/>
          <w:szCs w:val="22"/>
          <w:shd w:val="clear" w:color="auto" w:fill="auto"/>
          <w:lang w:val="el-GR"/>
        </w:rPr>
        <w:t>2</w:t>
      </w:r>
      <w:r w:rsidR="00CF0B94" w:rsidRPr="002562F9">
        <w:rPr>
          <w:rStyle w:val="CSIchar"/>
          <w:rFonts w:ascii="Arial" w:hAnsi="Arial" w:cs="Arial"/>
          <w:color w:val="000000"/>
          <w:sz w:val="22"/>
          <w:szCs w:val="22"/>
          <w:shd w:val="clear" w:color="auto" w:fill="auto"/>
          <w:lang w:val="el-GR"/>
        </w:rPr>
        <w:t xml:space="preserve"> και </w:t>
      </w:r>
      <w:r w:rsidR="00CF0B94">
        <w:rPr>
          <w:rStyle w:val="CSIchar"/>
          <w:rFonts w:ascii="Arial" w:hAnsi="Arial" w:cs="Arial"/>
          <w:color w:val="000000"/>
          <w:sz w:val="22"/>
          <w:szCs w:val="22"/>
          <w:shd w:val="clear" w:color="auto" w:fill="auto"/>
          <w:lang w:val="el-GR"/>
        </w:rPr>
        <w:t>65</w:t>
      </w:r>
      <w:r w:rsidR="00CF0B94" w:rsidRPr="002562F9">
        <w:rPr>
          <w:rStyle w:val="CSIchar"/>
          <w:rFonts w:ascii="Arial" w:hAnsi="Arial" w:cs="Arial"/>
          <w:color w:val="000000"/>
          <w:sz w:val="22"/>
          <w:szCs w:val="22"/>
          <w:shd w:val="clear" w:color="auto" w:fill="auto"/>
          <w:lang w:val="el-GR"/>
        </w:rPr>
        <w:t xml:space="preserve">% αντίστοιχα, συγκριτικά με υγιείς εθελοντές. Η κάθαρση στο πλάσμα σε ασθενείς </w:t>
      </w:r>
      <w:r w:rsidR="00CF0B94">
        <w:rPr>
          <w:rStyle w:val="CSIchar"/>
          <w:rFonts w:ascii="Arial" w:hAnsi="Arial" w:cs="Arial"/>
          <w:color w:val="000000"/>
          <w:sz w:val="22"/>
          <w:szCs w:val="22"/>
          <w:shd w:val="clear" w:color="auto" w:fill="auto"/>
          <w:lang w:val="el-GR"/>
        </w:rPr>
        <w:t xml:space="preserve">σε αιμοκάθαρση </w:t>
      </w:r>
      <w:r w:rsidR="00CF0B94" w:rsidRPr="002562F9">
        <w:rPr>
          <w:rStyle w:val="CSIchar"/>
          <w:rFonts w:ascii="Arial" w:hAnsi="Arial" w:cs="Arial"/>
          <w:color w:val="000000"/>
          <w:sz w:val="22"/>
          <w:szCs w:val="22"/>
          <w:shd w:val="clear" w:color="auto" w:fill="auto"/>
          <w:lang w:val="el-GR"/>
        </w:rPr>
        <w:t>με σοβαρή νεφρική ανεπάρκεια</w:t>
      </w:r>
      <w:r w:rsidR="00CF0B94">
        <w:rPr>
          <w:rStyle w:val="CSIchar"/>
          <w:rFonts w:ascii="Arial" w:hAnsi="Arial" w:cs="Arial"/>
          <w:color w:val="000000"/>
          <w:sz w:val="22"/>
          <w:szCs w:val="22"/>
          <w:shd w:val="clear" w:color="auto" w:fill="auto"/>
          <w:lang w:val="el-GR"/>
        </w:rPr>
        <w:t>,</w:t>
      </w:r>
      <w:r w:rsidR="00CF0B94" w:rsidRPr="002562F9">
        <w:rPr>
          <w:rStyle w:val="CSIchar"/>
          <w:rFonts w:ascii="Arial" w:hAnsi="Arial" w:cs="Arial"/>
          <w:color w:val="000000"/>
          <w:sz w:val="22"/>
          <w:szCs w:val="22"/>
          <w:shd w:val="clear" w:color="auto" w:fill="auto"/>
          <w:lang w:val="el-GR"/>
        </w:rPr>
        <w:t xml:space="preserve"> μειώθηκε στο </w:t>
      </w:r>
      <w:r w:rsidR="00CF0B94">
        <w:rPr>
          <w:rStyle w:val="CSIchar"/>
          <w:rFonts w:ascii="Arial" w:hAnsi="Arial" w:cs="Arial"/>
          <w:color w:val="000000"/>
          <w:sz w:val="22"/>
          <w:szCs w:val="22"/>
          <w:shd w:val="clear" w:color="auto" w:fill="auto"/>
          <w:lang w:val="el-GR"/>
        </w:rPr>
        <w:t>67</w:t>
      </w:r>
      <w:r w:rsidR="00CF0B94" w:rsidRPr="002562F9">
        <w:rPr>
          <w:rStyle w:val="CSIchar"/>
          <w:rFonts w:ascii="Arial" w:hAnsi="Arial" w:cs="Arial"/>
          <w:color w:val="000000"/>
          <w:sz w:val="22"/>
          <w:szCs w:val="22"/>
          <w:shd w:val="clear" w:color="auto" w:fill="auto"/>
          <w:lang w:val="el-GR"/>
        </w:rPr>
        <w:t>% αυτής που παρατηρήθηκε σε ασθενείς με φυσιολογική νεφρική λειτουργία</w:t>
      </w:r>
      <w:r w:rsidR="00CF0B94">
        <w:rPr>
          <w:rStyle w:val="CSIchar"/>
          <w:rFonts w:ascii="Arial" w:hAnsi="Arial" w:cs="Arial"/>
          <w:color w:val="000000"/>
          <w:sz w:val="22"/>
          <w:szCs w:val="22"/>
          <w:shd w:val="clear" w:color="auto" w:fill="auto"/>
          <w:lang w:val="el-GR"/>
        </w:rPr>
        <w:t xml:space="preserve"> (βλέπε παραγράφους 4.2 και 4.4).</w:t>
      </w:r>
    </w:p>
    <w:p w:rsidR="001A0274" w:rsidRPr="002562F9" w:rsidRDefault="001A0274"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5.3 </w:t>
      </w:r>
      <w:r w:rsidR="001A0274" w:rsidRPr="002562F9">
        <w:rPr>
          <w:rFonts w:ascii="Arial" w:hAnsi="Arial"/>
          <w:b/>
          <w:color w:val="000000"/>
          <w:sz w:val="22"/>
          <w:lang w:val="el-GR"/>
        </w:rPr>
        <w:tab/>
      </w:r>
      <w:r w:rsidRPr="002562F9">
        <w:rPr>
          <w:rFonts w:ascii="Arial" w:hAnsi="Arial"/>
          <w:b/>
          <w:color w:val="000000"/>
          <w:sz w:val="22"/>
          <w:lang w:val="el-GR"/>
        </w:rPr>
        <w:t>Προκλινικά δεδομένα για την ασφάλεια</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Δεν υπάρχουν προκλινικά δεδομένα που να ενδιαφέρουν τον γιατρό επί πλέον αυτών που ήδη περιλαμβάνονται στις συνταγογραφικές πληροφορίες.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6. </w:t>
      </w:r>
      <w:r w:rsidR="001A0274" w:rsidRPr="002562F9">
        <w:rPr>
          <w:rFonts w:ascii="Arial" w:hAnsi="Arial"/>
          <w:b/>
          <w:color w:val="000000"/>
          <w:sz w:val="22"/>
          <w:lang w:val="el-GR"/>
        </w:rPr>
        <w:tab/>
      </w:r>
      <w:r w:rsidR="006C76E2" w:rsidRPr="002562F9">
        <w:rPr>
          <w:rFonts w:ascii="Arial" w:hAnsi="Arial"/>
          <w:b/>
          <w:color w:val="000000"/>
          <w:sz w:val="22"/>
          <w:lang w:val="el-GR"/>
        </w:rPr>
        <w:tab/>
      </w:r>
      <w:r w:rsidRPr="002562F9">
        <w:rPr>
          <w:rFonts w:ascii="Arial" w:hAnsi="Arial"/>
          <w:b/>
          <w:color w:val="000000"/>
          <w:sz w:val="22"/>
          <w:lang w:val="el-GR"/>
        </w:rPr>
        <w:t xml:space="preserve">ΦΑΡΜΑΚΕΥΤΙΚΕΣ </w:t>
      </w:r>
      <w:r w:rsidR="00E1578B">
        <w:rPr>
          <w:rFonts w:ascii="Arial" w:hAnsi="Arial"/>
          <w:b/>
          <w:color w:val="000000"/>
          <w:sz w:val="22"/>
          <w:lang w:val="el-GR"/>
        </w:rPr>
        <w:t>ΠΛΗΡΟΦΟΡΙΕΣ</w:t>
      </w:r>
    </w:p>
    <w:p w:rsidR="0086736F" w:rsidRPr="002562F9" w:rsidRDefault="0086736F" w:rsidP="008179B8">
      <w:pPr>
        <w:ind w:left="360" w:hanging="360"/>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6.1 </w:t>
      </w:r>
      <w:r w:rsidR="001A0274" w:rsidRPr="002562F9">
        <w:rPr>
          <w:rFonts w:ascii="Arial" w:hAnsi="Arial"/>
          <w:b/>
          <w:color w:val="000000"/>
          <w:sz w:val="22"/>
          <w:lang w:val="el-GR"/>
        </w:rPr>
        <w:tab/>
      </w:r>
      <w:r w:rsidRPr="002562F9">
        <w:rPr>
          <w:rFonts w:ascii="Arial" w:hAnsi="Arial"/>
          <w:b/>
          <w:color w:val="000000"/>
          <w:sz w:val="22"/>
          <w:lang w:val="el-GR"/>
        </w:rPr>
        <w:t xml:space="preserve">Κατάλογος εκδόχων </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Βλ</w:t>
      </w:r>
      <w:r w:rsidR="00C74350" w:rsidRPr="002562F9">
        <w:rPr>
          <w:rFonts w:ascii="Arial" w:hAnsi="Arial"/>
          <w:color w:val="000000"/>
          <w:sz w:val="22"/>
          <w:lang w:val="el-GR"/>
        </w:rPr>
        <w:t>έπε</w:t>
      </w:r>
      <w:r w:rsidRPr="002562F9">
        <w:rPr>
          <w:rFonts w:ascii="Arial" w:hAnsi="Arial"/>
          <w:color w:val="000000"/>
          <w:sz w:val="22"/>
          <w:lang w:val="el-GR"/>
        </w:rPr>
        <w:t xml:space="preserve"> </w:t>
      </w:r>
      <w:r w:rsidR="003B7D13" w:rsidRPr="002562F9">
        <w:rPr>
          <w:rFonts w:ascii="Arial" w:hAnsi="Arial"/>
          <w:color w:val="000000"/>
          <w:sz w:val="22"/>
          <w:lang w:val="el-GR"/>
        </w:rPr>
        <w:t xml:space="preserve">παράγραφο </w:t>
      </w:r>
      <w:r w:rsidRPr="002562F9">
        <w:rPr>
          <w:rFonts w:ascii="Arial" w:hAnsi="Arial"/>
          <w:color w:val="000000"/>
          <w:sz w:val="22"/>
          <w:lang w:val="el-GR"/>
        </w:rPr>
        <w:t>2, Ποιοτική και Ποσοτική Σύνθεση</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lastRenderedPageBreak/>
        <w:t xml:space="preserve">6.2 </w:t>
      </w:r>
      <w:r w:rsidR="001A0274" w:rsidRPr="002562F9">
        <w:rPr>
          <w:rFonts w:ascii="Arial" w:hAnsi="Arial"/>
          <w:b/>
          <w:color w:val="000000"/>
          <w:sz w:val="22"/>
          <w:lang w:val="el-GR"/>
        </w:rPr>
        <w:tab/>
      </w:r>
      <w:r w:rsidRPr="002562F9">
        <w:rPr>
          <w:rFonts w:ascii="Arial" w:hAnsi="Arial"/>
          <w:b/>
          <w:color w:val="000000"/>
          <w:sz w:val="22"/>
          <w:lang w:val="el-GR"/>
        </w:rPr>
        <w:t>Ασυμβατότητες</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Να μην αναμιγνύεται με άλλα παρασκευάσματα.</w:t>
      </w: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6.3 </w:t>
      </w:r>
      <w:r w:rsidR="001A0274" w:rsidRPr="002562F9">
        <w:rPr>
          <w:rFonts w:ascii="Arial" w:hAnsi="Arial"/>
          <w:b/>
          <w:color w:val="000000"/>
          <w:sz w:val="22"/>
          <w:lang w:val="el-GR"/>
        </w:rPr>
        <w:tab/>
      </w:r>
      <w:r w:rsidRPr="002562F9">
        <w:rPr>
          <w:rFonts w:ascii="Arial" w:hAnsi="Arial"/>
          <w:b/>
          <w:color w:val="000000"/>
          <w:sz w:val="22"/>
          <w:lang w:val="el-GR"/>
        </w:rPr>
        <w:t>Διάρκεια ζωής</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3 χρόνια</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b/>
          <w:color w:val="000000"/>
          <w:sz w:val="22"/>
          <w:lang w:val="el-GR"/>
        </w:rPr>
        <w:t xml:space="preserve">6.4 </w:t>
      </w:r>
      <w:r w:rsidR="001A0274" w:rsidRPr="002562F9">
        <w:rPr>
          <w:rFonts w:ascii="Arial" w:hAnsi="Arial"/>
          <w:b/>
          <w:color w:val="000000"/>
          <w:sz w:val="22"/>
          <w:lang w:val="el-GR"/>
        </w:rPr>
        <w:tab/>
      </w:r>
      <w:r w:rsidRPr="002562F9">
        <w:rPr>
          <w:rFonts w:ascii="Arial" w:hAnsi="Arial"/>
          <w:b/>
          <w:color w:val="000000"/>
          <w:sz w:val="22"/>
          <w:lang w:val="el-GR"/>
        </w:rPr>
        <w:t>Ιδιαίτερες προφυλάξεις κατά τη φύλαξη του προϊόντος</w:t>
      </w:r>
    </w:p>
    <w:p w:rsidR="0086736F" w:rsidRPr="002562F9" w:rsidRDefault="0086736F" w:rsidP="008179B8">
      <w:pPr>
        <w:jc w:val="both"/>
        <w:rPr>
          <w:rFonts w:ascii="Arial" w:hAnsi="Arial"/>
          <w:b/>
          <w:color w:val="000000"/>
          <w:sz w:val="22"/>
          <w:lang w:val="el-GR"/>
        </w:rPr>
      </w:pPr>
    </w:p>
    <w:p w:rsidR="0086736F" w:rsidRPr="002562F9" w:rsidRDefault="005C4E4B" w:rsidP="008179B8">
      <w:pPr>
        <w:jc w:val="both"/>
        <w:rPr>
          <w:rFonts w:ascii="Arial" w:hAnsi="Arial"/>
          <w:color w:val="000000"/>
          <w:sz w:val="22"/>
          <w:lang w:val="el-GR"/>
        </w:rPr>
      </w:pPr>
      <w:r>
        <w:rPr>
          <w:rFonts w:ascii="Arial" w:hAnsi="Arial"/>
          <w:color w:val="000000"/>
          <w:sz w:val="22"/>
          <w:lang w:val="el-GR"/>
        </w:rPr>
        <w:t>Μην καταψύχεται</w:t>
      </w:r>
      <w:r w:rsidR="0086736F" w:rsidRPr="002562F9">
        <w:rPr>
          <w:rFonts w:ascii="Arial" w:hAnsi="Arial"/>
          <w:color w:val="000000"/>
          <w:sz w:val="22"/>
          <w:lang w:val="el-GR"/>
        </w:rPr>
        <w:t xml:space="preserve">. Διατηρείται σε θερμοκρασία κάτω των </w:t>
      </w:r>
      <w:r w:rsidR="00EE3BC7" w:rsidRPr="002562F9">
        <w:rPr>
          <w:rFonts w:ascii="Arial" w:hAnsi="Arial"/>
          <w:color w:val="000000"/>
          <w:sz w:val="22"/>
          <w:lang w:val="el-GR"/>
        </w:rPr>
        <w:t>25</w:t>
      </w:r>
      <w:r w:rsidR="0086736F" w:rsidRPr="002562F9">
        <w:rPr>
          <w:rFonts w:ascii="Arial" w:hAnsi="Arial"/>
          <w:color w:val="000000"/>
          <w:sz w:val="22"/>
        </w:rPr>
        <w:sym w:font="Symbol" w:char="F0B0"/>
      </w:r>
      <w:r w:rsidR="0086736F" w:rsidRPr="002562F9">
        <w:rPr>
          <w:rFonts w:ascii="Arial" w:hAnsi="Arial"/>
          <w:color w:val="000000"/>
          <w:sz w:val="22"/>
        </w:rPr>
        <w:t>C</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6.5 </w:t>
      </w:r>
      <w:r w:rsidR="001A0274" w:rsidRPr="002562F9">
        <w:rPr>
          <w:rFonts w:ascii="Arial" w:hAnsi="Arial"/>
          <w:b/>
          <w:color w:val="000000"/>
          <w:sz w:val="22"/>
          <w:lang w:val="el-GR"/>
        </w:rPr>
        <w:tab/>
      </w:r>
      <w:r w:rsidRPr="002562F9">
        <w:rPr>
          <w:rFonts w:ascii="Arial" w:hAnsi="Arial"/>
          <w:b/>
          <w:color w:val="000000"/>
          <w:sz w:val="22"/>
          <w:lang w:val="el-GR"/>
        </w:rPr>
        <w:t>Φύση και συστατικά του περιέκτη</w:t>
      </w:r>
    </w:p>
    <w:p w:rsidR="0086736F" w:rsidRPr="002562F9" w:rsidRDefault="0086736F" w:rsidP="008179B8">
      <w:pPr>
        <w:jc w:val="both"/>
        <w:rPr>
          <w:rFonts w:ascii="Arial" w:hAnsi="Arial"/>
          <w:b/>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Χαρτονένιο κουτί που περιέχει 2 γυάλινες προγεμισμένες σύριγγες.</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b/>
          <w:color w:val="000000"/>
          <w:sz w:val="22"/>
          <w:lang w:val="el-GR"/>
        </w:rPr>
      </w:pPr>
      <w:r w:rsidRPr="002562F9">
        <w:rPr>
          <w:rFonts w:ascii="Arial" w:hAnsi="Arial"/>
          <w:b/>
          <w:color w:val="000000"/>
          <w:sz w:val="22"/>
          <w:lang w:val="el-GR"/>
        </w:rPr>
        <w:t xml:space="preserve">6.6 </w:t>
      </w:r>
      <w:r w:rsidR="001A0274" w:rsidRPr="002562F9">
        <w:rPr>
          <w:rFonts w:ascii="Arial" w:hAnsi="Arial"/>
          <w:b/>
          <w:color w:val="000000"/>
          <w:sz w:val="22"/>
          <w:lang w:val="el-GR"/>
        </w:rPr>
        <w:tab/>
      </w:r>
      <w:r w:rsidRPr="002562F9">
        <w:rPr>
          <w:rFonts w:ascii="Arial" w:hAnsi="Arial"/>
          <w:b/>
          <w:color w:val="000000"/>
          <w:sz w:val="22"/>
          <w:lang w:val="el-GR"/>
        </w:rPr>
        <w:t>Οδηγίες χρήσης και χειρισμού</w:t>
      </w:r>
    </w:p>
    <w:p w:rsidR="0086736F" w:rsidRPr="002562F9" w:rsidRDefault="0086736F" w:rsidP="008179B8">
      <w:pPr>
        <w:jc w:val="both"/>
        <w:rPr>
          <w:rFonts w:ascii="Arial" w:hAnsi="Arial"/>
          <w:b/>
          <w:i/>
          <w:color w:val="000000"/>
          <w:sz w:val="22"/>
          <w:lang w:val="el-GR"/>
        </w:rPr>
      </w:pPr>
    </w:p>
    <w:p w:rsidR="0086736F" w:rsidRPr="002562F9" w:rsidRDefault="0086736F" w:rsidP="008179B8">
      <w:pPr>
        <w:jc w:val="both"/>
        <w:rPr>
          <w:rFonts w:ascii="Arial" w:hAnsi="Arial"/>
          <w:color w:val="000000"/>
          <w:sz w:val="22"/>
          <w:lang w:val="el-GR"/>
        </w:rPr>
      </w:pPr>
      <w:r w:rsidRPr="002562F9">
        <w:rPr>
          <w:rFonts w:ascii="Arial" w:hAnsi="Arial"/>
          <w:color w:val="000000"/>
          <w:sz w:val="22"/>
          <w:lang w:val="el-GR"/>
        </w:rPr>
        <w:t>Βλ</w:t>
      </w:r>
      <w:r w:rsidR="00471F43" w:rsidRPr="002562F9">
        <w:rPr>
          <w:rFonts w:ascii="Arial" w:hAnsi="Arial"/>
          <w:color w:val="000000"/>
          <w:sz w:val="22"/>
          <w:lang w:val="el-GR"/>
        </w:rPr>
        <w:t>έπε</w:t>
      </w:r>
      <w:r w:rsidRPr="002562F9">
        <w:rPr>
          <w:rFonts w:ascii="Arial" w:hAnsi="Arial"/>
          <w:color w:val="000000"/>
          <w:sz w:val="22"/>
          <w:lang w:val="el-GR"/>
        </w:rPr>
        <w:t xml:space="preserve"> </w:t>
      </w:r>
      <w:r w:rsidR="003B7D13" w:rsidRPr="002562F9">
        <w:rPr>
          <w:rFonts w:ascii="Arial" w:hAnsi="Arial"/>
          <w:color w:val="000000"/>
          <w:sz w:val="22"/>
          <w:lang w:val="el-GR"/>
        </w:rPr>
        <w:t xml:space="preserve">παράγραφο </w:t>
      </w:r>
      <w:r w:rsidRPr="002562F9">
        <w:rPr>
          <w:rFonts w:ascii="Arial" w:hAnsi="Arial"/>
          <w:color w:val="000000"/>
          <w:sz w:val="22"/>
          <w:lang w:val="el-GR"/>
        </w:rPr>
        <w:t>4.2, Δοσολογία και Χορήγηση.</w:t>
      </w:r>
    </w:p>
    <w:p w:rsidR="0086736F" w:rsidRPr="002562F9" w:rsidRDefault="0086736F" w:rsidP="008179B8">
      <w:pPr>
        <w:jc w:val="both"/>
        <w:rPr>
          <w:rFonts w:ascii="Arial" w:hAnsi="Arial"/>
          <w:color w:val="000000"/>
          <w:sz w:val="22"/>
          <w:lang w:val="el-GR"/>
        </w:rPr>
      </w:pPr>
    </w:p>
    <w:p w:rsidR="0086736F" w:rsidRPr="002562F9" w:rsidRDefault="0086736F" w:rsidP="008179B8">
      <w:pPr>
        <w:jc w:val="both"/>
        <w:rPr>
          <w:rFonts w:ascii="Arial" w:hAnsi="Arial"/>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7. </w:t>
      </w:r>
      <w:r w:rsidR="006C76E2" w:rsidRPr="002562F9">
        <w:rPr>
          <w:rFonts w:ascii="Arial" w:hAnsi="Arial"/>
          <w:b/>
          <w:color w:val="000000"/>
          <w:sz w:val="22"/>
          <w:lang w:val="el-GR"/>
        </w:rPr>
        <w:tab/>
      </w:r>
      <w:r w:rsidR="006C76E2" w:rsidRPr="002562F9">
        <w:rPr>
          <w:rFonts w:ascii="Arial" w:hAnsi="Arial"/>
          <w:b/>
          <w:color w:val="000000"/>
          <w:sz w:val="22"/>
          <w:lang w:val="el-GR"/>
        </w:rPr>
        <w:tab/>
      </w:r>
      <w:r w:rsidRPr="002562F9">
        <w:rPr>
          <w:rFonts w:ascii="Arial" w:hAnsi="Arial"/>
          <w:b/>
          <w:color w:val="000000"/>
          <w:sz w:val="22"/>
          <w:lang w:val="el-GR"/>
        </w:rPr>
        <w:t>ΚΑΤΟΧΟΣ ΤΗΣ ΑΔΕΙΑΣ ΚΥΚΛΟΦΟΡΙΑΣ</w:t>
      </w:r>
    </w:p>
    <w:p w:rsidR="0086736F" w:rsidRPr="002562F9" w:rsidRDefault="0086736F" w:rsidP="008179B8">
      <w:pPr>
        <w:ind w:left="360" w:hanging="360"/>
        <w:jc w:val="both"/>
        <w:rPr>
          <w:rFonts w:ascii="Arial" w:hAnsi="Arial"/>
          <w:b/>
          <w:color w:val="000000"/>
          <w:sz w:val="22"/>
          <w:lang w:val="el-GR"/>
        </w:rPr>
      </w:pPr>
    </w:p>
    <w:p w:rsidR="001A1B42" w:rsidRPr="002562F9" w:rsidRDefault="001A1B42" w:rsidP="008179B8">
      <w:pPr>
        <w:jc w:val="both"/>
        <w:rPr>
          <w:rFonts w:ascii="Arial" w:hAnsi="Arial"/>
          <w:color w:val="000000"/>
          <w:sz w:val="22"/>
          <w:lang w:val="el-GR"/>
        </w:rPr>
      </w:pPr>
      <w:r w:rsidRPr="002562F9">
        <w:rPr>
          <w:rFonts w:ascii="Arial" w:hAnsi="Arial"/>
          <w:color w:val="000000"/>
          <w:sz w:val="22"/>
          <w:lang w:val="el-GR"/>
        </w:rPr>
        <w:t>Δικαιούχος σήματος:</w:t>
      </w:r>
      <w:r w:rsidRPr="002562F9">
        <w:rPr>
          <w:rFonts w:ascii="Arial" w:hAnsi="Arial"/>
          <w:color w:val="000000"/>
          <w:sz w:val="22"/>
          <w:lang w:val="el-GR"/>
        </w:rPr>
        <w:tab/>
      </w:r>
      <w:r w:rsidRPr="002562F9">
        <w:rPr>
          <w:rFonts w:ascii="Arial" w:hAnsi="Arial"/>
          <w:color w:val="000000"/>
          <w:sz w:val="22"/>
          <w:lang w:val="en-US"/>
        </w:rPr>
        <w:t>Sanofi</w:t>
      </w:r>
      <w:r w:rsidRPr="002562F9">
        <w:rPr>
          <w:rFonts w:ascii="Arial" w:hAnsi="Arial"/>
          <w:color w:val="000000"/>
          <w:sz w:val="22"/>
          <w:lang w:val="el-GR"/>
        </w:rPr>
        <w:t>-</w:t>
      </w:r>
      <w:r w:rsidRPr="002562F9">
        <w:rPr>
          <w:rFonts w:ascii="Arial" w:hAnsi="Arial"/>
          <w:color w:val="000000"/>
          <w:sz w:val="22"/>
          <w:lang w:val="en-US"/>
        </w:rPr>
        <w:t>Synthelabo</w:t>
      </w:r>
      <w:r w:rsidRPr="002562F9">
        <w:rPr>
          <w:rFonts w:ascii="Arial" w:hAnsi="Arial"/>
          <w:color w:val="000000"/>
          <w:sz w:val="22"/>
          <w:lang w:val="el-GR"/>
        </w:rPr>
        <w:t xml:space="preserve"> </w:t>
      </w:r>
      <w:r w:rsidRPr="002562F9">
        <w:rPr>
          <w:rFonts w:ascii="Arial" w:hAnsi="Arial"/>
          <w:color w:val="000000"/>
          <w:sz w:val="22"/>
          <w:lang w:val="en-US"/>
        </w:rPr>
        <w:t>S</w:t>
      </w:r>
      <w:r w:rsidRPr="002562F9">
        <w:rPr>
          <w:rFonts w:ascii="Arial" w:hAnsi="Arial"/>
          <w:color w:val="000000"/>
          <w:sz w:val="22"/>
          <w:lang w:val="el-GR"/>
        </w:rPr>
        <w:t>.</w:t>
      </w:r>
      <w:r w:rsidRPr="002562F9">
        <w:rPr>
          <w:rFonts w:ascii="Arial" w:hAnsi="Arial"/>
          <w:color w:val="000000"/>
          <w:sz w:val="22"/>
          <w:lang w:val="en-US"/>
        </w:rPr>
        <w:t>A</w:t>
      </w:r>
      <w:r w:rsidRPr="002562F9">
        <w:rPr>
          <w:rFonts w:ascii="Arial" w:hAnsi="Arial"/>
          <w:color w:val="000000"/>
          <w:sz w:val="22"/>
          <w:lang w:val="el-GR"/>
        </w:rPr>
        <w:t xml:space="preserve">, </w:t>
      </w:r>
      <w:r w:rsidRPr="002562F9">
        <w:rPr>
          <w:rFonts w:ascii="Arial" w:hAnsi="Arial"/>
          <w:color w:val="000000"/>
          <w:sz w:val="22"/>
          <w:lang w:val="en-US"/>
        </w:rPr>
        <w:t>France</w:t>
      </w:r>
    </w:p>
    <w:p w:rsidR="001A1B42" w:rsidRPr="002562F9" w:rsidRDefault="001A1B42" w:rsidP="008179B8">
      <w:pPr>
        <w:jc w:val="both"/>
        <w:rPr>
          <w:rFonts w:ascii="Arial" w:hAnsi="Arial"/>
          <w:color w:val="000000"/>
          <w:sz w:val="22"/>
          <w:lang w:val="el-GR"/>
        </w:rPr>
      </w:pPr>
    </w:p>
    <w:p w:rsidR="00471F43" w:rsidRPr="002562F9" w:rsidRDefault="001A1B42" w:rsidP="008179B8">
      <w:pPr>
        <w:jc w:val="both"/>
        <w:rPr>
          <w:rFonts w:ascii="Arial" w:hAnsi="Arial"/>
          <w:color w:val="000000"/>
          <w:sz w:val="22"/>
          <w:lang w:val="el-GR"/>
        </w:rPr>
      </w:pPr>
      <w:r w:rsidRPr="002562F9">
        <w:rPr>
          <w:rFonts w:ascii="Arial" w:hAnsi="Arial"/>
          <w:color w:val="000000"/>
          <w:sz w:val="22"/>
          <w:lang w:val="el-GR"/>
        </w:rPr>
        <w:t>Υπέυθυνος κυκλοφορίας για την Ελλάδα:</w:t>
      </w:r>
      <w:r w:rsidRPr="002562F9">
        <w:rPr>
          <w:rFonts w:ascii="Arial" w:hAnsi="Arial"/>
          <w:color w:val="000000"/>
          <w:sz w:val="22"/>
          <w:lang w:val="el-GR"/>
        </w:rPr>
        <w:tab/>
      </w:r>
      <w:r w:rsidR="0086736F" w:rsidRPr="002562F9">
        <w:rPr>
          <w:rFonts w:ascii="Arial" w:hAnsi="Arial"/>
          <w:color w:val="000000"/>
          <w:sz w:val="22"/>
          <w:lang w:val="en-US"/>
        </w:rPr>
        <w:t>GlaxoSmithKline</w:t>
      </w:r>
      <w:r w:rsidR="0086736F" w:rsidRPr="002562F9">
        <w:rPr>
          <w:rFonts w:ascii="Arial" w:hAnsi="Arial"/>
          <w:color w:val="000000"/>
          <w:sz w:val="22"/>
          <w:lang w:val="el-GR"/>
        </w:rPr>
        <w:t xml:space="preserve"> α.ε.β.ε</w:t>
      </w:r>
    </w:p>
    <w:p w:rsidR="0086736F" w:rsidRPr="002562F9" w:rsidRDefault="0086736F" w:rsidP="008179B8">
      <w:pPr>
        <w:ind w:left="3600" w:firstLine="720"/>
        <w:jc w:val="both"/>
        <w:rPr>
          <w:rFonts w:ascii="Arial" w:hAnsi="Arial"/>
          <w:color w:val="000000"/>
          <w:sz w:val="22"/>
          <w:lang w:val="el-GR"/>
        </w:rPr>
      </w:pPr>
      <w:r w:rsidRPr="002562F9">
        <w:rPr>
          <w:rFonts w:ascii="Arial" w:hAnsi="Arial"/>
          <w:color w:val="000000"/>
          <w:sz w:val="22"/>
          <w:lang w:val="el-GR"/>
        </w:rPr>
        <w:t xml:space="preserve">Λεωφ. Κηφισίας 266, </w:t>
      </w:r>
    </w:p>
    <w:p w:rsidR="0086736F" w:rsidRPr="002562F9" w:rsidRDefault="0086736F" w:rsidP="008179B8">
      <w:pPr>
        <w:ind w:left="3600" w:firstLine="720"/>
        <w:jc w:val="both"/>
        <w:rPr>
          <w:rFonts w:ascii="Arial" w:hAnsi="Arial"/>
          <w:color w:val="000000"/>
          <w:sz w:val="22"/>
          <w:lang w:val="el-GR"/>
        </w:rPr>
      </w:pPr>
      <w:r w:rsidRPr="002562F9">
        <w:rPr>
          <w:rFonts w:ascii="Arial" w:hAnsi="Arial"/>
          <w:color w:val="000000"/>
          <w:sz w:val="22"/>
          <w:lang w:val="el-GR"/>
        </w:rPr>
        <w:t>152 32 Χαλάνδρι.</w:t>
      </w:r>
    </w:p>
    <w:p w:rsidR="0086736F" w:rsidRPr="002562F9" w:rsidRDefault="0086736F" w:rsidP="008179B8">
      <w:pPr>
        <w:ind w:left="3600" w:firstLine="720"/>
        <w:jc w:val="both"/>
        <w:rPr>
          <w:rFonts w:ascii="Arial" w:hAnsi="Arial"/>
          <w:color w:val="000000"/>
          <w:sz w:val="22"/>
          <w:lang w:val="el-GR"/>
        </w:rPr>
      </w:pPr>
      <w:r w:rsidRPr="002562F9">
        <w:rPr>
          <w:rFonts w:ascii="Arial" w:hAnsi="Arial"/>
          <w:color w:val="000000"/>
          <w:sz w:val="22"/>
          <w:lang w:val="el-GR"/>
        </w:rPr>
        <w:t>Τηλ. 210 6882100</w:t>
      </w: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360" w:hanging="360"/>
        <w:jc w:val="both"/>
        <w:rPr>
          <w:rFonts w:ascii="Arial" w:hAnsi="Arial"/>
          <w:b/>
          <w:color w:val="000000"/>
          <w:sz w:val="22"/>
          <w:lang w:val="el-GR"/>
        </w:rPr>
      </w:pPr>
      <w:r w:rsidRPr="002562F9">
        <w:rPr>
          <w:rFonts w:ascii="Arial" w:hAnsi="Arial"/>
          <w:b/>
          <w:color w:val="000000"/>
          <w:sz w:val="22"/>
          <w:lang w:val="el-GR"/>
        </w:rPr>
        <w:t xml:space="preserve">8. </w:t>
      </w:r>
      <w:r w:rsidR="001A0274" w:rsidRPr="002562F9">
        <w:rPr>
          <w:rFonts w:ascii="Arial" w:hAnsi="Arial"/>
          <w:b/>
          <w:color w:val="000000"/>
          <w:sz w:val="22"/>
          <w:lang w:val="el-GR"/>
        </w:rPr>
        <w:tab/>
      </w:r>
      <w:r w:rsidR="006C76E2" w:rsidRPr="002562F9">
        <w:rPr>
          <w:rFonts w:ascii="Arial" w:hAnsi="Arial"/>
          <w:b/>
          <w:color w:val="000000"/>
          <w:sz w:val="22"/>
          <w:lang w:val="el-GR"/>
        </w:rPr>
        <w:tab/>
      </w:r>
      <w:r w:rsidRPr="002562F9">
        <w:rPr>
          <w:rFonts w:ascii="Arial" w:hAnsi="Arial"/>
          <w:b/>
          <w:color w:val="000000"/>
          <w:sz w:val="22"/>
          <w:lang w:val="el-GR"/>
        </w:rPr>
        <w:t>ΑΡΙΘΜΟΣ ΑΔΕΙΑΣ ΚΥΚΛΟΦΟΡΙΑΣ</w:t>
      </w: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360" w:hanging="360"/>
        <w:jc w:val="both"/>
        <w:rPr>
          <w:rFonts w:ascii="Arial" w:hAnsi="Arial"/>
          <w:b/>
          <w:color w:val="000000"/>
          <w:sz w:val="22"/>
          <w:lang w:val="el-GR"/>
        </w:rPr>
      </w:pPr>
    </w:p>
    <w:p w:rsidR="0086736F" w:rsidRPr="002562F9" w:rsidRDefault="0086736F" w:rsidP="008179B8">
      <w:pPr>
        <w:ind w:left="142" w:hanging="142"/>
        <w:jc w:val="both"/>
        <w:rPr>
          <w:rFonts w:ascii="Arial" w:hAnsi="Arial"/>
          <w:b/>
          <w:color w:val="000000"/>
          <w:sz w:val="22"/>
          <w:lang w:val="el-GR"/>
        </w:rPr>
      </w:pPr>
      <w:r w:rsidRPr="002562F9">
        <w:rPr>
          <w:rFonts w:ascii="Arial" w:hAnsi="Arial"/>
          <w:b/>
          <w:color w:val="000000"/>
          <w:sz w:val="22"/>
          <w:lang w:val="el-GR"/>
        </w:rPr>
        <w:t xml:space="preserve">9. </w:t>
      </w:r>
      <w:r w:rsidR="001A0274" w:rsidRPr="002562F9">
        <w:rPr>
          <w:rFonts w:ascii="Arial" w:hAnsi="Arial"/>
          <w:b/>
          <w:color w:val="000000"/>
          <w:sz w:val="22"/>
          <w:lang w:val="el-GR"/>
        </w:rPr>
        <w:tab/>
      </w:r>
      <w:r w:rsidRPr="002562F9">
        <w:rPr>
          <w:rFonts w:ascii="Arial" w:hAnsi="Arial"/>
          <w:b/>
          <w:color w:val="000000"/>
          <w:sz w:val="22"/>
          <w:lang w:val="el-GR"/>
        </w:rPr>
        <w:t>ΗΜΕΡΟΜΗΝΙΑ ΠΡΩΤΗΣ ΕΓΚΡΙΣΗΣ / ΑΝΑΝΕΩΣΗΣ ΤΗΣ ΑΔΕΙΑΣ ΚΥΚΛΟΦΟΡΙΑΣ</w:t>
      </w:r>
    </w:p>
    <w:p w:rsidR="0086736F" w:rsidRPr="002562F9" w:rsidRDefault="0086736F" w:rsidP="008179B8">
      <w:pPr>
        <w:ind w:left="360" w:hanging="360"/>
        <w:jc w:val="both"/>
        <w:rPr>
          <w:rFonts w:ascii="Arial" w:hAnsi="Arial"/>
          <w:b/>
          <w:color w:val="000000"/>
          <w:sz w:val="22"/>
          <w:lang w:val="el-GR"/>
        </w:rPr>
      </w:pPr>
    </w:p>
    <w:p w:rsidR="0086736F" w:rsidRPr="00E1578B" w:rsidRDefault="00E1578B" w:rsidP="008179B8">
      <w:pPr>
        <w:ind w:left="360" w:hanging="360"/>
        <w:jc w:val="both"/>
        <w:rPr>
          <w:rFonts w:ascii="Arial" w:hAnsi="Arial"/>
          <w:color w:val="000000"/>
          <w:sz w:val="22"/>
          <w:lang w:val="el-GR"/>
        </w:rPr>
      </w:pPr>
      <w:r w:rsidRPr="00E1578B">
        <w:rPr>
          <w:rFonts w:ascii="Arial" w:hAnsi="Arial"/>
          <w:color w:val="000000"/>
          <w:sz w:val="22"/>
          <w:lang w:val="el-GR"/>
        </w:rPr>
        <w:t>24-10-1986</w:t>
      </w:r>
    </w:p>
    <w:p w:rsidR="00E1578B" w:rsidRDefault="00E1578B" w:rsidP="008179B8">
      <w:pPr>
        <w:ind w:left="360" w:hanging="360"/>
        <w:jc w:val="both"/>
        <w:rPr>
          <w:rFonts w:ascii="Arial" w:hAnsi="Arial"/>
          <w:color w:val="000000"/>
          <w:sz w:val="22"/>
          <w:lang w:val="el-GR"/>
        </w:rPr>
      </w:pPr>
    </w:p>
    <w:p w:rsidR="00B07692" w:rsidRPr="00E1578B" w:rsidRDefault="00B07692" w:rsidP="008179B8">
      <w:pPr>
        <w:ind w:left="360" w:hanging="360"/>
        <w:jc w:val="both"/>
        <w:rPr>
          <w:rFonts w:ascii="Arial" w:hAnsi="Arial"/>
          <w:color w:val="000000"/>
          <w:sz w:val="22"/>
          <w:lang w:val="el-GR"/>
        </w:rPr>
      </w:pPr>
    </w:p>
    <w:p w:rsidR="0086736F" w:rsidRDefault="0086736F" w:rsidP="008179B8">
      <w:pPr>
        <w:jc w:val="both"/>
        <w:rPr>
          <w:rFonts w:ascii="Arial" w:hAnsi="Arial"/>
          <w:b/>
          <w:color w:val="000000"/>
          <w:sz w:val="22"/>
          <w:lang w:val="en-US"/>
        </w:rPr>
      </w:pPr>
      <w:r w:rsidRPr="002562F9">
        <w:rPr>
          <w:rFonts w:ascii="Arial" w:hAnsi="Arial"/>
          <w:b/>
          <w:color w:val="000000"/>
          <w:sz w:val="22"/>
        </w:rPr>
        <w:t xml:space="preserve">10. </w:t>
      </w:r>
      <w:r w:rsidR="006C76E2" w:rsidRPr="002562F9">
        <w:rPr>
          <w:rFonts w:ascii="Arial" w:hAnsi="Arial"/>
          <w:b/>
          <w:color w:val="000000"/>
          <w:sz w:val="22"/>
        </w:rPr>
        <w:tab/>
      </w:r>
      <w:r w:rsidRPr="002562F9">
        <w:rPr>
          <w:rFonts w:ascii="Arial" w:hAnsi="Arial"/>
          <w:b/>
          <w:color w:val="000000"/>
          <w:sz w:val="22"/>
          <w:lang w:val="el-GR"/>
        </w:rPr>
        <w:t>ΗΜΕΡΟΜΗΝΙΑ</w:t>
      </w:r>
      <w:r w:rsidRPr="002562F9">
        <w:rPr>
          <w:rFonts w:ascii="Arial" w:hAnsi="Arial"/>
          <w:b/>
          <w:color w:val="000000"/>
          <w:sz w:val="22"/>
        </w:rPr>
        <w:t xml:space="preserve"> </w:t>
      </w:r>
      <w:r w:rsidRPr="002562F9">
        <w:rPr>
          <w:rFonts w:ascii="Arial" w:hAnsi="Arial"/>
          <w:b/>
          <w:color w:val="000000"/>
          <w:sz w:val="22"/>
          <w:lang w:val="el-GR"/>
        </w:rPr>
        <w:t>ΑΝΑΘΕΩΡΗΣΗΣ</w:t>
      </w:r>
      <w:r w:rsidRPr="002562F9">
        <w:rPr>
          <w:rFonts w:ascii="Arial" w:hAnsi="Arial"/>
          <w:b/>
          <w:color w:val="000000"/>
          <w:sz w:val="22"/>
        </w:rPr>
        <w:t xml:space="preserve"> </w:t>
      </w:r>
      <w:r w:rsidRPr="002562F9">
        <w:rPr>
          <w:rFonts w:ascii="Arial" w:hAnsi="Arial"/>
          <w:b/>
          <w:color w:val="000000"/>
          <w:sz w:val="22"/>
          <w:lang w:val="el-GR"/>
        </w:rPr>
        <w:t>ΤΟΥ</w:t>
      </w:r>
      <w:r w:rsidRPr="002562F9">
        <w:rPr>
          <w:rFonts w:ascii="Arial" w:hAnsi="Arial"/>
          <w:b/>
          <w:color w:val="000000"/>
          <w:sz w:val="22"/>
        </w:rPr>
        <w:t xml:space="preserve"> </w:t>
      </w:r>
      <w:r w:rsidRPr="002562F9">
        <w:rPr>
          <w:rFonts w:ascii="Arial" w:hAnsi="Arial"/>
          <w:b/>
          <w:color w:val="000000"/>
          <w:sz w:val="22"/>
          <w:lang w:val="el-GR"/>
        </w:rPr>
        <w:t>ΚΕΙΜΕΝΟΥ</w:t>
      </w:r>
    </w:p>
    <w:p w:rsidR="005B0695" w:rsidRPr="005B0695" w:rsidRDefault="005B0695" w:rsidP="008179B8">
      <w:pPr>
        <w:jc w:val="both"/>
        <w:rPr>
          <w:rFonts w:ascii="Arial" w:hAnsi="Arial"/>
          <w:color w:val="000000"/>
          <w:sz w:val="22"/>
          <w:lang w:val="en-US"/>
        </w:rPr>
      </w:pPr>
    </w:p>
    <w:p w:rsidR="005B0695" w:rsidRPr="005B0695" w:rsidRDefault="005B0695" w:rsidP="008179B8">
      <w:pPr>
        <w:jc w:val="both"/>
        <w:rPr>
          <w:rFonts w:ascii="Arial" w:hAnsi="Arial"/>
          <w:color w:val="000000"/>
          <w:sz w:val="22"/>
          <w:lang w:val="en-US"/>
        </w:rPr>
      </w:pPr>
    </w:p>
    <w:sectPr w:rsidR="005B0695" w:rsidRPr="005B0695">
      <w:headerReference w:type="even" r:id="rId7"/>
      <w:headerReference w:type="default" r:id="rId8"/>
      <w:footerReference w:type="even" r:id="rId9"/>
      <w:footerReference w:type="default" r:id="rId10"/>
      <w:pgSz w:w="11906" w:h="16838"/>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31" w:rsidRDefault="00820E31">
      <w:r>
        <w:separator/>
      </w:r>
    </w:p>
  </w:endnote>
  <w:endnote w:type="continuationSeparator" w:id="0">
    <w:p w:rsidR="00820E31" w:rsidRDefault="00820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4D" w:rsidRDefault="00BC2D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2D4D" w:rsidRDefault="00BC2D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4D" w:rsidRDefault="00BC2D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C3EA8">
      <w:rPr>
        <w:rStyle w:val="a7"/>
        <w:noProof/>
      </w:rPr>
      <w:t>11</w:t>
    </w:r>
    <w:r>
      <w:rPr>
        <w:rStyle w:val="a7"/>
      </w:rPr>
      <w:fldChar w:fldCharType="end"/>
    </w:r>
  </w:p>
  <w:p w:rsidR="00BC2D4D" w:rsidRDefault="00BC2D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31" w:rsidRDefault="00820E31">
      <w:r>
        <w:separator/>
      </w:r>
    </w:p>
  </w:footnote>
  <w:footnote w:type="continuationSeparator" w:id="0">
    <w:p w:rsidR="00820E31" w:rsidRDefault="00820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4D" w:rsidRDefault="00BC2D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C2D4D" w:rsidRDefault="00BC2D4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4D" w:rsidRDefault="00BC2D4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2AD006"/>
    <w:lvl w:ilvl="0">
      <w:start w:val="1"/>
      <w:numFmt w:val="decimal"/>
      <w:pStyle w:val="5"/>
      <w:lvlText w:val="%1."/>
      <w:lvlJc w:val="left"/>
      <w:pPr>
        <w:tabs>
          <w:tab w:val="num" w:pos="1492"/>
        </w:tabs>
        <w:ind w:left="1492" w:hanging="360"/>
      </w:pPr>
    </w:lvl>
  </w:abstractNum>
  <w:abstractNum w:abstractNumId="1">
    <w:nsid w:val="FFFFFF7D"/>
    <w:multiLevelType w:val="singleLevel"/>
    <w:tmpl w:val="9924619C"/>
    <w:lvl w:ilvl="0">
      <w:start w:val="1"/>
      <w:numFmt w:val="decimal"/>
      <w:pStyle w:val="4"/>
      <w:lvlText w:val="%1."/>
      <w:lvlJc w:val="left"/>
      <w:pPr>
        <w:tabs>
          <w:tab w:val="num" w:pos="1209"/>
        </w:tabs>
        <w:ind w:left="1209" w:hanging="360"/>
      </w:pPr>
    </w:lvl>
  </w:abstractNum>
  <w:abstractNum w:abstractNumId="2">
    <w:nsid w:val="FFFFFF7E"/>
    <w:multiLevelType w:val="singleLevel"/>
    <w:tmpl w:val="1DACC102"/>
    <w:lvl w:ilvl="0">
      <w:start w:val="1"/>
      <w:numFmt w:val="decimal"/>
      <w:pStyle w:val="3"/>
      <w:lvlText w:val="%1."/>
      <w:lvlJc w:val="left"/>
      <w:pPr>
        <w:tabs>
          <w:tab w:val="num" w:pos="926"/>
        </w:tabs>
        <w:ind w:left="926" w:hanging="360"/>
      </w:pPr>
    </w:lvl>
  </w:abstractNum>
  <w:abstractNum w:abstractNumId="3">
    <w:nsid w:val="FFFFFF7F"/>
    <w:multiLevelType w:val="singleLevel"/>
    <w:tmpl w:val="6738484C"/>
    <w:lvl w:ilvl="0">
      <w:start w:val="1"/>
      <w:numFmt w:val="decimal"/>
      <w:pStyle w:val="2"/>
      <w:lvlText w:val="%1."/>
      <w:lvlJc w:val="left"/>
      <w:pPr>
        <w:tabs>
          <w:tab w:val="num" w:pos="643"/>
        </w:tabs>
        <w:ind w:left="643" w:hanging="360"/>
      </w:pPr>
    </w:lvl>
  </w:abstractNum>
  <w:abstractNum w:abstractNumId="4">
    <w:nsid w:val="FFFFFF80"/>
    <w:multiLevelType w:val="singleLevel"/>
    <w:tmpl w:val="AED82E0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6B054B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54F6A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7226DE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5D2617A"/>
    <w:lvl w:ilvl="0">
      <w:start w:val="1"/>
      <w:numFmt w:val="decimal"/>
      <w:pStyle w:val="a"/>
      <w:lvlText w:val="%1."/>
      <w:lvlJc w:val="left"/>
      <w:pPr>
        <w:tabs>
          <w:tab w:val="num" w:pos="360"/>
        </w:tabs>
        <w:ind w:left="360" w:hanging="360"/>
      </w:pPr>
    </w:lvl>
  </w:abstractNum>
  <w:abstractNum w:abstractNumId="9">
    <w:nsid w:val="FFFFFF89"/>
    <w:multiLevelType w:val="singleLevel"/>
    <w:tmpl w:val="A4E456F0"/>
    <w:lvl w:ilvl="0">
      <w:start w:val="1"/>
      <w:numFmt w:val="bullet"/>
      <w:pStyle w:val="a0"/>
      <w:lvlText w:val=""/>
      <w:lvlJc w:val="left"/>
      <w:pPr>
        <w:tabs>
          <w:tab w:val="num" w:pos="360"/>
        </w:tabs>
        <w:ind w:left="360" w:hanging="360"/>
      </w:pPr>
      <w:rPr>
        <w:rFonts w:ascii="Symbol" w:hAnsi="Symbol" w:hint="default"/>
      </w:rPr>
    </w:lvl>
  </w:abstractNum>
  <w:abstractNum w:abstractNumId="10">
    <w:nsid w:val="060C3B11"/>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11">
    <w:nsid w:val="083C1A36"/>
    <w:multiLevelType w:val="singleLevel"/>
    <w:tmpl w:val="34AE4330"/>
    <w:lvl w:ilvl="0">
      <w:start w:val="4"/>
      <w:numFmt w:val="bullet"/>
      <w:lvlText w:val="-"/>
      <w:lvlJc w:val="left"/>
      <w:pPr>
        <w:tabs>
          <w:tab w:val="num" w:pos="360"/>
        </w:tabs>
        <w:ind w:left="360" w:hanging="360"/>
      </w:pPr>
      <w:rPr>
        <w:rFonts w:hint="default"/>
      </w:rPr>
    </w:lvl>
  </w:abstractNum>
  <w:abstractNum w:abstractNumId="12">
    <w:nsid w:val="0A42448A"/>
    <w:multiLevelType w:val="singleLevel"/>
    <w:tmpl w:val="34AE4330"/>
    <w:lvl w:ilvl="0">
      <w:start w:val="4"/>
      <w:numFmt w:val="bullet"/>
      <w:lvlText w:val="-"/>
      <w:lvlJc w:val="left"/>
      <w:pPr>
        <w:tabs>
          <w:tab w:val="num" w:pos="360"/>
        </w:tabs>
        <w:ind w:left="360" w:hanging="360"/>
      </w:pPr>
      <w:rPr>
        <w:rFonts w:hint="default"/>
      </w:rPr>
    </w:lvl>
  </w:abstractNum>
  <w:abstractNum w:abstractNumId="13">
    <w:nsid w:val="102B78D9"/>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14">
    <w:nsid w:val="13C36392"/>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15">
    <w:nsid w:val="17403054"/>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16">
    <w:nsid w:val="1BD33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E514732"/>
    <w:multiLevelType w:val="singleLevel"/>
    <w:tmpl w:val="214257C4"/>
    <w:lvl w:ilvl="0">
      <w:numFmt w:val="bullet"/>
      <w:lvlText w:val="-"/>
      <w:lvlJc w:val="left"/>
      <w:pPr>
        <w:tabs>
          <w:tab w:val="num" w:pos="420"/>
        </w:tabs>
        <w:ind w:left="420" w:hanging="360"/>
      </w:pPr>
      <w:rPr>
        <w:rFonts w:hint="default"/>
      </w:rPr>
    </w:lvl>
  </w:abstractNum>
  <w:abstractNum w:abstractNumId="18">
    <w:nsid w:val="1FD44B63"/>
    <w:multiLevelType w:val="singleLevel"/>
    <w:tmpl w:val="FA5640EE"/>
    <w:lvl w:ilvl="0">
      <w:start w:val="1"/>
      <w:numFmt w:val="bullet"/>
      <w:lvlText w:val="­"/>
      <w:lvlJc w:val="left"/>
      <w:pPr>
        <w:tabs>
          <w:tab w:val="num" w:pos="360"/>
        </w:tabs>
        <w:ind w:left="340" w:hanging="340"/>
      </w:pPr>
      <w:rPr>
        <w:rFonts w:ascii="Times New Roman" w:hAnsi="Times New Roman" w:hint="default"/>
      </w:rPr>
    </w:lvl>
  </w:abstractNum>
  <w:abstractNum w:abstractNumId="19">
    <w:nsid w:val="21056C3D"/>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20">
    <w:nsid w:val="2CFE5612"/>
    <w:multiLevelType w:val="singleLevel"/>
    <w:tmpl w:val="3CAE5076"/>
    <w:lvl w:ilvl="0">
      <w:numFmt w:val="bullet"/>
      <w:lvlText w:val="-"/>
      <w:lvlJc w:val="left"/>
      <w:pPr>
        <w:tabs>
          <w:tab w:val="num" w:pos="360"/>
        </w:tabs>
        <w:ind w:left="360" w:hanging="360"/>
      </w:pPr>
      <w:rPr>
        <w:rFonts w:ascii="Times New Roman" w:hAnsi="Times New Roman" w:hint="default"/>
      </w:rPr>
    </w:lvl>
  </w:abstractNum>
  <w:abstractNum w:abstractNumId="21">
    <w:nsid w:val="2ED14872"/>
    <w:multiLevelType w:val="singleLevel"/>
    <w:tmpl w:val="214257C4"/>
    <w:lvl w:ilvl="0">
      <w:numFmt w:val="bullet"/>
      <w:lvlText w:val="-"/>
      <w:lvlJc w:val="left"/>
      <w:pPr>
        <w:tabs>
          <w:tab w:val="num" w:pos="420"/>
        </w:tabs>
        <w:ind w:left="420" w:hanging="360"/>
      </w:pPr>
      <w:rPr>
        <w:rFonts w:hint="default"/>
      </w:rPr>
    </w:lvl>
  </w:abstractNum>
  <w:abstractNum w:abstractNumId="22">
    <w:nsid w:val="32801661"/>
    <w:multiLevelType w:val="singleLevel"/>
    <w:tmpl w:val="FA9A8ABC"/>
    <w:lvl w:ilvl="0">
      <w:numFmt w:val="bullet"/>
      <w:lvlText w:val="-"/>
      <w:lvlJc w:val="left"/>
      <w:pPr>
        <w:tabs>
          <w:tab w:val="num" w:pos="1020"/>
        </w:tabs>
        <w:ind w:left="1020" w:hanging="360"/>
      </w:pPr>
      <w:rPr>
        <w:rFonts w:hint="default"/>
      </w:rPr>
    </w:lvl>
  </w:abstractNum>
  <w:abstractNum w:abstractNumId="23">
    <w:nsid w:val="32C60B00"/>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24">
    <w:nsid w:val="35C746A6"/>
    <w:multiLevelType w:val="hybridMultilevel"/>
    <w:tmpl w:val="3CC024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D3E4252"/>
    <w:multiLevelType w:val="singleLevel"/>
    <w:tmpl w:val="FA5640EE"/>
    <w:lvl w:ilvl="0">
      <w:start w:val="1"/>
      <w:numFmt w:val="bullet"/>
      <w:lvlText w:val="­"/>
      <w:lvlJc w:val="left"/>
      <w:pPr>
        <w:tabs>
          <w:tab w:val="num" w:pos="360"/>
        </w:tabs>
        <w:ind w:left="340" w:hanging="340"/>
      </w:pPr>
      <w:rPr>
        <w:rFonts w:ascii="Times New Roman" w:hAnsi="Times New Roman" w:hint="default"/>
      </w:rPr>
    </w:lvl>
  </w:abstractNum>
  <w:abstractNum w:abstractNumId="26">
    <w:nsid w:val="3E754F74"/>
    <w:multiLevelType w:val="singleLevel"/>
    <w:tmpl w:val="29EA5C96"/>
    <w:lvl w:ilvl="0">
      <w:numFmt w:val="bullet"/>
      <w:lvlText w:val="-"/>
      <w:lvlJc w:val="left"/>
      <w:pPr>
        <w:tabs>
          <w:tab w:val="num" w:pos="360"/>
        </w:tabs>
        <w:ind w:left="360" w:hanging="360"/>
      </w:pPr>
      <w:rPr>
        <w:rFonts w:hint="default"/>
      </w:rPr>
    </w:lvl>
  </w:abstractNum>
  <w:abstractNum w:abstractNumId="27">
    <w:nsid w:val="43DD2E19"/>
    <w:multiLevelType w:val="hybridMultilevel"/>
    <w:tmpl w:val="872C0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4077AC0"/>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29">
    <w:nsid w:val="456E5093"/>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30">
    <w:nsid w:val="473A3D92"/>
    <w:multiLevelType w:val="singleLevel"/>
    <w:tmpl w:val="FA5640EE"/>
    <w:lvl w:ilvl="0">
      <w:start w:val="1"/>
      <w:numFmt w:val="bullet"/>
      <w:lvlText w:val="­"/>
      <w:lvlJc w:val="left"/>
      <w:pPr>
        <w:tabs>
          <w:tab w:val="num" w:pos="360"/>
        </w:tabs>
        <w:ind w:left="340" w:hanging="340"/>
      </w:pPr>
      <w:rPr>
        <w:rFonts w:ascii="Times New Roman" w:hAnsi="Times New Roman" w:hint="default"/>
      </w:rPr>
    </w:lvl>
  </w:abstractNum>
  <w:abstractNum w:abstractNumId="31">
    <w:nsid w:val="48C577A4"/>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32">
    <w:nsid w:val="49D70170"/>
    <w:multiLevelType w:val="singleLevel"/>
    <w:tmpl w:val="FA5640EE"/>
    <w:lvl w:ilvl="0">
      <w:start w:val="1"/>
      <w:numFmt w:val="bullet"/>
      <w:lvlText w:val="­"/>
      <w:lvlJc w:val="left"/>
      <w:pPr>
        <w:tabs>
          <w:tab w:val="num" w:pos="360"/>
        </w:tabs>
        <w:ind w:left="340" w:hanging="340"/>
      </w:pPr>
      <w:rPr>
        <w:rFonts w:ascii="Times New Roman" w:hAnsi="Times New Roman" w:hint="default"/>
      </w:rPr>
    </w:lvl>
  </w:abstractNum>
  <w:abstractNum w:abstractNumId="33">
    <w:nsid w:val="58E5126F"/>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34">
    <w:nsid w:val="5A802E18"/>
    <w:multiLevelType w:val="singleLevel"/>
    <w:tmpl w:val="FA5640EE"/>
    <w:lvl w:ilvl="0">
      <w:start w:val="1"/>
      <w:numFmt w:val="bullet"/>
      <w:lvlText w:val="­"/>
      <w:lvlJc w:val="left"/>
      <w:pPr>
        <w:tabs>
          <w:tab w:val="num" w:pos="360"/>
        </w:tabs>
        <w:ind w:left="340" w:hanging="340"/>
      </w:pPr>
      <w:rPr>
        <w:rFonts w:ascii="Times New Roman" w:hAnsi="Times New Roman" w:hint="default"/>
      </w:rPr>
    </w:lvl>
  </w:abstractNum>
  <w:abstractNum w:abstractNumId="35">
    <w:nsid w:val="61501569"/>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36">
    <w:nsid w:val="6411272C"/>
    <w:multiLevelType w:val="singleLevel"/>
    <w:tmpl w:val="34AE4330"/>
    <w:lvl w:ilvl="0">
      <w:start w:val="4"/>
      <w:numFmt w:val="bullet"/>
      <w:lvlText w:val="-"/>
      <w:lvlJc w:val="left"/>
      <w:pPr>
        <w:tabs>
          <w:tab w:val="num" w:pos="360"/>
        </w:tabs>
        <w:ind w:left="360" w:hanging="360"/>
      </w:pPr>
      <w:rPr>
        <w:rFonts w:hint="default"/>
      </w:rPr>
    </w:lvl>
  </w:abstractNum>
  <w:abstractNum w:abstractNumId="37">
    <w:nsid w:val="66940801"/>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38">
    <w:nsid w:val="6CBF2A03"/>
    <w:multiLevelType w:val="singleLevel"/>
    <w:tmpl w:val="34AE4330"/>
    <w:lvl w:ilvl="0">
      <w:start w:val="4"/>
      <w:numFmt w:val="bullet"/>
      <w:lvlText w:val="-"/>
      <w:lvlJc w:val="left"/>
      <w:pPr>
        <w:tabs>
          <w:tab w:val="num" w:pos="360"/>
        </w:tabs>
        <w:ind w:left="360" w:hanging="360"/>
      </w:pPr>
      <w:rPr>
        <w:rFonts w:hint="default"/>
      </w:rPr>
    </w:lvl>
  </w:abstractNum>
  <w:abstractNum w:abstractNumId="39">
    <w:nsid w:val="71121B6B"/>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40">
    <w:nsid w:val="75771D70"/>
    <w:multiLevelType w:val="singleLevel"/>
    <w:tmpl w:val="34AE4330"/>
    <w:lvl w:ilvl="0">
      <w:start w:val="4"/>
      <w:numFmt w:val="bullet"/>
      <w:lvlText w:val="-"/>
      <w:lvlJc w:val="left"/>
      <w:pPr>
        <w:tabs>
          <w:tab w:val="num" w:pos="360"/>
        </w:tabs>
        <w:ind w:left="360" w:hanging="360"/>
      </w:pPr>
      <w:rPr>
        <w:rFonts w:hint="default"/>
      </w:rPr>
    </w:lvl>
  </w:abstractNum>
  <w:abstractNum w:abstractNumId="41">
    <w:nsid w:val="78035313"/>
    <w:multiLevelType w:val="hybridMultilevel"/>
    <w:tmpl w:val="88CEDC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9E87B13"/>
    <w:multiLevelType w:val="singleLevel"/>
    <w:tmpl w:val="A5961790"/>
    <w:lvl w:ilvl="0">
      <w:start w:val="1"/>
      <w:numFmt w:val="bullet"/>
      <w:lvlText w:val=""/>
      <w:lvlJc w:val="left"/>
      <w:pPr>
        <w:tabs>
          <w:tab w:val="num" w:pos="360"/>
        </w:tabs>
        <w:ind w:left="340" w:hanging="340"/>
      </w:pPr>
      <w:rPr>
        <w:rFonts w:ascii="Symbol" w:hAnsi="Symbol" w:hint="default"/>
      </w:rPr>
    </w:lvl>
  </w:abstractNum>
  <w:abstractNum w:abstractNumId="43">
    <w:nsid w:val="79F7486C"/>
    <w:multiLevelType w:val="singleLevel"/>
    <w:tmpl w:val="FA5640EE"/>
    <w:lvl w:ilvl="0">
      <w:start w:val="1"/>
      <w:numFmt w:val="bullet"/>
      <w:lvlText w:val="­"/>
      <w:lvlJc w:val="left"/>
      <w:pPr>
        <w:tabs>
          <w:tab w:val="num" w:pos="360"/>
        </w:tabs>
        <w:ind w:left="340" w:hanging="340"/>
      </w:pPr>
      <w:rPr>
        <w:rFonts w:ascii="Times New Roman" w:hAnsi="Times New Roman" w:hint="default"/>
      </w:rPr>
    </w:lvl>
  </w:abstractNum>
  <w:abstractNum w:abstractNumId="44">
    <w:nsid w:val="7F332393"/>
    <w:multiLevelType w:val="hybridMultilevel"/>
    <w:tmpl w:val="DE18C5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38"/>
  </w:num>
  <w:num w:numId="14">
    <w:abstractNumId w:val="39"/>
  </w:num>
  <w:num w:numId="15">
    <w:abstractNumId w:val="11"/>
  </w:num>
  <w:num w:numId="16">
    <w:abstractNumId w:val="31"/>
  </w:num>
  <w:num w:numId="17">
    <w:abstractNumId w:val="14"/>
  </w:num>
  <w:num w:numId="18">
    <w:abstractNumId w:val="19"/>
  </w:num>
  <w:num w:numId="19">
    <w:abstractNumId w:val="33"/>
  </w:num>
  <w:num w:numId="20">
    <w:abstractNumId w:val="35"/>
  </w:num>
  <w:num w:numId="21">
    <w:abstractNumId w:val="10"/>
  </w:num>
  <w:num w:numId="22">
    <w:abstractNumId w:val="16"/>
  </w:num>
  <w:num w:numId="23">
    <w:abstractNumId w:val="17"/>
  </w:num>
  <w:num w:numId="24">
    <w:abstractNumId w:val="21"/>
  </w:num>
  <w:num w:numId="25">
    <w:abstractNumId w:val="13"/>
  </w:num>
  <w:num w:numId="26">
    <w:abstractNumId w:val="36"/>
  </w:num>
  <w:num w:numId="27">
    <w:abstractNumId w:val="12"/>
  </w:num>
  <w:num w:numId="28">
    <w:abstractNumId w:val="23"/>
  </w:num>
  <w:num w:numId="29">
    <w:abstractNumId w:val="22"/>
  </w:num>
  <w:num w:numId="30">
    <w:abstractNumId w:val="29"/>
  </w:num>
  <w:num w:numId="31">
    <w:abstractNumId w:val="37"/>
  </w:num>
  <w:num w:numId="32">
    <w:abstractNumId w:val="20"/>
  </w:num>
  <w:num w:numId="33">
    <w:abstractNumId w:val="32"/>
  </w:num>
  <w:num w:numId="34">
    <w:abstractNumId w:val="30"/>
  </w:num>
  <w:num w:numId="35">
    <w:abstractNumId w:val="25"/>
  </w:num>
  <w:num w:numId="36">
    <w:abstractNumId w:val="42"/>
  </w:num>
  <w:num w:numId="37">
    <w:abstractNumId w:val="34"/>
  </w:num>
  <w:num w:numId="38">
    <w:abstractNumId w:val="15"/>
  </w:num>
  <w:num w:numId="39">
    <w:abstractNumId w:val="28"/>
  </w:num>
  <w:num w:numId="40">
    <w:abstractNumId w:val="43"/>
  </w:num>
  <w:num w:numId="41">
    <w:abstractNumId w:val="18"/>
  </w:num>
  <w:num w:numId="42">
    <w:abstractNumId w:val="41"/>
  </w:num>
  <w:num w:numId="43">
    <w:abstractNumId w:val="27"/>
  </w:num>
  <w:num w:numId="44">
    <w:abstractNumId w:val="44"/>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17C76"/>
    <w:rsid w:val="0000110F"/>
    <w:rsid w:val="00005869"/>
    <w:rsid w:val="00030C91"/>
    <w:rsid w:val="000354FB"/>
    <w:rsid w:val="00056542"/>
    <w:rsid w:val="00060F8E"/>
    <w:rsid w:val="000A7EA3"/>
    <w:rsid w:val="000C3EA8"/>
    <w:rsid w:val="000F14E2"/>
    <w:rsid w:val="000F325D"/>
    <w:rsid w:val="0010082D"/>
    <w:rsid w:val="00103A38"/>
    <w:rsid w:val="00122617"/>
    <w:rsid w:val="00122C02"/>
    <w:rsid w:val="00133DC0"/>
    <w:rsid w:val="001636F3"/>
    <w:rsid w:val="001849DF"/>
    <w:rsid w:val="0018765F"/>
    <w:rsid w:val="00191722"/>
    <w:rsid w:val="00196B8B"/>
    <w:rsid w:val="001A0274"/>
    <w:rsid w:val="001A1B42"/>
    <w:rsid w:val="001B3BF2"/>
    <w:rsid w:val="001E64BA"/>
    <w:rsid w:val="001F1A74"/>
    <w:rsid w:val="0020550D"/>
    <w:rsid w:val="002176F4"/>
    <w:rsid w:val="00233F49"/>
    <w:rsid w:val="002562F9"/>
    <w:rsid w:val="00267BD8"/>
    <w:rsid w:val="00274B45"/>
    <w:rsid w:val="00283D24"/>
    <w:rsid w:val="0029008F"/>
    <w:rsid w:val="002B07D8"/>
    <w:rsid w:val="002B71FC"/>
    <w:rsid w:val="002E7E5B"/>
    <w:rsid w:val="002F11D4"/>
    <w:rsid w:val="00303661"/>
    <w:rsid w:val="00330318"/>
    <w:rsid w:val="00331D49"/>
    <w:rsid w:val="003443C0"/>
    <w:rsid w:val="003447E9"/>
    <w:rsid w:val="003642B3"/>
    <w:rsid w:val="00367B11"/>
    <w:rsid w:val="0037046F"/>
    <w:rsid w:val="0038172D"/>
    <w:rsid w:val="00387228"/>
    <w:rsid w:val="003B7D13"/>
    <w:rsid w:val="003D28CD"/>
    <w:rsid w:val="003E2629"/>
    <w:rsid w:val="003F436D"/>
    <w:rsid w:val="00400504"/>
    <w:rsid w:val="00406D93"/>
    <w:rsid w:val="00414C85"/>
    <w:rsid w:val="004240D6"/>
    <w:rsid w:val="004403F0"/>
    <w:rsid w:val="00471F43"/>
    <w:rsid w:val="00487FDE"/>
    <w:rsid w:val="004A7349"/>
    <w:rsid w:val="004B09DB"/>
    <w:rsid w:val="004B3211"/>
    <w:rsid w:val="004E2B7C"/>
    <w:rsid w:val="004F7A9E"/>
    <w:rsid w:val="00515ADC"/>
    <w:rsid w:val="00521CFD"/>
    <w:rsid w:val="00555888"/>
    <w:rsid w:val="005704FA"/>
    <w:rsid w:val="00570C2C"/>
    <w:rsid w:val="00581D28"/>
    <w:rsid w:val="00590EDB"/>
    <w:rsid w:val="005B0695"/>
    <w:rsid w:val="005C4E4B"/>
    <w:rsid w:val="005F702D"/>
    <w:rsid w:val="00602A41"/>
    <w:rsid w:val="00607925"/>
    <w:rsid w:val="00610A5C"/>
    <w:rsid w:val="006364B5"/>
    <w:rsid w:val="00651972"/>
    <w:rsid w:val="00654D01"/>
    <w:rsid w:val="00673CCB"/>
    <w:rsid w:val="00693FC0"/>
    <w:rsid w:val="006A093A"/>
    <w:rsid w:val="006A1034"/>
    <w:rsid w:val="006B77C5"/>
    <w:rsid w:val="006C76E2"/>
    <w:rsid w:val="006E0E5F"/>
    <w:rsid w:val="006F7891"/>
    <w:rsid w:val="00705205"/>
    <w:rsid w:val="007520BD"/>
    <w:rsid w:val="00793455"/>
    <w:rsid w:val="00796901"/>
    <w:rsid w:val="007D3DDB"/>
    <w:rsid w:val="007D7554"/>
    <w:rsid w:val="007E6D82"/>
    <w:rsid w:val="00806A89"/>
    <w:rsid w:val="0081773D"/>
    <w:rsid w:val="008179B8"/>
    <w:rsid w:val="00817C76"/>
    <w:rsid w:val="00820E31"/>
    <w:rsid w:val="00823D20"/>
    <w:rsid w:val="00864A15"/>
    <w:rsid w:val="0086736F"/>
    <w:rsid w:val="00881E2C"/>
    <w:rsid w:val="008A1592"/>
    <w:rsid w:val="008A5D1C"/>
    <w:rsid w:val="008A5D64"/>
    <w:rsid w:val="008C30F0"/>
    <w:rsid w:val="008D31CF"/>
    <w:rsid w:val="008E669A"/>
    <w:rsid w:val="00900B8D"/>
    <w:rsid w:val="00906585"/>
    <w:rsid w:val="00910B10"/>
    <w:rsid w:val="00911DD9"/>
    <w:rsid w:val="0091240E"/>
    <w:rsid w:val="00913D82"/>
    <w:rsid w:val="00927621"/>
    <w:rsid w:val="00930CAC"/>
    <w:rsid w:val="00930D95"/>
    <w:rsid w:val="00947E8D"/>
    <w:rsid w:val="0096798D"/>
    <w:rsid w:val="00972114"/>
    <w:rsid w:val="00981E48"/>
    <w:rsid w:val="009B7B1C"/>
    <w:rsid w:val="009D0ECE"/>
    <w:rsid w:val="009D3039"/>
    <w:rsid w:val="009D408F"/>
    <w:rsid w:val="00A133C1"/>
    <w:rsid w:val="00A17B1F"/>
    <w:rsid w:val="00A42F03"/>
    <w:rsid w:val="00A52B90"/>
    <w:rsid w:val="00A718E4"/>
    <w:rsid w:val="00A83243"/>
    <w:rsid w:val="00A856B3"/>
    <w:rsid w:val="00A962FA"/>
    <w:rsid w:val="00AB1FDD"/>
    <w:rsid w:val="00AC0348"/>
    <w:rsid w:val="00AC0D22"/>
    <w:rsid w:val="00AC7CF1"/>
    <w:rsid w:val="00AC7E3D"/>
    <w:rsid w:val="00AE1893"/>
    <w:rsid w:val="00AE5C5F"/>
    <w:rsid w:val="00AF04BB"/>
    <w:rsid w:val="00B001C9"/>
    <w:rsid w:val="00B03515"/>
    <w:rsid w:val="00B07692"/>
    <w:rsid w:val="00B13125"/>
    <w:rsid w:val="00B142AC"/>
    <w:rsid w:val="00B36667"/>
    <w:rsid w:val="00B545C8"/>
    <w:rsid w:val="00B64C7B"/>
    <w:rsid w:val="00B80530"/>
    <w:rsid w:val="00B87126"/>
    <w:rsid w:val="00BB0105"/>
    <w:rsid w:val="00BB1B5D"/>
    <w:rsid w:val="00BC2D4D"/>
    <w:rsid w:val="00BC3332"/>
    <w:rsid w:val="00BD3624"/>
    <w:rsid w:val="00C0443C"/>
    <w:rsid w:val="00C15CA4"/>
    <w:rsid w:val="00C162B1"/>
    <w:rsid w:val="00C22515"/>
    <w:rsid w:val="00C36AEC"/>
    <w:rsid w:val="00C40801"/>
    <w:rsid w:val="00C74350"/>
    <w:rsid w:val="00CA4D7D"/>
    <w:rsid w:val="00CB3ECD"/>
    <w:rsid w:val="00CC5140"/>
    <w:rsid w:val="00CD30C9"/>
    <w:rsid w:val="00CD3DCE"/>
    <w:rsid w:val="00CF0B94"/>
    <w:rsid w:val="00D21696"/>
    <w:rsid w:val="00D43EBD"/>
    <w:rsid w:val="00D76EF0"/>
    <w:rsid w:val="00DD0C2B"/>
    <w:rsid w:val="00DE4CCC"/>
    <w:rsid w:val="00E001A6"/>
    <w:rsid w:val="00E1578B"/>
    <w:rsid w:val="00E31B95"/>
    <w:rsid w:val="00E31DE4"/>
    <w:rsid w:val="00E31F8F"/>
    <w:rsid w:val="00E54CD6"/>
    <w:rsid w:val="00E6396C"/>
    <w:rsid w:val="00E71D3E"/>
    <w:rsid w:val="00EC4005"/>
    <w:rsid w:val="00EE3BC7"/>
    <w:rsid w:val="00F0744B"/>
    <w:rsid w:val="00F41B43"/>
    <w:rsid w:val="00F42508"/>
    <w:rsid w:val="00F57F0C"/>
    <w:rsid w:val="00F84EBC"/>
    <w:rsid w:val="00F91B17"/>
    <w:rsid w:val="00F91EA2"/>
    <w:rsid w:val="00FA0A96"/>
    <w:rsid w:val="00FB0853"/>
    <w:rsid w:val="00FC0569"/>
    <w:rsid w:val="00FC3259"/>
    <w:rsid w:val="00FF1CBA"/>
    <w:rsid w:val="00FF7A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lang w:val="en-GB"/>
    </w:rPr>
  </w:style>
  <w:style w:type="paragraph" w:styleId="1">
    <w:name w:val="heading 1"/>
    <w:basedOn w:val="a1"/>
    <w:next w:val="a1"/>
    <w:qFormat/>
    <w:pPr>
      <w:keepNext/>
      <w:ind w:left="360" w:hanging="360"/>
      <w:jc w:val="center"/>
      <w:outlineLvl w:val="0"/>
    </w:pPr>
    <w:rPr>
      <w:rFonts w:ascii="Times New Roman" w:hAnsi="Times New Roman"/>
      <w:sz w:val="28"/>
      <w:lang w:val="el-GR"/>
    </w:rPr>
  </w:style>
  <w:style w:type="paragraph" w:styleId="21">
    <w:name w:val="heading 2"/>
    <w:basedOn w:val="a1"/>
    <w:next w:val="a1"/>
    <w:qFormat/>
    <w:pPr>
      <w:keepNext/>
      <w:spacing w:before="240" w:after="60"/>
      <w:outlineLvl w:val="1"/>
    </w:pPr>
    <w:rPr>
      <w:rFonts w:ascii="Arial" w:hAnsi="Arial"/>
      <w:b/>
      <w:i/>
      <w:sz w:val="24"/>
    </w:rPr>
  </w:style>
  <w:style w:type="paragraph" w:styleId="31">
    <w:name w:val="heading 3"/>
    <w:basedOn w:val="a1"/>
    <w:next w:val="a1"/>
    <w:qFormat/>
    <w:pPr>
      <w:keepNext/>
      <w:spacing w:before="240" w:after="60"/>
      <w:outlineLvl w:val="2"/>
    </w:pPr>
    <w:rPr>
      <w:rFonts w:ascii="Arial" w:hAnsi="Arial"/>
      <w:sz w:val="24"/>
    </w:rPr>
  </w:style>
  <w:style w:type="paragraph" w:styleId="41">
    <w:name w:val="heading 4"/>
    <w:basedOn w:val="a1"/>
    <w:next w:val="a1"/>
    <w:qFormat/>
    <w:pPr>
      <w:keepNext/>
      <w:spacing w:before="240" w:after="60"/>
      <w:outlineLvl w:val="3"/>
    </w:pPr>
    <w:rPr>
      <w:rFonts w:ascii="Arial" w:hAnsi="Arial"/>
      <w:b/>
      <w:sz w:val="24"/>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rFonts w:ascii="Times New Roman" w:hAnsi="Times New Roman"/>
      <w:i/>
      <w:sz w:val="22"/>
    </w:rPr>
  </w:style>
  <w:style w:type="paragraph" w:styleId="7">
    <w:name w:val="heading 7"/>
    <w:basedOn w:val="a1"/>
    <w:next w:val="a1"/>
    <w:qFormat/>
    <w:pPr>
      <w:spacing w:before="240" w:after="60"/>
      <w:outlineLvl w:val="6"/>
    </w:pPr>
    <w:rPr>
      <w:rFonts w:ascii="Arial" w:hAnsi="Arial"/>
    </w:rPr>
  </w:style>
  <w:style w:type="paragraph" w:styleId="8">
    <w:name w:val="heading 8"/>
    <w:basedOn w:val="a1"/>
    <w:next w:val="a1"/>
    <w:qFormat/>
    <w:pPr>
      <w:spacing w:before="240" w:after="60"/>
      <w:outlineLvl w:val="7"/>
    </w:pPr>
    <w:rPr>
      <w:rFonts w:ascii="Arial" w:hAnsi="Arial"/>
      <w:i/>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1"/>
    <w:pPr>
      <w:tabs>
        <w:tab w:val="center" w:pos="4819"/>
        <w:tab w:val="right" w:pos="9071"/>
      </w:tabs>
    </w:pPr>
  </w:style>
  <w:style w:type="paragraph" w:styleId="a6">
    <w:name w:val="header"/>
    <w:basedOn w:val="a1"/>
    <w:pPr>
      <w:tabs>
        <w:tab w:val="center" w:pos="4536"/>
        <w:tab w:val="right" w:pos="9072"/>
      </w:tabs>
    </w:pPr>
  </w:style>
  <w:style w:type="character" w:styleId="a7">
    <w:name w:val="page number"/>
    <w:basedOn w:val="a2"/>
  </w:style>
  <w:style w:type="paragraph" w:styleId="a8">
    <w:name w:val="Block Text"/>
    <w:basedOn w:val="a1"/>
    <w:pPr>
      <w:spacing w:after="120"/>
      <w:ind w:left="1440" w:right="1440"/>
    </w:pPr>
  </w:style>
  <w:style w:type="paragraph" w:styleId="a9">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a">
    <w:name w:val="Body Text First Indent"/>
    <w:basedOn w:val="a9"/>
    <w:pPr>
      <w:ind w:firstLine="210"/>
    </w:pPr>
  </w:style>
  <w:style w:type="paragraph" w:styleId="ab">
    <w:name w:val="Body Text Indent"/>
    <w:basedOn w:val="a1"/>
    <w:pPr>
      <w:spacing w:after="120"/>
      <w:ind w:left="283"/>
    </w:pPr>
  </w:style>
  <w:style w:type="paragraph" w:styleId="23">
    <w:name w:val="Body Text First Indent 2"/>
    <w:basedOn w:val="ab"/>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c">
    <w:name w:val="caption"/>
    <w:basedOn w:val="a1"/>
    <w:next w:val="a1"/>
    <w:qFormat/>
    <w:pPr>
      <w:spacing w:before="120" w:after="120"/>
    </w:pPr>
    <w:rPr>
      <w:b/>
    </w:rPr>
  </w:style>
  <w:style w:type="paragraph" w:styleId="ad">
    <w:name w:val="Closing"/>
    <w:basedOn w:val="a1"/>
    <w:pPr>
      <w:ind w:left="4252"/>
    </w:pPr>
  </w:style>
  <w:style w:type="paragraph" w:styleId="ae">
    <w:name w:val="annotation text"/>
    <w:basedOn w:val="a1"/>
    <w:semiHidden/>
  </w:style>
  <w:style w:type="paragraph" w:styleId="af">
    <w:name w:val="Date"/>
    <w:basedOn w:val="a1"/>
    <w:next w:val="a1"/>
  </w:style>
  <w:style w:type="paragraph" w:styleId="af0">
    <w:name w:val="Document Map"/>
    <w:basedOn w:val="a1"/>
    <w:semiHidden/>
    <w:pPr>
      <w:shd w:val="clear" w:color="auto" w:fill="000080"/>
    </w:pPr>
    <w:rPr>
      <w:rFonts w:ascii="Tahoma" w:hAnsi="Tahoma"/>
    </w:rPr>
  </w:style>
  <w:style w:type="paragraph" w:styleId="af1">
    <w:name w:val="endnote text"/>
    <w:basedOn w:val="a1"/>
    <w:semiHidden/>
  </w:style>
  <w:style w:type="paragraph" w:styleId="af2">
    <w:name w:val="envelope address"/>
    <w:basedOn w:val="a1"/>
    <w:pPr>
      <w:framePr w:w="7920" w:h="1980" w:hRule="exact" w:hSpace="180" w:wrap="auto" w:hAnchor="page" w:xAlign="center" w:yAlign="bottom"/>
      <w:ind w:left="2880"/>
    </w:pPr>
    <w:rPr>
      <w:rFonts w:ascii="Arial" w:hAnsi="Arial"/>
      <w:sz w:val="24"/>
    </w:rPr>
  </w:style>
  <w:style w:type="paragraph" w:styleId="af3">
    <w:name w:val="envelope return"/>
    <w:basedOn w:val="a1"/>
    <w:rPr>
      <w:rFonts w:ascii="Arial" w:hAnsi="Arial"/>
    </w:rPr>
  </w:style>
  <w:style w:type="paragraph" w:styleId="af4">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afa">
    <w:name w:val="Normal Indent"/>
    <w:basedOn w:val="a1"/>
    <w:pPr>
      <w:ind w:left="720"/>
    </w:pPr>
  </w:style>
  <w:style w:type="paragraph" w:styleId="afb">
    <w:name w:val="Note Heading"/>
    <w:basedOn w:val="a1"/>
    <w:next w:val="a1"/>
  </w:style>
  <w:style w:type="paragraph" w:styleId="afc">
    <w:name w:val="Plain Text"/>
    <w:basedOn w:val="a1"/>
    <w:rPr>
      <w:rFonts w:ascii="Courier New" w:hAnsi="Courier New"/>
    </w:rPr>
  </w:style>
  <w:style w:type="paragraph" w:styleId="afd">
    <w:name w:val="Salutation"/>
    <w:basedOn w:val="a1"/>
    <w:next w:val="a1"/>
  </w:style>
  <w:style w:type="paragraph" w:styleId="afe">
    <w:name w:val="Signature"/>
    <w:basedOn w:val="a1"/>
    <w:pPr>
      <w:ind w:left="4252"/>
    </w:pPr>
  </w:style>
  <w:style w:type="paragraph" w:styleId="aff">
    <w:name w:val="Subtitle"/>
    <w:basedOn w:val="a1"/>
    <w:qFormat/>
    <w:pPr>
      <w:spacing w:after="60"/>
      <w:jc w:val="center"/>
      <w:outlineLvl w:val="1"/>
    </w:pPr>
    <w:rPr>
      <w:rFonts w:ascii="Arial" w:hAnsi="Arial"/>
      <w:sz w:val="24"/>
    </w:rPr>
  </w:style>
  <w:style w:type="paragraph" w:styleId="aff0">
    <w:name w:val="table of authorities"/>
    <w:basedOn w:val="a1"/>
    <w:next w:val="a1"/>
    <w:semiHidden/>
    <w:pPr>
      <w:ind w:left="200" w:hanging="200"/>
    </w:pPr>
  </w:style>
  <w:style w:type="paragraph" w:styleId="aff1">
    <w:name w:val="table of figures"/>
    <w:basedOn w:val="a1"/>
    <w:next w:val="a1"/>
    <w:semiHidden/>
    <w:pPr>
      <w:ind w:left="400" w:hanging="400"/>
    </w:pPr>
  </w:style>
  <w:style w:type="paragraph" w:styleId="aff2">
    <w:name w:val="Title"/>
    <w:basedOn w:val="a1"/>
    <w:qFormat/>
    <w:pPr>
      <w:spacing w:before="240" w:after="60"/>
      <w:jc w:val="center"/>
      <w:outlineLvl w:val="0"/>
    </w:pPr>
    <w:rPr>
      <w:rFonts w:ascii="Arial" w:hAnsi="Arial"/>
      <w:b/>
      <w:kern w:val="28"/>
      <w:sz w:val="32"/>
    </w:rPr>
  </w:style>
  <w:style w:type="paragraph" w:styleId="aff3">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customStyle="1" w:styleId="BridgeheadGDS">
    <w:name w:val="Bridgehead GDS"/>
    <w:basedOn w:val="a1"/>
    <w:autoRedefine/>
    <w:rsid w:val="0018765F"/>
    <w:pPr>
      <w:keepNext/>
      <w:jc w:val="both"/>
      <w:outlineLvl w:val="0"/>
    </w:pPr>
    <w:rPr>
      <w:rFonts w:ascii="Arial" w:hAnsi="Arial" w:cs="Arial"/>
      <w:b/>
      <w:i/>
      <w:sz w:val="22"/>
      <w:szCs w:val="22"/>
      <w:lang w:val="el-GR" w:eastAsia="en-US"/>
    </w:rPr>
  </w:style>
  <w:style w:type="paragraph" w:customStyle="1" w:styleId="ListEnd">
    <w:name w:val="List End"/>
    <w:basedOn w:val="a1"/>
    <w:autoRedefine/>
    <w:rsid w:val="00196B8B"/>
    <w:pPr>
      <w:shd w:val="clear" w:color="000000" w:fill="FFFFFF"/>
    </w:pPr>
    <w:rPr>
      <w:rFonts w:ascii="Times New Roman" w:hAnsi="Times New Roman"/>
      <w:sz w:val="24"/>
      <w:szCs w:val="24"/>
      <w:lang w:eastAsia="en-US"/>
    </w:rPr>
  </w:style>
  <w:style w:type="paragraph" w:customStyle="1" w:styleId="listindentnospace">
    <w:name w:val="list:indentnospace"/>
    <w:basedOn w:val="a1"/>
    <w:rsid w:val="00196B8B"/>
    <w:pPr>
      <w:ind w:left="567"/>
    </w:pPr>
    <w:rPr>
      <w:rFonts w:ascii="Times New Roman" w:hAnsi="Times New Roman"/>
      <w:sz w:val="24"/>
      <w:lang w:eastAsia="en-US"/>
    </w:rPr>
  </w:style>
  <w:style w:type="character" w:customStyle="1" w:styleId="CSIchar">
    <w:name w:val="CSIchar"/>
    <w:rsid w:val="00196B8B"/>
    <w:rPr>
      <w:bdr w:val="none" w:sz="0" w:space="0" w:color="auto"/>
      <w:shd w:val="clear" w:color="auto" w:fill="CCCCCC"/>
    </w:rPr>
  </w:style>
  <w:style w:type="paragraph" w:styleId="aff4">
    <w:name w:val="Balloon Text"/>
    <w:basedOn w:val="a1"/>
    <w:semiHidden/>
    <w:rsid w:val="00FF7AA8"/>
    <w:rPr>
      <w:rFonts w:ascii="Tahoma" w:hAnsi="Tahoma" w:cs="Tahoma"/>
      <w:sz w:val="16"/>
      <w:szCs w:val="16"/>
    </w:rPr>
  </w:style>
  <w:style w:type="character" w:customStyle="1" w:styleId="Insertions">
    <w:name w:val="Insertions"/>
    <w:uiPriority w:val="1"/>
    <w:qFormat/>
    <w:rsid w:val="00303661"/>
    <w:rPr>
      <w:b/>
      <w:i/>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3780</Words>
  <Characters>20418</Characters>
  <Application>Microsoft Office Word</Application>
  <DocSecurity>0</DocSecurity>
  <Lines>170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FRAXIPARINE</vt:lpstr>
      <vt:lpstr>FRAXIPARINE </vt:lpstr>
    </vt:vector>
  </TitlesOfParts>
  <Company>SANOFI ~ SYNTHELABO</Company>
  <LinksUpToDate>false</LinksUpToDate>
  <CharactersWithSpaces>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FRAXIPARINE</dc:title>
  <dc:subject>GREEK DATA SHEET</dc:subject>
  <dc:creator>J. ATHANASSIADIS</dc:creator>
  <dc:description>ΠΕΡΙΛΗΨΗ ΧΑΡΑΚΤΗΡΙΣΤΙΚΩΝ ΠΡΟΪΟΝΤΟΣ</dc:description>
  <cp:lastModifiedBy>user146</cp:lastModifiedBy>
  <cp:revision>2</cp:revision>
  <cp:lastPrinted>2010-11-22T09:07:00Z</cp:lastPrinted>
  <dcterms:created xsi:type="dcterms:W3CDTF">2012-12-17T09:38:00Z</dcterms:created>
  <dcterms:modified xsi:type="dcterms:W3CDTF">2012-12-17T09:38:00Z</dcterms:modified>
</cp:coreProperties>
</file>