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BC" w:rsidRPr="00044994" w:rsidRDefault="00E05BBC" w:rsidP="00E05BBC">
      <w:pPr>
        <w:tabs>
          <w:tab w:val="left" w:pos="567"/>
        </w:tabs>
        <w:spacing w:after="0" w:line="240" w:lineRule="auto"/>
        <w:jc w:val="center"/>
        <w:rPr>
          <w:rFonts w:ascii="Arial" w:eastAsia="Times New Roman" w:hAnsi="Arial" w:cs="Arial"/>
          <w:b/>
          <w:szCs w:val="20"/>
          <w:lang w:val="en-US"/>
        </w:rPr>
      </w:pPr>
      <w:r w:rsidRPr="00044994">
        <w:rPr>
          <w:rFonts w:ascii="Arial" w:eastAsia="Times New Roman" w:hAnsi="Arial" w:cs="Arial"/>
          <w:b/>
          <w:szCs w:val="20"/>
        </w:rPr>
        <w:t>ΠΕΡΙΛΗΨΗ ΤΩΝ ΧΑΡΑΚΤΗΡΙΣΤΙΚΩΝ ΤΟΥ ΠΡΟΙΟΝΤΟΣ</w:t>
      </w:r>
    </w:p>
    <w:p w:rsidR="00E05BBC" w:rsidRPr="00044994" w:rsidRDefault="00E05BBC" w:rsidP="00E05BBC">
      <w:pPr>
        <w:tabs>
          <w:tab w:val="left" w:pos="567"/>
        </w:tabs>
        <w:spacing w:after="0" w:line="240" w:lineRule="auto"/>
        <w:jc w:val="both"/>
        <w:rPr>
          <w:rFonts w:ascii="Arial" w:eastAsia="Times New Roman" w:hAnsi="Arial" w:cs="Arial"/>
          <w:b/>
          <w:szCs w:val="20"/>
          <w:lang w:val="en-US"/>
        </w:rPr>
      </w:pPr>
    </w:p>
    <w:p w:rsidR="00E05BBC" w:rsidRPr="00044994" w:rsidRDefault="00E05BBC" w:rsidP="00E05BBC">
      <w:pPr>
        <w:tabs>
          <w:tab w:val="left" w:pos="-600"/>
        </w:tabs>
        <w:spacing w:after="0" w:line="240" w:lineRule="auto"/>
        <w:jc w:val="both"/>
        <w:rPr>
          <w:rFonts w:ascii="Arial" w:eastAsia="Times New Roman" w:hAnsi="Arial" w:cs="Arial"/>
          <w:b/>
          <w:szCs w:val="20"/>
          <w:lang w:val="en-US"/>
        </w:rPr>
      </w:pPr>
    </w:p>
    <w:p w:rsidR="00E05BBC" w:rsidRPr="00044994" w:rsidRDefault="00E05BBC" w:rsidP="00E05BBC">
      <w:pPr>
        <w:numPr>
          <w:ilvl w:val="0"/>
          <w:numId w:val="6"/>
        </w:numPr>
        <w:tabs>
          <w:tab w:val="left" w:pos="567"/>
        </w:tabs>
        <w:spacing w:after="0" w:line="240" w:lineRule="auto"/>
        <w:ind w:hanging="930"/>
        <w:jc w:val="both"/>
        <w:rPr>
          <w:rFonts w:ascii="Arial" w:eastAsia="Times New Roman" w:hAnsi="Arial" w:cs="Arial"/>
          <w:b/>
          <w:szCs w:val="20"/>
        </w:rPr>
      </w:pPr>
      <w:r w:rsidRPr="00044994">
        <w:rPr>
          <w:rFonts w:ascii="Arial" w:eastAsia="Times New Roman" w:hAnsi="Arial" w:cs="Arial"/>
          <w:b/>
          <w:szCs w:val="20"/>
        </w:rPr>
        <w:t>ΟΝΟΜΑΣΙΑ ΤΟΥ ΦΑΡΜΑΚΕΥΤΙΚΟΥ ΠΡΟΪΟΝΤΟΣ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lang w:val="en-GB"/>
        </w:rPr>
        <w:t>ENGERIX</w:t>
      </w:r>
      <w:r w:rsidRPr="00044994">
        <w:rPr>
          <w:rFonts w:ascii="Arial" w:eastAsia="Times New Roman" w:hAnsi="Arial" w:cs="Arial"/>
          <w:szCs w:val="20"/>
        </w:rPr>
        <w:t xml:space="preserve"> 20 μικρογραμμάρια/1</w:t>
      </w:r>
      <w:r w:rsidRPr="00044994">
        <w:rPr>
          <w:rFonts w:ascii="Arial" w:eastAsia="Times New Roman" w:hAnsi="Arial" w:cs="Arial"/>
          <w:szCs w:val="20"/>
          <w:lang w:val="en-GB"/>
        </w:rPr>
        <w:t>ml</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Για το φιαλίδιο:</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Ενέσιμο εναιώρημα.</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Για την </w:t>
      </w:r>
      <w:proofErr w:type="spellStart"/>
      <w:r w:rsidRPr="00044994">
        <w:rPr>
          <w:rFonts w:ascii="Arial" w:eastAsia="Times New Roman" w:hAnsi="Arial" w:cs="Arial"/>
          <w:szCs w:val="20"/>
        </w:rPr>
        <w:t>προγεμισμένη</w:t>
      </w:r>
      <w:proofErr w:type="spellEnd"/>
      <w:r w:rsidRPr="00044994">
        <w:rPr>
          <w:rFonts w:ascii="Arial" w:eastAsia="Times New Roman" w:hAnsi="Arial" w:cs="Arial"/>
          <w:szCs w:val="20"/>
        </w:rPr>
        <w:t xml:space="preserve"> σύριγγα:</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Ενέσιμο εναιώρημα σε </w:t>
      </w:r>
      <w:proofErr w:type="spellStart"/>
      <w:r w:rsidRPr="00044994">
        <w:rPr>
          <w:rFonts w:ascii="Arial" w:eastAsia="Times New Roman" w:hAnsi="Arial" w:cs="Arial"/>
          <w:szCs w:val="20"/>
        </w:rPr>
        <w:t>προγεμισμένη</w:t>
      </w:r>
      <w:proofErr w:type="spellEnd"/>
      <w:r w:rsidRPr="00044994">
        <w:rPr>
          <w:rFonts w:ascii="Arial" w:eastAsia="Times New Roman" w:hAnsi="Arial" w:cs="Arial"/>
          <w:szCs w:val="20"/>
        </w:rPr>
        <w:t xml:space="preserve"> σύριγγα</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Εμβόλιο Ηπατίτιδας Β</w:t>
      </w:r>
      <w:r w:rsidRPr="00044994">
        <w:rPr>
          <w:rFonts w:ascii="Arial" w:eastAsia="Times New Roman" w:hAnsi="Arial" w:cs="Arial"/>
        </w:rPr>
        <w:t xml:space="preserve"> (</w:t>
      </w:r>
      <w:r w:rsidRPr="00044994">
        <w:rPr>
          <w:rFonts w:ascii="Arial" w:eastAsia="Times New Roman" w:hAnsi="Arial" w:cs="Arial"/>
          <w:lang w:val="en-GB"/>
        </w:rPr>
        <w:t>rDNA</w:t>
      </w:r>
      <w:r w:rsidRPr="00044994">
        <w:rPr>
          <w:rFonts w:ascii="Arial" w:eastAsia="Times New Roman" w:hAnsi="Arial" w:cs="Arial"/>
        </w:rPr>
        <w:t>)</w:t>
      </w:r>
      <w:r w:rsidRPr="00044994">
        <w:rPr>
          <w:rFonts w:ascii="Arial" w:eastAsia="Times New Roman" w:hAnsi="Arial" w:cs="Arial"/>
          <w:szCs w:val="20"/>
        </w:rPr>
        <w:t xml:space="preserve"> (προσροφημένο) (</w:t>
      </w:r>
      <w:r w:rsidRPr="00044994">
        <w:rPr>
          <w:rFonts w:ascii="Arial" w:eastAsia="Times New Roman" w:hAnsi="Arial" w:cs="Arial"/>
          <w:szCs w:val="20"/>
          <w:lang w:val="en-GB"/>
        </w:rPr>
        <w:t>HBV</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6"/>
        </w:numPr>
        <w:tabs>
          <w:tab w:val="left" w:pos="567"/>
        </w:tabs>
        <w:spacing w:after="0" w:line="240" w:lineRule="auto"/>
        <w:ind w:left="600" w:hanging="600"/>
        <w:jc w:val="both"/>
        <w:rPr>
          <w:rFonts w:ascii="Arial" w:eastAsia="Times New Roman" w:hAnsi="Arial" w:cs="Arial"/>
          <w:b/>
          <w:szCs w:val="20"/>
          <w:lang w:val="en-GB"/>
        </w:rPr>
      </w:pPr>
      <w:r w:rsidRPr="00044994">
        <w:rPr>
          <w:rFonts w:ascii="Arial" w:eastAsia="Times New Roman" w:hAnsi="Arial" w:cs="Arial"/>
          <w:b/>
          <w:szCs w:val="20"/>
          <w:lang w:val="en-GB"/>
        </w:rPr>
        <w:t>ΠΟΙΟΤΙΚΗ ΚΑΙ ΠΟΣΟΤΙΚΗ ΣΥΝΘΕΣΗ</w:t>
      </w:r>
    </w:p>
    <w:p w:rsidR="00E05BBC" w:rsidRPr="00044994" w:rsidRDefault="00E05BBC" w:rsidP="00E05BBC">
      <w:pPr>
        <w:tabs>
          <w:tab w:val="left" w:pos="567"/>
        </w:tabs>
        <w:spacing w:after="0" w:line="240" w:lineRule="auto"/>
        <w:jc w:val="both"/>
        <w:rPr>
          <w:rFonts w:ascii="Arial" w:eastAsia="Times New Roman" w:hAnsi="Arial" w:cs="Arial"/>
          <w:szCs w:val="20"/>
          <w:lang w:val="en-GB"/>
        </w:rPr>
      </w:pPr>
    </w:p>
    <w:p w:rsidR="00E05BBC" w:rsidRPr="00044994" w:rsidRDefault="00E05BBC" w:rsidP="00E05BBC">
      <w:pPr>
        <w:tabs>
          <w:tab w:val="left" w:pos="567"/>
        </w:tabs>
        <w:spacing w:after="0" w:line="240" w:lineRule="auto"/>
        <w:jc w:val="both"/>
        <w:rPr>
          <w:rFonts w:ascii="Arial" w:eastAsia="Times New Roman" w:hAnsi="Arial" w:cs="Arial"/>
          <w:szCs w:val="20"/>
          <w:lang w:val="en-GB"/>
        </w:rPr>
      </w:pPr>
      <w:r w:rsidRPr="00044994">
        <w:rPr>
          <w:rFonts w:ascii="Arial" w:eastAsia="Times New Roman" w:hAnsi="Arial" w:cs="Arial"/>
          <w:szCs w:val="20"/>
          <w:lang w:val="en-GB"/>
        </w:rPr>
        <w:t xml:space="preserve">1 </w:t>
      </w:r>
      <w:proofErr w:type="spellStart"/>
      <w:r w:rsidRPr="00044994">
        <w:rPr>
          <w:rFonts w:ascii="Arial" w:eastAsia="Times New Roman" w:hAnsi="Arial" w:cs="Arial"/>
          <w:szCs w:val="20"/>
          <w:lang w:val="en-GB"/>
        </w:rPr>
        <w:t>δόση</w:t>
      </w:r>
      <w:proofErr w:type="spellEnd"/>
      <w:r w:rsidRPr="00044994">
        <w:rPr>
          <w:rFonts w:ascii="Arial" w:eastAsia="Times New Roman" w:hAnsi="Arial" w:cs="Arial"/>
          <w:szCs w:val="20"/>
          <w:lang w:val="en-GB"/>
        </w:rPr>
        <w:t xml:space="preserve"> (1ml) π</w:t>
      </w:r>
      <w:proofErr w:type="spellStart"/>
      <w:r w:rsidRPr="00044994">
        <w:rPr>
          <w:rFonts w:ascii="Arial" w:eastAsia="Times New Roman" w:hAnsi="Arial" w:cs="Arial"/>
          <w:szCs w:val="20"/>
          <w:lang w:val="en-GB"/>
        </w:rPr>
        <w:t>εριέχει</w:t>
      </w:r>
      <w:proofErr w:type="spellEnd"/>
      <w:r w:rsidRPr="00044994">
        <w:rPr>
          <w:rFonts w:ascii="Arial" w:eastAsia="Times New Roman" w:hAnsi="Arial" w:cs="Arial"/>
          <w:szCs w:val="20"/>
          <w:lang w:val="en-GB"/>
        </w:rPr>
        <w:t>:</w:t>
      </w:r>
    </w:p>
    <w:p w:rsidR="00E05BBC" w:rsidRPr="00044994" w:rsidRDefault="00E05BBC" w:rsidP="00E05BBC">
      <w:pPr>
        <w:tabs>
          <w:tab w:val="left" w:pos="567"/>
        </w:tabs>
        <w:spacing w:after="0" w:line="240" w:lineRule="auto"/>
        <w:jc w:val="both"/>
        <w:rPr>
          <w:rFonts w:ascii="Arial" w:eastAsia="Times New Roman" w:hAnsi="Arial" w:cs="Arial"/>
          <w:szCs w:val="20"/>
          <w:lang w:val="en-GB"/>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Αντιγόνο επιφανείας Ηπατίτιδας Β</w:t>
      </w:r>
      <w:r w:rsidRPr="00044994">
        <w:rPr>
          <w:rFonts w:ascii="Arial" w:eastAsia="Times New Roman" w:hAnsi="Arial" w:cs="Arial"/>
          <w:vertAlign w:val="superscript"/>
        </w:rPr>
        <w:t>1,2</w:t>
      </w:r>
      <w:r w:rsidRPr="00044994">
        <w:rPr>
          <w:rFonts w:ascii="Arial" w:eastAsia="Times New Roman" w:hAnsi="Arial" w:cs="Arial"/>
          <w:szCs w:val="20"/>
        </w:rPr>
        <w:tab/>
      </w:r>
      <w:r w:rsidRPr="00044994">
        <w:rPr>
          <w:rFonts w:ascii="Arial" w:eastAsia="Times New Roman" w:hAnsi="Arial" w:cs="Arial"/>
          <w:szCs w:val="20"/>
        </w:rPr>
        <w:tab/>
        <w:t xml:space="preserve">    </w:t>
      </w:r>
      <w:r w:rsidRPr="00044994">
        <w:rPr>
          <w:rFonts w:ascii="Arial" w:eastAsia="Times New Roman" w:hAnsi="Arial" w:cs="Arial"/>
          <w:szCs w:val="20"/>
        </w:rPr>
        <w:tab/>
      </w:r>
      <w:r w:rsidRPr="00044994">
        <w:rPr>
          <w:rFonts w:ascii="Arial" w:eastAsia="Times New Roman" w:hAnsi="Arial" w:cs="Arial"/>
          <w:szCs w:val="20"/>
        </w:rPr>
        <w:tab/>
        <w:t xml:space="preserve">  </w:t>
      </w:r>
      <w:r w:rsidRPr="00044994">
        <w:rPr>
          <w:rFonts w:ascii="Arial" w:eastAsia="Times New Roman" w:hAnsi="Arial" w:cs="Arial"/>
          <w:szCs w:val="20"/>
        </w:rPr>
        <w:tab/>
        <w:t xml:space="preserve">  20 μικρογραμμάρια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vertAlign w:val="superscript"/>
        </w:rPr>
        <w:t>1</w:t>
      </w:r>
      <w:r w:rsidRPr="00044994">
        <w:rPr>
          <w:rFonts w:ascii="Arial" w:eastAsia="Times New Roman" w:hAnsi="Arial" w:cs="Arial"/>
          <w:szCs w:val="20"/>
        </w:rPr>
        <w:t xml:space="preserve"> Προσροφημένο σε ένυδρο υδροξείδιο του αργιλίου</w:t>
      </w:r>
      <w:r w:rsidRPr="00044994">
        <w:rPr>
          <w:rFonts w:ascii="Arial" w:eastAsia="Times New Roman" w:hAnsi="Arial" w:cs="Arial"/>
          <w:szCs w:val="20"/>
        </w:rPr>
        <w:tab/>
        <w:t xml:space="preserve">   </w:t>
      </w:r>
      <w:r w:rsidRPr="00044994">
        <w:rPr>
          <w:rFonts w:ascii="Arial" w:eastAsia="Times New Roman" w:hAnsi="Arial" w:cs="Arial"/>
          <w:szCs w:val="20"/>
        </w:rPr>
        <w:tab/>
        <w:t xml:space="preserve"> Συνολικά: 0.50 </w:t>
      </w:r>
      <w:r w:rsidRPr="00044994">
        <w:rPr>
          <w:rFonts w:ascii="Arial" w:eastAsia="Times New Roman" w:hAnsi="Arial" w:cs="Arial"/>
          <w:szCs w:val="20"/>
          <w:lang w:val="en-US"/>
        </w:rPr>
        <w:t>mg</w:t>
      </w:r>
      <w:r w:rsidRPr="00044994">
        <w:rPr>
          <w:rFonts w:ascii="Arial" w:eastAsia="Times New Roman" w:hAnsi="Arial" w:cs="Arial"/>
          <w:szCs w:val="20"/>
        </w:rPr>
        <w:t xml:space="preserve"> </w:t>
      </w:r>
      <w:r w:rsidRPr="00044994">
        <w:rPr>
          <w:rFonts w:ascii="Arial" w:eastAsia="Times New Roman" w:hAnsi="Arial" w:cs="Arial"/>
          <w:szCs w:val="20"/>
          <w:lang w:val="en-US"/>
        </w:rPr>
        <w:t>Al</w:t>
      </w:r>
      <w:r w:rsidRPr="00044994">
        <w:rPr>
          <w:rFonts w:ascii="Arial" w:eastAsia="Times New Roman" w:hAnsi="Arial" w:cs="Arial"/>
          <w:szCs w:val="20"/>
          <w:vertAlign w:val="superscript"/>
        </w:rPr>
        <w:t>3+</w:t>
      </w:r>
    </w:p>
    <w:p w:rsidR="00E05BBC" w:rsidRPr="00044994" w:rsidRDefault="00E05BBC" w:rsidP="00E05BBC">
      <w:pPr>
        <w:tabs>
          <w:tab w:val="left" w:pos="567"/>
        </w:tabs>
        <w:spacing w:after="0" w:line="240" w:lineRule="auto"/>
        <w:ind w:left="142" w:hanging="142"/>
        <w:jc w:val="both"/>
        <w:rPr>
          <w:rFonts w:ascii="Arial" w:eastAsia="Times New Roman" w:hAnsi="Arial" w:cs="Arial"/>
          <w:szCs w:val="20"/>
        </w:rPr>
      </w:pPr>
      <w:r w:rsidRPr="00044994">
        <w:rPr>
          <w:rFonts w:ascii="Arial" w:eastAsia="Times New Roman" w:hAnsi="Arial" w:cs="Arial"/>
          <w:vertAlign w:val="superscript"/>
        </w:rPr>
        <w:t>2</w:t>
      </w:r>
      <w:r w:rsidRPr="00044994">
        <w:rPr>
          <w:rFonts w:ascii="Arial" w:eastAsia="Times New Roman" w:hAnsi="Arial" w:cs="Arial"/>
          <w:szCs w:val="20"/>
        </w:rPr>
        <w:t xml:space="preserve"> Παραγόμενο σε κύτταρα ζύμης (</w:t>
      </w:r>
      <w:r w:rsidRPr="00044994">
        <w:rPr>
          <w:rFonts w:ascii="Arial" w:eastAsia="Times New Roman" w:hAnsi="Arial" w:cs="Arial"/>
          <w:i/>
          <w:szCs w:val="20"/>
          <w:lang w:val="en-GB"/>
        </w:rPr>
        <w:t>Saccharomyces</w:t>
      </w:r>
      <w:r w:rsidRPr="00044994">
        <w:rPr>
          <w:rFonts w:ascii="Arial" w:eastAsia="Times New Roman" w:hAnsi="Arial" w:cs="Arial"/>
          <w:i/>
          <w:szCs w:val="20"/>
        </w:rPr>
        <w:t xml:space="preserve"> </w:t>
      </w:r>
      <w:r w:rsidRPr="00044994">
        <w:rPr>
          <w:rFonts w:ascii="Arial" w:eastAsia="Times New Roman" w:hAnsi="Arial" w:cs="Arial"/>
          <w:i/>
          <w:szCs w:val="20"/>
          <w:lang w:val="en-GB"/>
        </w:rPr>
        <w:t>cerevisiae</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με την τεχνολογία του </w:t>
      </w:r>
      <w:proofErr w:type="spellStart"/>
      <w:r w:rsidRPr="00044994">
        <w:rPr>
          <w:rFonts w:ascii="Arial" w:eastAsia="Times New Roman" w:hAnsi="Arial" w:cs="Arial"/>
          <w:szCs w:val="20"/>
        </w:rPr>
        <w:t>ανασυνδυασμένου</w:t>
      </w:r>
      <w:proofErr w:type="spellEnd"/>
      <w:r w:rsidRPr="00044994">
        <w:rPr>
          <w:rFonts w:ascii="Arial" w:eastAsia="Times New Roman" w:hAnsi="Arial" w:cs="Arial"/>
          <w:szCs w:val="20"/>
        </w:rPr>
        <w:t xml:space="preserve"> </w:t>
      </w:r>
      <w:r w:rsidRPr="00044994">
        <w:rPr>
          <w:rFonts w:ascii="Arial" w:eastAsia="Times New Roman" w:hAnsi="Arial" w:cs="Arial"/>
          <w:szCs w:val="20"/>
          <w:lang w:val="en-US"/>
        </w:rPr>
        <w:t>DNA</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Για τον πλήρη κατάλογο των εκδόχων βλ. παράγραφο 6.1</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6"/>
        </w:numPr>
        <w:tabs>
          <w:tab w:val="left" w:pos="567"/>
        </w:tabs>
        <w:spacing w:after="0" w:line="240" w:lineRule="auto"/>
        <w:ind w:left="600" w:hanging="600"/>
        <w:jc w:val="both"/>
        <w:rPr>
          <w:rFonts w:ascii="Arial" w:eastAsia="Times New Roman" w:hAnsi="Arial" w:cs="Arial"/>
          <w:b/>
          <w:szCs w:val="20"/>
          <w:lang w:val="en-GB"/>
        </w:rPr>
      </w:pPr>
      <w:r w:rsidRPr="00044994">
        <w:rPr>
          <w:rFonts w:ascii="Arial" w:eastAsia="Times New Roman" w:hAnsi="Arial" w:cs="Arial"/>
          <w:b/>
          <w:szCs w:val="20"/>
          <w:lang w:val="en-GB"/>
        </w:rPr>
        <w:t>ΦΑΡΜΑΚΟΤΕΧΝΙΚΗ ΜΟΡΦΗ</w:t>
      </w:r>
    </w:p>
    <w:p w:rsidR="00E05BBC" w:rsidRPr="00044994" w:rsidRDefault="00E05BBC" w:rsidP="00E05BBC">
      <w:pPr>
        <w:tabs>
          <w:tab w:val="left" w:pos="567"/>
        </w:tabs>
        <w:spacing w:after="0" w:line="240" w:lineRule="auto"/>
        <w:jc w:val="both"/>
        <w:rPr>
          <w:rFonts w:ascii="Arial" w:eastAsia="Times New Roman" w:hAnsi="Arial" w:cs="Arial"/>
          <w:szCs w:val="20"/>
          <w:lang w:val="en-GB"/>
        </w:rPr>
      </w:pPr>
    </w:p>
    <w:p w:rsidR="00E05BBC" w:rsidRPr="00044994" w:rsidRDefault="00E05BBC" w:rsidP="00E05BBC">
      <w:pPr>
        <w:tabs>
          <w:tab w:val="left" w:pos="567"/>
        </w:tabs>
        <w:spacing w:after="0" w:line="240" w:lineRule="auto"/>
        <w:jc w:val="both"/>
        <w:rPr>
          <w:rFonts w:ascii="Arial" w:eastAsia="Times New Roman" w:hAnsi="Arial" w:cs="Arial"/>
          <w:szCs w:val="20"/>
          <w:lang w:val="en-GB"/>
        </w:rPr>
      </w:pPr>
      <w:r w:rsidRPr="00044994">
        <w:rPr>
          <w:rFonts w:ascii="Arial" w:eastAsia="Times New Roman" w:hAnsi="Arial" w:cs="Arial"/>
          <w:szCs w:val="20"/>
        </w:rPr>
        <w:t>Για το φιαλίδιο</w:t>
      </w:r>
      <w:r w:rsidRPr="00044994">
        <w:rPr>
          <w:rFonts w:ascii="Arial" w:eastAsia="Times New Roman" w:hAnsi="Arial" w:cs="Arial"/>
          <w:szCs w:val="20"/>
          <w:lang w:val="en-US"/>
        </w:rPr>
        <w:t>:</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Ενέσιμο εναιώρημα.</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Για την </w:t>
      </w:r>
      <w:proofErr w:type="spellStart"/>
      <w:r w:rsidRPr="00044994">
        <w:rPr>
          <w:rFonts w:ascii="Arial" w:eastAsia="Times New Roman" w:hAnsi="Arial" w:cs="Arial"/>
          <w:szCs w:val="20"/>
        </w:rPr>
        <w:t>προγεμισμένη</w:t>
      </w:r>
      <w:proofErr w:type="spellEnd"/>
      <w:r w:rsidRPr="00044994">
        <w:rPr>
          <w:rFonts w:ascii="Arial" w:eastAsia="Times New Roman" w:hAnsi="Arial" w:cs="Arial"/>
          <w:szCs w:val="20"/>
        </w:rPr>
        <w:t xml:space="preserve"> σύριγγα:</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Ενέσιμο εναιώρημα σε </w:t>
      </w:r>
      <w:proofErr w:type="spellStart"/>
      <w:r w:rsidRPr="00044994">
        <w:rPr>
          <w:rFonts w:ascii="Arial" w:eastAsia="Times New Roman" w:hAnsi="Arial" w:cs="Arial"/>
          <w:szCs w:val="20"/>
        </w:rPr>
        <w:t>προγεμισμένη</w:t>
      </w:r>
      <w:proofErr w:type="spellEnd"/>
      <w:r w:rsidRPr="00044994">
        <w:rPr>
          <w:rFonts w:ascii="Arial" w:eastAsia="Times New Roman" w:hAnsi="Arial" w:cs="Arial"/>
          <w:szCs w:val="20"/>
        </w:rPr>
        <w:t xml:space="preserve"> σύριγγα</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Το εναιώρημα είναι θολό λευκό.</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6"/>
        </w:numPr>
        <w:tabs>
          <w:tab w:val="left" w:pos="567"/>
        </w:tabs>
        <w:spacing w:after="0" w:line="240" w:lineRule="auto"/>
        <w:ind w:left="600" w:hanging="600"/>
        <w:jc w:val="both"/>
        <w:rPr>
          <w:rFonts w:ascii="Arial" w:eastAsia="Times New Roman" w:hAnsi="Arial" w:cs="Arial"/>
          <w:b/>
          <w:szCs w:val="20"/>
          <w:lang w:val="en-GB"/>
        </w:rPr>
      </w:pPr>
      <w:r w:rsidRPr="00044994">
        <w:rPr>
          <w:rFonts w:ascii="Arial" w:eastAsia="Times New Roman" w:hAnsi="Arial" w:cs="Arial"/>
          <w:b/>
          <w:szCs w:val="20"/>
          <w:lang w:val="en-GB"/>
        </w:rPr>
        <w:t>ΚΛΙΝΙΚΕΣ ΠΛΗΡΟΦΟΡΙΕΣ</w:t>
      </w:r>
    </w:p>
    <w:p w:rsidR="00E05BBC" w:rsidRPr="00044994" w:rsidRDefault="00E05BBC" w:rsidP="00E05BBC">
      <w:pPr>
        <w:tabs>
          <w:tab w:val="left" w:pos="567"/>
        </w:tabs>
        <w:spacing w:after="0" w:line="240" w:lineRule="auto"/>
        <w:jc w:val="both"/>
        <w:rPr>
          <w:rFonts w:ascii="Arial" w:eastAsia="Times New Roman" w:hAnsi="Arial" w:cs="Arial"/>
          <w:szCs w:val="20"/>
          <w:lang w:val="en-GB"/>
        </w:rPr>
      </w:pPr>
    </w:p>
    <w:p w:rsidR="00E05BBC" w:rsidRPr="00044994" w:rsidRDefault="00E05BBC" w:rsidP="00E05BBC">
      <w:pPr>
        <w:tabs>
          <w:tab w:val="left" w:pos="567"/>
        </w:tabs>
        <w:spacing w:after="0" w:line="240" w:lineRule="auto"/>
        <w:jc w:val="both"/>
        <w:rPr>
          <w:rFonts w:ascii="Arial" w:eastAsia="Times New Roman" w:hAnsi="Arial" w:cs="Arial"/>
          <w:b/>
          <w:szCs w:val="20"/>
          <w:lang w:val="en-GB"/>
        </w:rPr>
      </w:pPr>
      <w:r w:rsidRPr="00044994">
        <w:rPr>
          <w:rFonts w:ascii="Arial" w:eastAsia="Times New Roman" w:hAnsi="Arial" w:cs="Arial"/>
          <w:b/>
          <w:szCs w:val="20"/>
          <w:lang w:val="en-GB"/>
        </w:rPr>
        <w:t>4.1</w:t>
      </w:r>
      <w:r w:rsidRPr="00044994">
        <w:rPr>
          <w:rFonts w:ascii="Arial" w:eastAsia="Times New Roman" w:hAnsi="Arial" w:cs="Arial"/>
          <w:b/>
          <w:szCs w:val="20"/>
          <w:lang w:val="en-GB"/>
        </w:rPr>
        <w:tab/>
      </w:r>
      <w:proofErr w:type="spellStart"/>
      <w:r w:rsidRPr="00044994">
        <w:rPr>
          <w:rFonts w:ascii="Arial" w:eastAsia="Times New Roman" w:hAnsi="Arial" w:cs="Arial"/>
          <w:b/>
          <w:szCs w:val="20"/>
          <w:lang w:val="en-GB"/>
        </w:rPr>
        <w:t>Θερ</w:t>
      </w:r>
      <w:proofErr w:type="spellEnd"/>
      <w:r w:rsidRPr="00044994">
        <w:rPr>
          <w:rFonts w:ascii="Arial" w:eastAsia="Times New Roman" w:hAnsi="Arial" w:cs="Arial"/>
          <w:b/>
          <w:szCs w:val="20"/>
          <w:lang w:val="en-GB"/>
        </w:rPr>
        <w:t xml:space="preserve">απευτικές </w:t>
      </w:r>
      <w:proofErr w:type="spellStart"/>
      <w:r w:rsidRPr="00044994">
        <w:rPr>
          <w:rFonts w:ascii="Arial" w:eastAsia="Times New Roman" w:hAnsi="Arial" w:cs="Arial"/>
          <w:b/>
          <w:szCs w:val="20"/>
          <w:lang w:val="en-GB"/>
        </w:rPr>
        <w:t>ενδείξεις</w:t>
      </w:r>
      <w:proofErr w:type="spellEnd"/>
    </w:p>
    <w:p w:rsidR="00E05BBC" w:rsidRPr="00044994" w:rsidRDefault="00E05BBC" w:rsidP="00E05BBC">
      <w:pPr>
        <w:tabs>
          <w:tab w:val="left" w:pos="567"/>
        </w:tabs>
        <w:spacing w:after="0" w:line="240" w:lineRule="auto"/>
        <w:jc w:val="both"/>
        <w:rPr>
          <w:rFonts w:ascii="Arial" w:eastAsia="Times New Roman" w:hAnsi="Arial" w:cs="Arial"/>
          <w:szCs w:val="20"/>
          <w:lang w:val="en-GB"/>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ενδείκνυται για την ενεργητική ανοσοποίηση έναντι του ιού της λοιμώδους ηπατίτιδας Β (</w:t>
      </w:r>
      <w:r w:rsidRPr="00044994">
        <w:rPr>
          <w:rFonts w:ascii="Arial" w:eastAsia="Times New Roman" w:hAnsi="Arial" w:cs="Arial"/>
          <w:szCs w:val="20"/>
          <w:lang w:val="en-GB"/>
        </w:rPr>
        <w:t>HBV</w:t>
      </w:r>
      <w:r w:rsidRPr="00044994">
        <w:rPr>
          <w:rFonts w:ascii="Arial" w:eastAsia="Times New Roman" w:hAnsi="Arial" w:cs="Arial"/>
          <w:szCs w:val="20"/>
        </w:rPr>
        <w:t xml:space="preserve">) που προκαλείται από όλους τους γνωστούς </w:t>
      </w:r>
      <w:proofErr w:type="spellStart"/>
      <w:r w:rsidRPr="00044994">
        <w:rPr>
          <w:rFonts w:ascii="Arial" w:eastAsia="Times New Roman" w:hAnsi="Arial" w:cs="Arial"/>
          <w:szCs w:val="20"/>
        </w:rPr>
        <w:t>υποτύπους</w:t>
      </w:r>
      <w:proofErr w:type="spellEnd"/>
      <w:r w:rsidRPr="00044994">
        <w:rPr>
          <w:rFonts w:ascii="Arial" w:eastAsia="Times New Roman" w:hAnsi="Arial" w:cs="Arial"/>
          <w:szCs w:val="20"/>
        </w:rPr>
        <w:t xml:space="preserve"> σε </w:t>
      </w:r>
      <w:proofErr w:type="spellStart"/>
      <w:r w:rsidRPr="00044994">
        <w:rPr>
          <w:rFonts w:ascii="Arial" w:eastAsia="Times New Roman" w:hAnsi="Arial" w:cs="Arial"/>
          <w:szCs w:val="20"/>
        </w:rPr>
        <w:t>επίνοσα</w:t>
      </w:r>
      <w:proofErr w:type="spellEnd"/>
      <w:r w:rsidRPr="00044994">
        <w:rPr>
          <w:rFonts w:ascii="Arial" w:eastAsia="Times New Roman" w:hAnsi="Arial" w:cs="Arial"/>
          <w:szCs w:val="20"/>
        </w:rPr>
        <w:t xml:space="preserve"> άτομα ηλικίας 16 ετών και άνω.  Οι  ομάδες του πληθυσμού που πρέπει να ανοσοποιηθούν αποφασίζονται με βάση τις επίσημες συστάσεις.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Επειδή η ηπατίτιδα </w:t>
      </w:r>
      <w:r w:rsidRPr="00044994">
        <w:rPr>
          <w:rFonts w:ascii="Arial" w:eastAsia="Times New Roman" w:hAnsi="Arial" w:cs="Arial"/>
          <w:szCs w:val="20"/>
          <w:lang w:val="en-GB"/>
        </w:rPr>
        <w:t>D</w:t>
      </w:r>
      <w:r w:rsidRPr="00044994">
        <w:rPr>
          <w:rFonts w:ascii="Arial" w:eastAsia="Times New Roman" w:hAnsi="Arial" w:cs="Arial"/>
          <w:szCs w:val="20"/>
        </w:rPr>
        <w:t xml:space="preserve"> (που προκαλείται από τον παράγοντα Δέλτα) δεν εμφανίζεται απουσία της ηπατίτιδας Β ενδέχεται και η ηπατίτιδα </w:t>
      </w:r>
      <w:r w:rsidRPr="00044994">
        <w:rPr>
          <w:rFonts w:ascii="Arial" w:eastAsia="Times New Roman" w:hAnsi="Arial" w:cs="Arial"/>
          <w:szCs w:val="20"/>
          <w:lang w:val="en-GB"/>
        </w:rPr>
        <w:t>D</w:t>
      </w:r>
      <w:r w:rsidRPr="00044994">
        <w:rPr>
          <w:rFonts w:ascii="Arial" w:eastAsia="Times New Roman" w:hAnsi="Arial" w:cs="Arial"/>
          <w:szCs w:val="20"/>
        </w:rPr>
        <w:t xml:space="preserve"> να προλαμβάνεται με τον εμβολιασμό με </w:t>
      </w:r>
      <w:r w:rsidRPr="00044994">
        <w:rPr>
          <w:rFonts w:ascii="Arial" w:eastAsia="Times New Roman" w:hAnsi="Arial" w:cs="Arial"/>
          <w:szCs w:val="20"/>
          <w:lang w:val="en-GB"/>
        </w:rPr>
        <w:t>ENGERIX</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4.2</w:t>
      </w:r>
      <w:r w:rsidRPr="00044994">
        <w:rPr>
          <w:rFonts w:ascii="Arial" w:eastAsia="Times New Roman" w:hAnsi="Arial" w:cs="Arial"/>
          <w:b/>
          <w:szCs w:val="20"/>
        </w:rPr>
        <w:tab/>
        <w:t>Δοσολογία και τρόπος χορήγησης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u w:val="single"/>
        </w:rPr>
      </w:pPr>
      <w:r w:rsidRPr="00044994">
        <w:rPr>
          <w:rFonts w:ascii="Arial" w:eastAsia="Times New Roman" w:hAnsi="Arial" w:cs="Arial"/>
          <w:szCs w:val="20"/>
          <w:u w:val="single"/>
        </w:rPr>
        <w:t>Δοσολογία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i/>
          <w:szCs w:val="20"/>
        </w:rPr>
      </w:pPr>
      <w:r w:rsidRPr="00044994">
        <w:rPr>
          <w:rFonts w:ascii="Arial" w:eastAsia="Times New Roman" w:hAnsi="Arial" w:cs="Arial"/>
          <w:i/>
          <w:szCs w:val="20"/>
        </w:rPr>
        <w:t>Δόση</w:t>
      </w:r>
    </w:p>
    <w:p w:rsidR="00E05BBC" w:rsidRPr="00044994" w:rsidRDefault="00E05BBC" w:rsidP="00E05BBC">
      <w:pPr>
        <w:tabs>
          <w:tab w:val="left" w:pos="567"/>
        </w:tabs>
        <w:spacing w:after="0" w:line="240" w:lineRule="auto"/>
        <w:jc w:val="both"/>
        <w:rPr>
          <w:rFonts w:ascii="Arial" w:eastAsia="Times New Roman" w:hAnsi="Arial" w:cs="Arial"/>
          <w:szCs w:val="20"/>
          <w:u w:val="single"/>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rPr>
        <w:t xml:space="preserve">Το </w:t>
      </w:r>
      <w:r w:rsidRPr="00044994">
        <w:rPr>
          <w:rFonts w:ascii="Arial" w:eastAsia="Times New Roman" w:hAnsi="Arial" w:cs="Arial"/>
          <w:lang w:val="en-GB"/>
        </w:rPr>
        <w:t>ENGERIX</w:t>
      </w:r>
      <w:r w:rsidRPr="00044994">
        <w:rPr>
          <w:rFonts w:ascii="Arial" w:eastAsia="Times New Roman" w:hAnsi="Arial" w:cs="Arial"/>
        </w:rPr>
        <w:t xml:space="preserve"> (20 μ</w:t>
      </w:r>
      <w:r w:rsidRPr="00044994">
        <w:rPr>
          <w:rFonts w:ascii="Arial" w:eastAsia="Times New Roman" w:hAnsi="Arial" w:cs="Arial"/>
          <w:lang w:val="en-GB"/>
        </w:rPr>
        <w:t>g</w:t>
      </w:r>
      <w:r w:rsidRPr="00044994">
        <w:rPr>
          <w:rFonts w:ascii="Arial" w:eastAsia="Times New Roman" w:hAnsi="Arial" w:cs="Arial"/>
        </w:rPr>
        <w:t>/1</w:t>
      </w:r>
      <w:r w:rsidRPr="00044994">
        <w:rPr>
          <w:rFonts w:ascii="Arial" w:eastAsia="Times New Roman" w:hAnsi="Arial" w:cs="Arial"/>
          <w:lang w:val="en-GB"/>
        </w:rPr>
        <w:t>ml</w:t>
      </w:r>
      <w:r w:rsidRPr="00044994">
        <w:rPr>
          <w:rFonts w:ascii="Arial" w:eastAsia="Times New Roman" w:hAnsi="Arial" w:cs="Arial"/>
        </w:rPr>
        <w:t xml:space="preserve">) </w:t>
      </w:r>
      <w:r w:rsidRPr="00044994">
        <w:rPr>
          <w:rFonts w:ascii="Arial" w:eastAsia="Times New Roman" w:hAnsi="Arial" w:cs="Arial"/>
          <w:szCs w:val="20"/>
        </w:rPr>
        <w:t xml:space="preserve">προορίζεται για χρήση σε άτομα ηλικίας 16 ετών και άνω.  </w:t>
      </w:r>
      <w:r w:rsidRPr="00044994">
        <w:rPr>
          <w:rFonts w:ascii="Arial" w:eastAsia="Times New Roman" w:hAnsi="Arial" w:cs="Arial"/>
        </w:rPr>
        <w:t xml:space="preserve">Το </w:t>
      </w:r>
      <w:r w:rsidRPr="00044994">
        <w:rPr>
          <w:rFonts w:ascii="Arial" w:eastAsia="Times New Roman" w:hAnsi="Arial" w:cs="Arial"/>
          <w:lang w:val="en-GB"/>
        </w:rPr>
        <w:t>ENGERIX</w:t>
      </w:r>
      <w:r w:rsidRPr="00044994">
        <w:rPr>
          <w:rFonts w:ascii="Arial" w:eastAsia="Times New Roman" w:hAnsi="Arial" w:cs="Arial"/>
        </w:rPr>
        <w:t xml:space="preserve"> Παιδιατρικό (10 μ</w:t>
      </w:r>
      <w:r w:rsidRPr="00044994">
        <w:rPr>
          <w:rFonts w:ascii="Arial" w:eastAsia="Times New Roman" w:hAnsi="Arial" w:cs="Arial"/>
          <w:lang w:val="en-GB"/>
        </w:rPr>
        <w:t>g</w:t>
      </w:r>
      <w:r w:rsidRPr="00044994">
        <w:rPr>
          <w:rFonts w:ascii="Arial" w:eastAsia="Times New Roman" w:hAnsi="Arial" w:cs="Arial"/>
        </w:rPr>
        <w:t xml:space="preserve">/0.5 </w:t>
      </w:r>
      <w:r w:rsidRPr="00044994">
        <w:rPr>
          <w:rFonts w:ascii="Arial" w:eastAsia="Times New Roman" w:hAnsi="Arial" w:cs="Arial"/>
          <w:lang w:val="en-GB"/>
        </w:rPr>
        <w:t>ml</w:t>
      </w:r>
      <w:r w:rsidRPr="00044994">
        <w:rPr>
          <w:rFonts w:ascii="Arial" w:eastAsia="Times New Roman" w:hAnsi="Arial" w:cs="Arial"/>
        </w:rPr>
        <w:t>)</w:t>
      </w:r>
      <w:r w:rsidRPr="00044994">
        <w:rPr>
          <w:rFonts w:ascii="Arial" w:eastAsia="Times New Roman" w:hAnsi="Arial" w:cs="Arial"/>
          <w:szCs w:val="20"/>
        </w:rPr>
        <w:t xml:space="preserve"> προορίζεται για χρήση σε άτομα μέχρι και  15 ετών.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Ωστόσο </w:t>
      </w:r>
      <w:r w:rsidRPr="00044994">
        <w:rPr>
          <w:rFonts w:ascii="Arial" w:eastAsia="Times New Roman" w:hAnsi="Arial" w:cs="Arial"/>
        </w:rPr>
        <w:t xml:space="preserve">το </w:t>
      </w:r>
      <w:r w:rsidRPr="00044994">
        <w:rPr>
          <w:rFonts w:ascii="Arial" w:eastAsia="Times New Roman" w:hAnsi="Arial" w:cs="Arial"/>
          <w:lang w:val="en-GB"/>
        </w:rPr>
        <w:t>ENGERIX</w:t>
      </w:r>
      <w:r w:rsidRPr="00044994">
        <w:rPr>
          <w:rFonts w:ascii="Arial" w:eastAsia="Times New Roman" w:hAnsi="Arial" w:cs="Arial"/>
        </w:rPr>
        <w:t xml:space="preserve"> (20 μ</w:t>
      </w:r>
      <w:r w:rsidRPr="00044994">
        <w:rPr>
          <w:rFonts w:ascii="Arial" w:eastAsia="Times New Roman" w:hAnsi="Arial" w:cs="Arial"/>
          <w:lang w:val="en-US"/>
        </w:rPr>
        <w:t>g</w:t>
      </w:r>
      <w:r w:rsidRPr="00044994">
        <w:rPr>
          <w:rFonts w:ascii="Arial" w:eastAsia="Times New Roman" w:hAnsi="Arial" w:cs="Arial"/>
        </w:rPr>
        <w:t xml:space="preserve">/1 </w:t>
      </w:r>
      <w:r w:rsidRPr="00044994">
        <w:rPr>
          <w:rFonts w:ascii="Arial" w:eastAsia="Times New Roman" w:hAnsi="Arial" w:cs="Arial"/>
          <w:lang w:val="en-US"/>
        </w:rPr>
        <w:t>ml</w:t>
      </w:r>
      <w:r w:rsidRPr="00044994">
        <w:rPr>
          <w:rFonts w:ascii="Arial" w:eastAsia="Times New Roman" w:hAnsi="Arial" w:cs="Arial"/>
        </w:rPr>
        <w:t>)</w:t>
      </w:r>
      <w:r w:rsidRPr="00044994">
        <w:rPr>
          <w:rFonts w:ascii="Arial" w:eastAsia="Times New Roman" w:hAnsi="Arial" w:cs="Arial"/>
          <w:szCs w:val="20"/>
        </w:rPr>
        <w:t xml:space="preserve"> μπορεί επίσης να χορηγηθεί σε άτομα ηλικίας από 11 ετών έως και 15 ετών, σαν σχήμα 2 δόσεων σε περιπτώσεις όπου αναμένεται μικρός κίνδυνος λοίμωξης από ηπατίτιδα Β κατά τη διάρκεια του εμβολιασμού και όπου μπορεί να διασφαλισθεί η συμμόρφωση με το πλήρες σχήμα του  εμβολιασμού (βλέπε παρακάτω και παράγραφο 5.1).</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i/>
          <w:szCs w:val="20"/>
        </w:rPr>
      </w:pPr>
      <w:r w:rsidRPr="00044994">
        <w:rPr>
          <w:rFonts w:ascii="Arial" w:eastAsia="Times New Roman" w:hAnsi="Arial" w:cs="Arial"/>
          <w:i/>
          <w:szCs w:val="20"/>
        </w:rPr>
        <w:t>Αρχικό σχήμα εμβολισμού</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426"/>
          <w:tab w:val="left" w:pos="567"/>
        </w:tabs>
        <w:spacing w:after="0" w:line="240" w:lineRule="auto"/>
        <w:ind w:left="426" w:hanging="426"/>
        <w:jc w:val="both"/>
        <w:rPr>
          <w:rFonts w:ascii="Arial" w:eastAsia="Times New Roman" w:hAnsi="Arial" w:cs="Arial"/>
          <w:szCs w:val="20"/>
        </w:rPr>
      </w:pPr>
      <w:r w:rsidRPr="00044994">
        <w:rPr>
          <w:rFonts w:ascii="Arial" w:eastAsia="Times New Roman" w:hAnsi="Arial" w:cs="Arial"/>
          <w:szCs w:val="20"/>
        </w:rPr>
        <w:t>-</w:t>
      </w:r>
      <w:r w:rsidRPr="00044994">
        <w:rPr>
          <w:rFonts w:ascii="Arial" w:eastAsia="Times New Roman" w:hAnsi="Arial" w:cs="Arial"/>
          <w:szCs w:val="20"/>
        </w:rPr>
        <w:tab/>
        <w:t>Άτομα ηλικίας 16 ετών και άνω.</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Δύο σχήματα αρχικού εμβολιασμού μπορεί να συστηθούν: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Ένα σχήμα στους 0, 1 και 6 μήνες το οποίο δίνει την ιδανική προστασία τον μήνα 7 και παράγει υψηλότερες </w:t>
      </w:r>
      <w:r w:rsidRPr="00044994">
        <w:rPr>
          <w:rFonts w:ascii="Arial" w:eastAsia="Times New Roman" w:hAnsi="Arial" w:cs="Arial"/>
        </w:rPr>
        <w:t>συγκεντρώσεις</w:t>
      </w:r>
      <w:r w:rsidRPr="00044994">
        <w:rPr>
          <w:rFonts w:ascii="Arial" w:eastAsia="Times New Roman" w:hAnsi="Arial" w:cs="Arial"/>
          <w:szCs w:val="20"/>
        </w:rPr>
        <w:t xml:space="preserve"> αντισωμάτων.</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 </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Ένα βραχύτερο σχήμα στους 0, 1 και 2 μήνες θα προσφέρει προστασία πιο γρήγορα και αναμένεται να παρέχει την καλύτερη συμμόρφωση του ασθενούς. Με αυτό το σχήμα μία τέταρτη δόση πρέπει να χορηγηθεί σε 12 μήνες για να διασφαλισθεί παρατεταμένη προστασία καθώς οι </w:t>
      </w:r>
      <w:r w:rsidRPr="00044994">
        <w:rPr>
          <w:rFonts w:ascii="Arial" w:eastAsia="Times New Roman" w:hAnsi="Arial" w:cs="Arial"/>
        </w:rPr>
        <w:t xml:space="preserve">συγκεντρώσεις </w:t>
      </w:r>
      <w:r w:rsidRPr="00044994">
        <w:rPr>
          <w:rFonts w:ascii="Arial" w:eastAsia="Times New Roman" w:hAnsi="Arial" w:cs="Arial"/>
          <w:szCs w:val="20"/>
        </w:rPr>
        <w:t xml:space="preserve">μετά την τρίτη δόση είναι μικρότερες από αυτές που επετεύχθησαν μετά το σχήμα στους 0, 1, 6 μήνες.  </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426"/>
          <w:tab w:val="left" w:pos="567"/>
        </w:tabs>
        <w:spacing w:after="0" w:line="240" w:lineRule="auto"/>
        <w:ind w:left="426" w:hanging="426"/>
        <w:jc w:val="both"/>
        <w:rPr>
          <w:rFonts w:ascii="Arial" w:eastAsia="Times New Roman" w:hAnsi="Arial" w:cs="Arial"/>
          <w:szCs w:val="20"/>
        </w:rPr>
      </w:pPr>
      <w:r w:rsidRPr="00044994">
        <w:rPr>
          <w:rFonts w:ascii="Arial" w:eastAsia="Times New Roman" w:hAnsi="Arial" w:cs="Arial"/>
          <w:szCs w:val="20"/>
        </w:rPr>
        <w:t>-</w:t>
      </w:r>
      <w:r w:rsidRPr="00044994">
        <w:rPr>
          <w:rFonts w:ascii="Arial" w:eastAsia="Times New Roman" w:hAnsi="Arial" w:cs="Arial"/>
          <w:szCs w:val="20"/>
        </w:rPr>
        <w:tab/>
        <w:t>Άτομα ηλικίας 18 ετών και άνω:</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Σε εξαιρετικές περιπτώσεις, σε ενήλικες όπου απαιτείται ακόμα ταχύτερη επίτευξη προστασίας, </w:t>
      </w:r>
      <w:proofErr w:type="spellStart"/>
      <w:r w:rsidRPr="00044994">
        <w:rPr>
          <w:rFonts w:ascii="Arial" w:eastAsia="Times New Roman" w:hAnsi="Arial" w:cs="Arial"/>
          <w:szCs w:val="20"/>
        </w:rPr>
        <w:t>π.χ</w:t>
      </w:r>
      <w:proofErr w:type="spellEnd"/>
      <w:r w:rsidRPr="00044994">
        <w:rPr>
          <w:rFonts w:ascii="Arial" w:eastAsia="Times New Roman" w:hAnsi="Arial" w:cs="Arial"/>
          <w:szCs w:val="20"/>
        </w:rPr>
        <w:t xml:space="preserve"> άτομα που ταξιδεύουν σε περιοχές μεγάλης ενδημικότητας και οι οποίοι ξεκινούν ένα σχήμα εμβολιασμού κατά της Ηπατίτιδας Β ένα μήνα πριν την αναχώρηση, μπορεί να εφαρμοσθεί ένα σχήμα τριών ενδομυϊκών ενέσεων στις 0, 7 και 21 ημέρες.  Όταν εφαρμοστεί αυτό το σχήμα, συνιστάται τέταρτη δόση 12 μήνες μετά την πρώτη δόση. </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4"/>
        </w:num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Άτομα από 11 μέχρι και 15 ετών.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lang w:val="en-GB"/>
        </w:rPr>
        <w:t>ENGERIX</w:t>
      </w:r>
      <w:r w:rsidRPr="00044994">
        <w:rPr>
          <w:rFonts w:ascii="Arial" w:eastAsia="Times New Roman" w:hAnsi="Arial" w:cs="Arial"/>
        </w:rPr>
        <w:t xml:space="preserve"> (20 μ</w:t>
      </w:r>
      <w:r w:rsidRPr="00044994">
        <w:rPr>
          <w:rFonts w:ascii="Arial" w:eastAsia="Times New Roman" w:hAnsi="Arial" w:cs="Arial"/>
          <w:lang w:val="en-US"/>
        </w:rPr>
        <w:t>g</w:t>
      </w:r>
      <w:r w:rsidRPr="00044994">
        <w:rPr>
          <w:rFonts w:ascii="Arial" w:eastAsia="Times New Roman" w:hAnsi="Arial" w:cs="Arial"/>
        </w:rPr>
        <w:t>/1</w:t>
      </w:r>
      <w:r w:rsidRPr="00044994">
        <w:rPr>
          <w:rFonts w:ascii="Arial" w:eastAsia="Times New Roman" w:hAnsi="Arial" w:cs="Arial"/>
          <w:lang w:val="en-US"/>
        </w:rPr>
        <w:t>ml</w:t>
      </w:r>
      <w:r w:rsidRPr="00044994">
        <w:rPr>
          <w:rFonts w:ascii="Arial" w:eastAsia="Times New Roman" w:hAnsi="Arial" w:cs="Arial"/>
        </w:rPr>
        <w:t>)</w:t>
      </w:r>
      <w:r w:rsidRPr="00044994">
        <w:rPr>
          <w:rFonts w:ascii="Arial" w:eastAsia="Times New Roman" w:hAnsi="Arial" w:cs="Arial"/>
          <w:szCs w:val="20"/>
        </w:rPr>
        <w:t xml:space="preserve"> μπορεί να χορηγηθεί σε άτομα από 11 ετών μέχρι και 15 ετών, σύμφωνα με σχήμα 0, 6 μηνών. Σε αυτή τη περίπτωση, η προστασία έναντι λοιμώξεων από ηπατίτιδα Β μπορεί να μην επιτευχθεί μέχρι να χορηγηθεί η δεύτερη δόση (βλέπε 5.1). Επομένως το σχήμα αυτό πρέπει να χρησιμοποιείται μόνο αν κατά τη  διάρκεια του εμβολιασμού υπάρχει σχετικά μικρός κίνδυνος για λοίμωξη από ηπατίτιδα Β και αν η ολοκλήρωση του σχήματος εμβολιασμού με δύο δόσεις μπορεί να διασφαλισθεί. Αν και οι δύο συνθήκες δεν μπορούν να διασφαλισθούν (για παράδειγμα ασθενείς που υπόκεινται σε αιμοκάθαρση, ταξιδιώτες σε ενδημικές περιοχές και άτομα που έρχονται στενή επαφή με μολυσμένα άτομα) πρέπει να χρησιμοποιηθεί το σχήμα τριών δόσεων ή το επιταχυνόμενο σχήμα του </w:t>
      </w:r>
      <w:r w:rsidRPr="00044994">
        <w:rPr>
          <w:rFonts w:ascii="Arial" w:eastAsia="Times New Roman" w:hAnsi="Arial" w:cs="Arial"/>
        </w:rPr>
        <w:t xml:space="preserve"> </w:t>
      </w:r>
      <w:r w:rsidRPr="00044994">
        <w:rPr>
          <w:rFonts w:ascii="Arial" w:eastAsia="Times New Roman" w:hAnsi="Arial" w:cs="Arial"/>
          <w:lang w:val="en-GB"/>
        </w:rPr>
        <w:t>ENGERIX</w:t>
      </w:r>
      <w:r w:rsidRPr="00044994">
        <w:rPr>
          <w:rFonts w:ascii="Arial" w:eastAsia="Times New Roman" w:hAnsi="Arial" w:cs="Arial"/>
        </w:rPr>
        <w:t xml:space="preserve"> Παιδιατρικού (10 μ</w:t>
      </w:r>
      <w:r w:rsidRPr="00044994">
        <w:rPr>
          <w:rFonts w:ascii="Arial" w:eastAsia="Times New Roman" w:hAnsi="Arial" w:cs="Arial"/>
          <w:lang w:val="en-US"/>
        </w:rPr>
        <w:t>g</w:t>
      </w:r>
      <w:r w:rsidRPr="00044994">
        <w:rPr>
          <w:rFonts w:ascii="Arial" w:eastAsia="Times New Roman" w:hAnsi="Arial" w:cs="Arial"/>
        </w:rPr>
        <w:t xml:space="preserve">/0,5 </w:t>
      </w:r>
      <w:r w:rsidRPr="00044994">
        <w:rPr>
          <w:rFonts w:ascii="Arial" w:eastAsia="Times New Roman" w:hAnsi="Arial" w:cs="Arial"/>
          <w:lang w:val="en-US"/>
        </w:rPr>
        <w:t>ml</w:t>
      </w:r>
      <w:r w:rsidRPr="00044994">
        <w:rPr>
          <w:rFonts w:ascii="Arial" w:eastAsia="Times New Roman" w:hAnsi="Arial" w:cs="Arial"/>
        </w:rPr>
        <w:t>)</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1"/>
        </w:num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Ασθενείς με νεφρική ανεπάρκεια περιλαμβανομένων των ασθενών που υπόκεινται σε αιμοκάθαρση ηλικίας 16 ετών και άνω:</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αρχικό σχήμα εμβολιασμού σε ασθενείς με νεφρική ανεπάρκεια περιλαμβανομένων των ασθενών που υπόκεινται σε αιμοκάθαρση είναι τέσσερις διπλές δόσεις (2 </w:t>
      </w:r>
      <w:r w:rsidRPr="00044994">
        <w:rPr>
          <w:rFonts w:ascii="Arial" w:eastAsia="Times New Roman" w:hAnsi="Arial" w:cs="Arial"/>
          <w:szCs w:val="20"/>
          <w:lang w:val="en-US"/>
        </w:rPr>
        <w:t>x</w:t>
      </w:r>
      <w:r w:rsidRPr="00044994">
        <w:rPr>
          <w:rFonts w:ascii="Arial" w:eastAsia="Times New Roman" w:hAnsi="Arial" w:cs="Arial"/>
          <w:szCs w:val="20"/>
        </w:rPr>
        <w:t xml:space="preserve"> 20 μ</w:t>
      </w:r>
      <w:r w:rsidRPr="00044994">
        <w:rPr>
          <w:rFonts w:ascii="Arial" w:eastAsia="Times New Roman" w:hAnsi="Arial" w:cs="Arial"/>
          <w:szCs w:val="20"/>
          <w:lang w:val="en-US"/>
        </w:rPr>
        <w:t>g</w:t>
      </w:r>
      <w:r w:rsidRPr="00044994">
        <w:rPr>
          <w:rFonts w:ascii="Arial" w:eastAsia="Times New Roman" w:hAnsi="Arial" w:cs="Arial"/>
          <w:szCs w:val="20"/>
        </w:rPr>
        <w:t xml:space="preserve">) σε μία επιλεγμένη ημερομηνία 1 μήνα, 2 μήνες και 6 μήνες </w:t>
      </w:r>
      <w:r w:rsidRPr="00044994">
        <w:rPr>
          <w:rFonts w:ascii="Arial" w:eastAsia="Times New Roman" w:hAnsi="Arial" w:cs="Arial"/>
          <w:szCs w:val="20"/>
        </w:rPr>
        <w:lastRenderedPageBreak/>
        <w:t>από την ημερομηνία της πρώτης δόσης. Το σχήμα του εμβολιασμού θα πρέπει να προσαρμόζεται ώστε να διασφαλισθεί ότι οι συγκεντρώσεις των αντί-</w:t>
      </w:r>
      <w:r w:rsidRPr="00044994">
        <w:rPr>
          <w:rFonts w:ascii="Arial" w:eastAsia="Times New Roman" w:hAnsi="Arial" w:cs="Arial"/>
          <w:szCs w:val="20"/>
          <w:lang w:val="en-US"/>
        </w:rPr>
        <w:t>HB</w:t>
      </w:r>
      <w:r w:rsidRPr="00044994">
        <w:rPr>
          <w:rFonts w:ascii="Arial" w:eastAsia="Times New Roman" w:hAnsi="Arial" w:cs="Arial"/>
          <w:szCs w:val="20"/>
        </w:rPr>
        <w:t xml:space="preserve"> αντισωμάτων παραμένει ίσος ή μεγαλύτερος από το αποδεκτό προστατευτικό επίπεδο των 10 </w:t>
      </w:r>
      <w:r w:rsidRPr="00044994">
        <w:rPr>
          <w:rFonts w:ascii="Arial" w:eastAsia="Times New Roman" w:hAnsi="Arial" w:cs="Arial"/>
          <w:szCs w:val="20"/>
          <w:lang w:val="en-GB"/>
        </w:rPr>
        <w:t>IU</w:t>
      </w:r>
      <w:r w:rsidRPr="00044994">
        <w:rPr>
          <w:rFonts w:ascii="Arial" w:eastAsia="Times New Roman" w:hAnsi="Arial" w:cs="Arial"/>
          <w:szCs w:val="20"/>
        </w:rPr>
        <w:t>/</w:t>
      </w:r>
      <w:r w:rsidRPr="00044994">
        <w:rPr>
          <w:rFonts w:ascii="Arial" w:eastAsia="Times New Roman" w:hAnsi="Arial" w:cs="Arial"/>
          <w:szCs w:val="20"/>
          <w:lang w:val="en-GB"/>
        </w:rPr>
        <w:t>l</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2"/>
        </w:num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Γνωστή ή υποψία έκθεσης σε </w:t>
      </w:r>
      <w:r w:rsidRPr="00044994">
        <w:rPr>
          <w:rFonts w:ascii="Arial" w:eastAsia="Times New Roman" w:hAnsi="Arial" w:cs="Arial"/>
          <w:szCs w:val="20"/>
          <w:lang w:val="en-GB"/>
        </w:rPr>
        <w:t>HBV</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Σε περιπτώσεις όπου η έκθεση στον ιό της ηπατίτιδας Β έχει συμβεί πρόσφατα (</w:t>
      </w:r>
      <w:proofErr w:type="spellStart"/>
      <w:r w:rsidRPr="00044994">
        <w:rPr>
          <w:rFonts w:ascii="Arial" w:eastAsia="Times New Roman" w:hAnsi="Arial" w:cs="Arial"/>
          <w:szCs w:val="20"/>
        </w:rPr>
        <w:t>π.χ</w:t>
      </w:r>
      <w:proofErr w:type="spellEnd"/>
      <w:r w:rsidRPr="00044994">
        <w:rPr>
          <w:rFonts w:ascii="Arial" w:eastAsia="Times New Roman" w:hAnsi="Arial" w:cs="Arial"/>
          <w:szCs w:val="20"/>
        </w:rPr>
        <w:t xml:space="preserve"> με μολυσμένη βελόνα) η πρώτη δόση του </w:t>
      </w:r>
      <w:r w:rsidRPr="00044994">
        <w:rPr>
          <w:rFonts w:ascii="Arial" w:eastAsia="Times New Roman" w:hAnsi="Arial" w:cs="Arial"/>
          <w:szCs w:val="20"/>
          <w:lang w:val="en-GB"/>
        </w:rPr>
        <w:t>ENGERIX</w:t>
      </w:r>
      <w:r w:rsidRPr="00044994">
        <w:rPr>
          <w:rFonts w:ascii="Arial" w:eastAsia="Times New Roman" w:hAnsi="Arial" w:cs="Arial"/>
          <w:szCs w:val="20"/>
        </w:rPr>
        <w:t xml:space="preserve"> μπορεί να χορηγηθεί ταυτόχρονα με </w:t>
      </w:r>
      <w:proofErr w:type="spellStart"/>
      <w:r w:rsidRPr="00044994">
        <w:rPr>
          <w:rFonts w:ascii="Arial" w:eastAsia="Times New Roman" w:hAnsi="Arial" w:cs="Arial"/>
          <w:szCs w:val="20"/>
          <w:lang w:val="en-GB"/>
        </w:rPr>
        <w:t>HBIg</w:t>
      </w:r>
      <w:proofErr w:type="spellEnd"/>
      <w:r w:rsidRPr="00044994">
        <w:rPr>
          <w:rFonts w:ascii="Arial" w:eastAsia="Times New Roman" w:hAnsi="Arial" w:cs="Arial"/>
          <w:szCs w:val="20"/>
        </w:rPr>
        <w:t xml:space="preserve">, η οποία ωστόσο πρέπει να </w:t>
      </w:r>
      <w:proofErr w:type="spellStart"/>
      <w:r w:rsidRPr="00044994">
        <w:rPr>
          <w:rFonts w:ascii="Arial" w:eastAsia="Times New Roman" w:hAnsi="Arial" w:cs="Arial"/>
          <w:szCs w:val="20"/>
        </w:rPr>
        <w:t>ενεθεί</w:t>
      </w:r>
      <w:proofErr w:type="spellEnd"/>
      <w:r w:rsidRPr="00044994">
        <w:rPr>
          <w:rFonts w:ascii="Arial" w:eastAsia="Times New Roman" w:hAnsi="Arial" w:cs="Arial"/>
          <w:szCs w:val="20"/>
        </w:rPr>
        <w:t xml:space="preserve"> σε διαφορετικό σημείο ένεσης (βλέπε 4.5). Συνιστάται το σχήμα εμβολιασμού 0. 1, 2-12 μήνες.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Αυτά τα σχήματα εμβολιασμού μπορεί να προσαρμοσθούν ανάλογα με τις εθνικές συστάσεις </w:t>
      </w:r>
      <w:r w:rsidRPr="00044994">
        <w:rPr>
          <w:rFonts w:ascii="Arial" w:eastAsia="Times New Roman" w:hAnsi="Arial" w:cs="Arial"/>
        </w:rPr>
        <w:t>για τον εμβολιασμό</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u w:val="single"/>
        </w:rPr>
      </w:pPr>
    </w:p>
    <w:p w:rsidR="00E05BBC" w:rsidRPr="00044994" w:rsidRDefault="00E05BBC" w:rsidP="00E05BBC">
      <w:pPr>
        <w:tabs>
          <w:tab w:val="left" w:pos="567"/>
        </w:tabs>
        <w:spacing w:after="0" w:line="240" w:lineRule="auto"/>
        <w:jc w:val="both"/>
        <w:rPr>
          <w:rFonts w:ascii="Arial" w:eastAsia="Times New Roman" w:hAnsi="Arial" w:cs="Arial"/>
          <w:i/>
          <w:szCs w:val="20"/>
        </w:rPr>
      </w:pPr>
      <w:r w:rsidRPr="00044994">
        <w:rPr>
          <w:rFonts w:ascii="Arial" w:eastAsia="Times New Roman" w:hAnsi="Arial" w:cs="Arial"/>
          <w:i/>
          <w:szCs w:val="20"/>
        </w:rPr>
        <w:t>Αναμνηστική δόση</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Τα υπάρχοντα στοιχεία δεν υποστηρίζουν την ανάγκη για αναμνηστικό εμβολιασμό μεταξύ των </w:t>
      </w:r>
      <w:proofErr w:type="spellStart"/>
      <w:r w:rsidRPr="00044994">
        <w:rPr>
          <w:rFonts w:ascii="Arial" w:eastAsia="Times New Roman" w:hAnsi="Arial" w:cs="Arial"/>
          <w:szCs w:val="20"/>
        </w:rPr>
        <w:t>ανοσοεπαρκών</w:t>
      </w:r>
      <w:proofErr w:type="spellEnd"/>
      <w:r w:rsidRPr="00044994">
        <w:rPr>
          <w:rFonts w:ascii="Arial" w:eastAsia="Times New Roman" w:hAnsi="Arial" w:cs="Arial"/>
          <w:szCs w:val="20"/>
        </w:rPr>
        <w:t xml:space="preserve"> ατόμων που έχουν ανταποκριθεί σε ένα πλήρες σχήμα εμβολιασμού (</w:t>
      </w:r>
      <w:r w:rsidRPr="00044994">
        <w:rPr>
          <w:rFonts w:ascii="Arial" w:eastAsia="Times New Roman" w:hAnsi="Arial" w:cs="Arial"/>
          <w:szCs w:val="20"/>
          <w:lang w:val="en-US"/>
        </w:rPr>
        <w:t>Lancet</w:t>
      </w:r>
      <w:r w:rsidRPr="00044994">
        <w:rPr>
          <w:rFonts w:ascii="Arial" w:eastAsia="Times New Roman" w:hAnsi="Arial" w:cs="Arial"/>
          <w:szCs w:val="20"/>
        </w:rPr>
        <w:t xml:space="preserve"> 2000, 3555:61).</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Ωστόσο σε </w:t>
      </w:r>
      <w:proofErr w:type="spellStart"/>
      <w:r w:rsidRPr="00044994">
        <w:rPr>
          <w:rFonts w:ascii="Arial" w:eastAsia="Times New Roman" w:hAnsi="Arial" w:cs="Arial"/>
          <w:szCs w:val="20"/>
        </w:rPr>
        <w:t>ανοσοκατεσταλμένα</w:t>
      </w:r>
      <w:proofErr w:type="spellEnd"/>
      <w:r w:rsidRPr="00044994">
        <w:rPr>
          <w:rFonts w:ascii="Arial" w:eastAsia="Times New Roman" w:hAnsi="Arial" w:cs="Arial"/>
          <w:szCs w:val="20"/>
        </w:rPr>
        <w:t xml:space="preserve"> άτομα (</w:t>
      </w:r>
      <w:proofErr w:type="spellStart"/>
      <w:r w:rsidRPr="00044994">
        <w:rPr>
          <w:rFonts w:ascii="Arial" w:eastAsia="Times New Roman" w:hAnsi="Arial" w:cs="Arial"/>
          <w:szCs w:val="20"/>
        </w:rPr>
        <w:t>π.χ</w:t>
      </w:r>
      <w:proofErr w:type="spellEnd"/>
      <w:r w:rsidRPr="00044994">
        <w:rPr>
          <w:rFonts w:ascii="Arial" w:eastAsia="Times New Roman" w:hAnsi="Arial" w:cs="Arial"/>
          <w:szCs w:val="20"/>
        </w:rPr>
        <w:t xml:space="preserve"> άτομα με χρόνια νεφρική ανεπάρκεια, ασθενείς σε αιμοκάθαρση, άτομα θετικά στον </w:t>
      </w:r>
      <w:r w:rsidRPr="00044994">
        <w:rPr>
          <w:rFonts w:ascii="Arial" w:eastAsia="Times New Roman" w:hAnsi="Arial" w:cs="Arial"/>
          <w:szCs w:val="20"/>
          <w:lang w:val="en-US"/>
        </w:rPr>
        <w:t>HIV</w:t>
      </w:r>
      <w:r w:rsidRPr="00044994">
        <w:rPr>
          <w:rFonts w:ascii="Arial" w:eastAsia="Times New Roman" w:hAnsi="Arial" w:cs="Arial"/>
          <w:szCs w:val="20"/>
        </w:rPr>
        <w:t>), πρέπει να χορηγούνται αναμνηστικές δόσεις για να διατηρούν τις συγκεντρώσεις των αντί-</w:t>
      </w:r>
      <w:r w:rsidRPr="00044994">
        <w:rPr>
          <w:rFonts w:ascii="Arial" w:eastAsia="Times New Roman" w:hAnsi="Arial" w:cs="Arial"/>
          <w:szCs w:val="20"/>
          <w:lang w:val="en-US"/>
        </w:rPr>
        <w:t>HB</w:t>
      </w:r>
      <w:r w:rsidRPr="00044994">
        <w:rPr>
          <w:rFonts w:ascii="Arial" w:eastAsia="Times New Roman" w:hAnsi="Arial" w:cs="Arial"/>
          <w:szCs w:val="20"/>
        </w:rPr>
        <w:t xml:space="preserve"> αντισωμάτων ίσες ή υψηλότερες από το αποδεκτό προστατευτικό επίπεδο των 10 </w:t>
      </w:r>
      <w:r w:rsidRPr="00044994">
        <w:rPr>
          <w:rFonts w:ascii="Arial" w:eastAsia="Times New Roman" w:hAnsi="Arial" w:cs="Arial"/>
          <w:szCs w:val="20"/>
          <w:lang w:val="en-GB"/>
        </w:rPr>
        <w:t>IU</w:t>
      </w:r>
      <w:r w:rsidRPr="00044994">
        <w:rPr>
          <w:rFonts w:ascii="Arial" w:eastAsia="Times New Roman" w:hAnsi="Arial" w:cs="Arial"/>
          <w:szCs w:val="20"/>
        </w:rPr>
        <w:t>/</w:t>
      </w:r>
      <w:r w:rsidRPr="00044994">
        <w:rPr>
          <w:rFonts w:ascii="Arial" w:eastAsia="Times New Roman" w:hAnsi="Arial" w:cs="Arial"/>
          <w:szCs w:val="20"/>
          <w:lang w:val="en-GB"/>
        </w:rPr>
        <w:t>l</w:t>
      </w:r>
      <w:r w:rsidRPr="00044994">
        <w:rPr>
          <w:rFonts w:ascii="Arial" w:eastAsia="Times New Roman" w:hAnsi="Arial" w:cs="Arial"/>
          <w:szCs w:val="20"/>
        </w:rPr>
        <w:t xml:space="preserve">. Γι αυτά τα </w:t>
      </w:r>
      <w:proofErr w:type="spellStart"/>
      <w:r w:rsidRPr="00044994">
        <w:rPr>
          <w:rFonts w:ascii="Arial" w:eastAsia="Times New Roman" w:hAnsi="Arial" w:cs="Arial"/>
          <w:szCs w:val="20"/>
        </w:rPr>
        <w:t>ανοσοκατεσταλμένα</w:t>
      </w:r>
      <w:proofErr w:type="spellEnd"/>
      <w:r w:rsidRPr="00044994">
        <w:rPr>
          <w:rFonts w:ascii="Arial" w:eastAsia="Times New Roman" w:hAnsi="Arial" w:cs="Arial"/>
          <w:szCs w:val="20"/>
        </w:rPr>
        <w:t xml:space="preserve"> άτομα συνιστάται έλεγχος μετά τον εμβολιασμό κάθε 6-12 μήνες.</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Θα πρέπει να λαμβάνονται υπόψη οι εθνικές συστάσεις για τις αναμνηστικές δόσεις.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u w:val="single"/>
        </w:rPr>
        <w:t>Εναλλαγή εμβολίων Ηπατίτιδας Β</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Βλέπε παράγραφο 4.5.</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u w:val="single"/>
        </w:rPr>
      </w:pPr>
      <w:r w:rsidRPr="00044994">
        <w:rPr>
          <w:rFonts w:ascii="Arial" w:eastAsia="Times New Roman" w:hAnsi="Arial" w:cs="Arial"/>
          <w:szCs w:val="20"/>
          <w:u w:val="single"/>
        </w:rPr>
        <w:t>Τρόπος χορήγησης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πρέπει να χορηγείται ενδομυϊκά στον δελτοειδή μυ.</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Σε εξαιρετικές περιπτώσεις, το εμβόλιο μπορεί να χορηγηθεί υποδόρια σε ασθενείς με </w:t>
      </w:r>
      <w:proofErr w:type="spellStart"/>
      <w:r w:rsidRPr="00044994">
        <w:rPr>
          <w:rFonts w:ascii="Arial" w:eastAsia="Times New Roman" w:hAnsi="Arial" w:cs="Arial"/>
          <w:szCs w:val="20"/>
        </w:rPr>
        <w:t>θρομβοπενία</w:t>
      </w:r>
      <w:proofErr w:type="spellEnd"/>
      <w:r w:rsidRPr="00044994">
        <w:rPr>
          <w:rFonts w:ascii="Arial" w:eastAsia="Times New Roman" w:hAnsi="Arial" w:cs="Arial"/>
          <w:szCs w:val="20"/>
        </w:rPr>
        <w:t xml:space="preserve"> ή άλλες αιμορραγικές διαταραχές.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4.3</w:t>
      </w:r>
      <w:r w:rsidRPr="00044994">
        <w:rPr>
          <w:rFonts w:ascii="Arial" w:eastAsia="Times New Roman" w:hAnsi="Arial" w:cs="Arial"/>
          <w:b/>
          <w:szCs w:val="20"/>
        </w:rPr>
        <w:tab/>
        <w:t>Αντενδείξεις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δεν πρέπει να χορηγείται σε άτομα με γνωστή υπερευαισθησία στις δραστικές ουσίες ή σε οποιοδήποτε από τα έκδοχα </w:t>
      </w:r>
      <w:r w:rsidRPr="00044994">
        <w:rPr>
          <w:rFonts w:ascii="Arial" w:eastAsia="Times New Roman" w:hAnsi="Arial" w:cs="Arial"/>
        </w:rPr>
        <w:t xml:space="preserve">που αναφέρονται στην παράγραφο 6.1 </w:t>
      </w:r>
      <w:r w:rsidRPr="00044994">
        <w:rPr>
          <w:rFonts w:ascii="Arial" w:eastAsia="Times New Roman" w:hAnsi="Arial" w:cs="Arial"/>
          <w:szCs w:val="20"/>
        </w:rPr>
        <w:t xml:space="preserve">ή σε άτομα που έχουν δείξει σημεία υπερευαισθησίας μετά από προηγούμενη χορήγηση </w:t>
      </w:r>
      <w:r w:rsidRPr="00044994">
        <w:rPr>
          <w:rFonts w:ascii="Arial" w:eastAsia="Times New Roman" w:hAnsi="Arial" w:cs="Arial"/>
          <w:szCs w:val="20"/>
          <w:lang w:val="en-GB"/>
        </w:rPr>
        <w:t>ENGERIX</w:t>
      </w:r>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Όπως και άλλα εμβόλια η χορήγηση του </w:t>
      </w:r>
      <w:r w:rsidRPr="00044994">
        <w:rPr>
          <w:rFonts w:ascii="Arial" w:eastAsia="Times New Roman" w:hAnsi="Arial" w:cs="Arial"/>
          <w:szCs w:val="20"/>
          <w:lang w:val="en-GB"/>
        </w:rPr>
        <w:t>ENGERIX</w:t>
      </w:r>
      <w:r w:rsidRPr="00044994">
        <w:rPr>
          <w:rFonts w:ascii="Arial" w:eastAsia="Times New Roman" w:hAnsi="Arial" w:cs="Arial"/>
          <w:szCs w:val="20"/>
        </w:rPr>
        <w:t xml:space="preserve"> πρέπει να αναβάλλεται σε άτομα που υποφέρουν από σοβαρά οξέα εμπύρετα νοσήματα. Εν τούτοις η παρουσία μιας ήπιας λοίμωξης δεν αποτελεί αντένδειξη εμβολιασμού.</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4.4</w:t>
      </w:r>
      <w:r w:rsidRPr="00044994">
        <w:rPr>
          <w:rFonts w:ascii="Arial" w:eastAsia="Times New Roman" w:hAnsi="Arial" w:cs="Arial"/>
          <w:b/>
          <w:szCs w:val="20"/>
        </w:rPr>
        <w:tab/>
        <w:t>Ειδικές προειδοποιήσεις και προφυλάξεις κατά τη χρήση</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roofErr w:type="spellStart"/>
      <w:r w:rsidRPr="00044994">
        <w:rPr>
          <w:rFonts w:ascii="Arial" w:eastAsia="Times New Roman" w:hAnsi="Arial" w:cs="Arial"/>
          <w:szCs w:val="20"/>
        </w:rPr>
        <w:t>Συγκοπικό</w:t>
      </w:r>
      <w:proofErr w:type="spellEnd"/>
      <w:r w:rsidRPr="00044994">
        <w:rPr>
          <w:rFonts w:ascii="Arial" w:eastAsia="Times New Roman" w:hAnsi="Arial" w:cs="Arial"/>
          <w:szCs w:val="20"/>
        </w:rPr>
        <w:t xml:space="preserve"> επεισόδιο (λιποθυμία) μπορεί να συμβεί μετά ή ακόμη και πριν από κάθε εμβολιασμό, ειδικά σε εφήβους, ως ψυχογενής αντίδραση στην ένεση. Αυτό μπορεί </w:t>
      </w:r>
      <w:r w:rsidRPr="00044994">
        <w:rPr>
          <w:rFonts w:ascii="Arial" w:eastAsia="Times New Roman" w:hAnsi="Arial" w:cs="Arial"/>
          <w:szCs w:val="20"/>
        </w:rPr>
        <w:lastRenderedPageBreak/>
        <w:t xml:space="preserve">να συνοδεύεται από αρκετά νευρολογικά σημεία όπως παροδική διαταραχή στην όραση, παραισθησία και τονικές – </w:t>
      </w:r>
      <w:proofErr w:type="spellStart"/>
      <w:r w:rsidRPr="00044994">
        <w:rPr>
          <w:rFonts w:ascii="Arial" w:eastAsia="Times New Roman" w:hAnsi="Arial" w:cs="Arial"/>
          <w:szCs w:val="20"/>
        </w:rPr>
        <w:t>κλονικές</w:t>
      </w:r>
      <w:proofErr w:type="spellEnd"/>
      <w:r w:rsidRPr="00044994">
        <w:rPr>
          <w:rFonts w:ascii="Arial" w:eastAsia="Times New Roman" w:hAnsi="Arial" w:cs="Arial"/>
          <w:szCs w:val="20"/>
        </w:rPr>
        <w:t xml:space="preserve"> κινήσεις των άκρων κατά την ανάνηψη. Είναι σημαντικό να υπάρχει κατάλληλη πρόβλεψη για να αποφευχθεί ο τραυματισμός μετά την απώλεια των αισθήσεων.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Λόγω του μακρού χρόνου επωάσεως όπως ηπατίτιδας Β είναι πιθανόν κατά τη χρονική στιγμή του εμβολιασμού να υπάρχει ταυτόχρονα και μη διαγνωσμένη λοίμωξη.  Σε αυτές όπως περιπτώσεις το εμβόλιο μπορεί να μη προστατέψει από τη λοίμωξη από ηπατίτιδα Β.</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εμβόλιο δεν προλαμβάνει λοίμωξη από άλλα παθογόνα τα οποία είναι γνωστά ότι μολύνουν το ήπαρ όπως οι ιοί όπως ηπατίτιδας Α, όπως ηπατίτιδας </w:t>
      </w:r>
      <w:r w:rsidRPr="00044994">
        <w:rPr>
          <w:rFonts w:ascii="Arial" w:eastAsia="Times New Roman" w:hAnsi="Arial" w:cs="Arial"/>
          <w:szCs w:val="20"/>
          <w:lang w:val="en-GB"/>
        </w:rPr>
        <w:t>C</w:t>
      </w:r>
      <w:r w:rsidRPr="00044994">
        <w:rPr>
          <w:rFonts w:ascii="Arial" w:eastAsia="Times New Roman" w:hAnsi="Arial" w:cs="Arial"/>
          <w:szCs w:val="20"/>
        </w:rPr>
        <w:t xml:space="preserve"> και όπως ηπατίτιδας Ε.</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Όπως με κάθε εμβόλιο, μπορεί να μην επιτευχθεί προστατευτική ανοσολογική ανταπόκριση σε όλους όπως </w:t>
      </w:r>
      <w:proofErr w:type="spellStart"/>
      <w:r w:rsidRPr="00044994">
        <w:rPr>
          <w:rFonts w:ascii="Arial" w:eastAsia="Times New Roman" w:hAnsi="Arial" w:cs="Arial"/>
          <w:szCs w:val="20"/>
        </w:rPr>
        <w:t>εμβολιασθέντες</w:t>
      </w:r>
      <w:proofErr w:type="spellEnd"/>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Όπως αριθμός παραγόντων έχει παρατηρηθεί να μειώνει την ανταπόκριση του ανοσοποιητικού στα εμβόλια όπως ηπατίτιδας Β. Αυτοί οι παράγοντες περιλαμβάνουν την μεγαλύτερη ηλικία, το άρρεν φύλο, την παχυσαρκία, το κάπνισμα, την οδό χορήγησης και όπως χρόνιες υποκείμενες παθήσεις.  Θα πρέπει να εξετάζεται το ενδεχόμενο ορολογικού ελέγχου αυτών των ατόμων που μπορεί να βρίσκονται σε κίνδυνο, ή να μην επιτυγχάνουν </w:t>
      </w:r>
      <w:proofErr w:type="spellStart"/>
      <w:r w:rsidRPr="00044994">
        <w:rPr>
          <w:rFonts w:ascii="Arial" w:eastAsia="Times New Roman" w:hAnsi="Arial" w:cs="Arial"/>
          <w:szCs w:val="20"/>
        </w:rPr>
        <w:t>οροπροστασία</w:t>
      </w:r>
      <w:proofErr w:type="spellEnd"/>
      <w:r w:rsidRPr="00044994">
        <w:rPr>
          <w:rFonts w:ascii="Arial" w:eastAsia="Times New Roman" w:hAnsi="Arial" w:cs="Arial"/>
          <w:szCs w:val="20"/>
        </w:rPr>
        <w:t xml:space="preserve"> μετά την ολοκλήρωση του εμβολιασμού με Ε</w:t>
      </w:r>
      <w:r w:rsidRPr="00044994">
        <w:rPr>
          <w:rFonts w:ascii="Arial" w:eastAsia="Times New Roman" w:hAnsi="Arial" w:cs="Arial"/>
          <w:szCs w:val="20"/>
          <w:lang w:val="en-US"/>
        </w:rPr>
        <w:t>NGERIX</w:t>
      </w:r>
      <w:r w:rsidRPr="00044994">
        <w:rPr>
          <w:rFonts w:ascii="Arial" w:eastAsia="Times New Roman" w:hAnsi="Arial" w:cs="Arial"/>
          <w:szCs w:val="20"/>
        </w:rPr>
        <w:t xml:space="preserve"> </w:t>
      </w:r>
      <w:r w:rsidRPr="00044994">
        <w:rPr>
          <w:rFonts w:ascii="Arial" w:eastAsia="Times New Roman" w:hAnsi="Arial" w:cs="Arial"/>
          <w:szCs w:val="20"/>
          <w:lang w:val="en-US"/>
        </w:rPr>
        <w:t>B</w:t>
      </w:r>
      <w:r w:rsidRPr="00044994">
        <w:rPr>
          <w:rFonts w:ascii="Arial" w:eastAsia="Times New Roman" w:hAnsi="Arial" w:cs="Arial"/>
          <w:szCs w:val="20"/>
        </w:rPr>
        <w:t>. Μπορεί να χρειασθεί να εξετασθεί το ενδεχόμενο χορήγησης πρόσθετων δόσεων σε άτομα που δεν ανταποκρίνονται ή έχουν μικρότερη από την κανονική ανταπόκριση στο σχήμα του εμβολιασμού.</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Ασθενείς με χρόνια ηπατικά νοσήματα ή </w:t>
      </w:r>
      <w:r w:rsidRPr="00044994">
        <w:rPr>
          <w:rFonts w:ascii="Arial" w:eastAsia="Times New Roman" w:hAnsi="Arial" w:cs="Arial"/>
          <w:szCs w:val="20"/>
          <w:lang w:val="en-GB"/>
        </w:rPr>
        <w:t>AIDS</w:t>
      </w:r>
      <w:r w:rsidRPr="00044994">
        <w:rPr>
          <w:rFonts w:ascii="Arial" w:eastAsia="Times New Roman" w:hAnsi="Arial" w:cs="Arial"/>
          <w:szCs w:val="20"/>
        </w:rPr>
        <w:t xml:space="preserve"> ή φορείς ηπατίτιδας </w:t>
      </w:r>
      <w:r w:rsidRPr="00044994">
        <w:rPr>
          <w:rFonts w:ascii="Arial" w:eastAsia="Times New Roman" w:hAnsi="Arial" w:cs="Arial"/>
          <w:szCs w:val="20"/>
          <w:lang w:val="en-GB"/>
        </w:rPr>
        <w:t>C</w:t>
      </w:r>
      <w:r w:rsidRPr="00044994">
        <w:rPr>
          <w:rFonts w:ascii="Arial" w:eastAsia="Times New Roman" w:hAnsi="Arial" w:cs="Arial"/>
          <w:szCs w:val="20"/>
        </w:rPr>
        <w:t xml:space="preserve"> δεν πρέπει να αποκλείονται από τον εμβολιασμό κατά όπως ηπατίτιδας Β. Το εμβόλιο μπορεί να συστηθεί καθόσον η λοίμωξη από τον ιό της ηπατίτιδας Β μπορεί να είναι σοβαρή στους ασθενείς αυτούς: ως εκ τούτου, ο εμβολιασμός κατά όπως ηπατίτιδας Β πρέπει να αποφασίζεται από τον γιατρό κατά περίπτωση. Σε ασθενείς που έχουν προσβληθεί από </w:t>
      </w:r>
      <w:r w:rsidRPr="00044994">
        <w:rPr>
          <w:rFonts w:ascii="Arial" w:eastAsia="Times New Roman" w:hAnsi="Arial" w:cs="Arial"/>
          <w:szCs w:val="20"/>
          <w:lang w:val="en-GB"/>
        </w:rPr>
        <w:t>AIDS</w:t>
      </w:r>
      <w:r w:rsidRPr="00044994">
        <w:rPr>
          <w:rFonts w:ascii="Arial" w:eastAsia="Times New Roman" w:hAnsi="Arial" w:cs="Arial"/>
          <w:szCs w:val="20"/>
        </w:rPr>
        <w:t xml:space="preserve"> καθώς επίσης και σε ασθενείς με νεφρική ανεπάρκεια περιλαμβανομένων των ασθενών που υπόκεινται σε αιμοκάθαρση και σε άτομα με διαταραχή του ανοσοποιητικού συστήματος, μπορεί να μην επιτευχθούν επαρκείς τίτλοι </w:t>
      </w:r>
      <w:proofErr w:type="spellStart"/>
      <w:r w:rsidRPr="00044994">
        <w:rPr>
          <w:rFonts w:ascii="Arial" w:eastAsia="Times New Roman" w:hAnsi="Arial" w:cs="Arial"/>
          <w:szCs w:val="20"/>
        </w:rPr>
        <w:t>αντι</w:t>
      </w:r>
      <w:proofErr w:type="spellEnd"/>
      <w:r w:rsidRPr="00044994">
        <w:rPr>
          <w:rFonts w:ascii="Arial" w:eastAsia="Times New Roman" w:hAnsi="Arial" w:cs="Arial"/>
          <w:szCs w:val="20"/>
        </w:rPr>
        <w:t>-</w:t>
      </w:r>
      <w:r w:rsidRPr="00044994">
        <w:rPr>
          <w:rFonts w:ascii="Arial" w:eastAsia="Times New Roman" w:hAnsi="Arial" w:cs="Arial"/>
          <w:szCs w:val="20"/>
          <w:lang w:val="en-GB"/>
        </w:rPr>
        <w:t>HBs</w:t>
      </w:r>
      <w:r w:rsidRPr="00044994">
        <w:rPr>
          <w:rFonts w:ascii="Arial" w:eastAsia="Times New Roman" w:hAnsi="Arial" w:cs="Arial"/>
          <w:szCs w:val="20"/>
        </w:rPr>
        <w:t xml:space="preserve"> αντισωμάτων μετά το αρχικό πρόγραμμα εμβολιασμού και αυτοί οι ασθενείς μπορεί να χρειασθούν πρόσθετες δόσεις εμβολίου.</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δεν πρέπει να χορηγείται στο γλουτό ή ενδοδερμικά επειδή αυτό μπορεί να έχει σαν αποτέλεσμα τη χαμηλότερη </w:t>
      </w:r>
      <w:proofErr w:type="spellStart"/>
      <w:r w:rsidRPr="00044994">
        <w:rPr>
          <w:rFonts w:ascii="Arial" w:eastAsia="Times New Roman" w:hAnsi="Arial" w:cs="Arial"/>
          <w:szCs w:val="20"/>
        </w:rPr>
        <w:t>ανοσιακή</w:t>
      </w:r>
      <w:proofErr w:type="spellEnd"/>
      <w:r w:rsidRPr="00044994">
        <w:rPr>
          <w:rFonts w:ascii="Arial" w:eastAsia="Times New Roman" w:hAnsi="Arial" w:cs="Arial"/>
          <w:szCs w:val="20"/>
        </w:rPr>
        <w:t xml:space="preserve"> ανταπόκριση.</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δεν πρέπει σε καμία περίπτωση να χορηγείται </w:t>
      </w:r>
      <w:proofErr w:type="spellStart"/>
      <w:r w:rsidRPr="00044994">
        <w:rPr>
          <w:rFonts w:ascii="Arial" w:eastAsia="Times New Roman" w:hAnsi="Arial" w:cs="Arial"/>
          <w:szCs w:val="20"/>
        </w:rPr>
        <w:t>ενδοαγγειακά</w:t>
      </w:r>
      <w:proofErr w:type="spellEnd"/>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Όπως με όλα τα ενέσιμα εμβόλια, θα πρέπει να υπάρχει άμεσα διαθέσιμη κατάλληλη ιατρική αγωγή για την περίπτωση σπάνιων </w:t>
      </w:r>
      <w:proofErr w:type="spellStart"/>
      <w:r w:rsidRPr="00044994">
        <w:rPr>
          <w:rFonts w:ascii="Arial" w:eastAsia="Times New Roman" w:hAnsi="Arial" w:cs="Arial"/>
          <w:szCs w:val="20"/>
        </w:rPr>
        <w:t>αναφυλακτικών</w:t>
      </w:r>
      <w:proofErr w:type="spellEnd"/>
      <w:r w:rsidRPr="00044994">
        <w:rPr>
          <w:rFonts w:ascii="Arial" w:eastAsia="Times New Roman" w:hAnsi="Arial" w:cs="Arial"/>
          <w:szCs w:val="20"/>
        </w:rPr>
        <w:t xml:space="preserve"> αντιδράσεων μετά τη χορήγηση του εμβολίου.</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ind w:left="567" w:hanging="567"/>
        <w:jc w:val="both"/>
        <w:rPr>
          <w:rFonts w:ascii="Arial" w:eastAsia="Times New Roman" w:hAnsi="Arial" w:cs="Arial"/>
          <w:b/>
          <w:szCs w:val="20"/>
        </w:rPr>
      </w:pPr>
      <w:r w:rsidRPr="00044994">
        <w:rPr>
          <w:rFonts w:ascii="Arial" w:eastAsia="Times New Roman" w:hAnsi="Arial" w:cs="Arial"/>
          <w:b/>
          <w:szCs w:val="20"/>
        </w:rPr>
        <w:t>4.5</w:t>
      </w:r>
      <w:r w:rsidRPr="00044994">
        <w:rPr>
          <w:rFonts w:ascii="Arial" w:eastAsia="Times New Roman" w:hAnsi="Arial" w:cs="Arial"/>
          <w:b/>
          <w:szCs w:val="20"/>
        </w:rPr>
        <w:tab/>
        <w:t>Αλληλεπιδράσεις με άλλα φαρμακευτικά προϊόντα και της μορφές αλληλεπίδρασης.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Η ταυτόχρονη χορήγηση </w:t>
      </w:r>
      <w:r w:rsidRPr="00044994">
        <w:rPr>
          <w:rFonts w:ascii="Arial" w:eastAsia="Times New Roman" w:hAnsi="Arial" w:cs="Arial"/>
          <w:szCs w:val="20"/>
          <w:lang w:val="en-GB"/>
        </w:rPr>
        <w:t>ENGERIX</w:t>
      </w:r>
      <w:r w:rsidRPr="00044994">
        <w:rPr>
          <w:rFonts w:ascii="Arial" w:eastAsia="Times New Roman" w:hAnsi="Arial" w:cs="Arial"/>
          <w:szCs w:val="20"/>
        </w:rPr>
        <w:t xml:space="preserve"> και της κανονικής δόσης </w:t>
      </w:r>
      <w:proofErr w:type="spellStart"/>
      <w:r w:rsidRPr="00044994">
        <w:rPr>
          <w:rFonts w:ascii="Arial" w:eastAsia="Times New Roman" w:hAnsi="Arial" w:cs="Arial"/>
          <w:szCs w:val="20"/>
          <w:lang w:val="en-GB"/>
        </w:rPr>
        <w:t>HBIg</w:t>
      </w:r>
      <w:proofErr w:type="spellEnd"/>
      <w:r w:rsidRPr="00044994">
        <w:rPr>
          <w:rFonts w:ascii="Arial" w:eastAsia="Times New Roman" w:hAnsi="Arial" w:cs="Arial"/>
          <w:szCs w:val="20"/>
        </w:rPr>
        <w:t xml:space="preserve"> δεν έχει σαν αποτέλεσμα χαμηλότερες συγκεντρώσεις αντί-</w:t>
      </w:r>
      <w:r w:rsidRPr="00044994">
        <w:rPr>
          <w:rFonts w:ascii="Arial" w:eastAsia="Times New Roman" w:hAnsi="Arial" w:cs="Arial"/>
          <w:szCs w:val="20"/>
          <w:lang w:val="en-GB"/>
        </w:rPr>
        <w:t>HB</w:t>
      </w:r>
      <w:r w:rsidRPr="00044994">
        <w:rPr>
          <w:rFonts w:ascii="Arial" w:eastAsia="Times New Roman" w:hAnsi="Arial" w:cs="Arial"/>
          <w:szCs w:val="20"/>
        </w:rPr>
        <w:t xml:space="preserve"> αντισωμάτων με την προϋπόθεση ότι αυτά χορηγούνται σε διαφορετικά σημεία ένεσης.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lastRenderedPageBreak/>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μπορεί να χορηγηθεί ταυτόχρονα με εμβόλια </w:t>
      </w:r>
      <w:r w:rsidRPr="00044994">
        <w:rPr>
          <w:rFonts w:ascii="Arial" w:eastAsia="Times New Roman" w:hAnsi="Arial" w:cs="Arial"/>
          <w:szCs w:val="20"/>
          <w:lang w:val="en-GB"/>
        </w:rPr>
        <w:t>BCG</w:t>
      </w:r>
      <w:r w:rsidRPr="00044994">
        <w:rPr>
          <w:rFonts w:ascii="Arial" w:eastAsia="Times New Roman" w:hAnsi="Arial" w:cs="Arial"/>
          <w:szCs w:val="20"/>
        </w:rPr>
        <w:t xml:space="preserve"> ηπατίτιδας Α, πολιομυελίτιδας, ιλαράς, παρωτίτιδας, ερυθράς, διφθερίτιδας και τετάνου.</w:t>
      </w:r>
    </w:p>
    <w:p w:rsidR="00E05BBC" w:rsidRPr="00044994" w:rsidRDefault="00E05BBC" w:rsidP="00E05BBC">
      <w:pPr>
        <w:tabs>
          <w:tab w:val="left" w:pos="567"/>
        </w:tabs>
        <w:spacing w:after="0" w:line="240" w:lineRule="auto"/>
        <w:jc w:val="both"/>
        <w:rPr>
          <w:rFonts w:ascii="Arial" w:eastAsia="Times New Roman" w:hAnsi="Arial" w:cs="Arial"/>
          <w:color w:val="000000"/>
          <w:szCs w:val="20"/>
        </w:rPr>
      </w:pPr>
    </w:p>
    <w:p w:rsidR="00E05BBC" w:rsidRPr="00044994" w:rsidRDefault="00E05BBC" w:rsidP="00E05BBC">
      <w:pPr>
        <w:tabs>
          <w:tab w:val="left" w:pos="567"/>
        </w:tabs>
        <w:spacing w:after="0" w:line="240" w:lineRule="auto"/>
        <w:jc w:val="both"/>
        <w:rPr>
          <w:rFonts w:ascii="Arial" w:eastAsia="Times New Roman" w:hAnsi="Arial" w:cs="Arial"/>
          <w:color w:val="000000"/>
        </w:rPr>
      </w:pPr>
      <w:r w:rsidRPr="00044994">
        <w:rPr>
          <w:rFonts w:ascii="Arial" w:eastAsia="Times New Roman" w:hAnsi="Arial" w:cs="Arial"/>
          <w:color w:val="000000"/>
        </w:rPr>
        <w:t xml:space="preserve">Το </w:t>
      </w:r>
      <w:r w:rsidRPr="00044994">
        <w:rPr>
          <w:rFonts w:ascii="Arial" w:eastAsia="Times New Roman" w:hAnsi="Arial" w:cs="Arial"/>
          <w:color w:val="000000"/>
          <w:lang w:val="en-GB"/>
        </w:rPr>
        <w:t>ENGERIX</w:t>
      </w:r>
      <w:r w:rsidRPr="00044994">
        <w:rPr>
          <w:rFonts w:ascii="Arial" w:eastAsia="Times New Roman" w:hAnsi="Arial" w:cs="Arial"/>
          <w:color w:val="000000"/>
        </w:rPr>
        <w:t xml:space="preserve">  μπορεί να </w:t>
      </w:r>
      <w:proofErr w:type="spellStart"/>
      <w:r w:rsidRPr="00044994">
        <w:rPr>
          <w:rFonts w:ascii="Arial" w:eastAsia="Times New Roman" w:hAnsi="Arial" w:cs="Arial"/>
          <w:color w:val="000000"/>
        </w:rPr>
        <w:t>συγχορηγηθεί</w:t>
      </w:r>
      <w:proofErr w:type="spellEnd"/>
      <w:r w:rsidRPr="00044994">
        <w:rPr>
          <w:rFonts w:ascii="Arial" w:eastAsia="Times New Roman" w:hAnsi="Arial" w:cs="Arial"/>
          <w:color w:val="000000"/>
        </w:rPr>
        <w:t xml:space="preserve"> με το εμβόλιο για τον ιό των ανθρώπινων θηλωμάτων (</w:t>
      </w:r>
      <w:r w:rsidRPr="00044994">
        <w:rPr>
          <w:rFonts w:ascii="Arial" w:eastAsia="Times New Roman" w:hAnsi="Arial" w:cs="Arial"/>
          <w:color w:val="000000"/>
          <w:lang w:val="en-GB"/>
        </w:rPr>
        <w:t>HPV</w:t>
      </w:r>
      <w:r w:rsidRPr="00044994">
        <w:rPr>
          <w:rFonts w:ascii="Arial" w:eastAsia="Times New Roman" w:hAnsi="Arial" w:cs="Arial"/>
          <w:color w:val="000000"/>
        </w:rPr>
        <w:t>).</w:t>
      </w:r>
    </w:p>
    <w:p w:rsidR="00E05BBC" w:rsidRPr="00044994" w:rsidRDefault="00E05BBC" w:rsidP="00E05BBC">
      <w:pPr>
        <w:tabs>
          <w:tab w:val="left" w:pos="567"/>
        </w:tabs>
        <w:spacing w:after="0" w:line="240" w:lineRule="auto"/>
        <w:jc w:val="both"/>
        <w:rPr>
          <w:rFonts w:ascii="Arial" w:eastAsia="Times New Roman" w:hAnsi="Arial" w:cs="Arial"/>
          <w:color w:val="000000"/>
          <w:lang w:eastAsia="en-GB"/>
        </w:rPr>
      </w:pPr>
      <w:r w:rsidRPr="00044994">
        <w:rPr>
          <w:rFonts w:ascii="Arial" w:eastAsia="Times New Roman" w:hAnsi="Arial" w:cs="Arial"/>
          <w:color w:val="000000"/>
          <w:lang w:eastAsia="en-GB"/>
        </w:rPr>
        <w:t xml:space="preserve">Η χορήγηση του </w:t>
      </w:r>
      <w:r w:rsidRPr="00044994">
        <w:rPr>
          <w:rFonts w:ascii="Arial" w:eastAsia="Times New Roman" w:hAnsi="Arial" w:cs="Arial"/>
          <w:color w:val="000000"/>
          <w:lang w:val="en-GB"/>
        </w:rPr>
        <w:t>ENGERIX</w:t>
      </w:r>
      <w:r w:rsidRPr="00044994">
        <w:rPr>
          <w:rFonts w:ascii="Arial" w:eastAsia="Times New Roman" w:hAnsi="Arial" w:cs="Arial"/>
          <w:color w:val="000000"/>
        </w:rPr>
        <w:t xml:space="preserve"> </w:t>
      </w:r>
      <w:r w:rsidRPr="00044994">
        <w:rPr>
          <w:rFonts w:ascii="Arial" w:eastAsia="Times New Roman" w:hAnsi="Arial" w:cs="Arial"/>
          <w:color w:val="000000"/>
          <w:lang w:eastAsia="en-GB"/>
        </w:rPr>
        <w:t xml:space="preserve"> ταυτόχρονα με το </w:t>
      </w:r>
      <w:proofErr w:type="spellStart"/>
      <w:r w:rsidRPr="00044994">
        <w:rPr>
          <w:rFonts w:ascii="Arial" w:eastAsia="Times New Roman" w:hAnsi="Arial" w:cs="Arial"/>
          <w:color w:val="000000"/>
          <w:lang w:val="en-GB" w:eastAsia="en-GB"/>
        </w:rPr>
        <w:t>Cervarix</w:t>
      </w:r>
      <w:proofErr w:type="spellEnd"/>
      <w:r w:rsidRPr="00044994">
        <w:rPr>
          <w:rFonts w:ascii="Arial" w:eastAsia="Times New Roman" w:hAnsi="Arial" w:cs="Arial"/>
          <w:color w:val="000000"/>
          <w:lang w:eastAsia="en-GB"/>
        </w:rPr>
        <w:t xml:space="preserve"> (εμβόλιο </w:t>
      </w:r>
      <w:r w:rsidRPr="00044994">
        <w:rPr>
          <w:rFonts w:ascii="Arial" w:eastAsia="Times New Roman" w:hAnsi="Arial" w:cs="Arial"/>
          <w:color w:val="000000"/>
          <w:lang w:val="en-GB" w:eastAsia="en-GB"/>
        </w:rPr>
        <w:t>HPV</w:t>
      </w:r>
      <w:r w:rsidRPr="00044994">
        <w:rPr>
          <w:rFonts w:ascii="Arial" w:eastAsia="Times New Roman" w:hAnsi="Arial" w:cs="Arial"/>
          <w:color w:val="000000"/>
          <w:lang w:eastAsia="en-GB"/>
        </w:rPr>
        <w:t xml:space="preserve">) δεν έχει δείξει κλινικά σημαντική παρεμβολή με την </w:t>
      </w:r>
      <w:proofErr w:type="spellStart"/>
      <w:r w:rsidRPr="00044994">
        <w:rPr>
          <w:rFonts w:ascii="Arial" w:eastAsia="Times New Roman" w:hAnsi="Arial" w:cs="Arial"/>
          <w:color w:val="000000"/>
          <w:lang w:eastAsia="en-GB"/>
        </w:rPr>
        <w:t>ανοσιακή</w:t>
      </w:r>
      <w:proofErr w:type="spellEnd"/>
      <w:r w:rsidRPr="00044994">
        <w:rPr>
          <w:rFonts w:ascii="Arial" w:eastAsia="Times New Roman" w:hAnsi="Arial" w:cs="Arial"/>
          <w:color w:val="000000"/>
          <w:lang w:eastAsia="en-GB"/>
        </w:rPr>
        <w:t xml:space="preserve"> απάντηση στα αντιγόνα </w:t>
      </w:r>
      <w:r w:rsidRPr="00044994">
        <w:rPr>
          <w:rFonts w:ascii="Arial" w:eastAsia="Times New Roman" w:hAnsi="Arial" w:cs="Arial"/>
          <w:color w:val="000000"/>
          <w:lang w:val="en-GB" w:eastAsia="en-GB"/>
        </w:rPr>
        <w:t>HPV</w:t>
      </w:r>
      <w:r w:rsidRPr="00044994">
        <w:rPr>
          <w:rFonts w:ascii="Arial" w:eastAsia="Times New Roman" w:hAnsi="Arial" w:cs="Arial"/>
          <w:color w:val="000000"/>
          <w:lang w:eastAsia="en-GB"/>
        </w:rPr>
        <w:t xml:space="preserve">. </w:t>
      </w:r>
    </w:p>
    <w:p w:rsidR="00E05BBC" w:rsidRPr="00044994" w:rsidRDefault="00E05BBC" w:rsidP="00E05BBC">
      <w:pPr>
        <w:tabs>
          <w:tab w:val="left" w:pos="567"/>
        </w:tabs>
        <w:spacing w:after="0" w:line="240" w:lineRule="auto"/>
        <w:jc w:val="both"/>
        <w:rPr>
          <w:rFonts w:ascii="Arial" w:eastAsia="Times New Roman" w:hAnsi="Arial" w:cs="Arial"/>
          <w:color w:val="000000"/>
        </w:rPr>
      </w:pPr>
      <w:r w:rsidRPr="00044994">
        <w:rPr>
          <w:rFonts w:ascii="Arial" w:eastAsia="Times New Roman" w:hAnsi="Arial" w:cs="Arial"/>
          <w:color w:val="000000"/>
          <w:lang w:eastAsia="en-GB"/>
        </w:rPr>
        <w:t>Οι μέσες γεωμετρικές συγκεντρώσεις αντισωμάτων αντί</w:t>
      </w:r>
      <w:r w:rsidRPr="00044994">
        <w:rPr>
          <w:rFonts w:ascii="Arial" w:eastAsia="Times New Roman" w:hAnsi="Arial" w:cs="Arial"/>
          <w:color w:val="000000"/>
        </w:rPr>
        <w:t>-</w:t>
      </w:r>
      <w:r w:rsidRPr="00044994">
        <w:rPr>
          <w:rFonts w:ascii="Arial" w:eastAsia="Times New Roman" w:hAnsi="Arial" w:cs="Arial"/>
          <w:color w:val="000000"/>
          <w:lang w:val="en-GB"/>
        </w:rPr>
        <w:t>HB</w:t>
      </w:r>
      <w:r w:rsidRPr="00044994">
        <w:rPr>
          <w:rFonts w:ascii="Arial" w:eastAsia="Times New Roman" w:hAnsi="Arial" w:cs="Arial"/>
          <w:color w:val="000000"/>
        </w:rPr>
        <w:t xml:space="preserve"> ήταν χαμηλότερες κατά τη </w:t>
      </w:r>
      <w:proofErr w:type="spellStart"/>
      <w:r w:rsidRPr="00044994">
        <w:rPr>
          <w:rFonts w:ascii="Arial" w:eastAsia="Times New Roman" w:hAnsi="Arial" w:cs="Arial"/>
          <w:color w:val="000000"/>
        </w:rPr>
        <w:t>συγχορήγηση</w:t>
      </w:r>
      <w:proofErr w:type="spellEnd"/>
      <w:r w:rsidRPr="00044994">
        <w:rPr>
          <w:rFonts w:ascii="Arial" w:eastAsia="Times New Roman" w:hAnsi="Arial" w:cs="Arial"/>
          <w:color w:val="000000"/>
        </w:rPr>
        <w:t xml:space="preserve">, αλλά η κλινική σημασία αυτής της παρατήρησης δεν είναι γνωστή καθώς τα ποσοστά </w:t>
      </w:r>
      <w:proofErr w:type="spellStart"/>
      <w:r w:rsidRPr="00044994">
        <w:rPr>
          <w:rFonts w:ascii="Arial" w:eastAsia="Times New Roman" w:hAnsi="Arial" w:cs="Arial"/>
          <w:color w:val="000000"/>
        </w:rPr>
        <w:t>οροπροστασίας</w:t>
      </w:r>
      <w:proofErr w:type="spellEnd"/>
      <w:r w:rsidRPr="00044994">
        <w:rPr>
          <w:rFonts w:ascii="Arial" w:eastAsia="Times New Roman" w:hAnsi="Arial" w:cs="Arial"/>
          <w:color w:val="000000"/>
        </w:rPr>
        <w:t xml:space="preserve"> παραμένουν ανεπηρέαστα. Το ποσοστό των ατόμων που πέτυχαν αντί-</w:t>
      </w:r>
      <w:r w:rsidRPr="00044994">
        <w:rPr>
          <w:rFonts w:ascii="Arial" w:eastAsia="Times New Roman" w:hAnsi="Arial" w:cs="Arial"/>
          <w:color w:val="000000"/>
          <w:lang w:val="en-GB"/>
        </w:rPr>
        <w:t>HB</w:t>
      </w:r>
      <w:r w:rsidRPr="00044994">
        <w:rPr>
          <w:rFonts w:ascii="Arial" w:eastAsia="Times New Roman" w:hAnsi="Arial" w:cs="Arial"/>
          <w:color w:val="000000"/>
        </w:rPr>
        <w:t xml:space="preserve"> ≥ 10</w:t>
      </w:r>
      <w:proofErr w:type="spellStart"/>
      <w:r w:rsidRPr="00044994">
        <w:rPr>
          <w:rFonts w:ascii="Arial" w:eastAsia="Times New Roman" w:hAnsi="Arial" w:cs="Arial"/>
          <w:color w:val="000000"/>
          <w:lang w:val="en-GB"/>
        </w:rPr>
        <w:t>mIU</w:t>
      </w:r>
      <w:proofErr w:type="spellEnd"/>
      <w:r w:rsidRPr="00044994">
        <w:rPr>
          <w:rFonts w:ascii="Arial" w:eastAsia="Times New Roman" w:hAnsi="Arial" w:cs="Arial"/>
          <w:color w:val="000000"/>
        </w:rPr>
        <w:t>/</w:t>
      </w:r>
      <w:r w:rsidRPr="00044994">
        <w:rPr>
          <w:rFonts w:ascii="Arial" w:eastAsia="Times New Roman" w:hAnsi="Arial" w:cs="Arial"/>
          <w:color w:val="000000"/>
          <w:lang w:val="en-GB"/>
        </w:rPr>
        <w:t>ml</w:t>
      </w:r>
      <w:r w:rsidRPr="00044994">
        <w:rPr>
          <w:rFonts w:ascii="Arial" w:eastAsia="Times New Roman" w:hAnsi="Arial" w:cs="Arial"/>
          <w:color w:val="000000"/>
        </w:rPr>
        <w:t xml:space="preserve"> ήταν 97,9% κατά τη </w:t>
      </w:r>
      <w:proofErr w:type="spellStart"/>
      <w:r w:rsidRPr="00044994">
        <w:rPr>
          <w:rFonts w:ascii="Arial" w:eastAsia="Times New Roman" w:hAnsi="Arial" w:cs="Arial"/>
          <w:color w:val="000000"/>
        </w:rPr>
        <w:t>συγχορήγηση</w:t>
      </w:r>
      <w:proofErr w:type="spellEnd"/>
      <w:r w:rsidRPr="00044994">
        <w:rPr>
          <w:rFonts w:ascii="Arial" w:eastAsia="Times New Roman" w:hAnsi="Arial" w:cs="Arial"/>
          <w:color w:val="000000"/>
        </w:rPr>
        <w:t xml:space="preserve"> και 100% για τον εμβολιασμό μόνο με </w:t>
      </w:r>
      <w:r w:rsidRPr="00044994">
        <w:rPr>
          <w:rFonts w:ascii="Arial" w:eastAsia="Times New Roman" w:hAnsi="Arial" w:cs="Arial"/>
          <w:color w:val="000000"/>
          <w:szCs w:val="20"/>
          <w:lang w:val="en-GB"/>
        </w:rPr>
        <w:t>ENGERIX</w:t>
      </w:r>
      <w:r w:rsidRPr="00044994">
        <w:rPr>
          <w:rFonts w:ascii="Arial" w:eastAsia="Times New Roman" w:hAnsi="Arial" w:cs="Arial"/>
          <w:color w:val="000000"/>
          <w:szCs w:val="20"/>
        </w:rPr>
        <w:t>.</w:t>
      </w:r>
    </w:p>
    <w:p w:rsidR="00E05BBC" w:rsidRPr="00044994" w:rsidRDefault="00E05BBC" w:rsidP="00E05BBC">
      <w:pPr>
        <w:tabs>
          <w:tab w:val="left" w:pos="567"/>
        </w:tabs>
        <w:spacing w:after="0" w:line="240" w:lineRule="auto"/>
        <w:jc w:val="both"/>
        <w:rPr>
          <w:rFonts w:ascii="Arial" w:eastAsia="Times New Roman" w:hAnsi="Arial" w:cs="Arial"/>
          <w:color w:val="00000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Τα διάφορα ενέσιμα εμβόλια πρέπει να </w:t>
      </w:r>
      <w:proofErr w:type="spellStart"/>
      <w:r w:rsidRPr="00044994">
        <w:rPr>
          <w:rFonts w:ascii="Arial" w:eastAsia="Times New Roman" w:hAnsi="Arial" w:cs="Arial"/>
          <w:szCs w:val="20"/>
        </w:rPr>
        <w:t>ενίενται</w:t>
      </w:r>
      <w:proofErr w:type="spellEnd"/>
      <w:r w:rsidRPr="00044994">
        <w:rPr>
          <w:rFonts w:ascii="Arial" w:eastAsia="Times New Roman" w:hAnsi="Arial" w:cs="Arial"/>
          <w:szCs w:val="20"/>
        </w:rPr>
        <w:t xml:space="preserve"> πάντοτε σε διαφορετικές θέσεις.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μπορεί να χρησιμοποιηθεί για να συμπληρωθεί ένα αρχικό πρόγραμμα εμβολιασμού που άρχισε με εμβόλια προερχόμενα είτε από το πλάσμα ή γενετικά παράγωγα ή εάν είναι επιθυμητό να χορηγηθεί αναμνηστική δόση, μπορεί να χορηγηθεί σε άτομα που είχαν ακολουθήσει προηγουμένως ένα αρχικό πρόγραμμα εμβολιασμού με εμβόλια κατά της ηπατίτιδας Β προερχόμενα είτε από το πλάσμα είτε γενετικά παράγωγα.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4.6</w:t>
      </w:r>
      <w:r w:rsidRPr="00044994">
        <w:rPr>
          <w:rFonts w:ascii="Arial" w:eastAsia="Times New Roman" w:hAnsi="Arial" w:cs="Arial"/>
          <w:b/>
          <w:szCs w:val="20"/>
        </w:rPr>
        <w:tab/>
        <w:t>Γονιμότητα, κύηση και γαλουχία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u w:val="single"/>
        </w:rPr>
      </w:pPr>
      <w:r w:rsidRPr="00044994">
        <w:rPr>
          <w:rFonts w:ascii="Arial" w:eastAsia="Times New Roman" w:hAnsi="Arial" w:cs="Arial"/>
          <w:szCs w:val="20"/>
          <w:u w:val="single"/>
        </w:rPr>
        <w:t>Κύηση</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Η δράση του </w:t>
      </w:r>
      <w:r w:rsidRPr="00044994">
        <w:rPr>
          <w:rFonts w:ascii="Arial" w:eastAsia="Times New Roman" w:hAnsi="Arial" w:cs="Arial"/>
          <w:szCs w:val="20"/>
          <w:lang w:val="en-GB"/>
        </w:rPr>
        <w:t>H</w:t>
      </w:r>
      <w:r w:rsidRPr="00044994">
        <w:rPr>
          <w:rFonts w:ascii="Arial" w:eastAsia="Times New Roman" w:hAnsi="Arial" w:cs="Arial"/>
          <w:szCs w:val="20"/>
        </w:rPr>
        <w:t>Β</w:t>
      </w:r>
      <w:proofErr w:type="spellStart"/>
      <w:r w:rsidRPr="00044994">
        <w:rPr>
          <w:rFonts w:ascii="Arial" w:eastAsia="Times New Roman" w:hAnsi="Arial" w:cs="Arial"/>
          <w:szCs w:val="20"/>
          <w:lang w:val="en-GB"/>
        </w:rPr>
        <w:t>sAg</w:t>
      </w:r>
      <w:proofErr w:type="spellEnd"/>
      <w:r w:rsidRPr="00044994">
        <w:rPr>
          <w:rFonts w:ascii="Arial" w:eastAsia="Times New Roman" w:hAnsi="Arial" w:cs="Arial"/>
          <w:szCs w:val="20"/>
        </w:rPr>
        <w:t xml:space="preserve"> στην ανάπτυξη του εμβρύου δεν έχει αξιολογηθεί.</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Ωστόσο, τους και με όλα τα αδρανοποιημένα εμβόλια έναντι ιών, δεν αναμένεται κίνδυνος για το έμβρυο. Το </w:t>
      </w:r>
      <w:r w:rsidRPr="00044994">
        <w:rPr>
          <w:rFonts w:ascii="Arial" w:eastAsia="Times New Roman" w:hAnsi="Arial" w:cs="Arial"/>
          <w:szCs w:val="20"/>
          <w:lang w:val="en-GB"/>
        </w:rPr>
        <w:t>ENGERIX</w:t>
      </w:r>
      <w:r w:rsidRPr="00044994">
        <w:rPr>
          <w:rFonts w:ascii="Arial" w:eastAsia="Times New Roman" w:hAnsi="Arial" w:cs="Arial"/>
          <w:szCs w:val="20"/>
        </w:rPr>
        <w:t xml:space="preserve"> πρέπει να χρησιμοποιείται κατά τη διάρκεια τους κύησης μόνο όταν είναι απολύτως απαραίτητο και όταν τα πιθανά οφέλη υπερτερούν των πιθανών κινδύνων για το έμβρυο.</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u w:val="single"/>
        </w:rPr>
      </w:pPr>
      <w:r w:rsidRPr="00044994">
        <w:rPr>
          <w:rFonts w:ascii="Arial" w:eastAsia="Times New Roman" w:hAnsi="Arial" w:cs="Arial"/>
          <w:u w:val="single"/>
        </w:rPr>
        <w:t>Θηλασμός</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Η επίδραση του </w:t>
      </w:r>
      <w:r w:rsidRPr="00044994">
        <w:rPr>
          <w:rFonts w:ascii="Arial" w:eastAsia="Times New Roman" w:hAnsi="Arial" w:cs="Arial"/>
          <w:szCs w:val="20"/>
          <w:lang w:val="en-GB"/>
        </w:rPr>
        <w:t>ENGERIX</w:t>
      </w:r>
      <w:r w:rsidRPr="00044994">
        <w:rPr>
          <w:rFonts w:ascii="Arial" w:eastAsia="Times New Roman" w:hAnsi="Arial" w:cs="Arial"/>
          <w:szCs w:val="20"/>
        </w:rPr>
        <w:t xml:space="preserve"> σε παιδιά που θηλάζουν από μητέρες που τους έχει χορηγηθεί </w:t>
      </w:r>
      <w:r w:rsidRPr="00044994">
        <w:rPr>
          <w:rFonts w:ascii="Arial" w:eastAsia="Times New Roman" w:hAnsi="Arial" w:cs="Arial"/>
          <w:szCs w:val="20"/>
          <w:lang w:val="en-GB"/>
        </w:rPr>
        <w:t>ENGERIX</w:t>
      </w:r>
      <w:r w:rsidRPr="00044994">
        <w:rPr>
          <w:rFonts w:ascii="Arial" w:eastAsia="Times New Roman" w:hAnsi="Arial" w:cs="Arial"/>
          <w:szCs w:val="20"/>
        </w:rPr>
        <w:t xml:space="preserve"> δεν έχει εκτιμηθεί σε κλινικές μελέτες γιατί δεν υπάρχουν πληροφορίες σχετικά με την απέκκριση στο μητρικό γάλα.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Δεν έχουν τεκμηριωθεί αντενδείξεις.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u w:val="single"/>
        </w:rPr>
      </w:pPr>
      <w:r w:rsidRPr="00044994">
        <w:rPr>
          <w:rFonts w:ascii="Arial" w:eastAsia="Times New Roman" w:hAnsi="Arial" w:cs="Arial"/>
          <w:u w:val="single"/>
        </w:rPr>
        <w:t>Γονιμότητα</w:t>
      </w: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δεν έχει αξιολογηθεί σε μελέτες για τη γονιμότητα.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4.7</w:t>
      </w:r>
      <w:r w:rsidRPr="00044994">
        <w:rPr>
          <w:rFonts w:ascii="Arial" w:eastAsia="Times New Roman" w:hAnsi="Arial" w:cs="Arial"/>
          <w:b/>
          <w:szCs w:val="20"/>
        </w:rPr>
        <w:tab/>
        <w:t>Επιδράσεις στην ικανότητα οδήγησης και χειρισμού μηχανημάτων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Τις από τις δράσεις που αναφέρονται στη παράγραφο 4.8, μπορεί να επηρεάσουν την ικανότητα οδήγησης ή χειρισμού μηχανημάτων.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4.8</w:t>
      </w:r>
      <w:r w:rsidRPr="00044994">
        <w:rPr>
          <w:rFonts w:ascii="Arial" w:eastAsia="Times New Roman" w:hAnsi="Arial" w:cs="Arial"/>
          <w:b/>
          <w:szCs w:val="20"/>
        </w:rPr>
        <w:tab/>
        <w:t>Ανεπιθύμητες ενέργειες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Περίληψη του προφίλ ασφαλείας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προφίλ ασφαλείας που αναφέρεται παρακάτω βασίζεται σε δεδομένα από 5329 ασθενείς οι οποίοι παρακολουθήθηκαν σε 23 μελέτες. </w:t>
      </w:r>
    </w:p>
    <w:p w:rsidR="00E05BBC" w:rsidRPr="00044994" w:rsidRDefault="00E05BBC" w:rsidP="00E05BBC">
      <w:pPr>
        <w:tabs>
          <w:tab w:val="left" w:pos="567"/>
        </w:tabs>
        <w:spacing w:after="0" w:line="240" w:lineRule="auto"/>
        <w:jc w:val="both"/>
        <w:rPr>
          <w:rFonts w:ascii="Arial" w:eastAsia="Times New Roman" w:hAnsi="Arial" w:cs="Arial"/>
        </w:rPr>
      </w:pP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lastRenderedPageBreak/>
        <w:t xml:space="preserve">Η τωρινή σύνθεση του </w:t>
      </w:r>
      <w:r w:rsidRPr="00044994">
        <w:rPr>
          <w:rFonts w:ascii="Arial" w:eastAsia="Times New Roman" w:hAnsi="Arial" w:cs="Arial"/>
          <w:lang w:val="en-US"/>
        </w:rPr>
        <w:t>ENGERIX</w:t>
      </w:r>
      <w:r w:rsidRPr="00044994">
        <w:rPr>
          <w:rFonts w:ascii="Arial" w:eastAsia="Times New Roman" w:hAnsi="Arial" w:cs="Arial"/>
        </w:rPr>
        <w:t xml:space="preserve"> δεν περιέχει </w:t>
      </w:r>
      <w:proofErr w:type="spellStart"/>
      <w:r w:rsidRPr="00044994">
        <w:rPr>
          <w:rFonts w:ascii="Arial" w:eastAsia="Times New Roman" w:hAnsi="Arial" w:cs="Arial"/>
        </w:rPr>
        <w:t>θειομερσάλη</w:t>
      </w:r>
      <w:proofErr w:type="spellEnd"/>
      <w:r w:rsidRPr="00044994">
        <w:rPr>
          <w:rFonts w:ascii="Arial" w:eastAsia="Times New Roman" w:hAnsi="Arial" w:cs="Arial"/>
        </w:rPr>
        <w:t xml:space="preserve"> (έκδοχο οργανικού </w:t>
      </w:r>
      <w:proofErr w:type="spellStart"/>
      <w:r w:rsidRPr="00044994">
        <w:rPr>
          <w:rFonts w:ascii="Arial" w:eastAsia="Times New Roman" w:hAnsi="Arial" w:cs="Arial"/>
        </w:rPr>
        <w:t>υδραργυρίρου</w:t>
      </w:r>
      <w:proofErr w:type="spellEnd"/>
      <w:r w:rsidRPr="00044994">
        <w:rPr>
          <w:rFonts w:ascii="Arial" w:eastAsia="Times New Roman" w:hAnsi="Arial" w:cs="Arial"/>
        </w:rPr>
        <w:t xml:space="preserve">). </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Οι ακόλουθες ανεπιθύμητες ενέργειες έχουν αναφερθεί με τη χρήση εμβολίου το οποίο περιέχει </w:t>
      </w:r>
      <w:proofErr w:type="spellStart"/>
      <w:r w:rsidRPr="00044994">
        <w:rPr>
          <w:rFonts w:ascii="Arial" w:eastAsia="Times New Roman" w:hAnsi="Arial" w:cs="Arial"/>
          <w:szCs w:val="20"/>
        </w:rPr>
        <w:t>θειομερσάλη</w:t>
      </w:r>
      <w:proofErr w:type="spellEnd"/>
      <w:r w:rsidRPr="00044994">
        <w:rPr>
          <w:rFonts w:ascii="Arial" w:eastAsia="Times New Roman" w:hAnsi="Arial" w:cs="Arial"/>
          <w:szCs w:val="20"/>
        </w:rPr>
        <w:t xml:space="preserve"> καθώς και με τη χρήση εμβολίου χωρίς </w:t>
      </w:r>
      <w:proofErr w:type="spellStart"/>
      <w:r w:rsidRPr="00044994">
        <w:rPr>
          <w:rFonts w:ascii="Arial" w:eastAsia="Times New Roman" w:hAnsi="Arial" w:cs="Arial"/>
          <w:szCs w:val="20"/>
        </w:rPr>
        <w:t>θειομερσάλη</w:t>
      </w:r>
      <w:proofErr w:type="spellEnd"/>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 xml:space="preserve">Σε μία κλινική μελέτη που έγινε με την υπάρχουσα σύσταση που δεν περιλαμβάνει </w:t>
      </w:r>
      <w:proofErr w:type="spellStart"/>
      <w:r w:rsidRPr="00044994">
        <w:rPr>
          <w:rFonts w:ascii="Arial" w:eastAsia="Times New Roman" w:hAnsi="Arial" w:cs="Arial"/>
        </w:rPr>
        <w:t>θειομερσάλη</w:t>
      </w:r>
      <w:proofErr w:type="spellEnd"/>
      <w:r w:rsidRPr="00044994">
        <w:rPr>
          <w:rFonts w:ascii="Arial" w:eastAsia="Times New Roman" w:hAnsi="Arial" w:cs="Arial"/>
        </w:rPr>
        <w:t xml:space="preserve">, η συχνότητα εμφάνισης του πόνου, της ερυθρότητας, του οιδήματος της κόπωσης, της γαστρεντερίτιδας, της κεφαλαλγίας και του πυρετού ήταν συγκρίσιμη με την συχνότητα εμφάνισης που παρατηρήθηκε με τα εμβόλια που περιείχαν </w:t>
      </w:r>
      <w:proofErr w:type="spellStart"/>
      <w:r w:rsidRPr="00044994">
        <w:rPr>
          <w:rFonts w:ascii="Arial" w:eastAsia="Times New Roman" w:hAnsi="Arial" w:cs="Arial"/>
        </w:rPr>
        <w:t>θειομερσάλη</w:t>
      </w:r>
      <w:proofErr w:type="spellEnd"/>
      <w:r w:rsidRPr="00044994">
        <w:rPr>
          <w:rFonts w:ascii="Arial" w:eastAsia="Times New Roman" w:hAnsi="Arial" w:cs="Arial"/>
        </w:rPr>
        <w:t>.</w:t>
      </w:r>
    </w:p>
    <w:p w:rsidR="00E05BBC" w:rsidRPr="00044994" w:rsidRDefault="00E05BBC" w:rsidP="00E05BBC">
      <w:pPr>
        <w:tabs>
          <w:tab w:val="left" w:pos="567"/>
        </w:tabs>
        <w:spacing w:after="0" w:line="240" w:lineRule="auto"/>
        <w:jc w:val="both"/>
        <w:rPr>
          <w:rFonts w:ascii="Arial" w:eastAsia="Times New Roman" w:hAnsi="Arial" w:cs="Arial"/>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Περίληψη των ανεπιθύμητων ενεργειών</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ab/>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Οι συχνότητα εμφάνισης ανά δοσολογία αναφέρονται ως εξής:</w:t>
      </w:r>
    </w:p>
    <w:p w:rsidR="00E05BBC" w:rsidRPr="00044994" w:rsidRDefault="00E05BBC" w:rsidP="00E05BBC">
      <w:pPr>
        <w:tabs>
          <w:tab w:val="left" w:pos="567"/>
        </w:tabs>
        <w:spacing w:after="0" w:line="240" w:lineRule="auto"/>
        <w:jc w:val="both"/>
        <w:rPr>
          <w:rFonts w:ascii="Arial" w:eastAsia="Times New Roman" w:hAnsi="Arial" w:cs="Arial"/>
          <w:sz w:val="20"/>
          <w:szCs w:val="20"/>
        </w:rPr>
      </w:pPr>
    </w:p>
    <w:p w:rsidR="00E05BBC" w:rsidRPr="00044994" w:rsidRDefault="00E05BBC" w:rsidP="00E05BBC">
      <w:pPr>
        <w:tabs>
          <w:tab w:val="left" w:pos="567"/>
        </w:tabs>
        <w:spacing w:after="0" w:line="240" w:lineRule="auto"/>
        <w:ind w:left="357" w:hanging="357"/>
        <w:jc w:val="both"/>
        <w:outlineLvl w:val="0"/>
        <w:rPr>
          <w:rFonts w:ascii="Arial" w:eastAsia="Times New Roman" w:hAnsi="Arial" w:cs="Arial"/>
          <w:noProof/>
        </w:rPr>
      </w:pPr>
      <w:r w:rsidRPr="00044994">
        <w:rPr>
          <w:rFonts w:ascii="Arial" w:eastAsia="Times New Roman" w:hAnsi="Arial" w:cs="Arial"/>
          <w:noProof/>
        </w:rPr>
        <w:t>Πολύ συχνές;</w:t>
      </w:r>
      <w:r w:rsidRPr="00044994">
        <w:rPr>
          <w:rFonts w:ascii="Arial" w:eastAsia="Times New Roman" w:hAnsi="Arial" w:cs="Arial"/>
          <w:noProof/>
        </w:rPr>
        <w:tab/>
        <w:t>(</w:t>
      </w:r>
      <w:r w:rsidRPr="00044994">
        <w:rPr>
          <w:rFonts w:ascii="Arial" w:eastAsia="Times New Roman" w:hAnsi="Arial" w:cs="Arial"/>
        </w:rPr>
        <w:t>≥</w:t>
      </w:r>
      <w:r w:rsidRPr="00044994">
        <w:rPr>
          <w:rFonts w:ascii="Arial" w:eastAsia="Times New Roman" w:hAnsi="Arial" w:cs="Arial"/>
          <w:noProof/>
        </w:rPr>
        <w:t>1/10)</w:t>
      </w: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Συχνές:</w:t>
      </w:r>
      <w:r w:rsidRPr="00044994">
        <w:rPr>
          <w:rFonts w:ascii="Arial" w:eastAsia="Times New Roman" w:hAnsi="Arial" w:cs="Arial"/>
        </w:rPr>
        <w:tab/>
        <w:t>(≥1/100 έως &lt;1/10)</w:t>
      </w: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Όχι συχνές:</w:t>
      </w:r>
      <w:r w:rsidRPr="00044994">
        <w:rPr>
          <w:rFonts w:ascii="Arial" w:eastAsia="Times New Roman" w:hAnsi="Arial" w:cs="Arial"/>
        </w:rPr>
        <w:tab/>
        <w:t>(≥1/1000 έως &lt;1/100)</w:t>
      </w: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Σπάνιες:</w:t>
      </w:r>
      <w:r w:rsidRPr="00044994">
        <w:rPr>
          <w:rFonts w:ascii="Arial" w:eastAsia="Times New Roman" w:hAnsi="Arial" w:cs="Arial"/>
        </w:rPr>
        <w:tab/>
        <w:t>(≥1/10.000 έως &lt;1/1000)</w:t>
      </w: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Πολύ σπάνιες:</w:t>
      </w:r>
      <w:r w:rsidRPr="00044994">
        <w:rPr>
          <w:rFonts w:ascii="Arial" w:eastAsia="Times New Roman" w:hAnsi="Arial" w:cs="Arial"/>
        </w:rPr>
        <w:tab/>
        <w:t>(&lt;1/10.000)</w:t>
      </w:r>
    </w:p>
    <w:p w:rsidR="00E05BBC" w:rsidRPr="00044994" w:rsidRDefault="00E05BBC" w:rsidP="00E05BBC">
      <w:pPr>
        <w:tabs>
          <w:tab w:val="left" w:pos="567"/>
        </w:tabs>
        <w:spacing w:after="0" w:line="240" w:lineRule="auto"/>
        <w:jc w:val="both"/>
        <w:rPr>
          <w:rFonts w:ascii="Arial" w:eastAsia="Times New Roman"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453"/>
        <w:gridCol w:w="3464"/>
        <w:gridCol w:w="8"/>
      </w:tblGrid>
      <w:tr w:rsidR="00E05BBC" w:rsidRPr="00044994" w:rsidTr="00306AB1">
        <w:tc>
          <w:tcPr>
            <w:tcW w:w="2111" w:type="pct"/>
          </w:tcPr>
          <w:p w:rsidR="00E05BBC" w:rsidRPr="00044994" w:rsidRDefault="00E05BBC" w:rsidP="00306AB1">
            <w:pPr>
              <w:tabs>
                <w:tab w:val="left" w:pos="567"/>
              </w:tabs>
              <w:spacing w:after="0" w:line="240" w:lineRule="auto"/>
              <w:rPr>
                <w:rFonts w:ascii="Arial" w:eastAsia="Times New Roman" w:hAnsi="Arial" w:cs="Arial"/>
                <w:b/>
                <w:lang w:val="en-GB"/>
              </w:rPr>
            </w:pPr>
            <w:r w:rsidRPr="00044994">
              <w:rPr>
                <w:rFonts w:ascii="Arial" w:eastAsia="Times New Roman" w:hAnsi="Arial" w:cs="Arial"/>
                <w:b/>
              </w:rPr>
              <w:t>Κατηγορία/Οργανικό σύστημα</w:t>
            </w:r>
          </w:p>
        </w:tc>
        <w:tc>
          <w:tcPr>
            <w:tcW w:w="853" w:type="pct"/>
          </w:tcPr>
          <w:p w:rsidR="00E05BBC" w:rsidRPr="00044994" w:rsidRDefault="00E05BBC" w:rsidP="00306AB1">
            <w:pPr>
              <w:tabs>
                <w:tab w:val="left" w:pos="567"/>
              </w:tabs>
              <w:spacing w:after="0" w:line="240" w:lineRule="auto"/>
              <w:rPr>
                <w:rFonts w:ascii="Arial" w:eastAsia="Times New Roman" w:hAnsi="Arial" w:cs="Arial"/>
                <w:b/>
              </w:rPr>
            </w:pPr>
            <w:r w:rsidRPr="00044994">
              <w:rPr>
                <w:rFonts w:ascii="Arial" w:eastAsia="Times New Roman" w:hAnsi="Arial" w:cs="Arial"/>
                <w:b/>
              </w:rPr>
              <w:t>Συχνότητα</w:t>
            </w:r>
          </w:p>
        </w:tc>
        <w:tc>
          <w:tcPr>
            <w:tcW w:w="2036" w:type="pct"/>
            <w:gridSpan w:val="2"/>
          </w:tcPr>
          <w:p w:rsidR="00E05BBC" w:rsidRPr="00044994" w:rsidRDefault="00E05BBC" w:rsidP="00306AB1">
            <w:pPr>
              <w:tabs>
                <w:tab w:val="left" w:pos="567"/>
              </w:tabs>
              <w:spacing w:after="0" w:line="240" w:lineRule="auto"/>
              <w:rPr>
                <w:rFonts w:ascii="Arial" w:eastAsia="Times New Roman" w:hAnsi="Arial" w:cs="Arial"/>
                <w:b/>
              </w:rPr>
            </w:pPr>
            <w:r w:rsidRPr="00044994">
              <w:rPr>
                <w:rFonts w:ascii="Arial" w:eastAsia="Times New Roman" w:hAnsi="Arial" w:cs="Arial"/>
                <w:b/>
              </w:rPr>
              <w:t>Ανεπιθύμητη ενέργεια</w:t>
            </w:r>
          </w:p>
        </w:tc>
      </w:tr>
      <w:tr w:rsidR="00E05BBC" w:rsidRPr="00044994" w:rsidTr="00306AB1">
        <w:trPr>
          <w:gridAfter w:val="1"/>
          <w:wAfter w:w="3" w:type="pct"/>
        </w:trPr>
        <w:tc>
          <w:tcPr>
            <w:tcW w:w="4997" w:type="pct"/>
            <w:gridSpan w:val="3"/>
          </w:tcPr>
          <w:p w:rsidR="00E05BBC" w:rsidRPr="00044994" w:rsidRDefault="00E05BBC" w:rsidP="00306AB1">
            <w:pPr>
              <w:tabs>
                <w:tab w:val="left" w:pos="567"/>
              </w:tabs>
              <w:spacing w:after="0" w:line="240" w:lineRule="auto"/>
              <w:rPr>
                <w:rFonts w:ascii="Arial" w:eastAsia="Times New Roman" w:hAnsi="Arial" w:cs="Arial"/>
                <w:b/>
                <w:lang w:val="en-GB"/>
              </w:rPr>
            </w:pPr>
            <w:r w:rsidRPr="00044994">
              <w:rPr>
                <w:rFonts w:ascii="Arial" w:eastAsia="Times New Roman" w:hAnsi="Arial" w:cs="Arial"/>
                <w:b/>
              </w:rPr>
              <w:t>Κλινικές μελέτες</w:t>
            </w:r>
          </w:p>
        </w:tc>
      </w:tr>
      <w:tr w:rsidR="00E05BBC" w:rsidRPr="00044994" w:rsidTr="00306AB1">
        <w:tc>
          <w:tcPr>
            <w:tcW w:w="2111" w:type="pct"/>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αιμοποιητικού και του λεμφικού συστήματος </w:t>
            </w:r>
          </w:p>
        </w:tc>
        <w:tc>
          <w:tcPr>
            <w:tcW w:w="853" w:type="pct"/>
            <w:tcBorders>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Σπάνια</w:t>
            </w:r>
          </w:p>
        </w:tc>
        <w:tc>
          <w:tcPr>
            <w:tcW w:w="2036" w:type="pct"/>
            <w:gridSpan w:val="2"/>
            <w:tcBorders>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proofErr w:type="spellStart"/>
            <w:r w:rsidRPr="00044994">
              <w:rPr>
                <w:rFonts w:ascii="Arial" w:eastAsia="Times New Roman" w:hAnsi="Arial" w:cs="Arial"/>
              </w:rPr>
              <w:t>Λεμφαδενοπάθεια</w:t>
            </w:r>
            <w:proofErr w:type="spellEnd"/>
          </w:p>
        </w:tc>
      </w:tr>
      <w:tr w:rsidR="00E05BBC" w:rsidRPr="00044994" w:rsidTr="00306AB1">
        <w:tc>
          <w:tcPr>
            <w:tcW w:w="2111" w:type="pct"/>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μεταβολισμού και της θρέψης </w:t>
            </w:r>
          </w:p>
        </w:tc>
        <w:tc>
          <w:tcPr>
            <w:tcW w:w="853" w:type="pct"/>
            <w:tcBorders>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Συχνά</w:t>
            </w:r>
          </w:p>
        </w:tc>
        <w:tc>
          <w:tcPr>
            <w:tcW w:w="2036" w:type="pct"/>
            <w:gridSpan w:val="2"/>
            <w:tcBorders>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Απώλεια όρεξης</w:t>
            </w:r>
          </w:p>
        </w:tc>
      </w:tr>
      <w:tr w:rsidR="00E05BBC" w:rsidRPr="00044994" w:rsidTr="00306AB1">
        <w:tc>
          <w:tcPr>
            <w:tcW w:w="2111" w:type="pct"/>
          </w:tcPr>
          <w:p w:rsidR="00E05BBC" w:rsidRPr="00044994" w:rsidRDefault="00E05BBC" w:rsidP="00306AB1">
            <w:pPr>
              <w:tabs>
                <w:tab w:val="left" w:pos="567"/>
              </w:tabs>
              <w:spacing w:after="0" w:line="240" w:lineRule="auto"/>
              <w:rPr>
                <w:rFonts w:ascii="Arial" w:eastAsia="Times New Roman" w:hAnsi="Arial" w:cs="Arial"/>
                <w:u w:val="single"/>
                <w:lang w:val="en-GB"/>
              </w:rPr>
            </w:pPr>
            <w:r w:rsidRPr="00044994">
              <w:rPr>
                <w:rFonts w:ascii="Arial" w:eastAsia="Times New Roman" w:hAnsi="Arial" w:cs="Arial"/>
                <w:noProof/>
                <w:szCs w:val="20"/>
              </w:rPr>
              <w:t xml:space="preserve">Ψυχιατρικές διαταραχές </w:t>
            </w:r>
          </w:p>
        </w:tc>
        <w:tc>
          <w:tcPr>
            <w:tcW w:w="853" w:type="pct"/>
            <w:tcBorders>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Πολύ συχνά</w:t>
            </w:r>
          </w:p>
        </w:tc>
        <w:tc>
          <w:tcPr>
            <w:tcW w:w="2036" w:type="pct"/>
            <w:gridSpan w:val="2"/>
            <w:tcBorders>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Ευερεθιστότητα</w:t>
            </w:r>
          </w:p>
        </w:tc>
      </w:tr>
      <w:tr w:rsidR="00E05BBC" w:rsidRPr="00044994" w:rsidTr="00306AB1">
        <w:tc>
          <w:tcPr>
            <w:tcW w:w="2111" w:type="pct"/>
            <w:vMerge w:val="restart"/>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noProof/>
                <w:szCs w:val="20"/>
              </w:rPr>
              <w:t xml:space="preserve">Διαταραχές του νευρικού συστήματος </w:t>
            </w:r>
          </w:p>
        </w:tc>
        <w:tc>
          <w:tcPr>
            <w:tcW w:w="853" w:type="pct"/>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Συχνά</w:t>
            </w:r>
          </w:p>
        </w:tc>
        <w:tc>
          <w:tcPr>
            <w:tcW w:w="2036" w:type="pct"/>
            <w:gridSpan w:val="2"/>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Υπ</w:t>
            </w:r>
            <w:proofErr w:type="spellStart"/>
            <w:r w:rsidRPr="00044994">
              <w:rPr>
                <w:rFonts w:ascii="Arial" w:eastAsia="Times New Roman" w:hAnsi="Arial" w:cs="Arial"/>
                <w:lang w:val="en-GB"/>
              </w:rPr>
              <w:t>νηλί</w:t>
            </w:r>
            <w:proofErr w:type="spellEnd"/>
            <w:r w:rsidRPr="00044994">
              <w:rPr>
                <w:rFonts w:ascii="Arial" w:eastAsia="Times New Roman" w:hAnsi="Arial" w:cs="Arial"/>
                <w:lang w:val="en-GB"/>
              </w:rPr>
              <w:t xml:space="preserve">α, </w:t>
            </w:r>
            <w:proofErr w:type="spellStart"/>
            <w:r w:rsidRPr="00044994">
              <w:rPr>
                <w:rFonts w:ascii="Arial" w:eastAsia="Times New Roman" w:hAnsi="Arial" w:cs="Arial"/>
                <w:lang w:val="en-GB"/>
              </w:rPr>
              <w:t>κεφ</w:t>
            </w:r>
            <w:proofErr w:type="spellEnd"/>
            <w:r w:rsidRPr="00044994">
              <w:rPr>
                <w:rFonts w:ascii="Arial" w:eastAsia="Times New Roman" w:hAnsi="Arial" w:cs="Arial"/>
                <w:lang w:val="en-GB"/>
              </w:rPr>
              <w:t>αλαλγία</w:t>
            </w:r>
          </w:p>
        </w:tc>
      </w:tr>
      <w:tr w:rsidR="00E05BBC" w:rsidRPr="00044994" w:rsidTr="00306AB1">
        <w:tc>
          <w:tcPr>
            <w:tcW w:w="2111" w:type="pct"/>
            <w:vMerge/>
          </w:tcPr>
          <w:p w:rsidR="00E05BBC" w:rsidRPr="00044994" w:rsidRDefault="00E05BBC" w:rsidP="00306AB1">
            <w:pPr>
              <w:tabs>
                <w:tab w:val="left" w:pos="567"/>
              </w:tabs>
              <w:spacing w:after="0" w:line="240" w:lineRule="auto"/>
              <w:rPr>
                <w:rFonts w:ascii="Arial" w:eastAsia="Times New Roman" w:hAnsi="Arial" w:cs="Arial"/>
                <w:lang w:val="en-GB"/>
              </w:rPr>
            </w:pPr>
          </w:p>
        </w:tc>
        <w:tc>
          <w:tcPr>
            <w:tcW w:w="853" w:type="pct"/>
            <w:tcBorders>
              <w:top w:val="dashed" w:sz="4" w:space="0" w:color="auto"/>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Όχι συχνά</w:t>
            </w:r>
          </w:p>
        </w:tc>
        <w:tc>
          <w:tcPr>
            <w:tcW w:w="2036" w:type="pct"/>
            <w:gridSpan w:val="2"/>
            <w:tcBorders>
              <w:top w:val="dashed" w:sz="4" w:space="0" w:color="auto"/>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Ζάλη</w:t>
            </w:r>
          </w:p>
        </w:tc>
      </w:tr>
      <w:tr w:rsidR="00E05BBC" w:rsidRPr="00044994" w:rsidTr="00306AB1">
        <w:tc>
          <w:tcPr>
            <w:tcW w:w="2111" w:type="pct"/>
            <w:vMerge/>
          </w:tcPr>
          <w:p w:rsidR="00E05BBC" w:rsidRPr="00044994" w:rsidRDefault="00E05BBC" w:rsidP="00306AB1">
            <w:pPr>
              <w:tabs>
                <w:tab w:val="left" w:pos="567"/>
              </w:tabs>
              <w:spacing w:after="0" w:line="240" w:lineRule="auto"/>
              <w:rPr>
                <w:rFonts w:ascii="Arial" w:eastAsia="Times New Roman" w:hAnsi="Arial" w:cs="Arial"/>
                <w:lang w:val="en-GB"/>
              </w:rPr>
            </w:pPr>
          </w:p>
        </w:tc>
        <w:tc>
          <w:tcPr>
            <w:tcW w:w="853" w:type="pct"/>
            <w:tcBorders>
              <w:top w:val="dashed"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Σπάνια</w:t>
            </w:r>
          </w:p>
        </w:tc>
        <w:tc>
          <w:tcPr>
            <w:tcW w:w="2036" w:type="pct"/>
            <w:gridSpan w:val="2"/>
            <w:tcBorders>
              <w:top w:val="dashed"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szCs w:val="20"/>
              </w:rPr>
              <w:t>Παραισθησία</w:t>
            </w:r>
          </w:p>
        </w:tc>
      </w:tr>
      <w:tr w:rsidR="00E05BBC" w:rsidRPr="00044994" w:rsidTr="00306AB1">
        <w:trPr>
          <w:trHeight w:val="206"/>
        </w:trPr>
        <w:tc>
          <w:tcPr>
            <w:tcW w:w="2111" w:type="pct"/>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noProof/>
                <w:szCs w:val="20"/>
              </w:rPr>
              <w:t xml:space="preserve">Διαταραχές του γαστρεντερικού </w:t>
            </w:r>
          </w:p>
        </w:tc>
        <w:tc>
          <w:tcPr>
            <w:tcW w:w="853" w:type="pct"/>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Συχνά</w:t>
            </w:r>
          </w:p>
        </w:tc>
        <w:tc>
          <w:tcPr>
            <w:tcW w:w="2036" w:type="pct"/>
            <w:gridSpan w:val="2"/>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Γαστρεντερικά συμπτώματα (όπως ναυτία, έμετος, διάρροια, κοιλιακό άλγος)</w:t>
            </w:r>
          </w:p>
        </w:tc>
      </w:tr>
      <w:tr w:rsidR="00E05BBC" w:rsidRPr="00044994" w:rsidTr="00306AB1">
        <w:trPr>
          <w:trHeight w:val="109"/>
        </w:trPr>
        <w:tc>
          <w:tcPr>
            <w:tcW w:w="2111" w:type="pct"/>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δέρματος και του υποδόριου ιστού </w:t>
            </w:r>
          </w:p>
        </w:tc>
        <w:tc>
          <w:tcPr>
            <w:tcW w:w="853" w:type="pct"/>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Σπάνια</w:t>
            </w:r>
          </w:p>
        </w:tc>
        <w:tc>
          <w:tcPr>
            <w:tcW w:w="2036" w:type="pct"/>
            <w:gridSpan w:val="2"/>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proofErr w:type="spellStart"/>
            <w:r w:rsidRPr="00044994">
              <w:rPr>
                <w:rFonts w:ascii="Arial" w:eastAsia="Times New Roman" w:hAnsi="Arial" w:cs="Arial"/>
                <w:szCs w:val="20"/>
                <w:lang w:val="en-GB"/>
              </w:rPr>
              <w:t>Κνίδωση</w:t>
            </w:r>
            <w:proofErr w:type="spellEnd"/>
            <w:r w:rsidRPr="00044994">
              <w:rPr>
                <w:rFonts w:ascii="Arial" w:eastAsia="Times New Roman" w:hAnsi="Arial" w:cs="Arial"/>
                <w:szCs w:val="20"/>
                <w:lang w:val="en-GB"/>
              </w:rPr>
              <w:t xml:space="preserve">, </w:t>
            </w:r>
            <w:proofErr w:type="spellStart"/>
            <w:r w:rsidRPr="00044994">
              <w:rPr>
                <w:rFonts w:ascii="Arial" w:eastAsia="Times New Roman" w:hAnsi="Arial" w:cs="Arial"/>
                <w:szCs w:val="20"/>
                <w:lang w:val="en-GB"/>
              </w:rPr>
              <w:t>κνησμός</w:t>
            </w:r>
            <w:proofErr w:type="spellEnd"/>
            <w:r w:rsidRPr="00044994">
              <w:rPr>
                <w:rFonts w:ascii="Arial" w:eastAsia="Times New Roman" w:hAnsi="Arial" w:cs="Arial"/>
                <w:szCs w:val="20"/>
                <w:lang w:val="en-GB"/>
              </w:rPr>
              <w:t xml:space="preserve">, </w:t>
            </w:r>
            <w:proofErr w:type="spellStart"/>
            <w:r w:rsidRPr="00044994">
              <w:rPr>
                <w:rFonts w:ascii="Arial" w:eastAsia="Times New Roman" w:hAnsi="Arial" w:cs="Arial"/>
                <w:szCs w:val="20"/>
                <w:lang w:val="en-GB"/>
              </w:rPr>
              <w:t>εξάνθημ</w:t>
            </w:r>
            <w:proofErr w:type="spellEnd"/>
            <w:r w:rsidRPr="00044994">
              <w:rPr>
                <w:rFonts w:ascii="Arial" w:eastAsia="Times New Roman" w:hAnsi="Arial" w:cs="Arial"/>
                <w:szCs w:val="20"/>
                <w:lang w:val="en-GB"/>
              </w:rPr>
              <w:t>α</w:t>
            </w:r>
          </w:p>
        </w:tc>
      </w:tr>
      <w:tr w:rsidR="00E05BBC" w:rsidRPr="00044994" w:rsidTr="00306AB1">
        <w:trPr>
          <w:trHeight w:val="109"/>
        </w:trPr>
        <w:tc>
          <w:tcPr>
            <w:tcW w:w="2111" w:type="pct"/>
            <w:vMerge w:val="restart"/>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μυοσκελετικού συστήματος και του συνδετικού ιστού </w:t>
            </w:r>
          </w:p>
        </w:tc>
        <w:tc>
          <w:tcPr>
            <w:tcW w:w="853" w:type="pct"/>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Όχι συχνά</w:t>
            </w:r>
          </w:p>
        </w:tc>
        <w:tc>
          <w:tcPr>
            <w:tcW w:w="2036" w:type="pct"/>
            <w:gridSpan w:val="2"/>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rPr>
              <w:t>Μυαλγία</w:t>
            </w:r>
          </w:p>
        </w:tc>
      </w:tr>
      <w:tr w:rsidR="00E05BBC" w:rsidRPr="00044994" w:rsidTr="00306AB1">
        <w:trPr>
          <w:trHeight w:val="109"/>
        </w:trPr>
        <w:tc>
          <w:tcPr>
            <w:tcW w:w="2111" w:type="pct"/>
            <w:vMerge/>
          </w:tcPr>
          <w:p w:rsidR="00E05BBC" w:rsidRPr="00044994" w:rsidRDefault="00E05BBC" w:rsidP="00306AB1">
            <w:pPr>
              <w:tabs>
                <w:tab w:val="left" w:pos="567"/>
              </w:tabs>
              <w:spacing w:after="0" w:line="240" w:lineRule="auto"/>
              <w:rPr>
                <w:rFonts w:ascii="Arial" w:eastAsia="Times New Roman" w:hAnsi="Arial" w:cs="Arial"/>
                <w:lang w:val="en-GB"/>
              </w:rPr>
            </w:pPr>
          </w:p>
        </w:tc>
        <w:tc>
          <w:tcPr>
            <w:tcW w:w="853" w:type="pct"/>
            <w:tcBorders>
              <w:top w:val="dashed" w:sz="4" w:space="0" w:color="auto"/>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Σπάνια</w:t>
            </w:r>
          </w:p>
        </w:tc>
        <w:tc>
          <w:tcPr>
            <w:tcW w:w="2036" w:type="pct"/>
            <w:gridSpan w:val="2"/>
            <w:tcBorders>
              <w:top w:val="dashed" w:sz="4" w:space="0" w:color="auto"/>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Αρθραλγία</w:t>
            </w:r>
          </w:p>
        </w:tc>
      </w:tr>
      <w:tr w:rsidR="00E05BBC" w:rsidRPr="00044994" w:rsidTr="00306AB1">
        <w:tc>
          <w:tcPr>
            <w:tcW w:w="2111" w:type="pct"/>
            <w:vMerge w:val="restart"/>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Γενικές διαταραχές και καταστάσεις της οδού χορήγησης </w:t>
            </w:r>
          </w:p>
        </w:tc>
        <w:tc>
          <w:tcPr>
            <w:tcW w:w="853" w:type="pct"/>
            <w:tcBorders>
              <w:bottom w:val="dashed" w:sz="4" w:space="0" w:color="auto"/>
            </w:tcBorders>
          </w:tcPr>
          <w:p w:rsidR="00E05BBC" w:rsidRPr="00044994" w:rsidRDefault="00E05BBC" w:rsidP="00306AB1">
            <w:pPr>
              <w:tabs>
                <w:tab w:val="left" w:pos="567"/>
                <w:tab w:val="left" w:pos="1377"/>
              </w:tabs>
              <w:spacing w:after="0" w:line="240" w:lineRule="auto"/>
              <w:rPr>
                <w:rFonts w:ascii="Arial" w:eastAsia="Times New Roman" w:hAnsi="Arial" w:cs="Arial"/>
                <w:lang w:val="en-GB"/>
              </w:rPr>
            </w:pPr>
            <w:r w:rsidRPr="00044994">
              <w:rPr>
                <w:rFonts w:ascii="Arial" w:eastAsia="Times New Roman" w:hAnsi="Arial" w:cs="Arial"/>
              </w:rPr>
              <w:t>Πολύ συχνά</w:t>
            </w:r>
          </w:p>
        </w:tc>
        <w:tc>
          <w:tcPr>
            <w:tcW w:w="2036" w:type="pct"/>
            <w:gridSpan w:val="2"/>
            <w:tcBorders>
              <w:bottom w:val="dashed" w:sz="4" w:space="0" w:color="auto"/>
            </w:tcBorders>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Πόνος και ερυθρότητα στο σημείο της ένεσης, κόπωση</w:t>
            </w:r>
          </w:p>
        </w:tc>
      </w:tr>
      <w:tr w:rsidR="00E05BBC" w:rsidRPr="00044994" w:rsidTr="00306AB1">
        <w:tc>
          <w:tcPr>
            <w:tcW w:w="2111" w:type="pct"/>
            <w:vMerge/>
          </w:tcPr>
          <w:p w:rsidR="00E05BBC" w:rsidRPr="00044994" w:rsidRDefault="00E05BBC" w:rsidP="00306AB1">
            <w:pPr>
              <w:tabs>
                <w:tab w:val="left" w:pos="567"/>
              </w:tabs>
              <w:spacing w:after="0" w:line="240" w:lineRule="auto"/>
              <w:rPr>
                <w:rFonts w:ascii="Arial" w:eastAsia="Times New Roman" w:hAnsi="Arial" w:cs="Arial"/>
              </w:rPr>
            </w:pPr>
          </w:p>
        </w:tc>
        <w:tc>
          <w:tcPr>
            <w:tcW w:w="853" w:type="pct"/>
            <w:tcBorders>
              <w:top w:val="dashed" w:sz="4" w:space="0" w:color="auto"/>
              <w:bottom w:val="dashed" w:sz="4" w:space="0" w:color="auto"/>
            </w:tcBorders>
          </w:tcPr>
          <w:p w:rsidR="00E05BBC" w:rsidRPr="00044994" w:rsidRDefault="00E05BBC" w:rsidP="00306AB1">
            <w:pPr>
              <w:tabs>
                <w:tab w:val="left" w:pos="567"/>
                <w:tab w:val="left" w:pos="1377"/>
              </w:tabs>
              <w:spacing w:after="0" w:line="240" w:lineRule="auto"/>
              <w:rPr>
                <w:rFonts w:ascii="Arial" w:eastAsia="Times New Roman" w:hAnsi="Arial" w:cs="Arial"/>
              </w:rPr>
            </w:pPr>
            <w:r w:rsidRPr="00044994">
              <w:rPr>
                <w:rFonts w:ascii="Arial" w:eastAsia="Times New Roman" w:hAnsi="Arial" w:cs="Arial"/>
              </w:rPr>
              <w:t>Συχνά</w:t>
            </w:r>
          </w:p>
        </w:tc>
        <w:tc>
          <w:tcPr>
            <w:tcW w:w="2036" w:type="pct"/>
            <w:gridSpan w:val="2"/>
            <w:tcBorders>
              <w:top w:val="dashed" w:sz="4" w:space="0" w:color="auto"/>
              <w:bottom w:val="dashed" w:sz="4" w:space="0" w:color="auto"/>
            </w:tcBorders>
          </w:tcPr>
          <w:p w:rsidR="00E05BBC" w:rsidRPr="00044994" w:rsidRDefault="00E05BBC" w:rsidP="00306AB1">
            <w:pPr>
              <w:tabs>
                <w:tab w:val="left" w:pos="567"/>
                <w:tab w:val="center" w:pos="4153"/>
              </w:tabs>
              <w:spacing w:after="0" w:line="240" w:lineRule="auto"/>
              <w:rPr>
                <w:rFonts w:ascii="Arial" w:eastAsia="Times New Roman" w:hAnsi="Arial" w:cs="Arial"/>
              </w:rPr>
            </w:pPr>
            <w:r w:rsidRPr="00044994">
              <w:rPr>
                <w:rFonts w:ascii="Arial" w:eastAsia="Times New Roman" w:hAnsi="Arial" w:cs="Arial"/>
              </w:rPr>
              <w:t>Πυρετός (</w:t>
            </w:r>
            <w:r w:rsidRPr="00044994">
              <w:rPr>
                <w:rFonts w:ascii="Arial" w:eastAsia="Times New Roman" w:hAnsi="Arial" w:cs="Arial"/>
                <w:lang w:val="en-GB"/>
              </w:rPr>
              <w:sym w:font="Symbol" w:char="F0B3"/>
            </w:r>
            <w:r w:rsidRPr="00044994">
              <w:rPr>
                <w:rFonts w:ascii="Arial" w:eastAsia="Times New Roman" w:hAnsi="Arial" w:cs="Arial"/>
              </w:rPr>
              <w:t xml:space="preserve">37.5 ° </w:t>
            </w:r>
            <w:r w:rsidRPr="00044994">
              <w:rPr>
                <w:rFonts w:ascii="Arial" w:eastAsia="Times New Roman" w:hAnsi="Arial" w:cs="Arial"/>
                <w:lang w:val="en-GB"/>
              </w:rPr>
              <w:t>C</w:t>
            </w:r>
            <w:r w:rsidRPr="00044994">
              <w:rPr>
                <w:rFonts w:ascii="Arial" w:eastAsia="Times New Roman" w:hAnsi="Arial" w:cs="Arial"/>
              </w:rPr>
              <w:t>), κακουχία, οίδημα στο σημείο της ένεσης, αντίδραση στο σημείο της ένεσης (όπως σκλήρυνση)</w:t>
            </w:r>
          </w:p>
        </w:tc>
      </w:tr>
      <w:tr w:rsidR="00E05BBC" w:rsidRPr="00044994" w:rsidTr="00306AB1">
        <w:tc>
          <w:tcPr>
            <w:tcW w:w="2111" w:type="pct"/>
            <w:vMerge/>
          </w:tcPr>
          <w:p w:rsidR="00E05BBC" w:rsidRPr="00044994" w:rsidRDefault="00E05BBC" w:rsidP="00306AB1">
            <w:pPr>
              <w:tabs>
                <w:tab w:val="left" w:pos="567"/>
              </w:tabs>
              <w:spacing w:after="0" w:line="240" w:lineRule="auto"/>
              <w:rPr>
                <w:rFonts w:ascii="Arial" w:eastAsia="Times New Roman" w:hAnsi="Arial" w:cs="Arial"/>
              </w:rPr>
            </w:pPr>
          </w:p>
        </w:tc>
        <w:tc>
          <w:tcPr>
            <w:tcW w:w="853" w:type="pct"/>
            <w:tcBorders>
              <w:top w:val="dashed" w:sz="4" w:space="0" w:color="auto"/>
            </w:tcBorders>
          </w:tcPr>
          <w:p w:rsidR="00E05BBC" w:rsidRPr="00044994" w:rsidRDefault="00E05BBC" w:rsidP="00306AB1">
            <w:pPr>
              <w:tabs>
                <w:tab w:val="left" w:pos="567"/>
                <w:tab w:val="left" w:pos="1377"/>
              </w:tabs>
              <w:spacing w:after="0" w:line="240" w:lineRule="auto"/>
              <w:rPr>
                <w:rFonts w:ascii="Arial" w:eastAsia="Times New Roman" w:hAnsi="Arial" w:cs="Arial"/>
                <w:lang w:val="en-GB"/>
              </w:rPr>
            </w:pPr>
            <w:r w:rsidRPr="00044994">
              <w:rPr>
                <w:rFonts w:ascii="Arial" w:eastAsia="Times New Roman" w:hAnsi="Arial" w:cs="Arial"/>
              </w:rPr>
              <w:t>Όχι συχνά</w:t>
            </w:r>
          </w:p>
        </w:tc>
        <w:tc>
          <w:tcPr>
            <w:tcW w:w="2036" w:type="pct"/>
            <w:gridSpan w:val="2"/>
            <w:tcBorders>
              <w:top w:val="dashed" w:sz="4" w:space="0" w:color="auto"/>
            </w:tcBorders>
          </w:tcPr>
          <w:p w:rsidR="00E05BBC" w:rsidRPr="00044994" w:rsidRDefault="00E05BBC" w:rsidP="00306AB1">
            <w:pPr>
              <w:tabs>
                <w:tab w:val="left" w:pos="567"/>
                <w:tab w:val="center" w:pos="4153"/>
              </w:tabs>
              <w:spacing w:after="0" w:line="240" w:lineRule="auto"/>
              <w:rPr>
                <w:rFonts w:ascii="Arial" w:eastAsia="Times New Roman" w:hAnsi="Arial" w:cs="Arial"/>
              </w:rPr>
            </w:pPr>
            <w:proofErr w:type="spellStart"/>
            <w:r w:rsidRPr="00044994">
              <w:rPr>
                <w:rFonts w:ascii="Arial" w:eastAsia="Times New Roman" w:hAnsi="Arial" w:cs="Arial"/>
                <w:szCs w:val="20"/>
              </w:rPr>
              <w:t>Γριππώδης</w:t>
            </w:r>
            <w:proofErr w:type="spellEnd"/>
            <w:r w:rsidRPr="00044994">
              <w:rPr>
                <w:rFonts w:ascii="Arial" w:eastAsia="Times New Roman" w:hAnsi="Arial" w:cs="Arial"/>
                <w:szCs w:val="20"/>
              </w:rPr>
              <w:t xml:space="preserve"> συνδρομή</w:t>
            </w:r>
          </w:p>
        </w:tc>
      </w:tr>
      <w:tr w:rsidR="00E05BBC" w:rsidRPr="00044994" w:rsidTr="00306AB1">
        <w:trPr>
          <w:gridAfter w:val="1"/>
          <w:wAfter w:w="3" w:type="pct"/>
        </w:trPr>
        <w:tc>
          <w:tcPr>
            <w:tcW w:w="4997" w:type="pct"/>
            <w:gridSpan w:val="3"/>
          </w:tcPr>
          <w:p w:rsidR="00E05BBC" w:rsidRPr="00044994" w:rsidRDefault="00E05BBC" w:rsidP="00306AB1">
            <w:pPr>
              <w:tabs>
                <w:tab w:val="left" w:pos="46"/>
                <w:tab w:val="left" w:pos="567"/>
              </w:tabs>
              <w:spacing w:after="0" w:line="240" w:lineRule="auto"/>
              <w:ind w:left="46" w:hanging="46"/>
              <w:rPr>
                <w:rFonts w:ascii="Arial" w:eastAsia="Times New Roman" w:hAnsi="Arial" w:cs="Arial"/>
                <w:b/>
              </w:rPr>
            </w:pPr>
            <w:r w:rsidRPr="00044994">
              <w:rPr>
                <w:rFonts w:ascii="Arial" w:eastAsia="Times New Roman" w:hAnsi="Arial" w:cs="Arial"/>
                <w:b/>
              </w:rPr>
              <w:t>Παρακολούθηση μετά την κυκλοφορία</w:t>
            </w:r>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rPr>
              <w:t>Λοιμώξεις και παρασιτώσεις</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Μηνιγγίτιδα</w:t>
            </w:r>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αιμοποιητικού και του λεμφικού συστήματος </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proofErr w:type="spellStart"/>
            <w:r w:rsidRPr="00044994">
              <w:rPr>
                <w:rFonts w:ascii="Arial" w:eastAsia="Times New Roman" w:hAnsi="Arial" w:cs="Arial"/>
              </w:rPr>
              <w:t>Θρομβοπενία</w:t>
            </w:r>
            <w:proofErr w:type="spellEnd"/>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noProof/>
                <w:szCs w:val="20"/>
              </w:rPr>
              <w:t xml:space="preserve">Διαταραχές του ανοσοποιητικού συστήματος </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rPr>
              <w:t xml:space="preserve">Αναφυλαξία, αλλεργικές αντιδράσεις συμπεριλαμβανομένων των </w:t>
            </w:r>
            <w:proofErr w:type="spellStart"/>
            <w:r w:rsidRPr="00044994">
              <w:rPr>
                <w:rFonts w:ascii="Arial" w:eastAsia="Times New Roman" w:hAnsi="Arial" w:cs="Arial"/>
              </w:rPr>
              <w:lastRenderedPageBreak/>
              <w:t>αναφυλακτικών</w:t>
            </w:r>
            <w:proofErr w:type="spellEnd"/>
            <w:r w:rsidRPr="00044994">
              <w:rPr>
                <w:rFonts w:ascii="Arial" w:eastAsia="Times New Roman" w:hAnsi="Arial" w:cs="Arial"/>
              </w:rPr>
              <w:t xml:space="preserve"> αντιδράσεων που προσομοιάζουν με ορονοσία </w:t>
            </w:r>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noProof/>
                <w:szCs w:val="20"/>
              </w:rPr>
              <w:lastRenderedPageBreak/>
              <w:t xml:space="preserve">Διαταραχές του νευρικού συστήματος </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fr-FR"/>
              </w:rPr>
            </w:pPr>
            <w:proofErr w:type="spellStart"/>
            <w:r w:rsidRPr="00044994">
              <w:rPr>
                <w:rFonts w:ascii="Arial" w:eastAsia="Times New Roman" w:hAnsi="Arial" w:cs="Arial"/>
                <w:lang w:val="fr-FR"/>
              </w:rPr>
              <w:t>Εγκεφ</w:t>
            </w:r>
            <w:proofErr w:type="spellEnd"/>
            <w:r w:rsidRPr="00044994">
              <w:rPr>
                <w:rFonts w:ascii="Arial" w:eastAsia="Times New Roman" w:hAnsi="Arial" w:cs="Arial"/>
                <w:lang w:val="fr-FR"/>
              </w:rPr>
              <w:t xml:space="preserve">αλίτιδα, </w:t>
            </w:r>
            <w:proofErr w:type="spellStart"/>
            <w:r w:rsidRPr="00044994">
              <w:rPr>
                <w:rFonts w:ascii="Arial" w:eastAsia="Times New Roman" w:hAnsi="Arial" w:cs="Arial"/>
                <w:lang w:val="fr-FR"/>
              </w:rPr>
              <w:t>εγκεφ</w:t>
            </w:r>
            <w:proofErr w:type="spellEnd"/>
            <w:r w:rsidRPr="00044994">
              <w:rPr>
                <w:rFonts w:ascii="Arial" w:eastAsia="Times New Roman" w:hAnsi="Arial" w:cs="Arial"/>
                <w:lang w:val="fr-FR"/>
              </w:rPr>
              <w:t>αλοπάθεια, σπα</w:t>
            </w:r>
            <w:proofErr w:type="spellStart"/>
            <w:r w:rsidRPr="00044994">
              <w:rPr>
                <w:rFonts w:ascii="Arial" w:eastAsia="Times New Roman" w:hAnsi="Arial" w:cs="Arial"/>
                <w:lang w:val="fr-FR"/>
              </w:rPr>
              <w:t>σμοί</w:t>
            </w:r>
            <w:proofErr w:type="spellEnd"/>
            <w:r w:rsidRPr="00044994">
              <w:rPr>
                <w:rFonts w:ascii="Arial" w:eastAsia="Times New Roman" w:hAnsi="Arial" w:cs="Arial"/>
                <w:lang w:val="fr-FR"/>
              </w:rPr>
              <w:t>, πα</w:t>
            </w:r>
            <w:proofErr w:type="spellStart"/>
            <w:r w:rsidRPr="00044994">
              <w:rPr>
                <w:rFonts w:ascii="Arial" w:eastAsia="Times New Roman" w:hAnsi="Arial" w:cs="Arial"/>
                <w:lang w:val="fr-FR"/>
              </w:rPr>
              <w:t>ράλυση</w:t>
            </w:r>
            <w:proofErr w:type="spellEnd"/>
            <w:r w:rsidRPr="00044994">
              <w:rPr>
                <w:rFonts w:ascii="Arial" w:eastAsia="Times New Roman" w:hAnsi="Arial" w:cs="Arial"/>
                <w:lang w:val="fr-FR"/>
              </w:rPr>
              <w:t xml:space="preserve">, </w:t>
            </w:r>
            <w:proofErr w:type="spellStart"/>
            <w:r w:rsidRPr="00044994">
              <w:rPr>
                <w:rFonts w:ascii="Arial" w:eastAsia="Times New Roman" w:hAnsi="Arial" w:cs="Arial"/>
                <w:lang w:val="fr-FR"/>
              </w:rPr>
              <w:t>νευρίτιδ</w:t>
            </w:r>
            <w:proofErr w:type="spellEnd"/>
            <w:r w:rsidRPr="00044994">
              <w:rPr>
                <w:rFonts w:ascii="Arial" w:eastAsia="Times New Roman" w:hAnsi="Arial" w:cs="Arial"/>
                <w:lang w:val="fr-FR"/>
              </w:rPr>
              <w:t>α (</w:t>
            </w:r>
            <w:proofErr w:type="spellStart"/>
            <w:r w:rsidRPr="00044994">
              <w:rPr>
                <w:rFonts w:ascii="Arial" w:eastAsia="Times New Roman" w:hAnsi="Arial" w:cs="Arial"/>
                <w:lang w:val="fr-FR"/>
              </w:rPr>
              <w:t>συμ</w:t>
            </w:r>
            <w:proofErr w:type="spellEnd"/>
            <w:r w:rsidRPr="00044994">
              <w:rPr>
                <w:rFonts w:ascii="Arial" w:eastAsia="Times New Roman" w:hAnsi="Arial" w:cs="Arial"/>
                <w:lang w:val="fr-FR"/>
              </w:rPr>
              <w:t xml:space="preserve">περιλαμβανομένου </w:t>
            </w:r>
            <w:proofErr w:type="spellStart"/>
            <w:r w:rsidRPr="00044994">
              <w:rPr>
                <w:rFonts w:ascii="Arial" w:eastAsia="Times New Roman" w:hAnsi="Arial" w:cs="Arial"/>
                <w:lang w:val="fr-FR"/>
              </w:rPr>
              <w:t>του</w:t>
            </w:r>
            <w:proofErr w:type="spellEnd"/>
            <w:r w:rsidRPr="00044994">
              <w:rPr>
                <w:rFonts w:ascii="Arial" w:eastAsia="Times New Roman" w:hAnsi="Arial" w:cs="Arial"/>
                <w:lang w:val="fr-FR"/>
              </w:rPr>
              <w:t xml:space="preserve"> </w:t>
            </w:r>
            <w:proofErr w:type="spellStart"/>
            <w:r w:rsidRPr="00044994">
              <w:rPr>
                <w:rFonts w:ascii="Arial" w:eastAsia="Times New Roman" w:hAnsi="Arial" w:cs="Arial"/>
                <w:lang w:val="fr-FR"/>
              </w:rPr>
              <w:t>συνδρόμου</w:t>
            </w:r>
            <w:proofErr w:type="spellEnd"/>
            <w:r w:rsidRPr="00044994">
              <w:rPr>
                <w:rFonts w:ascii="Arial" w:eastAsia="Times New Roman" w:hAnsi="Arial" w:cs="Arial"/>
                <w:lang w:val="fr-FR"/>
              </w:rPr>
              <w:t xml:space="preserve"> Guillain-Barré, οπ</w:t>
            </w:r>
            <w:proofErr w:type="spellStart"/>
            <w:r w:rsidRPr="00044994">
              <w:rPr>
                <w:rFonts w:ascii="Arial" w:eastAsia="Times New Roman" w:hAnsi="Arial" w:cs="Arial"/>
                <w:lang w:val="fr-FR"/>
              </w:rPr>
              <w:t>τική</w:t>
            </w:r>
            <w:proofErr w:type="spellEnd"/>
            <w:r w:rsidRPr="00044994">
              <w:rPr>
                <w:rFonts w:ascii="Arial" w:eastAsia="Times New Roman" w:hAnsi="Arial" w:cs="Arial"/>
                <w:lang w:val="fr-FR"/>
              </w:rPr>
              <w:t xml:space="preserve"> </w:t>
            </w:r>
            <w:proofErr w:type="spellStart"/>
            <w:r w:rsidRPr="00044994">
              <w:rPr>
                <w:rFonts w:ascii="Arial" w:eastAsia="Times New Roman" w:hAnsi="Arial" w:cs="Arial"/>
                <w:lang w:val="fr-FR"/>
              </w:rPr>
              <w:t>νευρίτιδ</w:t>
            </w:r>
            <w:proofErr w:type="spellEnd"/>
            <w:r w:rsidRPr="00044994">
              <w:rPr>
                <w:rFonts w:ascii="Arial" w:eastAsia="Times New Roman" w:hAnsi="Arial" w:cs="Arial"/>
                <w:lang w:val="fr-FR"/>
              </w:rPr>
              <w:t xml:space="preserve">α και </w:t>
            </w:r>
            <w:proofErr w:type="spellStart"/>
            <w:r w:rsidRPr="00044994">
              <w:rPr>
                <w:rFonts w:ascii="Arial" w:eastAsia="Times New Roman" w:hAnsi="Arial" w:cs="Arial"/>
                <w:lang w:val="fr-FR"/>
              </w:rPr>
              <w:t>σκλήρυνση</w:t>
            </w:r>
            <w:proofErr w:type="spellEnd"/>
            <w:r w:rsidRPr="00044994">
              <w:rPr>
                <w:rFonts w:ascii="Arial" w:eastAsia="Times New Roman" w:hAnsi="Arial" w:cs="Arial"/>
                <w:lang w:val="fr-FR"/>
              </w:rPr>
              <w:t xml:space="preserve"> κα</w:t>
            </w:r>
            <w:proofErr w:type="spellStart"/>
            <w:r w:rsidRPr="00044994">
              <w:rPr>
                <w:rFonts w:ascii="Arial" w:eastAsia="Times New Roman" w:hAnsi="Arial" w:cs="Arial"/>
                <w:lang w:val="fr-FR"/>
              </w:rPr>
              <w:t>τά</w:t>
            </w:r>
            <w:proofErr w:type="spellEnd"/>
            <w:r w:rsidRPr="00044994">
              <w:rPr>
                <w:rFonts w:ascii="Arial" w:eastAsia="Times New Roman" w:hAnsi="Arial" w:cs="Arial"/>
                <w:lang w:val="fr-FR"/>
              </w:rPr>
              <w:t xml:space="preserve"> π</w:t>
            </w:r>
            <w:proofErr w:type="spellStart"/>
            <w:r w:rsidRPr="00044994">
              <w:rPr>
                <w:rFonts w:ascii="Arial" w:eastAsia="Times New Roman" w:hAnsi="Arial" w:cs="Arial"/>
                <w:lang w:val="fr-FR"/>
              </w:rPr>
              <w:t>λάκ</w:t>
            </w:r>
            <w:proofErr w:type="spellEnd"/>
            <w:r w:rsidRPr="00044994">
              <w:rPr>
                <w:rFonts w:ascii="Arial" w:eastAsia="Times New Roman" w:hAnsi="Arial" w:cs="Arial"/>
                <w:lang w:val="fr-FR"/>
              </w:rPr>
              <w:t xml:space="preserve">ας), </w:t>
            </w:r>
            <w:proofErr w:type="spellStart"/>
            <w:r w:rsidRPr="00044994">
              <w:rPr>
                <w:rFonts w:ascii="Arial" w:eastAsia="Times New Roman" w:hAnsi="Arial" w:cs="Arial"/>
                <w:lang w:val="fr-FR"/>
              </w:rPr>
              <w:t>νευρο</w:t>
            </w:r>
            <w:proofErr w:type="spellEnd"/>
            <w:r w:rsidRPr="00044994">
              <w:rPr>
                <w:rFonts w:ascii="Arial" w:eastAsia="Times New Roman" w:hAnsi="Arial" w:cs="Arial"/>
                <w:lang w:val="fr-FR"/>
              </w:rPr>
              <w:t>πάθεια, υπα</w:t>
            </w:r>
            <w:proofErr w:type="spellStart"/>
            <w:r w:rsidRPr="00044994">
              <w:rPr>
                <w:rFonts w:ascii="Arial" w:eastAsia="Times New Roman" w:hAnsi="Arial" w:cs="Arial"/>
                <w:lang w:val="fr-FR"/>
              </w:rPr>
              <w:t>ισθησί</w:t>
            </w:r>
            <w:proofErr w:type="spellEnd"/>
            <w:r w:rsidRPr="00044994">
              <w:rPr>
                <w:rFonts w:ascii="Arial" w:eastAsia="Times New Roman" w:hAnsi="Arial" w:cs="Arial"/>
                <w:lang w:val="fr-FR"/>
              </w:rPr>
              <w:t>α</w:t>
            </w:r>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noProof/>
                <w:szCs w:val="20"/>
              </w:rPr>
              <w:t xml:space="preserve">Αγγειακές διαταραχές </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proofErr w:type="spellStart"/>
            <w:r w:rsidRPr="00044994">
              <w:rPr>
                <w:rFonts w:ascii="Arial" w:eastAsia="Times New Roman" w:hAnsi="Arial" w:cs="Arial"/>
                <w:lang w:val="en-GB"/>
              </w:rPr>
              <w:t>Αγγειίτιδ</w:t>
            </w:r>
            <w:proofErr w:type="spellEnd"/>
            <w:r w:rsidRPr="00044994">
              <w:rPr>
                <w:rFonts w:ascii="Arial" w:eastAsia="Times New Roman" w:hAnsi="Arial" w:cs="Arial"/>
                <w:lang w:val="en-GB"/>
              </w:rPr>
              <w:t>α, υπ</w:t>
            </w:r>
            <w:proofErr w:type="spellStart"/>
            <w:r w:rsidRPr="00044994">
              <w:rPr>
                <w:rFonts w:ascii="Arial" w:eastAsia="Times New Roman" w:hAnsi="Arial" w:cs="Arial"/>
                <w:lang w:val="en-GB"/>
              </w:rPr>
              <w:t>ότ</w:t>
            </w:r>
            <w:proofErr w:type="spellEnd"/>
            <w:r w:rsidRPr="00044994">
              <w:rPr>
                <w:rFonts w:ascii="Arial" w:eastAsia="Times New Roman" w:hAnsi="Arial" w:cs="Arial"/>
                <w:lang w:val="en-GB"/>
              </w:rPr>
              <w:t>αση</w:t>
            </w:r>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δέρματος και του υποδόριου ιστού </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de-DE"/>
              </w:rPr>
            </w:pPr>
            <w:proofErr w:type="spellStart"/>
            <w:r w:rsidRPr="00044994">
              <w:rPr>
                <w:rFonts w:ascii="Arial" w:eastAsia="Times New Roman" w:hAnsi="Arial" w:cs="Arial"/>
                <w:lang w:val="de-DE"/>
              </w:rPr>
              <w:t>Πολύμορφο</w:t>
            </w:r>
            <w:proofErr w:type="spellEnd"/>
            <w:r w:rsidRPr="00044994">
              <w:rPr>
                <w:rFonts w:ascii="Arial" w:eastAsia="Times New Roman" w:hAnsi="Arial" w:cs="Arial"/>
                <w:lang w:val="de-DE"/>
              </w:rPr>
              <w:t xml:space="preserve"> </w:t>
            </w:r>
            <w:proofErr w:type="spellStart"/>
            <w:r w:rsidRPr="00044994">
              <w:rPr>
                <w:rFonts w:ascii="Arial" w:eastAsia="Times New Roman" w:hAnsi="Arial" w:cs="Arial"/>
                <w:lang w:val="de-DE"/>
              </w:rPr>
              <w:t>ερύθημ</w:t>
            </w:r>
            <w:proofErr w:type="spellEnd"/>
            <w:r w:rsidRPr="00044994">
              <w:rPr>
                <w:rFonts w:ascii="Arial" w:eastAsia="Times New Roman" w:hAnsi="Arial" w:cs="Arial"/>
                <w:lang w:val="de-DE"/>
              </w:rPr>
              <w:t>α, α</w:t>
            </w:r>
            <w:proofErr w:type="spellStart"/>
            <w:r w:rsidRPr="00044994">
              <w:rPr>
                <w:rFonts w:ascii="Arial" w:eastAsia="Times New Roman" w:hAnsi="Arial" w:cs="Arial"/>
                <w:lang w:val="de-DE"/>
              </w:rPr>
              <w:t>γγειονευρωτικό</w:t>
            </w:r>
            <w:proofErr w:type="spellEnd"/>
            <w:r w:rsidRPr="00044994">
              <w:rPr>
                <w:rFonts w:ascii="Arial" w:eastAsia="Times New Roman" w:hAnsi="Arial" w:cs="Arial"/>
                <w:lang w:val="de-DE"/>
              </w:rPr>
              <w:t xml:space="preserve"> </w:t>
            </w:r>
            <w:proofErr w:type="spellStart"/>
            <w:r w:rsidRPr="00044994">
              <w:rPr>
                <w:rFonts w:ascii="Arial" w:eastAsia="Times New Roman" w:hAnsi="Arial" w:cs="Arial"/>
                <w:lang w:val="de-DE"/>
              </w:rPr>
              <w:t>οίδημ</w:t>
            </w:r>
            <w:proofErr w:type="spellEnd"/>
            <w:r w:rsidRPr="00044994">
              <w:rPr>
                <w:rFonts w:ascii="Arial" w:eastAsia="Times New Roman" w:hAnsi="Arial" w:cs="Arial"/>
                <w:lang w:val="de-DE"/>
              </w:rPr>
              <w:t xml:space="preserve">α, </w:t>
            </w:r>
            <w:proofErr w:type="spellStart"/>
            <w:r w:rsidRPr="00044994">
              <w:rPr>
                <w:rFonts w:ascii="Arial" w:eastAsia="Times New Roman" w:hAnsi="Arial" w:cs="Arial"/>
                <w:lang w:val="de-DE"/>
              </w:rPr>
              <w:t>ομ</w:t>
            </w:r>
            <w:proofErr w:type="spellEnd"/>
            <w:r w:rsidRPr="00044994">
              <w:rPr>
                <w:rFonts w:ascii="Arial" w:eastAsia="Times New Roman" w:hAnsi="Arial" w:cs="Arial"/>
                <w:lang w:val="de-DE"/>
              </w:rPr>
              <w:t xml:space="preserve">αλός </w:t>
            </w:r>
            <w:proofErr w:type="spellStart"/>
            <w:r w:rsidRPr="00044994">
              <w:rPr>
                <w:rFonts w:ascii="Arial" w:eastAsia="Times New Roman" w:hAnsi="Arial" w:cs="Arial"/>
                <w:lang w:val="de-DE"/>
              </w:rPr>
              <w:t>λειχήν</w:t>
            </w:r>
            <w:proofErr w:type="spellEnd"/>
            <w:r w:rsidRPr="00044994">
              <w:rPr>
                <w:rFonts w:ascii="Arial" w:eastAsia="Times New Roman" w:hAnsi="Arial" w:cs="Arial"/>
                <w:lang w:val="de-DE"/>
              </w:rPr>
              <w:t xml:space="preserve">ας </w:t>
            </w:r>
          </w:p>
        </w:tc>
      </w:tr>
      <w:tr w:rsidR="00E05BBC" w:rsidRPr="00044994" w:rsidTr="00306AB1">
        <w:tc>
          <w:tcPr>
            <w:tcW w:w="2964" w:type="pct"/>
            <w:gridSpan w:val="2"/>
          </w:tcPr>
          <w:p w:rsidR="00E05BBC" w:rsidRPr="00044994" w:rsidRDefault="00E05BBC" w:rsidP="00306AB1">
            <w:pPr>
              <w:tabs>
                <w:tab w:val="left" w:pos="567"/>
              </w:tabs>
              <w:spacing w:after="0" w:line="240" w:lineRule="auto"/>
              <w:rPr>
                <w:rFonts w:ascii="Arial" w:eastAsia="Times New Roman" w:hAnsi="Arial" w:cs="Arial"/>
              </w:rPr>
            </w:pPr>
            <w:r w:rsidRPr="00044994">
              <w:rPr>
                <w:rFonts w:ascii="Arial" w:eastAsia="Times New Roman" w:hAnsi="Arial" w:cs="Arial"/>
                <w:noProof/>
                <w:szCs w:val="20"/>
              </w:rPr>
              <w:t xml:space="preserve">Διαταραχές του μυοσκελετικού συστήματος και του συνδετικού ιστού </w:t>
            </w:r>
          </w:p>
        </w:tc>
        <w:tc>
          <w:tcPr>
            <w:tcW w:w="2036" w:type="pct"/>
            <w:gridSpan w:val="2"/>
            <w:tcBorders>
              <w:top w:val="single" w:sz="4" w:space="0" w:color="auto"/>
              <w:bottom w:val="single" w:sz="4" w:space="0" w:color="auto"/>
            </w:tcBorders>
          </w:tcPr>
          <w:p w:rsidR="00E05BBC" w:rsidRPr="00044994" w:rsidRDefault="00E05BBC" w:rsidP="00306AB1">
            <w:pPr>
              <w:tabs>
                <w:tab w:val="left" w:pos="567"/>
              </w:tabs>
              <w:spacing w:after="0" w:line="240" w:lineRule="auto"/>
              <w:rPr>
                <w:rFonts w:ascii="Arial" w:eastAsia="Times New Roman" w:hAnsi="Arial" w:cs="Arial"/>
                <w:lang w:val="en-GB"/>
              </w:rPr>
            </w:pPr>
            <w:proofErr w:type="spellStart"/>
            <w:r w:rsidRPr="00044994">
              <w:rPr>
                <w:rFonts w:ascii="Arial" w:eastAsia="Times New Roman" w:hAnsi="Arial" w:cs="Arial"/>
                <w:lang w:val="en-GB"/>
              </w:rPr>
              <w:t>Αρθρίτιδ</w:t>
            </w:r>
            <w:proofErr w:type="spellEnd"/>
            <w:r w:rsidRPr="00044994">
              <w:rPr>
                <w:rFonts w:ascii="Arial" w:eastAsia="Times New Roman" w:hAnsi="Arial" w:cs="Arial"/>
                <w:lang w:val="en-GB"/>
              </w:rPr>
              <w:t xml:space="preserve">α, </w:t>
            </w:r>
            <w:proofErr w:type="spellStart"/>
            <w:r w:rsidRPr="00044994">
              <w:rPr>
                <w:rFonts w:ascii="Arial" w:eastAsia="Times New Roman" w:hAnsi="Arial" w:cs="Arial"/>
                <w:lang w:val="en-GB"/>
              </w:rPr>
              <w:t>μυϊκή</w:t>
            </w:r>
            <w:proofErr w:type="spellEnd"/>
            <w:r w:rsidRPr="00044994">
              <w:rPr>
                <w:rFonts w:ascii="Arial" w:eastAsia="Times New Roman" w:hAnsi="Arial" w:cs="Arial"/>
                <w:lang w:val="en-GB"/>
              </w:rPr>
              <w:t xml:space="preserve"> α</w:t>
            </w:r>
            <w:proofErr w:type="spellStart"/>
            <w:r w:rsidRPr="00044994">
              <w:rPr>
                <w:rFonts w:ascii="Arial" w:eastAsia="Times New Roman" w:hAnsi="Arial" w:cs="Arial"/>
                <w:lang w:val="en-GB"/>
              </w:rPr>
              <w:t>δυν</w:t>
            </w:r>
            <w:proofErr w:type="spellEnd"/>
            <w:r w:rsidRPr="00044994">
              <w:rPr>
                <w:rFonts w:ascii="Arial" w:eastAsia="Times New Roman" w:hAnsi="Arial" w:cs="Arial"/>
                <w:lang w:val="en-GB"/>
              </w:rPr>
              <w:t>αμία</w:t>
            </w:r>
          </w:p>
        </w:tc>
      </w:tr>
    </w:tbl>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Σε μια συγκριτική δοκιμή με άτομα ηλικίας από 11 ετών έως και 15 ετών, η συχνότητα εμφάνισης των τοπικών και γενικευμένων συμπτωμάτων που αναφέρθηκαν μετά από σχήμα δυο δόσεων  </w:t>
      </w:r>
      <w:r w:rsidRPr="00044994">
        <w:rPr>
          <w:rFonts w:ascii="Arial" w:eastAsia="Times New Roman" w:hAnsi="Arial" w:cs="Arial"/>
          <w:szCs w:val="20"/>
          <w:lang w:val="en-US"/>
        </w:rPr>
        <w:t>ENGERIX</w:t>
      </w:r>
      <w:r w:rsidRPr="00044994">
        <w:rPr>
          <w:rFonts w:ascii="Arial" w:eastAsia="Times New Roman" w:hAnsi="Arial" w:cs="Arial"/>
          <w:szCs w:val="20"/>
        </w:rPr>
        <w:t xml:space="preserve"> (20 μ</w:t>
      </w:r>
      <w:r w:rsidRPr="00044994">
        <w:rPr>
          <w:rFonts w:ascii="Arial" w:eastAsia="Times New Roman" w:hAnsi="Arial" w:cs="Arial"/>
          <w:szCs w:val="20"/>
          <w:lang w:val="en-US"/>
        </w:rPr>
        <w:t>g</w:t>
      </w:r>
      <w:r w:rsidRPr="00044994">
        <w:rPr>
          <w:rFonts w:ascii="Arial" w:eastAsia="Times New Roman" w:hAnsi="Arial" w:cs="Arial"/>
          <w:szCs w:val="20"/>
        </w:rPr>
        <w:t xml:space="preserve"> / 1 </w:t>
      </w:r>
      <w:r w:rsidRPr="00044994">
        <w:rPr>
          <w:rFonts w:ascii="Arial" w:eastAsia="Times New Roman" w:hAnsi="Arial" w:cs="Arial"/>
          <w:szCs w:val="20"/>
          <w:lang w:val="en-GB"/>
        </w:rPr>
        <w:t>ml</w:t>
      </w:r>
      <w:r w:rsidRPr="00044994">
        <w:rPr>
          <w:rFonts w:ascii="Arial" w:eastAsia="Times New Roman" w:hAnsi="Arial" w:cs="Arial"/>
          <w:szCs w:val="20"/>
        </w:rPr>
        <w:t xml:space="preserve">) ήταν παρόμοια το σύνολο με αυτή που αναφέρθηκε μετά από το τυποποιημένο σχήμα των τριών δόσεων του </w:t>
      </w:r>
      <w:r w:rsidRPr="00044994">
        <w:rPr>
          <w:rFonts w:ascii="Arial" w:eastAsia="Times New Roman" w:hAnsi="Arial" w:cs="Arial"/>
          <w:szCs w:val="20"/>
          <w:lang w:val="en-US"/>
        </w:rPr>
        <w:t>ENGERIX</w:t>
      </w:r>
      <w:r w:rsidRPr="00044994">
        <w:rPr>
          <w:rFonts w:ascii="Arial" w:eastAsia="Times New Roman" w:hAnsi="Arial" w:cs="Arial"/>
          <w:szCs w:val="20"/>
        </w:rPr>
        <w:t xml:space="preserve"> Παιδιατρικού (10 μ</w:t>
      </w:r>
      <w:r w:rsidRPr="00044994">
        <w:rPr>
          <w:rFonts w:ascii="Arial" w:eastAsia="Times New Roman" w:hAnsi="Arial" w:cs="Arial"/>
          <w:szCs w:val="20"/>
          <w:lang w:val="en-US"/>
        </w:rPr>
        <w:t>g</w:t>
      </w:r>
      <w:r w:rsidRPr="00044994">
        <w:rPr>
          <w:rFonts w:ascii="Arial" w:eastAsia="Times New Roman" w:hAnsi="Arial" w:cs="Arial"/>
          <w:szCs w:val="20"/>
        </w:rPr>
        <w:t xml:space="preserve">/0.5 </w:t>
      </w:r>
      <w:r w:rsidRPr="00044994">
        <w:rPr>
          <w:rFonts w:ascii="Arial" w:eastAsia="Times New Roman" w:hAnsi="Arial" w:cs="Arial"/>
          <w:szCs w:val="20"/>
          <w:lang w:val="en-GB"/>
        </w:rPr>
        <w:t>ml</w:t>
      </w:r>
      <w:r w:rsidRPr="00044994">
        <w:rPr>
          <w:rFonts w:ascii="Arial" w:eastAsia="Times New Roman" w:hAnsi="Arial" w:cs="Arial"/>
          <w:szCs w:val="20"/>
        </w:rPr>
        <w:t xml:space="preserve">). </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autoSpaceDE w:val="0"/>
        <w:autoSpaceDN w:val="0"/>
        <w:adjustRightInd w:val="0"/>
        <w:spacing w:after="0" w:line="240" w:lineRule="auto"/>
        <w:jc w:val="both"/>
        <w:rPr>
          <w:rFonts w:ascii="Arial" w:eastAsia="Times New Roman" w:hAnsi="Arial" w:cs="Arial"/>
          <w:u w:val="single"/>
        </w:rPr>
      </w:pPr>
      <w:r w:rsidRPr="00044994">
        <w:rPr>
          <w:rFonts w:ascii="Arial" w:eastAsia="Times New Roman" w:hAnsi="Arial" w:cs="Arial"/>
          <w:noProof/>
          <w:u w:val="single"/>
        </w:rPr>
        <w:t>Αναφορά πιθανολογούμενων ανεπιθύμητων ενεργειών</w:t>
      </w:r>
    </w:p>
    <w:p w:rsidR="00E05BBC" w:rsidRPr="00044994" w:rsidRDefault="00E05BBC" w:rsidP="00E05BBC">
      <w:pPr>
        <w:tabs>
          <w:tab w:val="left" w:pos="567"/>
        </w:tabs>
        <w:spacing w:after="0" w:line="240" w:lineRule="auto"/>
        <w:jc w:val="both"/>
        <w:rPr>
          <w:rFonts w:ascii="Arial" w:eastAsia="Calibri" w:hAnsi="Arial" w:cs="Arial"/>
          <w:lang w:eastAsia="zh-CN"/>
        </w:rPr>
      </w:pPr>
      <w:r w:rsidRPr="00044994">
        <w:rPr>
          <w:rFonts w:ascii="Arial" w:eastAsia="Times New Roman" w:hAnsi="Arial" w:cs="Arial"/>
        </w:rPr>
        <w:t>Η αναφορά πιθανολογούμενων ανεπιθύμητων ενεργειών μετά από τη χορήγηση άδειας κυκλοφορίας του φαρμακευτικού προϊόντος είναι σημαντική</w:t>
      </w:r>
      <w:r w:rsidRPr="00044994">
        <w:rPr>
          <w:rFonts w:ascii="Arial" w:eastAsia="Times New Roman" w:hAnsi="Arial" w:cs="Arial"/>
          <w:noProof/>
        </w:rPr>
        <w:t>.</w:t>
      </w:r>
      <w:r w:rsidRPr="00044994">
        <w:rPr>
          <w:rFonts w:ascii="Arial" w:eastAsia="Times New Roman" w:hAnsi="Arial" w:cs="Arial"/>
        </w:rPr>
        <w:t xml:space="preserve"> Επιτρέπει τη συνεχή παρακολούθηση της σχέσης οφέλους-κινδύνου του φαρμακευτικού προϊόντος</w:t>
      </w:r>
      <w:r w:rsidRPr="00044994">
        <w:rPr>
          <w:rFonts w:ascii="Arial" w:eastAsia="Times New Roman" w:hAnsi="Arial" w:cs="Arial"/>
          <w:noProof/>
        </w:rPr>
        <w:t>.</w:t>
      </w:r>
      <w:r w:rsidRPr="00044994">
        <w:rPr>
          <w:rFonts w:ascii="Arial" w:eastAsia="Times New Roman" w:hAnsi="Arial" w:cs="Arial"/>
        </w:rPr>
        <w:t xml:space="preserve"> Ζητείται από τους επαγγελματίες υγείας να αναφέρουν οποιεσδήποτε πιθανολογούμενες ανεπιθύμητες ενέργειες </w:t>
      </w:r>
      <w:r w:rsidRPr="00044994">
        <w:rPr>
          <w:rFonts w:ascii="Arial" w:eastAsia="Times New Roman" w:hAnsi="Arial" w:cs="Arial"/>
          <w:color w:val="000000"/>
          <w:lang w:eastAsia="en-GB" w:bidi="or-IN"/>
        </w:rPr>
        <w:t xml:space="preserve">στον </w:t>
      </w:r>
      <w:r w:rsidRPr="00044994">
        <w:rPr>
          <w:rFonts w:ascii="Arial" w:eastAsia="Calibri" w:hAnsi="Arial" w:cs="Arial"/>
          <w:noProof/>
          <w:lang w:eastAsia="zh-CN"/>
        </w:rPr>
        <w:t xml:space="preserve">Εθνικό Οργανισμό Φαρμάκων (Μεσογείων 284, </w:t>
      </w:r>
      <w:r w:rsidRPr="00044994">
        <w:rPr>
          <w:rFonts w:ascii="Arial" w:eastAsia="Calibri" w:hAnsi="Arial" w:cs="Arial"/>
          <w:noProof/>
          <w:lang w:val="en-GB" w:eastAsia="zh-CN"/>
        </w:rPr>
        <w:t>GR</w:t>
      </w:r>
      <w:r w:rsidRPr="00044994">
        <w:rPr>
          <w:rFonts w:ascii="Arial" w:eastAsia="Calibri" w:hAnsi="Arial" w:cs="Arial"/>
          <w:noProof/>
          <w:lang w:eastAsia="zh-CN"/>
        </w:rPr>
        <w:t xml:space="preserve">-15562 Χολαργός, Αθήνα, Τηλ: + 30 </w:t>
      </w:r>
      <w:r w:rsidRPr="00044994">
        <w:rPr>
          <w:rFonts w:ascii="Arial" w:eastAsia="Calibri" w:hAnsi="Arial" w:cs="Arial"/>
          <w:lang w:eastAsia="zh-CN"/>
        </w:rPr>
        <w:t xml:space="preserve">21 32040380/337, </w:t>
      </w:r>
      <w:r w:rsidRPr="00044994">
        <w:rPr>
          <w:rFonts w:ascii="Arial" w:eastAsia="Calibri" w:hAnsi="Arial" w:cs="Arial"/>
          <w:szCs w:val="20"/>
          <w:lang w:eastAsia="zh-CN"/>
        </w:rPr>
        <w:t>Φαξ</w:t>
      </w:r>
      <w:r w:rsidRPr="00044994">
        <w:rPr>
          <w:rFonts w:ascii="Arial" w:eastAsia="Calibri" w:hAnsi="Arial" w:cs="Arial"/>
          <w:noProof/>
          <w:lang w:eastAsia="zh-CN"/>
        </w:rPr>
        <w:t xml:space="preserve">: + 30 </w:t>
      </w:r>
      <w:r w:rsidRPr="00044994">
        <w:rPr>
          <w:rFonts w:ascii="Arial" w:eastAsia="Calibri" w:hAnsi="Arial" w:cs="Arial"/>
          <w:lang w:eastAsia="zh-CN"/>
        </w:rPr>
        <w:t>21 06549585</w:t>
      </w:r>
      <w:r w:rsidRPr="00044994">
        <w:rPr>
          <w:rFonts w:ascii="Arial" w:eastAsia="Calibri" w:hAnsi="Arial" w:cs="Arial"/>
          <w:noProof/>
          <w:lang w:eastAsia="zh-CN"/>
        </w:rPr>
        <w:t xml:space="preserve">, </w:t>
      </w:r>
      <w:proofErr w:type="spellStart"/>
      <w:r w:rsidRPr="00044994">
        <w:rPr>
          <w:rFonts w:ascii="Arial" w:eastAsia="Calibri" w:hAnsi="Arial" w:cs="Arial"/>
          <w:szCs w:val="20"/>
          <w:lang w:eastAsia="zh-CN"/>
        </w:rPr>
        <w:t>Ιστότοπος</w:t>
      </w:r>
      <w:proofErr w:type="spellEnd"/>
      <w:r w:rsidRPr="00044994">
        <w:rPr>
          <w:rFonts w:ascii="Arial" w:eastAsia="Calibri" w:hAnsi="Arial" w:cs="Arial"/>
          <w:noProof/>
          <w:lang w:eastAsia="zh-CN"/>
        </w:rPr>
        <w:t xml:space="preserve">: </w:t>
      </w:r>
      <w:hyperlink r:id="rId6" w:history="1">
        <w:r w:rsidRPr="00044994">
          <w:rPr>
            <w:rFonts w:ascii="Arial" w:eastAsia="Calibri" w:hAnsi="Arial" w:cs="Arial"/>
            <w:color w:val="0000FF"/>
            <w:u w:val="single"/>
            <w:lang w:val="en-GB" w:eastAsia="zh-CN"/>
          </w:rPr>
          <w:t>http</w:t>
        </w:r>
        <w:r w:rsidRPr="00044994">
          <w:rPr>
            <w:rFonts w:ascii="Arial" w:eastAsia="Calibri" w:hAnsi="Arial" w:cs="Arial"/>
            <w:color w:val="0000FF"/>
            <w:u w:val="single"/>
            <w:lang w:eastAsia="zh-CN"/>
          </w:rPr>
          <w:t>://</w:t>
        </w:r>
        <w:r w:rsidRPr="00044994">
          <w:rPr>
            <w:rFonts w:ascii="Arial" w:eastAsia="Calibri" w:hAnsi="Arial" w:cs="Arial"/>
            <w:color w:val="0000FF"/>
            <w:u w:val="single"/>
            <w:lang w:val="en-GB" w:eastAsia="zh-CN"/>
          </w:rPr>
          <w:t>www</w:t>
        </w:r>
        <w:r w:rsidRPr="00044994">
          <w:rPr>
            <w:rFonts w:ascii="Arial" w:eastAsia="Calibri" w:hAnsi="Arial" w:cs="Arial"/>
            <w:color w:val="0000FF"/>
            <w:u w:val="single"/>
            <w:lang w:eastAsia="zh-CN"/>
          </w:rPr>
          <w:t>.</w:t>
        </w:r>
        <w:proofErr w:type="spellStart"/>
        <w:r w:rsidRPr="00044994">
          <w:rPr>
            <w:rFonts w:ascii="Arial" w:eastAsia="Calibri" w:hAnsi="Arial" w:cs="Arial"/>
            <w:color w:val="0000FF"/>
            <w:u w:val="single"/>
            <w:lang w:val="en-GB" w:eastAsia="zh-CN"/>
          </w:rPr>
          <w:t>eof</w:t>
        </w:r>
        <w:proofErr w:type="spellEnd"/>
        <w:r w:rsidRPr="00044994">
          <w:rPr>
            <w:rFonts w:ascii="Arial" w:eastAsia="Calibri" w:hAnsi="Arial" w:cs="Arial"/>
            <w:color w:val="0000FF"/>
            <w:u w:val="single"/>
            <w:lang w:eastAsia="zh-CN"/>
          </w:rPr>
          <w:t>.</w:t>
        </w:r>
        <w:r w:rsidRPr="00044994">
          <w:rPr>
            <w:rFonts w:ascii="Arial" w:eastAsia="Calibri" w:hAnsi="Arial" w:cs="Arial"/>
            <w:color w:val="0000FF"/>
            <w:u w:val="single"/>
            <w:lang w:val="en-GB" w:eastAsia="zh-CN"/>
          </w:rPr>
          <w:t>gr</w:t>
        </w:r>
      </w:hyperlink>
      <w:r w:rsidRPr="00044994">
        <w:rPr>
          <w:rFonts w:ascii="Arial" w:eastAsia="Calibri" w:hAnsi="Arial" w:cs="Arial"/>
          <w:lang w:eastAsia="zh-CN"/>
        </w:rPr>
        <w:t>).</w:t>
      </w:r>
    </w:p>
    <w:p w:rsidR="00E05BBC" w:rsidRPr="00044994" w:rsidRDefault="00E05BBC" w:rsidP="00E05BBC">
      <w:pPr>
        <w:tabs>
          <w:tab w:val="left" w:pos="567"/>
        </w:tabs>
        <w:spacing w:after="0" w:line="240" w:lineRule="auto"/>
        <w:jc w:val="both"/>
        <w:rPr>
          <w:rFonts w:ascii="Arial" w:eastAsia="Times New Roman" w:hAnsi="Arial" w:cs="Arial"/>
          <w:noProof/>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4.9</w:t>
      </w:r>
      <w:r w:rsidRPr="00044994">
        <w:rPr>
          <w:rFonts w:ascii="Arial" w:eastAsia="Times New Roman" w:hAnsi="Arial" w:cs="Arial"/>
          <w:b/>
          <w:szCs w:val="20"/>
        </w:rPr>
        <w:tab/>
      </w:r>
      <w:proofErr w:type="spellStart"/>
      <w:r w:rsidRPr="00044994">
        <w:rPr>
          <w:rFonts w:ascii="Arial" w:eastAsia="Times New Roman" w:hAnsi="Arial" w:cs="Arial"/>
          <w:b/>
          <w:szCs w:val="20"/>
        </w:rPr>
        <w:t>Υπερδοσολογία</w:t>
      </w:r>
      <w:proofErr w:type="spellEnd"/>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Περιπτώσεις </w:t>
      </w:r>
      <w:proofErr w:type="spellStart"/>
      <w:r w:rsidRPr="00044994">
        <w:rPr>
          <w:rFonts w:ascii="Arial" w:eastAsia="Times New Roman" w:hAnsi="Arial" w:cs="Arial"/>
          <w:szCs w:val="20"/>
        </w:rPr>
        <w:t>υπερδοσολογίας</w:t>
      </w:r>
      <w:proofErr w:type="spellEnd"/>
      <w:r w:rsidRPr="00044994">
        <w:rPr>
          <w:rFonts w:ascii="Arial" w:eastAsia="Times New Roman" w:hAnsi="Arial" w:cs="Arial"/>
          <w:szCs w:val="20"/>
        </w:rPr>
        <w:t xml:space="preserve"> έχουν αναφερθεί κατά τη διάρκεια της παρακολούθησης μετά την κυκλοφορία του εμβολίου. Οι ανεπιθύμητες ενέργειες που αναφέρθηκαν μετά την </w:t>
      </w:r>
      <w:proofErr w:type="spellStart"/>
      <w:r w:rsidRPr="00044994">
        <w:rPr>
          <w:rFonts w:ascii="Arial" w:eastAsia="Times New Roman" w:hAnsi="Arial" w:cs="Arial"/>
          <w:szCs w:val="20"/>
        </w:rPr>
        <w:t>υπερδοσολογία</w:t>
      </w:r>
      <w:proofErr w:type="spellEnd"/>
      <w:r w:rsidRPr="00044994">
        <w:rPr>
          <w:rFonts w:ascii="Arial" w:eastAsia="Times New Roman" w:hAnsi="Arial" w:cs="Arial"/>
          <w:szCs w:val="20"/>
        </w:rPr>
        <w:t xml:space="preserve"> ήταν παρόμοιες με αυτές που αναφέρθηκαν με το συνήθη εμβολιασμό.</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numPr>
          <w:ilvl w:val="0"/>
          <w:numId w:val="6"/>
        </w:numPr>
        <w:tabs>
          <w:tab w:val="left" w:pos="567"/>
        </w:tabs>
        <w:spacing w:after="0" w:line="240" w:lineRule="auto"/>
        <w:ind w:hanging="930"/>
        <w:jc w:val="both"/>
        <w:rPr>
          <w:rFonts w:ascii="Arial" w:eastAsia="Times New Roman" w:hAnsi="Arial" w:cs="Arial"/>
          <w:b/>
          <w:szCs w:val="20"/>
        </w:rPr>
      </w:pPr>
      <w:r w:rsidRPr="00044994">
        <w:rPr>
          <w:rFonts w:ascii="Arial" w:eastAsia="Times New Roman" w:hAnsi="Arial" w:cs="Arial"/>
          <w:b/>
          <w:szCs w:val="20"/>
          <w:lang w:val="en-GB"/>
        </w:rPr>
        <w:t>ΦΑΡΜΑΚΟΛΟΓΙΚΕΣ ΙΔΙΟΤΗΤΕΣ</w:t>
      </w:r>
    </w:p>
    <w:p w:rsidR="00E05BBC" w:rsidRPr="00044994" w:rsidRDefault="00E05BBC" w:rsidP="00E05BBC">
      <w:pPr>
        <w:tabs>
          <w:tab w:val="left" w:pos="567"/>
        </w:tabs>
        <w:spacing w:after="0" w:line="240" w:lineRule="auto"/>
        <w:jc w:val="both"/>
        <w:rPr>
          <w:rFonts w:ascii="Arial" w:eastAsia="Times New Roman" w:hAnsi="Arial" w:cs="Arial"/>
          <w:b/>
          <w:szCs w:val="20"/>
          <w:lang w:val="en-GB"/>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5.1</w:t>
      </w:r>
      <w:r w:rsidRPr="00044994">
        <w:rPr>
          <w:rFonts w:ascii="Arial" w:eastAsia="Times New Roman" w:hAnsi="Arial" w:cs="Arial"/>
          <w:b/>
          <w:szCs w:val="20"/>
        </w:rPr>
        <w:tab/>
        <w:t>Φαρμακοδυναμικές ιδιότητες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roofErr w:type="spellStart"/>
      <w:r w:rsidRPr="00044994">
        <w:rPr>
          <w:rFonts w:ascii="Arial" w:eastAsia="Times New Roman" w:hAnsi="Arial" w:cs="Arial"/>
          <w:szCs w:val="20"/>
        </w:rPr>
        <w:t>Φαρμακοθεραπευτική</w:t>
      </w:r>
      <w:proofErr w:type="spellEnd"/>
      <w:r w:rsidRPr="00044994">
        <w:rPr>
          <w:rFonts w:ascii="Arial" w:eastAsia="Times New Roman" w:hAnsi="Arial" w:cs="Arial"/>
          <w:szCs w:val="20"/>
        </w:rPr>
        <w:t xml:space="preserve"> κατηγορία: εμβόλιο Ηπατίτιδας Β, κωδικός </w:t>
      </w:r>
      <w:r w:rsidRPr="00044994">
        <w:rPr>
          <w:rFonts w:ascii="Arial" w:eastAsia="Times New Roman" w:hAnsi="Arial" w:cs="Arial"/>
          <w:szCs w:val="20"/>
          <w:lang w:val="en-GB"/>
        </w:rPr>
        <w:t>ATC</w:t>
      </w:r>
      <w:r w:rsidRPr="00044994">
        <w:rPr>
          <w:rFonts w:ascii="Arial" w:eastAsia="Times New Roman" w:hAnsi="Arial" w:cs="Arial"/>
          <w:szCs w:val="20"/>
        </w:rPr>
        <w:t xml:space="preserve">, </w:t>
      </w:r>
      <w:r w:rsidRPr="00044994">
        <w:rPr>
          <w:rFonts w:ascii="Arial" w:eastAsia="Times New Roman" w:hAnsi="Arial" w:cs="Arial"/>
          <w:lang w:val="en-GB"/>
        </w:rPr>
        <w:t>J</w:t>
      </w:r>
      <w:r w:rsidRPr="00044994">
        <w:rPr>
          <w:rFonts w:ascii="Arial" w:eastAsia="Times New Roman" w:hAnsi="Arial" w:cs="Arial"/>
        </w:rPr>
        <w:t>07</w:t>
      </w:r>
      <w:r w:rsidRPr="00044994">
        <w:rPr>
          <w:rFonts w:ascii="Arial" w:eastAsia="Times New Roman" w:hAnsi="Arial" w:cs="Arial"/>
          <w:lang w:val="en-GB"/>
        </w:rPr>
        <w:t>BC</w:t>
      </w:r>
      <w:r w:rsidRPr="00044994">
        <w:rPr>
          <w:rFonts w:ascii="Arial" w:eastAsia="Times New Roman" w:hAnsi="Arial" w:cs="Arial"/>
        </w:rPr>
        <w:t>01</w:t>
      </w:r>
    </w:p>
    <w:p w:rsidR="00E05BBC" w:rsidRPr="00044994" w:rsidDel="004076DE"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Μηχανισμός δράσης</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Το </w:t>
      </w:r>
      <w:r w:rsidRPr="00044994">
        <w:rPr>
          <w:rFonts w:ascii="Arial" w:eastAsia="Times New Roman" w:hAnsi="Arial" w:cs="Arial"/>
          <w:szCs w:val="20"/>
          <w:lang w:val="en-GB"/>
        </w:rPr>
        <w:t>ENGERIX</w:t>
      </w:r>
      <w:r w:rsidRPr="00044994">
        <w:rPr>
          <w:rFonts w:ascii="Arial" w:eastAsia="Times New Roman" w:hAnsi="Arial" w:cs="Arial"/>
          <w:szCs w:val="20"/>
        </w:rPr>
        <w:t xml:space="preserve"> διεγείρει </w:t>
      </w:r>
      <w:proofErr w:type="spellStart"/>
      <w:r w:rsidRPr="00044994">
        <w:rPr>
          <w:rFonts w:ascii="Arial" w:eastAsia="Times New Roman" w:hAnsi="Arial" w:cs="Arial"/>
          <w:szCs w:val="20"/>
        </w:rPr>
        <w:t>χυμικά</w:t>
      </w:r>
      <w:proofErr w:type="spellEnd"/>
      <w:r w:rsidRPr="00044994">
        <w:rPr>
          <w:rFonts w:ascii="Arial" w:eastAsia="Times New Roman" w:hAnsi="Arial" w:cs="Arial"/>
          <w:szCs w:val="20"/>
        </w:rPr>
        <w:t xml:space="preserve"> αντισώματα κατά του </w:t>
      </w:r>
      <w:r w:rsidRPr="00044994">
        <w:rPr>
          <w:rFonts w:ascii="Arial" w:eastAsia="Times New Roman" w:hAnsi="Arial" w:cs="Arial"/>
          <w:szCs w:val="20"/>
          <w:lang w:val="en-GB"/>
        </w:rPr>
        <w:t>H</w:t>
      </w:r>
      <w:r w:rsidRPr="00044994">
        <w:rPr>
          <w:rFonts w:ascii="Arial" w:eastAsia="Times New Roman" w:hAnsi="Arial" w:cs="Arial"/>
          <w:szCs w:val="20"/>
        </w:rPr>
        <w:t>Β</w:t>
      </w:r>
      <w:proofErr w:type="spellStart"/>
      <w:r w:rsidRPr="00044994">
        <w:rPr>
          <w:rFonts w:ascii="Arial" w:eastAsia="Times New Roman" w:hAnsi="Arial" w:cs="Arial"/>
          <w:szCs w:val="20"/>
          <w:lang w:val="en-GB"/>
        </w:rPr>
        <w:t>sAg</w:t>
      </w:r>
      <w:proofErr w:type="spellEnd"/>
      <w:r w:rsidRPr="00044994">
        <w:rPr>
          <w:rFonts w:ascii="Arial" w:eastAsia="Times New Roman" w:hAnsi="Arial" w:cs="Arial"/>
          <w:szCs w:val="20"/>
        </w:rPr>
        <w:t xml:space="preserve"> (αντί-</w:t>
      </w:r>
      <w:r w:rsidRPr="00044994">
        <w:rPr>
          <w:rFonts w:ascii="Arial" w:eastAsia="Times New Roman" w:hAnsi="Arial" w:cs="Arial"/>
          <w:szCs w:val="20"/>
          <w:lang w:val="en-GB"/>
        </w:rPr>
        <w:t>HBs</w:t>
      </w:r>
      <w:r w:rsidRPr="00044994">
        <w:rPr>
          <w:rFonts w:ascii="Arial" w:eastAsia="Times New Roman" w:hAnsi="Arial" w:cs="Arial"/>
          <w:szCs w:val="20"/>
        </w:rPr>
        <w:t xml:space="preserve"> αντισώματα). </w:t>
      </w:r>
      <w:r w:rsidRPr="00044994">
        <w:rPr>
          <w:rFonts w:ascii="Arial" w:eastAsia="Times New Roman" w:hAnsi="Arial" w:cs="Arial"/>
        </w:rPr>
        <w:t>Συγκεντρώσεις αντισωμάτων</w:t>
      </w:r>
      <w:r w:rsidRPr="00044994">
        <w:rPr>
          <w:rFonts w:ascii="Arial" w:eastAsia="Times New Roman" w:hAnsi="Arial" w:cs="Arial"/>
          <w:szCs w:val="20"/>
        </w:rPr>
        <w:t xml:space="preserve"> </w:t>
      </w:r>
      <w:proofErr w:type="spellStart"/>
      <w:r w:rsidRPr="00044994">
        <w:rPr>
          <w:rFonts w:ascii="Arial" w:eastAsia="Times New Roman" w:hAnsi="Arial" w:cs="Arial"/>
          <w:szCs w:val="20"/>
        </w:rPr>
        <w:t>αντι</w:t>
      </w:r>
      <w:proofErr w:type="spellEnd"/>
      <w:r w:rsidRPr="00044994">
        <w:rPr>
          <w:rFonts w:ascii="Arial" w:eastAsia="Times New Roman" w:hAnsi="Arial" w:cs="Arial"/>
          <w:szCs w:val="20"/>
        </w:rPr>
        <w:t>-</w:t>
      </w:r>
      <w:r w:rsidRPr="00044994">
        <w:rPr>
          <w:rFonts w:ascii="Arial" w:eastAsia="Times New Roman" w:hAnsi="Arial" w:cs="Arial"/>
          <w:szCs w:val="20"/>
          <w:lang w:val="en-GB"/>
        </w:rPr>
        <w:t>HB</w:t>
      </w:r>
      <w:r w:rsidRPr="00044994">
        <w:rPr>
          <w:rFonts w:ascii="Arial" w:eastAsia="Times New Roman" w:hAnsi="Arial" w:cs="Arial"/>
          <w:szCs w:val="20"/>
        </w:rPr>
        <w:t xml:space="preserve"> άνω των 10 </w:t>
      </w:r>
      <w:r w:rsidRPr="00044994">
        <w:rPr>
          <w:rFonts w:ascii="Arial" w:eastAsia="Times New Roman" w:hAnsi="Arial" w:cs="Arial"/>
          <w:szCs w:val="20"/>
          <w:lang w:val="en-GB"/>
        </w:rPr>
        <w:t>IU</w:t>
      </w:r>
      <w:r w:rsidRPr="00044994">
        <w:rPr>
          <w:rFonts w:ascii="Arial" w:eastAsia="Times New Roman" w:hAnsi="Arial" w:cs="Arial"/>
          <w:szCs w:val="20"/>
        </w:rPr>
        <w:t>/</w:t>
      </w:r>
      <w:r w:rsidRPr="00044994">
        <w:rPr>
          <w:rFonts w:ascii="Arial" w:eastAsia="Times New Roman" w:hAnsi="Arial" w:cs="Arial"/>
          <w:szCs w:val="20"/>
          <w:lang w:val="en-US"/>
        </w:rPr>
        <w:t>l</w:t>
      </w:r>
      <w:r w:rsidRPr="00044994">
        <w:rPr>
          <w:rFonts w:ascii="Arial" w:eastAsia="Times New Roman" w:hAnsi="Arial" w:cs="Arial"/>
          <w:szCs w:val="20"/>
        </w:rPr>
        <w:t xml:space="preserve"> συνδέονται με προστασία κατά της ηπατίτιδας Β.</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Φαρμακοδυναμικές δράσεις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Κλινικές μελέτες έχουν δείξει, προστατευτική αποτελεσματικότητα μεταξύ 95% και 100% σε νεογέννητα, παιδιά και ενήλικες σε κίνδυνο.</w:t>
      </w:r>
    </w:p>
    <w:p w:rsidR="00E05BBC" w:rsidRPr="00044994" w:rsidRDefault="00E05BBC" w:rsidP="00E05BBC">
      <w:pPr>
        <w:tabs>
          <w:tab w:val="left" w:pos="567"/>
        </w:tabs>
        <w:spacing w:after="0" w:line="240" w:lineRule="auto"/>
        <w:ind w:left="720"/>
        <w:jc w:val="both"/>
        <w:rPr>
          <w:rFonts w:ascii="Arial" w:eastAsia="Times New Roman" w:hAnsi="Arial" w:cs="Arial"/>
          <w:szCs w:val="20"/>
        </w:rPr>
      </w:pPr>
    </w:p>
    <w:p w:rsidR="00E05BBC" w:rsidRPr="00044994" w:rsidRDefault="00E05BBC" w:rsidP="00E05BBC">
      <w:pPr>
        <w:numPr>
          <w:ilvl w:val="0"/>
          <w:numId w:val="3"/>
        </w:numPr>
        <w:tabs>
          <w:tab w:val="left" w:pos="567"/>
        </w:tabs>
        <w:spacing w:after="0" w:line="240" w:lineRule="auto"/>
        <w:ind w:hanging="720"/>
        <w:jc w:val="both"/>
        <w:rPr>
          <w:rFonts w:ascii="Arial" w:eastAsia="Times New Roman" w:hAnsi="Arial" w:cs="Arial"/>
        </w:rPr>
      </w:pPr>
      <w:r w:rsidRPr="00044994">
        <w:rPr>
          <w:rFonts w:ascii="Arial" w:eastAsia="Times New Roman" w:hAnsi="Arial" w:cs="Arial"/>
        </w:rPr>
        <w:t xml:space="preserve">Υγιή </w:t>
      </w:r>
      <w:proofErr w:type="spellStart"/>
      <w:r w:rsidRPr="00044994">
        <w:rPr>
          <w:rFonts w:ascii="Arial" w:eastAsia="Times New Roman" w:hAnsi="Arial" w:cs="Arial"/>
        </w:rPr>
        <w:t>ατομα</w:t>
      </w:r>
      <w:proofErr w:type="spellEnd"/>
      <w:r w:rsidRPr="00044994">
        <w:rPr>
          <w:rFonts w:ascii="Arial" w:eastAsia="Times New Roman" w:hAnsi="Arial" w:cs="Arial"/>
        </w:rPr>
        <w:t xml:space="preserve"> ηλικίας 16 ετών και άνω:</w:t>
      </w:r>
    </w:p>
    <w:p w:rsidR="00E05BBC" w:rsidRPr="00044994" w:rsidRDefault="00E05BBC" w:rsidP="00E05BBC">
      <w:pPr>
        <w:tabs>
          <w:tab w:val="left" w:pos="567"/>
        </w:tabs>
        <w:spacing w:after="0" w:line="240" w:lineRule="auto"/>
        <w:ind w:left="720"/>
        <w:jc w:val="both"/>
        <w:rPr>
          <w:rFonts w:ascii="Arial" w:eastAsia="Times New Roman" w:hAnsi="Arial" w:cs="Arial"/>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Ο παρακάτω πίνακας συνοψίζει το ποσοστό </w:t>
      </w:r>
      <w:proofErr w:type="spellStart"/>
      <w:r w:rsidRPr="00044994">
        <w:rPr>
          <w:rFonts w:ascii="Arial" w:eastAsia="Times New Roman" w:hAnsi="Arial" w:cs="Arial"/>
          <w:szCs w:val="20"/>
        </w:rPr>
        <w:t>οροπροστασίας</w:t>
      </w:r>
      <w:proofErr w:type="spellEnd"/>
      <w:r w:rsidRPr="00044994">
        <w:rPr>
          <w:rFonts w:ascii="Arial" w:eastAsia="Times New Roman" w:hAnsi="Arial" w:cs="Arial"/>
          <w:szCs w:val="20"/>
        </w:rPr>
        <w:t xml:space="preserve"> (δηλαδή το ποσοστό ατόμων με </w:t>
      </w:r>
      <w:r w:rsidRPr="00044994">
        <w:rPr>
          <w:rFonts w:ascii="Arial" w:eastAsia="Times New Roman" w:hAnsi="Arial" w:cs="Arial"/>
        </w:rPr>
        <w:t xml:space="preserve">συγκεντρώσεις αντισωμάτων </w:t>
      </w:r>
      <w:r w:rsidRPr="00044994">
        <w:rPr>
          <w:rFonts w:ascii="Arial" w:eastAsia="Times New Roman" w:hAnsi="Arial" w:cs="Arial"/>
          <w:szCs w:val="20"/>
        </w:rPr>
        <w:t xml:space="preserve">αντί-ΗΒ </w:t>
      </w:r>
      <w:r w:rsidRPr="00044994">
        <w:rPr>
          <w:rFonts w:ascii="Arial" w:eastAsia="Times New Roman" w:hAnsi="Arial" w:cs="Arial"/>
          <w:szCs w:val="20"/>
          <w:lang w:val="en-GB"/>
        </w:rPr>
        <w:sym w:font="Symbol" w:char="F0B3"/>
      </w:r>
      <w:r w:rsidRPr="00044994">
        <w:rPr>
          <w:rFonts w:ascii="Arial" w:eastAsia="Times New Roman" w:hAnsi="Arial" w:cs="Arial"/>
          <w:szCs w:val="20"/>
        </w:rPr>
        <w:t xml:space="preserve"> 10 </w:t>
      </w:r>
      <w:r w:rsidRPr="00044994">
        <w:rPr>
          <w:rFonts w:ascii="Arial" w:eastAsia="Times New Roman" w:hAnsi="Arial" w:cs="Arial"/>
          <w:szCs w:val="20"/>
          <w:lang w:val="en-GB"/>
        </w:rPr>
        <w:t>IU</w:t>
      </w:r>
      <w:r w:rsidRPr="00044994">
        <w:rPr>
          <w:rFonts w:ascii="Arial" w:eastAsia="Times New Roman" w:hAnsi="Arial" w:cs="Arial"/>
          <w:szCs w:val="20"/>
        </w:rPr>
        <w:t>/</w:t>
      </w:r>
      <w:r w:rsidRPr="00044994">
        <w:rPr>
          <w:rFonts w:ascii="Arial" w:eastAsia="Times New Roman" w:hAnsi="Arial" w:cs="Arial"/>
          <w:szCs w:val="20"/>
          <w:lang w:val="en-GB"/>
        </w:rPr>
        <w:t>l</w:t>
      </w:r>
      <w:r w:rsidRPr="00044994">
        <w:rPr>
          <w:rFonts w:ascii="Arial" w:eastAsia="Times New Roman" w:hAnsi="Arial" w:cs="Arial"/>
          <w:szCs w:val="20"/>
        </w:rPr>
        <w:t xml:space="preserve">) που επιτεύχθηκε σε κλινικές μελέτες με </w:t>
      </w:r>
      <w:r w:rsidRPr="00044994">
        <w:rPr>
          <w:rFonts w:ascii="Arial" w:eastAsia="Times New Roman" w:hAnsi="Arial" w:cs="Arial"/>
          <w:szCs w:val="20"/>
          <w:lang w:val="en-US"/>
        </w:rPr>
        <w:t>ENGERIX</w:t>
      </w:r>
      <w:r w:rsidRPr="00044994">
        <w:rPr>
          <w:rFonts w:ascii="Arial" w:eastAsia="Times New Roman" w:hAnsi="Arial" w:cs="Arial"/>
          <w:szCs w:val="20"/>
        </w:rPr>
        <w:t xml:space="preserve"> (20μ</w:t>
      </w:r>
      <w:r w:rsidRPr="00044994">
        <w:rPr>
          <w:rFonts w:ascii="Arial" w:eastAsia="Times New Roman" w:hAnsi="Arial" w:cs="Arial"/>
          <w:szCs w:val="20"/>
          <w:lang w:val="en-US"/>
        </w:rPr>
        <w:t>g</w:t>
      </w:r>
      <w:r w:rsidRPr="00044994">
        <w:rPr>
          <w:rFonts w:ascii="Arial" w:eastAsia="Times New Roman" w:hAnsi="Arial" w:cs="Arial"/>
          <w:szCs w:val="20"/>
        </w:rPr>
        <w:t xml:space="preserve">/1 </w:t>
      </w:r>
      <w:r w:rsidRPr="00044994">
        <w:rPr>
          <w:rFonts w:ascii="Arial" w:eastAsia="Times New Roman" w:hAnsi="Arial" w:cs="Arial"/>
          <w:szCs w:val="20"/>
          <w:lang w:val="en-US"/>
        </w:rPr>
        <w:t>ml</w:t>
      </w:r>
      <w:r w:rsidRPr="00044994">
        <w:rPr>
          <w:rFonts w:ascii="Arial" w:eastAsia="Times New Roman" w:hAnsi="Arial" w:cs="Arial"/>
          <w:szCs w:val="20"/>
        </w:rPr>
        <w:t xml:space="preserve">) χορηγούμενο σύμφωνα με τα διαφορετικά </w:t>
      </w:r>
      <w:proofErr w:type="spellStart"/>
      <w:r w:rsidRPr="00044994">
        <w:rPr>
          <w:rFonts w:ascii="Arial" w:eastAsia="Times New Roman" w:hAnsi="Arial" w:cs="Arial"/>
          <w:szCs w:val="20"/>
        </w:rPr>
        <w:t>δοσολογικά</w:t>
      </w:r>
      <w:proofErr w:type="spellEnd"/>
      <w:r w:rsidRPr="00044994">
        <w:rPr>
          <w:rFonts w:ascii="Arial" w:eastAsia="Times New Roman" w:hAnsi="Arial" w:cs="Arial"/>
          <w:szCs w:val="20"/>
        </w:rPr>
        <w:t xml:space="preserve"> σχήματα που αναφέρθηκαν στην παράγραφο</w:t>
      </w:r>
      <w:r w:rsidRPr="00044994">
        <w:rPr>
          <w:rFonts w:ascii="Arial" w:eastAsia="Times New Roman" w:hAnsi="Arial" w:cs="Arial"/>
        </w:rPr>
        <w:t xml:space="preserve"> </w:t>
      </w:r>
      <w:r w:rsidRPr="00044994">
        <w:rPr>
          <w:rFonts w:ascii="Arial" w:eastAsia="Times New Roman" w:hAnsi="Arial" w:cs="Arial"/>
          <w:szCs w:val="20"/>
        </w:rPr>
        <w:t>4.2.</w:t>
      </w:r>
    </w:p>
    <w:p w:rsidR="00E05BBC" w:rsidRPr="00044994" w:rsidRDefault="00E05BBC" w:rsidP="00E05BBC">
      <w:pPr>
        <w:tabs>
          <w:tab w:val="left" w:pos="567"/>
        </w:tabs>
        <w:spacing w:after="0" w:line="240" w:lineRule="auto"/>
        <w:ind w:left="720"/>
        <w:jc w:val="both"/>
        <w:rPr>
          <w:rFonts w:ascii="Arial" w:eastAsia="Times New Roman"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2551"/>
        <w:gridCol w:w="2551"/>
      </w:tblGrid>
      <w:tr w:rsidR="00E05BBC" w:rsidRPr="00044994" w:rsidTr="00306AB1">
        <w:trPr>
          <w:cantSplit/>
          <w:trHeight w:val="66"/>
          <w:jc w:val="center"/>
        </w:trPr>
        <w:tc>
          <w:tcPr>
            <w:tcW w:w="3045" w:type="dxa"/>
            <w:shd w:val="pct12" w:color="auto" w:fill="FFFFFF"/>
          </w:tcPr>
          <w:p w:rsidR="00E05BBC" w:rsidRPr="00044994" w:rsidRDefault="00E05BBC" w:rsidP="00306AB1">
            <w:pPr>
              <w:tabs>
                <w:tab w:val="left" w:pos="567"/>
              </w:tabs>
              <w:spacing w:after="0" w:line="240" w:lineRule="auto"/>
              <w:jc w:val="both"/>
              <w:rPr>
                <w:rFonts w:ascii="Arial" w:eastAsia="Times New Roman" w:hAnsi="Arial" w:cs="Arial"/>
                <w:szCs w:val="20"/>
                <w:lang w:val="en-GB"/>
              </w:rPr>
            </w:pPr>
            <w:proofErr w:type="spellStart"/>
            <w:r w:rsidRPr="00044994">
              <w:rPr>
                <w:rFonts w:ascii="Arial" w:eastAsia="Times New Roman" w:hAnsi="Arial" w:cs="Arial"/>
                <w:b/>
                <w:szCs w:val="20"/>
                <w:lang w:val="en-GB"/>
              </w:rPr>
              <w:t>Πληθυσμός</w:t>
            </w:r>
            <w:proofErr w:type="spellEnd"/>
          </w:p>
        </w:tc>
        <w:tc>
          <w:tcPr>
            <w:tcW w:w="2551" w:type="dxa"/>
            <w:shd w:val="pct12" w:color="auto" w:fill="FFFFFF"/>
          </w:tcPr>
          <w:p w:rsidR="00E05BBC" w:rsidRPr="00044994" w:rsidRDefault="00E05BBC" w:rsidP="00306AB1">
            <w:pPr>
              <w:tabs>
                <w:tab w:val="left" w:pos="567"/>
              </w:tabs>
              <w:spacing w:after="0" w:line="240" w:lineRule="auto"/>
              <w:jc w:val="both"/>
              <w:rPr>
                <w:rFonts w:ascii="Arial" w:eastAsia="Times New Roman" w:hAnsi="Arial" w:cs="Arial"/>
                <w:szCs w:val="20"/>
                <w:lang w:val="en-GB"/>
              </w:rPr>
            </w:pPr>
            <w:proofErr w:type="spellStart"/>
            <w:r w:rsidRPr="00044994">
              <w:rPr>
                <w:rFonts w:ascii="Arial" w:eastAsia="Times New Roman" w:hAnsi="Arial" w:cs="Arial"/>
                <w:b/>
                <w:szCs w:val="20"/>
                <w:lang w:val="en-GB"/>
              </w:rPr>
              <w:t>Σχήμ</w:t>
            </w:r>
            <w:proofErr w:type="spellEnd"/>
            <w:r w:rsidRPr="00044994">
              <w:rPr>
                <w:rFonts w:ascii="Arial" w:eastAsia="Times New Roman" w:hAnsi="Arial" w:cs="Arial"/>
                <w:b/>
                <w:szCs w:val="20"/>
                <w:lang w:val="en-GB"/>
              </w:rPr>
              <w:t>α</w:t>
            </w:r>
          </w:p>
        </w:tc>
        <w:tc>
          <w:tcPr>
            <w:tcW w:w="2551" w:type="dxa"/>
            <w:shd w:val="pct12" w:color="auto" w:fill="FFFFFF"/>
          </w:tcPr>
          <w:p w:rsidR="00E05BBC" w:rsidRPr="00044994" w:rsidRDefault="00E05BBC" w:rsidP="00306AB1">
            <w:pPr>
              <w:tabs>
                <w:tab w:val="left" w:pos="567"/>
              </w:tabs>
              <w:spacing w:after="0" w:line="240" w:lineRule="auto"/>
              <w:jc w:val="both"/>
              <w:rPr>
                <w:rFonts w:ascii="Arial" w:eastAsia="Times New Roman" w:hAnsi="Arial" w:cs="Arial"/>
                <w:szCs w:val="20"/>
                <w:lang w:val="en-GB"/>
              </w:rPr>
            </w:pPr>
            <w:proofErr w:type="spellStart"/>
            <w:r w:rsidRPr="00044994">
              <w:rPr>
                <w:rFonts w:ascii="Arial" w:eastAsia="Times New Roman" w:hAnsi="Arial" w:cs="Arial"/>
                <w:b/>
                <w:szCs w:val="20"/>
                <w:lang w:val="en-GB"/>
              </w:rPr>
              <w:t>Ρυθμός</w:t>
            </w:r>
            <w:proofErr w:type="spellEnd"/>
            <w:r w:rsidRPr="00044994">
              <w:rPr>
                <w:rFonts w:ascii="Arial" w:eastAsia="Times New Roman" w:hAnsi="Arial" w:cs="Arial"/>
                <w:b/>
                <w:szCs w:val="20"/>
                <w:lang w:val="en-GB"/>
              </w:rPr>
              <w:t xml:space="preserve"> </w:t>
            </w:r>
            <w:proofErr w:type="spellStart"/>
            <w:r w:rsidRPr="00044994">
              <w:rPr>
                <w:rFonts w:ascii="Arial" w:eastAsia="Times New Roman" w:hAnsi="Arial" w:cs="Arial"/>
                <w:b/>
                <w:szCs w:val="20"/>
                <w:lang w:val="en-GB"/>
              </w:rPr>
              <w:t>ορο</w:t>
            </w:r>
            <w:proofErr w:type="spellEnd"/>
            <w:r w:rsidRPr="00044994">
              <w:rPr>
                <w:rFonts w:ascii="Arial" w:eastAsia="Times New Roman" w:hAnsi="Arial" w:cs="Arial"/>
                <w:b/>
                <w:szCs w:val="20"/>
                <w:lang w:val="en-GB"/>
              </w:rPr>
              <w:t>προστασίας</w:t>
            </w:r>
          </w:p>
        </w:tc>
      </w:tr>
      <w:tr w:rsidR="00E05BBC" w:rsidRPr="00044994" w:rsidTr="00306AB1">
        <w:trPr>
          <w:cantSplit/>
          <w:trHeight w:val="63"/>
          <w:jc w:val="center"/>
        </w:trPr>
        <w:tc>
          <w:tcPr>
            <w:tcW w:w="3045" w:type="dxa"/>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Υγιή άτομα ηλικίας 16 ετών και άνω</w:t>
            </w:r>
          </w:p>
        </w:tc>
        <w:tc>
          <w:tcPr>
            <w:tcW w:w="2551" w:type="dxa"/>
          </w:tcPr>
          <w:p w:rsidR="00E05BBC" w:rsidRPr="00044994" w:rsidRDefault="00E05BBC" w:rsidP="00306AB1">
            <w:pPr>
              <w:tabs>
                <w:tab w:val="left" w:pos="567"/>
              </w:tabs>
              <w:spacing w:after="0" w:line="240" w:lineRule="auto"/>
              <w:rPr>
                <w:rFonts w:ascii="Arial" w:eastAsia="Times New Roman" w:hAnsi="Arial" w:cs="Arial"/>
                <w:szCs w:val="20"/>
                <w:lang w:val="en-GB"/>
              </w:rPr>
            </w:pPr>
            <w:r w:rsidRPr="00044994">
              <w:rPr>
                <w:rFonts w:ascii="Arial" w:eastAsia="Times New Roman" w:hAnsi="Arial" w:cs="Arial"/>
                <w:szCs w:val="20"/>
                <w:lang w:val="en-GB"/>
              </w:rPr>
              <w:t xml:space="preserve">0, 1, 6 </w:t>
            </w:r>
            <w:proofErr w:type="spellStart"/>
            <w:r w:rsidRPr="00044994">
              <w:rPr>
                <w:rFonts w:ascii="Arial" w:eastAsia="Times New Roman" w:hAnsi="Arial" w:cs="Arial"/>
                <w:szCs w:val="20"/>
                <w:lang w:val="en-GB"/>
              </w:rPr>
              <w:t>μήνες</w:t>
            </w:r>
            <w:proofErr w:type="spellEnd"/>
          </w:p>
        </w:tc>
        <w:tc>
          <w:tcPr>
            <w:tcW w:w="2551" w:type="dxa"/>
          </w:tcPr>
          <w:p w:rsidR="00E05BBC" w:rsidRPr="00044994" w:rsidRDefault="00E05BBC" w:rsidP="00306AB1">
            <w:pPr>
              <w:tabs>
                <w:tab w:val="left" w:pos="567"/>
              </w:tabs>
              <w:spacing w:after="0" w:line="240" w:lineRule="auto"/>
              <w:rPr>
                <w:rFonts w:ascii="Arial" w:eastAsia="Times New Roman" w:hAnsi="Arial" w:cs="Arial"/>
                <w:szCs w:val="20"/>
                <w:lang w:val="en-GB"/>
              </w:rPr>
            </w:pPr>
            <w:proofErr w:type="spellStart"/>
            <w:r w:rsidRPr="00044994">
              <w:rPr>
                <w:rFonts w:ascii="Arial" w:eastAsia="Times New Roman" w:hAnsi="Arial" w:cs="Arial"/>
                <w:szCs w:val="20"/>
                <w:lang w:val="en-GB"/>
              </w:rPr>
              <w:t>τον</w:t>
            </w:r>
            <w:proofErr w:type="spellEnd"/>
            <w:r w:rsidRPr="00044994">
              <w:rPr>
                <w:rFonts w:ascii="Arial" w:eastAsia="Times New Roman" w:hAnsi="Arial" w:cs="Arial"/>
                <w:szCs w:val="20"/>
                <w:lang w:val="en-GB"/>
              </w:rPr>
              <w:t xml:space="preserve"> </w:t>
            </w:r>
            <w:proofErr w:type="spellStart"/>
            <w:r w:rsidRPr="00044994">
              <w:rPr>
                <w:rFonts w:ascii="Arial" w:eastAsia="Times New Roman" w:hAnsi="Arial" w:cs="Arial"/>
                <w:szCs w:val="20"/>
                <w:lang w:val="en-GB"/>
              </w:rPr>
              <w:t>μήν</w:t>
            </w:r>
            <w:proofErr w:type="spellEnd"/>
            <w:r w:rsidRPr="00044994">
              <w:rPr>
                <w:rFonts w:ascii="Arial" w:eastAsia="Times New Roman" w:hAnsi="Arial" w:cs="Arial"/>
                <w:szCs w:val="20"/>
                <w:lang w:val="en-GB"/>
              </w:rPr>
              <w:t xml:space="preserve">α 7: </w:t>
            </w:r>
            <w:r w:rsidRPr="00044994">
              <w:rPr>
                <w:rFonts w:ascii="Arial" w:eastAsia="Times New Roman" w:hAnsi="Arial" w:cs="Arial"/>
                <w:szCs w:val="20"/>
                <w:lang w:val="en-GB"/>
              </w:rPr>
              <w:sym w:font="Symbol" w:char="F0B3"/>
            </w:r>
            <w:r w:rsidRPr="00044994">
              <w:rPr>
                <w:rFonts w:ascii="Arial" w:eastAsia="Times New Roman" w:hAnsi="Arial" w:cs="Arial"/>
                <w:szCs w:val="20"/>
                <w:lang w:val="en-GB"/>
              </w:rPr>
              <w:t xml:space="preserve"> 96 %</w:t>
            </w:r>
          </w:p>
        </w:tc>
      </w:tr>
      <w:tr w:rsidR="00E05BBC" w:rsidRPr="00044994" w:rsidTr="00306AB1">
        <w:trPr>
          <w:cantSplit/>
          <w:trHeight w:val="63"/>
          <w:jc w:val="center"/>
        </w:trPr>
        <w:tc>
          <w:tcPr>
            <w:tcW w:w="3045" w:type="dxa"/>
          </w:tcPr>
          <w:p w:rsidR="00E05BBC" w:rsidRPr="00044994" w:rsidRDefault="00E05BBC" w:rsidP="00306AB1">
            <w:pPr>
              <w:tabs>
                <w:tab w:val="left" w:pos="567"/>
              </w:tabs>
              <w:spacing w:after="0" w:line="240" w:lineRule="auto"/>
              <w:rPr>
                <w:rFonts w:ascii="Arial" w:eastAsia="Times New Roman" w:hAnsi="Arial" w:cs="Arial"/>
                <w:szCs w:val="20"/>
                <w:lang w:val="en-GB"/>
              </w:rPr>
            </w:pPr>
          </w:p>
        </w:tc>
        <w:tc>
          <w:tcPr>
            <w:tcW w:w="2551" w:type="dxa"/>
          </w:tcPr>
          <w:p w:rsidR="00E05BBC" w:rsidRPr="00044994" w:rsidRDefault="00E05BBC" w:rsidP="00306AB1">
            <w:pPr>
              <w:tabs>
                <w:tab w:val="left" w:pos="567"/>
              </w:tabs>
              <w:spacing w:after="0" w:line="240" w:lineRule="auto"/>
              <w:rPr>
                <w:rFonts w:ascii="Arial" w:eastAsia="Times New Roman" w:hAnsi="Arial" w:cs="Arial"/>
                <w:szCs w:val="20"/>
                <w:lang w:val="en-GB"/>
              </w:rPr>
            </w:pPr>
            <w:r w:rsidRPr="00044994">
              <w:rPr>
                <w:rFonts w:ascii="Arial" w:eastAsia="Times New Roman" w:hAnsi="Arial" w:cs="Arial"/>
                <w:szCs w:val="20"/>
                <w:lang w:val="en-GB"/>
              </w:rPr>
              <w:t xml:space="preserve">0, 1, 2 – 12 </w:t>
            </w:r>
            <w:proofErr w:type="spellStart"/>
            <w:r w:rsidRPr="00044994">
              <w:rPr>
                <w:rFonts w:ascii="Arial" w:eastAsia="Times New Roman" w:hAnsi="Arial" w:cs="Arial"/>
                <w:szCs w:val="20"/>
                <w:lang w:val="en-GB"/>
              </w:rPr>
              <w:t>μήνες</w:t>
            </w:r>
            <w:proofErr w:type="spellEnd"/>
          </w:p>
        </w:tc>
        <w:tc>
          <w:tcPr>
            <w:tcW w:w="2551" w:type="dxa"/>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τον μήνα 1: 15 %</w:t>
            </w:r>
            <w:r w:rsidRPr="00044994">
              <w:rPr>
                <w:rFonts w:ascii="Arial" w:eastAsia="Times New Roman" w:hAnsi="Arial" w:cs="Arial"/>
                <w:szCs w:val="20"/>
              </w:rPr>
              <w:br/>
              <w:t>τον μήνα 3: 89 %</w:t>
            </w:r>
            <w:r w:rsidRPr="00044994">
              <w:rPr>
                <w:rFonts w:ascii="Arial" w:eastAsia="Times New Roman" w:hAnsi="Arial" w:cs="Arial"/>
                <w:szCs w:val="20"/>
              </w:rPr>
              <w:br/>
              <w:t>τον μήνα 13: 95.8 %</w:t>
            </w:r>
          </w:p>
          <w:p w:rsidR="00E05BBC" w:rsidRPr="00044994" w:rsidRDefault="00E05BBC" w:rsidP="00306AB1">
            <w:pPr>
              <w:tabs>
                <w:tab w:val="left" w:pos="567"/>
              </w:tabs>
              <w:spacing w:after="0" w:line="240" w:lineRule="auto"/>
              <w:rPr>
                <w:rFonts w:ascii="Arial" w:eastAsia="Times New Roman" w:hAnsi="Arial" w:cs="Arial"/>
                <w:szCs w:val="20"/>
              </w:rPr>
            </w:pPr>
          </w:p>
        </w:tc>
      </w:tr>
      <w:tr w:rsidR="00E05BBC" w:rsidRPr="00044994" w:rsidTr="00306AB1">
        <w:trPr>
          <w:cantSplit/>
          <w:trHeight w:val="63"/>
          <w:jc w:val="center"/>
        </w:trPr>
        <w:tc>
          <w:tcPr>
            <w:tcW w:w="3045" w:type="dxa"/>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Υγιή άτομα ηλικίας 18 ετών και άνω</w:t>
            </w:r>
          </w:p>
        </w:tc>
        <w:tc>
          <w:tcPr>
            <w:tcW w:w="2551" w:type="dxa"/>
          </w:tcPr>
          <w:p w:rsidR="00E05BBC" w:rsidRPr="00044994" w:rsidRDefault="00E05BBC" w:rsidP="00306AB1">
            <w:pPr>
              <w:tabs>
                <w:tab w:val="left" w:pos="567"/>
              </w:tabs>
              <w:spacing w:after="0" w:line="240" w:lineRule="auto"/>
              <w:rPr>
                <w:rFonts w:ascii="Arial" w:eastAsia="Times New Roman" w:hAnsi="Arial" w:cs="Arial"/>
                <w:szCs w:val="20"/>
                <w:lang w:val="en-GB"/>
              </w:rPr>
            </w:pPr>
            <w:r w:rsidRPr="00044994">
              <w:rPr>
                <w:rFonts w:ascii="Arial" w:eastAsia="Times New Roman" w:hAnsi="Arial" w:cs="Arial"/>
                <w:szCs w:val="20"/>
                <w:lang w:val="en-GB"/>
              </w:rPr>
              <w:t xml:space="preserve">0, 7, 21 </w:t>
            </w:r>
            <w:proofErr w:type="spellStart"/>
            <w:r w:rsidRPr="00044994">
              <w:rPr>
                <w:rFonts w:ascii="Arial" w:eastAsia="Times New Roman" w:hAnsi="Arial" w:cs="Arial"/>
                <w:szCs w:val="20"/>
                <w:lang w:val="en-GB"/>
              </w:rPr>
              <w:t>ημέρες</w:t>
            </w:r>
            <w:proofErr w:type="spellEnd"/>
            <w:r w:rsidRPr="00044994">
              <w:rPr>
                <w:rFonts w:ascii="Arial" w:eastAsia="Times New Roman" w:hAnsi="Arial" w:cs="Arial"/>
                <w:szCs w:val="20"/>
                <w:lang w:val="en-GB"/>
              </w:rPr>
              <w:t xml:space="preserve"> – 12 </w:t>
            </w:r>
            <w:proofErr w:type="spellStart"/>
            <w:r w:rsidRPr="00044994">
              <w:rPr>
                <w:rFonts w:ascii="Arial" w:eastAsia="Times New Roman" w:hAnsi="Arial" w:cs="Arial"/>
                <w:szCs w:val="20"/>
                <w:lang w:val="en-GB"/>
              </w:rPr>
              <w:t>μήνες</w:t>
            </w:r>
            <w:proofErr w:type="spellEnd"/>
          </w:p>
        </w:tc>
        <w:tc>
          <w:tcPr>
            <w:tcW w:w="2551" w:type="dxa"/>
          </w:tcPr>
          <w:p w:rsidR="00E05BBC" w:rsidRPr="00044994" w:rsidRDefault="00E05BBC" w:rsidP="00306AB1">
            <w:pPr>
              <w:tabs>
                <w:tab w:val="left" w:pos="567"/>
              </w:tabs>
              <w:spacing w:after="0" w:line="240" w:lineRule="auto"/>
              <w:rPr>
                <w:rFonts w:ascii="Arial" w:eastAsia="Times New Roman" w:hAnsi="Arial" w:cs="Arial"/>
                <w:szCs w:val="20"/>
              </w:rPr>
            </w:pPr>
            <w:r w:rsidRPr="00044994">
              <w:rPr>
                <w:rFonts w:ascii="Arial" w:eastAsia="Times New Roman" w:hAnsi="Arial" w:cs="Arial"/>
                <w:szCs w:val="20"/>
              </w:rPr>
              <w:t>την ημέρα 28: 65.2 %</w:t>
            </w:r>
            <w:r w:rsidRPr="00044994">
              <w:rPr>
                <w:rFonts w:ascii="Arial" w:eastAsia="Times New Roman" w:hAnsi="Arial" w:cs="Arial"/>
                <w:szCs w:val="20"/>
              </w:rPr>
              <w:br/>
              <w:t>τον μήνα 2: 76 %</w:t>
            </w:r>
            <w:r w:rsidRPr="00044994">
              <w:rPr>
                <w:rFonts w:ascii="Arial" w:eastAsia="Times New Roman" w:hAnsi="Arial" w:cs="Arial"/>
                <w:szCs w:val="20"/>
              </w:rPr>
              <w:br/>
              <w:t>τον μήνα 13: 98.6 %</w:t>
            </w:r>
          </w:p>
        </w:tc>
      </w:tr>
    </w:tbl>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rPr>
      </w:pPr>
      <w:r w:rsidRPr="00044994">
        <w:rPr>
          <w:rFonts w:ascii="Arial" w:eastAsia="Times New Roman" w:hAnsi="Arial" w:cs="Arial"/>
        </w:rPr>
        <w:t xml:space="preserve">Τα στοιχεία του παραπάνω πίνακα προέρχονται από μελέτες με εμβόλια που περιείχαν </w:t>
      </w:r>
      <w:proofErr w:type="spellStart"/>
      <w:r w:rsidRPr="00044994">
        <w:rPr>
          <w:rFonts w:ascii="Arial" w:eastAsia="Times New Roman" w:hAnsi="Arial" w:cs="Arial"/>
        </w:rPr>
        <w:t>θειομερσάλη</w:t>
      </w:r>
      <w:proofErr w:type="spellEnd"/>
      <w:r w:rsidRPr="00044994">
        <w:rPr>
          <w:rFonts w:ascii="Arial" w:eastAsia="Times New Roman" w:hAnsi="Arial" w:cs="Arial"/>
        </w:rPr>
        <w:t xml:space="preserve">. Δύο επιπρόσθετες μελέτες που έγιναν με την υπάρχουσα σύνθεση του </w:t>
      </w:r>
      <w:r w:rsidRPr="00044994">
        <w:rPr>
          <w:rFonts w:ascii="Arial" w:eastAsia="Times New Roman" w:hAnsi="Arial" w:cs="Arial"/>
          <w:lang w:val="en-GB"/>
        </w:rPr>
        <w:t>ENGERIX</w:t>
      </w:r>
      <w:r w:rsidRPr="00044994">
        <w:rPr>
          <w:rFonts w:ascii="Arial" w:eastAsia="Times New Roman" w:hAnsi="Arial" w:cs="Arial"/>
        </w:rPr>
        <w:t xml:space="preserve">, η οποία δεν περιέχει </w:t>
      </w:r>
      <w:proofErr w:type="spellStart"/>
      <w:r w:rsidRPr="00044994">
        <w:rPr>
          <w:rFonts w:ascii="Arial" w:eastAsia="Times New Roman" w:hAnsi="Arial" w:cs="Arial"/>
        </w:rPr>
        <w:t>θειομερσάλη</w:t>
      </w:r>
      <w:proofErr w:type="spellEnd"/>
      <w:r w:rsidRPr="00044994">
        <w:rPr>
          <w:rFonts w:ascii="Arial" w:eastAsia="Times New Roman" w:hAnsi="Arial" w:cs="Arial"/>
        </w:rPr>
        <w:t xml:space="preserve">, μεταξύ υγιών νεογνών και ενηλίκων, έδωσαν παρόμοια ποσοστά </w:t>
      </w:r>
      <w:proofErr w:type="spellStart"/>
      <w:r w:rsidRPr="00044994">
        <w:rPr>
          <w:rFonts w:ascii="Arial" w:eastAsia="Times New Roman" w:hAnsi="Arial" w:cs="Arial"/>
        </w:rPr>
        <w:t>οροπροστασίας</w:t>
      </w:r>
      <w:proofErr w:type="spellEnd"/>
      <w:r w:rsidRPr="00044994">
        <w:rPr>
          <w:rFonts w:ascii="Arial" w:eastAsia="Times New Roman" w:hAnsi="Arial" w:cs="Arial"/>
        </w:rPr>
        <w:t xml:space="preserve"> συγκριτικά με την προγενέστερη σύνθεση του </w:t>
      </w:r>
      <w:r w:rsidRPr="00044994">
        <w:rPr>
          <w:rFonts w:ascii="Arial" w:eastAsia="Times New Roman" w:hAnsi="Arial" w:cs="Arial"/>
          <w:lang w:val="en-GB"/>
        </w:rPr>
        <w:t>ENGERIX</w:t>
      </w:r>
      <w:r w:rsidRPr="00044994">
        <w:rPr>
          <w:rFonts w:ascii="Arial" w:eastAsia="Times New Roman" w:hAnsi="Arial" w:cs="Arial"/>
        </w:rPr>
        <w:t xml:space="preserve"> που περιείχε </w:t>
      </w:r>
      <w:proofErr w:type="spellStart"/>
      <w:r w:rsidRPr="00044994">
        <w:rPr>
          <w:rFonts w:ascii="Arial" w:eastAsia="Times New Roman" w:hAnsi="Arial" w:cs="Arial"/>
        </w:rPr>
        <w:t>θειομερσάλη</w:t>
      </w:r>
      <w:proofErr w:type="spellEnd"/>
      <w:r w:rsidRPr="00044994">
        <w:rPr>
          <w:rFonts w:ascii="Arial" w:eastAsia="Times New Roman" w:hAnsi="Arial" w:cs="Arial"/>
        </w:rPr>
        <w:t>.</w:t>
      </w:r>
    </w:p>
    <w:p w:rsidR="00E05BBC" w:rsidRPr="00044994" w:rsidRDefault="00E05BBC" w:rsidP="00E05BBC">
      <w:pPr>
        <w:tabs>
          <w:tab w:val="left" w:pos="567"/>
        </w:tabs>
        <w:spacing w:after="0" w:line="240" w:lineRule="auto"/>
        <w:jc w:val="both"/>
        <w:rPr>
          <w:rFonts w:ascii="Arial" w:eastAsia="Times New Roman" w:hAnsi="Arial" w:cs="Arial"/>
        </w:rPr>
      </w:pPr>
    </w:p>
    <w:p w:rsidR="00E05BBC" w:rsidRPr="00044994" w:rsidRDefault="00E05BBC" w:rsidP="00E05BBC">
      <w:pPr>
        <w:numPr>
          <w:ilvl w:val="0"/>
          <w:numId w:val="5"/>
        </w:numPr>
        <w:tabs>
          <w:tab w:val="left" w:pos="567"/>
        </w:tabs>
        <w:spacing w:after="0" w:line="240" w:lineRule="auto"/>
        <w:ind w:hanging="720"/>
        <w:jc w:val="both"/>
        <w:rPr>
          <w:rFonts w:ascii="Arial" w:eastAsia="Times New Roman" w:hAnsi="Arial" w:cs="Arial"/>
        </w:rPr>
      </w:pPr>
      <w:r w:rsidRPr="00044994">
        <w:rPr>
          <w:rFonts w:ascii="Arial" w:eastAsia="Times New Roman" w:hAnsi="Arial" w:cs="Arial"/>
        </w:rPr>
        <w:t>Υγιή άτομα ηλικίας 11 έως και 15 ετών:</w:t>
      </w:r>
    </w:p>
    <w:p w:rsidR="00E05BBC" w:rsidRPr="00044994" w:rsidRDefault="00E05BBC" w:rsidP="00E05BBC">
      <w:pPr>
        <w:tabs>
          <w:tab w:val="left" w:pos="567"/>
        </w:tabs>
        <w:spacing w:after="0" w:line="240" w:lineRule="auto"/>
        <w:ind w:left="720"/>
        <w:jc w:val="both"/>
        <w:rPr>
          <w:rFonts w:ascii="Arial" w:eastAsia="Times New Roman" w:hAnsi="Arial" w:cs="Arial"/>
        </w:rPr>
      </w:pPr>
    </w:p>
    <w:p w:rsidR="00E05BBC" w:rsidRPr="00044994" w:rsidRDefault="00E05BBC" w:rsidP="00E05BBC">
      <w:pPr>
        <w:tabs>
          <w:tab w:val="left" w:pos="0"/>
        </w:tabs>
        <w:spacing w:after="0" w:line="240" w:lineRule="auto"/>
        <w:jc w:val="both"/>
        <w:rPr>
          <w:rFonts w:ascii="Arial" w:eastAsia="Times New Roman" w:hAnsi="Arial" w:cs="Arial"/>
        </w:rPr>
      </w:pPr>
      <w:r w:rsidRPr="00044994">
        <w:rPr>
          <w:rFonts w:ascii="Arial" w:eastAsia="Times New Roman" w:hAnsi="Arial" w:cs="Arial"/>
        </w:rPr>
        <w:t xml:space="preserve">Τα ποσοστά </w:t>
      </w:r>
      <w:proofErr w:type="spellStart"/>
      <w:r w:rsidRPr="00044994">
        <w:rPr>
          <w:rFonts w:ascii="Arial" w:eastAsia="Times New Roman" w:hAnsi="Arial" w:cs="Arial"/>
        </w:rPr>
        <w:t>οροπροστασίας</w:t>
      </w:r>
      <w:proofErr w:type="spellEnd"/>
      <w:r w:rsidRPr="00044994">
        <w:rPr>
          <w:rFonts w:ascii="Arial" w:eastAsia="Times New Roman" w:hAnsi="Arial" w:cs="Arial"/>
        </w:rPr>
        <w:t xml:space="preserve"> με τα δυο διαφορετικά εγκεκριμένα </w:t>
      </w:r>
      <w:proofErr w:type="spellStart"/>
      <w:r w:rsidRPr="00044994">
        <w:rPr>
          <w:rFonts w:ascii="Arial" w:eastAsia="Times New Roman" w:hAnsi="Arial" w:cs="Arial"/>
        </w:rPr>
        <w:t>δοσολογικά</w:t>
      </w:r>
      <w:proofErr w:type="spellEnd"/>
      <w:r w:rsidRPr="00044994">
        <w:rPr>
          <w:rFonts w:ascii="Arial" w:eastAsia="Times New Roman" w:hAnsi="Arial" w:cs="Arial"/>
        </w:rPr>
        <w:t xml:space="preserve"> σχήματα σε άτομα ηλικίας από 11 ετών έως και 15 ετών αξιολογήθηκαν έως και 66 μήνες μετά την πρώτη δόση του αρχικού εμβολιασμού και παρατίθενται στον ακόλουθο πίνακα (ομάδα </w:t>
      </w:r>
      <w:r w:rsidRPr="00044994">
        <w:rPr>
          <w:rFonts w:ascii="Arial" w:eastAsia="Times New Roman" w:hAnsi="Arial" w:cs="Arial"/>
          <w:lang w:val="en-US"/>
        </w:rPr>
        <w:t>ATP</w:t>
      </w:r>
      <w:r w:rsidRPr="00044994">
        <w:rPr>
          <w:rFonts w:ascii="Arial" w:eastAsia="Times New Roman" w:hAnsi="Arial" w:cs="Arial"/>
        </w:rPr>
        <w:t xml:space="preserve"> για την αποτελεσματικότητα): </w:t>
      </w:r>
    </w:p>
    <w:p w:rsidR="00E05BBC" w:rsidRPr="00044994" w:rsidRDefault="00E05BBC" w:rsidP="00E05BBC">
      <w:pPr>
        <w:tabs>
          <w:tab w:val="left" w:pos="0"/>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979"/>
        <w:gridCol w:w="1008"/>
        <w:gridCol w:w="1010"/>
        <w:gridCol w:w="1007"/>
        <w:gridCol w:w="1008"/>
        <w:gridCol w:w="1008"/>
        <w:gridCol w:w="1005"/>
      </w:tblGrid>
      <w:tr w:rsidR="00E05BBC" w:rsidRPr="00044994" w:rsidTr="00306AB1">
        <w:tc>
          <w:tcPr>
            <w:tcW w:w="2261" w:type="dxa"/>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rPr>
            </w:pPr>
          </w:p>
        </w:tc>
        <w:tc>
          <w:tcPr>
            <w:tcW w:w="7025" w:type="dxa"/>
            <w:gridSpan w:val="7"/>
            <w:tcBorders>
              <w:bottom w:val="single" w:sz="4" w:space="0" w:color="auto"/>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rPr>
            </w:pPr>
            <w:r w:rsidRPr="00044994">
              <w:rPr>
                <w:rFonts w:ascii="Arial" w:eastAsia="Times New Roman" w:hAnsi="Arial" w:cs="Arial"/>
                <w:b/>
              </w:rPr>
              <w:t>Μήνας μετά την πρώτη δόση του εμβολίου:</w:t>
            </w:r>
          </w:p>
        </w:tc>
      </w:tr>
      <w:tr w:rsidR="00E05BBC" w:rsidRPr="00044994" w:rsidTr="00306AB1">
        <w:tc>
          <w:tcPr>
            <w:tcW w:w="2261" w:type="dxa"/>
            <w:tcBorders>
              <w:right w:val="single" w:sz="4" w:space="0" w:color="auto"/>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rPr>
            </w:pPr>
            <w:r w:rsidRPr="00044994">
              <w:rPr>
                <w:rFonts w:ascii="Arial" w:eastAsia="Times New Roman" w:hAnsi="Arial" w:cs="Arial"/>
                <w:b/>
              </w:rPr>
              <w:t>Σχήμα εμβολιασμού</w:t>
            </w:r>
          </w:p>
        </w:tc>
        <w:tc>
          <w:tcPr>
            <w:tcW w:w="979" w:type="dxa"/>
            <w:tcBorders>
              <w:top w:val="single" w:sz="4" w:space="0" w:color="auto"/>
              <w:left w:val="single" w:sz="4" w:space="0" w:color="auto"/>
              <w:bottom w:val="single" w:sz="4" w:space="0" w:color="auto"/>
              <w:right w:val="nil"/>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2</w:t>
            </w:r>
          </w:p>
        </w:tc>
        <w:tc>
          <w:tcPr>
            <w:tcW w:w="1008" w:type="dxa"/>
            <w:tcBorders>
              <w:top w:val="single" w:sz="4" w:space="0" w:color="auto"/>
              <w:left w:val="nil"/>
              <w:bottom w:val="single" w:sz="4" w:space="0" w:color="auto"/>
              <w:right w:val="nil"/>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6</w:t>
            </w:r>
          </w:p>
        </w:tc>
        <w:tc>
          <w:tcPr>
            <w:tcW w:w="1010" w:type="dxa"/>
            <w:tcBorders>
              <w:top w:val="single" w:sz="4" w:space="0" w:color="auto"/>
              <w:left w:val="nil"/>
              <w:bottom w:val="single" w:sz="4" w:space="0" w:color="auto"/>
              <w:right w:val="nil"/>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7</w:t>
            </w:r>
          </w:p>
        </w:tc>
        <w:tc>
          <w:tcPr>
            <w:tcW w:w="1007" w:type="dxa"/>
            <w:tcBorders>
              <w:top w:val="single" w:sz="4" w:space="0" w:color="auto"/>
              <w:left w:val="nil"/>
              <w:bottom w:val="single" w:sz="4" w:space="0" w:color="auto"/>
              <w:right w:val="nil"/>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30</w:t>
            </w:r>
          </w:p>
        </w:tc>
        <w:tc>
          <w:tcPr>
            <w:tcW w:w="1008" w:type="dxa"/>
            <w:tcBorders>
              <w:top w:val="single" w:sz="4" w:space="0" w:color="auto"/>
              <w:left w:val="nil"/>
              <w:bottom w:val="single" w:sz="4" w:space="0" w:color="auto"/>
              <w:right w:val="nil"/>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42</w:t>
            </w:r>
          </w:p>
        </w:tc>
        <w:tc>
          <w:tcPr>
            <w:tcW w:w="1008" w:type="dxa"/>
            <w:tcBorders>
              <w:top w:val="single" w:sz="4" w:space="0" w:color="auto"/>
              <w:left w:val="nil"/>
              <w:bottom w:val="single" w:sz="4" w:space="0" w:color="auto"/>
              <w:right w:val="nil"/>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54</w:t>
            </w:r>
          </w:p>
        </w:tc>
        <w:tc>
          <w:tcPr>
            <w:tcW w:w="1005" w:type="dxa"/>
            <w:tcBorders>
              <w:top w:val="single" w:sz="4" w:space="0" w:color="auto"/>
              <w:left w:val="nil"/>
              <w:bottom w:val="single" w:sz="4" w:space="0" w:color="auto"/>
              <w:right w:val="single" w:sz="4" w:space="0" w:color="auto"/>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r w:rsidRPr="00044994">
              <w:rPr>
                <w:rFonts w:ascii="Arial" w:eastAsia="Times New Roman" w:hAnsi="Arial" w:cs="Arial"/>
                <w:b/>
                <w:lang w:val="en-GB"/>
              </w:rPr>
              <w:t>66</w:t>
            </w:r>
          </w:p>
        </w:tc>
      </w:tr>
      <w:tr w:rsidR="00E05BBC" w:rsidRPr="00044994" w:rsidTr="00306AB1">
        <w:tc>
          <w:tcPr>
            <w:tcW w:w="2261" w:type="dxa"/>
            <w:tcBorders>
              <w:right w:val="single" w:sz="4" w:space="0" w:color="auto"/>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lang w:val="en-GB"/>
              </w:rPr>
            </w:pPr>
          </w:p>
        </w:tc>
        <w:tc>
          <w:tcPr>
            <w:tcW w:w="7025" w:type="dxa"/>
            <w:gridSpan w:val="7"/>
            <w:tcBorders>
              <w:top w:val="single" w:sz="4" w:space="0" w:color="auto"/>
              <w:left w:val="single" w:sz="4" w:space="0" w:color="auto"/>
              <w:bottom w:val="single" w:sz="4" w:space="0" w:color="auto"/>
              <w:right w:val="single" w:sz="4" w:space="0" w:color="auto"/>
            </w:tcBorders>
            <w:shd w:val="clear" w:color="auto" w:fill="D9D9D9"/>
          </w:tcPr>
          <w:p w:rsidR="00E05BBC" w:rsidRPr="00044994" w:rsidRDefault="00E05BBC" w:rsidP="00306AB1">
            <w:pPr>
              <w:tabs>
                <w:tab w:val="left" w:pos="567"/>
              </w:tabs>
              <w:spacing w:after="0" w:line="240" w:lineRule="auto"/>
              <w:jc w:val="both"/>
              <w:rPr>
                <w:rFonts w:ascii="Arial" w:eastAsia="Times New Roman" w:hAnsi="Arial" w:cs="Arial"/>
                <w:b/>
              </w:rPr>
            </w:pPr>
            <w:r w:rsidRPr="00044994">
              <w:rPr>
                <w:rFonts w:ascii="Arial" w:eastAsia="Times New Roman" w:hAnsi="Arial" w:cs="Arial"/>
                <w:b/>
              </w:rPr>
              <w:t xml:space="preserve">Ποσοστό </w:t>
            </w:r>
            <w:proofErr w:type="spellStart"/>
            <w:r w:rsidRPr="00044994">
              <w:rPr>
                <w:rFonts w:ascii="Arial" w:eastAsia="Times New Roman" w:hAnsi="Arial" w:cs="Arial"/>
                <w:b/>
              </w:rPr>
              <w:t>οροπροστασίας</w:t>
            </w:r>
            <w:proofErr w:type="spellEnd"/>
          </w:p>
        </w:tc>
      </w:tr>
      <w:tr w:rsidR="00E05BBC" w:rsidRPr="00044994" w:rsidTr="00306AB1">
        <w:tc>
          <w:tcPr>
            <w:tcW w:w="2261"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ENGERIX</w:t>
            </w:r>
            <w:r w:rsidRPr="00044994">
              <w:rPr>
                <w:rFonts w:ascii="Arial" w:eastAsia="Times New Roman" w:hAnsi="Arial" w:cs="Arial"/>
              </w:rPr>
              <w:t xml:space="preserve">  10µ</w:t>
            </w:r>
            <w:r w:rsidRPr="00044994">
              <w:rPr>
                <w:rFonts w:ascii="Arial" w:eastAsia="Times New Roman" w:hAnsi="Arial" w:cs="Arial"/>
                <w:lang w:val="en-GB"/>
              </w:rPr>
              <w:t>g</w:t>
            </w:r>
            <w:r w:rsidRPr="00044994">
              <w:rPr>
                <w:rFonts w:ascii="Arial" w:eastAsia="Times New Roman" w:hAnsi="Arial" w:cs="Arial"/>
              </w:rPr>
              <w:t xml:space="preserve"> </w:t>
            </w:r>
          </w:p>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rPr>
              <w:t>(εμβολιαστικό σχήμα 0, 1, 6 μήνες)</w:t>
            </w:r>
          </w:p>
        </w:tc>
        <w:tc>
          <w:tcPr>
            <w:tcW w:w="979"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55.8</w:t>
            </w:r>
            <w:r w:rsidRPr="00044994">
              <w:rPr>
                <w:rFonts w:ascii="Arial" w:eastAsia="Times New Roman" w:hAnsi="Arial" w:cs="Arial"/>
              </w:rPr>
              <w:t xml:space="preserve"> %</w:t>
            </w:r>
          </w:p>
        </w:tc>
        <w:tc>
          <w:tcPr>
            <w:tcW w:w="1008"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87.6</w:t>
            </w:r>
            <w:r w:rsidRPr="00044994">
              <w:rPr>
                <w:rFonts w:ascii="Arial" w:eastAsia="Times New Roman" w:hAnsi="Arial" w:cs="Arial"/>
              </w:rPr>
              <w:t xml:space="preserve"> %</w:t>
            </w:r>
          </w:p>
        </w:tc>
        <w:tc>
          <w:tcPr>
            <w:tcW w:w="1010" w:type="dxa"/>
            <w:shd w:val="clear" w:color="auto" w:fill="auto"/>
          </w:tcPr>
          <w:p w:rsidR="00E05BBC" w:rsidRPr="00044994" w:rsidRDefault="00E05BBC" w:rsidP="00306AB1">
            <w:pPr>
              <w:spacing w:after="0" w:line="240" w:lineRule="auto"/>
              <w:jc w:val="both"/>
              <w:rPr>
                <w:rFonts w:ascii="Arial" w:eastAsia="Times New Roman" w:hAnsi="Arial" w:cs="Arial"/>
                <w:lang w:val="en-GB"/>
              </w:rPr>
            </w:pPr>
            <w:r w:rsidRPr="00044994">
              <w:rPr>
                <w:rFonts w:ascii="Arial" w:eastAsia="Times New Roman" w:hAnsi="Arial" w:cs="Arial"/>
                <w:lang w:val="en-GB"/>
              </w:rPr>
              <w:t>98.2</w:t>
            </w:r>
            <w:r w:rsidRPr="00044994">
              <w:rPr>
                <w:rFonts w:ascii="Arial" w:eastAsia="Times New Roman" w:hAnsi="Arial" w:cs="Arial"/>
              </w:rPr>
              <w:t xml:space="preserve"> %</w:t>
            </w:r>
            <w:r w:rsidRPr="00044994">
              <w:rPr>
                <w:rFonts w:ascii="Arial" w:eastAsia="Times New Roman" w:hAnsi="Arial" w:cs="Arial"/>
                <w:lang w:val="en-GB"/>
              </w:rPr>
              <w:t>*</w:t>
            </w:r>
          </w:p>
        </w:tc>
        <w:tc>
          <w:tcPr>
            <w:tcW w:w="1007" w:type="dxa"/>
            <w:shd w:val="clear" w:color="auto" w:fill="auto"/>
          </w:tcPr>
          <w:p w:rsidR="00E05BBC" w:rsidRPr="00044994" w:rsidRDefault="00E05BBC" w:rsidP="00306AB1">
            <w:pPr>
              <w:spacing w:after="0" w:line="240" w:lineRule="auto"/>
              <w:jc w:val="both"/>
              <w:rPr>
                <w:rFonts w:ascii="Arial" w:eastAsia="Times New Roman" w:hAnsi="Arial" w:cs="Arial"/>
                <w:lang w:val="en-GB"/>
              </w:rPr>
            </w:pPr>
            <w:r w:rsidRPr="00044994">
              <w:rPr>
                <w:rFonts w:ascii="Arial" w:eastAsia="Times New Roman" w:hAnsi="Arial" w:cs="Arial"/>
                <w:lang w:val="en-GB"/>
              </w:rPr>
              <w:t>96.9</w:t>
            </w:r>
            <w:r w:rsidRPr="00044994">
              <w:rPr>
                <w:rFonts w:ascii="Arial" w:eastAsia="Times New Roman" w:hAnsi="Arial" w:cs="Arial"/>
              </w:rPr>
              <w:t xml:space="preserve"> %</w:t>
            </w:r>
          </w:p>
        </w:tc>
        <w:tc>
          <w:tcPr>
            <w:tcW w:w="1008"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92.5</w:t>
            </w:r>
            <w:r w:rsidRPr="00044994">
              <w:rPr>
                <w:rFonts w:ascii="Arial" w:eastAsia="Times New Roman" w:hAnsi="Arial" w:cs="Arial"/>
              </w:rPr>
              <w:t xml:space="preserve"> %</w:t>
            </w:r>
          </w:p>
        </w:tc>
        <w:tc>
          <w:tcPr>
            <w:tcW w:w="1008"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94.7</w:t>
            </w:r>
            <w:r w:rsidRPr="00044994">
              <w:rPr>
                <w:rFonts w:ascii="Arial" w:eastAsia="Times New Roman" w:hAnsi="Arial" w:cs="Arial"/>
              </w:rPr>
              <w:t xml:space="preserve"> %</w:t>
            </w:r>
          </w:p>
        </w:tc>
        <w:tc>
          <w:tcPr>
            <w:tcW w:w="1005"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91.4</w:t>
            </w:r>
            <w:r w:rsidRPr="00044994">
              <w:rPr>
                <w:rFonts w:ascii="Arial" w:eastAsia="Times New Roman" w:hAnsi="Arial" w:cs="Arial"/>
              </w:rPr>
              <w:t xml:space="preserve"> %</w:t>
            </w:r>
          </w:p>
        </w:tc>
      </w:tr>
      <w:tr w:rsidR="00E05BBC" w:rsidRPr="00044994" w:rsidTr="00306AB1">
        <w:tc>
          <w:tcPr>
            <w:tcW w:w="2261"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ENGERIX</w:t>
            </w:r>
            <w:r w:rsidRPr="00044994">
              <w:rPr>
                <w:rFonts w:ascii="Arial" w:eastAsia="Times New Roman" w:hAnsi="Arial" w:cs="Arial"/>
              </w:rPr>
              <w:t xml:space="preserve">  20µ</w:t>
            </w:r>
            <w:r w:rsidRPr="00044994">
              <w:rPr>
                <w:rFonts w:ascii="Arial" w:eastAsia="Times New Roman" w:hAnsi="Arial" w:cs="Arial"/>
                <w:lang w:val="en-GB"/>
              </w:rPr>
              <w:t>g</w:t>
            </w:r>
          </w:p>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rPr>
              <w:t>(εμβολιαστικό σχήμα 0, 6 μήνες)</w:t>
            </w:r>
          </w:p>
        </w:tc>
        <w:tc>
          <w:tcPr>
            <w:tcW w:w="979"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11.3</w:t>
            </w:r>
            <w:r w:rsidRPr="00044994">
              <w:rPr>
                <w:rFonts w:ascii="Arial" w:eastAsia="Times New Roman" w:hAnsi="Arial" w:cs="Arial"/>
              </w:rPr>
              <w:t xml:space="preserve"> %</w:t>
            </w:r>
          </w:p>
        </w:tc>
        <w:tc>
          <w:tcPr>
            <w:tcW w:w="1008"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26.4</w:t>
            </w:r>
            <w:r w:rsidRPr="00044994">
              <w:rPr>
                <w:rFonts w:ascii="Arial" w:eastAsia="Times New Roman" w:hAnsi="Arial" w:cs="Arial"/>
              </w:rPr>
              <w:t xml:space="preserve"> %</w:t>
            </w:r>
          </w:p>
        </w:tc>
        <w:tc>
          <w:tcPr>
            <w:tcW w:w="1010" w:type="dxa"/>
            <w:shd w:val="clear" w:color="auto" w:fill="auto"/>
          </w:tcPr>
          <w:p w:rsidR="00E05BBC" w:rsidRPr="00044994" w:rsidRDefault="00E05BBC" w:rsidP="00306AB1">
            <w:pPr>
              <w:spacing w:after="0" w:line="240" w:lineRule="auto"/>
              <w:jc w:val="both"/>
              <w:rPr>
                <w:rFonts w:ascii="Arial" w:eastAsia="Times New Roman" w:hAnsi="Arial" w:cs="Arial"/>
                <w:lang w:val="en-GB"/>
              </w:rPr>
            </w:pPr>
            <w:r w:rsidRPr="00044994">
              <w:rPr>
                <w:rFonts w:ascii="Arial" w:eastAsia="Times New Roman" w:hAnsi="Arial" w:cs="Arial"/>
                <w:lang w:val="en-GB"/>
              </w:rPr>
              <w:t>96.7</w:t>
            </w:r>
            <w:r w:rsidRPr="00044994">
              <w:rPr>
                <w:rFonts w:ascii="Arial" w:eastAsia="Times New Roman" w:hAnsi="Arial" w:cs="Arial"/>
              </w:rPr>
              <w:t xml:space="preserve"> %</w:t>
            </w:r>
            <w:r w:rsidRPr="00044994">
              <w:rPr>
                <w:rFonts w:ascii="Arial" w:eastAsia="Times New Roman" w:hAnsi="Arial" w:cs="Arial"/>
                <w:lang w:val="en-GB"/>
              </w:rPr>
              <w:t>*</w:t>
            </w:r>
          </w:p>
        </w:tc>
        <w:tc>
          <w:tcPr>
            <w:tcW w:w="1007"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87.1</w:t>
            </w:r>
            <w:r w:rsidRPr="00044994">
              <w:rPr>
                <w:rFonts w:ascii="Arial" w:eastAsia="Times New Roman" w:hAnsi="Arial" w:cs="Arial"/>
              </w:rPr>
              <w:t xml:space="preserve"> %</w:t>
            </w:r>
          </w:p>
        </w:tc>
        <w:tc>
          <w:tcPr>
            <w:tcW w:w="1008"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83.7</w:t>
            </w:r>
            <w:r w:rsidRPr="00044994">
              <w:rPr>
                <w:rFonts w:ascii="Arial" w:eastAsia="Times New Roman" w:hAnsi="Arial" w:cs="Arial"/>
              </w:rPr>
              <w:t xml:space="preserve"> %</w:t>
            </w:r>
          </w:p>
        </w:tc>
        <w:tc>
          <w:tcPr>
            <w:tcW w:w="1008"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84.4</w:t>
            </w:r>
            <w:r w:rsidRPr="00044994">
              <w:rPr>
                <w:rFonts w:ascii="Arial" w:eastAsia="Times New Roman" w:hAnsi="Arial" w:cs="Arial"/>
              </w:rPr>
              <w:t xml:space="preserve"> %</w:t>
            </w:r>
          </w:p>
        </w:tc>
        <w:tc>
          <w:tcPr>
            <w:tcW w:w="1005" w:type="dxa"/>
            <w:shd w:val="clear" w:color="auto" w:fill="auto"/>
          </w:tcPr>
          <w:p w:rsidR="00E05BBC" w:rsidRPr="00044994" w:rsidRDefault="00E05BBC" w:rsidP="00306AB1">
            <w:pPr>
              <w:spacing w:after="0" w:line="240" w:lineRule="auto"/>
              <w:jc w:val="both"/>
              <w:rPr>
                <w:rFonts w:ascii="Arial" w:eastAsia="Times New Roman" w:hAnsi="Arial" w:cs="Arial"/>
              </w:rPr>
            </w:pPr>
            <w:r w:rsidRPr="00044994">
              <w:rPr>
                <w:rFonts w:ascii="Arial" w:eastAsia="Times New Roman" w:hAnsi="Arial" w:cs="Arial"/>
                <w:lang w:val="en-GB"/>
              </w:rPr>
              <w:t>79.5</w:t>
            </w:r>
            <w:r w:rsidRPr="00044994">
              <w:rPr>
                <w:rFonts w:ascii="Arial" w:eastAsia="Times New Roman" w:hAnsi="Arial" w:cs="Arial"/>
              </w:rPr>
              <w:t xml:space="preserve"> %</w:t>
            </w:r>
          </w:p>
        </w:tc>
      </w:tr>
    </w:tbl>
    <w:p w:rsidR="00E05BBC" w:rsidRPr="00044994" w:rsidRDefault="00E05BBC" w:rsidP="00E05BBC">
      <w:pPr>
        <w:tabs>
          <w:tab w:val="left" w:pos="567"/>
        </w:tabs>
        <w:spacing w:after="0" w:line="240" w:lineRule="auto"/>
        <w:ind w:left="360"/>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color w:val="000000"/>
          <w:szCs w:val="20"/>
        </w:rPr>
      </w:pPr>
      <w:r w:rsidRPr="00044994">
        <w:rPr>
          <w:rFonts w:ascii="Arial" w:eastAsia="Times New Roman" w:hAnsi="Arial" w:cs="Arial"/>
          <w:szCs w:val="20"/>
        </w:rPr>
        <w:t xml:space="preserve">* Τον μήνα 7, 97.3% και 88.8% των ατόμων ηλικίας 11 έως 15 ετών που εμβολιάσθηκαν με </w:t>
      </w:r>
      <w:r w:rsidRPr="00044994">
        <w:rPr>
          <w:rFonts w:ascii="Arial" w:eastAsia="Times New Roman" w:hAnsi="Arial" w:cs="Arial"/>
          <w:szCs w:val="20"/>
          <w:lang w:val="en-US"/>
        </w:rPr>
        <w:t>ENGERIX</w:t>
      </w:r>
      <w:r w:rsidRPr="00044994">
        <w:rPr>
          <w:rFonts w:ascii="Arial" w:eastAsia="Times New Roman" w:hAnsi="Arial" w:cs="Arial"/>
          <w:szCs w:val="20"/>
        </w:rPr>
        <w:t xml:space="preserve"> 20μ</w:t>
      </w:r>
      <w:r w:rsidRPr="00044994">
        <w:rPr>
          <w:rFonts w:ascii="Arial" w:eastAsia="Times New Roman" w:hAnsi="Arial" w:cs="Arial"/>
          <w:szCs w:val="20"/>
          <w:lang w:val="en-US"/>
        </w:rPr>
        <w:t>g</w:t>
      </w:r>
      <w:r w:rsidRPr="00044994">
        <w:rPr>
          <w:rFonts w:ascii="Arial" w:eastAsia="Times New Roman" w:hAnsi="Arial" w:cs="Arial"/>
          <w:szCs w:val="20"/>
        </w:rPr>
        <w:t xml:space="preserve">  (σχήμα 0, 6 μήνες), ή Ε</w:t>
      </w:r>
      <w:r w:rsidRPr="00044994">
        <w:rPr>
          <w:rFonts w:ascii="Arial" w:eastAsia="Times New Roman" w:hAnsi="Arial" w:cs="Arial"/>
          <w:szCs w:val="20"/>
          <w:lang w:val="en-US"/>
        </w:rPr>
        <w:t>NGERIX</w:t>
      </w:r>
      <w:r w:rsidRPr="00044994">
        <w:rPr>
          <w:rFonts w:ascii="Arial" w:eastAsia="Times New Roman" w:hAnsi="Arial" w:cs="Arial"/>
          <w:szCs w:val="20"/>
        </w:rPr>
        <w:t xml:space="preserve"> Παιδιατρικό 10μ</w:t>
      </w:r>
      <w:r w:rsidRPr="00044994">
        <w:rPr>
          <w:rFonts w:ascii="Arial" w:eastAsia="Times New Roman" w:hAnsi="Arial" w:cs="Arial"/>
          <w:szCs w:val="20"/>
          <w:lang w:val="en-US"/>
        </w:rPr>
        <w:t>g</w:t>
      </w:r>
      <w:r w:rsidRPr="00044994">
        <w:rPr>
          <w:rFonts w:ascii="Arial" w:eastAsia="Times New Roman" w:hAnsi="Arial" w:cs="Arial"/>
          <w:szCs w:val="20"/>
        </w:rPr>
        <w:t xml:space="preserve"> (σχήμα 0, 1, 6 μήνες) αντίστοιχα, ανέπτυξαν τίτλους </w:t>
      </w:r>
      <w:proofErr w:type="spellStart"/>
      <w:r w:rsidRPr="00044994">
        <w:rPr>
          <w:rFonts w:ascii="Arial" w:eastAsia="Times New Roman" w:hAnsi="Arial" w:cs="Arial"/>
          <w:szCs w:val="20"/>
        </w:rPr>
        <w:t>αντι</w:t>
      </w:r>
      <w:proofErr w:type="spellEnd"/>
      <w:r w:rsidRPr="00044994">
        <w:rPr>
          <w:rFonts w:ascii="Arial" w:eastAsia="Times New Roman" w:hAnsi="Arial" w:cs="Arial"/>
          <w:szCs w:val="20"/>
        </w:rPr>
        <w:t xml:space="preserve">-ΗΒ αντισωμάτων </w:t>
      </w:r>
      <w:r w:rsidRPr="00044994">
        <w:rPr>
          <w:rFonts w:ascii="Arial" w:eastAsia="Times New Roman" w:hAnsi="Arial" w:cs="Arial"/>
          <w:szCs w:val="20"/>
          <w:lang w:val="en-GB"/>
        </w:rPr>
        <w:sym w:font="Symbol" w:char="F0B3"/>
      </w:r>
      <w:r w:rsidRPr="00044994">
        <w:rPr>
          <w:rFonts w:ascii="Arial" w:eastAsia="Times New Roman" w:hAnsi="Arial" w:cs="Arial"/>
          <w:szCs w:val="20"/>
        </w:rPr>
        <w:t xml:space="preserve"> 100 </w:t>
      </w:r>
      <w:proofErr w:type="spellStart"/>
      <w:r w:rsidRPr="00044994">
        <w:rPr>
          <w:rFonts w:ascii="Arial" w:eastAsia="Times New Roman" w:hAnsi="Arial" w:cs="Arial"/>
          <w:szCs w:val="20"/>
          <w:lang w:val="en-US"/>
        </w:rPr>
        <w:t>mIU</w:t>
      </w:r>
      <w:proofErr w:type="spellEnd"/>
      <w:r w:rsidRPr="00044994">
        <w:rPr>
          <w:rFonts w:ascii="Arial" w:eastAsia="Times New Roman" w:hAnsi="Arial" w:cs="Arial"/>
          <w:szCs w:val="20"/>
        </w:rPr>
        <w:t>/</w:t>
      </w:r>
      <w:r w:rsidRPr="00044994">
        <w:rPr>
          <w:rFonts w:ascii="Arial" w:eastAsia="Times New Roman" w:hAnsi="Arial" w:cs="Arial"/>
          <w:szCs w:val="20"/>
          <w:lang w:val="en-US"/>
        </w:rPr>
        <w:t>ml</w:t>
      </w:r>
      <w:r w:rsidRPr="00044994">
        <w:rPr>
          <w:rFonts w:ascii="Arial" w:eastAsia="Times New Roman" w:hAnsi="Arial" w:cs="Arial"/>
          <w:szCs w:val="20"/>
        </w:rPr>
        <w:t xml:space="preserve">. Οι γεωμετρικοί μέσοι τίτλοι ήταν 2739 </w:t>
      </w:r>
      <w:proofErr w:type="spellStart"/>
      <w:r w:rsidRPr="00044994">
        <w:rPr>
          <w:rFonts w:ascii="Arial" w:eastAsia="Times New Roman" w:hAnsi="Arial" w:cs="Arial"/>
          <w:color w:val="000000"/>
          <w:szCs w:val="20"/>
          <w:lang w:val="en-US"/>
        </w:rPr>
        <w:t>mIU</w:t>
      </w:r>
      <w:proofErr w:type="spellEnd"/>
      <w:r w:rsidRPr="00044994">
        <w:rPr>
          <w:rFonts w:ascii="Arial" w:eastAsia="Times New Roman" w:hAnsi="Arial" w:cs="Arial"/>
          <w:color w:val="000000"/>
          <w:szCs w:val="20"/>
        </w:rPr>
        <w:t>/</w:t>
      </w:r>
      <w:r w:rsidRPr="00044994">
        <w:rPr>
          <w:rFonts w:ascii="Arial" w:eastAsia="Times New Roman" w:hAnsi="Arial" w:cs="Arial"/>
          <w:color w:val="000000"/>
          <w:szCs w:val="20"/>
          <w:lang w:val="en-US"/>
        </w:rPr>
        <w:t>ml</w:t>
      </w:r>
      <w:r w:rsidRPr="00044994">
        <w:rPr>
          <w:rFonts w:ascii="Arial" w:eastAsia="Times New Roman" w:hAnsi="Arial" w:cs="Arial"/>
          <w:color w:val="000000"/>
          <w:szCs w:val="20"/>
        </w:rPr>
        <w:t xml:space="preserve"> και </w:t>
      </w:r>
      <w:r w:rsidRPr="00044994">
        <w:rPr>
          <w:rFonts w:ascii="Arial" w:eastAsia="Times New Roman" w:hAnsi="Arial" w:cs="Arial"/>
          <w:szCs w:val="20"/>
        </w:rPr>
        <w:t>7238</w:t>
      </w:r>
      <w:r w:rsidRPr="00044994">
        <w:rPr>
          <w:rFonts w:ascii="Arial" w:eastAsia="Times New Roman" w:hAnsi="Arial" w:cs="Arial"/>
          <w:color w:val="000000"/>
          <w:szCs w:val="20"/>
        </w:rPr>
        <w:t xml:space="preserve"> </w:t>
      </w:r>
      <w:proofErr w:type="spellStart"/>
      <w:r w:rsidRPr="00044994">
        <w:rPr>
          <w:rFonts w:ascii="Arial" w:eastAsia="Times New Roman" w:hAnsi="Arial" w:cs="Arial"/>
          <w:color w:val="000000"/>
          <w:szCs w:val="20"/>
          <w:lang w:val="en-US"/>
        </w:rPr>
        <w:t>mIU</w:t>
      </w:r>
      <w:proofErr w:type="spellEnd"/>
      <w:r w:rsidRPr="00044994">
        <w:rPr>
          <w:rFonts w:ascii="Arial" w:eastAsia="Times New Roman" w:hAnsi="Arial" w:cs="Arial"/>
          <w:color w:val="000000"/>
          <w:szCs w:val="20"/>
        </w:rPr>
        <w:t>/</w:t>
      </w:r>
      <w:r w:rsidRPr="00044994">
        <w:rPr>
          <w:rFonts w:ascii="Arial" w:eastAsia="Times New Roman" w:hAnsi="Arial" w:cs="Arial"/>
          <w:color w:val="000000"/>
          <w:szCs w:val="20"/>
          <w:lang w:val="en-US"/>
        </w:rPr>
        <w:t>ml</w:t>
      </w:r>
      <w:r w:rsidRPr="00044994">
        <w:rPr>
          <w:rFonts w:ascii="Arial" w:eastAsia="Times New Roman" w:hAnsi="Arial" w:cs="Arial"/>
          <w:color w:val="000000"/>
          <w:szCs w:val="20"/>
        </w:rPr>
        <w:t xml:space="preserve"> αντίστοιχα.</w:t>
      </w:r>
    </w:p>
    <w:p w:rsidR="00E05BBC" w:rsidRPr="00044994" w:rsidRDefault="00E05BBC" w:rsidP="00E05BBC">
      <w:pPr>
        <w:tabs>
          <w:tab w:val="left" w:pos="567"/>
        </w:tabs>
        <w:spacing w:after="0" w:line="240" w:lineRule="auto"/>
        <w:jc w:val="both"/>
        <w:rPr>
          <w:rFonts w:ascii="Arial" w:eastAsia="Times New Roman" w:hAnsi="Arial" w:cs="Arial"/>
          <w:color w:val="000000"/>
          <w:szCs w:val="20"/>
        </w:rPr>
      </w:pPr>
    </w:p>
    <w:p w:rsidR="00E05BBC" w:rsidRPr="00044994" w:rsidRDefault="00E05BBC" w:rsidP="00E05BBC">
      <w:pPr>
        <w:tabs>
          <w:tab w:val="left" w:pos="567"/>
        </w:tabs>
        <w:spacing w:after="0" w:line="240" w:lineRule="auto"/>
        <w:jc w:val="both"/>
        <w:rPr>
          <w:rFonts w:ascii="Arial" w:eastAsia="Times New Roman" w:hAnsi="Arial" w:cs="Arial"/>
          <w:color w:val="000000"/>
        </w:rPr>
      </w:pPr>
      <w:r w:rsidRPr="00044994">
        <w:rPr>
          <w:rFonts w:ascii="Arial" w:eastAsia="Times New Roman" w:hAnsi="Arial" w:cs="Arial"/>
          <w:color w:val="000000"/>
        </w:rPr>
        <w:t xml:space="preserve">Όλα τα άτομα και στις δυο ομάδες εμβολιασμού (Ν = 74) έλαβαν μια δόση πρόκλησης 72 έως 78 μήνες μετά τον αρχικό εμβολιασμό. Ένα μήνα αργότερα, όλα τα άτομα πέτυχαν μία αναμνηστική ανταπόκριση με αύξηση των </w:t>
      </w:r>
      <w:r w:rsidRPr="00044994">
        <w:rPr>
          <w:rFonts w:ascii="Arial" w:eastAsia="Times New Roman" w:hAnsi="Arial" w:cs="Arial"/>
          <w:color w:val="000000"/>
          <w:lang w:val="en-GB"/>
        </w:rPr>
        <w:t>GMC</w:t>
      </w:r>
      <w:r w:rsidRPr="00044994">
        <w:rPr>
          <w:rFonts w:ascii="Arial" w:eastAsia="Times New Roman" w:hAnsi="Arial" w:cs="Arial"/>
          <w:color w:val="000000"/>
        </w:rPr>
        <w:t xml:space="preserve"> 108 και 95 φορές μετά την πρόκληση σε σχέση με τη χρονική στιγμή πριν την πρόκληση στο </w:t>
      </w:r>
      <w:r w:rsidRPr="00044994">
        <w:rPr>
          <w:rFonts w:ascii="Arial" w:eastAsia="Times New Roman" w:hAnsi="Arial" w:cs="Arial"/>
          <w:color w:val="000000"/>
        </w:rPr>
        <w:lastRenderedPageBreak/>
        <w:t xml:space="preserve">σχήμα αρχικού εμβολιασμού 2 και 3 δόσεων αντίστοιχα και αποδείχθηκε ότι είναι </w:t>
      </w:r>
      <w:proofErr w:type="spellStart"/>
      <w:r w:rsidRPr="00044994">
        <w:rPr>
          <w:rFonts w:ascii="Arial" w:eastAsia="Times New Roman" w:hAnsi="Arial" w:cs="Arial"/>
          <w:color w:val="000000"/>
        </w:rPr>
        <w:t>οροπροστατευμένα</w:t>
      </w:r>
      <w:proofErr w:type="spellEnd"/>
      <w:r w:rsidRPr="00044994">
        <w:rPr>
          <w:rFonts w:ascii="Arial" w:eastAsia="Times New Roman" w:hAnsi="Arial" w:cs="Arial"/>
          <w:color w:val="000000"/>
        </w:rPr>
        <w:t xml:space="preserve">. Τα στοιχεία αυτά δείχνουν ότι η </w:t>
      </w:r>
      <w:proofErr w:type="spellStart"/>
      <w:r w:rsidRPr="00044994">
        <w:rPr>
          <w:rFonts w:ascii="Arial" w:eastAsia="Times New Roman" w:hAnsi="Arial" w:cs="Arial"/>
          <w:color w:val="000000"/>
        </w:rPr>
        <w:t>ανοσιακή</w:t>
      </w:r>
      <w:proofErr w:type="spellEnd"/>
      <w:r w:rsidRPr="00044994">
        <w:rPr>
          <w:rFonts w:ascii="Arial" w:eastAsia="Times New Roman" w:hAnsi="Arial" w:cs="Arial"/>
          <w:color w:val="000000"/>
        </w:rPr>
        <w:t xml:space="preserve"> μνήμη προκλήθηκε σε όλα τα άτομα που ανταποκρίθηκαν στον αρχικό εμβολιασμό, ακόμη και μεταξύ εκείνων που είχαν χάσει την </w:t>
      </w:r>
      <w:proofErr w:type="spellStart"/>
      <w:r w:rsidRPr="00044994">
        <w:rPr>
          <w:rFonts w:ascii="Arial" w:eastAsia="Times New Roman" w:hAnsi="Arial" w:cs="Arial"/>
          <w:color w:val="000000"/>
        </w:rPr>
        <w:t>οροπροστασία</w:t>
      </w:r>
      <w:proofErr w:type="spellEnd"/>
      <w:r w:rsidRPr="00044994">
        <w:rPr>
          <w:rFonts w:ascii="Arial" w:eastAsia="Times New Roman" w:hAnsi="Arial" w:cs="Arial"/>
          <w:color w:val="000000"/>
        </w:rPr>
        <w:t xml:space="preserve"> τον μήνα 66.</w:t>
      </w:r>
    </w:p>
    <w:p w:rsidR="00E05BBC" w:rsidRPr="00044994" w:rsidRDefault="00E05BBC" w:rsidP="00E05BBC">
      <w:pPr>
        <w:tabs>
          <w:tab w:val="left" w:pos="567"/>
        </w:tabs>
        <w:spacing w:after="0" w:line="240" w:lineRule="auto"/>
        <w:jc w:val="both"/>
        <w:rPr>
          <w:rFonts w:ascii="Arial" w:eastAsia="Times New Roman" w:hAnsi="Arial" w:cs="Arial"/>
          <w:color w:val="000000"/>
          <w:szCs w:val="20"/>
          <w:u w:val="single"/>
        </w:rPr>
      </w:pPr>
    </w:p>
    <w:p w:rsidR="00E05BBC" w:rsidRPr="00044994" w:rsidRDefault="00E05BBC" w:rsidP="00E05BBC">
      <w:pPr>
        <w:numPr>
          <w:ilvl w:val="0"/>
          <w:numId w:val="3"/>
        </w:numPr>
        <w:tabs>
          <w:tab w:val="left" w:pos="0"/>
          <w:tab w:val="left" w:pos="567"/>
        </w:tabs>
        <w:spacing w:after="0" w:line="240" w:lineRule="auto"/>
        <w:ind w:left="600" w:hanging="240"/>
        <w:jc w:val="both"/>
        <w:rPr>
          <w:rFonts w:ascii="Arial" w:eastAsia="Times New Roman" w:hAnsi="Arial" w:cs="Arial"/>
          <w:szCs w:val="20"/>
        </w:rPr>
      </w:pPr>
      <w:r w:rsidRPr="00044994">
        <w:rPr>
          <w:rFonts w:ascii="Arial" w:eastAsia="Times New Roman" w:hAnsi="Arial" w:cs="Arial"/>
          <w:szCs w:val="20"/>
        </w:rPr>
        <w:t>Ασθενείς με νεφρική ανεπάρκεια, συμπεριλαμβανομένων ασθενών που υποβάλλονται σε αιμοκάθαρση:</w:t>
      </w:r>
    </w:p>
    <w:p w:rsidR="00E05BBC" w:rsidRPr="00044994" w:rsidRDefault="00E05BBC" w:rsidP="00E05BBC">
      <w:pPr>
        <w:tabs>
          <w:tab w:val="left" w:pos="0"/>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Τα ποσοστά </w:t>
      </w:r>
      <w:proofErr w:type="spellStart"/>
      <w:r w:rsidRPr="00044994">
        <w:rPr>
          <w:rFonts w:ascii="Arial" w:eastAsia="Times New Roman" w:hAnsi="Arial" w:cs="Arial"/>
          <w:szCs w:val="20"/>
        </w:rPr>
        <w:t>οροπροστασίας</w:t>
      </w:r>
      <w:proofErr w:type="spellEnd"/>
      <w:r w:rsidRPr="00044994">
        <w:rPr>
          <w:rFonts w:ascii="Arial" w:eastAsia="Times New Roman" w:hAnsi="Arial" w:cs="Arial"/>
          <w:szCs w:val="20"/>
        </w:rPr>
        <w:t xml:space="preserve"> σε άτομα ηλικίας 16 ετών και άνω με νεφρική ανεπάρκεια, συμπεριλαμβανομένων των ασθενών που υποβάλλονται σε αιμοκάθαρση αξιολογήθηκαν 3 και 7 μήνες μετά την πρώτη δόση του αρχικού εμβολιασμού και παρουσιάζονται στον παρακάτω πίνακα:</w:t>
      </w:r>
    </w:p>
    <w:p w:rsidR="00E05BBC" w:rsidRPr="00044994" w:rsidRDefault="00E05BBC" w:rsidP="00E05BBC">
      <w:pPr>
        <w:tabs>
          <w:tab w:val="left" w:pos="567"/>
        </w:tabs>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E05BBC" w:rsidRPr="00044994" w:rsidTr="00306AB1">
        <w:tc>
          <w:tcPr>
            <w:tcW w:w="3095" w:type="dxa"/>
            <w:tcBorders>
              <w:top w:val="single" w:sz="4" w:space="0" w:color="auto"/>
              <w:left w:val="single" w:sz="4" w:space="0" w:color="auto"/>
              <w:bottom w:val="single" w:sz="4" w:space="0" w:color="auto"/>
              <w:right w:val="single" w:sz="4" w:space="0" w:color="auto"/>
            </w:tcBorders>
          </w:tcPr>
          <w:p w:rsidR="00E05BBC" w:rsidRPr="00044994" w:rsidRDefault="00E05BBC" w:rsidP="00306AB1">
            <w:pPr>
              <w:tabs>
                <w:tab w:val="left" w:pos="567"/>
              </w:tabs>
              <w:spacing w:after="0" w:line="240" w:lineRule="auto"/>
              <w:rPr>
                <w:rFonts w:ascii="Arial" w:eastAsia="Times New Roman" w:hAnsi="Arial" w:cs="Arial"/>
                <w:b/>
                <w:lang w:val="en-GB"/>
              </w:rPr>
            </w:pPr>
            <w:r w:rsidRPr="00044994">
              <w:rPr>
                <w:rFonts w:ascii="Arial" w:eastAsia="Times New Roman" w:hAnsi="Arial" w:cs="Arial"/>
                <w:b/>
              </w:rPr>
              <w:t>Ηλικία (έτη)</w:t>
            </w:r>
          </w:p>
        </w:tc>
        <w:tc>
          <w:tcPr>
            <w:tcW w:w="3095" w:type="dxa"/>
            <w:tcBorders>
              <w:top w:val="single" w:sz="4" w:space="0" w:color="auto"/>
              <w:left w:val="single" w:sz="4" w:space="0" w:color="auto"/>
              <w:bottom w:val="single" w:sz="4" w:space="0" w:color="auto"/>
              <w:right w:val="single" w:sz="4" w:space="0" w:color="auto"/>
            </w:tcBorders>
          </w:tcPr>
          <w:p w:rsidR="00E05BBC" w:rsidRPr="00044994" w:rsidRDefault="00E05BBC" w:rsidP="00306AB1">
            <w:pPr>
              <w:tabs>
                <w:tab w:val="left" w:pos="567"/>
              </w:tabs>
              <w:spacing w:after="0" w:line="240" w:lineRule="auto"/>
              <w:rPr>
                <w:rFonts w:ascii="Arial" w:eastAsia="Times New Roman" w:hAnsi="Arial" w:cs="Arial"/>
                <w:b/>
              </w:rPr>
            </w:pPr>
            <w:r w:rsidRPr="00044994">
              <w:rPr>
                <w:rFonts w:ascii="Arial" w:eastAsia="Times New Roman" w:hAnsi="Arial" w:cs="Arial"/>
                <w:b/>
              </w:rPr>
              <w:t>Σχήμα</w:t>
            </w:r>
          </w:p>
        </w:tc>
        <w:tc>
          <w:tcPr>
            <w:tcW w:w="3095" w:type="dxa"/>
            <w:tcBorders>
              <w:top w:val="single" w:sz="4" w:space="0" w:color="auto"/>
              <w:left w:val="single" w:sz="4" w:space="0" w:color="auto"/>
              <w:bottom w:val="single" w:sz="4" w:space="0" w:color="auto"/>
              <w:right w:val="single" w:sz="4" w:space="0" w:color="auto"/>
            </w:tcBorders>
          </w:tcPr>
          <w:p w:rsidR="00E05BBC" w:rsidRPr="00044994" w:rsidRDefault="00E05BBC" w:rsidP="00306AB1">
            <w:pPr>
              <w:tabs>
                <w:tab w:val="left" w:pos="567"/>
              </w:tabs>
              <w:spacing w:after="0" w:line="240" w:lineRule="auto"/>
              <w:rPr>
                <w:rFonts w:ascii="Arial" w:eastAsia="Times New Roman" w:hAnsi="Arial" w:cs="Arial"/>
                <w:b/>
                <w:lang w:val="en-GB"/>
              </w:rPr>
            </w:pPr>
            <w:r w:rsidRPr="00044994">
              <w:rPr>
                <w:rFonts w:ascii="Arial" w:eastAsia="Times New Roman" w:hAnsi="Arial" w:cs="Arial"/>
                <w:b/>
              </w:rPr>
              <w:t xml:space="preserve">Ποσοστό </w:t>
            </w:r>
            <w:proofErr w:type="spellStart"/>
            <w:r w:rsidRPr="00044994">
              <w:rPr>
                <w:rFonts w:ascii="Arial" w:eastAsia="Times New Roman" w:hAnsi="Arial" w:cs="Arial"/>
                <w:b/>
              </w:rPr>
              <w:t>οροπροστασίας</w:t>
            </w:r>
            <w:proofErr w:type="spellEnd"/>
          </w:p>
        </w:tc>
      </w:tr>
      <w:tr w:rsidR="00E05BBC" w:rsidRPr="00044994" w:rsidTr="00306AB1">
        <w:tc>
          <w:tcPr>
            <w:tcW w:w="3095" w:type="dxa"/>
          </w:tcPr>
          <w:p w:rsidR="00E05BBC" w:rsidRPr="00044994" w:rsidRDefault="00E05BBC" w:rsidP="00306AB1">
            <w:pPr>
              <w:tabs>
                <w:tab w:val="left" w:pos="567"/>
              </w:tabs>
              <w:spacing w:after="0" w:line="240" w:lineRule="auto"/>
              <w:rPr>
                <w:rFonts w:ascii="Arial" w:eastAsia="Times New Roman" w:hAnsi="Arial" w:cs="Arial"/>
                <w:szCs w:val="20"/>
                <w:lang w:val="en-GB"/>
              </w:rPr>
            </w:pPr>
            <w:r w:rsidRPr="00044994">
              <w:rPr>
                <w:rFonts w:ascii="Arial" w:eastAsia="Times New Roman" w:hAnsi="Arial" w:cs="Arial"/>
                <w:szCs w:val="20"/>
                <w:lang w:val="en-GB"/>
              </w:rPr>
              <w:t xml:space="preserve">16 </w:t>
            </w:r>
            <w:r w:rsidRPr="00044994">
              <w:rPr>
                <w:rFonts w:ascii="Arial" w:eastAsia="Times New Roman" w:hAnsi="Arial" w:cs="Arial"/>
                <w:szCs w:val="20"/>
              </w:rPr>
              <w:t>και άνω</w:t>
            </w:r>
          </w:p>
        </w:tc>
        <w:tc>
          <w:tcPr>
            <w:tcW w:w="3095" w:type="dxa"/>
          </w:tcPr>
          <w:p w:rsidR="00E05BBC" w:rsidRPr="00044994" w:rsidRDefault="00E05BBC" w:rsidP="00306AB1">
            <w:pPr>
              <w:tabs>
                <w:tab w:val="left" w:pos="567"/>
              </w:tabs>
              <w:spacing w:after="0" w:line="240" w:lineRule="auto"/>
              <w:rPr>
                <w:rFonts w:ascii="Arial" w:eastAsia="Times New Roman" w:hAnsi="Arial" w:cs="Arial"/>
                <w:szCs w:val="20"/>
                <w:lang w:val="en-GB"/>
              </w:rPr>
            </w:pPr>
            <w:r w:rsidRPr="00044994">
              <w:rPr>
                <w:rFonts w:ascii="Arial" w:eastAsia="Times New Roman" w:hAnsi="Arial" w:cs="Arial"/>
                <w:szCs w:val="20"/>
                <w:lang w:val="en-GB"/>
              </w:rPr>
              <w:t xml:space="preserve">0, 1, 2, 6 </w:t>
            </w:r>
            <w:r w:rsidRPr="00044994">
              <w:rPr>
                <w:rFonts w:ascii="Arial" w:eastAsia="Times New Roman" w:hAnsi="Arial" w:cs="Arial"/>
                <w:szCs w:val="20"/>
              </w:rPr>
              <w:t>μήνες</w:t>
            </w:r>
            <w:r w:rsidRPr="00044994">
              <w:rPr>
                <w:rFonts w:ascii="Arial" w:eastAsia="Times New Roman" w:hAnsi="Arial" w:cs="Arial"/>
                <w:szCs w:val="20"/>
                <w:lang w:val="en-GB"/>
              </w:rPr>
              <w:br/>
              <w:t>(2 x 20 µg)</w:t>
            </w:r>
          </w:p>
        </w:tc>
        <w:tc>
          <w:tcPr>
            <w:tcW w:w="3095" w:type="dxa"/>
          </w:tcPr>
          <w:p w:rsidR="00E05BBC" w:rsidRPr="00044994" w:rsidRDefault="00E05BBC" w:rsidP="00306AB1">
            <w:pPr>
              <w:tabs>
                <w:tab w:val="left" w:pos="567"/>
              </w:tabs>
              <w:spacing w:after="0" w:line="240" w:lineRule="auto"/>
              <w:rPr>
                <w:rFonts w:ascii="Arial" w:eastAsia="Times New Roman" w:hAnsi="Arial" w:cs="Arial"/>
                <w:szCs w:val="20"/>
                <w:lang w:val="en-GB"/>
              </w:rPr>
            </w:pPr>
            <w:r w:rsidRPr="00044994">
              <w:rPr>
                <w:rFonts w:ascii="Arial" w:eastAsia="Times New Roman" w:hAnsi="Arial" w:cs="Arial"/>
                <w:szCs w:val="20"/>
              </w:rPr>
              <w:t>Τον μήνα 3</w:t>
            </w:r>
            <w:r w:rsidRPr="00044994">
              <w:rPr>
                <w:rFonts w:ascii="Arial" w:eastAsia="Times New Roman" w:hAnsi="Arial" w:cs="Arial"/>
                <w:szCs w:val="20"/>
                <w:lang w:val="en-GB"/>
              </w:rPr>
              <w:t>: 55.4 %</w:t>
            </w:r>
            <w:r w:rsidRPr="00044994">
              <w:rPr>
                <w:rFonts w:ascii="Arial" w:eastAsia="Times New Roman" w:hAnsi="Arial" w:cs="Arial"/>
                <w:szCs w:val="20"/>
                <w:lang w:val="en-GB"/>
              </w:rPr>
              <w:br/>
            </w:r>
            <w:r w:rsidRPr="00044994">
              <w:rPr>
                <w:rFonts w:ascii="Arial" w:eastAsia="Times New Roman" w:hAnsi="Arial" w:cs="Arial"/>
                <w:szCs w:val="20"/>
              </w:rPr>
              <w:t>τον μήνα</w:t>
            </w:r>
            <w:r w:rsidRPr="00044994">
              <w:rPr>
                <w:rFonts w:ascii="Arial" w:eastAsia="Times New Roman" w:hAnsi="Arial" w:cs="Arial"/>
                <w:szCs w:val="20"/>
                <w:lang w:val="en-GB"/>
              </w:rPr>
              <w:t xml:space="preserve"> 7: 87.1 %</w:t>
            </w:r>
          </w:p>
        </w:tc>
      </w:tr>
    </w:tbl>
    <w:p w:rsidR="00E05BBC" w:rsidRPr="00044994" w:rsidRDefault="00E05BBC" w:rsidP="00E05BBC">
      <w:pPr>
        <w:tabs>
          <w:tab w:val="left" w:pos="567"/>
        </w:tabs>
        <w:spacing w:after="0" w:line="240" w:lineRule="auto"/>
        <w:jc w:val="both"/>
        <w:rPr>
          <w:rFonts w:ascii="Arial" w:eastAsia="Times New Roman" w:hAnsi="Arial" w:cs="Arial"/>
          <w:lang w:val="en-GB"/>
        </w:rPr>
      </w:pPr>
    </w:p>
    <w:p w:rsidR="00E05BBC" w:rsidRPr="00044994" w:rsidRDefault="00E05BBC" w:rsidP="00E05BBC">
      <w:pPr>
        <w:numPr>
          <w:ilvl w:val="0"/>
          <w:numId w:val="5"/>
        </w:num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Ασθενείς με διαβήτη τύπου ΙΙ:</w:t>
      </w:r>
    </w:p>
    <w:p w:rsidR="00E05BBC" w:rsidRPr="00044994" w:rsidRDefault="00E05BBC" w:rsidP="00E05BBC">
      <w:pPr>
        <w:tabs>
          <w:tab w:val="left" w:pos="0"/>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Τα ποσοστά </w:t>
      </w:r>
      <w:proofErr w:type="spellStart"/>
      <w:r w:rsidRPr="00044994">
        <w:rPr>
          <w:rFonts w:ascii="Arial" w:eastAsia="Times New Roman" w:hAnsi="Arial" w:cs="Arial"/>
          <w:szCs w:val="20"/>
        </w:rPr>
        <w:t>οροπροστασίας</w:t>
      </w:r>
      <w:proofErr w:type="spellEnd"/>
      <w:r w:rsidRPr="00044994">
        <w:rPr>
          <w:rFonts w:ascii="Arial" w:eastAsia="Times New Roman" w:hAnsi="Arial" w:cs="Arial"/>
          <w:szCs w:val="20"/>
        </w:rPr>
        <w:t xml:space="preserve"> σε άτομα ηλικίας 20 ετών και άνω που πάσχουν από διαβήτη τύπου ΙΙ αξιολογήθηκαν ένα μήνα μετά την τελευταία δόση του αρχικού εμβολιασμού και παρουσιάζονται στον παρακάτω πίνακα:</w:t>
      </w:r>
    </w:p>
    <w:p w:rsidR="00E05BBC" w:rsidRPr="00044994" w:rsidRDefault="00E05BBC" w:rsidP="00E05BBC">
      <w:pPr>
        <w:tabs>
          <w:tab w:val="left" w:pos="567"/>
        </w:tabs>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095"/>
      </w:tblGrid>
      <w:tr w:rsidR="00E05BBC" w:rsidRPr="00044994" w:rsidTr="00306AB1">
        <w:trPr>
          <w:trHeight w:val="463"/>
        </w:trPr>
        <w:tc>
          <w:tcPr>
            <w:tcW w:w="3095" w:type="dxa"/>
            <w:shd w:val="pct15" w:color="auto" w:fill="FFFFFF"/>
          </w:tcPr>
          <w:p w:rsidR="00E05BBC" w:rsidRPr="00044994" w:rsidRDefault="00E05BBC" w:rsidP="00306AB1">
            <w:pPr>
              <w:tabs>
                <w:tab w:val="left" w:pos="567"/>
              </w:tabs>
              <w:spacing w:after="0" w:line="240" w:lineRule="auto"/>
              <w:rPr>
                <w:rFonts w:ascii="Arial" w:eastAsia="Times New Roman" w:hAnsi="Arial" w:cs="Arial"/>
                <w:b/>
                <w:lang w:val="en-GB"/>
              </w:rPr>
            </w:pPr>
            <w:r w:rsidRPr="00044994">
              <w:rPr>
                <w:rFonts w:ascii="Arial" w:eastAsia="Times New Roman" w:hAnsi="Arial" w:cs="Arial"/>
                <w:b/>
              </w:rPr>
              <w:t>Ηλικία (έτη</w:t>
            </w:r>
            <w:r w:rsidRPr="00044994">
              <w:rPr>
                <w:rFonts w:ascii="Arial" w:eastAsia="Times New Roman" w:hAnsi="Arial" w:cs="Arial"/>
                <w:b/>
                <w:lang w:val="en-GB"/>
              </w:rPr>
              <w:t>)</w:t>
            </w:r>
          </w:p>
        </w:tc>
        <w:tc>
          <w:tcPr>
            <w:tcW w:w="3095" w:type="dxa"/>
            <w:shd w:val="pct15" w:color="auto" w:fill="FFFFFF"/>
          </w:tcPr>
          <w:p w:rsidR="00E05BBC" w:rsidRPr="00044994" w:rsidRDefault="00E05BBC" w:rsidP="00306AB1">
            <w:pPr>
              <w:tabs>
                <w:tab w:val="left" w:pos="567"/>
              </w:tabs>
              <w:spacing w:after="0" w:line="240" w:lineRule="auto"/>
              <w:rPr>
                <w:rFonts w:ascii="Arial" w:eastAsia="Times New Roman" w:hAnsi="Arial" w:cs="Arial"/>
                <w:b/>
              </w:rPr>
            </w:pPr>
            <w:r w:rsidRPr="00044994">
              <w:rPr>
                <w:rFonts w:ascii="Arial" w:eastAsia="Times New Roman" w:hAnsi="Arial" w:cs="Arial"/>
                <w:b/>
              </w:rPr>
              <w:t>Σχήμα</w:t>
            </w:r>
          </w:p>
        </w:tc>
        <w:tc>
          <w:tcPr>
            <w:tcW w:w="3095" w:type="dxa"/>
            <w:shd w:val="pct15" w:color="auto" w:fill="FFFFFF"/>
          </w:tcPr>
          <w:p w:rsidR="00E05BBC" w:rsidRPr="00044994" w:rsidRDefault="00E05BBC" w:rsidP="00306AB1">
            <w:pPr>
              <w:tabs>
                <w:tab w:val="left" w:pos="567"/>
              </w:tabs>
              <w:spacing w:after="0" w:line="240" w:lineRule="auto"/>
              <w:rPr>
                <w:rFonts w:ascii="Arial" w:eastAsia="Times New Roman" w:hAnsi="Arial" w:cs="Arial"/>
                <w:b/>
                <w:lang w:val="en-GB"/>
              </w:rPr>
            </w:pPr>
            <w:r w:rsidRPr="00044994">
              <w:rPr>
                <w:rFonts w:ascii="Arial" w:eastAsia="Times New Roman" w:hAnsi="Arial" w:cs="Arial"/>
                <w:b/>
              </w:rPr>
              <w:t xml:space="preserve">Ποσοστό </w:t>
            </w:r>
            <w:proofErr w:type="spellStart"/>
            <w:r w:rsidRPr="00044994">
              <w:rPr>
                <w:rFonts w:ascii="Arial" w:eastAsia="Times New Roman" w:hAnsi="Arial" w:cs="Arial"/>
                <w:b/>
              </w:rPr>
              <w:t>οροπροστασίας</w:t>
            </w:r>
            <w:proofErr w:type="spellEnd"/>
            <w:r w:rsidRPr="00044994">
              <w:rPr>
                <w:rFonts w:ascii="Arial" w:eastAsia="Times New Roman" w:hAnsi="Arial" w:cs="Arial"/>
                <w:b/>
                <w:lang w:val="en-GB"/>
              </w:rPr>
              <w:t xml:space="preserve"> </w:t>
            </w:r>
            <w:r w:rsidRPr="00044994">
              <w:rPr>
                <w:rFonts w:ascii="Arial" w:eastAsia="Times New Roman" w:hAnsi="Arial" w:cs="Arial"/>
                <w:b/>
              </w:rPr>
              <w:t xml:space="preserve">τον Μήνα </w:t>
            </w:r>
            <w:r w:rsidRPr="00044994">
              <w:rPr>
                <w:rFonts w:ascii="Arial" w:eastAsia="Times New Roman" w:hAnsi="Arial" w:cs="Arial"/>
                <w:b/>
                <w:lang w:val="en-GB"/>
              </w:rPr>
              <w:t xml:space="preserve"> 7</w:t>
            </w:r>
          </w:p>
        </w:tc>
      </w:tr>
      <w:tr w:rsidR="00E05BBC" w:rsidRPr="00044994" w:rsidTr="00306AB1">
        <w:trPr>
          <w:trHeight w:val="180"/>
        </w:trPr>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20-39</w:t>
            </w:r>
          </w:p>
        </w:tc>
        <w:tc>
          <w:tcPr>
            <w:tcW w:w="3095" w:type="dxa"/>
            <w:vMerge w:val="restart"/>
            <w:vAlign w:val="center"/>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 xml:space="preserve">0, 1, 6 </w:t>
            </w:r>
            <w:r w:rsidRPr="00044994">
              <w:rPr>
                <w:rFonts w:ascii="Arial" w:eastAsia="Times New Roman" w:hAnsi="Arial" w:cs="Arial"/>
              </w:rPr>
              <w:t>μήνες</w:t>
            </w:r>
            <w:r w:rsidRPr="00044994">
              <w:rPr>
                <w:rFonts w:ascii="Arial" w:eastAsia="Times New Roman" w:hAnsi="Arial" w:cs="Arial"/>
                <w:lang w:val="en-GB"/>
              </w:rPr>
              <w:br/>
              <w:t>(20 µg)</w:t>
            </w:r>
          </w:p>
        </w:tc>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88.5 %</w:t>
            </w:r>
          </w:p>
        </w:tc>
      </w:tr>
      <w:tr w:rsidR="00E05BBC" w:rsidRPr="00044994" w:rsidTr="00306AB1">
        <w:trPr>
          <w:trHeight w:val="216"/>
        </w:trPr>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40-49</w:t>
            </w:r>
          </w:p>
        </w:tc>
        <w:tc>
          <w:tcPr>
            <w:tcW w:w="3095" w:type="dxa"/>
            <w:vMerge/>
          </w:tcPr>
          <w:p w:rsidR="00E05BBC" w:rsidRPr="00044994" w:rsidRDefault="00E05BBC" w:rsidP="00306AB1">
            <w:pPr>
              <w:tabs>
                <w:tab w:val="left" w:pos="567"/>
              </w:tabs>
              <w:spacing w:after="0" w:line="240" w:lineRule="auto"/>
              <w:rPr>
                <w:rFonts w:ascii="Arial" w:eastAsia="Times New Roman" w:hAnsi="Arial" w:cs="Arial"/>
                <w:lang w:val="en-GB"/>
              </w:rPr>
            </w:pPr>
          </w:p>
        </w:tc>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81.2 %</w:t>
            </w:r>
          </w:p>
        </w:tc>
      </w:tr>
      <w:tr w:rsidR="00E05BBC" w:rsidRPr="00044994" w:rsidTr="00306AB1">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50-59</w:t>
            </w:r>
          </w:p>
        </w:tc>
        <w:tc>
          <w:tcPr>
            <w:tcW w:w="3095" w:type="dxa"/>
            <w:vMerge/>
          </w:tcPr>
          <w:p w:rsidR="00E05BBC" w:rsidRPr="00044994" w:rsidRDefault="00E05BBC" w:rsidP="00306AB1">
            <w:pPr>
              <w:tabs>
                <w:tab w:val="left" w:pos="567"/>
              </w:tabs>
              <w:spacing w:after="0" w:line="240" w:lineRule="auto"/>
              <w:rPr>
                <w:rFonts w:ascii="Arial" w:eastAsia="Times New Roman" w:hAnsi="Arial" w:cs="Arial"/>
                <w:lang w:val="en-GB"/>
              </w:rPr>
            </w:pPr>
          </w:p>
        </w:tc>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83.2 %</w:t>
            </w:r>
          </w:p>
        </w:tc>
      </w:tr>
      <w:tr w:rsidR="00E05BBC" w:rsidRPr="00044994" w:rsidTr="00306AB1">
        <w:trPr>
          <w:trHeight w:val="70"/>
        </w:trPr>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sym w:font="Symbol" w:char="F0B3"/>
            </w:r>
            <w:r w:rsidRPr="00044994">
              <w:rPr>
                <w:rFonts w:ascii="Arial" w:eastAsia="Times New Roman" w:hAnsi="Arial" w:cs="Arial"/>
                <w:lang w:val="en-GB"/>
              </w:rPr>
              <w:t xml:space="preserve"> 60</w:t>
            </w:r>
          </w:p>
        </w:tc>
        <w:tc>
          <w:tcPr>
            <w:tcW w:w="3095" w:type="dxa"/>
            <w:vMerge/>
          </w:tcPr>
          <w:p w:rsidR="00E05BBC" w:rsidRPr="00044994" w:rsidRDefault="00E05BBC" w:rsidP="00306AB1">
            <w:pPr>
              <w:tabs>
                <w:tab w:val="left" w:pos="567"/>
              </w:tabs>
              <w:spacing w:after="0" w:line="240" w:lineRule="auto"/>
              <w:rPr>
                <w:rFonts w:ascii="Arial" w:eastAsia="Times New Roman" w:hAnsi="Arial" w:cs="Arial"/>
                <w:lang w:val="en-GB"/>
              </w:rPr>
            </w:pPr>
          </w:p>
        </w:tc>
        <w:tc>
          <w:tcPr>
            <w:tcW w:w="3095" w:type="dxa"/>
          </w:tcPr>
          <w:p w:rsidR="00E05BBC" w:rsidRPr="00044994" w:rsidRDefault="00E05BBC" w:rsidP="00306AB1">
            <w:pPr>
              <w:tabs>
                <w:tab w:val="left" w:pos="567"/>
              </w:tabs>
              <w:spacing w:after="0" w:line="240" w:lineRule="auto"/>
              <w:rPr>
                <w:rFonts w:ascii="Arial" w:eastAsia="Times New Roman" w:hAnsi="Arial" w:cs="Arial"/>
                <w:lang w:val="en-GB"/>
              </w:rPr>
            </w:pPr>
            <w:r w:rsidRPr="00044994">
              <w:rPr>
                <w:rFonts w:ascii="Arial" w:eastAsia="Times New Roman" w:hAnsi="Arial" w:cs="Arial"/>
                <w:lang w:val="en-GB"/>
              </w:rPr>
              <w:t>58.2 %</w:t>
            </w:r>
          </w:p>
        </w:tc>
      </w:tr>
    </w:tbl>
    <w:p w:rsidR="00E05BBC" w:rsidRPr="00044994" w:rsidRDefault="00E05BBC" w:rsidP="00E05BBC">
      <w:pPr>
        <w:tabs>
          <w:tab w:val="left" w:pos="567"/>
        </w:tabs>
        <w:spacing w:after="0" w:line="240" w:lineRule="auto"/>
        <w:jc w:val="both"/>
        <w:rPr>
          <w:rFonts w:ascii="Arial" w:eastAsia="Times New Roman" w:hAnsi="Arial" w:cs="Arial"/>
          <w:szCs w:val="20"/>
          <w:u w:val="single"/>
        </w:rPr>
      </w:pPr>
    </w:p>
    <w:p w:rsidR="00E05BBC" w:rsidRPr="00044994" w:rsidRDefault="00E05BBC" w:rsidP="00E05BBC">
      <w:pPr>
        <w:numPr>
          <w:ilvl w:val="0"/>
          <w:numId w:val="3"/>
        </w:num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Μείωση της επίπτωσης </w:t>
      </w:r>
      <w:proofErr w:type="spellStart"/>
      <w:r w:rsidRPr="00044994">
        <w:rPr>
          <w:rFonts w:ascii="Arial" w:eastAsia="Times New Roman" w:hAnsi="Arial" w:cs="Arial"/>
          <w:szCs w:val="20"/>
        </w:rPr>
        <w:t>ηπατοκυτταρικού</w:t>
      </w:r>
      <w:proofErr w:type="spellEnd"/>
      <w:r w:rsidRPr="00044994">
        <w:rPr>
          <w:rFonts w:ascii="Arial" w:eastAsia="Times New Roman" w:hAnsi="Arial" w:cs="Arial"/>
          <w:szCs w:val="20"/>
        </w:rPr>
        <w:t xml:space="preserve"> καρκινώματος στα παιδιά :</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Μία σαφής σχέση έχει αποδειχθεί ότι υπάρχει μεταξύ της λοιμώδους ηπατίτιδας Β και της εμφάνισης </w:t>
      </w:r>
      <w:proofErr w:type="spellStart"/>
      <w:r w:rsidRPr="00044994">
        <w:rPr>
          <w:rFonts w:ascii="Arial" w:eastAsia="Times New Roman" w:hAnsi="Arial" w:cs="Arial"/>
          <w:szCs w:val="20"/>
        </w:rPr>
        <w:t>ηπατοκυτταρικού</w:t>
      </w:r>
      <w:proofErr w:type="spellEnd"/>
      <w:r w:rsidRPr="00044994">
        <w:rPr>
          <w:rFonts w:ascii="Arial" w:eastAsia="Times New Roman" w:hAnsi="Arial" w:cs="Arial"/>
          <w:szCs w:val="20"/>
        </w:rPr>
        <w:t xml:space="preserve"> καρκινώματος (</w:t>
      </w:r>
      <w:r w:rsidRPr="00044994">
        <w:rPr>
          <w:rFonts w:ascii="Arial" w:eastAsia="Times New Roman" w:hAnsi="Arial" w:cs="Arial"/>
          <w:szCs w:val="20"/>
          <w:lang w:val="en-GB"/>
        </w:rPr>
        <w:t>HCC</w:t>
      </w:r>
      <w:r w:rsidRPr="00044994">
        <w:rPr>
          <w:rFonts w:ascii="Arial" w:eastAsia="Times New Roman" w:hAnsi="Arial" w:cs="Arial"/>
          <w:szCs w:val="20"/>
        </w:rPr>
        <w:t xml:space="preserve">). Η πρόληψη από την ηπατίτιδα Β έχει ως αποτέλεσμα την μείωση της επίπτωσης </w:t>
      </w:r>
      <w:proofErr w:type="spellStart"/>
      <w:r w:rsidRPr="00044994">
        <w:rPr>
          <w:rFonts w:ascii="Arial" w:eastAsia="Times New Roman" w:hAnsi="Arial" w:cs="Arial"/>
          <w:szCs w:val="20"/>
        </w:rPr>
        <w:t>ηπατοκυτταρικού</w:t>
      </w:r>
      <w:proofErr w:type="spellEnd"/>
      <w:r w:rsidRPr="00044994">
        <w:rPr>
          <w:rFonts w:ascii="Arial" w:eastAsia="Times New Roman" w:hAnsi="Arial" w:cs="Arial"/>
          <w:szCs w:val="20"/>
        </w:rPr>
        <w:t xml:space="preserve"> καρκινώματος, όπως παρατηρήθηκε στην Ταϊβάν σε παιδιά ηλικίας 6-14 ετών.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5.2</w:t>
      </w:r>
      <w:r w:rsidRPr="00044994">
        <w:rPr>
          <w:rFonts w:ascii="Arial" w:eastAsia="Times New Roman" w:hAnsi="Arial" w:cs="Arial"/>
          <w:b/>
          <w:szCs w:val="20"/>
        </w:rPr>
        <w:tab/>
      </w:r>
      <w:proofErr w:type="spellStart"/>
      <w:r w:rsidRPr="00044994">
        <w:rPr>
          <w:rFonts w:ascii="Arial" w:eastAsia="Times New Roman" w:hAnsi="Arial" w:cs="Arial"/>
          <w:b/>
          <w:szCs w:val="20"/>
        </w:rPr>
        <w:t>Φαρμακοκινητικές</w:t>
      </w:r>
      <w:proofErr w:type="spellEnd"/>
      <w:r w:rsidRPr="00044994">
        <w:rPr>
          <w:rFonts w:ascii="Arial" w:eastAsia="Times New Roman" w:hAnsi="Arial" w:cs="Arial"/>
          <w:b/>
          <w:szCs w:val="20"/>
        </w:rPr>
        <w:t xml:space="preserve"> ιδιότητες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Δεν εφαρμόζεται.</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5.3</w:t>
      </w:r>
      <w:r w:rsidRPr="00044994">
        <w:rPr>
          <w:rFonts w:ascii="Arial" w:eastAsia="Times New Roman" w:hAnsi="Arial" w:cs="Arial"/>
          <w:b/>
          <w:szCs w:val="20"/>
        </w:rPr>
        <w:tab/>
      </w:r>
      <w:proofErr w:type="spellStart"/>
      <w:r w:rsidRPr="00044994">
        <w:rPr>
          <w:rFonts w:ascii="Arial" w:eastAsia="Times New Roman" w:hAnsi="Arial" w:cs="Arial"/>
          <w:b/>
          <w:szCs w:val="20"/>
        </w:rPr>
        <w:t>Προκλινικά</w:t>
      </w:r>
      <w:proofErr w:type="spellEnd"/>
      <w:r w:rsidRPr="00044994">
        <w:rPr>
          <w:rFonts w:ascii="Arial" w:eastAsia="Times New Roman" w:hAnsi="Arial" w:cs="Arial"/>
          <w:b/>
          <w:szCs w:val="20"/>
        </w:rPr>
        <w:t xml:space="preserve"> δεδομένα για την ασφάλεια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Τα </w:t>
      </w:r>
      <w:proofErr w:type="spellStart"/>
      <w:r w:rsidRPr="00044994">
        <w:rPr>
          <w:rFonts w:ascii="Arial" w:eastAsia="Times New Roman" w:hAnsi="Arial" w:cs="Arial"/>
          <w:szCs w:val="20"/>
        </w:rPr>
        <w:t>προκλινικά</w:t>
      </w:r>
      <w:proofErr w:type="spellEnd"/>
      <w:r w:rsidRPr="00044994">
        <w:rPr>
          <w:rFonts w:ascii="Arial" w:eastAsia="Times New Roman" w:hAnsi="Arial" w:cs="Arial"/>
          <w:szCs w:val="20"/>
        </w:rPr>
        <w:t xml:space="preserve"> δεδομένα για την ασφάλεια είναι σε συμφωνία με τις απαιτήσεις του Π.Ο.Υ.</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ind w:left="709" w:hanging="709"/>
        <w:jc w:val="both"/>
        <w:rPr>
          <w:rFonts w:ascii="Arial" w:eastAsia="Times New Roman" w:hAnsi="Arial" w:cs="Arial"/>
          <w:b/>
          <w:szCs w:val="20"/>
        </w:rPr>
      </w:pPr>
      <w:r w:rsidRPr="00044994">
        <w:rPr>
          <w:rFonts w:ascii="Arial" w:eastAsia="Times New Roman" w:hAnsi="Arial" w:cs="Arial"/>
          <w:b/>
          <w:szCs w:val="20"/>
        </w:rPr>
        <w:t>6.</w:t>
      </w:r>
      <w:r w:rsidRPr="00044994">
        <w:rPr>
          <w:rFonts w:ascii="Arial" w:eastAsia="Times New Roman" w:hAnsi="Arial" w:cs="Arial"/>
          <w:b/>
          <w:szCs w:val="20"/>
        </w:rPr>
        <w:tab/>
        <w:t>ΦΑΡΜΑΚΕΥΤΙΚΕΣ ΠΛΗΡΟΦΟΡΙΕΣ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6.1</w:t>
      </w:r>
      <w:r w:rsidRPr="00044994">
        <w:rPr>
          <w:rFonts w:ascii="Arial" w:eastAsia="Times New Roman" w:hAnsi="Arial" w:cs="Arial"/>
          <w:b/>
          <w:szCs w:val="20"/>
        </w:rPr>
        <w:tab/>
        <w:t>Κατάλογος εκδόχων</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Χλωριούχο νάτριο</w:t>
      </w:r>
    </w:p>
    <w:p w:rsidR="00E05BBC" w:rsidRPr="00044994" w:rsidRDefault="00E05BBC" w:rsidP="00E05BBC">
      <w:pPr>
        <w:tabs>
          <w:tab w:val="left" w:pos="567"/>
        </w:tabs>
        <w:spacing w:after="0" w:line="240" w:lineRule="auto"/>
        <w:jc w:val="both"/>
        <w:rPr>
          <w:rFonts w:ascii="Arial" w:eastAsia="Times New Roman" w:hAnsi="Arial" w:cs="Arial"/>
          <w:szCs w:val="20"/>
        </w:rPr>
      </w:pPr>
      <w:proofErr w:type="spellStart"/>
      <w:r w:rsidRPr="00044994">
        <w:rPr>
          <w:rFonts w:ascii="Arial" w:eastAsia="Times New Roman" w:hAnsi="Arial" w:cs="Arial"/>
          <w:szCs w:val="20"/>
        </w:rPr>
        <w:t>Διυδρικό</w:t>
      </w:r>
      <w:proofErr w:type="spellEnd"/>
      <w:r w:rsidRPr="00044994">
        <w:rPr>
          <w:rFonts w:ascii="Arial" w:eastAsia="Times New Roman" w:hAnsi="Arial" w:cs="Arial"/>
          <w:szCs w:val="20"/>
        </w:rPr>
        <w:t xml:space="preserve"> φωσφορικό </w:t>
      </w:r>
      <w:proofErr w:type="spellStart"/>
      <w:r w:rsidRPr="00044994">
        <w:rPr>
          <w:rFonts w:ascii="Arial" w:eastAsia="Times New Roman" w:hAnsi="Arial" w:cs="Arial"/>
          <w:szCs w:val="20"/>
        </w:rPr>
        <w:t>δινάτριο</w:t>
      </w:r>
      <w:proofErr w:type="spellEnd"/>
    </w:p>
    <w:p w:rsidR="00E05BBC" w:rsidRPr="00044994" w:rsidRDefault="00E05BBC" w:rsidP="00E05BBC">
      <w:pPr>
        <w:tabs>
          <w:tab w:val="left" w:pos="567"/>
        </w:tabs>
        <w:spacing w:after="0" w:line="240" w:lineRule="auto"/>
        <w:jc w:val="both"/>
        <w:rPr>
          <w:rFonts w:ascii="Arial" w:eastAsia="Times New Roman" w:hAnsi="Arial" w:cs="Arial"/>
          <w:szCs w:val="20"/>
        </w:rPr>
      </w:pPr>
      <w:proofErr w:type="spellStart"/>
      <w:r w:rsidRPr="00044994">
        <w:rPr>
          <w:rFonts w:ascii="Arial" w:eastAsia="Times New Roman" w:hAnsi="Arial" w:cs="Arial"/>
          <w:szCs w:val="20"/>
        </w:rPr>
        <w:t>Δισόξινο</w:t>
      </w:r>
      <w:proofErr w:type="spellEnd"/>
      <w:r w:rsidRPr="00044994">
        <w:rPr>
          <w:rFonts w:ascii="Arial" w:eastAsia="Times New Roman" w:hAnsi="Arial" w:cs="Arial"/>
          <w:szCs w:val="20"/>
        </w:rPr>
        <w:t xml:space="preserve"> φωσφορικό νάτριο</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Ύδωρ για ενέσιμα.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Για το υλικό προσρόφησης βλέπε παράγραφο 2.</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6.2</w:t>
      </w:r>
      <w:r w:rsidRPr="00044994">
        <w:rPr>
          <w:rFonts w:ascii="Arial" w:eastAsia="Times New Roman" w:hAnsi="Arial" w:cs="Arial"/>
          <w:b/>
          <w:szCs w:val="20"/>
        </w:rPr>
        <w:tab/>
        <w:t>Ασυμβατότητες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rPr>
        <w:t>Λόγω απουσίας μελετών συμβατότητας, το προϊόν αυτό</w:t>
      </w:r>
      <w:r w:rsidRPr="00044994" w:rsidDel="0095130F">
        <w:rPr>
          <w:rFonts w:ascii="Arial" w:eastAsia="Times New Roman" w:hAnsi="Arial" w:cs="Arial"/>
          <w:szCs w:val="20"/>
        </w:rPr>
        <w:t xml:space="preserve"> </w:t>
      </w:r>
      <w:r w:rsidRPr="00044994">
        <w:rPr>
          <w:rFonts w:ascii="Arial" w:eastAsia="Times New Roman" w:hAnsi="Arial" w:cs="Arial"/>
          <w:szCs w:val="20"/>
        </w:rPr>
        <w:t>δεν πρέπει να αναμιγνύεται με άλλα φαρμακευτικά προϊόντα.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6.3</w:t>
      </w:r>
      <w:r w:rsidRPr="00044994">
        <w:rPr>
          <w:rFonts w:ascii="Arial" w:eastAsia="Times New Roman" w:hAnsi="Arial" w:cs="Arial"/>
          <w:b/>
          <w:szCs w:val="20"/>
        </w:rPr>
        <w:tab/>
        <w:t>Διάρκεια ζωής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3 έτη.</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6.4</w:t>
      </w:r>
      <w:r w:rsidRPr="00044994">
        <w:rPr>
          <w:rFonts w:ascii="Arial" w:eastAsia="Times New Roman" w:hAnsi="Arial" w:cs="Arial"/>
          <w:b/>
          <w:szCs w:val="20"/>
        </w:rPr>
        <w:tab/>
        <w:t>Ιδιαίτερες προφυλάξεις κατά τη φύλαξη του προϊόντος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Φυλάσσεται στο ψυγείο (2</w:t>
      </w:r>
      <w:r w:rsidRPr="00044994">
        <w:rPr>
          <w:rFonts w:ascii="Arial" w:eastAsia="Times New Roman" w:hAnsi="Arial" w:cs="Arial"/>
          <w:szCs w:val="20"/>
          <w:lang w:val="en-GB"/>
        </w:rPr>
        <w:sym w:font="Symbol" w:char="F0B0"/>
      </w:r>
      <w:r w:rsidRPr="00044994">
        <w:rPr>
          <w:rFonts w:ascii="Arial" w:eastAsia="Times New Roman" w:hAnsi="Arial" w:cs="Arial"/>
          <w:szCs w:val="20"/>
          <w:lang w:val="en-GB"/>
        </w:rPr>
        <w:t>C</w:t>
      </w:r>
      <w:r w:rsidRPr="00044994">
        <w:rPr>
          <w:rFonts w:ascii="Arial" w:eastAsia="Times New Roman" w:hAnsi="Arial" w:cs="Arial"/>
          <w:szCs w:val="20"/>
        </w:rPr>
        <w:t xml:space="preserve"> - 8</w:t>
      </w:r>
      <w:r w:rsidRPr="00044994">
        <w:rPr>
          <w:rFonts w:ascii="Arial" w:eastAsia="Times New Roman" w:hAnsi="Arial" w:cs="Arial"/>
          <w:szCs w:val="20"/>
          <w:lang w:val="en-GB"/>
        </w:rPr>
        <w:sym w:font="Symbol" w:char="F0B0"/>
      </w:r>
      <w:r w:rsidRPr="00044994">
        <w:rPr>
          <w:rFonts w:ascii="Arial" w:eastAsia="Times New Roman" w:hAnsi="Arial" w:cs="Arial"/>
          <w:szCs w:val="20"/>
          <w:lang w:val="en-GB"/>
        </w:rPr>
        <w:t>C</w:t>
      </w:r>
      <w:r w:rsidRPr="00044994">
        <w:rPr>
          <w:rFonts w:ascii="Arial" w:eastAsia="Times New Roman" w:hAnsi="Arial" w:cs="Arial"/>
          <w:szCs w:val="20"/>
        </w:rPr>
        <w:t xml:space="preserve">). </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Να μην καταψύχεται. </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rPr>
        <w:t>Απορρίψτε</w:t>
      </w:r>
      <w:r w:rsidRPr="00044994">
        <w:rPr>
          <w:rFonts w:ascii="Arial" w:eastAsia="Times New Roman" w:hAnsi="Arial" w:cs="Arial"/>
          <w:szCs w:val="20"/>
        </w:rPr>
        <w:t xml:space="preserve"> το εμβόλιο εάν έχει καταψυχθεί.</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6.5</w:t>
      </w:r>
      <w:r w:rsidRPr="00044994">
        <w:rPr>
          <w:rFonts w:ascii="Arial" w:eastAsia="Times New Roman" w:hAnsi="Arial" w:cs="Arial"/>
          <w:b/>
          <w:szCs w:val="20"/>
        </w:rPr>
        <w:tab/>
        <w:t xml:space="preserve">Φύση και συστατικά του </w:t>
      </w:r>
      <w:proofErr w:type="spellStart"/>
      <w:r w:rsidRPr="00044994">
        <w:rPr>
          <w:rFonts w:ascii="Arial" w:eastAsia="Times New Roman" w:hAnsi="Arial" w:cs="Arial"/>
          <w:b/>
          <w:szCs w:val="20"/>
        </w:rPr>
        <w:t>περιέκτη</w:t>
      </w:r>
      <w:proofErr w:type="spellEnd"/>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Εναιώρημα 1 </w:t>
      </w:r>
      <w:r w:rsidRPr="00044994">
        <w:rPr>
          <w:rFonts w:ascii="Arial" w:eastAsia="Times New Roman" w:hAnsi="Arial" w:cs="Arial"/>
          <w:szCs w:val="20"/>
          <w:lang w:val="en-GB"/>
        </w:rPr>
        <w:t>ml</w:t>
      </w:r>
      <w:r w:rsidRPr="00044994">
        <w:rPr>
          <w:rFonts w:ascii="Arial" w:eastAsia="Times New Roman" w:hAnsi="Arial" w:cs="Arial"/>
          <w:szCs w:val="20"/>
        </w:rPr>
        <w:t xml:space="preserve"> σε φιαλίδιο (γυαλί τύπου Ι) με πώμα (ελαστικό </w:t>
      </w:r>
      <w:proofErr w:type="spellStart"/>
      <w:r w:rsidRPr="00044994">
        <w:rPr>
          <w:rFonts w:ascii="Arial" w:eastAsia="Times New Roman" w:hAnsi="Arial" w:cs="Arial"/>
          <w:szCs w:val="20"/>
        </w:rPr>
        <w:t>βουτύλιο</w:t>
      </w:r>
      <w:proofErr w:type="spellEnd"/>
      <w:r w:rsidRPr="00044994">
        <w:rPr>
          <w:rFonts w:ascii="Arial" w:eastAsia="Times New Roman" w:hAnsi="Arial" w:cs="Arial"/>
          <w:szCs w:val="20"/>
        </w:rPr>
        <w:t>). Συσκευασία του 1, των 3, 10, 25 ή 100.</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Μπορεί να παρέχεται </w:t>
      </w:r>
      <w:proofErr w:type="spellStart"/>
      <w:r w:rsidRPr="00044994">
        <w:rPr>
          <w:rFonts w:ascii="Arial" w:eastAsia="Times New Roman" w:hAnsi="Arial" w:cs="Arial"/>
          <w:szCs w:val="20"/>
        </w:rPr>
        <w:t>σύριγγα(ες</w:t>
      </w:r>
      <w:proofErr w:type="spellEnd"/>
      <w:r w:rsidRPr="00044994">
        <w:rPr>
          <w:rFonts w:ascii="Arial" w:eastAsia="Times New Roman" w:hAnsi="Arial" w:cs="Arial"/>
          <w:szCs w:val="20"/>
        </w:rPr>
        <w:t>).</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Εναιώρημα 1 </w:t>
      </w:r>
      <w:r w:rsidRPr="00044994">
        <w:rPr>
          <w:rFonts w:ascii="Arial" w:eastAsia="Times New Roman" w:hAnsi="Arial" w:cs="Arial"/>
          <w:szCs w:val="20"/>
          <w:lang w:val="en-GB"/>
        </w:rPr>
        <w:t>ml</w:t>
      </w:r>
      <w:r w:rsidRPr="00044994">
        <w:rPr>
          <w:rFonts w:ascii="Arial" w:eastAsia="Times New Roman" w:hAnsi="Arial" w:cs="Arial"/>
          <w:szCs w:val="20"/>
        </w:rPr>
        <w:t xml:space="preserve"> σε </w:t>
      </w:r>
      <w:proofErr w:type="spellStart"/>
      <w:r w:rsidRPr="00044994">
        <w:rPr>
          <w:rFonts w:ascii="Arial" w:eastAsia="Times New Roman" w:hAnsi="Arial" w:cs="Arial"/>
          <w:szCs w:val="20"/>
        </w:rPr>
        <w:t>προγεμισμένη</w:t>
      </w:r>
      <w:proofErr w:type="spellEnd"/>
      <w:r w:rsidRPr="00044994">
        <w:rPr>
          <w:rFonts w:ascii="Arial" w:eastAsia="Times New Roman" w:hAnsi="Arial" w:cs="Arial"/>
          <w:szCs w:val="20"/>
        </w:rPr>
        <w:t xml:space="preserve"> σύριγγα (γυαλί τύπου Ι).  Συσκευασία του 1, των 10 ή 25.</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Μπορεί να μη κυκλοφορούν όλες οι συσκευασίες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b/>
          <w:szCs w:val="20"/>
        </w:rPr>
        <w:t>6.6</w:t>
      </w:r>
      <w:r w:rsidRPr="00044994">
        <w:rPr>
          <w:rFonts w:ascii="Arial" w:eastAsia="Times New Roman" w:hAnsi="Arial" w:cs="Arial"/>
          <w:b/>
          <w:szCs w:val="20"/>
        </w:rPr>
        <w:tab/>
        <w:t>Ιδιαίτερες προφυλάξεις απόρριψης και άλλος χειρισμός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Κατά την φύλαξη το περιεχόμενο μπορεί να παρουσιάσει ένα λευκό λεπτό ίζημα και ένα διαυγές άχρωμο υπερκείμενο υγρό.  Μετά την ανατάραξη, το εμβόλιο εμφανίζεται ελαφρώς θολό.</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Το εμβόλιο πρέπει να εξετάζεται οπτικά για ύπαρξη σωματιδίων και/ή αποχρωματισμό πριν την χορήγηση. Πετάξτε το φιαλίδιο εάν το περιεχόμενό του είναι διαφορετικό.</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Το εμβόλιο πρέπει να χρησιμοποιείται αμέσως μετά το άνοιγμα.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 xml:space="preserve">Κάθε </w:t>
      </w:r>
      <w:r w:rsidRPr="00044994">
        <w:rPr>
          <w:rFonts w:ascii="Arial" w:eastAsia="Times New Roman" w:hAnsi="Arial" w:cs="Arial"/>
        </w:rPr>
        <w:t xml:space="preserve">φαρμακευτικό </w:t>
      </w:r>
      <w:r w:rsidRPr="00044994">
        <w:rPr>
          <w:rFonts w:ascii="Arial" w:eastAsia="Times New Roman" w:hAnsi="Arial" w:cs="Arial"/>
          <w:szCs w:val="20"/>
        </w:rPr>
        <w:t>προϊόν που δεν έχει χρησιμοποιηθεί ή υπόλειμμα πρέπει να απορρίπτεται σύμφωνα με τις κατά τόπους ισχύουσες σχετικές διατάξεις.</w:t>
      </w:r>
    </w:p>
    <w:p w:rsidR="00E05BBC" w:rsidRPr="00044994" w:rsidRDefault="00E05BBC" w:rsidP="00E05BBC">
      <w:pPr>
        <w:tabs>
          <w:tab w:val="left" w:pos="567"/>
        </w:tabs>
        <w:spacing w:after="0" w:line="240" w:lineRule="auto"/>
        <w:jc w:val="both"/>
        <w:rPr>
          <w:rFonts w:ascii="Arial" w:eastAsia="Times New Roman" w:hAnsi="Arial" w:cs="Arial"/>
          <w:b/>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7.</w:t>
      </w:r>
      <w:r w:rsidRPr="00044994">
        <w:rPr>
          <w:rFonts w:ascii="Arial" w:eastAsia="Times New Roman" w:hAnsi="Arial" w:cs="Arial"/>
          <w:b/>
          <w:szCs w:val="20"/>
        </w:rPr>
        <w:tab/>
        <w:t>ΚΑΤΟΧΟΣ ΤΗΣ ΑΔΕΙΑΣ ΚΥΚΛΟΦΟΡΙΑΣ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lang w:val="en-US"/>
        </w:rPr>
        <w:t>GlaxoSmithKline</w:t>
      </w:r>
      <w:r w:rsidRPr="00044994">
        <w:rPr>
          <w:rFonts w:ascii="Arial" w:eastAsia="Times New Roman" w:hAnsi="Arial" w:cs="Arial"/>
          <w:szCs w:val="20"/>
        </w:rPr>
        <w:t xml:space="preserve"> </w:t>
      </w:r>
      <w:proofErr w:type="spellStart"/>
      <w:r w:rsidRPr="00044994">
        <w:rPr>
          <w:rFonts w:ascii="Arial" w:eastAsia="Times New Roman" w:hAnsi="Arial" w:cs="Arial"/>
          <w:szCs w:val="20"/>
        </w:rPr>
        <w:t>α.ε.β.ε</w:t>
      </w:r>
      <w:proofErr w:type="spellEnd"/>
    </w:p>
    <w:p w:rsidR="00E05BBC" w:rsidRPr="00044994" w:rsidRDefault="00E05BBC" w:rsidP="00E05BBC">
      <w:pPr>
        <w:tabs>
          <w:tab w:val="left" w:pos="567"/>
        </w:tabs>
        <w:spacing w:after="0" w:line="240" w:lineRule="auto"/>
        <w:jc w:val="both"/>
        <w:rPr>
          <w:rFonts w:ascii="Arial" w:eastAsia="Times New Roman" w:hAnsi="Arial" w:cs="Arial"/>
          <w:szCs w:val="20"/>
        </w:rPr>
      </w:pPr>
      <w:proofErr w:type="spellStart"/>
      <w:r w:rsidRPr="00044994">
        <w:rPr>
          <w:rFonts w:ascii="Arial" w:eastAsia="Times New Roman" w:hAnsi="Arial" w:cs="Arial"/>
          <w:szCs w:val="20"/>
        </w:rPr>
        <w:t>Λεωφ</w:t>
      </w:r>
      <w:proofErr w:type="spellEnd"/>
      <w:r w:rsidRPr="00044994">
        <w:rPr>
          <w:rFonts w:ascii="Arial" w:eastAsia="Times New Roman" w:hAnsi="Arial" w:cs="Arial"/>
          <w:szCs w:val="20"/>
        </w:rPr>
        <w:t>. Κηφισίας 266</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152 32 Χαλάνδρι</w:t>
      </w: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Αθήνα</w:t>
      </w:r>
    </w:p>
    <w:p w:rsidR="00E05BBC" w:rsidRPr="00044994" w:rsidRDefault="00E05BBC" w:rsidP="00E05BBC">
      <w:pPr>
        <w:tabs>
          <w:tab w:val="left" w:pos="567"/>
        </w:tabs>
        <w:spacing w:after="0" w:line="240" w:lineRule="auto"/>
        <w:jc w:val="both"/>
        <w:rPr>
          <w:rFonts w:ascii="Arial" w:eastAsia="Times New Roman" w:hAnsi="Arial" w:cs="Arial"/>
          <w:szCs w:val="20"/>
        </w:rPr>
      </w:pPr>
      <w:proofErr w:type="spellStart"/>
      <w:r w:rsidRPr="00044994">
        <w:rPr>
          <w:rFonts w:ascii="Arial" w:eastAsia="Times New Roman" w:hAnsi="Arial" w:cs="Arial"/>
          <w:szCs w:val="20"/>
        </w:rPr>
        <w:t>Τηλ</w:t>
      </w:r>
      <w:proofErr w:type="spellEnd"/>
      <w:r w:rsidRPr="00044994">
        <w:rPr>
          <w:rFonts w:ascii="Arial" w:eastAsia="Times New Roman" w:hAnsi="Arial" w:cs="Arial"/>
          <w:szCs w:val="20"/>
        </w:rPr>
        <w:t>: 210 6882100</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jc w:val="both"/>
        <w:rPr>
          <w:rFonts w:ascii="Arial" w:eastAsia="Times New Roman" w:hAnsi="Arial" w:cs="Arial"/>
          <w:b/>
          <w:szCs w:val="20"/>
        </w:rPr>
      </w:pPr>
      <w:r w:rsidRPr="00044994">
        <w:rPr>
          <w:rFonts w:ascii="Arial" w:eastAsia="Times New Roman" w:hAnsi="Arial" w:cs="Arial"/>
          <w:b/>
          <w:szCs w:val="20"/>
        </w:rPr>
        <w:t>8.</w:t>
      </w:r>
      <w:r w:rsidRPr="00044994">
        <w:rPr>
          <w:rFonts w:ascii="Arial" w:eastAsia="Times New Roman" w:hAnsi="Arial" w:cs="Arial"/>
          <w:b/>
          <w:szCs w:val="20"/>
        </w:rPr>
        <w:tab/>
        <w:t>ΑΡΙΘΜΟΣ(ΟΙ) ΑΔΕΙΑΣ ΚΥΚΛΟΦΟΡΙΑΣ</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Κωδικός προϊόντος:</w:t>
      </w:r>
      <w:r w:rsidRPr="00044994">
        <w:rPr>
          <w:rFonts w:ascii="Arial" w:eastAsia="Times New Roman" w:hAnsi="Arial" w:cs="Arial"/>
          <w:szCs w:val="20"/>
        </w:rPr>
        <w:tab/>
        <w:t>1963201</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spacing w:after="0" w:line="240" w:lineRule="auto"/>
        <w:ind w:left="720" w:hanging="720"/>
        <w:jc w:val="both"/>
        <w:rPr>
          <w:rFonts w:ascii="Arial" w:eastAsia="Times New Roman" w:hAnsi="Arial" w:cs="Arial"/>
          <w:b/>
          <w:szCs w:val="20"/>
        </w:rPr>
      </w:pPr>
      <w:r w:rsidRPr="00044994">
        <w:rPr>
          <w:rFonts w:ascii="Arial" w:eastAsia="Times New Roman" w:hAnsi="Arial" w:cs="Arial"/>
          <w:b/>
          <w:szCs w:val="20"/>
        </w:rPr>
        <w:t>9.</w:t>
      </w:r>
      <w:r w:rsidRPr="00044994">
        <w:rPr>
          <w:rFonts w:ascii="Arial" w:eastAsia="Times New Roman" w:hAnsi="Arial" w:cs="Arial"/>
          <w:b/>
          <w:szCs w:val="20"/>
        </w:rPr>
        <w:tab/>
        <w:t>ΗΜΕΡΟΜΗΝΙΑ ΠΡΩΤΗΣ ΕΓΚΡΙΣΗΣ / ΑΝΑΝΕΩΣΗΣ ΤΗΣ ΑΔΕΙΑΣ ΣΤΗΝ ΕΛΛΑΔΑ</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15/10/1988</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szCs w:val="20"/>
        </w:rPr>
      </w:pPr>
    </w:p>
    <w:p w:rsidR="00E05BBC" w:rsidRPr="00044994" w:rsidRDefault="00E05BBC" w:rsidP="00E05BBC">
      <w:pPr>
        <w:tabs>
          <w:tab w:val="left" w:pos="567"/>
        </w:tabs>
        <w:spacing w:after="0" w:line="240" w:lineRule="auto"/>
        <w:jc w:val="both"/>
        <w:rPr>
          <w:rFonts w:ascii="Arial" w:eastAsia="Times New Roman" w:hAnsi="Arial" w:cs="Arial"/>
          <w:b/>
          <w:szCs w:val="20"/>
        </w:rPr>
      </w:pPr>
      <w:r w:rsidRPr="00044994">
        <w:rPr>
          <w:rFonts w:ascii="Arial" w:eastAsia="Times New Roman" w:hAnsi="Arial" w:cs="Arial"/>
          <w:b/>
          <w:szCs w:val="20"/>
        </w:rPr>
        <w:t>10.</w:t>
      </w:r>
      <w:r w:rsidRPr="00044994">
        <w:rPr>
          <w:rFonts w:ascii="Arial" w:eastAsia="Times New Roman" w:hAnsi="Arial" w:cs="Arial"/>
          <w:b/>
          <w:szCs w:val="20"/>
        </w:rPr>
        <w:tab/>
        <w:t>ΗΜΕΡΟΜΗΝΙΑ ΑΝΑΘΕΩΡΗΣΗΣ ΤΟΥ ΚΕΙΜΕΝΟΥ</w:t>
      </w:r>
    </w:p>
    <w:p w:rsidR="00E05BBC" w:rsidRPr="00044994" w:rsidRDefault="00E05BBC" w:rsidP="00E05BBC">
      <w:pPr>
        <w:tabs>
          <w:tab w:val="left" w:pos="567"/>
        </w:tabs>
        <w:spacing w:after="0" w:line="240" w:lineRule="auto"/>
        <w:jc w:val="both"/>
        <w:rPr>
          <w:rFonts w:ascii="Arial" w:eastAsia="Times New Roman" w:hAnsi="Arial" w:cs="Arial"/>
          <w:szCs w:val="20"/>
        </w:rPr>
      </w:pPr>
    </w:p>
    <w:p w:rsidR="00D27ADD" w:rsidRPr="00E05BBC" w:rsidRDefault="00D27ADD" w:rsidP="00E05BBC">
      <w:pPr>
        <w:rPr>
          <w:lang w:val="en-US"/>
        </w:rPr>
      </w:pPr>
      <w:bookmarkStart w:id="0" w:name="_GoBack"/>
      <w:bookmarkEnd w:id="0"/>
    </w:p>
    <w:sectPr w:rsidR="00D27ADD" w:rsidRPr="00E05B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F0B"/>
    <w:multiLevelType w:val="hybridMultilevel"/>
    <w:tmpl w:val="E2A2DD06"/>
    <w:lvl w:ilvl="0" w:tplc="04090001">
      <w:start w:val="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A74F9"/>
    <w:multiLevelType w:val="hybridMultilevel"/>
    <w:tmpl w:val="9842B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281E85"/>
    <w:multiLevelType w:val="singleLevel"/>
    <w:tmpl w:val="3CAE5076"/>
    <w:lvl w:ilvl="0">
      <w:numFmt w:val="bullet"/>
      <w:lvlText w:val="-"/>
      <w:lvlJc w:val="left"/>
      <w:pPr>
        <w:tabs>
          <w:tab w:val="num" w:pos="360"/>
        </w:tabs>
        <w:ind w:left="360" w:hanging="360"/>
      </w:pPr>
      <w:rPr>
        <w:rFonts w:ascii="Times New Roman" w:hAnsi="Times New Roman" w:hint="default"/>
      </w:rPr>
    </w:lvl>
  </w:abstractNum>
  <w:abstractNum w:abstractNumId="3">
    <w:nsid w:val="10861BDB"/>
    <w:multiLevelType w:val="singleLevel"/>
    <w:tmpl w:val="3CAE5076"/>
    <w:lvl w:ilvl="0">
      <w:numFmt w:val="bullet"/>
      <w:lvlText w:val="-"/>
      <w:lvlJc w:val="left"/>
      <w:pPr>
        <w:tabs>
          <w:tab w:val="num" w:pos="360"/>
        </w:tabs>
        <w:ind w:left="360" w:hanging="360"/>
      </w:pPr>
      <w:rPr>
        <w:rFonts w:ascii="Times New Roman" w:hAnsi="Times New Roman" w:hint="default"/>
      </w:rPr>
    </w:lvl>
  </w:abstractNum>
  <w:abstractNum w:abstractNumId="4">
    <w:nsid w:val="31EF548A"/>
    <w:multiLevelType w:val="singleLevel"/>
    <w:tmpl w:val="3CAE5076"/>
    <w:lvl w:ilvl="0">
      <w:numFmt w:val="bullet"/>
      <w:lvlText w:val="-"/>
      <w:lvlJc w:val="left"/>
      <w:pPr>
        <w:tabs>
          <w:tab w:val="num" w:pos="360"/>
        </w:tabs>
        <w:ind w:left="360" w:hanging="360"/>
      </w:pPr>
      <w:rPr>
        <w:rFonts w:ascii="Times New Roman" w:hAnsi="Times New Roman" w:hint="default"/>
      </w:rPr>
    </w:lvl>
  </w:abstractNum>
  <w:abstractNum w:abstractNumId="5">
    <w:nsid w:val="66883426"/>
    <w:multiLevelType w:val="hybridMultilevel"/>
    <w:tmpl w:val="478E9A2A"/>
    <w:lvl w:ilvl="0" w:tplc="C1E6338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7B"/>
    <w:rsid w:val="008C0C7B"/>
    <w:rsid w:val="00D27ADD"/>
    <w:rsid w:val="00E05B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3332</Words>
  <Characters>17999</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2018-06-26T09:00:00Z</dcterms:created>
  <dcterms:modified xsi:type="dcterms:W3CDTF">2018-06-26T09:00:00Z</dcterms:modified>
</cp:coreProperties>
</file>