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D6" w:rsidRDefault="008B43D6">
      <w:pPr>
        <w:rPr>
          <w:lang w:val="el-GR"/>
        </w:rPr>
      </w:pPr>
    </w:p>
    <w:tbl>
      <w:tblPr>
        <w:tblW w:w="9906" w:type="dxa"/>
        <w:tblInd w:w="-852" w:type="dxa"/>
        <w:tblLayout w:type="fixed"/>
        <w:tblLook w:val="0000"/>
      </w:tblPr>
      <w:tblGrid>
        <w:gridCol w:w="9906"/>
      </w:tblGrid>
      <w:tr w:rsidR="008B43D6">
        <w:tblPrEx>
          <w:tblCellMar>
            <w:top w:w="0" w:type="dxa"/>
            <w:bottom w:w="0" w:type="dxa"/>
          </w:tblCellMar>
        </w:tblPrEx>
        <w:tc>
          <w:tcPr>
            <w:tcW w:w="9906" w:type="dxa"/>
          </w:tcPr>
          <w:p w:rsidR="008B43D6" w:rsidRDefault="008B43D6">
            <w:pPr>
              <w:pStyle w:val="8"/>
              <w:jc w:val="both"/>
            </w:pPr>
            <w:r>
              <w:t>ΠΕΡΙΛΗΨΗ ΤΩΝ ΧΑΡΑΚΤΗΡΙΣΤΙΚΩΝ ΤΟΥ ΠΡΟΪΟΝΤΟΣ</w:t>
            </w:r>
          </w:p>
          <w:p w:rsidR="008B43D6" w:rsidRDefault="008B43D6">
            <w:pPr>
              <w:jc w:val="both"/>
              <w:rPr>
                <w:lang w:val="el-GR"/>
              </w:rPr>
            </w:pPr>
          </w:p>
        </w:tc>
      </w:tr>
      <w:tr w:rsidR="008B43D6">
        <w:tblPrEx>
          <w:tblCellMar>
            <w:top w:w="0" w:type="dxa"/>
            <w:bottom w:w="0" w:type="dxa"/>
          </w:tblCellMar>
        </w:tblPrEx>
        <w:tc>
          <w:tcPr>
            <w:tcW w:w="9906" w:type="dxa"/>
          </w:tcPr>
          <w:p w:rsidR="008B43D6" w:rsidRDefault="008B43D6">
            <w:pPr>
              <w:jc w:val="both"/>
              <w:rPr>
                <w:color w:val="000000"/>
                <w:lang w:val="el-GR"/>
              </w:rPr>
            </w:pPr>
            <w:r>
              <w:rPr>
                <w:b/>
                <w:color w:val="000000"/>
                <w:lang w:val="el-GR"/>
              </w:rPr>
              <w:t>1.</w:t>
            </w:r>
            <w:r>
              <w:rPr>
                <w:b/>
                <w:color w:val="000000"/>
                <w:lang w:val="el-GR"/>
              </w:rPr>
              <w:tab/>
              <w:t>ΕΜΠΟΡΙΚΗ ΟΝΟΜΑΣΙΑ ΤΟΥ ΦΑΡΜΑΚΕΥΤΙΚΟΥ ΠΡΟΪΟΝΤΟΣ</w:t>
            </w:r>
          </w:p>
          <w:p w:rsidR="008B43D6" w:rsidRDefault="008B43D6">
            <w:pPr>
              <w:jc w:val="both"/>
              <w:rPr>
                <w:color w:val="000000"/>
                <w:lang w:val="el-GR"/>
              </w:rPr>
            </w:pPr>
            <w:r>
              <w:rPr>
                <w:color w:val="000000"/>
                <w:lang w:val="el-GR"/>
              </w:rPr>
              <w:tab/>
            </w:r>
          </w:p>
          <w:p w:rsidR="008B43D6" w:rsidRDefault="008B43D6">
            <w:pPr>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10 </w:t>
            </w:r>
            <w:r>
              <w:rPr>
                <w:rFonts w:cs="Arial"/>
                <w:bCs/>
                <w:color w:val="000000"/>
              </w:rPr>
              <w:t>mg</w:t>
            </w:r>
            <w:r>
              <w:rPr>
                <w:rFonts w:cs="Arial"/>
                <w:bCs/>
                <w:color w:val="000000"/>
                <w:lang w:val="el-GR"/>
              </w:rPr>
              <w:t xml:space="preserve"> επικαλυμμένα με λεπτό υμένιο δισκία</w:t>
            </w:r>
          </w:p>
          <w:p w:rsidR="008B43D6" w:rsidRDefault="008B43D6">
            <w:pPr>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20 </w:t>
            </w:r>
            <w:r>
              <w:rPr>
                <w:rFonts w:cs="Arial"/>
                <w:bCs/>
                <w:color w:val="000000"/>
              </w:rPr>
              <w:t>mg</w:t>
            </w:r>
            <w:r>
              <w:rPr>
                <w:rFonts w:cs="Arial"/>
                <w:bCs/>
                <w:color w:val="000000"/>
                <w:lang w:val="el-GR"/>
              </w:rPr>
              <w:t xml:space="preserve"> επικαλυμμένα με λεπτό υμένιο δισκία</w:t>
            </w:r>
          </w:p>
          <w:p w:rsidR="008B43D6" w:rsidRDefault="008B43D6">
            <w:pPr>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40 </w:t>
            </w:r>
            <w:r>
              <w:rPr>
                <w:rFonts w:cs="Arial"/>
                <w:bCs/>
                <w:color w:val="000000"/>
              </w:rPr>
              <w:t>mg</w:t>
            </w:r>
            <w:r>
              <w:rPr>
                <w:rFonts w:cs="Arial"/>
                <w:bCs/>
                <w:color w:val="000000"/>
                <w:lang w:val="el-GR"/>
              </w:rPr>
              <w:t xml:space="preserve"> επικαλυμμένα με λεπτό υμένιο δισκία</w:t>
            </w:r>
          </w:p>
          <w:p w:rsidR="008B43D6" w:rsidRDefault="008B43D6">
            <w:pPr>
              <w:jc w:val="both"/>
              <w:rPr>
                <w:rFonts w:cs="Arial"/>
                <w:color w:val="000000"/>
                <w:spacing w:val="-3"/>
                <w:lang w:val="el-GR"/>
              </w:rPr>
            </w:pPr>
            <w:proofErr w:type="spellStart"/>
            <w:r>
              <w:rPr>
                <w:rFonts w:cs="Arial"/>
                <w:bCs/>
                <w:color w:val="000000"/>
                <w:lang w:val="en-US"/>
              </w:rPr>
              <w:t>Seropram</w:t>
            </w:r>
            <w:proofErr w:type="spellEnd"/>
            <w:r>
              <w:rPr>
                <w:rFonts w:cs="Arial"/>
                <w:bCs/>
                <w:color w:val="000000"/>
                <w:lang w:val="el-GR"/>
              </w:rPr>
              <w:t xml:space="preserve"> </w:t>
            </w:r>
            <w:r>
              <w:rPr>
                <w:rFonts w:cs="Arial"/>
                <w:color w:val="000000"/>
                <w:lang w:val="el-GR"/>
              </w:rPr>
              <w:t xml:space="preserve">40 </w:t>
            </w:r>
            <w:r>
              <w:rPr>
                <w:rFonts w:cs="Arial"/>
                <w:color w:val="000000"/>
              </w:rPr>
              <w:t>mg</w:t>
            </w:r>
            <w:r>
              <w:rPr>
                <w:rFonts w:cs="Arial"/>
                <w:color w:val="000000"/>
                <w:lang w:val="el-GR"/>
              </w:rPr>
              <w:t>/</w:t>
            </w:r>
            <w:r>
              <w:rPr>
                <w:rFonts w:cs="Arial"/>
                <w:color w:val="000000"/>
              </w:rPr>
              <w:t>ml</w:t>
            </w:r>
            <w:r>
              <w:rPr>
                <w:rFonts w:cs="Arial"/>
                <w:color w:val="000000"/>
                <w:lang w:val="el-GR"/>
              </w:rPr>
              <w:t xml:space="preserve"> Πόσιμες σταγόνες διάλυμα</w:t>
            </w:r>
          </w:p>
          <w:p w:rsidR="008B43D6" w:rsidRDefault="008B43D6">
            <w:pPr>
              <w:jc w:val="both"/>
              <w:rPr>
                <w:color w:val="000000"/>
                <w:lang w:val="el-GR"/>
              </w:rPr>
            </w:pPr>
          </w:p>
        </w:tc>
      </w:tr>
      <w:tr w:rsidR="008B43D6">
        <w:tblPrEx>
          <w:tblCellMar>
            <w:top w:w="0" w:type="dxa"/>
            <w:bottom w:w="0" w:type="dxa"/>
          </w:tblCellMar>
        </w:tblPrEx>
        <w:tc>
          <w:tcPr>
            <w:tcW w:w="9906" w:type="dxa"/>
          </w:tcPr>
          <w:p w:rsidR="008B43D6" w:rsidRDefault="008B43D6">
            <w:pPr>
              <w:jc w:val="both"/>
              <w:rPr>
                <w:color w:val="000000"/>
                <w:lang w:val="el-GR"/>
              </w:rPr>
            </w:pPr>
            <w:r>
              <w:rPr>
                <w:b/>
                <w:color w:val="000000"/>
                <w:lang w:val="el-GR"/>
              </w:rPr>
              <w:t>2.</w:t>
            </w:r>
            <w:r>
              <w:rPr>
                <w:b/>
                <w:color w:val="000000"/>
                <w:lang w:val="el-GR"/>
              </w:rPr>
              <w:tab/>
              <w:t>ΠΟΙΟΤΙΚΗ ΚΑΙ ΠΟΣΟΤΙΚΗ ΣΥΝΘΕΣΗ (σε δραστικά συστατικά)</w:t>
            </w:r>
          </w:p>
          <w:p w:rsidR="008B43D6" w:rsidRDefault="008B43D6">
            <w:pPr>
              <w:ind w:left="709"/>
              <w:jc w:val="both"/>
              <w:rPr>
                <w:i/>
                <w:color w:val="000000"/>
                <w:u w:val="single"/>
                <w:lang w:val="el-GR"/>
              </w:rPr>
            </w:pPr>
          </w:p>
          <w:p w:rsidR="008B43D6" w:rsidRDefault="008B43D6">
            <w:pPr>
              <w:ind w:left="1701" w:hanging="1701"/>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10 </w:t>
            </w:r>
            <w:r>
              <w:rPr>
                <w:rFonts w:cs="Arial"/>
                <w:bCs/>
                <w:color w:val="000000"/>
              </w:rPr>
              <w:t>mg</w:t>
            </w:r>
            <w:r>
              <w:rPr>
                <w:rFonts w:cs="Arial"/>
                <w:bCs/>
                <w:color w:val="000000"/>
                <w:lang w:val="el-GR"/>
              </w:rPr>
              <w:t>:</w:t>
            </w:r>
            <w:r>
              <w:rPr>
                <w:rFonts w:cs="Arial"/>
                <w:bCs/>
                <w:color w:val="000000"/>
                <w:lang w:val="el-GR"/>
              </w:rPr>
              <w:tab/>
              <w:t xml:space="preserve">Κάθε δισκίο περιέχει 10 </w:t>
            </w:r>
            <w:r>
              <w:rPr>
                <w:rFonts w:cs="Arial"/>
                <w:bCs/>
                <w:color w:val="000000"/>
              </w:rPr>
              <w:t>mg</w:t>
            </w:r>
            <w:r>
              <w:rPr>
                <w:rFonts w:cs="Arial"/>
                <w:bCs/>
                <w:color w:val="000000"/>
                <w:lang w:val="el-GR"/>
              </w:rPr>
              <w:t xml:space="preserve"> σιταλοπράμη (ως 12.49 </w:t>
            </w:r>
            <w:r>
              <w:rPr>
                <w:rFonts w:cs="Arial"/>
                <w:bCs/>
                <w:color w:val="000000"/>
              </w:rPr>
              <w:t>mg</w:t>
            </w:r>
            <w:r>
              <w:rPr>
                <w:rFonts w:cs="Arial"/>
                <w:bCs/>
                <w:color w:val="000000"/>
                <w:lang w:val="el-GR"/>
              </w:rPr>
              <w:t xml:space="preserve"> </w:t>
            </w:r>
            <w:r>
              <w:rPr>
                <w:rFonts w:cs="Arial"/>
                <w:bCs/>
                <w:color w:val="000000"/>
                <w:lang w:val="en-US"/>
              </w:rPr>
              <w:t>citalopram</w:t>
            </w:r>
            <w:r>
              <w:rPr>
                <w:rFonts w:cs="Arial"/>
                <w:bCs/>
                <w:color w:val="000000"/>
                <w:lang w:val="el-GR"/>
              </w:rPr>
              <w:t xml:space="preserve"> </w:t>
            </w:r>
            <w:proofErr w:type="spellStart"/>
            <w:r>
              <w:rPr>
                <w:rFonts w:cs="Arial"/>
                <w:bCs/>
                <w:color w:val="000000"/>
                <w:lang w:val="en-US"/>
              </w:rPr>
              <w:t>hydrobromide</w:t>
            </w:r>
            <w:proofErr w:type="spellEnd"/>
            <w:r>
              <w:rPr>
                <w:rFonts w:cs="Arial"/>
                <w:bCs/>
                <w:color w:val="000000"/>
                <w:lang w:val="el-GR"/>
              </w:rPr>
              <w:t>)</w:t>
            </w:r>
          </w:p>
          <w:p w:rsidR="008B43D6" w:rsidRDefault="008B43D6">
            <w:pPr>
              <w:ind w:left="1701" w:hanging="1701"/>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20 </w:t>
            </w:r>
            <w:r>
              <w:rPr>
                <w:rFonts w:cs="Arial"/>
                <w:bCs/>
                <w:color w:val="000000"/>
              </w:rPr>
              <w:t>mg</w:t>
            </w:r>
            <w:r>
              <w:rPr>
                <w:rFonts w:cs="Arial"/>
                <w:bCs/>
                <w:color w:val="000000"/>
                <w:lang w:val="el-GR"/>
              </w:rPr>
              <w:t>:</w:t>
            </w:r>
            <w:r>
              <w:rPr>
                <w:rFonts w:cs="Arial"/>
                <w:bCs/>
                <w:color w:val="000000"/>
                <w:lang w:val="el-GR"/>
              </w:rPr>
              <w:tab/>
              <w:t xml:space="preserve">Κάθε δισκίο περιέχει 20 </w:t>
            </w:r>
            <w:r>
              <w:rPr>
                <w:rFonts w:cs="Arial"/>
                <w:bCs/>
                <w:color w:val="000000"/>
              </w:rPr>
              <w:t>mg</w:t>
            </w:r>
            <w:r>
              <w:rPr>
                <w:rFonts w:cs="Arial"/>
                <w:bCs/>
                <w:color w:val="000000"/>
                <w:lang w:val="el-GR"/>
              </w:rPr>
              <w:t xml:space="preserve"> σιταλοπράμη (ως 24.98 </w:t>
            </w:r>
            <w:r>
              <w:rPr>
                <w:rFonts w:cs="Arial"/>
                <w:bCs/>
                <w:color w:val="000000"/>
              </w:rPr>
              <w:t>mg</w:t>
            </w:r>
            <w:r>
              <w:rPr>
                <w:rFonts w:cs="Arial"/>
                <w:bCs/>
                <w:color w:val="000000"/>
                <w:lang w:val="el-GR"/>
              </w:rPr>
              <w:t xml:space="preserve"> </w:t>
            </w:r>
            <w:r>
              <w:rPr>
                <w:rFonts w:cs="Arial"/>
                <w:bCs/>
                <w:color w:val="000000"/>
                <w:lang w:val="en-US"/>
              </w:rPr>
              <w:t>citalopram</w:t>
            </w:r>
            <w:r>
              <w:rPr>
                <w:rFonts w:cs="Arial"/>
                <w:bCs/>
                <w:color w:val="000000"/>
                <w:lang w:val="el-GR"/>
              </w:rPr>
              <w:t xml:space="preserve"> </w:t>
            </w:r>
            <w:proofErr w:type="spellStart"/>
            <w:r>
              <w:rPr>
                <w:rFonts w:cs="Arial"/>
                <w:bCs/>
                <w:color w:val="000000"/>
                <w:lang w:val="en-US"/>
              </w:rPr>
              <w:t>hydrobromide</w:t>
            </w:r>
            <w:proofErr w:type="spellEnd"/>
            <w:r>
              <w:rPr>
                <w:rFonts w:cs="Arial"/>
                <w:bCs/>
                <w:color w:val="000000"/>
                <w:lang w:val="el-GR"/>
              </w:rPr>
              <w:t>)</w:t>
            </w:r>
          </w:p>
          <w:p w:rsidR="008B43D6" w:rsidRDefault="008B43D6">
            <w:pPr>
              <w:ind w:left="1701" w:hanging="1701"/>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40 </w:t>
            </w:r>
            <w:r>
              <w:rPr>
                <w:rFonts w:cs="Arial"/>
                <w:bCs/>
                <w:color w:val="000000"/>
              </w:rPr>
              <w:t>mg</w:t>
            </w:r>
            <w:r>
              <w:rPr>
                <w:rFonts w:cs="Arial"/>
                <w:bCs/>
                <w:color w:val="000000"/>
                <w:lang w:val="el-GR"/>
              </w:rPr>
              <w:t>:</w:t>
            </w:r>
            <w:r>
              <w:rPr>
                <w:rFonts w:cs="Arial"/>
                <w:bCs/>
                <w:color w:val="000000"/>
                <w:lang w:val="el-GR"/>
              </w:rPr>
              <w:tab/>
              <w:t xml:space="preserve">Κάθε δισκίο περιέχει 40 </w:t>
            </w:r>
            <w:r>
              <w:rPr>
                <w:rFonts w:cs="Arial"/>
                <w:bCs/>
                <w:color w:val="000000"/>
              </w:rPr>
              <w:t>mg</w:t>
            </w:r>
            <w:r>
              <w:rPr>
                <w:rFonts w:cs="Arial"/>
                <w:bCs/>
                <w:color w:val="000000"/>
                <w:lang w:val="el-GR"/>
              </w:rPr>
              <w:t xml:space="preserve"> σιταλοπράμη (ως 49.96 </w:t>
            </w:r>
            <w:r>
              <w:rPr>
                <w:rFonts w:cs="Arial"/>
                <w:bCs/>
                <w:color w:val="000000"/>
              </w:rPr>
              <w:t>mg</w:t>
            </w:r>
            <w:r>
              <w:rPr>
                <w:rFonts w:cs="Arial"/>
                <w:bCs/>
                <w:color w:val="000000"/>
                <w:lang w:val="el-GR"/>
              </w:rPr>
              <w:t xml:space="preserve"> </w:t>
            </w:r>
            <w:r>
              <w:rPr>
                <w:rFonts w:cs="Arial"/>
                <w:bCs/>
                <w:color w:val="000000"/>
                <w:lang w:val="en-US"/>
              </w:rPr>
              <w:t>citalopram</w:t>
            </w:r>
            <w:r>
              <w:rPr>
                <w:rFonts w:cs="Arial"/>
                <w:bCs/>
                <w:color w:val="000000"/>
                <w:lang w:val="el-GR"/>
              </w:rPr>
              <w:t xml:space="preserve"> </w:t>
            </w:r>
            <w:proofErr w:type="spellStart"/>
            <w:r>
              <w:rPr>
                <w:rFonts w:cs="Arial"/>
                <w:bCs/>
                <w:color w:val="000000"/>
                <w:lang w:val="en-US"/>
              </w:rPr>
              <w:t>hydrobromide</w:t>
            </w:r>
            <w:proofErr w:type="spellEnd"/>
            <w:r>
              <w:rPr>
                <w:rFonts w:cs="Arial"/>
                <w:bCs/>
                <w:color w:val="000000"/>
                <w:lang w:val="el-GR"/>
              </w:rPr>
              <w:t>)</w:t>
            </w:r>
          </w:p>
          <w:p w:rsidR="008B43D6" w:rsidRDefault="008B43D6">
            <w:pPr>
              <w:jc w:val="both"/>
              <w:rPr>
                <w:rFonts w:cs="Arial"/>
                <w:bCs/>
                <w:color w:val="000000"/>
                <w:lang w:val="el-GR"/>
              </w:rPr>
            </w:pPr>
            <w:proofErr w:type="spellStart"/>
            <w:r>
              <w:rPr>
                <w:rFonts w:cs="Arial"/>
                <w:bCs/>
                <w:color w:val="000000"/>
                <w:lang w:val="en-US"/>
              </w:rPr>
              <w:t>Seropram</w:t>
            </w:r>
            <w:proofErr w:type="spellEnd"/>
            <w:r>
              <w:rPr>
                <w:rFonts w:cs="Arial"/>
                <w:bCs/>
                <w:color w:val="000000"/>
                <w:lang w:val="el-GR"/>
              </w:rPr>
              <w:t xml:space="preserve"> </w:t>
            </w:r>
            <w:r>
              <w:rPr>
                <w:rFonts w:cs="Arial"/>
                <w:color w:val="000000"/>
                <w:lang w:val="el-GR"/>
              </w:rPr>
              <w:t xml:space="preserve">40 </w:t>
            </w:r>
            <w:r>
              <w:rPr>
                <w:rFonts w:cs="Arial"/>
                <w:color w:val="000000"/>
              </w:rPr>
              <w:t>mg</w:t>
            </w:r>
            <w:r>
              <w:rPr>
                <w:rFonts w:cs="Arial"/>
                <w:color w:val="000000"/>
                <w:lang w:val="el-GR"/>
              </w:rPr>
              <w:t>/</w:t>
            </w:r>
            <w:r>
              <w:rPr>
                <w:rFonts w:cs="Arial"/>
                <w:color w:val="000000"/>
              </w:rPr>
              <w:t>ml</w:t>
            </w:r>
            <w:r>
              <w:rPr>
                <w:rFonts w:cs="Arial"/>
                <w:color w:val="000000"/>
                <w:lang w:val="el-GR"/>
              </w:rPr>
              <w:t xml:space="preserve"> Πόσιμες σταγόνες </w:t>
            </w:r>
            <w:proofErr w:type="gramStart"/>
            <w:r>
              <w:rPr>
                <w:rFonts w:cs="Arial"/>
                <w:color w:val="000000"/>
                <w:lang w:val="el-GR"/>
              </w:rPr>
              <w:t>διάλυμα :</w:t>
            </w:r>
            <w:proofErr w:type="gramEnd"/>
            <w:r>
              <w:rPr>
                <w:rFonts w:cs="Arial"/>
                <w:color w:val="000000"/>
                <w:lang w:val="el-GR"/>
              </w:rPr>
              <w:t xml:space="preserve"> 1 </w:t>
            </w:r>
            <w:r>
              <w:rPr>
                <w:rFonts w:cs="Arial"/>
                <w:color w:val="000000"/>
              </w:rPr>
              <w:t>ml</w:t>
            </w:r>
            <w:r>
              <w:rPr>
                <w:rFonts w:cs="Arial"/>
                <w:color w:val="000000"/>
                <w:lang w:val="el-GR"/>
              </w:rPr>
              <w:t xml:space="preserve"> περιέχει 40 </w:t>
            </w:r>
            <w:r>
              <w:rPr>
                <w:rFonts w:cs="Arial"/>
                <w:color w:val="000000"/>
              </w:rPr>
              <w:t>mg</w:t>
            </w:r>
            <w:r>
              <w:rPr>
                <w:rFonts w:cs="Arial"/>
                <w:color w:val="000000"/>
                <w:lang w:val="el-GR"/>
              </w:rPr>
              <w:t xml:space="preserve"> σιταλοπράμη (ως 44.48 </w:t>
            </w:r>
            <w:r>
              <w:rPr>
                <w:rFonts w:cs="Arial"/>
                <w:color w:val="000000"/>
              </w:rPr>
              <w:t>mg</w:t>
            </w:r>
            <w:r>
              <w:rPr>
                <w:rFonts w:cs="Arial"/>
                <w:color w:val="000000"/>
                <w:lang w:val="el-GR"/>
              </w:rPr>
              <w:t xml:space="preserve"> </w:t>
            </w:r>
            <w:r>
              <w:rPr>
                <w:rFonts w:cs="Arial"/>
                <w:bCs/>
                <w:color w:val="000000"/>
                <w:lang w:val="en-US"/>
              </w:rPr>
              <w:t>citalopram</w:t>
            </w:r>
            <w:r>
              <w:rPr>
                <w:rFonts w:cs="Arial"/>
                <w:bCs/>
                <w:color w:val="000000"/>
                <w:lang w:val="el-GR"/>
              </w:rPr>
              <w:t xml:space="preserve"> </w:t>
            </w:r>
            <w:r>
              <w:rPr>
                <w:rFonts w:cs="Arial"/>
                <w:bCs/>
                <w:color w:val="000000"/>
                <w:lang w:val="en-US"/>
              </w:rPr>
              <w:t>hydrochloride</w:t>
            </w:r>
            <w:r>
              <w:rPr>
                <w:rFonts w:cs="Arial"/>
                <w:color w:val="000000"/>
                <w:lang w:val="el-GR"/>
              </w:rPr>
              <w:t xml:space="preserve">). 1 </w:t>
            </w:r>
            <w:r>
              <w:rPr>
                <w:rFonts w:cs="Arial"/>
                <w:color w:val="000000"/>
              </w:rPr>
              <w:t>ml</w:t>
            </w:r>
            <w:r>
              <w:rPr>
                <w:rFonts w:cs="Arial"/>
                <w:color w:val="000000"/>
                <w:lang w:val="el-GR"/>
              </w:rPr>
              <w:t xml:space="preserve"> = 20 σταγόνες. 1 σταγόνα = 2 </w:t>
            </w:r>
            <w:r>
              <w:rPr>
                <w:rFonts w:cs="Arial"/>
                <w:color w:val="000000"/>
              </w:rPr>
              <w:t>mg</w:t>
            </w:r>
            <w:r>
              <w:rPr>
                <w:rFonts w:cs="Arial"/>
                <w:color w:val="000000"/>
                <w:lang w:val="el-GR"/>
              </w:rPr>
              <w:t xml:space="preserve"> σιταλοπράμης.</w:t>
            </w:r>
          </w:p>
          <w:p w:rsidR="008B43D6" w:rsidRDefault="008B43D6">
            <w:pPr>
              <w:jc w:val="both"/>
              <w:rPr>
                <w:rFonts w:cs="Arial"/>
                <w:bCs/>
                <w:color w:val="000000"/>
                <w:lang w:val="el-GR"/>
              </w:rPr>
            </w:pPr>
          </w:p>
          <w:p w:rsidR="008B43D6" w:rsidRDefault="008B43D6">
            <w:pPr>
              <w:jc w:val="both"/>
              <w:rPr>
                <w:color w:val="000000"/>
                <w:lang w:val="el-GR"/>
              </w:rPr>
            </w:pPr>
            <w:r>
              <w:rPr>
                <w:color w:val="000000"/>
                <w:lang w:val="el-GR"/>
              </w:rPr>
              <w:t>Για πλήρη κατάλογο των εκδόχων βλ. παράγραφο 6.1.</w:t>
            </w:r>
          </w:p>
          <w:p w:rsidR="008B43D6" w:rsidRDefault="008B43D6">
            <w:pPr>
              <w:jc w:val="both"/>
              <w:rPr>
                <w:color w:val="000000"/>
                <w:lang w:val="el-GR"/>
              </w:rPr>
            </w:pPr>
          </w:p>
        </w:tc>
      </w:tr>
      <w:tr w:rsidR="008B43D6">
        <w:tblPrEx>
          <w:tblCellMar>
            <w:top w:w="0" w:type="dxa"/>
            <w:bottom w:w="0" w:type="dxa"/>
          </w:tblCellMar>
        </w:tblPrEx>
        <w:tc>
          <w:tcPr>
            <w:tcW w:w="9906" w:type="dxa"/>
          </w:tcPr>
          <w:p w:rsidR="008B43D6" w:rsidRDefault="008B43D6">
            <w:pPr>
              <w:numPr>
                <w:ilvl w:val="0"/>
                <w:numId w:val="1"/>
              </w:numPr>
              <w:tabs>
                <w:tab w:val="clear" w:pos="1080"/>
                <w:tab w:val="num" w:pos="744"/>
              </w:tabs>
              <w:ind w:hanging="1080"/>
              <w:jc w:val="both"/>
              <w:rPr>
                <w:b/>
                <w:lang w:val="el-GR"/>
              </w:rPr>
            </w:pPr>
            <w:r>
              <w:rPr>
                <w:b/>
                <w:lang w:val="el-GR"/>
              </w:rPr>
              <w:t>ΦΑΡΜΑΚΟΤΕΧΝΙΚΗ ΜΟΡΦΗ</w:t>
            </w:r>
          </w:p>
          <w:p w:rsidR="008B43D6" w:rsidRDefault="008B43D6">
            <w:pPr>
              <w:ind w:left="744"/>
              <w:jc w:val="both"/>
              <w:rPr>
                <w:lang w:val="el-GR"/>
              </w:rPr>
            </w:pPr>
          </w:p>
          <w:p w:rsidR="008B43D6" w:rsidRDefault="008B43D6">
            <w:pPr>
              <w:jc w:val="both"/>
              <w:rPr>
                <w:rFonts w:cs="Arial"/>
                <w:spacing w:val="-3"/>
                <w:u w:val="single"/>
                <w:lang w:val="el-GR"/>
              </w:rPr>
            </w:pPr>
            <w:r>
              <w:rPr>
                <w:rFonts w:cs="Arial"/>
                <w:spacing w:val="-3"/>
                <w:u w:val="single"/>
                <w:lang w:val="el-GR"/>
              </w:rPr>
              <w:t xml:space="preserve">Επικαλυμμένο με λεπτό υμένιο δισκίο </w:t>
            </w:r>
          </w:p>
          <w:p w:rsidR="008B43D6" w:rsidRDefault="008B43D6">
            <w:pPr>
              <w:jc w:val="both"/>
              <w:rPr>
                <w:rFonts w:cs="Arial"/>
                <w:spacing w:val="-3"/>
                <w:lang w:val="el-GR"/>
              </w:rPr>
            </w:pPr>
          </w:p>
          <w:p w:rsidR="008B43D6" w:rsidRDefault="008B43D6">
            <w:pPr>
              <w:ind w:left="1134" w:hanging="1134"/>
              <w:jc w:val="both"/>
              <w:rPr>
                <w:rFonts w:cs="Arial"/>
                <w:spacing w:val="-3"/>
                <w:lang w:val="el-GR"/>
              </w:rPr>
            </w:pPr>
            <w:r>
              <w:rPr>
                <w:rFonts w:cs="Arial"/>
                <w:spacing w:val="-3"/>
                <w:lang w:val="el-GR"/>
              </w:rPr>
              <w:t xml:space="preserve">10 </w:t>
            </w:r>
            <w:r>
              <w:rPr>
                <w:rFonts w:cs="Arial"/>
                <w:spacing w:val="-3"/>
              </w:rPr>
              <w:t>mg</w:t>
            </w:r>
            <w:r>
              <w:rPr>
                <w:rFonts w:cs="Arial"/>
                <w:spacing w:val="-3"/>
                <w:lang w:val="el-GR"/>
              </w:rPr>
              <w:t>:</w:t>
            </w:r>
            <w:r>
              <w:rPr>
                <w:rFonts w:cs="Arial"/>
                <w:spacing w:val="-3"/>
                <w:lang w:val="el-GR"/>
              </w:rPr>
              <w:tab/>
              <w:t xml:space="preserve">Στρογγυλά, λευκά, επικαλυμμένα </w:t>
            </w:r>
            <w:r>
              <w:rPr>
                <w:rFonts w:cs="Arial"/>
                <w:bCs/>
                <w:lang w:val="el-GR"/>
              </w:rPr>
              <w:t xml:space="preserve">με λεπτό υμένιο </w:t>
            </w:r>
            <w:r>
              <w:rPr>
                <w:rFonts w:cs="Arial"/>
                <w:spacing w:val="-3"/>
                <w:lang w:val="el-GR"/>
              </w:rPr>
              <w:t>δισκία που φέρουν την ένδειξη “</w:t>
            </w:r>
            <w:r>
              <w:rPr>
                <w:rFonts w:cs="Arial"/>
                <w:spacing w:val="-3"/>
              </w:rPr>
              <w:t>CL</w:t>
            </w:r>
            <w:r>
              <w:rPr>
                <w:rFonts w:cs="Arial"/>
                <w:spacing w:val="-3"/>
                <w:lang w:val="el-GR"/>
              </w:rPr>
              <w:t xml:space="preserve">” στη μία πλευρά.  </w:t>
            </w:r>
          </w:p>
          <w:p w:rsidR="008B43D6" w:rsidRDefault="008B43D6">
            <w:pPr>
              <w:jc w:val="both"/>
              <w:rPr>
                <w:rFonts w:cs="Arial"/>
                <w:spacing w:val="-3"/>
                <w:lang w:val="el-GR"/>
              </w:rPr>
            </w:pPr>
          </w:p>
          <w:p w:rsidR="008B43D6" w:rsidRDefault="008B43D6">
            <w:pPr>
              <w:ind w:left="1134" w:hanging="1134"/>
              <w:jc w:val="both"/>
              <w:rPr>
                <w:rFonts w:cs="Arial"/>
                <w:spacing w:val="-3"/>
                <w:lang w:val="el-GR"/>
              </w:rPr>
            </w:pPr>
            <w:r>
              <w:rPr>
                <w:rFonts w:cs="Arial"/>
                <w:spacing w:val="-3"/>
                <w:lang w:val="el-GR"/>
              </w:rPr>
              <w:t xml:space="preserve">20 </w:t>
            </w:r>
            <w:r>
              <w:rPr>
                <w:rFonts w:cs="Arial"/>
                <w:spacing w:val="-3"/>
              </w:rPr>
              <w:t>mg</w:t>
            </w:r>
            <w:r>
              <w:rPr>
                <w:rFonts w:cs="Arial"/>
                <w:spacing w:val="-3"/>
                <w:lang w:val="el-GR"/>
              </w:rPr>
              <w:t>:</w:t>
            </w:r>
            <w:r>
              <w:rPr>
                <w:rFonts w:cs="Arial"/>
                <w:spacing w:val="-3"/>
                <w:lang w:val="el-GR"/>
              </w:rPr>
              <w:tab/>
              <w:t xml:space="preserve">Ωοειδή, λευκά, με χαραγή, επικαλυμμένα </w:t>
            </w:r>
            <w:r>
              <w:rPr>
                <w:rFonts w:cs="Arial"/>
                <w:bCs/>
                <w:lang w:val="el-GR"/>
              </w:rPr>
              <w:t xml:space="preserve">με λεπτό υμένιο </w:t>
            </w:r>
            <w:r>
              <w:rPr>
                <w:rFonts w:cs="Arial"/>
                <w:spacing w:val="-3"/>
                <w:lang w:val="el-GR"/>
              </w:rPr>
              <w:t>δισκία που φέρουν την ένδειξη “</w:t>
            </w:r>
            <w:r>
              <w:rPr>
                <w:rFonts w:cs="Arial"/>
                <w:spacing w:val="-3"/>
              </w:rPr>
              <w:t>C</w:t>
            </w:r>
            <w:r>
              <w:rPr>
                <w:rFonts w:cs="Arial"/>
                <w:spacing w:val="-3"/>
                <w:lang w:val="el-GR"/>
              </w:rPr>
              <w:t>” και “</w:t>
            </w:r>
            <w:r>
              <w:rPr>
                <w:rFonts w:cs="Arial"/>
                <w:spacing w:val="-3"/>
              </w:rPr>
              <w:t>N</w:t>
            </w:r>
            <w:r>
              <w:rPr>
                <w:rFonts w:cs="Arial"/>
                <w:spacing w:val="-3"/>
                <w:lang w:val="el-GR"/>
              </w:rPr>
              <w:t xml:space="preserve">” συμμετρικά γύρω από τη χαραγή </w:t>
            </w:r>
          </w:p>
          <w:p w:rsidR="008B43D6" w:rsidRDefault="008B43D6">
            <w:pPr>
              <w:jc w:val="both"/>
              <w:rPr>
                <w:rFonts w:cs="Arial"/>
                <w:spacing w:val="-3"/>
                <w:lang w:val="el-GR"/>
              </w:rPr>
            </w:pPr>
            <w:r>
              <w:rPr>
                <w:rFonts w:cs="Arial"/>
                <w:spacing w:val="-3"/>
                <w:lang w:val="el-GR"/>
              </w:rPr>
              <w:t xml:space="preserve">  </w:t>
            </w:r>
          </w:p>
          <w:p w:rsidR="008B43D6" w:rsidRDefault="008B43D6">
            <w:pPr>
              <w:ind w:left="1134" w:hanging="1134"/>
              <w:jc w:val="both"/>
              <w:rPr>
                <w:rFonts w:cs="Arial"/>
                <w:spacing w:val="-3"/>
                <w:lang w:val="el-GR"/>
              </w:rPr>
            </w:pPr>
            <w:r>
              <w:rPr>
                <w:rFonts w:cs="Arial"/>
                <w:spacing w:val="-3"/>
                <w:lang w:val="el-GR"/>
              </w:rPr>
              <w:t xml:space="preserve">40 </w:t>
            </w:r>
            <w:r>
              <w:rPr>
                <w:rFonts w:cs="Arial"/>
                <w:spacing w:val="-3"/>
              </w:rPr>
              <w:t>mg</w:t>
            </w:r>
            <w:r>
              <w:rPr>
                <w:rFonts w:cs="Arial"/>
                <w:spacing w:val="-3"/>
                <w:lang w:val="el-GR"/>
              </w:rPr>
              <w:t>:</w:t>
            </w:r>
            <w:r>
              <w:rPr>
                <w:rFonts w:cs="Arial"/>
                <w:spacing w:val="-3"/>
                <w:lang w:val="el-GR"/>
              </w:rPr>
              <w:tab/>
              <w:t xml:space="preserve">Ωοειδή, λευκά, με χαραγή, επικαλυμμένα </w:t>
            </w:r>
            <w:r>
              <w:rPr>
                <w:rFonts w:cs="Arial"/>
                <w:bCs/>
                <w:lang w:val="el-GR"/>
              </w:rPr>
              <w:t xml:space="preserve">με λεπτό υμένιο </w:t>
            </w:r>
            <w:r>
              <w:rPr>
                <w:rFonts w:cs="Arial"/>
                <w:spacing w:val="-3"/>
                <w:lang w:val="el-GR"/>
              </w:rPr>
              <w:t>δισκία που φέρουν την ένδειξη “</w:t>
            </w:r>
            <w:r>
              <w:rPr>
                <w:rFonts w:cs="Arial"/>
                <w:spacing w:val="-3"/>
              </w:rPr>
              <w:t>C</w:t>
            </w:r>
            <w:r>
              <w:rPr>
                <w:rFonts w:cs="Arial"/>
                <w:spacing w:val="-3"/>
                <w:lang w:val="el-GR"/>
              </w:rPr>
              <w:t>” και “</w:t>
            </w:r>
            <w:r>
              <w:rPr>
                <w:rFonts w:cs="Arial"/>
                <w:spacing w:val="-3"/>
              </w:rPr>
              <w:t>R</w:t>
            </w:r>
            <w:r>
              <w:rPr>
                <w:rFonts w:cs="Arial"/>
                <w:spacing w:val="-3"/>
                <w:lang w:val="el-GR"/>
              </w:rPr>
              <w:t xml:space="preserve">” συμμετρικά γύρω από τη χαραγή, </w:t>
            </w:r>
          </w:p>
          <w:p w:rsidR="008B43D6" w:rsidRDefault="008B43D6">
            <w:pPr>
              <w:ind w:left="1134" w:hanging="1134"/>
              <w:jc w:val="both"/>
              <w:rPr>
                <w:rFonts w:cs="Arial"/>
                <w:spacing w:val="-3"/>
                <w:lang w:val="el-GR"/>
              </w:rPr>
            </w:pPr>
            <w:r>
              <w:rPr>
                <w:rFonts w:cs="Arial"/>
                <w:spacing w:val="-3"/>
                <w:lang w:val="el-GR"/>
              </w:rPr>
              <w:t xml:space="preserve">  </w:t>
            </w:r>
          </w:p>
          <w:p w:rsidR="008B43D6" w:rsidRDefault="008B43D6">
            <w:pPr>
              <w:pStyle w:val="9"/>
              <w:rPr>
                <w:rFonts w:cs="Arial"/>
                <w:i w:val="0"/>
                <w:iCs/>
              </w:rPr>
            </w:pPr>
            <w:r>
              <w:rPr>
                <w:rFonts w:cs="Arial"/>
                <w:i w:val="0"/>
                <w:iCs/>
              </w:rPr>
              <w:t>Τα δισκία των 20 και 40 mg μπορούν να διχοτομηθούν σε ίσα μέρη.</w:t>
            </w:r>
          </w:p>
          <w:p w:rsidR="008B43D6" w:rsidRDefault="008B43D6">
            <w:pPr>
              <w:jc w:val="both"/>
              <w:rPr>
                <w:lang w:val="el-GR"/>
              </w:rPr>
            </w:pPr>
          </w:p>
          <w:p w:rsidR="008B43D6" w:rsidRDefault="008B43D6">
            <w:pPr>
              <w:jc w:val="both"/>
              <w:rPr>
                <w:rFonts w:cs="Arial"/>
                <w:u w:val="single"/>
                <w:lang w:val="el-GR"/>
              </w:rPr>
            </w:pPr>
            <w:r>
              <w:rPr>
                <w:rFonts w:cs="Arial"/>
                <w:spacing w:val="-3"/>
                <w:u w:val="single"/>
                <w:lang w:val="el-GR"/>
              </w:rPr>
              <w:t>Πόσιμες σταγόνες διάλυμα</w:t>
            </w:r>
            <w:r>
              <w:rPr>
                <w:rFonts w:cs="Arial"/>
                <w:u w:val="single"/>
                <w:lang w:val="el-GR"/>
              </w:rPr>
              <w:t>.</w:t>
            </w:r>
          </w:p>
          <w:p w:rsidR="008B43D6" w:rsidRDefault="008B43D6">
            <w:pPr>
              <w:jc w:val="both"/>
              <w:rPr>
                <w:rFonts w:cs="Arial"/>
                <w:bCs/>
                <w:lang w:val="el-GR"/>
              </w:rPr>
            </w:pPr>
          </w:p>
          <w:p w:rsidR="008B43D6" w:rsidRDefault="008B43D6">
            <w:pPr>
              <w:jc w:val="both"/>
              <w:rPr>
                <w:rFonts w:cs="Arial"/>
                <w:bCs/>
                <w:lang w:val="el-GR"/>
              </w:rPr>
            </w:pPr>
            <w:r>
              <w:rPr>
                <w:rFonts w:cs="Arial"/>
                <w:lang w:val="el-GR"/>
              </w:rPr>
              <w:t xml:space="preserve">Διαυγές, σχεδόν άχρωμο έως κιτρινωπό διάλυμα με πικρή γεύση. </w:t>
            </w:r>
          </w:p>
          <w:p w:rsidR="008B43D6" w:rsidRDefault="008B43D6">
            <w:pPr>
              <w:ind w:left="744"/>
              <w:jc w:val="both"/>
              <w:rPr>
                <w:lang w:val="el-GR"/>
              </w:rPr>
            </w:pPr>
          </w:p>
        </w:tc>
      </w:tr>
      <w:tr w:rsidR="008B43D6">
        <w:tblPrEx>
          <w:tblCellMar>
            <w:top w:w="0" w:type="dxa"/>
            <w:bottom w:w="0" w:type="dxa"/>
          </w:tblCellMar>
        </w:tblPrEx>
        <w:tc>
          <w:tcPr>
            <w:tcW w:w="9906" w:type="dxa"/>
          </w:tcPr>
          <w:p w:rsidR="008B43D6" w:rsidRDefault="008B43D6">
            <w:pPr>
              <w:jc w:val="both"/>
              <w:rPr>
                <w:b/>
                <w:lang w:val="el-GR"/>
              </w:rPr>
            </w:pPr>
            <w:r>
              <w:rPr>
                <w:b/>
                <w:lang w:val="el-GR"/>
              </w:rPr>
              <w:t>4.</w:t>
            </w:r>
            <w:r>
              <w:rPr>
                <w:b/>
                <w:lang w:val="el-GR"/>
              </w:rPr>
              <w:tab/>
              <w:t>ΚΛΙΝΙΚΑ  ΣΤΟΙΧΕΙΑ</w:t>
            </w:r>
          </w:p>
          <w:p w:rsidR="008B43D6" w:rsidRDefault="008B43D6">
            <w:pPr>
              <w:jc w:val="both"/>
              <w:rPr>
                <w:b/>
                <w:lang w:val="el-GR"/>
              </w:rPr>
            </w:pPr>
          </w:p>
        </w:tc>
      </w:tr>
      <w:tr w:rsidR="008B43D6">
        <w:tblPrEx>
          <w:tblCellMar>
            <w:top w:w="0" w:type="dxa"/>
            <w:bottom w:w="0" w:type="dxa"/>
          </w:tblCellMar>
        </w:tblPrEx>
        <w:tc>
          <w:tcPr>
            <w:tcW w:w="9906" w:type="dxa"/>
          </w:tcPr>
          <w:p w:rsidR="008B43D6" w:rsidRDefault="008B43D6">
            <w:pPr>
              <w:jc w:val="both"/>
              <w:rPr>
                <w:b/>
                <w:lang w:val="el-GR"/>
              </w:rPr>
            </w:pPr>
            <w:r>
              <w:rPr>
                <w:b/>
                <w:lang w:val="el-GR"/>
              </w:rPr>
              <w:t>4.1</w:t>
            </w:r>
            <w:r>
              <w:rPr>
                <w:b/>
                <w:lang w:val="el-GR"/>
              </w:rPr>
              <w:tab/>
              <w:t>Θεραπευτικές ενδείξεις</w:t>
            </w:r>
          </w:p>
          <w:p w:rsidR="008B43D6" w:rsidRDefault="008B43D6">
            <w:pPr>
              <w:ind w:left="709"/>
              <w:jc w:val="both"/>
              <w:rPr>
                <w:lang w:val="el-GR"/>
              </w:rPr>
            </w:pPr>
            <w:r>
              <w:rPr>
                <w:lang w:val="el-GR"/>
              </w:rPr>
              <w:t>-Μείζον καταθλιπτικό επεισόδιο. Προφυλακτική θεραπεία κατά των υποτροπών και της εμφάνισης νέων καταθλιπτικών επεισοδίων.</w:t>
            </w:r>
          </w:p>
          <w:p w:rsidR="008B43D6" w:rsidRDefault="008B43D6">
            <w:pPr>
              <w:ind w:left="709"/>
              <w:jc w:val="both"/>
              <w:rPr>
                <w:lang w:val="el-GR"/>
              </w:rPr>
            </w:pPr>
            <w:r>
              <w:rPr>
                <w:lang w:val="el-GR"/>
              </w:rPr>
              <w:t>-Διαταραχή πανικού με ή χωρίς αγοραφοβία.</w:t>
            </w:r>
          </w:p>
          <w:p w:rsidR="008B43D6" w:rsidRDefault="008B43D6">
            <w:pPr>
              <w:ind w:firstLine="744"/>
              <w:jc w:val="both"/>
              <w:rPr>
                <w:lang w:val="el-GR"/>
              </w:rPr>
            </w:pPr>
            <w:r>
              <w:rPr>
                <w:lang w:val="el-GR"/>
              </w:rPr>
              <w:t>-Ιδεοψυχαναγκαστική διαταραχή</w:t>
            </w:r>
          </w:p>
          <w:p w:rsidR="008B43D6" w:rsidRDefault="008B43D6">
            <w:pPr>
              <w:ind w:firstLine="744"/>
              <w:jc w:val="both"/>
              <w:rPr>
                <w:lang w:val="en-US"/>
              </w:rPr>
            </w:pPr>
          </w:p>
          <w:p w:rsidR="008B43D6" w:rsidRDefault="008B43D6">
            <w:pPr>
              <w:ind w:firstLine="744"/>
              <w:jc w:val="both"/>
              <w:rPr>
                <w:lang w:val="en-US"/>
              </w:rPr>
            </w:pPr>
          </w:p>
          <w:p w:rsidR="008B43D6" w:rsidRDefault="008B43D6">
            <w:pPr>
              <w:ind w:firstLine="744"/>
              <w:jc w:val="both"/>
              <w:rPr>
                <w:lang w:val="en-US"/>
              </w:rPr>
            </w:pPr>
          </w:p>
          <w:p w:rsidR="008B43D6" w:rsidRDefault="008B43D6">
            <w:pPr>
              <w:ind w:firstLine="744"/>
              <w:jc w:val="both"/>
              <w:rPr>
                <w:lang w:val="en-US"/>
              </w:rPr>
            </w:pPr>
          </w:p>
        </w:tc>
      </w:tr>
      <w:tr w:rsidR="008B43D6">
        <w:tblPrEx>
          <w:tblCellMar>
            <w:top w:w="0" w:type="dxa"/>
            <w:bottom w:w="0" w:type="dxa"/>
          </w:tblCellMar>
        </w:tblPrEx>
        <w:tc>
          <w:tcPr>
            <w:tcW w:w="9906" w:type="dxa"/>
          </w:tcPr>
          <w:p w:rsidR="008B43D6" w:rsidRDefault="008B43D6">
            <w:pPr>
              <w:jc w:val="both"/>
              <w:rPr>
                <w:lang w:val="el-GR"/>
              </w:rPr>
            </w:pPr>
            <w:r>
              <w:rPr>
                <w:b/>
                <w:lang w:val="el-GR"/>
              </w:rPr>
              <w:lastRenderedPageBreak/>
              <w:t>4.2</w:t>
            </w:r>
            <w:r>
              <w:rPr>
                <w:b/>
                <w:lang w:val="el-GR"/>
              </w:rPr>
              <w:tab/>
              <w:t>Δοσολογία και τρόπος χορήγησης</w:t>
            </w:r>
          </w:p>
          <w:p w:rsidR="008B43D6" w:rsidRDefault="008B43D6">
            <w:pPr>
              <w:ind w:left="709"/>
              <w:jc w:val="both"/>
              <w:rPr>
                <w:lang w:val="el-GR"/>
              </w:rPr>
            </w:pPr>
          </w:p>
          <w:p w:rsidR="008B43D6" w:rsidRDefault="008B43D6">
            <w:pPr>
              <w:jc w:val="both"/>
              <w:rPr>
                <w:rFonts w:cs="Arial"/>
                <w:spacing w:val="-3"/>
                <w:lang w:val="el-GR"/>
              </w:rPr>
            </w:pPr>
            <w:r>
              <w:rPr>
                <w:rFonts w:cs="Arial"/>
                <w:b/>
                <w:bCs/>
                <w:i/>
                <w:spacing w:val="-3"/>
                <w:lang w:val="en-US"/>
              </w:rPr>
              <w:t>K</w:t>
            </w:r>
            <w:r>
              <w:rPr>
                <w:rFonts w:cs="Arial"/>
                <w:b/>
                <w:bCs/>
                <w:i/>
                <w:spacing w:val="-3"/>
                <w:lang w:val="el-GR"/>
              </w:rPr>
              <w:t>ατάθλιψη</w:t>
            </w:r>
          </w:p>
          <w:p w:rsidR="008B43D6" w:rsidRDefault="008B43D6">
            <w:pPr>
              <w:jc w:val="both"/>
              <w:rPr>
                <w:rFonts w:cs="Arial"/>
                <w:bCs/>
                <w:iCs/>
                <w:spacing w:val="-3"/>
                <w:u w:val="single"/>
                <w:lang w:val="el-GR"/>
              </w:rPr>
            </w:pPr>
            <w:r>
              <w:rPr>
                <w:rFonts w:cs="Arial"/>
                <w:bCs/>
                <w:iCs/>
                <w:spacing w:val="-3"/>
                <w:u w:val="single"/>
                <w:lang w:val="el-GR"/>
              </w:rPr>
              <w:t>Ενήλικες</w:t>
            </w:r>
          </w:p>
          <w:p w:rsidR="008B43D6" w:rsidRDefault="008B43D6">
            <w:pPr>
              <w:jc w:val="both"/>
              <w:rPr>
                <w:rFonts w:cs="Arial"/>
                <w:bCs/>
                <w:iCs/>
                <w:spacing w:val="-3"/>
                <w:u w:val="single"/>
                <w:lang w:val="el-GR"/>
              </w:rPr>
            </w:pPr>
          </w:p>
          <w:p w:rsidR="008B43D6" w:rsidRDefault="008B43D6">
            <w:pPr>
              <w:jc w:val="both"/>
              <w:rPr>
                <w:rFonts w:cs="Arial"/>
                <w:spacing w:val="-3"/>
                <w:lang w:val="el-GR"/>
              </w:rPr>
            </w:pPr>
            <w:r>
              <w:rPr>
                <w:rFonts w:cs="Arial"/>
                <w:i/>
                <w:iCs/>
                <w:spacing w:val="-3"/>
                <w:lang w:val="el-GR"/>
              </w:rPr>
              <w:t>Δισκία:</w:t>
            </w:r>
            <w:r>
              <w:rPr>
                <w:rFonts w:cs="Arial"/>
                <w:spacing w:val="-3"/>
                <w:lang w:val="el-GR"/>
              </w:rPr>
              <w:t xml:space="preserve"> Η Σιταλοπράμη πρέπει να χορηγείται σε μία δόση </w:t>
            </w:r>
            <w:r>
              <w:rPr>
                <w:rFonts w:cs="Arial"/>
                <w:bCs/>
                <w:spacing w:val="-3"/>
                <w:lang w:val="el-GR"/>
              </w:rPr>
              <w:t>των 20</w:t>
            </w:r>
            <w:r>
              <w:rPr>
                <w:rFonts w:cs="Arial"/>
                <w:bCs/>
                <w:spacing w:val="-3"/>
              </w:rPr>
              <w:t> mg</w:t>
            </w:r>
            <w:r>
              <w:rPr>
                <w:rFonts w:cs="Arial"/>
                <w:spacing w:val="-3"/>
                <w:lang w:val="el-GR"/>
              </w:rPr>
              <w:t xml:space="preserve"> ημερησίως από του στόματος. </w:t>
            </w:r>
          </w:p>
          <w:p w:rsidR="008B43D6" w:rsidRDefault="008B43D6">
            <w:pPr>
              <w:jc w:val="both"/>
              <w:rPr>
                <w:rFonts w:cs="Arial"/>
                <w:spacing w:val="-3"/>
                <w:lang w:val="el-GR"/>
              </w:rPr>
            </w:pPr>
            <w:r>
              <w:rPr>
                <w:rFonts w:cs="Arial"/>
                <w:spacing w:val="-3"/>
                <w:lang w:val="el-GR"/>
              </w:rPr>
              <w:t xml:space="preserve">Ανάλογα με την ανταπόκριση κάθε ασθενούς η δόση μπορεί να αυξηθεί έως τη μέγιστη των </w:t>
            </w:r>
            <w:r>
              <w:rPr>
                <w:rFonts w:cs="Arial"/>
                <w:bCs/>
                <w:spacing w:val="-3"/>
                <w:lang w:val="el-GR"/>
              </w:rPr>
              <w:t>40</w:t>
            </w:r>
            <w:r>
              <w:rPr>
                <w:rFonts w:cs="Arial"/>
                <w:bCs/>
                <w:spacing w:val="-3"/>
              </w:rPr>
              <w:t> mg</w:t>
            </w:r>
            <w:r>
              <w:rPr>
                <w:rFonts w:cs="Arial"/>
                <w:bCs/>
                <w:spacing w:val="-3"/>
                <w:lang w:val="el-GR"/>
              </w:rPr>
              <w:t xml:space="preserve"> η</w:t>
            </w:r>
            <w:r>
              <w:rPr>
                <w:rFonts w:cs="Arial"/>
                <w:spacing w:val="-3"/>
                <w:lang w:val="el-GR"/>
              </w:rPr>
              <w:t>μερησίως.</w:t>
            </w:r>
          </w:p>
          <w:p w:rsidR="008B43D6" w:rsidRDefault="008B43D6">
            <w:pPr>
              <w:jc w:val="both"/>
              <w:rPr>
                <w:rFonts w:cs="Arial"/>
                <w:spacing w:val="-3"/>
                <w:lang w:val="el-GR"/>
              </w:rPr>
            </w:pPr>
          </w:p>
          <w:p w:rsidR="008B43D6" w:rsidRDefault="008B43D6">
            <w:pPr>
              <w:jc w:val="both"/>
              <w:rPr>
                <w:rFonts w:cs="Arial"/>
                <w:spacing w:val="-3"/>
                <w:lang w:val="el-GR"/>
              </w:rPr>
            </w:pPr>
            <w:r>
              <w:rPr>
                <w:rFonts w:cs="Arial"/>
                <w:i/>
                <w:iCs/>
                <w:spacing w:val="-3"/>
                <w:lang w:val="el-GR"/>
              </w:rPr>
              <w:t>Σταγόνες:</w:t>
            </w:r>
            <w:r>
              <w:rPr>
                <w:rFonts w:cs="Arial"/>
                <w:spacing w:val="-3"/>
                <w:lang w:val="el-GR"/>
              </w:rPr>
              <w:t xml:space="preserve"> Το διάλυμα της σιταλοπράμης πρέπει να χορηγείται σε μία δόση των </w:t>
            </w:r>
            <w:r>
              <w:rPr>
                <w:rFonts w:cs="Arial"/>
                <w:bCs/>
                <w:spacing w:val="-3"/>
                <w:lang w:val="el-GR"/>
              </w:rPr>
              <w:t>16</w:t>
            </w:r>
            <w:r>
              <w:rPr>
                <w:rFonts w:cs="Arial"/>
                <w:bCs/>
                <w:spacing w:val="-3"/>
              </w:rPr>
              <w:t> mg</w:t>
            </w:r>
            <w:r>
              <w:rPr>
                <w:rFonts w:cs="Arial"/>
                <w:bCs/>
                <w:spacing w:val="-3"/>
                <w:lang w:val="el-GR"/>
              </w:rPr>
              <w:t xml:space="preserve"> </w:t>
            </w:r>
            <w:r>
              <w:rPr>
                <w:rFonts w:cs="Arial"/>
                <w:lang w:val="el-GR"/>
              </w:rPr>
              <w:t xml:space="preserve">(8 σταγόνες) </w:t>
            </w:r>
            <w:r>
              <w:rPr>
                <w:rFonts w:cs="Arial"/>
                <w:spacing w:val="-3"/>
                <w:lang w:val="el-GR"/>
              </w:rPr>
              <w:t xml:space="preserve">ημερησίως. </w:t>
            </w:r>
          </w:p>
          <w:p w:rsidR="008B43D6" w:rsidRDefault="008B43D6">
            <w:pPr>
              <w:jc w:val="both"/>
              <w:rPr>
                <w:rFonts w:cs="Arial"/>
                <w:spacing w:val="-3"/>
                <w:lang w:val="el-GR"/>
              </w:rPr>
            </w:pPr>
            <w:r>
              <w:rPr>
                <w:rFonts w:cs="Arial"/>
                <w:spacing w:val="-3"/>
                <w:lang w:val="el-GR"/>
              </w:rPr>
              <w:t xml:space="preserve">Ανάλογα με την ανταπόκριση κάθε ασθενούς η δόση μπορεί να αυξηθεί έως τη μέγιστη των </w:t>
            </w:r>
            <w:r>
              <w:rPr>
                <w:rFonts w:cs="Arial"/>
                <w:bCs/>
                <w:spacing w:val="-3"/>
                <w:lang w:val="el-GR"/>
              </w:rPr>
              <w:t>32</w:t>
            </w:r>
            <w:r>
              <w:rPr>
                <w:rFonts w:cs="Arial"/>
                <w:bCs/>
                <w:spacing w:val="-3"/>
              </w:rPr>
              <w:t> mg</w:t>
            </w:r>
            <w:r>
              <w:rPr>
                <w:rFonts w:cs="Arial"/>
                <w:spacing w:val="-3"/>
                <w:lang w:val="el-GR"/>
              </w:rPr>
              <w:t xml:space="preserve"> </w:t>
            </w:r>
            <w:r>
              <w:rPr>
                <w:rFonts w:cs="Arial"/>
                <w:lang w:val="el-GR"/>
              </w:rPr>
              <w:t xml:space="preserve">(16 σταγόνες) </w:t>
            </w:r>
            <w:r>
              <w:rPr>
                <w:rFonts w:cs="Arial"/>
                <w:spacing w:val="-3"/>
                <w:lang w:val="el-GR"/>
              </w:rPr>
              <w:t xml:space="preserve"> ημερησίως. </w:t>
            </w:r>
          </w:p>
          <w:p w:rsidR="008B43D6" w:rsidRDefault="008B43D6">
            <w:pPr>
              <w:jc w:val="both"/>
              <w:rPr>
                <w:rFonts w:cs="Arial"/>
                <w:lang w:val="el-GR"/>
              </w:rPr>
            </w:pPr>
          </w:p>
          <w:p w:rsidR="008B43D6" w:rsidRDefault="008B43D6">
            <w:pPr>
              <w:jc w:val="both"/>
              <w:rPr>
                <w:rFonts w:cs="Arial"/>
                <w:iCs/>
                <w:spacing w:val="-3"/>
                <w:u w:val="single"/>
                <w:lang w:val="el-GR"/>
              </w:rPr>
            </w:pPr>
            <w:r>
              <w:rPr>
                <w:rFonts w:cs="Arial"/>
                <w:iCs/>
                <w:spacing w:val="-3"/>
                <w:u w:val="single"/>
                <w:lang w:val="el-GR"/>
              </w:rPr>
              <w:t>Διάρκεια θεραπείας</w:t>
            </w:r>
          </w:p>
          <w:p w:rsidR="008B43D6" w:rsidRDefault="008B43D6">
            <w:pPr>
              <w:jc w:val="both"/>
              <w:rPr>
                <w:rFonts w:cs="Arial"/>
                <w:spacing w:val="-3"/>
                <w:lang w:val="el-GR"/>
              </w:rPr>
            </w:pPr>
            <w:r>
              <w:rPr>
                <w:rFonts w:cs="Arial"/>
                <w:bCs/>
                <w:iCs/>
                <w:spacing w:val="-3"/>
                <w:lang w:val="el-GR"/>
              </w:rPr>
              <w:t>Η αντικαταθλιπτική δράση συνήθως</w:t>
            </w:r>
            <w:r>
              <w:rPr>
                <w:rFonts w:cs="Arial"/>
                <w:spacing w:val="-3"/>
                <w:lang w:val="el-GR"/>
              </w:rPr>
              <w:t xml:space="preserve"> εμφανίζεται μετά από 2 έως 4 εβδομάδες. Η θεραπεία με τα αντικαταθλιπτικά είναι συμπτωματική και γι’ αυτό το λόγο πρέπει να συνεχίζεται για το κατάλληλο χρονικό διάστημα, συνήθως έως 6 μήνες μετά από την υποχώρηση των συμπτωμάτων ώστε να αποφευχθεί  η υποτροπή. Σε ασθενείς με επαναλαμβανόμενα επεισόδια κατάθλιψης (μονοπολικής) η θεραπεία συντήρησης μπορεί να χρειαστεί να συνεχιστεί για αρκετά χρόνια ώστε να προληφθούν νέα επεισόδια. </w:t>
            </w:r>
          </w:p>
          <w:p w:rsidR="008B43D6" w:rsidRDefault="008B43D6">
            <w:pPr>
              <w:jc w:val="both"/>
              <w:rPr>
                <w:rFonts w:cs="Arial"/>
                <w:lang w:val="el-GR"/>
              </w:rPr>
            </w:pPr>
          </w:p>
          <w:p w:rsidR="008B43D6" w:rsidRDefault="008B43D6">
            <w:pPr>
              <w:pStyle w:val="5"/>
              <w:ind w:left="0"/>
              <w:rPr>
                <w:b/>
                <w:bCs/>
              </w:rPr>
            </w:pPr>
            <w:r>
              <w:rPr>
                <w:b/>
                <w:bCs/>
                <w:i/>
                <w:iCs/>
              </w:rPr>
              <w:t>Θεραπεία</w:t>
            </w:r>
            <w:r>
              <w:rPr>
                <w:b/>
                <w:bCs/>
              </w:rPr>
              <w:t xml:space="preserve"> διαταραχής πανικού </w:t>
            </w:r>
          </w:p>
          <w:p w:rsidR="008B43D6" w:rsidRDefault="008B43D6">
            <w:pPr>
              <w:jc w:val="both"/>
              <w:rPr>
                <w:b/>
                <w:bCs/>
                <w:lang w:val="el-GR"/>
              </w:rPr>
            </w:pPr>
          </w:p>
          <w:p w:rsidR="008B43D6" w:rsidRDefault="008B43D6">
            <w:pPr>
              <w:jc w:val="both"/>
              <w:rPr>
                <w:rFonts w:cs="Arial"/>
                <w:bCs/>
                <w:iCs/>
                <w:spacing w:val="-3"/>
                <w:u w:val="single"/>
                <w:lang w:val="el-GR"/>
              </w:rPr>
            </w:pPr>
            <w:r>
              <w:rPr>
                <w:rFonts w:cs="Arial"/>
                <w:bCs/>
                <w:iCs/>
                <w:spacing w:val="-3"/>
                <w:u w:val="single"/>
                <w:lang w:val="el-GR"/>
              </w:rPr>
              <w:t>Ενήλικες</w:t>
            </w:r>
          </w:p>
          <w:p w:rsidR="008B43D6" w:rsidRDefault="008B43D6">
            <w:pPr>
              <w:jc w:val="both"/>
              <w:rPr>
                <w:b/>
                <w:bCs/>
                <w:lang w:val="el-GR"/>
              </w:rPr>
            </w:pPr>
          </w:p>
          <w:p w:rsidR="008B43D6" w:rsidRDefault="008B43D6">
            <w:pPr>
              <w:jc w:val="both"/>
              <w:rPr>
                <w:rFonts w:cs="Arial"/>
                <w:spacing w:val="-3"/>
                <w:lang w:val="el-GR"/>
              </w:rPr>
            </w:pPr>
            <w:r>
              <w:rPr>
                <w:rFonts w:cs="Arial"/>
                <w:i/>
                <w:iCs/>
                <w:spacing w:val="-3"/>
                <w:lang w:val="el-GR"/>
              </w:rPr>
              <w:t xml:space="preserve">Δισκία:  </w:t>
            </w:r>
            <w:r>
              <w:rPr>
                <w:rFonts w:cs="Arial"/>
                <w:spacing w:val="-3"/>
                <w:lang w:val="el-GR"/>
              </w:rPr>
              <w:t xml:space="preserve">Μία δόση των </w:t>
            </w:r>
            <w:r>
              <w:rPr>
                <w:rFonts w:cs="Arial"/>
                <w:bCs/>
                <w:spacing w:val="-3"/>
                <w:lang w:val="el-GR"/>
              </w:rPr>
              <w:t xml:space="preserve">10 </w:t>
            </w:r>
            <w:r>
              <w:rPr>
                <w:rFonts w:cs="Arial"/>
                <w:bCs/>
                <w:spacing w:val="-3"/>
                <w:lang w:val="en-US"/>
              </w:rPr>
              <w:t>mg</w:t>
            </w:r>
            <w:r>
              <w:rPr>
                <w:rFonts w:cs="Arial"/>
                <w:bCs/>
                <w:spacing w:val="-3"/>
                <w:lang w:val="el-GR"/>
              </w:rPr>
              <w:t xml:space="preserve"> </w:t>
            </w:r>
            <w:r>
              <w:rPr>
                <w:rFonts w:cs="Arial"/>
                <w:spacing w:val="-3"/>
                <w:lang w:val="el-GR"/>
              </w:rPr>
              <w:t xml:space="preserve">συνιστάται για την πρώτη εβδομάδα πριν αυξηθεί </w:t>
            </w:r>
            <w:r>
              <w:rPr>
                <w:rFonts w:cs="Arial"/>
                <w:bCs/>
                <w:spacing w:val="-3"/>
                <w:lang w:val="el-GR"/>
              </w:rPr>
              <w:t>σε  20</w:t>
            </w:r>
            <w:r>
              <w:rPr>
                <w:rFonts w:cs="Arial"/>
                <w:bCs/>
                <w:spacing w:val="-3"/>
              </w:rPr>
              <w:t> mg</w:t>
            </w:r>
            <w:r>
              <w:rPr>
                <w:rFonts w:cs="Arial"/>
                <w:spacing w:val="-3"/>
                <w:lang w:val="el-GR"/>
              </w:rPr>
              <w:t xml:space="preserve"> ημερησίως. Ανάλογα με την ανταπόκριση κάθε ασθενούς η δόση μπορεί να αυξηθεί έως τη μέγιστη των </w:t>
            </w:r>
            <w:r>
              <w:rPr>
                <w:rFonts w:cs="Arial"/>
                <w:bCs/>
                <w:spacing w:val="-3"/>
                <w:lang w:val="el-GR"/>
              </w:rPr>
              <w:t>40</w:t>
            </w:r>
            <w:r>
              <w:rPr>
                <w:rFonts w:cs="Arial"/>
                <w:bCs/>
                <w:spacing w:val="-3"/>
              </w:rPr>
              <w:t> mg</w:t>
            </w:r>
            <w:r>
              <w:rPr>
                <w:rFonts w:cs="Arial"/>
                <w:bCs/>
                <w:spacing w:val="-3"/>
                <w:lang w:val="el-GR"/>
              </w:rPr>
              <w:t xml:space="preserve"> η</w:t>
            </w:r>
            <w:r>
              <w:rPr>
                <w:rFonts w:cs="Arial"/>
                <w:spacing w:val="-3"/>
                <w:lang w:val="el-GR"/>
              </w:rPr>
              <w:t>μερησίως.</w:t>
            </w:r>
          </w:p>
          <w:p w:rsidR="008B43D6" w:rsidRDefault="008B43D6">
            <w:pPr>
              <w:jc w:val="both"/>
              <w:rPr>
                <w:rFonts w:cs="Arial"/>
                <w:spacing w:val="-3"/>
                <w:lang w:val="el-GR"/>
              </w:rPr>
            </w:pPr>
          </w:p>
          <w:p w:rsidR="008B43D6" w:rsidRDefault="008B43D6">
            <w:pPr>
              <w:jc w:val="both"/>
              <w:rPr>
                <w:rFonts w:cs="Arial"/>
                <w:spacing w:val="-3"/>
                <w:lang w:val="el-GR"/>
              </w:rPr>
            </w:pPr>
            <w:r>
              <w:rPr>
                <w:rFonts w:cs="Arial"/>
                <w:i/>
                <w:iCs/>
                <w:spacing w:val="-3"/>
                <w:lang w:val="el-GR"/>
              </w:rPr>
              <w:t xml:space="preserve">Σταγόνες:  </w:t>
            </w:r>
            <w:r>
              <w:rPr>
                <w:rFonts w:cs="Arial"/>
                <w:spacing w:val="-3"/>
                <w:lang w:val="el-GR"/>
              </w:rPr>
              <w:t xml:space="preserve">Μία δόση των </w:t>
            </w:r>
            <w:r>
              <w:rPr>
                <w:rFonts w:cs="Arial"/>
                <w:bCs/>
                <w:spacing w:val="-3"/>
                <w:lang w:val="el-GR"/>
              </w:rPr>
              <w:t xml:space="preserve">8 </w:t>
            </w:r>
            <w:r>
              <w:rPr>
                <w:rFonts w:cs="Arial"/>
                <w:bCs/>
                <w:spacing w:val="-3"/>
                <w:lang w:val="en-US"/>
              </w:rPr>
              <w:t>mg</w:t>
            </w:r>
            <w:r>
              <w:rPr>
                <w:rFonts w:cs="Arial"/>
                <w:spacing w:val="-3"/>
                <w:lang w:val="el-GR"/>
              </w:rPr>
              <w:t xml:space="preserve"> </w:t>
            </w:r>
            <w:r>
              <w:rPr>
                <w:rFonts w:cs="Arial"/>
                <w:lang w:val="el-GR"/>
              </w:rPr>
              <w:t xml:space="preserve">(4 σταγόνες) </w:t>
            </w:r>
            <w:r>
              <w:rPr>
                <w:rFonts w:cs="Arial"/>
                <w:spacing w:val="-3"/>
                <w:lang w:val="el-GR"/>
              </w:rPr>
              <w:t xml:space="preserve">συνιστάται για την πρώτη εβδομάδα πριν αυτή αυξηθεί σε </w:t>
            </w:r>
            <w:r>
              <w:rPr>
                <w:rFonts w:cs="Arial"/>
                <w:bCs/>
                <w:spacing w:val="-3"/>
                <w:lang w:val="el-GR"/>
              </w:rPr>
              <w:t>16</w:t>
            </w:r>
            <w:r>
              <w:rPr>
                <w:rFonts w:cs="Arial"/>
                <w:bCs/>
                <w:spacing w:val="-3"/>
              </w:rPr>
              <w:t> mg</w:t>
            </w:r>
            <w:r>
              <w:rPr>
                <w:rFonts w:cs="Arial"/>
                <w:bCs/>
                <w:spacing w:val="-3"/>
                <w:lang w:val="el-GR"/>
              </w:rPr>
              <w:t xml:space="preserve"> </w:t>
            </w:r>
            <w:r>
              <w:rPr>
                <w:rFonts w:cs="Arial"/>
                <w:bCs/>
                <w:lang w:val="el-GR"/>
              </w:rPr>
              <w:t>(8</w:t>
            </w:r>
            <w:r>
              <w:rPr>
                <w:rFonts w:cs="Arial"/>
                <w:lang w:val="el-GR"/>
              </w:rPr>
              <w:t xml:space="preserve"> σταγόνες) </w:t>
            </w:r>
            <w:r>
              <w:rPr>
                <w:rFonts w:cs="Arial"/>
                <w:spacing w:val="-3"/>
                <w:lang w:val="el-GR"/>
              </w:rPr>
              <w:t xml:space="preserve">ημερησίως. Ανάλογα από την ανταπόκριση κάθε ασθενούς η δόση μπορεί να αυξηθεί έως τη μέγιστη των </w:t>
            </w:r>
            <w:r>
              <w:rPr>
                <w:rFonts w:cs="Arial"/>
                <w:bCs/>
                <w:spacing w:val="-3"/>
                <w:lang w:val="el-GR"/>
              </w:rPr>
              <w:t>32</w:t>
            </w:r>
            <w:r>
              <w:rPr>
                <w:rFonts w:cs="Arial"/>
                <w:bCs/>
                <w:spacing w:val="-3"/>
              </w:rPr>
              <w:t> mg</w:t>
            </w:r>
            <w:r>
              <w:rPr>
                <w:rFonts w:cs="Arial"/>
                <w:bCs/>
                <w:spacing w:val="-3"/>
                <w:lang w:val="el-GR"/>
              </w:rPr>
              <w:t xml:space="preserve"> </w:t>
            </w:r>
            <w:r>
              <w:rPr>
                <w:rFonts w:cs="Arial"/>
                <w:lang w:val="el-GR"/>
              </w:rPr>
              <w:t xml:space="preserve">(16 σταγόνες) </w:t>
            </w:r>
            <w:r>
              <w:rPr>
                <w:rFonts w:cs="Arial"/>
                <w:spacing w:val="-3"/>
                <w:lang w:val="el-GR"/>
              </w:rPr>
              <w:t xml:space="preserve">ημερησίως </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Διάρκεια θεραπείας</w:t>
            </w:r>
          </w:p>
          <w:p w:rsidR="008B43D6" w:rsidRDefault="008B43D6">
            <w:pPr>
              <w:jc w:val="both"/>
              <w:rPr>
                <w:rFonts w:cs="Arial"/>
                <w:spacing w:val="-3"/>
                <w:lang w:val="el-GR"/>
              </w:rPr>
            </w:pPr>
            <w:r>
              <w:rPr>
                <w:rFonts w:cs="Arial"/>
                <w:spacing w:val="-3"/>
                <w:lang w:val="el-GR"/>
              </w:rPr>
              <w:t xml:space="preserve">Η μέγιστη αποτελεσματικότητα της σιταλοπράμης στη θεραπεία της διαταραχής πανικού επιτυγχάνεται μετά από περίπου 3 μήνες και η ανταπόκριση διατηρείται κατά τη διάρκεια της συνεχιζόμενης θεραπείας.  </w:t>
            </w:r>
          </w:p>
          <w:p w:rsidR="008B43D6" w:rsidRDefault="008B43D6">
            <w:pPr>
              <w:ind w:firstLine="720"/>
              <w:jc w:val="both"/>
              <w:rPr>
                <w:lang w:val="el-GR"/>
              </w:rPr>
            </w:pPr>
          </w:p>
          <w:p w:rsidR="008B43D6" w:rsidRDefault="008B43D6">
            <w:pPr>
              <w:jc w:val="both"/>
              <w:rPr>
                <w:b/>
                <w:bCs/>
                <w:i/>
                <w:iCs/>
                <w:u w:val="single"/>
                <w:lang w:val="el-GR"/>
              </w:rPr>
            </w:pPr>
            <w:r>
              <w:rPr>
                <w:b/>
                <w:bCs/>
                <w:u w:val="single"/>
                <w:lang w:val="el-GR"/>
              </w:rPr>
              <w:t>Θεραπεία ιδεοψυχαναγκαστικής διαταραχής (</w:t>
            </w:r>
            <w:r>
              <w:rPr>
                <w:b/>
                <w:bCs/>
                <w:u w:val="single"/>
                <w:lang w:val="en-US"/>
              </w:rPr>
              <w:t>OCD</w:t>
            </w:r>
            <w:r>
              <w:rPr>
                <w:b/>
                <w:bCs/>
                <w:u w:val="single"/>
                <w:lang w:val="el-GR"/>
              </w:rPr>
              <w:t>)</w:t>
            </w:r>
          </w:p>
          <w:p w:rsidR="008B43D6" w:rsidRDefault="008B43D6">
            <w:pPr>
              <w:jc w:val="both"/>
              <w:rPr>
                <w:b/>
                <w:bCs/>
                <w:i/>
                <w:iCs/>
                <w:u w:val="single"/>
                <w:lang w:val="el-GR"/>
              </w:rPr>
            </w:pPr>
          </w:p>
          <w:p w:rsidR="008B43D6" w:rsidRDefault="008B43D6">
            <w:pPr>
              <w:jc w:val="both"/>
              <w:rPr>
                <w:rFonts w:cs="Arial"/>
                <w:spacing w:val="-3"/>
                <w:lang w:val="el-GR"/>
              </w:rPr>
            </w:pPr>
            <w:r>
              <w:rPr>
                <w:rFonts w:cs="Arial"/>
                <w:i/>
                <w:iCs/>
                <w:spacing w:val="-3"/>
                <w:lang w:val="el-GR"/>
              </w:rPr>
              <w:t xml:space="preserve">Δισκία: </w:t>
            </w:r>
            <w:r>
              <w:rPr>
                <w:rFonts w:cs="Arial"/>
                <w:spacing w:val="-3"/>
                <w:lang w:val="el-GR"/>
              </w:rPr>
              <w:t>Συνιστάται αρχική δόση των 20</w:t>
            </w:r>
            <w:r>
              <w:rPr>
                <w:rFonts w:cs="Arial"/>
                <w:spacing w:val="-3"/>
              </w:rPr>
              <w:t> mg</w:t>
            </w:r>
            <w:r>
              <w:rPr>
                <w:rFonts w:cs="Arial"/>
                <w:spacing w:val="-3"/>
                <w:lang w:val="el-GR"/>
              </w:rPr>
              <w:t xml:space="preserve"> ημερησίως. </w:t>
            </w:r>
          </w:p>
          <w:p w:rsidR="008B43D6" w:rsidRDefault="008B43D6">
            <w:pPr>
              <w:jc w:val="both"/>
              <w:rPr>
                <w:u w:val="single"/>
                <w:lang w:val="el-GR"/>
              </w:rPr>
            </w:pPr>
            <w:r>
              <w:rPr>
                <w:rFonts w:cs="Arial"/>
                <w:spacing w:val="-3"/>
                <w:lang w:val="el-GR"/>
              </w:rPr>
              <w:t xml:space="preserve">Ανάλογα με την ανταπόκριση κάθε ασθενούς, η δόση μπορεί να αυξηθεί έως τη μέγιστη των </w:t>
            </w:r>
            <w:r>
              <w:rPr>
                <w:rFonts w:cs="Arial"/>
                <w:bCs/>
                <w:spacing w:val="-3"/>
                <w:lang w:val="el-GR"/>
              </w:rPr>
              <w:t>40</w:t>
            </w:r>
            <w:r>
              <w:rPr>
                <w:rFonts w:cs="Arial"/>
                <w:bCs/>
                <w:spacing w:val="-3"/>
              </w:rPr>
              <w:t> mg</w:t>
            </w:r>
            <w:r>
              <w:rPr>
                <w:rFonts w:cs="Arial"/>
                <w:bCs/>
                <w:spacing w:val="-3"/>
                <w:lang w:val="el-GR"/>
              </w:rPr>
              <w:t xml:space="preserve"> η</w:t>
            </w:r>
            <w:r>
              <w:rPr>
                <w:rFonts w:cs="Arial"/>
                <w:spacing w:val="-3"/>
                <w:lang w:val="el-GR"/>
              </w:rPr>
              <w:t xml:space="preserve">μερησίως </w:t>
            </w:r>
          </w:p>
          <w:p w:rsidR="008B43D6" w:rsidRDefault="008B43D6">
            <w:pPr>
              <w:jc w:val="both"/>
              <w:rPr>
                <w:u w:val="single"/>
                <w:lang w:val="el-GR"/>
              </w:rPr>
            </w:pPr>
          </w:p>
          <w:p w:rsidR="008B43D6" w:rsidRDefault="008B43D6">
            <w:pPr>
              <w:jc w:val="both"/>
              <w:rPr>
                <w:rFonts w:cs="Arial"/>
                <w:spacing w:val="-3"/>
                <w:lang w:val="el-GR"/>
              </w:rPr>
            </w:pPr>
            <w:r>
              <w:rPr>
                <w:rFonts w:cs="Arial"/>
                <w:i/>
                <w:iCs/>
                <w:spacing w:val="-3"/>
                <w:lang w:val="el-GR"/>
              </w:rPr>
              <w:t>Σταγόνες:</w:t>
            </w:r>
            <w:r>
              <w:rPr>
                <w:rFonts w:cs="Arial"/>
                <w:spacing w:val="-3"/>
                <w:lang w:val="el-GR"/>
              </w:rPr>
              <w:t xml:space="preserve"> Συνιστάται αρχική δόση των 16</w:t>
            </w:r>
            <w:r>
              <w:rPr>
                <w:rFonts w:cs="Arial"/>
                <w:spacing w:val="-3"/>
              </w:rPr>
              <w:t> mg</w:t>
            </w:r>
            <w:r>
              <w:rPr>
                <w:rFonts w:cs="Arial"/>
                <w:spacing w:val="-3"/>
                <w:lang w:val="el-GR"/>
              </w:rPr>
              <w:t xml:space="preserve"> </w:t>
            </w:r>
            <w:r>
              <w:rPr>
                <w:rFonts w:cs="Arial"/>
                <w:lang w:val="el-GR"/>
              </w:rPr>
              <w:t xml:space="preserve">(8 σταγόνες) </w:t>
            </w:r>
            <w:r>
              <w:rPr>
                <w:rFonts w:cs="Arial"/>
                <w:spacing w:val="-3"/>
                <w:lang w:val="el-GR"/>
              </w:rPr>
              <w:t xml:space="preserve">ημερησίως. </w:t>
            </w:r>
          </w:p>
          <w:p w:rsidR="008B43D6" w:rsidRDefault="008B43D6">
            <w:pPr>
              <w:jc w:val="both"/>
              <w:rPr>
                <w:rFonts w:cs="Arial"/>
                <w:lang w:val="el-GR"/>
              </w:rPr>
            </w:pPr>
            <w:r>
              <w:rPr>
                <w:rFonts w:cs="Arial"/>
                <w:spacing w:val="-3"/>
                <w:lang w:val="el-GR"/>
              </w:rPr>
              <w:t>Ανάλογα με την ανταπόκριση κάθε ασθενούς η δόση μπορεί να αυξηθεί έως τη μέγιστη των 32</w:t>
            </w:r>
            <w:r>
              <w:rPr>
                <w:rFonts w:cs="Arial"/>
                <w:spacing w:val="-3"/>
              </w:rPr>
              <w:t> mg</w:t>
            </w:r>
            <w:r>
              <w:rPr>
                <w:rFonts w:cs="Arial"/>
                <w:spacing w:val="-3"/>
                <w:lang w:val="el-GR"/>
              </w:rPr>
              <w:t xml:space="preserve"> </w:t>
            </w:r>
            <w:r>
              <w:rPr>
                <w:rFonts w:cs="Arial"/>
                <w:lang w:val="el-GR"/>
              </w:rPr>
              <w:t xml:space="preserve">(16 </w:t>
            </w:r>
          </w:p>
          <w:p w:rsidR="008B43D6" w:rsidRDefault="008B43D6">
            <w:pPr>
              <w:jc w:val="both"/>
              <w:rPr>
                <w:rFonts w:cs="Arial"/>
                <w:spacing w:val="-3"/>
                <w:lang w:val="el-GR"/>
              </w:rPr>
            </w:pPr>
            <w:r>
              <w:rPr>
                <w:rFonts w:cs="Arial"/>
                <w:lang w:val="el-GR"/>
              </w:rPr>
              <w:t xml:space="preserve">σταγόνες)  </w:t>
            </w:r>
            <w:r>
              <w:rPr>
                <w:rFonts w:cs="Arial"/>
                <w:spacing w:val="-3"/>
                <w:lang w:val="el-GR"/>
              </w:rPr>
              <w:t xml:space="preserve">ημερησίως </w:t>
            </w:r>
          </w:p>
          <w:p w:rsidR="008B43D6" w:rsidRDefault="008B43D6">
            <w:pPr>
              <w:jc w:val="both"/>
              <w:rPr>
                <w:u w:val="single"/>
                <w:lang w:val="el-GR"/>
              </w:rPr>
            </w:pPr>
          </w:p>
          <w:p w:rsidR="008B43D6" w:rsidRDefault="008B43D6">
            <w:pPr>
              <w:jc w:val="both"/>
              <w:rPr>
                <w:rFonts w:cs="Arial"/>
                <w:b/>
                <w:iCs/>
                <w:spacing w:val="-3"/>
                <w:u w:val="single"/>
                <w:lang w:val="el-GR"/>
              </w:rPr>
            </w:pPr>
          </w:p>
          <w:p w:rsidR="008B43D6" w:rsidRDefault="008B43D6">
            <w:pPr>
              <w:jc w:val="both"/>
              <w:rPr>
                <w:rFonts w:cs="Arial"/>
                <w:iCs/>
                <w:spacing w:val="-3"/>
                <w:u w:val="single"/>
                <w:lang w:val="el-GR"/>
              </w:rPr>
            </w:pPr>
            <w:r>
              <w:rPr>
                <w:rFonts w:cs="Arial"/>
                <w:iCs/>
                <w:spacing w:val="-3"/>
                <w:u w:val="single"/>
                <w:lang w:val="el-GR"/>
              </w:rPr>
              <w:lastRenderedPageBreak/>
              <w:t>Διάρκεια θεραπείας</w:t>
            </w:r>
          </w:p>
          <w:p w:rsidR="008B43D6" w:rsidRDefault="008B43D6">
            <w:pPr>
              <w:jc w:val="both"/>
              <w:rPr>
                <w:u w:val="single"/>
                <w:lang w:val="el-GR"/>
              </w:rPr>
            </w:pPr>
          </w:p>
          <w:p w:rsidR="008B43D6" w:rsidRDefault="008B43D6">
            <w:pPr>
              <w:jc w:val="both"/>
              <w:rPr>
                <w:rFonts w:cs="Arial"/>
                <w:spacing w:val="-3"/>
                <w:lang w:val="el-GR"/>
              </w:rPr>
            </w:pPr>
            <w:r>
              <w:rPr>
                <w:rFonts w:cs="Arial"/>
                <w:spacing w:val="-3"/>
                <w:lang w:val="el-GR"/>
              </w:rPr>
              <w:t xml:space="preserve">Η έναρξη της δράσης στη θεραπεία της </w:t>
            </w:r>
            <w:r>
              <w:rPr>
                <w:rFonts w:cs="Arial"/>
                <w:spacing w:val="-3"/>
              </w:rPr>
              <w:t>OCD</w:t>
            </w:r>
            <w:r>
              <w:rPr>
                <w:rFonts w:cs="Arial"/>
                <w:spacing w:val="-3"/>
                <w:lang w:val="el-GR"/>
              </w:rPr>
              <w:t xml:space="preserve"> εμφανίζεται μέσα σε 2-4 εβδομάδες και υπάρχει περαιτέρω βελτίωση  με τη πάροδο του χρόνου. </w:t>
            </w:r>
          </w:p>
          <w:p w:rsidR="008B43D6" w:rsidRDefault="008B43D6">
            <w:pPr>
              <w:jc w:val="both"/>
              <w:rPr>
                <w:u w:val="single"/>
                <w:lang w:val="el-GR"/>
              </w:rPr>
            </w:pPr>
          </w:p>
          <w:p w:rsidR="008B43D6" w:rsidRDefault="008B43D6">
            <w:pPr>
              <w:tabs>
                <w:tab w:val="left" w:pos="1578"/>
              </w:tabs>
              <w:jc w:val="both"/>
              <w:rPr>
                <w:rFonts w:cs="Arial"/>
                <w:b/>
                <w:iCs/>
                <w:spacing w:val="-3"/>
                <w:u w:val="single"/>
                <w:lang w:val="el-GR"/>
              </w:rPr>
            </w:pPr>
            <w:r>
              <w:rPr>
                <w:rFonts w:cs="Arial"/>
                <w:b/>
                <w:iCs/>
                <w:spacing w:val="-3"/>
                <w:u w:val="single"/>
                <w:lang w:val="el-GR"/>
              </w:rPr>
              <w:t>Ηλικιωμένοι ασθενείς (&gt; 65 ετών)</w:t>
            </w:r>
          </w:p>
          <w:p w:rsidR="008B43D6" w:rsidRDefault="008B43D6">
            <w:pPr>
              <w:jc w:val="both"/>
              <w:rPr>
                <w:rFonts w:cs="Arial"/>
                <w:spacing w:val="-3"/>
                <w:lang w:val="el-GR"/>
              </w:rPr>
            </w:pPr>
            <w:r>
              <w:rPr>
                <w:rFonts w:cs="Arial"/>
                <w:i/>
                <w:spacing w:val="-3"/>
                <w:lang w:val="el-GR"/>
              </w:rPr>
              <w:t xml:space="preserve">Δισκία </w:t>
            </w:r>
            <w:r>
              <w:rPr>
                <w:rFonts w:cs="Arial"/>
                <w:spacing w:val="-3"/>
                <w:lang w:val="el-GR"/>
              </w:rPr>
              <w:t>: Στους ηλικιωμένους ασθενείς η δόση θα πρέπει να μειωθεί στο μισό της συνιστώμενης δόσης, π.χ. 10-20</w:t>
            </w:r>
            <w:r>
              <w:rPr>
                <w:rFonts w:cs="Arial"/>
                <w:spacing w:val="-3"/>
                <w:lang w:val="en-US"/>
              </w:rPr>
              <w:t>mg</w:t>
            </w:r>
            <w:r>
              <w:rPr>
                <w:rFonts w:cs="Arial"/>
                <w:spacing w:val="-3"/>
                <w:lang w:val="el-GR"/>
              </w:rPr>
              <w:t xml:space="preserve"> ημερησίως. Η συνιστώμενη </w:t>
            </w:r>
            <w:r>
              <w:rPr>
                <w:rFonts w:cs="Arial"/>
                <w:color w:val="000000"/>
                <w:spacing w:val="-3"/>
                <w:u w:val="single"/>
                <w:lang w:val="el-GR"/>
              </w:rPr>
              <w:t>μέγιστη δόση</w:t>
            </w:r>
            <w:r>
              <w:rPr>
                <w:rFonts w:cs="Arial"/>
                <w:spacing w:val="-3"/>
                <w:lang w:val="el-GR"/>
              </w:rPr>
              <w:t xml:space="preserve"> για τους ηλικιωμένους ασθενείς είναι τα 20</w:t>
            </w:r>
            <w:r>
              <w:rPr>
                <w:rFonts w:cs="Arial"/>
                <w:spacing w:val="-3"/>
                <w:lang w:val="en-US"/>
              </w:rPr>
              <w:t>mg</w:t>
            </w:r>
            <w:r>
              <w:rPr>
                <w:rFonts w:cs="Arial"/>
                <w:spacing w:val="-3"/>
                <w:lang w:val="el-GR"/>
              </w:rPr>
              <w:t xml:space="preserve"> ημερησίως.</w:t>
            </w:r>
          </w:p>
          <w:p w:rsidR="008B43D6" w:rsidRDefault="008B43D6">
            <w:pPr>
              <w:jc w:val="both"/>
              <w:rPr>
                <w:rFonts w:cs="Arial"/>
                <w:spacing w:val="-3"/>
                <w:lang w:val="el-GR"/>
              </w:rPr>
            </w:pPr>
          </w:p>
          <w:p w:rsidR="008B43D6" w:rsidRDefault="008B43D6">
            <w:pPr>
              <w:jc w:val="both"/>
              <w:rPr>
                <w:rFonts w:cs="Arial"/>
                <w:spacing w:val="-3"/>
                <w:lang w:val="el-GR"/>
              </w:rPr>
            </w:pPr>
            <w:r>
              <w:rPr>
                <w:rFonts w:cs="Arial"/>
                <w:i/>
                <w:spacing w:val="-3"/>
                <w:lang w:val="el-GR"/>
              </w:rPr>
              <w:t>Σταγόνες:</w:t>
            </w:r>
            <w:r>
              <w:rPr>
                <w:rFonts w:cs="Arial"/>
                <w:spacing w:val="-3"/>
                <w:lang w:val="el-GR"/>
              </w:rPr>
              <w:t xml:space="preserve"> Στους ηλικιωμένους ασθενείς η δόση θα πρέπει να μειωθεί στο μισό της συνιστώμενης δόσης π.χ. 8</w:t>
            </w:r>
            <w:r>
              <w:rPr>
                <w:rFonts w:cs="Arial"/>
                <w:spacing w:val="-3"/>
                <w:lang w:val="en-US"/>
              </w:rPr>
              <w:t>mg</w:t>
            </w:r>
            <w:r>
              <w:rPr>
                <w:rFonts w:cs="Arial"/>
                <w:spacing w:val="-3"/>
                <w:lang w:val="el-GR"/>
              </w:rPr>
              <w:t xml:space="preserve"> (4 σταγόνες) έως 16</w:t>
            </w:r>
            <w:r>
              <w:rPr>
                <w:rFonts w:cs="Arial"/>
                <w:spacing w:val="-3"/>
                <w:lang w:val="en-US"/>
              </w:rPr>
              <w:t>mg</w:t>
            </w:r>
            <w:r>
              <w:rPr>
                <w:rFonts w:cs="Arial"/>
                <w:spacing w:val="-3"/>
                <w:lang w:val="el-GR"/>
              </w:rPr>
              <w:t xml:space="preserve"> (8 σταγόνες) ημερησίως. Η συνιστώμενη </w:t>
            </w:r>
            <w:r>
              <w:rPr>
                <w:rFonts w:cs="Arial"/>
                <w:color w:val="000000"/>
                <w:spacing w:val="-3"/>
                <w:u w:val="single"/>
                <w:lang w:val="el-GR"/>
              </w:rPr>
              <w:t>μέγιστη</w:t>
            </w:r>
            <w:r>
              <w:rPr>
                <w:rFonts w:cs="Arial"/>
                <w:spacing w:val="-3"/>
                <w:lang w:val="el-GR"/>
              </w:rPr>
              <w:t xml:space="preserve"> δόση για τους ηλικιωμένους ασθενείς είναι τα 16</w:t>
            </w:r>
            <w:r>
              <w:rPr>
                <w:rFonts w:cs="Arial"/>
                <w:spacing w:val="-3"/>
                <w:lang w:val="en-US"/>
              </w:rPr>
              <w:t>mg</w:t>
            </w:r>
            <w:r>
              <w:rPr>
                <w:rFonts w:cs="Arial"/>
                <w:spacing w:val="-3"/>
                <w:lang w:val="el-GR"/>
              </w:rPr>
              <w:t xml:space="preserve"> (8 σταγόνες) ημερησίως.</w:t>
            </w:r>
          </w:p>
          <w:p w:rsidR="008B43D6" w:rsidRDefault="008B43D6">
            <w:pPr>
              <w:jc w:val="both"/>
              <w:rPr>
                <w:rFonts w:cs="Arial"/>
                <w:spacing w:val="-3"/>
                <w:lang w:val="el-GR"/>
              </w:rPr>
            </w:pPr>
          </w:p>
          <w:p w:rsidR="008B43D6" w:rsidRDefault="008B43D6">
            <w:pPr>
              <w:jc w:val="both"/>
              <w:rPr>
                <w:bCs/>
                <w:lang w:val="el-GR"/>
              </w:rPr>
            </w:pPr>
            <w:r>
              <w:rPr>
                <w:b/>
                <w:bCs/>
                <w:u w:val="single"/>
                <w:lang w:val="el-GR"/>
              </w:rPr>
              <w:t>Παιδιά</w:t>
            </w:r>
            <w:r>
              <w:rPr>
                <w:rFonts w:cs="Arial"/>
                <w:b/>
                <w:bCs/>
                <w:iCs/>
                <w:spacing w:val="-3"/>
                <w:u w:val="single"/>
                <w:lang w:val="el-GR"/>
              </w:rPr>
              <w:t xml:space="preserve"> και έφηβοι (&lt;18 ετών)</w:t>
            </w:r>
            <w:r>
              <w:rPr>
                <w:b/>
                <w:bCs/>
                <w:u w:val="single"/>
                <w:lang w:val="el-GR"/>
              </w:rPr>
              <w:t xml:space="preserve"> </w:t>
            </w:r>
            <w:r>
              <w:rPr>
                <w:b/>
                <w:bCs/>
                <w:lang w:val="el-GR"/>
              </w:rPr>
              <w:t xml:space="preserve">: </w:t>
            </w:r>
            <w:r>
              <w:rPr>
                <w:bCs/>
                <w:lang w:val="el-GR"/>
              </w:rPr>
              <w:t xml:space="preserve">Το </w:t>
            </w:r>
            <w:proofErr w:type="spellStart"/>
            <w:r>
              <w:rPr>
                <w:bCs/>
                <w:lang w:val="en-US"/>
              </w:rPr>
              <w:t>Seropram</w:t>
            </w:r>
            <w:proofErr w:type="spellEnd"/>
            <w:r>
              <w:rPr>
                <w:bCs/>
                <w:lang w:val="el-GR"/>
              </w:rPr>
              <w:t xml:space="preserve"> δεν πρέπει να χρησιμοποιείται για τη θεραπεία παιδιών και εφήβων κάτω των 18 ετών βλέπε παράγραφο  4.4. </w:t>
            </w:r>
          </w:p>
          <w:p w:rsidR="008B43D6" w:rsidRDefault="008B43D6">
            <w:pPr>
              <w:jc w:val="both"/>
              <w:rPr>
                <w:b/>
                <w:bCs/>
                <w:lang w:val="el-GR"/>
              </w:rPr>
            </w:pPr>
          </w:p>
          <w:p w:rsidR="008B43D6" w:rsidRDefault="008B43D6">
            <w:pPr>
              <w:jc w:val="both"/>
              <w:rPr>
                <w:rFonts w:cs="Arial"/>
                <w:b/>
                <w:iCs/>
                <w:spacing w:val="-3"/>
                <w:u w:val="single"/>
                <w:lang w:val="el-GR"/>
              </w:rPr>
            </w:pPr>
            <w:r>
              <w:rPr>
                <w:rFonts w:cs="Arial"/>
                <w:b/>
                <w:iCs/>
                <w:spacing w:val="-3"/>
                <w:u w:val="single"/>
                <w:lang w:val="el-GR"/>
              </w:rPr>
              <w:t>Μειωμένη νεφρική λειτουργία</w:t>
            </w:r>
          </w:p>
          <w:p w:rsidR="008B43D6" w:rsidRDefault="008B43D6">
            <w:pPr>
              <w:jc w:val="both"/>
              <w:rPr>
                <w:spacing w:val="-3"/>
                <w:lang w:val="el-GR"/>
              </w:rPr>
            </w:pPr>
            <w:r>
              <w:rPr>
                <w:spacing w:val="-3"/>
                <w:lang w:val="el-GR"/>
              </w:rPr>
              <w:t xml:space="preserve">Δεν απαιτείται η προσαρμογή της δόσης σε ασθενείς με ήπια ως μέτρια νεφρική ανεπάρκεια. Προσοχή συνιστάται σε ασθενείς με σοβαρή νεφρική ανεπάρκεια (κάθαρση κρεατινίνης &lt;30 </w:t>
            </w:r>
            <w:r>
              <w:rPr>
                <w:spacing w:val="-3"/>
              </w:rPr>
              <w:t>ml</w:t>
            </w:r>
            <w:r>
              <w:rPr>
                <w:spacing w:val="-3"/>
                <w:lang w:val="el-GR"/>
              </w:rPr>
              <w:t>/</w:t>
            </w:r>
            <w:r>
              <w:rPr>
                <w:spacing w:val="-3"/>
              </w:rPr>
              <w:t>min</w:t>
            </w:r>
            <w:r>
              <w:rPr>
                <w:spacing w:val="-3"/>
                <w:lang w:val="el-GR"/>
              </w:rPr>
              <w:t xml:space="preserve">, βλέπε ενότητα 5.2). </w:t>
            </w:r>
          </w:p>
          <w:p w:rsidR="008B43D6" w:rsidRDefault="008B43D6">
            <w:pPr>
              <w:jc w:val="both"/>
              <w:rPr>
                <w:spacing w:val="-3"/>
                <w:lang w:val="el-GR"/>
              </w:rPr>
            </w:pPr>
          </w:p>
          <w:p w:rsidR="008B43D6" w:rsidRDefault="008B43D6">
            <w:pPr>
              <w:jc w:val="both"/>
              <w:rPr>
                <w:rFonts w:cs="Arial"/>
                <w:b/>
                <w:iCs/>
                <w:spacing w:val="-3"/>
                <w:u w:val="single"/>
                <w:lang w:val="el-GR"/>
              </w:rPr>
            </w:pPr>
            <w:r>
              <w:rPr>
                <w:rFonts w:cs="Arial"/>
                <w:b/>
                <w:iCs/>
                <w:spacing w:val="-3"/>
                <w:u w:val="single"/>
                <w:lang w:val="el-GR"/>
              </w:rPr>
              <w:t xml:space="preserve">Μειωμένη ηπατική λειτουργία </w:t>
            </w:r>
          </w:p>
          <w:p w:rsidR="008B43D6" w:rsidRDefault="008B43D6">
            <w:pPr>
              <w:keepNext/>
              <w:keepLines/>
              <w:jc w:val="both"/>
              <w:rPr>
                <w:rFonts w:cs="Arial"/>
                <w:spacing w:val="-3"/>
                <w:lang w:val="el-GR"/>
              </w:rPr>
            </w:pPr>
            <w:r>
              <w:rPr>
                <w:rFonts w:cs="Arial"/>
                <w:i/>
                <w:spacing w:val="-3"/>
                <w:lang w:val="el-GR"/>
              </w:rPr>
              <w:t xml:space="preserve">Δισκία: </w:t>
            </w:r>
            <w:r>
              <w:rPr>
                <w:rFonts w:cs="Arial"/>
                <w:spacing w:val="-3"/>
                <w:lang w:val="el-GR"/>
              </w:rPr>
              <w:t>Αρχική δόση των 10</w:t>
            </w:r>
            <w:r>
              <w:rPr>
                <w:rFonts w:cs="Arial"/>
                <w:spacing w:val="-3"/>
                <w:lang w:val="en-US"/>
              </w:rPr>
              <w:t>mg</w:t>
            </w:r>
            <w:r>
              <w:rPr>
                <w:rFonts w:cs="Arial"/>
                <w:spacing w:val="-3"/>
                <w:lang w:val="el-GR"/>
              </w:rPr>
              <w:t xml:space="preserve"> ημερησίως για τις πρώτες δύο εβδομάδες συνιστάται σε ασθενείς με ήπια ή μέτρια ηπατική ανεπάρκεια. Ανάλογα με την ανταπόκριση κάθε ασθενούς, η δόση μπορεί να αυξηθεί έως τη μέγιστη των </w:t>
            </w:r>
            <w:r>
              <w:rPr>
                <w:rFonts w:cs="Arial"/>
                <w:bCs/>
                <w:spacing w:val="-3"/>
                <w:lang w:val="el-GR"/>
              </w:rPr>
              <w:t>20</w:t>
            </w:r>
            <w:r>
              <w:rPr>
                <w:rFonts w:cs="Arial"/>
                <w:bCs/>
                <w:spacing w:val="-3"/>
              </w:rPr>
              <w:t> mg</w:t>
            </w:r>
            <w:r>
              <w:rPr>
                <w:rFonts w:cs="Arial"/>
                <w:bCs/>
                <w:spacing w:val="-3"/>
                <w:lang w:val="el-GR"/>
              </w:rPr>
              <w:t xml:space="preserve"> η</w:t>
            </w:r>
            <w:r>
              <w:rPr>
                <w:rFonts w:cs="Arial"/>
                <w:spacing w:val="-3"/>
                <w:lang w:val="el-GR"/>
              </w:rPr>
              <w:t>μερησίως. Προσοχή και προσεκτική τιτλοποίηση της δόσης συνίστατε σε ασθενείς με σοβαρά μειωμένη ηπατική λειτουργία. (βλέπε ενότητα 5.2)</w:t>
            </w:r>
          </w:p>
          <w:p w:rsidR="008B43D6" w:rsidRDefault="008B43D6">
            <w:pPr>
              <w:keepNext/>
              <w:keepLines/>
              <w:jc w:val="both"/>
              <w:rPr>
                <w:rFonts w:cs="Arial"/>
                <w:spacing w:val="-3"/>
                <w:lang w:val="el-GR"/>
              </w:rPr>
            </w:pPr>
          </w:p>
          <w:p w:rsidR="008B43D6" w:rsidRDefault="008B43D6">
            <w:pPr>
              <w:keepNext/>
              <w:keepLines/>
              <w:jc w:val="both"/>
              <w:rPr>
                <w:rFonts w:cs="Arial"/>
                <w:spacing w:val="-3"/>
                <w:lang w:val="el-GR"/>
              </w:rPr>
            </w:pPr>
            <w:r>
              <w:rPr>
                <w:rFonts w:cs="Arial"/>
                <w:i/>
                <w:spacing w:val="-3"/>
                <w:lang w:val="el-GR"/>
              </w:rPr>
              <w:t>Σταγόνες:</w:t>
            </w:r>
            <w:r>
              <w:rPr>
                <w:rFonts w:cs="Arial"/>
                <w:spacing w:val="-3"/>
                <w:lang w:val="el-GR"/>
              </w:rPr>
              <w:t xml:space="preserve"> Αρχική δόση των 8</w:t>
            </w:r>
            <w:r>
              <w:rPr>
                <w:rFonts w:cs="Arial"/>
                <w:spacing w:val="-3"/>
                <w:lang w:val="en-US"/>
              </w:rPr>
              <w:t>mg</w:t>
            </w:r>
            <w:r>
              <w:rPr>
                <w:rFonts w:cs="Arial"/>
                <w:spacing w:val="-3"/>
                <w:lang w:val="el-GR"/>
              </w:rPr>
              <w:t xml:space="preserve"> (4 σταγόνες) ημερησίως για τις πρώτες δύο εβδομάδες συνιστάται σε ασθενείς με ήπια ή μέτρια ηπατική ανεπάρκεια. Ανάλογα με την ανταπόκριση κάθε ασθενούς, η δόση μπορεί να αυξηθεί έως τη μέγιστη των </w:t>
            </w:r>
            <w:r>
              <w:rPr>
                <w:rFonts w:cs="Arial"/>
                <w:bCs/>
                <w:spacing w:val="-3"/>
                <w:lang w:val="el-GR"/>
              </w:rPr>
              <w:t>16</w:t>
            </w:r>
            <w:r>
              <w:rPr>
                <w:rFonts w:cs="Arial"/>
                <w:bCs/>
                <w:spacing w:val="-3"/>
              </w:rPr>
              <w:t> mg</w:t>
            </w:r>
            <w:r>
              <w:rPr>
                <w:rFonts w:cs="Arial"/>
                <w:bCs/>
                <w:spacing w:val="-3"/>
                <w:lang w:val="el-GR"/>
              </w:rPr>
              <w:t xml:space="preserve"> (8 σταγόνες) η</w:t>
            </w:r>
            <w:r>
              <w:rPr>
                <w:rFonts w:cs="Arial"/>
                <w:spacing w:val="-3"/>
                <w:lang w:val="el-GR"/>
              </w:rPr>
              <w:t>μερησίως. Προσοχή και προσεκτική τιτλοποίηση της δόσης συνιστάται σε ασθενείς με σοβαρά μειωμένη ηπατική λειτουργία. (βλέπε ενότητα 5.2)</w:t>
            </w:r>
          </w:p>
          <w:p w:rsidR="008B43D6" w:rsidRDefault="008B43D6">
            <w:pPr>
              <w:keepNext/>
              <w:keepLines/>
              <w:ind w:left="709"/>
              <w:jc w:val="both"/>
              <w:rPr>
                <w:i/>
                <w:iCs/>
                <w:bdr w:val="single" w:sz="4" w:space="0" w:color="auto"/>
                <w:lang w:val="el-GR"/>
              </w:rPr>
            </w:pPr>
          </w:p>
          <w:p w:rsidR="008B43D6" w:rsidRDefault="008B43D6">
            <w:pPr>
              <w:keepNext/>
              <w:keepLines/>
              <w:jc w:val="both"/>
              <w:rPr>
                <w:rFonts w:cs="Arial"/>
                <w:b/>
                <w:bCs/>
                <w:i/>
                <w:iCs/>
                <w:spacing w:val="-3"/>
                <w:u w:val="single"/>
                <w:lang w:val="el-GR"/>
              </w:rPr>
            </w:pPr>
            <w:r>
              <w:rPr>
                <w:rFonts w:cs="Arial"/>
                <w:b/>
                <w:bCs/>
                <w:spacing w:val="-3"/>
                <w:u w:val="single"/>
                <w:lang w:val="el-GR"/>
              </w:rPr>
              <w:t xml:space="preserve">Ασθενείς με χαμηλή λειτουργικότητα του </w:t>
            </w:r>
            <w:r>
              <w:rPr>
                <w:rFonts w:cs="Arial"/>
                <w:b/>
                <w:bCs/>
                <w:spacing w:val="-3"/>
                <w:u w:val="single"/>
              </w:rPr>
              <w:t>CYP</w:t>
            </w:r>
            <w:r>
              <w:rPr>
                <w:rFonts w:cs="Arial"/>
                <w:b/>
                <w:bCs/>
                <w:spacing w:val="-3"/>
                <w:u w:val="single"/>
                <w:lang w:val="el-GR"/>
              </w:rPr>
              <w:t>2</w:t>
            </w:r>
            <w:r>
              <w:rPr>
                <w:rFonts w:cs="Arial"/>
                <w:b/>
                <w:bCs/>
                <w:spacing w:val="-3"/>
                <w:u w:val="single"/>
              </w:rPr>
              <w:t>C</w:t>
            </w:r>
            <w:r>
              <w:rPr>
                <w:rFonts w:cs="Arial"/>
                <w:b/>
                <w:bCs/>
                <w:spacing w:val="-3"/>
                <w:u w:val="single"/>
                <w:lang w:val="el-GR"/>
              </w:rPr>
              <w:t>19</w:t>
            </w:r>
          </w:p>
          <w:p w:rsidR="008B43D6" w:rsidRDefault="008B43D6">
            <w:pPr>
              <w:jc w:val="both"/>
              <w:rPr>
                <w:rFonts w:cs="Arial"/>
                <w:spacing w:val="-3"/>
                <w:lang w:val="el-GR"/>
              </w:rPr>
            </w:pPr>
            <w:r>
              <w:rPr>
                <w:rFonts w:cs="Arial"/>
                <w:i/>
                <w:spacing w:val="-3"/>
                <w:lang w:val="el-GR"/>
              </w:rPr>
              <w:t>Δισκία:</w:t>
            </w:r>
            <w:r>
              <w:rPr>
                <w:rFonts w:cs="Arial"/>
                <w:spacing w:val="-3"/>
                <w:lang w:val="el-GR"/>
              </w:rPr>
              <w:t xml:space="preserve"> Αρχική δόση των 10</w:t>
            </w:r>
            <w:r>
              <w:rPr>
                <w:rFonts w:cs="Arial"/>
                <w:spacing w:val="-3"/>
              </w:rPr>
              <w:t> mg</w:t>
            </w:r>
            <w:r>
              <w:rPr>
                <w:rFonts w:cs="Arial"/>
                <w:spacing w:val="-3"/>
                <w:lang w:val="el-GR"/>
              </w:rPr>
              <w:t xml:space="preserve"> ημερησίως για τις πρώτες δύο εβδομάδες της θεραπείας για τους ασθενείς οι οποίοι είναι γνωστό ότι είναι πτωχοί μεταβολιστές του </w:t>
            </w:r>
            <w:r>
              <w:rPr>
                <w:rFonts w:cs="Arial"/>
                <w:spacing w:val="-3"/>
              </w:rPr>
              <w:t>CYP</w:t>
            </w:r>
            <w:r>
              <w:rPr>
                <w:rFonts w:cs="Arial"/>
                <w:spacing w:val="-3"/>
                <w:lang w:val="el-GR"/>
              </w:rPr>
              <w:t>2</w:t>
            </w:r>
            <w:r>
              <w:rPr>
                <w:rFonts w:cs="Arial"/>
                <w:spacing w:val="-3"/>
              </w:rPr>
              <w:t>C</w:t>
            </w:r>
            <w:r>
              <w:rPr>
                <w:rFonts w:cs="Arial"/>
                <w:spacing w:val="-3"/>
                <w:lang w:val="el-GR"/>
              </w:rPr>
              <w:t>19. Η δόση μπορεί να αυξηθεί στη μέγιστη δόση των 20</w:t>
            </w:r>
            <w:r>
              <w:rPr>
                <w:rFonts w:cs="Arial"/>
                <w:spacing w:val="-3"/>
              </w:rPr>
              <w:t> mg</w:t>
            </w:r>
            <w:r>
              <w:rPr>
                <w:rFonts w:cs="Arial"/>
                <w:spacing w:val="-3"/>
                <w:lang w:val="el-GR"/>
              </w:rPr>
              <w:t xml:space="preserve"> ημερησίως ανάλογα με την ανταπόκριση κάθε ασθενούς (βλ. παράγραφο 5.2). </w:t>
            </w:r>
          </w:p>
          <w:p w:rsidR="008B43D6" w:rsidRDefault="008B43D6">
            <w:pPr>
              <w:jc w:val="both"/>
              <w:rPr>
                <w:u w:val="single"/>
                <w:lang w:val="el-GR"/>
              </w:rPr>
            </w:pPr>
          </w:p>
          <w:p w:rsidR="008B43D6" w:rsidRDefault="008B43D6">
            <w:pPr>
              <w:jc w:val="both"/>
              <w:rPr>
                <w:rFonts w:cs="Arial"/>
                <w:spacing w:val="-3"/>
                <w:lang w:val="el-GR"/>
              </w:rPr>
            </w:pPr>
            <w:r>
              <w:rPr>
                <w:rFonts w:cs="Arial"/>
                <w:i/>
                <w:spacing w:val="-3"/>
                <w:lang w:val="el-GR"/>
              </w:rPr>
              <w:t>Σταγόνες:</w:t>
            </w:r>
            <w:r>
              <w:rPr>
                <w:rFonts w:cs="Arial"/>
                <w:spacing w:val="-3"/>
                <w:lang w:val="el-GR"/>
              </w:rPr>
              <w:t xml:space="preserve"> Αρχική δόση των 8</w:t>
            </w:r>
            <w:r>
              <w:rPr>
                <w:rFonts w:cs="Arial"/>
                <w:spacing w:val="-3"/>
              </w:rPr>
              <w:t> mg</w:t>
            </w:r>
            <w:r>
              <w:rPr>
                <w:rFonts w:cs="Arial"/>
                <w:spacing w:val="-3"/>
                <w:lang w:val="el-GR"/>
              </w:rPr>
              <w:t xml:space="preserve"> (4 σταγόνες) ημερησίως για τις πρώτες δύο εβδομάδες της θεραπείας για τους ασθενείς οι οποίοι είναι γνωστό ότι είναι πτωχοί μεταβολιστές του </w:t>
            </w:r>
            <w:r>
              <w:rPr>
                <w:rFonts w:cs="Arial"/>
                <w:spacing w:val="-3"/>
              </w:rPr>
              <w:t>CYP</w:t>
            </w:r>
            <w:r>
              <w:rPr>
                <w:rFonts w:cs="Arial"/>
                <w:spacing w:val="-3"/>
                <w:lang w:val="el-GR"/>
              </w:rPr>
              <w:t>2</w:t>
            </w:r>
            <w:r>
              <w:rPr>
                <w:rFonts w:cs="Arial"/>
                <w:spacing w:val="-3"/>
              </w:rPr>
              <w:t>C</w:t>
            </w:r>
            <w:r>
              <w:rPr>
                <w:rFonts w:cs="Arial"/>
                <w:spacing w:val="-3"/>
                <w:lang w:val="el-GR"/>
              </w:rPr>
              <w:t>19. Η δόση μπορεί να αυξηθεί στη μέγιστη δόση των 16</w:t>
            </w:r>
            <w:r>
              <w:rPr>
                <w:rFonts w:cs="Arial"/>
                <w:spacing w:val="-3"/>
              </w:rPr>
              <w:t> mg</w:t>
            </w:r>
            <w:r>
              <w:rPr>
                <w:rFonts w:cs="Arial"/>
                <w:spacing w:val="-3"/>
                <w:lang w:val="el-GR"/>
              </w:rPr>
              <w:t xml:space="preserve"> (8 σταγόνες) ημερησίως ανάλογα με την ανταπόκριση κάθε ασθενούς (βλ. παράγραφο 5.2). </w:t>
            </w:r>
          </w:p>
          <w:p w:rsidR="008B43D6" w:rsidRDefault="008B43D6">
            <w:pPr>
              <w:jc w:val="both"/>
              <w:rPr>
                <w:rFonts w:cs="Arial"/>
                <w:lang w:val="el-GR"/>
              </w:rPr>
            </w:pPr>
          </w:p>
          <w:p w:rsidR="008B43D6" w:rsidRDefault="008B43D6">
            <w:pPr>
              <w:jc w:val="both"/>
              <w:rPr>
                <w:rFonts w:cs="Arial"/>
                <w:lang w:val="el-GR"/>
              </w:rPr>
            </w:pPr>
          </w:p>
          <w:p w:rsidR="008B43D6" w:rsidRDefault="008B43D6">
            <w:pPr>
              <w:jc w:val="both"/>
              <w:rPr>
                <w:rFonts w:cs="Arial"/>
                <w:lang w:val="el-GR"/>
              </w:rPr>
            </w:pPr>
          </w:p>
          <w:p w:rsidR="008B43D6" w:rsidRDefault="008B43D6">
            <w:pPr>
              <w:jc w:val="both"/>
              <w:rPr>
                <w:rFonts w:cs="Arial"/>
                <w:lang w:val="el-GR"/>
              </w:rPr>
            </w:pPr>
          </w:p>
          <w:p w:rsidR="008B43D6" w:rsidRDefault="008B43D6">
            <w:pPr>
              <w:jc w:val="both"/>
              <w:rPr>
                <w:rFonts w:cs="Arial"/>
                <w:lang w:val="el-GR"/>
              </w:rPr>
            </w:pPr>
          </w:p>
          <w:p w:rsidR="008B43D6" w:rsidRDefault="008B43D6">
            <w:pPr>
              <w:jc w:val="both"/>
              <w:rPr>
                <w:rFonts w:cs="Arial"/>
                <w:lang w:val="el-GR"/>
              </w:rPr>
            </w:pPr>
          </w:p>
          <w:p w:rsidR="008B43D6" w:rsidRDefault="008B43D6">
            <w:pPr>
              <w:jc w:val="both"/>
              <w:rPr>
                <w:rFonts w:cs="Arial"/>
                <w:b/>
                <w:bCs/>
                <w:spacing w:val="-3"/>
                <w:u w:val="single"/>
                <w:lang w:val="el-GR"/>
              </w:rPr>
            </w:pPr>
            <w:r>
              <w:rPr>
                <w:rFonts w:cs="Arial"/>
                <w:b/>
                <w:bCs/>
                <w:spacing w:val="-3"/>
                <w:u w:val="single"/>
                <w:lang w:val="el-GR"/>
              </w:rPr>
              <w:lastRenderedPageBreak/>
              <w:t>Συμπτώματα στέρησης από την διακοπή των SSRIs</w:t>
            </w:r>
          </w:p>
          <w:p w:rsidR="008B43D6" w:rsidRDefault="008B43D6">
            <w:pPr>
              <w:jc w:val="both"/>
              <w:rPr>
                <w:rFonts w:cs="Arial"/>
                <w:lang w:val="el-GR"/>
              </w:rPr>
            </w:pPr>
            <w:r>
              <w:rPr>
                <w:rFonts w:cs="Arial"/>
                <w:lang w:val="el-GR"/>
              </w:rPr>
              <w:t xml:space="preserve">Η αιφνίδια διακοπή πρέπει να αποφεύγεται. Όταν σταματά η θεραπεία με σιταλοπράμη η δόση πρέπει να μειώνεται σταδιακά εντός χρονικού διαστήματος τουλάχιστον μίας έως δύο εβδομάδων ώστε να μειωθεί ο κίνδυνος εμφάνισης συμπτωμάτων στέρησης (βλ. παράγραφο 4.4 </w:t>
            </w:r>
            <w:r>
              <w:rPr>
                <w:bCs/>
                <w:lang w:val="el-GR"/>
              </w:rPr>
              <w:t xml:space="preserve">και </w:t>
            </w:r>
            <w:r>
              <w:rPr>
                <w:rFonts w:cs="Arial"/>
                <w:lang w:val="el-GR"/>
              </w:rPr>
              <w:t xml:space="preserve">4.8). Εάν εμφανισθούν μη ανεκτά συμπτώματα μετά από τη μείωση της δόσης ή κατά τη διακοπή της θεραπείας τότε θα πρέπει να εξετασθεί η επαναχορήγηση της προηγούμενης συνταγογραφούμενης δόσης. Ακολούθως ο γιατρός μπορεί να συνεχίσει να μειώνει τη δόση αλλά με πιο σταδιακό ρυθμό. </w:t>
            </w:r>
          </w:p>
          <w:p w:rsidR="008B43D6" w:rsidRDefault="008B43D6">
            <w:pPr>
              <w:jc w:val="both"/>
              <w:rPr>
                <w:u w:val="single"/>
                <w:lang w:val="el-GR"/>
              </w:rPr>
            </w:pPr>
          </w:p>
          <w:p w:rsidR="008B43D6" w:rsidRDefault="008B43D6">
            <w:pPr>
              <w:jc w:val="both"/>
              <w:rPr>
                <w:b/>
                <w:i/>
                <w:iCs/>
                <w:u w:val="single"/>
                <w:lang w:val="el-GR"/>
              </w:rPr>
            </w:pPr>
            <w:r>
              <w:rPr>
                <w:b/>
                <w:u w:val="single"/>
                <w:lang w:val="el-GR"/>
              </w:rPr>
              <w:t xml:space="preserve">Τρόπος χορήγησης </w:t>
            </w:r>
          </w:p>
          <w:p w:rsidR="008B43D6" w:rsidRDefault="008B43D6">
            <w:pPr>
              <w:pStyle w:val="a3"/>
              <w:tabs>
                <w:tab w:val="clear" w:pos="4153"/>
                <w:tab w:val="clear" w:pos="8306"/>
              </w:tabs>
              <w:jc w:val="both"/>
              <w:rPr>
                <w:lang w:val="el-GR"/>
              </w:rPr>
            </w:pPr>
          </w:p>
          <w:p w:rsidR="008B43D6" w:rsidRDefault="008B43D6">
            <w:pPr>
              <w:ind w:left="1128" w:hanging="1128"/>
              <w:jc w:val="both"/>
              <w:rPr>
                <w:rFonts w:cs="Arial"/>
                <w:spacing w:val="-3"/>
                <w:lang w:val="el-GR"/>
              </w:rPr>
            </w:pPr>
            <w:r>
              <w:rPr>
                <w:rFonts w:cs="Arial"/>
                <w:i/>
                <w:spacing w:val="-3"/>
                <w:lang w:val="el-GR"/>
              </w:rPr>
              <w:t>Δισκία:</w:t>
            </w:r>
            <w:r>
              <w:rPr>
                <w:rFonts w:cs="Arial"/>
                <w:spacing w:val="-3"/>
                <w:lang w:val="el-GR"/>
              </w:rPr>
              <w:t xml:space="preserve"> Τα δισκία της σιταλοπράμης χορηγούνται </w:t>
            </w:r>
            <w:r>
              <w:rPr>
                <w:rFonts w:cs="Arial"/>
                <w:lang w:val="el-GR"/>
              </w:rPr>
              <w:t>σε μία ημερήσια δόση</w:t>
            </w:r>
            <w:r>
              <w:rPr>
                <w:rFonts w:cs="Arial"/>
                <w:spacing w:val="-3"/>
                <w:lang w:val="el-GR"/>
              </w:rPr>
              <w:t>.</w:t>
            </w:r>
          </w:p>
          <w:p w:rsidR="008B43D6" w:rsidRDefault="008B43D6">
            <w:pPr>
              <w:jc w:val="both"/>
              <w:rPr>
                <w:rFonts w:cs="Arial"/>
                <w:spacing w:val="-3"/>
                <w:lang w:val="el-GR"/>
              </w:rPr>
            </w:pPr>
            <w:r>
              <w:rPr>
                <w:rFonts w:cs="Arial"/>
                <w:spacing w:val="-3"/>
                <w:lang w:val="el-GR"/>
              </w:rPr>
              <w:t xml:space="preserve">Τα δισκία της σιταλοπράμης μπορούν να λαμβάνονται οποιαδήποτε χρονική στιγμή της ημέρας χωρίς να είναι απαραίτητη η λήψη τροφής. </w:t>
            </w:r>
          </w:p>
          <w:p w:rsidR="008B43D6" w:rsidRDefault="008B43D6">
            <w:pPr>
              <w:jc w:val="both"/>
              <w:rPr>
                <w:rFonts w:cs="Arial"/>
                <w:lang w:val="el-GR"/>
              </w:rPr>
            </w:pPr>
          </w:p>
          <w:p w:rsidR="008B43D6" w:rsidRDefault="008B43D6">
            <w:pPr>
              <w:jc w:val="both"/>
              <w:rPr>
                <w:rFonts w:cs="Arial"/>
                <w:lang w:val="el-GR"/>
              </w:rPr>
            </w:pPr>
            <w:r>
              <w:rPr>
                <w:rFonts w:cs="Arial"/>
                <w:i/>
                <w:lang w:val="el-GR"/>
              </w:rPr>
              <w:t>Πόσιμες σταγόνες:</w:t>
            </w:r>
            <w:r>
              <w:rPr>
                <w:rFonts w:cs="Arial"/>
                <w:lang w:val="el-GR"/>
              </w:rPr>
              <w:t xml:space="preserve"> Η σιταλοπράμη σε πόσιμες σταγόνες χορηγείται σε μία ημερήσια δόση. </w:t>
            </w:r>
            <w:r>
              <w:rPr>
                <w:rFonts w:cs="Arial"/>
                <w:lang w:val="el-GR"/>
              </w:rPr>
              <w:br/>
              <w:t xml:space="preserve">Η σιταλοπράμη σε πόσιμες σταγόνες </w:t>
            </w:r>
            <w:r>
              <w:rPr>
                <w:rFonts w:cs="Arial"/>
                <w:spacing w:val="-3"/>
                <w:lang w:val="el-GR"/>
              </w:rPr>
              <w:t>μπορούν να λαμβάνονται οποιαδήποτε χρονική στιγμή της ημέρας χωρίς να είναι απαραίτητη η λήψη τροφής.</w:t>
            </w:r>
          </w:p>
          <w:p w:rsidR="008B43D6" w:rsidRDefault="008B43D6">
            <w:pPr>
              <w:jc w:val="both"/>
              <w:rPr>
                <w:rFonts w:cs="Arial"/>
                <w:lang w:val="el-GR"/>
              </w:rPr>
            </w:pPr>
            <w:r>
              <w:rPr>
                <w:rFonts w:cs="Arial"/>
                <w:lang w:val="el-GR"/>
              </w:rPr>
              <w:t xml:space="preserve">Η σιταλοπράμη σε πόσιμες σταγόνες  μπορεί να αναμιχθεί με νερό, χυμό πορτοκαλιού ή χυμό μήλου. </w:t>
            </w:r>
          </w:p>
          <w:p w:rsidR="008B43D6" w:rsidRDefault="008B43D6">
            <w:pPr>
              <w:jc w:val="both"/>
              <w:rPr>
                <w:rFonts w:cs="Arial"/>
                <w:lang w:val="el-GR"/>
              </w:rPr>
            </w:pPr>
            <w:r>
              <w:rPr>
                <w:rFonts w:cs="Arial"/>
                <w:lang w:val="el-GR"/>
              </w:rPr>
              <w:t>Η σιταλοπράμη σε πόσιμες σταγόνες έχει περίπου 25% υψηλότερη βιοδιαθεσιμότητα συγκριτικά με τα δισκία. Κατά συνέπεια οι δόσεις των δισκίων αντιστοιχούν σε δόσεις των σταγόνων ως ακολούθως:</w:t>
            </w:r>
          </w:p>
          <w:p w:rsidR="008B43D6" w:rsidRDefault="008B43D6">
            <w:pPr>
              <w:jc w:val="both"/>
              <w:rPr>
                <w:rFonts w:cs="Arial"/>
                <w:lang w:val="el-GR"/>
              </w:rPr>
            </w:pPr>
          </w:p>
          <w:p w:rsidR="008B43D6" w:rsidRDefault="008B43D6">
            <w:pPr>
              <w:jc w:val="both"/>
              <w:rPr>
                <w:rFonts w:cs="Arial"/>
                <w:lang w:val="el-GR"/>
              </w:rPr>
            </w:pPr>
            <w:r>
              <w:rPr>
                <w:rFonts w:cs="Arial"/>
                <w:lang w:val="el-GR"/>
              </w:rPr>
              <w:t>Δισκία</w:t>
            </w:r>
            <w:r>
              <w:rPr>
                <w:rFonts w:cs="Arial"/>
                <w:lang w:val="el-GR"/>
              </w:rPr>
              <w:tab/>
            </w:r>
            <w:r>
              <w:rPr>
                <w:rFonts w:cs="Arial"/>
                <w:lang w:val="el-GR"/>
              </w:rPr>
              <w:tab/>
              <w:t xml:space="preserve">               Διάλυμα</w:t>
            </w:r>
          </w:p>
          <w:p w:rsidR="008B43D6" w:rsidRDefault="008B43D6">
            <w:pPr>
              <w:jc w:val="both"/>
              <w:rPr>
                <w:rFonts w:cs="Arial"/>
                <w:lang w:val="el-GR"/>
              </w:rPr>
            </w:pPr>
            <w:r>
              <w:rPr>
                <w:rFonts w:cs="Arial"/>
                <w:lang w:val="el-GR"/>
              </w:rPr>
              <w:t xml:space="preserve">10 </w:t>
            </w:r>
            <w:r>
              <w:rPr>
                <w:rFonts w:cs="Arial"/>
                <w:lang w:val="da-DK"/>
              </w:rPr>
              <w:t>mg</w:t>
            </w:r>
            <w:r>
              <w:rPr>
                <w:rFonts w:cs="Arial"/>
                <w:lang w:val="el-GR"/>
              </w:rPr>
              <w:tab/>
            </w:r>
            <w:r>
              <w:rPr>
                <w:rFonts w:cs="Arial"/>
                <w:lang w:val="el-GR"/>
              </w:rPr>
              <w:tab/>
            </w:r>
            <w:r>
              <w:rPr>
                <w:rFonts w:cs="Arial"/>
                <w:lang w:val="el-GR"/>
              </w:rPr>
              <w:tab/>
              <w:t xml:space="preserve">  8 </w:t>
            </w:r>
            <w:r>
              <w:rPr>
                <w:rFonts w:cs="Arial"/>
                <w:lang w:val="da-DK"/>
              </w:rPr>
              <w:t>mg</w:t>
            </w:r>
            <w:r>
              <w:rPr>
                <w:rFonts w:cs="Arial"/>
                <w:lang w:val="el-GR"/>
              </w:rPr>
              <w:t xml:space="preserve"> (  4 σταγόνες)</w:t>
            </w:r>
          </w:p>
          <w:p w:rsidR="008B43D6" w:rsidRDefault="008B43D6">
            <w:pPr>
              <w:jc w:val="both"/>
              <w:rPr>
                <w:rFonts w:cs="Arial"/>
                <w:lang w:val="el-GR"/>
              </w:rPr>
            </w:pPr>
            <w:r>
              <w:rPr>
                <w:rFonts w:cs="Arial"/>
                <w:lang w:val="el-GR"/>
              </w:rPr>
              <w:t xml:space="preserve">20 </w:t>
            </w:r>
            <w:r>
              <w:rPr>
                <w:rFonts w:cs="Arial"/>
                <w:lang w:val="da-DK"/>
              </w:rPr>
              <w:t>mg</w:t>
            </w:r>
            <w:r>
              <w:rPr>
                <w:rFonts w:cs="Arial"/>
                <w:lang w:val="el-GR"/>
              </w:rPr>
              <w:tab/>
            </w:r>
            <w:r>
              <w:rPr>
                <w:rFonts w:cs="Arial"/>
                <w:lang w:val="el-GR"/>
              </w:rPr>
              <w:tab/>
            </w:r>
            <w:r>
              <w:rPr>
                <w:rFonts w:cs="Arial"/>
                <w:lang w:val="el-GR"/>
              </w:rPr>
              <w:tab/>
              <w:t xml:space="preserve">16 </w:t>
            </w:r>
            <w:r>
              <w:rPr>
                <w:rFonts w:cs="Arial"/>
                <w:lang w:val="da-DK"/>
              </w:rPr>
              <w:t>mg</w:t>
            </w:r>
            <w:r>
              <w:rPr>
                <w:rFonts w:cs="Arial"/>
                <w:lang w:val="el-GR"/>
              </w:rPr>
              <w:t xml:space="preserve"> (  8 σταγόνες)</w:t>
            </w:r>
          </w:p>
          <w:p w:rsidR="008B43D6" w:rsidRDefault="008B43D6">
            <w:pPr>
              <w:pStyle w:val="a8"/>
              <w:jc w:val="both"/>
              <w:rPr>
                <w:b w:val="0"/>
                <w:bCs/>
                <w:lang w:val="el-GR"/>
              </w:rPr>
            </w:pPr>
            <w:r>
              <w:rPr>
                <w:b w:val="0"/>
                <w:bCs/>
                <w:lang w:val="el-GR"/>
              </w:rPr>
              <w:t xml:space="preserve">30 </w:t>
            </w:r>
            <w:r>
              <w:rPr>
                <w:b w:val="0"/>
                <w:bCs/>
                <w:lang w:val="da-DK"/>
              </w:rPr>
              <w:t>mg</w:t>
            </w:r>
            <w:r>
              <w:rPr>
                <w:b w:val="0"/>
                <w:bCs/>
                <w:lang w:val="el-GR"/>
              </w:rPr>
              <w:tab/>
            </w:r>
            <w:r>
              <w:rPr>
                <w:b w:val="0"/>
                <w:bCs/>
                <w:lang w:val="el-GR"/>
              </w:rPr>
              <w:tab/>
            </w:r>
            <w:r>
              <w:rPr>
                <w:b w:val="0"/>
                <w:bCs/>
                <w:lang w:val="el-GR"/>
              </w:rPr>
              <w:tab/>
              <w:t xml:space="preserve">24 </w:t>
            </w:r>
            <w:r>
              <w:rPr>
                <w:b w:val="0"/>
                <w:bCs/>
                <w:lang w:val="da-DK"/>
              </w:rPr>
              <w:t>mg</w:t>
            </w:r>
            <w:r>
              <w:rPr>
                <w:b w:val="0"/>
                <w:bCs/>
                <w:lang w:val="el-GR"/>
              </w:rPr>
              <w:t xml:space="preserve"> (12 σταγόνες)</w:t>
            </w:r>
          </w:p>
          <w:p w:rsidR="008B43D6" w:rsidRDefault="008B43D6">
            <w:pPr>
              <w:jc w:val="both"/>
              <w:rPr>
                <w:rFonts w:cs="Arial"/>
                <w:lang w:val="el-GR"/>
              </w:rPr>
            </w:pPr>
            <w:r>
              <w:rPr>
                <w:rFonts w:cs="Arial"/>
                <w:lang w:val="da-DK"/>
              </w:rPr>
              <w:t>40 mg</w:t>
            </w:r>
            <w:r>
              <w:rPr>
                <w:rFonts w:cs="Arial"/>
                <w:lang w:val="da-DK"/>
              </w:rPr>
              <w:tab/>
            </w:r>
            <w:r>
              <w:rPr>
                <w:rFonts w:cs="Arial"/>
                <w:lang w:val="da-DK"/>
              </w:rPr>
              <w:tab/>
            </w:r>
            <w:r>
              <w:rPr>
                <w:rFonts w:cs="Arial"/>
                <w:lang w:val="da-DK"/>
              </w:rPr>
              <w:tab/>
              <w:t>32 mg (16 σταγόνες)</w:t>
            </w:r>
          </w:p>
          <w:p w:rsidR="008B43D6" w:rsidRDefault="008B43D6">
            <w:pPr>
              <w:jc w:val="both"/>
              <w:rPr>
                <w:lang w:val="da-DK"/>
              </w:rPr>
            </w:pPr>
          </w:p>
        </w:tc>
      </w:tr>
    </w:tbl>
    <w:p w:rsidR="008B43D6" w:rsidRDefault="008B43D6">
      <w:pPr>
        <w:keepNext/>
        <w:keepLines/>
        <w:jc w:val="both"/>
        <w:rPr>
          <w:b/>
          <w:lang w:val="da-DK"/>
        </w:rPr>
      </w:pPr>
    </w:p>
    <w:tbl>
      <w:tblPr>
        <w:tblW w:w="9066" w:type="dxa"/>
        <w:tblInd w:w="-612" w:type="dxa"/>
        <w:tblLayout w:type="fixed"/>
        <w:tblLook w:val="0000"/>
      </w:tblPr>
      <w:tblGrid>
        <w:gridCol w:w="9066"/>
      </w:tblGrid>
      <w:tr w:rsidR="008B43D6">
        <w:tblPrEx>
          <w:tblCellMar>
            <w:top w:w="0" w:type="dxa"/>
            <w:bottom w:w="0" w:type="dxa"/>
          </w:tblCellMar>
        </w:tblPrEx>
        <w:tc>
          <w:tcPr>
            <w:tcW w:w="9066" w:type="dxa"/>
          </w:tcPr>
          <w:p w:rsidR="008B43D6" w:rsidRDefault="008B43D6">
            <w:pPr>
              <w:keepNext/>
              <w:keepLines/>
              <w:jc w:val="both"/>
              <w:rPr>
                <w:lang w:val="el-GR"/>
              </w:rPr>
            </w:pPr>
            <w:r>
              <w:rPr>
                <w:b/>
                <w:lang w:val="el-GR"/>
              </w:rPr>
              <w:t>4.3</w:t>
            </w:r>
            <w:r>
              <w:rPr>
                <w:b/>
                <w:lang w:val="el-GR"/>
              </w:rPr>
              <w:tab/>
              <w:t xml:space="preserve">Αντενδείξεις </w:t>
            </w:r>
          </w:p>
          <w:p w:rsidR="008B43D6" w:rsidRDefault="008B43D6">
            <w:pPr>
              <w:ind w:left="720"/>
              <w:jc w:val="both"/>
              <w:rPr>
                <w:lang w:val="el-GR"/>
              </w:rPr>
            </w:pPr>
          </w:p>
          <w:p w:rsidR="008B43D6" w:rsidRDefault="008B43D6">
            <w:pPr>
              <w:jc w:val="both"/>
              <w:rPr>
                <w:lang w:val="el-GR"/>
              </w:rPr>
            </w:pPr>
            <w:r>
              <w:rPr>
                <w:lang w:val="el-GR"/>
              </w:rPr>
              <w:t>Υπερευαισθησία στη δραστική ουσία ή σε κάποιο από τα έκδοχα (βλ. παράγραφο 6.1)</w:t>
            </w:r>
          </w:p>
          <w:p w:rsidR="008B43D6" w:rsidRDefault="008B43D6">
            <w:pPr>
              <w:jc w:val="both"/>
              <w:rPr>
                <w:rFonts w:cs="Arial"/>
                <w:spacing w:val="-3"/>
                <w:lang w:val="el-GR"/>
              </w:rPr>
            </w:pPr>
          </w:p>
          <w:p w:rsidR="008B43D6" w:rsidRDefault="008B43D6">
            <w:pPr>
              <w:jc w:val="both"/>
              <w:rPr>
                <w:rFonts w:cs="Arial"/>
                <w:spacing w:val="-3"/>
                <w:lang w:val="el-GR"/>
              </w:rPr>
            </w:pPr>
            <w:r>
              <w:rPr>
                <w:rFonts w:cs="Arial"/>
                <w:bCs/>
                <w:spacing w:val="-3"/>
              </w:rPr>
              <w:t>MAOIs</w:t>
            </w:r>
            <w:r>
              <w:rPr>
                <w:rFonts w:cs="Arial"/>
                <w:bCs/>
                <w:spacing w:val="-3"/>
                <w:lang w:val="el-GR"/>
              </w:rPr>
              <w:t xml:space="preserve"> </w:t>
            </w:r>
            <w:r>
              <w:rPr>
                <w:rFonts w:cs="Arial"/>
                <w:spacing w:val="-3"/>
                <w:lang w:val="el-GR"/>
              </w:rPr>
              <w:t>(αναστολείς μονοάμινοξειδάσης)</w:t>
            </w:r>
          </w:p>
          <w:p w:rsidR="008B43D6" w:rsidRDefault="008B43D6">
            <w:pPr>
              <w:jc w:val="both"/>
              <w:rPr>
                <w:rFonts w:cs="Arial"/>
                <w:spacing w:val="-3"/>
                <w:lang w:val="el-GR"/>
              </w:rPr>
            </w:pPr>
          </w:p>
          <w:p w:rsidR="008B43D6" w:rsidRDefault="008B43D6">
            <w:pPr>
              <w:spacing w:after="150" w:line="240" w:lineRule="atLeast"/>
              <w:textAlignment w:val="top"/>
              <w:outlineLvl w:val="3"/>
              <w:rPr>
                <w:bCs/>
                <w:lang w:val="el-GR"/>
              </w:rPr>
            </w:pPr>
            <w:r>
              <w:rPr>
                <w:bCs/>
                <w:lang w:val="el-GR"/>
              </w:rPr>
              <w:t xml:space="preserve">Η σιταλοπράμη δεν πρέπει να χορηγείται σε ασθενείς που λαμβάνουν αναστολείς της μονοαμινοοξειδάσης (ΜΑΟ) (συμπεριλαμβανομένων της σελεγιλίνης) σε ημερήσιες δόσεις άνω των 10 mg / ημέρα. Η σιταλοπραμη δεν πρέπει να χορηγείται για δεκατέσσερις ημέρες μετά τη διακοπή ενός μη αναστρέψιμου MAO ή για καθορισμένο χρόνο μετά από τη διακοπή ενός αναστρέψιμου MAO (RIMA), έτσι όπως αναφέρεται στις οδηγίες συνταγογράφησης των </w:t>
            </w:r>
            <w:r>
              <w:rPr>
                <w:bCs/>
                <w:lang w:val="en-US"/>
              </w:rPr>
              <w:t>RIMA</w:t>
            </w:r>
            <w:r>
              <w:rPr>
                <w:bCs/>
                <w:lang w:val="el-GR"/>
              </w:rPr>
              <w:t xml:space="preserve">. Οι ΜΑΟ δεν πρέπει να χορηγηθούν για επτά ημέρες μετά τη διακοπή της σιταλοπράμης (βλέπε παράγραφο 4.5). </w:t>
            </w:r>
            <w:r>
              <w:rPr>
                <w:bCs/>
                <w:lang w:val="el-GR"/>
              </w:rPr>
              <w:br/>
            </w:r>
            <w:r>
              <w:rPr>
                <w:bCs/>
                <w:lang w:val="el-GR"/>
              </w:rPr>
              <w:br/>
            </w:r>
            <w:r>
              <w:rPr>
                <w:color w:val="000000"/>
                <w:lang w:val="el-GR"/>
              </w:rPr>
              <w:t>Η σιταλοπράμη</w:t>
            </w:r>
            <w:r>
              <w:rPr>
                <w:lang w:val="el-GR"/>
              </w:rPr>
              <w:t xml:space="preserve"> </w:t>
            </w:r>
            <w:r>
              <w:rPr>
                <w:bCs/>
                <w:lang w:val="el-GR"/>
              </w:rPr>
              <w:t xml:space="preserve"> αντενδείκνυται σε συνδυασμό με λινεζολίδη εκτός εάν  υπάρχουν οι προϋποθέσεις για στενή παρακολούθηση και έλεγχο της αρτηριακής πίεσης (βλέπε παράγραφο 4.5). </w:t>
            </w:r>
          </w:p>
          <w:p w:rsidR="008B43D6" w:rsidRDefault="008B43D6">
            <w:pPr>
              <w:ind w:left="720"/>
              <w:jc w:val="both"/>
              <w:rPr>
                <w:lang w:val="el-GR"/>
              </w:rPr>
            </w:pPr>
          </w:p>
          <w:p w:rsidR="008B43D6" w:rsidRDefault="008B43D6">
            <w:pPr>
              <w:jc w:val="both"/>
              <w:rPr>
                <w:lang w:val="el-GR"/>
              </w:rPr>
            </w:pPr>
            <w:r>
              <w:rPr>
                <w:lang w:val="el-GR"/>
              </w:rPr>
              <w:t>Η σιταλοπράμη αντενδείκνυται σε ασθενείς με γνωστή παράταση του διαστήματος QT ή συγγενές σύνδρομο μακρού QT.</w:t>
            </w:r>
          </w:p>
          <w:p w:rsidR="008B43D6" w:rsidRDefault="008B43D6">
            <w:pPr>
              <w:ind w:left="720"/>
              <w:jc w:val="both"/>
              <w:rPr>
                <w:lang w:val="el-GR"/>
              </w:rPr>
            </w:pPr>
          </w:p>
          <w:p w:rsidR="008B43D6" w:rsidRDefault="008B43D6">
            <w:pPr>
              <w:jc w:val="both"/>
              <w:rPr>
                <w:lang w:val="el-GR"/>
              </w:rPr>
            </w:pPr>
            <w:r>
              <w:rPr>
                <w:lang w:val="el-GR"/>
              </w:rPr>
              <w:t>Η σιταλοπράμη αντενδείκνυται σε συγχορήγηση μαζί με φαρμακευτικά προϊόντα που είναι γνωστό ότι παρατείνουν το διάστημα QT (βλέπε παράγραφο 4.5).</w:t>
            </w:r>
          </w:p>
          <w:p w:rsidR="008B43D6" w:rsidRDefault="008B43D6">
            <w:pPr>
              <w:ind w:left="720"/>
              <w:jc w:val="both"/>
              <w:rPr>
                <w:lang w:val="el-GR"/>
              </w:rPr>
            </w:pPr>
          </w:p>
          <w:p w:rsidR="008B43D6" w:rsidRDefault="008B43D6">
            <w:pPr>
              <w:jc w:val="both"/>
              <w:rPr>
                <w:lang w:val="el-GR"/>
              </w:rPr>
            </w:pPr>
            <w:r>
              <w:rPr>
                <w:lang w:val="el-GR"/>
              </w:rPr>
              <w:t>Η σιταλοπράμη δεν πρέπει να χρησιμοποιείται ταυτόχρονα με πιμοζίδη (βλ. επίσης παράγραφο 4.5).</w:t>
            </w:r>
          </w:p>
          <w:p w:rsidR="008B43D6" w:rsidRDefault="008B43D6">
            <w:pPr>
              <w:jc w:val="both"/>
              <w:rPr>
                <w:lang w:val="el-GR"/>
              </w:rPr>
            </w:pPr>
          </w:p>
          <w:p w:rsidR="008B43D6" w:rsidRDefault="008B43D6">
            <w:pPr>
              <w:keepNext/>
              <w:keepLines/>
              <w:numPr>
                <w:ilvl w:val="1"/>
                <w:numId w:val="3"/>
              </w:numPr>
              <w:jc w:val="both"/>
              <w:rPr>
                <w:b/>
                <w:i/>
                <w:iCs/>
                <w:lang w:val="el-GR"/>
              </w:rPr>
            </w:pPr>
            <w:r>
              <w:rPr>
                <w:b/>
                <w:lang w:val="el-GR"/>
              </w:rPr>
              <w:t>Ειδικές προειδοποιήσεις και προφυλάξεις κατά τη χρήση</w:t>
            </w:r>
          </w:p>
          <w:p w:rsidR="008B43D6" w:rsidRDefault="008B43D6">
            <w:pPr>
              <w:keepNext/>
              <w:keepLines/>
              <w:jc w:val="both"/>
              <w:rPr>
                <w:b/>
                <w:lang w:val="el-GR"/>
              </w:rPr>
            </w:pPr>
          </w:p>
          <w:p w:rsidR="008B43D6" w:rsidRDefault="008B43D6">
            <w:pPr>
              <w:jc w:val="both"/>
              <w:rPr>
                <w:rFonts w:cs="Arial"/>
                <w:bCs/>
                <w:lang w:val="el-GR"/>
              </w:rPr>
            </w:pPr>
            <w:r>
              <w:rPr>
                <w:rFonts w:cs="Arial"/>
                <w:bCs/>
                <w:lang w:val="el-GR"/>
              </w:rPr>
              <w:t xml:space="preserve">Θεραπεία ηλικιωμένων ασθενών και ασθενών με μειωμένη νεφρική και ηπατική λειτουργία, βλ. παράγραφο 4.2 </w:t>
            </w:r>
          </w:p>
          <w:p w:rsidR="008B43D6" w:rsidRDefault="008B43D6">
            <w:pPr>
              <w:keepNext/>
              <w:keepLines/>
              <w:jc w:val="both"/>
              <w:rPr>
                <w:u w:val="single"/>
                <w:lang w:val="el-GR"/>
              </w:rPr>
            </w:pPr>
          </w:p>
          <w:p w:rsidR="008B43D6" w:rsidRDefault="008B43D6">
            <w:pPr>
              <w:pStyle w:val="7"/>
              <w:ind w:left="0"/>
              <w:rPr>
                <w:rFonts w:cs="Arial"/>
                <w:i w:val="0"/>
                <w:u w:val="single"/>
              </w:rPr>
            </w:pPr>
            <w:r>
              <w:rPr>
                <w:rFonts w:cs="Arial"/>
                <w:i w:val="0"/>
                <w:u w:val="single"/>
              </w:rPr>
              <w:t xml:space="preserve">Χρήση από παιδιά και εφήβους κάτω των 18 ετών </w:t>
            </w:r>
          </w:p>
          <w:p w:rsidR="008B43D6" w:rsidRDefault="008B43D6">
            <w:pPr>
              <w:jc w:val="both"/>
              <w:rPr>
                <w:rFonts w:cs="Arial"/>
                <w:bCs/>
                <w:lang w:val="el-GR"/>
              </w:rPr>
            </w:pPr>
            <w:r>
              <w:rPr>
                <w:rFonts w:cs="Arial"/>
                <w:bCs/>
                <w:lang w:val="el-GR"/>
              </w:rPr>
              <w:t xml:space="preserve">Τα αντικαταθλιπτικά δε πρέπει να χρησιμοποιούνται για τη θεραπεία των παιδιών και των εφήβων κάτω των 18 ετών. Οι συμπεριφορές οι σχετιζόμενες με αυτοκτονία (απόπειρα αυτοκτονίας και σκέψεις για αυτοκτονία) και η εχθρική στάση (προεξάρχουσα επιθετικότητα, συμπεριφορά εναντίωσης και θυμός) παρατηρήθηκαν σε κλινικές μελέτες περισσότερο συχνά ανάμεσα σε παιδιά και εφήβους οι οποίοι ήταν σε θεραπεία με αντικαταθλιπτικά συγκριτικά με αυτούς που λάμβαναν εικονικό φάρμακο. Εάν, παρ΄ όλα αυτά βασιζόμενοι στη κλινική εκτίμηση ληφθεί η απόφαση για θεραπεία ο ασθενής θα πρέπει να παρακολουθείται προσεκτικά για την εμφάνιση αυτοκτονικών συμπτωμάτων. </w:t>
            </w:r>
          </w:p>
          <w:p w:rsidR="008B43D6" w:rsidRDefault="008B43D6">
            <w:pPr>
              <w:pStyle w:val="a3"/>
              <w:keepNext/>
              <w:keepLines/>
              <w:tabs>
                <w:tab w:val="clear" w:pos="4153"/>
                <w:tab w:val="clear" w:pos="8306"/>
              </w:tabs>
              <w:jc w:val="both"/>
              <w:rPr>
                <w:bCs/>
                <w:lang w:val="el-GR"/>
              </w:rPr>
            </w:pPr>
          </w:p>
          <w:p w:rsidR="008B43D6" w:rsidRDefault="008B43D6">
            <w:pPr>
              <w:textAlignment w:val="top"/>
              <w:rPr>
                <w:bCs/>
                <w:lang w:val="el-GR"/>
              </w:rPr>
            </w:pPr>
            <w:r>
              <w:rPr>
                <w:bCs/>
                <w:lang w:val="el-GR"/>
              </w:rPr>
              <w:t>Επιπλέον, δεν υπάρχουν μακροχρόνια στοιχεία ασφάλειας σε παιδιά και εφήβους που να αφορούν την ανάπτυξη, την ωρίμανση και τη γνωσιακή και συμπεριφορική ανάπτυξη.</w:t>
            </w:r>
          </w:p>
          <w:p w:rsidR="008B43D6" w:rsidRDefault="008B43D6">
            <w:pPr>
              <w:pStyle w:val="a3"/>
              <w:keepNext/>
              <w:keepLines/>
              <w:tabs>
                <w:tab w:val="clear" w:pos="4153"/>
                <w:tab w:val="clear" w:pos="8306"/>
              </w:tabs>
              <w:jc w:val="both"/>
              <w:rPr>
                <w:lang w:val="el-GR"/>
              </w:rPr>
            </w:pPr>
          </w:p>
          <w:p w:rsidR="008B43D6" w:rsidRDefault="008B43D6">
            <w:pPr>
              <w:pStyle w:val="a3"/>
              <w:keepNext/>
              <w:keepLines/>
              <w:tabs>
                <w:tab w:val="clear" w:pos="4153"/>
                <w:tab w:val="clear" w:pos="8306"/>
              </w:tabs>
              <w:jc w:val="both"/>
              <w:rPr>
                <w:lang w:val="el-GR"/>
              </w:rPr>
            </w:pPr>
          </w:p>
          <w:p w:rsidR="008B43D6" w:rsidRDefault="008B43D6">
            <w:pPr>
              <w:pStyle w:val="a3"/>
              <w:keepNext/>
              <w:keepLines/>
              <w:tabs>
                <w:tab w:val="clear" w:pos="4153"/>
                <w:tab w:val="clear" w:pos="8306"/>
              </w:tabs>
              <w:jc w:val="both"/>
              <w:rPr>
                <w:lang w:val="el-GR"/>
              </w:rPr>
            </w:pPr>
          </w:p>
          <w:p w:rsidR="008B43D6" w:rsidRDefault="008B43D6">
            <w:pPr>
              <w:pStyle w:val="a3"/>
              <w:keepNext/>
              <w:keepLines/>
              <w:tabs>
                <w:tab w:val="clear" w:pos="4153"/>
                <w:tab w:val="clear" w:pos="8306"/>
              </w:tabs>
              <w:jc w:val="both"/>
              <w:rPr>
                <w:lang w:val="el-GR"/>
              </w:rPr>
            </w:pPr>
          </w:p>
          <w:p w:rsidR="008B43D6" w:rsidRDefault="008B43D6">
            <w:pPr>
              <w:pStyle w:val="a3"/>
              <w:keepNext/>
              <w:keepLines/>
              <w:tabs>
                <w:tab w:val="clear" w:pos="4153"/>
                <w:tab w:val="clear" w:pos="8306"/>
              </w:tabs>
              <w:jc w:val="both"/>
              <w:rPr>
                <w:lang w:val="el-GR"/>
              </w:rPr>
            </w:pPr>
          </w:p>
          <w:p w:rsidR="008B43D6" w:rsidRDefault="008B43D6">
            <w:pPr>
              <w:jc w:val="both"/>
              <w:rPr>
                <w:rFonts w:cs="Arial"/>
                <w:bCs/>
                <w:iCs/>
                <w:spacing w:val="-3"/>
                <w:u w:val="single"/>
                <w:lang w:val="el-GR"/>
              </w:rPr>
            </w:pPr>
            <w:r>
              <w:rPr>
                <w:rFonts w:cs="Arial"/>
                <w:bCs/>
                <w:iCs/>
                <w:spacing w:val="-3"/>
                <w:u w:val="single"/>
                <w:lang w:val="el-GR"/>
              </w:rPr>
              <w:lastRenderedPageBreak/>
              <w:t>Παράδοξο άγχος</w:t>
            </w:r>
          </w:p>
          <w:p w:rsidR="008B43D6" w:rsidRDefault="008B43D6">
            <w:pPr>
              <w:jc w:val="both"/>
              <w:rPr>
                <w:rFonts w:cs="Arial"/>
                <w:spacing w:val="-3"/>
                <w:lang w:val="el-GR"/>
              </w:rPr>
            </w:pPr>
            <w:r>
              <w:rPr>
                <w:rFonts w:cs="Arial"/>
                <w:spacing w:val="-3"/>
                <w:lang w:val="el-GR"/>
              </w:rPr>
              <w:t>Μερικοί ασθενείς με σύνδρομο πανικού πιθανόν να παρουσιάσουν έντονα συμπτώματα άγχους κατά την έναρξη της θεραπείας με αντικαταθλιπτικά. Αυτή η παράδοξη αντίδραση συνήθως υποχωρεί μέσα στις  δύο πρώτες εβδομάδες της θεραπείας. Συνιστάται χαμηλή αρχική δόση ώστε να μειωθεί η πιθανότητα εμφάνισης του παράδοξου άγχους (βλ. παράγραφο 4.2).</w:t>
            </w:r>
          </w:p>
          <w:p w:rsidR="008B43D6" w:rsidRDefault="008B43D6">
            <w:pPr>
              <w:ind w:left="720"/>
              <w:jc w:val="both"/>
              <w:rPr>
                <w:lang w:val="el-GR"/>
              </w:rPr>
            </w:pPr>
          </w:p>
          <w:p w:rsidR="008B43D6" w:rsidRDefault="008B43D6">
            <w:pPr>
              <w:jc w:val="both"/>
              <w:rPr>
                <w:rFonts w:cs="Arial"/>
                <w:bCs/>
                <w:iCs/>
                <w:spacing w:val="-3"/>
                <w:u w:val="single"/>
                <w:lang w:val="el-GR"/>
              </w:rPr>
            </w:pPr>
            <w:r>
              <w:rPr>
                <w:rFonts w:cs="Arial"/>
                <w:bCs/>
                <w:iCs/>
                <w:spacing w:val="-3"/>
                <w:u w:val="single"/>
                <w:lang w:val="el-GR"/>
              </w:rPr>
              <w:t>Υπονατριαιμία</w:t>
            </w:r>
          </w:p>
          <w:p w:rsidR="008B43D6" w:rsidRDefault="008B43D6">
            <w:pPr>
              <w:jc w:val="both"/>
              <w:rPr>
                <w:bCs/>
                <w:lang w:val="el-GR"/>
              </w:rPr>
            </w:pPr>
            <w:r>
              <w:rPr>
                <w:rFonts w:cs="Arial"/>
                <w:spacing w:val="-3"/>
                <w:lang w:val="el-GR"/>
              </w:rPr>
              <w:t>Η υπονατριαιμία, πιθανόν εξαιτίας της  απρόσφορης έκκρισης της αντιδιουρητικής ορμόνης (</w:t>
            </w:r>
            <w:r>
              <w:rPr>
                <w:rFonts w:cs="Arial"/>
                <w:spacing w:val="-3"/>
              </w:rPr>
              <w:t>SIADH</w:t>
            </w:r>
            <w:r>
              <w:rPr>
                <w:rFonts w:cs="Arial"/>
                <w:spacing w:val="-3"/>
                <w:lang w:val="el-GR"/>
              </w:rPr>
              <w:t xml:space="preserve">), έχει αναφερθεί ως σπάνια ανεπιθύμητη ενέργεια με τη χρήση των </w:t>
            </w:r>
            <w:r>
              <w:rPr>
                <w:rFonts w:cs="Arial"/>
                <w:spacing w:val="-3"/>
              </w:rPr>
              <w:t>SSRIs</w:t>
            </w:r>
            <w:r>
              <w:rPr>
                <w:rFonts w:cs="Arial"/>
                <w:spacing w:val="-3"/>
                <w:lang w:val="el-GR"/>
              </w:rPr>
              <w:t xml:space="preserve"> </w:t>
            </w:r>
            <w:r>
              <w:rPr>
                <w:bCs/>
                <w:lang w:val="el-GR"/>
              </w:rPr>
              <w:t>και γενικά είναι αναστρέψιμη με τη διακοπή της θεραπείας. Οι ηλικιωμένες γυναίκες ασθενείς φαίνεται να διατρέχουν σε υψηλότερο κίνδυνο</w:t>
            </w:r>
          </w:p>
          <w:p w:rsidR="008B43D6" w:rsidRDefault="008B43D6">
            <w:pPr>
              <w:jc w:val="both"/>
              <w:rPr>
                <w:bCs/>
                <w:lang w:val="el-GR"/>
              </w:rPr>
            </w:pPr>
          </w:p>
          <w:p w:rsidR="008B43D6" w:rsidRDefault="008B43D6">
            <w:pPr>
              <w:jc w:val="both"/>
              <w:rPr>
                <w:rFonts w:cs="Arial"/>
                <w:bCs/>
                <w:spacing w:val="-3"/>
                <w:u w:val="single"/>
                <w:lang w:val="el-GR"/>
              </w:rPr>
            </w:pPr>
            <w:r>
              <w:rPr>
                <w:rFonts w:cs="Arial"/>
                <w:bCs/>
                <w:iCs/>
                <w:spacing w:val="-3"/>
                <w:u w:val="single"/>
                <w:lang w:val="el-GR"/>
              </w:rPr>
              <w:t>Αυτοκτονία</w:t>
            </w:r>
            <w:r>
              <w:rPr>
                <w:bCs/>
                <w:iCs/>
                <w:color w:val="000000"/>
                <w:u w:val="single"/>
                <w:lang w:val="el-GR"/>
              </w:rPr>
              <w:t xml:space="preserve">/αυτοκτονικός ιδεασμός ή κλινική επιδείνωση   </w:t>
            </w:r>
          </w:p>
          <w:p w:rsidR="008B43D6" w:rsidRDefault="008B43D6">
            <w:pPr>
              <w:jc w:val="both"/>
              <w:rPr>
                <w:iCs/>
                <w:color w:val="000000"/>
                <w:lang w:val="el-GR"/>
              </w:rPr>
            </w:pPr>
            <w:r>
              <w:rPr>
                <w:iCs/>
                <w:color w:val="000000"/>
                <w:lang w:val="el-GR"/>
              </w:rPr>
              <w:t xml:space="preserve">Η κατάθλιψη σχετίζεται με αυξημένο κίνδυνο σκέψεων για αυτοκτονία, αυτοτραυματισμό και αυτοκτονία (περιστατικά σχετικά με αυτοκτονία). Ο κίνδυνος αυτός επιμένει έως ότου εμφανιστεί σημαντική υποχώρηση των καταθλιπτικών συμπτωμάτων. Καθώς μπορεί να μην παρατηρηθεί  βελτίωση κατά τη διάρκεια των πρώτων εβδομάδων ή και περισσότερο της θεραπείας οι ασθενείς θα πρέπει να παρακολουθούνται στενά έως ότου παρατηρηθεί  βελτίωση. Η κλινική εμπειρία δείχνει  ότι ο κίνδυνος για αυτοκτονία μπορεί να αυξηθεί κατά τα πρώιμα στάδια της ανάρρωσης.  </w:t>
            </w:r>
          </w:p>
          <w:p w:rsidR="008B43D6" w:rsidRDefault="008B43D6">
            <w:pPr>
              <w:jc w:val="both"/>
              <w:rPr>
                <w:iCs/>
                <w:color w:val="000000"/>
                <w:lang w:val="el-GR"/>
              </w:rPr>
            </w:pPr>
          </w:p>
          <w:p w:rsidR="008B43D6" w:rsidRDefault="008B43D6">
            <w:pPr>
              <w:jc w:val="both"/>
              <w:rPr>
                <w:iCs/>
                <w:color w:val="000000"/>
                <w:lang w:val="el-GR"/>
              </w:rPr>
            </w:pPr>
            <w:r>
              <w:rPr>
                <w:iCs/>
                <w:color w:val="000000"/>
                <w:lang w:val="el-GR"/>
              </w:rPr>
              <w:t xml:space="preserve">Άλλες ψυχιατρικές καταστάσεις για τις οποίες συνταγογραφείται η σιταλοπράμη μπορούν επίσης να συσχετισθούν με αυξημένο κίνδυνο περιστατικών σχετικών με την αυτοκτονία. Επιπλέον αυτές οι καταστάσεις μπορεί να συνυπάρχουν με την μείζονα κατάθλιψη. Οι ίδιες προφυλάξεις οι οποίες πρέπει να λαμβάνονται σε  ασθενείς με μείζονα κατάθλιψη πρέπει να λαμβάνονται και   σε  ασθενείς με άλλες ψυχιατρικές διαταραχές. </w:t>
            </w:r>
          </w:p>
          <w:p w:rsidR="008B43D6" w:rsidRDefault="008B43D6">
            <w:pPr>
              <w:jc w:val="both"/>
              <w:rPr>
                <w:iCs/>
                <w:color w:val="000000"/>
                <w:lang w:val="el-GR"/>
              </w:rPr>
            </w:pPr>
          </w:p>
          <w:p w:rsidR="008B43D6" w:rsidRDefault="008B43D6">
            <w:pPr>
              <w:jc w:val="both"/>
              <w:rPr>
                <w:iCs/>
                <w:color w:val="000000"/>
                <w:lang w:val="el-GR"/>
              </w:rPr>
            </w:pPr>
            <w:r>
              <w:rPr>
                <w:iCs/>
                <w:color w:val="000000"/>
                <w:lang w:val="el-GR"/>
              </w:rPr>
              <w:t>Οι ασθενείς με ιστορικό σχετικό με αυτοκτονία ή αυτοί οι οποίοι εκδήλωσαν σημαντικό βαθμό αυτοκτονικού ιδεασμού πριν από την έναρξη της θεραπείας είναι γνωστό ότι έχουν υψηλότερο κίνδυνο εμφάνισης αυτοκτονικού ιδεασμού ή απόπειρας αυτοκτονίας και πρέπει να βρίσκονται σε στενή  παρακολούθηση κατά τη διάρκεια της θεραπείας</w:t>
            </w:r>
          </w:p>
          <w:p w:rsidR="008B43D6" w:rsidRDefault="008B43D6">
            <w:pPr>
              <w:textAlignment w:val="top"/>
              <w:rPr>
                <w:bCs/>
                <w:lang w:val="el-GR"/>
              </w:rPr>
            </w:pPr>
          </w:p>
          <w:p w:rsidR="008B43D6" w:rsidRDefault="008B43D6">
            <w:pPr>
              <w:textAlignment w:val="top"/>
              <w:rPr>
                <w:bCs/>
                <w:lang w:val="el-GR"/>
              </w:rPr>
            </w:pPr>
            <w:r>
              <w:rPr>
                <w:bCs/>
                <w:lang w:val="el-GR"/>
              </w:rPr>
              <w:t>Μια μετανάλυση από ελεγχόμενες με εικονικό φάρμακο κλινικές μελέτες με αντικαταθλιπτικά φάρμακα σε ενήλικες 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w:t>
            </w:r>
          </w:p>
          <w:p w:rsidR="008B43D6" w:rsidRDefault="008B43D6">
            <w:pPr>
              <w:jc w:val="both"/>
              <w:rPr>
                <w:iCs/>
                <w:color w:val="000000"/>
                <w:lang w:val="el-GR"/>
              </w:rPr>
            </w:pPr>
          </w:p>
          <w:p w:rsidR="008B43D6" w:rsidRDefault="008B43D6">
            <w:pPr>
              <w:jc w:val="both"/>
              <w:rPr>
                <w:bCs/>
                <w:lang w:val="el-GR"/>
              </w:rPr>
            </w:pPr>
            <w:r>
              <w:rPr>
                <w:bCs/>
                <w:lang w:val="el-GR"/>
              </w:rPr>
              <w:t>Στενή παρακολούθηση των ασθενών και ιδιαίτερα εκείνων που διατρέχουν υψηλό κίνδυνο θα πρέπει να συνοδεύει τη φαρμακοθεραπεία ειδικά στην έναρξη της θεραπείας και μετά από αλλαγές στη δοσολογία. Οι ασθενείς (και οι φροντιστές) θα πρέπει να γνωρίζουν για την ανάγκη παρακολούθησης για οποιαδήποτε κλινική επιδείνωση, αυτοκτονική συμπεριφορά ή σκέψεις και ασυνήθιστες αλλαγές στη συμπεριφορά και να αναζητήσουν ιατρική συμβουλή άμεσα εάν εμφανισθούν τα συμπτώματα αυτά</w:t>
            </w:r>
          </w:p>
          <w:p w:rsidR="008B43D6" w:rsidRDefault="008B43D6">
            <w:pPr>
              <w:jc w:val="both"/>
              <w:rPr>
                <w:bCs/>
                <w:lang w:val="el-GR"/>
              </w:rPr>
            </w:pPr>
          </w:p>
          <w:p w:rsidR="008B43D6" w:rsidRDefault="008B43D6">
            <w:pPr>
              <w:jc w:val="both"/>
              <w:rPr>
                <w:bCs/>
                <w:lang w:val="el-GR"/>
              </w:rPr>
            </w:pPr>
          </w:p>
          <w:p w:rsidR="008B43D6" w:rsidRDefault="008B43D6">
            <w:pPr>
              <w:jc w:val="both"/>
              <w:rPr>
                <w:bCs/>
                <w:lang w:val="el-GR"/>
              </w:rPr>
            </w:pPr>
          </w:p>
          <w:p w:rsidR="008B43D6" w:rsidRDefault="008B43D6">
            <w:pPr>
              <w:jc w:val="both"/>
              <w:rPr>
                <w:bCs/>
                <w:lang w:val="el-GR"/>
              </w:rPr>
            </w:pPr>
          </w:p>
          <w:p w:rsidR="008B43D6" w:rsidRDefault="008B43D6">
            <w:pPr>
              <w:jc w:val="both"/>
              <w:rPr>
                <w:bCs/>
                <w:lang w:val="el-GR"/>
              </w:rPr>
            </w:pPr>
          </w:p>
          <w:p w:rsidR="008B43D6" w:rsidRDefault="008B43D6">
            <w:pPr>
              <w:jc w:val="both"/>
              <w:rPr>
                <w:bCs/>
                <w:lang w:val="el-GR"/>
              </w:rPr>
            </w:pPr>
          </w:p>
          <w:p w:rsidR="008B43D6" w:rsidRDefault="008B43D6">
            <w:pPr>
              <w:jc w:val="both"/>
              <w:rPr>
                <w:rFonts w:cs="Arial"/>
                <w:bCs/>
                <w:color w:val="FF0000"/>
                <w:u w:val="single"/>
                <w:lang w:val="el-GR"/>
              </w:rPr>
            </w:pPr>
            <w:r>
              <w:rPr>
                <w:rFonts w:cs="Arial"/>
                <w:bCs/>
                <w:iCs/>
                <w:spacing w:val="-3"/>
                <w:u w:val="single"/>
                <w:lang w:val="el-GR"/>
              </w:rPr>
              <w:lastRenderedPageBreak/>
              <w:t>Ακαθισία/Ψυχοκινητική ανησυχία</w:t>
            </w:r>
          </w:p>
          <w:p w:rsidR="008B43D6" w:rsidRDefault="008B43D6">
            <w:pPr>
              <w:jc w:val="both"/>
              <w:rPr>
                <w:rFonts w:cs="Arial"/>
                <w:strike/>
                <w:color w:val="FF0000"/>
                <w:lang w:val="el-GR"/>
              </w:rPr>
            </w:pPr>
            <w:r>
              <w:rPr>
                <w:rFonts w:cs="Arial"/>
                <w:spacing w:val="-3"/>
                <w:lang w:val="el-GR"/>
              </w:rPr>
              <w:t xml:space="preserve">Η χρήση των </w:t>
            </w:r>
            <w:r>
              <w:rPr>
                <w:rFonts w:cs="Arial"/>
                <w:spacing w:val="-3"/>
              </w:rPr>
              <w:t>SSRIs</w:t>
            </w:r>
            <w:r>
              <w:rPr>
                <w:rFonts w:cs="Arial"/>
                <w:spacing w:val="-3"/>
                <w:lang w:val="el-GR"/>
              </w:rPr>
              <w:t>/</w:t>
            </w:r>
            <w:r>
              <w:rPr>
                <w:rFonts w:cs="Arial"/>
                <w:spacing w:val="-3"/>
              </w:rPr>
              <w:t>SNRIs</w:t>
            </w:r>
            <w:r>
              <w:rPr>
                <w:rFonts w:cs="Arial"/>
                <w:spacing w:val="-3"/>
                <w:lang w:val="el-GR"/>
              </w:rPr>
              <w:t xml:space="preserve"> έχει συσχετισθεί με την ανάπτυξη ακαθισίας η οποία χαρακτηρίζεται από υποκειμενική δυσάρεστη ή ενοχλητική ανησυχία και ανάγκη του ασθενούς για συχνή μετακίνηση συνοδευόμενη από αδυναμία για να καθίσει κάτω ή ακόμη και να σταθεί. Αυτό υπάρχει μεγαλύτερη πιθανότητα να εμφανισθεί κατά τη διάρκεια των πρώτων εβδομάδων θεραπείας. Στους ασθενείς που εμφανίζουν αυτά τα συμπτώματα η αύξηση της δόσης μπορεί να είναι επιζήμια. </w:t>
            </w:r>
          </w:p>
          <w:p w:rsidR="008B43D6" w:rsidRDefault="008B43D6">
            <w:pPr>
              <w:jc w:val="both"/>
              <w:rPr>
                <w:rFonts w:cs="Arial"/>
                <w:lang w:val="el-GR"/>
              </w:rPr>
            </w:pPr>
          </w:p>
          <w:p w:rsidR="008B43D6" w:rsidRDefault="008B43D6">
            <w:pPr>
              <w:jc w:val="both"/>
              <w:rPr>
                <w:rFonts w:cs="Arial"/>
                <w:bCs/>
                <w:iCs/>
                <w:spacing w:val="-3"/>
                <w:u w:val="single"/>
                <w:lang w:val="el-GR"/>
              </w:rPr>
            </w:pPr>
            <w:r>
              <w:rPr>
                <w:rFonts w:cs="Arial"/>
                <w:bCs/>
                <w:iCs/>
                <w:spacing w:val="-3"/>
                <w:u w:val="single"/>
                <w:lang w:val="el-GR"/>
              </w:rPr>
              <w:t>Μανία</w:t>
            </w:r>
          </w:p>
          <w:p w:rsidR="008B43D6" w:rsidRDefault="008B43D6">
            <w:pPr>
              <w:jc w:val="both"/>
              <w:rPr>
                <w:rFonts w:cs="Arial"/>
                <w:spacing w:val="-3"/>
                <w:lang w:val="el-GR"/>
              </w:rPr>
            </w:pPr>
            <w:r>
              <w:rPr>
                <w:rFonts w:cs="Arial"/>
                <w:spacing w:val="-3"/>
                <w:lang w:val="el-GR"/>
              </w:rPr>
              <w:t>Στους ασθενείς με μανιοκαταθλιπτική διαταραχή μπορεί να προκληθεί εμφάνιση  μανίας. Εάν ο ασθενής εισέλθει σε φάση μανίας τότε η σιταλοπράμη πρέπει να διακοπεί..</w:t>
            </w:r>
          </w:p>
          <w:p w:rsidR="008B43D6" w:rsidRDefault="008B43D6">
            <w:pPr>
              <w:jc w:val="both"/>
              <w:rPr>
                <w:rFonts w:cs="Arial"/>
                <w:lang w:val="el-GR"/>
              </w:rPr>
            </w:pPr>
          </w:p>
          <w:p w:rsidR="008B43D6" w:rsidRDefault="008B43D6">
            <w:pPr>
              <w:jc w:val="both"/>
              <w:rPr>
                <w:rFonts w:cs="Arial"/>
                <w:bCs/>
                <w:iCs/>
                <w:spacing w:val="-3"/>
                <w:u w:val="single"/>
                <w:lang w:val="el-GR"/>
              </w:rPr>
            </w:pPr>
            <w:r>
              <w:rPr>
                <w:rFonts w:cs="Arial"/>
                <w:bCs/>
                <w:iCs/>
                <w:spacing w:val="-3"/>
                <w:u w:val="single"/>
                <w:lang w:val="el-GR"/>
              </w:rPr>
              <w:t>Σπασμοί</w:t>
            </w:r>
          </w:p>
          <w:p w:rsidR="008B43D6" w:rsidRDefault="008B43D6">
            <w:pPr>
              <w:textAlignment w:val="top"/>
              <w:rPr>
                <w:bCs/>
                <w:lang w:val="el-GR"/>
              </w:rPr>
            </w:pPr>
            <w:r>
              <w:rPr>
                <w:bCs/>
                <w:lang w:val="el-GR"/>
              </w:rPr>
              <w:t>Οι επιληπτικές κρίσεις είναι ένας πιθανός κίνδυνος της αντικαταθλιπτικής αγωγής. Η σιταλοπράμη θα πρέπει να διακόπτεται σε κάθε ασθενή που εμφανίζει σπασμούς. Η σιταλοπράμη πρέπει να αποφεύγεται σε ασθενείς με ασταθή επιληψία και οι ασθενείς με ελεγχόμενη επιληψία θα πρέπει να παρακολουθούνται προσεκτικά. Η σιταλοπραμη πρέπει να διακόπτεται αν υπάρχει αύξηση της συχνότητας των κρίσεων.</w:t>
            </w:r>
          </w:p>
          <w:p w:rsidR="008B43D6" w:rsidRDefault="008B43D6">
            <w:pPr>
              <w:jc w:val="both"/>
              <w:rPr>
                <w:rFonts w:cs="Arial"/>
                <w:spacing w:val="-3"/>
                <w:lang w:val="el-GR"/>
              </w:rPr>
            </w:pPr>
          </w:p>
          <w:p w:rsidR="008B43D6" w:rsidRDefault="008B43D6">
            <w:pPr>
              <w:jc w:val="both"/>
              <w:rPr>
                <w:rFonts w:cs="Arial"/>
                <w:bCs/>
                <w:iCs/>
                <w:spacing w:val="-3"/>
                <w:u w:val="single"/>
                <w:lang w:val="el-GR"/>
              </w:rPr>
            </w:pPr>
            <w:r>
              <w:rPr>
                <w:rFonts w:cs="Arial"/>
                <w:bCs/>
                <w:iCs/>
                <w:spacing w:val="-3"/>
                <w:u w:val="single"/>
                <w:lang w:val="el-GR"/>
              </w:rPr>
              <w:t>Διαβήτης</w:t>
            </w:r>
          </w:p>
          <w:p w:rsidR="008B43D6" w:rsidRDefault="008B43D6">
            <w:pPr>
              <w:textAlignment w:val="top"/>
              <w:rPr>
                <w:bCs/>
                <w:lang w:val="el-GR"/>
              </w:rPr>
            </w:pPr>
            <w:r>
              <w:rPr>
                <w:bCs/>
                <w:lang w:val="el-GR"/>
              </w:rPr>
              <w:t>Σε ασθενείς με διαβήτη, η θεραπεία με ένα SSRI μπορεί να μεταβάλει τον γλυκαιμικό έλεγχο. Η ινσουλίνη και / ή από του στόματος υπογλυκαιμική αγωγή μπορεί να χρειαστεί προσαρμογή της δοσολογίας.</w:t>
            </w:r>
          </w:p>
          <w:p w:rsidR="008B43D6" w:rsidRDefault="008B43D6">
            <w:pPr>
              <w:jc w:val="both"/>
              <w:rPr>
                <w:rFonts w:cs="Arial"/>
                <w:spacing w:val="-3"/>
                <w:lang w:val="el-GR"/>
              </w:rPr>
            </w:pPr>
          </w:p>
          <w:p w:rsidR="008B43D6" w:rsidRDefault="008B43D6">
            <w:pPr>
              <w:jc w:val="both"/>
              <w:rPr>
                <w:rFonts w:cs="Arial"/>
                <w:bCs/>
                <w:iCs/>
                <w:u w:val="single"/>
                <w:lang w:val="el-GR"/>
              </w:rPr>
            </w:pPr>
            <w:r>
              <w:rPr>
                <w:rFonts w:cs="Arial"/>
                <w:bCs/>
                <w:u w:val="single"/>
                <w:lang w:val="el-GR"/>
              </w:rPr>
              <w:t>Σεροτονινεργικό σύνδρομο</w:t>
            </w:r>
          </w:p>
          <w:p w:rsidR="008B43D6" w:rsidRDefault="008B43D6">
            <w:pPr>
              <w:textAlignment w:val="top"/>
              <w:rPr>
                <w:bCs/>
                <w:lang w:val="el-GR"/>
              </w:rPr>
            </w:pPr>
            <w:r>
              <w:rPr>
                <w:bCs/>
                <w:lang w:val="el-GR"/>
              </w:rPr>
              <w:t xml:space="preserve">Σε σπάνιες περιπτώσεις, το σύνδρομο σεροτονίνης έχει αναφερθεί σε ασθενείς που λαμβάνουν </w:t>
            </w:r>
            <w:r>
              <w:rPr>
                <w:bCs/>
              </w:rPr>
              <w:t>SSRIs</w:t>
            </w:r>
            <w:r>
              <w:rPr>
                <w:bCs/>
                <w:lang w:val="el-GR"/>
              </w:rPr>
              <w:t>. Ο συνδυασμός των συμπτωμάτων όπως διέγερση, τρόμος, μυοκλονίες, και υπερθερμία μπορεί να υποδηλώνουν την ανάπτυξη αυτής της κατάστασης. Η θεραπεία με σιταλοπράμη πρέπει να διακοπεί αμέσως και να ξεκινήσει συμπτωματική αγωγή.</w:t>
            </w:r>
          </w:p>
          <w:p w:rsidR="008B43D6" w:rsidRDefault="008B43D6">
            <w:pPr>
              <w:jc w:val="both"/>
              <w:rPr>
                <w:rFonts w:cs="Arial"/>
                <w:lang w:val="el-GR"/>
              </w:rPr>
            </w:pPr>
          </w:p>
          <w:p w:rsidR="008B43D6" w:rsidRDefault="008B43D6">
            <w:pPr>
              <w:spacing w:after="150" w:line="240" w:lineRule="atLeast"/>
              <w:textAlignment w:val="top"/>
              <w:outlineLvl w:val="3"/>
              <w:rPr>
                <w:rFonts w:cs="Arial"/>
                <w:spacing w:val="-3"/>
                <w:lang w:val="el-GR"/>
              </w:rPr>
            </w:pPr>
            <w:r>
              <w:rPr>
                <w:bCs/>
                <w:u w:val="single"/>
                <w:lang w:val="el-GR"/>
              </w:rPr>
              <w:t>Σεροτονινεργικά φάρμακα</w:t>
            </w:r>
            <w:r>
              <w:rPr>
                <w:rFonts w:ascii="Arial" w:hAnsi="Arial" w:cs="Arial"/>
                <w:color w:val="000000"/>
                <w:lang w:val="el-GR"/>
              </w:rPr>
              <w:br/>
            </w:r>
            <w:r>
              <w:rPr>
                <w:bCs/>
                <w:lang w:val="el-GR"/>
              </w:rPr>
              <w:t>Η σιταλοπραμη δεν πρέπει να χρησιμοποιείται ταυτόχρονα με φαρμακευτικά προϊόντα με σεροτονινεργικές επιπτώσεις, όπως η σουματριπτάνη ή άλλες τριπτάνες, η τραμαδόλη, η οξιτρυπτάνη και η τρυπτοφάνη.</w:t>
            </w:r>
          </w:p>
          <w:p w:rsidR="008B43D6" w:rsidRDefault="008B43D6">
            <w:pPr>
              <w:jc w:val="both"/>
              <w:rPr>
                <w:rFonts w:cs="Arial"/>
                <w:bCs/>
                <w:iCs/>
                <w:u w:val="single"/>
                <w:lang w:val="el-GR"/>
              </w:rPr>
            </w:pPr>
            <w:r>
              <w:rPr>
                <w:rFonts w:cs="Arial"/>
                <w:bCs/>
                <w:iCs/>
                <w:spacing w:val="-3"/>
                <w:u w:val="single"/>
                <w:lang w:val="el-GR"/>
              </w:rPr>
              <w:t>Αιμορραγία</w:t>
            </w:r>
          </w:p>
          <w:p w:rsidR="008B43D6" w:rsidRDefault="008B43D6">
            <w:pPr>
              <w:textAlignment w:val="top"/>
              <w:rPr>
                <w:bCs/>
                <w:lang w:val="el-GR"/>
              </w:rPr>
            </w:pPr>
            <w:r>
              <w:rPr>
                <w:rFonts w:cs="Arial"/>
                <w:spacing w:val="-3"/>
                <w:lang w:val="el-GR"/>
              </w:rPr>
              <w:t xml:space="preserve">Έχουν υπάρξει αναφορές </w:t>
            </w:r>
            <w:r>
              <w:rPr>
                <w:bCs/>
                <w:lang w:val="el-GR"/>
              </w:rPr>
              <w:t xml:space="preserve">παρατεταμένου χρόνου ροής ή/και αιμορραγικές διαταραχές, </w:t>
            </w:r>
            <w:r>
              <w:rPr>
                <w:rFonts w:cs="Arial"/>
                <w:spacing w:val="-3"/>
                <w:lang w:val="el-GR"/>
              </w:rPr>
              <w:t xml:space="preserve"> όπως εκχυμώσεις </w:t>
            </w:r>
            <w:r>
              <w:rPr>
                <w:bCs/>
                <w:lang w:val="el-GR"/>
              </w:rPr>
              <w:t>γυναικολογικές ή γαστρεντερικές και λοιπές δερματικές ή βλεννογονικές αιμορραγίες με SSRI (βλέπε παράγραφο 4.8).</w:t>
            </w:r>
            <w:r>
              <w:rPr>
                <w:rFonts w:cs="Arial"/>
                <w:spacing w:val="-3"/>
                <w:lang w:val="el-GR"/>
              </w:rPr>
              <w:t xml:space="preserve"> Συνιστάται προσοχή σε ασθενείς οι οποίοι λαμβάνουν </w:t>
            </w:r>
            <w:r>
              <w:rPr>
                <w:rFonts w:cs="Arial"/>
                <w:spacing w:val="-3"/>
              </w:rPr>
              <w:t>SSRIs</w:t>
            </w:r>
            <w:r>
              <w:rPr>
                <w:rFonts w:cs="Arial"/>
                <w:spacing w:val="-3"/>
                <w:lang w:val="el-GR"/>
              </w:rPr>
              <w:t xml:space="preserve">, ειδικότερα σε συγχορήγηση με </w:t>
            </w:r>
            <w:r>
              <w:rPr>
                <w:bCs/>
                <w:lang w:val="el-GR"/>
              </w:rPr>
              <w:t>δραστικές ουσίες που είναι γνωστό ότι επηρεάζουν τη λειτουργία των αιμοπεταλίων ή άλλες δραστικές ουσίες που μπορεί να αυξήσουν τον κίνδυνο αιμορραγίας, καθώς και σε ασθενείς με ιστορικό αιμορραγικών διαταραχών (βλ. παράγραφο 4.5).</w:t>
            </w:r>
          </w:p>
          <w:p w:rsidR="008B43D6" w:rsidRDefault="008B43D6">
            <w:pPr>
              <w:jc w:val="both"/>
              <w:rPr>
                <w:rFonts w:cs="Arial"/>
                <w:iCs/>
                <w:u w:val="single"/>
                <w:lang w:val="el-GR"/>
              </w:rPr>
            </w:pPr>
          </w:p>
          <w:p w:rsidR="008B43D6" w:rsidRDefault="008B43D6">
            <w:pPr>
              <w:jc w:val="both"/>
              <w:rPr>
                <w:rFonts w:cs="Arial"/>
                <w:iCs/>
                <w:spacing w:val="-3"/>
                <w:u w:val="single"/>
                <w:lang w:val="el-GR"/>
              </w:rPr>
            </w:pPr>
            <w:r>
              <w:rPr>
                <w:rFonts w:cs="Arial"/>
                <w:bCs/>
                <w:iCs/>
                <w:spacing w:val="-3"/>
                <w:u w:val="single"/>
              </w:rPr>
              <w:t>ECT</w:t>
            </w:r>
            <w:r>
              <w:rPr>
                <w:rFonts w:cs="Arial"/>
                <w:bCs/>
                <w:iCs/>
                <w:spacing w:val="-3"/>
                <w:u w:val="single"/>
                <w:lang w:val="el-GR"/>
              </w:rPr>
              <w:t xml:space="preserve"> (ηλεκτροσπασμοθεραπεία</w:t>
            </w:r>
            <w:r>
              <w:rPr>
                <w:rFonts w:cs="Arial"/>
                <w:iCs/>
                <w:spacing w:val="-3"/>
                <w:u w:val="single"/>
                <w:lang w:val="el-GR"/>
              </w:rPr>
              <w:t>)</w:t>
            </w:r>
          </w:p>
          <w:p w:rsidR="008B43D6" w:rsidRDefault="008B43D6">
            <w:pPr>
              <w:jc w:val="both"/>
              <w:rPr>
                <w:rFonts w:cs="Arial"/>
                <w:color w:val="FF0000"/>
                <w:lang w:val="el-GR"/>
              </w:rPr>
            </w:pPr>
            <w:r>
              <w:rPr>
                <w:rFonts w:cs="Arial"/>
                <w:spacing w:val="-3"/>
                <w:lang w:val="el-GR"/>
              </w:rPr>
              <w:t xml:space="preserve">Υπάρχει περιορισμένη κλινική εμπειρία για συγχορήγηση των </w:t>
            </w:r>
            <w:r>
              <w:rPr>
                <w:rFonts w:cs="Arial"/>
                <w:spacing w:val="-3"/>
              </w:rPr>
              <w:t>SSRIs</w:t>
            </w:r>
            <w:r>
              <w:rPr>
                <w:rFonts w:cs="Arial"/>
                <w:spacing w:val="-3"/>
                <w:lang w:val="el-GR"/>
              </w:rPr>
              <w:t xml:space="preserve"> και της  </w:t>
            </w:r>
            <w:r>
              <w:rPr>
                <w:rFonts w:cs="Arial"/>
                <w:spacing w:val="-3"/>
              </w:rPr>
              <w:t>ECT</w:t>
            </w:r>
            <w:r>
              <w:rPr>
                <w:rFonts w:cs="Arial"/>
                <w:spacing w:val="-3"/>
                <w:lang w:val="el-GR"/>
              </w:rPr>
              <w:t xml:space="preserve"> γι’ αυτό το λόγο συνιστάται προσοχή. </w:t>
            </w:r>
          </w:p>
          <w:p w:rsidR="008B43D6" w:rsidRDefault="008B43D6">
            <w:pPr>
              <w:jc w:val="both"/>
              <w:rPr>
                <w:rFonts w:cs="Arial"/>
                <w:iCs/>
                <w:u w:val="single"/>
                <w:lang w:val="en-US"/>
              </w:rPr>
            </w:pPr>
          </w:p>
          <w:p w:rsidR="008B43D6" w:rsidRDefault="008B43D6">
            <w:pPr>
              <w:jc w:val="both"/>
              <w:rPr>
                <w:rFonts w:cs="Arial"/>
                <w:iCs/>
                <w:u w:val="single"/>
                <w:lang w:val="en-US"/>
              </w:rPr>
            </w:pPr>
          </w:p>
          <w:p w:rsidR="008B43D6" w:rsidRDefault="008B43D6">
            <w:pPr>
              <w:jc w:val="both"/>
              <w:rPr>
                <w:rFonts w:cs="Arial"/>
                <w:iCs/>
                <w:u w:val="single"/>
                <w:lang w:val="en-US"/>
              </w:rPr>
            </w:pPr>
          </w:p>
          <w:p w:rsidR="008B43D6" w:rsidRDefault="008B43D6">
            <w:pPr>
              <w:jc w:val="both"/>
              <w:rPr>
                <w:rFonts w:cs="Arial"/>
                <w:iCs/>
                <w:u w:val="single"/>
                <w:lang w:val="en-US"/>
              </w:rPr>
            </w:pPr>
          </w:p>
          <w:p w:rsidR="008B43D6" w:rsidRDefault="008B43D6">
            <w:pPr>
              <w:jc w:val="both"/>
              <w:rPr>
                <w:rFonts w:cs="Arial"/>
                <w:bCs/>
                <w:u w:val="single"/>
                <w:lang w:val="el-GR"/>
              </w:rPr>
            </w:pPr>
            <w:r>
              <w:rPr>
                <w:rFonts w:cs="Arial"/>
                <w:bCs/>
                <w:u w:val="single"/>
              </w:rPr>
              <w:lastRenderedPageBreak/>
              <w:t>St</w:t>
            </w:r>
            <w:r>
              <w:rPr>
                <w:rFonts w:cs="Arial"/>
                <w:bCs/>
                <w:u w:val="single"/>
                <w:lang w:val="el-GR"/>
              </w:rPr>
              <w:t xml:space="preserve">. </w:t>
            </w:r>
            <w:r>
              <w:rPr>
                <w:rFonts w:cs="Arial"/>
                <w:bCs/>
                <w:u w:val="single"/>
              </w:rPr>
              <w:t>John</w:t>
            </w:r>
            <w:r>
              <w:rPr>
                <w:rFonts w:cs="Arial"/>
                <w:bCs/>
                <w:u w:val="single"/>
                <w:lang w:val="el-GR"/>
              </w:rPr>
              <w:t>´</w:t>
            </w:r>
            <w:r>
              <w:rPr>
                <w:rFonts w:cs="Arial"/>
                <w:bCs/>
                <w:u w:val="single"/>
              </w:rPr>
              <w:t>s</w:t>
            </w:r>
            <w:r>
              <w:rPr>
                <w:rFonts w:cs="Arial"/>
                <w:bCs/>
                <w:u w:val="single"/>
                <w:lang w:val="el-GR"/>
              </w:rPr>
              <w:t xml:space="preserve"> </w:t>
            </w:r>
            <w:r>
              <w:rPr>
                <w:rFonts w:cs="Arial"/>
                <w:bCs/>
                <w:u w:val="single"/>
              </w:rPr>
              <w:t>Wort</w:t>
            </w:r>
          </w:p>
          <w:p w:rsidR="008B43D6" w:rsidRDefault="008B43D6">
            <w:pPr>
              <w:textAlignment w:val="top"/>
              <w:rPr>
                <w:bCs/>
                <w:lang w:val="el-GR"/>
              </w:rPr>
            </w:pPr>
            <w:r>
              <w:rPr>
                <w:bCs/>
                <w:lang w:val="el-GR"/>
              </w:rPr>
              <w:t xml:space="preserve">Οι ανεπιθύμητες ενέργειες μπορεί να είναι πιο συχνές κατά την ταυτόχρονη χρήση της σιταλοπραμης και φυτικά σκευάσματα που περιέχουν το </w:t>
            </w:r>
            <w:r>
              <w:rPr>
                <w:bCs/>
                <w:lang w:val="en-US"/>
              </w:rPr>
              <w:t>St</w:t>
            </w:r>
            <w:r>
              <w:rPr>
                <w:bCs/>
                <w:lang w:val="el-GR"/>
              </w:rPr>
              <w:t xml:space="preserve"> </w:t>
            </w:r>
            <w:r>
              <w:rPr>
                <w:bCs/>
                <w:lang w:val="en-US"/>
              </w:rPr>
              <w:t>John</w:t>
            </w:r>
            <w:r>
              <w:rPr>
                <w:bCs/>
                <w:lang w:val="el-GR"/>
              </w:rPr>
              <w:t>’</w:t>
            </w:r>
            <w:r>
              <w:rPr>
                <w:bCs/>
                <w:lang w:val="en-US"/>
              </w:rPr>
              <w:t>s</w:t>
            </w:r>
            <w:r>
              <w:rPr>
                <w:bCs/>
                <w:lang w:val="el-GR"/>
              </w:rPr>
              <w:t xml:space="preserve"> </w:t>
            </w:r>
            <w:r>
              <w:rPr>
                <w:bCs/>
                <w:lang w:val="en-US"/>
              </w:rPr>
              <w:t>wort</w:t>
            </w:r>
            <w:r>
              <w:rPr>
                <w:bCs/>
                <w:lang w:val="el-GR"/>
              </w:rPr>
              <w:t xml:space="preserve"> (</w:t>
            </w:r>
            <w:r>
              <w:rPr>
                <w:bCs/>
                <w:i/>
                <w:iCs/>
                <w:lang w:val="el-GR"/>
              </w:rPr>
              <w:t>Hypericum perforatum</w:t>
            </w:r>
            <w:r>
              <w:rPr>
                <w:bCs/>
                <w:lang w:val="el-GR"/>
              </w:rPr>
              <w:t xml:space="preserve">). Ως εκ τούτου η σιταλοπραμη και τα παρασκευάσματα του </w:t>
            </w:r>
            <w:r>
              <w:rPr>
                <w:bCs/>
                <w:lang w:val="en-US"/>
              </w:rPr>
              <w:t>St</w:t>
            </w:r>
            <w:r>
              <w:rPr>
                <w:bCs/>
                <w:lang w:val="el-GR"/>
              </w:rPr>
              <w:t xml:space="preserve"> </w:t>
            </w:r>
            <w:r>
              <w:rPr>
                <w:bCs/>
                <w:lang w:val="en-US"/>
              </w:rPr>
              <w:t>John</w:t>
            </w:r>
            <w:r>
              <w:rPr>
                <w:bCs/>
                <w:lang w:val="el-GR"/>
              </w:rPr>
              <w:t>’</w:t>
            </w:r>
            <w:r>
              <w:rPr>
                <w:bCs/>
                <w:lang w:val="en-US"/>
              </w:rPr>
              <w:t>s</w:t>
            </w:r>
            <w:r>
              <w:rPr>
                <w:bCs/>
                <w:lang w:val="el-GR"/>
              </w:rPr>
              <w:t xml:space="preserve"> </w:t>
            </w:r>
            <w:r>
              <w:rPr>
                <w:bCs/>
                <w:lang w:val="en-US"/>
              </w:rPr>
              <w:t>wort</w:t>
            </w:r>
            <w:r>
              <w:rPr>
                <w:bCs/>
                <w:lang w:val="el-GR"/>
              </w:rPr>
              <w:t xml:space="preserve">  δεν πρέπει να λαμβάνονται ταυτόχρονα (βλέπε παράγραφο 4.5).</w:t>
            </w:r>
          </w:p>
          <w:p w:rsidR="008B43D6" w:rsidRDefault="008B43D6">
            <w:pPr>
              <w:jc w:val="both"/>
              <w:rPr>
                <w:rFonts w:cs="Arial"/>
                <w:iCs/>
                <w:spacing w:val="-3"/>
                <w:u w:val="single"/>
                <w:lang w:val="el-GR"/>
              </w:rPr>
            </w:pPr>
          </w:p>
          <w:p w:rsidR="008B43D6" w:rsidRDefault="008B43D6">
            <w:pPr>
              <w:jc w:val="both"/>
              <w:rPr>
                <w:rFonts w:cs="Arial"/>
                <w:bCs/>
                <w:u w:val="single"/>
                <w:lang w:val="el-GR"/>
              </w:rPr>
            </w:pPr>
            <w:r>
              <w:rPr>
                <w:rFonts w:cs="Arial"/>
                <w:bCs/>
                <w:iCs/>
                <w:u w:val="single"/>
                <w:lang w:val="el-GR"/>
              </w:rPr>
              <w:t xml:space="preserve">Συμπτώματα στέρησης από τη θεραπεία τα οποία εμφανίζονται κατά τη διακοπή των </w:t>
            </w:r>
            <w:r>
              <w:rPr>
                <w:rFonts w:cs="Arial"/>
                <w:bCs/>
                <w:iCs/>
                <w:u w:val="single"/>
              </w:rPr>
              <w:t>SSRI</w:t>
            </w:r>
            <w:r>
              <w:rPr>
                <w:rFonts w:cs="Arial"/>
                <w:bCs/>
                <w:iCs/>
                <w:u w:val="single"/>
                <w:lang w:val="en-US"/>
              </w:rPr>
              <w:t>s</w:t>
            </w:r>
            <w:r>
              <w:rPr>
                <w:rFonts w:cs="Arial"/>
                <w:bCs/>
                <w:u w:val="single"/>
                <w:lang w:val="el-GR"/>
              </w:rPr>
              <w:t xml:space="preserve"> </w:t>
            </w:r>
          </w:p>
          <w:p w:rsidR="008B43D6" w:rsidRDefault="008B43D6">
            <w:pPr>
              <w:autoSpaceDE w:val="0"/>
              <w:autoSpaceDN w:val="0"/>
              <w:adjustRightInd w:val="0"/>
              <w:jc w:val="both"/>
              <w:rPr>
                <w:rFonts w:cs="Arial"/>
                <w:lang w:val="el-GR"/>
              </w:rPr>
            </w:pPr>
            <w:r>
              <w:rPr>
                <w:rFonts w:cs="Arial"/>
                <w:lang w:val="el-GR"/>
              </w:rPr>
              <w:t xml:space="preserve">Συμπτώματα </w:t>
            </w:r>
            <w:r>
              <w:rPr>
                <w:rFonts w:cs="Arial"/>
                <w:bCs/>
                <w:iCs/>
                <w:lang w:val="el-GR"/>
              </w:rPr>
              <w:t>στέρησης</w:t>
            </w:r>
            <w:r>
              <w:rPr>
                <w:rFonts w:cs="Arial"/>
                <w:lang w:val="el-GR"/>
              </w:rPr>
              <w:t xml:space="preserve"> όταν διακόπτεται η θεραπεία είναι συνήθη, ιδιαίτερα όταν η διακοπή είναι απότομη (βλ. παράγραφο 4.8). Σε μία κλινική μελέτη πρόληψης της υποτροπής με τη σιταλοπράμη, ανεπιθύμητες ενέργειες μετά από τη διακοπή της  θεραπείας παρατηρήθηκαν στο 40% των ασθενών έναντι του 20% των ασθενών οι οποίοι συνέχισαν τη θεραπεία με τη σιταλοπράμη.</w:t>
            </w:r>
          </w:p>
          <w:p w:rsidR="008B43D6" w:rsidRDefault="008B43D6">
            <w:pPr>
              <w:jc w:val="both"/>
              <w:rPr>
                <w:rFonts w:cs="Arial"/>
                <w:lang w:val="el-GR"/>
              </w:rPr>
            </w:pPr>
          </w:p>
          <w:p w:rsidR="008B43D6" w:rsidRDefault="008B43D6">
            <w:pPr>
              <w:jc w:val="both"/>
              <w:rPr>
                <w:rFonts w:cs="Arial"/>
                <w:lang w:val="el-GR"/>
              </w:rPr>
            </w:pPr>
            <w:r>
              <w:rPr>
                <w:rFonts w:cs="Arial"/>
                <w:lang w:val="el-GR"/>
              </w:rPr>
              <w:t xml:space="preserve">Ο κίνδυνος εμφάνισης συμπτωμάτων </w:t>
            </w:r>
            <w:r>
              <w:rPr>
                <w:rFonts w:cs="Arial"/>
                <w:bCs/>
                <w:iCs/>
                <w:lang w:val="el-GR"/>
              </w:rPr>
              <w:t>στέρησης</w:t>
            </w:r>
            <w:r>
              <w:rPr>
                <w:rFonts w:cs="Arial"/>
                <w:lang w:val="el-GR"/>
              </w:rPr>
              <w:t xml:space="preserve"> μπορεί να εξαρτάται από διάφορους παράγοντες συμπεριλαμβανομένης της διάρκειας της θεραπείας, της δόσης και του ρυθμού  μείωσης της δόσης. Οι πιο συνήθεις αναφερόμενες ανεπιθύμητες αντιδράσεις είναι ζάλη, αισθητικές διαταραχές, (συμπεριλαμβανομένης της παραισθησίας), διαταραχές ύπνου (συμπεριλαμβανομένης της αϋπνίας και των παθολογικών ονείρων), διέγερση ή άγχος, ναυτία και/ή εμετός, τρόμος, σύγχυση, εφίδρωση, κεφαλαλγία, διάρροια, αίσθημα παλμών, συναισθηματική αστάθεια, ευερεθιστότητα και διαταραχές της όρασης. Γενικά αυτά τα συμπτώματα είναι ήπια προς μέτρια, αν και σε μερικούς ασθενείς μπορεί να είναι σοβαρά ως προς την έντασή τους. </w:t>
            </w:r>
          </w:p>
          <w:p w:rsidR="008B43D6" w:rsidRDefault="008B43D6">
            <w:pPr>
              <w:jc w:val="both"/>
              <w:rPr>
                <w:rFonts w:cs="Arial"/>
                <w:lang w:val="el-GR"/>
              </w:rPr>
            </w:pPr>
            <w:r>
              <w:rPr>
                <w:rFonts w:cs="Arial"/>
                <w:lang w:val="el-GR"/>
              </w:rPr>
              <w:t xml:space="preserve">Εμφανίζονται συνήθως μετά από λίγες μέρες από  τη διακοπή της θεραπείας αλλά έχουν υπάρξει σπάνιες αναφορές τέτοιων συμπτωμάτων σε ασθενείς οι οποίοι δεν έλαβαν μία δόση από παράλειψη. </w:t>
            </w:r>
          </w:p>
          <w:p w:rsidR="008B43D6" w:rsidRDefault="008B43D6">
            <w:pPr>
              <w:jc w:val="both"/>
              <w:rPr>
                <w:rFonts w:cs="Arial"/>
                <w:lang w:val="el-GR"/>
              </w:rPr>
            </w:pPr>
            <w:r>
              <w:rPr>
                <w:rFonts w:cs="Arial"/>
                <w:lang w:val="el-GR"/>
              </w:rPr>
              <w:t>Γενικά αυτά τα συμπτώματα είναι αυτοπεριοριζόμενα και υποχωρούν εντός 2 εβδομάδων, παρόλο που σε κάποια άτομα μπορεί να διαρκέσουν και περισσότερο (2-3 μήνες ή περισσότερο). Γι αυτό το λόγο συνιστάται η σιταλοπράμη να μειώνεται σταδιακά όταν η θεραπεία πρέπει να διακοπεί μέσα σε χρονικό διάστημα κάποιων εβδομάδων ή μηνών, βάσει των αναγκών κάθε ασθενούς (βλ. “</w:t>
            </w:r>
            <w:r>
              <w:rPr>
                <w:rFonts w:cs="Arial"/>
                <w:iCs/>
                <w:lang w:val="el-GR"/>
              </w:rPr>
              <w:t>Συμπτώματα Σ</w:t>
            </w:r>
            <w:r>
              <w:rPr>
                <w:rFonts w:cs="Arial"/>
                <w:bCs/>
                <w:iCs/>
                <w:lang w:val="el-GR"/>
              </w:rPr>
              <w:t>τέρησης</w:t>
            </w:r>
            <w:r>
              <w:rPr>
                <w:rFonts w:cs="Arial"/>
                <w:iCs/>
                <w:lang w:val="el-GR"/>
              </w:rPr>
              <w:t xml:space="preserve"> από τη θεραπεία τα οποία εμφανίζονται κατά τη διακοπή των </w:t>
            </w:r>
            <w:r>
              <w:rPr>
                <w:rFonts w:cs="Arial"/>
                <w:iCs/>
              </w:rPr>
              <w:t>SSRI</w:t>
            </w:r>
            <w:r>
              <w:rPr>
                <w:rFonts w:cs="Arial"/>
                <w:lang w:val="el-GR"/>
              </w:rPr>
              <w:t>, Παράγραφος 4.2).</w:t>
            </w:r>
          </w:p>
          <w:p w:rsidR="008B43D6" w:rsidRDefault="008B43D6">
            <w:pPr>
              <w:jc w:val="both"/>
              <w:rPr>
                <w:rFonts w:cs="Arial"/>
                <w:lang w:val="el-GR"/>
              </w:rPr>
            </w:pPr>
          </w:p>
          <w:p w:rsidR="008B43D6" w:rsidRDefault="008B43D6">
            <w:pPr>
              <w:jc w:val="both"/>
              <w:rPr>
                <w:rFonts w:cs="Arial"/>
                <w:u w:val="single"/>
                <w:lang w:val="el-GR"/>
              </w:rPr>
            </w:pPr>
            <w:r>
              <w:rPr>
                <w:rFonts w:cs="Arial"/>
                <w:u w:val="single"/>
                <w:lang w:val="el-GR"/>
              </w:rPr>
              <w:t>Ψύχωση</w:t>
            </w:r>
          </w:p>
          <w:p w:rsidR="008B43D6" w:rsidRDefault="008B43D6">
            <w:pPr>
              <w:jc w:val="both"/>
              <w:rPr>
                <w:rFonts w:cs="Arial"/>
                <w:lang w:val="el-GR"/>
              </w:rPr>
            </w:pPr>
            <w:r>
              <w:rPr>
                <w:rFonts w:cs="Arial"/>
                <w:lang w:val="el-GR"/>
              </w:rPr>
              <w:t xml:space="preserve">Θεραπεία ψυχωτικών ασθενών με αντικαταθλιπτικά μπορεί να αυξήσει τα ψυχωτικά συμπτώματα. </w:t>
            </w:r>
          </w:p>
          <w:p w:rsidR="008B43D6" w:rsidRDefault="008B43D6">
            <w:pPr>
              <w:jc w:val="both"/>
              <w:rPr>
                <w:rFonts w:cs="Arial"/>
                <w:lang w:val="el-GR"/>
              </w:rPr>
            </w:pPr>
          </w:p>
          <w:p w:rsidR="008B43D6" w:rsidRDefault="008B43D6">
            <w:pPr>
              <w:jc w:val="both"/>
              <w:rPr>
                <w:rFonts w:cs="Arial"/>
                <w:u w:val="single"/>
                <w:lang w:val="el-GR"/>
              </w:rPr>
            </w:pPr>
            <w:r>
              <w:rPr>
                <w:rFonts w:cs="Arial"/>
                <w:u w:val="single"/>
                <w:lang w:val="el-GR"/>
              </w:rPr>
              <w:t>Παράταση του διαστήματος QT.</w:t>
            </w:r>
          </w:p>
          <w:p w:rsidR="008B43D6" w:rsidRDefault="008B43D6">
            <w:pPr>
              <w:jc w:val="both"/>
              <w:rPr>
                <w:rFonts w:cs="Arial"/>
                <w:lang w:val="el-GR"/>
              </w:rPr>
            </w:pPr>
            <w:r>
              <w:rPr>
                <w:rFonts w:cs="Arial"/>
                <w:lang w:val="el-GR"/>
              </w:rPr>
              <w:t xml:space="preserve">H σιταλοπράμη έχει βρεθεί ότι προκαλεί μια δοσοεξαρτώμενη παράταση του διαστήματος QT. Έχουν αναφερθεί περιπτώσεις παράτασης του διαστήματος QT και κοιλιακή αρρυθμίας, συμπεριλαμβανομένης της πολύμορφης κοιλιακής ταχυκαρδίας </w:t>
            </w:r>
            <w:r>
              <w:rPr>
                <w:rFonts w:cs="Arial"/>
                <w:color w:val="000000"/>
                <w:lang w:val="el-GR"/>
              </w:rPr>
              <w:t>(</w:t>
            </w:r>
            <w:r>
              <w:rPr>
                <w:rFonts w:ascii="Arial" w:hAnsi="Arial" w:cs="Arial"/>
                <w:bCs/>
                <w:color w:val="000000"/>
                <w:sz w:val="20"/>
                <w:szCs w:val="20"/>
              </w:rPr>
              <w:t>torsade</w:t>
            </w:r>
            <w:r>
              <w:rPr>
                <w:rFonts w:ascii="Arial" w:hAnsi="Arial" w:cs="Arial"/>
                <w:bCs/>
                <w:color w:val="000000"/>
                <w:sz w:val="20"/>
                <w:szCs w:val="20"/>
                <w:lang w:val="el-GR"/>
              </w:rPr>
              <w:t xml:space="preserve"> </w:t>
            </w:r>
            <w:r>
              <w:rPr>
                <w:rFonts w:ascii="Arial" w:hAnsi="Arial" w:cs="Arial"/>
                <w:bCs/>
                <w:color w:val="000000"/>
                <w:sz w:val="20"/>
                <w:szCs w:val="20"/>
              </w:rPr>
              <w:t>de</w:t>
            </w:r>
            <w:r>
              <w:rPr>
                <w:rFonts w:ascii="Arial" w:hAnsi="Arial" w:cs="Arial"/>
                <w:bCs/>
                <w:color w:val="000000"/>
                <w:sz w:val="20"/>
                <w:szCs w:val="20"/>
                <w:lang w:val="el-GR"/>
              </w:rPr>
              <w:t xml:space="preserve"> </w:t>
            </w:r>
            <w:r>
              <w:rPr>
                <w:rFonts w:ascii="Arial" w:hAnsi="Arial" w:cs="Arial"/>
                <w:bCs/>
                <w:color w:val="000000"/>
                <w:sz w:val="20"/>
                <w:szCs w:val="20"/>
              </w:rPr>
              <w:t>pointes</w:t>
            </w:r>
            <w:r>
              <w:rPr>
                <w:rFonts w:ascii="Arial" w:hAnsi="Arial" w:cs="Arial"/>
                <w:bCs/>
                <w:color w:val="000000"/>
                <w:sz w:val="20"/>
                <w:szCs w:val="20"/>
                <w:lang w:val="el-GR"/>
              </w:rPr>
              <w:t>)</w:t>
            </w:r>
            <w:r>
              <w:rPr>
                <w:rFonts w:ascii="Arial" w:hAnsi="Arial" w:cs="Arial"/>
                <w:bCs/>
                <w:color w:val="FF0000"/>
                <w:sz w:val="20"/>
                <w:szCs w:val="20"/>
                <w:lang w:val="el-GR"/>
              </w:rPr>
              <w:t xml:space="preserve"> </w:t>
            </w:r>
            <w:r>
              <w:rPr>
                <w:rFonts w:cs="Arial"/>
                <w:lang w:val="el-GR"/>
              </w:rPr>
              <w:t>κατά τη διάρκεια της περιόδου μετά την κυκλοφορία της, κυρίως σε ασθενείς του γυναικείου φύλου, με υποκαλιαιμία ή με προϋπάρχουσα παράταση του διαστήματος QT ή άλλα καρδιακά νοσήματα (βλ. παραγράφους 4.3, 4.5, 4.8 , 4.9 και 5.1).</w:t>
            </w:r>
          </w:p>
          <w:p w:rsidR="008B43D6" w:rsidRDefault="008B43D6">
            <w:pPr>
              <w:jc w:val="both"/>
              <w:rPr>
                <w:rFonts w:cs="Arial"/>
                <w:lang w:val="el-GR"/>
              </w:rPr>
            </w:pPr>
          </w:p>
          <w:p w:rsidR="008B43D6" w:rsidRDefault="008B43D6">
            <w:pPr>
              <w:jc w:val="both"/>
              <w:rPr>
                <w:rFonts w:cs="Arial"/>
                <w:lang w:val="el-GR"/>
              </w:rPr>
            </w:pPr>
            <w:r>
              <w:rPr>
                <w:rFonts w:cs="Arial"/>
                <w:lang w:val="el-GR"/>
              </w:rPr>
              <w:t xml:space="preserve">Συνιστάται προσοχή σε ασθενείς με σημαντική βραδυκαρδία ή σε ασθενείς με πρόσφατο οξύ έμφραγμα του μυοκαρδίου ή </w:t>
            </w:r>
            <w:r>
              <w:rPr>
                <w:rFonts w:cs="Arial"/>
                <w:color w:val="000000"/>
                <w:lang w:val="el-GR"/>
              </w:rPr>
              <w:t>μη αντιρροπούμενη</w:t>
            </w:r>
            <w:r>
              <w:rPr>
                <w:rFonts w:cs="Arial"/>
                <w:lang w:val="el-GR"/>
              </w:rPr>
              <w:t xml:space="preserve"> καρδιακή ανεπάρκεια.</w:t>
            </w:r>
          </w:p>
          <w:p w:rsidR="008B43D6" w:rsidRDefault="008B43D6">
            <w:pPr>
              <w:jc w:val="both"/>
              <w:rPr>
                <w:rFonts w:cs="Arial"/>
                <w:lang w:val="en-US"/>
              </w:rPr>
            </w:pPr>
            <w:r>
              <w:rPr>
                <w:rFonts w:cs="Arial"/>
                <w:lang w:val="el-GR"/>
              </w:rPr>
              <w:t xml:space="preserve"> </w:t>
            </w:r>
          </w:p>
          <w:p w:rsidR="008B43D6" w:rsidRDefault="008B43D6">
            <w:pPr>
              <w:jc w:val="both"/>
              <w:rPr>
                <w:rFonts w:cs="Arial"/>
                <w:lang w:val="en-US"/>
              </w:rPr>
            </w:pPr>
          </w:p>
          <w:p w:rsidR="008B43D6" w:rsidRDefault="008B43D6">
            <w:pPr>
              <w:jc w:val="both"/>
              <w:rPr>
                <w:rFonts w:cs="Arial"/>
                <w:lang w:val="en-US"/>
              </w:rPr>
            </w:pPr>
          </w:p>
          <w:p w:rsidR="008B43D6" w:rsidRDefault="008B43D6">
            <w:pPr>
              <w:jc w:val="both"/>
              <w:rPr>
                <w:rFonts w:cs="Arial"/>
                <w:lang w:val="el-GR"/>
              </w:rPr>
            </w:pPr>
            <w:r>
              <w:rPr>
                <w:rFonts w:cs="Arial"/>
                <w:lang w:val="el-GR"/>
              </w:rPr>
              <w:t xml:space="preserve">Ηλεκτρολυτικές διαταραχές όπως υποκαλιαιμία και υπομαγνησιαιμία αυξάνουν τον </w:t>
            </w:r>
            <w:r>
              <w:rPr>
                <w:rFonts w:cs="Arial"/>
                <w:lang w:val="el-GR"/>
              </w:rPr>
              <w:lastRenderedPageBreak/>
              <w:t>κίνδυνο για κακοήθεις αρρυθμίες και θα πρέπει να διορθώνονται πριν από την έναρξη θεραπείας με σιταλοπράμη.</w:t>
            </w:r>
          </w:p>
          <w:p w:rsidR="008B43D6" w:rsidRDefault="008B43D6">
            <w:pPr>
              <w:jc w:val="both"/>
              <w:rPr>
                <w:rFonts w:cs="Arial"/>
                <w:lang w:val="el-GR"/>
              </w:rPr>
            </w:pPr>
          </w:p>
          <w:p w:rsidR="008B43D6" w:rsidRDefault="008B43D6">
            <w:pPr>
              <w:jc w:val="both"/>
              <w:rPr>
                <w:rFonts w:cs="Arial"/>
                <w:lang w:val="el-GR"/>
              </w:rPr>
            </w:pPr>
            <w:r>
              <w:rPr>
                <w:rFonts w:cs="Arial"/>
                <w:lang w:val="el-GR"/>
              </w:rPr>
              <w:t>Ασθενείς με σταθερή καρδιακή νόσο που λαμβάνουν θεραπεία, θα πρέπει να ελέγχονται πριν από την έναρξη της θεραπείας με ΗΚΓ.</w:t>
            </w:r>
          </w:p>
          <w:p w:rsidR="008B43D6" w:rsidRDefault="008B43D6">
            <w:pPr>
              <w:jc w:val="both"/>
              <w:rPr>
                <w:rFonts w:cs="Arial"/>
                <w:lang w:val="el-GR"/>
              </w:rPr>
            </w:pPr>
          </w:p>
          <w:p w:rsidR="008B43D6" w:rsidRDefault="008B43D6">
            <w:pPr>
              <w:jc w:val="both"/>
              <w:rPr>
                <w:rFonts w:cs="Arial"/>
                <w:lang w:val="el-GR"/>
              </w:rPr>
            </w:pPr>
            <w:r>
              <w:rPr>
                <w:rFonts w:cs="Arial"/>
                <w:lang w:val="el-GR"/>
              </w:rPr>
              <w:t>Αν εμφανιστούν σημεία καρδιακής αρρυθμίας κατά τη διάρκεια της θεραπείας με σιταλοπράμη, η θεραπεία θα πρέπει να διακοπεί και να γίνει ΗΚΓ.</w:t>
            </w:r>
          </w:p>
          <w:p w:rsidR="008B43D6" w:rsidRDefault="008B43D6">
            <w:pPr>
              <w:jc w:val="both"/>
              <w:rPr>
                <w:rFonts w:cs="Arial"/>
                <w:lang w:val="el-GR"/>
              </w:rPr>
            </w:pPr>
          </w:p>
          <w:p w:rsidR="008B43D6" w:rsidRDefault="008B43D6">
            <w:pPr>
              <w:jc w:val="both"/>
              <w:rPr>
                <w:rFonts w:cs="Arial"/>
                <w:bCs/>
                <w:u w:val="single"/>
                <w:lang w:val="el-GR"/>
              </w:rPr>
            </w:pPr>
            <w:r>
              <w:rPr>
                <w:rFonts w:cs="Arial"/>
                <w:bCs/>
                <w:u w:val="single"/>
                <w:lang w:val="el-GR"/>
              </w:rPr>
              <w:t xml:space="preserve">Έκδοχα που περιέχονται στα δισκία </w:t>
            </w:r>
          </w:p>
          <w:p w:rsidR="008B43D6" w:rsidRDefault="008B43D6">
            <w:pPr>
              <w:jc w:val="both"/>
              <w:rPr>
                <w:rFonts w:cs="Arial"/>
                <w:lang w:val="el-GR"/>
              </w:rPr>
            </w:pPr>
            <w:r>
              <w:rPr>
                <w:rFonts w:cs="Arial"/>
                <w:lang w:val="el-GR"/>
              </w:rPr>
              <w:t xml:space="preserve">Τα δισκία περιέχουν μονουδρική λακτόζη. Οι ασθενείς με σπάνια προβλήματα κληρονομικής δυσανεξίας στη γαλακτόζη, ανεπάρκεια της </w:t>
            </w:r>
            <w:r>
              <w:rPr>
                <w:rFonts w:cs="Arial"/>
              </w:rPr>
              <w:t>Lapp</w:t>
            </w:r>
            <w:r>
              <w:rPr>
                <w:rFonts w:cs="Arial"/>
                <w:lang w:val="el-GR"/>
              </w:rPr>
              <w:t xml:space="preserve"> λακτάσης ή δυσαπορρόφησης της γλυκόζης-γαλακτόζης δεν θα πρέπει να λαμβάνουν αυτό το φάρμακο.</w:t>
            </w:r>
          </w:p>
          <w:p w:rsidR="008B43D6" w:rsidRDefault="008B43D6">
            <w:pPr>
              <w:jc w:val="both"/>
              <w:rPr>
                <w:rFonts w:cs="Arial"/>
                <w:lang w:val="el-GR"/>
              </w:rPr>
            </w:pPr>
          </w:p>
          <w:p w:rsidR="008B43D6" w:rsidRDefault="008B43D6">
            <w:pPr>
              <w:jc w:val="both"/>
              <w:rPr>
                <w:rFonts w:cs="Arial"/>
                <w:bCs/>
                <w:lang w:val="el-GR"/>
              </w:rPr>
            </w:pPr>
            <w:r>
              <w:rPr>
                <w:rFonts w:cs="Arial"/>
                <w:bCs/>
                <w:u w:val="single"/>
                <w:lang w:val="el-GR"/>
              </w:rPr>
              <w:t>Έκδοχα που περιέχονται στις σταγόνες</w:t>
            </w:r>
          </w:p>
          <w:p w:rsidR="008B43D6" w:rsidRDefault="008B43D6">
            <w:pPr>
              <w:jc w:val="both"/>
              <w:rPr>
                <w:rFonts w:cs="Arial"/>
                <w:lang w:val="el-GR"/>
              </w:rPr>
            </w:pPr>
            <w:r>
              <w:rPr>
                <w:rFonts w:cs="Arial"/>
                <w:lang w:val="el-GR"/>
              </w:rPr>
              <w:t xml:space="preserve">Το στοματικό διάλυμα περιέχει 9.0% </w:t>
            </w:r>
            <w:r>
              <w:rPr>
                <w:rFonts w:cs="Arial"/>
              </w:rPr>
              <w:t>v</w:t>
            </w:r>
            <w:r>
              <w:rPr>
                <w:rFonts w:cs="Arial"/>
                <w:lang w:val="el-GR"/>
              </w:rPr>
              <w:t>/</w:t>
            </w:r>
            <w:r>
              <w:rPr>
                <w:rFonts w:cs="Arial"/>
              </w:rPr>
              <w:t>v</w:t>
            </w:r>
            <w:r>
              <w:rPr>
                <w:rFonts w:cs="Arial"/>
                <w:lang w:val="el-GR"/>
              </w:rPr>
              <w:t xml:space="preserve"> αλκοόλη(76 </w:t>
            </w:r>
            <w:r>
              <w:rPr>
                <w:rFonts w:cs="Arial"/>
              </w:rPr>
              <w:t>mg</w:t>
            </w:r>
            <w:r>
              <w:rPr>
                <w:rFonts w:cs="Arial"/>
                <w:lang w:val="el-GR"/>
              </w:rPr>
              <w:t>/</w:t>
            </w:r>
            <w:r>
              <w:rPr>
                <w:rFonts w:cs="Arial"/>
              </w:rPr>
              <w:t>ml</w:t>
            </w:r>
            <w:r>
              <w:rPr>
                <w:rFonts w:cs="Arial"/>
                <w:lang w:val="el-GR"/>
              </w:rPr>
              <w:t>).</w:t>
            </w:r>
          </w:p>
          <w:p w:rsidR="008B43D6" w:rsidRDefault="008B43D6">
            <w:pPr>
              <w:autoSpaceDE w:val="0"/>
              <w:autoSpaceDN w:val="0"/>
              <w:adjustRightInd w:val="0"/>
              <w:rPr>
                <w:rFonts w:cs="Arial"/>
                <w:lang w:val="el-GR"/>
              </w:rPr>
            </w:pPr>
            <w:r>
              <w:rPr>
                <w:rFonts w:cs="Arial"/>
                <w:lang w:val="el-GR"/>
              </w:rPr>
              <w:t>Μεθυλ παραυδροξυβενζοικό (</w:t>
            </w:r>
            <w:r>
              <w:rPr>
                <w:rFonts w:cs="Arial"/>
              </w:rPr>
              <w:t>E</w:t>
            </w:r>
            <w:r>
              <w:rPr>
                <w:rFonts w:cs="Arial"/>
                <w:lang w:val="el-GR"/>
              </w:rPr>
              <w:t>218), Προπυλ παραυδροξυβενζοικό (</w:t>
            </w:r>
            <w:r>
              <w:rPr>
                <w:rFonts w:cs="Arial"/>
              </w:rPr>
              <w:t>E</w:t>
            </w:r>
            <w:r>
              <w:rPr>
                <w:rFonts w:cs="Arial"/>
                <w:lang w:val="el-GR"/>
              </w:rPr>
              <w:t>216).</w:t>
            </w:r>
          </w:p>
          <w:p w:rsidR="008B43D6" w:rsidRDefault="008B43D6">
            <w:pPr>
              <w:textAlignment w:val="top"/>
              <w:rPr>
                <w:rFonts w:ascii="Arial" w:hAnsi="Arial" w:cs="Arial"/>
                <w:color w:val="888888"/>
                <w:sz w:val="20"/>
                <w:szCs w:val="20"/>
                <w:lang w:val="el-GR"/>
              </w:rPr>
            </w:pPr>
            <w:r>
              <w:rPr>
                <w:rFonts w:cs="Arial"/>
                <w:lang w:val="el-GR"/>
              </w:rPr>
              <w:t>Το Μεθυλ</w:t>
            </w:r>
            <w:r>
              <w:rPr>
                <w:bCs/>
                <w:lang w:val="el-GR"/>
              </w:rPr>
              <w:t>- και προπυλ παραυδροξυβενζοικό (</w:t>
            </w:r>
            <w:r>
              <w:rPr>
                <w:bCs/>
              </w:rPr>
              <w:t>E</w:t>
            </w:r>
            <w:r>
              <w:rPr>
                <w:bCs/>
                <w:lang w:val="el-GR"/>
              </w:rPr>
              <w:t xml:space="preserve">218, </w:t>
            </w:r>
            <w:r>
              <w:rPr>
                <w:bCs/>
              </w:rPr>
              <w:t>E</w:t>
            </w:r>
            <w:r>
              <w:rPr>
                <w:bCs/>
                <w:lang w:val="el-GR"/>
              </w:rPr>
              <w:t>216) μπορεί να προκαλέσουν αλλεργικές αντιδράσεις (πιθανώς καθυστερημένα).</w:t>
            </w:r>
          </w:p>
          <w:p w:rsidR="008B43D6" w:rsidRDefault="008B43D6">
            <w:pPr>
              <w:jc w:val="both"/>
              <w:rPr>
                <w:lang w:val="el-GR"/>
              </w:rPr>
            </w:pPr>
          </w:p>
        </w:tc>
      </w:tr>
    </w:tbl>
    <w:p w:rsidR="008B43D6" w:rsidRDefault="008B43D6">
      <w:pPr>
        <w:keepNext/>
        <w:keepLines/>
        <w:jc w:val="both"/>
        <w:rPr>
          <w:b/>
          <w:lang w:val="el-GR"/>
        </w:rPr>
        <w:sectPr w:rsidR="008B43D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800" w:bottom="1440" w:left="1800" w:header="709" w:footer="709" w:gutter="0"/>
          <w:cols w:space="708"/>
          <w:docGrid w:linePitch="360"/>
        </w:sectPr>
      </w:pPr>
    </w:p>
    <w:tbl>
      <w:tblPr>
        <w:tblW w:w="10506" w:type="dxa"/>
        <w:tblInd w:w="-318" w:type="dxa"/>
        <w:tblLayout w:type="fixed"/>
        <w:tblLook w:val="0000"/>
      </w:tblPr>
      <w:tblGrid>
        <w:gridCol w:w="10506"/>
      </w:tblGrid>
      <w:tr w:rsidR="008B43D6">
        <w:tblPrEx>
          <w:tblCellMar>
            <w:top w:w="0" w:type="dxa"/>
            <w:bottom w:w="0" w:type="dxa"/>
          </w:tblCellMar>
        </w:tblPrEx>
        <w:tc>
          <w:tcPr>
            <w:tcW w:w="10506" w:type="dxa"/>
          </w:tcPr>
          <w:p w:rsidR="008B43D6" w:rsidRDefault="008B43D6">
            <w:pPr>
              <w:keepNext/>
              <w:keepLines/>
              <w:numPr>
                <w:ilvl w:val="1"/>
                <w:numId w:val="3"/>
              </w:numPr>
              <w:jc w:val="both"/>
              <w:rPr>
                <w:b/>
                <w:lang w:val="el-GR"/>
              </w:rPr>
            </w:pPr>
            <w:r>
              <w:rPr>
                <w:b/>
                <w:lang w:val="el-GR"/>
              </w:rPr>
              <w:lastRenderedPageBreak/>
              <w:t>Αλληλεπιδράσεις με άλλα φάρμακα και άλλες αλληλεπιδράσεις</w:t>
            </w:r>
          </w:p>
          <w:p w:rsidR="008B43D6" w:rsidRDefault="008B43D6">
            <w:pPr>
              <w:keepNext/>
              <w:keepLines/>
              <w:jc w:val="both"/>
              <w:rPr>
                <w:b/>
                <w:u w:val="single"/>
                <w:lang w:val="el-GR"/>
              </w:rPr>
            </w:pPr>
          </w:p>
          <w:p w:rsidR="008B43D6" w:rsidRDefault="008B43D6">
            <w:pPr>
              <w:ind w:left="567" w:hanging="567"/>
              <w:jc w:val="both"/>
              <w:rPr>
                <w:rFonts w:cs="Arial"/>
                <w:b/>
                <w:bCs/>
                <w:u w:val="single"/>
                <w:lang w:val="el-GR"/>
              </w:rPr>
            </w:pPr>
            <w:r>
              <w:rPr>
                <w:rFonts w:cs="Arial"/>
                <w:b/>
                <w:bCs/>
                <w:u w:val="single"/>
                <w:lang w:val="el-GR"/>
              </w:rPr>
              <w:t>Φαρμακοδυναμικές Αλληλεπιδράσεις</w:t>
            </w:r>
          </w:p>
          <w:p w:rsidR="008B43D6" w:rsidRDefault="008B43D6">
            <w:pPr>
              <w:jc w:val="both"/>
              <w:rPr>
                <w:rFonts w:cs="Arial"/>
                <w:bCs/>
                <w:lang w:val="el-GR"/>
              </w:rPr>
            </w:pPr>
          </w:p>
          <w:p w:rsidR="008B43D6" w:rsidRDefault="008B43D6">
            <w:pPr>
              <w:jc w:val="both"/>
              <w:rPr>
                <w:rFonts w:cs="Arial"/>
                <w:bCs/>
                <w:lang w:val="el-GR"/>
              </w:rPr>
            </w:pPr>
            <w:r>
              <w:rPr>
                <w:rFonts w:cs="Arial"/>
                <w:bCs/>
                <w:lang w:val="el-GR"/>
              </w:rPr>
              <w:t xml:space="preserve">Σε φαρμακοδυναμικό επίπεδο έχουν υπάρξει περιστατικά σεροτονινεργικού συνδρόμου  με  σιταλοπράμη και  μοκλοβεμίδη και  βουσπιρόνη. </w:t>
            </w:r>
          </w:p>
          <w:p w:rsidR="008B43D6" w:rsidRDefault="008B43D6">
            <w:pPr>
              <w:jc w:val="both"/>
              <w:rPr>
                <w:rFonts w:cs="Arial"/>
                <w:bCs/>
                <w:lang w:val="el-GR"/>
              </w:rPr>
            </w:pPr>
          </w:p>
          <w:p w:rsidR="008B43D6" w:rsidRDefault="008B43D6">
            <w:pPr>
              <w:jc w:val="both"/>
              <w:rPr>
                <w:rFonts w:cs="Arial"/>
                <w:spacing w:val="-3"/>
                <w:u w:val="single"/>
                <w:lang w:val="el-GR"/>
              </w:rPr>
            </w:pPr>
            <w:r>
              <w:rPr>
                <w:rFonts w:cs="Arial"/>
                <w:spacing w:val="-3"/>
                <w:u w:val="single"/>
                <w:lang w:val="el-GR"/>
              </w:rPr>
              <w:t xml:space="preserve">Συνδυασμοί που αντενδείκνυνται </w:t>
            </w:r>
          </w:p>
          <w:p w:rsidR="008B43D6" w:rsidRDefault="008B43D6">
            <w:pPr>
              <w:jc w:val="both"/>
              <w:rPr>
                <w:rFonts w:cs="Arial"/>
                <w:spacing w:val="-3"/>
                <w:lang w:val="el-GR"/>
              </w:rPr>
            </w:pPr>
            <w:r>
              <w:rPr>
                <w:rFonts w:cs="Arial"/>
                <w:spacing w:val="-3"/>
                <w:lang w:val="el-GR"/>
              </w:rPr>
              <w:t xml:space="preserve"> </w:t>
            </w:r>
          </w:p>
          <w:p w:rsidR="008B43D6" w:rsidRDefault="008B43D6">
            <w:pPr>
              <w:textAlignment w:val="top"/>
              <w:rPr>
                <w:bCs/>
                <w:lang w:val="el-GR"/>
              </w:rPr>
            </w:pPr>
            <w:r>
              <w:rPr>
                <w:bCs/>
                <w:i/>
                <w:lang w:val="el-GR"/>
              </w:rPr>
              <w:t>Αναστολείς ΜΑΟ</w:t>
            </w:r>
            <w:r>
              <w:rPr>
                <w:bCs/>
                <w:lang w:val="el-GR"/>
              </w:rPr>
              <w:br/>
              <w:t>Η ταυτόχρονη χρήση σιταλοπράμης με αναστολείς MAO μπορεί να οδηγήσει σε σοβαρές ανεπιθύμητες ενέργειες, συμπεριλαμβανομένου του συνδρόμου σεροτονίνης (βλέπε παράγραφο 4.3).</w:t>
            </w:r>
            <w:r>
              <w:rPr>
                <w:bCs/>
                <w:lang w:val="el-GR"/>
              </w:rPr>
              <w:br/>
              <w:t xml:space="preserve">Έχουν αναφερθεί περιπτώσεις σοβαρών και μερικές φορές θανατηφόρων αντιδράσεων σε ασθενείς που </w:t>
            </w:r>
            <w:proofErr w:type="spellStart"/>
            <w:r>
              <w:rPr>
                <w:bCs/>
                <w:lang w:val="el-GR"/>
              </w:rPr>
              <w:t>που</w:t>
            </w:r>
            <w:proofErr w:type="spellEnd"/>
            <w:r>
              <w:rPr>
                <w:bCs/>
                <w:lang w:val="el-GR"/>
              </w:rPr>
              <w:t xml:space="preserve"> ελάμβαναν SSRI σε συνδυασμό με έναν αναστολέα της μονοαμινοξειδάσης (αναστολείς MAO), συμπεριλαμβανομένων του μη αναστρέψιμου ΜΑΟ σελεγιλίνη και των αναστρέψιμων λινεζολίδη  και μοκλοβεμίδη και σε ασθενείς που έχουν πρόσφατα διακόψει την λήψη SSRI και έχουν ξεκινήσει την λήψη ΜΑΟΙ.</w:t>
            </w:r>
            <w:r>
              <w:rPr>
                <w:bCs/>
                <w:lang w:val="el-GR"/>
              </w:rPr>
              <w:br/>
              <w:t>Σε ορισμένες περιπτώσεις εκδηλώθηκαν χαρακτηριστικά παρόμοια εκείνων του συνδρόμου της σεροτονίνης. Τα συμπτώματα αλληλεπίδρασης μιας δραστικής ουσίας με ΜΑΟΙ περιλαμβάνουν:</w:t>
            </w:r>
            <w:r>
              <w:rPr>
                <w:bCs/>
                <w:lang w:val="el-GR"/>
              </w:rPr>
              <w:br/>
              <w:t>υπερθερμία, υπερτονία, μυοκλονίες, αστάθεια του αυτόνομου νευρικού συστήματος με πιθανές ταχείες διακυμάνσεις των ζωτικών σημείων, μεταβολές της διανοητικής κατάστασης που περιλαμβάνουν σύγχυση, ευερεθιστότητα και ακραία διέγερση, προοδευτικά εξελισσόμενη σε οξύ παραλήρημα και κώμα (βλέπε παράγραφο 4.3).</w:t>
            </w:r>
          </w:p>
          <w:p w:rsidR="008B43D6" w:rsidRDefault="008B43D6">
            <w:pPr>
              <w:textAlignment w:val="top"/>
              <w:rPr>
                <w:bCs/>
                <w:lang w:val="el-GR"/>
              </w:rPr>
            </w:pPr>
          </w:p>
          <w:p w:rsidR="008B43D6" w:rsidRDefault="008B43D6">
            <w:pPr>
              <w:jc w:val="both"/>
              <w:rPr>
                <w:rFonts w:cs="Arial"/>
                <w:i/>
                <w:spacing w:val="-3"/>
                <w:u w:val="single"/>
                <w:lang w:val="el-GR"/>
              </w:rPr>
            </w:pPr>
            <w:r>
              <w:rPr>
                <w:rFonts w:cs="Arial"/>
                <w:i/>
                <w:spacing w:val="-3"/>
                <w:u w:val="single"/>
                <w:lang w:val="el-GR"/>
              </w:rPr>
              <w:t>Παράταση του διαστήματος QT</w:t>
            </w:r>
          </w:p>
          <w:p w:rsidR="008B43D6" w:rsidRDefault="008B43D6">
            <w:pPr>
              <w:jc w:val="both"/>
              <w:rPr>
                <w:rFonts w:cs="Arial"/>
                <w:spacing w:val="-3"/>
                <w:lang w:val="el-GR"/>
              </w:rPr>
            </w:pPr>
            <w:r>
              <w:rPr>
                <w:rFonts w:cs="Arial"/>
                <w:spacing w:val="-3"/>
                <w:lang w:val="el-GR"/>
              </w:rPr>
              <w:t xml:space="preserve">Φαρμακοκινητικές και φαρμακοδυναμικές μελέτες μεταξύ σιταλοπράμης και άλλων φαρμακευτικών προϊόντων που παρατείνουν το διάστημα QT δεν έχουν πραγματοποιηθεί. Μία αθροιστική δράση της σιταλοπράμης και αυτών των φαρμακευτικών προϊόντων δεν μπορεί να αποκλειστεί. Ως εκ τούτου, η συγχορήγηση της σιταλοπράμης με φαρμακευτικά προϊόντα που παρατείνουν το διάστημα, QT όπως κατηγορίας ΙΑ και ΙΙΙ αντιαρρυθμικά, αντιψυχωσικά (π.χ. </w:t>
            </w:r>
            <w:r>
              <w:rPr>
                <w:rFonts w:cs="Arial"/>
                <w:color w:val="000000"/>
                <w:spacing w:val="-3"/>
                <w:lang w:val="el-GR"/>
              </w:rPr>
              <w:t>παράγωγα φαινοθειαζίνης, πιμοζίδη, αλοπεριδόλη), τα τρικυκλικά αντικαταθλιπτικά, ορισμένα αντιμικροβιακά (π.χ. σπαρφλοξασίνη, μοξιφλοξασίνη, ερυθρομυκίνη IV, πενταμιδίνη, ανθελονοσιακή θεραπεία, ιδίως η</w:t>
            </w:r>
            <w:r>
              <w:rPr>
                <w:rFonts w:cs="Arial"/>
                <w:spacing w:val="-3"/>
                <w:lang w:val="el-GR"/>
              </w:rPr>
              <w:t xml:space="preserve"> αλοφαντρίνη), ορισμένα αντιισταμινικά (αστεμιζόλη, μιζολαστίνη) κλπ., αντενδείκνυται.</w:t>
            </w:r>
          </w:p>
          <w:p w:rsidR="008B43D6" w:rsidRDefault="008B43D6">
            <w:pPr>
              <w:textAlignment w:val="top"/>
              <w:rPr>
                <w:bCs/>
                <w:lang w:val="el-GR"/>
              </w:rPr>
            </w:pPr>
          </w:p>
          <w:p w:rsidR="008B43D6" w:rsidRDefault="008B43D6">
            <w:pPr>
              <w:pStyle w:val="4"/>
              <w:jc w:val="both"/>
              <w:rPr>
                <w:rFonts w:cs="Arial"/>
                <w:b w:val="0"/>
                <w:spacing w:val="-3"/>
                <w:sz w:val="24"/>
                <w:szCs w:val="24"/>
                <w:u w:val="single"/>
                <w:lang w:val="el-GR" w:eastAsia="en-US"/>
              </w:rPr>
            </w:pPr>
            <w:r>
              <w:rPr>
                <w:rFonts w:cs="Arial"/>
                <w:b w:val="0"/>
                <w:spacing w:val="-3"/>
                <w:sz w:val="24"/>
                <w:szCs w:val="24"/>
                <w:u w:val="single"/>
                <w:lang w:val="el-GR" w:eastAsia="en-US"/>
              </w:rPr>
              <w:t>Πιμοζίδη</w:t>
            </w:r>
          </w:p>
          <w:p w:rsidR="008B43D6" w:rsidRDefault="008B43D6">
            <w:pPr>
              <w:jc w:val="both"/>
              <w:rPr>
                <w:rFonts w:cs="Arial"/>
                <w:spacing w:val="-3"/>
                <w:lang w:val="el-GR"/>
              </w:rPr>
            </w:pPr>
            <w:r>
              <w:rPr>
                <w:rFonts w:cs="Arial"/>
                <w:color w:val="000000"/>
                <w:lang w:val="el-GR"/>
              </w:rPr>
              <w:t xml:space="preserve">Συγχορήγηση  μίας δόσης 2 </w:t>
            </w:r>
            <w:r>
              <w:rPr>
                <w:rFonts w:cs="Arial"/>
                <w:color w:val="000000"/>
              </w:rPr>
              <w:t>mg</w:t>
            </w:r>
            <w:r>
              <w:rPr>
                <w:rFonts w:cs="Arial"/>
                <w:color w:val="000000"/>
                <w:lang w:val="el-GR"/>
              </w:rPr>
              <w:t xml:space="preserve"> πιμοζίδης σε ασθενείς σε θεραπεία με ρακεμική σιταλοπράμη 40 </w:t>
            </w:r>
            <w:r>
              <w:rPr>
                <w:rFonts w:cs="Arial"/>
                <w:color w:val="000000"/>
              </w:rPr>
              <w:t>mg</w:t>
            </w:r>
            <w:r>
              <w:rPr>
                <w:rFonts w:cs="Arial"/>
                <w:color w:val="000000"/>
                <w:lang w:val="el-GR"/>
              </w:rPr>
              <w:t xml:space="preserve">/ημέρα για 11 ημέρες προκαλεί αύξηση της </w:t>
            </w:r>
            <w:r>
              <w:rPr>
                <w:rFonts w:cs="Arial"/>
                <w:color w:val="000000"/>
              </w:rPr>
              <w:t>AUC</w:t>
            </w:r>
            <w:r>
              <w:rPr>
                <w:rFonts w:cs="Arial"/>
                <w:color w:val="000000"/>
                <w:lang w:val="el-GR"/>
              </w:rPr>
              <w:t xml:space="preserve"> και της </w:t>
            </w:r>
            <w:proofErr w:type="spellStart"/>
            <w:r>
              <w:rPr>
                <w:rFonts w:cs="Arial"/>
                <w:color w:val="000000"/>
              </w:rPr>
              <w:t>Cmax</w:t>
            </w:r>
            <w:proofErr w:type="spellEnd"/>
            <w:r>
              <w:rPr>
                <w:rFonts w:cs="Arial"/>
                <w:color w:val="000000"/>
                <w:lang w:val="el-GR"/>
              </w:rPr>
              <w:t xml:space="preserve"> της πιμοζίδης αν και όχι σταθερή κατά τη διάρκεια της μελέτης. Η συγχορήγηση της πιμοζίδης με την </w:t>
            </w:r>
            <w:r>
              <w:rPr>
                <w:rFonts w:cs="Arial"/>
                <w:lang w:val="el-GR"/>
              </w:rPr>
              <w:t xml:space="preserve">σιταλοπράμη έχει σαν αποτέλεσμα την μέση αύξηση του διαστήματος </w:t>
            </w:r>
            <w:proofErr w:type="spellStart"/>
            <w:r>
              <w:rPr>
                <w:rFonts w:cs="Arial"/>
              </w:rPr>
              <w:t>QTc</w:t>
            </w:r>
            <w:proofErr w:type="spellEnd"/>
            <w:r>
              <w:rPr>
                <w:rFonts w:cs="Arial"/>
                <w:lang w:val="el-GR"/>
              </w:rPr>
              <w:t xml:space="preserve"> για περίπου 10 </w:t>
            </w:r>
            <w:proofErr w:type="spellStart"/>
            <w:r>
              <w:rPr>
                <w:rFonts w:cs="Arial"/>
              </w:rPr>
              <w:t>msec</w:t>
            </w:r>
            <w:proofErr w:type="spellEnd"/>
            <w:r>
              <w:rPr>
                <w:rFonts w:cs="Arial"/>
                <w:lang w:val="el-GR"/>
              </w:rPr>
              <w:t xml:space="preserve">. Εξ’ αιτίας αυτής της αντίδρασης η οποία παρατηρείται με χαμηλή δόση της πιμοζίδης, η συγχορήγηση της σιταλοπράμης και της πιμοζίδης αντενδείκνυται.  </w:t>
            </w:r>
          </w:p>
          <w:p w:rsidR="008B43D6" w:rsidRDefault="008B43D6">
            <w:pPr>
              <w:jc w:val="both"/>
              <w:rPr>
                <w:rFonts w:cs="Arial"/>
                <w:bCs/>
                <w:lang w:val="el-GR"/>
              </w:rPr>
            </w:pPr>
          </w:p>
          <w:p w:rsidR="008B43D6" w:rsidRDefault="008B43D6">
            <w:pPr>
              <w:pStyle w:val="4"/>
              <w:jc w:val="both"/>
              <w:rPr>
                <w:rFonts w:cs="Arial"/>
                <w:i w:val="0"/>
                <w:spacing w:val="-3"/>
                <w:sz w:val="24"/>
                <w:szCs w:val="24"/>
                <w:u w:val="single"/>
                <w:lang w:val="el-GR" w:eastAsia="en-US"/>
              </w:rPr>
            </w:pPr>
            <w:r>
              <w:rPr>
                <w:rFonts w:cs="Arial"/>
                <w:i w:val="0"/>
                <w:spacing w:val="-3"/>
                <w:sz w:val="24"/>
                <w:szCs w:val="24"/>
                <w:u w:val="single"/>
                <w:lang w:val="el-GR" w:eastAsia="en-US"/>
              </w:rPr>
              <w:t xml:space="preserve">Συνδυασμοί που απαιτούν προσοχή στη χρήση </w:t>
            </w:r>
          </w:p>
          <w:p w:rsidR="008B43D6" w:rsidRDefault="008B43D6">
            <w:pPr>
              <w:ind w:left="567" w:hanging="567"/>
              <w:jc w:val="both"/>
              <w:rPr>
                <w:rFonts w:cs="Arial"/>
                <w:bCs/>
                <w:lang w:val="el-GR"/>
              </w:rPr>
            </w:pPr>
          </w:p>
          <w:p w:rsidR="008B43D6" w:rsidRDefault="008B43D6">
            <w:pPr>
              <w:jc w:val="both"/>
              <w:rPr>
                <w:rFonts w:cs="Arial"/>
                <w:i/>
                <w:iCs/>
                <w:spacing w:val="-3"/>
                <w:u w:val="single"/>
                <w:lang w:val="el-GR"/>
              </w:rPr>
            </w:pPr>
            <w:r>
              <w:rPr>
                <w:rFonts w:cs="Arial"/>
                <w:bCs/>
                <w:i/>
                <w:iCs/>
                <w:spacing w:val="-3"/>
                <w:u w:val="single"/>
                <w:lang w:val="el-GR"/>
              </w:rPr>
              <w:t>Σελεγιλίνη</w:t>
            </w:r>
            <w:r>
              <w:rPr>
                <w:rFonts w:cs="Arial"/>
                <w:b/>
                <w:bCs/>
                <w:i/>
                <w:iCs/>
                <w:spacing w:val="-3"/>
                <w:u w:val="single"/>
                <w:lang w:val="el-GR"/>
              </w:rPr>
              <w:t xml:space="preserve"> </w:t>
            </w:r>
            <w:r>
              <w:rPr>
                <w:rFonts w:cs="Arial"/>
                <w:i/>
                <w:iCs/>
                <w:spacing w:val="-3"/>
                <w:u w:val="single"/>
                <w:lang w:val="el-GR"/>
              </w:rPr>
              <w:t xml:space="preserve">(εκλεκτικός αναστολέας  </w:t>
            </w:r>
            <w:r>
              <w:rPr>
                <w:rFonts w:cs="Arial"/>
                <w:i/>
                <w:iCs/>
                <w:spacing w:val="-3"/>
                <w:u w:val="single"/>
              </w:rPr>
              <w:t>MAO</w:t>
            </w:r>
            <w:r>
              <w:rPr>
                <w:rFonts w:cs="Arial"/>
                <w:i/>
                <w:iCs/>
                <w:spacing w:val="-3"/>
                <w:u w:val="single"/>
                <w:lang w:val="el-GR"/>
              </w:rPr>
              <w:noBreakHyphen/>
            </w:r>
            <w:r>
              <w:rPr>
                <w:rFonts w:cs="Arial"/>
                <w:i/>
                <w:iCs/>
                <w:spacing w:val="-3"/>
                <w:u w:val="single"/>
              </w:rPr>
              <w:t>B</w:t>
            </w:r>
            <w:r>
              <w:rPr>
                <w:rFonts w:cs="Arial"/>
                <w:i/>
                <w:iCs/>
                <w:spacing w:val="-3"/>
                <w:u w:val="single"/>
                <w:lang w:val="el-GR"/>
              </w:rPr>
              <w:t>)</w:t>
            </w:r>
          </w:p>
          <w:p w:rsidR="008B43D6" w:rsidRDefault="008B43D6">
            <w:pPr>
              <w:jc w:val="both"/>
              <w:rPr>
                <w:rFonts w:cs="Arial"/>
                <w:spacing w:val="-3"/>
                <w:lang w:val="el-GR"/>
              </w:rPr>
            </w:pPr>
            <w:r>
              <w:rPr>
                <w:rFonts w:cs="Arial"/>
                <w:spacing w:val="-3"/>
                <w:lang w:val="el-GR"/>
              </w:rPr>
              <w:t xml:space="preserve">Μία φαρμακοκινητική / φαρμακοδυναμική μελέτη με συγχορήγηση της σιταλοπράμης (20 </w:t>
            </w:r>
            <w:r>
              <w:rPr>
                <w:rFonts w:cs="Arial"/>
                <w:spacing w:val="-3"/>
              </w:rPr>
              <w:t>mg</w:t>
            </w:r>
            <w:r>
              <w:rPr>
                <w:rFonts w:cs="Arial"/>
                <w:spacing w:val="-3"/>
                <w:lang w:val="el-GR"/>
              </w:rPr>
              <w:t xml:space="preserve"> ημερησίως) και της σελεγιλίνης (10 </w:t>
            </w:r>
            <w:r>
              <w:rPr>
                <w:rFonts w:cs="Arial"/>
                <w:spacing w:val="-3"/>
              </w:rPr>
              <w:t>mg</w:t>
            </w:r>
            <w:r>
              <w:rPr>
                <w:rFonts w:cs="Arial"/>
                <w:spacing w:val="-3"/>
                <w:lang w:val="el-GR"/>
              </w:rPr>
              <w:t xml:space="preserve"> ημερησίως) (εκλεκτικός αναστολέας </w:t>
            </w:r>
            <w:r>
              <w:rPr>
                <w:rFonts w:cs="Arial"/>
                <w:spacing w:val="-3"/>
              </w:rPr>
              <w:t>MAO</w:t>
            </w:r>
            <w:r>
              <w:rPr>
                <w:rFonts w:cs="Arial"/>
                <w:spacing w:val="-3"/>
                <w:lang w:val="el-GR"/>
              </w:rPr>
              <w:noBreakHyphen/>
            </w:r>
            <w:r>
              <w:rPr>
                <w:rFonts w:cs="Arial"/>
                <w:spacing w:val="-3"/>
              </w:rPr>
              <w:t>B</w:t>
            </w:r>
            <w:r>
              <w:rPr>
                <w:rFonts w:cs="Arial"/>
                <w:spacing w:val="-3"/>
                <w:lang w:val="el-GR"/>
              </w:rPr>
              <w:t>) έδειξε μη κλινικά σχετιζόμενες αλληλεπιδράσει</w:t>
            </w:r>
            <w:r>
              <w:rPr>
                <w:bCs/>
                <w:lang w:val="el-GR"/>
              </w:rPr>
              <w:t>ς.  Η ταυτόχρονη χρήση σιταλοπράμης και σελεγιλίνης (σε δόσεις άνω των 10 mg ημερησίως) δεν συνιστάται</w:t>
            </w:r>
          </w:p>
          <w:p w:rsidR="008B43D6" w:rsidRDefault="008B43D6">
            <w:pPr>
              <w:jc w:val="both"/>
              <w:rPr>
                <w:rFonts w:cs="Arial"/>
                <w:bCs/>
                <w:lang w:val="el-GR"/>
              </w:rPr>
            </w:pPr>
          </w:p>
          <w:p w:rsidR="008B43D6" w:rsidRDefault="008B43D6">
            <w:pPr>
              <w:ind w:left="567" w:hanging="567"/>
              <w:jc w:val="both"/>
              <w:rPr>
                <w:rFonts w:cs="Arial"/>
                <w:bCs/>
                <w:i/>
                <w:iCs/>
                <w:lang w:val="el-GR"/>
              </w:rPr>
            </w:pPr>
            <w:r>
              <w:rPr>
                <w:rFonts w:cs="Arial"/>
                <w:bCs/>
                <w:i/>
                <w:iCs/>
                <w:spacing w:val="-3"/>
                <w:lang w:val="el-GR"/>
              </w:rPr>
              <w:lastRenderedPageBreak/>
              <w:t xml:space="preserve">Σεροτονεργικά φαρμακευτικά σκευάσματα </w:t>
            </w:r>
          </w:p>
          <w:p w:rsidR="008B43D6" w:rsidRDefault="008B43D6">
            <w:pPr>
              <w:ind w:left="567" w:hanging="567"/>
              <w:jc w:val="both"/>
              <w:rPr>
                <w:rFonts w:cs="Arial"/>
                <w:bCs/>
                <w:lang w:val="el-GR"/>
              </w:rPr>
            </w:pPr>
            <w:r>
              <w:rPr>
                <w:rFonts w:cs="Arial"/>
                <w:bCs/>
                <w:lang w:val="el-GR"/>
              </w:rPr>
              <w:t>Λίθιο και Τρυπτοφάνη</w:t>
            </w:r>
          </w:p>
          <w:p w:rsidR="008B43D6" w:rsidRDefault="008B43D6">
            <w:pPr>
              <w:textAlignment w:val="top"/>
              <w:rPr>
                <w:bCs/>
                <w:lang w:val="el-GR"/>
              </w:rPr>
            </w:pPr>
            <w:r>
              <w:rPr>
                <w:rFonts w:cs="Arial"/>
                <w:spacing w:val="-3"/>
                <w:lang w:val="el-GR"/>
              </w:rPr>
              <w:t xml:space="preserve">Δεν έχουν βρεθεί φαρμακοδυναμικές αλληλεπιδράσεις σε κλινικές μελέτες στις οποίες η σιταλοπράμη δίνεται σε συγχορήγηση με λίθιο. Παρ όλα αυτά υπάρχουν αναφορές ενισχυμένων δράσεων όταν τα </w:t>
            </w:r>
            <w:r>
              <w:rPr>
                <w:rFonts w:cs="Arial"/>
              </w:rPr>
              <w:t>SSRIs</w:t>
            </w:r>
            <w:r>
              <w:rPr>
                <w:rFonts w:cs="Arial"/>
                <w:lang w:val="el-GR"/>
              </w:rPr>
              <w:t xml:space="preserve"> δίνονται με λίθιο ή τρυπτοφάνη και γι αυτό το λόγο η συγχορηγούμενη χρήση της σιταλοπράμης με αυτά τα φαρμακευτικά σκευάσματα θα πρέπει να γίνεται με προσοχή.  </w:t>
            </w:r>
            <w:r>
              <w:rPr>
                <w:bCs/>
                <w:lang w:val="el-GR"/>
              </w:rPr>
              <w:t>Τακτική παρακολούθηση των επιπέδων λιθίου θα πρέπει να συνεχιστεί όπως συνηθίζεται.</w:t>
            </w:r>
          </w:p>
          <w:p w:rsidR="008B43D6" w:rsidRDefault="008B43D6">
            <w:pPr>
              <w:jc w:val="both"/>
              <w:rPr>
                <w:rFonts w:cs="Arial"/>
                <w:bCs/>
                <w:lang w:val="el-GR"/>
              </w:rPr>
            </w:pPr>
          </w:p>
          <w:p w:rsidR="008B43D6" w:rsidRDefault="008B43D6">
            <w:pPr>
              <w:jc w:val="both"/>
              <w:rPr>
                <w:rFonts w:cs="Arial"/>
                <w:lang w:val="el-GR"/>
              </w:rPr>
            </w:pPr>
            <w:r>
              <w:rPr>
                <w:rFonts w:cs="Arial"/>
                <w:lang w:val="el-GR"/>
              </w:rPr>
              <w:t xml:space="preserve">Η συγχορήγηση με σεροτονεργικά φαρμακευτικά σκευάσματα (πχ τραμαδόλη, σουματριπτάνη) μπορεί να οδηγήσει σε ενίσχυση των σεροτονινεργικών δράσεων. </w:t>
            </w:r>
          </w:p>
          <w:p w:rsidR="008B43D6" w:rsidRDefault="008B43D6">
            <w:pPr>
              <w:jc w:val="both"/>
              <w:rPr>
                <w:rFonts w:cs="Arial"/>
                <w:lang w:val="el-GR"/>
              </w:rPr>
            </w:pPr>
          </w:p>
          <w:p w:rsidR="008B43D6" w:rsidRDefault="008B43D6">
            <w:pPr>
              <w:textAlignment w:val="top"/>
              <w:rPr>
                <w:bCs/>
                <w:lang w:val="el-GR"/>
              </w:rPr>
            </w:pPr>
            <w:r>
              <w:rPr>
                <w:bCs/>
                <w:lang w:val="el-GR"/>
              </w:rPr>
              <w:t>Έως ότου περαιτέρω πληροφορίες είναι διαθέσιμες, η ταυτόχρονη χρήση της σιταλοπράμης και των 5-HT αγωνιστών, όπως η σουματριπτάνη και άλλες τριπτάνες, δεν συνιστάται (βλέπε παράγραφο 4.4).</w:t>
            </w:r>
          </w:p>
          <w:p w:rsidR="008B43D6" w:rsidRDefault="008B43D6">
            <w:pPr>
              <w:jc w:val="both"/>
              <w:rPr>
                <w:rFonts w:cs="Arial"/>
                <w:lang w:val="el-GR"/>
              </w:rPr>
            </w:pPr>
          </w:p>
          <w:p w:rsidR="008B43D6" w:rsidRDefault="008B43D6">
            <w:pPr>
              <w:jc w:val="both"/>
              <w:rPr>
                <w:rFonts w:cs="Arial"/>
                <w:bCs/>
                <w:i/>
                <w:lang w:val="el-GR"/>
              </w:rPr>
            </w:pPr>
            <w:r>
              <w:rPr>
                <w:rFonts w:cs="Arial"/>
                <w:bCs/>
                <w:i/>
              </w:rPr>
              <w:t>St</w:t>
            </w:r>
            <w:r>
              <w:rPr>
                <w:rFonts w:cs="Arial"/>
                <w:bCs/>
                <w:i/>
                <w:lang w:val="el-GR"/>
              </w:rPr>
              <w:t xml:space="preserve">. </w:t>
            </w:r>
            <w:r>
              <w:rPr>
                <w:rFonts w:cs="Arial"/>
                <w:bCs/>
                <w:i/>
              </w:rPr>
              <w:t>John</w:t>
            </w:r>
            <w:r>
              <w:rPr>
                <w:rFonts w:cs="Arial"/>
                <w:bCs/>
                <w:i/>
                <w:lang w:val="el-GR"/>
              </w:rPr>
              <w:t>’</w:t>
            </w:r>
            <w:r>
              <w:rPr>
                <w:rFonts w:cs="Arial"/>
                <w:bCs/>
                <w:i/>
              </w:rPr>
              <w:t>s</w:t>
            </w:r>
            <w:r>
              <w:rPr>
                <w:rFonts w:cs="Arial"/>
                <w:bCs/>
                <w:i/>
                <w:lang w:val="el-GR"/>
              </w:rPr>
              <w:t xml:space="preserve"> </w:t>
            </w:r>
            <w:r>
              <w:rPr>
                <w:rFonts w:cs="Arial"/>
                <w:bCs/>
                <w:i/>
              </w:rPr>
              <w:t>Wort</w:t>
            </w:r>
          </w:p>
          <w:p w:rsidR="008B43D6" w:rsidRDefault="008B43D6">
            <w:pPr>
              <w:textAlignment w:val="top"/>
              <w:rPr>
                <w:rFonts w:ascii="Arial" w:hAnsi="Arial" w:cs="Arial"/>
                <w:color w:val="888888"/>
                <w:sz w:val="20"/>
                <w:szCs w:val="20"/>
                <w:lang w:val="el-GR"/>
              </w:rPr>
            </w:pPr>
            <w:r>
              <w:rPr>
                <w:rFonts w:cs="Arial"/>
                <w:lang w:val="el-GR"/>
              </w:rPr>
              <w:t xml:space="preserve">Μπορεί να εμφανισθούν δυναμικές αλληλεπιδράσεις μεταξύ των </w:t>
            </w:r>
            <w:r>
              <w:rPr>
                <w:rFonts w:cs="Arial"/>
              </w:rPr>
              <w:t>SSRIs</w:t>
            </w:r>
            <w:r>
              <w:rPr>
                <w:rFonts w:cs="Arial"/>
                <w:lang w:val="el-GR"/>
              </w:rPr>
              <w:t xml:space="preserve"> και του φυτικού σκευάσματος </w:t>
            </w:r>
            <w:r>
              <w:rPr>
                <w:rFonts w:cs="Arial"/>
              </w:rPr>
              <w:t>St</w:t>
            </w:r>
            <w:r>
              <w:rPr>
                <w:rFonts w:cs="Arial"/>
                <w:lang w:val="el-GR"/>
              </w:rPr>
              <w:t xml:space="preserve"> </w:t>
            </w:r>
            <w:r>
              <w:rPr>
                <w:rFonts w:cs="Arial"/>
              </w:rPr>
              <w:t>John</w:t>
            </w:r>
            <w:r>
              <w:rPr>
                <w:rFonts w:cs="Arial"/>
                <w:lang w:val="el-GR"/>
              </w:rPr>
              <w:t>’</w:t>
            </w:r>
            <w:r>
              <w:rPr>
                <w:rFonts w:cs="Arial"/>
              </w:rPr>
              <w:t>s</w:t>
            </w:r>
            <w:r>
              <w:rPr>
                <w:rFonts w:cs="Arial"/>
                <w:lang w:val="el-GR"/>
              </w:rPr>
              <w:t xml:space="preserve"> </w:t>
            </w:r>
            <w:r>
              <w:rPr>
                <w:rFonts w:cs="Arial"/>
              </w:rPr>
              <w:t>wort</w:t>
            </w:r>
            <w:r>
              <w:rPr>
                <w:rFonts w:cs="Arial"/>
                <w:lang w:val="el-GR"/>
              </w:rPr>
              <w:t xml:space="preserve"> (</w:t>
            </w:r>
            <w:r>
              <w:rPr>
                <w:rFonts w:cs="Arial"/>
              </w:rPr>
              <w:t>Hypericum</w:t>
            </w:r>
            <w:r>
              <w:rPr>
                <w:rFonts w:cs="Arial"/>
                <w:lang w:val="el-GR"/>
              </w:rPr>
              <w:t xml:space="preserve"> </w:t>
            </w:r>
            <w:r>
              <w:rPr>
                <w:rFonts w:cs="Arial"/>
              </w:rPr>
              <w:t>perforatum</w:t>
            </w:r>
            <w:r>
              <w:rPr>
                <w:rFonts w:cs="Arial"/>
                <w:lang w:val="el-GR"/>
              </w:rPr>
              <w:t xml:space="preserve">) οι οποίες να έχουν σαν αποτέλεσμα αύξηση των ανεπιθύμητων ενεργειών βλ. παράγραφο 4.4). </w:t>
            </w:r>
            <w:r>
              <w:rPr>
                <w:bCs/>
                <w:lang w:val="el-GR"/>
              </w:rPr>
              <w:t>Φαρμακοκινητικές αλληλεπιδράσεις δεν έχουν διερευνηθεί</w:t>
            </w:r>
          </w:p>
          <w:p w:rsidR="008B43D6" w:rsidRDefault="008B43D6">
            <w:pPr>
              <w:jc w:val="both"/>
              <w:rPr>
                <w:rFonts w:cs="Arial"/>
                <w:lang w:val="el-GR"/>
              </w:rPr>
            </w:pPr>
          </w:p>
          <w:p w:rsidR="008B43D6" w:rsidRDefault="008B43D6">
            <w:pPr>
              <w:jc w:val="both"/>
              <w:rPr>
                <w:rFonts w:cs="Arial"/>
                <w:bCs/>
                <w:i/>
                <w:iCs/>
                <w:strike/>
                <w:spacing w:val="-3"/>
                <w:u w:val="single"/>
                <w:lang w:val="el-GR"/>
              </w:rPr>
            </w:pPr>
            <w:r>
              <w:rPr>
                <w:rFonts w:cs="Arial"/>
                <w:bCs/>
                <w:i/>
                <w:u w:val="single"/>
                <w:lang w:val="el-GR"/>
              </w:rPr>
              <w:t>Αιμορραγία</w:t>
            </w:r>
          </w:p>
          <w:p w:rsidR="008B43D6" w:rsidRDefault="008B43D6">
            <w:pPr>
              <w:textAlignment w:val="top"/>
              <w:rPr>
                <w:bCs/>
                <w:lang w:val="el-GR"/>
              </w:rPr>
            </w:pPr>
            <w:r>
              <w:rPr>
                <w:bCs/>
                <w:lang w:val="el-GR"/>
              </w:rPr>
              <w:t>Απαιτείται προσοχή στους ασθενείς στους οποίους χορηγούνται ταυτόχρονα σιταλοπράμη με αντιπηκτικά, με φάρμακα που επηρεάζουν τη λειτουργία των αιμοπεταλίων, όπως τα μη στεροειδή αντιφλεγμονώδη φάρμακα (ΜΣΑΦ), ακετυλοσαλικυλικό οξύ, διπυριδαμόλη και τικλοπιδίνη ή άλλα φάρμακα (π.χ. άτυπα αντιψυχωσικά, φαινοθειαζίνες, τρικυκλικά αντικαταθλιπτικά), που μπορούν να αυξήσουν τον κίνδυνο αιμορραγίας (βλέπε παράγραφο 4.4).</w:t>
            </w:r>
          </w:p>
          <w:p w:rsidR="008B43D6" w:rsidRDefault="008B43D6">
            <w:pPr>
              <w:textAlignment w:val="top"/>
              <w:rPr>
                <w:rFonts w:ascii="Arial" w:hAnsi="Arial" w:cs="Arial"/>
                <w:vanish/>
                <w:color w:val="1111CC"/>
                <w:sz w:val="20"/>
                <w:szCs w:val="20"/>
                <w:lang w:val="el-GR"/>
              </w:rPr>
            </w:pPr>
            <w:r>
              <w:rPr>
                <w:rStyle w:val="gt-icon-text1"/>
                <w:rFonts w:ascii="Arial" w:hAnsi="Arial" w:cs="Arial"/>
                <w:vanish/>
                <w:color w:val="1111CC"/>
                <w:sz w:val="20"/>
                <w:szCs w:val="20"/>
                <w:lang w:val="el-GR"/>
              </w:rPr>
              <w:t>Ακρόαση</w:t>
            </w:r>
          </w:p>
          <w:p w:rsidR="008B43D6" w:rsidRDefault="008B43D6">
            <w:pPr>
              <w:textAlignment w:val="top"/>
              <w:rPr>
                <w:rFonts w:ascii="Arial" w:hAnsi="Arial" w:cs="Arial"/>
                <w:color w:val="1111CC"/>
                <w:sz w:val="20"/>
                <w:szCs w:val="20"/>
                <w:lang w:val="el-GR"/>
              </w:rPr>
            </w:pPr>
          </w:p>
          <w:p w:rsidR="008B43D6" w:rsidRDefault="008B43D6">
            <w:pPr>
              <w:ind w:left="567" w:hanging="567"/>
              <w:jc w:val="both"/>
              <w:rPr>
                <w:rFonts w:cs="Arial"/>
                <w:bCs/>
                <w:i/>
                <w:iCs/>
                <w:u w:val="single"/>
                <w:lang w:val="el-GR"/>
              </w:rPr>
            </w:pPr>
            <w:r>
              <w:rPr>
                <w:rFonts w:cs="Arial"/>
                <w:i/>
                <w:iCs/>
                <w:u w:val="single"/>
              </w:rPr>
              <w:t>ECT</w:t>
            </w:r>
            <w:r>
              <w:rPr>
                <w:rFonts w:cs="Arial"/>
                <w:i/>
                <w:iCs/>
                <w:u w:val="single"/>
                <w:lang w:val="el-GR"/>
              </w:rPr>
              <w:t xml:space="preserve"> (Ηλεκτροσπασμοθεραπεία</w:t>
            </w:r>
            <w:r>
              <w:rPr>
                <w:rFonts w:cs="Arial"/>
                <w:bCs/>
                <w:i/>
                <w:iCs/>
                <w:u w:val="single"/>
                <w:lang w:val="el-GR"/>
              </w:rPr>
              <w:t>)</w:t>
            </w:r>
          </w:p>
          <w:p w:rsidR="008B43D6" w:rsidRDefault="008B43D6">
            <w:pPr>
              <w:jc w:val="both"/>
              <w:rPr>
                <w:rFonts w:cs="Arial"/>
                <w:lang w:val="el-GR"/>
              </w:rPr>
            </w:pPr>
            <w:r>
              <w:rPr>
                <w:rFonts w:cs="Arial"/>
                <w:spacing w:val="-3"/>
                <w:lang w:val="el-GR"/>
              </w:rPr>
              <w:t>Δεν υπάρχουν κλινικές μελέτες οι οποίες να τεκμηριώνουν τους κινδύνους ή τα οφέλη της συνδυασμένης χρήσης της ηλεκτροσπασμοθεραπείας (</w:t>
            </w:r>
            <w:r>
              <w:rPr>
                <w:rFonts w:cs="Arial"/>
                <w:spacing w:val="-3"/>
              </w:rPr>
              <w:t>ECT</w:t>
            </w:r>
            <w:r>
              <w:rPr>
                <w:rFonts w:cs="Arial"/>
                <w:spacing w:val="-3"/>
                <w:lang w:val="el-GR"/>
              </w:rPr>
              <w:t xml:space="preserve">) και της σιταλοπράμης </w:t>
            </w:r>
            <w:r>
              <w:rPr>
                <w:rFonts w:cs="Arial"/>
                <w:lang w:val="el-GR"/>
              </w:rPr>
              <w:t>(βλ. παράγραφο 4.4).</w:t>
            </w:r>
          </w:p>
          <w:p w:rsidR="008B43D6" w:rsidRDefault="008B43D6">
            <w:pPr>
              <w:jc w:val="both"/>
              <w:rPr>
                <w:rFonts w:cs="Arial"/>
                <w:lang w:val="el-GR"/>
              </w:rPr>
            </w:pPr>
          </w:p>
          <w:p w:rsidR="008B43D6" w:rsidRDefault="008B43D6">
            <w:pPr>
              <w:jc w:val="both"/>
              <w:rPr>
                <w:rFonts w:cs="Arial"/>
                <w:bCs/>
                <w:i/>
                <w:iCs/>
                <w:spacing w:val="-3"/>
                <w:u w:val="single"/>
                <w:lang w:val="el-GR"/>
              </w:rPr>
            </w:pPr>
            <w:r>
              <w:rPr>
                <w:rFonts w:cs="Arial"/>
                <w:bCs/>
                <w:i/>
                <w:iCs/>
                <w:spacing w:val="-3"/>
                <w:u w:val="single"/>
                <w:lang w:val="el-GR"/>
              </w:rPr>
              <w:t>Αλκοόλ</w:t>
            </w:r>
          </w:p>
          <w:p w:rsidR="008B43D6" w:rsidRDefault="008B43D6">
            <w:pPr>
              <w:textAlignment w:val="top"/>
              <w:rPr>
                <w:bCs/>
                <w:lang w:val="el-GR"/>
              </w:rPr>
            </w:pPr>
            <w:r>
              <w:rPr>
                <w:bCs/>
                <w:lang w:val="el-GR"/>
              </w:rPr>
              <w:t>Δεν έψουν αναφερθεί φαρμακοδυναμικές ή φαρμακοκινητικές αλληλεπιδράσεις μεταξύ της σιταλοπραμης και του αλκοόλ. Ωστόσο, ο συνδυασμός σιταλοπράμης και αλκοόλ δεν συνιστάται.</w:t>
            </w:r>
          </w:p>
          <w:p w:rsidR="008B43D6" w:rsidRDefault="008B43D6">
            <w:pPr>
              <w:jc w:val="both"/>
              <w:rPr>
                <w:lang w:val="el-GR"/>
              </w:rPr>
            </w:pPr>
          </w:p>
          <w:p w:rsidR="008B43D6" w:rsidRDefault="008B43D6">
            <w:pPr>
              <w:textAlignment w:val="top"/>
              <w:rPr>
                <w:bCs/>
                <w:lang w:val="el-GR"/>
              </w:rPr>
            </w:pPr>
            <w:r>
              <w:rPr>
                <w:bCs/>
                <w:i/>
                <w:u w:val="single"/>
                <w:lang w:val="el-GR"/>
              </w:rPr>
              <w:t>Φαρμακευτικά προϊόντα που προκαλούν επιμήκυνση του διαστήματος QT ή προκαλούν υποκαλιαιμία / υπομαγνησιαιμία</w:t>
            </w:r>
            <w:r>
              <w:rPr>
                <w:bCs/>
                <w:lang w:val="el-GR"/>
              </w:rPr>
              <w:br/>
              <w:t>Απαιτείται προσοχή σε ταυτόχρονη χρήση σιταλοπράμης και άλλων φαρμάκων που προκαλούν παράταση του διαστήματος QT  ή προκαλούν υποκαλιαιμία / υπομαγνησιαιμία συμπεριλαμβανομένων των φαρμάκων όπως αυτά, όπως σιταλοπράμη, μπορεί να παρατείνουν ενδεχομένως το διάστημα QT.</w:t>
            </w:r>
          </w:p>
          <w:p w:rsidR="008B43D6" w:rsidRDefault="008B43D6">
            <w:pPr>
              <w:jc w:val="both"/>
              <w:rPr>
                <w:lang w:val="el-GR"/>
              </w:rPr>
            </w:pPr>
          </w:p>
          <w:p w:rsidR="008B43D6" w:rsidRDefault="008B43D6">
            <w:pPr>
              <w:textAlignment w:val="top"/>
              <w:rPr>
                <w:bCs/>
                <w:lang w:val="el-GR"/>
              </w:rPr>
            </w:pPr>
            <w:r>
              <w:rPr>
                <w:bCs/>
                <w:i/>
                <w:u w:val="single"/>
                <w:lang w:val="el-GR"/>
              </w:rPr>
              <w:t>Φαρμακευτικά προϊόντα που μειώνονουν της επιληπτική ουδό</w:t>
            </w:r>
            <w:r>
              <w:rPr>
                <w:b/>
                <w:bCs/>
                <w:lang w:val="el-GR"/>
              </w:rPr>
              <w:t xml:space="preserve"> </w:t>
            </w:r>
            <w:r>
              <w:rPr>
                <w:b/>
                <w:bCs/>
                <w:lang w:val="el-GR"/>
              </w:rPr>
              <w:br/>
            </w:r>
            <w:r>
              <w:rPr>
                <w:bCs/>
                <w:lang w:val="el-GR"/>
              </w:rPr>
              <w:t>Οι SSRIs μπορεί να μειώσουν τον επιληπτικό ουδό. Συνιστάται προσοχή όταν χρησιμοποιούν ταυτόχρονα άλλα φαρμακευτικά προϊόντα που ενδέχεται να μειώσουν την επιληπτικό ουδό (π.χ. αντικαταθλιπτικά [τρικυκλικά, SSRIs], νευροληπτικά [φαινοθειαζίνες, θειοξανθίνες και βουτυροφαινόνες]), mefloquin, βουπροπιόνη και τραμαδόλη).</w:t>
            </w:r>
          </w:p>
          <w:p w:rsidR="008B43D6" w:rsidRDefault="008B43D6">
            <w:pPr>
              <w:jc w:val="both"/>
              <w:rPr>
                <w:b/>
                <w:bCs/>
                <w:lang w:val="el-GR"/>
              </w:rPr>
            </w:pPr>
          </w:p>
          <w:p w:rsidR="008B43D6" w:rsidRDefault="008B43D6">
            <w:pPr>
              <w:jc w:val="both"/>
              <w:rPr>
                <w:lang w:val="en-US"/>
              </w:rPr>
            </w:pPr>
          </w:p>
          <w:p w:rsidR="008B43D6" w:rsidRDefault="008B43D6">
            <w:pPr>
              <w:jc w:val="both"/>
              <w:rPr>
                <w:lang w:val="en-US"/>
              </w:rPr>
            </w:pPr>
          </w:p>
          <w:p w:rsidR="008B43D6" w:rsidRDefault="008B43D6">
            <w:pPr>
              <w:jc w:val="both"/>
              <w:rPr>
                <w:lang w:val="en-US"/>
              </w:rPr>
            </w:pPr>
          </w:p>
          <w:p w:rsidR="008B43D6" w:rsidRDefault="008B43D6">
            <w:pPr>
              <w:jc w:val="both"/>
              <w:rPr>
                <w:lang w:val="el-GR"/>
              </w:rPr>
            </w:pPr>
          </w:p>
          <w:p w:rsidR="008B43D6" w:rsidRDefault="008B43D6">
            <w:pPr>
              <w:textAlignment w:val="top"/>
              <w:rPr>
                <w:bCs/>
                <w:lang w:val="el-GR"/>
              </w:rPr>
            </w:pPr>
            <w:r>
              <w:rPr>
                <w:bCs/>
                <w:i/>
                <w:u w:val="single"/>
                <w:lang w:val="el-GR"/>
              </w:rPr>
              <w:lastRenderedPageBreak/>
              <w:t>Δεσιπραμίνη, ιμιπραμίνη</w:t>
            </w:r>
            <w:r>
              <w:rPr>
                <w:bCs/>
                <w:lang w:val="el-GR"/>
              </w:rPr>
              <w:br/>
              <w:t>Σε μία μελέτη φαρμακοκινητικής καμία επίδραση δεν παρατηρήθηκε στα επίπεδα είτε της σιταλοπράμης είτε της ιμιπραμίνης, αν και το επίπεδο της δεσιπραμίνης, του βασικού μεταβολίτη της ιμιπραμίνης αυξήθηκε. Όταν η δεσιπραμίνη συνδυάζεται με σιταλοπράμη, έχει παρατηρηθεί. αύξηση της συγκέντρωσης της δεσιπραμίνης στο πλάσμα. Μπορεί να απαιτηθεί μείωση της δόσης της δεσιπραμίνης.</w:t>
            </w:r>
          </w:p>
          <w:p w:rsidR="008B43D6" w:rsidRDefault="008B43D6">
            <w:pPr>
              <w:jc w:val="both"/>
              <w:rPr>
                <w:lang w:val="el-GR"/>
              </w:rPr>
            </w:pPr>
          </w:p>
          <w:p w:rsidR="008B43D6" w:rsidRDefault="008B43D6">
            <w:pPr>
              <w:textAlignment w:val="top"/>
              <w:rPr>
                <w:bCs/>
                <w:lang w:val="el-GR"/>
              </w:rPr>
            </w:pPr>
            <w:r>
              <w:rPr>
                <w:bCs/>
                <w:i/>
                <w:u w:val="single"/>
                <w:lang w:val="el-GR"/>
              </w:rPr>
              <w:t>Νευροληπτικά</w:t>
            </w:r>
            <w:r>
              <w:rPr>
                <w:bCs/>
                <w:lang w:val="el-GR"/>
              </w:rPr>
              <w:br/>
              <w:t>Η εμπειρία με σιταλοπράμη δεν έχει επιδείξει κάποιες κλινικά σημαντικές αλληλεπιδράσεις με νευροληπτικά. Ωστόσο, όπως και με άλλους SSRI, η πιθανότητα φαρμακοδυναμικών                 αλληλεπιδράσεων δεν μπορεί να αποκλειστεί.</w:t>
            </w:r>
          </w:p>
          <w:p w:rsidR="008B43D6" w:rsidRDefault="008B43D6">
            <w:pPr>
              <w:jc w:val="both"/>
              <w:rPr>
                <w:lang w:val="el-GR"/>
              </w:rPr>
            </w:pPr>
          </w:p>
          <w:p w:rsidR="008B43D6" w:rsidRDefault="008B43D6">
            <w:pPr>
              <w:jc w:val="both"/>
              <w:rPr>
                <w:i/>
                <w:lang w:val="el-GR"/>
              </w:rPr>
            </w:pPr>
          </w:p>
          <w:p w:rsidR="008B43D6" w:rsidRDefault="008B43D6">
            <w:pPr>
              <w:jc w:val="both"/>
              <w:rPr>
                <w:rFonts w:cs="Arial"/>
                <w:bCs/>
                <w:i/>
                <w:spacing w:val="-3"/>
                <w:u w:val="single"/>
                <w:lang w:val="el-GR"/>
              </w:rPr>
            </w:pPr>
            <w:r>
              <w:rPr>
                <w:rFonts w:cs="Arial"/>
                <w:bCs/>
                <w:i/>
                <w:spacing w:val="-3"/>
                <w:u w:val="single"/>
                <w:lang w:val="el-GR"/>
              </w:rPr>
              <w:t>Φαρμακοκινητικές αλληλεπιδράσεις</w:t>
            </w:r>
          </w:p>
          <w:p w:rsidR="008B43D6" w:rsidRDefault="008B43D6">
            <w:pPr>
              <w:textAlignment w:val="top"/>
              <w:rPr>
                <w:rFonts w:cs="Arial"/>
                <w:spacing w:val="-3"/>
                <w:lang w:val="el-GR"/>
              </w:rPr>
            </w:pPr>
            <w:r>
              <w:rPr>
                <w:rFonts w:cs="Arial"/>
                <w:spacing w:val="-3"/>
                <w:lang w:val="el-GR"/>
              </w:rPr>
              <w:t xml:space="preserve">Η βιομετατροπή της σιταλοπράμης σε  διμεθυλσιταλοπράμη διαμεσολαβείται από το </w:t>
            </w:r>
            <w:r>
              <w:rPr>
                <w:rFonts w:cs="Arial"/>
                <w:spacing w:val="-3"/>
              </w:rPr>
              <w:t>CYP</w:t>
            </w:r>
            <w:r>
              <w:rPr>
                <w:rFonts w:cs="Arial"/>
                <w:spacing w:val="-3"/>
                <w:lang w:val="el-GR"/>
              </w:rPr>
              <w:t>2</w:t>
            </w:r>
            <w:r>
              <w:rPr>
                <w:rFonts w:cs="Arial"/>
                <w:spacing w:val="-3"/>
              </w:rPr>
              <w:t>C</w:t>
            </w:r>
            <w:r>
              <w:rPr>
                <w:rFonts w:cs="Arial"/>
                <w:spacing w:val="-3"/>
                <w:lang w:val="el-GR"/>
              </w:rPr>
              <w:t xml:space="preserve">19 (περίπου. 38%), το </w:t>
            </w:r>
            <w:r>
              <w:rPr>
                <w:rFonts w:cs="Arial"/>
                <w:spacing w:val="-3"/>
              </w:rPr>
              <w:t>CYP</w:t>
            </w:r>
            <w:r>
              <w:rPr>
                <w:rFonts w:cs="Arial"/>
                <w:spacing w:val="-3"/>
                <w:lang w:val="el-GR"/>
              </w:rPr>
              <w:t>3</w:t>
            </w:r>
            <w:r>
              <w:rPr>
                <w:rFonts w:cs="Arial"/>
                <w:spacing w:val="-3"/>
              </w:rPr>
              <w:t>A</w:t>
            </w:r>
            <w:r>
              <w:rPr>
                <w:rFonts w:cs="Arial"/>
                <w:spacing w:val="-3"/>
                <w:lang w:val="el-GR"/>
              </w:rPr>
              <w:t xml:space="preserve">4 (περίπου 31%) και το </w:t>
            </w:r>
            <w:r>
              <w:rPr>
                <w:rFonts w:cs="Arial"/>
                <w:spacing w:val="-3"/>
              </w:rPr>
              <w:t>CYP</w:t>
            </w:r>
            <w:r>
              <w:rPr>
                <w:rFonts w:cs="Arial"/>
                <w:spacing w:val="-3"/>
                <w:lang w:val="el-GR"/>
              </w:rPr>
              <w:t>2</w:t>
            </w:r>
            <w:r>
              <w:rPr>
                <w:rFonts w:cs="Arial"/>
                <w:spacing w:val="-3"/>
              </w:rPr>
              <w:t>D</w:t>
            </w:r>
            <w:r>
              <w:rPr>
                <w:rFonts w:cs="Arial"/>
                <w:spacing w:val="-3"/>
                <w:lang w:val="el-GR"/>
              </w:rPr>
              <w:t xml:space="preserve">6 (περίπου 31%) ισοένζυμα του κυτοχρώματος P450 Το γεγονός ότι η σιταλοπράμη μεταβολίζεται από περισσότερα του ενός </w:t>
            </w:r>
            <w:r>
              <w:rPr>
                <w:rFonts w:cs="Arial"/>
                <w:spacing w:val="-3"/>
              </w:rPr>
              <w:t>CYP</w:t>
            </w:r>
            <w:r>
              <w:rPr>
                <w:rFonts w:cs="Arial"/>
                <w:spacing w:val="-3"/>
                <w:lang w:val="el-GR"/>
              </w:rPr>
              <w:t xml:space="preserve"> σημαίνει ότι η αναστολή της βιομετατροπής της είναι λιγότερο πιθανή καθώς </w:t>
            </w:r>
            <w:r>
              <w:rPr>
                <w:spacing w:val="-3"/>
                <w:lang w:val="el-GR"/>
              </w:rPr>
              <w:t>η αναστολή ενός ενζύμου μπορεί να αντισταθμιστεί            από μια άλλη</w:t>
            </w:r>
            <w:r>
              <w:rPr>
                <w:rFonts w:cs="Arial"/>
                <w:spacing w:val="-3"/>
                <w:lang w:val="el-GR"/>
              </w:rPr>
              <w:t xml:space="preserve">. Για τον λόγο αυτό η συγχορήγηση της σιταλοπράμης με άλλα φαρμακευτικά σκευάσματα     έχει πολύ μικρή πιθανότητα για πρόκληση  φαρμακοκινητικών αλληλεπιδράσεων με άλλα φαρμακευτικά σκευάσματα. </w:t>
            </w:r>
          </w:p>
          <w:p w:rsidR="008B43D6" w:rsidRDefault="008B43D6">
            <w:pPr>
              <w:textAlignment w:val="top"/>
              <w:rPr>
                <w:rFonts w:cs="Arial"/>
                <w:spacing w:val="-3"/>
                <w:lang w:val="el-GR"/>
              </w:rPr>
            </w:pPr>
          </w:p>
          <w:p w:rsidR="008B43D6" w:rsidRDefault="008B43D6">
            <w:pPr>
              <w:textAlignment w:val="top"/>
              <w:rPr>
                <w:bCs/>
                <w:lang w:val="el-GR"/>
              </w:rPr>
            </w:pPr>
            <w:r>
              <w:rPr>
                <w:bCs/>
                <w:i/>
                <w:u w:val="single"/>
                <w:lang w:val="el-GR"/>
              </w:rPr>
              <w:t>Τροφές</w:t>
            </w:r>
            <w:r>
              <w:rPr>
                <w:bCs/>
                <w:lang w:val="el-GR"/>
              </w:rPr>
              <w:br/>
              <w:t>Η απορρόφηση και άλλες φαρμακοκινητικές ιδιότητες της σιταλοπράμης δεν έχεί αναφερθεί ότι επηρεάζεται από το φαγητό.</w:t>
            </w:r>
          </w:p>
          <w:p w:rsidR="008B43D6" w:rsidRDefault="008B43D6">
            <w:pPr>
              <w:textAlignment w:val="top"/>
              <w:rPr>
                <w:rFonts w:cs="Arial"/>
                <w:spacing w:val="-3"/>
                <w:lang w:val="el-GR"/>
              </w:rPr>
            </w:pPr>
          </w:p>
          <w:p w:rsidR="008B43D6" w:rsidRDefault="008B43D6">
            <w:pPr>
              <w:jc w:val="both"/>
              <w:rPr>
                <w:rFonts w:cs="Arial"/>
                <w:b/>
                <w:iCs/>
                <w:spacing w:val="-3"/>
                <w:u w:val="single"/>
                <w:lang w:val="el-GR"/>
              </w:rPr>
            </w:pPr>
            <w:r>
              <w:rPr>
                <w:rFonts w:cs="Arial"/>
                <w:b/>
                <w:iCs/>
                <w:spacing w:val="-3"/>
                <w:u w:val="single"/>
                <w:lang w:val="el-GR"/>
              </w:rPr>
              <w:t>Επίδραση άλλων φαρμακευτικών σκευασμάτων στη φαρμακοκινητική της σιταλοπράμης</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Η συγχορήγηση με κετοκοναζόλη (ισχυρός αναστολέας</w:t>
            </w:r>
            <w:r>
              <w:rPr>
                <w:rFonts w:cs="Arial"/>
                <w:spacing w:val="-3"/>
              </w:rPr>
              <w:t>CYP</w:t>
            </w:r>
            <w:r>
              <w:rPr>
                <w:rFonts w:cs="Arial"/>
                <w:spacing w:val="-3"/>
                <w:lang w:val="el-GR"/>
              </w:rPr>
              <w:t>3</w:t>
            </w:r>
            <w:r>
              <w:rPr>
                <w:rFonts w:cs="Arial"/>
                <w:spacing w:val="-3"/>
              </w:rPr>
              <w:t>A</w:t>
            </w:r>
            <w:r>
              <w:rPr>
                <w:rFonts w:cs="Arial"/>
                <w:spacing w:val="-3"/>
                <w:lang w:val="el-GR"/>
              </w:rPr>
              <w:t>4) δεν μεταβάλλει τη φαρμακοκινητική της σιταλοπράμης.</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 xml:space="preserve">Μία μελέτη φαρμακοκινητικής  με λίθιο και σιταλοπράμη δεν έδειξε φαρμακοκινητική αλληλεπίδραση. </w:t>
            </w:r>
          </w:p>
          <w:p w:rsidR="008B43D6" w:rsidRDefault="008B43D6">
            <w:pPr>
              <w:jc w:val="both"/>
              <w:rPr>
                <w:rFonts w:cs="Arial"/>
                <w:spacing w:val="-3"/>
                <w:lang w:val="el-GR"/>
              </w:rPr>
            </w:pPr>
            <w:r>
              <w:rPr>
                <w:rFonts w:cs="Arial"/>
                <w:spacing w:val="-3"/>
                <w:lang w:val="el-GR"/>
              </w:rPr>
              <w:t>(βλέπε παραπάνω)</w:t>
            </w:r>
          </w:p>
          <w:p w:rsidR="008B43D6" w:rsidRDefault="008B43D6">
            <w:pPr>
              <w:jc w:val="both"/>
              <w:rPr>
                <w:rFonts w:cs="Arial"/>
                <w:b/>
                <w:spacing w:val="-3"/>
                <w:lang w:val="el-GR"/>
              </w:rPr>
            </w:pPr>
          </w:p>
          <w:p w:rsidR="008B43D6" w:rsidRDefault="008B43D6">
            <w:pPr>
              <w:jc w:val="both"/>
              <w:rPr>
                <w:rFonts w:cs="Arial"/>
                <w:spacing w:val="-3"/>
                <w:lang w:val="el-GR"/>
              </w:rPr>
            </w:pPr>
            <w:r>
              <w:rPr>
                <w:rFonts w:cs="Arial"/>
                <w:spacing w:val="-3"/>
                <w:lang w:val="el-GR"/>
              </w:rPr>
              <w:t xml:space="preserve">Η σιμετιδίνη (ισχυρός αναστολέας των </w:t>
            </w:r>
            <w:r>
              <w:rPr>
                <w:rFonts w:cs="Arial"/>
                <w:spacing w:val="-3"/>
              </w:rPr>
              <w:t>CYP</w:t>
            </w:r>
            <w:r>
              <w:rPr>
                <w:rFonts w:cs="Arial"/>
                <w:spacing w:val="-3"/>
                <w:lang w:val="el-GR"/>
              </w:rPr>
              <w:t>2</w:t>
            </w:r>
            <w:r>
              <w:rPr>
                <w:rFonts w:cs="Arial"/>
                <w:spacing w:val="-3"/>
              </w:rPr>
              <w:t>D</w:t>
            </w:r>
            <w:r>
              <w:rPr>
                <w:rFonts w:cs="Arial"/>
                <w:spacing w:val="-3"/>
                <w:lang w:val="el-GR"/>
              </w:rPr>
              <w:t>6, 3</w:t>
            </w:r>
            <w:r>
              <w:rPr>
                <w:rFonts w:cs="Arial"/>
                <w:spacing w:val="-3"/>
              </w:rPr>
              <w:t>A</w:t>
            </w:r>
            <w:r>
              <w:rPr>
                <w:rFonts w:cs="Arial"/>
                <w:spacing w:val="-3"/>
                <w:lang w:val="el-GR"/>
              </w:rPr>
              <w:t>4 και 1</w:t>
            </w:r>
            <w:r>
              <w:rPr>
                <w:rFonts w:cs="Arial"/>
                <w:spacing w:val="-3"/>
              </w:rPr>
              <w:t>A</w:t>
            </w:r>
            <w:r>
              <w:rPr>
                <w:rFonts w:cs="Arial"/>
                <w:spacing w:val="-3"/>
                <w:lang w:val="el-GR"/>
              </w:rPr>
              <w:t xml:space="preserve">2) προκάλεσε μέτριου βαθμού αύξηση στα επίπεδα της  σταθερής κατάστασης  της σιταλοπράμης. Συνιστάται προσοχή κατά τη χορήγηση σιταλοπράμη σε συνδυασμό με σιμετιδίνη. </w:t>
            </w:r>
            <w:r>
              <w:rPr>
                <w:rFonts w:cs="Arial"/>
                <w:color w:val="000000"/>
                <w:spacing w:val="-3"/>
                <w:lang w:val="el-GR"/>
              </w:rPr>
              <w:t>Μπορεί να απαιτηθεί</w:t>
            </w:r>
            <w:r>
              <w:rPr>
                <w:rFonts w:cs="Arial"/>
                <w:spacing w:val="-3"/>
                <w:lang w:val="el-GR"/>
              </w:rPr>
              <w:t xml:space="preserve"> προσαρμογή της δόσης της σιταλοπράμης.</w:t>
            </w:r>
          </w:p>
          <w:p w:rsidR="008B43D6" w:rsidRDefault="008B43D6">
            <w:pPr>
              <w:jc w:val="both"/>
              <w:rPr>
                <w:rFonts w:cs="Arial"/>
                <w:spacing w:val="-3"/>
                <w:lang w:val="el-GR"/>
              </w:rPr>
            </w:pPr>
          </w:p>
          <w:p w:rsidR="008B43D6" w:rsidRDefault="008B43D6">
            <w:pPr>
              <w:jc w:val="both"/>
              <w:rPr>
                <w:rFonts w:cs="Arial"/>
                <w:b/>
                <w:spacing w:val="-3"/>
                <w:u w:val="single"/>
                <w:lang w:val="el-GR"/>
              </w:rPr>
            </w:pPr>
            <w:r>
              <w:rPr>
                <w:rFonts w:cs="Arial"/>
                <w:b/>
                <w:spacing w:val="-3"/>
                <w:u w:val="single"/>
                <w:lang w:val="el-GR"/>
              </w:rPr>
              <w:t xml:space="preserve">Επιδράσεις της σιταλοπράμης σε άλλα φαρμακευτικά σκευάσματα  </w:t>
            </w:r>
          </w:p>
          <w:p w:rsidR="008B43D6" w:rsidRDefault="008B43D6">
            <w:pPr>
              <w:jc w:val="both"/>
              <w:rPr>
                <w:rFonts w:cs="Arial"/>
                <w:spacing w:val="-3"/>
                <w:lang w:val="el-GR"/>
              </w:rPr>
            </w:pPr>
          </w:p>
          <w:p w:rsidR="008B43D6" w:rsidRDefault="008B43D6">
            <w:pPr>
              <w:textAlignment w:val="top"/>
              <w:rPr>
                <w:bCs/>
                <w:lang w:val="el-GR"/>
              </w:rPr>
            </w:pPr>
            <w:r>
              <w:rPr>
                <w:rFonts w:cs="Arial"/>
                <w:spacing w:val="-3"/>
                <w:lang w:val="el-GR"/>
              </w:rPr>
              <w:t xml:space="preserve">Μία μελέτη φαρμακοδυναμικής / φαρμακοκινητικής αλληλεπίδρασης σε υγιείς εθελοντές με τη συγχορήγηση της σιταλοπράμης και της μετοπρολόλης (ένα υπόστρωμα </w:t>
            </w:r>
            <w:r>
              <w:rPr>
                <w:rFonts w:cs="Arial"/>
                <w:spacing w:val="-3"/>
              </w:rPr>
              <w:t>CYP</w:t>
            </w:r>
            <w:r>
              <w:rPr>
                <w:rFonts w:cs="Arial"/>
                <w:spacing w:val="-3"/>
                <w:lang w:val="el-GR"/>
              </w:rPr>
              <w:t>2</w:t>
            </w:r>
            <w:r>
              <w:rPr>
                <w:rFonts w:cs="Arial"/>
                <w:spacing w:val="-3"/>
              </w:rPr>
              <w:t>D</w:t>
            </w:r>
            <w:r>
              <w:rPr>
                <w:rFonts w:cs="Arial"/>
                <w:spacing w:val="-3"/>
                <w:lang w:val="el-GR"/>
              </w:rPr>
              <w:t>6) έδειξε διπλάσια αύξηση των συγκεντρώσεων της μετοπρολόλης αλλά όχι στατιστικά σημαντική αύξηση της δράσης της μετοπρολόλης στην αρτηριακή πίεση και στον καρδιακό ρυθμό.</w:t>
            </w:r>
            <w:r>
              <w:rPr>
                <w:rStyle w:val="a4"/>
                <w:rFonts w:ascii="Arial" w:hAnsi="Arial" w:cs="Arial"/>
                <w:color w:val="000000"/>
                <w:lang w:val="el-GR"/>
              </w:rPr>
              <w:t xml:space="preserve"> </w:t>
            </w:r>
            <w:r>
              <w:rPr>
                <w:rStyle w:val="hps"/>
                <w:rFonts w:ascii="Arial" w:hAnsi="Arial" w:cs="Arial"/>
                <w:color w:val="000000"/>
                <w:lang w:val="el-GR"/>
              </w:rPr>
              <w:t>Σ</w:t>
            </w:r>
            <w:r>
              <w:rPr>
                <w:bCs/>
                <w:lang w:val="el-GR"/>
              </w:rPr>
              <w:t>υνιστάται προσοχή όταν η μετοπρολόλη και η σιταλοπράμη συγχορηγούνται. Προσαρμογή της δόσης μπορεί να δικαιολογηθεί</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 xml:space="preserve">Η Σιταλοπράμη και η διμεθυλσιταλοπράμη είναι αμελητέοι αναστολείς των </w:t>
            </w:r>
            <w:r>
              <w:rPr>
                <w:rFonts w:cs="Arial"/>
                <w:spacing w:val="-3"/>
              </w:rPr>
              <w:t>CYP</w:t>
            </w:r>
            <w:r>
              <w:rPr>
                <w:rFonts w:cs="Arial"/>
                <w:spacing w:val="-3"/>
                <w:lang w:val="el-GR"/>
              </w:rPr>
              <w:t>2</w:t>
            </w:r>
            <w:r>
              <w:rPr>
                <w:rFonts w:cs="Arial"/>
                <w:spacing w:val="-3"/>
              </w:rPr>
              <w:t>C</w:t>
            </w:r>
            <w:r>
              <w:rPr>
                <w:rFonts w:cs="Arial"/>
                <w:spacing w:val="-3"/>
                <w:lang w:val="el-GR"/>
              </w:rPr>
              <w:t xml:space="preserve">9, </w:t>
            </w:r>
            <w:r>
              <w:rPr>
                <w:rFonts w:cs="Arial"/>
                <w:spacing w:val="-3"/>
              </w:rPr>
              <w:t>CYP</w:t>
            </w:r>
            <w:r>
              <w:rPr>
                <w:rFonts w:cs="Arial"/>
                <w:spacing w:val="-3"/>
                <w:lang w:val="el-GR"/>
              </w:rPr>
              <w:t>2</w:t>
            </w:r>
            <w:r>
              <w:rPr>
                <w:rFonts w:cs="Arial"/>
                <w:spacing w:val="-3"/>
              </w:rPr>
              <w:t>E</w:t>
            </w:r>
            <w:r>
              <w:rPr>
                <w:rFonts w:cs="Arial"/>
                <w:spacing w:val="-3"/>
                <w:lang w:val="el-GR"/>
              </w:rPr>
              <w:t xml:space="preserve">1 και </w:t>
            </w:r>
            <w:r>
              <w:rPr>
                <w:rFonts w:cs="Arial"/>
                <w:spacing w:val="-3"/>
              </w:rPr>
              <w:t>CYP</w:t>
            </w:r>
            <w:r>
              <w:rPr>
                <w:rFonts w:cs="Arial"/>
                <w:spacing w:val="-3"/>
                <w:lang w:val="el-GR"/>
              </w:rPr>
              <w:t>3</w:t>
            </w:r>
            <w:r>
              <w:rPr>
                <w:rFonts w:cs="Arial"/>
                <w:spacing w:val="-3"/>
              </w:rPr>
              <w:t>A</w:t>
            </w:r>
            <w:r>
              <w:rPr>
                <w:rFonts w:cs="Arial"/>
                <w:spacing w:val="-3"/>
                <w:lang w:val="el-GR"/>
              </w:rPr>
              <w:t xml:space="preserve">4, και ασθενείς μόνο αναστολείς των </w:t>
            </w:r>
            <w:r>
              <w:rPr>
                <w:rFonts w:cs="Arial"/>
                <w:spacing w:val="-3"/>
              </w:rPr>
              <w:t>CYP</w:t>
            </w:r>
            <w:r>
              <w:rPr>
                <w:rFonts w:cs="Arial"/>
                <w:spacing w:val="-3"/>
                <w:lang w:val="el-GR"/>
              </w:rPr>
              <w:t>1</w:t>
            </w:r>
            <w:r>
              <w:rPr>
                <w:rFonts w:cs="Arial"/>
                <w:spacing w:val="-3"/>
              </w:rPr>
              <w:t>A</w:t>
            </w:r>
            <w:r>
              <w:rPr>
                <w:rFonts w:cs="Arial"/>
                <w:spacing w:val="-3"/>
                <w:lang w:val="el-GR"/>
              </w:rPr>
              <w:t xml:space="preserve">2, </w:t>
            </w:r>
            <w:r>
              <w:rPr>
                <w:rFonts w:cs="Arial"/>
                <w:spacing w:val="-3"/>
              </w:rPr>
              <w:t>CYP</w:t>
            </w:r>
            <w:r>
              <w:rPr>
                <w:rFonts w:cs="Arial"/>
                <w:spacing w:val="-3"/>
                <w:lang w:val="el-GR"/>
              </w:rPr>
              <w:t>2</w:t>
            </w:r>
            <w:r>
              <w:rPr>
                <w:rFonts w:cs="Arial"/>
                <w:spacing w:val="-3"/>
              </w:rPr>
              <w:t>C</w:t>
            </w:r>
            <w:r>
              <w:rPr>
                <w:rFonts w:cs="Arial"/>
                <w:spacing w:val="-3"/>
                <w:lang w:val="el-GR"/>
              </w:rPr>
              <w:t xml:space="preserve">19 και </w:t>
            </w:r>
            <w:r>
              <w:rPr>
                <w:rFonts w:cs="Arial"/>
                <w:spacing w:val="-3"/>
              </w:rPr>
              <w:t>CYP</w:t>
            </w:r>
            <w:r>
              <w:rPr>
                <w:rFonts w:cs="Arial"/>
                <w:spacing w:val="-3"/>
                <w:lang w:val="el-GR"/>
              </w:rPr>
              <w:t>2</w:t>
            </w:r>
            <w:r>
              <w:rPr>
                <w:rFonts w:cs="Arial"/>
                <w:spacing w:val="-3"/>
              </w:rPr>
              <w:t>D</w:t>
            </w:r>
            <w:r>
              <w:rPr>
                <w:rFonts w:cs="Arial"/>
                <w:spacing w:val="-3"/>
                <w:lang w:val="el-GR"/>
              </w:rPr>
              <w:t xml:space="preserve">6 σε σύγκριση με άλλα </w:t>
            </w:r>
            <w:r>
              <w:rPr>
                <w:rFonts w:cs="Arial"/>
                <w:spacing w:val="-3"/>
              </w:rPr>
              <w:t>SSRIs</w:t>
            </w:r>
            <w:r>
              <w:rPr>
                <w:rFonts w:cs="Arial"/>
                <w:spacing w:val="-3"/>
                <w:lang w:val="el-GR"/>
              </w:rPr>
              <w:t xml:space="preserve"> τα οποία θεωρούνται ισχυροί αναστολείς. </w:t>
            </w:r>
          </w:p>
          <w:p w:rsidR="008B43D6" w:rsidRDefault="008B43D6">
            <w:pPr>
              <w:jc w:val="both"/>
              <w:rPr>
                <w:rFonts w:cs="Arial"/>
                <w:spacing w:val="-3"/>
                <w:lang w:val="el-GR"/>
              </w:rPr>
            </w:pPr>
          </w:p>
          <w:p w:rsidR="008B43D6" w:rsidRDefault="008B43D6">
            <w:pPr>
              <w:jc w:val="both"/>
              <w:rPr>
                <w:rFonts w:cs="Arial"/>
                <w:spacing w:val="-3"/>
                <w:lang w:val="el-GR"/>
              </w:rPr>
            </w:pPr>
          </w:p>
          <w:p w:rsidR="008B43D6" w:rsidRDefault="008B43D6">
            <w:pPr>
              <w:jc w:val="both"/>
              <w:rPr>
                <w:rFonts w:cs="Arial"/>
                <w:i/>
                <w:spacing w:val="-3"/>
                <w:u w:val="single"/>
                <w:lang w:val="el-GR"/>
              </w:rPr>
            </w:pPr>
            <w:r>
              <w:rPr>
                <w:rFonts w:cs="Arial"/>
                <w:i/>
                <w:spacing w:val="-3"/>
                <w:u w:val="single"/>
                <w:lang w:val="el-GR"/>
              </w:rPr>
              <w:lastRenderedPageBreak/>
              <w:t>Λεβοπρομαζίνη, διγοξίνη, καρβαμαζεπίνη</w:t>
            </w:r>
          </w:p>
          <w:p w:rsidR="008B43D6" w:rsidRDefault="008B43D6">
            <w:pPr>
              <w:jc w:val="both"/>
              <w:rPr>
                <w:rFonts w:cs="Arial"/>
                <w:spacing w:val="-3"/>
                <w:lang w:val="el-GR"/>
              </w:rPr>
            </w:pPr>
            <w:r>
              <w:rPr>
                <w:rFonts w:cs="Arial"/>
                <w:spacing w:val="-3"/>
                <w:lang w:val="el-GR"/>
              </w:rPr>
              <w:t xml:space="preserve">Δεν παρατηρήθηκε μεταβολή ή παρατηρήθηκαν μόνο πολύ μικρές μεταβολές  μη κλινικά σημαντικές όταν η σιταλοπράμη χορηγείται με ουσίες που μεταβολίζονται στα υποστρώματα </w:t>
            </w:r>
            <w:r>
              <w:rPr>
                <w:rFonts w:cs="Arial"/>
                <w:spacing w:val="-3"/>
              </w:rPr>
              <w:t>CYP</w:t>
            </w:r>
            <w:r>
              <w:rPr>
                <w:rFonts w:cs="Arial"/>
                <w:spacing w:val="-3"/>
                <w:lang w:val="el-GR"/>
              </w:rPr>
              <w:t>1</w:t>
            </w:r>
            <w:r>
              <w:rPr>
                <w:rFonts w:cs="Arial"/>
                <w:spacing w:val="-3"/>
              </w:rPr>
              <w:t>A</w:t>
            </w:r>
            <w:r>
              <w:rPr>
                <w:rFonts w:cs="Arial"/>
                <w:spacing w:val="-3"/>
                <w:lang w:val="el-GR"/>
              </w:rPr>
              <w:t xml:space="preserve">2 (κλοζαπίνη και θεοφυλλίνη), </w:t>
            </w:r>
            <w:r>
              <w:rPr>
                <w:rFonts w:cs="Arial"/>
                <w:spacing w:val="-3"/>
              </w:rPr>
              <w:t>CYP</w:t>
            </w:r>
            <w:r>
              <w:rPr>
                <w:rFonts w:cs="Arial"/>
                <w:spacing w:val="-3"/>
                <w:lang w:val="el-GR"/>
              </w:rPr>
              <w:t>2</w:t>
            </w:r>
            <w:r>
              <w:rPr>
                <w:rFonts w:cs="Arial"/>
                <w:spacing w:val="-3"/>
              </w:rPr>
              <w:t>C</w:t>
            </w:r>
            <w:r>
              <w:rPr>
                <w:rFonts w:cs="Arial"/>
                <w:spacing w:val="-3"/>
                <w:lang w:val="el-GR"/>
              </w:rPr>
              <w:t xml:space="preserve">9 (βαρφαρίνη), </w:t>
            </w:r>
            <w:r>
              <w:rPr>
                <w:rFonts w:cs="Arial"/>
                <w:spacing w:val="-3"/>
              </w:rPr>
              <w:t>CYP</w:t>
            </w:r>
            <w:r>
              <w:rPr>
                <w:rFonts w:cs="Arial"/>
                <w:spacing w:val="-3"/>
                <w:lang w:val="el-GR"/>
              </w:rPr>
              <w:t>2</w:t>
            </w:r>
            <w:r>
              <w:rPr>
                <w:rFonts w:cs="Arial"/>
                <w:spacing w:val="-3"/>
              </w:rPr>
              <w:t>C</w:t>
            </w:r>
            <w:r>
              <w:rPr>
                <w:rFonts w:cs="Arial"/>
                <w:spacing w:val="-3"/>
                <w:lang w:val="el-GR"/>
              </w:rPr>
              <w:t xml:space="preserve">19 (ιμιπραμίνη και μεφαινυντοίνη), </w:t>
            </w:r>
            <w:r>
              <w:rPr>
                <w:rFonts w:cs="Arial"/>
                <w:spacing w:val="-3"/>
              </w:rPr>
              <w:t>CYP</w:t>
            </w:r>
            <w:r>
              <w:rPr>
                <w:rFonts w:cs="Arial"/>
                <w:spacing w:val="-3"/>
                <w:lang w:val="el-GR"/>
              </w:rPr>
              <w:t>2</w:t>
            </w:r>
            <w:r>
              <w:rPr>
                <w:rFonts w:cs="Arial"/>
                <w:spacing w:val="-3"/>
              </w:rPr>
              <w:t>D</w:t>
            </w:r>
            <w:r>
              <w:rPr>
                <w:rFonts w:cs="Arial"/>
                <w:spacing w:val="-3"/>
                <w:lang w:val="el-GR"/>
              </w:rPr>
              <w:t xml:space="preserve">6 (σπαρτείνη, ιμιπραμίνη, αμιτριπτιλίνη, ρισπεριδόνη) και </w:t>
            </w:r>
            <w:r>
              <w:rPr>
                <w:rFonts w:cs="Arial"/>
                <w:spacing w:val="-3"/>
              </w:rPr>
              <w:t>CYP</w:t>
            </w:r>
            <w:r>
              <w:rPr>
                <w:rFonts w:cs="Arial"/>
                <w:spacing w:val="-3"/>
                <w:lang w:val="el-GR"/>
              </w:rPr>
              <w:t>3</w:t>
            </w:r>
            <w:r>
              <w:rPr>
                <w:rFonts w:cs="Arial"/>
                <w:spacing w:val="-3"/>
              </w:rPr>
              <w:t>A</w:t>
            </w:r>
            <w:r>
              <w:rPr>
                <w:rFonts w:cs="Arial"/>
                <w:spacing w:val="-3"/>
                <w:lang w:val="el-GR"/>
              </w:rPr>
              <w:t xml:space="preserve">4 (βαρφαρίνη, καρβαμαζεπίνη (και του μεταβολίτη της καρβαμαζεπίνη </w:t>
            </w:r>
            <w:r>
              <w:rPr>
                <w:rFonts w:cs="Arial"/>
                <w:spacing w:val="-3"/>
                <w:lang w:val="en-US"/>
              </w:rPr>
              <w:t>epoxide</w:t>
            </w:r>
            <w:r>
              <w:rPr>
                <w:rFonts w:cs="Arial"/>
                <w:spacing w:val="-3"/>
                <w:lang w:val="el-GR"/>
              </w:rPr>
              <w:t xml:space="preserve">) και τριαζολάμη). </w:t>
            </w:r>
          </w:p>
          <w:p w:rsidR="008B43D6" w:rsidRDefault="008B43D6">
            <w:pPr>
              <w:jc w:val="both"/>
              <w:rPr>
                <w:rFonts w:cs="Arial"/>
                <w:spacing w:val="-3"/>
                <w:lang w:val="el-GR"/>
              </w:rPr>
            </w:pPr>
          </w:p>
          <w:p w:rsidR="008B43D6" w:rsidRDefault="008B43D6">
            <w:pPr>
              <w:keepNext/>
              <w:keepLines/>
              <w:jc w:val="both"/>
              <w:rPr>
                <w:spacing w:val="-3"/>
                <w:lang w:val="en-US"/>
              </w:rPr>
            </w:pPr>
            <w:r>
              <w:rPr>
                <w:spacing w:val="-3"/>
                <w:lang w:val="el-GR"/>
              </w:rPr>
              <w:t>Δεν έχουν παρατηρηθεί φαρμακοκινητικές αλληλεπιδράσεις μεταξύ της σιταλοπράμης και της              λεβομεπρομαζίνης, ή διγοξίνης, (πράγμα που δείχνει ότι η σιταλοπράμη ούτε περιλαμβάνει ούτε      αναστέλλει την P-γλυκοπρωτεΐνη).</w:t>
            </w:r>
          </w:p>
          <w:p w:rsidR="008B43D6" w:rsidRDefault="008B43D6">
            <w:pPr>
              <w:keepNext/>
              <w:keepLines/>
              <w:jc w:val="both"/>
              <w:rPr>
                <w:spacing w:val="-3"/>
                <w:lang w:val="en-US"/>
              </w:rPr>
            </w:pPr>
          </w:p>
          <w:p w:rsidR="008B43D6" w:rsidRDefault="008B43D6">
            <w:pPr>
              <w:jc w:val="both"/>
              <w:rPr>
                <w:lang w:val="en-US"/>
              </w:rPr>
            </w:pPr>
          </w:p>
        </w:tc>
      </w:tr>
      <w:tr w:rsidR="008B43D6">
        <w:tblPrEx>
          <w:tblCellMar>
            <w:top w:w="0" w:type="dxa"/>
            <w:bottom w:w="0" w:type="dxa"/>
          </w:tblCellMar>
        </w:tblPrEx>
        <w:tc>
          <w:tcPr>
            <w:tcW w:w="10506" w:type="dxa"/>
          </w:tcPr>
          <w:p w:rsidR="008B43D6" w:rsidRPr="005F1974" w:rsidRDefault="008B43D6">
            <w:pPr>
              <w:ind w:left="567" w:hanging="567"/>
              <w:jc w:val="both"/>
              <w:rPr>
                <w:b/>
                <w:lang w:val="el-GR"/>
              </w:rPr>
            </w:pPr>
            <w:r w:rsidRPr="005F1974">
              <w:rPr>
                <w:b/>
                <w:lang w:val="el-GR"/>
              </w:rPr>
              <w:lastRenderedPageBreak/>
              <w:t>4.6</w:t>
            </w:r>
            <w:r w:rsidRPr="005F1974">
              <w:rPr>
                <w:b/>
                <w:lang w:val="el-GR"/>
              </w:rPr>
              <w:tab/>
            </w:r>
            <w:r w:rsidRPr="005F1974">
              <w:rPr>
                <w:b/>
                <w:lang w:val="el-GR"/>
              </w:rPr>
              <w:tab/>
              <w:t xml:space="preserve">Κύηση και γαλουχία </w:t>
            </w:r>
          </w:p>
          <w:p w:rsidR="008B43D6" w:rsidRPr="005F1974" w:rsidRDefault="008B43D6">
            <w:pPr>
              <w:jc w:val="both"/>
              <w:rPr>
                <w:i/>
                <w:u w:val="single"/>
                <w:lang w:val="el-GR"/>
              </w:rPr>
            </w:pPr>
            <w:r w:rsidRPr="005F1974">
              <w:rPr>
                <w:i/>
                <w:u w:val="single"/>
                <w:lang w:val="el-GR"/>
              </w:rPr>
              <w:t>Κύηση</w:t>
            </w:r>
          </w:p>
          <w:p w:rsidR="008B43D6" w:rsidRPr="005F1974" w:rsidRDefault="008B43D6">
            <w:pPr>
              <w:jc w:val="both"/>
              <w:rPr>
                <w:u w:val="single"/>
                <w:lang w:val="el-GR"/>
              </w:rPr>
            </w:pPr>
          </w:p>
          <w:p w:rsidR="008B43D6" w:rsidRPr="005F1974" w:rsidRDefault="008B43D6">
            <w:pPr>
              <w:jc w:val="both"/>
              <w:rPr>
                <w:rFonts w:cs="Arial"/>
                <w:spacing w:val="-3"/>
                <w:lang w:val="el-GR"/>
              </w:rPr>
            </w:pPr>
            <w:r w:rsidRPr="005F1974">
              <w:rPr>
                <w:rFonts w:cs="Arial"/>
                <w:spacing w:val="-3"/>
                <w:lang w:val="el-GR"/>
              </w:rPr>
              <w:t>Δημοσιευμένα στοιχεία για έγκυες γυναίκες (περισσότερες από 2500 εκβάσεις έκθεσης), δεν καταδεικνύουν δυσμορφίες ή έμβρυο-/ νεογνική τοξικότητα. Ωστόσο, η σιταλοπράμη δεν πρέπει να χρησιμοποιείται κατά τη διάρκεια της εγκυμοσύνης εκτός εάν είναι σαφώς απαραίτητη και μόνο μετά από προσεκτική εκτίμηση της σχέσης κινδύνου / οφέλους.</w:t>
            </w:r>
          </w:p>
          <w:p w:rsidR="008B43D6" w:rsidRPr="005F1974" w:rsidRDefault="008B43D6">
            <w:pPr>
              <w:jc w:val="both"/>
              <w:rPr>
                <w:rFonts w:cs="Arial"/>
                <w:spacing w:val="-3"/>
                <w:lang w:val="el-GR"/>
              </w:rPr>
            </w:pPr>
          </w:p>
          <w:p w:rsidR="008B43D6" w:rsidRPr="005F1974" w:rsidRDefault="008B43D6">
            <w:pPr>
              <w:jc w:val="both"/>
              <w:rPr>
                <w:rFonts w:cs="Arial"/>
                <w:spacing w:val="-3"/>
                <w:lang w:val="el-GR"/>
              </w:rPr>
            </w:pPr>
            <w:r w:rsidRPr="005F1974">
              <w:rPr>
                <w:rFonts w:cs="Arial"/>
                <w:spacing w:val="-3"/>
                <w:lang w:val="el-GR"/>
              </w:rPr>
              <w:t xml:space="preserve"> Τα νεογνά πρέπει να παρακολουθούνται εάν η μητέρα συνεχίζει τη θεραπεία με σιταλοπράμη στα τελευταία στάδια της εγκυμοσύνης, ιδιαίτερα κατά το τρίτο τρίμηνο. Η απότομη διακοπή πρέπει να αποφεύγεται κατά τη διάρκεια της κύησης.</w:t>
            </w:r>
          </w:p>
          <w:p w:rsidR="008B43D6" w:rsidRPr="005F1974" w:rsidRDefault="008B43D6">
            <w:pPr>
              <w:jc w:val="both"/>
              <w:rPr>
                <w:rFonts w:cs="Arial"/>
                <w:color w:val="000000"/>
                <w:lang w:val="el-GR"/>
              </w:rPr>
            </w:pPr>
          </w:p>
          <w:p w:rsidR="008B43D6" w:rsidRPr="005F1974" w:rsidRDefault="008B43D6">
            <w:pPr>
              <w:jc w:val="both"/>
              <w:rPr>
                <w:rFonts w:cs="Arial"/>
                <w:color w:val="000000"/>
                <w:lang w:val="el-GR"/>
              </w:rPr>
            </w:pPr>
            <w:r w:rsidRPr="005F1974">
              <w:rPr>
                <w:rFonts w:cs="Arial"/>
                <w:color w:val="000000"/>
                <w:lang w:val="el-GR"/>
              </w:rPr>
              <w:t xml:space="preserve">Τα ακόλουθα συμπτώματα μπορεί να εμφανιστούν στα νεογνά των οποίων οι μητέρες λάμβαναν αγωγή με </w:t>
            </w:r>
            <w:r w:rsidRPr="005F1974">
              <w:rPr>
                <w:rFonts w:cs="Arial"/>
                <w:color w:val="000000"/>
              </w:rPr>
              <w:t>SSRI</w:t>
            </w:r>
            <w:r w:rsidRPr="005F1974">
              <w:rPr>
                <w:rFonts w:cs="Arial"/>
                <w:color w:val="000000"/>
                <w:lang w:val="el-GR"/>
              </w:rPr>
              <w:t>/</w:t>
            </w:r>
            <w:r w:rsidRPr="005F1974">
              <w:rPr>
                <w:rFonts w:cs="Arial"/>
                <w:color w:val="000000"/>
              </w:rPr>
              <w:t>SNRI</w:t>
            </w:r>
            <w:r w:rsidRPr="005F1974">
              <w:rPr>
                <w:rFonts w:cs="Arial"/>
                <w:color w:val="000000"/>
                <w:lang w:val="el-GR"/>
              </w:rPr>
              <w:t xml:space="preserve"> κατά τα τελευταία στάδια της κύησης: αναπνευστική δυσφορία, κυάνωση, άπνοια, σπασμοί, μεταβολές της θερμοκρασίας του σώματος, δυσκολία στη πρόσληψη τροφής, έμετος, υπογλυκαιμία, υπερτονία, υποτονία, υπερδιέγερση, τρόμος, έντονη κινητικότητα, ευερεθιστότητα, λήθαργος, συνεχές κλάμα, υπνηλία και δυσκολία στον ύπνο. Αυτά τα συμπτώματα μπορεί να οφείλονται είτε σε σεροτονεργικές δράσεις ή να είναι συμπτώματα στέρησης. Στις περισσότερες περιπτώσεις οι επιπλοκές αρχίζουν αμέσως ή σύντομα (&lt;24 ώρες) μετά τον τοκετό. </w:t>
            </w:r>
          </w:p>
          <w:p w:rsidR="008B43D6" w:rsidRPr="005F1974" w:rsidRDefault="008B43D6">
            <w:pPr>
              <w:jc w:val="both"/>
              <w:rPr>
                <w:rFonts w:cs="Arial"/>
                <w:color w:val="000000"/>
                <w:lang w:val="el-GR"/>
              </w:rPr>
            </w:pPr>
          </w:p>
          <w:p w:rsidR="008B43D6" w:rsidRPr="005F1974" w:rsidRDefault="008B43D6">
            <w:pPr>
              <w:jc w:val="both"/>
            </w:pPr>
            <w:r w:rsidRPr="005F1974">
              <w:t>T</w:t>
            </w:r>
            <w:r w:rsidRPr="005F1974">
              <w:rPr>
                <w:lang w:val="el-GR"/>
              </w:rPr>
              <w:t xml:space="preserve">α επιδημιολογικά δεδομένα υποδηλώνουν πως η χρήση των </w:t>
            </w:r>
            <w:r w:rsidRPr="005F1974">
              <w:t>SSRIs</w:t>
            </w:r>
            <w:r w:rsidRPr="005F1974">
              <w:rPr>
                <w:lang w:val="el-GR"/>
              </w:rPr>
              <w:t xml:space="preserve"> κατά την κύηση, ιδιαίτερα κατά το τελικό στάδιο της κύησης, είναι πιθανό να αυξήσει τον κίνδυνο επίμονης πνευμονικής υπέρτασης του νεογνού (</w:t>
            </w:r>
            <w:r w:rsidRPr="005F1974">
              <w:t>PPHN</w:t>
            </w:r>
            <w:r w:rsidRPr="005F1974">
              <w:rPr>
                <w:lang w:val="el-GR"/>
              </w:rPr>
              <w:t xml:space="preserve">). Ο κίνδυνος που παρατηρήθηκε αφορούσε σε περίπου 5 περιστατικά ανά 1000 κυήσεις. </w:t>
            </w:r>
            <w:proofErr w:type="spellStart"/>
            <w:r w:rsidRPr="005F1974">
              <w:t>Στο</w:t>
            </w:r>
            <w:proofErr w:type="spellEnd"/>
            <w:r w:rsidRPr="005F1974">
              <w:t xml:space="preserve"> </w:t>
            </w:r>
            <w:proofErr w:type="spellStart"/>
            <w:r w:rsidRPr="005F1974">
              <w:t>γενικό</w:t>
            </w:r>
            <w:proofErr w:type="spellEnd"/>
            <w:r w:rsidRPr="005F1974">
              <w:t xml:space="preserve"> </w:t>
            </w:r>
            <w:proofErr w:type="spellStart"/>
            <w:r w:rsidRPr="005F1974">
              <w:t>πληθυσμό</w:t>
            </w:r>
            <w:proofErr w:type="spellEnd"/>
            <w:r w:rsidRPr="005F1974">
              <w:t xml:space="preserve">, </w:t>
            </w:r>
            <w:proofErr w:type="spellStart"/>
            <w:r w:rsidRPr="005F1974">
              <w:t>σημειώνονται</w:t>
            </w:r>
            <w:proofErr w:type="spellEnd"/>
            <w:r w:rsidRPr="005F1974">
              <w:t xml:space="preserve"> 1 έως 2 </w:t>
            </w:r>
            <w:proofErr w:type="spellStart"/>
            <w:r w:rsidRPr="005F1974">
              <w:t>περιστατικά</w:t>
            </w:r>
            <w:proofErr w:type="spellEnd"/>
            <w:r w:rsidRPr="005F1974">
              <w:t xml:space="preserve"> PPHN </w:t>
            </w:r>
            <w:proofErr w:type="spellStart"/>
            <w:r w:rsidRPr="005F1974">
              <w:t>ανά</w:t>
            </w:r>
            <w:proofErr w:type="spellEnd"/>
            <w:r w:rsidRPr="005F1974">
              <w:t xml:space="preserve"> 1000 </w:t>
            </w:r>
            <w:proofErr w:type="spellStart"/>
            <w:r w:rsidRPr="005F1974">
              <w:t>κυήσεις</w:t>
            </w:r>
            <w:proofErr w:type="spellEnd"/>
            <w:r w:rsidRPr="005F1974">
              <w:t>.</w:t>
            </w:r>
          </w:p>
          <w:p w:rsidR="008B43D6" w:rsidRPr="005F1974" w:rsidRDefault="008B43D6">
            <w:pPr>
              <w:jc w:val="both"/>
              <w:rPr>
                <w:u w:val="single"/>
                <w:lang w:val="en-US"/>
              </w:rPr>
            </w:pPr>
          </w:p>
          <w:p w:rsidR="008B43D6" w:rsidRPr="005F1974" w:rsidRDefault="008B43D6">
            <w:pPr>
              <w:jc w:val="both"/>
              <w:rPr>
                <w:u w:val="single"/>
                <w:lang w:val="en-US"/>
              </w:rPr>
            </w:pPr>
          </w:p>
          <w:p w:rsidR="008B43D6" w:rsidRPr="005F1974" w:rsidRDefault="008B43D6">
            <w:pPr>
              <w:jc w:val="both"/>
              <w:rPr>
                <w:i/>
                <w:u w:val="single"/>
                <w:lang w:val="el-GR"/>
              </w:rPr>
            </w:pPr>
            <w:r w:rsidRPr="005F1974">
              <w:rPr>
                <w:i/>
                <w:u w:val="single"/>
                <w:lang w:val="el-GR"/>
              </w:rPr>
              <w:t>Γαλουχία</w:t>
            </w:r>
          </w:p>
          <w:p w:rsidR="00625E23" w:rsidRPr="005F1974" w:rsidRDefault="008B43D6">
            <w:pPr>
              <w:pStyle w:val="a8"/>
              <w:jc w:val="both"/>
              <w:rPr>
                <w:b w:val="0"/>
                <w:lang w:val="en-US"/>
              </w:rPr>
            </w:pPr>
            <w:r w:rsidRPr="005F1974">
              <w:rPr>
                <w:b w:val="0"/>
                <w:spacing w:val="-3"/>
                <w:lang w:val="el-GR"/>
              </w:rPr>
              <w:t>Η Σιταλοπράμη εκκρίνεται στο μητρικό γάλα. Υπολογίζεται ότι το θηλάζον νεογνό λαμβάνει περίπου</w:t>
            </w:r>
            <w:r w:rsidRPr="005F1974">
              <w:rPr>
                <w:b w:val="0"/>
                <w:lang w:val="el-GR"/>
              </w:rPr>
              <w:t xml:space="preserve"> 5%   της σχετιζόμενης με το βάρος μητρικής ημερήσιας δόσης (σε </w:t>
            </w:r>
            <w:r w:rsidRPr="005F1974">
              <w:rPr>
                <w:b w:val="0"/>
              </w:rPr>
              <w:t>mg</w:t>
            </w:r>
            <w:r w:rsidRPr="005F1974">
              <w:rPr>
                <w:b w:val="0"/>
                <w:lang w:val="el-GR"/>
              </w:rPr>
              <w:t>/</w:t>
            </w:r>
            <w:r w:rsidRPr="005F1974">
              <w:rPr>
                <w:b w:val="0"/>
              </w:rPr>
              <w:t>kg</w:t>
            </w:r>
            <w:r w:rsidRPr="005F1974">
              <w:rPr>
                <w:b w:val="0"/>
                <w:lang w:val="el-GR"/>
              </w:rPr>
              <w:t>). Καθόλου ή μόνο ελάχιστα συμβάντα έχουν παρατηρηθεί στα παιδιά. Παρ όλα αυτά οι υπάρχουσες πληροφορίες  είναι ανεπαρκείς για την αξιολόγηση του κινδύνου στο παιδί. Συνιστάται προσοχή.</w:t>
            </w:r>
          </w:p>
          <w:p w:rsidR="008B43D6" w:rsidRPr="005F1974" w:rsidRDefault="008B43D6">
            <w:pPr>
              <w:pStyle w:val="a8"/>
              <w:jc w:val="both"/>
              <w:rPr>
                <w:b w:val="0"/>
                <w:lang w:val="el-GR"/>
              </w:rPr>
            </w:pPr>
            <w:r w:rsidRPr="005F1974">
              <w:rPr>
                <w:b w:val="0"/>
                <w:lang w:val="el-GR"/>
              </w:rPr>
              <w:t xml:space="preserve"> </w:t>
            </w:r>
          </w:p>
          <w:p w:rsidR="00625E23" w:rsidRPr="005F23E7" w:rsidRDefault="00625E23" w:rsidP="005F1974">
            <w:pPr>
              <w:pStyle w:val="a8"/>
              <w:jc w:val="both"/>
              <w:rPr>
                <w:b w:val="0"/>
                <w:lang w:val="el-GR"/>
              </w:rPr>
            </w:pPr>
            <w:r w:rsidRPr="005F1974">
              <w:rPr>
                <w:b w:val="0"/>
                <w:u w:val="single"/>
                <w:lang w:val="el-GR"/>
              </w:rPr>
              <w:t>Γονιμότητα</w:t>
            </w:r>
            <w:r w:rsidRPr="005F1974">
              <w:rPr>
                <w:b w:val="0"/>
                <w:lang w:val="el-GR"/>
              </w:rPr>
              <w:br/>
              <w:t>Δεδομένα σε πειραματόζωα έχουν δείξει ότι η σιταλοπράμη μπορεί να επηρεάσει την ποιότητα του σπέρματος (βλέπε παράγραφο 5.3).</w:t>
            </w:r>
            <w:r w:rsidRPr="005F1974">
              <w:rPr>
                <w:b w:val="0"/>
                <w:lang w:val="el-GR"/>
              </w:rPr>
              <w:br/>
              <w:t>Αναφορές από χρήση SSRIs σε ανθρώπους έχουν δείξει ότι η επίδραση στην ποιότητα του σπέρματος είναι αναστρέψιμη. Επιπτώσεις στη γονιμότητα του ανθρώπου δεν έχουν παρατηρηθεί μέχρι σήμερα.</w:t>
            </w:r>
          </w:p>
          <w:p w:rsidR="008B43D6" w:rsidRDefault="008B43D6">
            <w:pPr>
              <w:pStyle w:val="a8"/>
              <w:jc w:val="both"/>
              <w:rPr>
                <w:b w:val="0"/>
                <w:lang w:val="el-GR"/>
              </w:rPr>
            </w:pPr>
          </w:p>
          <w:p w:rsidR="008B43D6" w:rsidRDefault="008B43D6">
            <w:pPr>
              <w:ind w:left="720"/>
              <w:jc w:val="both"/>
              <w:rPr>
                <w:lang w:val="el-GR"/>
              </w:rPr>
            </w:pPr>
          </w:p>
        </w:tc>
      </w:tr>
      <w:tr w:rsidR="008B43D6">
        <w:tblPrEx>
          <w:tblCellMar>
            <w:top w:w="0" w:type="dxa"/>
            <w:bottom w:w="0" w:type="dxa"/>
          </w:tblCellMar>
        </w:tblPrEx>
        <w:tc>
          <w:tcPr>
            <w:tcW w:w="10506" w:type="dxa"/>
          </w:tcPr>
          <w:p w:rsidR="008B43D6" w:rsidRDefault="008B43D6">
            <w:pPr>
              <w:jc w:val="both"/>
              <w:rPr>
                <w:b/>
                <w:lang w:val="el-GR"/>
              </w:rPr>
            </w:pPr>
            <w:r>
              <w:rPr>
                <w:b/>
                <w:lang w:val="el-GR"/>
              </w:rPr>
              <w:lastRenderedPageBreak/>
              <w:t>4.7</w:t>
            </w:r>
            <w:r>
              <w:rPr>
                <w:b/>
                <w:lang w:val="el-GR"/>
              </w:rPr>
              <w:tab/>
              <w:t>Επίδραση στην ικανότητα οδήγησης και χειρισμού μηχανημάτων</w:t>
            </w:r>
          </w:p>
          <w:p w:rsidR="008B43D6" w:rsidRDefault="008B43D6">
            <w:pPr>
              <w:ind w:left="720"/>
              <w:jc w:val="both"/>
              <w:rPr>
                <w:lang w:val="el-GR"/>
              </w:rPr>
            </w:pPr>
          </w:p>
          <w:p w:rsidR="008B43D6" w:rsidRDefault="008B43D6">
            <w:pPr>
              <w:textAlignment w:val="top"/>
              <w:rPr>
                <w:spacing w:val="-3"/>
                <w:lang w:val="el-GR"/>
              </w:rPr>
            </w:pPr>
            <w:r>
              <w:rPr>
                <w:spacing w:val="-3"/>
                <w:lang w:val="el-GR"/>
              </w:rPr>
              <w:t xml:space="preserve"> Η Σιταλοπράμη έχει μικρή ή μέτρια επίδραση στην ικανότητα οδήγησης και χειρισμού μηχανών. Τα ψυχοδραστικά φάρμακα μπορεί να μειώσουν την ικανότητα κρίσης και αντίδρασης σε καταστάσεις έκτακτης ανάγκης. Οι ασθενείς πρέπει να ενημερώνονται για τα αποτελέσματα αυτά και να προειδοποιούνται για το ότι η ικανότητά τους να οδηγήσουν αυτοκίνητο ή να χειριστούν μηχανήματα μπορεί να επηρεαστεί.</w:t>
            </w:r>
          </w:p>
          <w:p w:rsidR="008B43D6" w:rsidRDefault="008B43D6">
            <w:pPr>
              <w:tabs>
                <w:tab w:val="left" w:pos="7215"/>
              </w:tabs>
              <w:jc w:val="both"/>
              <w:rPr>
                <w:lang w:val="el-GR"/>
              </w:rPr>
            </w:pPr>
            <w:r>
              <w:rPr>
                <w:lang w:val="el-GR"/>
              </w:rPr>
              <w:t xml:space="preserve"> </w:t>
            </w:r>
          </w:p>
        </w:tc>
      </w:tr>
      <w:tr w:rsidR="008B43D6">
        <w:tblPrEx>
          <w:tblCellMar>
            <w:top w:w="0" w:type="dxa"/>
            <w:bottom w:w="0" w:type="dxa"/>
          </w:tblCellMar>
        </w:tblPrEx>
        <w:tc>
          <w:tcPr>
            <w:tcW w:w="10506" w:type="dxa"/>
          </w:tcPr>
          <w:p w:rsidR="008B43D6" w:rsidRDefault="008B43D6">
            <w:pPr>
              <w:jc w:val="both"/>
              <w:rPr>
                <w:b/>
                <w:i/>
                <w:iCs/>
                <w:lang w:val="el-GR"/>
              </w:rPr>
            </w:pPr>
            <w:r>
              <w:rPr>
                <w:b/>
                <w:lang w:val="el-GR"/>
              </w:rPr>
              <w:t>4.8</w:t>
            </w:r>
            <w:r>
              <w:rPr>
                <w:b/>
                <w:lang w:val="el-GR"/>
              </w:rPr>
              <w:tab/>
              <w:t xml:space="preserve">Ανεπιθύμητες ενέργειες </w:t>
            </w:r>
          </w:p>
          <w:p w:rsidR="008B43D6" w:rsidRDefault="008B43D6">
            <w:pPr>
              <w:ind w:left="720"/>
              <w:jc w:val="both"/>
              <w:rPr>
                <w:lang w:val="el-GR"/>
              </w:rPr>
            </w:pPr>
          </w:p>
          <w:p w:rsidR="008B43D6" w:rsidRDefault="008B43D6">
            <w:pPr>
              <w:autoSpaceDE w:val="0"/>
              <w:autoSpaceDN w:val="0"/>
              <w:adjustRightInd w:val="0"/>
              <w:jc w:val="both"/>
              <w:rPr>
                <w:spacing w:val="-3"/>
                <w:lang w:val="el-GR"/>
              </w:rPr>
            </w:pPr>
            <w:r>
              <w:rPr>
                <w:lang w:val="el-GR"/>
              </w:rPr>
              <w:t xml:space="preserve">Οι ανεπιθύμητες ενέργειες της σιταλοπράμης είναι γενικά ήπιες και παροδικές.  Είναι περισσότερο συχνές κατά τη διάρκεια της πρώτης ή και της δεύτερης εβδομάδας θεραπείας και συνήθως εξαλείφονται  σταδιακά. Οι ανεπιθύμητες ενέργειες παρουσιάζονται σύμφωνα με τους προτεινόμενους  από το </w:t>
            </w:r>
            <w:proofErr w:type="spellStart"/>
            <w:r>
              <w:t>MedDRA</w:t>
            </w:r>
            <w:proofErr w:type="spellEnd"/>
            <w:r>
              <w:rPr>
                <w:lang w:val="el-GR"/>
              </w:rPr>
              <w:t xml:space="preserve"> όρους. </w:t>
            </w:r>
          </w:p>
          <w:p w:rsidR="008B43D6" w:rsidRDefault="008B43D6">
            <w:pPr>
              <w:autoSpaceDE w:val="0"/>
              <w:autoSpaceDN w:val="0"/>
              <w:adjustRightInd w:val="0"/>
              <w:jc w:val="both"/>
              <w:rPr>
                <w:spacing w:val="-3"/>
                <w:lang w:val="el-GR"/>
              </w:rPr>
            </w:pPr>
            <w:r>
              <w:rPr>
                <w:spacing w:val="-3"/>
                <w:lang w:val="el-GR"/>
              </w:rPr>
              <w:t xml:space="preserve">Οι παρακάτω αντιδράσεις φαίνεται ότι είναι δοσοεξαρτώμενες: Αυξημένη εφίδρωση,  ξηροστομία,  αϋπνία,  υπνηλία,  διάρροια,  ναυτία και  κόπωση. </w:t>
            </w:r>
          </w:p>
          <w:p w:rsidR="008B43D6" w:rsidRDefault="008B43D6">
            <w:pPr>
              <w:autoSpaceDE w:val="0"/>
              <w:autoSpaceDN w:val="0"/>
              <w:adjustRightInd w:val="0"/>
              <w:jc w:val="both"/>
              <w:rPr>
                <w:spacing w:val="-3"/>
                <w:lang w:val="el-GR"/>
              </w:rPr>
            </w:pPr>
          </w:p>
          <w:p w:rsidR="008B43D6" w:rsidRDefault="008B43D6">
            <w:pPr>
              <w:jc w:val="both"/>
              <w:rPr>
                <w:lang w:val="el-GR"/>
              </w:rPr>
            </w:pPr>
            <w:r>
              <w:rPr>
                <w:spacing w:val="-3"/>
                <w:lang w:val="el-GR"/>
              </w:rPr>
              <w:t xml:space="preserve">Ο πίνακας δείχνει βάση της συχνότητας εμφάνισης τις ανεπιθύμητες ενέργειες των </w:t>
            </w:r>
            <w:r>
              <w:rPr>
                <w:spacing w:val="-3"/>
                <w:lang w:val="en-US"/>
              </w:rPr>
              <w:t>SSRIs</w:t>
            </w:r>
            <w:r>
              <w:rPr>
                <w:spacing w:val="-3"/>
                <w:lang w:val="el-GR"/>
              </w:rPr>
              <w:t xml:space="preserve"> και/ή της σιταλοπράμης οι οποίες παρατηρήθηκαν σε </w:t>
            </w:r>
            <w:r>
              <w:rPr>
                <w:lang w:val="el-GR"/>
              </w:rPr>
              <w:t xml:space="preserve"> </w:t>
            </w:r>
            <w:r>
              <w:rPr>
                <w:spacing w:val="-3"/>
                <w:lang w:val="el-GR"/>
              </w:rPr>
              <w:t xml:space="preserve">≥ 1% των ασθενών  είτε στις διπλά τυφλά ελεγχόμενες με εικονικό φάρμακο κλινικές μελέτες είτε στη μετεγκριτική χρονική περίοδο. Οι συχνότητες ορίζονται ως εξής: πολύ </w:t>
            </w:r>
            <w:r>
              <w:rPr>
                <w:rFonts w:cs="Arial"/>
                <w:bCs/>
                <w:lang w:val="el-GR"/>
              </w:rPr>
              <w:t>Συχνές</w:t>
            </w:r>
            <w:r>
              <w:rPr>
                <w:spacing w:val="-3"/>
                <w:lang w:val="el-GR"/>
              </w:rPr>
              <w:t xml:space="preserve"> (</w:t>
            </w:r>
            <w:r>
              <w:rPr>
                <w:spacing w:val="-3"/>
                <w:lang w:val="en-US"/>
              </w:rPr>
              <w:t></w:t>
            </w:r>
            <w:r>
              <w:rPr>
                <w:spacing w:val="-3"/>
                <w:lang w:val="el-GR"/>
              </w:rPr>
              <w:t xml:space="preserve">≥1/10), </w:t>
            </w:r>
            <w:r>
              <w:rPr>
                <w:rFonts w:cs="Arial"/>
                <w:bCs/>
                <w:lang w:val="el-GR"/>
              </w:rPr>
              <w:t>Συχνές</w:t>
            </w:r>
            <w:r>
              <w:rPr>
                <w:spacing w:val="-3"/>
                <w:lang w:val="el-GR"/>
              </w:rPr>
              <w:t xml:space="preserve"> (</w:t>
            </w:r>
            <w:r>
              <w:rPr>
                <w:spacing w:val="-3"/>
                <w:lang w:val="en-US"/>
              </w:rPr>
              <w:t></w:t>
            </w:r>
            <w:r>
              <w:rPr>
                <w:spacing w:val="-3"/>
                <w:lang w:val="el-GR"/>
              </w:rPr>
              <w:t xml:space="preserve">≥1/100, &lt;1/10), όχι </w:t>
            </w:r>
            <w:r>
              <w:rPr>
                <w:rFonts w:cs="Arial"/>
                <w:bCs/>
                <w:lang w:val="el-GR"/>
              </w:rPr>
              <w:t xml:space="preserve">Συχνές </w:t>
            </w:r>
            <w:r>
              <w:rPr>
                <w:spacing w:val="-3"/>
                <w:lang w:val="el-GR"/>
              </w:rPr>
              <w:t>(</w:t>
            </w:r>
            <w:r>
              <w:rPr>
                <w:spacing w:val="-3"/>
                <w:lang w:val="en-US"/>
              </w:rPr>
              <w:t></w:t>
            </w:r>
            <w:r>
              <w:rPr>
                <w:spacing w:val="-3"/>
                <w:lang w:val="el-GR"/>
              </w:rPr>
              <w:t>≥1/1000, ≤1/100), Σπάνιες (</w:t>
            </w:r>
            <w:r>
              <w:rPr>
                <w:spacing w:val="-3"/>
                <w:lang w:val="en-US"/>
              </w:rPr>
              <w:t></w:t>
            </w:r>
            <w:r>
              <w:rPr>
                <w:spacing w:val="-3"/>
                <w:lang w:val="el-GR"/>
              </w:rPr>
              <w:t xml:space="preserve">≥1/10000, ≤1/1000), Πολύ σπάνιες (≤1/10000),  </w:t>
            </w:r>
            <w:r>
              <w:rPr>
                <w:rFonts w:cs="Arial"/>
                <w:bCs/>
                <w:lang w:val="el-GR"/>
              </w:rPr>
              <w:t>Μη γνωστές (δεν μπορούν να εκτιμηθούν με βάση τα διαθέσιμα δεδομένα)</w:t>
            </w:r>
          </w:p>
          <w:p w:rsidR="008B43D6" w:rsidRDefault="008B43D6">
            <w:pPr>
              <w:ind w:left="720"/>
              <w:jc w:val="both"/>
              <w:rPr>
                <w:lang w:val="el-GR"/>
              </w:rPr>
            </w:pPr>
          </w:p>
          <w:p w:rsidR="008B43D6" w:rsidRDefault="008B43D6">
            <w:pPr>
              <w:pStyle w:val="a3"/>
              <w:tabs>
                <w:tab w:val="clear" w:pos="4153"/>
                <w:tab w:val="clear" w:pos="8306"/>
              </w:tabs>
              <w:jc w:val="both"/>
              <w:rPr>
                <w:rFonts w:cs="Arial"/>
                <w:lang w:val="el-GR"/>
              </w:rPr>
            </w:pPr>
          </w:p>
          <w:tbl>
            <w:tblPr>
              <w:tblpPr w:leftFromText="180" w:rightFromText="180" w:horzAnchor="margin" w:tblpY="-60"/>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5529"/>
              <w:gridCol w:w="2303"/>
            </w:tblGrid>
            <w:tr w:rsidR="008B43D6">
              <w:tblPrEx>
                <w:tblCellMar>
                  <w:top w:w="0" w:type="dxa"/>
                  <w:bottom w:w="0" w:type="dxa"/>
                </w:tblCellMar>
              </w:tblPrEx>
              <w:trPr>
                <w:trHeight w:val="712"/>
              </w:trPr>
              <w:tc>
                <w:tcPr>
                  <w:tcW w:w="2302" w:type="dxa"/>
                </w:tcPr>
                <w:p w:rsidR="008B43D6" w:rsidRDefault="008B43D6">
                  <w:pPr>
                    <w:spacing w:before="120" w:after="120"/>
                    <w:jc w:val="both"/>
                    <w:rPr>
                      <w:rFonts w:cs="Arial"/>
                      <w:b/>
                      <w:sz w:val="20"/>
                      <w:szCs w:val="20"/>
                      <w:lang w:val="el-GR"/>
                    </w:rPr>
                  </w:pPr>
                  <w:proofErr w:type="spellStart"/>
                  <w:r>
                    <w:rPr>
                      <w:rFonts w:cs="Arial"/>
                      <w:b/>
                      <w:sz w:val="20"/>
                      <w:szCs w:val="20"/>
                    </w:rPr>
                    <w:t>MedDRA</w:t>
                  </w:r>
                  <w:proofErr w:type="spellEnd"/>
                  <w:r>
                    <w:rPr>
                      <w:rFonts w:cs="Arial"/>
                      <w:b/>
                      <w:sz w:val="20"/>
                      <w:szCs w:val="20"/>
                      <w:lang w:val="el-GR"/>
                    </w:rPr>
                    <w:t xml:space="preserve"> </w:t>
                  </w:r>
                  <w:r>
                    <w:rPr>
                      <w:rFonts w:cs="Arial"/>
                      <w:b/>
                      <w:sz w:val="20"/>
                      <w:szCs w:val="20"/>
                    </w:rPr>
                    <w:t>SOC</w:t>
                  </w:r>
                </w:p>
              </w:tc>
              <w:tc>
                <w:tcPr>
                  <w:tcW w:w="5529" w:type="dxa"/>
                  <w:vAlign w:val="center"/>
                </w:tcPr>
                <w:p w:rsidR="008B43D6" w:rsidRDefault="008B43D6">
                  <w:pPr>
                    <w:spacing w:before="120" w:after="120"/>
                    <w:jc w:val="center"/>
                    <w:rPr>
                      <w:rFonts w:cs="Arial"/>
                      <w:sz w:val="20"/>
                      <w:lang w:val="el-GR"/>
                    </w:rPr>
                  </w:pPr>
                  <w:r>
                    <w:rPr>
                      <w:rFonts w:cs="Arial"/>
                      <w:b/>
                      <w:sz w:val="20"/>
                      <w:szCs w:val="20"/>
                      <w:lang w:val="el-GR"/>
                    </w:rPr>
                    <w:t>Συχνότητα</w:t>
                  </w:r>
                </w:p>
              </w:tc>
              <w:tc>
                <w:tcPr>
                  <w:tcW w:w="2303" w:type="dxa"/>
                  <w:vAlign w:val="center"/>
                </w:tcPr>
                <w:p w:rsidR="008B43D6" w:rsidRDefault="008B43D6">
                  <w:pPr>
                    <w:spacing w:before="120" w:after="120"/>
                    <w:jc w:val="both"/>
                    <w:rPr>
                      <w:rFonts w:cs="Arial"/>
                      <w:sz w:val="20"/>
                      <w:lang w:val="el-GR"/>
                    </w:rPr>
                  </w:pPr>
                  <w:r>
                    <w:rPr>
                      <w:rFonts w:cs="Arial"/>
                      <w:b/>
                      <w:sz w:val="20"/>
                      <w:szCs w:val="20"/>
                      <w:lang w:val="el-GR"/>
                    </w:rPr>
                    <w:t>Ανεπιθύμητες ενέργειες</w:t>
                  </w:r>
                </w:p>
              </w:tc>
            </w:tr>
            <w:tr w:rsidR="008B43D6">
              <w:tblPrEx>
                <w:tblCellMar>
                  <w:top w:w="0" w:type="dxa"/>
                  <w:bottom w:w="0" w:type="dxa"/>
                </w:tblCellMar>
              </w:tblPrEx>
              <w:trPr>
                <w:cantSplit/>
                <w:trHeight w:val="342"/>
              </w:trPr>
              <w:tc>
                <w:tcPr>
                  <w:tcW w:w="2302" w:type="dxa"/>
                </w:tcPr>
                <w:p w:rsidR="008B43D6" w:rsidRDefault="008B43D6">
                  <w:pPr>
                    <w:pStyle w:val="a3"/>
                    <w:tabs>
                      <w:tab w:val="clear" w:pos="4153"/>
                      <w:tab w:val="clear" w:pos="8306"/>
                    </w:tabs>
                    <w:jc w:val="both"/>
                    <w:rPr>
                      <w:rFonts w:cs="Arial"/>
                      <w:lang w:val="el-GR"/>
                    </w:rPr>
                  </w:pPr>
                  <w:r>
                    <w:rPr>
                      <w:rFonts w:cs="Arial"/>
                      <w:bCs/>
                      <w:sz w:val="16"/>
                      <w:lang w:val="el-GR"/>
                    </w:rPr>
                    <w:lastRenderedPageBreak/>
                    <w:t>Διαταραχές του αιμοποιητικού και του λεμφικού συστήματος</w:t>
                  </w:r>
                </w:p>
              </w:tc>
              <w:tc>
                <w:tcPr>
                  <w:tcW w:w="5529" w:type="dxa"/>
                  <w:vAlign w:val="center"/>
                </w:tcPr>
                <w:p w:rsidR="008B43D6" w:rsidRDefault="008B43D6">
                  <w:pPr>
                    <w:jc w:val="center"/>
                    <w:rPr>
                      <w:rFonts w:cs="Arial"/>
                      <w:sz w:val="16"/>
                      <w:lang w:val="el-GR"/>
                    </w:rPr>
                  </w:pPr>
                  <w:r>
                    <w:rPr>
                      <w:rFonts w:cs="Arial"/>
                      <w:bCs/>
                      <w:sz w:val="16"/>
                      <w:szCs w:val="16"/>
                      <w:lang w:val="el-GR"/>
                    </w:rPr>
                    <w:t>Μη γνωστές</w:t>
                  </w:r>
                </w:p>
              </w:tc>
              <w:tc>
                <w:tcPr>
                  <w:tcW w:w="2303" w:type="dxa"/>
                  <w:vAlign w:val="center"/>
                </w:tcPr>
                <w:p w:rsidR="008B43D6" w:rsidRDefault="008B43D6">
                  <w:pPr>
                    <w:spacing w:before="60" w:after="60"/>
                    <w:jc w:val="both"/>
                    <w:rPr>
                      <w:rFonts w:cs="Arial"/>
                      <w:sz w:val="16"/>
                      <w:lang w:val="el-GR"/>
                    </w:rPr>
                  </w:pPr>
                  <w:r>
                    <w:rPr>
                      <w:rFonts w:cs="Arial"/>
                      <w:sz w:val="16"/>
                      <w:lang w:val="el-GR"/>
                    </w:rPr>
                    <w:t>Θρομβοκυτταροπενία</w:t>
                  </w:r>
                </w:p>
              </w:tc>
            </w:tr>
            <w:tr w:rsidR="008B43D6">
              <w:tblPrEx>
                <w:tblCellMar>
                  <w:top w:w="0" w:type="dxa"/>
                  <w:bottom w:w="0" w:type="dxa"/>
                </w:tblCellMar>
              </w:tblPrEx>
              <w:trPr>
                <w:trHeight w:val="338"/>
              </w:trPr>
              <w:tc>
                <w:tcPr>
                  <w:tcW w:w="2302" w:type="dxa"/>
                  <w:vAlign w:val="center"/>
                </w:tcPr>
                <w:p w:rsidR="008B43D6" w:rsidRDefault="008B43D6">
                  <w:pPr>
                    <w:jc w:val="both"/>
                    <w:rPr>
                      <w:rFonts w:cs="Arial"/>
                      <w:sz w:val="16"/>
                      <w:lang w:val="el-GR"/>
                    </w:rPr>
                  </w:pPr>
                  <w:r>
                    <w:rPr>
                      <w:rFonts w:cs="Arial"/>
                      <w:bCs/>
                      <w:sz w:val="16"/>
                      <w:lang w:val="el-GR"/>
                    </w:rPr>
                    <w:t>Διαταραχές του ανοσοποιητικού συστήματος</w:t>
                  </w:r>
                </w:p>
              </w:tc>
              <w:tc>
                <w:tcPr>
                  <w:tcW w:w="5529" w:type="dxa"/>
                </w:tcPr>
                <w:p w:rsidR="008B43D6" w:rsidRDefault="008B43D6">
                  <w:pPr>
                    <w:jc w:val="center"/>
                    <w:rPr>
                      <w:rFonts w:cs="Arial"/>
                      <w:bCs/>
                      <w:sz w:val="16"/>
                      <w:szCs w:val="16"/>
                      <w:lang w:val="el-GR"/>
                    </w:rPr>
                  </w:pPr>
                </w:p>
                <w:p w:rsidR="008B43D6" w:rsidRDefault="008B43D6">
                  <w:pPr>
                    <w:jc w:val="center"/>
                    <w:rPr>
                      <w:lang w:val="el-GR"/>
                    </w:rPr>
                  </w:pPr>
                  <w:r>
                    <w:rPr>
                      <w:rFonts w:cs="Arial"/>
                      <w:bCs/>
                      <w:sz w:val="16"/>
                      <w:szCs w:val="16"/>
                      <w:lang w:val="el-GR"/>
                    </w:rPr>
                    <w:t>Μη γνωστές</w:t>
                  </w:r>
                </w:p>
              </w:tc>
              <w:tc>
                <w:tcPr>
                  <w:tcW w:w="2303" w:type="dxa"/>
                  <w:vAlign w:val="center"/>
                </w:tcPr>
                <w:p w:rsidR="008B43D6" w:rsidRDefault="008B43D6">
                  <w:pPr>
                    <w:spacing w:before="60" w:after="60"/>
                    <w:jc w:val="both"/>
                    <w:rPr>
                      <w:rFonts w:cs="Arial"/>
                      <w:bCs/>
                      <w:sz w:val="16"/>
                      <w:lang w:val="el-GR"/>
                    </w:rPr>
                  </w:pPr>
                  <w:r>
                    <w:rPr>
                      <w:rFonts w:cs="Arial"/>
                      <w:bCs/>
                      <w:sz w:val="16"/>
                      <w:lang w:val="el-GR"/>
                    </w:rPr>
                    <w:t>Υπερευαισθησία</w:t>
                  </w:r>
                </w:p>
                <w:p w:rsidR="008B43D6" w:rsidRDefault="008B43D6">
                  <w:pPr>
                    <w:spacing w:before="60" w:after="60"/>
                    <w:jc w:val="both"/>
                    <w:rPr>
                      <w:rFonts w:cs="Arial"/>
                      <w:sz w:val="16"/>
                      <w:lang w:val="el-GR"/>
                    </w:rPr>
                  </w:pPr>
                  <w:r>
                    <w:rPr>
                      <w:rFonts w:cs="Arial"/>
                      <w:bCs/>
                      <w:sz w:val="16"/>
                      <w:lang w:val="el-GR"/>
                    </w:rPr>
                    <w:t>Αναφυλακτική αντίδραση</w:t>
                  </w:r>
                </w:p>
              </w:tc>
            </w:tr>
            <w:tr w:rsidR="008B43D6">
              <w:tblPrEx>
                <w:tblCellMar>
                  <w:top w:w="0" w:type="dxa"/>
                  <w:bottom w:w="0" w:type="dxa"/>
                </w:tblCellMar>
              </w:tblPrEx>
              <w:trPr>
                <w:trHeight w:val="712"/>
              </w:trPr>
              <w:tc>
                <w:tcPr>
                  <w:tcW w:w="2302" w:type="dxa"/>
                  <w:vAlign w:val="center"/>
                </w:tcPr>
                <w:p w:rsidR="008B43D6" w:rsidRDefault="008B43D6">
                  <w:pPr>
                    <w:jc w:val="both"/>
                    <w:rPr>
                      <w:rFonts w:cs="Arial"/>
                      <w:sz w:val="16"/>
                      <w:lang w:val="el-GR"/>
                    </w:rPr>
                  </w:pPr>
                  <w:r>
                    <w:rPr>
                      <w:rFonts w:cs="Arial"/>
                      <w:bCs/>
                      <w:sz w:val="16"/>
                      <w:lang w:val="el-GR"/>
                    </w:rPr>
                    <w:t>Διαταραχές του ενδοκρινικού συστήματος</w:t>
                  </w:r>
                </w:p>
              </w:tc>
              <w:tc>
                <w:tcPr>
                  <w:tcW w:w="5529" w:type="dxa"/>
                </w:tcPr>
                <w:p w:rsidR="008B43D6" w:rsidRDefault="008B43D6">
                  <w:pPr>
                    <w:jc w:val="center"/>
                    <w:rPr>
                      <w:lang w:val="el-GR"/>
                    </w:rPr>
                  </w:pPr>
                  <w:r>
                    <w:rPr>
                      <w:rFonts w:cs="Arial"/>
                      <w:bCs/>
                      <w:sz w:val="16"/>
                      <w:szCs w:val="16"/>
                      <w:lang w:val="el-GR"/>
                    </w:rPr>
                    <w:t>Μη γνωστές</w:t>
                  </w:r>
                </w:p>
              </w:tc>
              <w:tc>
                <w:tcPr>
                  <w:tcW w:w="2303" w:type="dxa"/>
                  <w:vAlign w:val="center"/>
                </w:tcPr>
                <w:p w:rsidR="008B43D6" w:rsidRDefault="008B43D6">
                  <w:pPr>
                    <w:spacing w:before="60" w:after="60"/>
                    <w:jc w:val="both"/>
                    <w:rPr>
                      <w:rFonts w:cs="Arial"/>
                      <w:sz w:val="16"/>
                      <w:lang w:val="el-GR"/>
                    </w:rPr>
                  </w:pPr>
                  <w:r>
                    <w:rPr>
                      <w:rFonts w:cs="Arial"/>
                      <w:bCs/>
                      <w:sz w:val="16"/>
                      <w:lang w:val="el-GR"/>
                    </w:rPr>
                    <w:t xml:space="preserve">Απρόσφορη έκκριση </w:t>
                  </w:r>
                  <w:r>
                    <w:rPr>
                      <w:rFonts w:cs="Arial"/>
                      <w:bCs/>
                      <w:sz w:val="16"/>
                    </w:rPr>
                    <w:t>ADH</w:t>
                  </w:r>
                  <w:r>
                    <w:rPr>
                      <w:rFonts w:cs="Arial"/>
                      <w:bCs/>
                      <w:sz w:val="16"/>
                      <w:lang w:val="el-GR"/>
                    </w:rPr>
                    <w:t xml:space="preserve"> </w:t>
                  </w:r>
                </w:p>
              </w:tc>
            </w:tr>
            <w:tr w:rsidR="008B43D6">
              <w:tblPrEx>
                <w:tblCellMar>
                  <w:top w:w="0" w:type="dxa"/>
                  <w:bottom w:w="0" w:type="dxa"/>
                </w:tblCellMar>
              </w:tblPrEx>
              <w:trPr>
                <w:cantSplit/>
                <w:trHeight w:val="712"/>
              </w:trPr>
              <w:tc>
                <w:tcPr>
                  <w:tcW w:w="2302" w:type="dxa"/>
                  <w:vMerge w:val="restart"/>
                  <w:vAlign w:val="center"/>
                </w:tcPr>
                <w:p w:rsidR="008B43D6" w:rsidRDefault="008B43D6">
                  <w:pPr>
                    <w:rPr>
                      <w:rFonts w:cs="Arial"/>
                      <w:sz w:val="16"/>
                      <w:lang w:val="el-GR"/>
                    </w:rPr>
                  </w:pPr>
                  <w:r>
                    <w:rPr>
                      <w:rFonts w:cs="Arial"/>
                      <w:sz w:val="16"/>
                      <w:lang w:val="el-GR"/>
                    </w:rPr>
                    <w:t>Διαταραχές του μεταβολισμού και της θρέψης</w:t>
                  </w:r>
                </w:p>
              </w:tc>
              <w:tc>
                <w:tcPr>
                  <w:tcW w:w="5529" w:type="dxa"/>
                  <w:vAlign w:val="center"/>
                </w:tcPr>
                <w:p w:rsidR="008B43D6" w:rsidRDefault="008B43D6">
                  <w:pPr>
                    <w:spacing w:before="60" w:after="60"/>
                    <w:jc w:val="center"/>
                    <w:rPr>
                      <w:rFonts w:cs="Arial"/>
                      <w:sz w:val="16"/>
                      <w:lang w:val="el-GR"/>
                    </w:rPr>
                  </w:pPr>
                  <w:r>
                    <w:rPr>
                      <w:rFonts w:cs="Arial"/>
                      <w:bCs/>
                      <w:sz w:val="16"/>
                      <w:lang w:val="el-GR"/>
                    </w:rPr>
                    <w:t>Συχνές</w:t>
                  </w:r>
                </w:p>
              </w:tc>
              <w:tc>
                <w:tcPr>
                  <w:tcW w:w="2303" w:type="dxa"/>
                  <w:vAlign w:val="center"/>
                </w:tcPr>
                <w:p w:rsidR="008B43D6" w:rsidRDefault="008B43D6">
                  <w:pPr>
                    <w:spacing w:before="60" w:after="60"/>
                    <w:jc w:val="both"/>
                    <w:rPr>
                      <w:rFonts w:cs="Arial"/>
                      <w:sz w:val="16"/>
                      <w:lang w:val="el-GR"/>
                    </w:rPr>
                  </w:pPr>
                  <w:r>
                    <w:rPr>
                      <w:rFonts w:cs="Arial"/>
                      <w:sz w:val="16"/>
                      <w:lang w:val="el-GR"/>
                    </w:rPr>
                    <w:t>Μείωση όρεξης, μείωση βάρους</w:t>
                  </w:r>
                </w:p>
              </w:tc>
            </w:tr>
            <w:tr w:rsidR="008B43D6">
              <w:tblPrEx>
                <w:tblCellMar>
                  <w:top w:w="0" w:type="dxa"/>
                  <w:bottom w:w="0" w:type="dxa"/>
                </w:tblCellMar>
              </w:tblPrEx>
              <w:trPr>
                <w:cantSplit/>
                <w:trHeight w:val="712"/>
              </w:trPr>
              <w:tc>
                <w:tcPr>
                  <w:tcW w:w="2302" w:type="dxa"/>
                  <w:vMerge/>
                  <w:vAlign w:val="center"/>
                </w:tcPr>
                <w:p w:rsidR="008B43D6" w:rsidRDefault="008B43D6">
                  <w:pPr>
                    <w:jc w:val="both"/>
                    <w:rPr>
                      <w:rFonts w:cs="Arial"/>
                      <w:sz w:val="16"/>
                      <w:lang w:val="el-GR"/>
                    </w:rPr>
                  </w:pPr>
                </w:p>
              </w:tc>
              <w:tc>
                <w:tcPr>
                  <w:tcW w:w="5529" w:type="dxa"/>
                  <w:vAlign w:val="center"/>
                </w:tcPr>
                <w:p w:rsidR="008B43D6" w:rsidRDefault="008B43D6">
                  <w:pPr>
                    <w:spacing w:before="60" w:after="60"/>
                    <w:jc w:val="center"/>
                    <w:rPr>
                      <w:rFonts w:cs="Arial"/>
                      <w:sz w:val="16"/>
                      <w:lang w:val="el-GR"/>
                    </w:rPr>
                  </w:pPr>
                  <w:r>
                    <w:rPr>
                      <w:rFonts w:cs="Arial"/>
                      <w:bCs/>
                      <w:sz w:val="16"/>
                      <w:lang w:val="el-GR"/>
                    </w:rPr>
                    <w:t>Όχι Συχνές</w:t>
                  </w:r>
                </w:p>
              </w:tc>
              <w:tc>
                <w:tcPr>
                  <w:tcW w:w="2303" w:type="dxa"/>
                  <w:vAlign w:val="center"/>
                </w:tcPr>
                <w:p w:rsidR="008B43D6" w:rsidRDefault="008B43D6">
                  <w:pPr>
                    <w:spacing w:before="60" w:after="60"/>
                    <w:jc w:val="both"/>
                    <w:rPr>
                      <w:rFonts w:cs="Arial"/>
                      <w:sz w:val="16"/>
                      <w:lang w:val="el-GR"/>
                    </w:rPr>
                  </w:pPr>
                  <w:r>
                    <w:rPr>
                      <w:rFonts w:cs="Arial"/>
                      <w:sz w:val="16"/>
                      <w:lang w:val="el-GR"/>
                    </w:rPr>
                    <w:t>Αύξηση όρεξης, αύξηση βάρους</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lang w:val="el-GR"/>
                    </w:rPr>
                    <w:t>Σπάνιες</w:t>
                  </w:r>
                </w:p>
              </w:tc>
              <w:tc>
                <w:tcPr>
                  <w:tcW w:w="2303" w:type="dxa"/>
                  <w:vAlign w:val="center"/>
                </w:tcPr>
                <w:p w:rsidR="008B43D6" w:rsidRDefault="008B43D6">
                  <w:pPr>
                    <w:spacing w:before="60" w:after="60"/>
                    <w:jc w:val="both"/>
                    <w:rPr>
                      <w:rFonts w:cs="Arial"/>
                      <w:sz w:val="16"/>
                      <w:lang w:val="el-GR"/>
                    </w:rPr>
                  </w:pPr>
                  <w:r>
                    <w:rPr>
                      <w:rFonts w:cs="Arial"/>
                      <w:sz w:val="16"/>
                      <w:lang w:val="el-GR"/>
                    </w:rPr>
                    <w:t>Υπονατριαιμία</w:t>
                  </w:r>
                </w:p>
                <w:p w:rsidR="008B43D6" w:rsidRDefault="008B43D6">
                  <w:pPr>
                    <w:spacing w:before="60" w:after="60"/>
                    <w:jc w:val="both"/>
                    <w:rPr>
                      <w:rFonts w:cs="Arial"/>
                      <w:sz w:val="16"/>
                      <w:lang w:val="el-GR"/>
                    </w:rPr>
                  </w:pP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bCs/>
                      <w:sz w:val="16"/>
                      <w:lang w:val="el-GR"/>
                    </w:rPr>
                  </w:pPr>
                  <w:r>
                    <w:rPr>
                      <w:rFonts w:cs="Arial"/>
                      <w:bCs/>
                      <w:sz w:val="16"/>
                      <w:lang w:val="el-GR"/>
                    </w:rPr>
                    <w:t>Μη γνωστές</w:t>
                  </w:r>
                </w:p>
              </w:tc>
              <w:tc>
                <w:tcPr>
                  <w:tcW w:w="2303" w:type="dxa"/>
                  <w:vAlign w:val="center"/>
                </w:tcPr>
                <w:p w:rsidR="008B43D6" w:rsidRDefault="008B43D6">
                  <w:pPr>
                    <w:spacing w:before="60" w:after="60"/>
                    <w:jc w:val="both"/>
                    <w:rPr>
                      <w:rFonts w:cs="Arial"/>
                      <w:sz w:val="16"/>
                      <w:lang w:val="el-GR"/>
                    </w:rPr>
                  </w:pPr>
                  <w:r>
                    <w:rPr>
                      <w:rFonts w:cs="Arial"/>
                      <w:sz w:val="16"/>
                      <w:lang w:val="el-GR"/>
                    </w:rPr>
                    <w:t>Υποκαλιαιμία</w:t>
                  </w:r>
                </w:p>
              </w:tc>
            </w:tr>
            <w:tr w:rsidR="008B43D6">
              <w:tblPrEx>
                <w:tblCellMar>
                  <w:top w:w="0" w:type="dxa"/>
                  <w:bottom w:w="0" w:type="dxa"/>
                </w:tblCellMar>
              </w:tblPrEx>
              <w:trPr>
                <w:cantSplit/>
                <w:trHeight w:val="712"/>
              </w:trPr>
              <w:tc>
                <w:tcPr>
                  <w:tcW w:w="2302" w:type="dxa"/>
                  <w:vMerge w:val="restart"/>
                  <w:vAlign w:val="center"/>
                </w:tcPr>
                <w:p w:rsidR="008B43D6" w:rsidRDefault="008B43D6">
                  <w:pPr>
                    <w:jc w:val="both"/>
                    <w:rPr>
                      <w:rFonts w:cs="Arial"/>
                      <w:sz w:val="16"/>
                      <w:lang w:val="el-GR"/>
                    </w:rPr>
                  </w:pPr>
                  <w:r>
                    <w:rPr>
                      <w:rFonts w:cs="Arial"/>
                      <w:sz w:val="16"/>
                      <w:lang w:val="el-GR"/>
                    </w:rPr>
                    <w:t>Ψυχιατρικές διαταραχές</w:t>
                  </w:r>
                </w:p>
              </w:tc>
              <w:tc>
                <w:tcPr>
                  <w:tcW w:w="5529" w:type="dxa"/>
                  <w:vAlign w:val="center"/>
                </w:tcPr>
                <w:p w:rsidR="008B43D6" w:rsidRDefault="008B43D6">
                  <w:pPr>
                    <w:spacing w:before="60" w:after="60"/>
                    <w:jc w:val="center"/>
                    <w:rPr>
                      <w:rFonts w:cs="Arial"/>
                      <w:sz w:val="16"/>
                      <w:lang w:val="el-GR"/>
                    </w:rPr>
                  </w:pPr>
                  <w:r>
                    <w:rPr>
                      <w:rFonts w:cs="Arial"/>
                      <w:bCs/>
                      <w:sz w:val="16"/>
                      <w:lang w:val="el-GR"/>
                    </w:rPr>
                    <w:t>Συχνές</w:t>
                  </w:r>
                </w:p>
              </w:tc>
              <w:tc>
                <w:tcPr>
                  <w:tcW w:w="2303" w:type="dxa"/>
                  <w:vAlign w:val="center"/>
                </w:tcPr>
                <w:p w:rsidR="008B43D6" w:rsidRDefault="008B43D6">
                  <w:pPr>
                    <w:spacing w:before="60" w:after="60"/>
                    <w:rPr>
                      <w:rFonts w:cs="Arial"/>
                      <w:sz w:val="16"/>
                      <w:lang w:val="el-GR"/>
                    </w:rPr>
                  </w:pPr>
                  <w:r>
                    <w:rPr>
                      <w:rFonts w:cs="Arial"/>
                      <w:sz w:val="16"/>
                      <w:lang w:val="el-GR"/>
                    </w:rPr>
                    <w:t xml:space="preserve">Διέγερση, μείωση της </w:t>
                  </w:r>
                  <w:r>
                    <w:rPr>
                      <w:rFonts w:cs="Arial"/>
                      <w:sz w:val="16"/>
                      <w:lang w:val="en-US"/>
                    </w:rPr>
                    <w:t>libido</w:t>
                  </w:r>
                  <w:r>
                    <w:rPr>
                      <w:rFonts w:cs="Arial"/>
                      <w:sz w:val="16"/>
                      <w:lang w:val="el-GR"/>
                    </w:rPr>
                    <w:t xml:space="preserve"> άγχος, νευρικότητα,   σύγχυση, μη φυσιολογικός οργασμός (στις γυναίκες), μη φυσιολογικά όνειρα </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lang w:val="el-GR"/>
                    </w:rPr>
                    <w:t>Όχι Συχνές</w:t>
                  </w:r>
                </w:p>
              </w:tc>
              <w:tc>
                <w:tcPr>
                  <w:tcW w:w="2303" w:type="dxa"/>
                  <w:vAlign w:val="center"/>
                </w:tcPr>
                <w:p w:rsidR="008B43D6" w:rsidRDefault="008B43D6">
                  <w:pPr>
                    <w:spacing w:before="60" w:after="60"/>
                    <w:jc w:val="both"/>
                    <w:rPr>
                      <w:rFonts w:cs="Arial"/>
                      <w:sz w:val="16"/>
                      <w:lang w:val="el-GR"/>
                    </w:rPr>
                  </w:pPr>
                  <w:r>
                    <w:rPr>
                      <w:rFonts w:cs="Arial"/>
                      <w:sz w:val="16"/>
                      <w:lang w:val="el-GR"/>
                    </w:rPr>
                    <w:t xml:space="preserve">Επιθετικότητα, αποπροσανατολισμός, ψευδαισθήσεις, μανία  </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szCs w:val="16"/>
                      <w:lang w:val="el-GR"/>
                    </w:rPr>
                    <w:t>Μη γνωστές</w:t>
                  </w:r>
                </w:p>
              </w:tc>
              <w:tc>
                <w:tcPr>
                  <w:tcW w:w="2303" w:type="dxa"/>
                  <w:vAlign w:val="center"/>
                </w:tcPr>
                <w:p w:rsidR="008B43D6" w:rsidRDefault="008B43D6">
                  <w:pPr>
                    <w:spacing w:before="60" w:after="60"/>
                    <w:rPr>
                      <w:rFonts w:cs="Arial"/>
                      <w:sz w:val="16"/>
                      <w:lang w:val="el-GR"/>
                    </w:rPr>
                  </w:pPr>
                  <w:r>
                    <w:rPr>
                      <w:rFonts w:cs="Arial"/>
                      <w:sz w:val="16"/>
                      <w:lang w:val="el-GR"/>
                    </w:rPr>
                    <w:t>Κρίση πανικού,  βρυγχισμός, , ανησυχία, αυτοκτονικές σκέψεις, αυτοκτονική συμπεριφορά</w:t>
                  </w:r>
                  <w:r>
                    <w:rPr>
                      <w:rFonts w:cs="Arial"/>
                      <w:sz w:val="16"/>
                      <w:vertAlign w:val="superscript"/>
                      <w:lang w:val="el-GR"/>
                    </w:rPr>
                    <w:t>1</w:t>
                  </w:r>
                </w:p>
              </w:tc>
            </w:tr>
            <w:tr w:rsidR="008B43D6">
              <w:tblPrEx>
                <w:tblCellMar>
                  <w:top w:w="0" w:type="dxa"/>
                  <w:bottom w:w="0" w:type="dxa"/>
                </w:tblCellMar>
              </w:tblPrEx>
              <w:trPr>
                <w:cantSplit/>
                <w:trHeight w:val="712"/>
              </w:trPr>
              <w:tc>
                <w:tcPr>
                  <w:tcW w:w="2302" w:type="dxa"/>
                  <w:vMerge w:val="restart"/>
                  <w:vAlign w:val="center"/>
                </w:tcPr>
                <w:p w:rsidR="008B43D6" w:rsidRDefault="008B43D6">
                  <w:pPr>
                    <w:jc w:val="both"/>
                    <w:rPr>
                      <w:rFonts w:cs="Arial"/>
                      <w:sz w:val="16"/>
                      <w:lang w:val="el-GR"/>
                    </w:rPr>
                  </w:pPr>
                  <w:r>
                    <w:rPr>
                      <w:rFonts w:cs="Arial"/>
                      <w:sz w:val="16"/>
                      <w:lang w:val="el-GR"/>
                    </w:rPr>
                    <w:t>Διαταραχές του νευρικού συστήματος</w:t>
                  </w:r>
                </w:p>
              </w:tc>
              <w:tc>
                <w:tcPr>
                  <w:tcW w:w="5529" w:type="dxa"/>
                  <w:vAlign w:val="center"/>
                </w:tcPr>
                <w:p w:rsidR="008B43D6" w:rsidRDefault="008B43D6">
                  <w:pPr>
                    <w:spacing w:before="60" w:after="60"/>
                    <w:jc w:val="center"/>
                    <w:rPr>
                      <w:rFonts w:cs="Arial"/>
                      <w:sz w:val="16"/>
                      <w:lang w:val="el-GR"/>
                    </w:rPr>
                  </w:pPr>
                  <w:r>
                    <w:rPr>
                      <w:rFonts w:cs="Arial"/>
                      <w:bCs/>
                      <w:sz w:val="16"/>
                      <w:lang w:val="el-GR"/>
                    </w:rPr>
                    <w:t>Πολύ Συχνές (</w:t>
                  </w:r>
                  <w:r>
                    <w:rPr>
                      <w:rFonts w:cs="Arial"/>
                      <w:bCs/>
                      <w:sz w:val="16"/>
                    </w:rPr>
                    <w:sym w:font="Symbol" w:char="F0B3"/>
                  </w:r>
                  <w:r>
                    <w:rPr>
                      <w:rFonts w:cs="Arial"/>
                      <w:bCs/>
                      <w:sz w:val="16"/>
                      <w:lang w:val="el-GR"/>
                    </w:rPr>
                    <w:t>1/10)</w:t>
                  </w:r>
                </w:p>
                <w:p w:rsidR="008B43D6" w:rsidRDefault="008B43D6">
                  <w:pPr>
                    <w:jc w:val="center"/>
                    <w:rPr>
                      <w:rFonts w:cs="Arial"/>
                      <w:sz w:val="16"/>
                      <w:lang w:val="el-GR"/>
                    </w:rPr>
                  </w:pPr>
                </w:p>
                <w:p w:rsidR="008B43D6" w:rsidRDefault="008B43D6">
                  <w:pPr>
                    <w:jc w:val="center"/>
                    <w:rPr>
                      <w:rFonts w:cs="Arial"/>
                      <w:sz w:val="16"/>
                      <w:lang w:val="el-GR"/>
                    </w:rPr>
                  </w:pPr>
                </w:p>
              </w:tc>
              <w:tc>
                <w:tcPr>
                  <w:tcW w:w="2303" w:type="dxa"/>
                  <w:vAlign w:val="center"/>
                </w:tcPr>
                <w:p w:rsidR="008B43D6" w:rsidRDefault="008B43D6">
                  <w:pPr>
                    <w:spacing w:before="60" w:after="60"/>
                    <w:jc w:val="both"/>
                    <w:rPr>
                      <w:rFonts w:cs="Arial"/>
                      <w:sz w:val="16"/>
                      <w:lang w:val="el-GR"/>
                    </w:rPr>
                  </w:pPr>
                  <w:r>
                    <w:rPr>
                      <w:rFonts w:cs="Arial"/>
                      <w:sz w:val="16"/>
                      <w:lang w:val="el-GR"/>
                    </w:rPr>
                    <w:t xml:space="preserve">Υπνηλία, αϋπνία </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lang w:val="el-GR"/>
                    </w:rPr>
                    <w:t>Συχνές</w:t>
                  </w:r>
                </w:p>
              </w:tc>
              <w:tc>
                <w:tcPr>
                  <w:tcW w:w="2303" w:type="dxa"/>
                  <w:vAlign w:val="center"/>
                </w:tcPr>
                <w:p w:rsidR="008B43D6" w:rsidRDefault="008B43D6">
                  <w:pPr>
                    <w:spacing w:before="60" w:after="60"/>
                    <w:jc w:val="both"/>
                    <w:rPr>
                      <w:rFonts w:cs="Arial"/>
                      <w:sz w:val="16"/>
                      <w:lang w:val="el-GR"/>
                    </w:rPr>
                  </w:pPr>
                  <w:r>
                    <w:rPr>
                      <w:rFonts w:cs="Arial"/>
                      <w:sz w:val="16"/>
                      <w:lang w:val="el-GR"/>
                    </w:rPr>
                    <w:t>Τρόμος, παραισθήσεις, ζάλη, διαταραχή προσοχής</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lang w:val="el-GR"/>
                    </w:rPr>
                    <w:t>Όχι Συχνές</w:t>
                  </w:r>
                </w:p>
              </w:tc>
              <w:tc>
                <w:tcPr>
                  <w:tcW w:w="2303" w:type="dxa"/>
                  <w:vAlign w:val="center"/>
                </w:tcPr>
                <w:p w:rsidR="008B43D6" w:rsidRDefault="008B43D6">
                  <w:pPr>
                    <w:spacing w:before="60" w:after="60"/>
                    <w:jc w:val="both"/>
                    <w:rPr>
                      <w:rFonts w:cs="Arial"/>
                      <w:sz w:val="16"/>
                      <w:lang w:val="el-GR"/>
                    </w:rPr>
                  </w:pPr>
                  <w:r>
                    <w:rPr>
                      <w:rFonts w:cs="Arial"/>
                      <w:sz w:val="16"/>
                      <w:lang w:val="el-GR"/>
                    </w:rPr>
                    <w:t>Λιποθυμικό επεισόδιο</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lang w:val="el-GR"/>
                    </w:rPr>
                    <w:t>Σπάνιες</w:t>
                  </w:r>
                </w:p>
              </w:tc>
              <w:tc>
                <w:tcPr>
                  <w:tcW w:w="2303" w:type="dxa"/>
                  <w:vAlign w:val="center"/>
                </w:tcPr>
                <w:p w:rsidR="008B43D6" w:rsidRDefault="008B43D6">
                  <w:pPr>
                    <w:spacing w:before="60" w:after="60"/>
                    <w:jc w:val="both"/>
                    <w:rPr>
                      <w:rFonts w:cs="Arial"/>
                      <w:sz w:val="16"/>
                      <w:lang w:val="el-GR"/>
                    </w:rPr>
                  </w:pPr>
                  <w:r>
                    <w:rPr>
                      <w:rFonts w:cs="Arial"/>
                      <w:sz w:val="16"/>
                      <w:lang w:val="el-GR"/>
                    </w:rPr>
                    <w:t xml:space="preserve">Σπασμοί </w:t>
                  </w:r>
                  <w:r>
                    <w:rPr>
                      <w:rFonts w:cs="Arial"/>
                      <w:sz w:val="16"/>
                    </w:rPr>
                    <w:t>grand</w:t>
                  </w:r>
                  <w:r>
                    <w:rPr>
                      <w:rFonts w:cs="Arial"/>
                      <w:sz w:val="16"/>
                      <w:lang w:val="el-GR"/>
                    </w:rPr>
                    <w:t xml:space="preserve"> </w:t>
                  </w:r>
                  <w:r>
                    <w:rPr>
                      <w:rFonts w:cs="Arial"/>
                      <w:sz w:val="16"/>
                    </w:rPr>
                    <w:t>mal</w:t>
                  </w:r>
                  <w:r>
                    <w:rPr>
                      <w:rFonts w:cs="Arial"/>
                      <w:sz w:val="16"/>
                      <w:lang w:val="el-GR"/>
                    </w:rPr>
                    <w:t>, δυσκινησία, διαταραχή γεύσης</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center"/>
                    <w:rPr>
                      <w:rFonts w:cs="Arial"/>
                      <w:sz w:val="16"/>
                      <w:lang w:val="el-GR"/>
                    </w:rPr>
                  </w:pPr>
                  <w:r>
                    <w:rPr>
                      <w:rFonts w:cs="Arial"/>
                      <w:bCs/>
                      <w:sz w:val="16"/>
                      <w:szCs w:val="16"/>
                      <w:lang w:val="el-GR"/>
                    </w:rPr>
                    <w:t>Μη γνωστές</w:t>
                  </w:r>
                </w:p>
              </w:tc>
              <w:tc>
                <w:tcPr>
                  <w:tcW w:w="2303" w:type="dxa"/>
                  <w:vAlign w:val="center"/>
                </w:tcPr>
                <w:p w:rsidR="008B43D6" w:rsidRDefault="008B43D6">
                  <w:pPr>
                    <w:rPr>
                      <w:sz w:val="16"/>
                      <w:lang w:val="el-GR"/>
                    </w:rPr>
                  </w:pPr>
                  <w:r>
                    <w:rPr>
                      <w:sz w:val="16"/>
                      <w:lang w:val="el-GR"/>
                    </w:rPr>
                    <w:t xml:space="preserve">Σπασμοί, σεροτονινεργικό  σύνδρομο  – εξωπυραμιδικά συμπτώματα </w:t>
                  </w:r>
                  <w:r>
                    <w:rPr>
                      <w:rFonts w:cs="Arial"/>
                      <w:sz w:val="16"/>
                      <w:lang w:val="el-GR"/>
                    </w:rPr>
                    <w:t xml:space="preserve">, ακαθισία, διαταραχή κινητικότητας </w:t>
                  </w:r>
                </w:p>
              </w:tc>
            </w:tr>
          </w:tbl>
          <w:p w:rsidR="008B43D6" w:rsidRDefault="008B43D6">
            <w:pPr>
              <w:jc w:val="both"/>
              <w:rPr>
                <w:lang w:val="el-GR"/>
              </w:rPr>
            </w:pPr>
          </w:p>
          <w:p w:rsidR="008B43D6" w:rsidRDefault="008B43D6">
            <w:pPr>
              <w:jc w:val="both"/>
              <w:rPr>
                <w:lang w:val="el-GR"/>
              </w:rPr>
            </w:pPr>
          </w:p>
          <w:p w:rsidR="008B43D6" w:rsidRDefault="008B43D6">
            <w:pPr>
              <w:jc w:val="both"/>
              <w:rPr>
                <w:lang w:val="el-GR"/>
              </w:rPr>
            </w:pPr>
          </w:p>
          <w:p w:rsidR="008B43D6" w:rsidRDefault="008B43D6">
            <w:pPr>
              <w:jc w:val="both"/>
              <w:rPr>
                <w:lang w:val="el-GR"/>
              </w:rPr>
            </w:pPr>
          </w:p>
          <w:tbl>
            <w:tblPr>
              <w:tblpPr w:leftFromText="180" w:rightFromText="180" w:horzAnchor="margin" w:tblpY="-60"/>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5529"/>
              <w:gridCol w:w="2303"/>
            </w:tblGrid>
            <w:tr w:rsidR="008B43D6">
              <w:tblPrEx>
                <w:tblCellMar>
                  <w:top w:w="0" w:type="dxa"/>
                  <w:bottom w:w="0" w:type="dxa"/>
                </w:tblCellMar>
              </w:tblPrEx>
              <w:trPr>
                <w:cantSplit/>
                <w:trHeight w:val="889"/>
              </w:trPr>
              <w:tc>
                <w:tcPr>
                  <w:tcW w:w="2302" w:type="dxa"/>
                  <w:vMerge w:val="restart"/>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r>
                    <w:rPr>
                      <w:rFonts w:cs="Arial"/>
                      <w:sz w:val="16"/>
                      <w:lang w:val="el-GR"/>
                    </w:rPr>
                    <w:t xml:space="preserve">Οφθαλμικές Διαταραχές </w:t>
                  </w: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sz w:val="16"/>
                      <w:lang w:val="el-GR"/>
                    </w:rPr>
                  </w:pPr>
                  <w:r>
                    <w:rPr>
                      <w:rFonts w:cs="Arial"/>
                      <w:bCs/>
                      <w:sz w:val="16"/>
                      <w:szCs w:val="16"/>
                      <w:lang w:val="el-GR"/>
                    </w:rPr>
                    <w:t>Μη γνωστές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p>
                <w:p w:rsidR="008B43D6" w:rsidRDefault="008B43D6">
                  <w:pPr>
                    <w:spacing w:before="60" w:after="60"/>
                    <w:jc w:val="both"/>
                    <w:rPr>
                      <w:rFonts w:cs="Arial"/>
                      <w:sz w:val="16"/>
                      <w:lang w:val="el-GR"/>
                    </w:rPr>
                  </w:pPr>
                </w:p>
                <w:p w:rsidR="008B43D6" w:rsidRDefault="008B43D6">
                  <w:pPr>
                    <w:spacing w:before="60" w:after="60"/>
                    <w:jc w:val="both"/>
                    <w:rPr>
                      <w:rFonts w:cs="Arial"/>
                      <w:sz w:val="16"/>
                      <w:lang w:val="en-US"/>
                    </w:rPr>
                  </w:pPr>
                  <w:r>
                    <w:rPr>
                      <w:rFonts w:cs="Arial"/>
                      <w:sz w:val="16"/>
                      <w:lang w:val="el-GR"/>
                    </w:rPr>
                    <w:t xml:space="preserve">Προβλήματα όρασης </w:t>
                  </w:r>
                </w:p>
              </w:tc>
            </w:tr>
            <w:tr w:rsidR="008B43D6">
              <w:tblPrEx>
                <w:tblCellMar>
                  <w:top w:w="0" w:type="dxa"/>
                  <w:bottom w:w="0" w:type="dxa"/>
                </w:tblCellMar>
              </w:tblPrEx>
              <w:trPr>
                <w:cantSplit/>
                <w:trHeight w:val="56"/>
              </w:trPr>
              <w:tc>
                <w:tcPr>
                  <w:tcW w:w="2302" w:type="dxa"/>
                  <w:vMerge/>
                  <w:tcBorders>
                    <w:top w:val="single" w:sz="4" w:space="0" w:color="auto"/>
                    <w:left w:val="single" w:sz="4" w:space="0" w:color="auto"/>
                    <w:bottom w:val="single" w:sz="4" w:space="0" w:color="auto"/>
                    <w:right w:val="single" w:sz="4" w:space="0" w:color="auto"/>
                  </w:tcBorders>
                </w:tcPr>
                <w:p w:rsidR="008B43D6" w:rsidRDefault="008B43D6">
                  <w:pPr>
                    <w:pStyle w:val="a3"/>
                    <w:tabs>
                      <w:tab w:val="clear" w:pos="4153"/>
                      <w:tab w:val="clear" w:pos="8306"/>
                    </w:tabs>
                    <w:jc w:val="both"/>
                    <w:rPr>
                      <w:rFonts w:cs="Arial"/>
                      <w:lang w:val="el-GR"/>
                    </w:rPr>
                  </w:pP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sz w:val="16"/>
                      <w:lang w:val="el-GR"/>
                    </w:rPr>
                  </w:pPr>
                  <w:r>
                    <w:rPr>
                      <w:rFonts w:cs="Arial"/>
                      <w:bCs/>
                      <w:sz w:val="16"/>
                      <w:lang w:val="el-GR"/>
                    </w:rPr>
                    <w:t>Όχι Συχνές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r>
                    <w:rPr>
                      <w:rFonts w:cs="Arial"/>
                      <w:sz w:val="16"/>
                      <w:lang w:val="el-GR"/>
                    </w:rPr>
                    <w:t>Μυδρίαση</w:t>
                  </w:r>
                </w:p>
              </w:tc>
            </w:tr>
            <w:tr w:rsidR="008B43D6">
              <w:tblPrEx>
                <w:tblCellMar>
                  <w:top w:w="0" w:type="dxa"/>
                  <w:bottom w:w="0" w:type="dxa"/>
                </w:tblCellMar>
              </w:tblPrEx>
              <w:trPr>
                <w:trHeight w:val="539"/>
              </w:trPr>
              <w:tc>
                <w:tcPr>
                  <w:tcW w:w="2302" w:type="dxa"/>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r>
                    <w:rPr>
                      <w:rFonts w:cs="Arial"/>
                      <w:sz w:val="16"/>
                      <w:lang w:val="el-GR"/>
                    </w:rPr>
                    <w:t xml:space="preserve">Διαταραχές ωτός και λαβυρίνθου </w:t>
                  </w: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sz w:val="16"/>
                      <w:lang w:val="el-GR"/>
                    </w:rPr>
                  </w:pPr>
                  <w:r>
                    <w:rPr>
                      <w:rFonts w:cs="Arial"/>
                      <w:bCs/>
                      <w:sz w:val="16"/>
                      <w:lang w:val="el-GR"/>
                    </w:rPr>
                    <w:t>Συχνές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r>
                    <w:rPr>
                      <w:rFonts w:cs="Arial"/>
                      <w:sz w:val="16"/>
                      <w:lang w:val="el-GR"/>
                    </w:rPr>
                    <w:t>Εμβοή ώτων</w:t>
                  </w:r>
                </w:p>
              </w:tc>
            </w:tr>
            <w:tr w:rsidR="008B43D6">
              <w:tblPrEx>
                <w:tblCellMar>
                  <w:top w:w="0" w:type="dxa"/>
                  <w:bottom w:w="0" w:type="dxa"/>
                </w:tblCellMar>
              </w:tblPrEx>
              <w:trPr>
                <w:cantSplit/>
                <w:trHeight w:val="1463"/>
              </w:trPr>
              <w:tc>
                <w:tcPr>
                  <w:tcW w:w="2302" w:type="dxa"/>
                  <w:vMerge w:val="restart"/>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r>
                    <w:rPr>
                      <w:rFonts w:cs="Arial"/>
                      <w:sz w:val="16"/>
                      <w:lang w:val="el-GR"/>
                    </w:rPr>
                    <w:t>Καρδιακές διαταραχές</w:t>
                  </w: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bCs/>
                      <w:sz w:val="16"/>
                      <w:lang w:val="el-GR"/>
                    </w:rPr>
                  </w:pPr>
                  <w:r>
                    <w:rPr>
                      <w:rFonts w:cs="Arial"/>
                      <w:bCs/>
                      <w:sz w:val="16"/>
                      <w:lang w:val="el-GR"/>
                    </w:rPr>
                    <w:t>Όχι Συχνές</w:t>
                  </w:r>
                </w:p>
                <w:p w:rsidR="008B43D6" w:rsidRDefault="008B43D6">
                  <w:pPr>
                    <w:spacing w:before="60" w:after="60"/>
                    <w:jc w:val="center"/>
                    <w:rPr>
                      <w:rFonts w:cs="Arial"/>
                      <w:sz w:val="16"/>
                      <w:lang w:val="el-GR"/>
                    </w:rPr>
                  </w:pP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p>
                <w:p w:rsidR="008B43D6" w:rsidRDefault="008B43D6">
                  <w:pPr>
                    <w:spacing w:before="60" w:after="60"/>
                    <w:jc w:val="both"/>
                    <w:rPr>
                      <w:rFonts w:cs="Arial"/>
                      <w:sz w:val="16"/>
                      <w:lang w:val="el-GR"/>
                    </w:rPr>
                  </w:pPr>
                  <w:r>
                    <w:rPr>
                      <w:rFonts w:cs="Arial"/>
                      <w:sz w:val="16"/>
                      <w:lang w:val="el-GR"/>
                    </w:rPr>
                    <w:t xml:space="preserve">Βραδυκαρδία, ταχυκαρδία </w:t>
                  </w:r>
                </w:p>
                <w:p w:rsidR="008B43D6" w:rsidRDefault="008B43D6">
                  <w:pPr>
                    <w:spacing w:before="60" w:after="60"/>
                    <w:jc w:val="both"/>
                    <w:rPr>
                      <w:rFonts w:cs="Arial"/>
                      <w:sz w:val="16"/>
                      <w:lang w:val="el-GR"/>
                    </w:rPr>
                  </w:pPr>
                </w:p>
                <w:p w:rsidR="008B43D6" w:rsidRDefault="008B43D6">
                  <w:pPr>
                    <w:spacing w:before="60" w:after="60"/>
                    <w:rPr>
                      <w:rFonts w:cs="Arial"/>
                      <w:sz w:val="16"/>
                      <w:lang w:val="el-GR"/>
                    </w:rPr>
                  </w:pPr>
                </w:p>
              </w:tc>
            </w:tr>
            <w:tr w:rsidR="008B43D6">
              <w:tblPrEx>
                <w:tblCellMar>
                  <w:top w:w="0" w:type="dxa"/>
                  <w:bottom w:w="0" w:type="dxa"/>
                </w:tblCellMar>
              </w:tblPrEx>
              <w:trPr>
                <w:cantSplit/>
                <w:trHeight w:val="1462"/>
              </w:trPr>
              <w:tc>
                <w:tcPr>
                  <w:tcW w:w="2302" w:type="dxa"/>
                  <w:vMerge/>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bCs/>
                      <w:sz w:val="16"/>
                      <w:lang w:val="el-GR"/>
                    </w:rPr>
                  </w:pPr>
                  <w:r>
                    <w:rPr>
                      <w:rFonts w:cs="Arial"/>
                      <w:bCs/>
                      <w:sz w:val="16"/>
                      <w:lang w:val="el-GR"/>
                    </w:rPr>
                    <w:t>Μη γνωστές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rPr>
                      <w:rFonts w:cs="Arial"/>
                      <w:sz w:val="16"/>
                      <w:lang w:val="el-GR"/>
                    </w:rPr>
                  </w:pPr>
                  <w:r>
                    <w:rPr>
                      <w:rFonts w:cs="Arial"/>
                      <w:sz w:val="16"/>
                      <w:lang w:val="el-GR"/>
                    </w:rPr>
                    <w:t xml:space="preserve">Παρατεταμένο διάστημα </w:t>
                  </w:r>
                  <w:r>
                    <w:rPr>
                      <w:rFonts w:cs="Arial"/>
                      <w:sz w:val="16"/>
                      <w:lang w:val="en-US"/>
                    </w:rPr>
                    <w:t>QT</w:t>
                  </w:r>
                  <w:r>
                    <w:rPr>
                      <w:rFonts w:cs="Arial"/>
                      <w:sz w:val="16"/>
                      <w:lang w:val="el-GR"/>
                    </w:rPr>
                    <w:t xml:space="preserve"> στο ηλεκτροκαρδιογράφημα, κοιλιακή αρρυθμία, συμπεριλαμβανομένης της πολύμορφης κοιλιακής ταχυκαρδίας</w:t>
                  </w:r>
                </w:p>
              </w:tc>
            </w:tr>
            <w:tr w:rsidR="008B43D6">
              <w:tblPrEx>
                <w:tblCellMar>
                  <w:top w:w="0" w:type="dxa"/>
                  <w:bottom w:w="0" w:type="dxa"/>
                </w:tblCellMar>
              </w:tblPrEx>
              <w:trPr>
                <w:cantSplit/>
                <w:trHeight w:val="1635"/>
              </w:trPr>
              <w:tc>
                <w:tcPr>
                  <w:tcW w:w="2302" w:type="dxa"/>
                  <w:vMerge w:val="restart"/>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r>
                    <w:rPr>
                      <w:rFonts w:cs="Arial"/>
                      <w:sz w:val="16"/>
                      <w:lang w:val="el-GR"/>
                    </w:rPr>
                    <w:t>Αγγειακές διαταραχές</w:t>
                  </w: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sz w:val="16"/>
                      <w:lang w:val="el-GR"/>
                    </w:rPr>
                  </w:pPr>
                  <w:r>
                    <w:rPr>
                      <w:rFonts w:cs="Arial"/>
                      <w:sz w:val="16"/>
                      <w:lang w:val="el-GR"/>
                    </w:rPr>
                    <w:t>Σπάνιες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r>
                    <w:rPr>
                      <w:rFonts w:cs="Arial"/>
                      <w:sz w:val="16"/>
                      <w:lang w:val="el-GR"/>
                    </w:rPr>
                    <w:t>Αιμορραγία</w:t>
                  </w:r>
                </w:p>
                <w:p w:rsidR="008B43D6" w:rsidRDefault="008B43D6">
                  <w:pPr>
                    <w:spacing w:before="60" w:after="60"/>
                    <w:jc w:val="both"/>
                    <w:rPr>
                      <w:rFonts w:cs="Arial"/>
                      <w:sz w:val="16"/>
                      <w:lang w:val="el-GR"/>
                    </w:rPr>
                  </w:pPr>
                </w:p>
              </w:tc>
            </w:tr>
            <w:tr w:rsidR="008B43D6">
              <w:tblPrEx>
                <w:tblCellMar>
                  <w:top w:w="0" w:type="dxa"/>
                  <w:bottom w:w="0" w:type="dxa"/>
                </w:tblCellMar>
              </w:tblPrEx>
              <w:trPr>
                <w:cantSplit/>
                <w:trHeight w:val="1635"/>
              </w:trPr>
              <w:tc>
                <w:tcPr>
                  <w:tcW w:w="2302" w:type="dxa"/>
                  <w:vMerge/>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bCs/>
                      <w:sz w:val="16"/>
                      <w:szCs w:val="16"/>
                      <w:lang w:val="el-GR"/>
                    </w:rPr>
                  </w:pPr>
                  <w:r>
                    <w:rPr>
                      <w:rFonts w:cs="Arial"/>
                      <w:bCs/>
                      <w:sz w:val="16"/>
                      <w:szCs w:val="16"/>
                      <w:lang w:val="el-GR"/>
                    </w:rPr>
                    <w:t>Μη γνωστές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r>
                    <w:rPr>
                      <w:rFonts w:cs="Arial"/>
                      <w:sz w:val="16"/>
                      <w:lang w:val="el-GR"/>
                    </w:rPr>
                    <w:t>Ορθοστατική υπόταση</w:t>
                  </w:r>
                </w:p>
                <w:p w:rsidR="008B43D6" w:rsidRDefault="008B43D6">
                  <w:pPr>
                    <w:spacing w:before="60" w:after="60"/>
                    <w:jc w:val="both"/>
                    <w:rPr>
                      <w:rFonts w:cs="Arial"/>
                      <w:sz w:val="16"/>
                      <w:lang w:val="el-GR"/>
                    </w:rPr>
                  </w:pPr>
                </w:p>
              </w:tc>
            </w:tr>
            <w:tr w:rsidR="008B43D6">
              <w:tblPrEx>
                <w:tblCellMar>
                  <w:top w:w="0" w:type="dxa"/>
                  <w:bottom w:w="0" w:type="dxa"/>
                </w:tblCellMar>
              </w:tblPrEx>
              <w:trPr>
                <w:cantSplit/>
                <w:trHeight w:val="1562"/>
              </w:trPr>
              <w:tc>
                <w:tcPr>
                  <w:tcW w:w="2302" w:type="dxa"/>
                  <w:vMerge w:val="restart"/>
                  <w:tcBorders>
                    <w:top w:val="single" w:sz="4" w:space="0" w:color="auto"/>
                    <w:left w:val="single" w:sz="4" w:space="0" w:color="auto"/>
                    <w:bottom w:val="single" w:sz="4" w:space="0" w:color="auto"/>
                    <w:right w:val="single" w:sz="4" w:space="0" w:color="auto"/>
                  </w:tcBorders>
                  <w:vAlign w:val="center"/>
                </w:tcPr>
                <w:p w:rsidR="008B43D6" w:rsidRDefault="008B43D6">
                  <w:pPr>
                    <w:jc w:val="both"/>
                    <w:rPr>
                      <w:rFonts w:cs="Arial"/>
                      <w:sz w:val="16"/>
                      <w:lang w:val="el-GR"/>
                    </w:rPr>
                  </w:pPr>
                  <w:r>
                    <w:rPr>
                      <w:rFonts w:cs="Arial"/>
                      <w:sz w:val="16"/>
                      <w:lang w:val="el-GR"/>
                    </w:rPr>
                    <w:t>Διαταραχές του αναπνευστικού συστήματος του θώρακα και του μεσοθωράκιου</w:t>
                  </w:r>
                </w:p>
              </w:tc>
              <w:tc>
                <w:tcPr>
                  <w:tcW w:w="5529"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center"/>
                    <w:rPr>
                      <w:rFonts w:cs="Arial"/>
                      <w:sz w:val="16"/>
                      <w:lang w:val="el-GR"/>
                    </w:rPr>
                  </w:pPr>
                  <w:r>
                    <w:rPr>
                      <w:rFonts w:cs="Arial"/>
                      <w:bCs/>
                      <w:sz w:val="16"/>
                      <w:lang w:val="el-GR"/>
                    </w:rPr>
                    <w:t>Συχνές</w:t>
                  </w:r>
                </w:p>
              </w:tc>
              <w:tc>
                <w:tcPr>
                  <w:tcW w:w="2303" w:type="dxa"/>
                  <w:tcBorders>
                    <w:top w:val="single" w:sz="4" w:space="0" w:color="auto"/>
                    <w:left w:val="single" w:sz="4" w:space="0" w:color="auto"/>
                    <w:bottom w:val="single" w:sz="4" w:space="0" w:color="auto"/>
                    <w:right w:val="single" w:sz="4" w:space="0" w:color="auto"/>
                  </w:tcBorders>
                  <w:vAlign w:val="center"/>
                </w:tcPr>
                <w:p w:rsidR="008B43D6" w:rsidRDefault="008B43D6">
                  <w:pPr>
                    <w:spacing w:before="60" w:after="60"/>
                    <w:jc w:val="both"/>
                    <w:rPr>
                      <w:rFonts w:cs="Arial"/>
                      <w:sz w:val="16"/>
                      <w:lang w:val="el-GR"/>
                    </w:rPr>
                  </w:pPr>
                  <w:r>
                    <w:rPr>
                      <w:rFonts w:cs="Arial"/>
                      <w:sz w:val="16"/>
                      <w:lang w:val="el-GR"/>
                    </w:rPr>
                    <w:t>Χασμουρητό</w:t>
                  </w:r>
                </w:p>
              </w:tc>
            </w:tr>
            <w:tr w:rsidR="008B43D6">
              <w:tblPrEx>
                <w:tblCellMar>
                  <w:top w:w="0" w:type="dxa"/>
                  <w:bottom w:w="0" w:type="dxa"/>
                </w:tblCellMar>
              </w:tblPrEx>
              <w:trPr>
                <w:cantSplit/>
                <w:trHeight w:val="712"/>
              </w:trPr>
              <w:tc>
                <w:tcPr>
                  <w:tcW w:w="2302" w:type="dxa"/>
                  <w:vMerge/>
                  <w:tcBorders>
                    <w:top w:val="single" w:sz="4" w:space="0" w:color="auto"/>
                  </w:tcBorders>
                  <w:vAlign w:val="center"/>
                </w:tcPr>
                <w:p w:rsidR="008B43D6" w:rsidRDefault="008B43D6">
                  <w:pPr>
                    <w:jc w:val="both"/>
                    <w:rPr>
                      <w:rFonts w:cs="Arial"/>
                      <w:sz w:val="16"/>
                      <w:lang w:val="el-GR"/>
                    </w:rPr>
                  </w:pPr>
                </w:p>
              </w:tc>
              <w:tc>
                <w:tcPr>
                  <w:tcW w:w="5529" w:type="dxa"/>
                  <w:tcBorders>
                    <w:top w:val="single" w:sz="4" w:space="0" w:color="auto"/>
                  </w:tcBorders>
                  <w:vAlign w:val="center"/>
                </w:tcPr>
                <w:p w:rsidR="008B43D6" w:rsidRDefault="008B43D6">
                  <w:pPr>
                    <w:spacing w:before="60" w:after="60"/>
                    <w:jc w:val="center"/>
                    <w:rPr>
                      <w:rFonts w:cs="Arial"/>
                      <w:sz w:val="16"/>
                      <w:lang w:val="el-GR"/>
                    </w:rPr>
                  </w:pPr>
                  <w:r>
                    <w:rPr>
                      <w:rFonts w:cs="Arial"/>
                      <w:bCs/>
                      <w:sz w:val="16"/>
                      <w:szCs w:val="16"/>
                      <w:lang w:val="el-GR"/>
                    </w:rPr>
                    <w:t>Μη γνωστές</w:t>
                  </w:r>
                </w:p>
              </w:tc>
              <w:tc>
                <w:tcPr>
                  <w:tcW w:w="2303" w:type="dxa"/>
                  <w:tcBorders>
                    <w:top w:val="single" w:sz="4" w:space="0" w:color="auto"/>
                  </w:tcBorders>
                  <w:vAlign w:val="center"/>
                </w:tcPr>
                <w:p w:rsidR="008B43D6" w:rsidRDefault="008B43D6">
                  <w:pPr>
                    <w:spacing w:before="60" w:after="60"/>
                    <w:jc w:val="both"/>
                    <w:rPr>
                      <w:rFonts w:cs="Arial"/>
                      <w:sz w:val="16"/>
                      <w:lang w:val="el-GR"/>
                    </w:rPr>
                  </w:pPr>
                  <w:r>
                    <w:rPr>
                      <w:rFonts w:cs="Arial"/>
                      <w:sz w:val="16"/>
                      <w:lang w:val="el-GR"/>
                    </w:rPr>
                    <w:t>Επίσταξη</w:t>
                  </w:r>
                </w:p>
              </w:tc>
            </w:tr>
          </w:tbl>
          <w:p w:rsidR="008B43D6" w:rsidRDefault="008B43D6">
            <w:pPr>
              <w:jc w:val="both"/>
              <w:rPr>
                <w:lang w:val="el-GR"/>
              </w:rPr>
            </w:pPr>
          </w:p>
          <w:tbl>
            <w:tblPr>
              <w:tblpPr w:leftFromText="180" w:rightFromText="180" w:horzAnchor="margin" w:tblpY="-60"/>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5529"/>
              <w:gridCol w:w="2303"/>
            </w:tblGrid>
            <w:tr w:rsidR="008B43D6">
              <w:tblPrEx>
                <w:tblCellMar>
                  <w:top w:w="0" w:type="dxa"/>
                  <w:bottom w:w="0" w:type="dxa"/>
                </w:tblCellMar>
              </w:tblPrEx>
              <w:trPr>
                <w:cantSplit/>
                <w:trHeight w:val="889"/>
              </w:trPr>
              <w:tc>
                <w:tcPr>
                  <w:tcW w:w="2302" w:type="dxa"/>
                  <w:vMerge w:val="restart"/>
                  <w:vAlign w:val="center"/>
                </w:tcPr>
                <w:p w:rsidR="008B43D6" w:rsidRDefault="008B43D6">
                  <w:pPr>
                    <w:rPr>
                      <w:rFonts w:cs="Arial"/>
                      <w:sz w:val="16"/>
                      <w:lang w:val="el-GR"/>
                    </w:rPr>
                  </w:pPr>
                  <w:r>
                    <w:rPr>
                      <w:rFonts w:cs="Arial"/>
                      <w:sz w:val="16"/>
                      <w:lang w:val="el-GR"/>
                    </w:rPr>
                    <w:t xml:space="preserve">Διαταραχές του Γαστρεντερικού </w:t>
                  </w: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Πολύ 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Ξηροστομία, ναυτία</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Συχνές </w:t>
                  </w:r>
                </w:p>
              </w:tc>
              <w:tc>
                <w:tcPr>
                  <w:tcW w:w="2303" w:type="dxa"/>
                  <w:vAlign w:val="center"/>
                </w:tcPr>
                <w:p w:rsidR="008B43D6" w:rsidRDefault="008B43D6">
                  <w:pPr>
                    <w:spacing w:before="60" w:after="60"/>
                    <w:rPr>
                      <w:rFonts w:cs="Arial"/>
                      <w:sz w:val="16"/>
                      <w:lang w:val="el-GR"/>
                    </w:rPr>
                  </w:pPr>
                  <w:r>
                    <w:rPr>
                      <w:rFonts w:cs="Arial"/>
                      <w:sz w:val="16"/>
                      <w:lang w:val="el-GR"/>
                    </w:rPr>
                    <w:t>Διάρροια, εμετός, δυσκοιλιότητα</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szCs w:val="16"/>
                      <w:lang w:val="el-GR"/>
                    </w:rPr>
                    <w:t xml:space="preserve">Μη γνωστές </w:t>
                  </w:r>
                </w:p>
              </w:tc>
              <w:tc>
                <w:tcPr>
                  <w:tcW w:w="2303" w:type="dxa"/>
                  <w:vAlign w:val="center"/>
                </w:tcPr>
                <w:p w:rsidR="008B43D6" w:rsidRDefault="008B43D6">
                  <w:pPr>
                    <w:spacing w:before="60" w:after="60"/>
                    <w:jc w:val="both"/>
                    <w:rPr>
                      <w:rFonts w:cs="Arial"/>
                      <w:sz w:val="16"/>
                      <w:lang w:val="el-GR"/>
                    </w:rPr>
                  </w:pPr>
                  <w:r>
                    <w:rPr>
                      <w:rFonts w:cs="Arial"/>
                      <w:sz w:val="16"/>
                      <w:lang w:val="el-GR"/>
                    </w:rPr>
                    <w:t xml:space="preserve">Γαστρεντερική αιμορραγία (συμπεριλαμβανομένης αιμορραγίας από το ορθό) </w:t>
                  </w:r>
                </w:p>
              </w:tc>
            </w:tr>
            <w:tr w:rsidR="008B43D6">
              <w:tblPrEx>
                <w:tblCellMar>
                  <w:top w:w="0" w:type="dxa"/>
                  <w:bottom w:w="0" w:type="dxa"/>
                </w:tblCellMar>
              </w:tblPrEx>
              <w:trPr>
                <w:cantSplit/>
                <w:trHeight w:val="780"/>
              </w:trPr>
              <w:tc>
                <w:tcPr>
                  <w:tcW w:w="2302" w:type="dxa"/>
                  <w:vMerge w:val="restart"/>
                  <w:vAlign w:val="center"/>
                </w:tcPr>
                <w:p w:rsidR="008B43D6" w:rsidRDefault="008B43D6">
                  <w:pPr>
                    <w:jc w:val="both"/>
                    <w:rPr>
                      <w:rFonts w:cs="Arial"/>
                      <w:sz w:val="16"/>
                      <w:lang w:val="el-GR"/>
                    </w:rPr>
                  </w:pPr>
                  <w:r>
                    <w:rPr>
                      <w:rFonts w:cs="Arial"/>
                      <w:sz w:val="16"/>
                      <w:lang w:val="el-GR"/>
                    </w:rPr>
                    <w:t xml:space="preserve">Διαταραχές του ήπατος και των χοληφόρων </w:t>
                  </w:r>
                </w:p>
              </w:tc>
              <w:tc>
                <w:tcPr>
                  <w:tcW w:w="5529" w:type="dxa"/>
                  <w:vAlign w:val="center"/>
                </w:tcPr>
                <w:p w:rsidR="008B43D6" w:rsidRDefault="008B43D6">
                  <w:pPr>
                    <w:spacing w:before="60" w:after="60"/>
                    <w:jc w:val="both"/>
                    <w:rPr>
                      <w:rFonts w:cs="Arial"/>
                      <w:sz w:val="16"/>
                      <w:lang w:val="el-GR"/>
                    </w:rPr>
                  </w:pPr>
                  <w:r>
                    <w:rPr>
                      <w:rFonts w:cs="Arial"/>
                      <w:bCs/>
                      <w:sz w:val="16"/>
                      <w:lang w:val="el-GR"/>
                    </w:rPr>
                    <w:t>Σπάνιες</w:t>
                  </w:r>
                </w:p>
              </w:tc>
              <w:tc>
                <w:tcPr>
                  <w:tcW w:w="2303" w:type="dxa"/>
                  <w:vAlign w:val="center"/>
                </w:tcPr>
                <w:p w:rsidR="008B43D6" w:rsidRDefault="008B43D6">
                  <w:pPr>
                    <w:spacing w:before="60" w:after="60"/>
                    <w:jc w:val="both"/>
                    <w:rPr>
                      <w:rFonts w:cs="Arial"/>
                      <w:sz w:val="16"/>
                      <w:lang w:val="el-GR"/>
                    </w:rPr>
                  </w:pPr>
                  <w:r>
                    <w:rPr>
                      <w:rFonts w:cs="Arial"/>
                      <w:sz w:val="16"/>
                      <w:lang w:val="el-GR"/>
                    </w:rPr>
                    <w:t>Ηπατίτιδα</w:t>
                  </w:r>
                </w:p>
              </w:tc>
            </w:tr>
            <w:tr w:rsidR="008B43D6">
              <w:tblPrEx>
                <w:tblCellMar>
                  <w:top w:w="0" w:type="dxa"/>
                  <w:bottom w:w="0" w:type="dxa"/>
                </w:tblCellMar>
              </w:tblPrEx>
              <w:trPr>
                <w:cantSplit/>
                <w:trHeight w:val="780"/>
              </w:trPr>
              <w:tc>
                <w:tcPr>
                  <w:tcW w:w="2302" w:type="dxa"/>
                  <w:vMerge/>
                  <w:vAlign w:val="center"/>
                </w:tcPr>
                <w:p w:rsidR="008B43D6" w:rsidRDefault="008B43D6">
                  <w:pPr>
                    <w:jc w:val="both"/>
                    <w:rPr>
                      <w:rFonts w:cs="Arial"/>
                      <w:sz w:val="16"/>
                      <w:lang w:val="el-GR"/>
                    </w:rPr>
                  </w:pPr>
                </w:p>
              </w:tc>
              <w:tc>
                <w:tcPr>
                  <w:tcW w:w="5529" w:type="dxa"/>
                  <w:vAlign w:val="center"/>
                </w:tcPr>
                <w:p w:rsidR="008B43D6" w:rsidRDefault="008B43D6">
                  <w:pPr>
                    <w:spacing w:before="60" w:after="60"/>
                    <w:jc w:val="both"/>
                    <w:rPr>
                      <w:rFonts w:cs="Arial"/>
                      <w:bCs/>
                      <w:sz w:val="16"/>
                      <w:lang w:val="el-GR"/>
                    </w:rPr>
                  </w:pPr>
                  <w:r>
                    <w:rPr>
                      <w:rFonts w:cs="Arial"/>
                      <w:bCs/>
                      <w:sz w:val="16"/>
                      <w:lang w:val="el-GR"/>
                    </w:rPr>
                    <w:t>Μη γνωστές</w:t>
                  </w:r>
                </w:p>
              </w:tc>
              <w:tc>
                <w:tcPr>
                  <w:tcW w:w="2303" w:type="dxa"/>
                  <w:vAlign w:val="center"/>
                </w:tcPr>
                <w:p w:rsidR="008B43D6" w:rsidRDefault="008B43D6">
                  <w:pPr>
                    <w:spacing w:before="60" w:after="60"/>
                    <w:jc w:val="both"/>
                    <w:rPr>
                      <w:rFonts w:cs="Arial"/>
                      <w:sz w:val="16"/>
                      <w:lang w:val="el-GR"/>
                    </w:rPr>
                  </w:pPr>
                  <w:r>
                    <w:rPr>
                      <w:rFonts w:cs="Arial"/>
                      <w:sz w:val="16"/>
                      <w:lang w:val="el-GR"/>
                    </w:rPr>
                    <w:t>Μη φυσιολογική ηπατική λειτουργία</w:t>
                  </w:r>
                </w:p>
              </w:tc>
            </w:tr>
            <w:tr w:rsidR="008B43D6">
              <w:tblPrEx>
                <w:tblCellMar>
                  <w:top w:w="0" w:type="dxa"/>
                  <w:bottom w:w="0" w:type="dxa"/>
                </w:tblCellMar>
              </w:tblPrEx>
              <w:trPr>
                <w:cantSplit/>
                <w:trHeight w:val="1562"/>
              </w:trPr>
              <w:tc>
                <w:tcPr>
                  <w:tcW w:w="2302" w:type="dxa"/>
                  <w:vMerge w:val="restart"/>
                  <w:vAlign w:val="center"/>
                </w:tcPr>
                <w:p w:rsidR="008B43D6" w:rsidRDefault="008B43D6">
                  <w:pPr>
                    <w:jc w:val="both"/>
                    <w:rPr>
                      <w:rFonts w:cs="Arial"/>
                      <w:sz w:val="16"/>
                      <w:lang w:val="el-GR"/>
                    </w:rPr>
                  </w:pPr>
                  <w:r>
                    <w:rPr>
                      <w:rFonts w:cs="Arial"/>
                      <w:sz w:val="16"/>
                      <w:lang w:val="el-GR"/>
                    </w:rPr>
                    <w:t xml:space="preserve">Διαταραχές δέρματος και υποδόριου ιστού </w:t>
                  </w: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Πολύ 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Αυξημένη εφίδρωση</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Κνησμός</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Όχι Συχνές </w:t>
                  </w:r>
                </w:p>
              </w:tc>
              <w:tc>
                <w:tcPr>
                  <w:tcW w:w="2303" w:type="dxa"/>
                  <w:vAlign w:val="center"/>
                </w:tcPr>
                <w:p w:rsidR="008B43D6" w:rsidRDefault="008B43D6">
                  <w:pPr>
                    <w:spacing w:before="60" w:after="60"/>
                    <w:rPr>
                      <w:rFonts w:cs="Arial"/>
                      <w:sz w:val="16"/>
                      <w:lang w:val="el-GR"/>
                    </w:rPr>
                  </w:pPr>
                  <w:r>
                    <w:rPr>
                      <w:rFonts w:cs="Arial"/>
                      <w:sz w:val="16"/>
                      <w:lang w:val="el-GR"/>
                    </w:rPr>
                    <w:t xml:space="preserve">Κνίδωση, αλωπεκία,  εξάνθημα, πορφύρα, φωτοευαισθησία </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szCs w:val="16"/>
                      <w:lang w:val="el-GR"/>
                    </w:rPr>
                    <w:t xml:space="preserve">Μη γνωστές </w:t>
                  </w:r>
                </w:p>
              </w:tc>
              <w:tc>
                <w:tcPr>
                  <w:tcW w:w="2303" w:type="dxa"/>
                  <w:vAlign w:val="center"/>
                </w:tcPr>
                <w:p w:rsidR="008B43D6" w:rsidRDefault="008B43D6">
                  <w:pPr>
                    <w:spacing w:before="60" w:after="60"/>
                    <w:jc w:val="both"/>
                    <w:rPr>
                      <w:rFonts w:cs="Arial"/>
                      <w:sz w:val="16"/>
                      <w:lang w:val="el-GR"/>
                    </w:rPr>
                  </w:pPr>
                  <w:r>
                    <w:rPr>
                      <w:rFonts w:cs="Arial"/>
                      <w:sz w:val="16"/>
                      <w:lang w:val="el-GR"/>
                    </w:rPr>
                    <w:t>Εκχύμωση, αγγειοοίδημα</w:t>
                  </w:r>
                </w:p>
              </w:tc>
            </w:tr>
            <w:tr w:rsidR="008B43D6">
              <w:tblPrEx>
                <w:tblCellMar>
                  <w:top w:w="0" w:type="dxa"/>
                  <w:bottom w:w="0" w:type="dxa"/>
                </w:tblCellMar>
              </w:tblPrEx>
              <w:trPr>
                <w:trHeight w:val="1784"/>
              </w:trPr>
              <w:tc>
                <w:tcPr>
                  <w:tcW w:w="2302" w:type="dxa"/>
                  <w:vAlign w:val="center"/>
                </w:tcPr>
                <w:p w:rsidR="008B43D6" w:rsidRDefault="008B43D6">
                  <w:pPr>
                    <w:jc w:val="both"/>
                    <w:rPr>
                      <w:rFonts w:cs="Arial"/>
                      <w:sz w:val="16"/>
                      <w:lang w:val="el-GR"/>
                    </w:rPr>
                  </w:pPr>
                  <w:r>
                    <w:rPr>
                      <w:rFonts w:cs="Arial"/>
                      <w:sz w:val="16"/>
                      <w:lang w:val="el-GR"/>
                    </w:rPr>
                    <w:t xml:space="preserve">Διαταραχές μυοσκελετικού συστήματος, συνδετικού ιστού και οστών </w:t>
                  </w: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Μυαλγία, αρθραλγία</w:t>
                  </w:r>
                </w:p>
              </w:tc>
            </w:tr>
            <w:tr w:rsidR="008B43D6">
              <w:tblPrEx>
                <w:tblCellMar>
                  <w:top w:w="0" w:type="dxa"/>
                  <w:bottom w:w="0" w:type="dxa"/>
                </w:tblCellMar>
              </w:tblPrEx>
              <w:trPr>
                <w:trHeight w:val="2527"/>
              </w:trPr>
              <w:tc>
                <w:tcPr>
                  <w:tcW w:w="2302" w:type="dxa"/>
                  <w:vAlign w:val="center"/>
                </w:tcPr>
                <w:p w:rsidR="008B43D6" w:rsidRDefault="008B43D6">
                  <w:pPr>
                    <w:jc w:val="both"/>
                    <w:rPr>
                      <w:rFonts w:cs="Arial"/>
                      <w:sz w:val="16"/>
                      <w:lang w:val="el-GR"/>
                    </w:rPr>
                  </w:pPr>
                  <w:r>
                    <w:rPr>
                      <w:rFonts w:cs="Arial"/>
                      <w:sz w:val="16"/>
                      <w:lang w:val="el-GR"/>
                    </w:rPr>
                    <w:t xml:space="preserve">Διαταραχές των νεφρών και των ουροφόρων οδών </w:t>
                  </w: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Όχι 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Ακράτεια ούρων</w:t>
                  </w:r>
                </w:p>
              </w:tc>
            </w:tr>
          </w:tbl>
          <w:p w:rsidR="008B43D6" w:rsidRDefault="008B43D6">
            <w:pPr>
              <w:jc w:val="both"/>
              <w:rPr>
                <w:lang w:val="el-GR"/>
              </w:rPr>
            </w:pPr>
          </w:p>
          <w:p w:rsidR="008B43D6" w:rsidRDefault="008B43D6">
            <w:pPr>
              <w:jc w:val="both"/>
              <w:rPr>
                <w:lang w:val="el-GR"/>
              </w:rPr>
            </w:pPr>
          </w:p>
          <w:p w:rsidR="008B43D6" w:rsidRDefault="008B43D6">
            <w:pPr>
              <w:jc w:val="both"/>
              <w:rPr>
                <w:lang w:val="el-GR"/>
              </w:rPr>
            </w:pPr>
          </w:p>
          <w:tbl>
            <w:tblPr>
              <w:tblpPr w:leftFromText="180" w:rightFromText="180" w:horzAnchor="margin" w:tblpY="-60"/>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5529"/>
              <w:gridCol w:w="2303"/>
            </w:tblGrid>
            <w:tr w:rsidR="008B43D6">
              <w:tblPrEx>
                <w:tblCellMar>
                  <w:top w:w="0" w:type="dxa"/>
                  <w:bottom w:w="0" w:type="dxa"/>
                </w:tblCellMar>
              </w:tblPrEx>
              <w:trPr>
                <w:cantSplit/>
                <w:trHeight w:val="4650"/>
              </w:trPr>
              <w:tc>
                <w:tcPr>
                  <w:tcW w:w="2302" w:type="dxa"/>
                  <w:vMerge w:val="restart"/>
                  <w:vAlign w:val="center"/>
                </w:tcPr>
                <w:p w:rsidR="008B43D6" w:rsidRDefault="008B43D6">
                  <w:pPr>
                    <w:jc w:val="both"/>
                    <w:rPr>
                      <w:rFonts w:cs="Arial"/>
                      <w:sz w:val="16"/>
                      <w:lang w:val="el-GR"/>
                    </w:rPr>
                  </w:pPr>
                </w:p>
                <w:p w:rsidR="008B43D6" w:rsidRDefault="008B43D6">
                  <w:pPr>
                    <w:rPr>
                      <w:rFonts w:cs="Arial"/>
                      <w:sz w:val="16"/>
                      <w:lang w:val="el-GR"/>
                    </w:rPr>
                  </w:pPr>
                  <w:r>
                    <w:rPr>
                      <w:rFonts w:cs="Arial"/>
                      <w:sz w:val="16"/>
                      <w:lang w:val="el-GR"/>
                    </w:rPr>
                    <w:t xml:space="preserve">Διαταραχές του αναπαραγωγικού συστήματος και μαστού </w:t>
                  </w:r>
                </w:p>
                <w:p w:rsidR="008B43D6" w:rsidRDefault="008B43D6">
                  <w:pPr>
                    <w:jc w:val="both"/>
                    <w:rPr>
                      <w:rFonts w:cs="Arial"/>
                      <w:sz w:val="16"/>
                      <w:lang w:val="el-GR"/>
                    </w:rPr>
                  </w:pP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Συχνές </w:t>
                  </w:r>
                </w:p>
              </w:tc>
              <w:tc>
                <w:tcPr>
                  <w:tcW w:w="2303" w:type="dxa"/>
                  <w:vAlign w:val="center"/>
                </w:tcPr>
                <w:p w:rsidR="008B43D6" w:rsidRDefault="008B43D6">
                  <w:pPr>
                    <w:spacing w:before="60" w:after="60"/>
                    <w:rPr>
                      <w:rFonts w:cs="Arial"/>
                      <w:sz w:val="16"/>
                      <w:lang w:val="el-GR"/>
                    </w:rPr>
                  </w:pPr>
                  <w:r>
                    <w:rPr>
                      <w:rFonts w:cs="Arial"/>
                      <w:sz w:val="16"/>
                      <w:lang w:val="el-GR"/>
                    </w:rPr>
                    <w:t xml:space="preserve">Ανικανότητα, διαταραχή εκσπερμάτισης, </w:t>
                  </w:r>
                </w:p>
                <w:p w:rsidR="008B43D6" w:rsidRDefault="008B43D6">
                  <w:pPr>
                    <w:spacing w:before="60" w:after="60"/>
                    <w:jc w:val="both"/>
                    <w:rPr>
                      <w:rFonts w:cs="Arial"/>
                      <w:sz w:val="16"/>
                      <w:lang w:val="el-GR"/>
                    </w:rPr>
                  </w:pPr>
                  <w:r>
                    <w:rPr>
                      <w:rFonts w:cs="Arial"/>
                      <w:sz w:val="16"/>
                      <w:lang w:val="el-GR"/>
                    </w:rPr>
                    <w:t>Αδυναμία εκσπερμάτισης</w:t>
                  </w:r>
                </w:p>
              </w:tc>
            </w:tr>
            <w:tr w:rsidR="008B43D6">
              <w:tblPrEx>
                <w:tblCellMar>
                  <w:top w:w="0" w:type="dxa"/>
                  <w:bottom w:w="0" w:type="dxa"/>
                </w:tblCellMar>
              </w:tblPrEx>
              <w:trPr>
                <w:cantSplit/>
                <w:trHeight w:val="1013"/>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Όχι 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Γυναίκες: Μηνορραγία</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szCs w:val="16"/>
                      <w:lang w:val="el-GR"/>
                    </w:rPr>
                    <w:t xml:space="preserve">Μη γνωστές </w:t>
                  </w:r>
                </w:p>
              </w:tc>
              <w:tc>
                <w:tcPr>
                  <w:tcW w:w="2303" w:type="dxa"/>
                  <w:vAlign w:val="center"/>
                </w:tcPr>
                <w:p w:rsidR="008B43D6" w:rsidRDefault="008B43D6">
                  <w:pPr>
                    <w:spacing w:before="60" w:after="60"/>
                    <w:jc w:val="both"/>
                    <w:rPr>
                      <w:rFonts w:cs="Arial"/>
                      <w:sz w:val="16"/>
                      <w:lang w:val="el-GR"/>
                    </w:rPr>
                  </w:pPr>
                  <w:r>
                    <w:rPr>
                      <w:rFonts w:cs="Arial"/>
                      <w:sz w:val="16"/>
                      <w:lang w:val="el-GR"/>
                    </w:rPr>
                    <w:t xml:space="preserve">Γυναίκες: Μηνορραγία: </w:t>
                  </w:r>
                </w:p>
                <w:p w:rsidR="008B43D6" w:rsidRDefault="008B43D6">
                  <w:pPr>
                    <w:spacing w:before="60" w:after="60"/>
                    <w:jc w:val="both"/>
                    <w:rPr>
                      <w:rFonts w:cs="Arial"/>
                      <w:sz w:val="16"/>
                      <w:lang w:val="el-GR"/>
                    </w:rPr>
                  </w:pPr>
                  <w:r>
                    <w:rPr>
                      <w:rFonts w:cs="Arial"/>
                      <w:sz w:val="16"/>
                      <w:lang w:val="el-GR"/>
                    </w:rPr>
                    <w:t xml:space="preserve">Άνδρες:Πριαπισμός, γαλακτόρροια  </w:t>
                  </w:r>
                </w:p>
              </w:tc>
            </w:tr>
            <w:tr w:rsidR="008B43D6">
              <w:tblPrEx>
                <w:tblCellMar>
                  <w:top w:w="0" w:type="dxa"/>
                  <w:bottom w:w="0" w:type="dxa"/>
                </w:tblCellMar>
              </w:tblPrEx>
              <w:trPr>
                <w:cantSplit/>
                <w:trHeight w:val="2381"/>
              </w:trPr>
              <w:tc>
                <w:tcPr>
                  <w:tcW w:w="2302" w:type="dxa"/>
                  <w:vMerge w:val="restart"/>
                  <w:vAlign w:val="center"/>
                </w:tcPr>
                <w:p w:rsidR="008B43D6" w:rsidRDefault="008B43D6">
                  <w:pPr>
                    <w:jc w:val="both"/>
                    <w:rPr>
                      <w:rFonts w:cs="Arial"/>
                      <w:sz w:val="16"/>
                      <w:lang w:val="el-GR"/>
                    </w:rPr>
                  </w:pPr>
                  <w:r>
                    <w:rPr>
                      <w:rFonts w:cs="Arial"/>
                      <w:sz w:val="16"/>
                      <w:lang w:val="el-GR"/>
                    </w:rPr>
                    <w:t xml:space="preserve">Γενικές διαταραχές και διαταραχές στο σημείο χορήγησης  </w:t>
                  </w: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 xml:space="preserve">Κόπωση,  παραισθησία </w:t>
                  </w:r>
                </w:p>
              </w:tc>
            </w:tr>
            <w:tr w:rsidR="008B43D6">
              <w:tblPrEx>
                <w:tblCellMar>
                  <w:top w:w="0" w:type="dxa"/>
                  <w:bottom w:w="0" w:type="dxa"/>
                </w:tblCellMar>
              </w:tblPrEx>
              <w:trPr>
                <w:cantSplit/>
                <w:trHeight w:val="712"/>
              </w:trPr>
              <w:tc>
                <w:tcPr>
                  <w:tcW w:w="2302" w:type="dxa"/>
                  <w:vMerge/>
                </w:tcPr>
                <w:p w:rsidR="008B43D6" w:rsidRDefault="008B43D6">
                  <w:pPr>
                    <w:pStyle w:val="a3"/>
                    <w:tabs>
                      <w:tab w:val="clear" w:pos="4153"/>
                      <w:tab w:val="clear" w:pos="8306"/>
                    </w:tabs>
                    <w:jc w:val="both"/>
                    <w:rPr>
                      <w:rFonts w:cs="Arial"/>
                      <w:lang w:val="el-GR"/>
                    </w:rPr>
                  </w:pPr>
                </w:p>
              </w:tc>
              <w:tc>
                <w:tcPr>
                  <w:tcW w:w="5529" w:type="dxa"/>
                  <w:vAlign w:val="center"/>
                </w:tcPr>
                <w:p w:rsidR="008B43D6" w:rsidRDefault="008B43D6">
                  <w:pPr>
                    <w:spacing w:before="60" w:after="60"/>
                    <w:jc w:val="both"/>
                    <w:rPr>
                      <w:rFonts w:cs="Arial"/>
                      <w:sz w:val="16"/>
                      <w:lang w:val="el-GR"/>
                    </w:rPr>
                  </w:pPr>
                  <w:r>
                    <w:rPr>
                      <w:rFonts w:cs="Arial"/>
                      <w:bCs/>
                      <w:sz w:val="16"/>
                      <w:lang w:val="el-GR"/>
                    </w:rPr>
                    <w:t xml:space="preserve">Όχι Συχνές </w:t>
                  </w:r>
                </w:p>
              </w:tc>
              <w:tc>
                <w:tcPr>
                  <w:tcW w:w="2303" w:type="dxa"/>
                  <w:vAlign w:val="center"/>
                </w:tcPr>
                <w:p w:rsidR="008B43D6" w:rsidRDefault="008B43D6">
                  <w:pPr>
                    <w:spacing w:before="60" w:after="60"/>
                    <w:jc w:val="both"/>
                    <w:rPr>
                      <w:rFonts w:cs="Arial"/>
                      <w:sz w:val="16"/>
                      <w:lang w:val="el-GR"/>
                    </w:rPr>
                  </w:pPr>
                  <w:r>
                    <w:rPr>
                      <w:rFonts w:cs="Arial"/>
                      <w:sz w:val="16"/>
                      <w:lang w:val="el-GR"/>
                    </w:rPr>
                    <w:t>Οίδημα</w:t>
                  </w:r>
                </w:p>
              </w:tc>
            </w:tr>
          </w:tbl>
          <w:p w:rsidR="008B43D6" w:rsidRDefault="008B43D6">
            <w:pPr>
              <w:jc w:val="both"/>
              <w:rPr>
                <w:lang w:val="el-GR"/>
              </w:rPr>
            </w:pPr>
          </w:p>
          <w:p w:rsidR="008B43D6" w:rsidRDefault="008B43D6">
            <w:pPr>
              <w:autoSpaceDE w:val="0"/>
              <w:autoSpaceDN w:val="0"/>
              <w:adjustRightInd w:val="0"/>
              <w:jc w:val="both"/>
              <w:rPr>
                <w:lang w:val="el-GR"/>
              </w:rPr>
            </w:pPr>
            <w:r>
              <w:rPr>
                <w:lang w:val="el-GR"/>
              </w:rPr>
              <w:t xml:space="preserve">Αριθμός ασθενών: Σιταλοπράμη / </w:t>
            </w:r>
            <w:r>
              <w:rPr>
                <w:lang w:val="en-US"/>
              </w:rPr>
              <w:t>placebo</w:t>
            </w:r>
            <w:r>
              <w:rPr>
                <w:lang w:val="el-GR"/>
              </w:rPr>
              <w:t xml:space="preserve"> = 1346 / 545</w:t>
            </w:r>
          </w:p>
          <w:p w:rsidR="008B43D6" w:rsidRDefault="008B43D6">
            <w:pPr>
              <w:autoSpaceDE w:val="0"/>
              <w:autoSpaceDN w:val="0"/>
              <w:adjustRightInd w:val="0"/>
              <w:jc w:val="both"/>
              <w:rPr>
                <w:lang w:val="el-GR"/>
              </w:rPr>
            </w:pPr>
          </w:p>
          <w:p w:rsidR="008B43D6" w:rsidRDefault="008B43D6">
            <w:pPr>
              <w:jc w:val="both"/>
              <w:rPr>
                <w:rFonts w:cs="Arial"/>
                <w:vertAlign w:val="superscript"/>
                <w:lang w:val="el-GR"/>
              </w:rPr>
            </w:pPr>
            <w:r>
              <w:rPr>
                <w:rFonts w:cs="Arial"/>
                <w:vertAlign w:val="superscript"/>
                <w:lang w:val="el-GR"/>
              </w:rPr>
              <w:t xml:space="preserve">1 </w:t>
            </w:r>
            <w:r>
              <w:rPr>
                <w:rFonts w:cs="Arial"/>
                <w:lang w:val="el-GR"/>
              </w:rPr>
              <w:t>Περιστατικά αυτοκτονικού ιδεασμού και αυτοκτονικών συμπεριφορών έχουν αναφερθεί κατά τη διάρκεια της θεραπείας με σιταλοπράμη ή αμέσως μετά τη διακοπή της θεραπείας (βλέπε παράγραφο 4.4).</w:t>
            </w:r>
          </w:p>
          <w:p w:rsidR="008B43D6" w:rsidRDefault="008B43D6">
            <w:pPr>
              <w:jc w:val="both"/>
              <w:rPr>
                <w:rFonts w:cs="Arial"/>
                <w:vertAlign w:val="superscript"/>
                <w:lang w:val="el-GR"/>
              </w:rPr>
            </w:pPr>
          </w:p>
          <w:p w:rsidR="008B43D6" w:rsidRDefault="008B43D6">
            <w:pPr>
              <w:jc w:val="both"/>
              <w:rPr>
                <w:lang w:val="el-GR"/>
              </w:rPr>
            </w:pPr>
            <w:r>
              <w:rPr>
                <w:lang w:val="el-GR"/>
              </w:rPr>
              <w:t>Παράταση του διαστήματος QT</w:t>
            </w:r>
          </w:p>
          <w:p w:rsidR="008B43D6" w:rsidRDefault="008B43D6">
            <w:pPr>
              <w:jc w:val="both"/>
              <w:rPr>
                <w:lang w:val="el-GR"/>
              </w:rPr>
            </w:pPr>
            <w:r>
              <w:rPr>
                <w:lang w:val="el-GR"/>
              </w:rPr>
              <w:t xml:space="preserve"> Έχουν αναφερθεί περιπτώσεις παράτασης του διαστήματος QT και κοιλιακής αρρυθμίας, συμπεριλαμβανομένης της πολύμορφης κοιλιακής ταχυκαρδίας κατά τη διάρκεια της περιόδου μετά την κυκλοφορία του φαρμάκου, κυρίως σε ασθενείς του γυναικείου φύλου, με υποκαλιαιμία, ή με προϋπάρχουσα παράταση του διαστήματος QT ή άλλα καρδιακά νοσήματα (βλ. παραγράφους 4.3, 4.4, 4.5 , 4.9 και 5.1).</w:t>
            </w:r>
          </w:p>
          <w:p w:rsidR="008B43D6" w:rsidRDefault="008B43D6">
            <w:pPr>
              <w:jc w:val="both"/>
              <w:rPr>
                <w:lang w:val="el-GR"/>
              </w:rPr>
            </w:pPr>
          </w:p>
          <w:p w:rsidR="008B43D6" w:rsidRDefault="008B43D6">
            <w:pPr>
              <w:jc w:val="both"/>
              <w:rPr>
                <w:rFonts w:cs="Arial"/>
                <w:b/>
                <w:bCs/>
                <w:color w:val="000000"/>
                <w:lang w:val="el-GR"/>
              </w:rPr>
            </w:pPr>
          </w:p>
          <w:p w:rsidR="008B43D6" w:rsidRDefault="008B43D6">
            <w:pPr>
              <w:jc w:val="both"/>
              <w:rPr>
                <w:rFonts w:cs="Arial"/>
                <w:b/>
                <w:bCs/>
                <w:color w:val="000000"/>
                <w:u w:val="single"/>
                <w:lang w:val="el-GR"/>
              </w:rPr>
            </w:pPr>
          </w:p>
          <w:p w:rsidR="008B43D6" w:rsidRDefault="008B43D6">
            <w:pPr>
              <w:jc w:val="both"/>
              <w:rPr>
                <w:rFonts w:cs="Arial"/>
                <w:bCs/>
                <w:color w:val="000000"/>
                <w:lang w:val="el-GR"/>
              </w:rPr>
            </w:pPr>
            <w:r>
              <w:rPr>
                <w:rFonts w:cs="Arial"/>
                <w:bCs/>
                <w:color w:val="000000"/>
                <w:u w:val="single"/>
                <w:lang w:val="el-GR"/>
              </w:rPr>
              <w:t>Κατάγματα των οστών</w:t>
            </w:r>
          </w:p>
          <w:p w:rsidR="008B43D6" w:rsidRDefault="008B43D6">
            <w:pPr>
              <w:jc w:val="both"/>
              <w:rPr>
                <w:lang w:val="el-GR"/>
              </w:rPr>
            </w:pPr>
            <w:r>
              <w:rPr>
                <w:lang w:val="el-GR"/>
              </w:rPr>
              <w:t xml:space="preserve">Οι επιδημιολογικές μελέτες, οι οποίες διεξήχθησαν κυρίως σε ασθενείς ηλικίας 50 ετών και άνω, δείχνουν αυξημένο κίνδυνο εμφάνισης οστικών καταγμάτων σε ασθενείς που λαμβάνουν </w:t>
            </w:r>
            <w:r>
              <w:t>SSRIs</w:t>
            </w:r>
            <w:r>
              <w:rPr>
                <w:lang w:val="el-GR"/>
              </w:rPr>
              <w:t xml:space="preserve"> και τρικυκλικά αντικαταθλιπτικά (</w:t>
            </w:r>
            <w:r>
              <w:t>TCAs</w:t>
            </w:r>
            <w:r>
              <w:rPr>
                <w:lang w:val="el-GR"/>
              </w:rPr>
              <w:t>). Ο υποκείμενος μηχανισμός για αυτό τον κίνδυνο είναι άγνωστος.</w:t>
            </w:r>
          </w:p>
          <w:p w:rsidR="008B43D6" w:rsidRDefault="008B43D6">
            <w:pPr>
              <w:jc w:val="both"/>
              <w:rPr>
                <w:lang w:val="el-GR"/>
              </w:rPr>
            </w:pPr>
          </w:p>
          <w:p w:rsidR="008B43D6" w:rsidRDefault="008B43D6">
            <w:pPr>
              <w:jc w:val="both"/>
              <w:rPr>
                <w:rFonts w:cs="Arial"/>
                <w:bCs/>
                <w:color w:val="000000"/>
                <w:u w:val="single"/>
                <w:lang w:val="el-GR"/>
              </w:rPr>
            </w:pPr>
            <w:r>
              <w:rPr>
                <w:rFonts w:cs="Arial"/>
                <w:bCs/>
                <w:color w:val="000000"/>
                <w:u w:val="single"/>
                <w:lang w:val="el-GR"/>
              </w:rPr>
              <w:t xml:space="preserve">Συμπτώματα στέρησης τα οποία παρατηρούνται κατά τη διακοπή της θεραπείας με </w:t>
            </w:r>
            <w:r>
              <w:rPr>
                <w:rFonts w:cs="Arial"/>
                <w:bCs/>
                <w:color w:val="000000"/>
                <w:u w:val="single"/>
              </w:rPr>
              <w:t>SSRI</w:t>
            </w:r>
            <w:r>
              <w:rPr>
                <w:rFonts w:cs="Arial"/>
                <w:bCs/>
                <w:color w:val="000000"/>
                <w:u w:val="single"/>
                <w:lang w:val="el-GR"/>
              </w:rPr>
              <w:t xml:space="preserve"> </w:t>
            </w:r>
          </w:p>
          <w:p w:rsidR="008B43D6" w:rsidRDefault="008B43D6">
            <w:pPr>
              <w:autoSpaceDE w:val="0"/>
              <w:autoSpaceDN w:val="0"/>
              <w:adjustRightInd w:val="0"/>
              <w:jc w:val="both"/>
              <w:rPr>
                <w:rFonts w:cs="Arial"/>
                <w:color w:val="000000"/>
                <w:lang w:val="el-GR"/>
              </w:rPr>
            </w:pPr>
            <w:r>
              <w:rPr>
                <w:rFonts w:cs="Arial"/>
                <w:color w:val="000000"/>
                <w:lang w:val="el-GR"/>
              </w:rPr>
              <w:t xml:space="preserve">Η διακοπή της Σιταλοπράμης (ιδιαίτερα όταν είναι απότομη) συχνά προκαλεί συμπτώματα στέρησης. Ζάλη, αισθητηριακές  διαταραχές (συμπεριλαμβανομένης της παραισθησίας), διαταραχές ύπνου (συμπεριλαμβανομένης της αϋπνίας και διαταραγμένων ονείρων), διέγερση ή άγχος, ναυτία και/ή εμετός, τρόμος σύγχυση, εφίδρωση, κεφαλαλγία, διάρροια, αίσθημα παλμών, συναισθηματική αστάθεια, ευερεθιστότητα και διαταραχές όρασης είναι οι πιο συχνές αναφερόμενες αντιδράσεις. Γενικά αυτά τα συμβάντα είναι ήπια προς μέτρια και είναι αυτοπεριοριζόμενα παρόλο που σε κάποιους ασθενείς μπορεί να είναι και σοβαρά και/ή παρατεταμένα. Γι αυτό το λόγο συνιστάται όταν πλέον δεν απαιτείται η θεραπεία με  σιταλοπράμη σταδιακή διακοπή της δόσης (βλ. παράγραφο 4.2 και παράγραφο 4.4). </w:t>
            </w:r>
          </w:p>
          <w:p w:rsidR="008B43D6" w:rsidRDefault="008B43D6">
            <w:pPr>
              <w:ind w:left="744"/>
              <w:jc w:val="both"/>
              <w:rPr>
                <w:lang w:val="el-GR"/>
              </w:rPr>
            </w:pPr>
          </w:p>
        </w:tc>
      </w:tr>
      <w:tr w:rsidR="008B43D6">
        <w:tblPrEx>
          <w:tblCellMar>
            <w:top w:w="0" w:type="dxa"/>
            <w:bottom w:w="0" w:type="dxa"/>
          </w:tblCellMar>
        </w:tblPrEx>
        <w:tc>
          <w:tcPr>
            <w:tcW w:w="10506" w:type="dxa"/>
          </w:tcPr>
          <w:p w:rsidR="008B43D6" w:rsidRDefault="008B43D6">
            <w:pPr>
              <w:keepNext/>
              <w:keepLines/>
              <w:jc w:val="both"/>
              <w:rPr>
                <w:lang w:val="el-GR"/>
              </w:rPr>
            </w:pPr>
            <w:r>
              <w:rPr>
                <w:b/>
                <w:lang w:val="el-GR"/>
              </w:rPr>
              <w:lastRenderedPageBreak/>
              <w:t>4.9</w:t>
            </w:r>
            <w:r>
              <w:rPr>
                <w:b/>
                <w:lang w:val="el-GR"/>
              </w:rPr>
              <w:tab/>
              <w:t>Υπερδοσολογία</w:t>
            </w:r>
          </w:p>
          <w:p w:rsidR="008B43D6" w:rsidRDefault="008B43D6">
            <w:pPr>
              <w:ind w:left="720"/>
              <w:jc w:val="both"/>
              <w:rPr>
                <w:b/>
                <w:lang w:val="el-GR"/>
              </w:rPr>
            </w:pPr>
          </w:p>
          <w:p w:rsidR="008B43D6" w:rsidRDefault="008B43D6">
            <w:pPr>
              <w:suppressAutoHyphens/>
              <w:autoSpaceDE w:val="0"/>
              <w:autoSpaceDN w:val="0"/>
              <w:adjustRightInd w:val="0"/>
              <w:spacing w:before="40"/>
              <w:ind w:right="425"/>
              <w:jc w:val="both"/>
              <w:rPr>
                <w:rFonts w:cs="Arial"/>
                <w:spacing w:val="-3"/>
                <w:u w:val="single"/>
                <w:lang w:val="el-GR"/>
              </w:rPr>
            </w:pPr>
            <w:r>
              <w:rPr>
                <w:rFonts w:cs="Arial"/>
                <w:spacing w:val="-3"/>
                <w:u w:val="single"/>
                <w:lang w:val="el-GR"/>
              </w:rPr>
              <w:t>Τοξικότητα</w:t>
            </w:r>
          </w:p>
          <w:p w:rsidR="008B43D6" w:rsidRDefault="008B43D6">
            <w:pPr>
              <w:suppressAutoHyphens/>
              <w:autoSpaceDE w:val="0"/>
              <w:autoSpaceDN w:val="0"/>
              <w:adjustRightInd w:val="0"/>
              <w:spacing w:before="40"/>
              <w:ind w:right="425"/>
              <w:jc w:val="both"/>
              <w:rPr>
                <w:rFonts w:cs="Arial"/>
                <w:spacing w:val="-3"/>
                <w:lang w:val="el-GR"/>
              </w:rPr>
            </w:pPr>
            <w:r>
              <w:rPr>
                <w:rFonts w:cs="Arial"/>
                <w:spacing w:val="-3"/>
                <w:lang w:val="el-GR"/>
              </w:rPr>
              <w:t xml:space="preserve">Τα κλινικά δεδομένα για την υπερδοσολογία της σιταλοπράμης είναι περιορισμένα και αρκετές περιπτώσεις περιλαμβάνουν συγχορήγηση με άλλα φάρμακα / αλκοόλ. Θανατηφόρα περιστατικά από υπερδοσολογία μόνο με σιταλοπράμη έχουν αναφερθεί παρ όλα αυτά η πλειονότητα των θανατηφόρων περιστατικών περιλαμβάνει υπερδοσολογία και άλλων συγχορηγούμενων φαρμάκων. </w:t>
            </w:r>
          </w:p>
          <w:p w:rsidR="008B43D6" w:rsidRDefault="008B43D6">
            <w:pPr>
              <w:jc w:val="both"/>
              <w:rPr>
                <w:b/>
                <w:lang w:val="el-GR"/>
              </w:rPr>
            </w:pPr>
          </w:p>
          <w:p w:rsidR="008B43D6" w:rsidRDefault="008B43D6">
            <w:pPr>
              <w:jc w:val="both"/>
              <w:rPr>
                <w:u w:val="single"/>
                <w:lang w:val="el-GR"/>
              </w:rPr>
            </w:pPr>
            <w:r>
              <w:rPr>
                <w:u w:val="single"/>
                <w:lang w:val="el-GR"/>
              </w:rPr>
              <w:t>Συμπτώματα</w:t>
            </w:r>
          </w:p>
          <w:p w:rsidR="008B43D6" w:rsidRDefault="008B43D6">
            <w:pPr>
              <w:pStyle w:val="2"/>
              <w:jc w:val="both"/>
              <w:rPr>
                <w:rFonts w:cs="Arial"/>
                <w:b w:val="0"/>
                <w:spacing w:val="-3"/>
                <w:sz w:val="24"/>
                <w:szCs w:val="24"/>
                <w:lang w:val="el-GR" w:eastAsia="en-US"/>
              </w:rPr>
            </w:pPr>
            <w:r>
              <w:rPr>
                <w:rFonts w:cs="Arial"/>
                <w:b w:val="0"/>
                <w:spacing w:val="-3"/>
                <w:sz w:val="24"/>
                <w:szCs w:val="24"/>
                <w:lang w:val="el-GR" w:eastAsia="en-US"/>
              </w:rPr>
              <w:t>Τα ακόλουθα συμπτώματα έχουν παρατηρηθεί σε υπερδοσολογία της σιταλοπράμης: σπασμοί, ταχυκαρδία, υπνηλία, παράταση του διαστήματος QT, κώμα, έμετος, τρόμος, υπόταση, καρδιακή ανακοπή, ναυτία, σύνδρομο σεροτονίνης, διέγερση, βραδυκαρδία, ζάλη, σκελικός αποκλεισμός, παράταση του QRS, υπέρταση και  μυδρίαση, πολύμορφη κοιλιακή ταχυκαρδία, λήθαργος, εφίδρωση, κυάνωση, υπεραερισμός και κολπική και κοιλιακή αρρυθμία.</w:t>
            </w:r>
          </w:p>
          <w:p w:rsidR="008B43D6" w:rsidRDefault="008B43D6">
            <w:pPr>
              <w:pStyle w:val="2"/>
              <w:jc w:val="both"/>
              <w:rPr>
                <w:b w:val="0"/>
                <w:sz w:val="24"/>
                <w:u w:val="single"/>
                <w:lang w:val="el-GR"/>
              </w:rPr>
            </w:pPr>
          </w:p>
          <w:p w:rsidR="008B43D6" w:rsidRDefault="008B43D6">
            <w:pPr>
              <w:pStyle w:val="2"/>
              <w:jc w:val="both"/>
              <w:rPr>
                <w:b w:val="0"/>
                <w:sz w:val="24"/>
                <w:u w:val="single"/>
                <w:lang w:val="el-GR"/>
              </w:rPr>
            </w:pPr>
            <w:r>
              <w:rPr>
                <w:b w:val="0"/>
                <w:sz w:val="24"/>
                <w:u w:val="single"/>
                <w:lang w:val="el-GR"/>
              </w:rPr>
              <w:t>Θεραπεία</w:t>
            </w:r>
          </w:p>
          <w:p w:rsidR="008B43D6" w:rsidRDefault="008B43D6">
            <w:pPr>
              <w:suppressAutoHyphens/>
              <w:autoSpaceDE w:val="0"/>
              <w:autoSpaceDN w:val="0"/>
              <w:adjustRightInd w:val="0"/>
              <w:spacing w:before="40"/>
              <w:ind w:right="425"/>
              <w:jc w:val="both"/>
              <w:rPr>
                <w:rFonts w:cs="Arial"/>
                <w:spacing w:val="-3"/>
                <w:lang w:val="el-GR"/>
              </w:rPr>
            </w:pPr>
            <w:r>
              <w:rPr>
                <w:rFonts w:cs="Arial"/>
                <w:spacing w:val="-3"/>
                <w:lang w:val="el-GR"/>
              </w:rPr>
              <w:t xml:space="preserve">Δεν υπάρχει ειδικό αντίδοτο για τη σιταλοπράμη. Η θεραπεία θα πρέπει να είναι συμπτωματική και υποστηρικτική. Ο ενεργοποιημένος άνθρακας, οσμωτικά καθαρτικό εργασίας (όπως θειικό νάτριο) και η κένωση του στομάχου θα πρέπει να εξετάζεται. Αν η συνείδηση </w:t>
            </w:r>
            <w:r>
              <w:rPr>
                <w:rFonts w:ascii="MS Mincho" w:eastAsia="MS Mincho" w:hAnsi="MS Mincho" w:cs="MS Mincho" w:hint="eastAsia"/>
                <w:spacing w:val="-3"/>
                <w:lang w:val="el-GR"/>
              </w:rPr>
              <w:t>​​</w:t>
            </w:r>
            <w:r>
              <w:rPr>
                <w:spacing w:val="-3"/>
                <w:lang w:val="el-GR"/>
              </w:rPr>
              <w:t>είναι μειωμένη ο ασθενής πρέπει να διασωληνωθεί. Το ΗΚΓ και τα ζωτικά σημεία θα πρέπει να παρακολουθούνται.</w:t>
            </w:r>
          </w:p>
          <w:p w:rsidR="008B43D6" w:rsidRDefault="008B43D6">
            <w:pPr>
              <w:suppressAutoHyphens/>
              <w:autoSpaceDE w:val="0"/>
              <w:autoSpaceDN w:val="0"/>
              <w:adjustRightInd w:val="0"/>
              <w:spacing w:before="40"/>
              <w:ind w:right="425"/>
              <w:jc w:val="both"/>
              <w:rPr>
                <w:rFonts w:cs="Arial"/>
                <w:spacing w:val="-3"/>
                <w:lang w:val="el-GR"/>
              </w:rPr>
            </w:pPr>
          </w:p>
          <w:p w:rsidR="008B43D6" w:rsidRDefault="008B43D6">
            <w:pPr>
              <w:suppressAutoHyphens/>
              <w:autoSpaceDE w:val="0"/>
              <w:autoSpaceDN w:val="0"/>
              <w:adjustRightInd w:val="0"/>
              <w:spacing w:before="40"/>
              <w:ind w:right="425"/>
              <w:jc w:val="both"/>
              <w:rPr>
                <w:rFonts w:cs="Arial"/>
                <w:spacing w:val="-3"/>
                <w:lang w:val="el-GR"/>
              </w:rPr>
            </w:pPr>
            <w:r>
              <w:rPr>
                <w:rFonts w:cs="Arial"/>
                <w:spacing w:val="-3"/>
                <w:lang w:val="el-GR"/>
              </w:rPr>
              <w:t>Στην περίπτωση υπερδοσολογίας, συνίσταται η παρακολούθηση της καρδιακής λειτουργίας με ΗΚΓ σε ασθενείς με συμφορητική καρδιακή ανεπάρκεια / βραδυαρρυθμίες, σε ασθενείς που λαμβάνουν ταυτόχρονα φάρμακα που παρατείνουν το διάστημα QT, ή σε ασθενείς με διαταραχές στο μεταβολισμό, π.χ. ηπατική δυσλειτουργία.</w:t>
            </w:r>
          </w:p>
          <w:p w:rsidR="008B43D6" w:rsidRDefault="008B43D6">
            <w:pPr>
              <w:suppressAutoHyphens/>
              <w:autoSpaceDE w:val="0"/>
              <w:autoSpaceDN w:val="0"/>
              <w:adjustRightInd w:val="0"/>
              <w:spacing w:before="40"/>
              <w:ind w:right="425"/>
              <w:jc w:val="both"/>
              <w:rPr>
                <w:rFonts w:cs="Arial"/>
                <w:spacing w:val="-3"/>
                <w:lang w:val="el-GR"/>
              </w:rPr>
            </w:pP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ind w:left="744" w:hanging="744"/>
              <w:jc w:val="both"/>
              <w:rPr>
                <w:b/>
                <w:lang w:val="el-GR"/>
              </w:rPr>
            </w:pPr>
            <w:r>
              <w:rPr>
                <w:b/>
                <w:lang w:val="el-GR"/>
              </w:rPr>
              <w:t>5.</w:t>
            </w:r>
            <w:r>
              <w:rPr>
                <w:b/>
                <w:lang w:val="el-GR"/>
              </w:rPr>
              <w:tab/>
              <w:t>ΦΑΡΜΑΚΟΛΟΓΙΚΕΣ  ΙΔΙΟΤΗΤΕΣ</w:t>
            </w:r>
          </w:p>
          <w:p w:rsidR="008B43D6" w:rsidRDefault="008B43D6">
            <w:pPr>
              <w:ind w:left="744" w:hanging="744"/>
              <w:jc w:val="both"/>
              <w:rPr>
                <w:b/>
                <w:lang w:val="el-GR"/>
              </w:rPr>
            </w:pPr>
          </w:p>
          <w:p w:rsidR="008B43D6" w:rsidRDefault="008B43D6">
            <w:pPr>
              <w:ind w:left="744" w:hanging="744"/>
              <w:jc w:val="both"/>
              <w:rPr>
                <w:b/>
                <w:lang w:val="el-GR"/>
              </w:rPr>
            </w:pPr>
            <w:r>
              <w:rPr>
                <w:b/>
                <w:lang w:val="el-GR"/>
              </w:rPr>
              <w:t>5.1</w:t>
            </w:r>
            <w:r>
              <w:rPr>
                <w:b/>
                <w:lang w:val="el-GR"/>
              </w:rPr>
              <w:tab/>
              <w:t>Φαρμακοδυναμικές  ιδιότητες</w:t>
            </w:r>
          </w:p>
          <w:p w:rsidR="008B43D6" w:rsidRDefault="008B43D6">
            <w:pPr>
              <w:ind w:left="744" w:hanging="744"/>
              <w:jc w:val="both"/>
              <w:rPr>
                <w:lang w:val="el-GR"/>
              </w:rPr>
            </w:pPr>
            <w:r>
              <w:rPr>
                <w:rFonts w:cs="Arial"/>
                <w:i/>
                <w:iCs/>
                <w:spacing w:val="-3"/>
                <w:lang w:val="el-GR"/>
              </w:rPr>
              <w:t>Φαρμακοθεραπευτική κατηγορία</w:t>
            </w:r>
            <w:r>
              <w:rPr>
                <w:rFonts w:cs="Arial"/>
                <w:spacing w:val="-3"/>
                <w:lang w:val="el-GR"/>
              </w:rPr>
              <w:t>: αντικαταθλιπτικά, εκλεκτικοί αναστολείς επαναπρόσληψης της σεροτονίνης</w:t>
            </w:r>
          </w:p>
          <w:p w:rsidR="008B43D6" w:rsidRDefault="008B43D6">
            <w:pPr>
              <w:jc w:val="both"/>
              <w:rPr>
                <w:lang w:val="el-GR"/>
              </w:rPr>
            </w:pPr>
            <w:r>
              <w:rPr>
                <w:lang w:val="el-GR"/>
              </w:rPr>
              <w:t xml:space="preserve">Κωδικός </w:t>
            </w:r>
            <w:r>
              <w:rPr>
                <w:lang w:val="en-US"/>
              </w:rPr>
              <w:t>ATC</w:t>
            </w:r>
            <w:r>
              <w:rPr>
                <w:lang w:val="el-GR"/>
              </w:rPr>
              <w:t>: Ν06ΑΒ04</w:t>
            </w:r>
          </w:p>
          <w:p w:rsidR="008B43D6" w:rsidRDefault="008B43D6">
            <w:pPr>
              <w:ind w:left="744" w:hanging="744"/>
              <w:jc w:val="both"/>
              <w:rPr>
                <w:lang w:val="el-GR"/>
              </w:rPr>
            </w:pPr>
          </w:p>
          <w:p w:rsidR="008B43D6" w:rsidRDefault="008B43D6">
            <w:pPr>
              <w:jc w:val="both"/>
              <w:rPr>
                <w:rFonts w:cs="Arial"/>
                <w:iCs/>
                <w:spacing w:val="-3"/>
                <w:u w:val="single"/>
                <w:lang w:val="el-GR"/>
              </w:rPr>
            </w:pPr>
            <w:r>
              <w:rPr>
                <w:rFonts w:cs="Arial"/>
                <w:iCs/>
                <w:spacing w:val="-3"/>
                <w:u w:val="single"/>
                <w:lang w:val="el-GR"/>
              </w:rPr>
              <w:t>Μηχανισμός δράσης</w:t>
            </w:r>
          </w:p>
          <w:p w:rsidR="008B43D6" w:rsidRDefault="008B43D6">
            <w:pPr>
              <w:jc w:val="both"/>
              <w:rPr>
                <w:rFonts w:cs="Arial"/>
                <w:spacing w:val="-3"/>
                <w:lang w:val="el-GR"/>
              </w:rPr>
            </w:pPr>
            <w:r>
              <w:rPr>
                <w:rFonts w:cs="Arial"/>
                <w:spacing w:val="-3"/>
                <w:lang w:val="el-GR"/>
              </w:rPr>
              <w:t>Οι βιοχημικές μελέτες και οι μελέτες συμπεριφοράς έχουν δείξει ότι η σιταλοπράμη είναι ένας ισχυρός αναστολέας της πρόσληψης της σεροτονίνης (5</w:t>
            </w:r>
            <w:r>
              <w:rPr>
                <w:rFonts w:cs="Arial"/>
                <w:spacing w:val="-3"/>
                <w:lang w:val="el-GR"/>
              </w:rPr>
              <w:noBreakHyphen/>
            </w:r>
            <w:r>
              <w:rPr>
                <w:rFonts w:cs="Arial"/>
                <w:spacing w:val="-3"/>
              </w:rPr>
              <w:t>HT</w:t>
            </w:r>
            <w:r>
              <w:rPr>
                <w:rFonts w:cs="Arial"/>
                <w:spacing w:val="-3"/>
                <w:lang w:val="el-GR"/>
              </w:rPr>
              <w:t xml:space="preserve">). Ανοχή  στην ανασταλτική δράση της πρόσληψης </w:t>
            </w:r>
            <w:r>
              <w:rPr>
                <w:rFonts w:cs="Arial"/>
                <w:spacing w:val="-3"/>
                <w:lang w:val="el-GR"/>
              </w:rPr>
              <w:noBreakHyphen/>
            </w:r>
            <w:r>
              <w:rPr>
                <w:rFonts w:cs="Arial"/>
                <w:spacing w:val="-3"/>
              </w:rPr>
              <w:t>HT</w:t>
            </w:r>
            <w:r>
              <w:rPr>
                <w:rFonts w:cs="Arial"/>
                <w:spacing w:val="-3"/>
                <w:lang w:val="el-GR"/>
              </w:rPr>
              <w:t>- δεν προκαλείται από τη μακρόχρονη θεραπεία με τη σιταλοπράμη.</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Η σιταλοπράμη είναι  εκλεκτικός αναστολέας επαναπρόσληψης της σεροτονίνης (</w:t>
            </w:r>
            <w:r>
              <w:rPr>
                <w:rFonts w:cs="Arial"/>
                <w:spacing w:val="-3"/>
              </w:rPr>
              <w:t>SSRI</w:t>
            </w:r>
            <w:r>
              <w:rPr>
                <w:rFonts w:cs="Arial"/>
                <w:spacing w:val="-3"/>
                <w:lang w:val="el-GR"/>
              </w:rPr>
              <w:t>) χωρίς ή με μικρή δράση στη πρόσληψη της νοραδρεναλίνης (</w:t>
            </w:r>
            <w:r>
              <w:rPr>
                <w:rFonts w:cs="Arial"/>
                <w:spacing w:val="-3"/>
              </w:rPr>
              <w:t>NA</w:t>
            </w:r>
            <w:r>
              <w:rPr>
                <w:rFonts w:cs="Arial"/>
                <w:spacing w:val="-3"/>
                <w:lang w:val="el-GR"/>
              </w:rPr>
              <w:t>), της ντοπαμίνης (</w:t>
            </w:r>
            <w:r>
              <w:rPr>
                <w:rFonts w:cs="Arial"/>
                <w:spacing w:val="-3"/>
              </w:rPr>
              <w:t>DA</w:t>
            </w:r>
            <w:r>
              <w:rPr>
                <w:rFonts w:cs="Arial"/>
                <w:spacing w:val="-3"/>
                <w:lang w:val="el-GR"/>
              </w:rPr>
              <w:t>) και του γάμμα αμινοβουτυρικού οξέος (</w:t>
            </w:r>
            <w:r>
              <w:rPr>
                <w:rFonts w:cs="Arial"/>
                <w:spacing w:val="-3"/>
              </w:rPr>
              <w:t>GABA</w:t>
            </w:r>
            <w:r>
              <w:rPr>
                <w:rFonts w:cs="Arial"/>
                <w:spacing w:val="-3"/>
                <w:lang w:val="el-GR"/>
              </w:rPr>
              <w:t>).</w:t>
            </w:r>
          </w:p>
          <w:p w:rsidR="008B43D6" w:rsidRDefault="008B43D6">
            <w:pPr>
              <w:jc w:val="both"/>
              <w:rPr>
                <w:rFonts w:cs="Arial"/>
                <w:spacing w:val="-3"/>
                <w:lang w:val="el-GR"/>
              </w:rPr>
            </w:pPr>
            <w:r>
              <w:rPr>
                <w:rFonts w:cs="Arial"/>
                <w:spacing w:val="-3"/>
                <w:lang w:val="el-GR"/>
              </w:rPr>
              <w:t xml:space="preserve">Σε αντίθεση με πολλά τρικυκλικά αντικαταθλιπτικά και μερικά από τα νεότερα </w:t>
            </w:r>
            <w:r>
              <w:rPr>
                <w:rFonts w:cs="Arial"/>
                <w:spacing w:val="-3"/>
              </w:rPr>
              <w:t>SSRI</w:t>
            </w:r>
            <w:r>
              <w:rPr>
                <w:rFonts w:cs="Arial"/>
                <w:spacing w:val="-3"/>
                <w:lang w:val="el-GR"/>
              </w:rPr>
              <w:t>’</w:t>
            </w:r>
            <w:r>
              <w:rPr>
                <w:rFonts w:cs="Arial"/>
                <w:spacing w:val="-3"/>
              </w:rPr>
              <w:t>s</w:t>
            </w:r>
            <w:r>
              <w:rPr>
                <w:rFonts w:cs="Arial"/>
                <w:spacing w:val="-3"/>
                <w:lang w:val="el-GR"/>
              </w:rPr>
              <w:t>, η σιταλοπράμη δεν έχει ή έχει πολύ χαμηλή χημική συγγένεια με μία σειρά υποδοχέων περιλαμβανομένων των υποδοχέων 5</w:t>
            </w:r>
            <w:r>
              <w:rPr>
                <w:rFonts w:cs="Arial"/>
                <w:spacing w:val="-3"/>
                <w:lang w:val="el-GR"/>
              </w:rPr>
              <w:noBreakHyphen/>
            </w:r>
            <w:r>
              <w:rPr>
                <w:rFonts w:cs="Arial"/>
                <w:spacing w:val="-3"/>
              </w:rPr>
              <w:t>HT</w:t>
            </w:r>
            <w:r>
              <w:rPr>
                <w:rFonts w:cs="Arial"/>
                <w:spacing w:val="-3"/>
                <w:vertAlign w:val="subscript"/>
                <w:lang w:val="el-GR"/>
              </w:rPr>
              <w:t>1</w:t>
            </w:r>
            <w:r>
              <w:rPr>
                <w:rFonts w:cs="Arial"/>
                <w:spacing w:val="-3"/>
                <w:vertAlign w:val="subscript"/>
              </w:rPr>
              <w:t>A</w:t>
            </w:r>
            <w:r>
              <w:rPr>
                <w:rFonts w:cs="Arial"/>
                <w:spacing w:val="-3"/>
                <w:lang w:val="el-GR"/>
              </w:rPr>
              <w:t>, 5</w:t>
            </w:r>
            <w:r>
              <w:rPr>
                <w:rFonts w:cs="Arial"/>
                <w:spacing w:val="-3"/>
                <w:lang w:val="el-GR"/>
              </w:rPr>
              <w:noBreakHyphen/>
            </w:r>
            <w:r>
              <w:rPr>
                <w:rFonts w:cs="Arial"/>
                <w:spacing w:val="-3"/>
              </w:rPr>
              <w:t>HT</w:t>
            </w:r>
            <w:r>
              <w:rPr>
                <w:rFonts w:cs="Arial"/>
                <w:spacing w:val="-3"/>
                <w:vertAlign w:val="subscript"/>
                <w:lang w:val="el-GR"/>
              </w:rPr>
              <w:t>2</w:t>
            </w:r>
            <w:r>
              <w:rPr>
                <w:rFonts w:cs="Arial"/>
                <w:spacing w:val="-3"/>
                <w:lang w:val="el-GR"/>
              </w:rPr>
              <w:t xml:space="preserve">, </w:t>
            </w:r>
            <w:r>
              <w:rPr>
                <w:rFonts w:cs="Arial"/>
                <w:spacing w:val="-3"/>
              </w:rPr>
              <w:t>DA</w:t>
            </w:r>
            <w:r>
              <w:rPr>
                <w:rFonts w:cs="Arial"/>
                <w:spacing w:val="-3"/>
                <w:lang w:val="el-GR"/>
              </w:rPr>
              <w:t xml:space="preserve"> </w:t>
            </w:r>
            <w:r>
              <w:rPr>
                <w:rFonts w:cs="Arial"/>
                <w:spacing w:val="-3"/>
              </w:rPr>
              <w:t>D</w:t>
            </w:r>
            <w:r>
              <w:rPr>
                <w:rFonts w:cs="Arial"/>
                <w:spacing w:val="-3"/>
                <w:vertAlign w:val="subscript"/>
                <w:lang w:val="el-GR"/>
              </w:rPr>
              <w:t>1</w:t>
            </w:r>
            <w:r>
              <w:rPr>
                <w:rFonts w:cs="Arial"/>
                <w:spacing w:val="-3"/>
                <w:lang w:val="el-GR"/>
              </w:rPr>
              <w:t xml:space="preserve"> και </w:t>
            </w:r>
            <w:r>
              <w:rPr>
                <w:rFonts w:cs="Arial"/>
                <w:spacing w:val="-3"/>
              </w:rPr>
              <w:t>D</w:t>
            </w:r>
            <w:r>
              <w:rPr>
                <w:rFonts w:cs="Arial"/>
                <w:spacing w:val="-3"/>
                <w:vertAlign w:val="subscript"/>
                <w:lang w:val="el-GR"/>
              </w:rPr>
              <w:t>2</w:t>
            </w:r>
            <w:r>
              <w:rPr>
                <w:rFonts w:cs="Arial"/>
                <w:spacing w:val="-3"/>
                <w:lang w:val="el-GR"/>
              </w:rPr>
              <w:t>, α</w:t>
            </w:r>
            <w:r>
              <w:rPr>
                <w:rFonts w:cs="Arial"/>
                <w:spacing w:val="-3"/>
                <w:vertAlign w:val="subscript"/>
                <w:lang w:val="el-GR"/>
              </w:rPr>
              <w:t>1</w:t>
            </w:r>
            <w:r>
              <w:rPr>
                <w:rFonts w:cs="Arial"/>
                <w:spacing w:val="-3"/>
                <w:lang w:val="el-GR"/>
              </w:rPr>
              <w:t>-, α</w:t>
            </w:r>
            <w:r>
              <w:rPr>
                <w:rFonts w:cs="Arial"/>
                <w:spacing w:val="-3"/>
                <w:vertAlign w:val="subscript"/>
                <w:lang w:val="el-GR"/>
              </w:rPr>
              <w:t>2</w:t>
            </w:r>
            <w:r>
              <w:rPr>
                <w:rFonts w:cs="Arial"/>
                <w:spacing w:val="-3"/>
                <w:lang w:val="el-GR"/>
              </w:rPr>
              <w:t xml:space="preserve">-, </w:t>
            </w:r>
            <w:r>
              <w:rPr>
                <w:rFonts w:cs="Arial"/>
                <w:spacing w:val="-3"/>
              </w:rPr>
              <w:sym w:font="r_symbol" w:char="F0E2"/>
            </w:r>
            <w:r>
              <w:rPr>
                <w:rFonts w:cs="Arial"/>
                <w:spacing w:val="-3"/>
                <w:lang w:val="el-GR"/>
              </w:rPr>
              <w:t xml:space="preserve">-αδρενουποδοχέων, ισταμινεργικών  </w:t>
            </w:r>
            <w:r>
              <w:rPr>
                <w:rFonts w:cs="Arial"/>
                <w:spacing w:val="-3"/>
              </w:rPr>
              <w:t>H</w:t>
            </w:r>
            <w:r>
              <w:rPr>
                <w:rFonts w:cs="Arial"/>
                <w:spacing w:val="-3"/>
                <w:vertAlign w:val="subscript"/>
                <w:lang w:val="el-GR"/>
              </w:rPr>
              <w:t>1</w:t>
            </w:r>
            <w:r>
              <w:rPr>
                <w:rFonts w:cs="Arial"/>
                <w:spacing w:val="-3"/>
                <w:lang w:val="el-GR"/>
              </w:rPr>
              <w:t xml:space="preserve">, μουσκαρινικών χολινεργικών, υποδοχέων βενζοδιαζεπίνών, και υποδοχέων οπιοειδών .  Μία σειρά λειτουργικών δοκιμασιών </w:t>
            </w:r>
            <w:r>
              <w:rPr>
                <w:rFonts w:cs="Arial"/>
                <w:i/>
                <w:spacing w:val="-3"/>
              </w:rPr>
              <w:t>in</w:t>
            </w:r>
            <w:r>
              <w:rPr>
                <w:rFonts w:cs="Arial"/>
                <w:i/>
                <w:spacing w:val="-3"/>
                <w:lang w:val="el-GR"/>
              </w:rPr>
              <w:t xml:space="preserve"> </w:t>
            </w:r>
            <w:r>
              <w:rPr>
                <w:rFonts w:cs="Arial"/>
                <w:i/>
                <w:spacing w:val="-3"/>
              </w:rPr>
              <w:t>vitro</w:t>
            </w:r>
            <w:r>
              <w:rPr>
                <w:rFonts w:cs="Arial"/>
                <w:spacing w:val="-3"/>
                <w:lang w:val="el-GR"/>
              </w:rPr>
              <w:t xml:space="preserve"> σε μεμονωμένα όργανα καθώς και σε λειτουργικές δοκιμασίες </w:t>
            </w:r>
            <w:r>
              <w:rPr>
                <w:rFonts w:cs="Arial"/>
                <w:i/>
                <w:spacing w:val="-3"/>
              </w:rPr>
              <w:t>in</w:t>
            </w:r>
            <w:r>
              <w:rPr>
                <w:rFonts w:cs="Arial"/>
                <w:i/>
                <w:spacing w:val="-3"/>
                <w:lang w:val="el-GR"/>
              </w:rPr>
              <w:t xml:space="preserve"> </w:t>
            </w:r>
            <w:r>
              <w:rPr>
                <w:rFonts w:cs="Arial"/>
                <w:i/>
                <w:spacing w:val="-3"/>
              </w:rPr>
              <w:t>vivo</w:t>
            </w:r>
            <w:r>
              <w:rPr>
                <w:rFonts w:cs="Arial"/>
                <w:spacing w:val="-3"/>
                <w:lang w:val="el-GR"/>
              </w:rPr>
              <w:t xml:space="preserve"> έχει επιβεβαιώσει την απουσία της χημικής συγγένειας με τους υποδοχείς. Αυτή η απουσία δράσεων στους υποδοχείς μπορεί να εξηγήσει γιατί η  σιταλοπράμη παράγει λιγότερες από τις κλασσικές ανεπιθύμητες ενέργειες όπως είναι η ξηροστομία, </w:t>
            </w:r>
            <w:r>
              <w:rPr>
                <w:rFonts w:cs="Arial"/>
                <w:spacing w:val="-3"/>
                <w:lang w:val="el-GR"/>
              </w:rPr>
              <w:lastRenderedPageBreak/>
              <w:t xml:space="preserve">οι διαταραχές στη λειτουργία της ουροδόχου κύστης και του εντέρου, το θάμβος  της όρασης, η υπνηλία η καρδιοτοξικότητα και η ορθοστατική υπόταση. </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 xml:space="preserve">Οι κύριοι μεταβολίτες της σιταλοπράμης είναι όλοι </w:t>
            </w:r>
            <w:r>
              <w:rPr>
                <w:rFonts w:cs="Arial"/>
                <w:spacing w:val="-3"/>
              </w:rPr>
              <w:t>SSRIs</w:t>
            </w:r>
            <w:r>
              <w:rPr>
                <w:rFonts w:cs="Arial"/>
                <w:spacing w:val="-3"/>
                <w:lang w:val="el-GR"/>
              </w:rPr>
              <w:t xml:space="preserve"> παρόλο που οι αναλογίες ισχύος και  εκλεκτικότητας είναι χαμηλότερες από αυτές της σιταλοπράμης.  Παρ΄ όλα αυτά οι αναλογίες της εκλεκτικότητας των μεταβολιτών είναι υψηλότερες από αυτές πολλών άλλων νεότερων </w:t>
            </w:r>
            <w:r>
              <w:rPr>
                <w:rFonts w:cs="Arial"/>
                <w:spacing w:val="-3"/>
              </w:rPr>
              <w:t>SSRIs</w:t>
            </w:r>
            <w:r>
              <w:rPr>
                <w:rFonts w:cs="Arial"/>
                <w:spacing w:val="-3"/>
                <w:lang w:val="el-GR"/>
              </w:rPr>
              <w:t xml:space="preserve">.  Οι μεταβολίτες δεν συνεισφέρουν στη συνολική αντικαταθλιπτική δράση. </w:t>
            </w:r>
          </w:p>
          <w:p w:rsidR="008B43D6" w:rsidRDefault="008B43D6">
            <w:pPr>
              <w:ind w:left="744"/>
              <w:jc w:val="both"/>
              <w:rPr>
                <w:lang w:val="el-GR"/>
              </w:rPr>
            </w:pPr>
          </w:p>
          <w:p w:rsidR="008B43D6" w:rsidRDefault="008B43D6">
            <w:pPr>
              <w:jc w:val="both"/>
              <w:rPr>
                <w:rFonts w:cs="Arial"/>
                <w:iCs/>
                <w:spacing w:val="-3"/>
                <w:u w:val="single"/>
                <w:lang w:val="el-GR"/>
              </w:rPr>
            </w:pPr>
            <w:r>
              <w:rPr>
                <w:rFonts w:cs="Arial"/>
                <w:iCs/>
                <w:spacing w:val="-3"/>
                <w:u w:val="single"/>
                <w:lang w:val="el-GR"/>
              </w:rPr>
              <w:t>Φαρμακοδυναμικές δράσεις</w:t>
            </w:r>
          </w:p>
          <w:p w:rsidR="008B43D6" w:rsidRDefault="008B43D6">
            <w:pPr>
              <w:jc w:val="both"/>
              <w:rPr>
                <w:rFonts w:cs="Arial"/>
                <w:spacing w:val="-3"/>
                <w:lang w:val="el-GR"/>
              </w:rPr>
            </w:pPr>
            <w:r>
              <w:rPr>
                <w:rFonts w:cs="Arial"/>
                <w:spacing w:val="-3"/>
                <w:lang w:val="el-GR"/>
              </w:rPr>
              <w:t xml:space="preserve">Η καταστολή του  </w:t>
            </w:r>
            <w:r>
              <w:rPr>
                <w:rFonts w:cs="Arial"/>
                <w:spacing w:val="-3"/>
              </w:rPr>
              <w:t>REM</w:t>
            </w:r>
            <w:r>
              <w:rPr>
                <w:rFonts w:cs="Arial"/>
                <w:spacing w:val="-3"/>
                <w:lang w:val="el-GR"/>
              </w:rPr>
              <w:t xml:space="preserve"> σταδίου του  ύπνου θεωρείται δείκτης της αντικαταθλιπτικής δράσης. Όπως τα τρικυκλικά αντικαταθλιπτικά, οι άλλοι αναστολείς </w:t>
            </w:r>
            <w:r>
              <w:rPr>
                <w:rFonts w:cs="Arial"/>
                <w:spacing w:val="-3"/>
              </w:rPr>
              <w:t>SSRI</w:t>
            </w:r>
            <w:r>
              <w:rPr>
                <w:rFonts w:cs="Arial"/>
                <w:spacing w:val="-3"/>
                <w:lang w:val="el-GR"/>
              </w:rPr>
              <w:t>’</w:t>
            </w:r>
            <w:r>
              <w:rPr>
                <w:rFonts w:cs="Arial"/>
                <w:spacing w:val="-3"/>
              </w:rPr>
              <w:t>s</w:t>
            </w:r>
            <w:r>
              <w:rPr>
                <w:rFonts w:cs="Arial"/>
                <w:spacing w:val="-3"/>
                <w:lang w:val="el-GR"/>
              </w:rPr>
              <w:t xml:space="preserve"> και </w:t>
            </w:r>
            <w:r>
              <w:rPr>
                <w:rFonts w:cs="Arial"/>
                <w:spacing w:val="-3"/>
              </w:rPr>
              <w:t>MAO</w:t>
            </w:r>
            <w:r>
              <w:rPr>
                <w:rFonts w:cs="Arial"/>
                <w:spacing w:val="-3"/>
                <w:lang w:val="el-GR"/>
              </w:rPr>
              <w:t xml:space="preserve"> η σιταλοπράμη καταστέλλει τον ύπνο </w:t>
            </w:r>
            <w:r>
              <w:rPr>
                <w:rFonts w:cs="Arial"/>
                <w:spacing w:val="-3"/>
              </w:rPr>
              <w:t>REM</w:t>
            </w:r>
            <w:r>
              <w:rPr>
                <w:rFonts w:cs="Arial"/>
                <w:spacing w:val="-3"/>
                <w:lang w:val="el-GR"/>
              </w:rPr>
              <w:t xml:space="preserve"> και αυξάνει τον ύπνο βραδέων κυμάτων. </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 xml:space="preserve">Παρότι η σιταλοπράμη δεν συνδέεται με τους υποδοχείς των οπιοειδών ενισχύει το αναλγητικό αποτέλεσμα των συνήθως χορηγούμενων αναλγητικών. </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 xml:space="preserve">Η  σιταλοπράμη στον άνθρωπο δεν διαταράσσει τη γνωσιακή (νοητική λειτουργία) και τη ψυχοκινητική απόδοση και δεν έχει καταπραϋντικές ιδιότητες ούτε μόνη της ούτε συγχορηγούμενη με αλκοόλ. </w:t>
            </w:r>
          </w:p>
          <w:p w:rsidR="008B43D6" w:rsidRDefault="008B43D6">
            <w:pPr>
              <w:jc w:val="both"/>
              <w:rPr>
                <w:rFonts w:cs="Arial"/>
                <w:spacing w:val="-3"/>
                <w:lang w:val="el-GR"/>
              </w:rPr>
            </w:pPr>
          </w:p>
          <w:p w:rsidR="008B43D6" w:rsidRDefault="008B43D6">
            <w:pPr>
              <w:jc w:val="both"/>
              <w:rPr>
                <w:rFonts w:cs="Arial"/>
                <w:lang w:val="el-GR"/>
              </w:rPr>
            </w:pPr>
            <w:r>
              <w:rPr>
                <w:rFonts w:cs="Arial"/>
                <w:spacing w:val="-3"/>
                <w:lang w:val="el-GR"/>
              </w:rPr>
              <w:t xml:space="preserve">Η Σιταλοπράμη δεν μείωσε τη ροή σιέλου σε μια μελέτη μονής δόσης σε εθελοντές και σε καμία μελέτη σε υγιείς εθελοντές δεν είχε  σημαντική επίδραση στις καρδιαγγειακές παραμέτρους. Η Σιταλοπράμη δεν έχει επίδραση στα επίπεδα ορού της αυξητικής ορμόνης. Η </w:t>
            </w:r>
            <w:r>
              <w:rPr>
                <w:rFonts w:cs="Arial"/>
                <w:lang w:val="el-GR"/>
              </w:rPr>
              <w:t xml:space="preserve">Σιταλοπράμη όπως και τα άλλα  </w:t>
            </w:r>
            <w:r>
              <w:rPr>
                <w:rFonts w:cs="Arial"/>
              </w:rPr>
              <w:t>SSRIs</w:t>
            </w:r>
            <w:r>
              <w:rPr>
                <w:rFonts w:cs="Arial"/>
                <w:lang w:val="el-GR"/>
              </w:rPr>
              <w:t xml:space="preserve"> μπορεί να αυξήσει τα επίπεδα πλάσματος της προλακτίνης, που οφείλεται στη δευτερεύουσα δράση της σεροτονίνης, στην έκκριση της προλακτίνης  η οποία όμως είναι μη κλινικά σημαντική. </w:t>
            </w:r>
          </w:p>
          <w:p w:rsidR="008B43D6" w:rsidRDefault="008B43D6">
            <w:pPr>
              <w:jc w:val="both"/>
              <w:rPr>
                <w:rFonts w:cs="Arial"/>
                <w:lang w:val="el-GR"/>
              </w:rPr>
            </w:pPr>
          </w:p>
          <w:p w:rsidR="008B43D6" w:rsidRDefault="008B43D6">
            <w:pPr>
              <w:jc w:val="both"/>
              <w:rPr>
                <w:rFonts w:cs="Arial"/>
                <w:lang w:val="el-GR"/>
              </w:rPr>
            </w:pPr>
            <w:r>
              <w:rPr>
                <w:rFonts w:cs="Arial"/>
                <w:lang w:val="el-GR"/>
              </w:rPr>
              <w:t>Σε μια διπλά τυφλή, ελεγχόμενη με εικονικό φάρμακο, ΗΚΓ μελέτη σε υγιή άτομα, η μεταβολή από την αρχική τιμή του QTc (διόρθωση Fridericia) ήταν 7,5 (90% CI 5,9-9,1) msec στη δόση των 20 mg / ημέρα και 16.7 (90% CI 15,0 έως 18,4) msec στη δόση των 60 mg / ημέρα (βλ. παραγράφους 4.3, 4.4, 4.5, 4.8 και 4.9).</w:t>
            </w:r>
          </w:p>
          <w:p w:rsidR="008B43D6" w:rsidRDefault="008B43D6">
            <w:pPr>
              <w:keepNext/>
              <w:keepLines/>
              <w:ind w:left="709" w:hanging="567"/>
              <w:jc w:val="both"/>
              <w:rPr>
                <w:b/>
                <w:lang w:val="el-GR"/>
              </w:rPr>
            </w:pPr>
          </w:p>
          <w:p w:rsidR="008B43D6" w:rsidRDefault="008B43D6">
            <w:pPr>
              <w:keepNext/>
              <w:keepLines/>
              <w:ind w:left="709" w:hanging="567"/>
              <w:jc w:val="both"/>
              <w:rPr>
                <w:b/>
                <w:lang w:val="el-GR"/>
              </w:rPr>
            </w:pPr>
          </w:p>
          <w:p w:rsidR="008B43D6" w:rsidRDefault="008B43D6">
            <w:pPr>
              <w:keepNext/>
              <w:keepLines/>
              <w:ind w:left="709" w:hanging="567"/>
              <w:jc w:val="both"/>
              <w:rPr>
                <w:b/>
                <w:lang w:val="el-GR"/>
              </w:rPr>
            </w:pPr>
          </w:p>
          <w:p w:rsidR="008B43D6" w:rsidRDefault="008B43D6">
            <w:pPr>
              <w:keepNext/>
              <w:keepLines/>
              <w:ind w:left="709" w:hanging="567"/>
              <w:jc w:val="both"/>
              <w:rPr>
                <w:b/>
                <w:lang w:val="el-GR"/>
              </w:rPr>
            </w:pPr>
          </w:p>
          <w:p w:rsidR="008B43D6" w:rsidRDefault="008B43D6">
            <w:pPr>
              <w:keepNext/>
              <w:keepLines/>
              <w:ind w:left="709" w:hanging="567"/>
              <w:jc w:val="both"/>
              <w:rPr>
                <w:b/>
                <w:lang w:val="el-GR"/>
              </w:rPr>
            </w:pPr>
          </w:p>
          <w:p w:rsidR="008B43D6" w:rsidRDefault="008B43D6">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6B29ED" w:rsidRDefault="006B29ED">
            <w:pPr>
              <w:keepNext/>
              <w:keepLines/>
              <w:ind w:left="709" w:hanging="567"/>
              <w:jc w:val="both"/>
              <w:rPr>
                <w:b/>
                <w:lang w:val="el-GR"/>
              </w:rPr>
            </w:pPr>
          </w:p>
          <w:p w:rsidR="008B43D6" w:rsidRDefault="008B43D6">
            <w:pPr>
              <w:keepNext/>
              <w:keepLines/>
              <w:ind w:left="709" w:hanging="567"/>
              <w:jc w:val="both"/>
              <w:rPr>
                <w:b/>
                <w:lang w:val="el-GR"/>
              </w:rPr>
            </w:pPr>
          </w:p>
          <w:p w:rsidR="008B43D6" w:rsidRDefault="008B43D6">
            <w:pPr>
              <w:keepNext/>
              <w:keepLines/>
              <w:ind w:left="709" w:hanging="567"/>
              <w:jc w:val="both"/>
              <w:rPr>
                <w:lang w:val="el-GR"/>
              </w:rPr>
            </w:pPr>
            <w:r>
              <w:rPr>
                <w:b/>
                <w:lang w:val="el-GR"/>
              </w:rPr>
              <w:lastRenderedPageBreak/>
              <w:t>5.2</w:t>
            </w:r>
            <w:r>
              <w:rPr>
                <w:b/>
                <w:lang w:val="el-GR"/>
              </w:rPr>
              <w:tab/>
              <w:t>Φαρμακοκινητικές  ιδιότητες</w:t>
            </w:r>
          </w:p>
          <w:p w:rsidR="008B43D6" w:rsidRDefault="008B43D6">
            <w:pPr>
              <w:ind w:left="720"/>
              <w:jc w:val="both"/>
              <w:rPr>
                <w:lang w:val="el-GR"/>
              </w:rPr>
            </w:pPr>
          </w:p>
          <w:p w:rsidR="008B43D6" w:rsidRDefault="008B43D6">
            <w:pPr>
              <w:jc w:val="both"/>
              <w:rPr>
                <w:lang w:val="el-GR"/>
              </w:rPr>
            </w:pPr>
            <w:r>
              <w:rPr>
                <w:iCs/>
                <w:u w:val="single"/>
                <w:lang w:val="el-GR"/>
              </w:rPr>
              <w:t>Απορρόφηση</w:t>
            </w:r>
          </w:p>
          <w:p w:rsidR="008B43D6" w:rsidRDefault="008B43D6">
            <w:pPr>
              <w:jc w:val="both"/>
              <w:rPr>
                <w:rFonts w:cs="Arial"/>
                <w:spacing w:val="-3"/>
                <w:lang w:val="el-GR"/>
              </w:rPr>
            </w:pPr>
            <w:r>
              <w:rPr>
                <w:rFonts w:cs="Arial"/>
                <w:spacing w:val="-3"/>
                <w:lang w:val="el-GR"/>
              </w:rPr>
              <w:t>Η απορρόφηση είναι σχεδόν πλήρης και εξαρτώμενη από τη πρόσληψη τροφής (</w:t>
            </w:r>
            <w:proofErr w:type="spellStart"/>
            <w:r>
              <w:rPr>
                <w:rFonts w:cs="Arial"/>
                <w:spacing w:val="-3"/>
              </w:rPr>
              <w:t>T</w:t>
            </w:r>
            <w:r>
              <w:rPr>
                <w:rFonts w:cs="Arial"/>
                <w:spacing w:val="-3"/>
                <w:vertAlign w:val="subscript"/>
              </w:rPr>
              <w:t>max</w:t>
            </w:r>
            <w:proofErr w:type="spellEnd"/>
            <w:r>
              <w:rPr>
                <w:rFonts w:cs="Arial"/>
                <w:spacing w:val="-3"/>
                <w:lang w:val="el-GR"/>
              </w:rPr>
              <w:t xml:space="preserve"> μέση 3 ώρες). Η από του στόματος βιοδιαθεσιμότητα είναι περίπου 80%.</w:t>
            </w:r>
          </w:p>
          <w:p w:rsidR="008B43D6" w:rsidRDefault="008B43D6">
            <w:pPr>
              <w:jc w:val="both"/>
              <w:rPr>
                <w:rFonts w:cs="Arial"/>
                <w:spacing w:val="-3"/>
                <w:lang w:val="el-GR"/>
              </w:rPr>
            </w:pPr>
          </w:p>
          <w:p w:rsidR="008B43D6" w:rsidRDefault="008B43D6">
            <w:pPr>
              <w:jc w:val="both"/>
              <w:rPr>
                <w:rFonts w:cs="Arial"/>
                <w:lang w:val="el-GR"/>
              </w:rPr>
            </w:pPr>
            <w:r>
              <w:rPr>
                <w:lang w:val="el-GR"/>
              </w:rPr>
              <w:t>Η σιταλοπράμη σε πόσιμες σταγόνες, έχει περίπου 25% υψηλότερη βιοδιαθεσιμότητα σε σχέση με τα δισκία.</w:t>
            </w:r>
          </w:p>
          <w:p w:rsidR="008B43D6" w:rsidRDefault="008B43D6">
            <w:pPr>
              <w:jc w:val="both"/>
              <w:rPr>
                <w:rFonts w:cs="Arial"/>
                <w:spacing w:val="-3"/>
                <w:lang w:val="el-GR"/>
              </w:rPr>
            </w:pPr>
          </w:p>
          <w:p w:rsidR="008B43D6" w:rsidRDefault="008B43D6">
            <w:pPr>
              <w:jc w:val="both"/>
              <w:rPr>
                <w:iCs/>
                <w:u w:val="single"/>
                <w:lang w:val="el-GR"/>
              </w:rPr>
            </w:pPr>
            <w:r>
              <w:rPr>
                <w:iCs/>
                <w:u w:val="single"/>
                <w:lang w:val="el-GR"/>
              </w:rPr>
              <w:t>Διασπορά</w:t>
            </w:r>
          </w:p>
          <w:p w:rsidR="008B43D6" w:rsidRDefault="008B43D6">
            <w:pPr>
              <w:jc w:val="both"/>
              <w:rPr>
                <w:rFonts w:cs="Arial"/>
                <w:iCs/>
                <w:spacing w:val="-3"/>
                <w:u w:val="single"/>
                <w:lang w:val="el-GR"/>
              </w:rPr>
            </w:pPr>
            <w:r>
              <w:rPr>
                <w:rFonts w:cs="Arial"/>
                <w:iCs/>
                <w:spacing w:val="-3"/>
                <w:u w:val="single"/>
                <w:lang w:val="el-GR"/>
              </w:rPr>
              <w:t xml:space="preserve"> </w:t>
            </w:r>
          </w:p>
          <w:p w:rsidR="008B43D6" w:rsidRDefault="008B43D6">
            <w:pPr>
              <w:jc w:val="both"/>
              <w:rPr>
                <w:rFonts w:cs="Arial"/>
                <w:spacing w:val="-3"/>
                <w:lang w:val="el-GR"/>
              </w:rPr>
            </w:pPr>
            <w:r>
              <w:rPr>
                <w:rFonts w:cs="Arial"/>
                <w:spacing w:val="-3"/>
                <w:lang w:val="el-GR"/>
              </w:rPr>
              <w:t>Ο φαινομενικός όγκος διασποράς (</w:t>
            </w:r>
            <w:proofErr w:type="spellStart"/>
            <w:r>
              <w:rPr>
                <w:rFonts w:cs="Arial"/>
                <w:spacing w:val="-3"/>
              </w:rPr>
              <w:t>V</w:t>
            </w:r>
            <w:r>
              <w:rPr>
                <w:rFonts w:cs="Arial"/>
                <w:spacing w:val="-3"/>
                <w:vertAlign w:val="subscript"/>
              </w:rPr>
              <w:t>d</w:t>
            </w:r>
            <w:proofErr w:type="spellEnd"/>
            <w:r>
              <w:rPr>
                <w:rFonts w:cs="Arial"/>
                <w:spacing w:val="-3"/>
                <w:lang w:val="el-GR"/>
              </w:rPr>
              <w:t xml:space="preserve">) είναι περίπου 12-17 </w:t>
            </w:r>
            <w:r>
              <w:rPr>
                <w:rFonts w:cs="Arial"/>
                <w:spacing w:val="-3"/>
              </w:rPr>
              <w:t>L</w:t>
            </w:r>
            <w:r>
              <w:rPr>
                <w:rFonts w:cs="Arial"/>
                <w:spacing w:val="-3"/>
                <w:lang w:val="el-GR"/>
              </w:rPr>
              <w:t>/</w:t>
            </w:r>
            <w:r>
              <w:rPr>
                <w:rFonts w:cs="Arial"/>
                <w:spacing w:val="-3"/>
              </w:rPr>
              <w:t>kg</w:t>
            </w:r>
            <w:r>
              <w:rPr>
                <w:rFonts w:cs="Arial"/>
                <w:spacing w:val="-3"/>
                <w:lang w:val="el-GR"/>
              </w:rPr>
              <w:t xml:space="preserve">. Η δέσμευση με τις πρωτείνες πλάσματος είναι μικρότερη από 80% για τη σιταλοπράμη και τους κύριους μεταβολίτες της. </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Βιομετατροπή</w:t>
            </w:r>
          </w:p>
          <w:p w:rsidR="008B43D6" w:rsidRDefault="008B43D6">
            <w:pPr>
              <w:jc w:val="both"/>
              <w:rPr>
                <w:rFonts w:cs="Arial"/>
                <w:spacing w:val="-3"/>
                <w:lang w:val="el-GR"/>
              </w:rPr>
            </w:pPr>
            <w:r>
              <w:rPr>
                <w:rFonts w:cs="Arial"/>
                <w:spacing w:val="-3"/>
                <w:lang w:val="el-GR"/>
              </w:rPr>
              <w:t>Η Σιταλοπράμη μεταβολίζεται στη δραστική διμεθυλσιταλοπράμη, διδεμεθυλσιταλοπράμη, σιταλοπράμη-</w:t>
            </w:r>
            <w:r>
              <w:rPr>
                <w:rFonts w:cs="Arial"/>
                <w:spacing w:val="-3"/>
              </w:rPr>
              <w:t>N</w:t>
            </w:r>
            <w:r>
              <w:rPr>
                <w:rFonts w:cs="Arial"/>
                <w:spacing w:val="-3"/>
                <w:lang w:val="el-GR"/>
              </w:rPr>
              <w:t xml:space="preserve">-οξειδωμένη και σε αδρανές διαμινικό προπιονικό οξικό παράγωγο. Όλοι οι δραστικοί μεταβολίτες είναι επίσης  </w:t>
            </w:r>
            <w:r>
              <w:rPr>
                <w:rFonts w:cs="Arial"/>
                <w:spacing w:val="-3"/>
              </w:rPr>
              <w:t>SSRIs</w:t>
            </w:r>
            <w:r>
              <w:rPr>
                <w:rFonts w:cs="Arial"/>
                <w:spacing w:val="-3"/>
                <w:lang w:val="el-GR"/>
              </w:rPr>
              <w:t xml:space="preserve">, έστω και μικρότερης ισχύος από τη μητρική δραστική ουσία. Η μη μεταβολισμένη  σιταλοπράμη είναι η κύρια δραστική ουσία  στο πλάσμα.  Οι συγκεντρώσεις της διμεθυλσιταλοπράμης και της διδεμεθυλσιταλοπράμης είναι συνήθως 30-50% και 5-10% των συγκεντρώσεων της σιταλοπράμης αντίστοιχα. Η βιομετατροπή της σιταλοπράμης σε διμεθυλσιταλοπράμη γίνεται με τη διαμεσολάβηση του </w:t>
            </w:r>
            <w:r>
              <w:rPr>
                <w:rFonts w:cs="Arial"/>
                <w:spacing w:val="-3"/>
              </w:rPr>
              <w:t>CYP</w:t>
            </w:r>
            <w:r>
              <w:rPr>
                <w:rFonts w:cs="Arial"/>
                <w:spacing w:val="-3"/>
                <w:lang w:val="el-GR"/>
              </w:rPr>
              <w:t>2</w:t>
            </w:r>
            <w:r>
              <w:rPr>
                <w:rFonts w:cs="Arial"/>
                <w:spacing w:val="-3"/>
              </w:rPr>
              <w:t>C</w:t>
            </w:r>
            <w:r>
              <w:rPr>
                <w:rFonts w:cs="Arial"/>
                <w:spacing w:val="-3"/>
                <w:lang w:val="el-GR"/>
              </w:rPr>
              <w:t xml:space="preserve">19 (περίπου 38%), του </w:t>
            </w:r>
            <w:r>
              <w:rPr>
                <w:rFonts w:cs="Arial"/>
                <w:spacing w:val="-3"/>
              </w:rPr>
              <w:t>CYP</w:t>
            </w:r>
            <w:r>
              <w:rPr>
                <w:rFonts w:cs="Arial"/>
                <w:spacing w:val="-3"/>
                <w:lang w:val="el-GR"/>
              </w:rPr>
              <w:t>3</w:t>
            </w:r>
            <w:r>
              <w:rPr>
                <w:rFonts w:cs="Arial"/>
                <w:spacing w:val="-3"/>
              </w:rPr>
              <w:t>A</w:t>
            </w:r>
            <w:r>
              <w:rPr>
                <w:rFonts w:cs="Arial"/>
                <w:spacing w:val="-3"/>
                <w:lang w:val="el-GR"/>
              </w:rPr>
              <w:t xml:space="preserve">4 (περίπου. 31%) και του </w:t>
            </w:r>
            <w:r>
              <w:rPr>
                <w:rFonts w:cs="Arial"/>
                <w:spacing w:val="-3"/>
              </w:rPr>
              <w:t>CYP</w:t>
            </w:r>
            <w:r>
              <w:rPr>
                <w:rFonts w:cs="Arial"/>
                <w:spacing w:val="-3"/>
                <w:lang w:val="el-GR"/>
              </w:rPr>
              <w:t>2</w:t>
            </w:r>
            <w:r>
              <w:rPr>
                <w:rFonts w:cs="Arial"/>
                <w:spacing w:val="-3"/>
              </w:rPr>
              <w:t>D</w:t>
            </w:r>
            <w:r>
              <w:rPr>
                <w:rFonts w:cs="Arial"/>
                <w:spacing w:val="-3"/>
                <w:lang w:val="el-GR"/>
              </w:rPr>
              <w:t>6 (περίπου 31%).</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Απέκκριση</w:t>
            </w:r>
          </w:p>
          <w:p w:rsidR="008B43D6" w:rsidRDefault="008B43D6">
            <w:pPr>
              <w:jc w:val="both"/>
              <w:rPr>
                <w:rFonts w:cs="Arial"/>
                <w:spacing w:val="-3"/>
                <w:lang w:val="el-GR"/>
              </w:rPr>
            </w:pPr>
            <w:r>
              <w:rPr>
                <w:rFonts w:cs="Arial"/>
                <w:spacing w:val="-3"/>
                <w:lang w:val="el-GR"/>
              </w:rPr>
              <w:t>Ο χρόνος ημίσειας ζωής στην απέκκριση (</w:t>
            </w:r>
            <w:r>
              <w:rPr>
                <w:rFonts w:cs="Arial"/>
                <w:spacing w:val="-3"/>
              </w:rPr>
              <w:t>T</w:t>
            </w:r>
            <w:r>
              <w:rPr>
                <w:rFonts w:cs="Arial"/>
                <w:spacing w:val="-3"/>
                <w:vertAlign w:val="subscript"/>
                <w:lang w:val="el-GR"/>
              </w:rPr>
              <w:t>½</w:t>
            </w:r>
            <w:r>
              <w:rPr>
                <w:rFonts w:cs="Arial"/>
                <w:spacing w:val="-3"/>
                <w:lang w:val="el-GR"/>
              </w:rPr>
              <w:t>) είναι περίπου 1½ ημέρες και η συστηματική κάθαρση πλάσματος της σιταλοπράμης (</w:t>
            </w:r>
            <w:proofErr w:type="spellStart"/>
            <w:r>
              <w:rPr>
                <w:rFonts w:cs="Arial"/>
                <w:spacing w:val="-3"/>
              </w:rPr>
              <w:t>Cl</w:t>
            </w:r>
            <w:r>
              <w:rPr>
                <w:rFonts w:cs="Arial"/>
                <w:spacing w:val="-3"/>
                <w:vertAlign w:val="subscript"/>
              </w:rPr>
              <w:t>s</w:t>
            </w:r>
            <w:proofErr w:type="spellEnd"/>
            <w:r>
              <w:rPr>
                <w:rFonts w:cs="Arial"/>
                <w:spacing w:val="-3"/>
                <w:lang w:val="el-GR"/>
              </w:rPr>
              <w:t xml:space="preserve">) είναι περίπου 0,3-0,4 </w:t>
            </w:r>
            <w:r>
              <w:rPr>
                <w:rFonts w:cs="Arial"/>
                <w:spacing w:val="-3"/>
              </w:rPr>
              <w:t>L</w:t>
            </w:r>
            <w:r>
              <w:rPr>
                <w:rFonts w:cs="Arial"/>
                <w:spacing w:val="-3"/>
                <w:lang w:val="el-GR"/>
              </w:rPr>
              <w:t>/</w:t>
            </w:r>
            <w:r>
              <w:rPr>
                <w:rFonts w:cs="Arial"/>
                <w:spacing w:val="-3"/>
              </w:rPr>
              <w:t>min</w:t>
            </w:r>
            <w:r>
              <w:rPr>
                <w:rFonts w:cs="Arial"/>
                <w:spacing w:val="-3"/>
                <w:lang w:val="el-GR"/>
              </w:rPr>
              <w:t>, και η από του στόματος κάθαρση πλάσματος (</w:t>
            </w:r>
            <w:proofErr w:type="spellStart"/>
            <w:r>
              <w:rPr>
                <w:rFonts w:cs="Arial"/>
                <w:spacing w:val="-3"/>
              </w:rPr>
              <w:t>Cl</w:t>
            </w:r>
            <w:r>
              <w:rPr>
                <w:rFonts w:cs="Arial"/>
                <w:spacing w:val="-3"/>
                <w:vertAlign w:val="subscript"/>
              </w:rPr>
              <w:t>oral</w:t>
            </w:r>
            <w:proofErr w:type="spellEnd"/>
            <w:r>
              <w:rPr>
                <w:rFonts w:cs="Arial"/>
                <w:spacing w:val="-3"/>
                <w:lang w:val="el-GR"/>
              </w:rPr>
              <w:t xml:space="preserve">) είναι περίπου 0,4 </w:t>
            </w:r>
            <w:r>
              <w:rPr>
                <w:rFonts w:cs="Arial"/>
                <w:spacing w:val="-3"/>
              </w:rPr>
              <w:t>L</w:t>
            </w:r>
            <w:r>
              <w:rPr>
                <w:rFonts w:cs="Arial"/>
                <w:spacing w:val="-3"/>
                <w:lang w:val="el-GR"/>
              </w:rPr>
              <w:t>/</w:t>
            </w:r>
            <w:r>
              <w:rPr>
                <w:rFonts w:cs="Arial"/>
                <w:spacing w:val="-3"/>
              </w:rPr>
              <w:t>min</w:t>
            </w:r>
            <w:r>
              <w:rPr>
                <w:rFonts w:cs="Arial"/>
                <w:spacing w:val="-3"/>
                <w:lang w:val="el-GR"/>
              </w:rPr>
              <w:t xml:space="preserve">. </w:t>
            </w:r>
          </w:p>
          <w:p w:rsidR="008B43D6" w:rsidRDefault="008B43D6">
            <w:pPr>
              <w:jc w:val="both"/>
              <w:rPr>
                <w:rFonts w:cs="Arial"/>
                <w:spacing w:val="-3"/>
                <w:lang w:val="el-GR"/>
              </w:rPr>
            </w:pPr>
            <w:r>
              <w:rPr>
                <w:rFonts w:cs="Arial"/>
                <w:spacing w:val="-3"/>
                <w:lang w:val="el-GR"/>
              </w:rPr>
              <w:t xml:space="preserve">Η Σιταλοπράμη απεκκρίνεται κυρίως μέσω του ήπατος (85 %) και η εναπομένουσα (15 %) μέσω των νεφρών; 12-23% των ημερήσιων δόσεων απεκκρίνεται από τα ούρα ως μη μεταβολισμένη σιταλοπράμη.  Η ηπατική κάθαρση (υπολειμματική) είναι περίπου 0,3 </w:t>
            </w:r>
            <w:r>
              <w:rPr>
                <w:rFonts w:cs="Arial"/>
                <w:spacing w:val="-3"/>
              </w:rPr>
              <w:t>L</w:t>
            </w:r>
            <w:r>
              <w:rPr>
                <w:rFonts w:cs="Arial"/>
                <w:spacing w:val="-3"/>
                <w:lang w:val="el-GR"/>
              </w:rPr>
              <w:t>/</w:t>
            </w:r>
            <w:r>
              <w:rPr>
                <w:rFonts w:cs="Arial"/>
                <w:spacing w:val="-3"/>
              </w:rPr>
              <w:t>min</w:t>
            </w:r>
            <w:r>
              <w:rPr>
                <w:rFonts w:cs="Arial"/>
                <w:spacing w:val="-3"/>
                <w:lang w:val="el-GR"/>
              </w:rPr>
              <w:t xml:space="preserve"> και η νεφρική κάθαρση 0,05-0,08 </w:t>
            </w:r>
            <w:r>
              <w:rPr>
                <w:rFonts w:cs="Arial"/>
                <w:spacing w:val="-3"/>
              </w:rPr>
              <w:t>L</w:t>
            </w:r>
            <w:r>
              <w:rPr>
                <w:rFonts w:cs="Arial"/>
                <w:spacing w:val="-3"/>
                <w:lang w:val="el-GR"/>
              </w:rPr>
              <w:t>/</w:t>
            </w:r>
            <w:r>
              <w:rPr>
                <w:rFonts w:cs="Arial"/>
                <w:spacing w:val="-3"/>
              </w:rPr>
              <w:t>min</w:t>
            </w:r>
            <w:r>
              <w:rPr>
                <w:rFonts w:cs="Arial"/>
                <w:spacing w:val="-3"/>
                <w:lang w:val="el-GR"/>
              </w:rPr>
              <w:t>.</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Γραμμικότητα</w:t>
            </w:r>
          </w:p>
          <w:p w:rsidR="008B43D6" w:rsidRDefault="008B43D6">
            <w:pPr>
              <w:jc w:val="both"/>
              <w:rPr>
                <w:rFonts w:cs="Arial"/>
                <w:spacing w:val="-3"/>
                <w:lang w:val="el-GR"/>
              </w:rPr>
            </w:pPr>
            <w:r>
              <w:rPr>
                <w:rFonts w:cs="Arial"/>
                <w:spacing w:val="-3"/>
                <w:lang w:val="el-GR"/>
              </w:rPr>
              <w:t xml:space="preserve">Η κινητική είναι γραμμική.  Σταθερή κατάσταση στα επίπεδα πλάσματος επιτυγχάνονται σε 1-2 εβδομάδες. Μέσες συγκεντρώσεις των 300 </w:t>
            </w:r>
            <w:proofErr w:type="spellStart"/>
            <w:r>
              <w:rPr>
                <w:rFonts w:cs="Arial"/>
                <w:spacing w:val="-3"/>
              </w:rPr>
              <w:t>nmol</w:t>
            </w:r>
            <w:proofErr w:type="spellEnd"/>
            <w:r>
              <w:rPr>
                <w:rFonts w:cs="Arial"/>
                <w:spacing w:val="-3"/>
                <w:lang w:val="el-GR"/>
              </w:rPr>
              <w:t>/</w:t>
            </w:r>
            <w:r>
              <w:rPr>
                <w:rFonts w:cs="Arial"/>
                <w:spacing w:val="-3"/>
              </w:rPr>
              <w:t>L</w:t>
            </w:r>
            <w:r>
              <w:rPr>
                <w:rFonts w:cs="Arial"/>
                <w:spacing w:val="-3"/>
                <w:lang w:val="el-GR"/>
              </w:rPr>
              <w:t xml:space="preserve"> (165-405 </w:t>
            </w:r>
            <w:proofErr w:type="spellStart"/>
            <w:r>
              <w:rPr>
                <w:rFonts w:cs="Arial"/>
                <w:spacing w:val="-3"/>
              </w:rPr>
              <w:t>nmol</w:t>
            </w:r>
            <w:proofErr w:type="spellEnd"/>
            <w:r>
              <w:rPr>
                <w:rFonts w:cs="Arial"/>
                <w:spacing w:val="-3"/>
                <w:lang w:val="el-GR"/>
              </w:rPr>
              <w:t>/</w:t>
            </w:r>
            <w:r>
              <w:rPr>
                <w:rFonts w:cs="Arial"/>
                <w:spacing w:val="-3"/>
              </w:rPr>
              <w:t>L</w:t>
            </w:r>
            <w:r>
              <w:rPr>
                <w:rFonts w:cs="Arial"/>
                <w:spacing w:val="-3"/>
                <w:lang w:val="el-GR"/>
              </w:rPr>
              <w:t xml:space="preserve">) επιτυγχάνονται με  ημερήσια δόση  40 </w:t>
            </w:r>
            <w:r>
              <w:rPr>
                <w:rFonts w:cs="Arial"/>
                <w:spacing w:val="-3"/>
              </w:rPr>
              <w:t>mg</w:t>
            </w:r>
            <w:r>
              <w:rPr>
                <w:rFonts w:cs="Arial"/>
                <w:spacing w:val="-3"/>
                <w:lang w:val="el-GR"/>
              </w:rPr>
              <w:t xml:space="preserve">. </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Ηλικιωμένοι ασθενείς (&gt; 65 ετών)</w:t>
            </w:r>
          </w:p>
          <w:p w:rsidR="008B43D6" w:rsidRDefault="008B43D6">
            <w:pPr>
              <w:jc w:val="both"/>
              <w:rPr>
                <w:rFonts w:cs="Arial"/>
                <w:spacing w:val="-3"/>
                <w:lang w:val="el-GR"/>
              </w:rPr>
            </w:pPr>
            <w:r>
              <w:rPr>
                <w:rFonts w:cs="Arial"/>
                <w:spacing w:val="-3"/>
                <w:lang w:val="el-GR"/>
              </w:rPr>
              <w:t xml:space="preserve">Μεγαλύτεροι χρόνοι ημίσειας ζωής (1,5-3,75 ημέρες) και  μειωμένες τιμές κάθαρσης (0,08-0,3 </w:t>
            </w:r>
            <w:r>
              <w:rPr>
                <w:rFonts w:cs="Arial"/>
                <w:spacing w:val="-3"/>
              </w:rPr>
              <w:t>L</w:t>
            </w:r>
            <w:r>
              <w:rPr>
                <w:rFonts w:cs="Arial"/>
                <w:spacing w:val="-3"/>
                <w:lang w:val="el-GR"/>
              </w:rPr>
              <w:t>/</w:t>
            </w:r>
            <w:r>
              <w:rPr>
                <w:rFonts w:cs="Arial"/>
                <w:spacing w:val="-3"/>
              </w:rPr>
              <w:t>min</w:t>
            </w:r>
            <w:r>
              <w:rPr>
                <w:rFonts w:cs="Arial"/>
                <w:spacing w:val="-3"/>
                <w:lang w:val="el-GR"/>
              </w:rPr>
              <w:t xml:space="preserve">) εξ αιτίας του μειωμένου ρυθμού μεταβολισμού έχουν εμφανισθεί σε ηλικιωμένους ασθενείς. Τα επίπεδα σε  σταθερή κατάσταση ήταν περίπου διπλάσια στους ηλικιωμένους από αυτά  σε νεότερους ασθενείς οι οποίοι ήταν σε θεραπεία με την ίδια δόση. </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Μειωμένη ηπατική λειτουργία</w:t>
            </w:r>
          </w:p>
          <w:p w:rsidR="008B43D6" w:rsidRDefault="008B43D6">
            <w:pPr>
              <w:jc w:val="both"/>
              <w:rPr>
                <w:rFonts w:cs="Arial"/>
                <w:spacing w:val="-3"/>
                <w:lang w:val="el-GR"/>
              </w:rPr>
            </w:pPr>
            <w:r>
              <w:rPr>
                <w:rFonts w:cs="Arial"/>
                <w:spacing w:val="-3"/>
                <w:lang w:val="el-GR"/>
              </w:rPr>
              <w:t>Η Σιταλοπράμη απεκκρίνεται πιο αργά σε ασθενείς με μειωμένη ηπατική λειτουργία, Ο χρόνος ημίσειας ζωής της σιταλοπράμης είναι περίπου διπλάσιος και οι συγκεντρώσεις σε σταθερή κατάσταση  είναι περίπου διπλάσιες από αυτές που παρατηρούνται σε ασθενείς με φυσιολογική ηπατική λειτουργία μετά από χορήγηση της ίδιας δόσης.</w:t>
            </w:r>
          </w:p>
          <w:p w:rsidR="008B43D6" w:rsidRDefault="008B43D6">
            <w:pPr>
              <w:jc w:val="both"/>
              <w:rPr>
                <w:rFonts w:cs="Arial"/>
                <w:spacing w:val="-3"/>
                <w:lang w:val="el-GR"/>
              </w:rPr>
            </w:pPr>
          </w:p>
          <w:p w:rsidR="008B43D6" w:rsidRDefault="008B43D6">
            <w:pPr>
              <w:jc w:val="both"/>
              <w:rPr>
                <w:rFonts w:cs="Arial"/>
                <w:iCs/>
                <w:spacing w:val="-3"/>
                <w:u w:val="single"/>
                <w:lang w:val="el-GR"/>
              </w:rPr>
            </w:pPr>
            <w:r>
              <w:rPr>
                <w:rFonts w:cs="Arial"/>
                <w:iCs/>
                <w:spacing w:val="-3"/>
                <w:u w:val="single"/>
                <w:lang w:val="el-GR"/>
              </w:rPr>
              <w:t>Μειωμένη νεφρική λειτουργία</w:t>
            </w:r>
          </w:p>
          <w:p w:rsidR="008B43D6" w:rsidRDefault="008B43D6">
            <w:pPr>
              <w:jc w:val="both"/>
              <w:rPr>
                <w:rFonts w:cs="Arial"/>
                <w:spacing w:val="-3"/>
                <w:lang w:val="el-GR"/>
              </w:rPr>
            </w:pPr>
            <w:r>
              <w:rPr>
                <w:rFonts w:cs="Arial"/>
                <w:spacing w:val="-3"/>
                <w:lang w:val="el-GR"/>
              </w:rPr>
              <w:t xml:space="preserve">Η Σιταλοπράμη απεκκρίνεται πιο αργά σε ασθενείς με ήπια έως μέτρια  νεφρική ανεπάρκεια χωρίς αυτό να έχει κάποια κύρια επίπτωση στη φαρμακοκινητική της σιταλοπράμης.  Επί του παρόντος δεν υπάρχει </w:t>
            </w:r>
            <w:r>
              <w:rPr>
                <w:rFonts w:cs="Arial"/>
                <w:spacing w:val="-3"/>
                <w:lang w:val="el-GR"/>
              </w:rPr>
              <w:lastRenderedPageBreak/>
              <w:t xml:space="preserve">διαθέσιμη πληροφορία για τη θεραπεία ασθενών  με σοβαρή νεφρική ανεπάρκεια (κάθαρση κρεατινίνης &lt; 20 </w:t>
            </w:r>
            <w:r>
              <w:rPr>
                <w:rFonts w:cs="Arial"/>
                <w:spacing w:val="-3"/>
              </w:rPr>
              <w:t>mL</w:t>
            </w:r>
            <w:r>
              <w:rPr>
                <w:rFonts w:cs="Arial"/>
                <w:spacing w:val="-3"/>
                <w:lang w:val="el-GR"/>
              </w:rPr>
              <w:t>/</w:t>
            </w:r>
            <w:r>
              <w:rPr>
                <w:rFonts w:cs="Arial"/>
                <w:spacing w:val="-3"/>
              </w:rPr>
              <w:t>min</w:t>
            </w:r>
            <w:r>
              <w:rPr>
                <w:rFonts w:cs="Arial"/>
                <w:spacing w:val="-3"/>
                <w:lang w:val="el-GR"/>
              </w:rPr>
              <w:t>).</w:t>
            </w:r>
          </w:p>
          <w:p w:rsidR="008B43D6" w:rsidRDefault="008B43D6">
            <w:pPr>
              <w:jc w:val="both"/>
              <w:rPr>
                <w:rFonts w:cs="Arial"/>
                <w:lang w:val="el-GR"/>
              </w:rPr>
            </w:pPr>
          </w:p>
          <w:p w:rsidR="008B43D6" w:rsidRDefault="008B43D6">
            <w:pPr>
              <w:jc w:val="both"/>
              <w:rPr>
                <w:rFonts w:cs="Arial"/>
                <w:iCs/>
                <w:u w:val="single"/>
                <w:lang w:val="el-GR"/>
              </w:rPr>
            </w:pPr>
            <w:r>
              <w:rPr>
                <w:rFonts w:cs="Arial"/>
                <w:iCs/>
                <w:u w:val="single"/>
                <w:lang w:val="el-GR"/>
              </w:rPr>
              <w:t>Πολυμορφισμός</w:t>
            </w:r>
          </w:p>
          <w:p w:rsidR="008B43D6" w:rsidRDefault="008B43D6">
            <w:pPr>
              <w:jc w:val="both"/>
              <w:rPr>
                <w:rFonts w:cs="Arial"/>
                <w:spacing w:val="-3"/>
                <w:lang w:val="el-GR"/>
              </w:rPr>
            </w:pPr>
            <w:r>
              <w:rPr>
                <w:rFonts w:cs="Arial"/>
                <w:spacing w:val="-3"/>
                <w:lang w:val="el-GR"/>
              </w:rPr>
              <w:t>Οι έρευνες</w:t>
            </w:r>
            <w:r>
              <w:rPr>
                <w:rFonts w:cs="Arial"/>
                <w:i/>
                <w:spacing w:val="-3"/>
                <w:lang w:val="el-GR"/>
              </w:rPr>
              <w:t xml:space="preserve"> </w:t>
            </w:r>
            <w:r>
              <w:rPr>
                <w:rFonts w:cs="Arial"/>
                <w:i/>
                <w:spacing w:val="-3"/>
              </w:rPr>
              <w:t>In</w:t>
            </w:r>
            <w:r>
              <w:rPr>
                <w:rFonts w:cs="Arial"/>
                <w:i/>
                <w:spacing w:val="-3"/>
                <w:lang w:val="el-GR"/>
              </w:rPr>
              <w:t xml:space="preserve"> </w:t>
            </w:r>
            <w:r>
              <w:rPr>
                <w:rFonts w:cs="Arial"/>
                <w:i/>
                <w:spacing w:val="-3"/>
              </w:rPr>
              <w:t>vivo</w:t>
            </w:r>
            <w:r>
              <w:rPr>
                <w:rFonts w:cs="Arial"/>
                <w:i/>
                <w:spacing w:val="-3"/>
                <w:lang w:val="el-GR"/>
              </w:rPr>
              <w:t xml:space="preserve"> έχουν </w:t>
            </w:r>
            <w:r>
              <w:rPr>
                <w:rFonts w:cs="Arial"/>
                <w:spacing w:val="-3"/>
                <w:lang w:val="el-GR"/>
              </w:rPr>
              <w:t>καταδείξει ότι ο μεταβολισμός της σιταλοπράμης δεν δείχνει κλινικά σημαντικό πολυμορφισμό στην οξείδωση της σπαρτείνης / δεβρυσοκίνης (</w:t>
            </w:r>
            <w:r>
              <w:rPr>
                <w:rFonts w:cs="Arial"/>
                <w:spacing w:val="-3"/>
              </w:rPr>
              <w:t>CYP</w:t>
            </w:r>
            <w:r>
              <w:rPr>
                <w:rFonts w:cs="Arial"/>
                <w:spacing w:val="-3"/>
                <w:lang w:val="el-GR"/>
              </w:rPr>
              <w:t>2</w:t>
            </w:r>
            <w:r>
              <w:rPr>
                <w:rFonts w:cs="Arial"/>
                <w:spacing w:val="-3"/>
              </w:rPr>
              <w:t>D</w:t>
            </w:r>
            <w:r>
              <w:rPr>
                <w:rFonts w:cs="Arial"/>
                <w:spacing w:val="-3"/>
                <w:lang w:val="el-GR"/>
              </w:rPr>
              <w:t xml:space="preserve">6) Για τους ασθενείς που είναι γνωστό ότι ειναι πτωχοί μεταβολιστές του </w:t>
            </w:r>
            <w:r>
              <w:rPr>
                <w:rFonts w:cs="Arial"/>
                <w:spacing w:val="-3"/>
                <w:lang w:val="en-US"/>
              </w:rPr>
              <w:t>CYP</w:t>
            </w:r>
            <w:r>
              <w:rPr>
                <w:rFonts w:cs="Arial"/>
                <w:spacing w:val="-3"/>
                <w:lang w:val="el-GR"/>
              </w:rPr>
              <w:t>2</w:t>
            </w:r>
            <w:r>
              <w:rPr>
                <w:rFonts w:cs="Arial"/>
                <w:spacing w:val="-3"/>
                <w:lang w:val="en-US"/>
              </w:rPr>
              <w:t>C</w:t>
            </w:r>
            <w:r>
              <w:rPr>
                <w:rFonts w:cs="Arial"/>
                <w:spacing w:val="-3"/>
                <w:lang w:val="el-GR"/>
              </w:rPr>
              <w:t>19, συνιστάται αρχική δόση 10</w:t>
            </w:r>
            <w:r>
              <w:rPr>
                <w:rFonts w:cs="Arial"/>
                <w:spacing w:val="-3"/>
                <w:lang w:val="en-US"/>
              </w:rPr>
              <w:t>mg</w:t>
            </w:r>
            <w:r>
              <w:rPr>
                <w:rFonts w:cs="Arial"/>
                <w:spacing w:val="-3"/>
                <w:lang w:val="el-GR"/>
              </w:rPr>
              <w:t xml:space="preserve">/ημέρα  (βλ. παράγραφο 4.2) </w:t>
            </w:r>
          </w:p>
          <w:p w:rsidR="008B43D6" w:rsidRDefault="008B43D6">
            <w:pPr>
              <w:jc w:val="both"/>
              <w:rPr>
                <w:rFonts w:cs="Arial"/>
                <w:lang w:val="el-GR"/>
              </w:rPr>
            </w:pPr>
            <w:r>
              <w:rPr>
                <w:rFonts w:cs="Arial"/>
                <w:lang w:val="el-GR"/>
              </w:rPr>
              <w:t xml:space="preserve"> </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ind w:left="720"/>
              <w:jc w:val="both"/>
              <w:rPr>
                <w:lang w:val="el-GR"/>
              </w:rPr>
            </w:pPr>
          </w:p>
        </w:tc>
      </w:tr>
      <w:tr w:rsidR="008B43D6">
        <w:tblPrEx>
          <w:tblCellMar>
            <w:top w:w="0" w:type="dxa"/>
            <w:bottom w:w="0" w:type="dxa"/>
          </w:tblCellMar>
        </w:tblPrEx>
        <w:tc>
          <w:tcPr>
            <w:tcW w:w="10506" w:type="dxa"/>
          </w:tcPr>
          <w:p w:rsidR="008B43D6" w:rsidRPr="005F1974" w:rsidRDefault="008B43D6">
            <w:pPr>
              <w:ind w:left="720" w:hanging="720"/>
              <w:jc w:val="both"/>
              <w:rPr>
                <w:b/>
                <w:lang w:val="el-GR"/>
              </w:rPr>
            </w:pPr>
            <w:r w:rsidRPr="005F1974">
              <w:rPr>
                <w:b/>
                <w:lang w:val="el-GR"/>
              </w:rPr>
              <w:t>5.3         Προκλινικά στοιχεία ασφαλείας</w:t>
            </w:r>
          </w:p>
          <w:p w:rsidR="008B43D6" w:rsidRPr="005F1974" w:rsidRDefault="008B43D6">
            <w:pPr>
              <w:ind w:left="720" w:hanging="720"/>
              <w:jc w:val="both"/>
              <w:rPr>
                <w:b/>
                <w:lang w:val="el-GR"/>
              </w:rPr>
            </w:pPr>
          </w:p>
          <w:p w:rsidR="008B43D6" w:rsidRPr="005F1974" w:rsidRDefault="008B43D6">
            <w:pPr>
              <w:jc w:val="both"/>
              <w:rPr>
                <w:iCs/>
                <w:u w:val="single"/>
                <w:lang w:val="el-GR"/>
              </w:rPr>
            </w:pPr>
            <w:r w:rsidRPr="005F1974">
              <w:rPr>
                <w:iCs/>
                <w:u w:val="single"/>
                <w:lang w:val="el-GR"/>
              </w:rPr>
              <w:t>Οξεία τοξικότητα</w:t>
            </w:r>
          </w:p>
          <w:p w:rsidR="008B43D6" w:rsidRPr="005F1974" w:rsidRDefault="008B43D6">
            <w:pPr>
              <w:jc w:val="both"/>
              <w:rPr>
                <w:rFonts w:cs="Arial"/>
                <w:spacing w:val="-3"/>
                <w:lang w:val="el-GR"/>
              </w:rPr>
            </w:pPr>
            <w:r w:rsidRPr="005F1974">
              <w:rPr>
                <w:rFonts w:cs="Arial"/>
                <w:spacing w:val="-3"/>
                <w:lang w:val="el-GR"/>
              </w:rPr>
              <w:t xml:space="preserve">Η Σιταλοπράμη έχει χαμηλή οξεία τοξικότητα </w:t>
            </w:r>
          </w:p>
          <w:p w:rsidR="008B43D6" w:rsidRPr="005F1974" w:rsidRDefault="008B43D6">
            <w:pPr>
              <w:jc w:val="both"/>
              <w:rPr>
                <w:rFonts w:cs="Arial"/>
                <w:spacing w:val="-3"/>
                <w:lang w:val="el-GR"/>
              </w:rPr>
            </w:pPr>
          </w:p>
          <w:p w:rsidR="008B43D6" w:rsidRPr="005F1974" w:rsidRDefault="008B43D6">
            <w:pPr>
              <w:jc w:val="both"/>
              <w:rPr>
                <w:rFonts w:cs="Arial"/>
                <w:iCs/>
                <w:spacing w:val="-3"/>
                <w:u w:val="single"/>
                <w:lang w:val="el-GR"/>
              </w:rPr>
            </w:pPr>
            <w:r w:rsidRPr="005F1974">
              <w:rPr>
                <w:rFonts w:cs="Arial"/>
                <w:iCs/>
                <w:spacing w:val="-3"/>
                <w:u w:val="single"/>
                <w:lang w:val="el-GR"/>
              </w:rPr>
              <w:t>Χρόνια τοξικότητα</w:t>
            </w:r>
          </w:p>
          <w:p w:rsidR="008B43D6" w:rsidRPr="005F1974" w:rsidRDefault="008B43D6">
            <w:pPr>
              <w:jc w:val="both"/>
              <w:rPr>
                <w:rFonts w:cs="Arial"/>
                <w:spacing w:val="-3"/>
                <w:lang w:val="el-GR"/>
              </w:rPr>
            </w:pPr>
            <w:r w:rsidRPr="005F1974">
              <w:rPr>
                <w:rFonts w:cs="Arial"/>
                <w:spacing w:val="-3"/>
                <w:lang w:val="el-GR"/>
              </w:rPr>
              <w:t>Σε μελέτες χρόνιας τοξικότητας δεν υπήρξαν ανησυχητικά ευρήματα για τη θεραπευτική χρήση της σιταλοπράμης.</w:t>
            </w:r>
          </w:p>
          <w:p w:rsidR="008B43D6" w:rsidRPr="005F1974" w:rsidRDefault="008B43D6">
            <w:pPr>
              <w:jc w:val="both"/>
              <w:rPr>
                <w:rFonts w:cs="Arial"/>
                <w:spacing w:val="-3"/>
                <w:lang w:val="el-GR"/>
              </w:rPr>
            </w:pPr>
          </w:p>
          <w:p w:rsidR="008B43D6" w:rsidRPr="005F1974" w:rsidRDefault="008B43D6">
            <w:pPr>
              <w:jc w:val="both"/>
              <w:rPr>
                <w:rFonts w:cs="Arial"/>
                <w:iCs/>
                <w:spacing w:val="-3"/>
                <w:u w:val="single"/>
                <w:lang w:val="el-GR"/>
              </w:rPr>
            </w:pPr>
            <w:r w:rsidRPr="005F1974">
              <w:rPr>
                <w:rFonts w:cs="Arial"/>
                <w:iCs/>
                <w:spacing w:val="-3"/>
                <w:u w:val="single"/>
                <w:lang w:val="el-GR"/>
              </w:rPr>
              <w:t>Μελέτες αναπαραγωγής</w:t>
            </w:r>
          </w:p>
          <w:p w:rsidR="008B43D6" w:rsidRPr="005F1974" w:rsidRDefault="008B43D6">
            <w:pPr>
              <w:jc w:val="both"/>
              <w:rPr>
                <w:rFonts w:cs="Arial"/>
                <w:spacing w:val="-3"/>
                <w:lang w:val="el-GR"/>
              </w:rPr>
            </w:pPr>
            <w:r w:rsidRPr="005F1974">
              <w:rPr>
                <w:rFonts w:cs="Arial"/>
                <w:spacing w:val="-3"/>
                <w:lang w:val="el-GR"/>
              </w:rPr>
              <w:t xml:space="preserve">Στηριζόμενοι σε δεδομένα από μελέτες τοξικότητας κατά την αναπαραγωγή (τμήμα </w:t>
            </w:r>
            <w:r w:rsidRPr="005F1974">
              <w:rPr>
                <w:rFonts w:cs="Arial"/>
                <w:spacing w:val="-3"/>
              </w:rPr>
              <w:t>I</w:t>
            </w:r>
            <w:r w:rsidRPr="005F1974">
              <w:rPr>
                <w:rFonts w:cs="Arial"/>
                <w:spacing w:val="-3"/>
                <w:lang w:val="el-GR"/>
              </w:rPr>
              <w:t xml:space="preserve">, </w:t>
            </w:r>
            <w:r w:rsidRPr="005F1974">
              <w:rPr>
                <w:rFonts w:cs="Arial"/>
                <w:spacing w:val="-3"/>
              </w:rPr>
              <w:t>II</w:t>
            </w:r>
            <w:r w:rsidRPr="005F1974">
              <w:rPr>
                <w:rFonts w:cs="Arial"/>
                <w:spacing w:val="-3"/>
                <w:lang w:val="el-GR"/>
              </w:rPr>
              <w:t xml:space="preserve"> και </w:t>
            </w:r>
            <w:r w:rsidRPr="005F1974">
              <w:rPr>
                <w:rFonts w:cs="Arial"/>
                <w:spacing w:val="-3"/>
              </w:rPr>
              <w:t>III</w:t>
            </w:r>
            <w:r w:rsidRPr="005F1974">
              <w:rPr>
                <w:rFonts w:cs="Arial"/>
                <w:spacing w:val="-3"/>
                <w:lang w:val="el-GR"/>
              </w:rPr>
              <w:t xml:space="preserve">) δεν υφίσταται λόγος να υπάρξει κάποια ιδιαίτερη ανησυχία για τη χρήση της σιταλοπράμης σε γυναίκες οι οποίες είναι εν δυνάμει ικανές για τεκνοποίηση. </w:t>
            </w:r>
          </w:p>
          <w:p w:rsidR="008B43D6" w:rsidRPr="005F1974" w:rsidRDefault="008B43D6">
            <w:pPr>
              <w:jc w:val="both"/>
              <w:rPr>
                <w:rFonts w:cs="Arial"/>
                <w:spacing w:val="-3"/>
                <w:lang w:val="el-GR"/>
              </w:rPr>
            </w:pPr>
            <w:r w:rsidRPr="005F1974">
              <w:rPr>
                <w:rFonts w:cs="Arial"/>
                <w:spacing w:val="-3"/>
                <w:lang w:val="el-GR"/>
              </w:rPr>
              <w:t xml:space="preserve">Η Σιταλοπράμη εμφανίζεται σε χαμηλές συγκεντρώσεις στο γάλα. </w:t>
            </w:r>
          </w:p>
          <w:p w:rsidR="008B43D6" w:rsidRPr="005F1974" w:rsidRDefault="008B43D6">
            <w:pPr>
              <w:jc w:val="both"/>
              <w:rPr>
                <w:rFonts w:cs="Arial"/>
                <w:spacing w:val="-3"/>
                <w:lang w:val="el-GR"/>
              </w:rPr>
            </w:pPr>
          </w:p>
          <w:p w:rsidR="008B43D6" w:rsidRPr="005F1974" w:rsidRDefault="008B43D6">
            <w:pPr>
              <w:jc w:val="both"/>
              <w:rPr>
                <w:rFonts w:cs="Arial"/>
                <w:spacing w:val="-3"/>
                <w:lang w:val="el-GR"/>
              </w:rPr>
            </w:pPr>
            <w:r w:rsidRPr="005F1974">
              <w:rPr>
                <w:rFonts w:cs="Arial"/>
                <w:spacing w:val="-3"/>
                <w:lang w:val="el-GR"/>
              </w:rPr>
              <w:t xml:space="preserve">Οι μελέτες εμβρυοτοξικότητας σε ποντίκια σε δόσεις των 56 </w:t>
            </w:r>
            <w:r w:rsidRPr="005F1974">
              <w:rPr>
                <w:rFonts w:cs="Arial"/>
                <w:spacing w:val="-3"/>
              </w:rPr>
              <w:t>mg</w:t>
            </w:r>
            <w:r w:rsidRPr="005F1974">
              <w:rPr>
                <w:rFonts w:cs="Arial"/>
                <w:spacing w:val="-3"/>
                <w:lang w:val="el-GR"/>
              </w:rPr>
              <w:t>/</w:t>
            </w:r>
            <w:r w:rsidRPr="005F1974">
              <w:rPr>
                <w:rFonts w:cs="Arial"/>
                <w:spacing w:val="-3"/>
              </w:rPr>
              <w:t>kg</w:t>
            </w:r>
            <w:r w:rsidRPr="005F1974">
              <w:rPr>
                <w:rFonts w:cs="Arial"/>
                <w:spacing w:val="-3"/>
                <w:lang w:val="el-GR"/>
              </w:rPr>
              <w:t>/</w:t>
            </w:r>
            <w:r w:rsidRPr="005F1974">
              <w:rPr>
                <w:rFonts w:cs="Arial"/>
                <w:spacing w:val="-3"/>
              </w:rPr>
              <w:t>day</w:t>
            </w:r>
            <w:r w:rsidRPr="005F1974">
              <w:rPr>
                <w:rFonts w:cs="Arial"/>
                <w:spacing w:val="-3"/>
                <w:lang w:val="el-GR"/>
              </w:rPr>
              <w:t xml:space="preserve">, οι οποίες προκαλούν μητρική τοξικότητα έδειξαν οστικές ανωμαλίες στη περιοχή της σπονδυλικής στήλης και των πλευρών. Τα επίπεδα πλάσματος στη μητέρα ήταν τότε 2-3 φορές μεγαλύτερα από τη θεραπευτική συγκέντρωση στον άνθρωπο. Στα ποντίκια η σιταλοπράμη δεν είχε κάποια επίδραση στη γονιμότητα, στην κύηση και την ανάπτυξη του νεογνού αλλά μείωσε το βάρος γέννησης των νεογνών. Η Σιταλοπράμη και οι μεταβολίτες της φθάνουν σε εμβρυϊκές συγκεντρώσεις οι οποίες είναι 10-15 φορές τα μητρικά επίπεδα πλάσματος. Η κλινική εμπειρία για τη χρήση κατά τη διάρκεια της κύησης και του θηλασμού είναι περιορισμένη. </w:t>
            </w:r>
          </w:p>
          <w:p w:rsidR="008B43D6" w:rsidRPr="005F1974" w:rsidRDefault="008B43D6">
            <w:pPr>
              <w:jc w:val="both"/>
              <w:rPr>
                <w:rFonts w:cs="Arial"/>
                <w:spacing w:val="-3"/>
                <w:lang w:val="en-US"/>
              </w:rPr>
            </w:pPr>
          </w:p>
          <w:p w:rsidR="00EE0957" w:rsidRPr="005F1974" w:rsidRDefault="00EE0957">
            <w:pPr>
              <w:jc w:val="both"/>
              <w:rPr>
                <w:rFonts w:cs="Arial"/>
                <w:spacing w:val="-3"/>
                <w:lang w:val="el-GR"/>
              </w:rPr>
            </w:pPr>
            <w:r w:rsidRPr="005F1974">
              <w:rPr>
                <w:lang w:val="el-GR"/>
              </w:rPr>
              <w:t>Δεδομένα σε πειραματόζωα έχουν δείξει ότι η σιταλοπράμη προκαλεί μείωση του δείκτη γονιμότητας και εγκυμοσύνης, μείωση του αριθμού εμφυτεύσεων και ανωμαλίες στο σπέρμα κατά την υπερβολική έκθεση.</w:t>
            </w:r>
          </w:p>
          <w:p w:rsidR="00EE0957" w:rsidRPr="005F1974" w:rsidRDefault="00EE0957">
            <w:pPr>
              <w:jc w:val="both"/>
              <w:rPr>
                <w:rFonts w:cs="Arial"/>
                <w:spacing w:val="-3"/>
                <w:lang w:val="el-GR"/>
              </w:rPr>
            </w:pPr>
          </w:p>
          <w:p w:rsidR="008B43D6" w:rsidRPr="005F1974" w:rsidRDefault="008B43D6">
            <w:pPr>
              <w:jc w:val="both"/>
              <w:rPr>
                <w:iCs/>
                <w:u w:val="single"/>
                <w:lang w:val="el-GR"/>
              </w:rPr>
            </w:pPr>
            <w:r w:rsidRPr="005F1974">
              <w:rPr>
                <w:iCs/>
                <w:u w:val="single"/>
                <w:lang w:val="el-GR"/>
              </w:rPr>
              <w:t>Μετάλλαξη και καρκινογένεση</w:t>
            </w:r>
          </w:p>
          <w:p w:rsidR="008B43D6" w:rsidRDefault="008B43D6">
            <w:pPr>
              <w:jc w:val="both"/>
              <w:rPr>
                <w:iCs/>
                <w:u w:val="single"/>
                <w:lang w:val="el-GR"/>
              </w:rPr>
            </w:pPr>
            <w:r w:rsidRPr="005F1974">
              <w:rPr>
                <w:rFonts w:cs="Arial"/>
                <w:spacing w:val="-3"/>
                <w:lang w:val="el-GR"/>
              </w:rPr>
              <w:t xml:space="preserve">Η Σιταλοπράμη δεν προκαλεί </w:t>
            </w:r>
            <w:r w:rsidRPr="005F1974">
              <w:rPr>
                <w:iCs/>
                <w:lang w:val="el-GR"/>
              </w:rPr>
              <w:t>μετάλλαξη και καρκινογένεση</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lang w:val="el-GR"/>
              </w:rPr>
            </w:pPr>
            <w:r>
              <w:rPr>
                <w:b/>
                <w:lang w:val="el-GR"/>
              </w:rPr>
              <w:t>6.</w:t>
            </w:r>
            <w:r>
              <w:rPr>
                <w:b/>
                <w:lang w:val="el-GR"/>
              </w:rPr>
              <w:tab/>
              <w:t xml:space="preserve">ΦΑΡΜΑΚΕΥΤΙΚΑ ΣΤΟΙΧΕΙΑ </w:t>
            </w:r>
          </w:p>
          <w:p w:rsidR="008B43D6" w:rsidRDefault="008B43D6">
            <w:pPr>
              <w:ind w:left="709" w:hanging="567"/>
              <w:jc w:val="both"/>
              <w:rPr>
                <w:lang w:val="el-GR"/>
              </w:rPr>
            </w:pPr>
          </w:p>
          <w:p w:rsidR="008B43D6" w:rsidRDefault="008B43D6">
            <w:pPr>
              <w:ind w:left="709" w:firstLine="11"/>
              <w:jc w:val="both"/>
              <w:rPr>
                <w:lang w:val="el-GR"/>
              </w:rPr>
            </w:pPr>
          </w:p>
        </w:tc>
      </w:tr>
      <w:tr w:rsidR="008B43D6">
        <w:tblPrEx>
          <w:tblCellMar>
            <w:top w:w="0" w:type="dxa"/>
            <w:bottom w:w="0" w:type="dxa"/>
          </w:tblCellMar>
        </w:tblPrEx>
        <w:tc>
          <w:tcPr>
            <w:tcW w:w="10506" w:type="dxa"/>
          </w:tcPr>
          <w:p w:rsidR="008B43D6" w:rsidRDefault="008B43D6">
            <w:pPr>
              <w:ind w:left="567" w:hanging="567"/>
              <w:jc w:val="both"/>
              <w:rPr>
                <w:lang w:val="el-GR"/>
              </w:rPr>
            </w:pPr>
            <w:r>
              <w:rPr>
                <w:b/>
                <w:lang w:val="el-GR"/>
              </w:rPr>
              <w:t>6.1</w:t>
            </w:r>
            <w:r>
              <w:rPr>
                <w:b/>
                <w:lang w:val="el-GR"/>
              </w:rPr>
              <w:tab/>
            </w:r>
            <w:r>
              <w:rPr>
                <w:b/>
                <w:lang w:val="el-GR"/>
              </w:rPr>
              <w:tab/>
              <w:t xml:space="preserve">Κατάλογος εκδόχων </w:t>
            </w:r>
          </w:p>
          <w:p w:rsidR="008B43D6" w:rsidRDefault="008B43D6">
            <w:pPr>
              <w:ind w:left="709" w:firstLine="11"/>
              <w:jc w:val="both"/>
              <w:rPr>
                <w:lang w:val="el-GR"/>
              </w:rPr>
            </w:pPr>
          </w:p>
          <w:p w:rsidR="008B43D6" w:rsidRDefault="008B43D6">
            <w:pPr>
              <w:jc w:val="both"/>
              <w:rPr>
                <w:i/>
                <w:u w:val="single"/>
                <w:lang w:val="el-GR"/>
              </w:rPr>
            </w:pPr>
            <w:r>
              <w:rPr>
                <w:i/>
                <w:u w:val="single"/>
                <w:lang w:val="el-GR"/>
              </w:rPr>
              <w:t>Επικαλυμμένο με λεπτό υμένιο δισκίο</w:t>
            </w:r>
          </w:p>
          <w:p w:rsidR="008B43D6" w:rsidRDefault="008B43D6">
            <w:pPr>
              <w:jc w:val="both"/>
              <w:rPr>
                <w:rFonts w:cs="Arial"/>
                <w:spacing w:val="-3"/>
                <w:lang w:val="el-GR"/>
              </w:rPr>
            </w:pPr>
            <w:r>
              <w:rPr>
                <w:rFonts w:cs="Arial"/>
                <w:spacing w:val="-3"/>
                <w:lang w:val="el-GR"/>
              </w:rPr>
              <w:t xml:space="preserve">Πυρήνας δισκίου:  </w:t>
            </w:r>
          </w:p>
          <w:p w:rsidR="008B43D6" w:rsidRDefault="008B43D6">
            <w:pPr>
              <w:jc w:val="both"/>
              <w:rPr>
                <w:rFonts w:cs="Arial"/>
                <w:spacing w:val="-3"/>
                <w:lang w:val="el-GR"/>
              </w:rPr>
            </w:pPr>
            <w:r>
              <w:rPr>
                <w:rFonts w:cs="Arial"/>
                <w:spacing w:val="-3"/>
                <w:lang w:val="el-GR"/>
              </w:rPr>
              <w:t>Άμυλο αραβοσίτου</w:t>
            </w:r>
          </w:p>
          <w:p w:rsidR="008B43D6" w:rsidRDefault="008B43D6">
            <w:pPr>
              <w:jc w:val="both"/>
              <w:rPr>
                <w:rFonts w:cs="Arial"/>
                <w:spacing w:val="-3"/>
                <w:lang w:val="el-GR"/>
              </w:rPr>
            </w:pPr>
            <w:r>
              <w:rPr>
                <w:rFonts w:cs="Arial"/>
                <w:spacing w:val="-3"/>
                <w:lang w:val="el-GR"/>
              </w:rPr>
              <w:t xml:space="preserve">Μονουδρική λακτόζη, </w:t>
            </w:r>
          </w:p>
          <w:p w:rsidR="008B43D6" w:rsidRDefault="008B43D6">
            <w:pPr>
              <w:jc w:val="both"/>
              <w:rPr>
                <w:rFonts w:cs="Arial"/>
                <w:spacing w:val="-3"/>
                <w:lang w:val="el-GR"/>
              </w:rPr>
            </w:pPr>
            <w:r>
              <w:rPr>
                <w:rFonts w:cs="Arial"/>
                <w:spacing w:val="-3"/>
                <w:lang w:val="el-GR"/>
              </w:rPr>
              <w:t xml:space="preserve">Μικροκρυσταλλική κυτταρίνη , </w:t>
            </w:r>
          </w:p>
          <w:p w:rsidR="008B43D6" w:rsidRDefault="008B43D6">
            <w:pPr>
              <w:jc w:val="both"/>
              <w:rPr>
                <w:rFonts w:cs="Arial"/>
                <w:spacing w:val="-3"/>
                <w:lang w:val="el-GR"/>
              </w:rPr>
            </w:pPr>
            <w:r>
              <w:rPr>
                <w:rFonts w:cs="Arial"/>
                <w:spacing w:val="-3"/>
                <w:lang w:val="el-GR"/>
              </w:rPr>
              <w:t xml:space="preserve">Κοποβιντόνη, </w:t>
            </w:r>
          </w:p>
          <w:p w:rsidR="008B43D6" w:rsidRDefault="008B43D6">
            <w:pPr>
              <w:jc w:val="both"/>
              <w:rPr>
                <w:rFonts w:cs="Arial"/>
                <w:spacing w:val="-3"/>
                <w:lang w:val="el-GR"/>
              </w:rPr>
            </w:pPr>
            <w:r>
              <w:rPr>
                <w:rFonts w:cs="Arial"/>
                <w:spacing w:val="-3"/>
                <w:lang w:val="el-GR"/>
              </w:rPr>
              <w:lastRenderedPageBreak/>
              <w:t xml:space="preserve">Γλυκερόλη 85%, </w:t>
            </w:r>
          </w:p>
          <w:p w:rsidR="008B43D6" w:rsidRDefault="008B43D6">
            <w:pPr>
              <w:jc w:val="both"/>
              <w:rPr>
                <w:rFonts w:cs="Arial"/>
                <w:spacing w:val="-3"/>
                <w:lang w:val="el-GR"/>
              </w:rPr>
            </w:pPr>
            <w:r>
              <w:rPr>
                <w:rFonts w:cs="Arial"/>
                <w:spacing w:val="-3"/>
                <w:lang w:val="el-GR"/>
              </w:rPr>
              <w:t xml:space="preserve">Νάτριο κροσκαμελλόζης, </w:t>
            </w:r>
          </w:p>
          <w:p w:rsidR="008B43D6" w:rsidRDefault="008B43D6">
            <w:pPr>
              <w:jc w:val="both"/>
              <w:rPr>
                <w:rFonts w:cs="Arial"/>
                <w:spacing w:val="-3"/>
                <w:lang w:val="el-GR"/>
              </w:rPr>
            </w:pPr>
            <w:r>
              <w:rPr>
                <w:rFonts w:cs="Arial"/>
                <w:spacing w:val="-3"/>
                <w:lang w:val="el-GR"/>
              </w:rPr>
              <w:t xml:space="preserve">Στεατικό μαγνήσιο, </w:t>
            </w:r>
          </w:p>
          <w:p w:rsidR="008B43D6" w:rsidRDefault="008B43D6">
            <w:pPr>
              <w:jc w:val="both"/>
              <w:rPr>
                <w:rFonts w:cs="Arial"/>
                <w:spacing w:val="-3"/>
                <w:lang w:val="el-GR"/>
              </w:rPr>
            </w:pPr>
          </w:p>
          <w:p w:rsidR="008B43D6" w:rsidRDefault="008B43D6">
            <w:pPr>
              <w:jc w:val="both"/>
              <w:rPr>
                <w:rFonts w:cs="Arial"/>
                <w:spacing w:val="-3"/>
                <w:lang w:val="el-GR"/>
              </w:rPr>
            </w:pPr>
            <w:r>
              <w:rPr>
                <w:rFonts w:cs="Arial"/>
                <w:spacing w:val="-3"/>
                <w:lang w:val="el-GR"/>
              </w:rPr>
              <w:t xml:space="preserve">Επικάλυψη: </w:t>
            </w:r>
          </w:p>
          <w:p w:rsidR="008B43D6" w:rsidRDefault="008B43D6">
            <w:pPr>
              <w:jc w:val="both"/>
              <w:rPr>
                <w:rFonts w:cs="Arial"/>
                <w:spacing w:val="-3"/>
                <w:lang w:val="el-GR"/>
              </w:rPr>
            </w:pPr>
            <w:r>
              <w:rPr>
                <w:rFonts w:cs="Arial"/>
                <w:spacing w:val="-3"/>
                <w:lang w:val="el-GR"/>
              </w:rPr>
              <w:t xml:space="preserve">Υπρομελλόζη 5, </w:t>
            </w:r>
          </w:p>
          <w:p w:rsidR="008B43D6" w:rsidRDefault="008B43D6">
            <w:pPr>
              <w:jc w:val="both"/>
              <w:rPr>
                <w:rFonts w:cs="Arial"/>
                <w:spacing w:val="-3"/>
                <w:lang w:val="el-GR"/>
              </w:rPr>
            </w:pPr>
            <w:r>
              <w:rPr>
                <w:rFonts w:cs="Arial"/>
                <w:spacing w:val="-3"/>
                <w:lang w:val="el-GR"/>
              </w:rPr>
              <w:t xml:space="preserve">Μακρογέλη 400, </w:t>
            </w:r>
          </w:p>
          <w:p w:rsidR="008B43D6" w:rsidRDefault="008B43D6">
            <w:pPr>
              <w:jc w:val="both"/>
              <w:rPr>
                <w:rFonts w:cs="Arial"/>
                <w:spacing w:val="-3"/>
                <w:lang w:val="el-GR"/>
              </w:rPr>
            </w:pPr>
            <w:r>
              <w:rPr>
                <w:rFonts w:cs="Arial"/>
                <w:spacing w:val="-3"/>
                <w:lang w:val="el-GR"/>
              </w:rPr>
              <w:t>Διοξείδιο του τιτανίου (</w:t>
            </w:r>
            <w:r>
              <w:rPr>
                <w:rFonts w:cs="Arial"/>
                <w:spacing w:val="-3"/>
              </w:rPr>
              <w:t>E </w:t>
            </w:r>
            <w:r>
              <w:rPr>
                <w:rFonts w:cs="Arial"/>
                <w:spacing w:val="-3"/>
                <w:lang w:val="el-GR"/>
              </w:rPr>
              <w:t>171).</w:t>
            </w:r>
          </w:p>
          <w:p w:rsidR="008B43D6" w:rsidRDefault="008B43D6">
            <w:pPr>
              <w:ind w:left="709" w:firstLine="11"/>
              <w:jc w:val="both"/>
              <w:rPr>
                <w:lang w:val="el-GR"/>
              </w:rPr>
            </w:pPr>
          </w:p>
          <w:p w:rsidR="008B43D6" w:rsidRDefault="008B43D6">
            <w:pPr>
              <w:pStyle w:val="6"/>
              <w:ind w:left="0" w:firstLine="0"/>
            </w:pPr>
            <w:r>
              <w:t>Πόσιμες σταγόνες, διάλυμα</w:t>
            </w:r>
          </w:p>
          <w:p w:rsidR="008B43D6" w:rsidRDefault="008B43D6">
            <w:pPr>
              <w:pStyle w:val="a8"/>
              <w:jc w:val="both"/>
              <w:rPr>
                <w:rFonts w:cs="Arial"/>
                <w:b w:val="0"/>
                <w:lang w:val="el-GR"/>
              </w:rPr>
            </w:pPr>
            <w:r>
              <w:rPr>
                <w:b w:val="0"/>
                <w:lang w:val="el-GR"/>
              </w:rPr>
              <w:t xml:space="preserve">Μεθυλ παραυδροξυβενζοικό, προπυλ παραυδροξυβενζοικό, αιθανόλη 96 τοις εκατό, υδροξυαιθυλοκυτταρίνη, απεσταγμένο νερό.  </w:t>
            </w:r>
            <w:r>
              <w:rPr>
                <w:rFonts w:cs="Arial"/>
                <w:b w:val="0"/>
                <w:lang w:val="el-GR"/>
              </w:rPr>
              <w:t xml:space="preserve">Το διάλυμα περιέχει 9.0% </w:t>
            </w:r>
            <w:r>
              <w:rPr>
                <w:rFonts w:cs="Arial"/>
                <w:b w:val="0"/>
              </w:rPr>
              <w:t>v</w:t>
            </w:r>
            <w:r>
              <w:rPr>
                <w:rFonts w:cs="Arial"/>
                <w:b w:val="0"/>
                <w:lang w:val="el-GR"/>
              </w:rPr>
              <w:t>/</w:t>
            </w:r>
            <w:r>
              <w:rPr>
                <w:rFonts w:cs="Arial"/>
                <w:b w:val="0"/>
              </w:rPr>
              <w:t>v</w:t>
            </w:r>
            <w:r>
              <w:rPr>
                <w:rFonts w:cs="Arial"/>
                <w:b w:val="0"/>
                <w:lang w:val="el-GR"/>
              </w:rPr>
              <w:t xml:space="preserve"> αλκοόλη (76 </w:t>
            </w:r>
            <w:r>
              <w:rPr>
                <w:rFonts w:cs="Arial"/>
                <w:b w:val="0"/>
              </w:rPr>
              <w:t>mg</w:t>
            </w:r>
            <w:r>
              <w:rPr>
                <w:rFonts w:cs="Arial"/>
                <w:b w:val="0"/>
                <w:lang w:val="el-GR"/>
              </w:rPr>
              <w:t>/</w:t>
            </w:r>
            <w:r>
              <w:rPr>
                <w:rFonts w:cs="Arial"/>
                <w:b w:val="0"/>
              </w:rPr>
              <w:t>ml</w:t>
            </w:r>
            <w:r>
              <w:rPr>
                <w:rFonts w:cs="Arial"/>
                <w:b w:val="0"/>
                <w:lang w:val="el-GR"/>
              </w:rPr>
              <w:t>)</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lang w:val="el-GR"/>
              </w:rPr>
            </w:pPr>
            <w:r>
              <w:rPr>
                <w:b/>
                <w:lang w:val="el-GR"/>
              </w:rPr>
              <w:lastRenderedPageBreak/>
              <w:t>6.2</w:t>
            </w:r>
            <w:r>
              <w:rPr>
                <w:b/>
                <w:lang w:val="el-GR"/>
              </w:rPr>
              <w:tab/>
              <w:t xml:space="preserve">Ασυμβατότητες </w:t>
            </w:r>
          </w:p>
          <w:p w:rsidR="008B43D6" w:rsidRDefault="008B43D6">
            <w:pPr>
              <w:ind w:left="720"/>
              <w:jc w:val="both"/>
              <w:rPr>
                <w:lang w:val="el-GR"/>
              </w:rPr>
            </w:pPr>
          </w:p>
          <w:p w:rsidR="008B43D6" w:rsidRDefault="008B43D6">
            <w:pPr>
              <w:ind w:left="720"/>
              <w:jc w:val="both"/>
              <w:rPr>
                <w:lang w:val="el-GR"/>
              </w:rPr>
            </w:pPr>
            <w:r>
              <w:rPr>
                <w:lang w:val="el-GR"/>
              </w:rPr>
              <w:t>Οι σταγόνες θα πρέπει να αναμιγνύονται μόνο με νερό, χυμό πορτοκαλιού ή χυμό μήλου.</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lang w:val="el-GR"/>
              </w:rPr>
            </w:pPr>
            <w:r>
              <w:rPr>
                <w:b/>
                <w:lang w:val="el-GR"/>
              </w:rPr>
              <w:t>6.3</w:t>
            </w:r>
            <w:r>
              <w:rPr>
                <w:b/>
                <w:lang w:val="el-GR"/>
              </w:rPr>
              <w:tab/>
              <w:t xml:space="preserve">Διάρκεια ζωής </w:t>
            </w:r>
          </w:p>
          <w:p w:rsidR="008B43D6" w:rsidRDefault="008B43D6">
            <w:pPr>
              <w:ind w:left="720"/>
              <w:jc w:val="both"/>
              <w:rPr>
                <w:u w:val="single"/>
                <w:lang w:val="el-GR"/>
              </w:rPr>
            </w:pPr>
          </w:p>
          <w:p w:rsidR="008B43D6" w:rsidRDefault="008B43D6">
            <w:pPr>
              <w:rPr>
                <w:rFonts w:cs="Arial"/>
                <w:lang w:val="el-GR"/>
              </w:rPr>
            </w:pPr>
            <w:r>
              <w:rPr>
                <w:u w:val="single"/>
                <w:lang w:val="el-GR"/>
              </w:rPr>
              <w:t>Επικαλυμμένο με λεπτό υμένιο δισκίο</w:t>
            </w:r>
            <w:r>
              <w:rPr>
                <w:lang w:val="el-GR"/>
              </w:rPr>
              <w:t>: 5 έτη.</w:t>
            </w:r>
            <w:r>
              <w:rPr>
                <w:lang w:val="el-GR"/>
              </w:rPr>
              <w:br/>
            </w:r>
            <w:r>
              <w:rPr>
                <w:rFonts w:cs="Arial"/>
                <w:lang w:val="el-GR"/>
              </w:rPr>
              <w:t>Κάθε συσκευασία έχει ημερομηνία λήξεως</w:t>
            </w:r>
          </w:p>
          <w:p w:rsidR="008B43D6" w:rsidRDefault="008B43D6">
            <w:pPr>
              <w:ind w:left="720"/>
              <w:jc w:val="both"/>
              <w:rPr>
                <w:u w:val="single"/>
                <w:lang w:val="el-GR"/>
              </w:rPr>
            </w:pPr>
          </w:p>
          <w:p w:rsidR="008B43D6" w:rsidRDefault="008B43D6">
            <w:pPr>
              <w:jc w:val="both"/>
              <w:rPr>
                <w:lang w:val="el-GR"/>
              </w:rPr>
            </w:pPr>
            <w:r>
              <w:rPr>
                <w:u w:val="single"/>
                <w:lang w:val="el-GR"/>
              </w:rPr>
              <w:t>Πόσιμες σταγόνες, διάλυμα</w:t>
            </w:r>
            <w:r>
              <w:rPr>
                <w:lang w:val="el-GR"/>
              </w:rPr>
              <w:t xml:space="preserve">: 2 έτη. </w:t>
            </w:r>
          </w:p>
          <w:p w:rsidR="008B43D6" w:rsidRDefault="008B43D6">
            <w:pPr>
              <w:ind w:left="720"/>
              <w:jc w:val="both"/>
              <w:rPr>
                <w:b/>
                <w:lang w:val="el-GR"/>
              </w:rPr>
            </w:pPr>
          </w:p>
          <w:p w:rsidR="008B43D6" w:rsidRDefault="008B43D6">
            <w:pPr>
              <w:jc w:val="both"/>
              <w:rPr>
                <w:rFonts w:cs="Arial"/>
                <w:lang w:val="el-GR"/>
              </w:rPr>
            </w:pPr>
            <w:r>
              <w:rPr>
                <w:rFonts w:cs="Arial"/>
                <w:lang w:val="el-GR"/>
              </w:rPr>
              <w:t>Κάθε συσκευασία έχει ημερομηνία λήξεως. Μετά το άνοιγμα το διάλυμα έχει ισχύ για 16 εβδομάδες όταν αποθηκεύεται κάτω των 25°</w:t>
            </w:r>
            <w:r>
              <w:rPr>
                <w:rFonts w:cs="Arial"/>
              </w:rPr>
              <w:t>C</w:t>
            </w:r>
            <w:r>
              <w:rPr>
                <w:rFonts w:cs="Arial"/>
                <w:lang w:val="el-GR"/>
              </w:rPr>
              <w:t>.</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b/>
                <w:lang w:val="el-GR"/>
              </w:rPr>
            </w:pPr>
            <w:r>
              <w:rPr>
                <w:b/>
                <w:lang w:val="el-GR"/>
              </w:rPr>
              <w:t>6.4</w:t>
            </w:r>
            <w:r>
              <w:rPr>
                <w:b/>
                <w:lang w:val="el-GR"/>
              </w:rPr>
              <w:tab/>
              <w:t>Ιδιαίτερες προφυλάξεις για τη φύλαξη του προϊόντος</w:t>
            </w:r>
          </w:p>
          <w:p w:rsidR="008B43D6" w:rsidRDefault="008B43D6">
            <w:pPr>
              <w:ind w:left="720"/>
              <w:jc w:val="both"/>
              <w:rPr>
                <w:lang w:val="el-GR"/>
              </w:rPr>
            </w:pPr>
          </w:p>
          <w:p w:rsidR="008B43D6" w:rsidRDefault="008B43D6">
            <w:pPr>
              <w:ind w:left="720"/>
              <w:jc w:val="both"/>
              <w:rPr>
                <w:lang w:val="el-GR"/>
              </w:rPr>
            </w:pPr>
            <w:r>
              <w:rPr>
                <w:rFonts w:cs="Arial"/>
                <w:spacing w:val="-3"/>
                <w:lang w:val="el-GR"/>
              </w:rPr>
              <w:t xml:space="preserve">Δισκία : Να μην φυλάσσονται σε θερμοκρασία μεγαλύτερη των 25° </w:t>
            </w:r>
            <w:r>
              <w:rPr>
                <w:rFonts w:cs="Arial"/>
                <w:spacing w:val="-3"/>
              </w:rPr>
              <w:t>C</w:t>
            </w:r>
            <w:r>
              <w:rPr>
                <w:rFonts w:cs="Arial"/>
                <w:spacing w:val="-3"/>
                <w:lang w:val="el-GR"/>
              </w:rPr>
              <w:t>.</w:t>
            </w:r>
          </w:p>
          <w:p w:rsidR="008B43D6" w:rsidRDefault="008B43D6">
            <w:pPr>
              <w:ind w:left="720"/>
              <w:jc w:val="both"/>
              <w:rPr>
                <w:lang w:val="el-GR"/>
              </w:rPr>
            </w:pPr>
            <w:r>
              <w:rPr>
                <w:lang w:val="el-GR"/>
              </w:rPr>
              <w:t>Πόσιμες σταγόνες : Να μην φυλάσσονται σε θερμοκρασία μεγαλύτερη των 25</w:t>
            </w:r>
            <w:r>
              <w:sym w:font="Symbol" w:char="F0B0"/>
            </w:r>
            <w:r>
              <w:t>C</w:t>
            </w:r>
            <w:r>
              <w:rPr>
                <w:lang w:val="el-GR"/>
              </w:rPr>
              <w:t xml:space="preserve">. Μετά το άνοιγμα του διαλύματος μπορεί να χρησιμοποιηθεί εντός 16 εβδομάδων εφόσον φυλάσσεται σε θερμοκρασία κάτω των </w:t>
            </w:r>
            <w:r>
              <w:rPr>
                <w:rFonts w:cs="Arial"/>
                <w:spacing w:val="-3"/>
                <w:lang w:val="el-GR"/>
              </w:rPr>
              <w:t xml:space="preserve">25° </w:t>
            </w:r>
            <w:r>
              <w:rPr>
                <w:rFonts w:cs="Arial"/>
                <w:spacing w:val="-3"/>
              </w:rPr>
              <w:t>C</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keepNext/>
              <w:keepLines/>
              <w:jc w:val="both"/>
              <w:rPr>
                <w:b/>
                <w:lang w:val="el-GR"/>
              </w:rPr>
            </w:pPr>
            <w:r>
              <w:rPr>
                <w:b/>
                <w:lang w:val="el-GR"/>
              </w:rPr>
              <w:t>6.5</w:t>
            </w:r>
            <w:r>
              <w:rPr>
                <w:b/>
                <w:lang w:val="el-GR"/>
              </w:rPr>
              <w:tab/>
              <w:t xml:space="preserve">Φύση και συστατικά του περιέκτη </w:t>
            </w:r>
          </w:p>
          <w:p w:rsidR="008B43D6" w:rsidRDefault="008B43D6">
            <w:pPr>
              <w:ind w:left="720"/>
              <w:jc w:val="both"/>
              <w:rPr>
                <w:lang w:val="el-GR"/>
              </w:rPr>
            </w:pPr>
          </w:p>
          <w:p w:rsidR="008B43D6" w:rsidRDefault="008B43D6">
            <w:pPr>
              <w:jc w:val="both"/>
              <w:rPr>
                <w:lang w:val="el-GR"/>
              </w:rPr>
            </w:pPr>
            <w:r>
              <w:rPr>
                <w:lang w:val="el-GR"/>
              </w:rPr>
              <w:t>Δισκία :</w:t>
            </w:r>
          </w:p>
          <w:p w:rsidR="008B43D6" w:rsidRDefault="008B43D6">
            <w:pPr>
              <w:ind w:left="567"/>
              <w:jc w:val="both"/>
              <w:rPr>
                <w:lang w:val="el-GR"/>
              </w:rPr>
            </w:pPr>
            <w:r>
              <w:rPr>
                <w:lang w:val="el-GR"/>
              </w:rPr>
              <w:t xml:space="preserve">10 </w:t>
            </w:r>
            <w:r>
              <w:t>mg</w:t>
            </w:r>
            <w:r>
              <w:rPr>
                <w:lang w:val="el-GR"/>
              </w:rPr>
              <w:t>:</w:t>
            </w:r>
            <w:r>
              <w:rPr>
                <w:lang w:val="el-GR"/>
              </w:rPr>
              <w:tab/>
              <w:t xml:space="preserve">     12 δισκία σε συσκευασία </w:t>
            </w:r>
            <w:r>
              <w:t>blister</w:t>
            </w:r>
            <w:r>
              <w:rPr>
                <w:lang w:val="el-GR"/>
              </w:rPr>
              <w:t xml:space="preserve"> </w:t>
            </w:r>
          </w:p>
          <w:p w:rsidR="008B43D6" w:rsidRDefault="008B43D6">
            <w:pPr>
              <w:ind w:left="1701"/>
              <w:jc w:val="both"/>
              <w:rPr>
                <w:lang w:val="el-GR"/>
              </w:rPr>
            </w:pPr>
            <w:r>
              <w:rPr>
                <w:lang w:val="el-GR"/>
              </w:rPr>
              <w:t>100 δισκία σε περιέκτες πολυπροπυλενίου</w:t>
            </w:r>
          </w:p>
          <w:p w:rsidR="008B43D6" w:rsidRDefault="008B43D6">
            <w:pPr>
              <w:ind w:left="1701" w:hanging="1134"/>
              <w:jc w:val="both"/>
              <w:rPr>
                <w:lang w:val="el-GR"/>
              </w:rPr>
            </w:pPr>
            <w:r>
              <w:rPr>
                <w:lang w:val="el-GR"/>
              </w:rPr>
              <w:t xml:space="preserve">20 </w:t>
            </w:r>
            <w:r>
              <w:t>mg</w:t>
            </w:r>
            <w:r>
              <w:rPr>
                <w:lang w:val="el-GR"/>
              </w:rPr>
              <w:t>:</w:t>
            </w:r>
            <w:r>
              <w:rPr>
                <w:lang w:val="el-GR"/>
              </w:rPr>
              <w:tab/>
              <w:t xml:space="preserve">28 δισκία σε συσκευασία </w:t>
            </w:r>
            <w:r>
              <w:t>blister</w:t>
            </w:r>
          </w:p>
          <w:p w:rsidR="008B43D6" w:rsidRDefault="008B43D6">
            <w:pPr>
              <w:ind w:left="1701"/>
              <w:jc w:val="both"/>
              <w:rPr>
                <w:lang w:val="el-GR"/>
              </w:rPr>
            </w:pPr>
            <w:r>
              <w:rPr>
                <w:lang w:val="el-GR"/>
              </w:rPr>
              <w:t>100 σε περιέκτες πολυπροπυλενίου.</w:t>
            </w:r>
          </w:p>
          <w:p w:rsidR="008B43D6" w:rsidRDefault="008B43D6">
            <w:pPr>
              <w:ind w:left="567"/>
              <w:jc w:val="both"/>
              <w:rPr>
                <w:lang w:val="el-GR"/>
              </w:rPr>
            </w:pPr>
            <w:r>
              <w:rPr>
                <w:lang w:val="el-GR"/>
              </w:rPr>
              <w:t xml:space="preserve">40 </w:t>
            </w:r>
            <w:r>
              <w:t>mg</w:t>
            </w:r>
            <w:r>
              <w:rPr>
                <w:lang w:val="el-GR"/>
              </w:rPr>
              <w:t>:</w:t>
            </w:r>
            <w:r>
              <w:rPr>
                <w:lang w:val="el-GR"/>
              </w:rPr>
              <w:tab/>
              <w:t xml:space="preserve">     12 δισκία σε συσκευασία </w:t>
            </w:r>
            <w:r>
              <w:t>blister</w:t>
            </w:r>
          </w:p>
          <w:p w:rsidR="008B43D6" w:rsidRDefault="008B43D6">
            <w:pPr>
              <w:jc w:val="both"/>
              <w:rPr>
                <w:rFonts w:cs="Arial"/>
                <w:spacing w:val="-3"/>
                <w:lang w:val="el-GR"/>
              </w:rPr>
            </w:pPr>
            <w:r>
              <w:rPr>
                <w:lang w:val="el-GR"/>
              </w:rPr>
              <w:t xml:space="preserve">                               100 δισκία σε περιέκτες πολυπροπυλενίου</w:t>
            </w:r>
            <w:r>
              <w:rPr>
                <w:rFonts w:cs="Arial"/>
                <w:spacing w:val="-3"/>
                <w:lang w:val="el-GR"/>
              </w:rPr>
              <w:t xml:space="preserve"> </w:t>
            </w:r>
          </w:p>
          <w:p w:rsidR="008B43D6" w:rsidRDefault="008B43D6">
            <w:pPr>
              <w:ind w:left="720"/>
              <w:jc w:val="both"/>
              <w:rPr>
                <w:lang w:val="el-GR"/>
              </w:rPr>
            </w:pPr>
          </w:p>
          <w:p w:rsidR="008B43D6" w:rsidRDefault="008B43D6">
            <w:pPr>
              <w:jc w:val="both"/>
              <w:rPr>
                <w:i/>
                <w:u w:val="single"/>
                <w:lang w:val="el-GR"/>
              </w:rPr>
            </w:pPr>
            <w:r>
              <w:rPr>
                <w:i/>
                <w:u w:val="single"/>
                <w:lang w:val="el-GR"/>
              </w:rPr>
              <w:t>Πόσιμες σταγόνες, διάλυμα</w:t>
            </w:r>
          </w:p>
          <w:p w:rsidR="008B43D6" w:rsidRDefault="008B43D6">
            <w:pPr>
              <w:ind w:left="567"/>
              <w:jc w:val="both"/>
              <w:rPr>
                <w:lang w:val="el-GR"/>
              </w:rPr>
            </w:pPr>
            <w:r>
              <w:rPr>
                <w:i/>
                <w:iCs/>
                <w:lang w:val="el-GR"/>
              </w:rPr>
              <w:t xml:space="preserve">Οι σταγόνες </w:t>
            </w:r>
            <w:proofErr w:type="spellStart"/>
            <w:r>
              <w:rPr>
                <w:rFonts w:cs="Arial"/>
                <w:lang w:val="en-US"/>
              </w:rPr>
              <w:t>Seropram</w:t>
            </w:r>
            <w:proofErr w:type="spellEnd"/>
            <w:r>
              <w:rPr>
                <w:lang w:val="el-GR"/>
              </w:rPr>
              <w:t xml:space="preserve"> κυκλοφορούν ως διάλυμα 40 </w:t>
            </w:r>
            <w:r>
              <w:t>mg</w:t>
            </w:r>
            <w:r>
              <w:rPr>
                <w:lang w:val="el-GR"/>
              </w:rPr>
              <w:t>/</w:t>
            </w:r>
            <w:r>
              <w:t>ml</w:t>
            </w:r>
            <w:r>
              <w:rPr>
                <w:lang w:val="el-GR"/>
              </w:rPr>
              <w:t xml:space="preserve"> και είναι διαθέσιμες σε φιάλες με σταγονόμετρα των 15 </w:t>
            </w:r>
            <w:r>
              <w:t>ml</w:t>
            </w:r>
            <w:r>
              <w:rPr>
                <w:lang w:val="el-GR"/>
              </w:rPr>
              <w:t>.</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b/>
                <w:lang w:val="el-GR"/>
              </w:rPr>
            </w:pPr>
            <w:r>
              <w:rPr>
                <w:b/>
                <w:lang w:val="el-GR"/>
              </w:rPr>
              <w:t>6.6</w:t>
            </w:r>
            <w:r>
              <w:rPr>
                <w:b/>
                <w:lang w:val="el-GR"/>
              </w:rPr>
              <w:tab/>
              <w:t xml:space="preserve">Ιδιαίτερες προφυλάξεις απόρριψης </w:t>
            </w:r>
            <w:r>
              <w:rPr>
                <w:rFonts w:cs="Arial"/>
                <w:b/>
                <w:lang w:val="el-GR"/>
              </w:rPr>
              <w:t>και άλλος χειρισμός</w:t>
            </w:r>
          </w:p>
          <w:p w:rsidR="008B43D6" w:rsidRDefault="008B43D6">
            <w:pPr>
              <w:ind w:left="720"/>
              <w:jc w:val="both"/>
              <w:rPr>
                <w:lang w:val="el-GR"/>
              </w:rPr>
            </w:pPr>
          </w:p>
          <w:p w:rsidR="008B43D6" w:rsidRDefault="008B43D6">
            <w:pPr>
              <w:jc w:val="both"/>
              <w:rPr>
                <w:rFonts w:cs="Arial"/>
                <w:spacing w:val="-3"/>
                <w:lang w:val="el-GR"/>
              </w:rPr>
            </w:pPr>
            <w:r>
              <w:rPr>
                <w:noProof/>
                <w:lang w:val="el-GR"/>
              </w:rPr>
              <w:lastRenderedPageBreak/>
              <w:t>Κάθε προϊόν που δεν έχει χρησιμοποιηθεί ή υπόλειμμα πρέπει να απορριφθεί σύμφωνα με τις κατά τόπους ισχύουσες σχετικές διατάξεις</w:t>
            </w:r>
          </w:p>
          <w:p w:rsidR="008B43D6" w:rsidRDefault="008B43D6">
            <w:pPr>
              <w:jc w:val="both"/>
              <w:rPr>
                <w:rFonts w:cs="Arial"/>
                <w:u w:val="single"/>
                <w:lang w:val="el-GR"/>
              </w:rPr>
            </w:pPr>
            <w:r>
              <w:rPr>
                <w:rFonts w:cs="Arial"/>
                <w:bCs/>
                <w:iCs/>
                <w:u w:val="single"/>
                <w:lang w:val="el-GR"/>
              </w:rPr>
              <w:t>Φιάλη με εφαρμοσμένο σταγονόμετρο</w:t>
            </w:r>
            <w:r>
              <w:rPr>
                <w:rFonts w:cs="Arial"/>
                <w:bCs/>
                <w:i/>
                <w:iCs/>
                <w:lang w:val="el-GR"/>
              </w:rPr>
              <w:t xml:space="preserve"> </w:t>
            </w:r>
          </w:p>
          <w:p w:rsidR="008B43D6" w:rsidRDefault="008B43D6">
            <w:pPr>
              <w:pStyle w:val="a8"/>
              <w:jc w:val="both"/>
              <w:rPr>
                <w:b w:val="0"/>
                <w:lang w:val="el-GR"/>
              </w:rPr>
            </w:pPr>
            <w:r>
              <w:rPr>
                <w:b w:val="0"/>
                <w:lang w:val="el-GR"/>
              </w:rPr>
              <w:t xml:space="preserve">Μετρήστε τον απαιτούμενο αριθμό σταγόνων στο ποτό σας (νερό, χυμό πορτοκαλιού ή χυμό μήλου), ανακατέψτε για λίγο και πιείτε το όλο. </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b/>
                <w:lang w:val="el-GR"/>
              </w:rPr>
            </w:pPr>
            <w:r>
              <w:rPr>
                <w:b/>
                <w:lang w:val="el-GR"/>
              </w:rPr>
              <w:lastRenderedPageBreak/>
              <w:t>7.</w:t>
            </w:r>
            <w:r>
              <w:rPr>
                <w:b/>
                <w:lang w:val="el-GR"/>
              </w:rPr>
              <w:tab/>
              <w:t xml:space="preserve">Κάτοχος της Άδειας Κυκλοφορίας </w:t>
            </w:r>
          </w:p>
          <w:p w:rsidR="008B43D6" w:rsidRDefault="008B43D6">
            <w:pPr>
              <w:ind w:left="720"/>
              <w:jc w:val="both"/>
              <w:rPr>
                <w:lang w:val="el-GR"/>
              </w:rPr>
            </w:pPr>
          </w:p>
          <w:p w:rsidR="008B43D6" w:rsidRDefault="008B43D6">
            <w:pPr>
              <w:ind w:left="720"/>
              <w:jc w:val="both"/>
              <w:rPr>
                <w:lang w:val="el-GR"/>
              </w:rPr>
            </w:pPr>
            <w:r>
              <w:rPr>
                <w:lang w:val="en-US"/>
              </w:rPr>
              <w:t>Lundbeck</w:t>
            </w:r>
            <w:r>
              <w:rPr>
                <w:lang w:val="el-GR"/>
              </w:rPr>
              <w:t xml:space="preserve"> </w:t>
            </w:r>
            <w:r>
              <w:rPr>
                <w:lang w:val="en-US"/>
              </w:rPr>
              <w:t>Hellas</w:t>
            </w:r>
            <w:r>
              <w:rPr>
                <w:lang w:val="el-GR"/>
              </w:rPr>
              <w:t xml:space="preserve"> </w:t>
            </w:r>
            <w:r>
              <w:rPr>
                <w:lang w:val="en-US"/>
              </w:rPr>
              <w:t>S</w:t>
            </w:r>
            <w:r>
              <w:rPr>
                <w:lang w:val="el-GR"/>
              </w:rPr>
              <w:t>.</w:t>
            </w:r>
            <w:r>
              <w:rPr>
                <w:lang w:val="en-US"/>
              </w:rPr>
              <w:t>A</w:t>
            </w:r>
            <w:r>
              <w:rPr>
                <w:lang w:val="el-GR"/>
              </w:rPr>
              <w:t>.</w:t>
            </w:r>
          </w:p>
          <w:p w:rsidR="008B43D6" w:rsidRDefault="008B43D6">
            <w:pPr>
              <w:ind w:left="720"/>
              <w:jc w:val="both"/>
              <w:rPr>
                <w:lang w:val="el-GR"/>
              </w:rPr>
            </w:pPr>
            <w:r>
              <w:rPr>
                <w:lang w:val="el-GR"/>
              </w:rPr>
              <w:t xml:space="preserve">Κηφισίας </w:t>
            </w:r>
            <w:r w:rsidR="000A5463">
              <w:rPr>
                <w:lang w:val="el-GR"/>
              </w:rPr>
              <w:t>109 &amp; Σίνα</w:t>
            </w:r>
          </w:p>
          <w:p w:rsidR="008B43D6" w:rsidRDefault="008B43D6">
            <w:pPr>
              <w:ind w:left="720"/>
              <w:jc w:val="both"/>
              <w:rPr>
                <w:lang w:val="el-GR"/>
              </w:rPr>
            </w:pPr>
            <w:r>
              <w:rPr>
                <w:lang w:val="el-GR"/>
              </w:rPr>
              <w:t>151 2</w:t>
            </w:r>
            <w:r w:rsidR="000A5463">
              <w:rPr>
                <w:lang w:val="el-GR"/>
              </w:rPr>
              <w:t>4</w:t>
            </w:r>
            <w:r>
              <w:rPr>
                <w:lang w:val="el-GR"/>
              </w:rPr>
              <w:t xml:space="preserve"> Μαρούσι, Αθήνα</w:t>
            </w:r>
          </w:p>
          <w:p w:rsidR="008B43D6" w:rsidRDefault="008B43D6">
            <w:pPr>
              <w:ind w:left="720"/>
              <w:jc w:val="both"/>
              <w:rPr>
                <w:lang w:val="el-GR"/>
              </w:rPr>
            </w:pPr>
            <w:r>
              <w:rPr>
                <w:lang w:val="el-GR"/>
              </w:rPr>
              <w:t>τηλ.: 2106105 036-8</w:t>
            </w:r>
          </w:p>
          <w:p w:rsidR="008B43D6" w:rsidRDefault="008B43D6">
            <w:pPr>
              <w:ind w:left="720"/>
              <w:jc w:val="both"/>
              <w:rPr>
                <w:lang w:val="el-GR"/>
              </w:rPr>
            </w:pPr>
            <w:r>
              <w:t>fax</w:t>
            </w:r>
            <w:r>
              <w:rPr>
                <w:lang w:val="el-GR"/>
              </w:rPr>
              <w:t xml:space="preserve">: 2106105 039 </w:t>
            </w:r>
            <w:r>
              <w:rPr>
                <w:lang w:val="el-GR"/>
              </w:rPr>
              <w:tab/>
            </w:r>
          </w:p>
          <w:p w:rsidR="008B43D6" w:rsidRDefault="008B43D6">
            <w:pPr>
              <w:jc w:val="both"/>
              <w:rPr>
                <w:lang w:val="el-GR"/>
              </w:rPr>
            </w:pPr>
          </w:p>
          <w:p w:rsidR="008B43D6" w:rsidRDefault="008B43D6">
            <w:pPr>
              <w:jc w:val="both"/>
              <w:rPr>
                <w:lang w:val="el-GR"/>
              </w:rPr>
            </w:pP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jc w:val="both"/>
              <w:rPr>
                <w:b/>
                <w:lang w:val="el-GR"/>
              </w:rPr>
            </w:pPr>
            <w:r>
              <w:rPr>
                <w:b/>
                <w:lang w:val="el-GR"/>
              </w:rPr>
              <w:t>8.</w:t>
            </w:r>
            <w:r>
              <w:rPr>
                <w:b/>
                <w:lang w:val="el-GR"/>
              </w:rPr>
              <w:tab/>
              <w:t xml:space="preserve">Αριθμός Άδειας Κυκλοφορίας </w:t>
            </w:r>
          </w:p>
          <w:p w:rsidR="008B43D6" w:rsidRDefault="008B43D6">
            <w:pPr>
              <w:pStyle w:val="a3"/>
              <w:tabs>
                <w:tab w:val="clear" w:pos="4153"/>
                <w:tab w:val="clear" w:pos="8306"/>
              </w:tabs>
              <w:jc w:val="both"/>
              <w:rPr>
                <w:lang w:val="el-GR"/>
              </w:rPr>
            </w:pPr>
            <w:r>
              <w:rPr>
                <w:lang w:val="el-GR"/>
              </w:rPr>
              <w:t>40762/10/27-5-2011 δισκία 10</w:t>
            </w:r>
            <w:r>
              <w:rPr>
                <w:lang w:val="en-US"/>
              </w:rPr>
              <w:t>mg</w:t>
            </w:r>
            <w:r>
              <w:rPr>
                <w:lang w:val="el-GR"/>
              </w:rPr>
              <w:t>/</w:t>
            </w:r>
            <w:r>
              <w:rPr>
                <w:lang w:val="en-US"/>
              </w:rPr>
              <w:t>tab</w:t>
            </w:r>
          </w:p>
          <w:p w:rsidR="008B43D6" w:rsidRDefault="008B43D6">
            <w:pPr>
              <w:pStyle w:val="a3"/>
              <w:tabs>
                <w:tab w:val="clear" w:pos="4153"/>
                <w:tab w:val="clear" w:pos="8306"/>
              </w:tabs>
              <w:jc w:val="both"/>
              <w:rPr>
                <w:lang w:val="el-GR"/>
              </w:rPr>
            </w:pPr>
            <w:r>
              <w:rPr>
                <w:lang w:val="el-GR"/>
              </w:rPr>
              <w:t>40764/10/27-5-2011 δισκία 20</w:t>
            </w:r>
            <w:r>
              <w:rPr>
                <w:lang w:val="en-US"/>
              </w:rPr>
              <w:t>mg</w:t>
            </w:r>
            <w:r>
              <w:rPr>
                <w:lang w:val="el-GR"/>
              </w:rPr>
              <w:t>/</w:t>
            </w:r>
            <w:r>
              <w:rPr>
                <w:lang w:val="en-US"/>
              </w:rPr>
              <w:t>tab</w:t>
            </w:r>
          </w:p>
          <w:p w:rsidR="008B43D6" w:rsidRDefault="008B43D6">
            <w:pPr>
              <w:pStyle w:val="a3"/>
              <w:tabs>
                <w:tab w:val="clear" w:pos="4153"/>
                <w:tab w:val="clear" w:pos="8306"/>
              </w:tabs>
              <w:jc w:val="both"/>
              <w:rPr>
                <w:lang w:val="el-GR"/>
              </w:rPr>
            </w:pPr>
            <w:r>
              <w:rPr>
                <w:lang w:val="el-GR"/>
              </w:rPr>
              <w:t>40766/10/27-5-2011 δισκία 40</w:t>
            </w:r>
            <w:r>
              <w:rPr>
                <w:lang w:val="en-US"/>
              </w:rPr>
              <w:t>mg</w:t>
            </w:r>
            <w:r>
              <w:rPr>
                <w:lang w:val="el-GR"/>
              </w:rPr>
              <w:t>/</w:t>
            </w:r>
            <w:r>
              <w:rPr>
                <w:lang w:val="en-US"/>
              </w:rPr>
              <w:t>tab</w:t>
            </w:r>
          </w:p>
          <w:p w:rsidR="008B43D6" w:rsidRDefault="008B43D6">
            <w:pPr>
              <w:pStyle w:val="a3"/>
              <w:tabs>
                <w:tab w:val="clear" w:pos="4153"/>
                <w:tab w:val="clear" w:pos="8306"/>
              </w:tabs>
              <w:jc w:val="both"/>
              <w:rPr>
                <w:lang w:val="el-GR"/>
              </w:rPr>
            </w:pPr>
            <w:r>
              <w:rPr>
                <w:lang w:val="el-GR"/>
              </w:rPr>
              <w:t>69442/26-11-2009 πόσιμες σταγόνες διάλυμα 40</w:t>
            </w:r>
            <w:r>
              <w:rPr>
                <w:lang w:val="en-US"/>
              </w:rPr>
              <w:t>mg</w:t>
            </w:r>
            <w:r>
              <w:rPr>
                <w:lang w:val="el-GR"/>
              </w:rPr>
              <w:t>/</w:t>
            </w:r>
            <w:r>
              <w:rPr>
                <w:lang w:val="en-US"/>
              </w:rPr>
              <w:t>ml</w:t>
            </w:r>
          </w:p>
          <w:p w:rsidR="008B43D6" w:rsidRDefault="008B43D6">
            <w:pPr>
              <w:jc w:val="both"/>
              <w:rPr>
                <w:lang w:val="el-GR"/>
              </w:rPr>
            </w:pPr>
          </w:p>
        </w:tc>
      </w:tr>
      <w:tr w:rsidR="008B43D6">
        <w:tblPrEx>
          <w:tblCellMar>
            <w:top w:w="0" w:type="dxa"/>
            <w:bottom w:w="0" w:type="dxa"/>
          </w:tblCellMar>
        </w:tblPrEx>
        <w:tc>
          <w:tcPr>
            <w:tcW w:w="10506" w:type="dxa"/>
          </w:tcPr>
          <w:p w:rsidR="008B43D6" w:rsidRDefault="008B43D6">
            <w:pPr>
              <w:pStyle w:val="a8"/>
              <w:ind w:left="744" w:hanging="744"/>
              <w:jc w:val="both"/>
              <w:rPr>
                <w:lang w:val="el-GR"/>
              </w:rPr>
            </w:pPr>
            <w:r>
              <w:rPr>
                <w:lang w:val="el-GR"/>
              </w:rPr>
              <w:t>9.</w:t>
            </w:r>
            <w:r>
              <w:rPr>
                <w:lang w:val="el-GR"/>
              </w:rPr>
              <w:tab/>
              <w:t xml:space="preserve">Ημερομηνία Πρώτης Έγκρισης/Ανανέωσης της Έγκρισης </w:t>
            </w:r>
          </w:p>
          <w:p w:rsidR="008B43D6" w:rsidRDefault="008B43D6">
            <w:pPr>
              <w:ind w:left="744" w:hanging="744"/>
              <w:jc w:val="both"/>
              <w:rPr>
                <w:lang w:val="el-GR"/>
              </w:rPr>
            </w:pPr>
          </w:p>
          <w:p w:rsidR="008B43D6" w:rsidRDefault="008B43D6">
            <w:pPr>
              <w:ind w:left="567" w:hanging="567"/>
              <w:jc w:val="both"/>
              <w:rPr>
                <w:rFonts w:cs="Arial"/>
                <w:bCs/>
                <w:caps/>
                <w:lang w:val="el-GR"/>
              </w:rPr>
            </w:pPr>
            <w:r>
              <w:rPr>
                <w:lang w:val="el-GR"/>
              </w:rPr>
              <w:t>Διεθνής γενέθλιος ημερομηνία</w:t>
            </w:r>
            <w:r>
              <w:rPr>
                <w:rFonts w:cs="Arial"/>
                <w:bCs/>
                <w:lang w:val="el-GR"/>
              </w:rPr>
              <w:t>:</w:t>
            </w:r>
            <w:r>
              <w:rPr>
                <w:rFonts w:cs="Arial"/>
                <w:bCs/>
                <w:caps/>
                <w:lang w:val="el-GR"/>
              </w:rPr>
              <w:t xml:space="preserve"> 1989-01-30 (</w:t>
            </w:r>
            <w:r>
              <w:rPr>
                <w:rFonts w:cs="Arial"/>
                <w:bCs/>
                <w:caps/>
              </w:rPr>
              <w:t>DK</w:t>
            </w:r>
            <w:r>
              <w:rPr>
                <w:rFonts w:cs="Arial"/>
                <w:bCs/>
                <w:caps/>
                <w:lang w:val="el-GR"/>
              </w:rPr>
              <w:t>)</w:t>
            </w:r>
          </w:p>
          <w:p w:rsidR="008B43D6" w:rsidRDefault="008B43D6">
            <w:pPr>
              <w:jc w:val="both"/>
              <w:rPr>
                <w:lang w:val="el-GR"/>
              </w:rPr>
            </w:pPr>
          </w:p>
          <w:p w:rsidR="008B43D6" w:rsidRDefault="008B43D6">
            <w:pPr>
              <w:jc w:val="both"/>
              <w:rPr>
                <w:lang w:val="el-GR"/>
              </w:rPr>
            </w:pPr>
          </w:p>
          <w:p w:rsidR="008B43D6" w:rsidRDefault="008B43D6">
            <w:pPr>
              <w:jc w:val="both"/>
              <w:rPr>
                <w:lang w:val="el-GR"/>
              </w:rPr>
            </w:pPr>
            <w:r>
              <w:rPr>
                <w:lang w:val="el-GR"/>
              </w:rPr>
              <w:t xml:space="preserve">Ημερομηνία πρώτης έγκρισης: </w:t>
            </w:r>
          </w:p>
          <w:p w:rsidR="008B43D6" w:rsidRDefault="008B43D6">
            <w:pPr>
              <w:pStyle w:val="a3"/>
              <w:tabs>
                <w:tab w:val="clear" w:pos="4153"/>
                <w:tab w:val="clear" w:pos="8306"/>
              </w:tabs>
              <w:jc w:val="both"/>
              <w:rPr>
                <w:lang w:val="el-GR"/>
              </w:rPr>
            </w:pPr>
            <w:r>
              <w:rPr>
                <w:lang w:val="el-GR"/>
              </w:rPr>
              <w:t>11-10-1990 δισκία 10</w:t>
            </w:r>
            <w:r>
              <w:rPr>
                <w:lang w:val="en-US"/>
              </w:rPr>
              <w:t>mg</w:t>
            </w:r>
            <w:r>
              <w:rPr>
                <w:lang w:val="el-GR"/>
              </w:rPr>
              <w:t>/</w:t>
            </w:r>
            <w:r>
              <w:rPr>
                <w:lang w:val="en-US"/>
              </w:rPr>
              <w:t>tab</w:t>
            </w:r>
          </w:p>
          <w:p w:rsidR="008B43D6" w:rsidRDefault="008B43D6">
            <w:pPr>
              <w:pStyle w:val="a3"/>
              <w:tabs>
                <w:tab w:val="clear" w:pos="4153"/>
                <w:tab w:val="clear" w:pos="8306"/>
              </w:tabs>
              <w:jc w:val="both"/>
              <w:rPr>
                <w:lang w:val="el-GR"/>
              </w:rPr>
            </w:pPr>
            <w:r>
              <w:rPr>
                <w:lang w:val="el-GR"/>
              </w:rPr>
              <w:t>11-10-1990 δισκία 20</w:t>
            </w:r>
            <w:r>
              <w:rPr>
                <w:lang w:val="en-US"/>
              </w:rPr>
              <w:t>mg</w:t>
            </w:r>
            <w:r>
              <w:rPr>
                <w:lang w:val="el-GR"/>
              </w:rPr>
              <w:t>/</w:t>
            </w:r>
            <w:r>
              <w:rPr>
                <w:lang w:val="en-US"/>
              </w:rPr>
              <w:t>tab</w:t>
            </w:r>
          </w:p>
          <w:p w:rsidR="008B43D6" w:rsidRDefault="008B43D6">
            <w:pPr>
              <w:pStyle w:val="a3"/>
              <w:tabs>
                <w:tab w:val="clear" w:pos="4153"/>
                <w:tab w:val="clear" w:pos="8306"/>
              </w:tabs>
              <w:jc w:val="both"/>
              <w:rPr>
                <w:lang w:val="el-GR"/>
              </w:rPr>
            </w:pPr>
            <w:r>
              <w:rPr>
                <w:lang w:val="el-GR"/>
              </w:rPr>
              <w:t>11-10-1990 δισκία 40</w:t>
            </w:r>
            <w:r>
              <w:rPr>
                <w:lang w:val="en-US"/>
              </w:rPr>
              <w:t>mg</w:t>
            </w:r>
            <w:r>
              <w:rPr>
                <w:lang w:val="el-GR"/>
              </w:rPr>
              <w:t>/</w:t>
            </w:r>
            <w:r>
              <w:rPr>
                <w:lang w:val="en-US"/>
              </w:rPr>
              <w:t>tab</w:t>
            </w:r>
          </w:p>
          <w:p w:rsidR="008B43D6" w:rsidRDefault="008B43D6">
            <w:pPr>
              <w:jc w:val="both"/>
              <w:rPr>
                <w:lang w:val="el-GR"/>
              </w:rPr>
            </w:pPr>
            <w:r>
              <w:rPr>
                <w:lang w:val="el-GR"/>
              </w:rPr>
              <w:t>22-10-2001 πόσιμες σταγόνες διάλυμα 40</w:t>
            </w:r>
            <w:r>
              <w:rPr>
                <w:lang w:val="en-US"/>
              </w:rPr>
              <w:t>mg</w:t>
            </w:r>
            <w:r>
              <w:rPr>
                <w:lang w:val="el-GR"/>
              </w:rPr>
              <w:t>/</w:t>
            </w:r>
            <w:r>
              <w:rPr>
                <w:lang w:val="en-US"/>
              </w:rPr>
              <w:t>ml</w:t>
            </w:r>
            <w:r>
              <w:rPr>
                <w:lang w:val="el-GR"/>
              </w:rPr>
              <w:t xml:space="preserve"> </w:t>
            </w:r>
          </w:p>
          <w:p w:rsidR="008B43D6" w:rsidRDefault="008B43D6">
            <w:pPr>
              <w:jc w:val="both"/>
              <w:rPr>
                <w:lang w:val="el-GR"/>
              </w:rPr>
            </w:pPr>
          </w:p>
          <w:p w:rsidR="008B43D6" w:rsidRDefault="008B43D6">
            <w:pPr>
              <w:jc w:val="both"/>
              <w:rPr>
                <w:lang w:val="el-GR"/>
              </w:rPr>
            </w:pPr>
          </w:p>
          <w:p w:rsidR="008B43D6" w:rsidRDefault="008B43D6">
            <w:pPr>
              <w:jc w:val="both"/>
              <w:rPr>
                <w:lang w:val="el-GR"/>
              </w:rPr>
            </w:pPr>
            <w:r>
              <w:rPr>
                <w:lang w:val="el-GR"/>
              </w:rPr>
              <w:t xml:space="preserve">Ημερομηνία τελευταίας ανανέωσης </w:t>
            </w:r>
          </w:p>
          <w:p w:rsidR="008B43D6" w:rsidRDefault="008B43D6">
            <w:pPr>
              <w:jc w:val="both"/>
              <w:rPr>
                <w:lang w:val="el-GR"/>
              </w:rPr>
            </w:pPr>
            <w:r>
              <w:rPr>
                <w:lang w:val="el-GR"/>
              </w:rPr>
              <w:t>27/5/2011 δισκία</w:t>
            </w:r>
          </w:p>
          <w:p w:rsidR="008B43D6" w:rsidRDefault="008B43D6">
            <w:pPr>
              <w:jc w:val="both"/>
              <w:rPr>
                <w:lang w:val="el-GR"/>
              </w:rPr>
            </w:pPr>
            <w:r>
              <w:rPr>
                <w:lang w:val="el-GR"/>
              </w:rPr>
              <w:t>16/03/2007 πόσιμες σταγόνες</w:t>
            </w:r>
          </w:p>
          <w:p w:rsidR="008B43D6" w:rsidRDefault="008B43D6">
            <w:pPr>
              <w:ind w:left="744"/>
              <w:jc w:val="both"/>
              <w:rPr>
                <w:lang w:val="el-GR"/>
              </w:rPr>
            </w:pPr>
            <w:r>
              <w:rPr>
                <w:b/>
                <w:lang w:val="el-GR"/>
              </w:rPr>
              <w:tab/>
            </w:r>
          </w:p>
        </w:tc>
      </w:tr>
      <w:tr w:rsidR="008B43D6">
        <w:tblPrEx>
          <w:tblCellMar>
            <w:top w:w="0" w:type="dxa"/>
            <w:bottom w:w="0" w:type="dxa"/>
          </w:tblCellMar>
        </w:tblPrEx>
        <w:tc>
          <w:tcPr>
            <w:tcW w:w="10506" w:type="dxa"/>
          </w:tcPr>
          <w:p w:rsidR="008B43D6" w:rsidRDefault="008B43D6">
            <w:pPr>
              <w:jc w:val="both"/>
              <w:rPr>
                <w:b/>
                <w:lang w:val="el-GR"/>
              </w:rPr>
            </w:pPr>
            <w:r>
              <w:rPr>
                <w:b/>
                <w:lang w:val="el-GR"/>
              </w:rPr>
              <w:t>10.  Ημερομηνία (Μερικής) Αναθεώρησης Κειμένου</w:t>
            </w:r>
          </w:p>
          <w:p w:rsidR="008B43D6" w:rsidRDefault="008B43D6">
            <w:pPr>
              <w:ind w:left="360" w:firstLine="384"/>
              <w:jc w:val="both"/>
              <w:rPr>
                <w:lang w:val="el-GR"/>
              </w:rPr>
            </w:pPr>
          </w:p>
        </w:tc>
      </w:tr>
      <w:tr w:rsidR="008B43D6">
        <w:tblPrEx>
          <w:tblCellMar>
            <w:top w:w="0" w:type="dxa"/>
            <w:bottom w:w="0" w:type="dxa"/>
          </w:tblCellMar>
        </w:tblPrEx>
        <w:tc>
          <w:tcPr>
            <w:tcW w:w="10506" w:type="dxa"/>
          </w:tcPr>
          <w:p w:rsidR="008B43D6" w:rsidRDefault="008B43D6">
            <w:pPr>
              <w:tabs>
                <w:tab w:val="num" w:pos="744"/>
              </w:tabs>
              <w:ind w:left="1080" w:hanging="1046"/>
              <w:jc w:val="both"/>
              <w:rPr>
                <w:b/>
                <w:lang w:val="el-GR"/>
              </w:rPr>
            </w:pPr>
            <w:r>
              <w:rPr>
                <w:b/>
                <w:lang w:val="el-GR"/>
              </w:rPr>
              <w:t>11.</w:t>
            </w:r>
            <w:r>
              <w:rPr>
                <w:b/>
                <w:lang w:val="el-GR"/>
              </w:rPr>
              <w:tab/>
              <w:t>ΔΙΑΘΕΣΗ</w:t>
            </w:r>
          </w:p>
          <w:p w:rsidR="008B43D6" w:rsidRDefault="008B43D6">
            <w:pPr>
              <w:tabs>
                <w:tab w:val="num" w:pos="744"/>
              </w:tabs>
              <w:ind w:left="1080" w:hanging="1046"/>
              <w:jc w:val="both"/>
              <w:rPr>
                <w:b/>
                <w:lang w:val="el-GR"/>
              </w:rPr>
            </w:pPr>
          </w:p>
          <w:p w:rsidR="008B43D6" w:rsidRDefault="008B43D6">
            <w:pPr>
              <w:tabs>
                <w:tab w:val="num" w:pos="744"/>
              </w:tabs>
              <w:ind w:left="1080" w:hanging="1046"/>
              <w:jc w:val="both"/>
              <w:rPr>
                <w:b/>
                <w:lang w:val="el-GR"/>
              </w:rPr>
            </w:pPr>
            <w:r>
              <w:rPr>
                <w:b/>
                <w:lang w:val="el-GR"/>
              </w:rPr>
              <w:t>Μόνο με ιατρική συνταγή</w:t>
            </w:r>
          </w:p>
          <w:p w:rsidR="008B43D6" w:rsidRDefault="008B43D6">
            <w:pPr>
              <w:tabs>
                <w:tab w:val="num" w:pos="744"/>
              </w:tabs>
              <w:ind w:left="1080" w:hanging="1046"/>
              <w:jc w:val="both"/>
              <w:rPr>
                <w:b/>
                <w:lang w:val="el-GR"/>
              </w:rPr>
            </w:pPr>
            <w:r>
              <w:rPr>
                <w:b/>
                <w:lang w:val="el-GR"/>
              </w:rPr>
              <w:tab/>
            </w:r>
          </w:p>
        </w:tc>
      </w:tr>
    </w:tbl>
    <w:p w:rsidR="008B43D6" w:rsidRDefault="008B43D6">
      <w:pPr>
        <w:jc w:val="both"/>
      </w:pPr>
    </w:p>
    <w:sectPr w:rsidR="008B43D6">
      <w:footerReference w:type="even" r:id="rId13"/>
      <w:footerReference w:type="default" r:id="rId14"/>
      <w:pgSz w:w="11906" w:h="16838" w:code="9"/>
      <w:pgMar w:top="1440" w:right="179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59" w:rsidRDefault="00934559">
      <w:r>
        <w:separator/>
      </w:r>
    </w:p>
  </w:endnote>
  <w:endnote w:type="continuationSeparator" w:id="0">
    <w:p w:rsidR="00934559" w:rsidRDefault="0093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r_symbol">
    <w:altName w:val="Symbol"/>
    <w:charset w:val="02"/>
    <w:family w:val="modern"/>
    <w:pitch w:val="fixed"/>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43D6" w:rsidRDefault="008B43D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4"/>
      <w:framePr w:wrap="around" w:vAnchor="text" w:hAnchor="margin" w:xAlign="right" w:y="1"/>
      <w:rPr>
        <w:rStyle w:val="a5"/>
        <w:sz w:val="20"/>
      </w:rPr>
    </w:pPr>
    <w:r>
      <w:rPr>
        <w:rStyle w:val="a5"/>
        <w:sz w:val="20"/>
        <w:lang w:val="el-GR"/>
      </w:rPr>
      <w:t xml:space="preserve">Σελίδα </w:t>
    </w:r>
    <w:r>
      <w:rPr>
        <w:rStyle w:val="a5"/>
        <w:sz w:val="20"/>
      </w:rPr>
      <w:fldChar w:fldCharType="begin"/>
    </w:r>
    <w:r>
      <w:rPr>
        <w:rStyle w:val="a5"/>
        <w:sz w:val="20"/>
      </w:rPr>
      <w:instrText xml:space="preserve">PAGE  </w:instrText>
    </w:r>
    <w:r>
      <w:rPr>
        <w:rStyle w:val="a5"/>
        <w:sz w:val="20"/>
      </w:rPr>
      <w:fldChar w:fldCharType="separate"/>
    </w:r>
    <w:r w:rsidR="00CC6127">
      <w:rPr>
        <w:rStyle w:val="a5"/>
        <w:noProof/>
        <w:sz w:val="20"/>
      </w:rPr>
      <w:t>9</w:t>
    </w:r>
    <w:r>
      <w:rPr>
        <w:rStyle w:val="a5"/>
        <w:sz w:val="20"/>
      </w:rPr>
      <w:fldChar w:fldCharType="end"/>
    </w:r>
    <w:r>
      <w:rPr>
        <w:rStyle w:val="a5"/>
        <w:sz w:val="20"/>
        <w:lang w:val="el-GR"/>
      </w:rPr>
      <w:t xml:space="preserve"> από </w:t>
    </w:r>
    <w:r>
      <w:rPr>
        <w:rStyle w:val="a5"/>
        <w:sz w:val="20"/>
      </w:rPr>
      <w:fldChar w:fldCharType="begin"/>
    </w:r>
    <w:r>
      <w:rPr>
        <w:rStyle w:val="a5"/>
        <w:sz w:val="20"/>
      </w:rPr>
      <w:instrText xml:space="preserve"> NUMPAGES </w:instrText>
    </w:r>
    <w:r>
      <w:rPr>
        <w:rStyle w:val="a5"/>
        <w:sz w:val="20"/>
      </w:rPr>
      <w:fldChar w:fldCharType="separate"/>
    </w:r>
    <w:r w:rsidR="00CC6127">
      <w:rPr>
        <w:rStyle w:val="a5"/>
        <w:noProof/>
        <w:sz w:val="20"/>
      </w:rPr>
      <w:t>24</w:t>
    </w:r>
    <w:r>
      <w:rPr>
        <w:rStyle w:val="a5"/>
        <w:sz w:val="20"/>
      </w:rPr>
      <w:fldChar w:fldCharType="end"/>
    </w:r>
  </w:p>
  <w:p w:rsidR="008B43D6" w:rsidRDefault="008B43D6">
    <w:pPr>
      <w:pStyle w:val="a4"/>
      <w:ind w:right="360"/>
      <w:rPr>
        <w:sz w:val="18"/>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43D6" w:rsidRDefault="008B43D6">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4"/>
      <w:framePr w:wrap="around" w:vAnchor="text" w:hAnchor="margin" w:xAlign="right" w:y="1"/>
      <w:rPr>
        <w:rStyle w:val="a5"/>
        <w:sz w:val="20"/>
      </w:rPr>
    </w:pPr>
    <w:r>
      <w:rPr>
        <w:rStyle w:val="a5"/>
        <w:sz w:val="20"/>
        <w:lang w:val="el-GR"/>
      </w:rPr>
      <w:t xml:space="preserve">Σελίδα </w:t>
    </w:r>
    <w:r>
      <w:rPr>
        <w:rStyle w:val="a5"/>
        <w:sz w:val="20"/>
      </w:rPr>
      <w:fldChar w:fldCharType="begin"/>
    </w:r>
    <w:r>
      <w:rPr>
        <w:rStyle w:val="a5"/>
        <w:sz w:val="20"/>
      </w:rPr>
      <w:instrText xml:space="preserve">PAGE  </w:instrText>
    </w:r>
    <w:r>
      <w:rPr>
        <w:rStyle w:val="a5"/>
        <w:sz w:val="20"/>
      </w:rPr>
      <w:fldChar w:fldCharType="separate"/>
    </w:r>
    <w:r w:rsidR="00CC6127">
      <w:rPr>
        <w:rStyle w:val="a5"/>
        <w:noProof/>
        <w:sz w:val="20"/>
      </w:rPr>
      <w:t>24</w:t>
    </w:r>
    <w:r>
      <w:rPr>
        <w:rStyle w:val="a5"/>
        <w:sz w:val="20"/>
      </w:rPr>
      <w:fldChar w:fldCharType="end"/>
    </w:r>
    <w:r>
      <w:rPr>
        <w:rStyle w:val="a5"/>
        <w:sz w:val="20"/>
        <w:lang w:val="el-GR"/>
      </w:rPr>
      <w:t xml:space="preserve"> από </w:t>
    </w:r>
    <w:r>
      <w:rPr>
        <w:rStyle w:val="a5"/>
        <w:sz w:val="20"/>
      </w:rPr>
      <w:fldChar w:fldCharType="begin"/>
    </w:r>
    <w:r>
      <w:rPr>
        <w:rStyle w:val="a5"/>
        <w:sz w:val="20"/>
      </w:rPr>
      <w:instrText xml:space="preserve"> NUMPAGES </w:instrText>
    </w:r>
    <w:r>
      <w:rPr>
        <w:rStyle w:val="a5"/>
        <w:sz w:val="20"/>
      </w:rPr>
      <w:fldChar w:fldCharType="separate"/>
    </w:r>
    <w:r w:rsidR="00CC6127">
      <w:rPr>
        <w:rStyle w:val="a5"/>
        <w:noProof/>
        <w:sz w:val="20"/>
      </w:rPr>
      <w:t>24</w:t>
    </w:r>
    <w:r>
      <w:rPr>
        <w:rStyle w:val="a5"/>
        <w:sz w:val="20"/>
      </w:rPr>
      <w:fldChar w:fldCharType="end"/>
    </w:r>
  </w:p>
  <w:p w:rsidR="008B43D6" w:rsidRDefault="008B43D6">
    <w:pPr>
      <w:pStyle w:val="a4"/>
      <w:ind w:right="360"/>
      <w:rPr>
        <w:sz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59" w:rsidRDefault="00934559">
      <w:r>
        <w:separator/>
      </w:r>
    </w:p>
  </w:footnote>
  <w:footnote w:type="continuationSeparator" w:id="0">
    <w:p w:rsidR="00934559" w:rsidRDefault="0093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6" w:rsidRDefault="008B43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073"/>
    <w:multiLevelType w:val="hybridMultilevel"/>
    <w:tmpl w:val="00342ED6"/>
    <w:lvl w:ilvl="0" w:tplc="2700AC6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9C697A"/>
    <w:multiLevelType w:val="multilevel"/>
    <w:tmpl w:val="548A8AE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DB5FC6"/>
    <w:multiLevelType w:val="multilevel"/>
    <w:tmpl w:val="00342ED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F5237F"/>
    <w:multiLevelType w:val="hybridMultilevel"/>
    <w:tmpl w:val="357C2784"/>
    <w:lvl w:ilvl="0" w:tplc="9054784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5E23"/>
    <w:rsid w:val="00013296"/>
    <w:rsid w:val="000A5463"/>
    <w:rsid w:val="003B64CF"/>
    <w:rsid w:val="005F1974"/>
    <w:rsid w:val="00625E23"/>
    <w:rsid w:val="006B29ED"/>
    <w:rsid w:val="008925D9"/>
    <w:rsid w:val="008B43D6"/>
    <w:rsid w:val="00934559"/>
    <w:rsid w:val="00CC6127"/>
    <w:rsid w:val="00DA7091"/>
    <w:rsid w:val="00EE09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qFormat/>
    <w:pPr>
      <w:keepNext/>
      <w:keepLines/>
      <w:ind w:left="709"/>
      <w:outlineLvl w:val="0"/>
    </w:pPr>
    <w:rPr>
      <w:u w:val="single"/>
      <w:lang w:val="el-GR"/>
    </w:rPr>
  </w:style>
  <w:style w:type="paragraph" w:styleId="2">
    <w:name w:val="heading 2"/>
    <w:basedOn w:val="a"/>
    <w:next w:val="a"/>
    <w:qFormat/>
    <w:pPr>
      <w:keepNext/>
      <w:keepLines/>
      <w:spacing w:before="120" w:after="60"/>
      <w:outlineLvl w:val="1"/>
    </w:pPr>
    <w:rPr>
      <w:b/>
      <w:sz w:val="28"/>
      <w:szCs w:val="20"/>
      <w:lang w:eastAsia="da-DK"/>
    </w:rPr>
  </w:style>
  <w:style w:type="paragraph" w:styleId="3">
    <w:name w:val="heading 3"/>
    <w:basedOn w:val="a"/>
    <w:next w:val="a"/>
    <w:qFormat/>
    <w:pPr>
      <w:keepNext/>
      <w:keepLines/>
      <w:ind w:firstLine="720"/>
      <w:outlineLvl w:val="2"/>
    </w:pPr>
    <w:rPr>
      <w:bCs/>
      <w:u w:val="single"/>
      <w:lang w:val="el-GR"/>
    </w:rPr>
  </w:style>
  <w:style w:type="paragraph" w:styleId="4">
    <w:name w:val="heading 4"/>
    <w:basedOn w:val="a"/>
    <w:next w:val="a"/>
    <w:qFormat/>
    <w:pPr>
      <w:keepNext/>
      <w:spacing w:after="60"/>
      <w:outlineLvl w:val="3"/>
    </w:pPr>
    <w:rPr>
      <w:b/>
      <w:i/>
      <w:sz w:val="22"/>
      <w:szCs w:val="20"/>
      <w:lang w:eastAsia="da-DK"/>
    </w:rPr>
  </w:style>
  <w:style w:type="paragraph" w:styleId="5">
    <w:name w:val="heading 5"/>
    <w:basedOn w:val="a"/>
    <w:next w:val="a"/>
    <w:qFormat/>
    <w:pPr>
      <w:keepNext/>
      <w:ind w:left="720"/>
      <w:jc w:val="both"/>
      <w:outlineLvl w:val="4"/>
    </w:pPr>
    <w:rPr>
      <w:szCs w:val="20"/>
      <w:u w:val="single"/>
      <w:lang w:val="el-GR"/>
    </w:rPr>
  </w:style>
  <w:style w:type="paragraph" w:styleId="6">
    <w:name w:val="heading 6"/>
    <w:basedOn w:val="a"/>
    <w:next w:val="a"/>
    <w:qFormat/>
    <w:pPr>
      <w:keepNext/>
      <w:ind w:left="709" w:firstLine="11"/>
      <w:jc w:val="both"/>
      <w:outlineLvl w:val="5"/>
    </w:pPr>
    <w:rPr>
      <w:i/>
      <w:szCs w:val="20"/>
      <w:u w:val="single"/>
      <w:lang w:val="el-GR"/>
    </w:rPr>
  </w:style>
  <w:style w:type="paragraph" w:styleId="7">
    <w:name w:val="heading 7"/>
    <w:basedOn w:val="a"/>
    <w:next w:val="a"/>
    <w:qFormat/>
    <w:pPr>
      <w:keepNext/>
      <w:keepLines/>
      <w:ind w:left="709"/>
      <w:jc w:val="both"/>
      <w:outlineLvl w:val="6"/>
    </w:pPr>
    <w:rPr>
      <w:i/>
      <w:szCs w:val="20"/>
      <w:lang w:val="el-GR"/>
    </w:rPr>
  </w:style>
  <w:style w:type="paragraph" w:styleId="8">
    <w:name w:val="heading 8"/>
    <w:basedOn w:val="a"/>
    <w:next w:val="a"/>
    <w:qFormat/>
    <w:pPr>
      <w:keepNext/>
      <w:tabs>
        <w:tab w:val="left" w:pos="6663"/>
      </w:tabs>
      <w:jc w:val="center"/>
      <w:outlineLvl w:val="7"/>
    </w:pPr>
    <w:rPr>
      <w:b/>
      <w:lang w:val="el-GR"/>
    </w:rPr>
  </w:style>
  <w:style w:type="paragraph" w:styleId="9">
    <w:name w:val="heading 9"/>
    <w:basedOn w:val="a"/>
    <w:next w:val="a"/>
    <w:qFormat/>
    <w:pPr>
      <w:keepNext/>
      <w:ind w:left="720"/>
      <w:jc w:val="both"/>
      <w:outlineLvl w:val="8"/>
    </w:pPr>
    <w:rPr>
      <w:i/>
      <w:szCs w:val="20"/>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30">
    <w:name w:val="Body Text Indent 3"/>
    <w:basedOn w:val="a"/>
    <w:semiHidden/>
    <w:pPr>
      <w:ind w:left="709"/>
      <w:jc w:val="both"/>
    </w:pPr>
    <w:rPr>
      <w:szCs w:val="20"/>
      <w:lang w:val="el-GR"/>
    </w:rPr>
  </w:style>
  <w:style w:type="paragraph" w:styleId="20">
    <w:name w:val="Body Text Indent 2"/>
    <w:basedOn w:val="a"/>
    <w:semiHidden/>
    <w:pPr>
      <w:ind w:left="720"/>
      <w:jc w:val="both"/>
    </w:pPr>
    <w:rPr>
      <w:color w:val="FF0000"/>
      <w:szCs w:val="20"/>
      <w:lang w:val="el-GR"/>
    </w:rPr>
  </w:style>
  <w:style w:type="paragraph" w:styleId="a6">
    <w:name w:val="Body Text Indent"/>
    <w:basedOn w:val="a"/>
    <w:semiHidden/>
    <w:pPr>
      <w:ind w:left="720"/>
      <w:jc w:val="both"/>
    </w:pPr>
    <w:rPr>
      <w:rFonts w:ascii="Arial" w:hAnsi="Arial"/>
      <w:szCs w:val="20"/>
      <w:lang w:val="el-GR"/>
    </w:rPr>
  </w:style>
  <w:style w:type="paragraph" w:styleId="a7">
    <w:name w:val="Block Text"/>
    <w:basedOn w:val="a"/>
    <w:semiHidden/>
    <w:pPr>
      <w:ind w:left="720" w:right="-51"/>
    </w:pPr>
    <w:rPr>
      <w:sz w:val="20"/>
      <w:szCs w:val="20"/>
      <w:lang w:val="el-GR" w:eastAsia="da-DK"/>
    </w:rPr>
  </w:style>
  <w:style w:type="paragraph" w:styleId="a8">
    <w:name w:val="Body Text"/>
    <w:basedOn w:val="a"/>
    <w:semiHidden/>
    <w:rPr>
      <w:b/>
      <w:szCs w:val="20"/>
      <w:lang w:eastAsia="da-DK"/>
    </w:rPr>
  </w:style>
  <w:style w:type="paragraph" w:styleId="a9">
    <w:name w:val="Balloon Text"/>
    <w:basedOn w:val="a"/>
    <w:semiHidden/>
    <w:rPr>
      <w:rFonts w:ascii="Tahoma" w:hAnsi="Tahoma" w:cs="Tahoma"/>
      <w:sz w:val="16"/>
      <w:szCs w:val="16"/>
    </w:rPr>
  </w:style>
  <w:style w:type="character" w:customStyle="1" w:styleId="hps">
    <w:name w:val="hps"/>
    <w:basedOn w:val="a0"/>
  </w:style>
  <w:style w:type="character" w:customStyle="1" w:styleId="hpsatn">
    <w:name w:val="hps atn"/>
    <w:basedOn w:val="a0"/>
  </w:style>
  <w:style w:type="character" w:customStyle="1" w:styleId="gt-icon-text1">
    <w:name w:val="gt-icon-text1"/>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7596</Words>
  <Characters>41024</Characters>
  <Application>Microsoft Office Word</Application>
  <DocSecurity>0</DocSecurity>
  <Lines>341</Lines>
  <Paragraphs>97</Paragraphs>
  <ScaleCrop>false</ScaleCrop>
  <HeadingPairs>
    <vt:vector size="2" baseType="variant">
      <vt:variant>
        <vt:lpstr>Τίτλος</vt:lpstr>
      </vt:variant>
      <vt:variant>
        <vt:i4>1</vt:i4>
      </vt:variant>
    </vt:vector>
  </HeadingPairs>
  <TitlesOfParts>
    <vt:vector size="1" baseType="lpstr">
      <vt:lpstr>Περίληψη  των Χαρακτηριστικών του Προϊόντος</vt:lpstr>
    </vt:vector>
  </TitlesOfParts>
  <Company>H. Lundbeck A/S</Company>
  <LinksUpToDate>false</LinksUpToDate>
  <CharactersWithSpaces>48523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των Χαρακτηριστικών του Προϊόντος</dc:title>
  <dc:creator>IOANNA PETRAKI</dc:creator>
  <cp:lastModifiedBy>user146</cp:lastModifiedBy>
  <cp:revision>5</cp:revision>
  <cp:lastPrinted>2015-05-18T08:52:00Z</cp:lastPrinted>
  <dcterms:created xsi:type="dcterms:W3CDTF">2015-05-18T08:46:00Z</dcterms:created>
  <dcterms:modified xsi:type="dcterms:W3CDTF">2015-05-18T09:03:00Z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-576082225</vt:i4>
  </property>
  <property fmtid="{D5CDD505-2E9C-101B-9397-08002B2CF9AE}" pid="4" name="_EmailSubject">
    <vt:lpwstr>SmPC TABLETS_CHECKED BY XGIO &amp; ΧΚΙΟ</vt:lpwstr>
  </property>
  <property fmtid="{D5CDD505-2E9C-101B-9397-08002B2CF9AE}" pid="5" name="_AuthorEmail">
    <vt:lpwstr>XKIO@Lundbeck.com</vt:lpwstr>
  </property>
  <property fmtid="{D5CDD505-2E9C-101B-9397-08002B2CF9AE}" pid="6" name="_AuthorEmailDisplayName">
    <vt:lpwstr>Georgios Kiosterakis</vt:lpwstr>
  </property>
  <property fmtid="{D5CDD505-2E9C-101B-9397-08002B2CF9AE}" pid="7" name="_ReviewingToolsShownOnce">
    <vt:lpwstr/>
  </property>
</Properties>
</file>