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69" w:rsidRPr="00C9670B"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Fonts w:ascii="Times New Roman" w:hAnsi="Times New Roman"/>
          <w:b/>
          <w:spacing w:val="-3"/>
          <w:lang w:val="el-GR"/>
        </w:rPr>
      </w:pPr>
      <w:r w:rsidRPr="00C9670B">
        <w:rPr>
          <w:rFonts w:ascii="Times New Roman" w:hAnsi="Times New Roman"/>
          <w:b/>
          <w:spacing w:val="-3"/>
          <w:lang w:val="el-GR"/>
        </w:rPr>
        <w:t xml:space="preserve">ΠΕΡΙΛΗΨΗ  ΧΑΡΑΚΤΗΡΙΣΤΙΚΩΝ  ΤΟΥ  ΠΡΟΪΟΝΤΟΣ  </w:t>
      </w:r>
    </w:p>
    <w:p w:rsidR="00067C69" w:rsidRPr="00877934" w:rsidRDefault="00067C69" w:rsidP="00350F8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b/>
          <w:spacing w:val="-3"/>
          <w:highlight w:val="cyan"/>
          <w:lang w:val="el-GR"/>
        </w:rPr>
      </w:pPr>
    </w:p>
    <w:p w:rsidR="00067C69" w:rsidRPr="00067C69"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Fonts w:ascii="Times New Roman" w:hAnsi="Times New Roman"/>
          <w:spacing w:val="-2"/>
          <w:lang w:val="el-GR"/>
        </w:rPr>
      </w:pPr>
    </w:p>
    <w:p w:rsidR="00067C69" w:rsidRPr="00C9670B"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C9670B">
        <w:rPr>
          <w:rFonts w:ascii="Times New Roman" w:hAnsi="Times New Roman"/>
          <w:b/>
          <w:spacing w:val="-2"/>
          <w:lang w:val="el-GR"/>
        </w:rPr>
        <w:t>1.</w:t>
      </w:r>
      <w:r w:rsidRPr="00C9670B">
        <w:rPr>
          <w:rFonts w:ascii="Times New Roman" w:hAnsi="Times New Roman"/>
          <w:b/>
          <w:spacing w:val="-2"/>
          <w:lang w:val="el-GR"/>
        </w:rPr>
        <w:tab/>
      </w:r>
      <w:r w:rsidRPr="00C9670B">
        <w:rPr>
          <w:rFonts w:ascii="Times New Roman" w:hAnsi="Times New Roman"/>
          <w:b/>
          <w:spacing w:val="-2"/>
          <w:lang w:val="el-GR"/>
        </w:rPr>
        <w:tab/>
        <w:t>ΟΝΟΜΑΣΙΑ  ΤΟΥ  ΦΑΡΜΑΚΕΥΤΙΚΟΥ  ΠΡΟΪΟΝΤΟΣ</w:t>
      </w:r>
    </w:p>
    <w:p w:rsidR="00067C69" w:rsidRPr="00C9670B"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8"/>
          <w:lang w:val="el-GR"/>
        </w:rPr>
      </w:pPr>
    </w:p>
    <w:p w:rsidR="00067C69" w:rsidRPr="00A61AB5"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A61AB5">
        <w:rPr>
          <w:rFonts w:ascii="Times New Roman" w:hAnsi="Times New Roman"/>
          <w:spacing w:val="-2"/>
        </w:rPr>
        <w:t>GRANULOKINE</w:t>
      </w:r>
      <w:r w:rsidRPr="00A61AB5">
        <w:rPr>
          <w:rFonts w:ascii="Times New Roman" w:hAnsi="Times New Roman"/>
          <w:spacing w:val="-2"/>
          <w:lang w:val="el-GR"/>
        </w:rPr>
        <w:t xml:space="preserve"> </w:t>
      </w:r>
      <w:r w:rsidR="00CD2B64" w:rsidRPr="00A61AB5">
        <w:rPr>
          <w:rFonts w:ascii="Times New Roman" w:hAnsi="Times New Roman"/>
          <w:spacing w:val="-2"/>
          <w:lang w:val="el-GR"/>
        </w:rPr>
        <w:t>30</w:t>
      </w:r>
      <w:r w:rsidRPr="00A61AB5">
        <w:rPr>
          <w:rFonts w:ascii="Times New Roman" w:hAnsi="Times New Roman"/>
          <w:spacing w:val="-2"/>
          <w:lang w:val="el-GR"/>
        </w:rPr>
        <w:t xml:space="preserve"> </w:t>
      </w:r>
      <w:r w:rsidRPr="00A61AB5">
        <w:rPr>
          <w:rFonts w:ascii="Times New Roman" w:hAnsi="Times New Roman"/>
          <w:spacing w:val="-2"/>
        </w:rPr>
        <w:t>MU</w:t>
      </w:r>
      <w:r w:rsidRPr="00A61AB5">
        <w:rPr>
          <w:rFonts w:ascii="Times New Roman" w:hAnsi="Times New Roman"/>
          <w:spacing w:val="-2"/>
          <w:lang w:val="el-GR"/>
        </w:rPr>
        <w:t xml:space="preserve"> (0,</w:t>
      </w:r>
      <w:r w:rsidR="00350F8D" w:rsidRPr="00A61AB5">
        <w:rPr>
          <w:rFonts w:ascii="Times New Roman" w:hAnsi="Times New Roman"/>
          <w:spacing w:val="-2"/>
          <w:lang w:val="el-GR"/>
        </w:rPr>
        <w:t>3</w:t>
      </w:r>
      <w:r w:rsidRPr="00A61AB5">
        <w:rPr>
          <w:rFonts w:ascii="Times New Roman" w:hAnsi="Times New Roman"/>
          <w:spacing w:val="-2"/>
          <w:lang w:val="el-GR"/>
        </w:rPr>
        <w:t xml:space="preserve"> </w:t>
      </w:r>
      <w:r w:rsidRPr="00A61AB5">
        <w:rPr>
          <w:rFonts w:ascii="Times New Roman" w:hAnsi="Times New Roman"/>
          <w:spacing w:val="-2"/>
        </w:rPr>
        <w:t>mg</w:t>
      </w:r>
      <w:r w:rsidRPr="00A61AB5">
        <w:rPr>
          <w:rFonts w:ascii="Times New Roman" w:hAnsi="Times New Roman"/>
          <w:spacing w:val="-2"/>
          <w:lang w:val="el-GR"/>
        </w:rPr>
        <w:t>/</w:t>
      </w:r>
      <w:r w:rsidRPr="00A61AB5">
        <w:rPr>
          <w:rFonts w:ascii="Times New Roman" w:hAnsi="Times New Roman"/>
          <w:spacing w:val="-2"/>
        </w:rPr>
        <w:t>ml</w:t>
      </w:r>
      <w:r w:rsidRPr="00A61AB5">
        <w:rPr>
          <w:rFonts w:ascii="Times New Roman" w:hAnsi="Times New Roman"/>
          <w:spacing w:val="-2"/>
          <w:lang w:val="el-GR"/>
        </w:rPr>
        <w:t>)</w:t>
      </w:r>
      <w:r w:rsidR="00350F8D" w:rsidRPr="00A61AB5">
        <w:rPr>
          <w:rFonts w:ascii="Times New Roman" w:hAnsi="Times New Roman"/>
          <w:spacing w:val="-2"/>
          <w:lang w:val="el-GR"/>
        </w:rPr>
        <w:t xml:space="preserve"> ε</w:t>
      </w:r>
      <w:r w:rsidRPr="00A61AB5">
        <w:rPr>
          <w:rFonts w:ascii="Times New Roman" w:hAnsi="Times New Roman"/>
          <w:spacing w:val="-2"/>
          <w:lang w:val="el-GR"/>
        </w:rPr>
        <w:t xml:space="preserve">νέσιμο </w:t>
      </w:r>
      <w:r w:rsidR="00350F8D" w:rsidRPr="00A61AB5">
        <w:rPr>
          <w:rFonts w:ascii="Times New Roman" w:hAnsi="Times New Roman"/>
          <w:spacing w:val="-2"/>
          <w:lang w:val="el-GR"/>
        </w:rPr>
        <w:t>διάλυμα</w:t>
      </w:r>
    </w:p>
    <w:p w:rsidR="00067C69" w:rsidRPr="00877934" w:rsidRDefault="00C7284D"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8862CC">
        <w:rPr>
          <w:rFonts w:ascii="Times New Roman" w:hAnsi="Times New Roman"/>
          <w:spacing w:val="-2"/>
        </w:rPr>
        <w:t>filgrastim</w:t>
      </w:r>
    </w:p>
    <w:p w:rsidR="00067C69" w:rsidRPr="00C9670B"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67C69" w:rsidRPr="00C9670B"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C9670B">
        <w:rPr>
          <w:rFonts w:ascii="Times New Roman" w:hAnsi="Times New Roman"/>
          <w:b/>
          <w:spacing w:val="-2"/>
          <w:lang w:val="el-GR"/>
        </w:rPr>
        <w:t>2.</w:t>
      </w:r>
      <w:r w:rsidRPr="00C9670B">
        <w:rPr>
          <w:rFonts w:ascii="Times New Roman" w:hAnsi="Times New Roman"/>
          <w:b/>
          <w:spacing w:val="-2"/>
          <w:lang w:val="el-GR"/>
        </w:rPr>
        <w:tab/>
      </w:r>
      <w:r w:rsidRPr="00C9670B">
        <w:rPr>
          <w:rFonts w:ascii="Times New Roman" w:hAnsi="Times New Roman"/>
          <w:b/>
          <w:spacing w:val="-2"/>
          <w:lang w:val="el-GR"/>
        </w:rPr>
        <w:tab/>
        <w:t>ΠΟΙΟΤΙΚΗ  ΚΑΙ  ΠΟΣΟΤΙΚΗ  ΣΥΝΘΕΣΗ</w:t>
      </w:r>
      <w:r w:rsidRPr="00C9670B">
        <w:rPr>
          <w:rFonts w:ascii="Times New Roman" w:hAnsi="Times New Roman"/>
          <w:spacing w:val="-2"/>
          <w:lang w:val="el-GR"/>
        </w:rPr>
        <w:t xml:space="preserve"> </w:t>
      </w:r>
    </w:p>
    <w:p w:rsidR="00067C69" w:rsidRPr="00C9670B"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589" w:hanging="589"/>
        <w:jc w:val="both"/>
        <w:rPr>
          <w:rFonts w:ascii="Times New Roman" w:hAnsi="Times New Roman"/>
          <w:spacing w:val="-2"/>
          <w:lang w:val="el-GR"/>
        </w:rPr>
      </w:pPr>
      <w:r w:rsidRPr="00C9670B">
        <w:rPr>
          <w:rFonts w:ascii="Times New Roman" w:hAnsi="Times New Roman"/>
          <w:spacing w:val="-2"/>
          <w:lang w:val="el-GR"/>
        </w:rPr>
        <w:tab/>
      </w:r>
    </w:p>
    <w:p w:rsidR="00067C69" w:rsidRPr="003932BD"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C9670B">
        <w:rPr>
          <w:rFonts w:ascii="Times New Roman" w:hAnsi="Times New Roman"/>
          <w:spacing w:val="-2"/>
          <w:lang w:val="el-GR"/>
        </w:rPr>
        <w:t xml:space="preserve">Κάθε </w:t>
      </w:r>
      <w:r w:rsidR="00350F8D">
        <w:rPr>
          <w:rFonts w:ascii="Times New Roman" w:hAnsi="Times New Roman"/>
          <w:spacing w:val="-2"/>
          <w:lang w:val="el-GR"/>
        </w:rPr>
        <w:t xml:space="preserve"> φιαλίδιο </w:t>
      </w:r>
      <w:r w:rsidR="003932BD">
        <w:rPr>
          <w:rFonts w:ascii="Times New Roman" w:hAnsi="Times New Roman"/>
          <w:spacing w:val="-2"/>
          <w:lang w:val="el-GR"/>
        </w:rPr>
        <w:t xml:space="preserve">περιέχει </w:t>
      </w:r>
      <w:r w:rsidR="00CD2B64" w:rsidRPr="00CD2B64">
        <w:rPr>
          <w:rFonts w:ascii="Times New Roman" w:hAnsi="Times New Roman"/>
          <w:spacing w:val="-2"/>
          <w:lang w:val="el-GR"/>
        </w:rPr>
        <w:t>30</w:t>
      </w:r>
      <w:r w:rsidR="003932BD">
        <w:rPr>
          <w:rFonts w:ascii="Times New Roman" w:hAnsi="Times New Roman"/>
          <w:spacing w:val="-2"/>
          <w:lang w:val="el-GR"/>
        </w:rPr>
        <w:t xml:space="preserve"> εκατομμύρια μονάδες (</w:t>
      </w:r>
      <w:r w:rsidR="00CD2B64" w:rsidRPr="00CD2B64">
        <w:rPr>
          <w:rFonts w:ascii="Times New Roman" w:hAnsi="Times New Roman"/>
          <w:spacing w:val="-2"/>
          <w:lang w:val="el-GR"/>
        </w:rPr>
        <w:t>30</w:t>
      </w:r>
      <w:r w:rsidR="003932BD" w:rsidRPr="003932BD">
        <w:rPr>
          <w:rFonts w:ascii="Times New Roman" w:hAnsi="Times New Roman"/>
          <w:spacing w:val="-2"/>
          <w:lang w:val="el-GR"/>
        </w:rPr>
        <w:t>0</w:t>
      </w:r>
      <w:r w:rsidRPr="00C9670B">
        <w:rPr>
          <w:rFonts w:ascii="Times New Roman" w:hAnsi="Times New Roman"/>
          <w:spacing w:val="-2"/>
          <w:lang w:val="el-GR"/>
        </w:rPr>
        <w:t xml:space="preserve"> μικρογραμμάρια (μ</w:t>
      </w:r>
      <w:r w:rsidRPr="00C9670B">
        <w:rPr>
          <w:rFonts w:ascii="Times New Roman" w:hAnsi="Times New Roman"/>
          <w:spacing w:val="-2"/>
        </w:rPr>
        <w:t>g</w:t>
      </w:r>
      <w:r w:rsidR="00CD2B64">
        <w:rPr>
          <w:rFonts w:ascii="Times New Roman" w:hAnsi="Times New Roman"/>
          <w:spacing w:val="-2"/>
          <w:lang w:val="el-GR"/>
        </w:rPr>
        <w:t>)</w:t>
      </w:r>
      <w:r w:rsidR="00946D24" w:rsidRPr="00946D24">
        <w:rPr>
          <w:rFonts w:ascii="Times New Roman" w:hAnsi="Times New Roman"/>
          <w:spacing w:val="-2"/>
          <w:lang w:val="el-GR"/>
        </w:rPr>
        <w:t>)</w:t>
      </w:r>
      <w:r w:rsidR="00CD2B64">
        <w:rPr>
          <w:rFonts w:ascii="Times New Roman" w:hAnsi="Times New Roman"/>
          <w:spacing w:val="-2"/>
          <w:lang w:val="el-GR"/>
        </w:rPr>
        <w:t xml:space="preserve"> filgrastim σε 1</w:t>
      </w:r>
      <w:r w:rsidRPr="00C9670B">
        <w:rPr>
          <w:rFonts w:ascii="Times New Roman" w:hAnsi="Times New Roman"/>
          <w:spacing w:val="-2"/>
        </w:rPr>
        <w:t>ml</w:t>
      </w:r>
      <w:r w:rsidR="003932BD">
        <w:rPr>
          <w:rFonts w:ascii="Times New Roman" w:hAnsi="Times New Roman"/>
          <w:spacing w:val="-2"/>
          <w:lang w:val="el-GR"/>
        </w:rPr>
        <w:t xml:space="preserve"> (0</w:t>
      </w:r>
      <w:r w:rsidR="003932BD" w:rsidRPr="003932BD">
        <w:rPr>
          <w:rFonts w:ascii="Times New Roman" w:hAnsi="Times New Roman"/>
          <w:spacing w:val="-2"/>
          <w:lang w:val="el-GR"/>
        </w:rPr>
        <w:t>,</w:t>
      </w:r>
      <w:r w:rsidR="00350F8D">
        <w:rPr>
          <w:rFonts w:ascii="Times New Roman" w:hAnsi="Times New Roman"/>
          <w:spacing w:val="-2"/>
          <w:lang w:val="el-GR"/>
        </w:rPr>
        <w:t>3</w:t>
      </w:r>
      <w:r w:rsidRPr="00C9670B">
        <w:rPr>
          <w:rFonts w:ascii="Times New Roman" w:hAnsi="Times New Roman"/>
          <w:spacing w:val="-2"/>
        </w:rPr>
        <w:t>mg</w:t>
      </w:r>
      <w:r w:rsidRPr="00C9670B">
        <w:rPr>
          <w:rFonts w:ascii="Times New Roman" w:hAnsi="Times New Roman"/>
          <w:spacing w:val="-2"/>
          <w:lang w:val="el-GR"/>
        </w:rPr>
        <w:t>/</w:t>
      </w:r>
      <w:r w:rsidRPr="00C9670B">
        <w:rPr>
          <w:rFonts w:ascii="Times New Roman" w:hAnsi="Times New Roman"/>
          <w:spacing w:val="-2"/>
        </w:rPr>
        <w:t>ml</w:t>
      </w:r>
      <w:r w:rsidRPr="00C9670B">
        <w:rPr>
          <w:rFonts w:ascii="Times New Roman" w:hAnsi="Times New Roman"/>
          <w:spacing w:val="-2"/>
          <w:lang w:val="el-GR"/>
        </w:rPr>
        <w:t>).</w:t>
      </w:r>
    </w:p>
    <w:p w:rsidR="00067C69" w:rsidRPr="003932BD"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Η filgrastim [ανασυνδυασμένος μεθειονυλο ανθρώπινος παράγοντας</w:t>
      </w:r>
      <w:r w:rsidRPr="00A177AA">
        <w:rPr>
          <w:rFonts w:ascii="Times New Roman" w:hAnsi="Times New Roman"/>
          <w:bCs/>
          <w:spacing w:val="-2"/>
          <w:lang w:val="el-GR"/>
        </w:rPr>
        <w:t xml:space="preserve"> </w:t>
      </w:r>
      <w:r w:rsidRPr="008C4B06">
        <w:rPr>
          <w:rFonts w:ascii="Times New Roman" w:hAnsi="Times New Roman"/>
          <w:bCs/>
          <w:spacing w:val="-2"/>
          <w:lang w:val="el-GR"/>
        </w:rPr>
        <w:t>διέγερσης αποικιών</w:t>
      </w:r>
      <w:r w:rsidRPr="00F8543C">
        <w:rPr>
          <w:rFonts w:ascii="Times New Roman" w:hAnsi="Times New Roman"/>
          <w:bCs/>
          <w:spacing w:val="-2"/>
          <w:lang w:val="el-GR"/>
        </w:rPr>
        <w:t xml:space="preserve"> κοκκιοκυττάρων] παράγεται με εφαρμογή τεχνολογίας </w:t>
      </w:r>
      <w:r w:rsidR="0099053E" w:rsidRPr="00F8543C">
        <w:rPr>
          <w:rFonts w:ascii="Times New Roman" w:hAnsi="Times New Roman"/>
          <w:bCs/>
          <w:spacing w:val="-2"/>
          <w:lang w:val="el-GR"/>
        </w:rPr>
        <w:t>ανασυνδυασμένου</w:t>
      </w:r>
      <w:r w:rsidRPr="00F8543C">
        <w:rPr>
          <w:rFonts w:ascii="Times New Roman" w:hAnsi="Times New Roman"/>
          <w:bCs/>
          <w:spacing w:val="-2"/>
          <w:lang w:val="el-GR"/>
        </w:rPr>
        <w:t xml:space="preserve"> </w:t>
      </w:r>
      <w:r w:rsidRPr="00F8543C">
        <w:rPr>
          <w:rFonts w:ascii="Times New Roman" w:hAnsi="Times New Roman"/>
          <w:bCs/>
          <w:spacing w:val="-2"/>
        </w:rPr>
        <w:t>DNA</w:t>
      </w:r>
      <w:r w:rsidRPr="00F8543C">
        <w:rPr>
          <w:rFonts w:ascii="Times New Roman" w:hAnsi="Times New Roman"/>
          <w:bCs/>
          <w:spacing w:val="-2"/>
          <w:lang w:val="el-GR"/>
        </w:rPr>
        <w:t xml:space="preserve"> σε </w:t>
      </w:r>
      <w:r w:rsidRPr="00F8543C">
        <w:rPr>
          <w:rFonts w:ascii="Times New Roman" w:hAnsi="Times New Roman"/>
          <w:bCs/>
          <w:i/>
          <w:spacing w:val="-2"/>
          <w:lang w:val="el-GR"/>
        </w:rPr>
        <w:t>E.coli (</w:t>
      </w:r>
      <w:r w:rsidRPr="00F8543C">
        <w:rPr>
          <w:rFonts w:ascii="Times New Roman" w:hAnsi="Times New Roman"/>
          <w:bCs/>
          <w:spacing w:val="-2"/>
          <w:lang w:val="el-GR"/>
        </w:rPr>
        <w:t>K12).</w:t>
      </w:r>
    </w:p>
    <w:p w:rsidR="00961FB0" w:rsidRDefault="00961FB0" w:rsidP="00961FB0">
      <w:pPr>
        <w:pStyle w:val="9"/>
        <w:rPr>
          <w:b w:val="0"/>
          <w:bCs/>
          <w:color w:val="auto"/>
        </w:rPr>
      </w:pPr>
    </w:p>
    <w:p w:rsidR="00961FB0" w:rsidRDefault="00961FB0" w:rsidP="00961FB0">
      <w:pPr>
        <w:pStyle w:val="9"/>
        <w:rPr>
          <w:b w:val="0"/>
          <w:bCs/>
          <w:color w:val="auto"/>
        </w:rPr>
      </w:pPr>
      <w:r>
        <w:rPr>
          <w:b w:val="0"/>
          <w:bCs/>
          <w:color w:val="auto"/>
        </w:rPr>
        <w:t>Έκδοχ</w:t>
      </w:r>
      <w:r w:rsidR="00844BD4">
        <w:rPr>
          <w:b w:val="0"/>
          <w:bCs/>
          <w:color w:val="auto"/>
        </w:rPr>
        <w:t>ο</w:t>
      </w:r>
      <w:r>
        <w:rPr>
          <w:b w:val="0"/>
          <w:bCs/>
          <w:color w:val="auto"/>
        </w:rPr>
        <w:t xml:space="preserve"> </w:t>
      </w:r>
      <w:r w:rsidR="00844BD4">
        <w:rPr>
          <w:b w:val="0"/>
          <w:bCs/>
          <w:color w:val="auto"/>
        </w:rPr>
        <w:t xml:space="preserve">με γνωστό αποτέλεσμα  </w:t>
      </w:r>
      <w:r>
        <w:rPr>
          <w:b w:val="0"/>
          <w:bCs/>
          <w:color w:val="auto"/>
        </w:rPr>
        <w:t>:</w:t>
      </w:r>
    </w:p>
    <w:p w:rsidR="00961FB0" w:rsidRDefault="00961FB0" w:rsidP="00961FB0">
      <w:pPr>
        <w:rPr>
          <w:rFonts w:ascii="Times New Roman" w:hAnsi="Times New Roman"/>
          <w:lang w:val="el-GR"/>
        </w:rPr>
      </w:pPr>
    </w:p>
    <w:p w:rsidR="00961FB0" w:rsidRPr="004277A7" w:rsidRDefault="00961FB0" w:rsidP="00961FB0">
      <w:pPr>
        <w:rPr>
          <w:rFonts w:ascii="Times New Roman" w:hAnsi="Times New Roman"/>
          <w:lang w:val="el-GR"/>
        </w:rPr>
      </w:pPr>
      <w:r>
        <w:rPr>
          <w:rFonts w:ascii="Times New Roman" w:hAnsi="Times New Roman"/>
          <w:lang w:val="el-GR"/>
        </w:rPr>
        <w:t xml:space="preserve">Κάθε </w:t>
      </w:r>
      <w:r>
        <w:rPr>
          <w:rFonts w:ascii="Times New Roman" w:hAnsi="Times New Roman"/>
        </w:rPr>
        <w:t>ml</w:t>
      </w:r>
      <w:r>
        <w:rPr>
          <w:rFonts w:ascii="Times New Roman" w:hAnsi="Times New Roman"/>
          <w:lang w:val="el-GR"/>
        </w:rPr>
        <w:t xml:space="preserve"> διαλύματος περιέχει 0,0010 έως 0,0022 </w:t>
      </w:r>
      <w:r>
        <w:rPr>
          <w:rFonts w:ascii="Times New Roman" w:hAnsi="Times New Roman"/>
        </w:rPr>
        <w:t>mmol</w:t>
      </w:r>
      <w:r w:rsidRPr="004277A7">
        <w:rPr>
          <w:rFonts w:ascii="Times New Roman" w:hAnsi="Times New Roman"/>
          <w:lang w:val="el-GR"/>
        </w:rPr>
        <w:t xml:space="preserve"> </w:t>
      </w:r>
      <w:r>
        <w:rPr>
          <w:rFonts w:ascii="Times New Roman" w:hAnsi="Times New Roman"/>
          <w:lang w:val="el-GR"/>
        </w:rPr>
        <w:t>ή 0,023 έως 0,05</w:t>
      </w:r>
      <w:r w:rsidRPr="004277A7">
        <w:rPr>
          <w:rFonts w:ascii="Times New Roman" w:hAnsi="Times New Roman"/>
          <w:lang w:val="el-GR"/>
        </w:rPr>
        <w:t xml:space="preserve">1 </w:t>
      </w:r>
      <w:r>
        <w:rPr>
          <w:rFonts w:ascii="Times New Roman" w:hAnsi="Times New Roman"/>
        </w:rPr>
        <w:t>mg</w:t>
      </w:r>
      <w:r w:rsidRPr="004277A7">
        <w:rPr>
          <w:rFonts w:ascii="Times New Roman" w:hAnsi="Times New Roman"/>
          <w:lang w:val="el-GR"/>
        </w:rPr>
        <w:t xml:space="preserve"> </w:t>
      </w:r>
      <w:r>
        <w:rPr>
          <w:rFonts w:ascii="Times New Roman" w:hAnsi="Times New Roman"/>
          <w:lang w:val="el-GR"/>
        </w:rPr>
        <w:t xml:space="preserve">νατρίου και </w:t>
      </w:r>
      <w:r w:rsidRPr="004277A7">
        <w:rPr>
          <w:rFonts w:ascii="Times New Roman" w:hAnsi="Times New Roman"/>
          <w:lang w:val="el-GR"/>
        </w:rPr>
        <w:t>50</w:t>
      </w:r>
      <w:r>
        <w:rPr>
          <w:rFonts w:ascii="Times New Roman" w:hAnsi="Times New Roman"/>
        </w:rPr>
        <w:t>mg</w:t>
      </w:r>
      <w:r>
        <w:rPr>
          <w:rFonts w:ascii="Times New Roman" w:hAnsi="Times New Roman"/>
          <w:lang w:val="el-GR"/>
        </w:rPr>
        <w:t xml:space="preserve"> σορβιτόλης (Ε420).</w:t>
      </w: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8862CC" w:rsidRPr="008C4B06" w:rsidRDefault="008862CC" w:rsidP="008862CC">
      <w:pPr>
        <w:pStyle w:val="9"/>
        <w:rPr>
          <w:b w:val="0"/>
          <w:bCs/>
          <w:color w:val="auto"/>
        </w:rPr>
      </w:pPr>
      <w:r w:rsidRPr="008C4B06">
        <w:rPr>
          <w:b w:val="0"/>
          <w:bCs/>
          <w:color w:val="auto"/>
        </w:rPr>
        <w:t>Για τον πλήρη κατάλογο των εκδόχων, βλ. παράγραφο 6.1</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b/>
          <w:spacing w:val="-2"/>
          <w:lang w:val="el-GR"/>
        </w:rPr>
        <w:t>3.</w:t>
      </w:r>
      <w:r w:rsidRPr="00F8543C">
        <w:rPr>
          <w:rFonts w:ascii="Times New Roman" w:hAnsi="Times New Roman"/>
          <w:b/>
          <w:spacing w:val="-2"/>
          <w:lang w:val="el-GR"/>
        </w:rPr>
        <w:tab/>
      </w:r>
      <w:r w:rsidRPr="00F8543C">
        <w:rPr>
          <w:rFonts w:ascii="Times New Roman" w:hAnsi="Times New Roman"/>
          <w:b/>
          <w:spacing w:val="-2"/>
          <w:lang w:val="el-GR"/>
        </w:rPr>
        <w:tab/>
        <w:t>ΦΑΡΜΑΚΟΤΕΧΝΙΚΗ  ΜΟΡΦΗ</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589" w:hanging="589"/>
        <w:jc w:val="both"/>
        <w:rPr>
          <w:rFonts w:ascii="Times New Roman" w:hAnsi="Times New Roman"/>
          <w:spacing w:val="-2"/>
          <w:lang w:val="el-GR"/>
        </w:rPr>
      </w:pPr>
      <w:r w:rsidRPr="00F8543C">
        <w:rPr>
          <w:rFonts w:ascii="Times New Roman" w:hAnsi="Times New Roman"/>
          <w:spacing w:val="-2"/>
          <w:lang w:val="el-GR"/>
        </w:rPr>
        <w:tab/>
      </w:r>
    </w:p>
    <w:p w:rsidR="00046C03" w:rsidRPr="005B12DD" w:rsidRDefault="00067C69" w:rsidP="00067C69">
      <w:pPr>
        <w:pStyle w:val="1"/>
        <w:tabs>
          <w:tab w:val="left" w:pos="5387"/>
        </w:tabs>
        <w:rPr>
          <w:b w:val="0"/>
        </w:rPr>
      </w:pPr>
      <w:r>
        <w:rPr>
          <w:b w:val="0"/>
          <w:bCs/>
        </w:rPr>
        <w:t>Ενέσιμο διάλυμα</w:t>
      </w:r>
      <w:r w:rsidRPr="00C9670B">
        <w:rPr>
          <w:b w:val="0"/>
        </w:rPr>
        <w:t>.</w:t>
      </w:r>
    </w:p>
    <w:p w:rsidR="00067C69" w:rsidRDefault="00067C69" w:rsidP="00067C69">
      <w:pPr>
        <w:rPr>
          <w:rFonts w:ascii="Times New Roman" w:hAnsi="Times New Roman"/>
          <w:color w:val="FF00FF"/>
          <w:lang w:val="el-GR"/>
        </w:rPr>
      </w:pPr>
    </w:p>
    <w:p w:rsidR="00A177AA" w:rsidRPr="008862CC" w:rsidRDefault="00A177AA" w:rsidP="00067C69">
      <w:pPr>
        <w:rPr>
          <w:rFonts w:ascii="Times New Roman" w:hAnsi="Times New Roman"/>
          <w:lang w:val="el-GR"/>
        </w:rPr>
      </w:pPr>
      <w:r w:rsidRPr="008862CC">
        <w:rPr>
          <w:rFonts w:ascii="Times New Roman" w:hAnsi="Times New Roman"/>
          <w:lang w:val="el-GR"/>
        </w:rPr>
        <w:t>Πυκνό διάλυμα για παρασκευή διαλύματος προς έγχυση.</w:t>
      </w:r>
    </w:p>
    <w:p w:rsidR="00A177AA" w:rsidRPr="00A177AA" w:rsidRDefault="00A177AA" w:rsidP="00067C69">
      <w:pPr>
        <w:rPr>
          <w:rFonts w:ascii="Times New Roman" w:hAnsi="Times New Roman"/>
          <w:color w:val="FF00FF"/>
          <w:u w:val="single"/>
          <w:lang w:val="el-GR"/>
        </w:rPr>
      </w:pPr>
    </w:p>
    <w:p w:rsidR="00046C03" w:rsidRPr="00F8543C" w:rsidRDefault="00046C03">
      <w:pPr>
        <w:rPr>
          <w:rFonts w:ascii="Times New Roman" w:hAnsi="Times New Roman"/>
          <w:bCs/>
          <w:lang w:val="el-GR"/>
        </w:rPr>
      </w:pPr>
      <w:r w:rsidRPr="00F8543C">
        <w:rPr>
          <w:rFonts w:ascii="Times New Roman" w:hAnsi="Times New Roman"/>
          <w:bCs/>
          <w:lang w:val="el-GR"/>
        </w:rPr>
        <w:t xml:space="preserve">Διαυγές, </w:t>
      </w:r>
      <w:r w:rsidR="00231AE5" w:rsidRPr="00F8543C">
        <w:rPr>
          <w:rFonts w:ascii="Times New Roman" w:hAnsi="Times New Roman"/>
          <w:bCs/>
          <w:lang w:val="el-GR"/>
        </w:rPr>
        <w:t>άχρ</w:t>
      </w:r>
      <w:r w:rsidR="00231AE5">
        <w:rPr>
          <w:rFonts w:ascii="Times New Roman" w:hAnsi="Times New Roman"/>
          <w:bCs/>
          <w:lang w:val="el-GR"/>
        </w:rPr>
        <w:t>ωμο</w:t>
      </w:r>
      <w:r w:rsidR="00231AE5" w:rsidRPr="00F8543C">
        <w:rPr>
          <w:rFonts w:ascii="Times New Roman" w:hAnsi="Times New Roman"/>
          <w:bCs/>
          <w:lang w:val="el-GR"/>
        </w:rPr>
        <w:t xml:space="preserve"> </w:t>
      </w:r>
      <w:r w:rsidRPr="00F8543C">
        <w:rPr>
          <w:rFonts w:ascii="Times New Roman" w:hAnsi="Times New Roman"/>
          <w:bCs/>
          <w:lang w:val="el-GR"/>
        </w:rPr>
        <w:t>διάλυμα.</w:t>
      </w:r>
    </w:p>
    <w:p w:rsidR="00046C03" w:rsidRPr="00F8543C" w:rsidRDefault="00046C03">
      <w:pPr>
        <w:rPr>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b/>
          <w:spacing w:val="-2"/>
          <w:lang w:val="el-GR"/>
        </w:rPr>
        <w:t>4.</w:t>
      </w:r>
      <w:r w:rsidRPr="00F8543C">
        <w:rPr>
          <w:rFonts w:ascii="Times New Roman" w:hAnsi="Times New Roman"/>
          <w:b/>
          <w:spacing w:val="-2"/>
          <w:lang w:val="el-GR"/>
        </w:rPr>
        <w:tab/>
      </w:r>
      <w:r w:rsidRPr="00F8543C">
        <w:rPr>
          <w:rFonts w:ascii="Times New Roman" w:hAnsi="Times New Roman"/>
          <w:b/>
          <w:spacing w:val="-2"/>
          <w:lang w:val="el-GR"/>
        </w:rPr>
        <w:tab/>
        <w:t>ΚΛΙΝΙΚΑ  ΣΤΟΙΧΕΙΑ</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589"/>
        <w:jc w:val="both"/>
        <w:rPr>
          <w:rFonts w:ascii="Times New Roman" w:hAnsi="Times New Roman"/>
          <w:b/>
          <w:spacing w:val="-2"/>
          <w:lang w:val="el-GR"/>
        </w:rPr>
      </w:pPr>
    </w:p>
    <w:p w:rsidR="008862CC" w:rsidRPr="00F8543C" w:rsidRDefault="00046C03"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4.1</w:t>
      </w:r>
      <w:r w:rsidRPr="00F8543C">
        <w:rPr>
          <w:rFonts w:ascii="Times New Roman" w:hAnsi="Times New Roman"/>
          <w:b/>
          <w:spacing w:val="-2"/>
          <w:lang w:val="el-GR"/>
        </w:rPr>
        <w:tab/>
      </w:r>
      <w:r w:rsidRPr="00F8543C">
        <w:rPr>
          <w:rFonts w:ascii="Times New Roman" w:hAnsi="Times New Roman"/>
          <w:b/>
          <w:spacing w:val="-2"/>
          <w:lang w:val="el-GR"/>
        </w:rPr>
        <w:tab/>
      </w:r>
      <w:r w:rsidR="008862CC" w:rsidRPr="00F8543C">
        <w:rPr>
          <w:rFonts w:ascii="Times New Roman" w:hAnsi="Times New Roman"/>
          <w:b/>
          <w:spacing w:val="-2"/>
          <w:lang w:val="el-GR"/>
        </w:rPr>
        <w:t>Θεραπευτικές  ενδείξεις</w:t>
      </w:r>
    </w:p>
    <w:p w:rsidR="008862CC" w:rsidRPr="00F8543C" w:rsidRDefault="008862CC" w:rsidP="008862CC">
      <w:pPr>
        <w:tabs>
          <w:tab w:val="left" w:pos="-851"/>
          <w:tab w:val="left" w:pos="-131"/>
          <w:tab w:val="left" w:pos="0"/>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720"/>
        <w:jc w:val="both"/>
        <w:rPr>
          <w:rFonts w:ascii="Times New Roman" w:hAnsi="Times New Roman"/>
          <w:spacing w:val="-2"/>
          <w:lang w:val="el-GR"/>
        </w:rPr>
      </w:pPr>
    </w:p>
    <w:p w:rsidR="008862CC" w:rsidRPr="00F8543C" w:rsidRDefault="008862CC" w:rsidP="008862CC">
      <w:pPr>
        <w:tabs>
          <w:tab w:val="left" w:pos="-851"/>
          <w:tab w:val="left" w:pos="-131"/>
          <w:tab w:val="left" w:pos="0"/>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Το GRANULOKINE ενδείκνυται για τη μείωση της διάρκειας της ουδετεροπενίας και της συ</w:t>
      </w:r>
      <w:r>
        <w:rPr>
          <w:rFonts w:ascii="Times New Roman" w:hAnsi="Times New Roman"/>
          <w:spacing w:val="-2"/>
          <w:lang w:val="el-GR"/>
        </w:rPr>
        <w:t xml:space="preserve">χνότητας της εμπύρετης </w:t>
      </w:r>
      <w:r w:rsidRPr="00F8543C">
        <w:rPr>
          <w:rFonts w:ascii="Times New Roman" w:hAnsi="Times New Roman"/>
          <w:spacing w:val="-2"/>
          <w:lang w:val="el-GR"/>
        </w:rPr>
        <w:t>ουδετ</w:t>
      </w:r>
      <w:r>
        <w:rPr>
          <w:rFonts w:ascii="Times New Roman" w:hAnsi="Times New Roman"/>
          <w:spacing w:val="-2"/>
          <w:lang w:val="el-GR"/>
        </w:rPr>
        <w:t>εροπενίας σε ασθενείς που έχουν</w:t>
      </w:r>
      <w:r w:rsidRPr="008C4B06">
        <w:rPr>
          <w:rFonts w:ascii="Times New Roman" w:hAnsi="Times New Roman"/>
          <w:spacing w:val="-2"/>
          <w:lang w:val="el-GR"/>
        </w:rPr>
        <w:t xml:space="preserve"> λάβει </w:t>
      </w:r>
      <w:r w:rsidRPr="00F8543C">
        <w:rPr>
          <w:rFonts w:ascii="Times New Roman" w:hAnsi="Times New Roman"/>
          <w:spacing w:val="-2"/>
          <w:lang w:val="el-GR"/>
        </w:rPr>
        <w:t xml:space="preserve">αγωγή με καθιερωμένη κυτταροτοξική </w:t>
      </w:r>
      <w:r>
        <w:rPr>
          <w:rFonts w:ascii="Times New Roman" w:hAnsi="Times New Roman"/>
          <w:spacing w:val="-2"/>
          <w:lang w:val="el-GR"/>
        </w:rPr>
        <w:t>χ</w:t>
      </w:r>
      <w:r w:rsidRPr="00F8543C">
        <w:rPr>
          <w:rFonts w:ascii="Times New Roman" w:hAnsi="Times New Roman"/>
          <w:spacing w:val="-2"/>
          <w:lang w:val="el-GR"/>
        </w:rPr>
        <w:t>ημειοθεραπεία για κακο</w:t>
      </w:r>
      <w:r>
        <w:rPr>
          <w:rFonts w:ascii="Times New Roman" w:hAnsi="Times New Roman"/>
          <w:spacing w:val="-2"/>
          <w:lang w:val="el-GR"/>
        </w:rPr>
        <w:t xml:space="preserve">ήθεια (εξαιρούμενης της χρόνιας </w:t>
      </w:r>
      <w:r w:rsidRPr="00F8543C">
        <w:rPr>
          <w:rFonts w:ascii="Times New Roman" w:hAnsi="Times New Roman"/>
          <w:spacing w:val="-2"/>
          <w:lang w:val="el-GR"/>
        </w:rPr>
        <w:t>μυελογενούς λευχαιμίας και των μυελοδυσπλαστικών συνδρόμων) και για τη μείωση της διάρκειας της ουδετεροπενίας σε ασθενείς που υποβάλλονται σε μυελο</w:t>
      </w:r>
      <w:r>
        <w:rPr>
          <w:rFonts w:ascii="Times New Roman" w:hAnsi="Times New Roman"/>
          <w:spacing w:val="-2"/>
          <w:lang w:val="el-GR"/>
        </w:rPr>
        <w:t>εκκαθαριστική</w:t>
      </w:r>
      <w:r w:rsidRPr="00F8543C">
        <w:rPr>
          <w:rFonts w:ascii="Times New Roman" w:hAnsi="Times New Roman"/>
          <w:spacing w:val="-2"/>
          <w:lang w:val="el-GR"/>
        </w:rPr>
        <w:t xml:space="preserve"> θεραπεία ακολουθούμενη από μεταμόσ</w:t>
      </w:r>
      <w:r>
        <w:rPr>
          <w:rFonts w:ascii="Times New Roman" w:hAnsi="Times New Roman"/>
          <w:spacing w:val="-2"/>
          <w:lang w:val="el-GR"/>
        </w:rPr>
        <w:t>χ</w:t>
      </w:r>
      <w:r w:rsidRPr="00F8543C">
        <w:rPr>
          <w:rFonts w:ascii="Times New Roman" w:hAnsi="Times New Roman"/>
          <w:spacing w:val="-2"/>
          <w:lang w:val="el-GR"/>
        </w:rPr>
        <w:t>ευση μυελού των οστών, σε ασθενείς που θεωρείται ότι βρίσκονται σε αυξημένο κίνδυνο παρατεταμένης βαριάς ουδετεροπενίας.</w:t>
      </w:r>
    </w:p>
    <w:p w:rsidR="008862CC" w:rsidRPr="00F8543C" w:rsidRDefault="008862CC" w:rsidP="008862CC">
      <w:pPr>
        <w:tabs>
          <w:tab w:val="left" w:pos="-851"/>
          <w:tab w:val="left" w:pos="-131"/>
          <w:tab w:val="left" w:pos="0"/>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F8543C" w:rsidRDefault="008862CC" w:rsidP="008862CC">
      <w:pPr>
        <w:pStyle w:val="22"/>
        <w:tabs>
          <w:tab w:val="clear" w:pos="0"/>
          <w:tab w:val="left" w:pos="1309"/>
        </w:tabs>
        <w:rPr>
          <w:bCs/>
        </w:rPr>
      </w:pPr>
      <w:r w:rsidRPr="00F8543C">
        <w:rPr>
          <w:bCs/>
        </w:rPr>
        <w:t xml:space="preserve">Η ασφάλεια και η αποτελεσματικότητα του GRANULOKINE είναι παρόμοια σε ενήλικες και παιδιά που λαμβάνουν κυτταροτοξική χημειοθεραπεία. </w:t>
      </w: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F8543C" w:rsidRDefault="008862CC" w:rsidP="008862CC">
      <w:pPr>
        <w:pStyle w:val="22"/>
        <w:tabs>
          <w:tab w:val="clear" w:pos="0"/>
          <w:tab w:val="left" w:pos="1309"/>
        </w:tabs>
      </w:pPr>
      <w:r w:rsidRPr="00F8543C">
        <w:t xml:space="preserve">Το GRANULOKINE ενδείκνυται για </w:t>
      </w:r>
      <w:r w:rsidRPr="00F8543C">
        <w:rPr>
          <w:bCs/>
        </w:rPr>
        <w:t>την κινητοποίηση των προγονικών αιμοποιητικών κυττάρων του περιφερικού αίματος (</w:t>
      </w:r>
      <w:r w:rsidRPr="00F8543C">
        <w:rPr>
          <w:bCs/>
          <w:lang w:val="en-US"/>
        </w:rPr>
        <w:t>Peripheral</w:t>
      </w:r>
      <w:r w:rsidRPr="00F8543C">
        <w:rPr>
          <w:bCs/>
        </w:rPr>
        <w:t xml:space="preserve"> </w:t>
      </w:r>
      <w:r w:rsidRPr="00F8543C">
        <w:rPr>
          <w:bCs/>
          <w:lang w:val="en-US"/>
        </w:rPr>
        <w:t>Blood</w:t>
      </w:r>
      <w:r w:rsidRPr="00F8543C">
        <w:rPr>
          <w:bCs/>
        </w:rPr>
        <w:t xml:space="preserve"> </w:t>
      </w:r>
      <w:r w:rsidRPr="00F8543C">
        <w:rPr>
          <w:bCs/>
          <w:lang w:val="en-US"/>
        </w:rPr>
        <w:t>Progenitor</w:t>
      </w:r>
      <w:r w:rsidRPr="00F8543C">
        <w:rPr>
          <w:bCs/>
        </w:rPr>
        <w:t xml:space="preserve"> </w:t>
      </w:r>
      <w:r w:rsidRPr="00F8543C">
        <w:rPr>
          <w:bCs/>
          <w:lang w:val="en-US"/>
        </w:rPr>
        <w:t>Cells</w:t>
      </w:r>
      <w:r w:rsidRPr="00F8543C">
        <w:rPr>
          <w:bCs/>
        </w:rPr>
        <w:t xml:space="preserve"> </w:t>
      </w:r>
      <w:r w:rsidRPr="00F8543C">
        <w:rPr>
          <w:bCs/>
          <w:lang w:val="en-US"/>
        </w:rPr>
        <w:t>PBPC</w:t>
      </w:r>
      <w:r w:rsidRPr="00F8543C">
        <w:rPr>
          <w:bCs/>
        </w:rPr>
        <w:t>)</w:t>
      </w:r>
      <w:r w:rsidRPr="00F8543C">
        <w:t>.</w:t>
      </w: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lastRenderedPageBreak/>
        <w:t xml:space="preserve">Σε ασθενείς, παιδιά ή ενήλικες με σοβαρή συγγενή, κυκλική ή ιδιοπαθή ουδετεροπενία με απόλυτο αριθμό ουδετερόφιλων (ANC) </w:t>
      </w:r>
      <w:r w:rsidRPr="00F8543C">
        <w:rPr>
          <w:rFonts w:ascii="Times New Roman" w:hAnsi="Times New Roman"/>
          <w:spacing w:val="-2"/>
          <w:lang w:val="el-GR"/>
        </w:rPr>
        <w:sym w:font="Symbol" w:char="F0A3"/>
      </w:r>
      <w:r w:rsidRPr="00F8543C">
        <w:rPr>
          <w:rFonts w:ascii="Times New Roman" w:hAnsi="Times New Roman"/>
          <w:spacing w:val="-2"/>
          <w:lang w:val="el-GR"/>
        </w:rPr>
        <w:t xml:space="preserve"> 0,5 x 10</w:t>
      </w:r>
      <w:r w:rsidRPr="00F8543C">
        <w:rPr>
          <w:rFonts w:ascii="Times New Roman" w:hAnsi="Times New Roman"/>
          <w:spacing w:val="-2"/>
          <w:vertAlign w:val="superscript"/>
          <w:lang w:val="el-GR"/>
        </w:rPr>
        <w:t>9</w:t>
      </w:r>
      <w:r w:rsidRPr="00F8543C">
        <w:rPr>
          <w:rFonts w:ascii="Times New Roman" w:hAnsi="Times New Roman"/>
          <w:spacing w:val="-2"/>
          <w:lang w:val="el-GR"/>
        </w:rPr>
        <w:t xml:space="preserve">/l </w:t>
      </w:r>
      <w:r w:rsidR="00C7197A">
        <w:rPr>
          <w:rFonts w:ascii="Times New Roman" w:hAnsi="Times New Roman"/>
          <w:spacing w:val="-2"/>
          <w:lang w:val="el-GR"/>
        </w:rPr>
        <w:t xml:space="preserve"> </w:t>
      </w:r>
      <w:r w:rsidRPr="00F8543C">
        <w:rPr>
          <w:rFonts w:ascii="Times New Roman" w:hAnsi="Times New Roman"/>
          <w:spacing w:val="-2"/>
          <w:lang w:val="el-GR"/>
        </w:rPr>
        <w:t>και με ιστορικό σοβαρών ή υποτροπιαζουσών λοιμώξεων, ενδείκνυται η μακρο</w:t>
      </w:r>
      <w:r>
        <w:rPr>
          <w:rFonts w:ascii="Times New Roman" w:hAnsi="Times New Roman"/>
          <w:spacing w:val="-2"/>
          <w:lang w:val="el-GR"/>
        </w:rPr>
        <w:t>χ</w:t>
      </w:r>
      <w:r w:rsidRPr="00F8543C">
        <w:rPr>
          <w:rFonts w:ascii="Times New Roman" w:hAnsi="Times New Roman"/>
          <w:spacing w:val="-2"/>
          <w:lang w:val="el-GR"/>
        </w:rPr>
        <w:t xml:space="preserve">ρόνια </w:t>
      </w:r>
      <w:r>
        <w:rPr>
          <w:rFonts w:ascii="Times New Roman" w:hAnsi="Times New Roman"/>
          <w:spacing w:val="-2"/>
          <w:lang w:val="el-GR"/>
        </w:rPr>
        <w:t>χ</w:t>
      </w:r>
      <w:r w:rsidRPr="00F8543C">
        <w:rPr>
          <w:rFonts w:ascii="Times New Roman" w:hAnsi="Times New Roman"/>
          <w:spacing w:val="-2"/>
          <w:lang w:val="el-GR"/>
        </w:rPr>
        <w:t xml:space="preserve">ορήγηση του GRANULOKINE για την αύξηση του αριθμού των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και για τη μείωση της συ</w:t>
      </w:r>
      <w:r>
        <w:rPr>
          <w:rFonts w:ascii="Times New Roman" w:hAnsi="Times New Roman"/>
          <w:spacing w:val="-2"/>
          <w:lang w:val="el-GR"/>
        </w:rPr>
        <w:t>χ</w:t>
      </w:r>
      <w:r w:rsidRPr="00F8543C">
        <w:rPr>
          <w:rFonts w:ascii="Times New Roman" w:hAnsi="Times New Roman"/>
          <w:spacing w:val="-2"/>
          <w:lang w:val="el-GR"/>
        </w:rPr>
        <w:t>νότητας και της διάρκειας των συμβαμάτων που σχετίζονται με λοιμώξεις.</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F8543C" w:rsidRDefault="008862CC" w:rsidP="008862CC">
      <w:pPr>
        <w:tabs>
          <w:tab w:val="left" w:pos="-851"/>
          <w:tab w:val="left" w:pos="-131"/>
          <w:tab w:val="left" w:pos="0"/>
          <w:tab w:val="left" w:pos="1134"/>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Το GRANULOKINE ενδείκνυται για τη θεραπεία της επιμένουσας ουδετεροπενίας (ANC </w:t>
      </w:r>
      <w:r w:rsidRPr="00DC67DB">
        <w:rPr>
          <w:rFonts w:ascii="Times New Roman" w:hAnsi="Times New Roman"/>
          <w:spacing w:val="-2"/>
          <w:lang w:val="el-GR"/>
        </w:rPr>
        <w:t xml:space="preserve">μικρότερο ή ίσο με </w:t>
      </w:r>
      <w:r w:rsidRPr="00F8543C">
        <w:rPr>
          <w:rFonts w:ascii="Times New Roman" w:hAnsi="Times New Roman"/>
          <w:spacing w:val="-2"/>
          <w:lang w:val="el-GR"/>
        </w:rPr>
        <w:t>1,0 x 10</w:t>
      </w:r>
      <w:r w:rsidRPr="00F8543C">
        <w:rPr>
          <w:rFonts w:ascii="Times New Roman" w:hAnsi="Times New Roman"/>
          <w:spacing w:val="-2"/>
          <w:vertAlign w:val="superscript"/>
          <w:lang w:val="el-GR"/>
        </w:rPr>
        <w:t>9</w:t>
      </w:r>
      <w:r w:rsidRPr="00F8543C">
        <w:rPr>
          <w:rFonts w:ascii="Times New Roman" w:hAnsi="Times New Roman"/>
          <w:spacing w:val="-2"/>
          <w:lang w:val="el-GR"/>
        </w:rPr>
        <w:t xml:space="preserve">/l) σε ασθενείς με προχωρημένη HIV λοίμωξη, </w:t>
      </w:r>
      <w:r w:rsidRPr="00DC67DB">
        <w:rPr>
          <w:rFonts w:ascii="Times New Roman" w:hAnsi="Times New Roman"/>
          <w:spacing w:val="-2"/>
          <w:lang w:val="el-GR"/>
        </w:rPr>
        <w:t xml:space="preserve">προκειμένου </w:t>
      </w:r>
      <w:r w:rsidRPr="00F8543C">
        <w:rPr>
          <w:rFonts w:ascii="Times New Roman" w:hAnsi="Times New Roman"/>
          <w:spacing w:val="-2"/>
          <w:lang w:val="el-GR"/>
        </w:rPr>
        <w:t>να μειωθεί ο κίνδυνος βακτηριακών λοιμώξεων όταν δεν είναι αποδοτικές άλλες θεραπείες για την αντιμετώπιση της ουδετεροπενίας.</w:t>
      </w:r>
    </w:p>
    <w:p w:rsidR="00046C03" w:rsidRPr="00F8543C" w:rsidRDefault="00046C03">
      <w:pPr>
        <w:tabs>
          <w:tab w:val="left" w:pos="-851"/>
          <w:tab w:val="left" w:pos="-131"/>
          <w:tab w:val="left" w:pos="0"/>
          <w:tab w:val="left" w:pos="1134"/>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F8543C" w:rsidRDefault="00046C03" w:rsidP="008862CC">
      <w:pPr>
        <w:tabs>
          <w:tab w:val="left" w:pos="-851"/>
          <w:tab w:val="left" w:pos="0"/>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1309"/>
        <w:jc w:val="both"/>
        <w:rPr>
          <w:rFonts w:ascii="Times New Roman" w:hAnsi="Times New Roman"/>
          <w:b/>
          <w:spacing w:val="-2"/>
          <w:lang w:val="el-GR"/>
        </w:rPr>
      </w:pPr>
      <w:r w:rsidRPr="00F8543C">
        <w:rPr>
          <w:rFonts w:ascii="Times New Roman" w:hAnsi="Times New Roman"/>
          <w:b/>
          <w:spacing w:val="-2"/>
          <w:lang w:val="el-GR"/>
        </w:rPr>
        <w:tab/>
      </w:r>
      <w:r w:rsidRPr="00F8543C">
        <w:rPr>
          <w:rFonts w:ascii="Times New Roman" w:hAnsi="Times New Roman"/>
          <w:b/>
          <w:spacing w:val="-2"/>
          <w:lang w:val="el-GR"/>
        </w:rPr>
        <w:tab/>
        <w:t>4.2</w:t>
      </w:r>
      <w:r w:rsidRPr="00F8543C">
        <w:rPr>
          <w:rFonts w:ascii="Times New Roman" w:hAnsi="Times New Roman"/>
          <w:b/>
          <w:spacing w:val="-2"/>
          <w:lang w:val="el-GR"/>
        </w:rPr>
        <w:tab/>
      </w:r>
      <w:r w:rsidRPr="00F8543C">
        <w:rPr>
          <w:rFonts w:ascii="Times New Roman" w:hAnsi="Times New Roman"/>
          <w:b/>
          <w:spacing w:val="-2"/>
          <w:lang w:val="el-GR"/>
        </w:rPr>
        <w:tab/>
      </w:r>
      <w:r w:rsidR="008862CC">
        <w:rPr>
          <w:rFonts w:ascii="Times New Roman" w:hAnsi="Times New Roman"/>
          <w:b/>
          <w:spacing w:val="-2"/>
          <w:lang w:val="el-GR"/>
        </w:rPr>
        <w:t>Δοσολογία και τρόπος χ</w:t>
      </w:r>
      <w:r w:rsidR="008862CC" w:rsidRPr="00F8543C">
        <w:rPr>
          <w:rFonts w:ascii="Times New Roman" w:hAnsi="Times New Roman"/>
          <w:b/>
          <w:spacing w:val="-2"/>
          <w:lang w:val="el-GR"/>
        </w:rPr>
        <w:t xml:space="preserve">ορήγησης </w:t>
      </w: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1309"/>
        <w:jc w:val="both"/>
        <w:rPr>
          <w:rFonts w:ascii="Times New Roman" w:hAnsi="Times New Roman"/>
          <w:b/>
          <w:spacing w:val="-2"/>
          <w:lang w:val="el-GR"/>
        </w:rPr>
      </w:pPr>
    </w:p>
    <w:p w:rsidR="008862CC" w:rsidRPr="00750658" w:rsidRDefault="008862CC" w:rsidP="008862CC">
      <w:pPr>
        <w:pStyle w:val="1"/>
        <w:rPr>
          <w:b w:val="0"/>
          <w:u w:val="single"/>
        </w:rPr>
      </w:pPr>
      <w:r w:rsidRPr="00750658">
        <w:rPr>
          <w:b w:val="0"/>
          <w:u w:val="single"/>
        </w:rPr>
        <w:t>Καθιερωμένη Κυτταροτοξική Χημειοθεραπεία</w:t>
      </w:r>
      <w:r w:rsidRPr="00750658">
        <w:rPr>
          <w:b w:val="0"/>
        </w:rPr>
        <w:tab/>
      </w: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F8543C">
        <w:rPr>
          <w:rFonts w:ascii="Times New Roman" w:hAnsi="Times New Roman"/>
          <w:b/>
          <w:spacing w:val="-2"/>
          <w:lang w:val="el-GR"/>
        </w:rPr>
        <w:tab/>
      </w:r>
    </w:p>
    <w:p w:rsidR="008862CC" w:rsidRPr="00F8543C" w:rsidRDefault="008862CC" w:rsidP="008862C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34"/>
        <w:jc w:val="both"/>
        <w:rPr>
          <w:rFonts w:ascii="Times New Roman" w:hAnsi="Times New Roman"/>
          <w:spacing w:val="-2"/>
          <w:lang w:val="el-GR"/>
        </w:rPr>
      </w:pPr>
      <w:r w:rsidRPr="00F8543C">
        <w:rPr>
          <w:rFonts w:ascii="Times New Roman" w:hAnsi="Times New Roman"/>
          <w:spacing w:val="-2"/>
          <w:lang w:val="el-GR"/>
        </w:rPr>
        <w:tab/>
        <w:t xml:space="preserve">Η συνιστώμενη δόση του GRANULOKINE είναι 0,5 ΜU (5 μg)/kg/ημέρα. Η πρώτη δόση του GRANULOKINE θα πρέπει να </w:t>
      </w:r>
      <w:r>
        <w:rPr>
          <w:rFonts w:ascii="Times New Roman" w:hAnsi="Times New Roman"/>
          <w:spacing w:val="-2"/>
          <w:lang w:val="el-GR"/>
        </w:rPr>
        <w:t>χορηγείται τουλάχ</w:t>
      </w:r>
      <w:r w:rsidRPr="00F8543C">
        <w:rPr>
          <w:rFonts w:ascii="Times New Roman" w:hAnsi="Times New Roman"/>
          <w:spacing w:val="-2"/>
          <w:lang w:val="el-GR"/>
        </w:rPr>
        <w:t>ιστον 24 ώρες μετά από</w:t>
      </w:r>
      <w:r>
        <w:rPr>
          <w:rFonts w:ascii="Times New Roman" w:hAnsi="Times New Roman"/>
          <w:spacing w:val="-2"/>
          <w:lang w:val="el-GR"/>
        </w:rPr>
        <w:t xml:space="preserve"> την έναρξη της κυτταροτοξικής χ</w:t>
      </w:r>
      <w:r w:rsidRPr="00F8543C">
        <w:rPr>
          <w:rFonts w:ascii="Times New Roman" w:hAnsi="Times New Roman"/>
          <w:spacing w:val="-2"/>
          <w:lang w:val="el-GR"/>
        </w:rPr>
        <w:t xml:space="preserve">ημειοθεραπείας.  Το GRANULOKINE μπορεί να </w:t>
      </w:r>
      <w:r>
        <w:rPr>
          <w:rFonts w:ascii="Times New Roman" w:hAnsi="Times New Roman"/>
          <w:spacing w:val="-2"/>
          <w:lang w:val="el-GR"/>
        </w:rPr>
        <w:t>χ</w:t>
      </w:r>
      <w:r w:rsidRPr="00F8543C">
        <w:rPr>
          <w:rFonts w:ascii="Times New Roman" w:hAnsi="Times New Roman"/>
          <w:spacing w:val="-2"/>
          <w:lang w:val="el-GR"/>
        </w:rPr>
        <w:t>ορηγηθεί ως ημερήσια υποδόρια έν</w:t>
      </w:r>
      <w:r>
        <w:rPr>
          <w:rFonts w:ascii="Times New Roman" w:hAnsi="Times New Roman"/>
          <w:spacing w:val="-2"/>
          <w:lang w:val="el-GR"/>
        </w:rPr>
        <w:t>εση ή ως ημερήσια ενδοφλέβια έγχ</w:t>
      </w:r>
      <w:r w:rsidRPr="00F8543C">
        <w:rPr>
          <w:rFonts w:ascii="Times New Roman" w:hAnsi="Times New Roman"/>
          <w:spacing w:val="-2"/>
          <w:lang w:val="el-GR"/>
        </w:rPr>
        <w:t xml:space="preserve">υση, αραιωμένο με διάλυμα γλυκόζης 5%, </w:t>
      </w:r>
      <w:r>
        <w:rPr>
          <w:rFonts w:ascii="Times New Roman" w:hAnsi="Times New Roman"/>
          <w:spacing w:val="-2"/>
          <w:lang w:val="el-GR"/>
        </w:rPr>
        <w:t>χ</w:t>
      </w:r>
      <w:r w:rsidRPr="00F8543C">
        <w:rPr>
          <w:rFonts w:ascii="Times New Roman" w:hAnsi="Times New Roman"/>
          <w:spacing w:val="-2"/>
          <w:lang w:val="el-GR"/>
        </w:rPr>
        <w:t>ορηγούμενο σε διάστημα 30 λεπτών (βλ.</w:t>
      </w:r>
      <w:r w:rsidRPr="00DC67DB">
        <w:rPr>
          <w:rFonts w:ascii="Times New Roman" w:hAnsi="Times New Roman"/>
          <w:spacing w:val="-2"/>
          <w:lang w:val="el-GR"/>
        </w:rPr>
        <w:t xml:space="preserve"> </w:t>
      </w:r>
      <w:r w:rsidRPr="00904F03">
        <w:rPr>
          <w:rFonts w:ascii="Times New Roman" w:hAnsi="Times New Roman"/>
          <w:spacing w:val="-2"/>
          <w:lang w:val="el-GR"/>
        </w:rPr>
        <w:t>παράγραφο</w:t>
      </w:r>
      <w:r w:rsidRPr="00DC67DB">
        <w:rPr>
          <w:rFonts w:ascii="Times New Roman" w:hAnsi="Times New Roman"/>
          <w:i/>
          <w:spacing w:val="-2"/>
          <w:lang w:val="el-GR"/>
        </w:rPr>
        <w:t xml:space="preserve"> </w:t>
      </w:r>
      <w:r w:rsidRPr="00F8543C">
        <w:rPr>
          <w:rFonts w:ascii="Times New Roman" w:hAnsi="Times New Roman"/>
          <w:spacing w:val="-2"/>
          <w:lang w:val="el-GR"/>
        </w:rPr>
        <w:t xml:space="preserve">6.6). Στις περισσότερες περιπτώσεις προτιμάται η υποδόρια οδός. Σύμφωνα με μελέτη κατά την οποία χορηγήθηκε μια εφάπαξ δόση, η ενδοφλέβια </w:t>
      </w:r>
      <w:r w:rsidRPr="00DC67DB">
        <w:rPr>
          <w:rFonts w:ascii="Times New Roman" w:hAnsi="Times New Roman"/>
          <w:spacing w:val="-2"/>
          <w:lang w:val="el-GR"/>
        </w:rPr>
        <w:t>χορήγηση της δόσης</w:t>
      </w:r>
      <w:r>
        <w:rPr>
          <w:rFonts w:ascii="Times New Roman" w:hAnsi="Times New Roman"/>
          <w:spacing w:val="-2"/>
          <w:lang w:val="el-GR"/>
        </w:rPr>
        <w:t xml:space="preserve"> </w:t>
      </w:r>
      <w:r w:rsidRPr="00F8543C">
        <w:rPr>
          <w:rFonts w:ascii="Times New Roman" w:hAnsi="Times New Roman"/>
          <w:spacing w:val="-2"/>
          <w:lang w:val="el-GR"/>
        </w:rPr>
        <w:t xml:space="preserve">μπορεί να μειώσει τη διάρκεια της δράσης. Η κλινική σημασία αυτού του ευρήματος δεν είναι σαφής για τη χορήγηση επανειλημμένων δόσεων. Η επιλογή της οδού χορήγησης </w:t>
      </w:r>
      <w:r w:rsidRPr="00DC67DB">
        <w:rPr>
          <w:rFonts w:ascii="Times New Roman" w:hAnsi="Times New Roman"/>
          <w:spacing w:val="-2"/>
          <w:lang w:val="el-GR"/>
        </w:rPr>
        <w:t xml:space="preserve">θα </w:t>
      </w:r>
      <w:r w:rsidRPr="00F8543C">
        <w:rPr>
          <w:rFonts w:ascii="Times New Roman" w:hAnsi="Times New Roman"/>
          <w:spacing w:val="-2"/>
          <w:lang w:val="el-GR"/>
        </w:rPr>
        <w:t>πρέπει να γίνεται κατά περίπτωση. Σε τυ</w:t>
      </w:r>
      <w:r>
        <w:rPr>
          <w:rFonts w:ascii="Times New Roman" w:hAnsi="Times New Roman"/>
          <w:spacing w:val="-2"/>
          <w:lang w:val="el-GR"/>
        </w:rPr>
        <w:t>χ</w:t>
      </w:r>
      <w:r w:rsidRPr="00F8543C">
        <w:rPr>
          <w:rFonts w:ascii="Times New Roman" w:hAnsi="Times New Roman"/>
          <w:spacing w:val="-2"/>
          <w:lang w:val="el-GR"/>
        </w:rPr>
        <w:t>αιοπ</w:t>
      </w:r>
      <w:r>
        <w:rPr>
          <w:rFonts w:ascii="Times New Roman" w:hAnsi="Times New Roman"/>
          <w:spacing w:val="-2"/>
          <w:lang w:val="el-GR"/>
        </w:rPr>
        <w:t>οιημένες κλινικές δοκιμές χ</w:t>
      </w:r>
      <w:r w:rsidRPr="00F8543C">
        <w:rPr>
          <w:rFonts w:ascii="Times New Roman" w:hAnsi="Times New Roman"/>
          <w:spacing w:val="-2"/>
          <w:lang w:val="el-GR"/>
        </w:rPr>
        <w:t>ρησιμοποιήθηκε υποδόρια δόση 230 μg/m</w:t>
      </w:r>
      <w:r w:rsidRPr="00F8543C">
        <w:rPr>
          <w:rFonts w:ascii="Times New Roman" w:hAnsi="Times New Roman"/>
          <w:spacing w:val="-2"/>
          <w:vertAlign w:val="superscript"/>
          <w:lang w:val="el-GR"/>
        </w:rPr>
        <w:t>2</w:t>
      </w:r>
      <w:r w:rsidRPr="00F8543C">
        <w:rPr>
          <w:rFonts w:ascii="Times New Roman" w:hAnsi="Times New Roman"/>
          <w:spacing w:val="-2"/>
          <w:lang w:val="el-GR"/>
        </w:rPr>
        <w:t>/ημέρα (4,0-8,4 μg/kg</w:t>
      </w:r>
      <w:r w:rsidR="003261C9">
        <w:rPr>
          <w:rFonts w:ascii="Times New Roman" w:hAnsi="Times New Roman"/>
          <w:spacing w:val="-2"/>
          <w:lang w:val="el-GR"/>
        </w:rPr>
        <w:t>/</w:t>
      </w:r>
      <w:r w:rsidRPr="00F8543C">
        <w:rPr>
          <w:rFonts w:ascii="Times New Roman" w:hAnsi="Times New Roman"/>
          <w:spacing w:val="-2"/>
          <w:lang w:val="el-GR"/>
        </w:rPr>
        <w:t xml:space="preserve">ημέρα).  </w:t>
      </w: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F8543C">
        <w:rPr>
          <w:rFonts w:ascii="Times New Roman" w:hAnsi="Times New Roman"/>
          <w:spacing w:val="-2"/>
          <w:lang w:val="el-GR"/>
        </w:rPr>
        <w:tab/>
      </w:r>
    </w:p>
    <w:p w:rsidR="008862CC" w:rsidRPr="00F8543C" w:rsidRDefault="008862CC" w:rsidP="008862CC">
      <w:pPr>
        <w:pStyle w:val="23"/>
        <w:ind w:left="33"/>
      </w:pPr>
      <w:r w:rsidRPr="00F8543C">
        <w:t xml:space="preserve">Η ημερήσια </w:t>
      </w:r>
      <w:r w:rsidRPr="00DC67DB">
        <w:t>χορήγηση δόσεων</w:t>
      </w:r>
      <w:r w:rsidRPr="00DB121B">
        <w:rPr>
          <w:color w:val="FF00FF"/>
        </w:rPr>
        <w:t xml:space="preserve"> </w:t>
      </w:r>
      <w:r w:rsidRPr="00F8543C">
        <w:t>του GRANULOKINE θα πρέπει να συνε</w:t>
      </w:r>
      <w:r>
        <w:t>χί</w:t>
      </w:r>
      <w:r w:rsidRPr="00DC67DB">
        <w:t xml:space="preserve">ζεται </w:t>
      </w:r>
      <w:r w:rsidRPr="00F8543C">
        <w:t>μέ</w:t>
      </w:r>
      <w:r>
        <w:t>χ</w:t>
      </w:r>
      <w:r w:rsidRPr="00F8543C">
        <w:t xml:space="preserve">ρις ότου ξεπεραστεί το αναμενόμενο ναδίρ των </w:t>
      </w:r>
      <w:r w:rsidR="00946D24">
        <w:t>ουδετερόφιλων</w:t>
      </w:r>
      <w:r w:rsidRPr="00F8543C">
        <w:t xml:space="preserve"> και ο αριθμός τους να επ</w:t>
      </w:r>
      <w:r>
        <w:t xml:space="preserve">ανέλθει σε φυσιολογικά επίπεδα. </w:t>
      </w:r>
      <w:r w:rsidRPr="00F8543C">
        <w:t>Μετά από καθιερωμένη χημειοθεραπεία για συμπαγείς όγκους,</w:t>
      </w:r>
      <w:r w:rsidRPr="00F8543C">
        <w:rPr>
          <w:b/>
        </w:rPr>
        <w:t xml:space="preserve"> </w:t>
      </w:r>
      <w:r w:rsidRPr="00F8543C">
        <w:rPr>
          <w:bCs/>
        </w:rPr>
        <w:t>λεμφώματα και λεμφοειδ</w:t>
      </w:r>
      <w:r w:rsidR="0028517D">
        <w:rPr>
          <w:bCs/>
        </w:rPr>
        <w:t>ή</w:t>
      </w:r>
      <w:r w:rsidRPr="00F8543C">
        <w:rPr>
          <w:bCs/>
        </w:rPr>
        <w:t xml:space="preserve"> λευχαιμί</w:t>
      </w:r>
      <w:r w:rsidR="0028517D">
        <w:rPr>
          <w:bCs/>
        </w:rPr>
        <w:t>α</w:t>
      </w:r>
      <w:r w:rsidRPr="00F8543C">
        <w:t xml:space="preserve"> αναμένεται ότι η διάρκεια της θεραπείας που ικανοποιεί</w:t>
      </w:r>
      <w:r>
        <w:t xml:space="preserve"> </w:t>
      </w:r>
      <w:r w:rsidRPr="00F8543C">
        <w:t xml:space="preserve"> τα παραπάνω κριτήρια θα είναι μέ</w:t>
      </w:r>
      <w:r>
        <w:t>χ</w:t>
      </w:r>
      <w:r w:rsidRPr="00F8543C">
        <w:t>ρι και 14 ημέρες. Μετά από θεραπεία εφόδου και σταθεροποίησης της οξείας μυελο</w:t>
      </w:r>
      <w:r>
        <w:t>γενούς</w:t>
      </w:r>
      <w:r w:rsidRPr="00F8543C">
        <w:t xml:space="preserve"> λευχαιμίας, η διάρκεια της θεραπείας μπορεί να είναι σημαντικά μεγαλύτερη (μέχρι και 38 ημέρες) ανάλογα με τον τύπο, τη δόση και το σ</w:t>
      </w:r>
      <w:r>
        <w:t>χ</w:t>
      </w:r>
      <w:r w:rsidRPr="00F8543C">
        <w:t xml:space="preserve">ήμα της κυτταροτοξικής </w:t>
      </w:r>
      <w:r>
        <w:t>χ</w:t>
      </w:r>
      <w:r w:rsidRPr="00F8543C">
        <w:t>ημειοθεραπείας που χρησιμοποιείται.</w:t>
      </w:r>
    </w:p>
    <w:p w:rsidR="008862CC" w:rsidRPr="00F8543C" w:rsidRDefault="008862CC" w:rsidP="008862CC">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046C03" w:rsidRPr="00F8543C" w:rsidRDefault="008862CC" w:rsidP="00A40F90">
      <w:pPr>
        <w:pStyle w:val="22"/>
      </w:pPr>
      <w:r w:rsidRPr="00F8543C">
        <w:t xml:space="preserve">Σε ασθενείς που λαμβάνουν κυτταροτοξική </w:t>
      </w:r>
      <w:r>
        <w:t>χ</w:t>
      </w:r>
      <w:r w:rsidRPr="00F8543C">
        <w:t xml:space="preserve">ημειοθεραπεία, συνήθως παρατηρείται μια παροδική αύξηση του αριθμού των </w:t>
      </w:r>
      <w:r w:rsidR="00946D24">
        <w:t>ουδετερόφιλων</w:t>
      </w:r>
      <w:r w:rsidRPr="00F8543C">
        <w:t xml:space="preserve"> 1 έως 2 ημέρες μετά από την έναρξη της αγωγής με GRANULOKINE.  Όμως, για μια συνε</w:t>
      </w:r>
      <w:r>
        <w:t>χ</w:t>
      </w:r>
      <w:r w:rsidRPr="00F8543C">
        <w:t>ή θεραπευτική ανταπόκριση, η θεραπεία με GRANULOKINE δε</w:t>
      </w:r>
      <w:r w:rsidR="00B468B7">
        <w:t>ν</w:t>
      </w:r>
      <w:r w:rsidRPr="00F8543C">
        <w:t xml:space="preserve"> πρέπει να διακόπτεται πριν να ξεπεραστεί το αναμενόμενο ναδίρ και ο αριθμός των ουδετερόφιλων να επανέλθει στα φυσιολογικά επίπεδα. Δε</w:t>
      </w:r>
      <w:r w:rsidR="00946D24">
        <w:t>ν</w:t>
      </w:r>
      <w:r w:rsidRPr="00F8543C">
        <w:t xml:space="preserve"> συνιστάται η πρόωρη διακοπή της θεραπείας με GRANULOKINE πριν από το </w:t>
      </w:r>
      <w:r>
        <w:t>χ</w:t>
      </w:r>
      <w:r w:rsidRPr="00F8543C">
        <w:t>ρόνο του αναμενόμενου ναδίρ των ουδετερόφιλων</w:t>
      </w:r>
      <w:r>
        <w:t>.</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6629B1" w:rsidRDefault="008862CC" w:rsidP="002D72D8">
      <w:pPr>
        <w:pStyle w:val="31"/>
        <w:tabs>
          <w:tab w:val="clear" w:pos="1309"/>
          <w:tab w:val="left" w:pos="0"/>
        </w:tabs>
        <w:ind w:left="0" w:firstLine="0"/>
        <w:jc w:val="left"/>
        <w:rPr>
          <w:b w:val="0"/>
          <w:u w:val="single"/>
        </w:rPr>
      </w:pPr>
      <w:r w:rsidRPr="006629B1">
        <w:rPr>
          <w:b w:val="0"/>
          <w:u w:val="single"/>
        </w:rPr>
        <w:t xml:space="preserve">Σε </w:t>
      </w:r>
      <w:r w:rsidR="00946D24">
        <w:rPr>
          <w:b w:val="0"/>
          <w:u w:val="single"/>
        </w:rPr>
        <w:t>α</w:t>
      </w:r>
      <w:r w:rsidRPr="006629B1">
        <w:rPr>
          <w:b w:val="0"/>
          <w:u w:val="single"/>
        </w:rPr>
        <w:t xml:space="preserve">σθενείς </w:t>
      </w:r>
      <w:r w:rsidRPr="00DC67DB">
        <w:rPr>
          <w:b w:val="0"/>
          <w:u w:val="single"/>
        </w:rPr>
        <w:t>οι οποίοι λαμβάνουν θεραπεία</w:t>
      </w:r>
      <w:r>
        <w:rPr>
          <w:b w:val="0"/>
          <w:u w:val="single"/>
        </w:rPr>
        <w:t xml:space="preserve"> με</w:t>
      </w:r>
      <w:r w:rsidRPr="006629B1">
        <w:rPr>
          <w:b w:val="0"/>
          <w:u w:val="single"/>
        </w:rPr>
        <w:t xml:space="preserve"> </w:t>
      </w:r>
      <w:r>
        <w:rPr>
          <w:b w:val="0"/>
          <w:u w:val="single"/>
        </w:rPr>
        <w:t>μ</w:t>
      </w:r>
      <w:r w:rsidRPr="006629B1">
        <w:rPr>
          <w:b w:val="0"/>
          <w:u w:val="single"/>
        </w:rPr>
        <w:t>υελοεκκαθαριστική</w:t>
      </w:r>
      <w:r w:rsidR="002D72D8">
        <w:rPr>
          <w:b w:val="0"/>
          <w:u w:val="single"/>
        </w:rPr>
        <w:t xml:space="preserve"> </w:t>
      </w:r>
      <w:r>
        <w:rPr>
          <w:b w:val="0"/>
          <w:u w:val="single"/>
        </w:rPr>
        <w:t>χ</w:t>
      </w:r>
      <w:r w:rsidRPr="006629B1">
        <w:rPr>
          <w:b w:val="0"/>
          <w:u w:val="single"/>
        </w:rPr>
        <w:t xml:space="preserve">ημειοθεραπεία ακολουθούμενη από </w:t>
      </w:r>
      <w:r>
        <w:rPr>
          <w:b w:val="0"/>
          <w:u w:val="single"/>
        </w:rPr>
        <w:t>μεταμόσχ</w:t>
      </w:r>
      <w:r w:rsidRPr="006629B1">
        <w:rPr>
          <w:b w:val="0"/>
          <w:u w:val="single"/>
        </w:rPr>
        <w:t xml:space="preserve">ευση </w:t>
      </w:r>
      <w:r>
        <w:rPr>
          <w:b w:val="0"/>
          <w:u w:val="single"/>
        </w:rPr>
        <w:t>μ</w:t>
      </w:r>
      <w:r w:rsidRPr="006629B1">
        <w:rPr>
          <w:b w:val="0"/>
          <w:u w:val="single"/>
        </w:rPr>
        <w:t xml:space="preserve">υελού των </w:t>
      </w:r>
      <w:r>
        <w:rPr>
          <w:b w:val="0"/>
          <w:u w:val="single"/>
        </w:rPr>
        <w:t>ο</w:t>
      </w:r>
      <w:r w:rsidRPr="006629B1">
        <w:rPr>
          <w:b w:val="0"/>
          <w:u w:val="single"/>
        </w:rPr>
        <w:t>στών</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F8543C">
        <w:rPr>
          <w:rFonts w:ascii="Times New Roman" w:hAnsi="Times New Roman"/>
          <w:spacing w:val="-2"/>
          <w:lang w:val="el-GR"/>
        </w:rPr>
        <w:tab/>
      </w:r>
      <w:r w:rsidRPr="00F8543C">
        <w:rPr>
          <w:rFonts w:ascii="Times New Roman" w:hAnsi="Times New Roman"/>
          <w:spacing w:val="-2"/>
          <w:lang w:val="el-GR"/>
        </w:rPr>
        <w:tab/>
      </w:r>
    </w:p>
    <w:p w:rsidR="008862CC" w:rsidRPr="00F8543C" w:rsidRDefault="008862CC" w:rsidP="008862CC">
      <w:pPr>
        <w:pStyle w:val="22"/>
      </w:pPr>
      <w:r w:rsidRPr="00F8543C">
        <w:t>Η συνιστώμενη αρ</w:t>
      </w:r>
      <w:r>
        <w:t>χ</w:t>
      </w:r>
      <w:r w:rsidRPr="00F8543C">
        <w:t xml:space="preserve">ική δόση του GRANULOKINE είναι 1,0 ΜU (10 μg)/kg/ημέρα </w:t>
      </w:r>
      <w:r>
        <w:t>χ</w:t>
      </w:r>
      <w:r w:rsidRPr="00F8543C">
        <w:t>ορηγούμενο είτε  ως  μια  30λεπτη,  είτε  ως  24ωρη  ενδοφλέβια  έγ</w:t>
      </w:r>
      <w:r>
        <w:t>χ</w:t>
      </w:r>
      <w:r w:rsidRPr="00F8543C">
        <w:t xml:space="preserve">υση  ή 1,0 ΜU (10 μg)/kg/ ημέρα  </w:t>
      </w:r>
      <w:r>
        <w:t>χ</w:t>
      </w:r>
      <w:r w:rsidRPr="00F8543C">
        <w:t>ορηγούμενο  με συνε</w:t>
      </w:r>
      <w:r>
        <w:t>χή 24ωρη υποδόρια  έγχ</w:t>
      </w:r>
      <w:r w:rsidRPr="00F8543C">
        <w:t>υση.</w:t>
      </w:r>
      <w:r w:rsidR="00A74107">
        <w:t xml:space="preserve"> </w:t>
      </w:r>
      <w:r w:rsidRPr="00F8543C">
        <w:t xml:space="preserve">Το GRANULOKINE θα πρέπει να αραιώνεται με 20 ml διαλύματος γλυκόζης 5% (βλ. </w:t>
      </w:r>
      <w:r w:rsidRPr="00A52295">
        <w:t>παράγραφο 6.6</w:t>
      </w:r>
      <w:r w:rsidRPr="00F8543C">
        <w:t xml:space="preserve"> ).</w:t>
      </w:r>
    </w:p>
    <w:p w:rsidR="008862CC" w:rsidRPr="00F8543C" w:rsidRDefault="008862CC" w:rsidP="008862C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 </w:t>
      </w:r>
    </w:p>
    <w:p w:rsidR="008862CC" w:rsidRPr="00F8543C" w:rsidRDefault="008862CC" w:rsidP="008862CC">
      <w:pPr>
        <w:pStyle w:val="22"/>
      </w:pPr>
      <w:r w:rsidRPr="00F8543C">
        <w:t xml:space="preserve">Η πρώτη δόση του GRANULOKINE πρέπει να </w:t>
      </w:r>
      <w:r>
        <w:t>χ</w:t>
      </w:r>
      <w:r w:rsidRPr="00F8543C">
        <w:t>ορηγείται 24 ώρες τουλά</w:t>
      </w:r>
      <w:r>
        <w:t>χιστον μετά την κυτταροτοξική χ</w:t>
      </w:r>
      <w:r w:rsidRPr="00F8543C">
        <w:t>ημειοθεραπεία και μέσα σε 24 ώρες από την έγ</w:t>
      </w:r>
      <w:r>
        <w:t>χ</w:t>
      </w:r>
      <w:r w:rsidRPr="00F8543C">
        <w:t>υση μυελού των οστών.</w:t>
      </w:r>
    </w:p>
    <w:p w:rsidR="008862CC" w:rsidRPr="00F8543C" w:rsidRDefault="008862CC" w:rsidP="008862C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F8543C" w:rsidRDefault="008862CC" w:rsidP="008862C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Όταν το ναδίρ των ουδετερόφιλων έ</w:t>
      </w:r>
      <w:r>
        <w:rPr>
          <w:rFonts w:ascii="Times New Roman" w:hAnsi="Times New Roman"/>
          <w:spacing w:val="-2"/>
          <w:lang w:val="el-GR"/>
        </w:rPr>
        <w:t>χ</w:t>
      </w:r>
      <w:r w:rsidRPr="00F8543C">
        <w:rPr>
          <w:rFonts w:ascii="Times New Roman" w:hAnsi="Times New Roman"/>
          <w:spacing w:val="-2"/>
          <w:lang w:val="el-GR"/>
        </w:rPr>
        <w:t xml:space="preserve">ει ξεπεραστεί, η ημερήσια δόση του GRANULOKINE θα πρέπει να προσαρμόζεται ανάλογα με την ανταπόκριση των ουδετερόφιλων ως εξής: </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2"/>
        <w:gridCol w:w="4363"/>
      </w:tblGrid>
      <w:tr w:rsidR="008862CC" w:rsidRPr="00F8543C" w:rsidTr="006041AE">
        <w:tc>
          <w:tcPr>
            <w:tcW w:w="5920" w:type="dxa"/>
          </w:tcPr>
          <w:p w:rsidR="008862CC" w:rsidRPr="00A61AB5" w:rsidRDefault="008862CC" w:rsidP="006041AE">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A61AB5">
              <w:rPr>
                <w:rFonts w:ascii="Times New Roman" w:hAnsi="Times New Roman"/>
                <w:bCs/>
                <w:spacing w:val="-2"/>
                <w:lang w:val="el-GR"/>
              </w:rPr>
              <w:t xml:space="preserve">Αριθμός </w:t>
            </w:r>
            <w:r w:rsidR="00946D24" w:rsidRPr="00A61AB5">
              <w:rPr>
                <w:rFonts w:ascii="Times New Roman" w:hAnsi="Times New Roman"/>
                <w:bCs/>
                <w:spacing w:val="-2"/>
                <w:lang w:val="el-GR"/>
              </w:rPr>
              <w:t>ουδετερόφιλων</w:t>
            </w:r>
            <w:r w:rsidRPr="00A61AB5">
              <w:rPr>
                <w:rFonts w:ascii="Times New Roman" w:hAnsi="Times New Roman"/>
                <w:bCs/>
                <w:spacing w:val="-2"/>
                <w:lang w:val="el-GR"/>
              </w:rPr>
              <w:t xml:space="preserve"> </w:t>
            </w:r>
            <w:r w:rsidRPr="00A61AB5">
              <w:rPr>
                <w:rFonts w:ascii="Times New Roman" w:hAnsi="Times New Roman"/>
                <w:bCs/>
                <w:spacing w:val="-2"/>
                <w:lang w:val="el-GR"/>
              </w:rPr>
              <w:tab/>
              <w:t xml:space="preserve"> </w:t>
            </w:r>
          </w:p>
        </w:tc>
        <w:tc>
          <w:tcPr>
            <w:tcW w:w="4843" w:type="dxa"/>
          </w:tcPr>
          <w:p w:rsidR="008862CC" w:rsidRPr="00A61AB5" w:rsidRDefault="008862CC" w:rsidP="006041AE">
            <w:pPr>
              <w:tabs>
                <w:tab w:val="left" w:pos="5920"/>
                <w:tab w:val="left" w:pos="10598"/>
              </w:tabs>
              <w:suppressAutoHyphens/>
              <w:rPr>
                <w:rFonts w:ascii="Times New Roman" w:hAnsi="Times New Roman"/>
                <w:bCs/>
                <w:spacing w:val="-2"/>
                <w:lang w:val="el-GR"/>
              </w:rPr>
            </w:pPr>
            <w:r w:rsidRPr="00A61AB5">
              <w:rPr>
                <w:rFonts w:ascii="Times New Roman" w:hAnsi="Times New Roman"/>
                <w:bCs/>
                <w:spacing w:val="-2"/>
                <w:lang w:val="el-GR"/>
              </w:rPr>
              <w:t xml:space="preserve">Προσαρμογή της δόσης </w:t>
            </w:r>
            <w:r w:rsidRPr="00A61AB5">
              <w:rPr>
                <w:rFonts w:ascii="Times New Roman" w:hAnsi="Times New Roman"/>
                <w:bCs/>
                <w:spacing w:val="-2"/>
              </w:rPr>
              <w:t>GRANULOKINE</w:t>
            </w:r>
          </w:p>
        </w:tc>
      </w:tr>
      <w:tr w:rsidR="008862CC" w:rsidRPr="00F8543C" w:rsidTr="006041AE">
        <w:tc>
          <w:tcPr>
            <w:tcW w:w="5920" w:type="dxa"/>
          </w:tcPr>
          <w:p w:rsidR="008862CC" w:rsidRPr="00F8543C" w:rsidRDefault="008862CC" w:rsidP="006041AE">
            <w:pPr>
              <w:tabs>
                <w:tab w:val="left" w:pos="5920"/>
                <w:tab w:val="left" w:pos="10348"/>
              </w:tabs>
              <w:suppressAutoHyphens/>
              <w:rPr>
                <w:rFonts w:ascii="Times New Roman" w:hAnsi="Times New Roman"/>
                <w:spacing w:val="-2"/>
                <w:lang w:val="el-GR"/>
              </w:rPr>
            </w:pPr>
            <w:r w:rsidRPr="00F8543C">
              <w:rPr>
                <w:rFonts w:ascii="Times New Roman" w:hAnsi="Times New Roman"/>
                <w:spacing w:val="-2"/>
                <w:lang w:val="el-GR"/>
              </w:rPr>
              <w:t>&gt;1,0 x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sidRPr="00F8543C">
              <w:rPr>
                <w:rFonts w:ascii="Times New Roman" w:hAnsi="Times New Roman"/>
                <w:spacing w:val="-2"/>
              </w:rPr>
              <w:t>l</w:t>
            </w:r>
            <w:r w:rsidRPr="00F8543C">
              <w:rPr>
                <w:rFonts w:ascii="Times New Roman" w:hAnsi="Times New Roman"/>
                <w:spacing w:val="-2"/>
                <w:lang w:val="el-GR"/>
              </w:rPr>
              <w:t xml:space="preserve"> για 3 συνε</w:t>
            </w:r>
            <w:r>
              <w:rPr>
                <w:rFonts w:ascii="Times New Roman" w:hAnsi="Times New Roman"/>
                <w:spacing w:val="-2"/>
                <w:lang w:val="el-GR"/>
              </w:rPr>
              <w:t>χ</w:t>
            </w:r>
            <w:r w:rsidRPr="00F8543C">
              <w:rPr>
                <w:rFonts w:ascii="Times New Roman" w:hAnsi="Times New Roman"/>
                <w:spacing w:val="-2"/>
                <w:lang w:val="el-GR"/>
              </w:rPr>
              <w:t>είς ημέρες</w:t>
            </w:r>
            <w:r w:rsidRPr="00F8543C">
              <w:rPr>
                <w:rFonts w:ascii="Times New Roman" w:hAnsi="Times New Roman"/>
                <w:spacing w:val="-2"/>
                <w:lang w:val="el-GR"/>
              </w:rPr>
              <w:tab/>
              <w:t>Μείωση σε 0,5 ΜU/kg την ημέρα</w:t>
            </w:r>
          </w:p>
        </w:tc>
        <w:tc>
          <w:tcPr>
            <w:tcW w:w="4843" w:type="dxa"/>
          </w:tcPr>
          <w:p w:rsidR="008862CC" w:rsidRPr="00F8543C" w:rsidRDefault="008862CC" w:rsidP="006041AE">
            <w:pPr>
              <w:tabs>
                <w:tab w:val="left" w:pos="5920"/>
                <w:tab w:val="left" w:pos="10348"/>
              </w:tabs>
              <w:suppressAutoHyphens/>
              <w:rPr>
                <w:rFonts w:ascii="Times New Roman" w:hAnsi="Times New Roman"/>
                <w:spacing w:val="-2"/>
                <w:lang w:val="el-GR"/>
              </w:rPr>
            </w:pPr>
            <w:r w:rsidRPr="00F8543C">
              <w:rPr>
                <w:rFonts w:ascii="Times New Roman" w:hAnsi="Times New Roman"/>
                <w:spacing w:val="-2"/>
                <w:lang w:val="el-GR"/>
              </w:rPr>
              <w:t xml:space="preserve">Μείωση σε 0,5  </w:t>
            </w:r>
            <w:r w:rsidRPr="00F8543C">
              <w:rPr>
                <w:rFonts w:ascii="Times New Roman" w:hAnsi="Times New Roman"/>
                <w:spacing w:val="-2"/>
              </w:rPr>
              <w:t>MU</w:t>
            </w:r>
            <w:r w:rsidRPr="00F8543C">
              <w:rPr>
                <w:rFonts w:ascii="Times New Roman" w:hAnsi="Times New Roman"/>
                <w:spacing w:val="-2"/>
                <w:lang w:val="el-GR"/>
              </w:rPr>
              <w:t>/</w:t>
            </w:r>
            <w:r w:rsidRPr="00F8543C">
              <w:rPr>
                <w:rFonts w:ascii="Times New Roman" w:hAnsi="Times New Roman"/>
                <w:spacing w:val="-2"/>
              </w:rPr>
              <w:t>kg</w:t>
            </w:r>
            <w:r>
              <w:rPr>
                <w:rFonts w:ascii="Times New Roman" w:hAnsi="Times New Roman"/>
                <w:spacing w:val="-2"/>
                <w:lang w:val="el-GR"/>
              </w:rPr>
              <w:t>/</w:t>
            </w:r>
            <w:r w:rsidRPr="00F8543C">
              <w:rPr>
                <w:rFonts w:ascii="Times New Roman" w:hAnsi="Times New Roman"/>
                <w:spacing w:val="-2"/>
                <w:lang w:val="el-GR"/>
              </w:rPr>
              <w:t xml:space="preserve"> ημέρα</w:t>
            </w:r>
          </w:p>
        </w:tc>
      </w:tr>
      <w:tr w:rsidR="008862CC" w:rsidRPr="00F8543C" w:rsidTr="006041AE">
        <w:tc>
          <w:tcPr>
            <w:tcW w:w="5920" w:type="dxa"/>
          </w:tcPr>
          <w:p w:rsidR="008862CC" w:rsidRPr="00F8543C" w:rsidRDefault="008862CC" w:rsidP="006041AE">
            <w:pPr>
              <w:tabs>
                <w:tab w:val="left" w:pos="5920"/>
                <w:tab w:val="left" w:pos="10348"/>
              </w:tabs>
              <w:suppressAutoHyphens/>
              <w:rPr>
                <w:rFonts w:ascii="Times New Roman" w:hAnsi="Times New Roman"/>
                <w:spacing w:val="-2"/>
                <w:lang w:val="el-GR"/>
              </w:rPr>
            </w:pPr>
            <w:r w:rsidRPr="00F8543C">
              <w:rPr>
                <w:rFonts w:ascii="Times New Roman" w:hAnsi="Times New Roman"/>
                <w:spacing w:val="-2"/>
                <w:lang w:val="el-GR"/>
              </w:rPr>
              <w:t xml:space="preserve">Μετά, εάν ο </w:t>
            </w:r>
            <w:r>
              <w:rPr>
                <w:rFonts w:ascii="Times New Roman" w:hAnsi="Times New Roman"/>
                <w:spacing w:val="-2"/>
              </w:rPr>
              <w:t>ANC</w:t>
            </w:r>
            <w:r w:rsidRPr="00F8543C">
              <w:rPr>
                <w:rFonts w:ascii="Times New Roman" w:hAnsi="Times New Roman"/>
                <w:spacing w:val="-2"/>
                <w:lang w:val="el-GR"/>
              </w:rPr>
              <w:t xml:space="preserve"> παραμένει   &gt;1,0 x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sidRPr="00F8543C">
              <w:rPr>
                <w:rFonts w:ascii="Times New Roman" w:hAnsi="Times New Roman"/>
                <w:spacing w:val="-2"/>
              </w:rPr>
              <w:t>l</w:t>
            </w:r>
            <w:r w:rsidRPr="00F8543C">
              <w:rPr>
                <w:rFonts w:ascii="Times New Roman" w:hAnsi="Times New Roman"/>
                <w:spacing w:val="-2"/>
                <w:lang w:val="el-GR"/>
              </w:rPr>
              <w:t xml:space="preserve"> για 3 επιπλέον συνε</w:t>
            </w:r>
            <w:r>
              <w:rPr>
                <w:rFonts w:ascii="Times New Roman" w:hAnsi="Times New Roman"/>
                <w:spacing w:val="-2"/>
                <w:lang w:val="el-GR"/>
              </w:rPr>
              <w:t>χ</w:t>
            </w:r>
            <w:r w:rsidRPr="00F8543C">
              <w:rPr>
                <w:rFonts w:ascii="Times New Roman" w:hAnsi="Times New Roman"/>
                <w:spacing w:val="-2"/>
                <w:lang w:val="el-GR"/>
              </w:rPr>
              <w:t>είς ημέρες</w:t>
            </w:r>
            <w:r w:rsidRPr="00F8543C">
              <w:rPr>
                <w:rFonts w:ascii="Times New Roman" w:hAnsi="Times New Roman"/>
                <w:spacing w:val="-2"/>
                <w:lang w:val="el-GR"/>
              </w:rPr>
              <w:tab/>
              <w:t>Διακοπή xορήγησης GRANULOKINE</w:t>
            </w:r>
          </w:p>
        </w:tc>
        <w:tc>
          <w:tcPr>
            <w:tcW w:w="4843" w:type="dxa"/>
          </w:tcPr>
          <w:p w:rsidR="008862CC" w:rsidRPr="00F8543C" w:rsidRDefault="008862CC" w:rsidP="006041AE">
            <w:pPr>
              <w:tabs>
                <w:tab w:val="left" w:pos="5920"/>
                <w:tab w:val="left" w:pos="10348"/>
              </w:tabs>
              <w:suppressAutoHyphens/>
              <w:rPr>
                <w:rFonts w:ascii="Times New Roman" w:hAnsi="Times New Roman"/>
                <w:spacing w:val="-2"/>
                <w:lang w:val="el-GR"/>
              </w:rPr>
            </w:pPr>
            <w:r w:rsidRPr="00F8543C">
              <w:rPr>
                <w:rFonts w:ascii="Times New Roman" w:hAnsi="Times New Roman"/>
                <w:spacing w:val="-2"/>
                <w:lang w:val="el-GR"/>
              </w:rPr>
              <w:t xml:space="preserve">Διακοπή χορήγησης </w:t>
            </w:r>
            <w:r w:rsidRPr="00F8543C">
              <w:rPr>
                <w:rFonts w:ascii="Times New Roman" w:hAnsi="Times New Roman"/>
                <w:spacing w:val="-2"/>
              </w:rPr>
              <w:t>GRANULOKINE</w:t>
            </w:r>
          </w:p>
        </w:tc>
      </w:tr>
      <w:tr w:rsidR="008862CC" w:rsidRPr="00F8543C" w:rsidTr="006041AE">
        <w:trPr>
          <w:cantSplit/>
        </w:trPr>
        <w:tc>
          <w:tcPr>
            <w:tcW w:w="10763" w:type="dxa"/>
            <w:gridSpan w:val="2"/>
          </w:tcPr>
          <w:p w:rsidR="008862CC" w:rsidRPr="00F8543C" w:rsidRDefault="008862CC" w:rsidP="006041AE">
            <w:pPr>
              <w:tabs>
                <w:tab w:val="left" w:pos="10348"/>
              </w:tabs>
              <w:suppressAutoHyphens/>
              <w:rPr>
                <w:rFonts w:ascii="Times New Roman" w:hAnsi="Times New Roman"/>
                <w:spacing w:val="-2"/>
                <w:lang w:val="el-GR"/>
              </w:rPr>
            </w:pPr>
            <w:r w:rsidRPr="00F8543C">
              <w:rPr>
                <w:rFonts w:ascii="Times New Roman" w:hAnsi="Times New Roman"/>
                <w:spacing w:val="-2"/>
                <w:lang w:val="el-GR"/>
              </w:rPr>
              <w:t xml:space="preserve">Εάν ο </w:t>
            </w:r>
            <w:r>
              <w:rPr>
                <w:rFonts w:ascii="Times New Roman" w:hAnsi="Times New Roman"/>
                <w:spacing w:val="-2"/>
                <w:lang w:val="el-GR"/>
              </w:rPr>
              <w:t>ANC</w:t>
            </w:r>
            <w:r w:rsidRPr="00F8543C">
              <w:rPr>
                <w:rFonts w:ascii="Times New Roman" w:hAnsi="Times New Roman"/>
                <w:spacing w:val="-2"/>
                <w:lang w:val="el-GR"/>
              </w:rPr>
              <w:t xml:space="preserve"> μειωθεί σε &lt;1,0 x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sidRPr="00F8543C">
              <w:rPr>
                <w:rFonts w:ascii="Times New Roman" w:hAnsi="Times New Roman"/>
                <w:spacing w:val="-2"/>
              </w:rPr>
              <w:t>l</w:t>
            </w:r>
            <w:r w:rsidRPr="00F8543C">
              <w:rPr>
                <w:rFonts w:ascii="Times New Roman" w:hAnsi="Times New Roman"/>
                <w:spacing w:val="-2"/>
                <w:lang w:val="el-GR"/>
              </w:rPr>
              <w:t xml:space="preserve"> κατά τη θεραπευτική περίοδο, η δόση του GRANULOKINE θα πρέπει να αυξηθεί ξανά σύμφωνα με τις παραπάνω οδηγίες</w:t>
            </w:r>
          </w:p>
        </w:tc>
      </w:tr>
    </w:tbl>
    <w:p w:rsidR="008862CC" w:rsidRPr="00F8543C" w:rsidRDefault="008862CC" w:rsidP="008862C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348"/>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ANC = απόλυτος αριθμός </w:t>
      </w:r>
      <w:r w:rsidR="00946D24">
        <w:rPr>
          <w:rFonts w:ascii="Times New Roman" w:hAnsi="Times New Roman"/>
          <w:spacing w:val="-2"/>
          <w:lang w:val="el-GR"/>
        </w:rPr>
        <w:t>ουδετερόφιλων</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862CC" w:rsidRPr="00EA1FE3" w:rsidRDefault="008862CC" w:rsidP="008862CC">
      <w:pPr>
        <w:pStyle w:val="22"/>
        <w:tabs>
          <w:tab w:val="clear" w:pos="0"/>
          <w:tab w:val="left" w:pos="1309"/>
        </w:tabs>
        <w:rPr>
          <w:strike/>
          <w:color w:val="FF00FF"/>
          <w:szCs w:val="24"/>
          <w:u w:val="single"/>
        </w:rPr>
      </w:pPr>
      <w:r w:rsidRPr="00EA1FE3">
        <w:rPr>
          <w:u w:val="single"/>
        </w:rPr>
        <w:t>Για την κινητοποίηση Προγονικών Κυττάρων του Περιφερικού Αίματος (PBPC) σε ασθενείς που  υποβάλλονται σε</w:t>
      </w:r>
      <w:r w:rsidRPr="00EA1FE3">
        <w:rPr>
          <w:color w:val="FF00FF"/>
          <w:u w:val="single"/>
        </w:rPr>
        <w:t xml:space="preserve"> </w:t>
      </w:r>
      <w:r w:rsidRPr="00EA1FE3">
        <w:rPr>
          <w:u w:val="single"/>
        </w:rPr>
        <w:t>μυελοκατασταλτική ή μυελοεκκαθαριστική θεραπεία ακολουθούμενη από μεταμόσχευση αυτόλογων προγονικών κυττάρων του περιφερικού αίματος</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F8543C">
        <w:rPr>
          <w:rFonts w:ascii="Times New Roman" w:hAnsi="Times New Roman"/>
          <w:spacing w:val="-2"/>
          <w:lang w:val="el-GR"/>
        </w:rPr>
        <w:tab/>
      </w:r>
      <w:r w:rsidRPr="00F8543C">
        <w:rPr>
          <w:rFonts w:ascii="Times New Roman" w:hAnsi="Times New Roman"/>
          <w:spacing w:val="-2"/>
          <w:lang w:val="el-GR"/>
        </w:rPr>
        <w:tab/>
      </w:r>
    </w:p>
    <w:p w:rsidR="00416745" w:rsidRPr="00F8543C"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lang w:val="el-GR"/>
        </w:rPr>
        <w:t>Η συνιστώμενη δόση του GRANULOKINE</w:t>
      </w:r>
      <w:r>
        <w:rPr>
          <w:rFonts w:ascii="Times New Roman" w:hAnsi="Times New Roman"/>
          <w:lang w:val="el-GR"/>
        </w:rPr>
        <w:t xml:space="preserve"> </w:t>
      </w:r>
      <w:r w:rsidRPr="00F8543C">
        <w:rPr>
          <w:rFonts w:ascii="Times New Roman" w:hAnsi="Times New Roman"/>
          <w:lang w:val="el-GR"/>
        </w:rPr>
        <w:t xml:space="preserve">για την κινητοποίηση των προγονικών κυττάρων του περιφερικού αίματος (PBPC) όταν </w:t>
      </w:r>
      <w:r>
        <w:rPr>
          <w:rFonts w:ascii="Times New Roman" w:hAnsi="Times New Roman"/>
          <w:lang w:val="el-GR"/>
        </w:rPr>
        <w:t>χ</w:t>
      </w:r>
      <w:r w:rsidRPr="00F8543C">
        <w:rPr>
          <w:rFonts w:ascii="Times New Roman" w:hAnsi="Times New Roman"/>
          <w:lang w:val="el-GR"/>
        </w:rPr>
        <w:t>ορηγείται μόνο του είναι 1,0 MU (10 μg)/kg</w:t>
      </w:r>
      <w:r>
        <w:rPr>
          <w:rFonts w:ascii="Times New Roman" w:hAnsi="Times New Roman"/>
          <w:lang w:val="el-GR"/>
        </w:rPr>
        <w:t>/</w:t>
      </w:r>
      <w:r w:rsidRPr="00F8543C">
        <w:rPr>
          <w:rFonts w:ascii="Times New Roman" w:hAnsi="Times New Roman"/>
          <w:lang w:val="el-GR"/>
        </w:rPr>
        <w:t>ημέρα, ως μια 24ωρη συνε</w:t>
      </w:r>
      <w:r>
        <w:rPr>
          <w:rFonts w:ascii="Times New Roman" w:hAnsi="Times New Roman"/>
          <w:lang w:val="el-GR"/>
        </w:rPr>
        <w:t>χ</w:t>
      </w:r>
      <w:r w:rsidRPr="00F8543C">
        <w:rPr>
          <w:rFonts w:ascii="Times New Roman" w:hAnsi="Times New Roman"/>
          <w:lang w:val="el-GR"/>
        </w:rPr>
        <w:t>ή</w:t>
      </w:r>
      <w:r>
        <w:rPr>
          <w:rFonts w:ascii="Times New Roman" w:hAnsi="Times New Roman"/>
          <w:lang w:val="el-GR"/>
        </w:rPr>
        <w:t>ς</w:t>
      </w:r>
      <w:r w:rsidRPr="00F8543C">
        <w:rPr>
          <w:rFonts w:ascii="Times New Roman" w:hAnsi="Times New Roman"/>
          <w:lang w:val="el-GR"/>
        </w:rPr>
        <w:t xml:space="preserve"> υποδόρια έγ</w:t>
      </w:r>
      <w:r>
        <w:rPr>
          <w:rFonts w:ascii="Times New Roman" w:hAnsi="Times New Roman"/>
          <w:lang w:val="el-GR"/>
        </w:rPr>
        <w:t>χ</w:t>
      </w:r>
      <w:r w:rsidRPr="00F8543C">
        <w:rPr>
          <w:rFonts w:ascii="Times New Roman" w:hAnsi="Times New Roman"/>
          <w:lang w:val="el-GR"/>
        </w:rPr>
        <w:t xml:space="preserve">υση ή ως εφάπαξ ημερήσια υποδόρια ένεση, για </w:t>
      </w:r>
      <w:r w:rsidRPr="00F8543C">
        <w:rPr>
          <w:rFonts w:ascii="Times New Roman" w:hAnsi="Times New Roman"/>
          <w:bCs/>
          <w:lang w:val="el-GR"/>
        </w:rPr>
        <w:t>5 έως 7 συνε</w:t>
      </w:r>
      <w:r>
        <w:rPr>
          <w:rFonts w:ascii="Times New Roman" w:hAnsi="Times New Roman"/>
          <w:bCs/>
          <w:lang w:val="el-GR"/>
        </w:rPr>
        <w:t>χ</w:t>
      </w:r>
      <w:r w:rsidRPr="00F8543C">
        <w:rPr>
          <w:rFonts w:ascii="Times New Roman" w:hAnsi="Times New Roman"/>
          <w:bCs/>
          <w:lang w:val="el-GR"/>
        </w:rPr>
        <w:t>είς</w:t>
      </w:r>
      <w:r w:rsidRPr="00F8543C">
        <w:rPr>
          <w:rFonts w:ascii="Times New Roman" w:hAnsi="Times New Roman"/>
          <w:lang w:val="el-GR"/>
        </w:rPr>
        <w:t xml:space="preserve"> ημέρες.  Για τις εγ</w:t>
      </w:r>
      <w:r>
        <w:rPr>
          <w:rFonts w:ascii="Times New Roman" w:hAnsi="Times New Roman"/>
          <w:lang w:val="el-GR"/>
        </w:rPr>
        <w:t>χ</w:t>
      </w:r>
      <w:r w:rsidRPr="00F8543C">
        <w:rPr>
          <w:rFonts w:ascii="Times New Roman" w:hAnsi="Times New Roman"/>
          <w:lang w:val="el-GR"/>
        </w:rPr>
        <w:t>ύσεις το GRANULOKINE</w:t>
      </w:r>
      <w:r w:rsidRPr="006D7314">
        <w:rPr>
          <w:rFonts w:ascii="Times New Roman" w:hAnsi="Times New Roman"/>
          <w:lang w:val="el-GR"/>
        </w:rPr>
        <w:t xml:space="preserve"> </w:t>
      </w:r>
      <w:r w:rsidRPr="00F8543C">
        <w:rPr>
          <w:rFonts w:ascii="Times New Roman" w:hAnsi="Times New Roman"/>
          <w:lang w:val="el-GR"/>
        </w:rPr>
        <w:t xml:space="preserve">θα πρέπει να διαλύεται σε 20 ml διαλύματος γλυκόζης 5% (βλ. </w:t>
      </w:r>
      <w:r w:rsidRPr="00A52295">
        <w:rPr>
          <w:rFonts w:ascii="Times New Roman" w:hAnsi="Times New Roman"/>
          <w:lang w:val="el-GR"/>
        </w:rPr>
        <w:t xml:space="preserve">παράγραφο </w:t>
      </w:r>
      <w:r w:rsidRPr="00F8543C">
        <w:rPr>
          <w:rFonts w:ascii="Times New Roman" w:hAnsi="Times New Roman"/>
          <w:lang w:val="el-GR"/>
        </w:rPr>
        <w:t>6.6</w:t>
      </w:r>
      <w:r>
        <w:rPr>
          <w:rFonts w:ascii="Times New Roman" w:hAnsi="Times New Roman"/>
          <w:lang w:val="el-GR"/>
        </w:rPr>
        <w:t>). Χ</w:t>
      </w:r>
      <w:r w:rsidRPr="00F8543C">
        <w:rPr>
          <w:rFonts w:ascii="Times New Roman" w:hAnsi="Times New Roman"/>
          <w:lang w:val="el-GR"/>
        </w:rPr>
        <w:t xml:space="preserve">ρονικός προσδιορισμός της λευκαφαίρεσης: </w:t>
      </w:r>
      <w:r w:rsidRPr="00F8543C">
        <w:rPr>
          <w:rFonts w:ascii="Times New Roman" w:hAnsi="Times New Roman"/>
          <w:bCs/>
          <w:lang w:val="el-GR"/>
        </w:rPr>
        <w:t>μία ή δύο</w:t>
      </w:r>
      <w:r w:rsidRPr="00F8543C">
        <w:rPr>
          <w:rFonts w:ascii="Times New Roman" w:hAnsi="Times New Roman"/>
          <w:b/>
          <w:lang w:val="el-GR"/>
        </w:rPr>
        <w:t xml:space="preserve"> </w:t>
      </w:r>
      <w:r w:rsidRPr="00F8543C">
        <w:rPr>
          <w:rFonts w:ascii="Times New Roman" w:hAnsi="Times New Roman"/>
          <w:bCs/>
          <w:lang w:val="el-GR"/>
        </w:rPr>
        <w:t>λευκαφαιρέσεις τις ημέρες 5 και 6 είναι συνήθως επαρκείς.</w:t>
      </w:r>
      <w:r w:rsidR="002D429D">
        <w:rPr>
          <w:rFonts w:ascii="Times New Roman" w:hAnsi="Times New Roman"/>
          <w:bCs/>
          <w:lang w:val="el-GR"/>
        </w:rPr>
        <w:t xml:space="preserve"> </w:t>
      </w:r>
      <w:r w:rsidRPr="00F8543C">
        <w:rPr>
          <w:rFonts w:ascii="Times New Roman" w:hAnsi="Times New Roman"/>
          <w:bCs/>
          <w:lang w:val="el-GR"/>
        </w:rPr>
        <w:t xml:space="preserve">Σε άλλες περιπτώσεις μπορεί να είναι απαραίτητες επιπρόσθετες λευκαφαιρέσεις. Η δοσολογία του GRANULOKINE </w:t>
      </w:r>
      <w:r w:rsidRPr="00A52295">
        <w:rPr>
          <w:rFonts w:ascii="Times New Roman" w:hAnsi="Times New Roman"/>
          <w:bCs/>
          <w:lang w:val="el-GR"/>
        </w:rPr>
        <w:t xml:space="preserve">θα </w:t>
      </w:r>
      <w:r w:rsidRPr="00F8543C">
        <w:rPr>
          <w:rFonts w:ascii="Times New Roman" w:hAnsi="Times New Roman"/>
          <w:bCs/>
          <w:lang w:val="el-GR"/>
        </w:rPr>
        <w:t xml:space="preserve">πρέπει να διατηρείται μέχρι την τελευταία λευκαφαίρεση.  </w:t>
      </w:r>
    </w:p>
    <w:p w:rsidR="00416745" w:rsidRPr="00F8543C"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spacing w:val="-2"/>
          <w:lang w:val="el-GR"/>
        </w:rPr>
        <w:t xml:space="preserve">Η συνιστώμενη δόση του GRANULOKINE για την κινητοποίηση των προγονικών κυττάρων του περιφερικού αίματος (PBPC) μετά από μυελοκατασταλτική </w:t>
      </w:r>
      <w:r>
        <w:rPr>
          <w:rFonts w:ascii="Times New Roman" w:hAnsi="Times New Roman"/>
          <w:spacing w:val="-2"/>
          <w:lang w:val="el-GR"/>
        </w:rPr>
        <w:t>χ</w:t>
      </w:r>
      <w:r w:rsidRPr="00F8543C">
        <w:rPr>
          <w:rFonts w:ascii="Times New Roman" w:hAnsi="Times New Roman"/>
          <w:spacing w:val="-2"/>
          <w:lang w:val="el-GR"/>
        </w:rPr>
        <w:t xml:space="preserve">ημειοθεραπεία είναι 0,5 MU (5 μg)/kg/ημέρα, </w:t>
      </w:r>
      <w:r>
        <w:rPr>
          <w:rFonts w:ascii="Times New Roman" w:hAnsi="Times New Roman"/>
          <w:spacing w:val="-2"/>
          <w:lang w:val="el-GR"/>
        </w:rPr>
        <w:t>χ</w:t>
      </w:r>
      <w:r w:rsidRPr="00F8543C">
        <w:rPr>
          <w:rFonts w:ascii="Times New Roman" w:hAnsi="Times New Roman"/>
          <w:spacing w:val="-2"/>
          <w:lang w:val="el-GR"/>
        </w:rPr>
        <w:t xml:space="preserve">ορηγούμενο καθημερινά με υποδόρια ένεση από την πρώτη ημέρα </w:t>
      </w:r>
      <w:r w:rsidRPr="00A52295">
        <w:rPr>
          <w:rFonts w:ascii="Times New Roman" w:hAnsi="Times New Roman"/>
          <w:spacing w:val="-2"/>
          <w:lang w:val="el-GR"/>
        </w:rPr>
        <w:t>μετά την</w:t>
      </w:r>
      <w:r>
        <w:rPr>
          <w:rFonts w:ascii="Times New Roman" w:hAnsi="Times New Roman"/>
          <w:color w:val="FF00FF"/>
          <w:spacing w:val="-2"/>
          <w:lang w:val="el-GR"/>
        </w:rPr>
        <w:t xml:space="preserve"> </w:t>
      </w:r>
      <w:r w:rsidRPr="00F8543C">
        <w:rPr>
          <w:rFonts w:ascii="Times New Roman" w:hAnsi="Times New Roman"/>
          <w:spacing w:val="-2"/>
          <w:lang w:val="el-GR"/>
        </w:rPr>
        <w:t xml:space="preserve">ολοκλήρωση της </w:t>
      </w:r>
      <w:r>
        <w:rPr>
          <w:rFonts w:ascii="Times New Roman" w:hAnsi="Times New Roman"/>
          <w:spacing w:val="-2"/>
          <w:lang w:val="el-GR"/>
        </w:rPr>
        <w:t>χ</w:t>
      </w:r>
      <w:r w:rsidRPr="00F8543C">
        <w:rPr>
          <w:rFonts w:ascii="Times New Roman" w:hAnsi="Times New Roman"/>
          <w:spacing w:val="-2"/>
          <w:lang w:val="el-GR"/>
        </w:rPr>
        <w:t>ημειοθεραπείας μέ</w:t>
      </w:r>
      <w:r>
        <w:rPr>
          <w:rFonts w:ascii="Times New Roman" w:hAnsi="Times New Roman"/>
          <w:spacing w:val="-2"/>
          <w:lang w:val="el-GR"/>
        </w:rPr>
        <w:t>χ</w:t>
      </w:r>
      <w:r w:rsidRPr="00F8543C">
        <w:rPr>
          <w:rFonts w:ascii="Times New Roman" w:hAnsi="Times New Roman"/>
          <w:spacing w:val="-2"/>
          <w:lang w:val="el-GR"/>
        </w:rPr>
        <w:t>ρι να ξεπεραστεί το αναμενόμενο ναδίρ των ουδετερόφιλων και ο αριθμός των ουδετερόφιλων έ</w:t>
      </w:r>
      <w:r>
        <w:rPr>
          <w:rFonts w:ascii="Times New Roman" w:hAnsi="Times New Roman"/>
          <w:spacing w:val="-2"/>
          <w:lang w:val="el-GR"/>
        </w:rPr>
        <w:t>χ</w:t>
      </w:r>
      <w:r w:rsidRPr="00F8543C">
        <w:rPr>
          <w:rFonts w:ascii="Times New Roman" w:hAnsi="Times New Roman"/>
          <w:spacing w:val="-2"/>
          <w:lang w:val="el-GR"/>
        </w:rPr>
        <w:t>ει επανέλθει στα φυσιολογικά όρια.  Η λευκαφαίρεση θα πρέπει να πραγματοποιείται στην περίοδο κατά την οποία ο απόλυτος αριθμός των ουδετερόφιλων (ANC) αυξάνεται από &lt;0,5 x 10</w:t>
      </w:r>
      <w:r w:rsidRPr="00F8543C">
        <w:rPr>
          <w:rFonts w:ascii="Times New Roman" w:hAnsi="Times New Roman"/>
          <w:spacing w:val="-2"/>
          <w:vertAlign w:val="superscript"/>
          <w:lang w:val="el-GR"/>
        </w:rPr>
        <w:t>9</w:t>
      </w:r>
      <w:r w:rsidRPr="00F8543C">
        <w:rPr>
          <w:rFonts w:ascii="Times New Roman" w:hAnsi="Times New Roman"/>
          <w:spacing w:val="-2"/>
          <w:lang w:val="el-GR"/>
        </w:rPr>
        <w:t>/l σε &gt; 5,0 x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sidRPr="00F8543C">
        <w:rPr>
          <w:rFonts w:ascii="Times New Roman" w:hAnsi="Times New Roman"/>
          <w:spacing w:val="-2"/>
        </w:rPr>
        <w:t>l</w:t>
      </w:r>
      <w:r w:rsidRPr="00F8543C">
        <w:rPr>
          <w:rFonts w:ascii="Times New Roman" w:hAnsi="Times New Roman"/>
          <w:spacing w:val="-2"/>
          <w:lang w:val="el-GR"/>
        </w:rPr>
        <w:t>.  Για τους ασθενείς οι οποίοι δεν εί</w:t>
      </w:r>
      <w:r>
        <w:rPr>
          <w:rFonts w:ascii="Times New Roman" w:hAnsi="Times New Roman"/>
          <w:spacing w:val="-2"/>
          <w:lang w:val="el-GR"/>
        </w:rPr>
        <w:t>χ</w:t>
      </w:r>
      <w:r w:rsidRPr="00F8543C">
        <w:rPr>
          <w:rFonts w:ascii="Times New Roman" w:hAnsi="Times New Roman"/>
          <w:spacing w:val="-2"/>
          <w:lang w:val="el-GR"/>
        </w:rPr>
        <w:t xml:space="preserve">αν </w:t>
      </w:r>
      <w:r w:rsidRPr="00A52295">
        <w:rPr>
          <w:rFonts w:ascii="Times New Roman" w:hAnsi="Times New Roman"/>
          <w:spacing w:val="-2"/>
          <w:lang w:val="el-GR"/>
        </w:rPr>
        <w:t>υποβληθεί σε</w:t>
      </w:r>
      <w:r>
        <w:rPr>
          <w:rFonts w:ascii="Times New Roman" w:hAnsi="Times New Roman"/>
          <w:spacing w:val="-2"/>
          <w:lang w:val="el-GR"/>
        </w:rPr>
        <w:t xml:space="preserve"> </w:t>
      </w:r>
      <w:r w:rsidRPr="00F8543C">
        <w:rPr>
          <w:rFonts w:ascii="Times New Roman" w:hAnsi="Times New Roman"/>
          <w:spacing w:val="-2"/>
          <w:lang w:val="el-GR"/>
        </w:rPr>
        <w:t xml:space="preserve">εκτεταμένη </w:t>
      </w:r>
      <w:r>
        <w:rPr>
          <w:rFonts w:ascii="Times New Roman" w:hAnsi="Times New Roman"/>
          <w:spacing w:val="-2"/>
          <w:lang w:val="el-GR"/>
        </w:rPr>
        <w:t>χ</w:t>
      </w:r>
      <w:r w:rsidRPr="00F8543C">
        <w:rPr>
          <w:rFonts w:ascii="Times New Roman" w:hAnsi="Times New Roman"/>
          <w:spacing w:val="-2"/>
          <w:lang w:val="el-GR"/>
        </w:rPr>
        <w:t xml:space="preserve">ημειοθεραπεία, μία λευκαφαίρεση είναι συνήθως επαρκής. Σε άλλες περιπτώσεις, συνιστώνται επιπλέον λευκαφαιρέσεις. </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E83DB6"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E83DB6">
        <w:rPr>
          <w:rFonts w:ascii="Times New Roman" w:hAnsi="Times New Roman"/>
          <w:spacing w:val="-2"/>
          <w:u w:val="single"/>
          <w:lang w:val="el-GR"/>
        </w:rPr>
        <w:t>Για την Κινητοποίηση των προγονικών κυττάρων του περιφερικού αίματος (</w:t>
      </w:r>
      <w:r w:rsidRPr="00E83DB6">
        <w:rPr>
          <w:rFonts w:ascii="Times New Roman" w:hAnsi="Times New Roman"/>
          <w:spacing w:val="-2"/>
          <w:u w:val="single"/>
        </w:rPr>
        <w:t>PBPC</w:t>
      </w:r>
      <w:r w:rsidRPr="00E83DB6">
        <w:rPr>
          <w:rFonts w:ascii="Times New Roman" w:hAnsi="Times New Roman"/>
          <w:spacing w:val="-2"/>
          <w:u w:val="single"/>
          <w:lang w:val="el-GR"/>
        </w:rPr>
        <w:t xml:space="preserve">) σε </w:t>
      </w:r>
      <w:r>
        <w:rPr>
          <w:rFonts w:ascii="Times New Roman" w:hAnsi="Times New Roman"/>
          <w:spacing w:val="-2"/>
          <w:u w:val="single"/>
          <w:lang w:val="el-GR"/>
        </w:rPr>
        <w:t>υ</w:t>
      </w:r>
      <w:r w:rsidRPr="00E83DB6">
        <w:rPr>
          <w:rFonts w:ascii="Times New Roman" w:hAnsi="Times New Roman"/>
          <w:spacing w:val="-2"/>
          <w:u w:val="single"/>
          <w:lang w:val="el-GR"/>
        </w:rPr>
        <w:t xml:space="preserve">γιείς </w:t>
      </w:r>
      <w:r>
        <w:rPr>
          <w:rFonts w:ascii="Times New Roman" w:hAnsi="Times New Roman"/>
          <w:spacing w:val="-2"/>
          <w:u w:val="single"/>
          <w:lang w:val="el-GR"/>
        </w:rPr>
        <w:t>δ</w:t>
      </w:r>
      <w:r w:rsidRPr="00E83DB6">
        <w:rPr>
          <w:rFonts w:ascii="Times New Roman" w:hAnsi="Times New Roman"/>
          <w:spacing w:val="-2"/>
          <w:u w:val="single"/>
          <w:lang w:val="el-GR"/>
        </w:rPr>
        <w:t xml:space="preserve">ότες πριν από την </w:t>
      </w:r>
      <w:r w:rsidRPr="00A52295">
        <w:rPr>
          <w:rFonts w:ascii="Times New Roman" w:hAnsi="Times New Roman"/>
          <w:spacing w:val="-2"/>
          <w:u w:val="single"/>
          <w:lang w:val="el-GR"/>
        </w:rPr>
        <w:t xml:space="preserve">αλλογενή </w:t>
      </w:r>
      <w:r>
        <w:rPr>
          <w:rFonts w:ascii="Times New Roman" w:hAnsi="Times New Roman"/>
          <w:spacing w:val="-2"/>
          <w:u w:val="single"/>
          <w:lang w:val="el-GR"/>
        </w:rPr>
        <w:t>μ</w:t>
      </w:r>
      <w:r w:rsidRPr="00E83DB6">
        <w:rPr>
          <w:rFonts w:ascii="Times New Roman" w:hAnsi="Times New Roman"/>
          <w:spacing w:val="-2"/>
          <w:u w:val="single"/>
          <w:lang w:val="el-GR"/>
        </w:rPr>
        <w:t>εταμόσχευση Προγονικών Κυττάρων Περιφερικού Αίματος (</w:t>
      </w:r>
      <w:r w:rsidRPr="00E83DB6">
        <w:rPr>
          <w:rFonts w:ascii="Times New Roman" w:hAnsi="Times New Roman"/>
          <w:spacing w:val="-2"/>
          <w:u w:val="single"/>
        </w:rPr>
        <w:t>PBPC</w:t>
      </w:r>
      <w:r w:rsidRPr="00E83DB6">
        <w:rPr>
          <w:rFonts w:ascii="Times New Roman" w:hAnsi="Times New Roman"/>
          <w:spacing w:val="-2"/>
          <w:u w:val="single"/>
          <w:lang w:val="el-GR"/>
        </w:rPr>
        <w:t xml:space="preserve">) </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416745" w:rsidRPr="00F8543C" w:rsidRDefault="00416745" w:rsidP="00416745">
      <w:pPr>
        <w:tabs>
          <w:tab w:val="left" w:pos="-851"/>
          <w:tab w:val="left" w:pos="-131"/>
          <w:tab w:val="left" w:pos="0"/>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Για την κινητοποίηση των προγονικών κυττάρων του περιφερικού αίματος (</w:t>
      </w:r>
      <w:r w:rsidRPr="00F8543C">
        <w:rPr>
          <w:rFonts w:ascii="Times New Roman" w:hAnsi="Times New Roman"/>
          <w:spacing w:val="-2"/>
        </w:rPr>
        <w:t>PBPC</w:t>
      </w:r>
      <w:r w:rsidRPr="00F8543C">
        <w:rPr>
          <w:rFonts w:ascii="Times New Roman" w:hAnsi="Times New Roman"/>
          <w:spacing w:val="-2"/>
          <w:lang w:val="el-GR"/>
        </w:rPr>
        <w:t xml:space="preserve">) σε υγιείς δότες, το </w:t>
      </w:r>
      <w:r w:rsidRPr="00F8543C">
        <w:rPr>
          <w:rFonts w:ascii="Times New Roman" w:hAnsi="Times New Roman"/>
          <w:spacing w:val="-2"/>
        </w:rPr>
        <w:t>GRANULOKINE</w:t>
      </w:r>
      <w:r w:rsidRPr="00F8543C">
        <w:rPr>
          <w:rFonts w:ascii="Times New Roman" w:hAnsi="Times New Roman"/>
          <w:spacing w:val="-2"/>
          <w:lang w:val="el-GR"/>
        </w:rPr>
        <w:t xml:space="preserve"> πρέπει να χορηγείται σε δόση 10 μ</w:t>
      </w:r>
      <w:r w:rsidRPr="00F8543C">
        <w:rPr>
          <w:rFonts w:ascii="Times New Roman" w:hAnsi="Times New Roman"/>
          <w:spacing w:val="-2"/>
        </w:rPr>
        <w:t>g</w:t>
      </w:r>
      <w:r w:rsidRPr="00F8543C">
        <w:rPr>
          <w:rFonts w:ascii="Times New Roman" w:hAnsi="Times New Roman"/>
          <w:spacing w:val="-2"/>
          <w:lang w:val="el-GR"/>
        </w:rPr>
        <w:t>/</w:t>
      </w:r>
      <w:r w:rsidRPr="00F8543C">
        <w:rPr>
          <w:rFonts w:ascii="Times New Roman" w:hAnsi="Times New Roman"/>
          <w:spacing w:val="-2"/>
        </w:rPr>
        <w:t>kg</w:t>
      </w:r>
      <w:r w:rsidRPr="00F8543C">
        <w:rPr>
          <w:rFonts w:ascii="Times New Roman" w:hAnsi="Times New Roman"/>
          <w:spacing w:val="-2"/>
          <w:lang w:val="el-GR"/>
        </w:rPr>
        <w:t>/ημέρα υποδορίως για 4</w:t>
      </w:r>
      <w:r>
        <w:rPr>
          <w:rFonts w:ascii="Times New Roman" w:hAnsi="Times New Roman"/>
          <w:spacing w:val="-2"/>
          <w:lang w:val="el-GR"/>
        </w:rPr>
        <w:t xml:space="preserve"> έως </w:t>
      </w:r>
      <w:r w:rsidRPr="00F8543C">
        <w:rPr>
          <w:rFonts w:ascii="Times New Roman" w:hAnsi="Times New Roman"/>
          <w:spacing w:val="-2"/>
          <w:lang w:val="el-GR"/>
        </w:rPr>
        <w:t xml:space="preserve">5 συνεχείς ημέρες.  Η λευκαφαίρεση πρέπει να ξεκινάει την 5η ημέρα και να συνεχίζεται μέχρι την 6η ημέρα αν χρειάζεται, έτσι ώστε να συλλέγονται 4 </w:t>
      </w:r>
      <w:r w:rsidRPr="00F8543C">
        <w:rPr>
          <w:rFonts w:ascii="Times New Roman" w:hAnsi="Times New Roman"/>
          <w:spacing w:val="-2"/>
        </w:rPr>
        <w:t>x</w:t>
      </w:r>
      <w:r w:rsidRPr="00F8543C">
        <w:rPr>
          <w:rFonts w:ascii="Times New Roman" w:hAnsi="Times New Roman"/>
          <w:spacing w:val="-2"/>
          <w:lang w:val="el-GR"/>
        </w:rPr>
        <w:t xml:space="preserve"> 10</w:t>
      </w:r>
      <w:r w:rsidRPr="00F8543C">
        <w:rPr>
          <w:rFonts w:ascii="Times New Roman" w:hAnsi="Times New Roman"/>
          <w:spacing w:val="-2"/>
          <w:vertAlign w:val="superscript"/>
          <w:lang w:val="el-GR"/>
        </w:rPr>
        <w:t>6</w:t>
      </w:r>
      <w:r w:rsidRPr="00F8543C">
        <w:rPr>
          <w:rFonts w:ascii="Times New Roman" w:hAnsi="Times New Roman"/>
          <w:spacing w:val="-2"/>
          <w:lang w:val="el-GR"/>
        </w:rPr>
        <w:t xml:space="preserve"> κύτταρα </w:t>
      </w:r>
      <w:r w:rsidRPr="00F8543C">
        <w:rPr>
          <w:rFonts w:ascii="Times New Roman" w:hAnsi="Times New Roman"/>
          <w:spacing w:val="-2"/>
        </w:rPr>
        <w:t>CD</w:t>
      </w:r>
      <w:r w:rsidRPr="00F8543C">
        <w:rPr>
          <w:rFonts w:ascii="Times New Roman" w:hAnsi="Times New Roman"/>
          <w:spacing w:val="-2"/>
          <w:lang w:val="el-GR"/>
        </w:rPr>
        <w:t>34</w:t>
      </w:r>
      <w:r w:rsidRPr="00F8543C">
        <w:rPr>
          <w:rFonts w:ascii="Times New Roman" w:hAnsi="Times New Roman"/>
          <w:spacing w:val="-2"/>
          <w:vertAlign w:val="superscript"/>
          <w:lang w:val="el-GR"/>
        </w:rPr>
        <w:t>+</w:t>
      </w:r>
      <w:r w:rsidRPr="00F8543C">
        <w:rPr>
          <w:rFonts w:ascii="Times New Roman" w:hAnsi="Times New Roman"/>
          <w:spacing w:val="-2"/>
          <w:lang w:val="el-GR"/>
        </w:rPr>
        <w:t>/</w:t>
      </w:r>
      <w:r w:rsidRPr="00F8543C">
        <w:rPr>
          <w:rFonts w:ascii="Times New Roman" w:hAnsi="Times New Roman"/>
          <w:spacing w:val="-2"/>
        </w:rPr>
        <w:t>kg</w:t>
      </w:r>
      <w:r w:rsidRPr="00F8543C">
        <w:rPr>
          <w:rFonts w:ascii="Times New Roman" w:hAnsi="Times New Roman"/>
          <w:spacing w:val="-2"/>
          <w:lang w:val="el-GR"/>
        </w:rPr>
        <w:t xml:space="preserve"> βάρους σώματος του λήπτη.</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p>
    <w:p w:rsidR="00416745" w:rsidRPr="00A52295"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E83DB6">
        <w:rPr>
          <w:rFonts w:ascii="Times New Roman" w:hAnsi="Times New Roman"/>
          <w:spacing w:val="-2"/>
          <w:u w:val="single"/>
          <w:lang w:val="el-GR"/>
        </w:rPr>
        <w:t xml:space="preserve">Σε </w:t>
      </w:r>
      <w:r>
        <w:rPr>
          <w:rFonts w:ascii="Times New Roman" w:hAnsi="Times New Roman"/>
          <w:spacing w:val="-2"/>
          <w:u w:val="single"/>
          <w:lang w:val="el-GR"/>
        </w:rPr>
        <w:t>α</w:t>
      </w:r>
      <w:r w:rsidRPr="00E83DB6">
        <w:rPr>
          <w:rFonts w:ascii="Times New Roman" w:hAnsi="Times New Roman"/>
          <w:spacing w:val="-2"/>
          <w:u w:val="single"/>
          <w:lang w:val="el-GR"/>
        </w:rPr>
        <w:t xml:space="preserve">σθενείς με </w:t>
      </w:r>
      <w:r>
        <w:rPr>
          <w:rFonts w:ascii="Times New Roman" w:hAnsi="Times New Roman"/>
          <w:spacing w:val="-2"/>
          <w:u w:val="single"/>
          <w:lang w:val="el-GR"/>
        </w:rPr>
        <w:t>σ</w:t>
      </w:r>
      <w:r w:rsidRPr="00E83DB6">
        <w:rPr>
          <w:rFonts w:ascii="Times New Roman" w:hAnsi="Times New Roman"/>
          <w:spacing w:val="-2"/>
          <w:u w:val="single"/>
          <w:lang w:val="el-GR"/>
        </w:rPr>
        <w:t xml:space="preserve">οβαρή </w:t>
      </w:r>
      <w:r>
        <w:rPr>
          <w:rFonts w:ascii="Times New Roman" w:hAnsi="Times New Roman"/>
          <w:spacing w:val="-2"/>
          <w:u w:val="single"/>
          <w:lang w:val="el-GR"/>
        </w:rPr>
        <w:t>χ</w:t>
      </w:r>
      <w:r w:rsidRPr="00E83DB6">
        <w:rPr>
          <w:rFonts w:ascii="Times New Roman" w:hAnsi="Times New Roman"/>
          <w:spacing w:val="-2"/>
          <w:u w:val="single"/>
          <w:lang w:val="el-GR"/>
        </w:rPr>
        <w:t xml:space="preserve">ρόνια </w:t>
      </w:r>
      <w:r w:rsidRPr="00A52295">
        <w:rPr>
          <w:rFonts w:ascii="Times New Roman" w:hAnsi="Times New Roman"/>
          <w:spacing w:val="-2"/>
          <w:u w:val="single"/>
          <w:lang w:val="el-GR"/>
        </w:rPr>
        <w:t>ουδετεροπενία (</w:t>
      </w:r>
      <w:r w:rsidRPr="00A52295">
        <w:rPr>
          <w:rFonts w:ascii="Times New Roman" w:hAnsi="Times New Roman"/>
          <w:spacing w:val="-2"/>
          <w:u w:val="single"/>
        </w:rPr>
        <w:t>SCN</w:t>
      </w:r>
      <w:r w:rsidRPr="00A52295">
        <w:rPr>
          <w:rFonts w:ascii="Times New Roman" w:hAnsi="Times New Roman"/>
          <w:spacing w:val="-2"/>
          <w:u w:val="single"/>
          <w:lang w:val="el-GR"/>
        </w:rPr>
        <w:t>)</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i/>
          <w:spacing w:val="-2"/>
          <w:lang w:val="el-GR"/>
        </w:rPr>
      </w:pPr>
      <w:r w:rsidRPr="00F8543C">
        <w:rPr>
          <w:rFonts w:ascii="Times New Roman" w:hAnsi="Times New Roman"/>
          <w:i/>
          <w:spacing w:val="-2"/>
          <w:lang w:val="el-GR"/>
        </w:rPr>
        <w:tab/>
      </w:r>
      <w:r w:rsidRPr="00F8543C">
        <w:rPr>
          <w:rFonts w:ascii="Times New Roman" w:hAnsi="Times New Roman"/>
          <w:i/>
          <w:spacing w:val="-2"/>
          <w:lang w:val="el-GR"/>
        </w:rPr>
        <w:tab/>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F8543C">
        <w:rPr>
          <w:rFonts w:ascii="Times New Roman" w:hAnsi="Times New Roman"/>
          <w:i/>
          <w:spacing w:val="-2"/>
          <w:lang w:val="el-GR"/>
        </w:rPr>
        <w:t>Συγγενής ουδετεροπενία:</w:t>
      </w:r>
      <w:r w:rsidRPr="00F8543C">
        <w:rPr>
          <w:rFonts w:ascii="Times New Roman" w:hAnsi="Times New Roman"/>
          <w:spacing w:val="-2"/>
          <w:lang w:val="el-GR"/>
        </w:rPr>
        <w:t xml:space="preserve"> η συνιστώμενη αρ</w:t>
      </w:r>
      <w:r>
        <w:rPr>
          <w:rFonts w:ascii="Times New Roman" w:hAnsi="Times New Roman"/>
          <w:spacing w:val="-2"/>
          <w:lang w:val="el-GR"/>
        </w:rPr>
        <w:t>χ</w:t>
      </w:r>
      <w:r w:rsidRPr="00F8543C">
        <w:rPr>
          <w:rFonts w:ascii="Times New Roman" w:hAnsi="Times New Roman"/>
          <w:spacing w:val="-2"/>
          <w:lang w:val="el-GR"/>
        </w:rPr>
        <w:t xml:space="preserve">ική δόση είναι 1,2 MU (12 μg)/kg/ημέρα </w:t>
      </w:r>
      <w:r>
        <w:rPr>
          <w:rFonts w:ascii="Times New Roman" w:hAnsi="Times New Roman"/>
          <w:spacing w:val="-2"/>
          <w:lang w:val="el-GR"/>
        </w:rPr>
        <w:t>χ</w:t>
      </w:r>
      <w:r w:rsidRPr="00F8543C">
        <w:rPr>
          <w:rFonts w:ascii="Times New Roman" w:hAnsi="Times New Roman"/>
          <w:spacing w:val="-2"/>
          <w:lang w:val="el-GR"/>
        </w:rPr>
        <w:t xml:space="preserve">ορηγούμενη υποδόρια ως εφάπαξ δόση ή σε διηρημένες δόσεις. </w:t>
      </w:r>
      <w:r w:rsidRPr="00F8543C">
        <w:rPr>
          <w:rFonts w:ascii="Times New Roman" w:hAnsi="Times New Roman"/>
          <w:i/>
          <w:spacing w:val="-2"/>
          <w:lang w:val="el-GR"/>
        </w:rPr>
        <w:t xml:space="preserve">Ιδιοπαθής ή κυκλική ουδετεροπενία: </w:t>
      </w:r>
      <w:r w:rsidRPr="00F8543C">
        <w:rPr>
          <w:rFonts w:ascii="Times New Roman" w:hAnsi="Times New Roman"/>
          <w:spacing w:val="-2"/>
          <w:lang w:val="el-GR"/>
        </w:rPr>
        <w:t>η συνιστώμενη αρ</w:t>
      </w:r>
      <w:r>
        <w:rPr>
          <w:rFonts w:ascii="Times New Roman" w:hAnsi="Times New Roman"/>
          <w:spacing w:val="-2"/>
          <w:lang w:val="el-GR"/>
        </w:rPr>
        <w:t>χ</w:t>
      </w:r>
      <w:r w:rsidRPr="00F8543C">
        <w:rPr>
          <w:rFonts w:ascii="Times New Roman" w:hAnsi="Times New Roman"/>
          <w:spacing w:val="-2"/>
          <w:lang w:val="el-GR"/>
        </w:rPr>
        <w:t xml:space="preserve">ική δόση είναι 0,5 MU (5 μg)/kg/ ημέρα </w:t>
      </w:r>
      <w:r>
        <w:rPr>
          <w:rFonts w:ascii="Times New Roman" w:hAnsi="Times New Roman"/>
          <w:spacing w:val="-2"/>
          <w:lang w:val="el-GR"/>
        </w:rPr>
        <w:t>χ</w:t>
      </w:r>
      <w:r w:rsidRPr="00F8543C">
        <w:rPr>
          <w:rFonts w:ascii="Times New Roman" w:hAnsi="Times New Roman"/>
          <w:spacing w:val="-2"/>
          <w:lang w:val="el-GR"/>
        </w:rPr>
        <w:t>ορηγούμενη υποδόρια ως εφάπαξ δόση ή σε διηρημένες δόσεις.</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F8543C">
        <w:rPr>
          <w:rFonts w:ascii="Times New Roman" w:hAnsi="Times New Roman"/>
          <w:i/>
          <w:spacing w:val="-2"/>
          <w:lang w:val="el-GR"/>
        </w:rPr>
        <w:tab/>
      </w:r>
      <w:r w:rsidRPr="00F8543C">
        <w:rPr>
          <w:rFonts w:ascii="Times New Roman" w:hAnsi="Times New Roman"/>
          <w:i/>
          <w:spacing w:val="-2"/>
          <w:lang w:val="el-GR"/>
        </w:rPr>
        <w:tab/>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i/>
          <w:spacing w:val="-2"/>
          <w:lang w:val="el-GR"/>
        </w:rPr>
        <w:t xml:space="preserve">Ρύθμιση της δόσης: </w:t>
      </w:r>
      <w:r w:rsidRPr="00F8543C">
        <w:rPr>
          <w:rFonts w:ascii="Times New Roman" w:hAnsi="Times New Roman"/>
          <w:spacing w:val="-2"/>
          <w:lang w:val="el-GR"/>
        </w:rPr>
        <w:t xml:space="preserve">το GRANULOKINE θα πρέπει να </w:t>
      </w:r>
      <w:r>
        <w:rPr>
          <w:rFonts w:ascii="Times New Roman" w:hAnsi="Times New Roman"/>
          <w:spacing w:val="-2"/>
          <w:lang w:val="el-GR"/>
        </w:rPr>
        <w:t>χ</w:t>
      </w:r>
      <w:r w:rsidRPr="00F8543C">
        <w:rPr>
          <w:rFonts w:ascii="Times New Roman" w:hAnsi="Times New Roman"/>
          <w:spacing w:val="-2"/>
          <w:lang w:val="el-GR"/>
        </w:rPr>
        <w:t xml:space="preserve">ορηγείται ημερησίως με υποδόρια ένεση </w:t>
      </w:r>
      <w:r w:rsidRPr="00A52295">
        <w:rPr>
          <w:rFonts w:ascii="Times New Roman" w:hAnsi="Times New Roman"/>
          <w:spacing w:val="-2"/>
          <w:lang w:val="el-GR"/>
        </w:rPr>
        <w:t>μέχρις ότου</w:t>
      </w:r>
      <w:r w:rsidRPr="00F8543C">
        <w:rPr>
          <w:rFonts w:ascii="Times New Roman" w:hAnsi="Times New Roman"/>
          <w:spacing w:val="-2"/>
          <w:lang w:val="el-GR"/>
        </w:rPr>
        <w:t xml:space="preserve"> ο αριθμός των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να φθάσει και να μπορεί να διατηρηθεί πάνω από 1,5 x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sidRPr="00F8543C">
        <w:rPr>
          <w:rFonts w:ascii="Times New Roman" w:hAnsi="Times New Roman"/>
          <w:spacing w:val="-2"/>
        </w:rPr>
        <w:t>l</w:t>
      </w:r>
      <w:r w:rsidRPr="00F8543C">
        <w:rPr>
          <w:rFonts w:ascii="Times New Roman" w:hAnsi="Times New Roman"/>
          <w:spacing w:val="-2"/>
          <w:lang w:val="el-GR"/>
        </w:rPr>
        <w:t xml:space="preserve">.  Όταν </w:t>
      </w:r>
      <w:r w:rsidRPr="00F8543C">
        <w:rPr>
          <w:rFonts w:ascii="Times New Roman" w:hAnsi="Times New Roman"/>
          <w:spacing w:val="-2"/>
          <w:lang w:val="el-GR"/>
        </w:rPr>
        <w:lastRenderedPageBreak/>
        <w:t>έ</w:t>
      </w:r>
      <w:r>
        <w:rPr>
          <w:rFonts w:ascii="Times New Roman" w:hAnsi="Times New Roman"/>
          <w:spacing w:val="-2"/>
          <w:lang w:val="el-GR"/>
        </w:rPr>
        <w:t>χ</w:t>
      </w:r>
      <w:r w:rsidRPr="00F8543C">
        <w:rPr>
          <w:rFonts w:ascii="Times New Roman" w:hAnsi="Times New Roman"/>
          <w:spacing w:val="-2"/>
          <w:lang w:val="el-GR"/>
        </w:rPr>
        <w:t>ει επιτευ</w:t>
      </w:r>
      <w:r>
        <w:rPr>
          <w:rFonts w:ascii="Times New Roman" w:hAnsi="Times New Roman"/>
          <w:spacing w:val="-2"/>
          <w:lang w:val="el-GR"/>
        </w:rPr>
        <w:t>χ</w:t>
      </w:r>
      <w:r w:rsidRPr="00F8543C">
        <w:rPr>
          <w:rFonts w:ascii="Times New Roman" w:hAnsi="Times New Roman"/>
          <w:spacing w:val="-2"/>
          <w:lang w:val="el-GR"/>
        </w:rPr>
        <w:t>θεί η ανταπόκριση, θα πρέπει να καθορισθεί η ελά</w:t>
      </w:r>
      <w:r>
        <w:rPr>
          <w:rFonts w:ascii="Times New Roman" w:hAnsi="Times New Roman"/>
          <w:spacing w:val="-2"/>
          <w:lang w:val="el-GR"/>
        </w:rPr>
        <w:t>χ</w:t>
      </w:r>
      <w:r w:rsidRPr="00F8543C">
        <w:rPr>
          <w:rFonts w:ascii="Times New Roman" w:hAnsi="Times New Roman"/>
          <w:spacing w:val="-2"/>
          <w:lang w:val="el-GR"/>
        </w:rPr>
        <w:t>ιστη αποτελεσματική δόση ώστε να διατηρηθεί αυτό το επίπεδο.</w:t>
      </w:r>
      <w:r>
        <w:rPr>
          <w:rFonts w:ascii="Times New Roman" w:hAnsi="Times New Roman"/>
          <w:spacing w:val="-2"/>
          <w:lang w:val="el-GR"/>
        </w:rPr>
        <w:t xml:space="preserve"> </w:t>
      </w:r>
      <w:r w:rsidRPr="00F8543C">
        <w:rPr>
          <w:rFonts w:ascii="Times New Roman" w:hAnsi="Times New Roman"/>
          <w:spacing w:val="-2"/>
          <w:lang w:val="el-GR"/>
        </w:rPr>
        <w:t>Απαιτείται μακρό</w:t>
      </w:r>
      <w:r>
        <w:rPr>
          <w:rFonts w:ascii="Times New Roman" w:hAnsi="Times New Roman"/>
          <w:spacing w:val="-2"/>
          <w:lang w:val="el-GR"/>
        </w:rPr>
        <w:t>χ</w:t>
      </w:r>
      <w:r w:rsidRPr="00F8543C">
        <w:rPr>
          <w:rFonts w:ascii="Times New Roman" w:hAnsi="Times New Roman"/>
          <w:spacing w:val="-2"/>
          <w:lang w:val="el-GR"/>
        </w:rPr>
        <w:t xml:space="preserve">ρονη ημερήσια </w:t>
      </w:r>
      <w:r>
        <w:rPr>
          <w:rFonts w:ascii="Times New Roman" w:hAnsi="Times New Roman"/>
          <w:spacing w:val="-2"/>
          <w:lang w:val="el-GR"/>
        </w:rPr>
        <w:t>χ</w:t>
      </w:r>
      <w:r w:rsidRPr="00F8543C">
        <w:rPr>
          <w:rFonts w:ascii="Times New Roman" w:hAnsi="Times New Roman"/>
          <w:spacing w:val="-2"/>
          <w:lang w:val="el-GR"/>
        </w:rPr>
        <w:t>ορήγηση για να διατηρηθεί ένας επαρκής αριθμός ουδετερόφιλων.</w:t>
      </w:r>
      <w:r>
        <w:rPr>
          <w:rFonts w:ascii="Times New Roman" w:hAnsi="Times New Roman"/>
          <w:spacing w:val="-2"/>
          <w:lang w:val="el-GR"/>
        </w:rPr>
        <w:t xml:space="preserve"> </w:t>
      </w:r>
      <w:r w:rsidRPr="00F8543C">
        <w:rPr>
          <w:rFonts w:ascii="Times New Roman" w:hAnsi="Times New Roman"/>
          <w:spacing w:val="-2"/>
          <w:lang w:val="el-GR"/>
        </w:rPr>
        <w:t xml:space="preserve">Μετά από </w:t>
      </w:r>
      <w:r w:rsidRPr="00A52295">
        <w:rPr>
          <w:rFonts w:ascii="Times New Roman" w:hAnsi="Times New Roman"/>
          <w:spacing w:val="-2"/>
          <w:lang w:val="el-GR"/>
        </w:rPr>
        <w:t>μία έως δύο</w:t>
      </w:r>
      <w:r w:rsidRPr="00701305">
        <w:rPr>
          <w:rFonts w:ascii="Times New Roman" w:hAnsi="Times New Roman"/>
          <w:color w:val="FF00FF"/>
          <w:spacing w:val="-2"/>
          <w:lang w:val="el-GR"/>
        </w:rPr>
        <w:t xml:space="preserve"> </w:t>
      </w:r>
      <w:r w:rsidRPr="00F8543C">
        <w:rPr>
          <w:rFonts w:ascii="Times New Roman" w:hAnsi="Times New Roman"/>
          <w:spacing w:val="-2"/>
          <w:lang w:val="el-GR"/>
        </w:rPr>
        <w:t>εβδομάδες θεραπείας, η αρ</w:t>
      </w:r>
      <w:r>
        <w:rPr>
          <w:rFonts w:ascii="Times New Roman" w:hAnsi="Times New Roman"/>
          <w:spacing w:val="-2"/>
          <w:lang w:val="el-GR"/>
        </w:rPr>
        <w:t>χ</w:t>
      </w:r>
      <w:r w:rsidRPr="00F8543C">
        <w:rPr>
          <w:rFonts w:ascii="Times New Roman" w:hAnsi="Times New Roman"/>
          <w:spacing w:val="-2"/>
          <w:lang w:val="el-GR"/>
        </w:rPr>
        <w:t>ική δόση μπορεί να διπλασιαστεί ή να υποδιπλασιαστεί, ανάλογα με την ανταπόκριση του ασθενούς.  Στη συνέ</w:t>
      </w:r>
      <w:r>
        <w:rPr>
          <w:rFonts w:ascii="Times New Roman" w:hAnsi="Times New Roman"/>
          <w:spacing w:val="-2"/>
          <w:lang w:val="el-GR"/>
        </w:rPr>
        <w:t>χ</w:t>
      </w:r>
      <w:r w:rsidRPr="00F8543C">
        <w:rPr>
          <w:rFonts w:ascii="Times New Roman" w:hAnsi="Times New Roman"/>
          <w:spacing w:val="-2"/>
          <w:lang w:val="el-GR"/>
        </w:rPr>
        <w:t>εια, η δόση μπορεί να ρυθμίζεται ατομικά κάθε 1</w:t>
      </w:r>
      <w:r>
        <w:rPr>
          <w:rFonts w:ascii="Times New Roman" w:hAnsi="Times New Roman"/>
          <w:spacing w:val="-2"/>
          <w:lang w:val="el-GR"/>
        </w:rPr>
        <w:t xml:space="preserve"> </w:t>
      </w:r>
      <w:r w:rsidRPr="00A52295">
        <w:rPr>
          <w:rFonts w:ascii="Times New Roman" w:hAnsi="Times New Roman"/>
          <w:spacing w:val="-2"/>
          <w:lang w:val="el-GR"/>
        </w:rPr>
        <w:t xml:space="preserve">έως </w:t>
      </w:r>
      <w:r w:rsidRPr="00F8543C">
        <w:rPr>
          <w:rFonts w:ascii="Times New Roman" w:hAnsi="Times New Roman"/>
          <w:spacing w:val="-2"/>
          <w:lang w:val="el-GR"/>
        </w:rPr>
        <w:t xml:space="preserve">2 εβδομάδες για να διατηρείται ο μέσος όρος του αριθμού των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μεταξύ 1,5 x 10</w:t>
      </w:r>
      <w:r w:rsidRPr="00F8543C">
        <w:rPr>
          <w:rFonts w:ascii="Times New Roman" w:hAnsi="Times New Roman"/>
          <w:spacing w:val="-2"/>
          <w:vertAlign w:val="superscript"/>
          <w:lang w:val="el-GR"/>
        </w:rPr>
        <w:t>9</w:t>
      </w:r>
      <w:r w:rsidRPr="00F8543C">
        <w:rPr>
          <w:rFonts w:ascii="Times New Roman" w:hAnsi="Times New Roman"/>
          <w:spacing w:val="-2"/>
          <w:lang w:val="el-GR"/>
        </w:rPr>
        <w:t>/l και 10 x 10</w:t>
      </w:r>
      <w:r w:rsidRPr="00F8543C">
        <w:rPr>
          <w:rFonts w:ascii="Times New Roman" w:hAnsi="Times New Roman"/>
          <w:spacing w:val="-2"/>
          <w:vertAlign w:val="superscript"/>
          <w:lang w:val="el-GR"/>
        </w:rPr>
        <w:t>9</w:t>
      </w:r>
      <w:r w:rsidRPr="00F8543C">
        <w:rPr>
          <w:rFonts w:ascii="Times New Roman" w:hAnsi="Times New Roman"/>
          <w:spacing w:val="-2"/>
          <w:lang w:val="el-GR"/>
        </w:rPr>
        <w:t>/l.  Ένα τα</w:t>
      </w:r>
      <w:r>
        <w:rPr>
          <w:rFonts w:ascii="Times New Roman" w:hAnsi="Times New Roman"/>
          <w:spacing w:val="-2"/>
          <w:lang w:val="el-GR"/>
        </w:rPr>
        <w:t>χ</w:t>
      </w:r>
      <w:r w:rsidRPr="00F8543C">
        <w:rPr>
          <w:rFonts w:ascii="Times New Roman" w:hAnsi="Times New Roman"/>
          <w:spacing w:val="-2"/>
          <w:lang w:val="el-GR"/>
        </w:rPr>
        <w:t>ύτερο σ</w:t>
      </w:r>
      <w:r>
        <w:rPr>
          <w:rFonts w:ascii="Times New Roman" w:hAnsi="Times New Roman"/>
          <w:spacing w:val="-2"/>
          <w:lang w:val="el-GR"/>
        </w:rPr>
        <w:t>χ</w:t>
      </w:r>
      <w:r w:rsidRPr="00F8543C">
        <w:rPr>
          <w:rFonts w:ascii="Times New Roman" w:hAnsi="Times New Roman"/>
          <w:spacing w:val="-2"/>
          <w:lang w:val="el-GR"/>
        </w:rPr>
        <w:t xml:space="preserve">ήμα αύξησης της δόσης μπορεί να </w:t>
      </w:r>
      <w:r w:rsidRPr="00A52295">
        <w:rPr>
          <w:rFonts w:ascii="Times New Roman" w:hAnsi="Times New Roman"/>
          <w:spacing w:val="-2"/>
          <w:lang w:val="el-GR"/>
        </w:rPr>
        <w:t>εξεταστεί προκειμένου για ασθενείς π</w:t>
      </w:r>
      <w:r w:rsidRPr="00F8543C">
        <w:rPr>
          <w:rFonts w:ascii="Times New Roman" w:hAnsi="Times New Roman"/>
          <w:spacing w:val="-2"/>
          <w:lang w:val="el-GR"/>
        </w:rPr>
        <w:t xml:space="preserve">ου εμφανίζουν σοβαρές λοιμώξεις.  Σε κλινικές μελέτες ποσοστό 97% των ασθενών που ανταποκρίθηκαν στη θεραπεία παρουσίασαν πλήρη ανταπόκριση σε δόσεις </w:t>
      </w:r>
      <w:r w:rsidRPr="00F8543C">
        <w:rPr>
          <w:rFonts w:ascii="Times New Roman" w:hAnsi="Times New Roman"/>
          <w:spacing w:val="-2"/>
          <w:lang w:val="el-GR"/>
        </w:rPr>
        <w:sym w:font="Symbol" w:char="F0A3"/>
      </w:r>
      <w:r>
        <w:rPr>
          <w:rFonts w:ascii="Times New Roman" w:hAnsi="Times New Roman"/>
          <w:spacing w:val="-2"/>
          <w:lang w:val="el-GR"/>
        </w:rPr>
        <w:t>24 μg/kg/ημέρα. Δεν έχ</w:t>
      </w:r>
      <w:r w:rsidRPr="00F8543C">
        <w:rPr>
          <w:rFonts w:ascii="Times New Roman" w:hAnsi="Times New Roman"/>
          <w:spacing w:val="-2"/>
          <w:lang w:val="el-GR"/>
        </w:rPr>
        <w:t>ει τεκμηριωθεί η μακρο</w:t>
      </w:r>
      <w:r>
        <w:rPr>
          <w:rFonts w:ascii="Times New Roman" w:hAnsi="Times New Roman"/>
          <w:spacing w:val="-2"/>
          <w:lang w:val="el-GR"/>
        </w:rPr>
        <w:t>χρόνια ασφάλεια της χ</w:t>
      </w:r>
      <w:r w:rsidRPr="00F8543C">
        <w:rPr>
          <w:rFonts w:ascii="Times New Roman" w:hAnsi="Times New Roman"/>
          <w:spacing w:val="-2"/>
          <w:lang w:val="el-GR"/>
        </w:rPr>
        <w:t xml:space="preserve">ορήγησης GRANULOKINE σε δόσεις υψηλότερες των 24 μg/kg/ημέρα σε ασθενείς με σοβαρή </w:t>
      </w:r>
      <w:r>
        <w:rPr>
          <w:rFonts w:ascii="Times New Roman" w:hAnsi="Times New Roman"/>
          <w:spacing w:val="-2"/>
          <w:lang w:val="el-GR"/>
        </w:rPr>
        <w:t>χ</w:t>
      </w:r>
      <w:r w:rsidRPr="00F8543C">
        <w:rPr>
          <w:rFonts w:ascii="Times New Roman" w:hAnsi="Times New Roman"/>
          <w:spacing w:val="-2"/>
          <w:lang w:val="el-GR"/>
        </w:rPr>
        <w:t>ρόνια ουδετεροπενία.</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416745" w:rsidRPr="000A5656"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0A5656">
        <w:rPr>
          <w:rFonts w:ascii="Times New Roman" w:hAnsi="Times New Roman"/>
          <w:spacing w:val="-2"/>
          <w:u w:val="single"/>
          <w:lang w:val="el-GR"/>
        </w:rPr>
        <w:t>Άλλες Προφυλάξεις</w:t>
      </w:r>
    </w:p>
    <w:p w:rsidR="00416745" w:rsidRPr="00F8543C"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p>
    <w:p w:rsidR="00416745" w:rsidRPr="00F8543C" w:rsidRDefault="00416745" w:rsidP="00416745">
      <w:pPr>
        <w:pStyle w:val="22"/>
      </w:pPr>
      <w:r w:rsidRPr="00F8543C">
        <w:t>Η θεραπεία με GRANULOKINE θα πρέπει να γίνεται μόνο σε συνεργασία με ένα ογκολογικό κέντρο που έ</w:t>
      </w:r>
      <w:r>
        <w:t>χ</w:t>
      </w:r>
      <w:r w:rsidRPr="00F8543C">
        <w:t>ει πείρα στην αγωγή με G-CSF και στην αιματολογία και που έ</w:t>
      </w:r>
      <w:r>
        <w:t>χ</w:t>
      </w:r>
      <w:r w:rsidRPr="00F8543C">
        <w:t>ει τα απαραίτητα διαγνωστικά μέσα. Οι διαδικασίες κινητοποίησης και λευκαφαίρεσης θα πρέπει να πραγματοποιούνται σε συνεργασία με ένα ογκολ</w:t>
      </w:r>
      <w:r>
        <w:t>ογικό-αιματολογικό κέντρο που έχ</w:t>
      </w:r>
      <w:r w:rsidRPr="00F8543C">
        <w:t>ει ικανοποιητική εμπειρία σε αυτόν τον τομέα και όπου η</w:t>
      </w:r>
      <w:r w:rsidR="003D41E7">
        <w:rPr>
          <w:u w:val="single"/>
        </w:rPr>
        <w:t xml:space="preserve"> </w:t>
      </w:r>
      <w:r w:rsidRPr="00F8543C">
        <w:t>παρακολούθηση των αιμοποιητικών προγονικών κυττάρων μπορεί να γίνει σωστά.</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Οι κλινικές μελέτες με GRANULOKINE περιελάμβαναν ένα μικρό αριθμό ηλικιωμένων ασθενών, </w:t>
      </w:r>
      <w:r w:rsidR="003D41E7" w:rsidRPr="00F8543C">
        <w:rPr>
          <w:rFonts w:ascii="Times New Roman" w:hAnsi="Times New Roman"/>
          <w:spacing w:val="-2"/>
          <w:lang w:val="el-GR"/>
        </w:rPr>
        <w:t>δεν έ</w:t>
      </w:r>
      <w:r w:rsidR="003D41E7">
        <w:rPr>
          <w:rFonts w:ascii="Times New Roman" w:hAnsi="Times New Roman"/>
          <w:spacing w:val="-2"/>
          <w:lang w:val="el-GR"/>
        </w:rPr>
        <w:t>χ</w:t>
      </w:r>
      <w:r w:rsidR="003D41E7" w:rsidRPr="00F8543C">
        <w:rPr>
          <w:rFonts w:ascii="Times New Roman" w:hAnsi="Times New Roman"/>
          <w:spacing w:val="-2"/>
          <w:lang w:val="el-GR"/>
        </w:rPr>
        <w:t xml:space="preserve">ουν όμως </w:t>
      </w:r>
      <w:r w:rsidR="003D41E7" w:rsidRPr="00A52295">
        <w:rPr>
          <w:rFonts w:ascii="Times New Roman" w:hAnsi="Times New Roman"/>
          <w:spacing w:val="-2"/>
          <w:lang w:val="el-GR"/>
        </w:rPr>
        <w:t xml:space="preserve">πραγματοποιηθεί </w:t>
      </w:r>
      <w:r w:rsidRPr="00F8543C">
        <w:rPr>
          <w:rFonts w:ascii="Times New Roman" w:hAnsi="Times New Roman"/>
          <w:spacing w:val="-2"/>
          <w:lang w:val="el-GR"/>
        </w:rPr>
        <w:t>ειδικές μελέτες σ'</w:t>
      </w:r>
      <w:r w:rsidR="003159B5" w:rsidRPr="003159B5">
        <w:rPr>
          <w:rFonts w:ascii="Times New Roman" w:hAnsi="Times New Roman"/>
          <w:spacing w:val="-2"/>
          <w:lang w:val="el-GR"/>
        </w:rPr>
        <w:t xml:space="preserve"> </w:t>
      </w:r>
      <w:r w:rsidRPr="00F8543C">
        <w:rPr>
          <w:rFonts w:ascii="Times New Roman" w:hAnsi="Times New Roman"/>
          <w:spacing w:val="-2"/>
          <w:lang w:val="el-GR"/>
        </w:rPr>
        <w:t>αυτήν την ομάδα και συνεπώς δεν μπορούν να δοθούν ειδικές δοσολογικές συστάσεις.</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Μελέτες με </w:t>
      </w:r>
      <w:r w:rsidRPr="00F8543C">
        <w:rPr>
          <w:rFonts w:ascii="Times New Roman" w:hAnsi="Times New Roman"/>
          <w:spacing w:val="-2"/>
        </w:rPr>
        <w:t>GRANULOKINE</w:t>
      </w:r>
      <w:r w:rsidRPr="00F8543C">
        <w:rPr>
          <w:rFonts w:ascii="Times New Roman" w:hAnsi="Times New Roman"/>
          <w:spacing w:val="-2"/>
          <w:lang w:val="el-GR"/>
        </w:rPr>
        <w:t xml:space="preserve"> σε ασθενείς με σοβαρή βλάβη της νεφρικής ή ηπατικής λειτουργίας </w:t>
      </w:r>
      <w:r w:rsidRPr="006459AB">
        <w:rPr>
          <w:rFonts w:ascii="Times New Roman" w:hAnsi="Times New Roman"/>
          <w:spacing w:val="-2"/>
          <w:lang w:val="el-GR"/>
        </w:rPr>
        <w:t>υ</w:t>
      </w:r>
      <w:r w:rsidRPr="00F8543C">
        <w:rPr>
          <w:rFonts w:ascii="Times New Roman" w:hAnsi="Times New Roman"/>
          <w:spacing w:val="-2"/>
          <w:lang w:val="el-GR"/>
        </w:rPr>
        <w:t>ποδεικνύουν ότι παρουσιάζει παρόμοια φαρμακοκινητική και φαρμακοδυναμική (εικόνα) με αυτή που έχει παρατηρηθεί σε φυσιολογικά άτομα. Δεν απαιτείται προσαρμογή της δοσολογίας σε αυτές τις περιπτώσεις.</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A752C9" w:rsidRDefault="00416745" w:rsidP="00416745">
      <w:pPr>
        <w:pStyle w:val="2"/>
        <w:tabs>
          <w:tab w:val="clear" w:pos="1309"/>
          <w:tab w:val="left" w:pos="0"/>
        </w:tabs>
        <w:ind w:left="0" w:firstLine="0"/>
        <w:rPr>
          <w:b w:val="0"/>
        </w:rPr>
      </w:pPr>
      <w:r w:rsidRPr="00A752C9">
        <w:rPr>
          <w:b w:val="0"/>
        </w:rPr>
        <w:t xml:space="preserve">Παιδιατρική </w:t>
      </w:r>
      <w:r>
        <w:rPr>
          <w:b w:val="0"/>
        </w:rPr>
        <w:t>χ</w:t>
      </w:r>
      <w:r w:rsidRPr="00A752C9">
        <w:rPr>
          <w:b w:val="0"/>
        </w:rPr>
        <w:t xml:space="preserve">ρήση στη </w:t>
      </w:r>
      <w:r>
        <w:rPr>
          <w:b w:val="0"/>
        </w:rPr>
        <w:t>σ</w:t>
      </w:r>
      <w:r w:rsidRPr="00A752C9">
        <w:rPr>
          <w:b w:val="0"/>
        </w:rPr>
        <w:t xml:space="preserve">οβαρή </w:t>
      </w:r>
      <w:r>
        <w:rPr>
          <w:b w:val="0"/>
        </w:rPr>
        <w:t>χ</w:t>
      </w:r>
      <w:r w:rsidRPr="00A752C9">
        <w:rPr>
          <w:b w:val="0"/>
        </w:rPr>
        <w:t xml:space="preserve">ρόνια </w:t>
      </w:r>
      <w:r>
        <w:rPr>
          <w:b w:val="0"/>
        </w:rPr>
        <w:t>ο</w:t>
      </w:r>
      <w:r w:rsidRPr="00A752C9">
        <w:rPr>
          <w:b w:val="0"/>
        </w:rPr>
        <w:t xml:space="preserve">υδετεροπενία και σε </w:t>
      </w:r>
      <w:r>
        <w:rPr>
          <w:b w:val="0"/>
        </w:rPr>
        <w:t>ο</w:t>
      </w:r>
      <w:r w:rsidRPr="00A752C9">
        <w:rPr>
          <w:b w:val="0"/>
        </w:rPr>
        <w:t xml:space="preserve">γκολογικά  </w:t>
      </w:r>
      <w:r>
        <w:rPr>
          <w:b w:val="0"/>
        </w:rPr>
        <w:t>π</w:t>
      </w:r>
      <w:r w:rsidRPr="00A752C9">
        <w:rPr>
          <w:b w:val="0"/>
        </w:rPr>
        <w:t>εριστατικά</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i/>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Το 65% των ασθενών που μελετήθηκαν στο πρόγραμμα μελετών για σοβαρή </w:t>
      </w:r>
      <w:r>
        <w:rPr>
          <w:rFonts w:ascii="Times New Roman" w:hAnsi="Times New Roman"/>
          <w:spacing w:val="-2"/>
          <w:lang w:val="el-GR"/>
        </w:rPr>
        <w:t>χ</w:t>
      </w:r>
      <w:r w:rsidRPr="00F8543C">
        <w:rPr>
          <w:rFonts w:ascii="Times New Roman" w:hAnsi="Times New Roman"/>
          <w:spacing w:val="-2"/>
          <w:lang w:val="el-GR"/>
        </w:rPr>
        <w:t>ρόνια ουδετεροπενία ήταν ηλικίας κάτω των 18 ετών. Η αποτελεσματικότητα της αγωγής ήταν εμφανής γι'</w:t>
      </w:r>
      <w:r w:rsidR="00A33F77">
        <w:rPr>
          <w:rFonts w:ascii="Times New Roman" w:hAnsi="Times New Roman"/>
          <w:spacing w:val="-2"/>
          <w:lang w:val="el-GR"/>
        </w:rPr>
        <w:t xml:space="preserve"> </w:t>
      </w:r>
      <w:r w:rsidRPr="00F8543C">
        <w:rPr>
          <w:rFonts w:ascii="Times New Roman" w:hAnsi="Times New Roman"/>
          <w:spacing w:val="-2"/>
          <w:lang w:val="el-GR"/>
        </w:rPr>
        <w:t xml:space="preserve">αυτή </w:t>
      </w:r>
      <w:r w:rsidRPr="006459AB">
        <w:rPr>
          <w:rFonts w:ascii="Times New Roman" w:hAnsi="Times New Roman"/>
          <w:spacing w:val="-2"/>
          <w:lang w:val="el-GR"/>
        </w:rPr>
        <w:t>την ηλικιακή ομάδα</w:t>
      </w:r>
      <w:r>
        <w:rPr>
          <w:rFonts w:ascii="Times New Roman" w:hAnsi="Times New Roman"/>
          <w:color w:val="FF00FF"/>
          <w:spacing w:val="-2"/>
          <w:u w:val="single"/>
          <w:lang w:val="el-GR"/>
        </w:rPr>
        <w:t xml:space="preserve"> </w:t>
      </w:r>
      <w:r w:rsidRPr="00F8543C">
        <w:rPr>
          <w:rFonts w:ascii="Times New Roman" w:hAnsi="Times New Roman"/>
          <w:spacing w:val="-2"/>
          <w:lang w:val="el-GR"/>
        </w:rPr>
        <w:t>που περιελάμβανε ως επί το πλείστον ασθενείς με συγγενή ουδετεροπενία. Δεν υπήρ</w:t>
      </w:r>
      <w:r>
        <w:rPr>
          <w:rFonts w:ascii="Times New Roman" w:hAnsi="Times New Roman"/>
          <w:spacing w:val="-2"/>
          <w:lang w:val="el-GR"/>
        </w:rPr>
        <w:t>χ</w:t>
      </w:r>
      <w:r w:rsidRPr="00F8543C">
        <w:rPr>
          <w:rFonts w:ascii="Times New Roman" w:hAnsi="Times New Roman"/>
          <w:spacing w:val="-2"/>
          <w:lang w:val="el-GR"/>
        </w:rPr>
        <w:t>αν διαφορές ως προς την ασφάλεια για τους παιδιατρικούς ασθενείς που ακολούθησαν θεραπεία για σοβα</w:t>
      </w:r>
      <w:r>
        <w:rPr>
          <w:rFonts w:ascii="Times New Roman" w:hAnsi="Times New Roman"/>
          <w:spacing w:val="-2"/>
          <w:lang w:val="el-GR"/>
        </w:rPr>
        <w:t>ρή χ</w:t>
      </w:r>
      <w:r w:rsidRPr="00F8543C">
        <w:rPr>
          <w:rFonts w:ascii="Times New Roman" w:hAnsi="Times New Roman"/>
          <w:spacing w:val="-2"/>
          <w:lang w:val="el-GR"/>
        </w:rPr>
        <w:t>ρόνια ουδετεροπενία.</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Στοιχεία από κλινικές μελέτες που έγιναν σε παιδιατρικούς ασθενείς, </w:t>
      </w:r>
      <w:r w:rsidRPr="006459AB">
        <w:rPr>
          <w:rFonts w:ascii="Times New Roman" w:hAnsi="Times New Roman"/>
          <w:spacing w:val="-2"/>
          <w:lang w:val="el-GR"/>
        </w:rPr>
        <w:t>υ</w:t>
      </w:r>
      <w:r w:rsidRPr="00F8543C">
        <w:rPr>
          <w:rFonts w:ascii="Times New Roman" w:hAnsi="Times New Roman"/>
          <w:spacing w:val="-2"/>
          <w:lang w:val="el-GR"/>
        </w:rPr>
        <w:t>ποδεικνύουν ότι η ασφάλεια και η αποτελεσματικότητα του GRANULOKINE είναι παρόμοιες στους ενήλικες και στα παιδιά που λαμβάνουν κυτταροτοξική χημειοθεραπεία.</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Οι δοσολογικές συστάσεις σε παιδιατρικούς ασθενείς είναι οι ίδιες με αυτές των ενηλίκων που λαμβάνουν μυελοκατασταλτική κυτταροτοξική χημειοθεραπεία.</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12718A" w:rsidRDefault="00416745" w:rsidP="00240576">
      <w:pPr>
        <w:keepNext/>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12718A">
        <w:rPr>
          <w:rFonts w:ascii="Times New Roman" w:hAnsi="Times New Roman"/>
          <w:spacing w:val="-2"/>
          <w:u w:val="single"/>
          <w:lang w:val="el-GR"/>
        </w:rPr>
        <w:t>Σε ασθενείς με HIV λοίμωξη</w:t>
      </w:r>
    </w:p>
    <w:p w:rsidR="00416745" w:rsidRPr="00F8543C" w:rsidRDefault="00416745" w:rsidP="00240576">
      <w:pPr>
        <w:keepNext/>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416745" w:rsidRPr="00F8543C" w:rsidRDefault="00416745" w:rsidP="00240576">
      <w:pPr>
        <w:keepNext/>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F8543C">
        <w:rPr>
          <w:rFonts w:ascii="Times New Roman" w:hAnsi="Times New Roman"/>
          <w:i/>
          <w:spacing w:val="-2"/>
          <w:lang w:val="el-GR"/>
        </w:rPr>
        <w:t>Για την Αναστροφή της Ουδετεροπενίας</w:t>
      </w:r>
    </w:p>
    <w:p w:rsidR="00416745" w:rsidRPr="00F8543C" w:rsidRDefault="00416745" w:rsidP="00240576">
      <w:pPr>
        <w:keepNext/>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416745" w:rsidRPr="00F8543C" w:rsidRDefault="00416745" w:rsidP="00240576">
      <w:pPr>
        <w:keepNext/>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Η συνιστώμενη αρχική δόση του GRANULOKINE είναι 0,1 MU (1 μg)/kg/ημέρα</w:t>
      </w:r>
      <w:r w:rsidRPr="006459AB">
        <w:rPr>
          <w:rFonts w:ascii="Times New Roman" w:hAnsi="Times New Roman"/>
          <w:spacing w:val="-2"/>
          <w:lang w:val="el-GR"/>
        </w:rPr>
        <w:t xml:space="preserve"> χορηγούμενη </w:t>
      </w:r>
      <w:r w:rsidRPr="00F8543C">
        <w:rPr>
          <w:rFonts w:ascii="Times New Roman" w:hAnsi="Times New Roman"/>
          <w:spacing w:val="-2"/>
          <w:lang w:val="el-GR"/>
        </w:rPr>
        <w:t xml:space="preserve">ημερησίως με υποδόρια ένεση με τιτλοποίηση μέχρι μέγιστης δόσης 0,4 MU (4 μg)/kg/ημέρα μέχρι την επίτευξη και τη διατήρηση φυσιολογικού αριθμού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(ANC &gt;2,0 x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Pr>
          <w:rFonts w:ascii="Times New Roman" w:hAnsi="Times New Roman"/>
          <w:spacing w:val="-2"/>
        </w:rPr>
        <w:t>l</w:t>
      </w:r>
      <w:r w:rsidRPr="00F8543C">
        <w:rPr>
          <w:rFonts w:ascii="Times New Roman" w:hAnsi="Times New Roman"/>
          <w:spacing w:val="-2"/>
          <w:lang w:val="el-GR"/>
        </w:rPr>
        <w:t xml:space="preserve">).  Σε κλινικές </w:t>
      </w:r>
      <w:r w:rsidRPr="00F8543C">
        <w:rPr>
          <w:rFonts w:ascii="Times New Roman" w:hAnsi="Times New Roman"/>
          <w:spacing w:val="-2"/>
          <w:lang w:val="el-GR"/>
        </w:rPr>
        <w:lastRenderedPageBreak/>
        <w:t>μελέτες, ποσοστό ασθενών &gt;90% ανταποκρίθηκε σε αυτές τις δόσεις, επιτυγχάνοντας αναστροφή της ουδετεροπενίας σε μια περίοδο 2 ημερών (διάμεση τιμή).</w:t>
      </w:r>
    </w:p>
    <w:p w:rsidR="00416745" w:rsidRPr="00F8543C" w:rsidRDefault="00416745" w:rsidP="00416745">
      <w:pPr>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416745" w:rsidP="00416745">
      <w:pPr>
        <w:pStyle w:val="22"/>
        <w:tabs>
          <w:tab w:val="clear" w:pos="-131"/>
          <w:tab w:val="clear" w:pos="0"/>
          <w:tab w:val="left" w:pos="426"/>
          <w:tab w:val="left" w:pos="851"/>
          <w:tab w:val="left" w:pos="1309"/>
        </w:tabs>
      </w:pPr>
      <w:r w:rsidRPr="00F8543C">
        <w:t>Σε ένα μικρό αριθμό ασθενών (ποσοστό &lt;10%), απαιτήθηκαν δόσεις μέχρι και 1,0 MU (10 μg)</w:t>
      </w:r>
      <w:r w:rsidR="00804673">
        <w:t xml:space="preserve"> </w:t>
      </w:r>
      <w:r w:rsidRPr="00F8543C">
        <w:t>/kg/ημέρα για την επίτευξη αναστροφής της ουδετεροπενίας.</w:t>
      </w:r>
    </w:p>
    <w:p w:rsidR="00416745" w:rsidRPr="00F8543C" w:rsidRDefault="00416745" w:rsidP="00416745">
      <w:pPr>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6F5ACD" w:rsidRDefault="00416745" w:rsidP="00416745">
      <w:pPr>
        <w:pStyle w:val="3"/>
        <w:tabs>
          <w:tab w:val="clear" w:pos="-131"/>
          <w:tab w:val="clear" w:pos="0"/>
          <w:tab w:val="left" w:pos="426"/>
          <w:tab w:val="left" w:pos="589"/>
          <w:tab w:val="left" w:pos="851"/>
        </w:tabs>
        <w:rPr>
          <w:b w:val="0"/>
          <w:bCs/>
        </w:rPr>
      </w:pPr>
      <w:r w:rsidRPr="006F5ACD">
        <w:rPr>
          <w:b w:val="0"/>
          <w:bCs/>
        </w:rPr>
        <w:t xml:space="preserve">Για τη Διατήρηση του Φυσιολογικού Αριθμού </w:t>
      </w:r>
      <w:r w:rsidR="00946D24">
        <w:rPr>
          <w:b w:val="0"/>
          <w:bCs/>
        </w:rPr>
        <w:t>Ουδετερόφιλων</w:t>
      </w:r>
    </w:p>
    <w:p w:rsidR="00046C03" w:rsidRPr="00F8543C" w:rsidRDefault="00046C03">
      <w:pPr>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416745" w:rsidRPr="00B05CC5" w:rsidRDefault="00416745" w:rsidP="00416745">
      <w:pPr>
        <w:tabs>
          <w:tab w:val="left" w:pos="-851"/>
          <w:tab w:val="left" w:pos="426"/>
          <w:tab w:val="left" w:pos="589"/>
          <w:tab w:val="left" w:pos="851"/>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Αφού έχει επιτευχθεί αναστροφή της ουδετεροπενίας, η ελάχιστη αποτελεσματική δόση για τη διατήρηση του φυσιολογικού αριθμού των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πρέπει να </w:t>
      </w:r>
      <w:r w:rsidRPr="006459AB">
        <w:rPr>
          <w:rFonts w:ascii="Times New Roman" w:hAnsi="Times New Roman"/>
          <w:spacing w:val="-2"/>
          <w:szCs w:val="24"/>
          <w:lang w:val="el-GR"/>
        </w:rPr>
        <w:t>προσδιορίζεται</w:t>
      </w:r>
      <w:r w:rsidRPr="004C22D7">
        <w:rPr>
          <w:rFonts w:ascii="Times New Roman" w:hAnsi="Times New Roman"/>
          <w:spacing w:val="-2"/>
          <w:lang w:val="el-GR"/>
        </w:rPr>
        <w:t>.</w:t>
      </w:r>
      <w:r>
        <w:rPr>
          <w:rFonts w:ascii="Times New Roman" w:hAnsi="Times New Roman"/>
          <w:spacing w:val="-2"/>
          <w:lang w:val="el-GR"/>
        </w:rPr>
        <w:t xml:space="preserve"> </w:t>
      </w:r>
      <w:r w:rsidRPr="00F8543C">
        <w:rPr>
          <w:rFonts w:ascii="Times New Roman" w:hAnsi="Times New Roman"/>
          <w:spacing w:val="-2"/>
          <w:lang w:val="el-GR"/>
        </w:rPr>
        <w:t xml:space="preserve">Συνιστάται προσαρμογή της αρχικής δοσολογίας σε 30 MU (300 μg)/ημέρα με υποδόρια ένεση μέρα παρά μέρα. Μπορεί να απαιτηθεί περαιτέρω προσαρμογή δοσολογίας όπως προσδιορίζεται από το ANC των ασθενών για τη διατήρηση του αριθμού των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σε &gt;2,0 x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Pr>
          <w:rFonts w:ascii="Times New Roman" w:hAnsi="Times New Roman"/>
          <w:spacing w:val="-2"/>
        </w:rPr>
        <w:t>l</w:t>
      </w:r>
      <w:r w:rsidRPr="00F8543C">
        <w:rPr>
          <w:rFonts w:ascii="Times New Roman" w:hAnsi="Times New Roman"/>
          <w:spacing w:val="-2"/>
          <w:lang w:val="el-GR"/>
        </w:rPr>
        <w:t>. Σε κλινικές μελέτες, απαιτήθηκε χορήγηση δόσης 30 MU (300 μg)/</w:t>
      </w:r>
      <w:r w:rsidRPr="00877934">
        <w:rPr>
          <w:rFonts w:ascii="Times New Roman" w:hAnsi="Times New Roman"/>
          <w:spacing w:val="-2"/>
          <w:lang w:val="el-GR"/>
        </w:rPr>
        <w:t>ημέρα καθ΄όλη τη διάρκεια της εβδομάδας (από την ημέρα 1 ως και την 7) γ</w:t>
      </w:r>
      <w:r w:rsidRPr="00083E93">
        <w:rPr>
          <w:rFonts w:ascii="Times New Roman" w:hAnsi="Times New Roman"/>
          <w:spacing w:val="-2"/>
          <w:lang w:val="el-GR"/>
        </w:rPr>
        <w:t xml:space="preserve">ια τη διατήρηση του απόλυτου αριθμού </w:t>
      </w:r>
      <w:r w:rsidR="00946D24" w:rsidRPr="00077E30">
        <w:rPr>
          <w:rFonts w:ascii="Times New Roman" w:hAnsi="Times New Roman"/>
          <w:spacing w:val="-2"/>
          <w:lang w:val="el-GR"/>
        </w:rPr>
        <w:t>ουδετερόφιλων</w:t>
      </w:r>
      <w:r w:rsidRPr="00077E30">
        <w:rPr>
          <w:rFonts w:ascii="Times New Roman" w:hAnsi="Times New Roman"/>
          <w:spacing w:val="-2"/>
          <w:lang w:val="el-GR"/>
        </w:rPr>
        <w:t xml:space="preserve"> (ANC) σε &gt;2,0 x 10</w:t>
      </w:r>
      <w:r w:rsidRPr="00077E30">
        <w:rPr>
          <w:rFonts w:ascii="Times New Roman" w:hAnsi="Times New Roman"/>
          <w:spacing w:val="-2"/>
          <w:vertAlign w:val="superscript"/>
          <w:lang w:val="el-GR"/>
        </w:rPr>
        <w:t>9</w:t>
      </w:r>
      <w:r w:rsidRPr="00077E30">
        <w:rPr>
          <w:rFonts w:ascii="Times New Roman" w:hAnsi="Times New Roman"/>
          <w:spacing w:val="-2"/>
          <w:lang w:val="el-GR"/>
        </w:rPr>
        <w:t>/</w:t>
      </w:r>
      <w:r w:rsidRPr="00077E30">
        <w:rPr>
          <w:rFonts w:ascii="Times New Roman" w:hAnsi="Times New Roman"/>
          <w:spacing w:val="-2"/>
        </w:rPr>
        <w:t>l</w:t>
      </w:r>
      <w:r w:rsidRPr="00077E30">
        <w:rPr>
          <w:rFonts w:ascii="Times New Roman" w:hAnsi="Times New Roman"/>
          <w:spacing w:val="-2"/>
          <w:lang w:val="el-GR"/>
        </w:rPr>
        <w:t xml:space="preserve">, με διάμεση τιμή συχνότητας χορήγησης δόσης 3 ημέρες την εβδομάδα. Μπορεί να απαιτηθεί μακροχρόνια χορήγηση για τη διατήρηση του απόλυτου αριθμού </w:t>
      </w:r>
      <w:r w:rsidR="00946D24" w:rsidRPr="00077E30">
        <w:rPr>
          <w:rFonts w:ascii="Times New Roman" w:hAnsi="Times New Roman"/>
          <w:spacing w:val="-2"/>
          <w:lang w:val="el-GR"/>
        </w:rPr>
        <w:t>ουδετερόφιλων</w:t>
      </w:r>
      <w:r w:rsidRPr="00077E30">
        <w:rPr>
          <w:rFonts w:ascii="Times New Roman" w:hAnsi="Times New Roman"/>
          <w:spacing w:val="-2"/>
          <w:lang w:val="el-GR"/>
        </w:rPr>
        <w:t xml:space="preserve"> (ANC)  σε &gt;2,0 x 10</w:t>
      </w:r>
      <w:r w:rsidRPr="00077E30">
        <w:rPr>
          <w:rFonts w:ascii="Times New Roman" w:hAnsi="Times New Roman"/>
          <w:spacing w:val="-2"/>
          <w:vertAlign w:val="superscript"/>
          <w:lang w:val="el-GR"/>
        </w:rPr>
        <w:t>9</w:t>
      </w:r>
      <w:r w:rsidRPr="00077E30">
        <w:rPr>
          <w:rFonts w:ascii="Times New Roman" w:hAnsi="Times New Roman"/>
          <w:spacing w:val="-2"/>
          <w:lang w:val="el-GR"/>
        </w:rPr>
        <w:t>/</w:t>
      </w:r>
      <w:r w:rsidRPr="00077E30">
        <w:rPr>
          <w:rFonts w:ascii="Times New Roman" w:hAnsi="Times New Roman"/>
          <w:spacing w:val="-2"/>
        </w:rPr>
        <w:t>l</w:t>
      </w:r>
      <w:r w:rsidRPr="00077E30">
        <w:rPr>
          <w:rFonts w:ascii="Times New Roman" w:hAnsi="Times New Roman"/>
          <w:spacing w:val="-2"/>
          <w:lang w:val="el-GR"/>
        </w:rPr>
        <w:t>.</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046C03"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4.3</w:t>
      </w:r>
      <w:r w:rsidRPr="00F8543C">
        <w:rPr>
          <w:rFonts w:ascii="Times New Roman" w:hAnsi="Times New Roman"/>
          <w:b/>
          <w:spacing w:val="-2"/>
          <w:lang w:val="el-GR"/>
        </w:rPr>
        <w:tab/>
      </w:r>
      <w:r w:rsidRPr="00F8543C">
        <w:rPr>
          <w:rFonts w:ascii="Times New Roman" w:hAnsi="Times New Roman"/>
          <w:b/>
          <w:spacing w:val="-2"/>
          <w:lang w:val="el-GR"/>
        </w:rPr>
        <w:tab/>
      </w:r>
      <w:r w:rsidR="00416745" w:rsidRPr="00F8543C">
        <w:rPr>
          <w:rFonts w:ascii="Times New Roman" w:hAnsi="Times New Roman"/>
          <w:b/>
          <w:spacing w:val="-2"/>
          <w:lang w:val="el-GR"/>
        </w:rPr>
        <w:t>Αντενδείξεις</w:t>
      </w:r>
    </w:p>
    <w:p w:rsidR="00416745"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416745" w:rsidRPr="006459AB" w:rsidRDefault="00416745" w:rsidP="002A2FB0">
      <w:pPr>
        <w:tabs>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6459AB">
        <w:rPr>
          <w:rFonts w:ascii="Times New Roman" w:hAnsi="Times New Roman"/>
          <w:spacing w:val="-2"/>
          <w:lang w:val="el-GR"/>
        </w:rPr>
        <w:t>Υπερευαισθησία στη δραστική ουσία ή σε οποιοδήποτε από τα έκδοχα</w:t>
      </w:r>
      <w:r w:rsidR="00844BD4">
        <w:rPr>
          <w:rFonts w:ascii="Times New Roman" w:hAnsi="Times New Roman"/>
          <w:spacing w:val="-2"/>
          <w:lang w:val="el-GR"/>
        </w:rPr>
        <w:t xml:space="preserve"> που αναφέρονται στην παράγραφο 6.1</w:t>
      </w:r>
      <w:r w:rsidRPr="006459AB">
        <w:rPr>
          <w:rFonts w:ascii="Times New Roman" w:hAnsi="Times New Roman"/>
          <w:spacing w:val="-2"/>
          <w:lang w:val="el-GR"/>
        </w:rPr>
        <w:t>.</w:t>
      </w:r>
    </w:p>
    <w:p w:rsidR="00416745" w:rsidRPr="00B05CC5"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color w:val="FF00FF"/>
          <w:spacing w:val="-2"/>
          <w:u w:val="single"/>
          <w:lang w:val="el-GR"/>
        </w:rPr>
      </w:pPr>
    </w:p>
    <w:p w:rsidR="00046C03" w:rsidRPr="00F8543C" w:rsidRDefault="00046C03" w:rsidP="00DC2A7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b/>
          <w:spacing w:val="-2"/>
          <w:lang w:val="el-GR"/>
        </w:rPr>
      </w:pPr>
      <w:r w:rsidRPr="00F8543C">
        <w:rPr>
          <w:rFonts w:ascii="Times New Roman" w:hAnsi="Times New Roman"/>
          <w:b/>
          <w:spacing w:val="-2"/>
          <w:lang w:val="el-GR"/>
        </w:rPr>
        <w:t>4.4</w:t>
      </w:r>
      <w:r w:rsidRPr="00F8543C">
        <w:rPr>
          <w:rFonts w:ascii="Times New Roman" w:hAnsi="Times New Roman"/>
          <w:b/>
          <w:spacing w:val="-2"/>
          <w:lang w:val="el-GR"/>
        </w:rPr>
        <w:tab/>
      </w:r>
      <w:r w:rsidRPr="00F8543C">
        <w:rPr>
          <w:rFonts w:ascii="Times New Roman" w:hAnsi="Times New Roman"/>
          <w:b/>
          <w:spacing w:val="-2"/>
          <w:lang w:val="el-GR"/>
        </w:rPr>
        <w:tab/>
      </w:r>
      <w:r w:rsidR="00371435">
        <w:rPr>
          <w:rFonts w:ascii="Times New Roman" w:hAnsi="Times New Roman"/>
          <w:b/>
          <w:spacing w:val="-2"/>
          <w:lang w:val="el-GR"/>
        </w:rPr>
        <w:t>Ειδικές</w:t>
      </w:r>
      <w:r w:rsidRPr="00F8543C">
        <w:rPr>
          <w:rFonts w:ascii="Times New Roman" w:hAnsi="Times New Roman"/>
          <w:b/>
          <w:spacing w:val="-2"/>
          <w:lang w:val="el-GR"/>
        </w:rPr>
        <w:t xml:space="preserve"> </w:t>
      </w:r>
      <w:r w:rsidR="00371435">
        <w:rPr>
          <w:rFonts w:ascii="Times New Roman" w:hAnsi="Times New Roman"/>
          <w:b/>
          <w:spacing w:val="-2"/>
          <w:lang w:val="el-GR"/>
        </w:rPr>
        <w:t>π</w:t>
      </w:r>
      <w:r w:rsidRPr="00F8543C">
        <w:rPr>
          <w:rFonts w:ascii="Times New Roman" w:hAnsi="Times New Roman"/>
          <w:b/>
          <w:spacing w:val="-2"/>
          <w:lang w:val="el-GR"/>
        </w:rPr>
        <w:t xml:space="preserve">ροειδοποιήσεις και </w:t>
      </w:r>
      <w:r w:rsidR="00371435">
        <w:rPr>
          <w:rFonts w:ascii="Times New Roman" w:hAnsi="Times New Roman"/>
          <w:b/>
          <w:spacing w:val="-2"/>
          <w:lang w:val="el-GR"/>
        </w:rPr>
        <w:t>π</w:t>
      </w:r>
      <w:r w:rsidRPr="00F8543C">
        <w:rPr>
          <w:rFonts w:ascii="Times New Roman" w:hAnsi="Times New Roman"/>
          <w:b/>
          <w:spacing w:val="-2"/>
          <w:lang w:val="el-GR"/>
        </w:rPr>
        <w:t xml:space="preserve">ροφυλάξεις </w:t>
      </w:r>
      <w:r w:rsidR="00371435">
        <w:rPr>
          <w:rFonts w:ascii="Times New Roman" w:hAnsi="Times New Roman"/>
          <w:b/>
          <w:spacing w:val="-2"/>
          <w:lang w:val="el-GR"/>
        </w:rPr>
        <w:t>κ</w:t>
      </w:r>
      <w:r w:rsidRPr="00F8543C">
        <w:rPr>
          <w:rFonts w:ascii="Times New Roman" w:hAnsi="Times New Roman"/>
          <w:b/>
          <w:spacing w:val="-2"/>
          <w:lang w:val="el-GR"/>
        </w:rPr>
        <w:t xml:space="preserve">ατά τη </w:t>
      </w:r>
      <w:r w:rsidR="00371435">
        <w:rPr>
          <w:rFonts w:ascii="Times New Roman" w:hAnsi="Times New Roman"/>
          <w:b/>
          <w:spacing w:val="-2"/>
          <w:lang w:val="el-GR"/>
        </w:rPr>
        <w:t>χ</w:t>
      </w:r>
      <w:r w:rsidRPr="00F8543C">
        <w:rPr>
          <w:rFonts w:ascii="Times New Roman" w:hAnsi="Times New Roman"/>
          <w:b/>
          <w:spacing w:val="-2"/>
          <w:lang w:val="el-GR"/>
        </w:rPr>
        <w:t>ρήση</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A61AB5" w:rsidRPr="00F8543C" w:rsidRDefault="00A61AB5" w:rsidP="00A61AB5">
      <w:pPr>
        <w:pStyle w:val="23"/>
        <w:ind w:left="33"/>
      </w:pPr>
      <w:r w:rsidRPr="00F8543C">
        <w:t>Το GRANULOKINE δε</w:t>
      </w:r>
      <w:r>
        <w:t>ν</w:t>
      </w:r>
      <w:r w:rsidRPr="00F8543C">
        <w:t xml:space="preserve"> πρέπει να </w:t>
      </w:r>
      <w:r w:rsidRPr="006459AB">
        <w:rPr>
          <w:szCs w:val="24"/>
        </w:rPr>
        <w:t>χρησιμοποιείται</w:t>
      </w:r>
      <w:r w:rsidRPr="00F8543C">
        <w:t xml:space="preserve"> για την αύξηση των δόσεων της κυτταροτοξικής </w:t>
      </w:r>
      <w:r>
        <w:t>χ</w:t>
      </w:r>
      <w:r w:rsidRPr="00F8543C">
        <w:t>ημειοθεραπείας πέραν των καθιερωμένων δοσολογικών σ</w:t>
      </w:r>
      <w:r>
        <w:t>χ</w:t>
      </w:r>
      <w:r w:rsidRPr="00F8543C">
        <w:t>ημάτων.</w:t>
      </w:r>
    </w:p>
    <w:p w:rsidR="00A61AB5" w:rsidRPr="00F8543C" w:rsidRDefault="00A61AB5" w:rsidP="00A61AB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A61AB5" w:rsidRPr="00A61AB5" w:rsidRDefault="00A61AB5" w:rsidP="00A61AB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33"/>
        <w:jc w:val="both"/>
        <w:rPr>
          <w:rFonts w:ascii="Times New Roman" w:hAnsi="Times New Roman"/>
          <w:spacing w:val="-2"/>
          <w:lang w:val="el-GR"/>
        </w:rPr>
      </w:pPr>
      <w:r w:rsidRPr="00F8543C">
        <w:rPr>
          <w:rFonts w:ascii="Times New Roman" w:hAnsi="Times New Roman"/>
          <w:spacing w:val="-2"/>
          <w:lang w:val="el-GR"/>
        </w:rPr>
        <w:tab/>
        <w:t xml:space="preserve">Το GRANULOKINE δεν πρέπει να </w:t>
      </w:r>
      <w:r>
        <w:rPr>
          <w:rFonts w:ascii="Times New Roman" w:hAnsi="Times New Roman"/>
          <w:spacing w:val="-2"/>
          <w:lang w:val="el-GR"/>
        </w:rPr>
        <w:t>χ</w:t>
      </w:r>
      <w:r w:rsidRPr="00F8543C">
        <w:rPr>
          <w:rFonts w:ascii="Times New Roman" w:hAnsi="Times New Roman"/>
          <w:spacing w:val="-2"/>
          <w:lang w:val="el-GR"/>
        </w:rPr>
        <w:t xml:space="preserve">ορηγείται σε ασθενείς με σοβαρή συγγενή ουδετεροπενία </w:t>
      </w:r>
      <w:r w:rsidRPr="00070542">
        <w:rPr>
          <w:rFonts w:ascii="Times New Roman" w:hAnsi="Times New Roman"/>
          <w:spacing w:val="-2"/>
          <w:lang w:val="el-GR"/>
        </w:rPr>
        <w:t>οι οπο</w:t>
      </w:r>
      <w:r>
        <w:rPr>
          <w:rFonts w:ascii="Times New Roman" w:hAnsi="Times New Roman"/>
          <w:spacing w:val="-2"/>
          <w:lang w:val="el-GR"/>
        </w:rPr>
        <w:t>ίοι αναπτύσσουν λευχαιμία ή έχουν ενδείξεις λευχαιμικής εξέλιξης</w:t>
      </w:r>
      <w:r w:rsidRPr="00A16CBB">
        <w:rPr>
          <w:rFonts w:ascii="Times New Roman" w:hAnsi="Times New Roman"/>
          <w:spacing w:val="-2"/>
          <w:lang w:val="el-GR"/>
        </w:rPr>
        <w:t>.</w:t>
      </w:r>
    </w:p>
    <w:p w:rsidR="00A61AB5" w:rsidRPr="00F8543C" w:rsidRDefault="00A61AB5" w:rsidP="00A61AB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223DFF" w:rsidRDefault="00416745" w:rsidP="00416745">
      <w:pPr>
        <w:pStyle w:val="3"/>
        <w:rPr>
          <w:b w:val="0"/>
          <w:i w:val="0"/>
          <w:u w:val="single"/>
        </w:rPr>
      </w:pPr>
      <w:r w:rsidRPr="00223DFF">
        <w:rPr>
          <w:b w:val="0"/>
          <w:i w:val="0"/>
          <w:u w:val="single"/>
        </w:rPr>
        <w:t xml:space="preserve">Κακοήθης </w:t>
      </w:r>
      <w:r>
        <w:rPr>
          <w:b w:val="0"/>
          <w:i w:val="0"/>
          <w:u w:val="single"/>
        </w:rPr>
        <w:t>κ</w:t>
      </w:r>
      <w:r w:rsidRPr="00223DFF">
        <w:rPr>
          <w:b w:val="0"/>
          <w:i w:val="0"/>
          <w:u w:val="single"/>
        </w:rPr>
        <w:t xml:space="preserve">υτταρική </w:t>
      </w:r>
      <w:r>
        <w:rPr>
          <w:b w:val="0"/>
          <w:i w:val="0"/>
          <w:u w:val="single"/>
        </w:rPr>
        <w:t>α</w:t>
      </w:r>
      <w:r w:rsidRPr="00223DFF">
        <w:rPr>
          <w:b w:val="0"/>
          <w:i w:val="0"/>
          <w:u w:val="single"/>
        </w:rPr>
        <w:t>νάπτυξη</w:t>
      </w:r>
    </w:p>
    <w:p w:rsidR="00416745" w:rsidRPr="00F8543C" w:rsidRDefault="00416745" w:rsidP="0041674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Ο παράγοντας</w:t>
      </w:r>
      <w:r>
        <w:rPr>
          <w:rFonts w:ascii="Times New Roman" w:hAnsi="Times New Roman"/>
          <w:spacing w:val="-2"/>
          <w:lang w:val="el-GR"/>
        </w:rPr>
        <w:t xml:space="preserve"> </w:t>
      </w:r>
      <w:r w:rsidRPr="006459AB">
        <w:rPr>
          <w:rFonts w:ascii="Times New Roman" w:hAnsi="Times New Roman"/>
          <w:spacing w:val="-2"/>
          <w:lang w:val="el-GR"/>
        </w:rPr>
        <w:t>διέγερσης αποικιών</w:t>
      </w:r>
      <w:r w:rsidRPr="00F8543C">
        <w:rPr>
          <w:rFonts w:ascii="Times New Roman" w:hAnsi="Times New Roman"/>
          <w:spacing w:val="-2"/>
          <w:lang w:val="el-GR"/>
        </w:rPr>
        <w:t xml:space="preserve"> κοκκιοκυττάρων μπορεί να ενισ</w:t>
      </w:r>
      <w:r>
        <w:rPr>
          <w:rFonts w:ascii="Times New Roman" w:hAnsi="Times New Roman"/>
          <w:spacing w:val="-2"/>
          <w:lang w:val="el-GR"/>
        </w:rPr>
        <w:t>χ</w:t>
      </w:r>
      <w:r w:rsidRPr="00F8543C">
        <w:rPr>
          <w:rFonts w:ascii="Times New Roman" w:hAnsi="Times New Roman"/>
          <w:spacing w:val="-2"/>
          <w:lang w:val="el-GR"/>
        </w:rPr>
        <w:t xml:space="preserve">ύσει την ανάπτυξη των μυελοειδών κυττάρων </w:t>
      </w:r>
      <w:r w:rsidRPr="00F8543C">
        <w:rPr>
          <w:rFonts w:ascii="Times New Roman" w:hAnsi="Times New Roman"/>
          <w:i/>
          <w:spacing w:val="-2"/>
          <w:lang w:val="el-GR"/>
        </w:rPr>
        <w:t>in vitro</w:t>
      </w:r>
      <w:r w:rsidRPr="00F8543C">
        <w:rPr>
          <w:rFonts w:ascii="Times New Roman" w:hAnsi="Times New Roman"/>
          <w:spacing w:val="-2"/>
          <w:lang w:val="el-GR"/>
        </w:rPr>
        <w:t xml:space="preserve">, ενώ παρόμοιες </w:t>
      </w:r>
      <w:r w:rsidRPr="006459AB">
        <w:rPr>
          <w:rFonts w:ascii="Times New Roman" w:hAnsi="Times New Roman"/>
          <w:spacing w:val="-2"/>
          <w:lang w:val="el-GR"/>
        </w:rPr>
        <w:t>επιδράσεις</w:t>
      </w:r>
      <w:r w:rsidRPr="00F8543C">
        <w:rPr>
          <w:rFonts w:ascii="Times New Roman" w:hAnsi="Times New Roman"/>
          <w:spacing w:val="-2"/>
          <w:lang w:val="el-GR"/>
        </w:rPr>
        <w:t xml:space="preserve"> μπορεί να </w:t>
      </w:r>
      <w:r w:rsidRPr="006459AB">
        <w:rPr>
          <w:rFonts w:ascii="Times New Roman" w:hAnsi="Times New Roman"/>
          <w:spacing w:val="-2"/>
          <w:lang w:val="el-GR"/>
        </w:rPr>
        <w:t>παρατηρηθούν</w:t>
      </w:r>
      <w:r w:rsidRPr="00F8543C">
        <w:rPr>
          <w:rFonts w:ascii="Times New Roman" w:hAnsi="Times New Roman"/>
          <w:spacing w:val="-2"/>
          <w:lang w:val="el-GR"/>
        </w:rPr>
        <w:t xml:space="preserve"> </w:t>
      </w:r>
      <w:r w:rsidRPr="00F8543C">
        <w:rPr>
          <w:rFonts w:ascii="Times New Roman" w:hAnsi="Times New Roman"/>
          <w:i/>
          <w:spacing w:val="-2"/>
          <w:lang w:val="el-GR"/>
        </w:rPr>
        <w:t>in vitro</w:t>
      </w:r>
      <w:r w:rsidRPr="00F8543C">
        <w:rPr>
          <w:rFonts w:ascii="Times New Roman" w:hAnsi="Times New Roman"/>
          <w:spacing w:val="-2"/>
          <w:lang w:val="el-GR"/>
        </w:rPr>
        <w:t xml:space="preserve"> σε μερικά μη μυελοειδή κύτταρα.</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ασφάλεια και η αποτελεσματικότητα της </w:t>
      </w:r>
      <w:r>
        <w:rPr>
          <w:rFonts w:ascii="Times New Roman" w:hAnsi="Times New Roman"/>
          <w:spacing w:val="-2"/>
          <w:lang w:val="el-GR"/>
        </w:rPr>
        <w:t>χ</w:t>
      </w:r>
      <w:r w:rsidRPr="00F8543C">
        <w:rPr>
          <w:rFonts w:ascii="Times New Roman" w:hAnsi="Times New Roman"/>
          <w:spacing w:val="-2"/>
          <w:lang w:val="el-GR"/>
        </w:rPr>
        <w:t xml:space="preserve">ορήγησης GRANULOKINE σε ασθενείς με μυελοδυσπλαστικό σύνδρομο ή </w:t>
      </w:r>
      <w:r>
        <w:rPr>
          <w:rFonts w:ascii="Times New Roman" w:hAnsi="Times New Roman"/>
          <w:spacing w:val="-2"/>
          <w:lang w:val="el-GR"/>
        </w:rPr>
        <w:t>χρόνια μυελογενή λευχ</w:t>
      </w:r>
      <w:r w:rsidRPr="00F8543C">
        <w:rPr>
          <w:rFonts w:ascii="Times New Roman" w:hAnsi="Times New Roman"/>
          <w:spacing w:val="-2"/>
          <w:lang w:val="el-GR"/>
        </w:rPr>
        <w:t>αιμία δεν έ</w:t>
      </w:r>
      <w:r>
        <w:rPr>
          <w:rFonts w:ascii="Times New Roman" w:hAnsi="Times New Roman"/>
          <w:spacing w:val="-2"/>
          <w:lang w:val="el-GR"/>
        </w:rPr>
        <w:t>χουν</w:t>
      </w:r>
      <w:r w:rsidRPr="00F8543C">
        <w:rPr>
          <w:rFonts w:ascii="Times New Roman" w:hAnsi="Times New Roman"/>
          <w:spacing w:val="-2"/>
          <w:lang w:val="el-GR"/>
        </w:rPr>
        <w:t xml:space="preserve"> τεκμηριωθεί.   </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Το GRANULOKINE δεν ενδείκνυται για χρήση σε τέτοιες καταστάσεις.  Ιδιαίτερη προσοχή απαιτείται για την διαφορική διάγνωση της έναρξης της βλαστικής φάσεως της χρόνιας μυελο</w:t>
      </w:r>
      <w:r>
        <w:rPr>
          <w:rFonts w:ascii="Times New Roman" w:hAnsi="Times New Roman"/>
          <w:spacing w:val="-2"/>
          <w:lang w:val="el-GR"/>
        </w:rPr>
        <w:t>γ</w:t>
      </w:r>
      <w:r w:rsidRPr="00F8543C">
        <w:rPr>
          <w:rFonts w:ascii="Times New Roman" w:hAnsi="Times New Roman"/>
          <w:spacing w:val="-2"/>
          <w:lang w:val="el-GR"/>
        </w:rPr>
        <w:t>ε</w:t>
      </w:r>
      <w:r>
        <w:rPr>
          <w:rFonts w:ascii="Times New Roman" w:hAnsi="Times New Roman"/>
          <w:spacing w:val="-2"/>
          <w:lang w:val="el-GR"/>
        </w:rPr>
        <w:t>ν</w:t>
      </w:r>
      <w:r w:rsidRPr="00F8543C">
        <w:rPr>
          <w:rFonts w:ascii="Times New Roman" w:hAnsi="Times New Roman"/>
          <w:spacing w:val="-2"/>
          <w:lang w:val="el-GR"/>
        </w:rPr>
        <w:t>ούς λευχαιμίας από την οξεία μυελο</w:t>
      </w:r>
      <w:r>
        <w:rPr>
          <w:rFonts w:ascii="Times New Roman" w:hAnsi="Times New Roman"/>
          <w:spacing w:val="-2"/>
          <w:lang w:val="el-GR"/>
        </w:rPr>
        <w:t>γ</w:t>
      </w:r>
      <w:r w:rsidRPr="00F8543C">
        <w:rPr>
          <w:rFonts w:ascii="Times New Roman" w:hAnsi="Times New Roman"/>
          <w:spacing w:val="-2"/>
          <w:lang w:val="el-GR"/>
        </w:rPr>
        <w:t>ε</w:t>
      </w:r>
      <w:r>
        <w:rPr>
          <w:rFonts w:ascii="Times New Roman" w:hAnsi="Times New Roman"/>
          <w:spacing w:val="-2"/>
          <w:lang w:val="el-GR"/>
        </w:rPr>
        <w:t>ν</w:t>
      </w:r>
      <w:r w:rsidRPr="00F8543C">
        <w:rPr>
          <w:rFonts w:ascii="Times New Roman" w:hAnsi="Times New Roman"/>
          <w:spacing w:val="-2"/>
          <w:lang w:val="el-GR"/>
        </w:rPr>
        <w:t>ή λευχαιμία.</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i/>
          <w:spacing w:val="-2"/>
          <w:lang w:val="el-GR"/>
        </w:rPr>
      </w:pPr>
    </w:p>
    <w:p w:rsidR="00416745"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Λαμβάνοντας υπόψη τα περιορισμένα δεδομένα ασφάλειας και αποτελεσματικότητας σε ασθενείς με δευτερογενή οξεία μυελογενή λευχαιμία (</w:t>
      </w:r>
      <w:r w:rsidRPr="00F8543C">
        <w:rPr>
          <w:rFonts w:ascii="Times New Roman" w:hAnsi="Times New Roman"/>
          <w:bCs/>
          <w:spacing w:val="-2"/>
        </w:rPr>
        <w:t>AML</w:t>
      </w:r>
      <w:r w:rsidRPr="00F8543C">
        <w:rPr>
          <w:rFonts w:ascii="Times New Roman" w:hAnsi="Times New Roman"/>
          <w:bCs/>
          <w:spacing w:val="-2"/>
          <w:lang w:val="el-GR"/>
        </w:rPr>
        <w:t xml:space="preserve">), το </w:t>
      </w:r>
      <w:r w:rsidRPr="00F8543C">
        <w:rPr>
          <w:rFonts w:ascii="Times New Roman" w:hAnsi="Times New Roman"/>
          <w:bCs/>
          <w:spacing w:val="-2"/>
        </w:rPr>
        <w:t>GRANULOKINE</w:t>
      </w:r>
      <w:r w:rsidRPr="00F8543C">
        <w:rPr>
          <w:rFonts w:ascii="Times New Roman" w:hAnsi="Times New Roman"/>
          <w:bCs/>
          <w:spacing w:val="-2"/>
          <w:lang w:val="el-GR"/>
        </w:rPr>
        <w:t xml:space="preserve"> πρέπει να χορηγείται με προσοχή.</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 xml:space="preserve">Η ασφάλεια και αποτελεσματικότητα της χορήγησης του </w:t>
      </w:r>
      <w:r w:rsidRPr="00F8543C">
        <w:rPr>
          <w:rFonts w:ascii="Times New Roman" w:hAnsi="Times New Roman"/>
          <w:bCs/>
          <w:spacing w:val="-2"/>
        </w:rPr>
        <w:t>GRANULOKINE</w:t>
      </w:r>
      <w:r w:rsidRPr="00F8543C">
        <w:rPr>
          <w:rFonts w:ascii="Times New Roman" w:hAnsi="Times New Roman"/>
          <w:bCs/>
          <w:spacing w:val="-2"/>
          <w:lang w:val="el-GR"/>
        </w:rPr>
        <w:t xml:space="preserve"> σε ασθενείς με </w:t>
      </w:r>
      <w:r w:rsidRPr="00F8543C">
        <w:rPr>
          <w:rFonts w:ascii="Times New Roman" w:hAnsi="Times New Roman"/>
          <w:bCs/>
          <w:i/>
          <w:spacing w:val="-2"/>
        </w:rPr>
        <w:t>de</w:t>
      </w:r>
      <w:r w:rsidRPr="00F8543C">
        <w:rPr>
          <w:rFonts w:ascii="Times New Roman" w:hAnsi="Times New Roman"/>
          <w:bCs/>
          <w:i/>
          <w:spacing w:val="-2"/>
          <w:lang w:val="el-GR"/>
        </w:rPr>
        <w:t xml:space="preserve"> </w:t>
      </w:r>
      <w:r w:rsidRPr="00F8543C">
        <w:rPr>
          <w:rFonts w:ascii="Times New Roman" w:hAnsi="Times New Roman"/>
          <w:bCs/>
          <w:i/>
          <w:spacing w:val="-2"/>
        </w:rPr>
        <w:t>novo</w:t>
      </w:r>
      <w:r w:rsidRPr="00F8543C">
        <w:rPr>
          <w:rFonts w:ascii="Times New Roman" w:hAnsi="Times New Roman"/>
          <w:b/>
          <w:spacing w:val="-2"/>
          <w:lang w:val="el-GR"/>
        </w:rPr>
        <w:t xml:space="preserve"> </w:t>
      </w:r>
      <w:r w:rsidRPr="00F8543C">
        <w:rPr>
          <w:rFonts w:ascii="Times New Roman" w:hAnsi="Times New Roman"/>
          <w:bCs/>
          <w:spacing w:val="-2"/>
          <w:lang w:val="el-GR"/>
        </w:rPr>
        <w:t>οξεία</w:t>
      </w:r>
      <w:r w:rsidRPr="00F8543C">
        <w:rPr>
          <w:rFonts w:ascii="Times New Roman" w:hAnsi="Times New Roman"/>
          <w:b/>
          <w:spacing w:val="-2"/>
          <w:lang w:val="el-GR"/>
        </w:rPr>
        <w:t xml:space="preserve"> </w:t>
      </w:r>
      <w:r w:rsidRPr="00F8543C">
        <w:rPr>
          <w:rFonts w:ascii="Times New Roman" w:hAnsi="Times New Roman"/>
          <w:bCs/>
          <w:spacing w:val="-2"/>
          <w:lang w:val="el-GR"/>
        </w:rPr>
        <w:t>μυελογενή λευχαιμία (</w:t>
      </w:r>
      <w:r w:rsidRPr="00F8543C">
        <w:rPr>
          <w:rFonts w:ascii="Times New Roman" w:hAnsi="Times New Roman"/>
          <w:bCs/>
          <w:spacing w:val="-2"/>
        </w:rPr>
        <w:t>AML</w:t>
      </w:r>
      <w:r w:rsidRPr="00F8543C">
        <w:rPr>
          <w:rFonts w:ascii="Times New Roman" w:hAnsi="Times New Roman"/>
          <w:bCs/>
          <w:spacing w:val="-2"/>
          <w:lang w:val="el-GR"/>
        </w:rPr>
        <w:t xml:space="preserve">) μικρότερους των 55 ετών με καλή </w:t>
      </w:r>
      <w:r w:rsidRPr="00877934">
        <w:rPr>
          <w:rFonts w:ascii="Times New Roman" w:hAnsi="Times New Roman"/>
          <w:bCs/>
          <w:spacing w:val="-2"/>
          <w:lang w:val="el-GR"/>
        </w:rPr>
        <w:t>κυτταρογενετική (</w:t>
      </w:r>
      <w:r w:rsidRPr="00877934">
        <w:rPr>
          <w:rFonts w:ascii="Times New Roman" w:hAnsi="Times New Roman"/>
          <w:bCs/>
          <w:spacing w:val="-2"/>
        </w:rPr>
        <w:t>t</w:t>
      </w:r>
      <w:r w:rsidRPr="00877934">
        <w:rPr>
          <w:rFonts w:ascii="Times New Roman" w:hAnsi="Times New Roman"/>
          <w:bCs/>
          <w:spacing w:val="-2"/>
          <w:lang w:val="el-GR"/>
        </w:rPr>
        <w:t xml:space="preserve">(8; 21), </w:t>
      </w:r>
      <w:r w:rsidRPr="00083E93">
        <w:rPr>
          <w:rFonts w:ascii="Times New Roman" w:hAnsi="Times New Roman"/>
          <w:bCs/>
          <w:spacing w:val="-2"/>
        </w:rPr>
        <w:t>t</w:t>
      </w:r>
      <w:r w:rsidRPr="00077E30">
        <w:rPr>
          <w:rFonts w:ascii="Times New Roman" w:hAnsi="Times New Roman"/>
          <w:bCs/>
          <w:spacing w:val="-2"/>
          <w:lang w:val="el-GR"/>
        </w:rPr>
        <w:t xml:space="preserve">(15;17) και </w:t>
      </w:r>
      <w:r w:rsidRPr="00077E30">
        <w:rPr>
          <w:rFonts w:ascii="Times New Roman" w:hAnsi="Times New Roman"/>
          <w:bCs/>
          <w:spacing w:val="-2"/>
        </w:rPr>
        <w:t>inv</w:t>
      </w:r>
      <w:r w:rsidRPr="00077E30">
        <w:rPr>
          <w:rFonts w:ascii="Times New Roman" w:hAnsi="Times New Roman"/>
          <w:bCs/>
          <w:spacing w:val="-2"/>
          <w:lang w:val="el-GR"/>
        </w:rPr>
        <w:t>(16)) δεν έχουν τεκμηριωθεί.</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i/>
          <w:spacing w:val="-2"/>
          <w:lang w:val="el-GR"/>
        </w:rPr>
      </w:pPr>
    </w:p>
    <w:p w:rsidR="00416745" w:rsidRPr="00930BD8"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930BD8">
        <w:rPr>
          <w:rFonts w:ascii="Times New Roman" w:hAnsi="Times New Roman"/>
          <w:i/>
          <w:spacing w:val="-2"/>
          <w:lang w:val="el-GR"/>
        </w:rPr>
        <w:t>Άλλες Ειδικές Προφυλάξεις</w:t>
      </w: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416745" w:rsidRPr="00F8543C"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0249FB">
        <w:rPr>
          <w:rFonts w:ascii="Times New Roman" w:hAnsi="Times New Roman"/>
          <w:spacing w:val="-2"/>
          <w:lang w:val="el-GR"/>
        </w:rPr>
        <w:t xml:space="preserve">Παρακολούθηση </w:t>
      </w:r>
      <w:r w:rsidRPr="00F8543C">
        <w:rPr>
          <w:rFonts w:ascii="Times New Roman" w:hAnsi="Times New Roman"/>
          <w:spacing w:val="-2"/>
          <w:lang w:val="el-GR"/>
        </w:rPr>
        <w:t>της οστικής πυκνότητας μπορεί να ενδείκνυται σε ασθενείς με υποκείμενη οστεοπορωτική νόσο που βρίσκονται υπό συνε</w:t>
      </w:r>
      <w:r>
        <w:rPr>
          <w:rFonts w:ascii="Times New Roman" w:hAnsi="Times New Roman"/>
          <w:spacing w:val="-2"/>
          <w:lang w:val="el-GR"/>
        </w:rPr>
        <w:t>χ</w:t>
      </w:r>
      <w:r w:rsidRPr="00F8543C">
        <w:rPr>
          <w:rFonts w:ascii="Times New Roman" w:hAnsi="Times New Roman"/>
          <w:spacing w:val="-2"/>
          <w:lang w:val="el-GR"/>
        </w:rPr>
        <w:t>ή θεραπεία με GRANULOKINE για περισσότερο από 6 μήνες.</w:t>
      </w:r>
    </w:p>
    <w:p w:rsidR="00416745" w:rsidRPr="00930BD8" w:rsidRDefault="00416745"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416745" w:rsidRPr="000249FB" w:rsidRDefault="00C8313B" w:rsidP="00416745">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zCs w:val="24"/>
          <w:lang w:val="el-GR"/>
        </w:rPr>
        <w:t>Π</w:t>
      </w:r>
      <w:r w:rsidR="00416745" w:rsidRPr="000249FB">
        <w:rPr>
          <w:rFonts w:ascii="Times New Roman" w:hAnsi="Times New Roman"/>
          <w:szCs w:val="24"/>
          <w:lang w:val="el-GR"/>
        </w:rPr>
        <w:t>νευμονικές ανεπιθύμητες ενέργειες, και συγκεκριμένα διάμεση</w:t>
      </w:r>
      <w:r w:rsidR="00844BD4">
        <w:rPr>
          <w:rFonts w:ascii="Times New Roman" w:hAnsi="Times New Roman"/>
          <w:szCs w:val="24"/>
          <w:lang w:val="el-GR"/>
        </w:rPr>
        <w:t xml:space="preserve"> </w:t>
      </w:r>
      <w:r w:rsidR="00667B6A">
        <w:rPr>
          <w:rFonts w:ascii="Times New Roman" w:hAnsi="Times New Roman"/>
          <w:szCs w:val="24"/>
          <w:lang w:val="el-GR"/>
        </w:rPr>
        <w:t>πνευμονοπάθεια</w:t>
      </w:r>
      <w:r w:rsidR="00416745" w:rsidRPr="000249FB">
        <w:rPr>
          <w:rFonts w:ascii="Times New Roman" w:hAnsi="Times New Roman"/>
          <w:szCs w:val="24"/>
          <w:lang w:val="el-GR"/>
        </w:rPr>
        <w:t xml:space="preserve">, έχουν αναφερθεί μετά τη χορήγηση </w:t>
      </w:r>
      <w:r w:rsidR="00416745" w:rsidRPr="000249FB">
        <w:rPr>
          <w:rFonts w:ascii="Times New Roman" w:hAnsi="Times New Roman"/>
          <w:szCs w:val="24"/>
        </w:rPr>
        <w:t>G</w:t>
      </w:r>
      <w:r w:rsidR="00416745" w:rsidRPr="000249FB">
        <w:rPr>
          <w:rFonts w:ascii="Times New Roman" w:hAnsi="Times New Roman"/>
          <w:szCs w:val="24"/>
          <w:lang w:val="el-GR"/>
        </w:rPr>
        <w:t>-</w:t>
      </w:r>
      <w:r w:rsidR="00416745" w:rsidRPr="000249FB">
        <w:rPr>
          <w:rFonts w:ascii="Times New Roman" w:hAnsi="Times New Roman"/>
          <w:szCs w:val="24"/>
        </w:rPr>
        <w:t>CSF</w:t>
      </w:r>
      <w:r w:rsidR="00416745" w:rsidRPr="000249FB">
        <w:rPr>
          <w:rFonts w:ascii="Times New Roman" w:hAnsi="Times New Roman"/>
          <w:szCs w:val="24"/>
          <w:lang w:val="el-GR"/>
        </w:rPr>
        <w:t>. Ασθενείς με πρόσφατο ιστορικό</w:t>
      </w:r>
      <w:r>
        <w:rPr>
          <w:rFonts w:ascii="Times New Roman" w:hAnsi="Times New Roman"/>
          <w:szCs w:val="24"/>
          <w:lang w:val="el-GR"/>
        </w:rPr>
        <w:t xml:space="preserve"> </w:t>
      </w:r>
      <w:r w:rsidR="00416745" w:rsidRPr="000249FB">
        <w:rPr>
          <w:rFonts w:ascii="Times New Roman" w:hAnsi="Times New Roman"/>
          <w:szCs w:val="24"/>
          <w:lang w:val="el-GR"/>
        </w:rPr>
        <w:t>διηθήσεων</w:t>
      </w:r>
      <w:r>
        <w:rPr>
          <w:rFonts w:ascii="Times New Roman" w:hAnsi="Times New Roman"/>
          <w:szCs w:val="24"/>
          <w:lang w:val="el-GR"/>
        </w:rPr>
        <w:t xml:space="preserve"> πνευμόνων</w:t>
      </w:r>
      <w:r w:rsidR="00416745" w:rsidRPr="000249FB">
        <w:rPr>
          <w:rFonts w:ascii="Times New Roman" w:hAnsi="Times New Roman"/>
          <w:szCs w:val="24"/>
          <w:lang w:val="el-GR"/>
        </w:rPr>
        <w:t xml:space="preserve"> ή πνευμονίας ενδέχεται να διατρέχουν υψηλότερο κίνδυνο. </w:t>
      </w:r>
    </w:p>
    <w:p w:rsidR="00416745" w:rsidRDefault="00416745" w:rsidP="00416745">
      <w:pPr>
        <w:pStyle w:val="22"/>
      </w:pPr>
      <w:r w:rsidRPr="00F8543C">
        <w:t xml:space="preserve">Η πρώτη εμφάνιση πνευμονικών σημείων όπως βήχας, πυρετός και δύσπνοια σε συσχετισμό με </w:t>
      </w:r>
      <w:r w:rsidR="00667B6A">
        <w:t>ακτινολογικά</w:t>
      </w:r>
      <w:r w:rsidR="00667B6A" w:rsidRPr="00F8543C">
        <w:t xml:space="preserve"> </w:t>
      </w:r>
      <w:r w:rsidRPr="00F8543C">
        <w:t xml:space="preserve">σημεία πνευμονικών διηθήσεων και η έκπτωση της πνευμονικής λειτουργίας μπορεί να </w:t>
      </w:r>
      <w:r w:rsidRPr="000249FB">
        <w:t>αποτελούν πρώιμες ενδείξεις συνδρόμου</w:t>
      </w:r>
      <w:r w:rsidRPr="00C9670B">
        <w:t xml:space="preserve"> </w:t>
      </w:r>
      <w:r w:rsidR="00826B62">
        <w:t xml:space="preserve">οξείας </w:t>
      </w:r>
      <w:r w:rsidRPr="00F8543C">
        <w:t>αναπνευστικής δυσχέρειας (ARDS). Το GRANULOKINE πρέπει να διακόπτεται και να χορηγείται η κατάλληλη αγωγή.</w:t>
      </w:r>
    </w:p>
    <w:p w:rsidR="00B74B1D" w:rsidRDefault="00B74B1D" w:rsidP="00416745">
      <w:pPr>
        <w:pStyle w:val="22"/>
      </w:pPr>
    </w:p>
    <w:p w:rsidR="00B74B1D" w:rsidRPr="00077E30" w:rsidRDefault="00B74B1D" w:rsidP="00077E30">
      <w:pPr>
        <w:rPr>
          <w:rFonts w:ascii="Times New Roman" w:hAnsi="Times New Roman"/>
          <w:spacing w:val="-2"/>
          <w:lang w:val="el-GR"/>
        </w:rPr>
      </w:pPr>
      <w:r w:rsidRPr="00077E30">
        <w:rPr>
          <w:rFonts w:ascii="Times New Roman" w:hAnsi="Times New Roman"/>
          <w:spacing w:val="-2"/>
          <w:lang w:val="el-GR"/>
        </w:rPr>
        <w:t>Έχει αναφερθεί σύνδρομο διαφυγής τριχοειδών έπειτα από χορήγηση παράγοντα διέγερσης αποικιών κοκκιοκυττάρων και το οποίο χαρακτηρίζεται από υπόταση, υπολευκωματιναιμία, οίδημα και αιμοσυγκέντρωση. Οι ασθενείς που εμφανίζουν συμπτώματα συνδρόμου διαφυγής τριχοειδών θα πρέπει να παρακολουθούνται στενά και να λαμβάνουν την καθιερωμένη συμπτωματική θεραπεία, η οποία μπορεί να περιλαμβάνει την ανάγκη για εντατική φροντίδα (βλέπε παράγραφο 4.8).</w:t>
      </w:r>
    </w:p>
    <w:p w:rsidR="00046C03" w:rsidRPr="00416745"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126AB" w:rsidRPr="00EA023B" w:rsidRDefault="00E126AB" w:rsidP="00E126AB">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EA023B">
        <w:rPr>
          <w:rFonts w:ascii="Times New Roman" w:hAnsi="Times New Roman"/>
          <w:spacing w:val="-2"/>
          <w:u w:val="single"/>
          <w:lang w:val="el-GR"/>
        </w:rPr>
        <w:t>Ειδικές προφυλάξεις σε καρκινοπαθείς ασθενείς</w:t>
      </w:r>
    </w:p>
    <w:p w:rsidR="00E126AB" w:rsidRPr="00F8543C" w:rsidRDefault="00E126AB" w:rsidP="00E126AB">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p>
    <w:p w:rsidR="00E126AB" w:rsidRPr="00EA023B"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EA023B">
        <w:rPr>
          <w:rFonts w:ascii="Times New Roman" w:hAnsi="Times New Roman"/>
          <w:i/>
          <w:spacing w:val="-2"/>
          <w:lang w:val="el-GR"/>
        </w:rPr>
        <w:t>Λευκοκυττάρωση</w:t>
      </w: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Έ</w:t>
      </w:r>
      <w:r>
        <w:rPr>
          <w:rFonts w:ascii="Times New Roman" w:hAnsi="Times New Roman"/>
          <w:spacing w:val="-2"/>
          <w:lang w:val="el-GR"/>
        </w:rPr>
        <w:t>χ</w:t>
      </w:r>
      <w:r w:rsidRPr="00F8543C">
        <w:rPr>
          <w:rFonts w:ascii="Times New Roman" w:hAnsi="Times New Roman"/>
          <w:spacing w:val="-2"/>
          <w:lang w:val="el-GR"/>
        </w:rPr>
        <w:t>ει παρατηρηθεί αριθμός λευκοκυττάρων 100 x 10</w:t>
      </w:r>
      <w:r w:rsidRPr="00F8543C">
        <w:rPr>
          <w:rFonts w:ascii="Times New Roman" w:hAnsi="Times New Roman"/>
          <w:spacing w:val="-2"/>
          <w:vertAlign w:val="superscript"/>
          <w:lang w:val="el-GR"/>
        </w:rPr>
        <w:t>9</w:t>
      </w:r>
      <w:r w:rsidRPr="00F8543C">
        <w:rPr>
          <w:rFonts w:ascii="Times New Roman" w:hAnsi="Times New Roman"/>
          <w:spacing w:val="-2"/>
          <w:lang w:val="el-GR"/>
        </w:rPr>
        <w:t>/l ή και υψηλότερος, σε λιγότερο του 5% των ασθενών που ελάμβαναν GRANULOKINE σε δόσεις υψηλότερες των 0,3 ΜU/kg/ημέρα (3 μg/kg/ημέρα).  Δεν έ</w:t>
      </w:r>
      <w:r>
        <w:rPr>
          <w:rFonts w:ascii="Times New Roman" w:hAnsi="Times New Roman"/>
          <w:spacing w:val="-2"/>
          <w:lang w:val="el-GR"/>
        </w:rPr>
        <w:t>χ</w:t>
      </w:r>
      <w:r w:rsidRPr="00F8543C">
        <w:rPr>
          <w:rFonts w:ascii="Times New Roman" w:hAnsi="Times New Roman"/>
          <w:spacing w:val="-2"/>
          <w:lang w:val="el-GR"/>
        </w:rPr>
        <w:t xml:space="preserve">ει αναφερθεί καμία ανεπιθύμητη ενέργεια άμεσα </w:t>
      </w:r>
      <w:r w:rsidRPr="0016132D">
        <w:rPr>
          <w:rFonts w:ascii="Times New Roman" w:hAnsi="Times New Roman"/>
          <w:spacing w:val="-2"/>
          <w:lang w:val="el-GR"/>
        </w:rPr>
        <w:t xml:space="preserve">αποδιδόμενη σε </w:t>
      </w:r>
      <w:r w:rsidRPr="00F8543C">
        <w:rPr>
          <w:rFonts w:ascii="Times New Roman" w:hAnsi="Times New Roman"/>
          <w:spacing w:val="-2"/>
          <w:lang w:val="el-GR"/>
        </w:rPr>
        <w:t>αυτόν το βαθμό λευκοκυττάρωσης. Όμως, λαμβάνοντας υπόψη τους πιθανούς κινδύνους που σ</w:t>
      </w:r>
      <w:r>
        <w:rPr>
          <w:rFonts w:ascii="Times New Roman" w:hAnsi="Times New Roman"/>
          <w:spacing w:val="-2"/>
          <w:lang w:val="el-GR"/>
        </w:rPr>
        <w:t>χ</w:t>
      </w:r>
      <w:r w:rsidRPr="00F8543C">
        <w:rPr>
          <w:rFonts w:ascii="Times New Roman" w:hAnsi="Times New Roman"/>
          <w:spacing w:val="-2"/>
          <w:lang w:val="el-GR"/>
        </w:rPr>
        <w:t xml:space="preserve">ετίζονται με τη σοβαρή λευκοκυττάρωση, θα πρέπει να γίνονται μετρήσεις των λευκών αιμοσφαιρίων σε τακτά </w:t>
      </w:r>
      <w:r>
        <w:rPr>
          <w:rFonts w:ascii="Times New Roman" w:hAnsi="Times New Roman"/>
          <w:spacing w:val="-2"/>
          <w:lang w:val="el-GR"/>
        </w:rPr>
        <w:t>χ</w:t>
      </w:r>
      <w:r w:rsidRPr="00F8543C">
        <w:rPr>
          <w:rFonts w:ascii="Times New Roman" w:hAnsi="Times New Roman"/>
          <w:spacing w:val="-2"/>
          <w:lang w:val="el-GR"/>
        </w:rPr>
        <w:t>ρονικά διαστήματα κατά τη διάρκεια της θεραπείας με GRANULOKINE.  Εάν ο αριθμός των λευκοκυττάρων υπερβ</w:t>
      </w:r>
      <w:r>
        <w:rPr>
          <w:rFonts w:ascii="Times New Roman" w:hAnsi="Times New Roman"/>
          <w:spacing w:val="-2"/>
          <w:lang w:val="el-GR"/>
        </w:rPr>
        <w:t>εί</w:t>
      </w:r>
      <w:r w:rsidRPr="00F8543C">
        <w:rPr>
          <w:rFonts w:ascii="Times New Roman" w:hAnsi="Times New Roman"/>
          <w:spacing w:val="-2"/>
          <w:lang w:val="el-GR"/>
        </w:rPr>
        <w:t xml:space="preserve"> τα 50 x 10</w:t>
      </w:r>
      <w:r w:rsidRPr="00F8543C">
        <w:rPr>
          <w:rFonts w:ascii="Times New Roman" w:hAnsi="Times New Roman"/>
          <w:spacing w:val="-2"/>
          <w:vertAlign w:val="superscript"/>
          <w:lang w:val="el-GR"/>
        </w:rPr>
        <w:t>9</w:t>
      </w:r>
      <w:r w:rsidRPr="00F8543C">
        <w:rPr>
          <w:rFonts w:ascii="Times New Roman" w:hAnsi="Times New Roman"/>
          <w:spacing w:val="-2"/>
          <w:lang w:val="el-GR"/>
        </w:rPr>
        <w:t>/l μετά από το αναμενόμενο ναδίρ, το GRANULOKINE θα πρέπει αμέσως να διακόπτεται.</w:t>
      </w:r>
      <w:r w:rsidR="00A72C8E">
        <w:rPr>
          <w:rFonts w:ascii="Times New Roman" w:hAnsi="Times New Roman"/>
          <w:spacing w:val="-2"/>
          <w:lang w:val="el-GR"/>
        </w:rPr>
        <w:t xml:space="preserve"> </w:t>
      </w:r>
      <w:r w:rsidRPr="00F8543C">
        <w:rPr>
          <w:rFonts w:ascii="Times New Roman" w:hAnsi="Times New Roman"/>
          <w:spacing w:val="-2"/>
          <w:lang w:val="el-GR"/>
        </w:rPr>
        <w:t xml:space="preserve">Όμως, κατά τη διάρκεια της </w:t>
      </w:r>
      <w:r>
        <w:rPr>
          <w:rFonts w:ascii="Times New Roman" w:hAnsi="Times New Roman"/>
          <w:spacing w:val="-2"/>
          <w:lang w:val="el-GR"/>
        </w:rPr>
        <w:t>χ</w:t>
      </w:r>
      <w:r w:rsidRPr="00F8543C">
        <w:rPr>
          <w:rFonts w:ascii="Times New Roman" w:hAnsi="Times New Roman"/>
          <w:spacing w:val="-2"/>
          <w:lang w:val="el-GR"/>
        </w:rPr>
        <w:t xml:space="preserve">ορήγησης του GRANULOKINE για την κινητοποίηση των προγονικών κυττάρων του περιφερικού αίματος (PBPC), το </w:t>
      </w:r>
      <w:r w:rsidRPr="00F8543C">
        <w:rPr>
          <w:rFonts w:ascii="Times New Roman" w:hAnsi="Times New Roman"/>
          <w:spacing w:val="-2"/>
        </w:rPr>
        <w:t>GRANULOKINE</w:t>
      </w:r>
      <w:r w:rsidRPr="00F8543C">
        <w:rPr>
          <w:rFonts w:ascii="Times New Roman" w:hAnsi="Times New Roman"/>
          <w:spacing w:val="-2"/>
          <w:lang w:val="el-GR"/>
        </w:rPr>
        <w:t xml:space="preserve"> θα πρέπει να διακόπτεται ή να μειώνεται η δοσολογία του, αν ο αριθμός των λευκοκυττάρων αυξηθεί σε &gt;70</w:t>
      </w:r>
      <w:r w:rsidRPr="00F8543C">
        <w:rPr>
          <w:rFonts w:ascii="Times New Roman" w:hAnsi="Times New Roman"/>
          <w:spacing w:val="-2"/>
        </w:rPr>
        <w:t>x</w:t>
      </w:r>
      <w:r w:rsidRPr="00F8543C">
        <w:rPr>
          <w:rFonts w:ascii="Times New Roman" w:hAnsi="Times New Roman"/>
          <w:spacing w:val="-2"/>
          <w:lang w:val="el-GR"/>
        </w:rPr>
        <w:t xml:space="preserve">10 </w:t>
      </w:r>
      <w:r w:rsidRPr="00F8543C">
        <w:rPr>
          <w:rFonts w:ascii="Times New Roman" w:hAnsi="Times New Roman"/>
          <w:spacing w:val="-2"/>
          <w:vertAlign w:val="superscript"/>
          <w:lang w:val="el-GR"/>
        </w:rPr>
        <w:t>9</w:t>
      </w:r>
      <w:r w:rsidRPr="00F8543C">
        <w:rPr>
          <w:rFonts w:ascii="Times New Roman" w:hAnsi="Times New Roman"/>
          <w:spacing w:val="-2"/>
          <w:lang w:val="el-GR"/>
        </w:rPr>
        <w:t xml:space="preserve"> /</w:t>
      </w:r>
      <w:r w:rsidRPr="00F8543C">
        <w:rPr>
          <w:rFonts w:ascii="Times New Roman" w:hAnsi="Times New Roman"/>
          <w:spacing w:val="-2"/>
        </w:rPr>
        <w:t>l</w:t>
      </w:r>
      <w:r w:rsidRPr="00F8543C">
        <w:rPr>
          <w:rFonts w:ascii="Times New Roman" w:hAnsi="Times New Roman"/>
          <w:spacing w:val="-2"/>
          <w:lang w:val="el-GR"/>
        </w:rPr>
        <w:t>.</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E126AB" w:rsidRPr="001D1C84"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1D1C84">
        <w:rPr>
          <w:rFonts w:ascii="Times New Roman" w:hAnsi="Times New Roman"/>
          <w:i/>
          <w:spacing w:val="-2"/>
          <w:lang w:val="el-GR"/>
        </w:rPr>
        <w:t xml:space="preserve">Κίνδυνοι </w:t>
      </w:r>
      <w:r>
        <w:rPr>
          <w:rFonts w:ascii="Times New Roman" w:hAnsi="Times New Roman"/>
          <w:i/>
          <w:spacing w:val="-2"/>
          <w:lang w:val="el-GR"/>
        </w:rPr>
        <w:t>σχ</w:t>
      </w:r>
      <w:r w:rsidRPr="001D1C84">
        <w:rPr>
          <w:rFonts w:ascii="Times New Roman" w:hAnsi="Times New Roman"/>
          <w:i/>
          <w:spacing w:val="-2"/>
          <w:lang w:val="el-GR"/>
        </w:rPr>
        <w:t xml:space="preserve">ετιζόμενοι με </w:t>
      </w:r>
      <w:r>
        <w:rPr>
          <w:rFonts w:ascii="Times New Roman" w:hAnsi="Times New Roman"/>
          <w:i/>
          <w:spacing w:val="-2"/>
          <w:lang w:val="el-GR"/>
        </w:rPr>
        <w:t>α</w:t>
      </w:r>
      <w:r w:rsidRPr="001D1C84">
        <w:rPr>
          <w:rFonts w:ascii="Times New Roman" w:hAnsi="Times New Roman"/>
          <w:i/>
          <w:spacing w:val="-2"/>
          <w:lang w:val="el-GR"/>
        </w:rPr>
        <w:t xml:space="preserve">υξημένες </w:t>
      </w:r>
      <w:r>
        <w:rPr>
          <w:rFonts w:ascii="Times New Roman" w:hAnsi="Times New Roman"/>
          <w:i/>
          <w:spacing w:val="-2"/>
          <w:lang w:val="el-GR"/>
        </w:rPr>
        <w:t>δ</w:t>
      </w:r>
      <w:r w:rsidRPr="001D1C84">
        <w:rPr>
          <w:rFonts w:ascii="Times New Roman" w:hAnsi="Times New Roman"/>
          <w:i/>
          <w:spacing w:val="-2"/>
          <w:lang w:val="el-GR"/>
        </w:rPr>
        <w:t xml:space="preserve">όσεις </w:t>
      </w:r>
      <w:r>
        <w:rPr>
          <w:rFonts w:ascii="Times New Roman" w:hAnsi="Times New Roman"/>
          <w:i/>
          <w:spacing w:val="-2"/>
          <w:lang w:val="el-GR"/>
        </w:rPr>
        <w:t>χ</w:t>
      </w:r>
      <w:r w:rsidRPr="001D1C84">
        <w:rPr>
          <w:rFonts w:ascii="Times New Roman" w:hAnsi="Times New Roman"/>
          <w:i/>
          <w:spacing w:val="-2"/>
          <w:lang w:val="el-GR"/>
        </w:rPr>
        <w:t>ημειοθεραπείας</w:t>
      </w: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Πρέπει να δίνεται ιδιαίτερη προσο</w:t>
      </w:r>
      <w:r>
        <w:rPr>
          <w:rFonts w:ascii="Times New Roman" w:hAnsi="Times New Roman"/>
          <w:spacing w:val="-2"/>
          <w:lang w:val="el-GR"/>
        </w:rPr>
        <w:t>χ</w:t>
      </w:r>
      <w:r w:rsidRPr="00F8543C">
        <w:rPr>
          <w:rFonts w:ascii="Times New Roman" w:hAnsi="Times New Roman"/>
          <w:spacing w:val="-2"/>
          <w:lang w:val="el-GR"/>
        </w:rPr>
        <w:t xml:space="preserve">ή όταν </w:t>
      </w:r>
      <w:r>
        <w:rPr>
          <w:rFonts w:ascii="Times New Roman" w:hAnsi="Times New Roman"/>
          <w:spacing w:val="-2"/>
          <w:lang w:val="el-GR"/>
        </w:rPr>
        <w:t>χ</w:t>
      </w:r>
      <w:r w:rsidRPr="00F8543C">
        <w:rPr>
          <w:rFonts w:ascii="Times New Roman" w:hAnsi="Times New Roman"/>
          <w:spacing w:val="-2"/>
          <w:lang w:val="el-GR"/>
        </w:rPr>
        <w:t>ορηγούντα</w:t>
      </w:r>
      <w:r>
        <w:rPr>
          <w:rFonts w:ascii="Times New Roman" w:hAnsi="Times New Roman"/>
          <w:spacing w:val="-2"/>
          <w:lang w:val="el-GR"/>
        </w:rPr>
        <w:t>ι στους ασθενείς υψηλές δόσεις χημειοθεραπείας, διότι δεν έχ</w:t>
      </w:r>
      <w:r w:rsidRPr="00F8543C">
        <w:rPr>
          <w:rFonts w:ascii="Times New Roman" w:hAnsi="Times New Roman"/>
          <w:spacing w:val="-2"/>
          <w:lang w:val="el-GR"/>
        </w:rPr>
        <w:t>ει αποδει</w:t>
      </w:r>
      <w:r>
        <w:rPr>
          <w:rFonts w:ascii="Times New Roman" w:hAnsi="Times New Roman"/>
          <w:spacing w:val="-2"/>
          <w:lang w:val="el-GR"/>
        </w:rPr>
        <w:t>χ</w:t>
      </w:r>
      <w:r w:rsidRPr="00F8543C">
        <w:rPr>
          <w:rFonts w:ascii="Times New Roman" w:hAnsi="Times New Roman"/>
          <w:spacing w:val="-2"/>
          <w:lang w:val="el-GR"/>
        </w:rPr>
        <w:t>θεί η βελτίωση των παραμέτρων του όγκου ενώ ενισ</w:t>
      </w:r>
      <w:r>
        <w:rPr>
          <w:rFonts w:ascii="Times New Roman" w:hAnsi="Times New Roman"/>
          <w:spacing w:val="-2"/>
          <w:lang w:val="el-GR"/>
        </w:rPr>
        <w:t>χ</w:t>
      </w:r>
      <w:r w:rsidRPr="00F8543C">
        <w:rPr>
          <w:rFonts w:ascii="Times New Roman" w:hAnsi="Times New Roman"/>
          <w:spacing w:val="-2"/>
          <w:lang w:val="el-GR"/>
        </w:rPr>
        <w:t xml:space="preserve">υμένες δόσεις </w:t>
      </w:r>
      <w:r>
        <w:rPr>
          <w:rFonts w:ascii="Times New Roman" w:hAnsi="Times New Roman"/>
          <w:spacing w:val="-2"/>
          <w:lang w:val="el-GR"/>
        </w:rPr>
        <w:t>χ</w:t>
      </w:r>
      <w:r w:rsidRPr="00F8543C">
        <w:rPr>
          <w:rFonts w:ascii="Times New Roman" w:hAnsi="Times New Roman"/>
          <w:spacing w:val="-2"/>
          <w:lang w:val="el-GR"/>
        </w:rPr>
        <w:t xml:space="preserve">ημειοθεραπευτικών παραγόντων μπορεί να οδηγήσουν σε αυξημένη τοξικότητα συμπεριλαμβανομένων καρδιολογικών, πνευμονικών, νευρολογικών και δερματολογικών αντιδράσεων (παρακαλούμε να συμβουλευτείτε τις συνταγογραφικές πληροφορίες των </w:t>
      </w:r>
      <w:r>
        <w:rPr>
          <w:rFonts w:ascii="Times New Roman" w:hAnsi="Times New Roman"/>
          <w:spacing w:val="-2"/>
          <w:lang w:val="el-GR"/>
        </w:rPr>
        <w:t>χρησιμοποιούμενων χ</w:t>
      </w:r>
      <w:r w:rsidRPr="00F8543C">
        <w:rPr>
          <w:rFonts w:ascii="Times New Roman" w:hAnsi="Times New Roman"/>
          <w:spacing w:val="-2"/>
          <w:lang w:val="el-GR"/>
        </w:rPr>
        <w:t>ημειοθεραπευτικών παραγόντων).</w:t>
      </w: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μονοθεραπεία με GRANULOKINE δεν αποκλείει την πρόκληση θρομβοπενίας και αναιμίας εξαιτίας της μυελοκατασταλτικής </w:t>
      </w:r>
      <w:r>
        <w:rPr>
          <w:rFonts w:ascii="Times New Roman" w:hAnsi="Times New Roman"/>
          <w:spacing w:val="-2"/>
          <w:lang w:val="el-GR"/>
        </w:rPr>
        <w:t xml:space="preserve">χημειοθεραπείας. </w:t>
      </w:r>
      <w:r w:rsidRPr="0016132D">
        <w:rPr>
          <w:rFonts w:ascii="Times New Roman" w:hAnsi="Times New Roman"/>
          <w:spacing w:val="-2"/>
          <w:lang w:val="el-GR"/>
        </w:rPr>
        <w:t>Λόγω του ενδεχόμενου χορήγησης υψηλότερων δόσεων</w:t>
      </w:r>
      <w:r>
        <w:rPr>
          <w:rFonts w:ascii="Times New Roman" w:hAnsi="Times New Roman"/>
          <w:color w:val="FF00FF"/>
          <w:spacing w:val="-2"/>
          <w:lang w:val="el-GR"/>
        </w:rPr>
        <w:t xml:space="preserve"> </w:t>
      </w:r>
      <w:r>
        <w:rPr>
          <w:rFonts w:ascii="Times New Roman" w:hAnsi="Times New Roman"/>
          <w:spacing w:val="-2"/>
          <w:lang w:val="el-GR"/>
        </w:rPr>
        <w:t>χ</w:t>
      </w:r>
      <w:r w:rsidRPr="00F8543C">
        <w:rPr>
          <w:rFonts w:ascii="Times New Roman" w:hAnsi="Times New Roman"/>
          <w:spacing w:val="-2"/>
          <w:lang w:val="el-GR"/>
        </w:rPr>
        <w:t>ημειοθεραπείας (π.</w:t>
      </w:r>
      <w:r>
        <w:rPr>
          <w:rFonts w:ascii="Times New Roman" w:hAnsi="Times New Roman"/>
          <w:spacing w:val="-2"/>
          <w:lang w:val="el-GR"/>
        </w:rPr>
        <w:t>χ</w:t>
      </w:r>
      <w:r w:rsidRPr="00F8543C">
        <w:rPr>
          <w:rFonts w:ascii="Times New Roman" w:hAnsi="Times New Roman"/>
          <w:spacing w:val="-2"/>
          <w:lang w:val="el-GR"/>
        </w:rPr>
        <w:t xml:space="preserve">. οι πλήρεις δόσεις </w:t>
      </w:r>
      <w:r>
        <w:rPr>
          <w:rFonts w:ascii="Times New Roman" w:hAnsi="Times New Roman"/>
          <w:spacing w:val="-2"/>
          <w:lang w:val="el-GR"/>
        </w:rPr>
        <w:t>του εφαρμοζόμενου δοσολογικού σχ</w:t>
      </w:r>
      <w:r w:rsidRPr="00F8543C">
        <w:rPr>
          <w:rFonts w:ascii="Times New Roman" w:hAnsi="Times New Roman"/>
          <w:spacing w:val="-2"/>
          <w:lang w:val="el-GR"/>
        </w:rPr>
        <w:t xml:space="preserve">ήματος), ο ασθενής μπορεί να βρίσκεται σε υψηλότερο κίνδυνο θρομβοπενίας και αναιμίας.  Συνιστάται </w:t>
      </w:r>
      <w:r w:rsidRPr="0016132D">
        <w:rPr>
          <w:rFonts w:ascii="Times New Roman" w:hAnsi="Times New Roman"/>
          <w:spacing w:val="-2"/>
          <w:lang w:val="el-GR"/>
        </w:rPr>
        <w:t xml:space="preserve">τακτική παρακολούθηση </w:t>
      </w:r>
      <w:r w:rsidRPr="00F8543C">
        <w:rPr>
          <w:rFonts w:ascii="Times New Roman" w:hAnsi="Times New Roman"/>
          <w:spacing w:val="-2"/>
          <w:lang w:val="el-GR"/>
        </w:rPr>
        <w:t>του αριθμού των αιμοπεταλίων και του αιματοκρίτη.  Ιδιαίτερη προσο</w:t>
      </w:r>
      <w:r>
        <w:rPr>
          <w:rFonts w:ascii="Times New Roman" w:hAnsi="Times New Roman"/>
          <w:spacing w:val="-2"/>
          <w:lang w:val="el-GR"/>
        </w:rPr>
        <w:t>χ</w:t>
      </w:r>
      <w:r w:rsidRPr="00F8543C">
        <w:rPr>
          <w:rFonts w:ascii="Times New Roman" w:hAnsi="Times New Roman"/>
          <w:spacing w:val="-2"/>
          <w:lang w:val="el-GR"/>
        </w:rPr>
        <w:t xml:space="preserve">ή θα πρέπει να δίνεται όταν </w:t>
      </w:r>
      <w:r>
        <w:rPr>
          <w:rFonts w:ascii="Times New Roman" w:hAnsi="Times New Roman"/>
          <w:spacing w:val="-2"/>
          <w:lang w:val="el-GR"/>
        </w:rPr>
        <w:t>χ</w:t>
      </w:r>
      <w:r w:rsidRPr="00F8543C">
        <w:rPr>
          <w:rFonts w:ascii="Times New Roman" w:hAnsi="Times New Roman"/>
          <w:spacing w:val="-2"/>
          <w:lang w:val="el-GR"/>
        </w:rPr>
        <w:t xml:space="preserve">ορηγούνται μόνοι τους ή σε συνδυασμό </w:t>
      </w:r>
      <w:r>
        <w:rPr>
          <w:rFonts w:ascii="Times New Roman" w:hAnsi="Times New Roman"/>
          <w:spacing w:val="-2"/>
          <w:lang w:val="el-GR"/>
        </w:rPr>
        <w:t>χ</w:t>
      </w:r>
      <w:r w:rsidRPr="00F8543C">
        <w:rPr>
          <w:rFonts w:ascii="Times New Roman" w:hAnsi="Times New Roman"/>
          <w:spacing w:val="-2"/>
          <w:lang w:val="el-GR"/>
        </w:rPr>
        <w:t>ημειοθεραπευτικοί παράγοντες που είναι γνωστό ότι προκαλούν σοβαρή θρομβοπενία.</w:t>
      </w: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w:t>
      </w:r>
      <w:r>
        <w:rPr>
          <w:rFonts w:ascii="Times New Roman" w:hAnsi="Times New Roman"/>
          <w:spacing w:val="-2"/>
          <w:lang w:val="el-GR"/>
        </w:rPr>
        <w:t>χ</w:t>
      </w:r>
      <w:r w:rsidRPr="00F8543C">
        <w:rPr>
          <w:rFonts w:ascii="Times New Roman" w:hAnsi="Times New Roman"/>
          <w:spacing w:val="-2"/>
          <w:lang w:val="el-GR"/>
        </w:rPr>
        <w:t>ρησιμοποίηση των κινητοποιημένων λόγω του GRANULOKINE προγονικών κυττάρων του περιφερικού αίματος (PBPCs) έ</w:t>
      </w:r>
      <w:r>
        <w:rPr>
          <w:rFonts w:ascii="Times New Roman" w:hAnsi="Times New Roman"/>
          <w:spacing w:val="-2"/>
          <w:lang w:val="el-GR"/>
        </w:rPr>
        <w:t>χ</w:t>
      </w:r>
      <w:r w:rsidRPr="00F8543C">
        <w:rPr>
          <w:rFonts w:ascii="Times New Roman" w:hAnsi="Times New Roman"/>
          <w:spacing w:val="-2"/>
          <w:lang w:val="el-GR"/>
        </w:rPr>
        <w:t>ει αποδει</w:t>
      </w:r>
      <w:r>
        <w:rPr>
          <w:rFonts w:ascii="Times New Roman" w:hAnsi="Times New Roman"/>
          <w:spacing w:val="-2"/>
          <w:lang w:val="el-GR"/>
        </w:rPr>
        <w:t>χ</w:t>
      </w:r>
      <w:r w:rsidRPr="00F8543C">
        <w:rPr>
          <w:rFonts w:ascii="Times New Roman" w:hAnsi="Times New Roman"/>
          <w:spacing w:val="-2"/>
          <w:lang w:val="el-GR"/>
        </w:rPr>
        <w:t>θεί ότι μειώνει το βάθος και τη διάρκεια της θρομβοπενίας μετά από μυελοκατασταλτική ή μυελο</w:t>
      </w:r>
      <w:r>
        <w:rPr>
          <w:rFonts w:ascii="Times New Roman" w:hAnsi="Times New Roman"/>
          <w:spacing w:val="-2"/>
          <w:lang w:val="el-GR"/>
        </w:rPr>
        <w:t>εκκαθαριστική</w:t>
      </w:r>
      <w:r w:rsidRPr="00F8543C">
        <w:rPr>
          <w:rFonts w:ascii="Times New Roman" w:hAnsi="Times New Roman"/>
          <w:spacing w:val="-2"/>
          <w:lang w:val="el-GR"/>
        </w:rPr>
        <w:t xml:space="preserve"> </w:t>
      </w:r>
      <w:r>
        <w:rPr>
          <w:rFonts w:ascii="Times New Roman" w:hAnsi="Times New Roman"/>
          <w:spacing w:val="-2"/>
          <w:lang w:val="el-GR"/>
        </w:rPr>
        <w:t>χ</w:t>
      </w:r>
      <w:r w:rsidRPr="00F8543C">
        <w:rPr>
          <w:rFonts w:ascii="Times New Roman" w:hAnsi="Times New Roman"/>
          <w:spacing w:val="-2"/>
          <w:lang w:val="el-GR"/>
        </w:rPr>
        <w:t>ημειοθεραπεία.</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126AB" w:rsidRPr="00735950"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735950">
        <w:rPr>
          <w:rFonts w:ascii="Times New Roman" w:hAnsi="Times New Roman"/>
          <w:i/>
          <w:spacing w:val="-2"/>
          <w:lang w:val="el-GR"/>
        </w:rPr>
        <w:t>Άλλες Ειδικές Προφυλάξεις</w:t>
      </w: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i/>
          <w:spacing w:val="-2"/>
          <w:lang w:val="el-GR"/>
        </w:rPr>
      </w:pPr>
    </w:p>
    <w:p w:rsidR="00E126AB" w:rsidRPr="00F8543C"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Δεν έχ</w:t>
      </w:r>
      <w:r w:rsidRPr="00F8543C">
        <w:rPr>
          <w:rFonts w:ascii="Times New Roman" w:hAnsi="Times New Roman"/>
          <w:spacing w:val="-2"/>
          <w:lang w:val="el-GR"/>
        </w:rPr>
        <w:t xml:space="preserve">ουν μελετηθεί οι </w:t>
      </w:r>
      <w:r w:rsidRPr="003E58F0">
        <w:rPr>
          <w:rFonts w:ascii="Times New Roman" w:hAnsi="Times New Roman"/>
          <w:spacing w:val="-2"/>
          <w:lang w:val="el-GR"/>
        </w:rPr>
        <w:t>επιδράσεις</w:t>
      </w:r>
      <w:r w:rsidRPr="00F8543C">
        <w:rPr>
          <w:rFonts w:ascii="Times New Roman" w:hAnsi="Times New Roman"/>
          <w:spacing w:val="-2"/>
          <w:lang w:val="el-GR"/>
        </w:rPr>
        <w:t xml:space="preserve"> του GRANULOKINE σε ασθενείς με σημαντικά </w:t>
      </w:r>
      <w:r w:rsidRPr="00904F03">
        <w:rPr>
          <w:rFonts w:ascii="Times New Roman" w:hAnsi="Times New Roman"/>
          <w:spacing w:val="-2"/>
          <w:lang w:val="el-GR"/>
        </w:rPr>
        <w:t>μειωμένα προγονικά κύτταρα μυελικής σειράς. Το GRANULOKINE ενεργεί κυρίως επί των προδρόμων των</w:t>
      </w:r>
      <w:r w:rsidRPr="00F8543C">
        <w:rPr>
          <w:rFonts w:ascii="Times New Roman" w:hAnsi="Times New Roman"/>
          <w:spacing w:val="-2"/>
          <w:lang w:val="el-GR"/>
        </w:rPr>
        <w:t xml:space="preserve"> ουδετερόφιλων ασκώντας την ενέργειά του στο να αυξήσει τον αριθμό των ουδετερόφιλων.  Επομένως, σε ασθενείς που έ</w:t>
      </w:r>
      <w:r>
        <w:rPr>
          <w:rFonts w:ascii="Times New Roman" w:hAnsi="Times New Roman"/>
          <w:spacing w:val="-2"/>
          <w:lang w:val="el-GR"/>
        </w:rPr>
        <w:t>χ</w:t>
      </w:r>
      <w:r w:rsidRPr="00F8543C">
        <w:rPr>
          <w:rFonts w:ascii="Times New Roman" w:hAnsi="Times New Roman"/>
          <w:spacing w:val="-2"/>
          <w:lang w:val="el-GR"/>
        </w:rPr>
        <w:t>ουν μειωμένο αριθμό προδρόμων ουδετερόφιλων, η ανταπόκριση μπορεί να είναι ελαττωμένη (όπως είναι η περίπτωση αυτών που έ</w:t>
      </w:r>
      <w:r>
        <w:rPr>
          <w:rFonts w:ascii="Times New Roman" w:hAnsi="Times New Roman"/>
          <w:spacing w:val="-2"/>
          <w:lang w:val="el-GR"/>
        </w:rPr>
        <w:t>χ</w:t>
      </w:r>
      <w:r w:rsidRPr="00F8543C">
        <w:rPr>
          <w:rFonts w:ascii="Times New Roman" w:hAnsi="Times New Roman"/>
          <w:spacing w:val="-2"/>
          <w:lang w:val="el-GR"/>
        </w:rPr>
        <w:t xml:space="preserve">ουν κάνει παρατεταμένη ακτινοθεραπεία ή </w:t>
      </w:r>
      <w:r>
        <w:rPr>
          <w:rFonts w:ascii="Times New Roman" w:hAnsi="Times New Roman"/>
          <w:spacing w:val="-2"/>
          <w:lang w:val="el-GR"/>
        </w:rPr>
        <w:t>χ</w:t>
      </w:r>
      <w:r w:rsidRPr="00F8543C">
        <w:rPr>
          <w:rFonts w:ascii="Times New Roman" w:hAnsi="Times New Roman"/>
          <w:spacing w:val="-2"/>
          <w:lang w:val="el-GR"/>
        </w:rPr>
        <w:t>ημειοθεραπεία ή αυτών με διήθηση του μυελού των οστών από τον όγκο).</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87190" w:rsidRDefault="00087190" w:rsidP="00087190">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Οι αγγειακές διαταραχές, συμπεριλαμβανομένης </w:t>
      </w:r>
      <w:r w:rsidR="0069011A">
        <w:rPr>
          <w:rFonts w:ascii="Times New Roman" w:hAnsi="Times New Roman"/>
          <w:spacing w:val="-2"/>
          <w:lang w:val="el-GR"/>
        </w:rPr>
        <w:t xml:space="preserve">της </w:t>
      </w:r>
      <w:r>
        <w:rPr>
          <w:rFonts w:ascii="Times New Roman" w:hAnsi="Times New Roman"/>
          <w:spacing w:val="-2"/>
          <w:lang w:val="el-GR"/>
        </w:rPr>
        <w:t>φλεβο-αποφρακτική</w:t>
      </w:r>
      <w:r w:rsidR="0069011A">
        <w:rPr>
          <w:rFonts w:ascii="Times New Roman" w:hAnsi="Times New Roman"/>
          <w:spacing w:val="-2"/>
          <w:lang w:val="el-GR"/>
        </w:rPr>
        <w:t>ς</w:t>
      </w:r>
      <w:r>
        <w:rPr>
          <w:rFonts w:ascii="Times New Roman" w:hAnsi="Times New Roman"/>
          <w:spacing w:val="-2"/>
          <w:lang w:val="el-GR"/>
        </w:rPr>
        <w:t xml:space="preserve"> νόσο</w:t>
      </w:r>
      <w:r w:rsidR="0069011A">
        <w:rPr>
          <w:rFonts w:ascii="Times New Roman" w:hAnsi="Times New Roman"/>
          <w:spacing w:val="-2"/>
          <w:lang w:val="el-GR"/>
        </w:rPr>
        <w:t>υ</w:t>
      </w:r>
      <w:r>
        <w:rPr>
          <w:rFonts w:ascii="Times New Roman" w:hAnsi="Times New Roman"/>
          <w:spacing w:val="-2"/>
          <w:lang w:val="el-GR"/>
        </w:rPr>
        <w:t xml:space="preserve"> και διαταραχές του όγκου</w:t>
      </w:r>
      <w:r w:rsidR="00667B6A">
        <w:rPr>
          <w:rFonts w:ascii="Times New Roman" w:hAnsi="Times New Roman"/>
          <w:spacing w:val="-2"/>
          <w:lang w:val="el-GR"/>
        </w:rPr>
        <w:t xml:space="preserve"> υγρών</w:t>
      </w:r>
      <w:r>
        <w:rPr>
          <w:rFonts w:ascii="Times New Roman" w:hAnsi="Times New Roman"/>
          <w:spacing w:val="-2"/>
          <w:lang w:val="el-GR"/>
        </w:rPr>
        <w:t xml:space="preserve"> έχουν αναφερθεί περιστασιακά σε ασθενείς που υποβάλλονται σε χημειοθεραπεία υψηλών δόσεων ακολουθούμενη από μεταμόσχευση. </w:t>
      </w:r>
    </w:p>
    <w:p w:rsidR="00087190" w:rsidRPr="00260A49" w:rsidRDefault="00087190"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126AB" w:rsidRPr="00F80D42" w:rsidRDefault="00E126AB" w:rsidP="00E126A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zCs w:val="22"/>
          <w:lang w:val="el-GR"/>
        </w:rPr>
      </w:pPr>
      <w:r w:rsidRPr="00F80D42">
        <w:rPr>
          <w:rFonts w:ascii="Times New Roman" w:hAnsi="Times New Roman"/>
          <w:spacing w:val="-2"/>
          <w:lang w:val="el-GR"/>
        </w:rPr>
        <w:t>Έχουν υπάρξει αναφορές Αντίδρασης Μοσχεύματος έναντι Ξενιστή (</w:t>
      </w:r>
      <w:r w:rsidRPr="00F80D42">
        <w:rPr>
          <w:rFonts w:ascii="Times New Roman" w:hAnsi="Times New Roman"/>
          <w:szCs w:val="22"/>
        </w:rPr>
        <w:t>GvHD</w:t>
      </w:r>
      <w:r w:rsidRPr="00F80D42">
        <w:rPr>
          <w:rFonts w:ascii="Times New Roman" w:hAnsi="Times New Roman"/>
          <w:szCs w:val="22"/>
          <w:lang w:val="el-GR"/>
        </w:rPr>
        <w:t xml:space="preserve">) και θανάτων σε ασθενείς που έλαβαν </w:t>
      </w:r>
      <w:r w:rsidRPr="00F80D42">
        <w:rPr>
          <w:rFonts w:ascii="Times New Roman" w:hAnsi="Times New Roman"/>
          <w:szCs w:val="22"/>
        </w:rPr>
        <w:t>G</w:t>
      </w:r>
      <w:r w:rsidRPr="00F80D42">
        <w:rPr>
          <w:rFonts w:ascii="Times New Roman" w:hAnsi="Times New Roman"/>
          <w:szCs w:val="22"/>
          <w:lang w:val="el-GR"/>
        </w:rPr>
        <w:t>-</w:t>
      </w:r>
      <w:r w:rsidRPr="00F80D42">
        <w:rPr>
          <w:rFonts w:ascii="Times New Roman" w:hAnsi="Times New Roman"/>
          <w:szCs w:val="22"/>
        </w:rPr>
        <w:t>CSF</w:t>
      </w:r>
      <w:r w:rsidRPr="00F80D42">
        <w:rPr>
          <w:rFonts w:ascii="Times New Roman" w:hAnsi="Times New Roman"/>
          <w:szCs w:val="22"/>
          <w:lang w:val="el-GR"/>
        </w:rPr>
        <w:t xml:space="preserve"> μετά από αλλογενή μεταμόσχευση μυελού των οστών (βλ. παράγραφο </w:t>
      </w:r>
      <w:r w:rsidR="00087190">
        <w:rPr>
          <w:rFonts w:ascii="Times New Roman" w:hAnsi="Times New Roman"/>
          <w:szCs w:val="22"/>
          <w:lang w:val="el-GR"/>
        </w:rPr>
        <w:t xml:space="preserve">4.8 και </w:t>
      </w:r>
      <w:r w:rsidR="00087190" w:rsidRPr="00A16CBB">
        <w:rPr>
          <w:rFonts w:ascii="Times New Roman" w:hAnsi="Times New Roman"/>
          <w:szCs w:val="22"/>
          <w:lang w:val="el-GR"/>
        </w:rPr>
        <w:t xml:space="preserve"> </w:t>
      </w:r>
      <w:r w:rsidRPr="00F80D42">
        <w:rPr>
          <w:rFonts w:ascii="Times New Roman" w:hAnsi="Times New Roman"/>
          <w:szCs w:val="22"/>
          <w:lang w:val="el-GR"/>
        </w:rPr>
        <w:t>5.1).</w:t>
      </w:r>
    </w:p>
    <w:p w:rsidR="00E126AB" w:rsidRPr="00CC36B4" w:rsidRDefault="00E126AB" w:rsidP="00E126AB">
      <w:pPr>
        <w:pStyle w:val="22"/>
      </w:pPr>
    </w:p>
    <w:p w:rsidR="00E126AB" w:rsidRPr="00F80D42" w:rsidRDefault="00E126AB" w:rsidP="00E126AB">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0D42">
        <w:rPr>
          <w:rFonts w:ascii="Times New Roman" w:hAnsi="Times New Roman"/>
          <w:spacing w:val="-2"/>
          <w:lang w:val="el-GR"/>
        </w:rPr>
        <w:t xml:space="preserve">Αυξημένη αιμοποιητική δραστηριότητα του μυελού του οστού σε απόκριση στη θεραπεία με αυξητικό παράγοντα έχει σχετιστεί με </w:t>
      </w:r>
      <w:r w:rsidR="00A82BA3" w:rsidRPr="008C2854">
        <w:rPr>
          <w:rFonts w:ascii="Times New Roman" w:hAnsi="Times New Roman"/>
          <w:spacing w:val="-2"/>
          <w:lang w:val="el-GR"/>
        </w:rPr>
        <w:t>παροδικ</w:t>
      </w:r>
      <w:r w:rsidR="00A82BA3">
        <w:rPr>
          <w:rFonts w:ascii="Times New Roman" w:hAnsi="Times New Roman"/>
          <w:spacing w:val="-2"/>
          <w:lang w:val="el-GR"/>
        </w:rPr>
        <w:t>ά παθολογικά σπινθηρογραφήματα οστών</w:t>
      </w:r>
      <w:r w:rsidRPr="00F80D42">
        <w:rPr>
          <w:rFonts w:ascii="Times New Roman" w:hAnsi="Times New Roman"/>
          <w:spacing w:val="-2"/>
          <w:szCs w:val="24"/>
          <w:lang w:val="el-GR"/>
        </w:rPr>
        <w:t xml:space="preserve">. </w:t>
      </w:r>
      <w:r w:rsidRPr="00F80D42">
        <w:rPr>
          <w:rFonts w:ascii="Times New Roman" w:hAnsi="Times New Roman"/>
          <w:spacing w:val="-2"/>
          <w:lang w:val="el-GR"/>
        </w:rPr>
        <w:t>Το γεγονός αυτό θα πρέπει να λαμβάνεται υπόψη όταν αξιολογούνται τα αποτελέσματα της απεικόνισης των οστών.</w:t>
      </w:r>
    </w:p>
    <w:p w:rsidR="00192416" w:rsidRPr="00192416" w:rsidRDefault="00192416" w:rsidP="00606B78">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color w:val="FF0000"/>
          <w:spacing w:val="-2"/>
          <w:u w:val="single"/>
          <w:lang w:val="el-GR"/>
        </w:rPr>
      </w:pPr>
    </w:p>
    <w:p w:rsidR="00E126AB" w:rsidRPr="00F80D42" w:rsidRDefault="00E126AB" w:rsidP="00E126AB">
      <w:pPr>
        <w:pStyle w:val="31"/>
        <w:ind w:left="0" w:firstLine="0"/>
        <w:rPr>
          <w:b w:val="0"/>
          <w:u w:val="single"/>
        </w:rPr>
      </w:pPr>
      <w:r w:rsidRPr="00735950">
        <w:rPr>
          <w:b w:val="0"/>
          <w:u w:val="single"/>
        </w:rPr>
        <w:t xml:space="preserve">Ειδικές προφυλάξεις σε ασθενείς που υποβάλλονται σε κινητοποίηση των προγονικών </w:t>
      </w:r>
      <w:r>
        <w:rPr>
          <w:b w:val="0"/>
          <w:u w:val="single"/>
        </w:rPr>
        <w:t>κ</w:t>
      </w:r>
      <w:r w:rsidRPr="00735950">
        <w:rPr>
          <w:b w:val="0"/>
          <w:u w:val="single"/>
        </w:rPr>
        <w:t xml:space="preserve">υττάρων του περιφερικού αίματος </w:t>
      </w:r>
      <w:r w:rsidRPr="00F80D42">
        <w:rPr>
          <w:b w:val="0"/>
          <w:u w:val="single"/>
        </w:rPr>
        <w:t>(</w:t>
      </w:r>
      <w:r w:rsidRPr="00F80D42">
        <w:rPr>
          <w:b w:val="0"/>
          <w:bCs/>
          <w:szCs w:val="22"/>
          <w:u w:val="single"/>
        </w:rPr>
        <w:t>PBPC)</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E126AB" w:rsidRPr="00735950" w:rsidRDefault="00E126AB" w:rsidP="00E126AB">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735950">
        <w:rPr>
          <w:rFonts w:ascii="Times New Roman" w:hAnsi="Times New Roman"/>
          <w:i/>
          <w:spacing w:val="-2"/>
          <w:lang w:val="el-GR"/>
        </w:rPr>
        <w:t>Κινητοποίηση</w:t>
      </w:r>
    </w:p>
    <w:p w:rsidR="00E126AB" w:rsidRPr="00F8543C" w:rsidRDefault="00E126AB" w:rsidP="00E126AB">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i/>
          <w:spacing w:val="-2"/>
          <w:lang w:val="el-GR"/>
        </w:rPr>
      </w:pPr>
    </w:p>
    <w:p w:rsidR="00E126AB" w:rsidRPr="00F8543C" w:rsidRDefault="00E126AB" w:rsidP="00E126AB">
      <w:pPr>
        <w:pStyle w:val="22"/>
      </w:pPr>
      <w:r>
        <w:t>Δεν υπάρχ</w:t>
      </w:r>
      <w:r w:rsidRPr="00F8543C">
        <w:t xml:space="preserve">ουν </w:t>
      </w:r>
      <w:r w:rsidR="009C7076">
        <w:t>προοπτικά</w:t>
      </w:r>
      <w:r w:rsidR="009C7076" w:rsidRPr="00F8543C">
        <w:t xml:space="preserve"> </w:t>
      </w:r>
      <w:r w:rsidRPr="00F8543C">
        <w:t>τυ</w:t>
      </w:r>
      <w:r>
        <w:t>χ</w:t>
      </w:r>
      <w:r w:rsidRPr="00F8543C">
        <w:t xml:space="preserve">αιοποιημένες συγκρίσεις μεταξύ των δύο συνιστώμενων μεθόδων κινητοποίησης (μονοθεραπεία </w:t>
      </w:r>
      <w:r w:rsidRPr="00F8543C">
        <w:rPr>
          <w:lang w:val="en-US"/>
        </w:rPr>
        <w:t>GRANULOKINE</w:t>
      </w:r>
      <w:r w:rsidRPr="00F8543C">
        <w:t xml:space="preserve">, ή σε συνδυασμό με μυελοκατασταλτική </w:t>
      </w:r>
      <w:r>
        <w:t>χ</w:t>
      </w:r>
      <w:r w:rsidRPr="00F8543C">
        <w:t>ημειοθεραπεία) μέσα στον ίδιο πληθυσμό ασθενών.</w:t>
      </w:r>
      <w:r>
        <w:t xml:space="preserve"> </w:t>
      </w:r>
      <w:r w:rsidRPr="00F8543C">
        <w:t xml:space="preserve">Ο βαθμός διαφοροποίησης μεταξύ των </w:t>
      </w:r>
      <w:r w:rsidR="002708F6" w:rsidRPr="00A42C8C">
        <w:t>μεμονωμένων</w:t>
      </w:r>
      <w:r w:rsidR="002708F6" w:rsidRPr="00F8543C">
        <w:t xml:space="preserve"> </w:t>
      </w:r>
      <w:r w:rsidRPr="00F8543C">
        <w:t>ασθενών και μεταξύ των εργαστηριακών προσδιορισμών των CD34+ κυττάρων δηλώνει ότι είναι δύσκολη η άμεση σύγκριση μεταξύ διαφορετικών μελετών. Είναι επομένως δύσκολο να συστηθεί μια βέλτιστη μέθοδος.</w:t>
      </w:r>
      <w:r>
        <w:t xml:space="preserve"> </w:t>
      </w:r>
      <w:r w:rsidRPr="00F8543C">
        <w:t>Η επιλογή της μεθόδου κινητοποίησης θα πρέπει να γίνεται με βάση τους γενικούς στό</w:t>
      </w:r>
      <w:r>
        <w:t>χ</w:t>
      </w:r>
      <w:r w:rsidRPr="00F8543C">
        <w:t>ους της θεραπείας για κάθε ασθενή.</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i/>
          <w:spacing w:val="-2"/>
          <w:lang w:val="el-GR"/>
        </w:rPr>
      </w:pPr>
    </w:p>
    <w:p w:rsidR="00B82591" w:rsidRPr="007F7D75" w:rsidRDefault="00B82591" w:rsidP="00B82591">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371"/>
          <w:tab w:val="left" w:pos="7789"/>
          <w:tab w:val="left" w:pos="8509"/>
          <w:tab w:val="left" w:pos="9229"/>
          <w:tab w:val="left" w:pos="9949"/>
          <w:tab w:val="left" w:pos="10669"/>
        </w:tabs>
        <w:suppressAutoHyphens/>
        <w:ind w:left="1309" w:hanging="1309"/>
        <w:jc w:val="both"/>
        <w:rPr>
          <w:rFonts w:ascii="Times New Roman" w:hAnsi="Times New Roman"/>
          <w:i/>
          <w:spacing w:val="-2"/>
          <w:lang w:val="el-GR"/>
        </w:rPr>
      </w:pPr>
      <w:r w:rsidRPr="007F7D75">
        <w:rPr>
          <w:rFonts w:ascii="Times New Roman" w:hAnsi="Times New Roman"/>
          <w:i/>
          <w:spacing w:val="-2"/>
          <w:lang w:val="el-GR"/>
        </w:rPr>
        <w:t xml:space="preserve">Προηγούμενη </w:t>
      </w:r>
      <w:r>
        <w:rPr>
          <w:rFonts w:ascii="Times New Roman" w:hAnsi="Times New Roman"/>
          <w:i/>
          <w:spacing w:val="-2"/>
          <w:lang w:val="el-GR"/>
        </w:rPr>
        <w:t>έ</w:t>
      </w:r>
      <w:r w:rsidRPr="007F7D75">
        <w:rPr>
          <w:rFonts w:ascii="Times New Roman" w:hAnsi="Times New Roman"/>
          <w:i/>
          <w:spacing w:val="-2"/>
          <w:lang w:val="el-GR"/>
        </w:rPr>
        <w:t xml:space="preserve">κθεση σε </w:t>
      </w:r>
      <w:r>
        <w:rPr>
          <w:rFonts w:ascii="Times New Roman" w:hAnsi="Times New Roman"/>
          <w:i/>
          <w:spacing w:val="-2"/>
          <w:lang w:val="el-GR"/>
        </w:rPr>
        <w:t>κυτταροτοξικούς π</w:t>
      </w:r>
      <w:r w:rsidRPr="007F7D75">
        <w:rPr>
          <w:rFonts w:ascii="Times New Roman" w:hAnsi="Times New Roman"/>
          <w:i/>
          <w:spacing w:val="-2"/>
          <w:lang w:val="el-GR"/>
        </w:rPr>
        <w:t>αράγοντες</w:t>
      </w:r>
    </w:p>
    <w:p w:rsidR="00B82591" w:rsidRPr="00F8543C" w:rsidRDefault="00B82591" w:rsidP="00B82591">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B82591" w:rsidRPr="00F8543C" w:rsidRDefault="00B82591" w:rsidP="00B82591">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Ασθενείς οι οποίοι έ</w:t>
      </w:r>
      <w:r>
        <w:rPr>
          <w:rFonts w:ascii="Times New Roman" w:hAnsi="Times New Roman"/>
          <w:spacing w:val="-2"/>
          <w:lang w:val="el-GR"/>
        </w:rPr>
        <w:t>χ</w:t>
      </w:r>
      <w:r w:rsidRPr="00F8543C">
        <w:rPr>
          <w:rFonts w:ascii="Times New Roman" w:hAnsi="Times New Roman"/>
          <w:spacing w:val="-2"/>
          <w:lang w:val="el-GR"/>
        </w:rPr>
        <w:t xml:space="preserve">ουν </w:t>
      </w:r>
      <w:r w:rsidRPr="00F80D42">
        <w:rPr>
          <w:rFonts w:ascii="Times New Roman" w:hAnsi="Times New Roman"/>
          <w:spacing w:val="-2"/>
          <w:lang w:val="el-GR"/>
        </w:rPr>
        <w:t xml:space="preserve">υποβληθεί σε </w:t>
      </w:r>
      <w:r w:rsidRPr="00F8543C">
        <w:rPr>
          <w:rFonts w:ascii="Times New Roman" w:hAnsi="Times New Roman"/>
          <w:spacing w:val="-2"/>
          <w:lang w:val="el-GR"/>
        </w:rPr>
        <w:t>πολύ εκτεταμένη προηγούμενη μυελοκατασταλτική θεραπεία είναι δυνατόν να μην παρουσιάσουν επαρκή κινητοποίηση των προγονικών κυττάρων του περιφερικού αίματος ώστε να επιτευ</w:t>
      </w:r>
      <w:r>
        <w:rPr>
          <w:rFonts w:ascii="Times New Roman" w:hAnsi="Times New Roman"/>
          <w:spacing w:val="-2"/>
          <w:lang w:val="el-GR"/>
        </w:rPr>
        <w:t>χ</w:t>
      </w:r>
      <w:r w:rsidRPr="00F8543C">
        <w:rPr>
          <w:rFonts w:ascii="Times New Roman" w:hAnsi="Times New Roman"/>
          <w:spacing w:val="-2"/>
          <w:lang w:val="el-GR"/>
        </w:rPr>
        <w:t>θεί η ελά</w:t>
      </w:r>
      <w:r>
        <w:rPr>
          <w:rFonts w:ascii="Times New Roman" w:hAnsi="Times New Roman"/>
          <w:spacing w:val="-2"/>
          <w:lang w:val="el-GR"/>
        </w:rPr>
        <w:t>χ</w:t>
      </w:r>
      <w:r w:rsidRPr="00F8543C">
        <w:rPr>
          <w:rFonts w:ascii="Times New Roman" w:hAnsi="Times New Roman"/>
          <w:spacing w:val="-2"/>
          <w:lang w:val="el-GR"/>
        </w:rPr>
        <w:t>ιστη συνιστώμενη απόδοση (</w:t>
      </w:r>
      <w:r w:rsidRPr="00F8543C">
        <w:rPr>
          <w:rFonts w:ascii="Times New Roman" w:hAnsi="Times New Roman"/>
          <w:spacing w:val="-2"/>
          <w:lang w:val="el-GR"/>
        </w:rPr>
        <w:sym w:font="Symbol" w:char="F0B3"/>
      </w:r>
      <w:r w:rsidRPr="00F8543C">
        <w:rPr>
          <w:rFonts w:ascii="Times New Roman" w:hAnsi="Times New Roman"/>
          <w:spacing w:val="-2"/>
          <w:lang w:val="el-GR"/>
        </w:rPr>
        <w:t xml:space="preserve"> 2,0 x 10</w:t>
      </w:r>
      <w:r w:rsidRPr="00F8543C">
        <w:rPr>
          <w:rFonts w:ascii="Times New Roman" w:hAnsi="Times New Roman"/>
          <w:spacing w:val="-2"/>
          <w:vertAlign w:val="superscript"/>
          <w:lang w:val="el-GR"/>
        </w:rPr>
        <w:t xml:space="preserve">6 </w:t>
      </w:r>
      <w:r w:rsidRPr="00F8543C">
        <w:rPr>
          <w:rFonts w:ascii="Times New Roman" w:hAnsi="Times New Roman"/>
          <w:spacing w:val="-2"/>
          <w:lang w:val="el-GR"/>
        </w:rPr>
        <w:t>CD34+ κύτταρα/kg) ή επιτά</w:t>
      </w:r>
      <w:r>
        <w:rPr>
          <w:rFonts w:ascii="Times New Roman" w:hAnsi="Times New Roman"/>
          <w:spacing w:val="-2"/>
          <w:lang w:val="el-GR"/>
        </w:rPr>
        <w:t>χ</w:t>
      </w:r>
      <w:r w:rsidRPr="00F8543C">
        <w:rPr>
          <w:rFonts w:ascii="Times New Roman" w:hAnsi="Times New Roman"/>
          <w:spacing w:val="-2"/>
          <w:lang w:val="el-GR"/>
        </w:rPr>
        <w:t>υνση της ανάνηψης των αιμοπεταλίων, στον ίδιο βαθμό.</w:t>
      </w:r>
    </w:p>
    <w:p w:rsidR="00B82591" w:rsidRPr="00F8543C" w:rsidRDefault="00B82591" w:rsidP="00B82591">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B82591" w:rsidRPr="00F8543C" w:rsidRDefault="00B82591" w:rsidP="00B82591">
      <w:pPr>
        <w:pStyle w:val="22"/>
        <w:tabs>
          <w:tab w:val="left" w:pos="8789"/>
        </w:tabs>
      </w:pPr>
      <w:r w:rsidRPr="00F8543C">
        <w:t xml:space="preserve">Μερικοί κυτταροτοξικοί παράγοντες προκαλούν παρόμοια τοξικότητα </w:t>
      </w:r>
      <w:r w:rsidRPr="00CC630C">
        <w:t>στα αιμοποιητικά προγονικά κύτταρα</w:t>
      </w:r>
      <w:r w:rsidRPr="00F8543C">
        <w:t xml:space="preserve"> και μπορεί να επηρεάσουν δυσμενώς την προγονική κινητοποίηση. Παράγοντες όπως η μελφαλάνη,</w:t>
      </w:r>
      <w:r>
        <w:t xml:space="preserve"> </w:t>
      </w:r>
      <w:r w:rsidRPr="00F80D42">
        <w:t>η</w:t>
      </w:r>
      <w:r w:rsidRPr="00F8543C">
        <w:t xml:space="preserve"> καρμουστίνη (BCNU) και </w:t>
      </w:r>
      <w:r w:rsidRPr="00F80D42">
        <w:t>η</w:t>
      </w:r>
      <w:r w:rsidRPr="00F8543C">
        <w:t xml:space="preserve"> καρβοπλατίνη, όταν </w:t>
      </w:r>
      <w:r>
        <w:t>χ</w:t>
      </w:r>
      <w:r w:rsidRPr="00F8543C">
        <w:t xml:space="preserve">ορηγούνται για μεγάλα διαστήματα πριν από τις απόπειρες για προγονική κινητοποίηση, μπορεί να μειώσουν την απόδοση των προγονικών κυττάρων.  Όμως, η </w:t>
      </w:r>
      <w:r>
        <w:t>χ</w:t>
      </w:r>
      <w:r w:rsidRPr="00F8543C">
        <w:t>ορήγηση της μελφαλάνης, καρβοπλατίνης ή BCNU μαζί με GRANULOKINE, έ</w:t>
      </w:r>
      <w:r>
        <w:t>χ</w:t>
      </w:r>
      <w:r w:rsidRPr="00F8543C">
        <w:t>ει αποδει</w:t>
      </w:r>
      <w:r>
        <w:t>χ</w:t>
      </w:r>
      <w:r w:rsidRPr="00F8543C">
        <w:t xml:space="preserve">θεί αποτελεσματική για την κινητοποίηση των προγονικών κυττάρων.  Όταν προβλέπεται </w:t>
      </w:r>
      <w:r w:rsidRPr="00F8543C">
        <w:lastRenderedPageBreak/>
        <w:t>μεταμόσ</w:t>
      </w:r>
      <w:r>
        <w:t>χ</w:t>
      </w:r>
      <w:r w:rsidRPr="00F8543C">
        <w:t xml:space="preserve">ευση </w:t>
      </w:r>
      <w:r w:rsidR="00667B6A">
        <w:rPr>
          <w:lang w:val="en-US"/>
        </w:rPr>
        <w:t>PBRC</w:t>
      </w:r>
      <w:r>
        <w:t>,</w:t>
      </w:r>
      <w:r w:rsidRPr="00F8543C">
        <w:t xml:space="preserve"> συνιστάται να προγραμματίζεται η διαδικασία κινητοποίησης των </w:t>
      </w:r>
      <w:r w:rsidRPr="00F80D42">
        <w:t xml:space="preserve">προγονικών </w:t>
      </w:r>
      <w:r w:rsidRPr="00F8543C">
        <w:t>κυττάρων στα αρ</w:t>
      </w:r>
      <w:r>
        <w:t>χ</w:t>
      </w:r>
      <w:r w:rsidRPr="00F8543C">
        <w:t xml:space="preserve">ικά στάδια </w:t>
      </w:r>
      <w:r>
        <w:t xml:space="preserve">του κύκλου αγωγής του ασθενούς. </w:t>
      </w:r>
      <w:r w:rsidRPr="00F8543C">
        <w:t>Ιδιαίτερη προσο</w:t>
      </w:r>
      <w:r>
        <w:t>χ</w:t>
      </w:r>
      <w:r w:rsidRPr="00F8543C">
        <w:t xml:space="preserve">ή θα πρέπει να δίνεται στον αριθμό των προγονικών κυττάρων που κινητοποιούνται σε τέτοιους ασθενείς πριν τη </w:t>
      </w:r>
      <w:r>
        <w:t>χ</w:t>
      </w:r>
      <w:r w:rsidRPr="00F8543C">
        <w:t xml:space="preserve">ορήγηση υψηλών δόσεων </w:t>
      </w:r>
      <w:r>
        <w:t>χ</w:t>
      </w:r>
      <w:r w:rsidRPr="00F8543C">
        <w:t>ημειοθεραπείας. Εάν οι αποδόσεις είναι ανεπαρκείς, όπως υπολογίζονται σύμφωνα με τα παραπάνω κριτήρια, θα πρέπει να εξετασθούν εναλλακτικές μέθοδοι θεραπείας, οι οποίες δεν απαιτούν προγονική υποστήριξη.</w:t>
      </w:r>
    </w:p>
    <w:p w:rsidR="00B82591" w:rsidRPr="00F8543C" w:rsidRDefault="00B82591" w:rsidP="00B82591">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B82591" w:rsidRPr="004E0C08" w:rsidRDefault="00B82591" w:rsidP="00B82591">
      <w:pPr>
        <w:pStyle w:val="3"/>
        <w:tabs>
          <w:tab w:val="clear" w:pos="0"/>
          <w:tab w:val="left" w:pos="589"/>
        </w:tabs>
        <w:rPr>
          <w:b w:val="0"/>
        </w:rPr>
      </w:pPr>
      <w:r w:rsidRPr="004E0C08">
        <w:rPr>
          <w:b w:val="0"/>
        </w:rPr>
        <w:t xml:space="preserve">Αξιολόγηση της </w:t>
      </w:r>
      <w:r>
        <w:rPr>
          <w:b w:val="0"/>
        </w:rPr>
        <w:t>α</w:t>
      </w:r>
      <w:r w:rsidRPr="004E0C08">
        <w:rPr>
          <w:b w:val="0"/>
        </w:rPr>
        <w:t xml:space="preserve">πόδοσης των </w:t>
      </w:r>
      <w:r>
        <w:rPr>
          <w:b w:val="0"/>
        </w:rPr>
        <w:t>π</w:t>
      </w:r>
      <w:r w:rsidRPr="004E0C08">
        <w:rPr>
          <w:b w:val="0"/>
        </w:rPr>
        <w:t xml:space="preserve">ρογονικών </w:t>
      </w:r>
      <w:r>
        <w:rPr>
          <w:b w:val="0"/>
        </w:rPr>
        <w:t>κ</w:t>
      </w:r>
      <w:r w:rsidRPr="004E0C08">
        <w:rPr>
          <w:b w:val="0"/>
        </w:rPr>
        <w:t>υττάρων</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B82591" w:rsidRPr="00F8543C" w:rsidRDefault="00046C03" w:rsidP="00B82591">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33"/>
        <w:jc w:val="both"/>
        <w:rPr>
          <w:rFonts w:ascii="Times New Roman" w:hAnsi="Times New Roman"/>
          <w:spacing w:val="-2"/>
          <w:lang w:val="el-GR"/>
        </w:rPr>
      </w:pPr>
      <w:r w:rsidRPr="00F8543C">
        <w:rPr>
          <w:rFonts w:ascii="Times New Roman" w:hAnsi="Times New Roman"/>
          <w:spacing w:val="-2"/>
          <w:lang w:val="el-GR"/>
        </w:rPr>
        <w:tab/>
      </w:r>
      <w:r w:rsidR="00B82591" w:rsidRPr="00F8543C">
        <w:rPr>
          <w:rFonts w:ascii="Times New Roman" w:hAnsi="Times New Roman"/>
          <w:spacing w:val="-2"/>
          <w:lang w:val="el-GR"/>
        </w:rPr>
        <w:t>Κατά την αξιολόγηση του αριθμού των προγονικών κυττάρων που συλλέγονται σε ασθενείς που ακολουθούν θεραπεία με GRANULOKINE, θα πρέπει να δίνεται ιδιαίτερη προσο</w:t>
      </w:r>
      <w:r w:rsidR="00B82591">
        <w:rPr>
          <w:rFonts w:ascii="Times New Roman" w:hAnsi="Times New Roman"/>
          <w:spacing w:val="-2"/>
          <w:lang w:val="el-GR"/>
        </w:rPr>
        <w:t>χ</w:t>
      </w:r>
      <w:r w:rsidR="00B82591" w:rsidRPr="00F8543C">
        <w:rPr>
          <w:rFonts w:ascii="Times New Roman" w:hAnsi="Times New Roman"/>
          <w:spacing w:val="-2"/>
          <w:lang w:val="el-GR"/>
        </w:rPr>
        <w:t>ή στη μ</w:t>
      </w:r>
      <w:r w:rsidR="00B82591">
        <w:rPr>
          <w:rFonts w:ascii="Times New Roman" w:hAnsi="Times New Roman"/>
          <w:spacing w:val="-2"/>
          <w:lang w:val="el-GR"/>
        </w:rPr>
        <w:t xml:space="preserve">έθοδο ποσοτικού προσδιορισμού. </w:t>
      </w:r>
      <w:r w:rsidR="00B82591" w:rsidRPr="00F8543C">
        <w:rPr>
          <w:rFonts w:ascii="Times New Roman" w:hAnsi="Times New Roman"/>
          <w:spacing w:val="-2"/>
          <w:lang w:val="el-GR"/>
        </w:rPr>
        <w:t xml:space="preserve">Τα αποτελέσματα της κυτταρομετρικής ανάλυσης του αριθμού των CD34+ κυττάρων εν ροή, ποικίλλουν ανάλογα με τη </w:t>
      </w:r>
      <w:r w:rsidR="00B82591">
        <w:rPr>
          <w:rFonts w:ascii="Times New Roman" w:hAnsi="Times New Roman"/>
          <w:spacing w:val="-2"/>
          <w:lang w:val="el-GR"/>
        </w:rPr>
        <w:t>χ</w:t>
      </w:r>
      <w:r w:rsidR="00B82591" w:rsidRPr="00F8543C">
        <w:rPr>
          <w:rFonts w:ascii="Times New Roman" w:hAnsi="Times New Roman"/>
          <w:spacing w:val="-2"/>
          <w:lang w:val="el-GR"/>
        </w:rPr>
        <w:t>ρησιμοποιούμενη ακριβή μεθοδολογία και οι υποδείξεις αριθμών σύμφωνα με μελέτες άλλων εργαστηρίων θα πρέπει να ερμηνεύονται με προσο</w:t>
      </w:r>
      <w:r w:rsidR="00B82591">
        <w:rPr>
          <w:rFonts w:ascii="Times New Roman" w:hAnsi="Times New Roman"/>
          <w:spacing w:val="-2"/>
          <w:lang w:val="el-GR"/>
        </w:rPr>
        <w:t>χ</w:t>
      </w:r>
      <w:r w:rsidR="00B82591" w:rsidRPr="00F8543C">
        <w:rPr>
          <w:rFonts w:ascii="Times New Roman" w:hAnsi="Times New Roman"/>
          <w:spacing w:val="-2"/>
          <w:lang w:val="el-GR"/>
        </w:rPr>
        <w:t>ή.</w:t>
      </w:r>
    </w:p>
    <w:p w:rsidR="00B82591" w:rsidRPr="00F8543C" w:rsidRDefault="00B82591" w:rsidP="00B82591">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33"/>
        <w:jc w:val="both"/>
        <w:rPr>
          <w:rFonts w:ascii="Times New Roman" w:hAnsi="Times New Roman"/>
          <w:spacing w:val="-2"/>
          <w:lang w:val="el-GR"/>
        </w:rPr>
      </w:pPr>
    </w:p>
    <w:p w:rsidR="00B82591" w:rsidRPr="00F8543C" w:rsidRDefault="00B82591" w:rsidP="00B82591">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33"/>
        <w:jc w:val="both"/>
        <w:rPr>
          <w:rFonts w:ascii="Times New Roman" w:hAnsi="Times New Roman"/>
          <w:spacing w:val="-2"/>
          <w:lang w:val="el-GR"/>
        </w:rPr>
      </w:pPr>
      <w:r w:rsidRPr="00F8543C">
        <w:rPr>
          <w:rFonts w:ascii="Times New Roman" w:hAnsi="Times New Roman"/>
          <w:spacing w:val="-2"/>
          <w:lang w:val="el-GR"/>
        </w:rPr>
        <w:tab/>
        <w:t>Στατιστική ανάλυση της σ</w:t>
      </w:r>
      <w:r>
        <w:rPr>
          <w:rFonts w:ascii="Times New Roman" w:hAnsi="Times New Roman"/>
          <w:spacing w:val="-2"/>
          <w:lang w:val="el-GR"/>
        </w:rPr>
        <w:t>χ</w:t>
      </w:r>
      <w:r w:rsidRPr="00F8543C">
        <w:rPr>
          <w:rFonts w:ascii="Times New Roman" w:hAnsi="Times New Roman"/>
          <w:spacing w:val="-2"/>
          <w:lang w:val="el-GR"/>
        </w:rPr>
        <w:t>έσης μεταξύ του α</w:t>
      </w:r>
      <w:r>
        <w:rPr>
          <w:rFonts w:ascii="Times New Roman" w:hAnsi="Times New Roman"/>
          <w:spacing w:val="-2"/>
          <w:lang w:val="el-GR"/>
        </w:rPr>
        <w:t>ριθμού των CD34+ κυττάρων που έχ</w:t>
      </w:r>
      <w:r w:rsidRPr="00F8543C">
        <w:rPr>
          <w:rFonts w:ascii="Times New Roman" w:hAnsi="Times New Roman"/>
          <w:spacing w:val="-2"/>
          <w:lang w:val="el-GR"/>
        </w:rPr>
        <w:t>ουν επανεγ</w:t>
      </w:r>
      <w:r>
        <w:rPr>
          <w:rFonts w:ascii="Times New Roman" w:hAnsi="Times New Roman"/>
          <w:spacing w:val="-2"/>
          <w:lang w:val="el-GR"/>
        </w:rPr>
        <w:t>χ</w:t>
      </w:r>
      <w:r w:rsidRPr="00F8543C">
        <w:rPr>
          <w:rFonts w:ascii="Times New Roman" w:hAnsi="Times New Roman"/>
          <w:spacing w:val="-2"/>
          <w:lang w:val="el-GR"/>
        </w:rPr>
        <w:t xml:space="preserve">υθεί και του ρυθμού ανάνηψης των αιμοπεταλίων μετά από </w:t>
      </w:r>
      <w:r>
        <w:rPr>
          <w:rFonts w:ascii="Times New Roman" w:hAnsi="Times New Roman"/>
          <w:spacing w:val="-2"/>
          <w:lang w:val="el-GR"/>
        </w:rPr>
        <w:t>χ</w:t>
      </w:r>
      <w:r w:rsidRPr="00F8543C">
        <w:rPr>
          <w:rFonts w:ascii="Times New Roman" w:hAnsi="Times New Roman"/>
          <w:spacing w:val="-2"/>
          <w:lang w:val="el-GR"/>
        </w:rPr>
        <w:t>ημειοθεραπεία υψηλών δόσεων, δηλώνει μια περίπλοκη αλλά συνε</w:t>
      </w:r>
      <w:r>
        <w:rPr>
          <w:rFonts w:ascii="Times New Roman" w:hAnsi="Times New Roman"/>
          <w:spacing w:val="-2"/>
          <w:lang w:val="el-GR"/>
        </w:rPr>
        <w:t>χή σχ</w:t>
      </w:r>
      <w:r w:rsidRPr="00F8543C">
        <w:rPr>
          <w:rFonts w:ascii="Times New Roman" w:hAnsi="Times New Roman"/>
          <w:spacing w:val="-2"/>
          <w:lang w:val="el-GR"/>
        </w:rPr>
        <w:t xml:space="preserve">έση.  </w:t>
      </w:r>
    </w:p>
    <w:p w:rsidR="00B82591" w:rsidRPr="00F8543C" w:rsidRDefault="00B82591" w:rsidP="00B82591">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33"/>
        <w:jc w:val="both"/>
        <w:rPr>
          <w:rFonts w:ascii="Times New Roman" w:hAnsi="Times New Roman"/>
          <w:spacing w:val="-2"/>
          <w:lang w:val="el-GR"/>
        </w:rPr>
      </w:pPr>
    </w:p>
    <w:p w:rsidR="00046C03" w:rsidRPr="00F8543C" w:rsidRDefault="00B82591">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σύσταση για ελάχιστη απόδοση </w:t>
      </w:r>
      <w:r w:rsidRPr="00F8543C">
        <w:rPr>
          <w:rFonts w:ascii="Times New Roman" w:hAnsi="Times New Roman"/>
          <w:spacing w:val="-2"/>
          <w:u w:val="single"/>
          <w:lang w:val="el-GR"/>
        </w:rPr>
        <w:t>&gt;</w:t>
      </w:r>
      <w:r w:rsidRPr="00F8543C">
        <w:rPr>
          <w:rFonts w:ascii="Times New Roman" w:hAnsi="Times New Roman"/>
          <w:spacing w:val="-2"/>
          <w:lang w:val="el-GR"/>
        </w:rPr>
        <w:t>2,0x10</w:t>
      </w:r>
      <w:r w:rsidRPr="00F8543C">
        <w:rPr>
          <w:rFonts w:ascii="Times New Roman" w:hAnsi="Times New Roman"/>
          <w:spacing w:val="-2"/>
          <w:vertAlign w:val="superscript"/>
          <w:lang w:val="el-GR"/>
        </w:rPr>
        <w:t>6</w:t>
      </w:r>
      <w:r w:rsidRPr="00F8543C">
        <w:rPr>
          <w:rFonts w:ascii="Times New Roman" w:hAnsi="Times New Roman"/>
          <w:spacing w:val="-2"/>
          <w:lang w:val="el-GR"/>
        </w:rPr>
        <w:t xml:space="preserve"> CD34+ κύτταρα/kg βασίζεται σε δημοσιευμένη εμπειρία που έ</w:t>
      </w:r>
      <w:r>
        <w:rPr>
          <w:rFonts w:ascii="Times New Roman" w:hAnsi="Times New Roman"/>
          <w:spacing w:val="-2"/>
          <w:lang w:val="el-GR"/>
        </w:rPr>
        <w:t>χ</w:t>
      </w:r>
      <w:r w:rsidRPr="00F8543C">
        <w:rPr>
          <w:rFonts w:ascii="Times New Roman" w:hAnsi="Times New Roman"/>
          <w:spacing w:val="-2"/>
          <w:lang w:val="el-GR"/>
        </w:rPr>
        <w:t>ει ως αποτέλεσμα την επαρκή αιματολογική ανασύσταση. Μεγαλύτερες αποδόσεις φαίνεται ότι σ</w:t>
      </w:r>
      <w:r>
        <w:rPr>
          <w:rFonts w:ascii="Times New Roman" w:hAnsi="Times New Roman"/>
          <w:spacing w:val="-2"/>
          <w:lang w:val="el-GR"/>
        </w:rPr>
        <w:t>χετίζονται με ταχ</w:t>
      </w:r>
      <w:r w:rsidRPr="00F8543C">
        <w:rPr>
          <w:rFonts w:ascii="Times New Roman" w:hAnsi="Times New Roman"/>
          <w:spacing w:val="-2"/>
          <w:lang w:val="el-GR"/>
        </w:rPr>
        <w:t>ύτερη ανάνηψη, ενώ μικρότερες με βραδύτερη ανάνηψη.</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C2B92" w:rsidRPr="003A3FB5"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4E0C08">
        <w:rPr>
          <w:rFonts w:ascii="Times New Roman" w:hAnsi="Times New Roman"/>
          <w:spacing w:val="-2"/>
          <w:u w:val="single"/>
          <w:lang w:val="el-GR"/>
        </w:rPr>
        <w:t xml:space="preserve">Ειδικές </w:t>
      </w:r>
      <w:r>
        <w:rPr>
          <w:rFonts w:ascii="Times New Roman" w:hAnsi="Times New Roman"/>
          <w:spacing w:val="-2"/>
          <w:u w:val="single"/>
          <w:lang w:val="el-GR"/>
        </w:rPr>
        <w:t>π</w:t>
      </w:r>
      <w:r w:rsidRPr="004E0C08">
        <w:rPr>
          <w:rFonts w:ascii="Times New Roman" w:hAnsi="Times New Roman"/>
          <w:spacing w:val="-2"/>
          <w:u w:val="single"/>
          <w:lang w:val="el-GR"/>
        </w:rPr>
        <w:t xml:space="preserve">ροφυλάξεις σε </w:t>
      </w:r>
      <w:r>
        <w:rPr>
          <w:rFonts w:ascii="Times New Roman" w:hAnsi="Times New Roman"/>
          <w:spacing w:val="-2"/>
          <w:u w:val="single"/>
          <w:lang w:val="el-GR"/>
        </w:rPr>
        <w:t>υ</w:t>
      </w:r>
      <w:r w:rsidRPr="004E0C08">
        <w:rPr>
          <w:rFonts w:ascii="Times New Roman" w:hAnsi="Times New Roman"/>
          <w:spacing w:val="-2"/>
          <w:u w:val="single"/>
          <w:lang w:val="el-GR"/>
        </w:rPr>
        <w:t xml:space="preserve">γιείς </w:t>
      </w:r>
      <w:r>
        <w:rPr>
          <w:rFonts w:ascii="Times New Roman" w:hAnsi="Times New Roman"/>
          <w:spacing w:val="-2"/>
          <w:u w:val="single"/>
          <w:lang w:val="el-GR"/>
        </w:rPr>
        <w:t>δ</w:t>
      </w:r>
      <w:r w:rsidRPr="004E0C08">
        <w:rPr>
          <w:rFonts w:ascii="Times New Roman" w:hAnsi="Times New Roman"/>
          <w:spacing w:val="-2"/>
          <w:u w:val="single"/>
          <w:lang w:val="el-GR"/>
        </w:rPr>
        <w:t xml:space="preserve">ότες που υποβάλλονται σε </w:t>
      </w:r>
      <w:r>
        <w:rPr>
          <w:rFonts w:ascii="Times New Roman" w:hAnsi="Times New Roman"/>
          <w:spacing w:val="-2"/>
          <w:u w:val="single"/>
          <w:lang w:val="el-GR"/>
        </w:rPr>
        <w:t>κ</w:t>
      </w:r>
      <w:r w:rsidRPr="004E0C08">
        <w:rPr>
          <w:rFonts w:ascii="Times New Roman" w:hAnsi="Times New Roman"/>
          <w:spacing w:val="-2"/>
          <w:u w:val="single"/>
          <w:lang w:val="el-GR"/>
        </w:rPr>
        <w:t xml:space="preserve">ινητοποίηση των </w:t>
      </w:r>
      <w:r w:rsidR="00667B6A" w:rsidRPr="003A3FB5">
        <w:rPr>
          <w:rFonts w:ascii="Times New Roman" w:hAnsi="Times New Roman"/>
          <w:spacing w:val="-2"/>
          <w:u w:val="single"/>
          <w:lang w:val="el-GR"/>
        </w:rPr>
        <w:t>PBRC</w:t>
      </w:r>
    </w:p>
    <w:p w:rsidR="00FC2B92" w:rsidRPr="00F8543C" w:rsidRDefault="00FC2B92" w:rsidP="00FC2B92">
      <w:pPr>
        <w:pStyle w:val="22"/>
      </w:pPr>
      <w:r w:rsidRPr="00F8543C">
        <w:t>Η κινητοποίηση των ΡΒΡ</w:t>
      </w:r>
      <w:r w:rsidRPr="00F8543C">
        <w:rPr>
          <w:lang w:val="en-US"/>
        </w:rPr>
        <w:t>C</w:t>
      </w:r>
      <w:r w:rsidRPr="00F8543C">
        <w:t xml:space="preserve">)δεν παρέχει άμεσο κλινικό όφελος σε υγιείς δότες και πρέπει να εξετάζεται </w:t>
      </w:r>
      <w:r w:rsidRPr="00F80D42">
        <w:t xml:space="preserve">μόνο </w:t>
      </w:r>
      <w:r w:rsidRPr="00F8543C">
        <w:t xml:space="preserve">για τους σκοπούς της </w:t>
      </w:r>
      <w:r w:rsidRPr="00F80D42">
        <w:t>αλλογενούς</w:t>
      </w:r>
      <w:r>
        <w:rPr>
          <w:color w:val="FF00FF"/>
        </w:rPr>
        <w:t xml:space="preserve"> </w:t>
      </w:r>
      <w:r w:rsidRPr="00F8543C">
        <w:t xml:space="preserve">μεταμόσχευσης </w:t>
      </w:r>
      <w:r w:rsidRPr="00A667B0">
        <w:t>προγονικών</w:t>
      </w:r>
      <w:r>
        <w:rPr>
          <w:color w:val="FF00FF"/>
        </w:rPr>
        <w:t xml:space="preserve"> </w:t>
      </w:r>
      <w:r w:rsidRPr="00F8543C">
        <w:t>κυττάρων.</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κινητοποίηση των </w:t>
      </w:r>
      <w:r w:rsidRPr="00F8543C">
        <w:rPr>
          <w:rFonts w:ascii="Times New Roman" w:hAnsi="Times New Roman"/>
          <w:spacing w:val="-2"/>
        </w:rPr>
        <w:t>PBPC</w:t>
      </w:r>
      <w:r w:rsidRPr="00F8543C">
        <w:rPr>
          <w:rFonts w:ascii="Times New Roman" w:hAnsi="Times New Roman"/>
          <w:spacing w:val="-2"/>
          <w:lang w:val="el-GR"/>
        </w:rPr>
        <w:t xml:space="preserve">) θα πρέπει να εξετάζεται μόνο σε δότες των οποίων η κλινική κατάσταση και οι εργαστηριακές τιμές είναι φυσιολογικές για λήψη </w:t>
      </w:r>
      <w:r w:rsidRPr="00A667B0">
        <w:rPr>
          <w:rFonts w:ascii="Times New Roman" w:hAnsi="Times New Roman"/>
          <w:spacing w:val="-2"/>
          <w:lang w:val="el-GR"/>
        </w:rPr>
        <w:t xml:space="preserve">προγονικών </w:t>
      </w:r>
      <w:r w:rsidRPr="00F8543C">
        <w:rPr>
          <w:rFonts w:ascii="Times New Roman" w:hAnsi="Times New Roman"/>
          <w:spacing w:val="-2"/>
          <w:lang w:val="el-GR"/>
        </w:rPr>
        <w:t>κυττάρων, με ιδιαίτερη προσοχή στις αιματολογικές παραμέτρους και σε λοιμώδεις νόσους.</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ασφάλεια και αποτελεσματικότητα του </w:t>
      </w:r>
      <w:r w:rsidRPr="00F8543C">
        <w:rPr>
          <w:rFonts w:ascii="Times New Roman" w:hAnsi="Times New Roman"/>
          <w:spacing w:val="-2"/>
        </w:rPr>
        <w:t>GRANULOKINE</w:t>
      </w:r>
      <w:r w:rsidRPr="00F8543C">
        <w:rPr>
          <w:rFonts w:ascii="Times New Roman" w:hAnsi="Times New Roman"/>
          <w:spacing w:val="-2"/>
          <w:lang w:val="el-GR"/>
        </w:rPr>
        <w:t xml:space="preserve"> δεν έχει αξιολογηθεί σε υγιείς δότες &lt; 16 ετών</w:t>
      </w:r>
      <w:r w:rsidRPr="00867D0E">
        <w:rPr>
          <w:rFonts w:ascii="Times New Roman" w:hAnsi="Times New Roman"/>
          <w:spacing w:val="-2"/>
          <w:lang w:val="el-GR"/>
        </w:rPr>
        <w:t xml:space="preserve"> </w:t>
      </w:r>
      <w:r w:rsidRPr="00A667B0">
        <w:rPr>
          <w:rFonts w:ascii="Times New Roman" w:hAnsi="Times New Roman"/>
          <w:spacing w:val="-2"/>
          <w:lang w:val="el-GR"/>
        </w:rPr>
        <w:t xml:space="preserve">ή </w:t>
      </w:r>
      <w:r w:rsidRPr="00F8543C">
        <w:rPr>
          <w:rFonts w:ascii="Times New Roman" w:hAnsi="Times New Roman"/>
          <w:spacing w:val="-2"/>
          <w:lang w:val="el-GR"/>
        </w:rPr>
        <w:t>&gt; 60 ετών.</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Παρατηρήθηκε παροδική θρομβοπενία (αιμοπετάλια &lt;100 </w:t>
      </w:r>
      <w:r w:rsidRPr="00F8543C">
        <w:rPr>
          <w:rFonts w:ascii="Times New Roman" w:hAnsi="Times New Roman"/>
          <w:spacing w:val="-2"/>
        </w:rPr>
        <w:t>x</w:t>
      </w:r>
      <w:r w:rsidRPr="00F8543C">
        <w:rPr>
          <w:rFonts w:ascii="Times New Roman" w:hAnsi="Times New Roman"/>
          <w:spacing w:val="-2"/>
          <w:lang w:val="el-GR"/>
        </w:rPr>
        <w:t xml:space="preserve">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Pr>
          <w:rFonts w:ascii="Times New Roman" w:hAnsi="Times New Roman"/>
          <w:spacing w:val="-2"/>
        </w:rPr>
        <w:t>l</w:t>
      </w:r>
      <w:r w:rsidRPr="00F8543C">
        <w:rPr>
          <w:rFonts w:ascii="Times New Roman" w:hAnsi="Times New Roman"/>
          <w:spacing w:val="-2"/>
          <w:lang w:val="el-GR"/>
        </w:rPr>
        <w:t xml:space="preserve">) κατόπιν χορήγησης </w:t>
      </w:r>
      <w:r w:rsidRPr="00F8543C">
        <w:rPr>
          <w:rFonts w:ascii="Times New Roman" w:hAnsi="Times New Roman"/>
          <w:spacing w:val="-2"/>
        </w:rPr>
        <w:t>filgrastim</w:t>
      </w:r>
      <w:r w:rsidRPr="00F8543C">
        <w:rPr>
          <w:rFonts w:ascii="Times New Roman" w:hAnsi="Times New Roman"/>
          <w:spacing w:val="-2"/>
          <w:lang w:val="el-GR"/>
        </w:rPr>
        <w:t>, καθώς και λευκαφαίρεση σε ποσοστό 35% των ατόμων που μελετήθηκαν.</w:t>
      </w:r>
      <w:r>
        <w:rPr>
          <w:rFonts w:ascii="Times New Roman" w:hAnsi="Times New Roman"/>
          <w:spacing w:val="-2"/>
          <w:lang w:val="el-GR"/>
        </w:rPr>
        <w:t xml:space="preserve"> Μεταξύ αυτών, </w:t>
      </w:r>
      <w:r w:rsidRPr="00F8543C">
        <w:rPr>
          <w:rFonts w:ascii="Times New Roman" w:hAnsi="Times New Roman"/>
          <w:spacing w:val="-2"/>
          <w:lang w:val="el-GR"/>
        </w:rPr>
        <w:t xml:space="preserve">αναφέρθηκαν δύο περιστατικά αριθμού αιμοπεταλίων &lt;50 </w:t>
      </w:r>
      <w:r w:rsidRPr="00F8543C">
        <w:rPr>
          <w:rFonts w:ascii="Times New Roman" w:hAnsi="Times New Roman"/>
          <w:spacing w:val="-2"/>
        </w:rPr>
        <w:t>x</w:t>
      </w:r>
      <w:r w:rsidRPr="00F8543C">
        <w:rPr>
          <w:rFonts w:ascii="Times New Roman" w:hAnsi="Times New Roman"/>
          <w:spacing w:val="-2"/>
          <w:lang w:val="el-GR"/>
        </w:rPr>
        <w:t xml:space="preserve">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Pr>
          <w:rFonts w:ascii="Times New Roman" w:hAnsi="Times New Roman"/>
          <w:spacing w:val="-2"/>
        </w:rPr>
        <w:t>l</w:t>
      </w:r>
      <w:r w:rsidRPr="00F8543C">
        <w:rPr>
          <w:rFonts w:ascii="Times New Roman" w:hAnsi="Times New Roman"/>
          <w:spacing w:val="-2"/>
          <w:lang w:val="el-GR"/>
        </w:rPr>
        <w:t xml:space="preserve"> και αποδόθηκαν στη διαδικασία λευκαφαίρεσης.  </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Αν απαιτείται παραπάνω από μια λευκαφαίρεση, συνιστάται ιδιαίτερη προσοχή σε δότες με αριθμό αιμοπεταλίων &lt;100 </w:t>
      </w:r>
      <w:r w:rsidRPr="00F8543C">
        <w:rPr>
          <w:rFonts w:ascii="Times New Roman" w:hAnsi="Times New Roman"/>
          <w:spacing w:val="-2"/>
        </w:rPr>
        <w:t>x</w:t>
      </w:r>
      <w:r w:rsidRPr="00F8543C">
        <w:rPr>
          <w:rFonts w:ascii="Times New Roman" w:hAnsi="Times New Roman"/>
          <w:spacing w:val="-2"/>
          <w:lang w:val="el-GR"/>
        </w:rPr>
        <w:t xml:space="preserve">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Pr>
          <w:rFonts w:ascii="Times New Roman" w:hAnsi="Times New Roman"/>
          <w:spacing w:val="-2"/>
        </w:rPr>
        <w:t>l</w:t>
      </w:r>
      <w:r w:rsidRPr="00F8543C">
        <w:rPr>
          <w:rFonts w:ascii="Times New Roman" w:hAnsi="Times New Roman"/>
          <w:spacing w:val="-2"/>
          <w:lang w:val="el-GR"/>
        </w:rPr>
        <w:t xml:space="preserve"> πριν τη λευκαφαίρεση.   Γενικά, δεν πρέπει  να διενεργείται λευκαφαίρεση αν τα αιμοπετάλια είναι &lt;75 </w:t>
      </w:r>
      <w:r w:rsidRPr="00F8543C">
        <w:rPr>
          <w:rFonts w:ascii="Times New Roman" w:hAnsi="Times New Roman"/>
          <w:spacing w:val="-2"/>
        </w:rPr>
        <w:t>x</w:t>
      </w:r>
      <w:r w:rsidRPr="00F8543C">
        <w:rPr>
          <w:rFonts w:ascii="Times New Roman" w:hAnsi="Times New Roman"/>
          <w:spacing w:val="-2"/>
          <w:lang w:val="el-GR"/>
        </w:rPr>
        <w:t xml:space="preserve">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Pr>
          <w:rFonts w:ascii="Times New Roman" w:hAnsi="Times New Roman"/>
          <w:spacing w:val="-2"/>
        </w:rPr>
        <w:t>l</w:t>
      </w:r>
      <w:r w:rsidRPr="00F8543C">
        <w:rPr>
          <w:rFonts w:ascii="Times New Roman" w:hAnsi="Times New Roman"/>
          <w:spacing w:val="-2"/>
          <w:lang w:val="el-GR"/>
        </w:rPr>
        <w:t>.</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p>
    <w:p w:rsidR="00FC2B92" w:rsidRPr="00F8543C" w:rsidRDefault="00FC2B92" w:rsidP="00FC2B92">
      <w:pPr>
        <w:pStyle w:val="22"/>
      </w:pPr>
      <w:r w:rsidRPr="00F8543C">
        <w:t>Δεν πρέπει να πραγματοποιείται λευκαφαίρεση σε δότες με διαταραχές της πήξης ή με γνωστές ανεπάρκειες της αιμόστασης.</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χορήγηση του </w:t>
      </w:r>
      <w:r w:rsidRPr="00F8543C">
        <w:rPr>
          <w:rFonts w:ascii="Times New Roman" w:hAnsi="Times New Roman"/>
          <w:spacing w:val="-2"/>
        </w:rPr>
        <w:t>GRANULOKINE</w:t>
      </w:r>
      <w:r w:rsidRPr="00F8543C">
        <w:rPr>
          <w:rFonts w:ascii="Times New Roman" w:hAnsi="Times New Roman"/>
          <w:spacing w:val="-2"/>
          <w:lang w:val="el-GR"/>
        </w:rPr>
        <w:t xml:space="preserve">  θα πρέπει να διακόπτεται ή η δοσολογία θα πρέπει να μειώνεται αν ο αριθμός λευκοκυττάρων αυξηθεί σε &gt;70 </w:t>
      </w:r>
      <w:r w:rsidRPr="00F8543C">
        <w:rPr>
          <w:rFonts w:ascii="Times New Roman" w:hAnsi="Times New Roman"/>
          <w:spacing w:val="-2"/>
        </w:rPr>
        <w:t>x</w:t>
      </w:r>
      <w:r w:rsidRPr="00F8543C">
        <w:rPr>
          <w:rFonts w:ascii="Times New Roman" w:hAnsi="Times New Roman"/>
          <w:spacing w:val="-2"/>
          <w:lang w:val="el-GR"/>
        </w:rPr>
        <w:t xml:space="preserve"> 10</w:t>
      </w:r>
      <w:r w:rsidRPr="00F8543C">
        <w:rPr>
          <w:rFonts w:ascii="Times New Roman" w:hAnsi="Times New Roman"/>
          <w:spacing w:val="-2"/>
          <w:vertAlign w:val="superscript"/>
          <w:lang w:val="el-GR"/>
        </w:rPr>
        <w:t>9</w:t>
      </w:r>
      <w:r w:rsidRPr="00F8543C">
        <w:rPr>
          <w:rFonts w:ascii="Times New Roman" w:hAnsi="Times New Roman"/>
          <w:spacing w:val="-2"/>
          <w:lang w:val="el-GR"/>
        </w:rPr>
        <w:t>/</w:t>
      </w:r>
      <w:r>
        <w:rPr>
          <w:rFonts w:ascii="Times New Roman" w:hAnsi="Times New Roman"/>
          <w:spacing w:val="-2"/>
        </w:rPr>
        <w:t>l</w:t>
      </w:r>
      <w:r w:rsidRPr="00F8543C">
        <w:rPr>
          <w:rFonts w:ascii="Times New Roman" w:hAnsi="Times New Roman"/>
          <w:spacing w:val="-2"/>
          <w:lang w:val="el-GR"/>
        </w:rPr>
        <w:t>.</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A667B0"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Οι δότες που λαμβάνουν </w:t>
      </w:r>
      <w:r w:rsidRPr="00F8543C">
        <w:rPr>
          <w:rFonts w:ascii="Times New Roman" w:hAnsi="Times New Roman"/>
          <w:spacing w:val="-2"/>
        </w:rPr>
        <w:t>G</w:t>
      </w:r>
      <w:r w:rsidRPr="00F8543C">
        <w:rPr>
          <w:rFonts w:ascii="Times New Roman" w:hAnsi="Times New Roman"/>
          <w:spacing w:val="-2"/>
          <w:lang w:val="el-GR"/>
        </w:rPr>
        <w:t>-</w:t>
      </w:r>
      <w:r w:rsidRPr="00F8543C">
        <w:rPr>
          <w:rFonts w:ascii="Times New Roman" w:hAnsi="Times New Roman"/>
          <w:spacing w:val="-2"/>
        </w:rPr>
        <w:t>CSFs</w:t>
      </w:r>
      <w:r w:rsidRPr="00F8543C">
        <w:rPr>
          <w:rFonts w:ascii="Times New Roman" w:hAnsi="Times New Roman"/>
          <w:spacing w:val="-2"/>
          <w:lang w:val="el-GR"/>
        </w:rPr>
        <w:t xml:space="preserve">, για την κινητοποίηση των </w:t>
      </w:r>
      <w:r w:rsidRPr="00F8543C">
        <w:rPr>
          <w:rFonts w:ascii="Times New Roman" w:hAnsi="Times New Roman"/>
          <w:spacing w:val="-2"/>
        </w:rPr>
        <w:t>PBPC</w:t>
      </w:r>
      <w:r w:rsidRPr="00F8543C">
        <w:rPr>
          <w:rFonts w:ascii="Times New Roman" w:hAnsi="Times New Roman"/>
          <w:spacing w:val="-2"/>
          <w:lang w:val="el-GR"/>
        </w:rPr>
        <w:t>)πρέπει να παρακολουθούνται μέχρις ότου οι αιματολογικές παράμετροι επανέλθουν στις φυσιολογικές τιμές.</w:t>
      </w:r>
    </w:p>
    <w:p w:rsidR="00FC2B92" w:rsidRPr="00A667B0"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877934"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7A743D">
        <w:rPr>
          <w:rFonts w:ascii="Times New Roman" w:hAnsi="Times New Roman"/>
          <w:spacing w:val="-2"/>
          <w:lang w:val="el-GR"/>
        </w:rPr>
        <w:lastRenderedPageBreak/>
        <w:t xml:space="preserve">Έχουν παρατηρηθεί παροδικές </w:t>
      </w:r>
      <w:r w:rsidRPr="00877934">
        <w:rPr>
          <w:rFonts w:ascii="Times New Roman" w:hAnsi="Times New Roman"/>
          <w:spacing w:val="-2"/>
          <w:lang w:val="el-GR"/>
        </w:rPr>
        <w:t xml:space="preserve">κυτταρογενετικές </w:t>
      </w:r>
      <w:r w:rsidR="00966756" w:rsidRPr="00877934">
        <w:rPr>
          <w:rFonts w:ascii="Times New Roman" w:hAnsi="Times New Roman"/>
          <w:spacing w:val="-2"/>
          <w:lang w:val="el-GR"/>
        </w:rPr>
        <w:t>ανωμαλίες</w:t>
      </w:r>
      <w:r w:rsidRPr="00877934">
        <w:rPr>
          <w:rFonts w:ascii="Times New Roman" w:hAnsi="Times New Roman"/>
          <w:spacing w:val="-2"/>
          <w:lang w:val="el-GR"/>
        </w:rPr>
        <w:t xml:space="preserve"> σε υγιείς δότες μετά από χρήση </w:t>
      </w:r>
      <w:r w:rsidRPr="00877934">
        <w:rPr>
          <w:rFonts w:ascii="Times New Roman" w:hAnsi="Times New Roman"/>
          <w:spacing w:val="-2"/>
        </w:rPr>
        <w:t>G</w:t>
      </w:r>
      <w:r w:rsidRPr="00877934">
        <w:rPr>
          <w:rFonts w:ascii="Times New Roman" w:hAnsi="Times New Roman"/>
          <w:spacing w:val="-2"/>
          <w:lang w:val="el-GR"/>
        </w:rPr>
        <w:t>-</w:t>
      </w:r>
      <w:r w:rsidRPr="00877934">
        <w:rPr>
          <w:rFonts w:ascii="Times New Roman" w:hAnsi="Times New Roman"/>
          <w:spacing w:val="-2"/>
        </w:rPr>
        <w:t>CSF</w:t>
      </w:r>
      <w:r w:rsidRPr="00877934">
        <w:rPr>
          <w:rFonts w:ascii="Times New Roman" w:hAnsi="Times New Roman"/>
          <w:spacing w:val="-2"/>
          <w:lang w:val="el-GR"/>
        </w:rPr>
        <w:t>. Η σημασία αυτών των αλλαγών είναι άγνωστη.</w:t>
      </w:r>
      <w:r w:rsidR="00183B11" w:rsidRPr="00877934">
        <w:rPr>
          <w:rFonts w:ascii="Times New Roman" w:hAnsi="Times New Roman"/>
          <w:spacing w:val="-2"/>
          <w:lang w:val="el-GR"/>
        </w:rPr>
        <w:t xml:space="preserve"> </w:t>
      </w:r>
      <w:r w:rsidRPr="00877934">
        <w:rPr>
          <w:rFonts w:ascii="Times New Roman" w:hAnsi="Times New Roman"/>
          <w:spacing w:val="-2"/>
          <w:lang w:val="el-GR"/>
        </w:rPr>
        <w:t>Ωστόσο, δεν μπορεί να αποκλειστεί ο κίνδυνος ανάπτυξης των κακόηθων μυελ</w:t>
      </w:r>
      <w:r w:rsidR="00877934" w:rsidRPr="00877934">
        <w:rPr>
          <w:rFonts w:ascii="Times New Roman" w:hAnsi="Times New Roman"/>
          <w:spacing w:val="-2"/>
          <w:lang w:val="el-GR"/>
        </w:rPr>
        <w:t>ογενών</w:t>
      </w:r>
      <w:r w:rsidRPr="00877934">
        <w:rPr>
          <w:rFonts w:ascii="Times New Roman" w:hAnsi="Times New Roman"/>
          <w:spacing w:val="-2"/>
          <w:lang w:val="el-GR"/>
        </w:rPr>
        <w:t xml:space="preserve"> κλώνων. Συν</w:t>
      </w:r>
      <w:r w:rsidR="00B2611A" w:rsidRPr="00877934">
        <w:rPr>
          <w:rFonts w:ascii="Times New Roman" w:hAnsi="Times New Roman"/>
          <w:spacing w:val="-2"/>
          <w:lang w:val="el-GR"/>
        </w:rPr>
        <w:t>ιστάται</w:t>
      </w:r>
      <w:r w:rsidRPr="00877934">
        <w:rPr>
          <w:rFonts w:ascii="Times New Roman" w:hAnsi="Times New Roman"/>
          <w:spacing w:val="-2"/>
          <w:lang w:val="el-GR"/>
        </w:rPr>
        <w:t xml:space="preserve"> το κέντρο λευκαφαίρεσης να διενεργεί συστηματική καταγραφή και παρακολούθηση των δοτών αρχέγονων κυττάρων για τουλάχιστον 10 χρόνια για την εξασφάλιση της παρακολούθησης της ασφάλειας σε μακροπρόθεσμη βάση.</w:t>
      </w:r>
    </w:p>
    <w:p w:rsidR="00FC2B92" w:rsidRPr="00877934"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color w:val="FF00FF"/>
          <w:spacing w:val="-2"/>
          <w:u w:val="single"/>
          <w:lang w:val="el-GR"/>
        </w:rPr>
      </w:pPr>
    </w:p>
    <w:p w:rsidR="00FC2B92" w:rsidRPr="00FC2B92" w:rsidRDefault="00FC2B92" w:rsidP="00FC2B92">
      <w:pPr>
        <w:tabs>
          <w:tab w:val="left" w:pos="-851"/>
          <w:tab w:val="left" w:pos="-131"/>
          <w:tab w:val="left" w:pos="960"/>
        </w:tabs>
        <w:suppressAutoHyphens/>
        <w:jc w:val="both"/>
        <w:rPr>
          <w:rFonts w:ascii="Times New Roman" w:hAnsi="Times New Roman"/>
          <w:spacing w:val="-2"/>
          <w:lang w:val="el-GR"/>
        </w:rPr>
      </w:pPr>
      <w:r w:rsidRPr="00877934">
        <w:rPr>
          <w:rFonts w:ascii="Times New Roman" w:hAnsi="Times New Roman"/>
          <w:spacing w:val="-2"/>
          <w:lang w:val="el-GR"/>
        </w:rPr>
        <w:t xml:space="preserve">Υπήρξαν συχνά αλλά γενικά ασυμπτωματικά περιστατικά σπληνομεγαλίας και </w:t>
      </w:r>
      <w:r w:rsidR="003B58DC" w:rsidRPr="00877934">
        <w:rPr>
          <w:rFonts w:ascii="Times New Roman" w:hAnsi="Times New Roman"/>
          <w:spacing w:val="-2"/>
          <w:lang w:val="el-GR"/>
        </w:rPr>
        <w:t xml:space="preserve">όχι συχνές </w:t>
      </w:r>
      <w:r w:rsidRPr="00877934">
        <w:rPr>
          <w:rFonts w:ascii="Times New Roman" w:hAnsi="Times New Roman"/>
          <w:spacing w:val="-2"/>
          <w:lang w:val="el-GR"/>
        </w:rPr>
        <w:t>περιπτώσεις ρήξης σπληνός σε υγιείς δότες (και ασθενείς) κατόπιν χορήγησης των παραγόντων διέγερσης αποικιών</w:t>
      </w:r>
      <w:r w:rsidRPr="00877934">
        <w:rPr>
          <w:rFonts w:ascii="Times New Roman" w:hAnsi="Times New Roman"/>
          <w:color w:val="FF00FF"/>
          <w:spacing w:val="-2"/>
          <w:lang w:val="el-GR"/>
        </w:rPr>
        <w:t xml:space="preserve"> </w:t>
      </w:r>
      <w:r w:rsidRPr="00877934">
        <w:rPr>
          <w:rFonts w:ascii="Times New Roman" w:hAnsi="Times New Roman"/>
          <w:spacing w:val="-2"/>
          <w:lang w:val="el-GR"/>
        </w:rPr>
        <w:t>κοκκιοκυττάρων (</w:t>
      </w:r>
      <w:r w:rsidRPr="00877934">
        <w:rPr>
          <w:rFonts w:ascii="Times New Roman" w:hAnsi="Times New Roman"/>
          <w:spacing w:val="-2"/>
        </w:rPr>
        <w:t>G</w:t>
      </w:r>
      <w:r w:rsidRPr="00877934">
        <w:rPr>
          <w:rFonts w:ascii="Times New Roman" w:hAnsi="Times New Roman"/>
          <w:spacing w:val="-2"/>
          <w:lang w:val="el-GR"/>
        </w:rPr>
        <w:t>-</w:t>
      </w:r>
      <w:r w:rsidRPr="00877934">
        <w:rPr>
          <w:rFonts w:ascii="Times New Roman" w:hAnsi="Times New Roman"/>
          <w:spacing w:val="-2"/>
        </w:rPr>
        <w:t>CSFs</w:t>
      </w:r>
      <w:r w:rsidRPr="00877934">
        <w:rPr>
          <w:rFonts w:ascii="Times New Roman" w:hAnsi="Times New Roman"/>
          <w:spacing w:val="-2"/>
          <w:lang w:val="el-GR"/>
        </w:rPr>
        <w:t>). Ορισμένες περιπτώσεις ρήξης</w:t>
      </w:r>
      <w:r>
        <w:rPr>
          <w:rFonts w:ascii="Times New Roman" w:hAnsi="Times New Roman"/>
          <w:spacing w:val="-2"/>
          <w:lang w:val="el-GR"/>
        </w:rPr>
        <w:t xml:space="preserve"> σπληνός είχαν θανατηφόρο κατάληξη.</w:t>
      </w:r>
      <w:r w:rsidRPr="00F8543C">
        <w:rPr>
          <w:rFonts w:ascii="Times New Roman" w:hAnsi="Times New Roman"/>
          <w:spacing w:val="-2"/>
          <w:lang w:val="el-GR"/>
        </w:rPr>
        <w:t xml:space="preserve"> Έτσι, το μέγεθος τ</w:t>
      </w:r>
      <w:r>
        <w:rPr>
          <w:rFonts w:ascii="Times New Roman" w:hAnsi="Times New Roman"/>
          <w:spacing w:val="-2"/>
          <w:lang w:val="el-GR"/>
        </w:rPr>
        <w:t>ου</w:t>
      </w:r>
      <w:r w:rsidRPr="00F8543C">
        <w:rPr>
          <w:rFonts w:ascii="Times New Roman" w:hAnsi="Times New Roman"/>
          <w:spacing w:val="-2"/>
          <w:lang w:val="el-GR"/>
        </w:rPr>
        <w:t xml:space="preserve"> σπληνός πρέπει να παρακολουθείται </w:t>
      </w:r>
      <w:r>
        <w:rPr>
          <w:rFonts w:ascii="Times New Roman" w:hAnsi="Times New Roman"/>
          <w:spacing w:val="-2"/>
          <w:lang w:val="el-GR"/>
        </w:rPr>
        <w:t xml:space="preserve">προσεκτικά </w:t>
      </w:r>
      <w:r w:rsidRPr="00EE562F">
        <w:rPr>
          <w:rFonts w:ascii="Times New Roman" w:hAnsi="Times New Roman"/>
          <w:spacing w:val="-2"/>
          <w:lang w:val="el-GR"/>
        </w:rPr>
        <w:t>(πχ. κλινική εξέταση, υπέρηχος).</w:t>
      </w:r>
      <w:r>
        <w:rPr>
          <w:rFonts w:ascii="Times New Roman" w:hAnsi="Times New Roman"/>
          <w:spacing w:val="-2"/>
          <w:lang w:val="el-GR"/>
        </w:rPr>
        <w:t xml:space="preserve"> </w:t>
      </w:r>
      <w:r w:rsidRPr="00F8543C">
        <w:rPr>
          <w:rFonts w:ascii="Times New Roman" w:hAnsi="Times New Roman"/>
          <w:spacing w:val="-2"/>
          <w:lang w:val="el-GR"/>
        </w:rPr>
        <w:t xml:space="preserve">Θα πρέπει να λαμβάνεται υπόψη </w:t>
      </w:r>
      <w:r>
        <w:rPr>
          <w:rFonts w:ascii="Times New Roman" w:hAnsi="Times New Roman"/>
          <w:spacing w:val="-2"/>
          <w:lang w:val="el-GR"/>
        </w:rPr>
        <w:t>το ενδεχόμενο</w:t>
      </w:r>
      <w:r w:rsidRPr="00F8543C">
        <w:rPr>
          <w:rFonts w:ascii="Times New Roman" w:hAnsi="Times New Roman"/>
          <w:spacing w:val="-2"/>
          <w:lang w:val="el-GR"/>
        </w:rPr>
        <w:t xml:space="preserve"> διάγνωση</w:t>
      </w:r>
      <w:r>
        <w:rPr>
          <w:rFonts w:ascii="Times New Roman" w:hAnsi="Times New Roman"/>
          <w:spacing w:val="-2"/>
          <w:lang w:val="el-GR"/>
        </w:rPr>
        <w:t>ς</w:t>
      </w:r>
      <w:r w:rsidRPr="00F8543C">
        <w:rPr>
          <w:rFonts w:ascii="Times New Roman" w:hAnsi="Times New Roman"/>
          <w:spacing w:val="-2"/>
          <w:lang w:val="el-GR"/>
        </w:rPr>
        <w:t xml:space="preserve"> ρήξης σπληνός σε δότες</w:t>
      </w:r>
      <w:r>
        <w:rPr>
          <w:rFonts w:ascii="Times New Roman" w:hAnsi="Times New Roman"/>
          <w:spacing w:val="-2"/>
          <w:lang w:val="el-GR"/>
        </w:rPr>
        <w:t xml:space="preserve"> και / ή ασθενείς</w:t>
      </w:r>
      <w:r w:rsidRPr="00F8543C">
        <w:rPr>
          <w:rFonts w:ascii="Times New Roman" w:hAnsi="Times New Roman"/>
          <w:spacing w:val="-2"/>
          <w:lang w:val="el-GR"/>
        </w:rPr>
        <w:t xml:space="preserve"> που αναφέρουν άλγος της άνω αριστερής κοιλιακής χώρας ή της άκρης του ώμου.</w:t>
      </w:r>
    </w:p>
    <w:p w:rsidR="00FC2B92" w:rsidRPr="00FC2B92" w:rsidRDefault="00FC2B92" w:rsidP="00FC2B92">
      <w:pPr>
        <w:tabs>
          <w:tab w:val="left" w:pos="-851"/>
          <w:tab w:val="left" w:pos="-131"/>
          <w:tab w:val="left" w:pos="960"/>
        </w:tabs>
        <w:suppressAutoHyphens/>
        <w:jc w:val="both"/>
        <w:rPr>
          <w:rFonts w:ascii="Times New Roman" w:hAnsi="Times New Roman"/>
          <w:b/>
          <w:spacing w:val="-2"/>
          <w:lang w:val="el-GR"/>
        </w:rPr>
      </w:pPr>
    </w:p>
    <w:p w:rsidR="00FC2B92" w:rsidRPr="007A743D" w:rsidRDefault="003B58DC"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Δύσπνοια και άλλες π</w:t>
      </w:r>
      <w:r w:rsidR="00FC2B92" w:rsidRPr="007A743D">
        <w:rPr>
          <w:rFonts w:ascii="Times New Roman" w:hAnsi="Times New Roman"/>
          <w:spacing w:val="-2"/>
          <w:lang w:val="el-GR"/>
        </w:rPr>
        <w:t>νευμονικές ανεπιθύμητες ενέργειες (αιμόπτυση, πνευμονική αιμορραγία, διηθήσεις</w:t>
      </w:r>
      <w:r w:rsidR="00C65748">
        <w:rPr>
          <w:rFonts w:ascii="Times New Roman" w:hAnsi="Times New Roman"/>
          <w:spacing w:val="-2"/>
          <w:lang w:val="el-GR"/>
        </w:rPr>
        <w:t xml:space="preserve"> πνευμόνων</w:t>
      </w:r>
      <w:r w:rsidR="00FC2B92" w:rsidRPr="007A743D">
        <w:rPr>
          <w:rFonts w:ascii="Times New Roman" w:hAnsi="Times New Roman"/>
          <w:spacing w:val="-2"/>
          <w:lang w:val="el-GR"/>
        </w:rPr>
        <w:t xml:space="preserve"> και υποξία) έχουν αναφερθεί </w:t>
      </w:r>
      <w:r w:rsidR="00C73371">
        <w:rPr>
          <w:rFonts w:ascii="Times New Roman" w:hAnsi="Times New Roman"/>
          <w:spacing w:val="-2"/>
          <w:lang w:val="el-GR"/>
        </w:rPr>
        <w:t>όχι συχνά</w:t>
      </w:r>
      <w:r w:rsidR="00FC2B92" w:rsidRPr="007A743D">
        <w:rPr>
          <w:rFonts w:ascii="Times New Roman" w:hAnsi="Times New Roman"/>
          <w:spacing w:val="-2"/>
          <w:lang w:val="el-GR"/>
        </w:rPr>
        <w:t xml:space="preserve">. Σε περίπτωση υποπτευόμενων ή επιβεβαιωμένων πνευμονικών ανεπιθύμητων ενεργειών, θα πρέπει να εξετάζεται το ενδεχόμενο διακοπής της θεραπείας με </w:t>
      </w:r>
      <w:r w:rsidR="00FC2B92" w:rsidRPr="007A743D">
        <w:rPr>
          <w:rFonts w:ascii="Times New Roman" w:hAnsi="Times New Roman"/>
          <w:spacing w:val="-2"/>
        </w:rPr>
        <w:t>GRANULOKINE</w:t>
      </w:r>
      <w:r w:rsidR="00FC2B92" w:rsidRPr="007A743D">
        <w:rPr>
          <w:rFonts w:ascii="Times New Roman" w:hAnsi="Times New Roman"/>
          <w:spacing w:val="-2"/>
          <w:lang w:val="el-GR"/>
        </w:rPr>
        <w:t xml:space="preserve"> και να χορηγείται κατάλληλη ιατρική περίθαλψη.</w:t>
      </w:r>
    </w:p>
    <w:p w:rsidR="004235D0" w:rsidRPr="004235D0" w:rsidRDefault="004235D0" w:rsidP="004235D0">
      <w:pPr>
        <w:tabs>
          <w:tab w:val="left" w:pos="-851"/>
          <w:tab w:val="left" w:pos="-131"/>
          <w:tab w:val="left" w:pos="960"/>
        </w:tabs>
        <w:suppressAutoHyphens/>
        <w:jc w:val="both"/>
        <w:rPr>
          <w:rFonts w:ascii="Times New Roman" w:hAnsi="Times New Roman"/>
          <w:b/>
          <w:spacing w:val="-2"/>
          <w:lang w:val="el-GR"/>
        </w:rPr>
      </w:pPr>
    </w:p>
    <w:p w:rsidR="00FC2B92" w:rsidRPr="002C65C7"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vertAlign w:val="superscript"/>
          <w:lang w:val="el-GR"/>
        </w:rPr>
      </w:pPr>
      <w:r w:rsidRPr="002C65C7">
        <w:rPr>
          <w:rFonts w:ascii="Times New Roman" w:hAnsi="Times New Roman"/>
          <w:i/>
          <w:spacing w:val="-2"/>
          <w:lang w:val="el-GR"/>
        </w:rPr>
        <w:t xml:space="preserve">Ειδικές προφυλάξεις σε </w:t>
      </w:r>
      <w:r>
        <w:rPr>
          <w:rFonts w:ascii="Times New Roman" w:hAnsi="Times New Roman"/>
          <w:i/>
          <w:spacing w:val="-2"/>
          <w:lang w:val="el-GR"/>
        </w:rPr>
        <w:t>δ</w:t>
      </w:r>
      <w:r w:rsidRPr="002C65C7">
        <w:rPr>
          <w:rFonts w:ascii="Times New Roman" w:hAnsi="Times New Roman"/>
          <w:i/>
          <w:spacing w:val="-2"/>
          <w:lang w:val="el-GR"/>
        </w:rPr>
        <w:t xml:space="preserve">έκτες </w:t>
      </w:r>
      <w:r>
        <w:rPr>
          <w:rFonts w:ascii="Times New Roman" w:hAnsi="Times New Roman"/>
          <w:i/>
          <w:spacing w:val="-2"/>
          <w:lang w:val="el-GR"/>
        </w:rPr>
        <w:t>α</w:t>
      </w:r>
      <w:r w:rsidRPr="002C65C7">
        <w:rPr>
          <w:rFonts w:ascii="Times New Roman" w:hAnsi="Times New Roman"/>
          <w:i/>
          <w:spacing w:val="-2"/>
          <w:lang w:val="el-GR"/>
        </w:rPr>
        <w:t xml:space="preserve">λλογενών </w:t>
      </w:r>
      <w:r>
        <w:rPr>
          <w:rFonts w:ascii="Times New Roman" w:hAnsi="Times New Roman"/>
          <w:i/>
          <w:spacing w:val="-2"/>
          <w:lang w:val="el-GR"/>
        </w:rPr>
        <w:t>π</w:t>
      </w:r>
      <w:r w:rsidRPr="002C65C7">
        <w:rPr>
          <w:rFonts w:ascii="Times New Roman" w:hAnsi="Times New Roman"/>
          <w:i/>
          <w:spacing w:val="-2"/>
          <w:lang w:val="el-GR"/>
        </w:rPr>
        <w:t xml:space="preserve">ρογονικών </w:t>
      </w:r>
      <w:r>
        <w:rPr>
          <w:rFonts w:ascii="Times New Roman" w:hAnsi="Times New Roman"/>
          <w:i/>
          <w:spacing w:val="-2"/>
          <w:lang w:val="el-GR"/>
        </w:rPr>
        <w:t>κ</w:t>
      </w:r>
      <w:r w:rsidRPr="002C65C7">
        <w:rPr>
          <w:rFonts w:ascii="Times New Roman" w:hAnsi="Times New Roman"/>
          <w:i/>
          <w:spacing w:val="-2"/>
          <w:lang w:val="el-GR"/>
        </w:rPr>
        <w:t xml:space="preserve">υττάρων του </w:t>
      </w:r>
      <w:r>
        <w:rPr>
          <w:rFonts w:ascii="Times New Roman" w:hAnsi="Times New Roman"/>
          <w:i/>
          <w:spacing w:val="-2"/>
          <w:lang w:val="el-GR"/>
        </w:rPr>
        <w:t>π</w:t>
      </w:r>
      <w:r w:rsidRPr="002C65C7">
        <w:rPr>
          <w:rFonts w:ascii="Times New Roman" w:hAnsi="Times New Roman"/>
          <w:i/>
          <w:spacing w:val="-2"/>
          <w:lang w:val="el-GR"/>
        </w:rPr>
        <w:t xml:space="preserve">εριφερικού </w:t>
      </w:r>
      <w:r>
        <w:rPr>
          <w:rFonts w:ascii="Times New Roman" w:hAnsi="Times New Roman"/>
          <w:i/>
          <w:spacing w:val="-2"/>
          <w:lang w:val="el-GR"/>
        </w:rPr>
        <w:t>α</w:t>
      </w:r>
      <w:r w:rsidRPr="002C65C7">
        <w:rPr>
          <w:rFonts w:ascii="Times New Roman" w:hAnsi="Times New Roman"/>
          <w:i/>
          <w:spacing w:val="-2"/>
          <w:lang w:val="el-GR"/>
        </w:rPr>
        <w:t xml:space="preserve">ίματος που </w:t>
      </w:r>
      <w:r>
        <w:rPr>
          <w:rFonts w:ascii="Times New Roman" w:hAnsi="Times New Roman"/>
          <w:i/>
          <w:spacing w:val="-2"/>
          <w:lang w:val="el-GR"/>
        </w:rPr>
        <w:t>κ</w:t>
      </w:r>
      <w:r w:rsidRPr="002C65C7">
        <w:rPr>
          <w:rFonts w:ascii="Times New Roman" w:hAnsi="Times New Roman"/>
          <w:i/>
          <w:spacing w:val="-2"/>
          <w:lang w:val="el-GR"/>
        </w:rPr>
        <w:t xml:space="preserve">ινητοποιούνται με </w:t>
      </w:r>
      <w:r w:rsidRPr="002C65C7">
        <w:rPr>
          <w:rFonts w:ascii="Times New Roman" w:hAnsi="Times New Roman"/>
          <w:i/>
          <w:spacing w:val="-2"/>
        </w:rPr>
        <w:t>GRANULOKINE</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Τα τρέχοντα δεδομένα υποδεικνύουν ότι οι ανοσολογικές αλληλεπιδράσεις μεταξύ του μοσχεύματος των αλλογενών προγονικών κυττάρων του περιφερικού αίματος και του λήπτη, μπορεί να συσχετίζονται με αυξημένο κίνδυνο οξείας και χρόνιας</w:t>
      </w:r>
      <w:r w:rsidRPr="005452B1">
        <w:rPr>
          <w:rFonts w:ascii="Times New Roman" w:hAnsi="Times New Roman"/>
          <w:color w:val="339966"/>
          <w:spacing w:val="-2"/>
          <w:lang w:val="el-GR"/>
        </w:rPr>
        <w:t xml:space="preserve"> </w:t>
      </w:r>
      <w:r w:rsidRPr="007A743D">
        <w:rPr>
          <w:rFonts w:ascii="Times New Roman" w:hAnsi="Times New Roman"/>
          <w:spacing w:val="-2"/>
          <w:lang w:val="el-GR"/>
        </w:rPr>
        <w:t>αντίδρασης</w:t>
      </w:r>
      <w:r>
        <w:rPr>
          <w:rFonts w:ascii="Times New Roman" w:hAnsi="Times New Roman"/>
          <w:spacing w:val="-2"/>
          <w:lang w:val="el-GR"/>
        </w:rPr>
        <w:t xml:space="preserve"> </w:t>
      </w:r>
      <w:r w:rsidRPr="00F8543C">
        <w:rPr>
          <w:rFonts w:ascii="Times New Roman" w:hAnsi="Times New Roman"/>
          <w:spacing w:val="-2"/>
          <w:lang w:val="el-GR"/>
        </w:rPr>
        <w:t>μοσχεύματος έναντι ξενιστή (</w:t>
      </w:r>
      <w:r w:rsidRPr="00F8543C">
        <w:rPr>
          <w:rFonts w:ascii="Times New Roman" w:hAnsi="Times New Roman"/>
          <w:spacing w:val="-2"/>
        </w:rPr>
        <w:t>GvHD</w:t>
      </w:r>
      <w:r w:rsidRPr="00F8543C">
        <w:rPr>
          <w:rFonts w:ascii="Times New Roman" w:hAnsi="Times New Roman"/>
          <w:spacing w:val="-2"/>
          <w:lang w:val="el-GR"/>
        </w:rPr>
        <w:t>) σε σύγκριση με τη μεταμόσχευση μυελού των οστών.</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C2B92" w:rsidRPr="00667B6A"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2C65C7">
        <w:rPr>
          <w:rFonts w:ascii="Times New Roman" w:hAnsi="Times New Roman"/>
          <w:spacing w:val="-2"/>
          <w:u w:val="single"/>
          <w:lang w:val="el-GR"/>
        </w:rPr>
        <w:t xml:space="preserve">Ειδικές </w:t>
      </w:r>
      <w:r>
        <w:rPr>
          <w:rFonts w:ascii="Times New Roman" w:hAnsi="Times New Roman"/>
          <w:spacing w:val="-2"/>
          <w:u w:val="single"/>
          <w:lang w:val="el-GR"/>
        </w:rPr>
        <w:t>π</w:t>
      </w:r>
      <w:r w:rsidRPr="002C65C7">
        <w:rPr>
          <w:rFonts w:ascii="Times New Roman" w:hAnsi="Times New Roman"/>
          <w:spacing w:val="-2"/>
          <w:u w:val="single"/>
          <w:lang w:val="el-GR"/>
        </w:rPr>
        <w:t xml:space="preserve">ροφυλάξεις σε </w:t>
      </w:r>
      <w:r>
        <w:rPr>
          <w:rFonts w:ascii="Times New Roman" w:hAnsi="Times New Roman"/>
          <w:spacing w:val="-2"/>
          <w:u w:val="single"/>
          <w:lang w:val="el-GR"/>
        </w:rPr>
        <w:t>α</w:t>
      </w:r>
      <w:r w:rsidRPr="002C65C7">
        <w:rPr>
          <w:rFonts w:ascii="Times New Roman" w:hAnsi="Times New Roman"/>
          <w:spacing w:val="-2"/>
          <w:u w:val="single"/>
          <w:lang w:val="el-GR"/>
        </w:rPr>
        <w:t>σθενείς με Σοβαρή Χρόνια Ουδετεροπενία</w:t>
      </w:r>
      <w:r w:rsidR="00667B6A">
        <w:rPr>
          <w:rFonts w:ascii="Times New Roman" w:hAnsi="Times New Roman"/>
          <w:spacing w:val="-2"/>
          <w:u w:val="single"/>
          <w:lang w:val="el-GR"/>
        </w:rPr>
        <w:t xml:space="preserve"> (</w:t>
      </w:r>
      <w:r w:rsidR="00667B6A">
        <w:rPr>
          <w:rFonts w:ascii="Times New Roman" w:hAnsi="Times New Roman"/>
          <w:spacing w:val="-2"/>
          <w:u w:val="single"/>
        </w:rPr>
        <w:t>SCN</w:t>
      </w:r>
      <w:r w:rsidR="00667B6A" w:rsidRPr="008C1FFB">
        <w:rPr>
          <w:rFonts w:ascii="Times New Roman" w:hAnsi="Times New Roman"/>
          <w:spacing w:val="-2"/>
          <w:u w:val="single"/>
          <w:lang w:val="el-GR"/>
        </w:rPr>
        <w:t>)</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p>
    <w:p w:rsidR="00FC2B92" w:rsidRPr="002C65C7" w:rsidRDefault="00FC2B92" w:rsidP="00FC2B92">
      <w:pPr>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2C65C7">
        <w:rPr>
          <w:rFonts w:ascii="Times New Roman" w:hAnsi="Times New Roman"/>
          <w:i/>
          <w:spacing w:val="-2"/>
          <w:lang w:val="el-GR"/>
        </w:rPr>
        <w:t>Αριθμός Αιμοσφαιρίων</w:t>
      </w:r>
    </w:p>
    <w:p w:rsidR="00FC2B92" w:rsidRPr="00F8543C" w:rsidRDefault="00FC2B92" w:rsidP="00FC2B92">
      <w:pPr>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FC2B92" w:rsidRPr="00F8543C" w:rsidRDefault="00FC2B92" w:rsidP="00FC2B92">
      <w:pPr>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Ο αριθμός των αιμοπεταλίων θα πρέπει να ελέγ</w:t>
      </w:r>
      <w:r>
        <w:rPr>
          <w:rFonts w:ascii="Times New Roman" w:hAnsi="Times New Roman"/>
          <w:spacing w:val="-2"/>
          <w:lang w:val="el-GR"/>
        </w:rPr>
        <w:t>χ</w:t>
      </w:r>
      <w:r w:rsidRPr="00F8543C">
        <w:rPr>
          <w:rFonts w:ascii="Times New Roman" w:hAnsi="Times New Roman"/>
          <w:spacing w:val="-2"/>
          <w:lang w:val="el-GR"/>
        </w:rPr>
        <w:t>εται στενά, ειδικά κατά τις πρώτες εβδομάδες της αγωγής με GRANULOKINE.  Ιδιαίτερη προσο</w:t>
      </w:r>
      <w:r>
        <w:rPr>
          <w:rFonts w:ascii="Times New Roman" w:hAnsi="Times New Roman"/>
          <w:spacing w:val="-2"/>
          <w:lang w:val="el-GR"/>
        </w:rPr>
        <w:t>χ</w:t>
      </w:r>
      <w:r w:rsidRPr="00F8543C">
        <w:rPr>
          <w:rFonts w:ascii="Times New Roman" w:hAnsi="Times New Roman"/>
          <w:spacing w:val="-2"/>
          <w:lang w:val="el-GR"/>
        </w:rPr>
        <w:t xml:space="preserve">ή θα πρέπει να δίνεται στη διακοπή κατά διαλείμματα ή ελάττωση της δόσης του GRANULOKINE σε ασθενείς που εμφανίζουν θρομβοπενία, </w:t>
      </w:r>
      <w:r w:rsidRPr="007A743D">
        <w:rPr>
          <w:rFonts w:ascii="Times New Roman" w:hAnsi="Times New Roman"/>
          <w:spacing w:val="-2"/>
          <w:lang w:val="el-GR"/>
        </w:rPr>
        <w:t xml:space="preserve">για παράδειγμα </w:t>
      </w:r>
      <w:r w:rsidRPr="00F8543C">
        <w:rPr>
          <w:rFonts w:ascii="Times New Roman" w:hAnsi="Times New Roman"/>
          <w:spacing w:val="-2"/>
          <w:lang w:val="el-GR"/>
        </w:rPr>
        <w:t>αιμοπετάλια σταθερά &lt;100.000/mm</w:t>
      </w:r>
      <w:r w:rsidRPr="00F8543C">
        <w:rPr>
          <w:rFonts w:ascii="Times New Roman" w:hAnsi="Times New Roman"/>
          <w:spacing w:val="-2"/>
          <w:vertAlign w:val="superscript"/>
          <w:lang w:val="el-GR"/>
        </w:rPr>
        <w:t>3</w:t>
      </w:r>
      <w:r w:rsidRPr="00F8543C">
        <w:rPr>
          <w:rFonts w:ascii="Times New Roman" w:hAnsi="Times New Roman"/>
          <w:spacing w:val="-2"/>
          <w:lang w:val="el-GR"/>
        </w:rPr>
        <w:t>.</w:t>
      </w:r>
    </w:p>
    <w:p w:rsidR="00FC2B92" w:rsidRPr="00F8543C" w:rsidRDefault="00FC2B92" w:rsidP="00FC2B92">
      <w:pPr>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Παρουσιάζονται και άλλες αλλαγές στα αιμοσφαίρια μεταξύ των οποίων αναιμία και παροδικές αυξήσεις των μυελοειδών προγενητόρων, οι οποίες απαιτούν στενή παρακολούθηση του αριθμού των κυττάρων.</w:t>
      </w:r>
    </w:p>
    <w:p w:rsidR="00046C03" w:rsidRPr="00F8543C" w:rsidRDefault="00046C03">
      <w:pPr>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3572BA" w:rsidRDefault="00FC2B92" w:rsidP="00240576">
      <w:pPr>
        <w:keepNext/>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3572BA">
        <w:rPr>
          <w:rFonts w:ascii="Times New Roman" w:hAnsi="Times New Roman"/>
          <w:i/>
          <w:spacing w:val="-2"/>
          <w:lang w:val="el-GR"/>
        </w:rPr>
        <w:t xml:space="preserve">Εξέλιξη σε </w:t>
      </w:r>
      <w:r>
        <w:rPr>
          <w:rFonts w:ascii="Times New Roman" w:hAnsi="Times New Roman"/>
          <w:i/>
          <w:spacing w:val="-2"/>
          <w:lang w:val="el-GR"/>
        </w:rPr>
        <w:t>λευχ</w:t>
      </w:r>
      <w:r w:rsidRPr="003572BA">
        <w:rPr>
          <w:rFonts w:ascii="Times New Roman" w:hAnsi="Times New Roman"/>
          <w:i/>
          <w:spacing w:val="-2"/>
          <w:lang w:val="el-GR"/>
        </w:rPr>
        <w:t xml:space="preserve">αιμία ή </w:t>
      </w:r>
      <w:r>
        <w:rPr>
          <w:rFonts w:ascii="Times New Roman" w:hAnsi="Times New Roman"/>
          <w:i/>
          <w:spacing w:val="-2"/>
          <w:lang w:val="el-GR"/>
        </w:rPr>
        <w:t>μ</w:t>
      </w:r>
      <w:r w:rsidRPr="003572BA">
        <w:rPr>
          <w:rFonts w:ascii="Times New Roman" w:hAnsi="Times New Roman"/>
          <w:i/>
          <w:spacing w:val="-2"/>
          <w:lang w:val="el-GR"/>
        </w:rPr>
        <w:t xml:space="preserve">υελοδυσπλαστικό </w:t>
      </w:r>
      <w:r>
        <w:rPr>
          <w:rFonts w:ascii="Times New Roman" w:hAnsi="Times New Roman"/>
          <w:i/>
          <w:spacing w:val="-2"/>
          <w:lang w:val="el-GR"/>
        </w:rPr>
        <w:t>σ</w:t>
      </w:r>
      <w:r w:rsidRPr="003572BA">
        <w:rPr>
          <w:rFonts w:ascii="Times New Roman" w:hAnsi="Times New Roman"/>
          <w:i/>
          <w:spacing w:val="-2"/>
          <w:lang w:val="el-GR"/>
        </w:rPr>
        <w:t>ύνδρομο</w:t>
      </w:r>
    </w:p>
    <w:p w:rsidR="00FC2B92" w:rsidRPr="00F8543C" w:rsidRDefault="00FC2B92" w:rsidP="00240576">
      <w:pPr>
        <w:keepNext/>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i/>
          <w:spacing w:val="-2"/>
          <w:lang w:val="el-GR"/>
        </w:rPr>
      </w:pPr>
    </w:p>
    <w:p w:rsidR="00FC2B92" w:rsidRPr="00077E30" w:rsidRDefault="00FC2B92" w:rsidP="00240576">
      <w:pPr>
        <w:keepNext/>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Ειδική προσοχ</w:t>
      </w:r>
      <w:r w:rsidRPr="00F8543C">
        <w:rPr>
          <w:rFonts w:ascii="Times New Roman" w:hAnsi="Times New Roman"/>
          <w:spacing w:val="-2"/>
          <w:lang w:val="el-GR"/>
        </w:rPr>
        <w:t xml:space="preserve">ή θα πρέπει να δίνεται κατά τη διάγνωση </w:t>
      </w:r>
      <w:r w:rsidR="00667B6A">
        <w:rPr>
          <w:rFonts w:ascii="Times New Roman" w:hAnsi="Times New Roman"/>
          <w:spacing w:val="-2"/>
        </w:rPr>
        <w:t>SCN</w:t>
      </w:r>
      <w:r w:rsidRPr="00F8543C">
        <w:rPr>
          <w:rFonts w:ascii="Times New Roman" w:hAnsi="Times New Roman"/>
          <w:spacing w:val="-2"/>
          <w:lang w:val="el-GR"/>
        </w:rPr>
        <w:t>, ώστε να δια</w:t>
      </w:r>
      <w:r>
        <w:rPr>
          <w:rFonts w:ascii="Times New Roman" w:hAnsi="Times New Roman"/>
          <w:spacing w:val="-2"/>
          <w:lang w:val="el-GR"/>
        </w:rPr>
        <w:t>χ</w:t>
      </w:r>
      <w:r w:rsidRPr="00F8543C">
        <w:rPr>
          <w:rFonts w:ascii="Times New Roman" w:hAnsi="Times New Roman"/>
          <w:spacing w:val="-2"/>
          <w:lang w:val="el-GR"/>
        </w:rPr>
        <w:t>ωρίζονται από άλλες αιμ</w:t>
      </w:r>
      <w:r>
        <w:rPr>
          <w:rFonts w:ascii="Times New Roman" w:hAnsi="Times New Roman"/>
          <w:spacing w:val="-2"/>
          <w:lang w:val="el-GR"/>
        </w:rPr>
        <w:t>οποιητικές</w:t>
      </w:r>
      <w:r w:rsidRPr="00F8543C">
        <w:rPr>
          <w:rFonts w:ascii="Times New Roman" w:hAnsi="Times New Roman"/>
          <w:spacing w:val="-2"/>
          <w:lang w:val="el-GR"/>
        </w:rPr>
        <w:t xml:space="preserve"> διαταρα</w:t>
      </w:r>
      <w:r>
        <w:rPr>
          <w:rFonts w:ascii="Times New Roman" w:hAnsi="Times New Roman"/>
          <w:spacing w:val="-2"/>
          <w:lang w:val="el-GR"/>
        </w:rPr>
        <w:t>χ</w:t>
      </w:r>
      <w:r w:rsidRPr="00F8543C">
        <w:rPr>
          <w:rFonts w:ascii="Times New Roman" w:hAnsi="Times New Roman"/>
          <w:spacing w:val="-2"/>
          <w:lang w:val="el-GR"/>
        </w:rPr>
        <w:t>ές, όπως είναι η απλαστική αναιμία, η μυελοδυσπλασία και</w:t>
      </w:r>
      <w:r>
        <w:rPr>
          <w:rFonts w:ascii="Times New Roman" w:hAnsi="Times New Roman"/>
          <w:spacing w:val="-2"/>
          <w:lang w:val="el-GR"/>
        </w:rPr>
        <w:t xml:space="preserve"> η</w:t>
      </w:r>
      <w:r w:rsidRPr="00F8543C">
        <w:rPr>
          <w:rFonts w:ascii="Times New Roman" w:hAnsi="Times New Roman"/>
          <w:spacing w:val="-2"/>
          <w:lang w:val="el-GR"/>
        </w:rPr>
        <w:t xml:space="preserve"> μυελο</w:t>
      </w:r>
      <w:r>
        <w:rPr>
          <w:rFonts w:ascii="Times New Roman" w:hAnsi="Times New Roman"/>
          <w:spacing w:val="-2"/>
          <w:lang w:val="el-GR"/>
        </w:rPr>
        <w:t>γενής</w:t>
      </w:r>
      <w:r w:rsidRPr="00F8543C">
        <w:rPr>
          <w:rFonts w:ascii="Times New Roman" w:hAnsi="Times New Roman"/>
          <w:spacing w:val="-2"/>
          <w:lang w:val="el-GR"/>
        </w:rPr>
        <w:t xml:space="preserve"> </w:t>
      </w:r>
      <w:r>
        <w:rPr>
          <w:rFonts w:ascii="Times New Roman" w:hAnsi="Times New Roman"/>
          <w:spacing w:val="-2"/>
          <w:lang w:val="el-GR"/>
        </w:rPr>
        <w:t>λευχ</w:t>
      </w:r>
      <w:r w:rsidRPr="00F8543C">
        <w:rPr>
          <w:rFonts w:ascii="Times New Roman" w:hAnsi="Times New Roman"/>
          <w:spacing w:val="-2"/>
          <w:lang w:val="el-GR"/>
        </w:rPr>
        <w:t>αιμία.  Πριν από την έναρξη της θεραπείας θα πρέπει να γίνονται γενική αίματος και τύπος λευκών καθώς και μετρήσεις του αριθμού των αιμοπεταλίων και εκτίμηση της μορφολογίας του μυελού των οστών και του καρυότυπου.</w:t>
      </w:r>
    </w:p>
    <w:p w:rsidR="00A61AB5" w:rsidRPr="00077E30" w:rsidRDefault="00A61AB5" w:rsidP="00FC2B92">
      <w:pPr>
        <w:tabs>
          <w:tab w:val="left" w:pos="-851"/>
          <w:tab w:val="left" w:pos="-142"/>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pStyle w:val="22"/>
        <w:tabs>
          <w:tab w:val="clear" w:pos="0"/>
        </w:tabs>
      </w:pPr>
      <w:r w:rsidRPr="00877934">
        <w:t>Έχουν αναφερθεί, σε χαμηλή συχνότητα (περίπου 3%), περιστατικά μυελοδυσπλαστικών συνδρόμων (</w:t>
      </w:r>
      <w:r w:rsidR="00E0671A" w:rsidRPr="00083E93">
        <w:t>ΜΔΣ</w:t>
      </w:r>
      <w:r w:rsidRPr="00083E93">
        <w:t xml:space="preserve">) ή λευχαιμίας σε ασθενείς με σοβαρή χρόνια ουδετεροπενία που είχαν λάβει αγωγή με GRANULOKINE </w:t>
      </w:r>
      <w:r w:rsidRPr="00077E30">
        <w:t xml:space="preserve">κατά τη διάρκεια κλινικών μελετών. Αυτή η παρατήρηση έγινε μόνο σε ασθενείς με συγγενή ουδετεροπενία. Τα </w:t>
      </w:r>
      <w:r w:rsidR="00E0671A" w:rsidRPr="00077E30">
        <w:t>ΜΔΣ</w:t>
      </w:r>
      <w:r w:rsidRPr="00077E30">
        <w:t xml:space="preserve"> και οι λευχαιμίες είναι φυσικές επιπλοκές της ασθένειας και δεν υπάρχουν αρκετές ενδείξεις που να </w:t>
      </w:r>
      <w:r w:rsidR="00BD74AE" w:rsidRPr="00077E30">
        <w:t>συ</w:t>
      </w:r>
      <w:r w:rsidRPr="00877934">
        <w:t xml:space="preserve">σχετίζουν την εμφάνισή τους με τη θεραπεία με </w:t>
      </w:r>
      <w:r w:rsidRPr="00877934">
        <w:lastRenderedPageBreak/>
        <w:t>GRANULOKINE</w:t>
      </w:r>
      <w:r w:rsidRPr="00083E93">
        <w:t>. Μία υπο-ομάδα που περιελάμβανε περίπου το 12% των ασθενών που είχαν φυσιολογικές αξιολογήσεις κατά την έναρξη της αγωγής όσον αφορά στην κυτταρογενετική, βρέθηκαν στη συνέχεια να έχουν ανωμαλίες</w:t>
      </w:r>
      <w:r w:rsidRPr="00F8543C">
        <w:t>, συμπεριλαμβανομένης της μονοσωμίας 7, σε επαναλαμβανόμενη αξιολόγηση ρουτίνας. Είναι προς το παρόν ασαφές εάν μακρο</w:t>
      </w:r>
      <w:r>
        <w:t>χ</w:t>
      </w:r>
      <w:r w:rsidRPr="00F8543C">
        <w:t xml:space="preserve">ρόνια θεραπεία ασθενών με σοβαρή χρόνια ουδετεροπενία θα προδιέθετε τους ασθενείς σε κυτταρογενετικές ανωμαλίες, σε </w:t>
      </w:r>
      <w:r w:rsidR="00E0671A">
        <w:t>ΜΔΣ</w:t>
      </w:r>
      <w:r>
        <w:t>, ή να εξελιχθούν σε λευχ</w:t>
      </w:r>
      <w:r w:rsidRPr="00F8543C">
        <w:t>αιμικούς.  Συνιστάται να γίνονται στους ασθενείς σε τακτικά διαστήματα (περίπου κάθε 12 μήνες), μορφολογικές και κυτταρογενετικές εξετάσεις του μυελού των οστών.</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D669C5"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i/>
          <w:spacing w:val="-2"/>
          <w:lang w:val="el-GR"/>
        </w:rPr>
      </w:pPr>
      <w:r w:rsidRPr="00D669C5">
        <w:rPr>
          <w:rFonts w:ascii="Times New Roman" w:hAnsi="Times New Roman"/>
          <w:i/>
          <w:spacing w:val="-2"/>
          <w:lang w:val="el-GR"/>
        </w:rPr>
        <w:t>Άλλες ειδικές προφυλάξεις</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pStyle w:val="22"/>
        <w:tabs>
          <w:tab w:val="clear" w:pos="0"/>
        </w:tabs>
      </w:pPr>
      <w:r w:rsidRPr="00F8543C">
        <w:t>Θα πρέπει να αποκλείονται παροδικές ουδετεροπενίες οφειλόμενες σε λοιμώξεις από ιούς.</w:t>
      </w:r>
    </w:p>
    <w:p w:rsidR="00FC2B92" w:rsidRPr="00F8543C" w:rsidRDefault="00FC2B92" w:rsidP="00FC2B92">
      <w:pPr>
        <w:pStyle w:val="22"/>
        <w:tabs>
          <w:tab w:val="clear" w:pos="0"/>
        </w:tabs>
      </w:pPr>
    </w:p>
    <w:p w:rsidR="00FC2B92" w:rsidRPr="00877934" w:rsidRDefault="00FC2B92" w:rsidP="00FC2B92">
      <w:pPr>
        <w:pStyle w:val="22"/>
        <w:tabs>
          <w:tab w:val="clear" w:pos="0"/>
        </w:tabs>
        <w:rPr>
          <w:vertAlign w:val="superscript"/>
        </w:rPr>
      </w:pPr>
      <w:r w:rsidRPr="00F8543C">
        <w:t xml:space="preserve">Η </w:t>
      </w:r>
      <w:r w:rsidR="004E1A9E">
        <w:t>σπληνομεγαλία</w:t>
      </w:r>
      <w:r w:rsidRPr="00F8543C">
        <w:t xml:space="preserve"> αποτελεί μια άμεση επίπτωση της αγωγής με GRANULOKINE.  Στο 31% των ασθενών που έλαβαν μέρος σε κλινικές μελέτες αναφέρθηκε ότι παρουσίασαν ψηλαφητή σπληνομεγαλία.  Κατά τις πρώτες ημέρες της θεραπείας με GRANULOKINE παρατηρήθηκαν αυξήσεις σε όγκο που μπορούν να μετρηθούν ακτινογραφικά και οι οποίες αυξήσεις έτειναν να σταθεροποιούνται σε μια μέγιστη τιμή. Παρατηρήθηκε ότι μειώσεις των δόσεων έτειναν να επιβραδύνουν ή να σταματούν </w:t>
      </w:r>
      <w:r w:rsidRPr="00877934">
        <w:t>την εξέλιξη της διόγκωσης του σπληνός και σε 3% των ασθενών χρειάστηκε σπληνεκτομή. Οι διαστάσεις του σπληνός θα πρέπει να ελέγχονται τακτικά.  Οι κοιλιακές ψηλαφίσεις θα πρέπει να είναι επαρκείς</w:t>
      </w:r>
      <w:r w:rsidR="005414A4" w:rsidRPr="00877934">
        <w:t xml:space="preserve"> </w:t>
      </w:r>
      <w:r w:rsidRPr="00877934">
        <w:t>ώστε να ανιχνεύ</w:t>
      </w:r>
      <w:r w:rsidR="005414A4" w:rsidRPr="00877934">
        <w:t xml:space="preserve">σουν </w:t>
      </w:r>
      <w:r w:rsidRPr="00877934">
        <w:t xml:space="preserve"> μη φυσιολογικές αυξήσεις του όγκου του σπληνός.</w:t>
      </w:r>
    </w:p>
    <w:p w:rsidR="00FC2B92" w:rsidRPr="00877934"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470D21" w:rsidP="00FC2B92">
      <w:pPr>
        <w:tabs>
          <w:tab w:val="left" w:pos="-851"/>
          <w:tab w:val="left" w:pos="-131"/>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877934">
        <w:rPr>
          <w:rFonts w:ascii="Times New Roman" w:hAnsi="Times New Roman"/>
          <w:spacing w:val="-2"/>
          <w:lang w:val="el-GR"/>
        </w:rPr>
        <w:t>Η αιματουρία ήταν συχνή και πρωτεϊνουρία παρουσιάστηκε με μικρό αριθμό ασθενών.</w:t>
      </w:r>
      <w:r w:rsidR="00FC2B92" w:rsidRPr="00877934">
        <w:rPr>
          <w:rFonts w:ascii="Times New Roman" w:hAnsi="Times New Roman"/>
          <w:spacing w:val="-2"/>
          <w:lang w:val="el-GR"/>
        </w:rPr>
        <w:t xml:space="preserve"> Θα πρέπει να γίνονται </w:t>
      </w:r>
      <w:r w:rsidRPr="00877934">
        <w:rPr>
          <w:rFonts w:ascii="Times New Roman" w:hAnsi="Times New Roman"/>
          <w:spacing w:val="-2"/>
          <w:lang w:val="el-GR"/>
        </w:rPr>
        <w:t xml:space="preserve">τακτικές </w:t>
      </w:r>
      <w:r w:rsidR="00FC2B92" w:rsidRPr="00877934">
        <w:rPr>
          <w:rFonts w:ascii="Times New Roman" w:hAnsi="Times New Roman"/>
          <w:spacing w:val="-2"/>
          <w:lang w:val="el-GR"/>
        </w:rPr>
        <w:t>αναλύσεις ούρων ώστε</w:t>
      </w:r>
      <w:r w:rsidR="00FC2B92" w:rsidRPr="00F8543C">
        <w:rPr>
          <w:rFonts w:ascii="Times New Roman" w:hAnsi="Times New Roman"/>
          <w:spacing w:val="-2"/>
          <w:lang w:val="el-GR"/>
        </w:rPr>
        <w:t xml:space="preserve"> να ελέγ</w:t>
      </w:r>
      <w:r w:rsidR="00FC2B92">
        <w:rPr>
          <w:rFonts w:ascii="Times New Roman" w:hAnsi="Times New Roman"/>
          <w:spacing w:val="-2"/>
          <w:lang w:val="el-GR"/>
        </w:rPr>
        <w:t>χ</w:t>
      </w:r>
      <w:r w:rsidR="00C73371">
        <w:rPr>
          <w:rFonts w:ascii="Times New Roman" w:hAnsi="Times New Roman"/>
          <w:spacing w:val="-2"/>
          <w:lang w:val="el-GR"/>
        </w:rPr>
        <w:t>ονται</w:t>
      </w:r>
      <w:r w:rsidR="00FC2B92" w:rsidRPr="00F8543C">
        <w:rPr>
          <w:rFonts w:ascii="Times New Roman" w:hAnsi="Times New Roman"/>
          <w:spacing w:val="-2"/>
          <w:lang w:val="el-GR"/>
        </w:rPr>
        <w:t xml:space="preserve"> αυτ</w:t>
      </w:r>
      <w:r w:rsidR="00C73371">
        <w:rPr>
          <w:rFonts w:ascii="Times New Roman" w:hAnsi="Times New Roman"/>
          <w:spacing w:val="-2"/>
          <w:lang w:val="el-GR"/>
        </w:rPr>
        <w:t>ά</w:t>
      </w:r>
      <w:r w:rsidR="00FC2B92" w:rsidRPr="00F8543C">
        <w:rPr>
          <w:rFonts w:ascii="Times New Roman" w:hAnsi="Times New Roman"/>
          <w:spacing w:val="-2"/>
          <w:lang w:val="el-GR"/>
        </w:rPr>
        <w:t xml:space="preserve"> τ</w:t>
      </w:r>
      <w:r w:rsidR="00C73371">
        <w:rPr>
          <w:rFonts w:ascii="Times New Roman" w:hAnsi="Times New Roman"/>
          <w:spacing w:val="-2"/>
          <w:lang w:val="el-GR"/>
        </w:rPr>
        <w:t>α</w:t>
      </w:r>
      <w:r w:rsidR="00FC2B92" w:rsidRPr="00F8543C">
        <w:rPr>
          <w:rFonts w:ascii="Times New Roman" w:hAnsi="Times New Roman"/>
          <w:spacing w:val="-2"/>
          <w:lang w:val="el-GR"/>
        </w:rPr>
        <w:t xml:space="preserve"> ενδε</w:t>
      </w:r>
      <w:r w:rsidR="00FC2B92">
        <w:rPr>
          <w:rFonts w:ascii="Times New Roman" w:hAnsi="Times New Roman"/>
          <w:spacing w:val="-2"/>
          <w:lang w:val="el-GR"/>
        </w:rPr>
        <w:t>χ</w:t>
      </w:r>
      <w:r w:rsidR="00FC2B92" w:rsidRPr="00F8543C">
        <w:rPr>
          <w:rFonts w:ascii="Times New Roman" w:hAnsi="Times New Roman"/>
          <w:spacing w:val="-2"/>
          <w:lang w:val="el-GR"/>
        </w:rPr>
        <w:t>όμεν</w:t>
      </w:r>
      <w:r w:rsidR="00C73371">
        <w:rPr>
          <w:rFonts w:ascii="Times New Roman" w:hAnsi="Times New Roman"/>
          <w:spacing w:val="-2"/>
          <w:lang w:val="el-GR"/>
        </w:rPr>
        <w:t>α</w:t>
      </w:r>
      <w:r w:rsidR="00FC2B92" w:rsidRPr="00F8543C">
        <w:rPr>
          <w:rFonts w:ascii="Times New Roman" w:hAnsi="Times New Roman"/>
          <w:spacing w:val="-2"/>
          <w:lang w:val="el-GR"/>
        </w:rPr>
        <w:t>.</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pStyle w:val="22"/>
      </w:pPr>
      <w:r w:rsidRPr="00F8543C">
        <w:t>Δεν έ</w:t>
      </w:r>
      <w:r>
        <w:t>χ</w:t>
      </w:r>
      <w:r w:rsidRPr="00F8543C">
        <w:t xml:space="preserve">ει </w:t>
      </w:r>
      <w:r w:rsidRPr="002B6BCC">
        <w:t xml:space="preserve">τεκμηριωθεί </w:t>
      </w:r>
      <w:r w:rsidRPr="00F8543C">
        <w:t>ακόμη η ασφάλεια και αποτελεσματικότητα στα νεογνά και σε ασθενείς με αυτοάνοση ουδετεροπενία.</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FC2B92" w:rsidRPr="00D669C5"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u w:val="single"/>
          <w:lang w:val="el-GR"/>
        </w:rPr>
      </w:pPr>
      <w:r w:rsidRPr="00D669C5">
        <w:rPr>
          <w:rFonts w:ascii="Times New Roman" w:hAnsi="Times New Roman"/>
          <w:spacing w:val="-2"/>
          <w:u w:val="single"/>
          <w:lang w:val="el-GR"/>
        </w:rPr>
        <w:t xml:space="preserve">Ειδικές </w:t>
      </w:r>
      <w:r>
        <w:rPr>
          <w:rFonts w:ascii="Times New Roman" w:hAnsi="Times New Roman"/>
          <w:spacing w:val="-2"/>
          <w:u w:val="single"/>
          <w:lang w:val="el-GR"/>
        </w:rPr>
        <w:t>π</w:t>
      </w:r>
      <w:r w:rsidRPr="00D669C5">
        <w:rPr>
          <w:rFonts w:ascii="Times New Roman" w:hAnsi="Times New Roman"/>
          <w:spacing w:val="-2"/>
          <w:u w:val="single"/>
          <w:lang w:val="el-GR"/>
        </w:rPr>
        <w:t xml:space="preserve">ροφυλάξεις σε ασθενείς με HIV λοίμωξη </w:t>
      </w:r>
    </w:p>
    <w:p w:rsidR="00FC2B92" w:rsidRPr="00F8543C" w:rsidRDefault="00FC2B92" w:rsidP="00FC2B92">
      <w:pPr>
        <w:tabs>
          <w:tab w:val="left" w:pos="-851"/>
          <w:tab w:val="left" w:pos="-131"/>
          <w:tab w:val="left" w:pos="589"/>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firstLine="33"/>
        <w:jc w:val="both"/>
        <w:rPr>
          <w:rFonts w:ascii="Times New Roman" w:hAnsi="Times New Roman"/>
          <w:i/>
          <w:spacing w:val="-2"/>
          <w:lang w:val="el-GR"/>
        </w:rPr>
      </w:pPr>
    </w:p>
    <w:p w:rsidR="00FC2B92" w:rsidRPr="00D669C5" w:rsidRDefault="00FC2B92" w:rsidP="00FC2B92">
      <w:pPr>
        <w:tabs>
          <w:tab w:val="left" w:pos="-851"/>
          <w:tab w:val="left" w:pos="-131"/>
          <w:tab w:val="left" w:pos="589"/>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firstLine="33"/>
        <w:jc w:val="both"/>
        <w:rPr>
          <w:rFonts w:ascii="Times New Roman" w:hAnsi="Times New Roman"/>
          <w:bCs/>
          <w:i/>
          <w:spacing w:val="-2"/>
          <w:lang w:val="el-GR"/>
        </w:rPr>
      </w:pPr>
      <w:r w:rsidRPr="00D669C5">
        <w:rPr>
          <w:rFonts w:ascii="Times New Roman" w:hAnsi="Times New Roman"/>
          <w:bCs/>
          <w:i/>
          <w:spacing w:val="-2"/>
          <w:lang w:val="el-GR"/>
        </w:rPr>
        <w:t>Αριθμός αιμοσφαιρίων</w:t>
      </w:r>
    </w:p>
    <w:p w:rsidR="00FC2B92" w:rsidRPr="00F8543C" w:rsidRDefault="00FC2B92" w:rsidP="00FC2B92">
      <w:pPr>
        <w:tabs>
          <w:tab w:val="left" w:pos="-851"/>
          <w:tab w:val="left" w:pos="-131"/>
          <w:tab w:val="left" w:pos="589"/>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firstLine="33"/>
        <w:jc w:val="both"/>
        <w:rPr>
          <w:rFonts w:ascii="Times New Roman" w:hAnsi="Times New Roman"/>
          <w:spacing w:val="-2"/>
          <w:lang w:val="el-GR"/>
        </w:rPr>
      </w:pPr>
    </w:p>
    <w:p w:rsidR="00FC2B92" w:rsidRPr="00F8543C" w:rsidRDefault="00FC2B92" w:rsidP="00FC2B92">
      <w:pPr>
        <w:pStyle w:val="a9"/>
      </w:pPr>
      <w:r w:rsidRPr="00F8543C">
        <w:t xml:space="preserve">Ο απόλυτος αριθμός </w:t>
      </w:r>
      <w:r w:rsidR="00946D24">
        <w:t>ουδετερόφιλων</w:t>
      </w:r>
      <w:r w:rsidRPr="00F8543C">
        <w:t xml:space="preserve"> (ANC) πρέπει να παρακολουθείται στενά, ιδιαίτερα κατά τη διάρκεια των πρώτων λίγων εβδομάδων θεραπείας με GRANULOKINE. Μερικοί ασθενείς μπορεί να ανταποκριθούν πολύ γρήγορα και με μια σημαντική αύξηση του αριθμού των </w:t>
      </w:r>
      <w:r w:rsidR="00946D24">
        <w:t>ουδετερόφιλων</w:t>
      </w:r>
      <w:r w:rsidRPr="00F8543C">
        <w:t xml:space="preserve"> στην αρχική δόση του GRANULOKINE. Συνιστάται να προσδιορίζεται ο απόλυτος αριθμός </w:t>
      </w:r>
      <w:r w:rsidR="00946D24">
        <w:t>ουδετερόφιλων</w:t>
      </w:r>
      <w:r w:rsidRPr="00F8543C">
        <w:t xml:space="preserve"> καθημερινά τις πρώτες 2-3 ημέρες της χορήγησης GRANULOKINE. Κατόπιν τούτου, συνιστάται ο προσδιορισμός του ANC τουλάχιστον δύο φορές την εβδομάδα τις πρώτες δύο εβδομάδες και ακολούθως μια φορά την εβδομάδα ή μια φορά κάθε δεύτερη εβδομάδα κατά τη διάρκεια της θεραπείας συντήρησης.  Κατά τη διάρκεια διαλείπουσας δοσολογίας με 30 MU (300 μg) /ημέρα GRANULOKINE μπορεί να υπάρξουν μεγάλες διακυμάνσεις του </w:t>
      </w:r>
      <w:r w:rsidR="00E0671A">
        <w:rPr>
          <w:lang w:val="en-US"/>
        </w:rPr>
        <w:t>ANC</w:t>
      </w:r>
      <w:r w:rsidRPr="00F8543C">
        <w:t xml:space="preserve"> των ασθενών σε σχέση με το χρόνο.  Για να υπολογιστεί ο απόλυτος αριθμός </w:t>
      </w:r>
      <w:r w:rsidR="00946D24">
        <w:t>ουδετερόφιλων</w:t>
      </w:r>
      <w:r w:rsidRPr="00F8543C">
        <w:t xml:space="preserve"> ενός ασθενούς στο χαμηλότερο ή στο υψηλότερο σημείο, συνιστάται να λαμβάνονται δείγματα αίματος για μέτρηση του ANC ακριβώς πριν από κάθε προγραμματισμένη χορήγηση δόσης GRANULOKINE.</w:t>
      </w:r>
    </w:p>
    <w:p w:rsidR="00046C03" w:rsidRPr="00F8543C" w:rsidRDefault="00046C03">
      <w:pPr>
        <w:tabs>
          <w:tab w:val="left" w:pos="-851"/>
          <w:tab w:val="left" w:pos="-131"/>
          <w:tab w:val="left" w:pos="589"/>
          <w:tab w:val="left" w:pos="1276"/>
          <w:tab w:val="left" w:pos="1309"/>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276" w:firstLine="33"/>
        <w:jc w:val="both"/>
        <w:rPr>
          <w:rFonts w:ascii="Times New Roman" w:hAnsi="Times New Roman"/>
          <w:spacing w:val="-2"/>
          <w:lang w:val="el-GR"/>
        </w:rPr>
      </w:pPr>
    </w:p>
    <w:p w:rsidR="00FC2B92" w:rsidRPr="005B4867" w:rsidRDefault="00FC2B92" w:rsidP="00FC2B92">
      <w:pPr>
        <w:pStyle w:val="3"/>
        <w:tabs>
          <w:tab w:val="clear" w:pos="0"/>
          <w:tab w:val="clear" w:pos="1309"/>
          <w:tab w:val="clear" w:pos="2749"/>
          <w:tab w:val="left" w:pos="142"/>
          <w:tab w:val="left" w:pos="1701"/>
          <w:tab w:val="left" w:pos="1985"/>
        </w:tabs>
        <w:rPr>
          <w:b w:val="0"/>
          <w:bCs/>
        </w:rPr>
      </w:pPr>
      <w:r w:rsidRPr="005B4867">
        <w:rPr>
          <w:b w:val="0"/>
          <w:bCs/>
        </w:rPr>
        <w:t>Κίνδυνοι σχετιζόμενοι με αυξημένες δόσεις μυελοκατασταλτικών φαρμάκων</w:t>
      </w:r>
    </w:p>
    <w:p w:rsidR="00FC2B92" w:rsidRPr="00F8543C" w:rsidRDefault="00FC2B92" w:rsidP="00FC2B92">
      <w:pPr>
        <w:tabs>
          <w:tab w:val="left" w:pos="-851"/>
          <w:tab w:val="left" w:pos="-131"/>
          <w:tab w:val="left" w:pos="142"/>
          <w:tab w:val="left" w:pos="1701"/>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FC2B92" w:rsidRPr="00F8543C" w:rsidRDefault="00FC2B92" w:rsidP="00FC2B92">
      <w:pPr>
        <w:pStyle w:val="22"/>
        <w:tabs>
          <w:tab w:val="clear" w:pos="0"/>
          <w:tab w:val="clear" w:pos="589"/>
          <w:tab w:val="clear" w:pos="2749"/>
          <w:tab w:val="left" w:pos="142"/>
          <w:tab w:val="left" w:pos="1701"/>
          <w:tab w:val="left" w:pos="1985"/>
        </w:tabs>
      </w:pPr>
      <w:r w:rsidRPr="00F8543C">
        <w:t xml:space="preserve">Η μονοθεραπεία με GRANULOKINE δεν αποκλείει τη θρομβοπενία και </w:t>
      </w:r>
      <w:r w:rsidRPr="002B6BCC">
        <w:t>την</w:t>
      </w:r>
      <w:r>
        <w:rPr>
          <w:color w:val="FF00FF"/>
        </w:rPr>
        <w:t xml:space="preserve"> </w:t>
      </w:r>
      <w:r w:rsidRPr="00F8543C">
        <w:t xml:space="preserve">αναιμία λόγω των μυελοκατασταλτικών φαρμάκων. </w:t>
      </w:r>
      <w:r>
        <w:t>Ως</w:t>
      </w:r>
      <w:r w:rsidRPr="00B3718F">
        <w:t xml:space="preserve"> </w:t>
      </w:r>
      <w:r w:rsidRPr="00F8543C">
        <w:t>αποτέλεσμα της δυνατότητας λήψης υψηλότερων δόσεων ή μεγαλύτερου αριθμού αυτών των φαρμάκων με θεραπεία με GRANULOKINE, ο ασθενής μπορεί να είναι σε μεγαλύτερο κίνδυνο ανάπτυξης θρομβοπενίας και αναιμίας. Συνιστάται τακτική παρακολούθηση των αιματολογικών παραμέτρων (βλ. παραπάνω).</w:t>
      </w:r>
    </w:p>
    <w:p w:rsidR="00046C03" w:rsidRPr="00F8543C" w:rsidRDefault="00046C03">
      <w:pPr>
        <w:tabs>
          <w:tab w:val="left" w:pos="-851"/>
          <w:tab w:val="left" w:pos="-131"/>
          <w:tab w:val="left" w:pos="142"/>
          <w:tab w:val="left" w:pos="1701"/>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B3718F" w:rsidRDefault="00FC2B92" w:rsidP="00FC2B92">
      <w:pPr>
        <w:pStyle w:val="3"/>
        <w:tabs>
          <w:tab w:val="clear" w:pos="0"/>
          <w:tab w:val="clear" w:pos="1309"/>
          <w:tab w:val="clear" w:pos="2749"/>
          <w:tab w:val="left" w:pos="142"/>
          <w:tab w:val="left" w:pos="1701"/>
          <w:tab w:val="left" w:pos="1985"/>
        </w:tabs>
        <w:rPr>
          <w:b w:val="0"/>
          <w:bCs/>
        </w:rPr>
      </w:pPr>
      <w:r w:rsidRPr="00B3718F">
        <w:rPr>
          <w:b w:val="0"/>
          <w:bCs/>
        </w:rPr>
        <w:t>Λοιμώξεις και κακοήθειες που προκαλούν μυελοκαταστολή</w:t>
      </w:r>
    </w:p>
    <w:p w:rsidR="00FC2B92" w:rsidRPr="00F8543C" w:rsidRDefault="00FC2B92" w:rsidP="00FC2B92">
      <w:pPr>
        <w:tabs>
          <w:tab w:val="left" w:pos="-851"/>
          <w:tab w:val="left" w:pos="-131"/>
          <w:tab w:val="left" w:pos="142"/>
          <w:tab w:val="left" w:pos="1701"/>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FC2B92" w:rsidRPr="00F8543C" w:rsidRDefault="00FC2B92" w:rsidP="00FC2B92">
      <w:pPr>
        <w:tabs>
          <w:tab w:val="left" w:pos="-851"/>
          <w:tab w:val="left" w:pos="-131"/>
          <w:tab w:val="left" w:pos="142"/>
          <w:tab w:val="left" w:pos="1701"/>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ουδετεροπενία μπορεί να οφείλεται σε ευκαιριακές λοιμώξεις που διηθούν το μυελό των οστών όπως το </w:t>
      </w:r>
      <w:r w:rsidRPr="00F8543C">
        <w:rPr>
          <w:rFonts w:ascii="Times New Roman" w:hAnsi="Times New Roman"/>
          <w:i/>
          <w:spacing w:val="-2"/>
          <w:lang w:val="el-GR"/>
        </w:rPr>
        <w:t xml:space="preserve">Mycobacterium avium </w:t>
      </w:r>
      <w:r w:rsidRPr="00F8543C">
        <w:rPr>
          <w:rFonts w:ascii="Times New Roman" w:hAnsi="Times New Roman"/>
          <w:i/>
          <w:spacing w:val="-2"/>
        </w:rPr>
        <w:t>Complex</w:t>
      </w:r>
      <w:r w:rsidRPr="00F8543C">
        <w:rPr>
          <w:rFonts w:ascii="Times New Roman" w:hAnsi="Times New Roman"/>
          <w:i/>
          <w:spacing w:val="-2"/>
          <w:lang w:val="el-GR"/>
        </w:rPr>
        <w:t xml:space="preserve"> (</w:t>
      </w:r>
      <w:r w:rsidRPr="00F8543C">
        <w:rPr>
          <w:rFonts w:ascii="Times New Roman" w:hAnsi="Times New Roman"/>
          <w:i/>
          <w:spacing w:val="-2"/>
        </w:rPr>
        <w:t>MAC</w:t>
      </w:r>
      <w:r w:rsidRPr="00F8543C">
        <w:rPr>
          <w:rFonts w:ascii="Times New Roman" w:hAnsi="Times New Roman"/>
          <w:i/>
          <w:spacing w:val="-2"/>
          <w:lang w:val="el-GR"/>
        </w:rPr>
        <w:t>)</w:t>
      </w:r>
      <w:r w:rsidRPr="00F8543C">
        <w:rPr>
          <w:rFonts w:ascii="Times New Roman" w:hAnsi="Times New Roman"/>
          <w:spacing w:val="-2"/>
          <w:lang w:val="el-GR"/>
        </w:rPr>
        <w:t xml:space="preserve"> ή κακοήθειες όπως το λέμφωμα.  Σε ασθενείς με γνωστές λοιμώξεις που διηθούν το μυελό των οστών ή κακοήθεια, εξετάστε τη χορήγηση κατάλληλης αγωγής για τη θεραπεία της υποκείμενης νόσου, επιπροσθέτως της χορήγησης του GRANULOKINE για τη θεραπεία της ουδετεροπενίας.  Τα αποτελέσματα του GRANULOKINE στην ουδετεροπενία λόγω της διήθησης του μυελού των οστών από λοίμωξη ή λόγω κακοήθειας δεν έχουν επαρκώς τεκμηριωθεί.</w:t>
      </w:r>
    </w:p>
    <w:p w:rsidR="00046C03" w:rsidRPr="00F8543C" w:rsidRDefault="00046C03">
      <w:pPr>
        <w:tabs>
          <w:tab w:val="left" w:pos="-851"/>
          <w:tab w:val="left" w:pos="-131"/>
          <w:tab w:val="left" w:pos="142"/>
          <w:tab w:val="left" w:pos="1701"/>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DF4B19" w:rsidRDefault="00FC2B92" w:rsidP="00FC2B92">
      <w:pPr>
        <w:pStyle w:val="1"/>
        <w:rPr>
          <w:b w:val="0"/>
          <w:color w:val="FF00FF"/>
          <w:u w:val="single"/>
        </w:rPr>
      </w:pPr>
      <w:r w:rsidRPr="00DF4B19">
        <w:rPr>
          <w:b w:val="0"/>
          <w:u w:val="single"/>
        </w:rPr>
        <w:t xml:space="preserve">Ειδικές προφυλάξεις σε </w:t>
      </w:r>
      <w:r>
        <w:rPr>
          <w:b w:val="0"/>
          <w:u w:val="single"/>
        </w:rPr>
        <w:t>δ</w:t>
      </w:r>
      <w:r w:rsidRPr="00DF4B19">
        <w:rPr>
          <w:b w:val="0"/>
          <w:u w:val="single"/>
        </w:rPr>
        <w:t>ρεπανοκυτταρική</w:t>
      </w:r>
      <w:r>
        <w:rPr>
          <w:b w:val="0"/>
          <w:u w:val="single"/>
        </w:rPr>
        <w:t xml:space="preserve"> νόσο</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2B6BC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2B6BCC">
        <w:rPr>
          <w:rFonts w:ascii="Times New Roman" w:hAnsi="Times New Roman"/>
          <w:spacing w:val="-2"/>
          <w:lang w:val="el-GR"/>
        </w:rPr>
        <w:t xml:space="preserve">Κρίσεις δρεπανοκυτταρικής αναιμίας, σε ορισμένες περιπτώσεις με θανατηφόρο κατάληξη, έχουν αναφερθεί κατά τη χρήση </w:t>
      </w:r>
      <w:r w:rsidRPr="002B6BCC">
        <w:rPr>
          <w:rFonts w:ascii="Times New Roman" w:hAnsi="Times New Roman"/>
          <w:spacing w:val="-2"/>
        </w:rPr>
        <w:t>GRANULOKINE</w:t>
      </w:r>
      <w:r w:rsidRPr="002B6BCC">
        <w:rPr>
          <w:rFonts w:ascii="Times New Roman" w:hAnsi="Times New Roman"/>
          <w:spacing w:val="-2"/>
          <w:lang w:val="el-GR"/>
        </w:rPr>
        <w:t xml:space="preserve"> σε ασθενείς με δρεπανοκυτταρική αναιμία. Οι ιατροί θα πρέπει να είναι προσεκτικοί κατά την εξέταση του ενδεχομένου χορήγησης </w:t>
      </w:r>
      <w:r w:rsidRPr="002B6BCC">
        <w:rPr>
          <w:rFonts w:ascii="Times New Roman" w:hAnsi="Times New Roman"/>
          <w:spacing w:val="-2"/>
        </w:rPr>
        <w:t>GRANULOKINE</w:t>
      </w:r>
      <w:r w:rsidRPr="002B6BCC">
        <w:rPr>
          <w:rFonts w:ascii="Times New Roman" w:hAnsi="Times New Roman"/>
          <w:spacing w:val="-2"/>
          <w:lang w:val="el-GR"/>
        </w:rPr>
        <w:t xml:space="preserve"> σε ασθενείς με δρεπανοκυτταρική αναιμία, και μόνο μετά από προσεκτική αξιολόγηση των πιθανών κίνδυνων έναντι του οφέλους.</w:t>
      </w:r>
    </w:p>
    <w:p w:rsidR="00046C03"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DC63FD" w:rsidRPr="002739D6" w:rsidRDefault="00DC63FD" w:rsidP="00DC63F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2739D6">
        <w:rPr>
          <w:rFonts w:ascii="Times New Roman" w:hAnsi="Times New Roman"/>
          <w:spacing w:val="-2"/>
          <w:u w:val="single"/>
          <w:lang w:val="el-GR"/>
        </w:rPr>
        <w:t>Όλοι οι ασθενείς</w:t>
      </w:r>
    </w:p>
    <w:p w:rsidR="00DC63FD" w:rsidRDefault="00DC63FD" w:rsidP="00DC63F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DC63FD" w:rsidRDefault="00DC63FD" w:rsidP="00DC63F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Το </w:t>
      </w:r>
      <w:r w:rsidR="00E0671A" w:rsidRPr="00A16CBB">
        <w:rPr>
          <w:rFonts w:ascii="Times New Roman" w:hAnsi="Times New Roman"/>
          <w:spacing w:val="-2"/>
        </w:rPr>
        <w:t>G</w:t>
      </w:r>
      <w:r w:rsidR="00E0671A">
        <w:rPr>
          <w:rFonts w:ascii="Times New Roman" w:hAnsi="Times New Roman"/>
          <w:spacing w:val="-2"/>
        </w:rPr>
        <w:t>RANULOKINE</w:t>
      </w:r>
      <w:r w:rsidR="00E0671A" w:rsidRPr="00BD74AE" w:rsidDel="00E0671A">
        <w:rPr>
          <w:rFonts w:ascii="Times New Roman" w:hAnsi="Times New Roman"/>
          <w:spacing w:val="-2"/>
          <w:lang w:val="el-GR"/>
        </w:rPr>
        <w:t xml:space="preserve"> </w:t>
      </w:r>
      <w:r>
        <w:rPr>
          <w:rFonts w:ascii="Times New Roman" w:hAnsi="Times New Roman"/>
          <w:spacing w:val="-2"/>
          <w:lang w:val="el-GR"/>
        </w:rPr>
        <w:t>περιέχει σορβιτόλη (Ε420). Ασθενείς με σπάνια κληρονομικά προβλήματα δυσανεξίας στη φρουκτόζη δεν θα πρέπει να λαμβάνουν αυτό το φάρμακο.</w:t>
      </w:r>
    </w:p>
    <w:p w:rsidR="00DC63FD" w:rsidRDefault="00DC63FD" w:rsidP="00DC63F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DC63FD" w:rsidRPr="008C7ED1" w:rsidRDefault="00DC63FD" w:rsidP="00DC63F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Το </w:t>
      </w:r>
      <w:r w:rsidR="00E0671A" w:rsidRPr="00A16CBB">
        <w:rPr>
          <w:rFonts w:ascii="Times New Roman" w:hAnsi="Times New Roman"/>
          <w:spacing w:val="-2"/>
        </w:rPr>
        <w:t>G</w:t>
      </w:r>
      <w:r w:rsidR="00E0671A">
        <w:rPr>
          <w:rFonts w:ascii="Times New Roman" w:hAnsi="Times New Roman"/>
          <w:spacing w:val="-2"/>
        </w:rPr>
        <w:t>RANULOKINE</w:t>
      </w:r>
      <w:r w:rsidRPr="008C7ED1">
        <w:rPr>
          <w:rFonts w:ascii="Times New Roman" w:hAnsi="Times New Roman"/>
          <w:spacing w:val="-2"/>
          <w:lang w:val="el-GR"/>
        </w:rPr>
        <w:t xml:space="preserve"> </w:t>
      </w:r>
      <w:r>
        <w:rPr>
          <w:rFonts w:ascii="Times New Roman" w:hAnsi="Times New Roman"/>
          <w:spacing w:val="-2"/>
          <w:lang w:val="el-GR"/>
        </w:rPr>
        <w:t>περιέχει λιγότερο από 1</w:t>
      </w:r>
      <w:r w:rsidRPr="008C7ED1">
        <w:rPr>
          <w:rFonts w:ascii="Times New Roman" w:hAnsi="Times New Roman"/>
          <w:spacing w:val="-2"/>
          <w:lang w:val="el-GR"/>
        </w:rPr>
        <w:t xml:space="preserve"> </w:t>
      </w:r>
      <w:r>
        <w:rPr>
          <w:rFonts w:ascii="Times New Roman" w:hAnsi="Times New Roman"/>
          <w:spacing w:val="-2"/>
        </w:rPr>
        <w:t>mmol</w:t>
      </w:r>
      <w:r w:rsidRPr="008C7ED1">
        <w:rPr>
          <w:rFonts w:ascii="Times New Roman" w:hAnsi="Times New Roman"/>
          <w:spacing w:val="-2"/>
          <w:lang w:val="el-GR"/>
        </w:rPr>
        <w:t xml:space="preserve"> </w:t>
      </w:r>
      <w:r>
        <w:rPr>
          <w:rFonts w:ascii="Times New Roman" w:hAnsi="Times New Roman"/>
          <w:spacing w:val="-2"/>
          <w:lang w:val="el-GR"/>
        </w:rPr>
        <w:t xml:space="preserve">(23 </w:t>
      </w:r>
      <w:r>
        <w:rPr>
          <w:rFonts w:ascii="Times New Roman" w:hAnsi="Times New Roman"/>
          <w:spacing w:val="-2"/>
        </w:rPr>
        <w:t>mg</w:t>
      </w:r>
      <w:r w:rsidRPr="008C7ED1">
        <w:rPr>
          <w:rFonts w:ascii="Times New Roman" w:hAnsi="Times New Roman"/>
          <w:spacing w:val="-2"/>
          <w:lang w:val="el-GR"/>
        </w:rPr>
        <w:t>)</w:t>
      </w:r>
      <w:r>
        <w:rPr>
          <w:rFonts w:ascii="Times New Roman" w:hAnsi="Times New Roman"/>
          <w:spacing w:val="-2"/>
          <w:lang w:val="el-GR"/>
        </w:rPr>
        <w:t xml:space="preserve"> νατρίου ανά 0,3</w:t>
      </w:r>
      <w:r>
        <w:rPr>
          <w:rFonts w:ascii="Times New Roman" w:hAnsi="Times New Roman"/>
          <w:spacing w:val="-2"/>
        </w:rPr>
        <w:t>mg</w:t>
      </w:r>
      <w:r w:rsidRPr="008C7ED1">
        <w:rPr>
          <w:rFonts w:ascii="Times New Roman" w:hAnsi="Times New Roman"/>
          <w:spacing w:val="-2"/>
          <w:lang w:val="el-GR"/>
        </w:rPr>
        <w:t>/</w:t>
      </w:r>
      <w:r>
        <w:rPr>
          <w:rFonts w:ascii="Times New Roman" w:hAnsi="Times New Roman"/>
          <w:spacing w:val="-2"/>
        </w:rPr>
        <w:t>ml</w:t>
      </w:r>
      <w:r w:rsidRPr="008C7ED1">
        <w:rPr>
          <w:rFonts w:ascii="Times New Roman" w:hAnsi="Times New Roman"/>
          <w:spacing w:val="-2"/>
          <w:vertAlign w:val="superscript"/>
          <w:lang w:val="el-GR"/>
        </w:rPr>
        <w:t>.</w:t>
      </w:r>
      <w:r w:rsidRPr="008C7ED1">
        <w:rPr>
          <w:rFonts w:ascii="Times New Roman" w:hAnsi="Times New Roman"/>
          <w:spacing w:val="-2"/>
          <w:lang w:val="el-GR"/>
        </w:rPr>
        <w:t xml:space="preserve"> </w:t>
      </w:r>
      <w:r>
        <w:rPr>
          <w:rFonts w:ascii="Times New Roman" w:hAnsi="Times New Roman"/>
          <w:spacing w:val="-2"/>
          <w:lang w:val="el-GR"/>
        </w:rPr>
        <w:t>είναι ουσιαστικά ελεύθερο νατρίου.</w:t>
      </w:r>
    </w:p>
    <w:p w:rsidR="00DC63FD" w:rsidRDefault="00DC63F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2B2E77" w:rsidRDefault="002B2E77" w:rsidP="00CA3561">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Προκειμένου να βελτιωθεί η ιχνηλασιμότητα των </w:t>
      </w:r>
      <w:r>
        <w:rPr>
          <w:rFonts w:ascii="Times New Roman" w:hAnsi="Times New Roman"/>
          <w:bCs/>
          <w:spacing w:val="-2"/>
          <w:lang w:val="el-GR"/>
        </w:rPr>
        <w:t>παραγόντων</w:t>
      </w:r>
      <w:r w:rsidRPr="00A177AA">
        <w:rPr>
          <w:rFonts w:ascii="Times New Roman" w:hAnsi="Times New Roman"/>
          <w:bCs/>
          <w:spacing w:val="-2"/>
          <w:lang w:val="el-GR"/>
        </w:rPr>
        <w:t xml:space="preserve"> </w:t>
      </w:r>
      <w:r w:rsidRPr="008C4B06">
        <w:rPr>
          <w:rFonts w:ascii="Times New Roman" w:hAnsi="Times New Roman"/>
          <w:bCs/>
          <w:spacing w:val="-2"/>
          <w:lang w:val="el-GR"/>
        </w:rPr>
        <w:t>διέγερσης αποικιών</w:t>
      </w:r>
      <w:r w:rsidRPr="00F8543C">
        <w:rPr>
          <w:rFonts w:ascii="Times New Roman" w:hAnsi="Times New Roman"/>
          <w:bCs/>
          <w:spacing w:val="-2"/>
          <w:lang w:val="el-GR"/>
        </w:rPr>
        <w:t xml:space="preserve"> κοκκιοκυττάρων</w:t>
      </w:r>
      <w:r>
        <w:rPr>
          <w:rFonts w:ascii="Times New Roman" w:hAnsi="Times New Roman"/>
          <w:bCs/>
          <w:spacing w:val="-2"/>
          <w:lang w:val="el-GR"/>
        </w:rPr>
        <w:t xml:space="preserve"> (</w:t>
      </w:r>
      <w:r>
        <w:rPr>
          <w:rFonts w:ascii="Times New Roman" w:hAnsi="Times New Roman"/>
          <w:bCs/>
          <w:spacing w:val="-2"/>
        </w:rPr>
        <w:t>G</w:t>
      </w:r>
      <w:r w:rsidRPr="00FC4EE8">
        <w:rPr>
          <w:rFonts w:ascii="Times New Roman" w:hAnsi="Times New Roman"/>
          <w:bCs/>
          <w:spacing w:val="-2"/>
          <w:lang w:val="el-GR"/>
        </w:rPr>
        <w:t>-</w:t>
      </w:r>
      <w:r>
        <w:rPr>
          <w:rFonts w:ascii="Times New Roman" w:hAnsi="Times New Roman"/>
          <w:bCs/>
          <w:spacing w:val="-2"/>
        </w:rPr>
        <w:t>CSFs</w:t>
      </w:r>
      <w:r w:rsidRPr="00FC4EE8">
        <w:rPr>
          <w:rFonts w:ascii="Times New Roman" w:hAnsi="Times New Roman"/>
          <w:bCs/>
          <w:spacing w:val="-2"/>
          <w:lang w:val="el-GR"/>
        </w:rPr>
        <w:t>)</w:t>
      </w:r>
      <w:r>
        <w:rPr>
          <w:rFonts w:ascii="Times New Roman" w:hAnsi="Times New Roman"/>
          <w:spacing w:val="-2"/>
          <w:lang w:val="el-GR"/>
        </w:rPr>
        <w:t>, η εμπορική ονομασία του χορηγούμενου προϊόντος θα πρέπει να καταγράφεται εμφανώς στο ιστορικό του ασθενή.</w:t>
      </w:r>
    </w:p>
    <w:p w:rsidR="00DC63FD" w:rsidRPr="00F8543C" w:rsidRDefault="00DC63F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FC2B92" w:rsidRPr="00F8543C" w:rsidRDefault="00046C03"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F8543C">
        <w:rPr>
          <w:rFonts w:ascii="Times New Roman" w:hAnsi="Times New Roman"/>
          <w:b/>
          <w:spacing w:val="-2"/>
          <w:lang w:val="el-GR"/>
        </w:rPr>
        <w:t>4.5</w:t>
      </w:r>
      <w:r w:rsidRPr="00F8543C">
        <w:rPr>
          <w:rFonts w:ascii="Times New Roman" w:hAnsi="Times New Roman"/>
          <w:b/>
          <w:spacing w:val="-2"/>
          <w:lang w:val="el-GR"/>
        </w:rPr>
        <w:tab/>
      </w:r>
      <w:r w:rsidRPr="00F8543C">
        <w:rPr>
          <w:rFonts w:ascii="Times New Roman" w:hAnsi="Times New Roman"/>
          <w:b/>
          <w:spacing w:val="-2"/>
          <w:lang w:val="el-GR"/>
        </w:rPr>
        <w:tab/>
      </w:r>
      <w:r w:rsidR="00FC2B92" w:rsidRPr="00F8543C">
        <w:rPr>
          <w:rFonts w:ascii="Times New Roman" w:hAnsi="Times New Roman"/>
          <w:b/>
          <w:spacing w:val="-2"/>
          <w:lang w:val="el-GR"/>
        </w:rPr>
        <w:t>Αλληλεπιδράσεις με άλλα φάρμακα και άλλες μορφές αλληλεπίδρασης</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F8543C">
        <w:rPr>
          <w:rFonts w:ascii="Times New Roman" w:hAnsi="Times New Roman"/>
          <w:spacing w:val="-2"/>
          <w:lang w:val="el-GR"/>
        </w:rPr>
        <w:tab/>
      </w:r>
    </w:p>
    <w:p w:rsidR="00FC2B92" w:rsidRPr="00F8543C" w:rsidRDefault="00FC2B92" w:rsidP="00FC2B92">
      <w:pPr>
        <w:pStyle w:val="22"/>
      </w:pPr>
      <w:r w:rsidRPr="00F8543C">
        <w:t xml:space="preserve">Η ασφάλεια και η αποτελεσματικότητα του GRANULOKINE όταν </w:t>
      </w:r>
      <w:r>
        <w:t>χ</w:t>
      </w:r>
      <w:r w:rsidRPr="00F8543C">
        <w:t xml:space="preserve">ορηγείται την ίδια ημέρα με μυελοκατασταλτική κυτταροτοξική </w:t>
      </w:r>
      <w:r>
        <w:t>χημειοθεραπεία, δεν έχ</w:t>
      </w:r>
      <w:r w:rsidRPr="00F8543C">
        <w:t>ει ακόμη οριστικά τεκμηριωθεί. Λαμβάνοντας υπόψη την ευαισθησία των τα</w:t>
      </w:r>
      <w:r>
        <w:t>χ</w:t>
      </w:r>
      <w:r w:rsidRPr="00F8543C">
        <w:t xml:space="preserve">έως πολλαπλασιαζόμενων μυελοειδών κυττάρων </w:t>
      </w:r>
      <w:r w:rsidRPr="002B6BCC">
        <w:t>σ</w:t>
      </w:r>
      <w:r w:rsidRPr="00F8543C">
        <w:t xml:space="preserve">τη μυελοκατασταλτική κυτταροτοξική </w:t>
      </w:r>
      <w:r>
        <w:t>χ</w:t>
      </w:r>
      <w:r w:rsidRPr="00F8543C">
        <w:t xml:space="preserve">ημειοθεραπεία, η </w:t>
      </w:r>
      <w:r>
        <w:t>χ</w:t>
      </w:r>
      <w:r w:rsidRPr="00F8543C">
        <w:t>ρήση του GRANULOKINE δε συνιστάται κατά την περίοδο 24 ώρες πριν μέ</w:t>
      </w:r>
      <w:r>
        <w:t>χ</w:t>
      </w:r>
      <w:r w:rsidRPr="00F8543C">
        <w:t xml:space="preserve">ρι και 24 ώρες μετά τη </w:t>
      </w:r>
      <w:r>
        <w:t>χ</w:t>
      </w:r>
      <w:r w:rsidRPr="00F8543C">
        <w:t xml:space="preserve">ημειοθεραπεία. Προκαταρκτική εμπειρία από ένα μικρό </w:t>
      </w:r>
      <w:r w:rsidRPr="00083E93">
        <w:t xml:space="preserve">αριθμό ασθενών που έλαβαν συγχρόνως θεραπεία με GRANULOKINE και 5-φθοριοουρακίλη (5-Fluorouracil) δείχνει </w:t>
      </w:r>
      <w:r w:rsidR="007A3FC7" w:rsidRPr="00083E93">
        <w:t xml:space="preserve">ότι η </w:t>
      </w:r>
      <w:r w:rsidR="00083E93" w:rsidRPr="00083E93">
        <w:t>σοβαρότητα</w:t>
      </w:r>
      <w:r w:rsidR="007A3FC7" w:rsidRPr="00083E93">
        <w:t xml:space="preserve"> της ουδερετοπενίας ενδέχεται να επιδεινωθεί</w:t>
      </w:r>
      <w:r w:rsidRPr="00083E93">
        <w:t>.</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ab/>
      </w:r>
      <w:r w:rsidRPr="00F8543C">
        <w:rPr>
          <w:rFonts w:ascii="Times New Roman" w:hAnsi="Times New Roman"/>
          <w:spacing w:val="-2"/>
          <w:lang w:val="el-GR"/>
        </w:rPr>
        <w:tab/>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Πιθανές αλληλεπιδράσεις με άλλους αιμοποιητικούς αυξητικούς</w:t>
      </w:r>
      <w:r>
        <w:rPr>
          <w:rFonts w:ascii="Times New Roman" w:hAnsi="Times New Roman"/>
          <w:spacing w:val="-2"/>
          <w:lang w:val="el-GR"/>
        </w:rPr>
        <w:t xml:space="preserve"> παράγοντες και κυτοκίνες δεν έχ</w:t>
      </w:r>
      <w:r w:rsidRPr="00F8543C">
        <w:rPr>
          <w:rFonts w:ascii="Times New Roman" w:hAnsi="Times New Roman"/>
          <w:spacing w:val="-2"/>
          <w:lang w:val="el-GR"/>
        </w:rPr>
        <w:t>ουν ακόμη ερευνηθεί κατά τη διάρκεια κλινικών δοκιμών.</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46C03" w:rsidRPr="00F8543C" w:rsidRDefault="00FC2B92" w:rsidP="006D7314">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Δεδομένου ότι το λίθιο επιταχύνει την κυκλοφορία των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είναι πιθανό να ενισχύει τη δράση του GRANULOKINE.  Παρόλο που αυτή η αλληλεπίδραση δεν έχει </w:t>
      </w:r>
      <w:r w:rsidRPr="00BD74AE">
        <w:rPr>
          <w:rFonts w:ascii="Times New Roman" w:hAnsi="Times New Roman"/>
          <w:spacing w:val="-2"/>
          <w:lang w:val="el-GR"/>
        </w:rPr>
        <w:t>επίσημα</w:t>
      </w:r>
      <w:r w:rsidR="004A4F8C" w:rsidRPr="00BD74AE">
        <w:rPr>
          <w:rFonts w:ascii="Times New Roman" w:hAnsi="Times New Roman"/>
          <w:spacing w:val="-2"/>
          <w:lang w:val="el-GR"/>
        </w:rPr>
        <w:t xml:space="preserve"> </w:t>
      </w:r>
      <w:r w:rsidRPr="00BD74AE">
        <w:rPr>
          <w:rFonts w:ascii="Times New Roman" w:hAnsi="Times New Roman"/>
          <w:spacing w:val="-2"/>
          <w:lang w:val="el-GR"/>
        </w:rPr>
        <w:t>διερευνηθεί</w:t>
      </w:r>
      <w:r w:rsidRPr="00F8543C">
        <w:rPr>
          <w:rFonts w:ascii="Times New Roman" w:hAnsi="Times New Roman"/>
          <w:spacing w:val="-2"/>
          <w:lang w:val="el-GR"/>
        </w:rPr>
        <w:t>, δεν υπάρχουν ενδείξεις ότι μια τέτοια αλληλεπίδραση είναι επιβλαβής</w:t>
      </w:r>
      <w:r>
        <w:rPr>
          <w:rFonts w:ascii="Times New Roman" w:hAnsi="Times New Roman"/>
          <w:spacing w:val="-2"/>
          <w:lang w:val="el-GR"/>
        </w:rPr>
        <w:t>.</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b/>
          <w:spacing w:val="-2"/>
          <w:lang w:val="el-GR"/>
        </w:rPr>
      </w:pPr>
    </w:p>
    <w:p w:rsidR="00FC2B92" w:rsidRPr="00F8543C" w:rsidRDefault="00046C03" w:rsidP="00FC2B92">
      <w:pPr>
        <w:tabs>
          <w:tab w:val="left" w:pos="-851"/>
          <w:tab w:val="left" w:pos="-131"/>
          <w:tab w:val="left" w:pos="589"/>
          <w:tab w:val="left" w:pos="1309"/>
          <w:tab w:val="left" w:pos="2029"/>
          <w:tab w:val="left" w:pos="2749"/>
          <w:tab w:val="left" w:pos="2977"/>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F8543C">
        <w:rPr>
          <w:rFonts w:ascii="Times New Roman" w:hAnsi="Times New Roman"/>
          <w:b/>
          <w:spacing w:val="-2"/>
          <w:lang w:val="el-GR"/>
        </w:rPr>
        <w:t>4.6</w:t>
      </w:r>
      <w:r w:rsidRPr="00F8543C">
        <w:rPr>
          <w:rFonts w:ascii="Times New Roman" w:hAnsi="Times New Roman"/>
          <w:b/>
          <w:spacing w:val="-2"/>
          <w:lang w:val="el-GR"/>
        </w:rPr>
        <w:tab/>
      </w:r>
      <w:r w:rsidRPr="00F8543C">
        <w:rPr>
          <w:rFonts w:ascii="Times New Roman" w:hAnsi="Times New Roman"/>
          <w:b/>
          <w:spacing w:val="-2"/>
          <w:lang w:val="el-GR"/>
        </w:rPr>
        <w:tab/>
      </w:r>
      <w:r w:rsidR="00FC2B92">
        <w:rPr>
          <w:rFonts w:ascii="Times New Roman" w:hAnsi="Times New Roman"/>
          <w:b/>
          <w:spacing w:val="-2"/>
          <w:lang w:val="el-GR"/>
        </w:rPr>
        <w:t>Κύηση και γαλουχ</w:t>
      </w:r>
      <w:r w:rsidR="00FC2B92" w:rsidRPr="00F8543C">
        <w:rPr>
          <w:rFonts w:ascii="Times New Roman" w:hAnsi="Times New Roman"/>
          <w:b/>
          <w:spacing w:val="-2"/>
          <w:lang w:val="el-GR"/>
        </w:rPr>
        <w:t>ία</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b/>
          <w:spacing w:val="-2"/>
          <w:lang w:val="el-GR"/>
        </w:rPr>
      </w:pPr>
      <w:r w:rsidRPr="00F8543C">
        <w:rPr>
          <w:rFonts w:ascii="Times New Roman" w:hAnsi="Times New Roman"/>
          <w:b/>
          <w:spacing w:val="-2"/>
          <w:lang w:val="el-GR"/>
        </w:rPr>
        <w:tab/>
      </w:r>
    </w:p>
    <w:p w:rsidR="00CC621E" w:rsidRPr="00BD74AE" w:rsidRDefault="00CC621E"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u w:val="single"/>
          <w:lang w:val="el-GR"/>
        </w:rPr>
      </w:pPr>
      <w:r w:rsidRPr="00BD74AE">
        <w:rPr>
          <w:rFonts w:ascii="Times New Roman" w:hAnsi="Times New Roman"/>
          <w:u w:val="single"/>
          <w:lang w:val="el-GR"/>
        </w:rPr>
        <w:t>Κύηση</w:t>
      </w:r>
    </w:p>
    <w:p w:rsidR="00CC621E" w:rsidRPr="00BD74AE" w:rsidRDefault="00CC621E"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lang w:val="el-GR"/>
        </w:rPr>
      </w:pP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lang w:val="el-GR"/>
        </w:rPr>
        <w:lastRenderedPageBreak/>
        <w:t>Η ασφάλεια του GRANULOKINE σε εγκύους γυναίκες δεν έ</w:t>
      </w:r>
      <w:r>
        <w:rPr>
          <w:rFonts w:ascii="Times New Roman" w:hAnsi="Times New Roman"/>
          <w:lang w:val="el-GR"/>
        </w:rPr>
        <w:t>χ</w:t>
      </w:r>
      <w:r w:rsidRPr="00F8543C">
        <w:rPr>
          <w:rFonts w:ascii="Times New Roman" w:hAnsi="Times New Roman"/>
          <w:lang w:val="el-GR"/>
        </w:rPr>
        <w:t xml:space="preserve">ει </w:t>
      </w:r>
      <w:r w:rsidRPr="002B6BCC">
        <w:rPr>
          <w:rFonts w:ascii="Times New Roman" w:hAnsi="Times New Roman"/>
          <w:lang w:val="el-GR"/>
        </w:rPr>
        <w:t>τεκμηριωθεί.</w:t>
      </w:r>
      <w:r>
        <w:rPr>
          <w:rFonts w:ascii="Times New Roman" w:hAnsi="Times New Roman"/>
          <w:lang w:val="el-GR"/>
        </w:rPr>
        <w:t xml:space="preserve"> </w:t>
      </w:r>
      <w:r w:rsidRPr="00F8543C">
        <w:rPr>
          <w:rFonts w:ascii="Times New Roman" w:hAnsi="Times New Roman"/>
          <w:lang w:val="el-GR"/>
        </w:rPr>
        <w:t xml:space="preserve">Υπάρχουν αναφορές στη βιβλιογραφία στις οποίες τεκμηριώνεται </w:t>
      </w:r>
      <w:r>
        <w:rPr>
          <w:rFonts w:ascii="Times New Roman" w:hAnsi="Times New Roman"/>
          <w:lang w:val="el-GR"/>
        </w:rPr>
        <w:t xml:space="preserve">η </w:t>
      </w:r>
      <w:r w:rsidRPr="00F8543C">
        <w:rPr>
          <w:rFonts w:ascii="Times New Roman" w:hAnsi="Times New Roman"/>
          <w:lang w:val="el-GR"/>
        </w:rPr>
        <w:t>διαπλακουντιακή μεταφορά της filgrastim σε εγκ</w:t>
      </w:r>
      <w:r>
        <w:rPr>
          <w:rFonts w:ascii="Times New Roman" w:hAnsi="Times New Roman"/>
          <w:lang w:val="el-GR"/>
        </w:rPr>
        <w:t>ύους γυναίκες. Δεν υπάρχ</w:t>
      </w:r>
      <w:r w:rsidRPr="00F8543C">
        <w:rPr>
          <w:rFonts w:ascii="Times New Roman" w:hAnsi="Times New Roman"/>
          <w:lang w:val="el-GR"/>
        </w:rPr>
        <w:t>ουν αποδεικτικά στοι</w:t>
      </w:r>
      <w:r>
        <w:rPr>
          <w:rFonts w:ascii="Times New Roman" w:hAnsi="Times New Roman"/>
          <w:lang w:val="el-GR"/>
        </w:rPr>
        <w:t>χ</w:t>
      </w:r>
      <w:r w:rsidRPr="00F8543C">
        <w:rPr>
          <w:rFonts w:ascii="Times New Roman" w:hAnsi="Times New Roman"/>
          <w:lang w:val="el-GR"/>
        </w:rPr>
        <w:t xml:space="preserve">εία από μελέτες σε επίμυες και κουνέλια ότι το GRANULOKINE </w:t>
      </w:r>
      <w:r>
        <w:rPr>
          <w:rFonts w:ascii="Times New Roman" w:hAnsi="Times New Roman"/>
          <w:lang w:val="el-GR"/>
        </w:rPr>
        <w:t>είναι τερατογόνο. Έχ</w:t>
      </w:r>
      <w:r w:rsidRPr="00F8543C">
        <w:rPr>
          <w:rFonts w:ascii="Times New Roman" w:hAnsi="Times New Roman"/>
          <w:lang w:val="el-GR"/>
        </w:rPr>
        <w:t>ει παρατηρηθεί μια αυξημένη συ</w:t>
      </w:r>
      <w:r>
        <w:rPr>
          <w:rFonts w:ascii="Times New Roman" w:hAnsi="Times New Roman"/>
          <w:lang w:val="el-GR"/>
        </w:rPr>
        <w:t>χ</w:t>
      </w:r>
      <w:r w:rsidRPr="00F8543C">
        <w:rPr>
          <w:rFonts w:ascii="Times New Roman" w:hAnsi="Times New Roman"/>
          <w:lang w:val="el-GR"/>
        </w:rPr>
        <w:t xml:space="preserve">νότητα απώλειας εμβρύου στα κουνέλια, δεν παρατηρήθηκαν όμως διαμαρτίες. Κατά την κύηση, ο πιθανός κίνδυνος στο έμβρυο από τη </w:t>
      </w:r>
      <w:r>
        <w:rPr>
          <w:rFonts w:ascii="Times New Roman" w:hAnsi="Times New Roman"/>
          <w:lang w:val="el-GR"/>
        </w:rPr>
        <w:t>χ</w:t>
      </w:r>
      <w:r w:rsidRPr="00F8543C">
        <w:rPr>
          <w:rFonts w:ascii="Times New Roman" w:hAnsi="Times New Roman"/>
          <w:lang w:val="el-GR"/>
        </w:rPr>
        <w:t xml:space="preserve">ρησιμοποίηση του GRANULOKINE θα πρέπει να σταθμίζεται έναντι του αναμενόμενου  θεραπευτικού οφέλους.  </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b/>
          <w:spacing w:val="-2"/>
          <w:lang w:val="el-GR"/>
        </w:rPr>
      </w:pPr>
    </w:p>
    <w:p w:rsidR="00CC621E" w:rsidRDefault="00CC621E">
      <w:pPr>
        <w:pStyle w:val="22"/>
        <w:tabs>
          <w:tab w:val="clear" w:pos="0"/>
          <w:tab w:val="left" w:pos="1309"/>
        </w:tabs>
        <w:rPr>
          <w:u w:val="single"/>
        </w:rPr>
      </w:pPr>
      <w:r w:rsidRPr="00BD74AE">
        <w:rPr>
          <w:u w:val="single"/>
        </w:rPr>
        <w:t>Γαλουχία</w:t>
      </w:r>
    </w:p>
    <w:p w:rsidR="00CC621E" w:rsidRDefault="00CC621E">
      <w:pPr>
        <w:pStyle w:val="22"/>
        <w:tabs>
          <w:tab w:val="clear" w:pos="0"/>
          <w:tab w:val="left" w:pos="1309"/>
        </w:tabs>
      </w:pPr>
    </w:p>
    <w:p w:rsidR="00046C03" w:rsidRPr="00F8543C" w:rsidRDefault="00FC2B92">
      <w:pPr>
        <w:pStyle w:val="22"/>
        <w:tabs>
          <w:tab w:val="clear" w:pos="0"/>
          <w:tab w:val="left" w:pos="1309"/>
        </w:tabs>
      </w:pPr>
      <w:r w:rsidRPr="00F8543C">
        <w:t xml:space="preserve">Δεν είναι γνωστό εάν το GRANULOKINE </w:t>
      </w:r>
      <w:r>
        <w:t xml:space="preserve">απεκκρίνεται </w:t>
      </w:r>
      <w:r w:rsidRPr="00F8543C">
        <w:t xml:space="preserve">στο μητρικό γάλα.  Το GRANULOKINE δε συνιστάται για </w:t>
      </w:r>
      <w:r>
        <w:t>χ</w:t>
      </w:r>
      <w:r w:rsidRPr="00F8543C">
        <w:t>ορήγηση σε θηλάζουσες μητέρες</w:t>
      </w:r>
      <w:r>
        <w:t>.</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2B6BCC" w:rsidRDefault="00046C03"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b/>
          <w:spacing w:val="-2"/>
          <w:lang w:val="el-GR"/>
        </w:rPr>
      </w:pPr>
      <w:r w:rsidRPr="00F8543C">
        <w:rPr>
          <w:rFonts w:ascii="Times New Roman" w:hAnsi="Times New Roman"/>
          <w:b/>
          <w:spacing w:val="-2"/>
          <w:lang w:val="el-GR"/>
        </w:rPr>
        <w:t>4.7</w:t>
      </w:r>
      <w:r w:rsidRPr="00F8543C">
        <w:rPr>
          <w:rFonts w:ascii="Times New Roman" w:hAnsi="Times New Roman"/>
          <w:b/>
          <w:spacing w:val="-2"/>
          <w:lang w:val="el-GR"/>
        </w:rPr>
        <w:tab/>
      </w:r>
      <w:r w:rsidRPr="00F8543C">
        <w:rPr>
          <w:rFonts w:ascii="Times New Roman" w:hAnsi="Times New Roman"/>
          <w:b/>
          <w:spacing w:val="-2"/>
          <w:lang w:val="el-GR"/>
        </w:rPr>
        <w:tab/>
      </w:r>
      <w:r w:rsidR="00FC2B92" w:rsidRPr="00F8543C">
        <w:rPr>
          <w:rFonts w:ascii="Times New Roman" w:hAnsi="Times New Roman"/>
          <w:b/>
          <w:spacing w:val="-2"/>
          <w:lang w:val="el-GR"/>
        </w:rPr>
        <w:t>Επ</w:t>
      </w:r>
      <w:r w:rsidR="00371435">
        <w:rPr>
          <w:rFonts w:ascii="Times New Roman" w:hAnsi="Times New Roman"/>
          <w:b/>
          <w:spacing w:val="-2"/>
          <w:lang w:val="el-GR"/>
        </w:rPr>
        <w:t>ι</w:t>
      </w:r>
      <w:r w:rsidR="00FC2B92" w:rsidRPr="00F8543C">
        <w:rPr>
          <w:rFonts w:ascii="Times New Roman" w:hAnsi="Times New Roman"/>
          <w:b/>
          <w:spacing w:val="-2"/>
          <w:lang w:val="el-GR"/>
        </w:rPr>
        <w:t>δρ</w:t>
      </w:r>
      <w:r w:rsidR="00371435">
        <w:rPr>
          <w:rFonts w:ascii="Times New Roman" w:hAnsi="Times New Roman"/>
          <w:b/>
          <w:spacing w:val="-2"/>
          <w:lang w:val="el-GR"/>
        </w:rPr>
        <w:t>άσεις</w:t>
      </w:r>
      <w:r w:rsidR="00FC2B92">
        <w:rPr>
          <w:rFonts w:ascii="Times New Roman" w:hAnsi="Times New Roman"/>
          <w:b/>
          <w:spacing w:val="-2"/>
          <w:lang w:val="el-GR"/>
        </w:rPr>
        <w:t xml:space="preserve"> στην ικανότητα οδήγησης και χ</w:t>
      </w:r>
      <w:r w:rsidR="00FC2B92" w:rsidRPr="00F8543C">
        <w:rPr>
          <w:rFonts w:ascii="Times New Roman" w:hAnsi="Times New Roman"/>
          <w:b/>
          <w:spacing w:val="-2"/>
          <w:lang w:val="el-GR"/>
        </w:rPr>
        <w:t xml:space="preserve">ειρισμού </w:t>
      </w:r>
      <w:r w:rsidR="00FC2B92" w:rsidRPr="002B6BCC">
        <w:rPr>
          <w:rFonts w:ascii="Times New Roman" w:hAnsi="Times New Roman"/>
          <w:b/>
          <w:spacing w:val="-2"/>
          <w:lang w:val="el-GR"/>
        </w:rPr>
        <w:t>μηχανών</w:t>
      </w:r>
    </w:p>
    <w:p w:rsidR="00FC2B92" w:rsidRPr="00F8543C" w:rsidRDefault="00FC2B92" w:rsidP="00FC2B92">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EC5117" w:rsidRDefault="00FC2B92" w:rsidP="00FC2B92">
      <w:pPr>
        <w:pStyle w:val="22"/>
        <w:tabs>
          <w:tab w:val="clear" w:pos="0"/>
          <w:tab w:val="left" w:pos="1309"/>
        </w:tabs>
        <w:rPr>
          <w:bCs/>
        </w:rPr>
      </w:pPr>
      <w:r w:rsidRPr="002B6BCC">
        <w:rPr>
          <w:bCs/>
        </w:rPr>
        <w:t>Δεν  πραγματοποιήθηκαν μελέτες σχετικά με τις επιδράσεις στη ικανότητα οδήγησης και χειρισμού μηχανών.</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Default="00FC2B92" w:rsidP="00FC2B92">
      <w:pPr>
        <w:numPr>
          <w:ilvl w:val="1"/>
          <w:numId w:val="7"/>
        </w:numPr>
        <w:tabs>
          <w:tab w:val="left" w:pos="-851"/>
          <w:tab w:val="left" w:pos="-131"/>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Ανεπιθύμητες ενέργειες</w:t>
      </w:r>
    </w:p>
    <w:p w:rsidR="007F56CE" w:rsidRDefault="007F56CE" w:rsidP="00FC2B92">
      <w:pPr>
        <w:rPr>
          <w:rFonts w:ascii="Times New Roman" w:hAnsi="Times New Roman"/>
          <w:bCs/>
          <w:lang w:val="el-GR"/>
        </w:rPr>
      </w:pPr>
    </w:p>
    <w:p w:rsidR="00E850FB" w:rsidRDefault="00E850FB" w:rsidP="00E850F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850FB" w:rsidRDefault="00E850FB" w:rsidP="00E850FB">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α. Περίληψη του προφίλ ασφάλειας </w:t>
      </w:r>
    </w:p>
    <w:p w:rsidR="00FC2B92" w:rsidRPr="000F6827"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Σε κλινικές μελέτες</w:t>
      </w:r>
      <w:r w:rsidR="00E850FB">
        <w:rPr>
          <w:rFonts w:ascii="Times New Roman" w:hAnsi="Times New Roman"/>
          <w:spacing w:val="-2"/>
          <w:lang w:val="el-GR"/>
        </w:rPr>
        <w:t xml:space="preserve"> σε ασθενείς με καρκίνο η</w:t>
      </w:r>
      <w:r w:rsidRPr="00F8543C">
        <w:rPr>
          <w:rFonts w:ascii="Times New Roman" w:hAnsi="Times New Roman"/>
          <w:spacing w:val="-2"/>
          <w:lang w:val="el-GR"/>
        </w:rPr>
        <w:t xml:space="preserve">  συχνότερ</w:t>
      </w:r>
      <w:r w:rsidR="00E850FB">
        <w:rPr>
          <w:rFonts w:ascii="Times New Roman" w:hAnsi="Times New Roman"/>
          <w:spacing w:val="-2"/>
          <w:lang w:val="el-GR"/>
        </w:rPr>
        <w:t>η</w:t>
      </w:r>
      <w:r w:rsidRPr="00F8543C">
        <w:rPr>
          <w:rFonts w:ascii="Times New Roman" w:hAnsi="Times New Roman"/>
          <w:spacing w:val="-2"/>
          <w:lang w:val="el-GR"/>
        </w:rPr>
        <w:t xml:space="preserve"> ανεπιθύμητ</w:t>
      </w:r>
      <w:r w:rsidR="00E850FB">
        <w:rPr>
          <w:rFonts w:ascii="Times New Roman" w:hAnsi="Times New Roman"/>
          <w:spacing w:val="-2"/>
          <w:lang w:val="el-GR"/>
        </w:rPr>
        <w:t>η</w:t>
      </w:r>
      <w:r w:rsidRPr="00F8543C">
        <w:rPr>
          <w:rFonts w:ascii="Times New Roman" w:hAnsi="Times New Roman"/>
          <w:spacing w:val="-2"/>
          <w:lang w:val="el-GR"/>
        </w:rPr>
        <w:t xml:space="preserve"> ενέργει</w:t>
      </w:r>
      <w:r w:rsidR="00E850FB">
        <w:rPr>
          <w:rFonts w:ascii="Times New Roman" w:hAnsi="Times New Roman"/>
          <w:spacing w:val="-2"/>
          <w:lang w:val="el-GR"/>
        </w:rPr>
        <w:t>α</w:t>
      </w:r>
      <w:r w:rsidRPr="00F8543C">
        <w:rPr>
          <w:rFonts w:ascii="Times New Roman" w:hAnsi="Times New Roman"/>
          <w:spacing w:val="-2"/>
          <w:lang w:val="el-GR"/>
        </w:rPr>
        <w:t xml:space="preserve"> </w:t>
      </w:r>
      <w:r w:rsidR="00E850FB">
        <w:rPr>
          <w:rFonts w:ascii="Times New Roman" w:hAnsi="Times New Roman"/>
          <w:spacing w:val="-2"/>
          <w:lang w:val="el-GR"/>
        </w:rPr>
        <w:t xml:space="preserve">ήταν </w:t>
      </w:r>
      <w:r w:rsidRPr="00F8543C">
        <w:rPr>
          <w:rFonts w:ascii="Times New Roman" w:hAnsi="Times New Roman"/>
          <w:spacing w:val="-2"/>
          <w:lang w:val="el-GR"/>
        </w:rPr>
        <w:t xml:space="preserve">μυοσκελετικός πόνος που </w:t>
      </w:r>
      <w:r w:rsidR="00E850FB">
        <w:rPr>
          <w:rFonts w:ascii="Times New Roman" w:hAnsi="Times New Roman"/>
          <w:spacing w:val="-2"/>
          <w:lang w:val="el-GR"/>
        </w:rPr>
        <w:t xml:space="preserve">ήταν ήπιας ή μέτριας έντασης </w:t>
      </w:r>
      <w:r w:rsidRPr="00F8543C">
        <w:rPr>
          <w:rFonts w:ascii="Times New Roman" w:hAnsi="Times New Roman"/>
          <w:spacing w:val="-2"/>
          <w:lang w:val="el-GR"/>
        </w:rPr>
        <w:t xml:space="preserve">στο 10% των ασθενών και </w:t>
      </w:r>
      <w:r w:rsidR="00C6531E">
        <w:rPr>
          <w:rFonts w:ascii="Times New Roman" w:hAnsi="Times New Roman"/>
          <w:spacing w:val="-2"/>
          <w:lang w:val="el-GR"/>
        </w:rPr>
        <w:t>έντονης</w:t>
      </w:r>
      <w:r w:rsidR="00C6531E" w:rsidRPr="00F8543C">
        <w:rPr>
          <w:rFonts w:ascii="Times New Roman" w:hAnsi="Times New Roman"/>
          <w:spacing w:val="-2"/>
          <w:lang w:val="el-GR"/>
        </w:rPr>
        <w:t xml:space="preserve"> </w:t>
      </w:r>
      <w:r w:rsidRPr="00F8543C">
        <w:rPr>
          <w:rFonts w:ascii="Times New Roman" w:hAnsi="Times New Roman"/>
          <w:spacing w:val="-2"/>
          <w:lang w:val="el-GR"/>
        </w:rPr>
        <w:t xml:space="preserve">έντασης στο 3% των ασθενών.  </w:t>
      </w:r>
    </w:p>
    <w:p w:rsidR="00FC2B92" w:rsidRPr="00F8543C"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Pr="006841A7"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zCs w:val="22"/>
          <w:lang w:val="el-GR"/>
        </w:rPr>
      </w:pPr>
      <w:r w:rsidRPr="006841A7">
        <w:rPr>
          <w:rFonts w:ascii="Times New Roman" w:hAnsi="Times New Roman"/>
          <w:spacing w:val="-2"/>
          <w:lang w:val="el-GR"/>
        </w:rPr>
        <w:t>Έχουν υπάρξει αναφορές Αντίδρασης Μοσχεύματος έναντι Ξενιστή (</w:t>
      </w:r>
      <w:r w:rsidRPr="006841A7">
        <w:rPr>
          <w:rFonts w:ascii="Times New Roman" w:hAnsi="Times New Roman"/>
          <w:szCs w:val="22"/>
        </w:rPr>
        <w:t>GvHD</w:t>
      </w:r>
      <w:r w:rsidRPr="006841A7">
        <w:rPr>
          <w:rFonts w:ascii="Times New Roman" w:hAnsi="Times New Roman"/>
          <w:szCs w:val="22"/>
          <w:lang w:val="el-GR"/>
        </w:rPr>
        <w:t>)</w:t>
      </w:r>
      <w:r w:rsidR="001C5969" w:rsidRPr="001C5969">
        <w:rPr>
          <w:rFonts w:ascii="Times New Roman" w:hAnsi="Times New Roman"/>
          <w:szCs w:val="22"/>
          <w:lang w:val="el-GR"/>
        </w:rPr>
        <w:t xml:space="preserve"> </w:t>
      </w:r>
      <w:r w:rsidR="001C5969">
        <w:rPr>
          <w:rFonts w:ascii="Times New Roman" w:hAnsi="Times New Roman"/>
          <w:szCs w:val="22"/>
          <w:lang w:val="el-GR"/>
        </w:rPr>
        <w:t>(βλ. κάτωθι παράγραφο γ)</w:t>
      </w:r>
      <w:r w:rsidR="004A4F8C" w:rsidRPr="00B81114">
        <w:rPr>
          <w:rFonts w:ascii="Times New Roman" w:hAnsi="Times New Roman"/>
          <w:szCs w:val="22"/>
          <w:lang w:val="el-GR"/>
        </w:rPr>
        <w:t>.</w:t>
      </w:r>
      <w:r w:rsidR="001C5969">
        <w:rPr>
          <w:rFonts w:ascii="Times New Roman" w:hAnsi="Times New Roman"/>
          <w:szCs w:val="22"/>
          <w:lang w:val="el-GR"/>
        </w:rPr>
        <w:t xml:space="preserve"> </w:t>
      </w:r>
      <w:r w:rsidRPr="006841A7">
        <w:rPr>
          <w:rFonts w:ascii="Times New Roman" w:hAnsi="Times New Roman"/>
          <w:szCs w:val="22"/>
          <w:lang w:val="el-GR"/>
        </w:rPr>
        <w:t xml:space="preserve"> </w:t>
      </w:r>
    </w:p>
    <w:p w:rsidR="00FC2B92"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C2B92" w:rsidRDefault="00FC2B9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1C5969"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Σε </w:t>
      </w:r>
      <w:r w:rsidRPr="00170091">
        <w:rPr>
          <w:rFonts w:ascii="Times New Roman" w:hAnsi="Times New Roman"/>
          <w:spacing w:val="-2"/>
          <w:lang w:val="el-GR"/>
        </w:rPr>
        <w:t>κινητοποίηση</w:t>
      </w:r>
      <w:r w:rsidRPr="00A16CBB">
        <w:rPr>
          <w:rFonts w:ascii="Times New Roman" w:hAnsi="Times New Roman"/>
          <w:i/>
          <w:spacing w:val="-2"/>
          <w:lang w:val="el-GR"/>
        </w:rPr>
        <w:t xml:space="preserve"> </w:t>
      </w:r>
      <w:r w:rsidR="00B740A5">
        <w:rPr>
          <w:rFonts w:ascii="Times New Roman" w:hAnsi="Times New Roman"/>
          <w:spacing w:val="-2"/>
        </w:rPr>
        <w:t>PBRC</w:t>
      </w:r>
      <w:r w:rsidR="00B740A5" w:rsidRPr="00170091">
        <w:rPr>
          <w:rFonts w:ascii="Times New Roman" w:hAnsi="Times New Roman"/>
          <w:spacing w:val="-2"/>
          <w:lang w:val="el-GR"/>
        </w:rPr>
        <w:t xml:space="preserve"> </w:t>
      </w:r>
      <w:r w:rsidRPr="00170091">
        <w:rPr>
          <w:rFonts w:ascii="Times New Roman" w:hAnsi="Times New Roman"/>
          <w:spacing w:val="-2"/>
          <w:lang w:val="el-GR"/>
        </w:rPr>
        <w:t>σε υγιείς δότες</w:t>
      </w:r>
      <w:r>
        <w:rPr>
          <w:rFonts w:ascii="Times New Roman" w:hAnsi="Times New Roman"/>
          <w:spacing w:val="-2"/>
          <w:lang w:val="el-GR"/>
        </w:rPr>
        <w:t xml:space="preserve"> η πιο συχνά αναφερόμενη ανεπιθύμητη ενέργεια ήταν ο μυοσκελετικός πόνος. Λευκοκυττάρωση παρατηρήθηκε σε δότες και θρομβοπενία μετά από χορήγηση φιλγραστίμης και λευκαφαίρεση παρατηρήθηκε επίσης σε δότες. Επίσης έχουν αναφερθεί σπληνομεγαλία και ρήξη σπλ</w:t>
      </w:r>
      <w:r w:rsidR="00560730">
        <w:rPr>
          <w:rFonts w:ascii="Times New Roman" w:hAnsi="Times New Roman"/>
          <w:spacing w:val="-2"/>
          <w:lang w:val="el-GR"/>
        </w:rPr>
        <w:t>ηνό</w:t>
      </w:r>
      <w:r>
        <w:rPr>
          <w:rFonts w:ascii="Times New Roman" w:hAnsi="Times New Roman"/>
          <w:spacing w:val="-2"/>
          <w:lang w:val="el-GR"/>
        </w:rPr>
        <w:t>ς.</w:t>
      </w:r>
      <w:r w:rsidR="00560730">
        <w:rPr>
          <w:rFonts w:ascii="Times New Roman" w:hAnsi="Times New Roman"/>
          <w:spacing w:val="-2"/>
          <w:lang w:val="el-GR"/>
        </w:rPr>
        <w:t xml:space="preserve"> Μερικά περιστατικά ρήξης σπληνός ήταν θανατηφόρα.</w:t>
      </w:r>
    </w:p>
    <w:p w:rsidR="001C5969" w:rsidRPr="00077E30"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A96081">
        <w:rPr>
          <w:rStyle w:val="hps"/>
          <w:rFonts w:ascii="Times New Roman" w:hAnsi="Times New Roman"/>
          <w:color w:val="333333"/>
          <w:lang w:val="el-GR"/>
        </w:rPr>
        <w:t>Σε</w:t>
      </w:r>
      <w:r w:rsidRPr="00A96081">
        <w:rPr>
          <w:rFonts w:ascii="Times New Roman" w:hAnsi="Times New Roman"/>
          <w:color w:val="333333"/>
          <w:lang w:val="el-GR"/>
        </w:rPr>
        <w:t xml:space="preserve"> </w:t>
      </w:r>
      <w:r w:rsidRPr="00A96081">
        <w:rPr>
          <w:rStyle w:val="hps"/>
          <w:rFonts w:ascii="Times New Roman" w:hAnsi="Times New Roman"/>
          <w:color w:val="333333"/>
          <w:lang w:val="el-GR"/>
        </w:rPr>
        <w:t>ασθενείς με σοβαρή χρόνια</w:t>
      </w:r>
      <w:r w:rsidRPr="00A96081">
        <w:rPr>
          <w:rFonts w:ascii="Times New Roman" w:hAnsi="Times New Roman"/>
          <w:color w:val="333333"/>
          <w:lang w:val="el-GR"/>
        </w:rPr>
        <w:t xml:space="preserve"> </w:t>
      </w:r>
      <w:r>
        <w:rPr>
          <w:rFonts w:ascii="Times New Roman" w:hAnsi="Times New Roman"/>
          <w:color w:val="333333"/>
          <w:lang w:val="el-GR"/>
        </w:rPr>
        <w:t>ουδετεροπενία (</w:t>
      </w:r>
      <w:r>
        <w:rPr>
          <w:rFonts w:ascii="Times New Roman" w:hAnsi="Times New Roman"/>
          <w:color w:val="333333"/>
        </w:rPr>
        <w:t>SCN</w:t>
      </w:r>
      <w:r w:rsidRPr="000034EB">
        <w:rPr>
          <w:rFonts w:ascii="Times New Roman" w:hAnsi="Times New Roman"/>
          <w:color w:val="333333"/>
          <w:lang w:val="el-GR"/>
        </w:rPr>
        <w:t xml:space="preserve">) </w:t>
      </w:r>
      <w:r>
        <w:rPr>
          <w:rFonts w:ascii="Times New Roman" w:hAnsi="Times New Roman"/>
          <w:color w:val="333333"/>
          <w:lang w:val="el-GR"/>
        </w:rPr>
        <w:t xml:space="preserve">οι </w:t>
      </w:r>
      <w:r w:rsidRPr="00A96081">
        <w:rPr>
          <w:rStyle w:val="hps"/>
          <w:rFonts w:ascii="Times New Roman" w:hAnsi="Times New Roman"/>
          <w:color w:val="333333"/>
          <w:lang w:val="el-GR"/>
        </w:rPr>
        <w:t>πιο συχνές ανεπιθύμητες</w:t>
      </w:r>
      <w:r w:rsidRPr="00A96081">
        <w:rPr>
          <w:rFonts w:ascii="Times New Roman" w:hAnsi="Times New Roman"/>
          <w:color w:val="333333"/>
          <w:lang w:val="el-GR"/>
        </w:rPr>
        <w:t xml:space="preserve"> </w:t>
      </w:r>
      <w:r w:rsidRPr="00A96081">
        <w:rPr>
          <w:rStyle w:val="hps"/>
          <w:rFonts w:ascii="Times New Roman" w:hAnsi="Times New Roman"/>
          <w:color w:val="333333"/>
          <w:lang w:val="el-GR"/>
        </w:rPr>
        <w:t>ενέργειες που αποδίδονται στ</w:t>
      </w:r>
      <w:r>
        <w:rPr>
          <w:rStyle w:val="hps"/>
          <w:rFonts w:ascii="Times New Roman" w:hAnsi="Times New Roman"/>
          <w:color w:val="333333"/>
        </w:rPr>
        <w:t>o</w:t>
      </w:r>
      <w:r w:rsidRPr="00A96081">
        <w:rPr>
          <w:rFonts w:ascii="Times New Roman" w:hAnsi="Times New Roman"/>
          <w:color w:val="333333"/>
          <w:lang w:val="el-GR"/>
        </w:rPr>
        <w:t xml:space="preserve"> </w:t>
      </w:r>
      <w:r>
        <w:rPr>
          <w:rStyle w:val="hps"/>
          <w:rFonts w:ascii="Times New Roman" w:hAnsi="Times New Roman"/>
          <w:color w:val="333333"/>
        </w:rPr>
        <w:t>G</w:t>
      </w:r>
      <w:r w:rsidR="00C6531E">
        <w:rPr>
          <w:rStyle w:val="hps"/>
          <w:rFonts w:ascii="Times New Roman" w:hAnsi="Times New Roman"/>
          <w:color w:val="333333"/>
        </w:rPr>
        <w:t>RANULOKINE</w:t>
      </w:r>
      <w:r w:rsidRPr="00A96081">
        <w:rPr>
          <w:rFonts w:ascii="Times New Roman" w:hAnsi="Times New Roman"/>
          <w:color w:val="333333"/>
          <w:lang w:val="el-GR"/>
        </w:rPr>
        <w:t xml:space="preserve"> </w:t>
      </w:r>
      <w:r w:rsidRPr="00A96081">
        <w:rPr>
          <w:rStyle w:val="hps"/>
          <w:rFonts w:ascii="Times New Roman" w:hAnsi="Times New Roman"/>
          <w:color w:val="333333"/>
          <w:lang w:val="el-GR"/>
        </w:rPr>
        <w:t>ήταν οστικός πόνος</w:t>
      </w:r>
      <w:r w:rsidRPr="00A96081">
        <w:rPr>
          <w:rFonts w:ascii="Times New Roman" w:hAnsi="Times New Roman"/>
          <w:color w:val="333333"/>
          <w:lang w:val="el-GR"/>
        </w:rPr>
        <w:t xml:space="preserve">, </w:t>
      </w:r>
      <w:r w:rsidRPr="00A96081">
        <w:rPr>
          <w:rStyle w:val="hps"/>
          <w:rFonts w:ascii="Times New Roman" w:hAnsi="Times New Roman"/>
          <w:color w:val="333333"/>
          <w:lang w:val="el-GR"/>
        </w:rPr>
        <w:t>μυοσκελετικός πόνος</w:t>
      </w:r>
      <w:r w:rsidRPr="00A96081">
        <w:rPr>
          <w:rFonts w:ascii="Times New Roman" w:hAnsi="Times New Roman"/>
          <w:color w:val="333333"/>
          <w:lang w:val="el-GR"/>
        </w:rPr>
        <w:t xml:space="preserve"> </w:t>
      </w:r>
      <w:r w:rsidRPr="00A96081">
        <w:rPr>
          <w:rStyle w:val="hps"/>
          <w:rFonts w:ascii="Times New Roman" w:hAnsi="Times New Roman"/>
          <w:color w:val="333333"/>
          <w:lang w:val="el-GR"/>
        </w:rPr>
        <w:t>γενικά</w:t>
      </w:r>
      <w:r w:rsidRPr="00A96081">
        <w:rPr>
          <w:rFonts w:ascii="Times New Roman" w:hAnsi="Times New Roman"/>
          <w:color w:val="333333"/>
          <w:lang w:val="el-GR"/>
        </w:rPr>
        <w:t xml:space="preserve"> </w:t>
      </w:r>
      <w:r w:rsidRPr="00A96081">
        <w:rPr>
          <w:rStyle w:val="hps"/>
          <w:rFonts w:ascii="Times New Roman" w:hAnsi="Times New Roman"/>
          <w:color w:val="333333"/>
          <w:lang w:val="el-GR"/>
        </w:rPr>
        <w:t>και</w:t>
      </w:r>
      <w:r w:rsidRPr="00A96081">
        <w:rPr>
          <w:rFonts w:ascii="Times New Roman" w:hAnsi="Times New Roman"/>
          <w:color w:val="333333"/>
          <w:lang w:val="el-GR"/>
        </w:rPr>
        <w:t xml:space="preserve"> </w:t>
      </w:r>
      <w:r w:rsidRPr="00A96081">
        <w:rPr>
          <w:rStyle w:val="hps"/>
          <w:rFonts w:ascii="Times New Roman" w:hAnsi="Times New Roman"/>
          <w:color w:val="333333"/>
          <w:lang w:val="el-GR"/>
        </w:rPr>
        <w:t>σπληνομεγαλία</w:t>
      </w:r>
      <w:r>
        <w:rPr>
          <w:rStyle w:val="hps"/>
          <w:rFonts w:ascii="Times New Roman" w:hAnsi="Times New Roman"/>
          <w:color w:val="333333"/>
          <w:lang w:val="el-GR"/>
        </w:rPr>
        <w:t>.</w:t>
      </w:r>
      <w:r w:rsidR="00560730" w:rsidRPr="00560730">
        <w:rPr>
          <w:rFonts w:ascii="Times New Roman" w:hAnsi="Times New Roman"/>
          <w:color w:val="333333"/>
          <w:lang w:val="el-GR"/>
        </w:rPr>
        <w:t xml:space="preserve"> </w:t>
      </w:r>
      <w:r w:rsidR="00C6531E">
        <w:rPr>
          <w:rStyle w:val="hps"/>
          <w:rFonts w:ascii="Times New Roman" w:hAnsi="Times New Roman"/>
          <w:color w:val="333333"/>
          <w:lang w:val="el-GR"/>
        </w:rPr>
        <w:t>ΜΔΣ</w:t>
      </w:r>
      <w:r w:rsidR="00560730">
        <w:rPr>
          <w:rStyle w:val="hps"/>
          <w:rFonts w:ascii="Times New Roman" w:hAnsi="Times New Roman"/>
          <w:color w:val="333333"/>
          <w:lang w:val="el-GR"/>
        </w:rPr>
        <w:t xml:space="preserve"> ή λευχαιμία εμφανίστηκαν σε ασθενείς με συγγενή ουδετεροπενία που έλαβαν </w:t>
      </w:r>
      <w:r w:rsidR="00560730" w:rsidRPr="00077E30">
        <w:rPr>
          <w:rStyle w:val="hps"/>
          <w:rFonts w:ascii="Times New Roman" w:hAnsi="Times New Roman"/>
          <w:color w:val="333333"/>
        </w:rPr>
        <w:t>GRANULOKINE</w:t>
      </w:r>
      <w:r w:rsidR="00560730" w:rsidRPr="00077E30">
        <w:rPr>
          <w:rStyle w:val="hps"/>
          <w:rFonts w:ascii="Times New Roman" w:hAnsi="Times New Roman"/>
          <w:color w:val="333333"/>
          <w:lang w:val="el-GR"/>
        </w:rPr>
        <w:t xml:space="preserve"> (βλ. παράγραφο 4.4).</w:t>
      </w:r>
    </w:p>
    <w:p w:rsidR="001C5969" w:rsidRPr="00077E30"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B74B1D" w:rsidRPr="0080743A" w:rsidRDefault="00B74B1D"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zCs w:val="24"/>
          <w:lang w:val="el-GR"/>
        </w:rPr>
      </w:pPr>
      <w:r w:rsidRPr="00077E30">
        <w:rPr>
          <w:rFonts w:ascii="Times New Roman" w:hAnsi="Times New Roman"/>
          <w:szCs w:val="24"/>
          <w:lang w:val="el-GR"/>
        </w:rPr>
        <w:t xml:space="preserve">Το σύνδρομο διαφυγής τριχοειδών, το οποίο ενδέχεται να είναι απειλητικό για την ζωή εάν καθυστερήσει η θεραπεία του, </w:t>
      </w:r>
      <w:r w:rsidR="00077E30" w:rsidRPr="00077E30">
        <w:rPr>
          <w:rFonts w:ascii="Times New Roman" w:hAnsi="Times New Roman"/>
          <w:szCs w:val="24"/>
          <w:lang w:val="el-GR"/>
        </w:rPr>
        <w:t xml:space="preserve">δεν αναφέρεται συχνά (≥ 1/1.000 έως &lt; 1/100) </w:t>
      </w:r>
      <w:r w:rsidRPr="00077E30">
        <w:rPr>
          <w:rFonts w:ascii="Times New Roman" w:hAnsi="Times New Roman"/>
          <w:szCs w:val="24"/>
          <w:lang w:val="el-GR"/>
        </w:rPr>
        <w:t>σε ασθενείς με καρκίνο που λαμβάνουν χημειοθεραπεία έπειτα από χορήγηση παράγοντα διέγερσης αποικιών κοκκιοκυττάρων</w:t>
      </w:r>
      <w:r w:rsidRPr="00077E30">
        <w:rPr>
          <w:rFonts w:ascii="Times New Roman" w:hAnsi="Times New Roman"/>
          <w:szCs w:val="24"/>
          <w:lang w:val="el-GR"/>
        </w:rPr>
        <w:sym w:font="Symbol" w:char="F0D7"/>
      </w:r>
      <w:r w:rsidRPr="00077E30">
        <w:rPr>
          <w:rFonts w:ascii="Times New Roman" w:hAnsi="Times New Roman"/>
          <w:szCs w:val="24"/>
          <w:lang w:val="el-GR"/>
        </w:rPr>
        <w:t xml:space="preserve"> βλέπε παράγραφο 4.4 και υπο-παράγραφο Γ της παραγράφου 4.8.</w:t>
      </w:r>
    </w:p>
    <w:p w:rsidR="00B74B1D" w:rsidRDefault="00B74B1D"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Calibri" w:hAnsi="Calibri"/>
          <w:lang w:val="el-GR"/>
        </w:rPr>
      </w:pPr>
    </w:p>
    <w:p w:rsidR="001C5969"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lang w:val="el-GR"/>
        </w:rPr>
      </w:pPr>
      <w:r>
        <w:rPr>
          <w:rFonts w:ascii="Times New Roman" w:hAnsi="Times New Roman"/>
          <w:spacing w:val="-2"/>
          <w:lang w:val="el-GR"/>
        </w:rPr>
        <w:t xml:space="preserve">Σε κλινικές μελέτες σε ασθενείς με </w:t>
      </w:r>
      <w:r>
        <w:rPr>
          <w:rFonts w:ascii="Times New Roman" w:hAnsi="Times New Roman"/>
          <w:spacing w:val="-2"/>
        </w:rPr>
        <w:t>HIV</w:t>
      </w:r>
      <w:r>
        <w:rPr>
          <w:rFonts w:ascii="Times New Roman" w:hAnsi="Times New Roman"/>
          <w:spacing w:val="-2"/>
          <w:lang w:val="el-GR"/>
        </w:rPr>
        <w:t xml:space="preserve">, οι μόνες ανεπιθύμητες ενέργειες που θεωρήθηκαν </w:t>
      </w:r>
      <w:r w:rsidR="00077E30">
        <w:rPr>
          <w:rFonts w:ascii="Times New Roman" w:hAnsi="Times New Roman"/>
          <w:spacing w:val="-2"/>
          <w:lang w:val="el-GR"/>
        </w:rPr>
        <w:t xml:space="preserve">ότι σχετίζονται σταθερά </w:t>
      </w:r>
      <w:r>
        <w:rPr>
          <w:rFonts w:ascii="Times New Roman" w:hAnsi="Times New Roman"/>
          <w:spacing w:val="-2"/>
          <w:lang w:val="el-GR"/>
        </w:rPr>
        <w:t xml:space="preserve"> σχετίζονται με τη χορήγηση του </w:t>
      </w:r>
      <w:r>
        <w:rPr>
          <w:rStyle w:val="hps"/>
          <w:rFonts w:ascii="Times New Roman" w:hAnsi="Times New Roman"/>
          <w:color w:val="333333"/>
        </w:rPr>
        <w:t>G</w:t>
      </w:r>
      <w:r w:rsidR="00560730">
        <w:rPr>
          <w:rStyle w:val="hps"/>
          <w:rFonts w:ascii="Times New Roman" w:hAnsi="Times New Roman"/>
          <w:color w:val="333333"/>
        </w:rPr>
        <w:t>RANULOKINE</w:t>
      </w:r>
      <w:r w:rsidRPr="00A96081">
        <w:rPr>
          <w:rFonts w:ascii="Times New Roman" w:hAnsi="Times New Roman"/>
          <w:color w:val="333333"/>
          <w:lang w:val="el-GR"/>
        </w:rPr>
        <w:t xml:space="preserve"> </w:t>
      </w:r>
      <w:r w:rsidRPr="00A96081">
        <w:rPr>
          <w:rStyle w:val="hps"/>
          <w:rFonts w:ascii="Times New Roman" w:hAnsi="Times New Roman"/>
          <w:color w:val="333333"/>
          <w:lang w:val="el-GR"/>
        </w:rPr>
        <w:t>ή</w:t>
      </w:r>
      <w:r>
        <w:rPr>
          <w:rStyle w:val="hps"/>
          <w:rFonts w:ascii="Times New Roman" w:hAnsi="Times New Roman"/>
          <w:color w:val="333333"/>
          <w:lang w:val="el-GR"/>
        </w:rPr>
        <w:t xml:space="preserve">ταν ο μυοσκελετικός πόνος, ο πόνος στα οστά και </w:t>
      </w:r>
      <w:r w:rsidR="00F17EFF">
        <w:rPr>
          <w:rStyle w:val="hps"/>
          <w:rFonts w:ascii="Times New Roman" w:hAnsi="Times New Roman"/>
          <w:color w:val="333333"/>
          <w:lang w:val="el-GR"/>
        </w:rPr>
        <w:t xml:space="preserve">η </w:t>
      </w:r>
      <w:r>
        <w:rPr>
          <w:rStyle w:val="hps"/>
          <w:rFonts w:ascii="Times New Roman" w:hAnsi="Times New Roman"/>
          <w:color w:val="333333"/>
          <w:lang w:val="el-GR"/>
        </w:rPr>
        <w:t>μυαλγία.</w:t>
      </w:r>
    </w:p>
    <w:p w:rsidR="001C5969"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lang w:val="el-GR"/>
        </w:rPr>
      </w:pPr>
    </w:p>
    <w:p w:rsidR="001C5969"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lang w:val="el-GR"/>
        </w:rPr>
      </w:pPr>
      <w:r>
        <w:rPr>
          <w:rStyle w:val="hps"/>
          <w:rFonts w:ascii="Times New Roman" w:hAnsi="Times New Roman"/>
          <w:color w:val="333333"/>
          <w:lang w:val="el-GR"/>
        </w:rPr>
        <w:t>β. Πίνακας περίληψης ανεπιθύμητων ενεργειών</w:t>
      </w:r>
    </w:p>
    <w:p w:rsidR="001C5969"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lang w:val="el-GR"/>
        </w:rPr>
      </w:pPr>
    </w:p>
    <w:p w:rsidR="001C5969" w:rsidRPr="00077E30" w:rsidRDefault="001C5969" w:rsidP="001C5969">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lang w:val="el-GR"/>
        </w:rPr>
      </w:pPr>
      <w:r w:rsidRPr="00077E30">
        <w:rPr>
          <w:rStyle w:val="hps"/>
          <w:rFonts w:ascii="Times New Roman" w:hAnsi="Times New Roman"/>
          <w:color w:val="333333"/>
          <w:lang w:val="el-GR"/>
        </w:rPr>
        <w:lastRenderedPageBreak/>
        <w:t xml:space="preserve">Τα δεδομένα στους παρακάτω πίνακες περιγράφουν τις ανεπιθύμητες ενέργειες από κλινικές μελέτες και αυθόρμητες αναφορές. Εντός κάθε κατηγορίας συχνότητας εμφάνισης οι ανεπιθύμητες ενέργειες παρατίθενται κατά φθίνουσα σειρά σοβαρότητας. Τα στοιχεία παρουσιάζονται χωριστά </w:t>
      </w:r>
      <w:r w:rsidR="00C6531E" w:rsidRPr="00077E30">
        <w:rPr>
          <w:rStyle w:val="hps"/>
          <w:rFonts w:ascii="Times New Roman" w:hAnsi="Times New Roman"/>
          <w:color w:val="333333"/>
          <w:lang w:val="el-GR"/>
        </w:rPr>
        <w:t>για</w:t>
      </w:r>
      <w:r w:rsidRPr="00077E30">
        <w:rPr>
          <w:rStyle w:val="hps"/>
          <w:rFonts w:ascii="Times New Roman" w:hAnsi="Times New Roman"/>
          <w:color w:val="333333"/>
          <w:lang w:val="el-GR"/>
        </w:rPr>
        <w:t xml:space="preserve"> ασθενείς με καρκίνο, </w:t>
      </w:r>
      <w:r w:rsidRPr="00077E30">
        <w:rPr>
          <w:rFonts w:ascii="Times New Roman" w:hAnsi="Times New Roman"/>
          <w:spacing w:val="-2"/>
          <w:lang w:val="el-GR"/>
        </w:rPr>
        <w:t xml:space="preserve">κινητοποίηση προγονικών κυττάρων του περιφερικού αίματος </w:t>
      </w:r>
      <w:r w:rsidR="00C6531E" w:rsidRPr="00077E30">
        <w:rPr>
          <w:rFonts w:ascii="Times New Roman" w:hAnsi="Times New Roman"/>
          <w:spacing w:val="-2"/>
          <w:lang w:val="el-GR"/>
        </w:rPr>
        <w:t>για</w:t>
      </w:r>
      <w:r w:rsidRPr="00077E30">
        <w:rPr>
          <w:rFonts w:ascii="Times New Roman" w:hAnsi="Times New Roman"/>
          <w:spacing w:val="-2"/>
          <w:lang w:val="el-GR"/>
        </w:rPr>
        <w:t xml:space="preserve"> υγιείς δότες</w:t>
      </w:r>
      <w:r w:rsidRPr="00077E30">
        <w:rPr>
          <w:rStyle w:val="hps"/>
          <w:rFonts w:ascii="Times New Roman" w:hAnsi="Times New Roman"/>
          <w:color w:val="333333"/>
          <w:lang w:val="el-GR"/>
        </w:rPr>
        <w:t xml:space="preserve">, </w:t>
      </w:r>
      <w:r w:rsidR="00C6531E" w:rsidRPr="00077E30">
        <w:rPr>
          <w:rStyle w:val="hps"/>
          <w:rFonts w:ascii="Times New Roman" w:hAnsi="Times New Roman"/>
          <w:color w:val="333333"/>
          <w:lang w:val="el-GR"/>
        </w:rPr>
        <w:t>για</w:t>
      </w:r>
      <w:r w:rsidRPr="00077E30">
        <w:rPr>
          <w:rStyle w:val="hps"/>
          <w:rFonts w:ascii="Times New Roman" w:hAnsi="Times New Roman"/>
          <w:color w:val="333333"/>
          <w:lang w:val="el-GR"/>
        </w:rPr>
        <w:t xml:space="preserve"> ασθενείς </w:t>
      </w:r>
      <w:r w:rsidR="00DD735A" w:rsidRPr="00077E30">
        <w:rPr>
          <w:rStyle w:val="hps"/>
          <w:rFonts w:ascii="Times New Roman" w:hAnsi="Times New Roman"/>
          <w:color w:val="333333"/>
          <w:lang w:val="el-GR"/>
        </w:rPr>
        <w:t xml:space="preserve">με </w:t>
      </w:r>
      <w:r w:rsidRPr="00077E30">
        <w:rPr>
          <w:rFonts w:ascii="Times New Roman" w:hAnsi="Times New Roman"/>
          <w:color w:val="333333"/>
        </w:rPr>
        <w:t>SCN</w:t>
      </w:r>
      <w:r w:rsidRPr="00077E30">
        <w:rPr>
          <w:rFonts w:ascii="Times New Roman" w:hAnsi="Times New Roman"/>
          <w:color w:val="333333"/>
          <w:lang w:val="el-GR"/>
        </w:rPr>
        <w:t xml:space="preserve"> και ασθενείς με </w:t>
      </w:r>
      <w:r w:rsidRPr="00077E30">
        <w:rPr>
          <w:rFonts w:ascii="Times New Roman" w:hAnsi="Times New Roman"/>
          <w:spacing w:val="-2"/>
        </w:rPr>
        <w:t>HIV</w:t>
      </w:r>
      <w:r w:rsidRPr="00077E30">
        <w:rPr>
          <w:rFonts w:ascii="Times New Roman" w:hAnsi="Times New Roman"/>
          <w:spacing w:val="-2"/>
          <w:lang w:val="el-GR"/>
        </w:rPr>
        <w:t>, αντανακλ</w:t>
      </w:r>
      <w:r w:rsidR="00C6531E" w:rsidRPr="00077E30">
        <w:rPr>
          <w:rFonts w:ascii="Times New Roman" w:hAnsi="Times New Roman"/>
          <w:spacing w:val="-2"/>
          <w:lang w:val="el-GR"/>
        </w:rPr>
        <w:t>ώντας</w:t>
      </w:r>
      <w:r w:rsidRPr="00077E30">
        <w:rPr>
          <w:rFonts w:ascii="Times New Roman" w:hAnsi="Times New Roman"/>
          <w:spacing w:val="-2"/>
          <w:lang w:val="el-GR"/>
        </w:rPr>
        <w:t xml:space="preserve"> τα διαφορετικά προφίλ ανεπιθύμητων ενεργειών σε αυτούς του πληθυσμούς.</w:t>
      </w:r>
    </w:p>
    <w:p w:rsidR="001C5969" w:rsidRPr="00077E30"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lang w:val="el-GR"/>
        </w:rPr>
      </w:pPr>
    </w:p>
    <w:p w:rsidR="001C5969" w:rsidRPr="00077E30" w:rsidRDefault="001C5969" w:rsidP="001C596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i/>
          <w:color w:val="333333"/>
          <w:lang w:val="el-GR"/>
        </w:rPr>
      </w:pPr>
      <w:r w:rsidRPr="00077E30">
        <w:rPr>
          <w:rStyle w:val="hps"/>
          <w:rFonts w:ascii="Times New Roman" w:hAnsi="Times New Roman"/>
          <w:i/>
          <w:color w:val="333333"/>
          <w:lang w:val="el-GR"/>
        </w:rPr>
        <w:t>Ασθενείς με καρκίνο</w:t>
      </w:r>
    </w:p>
    <w:p w:rsidR="001C5969" w:rsidRPr="00077E30" w:rsidRDefault="001C5969"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gridCol w:w="1701"/>
        <w:gridCol w:w="1985"/>
        <w:gridCol w:w="1417"/>
        <w:gridCol w:w="1412"/>
      </w:tblGrid>
      <w:tr w:rsidR="00C45C49" w:rsidRPr="00077E30" w:rsidTr="004F689C">
        <w:tc>
          <w:tcPr>
            <w:tcW w:w="1809" w:type="dxa"/>
            <w:tcBorders>
              <w:bottom w:val="nil"/>
            </w:tcBorders>
            <w:vAlign w:val="center"/>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hAnsi="Times New Roman"/>
                <w:b/>
                <w:sz w:val="22"/>
                <w:szCs w:val="22"/>
                <w:lang w:val="el-GR" w:eastAsia="en-GB"/>
              </w:rPr>
              <w:t xml:space="preserve">Κατηγορία οργανικού συστήματος σύμφωνα με τη βάση δεδομένων </w:t>
            </w:r>
            <w:r w:rsidRPr="00077E30">
              <w:rPr>
                <w:rFonts w:ascii="Times New Roman" w:hAnsi="Times New Roman"/>
                <w:b/>
                <w:sz w:val="22"/>
                <w:szCs w:val="22"/>
                <w:lang w:eastAsia="en-GB"/>
              </w:rPr>
              <w:t>MedDRA</w:t>
            </w:r>
          </w:p>
        </w:tc>
        <w:tc>
          <w:tcPr>
            <w:tcW w:w="8358" w:type="dxa"/>
            <w:gridSpan w:val="5"/>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color w:val="333333"/>
                <w:sz w:val="22"/>
                <w:szCs w:val="22"/>
                <w:lang w:val="el-GR"/>
              </w:rPr>
            </w:pP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b/>
                <w:color w:val="333333"/>
                <w:sz w:val="22"/>
                <w:szCs w:val="22"/>
                <w:lang w:val="el-GR"/>
              </w:rPr>
            </w:pP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b/>
                <w:color w:val="333333"/>
                <w:sz w:val="22"/>
                <w:szCs w:val="22"/>
                <w:lang w:val="el-GR"/>
              </w:rPr>
            </w:pPr>
            <w:r w:rsidRPr="00077E30">
              <w:rPr>
                <w:rStyle w:val="hps"/>
                <w:rFonts w:ascii="Times New Roman" w:hAnsi="Times New Roman"/>
                <w:b/>
                <w:color w:val="333333"/>
                <w:sz w:val="22"/>
                <w:szCs w:val="22"/>
                <w:lang w:val="el-GR"/>
              </w:rPr>
              <w:t>Ανεπιθύμητες ενέργειες</w:t>
            </w:r>
          </w:p>
        </w:tc>
      </w:tr>
      <w:tr w:rsidR="00C45C49" w:rsidRPr="00077E30" w:rsidTr="004F689C">
        <w:tc>
          <w:tcPr>
            <w:tcW w:w="1809" w:type="dxa"/>
            <w:tcBorders>
              <w:top w:val="nil"/>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pacing w:val="-2"/>
                <w:sz w:val="22"/>
                <w:szCs w:val="22"/>
                <w:lang w:val="el-GR"/>
              </w:rPr>
              <w:t>Πολύ συχνές (</w:t>
            </w:r>
            <w:r w:rsidRPr="00077E30">
              <w:rPr>
                <w:rFonts w:ascii="Times New Roman" w:eastAsia="TimesNewRoman,Bold" w:hAnsi="Times New Roman"/>
                <w:b/>
                <w:bCs/>
                <w:sz w:val="22"/>
                <w:szCs w:val="22"/>
                <w:lang w:val="el-GR" w:eastAsia="el-GR"/>
              </w:rPr>
              <w:t>≥ 1/10)</w:t>
            </w: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eastAsia="el-GR"/>
              </w:rPr>
            </w:pPr>
            <w:r w:rsidRPr="00077E30">
              <w:rPr>
                <w:rFonts w:ascii="Times New Roman" w:eastAsia="TimesNewRoman,Bold" w:hAnsi="Times New Roman"/>
                <w:b/>
                <w:bCs/>
                <w:sz w:val="22"/>
                <w:szCs w:val="22"/>
                <w:lang w:val="el-GR" w:eastAsia="el-GR"/>
              </w:rPr>
              <w:t xml:space="preserve">Συχνές             </w:t>
            </w:r>
          </w:p>
          <w:p w:rsidR="00C45C49" w:rsidRPr="00077E30" w:rsidRDefault="00C45C49" w:rsidP="004F689C">
            <w:pPr>
              <w:autoSpaceDE w:val="0"/>
              <w:autoSpaceDN w:val="0"/>
              <w:adjustRightInd w:val="0"/>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 1/100 έως &lt; 1/10)</w:t>
            </w:r>
          </w:p>
        </w:tc>
        <w:tc>
          <w:tcPr>
            <w:tcW w:w="1985"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hAnsi="Times New Roman"/>
                <w:b/>
                <w:spacing w:val="-2"/>
                <w:sz w:val="22"/>
                <w:szCs w:val="22"/>
                <w:lang w:val="el-GR"/>
              </w:rPr>
              <w:t>Όχι συχνές</w:t>
            </w:r>
          </w:p>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1/1000 έως</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&lt; 1/100</w:t>
            </w: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xml:space="preserve">Σπάνιες </w:t>
            </w:r>
          </w:p>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1/10,000 έως</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&lt; 1/1000)</w:t>
            </w: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pacing w:val="-2"/>
                <w:sz w:val="22"/>
                <w:szCs w:val="22"/>
                <w:lang w:val="el-GR"/>
              </w:rPr>
              <w:t>Πολύ σπάνιες</w:t>
            </w:r>
            <w:r w:rsidRPr="00077E30">
              <w:rPr>
                <w:rFonts w:ascii="Times New Roman" w:eastAsia="TimesNewRoman,Bold" w:hAnsi="Times New Roman"/>
                <w:b/>
                <w:bCs/>
                <w:sz w:val="22"/>
                <w:szCs w:val="22"/>
                <w:lang w:val="el-GR" w:eastAsia="el-GR"/>
              </w:rPr>
              <w:t xml:space="preserve">         (&lt; 1/10,000)</w:t>
            </w: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z w:val="22"/>
                <w:szCs w:val="22"/>
                <w:lang w:val="el-GR"/>
              </w:rPr>
              <w:t>Διαταραχές του αιμοποιητικού και του λεμφικού συστήματος</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985" w:type="dxa"/>
          </w:tcPr>
          <w:p w:rsidR="00C45C49" w:rsidRPr="00077E30" w:rsidRDefault="00C6531E" w:rsidP="00137231">
            <w:pPr>
              <w:autoSpaceDE w:val="0"/>
              <w:autoSpaceDN w:val="0"/>
              <w:adjustRightInd w:val="0"/>
              <w:rPr>
                <w:rFonts w:ascii="Times New Roman" w:hAnsi="Times New Roman"/>
                <w:spacing w:val="-2"/>
                <w:sz w:val="22"/>
                <w:szCs w:val="22"/>
                <w:vertAlign w:val="superscript"/>
                <w:lang w:val="el-GR"/>
              </w:rPr>
            </w:pPr>
            <w:r w:rsidRPr="00077E30">
              <w:rPr>
                <w:rFonts w:ascii="Times New Roman" w:hAnsi="Times New Roman"/>
                <w:spacing w:val="-2"/>
                <w:sz w:val="22"/>
                <w:szCs w:val="22"/>
                <w:lang w:val="el-GR"/>
              </w:rPr>
              <w:t xml:space="preserve">Κρίση </w:t>
            </w:r>
            <w:r w:rsidR="00C45C49" w:rsidRPr="00077E30">
              <w:rPr>
                <w:rFonts w:ascii="Times New Roman" w:hAnsi="Times New Roman"/>
                <w:spacing w:val="-2"/>
                <w:sz w:val="22"/>
                <w:szCs w:val="22"/>
                <w:lang w:val="el-GR"/>
              </w:rPr>
              <w:t>Δρεπανοκυτταρική</w:t>
            </w:r>
            <w:r w:rsidRPr="00077E30">
              <w:rPr>
                <w:rFonts w:ascii="Times New Roman" w:hAnsi="Times New Roman"/>
                <w:spacing w:val="-2"/>
                <w:sz w:val="22"/>
                <w:szCs w:val="22"/>
                <w:lang w:val="el-GR"/>
              </w:rPr>
              <w:t>ς</w:t>
            </w:r>
            <w:r w:rsidR="00C45C49" w:rsidRPr="00077E30">
              <w:rPr>
                <w:rFonts w:ascii="Times New Roman" w:hAnsi="Times New Roman"/>
                <w:spacing w:val="-2"/>
                <w:sz w:val="22"/>
                <w:szCs w:val="22"/>
                <w:lang w:val="el-GR"/>
              </w:rPr>
              <w:t xml:space="preserve"> αναιμία</w:t>
            </w:r>
            <w:r w:rsidRPr="00077E30">
              <w:rPr>
                <w:rFonts w:ascii="Times New Roman" w:hAnsi="Times New Roman"/>
                <w:spacing w:val="-2"/>
                <w:sz w:val="22"/>
                <w:szCs w:val="22"/>
                <w:lang w:val="el-GR"/>
              </w:rPr>
              <w:t>ς</w:t>
            </w:r>
            <w:r w:rsidR="00C45C49" w:rsidRPr="00077E30">
              <w:rPr>
                <w:rFonts w:ascii="Times New Roman" w:hAnsi="Times New Roman"/>
                <w:sz w:val="22"/>
                <w:szCs w:val="22"/>
                <w:vertAlign w:val="superscript"/>
                <w:lang w:val="el-GR" w:eastAsia="en-GB"/>
              </w:rPr>
              <w:t>α</w:t>
            </w: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z w:val="22"/>
                <w:szCs w:val="22"/>
                <w:lang w:val="el-GR" w:eastAsia="en-GB"/>
              </w:rPr>
              <w:t>Διαταραχές του ανοσοποιητικού συστήματος</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137231">
            <w:pPr>
              <w:autoSpaceDE w:val="0"/>
              <w:autoSpaceDN w:val="0"/>
              <w:adjustRightInd w:val="0"/>
              <w:rPr>
                <w:rFonts w:ascii="Times New Roman" w:eastAsia="TimesNewRoman,Bold" w:hAnsi="Times New Roman"/>
                <w:b/>
                <w:bCs/>
                <w:sz w:val="22"/>
                <w:szCs w:val="22"/>
                <w:lang w:val="el-GR" w:eastAsia="el-GR"/>
              </w:rPr>
            </w:pPr>
            <w:r w:rsidRPr="00077E30">
              <w:rPr>
                <w:rFonts w:ascii="Times New Roman" w:hAnsi="Times New Roman"/>
                <w:sz w:val="22"/>
                <w:szCs w:val="22"/>
                <w:lang w:val="el-GR" w:eastAsia="en-GB"/>
              </w:rPr>
              <w:t>Υπερευαισθησία</w:t>
            </w:r>
            <w:r w:rsidR="00C6531E" w:rsidRPr="00077E30">
              <w:rPr>
                <w:rFonts w:ascii="Times New Roman" w:hAnsi="Times New Roman"/>
                <w:sz w:val="22"/>
                <w:szCs w:val="22"/>
                <w:lang w:val="el-GR" w:eastAsia="en-GB"/>
              </w:rPr>
              <w:t xml:space="preserve"> στο φάρμακο</w:t>
            </w:r>
            <w:r w:rsidRPr="00077E30">
              <w:rPr>
                <w:rFonts w:ascii="Times New Roman" w:hAnsi="Times New Roman"/>
                <w:sz w:val="22"/>
                <w:szCs w:val="22"/>
                <w:vertAlign w:val="superscript"/>
                <w:lang w:val="el-GR" w:eastAsia="en-GB"/>
              </w:rPr>
              <w:t xml:space="preserve"> α</w:t>
            </w:r>
          </w:p>
        </w:tc>
        <w:tc>
          <w:tcPr>
            <w:tcW w:w="1985" w:type="dxa"/>
          </w:tcPr>
          <w:p w:rsidR="00C45C49" w:rsidRPr="00077E30" w:rsidRDefault="00C45C49" w:rsidP="00137231">
            <w:pPr>
              <w:autoSpaceDE w:val="0"/>
              <w:autoSpaceDN w:val="0"/>
              <w:adjustRightInd w:val="0"/>
              <w:rPr>
                <w:rFonts w:ascii="Times New Roman" w:hAnsi="Times New Roman"/>
                <w:spacing w:val="-2"/>
                <w:sz w:val="22"/>
                <w:szCs w:val="22"/>
                <w:vertAlign w:val="superscript"/>
                <w:lang w:val="el-GR"/>
              </w:rPr>
            </w:pPr>
            <w:r w:rsidRPr="00077E30">
              <w:rPr>
                <w:rFonts w:ascii="Times New Roman" w:hAnsi="Times New Roman"/>
                <w:spacing w:val="-2"/>
                <w:lang w:val="el-GR"/>
              </w:rPr>
              <w:t xml:space="preserve">Αντίδραση Μοσχεύματος έναντι Ξενιστή </w:t>
            </w:r>
            <w:r w:rsidR="00137231" w:rsidRPr="00077E30" w:rsidDel="00137231">
              <w:rPr>
                <w:rFonts w:ascii="Times New Roman" w:hAnsi="Times New Roman"/>
                <w:szCs w:val="22"/>
                <w:vertAlign w:val="superscript"/>
                <w:lang w:val="el-GR"/>
              </w:rPr>
              <w:t xml:space="preserve"> </w:t>
            </w:r>
            <w:r w:rsidRPr="00077E30">
              <w:rPr>
                <w:rFonts w:ascii="Times New Roman" w:hAnsi="Times New Roman"/>
                <w:szCs w:val="22"/>
                <w:vertAlign w:val="superscript"/>
                <w:lang w:val="el-GR"/>
              </w:rPr>
              <w:t>β</w:t>
            </w: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z w:val="22"/>
                <w:szCs w:val="22"/>
                <w:lang w:val="el-GR" w:eastAsia="en-GB"/>
              </w:rPr>
              <w:t>Διαταραχές του μεταβολισμού και της θρέψης</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hint="eastAsia"/>
                <w:spacing w:val="-2"/>
                <w:lang w:val="el-GR"/>
              </w:rPr>
              <w:t>Ουρικό</w:t>
            </w:r>
            <w:r w:rsidRPr="00077E30">
              <w:rPr>
                <w:rFonts w:ascii="Times New Roman" w:hAnsi="Times New Roman"/>
                <w:spacing w:val="-2"/>
                <w:lang w:val="el-GR"/>
              </w:rPr>
              <w:t xml:space="preserve"> </w:t>
            </w:r>
            <w:r w:rsidRPr="00077E30">
              <w:rPr>
                <w:rFonts w:ascii="Times New Roman" w:hAnsi="Times New Roman" w:hint="eastAsia"/>
                <w:spacing w:val="-2"/>
                <w:lang w:val="el-GR"/>
              </w:rPr>
              <w:t>οξύ</w:t>
            </w:r>
            <w:r w:rsidRPr="00077E30">
              <w:rPr>
                <w:rFonts w:ascii="Times New Roman" w:hAnsi="Times New Roman"/>
                <w:spacing w:val="-2"/>
                <w:lang w:val="el-GR"/>
              </w:rPr>
              <w:t xml:space="preserve"> </w:t>
            </w:r>
            <w:r w:rsidRPr="00077E30">
              <w:rPr>
                <w:rFonts w:ascii="Times New Roman" w:hAnsi="Times New Roman" w:hint="eastAsia"/>
                <w:spacing w:val="-2"/>
                <w:lang w:val="el-GR"/>
              </w:rPr>
              <w:t>αίματος</w:t>
            </w:r>
            <w:r w:rsidRPr="00077E30">
              <w:rPr>
                <w:rFonts w:ascii="Times New Roman" w:hAnsi="Times New Roman"/>
                <w:spacing w:val="-2"/>
                <w:lang w:val="el-GR"/>
              </w:rPr>
              <w:t xml:space="preserve"> </w:t>
            </w:r>
            <w:r w:rsidRPr="00077E30">
              <w:rPr>
                <w:rFonts w:ascii="Times New Roman" w:hAnsi="Times New Roman" w:hint="eastAsia"/>
                <w:spacing w:val="-2"/>
                <w:lang w:val="el-GR"/>
              </w:rPr>
              <w:t>αυξημένο Γαλακτική</w:t>
            </w:r>
            <w:r w:rsidRPr="00077E30">
              <w:rPr>
                <w:rFonts w:ascii="Times New Roman" w:hAnsi="Times New Roman"/>
                <w:spacing w:val="-2"/>
                <w:lang w:val="el-GR"/>
              </w:rPr>
              <w:t xml:space="preserve"> </w:t>
            </w:r>
            <w:r w:rsidRPr="00077E30">
              <w:rPr>
                <w:rFonts w:ascii="Times New Roman" w:hAnsi="Times New Roman" w:hint="eastAsia"/>
                <w:spacing w:val="-2"/>
                <w:lang w:val="el-GR"/>
              </w:rPr>
              <w:t>αφυδρογονάση</w:t>
            </w:r>
            <w:r w:rsidRPr="00077E30">
              <w:rPr>
                <w:rFonts w:ascii="Times New Roman" w:hAnsi="Times New Roman"/>
                <w:spacing w:val="-2"/>
                <w:lang w:val="el-GR"/>
              </w:rPr>
              <w:t xml:space="preserve"> </w:t>
            </w:r>
            <w:r w:rsidRPr="00077E30">
              <w:rPr>
                <w:rFonts w:ascii="Times New Roman" w:hAnsi="Times New Roman" w:hint="eastAsia"/>
                <w:spacing w:val="-2"/>
                <w:lang w:val="el-GR"/>
              </w:rPr>
              <w:t>αίματος</w:t>
            </w:r>
            <w:r w:rsidRPr="00077E30">
              <w:rPr>
                <w:rFonts w:ascii="Times New Roman" w:hAnsi="Times New Roman"/>
                <w:spacing w:val="-2"/>
                <w:lang w:val="el-GR"/>
              </w:rPr>
              <w:t xml:space="preserve"> </w:t>
            </w:r>
            <w:r w:rsidRPr="00077E30">
              <w:rPr>
                <w:rFonts w:ascii="Times New Roman" w:hAnsi="Times New Roman" w:hint="eastAsia"/>
                <w:spacing w:val="-2"/>
                <w:lang w:val="el-GR"/>
              </w:rPr>
              <w:t>αυξημένη</w:t>
            </w:r>
            <w:r w:rsidRPr="00077E30">
              <w:rPr>
                <w:rFonts w:ascii="Times New Roman" w:hAnsi="Times New Roman"/>
                <w:spacing w:val="-2"/>
                <w:lang w:val="el-GR"/>
              </w:rPr>
              <w:t xml:space="preserve"> Μειωμένη όρεξη</w:t>
            </w:r>
            <w:r w:rsidRPr="00077E30">
              <w:rPr>
                <w:rFonts w:ascii="Times New Roman" w:hAnsi="Times New Roman"/>
                <w:sz w:val="22"/>
                <w:szCs w:val="22"/>
                <w:vertAlign w:val="superscript"/>
                <w:lang w:val="el-GR" w:eastAsia="en-GB"/>
              </w:rPr>
              <w:t xml:space="preserve"> 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985" w:type="dxa"/>
          </w:tcPr>
          <w:p w:rsidR="00C45C49" w:rsidRPr="00077E30" w:rsidRDefault="00C45C49" w:rsidP="00137231">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Ψευδοουρική αρθρίτιδα</w:t>
            </w:r>
            <w:r w:rsidRPr="00077E30">
              <w:rPr>
                <w:rFonts w:ascii="Times New Roman" w:hAnsi="Times New Roman"/>
                <w:sz w:val="22"/>
                <w:szCs w:val="22"/>
                <w:vertAlign w:val="superscript"/>
                <w:lang w:val="el-GR" w:eastAsia="en-GB"/>
              </w:rPr>
              <w:t>α</w:t>
            </w: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του νευρικού συστήματος</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Κεφαλαλγία</w:t>
            </w:r>
            <w:r w:rsidRPr="00077E30">
              <w:rPr>
                <w:rFonts w:ascii="Times New Roman" w:hAnsi="Times New Roman"/>
                <w:sz w:val="22"/>
                <w:szCs w:val="22"/>
                <w:vertAlign w:val="superscript"/>
                <w:lang w:val="el-GR" w:eastAsia="en-GB"/>
              </w:rPr>
              <w:t>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985" w:type="dxa"/>
          </w:tcPr>
          <w:p w:rsidR="00C45C49" w:rsidRPr="00077E30" w:rsidRDefault="00C45C49" w:rsidP="004F689C">
            <w:pPr>
              <w:autoSpaceDE w:val="0"/>
              <w:autoSpaceDN w:val="0"/>
              <w:adjustRightInd w:val="0"/>
              <w:rPr>
                <w:rFonts w:ascii="Times New Roman" w:hAnsi="Times New Roman"/>
                <w:spacing w:val="-2"/>
                <w:sz w:val="22"/>
                <w:szCs w:val="22"/>
                <w:lang w:val="el-GR"/>
              </w:rPr>
            </w:pP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Αγγειακές διαταραχές</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Cs/>
                <w:sz w:val="22"/>
                <w:szCs w:val="22"/>
                <w:lang w:val="el-GR" w:eastAsia="el-GR"/>
              </w:rPr>
            </w:pPr>
            <w:r w:rsidRPr="00077E30">
              <w:rPr>
                <w:rFonts w:ascii="Times New Roman" w:eastAsia="TimesNewRoman,Bold" w:hAnsi="Times New Roman"/>
                <w:bCs/>
                <w:sz w:val="22"/>
                <w:szCs w:val="22"/>
                <w:lang w:val="el-GR" w:eastAsia="el-GR"/>
              </w:rPr>
              <w:t>Υπόταση</w:t>
            </w:r>
          </w:p>
        </w:tc>
        <w:tc>
          <w:tcPr>
            <w:tcW w:w="1985" w:type="dxa"/>
          </w:tcPr>
          <w:p w:rsidR="00C45C49" w:rsidRPr="00077E30" w:rsidRDefault="00C45C49" w:rsidP="00B74B1D">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Φλεβο αποφρακτική νόσο</w:t>
            </w:r>
            <w:r w:rsidRPr="00077E30">
              <w:rPr>
                <w:rFonts w:ascii="Times New Roman" w:hAnsi="Times New Roman"/>
                <w:spacing w:val="-2"/>
                <w:sz w:val="22"/>
                <w:szCs w:val="22"/>
                <w:vertAlign w:val="superscript"/>
                <w:lang w:val="el-GR"/>
              </w:rPr>
              <w:t>δ</w:t>
            </w:r>
            <w:r w:rsidRPr="00077E30">
              <w:rPr>
                <w:rFonts w:ascii="Times New Roman" w:hAnsi="Times New Roman"/>
                <w:spacing w:val="-2"/>
                <w:sz w:val="22"/>
                <w:szCs w:val="22"/>
                <w:lang w:val="el-GR"/>
              </w:rPr>
              <w:t xml:space="preserve">  </w:t>
            </w:r>
            <w:r w:rsidR="00B74B1D" w:rsidRPr="00077E30">
              <w:rPr>
                <w:rFonts w:ascii="Times New Roman" w:hAnsi="Times New Roman"/>
                <w:spacing w:val="-2"/>
                <w:sz w:val="22"/>
                <w:szCs w:val="22"/>
                <w:lang w:val="el-GR"/>
              </w:rPr>
              <w:t>Δ</w:t>
            </w:r>
            <w:r w:rsidRPr="00077E30">
              <w:rPr>
                <w:rFonts w:ascii="Times New Roman" w:hAnsi="Times New Roman"/>
                <w:spacing w:val="-2"/>
                <w:sz w:val="22"/>
                <w:szCs w:val="22"/>
                <w:lang w:val="el-GR"/>
              </w:rPr>
              <w:t>ιαταραχές όγκου υγρών</w:t>
            </w:r>
          </w:p>
          <w:p w:rsidR="00B74B1D" w:rsidRPr="00077E30" w:rsidRDefault="00B74B1D" w:rsidP="00B74B1D">
            <w:pPr>
              <w:autoSpaceDE w:val="0"/>
              <w:autoSpaceDN w:val="0"/>
              <w:adjustRightInd w:val="0"/>
              <w:rPr>
                <w:rFonts w:ascii="Times New Roman" w:hAnsi="Times New Roman"/>
                <w:spacing w:val="-2"/>
                <w:sz w:val="22"/>
                <w:szCs w:val="22"/>
                <w:vertAlign w:val="superscript"/>
                <w:lang w:val="el-GR"/>
              </w:rPr>
            </w:pPr>
            <w:r w:rsidRPr="00077E30">
              <w:rPr>
                <w:rFonts w:ascii="Times New Roman" w:hAnsi="Times New Roman"/>
                <w:spacing w:val="-2"/>
                <w:sz w:val="22"/>
                <w:szCs w:val="22"/>
                <w:lang w:val="el-GR"/>
              </w:rPr>
              <w:t>Σύνδρομο διαφυγής τριχοειδών</w:t>
            </w:r>
            <w:r w:rsidRPr="00077E30">
              <w:rPr>
                <w:rFonts w:ascii="Times New Roman" w:hAnsi="Times New Roman"/>
                <w:spacing w:val="-2"/>
                <w:sz w:val="22"/>
                <w:szCs w:val="22"/>
                <w:vertAlign w:val="superscript"/>
                <w:lang w:val="el-GR"/>
              </w:rPr>
              <w:t>α</w:t>
            </w: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του αναπνευστικού συστήματος, του θώρακα και του μεσοθωράκιου</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z w:val="22"/>
                <w:szCs w:val="22"/>
                <w:vertAlign w:val="superscript"/>
                <w:lang w:val="el-GR" w:eastAsia="en-GB"/>
              </w:rPr>
            </w:pPr>
            <w:r w:rsidRPr="00077E30">
              <w:rPr>
                <w:rFonts w:ascii="Times New Roman" w:hAnsi="Times New Roman" w:hint="eastAsia"/>
                <w:spacing w:val="-2"/>
                <w:lang w:val="el-GR"/>
              </w:rPr>
              <w:t>Φαρυγγολαρυγγικό</w:t>
            </w:r>
            <w:r w:rsidRPr="00077E30">
              <w:rPr>
                <w:rFonts w:ascii="Times New Roman" w:hAnsi="Times New Roman"/>
                <w:spacing w:val="-2"/>
                <w:lang w:val="el-GR"/>
              </w:rPr>
              <w:t xml:space="preserve"> ά</w:t>
            </w:r>
            <w:r w:rsidRPr="00077E30">
              <w:rPr>
                <w:rFonts w:ascii="Times New Roman" w:hAnsi="Times New Roman" w:hint="eastAsia"/>
                <w:spacing w:val="-2"/>
                <w:lang w:val="el-GR"/>
              </w:rPr>
              <w:t>λγος</w:t>
            </w:r>
            <w:r w:rsidRPr="00077E30">
              <w:rPr>
                <w:rFonts w:ascii="Times New Roman" w:hAnsi="Times New Roman"/>
                <w:sz w:val="22"/>
                <w:szCs w:val="22"/>
                <w:vertAlign w:val="superscript"/>
                <w:lang w:val="el-GR" w:eastAsia="en-GB"/>
              </w:rPr>
              <w:t>α</w:t>
            </w:r>
            <w:r w:rsidRPr="00077E30">
              <w:rPr>
                <w:rFonts w:ascii="Times New Roman" w:hAnsi="Times New Roman"/>
                <w:spacing w:val="-2"/>
                <w:lang w:val="el-GR"/>
              </w:rPr>
              <w:t xml:space="preserve"> Βήχας</w:t>
            </w:r>
            <w:r w:rsidRPr="00077E30">
              <w:rPr>
                <w:rFonts w:ascii="Times New Roman" w:hAnsi="Times New Roman"/>
                <w:sz w:val="22"/>
                <w:szCs w:val="22"/>
                <w:vertAlign w:val="superscript"/>
                <w:lang w:val="el-GR" w:eastAsia="en-GB"/>
              </w:rPr>
              <w:t>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z w:val="22"/>
                <w:szCs w:val="22"/>
                <w:lang w:val="el-GR" w:eastAsia="en-GB"/>
              </w:rPr>
              <w:t>Δύσπνοια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Cs/>
                <w:sz w:val="22"/>
                <w:szCs w:val="22"/>
                <w:lang w:val="el-GR" w:eastAsia="el-GR"/>
              </w:rPr>
            </w:pPr>
            <w:r w:rsidRPr="00077E30">
              <w:rPr>
                <w:rFonts w:ascii="Times New Roman" w:eastAsia="TimesNewRoman,Bold" w:hAnsi="Times New Roman"/>
                <w:bCs/>
                <w:sz w:val="22"/>
                <w:szCs w:val="22"/>
                <w:lang w:val="el-GR" w:eastAsia="el-GR"/>
              </w:rPr>
              <w:t>Αιμόπτυση</w:t>
            </w:r>
            <w:r w:rsidRPr="00077E30">
              <w:rPr>
                <w:rFonts w:ascii="Times New Roman" w:hAnsi="Times New Roman"/>
                <w:sz w:val="22"/>
                <w:szCs w:val="22"/>
                <w:vertAlign w:val="superscript"/>
                <w:lang w:val="el-GR" w:eastAsia="en-GB"/>
              </w:rPr>
              <w:t xml:space="preserve"> ε</w:t>
            </w:r>
          </w:p>
        </w:tc>
        <w:tc>
          <w:tcPr>
            <w:tcW w:w="1985" w:type="dxa"/>
          </w:tcPr>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 xml:space="preserve">Σύνδρομο οξείας αναπνευστικής δυσχέρειας </w:t>
            </w:r>
            <w:r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Αναπνευστική ανεπάρκεια</w:t>
            </w:r>
            <w:r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Πνευμονικό οίδημα</w:t>
            </w:r>
            <w:r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Διάμεση πνευμονοπάθεια</w:t>
            </w:r>
            <w:r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lastRenderedPageBreak/>
              <w:t>Διήθηση            πνεύμονα</w:t>
            </w:r>
            <w:r w:rsidRPr="00077E30">
              <w:rPr>
                <w:rFonts w:ascii="Times New Roman" w:hAnsi="Times New Roman"/>
                <w:sz w:val="22"/>
                <w:szCs w:val="22"/>
                <w:vertAlign w:val="superscript"/>
                <w:lang w:val="el-GR" w:eastAsia="en-GB"/>
              </w:rPr>
              <w:t>α</w:t>
            </w:r>
            <w:r w:rsidRPr="00077E30">
              <w:rPr>
                <w:rFonts w:ascii="Times New Roman" w:hAnsi="Times New Roman"/>
                <w:spacing w:val="-2"/>
                <w:sz w:val="22"/>
                <w:szCs w:val="22"/>
                <w:lang w:val="el-GR"/>
              </w:rPr>
              <w:t xml:space="preserve">              Πνευμονική </w:t>
            </w:r>
          </w:p>
          <w:p w:rsidR="00C45C49" w:rsidRPr="00077E30" w:rsidRDefault="00C45C49" w:rsidP="004F689C">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 xml:space="preserve">αιμορραγία </w:t>
            </w: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lastRenderedPageBreak/>
              <w:t>Διαταραχές του γαστρεντερικού</w:t>
            </w:r>
          </w:p>
        </w:tc>
        <w:tc>
          <w:tcPr>
            <w:tcW w:w="1843" w:type="dxa"/>
          </w:tcPr>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Διάρροια</w:t>
            </w:r>
            <w:r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Έμετος</w:t>
            </w:r>
            <w:r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 xml:space="preserve">Δυσκοιλιότητα </w:t>
            </w:r>
            <w:r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Ναυτία</w:t>
            </w:r>
            <w:r w:rsidRPr="00077E30">
              <w:rPr>
                <w:rFonts w:ascii="Times New Roman" w:hAnsi="Times New Roman"/>
                <w:sz w:val="22"/>
                <w:szCs w:val="22"/>
                <w:vertAlign w:val="superscript"/>
                <w:lang w:val="el-GR" w:eastAsia="en-GB"/>
              </w:rPr>
              <w:t>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985" w:type="dxa"/>
          </w:tcPr>
          <w:p w:rsidR="00C45C49" w:rsidRPr="00077E30" w:rsidRDefault="00C45C49" w:rsidP="004F689C">
            <w:pPr>
              <w:autoSpaceDE w:val="0"/>
              <w:autoSpaceDN w:val="0"/>
              <w:adjustRightInd w:val="0"/>
              <w:rPr>
                <w:rFonts w:ascii="Times New Roman" w:hAnsi="Times New Roman"/>
                <w:spacing w:val="-2"/>
                <w:sz w:val="22"/>
                <w:szCs w:val="22"/>
                <w:lang w:val="el-GR"/>
              </w:rPr>
            </w:pP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του ήπατος και των χοληφόρων</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hint="eastAsia"/>
                <w:spacing w:val="-2"/>
                <w:lang w:val="el-GR"/>
              </w:rPr>
              <w:t>γ</w:t>
            </w:r>
            <w:r w:rsidRPr="00077E30">
              <w:rPr>
                <w:rFonts w:ascii="Times New Roman" w:hAnsi="Times New Roman"/>
                <w:spacing w:val="-2"/>
                <w:lang w:val="el-GR"/>
              </w:rPr>
              <w:t>-</w:t>
            </w:r>
            <w:r w:rsidRPr="00077E30">
              <w:rPr>
                <w:rFonts w:ascii="Times New Roman" w:hAnsi="Times New Roman" w:hint="eastAsia"/>
                <w:spacing w:val="-2"/>
                <w:lang w:val="el-GR"/>
              </w:rPr>
              <w:t>γλουταμυλτρανσφεράση</w:t>
            </w:r>
            <w:r w:rsidRPr="00077E30">
              <w:rPr>
                <w:rFonts w:ascii="Times New Roman" w:hAnsi="Times New Roman"/>
                <w:spacing w:val="-2"/>
                <w:lang w:val="el-GR"/>
              </w:rPr>
              <w:t xml:space="preserve"> </w:t>
            </w:r>
            <w:r w:rsidRPr="00077E30">
              <w:rPr>
                <w:rFonts w:ascii="Times New Roman" w:hAnsi="Times New Roman" w:hint="eastAsia"/>
                <w:spacing w:val="-2"/>
                <w:lang w:val="el-GR"/>
              </w:rPr>
              <w:t>αυξημένη Αλκαλική</w:t>
            </w:r>
            <w:r w:rsidRPr="00077E30">
              <w:rPr>
                <w:rFonts w:ascii="Times New Roman" w:hAnsi="Times New Roman"/>
                <w:spacing w:val="-2"/>
                <w:lang w:val="el-GR"/>
              </w:rPr>
              <w:t xml:space="preserve"> </w:t>
            </w:r>
            <w:r w:rsidRPr="00077E30">
              <w:rPr>
                <w:rFonts w:ascii="Times New Roman" w:hAnsi="Times New Roman" w:hint="eastAsia"/>
                <w:spacing w:val="-2"/>
                <w:lang w:val="el-GR"/>
              </w:rPr>
              <w:t>φωσφατάση</w:t>
            </w:r>
            <w:r w:rsidRPr="00077E30">
              <w:rPr>
                <w:rFonts w:ascii="Times New Roman" w:hAnsi="Times New Roman"/>
                <w:spacing w:val="-2"/>
                <w:lang w:val="el-GR"/>
              </w:rPr>
              <w:t xml:space="preserve"> </w:t>
            </w:r>
            <w:r w:rsidRPr="00077E30">
              <w:rPr>
                <w:rFonts w:ascii="Times New Roman" w:hAnsi="Times New Roman" w:hint="eastAsia"/>
                <w:spacing w:val="-2"/>
                <w:lang w:val="el-GR"/>
              </w:rPr>
              <w:t>αίματος</w:t>
            </w:r>
            <w:r w:rsidRPr="00077E30">
              <w:rPr>
                <w:rFonts w:ascii="Times New Roman" w:hAnsi="Times New Roman"/>
                <w:spacing w:val="-2"/>
                <w:lang w:val="el-GR"/>
              </w:rPr>
              <w:t xml:space="preserve"> </w:t>
            </w:r>
            <w:r w:rsidRPr="00077E30">
              <w:rPr>
                <w:rFonts w:ascii="Times New Roman" w:hAnsi="Times New Roman" w:hint="eastAsia"/>
                <w:spacing w:val="-2"/>
                <w:lang w:val="el-GR"/>
              </w:rPr>
              <w:t>αυξημένη</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985" w:type="dxa"/>
          </w:tcPr>
          <w:p w:rsidR="00C45C49" w:rsidRPr="00077E30" w:rsidRDefault="00C45C49" w:rsidP="004F689C">
            <w:pPr>
              <w:autoSpaceDE w:val="0"/>
              <w:autoSpaceDN w:val="0"/>
              <w:adjustRightInd w:val="0"/>
              <w:rPr>
                <w:rFonts w:ascii="Times New Roman" w:hAnsi="Times New Roman"/>
                <w:spacing w:val="-2"/>
                <w:sz w:val="22"/>
                <w:szCs w:val="22"/>
                <w:lang w:val="el-GR"/>
              </w:rPr>
            </w:pP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του δέρματος και του υποδόριου ιστού</w:t>
            </w:r>
          </w:p>
        </w:tc>
        <w:tc>
          <w:tcPr>
            <w:tcW w:w="1843" w:type="dxa"/>
          </w:tcPr>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lang w:val="el-GR"/>
              </w:rPr>
              <w:t>Εξάνθημα</w:t>
            </w:r>
            <w:r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lang w:val="el-GR"/>
              </w:rPr>
              <w:t>Αλωπεκία</w:t>
            </w:r>
            <w:r w:rsidRPr="00077E30">
              <w:rPr>
                <w:rFonts w:ascii="Times New Roman" w:hAnsi="Times New Roman"/>
                <w:sz w:val="22"/>
                <w:szCs w:val="22"/>
                <w:vertAlign w:val="superscript"/>
                <w:lang w:val="el-GR" w:eastAsia="en-GB"/>
              </w:rPr>
              <w:t>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985" w:type="dxa"/>
          </w:tcPr>
          <w:p w:rsidR="00C45C49" w:rsidRPr="00077E30" w:rsidRDefault="00C6531E" w:rsidP="004F689C">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 xml:space="preserve">Σύνδρομο </w:t>
            </w:r>
            <w:r w:rsidRPr="00077E30">
              <w:rPr>
                <w:rFonts w:ascii="Times New Roman" w:hAnsi="Times New Roman"/>
                <w:spacing w:val="-2"/>
                <w:sz w:val="22"/>
                <w:szCs w:val="22"/>
              </w:rPr>
              <w:t>Sweets</w:t>
            </w:r>
            <w:r w:rsidRPr="00077E30">
              <w:rPr>
                <w:rFonts w:ascii="Times New Roman" w:hAnsi="Times New Roman"/>
                <w:spacing w:val="-2"/>
                <w:sz w:val="22"/>
                <w:szCs w:val="22"/>
                <w:lang w:val="el-GR"/>
              </w:rPr>
              <w:t xml:space="preserve"> </w:t>
            </w:r>
            <w:r w:rsidR="00C45C49" w:rsidRPr="00077E30">
              <w:rPr>
                <w:rFonts w:ascii="Times New Roman" w:hAnsi="Times New Roman"/>
                <w:spacing w:val="-2"/>
                <w:sz w:val="22"/>
                <w:szCs w:val="22"/>
                <w:lang w:val="el-GR"/>
              </w:rPr>
              <w:t>Δερματική αγγειίτιδα</w:t>
            </w:r>
            <w:r w:rsidR="00C45C49" w:rsidRPr="00077E30">
              <w:rPr>
                <w:rFonts w:ascii="Times New Roman" w:hAnsi="Times New Roman"/>
                <w:sz w:val="22"/>
                <w:szCs w:val="22"/>
                <w:vertAlign w:val="superscript"/>
                <w:lang w:val="el-GR" w:eastAsia="en-GB"/>
              </w:rPr>
              <w:t>α</w:t>
            </w:r>
          </w:p>
          <w:p w:rsidR="00C45C49" w:rsidRPr="00077E30" w:rsidRDefault="00C45C49" w:rsidP="004F689C">
            <w:pPr>
              <w:autoSpaceDE w:val="0"/>
              <w:autoSpaceDN w:val="0"/>
              <w:adjustRightInd w:val="0"/>
              <w:rPr>
                <w:rFonts w:ascii="Times New Roman" w:hAnsi="Times New Roman"/>
                <w:spacing w:val="-2"/>
                <w:sz w:val="22"/>
                <w:szCs w:val="22"/>
                <w:lang w:val="el-GR"/>
              </w:rPr>
            </w:pP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του μυοσκελετικού συστήματος και του συνδετικού ιστού</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r w:rsidRPr="00077E30">
              <w:rPr>
                <w:rFonts w:ascii="Times New Roman" w:hAnsi="Times New Roman"/>
                <w:spacing w:val="-2"/>
                <w:lang w:val="el-GR"/>
              </w:rPr>
              <w:t>Μυοσκελετικός πόνος</w:t>
            </w:r>
            <w:r w:rsidRPr="00077E30">
              <w:rPr>
                <w:rFonts w:ascii="Times New Roman" w:hAnsi="Times New Roman"/>
                <w:sz w:val="22"/>
                <w:szCs w:val="22"/>
                <w:vertAlign w:val="superscript"/>
                <w:lang w:val="el-GR" w:eastAsia="en-GB"/>
              </w:rPr>
              <w:t>γ</w:t>
            </w: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985" w:type="dxa"/>
          </w:tcPr>
          <w:p w:rsidR="00C45C49" w:rsidRPr="00077E30" w:rsidRDefault="00C45C49" w:rsidP="004F689C">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 xml:space="preserve">Επιδείνωση της ρευματοειδής αρθρίτιδας </w:t>
            </w: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των νεφρών και των ουροφόρων οδών</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Cs/>
                <w:sz w:val="22"/>
                <w:szCs w:val="22"/>
                <w:lang w:val="el-GR" w:eastAsia="el-GR"/>
              </w:rPr>
            </w:pPr>
            <w:r w:rsidRPr="00077E30">
              <w:rPr>
                <w:rFonts w:ascii="Times New Roman" w:eastAsia="TimesNewRoman,Bold" w:hAnsi="Times New Roman"/>
                <w:bCs/>
                <w:sz w:val="22"/>
                <w:szCs w:val="22"/>
                <w:lang w:val="el-GR" w:eastAsia="el-GR"/>
              </w:rPr>
              <w:t xml:space="preserve">Δυσουρία </w:t>
            </w:r>
          </w:p>
        </w:tc>
        <w:tc>
          <w:tcPr>
            <w:tcW w:w="1985"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Μη φυσιολογικά ούρα</w:t>
            </w:r>
          </w:p>
          <w:p w:rsidR="00C45C49" w:rsidRPr="00077E30" w:rsidRDefault="00C45C49" w:rsidP="004F689C">
            <w:pPr>
              <w:autoSpaceDE w:val="0"/>
              <w:autoSpaceDN w:val="0"/>
              <w:adjustRightInd w:val="0"/>
              <w:rPr>
                <w:rFonts w:ascii="Times New Roman" w:hAnsi="Times New Roman"/>
                <w:spacing w:val="-2"/>
                <w:sz w:val="22"/>
                <w:szCs w:val="22"/>
                <w:lang w:val="el-GR"/>
              </w:rPr>
            </w:pP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C45C49" w:rsidRPr="00077E30" w:rsidTr="004F689C">
        <w:tc>
          <w:tcPr>
            <w:tcW w:w="1809" w:type="dxa"/>
            <w:tcBorders>
              <w:top w:val="single" w:sz="4" w:space="0" w:color="auto"/>
              <w:bottom w:val="single" w:sz="4" w:space="0" w:color="auto"/>
            </w:tcBorders>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Γενικές διαταραχές και καταστάσεις της οδού χορήγησης</w:t>
            </w:r>
          </w:p>
        </w:tc>
        <w:tc>
          <w:tcPr>
            <w:tcW w:w="1843"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Αδυναμία</w:t>
            </w:r>
            <w:r w:rsidRPr="00077E30">
              <w:rPr>
                <w:rFonts w:ascii="Times New Roman" w:hAnsi="Times New Roman"/>
                <w:sz w:val="22"/>
                <w:szCs w:val="22"/>
                <w:vertAlign w:val="superscript"/>
                <w:lang w:val="el-GR" w:eastAsia="en-GB"/>
              </w:rPr>
              <w:t>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Κόπωση</w:t>
            </w:r>
            <w:r w:rsidRPr="00077E30">
              <w:rPr>
                <w:rFonts w:ascii="Times New Roman" w:hAnsi="Times New Roman"/>
                <w:sz w:val="22"/>
                <w:szCs w:val="22"/>
                <w:vertAlign w:val="superscript"/>
                <w:lang w:val="el-GR" w:eastAsia="en-GB"/>
              </w:rPr>
              <w:t>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Φλεγμονή βλεννογόνου</w:t>
            </w:r>
            <w:r w:rsidRPr="00077E30">
              <w:rPr>
                <w:rFonts w:ascii="Times New Roman" w:hAnsi="Times New Roman"/>
                <w:sz w:val="22"/>
                <w:szCs w:val="22"/>
                <w:vertAlign w:val="superscript"/>
                <w:lang w:val="el-GR" w:eastAsia="en-GB"/>
              </w:rPr>
              <w:t>α</w:t>
            </w:r>
          </w:p>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hAnsi="Times New Roman"/>
                <w:spacing w:val="-2"/>
                <w:lang w:val="el-GR"/>
              </w:rPr>
              <w:t>Θωρακικό άλγος</w:t>
            </w:r>
            <w:r w:rsidRPr="00077E30">
              <w:rPr>
                <w:rFonts w:ascii="Times New Roman" w:hAnsi="Times New Roman"/>
                <w:sz w:val="22"/>
                <w:szCs w:val="22"/>
                <w:vertAlign w:val="superscript"/>
                <w:lang w:val="el-GR" w:eastAsia="en-GB"/>
              </w:rPr>
              <w:t>α</w:t>
            </w:r>
          </w:p>
        </w:tc>
        <w:tc>
          <w:tcPr>
            <w:tcW w:w="1985" w:type="dxa"/>
          </w:tcPr>
          <w:p w:rsidR="00C45C49" w:rsidRPr="00077E30" w:rsidRDefault="00C45C49" w:rsidP="004F689C">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Πόνος</w:t>
            </w:r>
            <w:r w:rsidRPr="00077E30">
              <w:rPr>
                <w:rFonts w:ascii="Times New Roman" w:hAnsi="Times New Roman"/>
                <w:sz w:val="22"/>
                <w:szCs w:val="22"/>
                <w:vertAlign w:val="superscript"/>
                <w:lang w:val="el-GR" w:eastAsia="en-GB"/>
              </w:rPr>
              <w:t>α</w:t>
            </w:r>
          </w:p>
        </w:tc>
        <w:tc>
          <w:tcPr>
            <w:tcW w:w="1417" w:type="dxa"/>
          </w:tcPr>
          <w:p w:rsidR="00C45C49" w:rsidRPr="00077E30" w:rsidRDefault="00C45C4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C45C49" w:rsidRPr="00077E30" w:rsidRDefault="00C45C4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bl>
    <w:p w:rsidR="00C45C49" w:rsidRPr="00077E30" w:rsidRDefault="00C45C49" w:rsidP="00C45C49">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lang w:val="el-GR"/>
        </w:rPr>
      </w:pPr>
    </w:p>
    <w:p w:rsidR="00C45C49" w:rsidRPr="00077E30" w:rsidRDefault="00C45C49" w:rsidP="00C45C49">
      <w:pPr>
        <w:autoSpaceDE w:val="0"/>
        <w:autoSpaceDN w:val="0"/>
        <w:adjustRightInd w:val="0"/>
        <w:rPr>
          <w:rStyle w:val="hps"/>
          <w:rFonts w:ascii="Times New Roman" w:hAnsi="Times New Roman"/>
          <w:color w:val="333333"/>
          <w:szCs w:val="24"/>
          <w:lang w:val="el-GR"/>
        </w:rPr>
      </w:pPr>
      <w:r w:rsidRPr="00077E30">
        <w:rPr>
          <w:rStyle w:val="hps"/>
          <w:rFonts w:ascii="Times New Roman" w:hAnsi="Times New Roman"/>
          <w:color w:val="333333"/>
          <w:szCs w:val="24"/>
          <w:vertAlign w:val="superscript"/>
          <w:lang w:val="el-GR"/>
        </w:rPr>
        <w:t>α</w:t>
      </w:r>
      <w:r w:rsidRPr="00077E30">
        <w:rPr>
          <w:rStyle w:val="hps"/>
          <w:rFonts w:ascii="Times New Roman" w:hAnsi="Times New Roman"/>
          <w:color w:val="333333"/>
          <w:szCs w:val="24"/>
          <w:lang w:val="el-GR"/>
        </w:rPr>
        <w:t>βλέπε παράγραφο γ</w:t>
      </w:r>
    </w:p>
    <w:p w:rsidR="00C45C49" w:rsidRPr="00077E30" w:rsidRDefault="00C45C49" w:rsidP="00C45C49">
      <w:pPr>
        <w:autoSpaceDE w:val="0"/>
        <w:autoSpaceDN w:val="0"/>
        <w:adjustRightInd w:val="0"/>
        <w:rPr>
          <w:rFonts w:ascii="Times New Roman" w:hAnsi="Times New Roman"/>
          <w:szCs w:val="22"/>
          <w:lang w:val="el-GR"/>
        </w:rPr>
      </w:pPr>
      <w:r w:rsidRPr="00077E30">
        <w:rPr>
          <w:rStyle w:val="hps"/>
          <w:rFonts w:ascii="Times New Roman" w:hAnsi="Times New Roman"/>
          <w:color w:val="333333"/>
          <w:szCs w:val="24"/>
          <w:vertAlign w:val="superscript"/>
          <w:lang w:val="el-GR"/>
        </w:rPr>
        <w:t>β</w:t>
      </w:r>
      <w:r w:rsidRPr="00077E30">
        <w:rPr>
          <w:rFonts w:ascii="Times New Roman" w:hAnsi="Times New Roman"/>
          <w:spacing w:val="-2"/>
          <w:lang w:val="el-GR"/>
        </w:rPr>
        <w:t>Έχουν υπάρξει αναφορές</w:t>
      </w:r>
      <w:r w:rsidR="00C6531E" w:rsidRPr="00077E30">
        <w:rPr>
          <w:rFonts w:ascii="Times New Roman" w:hAnsi="Times New Roman"/>
          <w:spacing w:val="-2"/>
          <w:lang w:val="el-GR"/>
        </w:rPr>
        <w:t xml:space="preserve"> </w:t>
      </w:r>
      <w:r w:rsidRPr="00077E30">
        <w:rPr>
          <w:rFonts w:ascii="Times New Roman" w:hAnsi="Times New Roman"/>
          <w:szCs w:val="22"/>
        </w:rPr>
        <w:t>GvHD</w:t>
      </w:r>
      <w:r w:rsidRPr="00077E30">
        <w:rPr>
          <w:rFonts w:ascii="Times New Roman" w:hAnsi="Times New Roman"/>
          <w:szCs w:val="22"/>
          <w:lang w:val="el-GR"/>
        </w:rPr>
        <w:t xml:space="preserve"> μετά από αλλογενή μεταμόσχευση μυελού των οστών (βλ. παράγραφο γ)</w:t>
      </w:r>
    </w:p>
    <w:p w:rsidR="00C45C49" w:rsidRPr="00077E30" w:rsidRDefault="00C45C49" w:rsidP="00C45C49">
      <w:pPr>
        <w:autoSpaceDE w:val="0"/>
        <w:autoSpaceDN w:val="0"/>
        <w:adjustRightInd w:val="0"/>
        <w:rPr>
          <w:rFonts w:ascii="Times New Roman" w:hAnsi="Times New Roman"/>
          <w:szCs w:val="22"/>
          <w:lang w:val="el-GR"/>
        </w:rPr>
      </w:pPr>
      <w:r w:rsidRPr="00077E30">
        <w:rPr>
          <w:rFonts w:ascii="Times New Roman" w:hAnsi="Times New Roman"/>
          <w:szCs w:val="22"/>
          <w:vertAlign w:val="superscript"/>
          <w:lang w:val="el-GR"/>
        </w:rPr>
        <w:t>γ</w:t>
      </w:r>
      <w:r w:rsidR="00137231" w:rsidRPr="00077E30">
        <w:rPr>
          <w:rFonts w:ascii="Times New Roman" w:hAnsi="Times New Roman"/>
          <w:szCs w:val="22"/>
          <w:lang w:val="el-GR"/>
        </w:rPr>
        <w:t xml:space="preserve"> </w:t>
      </w:r>
      <w:r w:rsidRPr="00077E30">
        <w:rPr>
          <w:rFonts w:ascii="Times New Roman" w:hAnsi="Times New Roman"/>
          <w:szCs w:val="22"/>
          <w:lang w:val="el-GR"/>
        </w:rPr>
        <w:t>Περιλαμβάνει πόνο στα οστά, πόνο στη πλάτη, αρθραλγία, μυαλγία, πόνο στα άκρα, μυοσκελετικό πόνο, μυοσκελετικό θωρακικό άλγος, πόνος στον αυχένα</w:t>
      </w:r>
    </w:p>
    <w:p w:rsidR="00C45C49" w:rsidRPr="00077E30" w:rsidRDefault="00C45C49" w:rsidP="00C45C49">
      <w:pPr>
        <w:autoSpaceDE w:val="0"/>
        <w:autoSpaceDN w:val="0"/>
        <w:adjustRightInd w:val="0"/>
        <w:rPr>
          <w:rFonts w:ascii="Times New Roman" w:hAnsi="Times New Roman"/>
          <w:szCs w:val="22"/>
          <w:lang w:val="el-GR"/>
        </w:rPr>
      </w:pPr>
      <w:r w:rsidRPr="00077E30">
        <w:rPr>
          <w:rFonts w:ascii="Times New Roman" w:hAnsi="Times New Roman"/>
          <w:szCs w:val="22"/>
          <w:vertAlign w:val="superscript"/>
          <w:lang w:val="el-GR"/>
        </w:rPr>
        <w:t>δ</w:t>
      </w:r>
      <w:r w:rsidRPr="00077E30">
        <w:rPr>
          <w:rFonts w:ascii="Times New Roman" w:hAnsi="Times New Roman"/>
          <w:szCs w:val="22"/>
          <w:lang w:val="el-GR"/>
        </w:rPr>
        <w:t xml:space="preserve"> Περι</w:t>
      </w:r>
      <w:r w:rsidR="00C6531E" w:rsidRPr="00077E30">
        <w:rPr>
          <w:rFonts w:ascii="Times New Roman" w:hAnsi="Times New Roman"/>
          <w:szCs w:val="22"/>
          <w:lang w:val="el-GR"/>
        </w:rPr>
        <w:t>στατικά</w:t>
      </w:r>
      <w:r w:rsidRPr="00077E30">
        <w:rPr>
          <w:rFonts w:ascii="Times New Roman" w:hAnsi="Times New Roman"/>
          <w:szCs w:val="22"/>
          <w:lang w:val="el-GR"/>
        </w:rPr>
        <w:t xml:space="preserve">  έχουν παρατηρηθεί μετά την κυκλοφορία σε ασθενείς που υποβάλλονται σε μεταμόσχευση μυελού των οστών ή κινητοποίηση </w:t>
      </w:r>
      <w:r w:rsidRPr="00077E30">
        <w:rPr>
          <w:rFonts w:ascii="Times New Roman" w:hAnsi="Times New Roman"/>
          <w:szCs w:val="22"/>
        </w:rPr>
        <w:t>PBPC</w:t>
      </w:r>
    </w:p>
    <w:p w:rsidR="00C45C49" w:rsidRPr="00077E30" w:rsidRDefault="00C45C49" w:rsidP="00C45C49">
      <w:pPr>
        <w:autoSpaceDE w:val="0"/>
        <w:autoSpaceDN w:val="0"/>
        <w:adjustRightInd w:val="0"/>
        <w:rPr>
          <w:rStyle w:val="hps"/>
          <w:rFonts w:ascii="Times New Roman" w:hAnsi="Times New Roman"/>
          <w:color w:val="333333"/>
          <w:sz w:val="28"/>
          <w:szCs w:val="28"/>
          <w:lang w:val="el-GR"/>
        </w:rPr>
      </w:pPr>
      <w:r w:rsidRPr="00077E30">
        <w:rPr>
          <w:rFonts w:ascii="Times New Roman" w:hAnsi="Times New Roman"/>
          <w:szCs w:val="22"/>
          <w:vertAlign w:val="superscript"/>
          <w:lang w:val="el-GR"/>
        </w:rPr>
        <w:t>ε</w:t>
      </w:r>
      <w:r w:rsidRPr="00077E30">
        <w:rPr>
          <w:rFonts w:ascii="Times New Roman" w:hAnsi="Times New Roman"/>
          <w:szCs w:val="22"/>
          <w:lang w:val="el-GR"/>
        </w:rPr>
        <w:t xml:space="preserve"> Περι</w:t>
      </w:r>
      <w:r w:rsidR="00C6531E" w:rsidRPr="00077E30">
        <w:rPr>
          <w:rFonts w:ascii="Times New Roman" w:hAnsi="Times New Roman"/>
          <w:szCs w:val="22"/>
          <w:lang w:val="el-GR"/>
        </w:rPr>
        <w:t>στατικά</w:t>
      </w:r>
      <w:r w:rsidRPr="00077E30">
        <w:rPr>
          <w:rFonts w:ascii="Times New Roman" w:hAnsi="Times New Roman"/>
          <w:szCs w:val="22"/>
          <w:lang w:val="el-GR"/>
        </w:rPr>
        <w:t xml:space="preserve"> έχουν παρατηρηθεί σε κλινικές δοκιμές</w:t>
      </w:r>
    </w:p>
    <w:p w:rsidR="00C45C49" w:rsidRPr="00077E30" w:rsidRDefault="00C45C49" w:rsidP="00C45C49">
      <w:pPr>
        <w:autoSpaceDE w:val="0"/>
        <w:autoSpaceDN w:val="0"/>
        <w:adjustRightInd w:val="0"/>
        <w:rPr>
          <w:rStyle w:val="hps"/>
          <w:rFonts w:ascii="Times New Roman" w:hAnsi="Times New Roman"/>
          <w:color w:val="333333"/>
          <w:sz w:val="28"/>
          <w:szCs w:val="28"/>
          <w:lang w:val="el-GR"/>
        </w:rPr>
      </w:pPr>
      <w:r w:rsidRPr="00077E30">
        <w:rPr>
          <w:rStyle w:val="hps"/>
          <w:rFonts w:ascii="Times New Roman" w:hAnsi="Times New Roman"/>
          <w:color w:val="333333"/>
          <w:sz w:val="28"/>
          <w:szCs w:val="28"/>
          <w:lang w:val="el-GR"/>
        </w:rPr>
        <w:t xml:space="preserve"> </w:t>
      </w:r>
    </w:p>
    <w:p w:rsidR="00436FE9" w:rsidRPr="00077E30" w:rsidRDefault="00436FE9" w:rsidP="00436FE9">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077E30">
        <w:rPr>
          <w:rFonts w:ascii="Times New Roman" w:hAnsi="Times New Roman"/>
          <w:i/>
          <w:spacing w:val="-2"/>
          <w:lang w:val="el-GR"/>
        </w:rPr>
        <w:t xml:space="preserve">Κινητοποίηση </w:t>
      </w:r>
      <w:r w:rsidR="00C6531E" w:rsidRPr="00077E30">
        <w:rPr>
          <w:rFonts w:ascii="Times New Roman" w:hAnsi="Times New Roman"/>
          <w:i/>
          <w:spacing w:val="-2"/>
        </w:rPr>
        <w:t>PBRC</w:t>
      </w:r>
      <w:r w:rsidRPr="00077E30">
        <w:rPr>
          <w:rFonts w:ascii="Times New Roman" w:hAnsi="Times New Roman"/>
          <w:i/>
          <w:spacing w:val="-2"/>
          <w:lang w:val="el-GR"/>
        </w:rPr>
        <w:t xml:space="preserve"> σε υγιείς δότες </w:t>
      </w:r>
    </w:p>
    <w:p w:rsidR="001C5969" w:rsidRPr="00077E30" w:rsidRDefault="001C5969"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Pr="00077E30" w:rsidRDefault="00EB72A2"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701"/>
        <w:gridCol w:w="1984"/>
        <w:gridCol w:w="1276"/>
        <w:gridCol w:w="1412"/>
      </w:tblGrid>
      <w:tr w:rsidR="00436FE9" w:rsidRPr="00077E30" w:rsidTr="00B74B1D">
        <w:tc>
          <w:tcPr>
            <w:tcW w:w="1809" w:type="dxa"/>
            <w:tcBorders>
              <w:bottom w:val="nil"/>
            </w:tcBorders>
            <w:vAlign w:val="center"/>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hAnsi="Times New Roman"/>
                <w:b/>
                <w:sz w:val="22"/>
                <w:szCs w:val="22"/>
                <w:lang w:val="el-GR" w:eastAsia="en-GB"/>
              </w:rPr>
              <w:t xml:space="preserve">Κατηγορία οργανικού </w:t>
            </w:r>
            <w:r w:rsidRPr="00077E30">
              <w:rPr>
                <w:rFonts w:ascii="Times New Roman" w:hAnsi="Times New Roman"/>
                <w:b/>
                <w:sz w:val="22"/>
                <w:szCs w:val="22"/>
                <w:lang w:val="el-GR" w:eastAsia="en-GB"/>
              </w:rPr>
              <w:lastRenderedPageBreak/>
              <w:t xml:space="preserve">συστήματος σύμφωνα με τη βάση δεδομένων </w:t>
            </w:r>
            <w:r w:rsidRPr="00077E30">
              <w:rPr>
                <w:rFonts w:ascii="Times New Roman" w:hAnsi="Times New Roman"/>
                <w:b/>
                <w:sz w:val="22"/>
                <w:szCs w:val="22"/>
                <w:lang w:eastAsia="en-GB"/>
              </w:rPr>
              <w:t>MedDRA</w:t>
            </w:r>
          </w:p>
        </w:tc>
        <w:tc>
          <w:tcPr>
            <w:tcW w:w="8358" w:type="dxa"/>
            <w:gridSpan w:val="5"/>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color w:val="333333"/>
                <w:sz w:val="22"/>
                <w:szCs w:val="22"/>
                <w:lang w:val="el-GR"/>
              </w:rPr>
            </w:pPr>
          </w:p>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b/>
                <w:color w:val="333333"/>
                <w:sz w:val="22"/>
                <w:szCs w:val="22"/>
                <w:lang w:val="el-GR"/>
              </w:rPr>
            </w:pPr>
          </w:p>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b/>
                <w:color w:val="333333"/>
                <w:sz w:val="22"/>
                <w:szCs w:val="22"/>
                <w:lang w:val="el-GR"/>
              </w:rPr>
            </w:pPr>
            <w:r w:rsidRPr="00077E30">
              <w:rPr>
                <w:rStyle w:val="hps"/>
                <w:rFonts w:ascii="Times New Roman" w:hAnsi="Times New Roman"/>
                <w:b/>
                <w:color w:val="333333"/>
                <w:sz w:val="22"/>
                <w:szCs w:val="22"/>
                <w:lang w:val="el-GR"/>
              </w:rPr>
              <w:lastRenderedPageBreak/>
              <w:t>Ανεπιθύμητες ενέργειες</w:t>
            </w:r>
          </w:p>
        </w:tc>
      </w:tr>
      <w:tr w:rsidR="00436FE9" w:rsidRPr="00077E30" w:rsidTr="0080743A">
        <w:tc>
          <w:tcPr>
            <w:tcW w:w="1809" w:type="dxa"/>
            <w:tcBorders>
              <w:top w:val="nil"/>
              <w:bottom w:val="single" w:sz="4" w:space="0" w:color="auto"/>
            </w:tcBorders>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p>
        </w:tc>
        <w:tc>
          <w:tcPr>
            <w:tcW w:w="1985"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pacing w:val="-2"/>
                <w:sz w:val="22"/>
                <w:szCs w:val="22"/>
                <w:lang w:val="el-GR"/>
              </w:rPr>
              <w:t>Πολύ συχνές      (</w:t>
            </w:r>
            <w:r w:rsidRPr="00077E30">
              <w:rPr>
                <w:rFonts w:ascii="Times New Roman" w:eastAsia="TimesNewRoman,Bold" w:hAnsi="Times New Roman"/>
                <w:b/>
                <w:bCs/>
                <w:sz w:val="22"/>
                <w:szCs w:val="22"/>
                <w:lang w:val="el-GR" w:eastAsia="el-GR"/>
              </w:rPr>
              <w:t>≥ 1/10)</w:t>
            </w:r>
          </w:p>
        </w:tc>
        <w:tc>
          <w:tcPr>
            <w:tcW w:w="1701" w:type="dxa"/>
          </w:tcPr>
          <w:p w:rsidR="00436FE9" w:rsidRPr="00077E30" w:rsidRDefault="00436FE9" w:rsidP="004F689C">
            <w:pPr>
              <w:autoSpaceDE w:val="0"/>
              <w:autoSpaceDN w:val="0"/>
              <w:adjustRightInd w:val="0"/>
              <w:rPr>
                <w:rFonts w:ascii="Times New Roman" w:eastAsia="TimesNewRoman,Bold" w:hAnsi="Times New Roman"/>
                <w:b/>
                <w:bCs/>
                <w:sz w:val="22"/>
                <w:szCs w:val="22"/>
                <w:lang w:eastAsia="el-GR"/>
              </w:rPr>
            </w:pPr>
            <w:r w:rsidRPr="00077E30">
              <w:rPr>
                <w:rFonts w:ascii="Times New Roman" w:eastAsia="TimesNewRoman,Bold" w:hAnsi="Times New Roman"/>
                <w:b/>
                <w:bCs/>
                <w:sz w:val="22"/>
                <w:szCs w:val="22"/>
                <w:lang w:val="el-GR" w:eastAsia="el-GR"/>
              </w:rPr>
              <w:t xml:space="preserve">Συχνές             </w:t>
            </w:r>
          </w:p>
          <w:p w:rsidR="00436FE9" w:rsidRPr="00077E30" w:rsidRDefault="00436FE9" w:rsidP="004F689C">
            <w:pPr>
              <w:autoSpaceDE w:val="0"/>
              <w:autoSpaceDN w:val="0"/>
              <w:adjustRightInd w:val="0"/>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 1/100 έως &lt; 1/10)</w:t>
            </w:r>
          </w:p>
        </w:tc>
        <w:tc>
          <w:tcPr>
            <w:tcW w:w="1984"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hAnsi="Times New Roman"/>
                <w:b/>
                <w:spacing w:val="-2"/>
                <w:sz w:val="22"/>
                <w:szCs w:val="22"/>
                <w:lang w:val="el-GR"/>
              </w:rPr>
              <w:t>Όχι συχνές</w:t>
            </w:r>
          </w:p>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1/1000 έως</w:t>
            </w:r>
          </w:p>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&lt; 1/100</w:t>
            </w:r>
          </w:p>
        </w:tc>
        <w:tc>
          <w:tcPr>
            <w:tcW w:w="1276"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xml:space="preserve">Σπάνιες </w:t>
            </w:r>
          </w:p>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1/10,000 έως</w:t>
            </w:r>
          </w:p>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&lt; 1/1000)</w:t>
            </w:r>
          </w:p>
        </w:tc>
        <w:tc>
          <w:tcPr>
            <w:tcW w:w="1412"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pacing w:val="-2"/>
                <w:sz w:val="22"/>
                <w:szCs w:val="22"/>
                <w:lang w:val="el-GR"/>
              </w:rPr>
              <w:t>Πολύ σπάνιες</w:t>
            </w:r>
            <w:r w:rsidRPr="00077E30">
              <w:rPr>
                <w:rFonts w:ascii="Times New Roman" w:eastAsia="TimesNewRoman,Bold" w:hAnsi="Times New Roman"/>
                <w:b/>
                <w:bCs/>
                <w:sz w:val="22"/>
                <w:szCs w:val="22"/>
                <w:lang w:val="el-GR" w:eastAsia="el-GR"/>
              </w:rPr>
              <w:t xml:space="preserve">         (&lt; 1/10,000)</w:t>
            </w:r>
          </w:p>
        </w:tc>
      </w:tr>
      <w:tr w:rsidR="00436FE9" w:rsidRPr="00077E30" w:rsidTr="0080743A">
        <w:tc>
          <w:tcPr>
            <w:tcW w:w="1809" w:type="dxa"/>
            <w:tcBorders>
              <w:top w:val="single" w:sz="4" w:space="0" w:color="auto"/>
              <w:bottom w:val="single" w:sz="4" w:space="0" w:color="auto"/>
            </w:tcBorders>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z w:val="22"/>
                <w:szCs w:val="22"/>
                <w:lang w:val="el-GR"/>
              </w:rPr>
              <w:t>Διαταραχές του αιμοποιητικού και του λεμφικού συστήματος</w:t>
            </w:r>
          </w:p>
        </w:tc>
        <w:tc>
          <w:tcPr>
            <w:tcW w:w="1985"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 w:val="22"/>
                <w:szCs w:val="22"/>
                <w:lang w:val="el-GR"/>
              </w:rPr>
            </w:pPr>
            <w:r w:rsidRPr="00077E30">
              <w:rPr>
                <w:rFonts w:ascii="Times New Roman" w:hAnsi="Times New Roman"/>
                <w:spacing w:val="-2"/>
                <w:sz w:val="22"/>
                <w:szCs w:val="22"/>
                <w:lang w:val="el-GR"/>
              </w:rPr>
              <w:t>Θρομβοπενία Λευκοκυττάρωση</w:t>
            </w:r>
          </w:p>
        </w:tc>
        <w:tc>
          <w:tcPr>
            <w:tcW w:w="1701" w:type="dxa"/>
          </w:tcPr>
          <w:p w:rsidR="00436FE9" w:rsidRPr="00077E30" w:rsidRDefault="00436FE9" w:rsidP="004F689C">
            <w:pPr>
              <w:autoSpaceDE w:val="0"/>
              <w:autoSpaceDN w:val="0"/>
              <w:adjustRightInd w:val="0"/>
              <w:rPr>
                <w:rFonts w:ascii="Times New Roman" w:eastAsia="TimesNewRoman,Bold" w:hAnsi="Times New Roman"/>
                <w:bCs/>
                <w:sz w:val="22"/>
                <w:szCs w:val="22"/>
                <w:lang w:val="el-GR" w:eastAsia="el-GR"/>
              </w:rPr>
            </w:pPr>
            <w:r w:rsidRPr="00077E30">
              <w:rPr>
                <w:rFonts w:ascii="Times New Roman" w:eastAsia="TimesNewRoman,Bold" w:hAnsi="Times New Roman"/>
                <w:bCs/>
                <w:sz w:val="22"/>
                <w:szCs w:val="22"/>
                <w:lang w:val="el-GR" w:eastAsia="el-GR"/>
              </w:rPr>
              <w:t xml:space="preserve">Σπληνομεγαλία </w:t>
            </w:r>
          </w:p>
        </w:tc>
        <w:tc>
          <w:tcPr>
            <w:tcW w:w="1984" w:type="dxa"/>
          </w:tcPr>
          <w:p w:rsidR="00436FE9" w:rsidRPr="00077E30" w:rsidRDefault="00A31C6C" w:rsidP="004F689C">
            <w:pPr>
              <w:autoSpaceDE w:val="0"/>
              <w:autoSpaceDN w:val="0"/>
              <w:adjustRightInd w:val="0"/>
              <w:rPr>
                <w:rFonts w:ascii="Times New Roman" w:hAnsi="Times New Roman"/>
                <w:spacing w:val="-2"/>
                <w:sz w:val="22"/>
                <w:szCs w:val="22"/>
                <w:vertAlign w:val="superscript"/>
                <w:lang w:val="el-GR"/>
              </w:rPr>
            </w:pPr>
            <w:r w:rsidRPr="00077E30">
              <w:rPr>
                <w:rFonts w:ascii="Times New Roman" w:hAnsi="Times New Roman"/>
                <w:spacing w:val="-2"/>
                <w:sz w:val="22"/>
                <w:szCs w:val="22"/>
                <w:lang w:val="el-GR"/>
              </w:rPr>
              <w:t>Ρήξη σπληνός</w:t>
            </w:r>
          </w:p>
        </w:tc>
        <w:tc>
          <w:tcPr>
            <w:tcW w:w="1276"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 w:val="22"/>
                <w:szCs w:val="22"/>
                <w:lang w:val="el-GR"/>
              </w:rPr>
            </w:pPr>
          </w:p>
        </w:tc>
      </w:tr>
      <w:tr w:rsidR="00544728" w:rsidRPr="00077E30" w:rsidTr="00B74B1D">
        <w:tc>
          <w:tcPr>
            <w:tcW w:w="1809" w:type="dxa"/>
            <w:tcBorders>
              <w:top w:val="single" w:sz="4" w:space="0" w:color="auto"/>
              <w:bottom w:val="single" w:sz="4" w:space="0" w:color="auto"/>
            </w:tcBorders>
          </w:tcPr>
          <w:p w:rsidR="00544728" w:rsidRPr="00077E30" w:rsidRDefault="00544728" w:rsidP="00B16D9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z w:val="22"/>
                <w:szCs w:val="22"/>
                <w:lang w:val="el-GR"/>
              </w:rPr>
              <w:t xml:space="preserve">Διαταραχές του </w:t>
            </w:r>
            <w:r w:rsidR="00B16D93" w:rsidRPr="00077E30">
              <w:rPr>
                <w:rFonts w:ascii="Times New Roman" w:hAnsi="Times New Roman"/>
                <w:b/>
                <w:sz w:val="22"/>
                <w:szCs w:val="22"/>
                <w:lang w:val="el-GR"/>
              </w:rPr>
              <w:t>ανοσοποιητικού</w:t>
            </w:r>
            <w:r w:rsidRPr="00077E30">
              <w:rPr>
                <w:rFonts w:ascii="Times New Roman" w:hAnsi="Times New Roman"/>
                <w:b/>
                <w:sz w:val="22"/>
                <w:szCs w:val="22"/>
                <w:lang w:val="el-GR"/>
              </w:rPr>
              <w:t xml:space="preserve"> συστήματος</w:t>
            </w:r>
          </w:p>
        </w:tc>
        <w:tc>
          <w:tcPr>
            <w:tcW w:w="1985" w:type="dxa"/>
          </w:tcPr>
          <w:p w:rsidR="00544728" w:rsidRPr="00077E30" w:rsidRDefault="00544728" w:rsidP="00F602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544728" w:rsidRPr="00077E30" w:rsidRDefault="00544728" w:rsidP="00F6021E">
            <w:pPr>
              <w:autoSpaceDE w:val="0"/>
              <w:autoSpaceDN w:val="0"/>
              <w:adjustRightInd w:val="0"/>
              <w:rPr>
                <w:rFonts w:ascii="Times New Roman" w:eastAsia="TimesNewRoman,Bold" w:hAnsi="Times New Roman"/>
                <w:b/>
                <w:bCs/>
                <w:sz w:val="22"/>
                <w:szCs w:val="22"/>
                <w:lang w:val="el-GR" w:eastAsia="el-GR"/>
              </w:rPr>
            </w:pPr>
          </w:p>
        </w:tc>
        <w:tc>
          <w:tcPr>
            <w:tcW w:w="1984" w:type="dxa"/>
          </w:tcPr>
          <w:p w:rsidR="00544728" w:rsidRPr="00077E30" w:rsidRDefault="00544728" w:rsidP="00F6021E">
            <w:pPr>
              <w:autoSpaceDE w:val="0"/>
              <w:autoSpaceDN w:val="0"/>
              <w:adjustRightInd w:val="0"/>
              <w:rPr>
                <w:rFonts w:ascii="Times New Roman" w:hAnsi="Times New Roman"/>
                <w:spacing w:val="-2"/>
                <w:sz w:val="22"/>
                <w:szCs w:val="22"/>
                <w:vertAlign w:val="superscript"/>
                <w:lang w:val="el-GR"/>
              </w:rPr>
            </w:pPr>
            <w:r w:rsidRPr="00077E30">
              <w:rPr>
                <w:rFonts w:ascii="Times New Roman" w:hAnsi="Times New Roman"/>
                <w:spacing w:val="-2"/>
                <w:sz w:val="22"/>
                <w:szCs w:val="22"/>
                <w:lang w:val="el-GR"/>
              </w:rPr>
              <w:t>Αναφυλακτική αντίδραση</w:t>
            </w:r>
          </w:p>
        </w:tc>
        <w:tc>
          <w:tcPr>
            <w:tcW w:w="1276" w:type="dxa"/>
          </w:tcPr>
          <w:p w:rsidR="00544728" w:rsidRPr="00077E30" w:rsidRDefault="00544728" w:rsidP="00F6021E">
            <w:pPr>
              <w:autoSpaceDE w:val="0"/>
              <w:autoSpaceDN w:val="0"/>
              <w:adjustRightInd w:val="0"/>
              <w:rPr>
                <w:rFonts w:ascii="Times New Roman" w:eastAsia="TimesNewRoman,Bold" w:hAnsi="Times New Roman"/>
                <w:b/>
                <w:bCs/>
                <w:sz w:val="22"/>
                <w:szCs w:val="22"/>
                <w:lang w:val="el-GR" w:eastAsia="el-GR"/>
              </w:rPr>
            </w:pPr>
          </w:p>
        </w:tc>
        <w:tc>
          <w:tcPr>
            <w:tcW w:w="1412" w:type="dxa"/>
          </w:tcPr>
          <w:p w:rsidR="00544728" w:rsidRPr="00077E30" w:rsidRDefault="00544728" w:rsidP="00F602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436FE9" w:rsidRPr="00077E30" w:rsidTr="0080743A">
        <w:tc>
          <w:tcPr>
            <w:tcW w:w="1809" w:type="dxa"/>
            <w:tcBorders>
              <w:top w:val="single" w:sz="4" w:space="0" w:color="auto"/>
              <w:bottom w:val="single" w:sz="4" w:space="0" w:color="auto"/>
            </w:tcBorders>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z w:val="22"/>
                <w:szCs w:val="22"/>
                <w:lang w:val="el-GR" w:eastAsia="en-GB"/>
              </w:rPr>
              <w:t>Διαταραχές του μεταβολισμού και της θρέψης</w:t>
            </w:r>
          </w:p>
        </w:tc>
        <w:tc>
          <w:tcPr>
            <w:tcW w:w="1985"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hAnsi="Times New Roman"/>
                <w:spacing w:val="-2"/>
                <w:sz w:val="22"/>
                <w:szCs w:val="22"/>
                <w:lang w:val="el-GR"/>
              </w:rPr>
              <w:t>Γαλακτική αφυδρογονάση αίματος αυξημένη</w:t>
            </w:r>
          </w:p>
        </w:tc>
        <w:tc>
          <w:tcPr>
            <w:tcW w:w="1984" w:type="dxa"/>
          </w:tcPr>
          <w:p w:rsidR="00436FE9" w:rsidRPr="00077E30" w:rsidRDefault="00436FE9" w:rsidP="004F689C">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Υπερουριαιμία</w:t>
            </w:r>
          </w:p>
          <w:p w:rsidR="00E57E7D" w:rsidRPr="00077E30" w:rsidRDefault="00810D72" w:rsidP="00137231">
            <w:pPr>
              <w:autoSpaceDE w:val="0"/>
              <w:autoSpaceDN w:val="0"/>
              <w:adjustRightInd w:val="0"/>
              <w:rPr>
                <w:rFonts w:ascii="Times New Roman" w:hAnsi="Times New Roman"/>
                <w:spacing w:val="-2"/>
                <w:sz w:val="22"/>
                <w:szCs w:val="22"/>
                <w:vertAlign w:val="superscript"/>
                <w:lang w:val="el-GR"/>
              </w:rPr>
            </w:pPr>
            <w:r w:rsidRPr="00077E30">
              <w:rPr>
                <w:rFonts w:ascii="Times New Roman" w:hAnsi="Times New Roman"/>
                <w:spacing w:val="-2"/>
                <w:sz w:val="22"/>
                <w:szCs w:val="22"/>
                <w:lang w:val="el-GR"/>
              </w:rPr>
              <w:t>(ουρικό οξύ αίματος αυξημένο)</w:t>
            </w:r>
          </w:p>
        </w:tc>
        <w:tc>
          <w:tcPr>
            <w:tcW w:w="1276"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436FE9" w:rsidRPr="00077E30" w:rsidTr="0080743A">
        <w:tc>
          <w:tcPr>
            <w:tcW w:w="1809" w:type="dxa"/>
            <w:tcBorders>
              <w:top w:val="single" w:sz="4" w:space="0" w:color="auto"/>
              <w:bottom w:val="single" w:sz="4" w:space="0" w:color="auto"/>
            </w:tcBorders>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του νευρικού συστήματος</w:t>
            </w:r>
          </w:p>
        </w:tc>
        <w:tc>
          <w:tcPr>
            <w:tcW w:w="1985"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Κεφαλαλγία</w:t>
            </w:r>
          </w:p>
        </w:tc>
        <w:tc>
          <w:tcPr>
            <w:tcW w:w="1701"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p>
        </w:tc>
        <w:tc>
          <w:tcPr>
            <w:tcW w:w="1984" w:type="dxa"/>
          </w:tcPr>
          <w:p w:rsidR="00436FE9" w:rsidRPr="00077E30" w:rsidRDefault="00436FE9" w:rsidP="004F689C">
            <w:pPr>
              <w:autoSpaceDE w:val="0"/>
              <w:autoSpaceDN w:val="0"/>
              <w:adjustRightInd w:val="0"/>
              <w:rPr>
                <w:rFonts w:ascii="Times New Roman" w:hAnsi="Times New Roman"/>
                <w:spacing w:val="-2"/>
                <w:sz w:val="22"/>
                <w:szCs w:val="22"/>
                <w:lang w:val="el-GR"/>
              </w:rPr>
            </w:pPr>
          </w:p>
        </w:tc>
        <w:tc>
          <w:tcPr>
            <w:tcW w:w="1276"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B74B1D" w:rsidRPr="00077E30" w:rsidTr="0080743A">
        <w:tc>
          <w:tcPr>
            <w:tcW w:w="1809" w:type="dxa"/>
            <w:tcBorders>
              <w:top w:val="single" w:sz="4" w:space="0" w:color="auto"/>
              <w:bottom w:val="single" w:sz="4" w:space="0" w:color="auto"/>
            </w:tcBorders>
          </w:tcPr>
          <w:p w:rsidR="00B74B1D" w:rsidRPr="00077E30" w:rsidRDefault="00B74B1D" w:rsidP="001652F8">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Αγγειακές διαταραχές</w:t>
            </w:r>
          </w:p>
        </w:tc>
        <w:tc>
          <w:tcPr>
            <w:tcW w:w="1985" w:type="dxa"/>
          </w:tcPr>
          <w:p w:rsidR="00B74B1D" w:rsidRPr="00077E30" w:rsidRDefault="00B74B1D" w:rsidP="001652F8">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B74B1D" w:rsidRPr="00077E30" w:rsidRDefault="00B74B1D" w:rsidP="001652F8">
            <w:pPr>
              <w:autoSpaceDE w:val="0"/>
              <w:autoSpaceDN w:val="0"/>
              <w:adjustRightInd w:val="0"/>
              <w:rPr>
                <w:rFonts w:ascii="Times New Roman" w:eastAsia="TimesNewRoman,Bold" w:hAnsi="Times New Roman"/>
                <w:bCs/>
                <w:sz w:val="22"/>
                <w:szCs w:val="22"/>
                <w:lang w:val="el-GR" w:eastAsia="el-GR"/>
              </w:rPr>
            </w:pPr>
          </w:p>
        </w:tc>
        <w:tc>
          <w:tcPr>
            <w:tcW w:w="1984" w:type="dxa"/>
          </w:tcPr>
          <w:p w:rsidR="00B74B1D" w:rsidRPr="00077E30" w:rsidRDefault="00B74B1D" w:rsidP="001652F8">
            <w:pPr>
              <w:autoSpaceDE w:val="0"/>
              <w:autoSpaceDN w:val="0"/>
              <w:adjustRightInd w:val="0"/>
              <w:rPr>
                <w:rFonts w:ascii="Times New Roman" w:hAnsi="Times New Roman"/>
                <w:spacing w:val="-2"/>
                <w:sz w:val="22"/>
                <w:szCs w:val="22"/>
                <w:vertAlign w:val="superscript"/>
                <w:lang w:val="el-GR"/>
              </w:rPr>
            </w:pPr>
            <w:r w:rsidRPr="00077E30">
              <w:rPr>
                <w:rFonts w:ascii="Times New Roman" w:hAnsi="Times New Roman"/>
                <w:spacing w:val="-2"/>
                <w:sz w:val="22"/>
                <w:szCs w:val="22"/>
                <w:lang w:val="el-GR"/>
              </w:rPr>
              <w:t>Σύνδρομο διαφυγής τριχοειδών</w:t>
            </w:r>
            <w:r w:rsidRPr="00077E30">
              <w:rPr>
                <w:rFonts w:ascii="Times New Roman" w:hAnsi="Times New Roman"/>
                <w:spacing w:val="-2"/>
                <w:sz w:val="22"/>
                <w:szCs w:val="22"/>
                <w:vertAlign w:val="superscript"/>
                <w:lang w:val="el-GR"/>
              </w:rPr>
              <w:t>α</w:t>
            </w:r>
          </w:p>
        </w:tc>
        <w:tc>
          <w:tcPr>
            <w:tcW w:w="1276" w:type="dxa"/>
          </w:tcPr>
          <w:p w:rsidR="00B74B1D" w:rsidRPr="00077E30" w:rsidRDefault="00B74B1D" w:rsidP="001652F8">
            <w:pPr>
              <w:autoSpaceDE w:val="0"/>
              <w:autoSpaceDN w:val="0"/>
              <w:adjustRightInd w:val="0"/>
              <w:rPr>
                <w:rFonts w:ascii="Times New Roman" w:eastAsia="TimesNewRoman,Bold" w:hAnsi="Times New Roman"/>
                <w:b/>
                <w:bCs/>
                <w:sz w:val="22"/>
                <w:szCs w:val="22"/>
                <w:lang w:val="el-GR" w:eastAsia="el-GR"/>
              </w:rPr>
            </w:pPr>
          </w:p>
        </w:tc>
        <w:tc>
          <w:tcPr>
            <w:tcW w:w="1412" w:type="dxa"/>
          </w:tcPr>
          <w:p w:rsidR="00B74B1D" w:rsidRPr="00077E30" w:rsidRDefault="00B74B1D" w:rsidP="001652F8">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810D72" w:rsidRPr="00077E30" w:rsidTr="00B74B1D">
        <w:tc>
          <w:tcPr>
            <w:tcW w:w="1809" w:type="dxa"/>
            <w:tcBorders>
              <w:top w:val="single" w:sz="4" w:space="0" w:color="auto"/>
              <w:bottom w:val="single" w:sz="4" w:space="0" w:color="auto"/>
            </w:tcBorders>
          </w:tcPr>
          <w:p w:rsidR="00810D72" w:rsidRPr="00077E30" w:rsidRDefault="00810D72" w:rsidP="00F602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του αναπνευστικού συστήματος, του θώρακα και του μεσοθωράκιου</w:t>
            </w:r>
          </w:p>
        </w:tc>
        <w:tc>
          <w:tcPr>
            <w:tcW w:w="1985" w:type="dxa"/>
          </w:tcPr>
          <w:p w:rsidR="00810D72" w:rsidRPr="00077E30" w:rsidRDefault="00810D72" w:rsidP="00F602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b/>
                <w:spacing w:val="-2"/>
                <w:sz w:val="22"/>
                <w:szCs w:val="22"/>
                <w:lang w:val="el-GR"/>
              </w:rPr>
            </w:pPr>
          </w:p>
        </w:tc>
        <w:tc>
          <w:tcPr>
            <w:tcW w:w="1701" w:type="dxa"/>
          </w:tcPr>
          <w:p w:rsidR="00810D72" w:rsidRPr="00077E30" w:rsidRDefault="00810D72" w:rsidP="00F6021E">
            <w:pPr>
              <w:autoSpaceDE w:val="0"/>
              <w:autoSpaceDN w:val="0"/>
              <w:adjustRightInd w:val="0"/>
              <w:rPr>
                <w:rFonts w:ascii="Times New Roman" w:eastAsia="TimesNewRoman,Bold" w:hAnsi="Times New Roman"/>
                <w:bCs/>
                <w:sz w:val="22"/>
                <w:szCs w:val="22"/>
                <w:lang w:val="el-GR" w:eastAsia="el-GR"/>
              </w:rPr>
            </w:pPr>
            <w:r w:rsidRPr="00077E30">
              <w:rPr>
                <w:rFonts w:ascii="Times New Roman" w:eastAsia="TimesNewRoman,Bold" w:hAnsi="Times New Roman"/>
                <w:bCs/>
                <w:sz w:val="22"/>
                <w:szCs w:val="22"/>
                <w:lang w:val="el-GR" w:eastAsia="el-GR"/>
              </w:rPr>
              <w:t>Δύσπνοια</w:t>
            </w:r>
          </w:p>
        </w:tc>
        <w:tc>
          <w:tcPr>
            <w:tcW w:w="1984" w:type="dxa"/>
          </w:tcPr>
          <w:p w:rsidR="00810D72" w:rsidRPr="00077E30" w:rsidRDefault="00810D72" w:rsidP="00F6021E">
            <w:pPr>
              <w:autoSpaceDE w:val="0"/>
              <w:autoSpaceDN w:val="0"/>
              <w:adjustRightInd w:val="0"/>
              <w:rPr>
                <w:rFonts w:ascii="Times New Roman" w:hAnsi="Times New Roman"/>
                <w:sz w:val="22"/>
                <w:szCs w:val="22"/>
                <w:vertAlign w:val="superscript"/>
                <w:lang w:val="el-GR" w:eastAsia="en-GB"/>
              </w:rPr>
            </w:pPr>
            <w:r w:rsidRPr="00077E30">
              <w:rPr>
                <w:rFonts w:ascii="Times New Roman" w:hAnsi="Times New Roman"/>
                <w:spacing w:val="-2"/>
                <w:sz w:val="22"/>
                <w:szCs w:val="22"/>
                <w:lang w:val="el-GR"/>
              </w:rPr>
              <w:t xml:space="preserve">Πνευμονική </w:t>
            </w:r>
          </w:p>
          <w:p w:rsidR="00810D72" w:rsidRPr="00077E30" w:rsidRDefault="00810D72" w:rsidP="00F6021E">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αιμορραγία Αιμόπτυση</w:t>
            </w:r>
          </w:p>
          <w:p w:rsidR="00810D72" w:rsidRPr="00077E30" w:rsidRDefault="00810D72" w:rsidP="00F6021E">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Διήθηση            πνεύμονα</w:t>
            </w:r>
          </w:p>
          <w:p w:rsidR="00810D72" w:rsidRPr="00077E30" w:rsidRDefault="00810D72" w:rsidP="00F6021E">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Υποξία</w:t>
            </w:r>
          </w:p>
          <w:p w:rsidR="00810D72" w:rsidRPr="00077E30" w:rsidRDefault="00810D72" w:rsidP="00F6021E">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 xml:space="preserve"> </w:t>
            </w:r>
          </w:p>
        </w:tc>
        <w:tc>
          <w:tcPr>
            <w:tcW w:w="1276" w:type="dxa"/>
          </w:tcPr>
          <w:p w:rsidR="00810D72" w:rsidRPr="00077E30" w:rsidRDefault="00810D72" w:rsidP="00F6021E">
            <w:pPr>
              <w:autoSpaceDE w:val="0"/>
              <w:autoSpaceDN w:val="0"/>
              <w:adjustRightInd w:val="0"/>
              <w:rPr>
                <w:rFonts w:ascii="Times New Roman" w:eastAsia="TimesNewRoman,Bold" w:hAnsi="Times New Roman"/>
                <w:b/>
                <w:bCs/>
                <w:sz w:val="22"/>
                <w:szCs w:val="22"/>
                <w:lang w:val="el-GR" w:eastAsia="el-GR"/>
              </w:rPr>
            </w:pPr>
          </w:p>
        </w:tc>
        <w:tc>
          <w:tcPr>
            <w:tcW w:w="1412" w:type="dxa"/>
          </w:tcPr>
          <w:p w:rsidR="00810D72" w:rsidRPr="00077E30" w:rsidRDefault="00810D72" w:rsidP="00F602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810D72" w:rsidRPr="00077E30" w:rsidTr="00B74B1D">
        <w:tc>
          <w:tcPr>
            <w:tcW w:w="1809" w:type="dxa"/>
            <w:tcBorders>
              <w:top w:val="single" w:sz="4" w:space="0" w:color="auto"/>
              <w:bottom w:val="single" w:sz="4" w:space="0" w:color="auto"/>
            </w:tcBorders>
          </w:tcPr>
          <w:p w:rsidR="00810D72" w:rsidRPr="00077E30" w:rsidRDefault="00810D72" w:rsidP="00F602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των νεφρών και των ουροφόρων οδών</w:t>
            </w:r>
          </w:p>
        </w:tc>
        <w:tc>
          <w:tcPr>
            <w:tcW w:w="1985" w:type="dxa"/>
          </w:tcPr>
          <w:p w:rsidR="00810D72" w:rsidRPr="00077E30" w:rsidRDefault="00810D72" w:rsidP="00F602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c>
          <w:tcPr>
            <w:tcW w:w="1701" w:type="dxa"/>
          </w:tcPr>
          <w:p w:rsidR="00810D72" w:rsidRPr="00077E30" w:rsidRDefault="00810D72" w:rsidP="00F6021E">
            <w:pPr>
              <w:autoSpaceDE w:val="0"/>
              <w:autoSpaceDN w:val="0"/>
              <w:adjustRightInd w:val="0"/>
              <w:rPr>
                <w:rFonts w:ascii="Times New Roman" w:eastAsia="TimesNewRoman,Bold" w:hAnsi="Times New Roman"/>
                <w:bCs/>
                <w:sz w:val="22"/>
                <w:szCs w:val="22"/>
                <w:lang w:val="el-GR" w:eastAsia="el-GR"/>
              </w:rPr>
            </w:pPr>
            <w:r w:rsidRPr="00077E30">
              <w:rPr>
                <w:rFonts w:ascii="Times New Roman" w:hAnsi="Times New Roman"/>
                <w:spacing w:val="-2"/>
                <w:sz w:val="22"/>
                <w:szCs w:val="22"/>
                <w:lang w:val="el-GR"/>
              </w:rPr>
              <w:t>Αλκαλική φωσφατάση αίματος αυξημένη</w:t>
            </w:r>
          </w:p>
        </w:tc>
        <w:tc>
          <w:tcPr>
            <w:tcW w:w="1984" w:type="dxa"/>
          </w:tcPr>
          <w:p w:rsidR="00810D72" w:rsidRPr="00077E30" w:rsidRDefault="00810D72" w:rsidP="00137231">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sz w:val="22"/>
                <w:szCs w:val="22"/>
                <w:vertAlign w:val="superscript"/>
                <w:lang w:val="el-GR"/>
              </w:rPr>
            </w:pPr>
            <w:r w:rsidRPr="00077E30">
              <w:rPr>
                <w:rFonts w:ascii="Times New Roman" w:hAnsi="Times New Roman"/>
                <w:spacing w:val="-2"/>
                <w:sz w:val="22"/>
                <w:szCs w:val="22"/>
                <w:lang w:val="el-GR"/>
              </w:rPr>
              <w:t>Ασπαρτική αμινοτρανσφεράση αυξημένη</w:t>
            </w:r>
          </w:p>
        </w:tc>
        <w:tc>
          <w:tcPr>
            <w:tcW w:w="1276" w:type="dxa"/>
          </w:tcPr>
          <w:p w:rsidR="00810D72" w:rsidRPr="00077E30" w:rsidRDefault="00810D72" w:rsidP="00F6021E">
            <w:pPr>
              <w:autoSpaceDE w:val="0"/>
              <w:autoSpaceDN w:val="0"/>
              <w:adjustRightInd w:val="0"/>
              <w:rPr>
                <w:rFonts w:ascii="Times New Roman" w:eastAsia="TimesNewRoman,Bold" w:hAnsi="Times New Roman"/>
                <w:b/>
                <w:bCs/>
                <w:sz w:val="22"/>
                <w:szCs w:val="22"/>
                <w:lang w:val="el-GR" w:eastAsia="el-GR"/>
              </w:rPr>
            </w:pPr>
          </w:p>
        </w:tc>
        <w:tc>
          <w:tcPr>
            <w:tcW w:w="1412" w:type="dxa"/>
          </w:tcPr>
          <w:p w:rsidR="00810D72" w:rsidRPr="00077E30" w:rsidRDefault="00810D72" w:rsidP="00F602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436FE9" w:rsidRPr="00077E30" w:rsidTr="0080743A">
        <w:tc>
          <w:tcPr>
            <w:tcW w:w="1809" w:type="dxa"/>
            <w:tcBorders>
              <w:top w:val="single" w:sz="4" w:space="0" w:color="auto"/>
              <w:bottom w:val="single" w:sz="4" w:space="0" w:color="auto"/>
            </w:tcBorders>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του μυοσκελετικού συστήματος και του συνδετικού ιστού</w:t>
            </w:r>
          </w:p>
        </w:tc>
        <w:tc>
          <w:tcPr>
            <w:tcW w:w="1985"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rPr>
            </w:pPr>
            <w:r w:rsidRPr="00077E30">
              <w:rPr>
                <w:rFonts w:ascii="Times New Roman" w:hAnsi="Times New Roman"/>
                <w:spacing w:val="-2"/>
                <w:lang w:val="el-GR"/>
              </w:rPr>
              <w:t>Μυοσκελετικός πόνος</w:t>
            </w:r>
            <w:r w:rsidR="00810D72" w:rsidRPr="00077E30">
              <w:rPr>
                <w:rFonts w:ascii="Times New Roman" w:hAnsi="Times New Roman"/>
                <w:spacing w:val="-2"/>
              </w:rPr>
              <w:t>*</w:t>
            </w:r>
          </w:p>
        </w:tc>
        <w:tc>
          <w:tcPr>
            <w:tcW w:w="1701"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p>
        </w:tc>
        <w:tc>
          <w:tcPr>
            <w:tcW w:w="1984" w:type="dxa"/>
          </w:tcPr>
          <w:p w:rsidR="00436FE9" w:rsidRPr="00077E30" w:rsidRDefault="00436FE9" w:rsidP="004F689C">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Επιδείνωση της ρευματοειδής αρθρίτιδας</w:t>
            </w:r>
          </w:p>
        </w:tc>
        <w:tc>
          <w:tcPr>
            <w:tcW w:w="1276" w:type="dxa"/>
          </w:tcPr>
          <w:p w:rsidR="00436FE9" w:rsidRPr="00077E30" w:rsidRDefault="00436FE9"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436FE9" w:rsidRPr="00077E30" w:rsidRDefault="00436FE9"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bl>
    <w:p w:rsidR="00B74B1D" w:rsidRPr="00077E30" w:rsidRDefault="00B74B1D" w:rsidP="0080743A">
      <w:pPr>
        <w:autoSpaceDE w:val="0"/>
        <w:autoSpaceDN w:val="0"/>
        <w:adjustRightInd w:val="0"/>
        <w:ind w:left="284"/>
        <w:rPr>
          <w:rStyle w:val="hps"/>
          <w:rFonts w:ascii="Times New Roman" w:hAnsi="Times New Roman"/>
          <w:color w:val="333333"/>
          <w:sz w:val="18"/>
          <w:szCs w:val="18"/>
          <w:lang w:val="el-GR"/>
        </w:rPr>
      </w:pPr>
      <w:r w:rsidRPr="00077E30">
        <w:rPr>
          <w:rStyle w:val="hps"/>
          <w:rFonts w:ascii="Times New Roman" w:hAnsi="Times New Roman"/>
          <w:color w:val="333333"/>
          <w:sz w:val="18"/>
          <w:szCs w:val="18"/>
          <w:vertAlign w:val="superscript"/>
          <w:lang w:val="el-GR"/>
        </w:rPr>
        <w:t>α</w:t>
      </w:r>
      <w:r w:rsidRPr="00077E30">
        <w:rPr>
          <w:rStyle w:val="hps"/>
          <w:rFonts w:ascii="Times New Roman" w:hAnsi="Times New Roman"/>
          <w:color w:val="333333"/>
          <w:sz w:val="18"/>
          <w:szCs w:val="18"/>
          <w:lang w:val="el-GR"/>
        </w:rPr>
        <w:t>Βλέπε παράγραφο γ</w:t>
      </w:r>
    </w:p>
    <w:p w:rsidR="00810D72" w:rsidRPr="00077E30" w:rsidRDefault="00810D72" w:rsidP="0080743A">
      <w:pPr>
        <w:autoSpaceDE w:val="0"/>
        <w:autoSpaceDN w:val="0"/>
        <w:adjustRightInd w:val="0"/>
        <w:ind w:left="284"/>
        <w:rPr>
          <w:rStyle w:val="hps"/>
          <w:rFonts w:ascii="Times New Roman" w:hAnsi="Times New Roman"/>
          <w:color w:val="333333"/>
          <w:sz w:val="18"/>
          <w:szCs w:val="18"/>
          <w:vertAlign w:val="superscript"/>
          <w:lang w:val="el-GR"/>
        </w:rPr>
      </w:pPr>
      <w:r w:rsidRPr="00077E30">
        <w:rPr>
          <w:rStyle w:val="hps"/>
          <w:rFonts w:ascii="Times New Roman" w:hAnsi="Times New Roman"/>
          <w:color w:val="333333"/>
          <w:sz w:val="18"/>
          <w:szCs w:val="18"/>
          <w:lang w:val="el-GR"/>
        </w:rPr>
        <w:t>*συμπεριλαμβάνει οσφυαλγία, αρθραλγία, μυαλγία, πόνο των άκρων, μυοσκελετικό πόνο, μυοσκελετικό πόνο του θώρακα, αυχεναλγία</w:t>
      </w:r>
    </w:p>
    <w:p w:rsidR="001C5969" w:rsidRPr="00077E30" w:rsidRDefault="001C5969"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Pr="00077E30" w:rsidRDefault="00EB72A2" w:rsidP="00EB72A2">
      <w:pPr>
        <w:autoSpaceDE w:val="0"/>
        <w:autoSpaceDN w:val="0"/>
        <w:adjustRightInd w:val="0"/>
        <w:rPr>
          <w:rStyle w:val="hps"/>
          <w:rFonts w:ascii="Times New Roman" w:hAnsi="Times New Roman"/>
          <w:i/>
          <w:color w:val="333333"/>
          <w:sz w:val="28"/>
          <w:szCs w:val="28"/>
          <w:lang w:val="el-GR"/>
        </w:rPr>
      </w:pPr>
      <w:r w:rsidRPr="00077E30">
        <w:rPr>
          <w:rStyle w:val="hps"/>
          <w:rFonts w:ascii="Times New Roman" w:hAnsi="Times New Roman"/>
          <w:i/>
          <w:color w:val="333333"/>
          <w:lang w:val="el-GR"/>
        </w:rPr>
        <w:t xml:space="preserve">Ασθενείς με </w:t>
      </w:r>
      <w:r w:rsidR="004C2D82" w:rsidRPr="00077E30">
        <w:rPr>
          <w:rStyle w:val="hps"/>
          <w:rFonts w:ascii="Times New Roman" w:hAnsi="Times New Roman"/>
          <w:i/>
          <w:color w:val="333333"/>
        </w:rPr>
        <w:t>SCN</w:t>
      </w:r>
    </w:p>
    <w:p w:rsidR="00EB72A2" w:rsidRPr="00077E30"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Pr="00077E30"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701"/>
        <w:gridCol w:w="1843"/>
        <w:gridCol w:w="1417"/>
        <w:gridCol w:w="1412"/>
      </w:tblGrid>
      <w:tr w:rsidR="00EB72A2" w:rsidRPr="00077E30" w:rsidTr="00810D72">
        <w:tc>
          <w:tcPr>
            <w:tcW w:w="1809" w:type="dxa"/>
            <w:tcBorders>
              <w:bottom w:val="nil"/>
            </w:tcBorders>
            <w:vAlign w:val="center"/>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hAnsi="Times New Roman"/>
                <w:b/>
                <w:sz w:val="22"/>
                <w:szCs w:val="22"/>
                <w:lang w:val="el-GR" w:eastAsia="en-GB"/>
              </w:rPr>
              <w:t xml:space="preserve">Κατηγορία οργανικού συστήματος σύμφωνα με τη βάση δεδομένων </w:t>
            </w:r>
            <w:r w:rsidRPr="00077E30">
              <w:rPr>
                <w:rFonts w:ascii="Times New Roman" w:hAnsi="Times New Roman"/>
                <w:b/>
                <w:sz w:val="22"/>
                <w:szCs w:val="22"/>
                <w:lang w:eastAsia="en-GB"/>
              </w:rPr>
              <w:lastRenderedPageBreak/>
              <w:t>MedDRA</w:t>
            </w:r>
          </w:p>
        </w:tc>
        <w:tc>
          <w:tcPr>
            <w:tcW w:w="8358" w:type="dxa"/>
            <w:gridSpan w:val="5"/>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color w:val="333333"/>
                <w:sz w:val="22"/>
                <w:szCs w:val="22"/>
                <w:lang w:val="el-GR"/>
              </w:rPr>
            </w:pP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b/>
                <w:color w:val="333333"/>
                <w:sz w:val="22"/>
                <w:szCs w:val="22"/>
                <w:lang w:val="el-GR"/>
              </w:rPr>
            </w:pP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b/>
                <w:color w:val="333333"/>
                <w:sz w:val="22"/>
                <w:szCs w:val="22"/>
                <w:lang w:val="el-GR"/>
              </w:rPr>
            </w:pPr>
            <w:r w:rsidRPr="00077E30">
              <w:rPr>
                <w:rStyle w:val="hps"/>
                <w:rFonts w:ascii="Times New Roman" w:hAnsi="Times New Roman"/>
                <w:b/>
                <w:color w:val="333333"/>
                <w:sz w:val="22"/>
                <w:szCs w:val="22"/>
                <w:lang w:val="el-GR"/>
              </w:rPr>
              <w:t>Ανεπιθύμητες ενέργειες</w:t>
            </w:r>
          </w:p>
        </w:tc>
      </w:tr>
      <w:tr w:rsidR="00EB72A2" w:rsidRPr="00077E30" w:rsidTr="00810D72">
        <w:tc>
          <w:tcPr>
            <w:tcW w:w="1809" w:type="dxa"/>
            <w:tcBorders>
              <w:top w:val="nil"/>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pacing w:val="-2"/>
                <w:sz w:val="22"/>
                <w:szCs w:val="22"/>
                <w:lang w:val="el-GR"/>
              </w:rPr>
              <w:t>Πολύ συχνές      (</w:t>
            </w:r>
            <w:r w:rsidRPr="00077E30">
              <w:rPr>
                <w:rFonts w:ascii="Times New Roman" w:eastAsia="TimesNewRoman,Bold" w:hAnsi="Times New Roman"/>
                <w:b/>
                <w:bCs/>
                <w:sz w:val="22"/>
                <w:szCs w:val="22"/>
                <w:lang w:val="el-GR" w:eastAsia="el-GR"/>
              </w:rPr>
              <w:t>≥ 1/10)</w:t>
            </w:r>
          </w:p>
        </w:tc>
        <w:tc>
          <w:tcPr>
            <w:tcW w:w="1701" w:type="dxa"/>
          </w:tcPr>
          <w:p w:rsidR="00EB72A2" w:rsidRPr="00077E30" w:rsidRDefault="00EB72A2" w:rsidP="004F689C">
            <w:pPr>
              <w:autoSpaceDE w:val="0"/>
              <w:autoSpaceDN w:val="0"/>
              <w:adjustRightInd w:val="0"/>
              <w:rPr>
                <w:rFonts w:ascii="Times New Roman" w:eastAsia="TimesNewRoman,Bold" w:hAnsi="Times New Roman"/>
                <w:b/>
                <w:bCs/>
                <w:sz w:val="22"/>
                <w:szCs w:val="22"/>
                <w:lang w:eastAsia="el-GR"/>
              </w:rPr>
            </w:pPr>
            <w:r w:rsidRPr="00077E30">
              <w:rPr>
                <w:rFonts w:ascii="Times New Roman" w:eastAsia="TimesNewRoman,Bold" w:hAnsi="Times New Roman"/>
                <w:b/>
                <w:bCs/>
                <w:sz w:val="22"/>
                <w:szCs w:val="22"/>
                <w:lang w:val="el-GR" w:eastAsia="el-GR"/>
              </w:rPr>
              <w:t xml:space="preserve">Συχνές             </w:t>
            </w:r>
          </w:p>
          <w:p w:rsidR="00EB72A2" w:rsidRPr="00077E30" w:rsidRDefault="00EB72A2" w:rsidP="004F689C">
            <w:pPr>
              <w:autoSpaceDE w:val="0"/>
              <w:autoSpaceDN w:val="0"/>
              <w:adjustRightInd w:val="0"/>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 1/100 έως &lt; 1/10)</w:t>
            </w:r>
          </w:p>
        </w:tc>
        <w:tc>
          <w:tcPr>
            <w:tcW w:w="1843"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hAnsi="Times New Roman"/>
                <w:b/>
                <w:spacing w:val="-2"/>
                <w:sz w:val="22"/>
                <w:szCs w:val="22"/>
                <w:lang w:val="el-GR"/>
              </w:rPr>
              <w:t>Όχι συχνές</w:t>
            </w:r>
          </w:p>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1/1000 έως</w:t>
            </w: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&lt; 1/100</w:t>
            </w: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xml:space="preserve">Σπάνιες </w:t>
            </w:r>
          </w:p>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1/10,000 έως</w:t>
            </w: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&lt; 1/1000)</w:t>
            </w: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pacing w:val="-2"/>
                <w:sz w:val="22"/>
                <w:szCs w:val="22"/>
                <w:lang w:val="el-GR"/>
              </w:rPr>
              <w:t>Πολύ σπάνιες</w:t>
            </w:r>
            <w:r w:rsidRPr="00077E30">
              <w:rPr>
                <w:rFonts w:ascii="Times New Roman" w:eastAsia="TimesNewRoman,Bold" w:hAnsi="Times New Roman"/>
                <w:b/>
                <w:bCs/>
                <w:sz w:val="22"/>
                <w:szCs w:val="22"/>
                <w:lang w:val="el-GR" w:eastAsia="el-GR"/>
              </w:rPr>
              <w:t xml:space="preserve">         (&lt; 1/10,000)</w:t>
            </w: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z w:val="22"/>
                <w:szCs w:val="22"/>
                <w:lang w:val="el-GR"/>
              </w:rPr>
              <w:t>Διαταραχές του αιμοποιητικού και του λεμφικού συστήματος</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eastAsia="TimesNewRoman,Bold" w:hAnsi="Times New Roman"/>
                <w:bCs/>
                <w:sz w:val="22"/>
                <w:szCs w:val="22"/>
                <w:lang w:val="el-GR" w:eastAsia="el-GR"/>
              </w:rPr>
            </w:pPr>
            <w:r w:rsidRPr="00077E30">
              <w:rPr>
                <w:rFonts w:ascii="Times New Roman" w:eastAsia="TimesNewRoman,Bold" w:hAnsi="Times New Roman"/>
                <w:bCs/>
                <w:sz w:val="22"/>
                <w:szCs w:val="22"/>
                <w:lang w:val="el-GR" w:eastAsia="el-GR"/>
              </w:rPr>
              <w:t xml:space="preserve">Σπληνομεγαλία </w:t>
            </w: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 w:val="22"/>
                <w:szCs w:val="22"/>
                <w:lang w:val="el-GR"/>
              </w:rPr>
            </w:pPr>
            <w:r w:rsidRPr="00077E30">
              <w:rPr>
                <w:rFonts w:ascii="Times New Roman" w:eastAsia="TimesNewRoman,Bold" w:hAnsi="Times New Roman"/>
                <w:bCs/>
                <w:sz w:val="22"/>
                <w:szCs w:val="22"/>
                <w:lang w:val="el-GR" w:eastAsia="el-GR"/>
              </w:rPr>
              <w:t xml:space="preserve">Αναιμία </w:t>
            </w:r>
          </w:p>
        </w:tc>
        <w:tc>
          <w:tcPr>
            <w:tcW w:w="1701" w:type="dxa"/>
          </w:tcPr>
          <w:p w:rsidR="00EB72A2" w:rsidRPr="00077E30" w:rsidRDefault="00EB72A2" w:rsidP="004F689C">
            <w:pPr>
              <w:autoSpaceDE w:val="0"/>
              <w:autoSpaceDN w:val="0"/>
              <w:adjustRightInd w:val="0"/>
              <w:rPr>
                <w:rFonts w:ascii="Times New Roman" w:eastAsia="TimesNewRoman,Bold" w:hAnsi="Times New Roman"/>
                <w:bCs/>
                <w:sz w:val="22"/>
                <w:szCs w:val="22"/>
                <w:lang w:val="el-GR" w:eastAsia="el-GR"/>
              </w:rPr>
            </w:pPr>
            <w:r w:rsidRPr="00077E30">
              <w:rPr>
                <w:rFonts w:ascii="Times New Roman" w:hAnsi="Times New Roman"/>
                <w:spacing w:val="-2"/>
                <w:sz w:val="22"/>
                <w:szCs w:val="22"/>
                <w:lang w:val="el-GR"/>
              </w:rPr>
              <w:t>Θρομβοπενία</w:t>
            </w:r>
          </w:p>
        </w:tc>
        <w:tc>
          <w:tcPr>
            <w:tcW w:w="1843" w:type="dxa"/>
          </w:tcPr>
          <w:p w:rsidR="00EB72A2" w:rsidRPr="00077E30" w:rsidRDefault="00810D72" w:rsidP="004F689C">
            <w:pPr>
              <w:autoSpaceDE w:val="0"/>
              <w:autoSpaceDN w:val="0"/>
              <w:adjustRightInd w:val="0"/>
              <w:rPr>
                <w:rFonts w:ascii="Times New Roman" w:hAnsi="Times New Roman"/>
                <w:spacing w:val="-2"/>
                <w:sz w:val="22"/>
                <w:szCs w:val="22"/>
                <w:vertAlign w:val="superscript"/>
                <w:lang w:val="el-GR"/>
              </w:rPr>
            </w:pPr>
            <w:r w:rsidRPr="00077E30">
              <w:rPr>
                <w:rFonts w:ascii="Times New Roman" w:hAnsi="Times New Roman"/>
                <w:spacing w:val="-2"/>
                <w:sz w:val="22"/>
                <w:szCs w:val="22"/>
                <w:lang w:val="el-GR"/>
              </w:rPr>
              <w:t>Ρήξη σπληνός</w:t>
            </w: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z w:val="22"/>
                <w:szCs w:val="22"/>
                <w:lang w:val="el-GR" w:eastAsia="en-GB"/>
              </w:rPr>
              <w:t>Διαταραχές του μεταβολισμού και της θρέψης</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 w:val="22"/>
                <w:szCs w:val="22"/>
                <w:lang w:val="el-GR"/>
              </w:rPr>
            </w:pPr>
            <w:r w:rsidRPr="00077E30">
              <w:rPr>
                <w:rFonts w:ascii="Times New Roman" w:hAnsi="Times New Roman"/>
                <w:spacing w:val="-2"/>
                <w:sz w:val="22"/>
                <w:szCs w:val="22"/>
                <w:lang w:val="el-GR"/>
              </w:rPr>
              <w:t>Υπερουριχαιμία</w:t>
            </w: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 w:val="22"/>
                <w:szCs w:val="22"/>
                <w:lang w:val="el-GR"/>
              </w:rPr>
            </w:pPr>
            <w:r w:rsidRPr="00077E30">
              <w:rPr>
                <w:rFonts w:ascii="Times New Roman" w:hAnsi="Times New Roman"/>
                <w:spacing w:val="-2"/>
                <w:sz w:val="22"/>
                <w:szCs w:val="22"/>
                <w:lang w:val="el-GR"/>
              </w:rPr>
              <w:t>Γλυκόζη αίματος μειωμένη</w:t>
            </w: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r w:rsidRPr="00077E30">
              <w:rPr>
                <w:rFonts w:ascii="Times New Roman" w:hAnsi="Times New Roman"/>
                <w:spacing w:val="-2"/>
                <w:sz w:val="22"/>
                <w:szCs w:val="22"/>
                <w:lang w:val="el-GR"/>
              </w:rPr>
              <w:t>Γαλακτική αφυδρογονάση αίματος αυξημένη</w:t>
            </w:r>
          </w:p>
        </w:tc>
        <w:tc>
          <w:tcPr>
            <w:tcW w:w="1701"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vertAlign w:val="superscript"/>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του νευρικού συστήματος</w:t>
            </w:r>
          </w:p>
        </w:tc>
        <w:tc>
          <w:tcPr>
            <w:tcW w:w="1985" w:type="dxa"/>
          </w:tcPr>
          <w:p w:rsidR="00EB72A2" w:rsidRPr="00077E30" w:rsidRDefault="00810D7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Κεφαλαλγία</w:t>
            </w:r>
          </w:p>
        </w:tc>
        <w:tc>
          <w:tcPr>
            <w:tcW w:w="1701"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του αναπνευστικού συστήματος, του θώρακα και του μεσοθωράκιου</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 xml:space="preserve">Επίσταξη </w:t>
            </w:r>
          </w:p>
        </w:tc>
        <w:tc>
          <w:tcPr>
            <w:tcW w:w="1701" w:type="dxa"/>
          </w:tcPr>
          <w:p w:rsidR="00EB72A2" w:rsidRPr="00077E30" w:rsidRDefault="00EB72A2" w:rsidP="004F689C">
            <w:pPr>
              <w:autoSpaceDE w:val="0"/>
              <w:autoSpaceDN w:val="0"/>
              <w:adjustRightInd w:val="0"/>
              <w:rPr>
                <w:rFonts w:ascii="Times New Roman" w:hAnsi="Times New Roman"/>
                <w:spacing w:val="-2"/>
                <w:lang w:val="el-GR"/>
              </w:rPr>
            </w:pP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του γαστρεντερικού</w:t>
            </w:r>
          </w:p>
        </w:tc>
        <w:tc>
          <w:tcPr>
            <w:tcW w:w="1985" w:type="dxa"/>
          </w:tcPr>
          <w:p w:rsidR="00EB72A2" w:rsidRPr="00077E30" w:rsidRDefault="00810D7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Διάρροια</w:t>
            </w:r>
          </w:p>
        </w:tc>
        <w:tc>
          <w:tcPr>
            <w:tcW w:w="1701" w:type="dxa"/>
          </w:tcPr>
          <w:p w:rsidR="00EB72A2" w:rsidRPr="00077E30" w:rsidRDefault="00EB72A2" w:rsidP="004F689C">
            <w:pPr>
              <w:autoSpaceDE w:val="0"/>
              <w:autoSpaceDN w:val="0"/>
              <w:adjustRightInd w:val="0"/>
              <w:rPr>
                <w:rFonts w:ascii="Times New Roman" w:hAnsi="Times New Roman"/>
                <w:spacing w:val="-2"/>
                <w:lang w:val="el-GR"/>
              </w:rPr>
            </w:pP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του ήπατος και των χοληφόρων</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 xml:space="preserve">Αλκαλική φωσφατάση του αίματος αυξημένη </w:t>
            </w:r>
          </w:p>
        </w:tc>
        <w:tc>
          <w:tcPr>
            <w:tcW w:w="1701" w:type="dxa"/>
          </w:tcPr>
          <w:p w:rsidR="00EB72A2" w:rsidRPr="00077E30" w:rsidRDefault="00EB72A2" w:rsidP="004F689C">
            <w:pPr>
              <w:autoSpaceDE w:val="0"/>
              <w:autoSpaceDN w:val="0"/>
              <w:adjustRightInd w:val="0"/>
              <w:rPr>
                <w:rFonts w:ascii="Times New Roman" w:hAnsi="Times New Roman"/>
                <w:spacing w:val="-2"/>
                <w:lang w:val="el-GR"/>
              </w:rPr>
            </w:pPr>
            <w:r w:rsidRPr="00077E30">
              <w:rPr>
                <w:rFonts w:ascii="Times New Roman" w:hAnsi="Times New Roman"/>
                <w:spacing w:val="-2"/>
                <w:lang w:val="el-GR"/>
              </w:rPr>
              <w:t xml:space="preserve">Ηπατομεγαλία </w:t>
            </w: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του δέρματος και του υποδόριου ιστού</w:t>
            </w:r>
          </w:p>
        </w:tc>
        <w:tc>
          <w:tcPr>
            <w:tcW w:w="1985" w:type="dxa"/>
          </w:tcPr>
          <w:p w:rsidR="00EB72A2" w:rsidRPr="00077E30" w:rsidRDefault="00810D7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Εξάνθημα</w:t>
            </w:r>
          </w:p>
        </w:tc>
        <w:tc>
          <w:tcPr>
            <w:tcW w:w="1701" w:type="dxa"/>
          </w:tcPr>
          <w:p w:rsidR="00EB72A2" w:rsidRPr="00077E30" w:rsidRDefault="00EB72A2" w:rsidP="004F689C">
            <w:pPr>
              <w:autoSpaceDE w:val="0"/>
              <w:autoSpaceDN w:val="0"/>
              <w:adjustRightInd w:val="0"/>
              <w:rPr>
                <w:rFonts w:ascii="Times New Roman" w:hAnsi="Times New Roman"/>
                <w:sz w:val="22"/>
                <w:szCs w:val="22"/>
                <w:vertAlign w:val="superscript"/>
                <w:lang w:val="el-GR" w:eastAsia="en-GB"/>
              </w:rPr>
            </w:pPr>
          </w:p>
          <w:p w:rsidR="00EB72A2" w:rsidRPr="00077E30" w:rsidRDefault="00EB72A2" w:rsidP="004F689C">
            <w:pPr>
              <w:autoSpaceDE w:val="0"/>
              <w:autoSpaceDN w:val="0"/>
              <w:adjustRightInd w:val="0"/>
              <w:rPr>
                <w:rFonts w:ascii="Times New Roman" w:hAnsi="Times New Roman"/>
                <w:spacing w:val="-2"/>
                <w:lang w:val="el-GR"/>
              </w:rPr>
            </w:pPr>
            <w:r w:rsidRPr="00077E30">
              <w:rPr>
                <w:rFonts w:ascii="Times New Roman" w:hAnsi="Times New Roman"/>
                <w:spacing w:val="-2"/>
                <w:lang w:val="el-GR"/>
              </w:rPr>
              <w:t>Δερματική αγγειίτιδα Αλωπεκία</w:t>
            </w: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του μυοσκελετικού συστήματος και του συνδετικού ιστού</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r w:rsidRPr="00077E30">
              <w:rPr>
                <w:rFonts w:ascii="Times New Roman" w:hAnsi="Times New Roman"/>
                <w:spacing w:val="-2"/>
                <w:lang w:val="el-GR"/>
              </w:rPr>
              <w:t>Μυοσκελετικός πόνος</w:t>
            </w:r>
            <w:r w:rsidR="00810D72" w:rsidRPr="00077E30">
              <w:rPr>
                <w:rFonts w:ascii="Times New Roman" w:hAnsi="Times New Roman"/>
                <w:spacing w:val="-2"/>
              </w:rPr>
              <w:t>*</w:t>
            </w:r>
            <w:r w:rsidRPr="00077E30">
              <w:rPr>
                <w:rFonts w:ascii="Times New Roman" w:hAnsi="Times New Roman"/>
                <w:spacing w:val="-2"/>
                <w:lang w:val="el-GR"/>
              </w:rPr>
              <w:t xml:space="preserve">             Αρθραλγία</w:t>
            </w:r>
          </w:p>
        </w:tc>
        <w:tc>
          <w:tcPr>
            <w:tcW w:w="1701" w:type="dxa"/>
          </w:tcPr>
          <w:p w:rsidR="00EB72A2" w:rsidRPr="00077E30" w:rsidRDefault="00EB72A2" w:rsidP="004F689C">
            <w:pPr>
              <w:autoSpaceDE w:val="0"/>
              <w:autoSpaceDN w:val="0"/>
              <w:adjustRightInd w:val="0"/>
              <w:rPr>
                <w:rFonts w:ascii="Times New Roman" w:hAnsi="Times New Roman"/>
                <w:spacing w:val="-2"/>
                <w:lang w:val="el-GR"/>
              </w:rPr>
            </w:pPr>
            <w:r w:rsidRPr="00077E30">
              <w:rPr>
                <w:rFonts w:ascii="Times New Roman" w:hAnsi="Times New Roman"/>
                <w:spacing w:val="-2"/>
                <w:lang w:val="el-GR"/>
              </w:rPr>
              <w:t>Οστεοπόρωσης</w:t>
            </w: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Διαταραχές των νεφρών και των ουροφόρων οδών</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p>
        </w:tc>
        <w:tc>
          <w:tcPr>
            <w:tcW w:w="1701" w:type="dxa"/>
          </w:tcPr>
          <w:p w:rsidR="00EB72A2" w:rsidRPr="00077E30" w:rsidRDefault="00810D72" w:rsidP="004F689C">
            <w:pPr>
              <w:autoSpaceDE w:val="0"/>
              <w:autoSpaceDN w:val="0"/>
              <w:adjustRightInd w:val="0"/>
              <w:rPr>
                <w:rFonts w:ascii="Times New Roman" w:hAnsi="Times New Roman"/>
                <w:spacing w:val="-2"/>
                <w:lang w:val="el-GR"/>
              </w:rPr>
            </w:pPr>
            <w:r w:rsidRPr="00077E30">
              <w:rPr>
                <w:rFonts w:ascii="Times New Roman" w:hAnsi="Times New Roman"/>
                <w:spacing w:val="-2"/>
                <w:sz w:val="22"/>
                <w:szCs w:val="22"/>
                <w:lang w:val="el-GR"/>
              </w:rPr>
              <w:t>Αιματουρία</w:t>
            </w: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lang w:val="el-GR"/>
              </w:rPr>
            </w:pPr>
            <w:r w:rsidRPr="00077E30">
              <w:rPr>
                <w:rFonts w:ascii="Times New Roman" w:hAnsi="Times New Roman"/>
                <w:spacing w:val="-2"/>
                <w:sz w:val="22"/>
                <w:szCs w:val="22"/>
                <w:lang w:val="el-GR"/>
              </w:rPr>
              <w:t xml:space="preserve">Πρωτεϊνουρία </w:t>
            </w: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r w:rsidR="00EB72A2" w:rsidRPr="00077E30" w:rsidTr="00810D72">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077E30">
              <w:rPr>
                <w:rFonts w:ascii="Times New Roman" w:hAnsi="Times New Roman"/>
                <w:b/>
                <w:spacing w:val="-2"/>
                <w:lang w:val="el-GR"/>
              </w:rPr>
              <w:t>Γενικές διαταραχές και καταστάσεις της οδού χορήγησης</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rPr>
                <w:rFonts w:ascii="Times New Roman" w:hAnsi="Times New Roman"/>
                <w:spacing w:val="-2"/>
                <w:lang w:val="el-GR"/>
              </w:rPr>
            </w:pPr>
          </w:p>
        </w:tc>
        <w:tc>
          <w:tcPr>
            <w:tcW w:w="1701" w:type="dxa"/>
          </w:tcPr>
          <w:p w:rsidR="00EB72A2" w:rsidRPr="00077E30" w:rsidRDefault="00EB72A2" w:rsidP="004F689C">
            <w:pPr>
              <w:autoSpaceDE w:val="0"/>
              <w:autoSpaceDN w:val="0"/>
              <w:adjustRightInd w:val="0"/>
              <w:rPr>
                <w:rFonts w:ascii="Times New Roman" w:hAnsi="Times New Roman"/>
                <w:spacing w:val="-2"/>
                <w:lang w:val="el-GR"/>
              </w:rPr>
            </w:pPr>
            <w:r w:rsidRPr="00077E30">
              <w:rPr>
                <w:rFonts w:ascii="Times New Roman" w:hAnsi="Times New Roman"/>
                <w:spacing w:val="-2"/>
                <w:lang w:val="el-GR"/>
              </w:rPr>
              <w:t>Αντίδραση στο σημείο της ένεσης</w:t>
            </w: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bl>
    <w:p w:rsidR="00EB72A2" w:rsidRPr="00077E30" w:rsidRDefault="00810D72" w:rsidP="0080743A">
      <w:pPr>
        <w:autoSpaceDE w:val="0"/>
        <w:autoSpaceDN w:val="0"/>
        <w:adjustRightInd w:val="0"/>
        <w:ind w:left="360"/>
        <w:rPr>
          <w:rFonts w:ascii="Times New Roman" w:hAnsi="Times New Roman"/>
          <w:color w:val="333333"/>
          <w:sz w:val="18"/>
          <w:szCs w:val="18"/>
          <w:vertAlign w:val="superscript"/>
          <w:lang w:val="el-GR"/>
        </w:rPr>
      </w:pPr>
      <w:r w:rsidRPr="00077E30">
        <w:rPr>
          <w:rStyle w:val="hps"/>
          <w:rFonts w:ascii="Times New Roman" w:hAnsi="Times New Roman"/>
          <w:color w:val="333333"/>
          <w:sz w:val="18"/>
          <w:szCs w:val="18"/>
          <w:lang w:val="el-GR"/>
        </w:rPr>
        <w:t>*συμπεριλαμβάνει οσφυαλγία, αρθραλγία, μυαλγία, πόνο των άκρων, μυοσκελετικό πόνο, μυοσκελετικό πόνο του θώρακα, αυχεναλγία</w:t>
      </w:r>
    </w:p>
    <w:p w:rsidR="00EB72A2" w:rsidRPr="00077E30"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Pr="00077E30"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077E30">
        <w:rPr>
          <w:rFonts w:ascii="Times New Roman" w:hAnsi="Times New Roman"/>
          <w:i/>
          <w:spacing w:val="-2"/>
          <w:lang w:val="el-GR"/>
        </w:rPr>
        <w:t xml:space="preserve">Ασθενείς με </w:t>
      </w:r>
      <w:r w:rsidRPr="00077E30">
        <w:rPr>
          <w:rFonts w:ascii="Times New Roman" w:hAnsi="Times New Roman"/>
          <w:i/>
          <w:spacing w:val="-2"/>
        </w:rPr>
        <w:t xml:space="preserve">HIV </w:t>
      </w:r>
    </w:p>
    <w:p w:rsidR="00EB72A2" w:rsidRPr="00077E30"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Pr="00077E30"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Pr="00077E30"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701"/>
        <w:gridCol w:w="1843"/>
        <w:gridCol w:w="1417"/>
        <w:gridCol w:w="1412"/>
      </w:tblGrid>
      <w:tr w:rsidR="00EB72A2" w:rsidRPr="00077E30" w:rsidTr="00140A8F">
        <w:tc>
          <w:tcPr>
            <w:tcW w:w="1809" w:type="dxa"/>
            <w:tcBorders>
              <w:bottom w:val="nil"/>
            </w:tcBorders>
            <w:vAlign w:val="center"/>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hAnsi="Times New Roman"/>
                <w:b/>
                <w:sz w:val="22"/>
                <w:szCs w:val="22"/>
                <w:lang w:val="el-GR" w:eastAsia="en-GB"/>
              </w:rPr>
              <w:t xml:space="preserve">Κατηγορία οργανικού συστήματος σύμφωνα με τη βάση δεδομένων </w:t>
            </w:r>
            <w:r w:rsidRPr="00077E30">
              <w:rPr>
                <w:rFonts w:ascii="Times New Roman" w:hAnsi="Times New Roman"/>
                <w:b/>
                <w:sz w:val="22"/>
                <w:szCs w:val="22"/>
                <w:lang w:eastAsia="en-GB"/>
              </w:rPr>
              <w:t>MedDRA</w:t>
            </w:r>
          </w:p>
        </w:tc>
        <w:tc>
          <w:tcPr>
            <w:tcW w:w="8358" w:type="dxa"/>
            <w:gridSpan w:val="5"/>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color w:val="333333"/>
                <w:sz w:val="22"/>
                <w:szCs w:val="22"/>
                <w:lang w:val="el-GR"/>
              </w:rPr>
            </w:pP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b/>
                <w:color w:val="333333"/>
                <w:sz w:val="22"/>
                <w:szCs w:val="22"/>
                <w:lang w:val="el-GR"/>
              </w:rPr>
            </w:pP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rPr>
                <w:rStyle w:val="hps"/>
                <w:rFonts w:ascii="Times New Roman" w:hAnsi="Times New Roman"/>
                <w:b/>
                <w:color w:val="333333"/>
                <w:sz w:val="22"/>
                <w:szCs w:val="22"/>
                <w:lang w:val="el-GR"/>
              </w:rPr>
            </w:pPr>
            <w:r w:rsidRPr="00077E30">
              <w:rPr>
                <w:rStyle w:val="hps"/>
                <w:rFonts w:ascii="Times New Roman" w:hAnsi="Times New Roman"/>
                <w:b/>
                <w:color w:val="333333"/>
                <w:sz w:val="22"/>
                <w:szCs w:val="22"/>
                <w:lang w:val="el-GR"/>
              </w:rPr>
              <w:t>Ανεπιθύμητες ενέργειες</w:t>
            </w:r>
          </w:p>
        </w:tc>
      </w:tr>
      <w:tr w:rsidR="00EB72A2" w:rsidRPr="00077E30" w:rsidTr="00140A8F">
        <w:tc>
          <w:tcPr>
            <w:tcW w:w="1809" w:type="dxa"/>
            <w:tcBorders>
              <w:top w:val="nil"/>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pacing w:val="-2"/>
                <w:sz w:val="22"/>
                <w:szCs w:val="22"/>
                <w:lang w:val="el-GR"/>
              </w:rPr>
              <w:t>Πολύ συχνές      (</w:t>
            </w:r>
            <w:r w:rsidRPr="00077E30">
              <w:rPr>
                <w:rFonts w:ascii="Times New Roman" w:eastAsia="TimesNewRoman,Bold" w:hAnsi="Times New Roman"/>
                <w:b/>
                <w:bCs/>
                <w:sz w:val="22"/>
                <w:szCs w:val="22"/>
                <w:lang w:val="el-GR" w:eastAsia="el-GR"/>
              </w:rPr>
              <w:t>≥ 1/10)</w:t>
            </w:r>
          </w:p>
        </w:tc>
        <w:tc>
          <w:tcPr>
            <w:tcW w:w="1701" w:type="dxa"/>
          </w:tcPr>
          <w:p w:rsidR="00EB72A2" w:rsidRPr="00077E30" w:rsidRDefault="00EB72A2" w:rsidP="004F689C">
            <w:pPr>
              <w:autoSpaceDE w:val="0"/>
              <w:autoSpaceDN w:val="0"/>
              <w:adjustRightInd w:val="0"/>
              <w:rPr>
                <w:rFonts w:ascii="Times New Roman" w:eastAsia="TimesNewRoman,Bold" w:hAnsi="Times New Roman"/>
                <w:b/>
                <w:bCs/>
                <w:sz w:val="22"/>
                <w:szCs w:val="22"/>
                <w:lang w:eastAsia="el-GR"/>
              </w:rPr>
            </w:pPr>
            <w:r w:rsidRPr="00077E30">
              <w:rPr>
                <w:rFonts w:ascii="Times New Roman" w:eastAsia="TimesNewRoman,Bold" w:hAnsi="Times New Roman"/>
                <w:b/>
                <w:bCs/>
                <w:sz w:val="22"/>
                <w:szCs w:val="22"/>
                <w:lang w:val="el-GR" w:eastAsia="el-GR"/>
              </w:rPr>
              <w:t xml:space="preserve">Συχνές             </w:t>
            </w:r>
          </w:p>
          <w:p w:rsidR="00EB72A2" w:rsidRPr="00077E30" w:rsidRDefault="00EB72A2" w:rsidP="004F689C">
            <w:pPr>
              <w:autoSpaceDE w:val="0"/>
              <w:autoSpaceDN w:val="0"/>
              <w:adjustRightInd w:val="0"/>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 1/100 έως &lt; 1/10)</w:t>
            </w:r>
          </w:p>
        </w:tc>
        <w:tc>
          <w:tcPr>
            <w:tcW w:w="1843"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hAnsi="Times New Roman"/>
                <w:b/>
                <w:spacing w:val="-2"/>
                <w:sz w:val="22"/>
                <w:szCs w:val="22"/>
                <w:lang w:val="el-GR"/>
              </w:rPr>
              <w:t>Όχι συχνές</w:t>
            </w:r>
          </w:p>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1/1000 έως</w:t>
            </w: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&lt; 1/100</w:t>
            </w: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xml:space="preserve">Σπάνιες </w:t>
            </w:r>
          </w:p>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r w:rsidRPr="00077E30">
              <w:rPr>
                <w:rFonts w:ascii="Times New Roman" w:eastAsia="TimesNewRoman,Bold" w:hAnsi="Times New Roman"/>
                <w:b/>
                <w:bCs/>
                <w:sz w:val="22"/>
                <w:szCs w:val="22"/>
                <w:lang w:val="el-GR" w:eastAsia="el-GR"/>
              </w:rPr>
              <w:t>(≥ 1/10,000 έως</w:t>
            </w:r>
          </w:p>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color w:val="333333"/>
                <w:sz w:val="22"/>
                <w:szCs w:val="22"/>
                <w:lang w:val="el-GR"/>
              </w:rPr>
            </w:pPr>
            <w:r w:rsidRPr="00077E30">
              <w:rPr>
                <w:rFonts w:ascii="Times New Roman" w:eastAsia="TimesNewRoman,Bold" w:hAnsi="Times New Roman"/>
                <w:b/>
                <w:bCs/>
                <w:sz w:val="22"/>
                <w:szCs w:val="22"/>
                <w:lang w:val="el-GR" w:eastAsia="el-GR"/>
              </w:rPr>
              <w:t>&lt; 1/1000)</w:t>
            </w: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pacing w:val="-2"/>
                <w:sz w:val="22"/>
                <w:szCs w:val="22"/>
                <w:lang w:val="el-GR"/>
              </w:rPr>
              <w:t>Πολύ σπάνιες</w:t>
            </w:r>
            <w:r w:rsidRPr="00077E30">
              <w:rPr>
                <w:rFonts w:ascii="Times New Roman" w:eastAsia="TimesNewRoman,Bold" w:hAnsi="Times New Roman"/>
                <w:b/>
                <w:bCs/>
                <w:sz w:val="22"/>
                <w:szCs w:val="22"/>
                <w:lang w:val="el-GR" w:eastAsia="el-GR"/>
              </w:rPr>
              <w:t xml:space="preserve">         (&lt; 1/10,000)</w:t>
            </w:r>
          </w:p>
        </w:tc>
      </w:tr>
      <w:tr w:rsidR="00EB72A2" w:rsidRPr="00077E30" w:rsidTr="00140A8F">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Style w:val="hps"/>
                <w:rFonts w:ascii="Times New Roman" w:hAnsi="Times New Roman"/>
                <w:b/>
                <w:color w:val="333333"/>
                <w:sz w:val="22"/>
                <w:szCs w:val="22"/>
                <w:lang w:val="el-GR"/>
              </w:rPr>
            </w:pPr>
            <w:r w:rsidRPr="00077E30">
              <w:rPr>
                <w:rFonts w:ascii="Times New Roman" w:hAnsi="Times New Roman"/>
                <w:b/>
                <w:sz w:val="22"/>
                <w:szCs w:val="22"/>
                <w:lang w:val="el-GR"/>
              </w:rPr>
              <w:t>Διαταραχές του αιμοποιητικού και του λεμφικού συστήματος</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 w:val="22"/>
                <w:szCs w:val="22"/>
                <w:lang w:val="el-GR"/>
              </w:rPr>
            </w:pPr>
          </w:p>
        </w:tc>
        <w:tc>
          <w:tcPr>
            <w:tcW w:w="1701" w:type="dxa"/>
          </w:tcPr>
          <w:p w:rsidR="00EB72A2" w:rsidRPr="00077E30" w:rsidRDefault="00506A58" w:rsidP="004F689C">
            <w:pPr>
              <w:autoSpaceDE w:val="0"/>
              <w:autoSpaceDN w:val="0"/>
              <w:adjustRightInd w:val="0"/>
              <w:rPr>
                <w:rFonts w:ascii="Times New Roman" w:eastAsia="TimesNewRoman,Bold" w:hAnsi="Times New Roman"/>
                <w:bCs/>
                <w:sz w:val="22"/>
                <w:szCs w:val="22"/>
                <w:lang w:val="el-GR" w:eastAsia="el-GR"/>
              </w:rPr>
            </w:pPr>
            <w:r w:rsidRPr="00077E30">
              <w:rPr>
                <w:rFonts w:ascii="Times New Roman" w:hAnsi="Times New Roman"/>
                <w:spacing w:val="-2"/>
                <w:sz w:val="22"/>
                <w:szCs w:val="22"/>
                <w:lang w:val="el-GR"/>
              </w:rPr>
              <w:t>Σπληνομεγαλία</w:t>
            </w: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vertAlign w:val="superscript"/>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 w:val="22"/>
                <w:szCs w:val="22"/>
                <w:lang w:val="el-GR"/>
              </w:rPr>
            </w:pPr>
          </w:p>
        </w:tc>
      </w:tr>
      <w:tr w:rsidR="00EB72A2" w:rsidRPr="00077E30" w:rsidTr="00140A8F">
        <w:tc>
          <w:tcPr>
            <w:tcW w:w="1809" w:type="dxa"/>
            <w:tcBorders>
              <w:top w:val="single" w:sz="4" w:space="0" w:color="auto"/>
              <w:bottom w:val="single" w:sz="4" w:space="0" w:color="auto"/>
            </w:tcBorders>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z w:val="22"/>
                <w:szCs w:val="22"/>
                <w:lang w:val="el-GR"/>
              </w:rPr>
            </w:pPr>
            <w:r w:rsidRPr="00077E30">
              <w:rPr>
                <w:rFonts w:ascii="Times New Roman" w:hAnsi="Times New Roman"/>
                <w:b/>
                <w:spacing w:val="-2"/>
                <w:lang w:val="el-GR"/>
              </w:rPr>
              <w:t>Διαταραχές του μυοσκελετικού συστήματος και του συνδετικού ιστού</w:t>
            </w:r>
          </w:p>
        </w:tc>
        <w:tc>
          <w:tcPr>
            <w:tcW w:w="1985"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r w:rsidRPr="00077E30">
              <w:rPr>
                <w:rFonts w:ascii="Times New Roman" w:hAnsi="Times New Roman"/>
                <w:spacing w:val="-2"/>
                <w:lang w:val="el-GR"/>
              </w:rPr>
              <w:t xml:space="preserve">Μυοσκελετικός πόνος             </w:t>
            </w:r>
          </w:p>
        </w:tc>
        <w:tc>
          <w:tcPr>
            <w:tcW w:w="1701"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843" w:type="dxa"/>
          </w:tcPr>
          <w:p w:rsidR="00EB72A2" w:rsidRPr="00077E30" w:rsidRDefault="00EB72A2" w:rsidP="004F689C">
            <w:pPr>
              <w:autoSpaceDE w:val="0"/>
              <w:autoSpaceDN w:val="0"/>
              <w:adjustRightInd w:val="0"/>
              <w:rPr>
                <w:rFonts w:ascii="Times New Roman" w:hAnsi="Times New Roman"/>
                <w:spacing w:val="-2"/>
                <w:sz w:val="22"/>
                <w:szCs w:val="22"/>
                <w:vertAlign w:val="superscript"/>
                <w:lang w:val="el-GR"/>
              </w:rPr>
            </w:pPr>
          </w:p>
        </w:tc>
        <w:tc>
          <w:tcPr>
            <w:tcW w:w="1417" w:type="dxa"/>
          </w:tcPr>
          <w:p w:rsidR="00EB72A2" w:rsidRPr="00077E30" w:rsidRDefault="00EB72A2" w:rsidP="004F689C">
            <w:pPr>
              <w:autoSpaceDE w:val="0"/>
              <w:autoSpaceDN w:val="0"/>
              <w:adjustRightInd w:val="0"/>
              <w:rPr>
                <w:rFonts w:ascii="Times New Roman" w:eastAsia="TimesNewRoman,Bold" w:hAnsi="Times New Roman"/>
                <w:b/>
                <w:bCs/>
                <w:sz w:val="22"/>
                <w:szCs w:val="22"/>
                <w:lang w:val="el-GR" w:eastAsia="el-GR"/>
              </w:rPr>
            </w:pPr>
          </w:p>
        </w:tc>
        <w:tc>
          <w:tcPr>
            <w:tcW w:w="1412" w:type="dxa"/>
          </w:tcPr>
          <w:p w:rsidR="00EB72A2" w:rsidRPr="00077E30" w:rsidRDefault="00EB72A2" w:rsidP="004F689C">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sz w:val="22"/>
                <w:szCs w:val="22"/>
                <w:lang w:val="el-GR"/>
              </w:rPr>
            </w:pPr>
          </w:p>
        </w:tc>
      </w:tr>
    </w:tbl>
    <w:p w:rsidR="00EB72A2" w:rsidRPr="00077E30" w:rsidRDefault="00140A8F" w:rsidP="0080743A">
      <w:pPr>
        <w:autoSpaceDE w:val="0"/>
        <w:autoSpaceDN w:val="0"/>
        <w:adjustRightInd w:val="0"/>
        <w:ind w:left="360"/>
        <w:rPr>
          <w:rFonts w:ascii="Times New Roman" w:hAnsi="Times New Roman"/>
          <w:color w:val="333333"/>
          <w:sz w:val="18"/>
          <w:szCs w:val="18"/>
          <w:vertAlign w:val="superscript"/>
          <w:lang w:val="el-GR"/>
        </w:rPr>
      </w:pPr>
      <w:r w:rsidRPr="00077E30">
        <w:rPr>
          <w:rStyle w:val="hps"/>
          <w:rFonts w:ascii="Times New Roman" w:hAnsi="Times New Roman"/>
          <w:color w:val="333333"/>
          <w:sz w:val="18"/>
          <w:szCs w:val="18"/>
          <w:lang w:val="el-GR"/>
        </w:rPr>
        <w:t>*συμπεριλαμβάνει οσφυαλγία, αρθραλγία, μυαλγία, πόνο των άκρων, μυοσκελετικό πόνο, μυοσκελετικό πόνο του θώρακα, αυχεναλγία</w:t>
      </w:r>
    </w:p>
    <w:p w:rsidR="00436FE9" w:rsidRPr="00077E30" w:rsidRDefault="00436FE9" w:rsidP="00FC2B9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Pr="00077E30" w:rsidRDefault="00EB72A2" w:rsidP="00EB72A2">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077E30">
        <w:rPr>
          <w:rFonts w:ascii="Times New Roman" w:hAnsi="Times New Roman"/>
          <w:spacing w:val="-2"/>
          <w:lang w:val="el-GR"/>
        </w:rPr>
        <w:t>γ. Περιγραφή επιλεγμένων ανεπιθύμητων ενεργειών</w:t>
      </w:r>
    </w:p>
    <w:p w:rsidR="00EB72A2" w:rsidRPr="00077E30" w:rsidRDefault="00EB72A2" w:rsidP="00EB72A2">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EB72A2" w:rsidRPr="00077E30" w:rsidRDefault="00EB72A2" w:rsidP="00EB72A2">
      <w:pPr>
        <w:autoSpaceDE w:val="0"/>
        <w:autoSpaceDN w:val="0"/>
        <w:adjustRightInd w:val="0"/>
        <w:rPr>
          <w:rFonts w:ascii="Times New Roman" w:hAnsi="Times New Roman"/>
          <w:szCs w:val="22"/>
          <w:lang w:val="el-GR"/>
        </w:rPr>
      </w:pPr>
      <w:r w:rsidRPr="00077E30">
        <w:rPr>
          <w:rFonts w:ascii="Times New Roman" w:hAnsi="Times New Roman"/>
          <w:spacing w:val="-2"/>
          <w:lang w:val="el-GR"/>
        </w:rPr>
        <w:t xml:space="preserve">Έχουν υπάρξει αναφορές </w:t>
      </w:r>
      <w:r w:rsidRPr="00077E30">
        <w:rPr>
          <w:rFonts w:ascii="Times New Roman" w:hAnsi="Times New Roman"/>
          <w:szCs w:val="22"/>
        </w:rPr>
        <w:t>GvHD</w:t>
      </w:r>
      <w:r w:rsidRPr="00077E30">
        <w:rPr>
          <w:rFonts w:ascii="Times New Roman" w:hAnsi="Times New Roman"/>
          <w:szCs w:val="22"/>
          <w:lang w:val="el-GR"/>
        </w:rPr>
        <w:t xml:space="preserve"> και θανάτων σε ασθενείς που έλαβαν </w:t>
      </w:r>
      <w:r w:rsidRPr="00077E30">
        <w:rPr>
          <w:rStyle w:val="hps"/>
          <w:rFonts w:ascii="Times New Roman" w:hAnsi="Times New Roman"/>
          <w:color w:val="333333"/>
        </w:rPr>
        <w:t>G</w:t>
      </w:r>
      <w:r w:rsidRPr="00077E30">
        <w:rPr>
          <w:rFonts w:ascii="Times New Roman" w:hAnsi="Times New Roman"/>
          <w:color w:val="333333"/>
          <w:lang w:val="el-GR"/>
        </w:rPr>
        <w:t>-</w:t>
      </w:r>
      <w:r w:rsidRPr="00077E30">
        <w:rPr>
          <w:rFonts w:ascii="Times New Roman" w:hAnsi="Times New Roman"/>
          <w:color w:val="333333"/>
        </w:rPr>
        <w:t>CSF</w:t>
      </w:r>
      <w:r w:rsidRPr="00077E30">
        <w:rPr>
          <w:rFonts w:ascii="Arial" w:hAnsi="Arial" w:cs="Arial"/>
          <w:color w:val="333333"/>
          <w:lang w:val="el-GR"/>
        </w:rPr>
        <w:t xml:space="preserve"> </w:t>
      </w:r>
      <w:r w:rsidRPr="00077E30">
        <w:rPr>
          <w:rFonts w:ascii="Times New Roman" w:hAnsi="Times New Roman"/>
          <w:szCs w:val="22"/>
          <w:lang w:val="el-GR"/>
        </w:rPr>
        <w:t>μετά από αλλογενή μεταμόσχευση μυελού των οστών (βλ. παράγραφο 4.4 και 5.1)</w:t>
      </w:r>
    </w:p>
    <w:p w:rsidR="00C32419" w:rsidRPr="00077E30" w:rsidRDefault="00C32419" w:rsidP="00EB72A2">
      <w:pPr>
        <w:autoSpaceDE w:val="0"/>
        <w:autoSpaceDN w:val="0"/>
        <w:adjustRightInd w:val="0"/>
        <w:rPr>
          <w:rFonts w:ascii="Times New Roman" w:hAnsi="Times New Roman"/>
          <w:szCs w:val="22"/>
          <w:lang w:val="el-GR"/>
        </w:rPr>
      </w:pPr>
    </w:p>
    <w:p w:rsidR="00C32419" w:rsidRPr="0080743A" w:rsidRDefault="00C32419" w:rsidP="0080743A">
      <w:pPr>
        <w:pStyle w:val="lbltxt"/>
        <w:rPr>
          <w:bCs/>
          <w:noProof w:val="0"/>
          <w:szCs w:val="22"/>
          <w:lang w:val="el-GR"/>
        </w:rPr>
      </w:pPr>
      <w:r w:rsidRPr="00077E30">
        <w:rPr>
          <w:bCs/>
          <w:noProof w:val="0"/>
          <w:szCs w:val="22"/>
          <w:lang w:val="el-GR"/>
        </w:rPr>
        <w:t>Περιστατικά συνδρόμου διαφυγής τριχοειδών έχουν</w:t>
      </w:r>
      <w:r>
        <w:rPr>
          <w:bCs/>
          <w:noProof w:val="0"/>
          <w:szCs w:val="22"/>
          <w:lang w:val="el-GR"/>
        </w:rPr>
        <w:t xml:space="preserve"> αναφερθεί στο μετεγκριτικό περιβάλλον με την χρήση παραγόντων </w:t>
      </w:r>
      <w:r>
        <w:rPr>
          <w:lang w:val="el-GR"/>
        </w:rPr>
        <w:t>διέγερσης αποικιών κοκκιοκυττάρων. Τα περιστατικά αυτά έχουν γενικά συμβεί σε ασθενείς με προχωρημένα κακοήθη νοσήματα, σήψη, σε ασθενείς που λαμβάνουν πολλαπλές αγωγές χημειοθεραπείας ή υποβάλλονται σε αφαίρεση (βλέπε παράγραφο 4.4).</w:t>
      </w:r>
    </w:p>
    <w:p w:rsidR="00EB72A2" w:rsidRDefault="00EB72A2" w:rsidP="00EB72A2">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EB72A2" w:rsidRDefault="00EB72A2" w:rsidP="00EB72A2">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Pr>
          <w:rFonts w:ascii="Times New Roman" w:hAnsi="Times New Roman"/>
          <w:i/>
          <w:spacing w:val="-2"/>
          <w:lang w:val="el-GR"/>
        </w:rPr>
        <w:t>Ασθενείς με καρκίνο</w:t>
      </w:r>
    </w:p>
    <w:p w:rsidR="00EB72A2" w:rsidRDefault="00EB72A2" w:rsidP="00EB72A2">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EB72A2" w:rsidRDefault="00EB72A2" w:rsidP="00EB72A2">
      <w:pPr>
        <w:pStyle w:val="22"/>
      </w:pPr>
      <w:r w:rsidRPr="00A16CBB">
        <w:t xml:space="preserve">Σε  τυχαιοποιημένες,  ελεγχόμενες με εικονικό φάρμακο κλινικές δοκιμές, το GRANULOKINE δεν αύξησε τη  συχνότητα  εμφάνισης των  ανεπιθύμητων  ενεργειών  που  σχετίζονται  με  την κυτταροτοξική χημειοθεραπεία. </w:t>
      </w:r>
      <w:r>
        <w:t>Σε αυτές τις κλινικές δοκιμές α</w:t>
      </w:r>
      <w:r w:rsidRPr="00A16CBB">
        <w:t>νεπιθύμητες ενέργειες που αναφέρθηκαν με την ίδια συχνότητα σε ασθενείς που έλαβαν GRANULOKINE/ χημειοθεραπεία, και εικονικό φάρμακο/χημειοθεραπεία, περιελάμβαναν ναυτία και έμετο, αλωπεκία, διάρροια, κόπωση, ανορεξία</w:t>
      </w:r>
      <w:r>
        <w:t xml:space="preserve"> (μειωμένη όρεξη)</w:t>
      </w:r>
      <w:r w:rsidRPr="00A16CBB">
        <w:t>, φλεγμονή βλεννογόνου, κεφαλαλγία, βήχα, εξάνθημα, θωρακικό άλγος, αδυναμία, φ</w:t>
      </w:r>
      <w:r w:rsidRPr="00A16CBB">
        <w:rPr>
          <w:rFonts w:hint="eastAsia"/>
        </w:rPr>
        <w:t>αρυγγολαρυγγικό</w:t>
      </w:r>
      <w:r w:rsidRPr="00A16CBB">
        <w:t xml:space="preserve"> ά</w:t>
      </w:r>
      <w:r w:rsidRPr="00A16CBB">
        <w:rPr>
          <w:rFonts w:hint="eastAsia"/>
        </w:rPr>
        <w:t>λγος</w:t>
      </w:r>
      <w:r>
        <w:t xml:space="preserve"> (στοματοφαρρυγικό πόνος)</w:t>
      </w:r>
      <w:r w:rsidRPr="00A16CBB">
        <w:t>, δυσκοιλιότητα και άλγος.</w:t>
      </w:r>
    </w:p>
    <w:p w:rsidR="00EB72A2" w:rsidRDefault="00EB72A2" w:rsidP="00EB72A2">
      <w:pPr>
        <w:pStyle w:val="22"/>
      </w:pPr>
    </w:p>
    <w:p w:rsidR="00EB72A2" w:rsidRDefault="00EB72A2" w:rsidP="00EB72A2">
      <w:pPr>
        <w:pStyle w:val="22"/>
        <w:rPr>
          <w:szCs w:val="24"/>
        </w:rPr>
      </w:pPr>
      <w:r w:rsidRPr="00A16CBB">
        <w:t xml:space="preserve">Έχουν αναφερθεί </w:t>
      </w:r>
      <w:r>
        <w:rPr>
          <w:szCs w:val="24"/>
        </w:rPr>
        <w:t>μ</w:t>
      </w:r>
      <w:r>
        <w:t xml:space="preserve">ετά την κυκλοφορία στην αγορά </w:t>
      </w:r>
      <w:r w:rsidRPr="00A16CBB">
        <w:rPr>
          <w:szCs w:val="24"/>
        </w:rPr>
        <w:t xml:space="preserve">περιπτώσεις </w:t>
      </w:r>
      <w:r>
        <w:t xml:space="preserve">δερματικής αγγειίτιδας </w:t>
      </w:r>
      <w:r>
        <w:rPr>
          <w:szCs w:val="24"/>
        </w:rPr>
        <w:t xml:space="preserve">σε ασθενείς </w:t>
      </w:r>
      <w:r w:rsidR="00431518" w:rsidRPr="0080743A">
        <w:rPr>
          <w:szCs w:val="24"/>
        </w:rPr>
        <w:t xml:space="preserve">υπό </w:t>
      </w:r>
      <w:r>
        <w:rPr>
          <w:szCs w:val="24"/>
        </w:rPr>
        <w:t xml:space="preserve"> θεραπεία με </w:t>
      </w:r>
      <w:r>
        <w:rPr>
          <w:szCs w:val="24"/>
          <w:lang w:val="en-US"/>
        </w:rPr>
        <w:t>G</w:t>
      </w:r>
      <w:r w:rsidR="00140A8F">
        <w:rPr>
          <w:szCs w:val="24"/>
          <w:lang w:val="en-US"/>
        </w:rPr>
        <w:t>RANULOKINE</w:t>
      </w:r>
      <w:r>
        <w:rPr>
          <w:szCs w:val="24"/>
        </w:rPr>
        <w:t>. Ο</w:t>
      </w:r>
      <w:r w:rsidR="00B16D93">
        <w:rPr>
          <w:szCs w:val="24"/>
        </w:rPr>
        <w:t xml:space="preserve"> </w:t>
      </w:r>
      <w:r>
        <w:rPr>
          <w:szCs w:val="24"/>
        </w:rPr>
        <w:t xml:space="preserve">μηχανισμός τις αγγειίτιδας σε ασθενείς που λαμβάνουν </w:t>
      </w:r>
      <w:r>
        <w:rPr>
          <w:szCs w:val="24"/>
          <w:lang w:val="en-US"/>
        </w:rPr>
        <w:t>G</w:t>
      </w:r>
      <w:r w:rsidR="00140A8F">
        <w:rPr>
          <w:szCs w:val="24"/>
          <w:lang w:val="en-US"/>
        </w:rPr>
        <w:t>RANULOKINE</w:t>
      </w:r>
      <w:r w:rsidR="00140A8F" w:rsidRPr="0080743A">
        <w:rPr>
          <w:szCs w:val="24"/>
        </w:rPr>
        <w:t xml:space="preserve"> </w:t>
      </w:r>
      <w:r>
        <w:rPr>
          <w:szCs w:val="24"/>
        </w:rPr>
        <w:t>είναι άγνωστος. Η συχνότητα εκτιμάται ως όχι συχνή από κλινικά δεδομένα.</w:t>
      </w:r>
    </w:p>
    <w:p w:rsidR="00EB72A2" w:rsidRPr="00E90069" w:rsidRDefault="00EB72A2" w:rsidP="00EB72A2">
      <w:pPr>
        <w:pStyle w:val="22"/>
      </w:pPr>
    </w:p>
    <w:p w:rsidR="00EB72A2" w:rsidRDefault="00EB72A2" w:rsidP="00EB72A2">
      <w:pPr>
        <w:pStyle w:val="22"/>
        <w:rPr>
          <w:szCs w:val="24"/>
        </w:rPr>
      </w:pPr>
      <w:r w:rsidRPr="00A16CBB">
        <w:t xml:space="preserve">Έχουν αναφερθεί </w:t>
      </w:r>
      <w:r>
        <w:t>μετά την κυκλοφορία στην αγορά π</w:t>
      </w:r>
      <w:r w:rsidRPr="00A16CBB">
        <w:rPr>
          <w:szCs w:val="24"/>
        </w:rPr>
        <w:t xml:space="preserve">εριπτώσεις του </w:t>
      </w:r>
      <w:r w:rsidRPr="00A16CBB">
        <w:t>συνδρόμου Sweet (οξεία εμπύρετη δερμάτωση</w:t>
      </w:r>
      <w:r>
        <w:rPr>
          <w:szCs w:val="24"/>
        </w:rPr>
        <w:t>). Η συχνότητα εκτιμάται ως όχι συχνή από κλινικά δεδομένα.</w:t>
      </w:r>
    </w:p>
    <w:p w:rsidR="00EB72A2" w:rsidRPr="00A16CBB"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EB72A2" w:rsidRPr="00A16CBB" w:rsidRDefault="00EB72A2" w:rsidP="00EB72A2">
      <w:pPr>
        <w:pStyle w:val="a3"/>
        <w:tabs>
          <w:tab w:val="clear" w:pos="9000"/>
          <w:tab w:val="clear" w:pos="9360"/>
        </w:tabs>
        <w:suppressAutoHyphens w:val="0"/>
        <w:rPr>
          <w:rFonts w:ascii="Times New Roman" w:hAnsi="Times New Roman"/>
          <w:spacing w:val="-2"/>
          <w:lang w:val="el-GR"/>
        </w:rPr>
      </w:pPr>
      <w:r>
        <w:rPr>
          <w:rFonts w:ascii="Times New Roman" w:hAnsi="Times New Roman"/>
          <w:spacing w:val="-2"/>
          <w:lang w:val="el-GR"/>
        </w:rPr>
        <w:lastRenderedPageBreak/>
        <w:t>Σε κλινικές μελέτες και μετά την κυκλοφορία στην αγορά έ</w:t>
      </w:r>
      <w:r w:rsidRPr="00A16CBB">
        <w:rPr>
          <w:rFonts w:ascii="Times New Roman" w:hAnsi="Times New Roman"/>
          <w:spacing w:val="-2"/>
          <w:lang w:val="el-GR"/>
        </w:rPr>
        <w:t xml:space="preserve">χουν αναφερθεί πνευμονικές ανεπιθύμητες ενέργειες συμπεριλαμβανομένων διάμεσης </w:t>
      </w:r>
      <w:r w:rsidR="004C2D82">
        <w:rPr>
          <w:rFonts w:ascii="Times New Roman" w:hAnsi="Times New Roman"/>
          <w:spacing w:val="-2"/>
          <w:lang w:val="el-GR"/>
        </w:rPr>
        <w:t>πνευμονοπάθειας</w:t>
      </w:r>
      <w:r w:rsidRPr="00A16CBB">
        <w:rPr>
          <w:rFonts w:ascii="Times New Roman" w:hAnsi="Times New Roman"/>
          <w:spacing w:val="-2"/>
          <w:lang w:val="el-GR"/>
        </w:rPr>
        <w:t>, πνευμονικού οι</w:t>
      </w:r>
      <w:r>
        <w:rPr>
          <w:rFonts w:ascii="Times New Roman" w:hAnsi="Times New Roman"/>
          <w:spacing w:val="-2"/>
          <w:lang w:val="el-GR"/>
        </w:rPr>
        <w:t>δήματος και διηθήσεων πνευμόνων σ</w:t>
      </w:r>
      <w:r w:rsidRPr="00A16CBB">
        <w:rPr>
          <w:rFonts w:ascii="Times New Roman" w:hAnsi="Times New Roman"/>
          <w:spacing w:val="-2"/>
          <w:lang w:val="el-GR"/>
        </w:rPr>
        <w:t xml:space="preserve">ε μερικές περιπτώσεις η έκβαση ήταν αναπνευστική ανεπάρκεια ή σύνδρομο οξείας αναπνευστικής δυσχέρειας (ARDS), το οποίο μπορεί να είναι </w:t>
      </w:r>
      <w:r w:rsidR="004C2D82">
        <w:rPr>
          <w:rFonts w:ascii="Times New Roman" w:hAnsi="Times New Roman"/>
          <w:spacing w:val="-2"/>
          <w:lang w:val="el-GR"/>
        </w:rPr>
        <w:t>θανατηφόρο</w:t>
      </w:r>
      <w:r w:rsidRPr="00A16CBB">
        <w:rPr>
          <w:rFonts w:ascii="Times New Roman" w:hAnsi="Times New Roman"/>
          <w:spacing w:val="-2"/>
          <w:lang w:val="el-GR"/>
        </w:rPr>
        <w:t>. (βλ. παράγραφο 4.4).</w:t>
      </w:r>
    </w:p>
    <w:p w:rsidR="00EB72A2" w:rsidRPr="00A16CBB" w:rsidRDefault="00EB72A2" w:rsidP="00EB72A2">
      <w:pPr>
        <w:rPr>
          <w:rFonts w:ascii="Times New Roman" w:hAnsi="Times New Roman"/>
          <w:spacing w:val="-2"/>
          <w:lang w:val="el-GR"/>
        </w:rPr>
      </w:pPr>
    </w:p>
    <w:p w:rsidR="00EB72A2" w:rsidRPr="00A16CBB" w:rsidRDefault="00EB72A2" w:rsidP="00EB72A2">
      <w:pPr>
        <w:pStyle w:val="lbltxt"/>
        <w:rPr>
          <w:noProof w:val="0"/>
          <w:spacing w:val="-2"/>
          <w:sz w:val="24"/>
          <w:lang w:val="el-GR"/>
        </w:rPr>
      </w:pPr>
      <w:r w:rsidRPr="00A16CBB">
        <w:rPr>
          <w:noProof w:val="0"/>
          <w:spacing w:val="-2"/>
          <w:sz w:val="24"/>
          <w:lang w:val="el-GR"/>
        </w:rPr>
        <w:t>Αλλεργικού τύπου αντιδράσεις, συμπεριλαμβανομένων αναφυλαξίας, εξανθήματος, κνίδωσης, αγγειοοιδήματος, δύσπνοιας και υπότασης, οι οποίες προέκυψαν κατά την αρχική ή τις επακόλουθες χορηγήσεις, έχουν αναφερθεί σε ασθενείς με καρκίνο κατά την εμπειρία μετά την κυκλοφορία στην αγορά. Συνολικά, οι αναφορές ήταν συχνότερες μετά από ενδοφλέβια χορήγηση. Σε ορισμένες περιπτώσεις, τα συμπτώματα επανεμφανίστηκαν με την επαναχορήγηση του φαρμάκου</w:t>
      </w:r>
      <w:r w:rsidRPr="00077E30">
        <w:rPr>
          <w:noProof w:val="0"/>
          <w:spacing w:val="-2"/>
          <w:sz w:val="24"/>
          <w:lang w:val="el-GR"/>
        </w:rPr>
        <w:t>, υπονοώντας αιτιολογική συσχέτιση. Το GRANULOKINE θα πρέπει να διακόπτεται μόνιμα σε ασθενείς που</w:t>
      </w:r>
      <w:r w:rsidRPr="00A16CBB">
        <w:rPr>
          <w:noProof w:val="0"/>
          <w:spacing w:val="-2"/>
          <w:sz w:val="24"/>
          <w:lang w:val="el-GR"/>
        </w:rPr>
        <w:t xml:space="preserve"> εμφανίζουν σοβαρή αλλεργική αντίδραση.</w:t>
      </w:r>
    </w:p>
    <w:p w:rsidR="00EB72A2" w:rsidRPr="00A16CBB"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Pr="00646456"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Μετά την κυκλοφορία στην αγορά μ</w:t>
      </w:r>
      <w:r w:rsidRPr="00A16CBB">
        <w:rPr>
          <w:rFonts w:ascii="Times New Roman" w:hAnsi="Times New Roman"/>
          <w:spacing w:val="-2"/>
          <w:lang w:val="el-GR"/>
        </w:rPr>
        <w:t>εμονωμένες περιπτώσεις κρίσεων δρεπανοκυτταρικής αναιμίας έχουν αναφερθεί σε ασθενείς με δρεπανοκυτταρική αναιμία (βλ. παράγραφο 4.4).</w:t>
      </w:r>
      <w:r w:rsidR="0080743A">
        <w:rPr>
          <w:rFonts w:ascii="Times New Roman" w:hAnsi="Times New Roman"/>
          <w:spacing w:val="-2"/>
          <w:lang w:val="el-GR"/>
        </w:rPr>
        <w:t xml:space="preserve"> </w:t>
      </w:r>
      <w:r w:rsidRPr="00646456">
        <w:rPr>
          <w:rFonts w:ascii="Times New Roman" w:hAnsi="Times New Roman"/>
          <w:szCs w:val="24"/>
          <w:lang w:val="el-GR"/>
        </w:rPr>
        <w:t>Η συχνότητα εκτιμάται ως όχι συχνή από κλινικά δεδομένα.</w:t>
      </w:r>
    </w:p>
    <w:p w:rsidR="00EB72A2" w:rsidRPr="00A16CBB" w:rsidRDefault="00EB72A2" w:rsidP="00EB72A2">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EB72A2" w:rsidRDefault="00EB72A2" w:rsidP="00EB72A2">
      <w:pPr>
        <w:tabs>
          <w:tab w:val="left" w:pos="1877"/>
        </w:tabs>
        <w:spacing w:before="60" w:after="60" w:line="240" w:lineRule="atLeast"/>
        <w:rPr>
          <w:rFonts w:ascii="Times New Roman" w:hAnsi="Times New Roman"/>
          <w:szCs w:val="24"/>
          <w:lang w:val="el-GR"/>
        </w:rPr>
      </w:pPr>
      <w:r w:rsidRPr="00A16CBB">
        <w:rPr>
          <w:rFonts w:ascii="Times New Roman" w:hAnsi="Times New Roman"/>
          <w:szCs w:val="24"/>
          <w:lang w:val="el-GR"/>
        </w:rPr>
        <w:t xml:space="preserve">Ψευδο – ουρική αρθρίτιδα έχει αναφερθεί σε ασθενείς με καρκίνο οι οποίοι έλαβαν θεραπεία με </w:t>
      </w:r>
      <w:r>
        <w:rPr>
          <w:rFonts w:ascii="Times New Roman" w:hAnsi="Times New Roman"/>
          <w:szCs w:val="24"/>
        </w:rPr>
        <w:t>G</w:t>
      </w:r>
      <w:r w:rsidR="00140A8F">
        <w:rPr>
          <w:rFonts w:ascii="Times New Roman" w:hAnsi="Times New Roman"/>
          <w:szCs w:val="24"/>
        </w:rPr>
        <w:t>RANULOKINE</w:t>
      </w:r>
      <w:r w:rsidRPr="00646456">
        <w:rPr>
          <w:rFonts w:ascii="Times New Roman" w:hAnsi="Times New Roman"/>
          <w:szCs w:val="24"/>
          <w:lang w:val="el-GR"/>
        </w:rPr>
        <w:t xml:space="preserve">. </w:t>
      </w:r>
      <w:r w:rsidRPr="003B7BFC">
        <w:rPr>
          <w:rFonts w:ascii="Times New Roman" w:hAnsi="Times New Roman"/>
          <w:szCs w:val="24"/>
          <w:lang w:val="el-GR"/>
        </w:rPr>
        <w:t>Η συχνότητα εκτιμάται ως όχι συχνή από κλινικά δεδομένα.</w:t>
      </w:r>
    </w:p>
    <w:p w:rsidR="00094F1E" w:rsidRPr="00646456" w:rsidRDefault="00094F1E" w:rsidP="00EB72A2">
      <w:pPr>
        <w:tabs>
          <w:tab w:val="left" w:pos="1877"/>
        </w:tabs>
        <w:spacing w:before="60" w:after="60" w:line="240" w:lineRule="atLeast"/>
        <w:rPr>
          <w:rFonts w:ascii="Times New Roman" w:hAnsi="Times New Roman"/>
          <w:szCs w:val="24"/>
          <w:lang w:val="el-GR"/>
        </w:rPr>
      </w:pPr>
    </w:p>
    <w:p w:rsidR="00094F1E" w:rsidRPr="00A16CBB" w:rsidRDefault="00094F1E" w:rsidP="00094F1E">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A16CBB">
        <w:rPr>
          <w:rFonts w:ascii="Times New Roman" w:hAnsi="Times New Roman"/>
          <w:i/>
          <w:spacing w:val="-2"/>
          <w:lang w:val="el-GR"/>
        </w:rPr>
        <w:t xml:space="preserve">Στην κινητοποίηση </w:t>
      </w:r>
      <w:r w:rsidR="004C2D82">
        <w:rPr>
          <w:rFonts w:ascii="Times New Roman" w:hAnsi="Times New Roman"/>
          <w:i/>
          <w:spacing w:val="-2"/>
        </w:rPr>
        <w:t>PBRC</w:t>
      </w:r>
      <w:r w:rsidRPr="00A16CBB">
        <w:rPr>
          <w:rFonts w:ascii="Times New Roman" w:hAnsi="Times New Roman"/>
          <w:i/>
          <w:spacing w:val="-2"/>
          <w:lang w:val="el-GR"/>
        </w:rPr>
        <w:t xml:space="preserve"> σε υγιείς δότες </w:t>
      </w:r>
    </w:p>
    <w:p w:rsidR="00094F1E" w:rsidRPr="0080743A"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A16CBB">
        <w:rPr>
          <w:rFonts w:ascii="Times New Roman" w:hAnsi="Times New Roman"/>
          <w:spacing w:val="-2"/>
          <w:lang w:val="el-GR"/>
        </w:rPr>
        <w:t xml:space="preserve">Υπήρξαν συχνά αλλά γενικά ασυμπτωματικά περιστατικά σπληνομεγαλίας και </w:t>
      </w:r>
      <w:r w:rsidR="00B73FED">
        <w:rPr>
          <w:rFonts w:ascii="Times New Roman" w:hAnsi="Times New Roman"/>
          <w:spacing w:val="-2"/>
          <w:lang w:val="el-GR"/>
        </w:rPr>
        <w:t>όχι συχνές</w:t>
      </w:r>
      <w:r w:rsidR="00B73FED" w:rsidRPr="00A16CBB">
        <w:rPr>
          <w:rFonts w:ascii="Times New Roman" w:hAnsi="Times New Roman"/>
          <w:spacing w:val="-2"/>
          <w:lang w:val="el-GR"/>
        </w:rPr>
        <w:t xml:space="preserve"> </w:t>
      </w:r>
      <w:r w:rsidRPr="00A16CBB">
        <w:rPr>
          <w:rFonts w:ascii="Times New Roman" w:hAnsi="Times New Roman"/>
          <w:spacing w:val="-2"/>
          <w:lang w:val="el-GR"/>
        </w:rPr>
        <w:t>περιπτώσεις ρήξης σπληνός σε υγιείς δότες και ασθενείς μετά τη χορήγηση παραγόντων διέγερσης αποικιών</w:t>
      </w:r>
      <w:r w:rsidRPr="00A16CBB">
        <w:rPr>
          <w:rFonts w:ascii="Times New Roman" w:hAnsi="Times New Roman"/>
          <w:color w:val="FF00FF"/>
          <w:spacing w:val="-2"/>
          <w:lang w:val="el-GR"/>
        </w:rPr>
        <w:t xml:space="preserve"> </w:t>
      </w:r>
      <w:r w:rsidRPr="00A16CBB">
        <w:rPr>
          <w:rFonts w:ascii="Times New Roman" w:hAnsi="Times New Roman"/>
          <w:spacing w:val="-2"/>
          <w:lang w:val="el-GR"/>
        </w:rPr>
        <w:t>κοκκιοκυττάρων (</w:t>
      </w:r>
      <w:r w:rsidRPr="00A16CBB">
        <w:rPr>
          <w:rFonts w:ascii="Times New Roman" w:hAnsi="Times New Roman"/>
          <w:spacing w:val="-2"/>
        </w:rPr>
        <w:t>G</w:t>
      </w:r>
      <w:r w:rsidRPr="00A16CBB">
        <w:rPr>
          <w:rFonts w:ascii="Times New Roman" w:hAnsi="Times New Roman"/>
          <w:spacing w:val="-2"/>
          <w:lang w:val="el-GR"/>
        </w:rPr>
        <w:t>-</w:t>
      </w:r>
      <w:r w:rsidRPr="00A16CBB">
        <w:rPr>
          <w:rFonts w:ascii="Times New Roman" w:hAnsi="Times New Roman"/>
          <w:spacing w:val="-2"/>
        </w:rPr>
        <w:t>CSFs</w:t>
      </w:r>
      <w:r w:rsidRPr="00A16CBB">
        <w:rPr>
          <w:rFonts w:ascii="Times New Roman" w:hAnsi="Times New Roman"/>
          <w:spacing w:val="-2"/>
          <w:lang w:val="el-GR"/>
        </w:rPr>
        <w:t>)  (βλ. παράγραφο 4.4).</w:t>
      </w:r>
    </w:p>
    <w:p w:rsidR="00B73FED" w:rsidRPr="0080743A" w:rsidRDefault="00B73FED"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B73FED" w:rsidRPr="00B73FED" w:rsidRDefault="00B73FED"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Π</w:t>
      </w:r>
      <w:r w:rsidRPr="00A16CBB">
        <w:rPr>
          <w:rFonts w:ascii="Times New Roman" w:hAnsi="Times New Roman"/>
          <w:spacing w:val="-2"/>
          <w:lang w:val="el-GR"/>
        </w:rPr>
        <w:t>νευμονικές ανεπιθύμητες ενέργειες (αιμόπτυση, πνευμονική αιμορραγία, διηθήσεις πνευμόνων</w:t>
      </w:r>
      <w:r>
        <w:rPr>
          <w:rFonts w:ascii="Times New Roman" w:hAnsi="Times New Roman"/>
          <w:spacing w:val="-2"/>
          <w:lang w:val="el-GR"/>
        </w:rPr>
        <w:t>, δύσπνοια</w:t>
      </w:r>
      <w:r w:rsidRPr="00A16CBB">
        <w:rPr>
          <w:rFonts w:ascii="Times New Roman" w:hAnsi="Times New Roman"/>
          <w:spacing w:val="-2"/>
          <w:lang w:val="el-GR"/>
        </w:rPr>
        <w:t xml:space="preserve"> και υποξία) έχουν αναφερθεί </w:t>
      </w:r>
      <w:r>
        <w:rPr>
          <w:rFonts w:ascii="Times New Roman" w:hAnsi="Times New Roman"/>
          <w:spacing w:val="-2"/>
          <w:lang w:val="el-GR"/>
        </w:rPr>
        <w:t>(βλ. παράγραφο 4.4)</w:t>
      </w:r>
      <w:r w:rsidRPr="00A16CBB">
        <w:rPr>
          <w:rFonts w:ascii="Times New Roman" w:hAnsi="Times New Roman"/>
          <w:spacing w:val="-2"/>
          <w:lang w:val="el-GR"/>
        </w:rPr>
        <w:t>.</w:t>
      </w:r>
    </w:p>
    <w:p w:rsidR="00094F1E" w:rsidRPr="003B7BFC"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Pr="003B7BFC" w:rsidRDefault="00B73FED"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Όχι συχνά</w:t>
      </w:r>
      <w:r w:rsidRPr="00A16CBB">
        <w:rPr>
          <w:rFonts w:ascii="Times New Roman" w:hAnsi="Times New Roman"/>
          <w:spacing w:val="-2"/>
          <w:lang w:val="el-GR"/>
        </w:rPr>
        <w:t xml:space="preserve"> </w:t>
      </w:r>
      <w:r w:rsidR="00094F1E" w:rsidRPr="00A16CBB">
        <w:rPr>
          <w:rFonts w:ascii="Times New Roman" w:hAnsi="Times New Roman"/>
          <w:spacing w:val="-2"/>
          <w:lang w:val="el-GR"/>
        </w:rPr>
        <w:t xml:space="preserve">έχει παρατηρηθεί επιδείνωση αρθριτικών συμπτωμάτων.  </w:t>
      </w:r>
    </w:p>
    <w:p w:rsidR="00094F1E" w:rsidRPr="003B7BFC"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Pr="00A16CBB"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A16CBB">
        <w:rPr>
          <w:rFonts w:ascii="Times New Roman" w:hAnsi="Times New Roman"/>
          <w:spacing w:val="-2"/>
          <w:lang w:val="el-GR"/>
        </w:rPr>
        <w:t>Λευκοκυττάρωση (αριθμός λευκών αιμοσφαιρίων (</w:t>
      </w:r>
      <w:r w:rsidRPr="00A16CBB">
        <w:rPr>
          <w:rFonts w:ascii="Times New Roman" w:hAnsi="Times New Roman"/>
          <w:spacing w:val="-2"/>
        </w:rPr>
        <w:t>WBC</w:t>
      </w:r>
      <w:r w:rsidRPr="00A16CBB">
        <w:rPr>
          <w:rFonts w:ascii="Times New Roman" w:hAnsi="Times New Roman"/>
          <w:spacing w:val="-2"/>
          <w:lang w:val="el-GR"/>
        </w:rPr>
        <w:t xml:space="preserve">) &gt;50 </w:t>
      </w:r>
      <w:r w:rsidRPr="00A16CBB">
        <w:rPr>
          <w:rFonts w:ascii="Times New Roman" w:hAnsi="Times New Roman"/>
          <w:spacing w:val="-2"/>
        </w:rPr>
        <w:t>x</w:t>
      </w:r>
      <w:r w:rsidRPr="00A16CBB">
        <w:rPr>
          <w:rFonts w:ascii="Times New Roman" w:hAnsi="Times New Roman"/>
          <w:spacing w:val="-2"/>
          <w:lang w:val="el-GR"/>
        </w:rPr>
        <w:t xml:space="preserve"> 10</w:t>
      </w:r>
      <w:r w:rsidRPr="00A16CBB">
        <w:rPr>
          <w:rFonts w:ascii="Times New Roman" w:hAnsi="Times New Roman"/>
          <w:spacing w:val="-2"/>
          <w:vertAlign w:val="superscript"/>
          <w:lang w:val="el-GR"/>
        </w:rPr>
        <w:t>9</w:t>
      </w:r>
      <w:r w:rsidRPr="00A16CBB">
        <w:rPr>
          <w:rFonts w:ascii="Times New Roman" w:hAnsi="Times New Roman"/>
          <w:spacing w:val="-2"/>
          <w:lang w:val="el-GR"/>
        </w:rPr>
        <w:t>/</w:t>
      </w:r>
      <w:r w:rsidRPr="00A16CBB">
        <w:rPr>
          <w:rFonts w:ascii="Times New Roman" w:hAnsi="Times New Roman"/>
          <w:spacing w:val="-2"/>
        </w:rPr>
        <w:t>l</w:t>
      </w:r>
      <w:r w:rsidRPr="00A16CBB">
        <w:rPr>
          <w:rFonts w:ascii="Times New Roman" w:hAnsi="Times New Roman"/>
          <w:spacing w:val="-2"/>
          <w:lang w:val="el-GR"/>
        </w:rPr>
        <w:t xml:space="preserve">) παρατηρήθηκε σε ποσοστό 41% των δοτών και παροδική θρομβοπενία (αριθμός αιμοπεταλίων &lt;100 </w:t>
      </w:r>
      <w:r w:rsidRPr="00A16CBB">
        <w:rPr>
          <w:rFonts w:ascii="Times New Roman" w:hAnsi="Times New Roman"/>
          <w:spacing w:val="-2"/>
        </w:rPr>
        <w:t>x</w:t>
      </w:r>
      <w:r w:rsidRPr="00A16CBB">
        <w:rPr>
          <w:rFonts w:ascii="Times New Roman" w:hAnsi="Times New Roman"/>
          <w:spacing w:val="-2"/>
          <w:lang w:val="el-GR"/>
        </w:rPr>
        <w:t xml:space="preserve"> 10</w:t>
      </w:r>
      <w:r w:rsidRPr="00A16CBB">
        <w:rPr>
          <w:rFonts w:ascii="Times New Roman" w:hAnsi="Times New Roman"/>
          <w:spacing w:val="-2"/>
          <w:vertAlign w:val="superscript"/>
          <w:lang w:val="el-GR"/>
        </w:rPr>
        <w:t>9</w:t>
      </w:r>
      <w:r w:rsidRPr="00A16CBB">
        <w:rPr>
          <w:rFonts w:ascii="Times New Roman" w:hAnsi="Times New Roman"/>
          <w:spacing w:val="-2"/>
          <w:lang w:val="el-GR"/>
        </w:rPr>
        <w:t>/</w:t>
      </w:r>
      <w:r w:rsidRPr="00A16CBB">
        <w:rPr>
          <w:rFonts w:ascii="Times New Roman" w:hAnsi="Times New Roman"/>
          <w:spacing w:val="-2"/>
        </w:rPr>
        <w:t>l</w:t>
      </w:r>
      <w:r w:rsidRPr="00A16CBB">
        <w:rPr>
          <w:rFonts w:ascii="Times New Roman" w:hAnsi="Times New Roman"/>
          <w:spacing w:val="-2"/>
          <w:lang w:val="el-GR"/>
        </w:rPr>
        <w:t xml:space="preserve">) κατόπιν χορήγησης </w:t>
      </w:r>
      <w:r w:rsidRPr="00A16CBB">
        <w:rPr>
          <w:rFonts w:ascii="Times New Roman" w:hAnsi="Times New Roman"/>
          <w:spacing w:val="-2"/>
        </w:rPr>
        <w:t>filgrastim</w:t>
      </w:r>
      <w:r w:rsidRPr="00A16CBB">
        <w:rPr>
          <w:rFonts w:ascii="Times New Roman" w:hAnsi="Times New Roman"/>
          <w:spacing w:val="-2"/>
          <w:lang w:val="el-GR"/>
        </w:rPr>
        <w:t xml:space="preserve"> και λευκαφαίρεση παρατηρήθηκε σε ποσοστό 35% των δοτών.</w:t>
      </w:r>
    </w:p>
    <w:p w:rsidR="00094F1E" w:rsidRPr="00A16CBB"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Pr="005F4A07"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Pr="004C2D82"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r w:rsidRPr="00A16CBB">
        <w:rPr>
          <w:rFonts w:ascii="Times New Roman" w:hAnsi="Times New Roman"/>
          <w:i/>
          <w:spacing w:val="-2"/>
          <w:lang w:val="el-GR"/>
        </w:rPr>
        <w:t xml:space="preserve">Σε ασθενείς με </w:t>
      </w:r>
      <w:r w:rsidR="004C2D82">
        <w:rPr>
          <w:rFonts w:ascii="Times New Roman" w:hAnsi="Times New Roman"/>
          <w:i/>
          <w:spacing w:val="-2"/>
        </w:rPr>
        <w:t>SCN</w:t>
      </w:r>
    </w:p>
    <w:p w:rsidR="00094F1E" w:rsidRPr="0066146A"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094F1E"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Α</w:t>
      </w:r>
      <w:r w:rsidRPr="00A16CBB">
        <w:rPr>
          <w:rFonts w:ascii="Times New Roman" w:hAnsi="Times New Roman"/>
          <w:spacing w:val="-2"/>
          <w:lang w:val="el-GR"/>
        </w:rPr>
        <w:t xml:space="preserve">νεπιθύμητες ενέργειες που παρατηρήθηκαν περιελάμβαναν σπληνομεγαλία που μπορεί να  είναι εξελίξιμη σε ένα μικρό αριθμό περιστατικών και θρομβοπενία.  </w:t>
      </w:r>
    </w:p>
    <w:p w:rsidR="00094F1E" w:rsidRPr="00A16CBB"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A16CBB">
        <w:rPr>
          <w:rFonts w:ascii="Times New Roman" w:hAnsi="Times New Roman"/>
          <w:spacing w:val="-2"/>
          <w:lang w:val="el-GR"/>
        </w:rPr>
        <w:t>Ανεπιθύμητες ενέργειες που πιθανά σχετίζονταν με την αγωγή GRANULOKINE και που τυπικά παρατηρήθηκαν σε &lt;2% των ασθενών με σοβαρή χρόνια ουδετεροπενία ήταν αντιδράσεις στην θέση της ένεσης, κεφαλαλγία, ηπατομεγαλία, αρθραλγία, αλωπεκία, οστεοπόρωση και εξάνθημα.</w:t>
      </w:r>
    </w:p>
    <w:p w:rsidR="00094F1E" w:rsidRPr="00A16CBB"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Pr="004A46F5" w:rsidRDefault="00094F1E" w:rsidP="00094F1E">
      <w:pPr>
        <w:pStyle w:val="32"/>
        <w:rPr>
          <w:b w:val="0"/>
        </w:rPr>
      </w:pPr>
      <w:r w:rsidRPr="004A46F5">
        <w:rPr>
          <w:b w:val="0"/>
        </w:rPr>
        <w:t xml:space="preserve">Κατά τη διάρκεια μακροχρόνιας χρήσης αναφέρθηκε δερματική αγγειίτιδα σε ποσοστό 2% των ασθενών με σοβαρή χρόνια ουδετεροπενία.  </w:t>
      </w:r>
    </w:p>
    <w:p w:rsidR="00094F1E" w:rsidRDefault="00094F1E" w:rsidP="00094F1E">
      <w:pPr>
        <w:pStyle w:val="32"/>
      </w:pPr>
    </w:p>
    <w:p w:rsidR="00094F1E" w:rsidRPr="00A16CBB" w:rsidRDefault="00094F1E" w:rsidP="00094F1E">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i/>
          <w:spacing w:val="-2"/>
          <w:lang w:val="el-GR"/>
        </w:rPr>
      </w:pPr>
      <w:r w:rsidRPr="00A16CBB">
        <w:rPr>
          <w:rFonts w:ascii="Times New Roman" w:hAnsi="Times New Roman"/>
          <w:i/>
          <w:spacing w:val="-2"/>
          <w:lang w:val="el-GR"/>
        </w:rPr>
        <w:t>Σε ασθενείς με HIV</w:t>
      </w:r>
    </w:p>
    <w:p w:rsidR="00094F1E" w:rsidRPr="00A16CBB" w:rsidRDefault="00094F1E" w:rsidP="00094F1E">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sz w:val="20"/>
          <w:lang w:val="el-GR"/>
        </w:rPr>
      </w:pPr>
    </w:p>
    <w:p w:rsidR="00094F1E" w:rsidRDefault="00094F1E" w:rsidP="00094F1E">
      <w:pPr>
        <w:pStyle w:val="22"/>
        <w:tabs>
          <w:tab w:val="clear" w:pos="0"/>
          <w:tab w:val="clear" w:pos="589"/>
          <w:tab w:val="left" w:pos="-284"/>
          <w:tab w:val="left" w:pos="1418"/>
          <w:tab w:val="left" w:pos="2127"/>
        </w:tabs>
      </w:pPr>
      <w:r w:rsidRPr="00A16CBB">
        <w:t xml:space="preserve">Αναφέρθηκε σπληνομεγαλία σχετιζόμενη με τη θεραπεία με GRANULOKINE σε ποσοστό μικρότερο του 3% των ασθενών.  Σε όλες τις περιπτώσεις αυτή ήταν ήπια έως μέτρια κατά την κλινική εξέταση και η κλινική πορεία ήταν καλοήθης. Κανένας ασθενής δεν είχε διάγνωση υπερσπληνισμού ούτε </w:t>
      </w:r>
      <w:r w:rsidRPr="00A16CBB">
        <w:lastRenderedPageBreak/>
        <w:t xml:space="preserve">υποβλήθηκε σε σπληνεκτομή. Καθώς η σπληνομεγαλία είναι κοινό εύρημα σε ασθενείς με HIV λοίμωξη και είναι παρούσα σε </w:t>
      </w:r>
      <w:r w:rsidR="00B73FED" w:rsidRPr="00A16CBB">
        <w:t>ποικίλους</w:t>
      </w:r>
      <w:r w:rsidRPr="00A16CBB">
        <w:t xml:space="preserve"> βαθμούς στους περισσότερους ασθενείς με AIDS, η συσχέτιση αυτής με τη θεραπεία με GRANULOKINE είναι ασαφής. </w:t>
      </w:r>
    </w:p>
    <w:p w:rsidR="00C32419" w:rsidRPr="0080743A" w:rsidRDefault="00C32419" w:rsidP="00094F1E">
      <w:pPr>
        <w:pStyle w:val="22"/>
        <w:tabs>
          <w:tab w:val="clear" w:pos="0"/>
          <w:tab w:val="clear" w:pos="589"/>
          <w:tab w:val="left" w:pos="-284"/>
          <w:tab w:val="left" w:pos="1418"/>
          <w:tab w:val="left" w:pos="2127"/>
        </w:tabs>
      </w:pPr>
    </w:p>
    <w:p w:rsidR="00094F1E" w:rsidRPr="0080743A"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Pr="0080743A"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80743A">
        <w:rPr>
          <w:rFonts w:ascii="Times New Roman" w:hAnsi="Times New Roman"/>
          <w:spacing w:val="-2"/>
          <w:lang w:val="el-GR"/>
        </w:rPr>
        <w:t xml:space="preserve">δ. Παιδιατρικός πληθυσμός </w:t>
      </w:r>
    </w:p>
    <w:p w:rsidR="00094F1E" w:rsidRPr="0080743A"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color w:val="FF0000"/>
          <w:spacing w:val="-2"/>
          <w:lang w:val="el-GR"/>
        </w:rPr>
      </w:pPr>
    </w:p>
    <w:p w:rsidR="00094F1E"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Δεδομένα από κλινικές μελέτες σε παιδιατρικούς ασθενείς δείχνουν ότι η ασφάλεια και η αποτελεσματικότητα του </w:t>
      </w:r>
      <w:r>
        <w:rPr>
          <w:rFonts w:ascii="Times New Roman" w:hAnsi="Times New Roman"/>
          <w:spacing w:val="-2"/>
        </w:rPr>
        <w:t>G</w:t>
      </w:r>
      <w:r w:rsidR="00517307">
        <w:rPr>
          <w:rFonts w:ascii="Times New Roman" w:hAnsi="Times New Roman"/>
          <w:spacing w:val="-2"/>
        </w:rPr>
        <w:t>RANULOKINE</w:t>
      </w:r>
      <w:r w:rsidRPr="0052509B">
        <w:rPr>
          <w:rFonts w:ascii="Times New Roman" w:hAnsi="Times New Roman"/>
          <w:spacing w:val="-2"/>
          <w:lang w:val="el-GR"/>
        </w:rPr>
        <w:t xml:space="preserve"> </w:t>
      </w:r>
      <w:r>
        <w:rPr>
          <w:rFonts w:ascii="Times New Roman" w:hAnsi="Times New Roman"/>
          <w:spacing w:val="-2"/>
          <w:lang w:val="el-GR"/>
        </w:rPr>
        <w:t xml:space="preserve">είναι όμοια και στα παιδιά και στους ενήλικες που λαμβάνουν κυτταροτοξική χημειοθεραπεία </w:t>
      </w:r>
      <w:r w:rsidR="00F33236">
        <w:rPr>
          <w:rFonts w:ascii="Times New Roman" w:hAnsi="Times New Roman"/>
          <w:spacing w:val="-2"/>
          <w:lang w:val="el-GR"/>
        </w:rPr>
        <w:t xml:space="preserve">προτείνοντας </w:t>
      </w:r>
      <w:r>
        <w:rPr>
          <w:rFonts w:ascii="Times New Roman" w:hAnsi="Times New Roman"/>
          <w:spacing w:val="-2"/>
          <w:lang w:val="el-GR"/>
        </w:rPr>
        <w:t>ότι δεν υπάρχει διαφορά ηλικιακής συσχέτισης στην φαρμακοκιν</w:t>
      </w:r>
      <w:r w:rsidR="004C2D82">
        <w:rPr>
          <w:rFonts w:ascii="Times New Roman" w:hAnsi="Times New Roman"/>
          <w:spacing w:val="-2"/>
          <w:lang w:val="el-GR"/>
        </w:rPr>
        <w:t>η</w:t>
      </w:r>
      <w:r>
        <w:rPr>
          <w:rFonts w:ascii="Times New Roman" w:hAnsi="Times New Roman"/>
          <w:spacing w:val="-2"/>
          <w:lang w:val="el-GR"/>
        </w:rPr>
        <w:t xml:space="preserve">τική του </w:t>
      </w:r>
      <w:r>
        <w:rPr>
          <w:rFonts w:ascii="Times New Roman" w:hAnsi="Times New Roman"/>
          <w:spacing w:val="-2"/>
        </w:rPr>
        <w:t>filgrastim</w:t>
      </w:r>
      <w:r w:rsidRPr="00EF57F3">
        <w:rPr>
          <w:rFonts w:ascii="Times New Roman" w:hAnsi="Times New Roman"/>
          <w:spacing w:val="-2"/>
          <w:lang w:val="el-GR"/>
        </w:rPr>
        <w:t>.</w:t>
      </w:r>
      <w:r>
        <w:rPr>
          <w:rFonts w:ascii="Times New Roman" w:hAnsi="Times New Roman"/>
          <w:spacing w:val="-2"/>
          <w:lang w:val="el-GR"/>
        </w:rPr>
        <w:t xml:space="preserve"> </w:t>
      </w:r>
      <w:r>
        <w:rPr>
          <w:rFonts w:ascii="Times New Roman" w:hAnsi="Times New Roman"/>
          <w:spacing w:val="-2"/>
        </w:rPr>
        <w:t>H</w:t>
      </w:r>
      <w:r w:rsidRPr="00EF57F3">
        <w:rPr>
          <w:rFonts w:ascii="Times New Roman" w:hAnsi="Times New Roman"/>
          <w:spacing w:val="-2"/>
          <w:lang w:val="el-GR"/>
        </w:rPr>
        <w:t xml:space="preserve"> </w:t>
      </w:r>
      <w:r>
        <w:rPr>
          <w:rFonts w:ascii="Times New Roman" w:hAnsi="Times New Roman"/>
          <w:spacing w:val="-2"/>
          <w:lang w:val="el-GR"/>
        </w:rPr>
        <w:t>μόνη συνεχώς αναφερόμενη ανεπιθύμητη ενέργεια ήταν ο μυοσκελετικός πόνος η οποία δεν διαφέρει από την εμπειρία του ενηλίκου πληθυσμού.</w:t>
      </w:r>
    </w:p>
    <w:p w:rsidR="00094F1E"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Pr="0080743A"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Υπάρχουν ανεπαρκή δεδομένα για να αξιολογηθεί η περαιτέρω χρήση του </w:t>
      </w:r>
      <w:r>
        <w:rPr>
          <w:rFonts w:ascii="Times New Roman" w:hAnsi="Times New Roman"/>
          <w:spacing w:val="-2"/>
        </w:rPr>
        <w:t>G</w:t>
      </w:r>
      <w:r w:rsidR="009526AD">
        <w:rPr>
          <w:rFonts w:ascii="Times New Roman" w:hAnsi="Times New Roman"/>
          <w:spacing w:val="-2"/>
        </w:rPr>
        <w:t>RANULOKINE</w:t>
      </w:r>
      <w:r w:rsidRPr="00EF57F3">
        <w:rPr>
          <w:rFonts w:ascii="Times New Roman" w:hAnsi="Times New Roman"/>
          <w:spacing w:val="-2"/>
          <w:lang w:val="el-GR"/>
        </w:rPr>
        <w:t xml:space="preserve"> </w:t>
      </w:r>
      <w:r>
        <w:rPr>
          <w:rFonts w:ascii="Times New Roman" w:hAnsi="Times New Roman"/>
          <w:spacing w:val="-2"/>
          <w:lang w:val="el-GR"/>
        </w:rPr>
        <w:t>σε παιδιατρικούς ασθενείς.</w:t>
      </w:r>
    </w:p>
    <w:p w:rsidR="00094F1E" w:rsidRPr="0080743A"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 xml:space="preserve">ε. Άλλοι ειδικοί πληθυσμοί </w:t>
      </w:r>
    </w:p>
    <w:p w:rsidR="00094F1E"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Pr>
          <w:rFonts w:ascii="Times New Roman" w:hAnsi="Times New Roman"/>
          <w:spacing w:val="-2"/>
          <w:lang w:val="el-GR"/>
        </w:rPr>
        <w:t>Χρήση σε ηλικιωμένους</w:t>
      </w:r>
    </w:p>
    <w:p w:rsidR="00094F1E"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94F1E" w:rsidRPr="003B7BFC" w:rsidRDefault="00094F1E" w:rsidP="00094F1E">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Pr>
          <w:rFonts w:ascii="Times New Roman" w:hAnsi="Times New Roman"/>
          <w:spacing w:val="-2"/>
          <w:lang w:val="el-GR"/>
        </w:rPr>
        <w:t xml:space="preserve">Δεν παρατηρήθηκαν σημαντικές διαφορές στην ασφάλεια και αποτελεσματικότητα ανάμεσα σε ασθενείς ηλικίας άνω των 65 ετών σε σύγκριση με τους νεότερους ενήλικες (&gt; 18 ετών) που λαμβάνουν κυτταροτοξική χημειοθεραπεία και </w:t>
      </w:r>
      <w:r w:rsidR="00F33236">
        <w:rPr>
          <w:rFonts w:ascii="Times New Roman" w:hAnsi="Times New Roman"/>
          <w:spacing w:val="-2"/>
          <w:lang w:val="el-GR"/>
        </w:rPr>
        <w:t xml:space="preserve">η </w:t>
      </w:r>
      <w:r>
        <w:rPr>
          <w:rFonts w:ascii="Times New Roman" w:hAnsi="Times New Roman"/>
          <w:spacing w:val="-2"/>
          <w:lang w:val="el-GR"/>
        </w:rPr>
        <w:t xml:space="preserve">κλινική εμπειρία δεν έχει εντοπίσει διαφορές σε αποκρίσεις ανάμεσα σε ηλικιωμένους και σε νεότερους ενήλικες ασθενείς.  Υπάρχουν ανεπαρκή δεδομένα για να αξιολογηθεί η περαιτέρω χρήση του </w:t>
      </w:r>
      <w:r>
        <w:rPr>
          <w:rFonts w:ascii="Times New Roman" w:hAnsi="Times New Roman"/>
          <w:spacing w:val="-2"/>
        </w:rPr>
        <w:t>G</w:t>
      </w:r>
      <w:r w:rsidR="009526AD">
        <w:rPr>
          <w:rFonts w:ascii="Times New Roman" w:hAnsi="Times New Roman"/>
          <w:spacing w:val="-2"/>
        </w:rPr>
        <w:t>RANULOKINE</w:t>
      </w:r>
      <w:r w:rsidRPr="00EF57F3">
        <w:rPr>
          <w:rFonts w:ascii="Times New Roman" w:hAnsi="Times New Roman"/>
          <w:spacing w:val="-2"/>
          <w:lang w:val="el-GR"/>
        </w:rPr>
        <w:t xml:space="preserve"> </w:t>
      </w:r>
      <w:r>
        <w:rPr>
          <w:rFonts w:ascii="Times New Roman" w:hAnsi="Times New Roman"/>
          <w:spacing w:val="-2"/>
          <w:lang w:val="el-GR"/>
        </w:rPr>
        <w:t xml:space="preserve">σε ηλικιωμένους ασθενείς για άλλες εγκεκριμένες ενδείξεις του </w:t>
      </w:r>
      <w:r>
        <w:rPr>
          <w:rFonts w:ascii="Times New Roman" w:hAnsi="Times New Roman"/>
          <w:spacing w:val="-2"/>
        </w:rPr>
        <w:t>G</w:t>
      </w:r>
      <w:r w:rsidR="009526AD">
        <w:rPr>
          <w:rFonts w:ascii="Times New Roman" w:hAnsi="Times New Roman"/>
          <w:spacing w:val="-2"/>
        </w:rPr>
        <w:t>RANULOKINE</w:t>
      </w:r>
      <w:r w:rsidRPr="00DA3AE8">
        <w:rPr>
          <w:rFonts w:ascii="Times New Roman" w:hAnsi="Times New Roman"/>
          <w:spacing w:val="-2"/>
          <w:lang w:val="el-GR"/>
        </w:rPr>
        <w:t>.</w:t>
      </w:r>
    </w:p>
    <w:p w:rsidR="00094F1E" w:rsidRDefault="00094F1E" w:rsidP="00FC2B92">
      <w:pPr>
        <w:tabs>
          <w:tab w:val="left" w:pos="-851"/>
          <w:tab w:val="left" w:pos="-131"/>
          <w:tab w:val="left" w:pos="0"/>
          <w:tab w:val="left" w:pos="58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i/>
          <w:spacing w:val="-2"/>
          <w:lang w:val="el-GR"/>
        </w:rPr>
      </w:pPr>
    </w:p>
    <w:p w:rsidR="008A13D4" w:rsidRDefault="008A13D4" w:rsidP="008A13D4">
      <w:pPr>
        <w:pStyle w:val="22"/>
        <w:tabs>
          <w:tab w:val="clear" w:pos="0"/>
          <w:tab w:val="clear" w:pos="589"/>
          <w:tab w:val="left" w:pos="-284"/>
          <w:tab w:val="left" w:pos="1418"/>
          <w:tab w:val="left" w:pos="2127"/>
        </w:tabs>
        <w:rPr>
          <w:highlight w:val="yellow"/>
        </w:rPr>
      </w:pPr>
    </w:p>
    <w:p w:rsidR="008A13D4" w:rsidRPr="00A971A6" w:rsidRDefault="008A13D4" w:rsidP="008A13D4">
      <w:pPr>
        <w:pStyle w:val="22"/>
        <w:tabs>
          <w:tab w:val="clear" w:pos="0"/>
          <w:tab w:val="clear" w:pos="589"/>
          <w:tab w:val="left" w:pos="-284"/>
          <w:tab w:val="left" w:pos="1418"/>
          <w:tab w:val="left" w:pos="2127"/>
        </w:tabs>
      </w:pPr>
      <w:r w:rsidRPr="00A971A6">
        <w:t xml:space="preserve">Παιδιατρικοί ασθενείς με </w:t>
      </w:r>
      <w:r w:rsidR="004C2D82" w:rsidRPr="00A971A6">
        <w:rPr>
          <w:lang w:val="en-US"/>
        </w:rPr>
        <w:t>SCN</w:t>
      </w:r>
    </w:p>
    <w:p w:rsidR="008A13D4" w:rsidRPr="00A971A6" w:rsidRDefault="008A13D4" w:rsidP="008A13D4">
      <w:pPr>
        <w:pStyle w:val="22"/>
        <w:tabs>
          <w:tab w:val="clear" w:pos="0"/>
          <w:tab w:val="clear" w:pos="589"/>
          <w:tab w:val="left" w:pos="-284"/>
          <w:tab w:val="left" w:pos="1418"/>
          <w:tab w:val="left" w:pos="2127"/>
        </w:tabs>
      </w:pPr>
    </w:p>
    <w:p w:rsidR="008A13D4" w:rsidRPr="00D512B8" w:rsidRDefault="008A13D4" w:rsidP="008A13D4">
      <w:pPr>
        <w:pStyle w:val="22"/>
        <w:tabs>
          <w:tab w:val="clear" w:pos="0"/>
          <w:tab w:val="clear" w:pos="589"/>
          <w:tab w:val="left" w:pos="-284"/>
          <w:tab w:val="left" w:pos="1418"/>
          <w:tab w:val="left" w:pos="2127"/>
        </w:tabs>
      </w:pPr>
      <w:r w:rsidRPr="00A971A6">
        <w:t xml:space="preserve">Περιπτώσεις με </w:t>
      </w:r>
      <w:r w:rsidR="009526AD" w:rsidRPr="00A971A6">
        <w:t>μειωμένη</w:t>
      </w:r>
      <w:r w:rsidRPr="00A971A6">
        <w:t xml:space="preserve"> πυκνότητα των οστών και οστεοπόρωση έχουν αναφερθεί σε παιδιατρικούς ασθενείς με σοβαρή χρόνια ουδετεροπενία που </w:t>
      </w:r>
      <w:r w:rsidR="009526AD" w:rsidRPr="00A971A6">
        <w:t>λαμβάνουν</w:t>
      </w:r>
      <w:r w:rsidRPr="00A971A6">
        <w:t xml:space="preserve"> χρόνια θεραπεία με </w:t>
      </w:r>
      <w:r w:rsidRPr="00A971A6">
        <w:rPr>
          <w:lang w:val="en-US"/>
        </w:rPr>
        <w:t>G</w:t>
      </w:r>
      <w:r w:rsidR="009526AD" w:rsidRPr="00A971A6">
        <w:rPr>
          <w:lang w:val="en-US"/>
        </w:rPr>
        <w:t>RANULOKINE</w:t>
      </w:r>
      <w:r w:rsidRPr="00A971A6">
        <w:t>. Η συχνότητα εκτιμάται ως συχνή από τα κλινικά δεδομένα.</w:t>
      </w:r>
    </w:p>
    <w:p w:rsidR="00046C03" w:rsidRPr="00F8543C" w:rsidRDefault="00046C03">
      <w:pPr>
        <w:pStyle w:val="22"/>
        <w:tabs>
          <w:tab w:val="clear" w:pos="0"/>
          <w:tab w:val="clear" w:pos="589"/>
          <w:tab w:val="left" w:pos="-284"/>
          <w:tab w:val="left" w:pos="1418"/>
          <w:tab w:val="left" w:pos="2127"/>
        </w:tabs>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Pr>
          <w:rFonts w:ascii="Times New Roman" w:hAnsi="Times New Roman"/>
          <w:b/>
          <w:spacing w:val="-2"/>
          <w:lang w:val="el-GR"/>
        </w:rPr>
        <w:t xml:space="preserve">4.9 </w:t>
      </w:r>
      <w:r w:rsidR="00715004" w:rsidRPr="00B740A5">
        <w:rPr>
          <w:rFonts w:ascii="Times New Roman" w:hAnsi="Times New Roman"/>
          <w:b/>
          <w:spacing w:val="-2"/>
          <w:lang w:val="el-GR"/>
        </w:rPr>
        <w:t xml:space="preserve">               </w:t>
      </w:r>
      <w:r w:rsidRPr="00F8543C">
        <w:rPr>
          <w:rFonts w:ascii="Times New Roman" w:hAnsi="Times New Roman"/>
          <w:b/>
          <w:spacing w:val="-2"/>
          <w:lang w:val="el-GR"/>
        </w:rPr>
        <w:t>Υπερδοσολογία</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pStyle w:val="22"/>
      </w:pPr>
      <w:r w:rsidRPr="00F8543C">
        <w:t xml:space="preserve">Οι επιδράσεις της υπέρβασης της δοσολογίας με GRANULOKINE </w:t>
      </w:r>
      <w:r>
        <w:t>δεν έχ</w:t>
      </w:r>
      <w:r w:rsidRPr="00F8543C">
        <w:t>ουν τεκμηριωθεί.  Η διακοπή της αγωγής με GRANULOKINE έ</w:t>
      </w:r>
      <w:r>
        <w:t>χ</w:t>
      </w:r>
      <w:r w:rsidRPr="00F8543C">
        <w:t>ει συνήθως ως αποτέλεσμα μια μείωση κατά 50% των κυκλοφο</w:t>
      </w:r>
      <w:r>
        <w:t xml:space="preserve">ρούντων </w:t>
      </w:r>
      <w:r w:rsidR="00946D24">
        <w:t>ουδετερόφιλων</w:t>
      </w:r>
      <w:r>
        <w:t xml:space="preserve"> μέσα σε 1</w:t>
      </w:r>
      <w:r w:rsidRPr="00047EF5">
        <w:rPr>
          <w:color w:val="FF00FF"/>
        </w:rPr>
        <w:t xml:space="preserve"> </w:t>
      </w:r>
      <w:r w:rsidRPr="00ED63C5">
        <w:t xml:space="preserve">έως </w:t>
      </w:r>
      <w:r w:rsidRPr="00F8543C">
        <w:t>2 ημέρες, με επιστροφή στ</w:t>
      </w:r>
      <w:r>
        <w:t xml:space="preserve">α φυσιολογικά επίπεδα μέσα σε 1 </w:t>
      </w:r>
      <w:r w:rsidRPr="00ED63C5">
        <w:t xml:space="preserve">έως </w:t>
      </w:r>
      <w:r w:rsidRPr="00F8543C">
        <w:t>7 ημέρες.</w:t>
      </w:r>
    </w:p>
    <w:p w:rsidR="00046C03" w:rsidRPr="00B740A5"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u w:val="single"/>
          <w:lang w:val="el-GR"/>
        </w:rPr>
      </w:pPr>
    </w:p>
    <w:p w:rsidR="00240576" w:rsidRPr="00B740A5" w:rsidRDefault="00240576">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u w:val="single"/>
          <w:lang w:val="el-GR"/>
        </w:rPr>
      </w:pPr>
    </w:p>
    <w:p w:rsidR="00046C03" w:rsidRPr="00F8543C" w:rsidRDefault="00046C03" w:rsidP="00DC2A73">
      <w:pPr>
        <w:numPr>
          <w:ilvl w:val="0"/>
          <w:numId w:val="1"/>
        </w:numPr>
        <w:tabs>
          <w:tab w:val="left" w:pos="-851"/>
          <w:tab w:val="left" w:pos="-131"/>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5" w:hanging="1305"/>
        <w:jc w:val="both"/>
        <w:rPr>
          <w:rFonts w:ascii="Times New Roman" w:hAnsi="Times New Roman"/>
          <w:b/>
          <w:spacing w:val="-2"/>
          <w:lang w:val="el-GR"/>
        </w:rPr>
      </w:pPr>
      <w:r w:rsidRPr="00F8543C">
        <w:rPr>
          <w:rFonts w:ascii="Times New Roman" w:hAnsi="Times New Roman"/>
          <w:b/>
          <w:spacing w:val="-2"/>
          <w:lang w:val="el-GR"/>
        </w:rPr>
        <w:t>ΦΑΡΜΑΚΟΛΟΓΙΚΕΣ  ΙΔΙΟΤΗΤΕΣ</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46C03" w:rsidRPr="00F8543C" w:rsidRDefault="00046C03">
      <w:pPr>
        <w:numPr>
          <w:ilvl w:val="1"/>
          <w:numId w:val="2"/>
        </w:numPr>
        <w:tabs>
          <w:tab w:val="left" w:pos="-851"/>
          <w:tab w:val="left" w:pos="-131"/>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5" w:hanging="1305"/>
        <w:jc w:val="both"/>
        <w:rPr>
          <w:rFonts w:ascii="Times New Roman" w:hAnsi="Times New Roman"/>
          <w:b/>
          <w:spacing w:val="-2"/>
          <w:lang w:val="el-GR"/>
        </w:rPr>
      </w:pPr>
      <w:r w:rsidRPr="00F8543C">
        <w:rPr>
          <w:rFonts w:ascii="Times New Roman" w:hAnsi="Times New Roman"/>
          <w:b/>
          <w:spacing w:val="-2"/>
          <w:lang w:val="el-GR"/>
        </w:rPr>
        <w:t>Φαρμακοδυναμικές ιδιότητες</w:t>
      </w:r>
    </w:p>
    <w:p w:rsidR="00046C03" w:rsidRPr="00F8543C" w:rsidRDefault="00046C03">
      <w:pPr>
        <w:tabs>
          <w:tab w:val="left" w:pos="-851"/>
          <w:tab w:val="left" w:pos="-131"/>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061BF" w:rsidRPr="00F8543C" w:rsidRDefault="00F061BF" w:rsidP="00F061BF">
      <w:pPr>
        <w:tabs>
          <w:tab w:val="left" w:pos="-851"/>
          <w:tab w:val="left" w:pos="-131"/>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 xml:space="preserve">Φαρμακοθεραπευτική κατηγορία: Κυτοκίνες, κωδικός </w:t>
      </w:r>
      <w:r w:rsidRPr="00F8543C">
        <w:rPr>
          <w:rFonts w:ascii="Times New Roman" w:hAnsi="Times New Roman"/>
          <w:bCs/>
          <w:spacing w:val="-2"/>
        </w:rPr>
        <w:t>ATC</w:t>
      </w:r>
      <w:r>
        <w:rPr>
          <w:rFonts w:ascii="Times New Roman" w:hAnsi="Times New Roman"/>
          <w:bCs/>
          <w:spacing w:val="-2"/>
          <w:lang w:val="el-GR"/>
        </w:rPr>
        <w:t>:</w:t>
      </w:r>
      <w:r w:rsidRPr="00F8543C">
        <w:rPr>
          <w:rFonts w:ascii="Times New Roman" w:hAnsi="Times New Roman"/>
          <w:bCs/>
          <w:spacing w:val="-2"/>
          <w:lang w:val="el-GR"/>
        </w:rPr>
        <w:t xml:space="preserve"> </w:t>
      </w:r>
      <w:r w:rsidRPr="00F8543C">
        <w:rPr>
          <w:rFonts w:ascii="Times New Roman" w:hAnsi="Times New Roman"/>
          <w:bCs/>
          <w:spacing w:val="-2"/>
        </w:rPr>
        <w:t>L</w:t>
      </w:r>
      <w:r w:rsidRPr="00F8543C">
        <w:rPr>
          <w:rFonts w:ascii="Times New Roman" w:hAnsi="Times New Roman"/>
          <w:bCs/>
          <w:spacing w:val="-2"/>
          <w:lang w:val="el-GR"/>
        </w:rPr>
        <w:t>03ΑΑ02</w:t>
      </w:r>
    </w:p>
    <w:p w:rsidR="00F061BF" w:rsidRPr="00F8543C" w:rsidRDefault="00F061BF" w:rsidP="00F061BF">
      <w:pPr>
        <w:tabs>
          <w:tab w:val="left" w:pos="-851"/>
          <w:tab w:val="left" w:pos="-131"/>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061BF" w:rsidRPr="00F8543C" w:rsidRDefault="00F061BF" w:rsidP="00F061BF">
      <w:pPr>
        <w:pStyle w:val="22"/>
      </w:pPr>
      <w:r w:rsidRPr="00F8543C">
        <w:rPr>
          <w:bCs/>
        </w:rPr>
        <w:t xml:space="preserve">Ο ανθρώπινος G-CSF είναι μια γλυκοπρωτεΐνη που ρυθμίζει την παραγωγή και την αποδέσμευση των λειτουργικά ωρίμων </w:t>
      </w:r>
      <w:r w:rsidR="00946D24">
        <w:rPr>
          <w:bCs/>
        </w:rPr>
        <w:t>ουδετερόφιλων</w:t>
      </w:r>
      <w:r w:rsidRPr="00F8543C">
        <w:rPr>
          <w:bCs/>
        </w:rPr>
        <w:t xml:space="preserve"> από το μυελό των οστών.  Το GRANULOKINE </w:t>
      </w:r>
      <w:r>
        <w:rPr>
          <w:bCs/>
        </w:rPr>
        <w:t>που περιέχ</w:t>
      </w:r>
      <w:r w:rsidRPr="00F8543C">
        <w:rPr>
          <w:bCs/>
        </w:rPr>
        <w:t xml:space="preserve">ει r-metHuG-CSF (filgrastim) προκαλεί σημαντική αύξηση του αριθμού των </w:t>
      </w:r>
      <w:r w:rsidR="00946D24">
        <w:rPr>
          <w:bCs/>
        </w:rPr>
        <w:t>ουδετερόφιλων</w:t>
      </w:r>
      <w:r w:rsidRPr="00F8543C">
        <w:rPr>
          <w:bCs/>
        </w:rPr>
        <w:t xml:space="preserve"> στο περιφερικό αίμα μέσα σε 24 ώρες, συνοδευόμενη από σαφώς μικρότερες αυξήσεις σε μονοκύτταρα. Σε</w:t>
      </w:r>
      <w:r w:rsidRPr="00F8543C">
        <w:t xml:space="preserve"> </w:t>
      </w:r>
      <w:r w:rsidRPr="00F8543C">
        <w:lastRenderedPageBreak/>
        <w:t xml:space="preserve">ορισμένους ασθενείς με σοβαρή </w:t>
      </w:r>
      <w:r>
        <w:t>χ</w:t>
      </w:r>
      <w:r w:rsidRPr="00F8543C">
        <w:t xml:space="preserve">ρόνια ουδετεροπενία </w:t>
      </w:r>
      <w:r w:rsidRPr="00F8543C">
        <w:rPr>
          <w:bCs/>
        </w:rPr>
        <w:t>η filgrastim μπορεί</w:t>
      </w:r>
      <w:r w:rsidRPr="00F8543C">
        <w:t xml:space="preserve"> επίσης να προκαλέσει μικρή αύξηση του αριθμού των κυκλοφορούντων ηωσινοφίλων και βασεοφίλων σε σ</w:t>
      </w:r>
      <w:r>
        <w:t>χ</w:t>
      </w:r>
      <w:r w:rsidRPr="00F8543C">
        <w:t>έση με την αρ</w:t>
      </w:r>
      <w:r>
        <w:t>χ</w:t>
      </w:r>
      <w:r w:rsidRPr="00F8543C">
        <w:t>ική τιμή.  Σε ορισμένους από αυτούς τους ασθενείς μπορεί να υπήρ</w:t>
      </w:r>
      <w:r>
        <w:t>χ</w:t>
      </w:r>
      <w:r w:rsidRPr="00F8543C">
        <w:t xml:space="preserve">ε ηωσινοφιλία ή βασεοφιλία πριν από την έναρξη της αγωγής. Η αύξηση του αριθμού των </w:t>
      </w:r>
      <w:r w:rsidR="00946D24">
        <w:t>ουδετερόφιλων</w:t>
      </w:r>
      <w:r w:rsidRPr="00F8543C">
        <w:t xml:space="preserve"> είναι δοσοεξαρτώμενη στις συνιστώμενες δοσολογίες. Τα ουδετερόφιλα που παράγονται σε ανταπόκριση προς τη</w:t>
      </w:r>
      <w:r w:rsidRPr="00F8543C">
        <w:rPr>
          <w:b/>
        </w:rPr>
        <w:t xml:space="preserve"> </w:t>
      </w:r>
      <w:r w:rsidRPr="00F8543C">
        <w:rPr>
          <w:bCs/>
        </w:rPr>
        <w:t>filgrastim</w:t>
      </w:r>
      <w:r w:rsidRPr="00F8543C">
        <w:t xml:space="preserve"> εμφανίζουν φυσιολογική ή αυξημένη λειτουργία όπως προκύπτει από δοκιμές της </w:t>
      </w:r>
      <w:r>
        <w:t>χ</w:t>
      </w:r>
      <w:r w:rsidRPr="00F8543C">
        <w:t xml:space="preserve">ημειοτακτικής και φαγοκυτταρικής λειτουργίας τους. Μετά το πέρας της θεραπείας με </w:t>
      </w:r>
      <w:r w:rsidRPr="00F8543C">
        <w:rPr>
          <w:bCs/>
        </w:rPr>
        <w:t>filgrastim</w:t>
      </w:r>
      <w:r w:rsidRPr="00F8543C">
        <w:t xml:space="preserve"> ο αριθμός των κυκλοφορούντων </w:t>
      </w:r>
      <w:r w:rsidR="00946D24">
        <w:t>ουδετερόφιλων</w:t>
      </w:r>
      <w:r w:rsidRPr="00F8543C">
        <w:t xml:space="preserve"> μειώνεται κατά 50% μέσα σε 1</w:t>
      </w:r>
      <w:r>
        <w:t xml:space="preserve"> </w:t>
      </w:r>
      <w:r w:rsidRPr="007D5E17">
        <w:t xml:space="preserve">έως </w:t>
      </w:r>
      <w:r w:rsidRPr="00F8543C">
        <w:t>2 ημέρες και σ</w:t>
      </w:r>
      <w:r>
        <w:t xml:space="preserve">ε φυσιολογικά επίπεδα μέσα σε 1 </w:t>
      </w:r>
      <w:r w:rsidRPr="007D5E17">
        <w:t>έως</w:t>
      </w:r>
      <w:r w:rsidRPr="00F8543C">
        <w:t xml:space="preserve"> 7 ημέρες.</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pStyle w:val="22"/>
      </w:pPr>
      <w:r w:rsidRPr="00F8543C">
        <w:t xml:space="preserve">Η </w:t>
      </w:r>
      <w:r w:rsidRPr="00F8543C">
        <w:rPr>
          <w:bCs/>
        </w:rPr>
        <w:t>χρήση της filgrastim</w:t>
      </w:r>
      <w:r w:rsidRPr="00F8543C">
        <w:t xml:space="preserve"> σε ασθενείς που </w:t>
      </w:r>
      <w:r w:rsidRPr="007D5E17">
        <w:t>υποβάλλονται</w:t>
      </w:r>
      <w:r w:rsidRPr="00F8543C">
        <w:t xml:space="preserve"> </w:t>
      </w:r>
      <w:r w:rsidRPr="007D5E17">
        <w:t>σε</w:t>
      </w:r>
      <w:r>
        <w:t xml:space="preserve"> </w:t>
      </w:r>
      <w:r w:rsidRPr="00F8543C">
        <w:t xml:space="preserve">κυτταροτοξική </w:t>
      </w:r>
      <w:r>
        <w:t>χ</w:t>
      </w:r>
      <w:r w:rsidRPr="00F8543C">
        <w:t>ημειοθεραπεία οδηγεί σε σημαντική μείωση της συ</w:t>
      </w:r>
      <w:r>
        <w:t>χ</w:t>
      </w:r>
      <w:r w:rsidRPr="00F8543C">
        <w:t xml:space="preserve">νότητας, σοβαρότητας και διάρκειας της ουδετεροπενίας και της εμπύρετης ουδετεροπενίας.  Η αγωγή με </w:t>
      </w:r>
      <w:r w:rsidRPr="00F8543C">
        <w:rPr>
          <w:lang w:val="en-US"/>
        </w:rPr>
        <w:t>filgrastim</w:t>
      </w:r>
      <w:r w:rsidRPr="00F8543C">
        <w:t xml:space="preserve"> μειώνει σημαντικά τη διάρκεια της εμπύρετης ουδετεροπενίας, της χρήσης αντιβιοτικών και της νοσοκομειακής περίθαλψης μετά από χημειοθεραπεία εφόδου για οξεία μυελογενή λευχαιμία ή μυελο</w:t>
      </w:r>
      <w:r>
        <w:t>εκκαθαριστική</w:t>
      </w:r>
      <w:r w:rsidRPr="00F8543C">
        <w:t xml:space="preserve"> θεραπεία ακολουθούμενη από μεταμόσχευση μυελού των οστών.  Η συχνότητα εμφάνισης πυρετού και τεκμηριωμένων λοιμώξεων δεν μειώθηκε σε καμία ομάδα. Η διάρκεια του πυρετού δεν μειώθηκε σε ασθενείς που υποβάλλονταν σε μυελο</w:t>
      </w:r>
      <w:r>
        <w:t>εκκαθαριστική</w:t>
      </w:r>
      <w:r w:rsidRPr="00F8543C">
        <w:t xml:space="preserve"> θεραπεία ακολουθούμενη από μεταμόσχευση μυελού των οστών.  </w:t>
      </w:r>
    </w:p>
    <w:p w:rsidR="00F061BF" w:rsidRPr="00927365"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pStyle w:val="22"/>
      </w:pPr>
      <w:r w:rsidRPr="00F8543C">
        <w:t xml:space="preserve">Η </w:t>
      </w:r>
      <w:r w:rsidRPr="00F8543C">
        <w:rPr>
          <w:bCs/>
        </w:rPr>
        <w:t xml:space="preserve">χρήση της filgrastim, </w:t>
      </w:r>
      <w:r>
        <w:rPr>
          <w:bCs/>
        </w:rPr>
        <w:t xml:space="preserve">είτε </w:t>
      </w:r>
      <w:r w:rsidRPr="00F8543C">
        <w:rPr>
          <w:bCs/>
        </w:rPr>
        <w:t xml:space="preserve">ως μονοθεραπεία </w:t>
      </w:r>
      <w:r>
        <w:rPr>
          <w:bCs/>
        </w:rPr>
        <w:t>είτε</w:t>
      </w:r>
      <w:r w:rsidRPr="00F8543C">
        <w:rPr>
          <w:b/>
        </w:rPr>
        <w:t xml:space="preserve"> </w:t>
      </w:r>
      <w:r w:rsidRPr="00F8543C">
        <w:t xml:space="preserve">μετά από </w:t>
      </w:r>
      <w:r>
        <w:t>χ</w:t>
      </w:r>
      <w:r w:rsidRPr="00F8543C">
        <w:t>ημειοθεραπεία, κινητοποιεί αιμοποιητικά προγονικά κύτταρα στο περιφερικό αίμα. Αυτά τα αυτόλογα προγονικά κύτταρα του περιφερικού αίματος (PBPCs) είναι δυνατόν να συλλε</w:t>
      </w:r>
      <w:r>
        <w:t>χ</w:t>
      </w:r>
      <w:r w:rsidRPr="00F8543C">
        <w:t>θούν και να εγ</w:t>
      </w:r>
      <w:r>
        <w:t>χ</w:t>
      </w:r>
      <w:r w:rsidRPr="00F8543C">
        <w:t>υθούν μετά από κυτταροτοξική θεραπεία υψηλών δόσεων, είτε αντικαθιστώντας είτε συμπληρώνοντας τη μεταμόσ</w:t>
      </w:r>
      <w:r>
        <w:t>χ</w:t>
      </w:r>
      <w:r w:rsidRPr="00F8543C">
        <w:t>ευση μυελού των οστών.  Η έγ</w:t>
      </w:r>
      <w:r>
        <w:t>χ</w:t>
      </w:r>
      <w:r w:rsidRPr="00F8543C">
        <w:t>υση των PBPC επιτα</w:t>
      </w:r>
      <w:r>
        <w:t>χ</w:t>
      </w:r>
      <w:r w:rsidRPr="00F8543C">
        <w:t xml:space="preserve">ύνει την αιμοποιητική ανάνηψη, μειώνοντας τη διάρκεια του κινδύνου για αιμορραγικές επιπλοκές και την ανάγκη για μετάγγιση αιμοπεταλίων.  </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Δέκτες αλλογενών προγονικών κυττάρων του περιφερικού αίματος που κινητοποιούνται με </w:t>
      </w:r>
      <w:r w:rsidRPr="00F8543C">
        <w:rPr>
          <w:rFonts w:ascii="Times New Roman" w:hAnsi="Times New Roman"/>
          <w:spacing w:val="-2"/>
        </w:rPr>
        <w:t>GRANULOKINE</w:t>
      </w:r>
      <w:r w:rsidRPr="00F8543C">
        <w:rPr>
          <w:rFonts w:ascii="Times New Roman" w:hAnsi="Times New Roman"/>
          <w:spacing w:val="-2"/>
          <w:lang w:val="el-GR"/>
        </w:rPr>
        <w:t>,</w:t>
      </w:r>
      <w:r w:rsidRPr="00F8543C">
        <w:rPr>
          <w:rFonts w:ascii="Times New Roman" w:hAnsi="Times New Roman"/>
          <w:spacing w:val="-2"/>
          <w:vertAlign w:val="superscript"/>
          <w:lang w:val="el-GR"/>
        </w:rPr>
        <w:t xml:space="preserve"> </w:t>
      </w:r>
      <w:r w:rsidRPr="00F8543C">
        <w:rPr>
          <w:rFonts w:ascii="Times New Roman" w:hAnsi="Times New Roman"/>
          <w:spacing w:val="-2"/>
          <w:lang w:val="el-GR"/>
        </w:rPr>
        <w:t>εμφάνισαν σημαντικά ταχύτερη αιματολογική ανάνηψη, που οδήγησε σε σημαντική μείωση του χρόνου για μη υποστηριζόμενη ανάνηψη αιμοπεταλίων σε σύγκριση με την αλλογενή μεταμόσχευση μυελού των οστών.</w:t>
      </w:r>
    </w:p>
    <w:p w:rsidR="00F061BF"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7D5E17" w:rsidRDefault="00F061BF" w:rsidP="00F061BF">
      <w:pPr>
        <w:rPr>
          <w:rFonts w:ascii="Times New Roman" w:hAnsi="Times New Roman"/>
          <w:szCs w:val="24"/>
          <w:lang w:val="el-GR"/>
        </w:rPr>
      </w:pPr>
      <w:r w:rsidRPr="007D5E17">
        <w:rPr>
          <w:rFonts w:ascii="Times New Roman" w:hAnsi="Times New Roman"/>
          <w:szCs w:val="24"/>
          <w:lang w:val="el-GR"/>
        </w:rPr>
        <w:t xml:space="preserve">Μία αναδρομική Ευρωπαϊκή μελέτη κατά την οποία αξιολογήθηκε η χρήση </w:t>
      </w:r>
      <w:r w:rsidRPr="007D5E17">
        <w:rPr>
          <w:rFonts w:ascii="Times New Roman" w:hAnsi="Times New Roman"/>
          <w:szCs w:val="24"/>
        </w:rPr>
        <w:t>GCSF</w:t>
      </w:r>
      <w:r w:rsidRPr="007D5E17">
        <w:rPr>
          <w:rFonts w:ascii="Times New Roman" w:hAnsi="Times New Roman"/>
          <w:szCs w:val="24"/>
          <w:lang w:val="el-GR"/>
        </w:rPr>
        <w:t xml:space="preserve"> μετά από αλλογενή μεταμόσχευση μυελού των οστών σε ασθενείς με οξείες λευχαιμίες  υπέδειξε μία αύξηση στον κίνδυνο Αντίδρασης Μοσχεύματος έναντι Ξενιστή (</w:t>
      </w:r>
      <w:r w:rsidRPr="007D5E17">
        <w:rPr>
          <w:rFonts w:ascii="Times New Roman" w:hAnsi="Times New Roman"/>
          <w:szCs w:val="24"/>
        </w:rPr>
        <w:t>GvHD</w:t>
      </w:r>
      <w:r w:rsidRPr="007D5E17">
        <w:rPr>
          <w:rFonts w:ascii="Times New Roman" w:hAnsi="Times New Roman"/>
          <w:szCs w:val="24"/>
          <w:lang w:val="el-GR"/>
        </w:rPr>
        <w:t>), τη σχετιζόμενη με τη θεραπεία θνησιμότητα (</w:t>
      </w:r>
      <w:r w:rsidRPr="007D5E17">
        <w:rPr>
          <w:rFonts w:ascii="Times New Roman" w:hAnsi="Times New Roman"/>
          <w:szCs w:val="24"/>
        </w:rPr>
        <w:t>TRM</w:t>
      </w:r>
      <w:r w:rsidRPr="007D5E17">
        <w:rPr>
          <w:rFonts w:ascii="Times New Roman" w:hAnsi="Times New Roman"/>
          <w:szCs w:val="24"/>
          <w:lang w:val="el-GR"/>
        </w:rPr>
        <w:t xml:space="preserve">) και τη θνησιμότητα, στις περιπτώσεις που χορηγήθηκε </w:t>
      </w:r>
      <w:r w:rsidRPr="007D5E17">
        <w:rPr>
          <w:rFonts w:ascii="Times New Roman" w:hAnsi="Times New Roman"/>
          <w:szCs w:val="24"/>
        </w:rPr>
        <w:t>GCSF</w:t>
      </w:r>
      <w:r w:rsidRPr="007D5E17">
        <w:rPr>
          <w:rFonts w:ascii="Times New Roman" w:hAnsi="Times New Roman"/>
          <w:szCs w:val="24"/>
          <w:lang w:val="el-GR"/>
        </w:rPr>
        <w:t xml:space="preserve">.  Σε μία ξεχωριστή αναδρομική Διεθνή μελέτη σε ασθενείς με οξείες και χρόνιες μυελογενείς λευχαιμίες, δεν παρατηρήθηκε καμία επίδραση στον κίνδυνο </w:t>
      </w:r>
      <w:r w:rsidRPr="007D5E17">
        <w:rPr>
          <w:rFonts w:ascii="Times New Roman" w:hAnsi="Times New Roman"/>
          <w:szCs w:val="24"/>
        </w:rPr>
        <w:t>GvHD</w:t>
      </w:r>
      <w:r w:rsidRPr="007D5E17">
        <w:rPr>
          <w:rFonts w:ascii="Times New Roman" w:hAnsi="Times New Roman"/>
          <w:szCs w:val="24"/>
          <w:lang w:val="el-GR"/>
        </w:rPr>
        <w:t xml:space="preserve">, </w:t>
      </w:r>
      <w:r w:rsidRPr="007D5E17">
        <w:rPr>
          <w:rFonts w:ascii="Times New Roman" w:hAnsi="Times New Roman"/>
          <w:szCs w:val="24"/>
        </w:rPr>
        <w:t>TRM</w:t>
      </w:r>
      <w:r w:rsidRPr="007D5E17">
        <w:rPr>
          <w:rFonts w:ascii="Times New Roman" w:hAnsi="Times New Roman"/>
          <w:szCs w:val="24"/>
          <w:lang w:val="el-GR"/>
        </w:rPr>
        <w:t xml:space="preserve"> και θνησιμότητας. Μία  μέτα- ανάλυση μελετών αλλογενών μεταμοσχεύσεων, η οποία περιέλαβε τα αποτελέσματα εννέα προοπτικών τυχαιοποιημένων μελετών, 8 αναδρομικών μελετών και 1 μελέτη ασθενούς-μάρτυρος ελέγχου, δεν ανίχνευσε καμία επίδραση στον κίνδυνο για οξεία </w:t>
      </w:r>
      <w:r w:rsidRPr="007D5E17">
        <w:rPr>
          <w:rFonts w:ascii="Times New Roman" w:hAnsi="Times New Roman"/>
          <w:szCs w:val="24"/>
        </w:rPr>
        <w:t>GvHD</w:t>
      </w:r>
      <w:r w:rsidRPr="007D5E17">
        <w:rPr>
          <w:rFonts w:ascii="Times New Roman" w:hAnsi="Times New Roman"/>
          <w:szCs w:val="24"/>
          <w:lang w:val="el-GR"/>
        </w:rPr>
        <w:t xml:space="preserve">, χρόνια </w:t>
      </w:r>
      <w:r w:rsidRPr="007D5E17">
        <w:rPr>
          <w:rFonts w:ascii="Times New Roman" w:hAnsi="Times New Roman"/>
          <w:szCs w:val="24"/>
        </w:rPr>
        <w:t>GvHD</w:t>
      </w:r>
      <w:r w:rsidRPr="007D5E17">
        <w:rPr>
          <w:rFonts w:ascii="Times New Roman" w:hAnsi="Times New Roman"/>
          <w:szCs w:val="24"/>
          <w:lang w:val="el-GR"/>
        </w:rPr>
        <w:t xml:space="preserve"> ή πρώιμη σχετιζόμενη με τη θεραπεία θνησιμότητα.</w:t>
      </w:r>
    </w:p>
    <w:p w:rsidR="00F061BF" w:rsidRPr="007D5E17" w:rsidRDefault="00F061BF" w:rsidP="00F061BF">
      <w:pPr>
        <w:tabs>
          <w:tab w:val="left" w:pos="2957"/>
        </w:tabs>
        <w:rPr>
          <w:rFonts w:ascii="Times New Roman" w:hAnsi="Times New Roman"/>
          <w:color w:val="339966"/>
          <w:szCs w:val="24"/>
          <w:lang w:val="el-GR"/>
        </w:rPr>
      </w:pPr>
      <w:r w:rsidRPr="007D5E17">
        <w:rPr>
          <w:rFonts w:ascii="Times New Roman" w:hAnsi="Times New Roman"/>
          <w:color w:val="339966"/>
          <w:szCs w:val="24"/>
          <w:lang w:val="el-GR"/>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01"/>
        <w:gridCol w:w="1807"/>
        <w:gridCol w:w="1013"/>
        <w:gridCol w:w="1668"/>
        <w:gridCol w:w="1668"/>
        <w:gridCol w:w="1668"/>
      </w:tblGrid>
      <w:tr w:rsidR="00F061BF" w:rsidRPr="00C750F8" w:rsidTr="00C750F8">
        <w:trPr>
          <w:cantSplit/>
          <w:jc w:val="center"/>
        </w:trPr>
        <w:tc>
          <w:tcPr>
            <w:tcW w:w="5000" w:type="pct"/>
            <w:gridSpan w:val="6"/>
            <w:tcBorders>
              <w:top w:val="nil"/>
              <w:left w:val="nil"/>
              <w:bottom w:val="single" w:sz="4" w:space="0" w:color="auto"/>
              <w:right w:val="nil"/>
            </w:tcBorders>
          </w:tcPr>
          <w:p w:rsidR="00F061BF" w:rsidRPr="00C750F8" w:rsidRDefault="00F061BF" w:rsidP="00F33236">
            <w:pPr>
              <w:keepNext/>
              <w:jc w:val="center"/>
              <w:rPr>
                <w:rFonts w:ascii="Times New Roman" w:hAnsi="Times New Roman"/>
                <w:b/>
                <w:szCs w:val="24"/>
                <w:lang w:val="el-GR"/>
              </w:rPr>
            </w:pPr>
            <w:r w:rsidRPr="00C750F8">
              <w:rPr>
                <w:rFonts w:ascii="Times New Roman" w:hAnsi="Times New Roman"/>
                <w:b/>
                <w:szCs w:val="24"/>
                <w:lang w:val="el-GR"/>
              </w:rPr>
              <w:t xml:space="preserve">Σχετικός κίνδυνος  (95% </w:t>
            </w:r>
            <w:r w:rsidRPr="00C750F8">
              <w:rPr>
                <w:rFonts w:ascii="Times New Roman" w:hAnsi="Times New Roman"/>
                <w:b/>
                <w:szCs w:val="24"/>
              </w:rPr>
              <w:t>CI</w:t>
            </w:r>
            <w:r w:rsidRPr="00C750F8">
              <w:rPr>
                <w:rFonts w:ascii="Times New Roman" w:hAnsi="Times New Roman"/>
                <w:b/>
                <w:szCs w:val="24"/>
                <w:lang w:val="el-GR"/>
              </w:rPr>
              <w:t xml:space="preserve">) για </w:t>
            </w:r>
            <w:r w:rsidRPr="00C750F8">
              <w:rPr>
                <w:rFonts w:ascii="Times New Roman" w:hAnsi="Times New Roman"/>
                <w:b/>
                <w:szCs w:val="24"/>
              </w:rPr>
              <w:t>GvHD</w:t>
            </w:r>
            <w:r w:rsidRPr="00C750F8">
              <w:rPr>
                <w:rFonts w:ascii="Times New Roman" w:hAnsi="Times New Roman"/>
                <w:b/>
                <w:szCs w:val="24"/>
                <w:lang w:val="el-GR"/>
              </w:rPr>
              <w:t xml:space="preserve"> και </w:t>
            </w:r>
            <w:r w:rsidRPr="00C750F8">
              <w:rPr>
                <w:rFonts w:ascii="Times New Roman" w:hAnsi="Times New Roman"/>
                <w:b/>
                <w:szCs w:val="24"/>
              </w:rPr>
              <w:t>TRM</w:t>
            </w:r>
            <w:r w:rsidRPr="00C750F8">
              <w:rPr>
                <w:rFonts w:ascii="Times New Roman" w:hAnsi="Times New Roman"/>
                <w:b/>
                <w:szCs w:val="24"/>
                <w:lang w:val="el-GR"/>
              </w:rPr>
              <w:t xml:space="preserve"> </w:t>
            </w:r>
            <w:r w:rsidRPr="00C750F8">
              <w:rPr>
                <w:rFonts w:ascii="Times New Roman" w:hAnsi="Times New Roman"/>
                <w:b/>
                <w:szCs w:val="24"/>
                <w:lang w:val="el-GR"/>
              </w:rPr>
              <w:br/>
              <w:t xml:space="preserve">Μετά από θεραπεία με </w:t>
            </w:r>
            <w:r w:rsidRPr="00C750F8">
              <w:rPr>
                <w:rFonts w:ascii="Times New Roman" w:hAnsi="Times New Roman"/>
                <w:b/>
                <w:szCs w:val="24"/>
              </w:rPr>
              <w:t>GCSF</w:t>
            </w:r>
            <w:r w:rsidRPr="00C750F8">
              <w:rPr>
                <w:rFonts w:ascii="Times New Roman" w:hAnsi="Times New Roman"/>
                <w:b/>
                <w:szCs w:val="24"/>
                <w:lang w:val="el-GR"/>
              </w:rPr>
              <w:t xml:space="preserve"> μετά από Μεταμόσχευση Μυελού των Οστών</w:t>
            </w:r>
          </w:p>
        </w:tc>
      </w:tr>
      <w:tr w:rsidR="00F061BF" w:rsidRPr="00C750F8" w:rsidTr="00C750F8">
        <w:trPr>
          <w:cantSplit/>
          <w:jc w:val="center"/>
        </w:trPr>
        <w:tc>
          <w:tcPr>
            <w:tcW w:w="1098" w:type="pct"/>
            <w:tcBorders>
              <w:top w:val="single" w:sz="4" w:space="0" w:color="auto"/>
              <w:left w:val="single" w:sz="4" w:space="0" w:color="auto"/>
              <w:bottom w:val="single" w:sz="4" w:space="0" w:color="auto"/>
            </w:tcBorders>
          </w:tcPr>
          <w:p w:rsidR="00F061BF" w:rsidRPr="00C750F8" w:rsidRDefault="00F061BF" w:rsidP="00C750F8">
            <w:pPr>
              <w:keepNext/>
              <w:rPr>
                <w:rFonts w:ascii="Times New Roman" w:hAnsi="Times New Roman"/>
                <w:b/>
                <w:szCs w:val="24"/>
                <w:lang w:val="el-GR"/>
              </w:rPr>
            </w:pPr>
          </w:p>
          <w:p w:rsidR="00F061BF" w:rsidRPr="00C750F8" w:rsidRDefault="00F061BF" w:rsidP="00C750F8">
            <w:pPr>
              <w:keepNext/>
              <w:rPr>
                <w:rFonts w:ascii="Times New Roman" w:hAnsi="Times New Roman"/>
                <w:b/>
                <w:szCs w:val="24"/>
                <w:lang w:val="el-GR"/>
              </w:rPr>
            </w:pPr>
          </w:p>
          <w:p w:rsidR="00F061BF" w:rsidRPr="00C750F8" w:rsidRDefault="00F061BF" w:rsidP="00C750F8">
            <w:pPr>
              <w:keepNext/>
              <w:rPr>
                <w:rFonts w:ascii="Times New Roman" w:hAnsi="Times New Roman"/>
                <w:b/>
                <w:szCs w:val="24"/>
                <w:lang w:val="el-GR"/>
              </w:rPr>
            </w:pPr>
            <w:r w:rsidRPr="00C750F8">
              <w:rPr>
                <w:rFonts w:ascii="Times New Roman" w:hAnsi="Times New Roman"/>
                <w:b/>
                <w:szCs w:val="24"/>
                <w:lang w:val="el-GR"/>
              </w:rPr>
              <w:t>Πληθυσμός</w:t>
            </w:r>
          </w:p>
        </w:tc>
        <w:tc>
          <w:tcPr>
            <w:tcW w:w="901" w:type="pct"/>
            <w:tcBorders>
              <w:top w:val="single" w:sz="4" w:space="0" w:color="auto"/>
              <w:bottom w:val="single" w:sz="4" w:space="0" w:color="auto"/>
            </w:tcBorders>
          </w:tcPr>
          <w:p w:rsidR="00F061BF" w:rsidRPr="00C750F8" w:rsidRDefault="00F061BF" w:rsidP="00C750F8">
            <w:pPr>
              <w:keepNext/>
              <w:rPr>
                <w:rFonts w:ascii="Times New Roman" w:hAnsi="Times New Roman"/>
                <w:b/>
                <w:szCs w:val="24"/>
              </w:rPr>
            </w:pPr>
          </w:p>
          <w:p w:rsidR="00F061BF" w:rsidRPr="00C750F8" w:rsidRDefault="00F061BF" w:rsidP="00C750F8">
            <w:pPr>
              <w:keepNext/>
              <w:rPr>
                <w:rFonts w:ascii="Times New Roman" w:hAnsi="Times New Roman"/>
                <w:b/>
                <w:szCs w:val="24"/>
                <w:lang w:val="el-GR"/>
              </w:rPr>
            </w:pPr>
            <w:r w:rsidRPr="00C750F8">
              <w:rPr>
                <w:rFonts w:ascii="Times New Roman" w:hAnsi="Times New Roman"/>
                <w:b/>
                <w:szCs w:val="24"/>
                <w:lang w:val="el-GR"/>
              </w:rPr>
              <w:t>Περίοδος της Μελέτης</w:t>
            </w:r>
          </w:p>
        </w:tc>
        <w:tc>
          <w:tcPr>
            <w:tcW w:w="505" w:type="pct"/>
            <w:tcBorders>
              <w:top w:val="single" w:sz="4" w:space="0" w:color="auto"/>
              <w:bottom w:val="single" w:sz="4" w:space="0" w:color="auto"/>
            </w:tcBorders>
          </w:tcPr>
          <w:p w:rsidR="00F061BF" w:rsidRPr="00C750F8" w:rsidRDefault="00F061BF" w:rsidP="00C750F8">
            <w:pPr>
              <w:keepNext/>
              <w:rPr>
                <w:rFonts w:ascii="Times New Roman" w:hAnsi="Times New Roman"/>
                <w:b/>
                <w:szCs w:val="24"/>
              </w:rPr>
            </w:pPr>
          </w:p>
          <w:p w:rsidR="00F061BF" w:rsidRPr="00C750F8" w:rsidRDefault="00F061BF" w:rsidP="00C750F8">
            <w:pPr>
              <w:keepNext/>
              <w:rPr>
                <w:rFonts w:ascii="Times New Roman" w:hAnsi="Times New Roman"/>
                <w:b/>
                <w:szCs w:val="24"/>
              </w:rPr>
            </w:pPr>
          </w:p>
          <w:p w:rsidR="00F061BF" w:rsidRPr="00C750F8" w:rsidRDefault="00F061BF" w:rsidP="00C750F8">
            <w:pPr>
              <w:keepNext/>
              <w:rPr>
                <w:rFonts w:ascii="Times New Roman" w:hAnsi="Times New Roman"/>
                <w:b/>
                <w:szCs w:val="24"/>
              </w:rPr>
            </w:pPr>
            <w:r w:rsidRPr="00C750F8">
              <w:rPr>
                <w:rFonts w:ascii="Times New Roman" w:hAnsi="Times New Roman"/>
                <w:b/>
                <w:szCs w:val="24"/>
              </w:rPr>
              <w:t>N</w:t>
            </w:r>
          </w:p>
        </w:tc>
        <w:tc>
          <w:tcPr>
            <w:tcW w:w="832" w:type="pct"/>
            <w:tcBorders>
              <w:top w:val="single" w:sz="4" w:space="0" w:color="auto"/>
              <w:bottom w:val="single" w:sz="4" w:space="0" w:color="auto"/>
            </w:tcBorders>
          </w:tcPr>
          <w:p w:rsidR="00F061BF" w:rsidRPr="00C750F8" w:rsidRDefault="00F061BF" w:rsidP="00C750F8">
            <w:pPr>
              <w:keepNext/>
              <w:rPr>
                <w:rFonts w:ascii="Times New Roman" w:hAnsi="Times New Roman"/>
                <w:b/>
                <w:szCs w:val="24"/>
                <w:lang w:val="el-GR"/>
              </w:rPr>
            </w:pPr>
            <w:r w:rsidRPr="00C750F8">
              <w:rPr>
                <w:rFonts w:ascii="Times New Roman" w:hAnsi="Times New Roman"/>
                <w:b/>
                <w:szCs w:val="24"/>
                <w:lang w:val="el-GR"/>
              </w:rPr>
              <w:t xml:space="preserve">Οξύ </w:t>
            </w:r>
            <w:r w:rsidRPr="00C750F8">
              <w:rPr>
                <w:rFonts w:ascii="Times New Roman" w:hAnsi="Times New Roman"/>
                <w:b/>
                <w:szCs w:val="24"/>
                <w:lang w:val="el-GR"/>
              </w:rPr>
              <w:br/>
              <w:t xml:space="preserve">Βαθμού </w:t>
            </w:r>
            <w:r w:rsidRPr="00C750F8">
              <w:rPr>
                <w:rFonts w:ascii="Times New Roman" w:hAnsi="Times New Roman"/>
                <w:b/>
                <w:szCs w:val="24"/>
                <w:lang w:val="de-DE"/>
              </w:rPr>
              <w:t>II</w:t>
            </w:r>
            <w:r w:rsidRPr="00C750F8">
              <w:rPr>
                <w:rFonts w:ascii="Times New Roman" w:hAnsi="Times New Roman"/>
                <w:b/>
                <w:szCs w:val="24"/>
                <w:lang w:val="el-GR"/>
              </w:rPr>
              <w:t>-</w:t>
            </w:r>
            <w:r w:rsidRPr="00C750F8">
              <w:rPr>
                <w:rFonts w:ascii="Times New Roman" w:hAnsi="Times New Roman"/>
                <w:b/>
                <w:szCs w:val="24"/>
                <w:lang w:val="de-DE"/>
              </w:rPr>
              <w:t>IV</w:t>
            </w:r>
            <w:r w:rsidRPr="00C750F8">
              <w:rPr>
                <w:rFonts w:ascii="Times New Roman" w:hAnsi="Times New Roman"/>
                <w:b/>
                <w:szCs w:val="24"/>
                <w:lang w:val="el-GR"/>
              </w:rPr>
              <w:t xml:space="preserve"> </w:t>
            </w:r>
            <w:r w:rsidRPr="00C750F8">
              <w:rPr>
                <w:rFonts w:ascii="Times New Roman" w:hAnsi="Times New Roman"/>
                <w:b/>
                <w:szCs w:val="24"/>
                <w:lang w:val="de-DE"/>
              </w:rPr>
              <w:t>GvHD</w:t>
            </w:r>
          </w:p>
        </w:tc>
        <w:tc>
          <w:tcPr>
            <w:tcW w:w="832" w:type="pct"/>
            <w:tcBorders>
              <w:top w:val="single" w:sz="4" w:space="0" w:color="auto"/>
              <w:bottom w:val="single" w:sz="4" w:space="0" w:color="auto"/>
            </w:tcBorders>
          </w:tcPr>
          <w:p w:rsidR="00F061BF" w:rsidRPr="00C750F8" w:rsidRDefault="00F061BF" w:rsidP="00C750F8">
            <w:pPr>
              <w:keepNext/>
              <w:rPr>
                <w:rFonts w:ascii="Times New Roman" w:hAnsi="Times New Roman"/>
                <w:b/>
                <w:szCs w:val="24"/>
                <w:lang w:val="el-GR"/>
              </w:rPr>
            </w:pPr>
          </w:p>
          <w:p w:rsidR="00F061BF" w:rsidRPr="00C750F8" w:rsidRDefault="00F061BF" w:rsidP="00C750F8">
            <w:pPr>
              <w:keepNext/>
              <w:rPr>
                <w:rFonts w:ascii="Times New Roman" w:hAnsi="Times New Roman"/>
                <w:b/>
                <w:szCs w:val="24"/>
              </w:rPr>
            </w:pPr>
            <w:r w:rsidRPr="00C750F8">
              <w:rPr>
                <w:rFonts w:ascii="Times New Roman" w:hAnsi="Times New Roman"/>
                <w:b/>
                <w:szCs w:val="24"/>
                <w:lang w:val="el-GR"/>
              </w:rPr>
              <w:t>Χρόνιο</w:t>
            </w:r>
            <w:r w:rsidRPr="00C750F8">
              <w:rPr>
                <w:rFonts w:ascii="Times New Roman" w:hAnsi="Times New Roman"/>
                <w:b/>
                <w:szCs w:val="24"/>
              </w:rPr>
              <w:br/>
              <w:t>GvHD</w:t>
            </w:r>
          </w:p>
        </w:tc>
        <w:tc>
          <w:tcPr>
            <w:tcW w:w="832" w:type="pct"/>
            <w:tcBorders>
              <w:top w:val="single" w:sz="4" w:space="0" w:color="auto"/>
              <w:bottom w:val="single" w:sz="4" w:space="0" w:color="auto"/>
              <w:right w:val="single" w:sz="4" w:space="0" w:color="auto"/>
            </w:tcBorders>
          </w:tcPr>
          <w:p w:rsidR="00F061BF" w:rsidRPr="00C750F8" w:rsidRDefault="00F061BF" w:rsidP="00C750F8">
            <w:pPr>
              <w:keepNext/>
              <w:rPr>
                <w:rFonts w:ascii="Times New Roman" w:hAnsi="Times New Roman"/>
                <w:b/>
                <w:szCs w:val="24"/>
              </w:rPr>
            </w:pPr>
          </w:p>
          <w:p w:rsidR="00F061BF" w:rsidRPr="00C750F8" w:rsidRDefault="00F061BF" w:rsidP="00C750F8">
            <w:pPr>
              <w:keepNext/>
              <w:rPr>
                <w:rFonts w:ascii="Times New Roman" w:hAnsi="Times New Roman"/>
                <w:b/>
                <w:szCs w:val="24"/>
              </w:rPr>
            </w:pPr>
          </w:p>
          <w:p w:rsidR="00F061BF" w:rsidRPr="00C750F8" w:rsidRDefault="00F061BF" w:rsidP="00C750F8">
            <w:pPr>
              <w:keepNext/>
              <w:rPr>
                <w:rFonts w:ascii="Times New Roman" w:hAnsi="Times New Roman"/>
                <w:b/>
                <w:szCs w:val="24"/>
              </w:rPr>
            </w:pPr>
            <w:r w:rsidRPr="00C750F8">
              <w:rPr>
                <w:rFonts w:ascii="Times New Roman" w:hAnsi="Times New Roman"/>
                <w:b/>
                <w:szCs w:val="24"/>
              </w:rPr>
              <w:t>TRM</w:t>
            </w:r>
          </w:p>
        </w:tc>
      </w:tr>
      <w:tr w:rsidR="00F061BF" w:rsidRPr="00C750F8" w:rsidTr="00C750F8">
        <w:trPr>
          <w:cantSplit/>
          <w:jc w:val="center"/>
        </w:trPr>
        <w:tc>
          <w:tcPr>
            <w:tcW w:w="1098" w:type="pct"/>
            <w:tcBorders>
              <w:left w:val="single" w:sz="4" w:space="0" w:color="auto"/>
            </w:tcBorders>
          </w:tcPr>
          <w:p w:rsidR="00F061BF" w:rsidRPr="00C750F8" w:rsidRDefault="00F061BF" w:rsidP="00C750F8">
            <w:pPr>
              <w:keepNext/>
              <w:rPr>
                <w:rFonts w:ascii="Times New Roman" w:hAnsi="Times New Roman"/>
                <w:szCs w:val="24"/>
              </w:rPr>
            </w:pPr>
            <w:r w:rsidRPr="00C750F8">
              <w:rPr>
                <w:rFonts w:ascii="Times New Roman" w:hAnsi="Times New Roman"/>
                <w:szCs w:val="24"/>
                <w:lang w:val="el-GR"/>
              </w:rPr>
              <w:t>Μέτα - ανάλυση</w:t>
            </w:r>
            <w:r w:rsidRPr="00C750F8">
              <w:rPr>
                <w:rFonts w:ascii="Times New Roman" w:hAnsi="Times New Roman"/>
                <w:szCs w:val="24"/>
              </w:rPr>
              <w:br/>
              <w:t>(2003)</w:t>
            </w:r>
          </w:p>
        </w:tc>
        <w:tc>
          <w:tcPr>
            <w:tcW w:w="901" w:type="pct"/>
          </w:tcPr>
          <w:p w:rsidR="00F061BF" w:rsidRPr="00C750F8" w:rsidRDefault="00F061BF" w:rsidP="00C750F8">
            <w:pPr>
              <w:keepNext/>
              <w:rPr>
                <w:rFonts w:ascii="Times New Roman" w:eastAsia="MS PGothic" w:hAnsi="Times New Roman"/>
                <w:szCs w:val="24"/>
                <w:lang w:eastAsia="ja-JP"/>
              </w:rPr>
            </w:pPr>
          </w:p>
          <w:p w:rsidR="00F061BF" w:rsidRPr="00C750F8" w:rsidRDefault="00F061BF" w:rsidP="00C750F8">
            <w:pPr>
              <w:keepNext/>
              <w:rPr>
                <w:rFonts w:ascii="Times New Roman" w:eastAsia="MS PGothic" w:hAnsi="Times New Roman"/>
                <w:szCs w:val="24"/>
                <w:lang w:eastAsia="ja-JP"/>
              </w:rPr>
            </w:pPr>
            <w:r w:rsidRPr="00C750F8">
              <w:rPr>
                <w:rFonts w:ascii="Times New Roman" w:eastAsia="MS PGothic" w:hAnsi="Times New Roman"/>
                <w:szCs w:val="24"/>
                <w:lang w:eastAsia="ja-JP"/>
              </w:rPr>
              <w:t>1986-2001</w:t>
            </w:r>
            <w:r w:rsidRPr="00C750F8">
              <w:rPr>
                <w:rFonts w:ascii="Times New Roman" w:eastAsia="MS PGothic" w:hAnsi="Times New Roman"/>
                <w:szCs w:val="24"/>
                <w:vertAlign w:val="superscript"/>
                <w:lang w:eastAsia="ja-JP"/>
              </w:rPr>
              <w:t>a</w:t>
            </w:r>
          </w:p>
        </w:tc>
        <w:tc>
          <w:tcPr>
            <w:tcW w:w="505" w:type="pct"/>
          </w:tcPr>
          <w:p w:rsidR="00F061BF" w:rsidRPr="00C750F8" w:rsidRDefault="00F061BF" w:rsidP="00C750F8">
            <w:pPr>
              <w:keepNext/>
              <w:rPr>
                <w:rFonts w:ascii="Times New Roman" w:eastAsia="MS PGothic" w:hAnsi="Times New Roman"/>
                <w:szCs w:val="24"/>
                <w:lang w:eastAsia="ja-JP"/>
              </w:rPr>
            </w:pPr>
          </w:p>
          <w:p w:rsidR="00F061BF" w:rsidRPr="00C750F8" w:rsidRDefault="00F061BF" w:rsidP="00C750F8">
            <w:pPr>
              <w:keepNext/>
              <w:rPr>
                <w:rFonts w:ascii="Times New Roman" w:eastAsia="MS PGothic" w:hAnsi="Times New Roman"/>
                <w:szCs w:val="24"/>
                <w:lang w:eastAsia="ja-JP"/>
              </w:rPr>
            </w:pPr>
            <w:r w:rsidRPr="00C750F8">
              <w:rPr>
                <w:rFonts w:ascii="Times New Roman" w:eastAsia="MS PGothic" w:hAnsi="Times New Roman"/>
                <w:szCs w:val="24"/>
                <w:lang w:eastAsia="ja-JP"/>
              </w:rPr>
              <w:t>1198</w:t>
            </w:r>
          </w:p>
        </w:tc>
        <w:tc>
          <w:tcPr>
            <w:tcW w:w="832" w:type="pct"/>
          </w:tcPr>
          <w:p w:rsidR="00F061BF" w:rsidRPr="00C750F8" w:rsidRDefault="00F061BF" w:rsidP="00C750F8">
            <w:pPr>
              <w:keepNext/>
              <w:rPr>
                <w:rFonts w:ascii="Times New Roman" w:hAnsi="Times New Roman"/>
                <w:szCs w:val="24"/>
              </w:rPr>
            </w:pPr>
            <w:r w:rsidRPr="00C750F8">
              <w:rPr>
                <w:rFonts w:ascii="Times New Roman" w:eastAsia="MS PGothic" w:hAnsi="Times New Roman"/>
                <w:szCs w:val="24"/>
                <w:lang w:eastAsia="ja-JP"/>
              </w:rPr>
              <w:t xml:space="preserve">1.08 </w:t>
            </w:r>
            <w:r w:rsidRPr="00C750F8">
              <w:rPr>
                <w:rFonts w:ascii="Times New Roman" w:eastAsia="MS PGothic" w:hAnsi="Times New Roman"/>
                <w:szCs w:val="24"/>
                <w:lang w:eastAsia="ja-JP"/>
              </w:rPr>
              <w:br/>
              <w:t>(0.87, 1.33)</w:t>
            </w:r>
          </w:p>
        </w:tc>
        <w:tc>
          <w:tcPr>
            <w:tcW w:w="832" w:type="pct"/>
          </w:tcPr>
          <w:p w:rsidR="00F061BF" w:rsidRPr="00C750F8" w:rsidRDefault="00F061BF" w:rsidP="00C750F8">
            <w:pPr>
              <w:keepNext/>
              <w:rPr>
                <w:rFonts w:ascii="Times New Roman" w:hAnsi="Times New Roman"/>
                <w:szCs w:val="24"/>
              </w:rPr>
            </w:pPr>
            <w:r w:rsidRPr="00C750F8">
              <w:rPr>
                <w:rFonts w:ascii="Times New Roman" w:eastAsia="MS PGothic" w:hAnsi="Times New Roman"/>
                <w:szCs w:val="24"/>
                <w:lang w:eastAsia="ja-JP"/>
              </w:rPr>
              <w:t xml:space="preserve">1.02 </w:t>
            </w:r>
            <w:r w:rsidRPr="00C750F8">
              <w:rPr>
                <w:rFonts w:ascii="Times New Roman" w:eastAsia="MS PGothic" w:hAnsi="Times New Roman"/>
                <w:szCs w:val="24"/>
                <w:lang w:eastAsia="ja-JP"/>
              </w:rPr>
              <w:br/>
              <w:t>(0.82, 1.26)</w:t>
            </w:r>
          </w:p>
        </w:tc>
        <w:tc>
          <w:tcPr>
            <w:tcW w:w="832" w:type="pct"/>
            <w:tcBorders>
              <w:right w:val="single" w:sz="4" w:space="0" w:color="auto"/>
            </w:tcBorders>
          </w:tcPr>
          <w:p w:rsidR="00F061BF" w:rsidRPr="00C750F8" w:rsidRDefault="00F061BF" w:rsidP="00C750F8">
            <w:pPr>
              <w:keepNext/>
              <w:rPr>
                <w:rFonts w:ascii="Times New Roman" w:hAnsi="Times New Roman"/>
                <w:szCs w:val="24"/>
              </w:rPr>
            </w:pPr>
            <w:r w:rsidRPr="00C750F8">
              <w:rPr>
                <w:rFonts w:ascii="Times New Roman" w:eastAsia="MS PGothic" w:hAnsi="Times New Roman"/>
                <w:szCs w:val="24"/>
                <w:lang w:eastAsia="ja-JP"/>
              </w:rPr>
              <w:t xml:space="preserve">0.70 </w:t>
            </w:r>
            <w:r w:rsidRPr="00C750F8">
              <w:rPr>
                <w:rFonts w:ascii="Times New Roman" w:eastAsia="MS PGothic" w:hAnsi="Times New Roman"/>
                <w:szCs w:val="24"/>
                <w:lang w:eastAsia="ja-JP"/>
              </w:rPr>
              <w:br/>
              <w:t>(0.38, 1.31)</w:t>
            </w:r>
          </w:p>
        </w:tc>
      </w:tr>
      <w:tr w:rsidR="00F061BF" w:rsidRPr="00C750F8" w:rsidTr="00C750F8">
        <w:trPr>
          <w:cantSplit/>
          <w:jc w:val="center"/>
        </w:trPr>
        <w:tc>
          <w:tcPr>
            <w:tcW w:w="1098" w:type="pct"/>
            <w:tcBorders>
              <w:left w:val="single" w:sz="4" w:space="0" w:color="auto"/>
            </w:tcBorders>
          </w:tcPr>
          <w:p w:rsidR="00F061BF" w:rsidRPr="00C750F8" w:rsidRDefault="00F061BF" w:rsidP="006041AE">
            <w:pPr>
              <w:rPr>
                <w:rFonts w:ascii="Times New Roman" w:hAnsi="Times New Roman"/>
                <w:szCs w:val="24"/>
              </w:rPr>
            </w:pPr>
            <w:r w:rsidRPr="00C750F8">
              <w:rPr>
                <w:rFonts w:ascii="Times New Roman" w:hAnsi="Times New Roman"/>
                <w:szCs w:val="24"/>
                <w:lang w:val="el-GR"/>
              </w:rPr>
              <w:t>Ευρωπαϊκή Αναδρομική Μελέτη</w:t>
            </w:r>
            <w:r w:rsidRPr="00C750F8">
              <w:rPr>
                <w:rFonts w:ascii="Times New Roman" w:hAnsi="Times New Roman"/>
                <w:szCs w:val="24"/>
              </w:rPr>
              <w:t xml:space="preserve"> (2004)</w:t>
            </w:r>
          </w:p>
        </w:tc>
        <w:tc>
          <w:tcPr>
            <w:tcW w:w="901" w:type="pct"/>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r w:rsidRPr="00C750F8">
              <w:rPr>
                <w:rFonts w:ascii="Times New Roman" w:eastAsia="MS PGothic" w:hAnsi="Times New Roman"/>
                <w:szCs w:val="24"/>
                <w:lang w:eastAsia="ja-JP"/>
              </w:rPr>
              <w:t>1992-2002</w:t>
            </w:r>
            <w:r w:rsidRPr="00C750F8">
              <w:rPr>
                <w:rFonts w:ascii="Times New Roman" w:eastAsia="MS PGothic" w:hAnsi="Times New Roman"/>
                <w:szCs w:val="24"/>
                <w:vertAlign w:val="superscript"/>
                <w:lang w:eastAsia="ja-JP"/>
              </w:rPr>
              <w:t>b</w:t>
            </w:r>
          </w:p>
        </w:tc>
        <w:tc>
          <w:tcPr>
            <w:tcW w:w="505" w:type="pct"/>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r w:rsidRPr="00C750F8">
              <w:rPr>
                <w:rFonts w:ascii="Times New Roman" w:eastAsia="MS PGothic" w:hAnsi="Times New Roman"/>
                <w:szCs w:val="24"/>
                <w:lang w:eastAsia="ja-JP"/>
              </w:rPr>
              <w:t>1789</w:t>
            </w:r>
          </w:p>
        </w:tc>
        <w:tc>
          <w:tcPr>
            <w:tcW w:w="832" w:type="pct"/>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hAnsi="Times New Roman"/>
                <w:szCs w:val="24"/>
              </w:rPr>
            </w:pPr>
            <w:r w:rsidRPr="00C750F8">
              <w:rPr>
                <w:rFonts w:ascii="Times New Roman" w:eastAsia="MS PGothic" w:hAnsi="Times New Roman"/>
                <w:szCs w:val="24"/>
                <w:lang w:eastAsia="ja-JP"/>
              </w:rPr>
              <w:t xml:space="preserve">1.33 </w:t>
            </w:r>
            <w:r w:rsidRPr="00C750F8">
              <w:rPr>
                <w:rFonts w:ascii="Times New Roman" w:eastAsia="MS PGothic" w:hAnsi="Times New Roman"/>
                <w:szCs w:val="24"/>
                <w:lang w:eastAsia="ja-JP"/>
              </w:rPr>
              <w:br/>
              <w:t>(1.08, 1.64)</w:t>
            </w:r>
          </w:p>
        </w:tc>
        <w:tc>
          <w:tcPr>
            <w:tcW w:w="832" w:type="pct"/>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hAnsi="Times New Roman"/>
                <w:szCs w:val="24"/>
              </w:rPr>
            </w:pPr>
            <w:r w:rsidRPr="00C750F8">
              <w:rPr>
                <w:rFonts w:ascii="Times New Roman" w:eastAsia="MS PGothic" w:hAnsi="Times New Roman"/>
                <w:szCs w:val="24"/>
                <w:lang w:eastAsia="ja-JP"/>
              </w:rPr>
              <w:t xml:space="preserve">1.29 </w:t>
            </w:r>
            <w:r w:rsidRPr="00C750F8">
              <w:rPr>
                <w:rFonts w:ascii="Times New Roman" w:eastAsia="MS PGothic" w:hAnsi="Times New Roman"/>
                <w:szCs w:val="24"/>
                <w:lang w:eastAsia="ja-JP"/>
              </w:rPr>
              <w:br/>
              <w:t>(1.02, 1.61)</w:t>
            </w:r>
          </w:p>
        </w:tc>
        <w:tc>
          <w:tcPr>
            <w:tcW w:w="832" w:type="pct"/>
            <w:tcBorders>
              <w:right w:val="single" w:sz="4" w:space="0" w:color="auto"/>
            </w:tcBorders>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hAnsi="Times New Roman"/>
                <w:szCs w:val="24"/>
              </w:rPr>
            </w:pPr>
            <w:r w:rsidRPr="00C750F8">
              <w:rPr>
                <w:rFonts w:ascii="Times New Roman" w:eastAsia="MS PGothic" w:hAnsi="Times New Roman"/>
                <w:szCs w:val="24"/>
                <w:lang w:eastAsia="ja-JP"/>
              </w:rPr>
              <w:t xml:space="preserve">1.73 </w:t>
            </w:r>
            <w:r w:rsidRPr="00C750F8">
              <w:rPr>
                <w:rFonts w:ascii="Times New Roman" w:eastAsia="MS PGothic" w:hAnsi="Times New Roman"/>
                <w:szCs w:val="24"/>
                <w:lang w:eastAsia="ja-JP"/>
              </w:rPr>
              <w:br/>
              <w:t>(1.30, 2.32)</w:t>
            </w:r>
          </w:p>
        </w:tc>
      </w:tr>
      <w:tr w:rsidR="00F061BF" w:rsidRPr="00C750F8" w:rsidTr="00C750F8">
        <w:trPr>
          <w:cantSplit/>
          <w:jc w:val="center"/>
        </w:trPr>
        <w:tc>
          <w:tcPr>
            <w:tcW w:w="1098" w:type="pct"/>
            <w:tcBorders>
              <w:left w:val="single" w:sz="4" w:space="0" w:color="auto"/>
            </w:tcBorders>
          </w:tcPr>
          <w:p w:rsidR="00F061BF" w:rsidRPr="00C750F8" w:rsidRDefault="00F061BF" w:rsidP="006041AE">
            <w:pPr>
              <w:rPr>
                <w:rFonts w:ascii="Times New Roman" w:hAnsi="Times New Roman"/>
                <w:szCs w:val="24"/>
              </w:rPr>
            </w:pPr>
            <w:r w:rsidRPr="00C750F8">
              <w:rPr>
                <w:rFonts w:ascii="Times New Roman" w:hAnsi="Times New Roman"/>
                <w:szCs w:val="24"/>
                <w:lang w:val="el-GR"/>
              </w:rPr>
              <w:lastRenderedPageBreak/>
              <w:t xml:space="preserve">Διεθνής Αναδρομική Μελέτη </w:t>
            </w:r>
            <w:r w:rsidRPr="00C750F8">
              <w:rPr>
                <w:rFonts w:ascii="Times New Roman" w:hAnsi="Times New Roman"/>
                <w:szCs w:val="24"/>
              </w:rPr>
              <w:t>(2006)</w:t>
            </w:r>
          </w:p>
        </w:tc>
        <w:tc>
          <w:tcPr>
            <w:tcW w:w="901" w:type="pct"/>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r w:rsidRPr="00C750F8">
              <w:rPr>
                <w:rFonts w:ascii="Times New Roman" w:eastAsia="MS PGothic" w:hAnsi="Times New Roman"/>
                <w:szCs w:val="24"/>
                <w:lang w:eastAsia="ja-JP"/>
              </w:rPr>
              <w:t>1995-2000</w:t>
            </w:r>
            <w:r w:rsidRPr="00C750F8">
              <w:rPr>
                <w:rFonts w:ascii="Times New Roman" w:eastAsia="MS PGothic" w:hAnsi="Times New Roman"/>
                <w:szCs w:val="24"/>
                <w:vertAlign w:val="superscript"/>
                <w:lang w:eastAsia="ja-JP"/>
              </w:rPr>
              <w:t>b</w:t>
            </w:r>
          </w:p>
        </w:tc>
        <w:tc>
          <w:tcPr>
            <w:tcW w:w="505" w:type="pct"/>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r w:rsidRPr="00C750F8">
              <w:rPr>
                <w:rFonts w:ascii="Times New Roman" w:eastAsia="MS PGothic" w:hAnsi="Times New Roman"/>
                <w:szCs w:val="24"/>
                <w:lang w:eastAsia="ja-JP"/>
              </w:rPr>
              <w:t>2110</w:t>
            </w:r>
          </w:p>
        </w:tc>
        <w:tc>
          <w:tcPr>
            <w:tcW w:w="832" w:type="pct"/>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r w:rsidRPr="00C750F8">
              <w:rPr>
                <w:rFonts w:ascii="Times New Roman" w:eastAsia="MS PGothic" w:hAnsi="Times New Roman"/>
                <w:szCs w:val="24"/>
                <w:lang w:eastAsia="ja-JP"/>
              </w:rPr>
              <w:t xml:space="preserve">1.11 </w:t>
            </w:r>
            <w:r w:rsidRPr="00C750F8">
              <w:rPr>
                <w:rFonts w:ascii="Times New Roman" w:eastAsia="MS PGothic" w:hAnsi="Times New Roman"/>
                <w:szCs w:val="24"/>
                <w:lang w:eastAsia="ja-JP"/>
              </w:rPr>
              <w:br/>
              <w:t>(0.86, 1.42)</w:t>
            </w:r>
          </w:p>
        </w:tc>
        <w:tc>
          <w:tcPr>
            <w:tcW w:w="832" w:type="pct"/>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r w:rsidRPr="00C750F8">
              <w:rPr>
                <w:rFonts w:ascii="Times New Roman" w:eastAsia="MS PGothic" w:hAnsi="Times New Roman"/>
                <w:szCs w:val="24"/>
                <w:lang w:eastAsia="ja-JP"/>
              </w:rPr>
              <w:t xml:space="preserve">1.10 </w:t>
            </w:r>
            <w:r w:rsidRPr="00C750F8">
              <w:rPr>
                <w:rFonts w:ascii="Times New Roman" w:eastAsia="MS PGothic" w:hAnsi="Times New Roman"/>
                <w:szCs w:val="24"/>
                <w:lang w:eastAsia="ja-JP"/>
              </w:rPr>
              <w:br/>
              <w:t>(0.86, 1.39)</w:t>
            </w:r>
          </w:p>
        </w:tc>
        <w:tc>
          <w:tcPr>
            <w:tcW w:w="832" w:type="pct"/>
            <w:tcBorders>
              <w:right w:val="single" w:sz="4" w:space="0" w:color="auto"/>
            </w:tcBorders>
          </w:tcPr>
          <w:p w:rsidR="00F061BF" w:rsidRPr="00C750F8" w:rsidRDefault="00F061BF" w:rsidP="006041AE">
            <w:pPr>
              <w:rPr>
                <w:rFonts w:ascii="Times New Roman" w:eastAsia="MS PGothic" w:hAnsi="Times New Roman"/>
                <w:szCs w:val="24"/>
                <w:lang w:eastAsia="ja-JP"/>
              </w:rPr>
            </w:pPr>
          </w:p>
          <w:p w:rsidR="00F061BF" w:rsidRPr="00C750F8" w:rsidRDefault="00F061BF" w:rsidP="006041AE">
            <w:pPr>
              <w:rPr>
                <w:rFonts w:ascii="Times New Roman" w:eastAsia="MS PGothic" w:hAnsi="Times New Roman"/>
                <w:szCs w:val="24"/>
                <w:lang w:eastAsia="ja-JP"/>
              </w:rPr>
            </w:pPr>
            <w:r w:rsidRPr="00C750F8">
              <w:rPr>
                <w:rFonts w:ascii="Times New Roman" w:eastAsia="MS PGothic" w:hAnsi="Times New Roman"/>
                <w:szCs w:val="24"/>
                <w:lang w:eastAsia="ja-JP"/>
              </w:rPr>
              <w:t xml:space="preserve">1.26 </w:t>
            </w:r>
            <w:r w:rsidRPr="00C750F8">
              <w:rPr>
                <w:rFonts w:ascii="Times New Roman" w:eastAsia="MS PGothic" w:hAnsi="Times New Roman"/>
                <w:szCs w:val="24"/>
                <w:lang w:eastAsia="ja-JP"/>
              </w:rPr>
              <w:br/>
              <w:t>(0.95, 1.67)</w:t>
            </w:r>
          </w:p>
        </w:tc>
      </w:tr>
    </w:tbl>
    <w:p w:rsidR="00F061BF" w:rsidRPr="007D5E17" w:rsidRDefault="00F061BF" w:rsidP="00F061BF">
      <w:pPr>
        <w:rPr>
          <w:rFonts w:ascii="Times New Roman" w:hAnsi="Times New Roman"/>
          <w:szCs w:val="24"/>
          <w:lang w:val="el-GR"/>
        </w:rPr>
      </w:pPr>
      <w:r w:rsidRPr="007D5E17">
        <w:rPr>
          <w:rFonts w:ascii="Times New Roman" w:hAnsi="Times New Roman"/>
          <w:szCs w:val="24"/>
          <w:vertAlign w:val="superscript"/>
        </w:rPr>
        <w:t>a</w:t>
      </w:r>
      <w:r w:rsidRPr="007D5E17">
        <w:rPr>
          <w:rFonts w:ascii="Times New Roman" w:hAnsi="Times New Roman"/>
          <w:szCs w:val="24"/>
          <w:lang w:val="el-GR"/>
        </w:rPr>
        <w:t xml:space="preserve">Η ανάλυση περιλαμβάνει μελέτες που περιλαμβάνουν μεταμόσχευση μυελού των οστών κατά τη διάρκεια αυτής της περιόδου. Σε ορισμένες μελέτες χρησιμοποιήθηκε </w:t>
      </w:r>
      <w:r w:rsidRPr="007D5E17">
        <w:rPr>
          <w:rFonts w:ascii="Times New Roman" w:hAnsi="Times New Roman"/>
          <w:szCs w:val="24"/>
        </w:rPr>
        <w:t>GM</w:t>
      </w:r>
      <w:r w:rsidRPr="007D5E17">
        <w:rPr>
          <w:rFonts w:ascii="Times New Roman" w:hAnsi="Times New Roman"/>
          <w:szCs w:val="24"/>
          <w:lang w:val="el-GR"/>
        </w:rPr>
        <w:t>-</w:t>
      </w:r>
      <w:r w:rsidRPr="007D5E17">
        <w:rPr>
          <w:rFonts w:ascii="Times New Roman" w:hAnsi="Times New Roman"/>
          <w:szCs w:val="24"/>
        </w:rPr>
        <w:t>CSF</w:t>
      </w:r>
      <w:r w:rsidRPr="007D5E17">
        <w:rPr>
          <w:rFonts w:ascii="Times New Roman" w:hAnsi="Times New Roman"/>
          <w:szCs w:val="24"/>
          <w:lang w:val="el-GR"/>
        </w:rPr>
        <w:t>.</w:t>
      </w:r>
    </w:p>
    <w:p w:rsidR="00F061BF" w:rsidRPr="007D5E17" w:rsidRDefault="00F061BF" w:rsidP="00F061BF">
      <w:pPr>
        <w:rPr>
          <w:rFonts w:ascii="Times New Roman" w:hAnsi="Times New Roman"/>
          <w:szCs w:val="24"/>
          <w:lang w:val="el-GR"/>
        </w:rPr>
      </w:pPr>
      <w:r w:rsidRPr="007D5E17">
        <w:rPr>
          <w:rFonts w:ascii="Times New Roman" w:hAnsi="Times New Roman"/>
          <w:szCs w:val="24"/>
          <w:vertAlign w:val="superscript"/>
        </w:rPr>
        <w:t>b</w:t>
      </w:r>
      <w:r w:rsidRPr="007D5E17">
        <w:rPr>
          <w:rFonts w:ascii="Times New Roman" w:hAnsi="Times New Roman"/>
          <w:szCs w:val="24"/>
          <w:lang w:val="el-GR"/>
        </w:rPr>
        <w:t>Η ανάλυση περιλαμβάνει ασθενείς που υποβλήθηκαν σε μεταμόσχευση μυελού των οστών κατά τη διάρκεια αυτής της περιόδου.</w:t>
      </w:r>
    </w:p>
    <w:p w:rsidR="0090312E" w:rsidRPr="00F8543C" w:rsidRDefault="0090312E">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477ED1"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u w:val="single"/>
          <w:lang w:val="el-GR"/>
        </w:rPr>
      </w:pPr>
      <w:r w:rsidRPr="00477ED1">
        <w:rPr>
          <w:rFonts w:ascii="Times New Roman" w:hAnsi="Times New Roman"/>
          <w:spacing w:val="-2"/>
          <w:u w:val="single"/>
          <w:lang w:val="el-GR"/>
        </w:rPr>
        <w:t xml:space="preserve">Χρήση της </w:t>
      </w:r>
      <w:r w:rsidRPr="00477ED1">
        <w:rPr>
          <w:rFonts w:ascii="Times New Roman" w:hAnsi="Times New Roman"/>
          <w:spacing w:val="-2"/>
          <w:u w:val="single"/>
        </w:rPr>
        <w:t>filgrastim</w:t>
      </w:r>
      <w:r w:rsidRPr="00477ED1">
        <w:rPr>
          <w:rFonts w:ascii="Times New Roman" w:hAnsi="Times New Roman"/>
          <w:spacing w:val="-2"/>
          <w:u w:val="single"/>
          <w:lang w:val="el-GR"/>
        </w:rPr>
        <w:t xml:space="preserve"> για την κινητοποίηση των προγονικών κυττάρων του περιφερικού αίματος σε υγιείς δότες πριν τη μεταμόσχευση αλλογενών προγονικών κυττάρων του περιφερικού αίματος.</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i/>
          <w:spacing w:val="-2"/>
          <w:lang w:val="el-GR"/>
        </w:rPr>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Σε υγιείς δότες, δόση 10μ</w:t>
      </w:r>
      <w:r w:rsidRPr="00F8543C">
        <w:rPr>
          <w:rFonts w:ascii="Times New Roman" w:hAnsi="Times New Roman"/>
          <w:spacing w:val="-2"/>
        </w:rPr>
        <w:t>g</w:t>
      </w:r>
      <w:r w:rsidRPr="00F8543C">
        <w:rPr>
          <w:rFonts w:ascii="Times New Roman" w:hAnsi="Times New Roman"/>
          <w:spacing w:val="-2"/>
          <w:lang w:val="el-GR"/>
        </w:rPr>
        <w:t>/</w:t>
      </w:r>
      <w:r w:rsidRPr="00F8543C">
        <w:rPr>
          <w:rFonts w:ascii="Times New Roman" w:hAnsi="Times New Roman"/>
          <w:spacing w:val="-2"/>
        </w:rPr>
        <w:t>kg</w:t>
      </w:r>
      <w:r w:rsidRPr="00F8543C">
        <w:rPr>
          <w:rFonts w:ascii="Times New Roman" w:hAnsi="Times New Roman"/>
          <w:spacing w:val="-2"/>
          <w:lang w:val="el-GR"/>
        </w:rPr>
        <w:t xml:space="preserve">/ημέρα χορηγούμενη υποδορίως για 4-5 συνεχείς ημέρες, επιτρέπει τη συλλογή </w:t>
      </w:r>
      <w:r w:rsidRPr="00F8543C">
        <w:rPr>
          <w:rFonts w:ascii="Times New Roman" w:hAnsi="Times New Roman"/>
          <w:spacing w:val="-2"/>
          <w:u w:val="single"/>
          <w:lang w:val="el-GR"/>
        </w:rPr>
        <w:t>&gt;</w:t>
      </w:r>
      <w:r w:rsidRPr="00F8543C">
        <w:rPr>
          <w:rFonts w:ascii="Times New Roman" w:hAnsi="Times New Roman"/>
          <w:spacing w:val="-2"/>
          <w:lang w:val="el-GR"/>
        </w:rPr>
        <w:t xml:space="preserve"> 4 </w:t>
      </w:r>
      <w:r w:rsidRPr="00F8543C">
        <w:rPr>
          <w:rFonts w:ascii="Times New Roman" w:hAnsi="Times New Roman"/>
          <w:spacing w:val="-2"/>
        </w:rPr>
        <w:t>x</w:t>
      </w:r>
      <w:r w:rsidRPr="00F8543C">
        <w:rPr>
          <w:rFonts w:ascii="Times New Roman" w:hAnsi="Times New Roman"/>
          <w:spacing w:val="-2"/>
          <w:lang w:val="el-GR"/>
        </w:rPr>
        <w:t xml:space="preserve"> 10</w:t>
      </w:r>
      <w:r w:rsidRPr="00F8543C">
        <w:rPr>
          <w:rFonts w:ascii="Times New Roman" w:hAnsi="Times New Roman"/>
          <w:spacing w:val="-2"/>
          <w:vertAlign w:val="superscript"/>
          <w:lang w:val="el-GR"/>
        </w:rPr>
        <w:t>6</w:t>
      </w:r>
      <w:r w:rsidRPr="00F8543C">
        <w:rPr>
          <w:rFonts w:ascii="Times New Roman" w:hAnsi="Times New Roman"/>
          <w:spacing w:val="-2"/>
          <w:lang w:val="el-GR"/>
        </w:rPr>
        <w:t xml:space="preserve"> </w:t>
      </w:r>
      <w:r w:rsidRPr="00F8543C">
        <w:rPr>
          <w:rFonts w:ascii="Times New Roman" w:hAnsi="Times New Roman"/>
          <w:spacing w:val="-2"/>
        </w:rPr>
        <w:t>CD</w:t>
      </w:r>
      <w:r w:rsidRPr="00F8543C">
        <w:rPr>
          <w:rFonts w:ascii="Times New Roman" w:hAnsi="Times New Roman"/>
          <w:spacing w:val="-2"/>
          <w:lang w:val="el-GR"/>
        </w:rPr>
        <w:t>34</w:t>
      </w:r>
      <w:r w:rsidRPr="00F8543C">
        <w:rPr>
          <w:rFonts w:ascii="Times New Roman" w:hAnsi="Times New Roman"/>
          <w:spacing w:val="-2"/>
          <w:vertAlign w:val="superscript"/>
          <w:lang w:val="el-GR"/>
        </w:rPr>
        <w:t>+</w:t>
      </w:r>
      <w:r w:rsidRPr="00F8543C">
        <w:rPr>
          <w:rFonts w:ascii="Times New Roman" w:hAnsi="Times New Roman"/>
          <w:spacing w:val="-2"/>
          <w:lang w:val="el-GR"/>
        </w:rPr>
        <w:t xml:space="preserve"> κυττάρων /</w:t>
      </w:r>
      <w:r w:rsidRPr="00F8543C">
        <w:rPr>
          <w:rFonts w:ascii="Times New Roman" w:hAnsi="Times New Roman"/>
          <w:spacing w:val="-2"/>
        </w:rPr>
        <w:t>kg</w:t>
      </w:r>
      <w:r w:rsidRPr="00F8543C">
        <w:rPr>
          <w:rFonts w:ascii="Times New Roman" w:hAnsi="Times New Roman"/>
          <w:spacing w:val="-2"/>
          <w:lang w:val="el-GR"/>
        </w:rPr>
        <w:t xml:space="preserve"> βάρους σώματος λήπτη στην πλειοψηφία των δοτών, μετά από δύο λευκαφαιρέσεις.</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Η </w:t>
      </w:r>
      <w:r w:rsidRPr="00F8543C">
        <w:rPr>
          <w:rFonts w:ascii="Times New Roman" w:hAnsi="Times New Roman"/>
          <w:bCs/>
          <w:spacing w:val="-2"/>
          <w:lang w:val="el-GR"/>
        </w:rPr>
        <w:t>χρήση της filgrastim</w:t>
      </w:r>
      <w:r w:rsidRPr="00F8543C">
        <w:rPr>
          <w:rFonts w:ascii="Times New Roman" w:hAnsi="Times New Roman"/>
          <w:spacing w:val="-2"/>
          <w:lang w:val="el-GR"/>
        </w:rPr>
        <w:t xml:space="preserve"> σε ασθενείς, παιδιά ή ενήλικες, με σοβαρή </w:t>
      </w:r>
      <w:r>
        <w:rPr>
          <w:rFonts w:ascii="Times New Roman" w:hAnsi="Times New Roman"/>
          <w:spacing w:val="-2"/>
          <w:lang w:val="el-GR"/>
        </w:rPr>
        <w:t>χ</w:t>
      </w:r>
      <w:r w:rsidRPr="00F8543C">
        <w:rPr>
          <w:rFonts w:ascii="Times New Roman" w:hAnsi="Times New Roman"/>
          <w:spacing w:val="-2"/>
          <w:lang w:val="el-GR"/>
        </w:rPr>
        <w:t>ρόνια ουδετεροπενία (σοβαρή συγγενή, κυκλική και ιδιοπαθή ουδετεροπενία) προκαλεί συνε</w:t>
      </w:r>
      <w:r>
        <w:rPr>
          <w:rFonts w:ascii="Times New Roman" w:hAnsi="Times New Roman"/>
          <w:spacing w:val="-2"/>
          <w:lang w:val="el-GR"/>
        </w:rPr>
        <w:t>χ</w:t>
      </w:r>
      <w:r w:rsidRPr="00F8543C">
        <w:rPr>
          <w:rFonts w:ascii="Times New Roman" w:hAnsi="Times New Roman"/>
          <w:spacing w:val="-2"/>
          <w:lang w:val="el-GR"/>
        </w:rPr>
        <w:t xml:space="preserve">ή αύξηση του απόλυτου αριθμού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στο περιφερικό αίμα καθώς και μείωση των λοιμώξεων και των περιστατικών που σ</w:t>
      </w:r>
      <w:r>
        <w:rPr>
          <w:rFonts w:ascii="Times New Roman" w:hAnsi="Times New Roman"/>
          <w:spacing w:val="-2"/>
          <w:lang w:val="el-GR"/>
        </w:rPr>
        <w:t>χ</w:t>
      </w:r>
      <w:r w:rsidRPr="00F8543C">
        <w:rPr>
          <w:rFonts w:ascii="Times New Roman" w:hAnsi="Times New Roman"/>
          <w:spacing w:val="-2"/>
          <w:lang w:val="el-GR"/>
        </w:rPr>
        <w:t>ετίζονται με αυτές.</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tabs>
          <w:tab w:val="left" w:pos="-851"/>
          <w:tab w:val="left" w:pos="-131"/>
          <w:tab w:val="left" w:pos="0"/>
          <w:tab w:val="left" w:pos="284"/>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hanging="7"/>
        <w:jc w:val="both"/>
        <w:rPr>
          <w:rFonts w:ascii="Times New Roman" w:hAnsi="Times New Roman"/>
          <w:spacing w:val="-2"/>
          <w:lang w:val="el-GR"/>
        </w:rPr>
      </w:pPr>
      <w:r w:rsidRPr="00F8543C">
        <w:rPr>
          <w:rFonts w:ascii="Times New Roman" w:hAnsi="Times New Roman"/>
          <w:spacing w:val="-2"/>
          <w:lang w:val="el-GR"/>
        </w:rPr>
        <w:t xml:space="preserve">Η χρήση της </w:t>
      </w:r>
      <w:r w:rsidRPr="00F8543C">
        <w:rPr>
          <w:rFonts w:ascii="Times New Roman" w:hAnsi="Times New Roman"/>
          <w:spacing w:val="-2"/>
        </w:rPr>
        <w:t>filgrastim</w:t>
      </w:r>
      <w:r w:rsidRPr="00F8543C">
        <w:rPr>
          <w:rFonts w:ascii="Times New Roman" w:hAnsi="Times New Roman"/>
          <w:spacing w:val="-2"/>
          <w:lang w:val="el-GR"/>
        </w:rPr>
        <w:t xml:space="preserve"> σε ασθενείς με HIV λοίμωξη έχει σαν αποτέλεσμα τη διατήρηση του αριθμού των </w:t>
      </w:r>
      <w:r w:rsidR="00946D24">
        <w:rPr>
          <w:rFonts w:ascii="Times New Roman" w:hAnsi="Times New Roman"/>
          <w:spacing w:val="-2"/>
          <w:lang w:val="el-GR"/>
        </w:rPr>
        <w:t>ουδετερόφιλων</w:t>
      </w:r>
      <w:r w:rsidRPr="00F8543C">
        <w:rPr>
          <w:rFonts w:ascii="Times New Roman" w:hAnsi="Times New Roman"/>
          <w:spacing w:val="-2"/>
          <w:lang w:val="el-GR"/>
        </w:rPr>
        <w:t xml:space="preserve"> σε φυσιολογικά επίπεδα για να επιτραπεί η προγραμματισμένη χορήγηση δόσεων αντιιικών και/ή άλλων μυελοκατασταλτικών φαρμάκων. Δεν υπάρχει ένδειξη ότι οι ασθενείς με HIV λοίμωξη που λαμβάνουν filgrastim εμφανίζουν αύξηση της αναπαραγωγής του ιού HIV. </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 xml:space="preserve">Όπως και άλλοι αιμοποιητικοί αυξητικοί παράγοντες, έχει αποδειχθεί </w:t>
      </w:r>
      <w:r w:rsidRPr="00F8543C">
        <w:rPr>
          <w:rFonts w:ascii="Times New Roman" w:hAnsi="Times New Roman"/>
          <w:bCs/>
          <w:i/>
          <w:spacing w:val="-2"/>
          <w:lang w:val="el-GR"/>
        </w:rPr>
        <w:t>in vitro</w:t>
      </w:r>
      <w:r w:rsidRPr="00F8543C">
        <w:rPr>
          <w:rFonts w:ascii="Times New Roman" w:hAnsi="Times New Roman"/>
          <w:bCs/>
          <w:spacing w:val="-2"/>
          <w:lang w:val="el-GR"/>
        </w:rPr>
        <w:t xml:space="preserve"> ότι ο G-CSF έχει διεγερτικές ιδιότητες στα ανθρώπινα κύτταρα του ενδοθηλίου.  </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061BF" w:rsidRPr="00F8543C" w:rsidRDefault="00046C03"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b/>
          <w:spacing w:val="-2"/>
          <w:lang w:val="el-GR"/>
        </w:rPr>
      </w:pPr>
      <w:r w:rsidRPr="00F8543C">
        <w:rPr>
          <w:rFonts w:ascii="Times New Roman" w:hAnsi="Times New Roman"/>
          <w:b/>
          <w:spacing w:val="-2"/>
          <w:lang w:val="el-GR"/>
        </w:rPr>
        <w:t>5.2</w:t>
      </w:r>
      <w:r w:rsidRPr="00F8543C">
        <w:rPr>
          <w:rFonts w:ascii="Times New Roman" w:hAnsi="Times New Roman"/>
          <w:b/>
          <w:spacing w:val="-2"/>
          <w:lang w:val="el-GR"/>
        </w:rPr>
        <w:tab/>
      </w:r>
      <w:r w:rsidRPr="00F8543C">
        <w:rPr>
          <w:rFonts w:ascii="Times New Roman" w:hAnsi="Times New Roman"/>
          <w:b/>
          <w:spacing w:val="-2"/>
          <w:lang w:val="el-GR"/>
        </w:rPr>
        <w:tab/>
      </w:r>
      <w:r w:rsidR="00F061BF" w:rsidRPr="00F8543C">
        <w:rPr>
          <w:rFonts w:ascii="Times New Roman" w:hAnsi="Times New Roman"/>
          <w:b/>
          <w:spacing w:val="-2"/>
          <w:lang w:val="el-GR"/>
        </w:rPr>
        <w:t>Φαρμακοκινητικές ιδιότητες</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46C03" w:rsidRPr="00F8543C" w:rsidRDefault="00F061BF">
      <w:pPr>
        <w:pStyle w:val="22"/>
      </w:pPr>
      <w:r w:rsidRPr="00F8543C">
        <w:t xml:space="preserve">Έχει αποδειχθεί ότι η κάθαρση </w:t>
      </w:r>
      <w:r w:rsidRPr="00F8543C">
        <w:rPr>
          <w:bCs/>
        </w:rPr>
        <w:t>της filgrastim</w:t>
      </w:r>
      <w:r w:rsidRPr="00F8543C">
        <w:t xml:space="preserve"> ακολουθεί φαρμακοκινητική πρώτης τάξης τόσο μετά από υποδόρια όσο και </w:t>
      </w:r>
      <w:r>
        <w:t xml:space="preserve">μετά από </w:t>
      </w:r>
      <w:r w:rsidRPr="00F8543C">
        <w:t xml:space="preserve">ενδοφλέβια </w:t>
      </w:r>
      <w:r>
        <w:t>χ</w:t>
      </w:r>
      <w:r w:rsidRPr="00F8543C">
        <w:t xml:space="preserve">ορήγηση. Ο </w:t>
      </w:r>
      <w:r>
        <w:t>χ</w:t>
      </w:r>
      <w:r w:rsidRPr="00F8543C">
        <w:t xml:space="preserve">ρόνος ημιζωής αποβολής στον ορό της </w:t>
      </w:r>
      <w:r w:rsidRPr="00F8543C">
        <w:rPr>
          <w:lang w:val="en-US"/>
        </w:rPr>
        <w:t>filgrastim</w:t>
      </w:r>
      <w:r w:rsidRPr="00F8543C">
        <w:t xml:space="preserve"> είναι περίπου 3,5 ώρες με ένα ρυθμό κ</w:t>
      </w:r>
      <w:r>
        <w:t>άθαρσης περίπου 0,6 ml/min/kg. Η συνεχ</w:t>
      </w:r>
      <w:r w:rsidRPr="00F8543C">
        <w:t>ής έγ</w:t>
      </w:r>
      <w:r>
        <w:t>χ</w:t>
      </w:r>
      <w:r w:rsidRPr="00F8543C">
        <w:t xml:space="preserve">υση GRANULOKINE για </w:t>
      </w:r>
      <w:r>
        <w:t>χ</w:t>
      </w:r>
      <w:r w:rsidRPr="00F8543C">
        <w:t>ρονικό διάστημα μέ</w:t>
      </w:r>
      <w:r>
        <w:t>χ</w:t>
      </w:r>
      <w:r w:rsidRPr="00F8543C">
        <w:t xml:space="preserve">ρι 28 ημερών σε ασθενείς που βρίσκονται σε ανάρρωση μετά από </w:t>
      </w:r>
      <w:r w:rsidRPr="00BC38B1">
        <w:t xml:space="preserve">αυτόλογη </w:t>
      </w:r>
      <w:r>
        <w:t>μεταμόσ</w:t>
      </w:r>
      <w:r w:rsidRPr="00BC38B1">
        <w:t>χ</w:t>
      </w:r>
      <w:r w:rsidRPr="00F8543C">
        <w:t xml:space="preserve">ευση μυελού των οστών, δεν έδειξε κανένα σημείο </w:t>
      </w:r>
      <w:r>
        <w:t>συσσώρευσης</w:t>
      </w:r>
      <w:r w:rsidRPr="00F8543C">
        <w:t xml:space="preserve"> του φαρμάκου και εί</w:t>
      </w:r>
      <w:r>
        <w:t>χ</w:t>
      </w:r>
      <w:r w:rsidRPr="00F8543C">
        <w:t xml:space="preserve">ε συγκρίσιμο </w:t>
      </w:r>
      <w:r>
        <w:t>χ</w:t>
      </w:r>
      <w:r w:rsidRPr="00F8543C">
        <w:t>ρόνο ημιζωής αποβολής. Υπάρ</w:t>
      </w:r>
      <w:r>
        <w:t>χ</w:t>
      </w:r>
      <w:r w:rsidRPr="00F8543C">
        <w:t>ει μια θετική γραμμική συσ</w:t>
      </w:r>
      <w:r>
        <w:t>χ</w:t>
      </w:r>
      <w:r w:rsidRPr="00F8543C">
        <w:t xml:space="preserve">έτιση μεταξύ δόσης και συγκέντρωσης στον ορό της </w:t>
      </w:r>
      <w:r w:rsidRPr="00F8543C">
        <w:rPr>
          <w:bCs/>
          <w:lang w:val="en-US"/>
        </w:rPr>
        <w:t>filgrastim</w:t>
      </w:r>
      <w:r w:rsidRPr="00F8543C">
        <w:t xml:space="preserve"> </w:t>
      </w:r>
      <w:r>
        <w:t>χ</w:t>
      </w:r>
      <w:r w:rsidRPr="00F8543C">
        <w:t xml:space="preserve">ορηγούμενης είτε ενδοφλέβια, είτε υποδόρια.  Μετά από υποδόρια </w:t>
      </w:r>
      <w:r>
        <w:t>χ</w:t>
      </w:r>
      <w:r w:rsidRPr="00F8543C">
        <w:t xml:space="preserve">ορήγηση των συνιστώμενων δόσεων, οι συγκεντρώσεις στον ορό διατηρήθηκαν πάνω από 10 ng/ml για 8-16 ώρες. Ο όγκος κατανομής στο αίμα είναι περίπου 150 </w:t>
      </w:r>
      <w:r>
        <w:t>ml/kg.</w:t>
      </w:r>
    </w:p>
    <w:p w:rsidR="00046C03" w:rsidRPr="00F8543C" w:rsidRDefault="00046C03">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046C03"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5.3</w:t>
      </w:r>
      <w:r w:rsidRPr="00F8543C">
        <w:rPr>
          <w:rFonts w:ascii="Times New Roman" w:hAnsi="Times New Roman"/>
          <w:b/>
          <w:spacing w:val="-2"/>
          <w:lang w:val="el-GR"/>
        </w:rPr>
        <w:tab/>
      </w:r>
      <w:r w:rsidRPr="00F8543C">
        <w:rPr>
          <w:rFonts w:ascii="Times New Roman" w:hAnsi="Times New Roman"/>
          <w:b/>
          <w:spacing w:val="-2"/>
          <w:lang w:val="el-GR"/>
        </w:rPr>
        <w:tab/>
      </w:r>
      <w:r w:rsidR="00F061BF">
        <w:rPr>
          <w:rFonts w:ascii="Times New Roman" w:hAnsi="Times New Roman"/>
          <w:b/>
          <w:spacing w:val="-2"/>
          <w:lang w:val="el-GR"/>
        </w:rPr>
        <w:t xml:space="preserve">Προκλινικά </w:t>
      </w:r>
      <w:r w:rsidR="00371435">
        <w:rPr>
          <w:rFonts w:ascii="Times New Roman" w:hAnsi="Times New Roman"/>
          <w:b/>
          <w:spacing w:val="-2"/>
          <w:lang w:val="el-GR"/>
        </w:rPr>
        <w:t>δεδομένα</w:t>
      </w:r>
      <w:r w:rsidR="00F061BF" w:rsidRPr="00F8543C">
        <w:rPr>
          <w:rFonts w:ascii="Times New Roman" w:hAnsi="Times New Roman"/>
          <w:b/>
          <w:spacing w:val="-2"/>
          <w:lang w:val="el-GR"/>
        </w:rPr>
        <w:t xml:space="preserve"> για την ασφάλεια</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spacing w:val="-2"/>
          <w:lang w:val="el-GR"/>
        </w:rPr>
        <w:t xml:space="preserve">Δεν υπάρχουν </w:t>
      </w:r>
      <w:r w:rsidRPr="00BC38B1">
        <w:rPr>
          <w:rFonts w:ascii="Times New Roman" w:hAnsi="Times New Roman"/>
          <w:spacing w:val="-2"/>
          <w:lang w:val="el-GR"/>
        </w:rPr>
        <w:t xml:space="preserve">επιπλέον </w:t>
      </w:r>
      <w:r w:rsidRPr="00F8543C">
        <w:rPr>
          <w:rFonts w:ascii="Times New Roman" w:hAnsi="Times New Roman"/>
          <w:spacing w:val="-2"/>
          <w:lang w:val="el-GR"/>
        </w:rPr>
        <w:t xml:space="preserve">προκλινικά </w:t>
      </w:r>
      <w:r w:rsidRPr="00BC38B1">
        <w:rPr>
          <w:rFonts w:ascii="Times New Roman" w:hAnsi="Times New Roman"/>
          <w:spacing w:val="-2"/>
          <w:lang w:val="el-GR"/>
        </w:rPr>
        <w:t xml:space="preserve">στοιχεία </w:t>
      </w:r>
      <w:r w:rsidRPr="00BC38B1">
        <w:rPr>
          <w:rFonts w:ascii="Times New Roman" w:hAnsi="Times New Roman"/>
          <w:lang w:val="el-GR"/>
        </w:rPr>
        <w:t>που να ενδιαφέρουν τον συνταγογράφο από τις πληροφορίες που ήδη αναγράφονται στις άλλες</w:t>
      </w:r>
      <w:r>
        <w:rPr>
          <w:rFonts w:ascii="Times New Roman" w:hAnsi="Times New Roman"/>
          <w:lang w:val="el-GR"/>
        </w:rPr>
        <w:t xml:space="preserve"> </w:t>
      </w:r>
      <w:r w:rsidRPr="00BC38B1">
        <w:rPr>
          <w:rFonts w:ascii="Times New Roman" w:hAnsi="Times New Roman"/>
          <w:spacing w:val="-2"/>
          <w:lang w:val="el-GR"/>
        </w:rPr>
        <w:t>παραγράφους</w:t>
      </w:r>
      <w:r w:rsidRPr="00BC38B1">
        <w:rPr>
          <w:rFonts w:ascii="Times New Roman" w:hAnsi="Times New Roman"/>
          <w:color w:val="FF00FF"/>
          <w:spacing w:val="-2"/>
          <w:lang w:val="el-GR"/>
        </w:rPr>
        <w:t xml:space="preserve"> </w:t>
      </w:r>
      <w:r w:rsidRPr="00F8543C">
        <w:rPr>
          <w:rFonts w:ascii="Times New Roman" w:hAnsi="Times New Roman"/>
          <w:bCs/>
          <w:spacing w:val="-2"/>
          <w:lang w:val="el-GR"/>
        </w:rPr>
        <w:t>της Περίληψης των Χαρακτηριστικών του Προϊόντος.</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jc w:val="both"/>
        <w:rPr>
          <w:rFonts w:ascii="Times New Roman" w:hAnsi="Times New Roman"/>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6.</w:t>
      </w:r>
      <w:r w:rsidRPr="00F8543C">
        <w:rPr>
          <w:rFonts w:ascii="Times New Roman" w:hAnsi="Times New Roman"/>
          <w:b/>
          <w:spacing w:val="-2"/>
          <w:lang w:val="el-GR"/>
        </w:rPr>
        <w:tab/>
      </w:r>
      <w:r w:rsidRPr="00F8543C">
        <w:rPr>
          <w:rFonts w:ascii="Times New Roman" w:hAnsi="Times New Roman"/>
          <w:b/>
          <w:spacing w:val="-2"/>
          <w:lang w:val="el-GR"/>
        </w:rPr>
        <w:tab/>
        <w:t>ΦΑΡΜΑΚΕΥΤΙΚ</w:t>
      </w:r>
      <w:r w:rsidR="00371435">
        <w:rPr>
          <w:rFonts w:ascii="Times New Roman" w:hAnsi="Times New Roman"/>
          <w:b/>
          <w:spacing w:val="-2"/>
          <w:lang w:val="el-GR"/>
        </w:rPr>
        <w:t>ΕΣ ΠΛΗΡΟΦΟΡΙΕΣ</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061BF" w:rsidRPr="00F8543C" w:rsidRDefault="00A75E42" w:rsidP="00F061BF">
      <w:pPr>
        <w:numPr>
          <w:ilvl w:val="1"/>
          <w:numId w:val="3"/>
        </w:numPr>
        <w:tabs>
          <w:tab w:val="left" w:pos="-851"/>
          <w:tab w:val="left" w:pos="-131"/>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Pr>
          <w:rFonts w:ascii="Times New Roman" w:hAnsi="Times New Roman"/>
          <w:b/>
          <w:spacing w:val="-2"/>
        </w:rPr>
        <w:t xml:space="preserve">            </w:t>
      </w:r>
      <w:r w:rsidR="00F061BF">
        <w:rPr>
          <w:rFonts w:ascii="Times New Roman" w:hAnsi="Times New Roman"/>
          <w:b/>
          <w:spacing w:val="-2"/>
          <w:lang w:val="el-GR"/>
        </w:rPr>
        <w:t xml:space="preserve">Κατάλογος </w:t>
      </w:r>
      <w:r w:rsidR="00371435">
        <w:rPr>
          <w:rFonts w:ascii="Times New Roman" w:hAnsi="Times New Roman"/>
          <w:b/>
          <w:spacing w:val="-2"/>
          <w:lang w:val="el-GR"/>
        </w:rPr>
        <w:t>εκδόχων</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061BF" w:rsidRPr="00F8543C" w:rsidRDefault="00F061BF" w:rsidP="00F061BF">
      <w:pPr>
        <w:pStyle w:val="1"/>
        <w:rPr>
          <w:b w:val="0"/>
          <w:bCs/>
        </w:rPr>
      </w:pPr>
      <w:r w:rsidRPr="00F8543C">
        <w:rPr>
          <w:b w:val="0"/>
          <w:bCs/>
        </w:rPr>
        <w:lastRenderedPageBreak/>
        <w:t>Οξικό Νάτριο*</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Σορβιτόλη</w:t>
      </w:r>
      <w:r w:rsidR="0052757C">
        <w:rPr>
          <w:rFonts w:ascii="Times New Roman" w:hAnsi="Times New Roman"/>
          <w:bCs/>
          <w:spacing w:val="-2"/>
          <w:lang w:val="el-GR"/>
        </w:rPr>
        <w:t>(Ε420)</w:t>
      </w:r>
    </w:p>
    <w:p w:rsidR="00F061BF" w:rsidRPr="00F061BF"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Πολυσορβικό 80</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 xml:space="preserve"> Ύδωρ για ενέσιμα</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 Το οξικό νάτριο σχηματίζεται τιτλοποιώντας παγόμορφο οξικό οξύ με υδροξείδιο του νατρίου.</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jc w:val="both"/>
        <w:rPr>
          <w:rFonts w:ascii="Times New Roman" w:hAnsi="Times New Roman"/>
          <w:bCs/>
          <w:spacing w:val="-2"/>
          <w:lang w:val="el-GR"/>
        </w:rPr>
      </w:pPr>
    </w:p>
    <w:p w:rsidR="00F061BF" w:rsidRPr="00F8543C" w:rsidRDefault="00046C03"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6.2</w:t>
      </w:r>
      <w:r w:rsidRPr="00F8543C">
        <w:rPr>
          <w:rFonts w:ascii="Times New Roman" w:hAnsi="Times New Roman"/>
          <w:b/>
          <w:spacing w:val="-2"/>
          <w:lang w:val="el-GR"/>
        </w:rPr>
        <w:tab/>
      </w:r>
      <w:r w:rsidRPr="00F8543C">
        <w:rPr>
          <w:rFonts w:ascii="Times New Roman" w:hAnsi="Times New Roman"/>
          <w:b/>
          <w:spacing w:val="-2"/>
          <w:lang w:val="el-GR"/>
        </w:rPr>
        <w:tab/>
      </w:r>
      <w:r w:rsidR="00F061BF" w:rsidRPr="00F8543C">
        <w:rPr>
          <w:rFonts w:ascii="Times New Roman" w:hAnsi="Times New Roman"/>
          <w:b/>
          <w:spacing w:val="-2"/>
          <w:lang w:val="el-GR"/>
        </w:rPr>
        <w:t>Ασυμβατότητες</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Default="00F061BF" w:rsidP="00F061BF">
      <w:pPr>
        <w:pStyle w:val="22"/>
      </w:pPr>
      <w:r w:rsidRPr="00F8543C">
        <w:t>Το GRANULOKINE δεν πρέπει να αραιώνεται με διαλύματα χλωριούχου νατρίου.</w:t>
      </w:r>
    </w:p>
    <w:p w:rsidR="00F061BF" w:rsidRPr="00F8543C" w:rsidRDefault="00F061BF" w:rsidP="00F061BF">
      <w:pPr>
        <w:pStyle w:val="22"/>
      </w:pPr>
    </w:p>
    <w:p w:rsidR="00F061BF" w:rsidRDefault="00F061BF" w:rsidP="00F061BF">
      <w:pPr>
        <w:pStyle w:val="22"/>
      </w:pPr>
      <w:r w:rsidRPr="00F8543C">
        <w:t xml:space="preserve">Η αραιωμένη </w:t>
      </w:r>
      <w:r w:rsidRPr="00F8543C">
        <w:rPr>
          <w:lang w:val="en-US"/>
        </w:rPr>
        <w:t>filgrastim</w:t>
      </w:r>
      <w:r w:rsidRPr="00F8543C">
        <w:t xml:space="preserve"> μπορεί να προσροφηθεί σε γυάλινα και πλαστικά υλικά.</w:t>
      </w:r>
    </w:p>
    <w:p w:rsidR="00F061BF" w:rsidRPr="00F8543C" w:rsidRDefault="00F061BF" w:rsidP="00F061BF">
      <w:pPr>
        <w:pStyle w:val="22"/>
      </w:pPr>
      <w:r w:rsidRPr="00F8543C">
        <w:t xml:space="preserve"> </w:t>
      </w:r>
    </w:p>
    <w:p w:rsidR="00F061BF" w:rsidRPr="00F8543C" w:rsidRDefault="00F061BF" w:rsidP="00F061BF">
      <w:pPr>
        <w:pStyle w:val="22"/>
      </w:pPr>
      <w:r w:rsidRPr="00F8543C">
        <w:t>Το παρόν φαρμακευτικό προϊόν δεν θα πρέπει να αναμιγνύεται με άλλα προϊόντα εκτός από αυτά που αναφέρονται στην</w:t>
      </w:r>
      <w:r>
        <w:t xml:space="preserve"> </w:t>
      </w:r>
      <w:r w:rsidRPr="00BC38B1">
        <w:t xml:space="preserve">παράγραφο </w:t>
      </w:r>
      <w:r w:rsidRPr="00F8543C">
        <w:t>6.6.</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061BF" w:rsidRPr="00F8543C" w:rsidRDefault="00046C03" w:rsidP="00240576">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6.3</w:t>
      </w:r>
      <w:r w:rsidRPr="00F8543C">
        <w:rPr>
          <w:rFonts w:ascii="Times New Roman" w:hAnsi="Times New Roman"/>
          <w:b/>
          <w:spacing w:val="-2"/>
          <w:lang w:val="el-GR"/>
        </w:rPr>
        <w:tab/>
      </w:r>
      <w:r w:rsidRPr="00F8543C">
        <w:rPr>
          <w:rFonts w:ascii="Times New Roman" w:hAnsi="Times New Roman"/>
          <w:b/>
          <w:spacing w:val="-2"/>
          <w:lang w:val="el-GR"/>
        </w:rPr>
        <w:tab/>
      </w:r>
      <w:r w:rsidR="00F061BF" w:rsidRPr="00F8543C">
        <w:rPr>
          <w:rFonts w:ascii="Times New Roman" w:hAnsi="Times New Roman"/>
          <w:b/>
          <w:spacing w:val="-2"/>
          <w:lang w:val="el-GR"/>
        </w:rPr>
        <w:t>Διάρκεια ζωής</w:t>
      </w:r>
    </w:p>
    <w:p w:rsidR="00F061BF" w:rsidRPr="00F8543C" w:rsidRDefault="00F061BF" w:rsidP="00240576">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240576">
      <w:pPr>
        <w:pStyle w:val="32"/>
        <w:keepNext/>
        <w:tabs>
          <w:tab w:val="clear" w:pos="0"/>
          <w:tab w:val="left" w:pos="1309"/>
        </w:tabs>
        <w:rPr>
          <w:b w:val="0"/>
          <w:bCs/>
        </w:rPr>
      </w:pPr>
      <w:r>
        <w:rPr>
          <w:b w:val="0"/>
          <w:bCs/>
        </w:rPr>
        <w:t>30 μήνες</w:t>
      </w:r>
      <w:r w:rsidRPr="00F8543C">
        <w:rPr>
          <w:b w:val="0"/>
          <w:bCs/>
        </w:rPr>
        <w:t>.</w:t>
      </w:r>
    </w:p>
    <w:p w:rsidR="00F061BF" w:rsidRPr="00F8543C" w:rsidRDefault="00F061BF" w:rsidP="00240576">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046C03" w:rsidRPr="00F8543C" w:rsidRDefault="00F061BF" w:rsidP="00240576">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Η χημική και φυσική σταθερότητα κατά τη χρήση του αραιωμένου διαλύματος προς έγχυση έχει αποδειχθεί για 24 ώρες στους 2-8</w:t>
      </w:r>
      <w:r w:rsidRPr="00F8543C">
        <w:rPr>
          <w:rFonts w:ascii="Times New Roman" w:hAnsi="Times New Roman"/>
          <w:bCs/>
          <w:spacing w:val="-2"/>
          <w:vertAlign w:val="superscript"/>
          <w:lang w:val="el-GR"/>
        </w:rPr>
        <w:t>o</w:t>
      </w:r>
      <w:r w:rsidRPr="00F8543C">
        <w:rPr>
          <w:rFonts w:ascii="Times New Roman" w:hAnsi="Times New Roman"/>
          <w:bCs/>
          <w:spacing w:val="-2"/>
          <w:lang w:val="el-GR"/>
        </w:rPr>
        <w:t xml:space="preserve">C. Από μικροβιολογική άποψη, το προϊόν θα πρέπει να χρησιμοποιηθεί αμέσως. Αν δεν χρησιμοποιηθεί αμέσως, η διάρκεια και οι συνθήκες αποθήκευσης </w:t>
      </w:r>
      <w:r>
        <w:rPr>
          <w:rFonts w:ascii="Times New Roman" w:hAnsi="Times New Roman"/>
          <w:bCs/>
          <w:spacing w:val="-2"/>
          <w:lang w:val="el-GR"/>
        </w:rPr>
        <w:t>πριν από</w:t>
      </w:r>
      <w:r w:rsidRPr="00F8543C">
        <w:rPr>
          <w:rFonts w:ascii="Times New Roman" w:hAnsi="Times New Roman"/>
          <w:bCs/>
          <w:spacing w:val="-2"/>
          <w:lang w:val="el-GR"/>
        </w:rPr>
        <w:t xml:space="preserve"> τη χρήση αποτελούν ευθύνη του χρήστη και δεν θα πρέπει φυσιολογικά να ξεπερνούν τις 24 ώρες στους 2</w:t>
      </w:r>
      <w:r>
        <w:rPr>
          <w:rFonts w:ascii="Times New Roman" w:hAnsi="Times New Roman"/>
          <w:bCs/>
          <w:spacing w:val="-2"/>
          <w:lang w:val="el-GR"/>
        </w:rPr>
        <w:t xml:space="preserve"> </w:t>
      </w:r>
      <w:r w:rsidRPr="00BC38B1">
        <w:rPr>
          <w:rFonts w:ascii="Times New Roman" w:hAnsi="Times New Roman"/>
          <w:lang w:val="el-GR"/>
        </w:rPr>
        <w:t>έως</w:t>
      </w:r>
      <w:r w:rsidRPr="00F8543C">
        <w:rPr>
          <w:rFonts w:ascii="Times New Roman" w:hAnsi="Times New Roman"/>
          <w:bCs/>
          <w:spacing w:val="-2"/>
          <w:lang w:val="el-GR"/>
        </w:rPr>
        <w:t xml:space="preserve"> 8</w:t>
      </w:r>
      <w:r w:rsidRPr="00F8543C">
        <w:rPr>
          <w:rFonts w:ascii="Times New Roman" w:hAnsi="Times New Roman"/>
          <w:bCs/>
          <w:spacing w:val="-2"/>
          <w:vertAlign w:val="superscript"/>
        </w:rPr>
        <w:t>o</w:t>
      </w:r>
      <w:r w:rsidRPr="00F8543C">
        <w:rPr>
          <w:rFonts w:ascii="Times New Roman" w:hAnsi="Times New Roman"/>
          <w:bCs/>
          <w:spacing w:val="-2"/>
        </w:rPr>
        <w:t>C</w:t>
      </w:r>
      <w:r w:rsidRPr="00F8543C">
        <w:rPr>
          <w:rFonts w:ascii="Times New Roman" w:hAnsi="Times New Roman"/>
          <w:bCs/>
          <w:spacing w:val="-2"/>
          <w:lang w:val="el-GR"/>
        </w:rPr>
        <w:t>, εκτός αν η αραίωση έχει πραγματοποιηθεί σε ελεγχόμενες και αξιολογημένες άσηπτες συνθήκες.</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046C03"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6.4</w:t>
      </w:r>
      <w:r w:rsidRPr="00F8543C">
        <w:rPr>
          <w:rFonts w:ascii="Times New Roman" w:hAnsi="Times New Roman"/>
          <w:b/>
          <w:spacing w:val="-2"/>
          <w:lang w:val="el-GR"/>
        </w:rPr>
        <w:tab/>
      </w:r>
      <w:r w:rsidRPr="00F8543C">
        <w:rPr>
          <w:rFonts w:ascii="Times New Roman" w:hAnsi="Times New Roman"/>
          <w:b/>
          <w:spacing w:val="-2"/>
          <w:lang w:val="el-GR"/>
        </w:rPr>
        <w:tab/>
      </w:r>
      <w:r w:rsidR="00F061BF" w:rsidRPr="00F8543C">
        <w:rPr>
          <w:rFonts w:ascii="Times New Roman" w:hAnsi="Times New Roman"/>
          <w:b/>
          <w:spacing w:val="-2"/>
          <w:lang w:val="el-GR"/>
        </w:rPr>
        <w:t>Ιδιαίτερες προφυλάξεις κατά τη φύλαξη του προϊόντος</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1219DD"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Φυλάσσεται σε θερμοκρασία 2</w:t>
      </w:r>
      <w:r w:rsidRPr="00F8543C">
        <w:rPr>
          <w:rFonts w:ascii="Times New Roman" w:hAnsi="Times New Roman"/>
          <w:bCs/>
          <w:spacing w:val="-2"/>
          <w:vertAlign w:val="superscript"/>
          <w:lang w:val="el-GR"/>
        </w:rPr>
        <w:t>o</w:t>
      </w:r>
      <w:r w:rsidRPr="00F8543C">
        <w:rPr>
          <w:rFonts w:ascii="Times New Roman" w:hAnsi="Times New Roman"/>
          <w:bCs/>
          <w:spacing w:val="-2"/>
          <w:lang w:val="el-GR"/>
        </w:rPr>
        <w:t xml:space="preserve">C </w:t>
      </w:r>
      <w:r w:rsidR="00077E30">
        <w:rPr>
          <w:rFonts w:ascii="Times New Roman" w:hAnsi="Times New Roman"/>
          <w:bCs/>
          <w:spacing w:val="-2"/>
          <w:lang w:val="el-GR"/>
        </w:rPr>
        <w:t>έως</w:t>
      </w:r>
      <w:r w:rsidRPr="00F8543C">
        <w:rPr>
          <w:rFonts w:ascii="Times New Roman" w:hAnsi="Times New Roman"/>
          <w:bCs/>
          <w:spacing w:val="-2"/>
          <w:lang w:val="el-GR"/>
        </w:rPr>
        <w:t xml:space="preserve"> 8</w:t>
      </w:r>
      <w:r w:rsidRPr="00F8543C">
        <w:rPr>
          <w:rFonts w:ascii="Times New Roman" w:hAnsi="Times New Roman"/>
          <w:bCs/>
          <w:spacing w:val="-2"/>
          <w:vertAlign w:val="superscript"/>
          <w:lang w:val="el-GR"/>
        </w:rPr>
        <w:t>o</w:t>
      </w:r>
      <w:r w:rsidRPr="00F8543C">
        <w:rPr>
          <w:rFonts w:ascii="Times New Roman" w:hAnsi="Times New Roman"/>
          <w:bCs/>
          <w:spacing w:val="-2"/>
          <w:lang w:val="el-GR"/>
        </w:rPr>
        <w:t>C.</w:t>
      </w:r>
    </w:p>
    <w:p w:rsidR="00F061BF" w:rsidRPr="001219DD"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F061BF" w:rsidRPr="00BC38B1"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BC38B1">
        <w:rPr>
          <w:rFonts w:ascii="Times New Roman" w:hAnsi="Times New Roman"/>
          <w:bCs/>
          <w:spacing w:val="-2"/>
          <w:lang w:val="el-GR"/>
        </w:rPr>
        <w:t xml:space="preserve">Για τις συνθήκες διατήρησης </w:t>
      </w:r>
      <w:r w:rsidR="00073C67">
        <w:rPr>
          <w:rFonts w:ascii="Times New Roman" w:hAnsi="Times New Roman"/>
          <w:bCs/>
          <w:spacing w:val="-2"/>
          <w:lang w:val="el-GR"/>
        </w:rPr>
        <w:t xml:space="preserve">μετά την αραίωση </w:t>
      </w:r>
      <w:r w:rsidRPr="00BC38B1">
        <w:rPr>
          <w:rFonts w:ascii="Times New Roman" w:hAnsi="Times New Roman"/>
          <w:bCs/>
          <w:spacing w:val="-2"/>
          <w:lang w:val="el-GR"/>
        </w:rPr>
        <w:t>του φαρμακευτικού προϊόντος, βλ. παράγραφο 6.3.</w:t>
      </w:r>
    </w:p>
    <w:p w:rsidR="00F061BF" w:rsidRPr="00FE5E33"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046C03" w:rsidRPr="00F8543C" w:rsidRDefault="00F061BF">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Τυχαία έκθεση σε θερμοκρασίες κατάψυξης δεν επηρεάζει </w:t>
      </w:r>
      <w:r>
        <w:rPr>
          <w:rFonts w:ascii="Times New Roman" w:hAnsi="Times New Roman"/>
          <w:spacing w:val="-2"/>
          <w:lang w:val="el-GR"/>
        </w:rPr>
        <w:t>τη σταθερότητα του GRANULOKINE.</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6.5</w:t>
      </w:r>
      <w:r w:rsidRPr="00F8543C">
        <w:rPr>
          <w:rFonts w:ascii="Times New Roman" w:hAnsi="Times New Roman"/>
          <w:b/>
          <w:spacing w:val="-2"/>
          <w:lang w:val="el-GR"/>
        </w:rPr>
        <w:tab/>
      </w:r>
      <w:r w:rsidRPr="00F8543C">
        <w:rPr>
          <w:rFonts w:ascii="Times New Roman" w:hAnsi="Times New Roman"/>
          <w:b/>
          <w:spacing w:val="-2"/>
          <w:lang w:val="el-GR"/>
        </w:rPr>
        <w:tab/>
        <w:t>Φύση και συστατικά του περιέκτη</w:t>
      </w:r>
    </w:p>
    <w:p w:rsidR="00A56E67" w:rsidRPr="00F8543C" w:rsidRDefault="00A56E67">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67C69" w:rsidRPr="00067C69" w:rsidRDefault="00A56E67"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szCs w:val="24"/>
          <w:lang w:val="el-GR"/>
        </w:rPr>
      </w:pPr>
      <w:r w:rsidRPr="00067C69">
        <w:rPr>
          <w:rFonts w:ascii="Times New Roman" w:hAnsi="Times New Roman"/>
          <w:spacing w:val="-2"/>
          <w:szCs w:val="24"/>
          <w:lang w:val="el-GR"/>
        </w:rPr>
        <w:t xml:space="preserve">Συσκευασία </w:t>
      </w:r>
      <w:r w:rsidR="00830C2A">
        <w:rPr>
          <w:rFonts w:ascii="Times New Roman" w:hAnsi="Times New Roman"/>
          <w:spacing w:val="-2"/>
          <w:szCs w:val="24"/>
          <w:lang w:val="el-GR"/>
        </w:rPr>
        <w:t>ενός ή πέντε φιαλιδίων</w:t>
      </w:r>
      <w:r w:rsidR="00CD2B64">
        <w:rPr>
          <w:rFonts w:ascii="Times New Roman" w:hAnsi="Times New Roman"/>
          <w:spacing w:val="-2"/>
          <w:szCs w:val="24"/>
          <w:lang w:val="el-GR"/>
        </w:rPr>
        <w:t xml:space="preserve"> του </w:t>
      </w:r>
      <w:r w:rsidR="00CD2B64" w:rsidRPr="00CD2B64">
        <w:rPr>
          <w:rFonts w:ascii="Times New Roman" w:hAnsi="Times New Roman"/>
          <w:spacing w:val="-2"/>
          <w:szCs w:val="24"/>
          <w:lang w:val="el-GR"/>
        </w:rPr>
        <w:t>1</w:t>
      </w:r>
      <w:r w:rsidR="00067C69" w:rsidRPr="00067C69">
        <w:rPr>
          <w:rFonts w:ascii="Times New Roman" w:hAnsi="Times New Roman"/>
          <w:spacing w:val="-2"/>
          <w:szCs w:val="24"/>
        </w:rPr>
        <w:t>ml</w:t>
      </w:r>
      <w:r w:rsidR="00067C69" w:rsidRPr="00067C69">
        <w:rPr>
          <w:rFonts w:ascii="Times New Roman" w:hAnsi="Times New Roman"/>
          <w:spacing w:val="-2"/>
          <w:szCs w:val="24"/>
          <w:lang w:val="el-GR"/>
        </w:rPr>
        <w:t xml:space="preserve"> ενέσιμου διαλύματος </w:t>
      </w:r>
      <w:r w:rsidR="00067C69" w:rsidRPr="00067C69">
        <w:rPr>
          <w:rFonts w:ascii="Times New Roman" w:hAnsi="Times New Roman"/>
          <w:bCs/>
          <w:spacing w:val="-2"/>
          <w:szCs w:val="24"/>
          <w:lang w:val="el-GR"/>
        </w:rPr>
        <w:t xml:space="preserve">GRANULOKINE. </w:t>
      </w:r>
    </w:p>
    <w:p w:rsidR="00067C69" w:rsidRPr="00067C69" w:rsidRDefault="00067C69" w:rsidP="00067C69">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Cs w:val="24"/>
          <w:lang w:val="el-GR"/>
        </w:rPr>
      </w:pPr>
      <w:r w:rsidRPr="00067C69">
        <w:rPr>
          <w:rFonts w:ascii="Times New Roman" w:hAnsi="Times New Roman"/>
          <w:bCs/>
          <w:spacing w:val="-2"/>
          <w:szCs w:val="24"/>
          <w:lang w:val="el-GR"/>
        </w:rPr>
        <w:t xml:space="preserve"> </w:t>
      </w:r>
    </w:p>
    <w:p w:rsidR="00A56E67" w:rsidRPr="00F061BF" w:rsidRDefault="00830C2A" w:rsidP="00830C2A">
      <w:pPr>
        <w:pStyle w:val="lbltxt"/>
        <w:rPr>
          <w:sz w:val="24"/>
          <w:szCs w:val="24"/>
          <w:lang w:val="el-GR"/>
        </w:rPr>
      </w:pPr>
      <w:r w:rsidRPr="00F061BF">
        <w:rPr>
          <w:sz w:val="24"/>
          <w:szCs w:val="24"/>
          <w:lang w:val="el-GR"/>
        </w:rPr>
        <w:t>Τα φιαλίδια είναι κατασκευασμένα</w:t>
      </w:r>
      <w:r w:rsidR="00067C69" w:rsidRPr="00F061BF">
        <w:rPr>
          <w:sz w:val="24"/>
          <w:szCs w:val="24"/>
          <w:lang w:val="el-GR"/>
        </w:rPr>
        <w:t xml:space="preserve"> από γυαλί  τύπου Ι</w:t>
      </w:r>
      <w:r w:rsidR="00711359" w:rsidRPr="00F061BF">
        <w:rPr>
          <w:sz w:val="24"/>
          <w:szCs w:val="24"/>
          <w:lang w:val="el-GR"/>
        </w:rPr>
        <w:t xml:space="preserve"> με ελαστικά πώματα.</w:t>
      </w:r>
    </w:p>
    <w:p w:rsidR="00830C2A" w:rsidRDefault="00830C2A">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046C03" w:rsidRPr="00F8543C" w:rsidRDefault="00A56E67">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 xml:space="preserve"> </w:t>
      </w:r>
      <w:r w:rsidR="00046C03" w:rsidRPr="00F8543C">
        <w:rPr>
          <w:rFonts w:ascii="Times New Roman" w:hAnsi="Times New Roman"/>
          <w:bCs/>
          <w:spacing w:val="-2"/>
          <w:lang w:val="el-GR"/>
        </w:rPr>
        <w:t>Μπορεί να μην κυκλοφορούν όλα τα μεγέθη συσκευασίας,</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046C03"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6.6</w:t>
      </w:r>
      <w:r w:rsidRPr="00F8543C">
        <w:rPr>
          <w:rFonts w:ascii="Times New Roman" w:hAnsi="Times New Roman"/>
          <w:b/>
          <w:spacing w:val="-2"/>
          <w:lang w:val="el-GR"/>
        </w:rPr>
        <w:tab/>
      </w:r>
      <w:r w:rsidRPr="00F8543C">
        <w:rPr>
          <w:rFonts w:ascii="Times New Roman" w:hAnsi="Times New Roman"/>
          <w:b/>
          <w:spacing w:val="-2"/>
          <w:lang w:val="el-GR"/>
        </w:rPr>
        <w:tab/>
      </w:r>
      <w:r w:rsidR="00371435">
        <w:rPr>
          <w:rFonts w:ascii="Times New Roman" w:hAnsi="Times New Roman"/>
          <w:b/>
          <w:spacing w:val="-2"/>
          <w:lang w:val="el-GR"/>
        </w:rPr>
        <w:t>Ιδιαίτερες προφυλάξεις</w:t>
      </w:r>
      <w:r w:rsidR="00F061BF" w:rsidRPr="00F8543C">
        <w:rPr>
          <w:rFonts w:ascii="Times New Roman" w:hAnsi="Times New Roman"/>
          <w:b/>
          <w:spacing w:val="-2"/>
          <w:lang w:val="el-GR"/>
        </w:rPr>
        <w:t xml:space="preserve"> απόρριψης</w:t>
      </w:r>
      <w:r w:rsidR="00371435">
        <w:rPr>
          <w:rFonts w:ascii="Times New Roman" w:hAnsi="Times New Roman"/>
          <w:b/>
          <w:spacing w:val="-2"/>
          <w:lang w:val="el-GR"/>
        </w:rPr>
        <w:t xml:space="preserve"> και άλλος χειρισμός</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F8543C">
        <w:rPr>
          <w:rFonts w:ascii="Times New Roman" w:hAnsi="Times New Roman"/>
          <w:spacing w:val="-2"/>
          <w:lang w:val="el-GR"/>
        </w:rPr>
        <w:t>Εφόσον απαιτείται, το GRANULOKINE μπορεί να αραιωθεί με διάλυμα γλυκόζης 5%.</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Η αραίωση μέχρι τελικής συγκέντρωσης μικρότερης των 0,2 MU (2μg)/ml δε</w:t>
      </w:r>
      <w:r w:rsidR="00B468B7">
        <w:rPr>
          <w:rFonts w:ascii="Times New Roman" w:hAnsi="Times New Roman"/>
          <w:bCs/>
          <w:spacing w:val="-2"/>
          <w:lang w:val="el-GR"/>
        </w:rPr>
        <w:t>ν</w:t>
      </w:r>
      <w:r w:rsidRPr="00F8543C">
        <w:rPr>
          <w:rFonts w:ascii="Times New Roman" w:hAnsi="Times New Roman"/>
          <w:bCs/>
          <w:spacing w:val="-2"/>
          <w:lang w:val="el-GR"/>
        </w:rPr>
        <w:t xml:space="preserve"> συνιστάται σε καμία περίπτωση.</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 xml:space="preserve">Το διάλυμα θα πρέπει να </w:t>
      </w:r>
      <w:r w:rsidR="00395A7D">
        <w:rPr>
          <w:rFonts w:ascii="Times New Roman" w:hAnsi="Times New Roman"/>
          <w:bCs/>
          <w:spacing w:val="-2"/>
          <w:lang w:val="el-GR"/>
        </w:rPr>
        <w:t>ελέγχεται</w:t>
      </w:r>
      <w:r w:rsidRPr="00F8543C">
        <w:rPr>
          <w:rFonts w:ascii="Times New Roman" w:hAnsi="Times New Roman"/>
          <w:bCs/>
          <w:spacing w:val="-2"/>
          <w:lang w:val="el-GR"/>
        </w:rPr>
        <w:t xml:space="preserve"> οπτικά πριν τη χρήση. Μόνο τα διαυγή, χωρίς σωματίδια διαλύματα θα πρέπει να χρησιμοποιούνται.</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p>
    <w:p w:rsidR="00F061BF" w:rsidRPr="001219DD" w:rsidRDefault="00F061BF" w:rsidP="00F061BF">
      <w:pPr>
        <w:pStyle w:val="22"/>
        <w:tabs>
          <w:tab w:val="clear" w:pos="0"/>
        </w:tabs>
      </w:pPr>
      <w:r w:rsidRPr="00F8543C">
        <w:rPr>
          <w:bCs/>
        </w:rPr>
        <w:lastRenderedPageBreak/>
        <w:t>Για ασθενείς που λαμβάνουν filgrastim αραιωμένη σε συγκέντρωση κάτω των 1,5 MU (15μg)/ml, θα</w:t>
      </w:r>
      <w:r w:rsidRPr="00F8543C">
        <w:t xml:space="preserve"> πρέπει να προστεθεί ανθρώπινη ορολευκωματίνη (HSA) μέχρ</w:t>
      </w:r>
      <w:r>
        <w:t>ι τελικής συγκέντρωσης 2 mg/ml.</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F8543C" w:rsidRDefault="00F061BF" w:rsidP="00F061BF">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A61AB5">
        <w:rPr>
          <w:rFonts w:ascii="Times New Roman" w:hAnsi="Times New Roman"/>
          <w:spacing w:val="-2"/>
          <w:lang w:val="el-GR"/>
        </w:rPr>
        <w:t>Παράδειγμα:</w:t>
      </w:r>
      <w:r w:rsidRPr="00F8543C">
        <w:rPr>
          <w:rFonts w:ascii="Times New Roman" w:hAnsi="Times New Roman"/>
          <w:spacing w:val="-2"/>
          <w:lang w:val="el-GR"/>
        </w:rPr>
        <w:t xml:space="preserve"> σε ένα τελικό όγκο για ένεση 20 ml, ολικές  δόσεις  </w:t>
      </w:r>
      <w:r w:rsidRPr="00F8543C">
        <w:rPr>
          <w:rFonts w:ascii="Times New Roman" w:hAnsi="Times New Roman"/>
          <w:bCs/>
          <w:spacing w:val="-2"/>
          <w:lang w:val="el-GR"/>
        </w:rPr>
        <w:t>filgrastim</w:t>
      </w:r>
      <w:r w:rsidRPr="00F8543C">
        <w:rPr>
          <w:rFonts w:ascii="Times New Roman" w:hAnsi="Times New Roman"/>
          <w:spacing w:val="-2"/>
          <w:lang w:val="el-GR"/>
        </w:rPr>
        <w:t xml:space="preserve"> κάτω των 30 ΜU (300 μg) θα πρέπει να </w:t>
      </w:r>
      <w:r>
        <w:rPr>
          <w:rFonts w:ascii="Times New Roman" w:hAnsi="Times New Roman"/>
          <w:spacing w:val="-2"/>
          <w:lang w:val="el-GR"/>
        </w:rPr>
        <w:t>χ</w:t>
      </w:r>
      <w:r w:rsidRPr="00F8543C">
        <w:rPr>
          <w:rFonts w:ascii="Times New Roman" w:hAnsi="Times New Roman"/>
          <w:spacing w:val="-2"/>
          <w:lang w:val="el-GR"/>
        </w:rPr>
        <w:t>ορηγούνται με την προσθήκη 0,2 ml 20% διαλύματος ανθρώπινης ορολευκωματίνης Ph.Eur.</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rPr>
          <w:rFonts w:ascii="Times New Roman" w:hAnsi="Times New Roman"/>
          <w:spacing w:val="-2"/>
          <w:lang w:val="el-GR"/>
        </w:rPr>
      </w:pPr>
      <w:r w:rsidRPr="00F8543C">
        <w:rPr>
          <w:rFonts w:ascii="Times New Roman" w:hAnsi="Times New Roman"/>
          <w:spacing w:val="-2"/>
          <w:lang w:val="el-GR"/>
        </w:rPr>
        <w:tab/>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Cs/>
          <w:spacing w:val="-2"/>
          <w:lang w:val="el-GR"/>
        </w:rPr>
      </w:pPr>
      <w:r w:rsidRPr="00F8543C">
        <w:rPr>
          <w:rFonts w:ascii="Times New Roman" w:hAnsi="Times New Roman"/>
          <w:bCs/>
          <w:spacing w:val="-2"/>
          <w:lang w:val="el-GR"/>
        </w:rPr>
        <w:t>Το GRANULOKINE δεν περιέχει κανένα συντηρητικό. Λαμβάνοντας υπόψη τον πιθανό κίνδυνο μικροβιακής μόλυνσης, τ</w:t>
      </w:r>
      <w:r>
        <w:rPr>
          <w:rFonts w:ascii="Times New Roman" w:hAnsi="Times New Roman"/>
          <w:bCs/>
          <w:spacing w:val="-2"/>
        </w:rPr>
        <w:t>o</w:t>
      </w:r>
      <w:r w:rsidRPr="00067C69">
        <w:rPr>
          <w:rFonts w:ascii="Times New Roman" w:hAnsi="Times New Roman"/>
          <w:bCs/>
          <w:spacing w:val="-2"/>
          <w:lang w:val="el-GR"/>
        </w:rPr>
        <w:t xml:space="preserve"> </w:t>
      </w:r>
      <w:r w:rsidRPr="00F8543C">
        <w:rPr>
          <w:rFonts w:ascii="Times New Roman" w:hAnsi="Times New Roman"/>
          <w:bCs/>
          <w:spacing w:val="-2"/>
          <w:lang w:val="el-GR"/>
        </w:rPr>
        <w:t xml:space="preserve">GRANULOKINE </w:t>
      </w:r>
      <w:r>
        <w:rPr>
          <w:rFonts w:ascii="Times New Roman" w:hAnsi="Times New Roman"/>
          <w:bCs/>
          <w:spacing w:val="-2"/>
          <w:lang w:val="el-GR"/>
        </w:rPr>
        <w:t xml:space="preserve">σύριγγες </w:t>
      </w:r>
      <w:r w:rsidRPr="00F8543C">
        <w:rPr>
          <w:rFonts w:ascii="Times New Roman" w:hAnsi="Times New Roman"/>
          <w:bCs/>
          <w:spacing w:val="-2"/>
          <w:lang w:val="el-GR"/>
        </w:rPr>
        <w:t xml:space="preserve">είναι για εφάπαξ χρήση μόνο. </w:t>
      </w:r>
    </w:p>
    <w:p w:rsidR="00F061BF" w:rsidRPr="00F8543C"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F061BF" w:rsidRPr="0066294D"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F8543C">
        <w:rPr>
          <w:rFonts w:ascii="Times New Roman" w:hAnsi="Times New Roman"/>
          <w:spacing w:val="-2"/>
          <w:lang w:val="el-GR"/>
        </w:rPr>
        <w:t xml:space="preserve">Όταν αραιώνεται με διάλυμα γλυκόζης 5%, το GRANULOKINE είναι συμβατό με το γυαλί και με μία ποικιλία πλαστικών συμπεριλαμβανομένων του PVC, της πολυολεφίνης (ένα συμπολυμερές πολυπροπυλενίου και πολυαιθυλενίου) και </w:t>
      </w:r>
      <w:r>
        <w:rPr>
          <w:rFonts w:ascii="Times New Roman" w:hAnsi="Times New Roman"/>
          <w:spacing w:val="-2"/>
          <w:lang w:val="el-GR"/>
        </w:rPr>
        <w:t>του</w:t>
      </w:r>
      <w:r w:rsidRPr="00F8543C">
        <w:rPr>
          <w:rFonts w:ascii="Times New Roman" w:hAnsi="Times New Roman"/>
          <w:spacing w:val="-2"/>
          <w:lang w:val="el-GR"/>
        </w:rPr>
        <w:t xml:space="preserve"> πολυπροπυλενίου.</w:t>
      </w:r>
    </w:p>
    <w:p w:rsidR="00F061BF" w:rsidRPr="0066294D"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1557FE" w:rsidRPr="00F061BF" w:rsidRDefault="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BC38B1">
        <w:rPr>
          <w:rFonts w:ascii="Times New Roman" w:hAnsi="Times New Roman"/>
          <w:noProof/>
          <w:lang w:val="el-GR"/>
        </w:rPr>
        <w:t xml:space="preserve">Κάθε </w:t>
      </w:r>
      <w:r w:rsidR="0064482E">
        <w:rPr>
          <w:rFonts w:ascii="Times New Roman" w:hAnsi="Times New Roman"/>
          <w:noProof/>
          <w:lang w:val="el-GR"/>
        </w:rPr>
        <w:t xml:space="preserve">φαρμακευτικό </w:t>
      </w:r>
      <w:r w:rsidRPr="00BC38B1">
        <w:rPr>
          <w:rFonts w:ascii="Times New Roman" w:hAnsi="Times New Roman"/>
          <w:noProof/>
          <w:lang w:val="el-GR"/>
        </w:rPr>
        <w:t>προϊόν που δεν έχει χρησιμοποιηθεί ή υπόλειμμα πρέπει να απορριφθεί σύμφωνα με τις κατά τόπους ισχύουσες σχετικές διατάξεις.</w:t>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46C03" w:rsidRDefault="001557FE" w:rsidP="001557FE">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Pr>
          <w:rFonts w:ascii="Times New Roman" w:hAnsi="Times New Roman"/>
          <w:b/>
          <w:spacing w:val="-2"/>
          <w:lang w:val="el-GR"/>
        </w:rPr>
        <w:t>7.</w:t>
      </w:r>
      <w:r>
        <w:rPr>
          <w:rFonts w:ascii="Times New Roman" w:hAnsi="Times New Roman"/>
          <w:b/>
          <w:spacing w:val="-2"/>
          <w:lang w:val="el-GR"/>
        </w:rPr>
        <w:tab/>
      </w:r>
      <w:r w:rsidR="00046C03" w:rsidRPr="00F8543C">
        <w:rPr>
          <w:rFonts w:ascii="Times New Roman" w:hAnsi="Times New Roman"/>
          <w:b/>
          <w:spacing w:val="-2"/>
          <w:lang w:val="el-GR"/>
        </w:rPr>
        <w:t>ΚΑΤΟΧΟΣ ΤΗΣ ΑΔΕΙΑΣ ΚΥΚΛΟΦΟΡΙΑΣ</w:t>
      </w:r>
    </w:p>
    <w:p w:rsidR="001557FE" w:rsidRPr="00F8543C" w:rsidRDefault="001557FE" w:rsidP="001557FE">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F061BF" w:rsidRPr="001557FE" w:rsidRDefault="00077E30"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caps/>
          <w:spacing w:val="-2"/>
          <w:lang w:val="el-GR"/>
        </w:rPr>
      </w:pPr>
      <w:r>
        <w:rPr>
          <w:rFonts w:ascii="Times New Roman" w:hAnsi="Times New Roman"/>
          <w:spacing w:val="-2"/>
        </w:rPr>
        <w:t>A</w:t>
      </w:r>
      <w:r w:rsidR="00F061BF" w:rsidRPr="00077E30">
        <w:rPr>
          <w:rFonts w:ascii="Times New Roman" w:hAnsi="Times New Roman"/>
          <w:spacing w:val="-2"/>
        </w:rPr>
        <w:t>mgen</w:t>
      </w:r>
      <w:r w:rsidR="00F061BF" w:rsidRPr="00077E30">
        <w:rPr>
          <w:rFonts w:ascii="Times New Roman" w:hAnsi="Times New Roman"/>
          <w:spacing w:val="-2"/>
          <w:lang w:val="el-GR"/>
        </w:rPr>
        <w:t xml:space="preserve"> </w:t>
      </w:r>
      <w:r>
        <w:rPr>
          <w:rFonts w:ascii="Times New Roman" w:hAnsi="Times New Roman"/>
          <w:spacing w:val="-2"/>
        </w:rPr>
        <w:t>E</w:t>
      </w:r>
      <w:r w:rsidR="00F061BF" w:rsidRPr="00077E30">
        <w:rPr>
          <w:rFonts w:ascii="Times New Roman" w:hAnsi="Times New Roman"/>
          <w:spacing w:val="-2"/>
        </w:rPr>
        <w:t>urope</w:t>
      </w:r>
      <w:r w:rsidR="00F061BF" w:rsidRPr="001557FE">
        <w:rPr>
          <w:rFonts w:ascii="Times New Roman" w:hAnsi="Times New Roman"/>
          <w:caps/>
          <w:spacing w:val="-2"/>
          <w:lang w:val="el-GR"/>
        </w:rPr>
        <w:t xml:space="preserve"> </w:t>
      </w:r>
      <w:r w:rsidR="00F061BF" w:rsidRPr="00F8543C">
        <w:rPr>
          <w:rFonts w:ascii="Times New Roman" w:hAnsi="Times New Roman"/>
          <w:caps/>
          <w:spacing w:val="-2"/>
        </w:rPr>
        <w:t>b</w:t>
      </w:r>
      <w:r w:rsidR="00F061BF" w:rsidRPr="001557FE">
        <w:rPr>
          <w:rFonts w:ascii="Times New Roman" w:hAnsi="Times New Roman"/>
          <w:caps/>
          <w:spacing w:val="-2"/>
          <w:lang w:val="el-GR"/>
        </w:rPr>
        <w:t>.</w:t>
      </w:r>
      <w:r w:rsidR="00F061BF" w:rsidRPr="00F8543C">
        <w:rPr>
          <w:rFonts w:ascii="Times New Roman" w:hAnsi="Times New Roman"/>
          <w:caps/>
          <w:spacing w:val="-2"/>
        </w:rPr>
        <w:t>v</w:t>
      </w:r>
      <w:r w:rsidR="00F061BF" w:rsidRPr="001557FE">
        <w:rPr>
          <w:rFonts w:ascii="Times New Roman" w:hAnsi="Times New Roman"/>
          <w:caps/>
          <w:spacing w:val="-2"/>
          <w:lang w:val="el-GR"/>
        </w:rPr>
        <w:t>.</w:t>
      </w:r>
    </w:p>
    <w:p w:rsidR="00F061BF" w:rsidRPr="001557FE"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trike/>
          <w:spacing w:val="-2"/>
          <w:lang w:val="el-GR"/>
        </w:rPr>
      </w:pPr>
      <w:r w:rsidRPr="00F8543C">
        <w:rPr>
          <w:rFonts w:ascii="Times New Roman" w:hAnsi="Times New Roman"/>
          <w:spacing w:val="-2"/>
        </w:rPr>
        <w:t>Minervum</w:t>
      </w:r>
      <w:r w:rsidRPr="001557FE">
        <w:rPr>
          <w:rFonts w:ascii="Times New Roman" w:hAnsi="Times New Roman"/>
          <w:spacing w:val="-2"/>
          <w:lang w:val="el-GR"/>
        </w:rPr>
        <w:t xml:space="preserve"> </w:t>
      </w:r>
      <w:r w:rsidRPr="001557FE">
        <w:rPr>
          <w:rFonts w:ascii="Times New Roman" w:hAnsi="Times New Roman"/>
          <w:caps/>
          <w:spacing w:val="-2"/>
          <w:lang w:val="el-GR"/>
        </w:rPr>
        <w:t>7061</w:t>
      </w:r>
    </w:p>
    <w:p w:rsidR="00F061BF" w:rsidRPr="001557FE" w:rsidRDefault="00F061BF" w:rsidP="00F061B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trike/>
          <w:spacing w:val="-2"/>
          <w:lang w:val="el-GR"/>
        </w:rPr>
      </w:pPr>
      <w:r w:rsidRPr="001557FE">
        <w:rPr>
          <w:rFonts w:ascii="Times New Roman" w:hAnsi="Times New Roman"/>
          <w:caps/>
          <w:spacing w:val="-2"/>
          <w:lang w:val="el-GR"/>
        </w:rPr>
        <w:t xml:space="preserve">4817 </w:t>
      </w:r>
      <w:r w:rsidRPr="00F8543C">
        <w:rPr>
          <w:rFonts w:ascii="Times New Roman" w:hAnsi="Times New Roman"/>
          <w:caps/>
          <w:spacing w:val="-2"/>
        </w:rPr>
        <w:t>ZK</w:t>
      </w:r>
      <w:r w:rsidRPr="001557FE">
        <w:rPr>
          <w:rFonts w:ascii="Times New Roman" w:hAnsi="Times New Roman"/>
          <w:caps/>
          <w:spacing w:val="-2"/>
          <w:lang w:val="el-GR"/>
        </w:rPr>
        <w:t xml:space="preserve"> </w:t>
      </w:r>
      <w:smartTag w:uri="urn:schemas-microsoft-com:office:smarttags" w:element="City">
        <w:smartTag w:uri="urn:schemas-microsoft-com:office:smarttags" w:element="place">
          <w:r w:rsidRPr="00F8543C">
            <w:rPr>
              <w:rFonts w:ascii="Times New Roman" w:hAnsi="Times New Roman"/>
              <w:caps/>
              <w:spacing w:val="-2"/>
            </w:rPr>
            <w:t>Breda</w:t>
          </w:r>
        </w:smartTag>
      </w:smartTag>
    </w:p>
    <w:p w:rsidR="00F061BF" w:rsidRDefault="00F061BF" w:rsidP="00F061BF">
      <w:pPr>
        <w:jc w:val="both"/>
        <w:rPr>
          <w:rFonts w:ascii="Times New Roman" w:hAnsi="Times New Roman"/>
          <w:spacing w:val="-2"/>
          <w:lang w:val="el-GR"/>
        </w:rPr>
      </w:pPr>
      <w:r w:rsidRPr="00F8543C">
        <w:rPr>
          <w:rFonts w:ascii="Times New Roman" w:hAnsi="Times New Roman"/>
          <w:spacing w:val="-2"/>
          <w:lang w:val="el-GR"/>
        </w:rPr>
        <w:t>Ολλανδία</w:t>
      </w:r>
    </w:p>
    <w:p w:rsidR="002F0505" w:rsidRPr="00922A7B" w:rsidRDefault="002F0505" w:rsidP="002F050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2F0505" w:rsidRPr="00922A7B" w:rsidRDefault="002F0505" w:rsidP="002F050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2F0505" w:rsidRPr="00F8543C" w:rsidRDefault="002F0505" w:rsidP="002F050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F8543C">
        <w:rPr>
          <w:rFonts w:ascii="Times New Roman" w:hAnsi="Times New Roman"/>
          <w:b/>
          <w:spacing w:val="-2"/>
          <w:lang w:val="el-GR"/>
        </w:rPr>
        <w:t>8.</w:t>
      </w:r>
      <w:r w:rsidRPr="00F8543C">
        <w:rPr>
          <w:rFonts w:ascii="Times New Roman" w:hAnsi="Times New Roman"/>
          <w:b/>
          <w:spacing w:val="-2"/>
          <w:lang w:val="el-GR"/>
        </w:rPr>
        <w:tab/>
      </w:r>
      <w:r w:rsidRPr="00F8543C">
        <w:rPr>
          <w:rFonts w:ascii="Times New Roman" w:hAnsi="Times New Roman"/>
          <w:b/>
          <w:spacing w:val="-2"/>
          <w:lang w:val="el-GR"/>
        </w:rPr>
        <w:tab/>
        <w:t>ΑΡΙΘΜΟΣ  ΑΔΕΙΑΣ  ΚΥΚΛΟΦOΡΙΑΣ</w:t>
      </w:r>
    </w:p>
    <w:p w:rsidR="00240576" w:rsidRPr="00B740A5" w:rsidRDefault="00240576" w:rsidP="002F050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Cs w:val="24"/>
          <w:lang w:val="el-GR"/>
        </w:rPr>
      </w:pPr>
    </w:p>
    <w:p w:rsidR="002F0505" w:rsidRPr="00FD51C8" w:rsidRDefault="00950BFA" w:rsidP="002F0505">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szCs w:val="24"/>
          <w:lang w:val="el-GR"/>
        </w:rPr>
      </w:pPr>
      <w:r w:rsidRPr="00B740A5">
        <w:rPr>
          <w:rFonts w:ascii="Times New Roman" w:hAnsi="Times New Roman"/>
          <w:spacing w:val="-2"/>
          <w:szCs w:val="24"/>
          <w:lang w:val="el-GR"/>
        </w:rPr>
        <w:tab/>
      </w:r>
      <w:r w:rsidR="001F1450">
        <w:rPr>
          <w:rFonts w:ascii="Times New Roman" w:hAnsi="Times New Roman"/>
          <w:spacing w:val="-2"/>
          <w:szCs w:val="24"/>
          <w:lang w:val="el-GR"/>
        </w:rPr>
        <w:t>63163</w:t>
      </w:r>
    </w:p>
    <w:p w:rsidR="00046C03" w:rsidRPr="00B740A5"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589" w:hanging="589"/>
        <w:jc w:val="both"/>
        <w:rPr>
          <w:rFonts w:ascii="Times New Roman" w:hAnsi="Times New Roman"/>
          <w:b/>
          <w:spacing w:val="-2"/>
          <w:lang w:val="el-GR"/>
        </w:rPr>
      </w:pPr>
      <w:r w:rsidRPr="00F8543C">
        <w:rPr>
          <w:rFonts w:ascii="Times New Roman" w:hAnsi="Times New Roman"/>
          <w:b/>
          <w:spacing w:val="-2"/>
          <w:lang w:val="el-GR"/>
        </w:rPr>
        <w:t>9.</w:t>
      </w:r>
      <w:r w:rsidRPr="00F8543C">
        <w:rPr>
          <w:rFonts w:ascii="Times New Roman" w:hAnsi="Times New Roman"/>
          <w:b/>
          <w:spacing w:val="-2"/>
          <w:lang w:val="el-GR"/>
        </w:rPr>
        <w:tab/>
      </w:r>
      <w:r w:rsidRPr="00F8543C">
        <w:rPr>
          <w:rFonts w:ascii="Times New Roman" w:hAnsi="Times New Roman"/>
          <w:b/>
          <w:spacing w:val="-2"/>
          <w:lang w:val="el-GR"/>
        </w:rPr>
        <w:tab/>
        <w:t xml:space="preserve">ΗΜΕΡΟΜΗΝΙΑ  ΤΗΣ  ΠΡΩΤΗΣ ΑΔΕΙΑΣ/ΑΝΑΝΕΩΣΗΣ  ΤΗΣ ΑΔΕΙΑΣ  </w:t>
      </w:r>
      <w:r w:rsidR="00D51D23">
        <w:rPr>
          <w:rFonts w:ascii="Times New Roman" w:hAnsi="Times New Roman"/>
          <w:b/>
          <w:spacing w:val="-2"/>
          <w:lang w:val="el-GR"/>
        </w:rPr>
        <w:t xml:space="preserve"> </w:t>
      </w:r>
      <w:r w:rsidRPr="00F8543C">
        <w:rPr>
          <w:rFonts w:ascii="Times New Roman" w:hAnsi="Times New Roman"/>
          <w:b/>
          <w:spacing w:val="-2"/>
          <w:lang w:val="el-GR"/>
        </w:rPr>
        <w:tab/>
        <w:t>ΚΥΚΛΟΦΟΡΙΑΣ</w:t>
      </w:r>
    </w:p>
    <w:p w:rsidR="006C7710" w:rsidRPr="00B740A5" w:rsidRDefault="00321C61" w:rsidP="006C7710">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r w:rsidRPr="00D51D23">
        <w:rPr>
          <w:rFonts w:ascii="Times New Roman" w:hAnsi="Times New Roman"/>
          <w:b/>
          <w:spacing w:val="-2"/>
          <w:lang w:val="el-GR"/>
        </w:rPr>
        <w:tab/>
      </w:r>
    </w:p>
    <w:p w:rsidR="00950BFA" w:rsidRPr="006C7710" w:rsidRDefault="00950BFA" w:rsidP="006C7710">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firstLine="567"/>
        <w:jc w:val="both"/>
        <w:rPr>
          <w:rFonts w:ascii="Times New Roman" w:hAnsi="Times New Roman"/>
          <w:spacing w:val="-2"/>
          <w:lang w:val="el-GR"/>
        </w:rPr>
      </w:pPr>
      <w:r w:rsidRPr="006C7710">
        <w:rPr>
          <w:rFonts w:ascii="Times New Roman" w:hAnsi="Times New Roman"/>
          <w:spacing w:val="-2"/>
          <w:lang w:val="el-GR"/>
        </w:rPr>
        <w:t>Ημερομηνία της πρώτης άδειας κυκλοφορίας:</w:t>
      </w:r>
      <w:r w:rsidRPr="006C7710">
        <w:rPr>
          <w:rFonts w:ascii="Times New Roman" w:hAnsi="Times New Roman"/>
          <w:spacing w:val="-2"/>
          <w:lang w:val="el-GR"/>
        </w:rPr>
        <w:tab/>
      </w:r>
      <w:r w:rsidRPr="006C7710">
        <w:rPr>
          <w:rFonts w:ascii="Times New Roman" w:hAnsi="Times New Roman"/>
          <w:spacing w:val="-2"/>
          <w:lang w:val="el-GR"/>
        </w:rPr>
        <w:tab/>
        <w:t>23/09/2004</w:t>
      </w:r>
    </w:p>
    <w:p w:rsidR="00046C03" w:rsidRPr="006C7710" w:rsidRDefault="00950BFA" w:rsidP="006C7710">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6C7710">
        <w:rPr>
          <w:rFonts w:ascii="Times New Roman" w:hAnsi="Times New Roman"/>
          <w:spacing w:val="-2"/>
          <w:lang w:val="el-GR"/>
        </w:rPr>
        <w:tab/>
        <w:t>Ημερομηνία ανανέωσης της άδειας κυκλοφορίας:</w:t>
      </w:r>
      <w:r w:rsidRPr="006C7710">
        <w:rPr>
          <w:rFonts w:ascii="Times New Roman" w:hAnsi="Times New Roman"/>
          <w:spacing w:val="-2"/>
          <w:lang w:val="el-GR"/>
        </w:rPr>
        <w:tab/>
        <w:t>25/11/2009</w:t>
      </w:r>
      <w:r w:rsidR="00321C61" w:rsidRPr="006C7710">
        <w:rPr>
          <w:rFonts w:ascii="Times New Roman" w:hAnsi="Times New Roman"/>
          <w:spacing w:val="-2"/>
          <w:lang w:val="el-GR"/>
        </w:rPr>
        <w:tab/>
      </w: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b/>
          <w:spacing w:val="-2"/>
          <w:lang w:val="el-GR"/>
        </w:rPr>
      </w:pPr>
    </w:p>
    <w:p w:rsidR="00046C03" w:rsidRPr="00F8543C" w:rsidRDefault="00046C03">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589" w:hanging="589"/>
        <w:jc w:val="both"/>
        <w:rPr>
          <w:rFonts w:ascii="Times New Roman" w:hAnsi="Times New Roman"/>
          <w:b/>
          <w:spacing w:val="-2"/>
          <w:lang w:val="el-GR"/>
        </w:rPr>
      </w:pPr>
      <w:r w:rsidRPr="00F8543C">
        <w:rPr>
          <w:rFonts w:ascii="Times New Roman" w:hAnsi="Times New Roman"/>
          <w:b/>
          <w:spacing w:val="-2"/>
          <w:lang w:val="el-GR"/>
        </w:rPr>
        <w:t>10.</w:t>
      </w:r>
      <w:r w:rsidRPr="00F8543C">
        <w:rPr>
          <w:rFonts w:ascii="Times New Roman" w:hAnsi="Times New Roman"/>
          <w:b/>
          <w:spacing w:val="-2"/>
          <w:lang w:val="el-GR"/>
        </w:rPr>
        <w:tab/>
      </w:r>
      <w:r w:rsidRPr="00F8543C">
        <w:rPr>
          <w:rFonts w:ascii="Times New Roman" w:hAnsi="Times New Roman"/>
          <w:b/>
          <w:spacing w:val="-2"/>
          <w:lang w:val="el-GR"/>
        </w:rPr>
        <w:tab/>
        <w:t>ΗΜΕΡΟΜΗΝΙΑ  ΤΗΣ (ΜΕΡΙΚΗΣ)  ΑΝΑΘΕΩΡΗΣΗΣ  ΤΟΥ ΚΕΙΜΕΝΟΥ</w:t>
      </w:r>
    </w:p>
    <w:p w:rsidR="00D56C45" w:rsidRPr="00B740A5" w:rsidRDefault="00D56C45" w:rsidP="001F7368">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8C374B" w:rsidRPr="00B740A5" w:rsidRDefault="00950BFA" w:rsidP="001F7368">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r w:rsidRPr="00B740A5">
        <w:rPr>
          <w:rFonts w:ascii="Times New Roman" w:hAnsi="Times New Roman"/>
          <w:spacing w:val="-2"/>
          <w:lang w:val="el-GR"/>
        </w:rPr>
        <w:tab/>
      </w:r>
    </w:p>
    <w:p w:rsidR="008C374B" w:rsidRDefault="008C374B" w:rsidP="001F7368">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rFonts w:ascii="Times New Roman" w:hAnsi="Times New Roman"/>
          <w:spacing w:val="-2"/>
          <w:lang w:val="el-GR"/>
        </w:rPr>
      </w:pPr>
    </w:p>
    <w:p w:rsidR="00046C03" w:rsidRPr="008C374B" w:rsidRDefault="00046C03" w:rsidP="00395A7D">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rPr>
          <w:b/>
          <w:lang w:val="el-GR"/>
        </w:rPr>
      </w:pPr>
    </w:p>
    <w:sectPr w:rsidR="00046C03" w:rsidRPr="008C374B" w:rsidSect="00DD008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680" w:bottom="1134" w:left="1418"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73" w:rsidRDefault="00392173">
      <w:pPr>
        <w:spacing w:line="20" w:lineRule="exact"/>
      </w:pPr>
    </w:p>
  </w:endnote>
  <w:endnote w:type="continuationSeparator" w:id="0">
    <w:p w:rsidR="00392173" w:rsidRDefault="00392173">
      <w:r>
        <w:t xml:space="preserve"> </w:t>
      </w:r>
    </w:p>
  </w:endnote>
  <w:endnote w:type="continuationNotice" w:id="1">
    <w:p w:rsidR="00392173" w:rsidRDefault="0039217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7D" w:rsidRDefault="00395A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B0" w:rsidRDefault="000672B0">
    <w:pPr>
      <w:pStyle w:val="a5"/>
      <w:framePr w:wrap="auto" w:vAnchor="text" w:hAnchor="margin" w:xAlign="center" w:y="1"/>
      <w:jc w:val="center"/>
      <w:rPr>
        <w:rStyle w:val="a7"/>
      </w:rPr>
    </w:pPr>
  </w:p>
  <w:p w:rsidR="000672B0" w:rsidRDefault="000672B0">
    <w:pPr>
      <w:spacing w:before="140" w:line="100" w:lineRule="exact"/>
      <w:rPr>
        <w:sz w:val="10"/>
      </w:rPr>
    </w:pPr>
  </w:p>
  <w:p w:rsidR="000672B0" w:rsidRDefault="000324D4">
    <w:r w:rsidRPr="000324D4">
      <w:rPr>
        <w:noProof/>
      </w:rPr>
      <w:pict>
        <v:rect id="_x0000_s2049" style="position:absolute;margin-left:49.7pt;margin-top:1.65pt;width:510.2pt;height:21.3pt;z-index:251657728;mso-position-horizontal-relative:page" o:allowincell="f" filled="f" stroked="f" strokeweight="0">
          <v:textbox style="mso-next-textbox:#_x0000_s2049" inset="0,0,0,0">
            <w:txbxContent>
              <w:p w:rsidR="000672B0" w:rsidRDefault="000672B0">
                <w:pPr>
                  <w:tabs>
                    <w:tab w:val="center" w:pos="5102"/>
                    <w:tab w:val="right" w:pos="10204"/>
                  </w:tabs>
                  <w:rPr>
                    <w:rFonts w:ascii="Univers" w:hAnsi="Univers"/>
                    <w:spacing w:val="-2"/>
                    <w:sz w:val="22"/>
                    <w:lang w:val="en-GB"/>
                  </w:rPr>
                </w:pPr>
                <w:r>
                  <w:rPr>
                    <w:rFonts w:ascii="Univers" w:hAnsi="Univers"/>
                    <w:sz w:val="22"/>
                  </w:rPr>
                  <w:tab/>
                </w:r>
              </w:p>
            </w:txbxContent>
          </v:textbox>
          <w10:wrap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7D" w:rsidRDefault="00395A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73" w:rsidRDefault="00392173">
      <w:r>
        <w:separator/>
      </w:r>
    </w:p>
  </w:footnote>
  <w:footnote w:type="continuationSeparator" w:id="0">
    <w:p w:rsidR="00392173" w:rsidRDefault="00392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7D" w:rsidRDefault="00395A7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7D" w:rsidRDefault="00395A7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7D" w:rsidRDefault="00395A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332"/>
    <w:multiLevelType w:val="multilevel"/>
    <w:tmpl w:val="0CB287D6"/>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625745"/>
    <w:multiLevelType w:val="multilevel"/>
    <w:tmpl w:val="813425E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3C5EA9"/>
    <w:multiLevelType w:val="multilevel"/>
    <w:tmpl w:val="770A4F4E"/>
    <w:lvl w:ilvl="0">
      <w:start w:val="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nsid w:val="2F3E1238"/>
    <w:multiLevelType w:val="multilevel"/>
    <w:tmpl w:val="347AA162"/>
    <w:lvl w:ilvl="0">
      <w:start w:val="6"/>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057F82"/>
    <w:multiLevelType w:val="multilevel"/>
    <w:tmpl w:val="E4ECE0AC"/>
    <w:lvl w:ilvl="0">
      <w:start w:val="4"/>
      <w:numFmt w:val="decimal"/>
      <w:lvlText w:val="%1"/>
      <w:lvlJc w:val="left"/>
      <w:pPr>
        <w:tabs>
          <w:tab w:val="num" w:pos="1305"/>
        </w:tabs>
        <w:ind w:left="1305" w:hanging="1305"/>
      </w:pPr>
      <w:rPr>
        <w:rFonts w:hint="default"/>
      </w:rPr>
    </w:lvl>
    <w:lvl w:ilvl="1">
      <w:start w:val="8"/>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39F3057"/>
    <w:multiLevelType w:val="multilevel"/>
    <w:tmpl w:val="531EFD9C"/>
    <w:lvl w:ilvl="0">
      <w:start w:val="4"/>
      <w:numFmt w:val="decimal"/>
      <w:lvlText w:val="%1"/>
      <w:lvlJc w:val="left"/>
      <w:pPr>
        <w:tabs>
          <w:tab w:val="num" w:pos="1305"/>
        </w:tabs>
        <w:ind w:left="1305" w:hanging="1305"/>
      </w:pPr>
      <w:rPr>
        <w:rFonts w:hint="default"/>
      </w:rPr>
    </w:lvl>
    <w:lvl w:ilvl="1">
      <w:start w:val="8"/>
      <w:numFmt w:val="decimal"/>
      <w:lvlText w:val="%1.%2"/>
      <w:lvlJc w:val="left"/>
      <w:pPr>
        <w:tabs>
          <w:tab w:val="num" w:pos="1305"/>
        </w:tabs>
        <w:ind w:left="1305" w:hanging="1305"/>
      </w:pPr>
      <w:rPr>
        <w:rFonts w:hint="default"/>
      </w:rPr>
    </w:lvl>
    <w:lvl w:ilvl="2">
      <w:start w:val="4"/>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3E51406"/>
    <w:multiLevelType w:val="multilevel"/>
    <w:tmpl w:val="DDEAE6DE"/>
    <w:lvl w:ilvl="0">
      <w:start w:val="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ttachedTemplate r:id="rId1"/>
  <w:stylePaneFormatFilter w:val="3F01"/>
  <w:trackRevisions/>
  <w:defaultTabStop w:val="720"/>
  <w:hyphenationZone w:val="1036"/>
  <w:doNotHyphenateCaps/>
  <w:displayHorizontalDrawingGridEvery w:val="0"/>
  <w:displayVerticalDrawingGridEvery w:val="0"/>
  <w:doNotUseMarginsForDrawingGridOrigin/>
  <w:doNotShadeFormData/>
  <w:noPunctuationKerning/>
  <w:characterSpacingControl w:val="doNotCompress"/>
  <w:hdrShapeDefaults>
    <o:shapedefaults v:ext="edit" spidmax="7170"/>
    <o:shapelayout v:ext="edit">
      <o:idmap v:ext="edit" data="2"/>
    </o:shapelayout>
  </w:hdrShapeDefaults>
  <w:footnotePr>
    <w:footnote w:id="-1"/>
    <w:footnote w:id="0"/>
  </w:footnotePr>
  <w:endnotePr>
    <w:numFmt w:val="decimal"/>
    <w:endnote w:id="-1"/>
    <w:endnote w:id="0"/>
    <w:endnote w:id="1"/>
  </w:endnotePr>
  <w:compat/>
  <w:rsids>
    <w:rsidRoot w:val="00F71249"/>
    <w:rsid w:val="00011316"/>
    <w:rsid w:val="000324D4"/>
    <w:rsid w:val="0003740C"/>
    <w:rsid w:val="00042619"/>
    <w:rsid w:val="00046C03"/>
    <w:rsid w:val="00055BDC"/>
    <w:rsid w:val="000672B0"/>
    <w:rsid w:val="00067C69"/>
    <w:rsid w:val="00072189"/>
    <w:rsid w:val="00073C67"/>
    <w:rsid w:val="00077E30"/>
    <w:rsid w:val="00080CB7"/>
    <w:rsid w:val="00083E93"/>
    <w:rsid w:val="00087190"/>
    <w:rsid w:val="00087A98"/>
    <w:rsid w:val="000933B1"/>
    <w:rsid w:val="00094F1E"/>
    <w:rsid w:val="000A5656"/>
    <w:rsid w:val="000B12BF"/>
    <w:rsid w:val="000C388A"/>
    <w:rsid w:val="000C6044"/>
    <w:rsid w:val="000C7990"/>
    <w:rsid w:val="000E7C60"/>
    <w:rsid w:val="000F6827"/>
    <w:rsid w:val="000F7881"/>
    <w:rsid w:val="001028EB"/>
    <w:rsid w:val="001242CC"/>
    <w:rsid w:val="0012718A"/>
    <w:rsid w:val="00127F83"/>
    <w:rsid w:val="0013641B"/>
    <w:rsid w:val="00137231"/>
    <w:rsid w:val="00140A8F"/>
    <w:rsid w:val="00141736"/>
    <w:rsid w:val="001418FA"/>
    <w:rsid w:val="001517BE"/>
    <w:rsid w:val="00153892"/>
    <w:rsid w:val="001557FE"/>
    <w:rsid w:val="00155961"/>
    <w:rsid w:val="00164BDD"/>
    <w:rsid w:val="001652F8"/>
    <w:rsid w:val="00165D37"/>
    <w:rsid w:val="00181485"/>
    <w:rsid w:val="00183B11"/>
    <w:rsid w:val="00192416"/>
    <w:rsid w:val="001A266F"/>
    <w:rsid w:val="001B743C"/>
    <w:rsid w:val="001C5969"/>
    <w:rsid w:val="001D1BE3"/>
    <w:rsid w:val="001D1C84"/>
    <w:rsid w:val="001E76A9"/>
    <w:rsid w:val="001F1450"/>
    <w:rsid w:val="001F52B0"/>
    <w:rsid w:val="001F7368"/>
    <w:rsid w:val="00207693"/>
    <w:rsid w:val="002205B5"/>
    <w:rsid w:val="00223DFF"/>
    <w:rsid w:val="00231AE5"/>
    <w:rsid w:val="00240576"/>
    <w:rsid w:val="00251713"/>
    <w:rsid w:val="00260A49"/>
    <w:rsid w:val="002708F6"/>
    <w:rsid w:val="0027399E"/>
    <w:rsid w:val="00276E2C"/>
    <w:rsid w:val="00280E85"/>
    <w:rsid w:val="002836C8"/>
    <w:rsid w:val="002836D7"/>
    <w:rsid w:val="0028517D"/>
    <w:rsid w:val="002A2FB0"/>
    <w:rsid w:val="002B2E77"/>
    <w:rsid w:val="002B3E1B"/>
    <w:rsid w:val="002B772D"/>
    <w:rsid w:val="002C65C7"/>
    <w:rsid w:val="002C7799"/>
    <w:rsid w:val="002D2E4F"/>
    <w:rsid w:val="002D429D"/>
    <w:rsid w:val="002D4FD2"/>
    <w:rsid w:val="002D72D8"/>
    <w:rsid w:val="002F0505"/>
    <w:rsid w:val="002F5852"/>
    <w:rsid w:val="00303ED8"/>
    <w:rsid w:val="003159B5"/>
    <w:rsid w:val="0032134B"/>
    <w:rsid w:val="00321C61"/>
    <w:rsid w:val="003261C9"/>
    <w:rsid w:val="00331BB5"/>
    <w:rsid w:val="00350F8D"/>
    <w:rsid w:val="003557C8"/>
    <w:rsid w:val="003572BA"/>
    <w:rsid w:val="00360A6B"/>
    <w:rsid w:val="00360B16"/>
    <w:rsid w:val="00363562"/>
    <w:rsid w:val="00371435"/>
    <w:rsid w:val="003723DF"/>
    <w:rsid w:val="00390218"/>
    <w:rsid w:val="00392173"/>
    <w:rsid w:val="003932BD"/>
    <w:rsid w:val="00395A7D"/>
    <w:rsid w:val="003A0F96"/>
    <w:rsid w:val="003A3FB5"/>
    <w:rsid w:val="003B58DC"/>
    <w:rsid w:val="003D3033"/>
    <w:rsid w:val="003D41E7"/>
    <w:rsid w:val="003D6FF9"/>
    <w:rsid w:val="003D7722"/>
    <w:rsid w:val="00410346"/>
    <w:rsid w:val="00414877"/>
    <w:rsid w:val="00416745"/>
    <w:rsid w:val="004235D0"/>
    <w:rsid w:val="00431518"/>
    <w:rsid w:val="004347C2"/>
    <w:rsid w:val="00436FE9"/>
    <w:rsid w:val="00437234"/>
    <w:rsid w:val="00437AC9"/>
    <w:rsid w:val="00454E77"/>
    <w:rsid w:val="00457CD8"/>
    <w:rsid w:val="0046707F"/>
    <w:rsid w:val="00470D21"/>
    <w:rsid w:val="00473478"/>
    <w:rsid w:val="00477ED1"/>
    <w:rsid w:val="004819CA"/>
    <w:rsid w:val="004A4F8C"/>
    <w:rsid w:val="004A594B"/>
    <w:rsid w:val="004A5FDB"/>
    <w:rsid w:val="004B03AC"/>
    <w:rsid w:val="004B7024"/>
    <w:rsid w:val="004C0CB2"/>
    <w:rsid w:val="004C22D7"/>
    <w:rsid w:val="004C2D82"/>
    <w:rsid w:val="004D23E5"/>
    <w:rsid w:val="004D3357"/>
    <w:rsid w:val="004E0C08"/>
    <w:rsid w:val="004E1A9E"/>
    <w:rsid w:val="004E6699"/>
    <w:rsid w:val="004F5B28"/>
    <w:rsid w:val="004F689C"/>
    <w:rsid w:val="00500FCE"/>
    <w:rsid w:val="0050108C"/>
    <w:rsid w:val="00506A58"/>
    <w:rsid w:val="00507057"/>
    <w:rsid w:val="00517307"/>
    <w:rsid w:val="00521B22"/>
    <w:rsid w:val="00523812"/>
    <w:rsid w:val="0052757C"/>
    <w:rsid w:val="00536F7A"/>
    <w:rsid w:val="005410B7"/>
    <w:rsid w:val="005414A4"/>
    <w:rsid w:val="00544728"/>
    <w:rsid w:val="005452B1"/>
    <w:rsid w:val="00560730"/>
    <w:rsid w:val="00570261"/>
    <w:rsid w:val="00577989"/>
    <w:rsid w:val="00582635"/>
    <w:rsid w:val="0059559F"/>
    <w:rsid w:val="005B12DD"/>
    <w:rsid w:val="005B4867"/>
    <w:rsid w:val="005B5951"/>
    <w:rsid w:val="005B693C"/>
    <w:rsid w:val="005C4744"/>
    <w:rsid w:val="005C4EF2"/>
    <w:rsid w:val="005D1B51"/>
    <w:rsid w:val="005F4016"/>
    <w:rsid w:val="006041AE"/>
    <w:rsid w:val="006057E7"/>
    <w:rsid w:val="00606B78"/>
    <w:rsid w:val="0064482E"/>
    <w:rsid w:val="00656B82"/>
    <w:rsid w:val="006629B1"/>
    <w:rsid w:val="00667B6A"/>
    <w:rsid w:val="00673D1C"/>
    <w:rsid w:val="006765BD"/>
    <w:rsid w:val="0068606B"/>
    <w:rsid w:val="00687AEF"/>
    <w:rsid w:val="0069011A"/>
    <w:rsid w:val="00691C59"/>
    <w:rsid w:val="006B37A9"/>
    <w:rsid w:val="006C09C3"/>
    <w:rsid w:val="006C7710"/>
    <w:rsid w:val="006D1121"/>
    <w:rsid w:val="006D7314"/>
    <w:rsid w:val="006E0970"/>
    <w:rsid w:val="006F256D"/>
    <w:rsid w:val="006F5ACD"/>
    <w:rsid w:val="00701305"/>
    <w:rsid w:val="00707E60"/>
    <w:rsid w:val="00711359"/>
    <w:rsid w:val="00711700"/>
    <w:rsid w:val="00712DFB"/>
    <w:rsid w:val="00712F17"/>
    <w:rsid w:val="00713CBF"/>
    <w:rsid w:val="00715004"/>
    <w:rsid w:val="00722A3A"/>
    <w:rsid w:val="007306A0"/>
    <w:rsid w:val="00735950"/>
    <w:rsid w:val="00743EED"/>
    <w:rsid w:val="00744E44"/>
    <w:rsid w:val="0074583E"/>
    <w:rsid w:val="00745B30"/>
    <w:rsid w:val="00750658"/>
    <w:rsid w:val="007741F0"/>
    <w:rsid w:val="007856BD"/>
    <w:rsid w:val="007A3FC7"/>
    <w:rsid w:val="007B2FD5"/>
    <w:rsid w:val="007B55C5"/>
    <w:rsid w:val="007C2784"/>
    <w:rsid w:val="007E628A"/>
    <w:rsid w:val="007E6D46"/>
    <w:rsid w:val="007F0FC0"/>
    <w:rsid w:val="007F56CE"/>
    <w:rsid w:val="007F7D75"/>
    <w:rsid w:val="008029E3"/>
    <w:rsid w:val="00802CD6"/>
    <w:rsid w:val="00804673"/>
    <w:rsid w:val="0080743A"/>
    <w:rsid w:val="00810D72"/>
    <w:rsid w:val="00815981"/>
    <w:rsid w:val="008232B6"/>
    <w:rsid w:val="00826B62"/>
    <w:rsid w:val="008278F1"/>
    <w:rsid w:val="00830C2A"/>
    <w:rsid w:val="00840CF9"/>
    <w:rsid w:val="00844BD4"/>
    <w:rsid w:val="00845166"/>
    <w:rsid w:val="00853CEB"/>
    <w:rsid w:val="00856D27"/>
    <w:rsid w:val="00874B43"/>
    <w:rsid w:val="008764A3"/>
    <w:rsid w:val="00877934"/>
    <w:rsid w:val="00883D82"/>
    <w:rsid w:val="0088542D"/>
    <w:rsid w:val="008862CC"/>
    <w:rsid w:val="00887F77"/>
    <w:rsid w:val="008939F6"/>
    <w:rsid w:val="008A13D4"/>
    <w:rsid w:val="008B774C"/>
    <w:rsid w:val="008C1FFB"/>
    <w:rsid w:val="008C374B"/>
    <w:rsid w:val="008E6B31"/>
    <w:rsid w:val="008F2D21"/>
    <w:rsid w:val="0090312E"/>
    <w:rsid w:val="00904F03"/>
    <w:rsid w:val="00906DA5"/>
    <w:rsid w:val="0091391E"/>
    <w:rsid w:val="009234D9"/>
    <w:rsid w:val="0092616C"/>
    <w:rsid w:val="00930BD8"/>
    <w:rsid w:val="00934839"/>
    <w:rsid w:val="00934A54"/>
    <w:rsid w:val="0094384A"/>
    <w:rsid w:val="00946D24"/>
    <w:rsid w:val="00950BFA"/>
    <w:rsid w:val="009526AD"/>
    <w:rsid w:val="009562C4"/>
    <w:rsid w:val="009570E9"/>
    <w:rsid w:val="00961FB0"/>
    <w:rsid w:val="00963E33"/>
    <w:rsid w:val="00966756"/>
    <w:rsid w:val="00975921"/>
    <w:rsid w:val="00983F54"/>
    <w:rsid w:val="0099053E"/>
    <w:rsid w:val="009B08EC"/>
    <w:rsid w:val="009B37B2"/>
    <w:rsid w:val="009B490D"/>
    <w:rsid w:val="009C146E"/>
    <w:rsid w:val="009C479A"/>
    <w:rsid w:val="009C530D"/>
    <w:rsid w:val="009C7076"/>
    <w:rsid w:val="009D6356"/>
    <w:rsid w:val="009D6461"/>
    <w:rsid w:val="009E0C95"/>
    <w:rsid w:val="009E1001"/>
    <w:rsid w:val="009E4E8D"/>
    <w:rsid w:val="009E5F27"/>
    <w:rsid w:val="009F6580"/>
    <w:rsid w:val="00A050DE"/>
    <w:rsid w:val="00A07880"/>
    <w:rsid w:val="00A13F24"/>
    <w:rsid w:val="00A15B9B"/>
    <w:rsid w:val="00A177AA"/>
    <w:rsid w:val="00A207B1"/>
    <w:rsid w:val="00A31C6C"/>
    <w:rsid w:val="00A33F77"/>
    <w:rsid w:val="00A342D1"/>
    <w:rsid w:val="00A40F90"/>
    <w:rsid w:val="00A42C8C"/>
    <w:rsid w:val="00A46A28"/>
    <w:rsid w:val="00A471DC"/>
    <w:rsid w:val="00A5119C"/>
    <w:rsid w:val="00A56E67"/>
    <w:rsid w:val="00A61AB5"/>
    <w:rsid w:val="00A63CEA"/>
    <w:rsid w:val="00A72C8E"/>
    <w:rsid w:val="00A74107"/>
    <w:rsid w:val="00A752C9"/>
    <w:rsid w:val="00A75E42"/>
    <w:rsid w:val="00A800DC"/>
    <w:rsid w:val="00A82BA3"/>
    <w:rsid w:val="00A971A6"/>
    <w:rsid w:val="00AA01CF"/>
    <w:rsid w:val="00AA1B30"/>
    <w:rsid w:val="00AB7809"/>
    <w:rsid w:val="00AC1F1C"/>
    <w:rsid w:val="00AD221C"/>
    <w:rsid w:val="00AF0921"/>
    <w:rsid w:val="00B05CC5"/>
    <w:rsid w:val="00B10DE8"/>
    <w:rsid w:val="00B16D93"/>
    <w:rsid w:val="00B24497"/>
    <w:rsid w:val="00B2611A"/>
    <w:rsid w:val="00B2782C"/>
    <w:rsid w:val="00B27A5B"/>
    <w:rsid w:val="00B304E4"/>
    <w:rsid w:val="00B340C5"/>
    <w:rsid w:val="00B341F8"/>
    <w:rsid w:val="00B3718F"/>
    <w:rsid w:val="00B45EF3"/>
    <w:rsid w:val="00B468B7"/>
    <w:rsid w:val="00B62CF0"/>
    <w:rsid w:val="00B67025"/>
    <w:rsid w:val="00B73FED"/>
    <w:rsid w:val="00B740A5"/>
    <w:rsid w:val="00B74B1D"/>
    <w:rsid w:val="00B74FB0"/>
    <w:rsid w:val="00B75BBC"/>
    <w:rsid w:val="00B81114"/>
    <w:rsid w:val="00B82591"/>
    <w:rsid w:val="00B82F0B"/>
    <w:rsid w:val="00B84081"/>
    <w:rsid w:val="00B87FBD"/>
    <w:rsid w:val="00B92EF6"/>
    <w:rsid w:val="00B939EB"/>
    <w:rsid w:val="00BB256C"/>
    <w:rsid w:val="00BB5414"/>
    <w:rsid w:val="00BC2A3F"/>
    <w:rsid w:val="00BD577B"/>
    <w:rsid w:val="00BD74AE"/>
    <w:rsid w:val="00BE1415"/>
    <w:rsid w:val="00BE172F"/>
    <w:rsid w:val="00BE61EA"/>
    <w:rsid w:val="00BF5FDB"/>
    <w:rsid w:val="00C125CD"/>
    <w:rsid w:val="00C23F51"/>
    <w:rsid w:val="00C258D7"/>
    <w:rsid w:val="00C30304"/>
    <w:rsid w:val="00C32419"/>
    <w:rsid w:val="00C3455E"/>
    <w:rsid w:val="00C4304D"/>
    <w:rsid w:val="00C44037"/>
    <w:rsid w:val="00C45C49"/>
    <w:rsid w:val="00C45E46"/>
    <w:rsid w:val="00C62D30"/>
    <w:rsid w:val="00C6531E"/>
    <w:rsid w:val="00C65748"/>
    <w:rsid w:val="00C7197A"/>
    <w:rsid w:val="00C7284D"/>
    <w:rsid w:val="00C73371"/>
    <w:rsid w:val="00C750F8"/>
    <w:rsid w:val="00C808C3"/>
    <w:rsid w:val="00C8313B"/>
    <w:rsid w:val="00C9017F"/>
    <w:rsid w:val="00CA3561"/>
    <w:rsid w:val="00CB0012"/>
    <w:rsid w:val="00CB7B88"/>
    <w:rsid w:val="00CC36B4"/>
    <w:rsid w:val="00CC5261"/>
    <w:rsid w:val="00CC5B43"/>
    <w:rsid w:val="00CC621E"/>
    <w:rsid w:val="00CC630C"/>
    <w:rsid w:val="00CD2B64"/>
    <w:rsid w:val="00CE3F6B"/>
    <w:rsid w:val="00CE7A82"/>
    <w:rsid w:val="00CF3F26"/>
    <w:rsid w:val="00CF4886"/>
    <w:rsid w:val="00CF5B53"/>
    <w:rsid w:val="00D1114A"/>
    <w:rsid w:val="00D11D76"/>
    <w:rsid w:val="00D12647"/>
    <w:rsid w:val="00D16635"/>
    <w:rsid w:val="00D33933"/>
    <w:rsid w:val="00D35E1D"/>
    <w:rsid w:val="00D45413"/>
    <w:rsid w:val="00D46F9F"/>
    <w:rsid w:val="00D47119"/>
    <w:rsid w:val="00D515D2"/>
    <w:rsid w:val="00D51D23"/>
    <w:rsid w:val="00D56574"/>
    <w:rsid w:val="00D56C45"/>
    <w:rsid w:val="00D669C5"/>
    <w:rsid w:val="00D76818"/>
    <w:rsid w:val="00D76DFA"/>
    <w:rsid w:val="00D77916"/>
    <w:rsid w:val="00D830D6"/>
    <w:rsid w:val="00D85078"/>
    <w:rsid w:val="00DA5A71"/>
    <w:rsid w:val="00DB121B"/>
    <w:rsid w:val="00DB1BAB"/>
    <w:rsid w:val="00DC0652"/>
    <w:rsid w:val="00DC2A73"/>
    <w:rsid w:val="00DC63FD"/>
    <w:rsid w:val="00DD0082"/>
    <w:rsid w:val="00DD735A"/>
    <w:rsid w:val="00DE0E5A"/>
    <w:rsid w:val="00DF150B"/>
    <w:rsid w:val="00DF277D"/>
    <w:rsid w:val="00DF4B19"/>
    <w:rsid w:val="00E0671A"/>
    <w:rsid w:val="00E126AB"/>
    <w:rsid w:val="00E44A72"/>
    <w:rsid w:val="00E50D30"/>
    <w:rsid w:val="00E57E7D"/>
    <w:rsid w:val="00E60FF0"/>
    <w:rsid w:val="00E6371C"/>
    <w:rsid w:val="00E648E3"/>
    <w:rsid w:val="00E777C8"/>
    <w:rsid w:val="00E83DB6"/>
    <w:rsid w:val="00E850FB"/>
    <w:rsid w:val="00E85354"/>
    <w:rsid w:val="00E950E1"/>
    <w:rsid w:val="00E969A1"/>
    <w:rsid w:val="00E979E2"/>
    <w:rsid w:val="00EA023B"/>
    <w:rsid w:val="00EA2B08"/>
    <w:rsid w:val="00EA2CC1"/>
    <w:rsid w:val="00EA6553"/>
    <w:rsid w:val="00EB069F"/>
    <w:rsid w:val="00EB6D61"/>
    <w:rsid w:val="00EB72A2"/>
    <w:rsid w:val="00EB767C"/>
    <w:rsid w:val="00EC23D8"/>
    <w:rsid w:val="00EC61B7"/>
    <w:rsid w:val="00ED398C"/>
    <w:rsid w:val="00EE562F"/>
    <w:rsid w:val="00EE64DA"/>
    <w:rsid w:val="00EF62FE"/>
    <w:rsid w:val="00F061BF"/>
    <w:rsid w:val="00F102EC"/>
    <w:rsid w:val="00F17EFF"/>
    <w:rsid w:val="00F26C70"/>
    <w:rsid w:val="00F317A9"/>
    <w:rsid w:val="00F33236"/>
    <w:rsid w:val="00F34E10"/>
    <w:rsid w:val="00F371A7"/>
    <w:rsid w:val="00F37E19"/>
    <w:rsid w:val="00F41F47"/>
    <w:rsid w:val="00F426D6"/>
    <w:rsid w:val="00F6021E"/>
    <w:rsid w:val="00F63F56"/>
    <w:rsid w:val="00F65FD1"/>
    <w:rsid w:val="00F71249"/>
    <w:rsid w:val="00F84150"/>
    <w:rsid w:val="00F8543C"/>
    <w:rsid w:val="00F9483D"/>
    <w:rsid w:val="00FA365B"/>
    <w:rsid w:val="00FC2B92"/>
    <w:rsid w:val="00FD4E97"/>
    <w:rsid w:val="00FD51C8"/>
    <w:rsid w:val="00FD6B4D"/>
    <w:rsid w:val="00FD732E"/>
    <w:rsid w:val="00FE5E33"/>
    <w:rsid w:val="00FF0F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F9F"/>
    <w:rPr>
      <w:rFonts w:ascii="Courier" w:hAnsi="Courier"/>
      <w:sz w:val="24"/>
      <w:lang w:val="en-US" w:eastAsia="en-US"/>
    </w:rPr>
  </w:style>
  <w:style w:type="paragraph" w:styleId="1">
    <w:name w:val="heading 1"/>
    <w:basedOn w:val="a"/>
    <w:next w:val="a"/>
    <w:qFormat/>
    <w:rsid w:val="003723DF"/>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outlineLvl w:val="0"/>
    </w:pPr>
    <w:rPr>
      <w:rFonts w:ascii="Times New Roman" w:hAnsi="Times New Roman"/>
      <w:b/>
      <w:spacing w:val="-2"/>
      <w:lang w:val="el-GR"/>
    </w:rPr>
  </w:style>
  <w:style w:type="paragraph" w:styleId="2">
    <w:name w:val="heading 2"/>
    <w:basedOn w:val="a"/>
    <w:next w:val="a"/>
    <w:qFormat/>
    <w:rsid w:val="003723DF"/>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276" w:firstLine="33"/>
      <w:jc w:val="both"/>
      <w:outlineLvl w:val="1"/>
    </w:pPr>
    <w:rPr>
      <w:rFonts w:ascii="Times New Roman" w:hAnsi="Times New Roman"/>
      <w:b/>
      <w:i/>
      <w:spacing w:val="-2"/>
      <w:lang w:val="el-GR"/>
    </w:rPr>
  </w:style>
  <w:style w:type="paragraph" w:styleId="3">
    <w:name w:val="heading 3"/>
    <w:basedOn w:val="a"/>
    <w:next w:val="a"/>
    <w:qFormat/>
    <w:rsid w:val="003723DF"/>
    <w:pPr>
      <w:keepNext/>
      <w:tabs>
        <w:tab w:val="left" w:pos="-851"/>
        <w:tab w:val="left" w:pos="-131"/>
        <w:tab w:val="left" w:pos="0"/>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outlineLvl w:val="2"/>
    </w:pPr>
    <w:rPr>
      <w:rFonts w:ascii="Times New Roman" w:hAnsi="Times New Roman"/>
      <w:b/>
      <w:i/>
      <w:spacing w:val="-2"/>
      <w:lang w:val="el-GR"/>
    </w:rPr>
  </w:style>
  <w:style w:type="paragraph" w:styleId="4">
    <w:name w:val="heading 4"/>
    <w:basedOn w:val="a"/>
    <w:next w:val="a"/>
    <w:qFormat/>
    <w:rsid w:val="003723DF"/>
    <w:pPr>
      <w:keepNext/>
      <w:tabs>
        <w:tab w:val="left" w:pos="-1560"/>
        <w:tab w:val="left" w:pos="-840"/>
        <w:tab w:val="left" w:pos="-120"/>
        <w:tab w:val="left" w:pos="600"/>
        <w:tab w:val="left" w:pos="1320"/>
        <w:tab w:val="left" w:pos="2040"/>
        <w:tab w:val="left" w:pos="2760"/>
        <w:tab w:val="left" w:pos="3480"/>
        <w:tab w:val="left" w:pos="4200"/>
        <w:tab w:val="left" w:pos="4920"/>
        <w:tab w:val="left" w:pos="5640"/>
      </w:tabs>
      <w:suppressAutoHyphens/>
      <w:spacing w:before="90"/>
      <w:outlineLvl w:val="3"/>
    </w:pPr>
    <w:rPr>
      <w:rFonts w:ascii="Times New Roman" w:hAnsi="Times New Roman"/>
      <w:b/>
      <w:spacing w:val="-2"/>
      <w:lang w:val="el-GR"/>
    </w:rPr>
  </w:style>
  <w:style w:type="paragraph" w:styleId="5">
    <w:name w:val="heading 5"/>
    <w:basedOn w:val="a"/>
    <w:next w:val="a"/>
    <w:qFormat/>
    <w:rsid w:val="003723DF"/>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outlineLvl w:val="4"/>
    </w:pPr>
    <w:rPr>
      <w:rFonts w:ascii="Times New Roman" w:hAnsi="Times New Roman"/>
      <w:i/>
      <w:color w:val="008000"/>
      <w:spacing w:val="-2"/>
      <w:lang w:val="el-GR"/>
    </w:rPr>
  </w:style>
  <w:style w:type="paragraph" w:styleId="6">
    <w:name w:val="heading 6"/>
    <w:basedOn w:val="a"/>
    <w:next w:val="a"/>
    <w:qFormat/>
    <w:rsid w:val="003723DF"/>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outlineLvl w:val="5"/>
    </w:pPr>
    <w:rPr>
      <w:rFonts w:ascii="Times New Roman" w:hAnsi="Times New Roman"/>
      <w:b/>
      <w:spacing w:val="-2"/>
      <w:sz w:val="28"/>
      <w:lang w:val="el-GR"/>
    </w:rPr>
  </w:style>
  <w:style w:type="paragraph" w:styleId="7">
    <w:name w:val="heading 7"/>
    <w:basedOn w:val="a"/>
    <w:next w:val="a"/>
    <w:qFormat/>
    <w:rsid w:val="003723DF"/>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center"/>
      <w:outlineLvl w:val="6"/>
    </w:pPr>
    <w:rPr>
      <w:rFonts w:ascii="Times New Roman" w:hAnsi="Times New Roman"/>
      <w:b/>
      <w:spacing w:val="-3"/>
      <w:lang w:val="el-GR"/>
    </w:rPr>
  </w:style>
  <w:style w:type="paragraph" w:styleId="8">
    <w:name w:val="heading 8"/>
    <w:basedOn w:val="a"/>
    <w:next w:val="a"/>
    <w:qFormat/>
    <w:rsid w:val="003723DF"/>
    <w:pPr>
      <w:keepNext/>
      <w:pBdr>
        <w:top w:val="single" w:sz="4" w:space="1" w:color="auto"/>
        <w:left w:val="single" w:sz="4" w:space="4" w:color="auto"/>
        <w:bottom w:val="single" w:sz="4" w:space="1" w:color="auto"/>
        <w:right w:val="single" w:sz="4" w:space="4" w:color="auto"/>
      </w:pBdr>
      <w:outlineLvl w:val="7"/>
    </w:pPr>
    <w:rPr>
      <w:rFonts w:ascii="Times New Roman" w:hAnsi="Times New Roman"/>
      <w:b/>
      <w:bCs/>
      <w:lang w:val="el-GR"/>
    </w:rPr>
  </w:style>
  <w:style w:type="paragraph" w:styleId="9">
    <w:name w:val="heading 9"/>
    <w:basedOn w:val="a"/>
    <w:next w:val="a"/>
    <w:qFormat/>
    <w:rsid w:val="003723DF"/>
    <w:pPr>
      <w:keepNext/>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outlineLvl w:val="8"/>
    </w:pPr>
    <w:rPr>
      <w:rFonts w:ascii="Times New Roman" w:hAnsi="Times New Roman"/>
      <w:b/>
      <w:color w:val="0000FF"/>
      <w:spacing w:val="-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rsid w:val="003723DF"/>
    <w:pPr>
      <w:tabs>
        <w:tab w:val="left" w:leader="dot" w:pos="9000"/>
        <w:tab w:val="right" w:pos="9360"/>
      </w:tabs>
      <w:suppressAutoHyphens/>
      <w:spacing w:before="480"/>
      <w:ind w:left="720" w:right="720" w:hanging="720"/>
    </w:pPr>
  </w:style>
  <w:style w:type="paragraph" w:styleId="20">
    <w:name w:val="toc 2"/>
    <w:basedOn w:val="a"/>
    <w:next w:val="a"/>
    <w:semiHidden/>
    <w:rsid w:val="003723DF"/>
    <w:pPr>
      <w:tabs>
        <w:tab w:val="left" w:leader="dot" w:pos="9000"/>
        <w:tab w:val="right" w:pos="9360"/>
      </w:tabs>
      <w:suppressAutoHyphens/>
      <w:ind w:left="1440" w:right="720" w:hanging="720"/>
    </w:pPr>
  </w:style>
  <w:style w:type="paragraph" w:styleId="30">
    <w:name w:val="toc 3"/>
    <w:basedOn w:val="a"/>
    <w:next w:val="a"/>
    <w:semiHidden/>
    <w:rsid w:val="003723DF"/>
    <w:pPr>
      <w:tabs>
        <w:tab w:val="left" w:leader="dot" w:pos="9000"/>
        <w:tab w:val="right" w:pos="9360"/>
      </w:tabs>
      <w:suppressAutoHyphens/>
      <w:ind w:left="2160" w:right="720" w:hanging="720"/>
    </w:pPr>
  </w:style>
  <w:style w:type="paragraph" w:styleId="40">
    <w:name w:val="toc 4"/>
    <w:basedOn w:val="a"/>
    <w:next w:val="a"/>
    <w:semiHidden/>
    <w:rsid w:val="003723DF"/>
    <w:pPr>
      <w:tabs>
        <w:tab w:val="left" w:leader="dot" w:pos="9000"/>
        <w:tab w:val="right" w:pos="9360"/>
      </w:tabs>
      <w:suppressAutoHyphens/>
      <w:ind w:left="2880" w:right="720" w:hanging="720"/>
    </w:pPr>
  </w:style>
  <w:style w:type="paragraph" w:styleId="50">
    <w:name w:val="toc 5"/>
    <w:basedOn w:val="a"/>
    <w:next w:val="a"/>
    <w:semiHidden/>
    <w:rsid w:val="003723DF"/>
    <w:pPr>
      <w:tabs>
        <w:tab w:val="left" w:leader="dot" w:pos="9000"/>
        <w:tab w:val="right" w:pos="9360"/>
      </w:tabs>
      <w:suppressAutoHyphens/>
      <w:ind w:left="3600" w:right="720" w:hanging="720"/>
    </w:pPr>
  </w:style>
  <w:style w:type="paragraph" w:styleId="60">
    <w:name w:val="toc 6"/>
    <w:basedOn w:val="a"/>
    <w:next w:val="a"/>
    <w:semiHidden/>
    <w:rsid w:val="003723DF"/>
    <w:pPr>
      <w:tabs>
        <w:tab w:val="left" w:pos="9000"/>
        <w:tab w:val="right" w:pos="9360"/>
      </w:tabs>
      <w:suppressAutoHyphens/>
      <w:ind w:left="720" w:hanging="720"/>
    </w:pPr>
  </w:style>
  <w:style w:type="paragraph" w:styleId="70">
    <w:name w:val="toc 7"/>
    <w:basedOn w:val="a"/>
    <w:next w:val="a"/>
    <w:semiHidden/>
    <w:rsid w:val="003723DF"/>
    <w:pPr>
      <w:suppressAutoHyphens/>
      <w:ind w:left="720" w:hanging="720"/>
    </w:pPr>
  </w:style>
  <w:style w:type="paragraph" w:styleId="80">
    <w:name w:val="toc 8"/>
    <w:basedOn w:val="a"/>
    <w:next w:val="a"/>
    <w:semiHidden/>
    <w:rsid w:val="003723DF"/>
    <w:pPr>
      <w:tabs>
        <w:tab w:val="left" w:pos="9000"/>
        <w:tab w:val="right" w:pos="9360"/>
      </w:tabs>
      <w:suppressAutoHyphens/>
      <w:ind w:left="720" w:hanging="720"/>
    </w:pPr>
  </w:style>
  <w:style w:type="paragraph" w:styleId="90">
    <w:name w:val="toc 9"/>
    <w:basedOn w:val="a"/>
    <w:next w:val="a"/>
    <w:semiHidden/>
    <w:rsid w:val="003723DF"/>
    <w:pPr>
      <w:tabs>
        <w:tab w:val="left" w:leader="dot" w:pos="9000"/>
        <w:tab w:val="right" w:pos="9360"/>
      </w:tabs>
      <w:suppressAutoHyphens/>
      <w:ind w:left="720" w:hanging="720"/>
    </w:pPr>
  </w:style>
  <w:style w:type="paragraph" w:styleId="11">
    <w:name w:val="index 1"/>
    <w:basedOn w:val="a"/>
    <w:next w:val="a"/>
    <w:semiHidden/>
    <w:rsid w:val="003723DF"/>
    <w:pPr>
      <w:tabs>
        <w:tab w:val="left" w:leader="dot" w:pos="9000"/>
        <w:tab w:val="right" w:pos="9360"/>
      </w:tabs>
      <w:suppressAutoHyphens/>
      <w:ind w:left="1440" w:right="720" w:hanging="1440"/>
    </w:pPr>
  </w:style>
  <w:style w:type="paragraph" w:styleId="21">
    <w:name w:val="index 2"/>
    <w:basedOn w:val="a"/>
    <w:next w:val="a"/>
    <w:semiHidden/>
    <w:rsid w:val="003723DF"/>
    <w:pPr>
      <w:tabs>
        <w:tab w:val="left" w:leader="dot" w:pos="9000"/>
        <w:tab w:val="right" w:pos="9360"/>
      </w:tabs>
      <w:suppressAutoHyphens/>
      <w:ind w:left="1440" w:right="720" w:hanging="720"/>
    </w:pPr>
  </w:style>
  <w:style w:type="paragraph" w:styleId="a3">
    <w:name w:val="toa heading"/>
    <w:basedOn w:val="a"/>
    <w:next w:val="a"/>
    <w:semiHidden/>
    <w:rsid w:val="003723DF"/>
    <w:pPr>
      <w:tabs>
        <w:tab w:val="left" w:pos="9000"/>
        <w:tab w:val="right" w:pos="9360"/>
      </w:tabs>
      <w:suppressAutoHyphens/>
    </w:pPr>
  </w:style>
  <w:style w:type="paragraph" w:styleId="a4">
    <w:name w:val="caption"/>
    <w:basedOn w:val="a"/>
    <w:next w:val="a"/>
    <w:qFormat/>
    <w:rsid w:val="003723DF"/>
  </w:style>
  <w:style w:type="character" w:customStyle="1" w:styleId="EquationCaption">
    <w:name w:val="_Equation Caption"/>
    <w:rsid w:val="003723DF"/>
  </w:style>
  <w:style w:type="paragraph" w:styleId="a5">
    <w:name w:val="footer"/>
    <w:basedOn w:val="a"/>
    <w:rsid w:val="003723DF"/>
    <w:pPr>
      <w:tabs>
        <w:tab w:val="center" w:pos="4153"/>
        <w:tab w:val="right" w:pos="8306"/>
      </w:tabs>
    </w:pPr>
  </w:style>
  <w:style w:type="paragraph" w:styleId="a6">
    <w:name w:val="header"/>
    <w:basedOn w:val="a"/>
    <w:rsid w:val="003723DF"/>
    <w:pPr>
      <w:tabs>
        <w:tab w:val="center" w:pos="4153"/>
        <w:tab w:val="right" w:pos="8306"/>
      </w:tabs>
    </w:pPr>
  </w:style>
  <w:style w:type="character" w:styleId="a7">
    <w:name w:val="page number"/>
    <w:basedOn w:val="a0"/>
    <w:rsid w:val="003723DF"/>
  </w:style>
  <w:style w:type="paragraph" w:styleId="22">
    <w:name w:val="Body Text 2"/>
    <w:basedOn w:val="a"/>
    <w:rsid w:val="003723DF"/>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pPr>
    <w:rPr>
      <w:rFonts w:ascii="Times New Roman" w:hAnsi="Times New Roman"/>
      <w:spacing w:val="-2"/>
      <w:lang w:val="el-GR"/>
    </w:rPr>
  </w:style>
  <w:style w:type="paragraph" w:styleId="23">
    <w:name w:val="Body Text Indent 2"/>
    <w:basedOn w:val="a"/>
    <w:rsid w:val="003723D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33"/>
      <w:jc w:val="both"/>
    </w:pPr>
    <w:rPr>
      <w:rFonts w:ascii="Times New Roman" w:hAnsi="Times New Roman"/>
      <w:spacing w:val="-2"/>
      <w:lang w:val="el-GR"/>
    </w:rPr>
  </w:style>
  <w:style w:type="paragraph" w:styleId="a8">
    <w:name w:val="Body Text"/>
    <w:basedOn w:val="a"/>
    <w:rsid w:val="003723D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pPr>
    <w:rPr>
      <w:rFonts w:ascii="Times New Roman" w:hAnsi="Times New Roman"/>
      <w:b/>
      <w:spacing w:val="-3"/>
      <w:lang w:val="el-GR"/>
    </w:rPr>
  </w:style>
  <w:style w:type="paragraph" w:styleId="31">
    <w:name w:val="Body Text Indent 3"/>
    <w:basedOn w:val="a"/>
    <w:rsid w:val="003723DF"/>
    <w:pPr>
      <w:tabs>
        <w:tab w:val="left" w:pos="-851"/>
        <w:tab w:val="left" w:pos="-131"/>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left="1309" w:hanging="1309"/>
      <w:jc w:val="both"/>
    </w:pPr>
    <w:rPr>
      <w:rFonts w:ascii="Times New Roman" w:hAnsi="Times New Roman"/>
      <w:b/>
      <w:spacing w:val="-2"/>
      <w:lang w:val="el-GR"/>
    </w:rPr>
  </w:style>
  <w:style w:type="paragraph" w:styleId="32">
    <w:name w:val="Body Text 3"/>
    <w:basedOn w:val="a"/>
    <w:rsid w:val="003723DF"/>
    <w:pPr>
      <w:tabs>
        <w:tab w:val="left" w:pos="-851"/>
        <w:tab w:val="left" w:pos="-131"/>
        <w:tab w:val="left" w:pos="0"/>
        <w:tab w:val="left" w:pos="589"/>
        <w:tab w:val="left" w:pos="2029"/>
        <w:tab w:val="left" w:pos="274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jc w:val="both"/>
    </w:pPr>
    <w:rPr>
      <w:rFonts w:ascii="Times New Roman" w:hAnsi="Times New Roman"/>
      <w:b/>
      <w:spacing w:val="-2"/>
      <w:lang w:val="el-GR"/>
    </w:rPr>
  </w:style>
  <w:style w:type="paragraph" w:styleId="a9">
    <w:name w:val="Body Text Indent"/>
    <w:basedOn w:val="a"/>
    <w:rsid w:val="003723DF"/>
    <w:pPr>
      <w:tabs>
        <w:tab w:val="left" w:pos="-851"/>
        <w:tab w:val="left" w:pos="-131"/>
        <w:tab w:val="left" w:pos="589"/>
        <w:tab w:val="left" w:pos="1985"/>
        <w:tab w:val="left" w:pos="2029"/>
        <w:tab w:val="left" w:pos="3469"/>
        <w:tab w:val="left" w:pos="4189"/>
        <w:tab w:val="left" w:pos="4909"/>
        <w:tab w:val="left" w:pos="5629"/>
        <w:tab w:val="left" w:pos="6349"/>
        <w:tab w:val="left" w:pos="7069"/>
        <w:tab w:val="left" w:pos="7789"/>
        <w:tab w:val="left" w:pos="8509"/>
        <w:tab w:val="left" w:pos="9229"/>
        <w:tab w:val="left" w:pos="9949"/>
        <w:tab w:val="left" w:pos="10669"/>
      </w:tabs>
      <w:suppressAutoHyphens/>
      <w:ind w:firstLine="33"/>
      <w:jc w:val="both"/>
    </w:pPr>
    <w:rPr>
      <w:rFonts w:ascii="Times New Roman" w:hAnsi="Times New Roman"/>
      <w:spacing w:val="-2"/>
      <w:lang w:val="el-GR"/>
    </w:rPr>
  </w:style>
  <w:style w:type="paragraph" w:styleId="aa">
    <w:name w:val="footnote text"/>
    <w:basedOn w:val="a"/>
    <w:semiHidden/>
    <w:rsid w:val="003723DF"/>
    <w:rPr>
      <w:sz w:val="20"/>
    </w:rPr>
  </w:style>
  <w:style w:type="character" w:styleId="ab">
    <w:name w:val="footnote reference"/>
    <w:semiHidden/>
    <w:rsid w:val="003723DF"/>
    <w:rPr>
      <w:vertAlign w:val="superscript"/>
    </w:rPr>
  </w:style>
  <w:style w:type="paragraph" w:styleId="ac">
    <w:name w:val="Balloon Text"/>
    <w:basedOn w:val="a"/>
    <w:semiHidden/>
    <w:rsid w:val="00BE61EA"/>
    <w:rPr>
      <w:rFonts w:ascii="Tahoma" w:hAnsi="Tahoma" w:cs="Tahoma"/>
      <w:sz w:val="16"/>
      <w:szCs w:val="16"/>
    </w:rPr>
  </w:style>
  <w:style w:type="paragraph" w:customStyle="1" w:styleId="lbltxt">
    <w:name w:val="lbltxt"/>
    <w:uiPriority w:val="99"/>
    <w:rsid w:val="004D3357"/>
    <w:pPr>
      <w:tabs>
        <w:tab w:val="left" w:pos="567"/>
      </w:tabs>
    </w:pPr>
    <w:rPr>
      <w:noProof/>
      <w:sz w:val="22"/>
      <w:lang w:val="en-GB" w:eastAsia="en-US"/>
    </w:rPr>
  </w:style>
  <w:style w:type="table" w:styleId="ad">
    <w:name w:val="Table Grid"/>
    <w:basedOn w:val="a1"/>
    <w:rsid w:val="0090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1C5969"/>
  </w:style>
  <w:style w:type="character" w:styleId="ae">
    <w:name w:val="Emphasis"/>
    <w:uiPriority w:val="20"/>
    <w:qFormat/>
    <w:rsid w:val="00F317A9"/>
    <w:rPr>
      <w:i/>
      <w:iCs/>
    </w:rPr>
  </w:style>
  <w:style w:type="character" w:customStyle="1" w:styleId="text">
    <w:name w:val="text"/>
    <w:rsid w:val="00260A49"/>
  </w:style>
</w:styles>
</file>

<file path=word/webSettings.xml><?xml version="1.0" encoding="utf-8"?>
<w:webSettings xmlns:r="http://schemas.openxmlformats.org/officeDocument/2006/relationships" xmlns:w="http://schemas.openxmlformats.org/wordprocessingml/2006/main">
  <w:divs>
    <w:div w:id="101388367">
      <w:bodyDiv w:val="1"/>
      <w:marLeft w:val="0"/>
      <w:marRight w:val="0"/>
      <w:marTop w:val="0"/>
      <w:marBottom w:val="0"/>
      <w:divBdr>
        <w:top w:val="none" w:sz="0" w:space="0" w:color="auto"/>
        <w:left w:val="none" w:sz="0" w:space="0" w:color="auto"/>
        <w:bottom w:val="none" w:sz="0" w:space="0" w:color="auto"/>
        <w:right w:val="none" w:sz="0" w:space="0" w:color="auto"/>
      </w:divBdr>
      <w:divsChild>
        <w:div w:id="334113662">
          <w:marLeft w:val="0"/>
          <w:marRight w:val="0"/>
          <w:marTop w:val="0"/>
          <w:marBottom w:val="0"/>
          <w:divBdr>
            <w:top w:val="none" w:sz="0" w:space="0" w:color="auto"/>
            <w:left w:val="none" w:sz="0" w:space="0" w:color="auto"/>
            <w:bottom w:val="none" w:sz="0" w:space="0" w:color="auto"/>
            <w:right w:val="none" w:sz="0" w:space="0" w:color="auto"/>
          </w:divBdr>
        </w:div>
      </w:divsChild>
    </w:div>
    <w:div w:id="739861819">
      <w:bodyDiv w:val="1"/>
      <w:marLeft w:val="0"/>
      <w:marRight w:val="0"/>
      <w:marTop w:val="0"/>
      <w:marBottom w:val="0"/>
      <w:divBdr>
        <w:top w:val="none" w:sz="0" w:space="0" w:color="auto"/>
        <w:left w:val="none" w:sz="0" w:space="0" w:color="auto"/>
        <w:bottom w:val="none" w:sz="0" w:space="0" w:color="auto"/>
        <w:right w:val="none" w:sz="0" w:space="0" w:color="auto"/>
      </w:divBdr>
    </w:div>
    <w:div w:id="1080954134">
      <w:bodyDiv w:val="1"/>
      <w:marLeft w:val="0"/>
      <w:marRight w:val="0"/>
      <w:marTop w:val="0"/>
      <w:marBottom w:val="0"/>
      <w:divBdr>
        <w:top w:val="none" w:sz="0" w:space="0" w:color="auto"/>
        <w:left w:val="none" w:sz="0" w:space="0" w:color="auto"/>
        <w:bottom w:val="none" w:sz="0" w:space="0" w:color="auto"/>
        <w:right w:val="none" w:sz="0" w:space="0" w:color="auto"/>
      </w:divBdr>
    </w:div>
    <w:div w:id="1111819777">
      <w:bodyDiv w:val="1"/>
      <w:marLeft w:val="0"/>
      <w:marRight w:val="0"/>
      <w:marTop w:val="0"/>
      <w:marBottom w:val="0"/>
      <w:divBdr>
        <w:top w:val="none" w:sz="0" w:space="0" w:color="auto"/>
        <w:left w:val="none" w:sz="0" w:space="0" w:color="auto"/>
        <w:bottom w:val="none" w:sz="0" w:space="0" w:color="auto"/>
        <w:right w:val="none" w:sz="0" w:space="0" w:color="auto"/>
      </w:divBdr>
    </w:div>
    <w:div w:id="1348211234">
      <w:bodyDiv w:val="1"/>
      <w:marLeft w:val="0"/>
      <w:marRight w:val="0"/>
      <w:marTop w:val="0"/>
      <w:marBottom w:val="0"/>
      <w:divBdr>
        <w:top w:val="none" w:sz="0" w:space="0" w:color="auto"/>
        <w:left w:val="none" w:sz="0" w:space="0" w:color="auto"/>
        <w:bottom w:val="none" w:sz="0" w:space="0" w:color="auto"/>
        <w:right w:val="none" w:sz="0" w:space="0" w:color="auto"/>
      </w:divBdr>
    </w:div>
    <w:div w:id="1513059853">
      <w:bodyDiv w:val="1"/>
      <w:marLeft w:val="0"/>
      <w:marRight w:val="0"/>
      <w:marTop w:val="0"/>
      <w:marBottom w:val="0"/>
      <w:divBdr>
        <w:top w:val="none" w:sz="0" w:space="0" w:color="auto"/>
        <w:left w:val="none" w:sz="0" w:space="0" w:color="auto"/>
        <w:bottom w:val="none" w:sz="0" w:space="0" w:color="auto"/>
        <w:right w:val="none" w:sz="0" w:space="0" w:color="auto"/>
      </w:divBdr>
    </w:div>
    <w:div w:id="17409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RAFF\TSOUKAN\EOF\NEUPOGEN\PENDING\LEAFLET\GRRENEW.SP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1869-608D-47A7-8BEE-8E7C144A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GRRENEW</Template>
  <TotalTime>1</TotalTime>
  <Pages>23</Pages>
  <Words>9023</Words>
  <Characters>48729</Characters>
  <Application>Microsoft Office Word</Application>
  <DocSecurity>0</DocSecurity>
  <Lines>406</Lines>
  <Paragraphs>115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ΧΑΡΑΚΤΗΡΙΣΤΙΚΩΝ  ΤΟΥ  ΠΡΟΪΟΝΤΟΣ  (SPC)</vt:lpstr>
      <vt:lpstr>ΠΕΡΙΛΗΨΗ  ΧΑΡΑΚΤΗΡΙΣΤΙΚΩΝ  ΤΟΥ  ΠΡΟΪΟΝΤΟΣ  (SPC)</vt:lpstr>
    </vt:vector>
  </TitlesOfParts>
  <Company>ROCHE HELLAS SA</Company>
  <LinksUpToDate>false</LinksUpToDate>
  <CharactersWithSpaces>57637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ΠΡΟΪΟΝΤΟΣ  (SPC)</dc:title>
  <dc:creator>Roche Hellas</dc:creator>
  <cp:lastModifiedBy>user146</cp:lastModifiedBy>
  <cp:revision>4</cp:revision>
  <cp:lastPrinted>2013-09-20T11:23:00Z</cp:lastPrinted>
  <dcterms:created xsi:type="dcterms:W3CDTF">2013-10-09T08:19:00Z</dcterms:created>
  <dcterms:modified xsi:type="dcterms:W3CDTF">2014-01-08T06:06:00Z</dcterms:modified>
</cp:coreProperties>
</file>