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DC" w:rsidRPr="002A7680" w:rsidRDefault="00174BC2" w:rsidP="00266858">
      <w:pPr>
        <w:rPr>
          <w:rFonts w:ascii="Times New Roman" w:hAnsi="Times New Roman"/>
          <w:b/>
          <w:noProof/>
          <w:sz w:val="22"/>
          <w:szCs w:val="22"/>
          <w:lang w:val="en-US"/>
        </w:rPr>
      </w:pPr>
      <w:r w:rsidRPr="00460745">
        <w:rPr>
          <w:rFonts w:ascii="Times New Roman" w:hAnsi="Times New Roman"/>
          <w:b/>
          <w:sz w:val="22"/>
          <w:szCs w:val="22"/>
        </w:rPr>
        <w:t>1.</w:t>
      </w:r>
      <w:r w:rsidRPr="00460745">
        <w:rPr>
          <w:rFonts w:ascii="Times New Roman" w:hAnsi="Times New Roman"/>
          <w:b/>
          <w:sz w:val="22"/>
          <w:szCs w:val="22"/>
        </w:rPr>
        <w:tab/>
      </w:r>
      <w:r w:rsidR="00520CDC" w:rsidRPr="00460745">
        <w:rPr>
          <w:rFonts w:ascii="Times New Roman" w:hAnsi="Times New Roman"/>
          <w:b/>
          <w:sz w:val="22"/>
          <w:szCs w:val="22"/>
        </w:rPr>
        <w:t>ΟΝΟΜΑΣΙΑ ΤΟΥ ΦΑΡΜΑΚΕΥΤΙΚΟΥ ΠΡΟΪΟΝΤΟΣ</w:t>
      </w:r>
    </w:p>
    <w:p w:rsidR="00DB55BF" w:rsidRPr="00460745" w:rsidRDefault="00FA1EE3" w:rsidP="00DB55BF">
      <w:pPr>
        <w:rPr>
          <w:rFonts w:ascii="Times New Roman" w:hAnsi="Times New Roman"/>
          <w:sz w:val="22"/>
          <w:szCs w:val="22"/>
        </w:rPr>
      </w:pPr>
      <w:r w:rsidRPr="00460745">
        <w:rPr>
          <w:rFonts w:ascii="Times New Roman" w:hAnsi="Times New Roman"/>
          <w:sz w:val="22"/>
          <w:szCs w:val="22"/>
          <w:lang w:val="en-US"/>
        </w:rPr>
        <w:t>TRIATEC</w:t>
      </w:r>
      <w:r w:rsidRPr="00460745">
        <w:rPr>
          <w:rFonts w:ascii="Times New Roman" w:hAnsi="Times New Roman"/>
          <w:sz w:val="22"/>
          <w:szCs w:val="22"/>
        </w:rPr>
        <w:t xml:space="preserve"> </w:t>
      </w:r>
      <w:r w:rsidR="00DB55BF" w:rsidRPr="00460745">
        <w:rPr>
          <w:rFonts w:ascii="Times New Roman" w:hAnsi="Times New Roman"/>
          <w:sz w:val="22"/>
          <w:szCs w:val="22"/>
        </w:rPr>
        <w:t>2,5</w:t>
      </w:r>
      <w:r w:rsidR="008D4DC4" w:rsidRPr="00460745">
        <w:rPr>
          <w:rFonts w:ascii="Times New Roman" w:hAnsi="Times New Roman"/>
          <w:sz w:val="22"/>
          <w:szCs w:val="22"/>
          <w:lang w:val="en-US"/>
        </w:rPr>
        <w:t> </w:t>
      </w:r>
      <w:r w:rsidR="00DB55BF" w:rsidRPr="00460745">
        <w:rPr>
          <w:rFonts w:ascii="Times New Roman" w:hAnsi="Times New Roman"/>
          <w:sz w:val="22"/>
          <w:szCs w:val="22"/>
          <w:lang w:val="en-US"/>
        </w:rPr>
        <w:t>mg</w:t>
      </w:r>
      <w:r w:rsidR="00DB55BF" w:rsidRPr="00460745">
        <w:rPr>
          <w:rFonts w:ascii="Times New Roman" w:hAnsi="Times New Roman"/>
          <w:sz w:val="22"/>
          <w:szCs w:val="22"/>
        </w:rPr>
        <w:t xml:space="preserve"> δισκί</w:t>
      </w:r>
      <w:r w:rsidR="006F7B77" w:rsidRPr="00460745">
        <w:rPr>
          <w:rFonts w:ascii="Times New Roman" w:hAnsi="Times New Roman"/>
          <w:sz w:val="22"/>
          <w:szCs w:val="22"/>
        </w:rPr>
        <w:t>α</w:t>
      </w:r>
      <w:r w:rsidR="00DB55BF" w:rsidRPr="00460745">
        <w:rPr>
          <w:rFonts w:ascii="Times New Roman" w:hAnsi="Times New Roman"/>
          <w:sz w:val="22"/>
          <w:szCs w:val="22"/>
        </w:rPr>
        <w:t xml:space="preserve"> </w:t>
      </w:r>
    </w:p>
    <w:p w:rsidR="00DB55BF" w:rsidRPr="00460745" w:rsidRDefault="00FA1EE3" w:rsidP="00DB55BF">
      <w:pPr>
        <w:rPr>
          <w:rFonts w:ascii="Times New Roman" w:hAnsi="Times New Roman"/>
          <w:sz w:val="22"/>
          <w:szCs w:val="22"/>
        </w:rPr>
      </w:pPr>
      <w:r w:rsidRPr="00460745">
        <w:rPr>
          <w:rFonts w:ascii="Times New Roman" w:hAnsi="Times New Roman"/>
          <w:sz w:val="22"/>
          <w:szCs w:val="22"/>
          <w:lang w:val="en-US"/>
        </w:rPr>
        <w:t>TRIATEC</w:t>
      </w:r>
      <w:r w:rsidRPr="00460745">
        <w:rPr>
          <w:rFonts w:ascii="Times New Roman" w:hAnsi="Times New Roman"/>
          <w:sz w:val="22"/>
          <w:szCs w:val="22"/>
        </w:rPr>
        <w:t xml:space="preserve"> </w:t>
      </w:r>
      <w:r w:rsidR="00DB55BF" w:rsidRPr="00460745">
        <w:rPr>
          <w:rFonts w:ascii="Times New Roman" w:hAnsi="Times New Roman"/>
          <w:sz w:val="22"/>
          <w:szCs w:val="22"/>
        </w:rPr>
        <w:t>5</w:t>
      </w:r>
      <w:r w:rsidR="008D4DC4" w:rsidRPr="00460745">
        <w:rPr>
          <w:rFonts w:ascii="Times New Roman" w:hAnsi="Times New Roman"/>
          <w:sz w:val="22"/>
          <w:szCs w:val="22"/>
          <w:lang w:val="en-US"/>
        </w:rPr>
        <w:t> </w:t>
      </w:r>
      <w:r w:rsidR="00DB55BF" w:rsidRPr="00460745">
        <w:rPr>
          <w:rFonts w:ascii="Times New Roman" w:hAnsi="Times New Roman"/>
          <w:sz w:val="22"/>
          <w:szCs w:val="22"/>
          <w:lang w:val="en-US"/>
        </w:rPr>
        <w:t>mg</w:t>
      </w:r>
      <w:r w:rsidR="00DB55BF" w:rsidRPr="00460745">
        <w:rPr>
          <w:rFonts w:ascii="Times New Roman" w:hAnsi="Times New Roman"/>
          <w:sz w:val="22"/>
          <w:szCs w:val="22"/>
        </w:rPr>
        <w:t xml:space="preserve"> δισκί</w:t>
      </w:r>
      <w:r w:rsidR="006F7B77" w:rsidRPr="00460745">
        <w:rPr>
          <w:rFonts w:ascii="Times New Roman" w:hAnsi="Times New Roman"/>
          <w:sz w:val="22"/>
          <w:szCs w:val="22"/>
        </w:rPr>
        <w:t>α</w:t>
      </w:r>
    </w:p>
    <w:p w:rsidR="00520CDC" w:rsidRPr="0084753F" w:rsidRDefault="00520CDC" w:rsidP="00266858">
      <w:pPr>
        <w:rPr>
          <w:rFonts w:ascii="Times New Roman" w:hAnsi="Times New Roman"/>
          <w:b/>
          <w:sz w:val="22"/>
          <w:szCs w:val="22"/>
          <w:vertAlign w:val="superscript"/>
          <w:lang w:val="en-US"/>
        </w:rPr>
      </w:pPr>
    </w:p>
    <w:p w:rsidR="00520CDC" w:rsidRPr="0084753F" w:rsidRDefault="00ED2CF9" w:rsidP="00266858">
      <w:pPr>
        <w:rPr>
          <w:rFonts w:ascii="Times New Roman" w:hAnsi="Times New Roman"/>
          <w:b/>
          <w:sz w:val="22"/>
          <w:szCs w:val="22"/>
          <w:lang w:val="en-US"/>
        </w:rPr>
      </w:pPr>
      <w:r w:rsidRPr="00460745">
        <w:rPr>
          <w:rFonts w:ascii="Times New Roman" w:hAnsi="Times New Roman"/>
          <w:b/>
          <w:sz w:val="22"/>
          <w:szCs w:val="22"/>
        </w:rPr>
        <w:t>2.</w:t>
      </w:r>
      <w:r w:rsidRPr="00460745">
        <w:rPr>
          <w:rFonts w:ascii="Times New Roman" w:hAnsi="Times New Roman"/>
          <w:b/>
          <w:sz w:val="22"/>
          <w:szCs w:val="22"/>
        </w:rPr>
        <w:tab/>
      </w:r>
      <w:r w:rsidR="00266858" w:rsidRPr="00460745">
        <w:rPr>
          <w:rFonts w:ascii="Times New Roman" w:hAnsi="Times New Roman"/>
          <w:b/>
          <w:sz w:val="22"/>
          <w:szCs w:val="22"/>
        </w:rPr>
        <w:t>ΠΟΙΟΤΙΚΗ ΚΑΙ ΠΟΣΟΤΙΚΗ ΣΥΝΘΕΣΗ</w:t>
      </w:r>
    </w:p>
    <w:p w:rsidR="00D87782" w:rsidRPr="00460745" w:rsidRDefault="00D87782" w:rsidP="00FA1EE3">
      <w:pPr>
        <w:rPr>
          <w:rFonts w:ascii="Times New Roman" w:hAnsi="Times New Roman"/>
          <w:sz w:val="22"/>
          <w:szCs w:val="22"/>
        </w:rPr>
      </w:pPr>
      <w:r w:rsidRPr="00460745">
        <w:rPr>
          <w:rFonts w:ascii="Times New Roman" w:hAnsi="Times New Roman"/>
          <w:sz w:val="22"/>
          <w:szCs w:val="22"/>
        </w:rPr>
        <w:t>Δισκία</w:t>
      </w:r>
    </w:p>
    <w:p w:rsidR="00FA1EE3" w:rsidRPr="00460745" w:rsidRDefault="00FA1EE3" w:rsidP="00FA1EE3">
      <w:pPr>
        <w:rPr>
          <w:rFonts w:ascii="Times New Roman" w:hAnsi="Times New Roman"/>
          <w:sz w:val="22"/>
          <w:szCs w:val="22"/>
        </w:rPr>
      </w:pPr>
      <w:r w:rsidRPr="00460745">
        <w:rPr>
          <w:rFonts w:ascii="Times New Roman" w:hAnsi="Times New Roman"/>
          <w:sz w:val="22"/>
          <w:szCs w:val="22"/>
        </w:rPr>
        <w:t>Κάθε δισκίο περιέχει 2,5 </w:t>
      </w:r>
      <w:r w:rsidRPr="00460745">
        <w:rPr>
          <w:rFonts w:ascii="Times New Roman" w:hAnsi="Times New Roman"/>
          <w:sz w:val="22"/>
          <w:szCs w:val="22"/>
          <w:lang w:val="en-US"/>
        </w:rPr>
        <w:t>mg</w:t>
      </w:r>
      <w:r w:rsidRPr="00460745">
        <w:rPr>
          <w:rFonts w:ascii="Times New Roman" w:hAnsi="Times New Roman"/>
          <w:sz w:val="22"/>
          <w:szCs w:val="22"/>
        </w:rPr>
        <w:t xml:space="preserve"> ραμιπρίλης.</w:t>
      </w:r>
    </w:p>
    <w:p w:rsidR="00862135" w:rsidRPr="0084753F" w:rsidRDefault="00FA1EE3" w:rsidP="00862135">
      <w:pPr>
        <w:rPr>
          <w:rFonts w:ascii="Times New Roman" w:hAnsi="Times New Roman"/>
          <w:sz w:val="22"/>
          <w:szCs w:val="22"/>
        </w:rPr>
      </w:pPr>
      <w:r w:rsidRPr="00460745">
        <w:rPr>
          <w:rFonts w:ascii="Times New Roman" w:hAnsi="Times New Roman"/>
          <w:sz w:val="22"/>
          <w:szCs w:val="22"/>
        </w:rPr>
        <w:t>Κάθε δισκίο περιέχει 5 </w:t>
      </w:r>
      <w:r w:rsidRPr="00460745">
        <w:rPr>
          <w:rFonts w:ascii="Times New Roman" w:hAnsi="Times New Roman"/>
          <w:sz w:val="22"/>
          <w:szCs w:val="22"/>
          <w:lang w:val="en-US"/>
        </w:rPr>
        <w:t>mg</w:t>
      </w:r>
      <w:r w:rsidRPr="00460745">
        <w:rPr>
          <w:rFonts w:ascii="Times New Roman" w:hAnsi="Times New Roman"/>
          <w:sz w:val="22"/>
          <w:szCs w:val="22"/>
        </w:rPr>
        <w:t xml:space="preserve"> ραμιπρίλης.</w:t>
      </w:r>
    </w:p>
    <w:p w:rsidR="00DB55BF" w:rsidRPr="00460745" w:rsidRDefault="00DB55BF" w:rsidP="00DB55BF">
      <w:pPr>
        <w:rPr>
          <w:rFonts w:ascii="Times New Roman" w:hAnsi="Times New Roman"/>
          <w:noProof/>
          <w:sz w:val="22"/>
          <w:szCs w:val="22"/>
        </w:rPr>
      </w:pPr>
      <w:r w:rsidRPr="00460745">
        <w:rPr>
          <w:rFonts w:ascii="Times New Roman" w:hAnsi="Times New Roman"/>
          <w:noProof/>
          <w:sz w:val="22"/>
          <w:szCs w:val="22"/>
        </w:rPr>
        <w:t>Για τον πλήρη κατάλογο των εκδόχων, βλ. παράγραφο 6.1.</w:t>
      </w:r>
    </w:p>
    <w:p w:rsidR="00DB55BF" w:rsidRPr="0084753F" w:rsidRDefault="00DB55BF" w:rsidP="00266858">
      <w:pPr>
        <w:rPr>
          <w:rFonts w:ascii="Times New Roman" w:hAnsi="Times New Roman"/>
          <w:sz w:val="22"/>
          <w:szCs w:val="22"/>
          <w:vertAlign w:val="subscript"/>
          <w:lang w:val="en-US"/>
        </w:rPr>
      </w:pPr>
    </w:p>
    <w:p w:rsidR="00520CDC" w:rsidRPr="0084753F" w:rsidRDefault="00ED2CF9" w:rsidP="00266858">
      <w:pPr>
        <w:rPr>
          <w:rFonts w:ascii="Times New Roman" w:hAnsi="Times New Roman"/>
          <w:b/>
          <w:sz w:val="22"/>
          <w:szCs w:val="22"/>
          <w:lang w:val="en-US"/>
        </w:rPr>
      </w:pPr>
      <w:r w:rsidRPr="00460745">
        <w:rPr>
          <w:rFonts w:ascii="Times New Roman" w:hAnsi="Times New Roman"/>
          <w:b/>
          <w:sz w:val="22"/>
          <w:szCs w:val="22"/>
        </w:rPr>
        <w:t>3.</w:t>
      </w:r>
      <w:r w:rsidRPr="00460745">
        <w:rPr>
          <w:rFonts w:ascii="Times New Roman" w:hAnsi="Times New Roman"/>
          <w:b/>
          <w:sz w:val="22"/>
          <w:szCs w:val="22"/>
        </w:rPr>
        <w:tab/>
      </w:r>
      <w:r w:rsidR="00520CDC" w:rsidRPr="00460745">
        <w:rPr>
          <w:rFonts w:ascii="Times New Roman" w:hAnsi="Times New Roman"/>
          <w:b/>
          <w:sz w:val="22"/>
          <w:szCs w:val="22"/>
        </w:rPr>
        <w:t>ΦΑΡΜΑΚΟΤΕΧΝΙΚΗ ΜΟΡΦΗ</w:t>
      </w:r>
    </w:p>
    <w:p w:rsidR="002C5EC4" w:rsidRPr="00460745" w:rsidRDefault="002C5EC4" w:rsidP="002C5EC4">
      <w:pPr>
        <w:rPr>
          <w:rFonts w:ascii="Times New Roman" w:hAnsi="Times New Roman"/>
          <w:sz w:val="22"/>
          <w:szCs w:val="22"/>
        </w:rPr>
      </w:pPr>
      <w:r w:rsidRPr="00460745">
        <w:rPr>
          <w:rFonts w:ascii="Times New Roman" w:hAnsi="Times New Roman"/>
          <w:sz w:val="22"/>
          <w:szCs w:val="22"/>
        </w:rPr>
        <w:t>Δισκί</w:t>
      </w:r>
      <w:r w:rsidR="00D87782" w:rsidRPr="00460745">
        <w:rPr>
          <w:rFonts w:ascii="Times New Roman" w:hAnsi="Times New Roman"/>
          <w:sz w:val="22"/>
          <w:szCs w:val="22"/>
        </w:rPr>
        <w:t>α</w:t>
      </w:r>
      <w:r w:rsidRPr="00460745">
        <w:rPr>
          <w:rFonts w:ascii="Times New Roman" w:hAnsi="Times New Roman"/>
          <w:sz w:val="22"/>
          <w:szCs w:val="22"/>
        </w:rPr>
        <w:t xml:space="preserve"> 2,5 </w:t>
      </w:r>
      <w:r w:rsidRPr="00460745">
        <w:rPr>
          <w:rFonts w:ascii="Times New Roman" w:hAnsi="Times New Roman"/>
          <w:sz w:val="22"/>
          <w:szCs w:val="22"/>
          <w:lang w:val="en-US"/>
        </w:rPr>
        <w:t>mg</w:t>
      </w:r>
    </w:p>
    <w:p w:rsidR="002C5EC4" w:rsidRPr="00460745" w:rsidRDefault="002C5EC4" w:rsidP="002C5EC4">
      <w:pPr>
        <w:rPr>
          <w:rFonts w:ascii="Times New Roman" w:hAnsi="Times New Roman"/>
          <w:sz w:val="22"/>
          <w:szCs w:val="22"/>
        </w:rPr>
      </w:pPr>
      <w:r w:rsidRPr="00460745">
        <w:rPr>
          <w:rFonts w:ascii="Times New Roman" w:hAnsi="Times New Roman"/>
          <w:sz w:val="22"/>
          <w:szCs w:val="22"/>
        </w:rPr>
        <w:t>Υποκίτρινο έως κίτρινο επίμηκες δισκίο με εγκοπή που φέρει χαραγμένο τον αριθμό «2.5» και το λογότυπο της εταιρίας στη μία πλευρά, ενώ στην άλλη πλευρά φέρει χαραγμένο το χαρακτηριστικό γνώρισμα «ΗΜ</w:t>
      </w:r>
      <w:r w:rsidRPr="00460745">
        <w:rPr>
          <w:rFonts w:ascii="Times New Roman" w:hAnsi="Times New Roman"/>
          <w:sz w:val="22"/>
          <w:szCs w:val="22"/>
          <w:lang w:val="en-US"/>
        </w:rPr>
        <w:t>R</w:t>
      </w:r>
      <w:r w:rsidRPr="00460745">
        <w:rPr>
          <w:rFonts w:ascii="Times New Roman" w:hAnsi="Times New Roman"/>
          <w:sz w:val="22"/>
          <w:szCs w:val="22"/>
        </w:rPr>
        <w:t>» και τ</w:t>
      </w:r>
      <w:r w:rsidR="00186255" w:rsidRPr="00460745">
        <w:rPr>
          <w:rFonts w:ascii="Times New Roman" w:hAnsi="Times New Roman"/>
          <w:sz w:val="22"/>
          <w:szCs w:val="22"/>
        </w:rPr>
        <w:t>ον αριθμό «2.5».</w:t>
      </w:r>
      <w:r w:rsidR="00D87782" w:rsidRPr="00460745">
        <w:rPr>
          <w:rFonts w:ascii="Times New Roman" w:hAnsi="Times New Roman"/>
          <w:sz w:val="22"/>
          <w:szCs w:val="22"/>
        </w:rPr>
        <w:t xml:space="preserve"> Το δισκίο μπορεί να διαχωριστεί σε δύο ίσα μέρη.</w:t>
      </w:r>
    </w:p>
    <w:p w:rsidR="002C5EC4" w:rsidRPr="00460745" w:rsidRDefault="002C5EC4" w:rsidP="002C5EC4">
      <w:pPr>
        <w:rPr>
          <w:rFonts w:ascii="Times New Roman" w:hAnsi="Times New Roman"/>
          <w:sz w:val="22"/>
          <w:szCs w:val="22"/>
        </w:rPr>
      </w:pPr>
    </w:p>
    <w:p w:rsidR="002C5EC4" w:rsidRPr="00460745" w:rsidRDefault="002C5EC4" w:rsidP="002C5EC4">
      <w:pPr>
        <w:rPr>
          <w:rFonts w:ascii="Times New Roman" w:hAnsi="Times New Roman"/>
          <w:sz w:val="22"/>
          <w:szCs w:val="22"/>
        </w:rPr>
      </w:pPr>
      <w:r w:rsidRPr="00460745">
        <w:rPr>
          <w:rFonts w:ascii="Times New Roman" w:hAnsi="Times New Roman"/>
          <w:sz w:val="22"/>
          <w:szCs w:val="22"/>
        </w:rPr>
        <w:t>Δισκί</w:t>
      </w:r>
      <w:r w:rsidR="00D87782" w:rsidRPr="00460745">
        <w:rPr>
          <w:rFonts w:ascii="Times New Roman" w:hAnsi="Times New Roman"/>
          <w:sz w:val="22"/>
          <w:szCs w:val="22"/>
        </w:rPr>
        <w:t>α</w:t>
      </w:r>
      <w:r w:rsidRPr="00460745">
        <w:rPr>
          <w:rFonts w:ascii="Times New Roman" w:hAnsi="Times New Roman"/>
          <w:sz w:val="22"/>
          <w:szCs w:val="22"/>
        </w:rPr>
        <w:t xml:space="preserve"> 5 </w:t>
      </w:r>
      <w:r w:rsidRPr="00460745">
        <w:rPr>
          <w:rFonts w:ascii="Times New Roman" w:hAnsi="Times New Roman"/>
          <w:sz w:val="22"/>
          <w:szCs w:val="22"/>
          <w:lang w:val="en-US"/>
        </w:rPr>
        <w:t>mg</w:t>
      </w:r>
    </w:p>
    <w:p w:rsidR="002C5EC4" w:rsidRPr="00460745" w:rsidRDefault="00CE3311" w:rsidP="002C5EC4">
      <w:pPr>
        <w:rPr>
          <w:rFonts w:ascii="Times New Roman" w:hAnsi="Times New Roman"/>
          <w:sz w:val="22"/>
          <w:szCs w:val="22"/>
        </w:rPr>
      </w:pPr>
      <w:r w:rsidRPr="00460745">
        <w:rPr>
          <w:rFonts w:ascii="Times New Roman" w:hAnsi="Times New Roman"/>
          <w:sz w:val="22"/>
          <w:szCs w:val="22"/>
        </w:rPr>
        <w:t xml:space="preserve">Ανοιχτό </w:t>
      </w:r>
      <w:r w:rsidR="002C5EC4" w:rsidRPr="00460745">
        <w:rPr>
          <w:rFonts w:ascii="Times New Roman" w:hAnsi="Times New Roman"/>
          <w:sz w:val="22"/>
          <w:szCs w:val="22"/>
        </w:rPr>
        <w:t>ερυθρό επίμηκες δισκίο με εγκοπή που φέρει χαραγμένο τον αριθμό «5» και το λογότυπο της εταιρίας στη μία πλευρά, ενώ στην άλλη πλευρά φέρει χαραγμένο το χαρακτηριστικό γνώρισμα «ΗΜ</w:t>
      </w:r>
      <w:r w:rsidR="002C5EC4" w:rsidRPr="00460745">
        <w:rPr>
          <w:rFonts w:ascii="Times New Roman" w:hAnsi="Times New Roman"/>
          <w:sz w:val="22"/>
          <w:szCs w:val="22"/>
          <w:lang w:val="en-US"/>
        </w:rPr>
        <w:t>P</w:t>
      </w:r>
      <w:r w:rsidR="00186255" w:rsidRPr="00460745">
        <w:rPr>
          <w:rFonts w:ascii="Times New Roman" w:hAnsi="Times New Roman"/>
          <w:sz w:val="22"/>
          <w:szCs w:val="22"/>
        </w:rPr>
        <w:t>» και τον αριθμό «5».</w:t>
      </w:r>
      <w:r w:rsidR="00D87782" w:rsidRPr="00460745">
        <w:rPr>
          <w:rFonts w:ascii="Times New Roman" w:hAnsi="Times New Roman"/>
          <w:sz w:val="22"/>
          <w:szCs w:val="22"/>
        </w:rPr>
        <w:t xml:space="preserve"> Το δισκίο μπορεί να διαχωριστεί σε δύο ίσα μέρη.</w:t>
      </w:r>
    </w:p>
    <w:p w:rsidR="00C866C7" w:rsidRPr="0084753F" w:rsidRDefault="00C866C7" w:rsidP="00266858">
      <w:pPr>
        <w:rPr>
          <w:rFonts w:ascii="Times New Roman" w:hAnsi="Times New Roman"/>
          <w:sz w:val="22"/>
          <w:szCs w:val="22"/>
          <w:lang w:val="en-US"/>
        </w:rPr>
      </w:pPr>
    </w:p>
    <w:p w:rsidR="00520CDC" w:rsidRPr="00460745" w:rsidRDefault="00ED2CF9" w:rsidP="00266858">
      <w:pPr>
        <w:rPr>
          <w:rFonts w:ascii="Times New Roman" w:hAnsi="Times New Roman"/>
          <w:b/>
          <w:sz w:val="22"/>
          <w:szCs w:val="22"/>
        </w:rPr>
      </w:pPr>
      <w:r w:rsidRPr="00460745">
        <w:rPr>
          <w:rFonts w:ascii="Times New Roman" w:hAnsi="Times New Roman"/>
          <w:b/>
          <w:sz w:val="22"/>
          <w:szCs w:val="22"/>
        </w:rPr>
        <w:t>4.</w:t>
      </w:r>
      <w:r w:rsidRPr="00460745">
        <w:rPr>
          <w:rFonts w:ascii="Times New Roman" w:hAnsi="Times New Roman"/>
          <w:b/>
          <w:sz w:val="22"/>
          <w:szCs w:val="22"/>
        </w:rPr>
        <w:tab/>
      </w:r>
      <w:r w:rsidR="00520CDC" w:rsidRPr="00460745">
        <w:rPr>
          <w:rFonts w:ascii="Times New Roman" w:hAnsi="Times New Roman"/>
          <w:b/>
          <w:sz w:val="22"/>
          <w:szCs w:val="22"/>
        </w:rPr>
        <w:t>ΚΛΙΝΙΚ</w:t>
      </w:r>
      <w:r w:rsidR="00266858" w:rsidRPr="00460745">
        <w:rPr>
          <w:rFonts w:ascii="Times New Roman" w:hAnsi="Times New Roman"/>
          <w:b/>
          <w:sz w:val="22"/>
          <w:szCs w:val="22"/>
        </w:rPr>
        <w:t>ΕΣ</w:t>
      </w:r>
      <w:r w:rsidR="00520CDC" w:rsidRPr="00460745">
        <w:rPr>
          <w:rFonts w:ascii="Times New Roman" w:hAnsi="Times New Roman"/>
          <w:b/>
          <w:sz w:val="22"/>
          <w:szCs w:val="22"/>
        </w:rPr>
        <w:t xml:space="preserve"> </w:t>
      </w:r>
      <w:r w:rsidR="00266858" w:rsidRPr="00460745">
        <w:rPr>
          <w:rFonts w:ascii="Times New Roman" w:hAnsi="Times New Roman"/>
          <w:b/>
          <w:sz w:val="22"/>
          <w:szCs w:val="22"/>
        </w:rPr>
        <w:t>ΠΛΗΡΟΦΟΡΙΕΣ</w:t>
      </w:r>
    </w:p>
    <w:p w:rsidR="00520CDC" w:rsidRPr="00460745" w:rsidRDefault="00520CDC" w:rsidP="00266858">
      <w:pPr>
        <w:rPr>
          <w:rFonts w:ascii="Times New Roman" w:hAnsi="Times New Roman"/>
          <w:b/>
          <w:sz w:val="22"/>
          <w:szCs w:val="22"/>
        </w:rPr>
      </w:pPr>
    </w:p>
    <w:p w:rsidR="00520CDC" w:rsidRPr="0084753F" w:rsidRDefault="00520CDC" w:rsidP="00266858">
      <w:pPr>
        <w:rPr>
          <w:rFonts w:ascii="Times New Roman" w:hAnsi="Times New Roman"/>
          <w:b/>
          <w:sz w:val="22"/>
          <w:szCs w:val="22"/>
          <w:lang w:val="en-US"/>
        </w:rPr>
      </w:pPr>
      <w:r w:rsidRPr="00460745">
        <w:rPr>
          <w:rFonts w:ascii="Times New Roman" w:hAnsi="Times New Roman"/>
          <w:b/>
          <w:sz w:val="22"/>
          <w:szCs w:val="22"/>
        </w:rPr>
        <w:t>4.1 Θεραπευτικές ενδείξεις</w:t>
      </w:r>
    </w:p>
    <w:p w:rsidR="00C56152" w:rsidRPr="00460745" w:rsidRDefault="00C56152" w:rsidP="00775605">
      <w:pPr>
        <w:numPr>
          <w:ilvl w:val="0"/>
          <w:numId w:val="3"/>
        </w:numPr>
        <w:tabs>
          <w:tab w:val="clear" w:pos="720"/>
          <w:tab w:val="num" w:pos="426"/>
        </w:tabs>
        <w:ind w:left="426" w:hanging="426"/>
        <w:rPr>
          <w:rFonts w:ascii="Times New Roman" w:hAnsi="Times New Roman"/>
          <w:sz w:val="22"/>
          <w:szCs w:val="22"/>
        </w:rPr>
      </w:pPr>
      <w:r w:rsidRPr="00460745">
        <w:rPr>
          <w:rFonts w:ascii="Times New Roman" w:hAnsi="Times New Roman"/>
          <w:sz w:val="22"/>
          <w:szCs w:val="22"/>
        </w:rPr>
        <w:t>Θεραπεία της υ</w:t>
      </w:r>
      <w:r w:rsidR="00520CDC" w:rsidRPr="00460745">
        <w:rPr>
          <w:rFonts w:ascii="Times New Roman" w:hAnsi="Times New Roman"/>
          <w:sz w:val="22"/>
          <w:szCs w:val="22"/>
        </w:rPr>
        <w:t>πέρταση</w:t>
      </w:r>
      <w:r w:rsidRPr="00460745">
        <w:rPr>
          <w:rFonts w:ascii="Times New Roman" w:hAnsi="Times New Roman"/>
          <w:sz w:val="22"/>
          <w:szCs w:val="22"/>
        </w:rPr>
        <w:t>ς.</w:t>
      </w:r>
    </w:p>
    <w:p w:rsidR="00357C0B" w:rsidRPr="00460745" w:rsidRDefault="00311FB4" w:rsidP="00775605">
      <w:pPr>
        <w:numPr>
          <w:ilvl w:val="0"/>
          <w:numId w:val="3"/>
        </w:numPr>
        <w:tabs>
          <w:tab w:val="clear" w:pos="720"/>
          <w:tab w:val="num" w:pos="426"/>
        </w:tabs>
        <w:ind w:left="426" w:hanging="426"/>
        <w:rPr>
          <w:rFonts w:ascii="Times New Roman" w:hAnsi="Times New Roman"/>
          <w:sz w:val="22"/>
          <w:szCs w:val="22"/>
        </w:rPr>
      </w:pPr>
      <w:r w:rsidRPr="00460745">
        <w:rPr>
          <w:rFonts w:ascii="Times New Roman" w:hAnsi="Times New Roman"/>
          <w:sz w:val="22"/>
          <w:szCs w:val="22"/>
        </w:rPr>
        <w:t xml:space="preserve">Πρόληψη καρδιαγγειακών συμβαμάτων: </w:t>
      </w:r>
      <w:r w:rsidR="00520CDC" w:rsidRPr="00460745">
        <w:rPr>
          <w:rFonts w:ascii="Times New Roman" w:hAnsi="Times New Roman"/>
          <w:sz w:val="22"/>
          <w:szCs w:val="22"/>
        </w:rPr>
        <w:t xml:space="preserve">μείωση </w:t>
      </w:r>
      <w:r w:rsidRPr="00460745">
        <w:rPr>
          <w:rFonts w:ascii="Times New Roman" w:hAnsi="Times New Roman"/>
          <w:sz w:val="22"/>
          <w:szCs w:val="22"/>
        </w:rPr>
        <w:t xml:space="preserve">της καρδιαγγειακής νοσηρότητας </w:t>
      </w:r>
      <w:r w:rsidR="00B974CE" w:rsidRPr="00460745">
        <w:rPr>
          <w:rFonts w:ascii="Times New Roman" w:hAnsi="Times New Roman"/>
          <w:sz w:val="22"/>
          <w:szCs w:val="22"/>
        </w:rPr>
        <w:t xml:space="preserve">και της θνησιμότητας </w:t>
      </w:r>
      <w:r w:rsidRPr="00460745">
        <w:rPr>
          <w:rFonts w:ascii="Times New Roman" w:hAnsi="Times New Roman"/>
          <w:sz w:val="22"/>
          <w:szCs w:val="22"/>
        </w:rPr>
        <w:t>σε ασθενείς με:</w:t>
      </w:r>
    </w:p>
    <w:p w:rsidR="00357C0B" w:rsidRPr="00460745" w:rsidRDefault="00311FB4" w:rsidP="00357C0B">
      <w:pPr>
        <w:numPr>
          <w:ilvl w:val="1"/>
          <w:numId w:val="11"/>
        </w:numPr>
        <w:rPr>
          <w:rFonts w:ascii="Times New Roman" w:hAnsi="Times New Roman"/>
          <w:sz w:val="22"/>
          <w:szCs w:val="22"/>
        </w:rPr>
      </w:pPr>
      <w:r w:rsidRPr="00460745">
        <w:rPr>
          <w:rFonts w:ascii="Times New Roman" w:hAnsi="Times New Roman"/>
          <w:sz w:val="22"/>
          <w:szCs w:val="22"/>
        </w:rPr>
        <w:t xml:space="preserve">έκδηλη αθηροθρομβωτική καρδιαγγειακή νόσο </w:t>
      </w:r>
      <w:r w:rsidR="002A7E86" w:rsidRPr="00460745">
        <w:rPr>
          <w:rFonts w:ascii="Times New Roman" w:hAnsi="Times New Roman"/>
          <w:sz w:val="22"/>
          <w:szCs w:val="22"/>
        </w:rPr>
        <w:t>(</w:t>
      </w:r>
      <w:r w:rsidRPr="00460745">
        <w:rPr>
          <w:rFonts w:ascii="Times New Roman" w:hAnsi="Times New Roman"/>
          <w:sz w:val="22"/>
          <w:szCs w:val="22"/>
        </w:rPr>
        <w:t>ιστορικό στεφανιαίας καρδιακής νόσου ή αγγειακού εγκεφαλικού επεισοδίου ή περιφερικής αγγειακής νόσου</w:t>
      </w:r>
      <w:r w:rsidR="002A7E86" w:rsidRPr="00460745">
        <w:rPr>
          <w:rFonts w:ascii="Times New Roman" w:hAnsi="Times New Roman"/>
          <w:sz w:val="22"/>
          <w:szCs w:val="22"/>
        </w:rPr>
        <w:t>)</w:t>
      </w:r>
      <w:r w:rsidRPr="00460745">
        <w:rPr>
          <w:rFonts w:ascii="Times New Roman" w:hAnsi="Times New Roman"/>
          <w:sz w:val="22"/>
          <w:szCs w:val="22"/>
        </w:rPr>
        <w:t xml:space="preserve">, ή </w:t>
      </w:r>
    </w:p>
    <w:p w:rsidR="000E05B0" w:rsidRPr="00460745" w:rsidRDefault="00311FB4" w:rsidP="0082120B">
      <w:pPr>
        <w:numPr>
          <w:ilvl w:val="1"/>
          <w:numId w:val="10"/>
        </w:numPr>
        <w:rPr>
          <w:rFonts w:ascii="Times New Roman" w:hAnsi="Times New Roman"/>
          <w:sz w:val="22"/>
          <w:szCs w:val="22"/>
        </w:rPr>
      </w:pPr>
      <w:r w:rsidRPr="00460745">
        <w:rPr>
          <w:rFonts w:ascii="Times New Roman" w:hAnsi="Times New Roman"/>
          <w:sz w:val="22"/>
          <w:szCs w:val="22"/>
        </w:rPr>
        <w:t xml:space="preserve">διαβήτη με έναν τουλάχιστον παράγοντα </w:t>
      </w:r>
      <w:r w:rsidR="000E05B0" w:rsidRPr="00460745">
        <w:rPr>
          <w:rFonts w:ascii="Times New Roman" w:hAnsi="Times New Roman"/>
          <w:sz w:val="22"/>
          <w:szCs w:val="22"/>
        </w:rPr>
        <w:t xml:space="preserve">καρδιαγγειακού </w:t>
      </w:r>
      <w:r w:rsidRPr="00460745">
        <w:rPr>
          <w:rFonts w:ascii="Times New Roman" w:hAnsi="Times New Roman"/>
          <w:sz w:val="22"/>
          <w:szCs w:val="22"/>
        </w:rPr>
        <w:t>κινδύνου</w:t>
      </w:r>
      <w:r w:rsidR="000E05B0" w:rsidRPr="00460745">
        <w:rPr>
          <w:rFonts w:ascii="Times New Roman" w:hAnsi="Times New Roman"/>
          <w:sz w:val="22"/>
          <w:szCs w:val="22"/>
        </w:rPr>
        <w:t xml:space="preserve"> (βλ. παράγραφο 5.1)</w:t>
      </w:r>
      <w:r w:rsidR="00520CDC" w:rsidRPr="00460745">
        <w:rPr>
          <w:rFonts w:ascii="Times New Roman" w:hAnsi="Times New Roman"/>
          <w:sz w:val="22"/>
          <w:szCs w:val="22"/>
        </w:rPr>
        <w:t>.</w:t>
      </w:r>
    </w:p>
    <w:p w:rsidR="00435E88" w:rsidRPr="00460745" w:rsidRDefault="00572387" w:rsidP="00775605">
      <w:pPr>
        <w:numPr>
          <w:ilvl w:val="0"/>
          <w:numId w:val="3"/>
        </w:numPr>
        <w:tabs>
          <w:tab w:val="clear" w:pos="720"/>
          <w:tab w:val="num" w:pos="426"/>
        </w:tabs>
        <w:ind w:left="426" w:hanging="426"/>
        <w:rPr>
          <w:rFonts w:ascii="Times New Roman" w:hAnsi="Times New Roman"/>
          <w:sz w:val="22"/>
          <w:szCs w:val="22"/>
        </w:rPr>
      </w:pPr>
      <w:r w:rsidRPr="00460745">
        <w:rPr>
          <w:rFonts w:ascii="Times New Roman" w:hAnsi="Times New Roman"/>
          <w:sz w:val="22"/>
          <w:szCs w:val="22"/>
        </w:rPr>
        <w:t>Θεραπεία της νεφροπάθειας</w:t>
      </w:r>
      <w:r w:rsidR="00435E88" w:rsidRPr="00460745">
        <w:rPr>
          <w:rFonts w:ascii="Times New Roman" w:hAnsi="Times New Roman"/>
          <w:sz w:val="22"/>
          <w:szCs w:val="22"/>
        </w:rPr>
        <w:t>:</w:t>
      </w:r>
    </w:p>
    <w:p w:rsidR="00435E88" w:rsidRPr="00460745" w:rsidRDefault="004F2FD9" w:rsidP="00635D26">
      <w:pPr>
        <w:numPr>
          <w:ilvl w:val="1"/>
          <w:numId w:val="10"/>
        </w:numPr>
        <w:rPr>
          <w:rFonts w:ascii="Times New Roman" w:hAnsi="Times New Roman"/>
          <w:sz w:val="22"/>
          <w:szCs w:val="22"/>
        </w:rPr>
      </w:pPr>
      <w:r w:rsidRPr="00460745">
        <w:rPr>
          <w:rFonts w:ascii="Times New Roman" w:hAnsi="Times New Roman"/>
          <w:sz w:val="22"/>
          <w:szCs w:val="22"/>
        </w:rPr>
        <w:t>Αρχ</w:t>
      </w:r>
      <w:r w:rsidR="00DB514A" w:rsidRPr="00460745">
        <w:rPr>
          <w:rFonts w:ascii="Times New Roman" w:hAnsi="Times New Roman"/>
          <w:sz w:val="22"/>
          <w:szCs w:val="22"/>
        </w:rPr>
        <w:t>όμενη</w:t>
      </w:r>
      <w:r w:rsidRPr="00460745">
        <w:rPr>
          <w:rFonts w:ascii="Times New Roman" w:hAnsi="Times New Roman"/>
          <w:sz w:val="22"/>
          <w:szCs w:val="22"/>
        </w:rPr>
        <w:t xml:space="preserve"> σπειραματική διαβητική νεφροπάθεια όπως ορίζεται από την παρουσία της μικρολευκωματινουρίας</w:t>
      </w:r>
      <w:r w:rsidR="00435E88" w:rsidRPr="00460745">
        <w:rPr>
          <w:rFonts w:ascii="Times New Roman" w:hAnsi="Times New Roman"/>
          <w:sz w:val="22"/>
          <w:szCs w:val="22"/>
        </w:rPr>
        <w:t>.</w:t>
      </w:r>
    </w:p>
    <w:p w:rsidR="00435E88" w:rsidRPr="00460745" w:rsidRDefault="004F2FD9" w:rsidP="00635D26">
      <w:pPr>
        <w:numPr>
          <w:ilvl w:val="1"/>
          <w:numId w:val="10"/>
        </w:numPr>
        <w:rPr>
          <w:rFonts w:ascii="Times New Roman" w:hAnsi="Times New Roman"/>
          <w:sz w:val="22"/>
          <w:szCs w:val="22"/>
        </w:rPr>
      </w:pPr>
      <w:r w:rsidRPr="00460745">
        <w:rPr>
          <w:rFonts w:ascii="Times New Roman" w:hAnsi="Times New Roman"/>
          <w:sz w:val="22"/>
          <w:szCs w:val="22"/>
        </w:rPr>
        <w:t>Έκδηλη σπειραματική διαβητική νεφροπάθεια όπως ορίζεται από την</w:t>
      </w:r>
      <w:r w:rsidR="00435E88" w:rsidRPr="00460745">
        <w:rPr>
          <w:rFonts w:ascii="Times New Roman" w:hAnsi="Times New Roman"/>
          <w:sz w:val="22"/>
          <w:szCs w:val="22"/>
        </w:rPr>
        <w:t xml:space="preserve"> μακροπρωτεϊνουρία σε ασθενείς με τουλάχιστον</w:t>
      </w:r>
      <w:r w:rsidR="006910FE" w:rsidRPr="00460745">
        <w:rPr>
          <w:rFonts w:ascii="Times New Roman" w:hAnsi="Times New Roman"/>
          <w:sz w:val="22"/>
          <w:szCs w:val="22"/>
        </w:rPr>
        <w:t xml:space="preserve"> έναν</w:t>
      </w:r>
      <w:r w:rsidR="00435E88" w:rsidRPr="00460745">
        <w:rPr>
          <w:rFonts w:ascii="Times New Roman" w:hAnsi="Times New Roman"/>
          <w:sz w:val="22"/>
          <w:szCs w:val="22"/>
        </w:rPr>
        <w:t xml:space="preserve"> παράγοντα καρδιαγγειακού κινδύνου (βλ. παράγραφο 5.1).</w:t>
      </w:r>
    </w:p>
    <w:p w:rsidR="00435E88" w:rsidRPr="00460745" w:rsidRDefault="004F2FD9" w:rsidP="00635D26">
      <w:pPr>
        <w:numPr>
          <w:ilvl w:val="1"/>
          <w:numId w:val="10"/>
        </w:numPr>
        <w:rPr>
          <w:rFonts w:ascii="Times New Roman" w:hAnsi="Times New Roman"/>
          <w:sz w:val="22"/>
          <w:szCs w:val="22"/>
        </w:rPr>
      </w:pPr>
      <w:r w:rsidRPr="00460745">
        <w:rPr>
          <w:rFonts w:ascii="Times New Roman" w:hAnsi="Times New Roman"/>
          <w:sz w:val="22"/>
          <w:szCs w:val="22"/>
        </w:rPr>
        <w:t>Έκδηλη σπειραματική</w:t>
      </w:r>
      <w:r w:rsidR="00435E88" w:rsidRPr="00460745">
        <w:rPr>
          <w:rFonts w:ascii="Times New Roman" w:hAnsi="Times New Roman"/>
          <w:sz w:val="22"/>
          <w:szCs w:val="22"/>
        </w:rPr>
        <w:t xml:space="preserve"> μη διαβητική νεφροπάθεια </w:t>
      </w:r>
      <w:r w:rsidRPr="00460745">
        <w:rPr>
          <w:rFonts w:ascii="Times New Roman" w:hAnsi="Times New Roman"/>
          <w:sz w:val="22"/>
          <w:szCs w:val="22"/>
        </w:rPr>
        <w:t xml:space="preserve">όπως ορίζεται από </w:t>
      </w:r>
      <w:r w:rsidR="00435E88" w:rsidRPr="00460745">
        <w:rPr>
          <w:rFonts w:ascii="Times New Roman" w:hAnsi="Times New Roman"/>
          <w:sz w:val="22"/>
          <w:szCs w:val="22"/>
        </w:rPr>
        <w:t xml:space="preserve">πρωτεϊνουρία </w:t>
      </w:r>
      <w:r w:rsidR="006910FE" w:rsidRPr="00460745">
        <w:rPr>
          <w:rFonts w:ascii="Times New Roman" w:hAnsi="Times New Roman"/>
          <w:sz w:val="22"/>
          <w:szCs w:val="22"/>
        </w:rPr>
        <w:t>≥</w:t>
      </w:r>
      <w:r w:rsidR="00435E88" w:rsidRPr="00460745">
        <w:rPr>
          <w:rFonts w:ascii="Times New Roman" w:hAnsi="Times New Roman"/>
          <w:sz w:val="22"/>
          <w:szCs w:val="22"/>
        </w:rPr>
        <w:t xml:space="preserve"> </w:t>
      </w:r>
      <w:r w:rsidRPr="00460745">
        <w:rPr>
          <w:rFonts w:ascii="Times New Roman" w:hAnsi="Times New Roman"/>
          <w:sz w:val="22"/>
          <w:szCs w:val="22"/>
        </w:rPr>
        <w:t>3 </w:t>
      </w:r>
      <w:r w:rsidR="00435E88" w:rsidRPr="00460745">
        <w:rPr>
          <w:rFonts w:ascii="Times New Roman" w:hAnsi="Times New Roman"/>
          <w:sz w:val="22"/>
          <w:szCs w:val="22"/>
          <w:lang w:val="en-US"/>
        </w:rPr>
        <w:t>g</w:t>
      </w:r>
      <w:r w:rsidR="00435E88" w:rsidRPr="00460745">
        <w:rPr>
          <w:rFonts w:ascii="Times New Roman" w:hAnsi="Times New Roman"/>
          <w:sz w:val="22"/>
          <w:szCs w:val="22"/>
        </w:rPr>
        <w:t>/</w:t>
      </w:r>
      <w:r w:rsidRPr="00460745">
        <w:rPr>
          <w:rFonts w:ascii="Times New Roman" w:hAnsi="Times New Roman"/>
          <w:sz w:val="22"/>
          <w:szCs w:val="22"/>
        </w:rPr>
        <w:t>ημέρα</w:t>
      </w:r>
      <w:r w:rsidR="00435E88" w:rsidRPr="00460745">
        <w:rPr>
          <w:rFonts w:ascii="Times New Roman" w:hAnsi="Times New Roman"/>
          <w:sz w:val="22"/>
          <w:szCs w:val="22"/>
        </w:rPr>
        <w:t>) (βλέπε παράγραφο 5.1).</w:t>
      </w:r>
    </w:p>
    <w:p w:rsidR="00435E88" w:rsidRPr="00460745" w:rsidRDefault="00435E88" w:rsidP="00775605">
      <w:pPr>
        <w:numPr>
          <w:ilvl w:val="0"/>
          <w:numId w:val="4"/>
        </w:numPr>
        <w:tabs>
          <w:tab w:val="clear" w:pos="720"/>
          <w:tab w:val="num" w:pos="426"/>
        </w:tabs>
        <w:ind w:left="426" w:hanging="426"/>
        <w:rPr>
          <w:rFonts w:ascii="Times New Roman" w:hAnsi="Times New Roman"/>
          <w:sz w:val="22"/>
          <w:szCs w:val="22"/>
        </w:rPr>
      </w:pPr>
      <w:r w:rsidRPr="00460745">
        <w:rPr>
          <w:rFonts w:ascii="Times New Roman" w:hAnsi="Times New Roman"/>
          <w:sz w:val="22"/>
          <w:szCs w:val="22"/>
        </w:rPr>
        <w:t>Θεραπεία της συμπτωματικής καρδιακής ανεπάρκειας.</w:t>
      </w:r>
    </w:p>
    <w:p w:rsidR="002A7E86" w:rsidRPr="00460745" w:rsidRDefault="002A7E86" w:rsidP="00775605">
      <w:pPr>
        <w:numPr>
          <w:ilvl w:val="0"/>
          <w:numId w:val="5"/>
        </w:numPr>
        <w:ind w:hanging="426"/>
        <w:rPr>
          <w:rFonts w:ascii="Times New Roman" w:hAnsi="Times New Roman"/>
          <w:sz w:val="22"/>
          <w:szCs w:val="22"/>
        </w:rPr>
      </w:pPr>
      <w:r w:rsidRPr="00460745">
        <w:rPr>
          <w:rFonts w:ascii="Times New Roman" w:hAnsi="Times New Roman"/>
          <w:sz w:val="22"/>
          <w:szCs w:val="22"/>
        </w:rPr>
        <w:t xml:space="preserve">Δευτερεύουσα πρόληψη μετά από οξύ έμφραγμα του μυοκαρδίου: μείωση της θνησιμότητας από την οξεία φάση του εμφράγματος του μυοκαρδίου σε ασθενείς με </w:t>
      </w:r>
      <w:r w:rsidR="00452C03" w:rsidRPr="00460745">
        <w:rPr>
          <w:rFonts w:ascii="Times New Roman" w:hAnsi="Times New Roman"/>
          <w:sz w:val="22"/>
          <w:szCs w:val="22"/>
        </w:rPr>
        <w:t xml:space="preserve">κλινικά σημεία </w:t>
      </w:r>
      <w:r w:rsidRPr="00460745">
        <w:rPr>
          <w:rFonts w:ascii="Times New Roman" w:hAnsi="Times New Roman"/>
          <w:sz w:val="22"/>
          <w:szCs w:val="22"/>
        </w:rPr>
        <w:t>καρδιακή</w:t>
      </w:r>
      <w:r w:rsidR="00452C03" w:rsidRPr="00460745">
        <w:rPr>
          <w:rFonts w:ascii="Times New Roman" w:hAnsi="Times New Roman"/>
          <w:sz w:val="22"/>
          <w:szCs w:val="22"/>
        </w:rPr>
        <w:t>ς</w:t>
      </w:r>
      <w:r w:rsidRPr="00460745">
        <w:rPr>
          <w:rFonts w:ascii="Times New Roman" w:hAnsi="Times New Roman"/>
          <w:sz w:val="22"/>
          <w:szCs w:val="22"/>
        </w:rPr>
        <w:t xml:space="preserve"> ανεπάρκεια</w:t>
      </w:r>
      <w:r w:rsidR="00452C03" w:rsidRPr="00460745">
        <w:rPr>
          <w:rFonts w:ascii="Times New Roman" w:hAnsi="Times New Roman"/>
          <w:sz w:val="22"/>
          <w:szCs w:val="22"/>
        </w:rPr>
        <w:t>ς</w:t>
      </w:r>
      <w:r w:rsidRPr="00460745">
        <w:rPr>
          <w:rFonts w:ascii="Times New Roman" w:hAnsi="Times New Roman"/>
          <w:sz w:val="22"/>
          <w:szCs w:val="22"/>
        </w:rPr>
        <w:t xml:space="preserve"> </w:t>
      </w:r>
      <w:r w:rsidR="00452C03" w:rsidRPr="00460745">
        <w:rPr>
          <w:rFonts w:ascii="Times New Roman" w:hAnsi="Times New Roman"/>
          <w:sz w:val="22"/>
          <w:szCs w:val="22"/>
        </w:rPr>
        <w:t>όταν αρχίζει &gt; 48 ώρες μετά το οξύ έμφραγμα του μυοκαρδίου.</w:t>
      </w:r>
      <w:r w:rsidRPr="00460745">
        <w:rPr>
          <w:rFonts w:ascii="Times New Roman" w:hAnsi="Times New Roman"/>
          <w:sz w:val="22"/>
          <w:szCs w:val="22"/>
        </w:rPr>
        <w:t xml:space="preserve">  </w:t>
      </w:r>
    </w:p>
    <w:p w:rsidR="00F8165E" w:rsidRPr="00460745" w:rsidRDefault="00F8165E" w:rsidP="00266858">
      <w:pPr>
        <w:rPr>
          <w:rFonts w:ascii="Times New Roman" w:hAnsi="Times New Roman"/>
          <w:sz w:val="22"/>
          <w:szCs w:val="22"/>
        </w:rPr>
      </w:pPr>
    </w:p>
    <w:p w:rsidR="00520CDC" w:rsidRPr="0084753F" w:rsidRDefault="00520CDC" w:rsidP="00266858">
      <w:pPr>
        <w:rPr>
          <w:rFonts w:ascii="Times New Roman" w:hAnsi="Times New Roman"/>
          <w:b/>
          <w:sz w:val="22"/>
          <w:szCs w:val="22"/>
          <w:lang w:val="en-US"/>
        </w:rPr>
      </w:pPr>
      <w:r w:rsidRPr="00460745">
        <w:rPr>
          <w:rFonts w:ascii="Times New Roman" w:hAnsi="Times New Roman"/>
          <w:b/>
          <w:sz w:val="22"/>
          <w:szCs w:val="22"/>
        </w:rPr>
        <w:t>4.2 Δοσολογία και τρόπος χορήγησης</w:t>
      </w:r>
    </w:p>
    <w:p w:rsidR="00AC1558" w:rsidRPr="00460745" w:rsidRDefault="00AC1558" w:rsidP="00266858">
      <w:pPr>
        <w:rPr>
          <w:rFonts w:ascii="Times New Roman" w:hAnsi="Times New Roman"/>
          <w:sz w:val="22"/>
          <w:szCs w:val="22"/>
        </w:rPr>
      </w:pPr>
      <w:r w:rsidRPr="00460745">
        <w:rPr>
          <w:rFonts w:ascii="Times New Roman" w:hAnsi="Times New Roman"/>
          <w:sz w:val="22"/>
          <w:szCs w:val="22"/>
        </w:rPr>
        <w:t>Από στόματος χρήση.</w:t>
      </w:r>
    </w:p>
    <w:p w:rsidR="00AC1558" w:rsidRPr="00460745" w:rsidRDefault="00AC1558" w:rsidP="00266858">
      <w:pPr>
        <w:rPr>
          <w:rFonts w:ascii="Times New Roman" w:hAnsi="Times New Roman"/>
          <w:sz w:val="22"/>
          <w:szCs w:val="22"/>
        </w:rPr>
      </w:pPr>
    </w:p>
    <w:p w:rsidR="00934125" w:rsidRPr="00460745" w:rsidRDefault="00934125" w:rsidP="00266858">
      <w:pPr>
        <w:rPr>
          <w:rFonts w:ascii="Times New Roman" w:hAnsi="Times New Roman"/>
          <w:sz w:val="22"/>
          <w:szCs w:val="22"/>
        </w:rPr>
      </w:pPr>
      <w:r w:rsidRPr="00460745">
        <w:rPr>
          <w:rFonts w:ascii="Times New Roman" w:hAnsi="Times New Roman"/>
          <w:sz w:val="22"/>
          <w:szCs w:val="22"/>
        </w:rPr>
        <w:t xml:space="preserve">Συνιστάται το </w:t>
      </w:r>
      <w:r w:rsidR="00FA1EE3" w:rsidRPr="00460745">
        <w:rPr>
          <w:rFonts w:ascii="Times New Roman" w:hAnsi="Times New Roman"/>
          <w:sz w:val="22"/>
          <w:szCs w:val="22"/>
          <w:lang w:val="en-US"/>
        </w:rPr>
        <w:t>TRIATEC</w:t>
      </w:r>
      <w:r w:rsidR="00842839" w:rsidRPr="00460745">
        <w:rPr>
          <w:rFonts w:ascii="Times New Roman" w:hAnsi="Times New Roman"/>
          <w:sz w:val="22"/>
          <w:szCs w:val="22"/>
        </w:rPr>
        <w:t xml:space="preserve"> </w:t>
      </w:r>
      <w:r w:rsidRPr="00460745">
        <w:rPr>
          <w:rFonts w:ascii="Times New Roman" w:hAnsi="Times New Roman"/>
          <w:sz w:val="22"/>
          <w:szCs w:val="22"/>
        </w:rPr>
        <w:t>να λαμβάνεται κάθε μέρα την ίδια ώρα της ημέρας.</w:t>
      </w:r>
    </w:p>
    <w:p w:rsidR="00934125" w:rsidRPr="00460745" w:rsidRDefault="00934125" w:rsidP="00266858">
      <w:pPr>
        <w:rPr>
          <w:rFonts w:ascii="Times New Roman" w:hAnsi="Times New Roman"/>
          <w:sz w:val="22"/>
          <w:szCs w:val="22"/>
        </w:rPr>
      </w:pPr>
      <w:r w:rsidRPr="00460745">
        <w:rPr>
          <w:rFonts w:ascii="Times New Roman" w:hAnsi="Times New Roman"/>
          <w:sz w:val="22"/>
          <w:szCs w:val="22"/>
        </w:rPr>
        <w:t xml:space="preserve">Το </w:t>
      </w:r>
      <w:r w:rsidR="00FA1EE3" w:rsidRPr="00460745">
        <w:rPr>
          <w:rFonts w:ascii="Times New Roman" w:hAnsi="Times New Roman"/>
          <w:sz w:val="22"/>
          <w:szCs w:val="22"/>
          <w:lang w:val="en-US"/>
        </w:rPr>
        <w:t>TRIATEC</w:t>
      </w:r>
      <w:r w:rsidR="00842839" w:rsidRPr="00460745">
        <w:rPr>
          <w:rFonts w:ascii="Times New Roman" w:hAnsi="Times New Roman"/>
          <w:sz w:val="22"/>
          <w:szCs w:val="22"/>
        </w:rPr>
        <w:t xml:space="preserve"> </w:t>
      </w:r>
      <w:r w:rsidRPr="00460745">
        <w:rPr>
          <w:rFonts w:ascii="Times New Roman" w:hAnsi="Times New Roman"/>
          <w:sz w:val="22"/>
          <w:szCs w:val="22"/>
        </w:rPr>
        <w:t>μπορεί να λαμβάνεται πριν, μαζί ή μετά τα γεύματα, γιατί η λήψη τροφής δεν τροποποιεί την βιοδιαθεσιμότητά του.</w:t>
      </w:r>
    </w:p>
    <w:p w:rsidR="00934125" w:rsidRPr="00460745" w:rsidRDefault="00934125" w:rsidP="00266858">
      <w:pPr>
        <w:rPr>
          <w:rFonts w:ascii="Times New Roman" w:hAnsi="Times New Roman"/>
          <w:sz w:val="22"/>
          <w:szCs w:val="22"/>
        </w:rPr>
      </w:pPr>
      <w:r w:rsidRPr="00460745">
        <w:rPr>
          <w:rFonts w:ascii="Times New Roman" w:hAnsi="Times New Roman"/>
          <w:sz w:val="22"/>
          <w:szCs w:val="22"/>
        </w:rPr>
        <w:t xml:space="preserve">Το </w:t>
      </w:r>
      <w:r w:rsidR="00FA1EE3" w:rsidRPr="00460745">
        <w:rPr>
          <w:rFonts w:ascii="Times New Roman" w:hAnsi="Times New Roman"/>
          <w:sz w:val="22"/>
          <w:szCs w:val="22"/>
          <w:lang w:val="en-US"/>
        </w:rPr>
        <w:t>TRIATEC</w:t>
      </w:r>
      <w:r w:rsidR="00842839" w:rsidRPr="00460745">
        <w:rPr>
          <w:rFonts w:ascii="Times New Roman" w:hAnsi="Times New Roman"/>
          <w:sz w:val="22"/>
          <w:szCs w:val="22"/>
        </w:rPr>
        <w:t xml:space="preserve"> </w:t>
      </w:r>
      <w:r w:rsidRPr="00460745">
        <w:rPr>
          <w:rFonts w:ascii="Times New Roman" w:hAnsi="Times New Roman"/>
          <w:sz w:val="22"/>
          <w:szCs w:val="22"/>
        </w:rPr>
        <w:t>πρέπει να καταπίνεται με κάποιο υγρό. Δεν πρέπει να μασάται ή να συνθλίβεται.</w:t>
      </w:r>
    </w:p>
    <w:p w:rsidR="00934125" w:rsidRPr="00460745" w:rsidRDefault="00934125" w:rsidP="00266858">
      <w:pPr>
        <w:rPr>
          <w:rFonts w:ascii="Times New Roman" w:hAnsi="Times New Roman"/>
          <w:sz w:val="22"/>
          <w:szCs w:val="22"/>
        </w:rPr>
      </w:pPr>
    </w:p>
    <w:p w:rsidR="00934125" w:rsidRPr="0084753F" w:rsidRDefault="00934125" w:rsidP="00266858">
      <w:pPr>
        <w:rPr>
          <w:rFonts w:ascii="Times New Roman" w:hAnsi="Times New Roman"/>
          <w:sz w:val="22"/>
          <w:szCs w:val="22"/>
          <w:lang w:val="en-US"/>
        </w:rPr>
      </w:pPr>
      <w:r w:rsidRPr="00460745">
        <w:rPr>
          <w:rFonts w:ascii="Times New Roman" w:hAnsi="Times New Roman"/>
          <w:i/>
          <w:sz w:val="22"/>
          <w:szCs w:val="22"/>
          <w:u w:val="single"/>
        </w:rPr>
        <w:t>Ενήλικες</w:t>
      </w:r>
    </w:p>
    <w:p w:rsidR="00BF04D6" w:rsidRPr="00460745" w:rsidRDefault="00BF04D6" w:rsidP="00BF04D6">
      <w:pPr>
        <w:rPr>
          <w:rFonts w:ascii="Times New Roman" w:hAnsi="Times New Roman"/>
          <w:sz w:val="22"/>
          <w:szCs w:val="22"/>
          <w:u w:val="single"/>
        </w:rPr>
      </w:pPr>
      <w:r w:rsidRPr="00460745">
        <w:rPr>
          <w:rFonts w:ascii="Times New Roman" w:hAnsi="Times New Roman"/>
          <w:sz w:val="22"/>
          <w:szCs w:val="22"/>
          <w:u w:val="single"/>
        </w:rPr>
        <w:t>Ασθενείς σε θεραπεία με διουρητικά</w:t>
      </w:r>
    </w:p>
    <w:p w:rsidR="00BF04D6" w:rsidRPr="00460745" w:rsidRDefault="00BF04D6" w:rsidP="00BF04D6">
      <w:pPr>
        <w:rPr>
          <w:rFonts w:ascii="Times New Roman" w:hAnsi="Times New Roman"/>
          <w:sz w:val="22"/>
          <w:szCs w:val="22"/>
        </w:rPr>
      </w:pPr>
      <w:r w:rsidRPr="00460745">
        <w:rPr>
          <w:rFonts w:ascii="Times New Roman" w:hAnsi="Times New Roman"/>
          <w:sz w:val="22"/>
          <w:szCs w:val="22"/>
        </w:rPr>
        <w:lastRenderedPageBreak/>
        <w:t xml:space="preserve">Υπόταση πιθανόν να παρουσιαστεί μετά την έναρξη της θεραπείας με </w:t>
      </w:r>
      <w:r w:rsidR="00FA1EE3" w:rsidRPr="00460745">
        <w:rPr>
          <w:rFonts w:ascii="Times New Roman" w:hAnsi="Times New Roman"/>
          <w:sz w:val="22"/>
          <w:szCs w:val="22"/>
          <w:lang w:val="en-US"/>
        </w:rPr>
        <w:t>TRIATEC</w:t>
      </w:r>
      <w:r w:rsidR="00902518" w:rsidRPr="00460745">
        <w:rPr>
          <w:rFonts w:ascii="Times New Roman" w:hAnsi="Times New Roman"/>
          <w:sz w:val="22"/>
          <w:szCs w:val="22"/>
        </w:rPr>
        <w:t xml:space="preserve"> </w:t>
      </w:r>
      <w:r w:rsidRPr="00460745">
        <w:rPr>
          <w:rFonts w:ascii="Times New Roman" w:hAnsi="Times New Roman"/>
          <w:sz w:val="22"/>
          <w:szCs w:val="22"/>
        </w:rPr>
        <w:t>· αυτό είναι πιο πιθανό σε ασθενείς, οι οποίοι λαμβάνουν ταυτόχρονα αγωγή με διουρητικά. Συνεπώς, συνιστάται προσοχή επειδή οι ασθενείς αυτοί πιθανόν να έχουν έλλειμμα όγκου και/ή ηλεκτρολυτών.</w:t>
      </w:r>
    </w:p>
    <w:p w:rsidR="00BF04D6" w:rsidRPr="00460745" w:rsidRDefault="00BF04D6" w:rsidP="00BF04D6">
      <w:pPr>
        <w:rPr>
          <w:rFonts w:ascii="Times New Roman" w:hAnsi="Times New Roman"/>
          <w:sz w:val="22"/>
          <w:szCs w:val="22"/>
        </w:rPr>
      </w:pPr>
      <w:r w:rsidRPr="00460745">
        <w:rPr>
          <w:rFonts w:ascii="Times New Roman" w:hAnsi="Times New Roman"/>
          <w:sz w:val="22"/>
          <w:szCs w:val="22"/>
        </w:rPr>
        <w:t xml:space="preserve">Εάν είναι δυνατόν, η θεραπεία με το διουρητικό θα πρέπει να διακοπεί 2 έως 3 ημέρες προτού αρχίσει η θεραπεία με το </w:t>
      </w:r>
      <w:r w:rsidR="00FA1EE3" w:rsidRPr="00460745">
        <w:rPr>
          <w:rFonts w:ascii="Times New Roman" w:hAnsi="Times New Roman"/>
          <w:sz w:val="22"/>
          <w:szCs w:val="22"/>
          <w:lang w:val="en-US"/>
        </w:rPr>
        <w:t>TRIATEC</w:t>
      </w:r>
      <w:r w:rsidR="00902518" w:rsidRPr="00460745">
        <w:rPr>
          <w:rFonts w:ascii="Times New Roman" w:hAnsi="Times New Roman"/>
          <w:sz w:val="22"/>
          <w:szCs w:val="22"/>
        </w:rPr>
        <w:t xml:space="preserve"> </w:t>
      </w:r>
      <w:r w:rsidRPr="00460745">
        <w:rPr>
          <w:rFonts w:ascii="Times New Roman" w:hAnsi="Times New Roman"/>
          <w:sz w:val="22"/>
          <w:szCs w:val="22"/>
        </w:rPr>
        <w:t>(βλ. παράγραφο 4.4).</w:t>
      </w:r>
    </w:p>
    <w:p w:rsidR="00BF04D6" w:rsidRPr="00460745" w:rsidRDefault="00BF04D6" w:rsidP="00BF04D6">
      <w:pPr>
        <w:rPr>
          <w:rFonts w:ascii="Times New Roman" w:hAnsi="Times New Roman"/>
          <w:sz w:val="22"/>
          <w:szCs w:val="22"/>
        </w:rPr>
      </w:pPr>
      <w:r w:rsidRPr="00460745">
        <w:rPr>
          <w:rFonts w:ascii="Times New Roman" w:hAnsi="Times New Roman"/>
          <w:sz w:val="22"/>
          <w:szCs w:val="22"/>
        </w:rPr>
        <w:t xml:space="preserve">Σε υπερτασικούς ασθενείς στους οποίους δεν διακόπτεται η αγωγή με το διουρητικό, η θεραπεία με το </w:t>
      </w:r>
      <w:r w:rsidR="00FA1EE3" w:rsidRPr="00460745">
        <w:rPr>
          <w:rFonts w:ascii="Times New Roman" w:hAnsi="Times New Roman"/>
          <w:sz w:val="22"/>
          <w:szCs w:val="22"/>
          <w:lang w:val="en-US"/>
        </w:rPr>
        <w:t>TRIATEC</w:t>
      </w:r>
      <w:r w:rsidR="00902518" w:rsidRPr="00460745">
        <w:rPr>
          <w:rFonts w:ascii="Times New Roman" w:hAnsi="Times New Roman"/>
          <w:sz w:val="22"/>
          <w:szCs w:val="22"/>
        </w:rPr>
        <w:t xml:space="preserve"> </w:t>
      </w:r>
      <w:r w:rsidRPr="00460745">
        <w:rPr>
          <w:rFonts w:ascii="Times New Roman" w:hAnsi="Times New Roman"/>
          <w:sz w:val="22"/>
          <w:szCs w:val="22"/>
        </w:rPr>
        <w:t>θα πρέπει να αρχίσει με μία δόση του 1,25 </w:t>
      </w:r>
      <w:r w:rsidRPr="00460745">
        <w:rPr>
          <w:rFonts w:ascii="Times New Roman" w:hAnsi="Times New Roman"/>
          <w:sz w:val="22"/>
          <w:szCs w:val="22"/>
          <w:lang w:val="en-US"/>
        </w:rPr>
        <w:t>mg</w:t>
      </w:r>
      <w:r w:rsidRPr="00460745">
        <w:rPr>
          <w:rFonts w:ascii="Times New Roman" w:hAnsi="Times New Roman"/>
          <w:sz w:val="22"/>
          <w:szCs w:val="22"/>
        </w:rPr>
        <w:t xml:space="preserve">. Η νεφρική λειτουργία και το κάλιο του ορού πρέπει να παρακολουθούνται. Η επακόλουθη δοσολογία του </w:t>
      </w:r>
      <w:r w:rsidR="00FA1EE3" w:rsidRPr="00460745">
        <w:rPr>
          <w:rFonts w:ascii="Times New Roman" w:hAnsi="Times New Roman"/>
          <w:sz w:val="22"/>
          <w:szCs w:val="22"/>
          <w:lang w:val="en-US"/>
        </w:rPr>
        <w:t>TRIATEC</w:t>
      </w:r>
      <w:r w:rsidR="00902518" w:rsidRPr="00460745">
        <w:rPr>
          <w:rFonts w:ascii="Times New Roman" w:hAnsi="Times New Roman"/>
          <w:sz w:val="22"/>
          <w:szCs w:val="22"/>
        </w:rPr>
        <w:t xml:space="preserve"> </w:t>
      </w:r>
      <w:r w:rsidRPr="00460745">
        <w:rPr>
          <w:rFonts w:ascii="Times New Roman" w:hAnsi="Times New Roman"/>
          <w:sz w:val="22"/>
          <w:szCs w:val="22"/>
        </w:rPr>
        <w:t>θα πρέπει να προσαρμοστεί ανάλογα με την επιδιωκόμενη αρτηριακή πίεση.</w:t>
      </w:r>
    </w:p>
    <w:p w:rsidR="00BF04D6" w:rsidRPr="00460745" w:rsidRDefault="00BF04D6" w:rsidP="00266858">
      <w:pPr>
        <w:rPr>
          <w:rFonts w:ascii="Times New Roman" w:hAnsi="Times New Roman"/>
          <w:i/>
          <w:sz w:val="22"/>
          <w:szCs w:val="22"/>
        </w:rPr>
      </w:pPr>
    </w:p>
    <w:p w:rsidR="00934125" w:rsidRPr="0084753F" w:rsidRDefault="00934125" w:rsidP="00266858">
      <w:pPr>
        <w:rPr>
          <w:rFonts w:ascii="Times New Roman" w:hAnsi="Times New Roman"/>
          <w:i/>
          <w:sz w:val="22"/>
          <w:szCs w:val="22"/>
          <w:lang w:val="en-US"/>
        </w:rPr>
      </w:pPr>
      <w:r w:rsidRPr="00460745">
        <w:rPr>
          <w:rFonts w:ascii="Times New Roman" w:hAnsi="Times New Roman"/>
          <w:i/>
          <w:sz w:val="22"/>
          <w:szCs w:val="22"/>
        </w:rPr>
        <w:t>Υπέρταση</w:t>
      </w:r>
    </w:p>
    <w:p w:rsidR="00934125" w:rsidRPr="00460745" w:rsidRDefault="00934125" w:rsidP="00266858">
      <w:pPr>
        <w:rPr>
          <w:rFonts w:ascii="Times New Roman" w:hAnsi="Times New Roman"/>
          <w:sz w:val="22"/>
          <w:szCs w:val="22"/>
        </w:rPr>
      </w:pPr>
      <w:r w:rsidRPr="00460745">
        <w:rPr>
          <w:rFonts w:ascii="Times New Roman" w:hAnsi="Times New Roman"/>
          <w:sz w:val="22"/>
          <w:szCs w:val="22"/>
        </w:rPr>
        <w:t xml:space="preserve">Η δόση </w:t>
      </w:r>
      <w:r w:rsidR="00520CDC" w:rsidRPr="00460745">
        <w:rPr>
          <w:rFonts w:ascii="Times New Roman" w:hAnsi="Times New Roman"/>
          <w:sz w:val="22"/>
          <w:szCs w:val="22"/>
        </w:rPr>
        <w:t>πρέπει να εξατομικεύεται</w:t>
      </w:r>
      <w:r w:rsidRPr="00460745">
        <w:rPr>
          <w:rFonts w:ascii="Times New Roman" w:hAnsi="Times New Roman"/>
          <w:sz w:val="22"/>
          <w:szCs w:val="22"/>
        </w:rPr>
        <w:t xml:space="preserve"> ανάλογα με το προφίλ του ασθενούς (βλ. παράγραφο 4.4) και τον έλεγχο της </w:t>
      </w:r>
      <w:r w:rsidR="00F76CF7" w:rsidRPr="00460745">
        <w:rPr>
          <w:rFonts w:ascii="Times New Roman" w:hAnsi="Times New Roman"/>
          <w:sz w:val="22"/>
          <w:szCs w:val="22"/>
        </w:rPr>
        <w:t>αρτηριακής πίεσης</w:t>
      </w:r>
      <w:r w:rsidRPr="00460745">
        <w:rPr>
          <w:rFonts w:ascii="Times New Roman" w:hAnsi="Times New Roman"/>
          <w:sz w:val="22"/>
          <w:szCs w:val="22"/>
        </w:rPr>
        <w:t>.</w:t>
      </w:r>
    </w:p>
    <w:p w:rsidR="00934125" w:rsidRPr="00460745" w:rsidRDefault="00934125" w:rsidP="00266858">
      <w:pPr>
        <w:rPr>
          <w:rFonts w:ascii="Times New Roman" w:hAnsi="Times New Roman"/>
          <w:sz w:val="22"/>
          <w:szCs w:val="22"/>
        </w:rPr>
      </w:pPr>
      <w:r w:rsidRPr="00460745">
        <w:rPr>
          <w:rFonts w:ascii="Times New Roman" w:hAnsi="Times New Roman"/>
          <w:sz w:val="22"/>
          <w:szCs w:val="22"/>
        </w:rPr>
        <w:t xml:space="preserve">Το </w:t>
      </w:r>
      <w:r w:rsidR="00FA1EE3" w:rsidRPr="00460745">
        <w:rPr>
          <w:rFonts w:ascii="Times New Roman" w:hAnsi="Times New Roman"/>
          <w:sz w:val="22"/>
          <w:szCs w:val="22"/>
          <w:lang w:val="en-US"/>
        </w:rPr>
        <w:t>TRIATEC</w:t>
      </w:r>
      <w:r w:rsidR="00902518" w:rsidRPr="00460745">
        <w:rPr>
          <w:rFonts w:ascii="Times New Roman" w:hAnsi="Times New Roman"/>
          <w:sz w:val="22"/>
          <w:szCs w:val="22"/>
        </w:rPr>
        <w:t xml:space="preserve"> </w:t>
      </w:r>
      <w:r w:rsidR="00211EE2" w:rsidRPr="00460745">
        <w:rPr>
          <w:rFonts w:ascii="Times New Roman" w:hAnsi="Times New Roman"/>
          <w:sz w:val="22"/>
          <w:szCs w:val="22"/>
        </w:rPr>
        <w:t xml:space="preserve">μπορεί να χρησιμοποιηθεί ως μονοθεραπεία ή σε συνδυασμό με άλλες κατηγορίες </w:t>
      </w:r>
      <w:bookmarkStart w:id="0" w:name="OLE_LINK1"/>
      <w:bookmarkStart w:id="1" w:name="OLE_LINK2"/>
      <w:r w:rsidR="00211EE2" w:rsidRPr="00460745">
        <w:rPr>
          <w:rFonts w:ascii="Times New Roman" w:hAnsi="Times New Roman"/>
          <w:sz w:val="22"/>
          <w:szCs w:val="22"/>
        </w:rPr>
        <w:t xml:space="preserve">αντιυπερτασικών </w:t>
      </w:r>
      <w:bookmarkEnd w:id="0"/>
      <w:bookmarkEnd w:id="1"/>
      <w:r w:rsidR="00211EE2" w:rsidRPr="00460745">
        <w:rPr>
          <w:rFonts w:ascii="Times New Roman" w:hAnsi="Times New Roman"/>
          <w:sz w:val="22"/>
          <w:szCs w:val="22"/>
        </w:rPr>
        <w:t>φαρμακευτικών προϊόντων.</w:t>
      </w:r>
    </w:p>
    <w:p w:rsidR="00211EE2" w:rsidRPr="00460745" w:rsidRDefault="00211EE2" w:rsidP="00266858">
      <w:pPr>
        <w:rPr>
          <w:rFonts w:ascii="Times New Roman" w:hAnsi="Times New Roman"/>
          <w:sz w:val="22"/>
          <w:szCs w:val="22"/>
        </w:rPr>
      </w:pPr>
    </w:p>
    <w:p w:rsidR="00211EE2" w:rsidRPr="00460745" w:rsidRDefault="00211EE2" w:rsidP="00266858">
      <w:pPr>
        <w:rPr>
          <w:rFonts w:ascii="Times New Roman" w:hAnsi="Times New Roman"/>
          <w:sz w:val="22"/>
          <w:szCs w:val="22"/>
          <w:u w:val="single"/>
        </w:rPr>
      </w:pPr>
      <w:r w:rsidRPr="00460745">
        <w:rPr>
          <w:rFonts w:ascii="Times New Roman" w:hAnsi="Times New Roman"/>
          <w:sz w:val="22"/>
          <w:szCs w:val="22"/>
          <w:u w:val="single"/>
        </w:rPr>
        <w:t>Δόση έναρξης</w:t>
      </w:r>
    </w:p>
    <w:p w:rsidR="00211EE2" w:rsidRPr="00460745" w:rsidRDefault="00211EE2" w:rsidP="00266858">
      <w:pPr>
        <w:rPr>
          <w:rFonts w:ascii="Times New Roman" w:hAnsi="Times New Roman"/>
          <w:sz w:val="22"/>
          <w:szCs w:val="22"/>
        </w:rPr>
      </w:pPr>
      <w:r w:rsidRPr="00460745">
        <w:rPr>
          <w:rFonts w:ascii="Times New Roman" w:hAnsi="Times New Roman"/>
          <w:sz w:val="22"/>
          <w:szCs w:val="22"/>
        </w:rPr>
        <w:t xml:space="preserve">Η θεραπεία με το </w:t>
      </w:r>
      <w:r w:rsidR="00FA1EE3" w:rsidRPr="00460745">
        <w:rPr>
          <w:rFonts w:ascii="Times New Roman" w:hAnsi="Times New Roman"/>
          <w:sz w:val="22"/>
          <w:szCs w:val="22"/>
          <w:lang w:val="en-US"/>
        </w:rPr>
        <w:t>TRIATEC</w:t>
      </w:r>
      <w:r w:rsidR="00902518" w:rsidRPr="00460745">
        <w:rPr>
          <w:rFonts w:ascii="Times New Roman" w:hAnsi="Times New Roman"/>
          <w:sz w:val="22"/>
          <w:szCs w:val="22"/>
        </w:rPr>
        <w:t xml:space="preserve"> </w:t>
      </w:r>
      <w:r w:rsidRPr="00460745">
        <w:rPr>
          <w:rFonts w:ascii="Times New Roman" w:hAnsi="Times New Roman"/>
          <w:sz w:val="22"/>
          <w:szCs w:val="22"/>
        </w:rPr>
        <w:t>θα πρέπει να αρχίσει σταδιακά με μία αρχική συνιστώμενη δόση των 2,5</w:t>
      </w:r>
      <w:r w:rsidR="008D4DC4" w:rsidRPr="00460745">
        <w:rPr>
          <w:rFonts w:ascii="Times New Roman" w:hAnsi="Times New Roman"/>
          <w:sz w:val="22"/>
          <w:szCs w:val="22"/>
        </w:rPr>
        <w:t> </w:t>
      </w:r>
      <w:r w:rsidRPr="00460745">
        <w:rPr>
          <w:rFonts w:ascii="Times New Roman" w:hAnsi="Times New Roman"/>
          <w:sz w:val="22"/>
          <w:szCs w:val="22"/>
          <w:lang w:val="en-US"/>
        </w:rPr>
        <w:t>mg</w:t>
      </w:r>
      <w:r w:rsidRPr="00460745">
        <w:rPr>
          <w:rFonts w:ascii="Times New Roman" w:hAnsi="Times New Roman"/>
          <w:sz w:val="22"/>
          <w:szCs w:val="22"/>
        </w:rPr>
        <w:t xml:space="preserve"> ημερησίως.</w:t>
      </w:r>
    </w:p>
    <w:p w:rsidR="00211EE2" w:rsidRPr="00460745" w:rsidRDefault="00211EE2" w:rsidP="00266858">
      <w:pPr>
        <w:rPr>
          <w:rFonts w:ascii="Times New Roman" w:hAnsi="Times New Roman"/>
          <w:sz w:val="22"/>
          <w:szCs w:val="22"/>
        </w:rPr>
      </w:pPr>
      <w:r w:rsidRPr="00460745">
        <w:rPr>
          <w:rFonts w:ascii="Times New Roman" w:hAnsi="Times New Roman"/>
          <w:sz w:val="22"/>
          <w:szCs w:val="22"/>
        </w:rPr>
        <w:t xml:space="preserve">Οι ασθενείς με έντονα ενεργοποιημένο σύστημα ρενίνης-αγγειοτασίνης-αλδοστερόνης πιθανόν να εμφανίσουν </w:t>
      </w:r>
      <w:r w:rsidR="00A74F69" w:rsidRPr="00460745">
        <w:rPr>
          <w:rFonts w:ascii="Times New Roman" w:hAnsi="Times New Roman"/>
          <w:sz w:val="22"/>
          <w:szCs w:val="22"/>
        </w:rPr>
        <w:t xml:space="preserve">υπερβολική πτώση της </w:t>
      </w:r>
      <w:r w:rsidR="00F76CF7" w:rsidRPr="00460745">
        <w:rPr>
          <w:rFonts w:ascii="Times New Roman" w:hAnsi="Times New Roman"/>
          <w:sz w:val="22"/>
          <w:szCs w:val="22"/>
        </w:rPr>
        <w:t>αρτηριακής πίεσης</w:t>
      </w:r>
      <w:r w:rsidR="00A74F69" w:rsidRPr="00460745">
        <w:rPr>
          <w:rFonts w:ascii="Times New Roman" w:hAnsi="Times New Roman"/>
          <w:sz w:val="22"/>
          <w:szCs w:val="22"/>
        </w:rPr>
        <w:t xml:space="preserve"> μετά την αρχική δόση. Σε αυτούς τους ασθενείς συνιστάται μία δόση έναρξης του 1,25</w:t>
      </w:r>
      <w:r w:rsidR="008D4DC4" w:rsidRPr="00460745">
        <w:rPr>
          <w:rFonts w:ascii="Times New Roman" w:hAnsi="Times New Roman"/>
          <w:sz w:val="22"/>
          <w:szCs w:val="22"/>
        </w:rPr>
        <w:t> </w:t>
      </w:r>
      <w:r w:rsidR="00A74F69" w:rsidRPr="00460745">
        <w:rPr>
          <w:rFonts w:ascii="Times New Roman" w:hAnsi="Times New Roman"/>
          <w:sz w:val="22"/>
          <w:szCs w:val="22"/>
          <w:lang w:val="en-US"/>
        </w:rPr>
        <w:t>mg</w:t>
      </w:r>
      <w:r w:rsidR="00A74F69" w:rsidRPr="00460745">
        <w:rPr>
          <w:rFonts w:ascii="Times New Roman" w:hAnsi="Times New Roman"/>
          <w:sz w:val="22"/>
          <w:szCs w:val="22"/>
        </w:rPr>
        <w:t xml:space="preserve"> και η έναρξη της θεραπείας θα πρέπει να είναι υπό ιατρική παρακολούθηση. (βλ. παράγραφο 4.4)</w:t>
      </w:r>
    </w:p>
    <w:p w:rsidR="00A74F69" w:rsidRPr="00460745" w:rsidRDefault="00A74F69" w:rsidP="00266858">
      <w:pPr>
        <w:rPr>
          <w:rFonts w:ascii="Times New Roman" w:hAnsi="Times New Roman"/>
          <w:sz w:val="22"/>
          <w:szCs w:val="22"/>
        </w:rPr>
      </w:pPr>
    </w:p>
    <w:p w:rsidR="00A74F69" w:rsidRPr="00460745" w:rsidRDefault="00A74F69" w:rsidP="00266858">
      <w:pPr>
        <w:rPr>
          <w:rFonts w:ascii="Times New Roman" w:hAnsi="Times New Roman"/>
          <w:sz w:val="22"/>
          <w:szCs w:val="22"/>
          <w:u w:val="single"/>
        </w:rPr>
      </w:pPr>
      <w:r w:rsidRPr="00460745">
        <w:rPr>
          <w:rFonts w:ascii="Times New Roman" w:hAnsi="Times New Roman"/>
          <w:sz w:val="22"/>
          <w:szCs w:val="22"/>
          <w:u w:val="single"/>
        </w:rPr>
        <w:t>Τιτλο</w:t>
      </w:r>
      <w:r w:rsidR="000175AB" w:rsidRPr="00460745">
        <w:rPr>
          <w:rFonts w:ascii="Times New Roman" w:hAnsi="Times New Roman"/>
          <w:sz w:val="22"/>
          <w:szCs w:val="22"/>
          <w:u w:val="single"/>
        </w:rPr>
        <w:t>ποί</w:t>
      </w:r>
      <w:r w:rsidRPr="00460745">
        <w:rPr>
          <w:rFonts w:ascii="Times New Roman" w:hAnsi="Times New Roman"/>
          <w:sz w:val="22"/>
          <w:szCs w:val="22"/>
          <w:u w:val="single"/>
        </w:rPr>
        <w:t>ηση και δόση συντήρησης</w:t>
      </w:r>
    </w:p>
    <w:p w:rsidR="00934125" w:rsidRPr="00460745" w:rsidRDefault="00A74F69" w:rsidP="00266858">
      <w:pPr>
        <w:rPr>
          <w:rFonts w:ascii="Times New Roman" w:hAnsi="Times New Roman"/>
          <w:sz w:val="22"/>
          <w:szCs w:val="22"/>
        </w:rPr>
      </w:pPr>
      <w:r w:rsidRPr="00460745">
        <w:rPr>
          <w:rFonts w:ascii="Times New Roman" w:hAnsi="Times New Roman"/>
          <w:sz w:val="22"/>
          <w:szCs w:val="22"/>
        </w:rPr>
        <w:t>Η δόση μπορεί να διπλασιαστεί σε διάστημα δύο έως τεσσάρων εβδομάδων</w:t>
      </w:r>
      <w:r w:rsidR="008D4DC4" w:rsidRPr="00460745">
        <w:rPr>
          <w:rFonts w:ascii="Times New Roman" w:hAnsi="Times New Roman"/>
          <w:sz w:val="22"/>
          <w:szCs w:val="22"/>
        </w:rPr>
        <w:t xml:space="preserve"> ώστε προοδευτικά να επιτευχθεί η επιθυμητή </w:t>
      </w:r>
      <w:r w:rsidR="00F76CF7" w:rsidRPr="00460745">
        <w:rPr>
          <w:rFonts w:ascii="Times New Roman" w:hAnsi="Times New Roman"/>
          <w:sz w:val="22"/>
          <w:szCs w:val="22"/>
        </w:rPr>
        <w:t>αρτηριακή πίεση</w:t>
      </w:r>
      <w:r w:rsidR="008D4DC4" w:rsidRPr="00460745">
        <w:rPr>
          <w:rFonts w:ascii="Times New Roman" w:hAnsi="Times New Roman"/>
          <w:sz w:val="22"/>
          <w:szCs w:val="22"/>
        </w:rPr>
        <w:t xml:space="preserve">· η μέγιστη επιτρεπόμενη δόση του </w:t>
      </w:r>
      <w:r w:rsidR="00FA1EE3" w:rsidRPr="00460745">
        <w:rPr>
          <w:rFonts w:ascii="Times New Roman" w:hAnsi="Times New Roman"/>
          <w:sz w:val="22"/>
          <w:szCs w:val="22"/>
          <w:lang w:val="en-US"/>
        </w:rPr>
        <w:t>TRIATEC</w:t>
      </w:r>
      <w:r w:rsidR="00902518" w:rsidRPr="00460745">
        <w:rPr>
          <w:rFonts w:ascii="Times New Roman" w:hAnsi="Times New Roman"/>
          <w:sz w:val="22"/>
          <w:szCs w:val="22"/>
        </w:rPr>
        <w:t xml:space="preserve"> </w:t>
      </w:r>
      <w:r w:rsidR="008D4DC4" w:rsidRPr="00460745">
        <w:rPr>
          <w:rFonts w:ascii="Times New Roman" w:hAnsi="Times New Roman"/>
          <w:sz w:val="22"/>
          <w:szCs w:val="22"/>
        </w:rPr>
        <w:t>είναι 10 </w:t>
      </w:r>
      <w:r w:rsidR="008D4DC4" w:rsidRPr="00460745">
        <w:rPr>
          <w:rFonts w:ascii="Times New Roman" w:hAnsi="Times New Roman"/>
          <w:sz w:val="22"/>
          <w:szCs w:val="22"/>
          <w:lang w:val="en-US"/>
        </w:rPr>
        <w:t>mg</w:t>
      </w:r>
      <w:r w:rsidR="008D4DC4" w:rsidRPr="00460745">
        <w:rPr>
          <w:rFonts w:ascii="Times New Roman" w:hAnsi="Times New Roman"/>
          <w:sz w:val="22"/>
          <w:szCs w:val="22"/>
        </w:rPr>
        <w:t xml:space="preserve"> ημερησίως. Συνήθως η δόση χορηγείται μία φορά ημερησίως.</w:t>
      </w:r>
    </w:p>
    <w:p w:rsidR="00897AF6" w:rsidRPr="00460745" w:rsidRDefault="00897AF6" w:rsidP="00266858">
      <w:pPr>
        <w:rPr>
          <w:rFonts w:ascii="Times New Roman" w:hAnsi="Times New Roman"/>
          <w:sz w:val="22"/>
          <w:szCs w:val="22"/>
        </w:rPr>
      </w:pPr>
    </w:p>
    <w:p w:rsidR="00BE6A7F" w:rsidRPr="00460745" w:rsidRDefault="00BE6A7F" w:rsidP="00266858">
      <w:pPr>
        <w:rPr>
          <w:rFonts w:ascii="Times New Roman" w:hAnsi="Times New Roman"/>
          <w:i/>
          <w:sz w:val="22"/>
          <w:szCs w:val="22"/>
        </w:rPr>
      </w:pPr>
      <w:r w:rsidRPr="00460745">
        <w:rPr>
          <w:rFonts w:ascii="Times New Roman" w:hAnsi="Times New Roman"/>
          <w:i/>
          <w:sz w:val="22"/>
          <w:szCs w:val="22"/>
        </w:rPr>
        <w:t>Καρδιαγγειακή πρόληψη</w:t>
      </w:r>
    </w:p>
    <w:p w:rsidR="00BE6A7F" w:rsidRPr="00460745" w:rsidRDefault="00BE6A7F" w:rsidP="00266858">
      <w:pPr>
        <w:rPr>
          <w:rFonts w:ascii="Times New Roman" w:hAnsi="Times New Roman"/>
          <w:i/>
          <w:sz w:val="22"/>
          <w:szCs w:val="22"/>
        </w:rPr>
      </w:pPr>
    </w:p>
    <w:p w:rsidR="00BE6A7F" w:rsidRPr="00460745" w:rsidRDefault="00BE6A7F" w:rsidP="00266858">
      <w:pPr>
        <w:rPr>
          <w:rFonts w:ascii="Times New Roman" w:hAnsi="Times New Roman"/>
          <w:sz w:val="22"/>
          <w:szCs w:val="22"/>
          <w:u w:val="single"/>
        </w:rPr>
      </w:pPr>
      <w:r w:rsidRPr="00460745">
        <w:rPr>
          <w:rFonts w:ascii="Times New Roman" w:hAnsi="Times New Roman"/>
          <w:sz w:val="22"/>
          <w:szCs w:val="22"/>
          <w:u w:val="single"/>
        </w:rPr>
        <w:t>Δόση έναρξης</w:t>
      </w:r>
    </w:p>
    <w:p w:rsidR="00BE6A7F" w:rsidRPr="00460745" w:rsidRDefault="00BE6A7F" w:rsidP="00266858">
      <w:pPr>
        <w:rPr>
          <w:rFonts w:ascii="Times New Roman" w:hAnsi="Times New Roman"/>
          <w:sz w:val="22"/>
          <w:szCs w:val="22"/>
        </w:rPr>
      </w:pPr>
      <w:r w:rsidRPr="00460745">
        <w:rPr>
          <w:rFonts w:ascii="Times New Roman" w:hAnsi="Times New Roman"/>
          <w:sz w:val="22"/>
          <w:szCs w:val="22"/>
        </w:rPr>
        <w:t>Η συνιστώμενη αρχική δόση είναι 2,5</w:t>
      </w:r>
      <w:r w:rsidRPr="00460745">
        <w:rPr>
          <w:rFonts w:ascii="Times New Roman" w:hAnsi="Times New Roman"/>
          <w:sz w:val="22"/>
          <w:szCs w:val="22"/>
          <w:lang w:val="en-US"/>
        </w:rPr>
        <w:t> mg</w:t>
      </w:r>
      <w:r w:rsidRPr="00460745">
        <w:rPr>
          <w:rFonts w:ascii="Times New Roman" w:hAnsi="Times New Roman"/>
          <w:sz w:val="22"/>
          <w:szCs w:val="22"/>
        </w:rPr>
        <w:t xml:space="preserve"> </w:t>
      </w:r>
      <w:r w:rsidR="00FA1EE3" w:rsidRPr="00460745">
        <w:rPr>
          <w:rFonts w:ascii="Times New Roman" w:hAnsi="Times New Roman"/>
          <w:sz w:val="22"/>
          <w:szCs w:val="22"/>
          <w:lang w:val="en-US"/>
        </w:rPr>
        <w:t>TRIATEC</w:t>
      </w:r>
      <w:r w:rsidR="00902518" w:rsidRPr="00460745">
        <w:rPr>
          <w:rFonts w:ascii="Times New Roman" w:hAnsi="Times New Roman"/>
          <w:sz w:val="22"/>
          <w:szCs w:val="22"/>
        </w:rPr>
        <w:t xml:space="preserve"> </w:t>
      </w:r>
      <w:r w:rsidRPr="00460745">
        <w:rPr>
          <w:rFonts w:ascii="Times New Roman" w:hAnsi="Times New Roman"/>
          <w:sz w:val="22"/>
          <w:szCs w:val="22"/>
        </w:rPr>
        <w:t xml:space="preserve">μία φορά ημερησίως. </w:t>
      </w:r>
    </w:p>
    <w:p w:rsidR="001539D4" w:rsidRPr="00460745" w:rsidRDefault="001539D4" w:rsidP="00BE6A7F">
      <w:pPr>
        <w:rPr>
          <w:rFonts w:ascii="Times New Roman" w:hAnsi="Times New Roman"/>
          <w:sz w:val="22"/>
          <w:szCs w:val="22"/>
          <w:u w:val="single"/>
          <w:lang w:val="en-US"/>
        </w:rPr>
      </w:pPr>
    </w:p>
    <w:p w:rsidR="00BE6A7F" w:rsidRPr="00460745" w:rsidRDefault="00BE6A7F" w:rsidP="00BE6A7F">
      <w:pPr>
        <w:rPr>
          <w:rFonts w:ascii="Times New Roman" w:hAnsi="Times New Roman"/>
          <w:sz w:val="22"/>
          <w:szCs w:val="22"/>
          <w:u w:val="single"/>
        </w:rPr>
      </w:pPr>
      <w:r w:rsidRPr="00460745">
        <w:rPr>
          <w:rFonts w:ascii="Times New Roman" w:hAnsi="Times New Roman"/>
          <w:sz w:val="22"/>
          <w:szCs w:val="22"/>
          <w:u w:val="single"/>
        </w:rPr>
        <w:t>Τιτλο</w:t>
      </w:r>
      <w:r w:rsidR="000175AB" w:rsidRPr="00460745">
        <w:rPr>
          <w:rFonts w:ascii="Times New Roman" w:hAnsi="Times New Roman"/>
          <w:sz w:val="22"/>
          <w:szCs w:val="22"/>
          <w:u w:val="single"/>
        </w:rPr>
        <w:t>ποί</w:t>
      </w:r>
      <w:r w:rsidRPr="00460745">
        <w:rPr>
          <w:rFonts w:ascii="Times New Roman" w:hAnsi="Times New Roman"/>
          <w:sz w:val="22"/>
          <w:szCs w:val="22"/>
          <w:u w:val="single"/>
        </w:rPr>
        <w:t>ηση και δόση συντήρησης</w:t>
      </w:r>
    </w:p>
    <w:p w:rsidR="00BE6A7F" w:rsidRPr="00460745" w:rsidRDefault="00BE6A7F" w:rsidP="00266858">
      <w:pPr>
        <w:rPr>
          <w:rFonts w:ascii="Times New Roman" w:hAnsi="Times New Roman"/>
          <w:sz w:val="22"/>
          <w:szCs w:val="22"/>
        </w:rPr>
      </w:pPr>
      <w:r w:rsidRPr="00460745">
        <w:rPr>
          <w:rFonts w:ascii="Times New Roman" w:hAnsi="Times New Roman"/>
          <w:sz w:val="22"/>
          <w:szCs w:val="22"/>
        </w:rPr>
        <w:t xml:space="preserve">Η δόση πρέπει να αυξάνεται σταδιακά με βάση την ανοχή του ασθενούς στο φάρμακο. </w:t>
      </w:r>
      <w:r w:rsidR="000367A2" w:rsidRPr="00460745">
        <w:rPr>
          <w:rFonts w:ascii="Times New Roman" w:hAnsi="Times New Roman"/>
          <w:sz w:val="22"/>
          <w:szCs w:val="22"/>
        </w:rPr>
        <w:t xml:space="preserve">Συνιστάται να διπλασιάζεται η δόση μετά από μία ή δύο εβδομάδες και – μετά από ακόμα δύο έως τρεις εβδομάδες – να αυξάνεται μέχρι την επιδιωκόμενη δόση </w:t>
      </w:r>
      <w:r w:rsidR="000F6AD9" w:rsidRPr="00460745">
        <w:rPr>
          <w:rFonts w:ascii="Times New Roman" w:hAnsi="Times New Roman"/>
          <w:sz w:val="22"/>
          <w:szCs w:val="22"/>
        </w:rPr>
        <w:t xml:space="preserve">συντήρησης </w:t>
      </w:r>
      <w:r w:rsidR="000367A2" w:rsidRPr="00460745">
        <w:rPr>
          <w:rFonts w:ascii="Times New Roman" w:hAnsi="Times New Roman"/>
          <w:sz w:val="22"/>
          <w:szCs w:val="22"/>
        </w:rPr>
        <w:t>των 10 </w:t>
      </w:r>
      <w:r w:rsidR="000367A2" w:rsidRPr="00460745">
        <w:rPr>
          <w:rFonts w:ascii="Times New Roman" w:hAnsi="Times New Roman"/>
          <w:sz w:val="22"/>
          <w:szCs w:val="22"/>
          <w:lang w:val="en-US"/>
        </w:rPr>
        <w:t>mg</w:t>
      </w:r>
      <w:r w:rsidR="000367A2" w:rsidRPr="00460745">
        <w:rPr>
          <w:rFonts w:ascii="Times New Roman" w:hAnsi="Times New Roman"/>
          <w:sz w:val="22"/>
          <w:szCs w:val="22"/>
        </w:rPr>
        <w:t xml:space="preserve"> </w:t>
      </w:r>
      <w:r w:rsidR="00FA1EE3" w:rsidRPr="00460745">
        <w:rPr>
          <w:rFonts w:ascii="Times New Roman" w:hAnsi="Times New Roman"/>
          <w:sz w:val="22"/>
          <w:szCs w:val="22"/>
          <w:lang w:val="en-US"/>
        </w:rPr>
        <w:t>TRIATEC</w:t>
      </w:r>
      <w:r w:rsidR="00902518" w:rsidRPr="00460745">
        <w:rPr>
          <w:rFonts w:ascii="Times New Roman" w:hAnsi="Times New Roman"/>
          <w:sz w:val="22"/>
          <w:szCs w:val="22"/>
        </w:rPr>
        <w:t xml:space="preserve"> </w:t>
      </w:r>
      <w:r w:rsidR="000367A2" w:rsidRPr="00460745">
        <w:rPr>
          <w:rFonts w:ascii="Times New Roman" w:hAnsi="Times New Roman"/>
          <w:sz w:val="22"/>
          <w:szCs w:val="22"/>
        </w:rPr>
        <w:t>μία φορά ημερησίως.</w:t>
      </w:r>
    </w:p>
    <w:p w:rsidR="008D4DC4" w:rsidRPr="00460745" w:rsidRDefault="008D4DC4" w:rsidP="00266858">
      <w:pPr>
        <w:rPr>
          <w:rFonts w:ascii="Times New Roman" w:hAnsi="Times New Roman"/>
          <w:sz w:val="22"/>
          <w:szCs w:val="22"/>
        </w:rPr>
      </w:pPr>
    </w:p>
    <w:p w:rsidR="00BF04D6" w:rsidRPr="00460745" w:rsidRDefault="00BF04D6" w:rsidP="00BF04D6">
      <w:pPr>
        <w:rPr>
          <w:rFonts w:ascii="Times New Roman" w:hAnsi="Times New Roman"/>
          <w:sz w:val="22"/>
          <w:szCs w:val="22"/>
          <w:u w:val="single"/>
        </w:rPr>
      </w:pPr>
      <w:r w:rsidRPr="00460745">
        <w:rPr>
          <w:rFonts w:ascii="Times New Roman" w:hAnsi="Times New Roman"/>
          <w:sz w:val="22"/>
          <w:szCs w:val="22"/>
        </w:rPr>
        <w:t>Βλέπε επίσης δοσολογία για ασθενείς που είναι σε θεραπεία με διουρητικά παραπάνω</w:t>
      </w:r>
      <w:r w:rsidR="007A09C5" w:rsidRPr="00460745">
        <w:rPr>
          <w:rFonts w:ascii="Times New Roman" w:hAnsi="Times New Roman"/>
          <w:sz w:val="22"/>
          <w:szCs w:val="22"/>
        </w:rPr>
        <w:t>.</w:t>
      </w:r>
    </w:p>
    <w:p w:rsidR="003D7212" w:rsidRDefault="003D7212" w:rsidP="00266858">
      <w:pPr>
        <w:rPr>
          <w:rFonts w:ascii="Times New Roman" w:hAnsi="Times New Roman"/>
          <w:i/>
          <w:sz w:val="22"/>
          <w:szCs w:val="22"/>
          <w:lang w:val="en-US"/>
        </w:rPr>
      </w:pPr>
    </w:p>
    <w:p w:rsidR="000F6AD9" w:rsidRPr="00460745" w:rsidRDefault="004F5263" w:rsidP="00266858">
      <w:pPr>
        <w:rPr>
          <w:rFonts w:ascii="Times New Roman" w:hAnsi="Times New Roman"/>
          <w:i/>
          <w:sz w:val="22"/>
          <w:szCs w:val="22"/>
        </w:rPr>
      </w:pPr>
      <w:r w:rsidRPr="00460745">
        <w:rPr>
          <w:rFonts w:ascii="Times New Roman" w:hAnsi="Times New Roman"/>
          <w:i/>
          <w:sz w:val="22"/>
          <w:szCs w:val="22"/>
        </w:rPr>
        <w:t>Θεραπεία της νεφροπάθειας</w:t>
      </w:r>
    </w:p>
    <w:p w:rsidR="000F6AD9" w:rsidRPr="00460745" w:rsidRDefault="000F6AD9" w:rsidP="00266858">
      <w:pPr>
        <w:rPr>
          <w:rFonts w:ascii="Times New Roman" w:hAnsi="Times New Roman"/>
          <w:i/>
          <w:sz w:val="22"/>
          <w:szCs w:val="22"/>
        </w:rPr>
      </w:pPr>
    </w:p>
    <w:p w:rsidR="002607D8" w:rsidRPr="003D7212" w:rsidRDefault="002607D8" w:rsidP="002607D8">
      <w:pPr>
        <w:rPr>
          <w:rFonts w:ascii="Times New Roman" w:hAnsi="Times New Roman"/>
          <w:i/>
          <w:sz w:val="22"/>
          <w:szCs w:val="22"/>
          <w:u w:val="single"/>
        </w:rPr>
      </w:pPr>
      <w:r w:rsidRPr="00460745">
        <w:rPr>
          <w:rFonts w:ascii="Times New Roman" w:hAnsi="Times New Roman"/>
          <w:i/>
          <w:sz w:val="22"/>
          <w:szCs w:val="22"/>
          <w:u w:val="single"/>
        </w:rPr>
        <w:t>Σε ασθενείς με διαβήτη και μικρολευκωματινουρία:</w:t>
      </w:r>
    </w:p>
    <w:p w:rsidR="002607D8" w:rsidRPr="00460745" w:rsidRDefault="002607D8" w:rsidP="002607D8">
      <w:pPr>
        <w:rPr>
          <w:rFonts w:ascii="Times New Roman" w:hAnsi="Times New Roman"/>
          <w:sz w:val="22"/>
          <w:szCs w:val="22"/>
          <w:u w:val="single"/>
        </w:rPr>
      </w:pPr>
      <w:r w:rsidRPr="00460745">
        <w:rPr>
          <w:rFonts w:ascii="Times New Roman" w:hAnsi="Times New Roman"/>
          <w:sz w:val="22"/>
          <w:szCs w:val="22"/>
          <w:u w:val="single"/>
        </w:rPr>
        <w:t>Δόση έναρξης</w:t>
      </w:r>
      <w:r w:rsidR="00F76975" w:rsidRPr="00460745">
        <w:rPr>
          <w:rFonts w:ascii="Times New Roman" w:hAnsi="Times New Roman"/>
          <w:sz w:val="22"/>
          <w:szCs w:val="22"/>
          <w:u w:val="single"/>
        </w:rPr>
        <w:t>:</w:t>
      </w:r>
    </w:p>
    <w:p w:rsidR="002607D8" w:rsidRPr="00460745" w:rsidRDefault="002607D8" w:rsidP="002607D8">
      <w:pPr>
        <w:rPr>
          <w:rFonts w:ascii="Times New Roman" w:hAnsi="Times New Roman"/>
          <w:sz w:val="22"/>
          <w:szCs w:val="22"/>
        </w:rPr>
      </w:pPr>
      <w:r w:rsidRPr="00460745">
        <w:rPr>
          <w:rFonts w:ascii="Times New Roman" w:hAnsi="Times New Roman"/>
          <w:sz w:val="22"/>
          <w:szCs w:val="22"/>
        </w:rPr>
        <w:t>Η συνιστώμενη αρχική δόση είναι 1,25 </w:t>
      </w:r>
      <w:r w:rsidRPr="00460745">
        <w:rPr>
          <w:rFonts w:ascii="Times New Roman" w:hAnsi="Times New Roman"/>
          <w:sz w:val="22"/>
          <w:szCs w:val="22"/>
          <w:lang w:val="en-US"/>
        </w:rPr>
        <w:t>mg</w:t>
      </w:r>
      <w:r w:rsidRPr="00460745">
        <w:rPr>
          <w:rFonts w:ascii="Times New Roman" w:hAnsi="Times New Roman"/>
          <w:sz w:val="22"/>
          <w:szCs w:val="22"/>
        </w:rPr>
        <w:t xml:space="preserve"> </w:t>
      </w:r>
      <w:r w:rsidR="00FA1EE3" w:rsidRPr="00460745">
        <w:rPr>
          <w:rFonts w:ascii="Times New Roman" w:hAnsi="Times New Roman"/>
          <w:sz w:val="22"/>
          <w:szCs w:val="22"/>
          <w:lang w:val="en-US"/>
        </w:rPr>
        <w:t>TRIATEC</w:t>
      </w:r>
      <w:r w:rsidR="00902518" w:rsidRPr="00460745">
        <w:rPr>
          <w:rFonts w:ascii="Times New Roman" w:hAnsi="Times New Roman"/>
          <w:sz w:val="22"/>
          <w:szCs w:val="22"/>
        </w:rPr>
        <w:t xml:space="preserve"> </w:t>
      </w:r>
      <w:r w:rsidRPr="00460745">
        <w:rPr>
          <w:rFonts w:ascii="Times New Roman" w:hAnsi="Times New Roman"/>
          <w:sz w:val="22"/>
          <w:szCs w:val="22"/>
        </w:rPr>
        <w:t>μία φορά ημερησίως.</w:t>
      </w:r>
    </w:p>
    <w:p w:rsidR="002607D8" w:rsidRPr="00460745" w:rsidRDefault="002607D8" w:rsidP="002607D8">
      <w:pPr>
        <w:rPr>
          <w:rFonts w:ascii="Times New Roman" w:hAnsi="Times New Roman"/>
          <w:sz w:val="22"/>
          <w:szCs w:val="22"/>
        </w:rPr>
      </w:pPr>
    </w:p>
    <w:p w:rsidR="002607D8" w:rsidRPr="00460745" w:rsidRDefault="002607D8" w:rsidP="002607D8">
      <w:pPr>
        <w:rPr>
          <w:rFonts w:ascii="Times New Roman" w:hAnsi="Times New Roman"/>
          <w:sz w:val="22"/>
          <w:szCs w:val="22"/>
          <w:u w:val="single"/>
        </w:rPr>
      </w:pPr>
      <w:r w:rsidRPr="00460745">
        <w:rPr>
          <w:rFonts w:ascii="Times New Roman" w:hAnsi="Times New Roman"/>
          <w:sz w:val="22"/>
          <w:szCs w:val="22"/>
          <w:u w:val="single"/>
        </w:rPr>
        <w:t>Τιτλοποίηση και δόση συντήρησης</w:t>
      </w:r>
    </w:p>
    <w:p w:rsidR="002607D8" w:rsidRPr="00460745" w:rsidRDefault="005B3ED6" w:rsidP="002607D8">
      <w:pPr>
        <w:rPr>
          <w:rFonts w:ascii="Times New Roman" w:hAnsi="Times New Roman"/>
          <w:sz w:val="22"/>
          <w:szCs w:val="22"/>
        </w:rPr>
      </w:pPr>
      <w:r w:rsidRPr="00460745">
        <w:rPr>
          <w:rFonts w:ascii="Times New Roman" w:hAnsi="Times New Roman"/>
          <w:sz w:val="22"/>
          <w:szCs w:val="22"/>
        </w:rPr>
        <w:t>Η</w:t>
      </w:r>
      <w:r w:rsidR="002607D8" w:rsidRPr="00460745">
        <w:rPr>
          <w:rFonts w:ascii="Times New Roman" w:hAnsi="Times New Roman"/>
          <w:sz w:val="22"/>
          <w:szCs w:val="22"/>
        </w:rPr>
        <w:t xml:space="preserve"> δόση </w:t>
      </w:r>
      <w:r w:rsidRPr="00460745">
        <w:rPr>
          <w:rFonts w:ascii="Times New Roman" w:hAnsi="Times New Roman"/>
          <w:sz w:val="22"/>
          <w:szCs w:val="22"/>
        </w:rPr>
        <w:t xml:space="preserve">σταδιακά </w:t>
      </w:r>
      <w:r w:rsidR="002607D8" w:rsidRPr="00460745">
        <w:rPr>
          <w:rFonts w:ascii="Times New Roman" w:hAnsi="Times New Roman"/>
          <w:sz w:val="22"/>
          <w:szCs w:val="22"/>
        </w:rPr>
        <w:t>αυξάνεται με βάση την ανοχή του ασθενούς στη δραστική ουσία. Συνιστάται ο διπλασιασμός της ημερήσιας δόσης στα 2,5 </w:t>
      </w:r>
      <w:r w:rsidR="002607D8" w:rsidRPr="00460745">
        <w:rPr>
          <w:rFonts w:ascii="Times New Roman" w:hAnsi="Times New Roman"/>
          <w:sz w:val="22"/>
          <w:szCs w:val="22"/>
          <w:lang w:val="en-US"/>
        </w:rPr>
        <w:t>mg</w:t>
      </w:r>
      <w:r w:rsidR="002607D8" w:rsidRPr="00460745">
        <w:rPr>
          <w:rFonts w:ascii="Times New Roman" w:hAnsi="Times New Roman"/>
          <w:sz w:val="22"/>
          <w:szCs w:val="22"/>
        </w:rPr>
        <w:t xml:space="preserve"> μετά από δύο εβδομάδες και μετά στα 5 </w:t>
      </w:r>
      <w:r w:rsidR="002607D8" w:rsidRPr="00460745">
        <w:rPr>
          <w:rFonts w:ascii="Times New Roman" w:hAnsi="Times New Roman"/>
          <w:sz w:val="22"/>
          <w:szCs w:val="22"/>
          <w:lang w:val="en-US"/>
        </w:rPr>
        <w:t>mg</w:t>
      </w:r>
      <w:r w:rsidR="002607D8" w:rsidRPr="00460745">
        <w:rPr>
          <w:rFonts w:ascii="Times New Roman" w:hAnsi="Times New Roman"/>
          <w:sz w:val="22"/>
          <w:szCs w:val="22"/>
        </w:rPr>
        <w:t xml:space="preserve"> μετά από ακόμα δύο εβδομάδες.</w:t>
      </w:r>
    </w:p>
    <w:p w:rsidR="002607D8" w:rsidRPr="00460745" w:rsidRDefault="002607D8" w:rsidP="002607D8">
      <w:pPr>
        <w:rPr>
          <w:rFonts w:ascii="Times New Roman" w:hAnsi="Times New Roman"/>
          <w:sz w:val="22"/>
          <w:szCs w:val="22"/>
        </w:rPr>
      </w:pPr>
    </w:p>
    <w:p w:rsidR="000F6AD9" w:rsidRPr="003D7212" w:rsidRDefault="00BF04D6" w:rsidP="003D7212">
      <w:pPr>
        <w:rPr>
          <w:rFonts w:ascii="Times New Roman" w:hAnsi="Times New Roman"/>
          <w:i/>
          <w:sz w:val="22"/>
          <w:szCs w:val="22"/>
          <w:u w:val="single"/>
        </w:rPr>
      </w:pPr>
      <w:r w:rsidRPr="00460745">
        <w:rPr>
          <w:rFonts w:ascii="Times New Roman" w:hAnsi="Times New Roman"/>
          <w:i/>
          <w:sz w:val="22"/>
          <w:szCs w:val="22"/>
          <w:u w:val="single"/>
        </w:rPr>
        <w:t>Σ</w:t>
      </w:r>
      <w:r w:rsidR="000F6AD9" w:rsidRPr="00460745">
        <w:rPr>
          <w:rFonts w:ascii="Times New Roman" w:hAnsi="Times New Roman"/>
          <w:i/>
          <w:sz w:val="22"/>
          <w:szCs w:val="22"/>
          <w:u w:val="single"/>
        </w:rPr>
        <w:t>ε ασθενείς με διαβήτη και έναν τουλάχιστον καρδιαγγειακ</w:t>
      </w:r>
      <w:r w:rsidRPr="00460745">
        <w:rPr>
          <w:rFonts w:ascii="Times New Roman" w:hAnsi="Times New Roman"/>
          <w:i/>
          <w:sz w:val="22"/>
          <w:szCs w:val="22"/>
          <w:u w:val="single"/>
        </w:rPr>
        <w:t>ό</w:t>
      </w:r>
      <w:r w:rsidR="000F6AD9" w:rsidRPr="00460745">
        <w:rPr>
          <w:rFonts w:ascii="Times New Roman" w:hAnsi="Times New Roman"/>
          <w:i/>
          <w:sz w:val="22"/>
          <w:szCs w:val="22"/>
          <w:u w:val="single"/>
        </w:rPr>
        <w:t xml:space="preserve"> κ</w:t>
      </w:r>
      <w:r w:rsidRPr="00460745">
        <w:rPr>
          <w:rFonts w:ascii="Times New Roman" w:hAnsi="Times New Roman"/>
          <w:i/>
          <w:sz w:val="22"/>
          <w:szCs w:val="22"/>
          <w:u w:val="single"/>
        </w:rPr>
        <w:t>ί</w:t>
      </w:r>
      <w:r w:rsidR="000F6AD9" w:rsidRPr="00460745">
        <w:rPr>
          <w:rFonts w:ascii="Times New Roman" w:hAnsi="Times New Roman"/>
          <w:i/>
          <w:sz w:val="22"/>
          <w:szCs w:val="22"/>
          <w:u w:val="single"/>
        </w:rPr>
        <w:t>νδ</w:t>
      </w:r>
      <w:r w:rsidRPr="00460745">
        <w:rPr>
          <w:rFonts w:ascii="Times New Roman" w:hAnsi="Times New Roman"/>
          <w:i/>
          <w:sz w:val="22"/>
          <w:szCs w:val="22"/>
          <w:u w:val="single"/>
        </w:rPr>
        <w:t>υ</w:t>
      </w:r>
      <w:r w:rsidR="000F6AD9" w:rsidRPr="00460745">
        <w:rPr>
          <w:rFonts w:ascii="Times New Roman" w:hAnsi="Times New Roman"/>
          <w:i/>
          <w:sz w:val="22"/>
          <w:szCs w:val="22"/>
          <w:u w:val="single"/>
        </w:rPr>
        <w:t>νο:</w:t>
      </w:r>
    </w:p>
    <w:p w:rsidR="000F6AD9" w:rsidRPr="00460745" w:rsidRDefault="000F6AD9" w:rsidP="000F6AD9">
      <w:pPr>
        <w:rPr>
          <w:rFonts w:ascii="Times New Roman" w:hAnsi="Times New Roman"/>
          <w:sz w:val="22"/>
          <w:szCs w:val="22"/>
          <w:u w:val="single"/>
        </w:rPr>
      </w:pPr>
      <w:r w:rsidRPr="00460745">
        <w:rPr>
          <w:rFonts w:ascii="Times New Roman" w:hAnsi="Times New Roman"/>
          <w:sz w:val="22"/>
          <w:szCs w:val="22"/>
          <w:u w:val="single"/>
        </w:rPr>
        <w:t>Δόση έναρξης</w:t>
      </w:r>
    </w:p>
    <w:p w:rsidR="000F6AD9" w:rsidRPr="00460745" w:rsidRDefault="000F6AD9" w:rsidP="000F6AD9">
      <w:pPr>
        <w:rPr>
          <w:rFonts w:ascii="Times New Roman" w:hAnsi="Times New Roman"/>
          <w:sz w:val="22"/>
          <w:szCs w:val="22"/>
        </w:rPr>
      </w:pPr>
      <w:r w:rsidRPr="00460745">
        <w:rPr>
          <w:rFonts w:ascii="Times New Roman" w:hAnsi="Times New Roman"/>
          <w:sz w:val="22"/>
          <w:szCs w:val="22"/>
        </w:rPr>
        <w:t>Η συνιστώμενη αρχική δόση είναι 2,5 </w:t>
      </w:r>
      <w:r w:rsidRPr="00460745">
        <w:rPr>
          <w:rFonts w:ascii="Times New Roman" w:hAnsi="Times New Roman"/>
          <w:sz w:val="22"/>
          <w:szCs w:val="22"/>
          <w:lang w:val="en-US"/>
        </w:rPr>
        <w:t>mg</w:t>
      </w:r>
      <w:r w:rsidRPr="00460745">
        <w:rPr>
          <w:rFonts w:ascii="Times New Roman" w:hAnsi="Times New Roman"/>
          <w:sz w:val="22"/>
          <w:szCs w:val="22"/>
        </w:rPr>
        <w:t xml:space="preserve"> </w:t>
      </w:r>
      <w:r w:rsidR="00FA1EE3" w:rsidRPr="00460745">
        <w:rPr>
          <w:rFonts w:ascii="Times New Roman" w:hAnsi="Times New Roman"/>
          <w:sz w:val="22"/>
          <w:szCs w:val="22"/>
          <w:lang w:val="en-US"/>
        </w:rPr>
        <w:t>TRIATEC</w:t>
      </w:r>
      <w:r w:rsidR="00902518" w:rsidRPr="00460745">
        <w:rPr>
          <w:rFonts w:ascii="Times New Roman" w:hAnsi="Times New Roman"/>
          <w:sz w:val="22"/>
          <w:szCs w:val="22"/>
        </w:rPr>
        <w:t xml:space="preserve"> </w:t>
      </w:r>
      <w:r w:rsidRPr="00460745">
        <w:rPr>
          <w:rFonts w:ascii="Times New Roman" w:hAnsi="Times New Roman"/>
          <w:sz w:val="22"/>
          <w:szCs w:val="22"/>
        </w:rPr>
        <w:t>μία φορά ημερησίως.</w:t>
      </w:r>
    </w:p>
    <w:p w:rsidR="000F6AD9" w:rsidRPr="00460745" w:rsidRDefault="000F6AD9" w:rsidP="000F6AD9">
      <w:pPr>
        <w:rPr>
          <w:rFonts w:ascii="Times New Roman" w:hAnsi="Times New Roman"/>
          <w:sz w:val="22"/>
          <w:szCs w:val="22"/>
        </w:rPr>
      </w:pPr>
    </w:p>
    <w:p w:rsidR="000F6AD9" w:rsidRPr="00460745" w:rsidRDefault="00E12EB8" w:rsidP="000F6AD9">
      <w:pPr>
        <w:rPr>
          <w:rFonts w:ascii="Times New Roman" w:hAnsi="Times New Roman"/>
          <w:sz w:val="22"/>
          <w:szCs w:val="22"/>
          <w:u w:val="single"/>
        </w:rPr>
      </w:pPr>
      <w:r w:rsidRPr="00460745">
        <w:rPr>
          <w:rFonts w:ascii="Times New Roman" w:hAnsi="Times New Roman"/>
          <w:sz w:val="22"/>
          <w:szCs w:val="22"/>
          <w:u w:val="single"/>
        </w:rPr>
        <w:t>Τιτλοποίηση και δ</w:t>
      </w:r>
      <w:r w:rsidR="000F6AD9" w:rsidRPr="00460745">
        <w:rPr>
          <w:rFonts w:ascii="Times New Roman" w:hAnsi="Times New Roman"/>
          <w:sz w:val="22"/>
          <w:szCs w:val="22"/>
          <w:u w:val="single"/>
        </w:rPr>
        <w:t>όση συντήρησης</w:t>
      </w:r>
    </w:p>
    <w:p w:rsidR="000F6AD9" w:rsidRPr="00460745" w:rsidRDefault="000F6AD9" w:rsidP="000F6AD9">
      <w:pPr>
        <w:rPr>
          <w:rFonts w:ascii="Times New Roman" w:hAnsi="Times New Roman"/>
          <w:sz w:val="22"/>
          <w:szCs w:val="22"/>
        </w:rPr>
      </w:pPr>
      <w:r w:rsidRPr="00460745">
        <w:rPr>
          <w:rFonts w:ascii="Times New Roman" w:hAnsi="Times New Roman"/>
          <w:sz w:val="22"/>
          <w:szCs w:val="22"/>
        </w:rPr>
        <w:t>Στη συνέχεια η δόση αυξάνεται με βάση την ανοχή του ασθενούς στ</w:t>
      </w:r>
      <w:r w:rsidR="002607D8" w:rsidRPr="00460745">
        <w:rPr>
          <w:rFonts w:ascii="Times New Roman" w:hAnsi="Times New Roman"/>
          <w:sz w:val="22"/>
          <w:szCs w:val="22"/>
        </w:rPr>
        <w:t>η</w:t>
      </w:r>
      <w:r w:rsidRPr="00460745">
        <w:rPr>
          <w:rFonts w:ascii="Times New Roman" w:hAnsi="Times New Roman"/>
          <w:sz w:val="22"/>
          <w:szCs w:val="22"/>
        </w:rPr>
        <w:t xml:space="preserve"> </w:t>
      </w:r>
      <w:r w:rsidR="002607D8" w:rsidRPr="00460745">
        <w:rPr>
          <w:rFonts w:ascii="Times New Roman" w:hAnsi="Times New Roman"/>
          <w:sz w:val="22"/>
          <w:szCs w:val="22"/>
        </w:rPr>
        <w:t>δραστική ουσία</w:t>
      </w:r>
      <w:r w:rsidRPr="00460745">
        <w:rPr>
          <w:rFonts w:ascii="Times New Roman" w:hAnsi="Times New Roman"/>
          <w:sz w:val="22"/>
          <w:szCs w:val="22"/>
        </w:rPr>
        <w:t>.</w:t>
      </w:r>
      <w:r w:rsidR="00DB0488" w:rsidRPr="00460745">
        <w:rPr>
          <w:rFonts w:ascii="Times New Roman" w:hAnsi="Times New Roman"/>
          <w:sz w:val="22"/>
          <w:szCs w:val="22"/>
        </w:rPr>
        <w:t xml:space="preserve"> Συνιστάται ο διπλασιασμός της ημερήσιας δόσης στα 5 </w:t>
      </w:r>
      <w:r w:rsidR="00DB0488" w:rsidRPr="00460745">
        <w:rPr>
          <w:rFonts w:ascii="Times New Roman" w:hAnsi="Times New Roman"/>
          <w:sz w:val="22"/>
          <w:szCs w:val="22"/>
          <w:lang w:val="en-US"/>
        </w:rPr>
        <w:t>mg</w:t>
      </w:r>
      <w:r w:rsidR="00DB0488" w:rsidRPr="00460745">
        <w:rPr>
          <w:rFonts w:ascii="Times New Roman" w:hAnsi="Times New Roman"/>
          <w:sz w:val="22"/>
          <w:szCs w:val="22"/>
        </w:rPr>
        <w:t xml:space="preserve"> </w:t>
      </w:r>
      <w:r w:rsidR="00FA1EE3" w:rsidRPr="00460745">
        <w:rPr>
          <w:rFonts w:ascii="Times New Roman" w:hAnsi="Times New Roman"/>
          <w:sz w:val="22"/>
          <w:szCs w:val="22"/>
          <w:lang w:val="en-US"/>
        </w:rPr>
        <w:t>TRIATEC</w:t>
      </w:r>
      <w:r w:rsidR="00902518" w:rsidRPr="00460745">
        <w:rPr>
          <w:rFonts w:ascii="Times New Roman" w:hAnsi="Times New Roman"/>
          <w:sz w:val="22"/>
          <w:szCs w:val="22"/>
        </w:rPr>
        <w:t xml:space="preserve"> </w:t>
      </w:r>
      <w:r w:rsidR="00DB0488" w:rsidRPr="00460745">
        <w:rPr>
          <w:rFonts w:ascii="Times New Roman" w:hAnsi="Times New Roman"/>
          <w:sz w:val="22"/>
          <w:szCs w:val="22"/>
        </w:rPr>
        <w:t>μετά από μία έως δύο εβδομάδες και μετά στα 10 </w:t>
      </w:r>
      <w:r w:rsidR="00DB0488" w:rsidRPr="00460745">
        <w:rPr>
          <w:rFonts w:ascii="Times New Roman" w:hAnsi="Times New Roman"/>
          <w:sz w:val="22"/>
          <w:szCs w:val="22"/>
          <w:lang w:val="en-US"/>
        </w:rPr>
        <w:t>mg</w:t>
      </w:r>
      <w:r w:rsidR="00DB0488" w:rsidRPr="00460745">
        <w:rPr>
          <w:rFonts w:ascii="Times New Roman" w:hAnsi="Times New Roman"/>
          <w:sz w:val="22"/>
          <w:szCs w:val="22"/>
        </w:rPr>
        <w:t xml:space="preserve"> </w:t>
      </w:r>
      <w:r w:rsidR="00FA1EE3" w:rsidRPr="00460745">
        <w:rPr>
          <w:rFonts w:ascii="Times New Roman" w:hAnsi="Times New Roman"/>
          <w:sz w:val="22"/>
          <w:szCs w:val="22"/>
          <w:lang w:val="en-US"/>
        </w:rPr>
        <w:t>TRIATEC</w:t>
      </w:r>
      <w:r w:rsidR="00902518" w:rsidRPr="00460745">
        <w:rPr>
          <w:rFonts w:ascii="Times New Roman" w:hAnsi="Times New Roman"/>
          <w:sz w:val="22"/>
          <w:szCs w:val="22"/>
        </w:rPr>
        <w:t xml:space="preserve"> </w:t>
      </w:r>
      <w:r w:rsidR="00DB0488" w:rsidRPr="00460745">
        <w:rPr>
          <w:rFonts w:ascii="Times New Roman" w:hAnsi="Times New Roman"/>
          <w:sz w:val="22"/>
          <w:szCs w:val="22"/>
        </w:rPr>
        <w:t>μετά από ακόμα δύο ή τρεις εβδομάδες. Η επιδιωκόμενη ημερήσια δόση είναι τα 10 </w:t>
      </w:r>
      <w:r w:rsidR="00DB0488" w:rsidRPr="00460745">
        <w:rPr>
          <w:rFonts w:ascii="Times New Roman" w:hAnsi="Times New Roman"/>
          <w:sz w:val="22"/>
          <w:szCs w:val="22"/>
          <w:lang w:val="en-US"/>
        </w:rPr>
        <w:t>mg</w:t>
      </w:r>
      <w:r w:rsidR="00DB0488" w:rsidRPr="00460745">
        <w:rPr>
          <w:rFonts w:ascii="Times New Roman" w:hAnsi="Times New Roman"/>
          <w:sz w:val="22"/>
          <w:szCs w:val="22"/>
        </w:rPr>
        <w:t>.</w:t>
      </w:r>
    </w:p>
    <w:p w:rsidR="00DB0488" w:rsidRPr="00460745" w:rsidRDefault="00DB0488" w:rsidP="000F6AD9">
      <w:pPr>
        <w:rPr>
          <w:rFonts w:ascii="Times New Roman" w:hAnsi="Times New Roman"/>
          <w:sz w:val="22"/>
          <w:szCs w:val="22"/>
        </w:rPr>
      </w:pPr>
    </w:p>
    <w:p w:rsidR="00DB0488" w:rsidRPr="00460745" w:rsidRDefault="004C250F" w:rsidP="00277EEA">
      <w:pPr>
        <w:rPr>
          <w:rFonts w:ascii="Times New Roman" w:hAnsi="Times New Roman"/>
          <w:i/>
          <w:sz w:val="22"/>
          <w:szCs w:val="22"/>
          <w:u w:val="single"/>
        </w:rPr>
      </w:pPr>
      <w:r w:rsidRPr="00460745">
        <w:rPr>
          <w:rFonts w:ascii="Times New Roman" w:hAnsi="Times New Roman"/>
          <w:i/>
          <w:sz w:val="22"/>
          <w:szCs w:val="22"/>
          <w:u w:val="single"/>
        </w:rPr>
        <w:t>Σ</w:t>
      </w:r>
      <w:r w:rsidR="00DB0488" w:rsidRPr="00460745">
        <w:rPr>
          <w:rFonts w:ascii="Times New Roman" w:hAnsi="Times New Roman"/>
          <w:i/>
          <w:sz w:val="22"/>
          <w:szCs w:val="22"/>
          <w:u w:val="single"/>
        </w:rPr>
        <w:t>ε ασθενείς με μη διαβητική νεφροπάθεια</w:t>
      </w:r>
      <w:r w:rsidR="00DB514A" w:rsidRPr="00460745">
        <w:rPr>
          <w:rFonts w:ascii="Times New Roman" w:hAnsi="Times New Roman"/>
          <w:i/>
          <w:sz w:val="22"/>
          <w:szCs w:val="22"/>
          <w:u w:val="single"/>
        </w:rPr>
        <w:t xml:space="preserve"> όπως ορίζεται από μα</w:t>
      </w:r>
      <w:r w:rsidR="004F5263" w:rsidRPr="00460745">
        <w:rPr>
          <w:rFonts w:ascii="Times New Roman" w:hAnsi="Times New Roman"/>
          <w:i/>
          <w:sz w:val="22"/>
          <w:szCs w:val="22"/>
          <w:u w:val="single"/>
        </w:rPr>
        <w:t>κροπρωτεϊνουρία ≥ 3 </w:t>
      </w:r>
      <w:r w:rsidR="004F5263" w:rsidRPr="00460745">
        <w:rPr>
          <w:rFonts w:ascii="Times New Roman" w:hAnsi="Times New Roman"/>
          <w:i/>
          <w:sz w:val="22"/>
          <w:szCs w:val="22"/>
          <w:u w:val="single"/>
          <w:lang w:val="en-US"/>
        </w:rPr>
        <w:t>g</w:t>
      </w:r>
      <w:r w:rsidR="004F5263" w:rsidRPr="00460745">
        <w:rPr>
          <w:rFonts w:ascii="Times New Roman" w:hAnsi="Times New Roman"/>
          <w:i/>
          <w:sz w:val="22"/>
          <w:szCs w:val="22"/>
          <w:u w:val="single"/>
        </w:rPr>
        <w:t>/ημέρα.</w:t>
      </w:r>
    </w:p>
    <w:p w:rsidR="00DB0488" w:rsidRPr="00460745" w:rsidRDefault="00DB0488" w:rsidP="00DB0488">
      <w:pPr>
        <w:rPr>
          <w:rFonts w:ascii="Times New Roman" w:hAnsi="Times New Roman"/>
          <w:i/>
          <w:sz w:val="22"/>
          <w:szCs w:val="22"/>
          <w:u w:val="single"/>
        </w:rPr>
      </w:pPr>
    </w:p>
    <w:p w:rsidR="00DB0488" w:rsidRPr="00460745" w:rsidRDefault="00DB0488" w:rsidP="00DB0488">
      <w:pPr>
        <w:rPr>
          <w:rFonts w:ascii="Times New Roman" w:hAnsi="Times New Roman"/>
          <w:sz w:val="22"/>
          <w:szCs w:val="22"/>
          <w:u w:val="single"/>
        </w:rPr>
      </w:pPr>
      <w:r w:rsidRPr="00460745">
        <w:rPr>
          <w:rFonts w:ascii="Times New Roman" w:hAnsi="Times New Roman"/>
          <w:sz w:val="22"/>
          <w:szCs w:val="22"/>
          <w:u w:val="single"/>
        </w:rPr>
        <w:t>Δόση έναρξης</w:t>
      </w:r>
    </w:p>
    <w:p w:rsidR="00DB0488" w:rsidRPr="00460745" w:rsidRDefault="00DB0488" w:rsidP="00DB0488">
      <w:pPr>
        <w:rPr>
          <w:rFonts w:ascii="Times New Roman" w:hAnsi="Times New Roman"/>
          <w:sz w:val="22"/>
          <w:szCs w:val="22"/>
        </w:rPr>
      </w:pPr>
      <w:r w:rsidRPr="00460745">
        <w:rPr>
          <w:rFonts w:ascii="Times New Roman" w:hAnsi="Times New Roman"/>
          <w:sz w:val="22"/>
          <w:szCs w:val="22"/>
        </w:rPr>
        <w:t>Η συνιστώμενη αρχική δόση είναι 1,25 </w:t>
      </w:r>
      <w:r w:rsidRPr="00460745">
        <w:rPr>
          <w:rFonts w:ascii="Times New Roman" w:hAnsi="Times New Roman"/>
          <w:sz w:val="22"/>
          <w:szCs w:val="22"/>
          <w:lang w:val="en-US"/>
        </w:rPr>
        <w:t>mg</w:t>
      </w:r>
      <w:r w:rsidRPr="00460745">
        <w:rPr>
          <w:rFonts w:ascii="Times New Roman" w:hAnsi="Times New Roman"/>
          <w:sz w:val="22"/>
          <w:szCs w:val="22"/>
        </w:rPr>
        <w:t xml:space="preserve"> </w:t>
      </w:r>
      <w:r w:rsidR="00FA1EE3" w:rsidRPr="00460745">
        <w:rPr>
          <w:rFonts w:ascii="Times New Roman" w:hAnsi="Times New Roman"/>
          <w:sz w:val="22"/>
          <w:szCs w:val="22"/>
          <w:lang w:val="en-US"/>
        </w:rPr>
        <w:t>TRIATEC</w:t>
      </w:r>
      <w:r w:rsidR="00902518" w:rsidRPr="00460745">
        <w:rPr>
          <w:rFonts w:ascii="Times New Roman" w:hAnsi="Times New Roman"/>
          <w:sz w:val="22"/>
          <w:szCs w:val="22"/>
        </w:rPr>
        <w:t xml:space="preserve"> </w:t>
      </w:r>
      <w:r w:rsidRPr="00460745">
        <w:rPr>
          <w:rFonts w:ascii="Times New Roman" w:hAnsi="Times New Roman"/>
          <w:sz w:val="22"/>
          <w:szCs w:val="22"/>
        </w:rPr>
        <w:t>μία φορά ημερησίως.</w:t>
      </w:r>
    </w:p>
    <w:p w:rsidR="00DB0488" w:rsidRPr="00460745" w:rsidRDefault="00DB0488" w:rsidP="00DB0488">
      <w:pPr>
        <w:rPr>
          <w:rFonts w:ascii="Times New Roman" w:hAnsi="Times New Roman"/>
          <w:sz w:val="22"/>
          <w:szCs w:val="22"/>
          <w:u w:val="single"/>
        </w:rPr>
      </w:pPr>
    </w:p>
    <w:p w:rsidR="00DB0488" w:rsidRPr="00460745" w:rsidRDefault="00E05EA2" w:rsidP="00DB0488">
      <w:pPr>
        <w:rPr>
          <w:rFonts w:ascii="Times New Roman" w:hAnsi="Times New Roman"/>
          <w:sz w:val="22"/>
          <w:szCs w:val="22"/>
          <w:u w:val="single"/>
        </w:rPr>
      </w:pPr>
      <w:r w:rsidRPr="00460745">
        <w:rPr>
          <w:rFonts w:ascii="Times New Roman" w:hAnsi="Times New Roman"/>
          <w:sz w:val="22"/>
          <w:szCs w:val="22"/>
          <w:u w:val="single"/>
        </w:rPr>
        <w:t>Τιτλοποίηση και δ</w:t>
      </w:r>
      <w:r w:rsidR="00DB0488" w:rsidRPr="00460745">
        <w:rPr>
          <w:rFonts w:ascii="Times New Roman" w:hAnsi="Times New Roman"/>
          <w:sz w:val="22"/>
          <w:szCs w:val="22"/>
          <w:u w:val="single"/>
        </w:rPr>
        <w:t>όση συντήρησης</w:t>
      </w:r>
    </w:p>
    <w:p w:rsidR="00DB0488" w:rsidRPr="00460745" w:rsidRDefault="00DB0488" w:rsidP="00DB0488">
      <w:pPr>
        <w:rPr>
          <w:rFonts w:ascii="Times New Roman" w:hAnsi="Times New Roman"/>
          <w:sz w:val="22"/>
          <w:szCs w:val="22"/>
        </w:rPr>
      </w:pPr>
      <w:r w:rsidRPr="00460745">
        <w:rPr>
          <w:rFonts w:ascii="Times New Roman" w:hAnsi="Times New Roman"/>
          <w:sz w:val="22"/>
          <w:szCs w:val="22"/>
        </w:rPr>
        <w:t>Στη συνέχεια η δόση αυξάνεται με βάση την ανοχή του ασθενούς στ</w:t>
      </w:r>
      <w:r w:rsidR="00821060" w:rsidRPr="00460745">
        <w:rPr>
          <w:rFonts w:ascii="Times New Roman" w:hAnsi="Times New Roman"/>
          <w:sz w:val="22"/>
          <w:szCs w:val="22"/>
        </w:rPr>
        <w:t>η</w:t>
      </w:r>
      <w:r w:rsidRPr="00460745">
        <w:rPr>
          <w:rFonts w:ascii="Times New Roman" w:hAnsi="Times New Roman"/>
          <w:sz w:val="22"/>
          <w:szCs w:val="22"/>
        </w:rPr>
        <w:t xml:space="preserve"> </w:t>
      </w:r>
      <w:r w:rsidR="00821060" w:rsidRPr="00460745">
        <w:rPr>
          <w:rFonts w:ascii="Times New Roman" w:hAnsi="Times New Roman"/>
          <w:sz w:val="22"/>
          <w:szCs w:val="22"/>
        </w:rPr>
        <w:t>δραστική ουσία</w:t>
      </w:r>
      <w:r w:rsidRPr="00460745">
        <w:rPr>
          <w:rFonts w:ascii="Times New Roman" w:hAnsi="Times New Roman"/>
          <w:sz w:val="22"/>
          <w:szCs w:val="22"/>
        </w:rPr>
        <w:t>. Συνιστάται ο διπλασιασμός της ημερήσιας δόσης στα 2,5 </w:t>
      </w:r>
      <w:r w:rsidRPr="00460745">
        <w:rPr>
          <w:rFonts w:ascii="Times New Roman" w:hAnsi="Times New Roman"/>
          <w:sz w:val="22"/>
          <w:szCs w:val="22"/>
          <w:lang w:val="en-US"/>
        </w:rPr>
        <w:t>mg</w:t>
      </w:r>
      <w:r w:rsidRPr="00460745">
        <w:rPr>
          <w:rFonts w:ascii="Times New Roman" w:hAnsi="Times New Roman"/>
          <w:sz w:val="22"/>
          <w:szCs w:val="22"/>
        </w:rPr>
        <w:t xml:space="preserve"> </w:t>
      </w:r>
      <w:r w:rsidR="00FA1EE3" w:rsidRPr="00460745">
        <w:rPr>
          <w:rFonts w:ascii="Times New Roman" w:hAnsi="Times New Roman"/>
          <w:sz w:val="22"/>
          <w:szCs w:val="22"/>
          <w:lang w:val="en-US"/>
        </w:rPr>
        <w:t>TRIATEC</w:t>
      </w:r>
      <w:r w:rsidR="00902518" w:rsidRPr="00460745">
        <w:rPr>
          <w:rFonts w:ascii="Times New Roman" w:hAnsi="Times New Roman"/>
          <w:sz w:val="22"/>
          <w:szCs w:val="22"/>
        </w:rPr>
        <w:t xml:space="preserve"> </w:t>
      </w:r>
      <w:r w:rsidRPr="00460745">
        <w:rPr>
          <w:rFonts w:ascii="Times New Roman" w:hAnsi="Times New Roman"/>
          <w:sz w:val="22"/>
          <w:szCs w:val="22"/>
        </w:rPr>
        <w:t>μετά από δύο εβδομάδες και μετά στα 5 </w:t>
      </w:r>
      <w:r w:rsidRPr="00460745">
        <w:rPr>
          <w:rFonts w:ascii="Times New Roman" w:hAnsi="Times New Roman"/>
          <w:sz w:val="22"/>
          <w:szCs w:val="22"/>
          <w:lang w:val="en-US"/>
        </w:rPr>
        <w:t>mg</w:t>
      </w:r>
      <w:r w:rsidRPr="00460745">
        <w:rPr>
          <w:rFonts w:ascii="Times New Roman" w:hAnsi="Times New Roman"/>
          <w:sz w:val="22"/>
          <w:szCs w:val="22"/>
        </w:rPr>
        <w:t xml:space="preserve"> </w:t>
      </w:r>
      <w:r w:rsidR="00FA1EE3" w:rsidRPr="00460745">
        <w:rPr>
          <w:rFonts w:ascii="Times New Roman" w:hAnsi="Times New Roman"/>
          <w:sz w:val="22"/>
          <w:szCs w:val="22"/>
          <w:lang w:val="en-US"/>
        </w:rPr>
        <w:t>TRIATEC</w:t>
      </w:r>
      <w:r w:rsidR="00902518" w:rsidRPr="00460745">
        <w:rPr>
          <w:rFonts w:ascii="Times New Roman" w:hAnsi="Times New Roman"/>
          <w:sz w:val="22"/>
          <w:szCs w:val="22"/>
        </w:rPr>
        <w:t xml:space="preserve"> </w:t>
      </w:r>
      <w:r w:rsidRPr="00460745">
        <w:rPr>
          <w:rFonts w:ascii="Times New Roman" w:hAnsi="Times New Roman"/>
          <w:sz w:val="22"/>
          <w:szCs w:val="22"/>
        </w:rPr>
        <w:t xml:space="preserve">μετά από ακόμα δύο </w:t>
      </w:r>
      <w:r w:rsidR="00692373" w:rsidRPr="00460745">
        <w:rPr>
          <w:rFonts w:ascii="Times New Roman" w:hAnsi="Times New Roman"/>
          <w:sz w:val="22"/>
          <w:szCs w:val="22"/>
        </w:rPr>
        <w:t>εβδομάδες.</w:t>
      </w:r>
    </w:p>
    <w:p w:rsidR="004A66BB" w:rsidRPr="00460745" w:rsidRDefault="004A66BB" w:rsidP="00DB0488">
      <w:pPr>
        <w:rPr>
          <w:rFonts w:ascii="Times New Roman" w:hAnsi="Times New Roman"/>
          <w:sz w:val="22"/>
          <w:szCs w:val="22"/>
        </w:rPr>
      </w:pPr>
    </w:p>
    <w:p w:rsidR="004A66BB" w:rsidRPr="00460745" w:rsidRDefault="004C250F" w:rsidP="00DB0488">
      <w:pPr>
        <w:rPr>
          <w:rFonts w:ascii="Times New Roman" w:hAnsi="Times New Roman"/>
          <w:i/>
          <w:sz w:val="22"/>
          <w:szCs w:val="22"/>
        </w:rPr>
      </w:pPr>
      <w:r w:rsidRPr="00460745">
        <w:rPr>
          <w:rFonts w:ascii="Times New Roman" w:hAnsi="Times New Roman"/>
          <w:i/>
          <w:sz w:val="22"/>
          <w:szCs w:val="22"/>
        </w:rPr>
        <w:t xml:space="preserve">Συμπτωματική </w:t>
      </w:r>
      <w:r w:rsidR="004A66BB" w:rsidRPr="00460745">
        <w:rPr>
          <w:rFonts w:ascii="Times New Roman" w:hAnsi="Times New Roman"/>
          <w:i/>
          <w:sz w:val="22"/>
          <w:szCs w:val="22"/>
        </w:rPr>
        <w:t>καρδιακή ανεπάρκεια</w:t>
      </w:r>
    </w:p>
    <w:p w:rsidR="004A66BB" w:rsidRPr="00460745" w:rsidRDefault="004A66BB" w:rsidP="00DB0488">
      <w:pPr>
        <w:rPr>
          <w:rFonts w:ascii="Times New Roman" w:hAnsi="Times New Roman"/>
          <w:i/>
          <w:sz w:val="22"/>
          <w:szCs w:val="22"/>
        </w:rPr>
      </w:pPr>
    </w:p>
    <w:p w:rsidR="004A66BB" w:rsidRPr="00460745" w:rsidRDefault="004A66BB" w:rsidP="004A66BB">
      <w:pPr>
        <w:rPr>
          <w:rFonts w:ascii="Times New Roman" w:hAnsi="Times New Roman"/>
          <w:sz w:val="22"/>
          <w:szCs w:val="22"/>
          <w:u w:val="single"/>
        </w:rPr>
      </w:pPr>
      <w:r w:rsidRPr="00460745">
        <w:rPr>
          <w:rFonts w:ascii="Times New Roman" w:hAnsi="Times New Roman"/>
          <w:sz w:val="22"/>
          <w:szCs w:val="22"/>
          <w:u w:val="single"/>
        </w:rPr>
        <w:t>Δόση έναρξης</w:t>
      </w:r>
    </w:p>
    <w:p w:rsidR="004A66BB" w:rsidRPr="00460745" w:rsidRDefault="004C250F" w:rsidP="004A66BB">
      <w:pPr>
        <w:rPr>
          <w:rFonts w:ascii="Times New Roman" w:hAnsi="Times New Roman"/>
          <w:sz w:val="22"/>
          <w:szCs w:val="22"/>
        </w:rPr>
      </w:pPr>
      <w:r w:rsidRPr="00460745">
        <w:rPr>
          <w:rFonts w:ascii="Times New Roman" w:hAnsi="Times New Roman"/>
          <w:sz w:val="22"/>
          <w:szCs w:val="22"/>
        </w:rPr>
        <w:t>Σ</w:t>
      </w:r>
      <w:r w:rsidR="0057479A" w:rsidRPr="00460745">
        <w:rPr>
          <w:rFonts w:ascii="Times New Roman" w:hAnsi="Times New Roman"/>
          <w:sz w:val="22"/>
          <w:szCs w:val="22"/>
        </w:rPr>
        <w:t>τους</w:t>
      </w:r>
      <w:r w:rsidRPr="00460745">
        <w:rPr>
          <w:rFonts w:ascii="Times New Roman" w:hAnsi="Times New Roman"/>
          <w:sz w:val="22"/>
          <w:szCs w:val="22"/>
        </w:rPr>
        <w:t xml:space="preserve"> σταθεροποιημένους ασθενείς </w:t>
      </w:r>
      <w:r w:rsidR="005B3ED6" w:rsidRPr="00460745">
        <w:rPr>
          <w:rFonts w:ascii="Times New Roman" w:hAnsi="Times New Roman"/>
          <w:sz w:val="22"/>
          <w:szCs w:val="22"/>
        </w:rPr>
        <w:t>υπό</w:t>
      </w:r>
      <w:r w:rsidRPr="00460745">
        <w:rPr>
          <w:rFonts w:ascii="Times New Roman" w:hAnsi="Times New Roman"/>
          <w:sz w:val="22"/>
          <w:szCs w:val="22"/>
        </w:rPr>
        <w:t xml:space="preserve"> θεραπεία με διουρητικά, η</w:t>
      </w:r>
      <w:r w:rsidR="004A66BB" w:rsidRPr="00460745">
        <w:rPr>
          <w:rFonts w:ascii="Times New Roman" w:hAnsi="Times New Roman"/>
          <w:sz w:val="22"/>
          <w:szCs w:val="22"/>
        </w:rPr>
        <w:t xml:space="preserve"> συνιστώμενη αρχική δόση είναι 1,25 </w:t>
      </w:r>
      <w:r w:rsidR="004A66BB" w:rsidRPr="00460745">
        <w:rPr>
          <w:rFonts w:ascii="Times New Roman" w:hAnsi="Times New Roman"/>
          <w:sz w:val="22"/>
          <w:szCs w:val="22"/>
          <w:lang w:val="en-US"/>
        </w:rPr>
        <w:t>mg</w:t>
      </w:r>
      <w:r w:rsidR="004A66BB" w:rsidRPr="00460745">
        <w:rPr>
          <w:rFonts w:ascii="Times New Roman" w:hAnsi="Times New Roman"/>
          <w:sz w:val="22"/>
          <w:szCs w:val="22"/>
        </w:rPr>
        <w:t xml:space="preserve"> ημερησίως.</w:t>
      </w:r>
    </w:p>
    <w:p w:rsidR="004A66BB" w:rsidRPr="00460745" w:rsidRDefault="004A66BB" w:rsidP="00DB0488">
      <w:pPr>
        <w:rPr>
          <w:rFonts w:ascii="Times New Roman" w:hAnsi="Times New Roman"/>
          <w:i/>
          <w:sz w:val="22"/>
          <w:szCs w:val="22"/>
        </w:rPr>
      </w:pPr>
    </w:p>
    <w:p w:rsidR="004A66BB" w:rsidRPr="00460745" w:rsidRDefault="004A66BB" w:rsidP="004A66BB">
      <w:pPr>
        <w:rPr>
          <w:rFonts w:ascii="Times New Roman" w:hAnsi="Times New Roman"/>
          <w:sz w:val="22"/>
          <w:szCs w:val="22"/>
          <w:u w:val="single"/>
        </w:rPr>
      </w:pPr>
      <w:r w:rsidRPr="00460745">
        <w:rPr>
          <w:rFonts w:ascii="Times New Roman" w:hAnsi="Times New Roman"/>
          <w:sz w:val="22"/>
          <w:szCs w:val="22"/>
          <w:u w:val="single"/>
        </w:rPr>
        <w:t>Τιτλο</w:t>
      </w:r>
      <w:r w:rsidR="000175AB" w:rsidRPr="00460745">
        <w:rPr>
          <w:rFonts w:ascii="Times New Roman" w:hAnsi="Times New Roman"/>
          <w:sz w:val="22"/>
          <w:szCs w:val="22"/>
          <w:u w:val="single"/>
        </w:rPr>
        <w:t>ποί</w:t>
      </w:r>
      <w:r w:rsidRPr="00460745">
        <w:rPr>
          <w:rFonts w:ascii="Times New Roman" w:hAnsi="Times New Roman"/>
          <w:sz w:val="22"/>
          <w:szCs w:val="22"/>
          <w:u w:val="single"/>
        </w:rPr>
        <w:t>ηση και δόση συντήρησης</w:t>
      </w:r>
    </w:p>
    <w:p w:rsidR="004A4F8B" w:rsidRPr="00460745" w:rsidRDefault="004A66BB" w:rsidP="000F6AD9">
      <w:pPr>
        <w:rPr>
          <w:rFonts w:ascii="Times New Roman" w:hAnsi="Times New Roman"/>
          <w:sz w:val="22"/>
          <w:szCs w:val="22"/>
        </w:rPr>
      </w:pPr>
      <w:r w:rsidRPr="00460745">
        <w:rPr>
          <w:rFonts w:ascii="Times New Roman" w:hAnsi="Times New Roman"/>
          <w:sz w:val="22"/>
          <w:szCs w:val="22"/>
        </w:rPr>
        <w:t xml:space="preserve">Το </w:t>
      </w:r>
      <w:r w:rsidR="00FA1EE3" w:rsidRPr="00460745">
        <w:rPr>
          <w:rFonts w:ascii="Times New Roman" w:hAnsi="Times New Roman"/>
          <w:sz w:val="22"/>
          <w:szCs w:val="22"/>
          <w:lang w:val="en-US"/>
        </w:rPr>
        <w:t>TRIATEC</w:t>
      </w:r>
      <w:r w:rsidR="00902518" w:rsidRPr="00460745">
        <w:rPr>
          <w:rFonts w:ascii="Times New Roman" w:hAnsi="Times New Roman"/>
          <w:sz w:val="22"/>
          <w:szCs w:val="22"/>
        </w:rPr>
        <w:t xml:space="preserve"> </w:t>
      </w:r>
      <w:r w:rsidRPr="00460745">
        <w:rPr>
          <w:rFonts w:ascii="Times New Roman" w:hAnsi="Times New Roman"/>
          <w:sz w:val="22"/>
          <w:szCs w:val="22"/>
        </w:rPr>
        <w:t>πρέπει να τιτλο</w:t>
      </w:r>
      <w:r w:rsidR="000175AB" w:rsidRPr="00460745">
        <w:rPr>
          <w:rFonts w:ascii="Times New Roman" w:hAnsi="Times New Roman"/>
          <w:sz w:val="22"/>
          <w:szCs w:val="22"/>
        </w:rPr>
        <w:t>ποι</w:t>
      </w:r>
      <w:r w:rsidRPr="00460745">
        <w:rPr>
          <w:rFonts w:ascii="Times New Roman" w:hAnsi="Times New Roman"/>
          <w:sz w:val="22"/>
          <w:szCs w:val="22"/>
        </w:rPr>
        <w:t xml:space="preserve">είται με το διπλασιασμό της δόσης κάθε μία έως δύο </w:t>
      </w:r>
      <w:r w:rsidR="004A4F8B" w:rsidRPr="00460745">
        <w:rPr>
          <w:rFonts w:ascii="Times New Roman" w:hAnsi="Times New Roman"/>
          <w:sz w:val="22"/>
          <w:szCs w:val="22"/>
        </w:rPr>
        <w:t xml:space="preserve">εβδομάδες </w:t>
      </w:r>
      <w:r w:rsidR="00445236" w:rsidRPr="00460745">
        <w:rPr>
          <w:rFonts w:ascii="Times New Roman" w:hAnsi="Times New Roman"/>
          <w:sz w:val="22"/>
          <w:szCs w:val="22"/>
        </w:rPr>
        <w:t xml:space="preserve">με μέγιστη ημερήσια δόση τα </w:t>
      </w:r>
      <w:r w:rsidR="004A4F8B" w:rsidRPr="00460745">
        <w:rPr>
          <w:rFonts w:ascii="Times New Roman" w:hAnsi="Times New Roman"/>
          <w:sz w:val="22"/>
          <w:szCs w:val="22"/>
        </w:rPr>
        <w:t>10 </w:t>
      </w:r>
      <w:r w:rsidR="004A4F8B" w:rsidRPr="00460745">
        <w:rPr>
          <w:rFonts w:ascii="Times New Roman" w:hAnsi="Times New Roman"/>
          <w:sz w:val="22"/>
          <w:szCs w:val="22"/>
          <w:lang w:val="en-US"/>
        </w:rPr>
        <w:t>mg</w:t>
      </w:r>
      <w:r w:rsidR="004A4F8B" w:rsidRPr="00460745">
        <w:rPr>
          <w:rFonts w:ascii="Times New Roman" w:hAnsi="Times New Roman"/>
          <w:sz w:val="22"/>
          <w:szCs w:val="22"/>
        </w:rPr>
        <w:t>.</w:t>
      </w:r>
      <w:r w:rsidR="000175AB" w:rsidRPr="00460745">
        <w:rPr>
          <w:rFonts w:ascii="Times New Roman" w:hAnsi="Times New Roman"/>
          <w:sz w:val="22"/>
          <w:szCs w:val="22"/>
        </w:rPr>
        <w:t xml:space="preserve"> Προτιμάται το δοσολογικό σχήμα με λήψη του φαρμάκου 2 φορές την ημέρα. </w:t>
      </w:r>
    </w:p>
    <w:p w:rsidR="00462843" w:rsidRPr="00460745" w:rsidRDefault="00462843" w:rsidP="000F6AD9">
      <w:pPr>
        <w:rPr>
          <w:rFonts w:ascii="Times New Roman" w:hAnsi="Times New Roman"/>
          <w:i/>
          <w:sz w:val="22"/>
          <w:szCs w:val="22"/>
        </w:rPr>
      </w:pPr>
    </w:p>
    <w:p w:rsidR="004A4F8B" w:rsidRPr="00460745" w:rsidRDefault="004A4F8B" w:rsidP="000F6AD9">
      <w:pPr>
        <w:rPr>
          <w:rFonts w:ascii="Times New Roman" w:hAnsi="Times New Roman"/>
          <w:i/>
          <w:sz w:val="22"/>
          <w:szCs w:val="22"/>
        </w:rPr>
      </w:pPr>
      <w:r w:rsidRPr="00460745">
        <w:rPr>
          <w:rFonts w:ascii="Times New Roman" w:hAnsi="Times New Roman"/>
          <w:i/>
          <w:sz w:val="22"/>
          <w:szCs w:val="22"/>
        </w:rPr>
        <w:t>Δευτερ</w:t>
      </w:r>
      <w:r w:rsidR="005B3ED6" w:rsidRPr="00460745">
        <w:rPr>
          <w:rFonts w:ascii="Times New Roman" w:hAnsi="Times New Roman"/>
          <w:i/>
          <w:sz w:val="22"/>
          <w:szCs w:val="22"/>
        </w:rPr>
        <w:t>ογενής</w:t>
      </w:r>
      <w:r w:rsidRPr="00460745">
        <w:rPr>
          <w:rFonts w:ascii="Times New Roman" w:hAnsi="Times New Roman"/>
          <w:i/>
          <w:sz w:val="22"/>
          <w:szCs w:val="22"/>
        </w:rPr>
        <w:t xml:space="preserve"> πρόληψη μετά από οξύ έμφραγμα του μυοκαρδίου</w:t>
      </w:r>
      <w:r w:rsidR="00445236" w:rsidRPr="00460745">
        <w:rPr>
          <w:rFonts w:ascii="Times New Roman" w:hAnsi="Times New Roman"/>
          <w:i/>
          <w:sz w:val="22"/>
          <w:szCs w:val="22"/>
        </w:rPr>
        <w:t xml:space="preserve"> και με καρδιακή ανεπάρκεια</w:t>
      </w:r>
    </w:p>
    <w:p w:rsidR="004A4F8B" w:rsidRPr="00460745" w:rsidRDefault="004A4F8B" w:rsidP="000F6AD9">
      <w:pPr>
        <w:rPr>
          <w:rFonts w:ascii="Times New Roman" w:hAnsi="Times New Roman"/>
          <w:i/>
          <w:sz w:val="22"/>
          <w:szCs w:val="22"/>
        </w:rPr>
      </w:pPr>
    </w:p>
    <w:p w:rsidR="004A4F8B" w:rsidRPr="00460745" w:rsidRDefault="004A4F8B" w:rsidP="004A4F8B">
      <w:pPr>
        <w:rPr>
          <w:rFonts w:ascii="Times New Roman" w:hAnsi="Times New Roman"/>
          <w:sz w:val="22"/>
          <w:szCs w:val="22"/>
          <w:u w:val="single"/>
        </w:rPr>
      </w:pPr>
      <w:r w:rsidRPr="00460745">
        <w:rPr>
          <w:rFonts w:ascii="Times New Roman" w:hAnsi="Times New Roman"/>
          <w:sz w:val="22"/>
          <w:szCs w:val="22"/>
          <w:u w:val="single"/>
        </w:rPr>
        <w:t>Δόση έναρξης</w:t>
      </w:r>
    </w:p>
    <w:p w:rsidR="005118EA" w:rsidRPr="00460745" w:rsidRDefault="005B3ED6" w:rsidP="00F056C8">
      <w:pPr>
        <w:rPr>
          <w:rFonts w:ascii="Times New Roman" w:hAnsi="Times New Roman"/>
          <w:sz w:val="22"/>
          <w:szCs w:val="22"/>
        </w:rPr>
      </w:pPr>
      <w:r w:rsidRPr="00460745">
        <w:rPr>
          <w:rFonts w:ascii="Times New Roman" w:hAnsi="Times New Roman"/>
          <w:sz w:val="22"/>
          <w:szCs w:val="22"/>
        </w:rPr>
        <w:t xml:space="preserve">Με την πάροδο </w:t>
      </w:r>
      <w:r w:rsidR="007A09C5" w:rsidRPr="00460745">
        <w:rPr>
          <w:rFonts w:ascii="Times New Roman" w:hAnsi="Times New Roman"/>
          <w:sz w:val="22"/>
          <w:szCs w:val="22"/>
        </w:rPr>
        <w:t xml:space="preserve">48 </w:t>
      </w:r>
      <w:r w:rsidR="001A2196" w:rsidRPr="00460745">
        <w:rPr>
          <w:rFonts w:ascii="Times New Roman" w:hAnsi="Times New Roman"/>
          <w:sz w:val="22"/>
          <w:szCs w:val="22"/>
        </w:rPr>
        <w:t>ωρών</w:t>
      </w:r>
      <w:r w:rsidR="004A4F8B" w:rsidRPr="00460745">
        <w:rPr>
          <w:rFonts w:ascii="Times New Roman" w:hAnsi="Times New Roman"/>
          <w:sz w:val="22"/>
          <w:szCs w:val="22"/>
        </w:rPr>
        <w:t xml:space="preserve"> από έμφραγμα του μυοκαρδίου</w:t>
      </w:r>
      <w:r w:rsidRPr="00460745">
        <w:rPr>
          <w:rFonts w:ascii="Times New Roman" w:hAnsi="Times New Roman"/>
          <w:sz w:val="22"/>
          <w:szCs w:val="22"/>
        </w:rPr>
        <w:t>,</w:t>
      </w:r>
      <w:r w:rsidR="004A4F8B" w:rsidRPr="00460745">
        <w:rPr>
          <w:rFonts w:ascii="Times New Roman" w:hAnsi="Times New Roman"/>
          <w:sz w:val="22"/>
          <w:szCs w:val="22"/>
        </w:rPr>
        <w:t xml:space="preserve"> </w:t>
      </w:r>
      <w:r w:rsidR="005118EA" w:rsidRPr="00460745">
        <w:rPr>
          <w:rFonts w:ascii="Times New Roman" w:hAnsi="Times New Roman"/>
          <w:sz w:val="22"/>
          <w:szCs w:val="22"/>
        </w:rPr>
        <w:t>σε έναν κλινικά και</w:t>
      </w:r>
    </w:p>
    <w:p w:rsidR="004A4F8B" w:rsidRPr="00460745" w:rsidRDefault="005118EA" w:rsidP="005118EA">
      <w:pPr>
        <w:ind w:left="66"/>
        <w:rPr>
          <w:rFonts w:ascii="Times New Roman" w:hAnsi="Times New Roman"/>
          <w:sz w:val="22"/>
          <w:szCs w:val="22"/>
        </w:rPr>
      </w:pPr>
      <w:r w:rsidRPr="00460745">
        <w:rPr>
          <w:rFonts w:ascii="Times New Roman" w:hAnsi="Times New Roman"/>
          <w:sz w:val="22"/>
          <w:szCs w:val="22"/>
        </w:rPr>
        <w:t>αιμοδυναμικά σταθεροποιημένο ασθενή, η αρχική δόση είναι 2,5 </w:t>
      </w:r>
      <w:r w:rsidRPr="00460745">
        <w:rPr>
          <w:rFonts w:ascii="Times New Roman" w:hAnsi="Times New Roman"/>
          <w:sz w:val="22"/>
          <w:szCs w:val="22"/>
          <w:lang w:val="en-US"/>
        </w:rPr>
        <w:t>mg</w:t>
      </w:r>
      <w:r w:rsidRPr="00460745">
        <w:rPr>
          <w:rFonts w:ascii="Times New Roman" w:hAnsi="Times New Roman"/>
          <w:sz w:val="22"/>
          <w:szCs w:val="22"/>
        </w:rPr>
        <w:t xml:space="preserve"> δύο φορές ημερησίως για τρεις ημέρες.</w:t>
      </w:r>
      <w:r w:rsidR="007A09C5" w:rsidRPr="00460745">
        <w:rPr>
          <w:rFonts w:ascii="Times New Roman" w:hAnsi="Times New Roman"/>
          <w:sz w:val="22"/>
          <w:szCs w:val="22"/>
        </w:rPr>
        <w:t xml:space="preserve"> Εάν η αρχική δόση των 2,5 </w:t>
      </w:r>
      <w:r w:rsidR="007A09C5" w:rsidRPr="00460745">
        <w:rPr>
          <w:rFonts w:ascii="Times New Roman" w:hAnsi="Times New Roman"/>
          <w:sz w:val="22"/>
          <w:szCs w:val="22"/>
          <w:lang w:val="en-US"/>
        </w:rPr>
        <w:t>mg</w:t>
      </w:r>
      <w:r w:rsidR="007A09C5" w:rsidRPr="00460745">
        <w:rPr>
          <w:rFonts w:ascii="Times New Roman" w:hAnsi="Times New Roman"/>
          <w:sz w:val="22"/>
          <w:szCs w:val="22"/>
        </w:rPr>
        <w:t xml:space="preserve"> δεν είναι ανεκτή, μια δόση 1,25 </w:t>
      </w:r>
      <w:r w:rsidR="007A09C5" w:rsidRPr="00460745">
        <w:rPr>
          <w:rFonts w:ascii="Times New Roman" w:hAnsi="Times New Roman"/>
          <w:sz w:val="22"/>
          <w:szCs w:val="22"/>
          <w:lang w:val="en-US"/>
        </w:rPr>
        <w:t>mg</w:t>
      </w:r>
      <w:r w:rsidR="007A09C5" w:rsidRPr="00460745">
        <w:rPr>
          <w:rFonts w:ascii="Times New Roman" w:hAnsi="Times New Roman"/>
          <w:sz w:val="22"/>
          <w:szCs w:val="22"/>
        </w:rPr>
        <w:t xml:space="preserve"> δύο φορές την ημέρα πρέπει να χορηγείται για δύο ημέρες πριν αυξηθεί στα 2,5 </w:t>
      </w:r>
      <w:r w:rsidR="007A09C5" w:rsidRPr="00460745">
        <w:rPr>
          <w:rFonts w:ascii="Times New Roman" w:hAnsi="Times New Roman"/>
          <w:sz w:val="22"/>
          <w:szCs w:val="22"/>
          <w:lang w:val="en-US"/>
        </w:rPr>
        <w:t>mg</w:t>
      </w:r>
      <w:r w:rsidR="007A09C5" w:rsidRPr="00460745">
        <w:rPr>
          <w:rFonts w:ascii="Times New Roman" w:hAnsi="Times New Roman"/>
          <w:sz w:val="22"/>
          <w:szCs w:val="22"/>
        </w:rPr>
        <w:t xml:space="preserve"> και στα 5 </w:t>
      </w:r>
      <w:r w:rsidR="007A09C5" w:rsidRPr="00460745">
        <w:rPr>
          <w:rFonts w:ascii="Times New Roman" w:hAnsi="Times New Roman"/>
          <w:sz w:val="22"/>
          <w:szCs w:val="22"/>
          <w:lang w:val="en-US"/>
        </w:rPr>
        <w:t>mg</w:t>
      </w:r>
      <w:r w:rsidR="007A09C5" w:rsidRPr="00460745">
        <w:rPr>
          <w:rFonts w:ascii="Times New Roman" w:hAnsi="Times New Roman"/>
          <w:sz w:val="22"/>
          <w:szCs w:val="22"/>
        </w:rPr>
        <w:t xml:space="preserve"> δύο φορές την ημέρα. Εάν η δόση δεν μπορεί να αυξηθεί στα 2,5 </w:t>
      </w:r>
      <w:r w:rsidR="007A09C5" w:rsidRPr="00460745">
        <w:rPr>
          <w:rFonts w:ascii="Times New Roman" w:hAnsi="Times New Roman"/>
          <w:sz w:val="22"/>
          <w:szCs w:val="22"/>
          <w:lang w:val="en-US"/>
        </w:rPr>
        <w:t>mg</w:t>
      </w:r>
      <w:r w:rsidR="007A09C5" w:rsidRPr="00460745">
        <w:rPr>
          <w:rFonts w:ascii="Times New Roman" w:hAnsi="Times New Roman"/>
          <w:sz w:val="22"/>
          <w:szCs w:val="22"/>
        </w:rPr>
        <w:t xml:space="preserve"> δύο φορές την ημέρα, η αγωγή πρέπει να διακοπεί.</w:t>
      </w:r>
    </w:p>
    <w:p w:rsidR="007A09C5" w:rsidRPr="00460745" w:rsidRDefault="007A09C5" w:rsidP="005118EA">
      <w:pPr>
        <w:ind w:left="66"/>
        <w:rPr>
          <w:rFonts w:ascii="Times New Roman" w:hAnsi="Times New Roman"/>
          <w:sz w:val="22"/>
          <w:szCs w:val="22"/>
        </w:rPr>
      </w:pPr>
    </w:p>
    <w:p w:rsidR="005118EA" w:rsidRPr="003D7212" w:rsidRDefault="007A09C5" w:rsidP="003D7212">
      <w:pPr>
        <w:rPr>
          <w:rFonts w:ascii="Times New Roman" w:hAnsi="Times New Roman"/>
          <w:sz w:val="22"/>
          <w:szCs w:val="22"/>
          <w:u w:val="single"/>
        </w:rPr>
      </w:pPr>
      <w:r w:rsidRPr="00460745">
        <w:rPr>
          <w:rFonts w:ascii="Times New Roman" w:hAnsi="Times New Roman"/>
          <w:sz w:val="22"/>
          <w:szCs w:val="22"/>
        </w:rPr>
        <w:t>Βλέπε επίσης δοσολογία για ασθενείς που είναι σε θεραπεία με διουρητικά παραπάνω.</w:t>
      </w:r>
    </w:p>
    <w:p w:rsidR="00021C94" w:rsidRPr="00460745" w:rsidRDefault="00021C94" w:rsidP="00021C94">
      <w:pPr>
        <w:rPr>
          <w:rFonts w:ascii="Times New Roman" w:hAnsi="Times New Roman"/>
          <w:sz w:val="22"/>
          <w:szCs w:val="22"/>
          <w:u w:val="single"/>
        </w:rPr>
      </w:pPr>
      <w:r w:rsidRPr="00460745">
        <w:rPr>
          <w:rFonts w:ascii="Times New Roman" w:hAnsi="Times New Roman"/>
          <w:sz w:val="22"/>
          <w:szCs w:val="22"/>
          <w:u w:val="single"/>
        </w:rPr>
        <w:t>Τιτλο</w:t>
      </w:r>
      <w:r w:rsidR="000175AB" w:rsidRPr="00460745">
        <w:rPr>
          <w:rFonts w:ascii="Times New Roman" w:hAnsi="Times New Roman"/>
          <w:sz w:val="22"/>
          <w:szCs w:val="22"/>
          <w:u w:val="single"/>
        </w:rPr>
        <w:t>ποί</w:t>
      </w:r>
      <w:r w:rsidRPr="00460745">
        <w:rPr>
          <w:rFonts w:ascii="Times New Roman" w:hAnsi="Times New Roman"/>
          <w:sz w:val="22"/>
          <w:szCs w:val="22"/>
          <w:u w:val="single"/>
        </w:rPr>
        <w:t>ηση και δόση συντήρησης</w:t>
      </w:r>
    </w:p>
    <w:p w:rsidR="005118EA" w:rsidRPr="00460745" w:rsidRDefault="00D93CBD" w:rsidP="005118EA">
      <w:pPr>
        <w:ind w:left="66"/>
        <w:rPr>
          <w:rFonts w:ascii="Times New Roman" w:hAnsi="Times New Roman"/>
          <w:sz w:val="22"/>
          <w:szCs w:val="22"/>
        </w:rPr>
      </w:pPr>
      <w:r w:rsidRPr="00460745">
        <w:rPr>
          <w:rFonts w:ascii="Times New Roman" w:hAnsi="Times New Roman"/>
          <w:sz w:val="22"/>
          <w:szCs w:val="22"/>
        </w:rPr>
        <w:t>Η ημερήσια δόση αυξάνεται στη συνέχεια με το διπλασιασμό της δόσης σε δι</w:t>
      </w:r>
      <w:r w:rsidR="000175AB" w:rsidRPr="00460745">
        <w:rPr>
          <w:rFonts w:ascii="Times New Roman" w:hAnsi="Times New Roman"/>
          <w:sz w:val="22"/>
          <w:szCs w:val="22"/>
        </w:rPr>
        <w:t>άστημα</w:t>
      </w:r>
      <w:r w:rsidRPr="00460745">
        <w:rPr>
          <w:rFonts w:ascii="Times New Roman" w:hAnsi="Times New Roman"/>
          <w:sz w:val="22"/>
          <w:szCs w:val="22"/>
        </w:rPr>
        <w:t xml:space="preserve"> μίας έως τριών ημερών μ</w:t>
      </w:r>
      <w:r w:rsidR="00220FE7" w:rsidRPr="00460745">
        <w:rPr>
          <w:rFonts w:ascii="Times New Roman" w:hAnsi="Times New Roman"/>
          <w:sz w:val="22"/>
          <w:szCs w:val="22"/>
        </w:rPr>
        <w:t>έχρι την επιδιωκόμενη δόση συντήρησης των 5 </w:t>
      </w:r>
      <w:r w:rsidR="00220FE7" w:rsidRPr="00460745">
        <w:rPr>
          <w:rFonts w:ascii="Times New Roman" w:hAnsi="Times New Roman"/>
          <w:sz w:val="22"/>
          <w:szCs w:val="22"/>
          <w:lang w:val="en-US"/>
        </w:rPr>
        <w:t>mg</w:t>
      </w:r>
      <w:r w:rsidR="00220FE7" w:rsidRPr="00460745">
        <w:rPr>
          <w:rFonts w:ascii="Times New Roman" w:hAnsi="Times New Roman"/>
          <w:sz w:val="22"/>
          <w:szCs w:val="22"/>
        </w:rPr>
        <w:t xml:space="preserve"> δύο φορές ημερησίως.</w:t>
      </w:r>
    </w:p>
    <w:p w:rsidR="009C2C89" w:rsidRPr="00460745" w:rsidRDefault="009C2C89" w:rsidP="005118EA">
      <w:pPr>
        <w:ind w:left="66"/>
        <w:rPr>
          <w:rFonts w:ascii="Times New Roman" w:hAnsi="Times New Roman"/>
          <w:sz w:val="22"/>
          <w:szCs w:val="22"/>
        </w:rPr>
      </w:pPr>
    </w:p>
    <w:p w:rsidR="00220FE7" w:rsidRPr="00460745" w:rsidRDefault="00220FE7" w:rsidP="005118EA">
      <w:pPr>
        <w:ind w:left="66"/>
        <w:rPr>
          <w:rFonts w:ascii="Times New Roman" w:hAnsi="Times New Roman"/>
          <w:sz w:val="22"/>
          <w:szCs w:val="22"/>
        </w:rPr>
      </w:pPr>
      <w:r w:rsidRPr="00460745">
        <w:rPr>
          <w:rFonts w:ascii="Times New Roman" w:hAnsi="Times New Roman"/>
          <w:sz w:val="22"/>
          <w:szCs w:val="22"/>
        </w:rPr>
        <w:t xml:space="preserve">Η δόση συντήρησης </w:t>
      </w:r>
      <w:r w:rsidR="005B3ED6" w:rsidRPr="00460745">
        <w:rPr>
          <w:rFonts w:ascii="Times New Roman" w:hAnsi="Times New Roman"/>
          <w:sz w:val="22"/>
          <w:szCs w:val="22"/>
        </w:rPr>
        <w:t>κατανέμε</w:t>
      </w:r>
      <w:r w:rsidR="0048021A" w:rsidRPr="00460745">
        <w:rPr>
          <w:rFonts w:ascii="Times New Roman" w:hAnsi="Times New Roman"/>
          <w:sz w:val="22"/>
          <w:szCs w:val="22"/>
        </w:rPr>
        <w:t>ται</w:t>
      </w:r>
      <w:r w:rsidR="009C2C89" w:rsidRPr="00460745">
        <w:rPr>
          <w:rFonts w:ascii="Times New Roman" w:hAnsi="Times New Roman"/>
          <w:sz w:val="22"/>
          <w:szCs w:val="22"/>
        </w:rPr>
        <w:t xml:space="preserve"> σε 2 χορηγήσεις</w:t>
      </w:r>
      <w:r w:rsidRPr="00460745">
        <w:rPr>
          <w:rFonts w:ascii="Times New Roman" w:hAnsi="Times New Roman"/>
          <w:sz w:val="22"/>
          <w:szCs w:val="22"/>
        </w:rPr>
        <w:t xml:space="preserve"> την ημέρα</w:t>
      </w:r>
      <w:r w:rsidR="009C2C89" w:rsidRPr="00460745">
        <w:rPr>
          <w:rFonts w:ascii="Times New Roman" w:hAnsi="Times New Roman"/>
          <w:sz w:val="22"/>
          <w:szCs w:val="22"/>
        </w:rPr>
        <w:t xml:space="preserve"> όταν είναι δυνατό</w:t>
      </w:r>
      <w:r w:rsidRPr="00460745">
        <w:rPr>
          <w:rFonts w:ascii="Times New Roman" w:hAnsi="Times New Roman"/>
          <w:sz w:val="22"/>
          <w:szCs w:val="22"/>
        </w:rPr>
        <w:t>.</w:t>
      </w:r>
    </w:p>
    <w:p w:rsidR="009C2C89" w:rsidRPr="00460745" w:rsidRDefault="009C2C89" w:rsidP="005118EA">
      <w:pPr>
        <w:ind w:left="66"/>
        <w:rPr>
          <w:rFonts w:ascii="Times New Roman" w:hAnsi="Times New Roman"/>
          <w:sz w:val="22"/>
          <w:szCs w:val="22"/>
        </w:rPr>
      </w:pPr>
      <w:r w:rsidRPr="00460745">
        <w:rPr>
          <w:rFonts w:ascii="Times New Roman" w:hAnsi="Times New Roman"/>
          <w:sz w:val="22"/>
          <w:szCs w:val="22"/>
        </w:rPr>
        <w:t xml:space="preserve">Εάν η δόση δεν μπορεί </w:t>
      </w:r>
      <w:r w:rsidR="005B3ED6" w:rsidRPr="00460745">
        <w:rPr>
          <w:rFonts w:ascii="Times New Roman" w:hAnsi="Times New Roman"/>
          <w:sz w:val="22"/>
          <w:szCs w:val="22"/>
        </w:rPr>
        <w:t xml:space="preserve">να αυξηθεί </w:t>
      </w:r>
      <w:r w:rsidRPr="00460745">
        <w:rPr>
          <w:rFonts w:ascii="Times New Roman" w:hAnsi="Times New Roman"/>
          <w:sz w:val="22"/>
          <w:szCs w:val="22"/>
        </w:rPr>
        <w:t>στα 2,5 </w:t>
      </w:r>
      <w:r w:rsidRPr="00460745">
        <w:rPr>
          <w:rFonts w:ascii="Times New Roman" w:hAnsi="Times New Roman"/>
          <w:sz w:val="22"/>
          <w:szCs w:val="22"/>
          <w:lang w:val="en-US"/>
        </w:rPr>
        <w:t>mg</w:t>
      </w:r>
      <w:r w:rsidRPr="00460745">
        <w:rPr>
          <w:rFonts w:ascii="Times New Roman" w:hAnsi="Times New Roman"/>
          <w:sz w:val="22"/>
          <w:szCs w:val="22"/>
        </w:rPr>
        <w:t xml:space="preserve"> δύο φορές την ημέρα, η αγωγή πρέπει να διακοπεί. Επαρκής εμπειρία</w:t>
      </w:r>
      <w:r w:rsidR="005B3ED6" w:rsidRPr="00460745">
        <w:rPr>
          <w:rFonts w:ascii="Times New Roman" w:hAnsi="Times New Roman"/>
          <w:sz w:val="22"/>
          <w:szCs w:val="22"/>
        </w:rPr>
        <w:t>,</w:t>
      </w:r>
      <w:r w:rsidRPr="00460745">
        <w:rPr>
          <w:rFonts w:ascii="Times New Roman" w:hAnsi="Times New Roman"/>
          <w:sz w:val="22"/>
          <w:szCs w:val="22"/>
        </w:rPr>
        <w:t xml:space="preserve"> ακόμα υπολείπεται</w:t>
      </w:r>
      <w:r w:rsidR="005B3ED6" w:rsidRPr="00460745">
        <w:rPr>
          <w:rFonts w:ascii="Times New Roman" w:hAnsi="Times New Roman"/>
          <w:sz w:val="22"/>
          <w:szCs w:val="22"/>
        </w:rPr>
        <w:t>,</w:t>
      </w:r>
      <w:r w:rsidRPr="00460745">
        <w:rPr>
          <w:rFonts w:ascii="Times New Roman" w:hAnsi="Times New Roman"/>
          <w:sz w:val="22"/>
          <w:szCs w:val="22"/>
        </w:rPr>
        <w:t xml:space="preserve"> σχετικά με την αγωγή των ασθενών με σοβαρή (ΝΥΗΑ</w:t>
      </w:r>
      <w:r w:rsidR="00E65C63" w:rsidRPr="00460745">
        <w:rPr>
          <w:rFonts w:ascii="Times New Roman" w:hAnsi="Times New Roman"/>
          <w:sz w:val="22"/>
          <w:szCs w:val="22"/>
        </w:rPr>
        <w:t> </w:t>
      </w:r>
      <w:r w:rsidRPr="00460745">
        <w:rPr>
          <w:rFonts w:ascii="Times New Roman" w:hAnsi="Times New Roman"/>
          <w:sz w:val="22"/>
          <w:szCs w:val="22"/>
        </w:rPr>
        <w:t>Ι</w:t>
      </w:r>
      <w:r w:rsidRPr="00460745">
        <w:rPr>
          <w:rFonts w:ascii="Times New Roman" w:hAnsi="Times New Roman"/>
          <w:sz w:val="22"/>
          <w:szCs w:val="22"/>
          <w:lang w:val="en-US"/>
        </w:rPr>
        <w:t>V</w:t>
      </w:r>
      <w:r w:rsidRPr="00460745">
        <w:rPr>
          <w:rFonts w:ascii="Times New Roman" w:hAnsi="Times New Roman"/>
          <w:sz w:val="22"/>
          <w:szCs w:val="22"/>
        </w:rPr>
        <w:t>) καρδιακή ανεπάρκεια αμέσως μετά από έμφραγμα του μυοκαρδίου. Εάν πρόκειται να ληφθεί απόφαση για την αγωγή των ασθενών αυτών, συνιστάται η θεραπεία να αρχίζει με 1,25 </w:t>
      </w:r>
      <w:r w:rsidRPr="00460745">
        <w:rPr>
          <w:rFonts w:ascii="Times New Roman" w:hAnsi="Times New Roman"/>
          <w:sz w:val="22"/>
          <w:szCs w:val="22"/>
          <w:lang w:val="en-US"/>
        </w:rPr>
        <w:t>mg</w:t>
      </w:r>
      <w:r w:rsidRPr="00460745">
        <w:rPr>
          <w:rFonts w:ascii="Times New Roman" w:hAnsi="Times New Roman"/>
          <w:sz w:val="22"/>
          <w:szCs w:val="22"/>
        </w:rPr>
        <w:t xml:space="preserve"> μία φορά ημερησίως και </w:t>
      </w:r>
      <w:r w:rsidR="005B3ED6" w:rsidRPr="00460745">
        <w:rPr>
          <w:rFonts w:ascii="Times New Roman" w:hAnsi="Times New Roman"/>
          <w:sz w:val="22"/>
          <w:szCs w:val="22"/>
        </w:rPr>
        <w:t xml:space="preserve">να δεικνύεται </w:t>
      </w:r>
      <w:r w:rsidRPr="00460745">
        <w:rPr>
          <w:rFonts w:ascii="Times New Roman" w:hAnsi="Times New Roman"/>
          <w:sz w:val="22"/>
          <w:szCs w:val="22"/>
        </w:rPr>
        <w:t xml:space="preserve">ιδιαίτερη προσοχή σε κάθε αύξηση της δόσης. </w:t>
      </w:r>
    </w:p>
    <w:p w:rsidR="007010DD" w:rsidRPr="00460745" w:rsidRDefault="007010DD" w:rsidP="005118EA">
      <w:pPr>
        <w:ind w:left="66"/>
        <w:rPr>
          <w:rFonts w:ascii="Times New Roman" w:hAnsi="Times New Roman"/>
          <w:sz w:val="22"/>
          <w:szCs w:val="22"/>
        </w:rPr>
      </w:pPr>
    </w:p>
    <w:p w:rsidR="007010DD" w:rsidRPr="003D7212" w:rsidRDefault="007010DD" w:rsidP="003D7212">
      <w:pPr>
        <w:ind w:left="66"/>
        <w:rPr>
          <w:rFonts w:ascii="Times New Roman" w:hAnsi="Times New Roman"/>
          <w:i/>
          <w:sz w:val="22"/>
          <w:szCs w:val="22"/>
          <w:u w:val="single"/>
        </w:rPr>
      </w:pPr>
      <w:r w:rsidRPr="00460745">
        <w:rPr>
          <w:rFonts w:ascii="Times New Roman" w:hAnsi="Times New Roman"/>
          <w:i/>
          <w:sz w:val="22"/>
          <w:szCs w:val="22"/>
          <w:u w:val="single"/>
        </w:rPr>
        <w:t>Ειδικοί πληθυσμοί</w:t>
      </w:r>
    </w:p>
    <w:p w:rsidR="007010DD" w:rsidRPr="003D7212" w:rsidRDefault="007010DD" w:rsidP="003D7212">
      <w:pPr>
        <w:ind w:left="66"/>
        <w:rPr>
          <w:rFonts w:ascii="Times New Roman" w:hAnsi="Times New Roman"/>
          <w:i/>
          <w:sz w:val="22"/>
          <w:szCs w:val="22"/>
        </w:rPr>
      </w:pPr>
      <w:r w:rsidRPr="00460745">
        <w:rPr>
          <w:rFonts w:ascii="Times New Roman" w:hAnsi="Times New Roman"/>
          <w:i/>
          <w:sz w:val="22"/>
          <w:szCs w:val="22"/>
        </w:rPr>
        <w:t xml:space="preserve">Ασθενείς με νεφρική </w:t>
      </w:r>
      <w:r w:rsidR="00177440" w:rsidRPr="00460745">
        <w:rPr>
          <w:rFonts w:ascii="Times New Roman" w:hAnsi="Times New Roman"/>
          <w:i/>
          <w:sz w:val="22"/>
          <w:szCs w:val="22"/>
        </w:rPr>
        <w:t>δυσλειτουργία</w:t>
      </w:r>
    </w:p>
    <w:p w:rsidR="007010DD" w:rsidRPr="00460745" w:rsidRDefault="007010DD" w:rsidP="005118EA">
      <w:pPr>
        <w:ind w:left="66"/>
        <w:rPr>
          <w:rFonts w:ascii="Times New Roman" w:hAnsi="Times New Roman"/>
          <w:sz w:val="22"/>
          <w:szCs w:val="22"/>
        </w:rPr>
      </w:pPr>
      <w:r w:rsidRPr="00460745">
        <w:rPr>
          <w:rFonts w:ascii="Times New Roman" w:hAnsi="Times New Roman"/>
          <w:sz w:val="22"/>
          <w:szCs w:val="22"/>
        </w:rPr>
        <w:t xml:space="preserve">Η ημερήσια δόση σε ασθενείς με νεφρική </w:t>
      </w:r>
      <w:r w:rsidR="00631536" w:rsidRPr="00460745">
        <w:rPr>
          <w:rFonts w:ascii="Times New Roman" w:hAnsi="Times New Roman"/>
          <w:sz w:val="22"/>
          <w:szCs w:val="22"/>
        </w:rPr>
        <w:t>δυσλειτουργία</w:t>
      </w:r>
      <w:r w:rsidR="001A2196" w:rsidRPr="00460745">
        <w:rPr>
          <w:rFonts w:ascii="Times New Roman" w:hAnsi="Times New Roman"/>
          <w:sz w:val="22"/>
          <w:szCs w:val="22"/>
        </w:rPr>
        <w:t xml:space="preserve"> </w:t>
      </w:r>
      <w:r w:rsidRPr="00460745">
        <w:rPr>
          <w:rFonts w:ascii="Times New Roman" w:hAnsi="Times New Roman"/>
          <w:sz w:val="22"/>
          <w:szCs w:val="22"/>
        </w:rPr>
        <w:t>πρέπει να βασίζεται στην κάθαρση κρεατινίνης (βλ. παράγραφο 5.2):</w:t>
      </w:r>
    </w:p>
    <w:p w:rsidR="007010DD" w:rsidRPr="00460745" w:rsidRDefault="007010DD" w:rsidP="007010DD">
      <w:pPr>
        <w:numPr>
          <w:ilvl w:val="0"/>
          <w:numId w:val="5"/>
        </w:numPr>
        <w:rPr>
          <w:rFonts w:ascii="Times New Roman" w:hAnsi="Times New Roman"/>
          <w:sz w:val="22"/>
          <w:szCs w:val="22"/>
        </w:rPr>
      </w:pPr>
      <w:r w:rsidRPr="00460745">
        <w:rPr>
          <w:rFonts w:ascii="Times New Roman" w:hAnsi="Times New Roman"/>
          <w:sz w:val="22"/>
          <w:szCs w:val="22"/>
        </w:rPr>
        <w:t>εάν η κάθαρση κρεατινίνης είναι ≥</w:t>
      </w:r>
      <w:r w:rsidR="00BE17A4" w:rsidRPr="00460745">
        <w:rPr>
          <w:rFonts w:ascii="Times New Roman" w:hAnsi="Times New Roman"/>
          <w:sz w:val="22"/>
          <w:szCs w:val="22"/>
        </w:rPr>
        <w:t xml:space="preserve"> 60 </w:t>
      </w:r>
      <w:r w:rsidR="00BE17A4" w:rsidRPr="00460745">
        <w:rPr>
          <w:rFonts w:ascii="Times New Roman" w:hAnsi="Times New Roman"/>
          <w:sz w:val="22"/>
          <w:szCs w:val="22"/>
          <w:lang w:val="en-US"/>
        </w:rPr>
        <w:t>ml</w:t>
      </w:r>
      <w:r w:rsidR="00BE17A4" w:rsidRPr="00460745">
        <w:rPr>
          <w:rFonts w:ascii="Times New Roman" w:hAnsi="Times New Roman"/>
          <w:sz w:val="22"/>
          <w:szCs w:val="22"/>
        </w:rPr>
        <w:t>/</w:t>
      </w:r>
      <w:r w:rsidR="00BE17A4" w:rsidRPr="00460745">
        <w:rPr>
          <w:rFonts w:ascii="Times New Roman" w:hAnsi="Times New Roman"/>
          <w:sz w:val="22"/>
          <w:szCs w:val="22"/>
          <w:lang w:val="en-US"/>
        </w:rPr>
        <w:t>min</w:t>
      </w:r>
      <w:r w:rsidR="00BE17A4" w:rsidRPr="00460745">
        <w:rPr>
          <w:rFonts w:ascii="Times New Roman" w:hAnsi="Times New Roman"/>
          <w:sz w:val="22"/>
          <w:szCs w:val="22"/>
        </w:rPr>
        <w:t>, δεν είναι αναγκαίο να προσαρμοστεί η αρχική δόση (2,5 </w:t>
      </w:r>
      <w:r w:rsidR="00BE17A4" w:rsidRPr="00460745">
        <w:rPr>
          <w:rFonts w:ascii="Times New Roman" w:hAnsi="Times New Roman"/>
          <w:sz w:val="22"/>
          <w:szCs w:val="22"/>
          <w:lang w:val="en-US"/>
        </w:rPr>
        <w:t>mg</w:t>
      </w:r>
      <w:r w:rsidR="00BE17A4" w:rsidRPr="00460745">
        <w:rPr>
          <w:rFonts w:ascii="Times New Roman" w:hAnsi="Times New Roman"/>
          <w:sz w:val="22"/>
          <w:szCs w:val="22"/>
        </w:rPr>
        <w:t xml:space="preserve">/ημέρα)· η μέγιστη </w:t>
      </w:r>
      <w:r w:rsidR="009F0593" w:rsidRPr="00460745">
        <w:rPr>
          <w:rFonts w:ascii="Times New Roman" w:hAnsi="Times New Roman"/>
          <w:sz w:val="22"/>
          <w:szCs w:val="22"/>
        </w:rPr>
        <w:t xml:space="preserve">ημερήσια </w:t>
      </w:r>
      <w:r w:rsidR="00BE17A4" w:rsidRPr="00460745">
        <w:rPr>
          <w:rFonts w:ascii="Times New Roman" w:hAnsi="Times New Roman"/>
          <w:sz w:val="22"/>
          <w:szCs w:val="22"/>
        </w:rPr>
        <w:t>δόση είναι 10 </w:t>
      </w:r>
      <w:r w:rsidR="00BE17A4" w:rsidRPr="00460745">
        <w:rPr>
          <w:rFonts w:ascii="Times New Roman" w:hAnsi="Times New Roman"/>
          <w:sz w:val="22"/>
          <w:szCs w:val="22"/>
          <w:lang w:val="en-US"/>
        </w:rPr>
        <w:t>mg</w:t>
      </w:r>
      <w:r w:rsidR="00BE17A4" w:rsidRPr="00460745">
        <w:rPr>
          <w:rFonts w:ascii="Times New Roman" w:hAnsi="Times New Roman"/>
          <w:sz w:val="22"/>
          <w:szCs w:val="22"/>
        </w:rPr>
        <w:t>·</w:t>
      </w:r>
    </w:p>
    <w:p w:rsidR="00BE17A4" w:rsidRPr="00460745" w:rsidRDefault="00BE17A4" w:rsidP="00BE17A4">
      <w:pPr>
        <w:numPr>
          <w:ilvl w:val="0"/>
          <w:numId w:val="5"/>
        </w:numPr>
        <w:rPr>
          <w:rFonts w:ascii="Times New Roman" w:hAnsi="Times New Roman"/>
          <w:sz w:val="22"/>
          <w:szCs w:val="22"/>
        </w:rPr>
      </w:pPr>
      <w:r w:rsidRPr="00460745">
        <w:rPr>
          <w:rFonts w:ascii="Times New Roman" w:hAnsi="Times New Roman"/>
          <w:sz w:val="22"/>
          <w:szCs w:val="22"/>
        </w:rPr>
        <w:lastRenderedPageBreak/>
        <w:t>εάν η κάθαρση κρεατινίνης είναι μεταξύ 30-60 </w:t>
      </w:r>
      <w:r w:rsidRPr="00460745">
        <w:rPr>
          <w:rFonts w:ascii="Times New Roman" w:hAnsi="Times New Roman"/>
          <w:sz w:val="22"/>
          <w:szCs w:val="22"/>
          <w:lang w:val="en-US"/>
        </w:rPr>
        <w:t>ml</w:t>
      </w:r>
      <w:r w:rsidRPr="00460745">
        <w:rPr>
          <w:rFonts w:ascii="Times New Roman" w:hAnsi="Times New Roman"/>
          <w:sz w:val="22"/>
          <w:szCs w:val="22"/>
        </w:rPr>
        <w:t>/</w:t>
      </w:r>
      <w:r w:rsidRPr="00460745">
        <w:rPr>
          <w:rFonts w:ascii="Times New Roman" w:hAnsi="Times New Roman"/>
          <w:sz w:val="22"/>
          <w:szCs w:val="22"/>
          <w:lang w:val="en-US"/>
        </w:rPr>
        <w:t>min</w:t>
      </w:r>
      <w:r w:rsidRPr="00460745">
        <w:rPr>
          <w:rFonts w:ascii="Times New Roman" w:hAnsi="Times New Roman"/>
          <w:sz w:val="22"/>
          <w:szCs w:val="22"/>
        </w:rPr>
        <w:t>, δεν είναι αναγκαίο να προσαρμοστεί η αρχική δόση (2,5 </w:t>
      </w:r>
      <w:r w:rsidRPr="00460745">
        <w:rPr>
          <w:rFonts w:ascii="Times New Roman" w:hAnsi="Times New Roman"/>
          <w:sz w:val="22"/>
          <w:szCs w:val="22"/>
          <w:lang w:val="en-US"/>
        </w:rPr>
        <w:t>mg</w:t>
      </w:r>
      <w:r w:rsidRPr="00460745">
        <w:rPr>
          <w:rFonts w:ascii="Times New Roman" w:hAnsi="Times New Roman"/>
          <w:sz w:val="22"/>
          <w:szCs w:val="22"/>
        </w:rPr>
        <w:t xml:space="preserve">/ημέρα)· η μέγιστη </w:t>
      </w:r>
      <w:r w:rsidR="009F0593" w:rsidRPr="00460745">
        <w:rPr>
          <w:rFonts w:ascii="Times New Roman" w:hAnsi="Times New Roman"/>
          <w:sz w:val="22"/>
          <w:szCs w:val="22"/>
        </w:rPr>
        <w:t xml:space="preserve">ημερήσια </w:t>
      </w:r>
      <w:r w:rsidRPr="00460745">
        <w:rPr>
          <w:rFonts w:ascii="Times New Roman" w:hAnsi="Times New Roman"/>
          <w:sz w:val="22"/>
          <w:szCs w:val="22"/>
        </w:rPr>
        <w:t>δόση είναι 5 </w:t>
      </w:r>
      <w:r w:rsidRPr="00460745">
        <w:rPr>
          <w:rFonts w:ascii="Times New Roman" w:hAnsi="Times New Roman"/>
          <w:sz w:val="22"/>
          <w:szCs w:val="22"/>
          <w:lang w:val="en-US"/>
        </w:rPr>
        <w:t>mg</w:t>
      </w:r>
      <w:r w:rsidRPr="00460745">
        <w:rPr>
          <w:rFonts w:ascii="Times New Roman" w:hAnsi="Times New Roman"/>
          <w:sz w:val="22"/>
          <w:szCs w:val="22"/>
        </w:rPr>
        <w:t>·</w:t>
      </w:r>
    </w:p>
    <w:p w:rsidR="00BE17A4" w:rsidRPr="00460745" w:rsidRDefault="00BE17A4" w:rsidP="007010DD">
      <w:pPr>
        <w:numPr>
          <w:ilvl w:val="0"/>
          <w:numId w:val="5"/>
        </w:numPr>
        <w:rPr>
          <w:rFonts w:ascii="Times New Roman" w:hAnsi="Times New Roman"/>
          <w:sz w:val="22"/>
          <w:szCs w:val="22"/>
        </w:rPr>
      </w:pPr>
      <w:r w:rsidRPr="00460745">
        <w:rPr>
          <w:rFonts w:ascii="Times New Roman" w:hAnsi="Times New Roman"/>
          <w:sz w:val="22"/>
          <w:szCs w:val="22"/>
        </w:rPr>
        <w:t>εάν η κάθαρση κρεατινίνης είναι μεταξύ 10-30 </w:t>
      </w:r>
      <w:r w:rsidRPr="00460745">
        <w:rPr>
          <w:rFonts w:ascii="Times New Roman" w:hAnsi="Times New Roman"/>
          <w:sz w:val="22"/>
          <w:szCs w:val="22"/>
          <w:lang w:val="en-US"/>
        </w:rPr>
        <w:t>ml</w:t>
      </w:r>
      <w:r w:rsidRPr="00460745">
        <w:rPr>
          <w:rFonts w:ascii="Times New Roman" w:hAnsi="Times New Roman"/>
          <w:sz w:val="22"/>
          <w:szCs w:val="22"/>
        </w:rPr>
        <w:t>/</w:t>
      </w:r>
      <w:r w:rsidRPr="00460745">
        <w:rPr>
          <w:rFonts w:ascii="Times New Roman" w:hAnsi="Times New Roman"/>
          <w:sz w:val="22"/>
          <w:szCs w:val="22"/>
          <w:lang w:val="en-US"/>
        </w:rPr>
        <w:t>min</w:t>
      </w:r>
      <w:r w:rsidRPr="00460745">
        <w:rPr>
          <w:rFonts w:ascii="Times New Roman" w:hAnsi="Times New Roman"/>
          <w:sz w:val="22"/>
          <w:szCs w:val="22"/>
        </w:rPr>
        <w:t>, η αρχική δόση είναι 1,25 </w:t>
      </w:r>
      <w:r w:rsidRPr="00460745">
        <w:rPr>
          <w:rFonts w:ascii="Times New Roman" w:hAnsi="Times New Roman"/>
          <w:sz w:val="22"/>
          <w:szCs w:val="22"/>
          <w:lang w:val="en-US"/>
        </w:rPr>
        <w:t>mg</w:t>
      </w:r>
      <w:r w:rsidRPr="00460745">
        <w:rPr>
          <w:rFonts w:ascii="Times New Roman" w:hAnsi="Times New Roman"/>
          <w:sz w:val="22"/>
          <w:szCs w:val="22"/>
        </w:rPr>
        <w:t xml:space="preserve">/ημέρα και η μέγιστη </w:t>
      </w:r>
      <w:r w:rsidR="009F0593" w:rsidRPr="00460745">
        <w:rPr>
          <w:rFonts w:ascii="Times New Roman" w:hAnsi="Times New Roman"/>
          <w:sz w:val="22"/>
          <w:szCs w:val="22"/>
        </w:rPr>
        <w:t xml:space="preserve">ημερήσια </w:t>
      </w:r>
      <w:r w:rsidRPr="00460745">
        <w:rPr>
          <w:rFonts w:ascii="Times New Roman" w:hAnsi="Times New Roman"/>
          <w:sz w:val="22"/>
          <w:szCs w:val="22"/>
        </w:rPr>
        <w:t>δόση είναι 5 </w:t>
      </w:r>
      <w:r w:rsidRPr="00460745">
        <w:rPr>
          <w:rFonts w:ascii="Times New Roman" w:hAnsi="Times New Roman"/>
          <w:sz w:val="22"/>
          <w:szCs w:val="22"/>
          <w:lang w:val="en-US"/>
        </w:rPr>
        <w:t>mg</w:t>
      </w:r>
      <w:r w:rsidRPr="00460745">
        <w:rPr>
          <w:rFonts w:ascii="Times New Roman" w:hAnsi="Times New Roman"/>
          <w:sz w:val="22"/>
          <w:szCs w:val="22"/>
        </w:rPr>
        <w:t>·</w:t>
      </w:r>
    </w:p>
    <w:p w:rsidR="00BE17A4" w:rsidRPr="003D7212" w:rsidRDefault="00BE17A4" w:rsidP="003D7212">
      <w:pPr>
        <w:numPr>
          <w:ilvl w:val="0"/>
          <w:numId w:val="5"/>
        </w:numPr>
        <w:rPr>
          <w:rFonts w:ascii="Times New Roman" w:hAnsi="Times New Roman"/>
          <w:sz w:val="22"/>
          <w:szCs w:val="22"/>
        </w:rPr>
      </w:pPr>
      <w:r w:rsidRPr="00460745">
        <w:rPr>
          <w:rFonts w:ascii="Times New Roman" w:hAnsi="Times New Roman"/>
          <w:sz w:val="22"/>
          <w:szCs w:val="22"/>
        </w:rPr>
        <w:t>σε υπερτασικούς ασθενείς που υφίστανται αιμοδιύλιση: η ραμιπρίλη είναι σε περιορισμένο βαθμό διαλυτή· η αρχική δόση είναι 1,25 </w:t>
      </w:r>
      <w:r w:rsidRPr="00460745">
        <w:rPr>
          <w:rFonts w:ascii="Times New Roman" w:hAnsi="Times New Roman"/>
          <w:sz w:val="22"/>
          <w:szCs w:val="22"/>
          <w:lang w:val="en-US"/>
        </w:rPr>
        <w:t>mg</w:t>
      </w:r>
      <w:r w:rsidRPr="00460745">
        <w:rPr>
          <w:rFonts w:ascii="Times New Roman" w:hAnsi="Times New Roman"/>
          <w:sz w:val="22"/>
          <w:szCs w:val="22"/>
        </w:rPr>
        <w:t>/ημέρα και η μέγιστη δόση είναι 5 </w:t>
      </w:r>
      <w:r w:rsidRPr="00460745">
        <w:rPr>
          <w:rFonts w:ascii="Times New Roman" w:hAnsi="Times New Roman"/>
          <w:sz w:val="22"/>
          <w:szCs w:val="22"/>
          <w:lang w:val="en-US"/>
        </w:rPr>
        <w:t>mg</w:t>
      </w:r>
      <w:r w:rsidRPr="00460745">
        <w:rPr>
          <w:rFonts w:ascii="Times New Roman" w:hAnsi="Times New Roman"/>
          <w:sz w:val="22"/>
          <w:szCs w:val="22"/>
        </w:rPr>
        <w:t xml:space="preserve">· το </w:t>
      </w:r>
      <w:r w:rsidR="00C84258" w:rsidRPr="00460745">
        <w:rPr>
          <w:rFonts w:ascii="Times New Roman" w:hAnsi="Times New Roman"/>
          <w:sz w:val="22"/>
          <w:szCs w:val="22"/>
        </w:rPr>
        <w:t xml:space="preserve">φαρμακευτικό προϊόν </w:t>
      </w:r>
      <w:r w:rsidRPr="00460745">
        <w:rPr>
          <w:rFonts w:ascii="Times New Roman" w:hAnsi="Times New Roman"/>
          <w:sz w:val="22"/>
          <w:szCs w:val="22"/>
        </w:rPr>
        <w:t>πρέπει να χορηγείται λίγες ώρες μετά την πραγματοποίηση της αιμοδιύλισης.</w:t>
      </w:r>
    </w:p>
    <w:p w:rsidR="000F6AD9" w:rsidRPr="003D7212" w:rsidRDefault="00BE17A4" w:rsidP="00266858">
      <w:pPr>
        <w:rPr>
          <w:rFonts w:ascii="Times New Roman" w:hAnsi="Times New Roman"/>
          <w:sz w:val="22"/>
          <w:szCs w:val="22"/>
        </w:rPr>
      </w:pPr>
      <w:r w:rsidRPr="00460745">
        <w:rPr>
          <w:rFonts w:ascii="Times New Roman" w:hAnsi="Times New Roman"/>
          <w:i/>
          <w:sz w:val="22"/>
          <w:szCs w:val="22"/>
        </w:rPr>
        <w:t xml:space="preserve">Ασθενείς με ηπατική </w:t>
      </w:r>
      <w:r w:rsidR="00C84258" w:rsidRPr="00460745">
        <w:rPr>
          <w:rFonts w:ascii="Times New Roman" w:hAnsi="Times New Roman"/>
          <w:i/>
          <w:sz w:val="22"/>
          <w:szCs w:val="22"/>
        </w:rPr>
        <w:t>δυσλειτουργία</w:t>
      </w:r>
      <w:r w:rsidR="00C84258" w:rsidRPr="00460745" w:rsidDel="00C84258">
        <w:rPr>
          <w:rFonts w:ascii="Times New Roman" w:hAnsi="Times New Roman"/>
          <w:i/>
          <w:sz w:val="22"/>
          <w:szCs w:val="22"/>
        </w:rPr>
        <w:t xml:space="preserve"> </w:t>
      </w:r>
      <w:r w:rsidR="00637663" w:rsidRPr="00460745">
        <w:rPr>
          <w:rFonts w:ascii="Times New Roman" w:hAnsi="Times New Roman"/>
          <w:sz w:val="22"/>
          <w:szCs w:val="22"/>
        </w:rPr>
        <w:t>(βλ. παράγραφο 5.2)</w:t>
      </w:r>
    </w:p>
    <w:p w:rsidR="00637663" w:rsidRPr="00460745" w:rsidRDefault="00637663" w:rsidP="00266858">
      <w:pPr>
        <w:rPr>
          <w:rFonts w:ascii="Times New Roman" w:hAnsi="Times New Roman"/>
          <w:sz w:val="22"/>
          <w:szCs w:val="22"/>
        </w:rPr>
      </w:pPr>
      <w:r w:rsidRPr="00460745">
        <w:rPr>
          <w:rFonts w:ascii="Times New Roman" w:hAnsi="Times New Roman"/>
          <w:sz w:val="22"/>
          <w:szCs w:val="22"/>
        </w:rPr>
        <w:t xml:space="preserve">Σε ασθενείς με ηπατική </w:t>
      </w:r>
      <w:r w:rsidR="00712A0F" w:rsidRPr="00460745">
        <w:rPr>
          <w:rFonts w:ascii="Times New Roman" w:hAnsi="Times New Roman"/>
          <w:sz w:val="22"/>
          <w:szCs w:val="22"/>
        </w:rPr>
        <w:t>δυσλειτουργία</w:t>
      </w:r>
      <w:r w:rsidRPr="00460745">
        <w:rPr>
          <w:rFonts w:ascii="Times New Roman" w:hAnsi="Times New Roman"/>
          <w:sz w:val="22"/>
          <w:szCs w:val="22"/>
        </w:rPr>
        <w:t xml:space="preserve">, η αγωγή με </w:t>
      </w:r>
      <w:r w:rsidR="00FA1EE3" w:rsidRPr="00460745">
        <w:rPr>
          <w:rFonts w:ascii="Times New Roman" w:hAnsi="Times New Roman"/>
          <w:sz w:val="22"/>
          <w:szCs w:val="22"/>
          <w:lang w:val="en-US"/>
        </w:rPr>
        <w:t>TRIATEC</w:t>
      </w:r>
      <w:r w:rsidR="00902518" w:rsidRPr="00460745">
        <w:rPr>
          <w:rFonts w:ascii="Times New Roman" w:hAnsi="Times New Roman"/>
          <w:sz w:val="22"/>
          <w:szCs w:val="22"/>
        </w:rPr>
        <w:t xml:space="preserve"> </w:t>
      </w:r>
      <w:r w:rsidR="000375FB" w:rsidRPr="00460745">
        <w:rPr>
          <w:rFonts w:ascii="Times New Roman" w:hAnsi="Times New Roman"/>
          <w:sz w:val="22"/>
          <w:szCs w:val="22"/>
        </w:rPr>
        <w:t>πρέπει να αρχίζει μόνο μετά από στενή ιατρική παρακολούθηση και η μέγιστη ημερήσια δόση είναι 2,5 </w:t>
      </w:r>
      <w:r w:rsidR="000375FB" w:rsidRPr="00460745">
        <w:rPr>
          <w:rFonts w:ascii="Times New Roman" w:hAnsi="Times New Roman"/>
          <w:sz w:val="22"/>
          <w:szCs w:val="22"/>
          <w:lang w:val="en-US"/>
        </w:rPr>
        <w:t>mg</w:t>
      </w:r>
      <w:r w:rsidR="000375FB" w:rsidRPr="00460745">
        <w:rPr>
          <w:rFonts w:ascii="Times New Roman" w:hAnsi="Times New Roman"/>
          <w:sz w:val="22"/>
          <w:szCs w:val="22"/>
        </w:rPr>
        <w:t xml:space="preserve"> </w:t>
      </w:r>
      <w:r w:rsidR="00FA1EE3" w:rsidRPr="00460745">
        <w:rPr>
          <w:rFonts w:ascii="Times New Roman" w:hAnsi="Times New Roman"/>
          <w:sz w:val="22"/>
          <w:szCs w:val="22"/>
          <w:lang w:val="en-US"/>
        </w:rPr>
        <w:t>TRIATEC</w:t>
      </w:r>
      <w:r w:rsidR="000375FB" w:rsidRPr="00460745">
        <w:rPr>
          <w:rFonts w:ascii="Times New Roman" w:hAnsi="Times New Roman"/>
          <w:sz w:val="22"/>
          <w:szCs w:val="22"/>
        </w:rPr>
        <w:t>.</w:t>
      </w:r>
    </w:p>
    <w:p w:rsidR="000375FB" w:rsidRPr="00460745" w:rsidRDefault="000375FB" w:rsidP="00266858">
      <w:pPr>
        <w:rPr>
          <w:rFonts w:ascii="Times New Roman" w:hAnsi="Times New Roman"/>
          <w:sz w:val="22"/>
          <w:szCs w:val="22"/>
        </w:rPr>
      </w:pPr>
    </w:p>
    <w:p w:rsidR="000375FB" w:rsidRPr="003D7212" w:rsidRDefault="000375FB" w:rsidP="00266858">
      <w:pPr>
        <w:rPr>
          <w:rFonts w:ascii="Times New Roman" w:hAnsi="Times New Roman"/>
          <w:i/>
          <w:sz w:val="22"/>
          <w:szCs w:val="22"/>
          <w:lang w:val="en-US"/>
        </w:rPr>
      </w:pPr>
      <w:r w:rsidRPr="00460745">
        <w:rPr>
          <w:rFonts w:ascii="Times New Roman" w:hAnsi="Times New Roman"/>
          <w:i/>
          <w:sz w:val="22"/>
          <w:szCs w:val="22"/>
        </w:rPr>
        <w:t>Ηλικιωμένοι</w:t>
      </w:r>
    </w:p>
    <w:p w:rsidR="000375FB" w:rsidRPr="00460745" w:rsidRDefault="000375FB" w:rsidP="00266858">
      <w:pPr>
        <w:rPr>
          <w:rFonts w:ascii="Times New Roman" w:hAnsi="Times New Roman"/>
          <w:sz w:val="22"/>
          <w:szCs w:val="22"/>
        </w:rPr>
      </w:pPr>
      <w:r w:rsidRPr="00460745">
        <w:rPr>
          <w:rFonts w:ascii="Times New Roman" w:hAnsi="Times New Roman"/>
          <w:sz w:val="22"/>
          <w:szCs w:val="22"/>
        </w:rPr>
        <w:t xml:space="preserve">Οι αρχικές δόσεις </w:t>
      </w:r>
      <w:r w:rsidR="00794F36" w:rsidRPr="00460745">
        <w:rPr>
          <w:rFonts w:ascii="Times New Roman" w:hAnsi="Times New Roman"/>
          <w:sz w:val="22"/>
          <w:szCs w:val="22"/>
        </w:rPr>
        <w:t xml:space="preserve">πρέπει να είναι μικρότερες </w:t>
      </w:r>
      <w:r w:rsidRPr="00460745">
        <w:rPr>
          <w:rFonts w:ascii="Times New Roman" w:hAnsi="Times New Roman"/>
          <w:sz w:val="22"/>
          <w:szCs w:val="22"/>
        </w:rPr>
        <w:t>και η επακόλουθη τιτλο</w:t>
      </w:r>
      <w:r w:rsidR="000175AB" w:rsidRPr="00460745">
        <w:rPr>
          <w:rFonts w:ascii="Times New Roman" w:hAnsi="Times New Roman"/>
          <w:sz w:val="22"/>
          <w:szCs w:val="22"/>
        </w:rPr>
        <w:t>ποί</w:t>
      </w:r>
      <w:r w:rsidRPr="00460745">
        <w:rPr>
          <w:rFonts w:ascii="Times New Roman" w:hAnsi="Times New Roman"/>
          <w:sz w:val="22"/>
          <w:szCs w:val="22"/>
        </w:rPr>
        <w:t>ηση της δόσης πρέπει να είναι περισσότερο βαθμιαί</w:t>
      </w:r>
      <w:r w:rsidR="00794F36" w:rsidRPr="00460745">
        <w:rPr>
          <w:rFonts w:ascii="Times New Roman" w:hAnsi="Times New Roman"/>
          <w:sz w:val="22"/>
          <w:szCs w:val="22"/>
        </w:rPr>
        <w:t>α</w:t>
      </w:r>
      <w:r w:rsidRPr="00460745">
        <w:rPr>
          <w:rFonts w:ascii="Times New Roman" w:hAnsi="Times New Roman"/>
          <w:sz w:val="22"/>
          <w:szCs w:val="22"/>
        </w:rPr>
        <w:t xml:space="preserve"> γιατί είναι μεγαλύτερη η πιθανότητα εμφάνισης ανεπιθύμητων ενεργειών ειδικά στους πολύ ηλικιωμένους και αδύναμους ασθενείς.</w:t>
      </w:r>
      <w:r w:rsidR="00C26DF5" w:rsidRPr="00460745">
        <w:rPr>
          <w:rFonts w:ascii="Times New Roman" w:hAnsi="Times New Roman"/>
          <w:sz w:val="22"/>
          <w:szCs w:val="22"/>
        </w:rPr>
        <w:t xml:space="preserve"> Θα πρέπει να εξετάζεται μια μειωμένη αρχική δόση 1,25 </w:t>
      </w:r>
      <w:r w:rsidR="00C26DF5" w:rsidRPr="00460745">
        <w:rPr>
          <w:rFonts w:ascii="Times New Roman" w:hAnsi="Times New Roman"/>
          <w:sz w:val="22"/>
          <w:szCs w:val="22"/>
          <w:lang w:val="en-US"/>
        </w:rPr>
        <w:t>mg</w:t>
      </w:r>
      <w:r w:rsidR="00C26DF5" w:rsidRPr="00460745">
        <w:rPr>
          <w:rFonts w:ascii="Times New Roman" w:hAnsi="Times New Roman"/>
          <w:sz w:val="22"/>
          <w:szCs w:val="22"/>
        </w:rPr>
        <w:t xml:space="preserve"> ραμιπρίλης.</w:t>
      </w:r>
    </w:p>
    <w:p w:rsidR="000375FB" w:rsidRPr="00460745" w:rsidRDefault="000375FB" w:rsidP="00266858">
      <w:pPr>
        <w:rPr>
          <w:rFonts w:ascii="Times New Roman" w:hAnsi="Times New Roman"/>
          <w:sz w:val="22"/>
          <w:szCs w:val="22"/>
        </w:rPr>
      </w:pPr>
    </w:p>
    <w:p w:rsidR="000375FB" w:rsidRPr="003D7212" w:rsidRDefault="000375FB" w:rsidP="00266858">
      <w:pPr>
        <w:rPr>
          <w:rFonts w:ascii="Times New Roman" w:hAnsi="Times New Roman"/>
          <w:i/>
          <w:sz w:val="22"/>
          <w:szCs w:val="22"/>
          <w:lang w:val="en-US"/>
        </w:rPr>
      </w:pPr>
      <w:r w:rsidRPr="00460745">
        <w:rPr>
          <w:rFonts w:ascii="Times New Roman" w:hAnsi="Times New Roman"/>
          <w:i/>
          <w:sz w:val="22"/>
          <w:szCs w:val="22"/>
        </w:rPr>
        <w:t>Παιδιατρικός πληθυσμός</w:t>
      </w:r>
    </w:p>
    <w:p w:rsidR="005D05E9" w:rsidRPr="00460745" w:rsidRDefault="00672978" w:rsidP="00266858">
      <w:pPr>
        <w:rPr>
          <w:rFonts w:ascii="Times New Roman" w:hAnsi="Times New Roman"/>
          <w:sz w:val="22"/>
          <w:szCs w:val="22"/>
          <w:lang w:val="en-US"/>
        </w:rPr>
      </w:pPr>
      <w:r w:rsidRPr="00460745">
        <w:rPr>
          <w:rFonts w:ascii="Times New Roman" w:hAnsi="Times New Roman"/>
          <w:sz w:val="22"/>
          <w:szCs w:val="22"/>
        </w:rPr>
        <w:t xml:space="preserve">Η ασφάλεια και η αποτελεσματικότητα της ραμιπρίλης στα παιδιά δεν έχει ακόμα τεκμηριωθεί. Τα </w:t>
      </w:r>
      <w:r w:rsidR="00485E0A" w:rsidRPr="00460745">
        <w:rPr>
          <w:rFonts w:ascii="Times New Roman" w:hAnsi="Times New Roman"/>
          <w:sz w:val="22"/>
          <w:szCs w:val="22"/>
        </w:rPr>
        <w:t>υπάρχοντα</w:t>
      </w:r>
      <w:r w:rsidRPr="00460745">
        <w:rPr>
          <w:rFonts w:ascii="Times New Roman" w:hAnsi="Times New Roman"/>
          <w:sz w:val="22"/>
          <w:szCs w:val="22"/>
        </w:rPr>
        <w:t xml:space="preserve"> διαθέσιμα δεδομένα για το </w:t>
      </w:r>
      <w:r w:rsidRPr="00460745">
        <w:rPr>
          <w:rFonts w:ascii="Times New Roman" w:hAnsi="Times New Roman"/>
          <w:sz w:val="22"/>
          <w:szCs w:val="22"/>
          <w:lang w:val="en-US"/>
        </w:rPr>
        <w:t>TRIATEC</w:t>
      </w:r>
      <w:r w:rsidRPr="00460745">
        <w:rPr>
          <w:rFonts w:ascii="Times New Roman" w:hAnsi="Times New Roman"/>
          <w:sz w:val="22"/>
          <w:szCs w:val="22"/>
        </w:rPr>
        <w:t xml:space="preserve"> περιγράφονται στις παραγράφους 4.8, 5.1, 5.2 και 5.3, </w:t>
      </w:r>
      <w:r w:rsidR="00B27844" w:rsidRPr="00460745">
        <w:rPr>
          <w:rFonts w:ascii="Times New Roman" w:hAnsi="Times New Roman"/>
          <w:sz w:val="22"/>
          <w:szCs w:val="22"/>
        </w:rPr>
        <w:t xml:space="preserve">όμως </w:t>
      </w:r>
      <w:r w:rsidRPr="00460745">
        <w:rPr>
          <w:rFonts w:ascii="Times New Roman" w:hAnsi="Times New Roman"/>
          <w:sz w:val="22"/>
          <w:szCs w:val="22"/>
        </w:rPr>
        <w:t xml:space="preserve">δε μπορεί να γίνει μια συγκεκριμένη σύσταση για τη δοσολογία. </w:t>
      </w:r>
    </w:p>
    <w:p w:rsidR="005D05E9" w:rsidRPr="00460745" w:rsidRDefault="005D05E9" w:rsidP="00266858">
      <w:pPr>
        <w:rPr>
          <w:rFonts w:ascii="Times New Roman" w:hAnsi="Times New Roman"/>
          <w:sz w:val="22"/>
          <w:szCs w:val="22"/>
          <w:lang w:val="en-US"/>
        </w:rPr>
      </w:pPr>
    </w:p>
    <w:p w:rsidR="00520CDC" w:rsidRPr="003D7212" w:rsidRDefault="00520CDC" w:rsidP="00266858">
      <w:pPr>
        <w:rPr>
          <w:rFonts w:ascii="Times New Roman" w:hAnsi="Times New Roman"/>
          <w:b/>
          <w:bCs/>
          <w:iCs/>
          <w:sz w:val="22"/>
          <w:szCs w:val="22"/>
          <w:lang w:val="en-US"/>
        </w:rPr>
      </w:pPr>
      <w:r w:rsidRPr="00460745">
        <w:rPr>
          <w:rFonts w:ascii="Times New Roman" w:hAnsi="Times New Roman"/>
          <w:b/>
          <w:bCs/>
          <w:iCs/>
          <w:sz w:val="22"/>
          <w:szCs w:val="22"/>
        </w:rPr>
        <w:t>4.3 Αντενδείξεις</w:t>
      </w:r>
    </w:p>
    <w:p w:rsidR="00520CDC" w:rsidRPr="003D7212" w:rsidRDefault="00020ACD" w:rsidP="00266858">
      <w:pPr>
        <w:numPr>
          <w:ilvl w:val="0"/>
          <w:numId w:val="6"/>
        </w:numPr>
        <w:rPr>
          <w:rFonts w:ascii="Times New Roman" w:hAnsi="Times New Roman"/>
          <w:sz w:val="22"/>
          <w:szCs w:val="22"/>
        </w:rPr>
      </w:pPr>
      <w:r w:rsidRPr="00460745">
        <w:rPr>
          <w:rFonts w:ascii="Times New Roman" w:hAnsi="Times New Roman"/>
          <w:sz w:val="22"/>
          <w:szCs w:val="22"/>
        </w:rPr>
        <w:t>Υ</w:t>
      </w:r>
      <w:r w:rsidR="00520CDC" w:rsidRPr="00460745">
        <w:rPr>
          <w:rFonts w:ascii="Times New Roman" w:hAnsi="Times New Roman"/>
          <w:sz w:val="22"/>
          <w:szCs w:val="22"/>
        </w:rPr>
        <w:t xml:space="preserve">περευαισθησία στη </w:t>
      </w:r>
      <w:r w:rsidR="00B13092" w:rsidRPr="00460745">
        <w:rPr>
          <w:rFonts w:ascii="Times New Roman" w:hAnsi="Times New Roman"/>
          <w:sz w:val="22"/>
          <w:szCs w:val="22"/>
        </w:rPr>
        <w:t>δραστική ουσία</w:t>
      </w:r>
      <w:r w:rsidRPr="00460745">
        <w:rPr>
          <w:rFonts w:ascii="Times New Roman" w:hAnsi="Times New Roman"/>
          <w:sz w:val="22"/>
          <w:szCs w:val="22"/>
        </w:rPr>
        <w:t>,</w:t>
      </w:r>
      <w:r w:rsidR="00520CDC" w:rsidRPr="00460745">
        <w:rPr>
          <w:rFonts w:ascii="Times New Roman" w:hAnsi="Times New Roman"/>
          <w:sz w:val="22"/>
          <w:szCs w:val="22"/>
        </w:rPr>
        <w:t xml:space="preserve"> </w:t>
      </w:r>
      <w:r w:rsidRPr="00460745">
        <w:rPr>
          <w:rFonts w:ascii="Times New Roman" w:hAnsi="Times New Roman"/>
          <w:sz w:val="22"/>
          <w:szCs w:val="22"/>
        </w:rPr>
        <w:t>σε κάποιο από τα έκδοχα ή</w:t>
      </w:r>
      <w:r w:rsidR="00520CDC" w:rsidRPr="00460745">
        <w:rPr>
          <w:rFonts w:ascii="Times New Roman" w:hAnsi="Times New Roman"/>
          <w:sz w:val="22"/>
          <w:szCs w:val="22"/>
        </w:rPr>
        <w:t xml:space="preserve"> </w:t>
      </w:r>
      <w:r w:rsidRPr="00460745">
        <w:rPr>
          <w:rFonts w:ascii="Times New Roman" w:hAnsi="Times New Roman"/>
          <w:sz w:val="22"/>
          <w:szCs w:val="22"/>
        </w:rPr>
        <w:t xml:space="preserve">σε κάποιο άλλο αναστολέα του ΜΕΑ </w:t>
      </w:r>
      <w:r w:rsidR="009D594E" w:rsidRPr="00460745">
        <w:rPr>
          <w:rFonts w:ascii="Times New Roman" w:hAnsi="Times New Roman"/>
          <w:sz w:val="22"/>
          <w:szCs w:val="22"/>
        </w:rPr>
        <w:t xml:space="preserve">(Μετατρεπτικό Ένζυμο της Αγγειοτασίνης) </w:t>
      </w:r>
      <w:r w:rsidRPr="00460745">
        <w:rPr>
          <w:rFonts w:ascii="Times New Roman" w:hAnsi="Times New Roman"/>
          <w:sz w:val="22"/>
          <w:szCs w:val="22"/>
        </w:rPr>
        <w:t>(βλ. παράγραφο 6.1)</w:t>
      </w:r>
    </w:p>
    <w:p w:rsidR="00520CDC" w:rsidRPr="003D7212" w:rsidRDefault="00020ACD" w:rsidP="00266858">
      <w:pPr>
        <w:numPr>
          <w:ilvl w:val="0"/>
          <w:numId w:val="6"/>
        </w:numPr>
        <w:rPr>
          <w:rFonts w:ascii="Times New Roman" w:hAnsi="Times New Roman"/>
          <w:sz w:val="22"/>
          <w:szCs w:val="22"/>
        </w:rPr>
      </w:pPr>
      <w:r w:rsidRPr="00460745">
        <w:rPr>
          <w:rFonts w:ascii="Times New Roman" w:hAnsi="Times New Roman"/>
          <w:sz w:val="22"/>
          <w:szCs w:val="22"/>
        </w:rPr>
        <w:t>Ι</w:t>
      </w:r>
      <w:r w:rsidR="00520CDC" w:rsidRPr="00460745">
        <w:rPr>
          <w:rFonts w:ascii="Times New Roman" w:hAnsi="Times New Roman"/>
          <w:sz w:val="22"/>
          <w:szCs w:val="22"/>
        </w:rPr>
        <w:t>στορικό αγγειοοιδήματος</w:t>
      </w:r>
      <w:r w:rsidR="004406DD" w:rsidRPr="00460745">
        <w:rPr>
          <w:rFonts w:ascii="Times New Roman" w:hAnsi="Times New Roman"/>
          <w:sz w:val="22"/>
          <w:szCs w:val="22"/>
        </w:rPr>
        <w:t xml:space="preserve"> (κληρονομικό, ιδιοπαθές ή λόγω προηγούμενου αγγειοοιδήματος  με αναστολείς του ΜΕΑ ή </w:t>
      </w:r>
      <w:r w:rsidR="004406DD" w:rsidRPr="00460745">
        <w:rPr>
          <w:rFonts w:ascii="Times New Roman" w:hAnsi="Times New Roman"/>
          <w:sz w:val="22"/>
          <w:szCs w:val="22"/>
          <w:lang w:val="en-US"/>
        </w:rPr>
        <w:t>A</w:t>
      </w:r>
      <w:r w:rsidR="00DB514A" w:rsidRPr="00460745">
        <w:rPr>
          <w:rFonts w:ascii="Times New Roman" w:hAnsi="Times New Roman"/>
          <w:sz w:val="22"/>
          <w:szCs w:val="22"/>
        </w:rPr>
        <w:t>ΥΑΙΙ</w:t>
      </w:r>
      <w:r w:rsidR="004406DD" w:rsidRPr="00460745">
        <w:rPr>
          <w:rFonts w:ascii="Times New Roman" w:hAnsi="Times New Roman"/>
          <w:sz w:val="22"/>
          <w:szCs w:val="22"/>
        </w:rPr>
        <w:t>)</w:t>
      </w:r>
    </w:p>
    <w:p w:rsidR="00BF671E" w:rsidRPr="003D7212" w:rsidRDefault="00BF671E" w:rsidP="00BF671E">
      <w:pPr>
        <w:numPr>
          <w:ilvl w:val="0"/>
          <w:numId w:val="6"/>
        </w:numPr>
        <w:rPr>
          <w:rFonts w:ascii="Times New Roman" w:hAnsi="Times New Roman"/>
          <w:sz w:val="22"/>
          <w:szCs w:val="22"/>
        </w:rPr>
      </w:pPr>
      <w:r w:rsidRPr="00460745">
        <w:rPr>
          <w:rFonts w:ascii="Times New Roman" w:hAnsi="Times New Roman"/>
          <w:sz w:val="22"/>
          <w:szCs w:val="22"/>
        </w:rPr>
        <w:t>Εκτός σώματος θεραπείες που οδηγούν σε επαφή του αίματος με αρνητικά φορτισμένες επιφάνειες (βλ. παράγραφο 4.5)</w:t>
      </w:r>
    </w:p>
    <w:p w:rsidR="00520CDC" w:rsidRPr="003D7212" w:rsidRDefault="00E87055" w:rsidP="00266858">
      <w:pPr>
        <w:numPr>
          <w:ilvl w:val="0"/>
          <w:numId w:val="6"/>
        </w:numPr>
        <w:rPr>
          <w:rFonts w:ascii="Times New Roman" w:hAnsi="Times New Roman"/>
          <w:sz w:val="22"/>
          <w:szCs w:val="22"/>
        </w:rPr>
      </w:pPr>
      <w:r w:rsidRPr="00460745">
        <w:rPr>
          <w:rFonts w:ascii="Times New Roman" w:hAnsi="Times New Roman"/>
          <w:sz w:val="22"/>
          <w:szCs w:val="22"/>
        </w:rPr>
        <w:t xml:space="preserve">Σημαντική </w:t>
      </w:r>
      <w:r w:rsidR="00520CDC" w:rsidRPr="00460745">
        <w:rPr>
          <w:rFonts w:ascii="Times New Roman" w:hAnsi="Times New Roman"/>
          <w:sz w:val="22"/>
          <w:szCs w:val="22"/>
        </w:rPr>
        <w:t xml:space="preserve">αμφοτερόπλευρη στένωση </w:t>
      </w:r>
      <w:r w:rsidR="00F97DAB" w:rsidRPr="00460745">
        <w:rPr>
          <w:rFonts w:ascii="Times New Roman" w:hAnsi="Times New Roman"/>
          <w:sz w:val="22"/>
          <w:szCs w:val="22"/>
        </w:rPr>
        <w:t xml:space="preserve">της νεφρικής αρτηρίας </w:t>
      </w:r>
      <w:r w:rsidR="00520CDC" w:rsidRPr="00460745">
        <w:rPr>
          <w:rFonts w:ascii="Times New Roman" w:hAnsi="Times New Roman"/>
          <w:sz w:val="22"/>
          <w:szCs w:val="22"/>
        </w:rPr>
        <w:t xml:space="preserve">ή στένωση της </w:t>
      </w:r>
      <w:r w:rsidR="00F97DAB" w:rsidRPr="00460745">
        <w:rPr>
          <w:rFonts w:ascii="Times New Roman" w:hAnsi="Times New Roman"/>
          <w:sz w:val="22"/>
          <w:szCs w:val="22"/>
        </w:rPr>
        <w:t xml:space="preserve">νεφρικής </w:t>
      </w:r>
      <w:r w:rsidR="00520CDC" w:rsidRPr="00460745">
        <w:rPr>
          <w:rFonts w:ascii="Times New Roman" w:hAnsi="Times New Roman"/>
          <w:sz w:val="22"/>
          <w:szCs w:val="22"/>
        </w:rPr>
        <w:t xml:space="preserve">αρτηρίας σε μονήρη </w:t>
      </w:r>
      <w:r w:rsidRPr="00460745">
        <w:rPr>
          <w:rFonts w:ascii="Times New Roman" w:hAnsi="Times New Roman"/>
          <w:sz w:val="22"/>
          <w:szCs w:val="22"/>
        </w:rPr>
        <w:t xml:space="preserve">λειτουργικό </w:t>
      </w:r>
      <w:r w:rsidR="00BF671E" w:rsidRPr="00460745">
        <w:rPr>
          <w:rFonts w:ascii="Times New Roman" w:hAnsi="Times New Roman"/>
          <w:sz w:val="22"/>
          <w:szCs w:val="22"/>
        </w:rPr>
        <w:t>νεφρό</w:t>
      </w:r>
    </w:p>
    <w:p w:rsidR="00BF671E" w:rsidRPr="003D7212" w:rsidRDefault="00EF7EAD" w:rsidP="00BF671E">
      <w:pPr>
        <w:numPr>
          <w:ilvl w:val="0"/>
          <w:numId w:val="6"/>
        </w:numPr>
        <w:rPr>
          <w:rFonts w:ascii="Times New Roman" w:hAnsi="Times New Roman"/>
          <w:sz w:val="22"/>
          <w:szCs w:val="22"/>
        </w:rPr>
      </w:pPr>
      <w:r w:rsidRPr="00460745">
        <w:rPr>
          <w:rFonts w:ascii="Times New Roman" w:hAnsi="Times New Roman"/>
          <w:sz w:val="22"/>
          <w:szCs w:val="22"/>
        </w:rPr>
        <w:t>Δεύτερ</w:t>
      </w:r>
      <w:r w:rsidR="004406DD" w:rsidRPr="00460745">
        <w:rPr>
          <w:rFonts w:ascii="Times New Roman" w:hAnsi="Times New Roman"/>
          <w:sz w:val="22"/>
          <w:szCs w:val="22"/>
        </w:rPr>
        <w:t xml:space="preserve">ο και </w:t>
      </w:r>
      <w:r w:rsidRPr="00460745">
        <w:rPr>
          <w:rFonts w:ascii="Times New Roman" w:hAnsi="Times New Roman"/>
          <w:sz w:val="22"/>
          <w:szCs w:val="22"/>
        </w:rPr>
        <w:t>τρίτ</w:t>
      </w:r>
      <w:r w:rsidR="004406DD" w:rsidRPr="00460745">
        <w:rPr>
          <w:rFonts w:ascii="Times New Roman" w:hAnsi="Times New Roman"/>
          <w:sz w:val="22"/>
          <w:szCs w:val="22"/>
        </w:rPr>
        <w:t>ο τρίμηνο της κ</w:t>
      </w:r>
      <w:r w:rsidR="00BF671E" w:rsidRPr="00460745">
        <w:rPr>
          <w:rFonts w:ascii="Times New Roman" w:hAnsi="Times New Roman"/>
          <w:sz w:val="22"/>
          <w:szCs w:val="22"/>
        </w:rPr>
        <w:t>ύηση</w:t>
      </w:r>
      <w:r w:rsidR="004406DD" w:rsidRPr="00460745">
        <w:rPr>
          <w:rFonts w:ascii="Times New Roman" w:hAnsi="Times New Roman"/>
          <w:sz w:val="22"/>
          <w:szCs w:val="22"/>
        </w:rPr>
        <w:t>ς</w:t>
      </w:r>
      <w:r w:rsidR="003D30DF" w:rsidRPr="00460745">
        <w:rPr>
          <w:rFonts w:ascii="Times New Roman" w:hAnsi="Times New Roman"/>
          <w:sz w:val="22"/>
          <w:szCs w:val="22"/>
        </w:rPr>
        <w:t xml:space="preserve"> (βλ</w:t>
      </w:r>
      <w:r w:rsidR="00404E56" w:rsidRPr="00460745">
        <w:rPr>
          <w:rFonts w:ascii="Times New Roman" w:hAnsi="Times New Roman"/>
          <w:sz w:val="22"/>
          <w:szCs w:val="22"/>
        </w:rPr>
        <w:t>.</w:t>
      </w:r>
      <w:r w:rsidR="003D30DF" w:rsidRPr="00460745">
        <w:rPr>
          <w:rFonts w:ascii="Times New Roman" w:hAnsi="Times New Roman"/>
          <w:sz w:val="22"/>
          <w:szCs w:val="22"/>
        </w:rPr>
        <w:t xml:space="preserve"> παρ</w:t>
      </w:r>
      <w:r w:rsidR="004406DD" w:rsidRPr="00460745">
        <w:rPr>
          <w:rFonts w:ascii="Times New Roman" w:hAnsi="Times New Roman"/>
          <w:sz w:val="22"/>
          <w:szCs w:val="22"/>
        </w:rPr>
        <w:t>α</w:t>
      </w:r>
      <w:r w:rsidR="003D30DF" w:rsidRPr="00460745">
        <w:rPr>
          <w:rFonts w:ascii="Times New Roman" w:hAnsi="Times New Roman"/>
          <w:sz w:val="22"/>
          <w:szCs w:val="22"/>
        </w:rPr>
        <w:t>γρ</w:t>
      </w:r>
      <w:r w:rsidR="004406DD" w:rsidRPr="00460745">
        <w:rPr>
          <w:rFonts w:ascii="Times New Roman" w:hAnsi="Times New Roman"/>
          <w:sz w:val="22"/>
          <w:szCs w:val="22"/>
        </w:rPr>
        <w:t>ά</w:t>
      </w:r>
      <w:r w:rsidR="003D30DF" w:rsidRPr="00460745">
        <w:rPr>
          <w:rFonts w:ascii="Times New Roman" w:hAnsi="Times New Roman"/>
          <w:sz w:val="22"/>
          <w:szCs w:val="22"/>
        </w:rPr>
        <w:t>φο</w:t>
      </w:r>
      <w:r w:rsidR="004406DD" w:rsidRPr="00460745">
        <w:rPr>
          <w:rFonts w:ascii="Times New Roman" w:hAnsi="Times New Roman"/>
          <w:sz w:val="22"/>
          <w:szCs w:val="22"/>
        </w:rPr>
        <w:t>υς 4.4 και</w:t>
      </w:r>
      <w:r w:rsidR="003D30DF" w:rsidRPr="00460745">
        <w:rPr>
          <w:rFonts w:ascii="Times New Roman" w:hAnsi="Times New Roman"/>
          <w:sz w:val="22"/>
          <w:szCs w:val="22"/>
        </w:rPr>
        <w:t xml:space="preserve"> 4.6)</w:t>
      </w:r>
    </w:p>
    <w:p w:rsidR="003D30DF" w:rsidRPr="00460745" w:rsidRDefault="003D30DF" w:rsidP="00020ACD">
      <w:pPr>
        <w:numPr>
          <w:ilvl w:val="0"/>
          <w:numId w:val="6"/>
        </w:numPr>
        <w:rPr>
          <w:rFonts w:ascii="Times New Roman" w:hAnsi="Times New Roman"/>
          <w:sz w:val="22"/>
          <w:szCs w:val="22"/>
        </w:rPr>
      </w:pPr>
      <w:r w:rsidRPr="00460745">
        <w:rPr>
          <w:rFonts w:ascii="Times New Roman" w:hAnsi="Times New Roman"/>
          <w:sz w:val="22"/>
          <w:szCs w:val="22"/>
        </w:rPr>
        <w:t>Η ραμιπρίλη δεν πρέπει να χρησιμοποιείται σε ασθενείς σε υποτασικές ή αιμοδυναμικά ασταθείς καταστάσεις</w:t>
      </w:r>
      <w:r w:rsidR="00520DAA" w:rsidRPr="00460745">
        <w:rPr>
          <w:rFonts w:ascii="Times New Roman" w:hAnsi="Times New Roman"/>
          <w:sz w:val="22"/>
          <w:szCs w:val="22"/>
        </w:rPr>
        <w:t>.</w:t>
      </w:r>
    </w:p>
    <w:p w:rsidR="00BF671E" w:rsidRPr="00460745" w:rsidRDefault="00BF671E" w:rsidP="00266858">
      <w:pPr>
        <w:rPr>
          <w:rFonts w:ascii="Times New Roman" w:hAnsi="Times New Roman"/>
          <w:sz w:val="22"/>
          <w:szCs w:val="22"/>
        </w:rPr>
      </w:pPr>
    </w:p>
    <w:p w:rsidR="00520CDC" w:rsidRPr="003D7212" w:rsidRDefault="00520CDC" w:rsidP="00266858">
      <w:pPr>
        <w:rPr>
          <w:rFonts w:ascii="Times New Roman" w:hAnsi="Times New Roman"/>
          <w:b/>
          <w:sz w:val="22"/>
          <w:szCs w:val="22"/>
        </w:rPr>
      </w:pPr>
      <w:r w:rsidRPr="00460745">
        <w:rPr>
          <w:rFonts w:ascii="Times New Roman" w:hAnsi="Times New Roman"/>
          <w:b/>
          <w:sz w:val="22"/>
          <w:szCs w:val="22"/>
        </w:rPr>
        <w:t xml:space="preserve">4.4 </w:t>
      </w:r>
      <w:r w:rsidR="00266858" w:rsidRPr="00460745">
        <w:rPr>
          <w:rFonts w:ascii="Times New Roman" w:hAnsi="Times New Roman"/>
          <w:b/>
          <w:sz w:val="22"/>
          <w:szCs w:val="22"/>
        </w:rPr>
        <w:t>Ειδικές</w:t>
      </w:r>
      <w:r w:rsidRPr="00460745">
        <w:rPr>
          <w:rFonts w:ascii="Times New Roman" w:hAnsi="Times New Roman"/>
          <w:b/>
          <w:sz w:val="22"/>
          <w:szCs w:val="22"/>
        </w:rPr>
        <w:t xml:space="preserve"> προειδοποιήσεις και προφυλάξεις κατά τη χρήση</w:t>
      </w:r>
    </w:p>
    <w:p w:rsidR="00BF671E" w:rsidRPr="003D7212" w:rsidRDefault="00BF671E" w:rsidP="00266858">
      <w:pPr>
        <w:pStyle w:val="a"/>
        <w:numPr>
          <w:ilvl w:val="0"/>
          <w:numId w:val="0"/>
        </w:numPr>
        <w:rPr>
          <w:rFonts w:ascii="Times New Roman" w:hAnsi="Times New Roman"/>
          <w:i/>
          <w:sz w:val="22"/>
          <w:szCs w:val="22"/>
          <w:u w:val="single"/>
          <w:lang w:val="en-US"/>
        </w:rPr>
      </w:pPr>
      <w:r w:rsidRPr="00460745">
        <w:rPr>
          <w:rFonts w:ascii="Times New Roman" w:hAnsi="Times New Roman"/>
          <w:i/>
          <w:sz w:val="22"/>
          <w:szCs w:val="22"/>
          <w:u w:val="single"/>
        </w:rPr>
        <w:t>Ειδικοί πληθυσμοί</w:t>
      </w:r>
    </w:p>
    <w:p w:rsidR="00480D28" w:rsidRPr="00460745" w:rsidRDefault="00480D28" w:rsidP="00266858">
      <w:pPr>
        <w:pStyle w:val="a"/>
        <w:numPr>
          <w:ilvl w:val="0"/>
          <w:numId w:val="0"/>
        </w:numPr>
        <w:rPr>
          <w:rFonts w:ascii="Times New Roman" w:hAnsi="Times New Roman"/>
          <w:sz w:val="22"/>
          <w:szCs w:val="22"/>
        </w:rPr>
      </w:pPr>
      <w:r w:rsidRPr="00460745">
        <w:rPr>
          <w:rFonts w:ascii="Times New Roman" w:hAnsi="Times New Roman"/>
          <w:i/>
          <w:sz w:val="22"/>
          <w:szCs w:val="22"/>
        </w:rPr>
        <w:t>Κύηση</w:t>
      </w:r>
      <w:r w:rsidRPr="00460745">
        <w:rPr>
          <w:rFonts w:ascii="Times New Roman" w:hAnsi="Times New Roman"/>
          <w:sz w:val="22"/>
          <w:szCs w:val="22"/>
        </w:rPr>
        <w:t xml:space="preserve">: οι αναστολείς του ΜΕΑ </w:t>
      </w:r>
      <w:r w:rsidR="00200C14" w:rsidRPr="00460745">
        <w:rPr>
          <w:rFonts w:ascii="Times New Roman" w:hAnsi="Times New Roman"/>
          <w:sz w:val="22"/>
          <w:szCs w:val="22"/>
        </w:rPr>
        <w:t xml:space="preserve">δεν πρέπει να ξεκινήσουν κατά τη διάρκεια της κύησης. Οι ασθενείς οι οποίες σχεδιάζουν εγκυμοσύνη πρέπει να αλλάξουν σε εναλλακτικές αντιυπερτασικές θεραπείες, οι οποίες έχουν ένα </w:t>
      </w:r>
      <w:r w:rsidR="0073035D" w:rsidRPr="00460745">
        <w:rPr>
          <w:rFonts w:ascii="Times New Roman" w:hAnsi="Times New Roman"/>
          <w:sz w:val="22"/>
          <w:szCs w:val="22"/>
        </w:rPr>
        <w:t xml:space="preserve">τεκμηριωμένο </w:t>
      </w:r>
      <w:r w:rsidR="00200C14" w:rsidRPr="00460745">
        <w:rPr>
          <w:rFonts w:ascii="Times New Roman" w:hAnsi="Times New Roman"/>
          <w:sz w:val="22"/>
          <w:szCs w:val="22"/>
        </w:rPr>
        <w:t xml:space="preserve">προφίλ ασφάλειας για χρήση κατά την κύηση, εκτός εάν η συνέχιση της θεραπείας με αναστολέα του ΜΕΑ κρίνεται </w:t>
      </w:r>
      <w:r w:rsidR="004F44B7" w:rsidRPr="00460745">
        <w:rPr>
          <w:rFonts w:ascii="Times New Roman" w:hAnsi="Times New Roman"/>
          <w:sz w:val="22"/>
          <w:szCs w:val="22"/>
        </w:rPr>
        <w:t>απαραίτητη</w:t>
      </w:r>
      <w:r w:rsidR="00200C14" w:rsidRPr="00460745">
        <w:rPr>
          <w:rFonts w:ascii="Times New Roman" w:hAnsi="Times New Roman"/>
          <w:sz w:val="22"/>
          <w:szCs w:val="22"/>
        </w:rPr>
        <w:t>.</w:t>
      </w:r>
      <w:r w:rsidR="00DA6C13" w:rsidRPr="00460745">
        <w:rPr>
          <w:rFonts w:ascii="Times New Roman" w:hAnsi="Times New Roman"/>
          <w:sz w:val="22"/>
          <w:szCs w:val="22"/>
        </w:rPr>
        <w:t xml:space="preserve"> </w:t>
      </w:r>
      <w:r w:rsidR="00DB514A" w:rsidRPr="00460745">
        <w:rPr>
          <w:rFonts w:ascii="Times New Roman" w:hAnsi="Times New Roman"/>
          <w:sz w:val="22"/>
          <w:szCs w:val="22"/>
        </w:rPr>
        <w:t>Όταν διαγιγνώσκεται κύηση, η θεραπεία με αναστολείς του ΜΕΑ πρέπει να διακόπτεται άμεσα και, εάν είναι απαραίτητο, να αρχίζει εναλλακτική θεραπεία. (βλ. παραγράφους 4.3 και 4.6).</w:t>
      </w:r>
    </w:p>
    <w:p w:rsidR="00200C14" w:rsidRPr="00460745" w:rsidRDefault="00200C14" w:rsidP="00266858">
      <w:pPr>
        <w:pStyle w:val="a"/>
        <w:numPr>
          <w:ilvl w:val="0"/>
          <w:numId w:val="0"/>
        </w:numPr>
        <w:rPr>
          <w:rFonts w:ascii="Times New Roman" w:hAnsi="Times New Roman"/>
          <w:sz w:val="22"/>
          <w:szCs w:val="22"/>
          <w:u w:val="single"/>
        </w:rPr>
      </w:pPr>
    </w:p>
    <w:p w:rsidR="00BF671E" w:rsidRPr="00460745" w:rsidRDefault="00BF671E" w:rsidP="00775605">
      <w:pPr>
        <w:pStyle w:val="a"/>
        <w:numPr>
          <w:ilvl w:val="1"/>
          <w:numId w:val="12"/>
        </w:numPr>
        <w:tabs>
          <w:tab w:val="clear" w:pos="1440"/>
          <w:tab w:val="num" w:pos="1134"/>
        </w:tabs>
        <w:ind w:left="1134"/>
        <w:rPr>
          <w:rFonts w:ascii="Times New Roman" w:hAnsi="Times New Roman"/>
          <w:sz w:val="22"/>
          <w:szCs w:val="22"/>
        </w:rPr>
      </w:pPr>
      <w:r w:rsidRPr="00460745">
        <w:rPr>
          <w:rFonts w:ascii="Times New Roman" w:hAnsi="Times New Roman"/>
          <w:i/>
          <w:sz w:val="22"/>
          <w:szCs w:val="22"/>
        </w:rPr>
        <w:t>Ασθενείς με ιδιαίτερο κίνδυνο υπότασης</w:t>
      </w:r>
    </w:p>
    <w:p w:rsidR="00BF671E" w:rsidRPr="00460745" w:rsidRDefault="00BF671E" w:rsidP="00BF671E">
      <w:pPr>
        <w:pStyle w:val="a"/>
        <w:numPr>
          <w:ilvl w:val="0"/>
          <w:numId w:val="0"/>
        </w:numPr>
        <w:ind w:left="511"/>
        <w:rPr>
          <w:rFonts w:ascii="Times New Roman" w:hAnsi="Times New Roman"/>
          <w:sz w:val="22"/>
          <w:szCs w:val="22"/>
        </w:rPr>
      </w:pPr>
    </w:p>
    <w:p w:rsidR="00BF671E" w:rsidRPr="00460745" w:rsidRDefault="007B5F56" w:rsidP="00BF671E">
      <w:pPr>
        <w:pStyle w:val="a"/>
        <w:numPr>
          <w:ilvl w:val="0"/>
          <w:numId w:val="7"/>
        </w:numPr>
        <w:rPr>
          <w:rFonts w:ascii="Times New Roman" w:hAnsi="Times New Roman"/>
          <w:sz w:val="22"/>
          <w:szCs w:val="22"/>
        </w:rPr>
      </w:pPr>
      <w:r w:rsidRPr="00460745">
        <w:rPr>
          <w:rFonts w:ascii="Times New Roman" w:hAnsi="Times New Roman"/>
          <w:i/>
          <w:sz w:val="22"/>
          <w:szCs w:val="22"/>
        </w:rPr>
        <w:t>Ασθενείς με έντονα ενεργοποιημένο σύστημα ρενίνης-αγγειοτασίνης-αλδοστερόνης</w:t>
      </w:r>
    </w:p>
    <w:p w:rsidR="007B5F56" w:rsidRPr="00460745" w:rsidRDefault="007B5F56" w:rsidP="007B5F56">
      <w:pPr>
        <w:pStyle w:val="a"/>
        <w:numPr>
          <w:ilvl w:val="0"/>
          <w:numId w:val="0"/>
        </w:numPr>
        <w:rPr>
          <w:rFonts w:ascii="Times New Roman" w:hAnsi="Times New Roman"/>
          <w:sz w:val="22"/>
          <w:szCs w:val="22"/>
        </w:rPr>
      </w:pPr>
      <w:r w:rsidRPr="00460745">
        <w:rPr>
          <w:rFonts w:ascii="Times New Roman" w:hAnsi="Times New Roman"/>
          <w:sz w:val="22"/>
          <w:szCs w:val="22"/>
        </w:rPr>
        <w:t xml:space="preserve">Ασθενείς με έντονα ενεργοποιημένο σύστημα ρενίνης-αγγειοτασίνης-αλδοστερόνης είναι </w:t>
      </w:r>
      <w:r w:rsidR="00BE6E44" w:rsidRPr="00460745">
        <w:rPr>
          <w:rFonts w:ascii="Times New Roman" w:hAnsi="Times New Roman"/>
          <w:sz w:val="22"/>
          <w:szCs w:val="22"/>
        </w:rPr>
        <w:t xml:space="preserve">σε κίνδυνο μίας οξείας έκδηλης πτώσης της </w:t>
      </w:r>
      <w:r w:rsidR="00F76CF7" w:rsidRPr="00460745">
        <w:rPr>
          <w:rFonts w:ascii="Times New Roman" w:hAnsi="Times New Roman"/>
          <w:sz w:val="22"/>
          <w:szCs w:val="22"/>
        </w:rPr>
        <w:t>αρτηριακής πίεσης</w:t>
      </w:r>
      <w:r w:rsidR="00BE6E44" w:rsidRPr="00460745">
        <w:rPr>
          <w:rFonts w:ascii="Times New Roman" w:hAnsi="Times New Roman"/>
          <w:sz w:val="22"/>
          <w:szCs w:val="22"/>
        </w:rPr>
        <w:t xml:space="preserve"> και επιδείνωση</w:t>
      </w:r>
      <w:r w:rsidR="00B92FC3" w:rsidRPr="00460745">
        <w:rPr>
          <w:rFonts w:ascii="Times New Roman" w:hAnsi="Times New Roman"/>
          <w:sz w:val="22"/>
          <w:szCs w:val="22"/>
        </w:rPr>
        <w:t>ς</w:t>
      </w:r>
      <w:r w:rsidR="00BE6E44" w:rsidRPr="00460745">
        <w:rPr>
          <w:rFonts w:ascii="Times New Roman" w:hAnsi="Times New Roman"/>
          <w:sz w:val="22"/>
          <w:szCs w:val="22"/>
        </w:rPr>
        <w:t xml:space="preserve"> της νεφρικής λειτουργίας λόγω αναστολής του ΜΕΑ, ειδικά όταν ένας αναστολέας του ΜΕΑ ή ένα διουρητικό χορηγείται ταυτόχρονα για πρώτη φορά ή στην πρώτη αύξηση της δόσης. Η σημαντική ενεργοποίηση του συστήματος ρενίνης-αγγειοτασίνης-αλδοστερόνης θα πρέπει να αν</w:t>
      </w:r>
      <w:r w:rsidR="00F87A67" w:rsidRPr="00460745">
        <w:rPr>
          <w:rFonts w:ascii="Times New Roman" w:hAnsi="Times New Roman"/>
          <w:sz w:val="22"/>
          <w:szCs w:val="22"/>
        </w:rPr>
        <w:t>αμένεται</w:t>
      </w:r>
      <w:r w:rsidR="00BE6E44" w:rsidRPr="00460745">
        <w:rPr>
          <w:rFonts w:ascii="Times New Roman" w:hAnsi="Times New Roman"/>
          <w:sz w:val="22"/>
          <w:szCs w:val="22"/>
        </w:rPr>
        <w:t xml:space="preserve"> και η ιατρική παρακολούθηση συμπεριλαμβανομένης της παρακολούθησης της </w:t>
      </w:r>
      <w:r w:rsidR="00F76CF7" w:rsidRPr="00460745">
        <w:rPr>
          <w:rFonts w:ascii="Times New Roman" w:hAnsi="Times New Roman"/>
          <w:sz w:val="22"/>
          <w:szCs w:val="22"/>
        </w:rPr>
        <w:t>αρτηριακής πίεσης</w:t>
      </w:r>
      <w:r w:rsidR="00BE6E44" w:rsidRPr="00460745">
        <w:rPr>
          <w:rFonts w:ascii="Times New Roman" w:hAnsi="Times New Roman"/>
          <w:sz w:val="22"/>
          <w:szCs w:val="22"/>
        </w:rPr>
        <w:t xml:space="preserve"> είναι απαραίτητες, όπως για παράδειγμα στους:</w:t>
      </w:r>
    </w:p>
    <w:p w:rsidR="00BE6E44" w:rsidRPr="00460745" w:rsidRDefault="00543942" w:rsidP="00775605">
      <w:pPr>
        <w:pStyle w:val="a"/>
        <w:numPr>
          <w:ilvl w:val="0"/>
          <w:numId w:val="8"/>
        </w:numPr>
        <w:tabs>
          <w:tab w:val="clear" w:pos="360"/>
          <w:tab w:val="num" w:pos="851"/>
        </w:tabs>
        <w:ind w:left="851"/>
        <w:rPr>
          <w:rFonts w:ascii="Times New Roman" w:hAnsi="Times New Roman"/>
          <w:sz w:val="22"/>
          <w:szCs w:val="22"/>
        </w:rPr>
      </w:pPr>
      <w:r w:rsidRPr="00460745">
        <w:rPr>
          <w:rFonts w:ascii="Times New Roman" w:hAnsi="Times New Roman"/>
          <w:sz w:val="22"/>
          <w:szCs w:val="22"/>
        </w:rPr>
        <w:lastRenderedPageBreak/>
        <w:t>ασθενείς με σοβαρή υπ</w:t>
      </w:r>
      <w:r w:rsidR="00F87A67" w:rsidRPr="00460745">
        <w:rPr>
          <w:rFonts w:ascii="Times New Roman" w:hAnsi="Times New Roman"/>
          <w:sz w:val="22"/>
          <w:szCs w:val="22"/>
        </w:rPr>
        <w:t>έρ</w:t>
      </w:r>
      <w:r w:rsidRPr="00460745">
        <w:rPr>
          <w:rFonts w:ascii="Times New Roman" w:hAnsi="Times New Roman"/>
          <w:sz w:val="22"/>
          <w:szCs w:val="22"/>
        </w:rPr>
        <w:t>ταση</w:t>
      </w:r>
    </w:p>
    <w:p w:rsidR="00543942" w:rsidRPr="00460745" w:rsidRDefault="00543942" w:rsidP="00775605">
      <w:pPr>
        <w:pStyle w:val="a"/>
        <w:numPr>
          <w:ilvl w:val="0"/>
          <w:numId w:val="8"/>
        </w:numPr>
        <w:tabs>
          <w:tab w:val="clear" w:pos="360"/>
          <w:tab w:val="num" w:pos="851"/>
        </w:tabs>
        <w:ind w:left="851"/>
        <w:rPr>
          <w:rFonts w:ascii="Times New Roman" w:hAnsi="Times New Roman"/>
          <w:sz w:val="22"/>
          <w:szCs w:val="22"/>
        </w:rPr>
      </w:pPr>
      <w:r w:rsidRPr="00460745">
        <w:rPr>
          <w:rFonts w:ascii="Times New Roman" w:hAnsi="Times New Roman"/>
          <w:sz w:val="22"/>
          <w:szCs w:val="22"/>
        </w:rPr>
        <w:t xml:space="preserve">ασθενείς με μη </w:t>
      </w:r>
      <w:r w:rsidR="00675EA7" w:rsidRPr="00460745">
        <w:rPr>
          <w:rFonts w:ascii="Times New Roman" w:hAnsi="Times New Roman"/>
          <w:sz w:val="22"/>
          <w:szCs w:val="22"/>
        </w:rPr>
        <w:t>αντιρροπούμενη</w:t>
      </w:r>
      <w:r w:rsidRPr="00460745">
        <w:rPr>
          <w:rFonts w:ascii="Times New Roman" w:hAnsi="Times New Roman"/>
          <w:sz w:val="22"/>
          <w:szCs w:val="22"/>
        </w:rPr>
        <w:t xml:space="preserve"> συμφορητική καρδιακή ανεπάρκεια</w:t>
      </w:r>
    </w:p>
    <w:p w:rsidR="00543942" w:rsidRPr="00460745" w:rsidRDefault="00543942" w:rsidP="00775605">
      <w:pPr>
        <w:pStyle w:val="a"/>
        <w:numPr>
          <w:ilvl w:val="0"/>
          <w:numId w:val="8"/>
        </w:numPr>
        <w:tabs>
          <w:tab w:val="clear" w:pos="360"/>
          <w:tab w:val="num" w:pos="851"/>
        </w:tabs>
        <w:ind w:left="851"/>
        <w:rPr>
          <w:rFonts w:ascii="Times New Roman" w:hAnsi="Times New Roman"/>
          <w:sz w:val="22"/>
          <w:szCs w:val="22"/>
        </w:rPr>
      </w:pPr>
      <w:r w:rsidRPr="00460745">
        <w:rPr>
          <w:rFonts w:ascii="Times New Roman" w:hAnsi="Times New Roman"/>
          <w:sz w:val="22"/>
          <w:szCs w:val="22"/>
        </w:rPr>
        <w:t xml:space="preserve">ασθενείς με αιμοδυναμικά σχετική παρεμπόδιση της αριστερής κοιλιακής εισροής ή εκροής (π.χ. στένωση </w:t>
      </w:r>
      <w:r w:rsidR="00E76087" w:rsidRPr="00460745">
        <w:rPr>
          <w:rFonts w:ascii="Times New Roman" w:hAnsi="Times New Roman"/>
          <w:sz w:val="22"/>
          <w:szCs w:val="22"/>
        </w:rPr>
        <w:t>της αορτικής ή της μιτροειδούς βαλβίδας)</w:t>
      </w:r>
    </w:p>
    <w:p w:rsidR="00E76087" w:rsidRPr="00460745" w:rsidRDefault="004D3D93" w:rsidP="00775605">
      <w:pPr>
        <w:pStyle w:val="a"/>
        <w:numPr>
          <w:ilvl w:val="0"/>
          <w:numId w:val="8"/>
        </w:numPr>
        <w:tabs>
          <w:tab w:val="clear" w:pos="360"/>
          <w:tab w:val="num" w:pos="851"/>
        </w:tabs>
        <w:ind w:left="851"/>
        <w:rPr>
          <w:rFonts w:ascii="Times New Roman" w:hAnsi="Times New Roman"/>
          <w:sz w:val="22"/>
          <w:szCs w:val="22"/>
        </w:rPr>
      </w:pPr>
      <w:r w:rsidRPr="00460745">
        <w:rPr>
          <w:rFonts w:ascii="Times New Roman" w:hAnsi="Times New Roman"/>
          <w:sz w:val="22"/>
          <w:szCs w:val="22"/>
        </w:rPr>
        <w:t>ασθενείς με ετερόπλευρη στένωση της νεφρικής αρτηρίας με δεύτερο λειτουργικό νεφρό</w:t>
      </w:r>
    </w:p>
    <w:p w:rsidR="004D3D93" w:rsidRPr="00460745" w:rsidRDefault="004D3D93" w:rsidP="00775605">
      <w:pPr>
        <w:pStyle w:val="a"/>
        <w:numPr>
          <w:ilvl w:val="0"/>
          <w:numId w:val="8"/>
        </w:numPr>
        <w:tabs>
          <w:tab w:val="clear" w:pos="360"/>
          <w:tab w:val="num" w:pos="851"/>
        </w:tabs>
        <w:ind w:left="851"/>
        <w:rPr>
          <w:rFonts w:ascii="Times New Roman" w:hAnsi="Times New Roman"/>
          <w:sz w:val="22"/>
          <w:szCs w:val="22"/>
        </w:rPr>
      </w:pPr>
      <w:r w:rsidRPr="00460745">
        <w:rPr>
          <w:rFonts w:ascii="Times New Roman" w:hAnsi="Times New Roman"/>
          <w:sz w:val="22"/>
          <w:szCs w:val="22"/>
        </w:rPr>
        <w:t>ασθενείς στους οποίους υπάρχει ή μπορεί να αναπτυχθεί έλλειμμα υγρών ή ηλεκτρολυτών (συμπεριλαμβανομένων των ασθενών με διουρητικά)</w:t>
      </w:r>
    </w:p>
    <w:p w:rsidR="004D3D93" w:rsidRPr="00460745" w:rsidRDefault="004D3D93" w:rsidP="00775605">
      <w:pPr>
        <w:pStyle w:val="a"/>
        <w:numPr>
          <w:ilvl w:val="0"/>
          <w:numId w:val="8"/>
        </w:numPr>
        <w:tabs>
          <w:tab w:val="clear" w:pos="360"/>
          <w:tab w:val="num" w:pos="851"/>
        </w:tabs>
        <w:ind w:left="851"/>
        <w:rPr>
          <w:rFonts w:ascii="Times New Roman" w:hAnsi="Times New Roman"/>
          <w:sz w:val="22"/>
          <w:szCs w:val="22"/>
        </w:rPr>
      </w:pPr>
      <w:r w:rsidRPr="00460745">
        <w:rPr>
          <w:rFonts w:ascii="Times New Roman" w:hAnsi="Times New Roman"/>
          <w:sz w:val="22"/>
          <w:szCs w:val="22"/>
        </w:rPr>
        <w:t>ασθενείς με κίρρωση του ήπατος και/ή ασκίτη</w:t>
      </w:r>
    </w:p>
    <w:p w:rsidR="004D3D93" w:rsidRPr="00460745" w:rsidRDefault="004D3D93" w:rsidP="00775605">
      <w:pPr>
        <w:pStyle w:val="a"/>
        <w:numPr>
          <w:ilvl w:val="0"/>
          <w:numId w:val="8"/>
        </w:numPr>
        <w:tabs>
          <w:tab w:val="clear" w:pos="360"/>
          <w:tab w:val="num" w:pos="851"/>
        </w:tabs>
        <w:ind w:left="851"/>
        <w:rPr>
          <w:rFonts w:ascii="Times New Roman" w:hAnsi="Times New Roman"/>
          <w:sz w:val="22"/>
          <w:szCs w:val="22"/>
        </w:rPr>
      </w:pPr>
      <w:r w:rsidRPr="00460745">
        <w:rPr>
          <w:rFonts w:ascii="Times New Roman" w:hAnsi="Times New Roman"/>
          <w:sz w:val="22"/>
          <w:szCs w:val="22"/>
        </w:rPr>
        <w:t>ασθενείς που υποβάλλονται σε μείζονα χειρουργική επέμβαση ή κατά τη διάρκεια της αναισθησίας με παράγοντες που προκαλούν υπόταση.</w:t>
      </w:r>
    </w:p>
    <w:p w:rsidR="004D3D93" w:rsidRPr="00460745" w:rsidRDefault="004D3D93" w:rsidP="00F87BF8">
      <w:pPr>
        <w:pStyle w:val="a"/>
        <w:numPr>
          <w:ilvl w:val="0"/>
          <w:numId w:val="0"/>
        </w:numPr>
        <w:rPr>
          <w:rFonts w:ascii="Times New Roman" w:hAnsi="Times New Roman"/>
          <w:sz w:val="22"/>
          <w:szCs w:val="22"/>
        </w:rPr>
      </w:pPr>
      <w:r w:rsidRPr="00460745">
        <w:rPr>
          <w:rFonts w:ascii="Times New Roman" w:hAnsi="Times New Roman"/>
          <w:sz w:val="22"/>
          <w:szCs w:val="22"/>
        </w:rPr>
        <w:t xml:space="preserve">Γενικά, συνιστάται </w:t>
      </w:r>
      <w:r w:rsidR="00F87BF8" w:rsidRPr="00460745">
        <w:rPr>
          <w:rFonts w:ascii="Times New Roman" w:hAnsi="Times New Roman"/>
          <w:sz w:val="22"/>
          <w:szCs w:val="22"/>
        </w:rPr>
        <w:t>η διόρθωση της αφυδάτωσης, της υποογκαιμίας ή του ελλείμματος των ηλεκτρολυτών προτού αρχίσει η αγωγή (σε ασθενείς με καρδιακή ανεπάρκεια, ωστόσο, μία διορθωτική ενέργεια σαν και αυτή θα πρέπει να σταθμίζεται προσεκτικά έναντι του κινδύνου της υπερφόρτωσης του όγκου).</w:t>
      </w:r>
    </w:p>
    <w:p w:rsidR="00A66532" w:rsidRPr="00460745" w:rsidRDefault="00A66532" w:rsidP="00F87BF8">
      <w:pPr>
        <w:pStyle w:val="a"/>
        <w:numPr>
          <w:ilvl w:val="0"/>
          <w:numId w:val="0"/>
        </w:numPr>
        <w:rPr>
          <w:rFonts w:ascii="Times New Roman" w:hAnsi="Times New Roman"/>
          <w:sz w:val="22"/>
          <w:szCs w:val="22"/>
        </w:rPr>
      </w:pPr>
    </w:p>
    <w:p w:rsidR="00F87BF8" w:rsidRPr="00460745" w:rsidRDefault="00A66532" w:rsidP="00775605">
      <w:pPr>
        <w:pStyle w:val="a"/>
        <w:numPr>
          <w:ilvl w:val="0"/>
          <w:numId w:val="9"/>
        </w:numPr>
        <w:tabs>
          <w:tab w:val="clear" w:pos="786"/>
          <w:tab w:val="num" w:pos="284"/>
        </w:tabs>
        <w:ind w:left="284" w:hanging="284"/>
        <w:rPr>
          <w:rFonts w:ascii="Times New Roman" w:hAnsi="Times New Roman"/>
          <w:sz w:val="22"/>
          <w:szCs w:val="22"/>
        </w:rPr>
      </w:pPr>
      <w:r w:rsidRPr="00460745">
        <w:rPr>
          <w:rFonts w:ascii="Times New Roman" w:hAnsi="Times New Roman"/>
          <w:i/>
          <w:sz w:val="22"/>
          <w:szCs w:val="22"/>
        </w:rPr>
        <w:t>Π</w:t>
      </w:r>
      <w:r w:rsidR="0049632C" w:rsidRPr="00460745">
        <w:rPr>
          <w:rFonts w:ascii="Times New Roman" w:hAnsi="Times New Roman"/>
          <w:i/>
          <w:sz w:val="22"/>
          <w:szCs w:val="22"/>
        </w:rPr>
        <w:t xml:space="preserve">αροδική ή </w:t>
      </w:r>
      <w:r w:rsidR="0057015C" w:rsidRPr="00460745">
        <w:rPr>
          <w:rFonts w:ascii="Times New Roman" w:hAnsi="Times New Roman"/>
          <w:i/>
          <w:sz w:val="22"/>
          <w:szCs w:val="22"/>
        </w:rPr>
        <w:t>εμμένουσα</w:t>
      </w:r>
      <w:r w:rsidR="0049632C" w:rsidRPr="00460745">
        <w:rPr>
          <w:rFonts w:ascii="Times New Roman" w:hAnsi="Times New Roman"/>
          <w:i/>
          <w:sz w:val="22"/>
          <w:szCs w:val="22"/>
        </w:rPr>
        <w:t xml:space="preserve"> καρδιακή ανεπάρκεια μετά από ΕΜ</w:t>
      </w:r>
    </w:p>
    <w:p w:rsidR="00A66532" w:rsidRPr="00460745" w:rsidRDefault="00A66532" w:rsidP="00A66532">
      <w:pPr>
        <w:pStyle w:val="a"/>
        <w:numPr>
          <w:ilvl w:val="0"/>
          <w:numId w:val="0"/>
        </w:numPr>
        <w:rPr>
          <w:rFonts w:ascii="Times New Roman" w:hAnsi="Times New Roman"/>
          <w:sz w:val="22"/>
          <w:szCs w:val="22"/>
        </w:rPr>
      </w:pPr>
    </w:p>
    <w:p w:rsidR="007B5F56" w:rsidRPr="00460745" w:rsidRDefault="00F87BF8" w:rsidP="00BF671E">
      <w:pPr>
        <w:pStyle w:val="a"/>
        <w:numPr>
          <w:ilvl w:val="0"/>
          <w:numId w:val="7"/>
        </w:numPr>
        <w:rPr>
          <w:rFonts w:ascii="Times New Roman" w:hAnsi="Times New Roman"/>
          <w:sz w:val="22"/>
          <w:szCs w:val="22"/>
        </w:rPr>
      </w:pPr>
      <w:r w:rsidRPr="00460745">
        <w:rPr>
          <w:rFonts w:ascii="Times New Roman" w:hAnsi="Times New Roman"/>
          <w:i/>
          <w:sz w:val="22"/>
          <w:szCs w:val="22"/>
        </w:rPr>
        <w:t xml:space="preserve">Ασθενείς σε κίνδυνο καρδιακής ή εγκεφαλικής ισχαιμίας στην περίπτωση οξείας υπότασης </w:t>
      </w:r>
    </w:p>
    <w:p w:rsidR="00F87BF8" w:rsidRPr="00460745" w:rsidRDefault="00F87BF8" w:rsidP="00F87BF8">
      <w:pPr>
        <w:pStyle w:val="a"/>
        <w:numPr>
          <w:ilvl w:val="0"/>
          <w:numId w:val="0"/>
        </w:numPr>
        <w:rPr>
          <w:rFonts w:ascii="Times New Roman" w:hAnsi="Times New Roman"/>
          <w:sz w:val="22"/>
          <w:szCs w:val="22"/>
          <w:lang w:val="en-US"/>
        </w:rPr>
      </w:pPr>
      <w:r w:rsidRPr="00460745">
        <w:rPr>
          <w:rFonts w:ascii="Times New Roman" w:hAnsi="Times New Roman"/>
          <w:sz w:val="22"/>
          <w:szCs w:val="22"/>
        </w:rPr>
        <w:t>Η αρχική φάση της αγωγής απαιτεί ειδική ιατρική παρακολούθηση.</w:t>
      </w:r>
    </w:p>
    <w:p w:rsidR="00301883" w:rsidRPr="00460745" w:rsidRDefault="00301883" w:rsidP="00F87BF8">
      <w:pPr>
        <w:pStyle w:val="a"/>
        <w:numPr>
          <w:ilvl w:val="0"/>
          <w:numId w:val="0"/>
        </w:numPr>
        <w:rPr>
          <w:rFonts w:ascii="Times New Roman" w:hAnsi="Times New Roman"/>
          <w:sz w:val="22"/>
          <w:szCs w:val="22"/>
          <w:lang w:val="en-US"/>
        </w:rPr>
      </w:pPr>
    </w:p>
    <w:p w:rsidR="00BF671E" w:rsidRPr="00460745" w:rsidRDefault="00BF671E" w:rsidP="00775605">
      <w:pPr>
        <w:pStyle w:val="a"/>
        <w:numPr>
          <w:ilvl w:val="1"/>
          <w:numId w:val="13"/>
        </w:numPr>
        <w:tabs>
          <w:tab w:val="clear" w:pos="1440"/>
          <w:tab w:val="num" w:pos="1134"/>
        </w:tabs>
        <w:ind w:left="1134"/>
        <w:rPr>
          <w:rFonts w:ascii="Times New Roman" w:hAnsi="Times New Roman"/>
          <w:sz w:val="22"/>
          <w:szCs w:val="22"/>
        </w:rPr>
      </w:pPr>
      <w:r w:rsidRPr="00460745">
        <w:rPr>
          <w:rFonts w:ascii="Times New Roman" w:hAnsi="Times New Roman"/>
          <w:i/>
          <w:sz w:val="22"/>
          <w:szCs w:val="22"/>
        </w:rPr>
        <w:t>Ηλικιωμένοι ασθενείς</w:t>
      </w:r>
    </w:p>
    <w:p w:rsidR="00543942" w:rsidRPr="00460745" w:rsidRDefault="00F87BF8" w:rsidP="00266858">
      <w:pPr>
        <w:rPr>
          <w:rFonts w:ascii="Times New Roman" w:hAnsi="Times New Roman"/>
          <w:sz w:val="22"/>
          <w:szCs w:val="22"/>
        </w:rPr>
      </w:pPr>
      <w:r w:rsidRPr="00460745">
        <w:rPr>
          <w:rFonts w:ascii="Times New Roman" w:hAnsi="Times New Roman"/>
          <w:sz w:val="22"/>
          <w:szCs w:val="22"/>
        </w:rPr>
        <w:t>Βλ. παράγραφο 4.2.</w:t>
      </w:r>
    </w:p>
    <w:p w:rsidR="00F87BF8" w:rsidRPr="00460745" w:rsidRDefault="00F87BF8" w:rsidP="00266858">
      <w:pPr>
        <w:rPr>
          <w:rFonts w:ascii="Times New Roman" w:hAnsi="Times New Roman"/>
          <w:sz w:val="22"/>
          <w:szCs w:val="22"/>
        </w:rPr>
      </w:pPr>
    </w:p>
    <w:p w:rsidR="00C15841" w:rsidRPr="00460745" w:rsidRDefault="00C15841" w:rsidP="00266858">
      <w:pPr>
        <w:rPr>
          <w:rFonts w:ascii="Times New Roman" w:hAnsi="Times New Roman"/>
          <w:i/>
          <w:sz w:val="22"/>
          <w:szCs w:val="22"/>
          <w:u w:val="single"/>
        </w:rPr>
      </w:pPr>
      <w:r w:rsidRPr="00460745">
        <w:rPr>
          <w:rFonts w:ascii="Times New Roman" w:hAnsi="Times New Roman"/>
          <w:i/>
          <w:sz w:val="22"/>
          <w:szCs w:val="22"/>
          <w:u w:val="single"/>
        </w:rPr>
        <w:t>Χειρουργική επέμβαση</w:t>
      </w:r>
    </w:p>
    <w:p w:rsidR="00C15841" w:rsidRPr="00460745" w:rsidRDefault="00C15841" w:rsidP="00266858">
      <w:pPr>
        <w:rPr>
          <w:rFonts w:ascii="Times New Roman" w:hAnsi="Times New Roman"/>
          <w:sz w:val="22"/>
          <w:szCs w:val="22"/>
        </w:rPr>
      </w:pPr>
      <w:r w:rsidRPr="00460745">
        <w:rPr>
          <w:rFonts w:ascii="Times New Roman" w:hAnsi="Times New Roman"/>
          <w:sz w:val="22"/>
          <w:szCs w:val="22"/>
        </w:rPr>
        <w:t>Συνιστάται η θεραπεία με αναστολέα του μετατρεπτικού ενζύμου της αγγειοτασίνης όπως η ραμιπρίλη να διακόπτεται</w:t>
      </w:r>
      <w:r w:rsidR="00DB514A" w:rsidRPr="00460745">
        <w:rPr>
          <w:rFonts w:ascii="Times New Roman" w:hAnsi="Times New Roman"/>
          <w:sz w:val="22"/>
          <w:szCs w:val="22"/>
        </w:rPr>
        <w:t>,</w:t>
      </w:r>
      <w:r w:rsidRPr="00460745">
        <w:rPr>
          <w:rFonts w:ascii="Times New Roman" w:hAnsi="Times New Roman"/>
          <w:sz w:val="22"/>
          <w:szCs w:val="22"/>
        </w:rPr>
        <w:t xml:space="preserve"> όταν είναι εφικτό</w:t>
      </w:r>
      <w:r w:rsidR="00DB514A" w:rsidRPr="00460745">
        <w:rPr>
          <w:rFonts w:ascii="Times New Roman" w:hAnsi="Times New Roman"/>
          <w:sz w:val="22"/>
          <w:szCs w:val="22"/>
        </w:rPr>
        <w:t>,</w:t>
      </w:r>
      <w:r w:rsidRPr="00460745">
        <w:rPr>
          <w:rFonts w:ascii="Times New Roman" w:hAnsi="Times New Roman"/>
          <w:sz w:val="22"/>
          <w:szCs w:val="22"/>
        </w:rPr>
        <w:t xml:space="preserve"> μία ημέρα πριν από το χειρουργείο. </w:t>
      </w:r>
    </w:p>
    <w:p w:rsidR="000957E6" w:rsidRPr="00460745" w:rsidRDefault="000957E6" w:rsidP="00057C26">
      <w:pPr>
        <w:pStyle w:val="a"/>
        <w:numPr>
          <w:ilvl w:val="0"/>
          <w:numId w:val="0"/>
        </w:numPr>
        <w:rPr>
          <w:rFonts w:ascii="Times New Roman" w:hAnsi="Times New Roman"/>
          <w:i/>
          <w:sz w:val="22"/>
          <w:szCs w:val="22"/>
          <w:u w:val="single"/>
          <w:lang w:val="en-US"/>
        </w:rPr>
      </w:pPr>
    </w:p>
    <w:p w:rsidR="00057C26" w:rsidRPr="00460745" w:rsidRDefault="00057C26" w:rsidP="00057C26">
      <w:pPr>
        <w:pStyle w:val="a"/>
        <w:numPr>
          <w:ilvl w:val="0"/>
          <w:numId w:val="0"/>
        </w:numPr>
        <w:rPr>
          <w:rFonts w:ascii="Times New Roman" w:hAnsi="Times New Roman"/>
          <w:i/>
          <w:sz w:val="22"/>
          <w:szCs w:val="22"/>
          <w:u w:val="single"/>
        </w:rPr>
      </w:pPr>
      <w:r w:rsidRPr="00460745">
        <w:rPr>
          <w:rFonts w:ascii="Times New Roman" w:hAnsi="Times New Roman"/>
          <w:i/>
          <w:sz w:val="22"/>
          <w:szCs w:val="22"/>
          <w:u w:val="single"/>
        </w:rPr>
        <w:t>Παρακολούθηση της νεφρικής λειτουργίας</w:t>
      </w:r>
    </w:p>
    <w:p w:rsidR="00057C26" w:rsidRPr="00460745" w:rsidRDefault="00057C26" w:rsidP="00057C26">
      <w:pPr>
        <w:pStyle w:val="a"/>
        <w:numPr>
          <w:ilvl w:val="0"/>
          <w:numId w:val="0"/>
        </w:numPr>
        <w:rPr>
          <w:rFonts w:ascii="Times New Roman" w:hAnsi="Times New Roman"/>
          <w:sz w:val="22"/>
          <w:szCs w:val="22"/>
        </w:rPr>
      </w:pPr>
      <w:r w:rsidRPr="00460745">
        <w:rPr>
          <w:rFonts w:ascii="Times New Roman" w:hAnsi="Times New Roman"/>
          <w:sz w:val="22"/>
          <w:szCs w:val="22"/>
        </w:rPr>
        <w:t xml:space="preserve">Η νεφρική λειτουργία πρέπει να </w:t>
      </w:r>
      <w:r w:rsidR="007D3920" w:rsidRPr="00460745">
        <w:rPr>
          <w:rFonts w:ascii="Times New Roman" w:hAnsi="Times New Roman"/>
          <w:sz w:val="22"/>
          <w:szCs w:val="22"/>
        </w:rPr>
        <w:t xml:space="preserve">αξιολογείται πριν και </w:t>
      </w:r>
      <w:r w:rsidRPr="00460745">
        <w:rPr>
          <w:rFonts w:ascii="Times New Roman" w:hAnsi="Times New Roman"/>
          <w:sz w:val="22"/>
          <w:szCs w:val="22"/>
        </w:rPr>
        <w:t>κατά τη διάρκεια της αγωγής και η δοσολογία να προσαρμόζεται ειδικά στις πρώτες βδομάδες της αγωγής. Ιδιαίτερα προσεκτική παρακολούθηση απαιτείται σε ασθενείς με νεφρική δυσλειτουργία (βλ. παράγραφο 4.2).</w:t>
      </w:r>
      <w:r w:rsidR="007D3920" w:rsidRPr="00460745">
        <w:rPr>
          <w:rFonts w:ascii="Times New Roman" w:hAnsi="Times New Roman"/>
          <w:sz w:val="22"/>
          <w:szCs w:val="22"/>
        </w:rPr>
        <w:t xml:space="preserve"> Υπάρχει κίνδυνος νεφρικής δυσλειτουργίας, ειδικά σε ασθενείς με συμφορητική καρδιακή ανεπάρκεια ή μετά από μεταμόσχευση νεφρού.</w:t>
      </w:r>
    </w:p>
    <w:p w:rsidR="00BE3435" w:rsidRPr="00460745" w:rsidRDefault="00BE3435" w:rsidP="00057C26">
      <w:pPr>
        <w:pStyle w:val="a"/>
        <w:numPr>
          <w:ilvl w:val="0"/>
          <w:numId w:val="0"/>
        </w:numPr>
        <w:rPr>
          <w:rFonts w:ascii="Times New Roman" w:hAnsi="Times New Roman"/>
          <w:sz w:val="22"/>
          <w:szCs w:val="22"/>
        </w:rPr>
      </w:pPr>
    </w:p>
    <w:p w:rsidR="00BE3435" w:rsidRPr="00460745" w:rsidRDefault="00BE3435" w:rsidP="00057C26">
      <w:pPr>
        <w:pStyle w:val="a"/>
        <w:numPr>
          <w:ilvl w:val="0"/>
          <w:numId w:val="0"/>
        </w:numPr>
        <w:rPr>
          <w:rFonts w:ascii="Times New Roman" w:hAnsi="Times New Roman"/>
          <w:i/>
          <w:sz w:val="22"/>
          <w:szCs w:val="22"/>
          <w:u w:val="single"/>
        </w:rPr>
      </w:pPr>
      <w:r w:rsidRPr="00460745">
        <w:rPr>
          <w:rFonts w:ascii="Times New Roman" w:hAnsi="Times New Roman"/>
          <w:i/>
          <w:sz w:val="22"/>
          <w:szCs w:val="22"/>
          <w:u w:val="single"/>
        </w:rPr>
        <w:t>Αγγειοοίδημα</w:t>
      </w:r>
    </w:p>
    <w:p w:rsidR="00BE3435" w:rsidRPr="00460745" w:rsidRDefault="00BE3435" w:rsidP="00057C26">
      <w:pPr>
        <w:pStyle w:val="a"/>
        <w:numPr>
          <w:ilvl w:val="0"/>
          <w:numId w:val="0"/>
        </w:numPr>
        <w:rPr>
          <w:rFonts w:ascii="Times New Roman" w:hAnsi="Times New Roman"/>
          <w:sz w:val="22"/>
          <w:szCs w:val="22"/>
        </w:rPr>
      </w:pPr>
      <w:r w:rsidRPr="00460745">
        <w:rPr>
          <w:rFonts w:ascii="Times New Roman" w:hAnsi="Times New Roman"/>
          <w:sz w:val="22"/>
          <w:szCs w:val="22"/>
        </w:rPr>
        <w:t>Αγγειοοίδημα έχει αναφερθεί σε ασθενείς που έχουν υποβληθεί σε αγωγή με αναστολείς του ΜΕΑ, συμπεριλαμβανομένης της ραμιπρίλης (βλ. παράγραφο 4.8).</w:t>
      </w:r>
    </w:p>
    <w:p w:rsidR="00BE3435" w:rsidRPr="00460745" w:rsidRDefault="00BE3435" w:rsidP="00057C26">
      <w:pPr>
        <w:pStyle w:val="a"/>
        <w:numPr>
          <w:ilvl w:val="0"/>
          <w:numId w:val="0"/>
        </w:numPr>
        <w:rPr>
          <w:rFonts w:ascii="Times New Roman" w:hAnsi="Times New Roman"/>
          <w:sz w:val="22"/>
          <w:szCs w:val="22"/>
        </w:rPr>
      </w:pPr>
      <w:r w:rsidRPr="00460745">
        <w:rPr>
          <w:rFonts w:ascii="Times New Roman" w:hAnsi="Times New Roman"/>
          <w:sz w:val="22"/>
          <w:szCs w:val="22"/>
        </w:rPr>
        <w:t xml:space="preserve">Στην περίπτωση αγγειοοιδήματος, το </w:t>
      </w:r>
      <w:r w:rsidR="00FA1EE3" w:rsidRPr="00460745">
        <w:rPr>
          <w:rFonts w:ascii="Times New Roman" w:hAnsi="Times New Roman"/>
          <w:sz w:val="22"/>
          <w:szCs w:val="22"/>
          <w:lang w:val="en-US"/>
        </w:rPr>
        <w:t>TRIATEC</w:t>
      </w:r>
      <w:r w:rsidR="00902518" w:rsidRPr="00460745">
        <w:rPr>
          <w:rFonts w:ascii="Times New Roman" w:hAnsi="Times New Roman"/>
          <w:sz w:val="22"/>
          <w:szCs w:val="22"/>
        </w:rPr>
        <w:t xml:space="preserve"> </w:t>
      </w:r>
      <w:r w:rsidRPr="00460745">
        <w:rPr>
          <w:rFonts w:ascii="Times New Roman" w:hAnsi="Times New Roman"/>
          <w:sz w:val="22"/>
          <w:szCs w:val="22"/>
        </w:rPr>
        <w:t>θα πρέπει να διακοπεί.</w:t>
      </w:r>
    </w:p>
    <w:p w:rsidR="00BE3435" w:rsidRPr="00460745" w:rsidRDefault="00D31AF2" w:rsidP="00057C26">
      <w:pPr>
        <w:pStyle w:val="a"/>
        <w:numPr>
          <w:ilvl w:val="0"/>
          <w:numId w:val="0"/>
        </w:numPr>
        <w:rPr>
          <w:rFonts w:ascii="Times New Roman" w:hAnsi="Times New Roman"/>
          <w:sz w:val="22"/>
          <w:szCs w:val="22"/>
        </w:rPr>
      </w:pPr>
      <w:r w:rsidRPr="00460745">
        <w:rPr>
          <w:rFonts w:ascii="Times New Roman" w:hAnsi="Times New Roman"/>
          <w:sz w:val="22"/>
          <w:szCs w:val="22"/>
        </w:rPr>
        <w:t>Επείγουσα θ</w:t>
      </w:r>
      <w:r w:rsidR="00BE3435" w:rsidRPr="00460745">
        <w:rPr>
          <w:rFonts w:ascii="Times New Roman" w:hAnsi="Times New Roman"/>
          <w:sz w:val="22"/>
          <w:szCs w:val="22"/>
        </w:rPr>
        <w:t>εραπεία θα πρέπει να αρχ</w:t>
      </w:r>
      <w:r w:rsidR="00C75E9D" w:rsidRPr="00460745">
        <w:rPr>
          <w:rFonts w:ascii="Times New Roman" w:hAnsi="Times New Roman"/>
          <w:sz w:val="22"/>
          <w:szCs w:val="22"/>
        </w:rPr>
        <w:t>ίσει άμεσα</w:t>
      </w:r>
      <w:r w:rsidR="00BE3435" w:rsidRPr="00460745">
        <w:rPr>
          <w:rFonts w:ascii="Times New Roman" w:hAnsi="Times New Roman"/>
          <w:sz w:val="22"/>
          <w:szCs w:val="22"/>
        </w:rPr>
        <w:t>.</w:t>
      </w:r>
      <w:r w:rsidR="00C75E9D" w:rsidRPr="00460745">
        <w:rPr>
          <w:rFonts w:ascii="Times New Roman" w:hAnsi="Times New Roman"/>
          <w:sz w:val="22"/>
          <w:szCs w:val="22"/>
        </w:rPr>
        <w:t xml:space="preserve"> Οι ασθενείς θα πρέπει να είναι υπό παρακολούθηση για τουλάχιστον 12 με 24 ώρες και να παίρνουν εξιτήριο μετά την πλήρη υποχώρηση των συμπτωμάτων.</w:t>
      </w:r>
    </w:p>
    <w:p w:rsidR="00C75E9D" w:rsidRPr="00460745" w:rsidRDefault="00C75E9D" w:rsidP="00057C26">
      <w:pPr>
        <w:pStyle w:val="a"/>
        <w:numPr>
          <w:ilvl w:val="0"/>
          <w:numId w:val="0"/>
        </w:numPr>
        <w:rPr>
          <w:rFonts w:ascii="Times New Roman" w:hAnsi="Times New Roman"/>
          <w:sz w:val="22"/>
          <w:szCs w:val="22"/>
        </w:rPr>
      </w:pPr>
      <w:r w:rsidRPr="00460745">
        <w:rPr>
          <w:rFonts w:ascii="Times New Roman" w:hAnsi="Times New Roman"/>
          <w:sz w:val="22"/>
          <w:szCs w:val="22"/>
        </w:rPr>
        <w:t xml:space="preserve">Αγγειοοίδημα του εντέρου έχει αναφερθεί σε ασθενείς που έχουν υποβληθεί σε αγωγή με αναστολείς του ΜΕΑ, συμπεριλαμβανομένου του </w:t>
      </w:r>
      <w:r w:rsidR="00FA1EE3" w:rsidRPr="00460745">
        <w:rPr>
          <w:rFonts w:ascii="Times New Roman" w:hAnsi="Times New Roman"/>
          <w:sz w:val="22"/>
          <w:szCs w:val="22"/>
          <w:lang w:val="en-US"/>
        </w:rPr>
        <w:t>TRIATEC</w:t>
      </w:r>
      <w:r w:rsidR="00902518" w:rsidRPr="00460745">
        <w:rPr>
          <w:rFonts w:ascii="Times New Roman" w:hAnsi="Times New Roman"/>
          <w:sz w:val="22"/>
          <w:szCs w:val="22"/>
        </w:rPr>
        <w:t xml:space="preserve"> </w:t>
      </w:r>
      <w:r w:rsidRPr="00460745">
        <w:rPr>
          <w:rFonts w:ascii="Times New Roman" w:hAnsi="Times New Roman"/>
          <w:sz w:val="22"/>
          <w:szCs w:val="22"/>
        </w:rPr>
        <w:t>(βλ. παράγραφο 4.8). Αυτοί οι ασθενείς παρουσίασαν κοιλιακό άλγος (με ή χωρίς ναυτία ή έμετο).</w:t>
      </w:r>
    </w:p>
    <w:p w:rsidR="00D31AF2" w:rsidRPr="00460745" w:rsidRDefault="00D31AF2" w:rsidP="00057C26">
      <w:pPr>
        <w:pStyle w:val="a"/>
        <w:numPr>
          <w:ilvl w:val="0"/>
          <w:numId w:val="0"/>
        </w:numPr>
        <w:rPr>
          <w:rFonts w:ascii="Times New Roman" w:hAnsi="Times New Roman"/>
          <w:sz w:val="22"/>
          <w:szCs w:val="22"/>
        </w:rPr>
      </w:pPr>
    </w:p>
    <w:p w:rsidR="00C75E9D" w:rsidRPr="00460745" w:rsidRDefault="00C75E9D" w:rsidP="00057C26">
      <w:pPr>
        <w:pStyle w:val="a"/>
        <w:numPr>
          <w:ilvl w:val="0"/>
          <w:numId w:val="0"/>
        </w:numPr>
        <w:rPr>
          <w:rFonts w:ascii="Times New Roman" w:hAnsi="Times New Roman"/>
          <w:i/>
          <w:sz w:val="22"/>
          <w:szCs w:val="22"/>
          <w:u w:val="single"/>
        </w:rPr>
      </w:pPr>
      <w:r w:rsidRPr="00460745">
        <w:rPr>
          <w:rFonts w:ascii="Times New Roman" w:hAnsi="Times New Roman"/>
          <w:i/>
          <w:sz w:val="22"/>
          <w:szCs w:val="22"/>
          <w:u w:val="single"/>
        </w:rPr>
        <w:t>Αναφυλακτικές αντιδράσεις κατά τη διάρκεια απευαισθητοποίησης</w:t>
      </w:r>
    </w:p>
    <w:p w:rsidR="00C75E9D" w:rsidRPr="00460745" w:rsidRDefault="00C75E9D" w:rsidP="00057C26">
      <w:pPr>
        <w:pStyle w:val="a"/>
        <w:numPr>
          <w:ilvl w:val="0"/>
          <w:numId w:val="0"/>
        </w:numPr>
        <w:rPr>
          <w:rFonts w:ascii="Times New Roman" w:hAnsi="Times New Roman"/>
          <w:sz w:val="22"/>
          <w:szCs w:val="22"/>
        </w:rPr>
      </w:pPr>
      <w:r w:rsidRPr="00460745">
        <w:rPr>
          <w:rFonts w:ascii="Times New Roman" w:hAnsi="Times New Roman"/>
          <w:sz w:val="22"/>
          <w:szCs w:val="22"/>
        </w:rPr>
        <w:t>Η πιθανότητα και η σοβαρότητα των αναφυλακτικών και των αναφυλακτοειδών αντιδράσεων στ</w:t>
      </w:r>
      <w:r w:rsidR="008F61EE" w:rsidRPr="00460745">
        <w:rPr>
          <w:rFonts w:ascii="Times New Roman" w:hAnsi="Times New Roman"/>
          <w:sz w:val="22"/>
          <w:szCs w:val="22"/>
        </w:rPr>
        <w:t>ο</w:t>
      </w:r>
      <w:r w:rsidRPr="00460745">
        <w:rPr>
          <w:rFonts w:ascii="Times New Roman" w:hAnsi="Times New Roman"/>
          <w:sz w:val="22"/>
          <w:szCs w:val="22"/>
        </w:rPr>
        <w:t xml:space="preserve"> δηλητήρι</w:t>
      </w:r>
      <w:r w:rsidR="008F61EE" w:rsidRPr="00460745">
        <w:rPr>
          <w:rFonts w:ascii="Times New Roman" w:hAnsi="Times New Roman"/>
          <w:sz w:val="22"/>
          <w:szCs w:val="22"/>
        </w:rPr>
        <w:t>ο</w:t>
      </w:r>
      <w:r w:rsidRPr="00460745">
        <w:rPr>
          <w:rFonts w:ascii="Times New Roman" w:hAnsi="Times New Roman"/>
          <w:sz w:val="22"/>
          <w:szCs w:val="22"/>
        </w:rPr>
        <w:t xml:space="preserve"> εντόμων και άλλων αλλεργιογόνων αυξάνονται κατά την αναστολή του ΜΕΑ. </w:t>
      </w:r>
      <w:r w:rsidR="00E42ADB" w:rsidRPr="00460745">
        <w:rPr>
          <w:rFonts w:ascii="Times New Roman" w:hAnsi="Times New Roman"/>
          <w:sz w:val="22"/>
          <w:szCs w:val="22"/>
        </w:rPr>
        <w:t xml:space="preserve">Παροδική διακοπή του </w:t>
      </w:r>
      <w:r w:rsidR="00FA1EE3" w:rsidRPr="00460745">
        <w:rPr>
          <w:rFonts w:ascii="Times New Roman" w:hAnsi="Times New Roman"/>
          <w:sz w:val="22"/>
          <w:szCs w:val="22"/>
          <w:lang w:val="en-US"/>
        </w:rPr>
        <w:t>TRIATEC</w:t>
      </w:r>
      <w:r w:rsidR="00902518" w:rsidRPr="00460745">
        <w:rPr>
          <w:rFonts w:ascii="Times New Roman" w:hAnsi="Times New Roman"/>
          <w:sz w:val="22"/>
          <w:szCs w:val="22"/>
        </w:rPr>
        <w:t xml:space="preserve"> </w:t>
      </w:r>
      <w:r w:rsidR="00E42ADB" w:rsidRPr="00460745">
        <w:rPr>
          <w:rFonts w:ascii="Times New Roman" w:hAnsi="Times New Roman"/>
          <w:sz w:val="22"/>
          <w:szCs w:val="22"/>
        </w:rPr>
        <w:t>θα πρέπει να εξεταστεί πριν την απευαισθητοποίηση.</w:t>
      </w:r>
    </w:p>
    <w:p w:rsidR="00897AF6" w:rsidRPr="00460745" w:rsidRDefault="00897AF6" w:rsidP="00057C26">
      <w:pPr>
        <w:pStyle w:val="a"/>
        <w:numPr>
          <w:ilvl w:val="0"/>
          <w:numId w:val="0"/>
        </w:numPr>
        <w:rPr>
          <w:rFonts w:ascii="Times New Roman" w:hAnsi="Times New Roman"/>
          <w:i/>
          <w:sz w:val="22"/>
          <w:szCs w:val="22"/>
          <w:u w:val="single"/>
        </w:rPr>
      </w:pPr>
    </w:p>
    <w:p w:rsidR="00E42ADB" w:rsidRPr="00460745" w:rsidRDefault="00E42ADB" w:rsidP="00057C26">
      <w:pPr>
        <w:pStyle w:val="a"/>
        <w:numPr>
          <w:ilvl w:val="0"/>
          <w:numId w:val="0"/>
        </w:numPr>
        <w:rPr>
          <w:rFonts w:ascii="Times New Roman" w:hAnsi="Times New Roman"/>
          <w:i/>
          <w:sz w:val="22"/>
          <w:szCs w:val="22"/>
          <w:u w:val="single"/>
        </w:rPr>
      </w:pPr>
      <w:r w:rsidRPr="00460745">
        <w:rPr>
          <w:rFonts w:ascii="Times New Roman" w:hAnsi="Times New Roman"/>
          <w:i/>
          <w:sz w:val="22"/>
          <w:szCs w:val="22"/>
          <w:u w:val="single"/>
        </w:rPr>
        <w:t>Υπερκαλιαιμία</w:t>
      </w:r>
    </w:p>
    <w:p w:rsidR="00E42ADB" w:rsidRPr="00460745" w:rsidRDefault="00E42ADB" w:rsidP="00057C26">
      <w:pPr>
        <w:pStyle w:val="a"/>
        <w:numPr>
          <w:ilvl w:val="0"/>
          <w:numId w:val="0"/>
        </w:numPr>
        <w:rPr>
          <w:rFonts w:ascii="Times New Roman" w:hAnsi="Times New Roman"/>
          <w:sz w:val="22"/>
          <w:szCs w:val="22"/>
        </w:rPr>
      </w:pPr>
      <w:r w:rsidRPr="00460745">
        <w:rPr>
          <w:rFonts w:ascii="Times New Roman" w:hAnsi="Times New Roman"/>
          <w:sz w:val="22"/>
          <w:szCs w:val="22"/>
        </w:rPr>
        <w:t xml:space="preserve">Υπερκαλιαιμία έχει παρατηρηθεί σε κάποιους ασθενείς που έχουν υποβληθεί σε αγωγή με αναστολείς του ΜΕΑ, συμπεριλαμβανομένου του </w:t>
      </w:r>
      <w:r w:rsidR="00FA1EE3" w:rsidRPr="00460745">
        <w:rPr>
          <w:rFonts w:ascii="Times New Roman" w:hAnsi="Times New Roman"/>
          <w:sz w:val="22"/>
          <w:szCs w:val="22"/>
          <w:lang w:val="en-US"/>
        </w:rPr>
        <w:t>TRIATEC</w:t>
      </w:r>
      <w:r w:rsidRPr="00460745">
        <w:rPr>
          <w:rFonts w:ascii="Times New Roman" w:hAnsi="Times New Roman"/>
          <w:sz w:val="22"/>
          <w:szCs w:val="22"/>
        </w:rPr>
        <w:t xml:space="preserve">. </w:t>
      </w:r>
      <w:r w:rsidR="001234F1" w:rsidRPr="00460745">
        <w:rPr>
          <w:rFonts w:ascii="Times New Roman" w:hAnsi="Times New Roman"/>
          <w:sz w:val="22"/>
          <w:szCs w:val="22"/>
        </w:rPr>
        <w:t>Στους α</w:t>
      </w:r>
      <w:r w:rsidRPr="00460745">
        <w:rPr>
          <w:rFonts w:ascii="Times New Roman" w:hAnsi="Times New Roman"/>
          <w:sz w:val="22"/>
          <w:szCs w:val="22"/>
        </w:rPr>
        <w:t>σθενείς σε κίνδυνο ανάπτυξης υπερκαλιαιμίας περιλαμβάνο</w:t>
      </w:r>
      <w:r w:rsidR="001234F1" w:rsidRPr="00460745">
        <w:rPr>
          <w:rFonts w:ascii="Times New Roman" w:hAnsi="Times New Roman"/>
          <w:sz w:val="22"/>
          <w:szCs w:val="22"/>
        </w:rPr>
        <w:t>νται εκείνοι</w:t>
      </w:r>
      <w:r w:rsidRPr="00460745">
        <w:rPr>
          <w:rFonts w:ascii="Times New Roman" w:hAnsi="Times New Roman"/>
          <w:sz w:val="22"/>
          <w:szCs w:val="22"/>
        </w:rPr>
        <w:t xml:space="preserve"> με νεφρική </w:t>
      </w:r>
      <w:r w:rsidR="001B1D0A" w:rsidRPr="00460745">
        <w:rPr>
          <w:rFonts w:ascii="Times New Roman" w:hAnsi="Times New Roman"/>
          <w:sz w:val="22"/>
          <w:szCs w:val="22"/>
        </w:rPr>
        <w:t>ανεπάρκεια</w:t>
      </w:r>
      <w:r w:rsidRPr="00460745">
        <w:rPr>
          <w:rFonts w:ascii="Times New Roman" w:hAnsi="Times New Roman"/>
          <w:sz w:val="22"/>
          <w:szCs w:val="22"/>
        </w:rPr>
        <w:t xml:space="preserve">, </w:t>
      </w:r>
      <w:r w:rsidR="00805A23" w:rsidRPr="00460745">
        <w:rPr>
          <w:rFonts w:ascii="Times New Roman" w:hAnsi="Times New Roman"/>
          <w:sz w:val="22"/>
          <w:szCs w:val="22"/>
        </w:rPr>
        <w:t>ηλικίας (&gt;</w:t>
      </w:r>
      <w:r w:rsidR="00805A23" w:rsidRPr="00460745">
        <w:rPr>
          <w:rFonts w:ascii="Times New Roman" w:hAnsi="Times New Roman"/>
          <w:sz w:val="22"/>
          <w:szCs w:val="22"/>
          <w:lang w:val="en-US"/>
        </w:rPr>
        <w:t> </w:t>
      </w:r>
      <w:r w:rsidR="00805A23" w:rsidRPr="00460745">
        <w:rPr>
          <w:rFonts w:ascii="Times New Roman" w:hAnsi="Times New Roman"/>
          <w:sz w:val="22"/>
          <w:szCs w:val="22"/>
        </w:rPr>
        <w:t xml:space="preserve">70 ετών), </w:t>
      </w:r>
      <w:r w:rsidRPr="00460745">
        <w:rPr>
          <w:rFonts w:ascii="Times New Roman" w:hAnsi="Times New Roman"/>
          <w:sz w:val="22"/>
          <w:szCs w:val="22"/>
        </w:rPr>
        <w:t>μη ελεγχόμενο σακχαρώδη διαβήτη ή εκείνο</w:t>
      </w:r>
      <w:r w:rsidR="001234F1" w:rsidRPr="00460745">
        <w:rPr>
          <w:rFonts w:ascii="Times New Roman" w:hAnsi="Times New Roman"/>
          <w:sz w:val="22"/>
          <w:szCs w:val="22"/>
        </w:rPr>
        <w:t>ι</w:t>
      </w:r>
      <w:r w:rsidRPr="00460745">
        <w:rPr>
          <w:rFonts w:ascii="Times New Roman" w:hAnsi="Times New Roman"/>
          <w:sz w:val="22"/>
          <w:szCs w:val="22"/>
        </w:rPr>
        <w:t xml:space="preserve"> που χρησιμοποιούν συμπληρώματα καλίου, καλιοσυντηρητικά </w:t>
      </w:r>
      <w:r w:rsidRPr="00460745">
        <w:rPr>
          <w:rFonts w:ascii="Times New Roman" w:hAnsi="Times New Roman"/>
          <w:sz w:val="22"/>
          <w:szCs w:val="22"/>
        </w:rPr>
        <w:lastRenderedPageBreak/>
        <w:t xml:space="preserve">διουρητικά και </w:t>
      </w:r>
      <w:r w:rsidR="008F61EE" w:rsidRPr="00460745">
        <w:rPr>
          <w:rFonts w:ascii="Times New Roman" w:hAnsi="Times New Roman"/>
          <w:sz w:val="22"/>
          <w:szCs w:val="22"/>
        </w:rPr>
        <w:t xml:space="preserve">δραστικές ουσίες </w:t>
      </w:r>
      <w:r w:rsidRPr="00460745">
        <w:rPr>
          <w:rFonts w:ascii="Times New Roman" w:hAnsi="Times New Roman"/>
          <w:sz w:val="22"/>
          <w:szCs w:val="22"/>
        </w:rPr>
        <w:t>που αυξάνουν το κάλιο του πλάσματος</w:t>
      </w:r>
      <w:r w:rsidR="00805A23" w:rsidRPr="00460745">
        <w:rPr>
          <w:rFonts w:ascii="Times New Roman" w:hAnsi="Times New Roman"/>
          <w:sz w:val="22"/>
          <w:szCs w:val="22"/>
        </w:rPr>
        <w:t xml:space="preserve"> ή </w:t>
      </w:r>
      <w:r w:rsidR="00842BD9" w:rsidRPr="00460745">
        <w:rPr>
          <w:rFonts w:ascii="Times New Roman" w:hAnsi="Times New Roman"/>
          <w:sz w:val="22"/>
          <w:szCs w:val="22"/>
        </w:rPr>
        <w:t>καταστάσεις</w:t>
      </w:r>
      <w:r w:rsidR="00805A23" w:rsidRPr="00460745">
        <w:rPr>
          <w:rFonts w:ascii="Times New Roman" w:hAnsi="Times New Roman"/>
          <w:sz w:val="22"/>
          <w:szCs w:val="22"/>
        </w:rPr>
        <w:t xml:space="preserve"> όπως αφυδάτωση, οξεία καρδιακή ανεπάρκεια, μεταβολική οξέωση</w:t>
      </w:r>
      <w:r w:rsidRPr="00460745">
        <w:rPr>
          <w:rFonts w:ascii="Times New Roman" w:hAnsi="Times New Roman"/>
          <w:sz w:val="22"/>
          <w:szCs w:val="22"/>
        </w:rPr>
        <w:t>. Εάν η ταυτόχρονη χρήση των προαναφερθέντων παραγόντων κρίνεται απαραίτητη, συνιστάται τακτική παρακολούθηση του καλίου ορού</w:t>
      </w:r>
      <w:r w:rsidR="000A0568" w:rsidRPr="00460745">
        <w:rPr>
          <w:rFonts w:ascii="Times New Roman" w:hAnsi="Times New Roman"/>
          <w:sz w:val="22"/>
          <w:szCs w:val="22"/>
        </w:rPr>
        <w:t xml:space="preserve"> (βλ. παράγραφο 4.5).</w:t>
      </w:r>
    </w:p>
    <w:p w:rsidR="000A0568" w:rsidRPr="00460745" w:rsidRDefault="000A0568" w:rsidP="00057C26">
      <w:pPr>
        <w:pStyle w:val="a"/>
        <w:numPr>
          <w:ilvl w:val="0"/>
          <w:numId w:val="0"/>
        </w:numPr>
        <w:rPr>
          <w:rFonts w:ascii="Times New Roman" w:hAnsi="Times New Roman"/>
          <w:sz w:val="22"/>
          <w:szCs w:val="22"/>
        </w:rPr>
      </w:pPr>
    </w:p>
    <w:p w:rsidR="00601627" w:rsidRPr="00460745" w:rsidRDefault="000A0568" w:rsidP="00057C26">
      <w:pPr>
        <w:pStyle w:val="a"/>
        <w:numPr>
          <w:ilvl w:val="0"/>
          <w:numId w:val="0"/>
        </w:numPr>
        <w:rPr>
          <w:rFonts w:ascii="Times New Roman" w:hAnsi="Times New Roman"/>
          <w:i/>
          <w:sz w:val="22"/>
          <w:szCs w:val="22"/>
          <w:u w:val="single"/>
        </w:rPr>
      </w:pPr>
      <w:r w:rsidRPr="00460745">
        <w:rPr>
          <w:rFonts w:ascii="Times New Roman" w:hAnsi="Times New Roman"/>
          <w:i/>
          <w:sz w:val="22"/>
          <w:szCs w:val="22"/>
          <w:u w:val="single"/>
        </w:rPr>
        <w:t>Ουδετεροπενία/ακοκκιοκυτταραιμία</w:t>
      </w:r>
      <w:r w:rsidR="001832FE" w:rsidRPr="00460745">
        <w:rPr>
          <w:rFonts w:ascii="Times New Roman" w:hAnsi="Times New Roman"/>
          <w:i/>
          <w:sz w:val="22"/>
          <w:szCs w:val="22"/>
          <w:u w:val="single"/>
        </w:rPr>
        <w:t xml:space="preserve"> </w:t>
      </w:r>
    </w:p>
    <w:p w:rsidR="000A0568" w:rsidRPr="00460745" w:rsidRDefault="00601627" w:rsidP="00057C26">
      <w:pPr>
        <w:pStyle w:val="a"/>
        <w:numPr>
          <w:ilvl w:val="0"/>
          <w:numId w:val="0"/>
        </w:numPr>
        <w:rPr>
          <w:rFonts w:ascii="Times New Roman" w:hAnsi="Times New Roman"/>
          <w:sz w:val="22"/>
          <w:szCs w:val="22"/>
        </w:rPr>
      </w:pPr>
      <w:r w:rsidRPr="00460745">
        <w:rPr>
          <w:rFonts w:ascii="Times New Roman" w:hAnsi="Times New Roman"/>
          <w:sz w:val="22"/>
          <w:szCs w:val="22"/>
        </w:rPr>
        <w:t>Ουδετεροπενία/ακοκκιοκυτταραιμία</w:t>
      </w:r>
      <w:r w:rsidR="00A41C48" w:rsidRPr="00460745">
        <w:rPr>
          <w:rFonts w:ascii="Times New Roman" w:hAnsi="Times New Roman"/>
          <w:sz w:val="22"/>
          <w:szCs w:val="22"/>
        </w:rPr>
        <w:t xml:space="preserve">, όπως επίσης </w:t>
      </w:r>
      <w:r w:rsidR="008F54BA" w:rsidRPr="00460745">
        <w:rPr>
          <w:rFonts w:ascii="Times New Roman" w:hAnsi="Times New Roman"/>
          <w:sz w:val="22"/>
          <w:szCs w:val="22"/>
        </w:rPr>
        <w:t xml:space="preserve">θρομβοπενία και αναιμία, </w:t>
      </w:r>
      <w:r w:rsidR="000775F8" w:rsidRPr="00460745">
        <w:rPr>
          <w:rFonts w:ascii="Times New Roman" w:hAnsi="Times New Roman"/>
          <w:sz w:val="22"/>
          <w:szCs w:val="22"/>
        </w:rPr>
        <w:t xml:space="preserve">έχει σπάνια παρατηρηθεί </w:t>
      </w:r>
      <w:r w:rsidR="001832FE" w:rsidRPr="00460745">
        <w:rPr>
          <w:rFonts w:ascii="Times New Roman" w:hAnsi="Times New Roman"/>
          <w:sz w:val="22"/>
          <w:szCs w:val="22"/>
        </w:rPr>
        <w:t xml:space="preserve">και καταστολή του μυελού των οστών </w:t>
      </w:r>
      <w:r w:rsidR="000775F8" w:rsidRPr="00460745">
        <w:rPr>
          <w:rFonts w:ascii="Times New Roman" w:hAnsi="Times New Roman"/>
          <w:sz w:val="22"/>
          <w:szCs w:val="22"/>
        </w:rPr>
        <w:t xml:space="preserve">έχει επίσης </w:t>
      </w:r>
      <w:r w:rsidRPr="00460745">
        <w:rPr>
          <w:rFonts w:ascii="Times New Roman" w:hAnsi="Times New Roman"/>
          <w:sz w:val="22"/>
          <w:szCs w:val="22"/>
        </w:rPr>
        <w:t>αναφερθεί</w:t>
      </w:r>
      <w:r w:rsidR="001832FE" w:rsidRPr="00460745">
        <w:rPr>
          <w:rFonts w:ascii="Times New Roman" w:hAnsi="Times New Roman"/>
          <w:sz w:val="22"/>
          <w:szCs w:val="22"/>
        </w:rPr>
        <w:t>.</w:t>
      </w:r>
      <w:r w:rsidR="001A2196" w:rsidRPr="00460745">
        <w:rPr>
          <w:rFonts w:ascii="Times New Roman" w:hAnsi="Times New Roman"/>
          <w:sz w:val="22"/>
          <w:szCs w:val="22"/>
        </w:rPr>
        <w:t xml:space="preserve"> </w:t>
      </w:r>
      <w:r w:rsidR="000A0568" w:rsidRPr="00460745">
        <w:rPr>
          <w:rFonts w:ascii="Times New Roman" w:hAnsi="Times New Roman"/>
          <w:sz w:val="22"/>
          <w:szCs w:val="22"/>
        </w:rPr>
        <w:t xml:space="preserve">Συνιστάται η παρακολούθηση του αριθμού λευκοκυττάρων ώστε να επιτραπεί η ανίχνευση μίας πιθανής λευκοπενίας. Πιο συχνή παρακολούθηση συνιστάται στην αρχική φάση της αγωγής και σε ασθενείς με επηρεασμένη νεφρική λειτουργία, εκείνους με </w:t>
      </w:r>
      <w:r w:rsidR="0012225D" w:rsidRPr="00460745">
        <w:rPr>
          <w:rFonts w:ascii="Times New Roman" w:hAnsi="Times New Roman"/>
          <w:sz w:val="22"/>
          <w:szCs w:val="22"/>
        </w:rPr>
        <w:t>συνυπάρχουσα</w:t>
      </w:r>
      <w:r w:rsidR="000A0568" w:rsidRPr="00460745">
        <w:rPr>
          <w:rFonts w:ascii="Times New Roman" w:hAnsi="Times New Roman"/>
          <w:sz w:val="22"/>
          <w:szCs w:val="22"/>
        </w:rPr>
        <w:t xml:space="preserve"> νόσο του κολλαγόνου (π.χ. ερυθηματώδης λύκος ή σκληρόδερμα)</w:t>
      </w:r>
      <w:r w:rsidR="00A7131F" w:rsidRPr="00460745">
        <w:rPr>
          <w:rFonts w:ascii="Times New Roman" w:hAnsi="Times New Roman"/>
          <w:sz w:val="22"/>
          <w:szCs w:val="22"/>
        </w:rPr>
        <w:t xml:space="preserve"> και σε όλους εκείνους που έχουν υποβληθεί σε αγωγή με άλλα </w:t>
      </w:r>
      <w:r w:rsidR="001464F9" w:rsidRPr="00460745">
        <w:rPr>
          <w:rFonts w:ascii="Times New Roman" w:hAnsi="Times New Roman"/>
          <w:sz w:val="22"/>
          <w:szCs w:val="22"/>
        </w:rPr>
        <w:t>φαρμακευτικά προϊόντα</w:t>
      </w:r>
      <w:r w:rsidR="00937B6A" w:rsidRPr="00460745">
        <w:rPr>
          <w:rFonts w:ascii="Times New Roman" w:hAnsi="Times New Roman"/>
          <w:sz w:val="22"/>
          <w:szCs w:val="22"/>
        </w:rPr>
        <w:t xml:space="preserve"> </w:t>
      </w:r>
      <w:r w:rsidR="00A7131F" w:rsidRPr="00460745">
        <w:rPr>
          <w:rFonts w:ascii="Times New Roman" w:hAnsi="Times New Roman"/>
          <w:sz w:val="22"/>
          <w:szCs w:val="22"/>
        </w:rPr>
        <w:t>που πιθανόν να προκαλέσουν μεταβολές στην αιματολογική εικ</w:t>
      </w:r>
      <w:r w:rsidR="00104DFC" w:rsidRPr="00460745">
        <w:rPr>
          <w:rFonts w:ascii="Times New Roman" w:hAnsi="Times New Roman"/>
          <w:sz w:val="22"/>
          <w:szCs w:val="22"/>
        </w:rPr>
        <w:t>όνα (βλ. παραγράφους 4.5 και 4.8).</w:t>
      </w:r>
    </w:p>
    <w:p w:rsidR="00455920" w:rsidRPr="00460745" w:rsidRDefault="00455920" w:rsidP="00057C26">
      <w:pPr>
        <w:pStyle w:val="a"/>
        <w:numPr>
          <w:ilvl w:val="0"/>
          <w:numId w:val="0"/>
        </w:numPr>
        <w:rPr>
          <w:rFonts w:ascii="Times New Roman" w:hAnsi="Times New Roman"/>
          <w:i/>
          <w:sz w:val="22"/>
          <w:szCs w:val="22"/>
          <w:u w:val="single"/>
          <w:lang w:val="en-US"/>
        </w:rPr>
      </w:pPr>
    </w:p>
    <w:p w:rsidR="00104DFC" w:rsidRPr="00460745" w:rsidRDefault="00104DFC" w:rsidP="00057C26">
      <w:pPr>
        <w:pStyle w:val="a"/>
        <w:numPr>
          <w:ilvl w:val="0"/>
          <w:numId w:val="0"/>
        </w:numPr>
        <w:rPr>
          <w:rFonts w:ascii="Times New Roman" w:hAnsi="Times New Roman"/>
          <w:i/>
          <w:sz w:val="22"/>
          <w:szCs w:val="22"/>
          <w:u w:val="single"/>
        </w:rPr>
      </w:pPr>
      <w:r w:rsidRPr="00460745">
        <w:rPr>
          <w:rFonts w:ascii="Times New Roman" w:hAnsi="Times New Roman"/>
          <w:i/>
          <w:sz w:val="22"/>
          <w:szCs w:val="22"/>
          <w:u w:val="single"/>
        </w:rPr>
        <w:t>Φυλετικές διαφορές</w:t>
      </w:r>
    </w:p>
    <w:p w:rsidR="00104DFC" w:rsidRPr="00460745" w:rsidRDefault="00104DFC" w:rsidP="00057C26">
      <w:pPr>
        <w:pStyle w:val="a"/>
        <w:numPr>
          <w:ilvl w:val="0"/>
          <w:numId w:val="0"/>
        </w:numPr>
        <w:rPr>
          <w:rFonts w:ascii="Times New Roman" w:hAnsi="Times New Roman"/>
          <w:sz w:val="22"/>
          <w:szCs w:val="22"/>
        </w:rPr>
      </w:pPr>
      <w:r w:rsidRPr="00460745">
        <w:rPr>
          <w:rFonts w:ascii="Times New Roman" w:hAnsi="Times New Roman"/>
          <w:sz w:val="22"/>
          <w:szCs w:val="22"/>
        </w:rPr>
        <w:t>Οι αναστολείς του ΜΕΑ προκαλούν μεγαλύτερο ποσοστό αγγειοοιδήματος στους μαύρους ασθενείς από ότι στους μη μαύρους ασθενείς.</w:t>
      </w:r>
    </w:p>
    <w:p w:rsidR="00520CDC" w:rsidRPr="00460745" w:rsidRDefault="00104DFC" w:rsidP="00266858">
      <w:pPr>
        <w:rPr>
          <w:rFonts w:ascii="Times New Roman" w:hAnsi="Times New Roman"/>
          <w:sz w:val="22"/>
          <w:szCs w:val="22"/>
        </w:rPr>
      </w:pPr>
      <w:r w:rsidRPr="00460745">
        <w:rPr>
          <w:rFonts w:ascii="Times New Roman" w:hAnsi="Times New Roman"/>
          <w:sz w:val="22"/>
          <w:szCs w:val="22"/>
        </w:rPr>
        <w:t xml:space="preserve">Όπως και με άλλους αναστολείς του ΜΕΑ, η ραμιπρίλη πιθανόν να είναι λιγότερο αποτελεσματική στη μείωση της </w:t>
      </w:r>
      <w:r w:rsidR="00F76CF7" w:rsidRPr="00460745">
        <w:rPr>
          <w:rFonts w:ascii="Times New Roman" w:hAnsi="Times New Roman"/>
          <w:sz w:val="22"/>
          <w:szCs w:val="22"/>
        </w:rPr>
        <w:t>αρτηριακής πίεσης</w:t>
      </w:r>
      <w:r w:rsidRPr="00460745">
        <w:rPr>
          <w:rFonts w:ascii="Times New Roman" w:hAnsi="Times New Roman"/>
          <w:sz w:val="22"/>
          <w:szCs w:val="22"/>
        </w:rPr>
        <w:t xml:space="preserve"> στους μαύρους ασθενείς από ότι στους μη μαύρους</w:t>
      </w:r>
      <w:r w:rsidR="00D851EF" w:rsidRPr="00460745">
        <w:rPr>
          <w:rFonts w:ascii="Times New Roman" w:hAnsi="Times New Roman"/>
          <w:sz w:val="22"/>
          <w:szCs w:val="22"/>
        </w:rPr>
        <w:t xml:space="preserve"> ασθενείς</w:t>
      </w:r>
      <w:r w:rsidRPr="00460745">
        <w:rPr>
          <w:rFonts w:ascii="Times New Roman" w:hAnsi="Times New Roman"/>
          <w:sz w:val="22"/>
          <w:szCs w:val="22"/>
        </w:rPr>
        <w:t xml:space="preserve">, πιθανώς λόγω του μεγαλύτερου επιπολασμού της υπέρτασης με χαμηλά </w:t>
      </w:r>
      <w:r w:rsidR="00811B61" w:rsidRPr="00460745">
        <w:rPr>
          <w:rFonts w:ascii="Times New Roman" w:hAnsi="Times New Roman"/>
          <w:sz w:val="22"/>
          <w:szCs w:val="22"/>
        </w:rPr>
        <w:t>επίπεδα</w:t>
      </w:r>
      <w:r w:rsidRPr="00460745">
        <w:rPr>
          <w:rFonts w:ascii="Times New Roman" w:hAnsi="Times New Roman"/>
          <w:sz w:val="22"/>
          <w:szCs w:val="22"/>
        </w:rPr>
        <w:t xml:space="preserve"> ρενίνης στο μαύρο υπερτασικό πληθυσμό.</w:t>
      </w:r>
    </w:p>
    <w:p w:rsidR="003D7212" w:rsidRDefault="003D7212" w:rsidP="00266858">
      <w:pPr>
        <w:rPr>
          <w:rFonts w:ascii="Times New Roman" w:hAnsi="Times New Roman"/>
          <w:sz w:val="22"/>
          <w:szCs w:val="22"/>
          <w:lang w:val="en-US"/>
        </w:rPr>
      </w:pPr>
    </w:p>
    <w:p w:rsidR="008F54BA" w:rsidRPr="00460745" w:rsidRDefault="008F54BA" w:rsidP="00266858">
      <w:pPr>
        <w:rPr>
          <w:rFonts w:ascii="Times New Roman" w:hAnsi="Times New Roman"/>
          <w:i/>
          <w:sz w:val="22"/>
          <w:szCs w:val="22"/>
          <w:u w:val="single"/>
        </w:rPr>
      </w:pPr>
      <w:r w:rsidRPr="00460745">
        <w:rPr>
          <w:rFonts w:ascii="Times New Roman" w:hAnsi="Times New Roman"/>
          <w:i/>
          <w:sz w:val="22"/>
          <w:szCs w:val="22"/>
          <w:u w:val="single"/>
        </w:rPr>
        <w:t>Βήχας</w:t>
      </w:r>
    </w:p>
    <w:p w:rsidR="008F54BA" w:rsidRPr="00460745" w:rsidRDefault="008F54BA" w:rsidP="00266858">
      <w:pPr>
        <w:rPr>
          <w:rFonts w:ascii="Times New Roman" w:hAnsi="Times New Roman"/>
          <w:sz w:val="22"/>
          <w:szCs w:val="22"/>
        </w:rPr>
      </w:pPr>
      <w:r w:rsidRPr="00460745">
        <w:rPr>
          <w:rFonts w:ascii="Times New Roman" w:hAnsi="Times New Roman"/>
          <w:sz w:val="22"/>
          <w:szCs w:val="22"/>
        </w:rPr>
        <w:t>Βήχας έχει αναφερθεί με τη χρήση των αναστολέων του ΜΕΑ. Χαρακτηριστικά, ο βήχας είναι μη-παραγωγικός, επίμονος και υποχωρεί με τη διακοπή της θεραπείας. Ο βήχας που προκαλείται από έναν αναστολέα του ΜΕΑ πρέπει να θεωρείται ως μέρος της διαφορικής διάγνωσης του βήχα.</w:t>
      </w:r>
    </w:p>
    <w:p w:rsidR="001939DC" w:rsidRPr="00460745" w:rsidRDefault="001939DC" w:rsidP="00266858">
      <w:pPr>
        <w:rPr>
          <w:rFonts w:ascii="Times New Roman" w:hAnsi="Times New Roman"/>
          <w:sz w:val="22"/>
          <w:szCs w:val="22"/>
        </w:rPr>
      </w:pPr>
    </w:p>
    <w:p w:rsidR="00520CDC" w:rsidRPr="003D7212" w:rsidRDefault="00520CDC" w:rsidP="003D7212">
      <w:pPr>
        <w:rPr>
          <w:rFonts w:ascii="Times New Roman" w:hAnsi="Times New Roman"/>
          <w:b/>
          <w:sz w:val="22"/>
          <w:szCs w:val="22"/>
          <w:lang w:val="en-US"/>
        </w:rPr>
      </w:pPr>
      <w:r w:rsidRPr="00460745">
        <w:rPr>
          <w:rFonts w:ascii="Times New Roman" w:hAnsi="Times New Roman"/>
          <w:b/>
          <w:sz w:val="22"/>
          <w:szCs w:val="22"/>
        </w:rPr>
        <w:t xml:space="preserve">4.5 Αλληλεπιδράσεις με άλλα </w:t>
      </w:r>
      <w:r w:rsidR="00266858" w:rsidRPr="00460745">
        <w:rPr>
          <w:rFonts w:ascii="Times New Roman" w:hAnsi="Times New Roman"/>
          <w:b/>
          <w:sz w:val="22"/>
          <w:szCs w:val="22"/>
        </w:rPr>
        <w:t>φαρμακευτικά προϊόντα</w:t>
      </w:r>
      <w:r w:rsidRPr="00460745">
        <w:rPr>
          <w:rFonts w:ascii="Times New Roman" w:hAnsi="Times New Roman"/>
          <w:b/>
          <w:sz w:val="22"/>
          <w:szCs w:val="22"/>
        </w:rPr>
        <w:t xml:space="preserve"> και άλλες μορφές αλληλεπίδρασης </w:t>
      </w:r>
    </w:p>
    <w:p w:rsidR="00E76EF6" w:rsidRPr="003D7212" w:rsidRDefault="00E76EF6" w:rsidP="00266858">
      <w:pPr>
        <w:pStyle w:val="33"/>
        <w:rPr>
          <w:b w:val="0"/>
          <w:sz w:val="22"/>
          <w:szCs w:val="22"/>
          <w:u w:val="single"/>
          <w:lang w:val="en-US"/>
        </w:rPr>
      </w:pPr>
      <w:r w:rsidRPr="00460745">
        <w:rPr>
          <w:b w:val="0"/>
          <w:bCs/>
          <w:iCs w:val="0"/>
          <w:sz w:val="22"/>
          <w:szCs w:val="22"/>
          <w:u w:val="single"/>
        </w:rPr>
        <w:t>Συνδυασμοί που αντενδείκνυνται</w:t>
      </w:r>
    </w:p>
    <w:p w:rsidR="00E76EF6" w:rsidRPr="00460745" w:rsidRDefault="00E76EF6" w:rsidP="00266858">
      <w:pPr>
        <w:pStyle w:val="33"/>
        <w:rPr>
          <w:b w:val="0"/>
          <w:i w:val="0"/>
          <w:sz w:val="22"/>
          <w:szCs w:val="22"/>
        </w:rPr>
      </w:pPr>
      <w:r w:rsidRPr="00460745">
        <w:rPr>
          <w:b w:val="0"/>
          <w:bCs/>
          <w:iCs w:val="0"/>
          <w:sz w:val="22"/>
          <w:szCs w:val="22"/>
        </w:rPr>
        <w:t>Θεραπείες εκτός του σώματος που οδηγούν στην επαφή του αίματος με αρνητικά φορτισμένες επιφάνειες όπως η αιμοδιύλιση ή η αιμοδιήθηση με ορισμένες μεμβράνες υψηλής διαπερατότητας (π.χ.</w:t>
      </w:r>
      <w:r w:rsidRPr="00460745">
        <w:rPr>
          <w:b w:val="0"/>
          <w:sz w:val="22"/>
          <w:szCs w:val="22"/>
        </w:rPr>
        <w:t xml:space="preserve"> μεμβράνες </w:t>
      </w:r>
      <w:r w:rsidRPr="00460745">
        <w:rPr>
          <w:b w:val="0"/>
          <w:bCs/>
          <w:iCs w:val="0"/>
          <w:sz w:val="22"/>
          <w:szCs w:val="22"/>
        </w:rPr>
        <w:t xml:space="preserve">πολυακρυλονιτριλίου) και </w:t>
      </w:r>
      <w:r w:rsidR="00950F99" w:rsidRPr="00460745">
        <w:rPr>
          <w:b w:val="0"/>
          <w:bCs/>
          <w:iCs w:val="0"/>
          <w:sz w:val="22"/>
          <w:szCs w:val="22"/>
        </w:rPr>
        <w:t xml:space="preserve">η </w:t>
      </w:r>
      <w:r w:rsidRPr="00460745">
        <w:rPr>
          <w:b w:val="0"/>
          <w:sz w:val="22"/>
          <w:szCs w:val="22"/>
        </w:rPr>
        <w:t>αφαίρεση χαμηλής πυκνότητας λιποπρωτεϊνών με θειική δεξτράνη</w:t>
      </w:r>
      <w:r w:rsidR="00346C9F" w:rsidRPr="00460745">
        <w:rPr>
          <w:b w:val="0"/>
          <w:bCs/>
          <w:i w:val="0"/>
          <w:iCs w:val="0"/>
          <w:sz w:val="22"/>
          <w:szCs w:val="22"/>
        </w:rPr>
        <w:t>,</w:t>
      </w:r>
      <w:r w:rsidRPr="00460745">
        <w:rPr>
          <w:b w:val="0"/>
          <w:bCs/>
          <w:i w:val="0"/>
          <w:iCs w:val="0"/>
          <w:sz w:val="22"/>
          <w:szCs w:val="22"/>
        </w:rPr>
        <w:t xml:space="preserve"> λόγω αυξημένου κινδύνου σοβαρών αναφυλακτοειδών αντιδράσεων</w:t>
      </w:r>
      <w:r w:rsidRPr="00460745">
        <w:rPr>
          <w:b w:val="0"/>
          <w:i w:val="0"/>
          <w:sz w:val="22"/>
          <w:szCs w:val="22"/>
        </w:rPr>
        <w:t xml:space="preserve"> (βλ. </w:t>
      </w:r>
      <w:r w:rsidRPr="00460745">
        <w:rPr>
          <w:b w:val="0"/>
          <w:bCs/>
          <w:i w:val="0"/>
          <w:iCs w:val="0"/>
          <w:sz w:val="22"/>
          <w:szCs w:val="22"/>
        </w:rPr>
        <w:t>παράγραφο 4.3). Εάν απαιτείται μία ανάλογη θεραπεία, θα πρέπει να εξεταστεί η χρήση ενός διαφορετικού τύπου μεμβράνης αιμοδιύλησης ή κάποιος αντιυπερτασικός παράγοντας άλλης κατηγορίας</w:t>
      </w:r>
      <w:r w:rsidRPr="00460745">
        <w:rPr>
          <w:b w:val="0"/>
          <w:i w:val="0"/>
          <w:sz w:val="22"/>
          <w:szCs w:val="22"/>
        </w:rPr>
        <w:t>.</w:t>
      </w:r>
    </w:p>
    <w:p w:rsidR="00E76EF6" w:rsidRPr="00460745" w:rsidRDefault="00E76EF6" w:rsidP="00266858">
      <w:pPr>
        <w:pStyle w:val="33"/>
        <w:rPr>
          <w:b w:val="0"/>
          <w:i w:val="0"/>
          <w:sz w:val="22"/>
          <w:szCs w:val="22"/>
        </w:rPr>
      </w:pPr>
    </w:p>
    <w:p w:rsidR="00F65E43" w:rsidRPr="003D7212" w:rsidRDefault="00F65E43" w:rsidP="00266858">
      <w:pPr>
        <w:pStyle w:val="33"/>
        <w:rPr>
          <w:b w:val="0"/>
          <w:sz w:val="22"/>
          <w:szCs w:val="22"/>
          <w:u w:val="single"/>
          <w:lang w:val="en-US"/>
        </w:rPr>
      </w:pPr>
      <w:r w:rsidRPr="00460745">
        <w:rPr>
          <w:b w:val="0"/>
          <w:bCs/>
          <w:iCs w:val="0"/>
          <w:sz w:val="22"/>
          <w:szCs w:val="22"/>
          <w:u w:val="single"/>
        </w:rPr>
        <w:t>Προφυλάξεις κατά τη χρήση</w:t>
      </w:r>
    </w:p>
    <w:p w:rsidR="00F65E43" w:rsidRPr="00460745" w:rsidRDefault="00F65E43" w:rsidP="00266858">
      <w:pPr>
        <w:pStyle w:val="33"/>
        <w:rPr>
          <w:b w:val="0"/>
          <w:i w:val="0"/>
          <w:sz w:val="22"/>
          <w:szCs w:val="22"/>
        </w:rPr>
      </w:pPr>
      <w:r w:rsidRPr="00460745">
        <w:rPr>
          <w:b w:val="0"/>
          <w:bCs/>
          <w:iCs w:val="0"/>
          <w:sz w:val="22"/>
          <w:szCs w:val="22"/>
        </w:rPr>
        <w:t>Άλατα καλίου, ηπαρίνη, καλιοσυντηρητικά διουρητικά και άλλ</w:t>
      </w:r>
      <w:r w:rsidR="00EF30BD" w:rsidRPr="00460745">
        <w:rPr>
          <w:b w:val="0"/>
          <w:bCs/>
          <w:iCs w:val="0"/>
          <w:sz w:val="22"/>
          <w:szCs w:val="22"/>
        </w:rPr>
        <w:t>ες</w:t>
      </w:r>
      <w:r w:rsidRPr="00460745">
        <w:rPr>
          <w:b w:val="0"/>
          <w:bCs/>
          <w:iCs w:val="0"/>
          <w:sz w:val="22"/>
          <w:szCs w:val="22"/>
        </w:rPr>
        <w:t xml:space="preserve"> </w:t>
      </w:r>
      <w:r w:rsidR="00EF30BD" w:rsidRPr="00460745">
        <w:rPr>
          <w:b w:val="0"/>
          <w:bCs/>
          <w:iCs w:val="0"/>
          <w:sz w:val="22"/>
          <w:szCs w:val="22"/>
        </w:rPr>
        <w:t xml:space="preserve">δραστικές ουσίες </w:t>
      </w:r>
      <w:r w:rsidRPr="00460745">
        <w:rPr>
          <w:b w:val="0"/>
          <w:bCs/>
          <w:iCs w:val="0"/>
          <w:sz w:val="22"/>
          <w:szCs w:val="22"/>
        </w:rPr>
        <w:t>που αυξάνουν το κάλιο του πλάσματος</w:t>
      </w:r>
      <w:r w:rsidR="00187579" w:rsidRPr="00460745">
        <w:rPr>
          <w:b w:val="0"/>
          <w:bCs/>
          <w:iCs w:val="0"/>
          <w:sz w:val="22"/>
          <w:szCs w:val="22"/>
        </w:rPr>
        <w:t xml:space="preserve"> (συμπεριλαμβανομένων των ανταγωνιστών της Αγγειοτασίνης ΙΙ, της τριμεθοπρίμης, του τακρόλιμους, της κυκλοσπορίνης)</w:t>
      </w:r>
      <w:r w:rsidRPr="00460745">
        <w:rPr>
          <w:b w:val="0"/>
          <w:bCs/>
          <w:iCs w:val="0"/>
          <w:sz w:val="22"/>
          <w:szCs w:val="22"/>
        </w:rPr>
        <w:t>:</w:t>
      </w:r>
      <w:r w:rsidRPr="00460745">
        <w:rPr>
          <w:b w:val="0"/>
          <w:bCs/>
          <w:i w:val="0"/>
          <w:iCs w:val="0"/>
          <w:sz w:val="22"/>
          <w:szCs w:val="22"/>
        </w:rPr>
        <w:t xml:space="preserve"> Πιθανόν να παρουσιαστεί υπερκαλιαιμία, επομένως απαιτείται στενή παρακολούθηση του καλίου</w:t>
      </w:r>
      <w:r w:rsidR="00D626E9" w:rsidRPr="00460745">
        <w:rPr>
          <w:b w:val="0"/>
          <w:bCs/>
          <w:i w:val="0"/>
          <w:iCs w:val="0"/>
          <w:sz w:val="22"/>
          <w:szCs w:val="22"/>
        </w:rPr>
        <w:t xml:space="preserve"> ορού</w:t>
      </w:r>
      <w:r w:rsidRPr="00460745">
        <w:rPr>
          <w:b w:val="0"/>
          <w:i w:val="0"/>
          <w:sz w:val="22"/>
          <w:szCs w:val="22"/>
        </w:rPr>
        <w:t>.</w:t>
      </w:r>
    </w:p>
    <w:p w:rsidR="00F65E43" w:rsidRPr="00460745" w:rsidRDefault="00F65E43" w:rsidP="00266858">
      <w:pPr>
        <w:pStyle w:val="33"/>
        <w:rPr>
          <w:b w:val="0"/>
          <w:i w:val="0"/>
          <w:sz w:val="22"/>
          <w:szCs w:val="22"/>
        </w:rPr>
      </w:pPr>
    </w:p>
    <w:p w:rsidR="00726500" w:rsidRPr="00460745" w:rsidRDefault="00F65E43" w:rsidP="00266858">
      <w:pPr>
        <w:pStyle w:val="33"/>
        <w:rPr>
          <w:b w:val="0"/>
          <w:i w:val="0"/>
          <w:sz w:val="22"/>
          <w:szCs w:val="22"/>
        </w:rPr>
      </w:pPr>
      <w:r w:rsidRPr="00460745">
        <w:rPr>
          <w:b w:val="0"/>
          <w:bCs/>
          <w:iCs w:val="0"/>
          <w:sz w:val="22"/>
          <w:szCs w:val="22"/>
        </w:rPr>
        <w:t>Αντιυπερτασικοί παράγοντες (π.χ. διουρητικά</w:t>
      </w:r>
      <w:r w:rsidR="00950F99" w:rsidRPr="00460745">
        <w:rPr>
          <w:b w:val="0"/>
          <w:bCs/>
          <w:iCs w:val="0"/>
          <w:sz w:val="22"/>
          <w:szCs w:val="22"/>
        </w:rPr>
        <w:t>)</w:t>
      </w:r>
      <w:r w:rsidRPr="00460745">
        <w:rPr>
          <w:b w:val="0"/>
          <w:bCs/>
          <w:iCs w:val="0"/>
          <w:sz w:val="22"/>
          <w:szCs w:val="22"/>
        </w:rPr>
        <w:t xml:space="preserve"> και άλλες ουσίες που πιθανόν μειώνουν την </w:t>
      </w:r>
      <w:r w:rsidR="00F76CF7" w:rsidRPr="00460745">
        <w:rPr>
          <w:b w:val="0"/>
          <w:bCs/>
          <w:iCs w:val="0"/>
          <w:sz w:val="22"/>
          <w:szCs w:val="22"/>
        </w:rPr>
        <w:t>αρτηριακή πίεση</w:t>
      </w:r>
      <w:r w:rsidRPr="00460745">
        <w:rPr>
          <w:b w:val="0"/>
          <w:bCs/>
          <w:iCs w:val="0"/>
          <w:sz w:val="22"/>
          <w:szCs w:val="22"/>
        </w:rPr>
        <w:t xml:space="preserve"> (π.χ. νιτρώδη, τρικυκλικά αντικαταθλιπτικά, αναισθητικά, οξεία λήψη οινοπνευματωδών</w:t>
      </w:r>
      <w:r w:rsidR="00056D7D" w:rsidRPr="00460745">
        <w:rPr>
          <w:b w:val="0"/>
          <w:bCs/>
          <w:iCs w:val="0"/>
          <w:sz w:val="22"/>
          <w:szCs w:val="22"/>
        </w:rPr>
        <w:t>, βακλοφαίνης, αλφουζοσίνης, δοξαζοσίνης, πραζοσίνης, ταμσουλοσίνης, τεραζοσίνης</w:t>
      </w:r>
      <w:r w:rsidRPr="00460745">
        <w:rPr>
          <w:b w:val="0"/>
          <w:bCs/>
          <w:iCs w:val="0"/>
          <w:sz w:val="22"/>
          <w:szCs w:val="22"/>
        </w:rPr>
        <w:t>):</w:t>
      </w:r>
      <w:r w:rsidRPr="00460745">
        <w:rPr>
          <w:b w:val="0"/>
          <w:bCs/>
          <w:i w:val="0"/>
          <w:iCs w:val="0"/>
          <w:sz w:val="22"/>
          <w:szCs w:val="22"/>
        </w:rPr>
        <w:t xml:space="preserve"> </w:t>
      </w:r>
      <w:r w:rsidR="00BB48F9" w:rsidRPr="00460745">
        <w:rPr>
          <w:b w:val="0"/>
          <w:bCs/>
          <w:i w:val="0"/>
          <w:iCs w:val="0"/>
          <w:sz w:val="22"/>
          <w:szCs w:val="22"/>
        </w:rPr>
        <w:t>Αναμένεται αύξηση</w:t>
      </w:r>
      <w:r w:rsidRPr="00460745">
        <w:rPr>
          <w:b w:val="0"/>
          <w:bCs/>
          <w:i w:val="0"/>
          <w:iCs w:val="0"/>
          <w:sz w:val="22"/>
          <w:szCs w:val="22"/>
        </w:rPr>
        <w:t xml:space="preserve"> της αντιυπερτασικής δρά</w:t>
      </w:r>
      <w:r w:rsidR="000652FE" w:rsidRPr="00460745">
        <w:rPr>
          <w:b w:val="0"/>
          <w:bCs/>
          <w:i w:val="0"/>
          <w:iCs w:val="0"/>
          <w:sz w:val="22"/>
          <w:szCs w:val="22"/>
        </w:rPr>
        <w:t xml:space="preserve">σης </w:t>
      </w:r>
      <w:r w:rsidRPr="00460745">
        <w:rPr>
          <w:b w:val="0"/>
          <w:bCs/>
          <w:i w:val="0"/>
          <w:iCs w:val="0"/>
          <w:sz w:val="22"/>
          <w:szCs w:val="22"/>
        </w:rPr>
        <w:t xml:space="preserve">(βλ. παράγραφο 4.2 για </w:t>
      </w:r>
      <w:r w:rsidR="00726500" w:rsidRPr="00460745">
        <w:rPr>
          <w:b w:val="0"/>
          <w:bCs/>
          <w:i w:val="0"/>
          <w:iCs w:val="0"/>
          <w:sz w:val="22"/>
          <w:szCs w:val="22"/>
        </w:rPr>
        <w:t xml:space="preserve">τα </w:t>
      </w:r>
      <w:r w:rsidRPr="00460745">
        <w:rPr>
          <w:b w:val="0"/>
          <w:bCs/>
          <w:i w:val="0"/>
          <w:iCs w:val="0"/>
          <w:sz w:val="22"/>
          <w:szCs w:val="22"/>
        </w:rPr>
        <w:t>διουρητικά)</w:t>
      </w:r>
      <w:r w:rsidR="00726500" w:rsidRPr="00460745">
        <w:rPr>
          <w:b w:val="0"/>
          <w:i w:val="0"/>
          <w:sz w:val="22"/>
          <w:szCs w:val="22"/>
        </w:rPr>
        <w:t>.</w:t>
      </w:r>
    </w:p>
    <w:p w:rsidR="00726500" w:rsidRPr="00460745" w:rsidRDefault="00726500" w:rsidP="00266858">
      <w:pPr>
        <w:pStyle w:val="33"/>
        <w:rPr>
          <w:b w:val="0"/>
          <w:bCs/>
          <w:iCs w:val="0"/>
          <w:sz w:val="22"/>
          <w:szCs w:val="22"/>
        </w:rPr>
      </w:pPr>
    </w:p>
    <w:p w:rsidR="00726500" w:rsidRPr="00460745" w:rsidRDefault="00726500" w:rsidP="00266858">
      <w:pPr>
        <w:pStyle w:val="33"/>
        <w:rPr>
          <w:b w:val="0"/>
          <w:bCs/>
          <w:i w:val="0"/>
          <w:iCs w:val="0"/>
          <w:sz w:val="22"/>
          <w:szCs w:val="22"/>
        </w:rPr>
      </w:pPr>
      <w:r w:rsidRPr="00460745">
        <w:rPr>
          <w:b w:val="0"/>
          <w:bCs/>
          <w:iCs w:val="0"/>
          <w:sz w:val="22"/>
          <w:szCs w:val="22"/>
        </w:rPr>
        <w:t xml:space="preserve">Αγγειοσυσταλτικά συμπαθητικομιμητικά και άλλες ουσίες </w:t>
      </w:r>
      <w:r w:rsidR="00CF48F8" w:rsidRPr="00460745">
        <w:rPr>
          <w:b w:val="0"/>
          <w:bCs/>
          <w:iCs w:val="0"/>
          <w:sz w:val="22"/>
          <w:szCs w:val="22"/>
        </w:rPr>
        <w:t>(π.χ.</w:t>
      </w:r>
      <w:bookmarkStart w:id="2" w:name="OLE_LINK5"/>
      <w:bookmarkStart w:id="3" w:name="OLE_LINK6"/>
      <w:r w:rsidR="00CF48F8" w:rsidRPr="00460745">
        <w:rPr>
          <w:b w:val="0"/>
          <w:bCs/>
          <w:iCs w:val="0"/>
          <w:sz w:val="22"/>
          <w:szCs w:val="22"/>
        </w:rPr>
        <w:t xml:space="preserve"> ισοπροτερενόλης, δοβουταμίνης</w:t>
      </w:r>
      <w:bookmarkEnd w:id="2"/>
      <w:bookmarkEnd w:id="3"/>
      <w:r w:rsidR="00CF48F8" w:rsidRPr="00460745">
        <w:rPr>
          <w:b w:val="0"/>
          <w:bCs/>
          <w:iCs w:val="0"/>
          <w:sz w:val="22"/>
          <w:szCs w:val="22"/>
        </w:rPr>
        <w:t xml:space="preserve">, ντοπαμίνης, επινεφρίνης) </w:t>
      </w:r>
      <w:r w:rsidRPr="00460745">
        <w:rPr>
          <w:b w:val="0"/>
          <w:bCs/>
          <w:iCs w:val="0"/>
          <w:sz w:val="22"/>
          <w:szCs w:val="22"/>
        </w:rPr>
        <w:t xml:space="preserve">που πιθανόν ελαττώνουν την αντιυπερτασική δράση του </w:t>
      </w:r>
      <w:r w:rsidR="00FA1EE3" w:rsidRPr="00460745">
        <w:rPr>
          <w:b w:val="0"/>
          <w:sz w:val="22"/>
          <w:szCs w:val="22"/>
          <w:lang w:val="en-US"/>
        </w:rPr>
        <w:t>TRIATEC</w:t>
      </w:r>
      <w:r w:rsidRPr="00460745">
        <w:rPr>
          <w:b w:val="0"/>
          <w:bCs/>
          <w:iCs w:val="0"/>
          <w:sz w:val="22"/>
          <w:szCs w:val="22"/>
        </w:rPr>
        <w:t>:</w:t>
      </w:r>
      <w:r w:rsidRPr="00460745">
        <w:rPr>
          <w:b w:val="0"/>
          <w:bCs/>
          <w:i w:val="0"/>
          <w:iCs w:val="0"/>
          <w:sz w:val="22"/>
          <w:szCs w:val="22"/>
        </w:rPr>
        <w:t xml:space="preserve"> Συνιστάται η παρακολούθηση της </w:t>
      </w:r>
      <w:r w:rsidR="00F76CF7" w:rsidRPr="00460745">
        <w:rPr>
          <w:b w:val="0"/>
          <w:bCs/>
          <w:i w:val="0"/>
          <w:iCs w:val="0"/>
          <w:sz w:val="22"/>
          <w:szCs w:val="22"/>
        </w:rPr>
        <w:t>αρτηριακής πίεσης</w:t>
      </w:r>
      <w:r w:rsidRPr="00460745">
        <w:rPr>
          <w:b w:val="0"/>
          <w:bCs/>
          <w:i w:val="0"/>
          <w:iCs w:val="0"/>
          <w:sz w:val="22"/>
          <w:szCs w:val="22"/>
        </w:rPr>
        <w:t>.</w:t>
      </w:r>
    </w:p>
    <w:p w:rsidR="00726500" w:rsidRPr="00460745" w:rsidRDefault="00726500" w:rsidP="00266858">
      <w:pPr>
        <w:pStyle w:val="33"/>
        <w:rPr>
          <w:b w:val="0"/>
          <w:bCs/>
          <w:i w:val="0"/>
          <w:iCs w:val="0"/>
          <w:sz w:val="22"/>
          <w:szCs w:val="22"/>
        </w:rPr>
      </w:pPr>
    </w:p>
    <w:p w:rsidR="00726500" w:rsidRPr="00460745" w:rsidRDefault="00726500" w:rsidP="00266858">
      <w:pPr>
        <w:pStyle w:val="33"/>
        <w:rPr>
          <w:b w:val="0"/>
          <w:bCs/>
          <w:i w:val="0"/>
          <w:iCs w:val="0"/>
          <w:sz w:val="22"/>
          <w:szCs w:val="22"/>
        </w:rPr>
      </w:pPr>
      <w:r w:rsidRPr="00460745">
        <w:rPr>
          <w:b w:val="0"/>
          <w:bCs/>
          <w:iCs w:val="0"/>
          <w:sz w:val="22"/>
          <w:szCs w:val="22"/>
        </w:rPr>
        <w:t>Αλλοπουρινόλη, ανοσοκατασταλτικά, κορτικοστεροειδή, προκαϊναμίδη, κυτταροστατικά και άλλες ουσίες που πιθανόν μεταβάλλουν τον αριθμό των κυττάρων του αίματος:</w:t>
      </w:r>
      <w:r w:rsidRPr="00460745">
        <w:rPr>
          <w:b w:val="0"/>
          <w:bCs/>
          <w:i w:val="0"/>
          <w:iCs w:val="0"/>
          <w:sz w:val="22"/>
          <w:szCs w:val="22"/>
        </w:rPr>
        <w:t xml:space="preserve"> Αυξημένη πιθανότητα αιματολογικών αντιδράσεων (βλ. παράγραφο 4.4).</w:t>
      </w:r>
    </w:p>
    <w:p w:rsidR="00726500" w:rsidRPr="00460745" w:rsidRDefault="00726500" w:rsidP="00266858">
      <w:pPr>
        <w:pStyle w:val="33"/>
        <w:rPr>
          <w:b w:val="0"/>
          <w:bCs/>
          <w:i w:val="0"/>
          <w:iCs w:val="0"/>
          <w:sz w:val="22"/>
          <w:szCs w:val="22"/>
        </w:rPr>
      </w:pPr>
    </w:p>
    <w:p w:rsidR="00C029B7" w:rsidRPr="00460745" w:rsidRDefault="00C029B7" w:rsidP="00266858">
      <w:pPr>
        <w:pStyle w:val="33"/>
        <w:rPr>
          <w:b w:val="0"/>
          <w:bCs/>
          <w:i w:val="0"/>
          <w:iCs w:val="0"/>
          <w:sz w:val="22"/>
          <w:szCs w:val="22"/>
        </w:rPr>
      </w:pPr>
      <w:r w:rsidRPr="00460745">
        <w:rPr>
          <w:b w:val="0"/>
          <w:bCs/>
          <w:iCs w:val="0"/>
          <w:sz w:val="22"/>
          <w:szCs w:val="22"/>
        </w:rPr>
        <w:lastRenderedPageBreak/>
        <w:t>Άλατα λιθίου:</w:t>
      </w:r>
      <w:r w:rsidRPr="00460745">
        <w:rPr>
          <w:b w:val="0"/>
          <w:bCs/>
          <w:i w:val="0"/>
          <w:iCs w:val="0"/>
          <w:sz w:val="22"/>
          <w:szCs w:val="22"/>
        </w:rPr>
        <w:t xml:space="preserve"> Η απέκκριση του λιθίου πιθανόν να είναι ελαττωμένη από τους αναστολείς του ΜΕΑ και συνεπώς η τοξικότητα του λιθίου πιθανόν να είναι αυξημένη. Τ</w:t>
      </w:r>
      <w:r w:rsidR="00811B61" w:rsidRPr="00460745">
        <w:rPr>
          <w:b w:val="0"/>
          <w:bCs/>
          <w:i w:val="0"/>
          <w:iCs w:val="0"/>
          <w:sz w:val="22"/>
          <w:szCs w:val="22"/>
        </w:rPr>
        <w:t>α</w:t>
      </w:r>
      <w:r w:rsidRPr="00460745">
        <w:rPr>
          <w:b w:val="0"/>
          <w:bCs/>
          <w:i w:val="0"/>
          <w:iCs w:val="0"/>
          <w:sz w:val="22"/>
          <w:szCs w:val="22"/>
        </w:rPr>
        <w:t xml:space="preserve"> </w:t>
      </w:r>
      <w:r w:rsidR="00811B61" w:rsidRPr="00460745">
        <w:rPr>
          <w:b w:val="0"/>
          <w:bCs/>
          <w:i w:val="0"/>
          <w:iCs w:val="0"/>
          <w:sz w:val="22"/>
          <w:szCs w:val="22"/>
        </w:rPr>
        <w:t>επίπεδα</w:t>
      </w:r>
      <w:r w:rsidRPr="00460745">
        <w:rPr>
          <w:b w:val="0"/>
          <w:bCs/>
          <w:i w:val="0"/>
          <w:iCs w:val="0"/>
          <w:sz w:val="22"/>
          <w:szCs w:val="22"/>
        </w:rPr>
        <w:t xml:space="preserve"> του λιθίου πρέπει να παρακολουθ</w:t>
      </w:r>
      <w:r w:rsidR="00811B61" w:rsidRPr="00460745">
        <w:rPr>
          <w:b w:val="0"/>
          <w:bCs/>
          <w:i w:val="0"/>
          <w:iCs w:val="0"/>
          <w:sz w:val="22"/>
          <w:szCs w:val="22"/>
        </w:rPr>
        <w:t>ούν</w:t>
      </w:r>
      <w:r w:rsidRPr="00460745">
        <w:rPr>
          <w:b w:val="0"/>
          <w:bCs/>
          <w:i w:val="0"/>
          <w:iCs w:val="0"/>
          <w:sz w:val="22"/>
          <w:szCs w:val="22"/>
        </w:rPr>
        <w:t>ται.</w:t>
      </w:r>
    </w:p>
    <w:p w:rsidR="00C029B7" w:rsidRPr="00460745" w:rsidRDefault="00C029B7" w:rsidP="00266858">
      <w:pPr>
        <w:pStyle w:val="33"/>
        <w:rPr>
          <w:b w:val="0"/>
          <w:bCs/>
          <w:i w:val="0"/>
          <w:iCs w:val="0"/>
          <w:sz w:val="22"/>
          <w:szCs w:val="22"/>
        </w:rPr>
      </w:pPr>
    </w:p>
    <w:p w:rsidR="00726500" w:rsidRPr="00460745" w:rsidRDefault="00C029B7" w:rsidP="00266858">
      <w:pPr>
        <w:pStyle w:val="33"/>
        <w:rPr>
          <w:b w:val="0"/>
          <w:bCs/>
          <w:i w:val="0"/>
          <w:iCs w:val="0"/>
          <w:sz w:val="22"/>
          <w:szCs w:val="22"/>
        </w:rPr>
      </w:pPr>
      <w:r w:rsidRPr="00460745">
        <w:rPr>
          <w:b w:val="0"/>
          <w:bCs/>
          <w:iCs w:val="0"/>
          <w:sz w:val="22"/>
          <w:szCs w:val="22"/>
        </w:rPr>
        <w:t>Αντιδιαβητικοί παράγοντες συμπεριλαμβανομένης της ινσουλίνης:</w:t>
      </w:r>
      <w:r w:rsidRPr="00460745">
        <w:rPr>
          <w:b w:val="0"/>
          <w:bCs/>
          <w:i w:val="0"/>
          <w:iCs w:val="0"/>
          <w:sz w:val="22"/>
          <w:szCs w:val="22"/>
        </w:rPr>
        <w:t xml:space="preserve"> Πιθανόν να παρουσιαστούν υπογλυκαιμικές αντιδράσεις. Συνιστάται η παρακολούθηση της γλυκόζης του αίματος.</w:t>
      </w:r>
    </w:p>
    <w:p w:rsidR="001B37B1" w:rsidRPr="00460745" w:rsidRDefault="001B37B1" w:rsidP="00266858">
      <w:pPr>
        <w:pStyle w:val="33"/>
        <w:rPr>
          <w:b w:val="0"/>
          <w:bCs/>
          <w:i w:val="0"/>
          <w:iCs w:val="0"/>
          <w:sz w:val="22"/>
          <w:szCs w:val="22"/>
        </w:rPr>
      </w:pPr>
    </w:p>
    <w:p w:rsidR="001B37B1" w:rsidRPr="00460745" w:rsidRDefault="001B37B1" w:rsidP="00266858">
      <w:pPr>
        <w:pStyle w:val="33"/>
        <w:rPr>
          <w:b w:val="0"/>
          <w:bCs/>
          <w:i w:val="0"/>
          <w:iCs w:val="0"/>
          <w:sz w:val="22"/>
          <w:szCs w:val="22"/>
        </w:rPr>
      </w:pPr>
      <w:r w:rsidRPr="00460745">
        <w:rPr>
          <w:b w:val="0"/>
          <w:bCs/>
          <w:iCs w:val="0"/>
          <w:sz w:val="22"/>
          <w:szCs w:val="22"/>
        </w:rPr>
        <w:t>Μη-στεροειδή αντιφλεγμονώδη φάρμακα και ακετυλοσαλικυλικό οξύ:</w:t>
      </w:r>
      <w:r w:rsidRPr="00460745">
        <w:rPr>
          <w:b w:val="0"/>
          <w:bCs/>
          <w:i w:val="0"/>
          <w:iCs w:val="0"/>
          <w:sz w:val="22"/>
          <w:szCs w:val="22"/>
        </w:rPr>
        <w:t xml:space="preserve"> Η </w:t>
      </w:r>
      <w:r w:rsidR="000A2479" w:rsidRPr="00460745">
        <w:rPr>
          <w:b w:val="0"/>
          <w:bCs/>
          <w:i w:val="0"/>
          <w:iCs w:val="0"/>
          <w:sz w:val="22"/>
          <w:szCs w:val="22"/>
        </w:rPr>
        <w:t xml:space="preserve">μείωση </w:t>
      </w:r>
      <w:r w:rsidRPr="00460745">
        <w:rPr>
          <w:b w:val="0"/>
          <w:bCs/>
          <w:i w:val="0"/>
          <w:iCs w:val="0"/>
          <w:sz w:val="22"/>
          <w:szCs w:val="22"/>
        </w:rPr>
        <w:t xml:space="preserve">της αντιυπερτασικής δράσης του </w:t>
      </w:r>
      <w:r w:rsidR="00FA1EE3" w:rsidRPr="00460745">
        <w:rPr>
          <w:b w:val="0"/>
          <w:i w:val="0"/>
          <w:sz w:val="22"/>
          <w:szCs w:val="22"/>
          <w:lang w:val="en-US"/>
        </w:rPr>
        <w:t>TRIATEC</w:t>
      </w:r>
      <w:r w:rsidR="00902518" w:rsidRPr="00460745">
        <w:rPr>
          <w:sz w:val="22"/>
          <w:szCs w:val="22"/>
        </w:rPr>
        <w:t xml:space="preserve"> </w:t>
      </w:r>
      <w:r w:rsidR="00A82D56" w:rsidRPr="00460745">
        <w:rPr>
          <w:b w:val="0"/>
          <w:bCs/>
          <w:i w:val="0"/>
          <w:iCs w:val="0"/>
          <w:sz w:val="22"/>
          <w:szCs w:val="22"/>
        </w:rPr>
        <w:t xml:space="preserve">πρέπει να </w:t>
      </w:r>
      <w:r w:rsidR="00D741FE" w:rsidRPr="00460745">
        <w:rPr>
          <w:b w:val="0"/>
          <w:bCs/>
          <w:i w:val="0"/>
          <w:iCs w:val="0"/>
          <w:sz w:val="22"/>
          <w:szCs w:val="22"/>
        </w:rPr>
        <w:t>αναμένεται</w:t>
      </w:r>
      <w:r w:rsidR="00A82D56" w:rsidRPr="00460745">
        <w:rPr>
          <w:b w:val="0"/>
          <w:bCs/>
          <w:i w:val="0"/>
          <w:iCs w:val="0"/>
          <w:sz w:val="22"/>
          <w:szCs w:val="22"/>
        </w:rPr>
        <w:t>. Επι</w:t>
      </w:r>
      <w:r w:rsidRPr="00460745">
        <w:rPr>
          <w:b w:val="0"/>
          <w:bCs/>
          <w:i w:val="0"/>
          <w:iCs w:val="0"/>
          <w:sz w:val="22"/>
          <w:szCs w:val="22"/>
        </w:rPr>
        <w:t xml:space="preserve">πλέον, η ταυτόχρονη </w:t>
      </w:r>
      <w:r w:rsidR="00510B47" w:rsidRPr="00460745">
        <w:rPr>
          <w:b w:val="0"/>
          <w:bCs/>
          <w:i w:val="0"/>
          <w:iCs w:val="0"/>
          <w:sz w:val="22"/>
          <w:szCs w:val="22"/>
        </w:rPr>
        <w:t>αγωγή με αναστολείς του ΜΕΑ και ΜΣΑΦ πιθανόν να οδηγήσουν σε αυξημένο κίνδυνο επιδείνωσης της νεφρικής λειτουργίας και σε αύξηση του καλίου του αίματος.</w:t>
      </w:r>
    </w:p>
    <w:p w:rsidR="003D7212" w:rsidRDefault="003D7212" w:rsidP="00266858">
      <w:pPr>
        <w:rPr>
          <w:rFonts w:ascii="Times New Roman" w:hAnsi="Times New Roman"/>
          <w:sz w:val="22"/>
          <w:szCs w:val="22"/>
          <w:lang w:val="en-US"/>
        </w:rPr>
      </w:pPr>
    </w:p>
    <w:p w:rsidR="00520CDC" w:rsidRPr="00460745" w:rsidRDefault="00520CDC" w:rsidP="00266858">
      <w:pPr>
        <w:rPr>
          <w:rFonts w:ascii="Times New Roman" w:hAnsi="Times New Roman"/>
          <w:b/>
          <w:sz w:val="22"/>
          <w:szCs w:val="22"/>
        </w:rPr>
      </w:pPr>
      <w:r w:rsidRPr="00460745">
        <w:rPr>
          <w:rFonts w:ascii="Times New Roman" w:hAnsi="Times New Roman"/>
          <w:b/>
          <w:sz w:val="22"/>
          <w:szCs w:val="22"/>
        </w:rPr>
        <w:t xml:space="preserve">4.6 Κύηση και γαλουχία </w:t>
      </w:r>
    </w:p>
    <w:p w:rsidR="00520CDC" w:rsidRPr="00460745" w:rsidRDefault="00520CDC" w:rsidP="00266858">
      <w:pPr>
        <w:rPr>
          <w:rFonts w:ascii="Times New Roman" w:hAnsi="Times New Roman"/>
          <w:b/>
          <w:sz w:val="22"/>
          <w:szCs w:val="22"/>
        </w:rPr>
      </w:pPr>
    </w:p>
    <w:p w:rsidR="000A2A9E" w:rsidRPr="003D7212" w:rsidRDefault="000A2A9E" w:rsidP="00266858">
      <w:pPr>
        <w:rPr>
          <w:rFonts w:ascii="Times New Roman" w:hAnsi="Times New Roman"/>
          <w:i/>
          <w:sz w:val="22"/>
          <w:szCs w:val="22"/>
          <w:lang w:val="en-US"/>
        </w:rPr>
      </w:pPr>
      <w:r w:rsidRPr="00460745">
        <w:rPr>
          <w:rFonts w:ascii="Times New Roman" w:hAnsi="Times New Roman"/>
          <w:i/>
          <w:sz w:val="22"/>
          <w:szCs w:val="22"/>
        </w:rPr>
        <w:t>Κ</w:t>
      </w:r>
      <w:r w:rsidR="00DF3291" w:rsidRPr="00460745">
        <w:rPr>
          <w:rFonts w:ascii="Times New Roman" w:hAnsi="Times New Roman"/>
          <w:i/>
          <w:sz w:val="22"/>
          <w:szCs w:val="22"/>
        </w:rPr>
        <w:t>ύηση</w:t>
      </w:r>
    </w:p>
    <w:p w:rsidR="00DC47D7" w:rsidRPr="003D7212" w:rsidRDefault="000A2A9E" w:rsidP="00266858">
      <w:pPr>
        <w:rPr>
          <w:rFonts w:ascii="Times New Roman" w:hAnsi="Times New Roman"/>
          <w:sz w:val="22"/>
          <w:szCs w:val="22"/>
        </w:rPr>
      </w:pPr>
      <w:r w:rsidRPr="00460745">
        <w:rPr>
          <w:rFonts w:ascii="Times New Roman" w:hAnsi="Times New Roman"/>
          <w:sz w:val="22"/>
          <w:szCs w:val="22"/>
        </w:rPr>
        <w:t>Η χρήση αναστολέων του ΜΕΑ δε συνιστάται κατά τη διάρκεια του πρώτου τριμήνου της κύησης (βλ. παράγραφο 4.4). Η χρήση των αναστολέων του ΜΕΑ αντενδείκνυται κατά τη διάρκεια του δεύτερου και τρίτου τριμήνου της κύησης (βλ. παραγράφους 4.3 και 4.4).</w:t>
      </w:r>
    </w:p>
    <w:p w:rsidR="00DC47D7" w:rsidRPr="003D7212" w:rsidRDefault="00DC47D7" w:rsidP="00266858">
      <w:pPr>
        <w:rPr>
          <w:rFonts w:ascii="Times New Roman" w:hAnsi="Times New Roman"/>
          <w:sz w:val="22"/>
          <w:szCs w:val="22"/>
        </w:rPr>
      </w:pPr>
      <w:r w:rsidRPr="00460745">
        <w:rPr>
          <w:rFonts w:ascii="Times New Roman" w:hAnsi="Times New Roman"/>
          <w:sz w:val="22"/>
          <w:szCs w:val="22"/>
        </w:rPr>
        <w:t>Επιδημιολογικ</w:t>
      </w:r>
      <w:r w:rsidR="0057015C" w:rsidRPr="00460745">
        <w:rPr>
          <w:rFonts w:ascii="Times New Roman" w:hAnsi="Times New Roman"/>
          <w:sz w:val="22"/>
          <w:szCs w:val="22"/>
        </w:rPr>
        <w:t>ά δεδομένα</w:t>
      </w:r>
      <w:r w:rsidRPr="00460745">
        <w:rPr>
          <w:rFonts w:ascii="Times New Roman" w:hAnsi="Times New Roman"/>
          <w:sz w:val="22"/>
          <w:szCs w:val="22"/>
        </w:rPr>
        <w:t xml:space="preserve"> </w:t>
      </w:r>
      <w:r w:rsidR="0057015C" w:rsidRPr="00460745">
        <w:rPr>
          <w:rFonts w:ascii="Times New Roman" w:hAnsi="Times New Roman"/>
          <w:sz w:val="22"/>
          <w:szCs w:val="22"/>
        </w:rPr>
        <w:t>σχετ</w:t>
      </w:r>
      <w:r w:rsidRPr="00460745">
        <w:rPr>
          <w:rFonts w:ascii="Times New Roman" w:hAnsi="Times New Roman"/>
          <w:sz w:val="22"/>
          <w:szCs w:val="22"/>
        </w:rPr>
        <w:t xml:space="preserve">ικά με τον κίνδυνο τερατογέννεσης μετά από έκθεση σε αναστολείς του ΜΕΑ </w:t>
      </w:r>
      <w:r w:rsidR="00B40066" w:rsidRPr="00460745">
        <w:rPr>
          <w:rFonts w:ascii="Times New Roman" w:hAnsi="Times New Roman"/>
          <w:sz w:val="22"/>
          <w:szCs w:val="22"/>
        </w:rPr>
        <w:t>κατά το πρώτο τρίμηνο</w:t>
      </w:r>
      <w:r w:rsidRPr="00460745">
        <w:rPr>
          <w:rFonts w:ascii="Times New Roman" w:hAnsi="Times New Roman"/>
          <w:sz w:val="22"/>
          <w:szCs w:val="22"/>
        </w:rPr>
        <w:t xml:space="preserve"> της κύησης δεν έχουν επιβεβαιωθεί· ωστόσο, ένας μικρός κίνδυνος δεν μπορεί να αποκλειστεί.</w:t>
      </w:r>
      <w:r w:rsidR="00837C37" w:rsidRPr="00460745">
        <w:rPr>
          <w:rFonts w:ascii="Times New Roman" w:hAnsi="Times New Roman"/>
          <w:sz w:val="22"/>
          <w:szCs w:val="22"/>
        </w:rPr>
        <w:t xml:space="preserve"> </w:t>
      </w:r>
      <w:r w:rsidR="00960011" w:rsidRPr="00460745">
        <w:rPr>
          <w:rFonts w:ascii="Times New Roman" w:hAnsi="Times New Roman"/>
          <w:sz w:val="22"/>
          <w:szCs w:val="22"/>
        </w:rPr>
        <w:t xml:space="preserve">Οι ασθενείς που </w:t>
      </w:r>
      <w:r w:rsidR="00E70C89" w:rsidRPr="00460745">
        <w:rPr>
          <w:rFonts w:ascii="Times New Roman" w:hAnsi="Times New Roman"/>
          <w:sz w:val="22"/>
          <w:szCs w:val="22"/>
        </w:rPr>
        <w:t xml:space="preserve">σχεδιάζουν </w:t>
      </w:r>
      <w:r w:rsidR="00960011" w:rsidRPr="00460745">
        <w:rPr>
          <w:rFonts w:ascii="Times New Roman" w:hAnsi="Times New Roman"/>
          <w:sz w:val="22"/>
          <w:szCs w:val="22"/>
        </w:rPr>
        <w:t>εγκυμο</w:t>
      </w:r>
      <w:r w:rsidR="0057015C" w:rsidRPr="00460745">
        <w:rPr>
          <w:rFonts w:ascii="Times New Roman" w:hAnsi="Times New Roman"/>
          <w:sz w:val="22"/>
          <w:szCs w:val="22"/>
        </w:rPr>
        <w:t>σύνη</w:t>
      </w:r>
      <w:r w:rsidR="00960011" w:rsidRPr="00460745">
        <w:rPr>
          <w:rFonts w:ascii="Times New Roman" w:hAnsi="Times New Roman"/>
          <w:sz w:val="22"/>
          <w:szCs w:val="22"/>
        </w:rPr>
        <w:t xml:space="preserve"> πρέπει να αλλάξουν σε εναλλακτικές αντιυπερτασικές αγωγές, οι οποίες έχουν </w:t>
      </w:r>
      <w:r w:rsidR="00F125B0" w:rsidRPr="00460745">
        <w:rPr>
          <w:rFonts w:ascii="Times New Roman" w:hAnsi="Times New Roman"/>
          <w:sz w:val="22"/>
          <w:szCs w:val="22"/>
        </w:rPr>
        <w:t>ένα τεκμηριωμένο προφίλ ασφάλειας για χρήση κατά την κύηση</w:t>
      </w:r>
      <w:r w:rsidR="008D4DF3" w:rsidRPr="00460745">
        <w:rPr>
          <w:rFonts w:ascii="Times New Roman" w:hAnsi="Times New Roman"/>
          <w:sz w:val="22"/>
          <w:szCs w:val="22"/>
        </w:rPr>
        <w:t xml:space="preserve">, εκτός αν η </w:t>
      </w:r>
      <w:r w:rsidR="0057015C" w:rsidRPr="00460745">
        <w:rPr>
          <w:rFonts w:ascii="Times New Roman" w:hAnsi="Times New Roman"/>
          <w:sz w:val="22"/>
          <w:szCs w:val="22"/>
        </w:rPr>
        <w:t>συνέχιση της θεραπείας με αναστολέα του ΜΕΑ κρίνεται απαραίτητη</w:t>
      </w:r>
      <w:r w:rsidR="00F125B0" w:rsidRPr="00460745">
        <w:rPr>
          <w:rFonts w:ascii="Times New Roman" w:hAnsi="Times New Roman"/>
          <w:sz w:val="22"/>
          <w:szCs w:val="22"/>
        </w:rPr>
        <w:t xml:space="preserve">. Όταν </w:t>
      </w:r>
      <w:r w:rsidR="006462E0" w:rsidRPr="00460745">
        <w:rPr>
          <w:rFonts w:ascii="Times New Roman" w:hAnsi="Times New Roman"/>
          <w:sz w:val="22"/>
          <w:szCs w:val="22"/>
        </w:rPr>
        <w:t xml:space="preserve">διαγνωστεί </w:t>
      </w:r>
      <w:r w:rsidR="00F125B0" w:rsidRPr="00460745">
        <w:rPr>
          <w:rFonts w:ascii="Times New Roman" w:hAnsi="Times New Roman"/>
          <w:sz w:val="22"/>
          <w:szCs w:val="22"/>
        </w:rPr>
        <w:t>κύηση, η αγωγή με τον αναστολέα του ΜΕΑ πρέπει να διακοπεί αμέσως και εάν είναι απαραίτητο, θα πρέπει να αρχίσει εναλλακτική θεραπεία.</w:t>
      </w:r>
    </w:p>
    <w:p w:rsidR="00DC47D7" w:rsidRPr="00460745" w:rsidRDefault="00DC47D7" w:rsidP="00266858">
      <w:pPr>
        <w:rPr>
          <w:rFonts w:ascii="Times New Roman" w:hAnsi="Times New Roman"/>
          <w:sz w:val="22"/>
          <w:szCs w:val="22"/>
        </w:rPr>
      </w:pPr>
      <w:r w:rsidRPr="00460745">
        <w:rPr>
          <w:rFonts w:ascii="Times New Roman" w:hAnsi="Times New Roman"/>
          <w:sz w:val="22"/>
          <w:szCs w:val="22"/>
        </w:rPr>
        <w:t>Η έκθεση σε αναστολείς του ΜΕΑ</w:t>
      </w:r>
      <w:r w:rsidR="00371DEF" w:rsidRPr="00460745">
        <w:rPr>
          <w:rFonts w:ascii="Times New Roman" w:hAnsi="Times New Roman"/>
          <w:sz w:val="22"/>
          <w:szCs w:val="22"/>
        </w:rPr>
        <w:t xml:space="preserve"> </w:t>
      </w:r>
      <w:r w:rsidRPr="00460745">
        <w:rPr>
          <w:rFonts w:ascii="Times New Roman" w:hAnsi="Times New Roman"/>
          <w:sz w:val="22"/>
          <w:szCs w:val="22"/>
        </w:rPr>
        <w:t xml:space="preserve">κατά τη διάρκεια του δεύτερου και τρίτου τριμήνου της κύησης είναι γνωστό ότι </w:t>
      </w:r>
      <w:r w:rsidR="005F64B1" w:rsidRPr="00460745">
        <w:rPr>
          <w:rFonts w:ascii="Times New Roman" w:hAnsi="Times New Roman"/>
          <w:sz w:val="22"/>
          <w:szCs w:val="22"/>
        </w:rPr>
        <w:t xml:space="preserve">προκαλεί τοξικότητα στα ανθρώπινα έμβρυα (μειωμένη νεφρική λειτουργία, ολιγοϋδράμνιο, καθυστέρηση της οστεοποίησης του κρανίου) και τοξικότητα στα νεογνά (νεφρική ανεπάρκεια, υπόταση, υπερκαλιαιμία) </w:t>
      </w:r>
      <w:r w:rsidR="00695AB3" w:rsidRPr="00460745">
        <w:rPr>
          <w:rFonts w:ascii="Times New Roman" w:hAnsi="Times New Roman"/>
          <w:sz w:val="22"/>
          <w:szCs w:val="22"/>
        </w:rPr>
        <w:t>(</w:t>
      </w:r>
      <w:r w:rsidR="005F64B1" w:rsidRPr="00460745">
        <w:rPr>
          <w:rFonts w:ascii="Times New Roman" w:hAnsi="Times New Roman"/>
          <w:sz w:val="22"/>
          <w:szCs w:val="22"/>
        </w:rPr>
        <w:t xml:space="preserve">βλ. </w:t>
      </w:r>
      <w:r w:rsidR="00695AB3" w:rsidRPr="00460745">
        <w:rPr>
          <w:rFonts w:ascii="Times New Roman" w:hAnsi="Times New Roman"/>
          <w:sz w:val="22"/>
          <w:szCs w:val="22"/>
        </w:rPr>
        <w:t>παράγραφο</w:t>
      </w:r>
      <w:r w:rsidR="005F64B1" w:rsidRPr="00460745">
        <w:rPr>
          <w:rFonts w:ascii="Times New Roman" w:hAnsi="Times New Roman"/>
          <w:sz w:val="22"/>
          <w:szCs w:val="22"/>
        </w:rPr>
        <w:t xml:space="preserve"> 5.3</w:t>
      </w:r>
      <w:r w:rsidR="00695AB3" w:rsidRPr="00460745">
        <w:rPr>
          <w:rFonts w:ascii="Times New Roman" w:hAnsi="Times New Roman"/>
          <w:sz w:val="22"/>
          <w:szCs w:val="22"/>
        </w:rPr>
        <w:t>)</w:t>
      </w:r>
      <w:r w:rsidR="005F64B1" w:rsidRPr="00460745">
        <w:rPr>
          <w:rFonts w:ascii="Times New Roman" w:hAnsi="Times New Roman"/>
          <w:sz w:val="22"/>
          <w:szCs w:val="22"/>
        </w:rPr>
        <w:t xml:space="preserve">. Στην περίπτωση έκθεσης σε </w:t>
      </w:r>
      <w:r w:rsidR="00BF39ED" w:rsidRPr="00460745">
        <w:rPr>
          <w:rFonts w:ascii="Times New Roman" w:hAnsi="Times New Roman"/>
          <w:sz w:val="22"/>
          <w:szCs w:val="22"/>
        </w:rPr>
        <w:t>αναστολ</w:t>
      </w:r>
      <w:r w:rsidR="009A01B4" w:rsidRPr="00460745">
        <w:rPr>
          <w:rFonts w:ascii="Times New Roman" w:hAnsi="Times New Roman"/>
          <w:sz w:val="22"/>
          <w:szCs w:val="22"/>
        </w:rPr>
        <w:t>είς</w:t>
      </w:r>
      <w:r w:rsidR="005F64B1" w:rsidRPr="00460745">
        <w:rPr>
          <w:rFonts w:ascii="Times New Roman" w:hAnsi="Times New Roman"/>
          <w:sz w:val="22"/>
          <w:szCs w:val="22"/>
        </w:rPr>
        <w:t xml:space="preserve"> του ΜΕΑ από το δεύτερο τρίμηνο της κύησης και μετά, συνιστάται </w:t>
      </w:r>
      <w:r w:rsidR="00485E0A" w:rsidRPr="00460745">
        <w:rPr>
          <w:rFonts w:ascii="Times New Roman" w:hAnsi="Times New Roman"/>
          <w:sz w:val="22"/>
          <w:szCs w:val="22"/>
        </w:rPr>
        <w:t>ο υπερηχογραφικός έλεγχος</w:t>
      </w:r>
      <w:r w:rsidR="005F64B1" w:rsidRPr="00460745">
        <w:rPr>
          <w:rFonts w:ascii="Times New Roman" w:hAnsi="Times New Roman"/>
          <w:sz w:val="22"/>
          <w:szCs w:val="22"/>
        </w:rPr>
        <w:t xml:space="preserve"> της νεφρικής λειτουργίας και του κρανίου. Βρέφη των οποίων οι μητέρες έλαβαν αναστολείς του ΜΕΑ πρέπει να παρακολουθούνται στενά για υπόταση</w:t>
      </w:r>
      <w:r w:rsidR="006320B9" w:rsidRPr="00460745">
        <w:rPr>
          <w:rFonts w:ascii="Times New Roman" w:hAnsi="Times New Roman"/>
          <w:sz w:val="22"/>
          <w:szCs w:val="22"/>
        </w:rPr>
        <w:t xml:space="preserve"> (βλ. παραγράφους 4.3 και 4.4)</w:t>
      </w:r>
      <w:r w:rsidR="005F64B1" w:rsidRPr="00460745">
        <w:rPr>
          <w:rFonts w:ascii="Times New Roman" w:hAnsi="Times New Roman"/>
          <w:sz w:val="22"/>
          <w:szCs w:val="22"/>
        </w:rPr>
        <w:t>.</w:t>
      </w:r>
    </w:p>
    <w:p w:rsidR="00335779" w:rsidRPr="00460745" w:rsidRDefault="00335779" w:rsidP="00266858">
      <w:pPr>
        <w:rPr>
          <w:rFonts w:ascii="Times New Roman" w:hAnsi="Times New Roman"/>
          <w:sz w:val="22"/>
          <w:szCs w:val="22"/>
        </w:rPr>
      </w:pPr>
    </w:p>
    <w:p w:rsidR="00DF3291" w:rsidRPr="003D7212" w:rsidRDefault="00DF3291" w:rsidP="00266858">
      <w:pPr>
        <w:rPr>
          <w:rFonts w:ascii="Times New Roman" w:hAnsi="Times New Roman"/>
          <w:i/>
          <w:sz w:val="22"/>
          <w:szCs w:val="22"/>
          <w:lang w:val="en-US"/>
        </w:rPr>
      </w:pPr>
      <w:r w:rsidRPr="00460745">
        <w:rPr>
          <w:rFonts w:ascii="Times New Roman" w:hAnsi="Times New Roman"/>
          <w:i/>
          <w:sz w:val="22"/>
          <w:szCs w:val="22"/>
        </w:rPr>
        <w:t>Γαλουχία</w:t>
      </w:r>
    </w:p>
    <w:p w:rsidR="00335779" w:rsidRPr="00460745" w:rsidRDefault="00335779" w:rsidP="00266858">
      <w:pPr>
        <w:rPr>
          <w:rFonts w:ascii="Times New Roman" w:hAnsi="Times New Roman"/>
          <w:sz w:val="22"/>
          <w:szCs w:val="22"/>
        </w:rPr>
      </w:pPr>
      <w:r w:rsidRPr="00460745">
        <w:rPr>
          <w:rFonts w:ascii="Times New Roman" w:hAnsi="Times New Roman"/>
          <w:sz w:val="22"/>
          <w:szCs w:val="22"/>
        </w:rPr>
        <w:t>Λόγω των ανεπαρκών διαθέσιμων πληροφοριών σχετικά με τη χρήση της ραμιπρίλης κατά τη διάρκεια τ</w:t>
      </w:r>
      <w:r w:rsidR="00647C63" w:rsidRPr="00460745">
        <w:rPr>
          <w:rFonts w:ascii="Times New Roman" w:hAnsi="Times New Roman"/>
          <w:sz w:val="22"/>
          <w:szCs w:val="22"/>
        </w:rPr>
        <w:t>ου θηλασμού</w:t>
      </w:r>
      <w:r w:rsidRPr="00460745">
        <w:rPr>
          <w:rFonts w:ascii="Times New Roman" w:hAnsi="Times New Roman"/>
          <w:sz w:val="22"/>
          <w:szCs w:val="22"/>
        </w:rPr>
        <w:t xml:space="preserve"> (βλ. παράγραφο 5.2), </w:t>
      </w:r>
      <w:r w:rsidR="006E3B29" w:rsidRPr="00460745">
        <w:rPr>
          <w:rFonts w:ascii="Times New Roman" w:hAnsi="Times New Roman"/>
          <w:sz w:val="22"/>
          <w:szCs w:val="22"/>
        </w:rPr>
        <w:t xml:space="preserve">το </w:t>
      </w:r>
      <w:r w:rsidR="006E3B29" w:rsidRPr="00460745">
        <w:rPr>
          <w:rFonts w:ascii="Times New Roman" w:hAnsi="Times New Roman"/>
          <w:sz w:val="22"/>
          <w:szCs w:val="22"/>
          <w:lang w:val="en-US"/>
        </w:rPr>
        <w:t>TRIATEC</w:t>
      </w:r>
      <w:r w:rsidRPr="00460745">
        <w:rPr>
          <w:rFonts w:ascii="Times New Roman" w:hAnsi="Times New Roman"/>
          <w:sz w:val="22"/>
          <w:szCs w:val="22"/>
        </w:rPr>
        <w:t xml:space="preserve"> δεν συνιστάται και εναλλακτικές αγωγές με καλύτερα </w:t>
      </w:r>
      <w:r w:rsidR="0067366C" w:rsidRPr="00460745">
        <w:rPr>
          <w:rFonts w:ascii="Times New Roman" w:hAnsi="Times New Roman"/>
          <w:sz w:val="22"/>
          <w:szCs w:val="22"/>
        </w:rPr>
        <w:t>τεκμηριωμέν</w:t>
      </w:r>
      <w:r w:rsidR="0057015C" w:rsidRPr="00460745">
        <w:rPr>
          <w:rFonts w:ascii="Times New Roman" w:hAnsi="Times New Roman"/>
          <w:sz w:val="22"/>
          <w:szCs w:val="22"/>
        </w:rPr>
        <w:t>ο</w:t>
      </w:r>
      <w:r w:rsidRPr="00460745">
        <w:rPr>
          <w:rFonts w:ascii="Times New Roman" w:hAnsi="Times New Roman"/>
          <w:sz w:val="22"/>
          <w:szCs w:val="22"/>
        </w:rPr>
        <w:t xml:space="preserve"> προφίλ ασφαλείας κατά τ</w:t>
      </w:r>
      <w:r w:rsidR="00020C2F" w:rsidRPr="00460745">
        <w:rPr>
          <w:rFonts w:ascii="Times New Roman" w:hAnsi="Times New Roman"/>
          <w:sz w:val="22"/>
          <w:szCs w:val="22"/>
        </w:rPr>
        <w:t>ο θηλασμό</w:t>
      </w:r>
      <w:r w:rsidRPr="00460745">
        <w:rPr>
          <w:rFonts w:ascii="Times New Roman" w:hAnsi="Times New Roman"/>
          <w:sz w:val="22"/>
          <w:szCs w:val="22"/>
        </w:rPr>
        <w:t xml:space="preserve"> </w:t>
      </w:r>
      <w:r w:rsidR="0057015C" w:rsidRPr="00460745">
        <w:rPr>
          <w:rFonts w:ascii="Times New Roman" w:hAnsi="Times New Roman"/>
          <w:sz w:val="22"/>
          <w:szCs w:val="22"/>
        </w:rPr>
        <w:t>πρέπει να προτιμούνται</w:t>
      </w:r>
      <w:r w:rsidRPr="00460745">
        <w:rPr>
          <w:rFonts w:ascii="Times New Roman" w:hAnsi="Times New Roman"/>
          <w:sz w:val="22"/>
          <w:szCs w:val="22"/>
        </w:rPr>
        <w:t>, ειδικά κατά τη γαλουχία ενός νεογνού ή πρόωρου βρέφους.</w:t>
      </w:r>
    </w:p>
    <w:p w:rsidR="00610C27" w:rsidRPr="00460745" w:rsidRDefault="00610C27" w:rsidP="00266858">
      <w:pPr>
        <w:rPr>
          <w:rFonts w:ascii="Times New Roman" w:hAnsi="Times New Roman"/>
          <w:sz w:val="22"/>
          <w:szCs w:val="22"/>
        </w:rPr>
      </w:pPr>
    </w:p>
    <w:p w:rsidR="00520CDC" w:rsidRPr="003D7212" w:rsidRDefault="00520CDC" w:rsidP="00266858">
      <w:pPr>
        <w:rPr>
          <w:rFonts w:ascii="Times New Roman" w:hAnsi="Times New Roman"/>
          <w:b/>
          <w:sz w:val="22"/>
          <w:szCs w:val="22"/>
        </w:rPr>
      </w:pPr>
      <w:r w:rsidRPr="00460745">
        <w:rPr>
          <w:rFonts w:ascii="Times New Roman" w:hAnsi="Times New Roman"/>
          <w:b/>
          <w:sz w:val="22"/>
          <w:szCs w:val="22"/>
        </w:rPr>
        <w:t>4.7 Επ</w:t>
      </w:r>
      <w:r w:rsidR="00266858" w:rsidRPr="00460745">
        <w:rPr>
          <w:rFonts w:ascii="Times New Roman" w:hAnsi="Times New Roman"/>
          <w:b/>
          <w:sz w:val="22"/>
          <w:szCs w:val="22"/>
        </w:rPr>
        <w:t xml:space="preserve">ιδράσεις </w:t>
      </w:r>
      <w:r w:rsidRPr="00460745">
        <w:rPr>
          <w:rFonts w:ascii="Times New Roman" w:hAnsi="Times New Roman"/>
          <w:b/>
          <w:sz w:val="22"/>
          <w:szCs w:val="22"/>
        </w:rPr>
        <w:t>στην ικανότητα οδήγησης και χειρισμού μηχαν</w:t>
      </w:r>
      <w:r w:rsidR="00266858" w:rsidRPr="00460745">
        <w:rPr>
          <w:rFonts w:ascii="Times New Roman" w:hAnsi="Times New Roman"/>
          <w:b/>
          <w:sz w:val="22"/>
          <w:szCs w:val="22"/>
        </w:rPr>
        <w:t>ώ</w:t>
      </w:r>
      <w:r w:rsidRPr="00460745">
        <w:rPr>
          <w:rFonts w:ascii="Times New Roman" w:hAnsi="Times New Roman"/>
          <w:b/>
          <w:sz w:val="22"/>
          <w:szCs w:val="22"/>
        </w:rPr>
        <w:t>ν</w:t>
      </w:r>
    </w:p>
    <w:p w:rsidR="004B2F1D" w:rsidRPr="00460745" w:rsidRDefault="004B2F1D" w:rsidP="00266858">
      <w:pPr>
        <w:rPr>
          <w:rFonts w:ascii="Times New Roman" w:hAnsi="Times New Roman"/>
          <w:sz w:val="22"/>
          <w:szCs w:val="22"/>
        </w:rPr>
      </w:pPr>
      <w:r w:rsidRPr="00460745">
        <w:rPr>
          <w:rFonts w:ascii="Times New Roman" w:hAnsi="Times New Roman"/>
          <w:sz w:val="22"/>
          <w:szCs w:val="22"/>
        </w:rPr>
        <w:t xml:space="preserve">Κάποιες ανεπιθύμητες ενέργειες (π.χ. </w:t>
      </w:r>
      <w:r w:rsidR="00F7254D" w:rsidRPr="00460745">
        <w:rPr>
          <w:rFonts w:ascii="Times New Roman" w:hAnsi="Times New Roman"/>
          <w:sz w:val="22"/>
          <w:szCs w:val="22"/>
        </w:rPr>
        <w:t xml:space="preserve">συμπτώματα από τη μείωση της </w:t>
      </w:r>
      <w:r w:rsidR="00F76CF7" w:rsidRPr="00460745">
        <w:rPr>
          <w:rFonts w:ascii="Times New Roman" w:hAnsi="Times New Roman"/>
          <w:sz w:val="22"/>
          <w:szCs w:val="22"/>
        </w:rPr>
        <w:t>αρτηριακής πίεσης</w:t>
      </w:r>
      <w:r w:rsidR="00F7254D" w:rsidRPr="00460745">
        <w:rPr>
          <w:rFonts w:ascii="Times New Roman" w:hAnsi="Times New Roman"/>
          <w:sz w:val="22"/>
          <w:szCs w:val="22"/>
        </w:rPr>
        <w:t xml:space="preserve">, όπως η ζάλη) μπορεί να εξασθενήσουν την ικανότητα του ασθενούς να συγκεντρωθεί και να αντιδράσει και επομένως, αποτελούν κίνδυνο σε καταστάσεις όπου αυτές οι ικανότητες είναι </w:t>
      </w:r>
      <w:r w:rsidR="00D419C1" w:rsidRPr="00460745">
        <w:rPr>
          <w:rFonts w:ascii="Times New Roman" w:hAnsi="Times New Roman"/>
          <w:sz w:val="22"/>
          <w:szCs w:val="22"/>
        </w:rPr>
        <w:t>ιδιαίτερης</w:t>
      </w:r>
      <w:r w:rsidR="00F7254D" w:rsidRPr="00460745">
        <w:rPr>
          <w:rFonts w:ascii="Times New Roman" w:hAnsi="Times New Roman"/>
          <w:sz w:val="22"/>
          <w:szCs w:val="22"/>
        </w:rPr>
        <w:t xml:space="preserve"> σημασίας (π.χ. χειρισμός ενός οχήματος ή μηχανής). </w:t>
      </w:r>
    </w:p>
    <w:p w:rsidR="00F8778F" w:rsidRPr="00460745" w:rsidRDefault="00F8778F" w:rsidP="00266858">
      <w:pPr>
        <w:rPr>
          <w:rFonts w:ascii="Times New Roman" w:hAnsi="Times New Roman"/>
          <w:sz w:val="22"/>
          <w:szCs w:val="22"/>
        </w:rPr>
      </w:pPr>
      <w:r w:rsidRPr="00460745">
        <w:rPr>
          <w:rFonts w:ascii="Times New Roman" w:hAnsi="Times New Roman"/>
          <w:sz w:val="22"/>
          <w:szCs w:val="22"/>
        </w:rPr>
        <w:t xml:space="preserve">Αυτό πιθανόν να συμβεί ειδικά κατά την έναρξη της αγωγής ή όταν </w:t>
      </w:r>
      <w:r w:rsidR="0057015C" w:rsidRPr="00460745">
        <w:rPr>
          <w:rFonts w:ascii="Times New Roman" w:hAnsi="Times New Roman"/>
          <w:sz w:val="22"/>
          <w:szCs w:val="22"/>
        </w:rPr>
        <w:t>τροποποιείται η αγωγή</w:t>
      </w:r>
      <w:r w:rsidRPr="00460745">
        <w:rPr>
          <w:rFonts w:ascii="Times New Roman" w:hAnsi="Times New Roman"/>
          <w:sz w:val="22"/>
          <w:szCs w:val="22"/>
        </w:rPr>
        <w:t xml:space="preserve"> από άλλα σκευάσματα. Μετά την πρώτη δόση ή επακόλουθες αυξήσεις της δόσης, δεν συνιστάται η οδήγηση ή ο χειρισμός μηχανής για αρκετές ώρες.</w:t>
      </w:r>
    </w:p>
    <w:p w:rsidR="00520CDC" w:rsidRPr="00460745" w:rsidRDefault="00520CDC" w:rsidP="00266858">
      <w:pPr>
        <w:rPr>
          <w:rFonts w:ascii="Times New Roman" w:hAnsi="Times New Roman"/>
          <w:sz w:val="22"/>
          <w:szCs w:val="22"/>
        </w:rPr>
      </w:pPr>
    </w:p>
    <w:p w:rsidR="00520CDC" w:rsidRPr="003D7212" w:rsidRDefault="00520CDC" w:rsidP="00266858">
      <w:pPr>
        <w:rPr>
          <w:rFonts w:ascii="Times New Roman" w:hAnsi="Times New Roman"/>
          <w:b/>
          <w:sz w:val="22"/>
          <w:szCs w:val="22"/>
          <w:lang w:val="en-US"/>
        </w:rPr>
      </w:pPr>
      <w:r w:rsidRPr="00460745">
        <w:rPr>
          <w:rFonts w:ascii="Times New Roman" w:hAnsi="Times New Roman"/>
          <w:b/>
          <w:sz w:val="22"/>
          <w:szCs w:val="22"/>
        </w:rPr>
        <w:t>4.8 Ανεπιθύμητες ενέργειες</w:t>
      </w:r>
    </w:p>
    <w:p w:rsidR="00061A45" w:rsidRPr="00460745" w:rsidRDefault="00061A45" w:rsidP="00266858">
      <w:pPr>
        <w:pStyle w:val="5"/>
        <w:rPr>
          <w:b w:val="0"/>
          <w:bCs w:val="0"/>
          <w:i w:val="0"/>
          <w:sz w:val="22"/>
          <w:szCs w:val="22"/>
        </w:rPr>
      </w:pPr>
      <w:r w:rsidRPr="00460745">
        <w:rPr>
          <w:b w:val="0"/>
          <w:bCs w:val="0"/>
          <w:i w:val="0"/>
          <w:sz w:val="22"/>
          <w:szCs w:val="22"/>
        </w:rPr>
        <w:t>Το προφίλ ασφάλειας της ραμιπρίλης περιλαμβάνει επίμονο ξηρό βήχα και αντιδράσεις λόγω υπότασης. Σοβαρές ανεπιθύμητες ενέργειες περιλαμβάνουν αγγειοοίδημα, υπερκαλιαιμία, νεφρική ή ηπατική δυσλειτουργία, παγκρεατίτιδα, σοβαρές δερματικές αντιδράσεις και ουδετεροπενία/ακοκκιοκυτταραιμία.</w:t>
      </w:r>
    </w:p>
    <w:p w:rsidR="004E29B4" w:rsidRPr="00460745" w:rsidRDefault="004E29B4" w:rsidP="004E29B4">
      <w:pPr>
        <w:rPr>
          <w:rFonts w:ascii="Times New Roman" w:hAnsi="Times New Roman"/>
          <w:sz w:val="22"/>
          <w:szCs w:val="22"/>
        </w:rPr>
      </w:pPr>
    </w:p>
    <w:p w:rsidR="0070683A" w:rsidRPr="00460745" w:rsidRDefault="0070683A" w:rsidP="00266858">
      <w:pPr>
        <w:pStyle w:val="5"/>
        <w:rPr>
          <w:bCs w:val="0"/>
          <w:sz w:val="22"/>
          <w:szCs w:val="22"/>
        </w:rPr>
      </w:pPr>
      <w:r w:rsidRPr="00460745">
        <w:rPr>
          <w:bCs w:val="0"/>
          <w:sz w:val="22"/>
          <w:szCs w:val="22"/>
        </w:rPr>
        <w:lastRenderedPageBreak/>
        <w:t xml:space="preserve">Η συχνότητα </w:t>
      </w:r>
      <w:r w:rsidR="00382BF9" w:rsidRPr="00460745">
        <w:rPr>
          <w:bCs w:val="0"/>
          <w:sz w:val="22"/>
          <w:szCs w:val="22"/>
        </w:rPr>
        <w:t>των ανεπιθύμητων ενεργειών ορίζεται χρησιμοποιώντας την ακόλουθη συνθήκη:</w:t>
      </w:r>
    </w:p>
    <w:p w:rsidR="00382BF9" w:rsidRPr="00460745" w:rsidRDefault="00382BF9" w:rsidP="00382BF9">
      <w:pPr>
        <w:rPr>
          <w:rFonts w:ascii="Times New Roman" w:hAnsi="Times New Roman"/>
          <w:sz w:val="22"/>
          <w:szCs w:val="22"/>
        </w:rPr>
      </w:pPr>
      <w:r w:rsidRPr="00460745">
        <w:rPr>
          <w:rFonts w:ascii="Times New Roman" w:hAnsi="Times New Roman"/>
          <w:sz w:val="22"/>
          <w:szCs w:val="22"/>
        </w:rPr>
        <w:t>Πολύ συχνές (≥ 1/10)· συχνές (≥ 1/100 έως &lt; 1/10)· όχι συχνές (≥ 1/1.000 έως &lt; 1/100)· σπάνιες (≥</w:t>
      </w:r>
      <w:r w:rsidR="002B6489" w:rsidRPr="00460745">
        <w:rPr>
          <w:rFonts w:ascii="Times New Roman" w:hAnsi="Times New Roman"/>
          <w:sz w:val="22"/>
          <w:szCs w:val="22"/>
          <w:lang w:val="en-US"/>
        </w:rPr>
        <w:t> </w:t>
      </w:r>
      <w:r w:rsidRPr="00460745">
        <w:rPr>
          <w:rFonts w:ascii="Times New Roman" w:hAnsi="Times New Roman"/>
          <w:sz w:val="22"/>
          <w:szCs w:val="22"/>
        </w:rPr>
        <w:t>1/10.000 έως &lt; 1/1.000)· πολύ σπάνιες (&lt; 1/10.000), μη γνωστές (δεν μπορούν να εκτιμηθούν με βάση τα διαθέσιμα δεδομένα). Εντός κάθε κατηγορίας συχνότητας εμφάνισης, οι ανεπιθύμητες ενέργειες παρατίθενται κατά φθίνουσα σειρά σοβαρότητας.</w:t>
      </w:r>
    </w:p>
    <w:p w:rsidR="004E29B4" w:rsidRPr="00460745" w:rsidRDefault="004E29B4" w:rsidP="00382BF9">
      <w:pPr>
        <w:rPr>
          <w:rFonts w:ascii="Times New Roman" w:hAnsi="Times New Roman"/>
          <w:sz w:val="22"/>
          <w:szCs w:val="22"/>
          <w:lang w:val="en-US"/>
        </w:rPr>
      </w:pPr>
    </w:p>
    <w:p w:rsidR="00483319" w:rsidRPr="00460745" w:rsidRDefault="00483319" w:rsidP="00382BF9">
      <w:pPr>
        <w:rPr>
          <w:rFonts w:ascii="Times New Roman" w:hAnsi="Times New Roman"/>
          <w:sz w:val="22"/>
          <w:szCs w:val="22"/>
          <w:lang w:val="en-US"/>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417"/>
        <w:gridCol w:w="1701"/>
        <w:gridCol w:w="1559"/>
        <w:gridCol w:w="1602"/>
        <w:gridCol w:w="1806"/>
      </w:tblGrid>
      <w:tr w:rsidR="0069604E" w:rsidRPr="00225402">
        <w:trPr>
          <w:cantSplit/>
          <w:tblHeader/>
        </w:trPr>
        <w:tc>
          <w:tcPr>
            <w:tcW w:w="1668" w:type="dxa"/>
          </w:tcPr>
          <w:p w:rsidR="004E29B4" w:rsidRPr="00225402" w:rsidRDefault="004E29B4" w:rsidP="00382BF9">
            <w:pPr>
              <w:rPr>
                <w:rFonts w:ascii="Times New Roman" w:hAnsi="Times New Roman"/>
                <w:i/>
                <w:sz w:val="22"/>
                <w:szCs w:val="22"/>
                <w:u w:val="single"/>
              </w:rPr>
            </w:pPr>
          </w:p>
        </w:tc>
        <w:tc>
          <w:tcPr>
            <w:tcW w:w="1417" w:type="dxa"/>
          </w:tcPr>
          <w:p w:rsidR="004E29B4" w:rsidRPr="00225402" w:rsidRDefault="004E29B4" w:rsidP="00382BF9">
            <w:pPr>
              <w:rPr>
                <w:rFonts w:ascii="Times New Roman" w:hAnsi="Times New Roman"/>
                <w:sz w:val="22"/>
                <w:szCs w:val="22"/>
              </w:rPr>
            </w:pPr>
            <w:r w:rsidRPr="00225402">
              <w:rPr>
                <w:rFonts w:ascii="Times New Roman" w:hAnsi="Times New Roman"/>
                <w:sz w:val="22"/>
                <w:szCs w:val="22"/>
              </w:rPr>
              <w:t>Συχνές</w:t>
            </w:r>
          </w:p>
        </w:tc>
        <w:tc>
          <w:tcPr>
            <w:tcW w:w="1701" w:type="dxa"/>
          </w:tcPr>
          <w:p w:rsidR="004E29B4" w:rsidRPr="00225402" w:rsidRDefault="004E29B4" w:rsidP="00382BF9">
            <w:pPr>
              <w:rPr>
                <w:rFonts w:ascii="Times New Roman" w:hAnsi="Times New Roman"/>
                <w:sz w:val="22"/>
                <w:szCs w:val="22"/>
              </w:rPr>
            </w:pPr>
            <w:r w:rsidRPr="00225402">
              <w:rPr>
                <w:rFonts w:ascii="Times New Roman" w:hAnsi="Times New Roman"/>
                <w:sz w:val="22"/>
                <w:szCs w:val="22"/>
              </w:rPr>
              <w:t>Όχι συχνές</w:t>
            </w:r>
          </w:p>
        </w:tc>
        <w:tc>
          <w:tcPr>
            <w:tcW w:w="1559" w:type="dxa"/>
          </w:tcPr>
          <w:p w:rsidR="004E29B4" w:rsidRPr="00225402" w:rsidRDefault="004E29B4" w:rsidP="00382BF9">
            <w:pPr>
              <w:rPr>
                <w:rFonts w:ascii="Times New Roman" w:hAnsi="Times New Roman"/>
                <w:sz w:val="22"/>
                <w:szCs w:val="22"/>
              </w:rPr>
            </w:pPr>
            <w:r w:rsidRPr="00225402">
              <w:rPr>
                <w:rFonts w:ascii="Times New Roman" w:hAnsi="Times New Roman"/>
                <w:sz w:val="22"/>
                <w:szCs w:val="22"/>
              </w:rPr>
              <w:t>Σπάνιες</w:t>
            </w:r>
          </w:p>
        </w:tc>
        <w:tc>
          <w:tcPr>
            <w:tcW w:w="1602" w:type="dxa"/>
          </w:tcPr>
          <w:p w:rsidR="004E29B4" w:rsidRPr="00225402" w:rsidRDefault="004E29B4" w:rsidP="00382BF9">
            <w:pPr>
              <w:rPr>
                <w:rFonts w:ascii="Times New Roman" w:hAnsi="Times New Roman"/>
                <w:sz w:val="22"/>
                <w:szCs w:val="22"/>
              </w:rPr>
            </w:pPr>
            <w:r w:rsidRPr="00225402">
              <w:rPr>
                <w:rFonts w:ascii="Times New Roman" w:hAnsi="Times New Roman"/>
                <w:sz w:val="22"/>
                <w:szCs w:val="22"/>
              </w:rPr>
              <w:t>Πολύ σπάνιες</w:t>
            </w:r>
          </w:p>
        </w:tc>
        <w:tc>
          <w:tcPr>
            <w:tcW w:w="1806" w:type="dxa"/>
          </w:tcPr>
          <w:p w:rsidR="004E29B4" w:rsidRPr="00225402" w:rsidRDefault="004E29B4" w:rsidP="00382BF9">
            <w:pPr>
              <w:rPr>
                <w:rFonts w:ascii="Times New Roman" w:hAnsi="Times New Roman"/>
                <w:sz w:val="22"/>
                <w:szCs w:val="22"/>
              </w:rPr>
            </w:pPr>
            <w:r w:rsidRPr="00225402">
              <w:rPr>
                <w:rFonts w:ascii="Times New Roman" w:hAnsi="Times New Roman"/>
                <w:sz w:val="22"/>
                <w:szCs w:val="22"/>
              </w:rPr>
              <w:t>Μη γνωστές</w:t>
            </w:r>
          </w:p>
        </w:tc>
      </w:tr>
      <w:tr w:rsidR="0069604E" w:rsidRPr="00225402">
        <w:trPr>
          <w:cantSplit/>
        </w:trPr>
        <w:tc>
          <w:tcPr>
            <w:tcW w:w="1668" w:type="dxa"/>
          </w:tcPr>
          <w:p w:rsidR="004E29B4" w:rsidRPr="00225402" w:rsidRDefault="004E29B4" w:rsidP="00382BF9">
            <w:pPr>
              <w:rPr>
                <w:rFonts w:ascii="Times New Roman" w:hAnsi="Times New Roman"/>
                <w:i/>
                <w:sz w:val="22"/>
                <w:szCs w:val="22"/>
                <w:u w:val="single"/>
              </w:rPr>
            </w:pPr>
            <w:r w:rsidRPr="00225402">
              <w:rPr>
                <w:rFonts w:ascii="Times New Roman" w:hAnsi="Times New Roman"/>
                <w:i/>
                <w:sz w:val="22"/>
                <w:szCs w:val="22"/>
                <w:u w:val="single"/>
              </w:rPr>
              <w:t>Καρδιακές διαταραχές</w:t>
            </w:r>
          </w:p>
        </w:tc>
        <w:tc>
          <w:tcPr>
            <w:tcW w:w="1417" w:type="dxa"/>
          </w:tcPr>
          <w:p w:rsidR="004E29B4" w:rsidRPr="00225402" w:rsidRDefault="004E29B4" w:rsidP="00382BF9">
            <w:pPr>
              <w:rPr>
                <w:rFonts w:ascii="Times New Roman" w:hAnsi="Times New Roman"/>
                <w:sz w:val="22"/>
                <w:szCs w:val="22"/>
              </w:rPr>
            </w:pPr>
          </w:p>
        </w:tc>
        <w:tc>
          <w:tcPr>
            <w:tcW w:w="1701" w:type="dxa"/>
          </w:tcPr>
          <w:p w:rsidR="004E29B4" w:rsidRPr="00225402" w:rsidRDefault="00DD15C1" w:rsidP="00382BF9">
            <w:pPr>
              <w:rPr>
                <w:rFonts w:ascii="Times New Roman" w:hAnsi="Times New Roman"/>
                <w:sz w:val="22"/>
                <w:szCs w:val="22"/>
              </w:rPr>
            </w:pPr>
            <w:r w:rsidRPr="00225402">
              <w:rPr>
                <w:rFonts w:ascii="Times New Roman" w:hAnsi="Times New Roman"/>
                <w:sz w:val="22"/>
                <w:szCs w:val="22"/>
              </w:rPr>
              <w:t>Ισχαιμία του μυοκαρδίου συμπεριλαμβα</w:t>
            </w:r>
            <w:r w:rsidR="00FE2476" w:rsidRPr="00225402">
              <w:rPr>
                <w:rFonts w:ascii="Times New Roman" w:hAnsi="Times New Roman"/>
                <w:sz w:val="22"/>
                <w:szCs w:val="22"/>
              </w:rPr>
              <w:t>-</w:t>
            </w:r>
            <w:r w:rsidRPr="00225402">
              <w:rPr>
                <w:rFonts w:ascii="Times New Roman" w:hAnsi="Times New Roman"/>
                <w:sz w:val="22"/>
                <w:szCs w:val="22"/>
              </w:rPr>
              <w:t>νομένης της στηθάγχης ή εμφράγματος του μυοκαρδίου, ταχυκαρδία, αρρυθμία, αίσθημα παλμών, περιφερικό οίδημα</w:t>
            </w:r>
          </w:p>
        </w:tc>
        <w:tc>
          <w:tcPr>
            <w:tcW w:w="1559" w:type="dxa"/>
          </w:tcPr>
          <w:p w:rsidR="004E29B4" w:rsidRPr="00225402" w:rsidRDefault="004E29B4" w:rsidP="00382BF9">
            <w:pPr>
              <w:rPr>
                <w:rFonts w:ascii="Times New Roman" w:hAnsi="Times New Roman"/>
                <w:sz w:val="22"/>
                <w:szCs w:val="22"/>
              </w:rPr>
            </w:pPr>
          </w:p>
        </w:tc>
        <w:tc>
          <w:tcPr>
            <w:tcW w:w="1602" w:type="dxa"/>
          </w:tcPr>
          <w:p w:rsidR="004E29B4" w:rsidRPr="00225402" w:rsidRDefault="004E29B4" w:rsidP="00382BF9">
            <w:pPr>
              <w:rPr>
                <w:rFonts w:ascii="Times New Roman" w:hAnsi="Times New Roman"/>
                <w:sz w:val="22"/>
                <w:szCs w:val="22"/>
              </w:rPr>
            </w:pPr>
          </w:p>
        </w:tc>
        <w:tc>
          <w:tcPr>
            <w:tcW w:w="1806" w:type="dxa"/>
          </w:tcPr>
          <w:p w:rsidR="004E29B4" w:rsidRPr="00225402" w:rsidRDefault="004E29B4" w:rsidP="00382BF9">
            <w:pPr>
              <w:rPr>
                <w:rFonts w:ascii="Times New Roman" w:hAnsi="Times New Roman"/>
                <w:sz w:val="22"/>
                <w:szCs w:val="22"/>
              </w:rPr>
            </w:pPr>
          </w:p>
        </w:tc>
      </w:tr>
      <w:tr w:rsidR="0069604E" w:rsidRPr="00225402">
        <w:trPr>
          <w:cantSplit/>
        </w:trPr>
        <w:tc>
          <w:tcPr>
            <w:tcW w:w="1668" w:type="dxa"/>
          </w:tcPr>
          <w:p w:rsidR="004E29B4" w:rsidRPr="00225402" w:rsidRDefault="004E29B4" w:rsidP="00382BF9">
            <w:pPr>
              <w:rPr>
                <w:rFonts w:ascii="Times New Roman" w:hAnsi="Times New Roman"/>
                <w:i/>
                <w:sz w:val="22"/>
                <w:szCs w:val="22"/>
                <w:u w:val="single"/>
              </w:rPr>
            </w:pPr>
            <w:r w:rsidRPr="00225402">
              <w:rPr>
                <w:rFonts w:ascii="Times New Roman" w:hAnsi="Times New Roman"/>
                <w:i/>
                <w:sz w:val="22"/>
                <w:szCs w:val="22"/>
                <w:u w:val="single"/>
              </w:rPr>
              <w:t>Διαταραχές του αιμοποιητικού και του λεμφικού συστήματος</w:t>
            </w:r>
          </w:p>
        </w:tc>
        <w:tc>
          <w:tcPr>
            <w:tcW w:w="1417" w:type="dxa"/>
          </w:tcPr>
          <w:p w:rsidR="004E29B4" w:rsidRPr="00225402" w:rsidRDefault="004E29B4" w:rsidP="00382BF9">
            <w:pPr>
              <w:rPr>
                <w:rFonts w:ascii="Times New Roman" w:hAnsi="Times New Roman"/>
                <w:sz w:val="22"/>
                <w:szCs w:val="22"/>
              </w:rPr>
            </w:pPr>
          </w:p>
        </w:tc>
        <w:tc>
          <w:tcPr>
            <w:tcW w:w="1701" w:type="dxa"/>
          </w:tcPr>
          <w:p w:rsidR="004E29B4" w:rsidRPr="00225402" w:rsidRDefault="00DD15C1" w:rsidP="00382BF9">
            <w:pPr>
              <w:rPr>
                <w:rFonts w:ascii="Times New Roman" w:hAnsi="Times New Roman"/>
                <w:sz w:val="22"/>
                <w:szCs w:val="22"/>
              </w:rPr>
            </w:pPr>
            <w:r w:rsidRPr="00225402">
              <w:rPr>
                <w:rFonts w:ascii="Times New Roman" w:hAnsi="Times New Roman"/>
                <w:sz w:val="22"/>
                <w:szCs w:val="22"/>
              </w:rPr>
              <w:t>Ηωσινοφιλία</w:t>
            </w:r>
          </w:p>
        </w:tc>
        <w:tc>
          <w:tcPr>
            <w:tcW w:w="1559" w:type="dxa"/>
          </w:tcPr>
          <w:p w:rsidR="004E29B4" w:rsidRPr="00225402" w:rsidRDefault="00DD15C1" w:rsidP="00382BF9">
            <w:pPr>
              <w:rPr>
                <w:rFonts w:ascii="Times New Roman" w:hAnsi="Times New Roman"/>
                <w:sz w:val="22"/>
                <w:szCs w:val="22"/>
              </w:rPr>
            </w:pPr>
            <w:r w:rsidRPr="00225402">
              <w:rPr>
                <w:rFonts w:ascii="Times New Roman" w:hAnsi="Times New Roman"/>
                <w:sz w:val="22"/>
                <w:szCs w:val="22"/>
              </w:rPr>
              <w:t>Μειωμένος αριθμός λευκοκυττάρ</w:t>
            </w:r>
            <w:r w:rsidR="00FE2476" w:rsidRPr="00225402">
              <w:rPr>
                <w:rFonts w:ascii="Times New Roman" w:hAnsi="Times New Roman"/>
                <w:sz w:val="22"/>
                <w:szCs w:val="22"/>
              </w:rPr>
              <w:t>-</w:t>
            </w:r>
            <w:r w:rsidRPr="00225402">
              <w:rPr>
                <w:rFonts w:ascii="Times New Roman" w:hAnsi="Times New Roman"/>
                <w:sz w:val="22"/>
                <w:szCs w:val="22"/>
              </w:rPr>
              <w:t>ων (συμπεριλαμ</w:t>
            </w:r>
            <w:r w:rsidR="00FE2476" w:rsidRPr="00225402">
              <w:rPr>
                <w:rFonts w:ascii="Times New Roman" w:hAnsi="Times New Roman"/>
                <w:sz w:val="22"/>
                <w:szCs w:val="22"/>
              </w:rPr>
              <w:t>-</w:t>
            </w:r>
            <w:r w:rsidRPr="00225402">
              <w:rPr>
                <w:rFonts w:ascii="Times New Roman" w:hAnsi="Times New Roman"/>
                <w:sz w:val="22"/>
                <w:szCs w:val="22"/>
              </w:rPr>
              <w:t>βανομένης της ουδετεροπενί</w:t>
            </w:r>
            <w:r w:rsidR="00FE2476" w:rsidRPr="00225402">
              <w:rPr>
                <w:rFonts w:ascii="Times New Roman" w:hAnsi="Times New Roman"/>
                <w:sz w:val="22"/>
                <w:szCs w:val="22"/>
              </w:rPr>
              <w:t>-</w:t>
            </w:r>
            <w:r w:rsidRPr="00225402">
              <w:rPr>
                <w:rFonts w:ascii="Times New Roman" w:hAnsi="Times New Roman"/>
                <w:sz w:val="22"/>
                <w:szCs w:val="22"/>
              </w:rPr>
              <w:t>ας ή ακοκκιοκυτ</w:t>
            </w:r>
            <w:r w:rsidR="00FE2476" w:rsidRPr="00225402">
              <w:rPr>
                <w:rFonts w:ascii="Times New Roman" w:hAnsi="Times New Roman"/>
                <w:sz w:val="22"/>
                <w:szCs w:val="22"/>
              </w:rPr>
              <w:t>-</w:t>
            </w:r>
            <w:r w:rsidRPr="00225402">
              <w:rPr>
                <w:rFonts w:ascii="Times New Roman" w:hAnsi="Times New Roman"/>
                <w:sz w:val="22"/>
                <w:szCs w:val="22"/>
              </w:rPr>
              <w:t>ταραιμίας), μειωμένος αριθμός ερυθροκυττάρ</w:t>
            </w:r>
            <w:r w:rsidR="00CA5230" w:rsidRPr="00225402">
              <w:rPr>
                <w:rFonts w:ascii="Times New Roman" w:hAnsi="Times New Roman"/>
                <w:sz w:val="22"/>
                <w:szCs w:val="22"/>
              </w:rPr>
              <w:t>-</w:t>
            </w:r>
            <w:r w:rsidRPr="00225402">
              <w:rPr>
                <w:rFonts w:ascii="Times New Roman" w:hAnsi="Times New Roman"/>
                <w:sz w:val="22"/>
                <w:szCs w:val="22"/>
              </w:rPr>
              <w:t>ων, μειωμένη αιμοσφαιρίνη, μειωμένος αριθμός αιμοπεταλίων</w:t>
            </w:r>
          </w:p>
        </w:tc>
        <w:tc>
          <w:tcPr>
            <w:tcW w:w="1602" w:type="dxa"/>
          </w:tcPr>
          <w:p w:rsidR="004E29B4" w:rsidRPr="00225402" w:rsidRDefault="004E29B4" w:rsidP="00382BF9">
            <w:pPr>
              <w:rPr>
                <w:rFonts w:ascii="Times New Roman" w:hAnsi="Times New Roman"/>
                <w:sz w:val="22"/>
                <w:szCs w:val="22"/>
              </w:rPr>
            </w:pPr>
          </w:p>
        </w:tc>
        <w:tc>
          <w:tcPr>
            <w:tcW w:w="1806" w:type="dxa"/>
          </w:tcPr>
          <w:p w:rsidR="004E29B4" w:rsidRPr="00225402" w:rsidRDefault="000B1C37" w:rsidP="00382BF9">
            <w:pPr>
              <w:rPr>
                <w:rFonts w:ascii="Times New Roman" w:hAnsi="Times New Roman"/>
                <w:sz w:val="22"/>
                <w:szCs w:val="22"/>
              </w:rPr>
            </w:pPr>
            <w:r w:rsidRPr="00225402">
              <w:rPr>
                <w:rFonts w:ascii="Times New Roman" w:hAnsi="Times New Roman"/>
                <w:sz w:val="22"/>
                <w:szCs w:val="22"/>
              </w:rPr>
              <w:t>Ανεπάρκεια του μυελού των οστών, πανκυτταροπενία, αιμολυτική αναιμία</w:t>
            </w:r>
          </w:p>
        </w:tc>
      </w:tr>
      <w:tr w:rsidR="0069604E" w:rsidRPr="00225402">
        <w:trPr>
          <w:cantSplit/>
        </w:trPr>
        <w:tc>
          <w:tcPr>
            <w:tcW w:w="1668" w:type="dxa"/>
          </w:tcPr>
          <w:p w:rsidR="004E29B4" w:rsidRPr="00225402" w:rsidRDefault="004E29B4" w:rsidP="00382BF9">
            <w:pPr>
              <w:rPr>
                <w:rFonts w:ascii="Times New Roman" w:hAnsi="Times New Roman"/>
                <w:i/>
                <w:sz w:val="22"/>
                <w:szCs w:val="22"/>
                <w:u w:val="single"/>
              </w:rPr>
            </w:pPr>
            <w:r w:rsidRPr="00225402">
              <w:rPr>
                <w:rFonts w:ascii="Times New Roman" w:hAnsi="Times New Roman"/>
                <w:i/>
                <w:sz w:val="22"/>
                <w:szCs w:val="22"/>
                <w:u w:val="single"/>
              </w:rPr>
              <w:t>Διαταραχές του νευρικού συστήματος</w:t>
            </w:r>
          </w:p>
        </w:tc>
        <w:tc>
          <w:tcPr>
            <w:tcW w:w="1417" w:type="dxa"/>
          </w:tcPr>
          <w:p w:rsidR="004E29B4" w:rsidRPr="00225402" w:rsidRDefault="000B1C37" w:rsidP="00382BF9">
            <w:pPr>
              <w:rPr>
                <w:rFonts w:ascii="Times New Roman" w:hAnsi="Times New Roman"/>
                <w:sz w:val="22"/>
                <w:szCs w:val="22"/>
              </w:rPr>
            </w:pPr>
            <w:r w:rsidRPr="00225402">
              <w:rPr>
                <w:rFonts w:ascii="Times New Roman" w:hAnsi="Times New Roman"/>
                <w:sz w:val="22"/>
                <w:szCs w:val="22"/>
              </w:rPr>
              <w:t>Κεφαλαλγία, ζάλη</w:t>
            </w:r>
          </w:p>
        </w:tc>
        <w:tc>
          <w:tcPr>
            <w:tcW w:w="1701" w:type="dxa"/>
          </w:tcPr>
          <w:p w:rsidR="004E29B4" w:rsidRPr="00225402" w:rsidRDefault="000B1C37" w:rsidP="00382BF9">
            <w:pPr>
              <w:rPr>
                <w:rFonts w:ascii="Times New Roman" w:hAnsi="Times New Roman"/>
                <w:sz w:val="22"/>
                <w:szCs w:val="22"/>
              </w:rPr>
            </w:pPr>
            <w:r w:rsidRPr="00225402">
              <w:rPr>
                <w:rFonts w:ascii="Times New Roman" w:hAnsi="Times New Roman"/>
                <w:sz w:val="22"/>
                <w:szCs w:val="22"/>
              </w:rPr>
              <w:t>Ίλιγγος, παραισθησία, αγευσία, δυσγευσία</w:t>
            </w:r>
          </w:p>
        </w:tc>
        <w:tc>
          <w:tcPr>
            <w:tcW w:w="1559" w:type="dxa"/>
          </w:tcPr>
          <w:p w:rsidR="004E29B4" w:rsidRPr="00225402" w:rsidRDefault="000B1C37" w:rsidP="00382BF9">
            <w:pPr>
              <w:rPr>
                <w:rFonts w:ascii="Times New Roman" w:hAnsi="Times New Roman"/>
                <w:sz w:val="22"/>
                <w:szCs w:val="22"/>
              </w:rPr>
            </w:pPr>
            <w:r w:rsidRPr="00225402">
              <w:rPr>
                <w:rFonts w:ascii="Times New Roman" w:hAnsi="Times New Roman"/>
                <w:sz w:val="22"/>
                <w:szCs w:val="22"/>
              </w:rPr>
              <w:t>Τρόμος, διαταραχή της ισορροπίας</w:t>
            </w:r>
          </w:p>
        </w:tc>
        <w:tc>
          <w:tcPr>
            <w:tcW w:w="1602" w:type="dxa"/>
          </w:tcPr>
          <w:p w:rsidR="004E29B4" w:rsidRPr="00225402" w:rsidRDefault="004E29B4" w:rsidP="00382BF9">
            <w:pPr>
              <w:rPr>
                <w:rFonts w:ascii="Times New Roman" w:hAnsi="Times New Roman"/>
                <w:sz w:val="22"/>
                <w:szCs w:val="22"/>
              </w:rPr>
            </w:pPr>
          </w:p>
        </w:tc>
        <w:tc>
          <w:tcPr>
            <w:tcW w:w="1806" w:type="dxa"/>
          </w:tcPr>
          <w:p w:rsidR="004E29B4" w:rsidRPr="00225402" w:rsidRDefault="006A5D72" w:rsidP="00382BF9">
            <w:pPr>
              <w:rPr>
                <w:rFonts w:ascii="Times New Roman" w:hAnsi="Times New Roman"/>
                <w:sz w:val="22"/>
                <w:szCs w:val="22"/>
              </w:rPr>
            </w:pPr>
            <w:r w:rsidRPr="00225402">
              <w:rPr>
                <w:rFonts w:ascii="Times New Roman" w:hAnsi="Times New Roman"/>
                <w:sz w:val="22"/>
                <w:szCs w:val="22"/>
              </w:rPr>
              <w:t>Εγκεφαλική ισχαιμία συμπεριλαμβανο</w:t>
            </w:r>
            <w:r w:rsidR="00AD2472" w:rsidRPr="00225402">
              <w:rPr>
                <w:rFonts w:ascii="Times New Roman" w:hAnsi="Times New Roman"/>
                <w:sz w:val="22"/>
                <w:szCs w:val="22"/>
              </w:rPr>
              <w:t>-</w:t>
            </w:r>
            <w:r w:rsidRPr="00225402">
              <w:rPr>
                <w:rFonts w:ascii="Times New Roman" w:hAnsi="Times New Roman"/>
                <w:sz w:val="22"/>
                <w:szCs w:val="22"/>
              </w:rPr>
              <w:t>μένου του ισχαιμικού αγγειακού εγκεφαλικού επεισοδίου και του παροδικού ισχαιμικού επεισοδίου, επηρεασμένες ψυχοκινητικές ικανότητες, αίσθηση καύσου, παροσμία</w:t>
            </w:r>
          </w:p>
        </w:tc>
      </w:tr>
      <w:tr w:rsidR="0069604E" w:rsidRPr="00225402">
        <w:trPr>
          <w:cantSplit/>
        </w:trPr>
        <w:tc>
          <w:tcPr>
            <w:tcW w:w="1668" w:type="dxa"/>
          </w:tcPr>
          <w:p w:rsidR="004F3059" w:rsidRPr="00225402" w:rsidRDefault="004F3059" w:rsidP="00382BF9">
            <w:pPr>
              <w:rPr>
                <w:rFonts w:ascii="Times New Roman" w:hAnsi="Times New Roman"/>
                <w:i/>
                <w:sz w:val="22"/>
                <w:szCs w:val="22"/>
                <w:u w:val="single"/>
              </w:rPr>
            </w:pPr>
            <w:r w:rsidRPr="00225402">
              <w:rPr>
                <w:rFonts w:ascii="Times New Roman" w:hAnsi="Times New Roman"/>
                <w:i/>
                <w:sz w:val="22"/>
                <w:szCs w:val="22"/>
                <w:u w:val="single"/>
              </w:rPr>
              <w:lastRenderedPageBreak/>
              <w:t>Οφθαλμικές διαταραχές</w:t>
            </w:r>
          </w:p>
        </w:tc>
        <w:tc>
          <w:tcPr>
            <w:tcW w:w="1417" w:type="dxa"/>
          </w:tcPr>
          <w:p w:rsidR="004E29B4" w:rsidRPr="00225402" w:rsidRDefault="004E29B4" w:rsidP="00382BF9">
            <w:pPr>
              <w:rPr>
                <w:rFonts w:ascii="Times New Roman" w:hAnsi="Times New Roman"/>
                <w:sz w:val="22"/>
                <w:szCs w:val="22"/>
              </w:rPr>
            </w:pPr>
          </w:p>
        </w:tc>
        <w:tc>
          <w:tcPr>
            <w:tcW w:w="1701" w:type="dxa"/>
          </w:tcPr>
          <w:p w:rsidR="004E29B4" w:rsidRPr="00225402" w:rsidRDefault="0069604E" w:rsidP="00382BF9">
            <w:pPr>
              <w:rPr>
                <w:rFonts w:ascii="Times New Roman" w:hAnsi="Times New Roman"/>
                <w:sz w:val="22"/>
                <w:szCs w:val="22"/>
              </w:rPr>
            </w:pPr>
            <w:r w:rsidRPr="00225402">
              <w:rPr>
                <w:rFonts w:ascii="Times New Roman" w:hAnsi="Times New Roman"/>
                <w:sz w:val="22"/>
                <w:szCs w:val="22"/>
              </w:rPr>
              <w:t>Διαταραχές της όρασης συμπεριλαμβα</w:t>
            </w:r>
            <w:r w:rsidR="00AD2472" w:rsidRPr="00225402">
              <w:rPr>
                <w:rFonts w:ascii="Times New Roman" w:hAnsi="Times New Roman"/>
                <w:sz w:val="22"/>
                <w:szCs w:val="22"/>
              </w:rPr>
              <w:t>-</w:t>
            </w:r>
            <w:r w:rsidRPr="00225402">
              <w:rPr>
                <w:rFonts w:ascii="Times New Roman" w:hAnsi="Times New Roman"/>
                <w:sz w:val="22"/>
                <w:szCs w:val="22"/>
              </w:rPr>
              <w:t>νομένης της θαμπής όρασης</w:t>
            </w:r>
          </w:p>
        </w:tc>
        <w:tc>
          <w:tcPr>
            <w:tcW w:w="1559" w:type="dxa"/>
          </w:tcPr>
          <w:p w:rsidR="004E29B4" w:rsidRPr="00225402" w:rsidRDefault="0069604E" w:rsidP="00382BF9">
            <w:pPr>
              <w:rPr>
                <w:rFonts w:ascii="Times New Roman" w:hAnsi="Times New Roman"/>
                <w:sz w:val="22"/>
                <w:szCs w:val="22"/>
              </w:rPr>
            </w:pPr>
            <w:r w:rsidRPr="00225402">
              <w:rPr>
                <w:rFonts w:ascii="Times New Roman" w:hAnsi="Times New Roman"/>
                <w:sz w:val="22"/>
                <w:szCs w:val="22"/>
              </w:rPr>
              <w:t>Επιπεφυκίτιδα</w:t>
            </w:r>
          </w:p>
        </w:tc>
        <w:tc>
          <w:tcPr>
            <w:tcW w:w="1602" w:type="dxa"/>
          </w:tcPr>
          <w:p w:rsidR="004E29B4" w:rsidRPr="00225402" w:rsidRDefault="004E29B4" w:rsidP="00382BF9">
            <w:pPr>
              <w:rPr>
                <w:rFonts w:ascii="Times New Roman" w:hAnsi="Times New Roman"/>
                <w:sz w:val="22"/>
                <w:szCs w:val="22"/>
              </w:rPr>
            </w:pPr>
          </w:p>
        </w:tc>
        <w:tc>
          <w:tcPr>
            <w:tcW w:w="1806" w:type="dxa"/>
          </w:tcPr>
          <w:p w:rsidR="004E29B4" w:rsidRPr="00225402" w:rsidRDefault="004E29B4" w:rsidP="00382BF9">
            <w:pPr>
              <w:rPr>
                <w:rFonts w:ascii="Times New Roman" w:hAnsi="Times New Roman"/>
                <w:sz w:val="22"/>
                <w:szCs w:val="22"/>
              </w:rPr>
            </w:pPr>
          </w:p>
        </w:tc>
      </w:tr>
      <w:tr w:rsidR="0069604E" w:rsidRPr="00225402">
        <w:trPr>
          <w:cantSplit/>
        </w:trPr>
        <w:tc>
          <w:tcPr>
            <w:tcW w:w="1668" w:type="dxa"/>
          </w:tcPr>
          <w:p w:rsidR="004E29B4" w:rsidRPr="00225402" w:rsidRDefault="004F3059" w:rsidP="00382BF9">
            <w:pPr>
              <w:rPr>
                <w:rFonts w:ascii="Times New Roman" w:hAnsi="Times New Roman"/>
                <w:i/>
                <w:sz w:val="22"/>
                <w:szCs w:val="22"/>
                <w:u w:val="single"/>
              </w:rPr>
            </w:pPr>
            <w:r w:rsidRPr="00225402">
              <w:rPr>
                <w:rFonts w:ascii="Times New Roman" w:hAnsi="Times New Roman"/>
                <w:i/>
                <w:sz w:val="22"/>
                <w:szCs w:val="22"/>
                <w:u w:val="single"/>
              </w:rPr>
              <w:t>Διαταραχές του ωτός και του λαβυρίνθου</w:t>
            </w:r>
          </w:p>
        </w:tc>
        <w:tc>
          <w:tcPr>
            <w:tcW w:w="1417" w:type="dxa"/>
          </w:tcPr>
          <w:p w:rsidR="004E29B4" w:rsidRPr="00225402" w:rsidRDefault="004E29B4" w:rsidP="00382BF9">
            <w:pPr>
              <w:rPr>
                <w:rFonts w:ascii="Times New Roman" w:hAnsi="Times New Roman"/>
                <w:sz w:val="22"/>
                <w:szCs w:val="22"/>
              </w:rPr>
            </w:pPr>
          </w:p>
        </w:tc>
        <w:tc>
          <w:tcPr>
            <w:tcW w:w="1701" w:type="dxa"/>
          </w:tcPr>
          <w:p w:rsidR="004E29B4" w:rsidRPr="00225402" w:rsidRDefault="004E29B4" w:rsidP="00382BF9">
            <w:pPr>
              <w:rPr>
                <w:rFonts w:ascii="Times New Roman" w:hAnsi="Times New Roman"/>
                <w:sz w:val="22"/>
                <w:szCs w:val="22"/>
              </w:rPr>
            </w:pPr>
          </w:p>
        </w:tc>
        <w:tc>
          <w:tcPr>
            <w:tcW w:w="1559" w:type="dxa"/>
          </w:tcPr>
          <w:p w:rsidR="004E29B4" w:rsidRPr="00225402" w:rsidRDefault="0069604E" w:rsidP="00382BF9">
            <w:pPr>
              <w:rPr>
                <w:rFonts w:ascii="Times New Roman" w:hAnsi="Times New Roman"/>
                <w:sz w:val="22"/>
                <w:szCs w:val="22"/>
              </w:rPr>
            </w:pPr>
            <w:r w:rsidRPr="00225402">
              <w:rPr>
                <w:rFonts w:ascii="Times New Roman" w:hAnsi="Times New Roman"/>
                <w:sz w:val="22"/>
                <w:szCs w:val="22"/>
              </w:rPr>
              <w:t>Έκπτωση της ακουστικής οξύτητας, εμβοές</w:t>
            </w:r>
          </w:p>
        </w:tc>
        <w:tc>
          <w:tcPr>
            <w:tcW w:w="1602" w:type="dxa"/>
          </w:tcPr>
          <w:p w:rsidR="004E29B4" w:rsidRPr="00225402" w:rsidRDefault="004E29B4" w:rsidP="00382BF9">
            <w:pPr>
              <w:rPr>
                <w:rFonts w:ascii="Times New Roman" w:hAnsi="Times New Roman"/>
                <w:sz w:val="22"/>
                <w:szCs w:val="22"/>
              </w:rPr>
            </w:pPr>
          </w:p>
        </w:tc>
        <w:tc>
          <w:tcPr>
            <w:tcW w:w="1806" w:type="dxa"/>
          </w:tcPr>
          <w:p w:rsidR="004E29B4" w:rsidRPr="00225402" w:rsidRDefault="004E29B4" w:rsidP="00382BF9">
            <w:pPr>
              <w:rPr>
                <w:rFonts w:ascii="Times New Roman" w:hAnsi="Times New Roman"/>
                <w:sz w:val="22"/>
                <w:szCs w:val="22"/>
              </w:rPr>
            </w:pPr>
          </w:p>
        </w:tc>
      </w:tr>
      <w:tr w:rsidR="0069604E" w:rsidRPr="00225402">
        <w:trPr>
          <w:cantSplit/>
        </w:trPr>
        <w:tc>
          <w:tcPr>
            <w:tcW w:w="1668" w:type="dxa"/>
          </w:tcPr>
          <w:p w:rsidR="004E29B4" w:rsidRPr="00225402" w:rsidRDefault="004F3059" w:rsidP="00382BF9">
            <w:pPr>
              <w:rPr>
                <w:rFonts w:ascii="Times New Roman" w:hAnsi="Times New Roman"/>
                <w:i/>
                <w:sz w:val="22"/>
                <w:szCs w:val="22"/>
                <w:u w:val="single"/>
              </w:rPr>
            </w:pPr>
            <w:r w:rsidRPr="00225402">
              <w:rPr>
                <w:rFonts w:ascii="Times New Roman" w:hAnsi="Times New Roman"/>
                <w:i/>
                <w:sz w:val="22"/>
                <w:szCs w:val="22"/>
                <w:u w:val="single"/>
              </w:rPr>
              <w:t>Διαταραχές του αναπνευστικού συστήματος, του θώρακα και του μεσοθωρακίου</w:t>
            </w:r>
          </w:p>
        </w:tc>
        <w:tc>
          <w:tcPr>
            <w:tcW w:w="1417" w:type="dxa"/>
          </w:tcPr>
          <w:p w:rsidR="004E29B4" w:rsidRPr="00225402" w:rsidRDefault="0069604E" w:rsidP="00382BF9">
            <w:pPr>
              <w:rPr>
                <w:rFonts w:ascii="Times New Roman" w:hAnsi="Times New Roman"/>
                <w:sz w:val="22"/>
                <w:szCs w:val="22"/>
              </w:rPr>
            </w:pPr>
            <w:r w:rsidRPr="00225402">
              <w:rPr>
                <w:rFonts w:ascii="Times New Roman" w:hAnsi="Times New Roman"/>
                <w:sz w:val="22"/>
                <w:szCs w:val="22"/>
              </w:rPr>
              <w:t xml:space="preserve">Μη παραγωγικός ερεθιστικός βήχας, βρογχίτιδα, </w:t>
            </w:r>
            <w:r w:rsidR="004A01F1" w:rsidRPr="00225402">
              <w:rPr>
                <w:rFonts w:ascii="Times New Roman" w:hAnsi="Times New Roman"/>
                <w:sz w:val="22"/>
                <w:szCs w:val="22"/>
              </w:rPr>
              <w:t>ρινο</w:t>
            </w:r>
            <w:r w:rsidRPr="00225402">
              <w:rPr>
                <w:rFonts w:ascii="Times New Roman" w:hAnsi="Times New Roman"/>
                <w:sz w:val="22"/>
                <w:szCs w:val="22"/>
              </w:rPr>
              <w:t>κολπίτι</w:t>
            </w:r>
            <w:r w:rsidR="004A01F1" w:rsidRPr="00225402">
              <w:rPr>
                <w:rFonts w:ascii="Times New Roman" w:hAnsi="Times New Roman"/>
                <w:sz w:val="22"/>
                <w:szCs w:val="22"/>
              </w:rPr>
              <w:t>-</w:t>
            </w:r>
            <w:r w:rsidRPr="00225402">
              <w:rPr>
                <w:rFonts w:ascii="Times New Roman" w:hAnsi="Times New Roman"/>
                <w:sz w:val="22"/>
                <w:szCs w:val="22"/>
              </w:rPr>
              <w:t>δα, δύσπνοια</w:t>
            </w:r>
          </w:p>
        </w:tc>
        <w:tc>
          <w:tcPr>
            <w:tcW w:w="1701" w:type="dxa"/>
          </w:tcPr>
          <w:p w:rsidR="004E29B4" w:rsidRPr="00225402" w:rsidRDefault="0069604E" w:rsidP="00382BF9">
            <w:pPr>
              <w:rPr>
                <w:rFonts w:ascii="Times New Roman" w:hAnsi="Times New Roman"/>
                <w:sz w:val="22"/>
                <w:szCs w:val="22"/>
              </w:rPr>
            </w:pPr>
            <w:r w:rsidRPr="00225402">
              <w:rPr>
                <w:rFonts w:ascii="Times New Roman" w:hAnsi="Times New Roman"/>
                <w:sz w:val="22"/>
                <w:szCs w:val="22"/>
              </w:rPr>
              <w:t>Βρογχόσπασμος συμπεριλαμβα</w:t>
            </w:r>
            <w:r w:rsidR="00AD2472" w:rsidRPr="00225402">
              <w:rPr>
                <w:rFonts w:ascii="Times New Roman" w:hAnsi="Times New Roman"/>
                <w:sz w:val="22"/>
                <w:szCs w:val="22"/>
              </w:rPr>
              <w:t>-</w:t>
            </w:r>
            <w:r w:rsidRPr="00225402">
              <w:rPr>
                <w:rFonts w:ascii="Times New Roman" w:hAnsi="Times New Roman"/>
                <w:sz w:val="22"/>
                <w:szCs w:val="22"/>
              </w:rPr>
              <w:t>νομένης της επιδείνωσης του άσθματος, ρινική συμφόρηση</w:t>
            </w:r>
          </w:p>
        </w:tc>
        <w:tc>
          <w:tcPr>
            <w:tcW w:w="1559" w:type="dxa"/>
          </w:tcPr>
          <w:p w:rsidR="004E29B4" w:rsidRPr="00225402" w:rsidRDefault="004E29B4" w:rsidP="00382BF9">
            <w:pPr>
              <w:rPr>
                <w:rFonts w:ascii="Times New Roman" w:hAnsi="Times New Roman"/>
                <w:sz w:val="22"/>
                <w:szCs w:val="22"/>
              </w:rPr>
            </w:pPr>
          </w:p>
        </w:tc>
        <w:tc>
          <w:tcPr>
            <w:tcW w:w="1602" w:type="dxa"/>
          </w:tcPr>
          <w:p w:rsidR="004E29B4" w:rsidRPr="00225402" w:rsidRDefault="004E29B4" w:rsidP="00382BF9">
            <w:pPr>
              <w:rPr>
                <w:rFonts w:ascii="Times New Roman" w:hAnsi="Times New Roman"/>
                <w:sz w:val="22"/>
                <w:szCs w:val="22"/>
              </w:rPr>
            </w:pPr>
          </w:p>
        </w:tc>
        <w:tc>
          <w:tcPr>
            <w:tcW w:w="1806" w:type="dxa"/>
          </w:tcPr>
          <w:p w:rsidR="004E29B4" w:rsidRPr="00225402" w:rsidRDefault="004E29B4" w:rsidP="00382BF9">
            <w:pPr>
              <w:rPr>
                <w:rFonts w:ascii="Times New Roman" w:hAnsi="Times New Roman"/>
                <w:sz w:val="22"/>
                <w:szCs w:val="22"/>
              </w:rPr>
            </w:pPr>
          </w:p>
        </w:tc>
      </w:tr>
      <w:tr w:rsidR="0069604E" w:rsidRPr="00225402">
        <w:trPr>
          <w:cantSplit/>
        </w:trPr>
        <w:tc>
          <w:tcPr>
            <w:tcW w:w="1668" w:type="dxa"/>
          </w:tcPr>
          <w:p w:rsidR="004E29B4" w:rsidRPr="00225402" w:rsidRDefault="004F3059" w:rsidP="00382BF9">
            <w:pPr>
              <w:rPr>
                <w:rFonts w:ascii="Times New Roman" w:hAnsi="Times New Roman"/>
                <w:i/>
                <w:sz w:val="22"/>
                <w:szCs w:val="22"/>
                <w:u w:val="single"/>
              </w:rPr>
            </w:pPr>
            <w:r w:rsidRPr="00225402">
              <w:rPr>
                <w:rFonts w:ascii="Times New Roman" w:hAnsi="Times New Roman"/>
                <w:i/>
                <w:sz w:val="22"/>
                <w:szCs w:val="22"/>
                <w:u w:val="single"/>
              </w:rPr>
              <w:t>Διαταραχές του γαστρεντερικού</w:t>
            </w:r>
          </w:p>
        </w:tc>
        <w:tc>
          <w:tcPr>
            <w:tcW w:w="1417" w:type="dxa"/>
          </w:tcPr>
          <w:p w:rsidR="004E29B4" w:rsidRPr="00225402" w:rsidRDefault="0069604E" w:rsidP="00382BF9">
            <w:pPr>
              <w:rPr>
                <w:rFonts w:ascii="Times New Roman" w:hAnsi="Times New Roman"/>
                <w:sz w:val="22"/>
                <w:szCs w:val="22"/>
              </w:rPr>
            </w:pPr>
            <w:r w:rsidRPr="00225402">
              <w:rPr>
                <w:rFonts w:ascii="Times New Roman" w:hAnsi="Times New Roman"/>
                <w:sz w:val="22"/>
                <w:szCs w:val="22"/>
              </w:rPr>
              <w:t>Φλεγμονή του γαστρεντερι</w:t>
            </w:r>
            <w:r w:rsidR="00AD2472" w:rsidRPr="00225402">
              <w:rPr>
                <w:rFonts w:ascii="Times New Roman" w:hAnsi="Times New Roman"/>
                <w:sz w:val="22"/>
                <w:szCs w:val="22"/>
              </w:rPr>
              <w:t>-</w:t>
            </w:r>
            <w:r w:rsidRPr="00225402">
              <w:rPr>
                <w:rFonts w:ascii="Times New Roman" w:hAnsi="Times New Roman"/>
                <w:sz w:val="22"/>
                <w:szCs w:val="22"/>
              </w:rPr>
              <w:t>κού, διαταραχές της πέψης, κοιλιακή δυσφορία, δυσπεψία, διάρροια, ναυτία, έμετος</w:t>
            </w:r>
          </w:p>
        </w:tc>
        <w:tc>
          <w:tcPr>
            <w:tcW w:w="1701" w:type="dxa"/>
          </w:tcPr>
          <w:p w:rsidR="004E29B4" w:rsidRPr="00225402" w:rsidRDefault="0069604E" w:rsidP="00382BF9">
            <w:pPr>
              <w:rPr>
                <w:rFonts w:ascii="Times New Roman" w:hAnsi="Times New Roman"/>
                <w:sz w:val="22"/>
                <w:szCs w:val="22"/>
              </w:rPr>
            </w:pPr>
            <w:r w:rsidRPr="00225402">
              <w:rPr>
                <w:rFonts w:ascii="Times New Roman" w:hAnsi="Times New Roman"/>
                <w:sz w:val="22"/>
                <w:szCs w:val="22"/>
              </w:rPr>
              <w:t>Παγκρεατίτιδα (περιπτώσεις θανατηφόρου έκβασης έχουν πολύ εξαιρετικά αναφερθεί με τους αναστολείς του ΜΕΑ), αυξημένα παγκρεατικά ένζυμα, αγγειοοίδημα του λεπτού εντέρου, άλγος άνω κοιλιακής χώρας συμπεριλαμβα</w:t>
            </w:r>
            <w:r w:rsidR="005E7399" w:rsidRPr="00225402">
              <w:rPr>
                <w:rFonts w:ascii="Times New Roman" w:hAnsi="Times New Roman"/>
                <w:sz w:val="22"/>
                <w:szCs w:val="22"/>
              </w:rPr>
              <w:t>-</w:t>
            </w:r>
            <w:r w:rsidRPr="00225402">
              <w:rPr>
                <w:rFonts w:ascii="Times New Roman" w:hAnsi="Times New Roman"/>
                <w:sz w:val="22"/>
                <w:szCs w:val="22"/>
              </w:rPr>
              <w:t>νομένης της γαστρίτιδας, δυσκοιλιότητα, ξηροστομία</w:t>
            </w:r>
          </w:p>
        </w:tc>
        <w:tc>
          <w:tcPr>
            <w:tcW w:w="1559" w:type="dxa"/>
          </w:tcPr>
          <w:p w:rsidR="004E29B4" w:rsidRPr="00225402" w:rsidRDefault="0069604E" w:rsidP="0069604E">
            <w:pPr>
              <w:rPr>
                <w:rFonts w:ascii="Times New Roman" w:hAnsi="Times New Roman"/>
                <w:sz w:val="22"/>
                <w:szCs w:val="22"/>
              </w:rPr>
            </w:pPr>
            <w:r w:rsidRPr="00225402">
              <w:rPr>
                <w:rFonts w:ascii="Times New Roman" w:hAnsi="Times New Roman"/>
                <w:sz w:val="22"/>
                <w:szCs w:val="22"/>
              </w:rPr>
              <w:t>Γλωσσίτιδα</w:t>
            </w:r>
          </w:p>
        </w:tc>
        <w:tc>
          <w:tcPr>
            <w:tcW w:w="1602" w:type="dxa"/>
          </w:tcPr>
          <w:p w:rsidR="004E29B4" w:rsidRPr="00225402" w:rsidRDefault="004E29B4" w:rsidP="00382BF9">
            <w:pPr>
              <w:rPr>
                <w:rFonts w:ascii="Times New Roman" w:hAnsi="Times New Roman"/>
                <w:sz w:val="22"/>
                <w:szCs w:val="22"/>
              </w:rPr>
            </w:pPr>
          </w:p>
        </w:tc>
        <w:tc>
          <w:tcPr>
            <w:tcW w:w="1806" w:type="dxa"/>
          </w:tcPr>
          <w:p w:rsidR="004E29B4" w:rsidRPr="00225402" w:rsidRDefault="0069604E" w:rsidP="0069604E">
            <w:pPr>
              <w:rPr>
                <w:rFonts w:ascii="Times New Roman" w:hAnsi="Times New Roman"/>
                <w:sz w:val="22"/>
                <w:szCs w:val="22"/>
              </w:rPr>
            </w:pPr>
            <w:r w:rsidRPr="00225402">
              <w:rPr>
                <w:rFonts w:ascii="Times New Roman" w:hAnsi="Times New Roman"/>
                <w:sz w:val="22"/>
                <w:szCs w:val="22"/>
              </w:rPr>
              <w:t>Αφθώδης στοματίτιδα</w:t>
            </w:r>
          </w:p>
        </w:tc>
      </w:tr>
      <w:tr w:rsidR="0069604E" w:rsidRPr="00225402">
        <w:trPr>
          <w:cantSplit/>
        </w:trPr>
        <w:tc>
          <w:tcPr>
            <w:tcW w:w="1668" w:type="dxa"/>
          </w:tcPr>
          <w:p w:rsidR="004E29B4" w:rsidRPr="00225402" w:rsidRDefault="004F3059" w:rsidP="00382BF9">
            <w:pPr>
              <w:rPr>
                <w:rFonts w:ascii="Times New Roman" w:hAnsi="Times New Roman"/>
                <w:i/>
                <w:sz w:val="22"/>
                <w:szCs w:val="22"/>
                <w:u w:val="single"/>
              </w:rPr>
            </w:pPr>
            <w:r w:rsidRPr="00225402">
              <w:rPr>
                <w:rFonts w:ascii="Times New Roman" w:hAnsi="Times New Roman"/>
                <w:i/>
                <w:sz w:val="22"/>
                <w:szCs w:val="22"/>
                <w:u w:val="single"/>
              </w:rPr>
              <w:lastRenderedPageBreak/>
              <w:t>Διαταραχές των νεφρών και των ουροφόρων οδών</w:t>
            </w:r>
          </w:p>
        </w:tc>
        <w:tc>
          <w:tcPr>
            <w:tcW w:w="1417" w:type="dxa"/>
          </w:tcPr>
          <w:p w:rsidR="004E29B4" w:rsidRPr="00225402" w:rsidRDefault="00927D65" w:rsidP="00382BF9">
            <w:pPr>
              <w:rPr>
                <w:rFonts w:ascii="Times New Roman" w:hAnsi="Times New Roman"/>
                <w:sz w:val="22"/>
                <w:szCs w:val="22"/>
              </w:rPr>
            </w:pPr>
            <w:r w:rsidRPr="00225402">
              <w:rPr>
                <w:rFonts w:ascii="Times New Roman" w:hAnsi="Times New Roman"/>
                <w:sz w:val="22"/>
                <w:szCs w:val="22"/>
              </w:rPr>
              <w:t>Νεφρική δυσλειτουρ</w:t>
            </w:r>
            <w:r w:rsidR="00AD2472" w:rsidRPr="00225402">
              <w:rPr>
                <w:rFonts w:ascii="Times New Roman" w:hAnsi="Times New Roman"/>
                <w:sz w:val="22"/>
                <w:szCs w:val="22"/>
              </w:rPr>
              <w:t>-</w:t>
            </w:r>
            <w:r w:rsidRPr="00225402">
              <w:rPr>
                <w:rFonts w:ascii="Times New Roman" w:hAnsi="Times New Roman"/>
                <w:sz w:val="22"/>
                <w:szCs w:val="22"/>
              </w:rPr>
              <w:t>γία συμπεριλαμ</w:t>
            </w:r>
            <w:r w:rsidR="00AD2472" w:rsidRPr="00225402">
              <w:rPr>
                <w:rFonts w:ascii="Times New Roman" w:hAnsi="Times New Roman"/>
                <w:sz w:val="22"/>
                <w:szCs w:val="22"/>
              </w:rPr>
              <w:t>-</w:t>
            </w:r>
            <w:r w:rsidRPr="00225402">
              <w:rPr>
                <w:rFonts w:ascii="Times New Roman" w:hAnsi="Times New Roman"/>
                <w:sz w:val="22"/>
                <w:szCs w:val="22"/>
              </w:rPr>
              <w:t>βανομένης της οξείας νεφρικής ανεπάρκειας, αυξημένος αποβαλλόμε</w:t>
            </w:r>
            <w:r w:rsidR="00AD2472" w:rsidRPr="00225402">
              <w:rPr>
                <w:rFonts w:ascii="Times New Roman" w:hAnsi="Times New Roman"/>
                <w:sz w:val="22"/>
                <w:szCs w:val="22"/>
              </w:rPr>
              <w:t>-</w:t>
            </w:r>
            <w:r w:rsidRPr="00225402">
              <w:rPr>
                <w:rFonts w:ascii="Times New Roman" w:hAnsi="Times New Roman"/>
                <w:sz w:val="22"/>
                <w:szCs w:val="22"/>
              </w:rPr>
              <w:t>νος όγκος ούρων, επιδείνωση προϋπάρχου</w:t>
            </w:r>
            <w:r w:rsidR="00AD2472" w:rsidRPr="00225402">
              <w:rPr>
                <w:rFonts w:ascii="Times New Roman" w:hAnsi="Times New Roman"/>
                <w:sz w:val="22"/>
                <w:szCs w:val="22"/>
              </w:rPr>
              <w:t>-</w:t>
            </w:r>
            <w:r w:rsidRPr="00225402">
              <w:rPr>
                <w:rFonts w:ascii="Times New Roman" w:hAnsi="Times New Roman"/>
                <w:sz w:val="22"/>
                <w:szCs w:val="22"/>
              </w:rPr>
              <w:t>σας πρωτεϊνουρί</w:t>
            </w:r>
            <w:r w:rsidR="00AD2472" w:rsidRPr="00225402">
              <w:rPr>
                <w:rFonts w:ascii="Times New Roman" w:hAnsi="Times New Roman"/>
                <w:sz w:val="22"/>
                <w:szCs w:val="22"/>
              </w:rPr>
              <w:t>-</w:t>
            </w:r>
            <w:r w:rsidRPr="00225402">
              <w:rPr>
                <w:rFonts w:ascii="Times New Roman" w:hAnsi="Times New Roman"/>
                <w:sz w:val="22"/>
                <w:szCs w:val="22"/>
              </w:rPr>
              <w:t>ας, αυξημένη ουρία αίματος, αυξημένη κρεατινίνη αίματος</w:t>
            </w:r>
          </w:p>
        </w:tc>
        <w:tc>
          <w:tcPr>
            <w:tcW w:w="1701" w:type="dxa"/>
          </w:tcPr>
          <w:p w:rsidR="004E29B4" w:rsidRPr="00225402" w:rsidRDefault="004E29B4" w:rsidP="00382BF9">
            <w:pPr>
              <w:rPr>
                <w:rFonts w:ascii="Times New Roman" w:hAnsi="Times New Roman"/>
                <w:sz w:val="22"/>
                <w:szCs w:val="22"/>
              </w:rPr>
            </w:pPr>
          </w:p>
        </w:tc>
        <w:tc>
          <w:tcPr>
            <w:tcW w:w="1559" w:type="dxa"/>
          </w:tcPr>
          <w:p w:rsidR="004E29B4" w:rsidRPr="00225402" w:rsidRDefault="004E29B4" w:rsidP="00382BF9">
            <w:pPr>
              <w:rPr>
                <w:rFonts w:ascii="Times New Roman" w:hAnsi="Times New Roman"/>
                <w:sz w:val="22"/>
                <w:szCs w:val="22"/>
              </w:rPr>
            </w:pPr>
          </w:p>
        </w:tc>
        <w:tc>
          <w:tcPr>
            <w:tcW w:w="1602" w:type="dxa"/>
          </w:tcPr>
          <w:p w:rsidR="004E29B4" w:rsidRPr="00225402" w:rsidRDefault="004E29B4" w:rsidP="00382BF9">
            <w:pPr>
              <w:rPr>
                <w:rFonts w:ascii="Times New Roman" w:hAnsi="Times New Roman"/>
                <w:sz w:val="22"/>
                <w:szCs w:val="22"/>
              </w:rPr>
            </w:pPr>
          </w:p>
        </w:tc>
        <w:tc>
          <w:tcPr>
            <w:tcW w:w="1806" w:type="dxa"/>
          </w:tcPr>
          <w:p w:rsidR="004E29B4" w:rsidRPr="00225402" w:rsidRDefault="004E29B4" w:rsidP="00382BF9">
            <w:pPr>
              <w:rPr>
                <w:rFonts w:ascii="Times New Roman" w:hAnsi="Times New Roman"/>
                <w:sz w:val="22"/>
                <w:szCs w:val="22"/>
              </w:rPr>
            </w:pPr>
          </w:p>
        </w:tc>
      </w:tr>
      <w:tr w:rsidR="0069604E" w:rsidRPr="00225402">
        <w:trPr>
          <w:cantSplit/>
        </w:trPr>
        <w:tc>
          <w:tcPr>
            <w:tcW w:w="1668" w:type="dxa"/>
          </w:tcPr>
          <w:p w:rsidR="004E29B4" w:rsidRPr="00225402" w:rsidRDefault="004F3059" w:rsidP="00382BF9">
            <w:pPr>
              <w:rPr>
                <w:rFonts w:ascii="Times New Roman" w:hAnsi="Times New Roman"/>
                <w:i/>
                <w:sz w:val="22"/>
                <w:szCs w:val="22"/>
                <w:u w:val="single"/>
              </w:rPr>
            </w:pPr>
            <w:r w:rsidRPr="00225402">
              <w:rPr>
                <w:rFonts w:ascii="Times New Roman" w:hAnsi="Times New Roman"/>
                <w:i/>
                <w:sz w:val="22"/>
                <w:szCs w:val="22"/>
                <w:u w:val="single"/>
              </w:rPr>
              <w:t>Διαταραχές του δέρματος και του υποδόριου ιστού</w:t>
            </w:r>
          </w:p>
        </w:tc>
        <w:tc>
          <w:tcPr>
            <w:tcW w:w="1417" w:type="dxa"/>
          </w:tcPr>
          <w:p w:rsidR="00927D65" w:rsidRPr="00225402" w:rsidRDefault="00927D65" w:rsidP="00927D65">
            <w:pPr>
              <w:rPr>
                <w:rFonts w:ascii="Times New Roman" w:hAnsi="Times New Roman"/>
                <w:sz w:val="22"/>
                <w:szCs w:val="22"/>
              </w:rPr>
            </w:pPr>
            <w:r w:rsidRPr="00225402">
              <w:rPr>
                <w:rFonts w:ascii="Times New Roman" w:hAnsi="Times New Roman"/>
                <w:sz w:val="22"/>
                <w:szCs w:val="22"/>
              </w:rPr>
              <w:t>Εξάνθημα, ειδικά κηλιδοβλατι</w:t>
            </w:r>
            <w:r w:rsidR="00AD2472" w:rsidRPr="00225402">
              <w:rPr>
                <w:rFonts w:ascii="Times New Roman" w:hAnsi="Times New Roman"/>
                <w:sz w:val="22"/>
                <w:szCs w:val="22"/>
                <w:lang w:val="en-US"/>
              </w:rPr>
              <w:t>-</w:t>
            </w:r>
            <w:r w:rsidRPr="00225402">
              <w:rPr>
                <w:rFonts w:ascii="Times New Roman" w:hAnsi="Times New Roman"/>
                <w:sz w:val="22"/>
                <w:szCs w:val="22"/>
              </w:rPr>
              <w:t>δώδες</w:t>
            </w:r>
          </w:p>
          <w:p w:rsidR="004E29B4" w:rsidRPr="00225402" w:rsidRDefault="004E29B4" w:rsidP="00927D65">
            <w:pPr>
              <w:rPr>
                <w:rFonts w:ascii="Times New Roman" w:hAnsi="Times New Roman"/>
                <w:sz w:val="22"/>
                <w:szCs w:val="22"/>
              </w:rPr>
            </w:pPr>
          </w:p>
        </w:tc>
        <w:tc>
          <w:tcPr>
            <w:tcW w:w="1701" w:type="dxa"/>
          </w:tcPr>
          <w:p w:rsidR="00927D65" w:rsidRPr="00225402" w:rsidRDefault="00927D65" w:rsidP="00927D65">
            <w:pPr>
              <w:rPr>
                <w:rFonts w:ascii="Times New Roman" w:hAnsi="Times New Roman"/>
                <w:sz w:val="22"/>
                <w:szCs w:val="22"/>
              </w:rPr>
            </w:pPr>
            <w:r w:rsidRPr="00225402">
              <w:rPr>
                <w:rFonts w:ascii="Times New Roman" w:hAnsi="Times New Roman"/>
                <w:sz w:val="22"/>
                <w:szCs w:val="22"/>
              </w:rPr>
              <w:t xml:space="preserve">Αγγειοοίδημα· πολύ εξαιρετικά, η παρεμπόδιση των αεροφόρων οδών λόγω αγγειοοιδήματος πιθανόν να έχει θανατηφόρο έκβαση· κνησμός, </w:t>
            </w:r>
            <w:bookmarkStart w:id="4" w:name="OLE_LINK3"/>
            <w:r w:rsidRPr="00225402">
              <w:rPr>
                <w:rFonts w:ascii="Times New Roman" w:hAnsi="Times New Roman"/>
                <w:sz w:val="22"/>
                <w:szCs w:val="22"/>
              </w:rPr>
              <w:t>υπερ</w:t>
            </w:r>
            <w:bookmarkEnd w:id="4"/>
            <w:r w:rsidR="00130150" w:rsidRPr="00225402">
              <w:rPr>
                <w:rFonts w:ascii="Times New Roman" w:hAnsi="Times New Roman"/>
                <w:sz w:val="22"/>
                <w:szCs w:val="22"/>
              </w:rPr>
              <w:t>ιδρωσία</w:t>
            </w:r>
          </w:p>
          <w:p w:rsidR="004E29B4" w:rsidRPr="00225402" w:rsidRDefault="004E29B4" w:rsidP="00382BF9">
            <w:pPr>
              <w:rPr>
                <w:rFonts w:ascii="Times New Roman" w:hAnsi="Times New Roman"/>
                <w:sz w:val="22"/>
                <w:szCs w:val="22"/>
              </w:rPr>
            </w:pPr>
          </w:p>
        </w:tc>
        <w:tc>
          <w:tcPr>
            <w:tcW w:w="1559" w:type="dxa"/>
          </w:tcPr>
          <w:p w:rsidR="00927D65" w:rsidRPr="00225402" w:rsidRDefault="00927D65" w:rsidP="00927D65">
            <w:pPr>
              <w:rPr>
                <w:rFonts w:ascii="Times New Roman" w:hAnsi="Times New Roman"/>
                <w:sz w:val="22"/>
                <w:szCs w:val="22"/>
              </w:rPr>
            </w:pPr>
            <w:r w:rsidRPr="00225402">
              <w:rPr>
                <w:rFonts w:ascii="Times New Roman" w:hAnsi="Times New Roman"/>
                <w:sz w:val="22"/>
                <w:szCs w:val="22"/>
              </w:rPr>
              <w:t>Αποφολιδωτι</w:t>
            </w:r>
            <w:r w:rsidR="00AD2472" w:rsidRPr="00225402">
              <w:rPr>
                <w:rFonts w:ascii="Times New Roman" w:hAnsi="Times New Roman"/>
                <w:sz w:val="22"/>
                <w:szCs w:val="22"/>
              </w:rPr>
              <w:t>-</w:t>
            </w:r>
            <w:r w:rsidRPr="00225402">
              <w:rPr>
                <w:rFonts w:ascii="Times New Roman" w:hAnsi="Times New Roman"/>
                <w:sz w:val="22"/>
                <w:szCs w:val="22"/>
              </w:rPr>
              <w:t>κή δερματίτιδα, κνίδωση, ονυχόλυση</w:t>
            </w:r>
          </w:p>
          <w:p w:rsidR="004E29B4" w:rsidRPr="00225402" w:rsidRDefault="004E29B4" w:rsidP="00382BF9">
            <w:pPr>
              <w:rPr>
                <w:rFonts w:ascii="Times New Roman" w:hAnsi="Times New Roman"/>
                <w:sz w:val="22"/>
                <w:szCs w:val="22"/>
              </w:rPr>
            </w:pPr>
          </w:p>
        </w:tc>
        <w:tc>
          <w:tcPr>
            <w:tcW w:w="1602" w:type="dxa"/>
          </w:tcPr>
          <w:p w:rsidR="00927D65" w:rsidRPr="00225402" w:rsidRDefault="00927D65" w:rsidP="00927D65">
            <w:pPr>
              <w:rPr>
                <w:rFonts w:ascii="Times New Roman" w:hAnsi="Times New Roman"/>
                <w:sz w:val="22"/>
                <w:szCs w:val="22"/>
              </w:rPr>
            </w:pPr>
            <w:r w:rsidRPr="00225402">
              <w:rPr>
                <w:rFonts w:ascii="Times New Roman" w:hAnsi="Times New Roman"/>
                <w:sz w:val="22"/>
                <w:szCs w:val="22"/>
              </w:rPr>
              <w:t>Αντίδραση φωτοευαισθη</w:t>
            </w:r>
            <w:r w:rsidR="00AD2472" w:rsidRPr="00225402">
              <w:rPr>
                <w:rFonts w:ascii="Times New Roman" w:hAnsi="Times New Roman"/>
                <w:sz w:val="22"/>
                <w:szCs w:val="22"/>
                <w:lang w:val="en-US"/>
              </w:rPr>
              <w:t>-</w:t>
            </w:r>
            <w:r w:rsidRPr="00225402">
              <w:rPr>
                <w:rFonts w:ascii="Times New Roman" w:hAnsi="Times New Roman"/>
                <w:sz w:val="22"/>
                <w:szCs w:val="22"/>
              </w:rPr>
              <w:t>σίας</w:t>
            </w:r>
          </w:p>
          <w:p w:rsidR="004E29B4" w:rsidRPr="00225402" w:rsidRDefault="004E29B4" w:rsidP="00382BF9">
            <w:pPr>
              <w:rPr>
                <w:rFonts w:ascii="Times New Roman" w:hAnsi="Times New Roman"/>
                <w:sz w:val="22"/>
                <w:szCs w:val="22"/>
              </w:rPr>
            </w:pPr>
          </w:p>
        </w:tc>
        <w:tc>
          <w:tcPr>
            <w:tcW w:w="1806" w:type="dxa"/>
          </w:tcPr>
          <w:p w:rsidR="004E29B4" w:rsidRPr="00225402" w:rsidRDefault="00927D65" w:rsidP="00927D65">
            <w:pPr>
              <w:rPr>
                <w:rFonts w:ascii="Times New Roman" w:hAnsi="Times New Roman"/>
                <w:sz w:val="22"/>
                <w:szCs w:val="22"/>
              </w:rPr>
            </w:pPr>
            <w:r w:rsidRPr="00225402">
              <w:rPr>
                <w:rFonts w:ascii="Times New Roman" w:hAnsi="Times New Roman"/>
                <w:sz w:val="22"/>
                <w:szCs w:val="22"/>
              </w:rPr>
              <w:t xml:space="preserve">Τοξική επιδερμική νεκρόλυση, σύνδρομο </w:t>
            </w:r>
            <w:r w:rsidRPr="00225402">
              <w:rPr>
                <w:rFonts w:ascii="Times New Roman" w:hAnsi="Times New Roman"/>
                <w:sz w:val="22"/>
                <w:szCs w:val="22"/>
                <w:lang w:val="en-US"/>
              </w:rPr>
              <w:t>Stevens</w:t>
            </w:r>
            <w:r w:rsidRPr="00225402">
              <w:rPr>
                <w:rFonts w:ascii="Times New Roman" w:hAnsi="Times New Roman"/>
                <w:sz w:val="22"/>
                <w:szCs w:val="22"/>
              </w:rPr>
              <w:t>-</w:t>
            </w:r>
            <w:r w:rsidRPr="00225402">
              <w:rPr>
                <w:rFonts w:ascii="Times New Roman" w:hAnsi="Times New Roman"/>
                <w:sz w:val="22"/>
                <w:szCs w:val="22"/>
                <w:lang w:val="en-US"/>
              </w:rPr>
              <w:t>Johnson</w:t>
            </w:r>
            <w:r w:rsidRPr="00225402">
              <w:rPr>
                <w:rFonts w:ascii="Times New Roman" w:hAnsi="Times New Roman"/>
                <w:sz w:val="22"/>
                <w:szCs w:val="22"/>
              </w:rPr>
              <w:t>, πολύμορφο ερύθημα, πέμφιγα, επιδεινωθείσα ψωρίαση, δερματίτιδα ψωριασικού τύπου, πεμφιγοειδές ή λειχηνοειδές εξάνθημα ή ενάνθημα, αλωπεκία</w:t>
            </w:r>
          </w:p>
        </w:tc>
      </w:tr>
      <w:tr w:rsidR="0069604E" w:rsidRPr="00225402">
        <w:trPr>
          <w:cantSplit/>
        </w:trPr>
        <w:tc>
          <w:tcPr>
            <w:tcW w:w="1668" w:type="dxa"/>
          </w:tcPr>
          <w:p w:rsidR="004E29B4" w:rsidRPr="00225402" w:rsidRDefault="004F3059" w:rsidP="00382BF9">
            <w:pPr>
              <w:rPr>
                <w:rFonts w:ascii="Times New Roman" w:hAnsi="Times New Roman"/>
                <w:i/>
                <w:sz w:val="22"/>
                <w:szCs w:val="22"/>
                <w:u w:val="single"/>
                <w:lang w:val="en-US"/>
              </w:rPr>
            </w:pPr>
            <w:r w:rsidRPr="00225402">
              <w:rPr>
                <w:rFonts w:ascii="Times New Roman" w:hAnsi="Times New Roman"/>
                <w:i/>
                <w:sz w:val="22"/>
                <w:szCs w:val="22"/>
                <w:u w:val="single"/>
              </w:rPr>
              <w:t>Διαταραχές του μυοσκελετικού και του συνδετικού ιστού</w:t>
            </w:r>
          </w:p>
          <w:p w:rsidR="00A839FC" w:rsidRPr="00225402" w:rsidRDefault="00A839FC" w:rsidP="00382BF9">
            <w:pPr>
              <w:rPr>
                <w:rFonts w:ascii="Times New Roman" w:hAnsi="Times New Roman"/>
                <w:i/>
                <w:sz w:val="22"/>
                <w:szCs w:val="22"/>
                <w:u w:val="single"/>
                <w:lang w:val="en-US"/>
              </w:rPr>
            </w:pPr>
          </w:p>
        </w:tc>
        <w:tc>
          <w:tcPr>
            <w:tcW w:w="1417" w:type="dxa"/>
          </w:tcPr>
          <w:p w:rsidR="00ED7948" w:rsidRPr="00225402" w:rsidRDefault="00ED7948" w:rsidP="00ED7948">
            <w:pPr>
              <w:rPr>
                <w:rFonts w:ascii="Times New Roman" w:hAnsi="Times New Roman"/>
                <w:sz w:val="22"/>
                <w:szCs w:val="22"/>
              </w:rPr>
            </w:pPr>
            <w:r w:rsidRPr="00225402">
              <w:rPr>
                <w:rFonts w:ascii="Times New Roman" w:hAnsi="Times New Roman"/>
                <w:sz w:val="22"/>
                <w:szCs w:val="22"/>
              </w:rPr>
              <w:t>Μυϊκοί σπασμοί, μυαλγία</w:t>
            </w:r>
          </w:p>
          <w:p w:rsidR="004E29B4" w:rsidRPr="00225402" w:rsidRDefault="004E29B4" w:rsidP="00ED7948">
            <w:pPr>
              <w:rPr>
                <w:rFonts w:ascii="Times New Roman" w:hAnsi="Times New Roman"/>
                <w:sz w:val="22"/>
                <w:szCs w:val="22"/>
              </w:rPr>
            </w:pPr>
          </w:p>
        </w:tc>
        <w:tc>
          <w:tcPr>
            <w:tcW w:w="1701" w:type="dxa"/>
          </w:tcPr>
          <w:p w:rsidR="00ED7948" w:rsidRPr="00225402" w:rsidRDefault="00ED7948" w:rsidP="00ED7948">
            <w:pPr>
              <w:rPr>
                <w:rFonts w:ascii="Times New Roman" w:hAnsi="Times New Roman"/>
                <w:sz w:val="22"/>
                <w:szCs w:val="22"/>
              </w:rPr>
            </w:pPr>
            <w:r w:rsidRPr="00225402">
              <w:rPr>
                <w:rFonts w:ascii="Times New Roman" w:hAnsi="Times New Roman"/>
                <w:sz w:val="22"/>
                <w:szCs w:val="22"/>
              </w:rPr>
              <w:t>Αρθραλγία</w:t>
            </w:r>
          </w:p>
          <w:p w:rsidR="004E29B4" w:rsidRPr="00225402" w:rsidRDefault="004E29B4" w:rsidP="00382BF9">
            <w:pPr>
              <w:rPr>
                <w:rFonts w:ascii="Times New Roman" w:hAnsi="Times New Roman"/>
                <w:sz w:val="22"/>
                <w:szCs w:val="22"/>
              </w:rPr>
            </w:pPr>
          </w:p>
        </w:tc>
        <w:tc>
          <w:tcPr>
            <w:tcW w:w="1559" w:type="dxa"/>
          </w:tcPr>
          <w:p w:rsidR="004E29B4" w:rsidRPr="00225402" w:rsidRDefault="004E29B4" w:rsidP="00382BF9">
            <w:pPr>
              <w:rPr>
                <w:rFonts w:ascii="Times New Roman" w:hAnsi="Times New Roman"/>
                <w:sz w:val="22"/>
                <w:szCs w:val="22"/>
              </w:rPr>
            </w:pPr>
          </w:p>
        </w:tc>
        <w:tc>
          <w:tcPr>
            <w:tcW w:w="1602" w:type="dxa"/>
          </w:tcPr>
          <w:p w:rsidR="004E29B4" w:rsidRPr="00225402" w:rsidRDefault="004E29B4" w:rsidP="00382BF9">
            <w:pPr>
              <w:rPr>
                <w:rFonts w:ascii="Times New Roman" w:hAnsi="Times New Roman"/>
                <w:sz w:val="22"/>
                <w:szCs w:val="22"/>
              </w:rPr>
            </w:pPr>
          </w:p>
        </w:tc>
        <w:tc>
          <w:tcPr>
            <w:tcW w:w="1806" w:type="dxa"/>
          </w:tcPr>
          <w:p w:rsidR="004E29B4" w:rsidRPr="00225402" w:rsidRDefault="004E29B4" w:rsidP="00382BF9">
            <w:pPr>
              <w:rPr>
                <w:rFonts w:ascii="Times New Roman" w:hAnsi="Times New Roman"/>
                <w:sz w:val="22"/>
                <w:szCs w:val="22"/>
              </w:rPr>
            </w:pPr>
          </w:p>
        </w:tc>
      </w:tr>
      <w:tr w:rsidR="0069604E" w:rsidRPr="00225402">
        <w:trPr>
          <w:cantSplit/>
        </w:trPr>
        <w:tc>
          <w:tcPr>
            <w:tcW w:w="1668" w:type="dxa"/>
          </w:tcPr>
          <w:p w:rsidR="004E29B4" w:rsidRPr="00225402" w:rsidRDefault="004F3059" w:rsidP="00382BF9">
            <w:pPr>
              <w:rPr>
                <w:rFonts w:ascii="Times New Roman" w:hAnsi="Times New Roman"/>
                <w:i/>
                <w:sz w:val="22"/>
                <w:szCs w:val="22"/>
                <w:u w:val="single"/>
              </w:rPr>
            </w:pPr>
            <w:r w:rsidRPr="00225402">
              <w:rPr>
                <w:rFonts w:ascii="Times New Roman" w:hAnsi="Times New Roman"/>
                <w:i/>
                <w:sz w:val="22"/>
                <w:szCs w:val="22"/>
                <w:u w:val="single"/>
              </w:rPr>
              <w:t>Διαταραχές του μεταβολισμού και της θρέψης</w:t>
            </w:r>
          </w:p>
        </w:tc>
        <w:tc>
          <w:tcPr>
            <w:tcW w:w="1417" w:type="dxa"/>
          </w:tcPr>
          <w:p w:rsidR="00D67BB9" w:rsidRPr="00225402" w:rsidRDefault="00D67BB9" w:rsidP="00D67BB9">
            <w:pPr>
              <w:rPr>
                <w:rFonts w:ascii="Times New Roman" w:hAnsi="Times New Roman"/>
                <w:sz w:val="22"/>
                <w:szCs w:val="22"/>
              </w:rPr>
            </w:pPr>
            <w:r w:rsidRPr="00225402">
              <w:rPr>
                <w:rFonts w:ascii="Times New Roman" w:hAnsi="Times New Roman"/>
                <w:sz w:val="22"/>
                <w:szCs w:val="22"/>
              </w:rPr>
              <w:t>Αυξημένο κάλιο αίματος</w:t>
            </w:r>
          </w:p>
          <w:p w:rsidR="004E29B4" w:rsidRPr="00225402" w:rsidRDefault="004E29B4" w:rsidP="00D67BB9">
            <w:pPr>
              <w:rPr>
                <w:rFonts w:ascii="Times New Roman" w:hAnsi="Times New Roman"/>
                <w:sz w:val="22"/>
                <w:szCs w:val="22"/>
              </w:rPr>
            </w:pPr>
          </w:p>
        </w:tc>
        <w:tc>
          <w:tcPr>
            <w:tcW w:w="1701" w:type="dxa"/>
          </w:tcPr>
          <w:p w:rsidR="00D67BB9" w:rsidRPr="00225402" w:rsidRDefault="00D67BB9" w:rsidP="00D67BB9">
            <w:pPr>
              <w:rPr>
                <w:rFonts w:ascii="Times New Roman" w:hAnsi="Times New Roman"/>
                <w:sz w:val="22"/>
                <w:szCs w:val="22"/>
              </w:rPr>
            </w:pPr>
            <w:r w:rsidRPr="00225402">
              <w:rPr>
                <w:rFonts w:ascii="Times New Roman" w:hAnsi="Times New Roman"/>
                <w:sz w:val="22"/>
                <w:szCs w:val="22"/>
              </w:rPr>
              <w:t>Ανορεξία, μειωμένη όρεξη</w:t>
            </w:r>
          </w:p>
          <w:p w:rsidR="004E29B4" w:rsidRPr="00225402" w:rsidRDefault="004E29B4" w:rsidP="00382BF9">
            <w:pPr>
              <w:rPr>
                <w:rFonts w:ascii="Times New Roman" w:hAnsi="Times New Roman"/>
                <w:sz w:val="22"/>
                <w:szCs w:val="22"/>
              </w:rPr>
            </w:pPr>
          </w:p>
        </w:tc>
        <w:tc>
          <w:tcPr>
            <w:tcW w:w="1559" w:type="dxa"/>
          </w:tcPr>
          <w:p w:rsidR="004E29B4" w:rsidRPr="00225402" w:rsidRDefault="004E29B4" w:rsidP="00382BF9">
            <w:pPr>
              <w:rPr>
                <w:rFonts w:ascii="Times New Roman" w:hAnsi="Times New Roman"/>
                <w:sz w:val="22"/>
                <w:szCs w:val="22"/>
              </w:rPr>
            </w:pPr>
          </w:p>
        </w:tc>
        <w:tc>
          <w:tcPr>
            <w:tcW w:w="1602" w:type="dxa"/>
          </w:tcPr>
          <w:p w:rsidR="004E29B4" w:rsidRPr="00225402" w:rsidRDefault="004E29B4" w:rsidP="00382BF9">
            <w:pPr>
              <w:rPr>
                <w:rFonts w:ascii="Times New Roman" w:hAnsi="Times New Roman"/>
                <w:sz w:val="22"/>
                <w:szCs w:val="22"/>
              </w:rPr>
            </w:pPr>
          </w:p>
        </w:tc>
        <w:tc>
          <w:tcPr>
            <w:tcW w:w="1806" w:type="dxa"/>
          </w:tcPr>
          <w:p w:rsidR="00D67BB9" w:rsidRPr="00225402" w:rsidRDefault="00D67BB9" w:rsidP="00D67BB9">
            <w:pPr>
              <w:rPr>
                <w:rFonts w:ascii="Times New Roman" w:hAnsi="Times New Roman"/>
                <w:sz w:val="22"/>
                <w:szCs w:val="22"/>
              </w:rPr>
            </w:pPr>
            <w:r w:rsidRPr="00225402">
              <w:rPr>
                <w:rFonts w:ascii="Times New Roman" w:hAnsi="Times New Roman"/>
                <w:sz w:val="22"/>
                <w:szCs w:val="22"/>
              </w:rPr>
              <w:t>Μειωμένο νάτριο αίματος</w:t>
            </w:r>
          </w:p>
          <w:p w:rsidR="004E29B4" w:rsidRPr="00225402" w:rsidRDefault="004E29B4" w:rsidP="00382BF9">
            <w:pPr>
              <w:rPr>
                <w:rFonts w:ascii="Times New Roman" w:hAnsi="Times New Roman"/>
                <w:sz w:val="22"/>
                <w:szCs w:val="22"/>
              </w:rPr>
            </w:pPr>
          </w:p>
        </w:tc>
      </w:tr>
      <w:tr w:rsidR="0069604E" w:rsidRPr="00225402">
        <w:trPr>
          <w:cantSplit/>
        </w:trPr>
        <w:tc>
          <w:tcPr>
            <w:tcW w:w="1668" w:type="dxa"/>
          </w:tcPr>
          <w:p w:rsidR="004E29B4" w:rsidRPr="00225402" w:rsidRDefault="004F3059" w:rsidP="00382BF9">
            <w:pPr>
              <w:rPr>
                <w:rFonts w:ascii="Times New Roman" w:hAnsi="Times New Roman"/>
                <w:i/>
                <w:sz w:val="22"/>
                <w:szCs w:val="22"/>
                <w:u w:val="single"/>
              </w:rPr>
            </w:pPr>
            <w:r w:rsidRPr="00225402">
              <w:rPr>
                <w:rFonts w:ascii="Times New Roman" w:hAnsi="Times New Roman"/>
                <w:i/>
                <w:sz w:val="22"/>
                <w:szCs w:val="22"/>
                <w:u w:val="single"/>
              </w:rPr>
              <w:lastRenderedPageBreak/>
              <w:t>Αγγειακές διαταραχές</w:t>
            </w:r>
          </w:p>
        </w:tc>
        <w:tc>
          <w:tcPr>
            <w:tcW w:w="1417" w:type="dxa"/>
          </w:tcPr>
          <w:p w:rsidR="006C6EDB" w:rsidRPr="00225402" w:rsidRDefault="006C6EDB" w:rsidP="006C6EDB">
            <w:pPr>
              <w:rPr>
                <w:rFonts w:ascii="Times New Roman" w:hAnsi="Times New Roman"/>
                <w:sz w:val="22"/>
                <w:szCs w:val="22"/>
              </w:rPr>
            </w:pPr>
            <w:r w:rsidRPr="00225402">
              <w:rPr>
                <w:rFonts w:ascii="Times New Roman" w:hAnsi="Times New Roman"/>
                <w:sz w:val="22"/>
                <w:szCs w:val="22"/>
              </w:rPr>
              <w:t>Υπόταση, μειωμένη ορθοστατική πίεση αίματος, συγκοπή</w:t>
            </w:r>
          </w:p>
          <w:p w:rsidR="004E29B4" w:rsidRPr="00225402" w:rsidRDefault="004E29B4" w:rsidP="006C6EDB">
            <w:pPr>
              <w:rPr>
                <w:rFonts w:ascii="Times New Roman" w:hAnsi="Times New Roman"/>
                <w:sz w:val="22"/>
                <w:szCs w:val="22"/>
              </w:rPr>
            </w:pPr>
          </w:p>
        </w:tc>
        <w:tc>
          <w:tcPr>
            <w:tcW w:w="1701" w:type="dxa"/>
          </w:tcPr>
          <w:p w:rsidR="006C6EDB" w:rsidRPr="00225402" w:rsidRDefault="006C6EDB" w:rsidP="006C6EDB">
            <w:pPr>
              <w:rPr>
                <w:rFonts w:ascii="Times New Roman" w:hAnsi="Times New Roman"/>
                <w:sz w:val="22"/>
                <w:szCs w:val="22"/>
              </w:rPr>
            </w:pPr>
            <w:r w:rsidRPr="00225402">
              <w:rPr>
                <w:rFonts w:ascii="Times New Roman" w:hAnsi="Times New Roman"/>
                <w:sz w:val="22"/>
                <w:szCs w:val="22"/>
              </w:rPr>
              <w:t>Έξαψη</w:t>
            </w:r>
          </w:p>
          <w:p w:rsidR="004E29B4" w:rsidRPr="00225402" w:rsidRDefault="004E29B4" w:rsidP="00382BF9">
            <w:pPr>
              <w:rPr>
                <w:rFonts w:ascii="Times New Roman" w:hAnsi="Times New Roman"/>
                <w:sz w:val="22"/>
                <w:szCs w:val="22"/>
              </w:rPr>
            </w:pPr>
          </w:p>
        </w:tc>
        <w:tc>
          <w:tcPr>
            <w:tcW w:w="1559" w:type="dxa"/>
          </w:tcPr>
          <w:p w:rsidR="006C6EDB" w:rsidRPr="00225402" w:rsidRDefault="00130150" w:rsidP="006C6EDB">
            <w:pPr>
              <w:rPr>
                <w:rFonts w:ascii="Times New Roman" w:hAnsi="Times New Roman"/>
                <w:sz w:val="22"/>
                <w:szCs w:val="22"/>
              </w:rPr>
            </w:pPr>
            <w:r w:rsidRPr="00225402">
              <w:rPr>
                <w:rFonts w:ascii="Times New Roman" w:hAnsi="Times New Roman"/>
                <w:sz w:val="22"/>
                <w:szCs w:val="22"/>
              </w:rPr>
              <w:t>Στένωση των αγγείων, υποάρδευ</w:t>
            </w:r>
            <w:r w:rsidR="006C6EDB" w:rsidRPr="00225402">
              <w:rPr>
                <w:rFonts w:ascii="Times New Roman" w:hAnsi="Times New Roman"/>
                <w:sz w:val="22"/>
                <w:szCs w:val="22"/>
              </w:rPr>
              <w:t>ση, αγγειίτιδα</w:t>
            </w:r>
          </w:p>
          <w:p w:rsidR="004E29B4" w:rsidRPr="00225402" w:rsidRDefault="004E29B4" w:rsidP="00382BF9">
            <w:pPr>
              <w:rPr>
                <w:rFonts w:ascii="Times New Roman" w:hAnsi="Times New Roman"/>
                <w:sz w:val="22"/>
                <w:szCs w:val="22"/>
              </w:rPr>
            </w:pPr>
          </w:p>
        </w:tc>
        <w:tc>
          <w:tcPr>
            <w:tcW w:w="1602" w:type="dxa"/>
          </w:tcPr>
          <w:p w:rsidR="004E29B4" w:rsidRPr="00225402" w:rsidRDefault="004E29B4" w:rsidP="00382BF9">
            <w:pPr>
              <w:rPr>
                <w:rFonts w:ascii="Times New Roman" w:hAnsi="Times New Roman"/>
                <w:sz w:val="22"/>
                <w:szCs w:val="22"/>
              </w:rPr>
            </w:pPr>
          </w:p>
        </w:tc>
        <w:tc>
          <w:tcPr>
            <w:tcW w:w="1806" w:type="dxa"/>
          </w:tcPr>
          <w:p w:rsidR="006C6EDB" w:rsidRPr="00225402" w:rsidRDefault="006C6EDB" w:rsidP="006C6EDB">
            <w:pPr>
              <w:rPr>
                <w:rFonts w:ascii="Times New Roman" w:hAnsi="Times New Roman"/>
                <w:sz w:val="22"/>
                <w:szCs w:val="22"/>
                <w:lang w:val="en-US"/>
              </w:rPr>
            </w:pPr>
            <w:r w:rsidRPr="00225402">
              <w:rPr>
                <w:rFonts w:ascii="Times New Roman" w:hAnsi="Times New Roman"/>
                <w:sz w:val="22"/>
                <w:szCs w:val="22"/>
              </w:rPr>
              <w:t xml:space="preserve">Φαινόμενο </w:t>
            </w:r>
            <w:r w:rsidRPr="00225402">
              <w:rPr>
                <w:rFonts w:ascii="Times New Roman" w:hAnsi="Times New Roman"/>
                <w:sz w:val="22"/>
                <w:szCs w:val="22"/>
                <w:lang w:val="en-US"/>
              </w:rPr>
              <w:t>Raynaud</w:t>
            </w:r>
          </w:p>
          <w:p w:rsidR="004E29B4" w:rsidRPr="00225402" w:rsidRDefault="004E29B4" w:rsidP="00382BF9">
            <w:pPr>
              <w:rPr>
                <w:rFonts w:ascii="Times New Roman" w:hAnsi="Times New Roman"/>
                <w:sz w:val="22"/>
                <w:szCs w:val="22"/>
              </w:rPr>
            </w:pPr>
          </w:p>
        </w:tc>
      </w:tr>
      <w:tr w:rsidR="0069604E" w:rsidRPr="00225402">
        <w:trPr>
          <w:cantSplit/>
        </w:trPr>
        <w:tc>
          <w:tcPr>
            <w:tcW w:w="1668" w:type="dxa"/>
          </w:tcPr>
          <w:p w:rsidR="004E29B4" w:rsidRPr="00225402" w:rsidRDefault="004F3059" w:rsidP="00382BF9">
            <w:pPr>
              <w:rPr>
                <w:rFonts w:ascii="Times New Roman" w:hAnsi="Times New Roman"/>
                <w:i/>
                <w:sz w:val="22"/>
                <w:szCs w:val="22"/>
                <w:u w:val="single"/>
                <w:lang w:val="en-US"/>
              </w:rPr>
            </w:pPr>
            <w:r w:rsidRPr="00225402">
              <w:rPr>
                <w:rFonts w:ascii="Times New Roman" w:hAnsi="Times New Roman"/>
                <w:i/>
                <w:sz w:val="22"/>
                <w:szCs w:val="22"/>
                <w:u w:val="single"/>
              </w:rPr>
              <w:t>Γενικές διαταραχές και καταστάσεις της οδού χορήγησης</w:t>
            </w:r>
          </w:p>
          <w:p w:rsidR="00A839FC" w:rsidRPr="00225402" w:rsidRDefault="00A839FC" w:rsidP="00382BF9">
            <w:pPr>
              <w:rPr>
                <w:rFonts w:ascii="Times New Roman" w:hAnsi="Times New Roman"/>
                <w:i/>
                <w:sz w:val="22"/>
                <w:szCs w:val="22"/>
                <w:u w:val="single"/>
                <w:lang w:val="en-US"/>
              </w:rPr>
            </w:pPr>
          </w:p>
        </w:tc>
        <w:tc>
          <w:tcPr>
            <w:tcW w:w="1417" w:type="dxa"/>
          </w:tcPr>
          <w:p w:rsidR="008538D8" w:rsidRPr="00225402" w:rsidRDefault="008538D8" w:rsidP="008538D8">
            <w:pPr>
              <w:rPr>
                <w:rFonts w:ascii="Times New Roman" w:hAnsi="Times New Roman"/>
                <w:sz w:val="22"/>
                <w:szCs w:val="22"/>
              </w:rPr>
            </w:pPr>
            <w:r w:rsidRPr="00225402">
              <w:rPr>
                <w:rFonts w:ascii="Times New Roman" w:hAnsi="Times New Roman"/>
                <w:sz w:val="22"/>
                <w:szCs w:val="22"/>
              </w:rPr>
              <w:t>Θωρακικό άλγος, κόπωση</w:t>
            </w:r>
          </w:p>
          <w:p w:rsidR="004E29B4" w:rsidRPr="00225402" w:rsidRDefault="004E29B4" w:rsidP="008538D8">
            <w:pPr>
              <w:rPr>
                <w:rFonts w:ascii="Times New Roman" w:hAnsi="Times New Roman"/>
                <w:sz w:val="22"/>
                <w:szCs w:val="22"/>
              </w:rPr>
            </w:pPr>
          </w:p>
        </w:tc>
        <w:tc>
          <w:tcPr>
            <w:tcW w:w="1701" w:type="dxa"/>
          </w:tcPr>
          <w:p w:rsidR="008538D8" w:rsidRPr="00225402" w:rsidRDefault="008538D8" w:rsidP="008538D8">
            <w:pPr>
              <w:rPr>
                <w:rFonts w:ascii="Times New Roman" w:hAnsi="Times New Roman"/>
                <w:sz w:val="22"/>
                <w:szCs w:val="22"/>
              </w:rPr>
            </w:pPr>
            <w:r w:rsidRPr="00225402">
              <w:rPr>
                <w:rFonts w:ascii="Times New Roman" w:hAnsi="Times New Roman"/>
                <w:sz w:val="22"/>
                <w:szCs w:val="22"/>
              </w:rPr>
              <w:t>Πυρεξία</w:t>
            </w:r>
          </w:p>
          <w:p w:rsidR="004E29B4" w:rsidRPr="00225402" w:rsidRDefault="004E29B4" w:rsidP="00382BF9">
            <w:pPr>
              <w:rPr>
                <w:rFonts w:ascii="Times New Roman" w:hAnsi="Times New Roman"/>
                <w:sz w:val="22"/>
                <w:szCs w:val="22"/>
              </w:rPr>
            </w:pPr>
          </w:p>
        </w:tc>
        <w:tc>
          <w:tcPr>
            <w:tcW w:w="1559" w:type="dxa"/>
          </w:tcPr>
          <w:p w:rsidR="008538D8" w:rsidRPr="00225402" w:rsidRDefault="008538D8" w:rsidP="008538D8">
            <w:pPr>
              <w:rPr>
                <w:rFonts w:ascii="Times New Roman" w:hAnsi="Times New Roman"/>
                <w:sz w:val="22"/>
                <w:szCs w:val="22"/>
              </w:rPr>
            </w:pPr>
            <w:r w:rsidRPr="00225402">
              <w:rPr>
                <w:rFonts w:ascii="Times New Roman" w:hAnsi="Times New Roman"/>
                <w:sz w:val="22"/>
                <w:szCs w:val="22"/>
              </w:rPr>
              <w:t>Εξασθένιση</w:t>
            </w:r>
          </w:p>
          <w:p w:rsidR="004E29B4" w:rsidRPr="00225402" w:rsidRDefault="004E29B4" w:rsidP="00382BF9">
            <w:pPr>
              <w:rPr>
                <w:rFonts w:ascii="Times New Roman" w:hAnsi="Times New Roman"/>
                <w:sz w:val="22"/>
                <w:szCs w:val="22"/>
              </w:rPr>
            </w:pPr>
          </w:p>
        </w:tc>
        <w:tc>
          <w:tcPr>
            <w:tcW w:w="1602" w:type="dxa"/>
          </w:tcPr>
          <w:p w:rsidR="004E29B4" w:rsidRPr="00225402" w:rsidRDefault="004E29B4" w:rsidP="00382BF9">
            <w:pPr>
              <w:rPr>
                <w:rFonts w:ascii="Times New Roman" w:hAnsi="Times New Roman"/>
                <w:sz w:val="22"/>
                <w:szCs w:val="22"/>
              </w:rPr>
            </w:pPr>
          </w:p>
        </w:tc>
        <w:tc>
          <w:tcPr>
            <w:tcW w:w="1806" w:type="dxa"/>
          </w:tcPr>
          <w:p w:rsidR="004E29B4" w:rsidRPr="00225402" w:rsidRDefault="004E29B4" w:rsidP="00382BF9">
            <w:pPr>
              <w:rPr>
                <w:rFonts w:ascii="Times New Roman" w:hAnsi="Times New Roman"/>
                <w:sz w:val="22"/>
                <w:szCs w:val="22"/>
              </w:rPr>
            </w:pPr>
          </w:p>
        </w:tc>
      </w:tr>
      <w:tr w:rsidR="0069604E" w:rsidRPr="00225402">
        <w:trPr>
          <w:cantSplit/>
        </w:trPr>
        <w:tc>
          <w:tcPr>
            <w:tcW w:w="1668" w:type="dxa"/>
          </w:tcPr>
          <w:p w:rsidR="004E29B4" w:rsidRPr="00225402" w:rsidRDefault="004F3059" w:rsidP="00382BF9">
            <w:pPr>
              <w:rPr>
                <w:rFonts w:ascii="Times New Roman" w:hAnsi="Times New Roman"/>
                <w:i/>
                <w:sz w:val="22"/>
                <w:szCs w:val="22"/>
                <w:u w:val="single"/>
              </w:rPr>
            </w:pPr>
            <w:r w:rsidRPr="00225402">
              <w:rPr>
                <w:rFonts w:ascii="Times New Roman" w:hAnsi="Times New Roman"/>
                <w:i/>
                <w:sz w:val="22"/>
                <w:szCs w:val="22"/>
                <w:u w:val="single"/>
              </w:rPr>
              <w:t>Διαταραχές του ανοσοποιητικού συστήματος</w:t>
            </w:r>
          </w:p>
        </w:tc>
        <w:tc>
          <w:tcPr>
            <w:tcW w:w="1417" w:type="dxa"/>
          </w:tcPr>
          <w:p w:rsidR="004E29B4" w:rsidRPr="00225402" w:rsidRDefault="004E29B4" w:rsidP="00382BF9">
            <w:pPr>
              <w:rPr>
                <w:rFonts w:ascii="Times New Roman" w:hAnsi="Times New Roman"/>
                <w:sz w:val="22"/>
                <w:szCs w:val="22"/>
              </w:rPr>
            </w:pPr>
          </w:p>
        </w:tc>
        <w:tc>
          <w:tcPr>
            <w:tcW w:w="1701" w:type="dxa"/>
          </w:tcPr>
          <w:p w:rsidR="004E29B4" w:rsidRPr="00225402" w:rsidRDefault="004E29B4" w:rsidP="00382BF9">
            <w:pPr>
              <w:rPr>
                <w:rFonts w:ascii="Times New Roman" w:hAnsi="Times New Roman"/>
                <w:sz w:val="22"/>
                <w:szCs w:val="22"/>
              </w:rPr>
            </w:pPr>
          </w:p>
        </w:tc>
        <w:tc>
          <w:tcPr>
            <w:tcW w:w="1559" w:type="dxa"/>
          </w:tcPr>
          <w:p w:rsidR="004E29B4" w:rsidRPr="00225402" w:rsidRDefault="004E29B4" w:rsidP="00382BF9">
            <w:pPr>
              <w:rPr>
                <w:rFonts w:ascii="Times New Roman" w:hAnsi="Times New Roman"/>
                <w:sz w:val="22"/>
                <w:szCs w:val="22"/>
              </w:rPr>
            </w:pPr>
          </w:p>
        </w:tc>
        <w:tc>
          <w:tcPr>
            <w:tcW w:w="1602" w:type="dxa"/>
          </w:tcPr>
          <w:p w:rsidR="004E29B4" w:rsidRPr="00225402" w:rsidRDefault="004E29B4" w:rsidP="00382BF9">
            <w:pPr>
              <w:rPr>
                <w:rFonts w:ascii="Times New Roman" w:hAnsi="Times New Roman"/>
                <w:sz w:val="22"/>
                <w:szCs w:val="22"/>
              </w:rPr>
            </w:pPr>
          </w:p>
        </w:tc>
        <w:tc>
          <w:tcPr>
            <w:tcW w:w="1806" w:type="dxa"/>
          </w:tcPr>
          <w:p w:rsidR="004E29B4" w:rsidRPr="00225402" w:rsidRDefault="00A43659" w:rsidP="00382BF9">
            <w:pPr>
              <w:rPr>
                <w:rFonts w:ascii="Times New Roman" w:hAnsi="Times New Roman"/>
                <w:sz w:val="22"/>
                <w:szCs w:val="22"/>
              </w:rPr>
            </w:pPr>
            <w:r w:rsidRPr="00225402">
              <w:rPr>
                <w:rFonts w:ascii="Times New Roman" w:hAnsi="Times New Roman"/>
                <w:sz w:val="22"/>
                <w:szCs w:val="22"/>
              </w:rPr>
              <w:t>Αναφυλακτικές και αναφυλακτοει</w:t>
            </w:r>
            <w:r w:rsidR="00AD2472" w:rsidRPr="00225402">
              <w:rPr>
                <w:rFonts w:ascii="Times New Roman" w:hAnsi="Times New Roman"/>
                <w:sz w:val="22"/>
                <w:szCs w:val="22"/>
              </w:rPr>
              <w:t>-</w:t>
            </w:r>
            <w:r w:rsidRPr="00225402">
              <w:rPr>
                <w:rFonts w:ascii="Times New Roman" w:hAnsi="Times New Roman"/>
                <w:sz w:val="22"/>
                <w:szCs w:val="22"/>
              </w:rPr>
              <w:t>δείς αντιδράσεις, αυξημένα αντιπυρηνικά αντισώματα</w:t>
            </w:r>
          </w:p>
        </w:tc>
      </w:tr>
      <w:tr w:rsidR="0069604E" w:rsidRPr="00225402">
        <w:trPr>
          <w:cantSplit/>
        </w:trPr>
        <w:tc>
          <w:tcPr>
            <w:tcW w:w="1668" w:type="dxa"/>
          </w:tcPr>
          <w:p w:rsidR="004E29B4" w:rsidRPr="00225402" w:rsidRDefault="004F3059" w:rsidP="00382BF9">
            <w:pPr>
              <w:rPr>
                <w:rFonts w:ascii="Times New Roman" w:hAnsi="Times New Roman"/>
                <w:i/>
                <w:sz w:val="22"/>
                <w:szCs w:val="22"/>
                <w:u w:val="single"/>
              </w:rPr>
            </w:pPr>
            <w:r w:rsidRPr="00225402">
              <w:rPr>
                <w:rFonts w:ascii="Times New Roman" w:hAnsi="Times New Roman"/>
                <w:i/>
                <w:sz w:val="22"/>
                <w:szCs w:val="22"/>
                <w:u w:val="single"/>
              </w:rPr>
              <w:t>Διαταραχές του ήπατος και των χοληφόρων</w:t>
            </w:r>
          </w:p>
        </w:tc>
        <w:tc>
          <w:tcPr>
            <w:tcW w:w="1417" w:type="dxa"/>
          </w:tcPr>
          <w:p w:rsidR="004E29B4" w:rsidRPr="00225402" w:rsidRDefault="004E29B4" w:rsidP="00382BF9">
            <w:pPr>
              <w:rPr>
                <w:rFonts w:ascii="Times New Roman" w:hAnsi="Times New Roman"/>
                <w:sz w:val="22"/>
                <w:szCs w:val="22"/>
              </w:rPr>
            </w:pPr>
          </w:p>
        </w:tc>
        <w:tc>
          <w:tcPr>
            <w:tcW w:w="1701" w:type="dxa"/>
          </w:tcPr>
          <w:p w:rsidR="00A43659" w:rsidRPr="00225402" w:rsidRDefault="00A43659" w:rsidP="00A43659">
            <w:pPr>
              <w:rPr>
                <w:rFonts w:ascii="Times New Roman" w:hAnsi="Times New Roman"/>
                <w:sz w:val="22"/>
                <w:szCs w:val="22"/>
              </w:rPr>
            </w:pPr>
            <w:r w:rsidRPr="00225402">
              <w:rPr>
                <w:rFonts w:ascii="Times New Roman" w:hAnsi="Times New Roman"/>
                <w:sz w:val="22"/>
                <w:szCs w:val="22"/>
              </w:rPr>
              <w:t xml:space="preserve">Ηπατικά ένζυμα αυξημένα και/ή αυξημένη συζευγμένη χολερυθρίνη </w:t>
            </w:r>
          </w:p>
          <w:p w:rsidR="004E29B4" w:rsidRPr="00225402" w:rsidRDefault="004E29B4" w:rsidP="00A43659">
            <w:pPr>
              <w:rPr>
                <w:rFonts w:ascii="Times New Roman" w:hAnsi="Times New Roman"/>
                <w:sz w:val="22"/>
                <w:szCs w:val="22"/>
              </w:rPr>
            </w:pPr>
          </w:p>
        </w:tc>
        <w:tc>
          <w:tcPr>
            <w:tcW w:w="1559" w:type="dxa"/>
          </w:tcPr>
          <w:p w:rsidR="00A43659" w:rsidRPr="00225402" w:rsidRDefault="00A43659" w:rsidP="00A43659">
            <w:pPr>
              <w:rPr>
                <w:rFonts w:ascii="Times New Roman" w:hAnsi="Times New Roman"/>
                <w:sz w:val="22"/>
                <w:szCs w:val="22"/>
              </w:rPr>
            </w:pPr>
            <w:r w:rsidRPr="00225402">
              <w:rPr>
                <w:rFonts w:ascii="Times New Roman" w:hAnsi="Times New Roman"/>
                <w:sz w:val="22"/>
                <w:szCs w:val="22"/>
              </w:rPr>
              <w:t>Χολοστατικός ίκτερος, ηπατοκυτταρι</w:t>
            </w:r>
            <w:r w:rsidR="00AD2472" w:rsidRPr="00225402">
              <w:rPr>
                <w:rFonts w:ascii="Times New Roman" w:hAnsi="Times New Roman"/>
                <w:sz w:val="22"/>
                <w:szCs w:val="22"/>
              </w:rPr>
              <w:t>-</w:t>
            </w:r>
            <w:r w:rsidRPr="00225402">
              <w:rPr>
                <w:rFonts w:ascii="Times New Roman" w:hAnsi="Times New Roman"/>
                <w:sz w:val="22"/>
                <w:szCs w:val="22"/>
              </w:rPr>
              <w:t>κή βλάβη</w:t>
            </w:r>
          </w:p>
          <w:p w:rsidR="004E29B4" w:rsidRPr="00225402" w:rsidRDefault="004E29B4" w:rsidP="00382BF9">
            <w:pPr>
              <w:rPr>
                <w:rFonts w:ascii="Times New Roman" w:hAnsi="Times New Roman"/>
                <w:sz w:val="22"/>
                <w:szCs w:val="22"/>
              </w:rPr>
            </w:pPr>
          </w:p>
        </w:tc>
        <w:tc>
          <w:tcPr>
            <w:tcW w:w="1602" w:type="dxa"/>
          </w:tcPr>
          <w:p w:rsidR="004E29B4" w:rsidRPr="00225402" w:rsidRDefault="004E29B4" w:rsidP="00382BF9">
            <w:pPr>
              <w:rPr>
                <w:rFonts w:ascii="Times New Roman" w:hAnsi="Times New Roman"/>
                <w:sz w:val="22"/>
                <w:szCs w:val="22"/>
              </w:rPr>
            </w:pPr>
          </w:p>
        </w:tc>
        <w:tc>
          <w:tcPr>
            <w:tcW w:w="1806" w:type="dxa"/>
          </w:tcPr>
          <w:p w:rsidR="004E29B4" w:rsidRPr="00225402" w:rsidRDefault="00A43659" w:rsidP="00382BF9">
            <w:pPr>
              <w:rPr>
                <w:rFonts w:ascii="Times New Roman" w:hAnsi="Times New Roman"/>
                <w:sz w:val="22"/>
                <w:szCs w:val="22"/>
              </w:rPr>
            </w:pPr>
            <w:r w:rsidRPr="00225402">
              <w:rPr>
                <w:rFonts w:ascii="Times New Roman" w:hAnsi="Times New Roman"/>
                <w:sz w:val="22"/>
                <w:szCs w:val="22"/>
              </w:rPr>
              <w:t>Οξεία ηπατική ανεπάρκεια, χολοστατική ή κυτταρολυτική ηπατίτιδα (θανατηφόρος έκβαση έχει υπάρξει πολύ εξαιρετικά)</w:t>
            </w:r>
          </w:p>
        </w:tc>
      </w:tr>
      <w:tr w:rsidR="0069604E" w:rsidRPr="00225402">
        <w:trPr>
          <w:cantSplit/>
        </w:trPr>
        <w:tc>
          <w:tcPr>
            <w:tcW w:w="1668" w:type="dxa"/>
          </w:tcPr>
          <w:p w:rsidR="004E29B4" w:rsidRPr="00225402" w:rsidRDefault="001B61D3" w:rsidP="00382BF9">
            <w:pPr>
              <w:rPr>
                <w:rFonts w:ascii="Times New Roman" w:hAnsi="Times New Roman"/>
                <w:i/>
                <w:sz w:val="22"/>
                <w:szCs w:val="22"/>
                <w:u w:val="single"/>
              </w:rPr>
            </w:pPr>
            <w:r w:rsidRPr="00225402">
              <w:rPr>
                <w:rFonts w:ascii="Times New Roman" w:hAnsi="Times New Roman"/>
                <w:i/>
                <w:sz w:val="22"/>
                <w:szCs w:val="22"/>
                <w:u w:val="single"/>
              </w:rPr>
              <w:t>Διαταραχές του αναπαραγωγι-κ</w:t>
            </w:r>
            <w:r w:rsidR="004F3059" w:rsidRPr="00225402">
              <w:rPr>
                <w:rFonts w:ascii="Times New Roman" w:hAnsi="Times New Roman"/>
                <w:i/>
                <w:sz w:val="22"/>
                <w:szCs w:val="22"/>
                <w:u w:val="single"/>
              </w:rPr>
              <w:t xml:space="preserve">ού </w:t>
            </w:r>
            <w:r w:rsidR="00130150" w:rsidRPr="00225402">
              <w:rPr>
                <w:rFonts w:ascii="Times New Roman" w:hAnsi="Times New Roman"/>
                <w:i/>
                <w:sz w:val="22"/>
                <w:szCs w:val="22"/>
                <w:u w:val="single"/>
              </w:rPr>
              <w:t xml:space="preserve">συστήματος </w:t>
            </w:r>
            <w:r w:rsidR="004F3059" w:rsidRPr="00225402">
              <w:rPr>
                <w:rFonts w:ascii="Times New Roman" w:hAnsi="Times New Roman"/>
                <w:i/>
                <w:sz w:val="22"/>
                <w:szCs w:val="22"/>
                <w:u w:val="single"/>
              </w:rPr>
              <w:t>και του μαστού</w:t>
            </w:r>
          </w:p>
        </w:tc>
        <w:tc>
          <w:tcPr>
            <w:tcW w:w="1417" w:type="dxa"/>
          </w:tcPr>
          <w:p w:rsidR="004E29B4" w:rsidRPr="00225402" w:rsidRDefault="004E29B4" w:rsidP="00382BF9">
            <w:pPr>
              <w:rPr>
                <w:rFonts w:ascii="Times New Roman" w:hAnsi="Times New Roman"/>
                <w:sz w:val="22"/>
                <w:szCs w:val="22"/>
              </w:rPr>
            </w:pPr>
          </w:p>
        </w:tc>
        <w:tc>
          <w:tcPr>
            <w:tcW w:w="1701" w:type="dxa"/>
          </w:tcPr>
          <w:p w:rsidR="004E29B4" w:rsidRPr="00225402" w:rsidRDefault="00A43659" w:rsidP="00382BF9">
            <w:pPr>
              <w:rPr>
                <w:rFonts w:ascii="Times New Roman" w:hAnsi="Times New Roman"/>
                <w:sz w:val="22"/>
                <w:szCs w:val="22"/>
              </w:rPr>
            </w:pPr>
            <w:r w:rsidRPr="00225402">
              <w:rPr>
                <w:rFonts w:ascii="Times New Roman" w:hAnsi="Times New Roman"/>
                <w:sz w:val="22"/>
                <w:szCs w:val="22"/>
              </w:rPr>
              <w:t>Παροδική ανικανότητα στύσης, μειωμένη γενετήσια ορμή</w:t>
            </w:r>
          </w:p>
        </w:tc>
        <w:tc>
          <w:tcPr>
            <w:tcW w:w="1559" w:type="dxa"/>
          </w:tcPr>
          <w:p w:rsidR="004E29B4" w:rsidRPr="00225402" w:rsidRDefault="004E29B4" w:rsidP="00382BF9">
            <w:pPr>
              <w:rPr>
                <w:rFonts w:ascii="Times New Roman" w:hAnsi="Times New Roman"/>
                <w:sz w:val="22"/>
                <w:szCs w:val="22"/>
              </w:rPr>
            </w:pPr>
          </w:p>
        </w:tc>
        <w:tc>
          <w:tcPr>
            <w:tcW w:w="1602" w:type="dxa"/>
          </w:tcPr>
          <w:p w:rsidR="004E29B4" w:rsidRPr="00225402" w:rsidRDefault="004E29B4" w:rsidP="00382BF9">
            <w:pPr>
              <w:rPr>
                <w:rFonts w:ascii="Times New Roman" w:hAnsi="Times New Roman"/>
                <w:sz w:val="22"/>
                <w:szCs w:val="22"/>
              </w:rPr>
            </w:pPr>
          </w:p>
        </w:tc>
        <w:tc>
          <w:tcPr>
            <w:tcW w:w="1806" w:type="dxa"/>
          </w:tcPr>
          <w:p w:rsidR="004E29B4" w:rsidRPr="00225402" w:rsidRDefault="00A43659" w:rsidP="00A43659">
            <w:pPr>
              <w:rPr>
                <w:rFonts w:ascii="Times New Roman" w:hAnsi="Times New Roman"/>
                <w:sz w:val="22"/>
                <w:szCs w:val="22"/>
              </w:rPr>
            </w:pPr>
            <w:r w:rsidRPr="00225402">
              <w:rPr>
                <w:rFonts w:ascii="Times New Roman" w:hAnsi="Times New Roman"/>
                <w:sz w:val="22"/>
                <w:szCs w:val="22"/>
              </w:rPr>
              <w:t>Γυναικομαστία</w:t>
            </w:r>
          </w:p>
        </w:tc>
      </w:tr>
      <w:tr w:rsidR="00130150" w:rsidRPr="00225402">
        <w:trPr>
          <w:cantSplit/>
          <w:trHeight w:val="2320"/>
        </w:trPr>
        <w:tc>
          <w:tcPr>
            <w:tcW w:w="1668" w:type="dxa"/>
          </w:tcPr>
          <w:p w:rsidR="00130150" w:rsidRPr="00225402" w:rsidRDefault="00130150" w:rsidP="00382BF9">
            <w:pPr>
              <w:rPr>
                <w:rFonts w:ascii="Times New Roman" w:hAnsi="Times New Roman"/>
                <w:i/>
                <w:sz w:val="22"/>
                <w:szCs w:val="22"/>
                <w:u w:val="single"/>
              </w:rPr>
            </w:pPr>
            <w:r w:rsidRPr="00225402">
              <w:rPr>
                <w:rFonts w:ascii="Times New Roman" w:hAnsi="Times New Roman"/>
                <w:i/>
                <w:sz w:val="22"/>
                <w:szCs w:val="22"/>
                <w:u w:val="single"/>
              </w:rPr>
              <w:t>Ψυχιατρικές διαταραχές</w:t>
            </w:r>
          </w:p>
        </w:tc>
        <w:tc>
          <w:tcPr>
            <w:tcW w:w="1417" w:type="dxa"/>
          </w:tcPr>
          <w:p w:rsidR="00130150" w:rsidRPr="00225402" w:rsidRDefault="00130150" w:rsidP="00382BF9">
            <w:pPr>
              <w:rPr>
                <w:rFonts w:ascii="Times New Roman" w:hAnsi="Times New Roman"/>
                <w:sz w:val="22"/>
                <w:szCs w:val="22"/>
              </w:rPr>
            </w:pPr>
          </w:p>
        </w:tc>
        <w:tc>
          <w:tcPr>
            <w:tcW w:w="1701" w:type="dxa"/>
          </w:tcPr>
          <w:p w:rsidR="00130150" w:rsidRPr="00225402" w:rsidRDefault="00130150" w:rsidP="00A43659">
            <w:pPr>
              <w:rPr>
                <w:rFonts w:ascii="Times New Roman" w:hAnsi="Times New Roman"/>
                <w:sz w:val="22"/>
                <w:szCs w:val="22"/>
              </w:rPr>
            </w:pPr>
            <w:r w:rsidRPr="00225402">
              <w:rPr>
                <w:rFonts w:ascii="Times New Roman" w:hAnsi="Times New Roman"/>
                <w:sz w:val="22"/>
                <w:szCs w:val="22"/>
              </w:rPr>
              <w:t>Καταθλιπτική διάθεση, άγχος, νευρικότητα, ανησυχία, διαταραχή του ύπνου συμπεριλαμβα</w:t>
            </w:r>
            <w:r w:rsidR="00CD4196" w:rsidRPr="00225402">
              <w:rPr>
                <w:rFonts w:ascii="Times New Roman" w:hAnsi="Times New Roman"/>
                <w:sz w:val="22"/>
                <w:szCs w:val="22"/>
              </w:rPr>
              <w:t>-</w:t>
            </w:r>
            <w:r w:rsidRPr="00225402">
              <w:rPr>
                <w:rFonts w:ascii="Times New Roman" w:hAnsi="Times New Roman"/>
                <w:sz w:val="22"/>
                <w:szCs w:val="22"/>
              </w:rPr>
              <w:t>νομένης της υπνηλίας</w:t>
            </w:r>
          </w:p>
        </w:tc>
        <w:tc>
          <w:tcPr>
            <w:tcW w:w="1559" w:type="dxa"/>
          </w:tcPr>
          <w:p w:rsidR="00130150" w:rsidRPr="00225402" w:rsidRDefault="00130150" w:rsidP="00C2242A">
            <w:pPr>
              <w:rPr>
                <w:rFonts w:ascii="Times New Roman" w:hAnsi="Times New Roman"/>
                <w:sz w:val="22"/>
                <w:szCs w:val="22"/>
              </w:rPr>
            </w:pPr>
            <w:r w:rsidRPr="00225402">
              <w:rPr>
                <w:rFonts w:ascii="Times New Roman" w:hAnsi="Times New Roman"/>
                <w:sz w:val="22"/>
                <w:szCs w:val="22"/>
              </w:rPr>
              <w:t>Κατάσταση σύγχυσης</w:t>
            </w:r>
          </w:p>
          <w:p w:rsidR="00130150" w:rsidRPr="00225402" w:rsidRDefault="00130150" w:rsidP="00382BF9">
            <w:pPr>
              <w:rPr>
                <w:rFonts w:ascii="Times New Roman" w:hAnsi="Times New Roman"/>
                <w:sz w:val="22"/>
                <w:szCs w:val="22"/>
              </w:rPr>
            </w:pPr>
          </w:p>
        </w:tc>
        <w:tc>
          <w:tcPr>
            <w:tcW w:w="1602" w:type="dxa"/>
          </w:tcPr>
          <w:p w:rsidR="00130150" w:rsidRPr="00225402" w:rsidRDefault="00130150" w:rsidP="00382BF9">
            <w:pPr>
              <w:rPr>
                <w:rFonts w:ascii="Times New Roman" w:hAnsi="Times New Roman"/>
                <w:sz w:val="22"/>
                <w:szCs w:val="22"/>
              </w:rPr>
            </w:pPr>
          </w:p>
        </w:tc>
        <w:tc>
          <w:tcPr>
            <w:tcW w:w="1806" w:type="dxa"/>
          </w:tcPr>
          <w:p w:rsidR="00130150" w:rsidRPr="00225402" w:rsidRDefault="00130150" w:rsidP="00A43659">
            <w:pPr>
              <w:rPr>
                <w:rFonts w:ascii="Times New Roman" w:hAnsi="Times New Roman"/>
                <w:sz w:val="22"/>
                <w:szCs w:val="22"/>
              </w:rPr>
            </w:pPr>
            <w:r w:rsidRPr="00225402">
              <w:rPr>
                <w:rFonts w:ascii="Times New Roman" w:hAnsi="Times New Roman"/>
                <w:sz w:val="22"/>
                <w:szCs w:val="22"/>
              </w:rPr>
              <w:t>Διαταραχή στην προσοχή</w:t>
            </w:r>
          </w:p>
        </w:tc>
      </w:tr>
    </w:tbl>
    <w:p w:rsidR="00382BF9" w:rsidRPr="00460745" w:rsidRDefault="00382BF9" w:rsidP="00382BF9">
      <w:pPr>
        <w:rPr>
          <w:rFonts w:ascii="Times New Roman" w:hAnsi="Times New Roman"/>
          <w:sz w:val="22"/>
          <w:szCs w:val="22"/>
        </w:rPr>
      </w:pPr>
    </w:p>
    <w:p w:rsidR="00D77C12" w:rsidRPr="00460745" w:rsidRDefault="00D77C12" w:rsidP="00382BF9">
      <w:pPr>
        <w:rPr>
          <w:rFonts w:ascii="Times New Roman" w:hAnsi="Times New Roman"/>
          <w:i/>
          <w:sz w:val="22"/>
          <w:szCs w:val="22"/>
        </w:rPr>
      </w:pPr>
      <w:r w:rsidRPr="00460745">
        <w:rPr>
          <w:rFonts w:ascii="Times New Roman" w:hAnsi="Times New Roman"/>
          <w:i/>
          <w:sz w:val="22"/>
          <w:szCs w:val="22"/>
        </w:rPr>
        <w:t>Παιδιατρικός πληθυσμός</w:t>
      </w:r>
    </w:p>
    <w:p w:rsidR="007E25CF" w:rsidRPr="00460745" w:rsidRDefault="007E25CF" w:rsidP="00382BF9">
      <w:pPr>
        <w:rPr>
          <w:rFonts w:ascii="Times New Roman" w:hAnsi="Times New Roman"/>
          <w:sz w:val="22"/>
          <w:szCs w:val="22"/>
          <w:lang w:val="en-US"/>
        </w:rPr>
      </w:pPr>
    </w:p>
    <w:p w:rsidR="00D77C12" w:rsidRPr="00460745" w:rsidRDefault="00D77C12" w:rsidP="00382BF9">
      <w:pPr>
        <w:rPr>
          <w:rFonts w:ascii="Times New Roman" w:hAnsi="Times New Roman"/>
          <w:sz w:val="22"/>
          <w:szCs w:val="22"/>
        </w:rPr>
      </w:pPr>
      <w:r w:rsidRPr="00460745">
        <w:rPr>
          <w:rFonts w:ascii="Times New Roman" w:hAnsi="Times New Roman"/>
          <w:sz w:val="22"/>
          <w:szCs w:val="22"/>
        </w:rPr>
        <w:t>Η ασφάλεια της ραμιπρίλης παρακολουθήθηκε σε 325 παιδιά και εφήβους</w:t>
      </w:r>
      <w:r w:rsidR="00CB0775" w:rsidRPr="00460745">
        <w:rPr>
          <w:rFonts w:ascii="Times New Roman" w:hAnsi="Times New Roman"/>
          <w:sz w:val="22"/>
          <w:szCs w:val="22"/>
        </w:rPr>
        <w:t>,</w:t>
      </w:r>
      <w:r w:rsidRPr="00460745">
        <w:rPr>
          <w:rFonts w:ascii="Times New Roman" w:hAnsi="Times New Roman"/>
          <w:sz w:val="22"/>
          <w:szCs w:val="22"/>
        </w:rPr>
        <w:t xml:space="preserve"> ηλικίας 2</w:t>
      </w:r>
      <w:r w:rsidR="00CC0644" w:rsidRPr="00460745">
        <w:rPr>
          <w:rFonts w:ascii="Times New Roman" w:hAnsi="Times New Roman"/>
          <w:sz w:val="22"/>
          <w:szCs w:val="22"/>
        </w:rPr>
        <w:noBreakHyphen/>
      </w:r>
      <w:r w:rsidRPr="00460745">
        <w:rPr>
          <w:rFonts w:ascii="Times New Roman" w:hAnsi="Times New Roman"/>
          <w:sz w:val="22"/>
          <w:szCs w:val="22"/>
        </w:rPr>
        <w:t>16 ετών</w:t>
      </w:r>
      <w:r w:rsidR="00CB0775" w:rsidRPr="00460745">
        <w:rPr>
          <w:rFonts w:ascii="Times New Roman" w:hAnsi="Times New Roman"/>
          <w:sz w:val="22"/>
          <w:szCs w:val="22"/>
        </w:rPr>
        <w:t>,</w:t>
      </w:r>
      <w:r w:rsidRPr="00460745">
        <w:rPr>
          <w:rFonts w:ascii="Times New Roman" w:hAnsi="Times New Roman"/>
          <w:sz w:val="22"/>
          <w:szCs w:val="22"/>
        </w:rPr>
        <w:t xml:space="preserve"> κατά τη διάρκεια 2 κλινικών δοκιμών. </w:t>
      </w:r>
      <w:r w:rsidR="00CB76C0" w:rsidRPr="00460745">
        <w:rPr>
          <w:rFonts w:ascii="Times New Roman" w:hAnsi="Times New Roman"/>
          <w:sz w:val="22"/>
          <w:szCs w:val="22"/>
        </w:rPr>
        <w:t xml:space="preserve">Ενώ η φύση και η σοβαρότητα των ανεπιθύμητων ενεργειών ήταν παρόμοιες με εκείνες των ενηλίκων, η συχνότητα των </w:t>
      </w:r>
      <w:r w:rsidR="00CB0775" w:rsidRPr="00460745">
        <w:rPr>
          <w:rFonts w:ascii="Times New Roman" w:hAnsi="Times New Roman"/>
          <w:sz w:val="22"/>
          <w:szCs w:val="22"/>
        </w:rPr>
        <w:t>παρακάτω</w:t>
      </w:r>
      <w:r w:rsidR="00CB76C0" w:rsidRPr="00460745">
        <w:rPr>
          <w:rFonts w:ascii="Times New Roman" w:hAnsi="Times New Roman"/>
          <w:sz w:val="22"/>
          <w:szCs w:val="22"/>
        </w:rPr>
        <w:t xml:space="preserve"> είναι μεγαλύτερη στα παιδιά:</w:t>
      </w:r>
    </w:p>
    <w:p w:rsidR="00EC747B" w:rsidRPr="00460745" w:rsidRDefault="00EC747B" w:rsidP="00382BF9">
      <w:pPr>
        <w:rPr>
          <w:rFonts w:ascii="Times New Roman" w:hAnsi="Times New Roman"/>
          <w:sz w:val="22"/>
          <w:szCs w:val="22"/>
        </w:rPr>
      </w:pPr>
    </w:p>
    <w:p w:rsidR="00C31C33" w:rsidRPr="00460745" w:rsidRDefault="00C31C33" w:rsidP="00EC747B">
      <w:pPr>
        <w:ind w:left="709" w:firstLine="11"/>
        <w:rPr>
          <w:rFonts w:ascii="Times New Roman" w:hAnsi="Times New Roman"/>
          <w:sz w:val="22"/>
          <w:szCs w:val="22"/>
        </w:rPr>
      </w:pPr>
      <w:r w:rsidRPr="00460745">
        <w:rPr>
          <w:rFonts w:ascii="Times New Roman" w:hAnsi="Times New Roman"/>
          <w:sz w:val="22"/>
          <w:szCs w:val="22"/>
        </w:rPr>
        <w:t>Ταχυκαρδία, ρινική συμφόρηση και ρινίτιδα</w:t>
      </w:r>
      <w:r w:rsidR="00E2367F" w:rsidRPr="00460745">
        <w:rPr>
          <w:rFonts w:ascii="Times New Roman" w:hAnsi="Times New Roman"/>
          <w:sz w:val="22"/>
          <w:szCs w:val="22"/>
        </w:rPr>
        <w:t>,</w:t>
      </w:r>
      <w:r w:rsidRPr="00460745">
        <w:rPr>
          <w:rFonts w:ascii="Times New Roman" w:hAnsi="Times New Roman"/>
          <w:sz w:val="22"/>
          <w:szCs w:val="22"/>
        </w:rPr>
        <w:t xml:space="preserve"> «συχνές» (δηλ. ≥1/100 έως &lt;1/10) στον παιδιατρικό και «όχι συχνές» (δηλ. ≥1/1.000 έως &lt;1/100) στον ενήλικο πληθυσμό.</w:t>
      </w:r>
    </w:p>
    <w:p w:rsidR="00105F1A" w:rsidRPr="00460745" w:rsidRDefault="00105F1A" w:rsidP="00EC747B">
      <w:pPr>
        <w:ind w:left="709" w:firstLine="11"/>
        <w:rPr>
          <w:rFonts w:ascii="Times New Roman" w:hAnsi="Times New Roman"/>
          <w:sz w:val="22"/>
          <w:szCs w:val="22"/>
          <w:lang w:val="en-US"/>
        </w:rPr>
      </w:pPr>
    </w:p>
    <w:p w:rsidR="00105F1A" w:rsidRPr="00460745" w:rsidRDefault="00105F1A" w:rsidP="00105F1A">
      <w:pPr>
        <w:ind w:left="709" w:firstLine="11"/>
        <w:rPr>
          <w:rFonts w:ascii="Times New Roman" w:hAnsi="Times New Roman"/>
          <w:sz w:val="22"/>
          <w:szCs w:val="22"/>
        </w:rPr>
      </w:pPr>
      <w:r w:rsidRPr="00460745">
        <w:rPr>
          <w:rFonts w:ascii="Times New Roman" w:hAnsi="Times New Roman"/>
          <w:sz w:val="22"/>
          <w:szCs w:val="22"/>
        </w:rPr>
        <w:lastRenderedPageBreak/>
        <w:t>Επιπεφυκίτιδα «συχνή» (δηλ. ≥1/100 έως &lt;1/10) στον παιδιατρικό και «σπάνια» (δηλ. ≥1/10.000 έως &lt;1/1.000) στον ενήλικο πληθυσμό.</w:t>
      </w:r>
    </w:p>
    <w:p w:rsidR="00EC747B" w:rsidRPr="00460745" w:rsidRDefault="00EC747B" w:rsidP="00105F1A">
      <w:pPr>
        <w:rPr>
          <w:rFonts w:ascii="Times New Roman" w:hAnsi="Times New Roman"/>
          <w:sz w:val="22"/>
          <w:szCs w:val="22"/>
        </w:rPr>
      </w:pPr>
    </w:p>
    <w:p w:rsidR="00C31C33" w:rsidRPr="00460745" w:rsidRDefault="00F47D20" w:rsidP="00EC747B">
      <w:pPr>
        <w:ind w:left="709"/>
        <w:rPr>
          <w:rFonts w:ascii="Times New Roman" w:hAnsi="Times New Roman"/>
          <w:sz w:val="22"/>
          <w:szCs w:val="22"/>
        </w:rPr>
      </w:pPr>
      <w:r w:rsidRPr="00460745">
        <w:rPr>
          <w:rFonts w:ascii="Times New Roman" w:hAnsi="Times New Roman"/>
          <w:sz w:val="22"/>
          <w:szCs w:val="22"/>
        </w:rPr>
        <w:t xml:space="preserve">Τρόμος και κνίδωση «όχι συχνές» (δηλ. ≥1/1.000 έως &lt;1/100) στον παιδιατρικό πληθυσμό, ενώ σπάνιες (δηλ. </w:t>
      </w:r>
      <w:bookmarkStart w:id="5" w:name="OLE_LINK8"/>
      <w:bookmarkStart w:id="6" w:name="OLE_LINK9"/>
      <w:r w:rsidRPr="00460745">
        <w:rPr>
          <w:rFonts w:ascii="Times New Roman" w:hAnsi="Times New Roman"/>
          <w:sz w:val="22"/>
          <w:szCs w:val="22"/>
        </w:rPr>
        <w:t>≥1/10.000 έως &lt;1/1.000</w:t>
      </w:r>
      <w:bookmarkEnd w:id="5"/>
      <w:bookmarkEnd w:id="6"/>
      <w:r w:rsidRPr="00460745">
        <w:rPr>
          <w:rFonts w:ascii="Times New Roman" w:hAnsi="Times New Roman"/>
          <w:sz w:val="22"/>
          <w:szCs w:val="22"/>
        </w:rPr>
        <w:t>) στον ενήλικο πληθυσμό.</w:t>
      </w:r>
    </w:p>
    <w:p w:rsidR="00B879FC" w:rsidRPr="00460745" w:rsidRDefault="00B879FC" w:rsidP="00382BF9">
      <w:pPr>
        <w:rPr>
          <w:rFonts w:ascii="Times New Roman" w:hAnsi="Times New Roman"/>
          <w:sz w:val="22"/>
          <w:szCs w:val="22"/>
        </w:rPr>
      </w:pPr>
    </w:p>
    <w:p w:rsidR="00C31C33" w:rsidRPr="00460745" w:rsidRDefault="00B879FC" w:rsidP="00382BF9">
      <w:pPr>
        <w:rPr>
          <w:rFonts w:ascii="Times New Roman" w:hAnsi="Times New Roman"/>
          <w:sz w:val="22"/>
          <w:szCs w:val="22"/>
        </w:rPr>
      </w:pPr>
      <w:r w:rsidRPr="00460745">
        <w:rPr>
          <w:rFonts w:ascii="Times New Roman" w:hAnsi="Times New Roman"/>
          <w:sz w:val="22"/>
          <w:szCs w:val="22"/>
        </w:rPr>
        <w:t>Το συνολικό προφίλ ασφάλειας για τη ραμιπρίλη στους παιδιατρικούς ασθενείς δε διαφέρει σημαντικά από το προφίλ ασφάλειας στους ενήλικες.</w:t>
      </w:r>
    </w:p>
    <w:p w:rsidR="00C31C33" w:rsidRPr="00460745" w:rsidRDefault="00C31C33" w:rsidP="00382BF9">
      <w:pPr>
        <w:rPr>
          <w:rFonts w:ascii="Times New Roman" w:hAnsi="Times New Roman"/>
          <w:sz w:val="22"/>
          <w:szCs w:val="22"/>
        </w:rPr>
      </w:pPr>
    </w:p>
    <w:p w:rsidR="00520CDC" w:rsidRPr="003D7212" w:rsidRDefault="00520CDC" w:rsidP="00266858">
      <w:pPr>
        <w:rPr>
          <w:rFonts w:ascii="Times New Roman" w:hAnsi="Times New Roman"/>
          <w:b/>
          <w:sz w:val="22"/>
          <w:szCs w:val="22"/>
          <w:lang w:val="en-US"/>
        </w:rPr>
      </w:pPr>
      <w:r w:rsidRPr="00460745">
        <w:rPr>
          <w:rFonts w:ascii="Times New Roman" w:hAnsi="Times New Roman"/>
          <w:b/>
          <w:sz w:val="22"/>
          <w:szCs w:val="22"/>
        </w:rPr>
        <w:t>4.9 Υπερδοσολογία</w:t>
      </w:r>
    </w:p>
    <w:p w:rsidR="003E6894" w:rsidRPr="00460745" w:rsidRDefault="003E6894" w:rsidP="00266858">
      <w:pPr>
        <w:rPr>
          <w:rFonts w:ascii="Times New Roman" w:hAnsi="Times New Roman"/>
          <w:sz w:val="22"/>
          <w:szCs w:val="22"/>
        </w:rPr>
      </w:pPr>
      <w:r w:rsidRPr="00460745">
        <w:rPr>
          <w:rFonts w:ascii="Times New Roman" w:hAnsi="Times New Roman"/>
          <w:sz w:val="22"/>
          <w:szCs w:val="22"/>
        </w:rPr>
        <w:t xml:space="preserve">Τα συμπτώματα που σχετίζονται με την υπερδοσολογία αναστολέων του ΜΕΑ πιθανόν να περιλαμβάνουν υπερβολική περιφερική αγγειοδιαστολή (με σημαντική υπόταση, καταπληξία), βραδυκαρδία, </w:t>
      </w:r>
      <w:r w:rsidR="001257E6" w:rsidRPr="00460745">
        <w:rPr>
          <w:rFonts w:ascii="Times New Roman" w:hAnsi="Times New Roman"/>
          <w:sz w:val="22"/>
          <w:szCs w:val="22"/>
        </w:rPr>
        <w:t>ηλεκτρολυτικές διαταραχές</w:t>
      </w:r>
      <w:r w:rsidRPr="00460745">
        <w:rPr>
          <w:rFonts w:ascii="Times New Roman" w:hAnsi="Times New Roman"/>
          <w:sz w:val="22"/>
          <w:szCs w:val="22"/>
        </w:rPr>
        <w:t xml:space="preserve"> και νεφρική ανεπάρκεια. </w:t>
      </w:r>
      <w:r w:rsidR="001257E6" w:rsidRPr="00460745">
        <w:rPr>
          <w:rFonts w:ascii="Times New Roman" w:hAnsi="Times New Roman"/>
          <w:sz w:val="22"/>
          <w:szCs w:val="22"/>
        </w:rPr>
        <w:t>Ο ασθενής πρέπει να είναι υπό στενή παρακολούθηση και η θεραπεία πρέπει να είναι συμπτωματική και υποστηρικτική. Προτεινόμενα μέτρα περιλαμβάνουν πρωτεύουσα αποτοξίνωση (γαστρική πλύση, χορήγηση προσροφητικών ουσιών) και μέτρα που θα αποκαταστήσουν την αιμοδυναμική σταθερότητα, συμπεριλαμβανομένης της χορήγησης άλφα-1 αδρενεργικών αγωνιστών ή αγγειοτασίνης ΙΙ (αγγειοτενσιναμίδης).</w:t>
      </w:r>
      <w:r w:rsidR="00536C39" w:rsidRPr="00460745">
        <w:rPr>
          <w:rFonts w:ascii="Times New Roman" w:hAnsi="Times New Roman"/>
          <w:sz w:val="22"/>
          <w:szCs w:val="22"/>
        </w:rPr>
        <w:t xml:space="preserve"> Η ραμιπριλάτη, ο δραστικός μεταβολίτης της ραμιπρίλης αφαιρείται ελάχιστα από τη γενική κυκλοφορία με αιμοδιύληση.</w:t>
      </w:r>
    </w:p>
    <w:p w:rsidR="00897AF6" w:rsidRPr="003D7212" w:rsidRDefault="00897AF6" w:rsidP="00266858">
      <w:pPr>
        <w:rPr>
          <w:rFonts w:ascii="Times New Roman" w:hAnsi="Times New Roman"/>
          <w:b/>
          <w:sz w:val="22"/>
          <w:szCs w:val="22"/>
          <w:lang w:val="en-US"/>
        </w:rPr>
      </w:pPr>
    </w:p>
    <w:p w:rsidR="00520CDC" w:rsidRPr="00460745" w:rsidRDefault="00266858" w:rsidP="00266858">
      <w:pPr>
        <w:rPr>
          <w:rFonts w:ascii="Times New Roman" w:hAnsi="Times New Roman"/>
          <w:b/>
          <w:sz w:val="22"/>
          <w:szCs w:val="22"/>
        </w:rPr>
      </w:pPr>
      <w:r w:rsidRPr="00460745">
        <w:rPr>
          <w:rFonts w:ascii="Times New Roman" w:hAnsi="Times New Roman"/>
          <w:b/>
          <w:sz w:val="22"/>
          <w:szCs w:val="22"/>
        </w:rPr>
        <w:t>5.</w:t>
      </w:r>
      <w:r w:rsidRPr="00460745">
        <w:rPr>
          <w:rFonts w:ascii="Times New Roman" w:hAnsi="Times New Roman"/>
          <w:b/>
          <w:sz w:val="22"/>
          <w:szCs w:val="22"/>
        </w:rPr>
        <w:tab/>
      </w:r>
      <w:r w:rsidR="00520CDC" w:rsidRPr="00460745">
        <w:rPr>
          <w:rFonts w:ascii="Times New Roman" w:hAnsi="Times New Roman"/>
          <w:b/>
          <w:sz w:val="22"/>
          <w:szCs w:val="22"/>
        </w:rPr>
        <w:t>ΦΑΡΜΑΚΟΛΟΓΙΚΕΣ ΙΔΙΟΤΗΤΕΣ</w:t>
      </w:r>
    </w:p>
    <w:p w:rsidR="00266858" w:rsidRPr="00460745" w:rsidRDefault="00266858" w:rsidP="00266858">
      <w:pPr>
        <w:rPr>
          <w:rFonts w:ascii="Times New Roman" w:hAnsi="Times New Roman"/>
          <w:b/>
          <w:sz w:val="22"/>
          <w:szCs w:val="22"/>
        </w:rPr>
      </w:pPr>
    </w:p>
    <w:p w:rsidR="00520CDC" w:rsidRPr="003D7212" w:rsidRDefault="00520CDC" w:rsidP="00266858">
      <w:pPr>
        <w:rPr>
          <w:rFonts w:ascii="Times New Roman" w:hAnsi="Times New Roman"/>
          <w:b/>
          <w:sz w:val="22"/>
          <w:szCs w:val="22"/>
          <w:lang w:val="en-US"/>
        </w:rPr>
      </w:pPr>
      <w:r w:rsidRPr="00460745">
        <w:rPr>
          <w:rFonts w:ascii="Times New Roman" w:hAnsi="Times New Roman"/>
          <w:b/>
          <w:sz w:val="22"/>
          <w:szCs w:val="22"/>
        </w:rPr>
        <w:t>5.1 Φαρμακοδυναμικές ιδιότητες</w:t>
      </w:r>
    </w:p>
    <w:p w:rsidR="00266858" w:rsidRPr="00460745" w:rsidRDefault="001257E6" w:rsidP="00266858">
      <w:pPr>
        <w:rPr>
          <w:rFonts w:ascii="Times New Roman" w:hAnsi="Times New Roman"/>
          <w:bCs/>
          <w:sz w:val="22"/>
          <w:szCs w:val="22"/>
        </w:rPr>
      </w:pPr>
      <w:r w:rsidRPr="00460745">
        <w:rPr>
          <w:rFonts w:ascii="Times New Roman" w:hAnsi="Times New Roman"/>
          <w:bCs/>
          <w:sz w:val="22"/>
          <w:szCs w:val="22"/>
        </w:rPr>
        <w:t xml:space="preserve">Φαρμακοθεραπευτική κατηγορία: Αναστολείς του ΜΕΑ, </w:t>
      </w:r>
      <w:r w:rsidR="009643AA" w:rsidRPr="00460745">
        <w:rPr>
          <w:rFonts w:ascii="Times New Roman" w:hAnsi="Times New Roman"/>
          <w:bCs/>
          <w:sz w:val="22"/>
          <w:szCs w:val="22"/>
        </w:rPr>
        <w:t xml:space="preserve">μόνοι, </w:t>
      </w:r>
      <w:r w:rsidR="00266858" w:rsidRPr="00460745">
        <w:rPr>
          <w:rFonts w:ascii="Times New Roman" w:hAnsi="Times New Roman"/>
          <w:bCs/>
          <w:sz w:val="22"/>
          <w:szCs w:val="22"/>
        </w:rPr>
        <w:t xml:space="preserve">Κωδικός </w:t>
      </w:r>
      <w:r w:rsidR="00266858" w:rsidRPr="00460745">
        <w:rPr>
          <w:rFonts w:ascii="Times New Roman" w:hAnsi="Times New Roman"/>
          <w:bCs/>
          <w:sz w:val="22"/>
          <w:szCs w:val="22"/>
          <w:lang w:val="en-US"/>
        </w:rPr>
        <w:t>ATC</w:t>
      </w:r>
      <w:r w:rsidR="00266858" w:rsidRPr="00460745">
        <w:rPr>
          <w:rFonts w:ascii="Times New Roman" w:hAnsi="Times New Roman"/>
          <w:bCs/>
          <w:sz w:val="22"/>
          <w:szCs w:val="22"/>
        </w:rPr>
        <w:t xml:space="preserve">: </w:t>
      </w:r>
      <w:r w:rsidR="00266858" w:rsidRPr="00460745">
        <w:rPr>
          <w:rFonts w:ascii="Times New Roman" w:hAnsi="Times New Roman"/>
          <w:bCs/>
          <w:sz w:val="22"/>
          <w:szCs w:val="22"/>
          <w:lang w:val="en-US"/>
        </w:rPr>
        <w:t>C</w:t>
      </w:r>
      <w:r w:rsidR="00266858" w:rsidRPr="00460745">
        <w:rPr>
          <w:rFonts w:ascii="Times New Roman" w:hAnsi="Times New Roman"/>
          <w:bCs/>
          <w:sz w:val="22"/>
          <w:szCs w:val="22"/>
        </w:rPr>
        <w:t>09</w:t>
      </w:r>
      <w:r w:rsidR="00266858" w:rsidRPr="00460745">
        <w:rPr>
          <w:rFonts w:ascii="Times New Roman" w:hAnsi="Times New Roman"/>
          <w:bCs/>
          <w:sz w:val="22"/>
          <w:szCs w:val="22"/>
          <w:lang w:val="en-US"/>
        </w:rPr>
        <w:t>AA</w:t>
      </w:r>
      <w:r w:rsidR="00266858" w:rsidRPr="00460745">
        <w:rPr>
          <w:rFonts w:ascii="Times New Roman" w:hAnsi="Times New Roman"/>
          <w:bCs/>
          <w:sz w:val="22"/>
          <w:szCs w:val="22"/>
        </w:rPr>
        <w:t>05</w:t>
      </w:r>
      <w:r w:rsidRPr="00460745">
        <w:rPr>
          <w:rFonts w:ascii="Times New Roman" w:hAnsi="Times New Roman"/>
          <w:bCs/>
          <w:sz w:val="22"/>
          <w:szCs w:val="22"/>
        </w:rPr>
        <w:t>.</w:t>
      </w:r>
    </w:p>
    <w:p w:rsidR="001257E6" w:rsidRPr="00460745" w:rsidRDefault="001257E6" w:rsidP="00266858">
      <w:pPr>
        <w:rPr>
          <w:rFonts w:ascii="Times New Roman" w:hAnsi="Times New Roman"/>
          <w:b/>
          <w:bCs/>
          <w:sz w:val="22"/>
          <w:szCs w:val="22"/>
        </w:rPr>
      </w:pPr>
    </w:p>
    <w:p w:rsidR="001257E6" w:rsidRPr="003D7212" w:rsidRDefault="001257E6" w:rsidP="00266858">
      <w:pPr>
        <w:rPr>
          <w:rFonts w:ascii="Times New Roman" w:hAnsi="Times New Roman"/>
          <w:bCs/>
          <w:i/>
          <w:sz w:val="22"/>
          <w:szCs w:val="22"/>
          <w:u w:val="single"/>
          <w:lang w:val="en-US"/>
        </w:rPr>
      </w:pPr>
      <w:r w:rsidRPr="00460745">
        <w:rPr>
          <w:rFonts w:ascii="Times New Roman" w:hAnsi="Times New Roman"/>
          <w:bCs/>
          <w:i/>
          <w:sz w:val="22"/>
          <w:szCs w:val="22"/>
          <w:u w:val="single"/>
        </w:rPr>
        <w:t>Μηχανισμός δράσης</w:t>
      </w:r>
    </w:p>
    <w:p w:rsidR="00F31CC0" w:rsidRPr="00460745" w:rsidRDefault="00772EBF" w:rsidP="00266858">
      <w:pPr>
        <w:rPr>
          <w:rFonts w:ascii="Times New Roman" w:hAnsi="Times New Roman"/>
          <w:bCs/>
          <w:sz w:val="22"/>
          <w:szCs w:val="22"/>
        </w:rPr>
      </w:pPr>
      <w:r w:rsidRPr="00460745">
        <w:rPr>
          <w:rFonts w:ascii="Times New Roman" w:hAnsi="Times New Roman"/>
          <w:bCs/>
          <w:sz w:val="22"/>
          <w:szCs w:val="22"/>
        </w:rPr>
        <w:t xml:space="preserve">Η ραμιπριλάτη, ο ενεργός μεταβολίτης του προφαρμάκου ραμιπρίλης, </w:t>
      </w:r>
      <w:r w:rsidR="00FC00A4" w:rsidRPr="00460745">
        <w:rPr>
          <w:rFonts w:ascii="Times New Roman" w:hAnsi="Times New Roman"/>
          <w:bCs/>
          <w:sz w:val="22"/>
          <w:szCs w:val="22"/>
        </w:rPr>
        <w:t>αναστέλλει</w:t>
      </w:r>
      <w:r w:rsidRPr="00460745">
        <w:rPr>
          <w:rFonts w:ascii="Times New Roman" w:hAnsi="Times New Roman"/>
          <w:bCs/>
          <w:sz w:val="22"/>
          <w:szCs w:val="22"/>
        </w:rPr>
        <w:t xml:space="preserve"> τη δράση του ένζυμο</w:t>
      </w:r>
      <w:r w:rsidR="00597E0F" w:rsidRPr="00460745">
        <w:rPr>
          <w:rFonts w:ascii="Times New Roman" w:hAnsi="Times New Roman"/>
          <w:bCs/>
          <w:sz w:val="22"/>
          <w:szCs w:val="22"/>
        </w:rPr>
        <w:t xml:space="preserve">υ διπεπτιδυλκαρβοξυπεπτιδάσης Ι (συνώνυμα: μετατρεπτικό ένζυμο της αγγειοτασίνης· κινινάση ΙΙ). Στο πλάσμα και στους ιστούς το ένζυμο αυτό καταλύει τη μετατροπή της αγγειοτασίνης Ι στην </w:t>
      </w:r>
      <w:r w:rsidR="005E424C" w:rsidRPr="00460745">
        <w:rPr>
          <w:rFonts w:ascii="Times New Roman" w:hAnsi="Times New Roman"/>
          <w:bCs/>
          <w:sz w:val="22"/>
          <w:szCs w:val="22"/>
        </w:rPr>
        <w:t>ισχυρά</w:t>
      </w:r>
      <w:r w:rsidR="00597E0F" w:rsidRPr="00460745">
        <w:rPr>
          <w:rFonts w:ascii="Times New Roman" w:hAnsi="Times New Roman"/>
          <w:bCs/>
          <w:sz w:val="22"/>
          <w:szCs w:val="22"/>
        </w:rPr>
        <w:t xml:space="preserve"> αγγειοσυσταλτική ουσία αγγειοτασ</w:t>
      </w:r>
      <w:r w:rsidR="005C68A3" w:rsidRPr="00460745">
        <w:rPr>
          <w:rFonts w:ascii="Times New Roman" w:hAnsi="Times New Roman"/>
          <w:bCs/>
          <w:sz w:val="22"/>
          <w:szCs w:val="22"/>
        </w:rPr>
        <w:t>ίνη</w:t>
      </w:r>
      <w:r w:rsidR="00597E0F" w:rsidRPr="00460745">
        <w:rPr>
          <w:rFonts w:ascii="Times New Roman" w:hAnsi="Times New Roman"/>
          <w:bCs/>
          <w:sz w:val="22"/>
          <w:szCs w:val="22"/>
        </w:rPr>
        <w:t xml:space="preserve"> ΙΙ, όπως επίσης και την αποικοδόμηση της </w:t>
      </w:r>
      <w:r w:rsidR="005E424C" w:rsidRPr="00460745">
        <w:rPr>
          <w:rFonts w:ascii="Times New Roman" w:hAnsi="Times New Roman"/>
          <w:bCs/>
          <w:sz w:val="22"/>
          <w:szCs w:val="22"/>
        </w:rPr>
        <w:t>ισχυρά</w:t>
      </w:r>
      <w:r w:rsidR="00597E0F" w:rsidRPr="00460745">
        <w:rPr>
          <w:rFonts w:ascii="Times New Roman" w:hAnsi="Times New Roman"/>
          <w:bCs/>
          <w:sz w:val="22"/>
          <w:szCs w:val="22"/>
        </w:rPr>
        <w:t xml:space="preserve"> αγγειοδιασταλτικής βραδυκινίνης.</w:t>
      </w:r>
      <w:r w:rsidR="00F31CC0" w:rsidRPr="00460745">
        <w:rPr>
          <w:rFonts w:ascii="Times New Roman" w:hAnsi="Times New Roman"/>
          <w:bCs/>
          <w:sz w:val="22"/>
          <w:szCs w:val="22"/>
        </w:rPr>
        <w:t xml:space="preserve"> </w:t>
      </w:r>
      <w:r w:rsidR="005E424C" w:rsidRPr="00460745">
        <w:rPr>
          <w:rFonts w:ascii="Times New Roman" w:hAnsi="Times New Roman"/>
          <w:bCs/>
          <w:sz w:val="22"/>
          <w:szCs w:val="22"/>
        </w:rPr>
        <w:t>Ο μειωμένος σχηματισμός της αγγειοτασίνης ΙΙ και η αναστολή της αποικοδόμησης της βραδυκινίνης οδηγούν στην αγγειοδιαστολή.</w:t>
      </w:r>
    </w:p>
    <w:p w:rsidR="00E923F0" w:rsidRPr="00460745" w:rsidRDefault="005E424C" w:rsidP="00266858">
      <w:pPr>
        <w:rPr>
          <w:rFonts w:ascii="Times New Roman" w:hAnsi="Times New Roman"/>
          <w:bCs/>
          <w:sz w:val="22"/>
          <w:szCs w:val="22"/>
        </w:rPr>
      </w:pPr>
      <w:r w:rsidRPr="00460745">
        <w:rPr>
          <w:rFonts w:ascii="Times New Roman" w:hAnsi="Times New Roman"/>
          <w:bCs/>
          <w:sz w:val="22"/>
          <w:szCs w:val="22"/>
        </w:rPr>
        <w:t xml:space="preserve">Επειδή η αγγειοτασίνη ΙΙ προκαλεί επίσης απελευθέρωση αλδοστερόνης, η ραμιπριλάτη προκαλεί μείωση της έκκρισης αλδοστερόνης. </w:t>
      </w:r>
      <w:r w:rsidR="009F19ED" w:rsidRPr="00460745">
        <w:rPr>
          <w:rFonts w:ascii="Times New Roman" w:hAnsi="Times New Roman"/>
          <w:bCs/>
          <w:sz w:val="22"/>
          <w:szCs w:val="22"/>
        </w:rPr>
        <w:t>Η μέση ανταπόκριση στη μονοθεραπεία με αναστολέα του ΜΕΑ ήταν μικρότερη στους μαύρους (Αφρο-Καραϊβικής προέλευσης) υπερτασικούς ασθενείς (συνήθως υπερτασικός πληθυσμός με χαμηλή ρενίνη) από ότι για τους μη μαύρους ασθενείς.</w:t>
      </w:r>
    </w:p>
    <w:p w:rsidR="006F1A4F" w:rsidRPr="00460745" w:rsidRDefault="006F1A4F" w:rsidP="00266858">
      <w:pPr>
        <w:rPr>
          <w:rFonts w:ascii="Times New Roman" w:hAnsi="Times New Roman"/>
          <w:bCs/>
          <w:sz w:val="22"/>
          <w:szCs w:val="22"/>
        </w:rPr>
      </w:pPr>
    </w:p>
    <w:p w:rsidR="00F01D5A" w:rsidRPr="003D7212" w:rsidRDefault="00F01D5A" w:rsidP="00266858">
      <w:pPr>
        <w:rPr>
          <w:rFonts w:ascii="Times New Roman" w:hAnsi="Times New Roman"/>
          <w:sz w:val="22"/>
          <w:szCs w:val="22"/>
        </w:rPr>
      </w:pPr>
      <w:r w:rsidRPr="00460745">
        <w:rPr>
          <w:rFonts w:ascii="Times New Roman" w:hAnsi="Times New Roman"/>
          <w:i/>
          <w:sz w:val="22"/>
          <w:szCs w:val="22"/>
          <w:u w:val="single"/>
        </w:rPr>
        <w:t xml:space="preserve">Φαρμακοδυναμικά </w:t>
      </w:r>
      <w:r w:rsidRPr="00460745">
        <w:rPr>
          <w:rFonts w:ascii="Times New Roman" w:hAnsi="Times New Roman"/>
          <w:bCs/>
          <w:i/>
          <w:sz w:val="22"/>
          <w:szCs w:val="22"/>
          <w:u w:val="single"/>
        </w:rPr>
        <w:t>αποτελέσματα</w:t>
      </w:r>
      <w:r w:rsidRPr="00460745">
        <w:rPr>
          <w:rFonts w:ascii="Times New Roman" w:hAnsi="Times New Roman"/>
          <w:bCs/>
          <w:sz w:val="22"/>
          <w:szCs w:val="22"/>
        </w:rPr>
        <w:t xml:space="preserve"> (αναφορικά με τις αντιυπερτασικές ιδιότητες)</w:t>
      </w:r>
    </w:p>
    <w:p w:rsidR="000C03A0" w:rsidRPr="00460745" w:rsidRDefault="000C03A0" w:rsidP="00266858">
      <w:pPr>
        <w:rPr>
          <w:rFonts w:ascii="Times New Roman" w:hAnsi="Times New Roman"/>
          <w:bCs/>
          <w:sz w:val="22"/>
          <w:szCs w:val="22"/>
        </w:rPr>
      </w:pPr>
      <w:r w:rsidRPr="00460745">
        <w:rPr>
          <w:rFonts w:ascii="Times New Roman" w:hAnsi="Times New Roman"/>
          <w:bCs/>
          <w:sz w:val="22"/>
          <w:szCs w:val="22"/>
        </w:rPr>
        <w:t>Αντιυπερτασικές ιδιότητες:</w:t>
      </w:r>
    </w:p>
    <w:p w:rsidR="00F01D5A" w:rsidRPr="00460745" w:rsidRDefault="00F01D5A" w:rsidP="00266858">
      <w:pPr>
        <w:rPr>
          <w:rFonts w:ascii="Times New Roman" w:hAnsi="Times New Roman"/>
          <w:bCs/>
          <w:sz w:val="22"/>
          <w:szCs w:val="22"/>
        </w:rPr>
      </w:pPr>
      <w:r w:rsidRPr="00460745">
        <w:rPr>
          <w:rFonts w:ascii="Times New Roman" w:hAnsi="Times New Roman"/>
          <w:sz w:val="22"/>
          <w:szCs w:val="22"/>
        </w:rPr>
        <w:t>Η χορήγηση ραμιπρίλης προκαλεί σημαντική μείωση της περιφερικής αρτηριακής αντίστασης.</w:t>
      </w:r>
    </w:p>
    <w:p w:rsidR="009535E1" w:rsidRPr="00460745" w:rsidRDefault="00520CDC" w:rsidP="00266858">
      <w:pPr>
        <w:rPr>
          <w:rFonts w:ascii="Times New Roman" w:hAnsi="Times New Roman"/>
          <w:sz w:val="22"/>
          <w:szCs w:val="22"/>
        </w:rPr>
      </w:pPr>
      <w:r w:rsidRPr="00460745">
        <w:rPr>
          <w:rFonts w:ascii="Times New Roman" w:hAnsi="Times New Roman"/>
          <w:sz w:val="22"/>
          <w:szCs w:val="22"/>
        </w:rPr>
        <w:t>Γενικά</w:t>
      </w:r>
      <w:r w:rsidR="00F01D5A" w:rsidRPr="00460745">
        <w:rPr>
          <w:rFonts w:ascii="Times New Roman" w:hAnsi="Times New Roman"/>
          <w:sz w:val="22"/>
          <w:szCs w:val="22"/>
        </w:rPr>
        <w:t>,</w:t>
      </w:r>
      <w:r w:rsidRPr="00460745">
        <w:rPr>
          <w:rFonts w:ascii="Times New Roman" w:hAnsi="Times New Roman"/>
          <w:sz w:val="22"/>
          <w:szCs w:val="22"/>
        </w:rPr>
        <w:t xml:space="preserve"> δεν παρατηρήθηκαν μεγάλες μεταβολές στη ροή του πλάσματος στους νεφρούς και στο ρυθμό σπειραματικής διήθησης.</w:t>
      </w:r>
      <w:r w:rsidR="009535E1" w:rsidRPr="00460745">
        <w:rPr>
          <w:rFonts w:ascii="Times New Roman" w:hAnsi="Times New Roman"/>
          <w:sz w:val="22"/>
          <w:szCs w:val="22"/>
        </w:rPr>
        <w:t xml:space="preserve"> </w:t>
      </w:r>
      <w:r w:rsidRPr="00460745">
        <w:rPr>
          <w:rFonts w:ascii="Times New Roman" w:hAnsi="Times New Roman"/>
          <w:sz w:val="22"/>
          <w:szCs w:val="22"/>
        </w:rPr>
        <w:t xml:space="preserve">Η χορήγηση ραμιπρίλης σε ασθενείς με υπέρταση οδηγεί σε μείωση της αρτηριακής πίεσης τόσο σε ύπτια όσο και σε όρθια θέση χωρίς </w:t>
      </w:r>
      <w:r w:rsidR="00692729" w:rsidRPr="00460745">
        <w:rPr>
          <w:rFonts w:ascii="Times New Roman" w:hAnsi="Times New Roman"/>
          <w:sz w:val="22"/>
          <w:szCs w:val="22"/>
        </w:rPr>
        <w:t>αντιρροπ</w:t>
      </w:r>
      <w:r w:rsidR="003D1344" w:rsidRPr="00460745">
        <w:rPr>
          <w:rFonts w:ascii="Times New Roman" w:hAnsi="Times New Roman"/>
          <w:sz w:val="22"/>
          <w:szCs w:val="22"/>
        </w:rPr>
        <w:t>ιστική</w:t>
      </w:r>
      <w:r w:rsidRPr="00460745">
        <w:rPr>
          <w:rFonts w:ascii="Times New Roman" w:hAnsi="Times New Roman"/>
          <w:sz w:val="22"/>
          <w:szCs w:val="22"/>
        </w:rPr>
        <w:t xml:space="preserve"> αύξηση της καρδιακής συχνότητας. </w:t>
      </w:r>
    </w:p>
    <w:p w:rsidR="00520CDC" w:rsidRPr="00460745" w:rsidRDefault="00520CDC" w:rsidP="00266858">
      <w:pPr>
        <w:rPr>
          <w:rFonts w:ascii="Times New Roman" w:hAnsi="Times New Roman"/>
          <w:sz w:val="22"/>
          <w:szCs w:val="22"/>
        </w:rPr>
      </w:pPr>
      <w:r w:rsidRPr="00460745">
        <w:rPr>
          <w:rFonts w:ascii="Times New Roman" w:hAnsi="Times New Roman"/>
          <w:sz w:val="22"/>
          <w:szCs w:val="22"/>
        </w:rPr>
        <w:t>Στους περισσότερους ασθενείς η έναρξη τ</w:t>
      </w:r>
      <w:r w:rsidR="0052233F" w:rsidRPr="00460745">
        <w:rPr>
          <w:rFonts w:ascii="Times New Roman" w:hAnsi="Times New Roman"/>
          <w:sz w:val="22"/>
          <w:szCs w:val="22"/>
        </w:rPr>
        <w:t>ης αντιυπερτασικής</w:t>
      </w:r>
      <w:r w:rsidRPr="00460745">
        <w:rPr>
          <w:rFonts w:ascii="Times New Roman" w:hAnsi="Times New Roman"/>
          <w:sz w:val="22"/>
          <w:szCs w:val="22"/>
        </w:rPr>
        <w:t xml:space="preserve"> </w:t>
      </w:r>
      <w:r w:rsidR="0052233F" w:rsidRPr="00460745">
        <w:rPr>
          <w:rFonts w:ascii="Times New Roman" w:hAnsi="Times New Roman"/>
          <w:sz w:val="22"/>
          <w:szCs w:val="22"/>
        </w:rPr>
        <w:t>δράσης</w:t>
      </w:r>
      <w:r w:rsidRPr="00460745">
        <w:rPr>
          <w:rFonts w:ascii="Times New Roman" w:hAnsi="Times New Roman"/>
          <w:sz w:val="22"/>
          <w:szCs w:val="22"/>
        </w:rPr>
        <w:t xml:space="preserve"> μιας εφάπαξ δόσης εμφανίζεται 1-2 ώρες μετά την από του στόματος </w:t>
      </w:r>
      <w:r w:rsidR="0052233F" w:rsidRPr="00460745">
        <w:rPr>
          <w:rFonts w:ascii="Times New Roman" w:hAnsi="Times New Roman"/>
          <w:sz w:val="22"/>
          <w:szCs w:val="22"/>
        </w:rPr>
        <w:t>χορήγηση</w:t>
      </w:r>
      <w:r w:rsidRPr="00460745">
        <w:rPr>
          <w:rFonts w:ascii="Times New Roman" w:hAnsi="Times New Roman"/>
          <w:sz w:val="22"/>
          <w:szCs w:val="22"/>
        </w:rPr>
        <w:t>. Η μέγιστη δράση μιας εφάπαξ δόσης συνήθως επιτυγχάνεται 3</w:t>
      </w:r>
      <w:r w:rsidR="009166C0" w:rsidRPr="00460745">
        <w:rPr>
          <w:rFonts w:ascii="Times New Roman" w:hAnsi="Times New Roman"/>
          <w:sz w:val="22"/>
          <w:szCs w:val="22"/>
        </w:rPr>
        <w:t xml:space="preserve"> έως </w:t>
      </w:r>
      <w:r w:rsidRPr="00460745">
        <w:rPr>
          <w:rFonts w:ascii="Times New Roman" w:hAnsi="Times New Roman"/>
          <w:sz w:val="22"/>
          <w:szCs w:val="22"/>
        </w:rPr>
        <w:t xml:space="preserve">6 ώρες μετά την από του στόματος </w:t>
      </w:r>
      <w:r w:rsidR="0052233F" w:rsidRPr="00460745">
        <w:rPr>
          <w:rFonts w:ascii="Times New Roman" w:hAnsi="Times New Roman"/>
          <w:sz w:val="22"/>
          <w:szCs w:val="22"/>
        </w:rPr>
        <w:t>χορήγηση</w:t>
      </w:r>
      <w:r w:rsidRPr="00460745">
        <w:rPr>
          <w:rFonts w:ascii="Times New Roman" w:hAnsi="Times New Roman"/>
          <w:sz w:val="22"/>
          <w:szCs w:val="22"/>
        </w:rPr>
        <w:t>.</w:t>
      </w:r>
      <w:r w:rsidR="006B7560" w:rsidRPr="00460745">
        <w:rPr>
          <w:rFonts w:ascii="Times New Roman" w:hAnsi="Times New Roman"/>
          <w:sz w:val="22"/>
          <w:szCs w:val="22"/>
        </w:rPr>
        <w:t xml:space="preserve"> Η αντιυπερτασική</w:t>
      </w:r>
      <w:r w:rsidRPr="00460745">
        <w:rPr>
          <w:rFonts w:ascii="Times New Roman" w:hAnsi="Times New Roman"/>
          <w:sz w:val="22"/>
          <w:szCs w:val="22"/>
        </w:rPr>
        <w:t xml:space="preserve"> </w:t>
      </w:r>
      <w:r w:rsidR="006B7560" w:rsidRPr="00460745">
        <w:rPr>
          <w:rFonts w:ascii="Times New Roman" w:hAnsi="Times New Roman"/>
          <w:sz w:val="22"/>
          <w:szCs w:val="22"/>
        </w:rPr>
        <w:t>δράση</w:t>
      </w:r>
      <w:r w:rsidRPr="00460745">
        <w:rPr>
          <w:rFonts w:ascii="Times New Roman" w:hAnsi="Times New Roman"/>
          <w:sz w:val="22"/>
          <w:szCs w:val="22"/>
        </w:rPr>
        <w:t xml:space="preserve"> μιας εφάπαξ δόσης συνήθως παραμένει για 24 ώρες.</w:t>
      </w:r>
    </w:p>
    <w:p w:rsidR="00520CDC" w:rsidRPr="00460745" w:rsidRDefault="009166C0" w:rsidP="00266858">
      <w:pPr>
        <w:rPr>
          <w:rFonts w:ascii="Times New Roman" w:hAnsi="Times New Roman"/>
          <w:sz w:val="22"/>
          <w:szCs w:val="22"/>
        </w:rPr>
      </w:pPr>
      <w:r w:rsidRPr="00460745">
        <w:rPr>
          <w:rFonts w:ascii="Times New Roman" w:hAnsi="Times New Roman"/>
          <w:sz w:val="22"/>
          <w:szCs w:val="22"/>
        </w:rPr>
        <w:t>Η</w:t>
      </w:r>
      <w:r w:rsidR="00520CDC" w:rsidRPr="00460745">
        <w:rPr>
          <w:rFonts w:ascii="Times New Roman" w:hAnsi="Times New Roman"/>
          <w:sz w:val="22"/>
          <w:szCs w:val="22"/>
        </w:rPr>
        <w:t xml:space="preserve"> μέγιστ</w:t>
      </w:r>
      <w:r w:rsidRPr="00460745">
        <w:rPr>
          <w:rFonts w:ascii="Times New Roman" w:hAnsi="Times New Roman"/>
          <w:sz w:val="22"/>
          <w:szCs w:val="22"/>
        </w:rPr>
        <w:t>η αντιυπερτασική</w:t>
      </w:r>
      <w:r w:rsidR="00520CDC" w:rsidRPr="00460745">
        <w:rPr>
          <w:rFonts w:ascii="Times New Roman" w:hAnsi="Times New Roman"/>
          <w:sz w:val="22"/>
          <w:szCs w:val="22"/>
        </w:rPr>
        <w:t xml:space="preserve"> </w:t>
      </w:r>
      <w:r w:rsidRPr="00460745">
        <w:rPr>
          <w:rFonts w:ascii="Times New Roman" w:hAnsi="Times New Roman"/>
          <w:sz w:val="22"/>
          <w:szCs w:val="22"/>
        </w:rPr>
        <w:t>δράση μί</w:t>
      </w:r>
      <w:r w:rsidR="00520CDC" w:rsidRPr="00460745">
        <w:rPr>
          <w:rFonts w:ascii="Times New Roman" w:hAnsi="Times New Roman"/>
          <w:sz w:val="22"/>
          <w:szCs w:val="22"/>
        </w:rPr>
        <w:t>ας συνεχόμενης αγωγής με ραμιπρίλη γενικά είναι ορατ</w:t>
      </w:r>
      <w:r w:rsidR="003D1344" w:rsidRPr="00460745">
        <w:rPr>
          <w:rFonts w:ascii="Times New Roman" w:hAnsi="Times New Roman"/>
          <w:sz w:val="22"/>
          <w:szCs w:val="22"/>
        </w:rPr>
        <w:t>ή</w:t>
      </w:r>
      <w:r w:rsidR="00520CDC" w:rsidRPr="00460745">
        <w:rPr>
          <w:rFonts w:ascii="Times New Roman" w:hAnsi="Times New Roman"/>
          <w:sz w:val="22"/>
          <w:szCs w:val="22"/>
        </w:rPr>
        <w:t xml:space="preserve"> μετά από 3</w:t>
      </w:r>
      <w:r w:rsidRPr="00460745">
        <w:rPr>
          <w:rFonts w:ascii="Times New Roman" w:hAnsi="Times New Roman"/>
          <w:sz w:val="22"/>
          <w:szCs w:val="22"/>
        </w:rPr>
        <w:t xml:space="preserve"> έως </w:t>
      </w:r>
      <w:r w:rsidR="00520CDC" w:rsidRPr="00460745">
        <w:rPr>
          <w:rFonts w:ascii="Times New Roman" w:hAnsi="Times New Roman"/>
          <w:sz w:val="22"/>
          <w:szCs w:val="22"/>
        </w:rPr>
        <w:t>4 εβδομάδες. Αποδείχθηκε ότι η αντιυπερτασική δράση σταθεροποιείται μετά από μακροχρόνια αγωγή διαρκείας 2 ετών.</w:t>
      </w:r>
    </w:p>
    <w:p w:rsidR="00520CDC" w:rsidRPr="00460745" w:rsidRDefault="00520CDC" w:rsidP="00266858">
      <w:pPr>
        <w:rPr>
          <w:rFonts w:ascii="Times New Roman" w:hAnsi="Times New Roman"/>
          <w:sz w:val="22"/>
          <w:szCs w:val="22"/>
        </w:rPr>
      </w:pPr>
      <w:r w:rsidRPr="00460745">
        <w:rPr>
          <w:rFonts w:ascii="Times New Roman" w:hAnsi="Times New Roman"/>
          <w:sz w:val="22"/>
          <w:szCs w:val="22"/>
        </w:rPr>
        <w:t xml:space="preserve">Ξαφνική διακοπή της ραμιπρίλης δεν προκαλεί ταχεία και </w:t>
      </w:r>
      <w:r w:rsidR="001A0BE9" w:rsidRPr="00460745">
        <w:rPr>
          <w:rFonts w:ascii="Times New Roman" w:hAnsi="Times New Roman"/>
          <w:sz w:val="22"/>
          <w:szCs w:val="22"/>
        </w:rPr>
        <w:t>απότομη αντανακλαστική αύξηση της αρτηριακής πίεσης</w:t>
      </w:r>
      <w:r w:rsidRPr="00460745">
        <w:rPr>
          <w:rFonts w:ascii="Times New Roman" w:hAnsi="Times New Roman"/>
          <w:sz w:val="22"/>
          <w:szCs w:val="22"/>
        </w:rPr>
        <w:t>.</w:t>
      </w:r>
    </w:p>
    <w:p w:rsidR="000309A3" w:rsidRPr="00460745" w:rsidRDefault="000309A3" w:rsidP="00266858">
      <w:pPr>
        <w:rPr>
          <w:rFonts w:ascii="Times New Roman" w:hAnsi="Times New Roman"/>
          <w:sz w:val="22"/>
          <w:szCs w:val="22"/>
        </w:rPr>
      </w:pPr>
    </w:p>
    <w:p w:rsidR="00D37FBD" w:rsidRPr="00460745" w:rsidRDefault="00D37FBD" w:rsidP="00266858">
      <w:pPr>
        <w:rPr>
          <w:rFonts w:ascii="Times New Roman" w:hAnsi="Times New Roman"/>
          <w:sz w:val="22"/>
          <w:szCs w:val="22"/>
        </w:rPr>
      </w:pPr>
      <w:r w:rsidRPr="00460745">
        <w:rPr>
          <w:rFonts w:ascii="Times New Roman" w:hAnsi="Times New Roman"/>
          <w:sz w:val="22"/>
          <w:szCs w:val="22"/>
        </w:rPr>
        <w:t>Καρδιακή ανεπάρκεια:</w:t>
      </w:r>
    </w:p>
    <w:p w:rsidR="00D37FBD" w:rsidRPr="00460745" w:rsidRDefault="00D37FBD" w:rsidP="00266858">
      <w:pPr>
        <w:rPr>
          <w:rFonts w:ascii="Times New Roman" w:hAnsi="Times New Roman"/>
          <w:sz w:val="22"/>
          <w:szCs w:val="22"/>
        </w:rPr>
      </w:pPr>
      <w:r w:rsidRPr="00460745">
        <w:rPr>
          <w:rFonts w:ascii="Times New Roman" w:hAnsi="Times New Roman"/>
          <w:sz w:val="22"/>
          <w:szCs w:val="22"/>
        </w:rPr>
        <w:lastRenderedPageBreak/>
        <w:t xml:space="preserve">Επιπρόσθετα της </w:t>
      </w:r>
      <w:r w:rsidR="00C41A33" w:rsidRPr="00460745">
        <w:rPr>
          <w:rFonts w:ascii="Times New Roman" w:hAnsi="Times New Roman"/>
          <w:sz w:val="22"/>
          <w:szCs w:val="22"/>
        </w:rPr>
        <w:t>συνήθους</w:t>
      </w:r>
      <w:r w:rsidRPr="00460745">
        <w:rPr>
          <w:rFonts w:ascii="Times New Roman" w:hAnsi="Times New Roman"/>
          <w:sz w:val="22"/>
          <w:szCs w:val="22"/>
        </w:rPr>
        <w:t xml:space="preserve"> θεραπείας με διουρητικά και κατ’ επιλογή καρδιακών γλυκοσιδών, η ραμιπρίλη παρουσ</w:t>
      </w:r>
      <w:r w:rsidR="00C41A33" w:rsidRPr="00460745">
        <w:rPr>
          <w:rFonts w:ascii="Times New Roman" w:hAnsi="Times New Roman"/>
          <w:sz w:val="22"/>
          <w:szCs w:val="22"/>
        </w:rPr>
        <w:t>ίασ</w:t>
      </w:r>
      <w:r w:rsidRPr="00460745">
        <w:rPr>
          <w:rFonts w:ascii="Times New Roman" w:hAnsi="Times New Roman"/>
          <w:sz w:val="22"/>
          <w:szCs w:val="22"/>
        </w:rPr>
        <w:t>ε αποτελεσματικ</w:t>
      </w:r>
      <w:r w:rsidR="00C41A33" w:rsidRPr="00460745">
        <w:rPr>
          <w:rFonts w:ascii="Times New Roman" w:hAnsi="Times New Roman"/>
          <w:sz w:val="22"/>
          <w:szCs w:val="22"/>
        </w:rPr>
        <w:t>ότητα</w:t>
      </w:r>
      <w:r w:rsidRPr="00460745">
        <w:rPr>
          <w:rFonts w:ascii="Times New Roman" w:hAnsi="Times New Roman"/>
          <w:sz w:val="22"/>
          <w:szCs w:val="22"/>
        </w:rPr>
        <w:t xml:space="preserve"> σε ασθενείς των </w:t>
      </w:r>
      <w:r w:rsidR="00C41A33" w:rsidRPr="00460745">
        <w:rPr>
          <w:rFonts w:ascii="Times New Roman" w:hAnsi="Times New Roman"/>
          <w:sz w:val="22"/>
          <w:szCs w:val="22"/>
        </w:rPr>
        <w:t xml:space="preserve">λειτουργικών </w:t>
      </w:r>
      <w:r w:rsidRPr="00460745">
        <w:rPr>
          <w:rFonts w:ascii="Times New Roman" w:hAnsi="Times New Roman"/>
          <w:sz w:val="22"/>
          <w:szCs w:val="22"/>
        </w:rPr>
        <w:t xml:space="preserve">κατηγοριών </w:t>
      </w:r>
      <w:r w:rsidRPr="00460745">
        <w:rPr>
          <w:rFonts w:ascii="Times New Roman" w:hAnsi="Times New Roman"/>
          <w:sz w:val="22"/>
          <w:szCs w:val="22"/>
          <w:lang w:val="en-US"/>
        </w:rPr>
        <w:t>NYHA</w:t>
      </w:r>
      <w:r w:rsidRPr="00460745">
        <w:rPr>
          <w:rFonts w:ascii="Times New Roman" w:hAnsi="Times New Roman"/>
          <w:sz w:val="22"/>
          <w:szCs w:val="22"/>
        </w:rPr>
        <w:t xml:space="preserve"> ΙΙ-Ι</w:t>
      </w:r>
      <w:r w:rsidRPr="00460745">
        <w:rPr>
          <w:rFonts w:ascii="Times New Roman" w:hAnsi="Times New Roman"/>
          <w:sz w:val="22"/>
          <w:szCs w:val="22"/>
          <w:lang w:val="en-US"/>
        </w:rPr>
        <w:t>V</w:t>
      </w:r>
      <w:r w:rsidRPr="00460745">
        <w:rPr>
          <w:rFonts w:ascii="Times New Roman" w:hAnsi="Times New Roman"/>
          <w:sz w:val="22"/>
          <w:szCs w:val="22"/>
        </w:rPr>
        <w:t>. Το φάρμακο είχε ωφέλιμες επιδράσεις στην αιμοδυναμική της καρδιάς (μειωμένες πιέσεις πλήρωσης της αριστερής και της δεξιάς κοιλίας</w:t>
      </w:r>
      <w:r w:rsidR="00974BC6" w:rsidRPr="00460745">
        <w:rPr>
          <w:rFonts w:ascii="Times New Roman" w:hAnsi="Times New Roman"/>
          <w:sz w:val="22"/>
          <w:szCs w:val="22"/>
        </w:rPr>
        <w:t>, μειωμένη ολική περιφερική αγγειακή αντίσταση, αυξημένη καρδιακή παροχή και βελτιωμένος καρδιακός δείκτης</w:t>
      </w:r>
      <w:r w:rsidRPr="00460745">
        <w:rPr>
          <w:rFonts w:ascii="Times New Roman" w:hAnsi="Times New Roman"/>
          <w:sz w:val="22"/>
          <w:szCs w:val="22"/>
        </w:rPr>
        <w:t>)</w:t>
      </w:r>
      <w:r w:rsidR="00EE7937" w:rsidRPr="00460745">
        <w:rPr>
          <w:rFonts w:ascii="Times New Roman" w:hAnsi="Times New Roman"/>
          <w:sz w:val="22"/>
          <w:szCs w:val="22"/>
        </w:rPr>
        <w:t>. Ακόμα, μείωσε τη νευροενδοκρινική ενεργοποίηση.</w:t>
      </w:r>
    </w:p>
    <w:p w:rsidR="00D37FBD" w:rsidRPr="00460745" w:rsidRDefault="00D37FBD" w:rsidP="00266858">
      <w:pPr>
        <w:rPr>
          <w:rFonts w:ascii="Times New Roman" w:hAnsi="Times New Roman"/>
          <w:sz w:val="22"/>
          <w:szCs w:val="22"/>
        </w:rPr>
      </w:pPr>
    </w:p>
    <w:p w:rsidR="000309A3" w:rsidRPr="00460745" w:rsidRDefault="000309A3" w:rsidP="00266858">
      <w:pPr>
        <w:rPr>
          <w:rFonts w:ascii="Times New Roman" w:hAnsi="Times New Roman"/>
          <w:i/>
          <w:sz w:val="22"/>
          <w:szCs w:val="22"/>
          <w:u w:val="single"/>
        </w:rPr>
      </w:pPr>
      <w:r w:rsidRPr="00460745">
        <w:rPr>
          <w:rFonts w:ascii="Times New Roman" w:hAnsi="Times New Roman"/>
          <w:i/>
          <w:sz w:val="22"/>
          <w:szCs w:val="22"/>
          <w:u w:val="single"/>
        </w:rPr>
        <w:t>Κλινική αποτελεσματικότητα και ασφάλεια</w:t>
      </w:r>
    </w:p>
    <w:p w:rsidR="000309A3" w:rsidRPr="00460745" w:rsidRDefault="000309A3" w:rsidP="00266858">
      <w:pPr>
        <w:rPr>
          <w:rFonts w:ascii="Times New Roman" w:hAnsi="Times New Roman"/>
          <w:i/>
          <w:sz w:val="22"/>
          <w:szCs w:val="22"/>
          <w:u w:val="single"/>
        </w:rPr>
      </w:pPr>
    </w:p>
    <w:p w:rsidR="000309A3" w:rsidRPr="003D7212" w:rsidRDefault="000309A3" w:rsidP="00266858">
      <w:pPr>
        <w:rPr>
          <w:rFonts w:ascii="Times New Roman" w:hAnsi="Times New Roman"/>
          <w:sz w:val="22"/>
          <w:szCs w:val="22"/>
          <w:u w:val="single"/>
          <w:lang w:val="en-US"/>
        </w:rPr>
      </w:pPr>
      <w:r w:rsidRPr="00460745">
        <w:rPr>
          <w:rFonts w:ascii="Times New Roman" w:hAnsi="Times New Roman"/>
          <w:sz w:val="22"/>
          <w:szCs w:val="22"/>
          <w:u w:val="single"/>
        </w:rPr>
        <w:t>Καρδιαγγειακή πρόληψη/Νεφροπροστασία:</w:t>
      </w:r>
    </w:p>
    <w:p w:rsidR="000309A3" w:rsidRPr="00460745" w:rsidRDefault="00AC776C" w:rsidP="00266858">
      <w:pPr>
        <w:rPr>
          <w:rFonts w:ascii="Times New Roman" w:hAnsi="Times New Roman"/>
          <w:sz w:val="22"/>
          <w:szCs w:val="22"/>
        </w:rPr>
      </w:pPr>
      <w:r w:rsidRPr="00460745">
        <w:rPr>
          <w:rFonts w:ascii="Times New Roman" w:hAnsi="Times New Roman"/>
          <w:sz w:val="22"/>
          <w:szCs w:val="22"/>
        </w:rPr>
        <w:t>Μ</w:t>
      </w:r>
      <w:r w:rsidR="000309A3" w:rsidRPr="00460745">
        <w:rPr>
          <w:rFonts w:ascii="Times New Roman" w:hAnsi="Times New Roman"/>
          <w:sz w:val="22"/>
          <w:szCs w:val="22"/>
        </w:rPr>
        <w:t>ία</w:t>
      </w:r>
      <w:r w:rsidRPr="00460745">
        <w:rPr>
          <w:rFonts w:ascii="Times New Roman" w:hAnsi="Times New Roman"/>
          <w:sz w:val="22"/>
          <w:szCs w:val="22"/>
        </w:rPr>
        <w:t xml:space="preserve"> ελεγχόμενη με εικονικό φάρμακο μελέτη πρόληψης (η μελέτη </w:t>
      </w:r>
      <w:r w:rsidRPr="00460745">
        <w:rPr>
          <w:rFonts w:ascii="Times New Roman" w:hAnsi="Times New Roman"/>
          <w:sz w:val="22"/>
          <w:szCs w:val="22"/>
          <w:lang w:val="en-US"/>
        </w:rPr>
        <w:t>HOPE</w:t>
      </w:r>
      <w:r w:rsidRPr="00460745">
        <w:rPr>
          <w:rFonts w:ascii="Times New Roman" w:hAnsi="Times New Roman"/>
          <w:sz w:val="22"/>
          <w:szCs w:val="22"/>
        </w:rPr>
        <w:t xml:space="preserve">), πραγματοποιήθηκε με την προσθήκη της ραμιπρίλης στην καθιερωμένη θεραπεία σε περισσότερους από 9.200 ασθενείς. </w:t>
      </w:r>
      <w:r w:rsidR="00B00703" w:rsidRPr="00460745">
        <w:rPr>
          <w:rFonts w:ascii="Times New Roman" w:hAnsi="Times New Roman"/>
          <w:sz w:val="22"/>
          <w:szCs w:val="22"/>
        </w:rPr>
        <w:t>Στη μελέτη συμπεριλήφθησαν α</w:t>
      </w:r>
      <w:r w:rsidRPr="00460745">
        <w:rPr>
          <w:rFonts w:ascii="Times New Roman" w:hAnsi="Times New Roman"/>
          <w:sz w:val="22"/>
          <w:szCs w:val="22"/>
        </w:rPr>
        <w:t>σθενείς με αυξημένο κίνδυνο καρδιαγγειακής νόσου μετά από είτε αθηροθρομβωτική καρδιαγγειακή νόσο (ιστορικό στεφανιαίας νόσου, αγγειακού εγκεφαλικού επεισοδίου ή περιφερικής αγγειακής νόσου</w:t>
      </w:r>
      <w:r w:rsidR="00EB4628" w:rsidRPr="00460745">
        <w:rPr>
          <w:rFonts w:ascii="Times New Roman" w:hAnsi="Times New Roman"/>
          <w:sz w:val="22"/>
          <w:szCs w:val="22"/>
        </w:rPr>
        <w:t>) ή σακχαρώδους διαβήτη με έναν τουλάχιστον ακόμα παράγοντα κινδύνου (τεκμηριωμένη μικρολευκωματινουρία, υπέρταση, αυξημένα επίπεδα ολικής χοληστερόλης</w:t>
      </w:r>
      <w:r w:rsidR="0003140D" w:rsidRPr="00460745">
        <w:rPr>
          <w:rFonts w:ascii="Times New Roman" w:hAnsi="Times New Roman"/>
          <w:sz w:val="22"/>
          <w:szCs w:val="22"/>
        </w:rPr>
        <w:t>, χαμηλά επίπεδα λιποπρωτεΐνης χοληστερόλης υψηλής πυκνότητας ή κάπνισμα</w:t>
      </w:r>
      <w:r w:rsidR="00EB4628" w:rsidRPr="00460745">
        <w:rPr>
          <w:rFonts w:ascii="Times New Roman" w:hAnsi="Times New Roman"/>
          <w:sz w:val="22"/>
          <w:szCs w:val="22"/>
        </w:rPr>
        <w:t>).</w:t>
      </w:r>
    </w:p>
    <w:p w:rsidR="00580323" w:rsidRPr="00460745" w:rsidRDefault="0003140D" w:rsidP="00266858">
      <w:pPr>
        <w:rPr>
          <w:rFonts w:ascii="Times New Roman" w:hAnsi="Times New Roman"/>
          <w:sz w:val="22"/>
          <w:szCs w:val="22"/>
        </w:rPr>
      </w:pPr>
      <w:r w:rsidRPr="00460745">
        <w:rPr>
          <w:rFonts w:ascii="Times New Roman" w:hAnsi="Times New Roman"/>
          <w:sz w:val="22"/>
          <w:szCs w:val="22"/>
        </w:rPr>
        <w:t xml:space="preserve">Η μελέτη έδειξε ότι η ραμιπρίλη </w:t>
      </w:r>
      <w:r w:rsidR="00580323" w:rsidRPr="00460745">
        <w:rPr>
          <w:rFonts w:ascii="Times New Roman" w:hAnsi="Times New Roman"/>
          <w:sz w:val="22"/>
          <w:szCs w:val="22"/>
        </w:rPr>
        <w:t>μειώνει στατιστικά σημαντικά την πιθανότητα εμφράγματος του μυοκαρδίου, θανάτου καρδιαγγειακής αιτιολογίας και αγγειακού εγκεφαλικού επεισοδίου, ατομικά ή συνδυασμένα (πρωτεύοντα συνδυασμένα γεγονότα)</w:t>
      </w:r>
      <w:r w:rsidR="002A506C" w:rsidRPr="00460745">
        <w:rPr>
          <w:rFonts w:ascii="Times New Roman" w:hAnsi="Times New Roman"/>
          <w:sz w:val="22"/>
          <w:szCs w:val="22"/>
        </w:rPr>
        <w:t>.</w:t>
      </w:r>
    </w:p>
    <w:p w:rsidR="00897AF6" w:rsidRPr="00460745" w:rsidRDefault="00897AF6" w:rsidP="00266858">
      <w:pPr>
        <w:rPr>
          <w:rFonts w:ascii="Times New Roman" w:hAnsi="Times New Roman"/>
          <w:sz w:val="22"/>
          <w:szCs w:val="22"/>
        </w:rPr>
      </w:pPr>
    </w:p>
    <w:p w:rsidR="002A506C" w:rsidRPr="00460745" w:rsidRDefault="0074025B" w:rsidP="0074025B">
      <w:pPr>
        <w:jc w:val="center"/>
        <w:rPr>
          <w:rFonts w:ascii="Times New Roman" w:hAnsi="Times New Roman"/>
          <w:b/>
          <w:sz w:val="22"/>
          <w:szCs w:val="22"/>
        </w:rPr>
      </w:pPr>
      <w:r w:rsidRPr="00460745">
        <w:rPr>
          <w:rFonts w:ascii="Times New Roman" w:hAnsi="Times New Roman"/>
          <w:b/>
          <w:sz w:val="22"/>
          <w:szCs w:val="22"/>
        </w:rPr>
        <w:t xml:space="preserve">Η μελέτη </w:t>
      </w:r>
      <w:r w:rsidRPr="00460745">
        <w:rPr>
          <w:rFonts w:ascii="Times New Roman" w:hAnsi="Times New Roman"/>
          <w:b/>
          <w:sz w:val="22"/>
          <w:szCs w:val="22"/>
          <w:lang w:val="en-US"/>
        </w:rPr>
        <w:t>HOPE</w:t>
      </w:r>
      <w:r w:rsidRPr="00460745">
        <w:rPr>
          <w:rFonts w:ascii="Times New Roman" w:hAnsi="Times New Roman"/>
          <w:b/>
          <w:sz w:val="22"/>
          <w:szCs w:val="22"/>
        </w:rPr>
        <w:t>: Κύρια αποτελέσματα</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3118"/>
        <w:gridCol w:w="1334"/>
        <w:gridCol w:w="1023"/>
        <w:gridCol w:w="2262"/>
        <w:gridCol w:w="888"/>
      </w:tblGrid>
      <w:tr w:rsidR="0074025B" w:rsidRPr="00460745">
        <w:trPr>
          <w:cantSplit/>
          <w:jc w:val="center"/>
        </w:trPr>
        <w:tc>
          <w:tcPr>
            <w:tcW w:w="3118" w:type="dxa"/>
            <w:tcBorders>
              <w:top w:val="single" w:sz="4" w:space="0" w:color="auto"/>
              <w:left w:val="single" w:sz="4" w:space="0" w:color="auto"/>
              <w:bottom w:val="nil"/>
              <w:right w:val="dotted" w:sz="4" w:space="0" w:color="auto"/>
            </w:tcBorders>
          </w:tcPr>
          <w:p w:rsidR="0074025B" w:rsidRPr="00460745" w:rsidRDefault="0074025B" w:rsidP="00AE0246">
            <w:pPr>
              <w:jc w:val="both"/>
              <w:rPr>
                <w:rFonts w:ascii="Times New Roman" w:hAnsi="Times New Roman"/>
                <w:sz w:val="22"/>
                <w:szCs w:val="22"/>
              </w:rPr>
            </w:pPr>
          </w:p>
        </w:tc>
        <w:tc>
          <w:tcPr>
            <w:tcW w:w="1334" w:type="dxa"/>
            <w:tcBorders>
              <w:top w:val="single"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sz w:val="22"/>
                <w:szCs w:val="22"/>
              </w:rPr>
            </w:pPr>
            <w:r w:rsidRPr="00460745">
              <w:rPr>
                <w:rFonts w:ascii="Times New Roman" w:hAnsi="Times New Roman"/>
                <w:sz w:val="22"/>
                <w:szCs w:val="22"/>
              </w:rPr>
              <w:t>Ραμιπρίλη</w:t>
            </w:r>
          </w:p>
        </w:tc>
        <w:tc>
          <w:tcPr>
            <w:tcW w:w="1023" w:type="dxa"/>
            <w:tcBorders>
              <w:top w:val="single"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sz w:val="22"/>
                <w:szCs w:val="22"/>
              </w:rPr>
            </w:pPr>
            <w:r w:rsidRPr="00460745">
              <w:rPr>
                <w:rFonts w:ascii="Times New Roman" w:hAnsi="Times New Roman"/>
                <w:sz w:val="22"/>
                <w:szCs w:val="22"/>
              </w:rPr>
              <w:t>Εικονικό φάρμακο</w:t>
            </w:r>
          </w:p>
        </w:tc>
        <w:tc>
          <w:tcPr>
            <w:tcW w:w="2262" w:type="dxa"/>
            <w:tcBorders>
              <w:top w:val="single" w:sz="4" w:space="0" w:color="auto"/>
              <w:left w:val="dotted" w:sz="4" w:space="0" w:color="auto"/>
              <w:bottom w:val="nil"/>
              <w:right w:val="dotted" w:sz="4" w:space="0" w:color="auto"/>
            </w:tcBorders>
          </w:tcPr>
          <w:p w:rsidR="0074025B" w:rsidRPr="00460745" w:rsidRDefault="0074025B" w:rsidP="00AE0246">
            <w:pPr>
              <w:jc w:val="both"/>
              <w:rPr>
                <w:rFonts w:ascii="Times New Roman" w:hAnsi="Times New Roman"/>
                <w:sz w:val="22"/>
                <w:szCs w:val="22"/>
              </w:rPr>
            </w:pPr>
            <w:r w:rsidRPr="00460745">
              <w:rPr>
                <w:rFonts w:ascii="Times New Roman" w:hAnsi="Times New Roman"/>
                <w:sz w:val="22"/>
                <w:szCs w:val="22"/>
              </w:rPr>
              <w:t>Σχετικός κίνδυνος</w:t>
            </w:r>
          </w:p>
          <w:p w:rsidR="0074025B" w:rsidRPr="00460745" w:rsidRDefault="0074025B" w:rsidP="0074025B">
            <w:pPr>
              <w:rPr>
                <w:rFonts w:ascii="Times New Roman" w:hAnsi="Times New Roman"/>
                <w:sz w:val="22"/>
                <w:szCs w:val="22"/>
              </w:rPr>
            </w:pPr>
            <w:r w:rsidRPr="00460745">
              <w:rPr>
                <w:rFonts w:ascii="Times New Roman" w:hAnsi="Times New Roman"/>
                <w:sz w:val="22"/>
                <w:szCs w:val="22"/>
              </w:rPr>
              <w:t>(95% διάστημα εμπιστοσύνης)</w:t>
            </w:r>
          </w:p>
        </w:tc>
        <w:tc>
          <w:tcPr>
            <w:tcW w:w="888" w:type="dxa"/>
            <w:tcBorders>
              <w:top w:val="single" w:sz="4" w:space="0" w:color="auto"/>
              <w:left w:val="dotted" w:sz="4" w:space="0" w:color="auto"/>
              <w:bottom w:val="nil"/>
              <w:right w:val="single" w:sz="4" w:space="0" w:color="auto"/>
            </w:tcBorders>
          </w:tcPr>
          <w:p w:rsidR="0074025B" w:rsidRPr="00460745" w:rsidRDefault="0074025B" w:rsidP="00AE0246">
            <w:pPr>
              <w:jc w:val="both"/>
              <w:rPr>
                <w:rFonts w:ascii="Times New Roman" w:hAnsi="Times New Roman"/>
                <w:sz w:val="22"/>
                <w:szCs w:val="22"/>
              </w:rPr>
            </w:pPr>
            <w:r w:rsidRPr="00460745">
              <w:rPr>
                <w:rFonts w:ascii="Times New Roman" w:hAnsi="Times New Roman"/>
                <w:sz w:val="22"/>
                <w:szCs w:val="22"/>
              </w:rPr>
              <w:t>p-value</w:t>
            </w:r>
          </w:p>
        </w:tc>
      </w:tr>
      <w:tr w:rsidR="0074025B" w:rsidRPr="00460745">
        <w:trPr>
          <w:jc w:val="center"/>
        </w:trPr>
        <w:tc>
          <w:tcPr>
            <w:tcW w:w="3118" w:type="dxa"/>
            <w:tcBorders>
              <w:top w:val="nil"/>
              <w:left w:val="single" w:sz="4" w:space="0" w:color="auto"/>
              <w:bottom w:val="dotted" w:sz="4" w:space="0" w:color="auto"/>
              <w:right w:val="dotted" w:sz="4" w:space="0" w:color="auto"/>
            </w:tcBorders>
          </w:tcPr>
          <w:p w:rsidR="0074025B" w:rsidRPr="00460745" w:rsidRDefault="0074025B" w:rsidP="00AE0246">
            <w:pPr>
              <w:jc w:val="both"/>
              <w:rPr>
                <w:rFonts w:ascii="Times New Roman" w:hAnsi="Times New Roman"/>
                <w:sz w:val="22"/>
                <w:szCs w:val="22"/>
              </w:rPr>
            </w:pPr>
          </w:p>
        </w:tc>
        <w:tc>
          <w:tcPr>
            <w:tcW w:w="1334" w:type="dxa"/>
            <w:tcBorders>
              <w:top w:val="dotted"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sz w:val="22"/>
                <w:szCs w:val="22"/>
              </w:rPr>
            </w:pPr>
            <w:r w:rsidRPr="00460745">
              <w:rPr>
                <w:rFonts w:ascii="Times New Roman" w:hAnsi="Times New Roman"/>
                <w:sz w:val="22"/>
                <w:szCs w:val="22"/>
              </w:rPr>
              <w:t>%</w:t>
            </w:r>
          </w:p>
        </w:tc>
        <w:tc>
          <w:tcPr>
            <w:tcW w:w="1023" w:type="dxa"/>
            <w:tcBorders>
              <w:top w:val="dotted"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sz w:val="22"/>
                <w:szCs w:val="22"/>
              </w:rPr>
            </w:pPr>
            <w:r w:rsidRPr="00460745">
              <w:rPr>
                <w:rFonts w:ascii="Times New Roman" w:hAnsi="Times New Roman"/>
                <w:sz w:val="22"/>
                <w:szCs w:val="22"/>
              </w:rPr>
              <w:t>%</w:t>
            </w:r>
          </w:p>
        </w:tc>
        <w:tc>
          <w:tcPr>
            <w:tcW w:w="2262" w:type="dxa"/>
            <w:tcBorders>
              <w:top w:val="nil"/>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sz w:val="22"/>
                <w:szCs w:val="22"/>
              </w:rPr>
            </w:pPr>
          </w:p>
        </w:tc>
        <w:tc>
          <w:tcPr>
            <w:tcW w:w="888" w:type="dxa"/>
            <w:tcBorders>
              <w:top w:val="nil"/>
              <w:left w:val="dotted" w:sz="4" w:space="0" w:color="auto"/>
              <w:bottom w:val="dotted" w:sz="4" w:space="0" w:color="auto"/>
              <w:right w:val="single" w:sz="4" w:space="0" w:color="auto"/>
            </w:tcBorders>
          </w:tcPr>
          <w:p w:rsidR="0074025B" w:rsidRPr="00460745" w:rsidRDefault="0074025B" w:rsidP="00AE0246">
            <w:pPr>
              <w:jc w:val="both"/>
              <w:rPr>
                <w:rFonts w:ascii="Times New Roman" w:hAnsi="Times New Roman"/>
                <w:sz w:val="22"/>
                <w:szCs w:val="22"/>
              </w:rPr>
            </w:pPr>
          </w:p>
        </w:tc>
      </w:tr>
      <w:tr w:rsidR="0074025B" w:rsidRPr="00460745">
        <w:trPr>
          <w:jc w:val="center"/>
        </w:trPr>
        <w:tc>
          <w:tcPr>
            <w:tcW w:w="3118" w:type="dxa"/>
            <w:tcBorders>
              <w:top w:val="dotted" w:sz="4" w:space="0" w:color="auto"/>
              <w:left w:val="single" w:sz="4" w:space="0" w:color="auto"/>
              <w:bottom w:val="dotted" w:sz="4" w:space="0" w:color="auto"/>
              <w:right w:val="dotted" w:sz="4" w:space="0" w:color="auto"/>
            </w:tcBorders>
          </w:tcPr>
          <w:p w:rsidR="0074025B" w:rsidRPr="00460745" w:rsidRDefault="0074025B" w:rsidP="0074025B">
            <w:pPr>
              <w:rPr>
                <w:rFonts w:ascii="Times New Roman" w:hAnsi="Times New Roman"/>
                <w:b/>
                <w:sz w:val="22"/>
                <w:szCs w:val="22"/>
              </w:rPr>
            </w:pPr>
            <w:r w:rsidRPr="00460745">
              <w:rPr>
                <w:rFonts w:ascii="Times New Roman" w:hAnsi="Times New Roman"/>
                <w:b/>
                <w:sz w:val="22"/>
                <w:szCs w:val="22"/>
              </w:rPr>
              <w:t>Όλοι οι ασθενείς</w:t>
            </w:r>
          </w:p>
        </w:tc>
        <w:tc>
          <w:tcPr>
            <w:tcW w:w="1334" w:type="dxa"/>
            <w:tcBorders>
              <w:top w:val="dotted"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b/>
                <w:sz w:val="22"/>
                <w:szCs w:val="22"/>
              </w:rPr>
            </w:pPr>
            <w:r w:rsidRPr="00460745">
              <w:rPr>
                <w:rFonts w:ascii="Times New Roman" w:hAnsi="Times New Roman"/>
                <w:b/>
                <w:sz w:val="22"/>
                <w:szCs w:val="22"/>
              </w:rPr>
              <w:t>n=4,645</w:t>
            </w:r>
          </w:p>
        </w:tc>
        <w:tc>
          <w:tcPr>
            <w:tcW w:w="1023" w:type="dxa"/>
            <w:tcBorders>
              <w:top w:val="dotted"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b/>
                <w:sz w:val="22"/>
                <w:szCs w:val="22"/>
              </w:rPr>
            </w:pPr>
            <w:r w:rsidRPr="00460745">
              <w:rPr>
                <w:rFonts w:ascii="Times New Roman" w:hAnsi="Times New Roman"/>
                <w:b/>
                <w:sz w:val="22"/>
                <w:szCs w:val="22"/>
              </w:rPr>
              <w:t>N=4,652</w:t>
            </w:r>
          </w:p>
        </w:tc>
        <w:tc>
          <w:tcPr>
            <w:tcW w:w="2262" w:type="dxa"/>
            <w:tcBorders>
              <w:top w:val="dotted"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b/>
                <w:sz w:val="22"/>
                <w:szCs w:val="22"/>
              </w:rPr>
            </w:pPr>
          </w:p>
        </w:tc>
        <w:tc>
          <w:tcPr>
            <w:tcW w:w="888" w:type="dxa"/>
            <w:tcBorders>
              <w:top w:val="dotted" w:sz="4" w:space="0" w:color="auto"/>
              <w:left w:val="dotted" w:sz="4" w:space="0" w:color="auto"/>
              <w:bottom w:val="dotted" w:sz="4" w:space="0" w:color="auto"/>
              <w:right w:val="single" w:sz="4" w:space="0" w:color="auto"/>
            </w:tcBorders>
          </w:tcPr>
          <w:p w:rsidR="0074025B" w:rsidRPr="00460745" w:rsidRDefault="0074025B" w:rsidP="00AE0246">
            <w:pPr>
              <w:jc w:val="both"/>
              <w:rPr>
                <w:rFonts w:ascii="Times New Roman" w:hAnsi="Times New Roman"/>
                <w:b/>
                <w:sz w:val="22"/>
                <w:szCs w:val="22"/>
              </w:rPr>
            </w:pPr>
          </w:p>
        </w:tc>
      </w:tr>
      <w:tr w:rsidR="0074025B" w:rsidRPr="00460745">
        <w:trPr>
          <w:jc w:val="center"/>
        </w:trPr>
        <w:tc>
          <w:tcPr>
            <w:tcW w:w="3118" w:type="dxa"/>
            <w:tcBorders>
              <w:top w:val="dotted" w:sz="4" w:space="0" w:color="auto"/>
              <w:left w:val="single" w:sz="4" w:space="0" w:color="auto"/>
              <w:bottom w:val="dotted" w:sz="4" w:space="0" w:color="auto"/>
              <w:right w:val="dotted" w:sz="4" w:space="0" w:color="auto"/>
            </w:tcBorders>
          </w:tcPr>
          <w:p w:rsidR="0074025B" w:rsidRPr="00460745" w:rsidRDefault="0074025B" w:rsidP="0074025B">
            <w:pPr>
              <w:rPr>
                <w:rFonts w:ascii="Times New Roman" w:hAnsi="Times New Roman"/>
                <w:b/>
                <w:sz w:val="22"/>
                <w:szCs w:val="22"/>
              </w:rPr>
            </w:pPr>
            <w:r w:rsidRPr="00460745">
              <w:rPr>
                <w:rFonts w:ascii="Times New Roman" w:hAnsi="Times New Roman"/>
                <w:b/>
                <w:sz w:val="22"/>
                <w:szCs w:val="22"/>
              </w:rPr>
              <w:t>Πρωτεύοντα συνδυασμένα γεγονότα</w:t>
            </w:r>
          </w:p>
        </w:tc>
        <w:tc>
          <w:tcPr>
            <w:tcW w:w="1334" w:type="dxa"/>
            <w:tcBorders>
              <w:top w:val="dotted"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b/>
                <w:sz w:val="22"/>
                <w:szCs w:val="22"/>
              </w:rPr>
            </w:pPr>
            <w:r w:rsidRPr="00460745">
              <w:rPr>
                <w:rFonts w:ascii="Times New Roman" w:hAnsi="Times New Roman"/>
                <w:b/>
                <w:sz w:val="22"/>
                <w:szCs w:val="22"/>
              </w:rPr>
              <w:t>14</w:t>
            </w:r>
            <w:r w:rsidR="0031079A" w:rsidRPr="00460745">
              <w:rPr>
                <w:rFonts w:ascii="Times New Roman" w:hAnsi="Times New Roman"/>
                <w:b/>
                <w:sz w:val="22"/>
                <w:szCs w:val="22"/>
              </w:rPr>
              <w:t>,</w:t>
            </w:r>
            <w:r w:rsidRPr="00460745">
              <w:rPr>
                <w:rFonts w:ascii="Times New Roman" w:hAnsi="Times New Roman"/>
                <w:b/>
                <w:sz w:val="22"/>
                <w:szCs w:val="22"/>
              </w:rPr>
              <w:t>0</w:t>
            </w:r>
          </w:p>
        </w:tc>
        <w:tc>
          <w:tcPr>
            <w:tcW w:w="1023" w:type="dxa"/>
            <w:tcBorders>
              <w:top w:val="dotted"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b/>
                <w:sz w:val="22"/>
                <w:szCs w:val="22"/>
              </w:rPr>
            </w:pPr>
            <w:r w:rsidRPr="00460745">
              <w:rPr>
                <w:rFonts w:ascii="Times New Roman" w:hAnsi="Times New Roman"/>
                <w:b/>
                <w:sz w:val="22"/>
                <w:szCs w:val="22"/>
              </w:rPr>
              <w:t>17</w:t>
            </w:r>
            <w:r w:rsidR="0031079A" w:rsidRPr="00460745">
              <w:rPr>
                <w:rFonts w:ascii="Times New Roman" w:hAnsi="Times New Roman"/>
                <w:b/>
                <w:sz w:val="22"/>
                <w:szCs w:val="22"/>
              </w:rPr>
              <w:t>,</w:t>
            </w:r>
            <w:r w:rsidRPr="00460745">
              <w:rPr>
                <w:rFonts w:ascii="Times New Roman" w:hAnsi="Times New Roman"/>
                <w:b/>
                <w:sz w:val="22"/>
                <w:szCs w:val="22"/>
              </w:rPr>
              <w:t>8</w:t>
            </w:r>
          </w:p>
        </w:tc>
        <w:tc>
          <w:tcPr>
            <w:tcW w:w="2262" w:type="dxa"/>
            <w:tcBorders>
              <w:top w:val="dotted"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b/>
                <w:sz w:val="22"/>
                <w:szCs w:val="22"/>
              </w:rPr>
            </w:pPr>
            <w:r w:rsidRPr="00460745">
              <w:rPr>
                <w:rFonts w:ascii="Times New Roman" w:hAnsi="Times New Roman"/>
                <w:b/>
                <w:sz w:val="22"/>
                <w:szCs w:val="22"/>
              </w:rPr>
              <w:t>0</w:t>
            </w:r>
            <w:r w:rsidR="0031079A" w:rsidRPr="00460745">
              <w:rPr>
                <w:rFonts w:ascii="Times New Roman" w:hAnsi="Times New Roman"/>
                <w:b/>
                <w:sz w:val="22"/>
                <w:szCs w:val="22"/>
              </w:rPr>
              <w:t>,</w:t>
            </w:r>
            <w:r w:rsidRPr="00460745">
              <w:rPr>
                <w:rFonts w:ascii="Times New Roman" w:hAnsi="Times New Roman"/>
                <w:b/>
                <w:sz w:val="22"/>
                <w:szCs w:val="22"/>
              </w:rPr>
              <w:t>78 (0</w:t>
            </w:r>
            <w:r w:rsidR="0031079A" w:rsidRPr="00460745">
              <w:rPr>
                <w:rFonts w:ascii="Times New Roman" w:hAnsi="Times New Roman"/>
                <w:b/>
                <w:sz w:val="22"/>
                <w:szCs w:val="22"/>
              </w:rPr>
              <w:t>,</w:t>
            </w:r>
            <w:r w:rsidRPr="00460745">
              <w:rPr>
                <w:rFonts w:ascii="Times New Roman" w:hAnsi="Times New Roman"/>
                <w:b/>
                <w:sz w:val="22"/>
                <w:szCs w:val="22"/>
              </w:rPr>
              <w:t>70-0</w:t>
            </w:r>
            <w:r w:rsidR="0031079A" w:rsidRPr="00460745">
              <w:rPr>
                <w:rFonts w:ascii="Times New Roman" w:hAnsi="Times New Roman"/>
                <w:b/>
                <w:sz w:val="22"/>
                <w:szCs w:val="22"/>
              </w:rPr>
              <w:t>,</w:t>
            </w:r>
            <w:r w:rsidRPr="00460745">
              <w:rPr>
                <w:rFonts w:ascii="Times New Roman" w:hAnsi="Times New Roman"/>
                <w:b/>
                <w:sz w:val="22"/>
                <w:szCs w:val="22"/>
              </w:rPr>
              <w:t>86)</w:t>
            </w:r>
          </w:p>
        </w:tc>
        <w:tc>
          <w:tcPr>
            <w:tcW w:w="888" w:type="dxa"/>
            <w:tcBorders>
              <w:top w:val="dotted" w:sz="4" w:space="0" w:color="auto"/>
              <w:left w:val="dotted" w:sz="4" w:space="0" w:color="auto"/>
              <w:bottom w:val="dotted" w:sz="4" w:space="0" w:color="auto"/>
              <w:right w:val="single" w:sz="4" w:space="0" w:color="auto"/>
            </w:tcBorders>
          </w:tcPr>
          <w:p w:rsidR="0074025B" w:rsidRPr="00460745" w:rsidRDefault="0074025B" w:rsidP="00AE0246">
            <w:pPr>
              <w:jc w:val="both"/>
              <w:rPr>
                <w:rFonts w:ascii="Times New Roman" w:hAnsi="Times New Roman"/>
                <w:b/>
                <w:sz w:val="22"/>
                <w:szCs w:val="22"/>
              </w:rPr>
            </w:pPr>
            <w:r w:rsidRPr="00460745">
              <w:rPr>
                <w:rFonts w:ascii="Times New Roman" w:hAnsi="Times New Roman"/>
                <w:b/>
                <w:sz w:val="22"/>
                <w:szCs w:val="22"/>
              </w:rPr>
              <w:t>&lt;0</w:t>
            </w:r>
            <w:r w:rsidR="0031079A" w:rsidRPr="00460745">
              <w:rPr>
                <w:rFonts w:ascii="Times New Roman" w:hAnsi="Times New Roman"/>
                <w:b/>
                <w:sz w:val="22"/>
                <w:szCs w:val="22"/>
              </w:rPr>
              <w:t>,</w:t>
            </w:r>
            <w:r w:rsidRPr="00460745">
              <w:rPr>
                <w:rFonts w:ascii="Times New Roman" w:hAnsi="Times New Roman"/>
                <w:b/>
                <w:sz w:val="22"/>
                <w:szCs w:val="22"/>
              </w:rPr>
              <w:t>001</w:t>
            </w:r>
          </w:p>
        </w:tc>
      </w:tr>
      <w:tr w:rsidR="0074025B" w:rsidRPr="00460745">
        <w:trPr>
          <w:jc w:val="center"/>
        </w:trPr>
        <w:tc>
          <w:tcPr>
            <w:tcW w:w="3118" w:type="dxa"/>
            <w:tcBorders>
              <w:top w:val="dotted" w:sz="4" w:space="0" w:color="auto"/>
              <w:left w:val="single" w:sz="4" w:space="0" w:color="auto"/>
              <w:bottom w:val="dotted" w:sz="4" w:space="0" w:color="auto"/>
              <w:right w:val="dotted" w:sz="4" w:space="0" w:color="auto"/>
            </w:tcBorders>
          </w:tcPr>
          <w:p w:rsidR="0074025B" w:rsidRPr="00460745" w:rsidRDefault="0074025B" w:rsidP="0074025B">
            <w:pPr>
              <w:ind w:left="273"/>
              <w:rPr>
                <w:rFonts w:ascii="Times New Roman" w:hAnsi="Times New Roman"/>
                <w:i/>
                <w:sz w:val="22"/>
                <w:szCs w:val="22"/>
              </w:rPr>
            </w:pPr>
            <w:r w:rsidRPr="00460745">
              <w:rPr>
                <w:rFonts w:ascii="Times New Roman" w:hAnsi="Times New Roman"/>
                <w:i/>
                <w:sz w:val="22"/>
                <w:szCs w:val="22"/>
              </w:rPr>
              <w:t>Έμφραγμα του μυοκαρδίου</w:t>
            </w:r>
          </w:p>
        </w:tc>
        <w:tc>
          <w:tcPr>
            <w:tcW w:w="1334" w:type="dxa"/>
            <w:tcBorders>
              <w:top w:val="dotted"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i/>
                <w:sz w:val="22"/>
                <w:szCs w:val="22"/>
              </w:rPr>
            </w:pPr>
            <w:r w:rsidRPr="00460745">
              <w:rPr>
                <w:rFonts w:ascii="Times New Roman" w:hAnsi="Times New Roman"/>
                <w:i/>
                <w:sz w:val="22"/>
                <w:szCs w:val="22"/>
              </w:rPr>
              <w:t>9</w:t>
            </w:r>
            <w:r w:rsidR="0031079A" w:rsidRPr="00460745">
              <w:rPr>
                <w:rFonts w:ascii="Times New Roman" w:hAnsi="Times New Roman"/>
                <w:i/>
                <w:sz w:val="22"/>
                <w:szCs w:val="22"/>
              </w:rPr>
              <w:t>,</w:t>
            </w:r>
            <w:r w:rsidRPr="00460745">
              <w:rPr>
                <w:rFonts w:ascii="Times New Roman" w:hAnsi="Times New Roman"/>
                <w:i/>
                <w:sz w:val="22"/>
                <w:szCs w:val="22"/>
              </w:rPr>
              <w:t>9</w:t>
            </w:r>
          </w:p>
        </w:tc>
        <w:tc>
          <w:tcPr>
            <w:tcW w:w="1023" w:type="dxa"/>
            <w:tcBorders>
              <w:top w:val="dotted"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i/>
                <w:sz w:val="22"/>
                <w:szCs w:val="22"/>
              </w:rPr>
            </w:pPr>
            <w:r w:rsidRPr="00460745">
              <w:rPr>
                <w:rFonts w:ascii="Times New Roman" w:hAnsi="Times New Roman"/>
                <w:i/>
                <w:sz w:val="22"/>
                <w:szCs w:val="22"/>
              </w:rPr>
              <w:t>12</w:t>
            </w:r>
            <w:r w:rsidR="0031079A" w:rsidRPr="00460745">
              <w:rPr>
                <w:rFonts w:ascii="Times New Roman" w:hAnsi="Times New Roman"/>
                <w:i/>
                <w:sz w:val="22"/>
                <w:szCs w:val="22"/>
              </w:rPr>
              <w:t>,</w:t>
            </w:r>
            <w:r w:rsidRPr="00460745">
              <w:rPr>
                <w:rFonts w:ascii="Times New Roman" w:hAnsi="Times New Roman"/>
                <w:i/>
                <w:sz w:val="22"/>
                <w:szCs w:val="22"/>
              </w:rPr>
              <w:t>3</w:t>
            </w:r>
          </w:p>
        </w:tc>
        <w:tc>
          <w:tcPr>
            <w:tcW w:w="2262" w:type="dxa"/>
            <w:tcBorders>
              <w:top w:val="dotted"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i/>
                <w:sz w:val="22"/>
                <w:szCs w:val="22"/>
              </w:rPr>
            </w:pPr>
            <w:r w:rsidRPr="00460745">
              <w:rPr>
                <w:rFonts w:ascii="Times New Roman" w:hAnsi="Times New Roman"/>
                <w:i/>
                <w:sz w:val="22"/>
                <w:szCs w:val="22"/>
              </w:rPr>
              <w:t>0</w:t>
            </w:r>
            <w:r w:rsidR="0031079A" w:rsidRPr="00460745">
              <w:rPr>
                <w:rFonts w:ascii="Times New Roman" w:hAnsi="Times New Roman"/>
                <w:i/>
                <w:sz w:val="22"/>
                <w:szCs w:val="22"/>
              </w:rPr>
              <w:t>,</w:t>
            </w:r>
            <w:r w:rsidRPr="00460745">
              <w:rPr>
                <w:rFonts w:ascii="Times New Roman" w:hAnsi="Times New Roman"/>
                <w:i/>
                <w:sz w:val="22"/>
                <w:szCs w:val="22"/>
              </w:rPr>
              <w:t>80 (0</w:t>
            </w:r>
            <w:r w:rsidR="0031079A" w:rsidRPr="00460745">
              <w:rPr>
                <w:rFonts w:ascii="Times New Roman" w:hAnsi="Times New Roman"/>
                <w:i/>
                <w:sz w:val="22"/>
                <w:szCs w:val="22"/>
              </w:rPr>
              <w:t>,</w:t>
            </w:r>
            <w:r w:rsidRPr="00460745">
              <w:rPr>
                <w:rFonts w:ascii="Times New Roman" w:hAnsi="Times New Roman"/>
                <w:i/>
                <w:sz w:val="22"/>
                <w:szCs w:val="22"/>
              </w:rPr>
              <w:t>70-0</w:t>
            </w:r>
            <w:r w:rsidR="0031079A" w:rsidRPr="00460745">
              <w:rPr>
                <w:rFonts w:ascii="Times New Roman" w:hAnsi="Times New Roman"/>
                <w:i/>
                <w:sz w:val="22"/>
                <w:szCs w:val="22"/>
              </w:rPr>
              <w:t>,</w:t>
            </w:r>
            <w:r w:rsidRPr="00460745">
              <w:rPr>
                <w:rFonts w:ascii="Times New Roman" w:hAnsi="Times New Roman"/>
                <w:i/>
                <w:sz w:val="22"/>
                <w:szCs w:val="22"/>
              </w:rPr>
              <w:t>90)</w:t>
            </w:r>
          </w:p>
        </w:tc>
        <w:tc>
          <w:tcPr>
            <w:tcW w:w="888" w:type="dxa"/>
            <w:tcBorders>
              <w:top w:val="dotted" w:sz="4" w:space="0" w:color="auto"/>
              <w:left w:val="dotted" w:sz="4" w:space="0" w:color="auto"/>
              <w:bottom w:val="dotted" w:sz="4" w:space="0" w:color="auto"/>
              <w:right w:val="single" w:sz="4" w:space="0" w:color="auto"/>
            </w:tcBorders>
          </w:tcPr>
          <w:p w:rsidR="0074025B" w:rsidRPr="00460745" w:rsidRDefault="0074025B" w:rsidP="00AE0246">
            <w:pPr>
              <w:jc w:val="both"/>
              <w:rPr>
                <w:rFonts w:ascii="Times New Roman" w:hAnsi="Times New Roman"/>
                <w:i/>
                <w:sz w:val="22"/>
                <w:szCs w:val="22"/>
              </w:rPr>
            </w:pPr>
            <w:r w:rsidRPr="00460745">
              <w:rPr>
                <w:rFonts w:ascii="Times New Roman" w:hAnsi="Times New Roman"/>
                <w:i/>
                <w:sz w:val="22"/>
                <w:szCs w:val="22"/>
              </w:rPr>
              <w:t>&lt;0</w:t>
            </w:r>
            <w:r w:rsidR="0031079A" w:rsidRPr="00460745">
              <w:rPr>
                <w:rFonts w:ascii="Times New Roman" w:hAnsi="Times New Roman"/>
                <w:i/>
                <w:sz w:val="22"/>
                <w:szCs w:val="22"/>
              </w:rPr>
              <w:t>,</w:t>
            </w:r>
            <w:r w:rsidRPr="00460745">
              <w:rPr>
                <w:rFonts w:ascii="Times New Roman" w:hAnsi="Times New Roman"/>
                <w:i/>
                <w:sz w:val="22"/>
                <w:szCs w:val="22"/>
              </w:rPr>
              <w:t>001</w:t>
            </w:r>
          </w:p>
        </w:tc>
      </w:tr>
      <w:tr w:rsidR="0074025B" w:rsidRPr="00460745">
        <w:trPr>
          <w:jc w:val="center"/>
        </w:trPr>
        <w:tc>
          <w:tcPr>
            <w:tcW w:w="3118" w:type="dxa"/>
            <w:tcBorders>
              <w:top w:val="dotted" w:sz="4" w:space="0" w:color="auto"/>
              <w:left w:val="single" w:sz="4" w:space="0" w:color="auto"/>
              <w:bottom w:val="dotted" w:sz="4" w:space="0" w:color="auto"/>
              <w:right w:val="dotted" w:sz="4" w:space="0" w:color="auto"/>
            </w:tcBorders>
          </w:tcPr>
          <w:p w:rsidR="0074025B" w:rsidRPr="00460745" w:rsidRDefault="0074025B" w:rsidP="0074025B">
            <w:pPr>
              <w:ind w:left="273"/>
              <w:rPr>
                <w:rFonts w:ascii="Times New Roman" w:hAnsi="Times New Roman"/>
                <w:i/>
                <w:sz w:val="22"/>
                <w:szCs w:val="22"/>
              </w:rPr>
            </w:pPr>
            <w:r w:rsidRPr="00460745">
              <w:rPr>
                <w:rFonts w:ascii="Times New Roman" w:hAnsi="Times New Roman"/>
                <w:i/>
                <w:sz w:val="22"/>
                <w:szCs w:val="22"/>
              </w:rPr>
              <w:t>Θάνατος καρδιαγγειακής αιτιολογίας</w:t>
            </w:r>
          </w:p>
        </w:tc>
        <w:tc>
          <w:tcPr>
            <w:tcW w:w="1334" w:type="dxa"/>
            <w:tcBorders>
              <w:top w:val="dotted"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i/>
                <w:sz w:val="22"/>
                <w:szCs w:val="22"/>
              </w:rPr>
            </w:pPr>
            <w:r w:rsidRPr="00460745">
              <w:rPr>
                <w:rFonts w:ascii="Times New Roman" w:hAnsi="Times New Roman"/>
                <w:i/>
                <w:sz w:val="22"/>
                <w:szCs w:val="22"/>
              </w:rPr>
              <w:t>6</w:t>
            </w:r>
            <w:r w:rsidR="0031079A" w:rsidRPr="00460745">
              <w:rPr>
                <w:rFonts w:ascii="Times New Roman" w:hAnsi="Times New Roman"/>
                <w:i/>
                <w:sz w:val="22"/>
                <w:szCs w:val="22"/>
              </w:rPr>
              <w:t>,</w:t>
            </w:r>
            <w:r w:rsidRPr="00460745">
              <w:rPr>
                <w:rFonts w:ascii="Times New Roman" w:hAnsi="Times New Roman"/>
                <w:i/>
                <w:sz w:val="22"/>
                <w:szCs w:val="22"/>
              </w:rPr>
              <w:t>1</w:t>
            </w:r>
          </w:p>
        </w:tc>
        <w:tc>
          <w:tcPr>
            <w:tcW w:w="1023" w:type="dxa"/>
            <w:tcBorders>
              <w:top w:val="dotted"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i/>
                <w:sz w:val="22"/>
                <w:szCs w:val="22"/>
              </w:rPr>
            </w:pPr>
            <w:r w:rsidRPr="00460745">
              <w:rPr>
                <w:rFonts w:ascii="Times New Roman" w:hAnsi="Times New Roman"/>
                <w:i/>
                <w:sz w:val="22"/>
                <w:szCs w:val="22"/>
              </w:rPr>
              <w:t>8</w:t>
            </w:r>
            <w:r w:rsidR="0031079A" w:rsidRPr="00460745">
              <w:rPr>
                <w:rFonts w:ascii="Times New Roman" w:hAnsi="Times New Roman"/>
                <w:i/>
                <w:sz w:val="22"/>
                <w:szCs w:val="22"/>
              </w:rPr>
              <w:t>,</w:t>
            </w:r>
            <w:r w:rsidRPr="00460745">
              <w:rPr>
                <w:rFonts w:ascii="Times New Roman" w:hAnsi="Times New Roman"/>
                <w:i/>
                <w:sz w:val="22"/>
                <w:szCs w:val="22"/>
              </w:rPr>
              <w:t>1</w:t>
            </w:r>
          </w:p>
        </w:tc>
        <w:tc>
          <w:tcPr>
            <w:tcW w:w="2262" w:type="dxa"/>
            <w:tcBorders>
              <w:top w:val="dotted"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i/>
                <w:sz w:val="22"/>
                <w:szCs w:val="22"/>
              </w:rPr>
            </w:pPr>
            <w:r w:rsidRPr="00460745">
              <w:rPr>
                <w:rFonts w:ascii="Times New Roman" w:hAnsi="Times New Roman"/>
                <w:i/>
                <w:sz w:val="22"/>
                <w:szCs w:val="22"/>
              </w:rPr>
              <w:t>0</w:t>
            </w:r>
            <w:r w:rsidR="0031079A" w:rsidRPr="00460745">
              <w:rPr>
                <w:rFonts w:ascii="Times New Roman" w:hAnsi="Times New Roman"/>
                <w:i/>
                <w:sz w:val="22"/>
                <w:szCs w:val="22"/>
              </w:rPr>
              <w:t>,</w:t>
            </w:r>
            <w:r w:rsidRPr="00460745">
              <w:rPr>
                <w:rFonts w:ascii="Times New Roman" w:hAnsi="Times New Roman"/>
                <w:i/>
                <w:sz w:val="22"/>
                <w:szCs w:val="22"/>
              </w:rPr>
              <w:t>74 (0</w:t>
            </w:r>
            <w:r w:rsidR="0031079A" w:rsidRPr="00460745">
              <w:rPr>
                <w:rFonts w:ascii="Times New Roman" w:hAnsi="Times New Roman"/>
                <w:i/>
                <w:sz w:val="22"/>
                <w:szCs w:val="22"/>
              </w:rPr>
              <w:t>,</w:t>
            </w:r>
            <w:r w:rsidRPr="00460745">
              <w:rPr>
                <w:rFonts w:ascii="Times New Roman" w:hAnsi="Times New Roman"/>
                <w:i/>
                <w:sz w:val="22"/>
                <w:szCs w:val="22"/>
              </w:rPr>
              <w:t>64-0</w:t>
            </w:r>
            <w:r w:rsidR="0031079A" w:rsidRPr="00460745">
              <w:rPr>
                <w:rFonts w:ascii="Times New Roman" w:hAnsi="Times New Roman"/>
                <w:i/>
                <w:sz w:val="22"/>
                <w:szCs w:val="22"/>
              </w:rPr>
              <w:t>,</w:t>
            </w:r>
            <w:r w:rsidRPr="00460745">
              <w:rPr>
                <w:rFonts w:ascii="Times New Roman" w:hAnsi="Times New Roman"/>
                <w:i/>
                <w:sz w:val="22"/>
                <w:szCs w:val="22"/>
              </w:rPr>
              <w:t>87)</w:t>
            </w:r>
          </w:p>
        </w:tc>
        <w:tc>
          <w:tcPr>
            <w:tcW w:w="888" w:type="dxa"/>
            <w:tcBorders>
              <w:top w:val="dotted" w:sz="4" w:space="0" w:color="auto"/>
              <w:left w:val="dotted" w:sz="4" w:space="0" w:color="auto"/>
              <w:bottom w:val="dotted" w:sz="4" w:space="0" w:color="auto"/>
              <w:right w:val="single" w:sz="4" w:space="0" w:color="auto"/>
            </w:tcBorders>
          </w:tcPr>
          <w:p w:rsidR="0074025B" w:rsidRPr="00460745" w:rsidRDefault="0074025B" w:rsidP="00AE0246">
            <w:pPr>
              <w:jc w:val="both"/>
              <w:rPr>
                <w:rFonts w:ascii="Times New Roman" w:hAnsi="Times New Roman"/>
                <w:i/>
                <w:sz w:val="22"/>
                <w:szCs w:val="22"/>
              </w:rPr>
            </w:pPr>
            <w:r w:rsidRPr="00460745">
              <w:rPr>
                <w:rFonts w:ascii="Times New Roman" w:hAnsi="Times New Roman"/>
                <w:i/>
                <w:sz w:val="22"/>
                <w:szCs w:val="22"/>
              </w:rPr>
              <w:t>&lt;0</w:t>
            </w:r>
            <w:r w:rsidR="0031079A" w:rsidRPr="00460745">
              <w:rPr>
                <w:rFonts w:ascii="Times New Roman" w:hAnsi="Times New Roman"/>
                <w:i/>
                <w:sz w:val="22"/>
                <w:szCs w:val="22"/>
              </w:rPr>
              <w:t>,</w:t>
            </w:r>
            <w:r w:rsidRPr="00460745">
              <w:rPr>
                <w:rFonts w:ascii="Times New Roman" w:hAnsi="Times New Roman"/>
                <w:i/>
                <w:sz w:val="22"/>
                <w:szCs w:val="22"/>
              </w:rPr>
              <w:t>001</w:t>
            </w:r>
          </w:p>
        </w:tc>
      </w:tr>
      <w:tr w:rsidR="0074025B" w:rsidRPr="00460745">
        <w:trPr>
          <w:jc w:val="center"/>
        </w:trPr>
        <w:tc>
          <w:tcPr>
            <w:tcW w:w="3118" w:type="dxa"/>
            <w:tcBorders>
              <w:top w:val="dotted" w:sz="4" w:space="0" w:color="auto"/>
              <w:left w:val="single" w:sz="4" w:space="0" w:color="auto"/>
              <w:bottom w:val="dotted" w:sz="4" w:space="0" w:color="auto"/>
              <w:right w:val="dotted" w:sz="4" w:space="0" w:color="auto"/>
            </w:tcBorders>
          </w:tcPr>
          <w:p w:rsidR="0074025B" w:rsidRPr="00460745" w:rsidRDefault="0074025B" w:rsidP="0074025B">
            <w:pPr>
              <w:ind w:left="273"/>
              <w:rPr>
                <w:rFonts w:ascii="Times New Roman" w:hAnsi="Times New Roman"/>
                <w:i/>
                <w:sz w:val="22"/>
                <w:szCs w:val="22"/>
              </w:rPr>
            </w:pPr>
            <w:r w:rsidRPr="00460745">
              <w:rPr>
                <w:rFonts w:ascii="Times New Roman" w:hAnsi="Times New Roman"/>
                <w:i/>
                <w:sz w:val="22"/>
                <w:szCs w:val="22"/>
              </w:rPr>
              <w:t>Αγγειακό εγκεφαλικό επεισόδιο</w:t>
            </w:r>
          </w:p>
        </w:tc>
        <w:tc>
          <w:tcPr>
            <w:tcW w:w="1334" w:type="dxa"/>
            <w:tcBorders>
              <w:top w:val="dotted"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i/>
                <w:sz w:val="22"/>
                <w:szCs w:val="22"/>
              </w:rPr>
            </w:pPr>
            <w:r w:rsidRPr="00460745">
              <w:rPr>
                <w:rFonts w:ascii="Times New Roman" w:hAnsi="Times New Roman"/>
                <w:i/>
                <w:sz w:val="22"/>
                <w:szCs w:val="22"/>
              </w:rPr>
              <w:t>3</w:t>
            </w:r>
            <w:r w:rsidR="0031079A" w:rsidRPr="00460745">
              <w:rPr>
                <w:rFonts w:ascii="Times New Roman" w:hAnsi="Times New Roman"/>
                <w:i/>
                <w:sz w:val="22"/>
                <w:szCs w:val="22"/>
              </w:rPr>
              <w:t>,</w:t>
            </w:r>
            <w:r w:rsidRPr="00460745">
              <w:rPr>
                <w:rFonts w:ascii="Times New Roman" w:hAnsi="Times New Roman"/>
                <w:i/>
                <w:sz w:val="22"/>
                <w:szCs w:val="22"/>
              </w:rPr>
              <w:t>4</w:t>
            </w:r>
          </w:p>
        </w:tc>
        <w:tc>
          <w:tcPr>
            <w:tcW w:w="1023" w:type="dxa"/>
            <w:tcBorders>
              <w:top w:val="dotted"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i/>
                <w:sz w:val="22"/>
                <w:szCs w:val="22"/>
              </w:rPr>
            </w:pPr>
            <w:r w:rsidRPr="00460745">
              <w:rPr>
                <w:rFonts w:ascii="Times New Roman" w:hAnsi="Times New Roman"/>
                <w:i/>
                <w:sz w:val="22"/>
                <w:szCs w:val="22"/>
              </w:rPr>
              <w:t>4</w:t>
            </w:r>
            <w:r w:rsidR="0031079A" w:rsidRPr="00460745">
              <w:rPr>
                <w:rFonts w:ascii="Times New Roman" w:hAnsi="Times New Roman"/>
                <w:i/>
                <w:sz w:val="22"/>
                <w:szCs w:val="22"/>
              </w:rPr>
              <w:t>,</w:t>
            </w:r>
            <w:r w:rsidRPr="00460745">
              <w:rPr>
                <w:rFonts w:ascii="Times New Roman" w:hAnsi="Times New Roman"/>
                <w:i/>
                <w:sz w:val="22"/>
                <w:szCs w:val="22"/>
              </w:rPr>
              <w:t>9</w:t>
            </w:r>
          </w:p>
        </w:tc>
        <w:tc>
          <w:tcPr>
            <w:tcW w:w="2262" w:type="dxa"/>
            <w:tcBorders>
              <w:top w:val="dotted"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i/>
                <w:sz w:val="22"/>
                <w:szCs w:val="22"/>
              </w:rPr>
            </w:pPr>
            <w:r w:rsidRPr="00460745">
              <w:rPr>
                <w:rFonts w:ascii="Times New Roman" w:hAnsi="Times New Roman"/>
                <w:i/>
                <w:sz w:val="22"/>
                <w:szCs w:val="22"/>
              </w:rPr>
              <w:t>0</w:t>
            </w:r>
            <w:r w:rsidR="0031079A" w:rsidRPr="00460745">
              <w:rPr>
                <w:rFonts w:ascii="Times New Roman" w:hAnsi="Times New Roman"/>
                <w:i/>
                <w:sz w:val="22"/>
                <w:szCs w:val="22"/>
              </w:rPr>
              <w:t>,</w:t>
            </w:r>
            <w:r w:rsidRPr="00460745">
              <w:rPr>
                <w:rFonts w:ascii="Times New Roman" w:hAnsi="Times New Roman"/>
                <w:i/>
                <w:sz w:val="22"/>
                <w:szCs w:val="22"/>
              </w:rPr>
              <w:t>68 (0</w:t>
            </w:r>
            <w:r w:rsidR="0031079A" w:rsidRPr="00460745">
              <w:rPr>
                <w:rFonts w:ascii="Times New Roman" w:hAnsi="Times New Roman"/>
                <w:i/>
                <w:sz w:val="22"/>
                <w:szCs w:val="22"/>
              </w:rPr>
              <w:t>,</w:t>
            </w:r>
            <w:r w:rsidRPr="00460745">
              <w:rPr>
                <w:rFonts w:ascii="Times New Roman" w:hAnsi="Times New Roman"/>
                <w:i/>
                <w:sz w:val="22"/>
                <w:szCs w:val="22"/>
              </w:rPr>
              <w:t>56-0</w:t>
            </w:r>
            <w:r w:rsidR="0031079A" w:rsidRPr="00460745">
              <w:rPr>
                <w:rFonts w:ascii="Times New Roman" w:hAnsi="Times New Roman"/>
                <w:i/>
                <w:sz w:val="22"/>
                <w:szCs w:val="22"/>
              </w:rPr>
              <w:t>,</w:t>
            </w:r>
            <w:r w:rsidRPr="00460745">
              <w:rPr>
                <w:rFonts w:ascii="Times New Roman" w:hAnsi="Times New Roman"/>
                <w:i/>
                <w:sz w:val="22"/>
                <w:szCs w:val="22"/>
              </w:rPr>
              <w:t>84)</w:t>
            </w:r>
          </w:p>
        </w:tc>
        <w:tc>
          <w:tcPr>
            <w:tcW w:w="888" w:type="dxa"/>
            <w:tcBorders>
              <w:top w:val="dotted" w:sz="4" w:space="0" w:color="auto"/>
              <w:left w:val="dotted" w:sz="4" w:space="0" w:color="auto"/>
              <w:bottom w:val="dotted" w:sz="4" w:space="0" w:color="auto"/>
              <w:right w:val="single" w:sz="4" w:space="0" w:color="auto"/>
            </w:tcBorders>
          </w:tcPr>
          <w:p w:rsidR="0074025B" w:rsidRPr="00460745" w:rsidRDefault="0074025B" w:rsidP="00AE0246">
            <w:pPr>
              <w:jc w:val="both"/>
              <w:rPr>
                <w:rFonts w:ascii="Times New Roman" w:hAnsi="Times New Roman"/>
                <w:i/>
                <w:sz w:val="22"/>
                <w:szCs w:val="22"/>
              </w:rPr>
            </w:pPr>
            <w:r w:rsidRPr="00460745">
              <w:rPr>
                <w:rFonts w:ascii="Times New Roman" w:hAnsi="Times New Roman"/>
                <w:i/>
                <w:sz w:val="22"/>
                <w:szCs w:val="22"/>
              </w:rPr>
              <w:t>&lt;0</w:t>
            </w:r>
            <w:r w:rsidR="0031079A" w:rsidRPr="00460745">
              <w:rPr>
                <w:rFonts w:ascii="Times New Roman" w:hAnsi="Times New Roman"/>
                <w:i/>
                <w:sz w:val="22"/>
                <w:szCs w:val="22"/>
              </w:rPr>
              <w:t>,</w:t>
            </w:r>
            <w:r w:rsidRPr="00460745">
              <w:rPr>
                <w:rFonts w:ascii="Times New Roman" w:hAnsi="Times New Roman"/>
                <w:i/>
                <w:sz w:val="22"/>
                <w:szCs w:val="22"/>
              </w:rPr>
              <w:t>001</w:t>
            </w:r>
          </w:p>
        </w:tc>
      </w:tr>
      <w:tr w:rsidR="0074025B" w:rsidRPr="00460745">
        <w:trPr>
          <w:jc w:val="center"/>
        </w:trPr>
        <w:tc>
          <w:tcPr>
            <w:tcW w:w="3118" w:type="dxa"/>
            <w:tcBorders>
              <w:top w:val="dotted" w:sz="4" w:space="0" w:color="auto"/>
              <w:left w:val="single" w:sz="4" w:space="0" w:color="auto"/>
              <w:bottom w:val="dotted" w:sz="4" w:space="0" w:color="auto"/>
              <w:right w:val="dotted" w:sz="4" w:space="0" w:color="auto"/>
            </w:tcBorders>
          </w:tcPr>
          <w:p w:rsidR="0074025B" w:rsidRPr="00460745" w:rsidRDefault="0031079A" w:rsidP="0074025B">
            <w:pPr>
              <w:rPr>
                <w:rFonts w:ascii="Times New Roman" w:hAnsi="Times New Roman"/>
                <w:b/>
                <w:sz w:val="22"/>
                <w:szCs w:val="22"/>
              </w:rPr>
            </w:pPr>
            <w:r w:rsidRPr="00460745">
              <w:rPr>
                <w:rFonts w:ascii="Times New Roman" w:hAnsi="Times New Roman"/>
                <w:b/>
                <w:sz w:val="22"/>
                <w:szCs w:val="22"/>
              </w:rPr>
              <w:t>Δευτερεύοντα</w:t>
            </w:r>
            <w:r w:rsidR="0074025B" w:rsidRPr="00460745">
              <w:rPr>
                <w:rFonts w:ascii="Times New Roman" w:hAnsi="Times New Roman"/>
                <w:b/>
                <w:sz w:val="22"/>
                <w:szCs w:val="22"/>
              </w:rPr>
              <w:t xml:space="preserve"> καταληκτικ</w:t>
            </w:r>
            <w:r w:rsidRPr="00460745">
              <w:rPr>
                <w:rFonts w:ascii="Times New Roman" w:hAnsi="Times New Roman"/>
                <w:b/>
                <w:sz w:val="22"/>
                <w:szCs w:val="22"/>
              </w:rPr>
              <w:t>ά</w:t>
            </w:r>
            <w:r w:rsidR="0074025B" w:rsidRPr="00460745">
              <w:rPr>
                <w:rFonts w:ascii="Times New Roman" w:hAnsi="Times New Roman"/>
                <w:b/>
                <w:sz w:val="22"/>
                <w:szCs w:val="22"/>
              </w:rPr>
              <w:t xml:space="preserve"> σημεί</w:t>
            </w:r>
            <w:r w:rsidRPr="00460745">
              <w:rPr>
                <w:rFonts w:ascii="Times New Roman" w:hAnsi="Times New Roman"/>
                <w:b/>
                <w:sz w:val="22"/>
                <w:szCs w:val="22"/>
              </w:rPr>
              <w:t>α</w:t>
            </w:r>
          </w:p>
        </w:tc>
        <w:tc>
          <w:tcPr>
            <w:tcW w:w="1334" w:type="dxa"/>
            <w:tcBorders>
              <w:top w:val="dotted"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b/>
                <w:sz w:val="22"/>
                <w:szCs w:val="22"/>
              </w:rPr>
            </w:pPr>
          </w:p>
        </w:tc>
        <w:tc>
          <w:tcPr>
            <w:tcW w:w="1023" w:type="dxa"/>
            <w:tcBorders>
              <w:top w:val="dotted"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b/>
                <w:sz w:val="22"/>
                <w:szCs w:val="22"/>
              </w:rPr>
            </w:pPr>
          </w:p>
        </w:tc>
        <w:tc>
          <w:tcPr>
            <w:tcW w:w="2262" w:type="dxa"/>
            <w:tcBorders>
              <w:top w:val="dotted"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b/>
                <w:sz w:val="22"/>
                <w:szCs w:val="22"/>
              </w:rPr>
            </w:pPr>
          </w:p>
        </w:tc>
        <w:tc>
          <w:tcPr>
            <w:tcW w:w="888" w:type="dxa"/>
            <w:tcBorders>
              <w:top w:val="dotted" w:sz="4" w:space="0" w:color="auto"/>
              <w:left w:val="dotted" w:sz="4" w:space="0" w:color="auto"/>
              <w:bottom w:val="dotted" w:sz="4" w:space="0" w:color="auto"/>
              <w:right w:val="single" w:sz="4" w:space="0" w:color="auto"/>
            </w:tcBorders>
          </w:tcPr>
          <w:p w:rsidR="0074025B" w:rsidRPr="00460745" w:rsidRDefault="0074025B" w:rsidP="00AE0246">
            <w:pPr>
              <w:jc w:val="both"/>
              <w:rPr>
                <w:rFonts w:ascii="Times New Roman" w:hAnsi="Times New Roman"/>
                <w:b/>
                <w:sz w:val="22"/>
                <w:szCs w:val="22"/>
              </w:rPr>
            </w:pPr>
          </w:p>
        </w:tc>
      </w:tr>
      <w:tr w:rsidR="0074025B" w:rsidRPr="00460745">
        <w:trPr>
          <w:jc w:val="center"/>
        </w:trPr>
        <w:tc>
          <w:tcPr>
            <w:tcW w:w="3118" w:type="dxa"/>
            <w:tcBorders>
              <w:top w:val="dotted" w:sz="4" w:space="0" w:color="auto"/>
              <w:left w:val="single" w:sz="4" w:space="0" w:color="auto"/>
              <w:bottom w:val="dotted" w:sz="4" w:space="0" w:color="auto"/>
              <w:right w:val="dotted" w:sz="4" w:space="0" w:color="auto"/>
            </w:tcBorders>
          </w:tcPr>
          <w:p w:rsidR="0074025B" w:rsidRPr="00460745" w:rsidRDefault="0074025B" w:rsidP="0074025B">
            <w:pPr>
              <w:ind w:left="273"/>
              <w:rPr>
                <w:rFonts w:ascii="Times New Roman" w:hAnsi="Times New Roman"/>
                <w:i/>
                <w:sz w:val="22"/>
                <w:szCs w:val="22"/>
              </w:rPr>
            </w:pPr>
            <w:r w:rsidRPr="00460745">
              <w:rPr>
                <w:rFonts w:ascii="Times New Roman" w:hAnsi="Times New Roman"/>
                <w:i/>
                <w:sz w:val="22"/>
                <w:szCs w:val="22"/>
              </w:rPr>
              <w:t>Θάνατος οποιασδήποτε αιτιολογίας</w:t>
            </w:r>
          </w:p>
        </w:tc>
        <w:tc>
          <w:tcPr>
            <w:tcW w:w="1334" w:type="dxa"/>
            <w:tcBorders>
              <w:top w:val="dotted"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i/>
                <w:sz w:val="22"/>
                <w:szCs w:val="22"/>
              </w:rPr>
            </w:pPr>
            <w:r w:rsidRPr="00460745">
              <w:rPr>
                <w:rFonts w:ascii="Times New Roman" w:hAnsi="Times New Roman"/>
                <w:i/>
                <w:sz w:val="22"/>
                <w:szCs w:val="22"/>
              </w:rPr>
              <w:t>10</w:t>
            </w:r>
            <w:r w:rsidR="0031079A" w:rsidRPr="00460745">
              <w:rPr>
                <w:rFonts w:ascii="Times New Roman" w:hAnsi="Times New Roman"/>
                <w:i/>
                <w:sz w:val="22"/>
                <w:szCs w:val="22"/>
              </w:rPr>
              <w:t>,</w:t>
            </w:r>
            <w:r w:rsidRPr="00460745">
              <w:rPr>
                <w:rFonts w:ascii="Times New Roman" w:hAnsi="Times New Roman"/>
                <w:i/>
                <w:sz w:val="22"/>
                <w:szCs w:val="22"/>
              </w:rPr>
              <w:t>4</w:t>
            </w:r>
          </w:p>
        </w:tc>
        <w:tc>
          <w:tcPr>
            <w:tcW w:w="1023" w:type="dxa"/>
            <w:tcBorders>
              <w:top w:val="dotted"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i/>
                <w:sz w:val="22"/>
                <w:szCs w:val="22"/>
              </w:rPr>
            </w:pPr>
            <w:r w:rsidRPr="00460745">
              <w:rPr>
                <w:rFonts w:ascii="Times New Roman" w:hAnsi="Times New Roman"/>
                <w:i/>
                <w:sz w:val="22"/>
                <w:szCs w:val="22"/>
              </w:rPr>
              <w:t>12</w:t>
            </w:r>
            <w:r w:rsidR="0031079A" w:rsidRPr="00460745">
              <w:rPr>
                <w:rFonts w:ascii="Times New Roman" w:hAnsi="Times New Roman"/>
                <w:i/>
                <w:sz w:val="22"/>
                <w:szCs w:val="22"/>
              </w:rPr>
              <w:t>,</w:t>
            </w:r>
            <w:r w:rsidRPr="00460745">
              <w:rPr>
                <w:rFonts w:ascii="Times New Roman" w:hAnsi="Times New Roman"/>
                <w:i/>
                <w:sz w:val="22"/>
                <w:szCs w:val="22"/>
              </w:rPr>
              <w:t>2</w:t>
            </w:r>
          </w:p>
        </w:tc>
        <w:tc>
          <w:tcPr>
            <w:tcW w:w="2262" w:type="dxa"/>
            <w:tcBorders>
              <w:top w:val="dotted"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i/>
                <w:sz w:val="22"/>
                <w:szCs w:val="22"/>
              </w:rPr>
            </w:pPr>
            <w:r w:rsidRPr="00460745">
              <w:rPr>
                <w:rFonts w:ascii="Times New Roman" w:hAnsi="Times New Roman"/>
                <w:i/>
                <w:sz w:val="22"/>
                <w:szCs w:val="22"/>
              </w:rPr>
              <w:t>0</w:t>
            </w:r>
            <w:r w:rsidR="0031079A" w:rsidRPr="00460745">
              <w:rPr>
                <w:rFonts w:ascii="Times New Roman" w:hAnsi="Times New Roman"/>
                <w:i/>
                <w:sz w:val="22"/>
                <w:szCs w:val="22"/>
              </w:rPr>
              <w:t>,</w:t>
            </w:r>
            <w:r w:rsidRPr="00460745">
              <w:rPr>
                <w:rFonts w:ascii="Times New Roman" w:hAnsi="Times New Roman"/>
                <w:i/>
                <w:sz w:val="22"/>
                <w:szCs w:val="22"/>
              </w:rPr>
              <w:t>84 (0</w:t>
            </w:r>
            <w:r w:rsidR="0031079A" w:rsidRPr="00460745">
              <w:rPr>
                <w:rFonts w:ascii="Times New Roman" w:hAnsi="Times New Roman"/>
                <w:i/>
                <w:sz w:val="22"/>
                <w:szCs w:val="22"/>
              </w:rPr>
              <w:t>,</w:t>
            </w:r>
            <w:r w:rsidRPr="00460745">
              <w:rPr>
                <w:rFonts w:ascii="Times New Roman" w:hAnsi="Times New Roman"/>
                <w:i/>
                <w:sz w:val="22"/>
                <w:szCs w:val="22"/>
              </w:rPr>
              <w:t>75-0</w:t>
            </w:r>
            <w:r w:rsidR="0031079A" w:rsidRPr="00460745">
              <w:rPr>
                <w:rFonts w:ascii="Times New Roman" w:hAnsi="Times New Roman"/>
                <w:i/>
                <w:sz w:val="22"/>
                <w:szCs w:val="22"/>
              </w:rPr>
              <w:t>,</w:t>
            </w:r>
            <w:r w:rsidRPr="00460745">
              <w:rPr>
                <w:rFonts w:ascii="Times New Roman" w:hAnsi="Times New Roman"/>
                <w:i/>
                <w:sz w:val="22"/>
                <w:szCs w:val="22"/>
              </w:rPr>
              <w:t>95)</w:t>
            </w:r>
          </w:p>
        </w:tc>
        <w:tc>
          <w:tcPr>
            <w:tcW w:w="888" w:type="dxa"/>
            <w:tcBorders>
              <w:top w:val="dotted" w:sz="4" w:space="0" w:color="auto"/>
              <w:left w:val="dotted" w:sz="4" w:space="0" w:color="auto"/>
              <w:bottom w:val="dotted" w:sz="4" w:space="0" w:color="auto"/>
              <w:right w:val="single" w:sz="4" w:space="0" w:color="auto"/>
            </w:tcBorders>
          </w:tcPr>
          <w:p w:rsidR="0074025B" w:rsidRPr="00460745" w:rsidRDefault="0074025B" w:rsidP="00AE0246">
            <w:pPr>
              <w:jc w:val="both"/>
              <w:rPr>
                <w:rFonts w:ascii="Times New Roman" w:hAnsi="Times New Roman"/>
                <w:i/>
                <w:sz w:val="22"/>
                <w:szCs w:val="22"/>
              </w:rPr>
            </w:pPr>
            <w:r w:rsidRPr="00460745">
              <w:rPr>
                <w:rFonts w:ascii="Times New Roman" w:hAnsi="Times New Roman"/>
                <w:i/>
                <w:sz w:val="22"/>
                <w:szCs w:val="22"/>
              </w:rPr>
              <w:t>0</w:t>
            </w:r>
            <w:r w:rsidR="0031079A" w:rsidRPr="00460745">
              <w:rPr>
                <w:rFonts w:ascii="Times New Roman" w:hAnsi="Times New Roman"/>
                <w:i/>
                <w:sz w:val="22"/>
                <w:szCs w:val="22"/>
              </w:rPr>
              <w:t>,</w:t>
            </w:r>
            <w:r w:rsidRPr="00460745">
              <w:rPr>
                <w:rFonts w:ascii="Times New Roman" w:hAnsi="Times New Roman"/>
                <w:i/>
                <w:sz w:val="22"/>
                <w:szCs w:val="22"/>
              </w:rPr>
              <w:t>005</w:t>
            </w:r>
          </w:p>
        </w:tc>
      </w:tr>
      <w:tr w:rsidR="0074025B" w:rsidRPr="00460745">
        <w:trPr>
          <w:jc w:val="center"/>
        </w:trPr>
        <w:tc>
          <w:tcPr>
            <w:tcW w:w="3118" w:type="dxa"/>
            <w:tcBorders>
              <w:top w:val="dotted" w:sz="4" w:space="0" w:color="auto"/>
              <w:left w:val="single" w:sz="4" w:space="0" w:color="auto"/>
              <w:bottom w:val="dotted" w:sz="4" w:space="0" w:color="auto"/>
              <w:right w:val="dotted" w:sz="4" w:space="0" w:color="auto"/>
            </w:tcBorders>
          </w:tcPr>
          <w:p w:rsidR="0074025B" w:rsidRPr="00460745" w:rsidRDefault="0031079A" w:rsidP="0074025B">
            <w:pPr>
              <w:ind w:left="273"/>
              <w:rPr>
                <w:rFonts w:ascii="Times New Roman" w:hAnsi="Times New Roman"/>
                <w:i/>
                <w:sz w:val="22"/>
                <w:szCs w:val="22"/>
              </w:rPr>
            </w:pPr>
            <w:r w:rsidRPr="00460745">
              <w:rPr>
                <w:rFonts w:ascii="Times New Roman" w:hAnsi="Times New Roman"/>
                <w:i/>
                <w:sz w:val="22"/>
                <w:szCs w:val="22"/>
              </w:rPr>
              <w:t>Ανάγκη ε</w:t>
            </w:r>
            <w:r w:rsidR="0074025B" w:rsidRPr="00460745">
              <w:rPr>
                <w:rFonts w:ascii="Times New Roman" w:hAnsi="Times New Roman"/>
                <w:i/>
                <w:sz w:val="22"/>
                <w:szCs w:val="22"/>
              </w:rPr>
              <w:t>παναγγείωση</w:t>
            </w:r>
            <w:r w:rsidRPr="00460745">
              <w:rPr>
                <w:rFonts w:ascii="Times New Roman" w:hAnsi="Times New Roman"/>
                <w:i/>
                <w:sz w:val="22"/>
                <w:szCs w:val="22"/>
              </w:rPr>
              <w:t>ς</w:t>
            </w:r>
          </w:p>
        </w:tc>
        <w:tc>
          <w:tcPr>
            <w:tcW w:w="1334" w:type="dxa"/>
            <w:tcBorders>
              <w:top w:val="dotted"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i/>
                <w:sz w:val="22"/>
                <w:szCs w:val="22"/>
              </w:rPr>
            </w:pPr>
            <w:r w:rsidRPr="00460745">
              <w:rPr>
                <w:rFonts w:ascii="Times New Roman" w:hAnsi="Times New Roman"/>
                <w:i/>
                <w:sz w:val="22"/>
                <w:szCs w:val="22"/>
              </w:rPr>
              <w:t>16</w:t>
            </w:r>
            <w:r w:rsidR="0031079A" w:rsidRPr="00460745">
              <w:rPr>
                <w:rFonts w:ascii="Times New Roman" w:hAnsi="Times New Roman"/>
                <w:i/>
                <w:sz w:val="22"/>
                <w:szCs w:val="22"/>
              </w:rPr>
              <w:t>,</w:t>
            </w:r>
            <w:r w:rsidRPr="00460745">
              <w:rPr>
                <w:rFonts w:ascii="Times New Roman" w:hAnsi="Times New Roman"/>
                <w:i/>
                <w:sz w:val="22"/>
                <w:szCs w:val="22"/>
              </w:rPr>
              <w:t>0</w:t>
            </w:r>
          </w:p>
        </w:tc>
        <w:tc>
          <w:tcPr>
            <w:tcW w:w="1023" w:type="dxa"/>
            <w:tcBorders>
              <w:top w:val="dotted"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i/>
                <w:sz w:val="22"/>
                <w:szCs w:val="22"/>
              </w:rPr>
            </w:pPr>
            <w:r w:rsidRPr="00460745">
              <w:rPr>
                <w:rFonts w:ascii="Times New Roman" w:hAnsi="Times New Roman"/>
                <w:i/>
                <w:sz w:val="22"/>
                <w:szCs w:val="22"/>
              </w:rPr>
              <w:t>18</w:t>
            </w:r>
            <w:r w:rsidR="0031079A" w:rsidRPr="00460745">
              <w:rPr>
                <w:rFonts w:ascii="Times New Roman" w:hAnsi="Times New Roman"/>
                <w:i/>
                <w:sz w:val="22"/>
                <w:szCs w:val="22"/>
              </w:rPr>
              <w:t>,</w:t>
            </w:r>
            <w:r w:rsidRPr="00460745">
              <w:rPr>
                <w:rFonts w:ascii="Times New Roman" w:hAnsi="Times New Roman"/>
                <w:i/>
                <w:sz w:val="22"/>
                <w:szCs w:val="22"/>
              </w:rPr>
              <w:t>3</w:t>
            </w:r>
          </w:p>
        </w:tc>
        <w:tc>
          <w:tcPr>
            <w:tcW w:w="2262" w:type="dxa"/>
            <w:tcBorders>
              <w:top w:val="dotted" w:sz="4" w:space="0" w:color="auto"/>
              <w:left w:val="dotted" w:sz="4" w:space="0" w:color="auto"/>
              <w:bottom w:val="dotted" w:sz="4" w:space="0" w:color="auto"/>
              <w:right w:val="dotted" w:sz="4" w:space="0" w:color="auto"/>
            </w:tcBorders>
          </w:tcPr>
          <w:p w:rsidR="0074025B" w:rsidRPr="00460745" w:rsidRDefault="0074025B" w:rsidP="00AE0246">
            <w:pPr>
              <w:jc w:val="both"/>
              <w:rPr>
                <w:rFonts w:ascii="Times New Roman" w:hAnsi="Times New Roman"/>
                <w:i/>
                <w:sz w:val="22"/>
                <w:szCs w:val="22"/>
              </w:rPr>
            </w:pPr>
            <w:r w:rsidRPr="00460745">
              <w:rPr>
                <w:rFonts w:ascii="Times New Roman" w:hAnsi="Times New Roman"/>
                <w:i/>
                <w:sz w:val="22"/>
                <w:szCs w:val="22"/>
              </w:rPr>
              <w:t>0</w:t>
            </w:r>
            <w:r w:rsidR="0031079A" w:rsidRPr="00460745">
              <w:rPr>
                <w:rFonts w:ascii="Times New Roman" w:hAnsi="Times New Roman"/>
                <w:i/>
                <w:sz w:val="22"/>
                <w:szCs w:val="22"/>
              </w:rPr>
              <w:t>,</w:t>
            </w:r>
            <w:r w:rsidRPr="00460745">
              <w:rPr>
                <w:rFonts w:ascii="Times New Roman" w:hAnsi="Times New Roman"/>
                <w:i/>
                <w:sz w:val="22"/>
                <w:szCs w:val="22"/>
              </w:rPr>
              <w:t>85 (0</w:t>
            </w:r>
            <w:r w:rsidR="0031079A" w:rsidRPr="00460745">
              <w:rPr>
                <w:rFonts w:ascii="Times New Roman" w:hAnsi="Times New Roman"/>
                <w:i/>
                <w:sz w:val="22"/>
                <w:szCs w:val="22"/>
              </w:rPr>
              <w:t>,</w:t>
            </w:r>
            <w:r w:rsidRPr="00460745">
              <w:rPr>
                <w:rFonts w:ascii="Times New Roman" w:hAnsi="Times New Roman"/>
                <w:i/>
                <w:sz w:val="22"/>
                <w:szCs w:val="22"/>
              </w:rPr>
              <w:t>77-0</w:t>
            </w:r>
            <w:r w:rsidR="0031079A" w:rsidRPr="00460745">
              <w:rPr>
                <w:rFonts w:ascii="Times New Roman" w:hAnsi="Times New Roman"/>
                <w:i/>
                <w:sz w:val="22"/>
                <w:szCs w:val="22"/>
              </w:rPr>
              <w:t>,</w:t>
            </w:r>
            <w:r w:rsidRPr="00460745">
              <w:rPr>
                <w:rFonts w:ascii="Times New Roman" w:hAnsi="Times New Roman"/>
                <w:i/>
                <w:sz w:val="22"/>
                <w:szCs w:val="22"/>
              </w:rPr>
              <w:t>94)</w:t>
            </w:r>
          </w:p>
        </w:tc>
        <w:tc>
          <w:tcPr>
            <w:tcW w:w="888" w:type="dxa"/>
            <w:tcBorders>
              <w:top w:val="dotted" w:sz="4" w:space="0" w:color="auto"/>
              <w:left w:val="dotted" w:sz="4" w:space="0" w:color="auto"/>
              <w:bottom w:val="dotted" w:sz="4" w:space="0" w:color="auto"/>
              <w:right w:val="single" w:sz="4" w:space="0" w:color="auto"/>
            </w:tcBorders>
          </w:tcPr>
          <w:p w:rsidR="0074025B" w:rsidRPr="00460745" w:rsidRDefault="0074025B" w:rsidP="00AE0246">
            <w:pPr>
              <w:jc w:val="both"/>
              <w:rPr>
                <w:rFonts w:ascii="Times New Roman" w:hAnsi="Times New Roman"/>
                <w:i/>
                <w:sz w:val="22"/>
                <w:szCs w:val="22"/>
              </w:rPr>
            </w:pPr>
            <w:r w:rsidRPr="00460745">
              <w:rPr>
                <w:rFonts w:ascii="Times New Roman" w:hAnsi="Times New Roman"/>
                <w:i/>
                <w:sz w:val="22"/>
                <w:szCs w:val="22"/>
              </w:rPr>
              <w:t>0</w:t>
            </w:r>
            <w:r w:rsidR="0031079A" w:rsidRPr="00460745">
              <w:rPr>
                <w:rFonts w:ascii="Times New Roman" w:hAnsi="Times New Roman"/>
                <w:i/>
                <w:sz w:val="22"/>
                <w:szCs w:val="22"/>
              </w:rPr>
              <w:t>,</w:t>
            </w:r>
            <w:r w:rsidRPr="00460745">
              <w:rPr>
                <w:rFonts w:ascii="Times New Roman" w:hAnsi="Times New Roman"/>
                <w:i/>
                <w:sz w:val="22"/>
                <w:szCs w:val="22"/>
              </w:rPr>
              <w:t>002</w:t>
            </w:r>
          </w:p>
        </w:tc>
      </w:tr>
      <w:tr w:rsidR="0031079A" w:rsidRPr="00460745">
        <w:trPr>
          <w:jc w:val="center"/>
        </w:trPr>
        <w:tc>
          <w:tcPr>
            <w:tcW w:w="3118" w:type="dxa"/>
            <w:tcBorders>
              <w:top w:val="dotted" w:sz="4" w:space="0" w:color="auto"/>
              <w:left w:val="single" w:sz="4" w:space="0" w:color="auto"/>
              <w:bottom w:val="dotted" w:sz="4" w:space="0" w:color="auto"/>
              <w:right w:val="dotted" w:sz="4" w:space="0" w:color="auto"/>
            </w:tcBorders>
          </w:tcPr>
          <w:p w:rsidR="0031079A" w:rsidRPr="00460745" w:rsidRDefault="0031079A" w:rsidP="0074025B">
            <w:pPr>
              <w:ind w:left="273"/>
              <w:rPr>
                <w:rFonts w:ascii="Times New Roman" w:hAnsi="Times New Roman"/>
                <w:i/>
                <w:sz w:val="22"/>
                <w:szCs w:val="22"/>
              </w:rPr>
            </w:pPr>
            <w:r w:rsidRPr="00460745">
              <w:rPr>
                <w:rFonts w:ascii="Times New Roman" w:hAnsi="Times New Roman"/>
                <w:i/>
                <w:sz w:val="22"/>
                <w:szCs w:val="22"/>
              </w:rPr>
              <w:t>Εισαγωγή σε νοσοκομείο λόγω ασταθούς στηθάγχης</w:t>
            </w:r>
          </w:p>
        </w:tc>
        <w:tc>
          <w:tcPr>
            <w:tcW w:w="1334" w:type="dxa"/>
            <w:tcBorders>
              <w:top w:val="dotted" w:sz="4" w:space="0" w:color="auto"/>
              <w:left w:val="dotted" w:sz="4" w:space="0" w:color="auto"/>
              <w:bottom w:val="dotted" w:sz="4" w:space="0" w:color="auto"/>
              <w:right w:val="dotted" w:sz="4" w:space="0" w:color="auto"/>
            </w:tcBorders>
          </w:tcPr>
          <w:p w:rsidR="0031079A" w:rsidRPr="00460745" w:rsidRDefault="0031079A" w:rsidP="00AE0246">
            <w:pPr>
              <w:jc w:val="both"/>
              <w:rPr>
                <w:rFonts w:ascii="Times New Roman" w:hAnsi="Times New Roman"/>
                <w:i/>
                <w:sz w:val="22"/>
                <w:szCs w:val="22"/>
              </w:rPr>
            </w:pPr>
            <w:r w:rsidRPr="00460745">
              <w:rPr>
                <w:rFonts w:ascii="Times New Roman" w:hAnsi="Times New Roman"/>
                <w:i/>
                <w:sz w:val="22"/>
                <w:szCs w:val="22"/>
              </w:rPr>
              <w:t>12,1</w:t>
            </w:r>
          </w:p>
        </w:tc>
        <w:tc>
          <w:tcPr>
            <w:tcW w:w="1023" w:type="dxa"/>
            <w:tcBorders>
              <w:top w:val="dotted" w:sz="4" w:space="0" w:color="auto"/>
              <w:left w:val="dotted" w:sz="4" w:space="0" w:color="auto"/>
              <w:bottom w:val="dotted" w:sz="4" w:space="0" w:color="auto"/>
              <w:right w:val="dotted" w:sz="4" w:space="0" w:color="auto"/>
            </w:tcBorders>
          </w:tcPr>
          <w:p w:rsidR="0031079A" w:rsidRPr="00460745" w:rsidRDefault="00022F9E" w:rsidP="00AE0246">
            <w:pPr>
              <w:jc w:val="both"/>
              <w:rPr>
                <w:rFonts w:ascii="Times New Roman" w:hAnsi="Times New Roman"/>
                <w:i/>
                <w:sz w:val="22"/>
                <w:szCs w:val="22"/>
              </w:rPr>
            </w:pPr>
            <w:r w:rsidRPr="00460745">
              <w:rPr>
                <w:rFonts w:ascii="Times New Roman" w:hAnsi="Times New Roman"/>
                <w:i/>
                <w:sz w:val="22"/>
                <w:szCs w:val="22"/>
              </w:rPr>
              <w:t>12,3</w:t>
            </w:r>
          </w:p>
        </w:tc>
        <w:tc>
          <w:tcPr>
            <w:tcW w:w="2262" w:type="dxa"/>
            <w:tcBorders>
              <w:top w:val="dotted" w:sz="4" w:space="0" w:color="auto"/>
              <w:left w:val="dotted" w:sz="4" w:space="0" w:color="auto"/>
              <w:bottom w:val="dotted" w:sz="4" w:space="0" w:color="auto"/>
              <w:right w:val="dotted" w:sz="4" w:space="0" w:color="auto"/>
            </w:tcBorders>
          </w:tcPr>
          <w:p w:rsidR="00022F9E" w:rsidRPr="00460745" w:rsidRDefault="00022F9E" w:rsidP="00AE0246">
            <w:pPr>
              <w:jc w:val="both"/>
              <w:rPr>
                <w:rFonts w:ascii="Times New Roman" w:hAnsi="Times New Roman"/>
                <w:i/>
                <w:sz w:val="22"/>
                <w:szCs w:val="22"/>
                <w:lang w:val="en-US"/>
              </w:rPr>
            </w:pPr>
            <w:r w:rsidRPr="00460745">
              <w:rPr>
                <w:rFonts w:ascii="Times New Roman" w:hAnsi="Times New Roman"/>
                <w:i/>
                <w:sz w:val="22"/>
                <w:szCs w:val="22"/>
              </w:rPr>
              <w:t>0,98 (0,87-1,10</w:t>
            </w:r>
            <w:r w:rsidRPr="00460745">
              <w:rPr>
                <w:rFonts w:ascii="Times New Roman" w:hAnsi="Times New Roman"/>
                <w:i/>
                <w:sz w:val="22"/>
                <w:szCs w:val="22"/>
                <w:lang w:val="en-US"/>
              </w:rPr>
              <w:t>)</w:t>
            </w:r>
          </w:p>
        </w:tc>
        <w:tc>
          <w:tcPr>
            <w:tcW w:w="888" w:type="dxa"/>
            <w:tcBorders>
              <w:top w:val="dotted" w:sz="4" w:space="0" w:color="auto"/>
              <w:left w:val="dotted" w:sz="4" w:space="0" w:color="auto"/>
              <w:bottom w:val="dotted" w:sz="4" w:space="0" w:color="auto"/>
              <w:right w:val="single" w:sz="4" w:space="0" w:color="auto"/>
            </w:tcBorders>
          </w:tcPr>
          <w:p w:rsidR="0031079A" w:rsidRPr="00460745" w:rsidRDefault="00022F9E" w:rsidP="00AE0246">
            <w:pPr>
              <w:jc w:val="both"/>
              <w:rPr>
                <w:rFonts w:ascii="Times New Roman" w:hAnsi="Times New Roman"/>
                <w:i/>
                <w:sz w:val="22"/>
                <w:szCs w:val="22"/>
                <w:lang w:val="en-US"/>
              </w:rPr>
            </w:pPr>
            <w:r w:rsidRPr="00460745">
              <w:rPr>
                <w:rFonts w:ascii="Times New Roman" w:hAnsi="Times New Roman"/>
                <w:i/>
                <w:sz w:val="22"/>
                <w:szCs w:val="22"/>
                <w:lang w:val="en-US"/>
              </w:rPr>
              <w:t>NS</w:t>
            </w:r>
          </w:p>
        </w:tc>
      </w:tr>
      <w:tr w:rsidR="00022F9E" w:rsidRPr="00460745">
        <w:trPr>
          <w:jc w:val="center"/>
        </w:trPr>
        <w:tc>
          <w:tcPr>
            <w:tcW w:w="3118" w:type="dxa"/>
            <w:tcBorders>
              <w:top w:val="dotted" w:sz="4" w:space="0" w:color="auto"/>
              <w:left w:val="single" w:sz="4" w:space="0" w:color="auto"/>
              <w:bottom w:val="dotted" w:sz="4" w:space="0" w:color="auto"/>
              <w:right w:val="dotted" w:sz="4" w:space="0" w:color="auto"/>
            </w:tcBorders>
          </w:tcPr>
          <w:p w:rsidR="00022F9E" w:rsidRPr="00460745" w:rsidRDefault="00022F9E" w:rsidP="0074025B">
            <w:pPr>
              <w:ind w:left="273"/>
              <w:rPr>
                <w:rFonts w:ascii="Times New Roman" w:hAnsi="Times New Roman"/>
                <w:i/>
                <w:sz w:val="22"/>
                <w:szCs w:val="22"/>
              </w:rPr>
            </w:pPr>
            <w:r w:rsidRPr="00460745">
              <w:rPr>
                <w:rFonts w:ascii="Times New Roman" w:hAnsi="Times New Roman"/>
                <w:i/>
                <w:sz w:val="22"/>
                <w:szCs w:val="22"/>
              </w:rPr>
              <w:t>Εισαγωγή σε νοσοκομείο λόγω καρδιακής ανεπάρκειας</w:t>
            </w:r>
          </w:p>
        </w:tc>
        <w:tc>
          <w:tcPr>
            <w:tcW w:w="1334" w:type="dxa"/>
            <w:tcBorders>
              <w:top w:val="dotted" w:sz="4" w:space="0" w:color="auto"/>
              <w:left w:val="dotted" w:sz="4" w:space="0" w:color="auto"/>
              <w:bottom w:val="dotted" w:sz="4" w:space="0" w:color="auto"/>
              <w:right w:val="dotted" w:sz="4" w:space="0" w:color="auto"/>
            </w:tcBorders>
          </w:tcPr>
          <w:p w:rsidR="00022F9E" w:rsidRPr="00460745" w:rsidRDefault="00022F9E" w:rsidP="00AE0246">
            <w:pPr>
              <w:jc w:val="both"/>
              <w:rPr>
                <w:rFonts w:ascii="Times New Roman" w:hAnsi="Times New Roman"/>
                <w:i/>
                <w:sz w:val="22"/>
                <w:szCs w:val="22"/>
              </w:rPr>
            </w:pPr>
            <w:r w:rsidRPr="00460745">
              <w:rPr>
                <w:rFonts w:ascii="Times New Roman" w:hAnsi="Times New Roman"/>
                <w:i/>
                <w:sz w:val="22"/>
                <w:szCs w:val="22"/>
              </w:rPr>
              <w:t>3,2</w:t>
            </w:r>
          </w:p>
        </w:tc>
        <w:tc>
          <w:tcPr>
            <w:tcW w:w="1023" w:type="dxa"/>
            <w:tcBorders>
              <w:top w:val="dotted" w:sz="4" w:space="0" w:color="auto"/>
              <w:left w:val="dotted" w:sz="4" w:space="0" w:color="auto"/>
              <w:bottom w:val="dotted" w:sz="4" w:space="0" w:color="auto"/>
              <w:right w:val="dotted" w:sz="4" w:space="0" w:color="auto"/>
            </w:tcBorders>
          </w:tcPr>
          <w:p w:rsidR="00022F9E" w:rsidRPr="00460745" w:rsidRDefault="00022F9E" w:rsidP="00AE0246">
            <w:pPr>
              <w:jc w:val="both"/>
              <w:rPr>
                <w:rFonts w:ascii="Times New Roman" w:hAnsi="Times New Roman"/>
                <w:i/>
                <w:sz w:val="22"/>
                <w:szCs w:val="22"/>
              </w:rPr>
            </w:pPr>
            <w:r w:rsidRPr="00460745">
              <w:rPr>
                <w:rFonts w:ascii="Times New Roman" w:hAnsi="Times New Roman"/>
                <w:i/>
                <w:sz w:val="22"/>
                <w:szCs w:val="22"/>
              </w:rPr>
              <w:t>3,5</w:t>
            </w:r>
          </w:p>
        </w:tc>
        <w:tc>
          <w:tcPr>
            <w:tcW w:w="2262" w:type="dxa"/>
            <w:tcBorders>
              <w:top w:val="dotted" w:sz="4" w:space="0" w:color="auto"/>
              <w:left w:val="dotted" w:sz="4" w:space="0" w:color="auto"/>
              <w:bottom w:val="dotted" w:sz="4" w:space="0" w:color="auto"/>
              <w:right w:val="dotted" w:sz="4" w:space="0" w:color="auto"/>
            </w:tcBorders>
          </w:tcPr>
          <w:p w:rsidR="00022F9E" w:rsidRPr="00460745" w:rsidRDefault="00022F9E" w:rsidP="00AE0246">
            <w:pPr>
              <w:jc w:val="both"/>
              <w:rPr>
                <w:rFonts w:ascii="Times New Roman" w:hAnsi="Times New Roman"/>
                <w:i/>
                <w:sz w:val="22"/>
                <w:szCs w:val="22"/>
              </w:rPr>
            </w:pPr>
            <w:r w:rsidRPr="00460745">
              <w:rPr>
                <w:rFonts w:ascii="Times New Roman" w:hAnsi="Times New Roman"/>
                <w:i/>
                <w:sz w:val="22"/>
                <w:szCs w:val="22"/>
              </w:rPr>
              <w:t>0,88 (0,70-1,10)</w:t>
            </w:r>
          </w:p>
        </w:tc>
        <w:tc>
          <w:tcPr>
            <w:tcW w:w="888" w:type="dxa"/>
            <w:tcBorders>
              <w:top w:val="dotted" w:sz="4" w:space="0" w:color="auto"/>
              <w:left w:val="dotted" w:sz="4" w:space="0" w:color="auto"/>
              <w:bottom w:val="dotted" w:sz="4" w:space="0" w:color="auto"/>
              <w:right w:val="single" w:sz="4" w:space="0" w:color="auto"/>
            </w:tcBorders>
          </w:tcPr>
          <w:p w:rsidR="00022F9E" w:rsidRPr="00460745" w:rsidRDefault="00022F9E" w:rsidP="00AE0246">
            <w:pPr>
              <w:jc w:val="both"/>
              <w:rPr>
                <w:rFonts w:ascii="Times New Roman" w:hAnsi="Times New Roman"/>
                <w:i/>
                <w:sz w:val="22"/>
                <w:szCs w:val="22"/>
              </w:rPr>
            </w:pPr>
            <w:r w:rsidRPr="00460745">
              <w:rPr>
                <w:rFonts w:ascii="Times New Roman" w:hAnsi="Times New Roman"/>
                <w:i/>
                <w:sz w:val="22"/>
                <w:szCs w:val="22"/>
              </w:rPr>
              <w:t>0,25</w:t>
            </w:r>
          </w:p>
        </w:tc>
      </w:tr>
      <w:tr w:rsidR="0074025B" w:rsidRPr="00460745">
        <w:trPr>
          <w:jc w:val="center"/>
        </w:trPr>
        <w:tc>
          <w:tcPr>
            <w:tcW w:w="3118" w:type="dxa"/>
            <w:tcBorders>
              <w:top w:val="dotted" w:sz="4" w:space="0" w:color="auto"/>
              <w:left w:val="single" w:sz="4" w:space="0" w:color="auto"/>
              <w:bottom w:val="single" w:sz="4" w:space="0" w:color="auto"/>
              <w:right w:val="dotted" w:sz="4" w:space="0" w:color="auto"/>
            </w:tcBorders>
          </w:tcPr>
          <w:p w:rsidR="0074025B" w:rsidRPr="00460745" w:rsidRDefault="0074025B" w:rsidP="0074025B">
            <w:pPr>
              <w:ind w:left="273"/>
              <w:rPr>
                <w:rFonts w:ascii="Times New Roman" w:hAnsi="Times New Roman"/>
                <w:i/>
                <w:sz w:val="22"/>
                <w:szCs w:val="22"/>
              </w:rPr>
            </w:pPr>
            <w:r w:rsidRPr="00460745">
              <w:rPr>
                <w:rFonts w:ascii="Times New Roman" w:hAnsi="Times New Roman"/>
                <w:i/>
                <w:sz w:val="22"/>
                <w:szCs w:val="22"/>
              </w:rPr>
              <w:t>Επιπλοκές λόγω διαβήτη</w:t>
            </w:r>
          </w:p>
        </w:tc>
        <w:tc>
          <w:tcPr>
            <w:tcW w:w="1334" w:type="dxa"/>
            <w:tcBorders>
              <w:top w:val="dotted" w:sz="4" w:space="0" w:color="auto"/>
              <w:left w:val="dotted" w:sz="4" w:space="0" w:color="auto"/>
              <w:bottom w:val="single" w:sz="4" w:space="0" w:color="auto"/>
              <w:right w:val="dotted" w:sz="4" w:space="0" w:color="auto"/>
            </w:tcBorders>
          </w:tcPr>
          <w:p w:rsidR="0074025B" w:rsidRPr="00460745" w:rsidRDefault="0074025B" w:rsidP="00AE0246">
            <w:pPr>
              <w:jc w:val="both"/>
              <w:rPr>
                <w:rFonts w:ascii="Times New Roman" w:hAnsi="Times New Roman"/>
                <w:i/>
                <w:sz w:val="22"/>
                <w:szCs w:val="22"/>
              </w:rPr>
            </w:pPr>
            <w:r w:rsidRPr="00460745">
              <w:rPr>
                <w:rFonts w:ascii="Times New Roman" w:hAnsi="Times New Roman"/>
                <w:i/>
                <w:sz w:val="22"/>
                <w:szCs w:val="22"/>
              </w:rPr>
              <w:t>6</w:t>
            </w:r>
            <w:r w:rsidR="0031079A" w:rsidRPr="00460745">
              <w:rPr>
                <w:rFonts w:ascii="Times New Roman" w:hAnsi="Times New Roman"/>
                <w:i/>
                <w:sz w:val="22"/>
                <w:szCs w:val="22"/>
              </w:rPr>
              <w:t>,</w:t>
            </w:r>
            <w:r w:rsidRPr="00460745">
              <w:rPr>
                <w:rFonts w:ascii="Times New Roman" w:hAnsi="Times New Roman"/>
                <w:i/>
                <w:sz w:val="22"/>
                <w:szCs w:val="22"/>
              </w:rPr>
              <w:t>4</w:t>
            </w:r>
          </w:p>
        </w:tc>
        <w:tc>
          <w:tcPr>
            <w:tcW w:w="1023" w:type="dxa"/>
            <w:tcBorders>
              <w:top w:val="dotted" w:sz="4" w:space="0" w:color="auto"/>
              <w:left w:val="dotted" w:sz="4" w:space="0" w:color="auto"/>
              <w:bottom w:val="single" w:sz="4" w:space="0" w:color="auto"/>
              <w:right w:val="dotted" w:sz="4" w:space="0" w:color="auto"/>
            </w:tcBorders>
          </w:tcPr>
          <w:p w:rsidR="0074025B" w:rsidRPr="00460745" w:rsidRDefault="0074025B" w:rsidP="00AE0246">
            <w:pPr>
              <w:jc w:val="both"/>
              <w:rPr>
                <w:rFonts w:ascii="Times New Roman" w:hAnsi="Times New Roman"/>
                <w:i/>
                <w:sz w:val="22"/>
                <w:szCs w:val="22"/>
              </w:rPr>
            </w:pPr>
            <w:r w:rsidRPr="00460745">
              <w:rPr>
                <w:rFonts w:ascii="Times New Roman" w:hAnsi="Times New Roman"/>
                <w:i/>
                <w:sz w:val="22"/>
                <w:szCs w:val="22"/>
              </w:rPr>
              <w:t>7</w:t>
            </w:r>
            <w:r w:rsidR="0031079A" w:rsidRPr="00460745">
              <w:rPr>
                <w:rFonts w:ascii="Times New Roman" w:hAnsi="Times New Roman"/>
                <w:i/>
                <w:sz w:val="22"/>
                <w:szCs w:val="22"/>
              </w:rPr>
              <w:t>,</w:t>
            </w:r>
            <w:r w:rsidRPr="00460745">
              <w:rPr>
                <w:rFonts w:ascii="Times New Roman" w:hAnsi="Times New Roman"/>
                <w:i/>
                <w:sz w:val="22"/>
                <w:szCs w:val="22"/>
              </w:rPr>
              <w:t>6</w:t>
            </w:r>
          </w:p>
        </w:tc>
        <w:tc>
          <w:tcPr>
            <w:tcW w:w="2262" w:type="dxa"/>
            <w:tcBorders>
              <w:top w:val="dotted" w:sz="4" w:space="0" w:color="auto"/>
              <w:left w:val="dotted" w:sz="4" w:space="0" w:color="auto"/>
              <w:bottom w:val="single" w:sz="4" w:space="0" w:color="auto"/>
              <w:right w:val="dotted" w:sz="4" w:space="0" w:color="auto"/>
            </w:tcBorders>
          </w:tcPr>
          <w:p w:rsidR="0074025B" w:rsidRPr="00460745" w:rsidRDefault="0074025B" w:rsidP="00AE0246">
            <w:pPr>
              <w:jc w:val="both"/>
              <w:rPr>
                <w:rFonts w:ascii="Times New Roman" w:hAnsi="Times New Roman"/>
                <w:i/>
                <w:sz w:val="22"/>
                <w:szCs w:val="22"/>
              </w:rPr>
            </w:pPr>
            <w:r w:rsidRPr="00460745">
              <w:rPr>
                <w:rFonts w:ascii="Times New Roman" w:hAnsi="Times New Roman"/>
                <w:i/>
                <w:sz w:val="22"/>
                <w:szCs w:val="22"/>
              </w:rPr>
              <w:t>0</w:t>
            </w:r>
            <w:r w:rsidR="0031079A" w:rsidRPr="00460745">
              <w:rPr>
                <w:rFonts w:ascii="Times New Roman" w:hAnsi="Times New Roman"/>
                <w:i/>
                <w:sz w:val="22"/>
                <w:szCs w:val="22"/>
              </w:rPr>
              <w:t>,</w:t>
            </w:r>
            <w:r w:rsidRPr="00460745">
              <w:rPr>
                <w:rFonts w:ascii="Times New Roman" w:hAnsi="Times New Roman"/>
                <w:i/>
                <w:sz w:val="22"/>
                <w:szCs w:val="22"/>
              </w:rPr>
              <w:t>84 (0</w:t>
            </w:r>
            <w:r w:rsidR="0031079A" w:rsidRPr="00460745">
              <w:rPr>
                <w:rFonts w:ascii="Times New Roman" w:hAnsi="Times New Roman"/>
                <w:i/>
                <w:sz w:val="22"/>
                <w:szCs w:val="22"/>
              </w:rPr>
              <w:t>,</w:t>
            </w:r>
            <w:r w:rsidRPr="00460745">
              <w:rPr>
                <w:rFonts w:ascii="Times New Roman" w:hAnsi="Times New Roman"/>
                <w:i/>
                <w:sz w:val="22"/>
                <w:szCs w:val="22"/>
              </w:rPr>
              <w:t>72-0</w:t>
            </w:r>
            <w:r w:rsidR="0031079A" w:rsidRPr="00460745">
              <w:rPr>
                <w:rFonts w:ascii="Times New Roman" w:hAnsi="Times New Roman"/>
                <w:i/>
                <w:sz w:val="22"/>
                <w:szCs w:val="22"/>
              </w:rPr>
              <w:t>,</w:t>
            </w:r>
            <w:r w:rsidRPr="00460745">
              <w:rPr>
                <w:rFonts w:ascii="Times New Roman" w:hAnsi="Times New Roman"/>
                <w:i/>
                <w:sz w:val="22"/>
                <w:szCs w:val="22"/>
              </w:rPr>
              <w:t>98)</w:t>
            </w:r>
          </w:p>
        </w:tc>
        <w:tc>
          <w:tcPr>
            <w:tcW w:w="888" w:type="dxa"/>
            <w:tcBorders>
              <w:top w:val="dotted" w:sz="4" w:space="0" w:color="auto"/>
              <w:left w:val="dotted" w:sz="4" w:space="0" w:color="auto"/>
              <w:bottom w:val="single" w:sz="4" w:space="0" w:color="auto"/>
              <w:right w:val="single" w:sz="4" w:space="0" w:color="auto"/>
            </w:tcBorders>
          </w:tcPr>
          <w:p w:rsidR="0074025B" w:rsidRPr="00460745" w:rsidRDefault="0074025B" w:rsidP="00AE0246">
            <w:pPr>
              <w:jc w:val="both"/>
              <w:rPr>
                <w:rFonts w:ascii="Times New Roman" w:hAnsi="Times New Roman"/>
                <w:i/>
                <w:sz w:val="22"/>
                <w:szCs w:val="22"/>
              </w:rPr>
            </w:pPr>
            <w:r w:rsidRPr="00460745">
              <w:rPr>
                <w:rFonts w:ascii="Times New Roman" w:hAnsi="Times New Roman"/>
                <w:i/>
                <w:sz w:val="22"/>
                <w:szCs w:val="22"/>
              </w:rPr>
              <w:t>0</w:t>
            </w:r>
            <w:r w:rsidR="0031079A" w:rsidRPr="00460745">
              <w:rPr>
                <w:rFonts w:ascii="Times New Roman" w:hAnsi="Times New Roman"/>
                <w:i/>
                <w:sz w:val="22"/>
                <w:szCs w:val="22"/>
              </w:rPr>
              <w:t>,</w:t>
            </w:r>
            <w:r w:rsidRPr="00460745">
              <w:rPr>
                <w:rFonts w:ascii="Times New Roman" w:hAnsi="Times New Roman"/>
                <w:i/>
                <w:sz w:val="22"/>
                <w:szCs w:val="22"/>
              </w:rPr>
              <w:t>03</w:t>
            </w:r>
          </w:p>
        </w:tc>
      </w:tr>
    </w:tbl>
    <w:p w:rsidR="0074025B" w:rsidRPr="00460745" w:rsidRDefault="0074025B" w:rsidP="0074025B">
      <w:pPr>
        <w:jc w:val="center"/>
        <w:rPr>
          <w:rFonts w:ascii="Times New Roman" w:hAnsi="Times New Roman"/>
          <w:b/>
          <w:sz w:val="22"/>
          <w:szCs w:val="22"/>
        </w:rPr>
      </w:pPr>
    </w:p>
    <w:p w:rsidR="00F77565" w:rsidRPr="00460745" w:rsidRDefault="00F77565" w:rsidP="00266858">
      <w:pPr>
        <w:rPr>
          <w:rFonts w:ascii="Times New Roman" w:hAnsi="Times New Roman"/>
          <w:sz w:val="22"/>
          <w:szCs w:val="22"/>
        </w:rPr>
      </w:pPr>
      <w:r w:rsidRPr="00460745">
        <w:rPr>
          <w:rFonts w:ascii="Times New Roman" w:hAnsi="Times New Roman"/>
          <w:sz w:val="22"/>
          <w:szCs w:val="22"/>
        </w:rPr>
        <w:t xml:space="preserve">Η μελέτη </w:t>
      </w:r>
      <w:r w:rsidRPr="00460745">
        <w:rPr>
          <w:rFonts w:ascii="Times New Roman" w:hAnsi="Times New Roman"/>
          <w:sz w:val="22"/>
          <w:szCs w:val="22"/>
          <w:lang w:val="en-US"/>
        </w:rPr>
        <w:t>MICRO</w:t>
      </w:r>
      <w:r w:rsidRPr="00460745">
        <w:rPr>
          <w:rFonts w:ascii="Times New Roman" w:hAnsi="Times New Roman"/>
          <w:sz w:val="22"/>
          <w:szCs w:val="22"/>
        </w:rPr>
        <w:t>-</w:t>
      </w:r>
      <w:r w:rsidRPr="00460745">
        <w:rPr>
          <w:rFonts w:ascii="Times New Roman" w:hAnsi="Times New Roman"/>
          <w:sz w:val="22"/>
          <w:szCs w:val="22"/>
          <w:lang w:val="en-US"/>
        </w:rPr>
        <w:t>HOPE</w:t>
      </w:r>
      <w:r w:rsidRPr="00460745">
        <w:rPr>
          <w:rFonts w:ascii="Times New Roman" w:hAnsi="Times New Roman"/>
          <w:sz w:val="22"/>
          <w:szCs w:val="22"/>
        </w:rPr>
        <w:t xml:space="preserve">, μία προκαθορισμένη υπομελέτη της </w:t>
      </w:r>
      <w:r w:rsidRPr="00460745">
        <w:rPr>
          <w:rFonts w:ascii="Times New Roman" w:hAnsi="Times New Roman"/>
          <w:sz w:val="22"/>
          <w:szCs w:val="22"/>
          <w:lang w:val="en-US"/>
        </w:rPr>
        <w:t>HOPE</w:t>
      </w:r>
      <w:r w:rsidRPr="00460745">
        <w:rPr>
          <w:rFonts w:ascii="Times New Roman" w:hAnsi="Times New Roman"/>
          <w:sz w:val="22"/>
          <w:szCs w:val="22"/>
        </w:rPr>
        <w:t>, διερεύνησε το αποτέλεσμα της προσθήκης 10</w:t>
      </w:r>
      <w:r w:rsidRPr="00460745">
        <w:rPr>
          <w:rFonts w:ascii="Times New Roman" w:hAnsi="Times New Roman"/>
          <w:sz w:val="22"/>
          <w:szCs w:val="22"/>
          <w:lang w:val="en-US"/>
        </w:rPr>
        <w:t> mg</w:t>
      </w:r>
      <w:r w:rsidRPr="00460745">
        <w:rPr>
          <w:rFonts w:ascii="Times New Roman" w:hAnsi="Times New Roman"/>
          <w:sz w:val="22"/>
          <w:szCs w:val="22"/>
        </w:rPr>
        <w:t xml:space="preserve"> ραμιπρίλης στην τρέχουσα θεραπευτική αγωγή έναντι εικονικού φαρμάκου σε 3.577 ασθενείς τουλάχιστον ≥ 55 ετών (χωρίς μέγιστο όριο ηλικίας), η πλειοψηφία των οποίων με διαβήτη τύπου 2 (και τουλάχιστον έναν ακόμα καρδιαγγειακό παράγοντα κινδύνου), νορμοτασικούς ή υπερτασικούς. </w:t>
      </w:r>
    </w:p>
    <w:p w:rsidR="00F77565" w:rsidRPr="00460745" w:rsidRDefault="00F77565" w:rsidP="00266858">
      <w:pPr>
        <w:rPr>
          <w:rFonts w:ascii="Times New Roman" w:hAnsi="Times New Roman"/>
          <w:sz w:val="22"/>
          <w:szCs w:val="22"/>
        </w:rPr>
      </w:pPr>
    </w:p>
    <w:p w:rsidR="00B14104" w:rsidRPr="00460745" w:rsidRDefault="00FA4A88" w:rsidP="00266858">
      <w:pPr>
        <w:rPr>
          <w:rFonts w:ascii="Times New Roman" w:hAnsi="Times New Roman"/>
          <w:sz w:val="22"/>
          <w:szCs w:val="22"/>
        </w:rPr>
      </w:pPr>
      <w:r w:rsidRPr="00460745">
        <w:rPr>
          <w:rFonts w:ascii="Times New Roman" w:hAnsi="Times New Roman"/>
          <w:sz w:val="22"/>
          <w:szCs w:val="22"/>
        </w:rPr>
        <w:t xml:space="preserve">Η κύρια ανάλυση έδειξε ότι 117 (6,5%) των συμμετεχόντων στη ραμιπρίλη και 149 (8,4%) στο </w:t>
      </w:r>
      <w:r w:rsidR="00BF39ED" w:rsidRPr="00460745">
        <w:rPr>
          <w:rFonts w:ascii="Times New Roman" w:hAnsi="Times New Roman"/>
          <w:sz w:val="22"/>
          <w:szCs w:val="22"/>
        </w:rPr>
        <w:t>εικονικό</w:t>
      </w:r>
      <w:r w:rsidRPr="00460745">
        <w:rPr>
          <w:rFonts w:ascii="Times New Roman" w:hAnsi="Times New Roman"/>
          <w:sz w:val="22"/>
          <w:szCs w:val="22"/>
        </w:rPr>
        <w:t xml:space="preserve"> φάρμακο ανέπτυξαν έκδηλη νεφροπάθεια, η οποία αντιστοιχεί σε ένα </w:t>
      </w:r>
      <w:r w:rsidRPr="00460745">
        <w:rPr>
          <w:rFonts w:ascii="Times New Roman" w:hAnsi="Times New Roman"/>
          <w:sz w:val="22"/>
          <w:szCs w:val="22"/>
          <w:lang w:val="en-US"/>
        </w:rPr>
        <w:t>RRR</w:t>
      </w:r>
      <w:r w:rsidRPr="00460745">
        <w:rPr>
          <w:rFonts w:ascii="Times New Roman" w:hAnsi="Times New Roman"/>
          <w:sz w:val="22"/>
          <w:szCs w:val="22"/>
        </w:rPr>
        <w:t xml:space="preserve"> 24%· 95% </w:t>
      </w:r>
      <w:r w:rsidRPr="00460745">
        <w:rPr>
          <w:rFonts w:ascii="Times New Roman" w:hAnsi="Times New Roman"/>
          <w:sz w:val="22"/>
          <w:szCs w:val="22"/>
          <w:lang w:val="en-US"/>
        </w:rPr>
        <w:t>CI</w:t>
      </w:r>
      <w:r w:rsidRPr="00460745">
        <w:rPr>
          <w:rFonts w:ascii="Times New Roman" w:hAnsi="Times New Roman"/>
          <w:sz w:val="22"/>
          <w:szCs w:val="22"/>
        </w:rPr>
        <w:t xml:space="preserve"> [3-40], </w:t>
      </w:r>
      <w:r w:rsidRPr="00460745">
        <w:rPr>
          <w:rFonts w:ascii="Times New Roman" w:hAnsi="Times New Roman"/>
          <w:sz w:val="22"/>
          <w:szCs w:val="22"/>
          <w:lang w:val="en-US"/>
        </w:rPr>
        <w:t>p</w:t>
      </w:r>
      <w:r w:rsidRPr="00460745">
        <w:rPr>
          <w:rFonts w:ascii="Times New Roman" w:hAnsi="Times New Roman"/>
          <w:sz w:val="22"/>
          <w:szCs w:val="22"/>
        </w:rPr>
        <w:t xml:space="preserve"> = 0,027.</w:t>
      </w:r>
      <w:r w:rsidR="008E68C5" w:rsidRPr="00460745">
        <w:rPr>
          <w:rFonts w:ascii="Times New Roman" w:hAnsi="Times New Roman"/>
          <w:sz w:val="22"/>
          <w:szCs w:val="22"/>
        </w:rPr>
        <w:t xml:space="preserve"> </w:t>
      </w:r>
    </w:p>
    <w:p w:rsidR="00B14104" w:rsidRPr="00460745" w:rsidRDefault="00B14104" w:rsidP="00266858">
      <w:pPr>
        <w:rPr>
          <w:rFonts w:ascii="Times New Roman" w:hAnsi="Times New Roman"/>
          <w:sz w:val="22"/>
          <w:szCs w:val="22"/>
        </w:rPr>
      </w:pPr>
      <w:r w:rsidRPr="00460745">
        <w:rPr>
          <w:rFonts w:ascii="Times New Roman" w:hAnsi="Times New Roman"/>
          <w:sz w:val="22"/>
          <w:szCs w:val="22"/>
        </w:rPr>
        <w:lastRenderedPageBreak/>
        <w:t xml:space="preserve">Η μελέτη </w:t>
      </w:r>
      <w:r w:rsidRPr="00460745">
        <w:rPr>
          <w:rFonts w:ascii="Times New Roman" w:hAnsi="Times New Roman"/>
          <w:sz w:val="22"/>
          <w:szCs w:val="22"/>
          <w:lang w:val="en-US"/>
        </w:rPr>
        <w:t>REIN</w:t>
      </w:r>
      <w:r w:rsidRPr="00460745">
        <w:rPr>
          <w:rFonts w:ascii="Times New Roman" w:hAnsi="Times New Roman"/>
          <w:sz w:val="22"/>
          <w:szCs w:val="22"/>
        </w:rPr>
        <w:t>, μια πολυκεντρική, τυχαιοποιημένη, διπλή-τυφλή παράλληλων ομάδων, ελεγχόμενη με εικονικό φάρμακο είχε ως σκοπό να αξιολογήσει τα αποτελέσματα της αγωγής με ραμιπρίλη στο ρυθμό μείωσης του ρυθμού σπειραματικής διήθησης (</w:t>
      </w:r>
      <w:r w:rsidRPr="00460745">
        <w:rPr>
          <w:rFonts w:ascii="Times New Roman" w:hAnsi="Times New Roman"/>
          <w:sz w:val="22"/>
          <w:szCs w:val="22"/>
          <w:lang w:val="en-US"/>
        </w:rPr>
        <w:t>GFR</w:t>
      </w:r>
      <w:r w:rsidRPr="00460745">
        <w:rPr>
          <w:rFonts w:ascii="Times New Roman" w:hAnsi="Times New Roman"/>
          <w:sz w:val="22"/>
          <w:szCs w:val="22"/>
        </w:rPr>
        <w:t>) σε 352 νορμοτασικούς ή υπερτασικούς ασθενείς (18-70 ετών)</w:t>
      </w:r>
      <w:r w:rsidR="00D11D10" w:rsidRPr="00460745">
        <w:rPr>
          <w:rFonts w:ascii="Times New Roman" w:hAnsi="Times New Roman"/>
          <w:sz w:val="22"/>
          <w:szCs w:val="22"/>
        </w:rPr>
        <w:t xml:space="preserve"> που πάσχουν από ήπια (δηλ. μέση απέκκριση πρωτεϊνών από τα ούρα &gt;</w:t>
      </w:r>
      <w:r w:rsidR="00D11D10" w:rsidRPr="00460745">
        <w:rPr>
          <w:rFonts w:ascii="Times New Roman" w:hAnsi="Times New Roman"/>
          <w:sz w:val="22"/>
          <w:szCs w:val="22"/>
          <w:lang w:val="en-US"/>
        </w:rPr>
        <w:t> </w:t>
      </w:r>
      <w:r w:rsidR="00D11D10" w:rsidRPr="00460745">
        <w:rPr>
          <w:rFonts w:ascii="Times New Roman" w:hAnsi="Times New Roman"/>
          <w:sz w:val="22"/>
          <w:szCs w:val="22"/>
        </w:rPr>
        <w:t>1 και &lt;</w:t>
      </w:r>
      <w:r w:rsidR="00D11D10" w:rsidRPr="00460745">
        <w:rPr>
          <w:rFonts w:ascii="Times New Roman" w:hAnsi="Times New Roman"/>
          <w:sz w:val="22"/>
          <w:szCs w:val="22"/>
          <w:lang w:val="en-US"/>
        </w:rPr>
        <w:t> </w:t>
      </w:r>
      <w:r w:rsidR="00D11D10" w:rsidRPr="00460745">
        <w:rPr>
          <w:rFonts w:ascii="Times New Roman" w:hAnsi="Times New Roman"/>
          <w:sz w:val="22"/>
          <w:szCs w:val="22"/>
        </w:rPr>
        <w:t>3 </w:t>
      </w:r>
      <w:r w:rsidR="00D11D10" w:rsidRPr="00460745">
        <w:rPr>
          <w:rFonts w:ascii="Times New Roman" w:hAnsi="Times New Roman"/>
          <w:sz w:val="22"/>
          <w:szCs w:val="22"/>
          <w:lang w:val="en-US"/>
        </w:rPr>
        <w:t>g</w:t>
      </w:r>
      <w:r w:rsidR="00D11D10" w:rsidRPr="00460745">
        <w:rPr>
          <w:rFonts w:ascii="Times New Roman" w:hAnsi="Times New Roman"/>
          <w:sz w:val="22"/>
          <w:szCs w:val="22"/>
        </w:rPr>
        <w:t>/24ωρο) ή σοβαρή πρωτεϊνουρία (≥ 3 </w:t>
      </w:r>
      <w:r w:rsidR="00D11D10" w:rsidRPr="00460745">
        <w:rPr>
          <w:rFonts w:ascii="Times New Roman" w:hAnsi="Times New Roman"/>
          <w:sz w:val="22"/>
          <w:szCs w:val="22"/>
          <w:lang w:val="en-US"/>
        </w:rPr>
        <w:t>g</w:t>
      </w:r>
      <w:r w:rsidR="00D11D10" w:rsidRPr="00460745">
        <w:rPr>
          <w:rFonts w:ascii="Times New Roman" w:hAnsi="Times New Roman"/>
          <w:sz w:val="22"/>
          <w:szCs w:val="22"/>
        </w:rPr>
        <w:t xml:space="preserve">/24ωρο) λόγω χρόνιας μη-διαβητικής νεφροπάθειας. Και οι δύο υπο-πληθυσμοί </w:t>
      </w:r>
      <w:r w:rsidR="00C41A33" w:rsidRPr="00460745">
        <w:rPr>
          <w:rFonts w:ascii="Times New Roman" w:hAnsi="Times New Roman"/>
          <w:sz w:val="22"/>
          <w:szCs w:val="22"/>
        </w:rPr>
        <w:t>διαστρωματώθηκαν</w:t>
      </w:r>
      <w:r w:rsidR="00D11D10" w:rsidRPr="00460745">
        <w:rPr>
          <w:rFonts w:ascii="Times New Roman" w:hAnsi="Times New Roman"/>
          <w:sz w:val="22"/>
          <w:szCs w:val="22"/>
        </w:rPr>
        <w:t xml:space="preserve"> προοπτικά.</w:t>
      </w:r>
    </w:p>
    <w:p w:rsidR="001550A1" w:rsidRPr="00460745" w:rsidRDefault="001550A1" w:rsidP="00266858">
      <w:pPr>
        <w:rPr>
          <w:rFonts w:ascii="Times New Roman" w:hAnsi="Times New Roman"/>
          <w:sz w:val="22"/>
          <w:szCs w:val="22"/>
        </w:rPr>
      </w:pPr>
    </w:p>
    <w:p w:rsidR="00890210" w:rsidRPr="00460745" w:rsidRDefault="00A31F80" w:rsidP="00266858">
      <w:pPr>
        <w:rPr>
          <w:rFonts w:ascii="Times New Roman" w:hAnsi="Times New Roman"/>
          <w:sz w:val="22"/>
          <w:szCs w:val="22"/>
        </w:rPr>
      </w:pPr>
      <w:r w:rsidRPr="00460745">
        <w:rPr>
          <w:rFonts w:ascii="Times New Roman" w:hAnsi="Times New Roman"/>
          <w:sz w:val="22"/>
          <w:szCs w:val="22"/>
        </w:rPr>
        <w:t>Η κύρια ανάλυση</w:t>
      </w:r>
      <w:r w:rsidR="001550A1" w:rsidRPr="00460745">
        <w:rPr>
          <w:rFonts w:ascii="Times New Roman" w:hAnsi="Times New Roman"/>
          <w:sz w:val="22"/>
          <w:szCs w:val="22"/>
        </w:rPr>
        <w:t xml:space="preserve"> ασθεν</w:t>
      </w:r>
      <w:r w:rsidRPr="00460745">
        <w:rPr>
          <w:rFonts w:ascii="Times New Roman" w:hAnsi="Times New Roman"/>
          <w:sz w:val="22"/>
          <w:szCs w:val="22"/>
        </w:rPr>
        <w:t>ών</w:t>
      </w:r>
      <w:r w:rsidR="001550A1" w:rsidRPr="00460745">
        <w:rPr>
          <w:rFonts w:ascii="Times New Roman" w:hAnsi="Times New Roman"/>
          <w:sz w:val="22"/>
          <w:szCs w:val="22"/>
        </w:rPr>
        <w:t xml:space="preserve"> με την πιο σοβαρή πρωτεϊνουρία </w:t>
      </w:r>
      <w:r w:rsidRPr="00460745">
        <w:rPr>
          <w:rFonts w:ascii="Times New Roman" w:hAnsi="Times New Roman"/>
          <w:sz w:val="22"/>
          <w:szCs w:val="22"/>
        </w:rPr>
        <w:t xml:space="preserve">(η </w:t>
      </w:r>
      <w:r w:rsidR="00DA4472" w:rsidRPr="00460745">
        <w:rPr>
          <w:rFonts w:ascii="Times New Roman" w:hAnsi="Times New Roman"/>
          <w:sz w:val="22"/>
          <w:szCs w:val="22"/>
        </w:rPr>
        <w:t>ομάδα διέκοψε</w:t>
      </w:r>
      <w:r w:rsidRPr="00460745">
        <w:rPr>
          <w:rFonts w:ascii="Times New Roman" w:hAnsi="Times New Roman"/>
          <w:sz w:val="22"/>
          <w:szCs w:val="22"/>
        </w:rPr>
        <w:t xml:space="preserve"> πρόωρα </w:t>
      </w:r>
      <w:r w:rsidR="001550A1" w:rsidRPr="00460745">
        <w:rPr>
          <w:rFonts w:ascii="Times New Roman" w:hAnsi="Times New Roman"/>
          <w:sz w:val="22"/>
          <w:szCs w:val="22"/>
        </w:rPr>
        <w:t>λόγω του οφέλους στην ομάδα της ραμιπρίλης</w:t>
      </w:r>
      <w:r w:rsidRPr="00460745">
        <w:rPr>
          <w:rFonts w:ascii="Times New Roman" w:hAnsi="Times New Roman"/>
          <w:sz w:val="22"/>
          <w:szCs w:val="22"/>
        </w:rPr>
        <w:t>)</w:t>
      </w:r>
      <w:r w:rsidR="00CA5CFE" w:rsidRPr="00460745">
        <w:rPr>
          <w:rFonts w:ascii="Times New Roman" w:hAnsi="Times New Roman"/>
          <w:sz w:val="22"/>
          <w:szCs w:val="22"/>
        </w:rPr>
        <w:t xml:space="preserve"> κατέδειξε ότι ο μέσος ρυθμός μείωσης του </w:t>
      </w:r>
      <w:r w:rsidR="00CA5CFE" w:rsidRPr="00460745">
        <w:rPr>
          <w:rFonts w:ascii="Times New Roman" w:hAnsi="Times New Roman"/>
          <w:sz w:val="22"/>
          <w:szCs w:val="22"/>
          <w:lang w:val="en-US"/>
        </w:rPr>
        <w:t>GFR</w:t>
      </w:r>
      <w:r w:rsidR="00CA5CFE" w:rsidRPr="00460745">
        <w:rPr>
          <w:rFonts w:ascii="Times New Roman" w:hAnsi="Times New Roman"/>
          <w:sz w:val="22"/>
          <w:szCs w:val="22"/>
        </w:rPr>
        <w:t xml:space="preserve"> ανά μήνα ήταν χαμηλότερος με τη ραμιπρίλη από ότι με το εικονικό φάρμακο· -0,54 (0,66)</w:t>
      </w:r>
      <w:r w:rsidR="002D64A9" w:rsidRPr="00460745">
        <w:rPr>
          <w:rFonts w:ascii="Times New Roman" w:hAnsi="Times New Roman"/>
          <w:sz w:val="22"/>
          <w:szCs w:val="22"/>
        </w:rPr>
        <w:t xml:space="preserve"> έναντι -0,88 (1,03) </w:t>
      </w:r>
      <w:r w:rsidR="002D64A9" w:rsidRPr="00460745">
        <w:rPr>
          <w:rFonts w:ascii="Times New Roman" w:hAnsi="Times New Roman"/>
          <w:sz w:val="22"/>
          <w:szCs w:val="22"/>
          <w:lang w:val="en-US"/>
        </w:rPr>
        <w:t>ml</w:t>
      </w:r>
      <w:r w:rsidR="002D64A9" w:rsidRPr="00460745">
        <w:rPr>
          <w:rFonts w:ascii="Times New Roman" w:hAnsi="Times New Roman"/>
          <w:sz w:val="22"/>
          <w:szCs w:val="22"/>
        </w:rPr>
        <w:t xml:space="preserve">/λεπτό/μήνα, </w:t>
      </w:r>
      <w:r w:rsidR="002D64A9" w:rsidRPr="00460745">
        <w:rPr>
          <w:rFonts w:ascii="Times New Roman" w:hAnsi="Times New Roman"/>
          <w:sz w:val="22"/>
          <w:szCs w:val="22"/>
          <w:lang w:val="en-US"/>
        </w:rPr>
        <w:t>p</w:t>
      </w:r>
      <w:r w:rsidR="002D64A9" w:rsidRPr="00460745">
        <w:rPr>
          <w:rFonts w:ascii="Times New Roman" w:hAnsi="Times New Roman"/>
          <w:sz w:val="22"/>
          <w:szCs w:val="22"/>
        </w:rPr>
        <w:t xml:space="preserve"> = 0,038. </w:t>
      </w:r>
      <w:r w:rsidR="00354AA8" w:rsidRPr="00460745">
        <w:rPr>
          <w:rFonts w:ascii="Times New Roman" w:hAnsi="Times New Roman"/>
          <w:sz w:val="22"/>
          <w:szCs w:val="22"/>
        </w:rPr>
        <w:t xml:space="preserve">Η </w:t>
      </w:r>
      <w:r w:rsidR="00DA4472" w:rsidRPr="00460745">
        <w:rPr>
          <w:rFonts w:ascii="Times New Roman" w:hAnsi="Times New Roman"/>
          <w:sz w:val="22"/>
          <w:szCs w:val="22"/>
        </w:rPr>
        <w:t xml:space="preserve">εντός της </w:t>
      </w:r>
      <w:r w:rsidR="00354AA8" w:rsidRPr="00460745">
        <w:rPr>
          <w:rFonts w:ascii="Times New Roman" w:hAnsi="Times New Roman"/>
          <w:sz w:val="22"/>
          <w:szCs w:val="22"/>
        </w:rPr>
        <w:t>ομ</w:t>
      </w:r>
      <w:r w:rsidR="00DA4472" w:rsidRPr="00460745">
        <w:rPr>
          <w:rFonts w:ascii="Times New Roman" w:hAnsi="Times New Roman"/>
          <w:sz w:val="22"/>
          <w:szCs w:val="22"/>
        </w:rPr>
        <w:t>άδας</w:t>
      </w:r>
      <w:r w:rsidR="00354AA8" w:rsidRPr="00460745">
        <w:rPr>
          <w:rFonts w:ascii="Times New Roman" w:hAnsi="Times New Roman"/>
          <w:sz w:val="22"/>
          <w:szCs w:val="22"/>
        </w:rPr>
        <w:t xml:space="preserve"> διαφορά</w:t>
      </w:r>
      <w:r w:rsidR="00DA4472" w:rsidRPr="00460745">
        <w:rPr>
          <w:rFonts w:ascii="Times New Roman" w:hAnsi="Times New Roman"/>
          <w:sz w:val="22"/>
          <w:szCs w:val="22"/>
        </w:rPr>
        <w:t>,</w:t>
      </w:r>
      <w:r w:rsidR="00354AA8" w:rsidRPr="00460745">
        <w:rPr>
          <w:rFonts w:ascii="Times New Roman" w:hAnsi="Times New Roman"/>
          <w:sz w:val="22"/>
          <w:szCs w:val="22"/>
        </w:rPr>
        <w:t xml:space="preserve"> ήταν επομένως 0,34 [0,03-0,65) ανά μήνα και περίπου 4 </w:t>
      </w:r>
      <w:r w:rsidR="00354AA8" w:rsidRPr="00460745">
        <w:rPr>
          <w:rFonts w:ascii="Times New Roman" w:hAnsi="Times New Roman"/>
          <w:sz w:val="22"/>
          <w:szCs w:val="22"/>
          <w:lang w:val="en-US"/>
        </w:rPr>
        <w:t>ml</w:t>
      </w:r>
      <w:r w:rsidR="00354AA8" w:rsidRPr="00460745">
        <w:rPr>
          <w:rFonts w:ascii="Times New Roman" w:hAnsi="Times New Roman"/>
          <w:sz w:val="22"/>
          <w:szCs w:val="22"/>
        </w:rPr>
        <w:t>/</w:t>
      </w:r>
      <w:r w:rsidR="001D4DEC" w:rsidRPr="00460745">
        <w:rPr>
          <w:rFonts w:ascii="Times New Roman" w:hAnsi="Times New Roman"/>
          <w:sz w:val="22"/>
          <w:szCs w:val="22"/>
        </w:rPr>
        <w:t>λεπτό/έτος. Τ</w:t>
      </w:r>
      <w:r w:rsidR="00354AA8" w:rsidRPr="00460745">
        <w:rPr>
          <w:rFonts w:ascii="Times New Roman" w:hAnsi="Times New Roman"/>
          <w:sz w:val="22"/>
          <w:szCs w:val="22"/>
        </w:rPr>
        <w:t xml:space="preserve">ο 23,1% των ασθενών στην ομάδα της ραμιπρίλης </w:t>
      </w:r>
      <w:r w:rsidR="001D4DEC" w:rsidRPr="00460745">
        <w:rPr>
          <w:rFonts w:ascii="Times New Roman" w:hAnsi="Times New Roman"/>
          <w:sz w:val="22"/>
          <w:szCs w:val="22"/>
        </w:rPr>
        <w:t>επέτυχαν</w:t>
      </w:r>
      <w:r w:rsidR="002D6417" w:rsidRPr="00460745">
        <w:rPr>
          <w:rFonts w:ascii="Times New Roman" w:hAnsi="Times New Roman"/>
          <w:sz w:val="22"/>
          <w:szCs w:val="22"/>
        </w:rPr>
        <w:t xml:space="preserve"> το σύνθετο δευτερεύον τελικό σημείο του διπλασιασμού της αρχικής συγκέντρωσης κρεατινίνης ορού και/ή την τελικού σταδίου νεφρική νόσο (ανάγκη αιμοδιύλισης </w:t>
      </w:r>
      <w:r w:rsidR="00BF2A6B" w:rsidRPr="00460745">
        <w:rPr>
          <w:rFonts w:ascii="Times New Roman" w:hAnsi="Times New Roman"/>
          <w:sz w:val="22"/>
          <w:szCs w:val="22"/>
        </w:rPr>
        <w:t>ή μεταμόσχευσης νεφρού) έναντι 45,5% στην ομάδα του εικονικού φαρμάκου (</w:t>
      </w:r>
      <w:r w:rsidR="00BF2A6B" w:rsidRPr="00460745">
        <w:rPr>
          <w:rFonts w:ascii="Times New Roman" w:hAnsi="Times New Roman"/>
          <w:sz w:val="22"/>
          <w:szCs w:val="22"/>
          <w:lang w:val="en-US"/>
        </w:rPr>
        <w:t>p</w:t>
      </w:r>
      <w:r w:rsidR="00BF2A6B" w:rsidRPr="00460745">
        <w:rPr>
          <w:rFonts w:ascii="Times New Roman" w:hAnsi="Times New Roman"/>
          <w:sz w:val="22"/>
          <w:szCs w:val="22"/>
        </w:rPr>
        <w:t xml:space="preserve"> = 0,02).</w:t>
      </w:r>
    </w:p>
    <w:p w:rsidR="00D73302" w:rsidRPr="00460745" w:rsidRDefault="00D73302" w:rsidP="00266858">
      <w:pPr>
        <w:rPr>
          <w:rFonts w:ascii="Times New Roman" w:hAnsi="Times New Roman"/>
          <w:sz w:val="22"/>
          <w:szCs w:val="22"/>
        </w:rPr>
      </w:pPr>
    </w:p>
    <w:p w:rsidR="00890210" w:rsidRPr="003D7212" w:rsidRDefault="00890210" w:rsidP="00266858">
      <w:pPr>
        <w:rPr>
          <w:rFonts w:ascii="Times New Roman" w:hAnsi="Times New Roman"/>
          <w:sz w:val="22"/>
          <w:szCs w:val="22"/>
          <w:u w:val="single"/>
        </w:rPr>
      </w:pPr>
      <w:r w:rsidRPr="00460745">
        <w:rPr>
          <w:rFonts w:ascii="Times New Roman" w:hAnsi="Times New Roman"/>
          <w:sz w:val="22"/>
          <w:szCs w:val="22"/>
          <w:u w:val="single"/>
        </w:rPr>
        <w:t>Δευτερεύουσα πρόληψη μετά από οξύ έμφραγμα του μυοκαρδίου</w:t>
      </w:r>
    </w:p>
    <w:p w:rsidR="003275A2" w:rsidRPr="00460745" w:rsidRDefault="00890210" w:rsidP="00266858">
      <w:pPr>
        <w:rPr>
          <w:rFonts w:ascii="Times New Roman" w:hAnsi="Times New Roman"/>
          <w:sz w:val="22"/>
          <w:szCs w:val="22"/>
        </w:rPr>
      </w:pPr>
      <w:r w:rsidRPr="00460745">
        <w:rPr>
          <w:rFonts w:ascii="Times New Roman" w:hAnsi="Times New Roman"/>
          <w:sz w:val="22"/>
          <w:szCs w:val="22"/>
        </w:rPr>
        <w:t xml:space="preserve">Η μελέτη </w:t>
      </w:r>
      <w:r w:rsidRPr="00460745">
        <w:rPr>
          <w:rFonts w:ascii="Times New Roman" w:hAnsi="Times New Roman"/>
          <w:sz w:val="22"/>
          <w:szCs w:val="22"/>
          <w:lang w:val="en-US"/>
        </w:rPr>
        <w:t>AIRE</w:t>
      </w:r>
      <w:r w:rsidRPr="00460745">
        <w:rPr>
          <w:rFonts w:ascii="Times New Roman" w:hAnsi="Times New Roman"/>
          <w:sz w:val="22"/>
          <w:szCs w:val="22"/>
        </w:rPr>
        <w:t xml:space="preserve"> συμπεριέλαβε περισσότερους από 2.000 ασθενείς με παροδικά/επιμένοντα κλινικά σημεία καρδιακής ανεπάρκειας μετά από τεκμηριωμένο έμφραγμα του μυοκαρδίου. </w:t>
      </w:r>
      <w:r w:rsidR="00E166E2" w:rsidRPr="00460745">
        <w:rPr>
          <w:rFonts w:ascii="Times New Roman" w:hAnsi="Times New Roman"/>
          <w:sz w:val="22"/>
          <w:szCs w:val="22"/>
        </w:rPr>
        <w:t xml:space="preserve">Η αγωγή με τη ραμιπρίλη άρχισε 3 έως 10 ημέρες μετά το οξύ έμφραγμα του μυοκαρδίου. Η μελέτη έδειξε ότι μετά από ένα μέσο χρόνο παρακολούθησης </w:t>
      </w:r>
      <w:r w:rsidR="00337EA4" w:rsidRPr="00460745">
        <w:rPr>
          <w:rFonts w:ascii="Times New Roman" w:hAnsi="Times New Roman"/>
          <w:sz w:val="22"/>
          <w:szCs w:val="22"/>
        </w:rPr>
        <w:t xml:space="preserve">15 μηνών, η θνησιμότητα στους ασθενείς που έλαβαν αγωγή με ραμιπρίλη ήταν 16,9% και στους ασθενείς που έλαβαν εικονικό φάρμακο ήταν 22,6%. Αυτό υποδεικνύει μία απόλυτη μείωση της θνησιμότητας κατά 5.7% και μείωση του σχετικού κινδύνου κατά 27% [95% </w:t>
      </w:r>
      <w:r w:rsidR="00337EA4" w:rsidRPr="00460745">
        <w:rPr>
          <w:rFonts w:ascii="Times New Roman" w:hAnsi="Times New Roman"/>
          <w:sz w:val="22"/>
          <w:szCs w:val="22"/>
          <w:lang w:val="en-US"/>
        </w:rPr>
        <w:t>CI</w:t>
      </w:r>
      <w:r w:rsidR="00337EA4" w:rsidRPr="00460745">
        <w:rPr>
          <w:rFonts w:ascii="Times New Roman" w:hAnsi="Times New Roman"/>
          <w:sz w:val="22"/>
          <w:szCs w:val="22"/>
        </w:rPr>
        <w:t xml:space="preserve"> (11-40</w:t>
      </w:r>
      <w:r w:rsidR="00AA7AF6" w:rsidRPr="00460745">
        <w:rPr>
          <w:rFonts w:ascii="Times New Roman" w:hAnsi="Times New Roman"/>
          <w:sz w:val="22"/>
          <w:szCs w:val="22"/>
        </w:rPr>
        <w:t>%</w:t>
      </w:r>
      <w:r w:rsidR="00337EA4" w:rsidRPr="00460745">
        <w:rPr>
          <w:rFonts w:ascii="Times New Roman" w:hAnsi="Times New Roman"/>
          <w:sz w:val="22"/>
          <w:szCs w:val="22"/>
        </w:rPr>
        <w:t>)].</w:t>
      </w:r>
    </w:p>
    <w:p w:rsidR="007454EC" w:rsidRPr="00460745" w:rsidRDefault="007454EC" w:rsidP="00266858">
      <w:pPr>
        <w:rPr>
          <w:rFonts w:ascii="Times New Roman" w:hAnsi="Times New Roman"/>
          <w:sz w:val="22"/>
          <w:szCs w:val="22"/>
        </w:rPr>
      </w:pPr>
    </w:p>
    <w:p w:rsidR="00FB3EB2" w:rsidRPr="003D7212" w:rsidRDefault="007454EC" w:rsidP="00266858">
      <w:pPr>
        <w:rPr>
          <w:rFonts w:ascii="Times New Roman" w:hAnsi="Times New Roman"/>
          <w:i/>
          <w:sz w:val="22"/>
          <w:szCs w:val="22"/>
          <w:lang w:val="en-US"/>
        </w:rPr>
      </w:pPr>
      <w:r w:rsidRPr="00460745">
        <w:rPr>
          <w:rFonts w:ascii="Times New Roman" w:hAnsi="Times New Roman"/>
          <w:i/>
          <w:sz w:val="22"/>
          <w:szCs w:val="22"/>
        </w:rPr>
        <w:t>Παιδιατρικός πληθυσμός</w:t>
      </w:r>
    </w:p>
    <w:p w:rsidR="004D0422" w:rsidRPr="003D7212" w:rsidRDefault="007454EC" w:rsidP="00266858">
      <w:pPr>
        <w:rPr>
          <w:rFonts w:ascii="Times New Roman" w:hAnsi="Times New Roman"/>
          <w:sz w:val="22"/>
          <w:szCs w:val="22"/>
        </w:rPr>
      </w:pPr>
      <w:r w:rsidRPr="00460745">
        <w:rPr>
          <w:rFonts w:ascii="Times New Roman" w:hAnsi="Times New Roman"/>
          <w:sz w:val="22"/>
          <w:szCs w:val="22"/>
        </w:rPr>
        <w:t>Σε μία τυχαιοποιημένη, διπλή-τυφλή, ελεγχόμενη με εικονικό φάρμακο κλινική μελέτη που συμπεριέλαβε 244 παιδιατρικούς ασθενείς με υπέρταση (73% πρωτοπαθή υπέρταση), ηλικίας 6</w:t>
      </w:r>
      <w:r w:rsidRPr="00460745">
        <w:rPr>
          <w:rFonts w:ascii="Times New Roman" w:hAnsi="Times New Roman"/>
          <w:sz w:val="22"/>
          <w:szCs w:val="22"/>
        </w:rPr>
        <w:noBreakHyphen/>
        <w:t xml:space="preserve">16 ετών, οι ασθενείς έλαβαν χαμηλή δόση, μέτρια δόση ή υψηλή δόση ραμιπρίλης για την επίτευξη συγκεντρώσεων της ραμιπριλάτης στο πλάσμα αντίστοιχες με το εύρος </w:t>
      </w:r>
      <w:r w:rsidR="00A16953" w:rsidRPr="00460745">
        <w:rPr>
          <w:rFonts w:ascii="Times New Roman" w:hAnsi="Times New Roman"/>
          <w:sz w:val="22"/>
          <w:szCs w:val="22"/>
        </w:rPr>
        <w:t>στους ενήλικες</w:t>
      </w:r>
      <w:r w:rsidRPr="00460745">
        <w:rPr>
          <w:rFonts w:ascii="Times New Roman" w:hAnsi="Times New Roman"/>
          <w:sz w:val="22"/>
          <w:szCs w:val="22"/>
        </w:rPr>
        <w:t xml:space="preserve"> των 1,25 </w:t>
      </w:r>
      <w:r w:rsidRPr="00460745">
        <w:rPr>
          <w:rFonts w:ascii="Times New Roman" w:hAnsi="Times New Roman"/>
          <w:sz w:val="22"/>
          <w:szCs w:val="22"/>
          <w:lang w:val="en-US"/>
        </w:rPr>
        <w:t>mg</w:t>
      </w:r>
      <w:r w:rsidRPr="00460745">
        <w:rPr>
          <w:rFonts w:ascii="Times New Roman" w:hAnsi="Times New Roman"/>
          <w:sz w:val="22"/>
          <w:szCs w:val="22"/>
        </w:rPr>
        <w:t>, 5 </w:t>
      </w:r>
      <w:r w:rsidRPr="00460745">
        <w:rPr>
          <w:rFonts w:ascii="Times New Roman" w:hAnsi="Times New Roman"/>
          <w:sz w:val="22"/>
          <w:szCs w:val="22"/>
          <w:lang w:val="en-US"/>
        </w:rPr>
        <w:t>mg</w:t>
      </w:r>
      <w:r w:rsidRPr="00460745">
        <w:rPr>
          <w:rFonts w:ascii="Times New Roman" w:hAnsi="Times New Roman"/>
          <w:sz w:val="22"/>
          <w:szCs w:val="22"/>
        </w:rPr>
        <w:t xml:space="preserve"> και 20</w:t>
      </w:r>
      <w:r w:rsidRPr="00460745">
        <w:rPr>
          <w:rFonts w:ascii="Times New Roman" w:hAnsi="Times New Roman"/>
          <w:sz w:val="22"/>
          <w:szCs w:val="22"/>
          <w:lang w:val="en-US"/>
        </w:rPr>
        <w:t> mg</w:t>
      </w:r>
      <w:r w:rsidRPr="00460745">
        <w:rPr>
          <w:rFonts w:ascii="Times New Roman" w:hAnsi="Times New Roman"/>
          <w:sz w:val="22"/>
          <w:szCs w:val="22"/>
        </w:rPr>
        <w:t xml:space="preserve"> με βάση το σωματικό βάρος. Στο τέλος των 4</w:t>
      </w:r>
      <w:r w:rsidRPr="00460745">
        <w:t> </w:t>
      </w:r>
      <w:r w:rsidRPr="00460745">
        <w:rPr>
          <w:rFonts w:ascii="Times New Roman" w:hAnsi="Times New Roman"/>
          <w:sz w:val="22"/>
          <w:szCs w:val="22"/>
        </w:rPr>
        <w:t xml:space="preserve">εβδομάδων, η ραμιπρίλη ήταν μη αποτελεσματική για το τελικό σημείο μείωσης της συστολικής αρτηριακής πίεσης, αλλά μείωσε τη διαστολική αρτηριακή πίεση στη μέγιστη δόση. Τόσο οι μέτριες, όσο και οι υψηλές δόσεις της </w:t>
      </w:r>
      <w:r w:rsidR="00E43C06" w:rsidRPr="00460745">
        <w:rPr>
          <w:rFonts w:ascii="Times New Roman" w:hAnsi="Times New Roman"/>
          <w:sz w:val="22"/>
          <w:szCs w:val="22"/>
        </w:rPr>
        <w:t>ρ</w:t>
      </w:r>
      <w:r w:rsidRPr="00460745">
        <w:rPr>
          <w:rFonts w:ascii="Times New Roman" w:hAnsi="Times New Roman"/>
          <w:sz w:val="22"/>
          <w:szCs w:val="22"/>
        </w:rPr>
        <w:t>αμιπρίλης έδειξαν σημαντική μείωση και της συστολικής και της διαστολικής αρτηριακής πίεσης στα παιδιά με επιβεβαιωμένη υπέρταση.</w:t>
      </w:r>
    </w:p>
    <w:p w:rsidR="004D0422" w:rsidRPr="00460745" w:rsidRDefault="00E93C00" w:rsidP="00266858">
      <w:r w:rsidRPr="00460745">
        <w:rPr>
          <w:rFonts w:ascii="Times New Roman" w:hAnsi="Times New Roman"/>
          <w:sz w:val="22"/>
          <w:szCs w:val="22"/>
        </w:rPr>
        <w:t>Το αποτέλεσμα αυτό δεν εμφανίστηκε σε μια 4 εβδομάδων, κλιμακούμενης δόσης, τυχαιοποιημένη, διπλή</w:t>
      </w:r>
      <w:r w:rsidRPr="00460745">
        <w:rPr>
          <w:rFonts w:ascii="Times New Roman" w:hAnsi="Times New Roman"/>
          <w:sz w:val="22"/>
          <w:szCs w:val="22"/>
        </w:rPr>
        <w:noBreakHyphen/>
        <w:t xml:space="preserve">τυφλή μελέτη </w:t>
      </w:r>
      <w:r w:rsidR="001053D0" w:rsidRPr="00460745">
        <w:rPr>
          <w:rFonts w:ascii="Times New Roman" w:hAnsi="Times New Roman"/>
          <w:sz w:val="22"/>
          <w:szCs w:val="22"/>
        </w:rPr>
        <w:t>απόσυρσης σε 218 παιδιατρικούς ασθενείς ηλικίας 6</w:t>
      </w:r>
      <w:r w:rsidR="001053D0" w:rsidRPr="00460745">
        <w:rPr>
          <w:rFonts w:ascii="Times New Roman" w:hAnsi="Times New Roman"/>
          <w:sz w:val="22"/>
          <w:szCs w:val="22"/>
        </w:rPr>
        <w:noBreakHyphen/>
        <w:t>16 ετών (75% πρωτοπαθή υπέρταση), όπου τόσο η διαστολική, όσο και η συστολική πίεση έδειξ</w:t>
      </w:r>
      <w:r w:rsidR="00A16953" w:rsidRPr="00460745">
        <w:rPr>
          <w:rFonts w:ascii="Times New Roman" w:hAnsi="Times New Roman"/>
          <w:sz w:val="22"/>
          <w:szCs w:val="22"/>
        </w:rPr>
        <w:t>αν</w:t>
      </w:r>
      <w:r w:rsidR="001053D0" w:rsidRPr="00460745">
        <w:rPr>
          <w:rFonts w:ascii="Times New Roman" w:hAnsi="Times New Roman"/>
          <w:sz w:val="22"/>
          <w:szCs w:val="22"/>
        </w:rPr>
        <w:t xml:space="preserve"> μια μέτρια </w:t>
      </w:r>
      <w:r w:rsidR="00A16953" w:rsidRPr="00460745">
        <w:rPr>
          <w:rFonts w:ascii="Times New Roman" w:hAnsi="Times New Roman"/>
          <w:sz w:val="22"/>
          <w:szCs w:val="22"/>
        </w:rPr>
        <w:t>αναπήδηση</w:t>
      </w:r>
      <w:r w:rsidR="001053D0" w:rsidRPr="00460745">
        <w:rPr>
          <w:rFonts w:ascii="Times New Roman" w:hAnsi="Times New Roman"/>
          <w:sz w:val="22"/>
          <w:szCs w:val="22"/>
        </w:rPr>
        <w:t xml:space="preserve">, αλλά όχι μια στατιστικά σημαντική </w:t>
      </w:r>
      <w:r w:rsidR="009261C3" w:rsidRPr="00460745">
        <w:rPr>
          <w:rFonts w:ascii="Times New Roman" w:hAnsi="Times New Roman"/>
          <w:sz w:val="22"/>
          <w:szCs w:val="22"/>
        </w:rPr>
        <w:t>επάνοδο</w:t>
      </w:r>
      <w:r w:rsidR="001053D0" w:rsidRPr="00460745">
        <w:rPr>
          <w:rFonts w:ascii="Times New Roman" w:hAnsi="Times New Roman"/>
          <w:sz w:val="22"/>
          <w:szCs w:val="22"/>
        </w:rPr>
        <w:t xml:space="preserve"> στη</w:t>
      </w:r>
      <w:r w:rsidR="00620DAD" w:rsidRPr="00460745">
        <w:rPr>
          <w:rFonts w:ascii="Times New Roman" w:hAnsi="Times New Roman"/>
          <w:sz w:val="22"/>
          <w:szCs w:val="22"/>
        </w:rPr>
        <w:t xml:space="preserve"> μέτρηση αναφοράς, σε όλα</w:t>
      </w:r>
      <w:r w:rsidR="001053D0" w:rsidRPr="00460745">
        <w:rPr>
          <w:rFonts w:ascii="Times New Roman" w:hAnsi="Times New Roman"/>
          <w:sz w:val="22"/>
          <w:szCs w:val="22"/>
        </w:rPr>
        <w:t xml:space="preserve"> τα επίπεδα δόσης</w:t>
      </w:r>
      <w:r w:rsidR="00540A59" w:rsidRPr="00460745">
        <w:rPr>
          <w:rFonts w:ascii="Times New Roman" w:hAnsi="Times New Roman"/>
          <w:sz w:val="22"/>
          <w:szCs w:val="22"/>
        </w:rPr>
        <w:t xml:space="preserve"> ραμιπρίλης</w:t>
      </w:r>
      <w:r w:rsidR="001053D0" w:rsidRPr="00460745">
        <w:rPr>
          <w:rFonts w:ascii="Times New Roman" w:hAnsi="Times New Roman"/>
          <w:sz w:val="22"/>
          <w:szCs w:val="22"/>
        </w:rPr>
        <w:t xml:space="preserve"> που εξετάστηκαν [χαμηλή δόση (0,625 </w:t>
      </w:r>
      <w:r w:rsidR="001053D0" w:rsidRPr="00460745">
        <w:rPr>
          <w:rFonts w:ascii="Times New Roman" w:hAnsi="Times New Roman"/>
          <w:sz w:val="22"/>
          <w:szCs w:val="22"/>
          <w:lang w:val="en-US"/>
        </w:rPr>
        <w:t>mg</w:t>
      </w:r>
      <w:r w:rsidR="001053D0" w:rsidRPr="00460745">
        <w:rPr>
          <w:rFonts w:ascii="Times New Roman" w:hAnsi="Times New Roman"/>
          <w:sz w:val="22"/>
          <w:szCs w:val="22"/>
        </w:rPr>
        <w:t xml:space="preserve"> – 2,5</w:t>
      </w:r>
      <w:r w:rsidR="001053D0" w:rsidRPr="00460745">
        <w:rPr>
          <w:rFonts w:ascii="Times New Roman" w:hAnsi="Times New Roman"/>
          <w:sz w:val="22"/>
          <w:szCs w:val="22"/>
          <w:lang w:val="en-US"/>
        </w:rPr>
        <w:t> mg</w:t>
      </w:r>
      <w:r w:rsidR="001053D0" w:rsidRPr="00460745">
        <w:rPr>
          <w:rFonts w:ascii="Times New Roman" w:hAnsi="Times New Roman"/>
          <w:sz w:val="22"/>
          <w:szCs w:val="22"/>
        </w:rPr>
        <w:t>), μέτρια δόση</w:t>
      </w:r>
      <w:r w:rsidR="00216854" w:rsidRPr="00460745">
        <w:rPr>
          <w:rFonts w:ascii="Times New Roman" w:hAnsi="Times New Roman"/>
          <w:sz w:val="22"/>
          <w:szCs w:val="22"/>
        </w:rPr>
        <w:t xml:space="preserve"> (2,5 </w:t>
      </w:r>
      <w:r w:rsidR="00216854" w:rsidRPr="00460745">
        <w:rPr>
          <w:rFonts w:ascii="Times New Roman" w:hAnsi="Times New Roman"/>
          <w:sz w:val="22"/>
          <w:szCs w:val="22"/>
          <w:lang w:val="en-US"/>
        </w:rPr>
        <w:t>mg</w:t>
      </w:r>
      <w:r w:rsidR="00216854" w:rsidRPr="00460745">
        <w:rPr>
          <w:rFonts w:ascii="Times New Roman" w:hAnsi="Times New Roman"/>
          <w:sz w:val="22"/>
          <w:szCs w:val="22"/>
        </w:rPr>
        <w:t xml:space="preserve"> – 10</w:t>
      </w:r>
      <w:r w:rsidR="00216854" w:rsidRPr="00460745">
        <w:rPr>
          <w:rFonts w:ascii="Times New Roman" w:hAnsi="Times New Roman"/>
          <w:sz w:val="22"/>
          <w:szCs w:val="22"/>
          <w:lang w:val="en-US"/>
        </w:rPr>
        <w:t> mg</w:t>
      </w:r>
      <w:r w:rsidR="00216854" w:rsidRPr="00460745">
        <w:rPr>
          <w:rFonts w:ascii="Times New Roman" w:hAnsi="Times New Roman"/>
          <w:sz w:val="22"/>
          <w:szCs w:val="22"/>
        </w:rPr>
        <w:t>) ή υψηλή δόση (5 </w:t>
      </w:r>
      <w:r w:rsidR="00216854" w:rsidRPr="00460745">
        <w:rPr>
          <w:rFonts w:ascii="Times New Roman" w:hAnsi="Times New Roman"/>
          <w:sz w:val="22"/>
          <w:szCs w:val="22"/>
          <w:lang w:val="en-US"/>
        </w:rPr>
        <w:t>mg</w:t>
      </w:r>
      <w:r w:rsidR="00216854" w:rsidRPr="00460745">
        <w:rPr>
          <w:rFonts w:ascii="Times New Roman" w:hAnsi="Times New Roman"/>
          <w:sz w:val="22"/>
          <w:szCs w:val="22"/>
        </w:rPr>
        <w:t xml:space="preserve"> – 20</w:t>
      </w:r>
      <w:r w:rsidR="00216854" w:rsidRPr="00460745">
        <w:rPr>
          <w:rFonts w:ascii="Times New Roman" w:hAnsi="Times New Roman"/>
          <w:sz w:val="22"/>
          <w:szCs w:val="22"/>
          <w:lang w:val="en-US"/>
        </w:rPr>
        <w:t> mg</w:t>
      </w:r>
      <w:r w:rsidR="00540A59" w:rsidRPr="00460745">
        <w:rPr>
          <w:rFonts w:ascii="Times New Roman" w:hAnsi="Times New Roman"/>
          <w:sz w:val="22"/>
          <w:szCs w:val="22"/>
        </w:rPr>
        <w:t>)] βάσει του βάρους. Η ραμιπρίλη δεν είχε μια γραμμική ανταπόκριση στη δόση στον παιδιατρικό πληθυσμό που μελετήθηκε.</w:t>
      </w:r>
    </w:p>
    <w:p w:rsidR="00520CDC" w:rsidRPr="00460745" w:rsidRDefault="00520CDC" w:rsidP="00266858">
      <w:pPr>
        <w:rPr>
          <w:rFonts w:ascii="Times New Roman" w:hAnsi="Times New Roman"/>
          <w:sz w:val="22"/>
          <w:szCs w:val="22"/>
        </w:rPr>
      </w:pPr>
    </w:p>
    <w:p w:rsidR="00520CDC" w:rsidRPr="003D7212" w:rsidRDefault="00520CDC" w:rsidP="00266858">
      <w:pPr>
        <w:rPr>
          <w:rFonts w:ascii="Times New Roman" w:hAnsi="Times New Roman"/>
          <w:b/>
          <w:sz w:val="22"/>
          <w:szCs w:val="22"/>
          <w:lang w:val="en-US"/>
        </w:rPr>
      </w:pPr>
      <w:r w:rsidRPr="00460745">
        <w:rPr>
          <w:rFonts w:ascii="Times New Roman" w:hAnsi="Times New Roman"/>
          <w:b/>
          <w:sz w:val="22"/>
          <w:szCs w:val="22"/>
        </w:rPr>
        <w:t>5.2 Φαρμακοκινητικές ιδιότητες</w:t>
      </w:r>
    </w:p>
    <w:p w:rsidR="00D050D2" w:rsidRPr="003D7212" w:rsidRDefault="00D050D2" w:rsidP="00266858">
      <w:pPr>
        <w:rPr>
          <w:rFonts w:ascii="Times New Roman" w:hAnsi="Times New Roman"/>
          <w:i/>
          <w:sz w:val="22"/>
          <w:szCs w:val="22"/>
          <w:u w:val="single"/>
          <w:lang w:val="en-US"/>
        </w:rPr>
      </w:pPr>
      <w:r w:rsidRPr="00460745">
        <w:rPr>
          <w:rFonts w:ascii="Times New Roman" w:hAnsi="Times New Roman"/>
          <w:i/>
          <w:sz w:val="22"/>
          <w:szCs w:val="22"/>
          <w:u w:val="single"/>
        </w:rPr>
        <w:t>Φαρμακοκινητική και Μεταβολισμός</w:t>
      </w:r>
    </w:p>
    <w:p w:rsidR="00D050D2" w:rsidRPr="00460745" w:rsidRDefault="00D050D2" w:rsidP="00266858">
      <w:pPr>
        <w:rPr>
          <w:rFonts w:ascii="Times New Roman" w:hAnsi="Times New Roman"/>
          <w:sz w:val="22"/>
          <w:szCs w:val="22"/>
          <w:u w:val="single"/>
        </w:rPr>
      </w:pPr>
      <w:r w:rsidRPr="00460745">
        <w:rPr>
          <w:rFonts w:ascii="Times New Roman" w:hAnsi="Times New Roman"/>
          <w:sz w:val="22"/>
          <w:szCs w:val="22"/>
          <w:u w:val="single"/>
        </w:rPr>
        <w:t>Απορρόφηση</w:t>
      </w:r>
    </w:p>
    <w:p w:rsidR="007F4339" w:rsidRPr="003D7212" w:rsidRDefault="00520CDC" w:rsidP="00266858">
      <w:pPr>
        <w:rPr>
          <w:rFonts w:ascii="Times New Roman" w:hAnsi="Times New Roman"/>
          <w:sz w:val="22"/>
          <w:szCs w:val="22"/>
        </w:rPr>
      </w:pPr>
      <w:r w:rsidRPr="00460745">
        <w:rPr>
          <w:rFonts w:ascii="Times New Roman" w:hAnsi="Times New Roman"/>
          <w:sz w:val="22"/>
          <w:szCs w:val="22"/>
        </w:rPr>
        <w:t>Η ραμιπρίλη χορηγούμενη από του στόματος απορροφάται ταχέως</w:t>
      </w:r>
      <w:r w:rsidR="008C5AC5" w:rsidRPr="00460745">
        <w:rPr>
          <w:rFonts w:ascii="Times New Roman" w:hAnsi="Times New Roman"/>
          <w:sz w:val="22"/>
          <w:szCs w:val="22"/>
        </w:rPr>
        <w:t xml:space="preserve"> από το γαστρεντερικό σωλήνα: η μέγιστη συγκέντρωση της ραμιπρίλης στο πλάσμα επιτυγχάνεται μέσα σε 1 ώρα</w:t>
      </w:r>
      <w:r w:rsidRPr="00460745">
        <w:rPr>
          <w:rFonts w:ascii="Times New Roman" w:hAnsi="Times New Roman"/>
          <w:sz w:val="22"/>
          <w:szCs w:val="22"/>
        </w:rPr>
        <w:t>. Όπως μετρήθηκε από την ανεύρεση στα ούρα</w:t>
      </w:r>
      <w:r w:rsidR="008C5AC5" w:rsidRPr="00460745">
        <w:rPr>
          <w:rFonts w:ascii="Times New Roman" w:hAnsi="Times New Roman"/>
          <w:sz w:val="22"/>
          <w:szCs w:val="22"/>
        </w:rPr>
        <w:t xml:space="preserve">, ο βαθμός </w:t>
      </w:r>
      <w:r w:rsidRPr="00460745">
        <w:rPr>
          <w:rFonts w:ascii="Times New Roman" w:hAnsi="Times New Roman"/>
          <w:sz w:val="22"/>
          <w:szCs w:val="22"/>
        </w:rPr>
        <w:t>απορρόφηση</w:t>
      </w:r>
      <w:r w:rsidR="008C5AC5" w:rsidRPr="00460745">
        <w:rPr>
          <w:rFonts w:ascii="Times New Roman" w:hAnsi="Times New Roman"/>
          <w:sz w:val="22"/>
          <w:szCs w:val="22"/>
        </w:rPr>
        <w:t xml:space="preserve">ς </w:t>
      </w:r>
      <w:r w:rsidRPr="00460745">
        <w:rPr>
          <w:rFonts w:ascii="Times New Roman" w:hAnsi="Times New Roman"/>
          <w:sz w:val="22"/>
          <w:szCs w:val="22"/>
        </w:rPr>
        <w:t>είναι τουλάχιστον 56%</w:t>
      </w:r>
      <w:r w:rsidR="008C5AC5" w:rsidRPr="00460745">
        <w:rPr>
          <w:rFonts w:ascii="Times New Roman" w:hAnsi="Times New Roman"/>
          <w:sz w:val="22"/>
          <w:szCs w:val="22"/>
        </w:rPr>
        <w:t xml:space="preserve"> και δεν επηρεάζεται </w:t>
      </w:r>
      <w:r w:rsidR="00E34286" w:rsidRPr="00460745">
        <w:rPr>
          <w:rFonts w:ascii="Times New Roman" w:hAnsi="Times New Roman"/>
          <w:sz w:val="22"/>
          <w:szCs w:val="22"/>
        </w:rPr>
        <w:t xml:space="preserve">σημαντικά </w:t>
      </w:r>
      <w:r w:rsidR="008C5AC5" w:rsidRPr="00460745">
        <w:rPr>
          <w:rFonts w:ascii="Times New Roman" w:hAnsi="Times New Roman"/>
          <w:sz w:val="22"/>
          <w:szCs w:val="22"/>
        </w:rPr>
        <w:t>από την παρουσία</w:t>
      </w:r>
      <w:r w:rsidRPr="00460745">
        <w:rPr>
          <w:rFonts w:ascii="Times New Roman" w:hAnsi="Times New Roman"/>
          <w:sz w:val="22"/>
          <w:szCs w:val="22"/>
        </w:rPr>
        <w:t xml:space="preserve"> τροφή</w:t>
      </w:r>
      <w:r w:rsidR="008C5AC5" w:rsidRPr="00460745">
        <w:rPr>
          <w:rFonts w:ascii="Times New Roman" w:hAnsi="Times New Roman"/>
          <w:sz w:val="22"/>
          <w:szCs w:val="22"/>
        </w:rPr>
        <w:t>ς στο γαστρεντερικό σωλήνα</w:t>
      </w:r>
      <w:r w:rsidRPr="00460745">
        <w:rPr>
          <w:rFonts w:ascii="Times New Roman" w:hAnsi="Times New Roman"/>
          <w:sz w:val="22"/>
          <w:szCs w:val="22"/>
        </w:rPr>
        <w:t>.</w:t>
      </w:r>
      <w:r w:rsidR="007F4339" w:rsidRPr="00460745">
        <w:rPr>
          <w:rFonts w:ascii="Times New Roman" w:hAnsi="Times New Roman"/>
          <w:sz w:val="22"/>
          <w:szCs w:val="22"/>
        </w:rPr>
        <w:t xml:space="preserve"> Η βιοδιαθεσιμότητα του </w:t>
      </w:r>
      <w:r w:rsidR="0020296D" w:rsidRPr="00460745">
        <w:rPr>
          <w:rFonts w:ascii="Times New Roman" w:hAnsi="Times New Roman"/>
          <w:sz w:val="22"/>
          <w:szCs w:val="22"/>
        </w:rPr>
        <w:t>δραστικού</w:t>
      </w:r>
      <w:r w:rsidR="007F4339" w:rsidRPr="00460745">
        <w:rPr>
          <w:rFonts w:ascii="Times New Roman" w:hAnsi="Times New Roman"/>
          <w:sz w:val="22"/>
          <w:szCs w:val="22"/>
        </w:rPr>
        <w:t xml:space="preserve"> μεταβολίτη ραμιπριλάτη μετά την από του στόματος χορήγηση 2,5 </w:t>
      </w:r>
      <w:r w:rsidR="007F4339" w:rsidRPr="00460745">
        <w:rPr>
          <w:rFonts w:ascii="Times New Roman" w:hAnsi="Times New Roman"/>
          <w:sz w:val="22"/>
          <w:szCs w:val="22"/>
          <w:lang w:val="en-US"/>
        </w:rPr>
        <w:t>mg</w:t>
      </w:r>
      <w:r w:rsidR="007F4339" w:rsidRPr="00460745">
        <w:rPr>
          <w:rFonts w:ascii="Times New Roman" w:hAnsi="Times New Roman"/>
          <w:sz w:val="22"/>
          <w:szCs w:val="22"/>
        </w:rPr>
        <w:t xml:space="preserve"> και 5</w:t>
      </w:r>
      <w:r w:rsidR="007F4339" w:rsidRPr="00460745">
        <w:rPr>
          <w:rFonts w:ascii="Times New Roman" w:hAnsi="Times New Roman"/>
          <w:sz w:val="22"/>
          <w:szCs w:val="22"/>
          <w:lang w:val="en-US"/>
        </w:rPr>
        <w:t> mg</w:t>
      </w:r>
      <w:r w:rsidR="007F4339" w:rsidRPr="00460745">
        <w:rPr>
          <w:rFonts w:ascii="Times New Roman" w:hAnsi="Times New Roman"/>
          <w:sz w:val="22"/>
          <w:szCs w:val="22"/>
        </w:rPr>
        <w:t xml:space="preserve"> ραμιπρίλης είναι 45%.</w:t>
      </w:r>
    </w:p>
    <w:p w:rsidR="00222C0B" w:rsidRPr="00460745" w:rsidRDefault="00520CDC" w:rsidP="00266858">
      <w:pPr>
        <w:rPr>
          <w:rFonts w:ascii="Times New Roman" w:hAnsi="Times New Roman"/>
          <w:sz w:val="22"/>
          <w:szCs w:val="22"/>
        </w:rPr>
      </w:pPr>
      <w:r w:rsidRPr="00460745">
        <w:rPr>
          <w:rFonts w:ascii="Times New Roman" w:hAnsi="Times New Roman"/>
          <w:sz w:val="22"/>
          <w:szCs w:val="22"/>
        </w:rPr>
        <w:t>Οι μέγιστες συγκεντρώσεις της ραμιπριλάτης στο πλάσμα</w:t>
      </w:r>
      <w:r w:rsidR="0020296D" w:rsidRPr="00460745">
        <w:rPr>
          <w:rFonts w:ascii="Times New Roman" w:hAnsi="Times New Roman"/>
          <w:sz w:val="22"/>
          <w:szCs w:val="22"/>
        </w:rPr>
        <w:t>, του μοναδικού δραστικού μεταβολίτη της ραμιπρίλης,</w:t>
      </w:r>
      <w:r w:rsidRPr="00460745">
        <w:rPr>
          <w:rFonts w:ascii="Times New Roman" w:hAnsi="Times New Roman"/>
          <w:sz w:val="22"/>
          <w:szCs w:val="22"/>
        </w:rPr>
        <w:t xml:space="preserve"> επιτυγχάνονται σε 2-4 ώρες μετά τη</w:t>
      </w:r>
      <w:r w:rsidR="00AE0246" w:rsidRPr="00460745">
        <w:rPr>
          <w:rFonts w:ascii="Times New Roman" w:hAnsi="Times New Roman"/>
          <w:sz w:val="22"/>
          <w:szCs w:val="22"/>
        </w:rPr>
        <w:t xml:space="preserve"> λήψη τ</w:t>
      </w:r>
      <w:r w:rsidR="0020296D" w:rsidRPr="00460745">
        <w:rPr>
          <w:rFonts w:ascii="Times New Roman" w:hAnsi="Times New Roman"/>
          <w:sz w:val="22"/>
          <w:szCs w:val="22"/>
        </w:rPr>
        <w:t>ης</w:t>
      </w:r>
      <w:r w:rsidR="00AE0246" w:rsidRPr="00460745">
        <w:rPr>
          <w:rFonts w:ascii="Times New Roman" w:hAnsi="Times New Roman"/>
          <w:sz w:val="22"/>
          <w:szCs w:val="22"/>
        </w:rPr>
        <w:t xml:space="preserve"> </w:t>
      </w:r>
      <w:r w:rsidR="0020296D" w:rsidRPr="00460745">
        <w:rPr>
          <w:rFonts w:ascii="Times New Roman" w:hAnsi="Times New Roman"/>
          <w:sz w:val="22"/>
          <w:szCs w:val="22"/>
        </w:rPr>
        <w:t>ραμιπρίλης</w:t>
      </w:r>
      <w:r w:rsidRPr="00460745">
        <w:rPr>
          <w:rFonts w:ascii="Times New Roman" w:hAnsi="Times New Roman"/>
          <w:sz w:val="22"/>
          <w:szCs w:val="22"/>
        </w:rPr>
        <w:t>.</w:t>
      </w:r>
      <w:r w:rsidR="00666E49" w:rsidRPr="00460745">
        <w:rPr>
          <w:rFonts w:ascii="Times New Roman" w:hAnsi="Times New Roman"/>
          <w:sz w:val="22"/>
          <w:szCs w:val="22"/>
        </w:rPr>
        <w:t xml:space="preserve"> </w:t>
      </w:r>
      <w:r w:rsidR="00C37076" w:rsidRPr="00460745">
        <w:rPr>
          <w:rFonts w:ascii="Times New Roman" w:hAnsi="Times New Roman"/>
          <w:sz w:val="22"/>
          <w:szCs w:val="22"/>
        </w:rPr>
        <w:t xml:space="preserve">Κατάσταση ισορροπίας </w:t>
      </w:r>
      <w:r w:rsidR="00C37076" w:rsidRPr="00460745">
        <w:rPr>
          <w:rFonts w:ascii="Times New Roman" w:hAnsi="Times New Roman"/>
          <w:sz w:val="22"/>
          <w:szCs w:val="22"/>
        </w:rPr>
        <w:lastRenderedPageBreak/>
        <w:t>συγκέντρωσης</w:t>
      </w:r>
      <w:r w:rsidR="00666E49" w:rsidRPr="00460745">
        <w:rPr>
          <w:rFonts w:ascii="Times New Roman" w:hAnsi="Times New Roman"/>
          <w:sz w:val="22"/>
          <w:szCs w:val="22"/>
        </w:rPr>
        <w:t xml:space="preserve"> ραμιπριλάτης στο πλάσμα μετά απ</w:t>
      </w:r>
      <w:r w:rsidR="007722B4" w:rsidRPr="00460745">
        <w:rPr>
          <w:rFonts w:ascii="Times New Roman" w:hAnsi="Times New Roman"/>
          <w:sz w:val="22"/>
          <w:szCs w:val="22"/>
        </w:rPr>
        <w:t>ό εφάπαξ ημερησία δόση,</w:t>
      </w:r>
      <w:r w:rsidR="00666E49" w:rsidRPr="00460745">
        <w:rPr>
          <w:rFonts w:ascii="Times New Roman" w:hAnsi="Times New Roman"/>
          <w:sz w:val="22"/>
          <w:szCs w:val="22"/>
        </w:rPr>
        <w:t xml:space="preserve"> με τις συνήθεις δόσεις της ραμιπρίλης</w:t>
      </w:r>
      <w:r w:rsidR="007722B4" w:rsidRPr="00460745">
        <w:rPr>
          <w:rFonts w:ascii="Times New Roman" w:hAnsi="Times New Roman"/>
          <w:sz w:val="22"/>
          <w:szCs w:val="22"/>
        </w:rPr>
        <w:t>,</w:t>
      </w:r>
      <w:r w:rsidR="00666E49" w:rsidRPr="00460745">
        <w:rPr>
          <w:rFonts w:ascii="Times New Roman" w:hAnsi="Times New Roman"/>
          <w:sz w:val="22"/>
          <w:szCs w:val="22"/>
        </w:rPr>
        <w:t xml:space="preserve"> επιτυγχάνονται περίπου κατά την τέταρτη ημέρα της αγωγής.</w:t>
      </w:r>
    </w:p>
    <w:p w:rsidR="00222C0B" w:rsidRPr="00460745" w:rsidRDefault="00222C0B" w:rsidP="00266858">
      <w:pPr>
        <w:rPr>
          <w:rFonts w:ascii="Times New Roman" w:hAnsi="Times New Roman"/>
          <w:sz w:val="22"/>
          <w:szCs w:val="22"/>
        </w:rPr>
      </w:pPr>
    </w:p>
    <w:p w:rsidR="00222C0B" w:rsidRPr="00460745" w:rsidRDefault="00222C0B" w:rsidP="00266858">
      <w:pPr>
        <w:rPr>
          <w:rFonts w:ascii="Times New Roman" w:hAnsi="Times New Roman"/>
          <w:sz w:val="22"/>
          <w:szCs w:val="22"/>
          <w:u w:val="single"/>
        </w:rPr>
      </w:pPr>
      <w:r w:rsidRPr="00460745">
        <w:rPr>
          <w:rFonts w:ascii="Times New Roman" w:hAnsi="Times New Roman"/>
          <w:sz w:val="22"/>
          <w:szCs w:val="22"/>
          <w:u w:val="single"/>
        </w:rPr>
        <w:t>Κατανομή</w:t>
      </w:r>
    </w:p>
    <w:p w:rsidR="00AD3180" w:rsidRPr="00460745" w:rsidRDefault="00AE0246" w:rsidP="00266858">
      <w:pPr>
        <w:rPr>
          <w:rFonts w:ascii="Times New Roman" w:hAnsi="Times New Roman"/>
          <w:sz w:val="22"/>
          <w:szCs w:val="22"/>
        </w:rPr>
      </w:pPr>
      <w:r w:rsidRPr="00460745">
        <w:rPr>
          <w:rFonts w:ascii="Times New Roman" w:hAnsi="Times New Roman"/>
          <w:sz w:val="22"/>
          <w:szCs w:val="22"/>
        </w:rPr>
        <w:t xml:space="preserve">Η σύνδεση της ραμιπρίλης με τις πρωτεΐνες του ορού είναι περίπου 73% και εκείνη της ραμιπριλάτης περίπου 56%. </w:t>
      </w:r>
    </w:p>
    <w:p w:rsidR="003D7212" w:rsidRDefault="003D7212" w:rsidP="00266858">
      <w:pPr>
        <w:rPr>
          <w:rFonts w:ascii="Times New Roman" w:hAnsi="Times New Roman"/>
          <w:sz w:val="22"/>
          <w:szCs w:val="22"/>
          <w:lang w:val="en-US"/>
        </w:rPr>
      </w:pPr>
    </w:p>
    <w:p w:rsidR="00AD3180" w:rsidRPr="003D7212" w:rsidRDefault="00AD3180" w:rsidP="00266858">
      <w:pPr>
        <w:rPr>
          <w:rFonts w:ascii="Times New Roman" w:hAnsi="Times New Roman"/>
          <w:sz w:val="22"/>
          <w:szCs w:val="22"/>
        </w:rPr>
      </w:pPr>
      <w:r w:rsidRPr="00460745">
        <w:rPr>
          <w:rFonts w:ascii="Times New Roman" w:hAnsi="Times New Roman"/>
          <w:sz w:val="22"/>
          <w:szCs w:val="22"/>
          <w:u w:val="single"/>
        </w:rPr>
        <w:t>Μεταβολισμός</w:t>
      </w:r>
    </w:p>
    <w:p w:rsidR="008B681A" w:rsidRPr="00460745" w:rsidRDefault="00AE0246" w:rsidP="00266858">
      <w:pPr>
        <w:rPr>
          <w:rFonts w:ascii="Times New Roman" w:hAnsi="Times New Roman"/>
          <w:sz w:val="22"/>
          <w:szCs w:val="22"/>
        </w:rPr>
      </w:pPr>
      <w:r w:rsidRPr="00460745">
        <w:rPr>
          <w:rFonts w:ascii="Times New Roman" w:hAnsi="Times New Roman"/>
          <w:sz w:val="22"/>
          <w:szCs w:val="22"/>
        </w:rPr>
        <w:t xml:space="preserve">Η ραμιπρίλη μεταβολίζεται σχεδόν εξολοκλήρου στη ραμιπριλάτη και </w:t>
      </w:r>
      <w:r w:rsidR="0087181C" w:rsidRPr="00460745">
        <w:rPr>
          <w:rFonts w:ascii="Times New Roman" w:hAnsi="Times New Roman"/>
          <w:sz w:val="22"/>
          <w:szCs w:val="22"/>
        </w:rPr>
        <w:t xml:space="preserve">στον εστέρα δικετοπιπεραζίνης, στο δικετοπιπεραζινικό οξύ και στα γλυκουρονίδια της ραμιπρίλης και της ραμιπριλάτης. </w:t>
      </w:r>
    </w:p>
    <w:p w:rsidR="008B681A" w:rsidRPr="00460745" w:rsidRDefault="008B681A" w:rsidP="00266858">
      <w:pPr>
        <w:rPr>
          <w:rFonts w:ascii="Times New Roman" w:hAnsi="Times New Roman"/>
          <w:sz w:val="22"/>
          <w:szCs w:val="22"/>
        </w:rPr>
      </w:pPr>
    </w:p>
    <w:p w:rsidR="008B681A" w:rsidRPr="00460745" w:rsidRDefault="008B681A" w:rsidP="00266858">
      <w:pPr>
        <w:rPr>
          <w:rFonts w:ascii="Times New Roman" w:hAnsi="Times New Roman"/>
          <w:sz w:val="22"/>
          <w:szCs w:val="22"/>
          <w:u w:val="single"/>
        </w:rPr>
      </w:pPr>
      <w:r w:rsidRPr="00460745">
        <w:rPr>
          <w:rFonts w:ascii="Times New Roman" w:hAnsi="Times New Roman"/>
          <w:sz w:val="22"/>
          <w:szCs w:val="22"/>
          <w:u w:val="single"/>
        </w:rPr>
        <w:t>Απέκκριση</w:t>
      </w:r>
    </w:p>
    <w:p w:rsidR="00520CDC" w:rsidRPr="00460745" w:rsidRDefault="0087181C" w:rsidP="00266858">
      <w:pPr>
        <w:rPr>
          <w:rFonts w:ascii="Times New Roman" w:hAnsi="Times New Roman"/>
          <w:sz w:val="22"/>
          <w:szCs w:val="22"/>
        </w:rPr>
      </w:pPr>
      <w:r w:rsidRPr="00460745">
        <w:rPr>
          <w:rFonts w:ascii="Times New Roman" w:hAnsi="Times New Roman"/>
          <w:sz w:val="22"/>
          <w:szCs w:val="22"/>
        </w:rPr>
        <w:t>Η απέκκριση των μεταβολιτών είναι κυρίως νεφρική.</w:t>
      </w:r>
    </w:p>
    <w:p w:rsidR="00666E49" w:rsidRPr="00460745" w:rsidRDefault="00520CDC" w:rsidP="00266858">
      <w:pPr>
        <w:rPr>
          <w:rFonts w:ascii="Times New Roman" w:hAnsi="Times New Roman"/>
          <w:sz w:val="22"/>
          <w:szCs w:val="22"/>
        </w:rPr>
      </w:pPr>
      <w:r w:rsidRPr="00460745">
        <w:rPr>
          <w:rFonts w:ascii="Times New Roman" w:hAnsi="Times New Roman"/>
          <w:sz w:val="22"/>
          <w:szCs w:val="22"/>
        </w:rPr>
        <w:t xml:space="preserve">Η συγκέντρωση ραμιπριλάτης στο πλάσμα μειώνεται με πολυφασικό τρόπο. </w:t>
      </w:r>
      <w:r w:rsidR="00D753C6" w:rsidRPr="00460745">
        <w:rPr>
          <w:rFonts w:ascii="Times New Roman" w:hAnsi="Times New Roman"/>
          <w:sz w:val="22"/>
          <w:szCs w:val="22"/>
        </w:rPr>
        <w:t xml:space="preserve">Λόγω </w:t>
      </w:r>
      <w:r w:rsidR="00E34286" w:rsidRPr="00460745">
        <w:rPr>
          <w:rFonts w:ascii="Times New Roman" w:hAnsi="Times New Roman"/>
          <w:sz w:val="22"/>
          <w:szCs w:val="22"/>
        </w:rPr>
        <w:t>του</w:t>
      </w:r>
      <w:r w:rsidR="00D753C6" w:rsidRPr="00460745">
        <w:rPr>
          <w:rFonts w:ascii="Times New Roman" w:hAnsi="Times New Roman"/>
          <w:sz w:val="22"/>
          <w:szCs w:val="22"/>
        </w:rPr>
        <w:t xml:space="preserve"> ισχυρού, κεκορεσμένου δεσμού με το ΜΕΑ και το βραδύ διαχωρισμό από το ένζυμο, η ραμιπριλάτη παρουσιάζει μία πα</w:t>
      </w:r>
      <w:r w:rsidR="009E3AF5" w:rsidRPr="00460745">
        <w:rPr>
          <w:rFonts w:ascii="Times New Roman" w:hAnsi="Times New Roman"/>
          <w:sz w:val="22"/>
          <w:szCs w:val="22"/>
        </w:rPr>
        <w:t>ρατεταμένη τελική φάση αποβολής</w:t>
      </w:r>
      <w:r w:rsidRPr="00460745">
        <w:rPr>
          <w:rFonts w:ascii="Times New Roman" w:hAnsi="Times New Roman"/>
          <w:sz w:val="22"/>
          <w:szCs w:val="22"/>
        </w:rPr>
        <w:t xml:space="preserve"> με πολύ χαμηλές συγκεντρώσεις στο πλάσμα.</w:t>
      </w:r>
      <w:r w:rsidR="00D753C6" w:rsidRPr="00460745">
        <w:rPr>
          <w:rFonts w:ascii="Times New Roman" w:hAnsi="Times New Roman"/>
          <w:sz w:val="22"/>
          <w:szCs w:val="22"/>
        </w:rPr>
        <w:t xml:space="preserve"> </w:t>
      </w:r>
    </w:p>
    <w:p w:rsidR="00520CDC" w:rsidRPr="00460745" w:rsidRDefault="00D753C6" w:rsidP="00266858">
      <w:pPr>
        <w:rPr>
          <w:rFonts w:ascii="Times New Roman" w:hAnsi="Times New Roman"/>
          <w:sz w:val="22"/>
          <w:szCs w:val="22"/>
        </w:rPr>
      </w:pPr>
      <w:r w:rsidRPr="00460745">
        <w:rPr>
          <w:rFonts w:ascii="Times New Roman" w:hAnsi="Times New Roman"/>
          <w:sz w:val="22"/>
          <w:szCs w:val="22"/>
        </w:rPr>
        <w:t>Μ</w:t>
      </w:r>
      <w:r w:rsidR="00520CDC" w:rsidRPr="00460745">
        <w:rPr>
          <w:rFonts w:ascii="Times New Roman" w:hAnsi="Times New Roman"/>
          <w:sz w:val="22"/>
          <w:szCs w:val="22"/>
        </w:rPr>
        <w:t xml:space="preserve">ετά από επαναλαμβανόμενες </w:t>
      </w:r>
      <w:r w:rsidRPr="00460745">
        <w:rPr>
          <w:rFonts w:ascii="Times New Roman" w:hAnsi="Times New Roman"/>
          <w:sz w:val="22"/>
          <w:szCs w:val="22"/>
        </w:rPr>
        <w:t xml:space="preserve">εφάπαξ ημερήσιες </w:t>
      </w:r>
      <w:r w:rsidR="00520CDC" w:rsidRPr="00460745">
        <w:rPr>
          <w:rFonts w:ascii="Times New Roman" w:hAnsi="Times New Roman"/>
          <w:sz w:val="22"/>
          <w:szCs w:val="22"/>
        </w:rPr>
        <w:t>δόσεις</w:t>
      </w:r>
      <w:r w:rsidRPr="00460745">
        <w:rPr>
          <w:rFonts w:ascii="Times New Roman" w:hAnsi="Times New Roman"/>
          <w:sz w:val="22"/>
          <w:szCs w:val="22"/>
        </w:rPr>
        <w:t xml:space="preserve"> ραμιπρίλης</w:t>
      </w:r>
      <w:r w:rsidR="00520CDC" w:rsidRPr="00460745">
        <w:rPr>
          <w:rFonts w:ascii="Times New Roman" w:hAnsi="Times New Roman"/>
          <w:sz w:val="22"/>
          <w:szCs w:val="22"/>
        </w:rPr>
        <w:t>, ο «αποτελεσματικός» χρόνος ημιζωής</w:t>
      </w:r>
      <w:r w:rsidRPr="00460745">
        <w:rPr>
          <w:rFonts w:ascii="Times New Roman" w:hAnsi="Times New Roman"/>
          <w:sz w:val="22"/>
          <w:szCs w:val="22"/>
        </w:rPr>
        <w:t xml:space="preserve"> των συγκεντρώσεων ραμιπριλάτης ήταν</w:t>
      </w:r>
      <w:r w:rsidR="00520CDC" w:rsidRPr="00460745">
        <w:rPr>
          <w:rFonts w:ascii="Times New Roman" w:hAnsi="Times New Roman"/>
          <w:sz w:val="22"/>
          <w:szCs w:val="22"/>
        </w:rPr>
        <w:t xml:space="preserve"> 13 </w:t>
      </w:r>
      <w:r w:rsidRPr="00460745">
        <w:rPr>
          <w:rFonts w:ascii="Times New Roman" w:hAnsi="Times New Roman"/>
          <w:sz w:val="22"/>
          <w:szCs w:val="22"/>
        </w:rPr>
        <w:t>έως</w:t>
      </w:r>
      <w:r w:rsidR="00520CDC" w:rsidRPr="00460745">
        <w:rPr>
          <w:rFonts w:ascii="Times New Roman" w:hAnsi="Times New Roman"/>
          <w:sz w:val="22"/>
          <w:szCs w:val="22"/>
        </w:rPr>
        <w:t xml:space="preserve"> 17 </w:t>
      </w:r>
      <w:r w:rsidRPr="00460745">
        <w:rPr>
          <w:rFonts w:ascii="Times New Roman" w:hAnsi="Times New Roman"/>
          <w:sz w:val="22"/>
          <w:szCs w:val="22"/>
        </w:rPr>
        <w:t>ώρες για δόσεις των 5-10 </w:t>
      </w:r>
      <w:r w:rsidRPr="00460745">
        <w:rPr>
          <w:rFonts w:ascii="Times New Roman" w:hAnsi="Times New Roman"/>
          <w:sz w:val="22"/>
          <w:szCs w:val="22"/>
          <w:lang w:val="en-US"/>
        </w:rPr>
        <w:t>mg</w:t>
      </w:r>
      <w:r w:rsidRPr="00460745">
        <w:rPr>
          <w:rFonts w:ascii="Times New Roman" w:hAnsi="Times New Roman"/>
          <w:sz w:val="22"/>
          <w:szCs w:val="22"/>
        </w:rPr>
        <w:t xml:space="preserve"> και μεγαλύτερος για τις χαμηλότερες δόσεις των 1,25-2,5</w:t>
      </w:r>
      <w:r w:rsidRPr="00460745">
        <w:rPr>
          <w:rFonts w:ascii="Times New Roman" w:hAnsi="Times New Roman"/>
          <w:sz w:val="22"/>
          <w:szCs w:val="22"/>
          <w:lang w:val="en-US"/>
        </w:rPr>
        <w:t> mg</w:t>
      </w:r>
      <w:r w:rsidR="00520CDC" w:rsidRPr="00460745">
        <w:rPr>
          <w:rFonts w:ascii="Times New Roman" w:hAnsi="Times New Roman"/>
          <w:sz w:val="22"/>
          <w:szCs w:val="22"/>
        </w:rPr>
        <w:t>.</w:t>
      </w:r>
      <w:r w:rsidR="00C462EC" w:rsidRPr="00460745">
        <w:rPr>
          <w:rFonts w:ascii="Times New Roman" w:hAnsi="Times New Roman"/>
          <w:sz w:val="22"/>
          <w:szCs w:val="22"/>
        </w:rPr>
        <w:t xml:space="preserve"> Η διαφορά σχετίζεται με τη</w:t>
      </w:r>
      <w:r w:rsidR="00035B18" w:rsidRPr="00460745">
        <w:rPr>
          <w:rFonts w:ascii="Times New Roman" w:hAnsi="Times New Roman"/>
          <w:sz w:val="22"/>
          <w:szCs w:val="22"/>
        </w:rPr>
        <w:t>ν</w:t>
      </w:r>
      <w:r w:rsidR="00C462EC" w:rsidRPr="00460745">
        <w:rPr>
          <w:rFonts w:ascii="Times New Roman" w:hAnsi="Times New Roman"/>
          <w:sz w:val="22"/>
          <w:szCs w:val="22"/>
        </w:rPr>
        <w:t xml:space="preserve"> ικανότητα κορεσμού του ενζύμου </w:t>
      </w:r>
      <w:r w:rsidR="00035B18" w:rsidRPr="00460745">
        <w:rPr>
          <w:rFonts w:ascii="Times New Roman" w:hAnsi="Times New Roman"/>
          <w:sz w:val="22"/>
          <w:szCs w:val="22"/>
        </w:rPr>
        <w:t>όταν</w:t>
      </w:r>
      <w:r w:rsidR="00C462EC" w:rsidRPr="00460745">
        <w:rPr>
          <w:rFonts w:ascii="Times New Roman" w:hAnsi="Times New Roman"/>
          <w:sz w:val="22"/>
          <w:szCs w:val="22"/>
        </w:rPr>
        <w:t xml:space="preserve"> δεσμεύει τη ραμιπριλάτη.</w:t>
      </w:r>
      <w:r w:rsidR="00FB015B" w:rsidRPr="00460745">
        <w:rPr>
          <w:rFonts w:ascii="Times New Roman" w:hAnsi="Times New Roman"/>
          <w:sz w:val="22"/>
          <w:szCs w:val="22"/>
        </w:rPr>
        <w:t xml:space="preserve"> </w:t>
      </w:r>
    </w:p>
    <w:p w:rsidR="00F12DCF" w:rsidRPr="003D7212" w:rsidRDefault="00F12DCF" w:rsidP="00266858">
      <w:pPr>
        <w:rPr>
          <w:rFonts w:ascii="Times New Roman" w:hAnsi="Times New Roman"/>
          <w:sz w:val="22"/>
          <w:szCs w:val="22"/>
          <w:lang w:val="en-US"/>
        </w:rPr>
      </w:pPr>
      <w:r w:rsidRPr="00460745">
        <w:rPr>
          <w:rFonts w:ascii="Times New Roman" w:hAnsi="Times New Roman"/>
          <w:sz w:val="22"/>
          <w:szCs w:val="22"/>
        </w:rPr>
        <w:t xml:space="preserve">Μία εφάπαξ από του στόματος δόση ραμιπρίλης </w:t>
      </w:r>
      <w:r w:rsidR="005F2784" w:rsidRPr="00460745">
        <w:rPr>
          <w:rFonts w:ascii="Times New Roman" w:hAnsi="Times New Roman"/>
          <w:sz w:val="22"/>
          <w:szCs w:val="22"/>
        </w:rPr>
        <w:t>επέφερε</w:t>
      </w:r>
      <w:r w:rsidRPr="00460745">
        <w:rPr>
          <w:rFonts w:ascii="Times New Roman" w:hAnsi="Times New Roman"/>
          <w:sz w:val="22"/>
          <w:szCs w:val="22"/>
        </w:rPr>
        <w:t xml:space="preserve"> επίπεδα ραμιπρίλης και του μεταβολίτη της </w:t>
      </w:r>
      <w:r w:rsidR="005F2784" w:rsidRPr="00460745">
        <w:rPr>
          <w:rFonts w:ascii="Times New Roman" w:hAnsi="Times New Roman"/>
          <w:sz w:val="22"/>
          <w:szCs w:val="22"/>
        </w:rPr>
        <w:t xml:space="preserve">που δεν εντοπίζονταν </w:t>
      </w:r>
      <w:r w:rsidRPr="00460745">
        <w:rPr>
          <w:rFonts w:ascii="Times New Roman" w:hAnsi="Times New Roman"/>
          <w:sz w:val="22"/>
          <w:szCs w:val="22"/>
        </w:rPr>
        <w:t>στο μητρικό γάλα. Ωστόσο, το αποτέλεσμα πολλαπλών δόσεων δεν είναι γνωστό.</w:t>
      </w:r>
    </w:p>
    <w:p w:rsidR="00F12DCF" w:rsidRPr="00460745" w:rsidRDefault="00F12DCF" w:rsidP="00266858">
      <w:pPr>
        <w:rPr>
          <w:rFonts w:ascii="Times New Roman" w:hAnsi="Times New Roman"/>
          <w:sz w:val="22"/>
          <w:szCs w:val="22"/>
        </w:rPr>
      </w:pPr>
      <w:r w:rsidRPr="00460745">
        <w:rPr>
          <w:rFonts w:ascii="Times New Roman" w:hAnsi="Times New Roman"/>
          <w:sz w:val="22"/>
          <w:szCs w:val="22"/>
        </w:rPr>
        <w:t xml:space="preserve">Ασθενείς με νεφρική δυσλειτουργία (βλέπε παράγραφο 4.2) </w:t>
      </w:r>
    </w:p>
    <w:p w:rsidR="00446741" w:rsidRPr="003D7212" w:rsidRDefault="00520CDC" w:rsidP="00266858">
      <w:pPr>
        <w:rPr>
          <w:rFonts w:ascii="Times New Roman" w:hAnsi="Times New Roman"/>
          <w:sz w:val="22"/>
          <w:szCs w:val="22"/>
        </w:rPr>
      </w:pPr>
      <w:r w:rsidRPr="00460745">
        <w:rPr>
          <w:rFonts w:ascii="Times New Roman" w:hAnsi="Times New Roman"/>
          <w:sz w:val="22"/>
          <w:szCs w:val="22"/>
        </w:rPr>
        <w:t>Όταν υπάρχει διαταραχή της νεφρικής λειτουργίας, η αποβολή της ραμιπριλάτης από τους νεφρούς μειώνεται και η κάθαρση της ραμιπριλάτης από τους νεφρούς συνδέεται αναλογικά με την κάθαρση κρεατινίνης. Αυτό έχει ως αποτέλεσμα αυξημένες συγκεντρώσεις ραμιπριλάτης στο πλάσμα</w:t>
      </w:r>
      <w:r w:rsidR="00FB015B" w:rsidRPr="00460745">
        <w:rPr>
          <w:rFonts w:ascii="Times New Roman" w:hAnsi="Times New Roman"/>
          <w:sz w:val="22"/>
          <w:szCs w:val="22"/>
        </w:rPr>
        <w:t>, οι οποίες</w:t>
      </w:r>
      <w:r w:rsidRPr="00460745">
        <w:rPr>
          <w:rFonts w:ascii="Times New Roman" w:hAnsi="Times New Roman"/>
          <w:sz w:val="22"/>
          <w:szCs w:val="22"/>
        </w:rPr>
        <w:t xml:space="preserve"> μειώνονται πιο αργά από ότι σε ασθενείς με φυσιολογική νεφρική λειτουργία.</w:t>
      </w:r>
    </w:p>
    <w:p w:rsidR="00446741" w:rsidRPr="00460745" w:rsidRDefault="00446741" w:rsidP="00266858">
      <w:pPr>
        <w:rPr>
          <w:rFonts w:ascii="Times New Roman" w:hAnsi="Times New Roman"/>
          <w:sz w:val="22"/>
          <w:szCs w:val="22"/>
        </w:rPr>
      </w:pPr>
      <w:r w:rsidRPr="00460745">
        <w:rPr>
          <w:rFonts w:ascii="Times New Roman" w:hAnsi="Times New Roman"/>
          <w:sz w:val="22"/>
          <w:szCs w:val="22"/>
        </w:rPr>
        <w:t>Ασθενείς με ηπατική δυσλειτουργία (βλέπε παράγραφο 4.2)</w:t>
      </w:r>
    </w:p>
    <w:p w:rsidR="003275A2" w:rsidRPr="00460745" w:rsidRDefault="00FA742A" w:rsidP="00266858">
      <w:pPr>
        <w:rPr>
          <w:rFonts w:ascii="Times New Roman" w:hAnsi="Times New Roman"/>
          <w:sz w:val="22"/>
          <w:szCs w:val="22"/>
        </w:rPr>
      </w:pPr>
      <w:r w:rsidRPr="00460745">
        <w:rPr>
          <w:rFonts w:ascii="Times New Roman" w:hAnsi="Times New Roman"/>
          <w:sz w:val="22"/>
          <w:szCs w:val="22"/>
        </w:rPr>
        <w:t>Σε ασθενείς με</w:t>
      </w:r>
      <w:r w:rsidR="00520CDC" w:rsidRPr="00460745">
        <w:rPr>
          <w:rFonts w:ascii="Times New Roman" w:hAnsi="Times New Roman"/>
          <w:sz w:val="22"/>
          <w:szCs w:val="22"/>
        </w:rPr>
        <w:t xml:space="preserve"> διαταραγμένη ηπατική λειτουργία</w:t>
      </w:r>
      <w:r w:rsidRPr="00460745">
        <w:rPr>
          <w:rFonts w:ascii="Times New Roman" w:hAnsi="Times New Roman"/>
          <w:sz w:val="22"/>
          <w:szCs w:val="22"/>
        </w:rPr>
        <w:t>, ο μεταβολισμός της</w:t>
      </w:r>
      <w:r w:rsidR="00520CDC" w:rsidRPr="00460745">
        <w:rPr>
          <w:rFonts w:ascii="Times New Roman" w:hAnsi="Times New Roman"/>
          <w:sz w:val="22"/>
          <w:szCs w:val="22"/>
        </w:rPr>
        <w:t xml:space="preserve"> ραμιπρίλης σε ραμιπριλάτη</w:t>
      </w:r>
      <w:r w:rsidRPr="00460745">
        <w:rPr>
          <w:rFonts w:ascii="Times New Roman" w:hAnsi="Times New Roman"/>
          <w:sz w:val="22"/>
          <w:szCs w:val="22"/>
        </w:rPr>
        <w:t xml:space="preserve"> καθυστέρησε</w:t>
      </w:r>
      <w:r w:rsidR="00520CDC" w:rsidRPr="00460745">
        <w:rPr>
          <w:rFonts w:ascii="Times New Roman" w:hAnsi="Times New Roman"/>
          <w:sz w:val="22"/>
          <w:szCs w:val="22"/>
        </w:rPr>
        <w:t xml:space="preserve">, </w:t>
      </w:r>
      <w:r w:rsidRPr="00460745">
        <w:rPr>
          <w:rFonts w:ascii="Times New Roman" w:hAnsi="Times New Roman"/>
          <w:sz w:val="22"/>
          <w:szCs w:val="22"/>
        </w:rPr>
        <w:t xml:space="preserve">λόγω μειωμένης δραστηριότητας των ηπατικών εστερασών και τα επίπεδα ραμιπρίλης στο πλάσμα σε αυτούς τους ασθενείς ήταν αυξημένα. Οι μέγιστες συγκεντρώσεις ραμιπριλάτης σε αυτούς τους ασθενείς, ωστόσο, δεν είναι διαφορετικές από εκείνες που εμφανίζονται </w:t>
      </w:r>
      <w:r w:rsidR="00421118" w:rsidRPr="00460745">
        <w:rPr>
          <w:rFonts w:ascii="Times New Roman" w:hAnsi="Times New Roman"/>
          <w:sz w:val="22"/>
          <w:szCs w:val="22"/>
        </w:rPr>
        <w:t>σε ασθενείς με φυσιολογική ηπατική λειτουργία.</w:t>
      </w:r>
    </w:p>
    <w:p w:rsidR="0057267C" w:rsidRPr="00460745" w:rsidRDefault="0057267C" w:rsidP="00266858">
      <w:pPr>
        <w:rPr>
          <w:rFonts w:ascii="Times New Roman" w:hAnsi="Times New Roman"/>
          <w:sz w:val="22"/>
          <w:szCs w:val="22"/>
        </w:rPr>
      </w:pPr>
    </w:p>
    <w:p w:rsidR="006B0809" w:rsidRPr="003D7212" w:rsidRDefault="006B0809" w:rsidP="00266858">
      <w:pPr>
        <w:rPr>
          <w:rFonts w:ascii="Times New Roman" w:hAnsi="Times New Roman"/>
          <w:i/>
          <w:sz w:val="22"/>
          <w:szCs w:val="22"/>
          <w:lang w:val="en-US"/>
        </w:rPr>
      </w:pPr>
      <w:r w:rsidRPr="00460745">
        <w:rPr>
          <w:rFonts w:ascii="Times New Roman" w:hAnsi="Times New Roman"/>
          <w:i/>
          <w:sz w:val="22"/>
          <w:szCs w:val="22"/>
        </w:rPr>
        <w:t>Γαλουχία</w:t>
      </w:r>
    </w:p>
    <w:p w:rsidR="006B0809" w:rsidRPr="00460745" w:rsidRDefault="006B0809" w:rsidP="00266858">
      <w:pPr>
        <w:rPr>
          <w:rFonts w:ascii="Times New Roman" w:hAnsi="Times New Roman"/>
          <w:sz w:val="22"/>
          <w:szCs w:val="22"/>
        </w:rPr>
      </w:pPr>
      <w:r w:rsidRPr="00460745">
        <w:rPr>
          <w:rFonts w:ascii="Times New Roman" w:hAnsi="Times New Roman"/>
          <w:sz w:val="22"/>
          <w:szCs w:val="22"/>
        </w:rPr>
        <w:t>Μια εφ</w:t>
      </w:r>
      <w:r w:rsidR="00A33F2A" w:rsidRPr="00460745">
        <w:rPr>
          <w:rFonts w:ascii="Times New Roman" w:hAnsi="Times New Roman"/>
          <w:sz w:val="22"/>
          <w:szCs w:val="22"/>
        </w:rPr>
        <w:t xml:space="preserve">άπαξ, από στόματος δόση </w:t>
      </w:r>
      <w:r w:rsidRPr="00460745">
        <w:rPr>
          <w:rFonts w:ascii="Times New Roman" w:hAnsi="Times New Roman"/>
          <w:sz w:val="22"/>
          <w:szCs w:val="22"/>
        </w:rPr>
        <w:t>10 </w:t>
      </w:r>
      <w:r w:rsidRPr="00460745">
        <w:rPr>
          <w:rFonts w:ascii="Times New Roman" w:hAnsi="Times New Roman"/>
          <w:sz w:val="22"/>
          <w:szCs w:val="22"/>
          <w:lang w:val="en-US"/>
        </w:rPr>
        <w:t>mg</w:t>
      </w:r>
      <w:r w:rsidRPr="00460745">
        <w:rPr>
          <w:rFonts w:ascii="Times New Roman" w:hAnsi="Times New Roman"/>
          <w:sz w:val="22"/>
          <w:szCs w:val="22"/>
        </w:rPr>
        <w:t xml:space="preserve"> ραμιπρίλης παρήγαγε μη ανιχνεύσιμα επίπεδα στο μητρικό γάλα</w:t>
      </w:r>
      <w:r w:rsidR="00A33F2A" w:rsidRPr="00460745">
        <w:rPr>
          <w:rFonts w:ascii="Times New Roman" w:hAnsi="Times New Roman"/>
          <w:sz w:val="22"/>
          <w:szCs w:val="22"/>
        </w:rPr>
        <w:t xml:space="preserve">. </w:t>
      </w:r>
      <w:r w:rsidR="00BD1CFB" w:rsidRPr="00460745">
        <w:rPr>
          <w:rFonts w:ascii="Times New Roman" w:hAnsi="Times New Roman"/>
          <w:sz w:val="22"/>
          <w:szCs w:val="22"/>
        </w:rPr>
        <w:t>Ωστόσο, το αποτέλεσμα των πολλαπλών δόσεων δεν είναι γνωστό.</w:t>
      </w:r>
    </w:p>
    <w:p w:rsidR="006B0809" w:rsidRPr="00460745" w:rsidRDefault="006B0809" w:rsidP="00266858">
      <w:pPr>
        <w:rPr>
          <w:rFonts w:ascii="Times New Roman" w:hAnsi="Times New Roman"/>
          <w:sz w:val="22"/>
          <w:szCs w:val="22"/>
        </w:rPr>
      </w:pPr>
    </w:p>
    <w:p w:rsidR="00C375FC" w:rsidRPr="003D7212" w:rsidRDefault="00543F05" w:rsidP="00266858">
      <w:pPr>
        <w:rPr>
          <w:rFonts w:ascii="Times New Roman" w:hAnsi="Times New Roman"/>
          <w:i/>
          <w:sz w:val="22"/>
          <w:szCs w:val="22"/>
        </w:rPr>
      </w:pPr>
      <w:r w:rsidRPr="00460745">
        <w:rPr>
          <w:rFonts w:ascii="Times New Roman" w:hAnsi="Times New Roman"/>
          <w:i/>
          <w:sz w:val="22"/>
          <w:szCs w:val="22"/>
        </w:rPr>
        <w:t>Παιδιατρικός πληθυσμός</w:t>
      </w:r>
    </w:p>
    <w:p w:rsidR="00543F05" w:rsidRPr="00460745" w:rsidRDefault="00543F05" w:rsidP="00266858">
      <w:pPr>
        <w:rPr>
          <w:rFonts w:ascii="Times New Roman" w:hAnsi="Times New Roman"/>
          <w:sz w:val="22"/>
          <w:szCs w:val="22"/>
        </w:rPr>
      </w:pPr>
      <w:r w:rsidRPr="00460745">
        <w:rPr>
          <w:rFonts w:ascii="Times New Roman" w:hAnsi="Times New Roman"/>
          <w:sz w:val="22"/>
          <w:szCs w:val="22"/>
        </w:rPr>
        <w:t>Το φαρμακοκινητικό προφίλ της ραμιπρίλης μελετήθηκε σε 30 παιδιατρικούς υπερτασικούς ασθενείς, ηλικίας 2</w:t>
      </w:r>
      <w:r w:rsidRPr="00460745">
        <w:rPr>
          <w:rFonts w:ascii="Times New Roman" w:hAnsi="Times New Roman"/>
          <w:sz w:val="22"/>
          <w:szCs w:val="22"/>
        </w:rPr>
        <w:noBreakHyphen/>
        <w:t>16 ετών, με βάρος ≥10 </w:t>
      </w:r>
      <w:r w:rsidRPr="00460745">
        <w:rPr>
          <w:rFonts w:ascii="Times New Roman" w:hAnsi="Times New Roman"/>
          <w:sz w:val="22"/>
          <w:szCs w:val="22"/>
          <w:lang w:val="en-US"/>
        </w:rPr>
        <w:t>kg</w:t>
      </w:r>
      <w:r w:rsidRPr="00460745">
        <w:rPr>
          <w:rFonts w:ascii="Times New Roman" w:hAnsi="Times New Roman"/>
          <w:sz w:val="22"/>
          <w:szCs w:val="22"/>
        </w:rPr>
        <w:t>. Μετά από δόσεις των 0,05 έως 0,2 </w:t>
      </w:r>
      <w:r w:rsidRPr="00460745">
        <w:rPr>
          <w:rFonts w:ascii="Times New Roman" w:hAnsi="Times New Roman"/>
          <w:sz w:val="22"/>
          <w:szCs w:val="22"/>
          <w:lang w:val="en-US"/>
        </w:rPr>
        <w:t>mg</w:t>
      </w:r>
      <w:r w:rsidRPr="00460745">
        <w:rPr>
          <w:rFonts w:ascii="Times New Roman" w:hAnsi="Times New Roman"/>
          <w:sz w:val="22"/>
          <w:szCs w:val="22"/>
        </w:rPr>
        <w:t>/</w:t>
      </w:r>
      <w:r w:rsidRPr="00460745">
        <w:rPr>
          <w:rFonts w:ascii="Times New Roman" w:hAnsi="Times New Roman"/>
          <w:sz w:val="22"/>
          <w:szCs w:val="22"/>
          <w:lang w:val="en-US"/>
        </w:rPr>
        <w:t>kg</w:t>
      </w:r>
      <w:r w:rsidRPr="00460745">
        <w:rPr>
          <w:rFonts w:ascii="Times New Roman" w:hAnsi="Times New Roman"/>
          <w:sz w:val="22"/>
          <w:szCs w:val="22"/>
        </w:rPr>
        <w:t>, η ραμιπρίλη μεταβολίστηκε γρήγορα και εκτεταμένα στη ραμιπριλάτη. Οι μέγιστες συγκεντρώσεις τη</w:t>
      </w:r>
      <w:r w:rsidR="00662385" w:rsidRPr="00460745">
        <w:rPr>
          <w:rFonts w:ascii="Times New Roman" w:hAnsi="Times New Roman"/>
          <w:sz w:val="22"/>
          <w:szCs w:val="22"/>
        </w:rPr>
        <w:t>ς ραμιπριλάτης στο πλάσμα υπήρξαν</w:t>
      </w:r>
      <w:r w:rsidRPr="00460745">
        <w:rPr>
          <w:rFonts w:ascii="Times New Roman" w:hAnsi="Times New Roman"/>
          <w:sz w:val="22"/>
          <w:szCs w:val="22"/>
        </w:rPr>
        <w:t xml:space="preserve"> εντός 2</w:t>
      </w:r>
      <w:r w:rsidRPr="00460745">
        <w:rPr>
          <w:rFonts w:ascii="Times New Roman" w:hAnsi="Times New Roman"/>
          <w:sz w:val="22"/>
          <w:szCs w:val="22"/>
        </w:rPr>
        <w:noBreakHyphen/>
        <w:t>3 ωρών. Η κάθαρση της ραμιπριλάτης ήταν υψηλά σχετιζόμενη με το λογάριθμο («</w:t>
      </w:r>
      <w:r w:rsidRPr="00460745">
        <w:rPr>
          <w:rFonts w:ascii="Times New Roman" w:hAnsi="Times New Roman"/>
          <w:sz w:val="22"/>
          <w:szCs w:val="22"/>
          <w:lang w:val="en-US"/>
        </w:rPr>
        <w:t>log</w:t>
      </w:r>
      <w:r w:rsidRPr="00460745">
        <w:rPr>
          <w:rFonts w:ascii="Times New Roman" w:hAnsi="Times New Roman"/>
          <w:sz w:val="22"/>
          <w:szCs w:val="22"/>
        </w:rPr>
        <w:t>») του σωματικού βάρους (</w:t>
      </w:r>
      <w:r w:rsidRPr="00460745">
        <w:rPr>
          <w:rFonts w:ascii="Times New Roman" w:hAnsi="Times New Roman"/>
          <w:sz w:val="22"/>
          <w:szCs w:val="22"/>
          <w:lang w:val="en-US"/>
        </w:rPr>
        <w:t>p</w:t>
      </w:r>
      <w:r w:rsidRPr="00460745">
        <w:rPr>
          <w:rFonts w:ascii="Times New Roman" w:hAnsi="Times New Roman"/>
          <w:sz w:val="22"/>
          <w:szCs w:val="22"/>
        </w:rPr>
        <w:t xml:space="preserve">&lt;0,01), καθώς και </w:t>
      </w:r>
      <w:r w:rsidR="009C7A63" w:rsidRPr="00460745">
        <w:rPr>
          <w:rFonts w:ascii="Times New Roman" w:hAnsi="Times New Roman"/>
          <w:sz w:val="22"/>
          <w:szCs w:val="22"/>
        </w:rPr>
        <w:t xml:space="preserve">με </w:t>
      </w:r>
      <w:r w:rsidRPr="00460745">
        <w:rPr>
          <w:rFonts w:ascii="Times New Roman" w:hAnsi="Times New Roman"/>
          <w:sz w:val="22"/>
          <w:szCs w:val="22"/>
        </w:rPr>
        <w:t>της δόσης (</w:t>
      </w:r>
      <w:r w:rsidRPr="00460745">
        <w:rPr>
          <w:rFonts w:ascii="Times New Roman" w:hAnsi="Times New Roman"/>
          <w:sz w:val="22"/>
          <w:szCs w:val="22"/>
          <w:lang w:val="en-US"/>
        </w:rPr>
        <w:t>p</w:t>
      </w:r>
      <w:r w:rsidRPr="00460745">
        <w:rPr>
          <w:rFonts w:ascii="Times New Roman" w:hAnsi="Times New Roman"/>
          <w:sz w:val="22"/>
          <w:szCs w:val="22"/>
        </w:rPr>
        <w:t>&lt;0,001). Η κάθαρση και ο όγκος κατανομής αυξ</w:t>
      </w:r>
      <w:r w:rsidR="007140BA" w:rsidRPr="00460745">
        <w:rPr>
          <w:rFonts w:ascii="Times New Roman" w:hAnsi="Times New Roman"/>
          <w:sz w:val="22"/>
          <w:szCs w:val="22"/>
        </w:rPr>
        <w:t>ανόταν</w:t>
      </w:r>
      <w:r w:rsidRPr="00460745">
        <w:rPr>
          <w:rFonts w:ascii="Times New Roman" w:hAnsi="Times New Roman"/>
          <w:sz w:val="22"/>
          <w:szCs w:val="22"/>
        </w:rPr>
        <w:t xml:space="preserve"> με την αυξανομένη ηλικία του παιδιού</w:t>
      </w:r>
      <w:r w:rsidR="00DA4EEE" w:rsidRPr="00460745">
        <w:rPr>
          <w:rFonts w:ascii="Times New Roman" w:hAnsi="Times New Roman"/>
          <w:sz w:val="22"/>
          <w:szCs w:val="22"/>
        </w:rPr>
        <w:t xml:space="preserve"> για την</w:t>
      </w:r>
      <w:r w:rsidR="007829CD" w:rsidRPr="00460745">
        <w:rPr>
          <w:rFonts w:ascii="Times New Roman" w:hAnsi="Times New Roman"/>
          <w:sz w:val="22"/>
          <w:szCs w:val="22"/>
        </w:rPr>
        <w:t xml:space="preserve"> κάθε κατηγορία δόσης. Η δόση των 0,05 </w:t>
      </w:r>
      <w:r w:rsidR="007829CD" w:rsidRPr="00460745">
        <w:rPr>
          <w:rFonts w:ascii="Times New Roman" w:hAnsi="Times New Roman"/>
          <w:sz w:val="22"/>
          <w:szCs w:val="22"/>
          <w:lang w:val="en-US"/>
        </w:rPr>
        <w:t>mg</w:t>
      </w:r>
      <w:r w:rsidR="007829CD" w:rsidRPr="00460745">
        <w:rPr>
          <w:rFonts w:ascii="Times New Roman" w:hAnsi="Times New Roman"/>
          <w:sz w:val="22"/>
          <w:szCs w:val="22"/>
        </w:rPr>
        <w:t>/</w:t>
      </w:r>
      <w:r w:rsidR="007829CD" w:rsidRPr="00460745">
        <w:rPr>
          <w:rFonts w:ascii="Times New Roman" w:hAnsi="Times New Roman"/>
          <w:sz w:val="22"/>
          <w:szCs w:val="22"/>
          <w:lang w:val="en-US"/>
        </w:rPr>
        <w:t>kg</w:t>
      </w:r>
      <w:r w:rsidR="007829CD" w:rsidRPr="00460745">
        <w:rPr>
          <w:rFonts w:ascii="Times New Roman" w:hAnsi="Times New Roman"/>
          <w:sz w:val="22"/>
          <w:szCs w:val="22"/>
        </w:rPr>
        <w:t xml:space="preserve"> σε παιδιά πέτυχε επίπεδα έκθεσης συγκρινόμενα με εκείνα των ενηλίκων υπό αγωγή με 5 </w:t>
      </w:r>
      <w:r w:rsidR="007829CD" w:rsidRPr="00460745">
        <w:rPr>
          <w:rFonts w:ascii="Times New Roman" w:hAnsi="Times New Roman"/>
          <w:sz w:val="22"/>
          <w:szCs w:val="22"/>
          <w:lang w:val="en-US"/>
        </w:rPr>
        <w:t>mg</w:t>
      </w:r>
      <w:r w:rsidR="007829CD" w:rsidRPr="00460745">
        <w:rPr>
          <w:rFonts w:ascii="Times New Roman" w:hAnsi="Times New Roman"/>
          <w:sz w:val="22"/>
          <w:szCs w:val="22"/>
        </w:rPr>
        <w:t xml:space="preserve"> ραμιπρίλης.</w:t>
      </w:r>
      <w:r w:rsidR="00DA4EEE" w:rsidRPr="00460745">
        <w:rPr>
          <w:rFonts w:ascii="Times New Roman" w:hAnsi="Times New Roman"/>
          <w:sz w:val="22"/>
          <w:szCs w:val="22"/>
        </w:rPr>
        <w:t xml:space="preserve"> </w:t>
      </w:r>
      <w:r w:rsidR="009A0FB2" w:rsidRPr="00460745">
        <w:rPr>
          <w:rFonts w:ascii="Times New Roman" w:hAnsi="Times New Roman"/>
          <w:sz w:val="22"/>
          <w:szCs w:val="22"/>
        </w:rPr>
        <w:t>Η δόση του 0,2 </w:t>
      </w:r>
      <w:r w:rsidR="009A0FB2" w:rsidRPr="00460745">
        <w:rPr>
          <w:rFonts w:ascii="Times New Roman" w:hAnsi="Times New Roman"/>
          <w:sz w:val="22"/>
          <w:szCs w:val="22"/>
          <w:lang w:val="en-US"/>
        </w:rPr>
        <w:t>mg</w:t>
      </w:r>
      <w:r w:rsidR="009A0FB2" w:rsidRPr="00460745">
        <w:rPr>
          <w:rFonts w:ascii="Times New Roman" w:hAnsi="Times New Roman"/>
          <w:sz w:val="22"/>
          <w:szCs w:val="22"/>
        </w:rPr>
        <w:t>/</w:t>
      </w:r>
      <w:r w:rsidR="009A0FB2" w:rsidRPr="00460745">
        <w:rPr>
          <w:rFonts w:ascii="Times New Roman" w:hAnsi="Times New Roman"/>
          <w:sz w:val="22"/>
          <w:szCs w:val="22"/>
          <w:lang w:val="en-US"/>
        </w:rPr>
        <w:t>kg</w:t>
      </w:r>
      <w:r w:rsidR="009A0FB2" w:rsidRPr="00460745">
        <w:rPr>
          <w:rFonts w:ascii="Times New Roman" w:hAnsi="Times New Roman"/>
          <w:sz w:val="22"/>
          <w:szCs w:val="22"/>
        </w:rPr>
        <w:t xml:space="preserve"> σε παιδιά είχε ως αποτέλεσμα επίπεδα έκθεσης υψηλότερα από τη μέγιστη συνιστώμενη δόση των 10 </w:t>
      </w:r>
      <w:r w:rsidR="009A0FB2" w:rsidRPr="00460745">
        <w:rPr>
          <w:rFonts w:ascii="Times New Roman" w:hAnsi="Times New Roman"/>
          <w:sz w:val="22"/>
          <w:szCs w:val="22"/>
          <w:lang w:val="en-US"/>
        </w:rPr>
        <w:t>mg</w:t>
      </w:r>
      <w:r w:rsidR="009A0FB2" w:rsidRPr="00460745">
        <w:rPr>
          <w:rFonts w:ascii="Times New Roman" w:hAnsi="Times New Roman"/>
          <w:sz w:val="22"/>
          <w:szCs w:val="22"/>
        </w:rPr>
        <w:t xml:space="preserve"> ανά ημέρα στους ενήλικες.</w:t>
      </w:r>
    </w:p>
    <w:p w:rsidR="00543F05" w:rsidRPr="00460745" w:rsidRDefault="00543F05" w:rsidP="00266858">
      <w:pPr>
        <w:rPr>
          <w:rFonts w:ascii="Times New Roman" w:hAnsi="Times New Roman"/>
          <w:sz w:val="22"/>
          <w:szCs w:val="22"/>
        </w:rPr>
      </w:pPr>
    </w:p>
    <w:p w:rsidR="00520CDC" w:rsidRPr="00460745" w:rsidRDefault="00520CDC" w:rsidP="00266858">
      <w:pPr>
        <w:rPr>
          <w:rFonts w:ascii="Times New Roman" w:hAnsi="Times New Roman"/>
          <w:b/>
          <w:sz w:val="22"/>
          <w:szCs w:val="22"/>
        </w:rPr>
      </w:pPr>
      <w:r w:rsidRPr="00460745">
        <w:rPr>
          <w:rFonts w:ascii="Times New Roman" w:hAnsi="Times New Roman"/>
          <w:b/>
          <w:sz w:val="22"/>
          <w:szCs w:val="22"/>
        </w:rPr>
        <w:t xml:space="preserve">5.3 Προκλινικά </w:t>
      </w:r>
      <w:r w:rsidR="00266858" w:rsidRPr="00460745">
        <w:rPr>
          <w:rFonts w:ascii="Times New Roman" w:hAnsi="Times New Roman"/>
          <w:b/>
          <w:sz w:val="22"/>
          <w:szCs w:val="22"/>
        </w:rPr>
        <w:t>δεδομένα για την ασφάλεια</w:t>
      </w:r>
    </w:p>
    <w:p w:rsidR="00B40C2B" w:rsidRPr="00460745" w:rsidRDefault="00DD163C" w:rsidP="00266858">
      <w:pPr>
        <w:rPr>
          <w:rFonts w:ascii="Times New Roman" w:hAnsi="Times New Roman"/>
          <w:sz w:val="22"/>
          <w:szCs w:val="22"/>
        </w:rPr>
      </w:pPr>
      <w:r w:rsidRPr="00460745">
        <w:rPr>
          <w:rFonts w:ascii="Times New Roman" w:hAnsi="Times New Roman"/>
          <w:sz w:val="22"/>
          <w:szCs w:val="22"/>
        </w:rPr>
        <w:t xml:space="preserve">Η από του στόματος χορήγηση ραμιπρίλης έχει διαπιστωθεί ότι είναι ανεξάρτητη από οξεία τοξικότητα σε τρωκτικά και σκύλους. Μελέτες που έχουν συμπεριλάβει χρόνια, από του στόματος </w:t>
      </w:r>
      <w:r w:rsidRPr="00460745">
        <w:rPr>
          <w:rFonts w:ascii="Times New Roman" w:hAnsi="Times New Roman"/>
          <w:sz w:val="22"/>
          <w:szCs w:val="22"/>
        </w:rPr>
        <w:lastRenderedPageBreak/>
        <w:t xml:space="preserve">χορήγηση, έχουν πραγματοποιηθεί σε αρουραίους, σκύλους και πιθήκους. Ενδείξεις μεταβολών των ηλεκτρολυτών και αλλαγών στην αιματολογική εικόνα έχουν διαπιστωθεί στα 3 είδη. </w:t>
      </w:r>
      <w:r w:rsidR="00520CDC" w:rsidRPr="00460745">
        <w:rPr>
          <w:rFonts w:ascii="Times New Roman" w:hAnsi="Times New Roman"/>
          <w:sz w:val="22"/>
          <w:szCs w:val="22"/>
        </w:rPr>
        <w:t>Σαν έκφραση της φαρμακοδυναμικής δραστηριότητας της ραμιπρίλης</w:t>
      </w:r>
      <w:r w:rsidRPr="00460745">
        <w:rPr>
          <w:rFonts w:ascii="Times New Roman" w:hAnsi="Times New Roman"/>
          <w:sz w:val="22"/>
          <w:szCs w:val="22"/>
        </w:rPr>
        <w:t>,</w:t>
      </w:r>
      <w:r w:rsidR="00520CDC" w:rsidRPr="00460745">
        <w:rPr>
          <w:rFonts w:ascii="Times New Roman" w:hAnsi="Times New Roman"/>
          <w:sz w:val="22"/>
          <w:szCs w:val="22"/>
        </w:rPr>
        <w:t xml:space="preserve"> παρατηρήθηκε έντονη μεγέθυνση της παρασπειραματικής συσκευής σε σκύλους και πιθήκους σε </w:t>
      </w:r>
      <w:r w:rsidR="00B40C2B" w:rsidRPr="00460745">
        <w:rPr>
          <w:rFonts w:ascii="Times New Roman" w:hAnsi="Times New Roman"/>
          <w:sz w:val="22"/>
          <w:szCs w:val="22"/>
        </w:rPr>
        <w:t>ημερήσιες</w:t>
      </w:r>
      <w:r w:rsidRPr="00460745">
        <w:rPr>
          <w:rFonts w:ascii="Times New Roman" w:hAnsi="Times New Roman"/>
          <w:sz w:val="22"/>
          <w:szCs w:val="22"/>
        </w:rPr>
        <w:t xml:space="preserve"> </w:t>
      </w:r>
      <w:r w:rsidR="00520CDC" w:rsidRPr="00460745">
        <w:rPr>
          <w:rFonts w:ascii="Times New Roman" w:hAnsi="Times New Roman"/>
          <w:sz w:val="22"/>
          <w:szCs w:val="22"/>
        </w:rPr>
        <w:t>δόσεις από 250</w:t>
      </w:r>
      <w:r w:rsidRPr="00460745">
        <w:rPr>
          <w:rFonts w:ascii="Times New Roman" w:hAnsi="Times New Roman"/>
          <w:sz w:val="22"/>
          <w:szCs w:val="22"/>
        </w:rPr>
        <w:t> mg/kg/ημέρα</w:t>
      </w:r>
      <w:r w:rsidR="00520CDC" w:rsidRPr="00460745">
        <w:rPr>
          <w:rFonts w:ascii="Times New Roman" w:hAnsi="Times New Roman"/>
          <w:sz w:val="22"/>
          <w:szCs w:val="22"/>
        </w:rPr>
        <w:t xml:space="preserve">. </w:t>
      </w:r>
      <w:r w:rsidR="00B40C2B" w:rsidRPr="00460745">
        <w:rPr>
          <w:rFonts w:ascii="Times New Roman" w:hAnsi="Times New Roman"/>
          <w:sz w:val="22"/>
          <w:szCs w:val="22"/>
        </w:rPr>
        <w:t>Οι αρουραίοι, οι σκύλοι και οι πίθηκοι ανέχτηκαν ημερήσιες δόσεις των 2, 2,5 και 8 </w:t>
      </w:r>
      <w:r w:rsidR="00B40C2B" w:rsidRPr="00460745">
        <w:rPr>
          <w:rFonts w:ascii="Times New Roman" w:hAnsi="Times New Roman"/>
          <w:sz w:val="22"/>
          <w:szCs w:val="22"/>
          <w:lang w:val="en-US"/>
        </w:rPr>
        <w:t>mg</w:t>
      </w:r>
      <w:r w:rsidR="00B40C2B" w:rsidRPr="00460745">
        <w:rPr>
          <w:rFonts w:ascii="Times New Roman" w:hAnsi="Times New Roman"/>
          <w:sz w:val="22"/>
          <w:szCs w:val="22"/>
        </w:rPr>
        <w:t>/</w:t>
      </w:r>
      <w:r w:rsidR="00B40C2B" w:rsidRPr="00460745">
        <w:rPr>
          <w:rFonts w:ascii="Times New Roman" w:hAnsi="Times New Roman"/>
          <w:sz w:val="22"/>
          <w:szCs w:val="22"/>
          <w:lang w:val="en-US"/>
        </w:rPr>
        <w:t>kg</w:t>
      </w:r>
      <w:r w:rsidR="00B40C2B" w:rsidRPr="00460745">
        <w:rPr>
          <w:rFonts w:ascii="Times New Roman" w:hAnsi="Times New Roman"/>
          <w:sz w:val="22"/>
          <w:szCs w:val="22"/>
        </w:rPr>
        <w:t xml:space="preserve">/ημέρα, αντίστοιχα, χωρίς επιβλαβείς </w:t>
      </w:r>
      <w:r w:rsidR="00AE0306" w:rsidRPr="00460745">
        <w:rPr>
          <w:rFonts w:ascii="Times New Roman" w:hAnsi="Times New Roman"/>
          <w:sz w:val="22"/>
          <w:szCs w:val="22"/>
        </w:rPr>
        <w:t>συνέπειες</w:t>
      </w:r>
      <w:r w:rsidR="00B40C2B" w:rsidRPr="00460745">
        <w:rPr>
          <w:rFonts w:ascii="Times New Roman" w:hAnsi="Times New Roman"/>
          <w:sz w:val="22"/>
          <w:szCs w:val="22"/>
        </w:rPr>
        <w:t>.</w:t>
      </w:r>
      <w:r w:rsidR="0025218C" w:rsidRPr="00460745">
        <w:rPr>
          <w:rFonts w:ascii="Times New Roman" w:hAnsi="Times New Roman"/>
          <w:sz w:val="22"/>
          <w:szCs w:val="22"/>
        </w:rPr>
        <w:t xml:space="preserve"> Μη αναστρέψιμη βλάβη των νεφρών παρατηρήθηκε σε πολύ νεαρούς αρουραίους που έλαβαν μια εφάπαξ δόση ραμιπρίλης.</w:t>
      </w:r>
    </w:p>
    <w:p w:rsidR="00B40C2B" w:rsidRPr="00460745" w:rsidRDefault="00743153" w:rsidP="00266858">
      <w:pPr>
        <w:rPr>
          <w:rFonts w:ascii="Times New Roman" w:hAnsi="Times New Roman"/>
          <w:sz w:val="22"/>
          <w:szCs w:val="22"/>
        </w:rPr>
      </w:pPr>
      <w:r w:rsidRPr="00460745">
        <w:rPr>
          <w:rFonts w:ascii="Times New Roman" w:hAnsi="Times New Roman"/>
          <w:sz w:val="22"/>
          <w:szCs w:val="22"/>
        </w:rPr>
        <w:t>Οι μελέτες τοξικότητας κατά την αναπαραγωγή δ</w:t>
      </w:r>
      <w:r w:rsidR="00520CDC" w:rsidRPr="00460745">
        <w:rPr>
          <w:rFonts w:ascii="Times New Roman" w:hAnsi="Times New Roman"/>
          <w:sz w:val="22"/>
          <w:szCs w:val="22"/>
        </w:rPr>
        <w:t xml:space="preserve">εν </w:t>
      </w:r>
      <w:r w:rsidRPr="00460745">
        <w:rPr>
          <w:rFonts w:ascii="Times New Roman" w:hAnsi="Times New Roman"/>
          <w:sz w:val="22"/>
          <w:szCs w:val="22"/>
        </w:rPr>
        <w:t>αποκάλυψαν</w:t>
      </w:r>
      <w:r w:rsidR="00520CDC" w:rsidRPr="00460745">
        <w:rPr>
          <w:rFonts w:ascii="Times New Roman" w:hAnsi="Times New Roman"/>
          <w:sz w:val="22"/>
          <w:szCs w:val="22"/>
        </w:rPr>
        <w:t xml:space="preserve"> τερατογόνες ιδιότητες σε αρουραίους, κουνέλια και πιθήκους. </w:t>
      </w:r>
    </w:p>
    <w:p w:rsidR="00B40C2B" w:rsidRPr="00460745" w:rsidRDefault="00743153" w:rsidP="00266858">
      <w:pPr>
        <w:rPr>
          <w:rFonts w:ascii="Times New Roman" w:hAnsi="Times New Roman"/>
          <w:sz w:val="22"/>
          <w:szCs w:val="22"/>
        </w:rPr>
      </w:pPr>
      <w:r w:rsidRPr="00460745">
        <w:rPr>
          <w:rFonts w:ascii="Times New Roman" w:hAnsi="Times New Roman"/>
          <w:sz w:val="22"/>
          <w:szCs w:val="22"/>
        </w:rPr>
        <w:t>Η γονιμότητα δεν επηρεάστηκε ούτε</w:t>
      </w:r>
      <w:r w:rsidR="00520CDC" w:rsidRPr="00460745">
        <w:rPr>
          <w:rFonts w:ascii="Times New Roman" w:hAnsi="Times New Roman"/>
          <w:sz w:val="22"/>
          <w:szCs w:val="22"/>
        </w:rPr>
        <w:t xml:space="preserve"> </w:t>
      </w:r>
      <w:r w:rsidRPr="00460745">
        <w:rPr>
          <w:rFonts w:ascii="Times New Roman" w:hAnsi="Times New Roman"/>
          <w:sz w:val="22"/>
          <w:szCs w:val="22"/>
        </w:rPr>
        <w:t>στους άρρενες ούτε στους</w:t>
      </w:r>
      <w:r w:rsidR="00520CDC" w:rsidRPr="00460745">
        <w:rPr>
          <w:rFonts w:ascii="Times New Roman" w:hAnsi="Times New Roman"/>
          <w:sz w:val="22"/>
          <w:szCs w:val="22"/>
        </w:rPr>
        <w:t xml:space="preserve"> θήλεις αρουραίους. </w:t>
      </w:r>
    </w:p>
    <w:p w:rsidR="00520CDC" w:rsidRPr="00460745" w:rsidRDefault="00520CDC" w:rsidP="00266858">
      <w:pPr>
        <w:rPr>
          <w:rFonts w:ascii="Times New Roman" w:hAnsi="Times New Roman"/>
          <w:sz w:val="22"/>
          <w:szCs w:val="22"/>
        </w:rPr>
      </w:pPr>
      <w:r w:rsidRPr="00460745">
        <w:rPr>
          <w:rFonts w:ascii="Times New Roman" w:hAnsi="Times New Roman"/>
          <w:sz w:val="22"/>
          <w:szCs w:val="22"/>
        </w:rPr>
        <w:t xml:space="preserve">Η χορήγηση ραμιπρίλης </w:t>
      </w:r>
      <w:r w:rsidR="00B40C2B" w:rsidRPr="00460745">
        <w:rPr>
          <w:rFonts w:ascii="Times New Roman" w:hAnsi="Times New Roman"/>
          <w:sz w:val="22"/>
          <w:szCs w:val="22"/>
        </w:rPr>
        <w:t xml:space="preserve">σε θήλεις αρουραίους κατά τη διάρκεια της κύησης και της γαλουχίας κατέληξε σε μη ανατάξιμες νεφρικές βλάβες (μεγέθυνση της νεφρικής πυέλου) στους απογόνους </w:t>
      </w:r>
      <w:r w:rsidRPr="00460745">
        <w:rPr>
          <w:rFonts w:ascii="Times New Roman" w:hAnsi="Times New Roman"/>
          <w:sz w:val="22"/>
          <w:szCs w:val="22"/>
        </w:rPr>
        <w:t>σε ημερήσιες δόσεις των 50</w:t>
      </w:r>
      <w:r w:rsidR="00B40C2B" w:rsidRPr="00460745">
        <w:rPr>
          <w:rFonts w:ascii="Times New Roman" w:hAnsi="Times New Roman"/>
          <w:sz w:val="22"/>
          <w:szCs w:val="22"/>
        </w:rPr>
        <w:t> </w:t>
      </w:r>
      <w:r w:rsidRPr="00460745">
        <w:rPr>
          <w:rFonts w:ascii="Times New Roman" w:hAnsi="Times New Roman"/>
          <w:sz w:val="22"/>
          <w:szCs w:val="22"/>
        </w:rPr>
        <w:t>mg/kg σωματικού βάρους και πάνω.</w:t>
      </w:r>
    </w:p>
    <w:p w:rsidR="002A76FC" w:rsidRPr="003D7212" w:rsidRDefault="00520CDC" w:rsidP="00266858">
      <w:pPr>
        <w:rPr>
          <w:rFonts w:ascii="Times New Roman" w:hAnsi="Times New Roman"/>
          <w:sz w:val="22"/>
          <w:szCs w:val="22"/>
        </w:rPr>
      </w:pPr>
      <w:r w:rsidRPr="00460745">
        <w:rPr>
          <w:rFonts w:ascii="Times New Roman" w:hAnsi="Times New Roman"/>
          <w:sz w:val="22"/>
          <w:szCs w:val="22"/>
        </w:rPr>
        <w:t>Εκτεταμένες μελέτες μετάλλαξης, όπου χρησιμοποιήθηκαν διάφορα συστήματα δοκιμασιών</w:t>
      </w:r>
      <w:r w:rsidR="00EC6816" w:rsidRPr="00460745">
        <w:rPr>
          <w:rFonts w:ascii="Times New Roman" w:hAnsi="Times New Roman"/>
          <w:sz w:val="22"/>
          <w:szCs w:val="22"/>
        </w:rPr>
        <w:t>,</w:t>
      </w:r>
      <w:r w:rsidRPr="00460745">
        <w:rPr>
          <w:rFonts w:ascii="Times New Roman" w:hAnsi="Times New Roman"/>
          <w:sz w:val="22"/>
          <w:szCs w:val="22"/>
        </w:rPr>
        <w:t xml:space="preserve"> δεν εμφάνισαν κάποια </w:t>
      </w:r>
      <w:r w:rsidR="00B93623" w:rsidRPr="00460745">
        <w:rPr>
          <w:rFonts w:ascii="Times New Roman" w:hAnsi="Times New Roman"/>
          <w:sz w:val="22"/>
          <w:szCs w:val="22"/>
        </w:rPr>
        <w:t>ένδειξη ότι η ραμιπρίλη έχει μεταλλαξιογόνες</w:t>
      </w:r>
      <w:r w:rsidRPr="00460745">
        <w:rPr>
          <w:rFonts w:ascii="Times New Roman" w:hAnsi="Times New Roman"/>
          <w:sz w:val="22"/>
          <w:szCs w:val="22"/>
        </w:rPr>
        <w:t xml:space="preserve"> ή γενοτοξικ</w:t>
      </w:r>
      <w:r w:rsidR="00B93623" w:rsidRPr="00460745">
        <w:rPr>
          <w:rFonts w:ascii="Times New Roman" w:hAnsi="Times New Roman"/>
          <w:sz w:val="22"/>
          <w:szCs w:val="22"/>
        </w:rPr>
        <w:t>ές</w:t>
      </w:r>
      <w:r w:rsidRPr="00460745">
        <w:rPr>
          <w:rFonts w:ascii="Times New Roman" w:hAnsi="Times New Roman"/>
          <w:sz w:val="22"/>
          <w:szCs w:val="22"/>
        </w:rPr>
        <w:t xml:space="preserve"> ιδιότητ</w:t>
      </w:r>
      <w:r w:rsidR="00B93623" w:rsidRPr="00460745">
        <w:rPr>
          <w:rFonts w:ascii="Times New Roman" w:hAnsi="Times New Roman"/>
          <w:sz w:val="22"/>
          <w:szCs w:val="22"/>
        </w:rPr>
        <w:t>ες</w:t>
      </w:r>
      <w:r w:rsidRPr="00460745">
        <w:rPr>
          <w:rFonts w:ascii="Times New Roman" w:hAnsi="Times New Roman"/>
          <w:sz w:val="22"/>
          <w:szCs w:val="22"/>
        </w:rPr>
        <w:t>.</w:t>
      </w:r>
    </w:p>
    <w:p w:rsidR="00076D5E" w:rsidRPr="003D7212" w:rsidRDefault="00076D5E" w:rsidP="00266858">
      <w:pPr>
        <w:rPr>
          <w:rFonts w:ascii="Times New Roman" w:hAnsi="Times New Roman"/>
          <w:b/>
          <w:sz w:val="22"/>
          <w:szCs w:val="22"/>
        </w:rPr>
      </w:pPr>
    </w:p>
    <w:p w:rsidR="00520CDC" w:rsidRPr="00460745" w:rsidRDefault="00266858" w:rsidP="00266858">
      <w:pPr>
        <w:rPr>
          <w:rFonts w:ascii="Times New Roman" w:hAnsi="Times New Roman"/>
          <w:b/>
          <w:sz w:val="22"/>
          <w:szCs w:val="22"/>
        </w:rPr>
      </w:pPr>
      <w:r w:rsidRPr="00460745">
        <w:rPr>
          <w:rFonts w:ascii="Times New Roman" w:hAnsi="Times New Roman"/>
          <w:b/>
          <w:sz w:val="22"/>
          <w:szCs w:val="22"/>
        </w:rPr>
        <w:t>6.</w:t>
      </w:r>
      <w:r w:rsidRPr="00460745">
        <w:rPr>
          <w:rFonts w:ascii="Times New Roman" w:hAnsi="Times New Roman"/>
          <w:b/>
          <w:sz w:val="22"/>
          <w:szCs w:val="22"/>
        </w:rPr>
        <w:tab/>
      </w:r>
      <w:r w:rsidR="00520CDC" w:rsidRPr="00460745">
        <w:rPr>
          <w:rFonts w:ascii="Times New Roman" w:hAnsi="Times New Roman"/>
          <w:b/>
          <w:sz w:val="22"/>
          <w:szCs w:val="22"/>
        </w:rPr>
        <w:t>ΦΑΡΜΑΚΕΥΤΙΚ</w:t>
      </w:r>
      <w:r w:rsidRPr="00460745">
        <w:rPr>
          <w:rFonts w:ascii="Times New Roman" w:hAnsi="Times New Roman"/>
          <w:b/>
          <w:sz w:val="22"/>
          <w:szCs w:val="22"/>
        </w:rPr>
        <w:t>ΕΣ ΠΛΗΡΟΦΟΡΙΕΣ</w:t>
      </w:r>
    </w:p>
    <w:p w:rsidR="00520CDC" w:rsidRPr="00460745" w:rsidRDefault="00520CDC" w:rsidP="00266858">
      <w:pPr>
        <w:rPr>
          <w:rFonts w:ascii="Times New Roman" w:hAnsi="Times New Roman"/>
          <w:b/>
          <w:sz w:val="22"/>
          <w:szCs w:val="22"/>
        </w:rPr>
      </w:pPr>
    </w:p>
    <w:p w:rsidR="00520CDC" w:rsidRPr="003D7212" w:rsidRDefault="00520CDC" w:rsidP="00266858">
      <w:pPr>
        <w:rPr>
          <w:rFonts w:ascii="Times New Roman" w:hAnsi="Times New Roman"/>
          <w:b/>
          <w:sz w:val="22"/>
          <w:szCs w:val="22"/>
          <w:lang w:val="en-US"/>
        </w:rPr>
      </w:pPr>
      <w:r w:rsidRPr="00460745">
        <w:rPr>
          <w:rFonts w:ascii="Times New Roman" w:hAnsi="Times New Roman"/>
          <w:b/>
          <w:sz w:val="22"/>
          <w:szCs w:val="22"/>
        </w:rPr>
        <w:t>6.1 Κατάλογος εκδόχων</w:t>
      </w:r>
    </w:p>
    <w:p w:rsidR="00252075" w:rsidRPr="003D7212" w:rsidRDefault="00252075" w:rsidP="00252075">
      <w:pPr>
        <w:rPr>
          <w:rFonts w:ascii="Times New Roman" w:hAnsi="Times New Roman"/>
          <w:i/>
          <w:sz w:val="22"/>
          <w:szCs w:val="22"/>
        </w:rPr>
      </w:pPr>
      <w:r w:rsidRPr="00460745">
        <w:rPr>
          <w:rFonts w:ascii="Times New Roman" w:hAnsi="Times New Roman"/>
          <w:i/>
          <w:sz w:val="22"/>
          <w:szCs w:val="22"/>
        </w:rPr>
        <w:t>Δισκία</w:t>
      </w:r>
      <w:r w:rsidRPr="003D7212">
        <w:rPr>
          <w:rFonts w:ascii="Times New Roman" w:hAnsi="Times New Roman"/>
          <w:i/>
          <w:sz w:val="22"/>
          <w:szCs w:val="22"/>
        </w:rPr>
        <w:t xml:space="preserve"> 2,5 </w:t>
      </w:r>
      <w:r w:rsidRPr="00460745">
        <w:rPr>
          <w:rFonts w:ascii="Times New Roman" w:hAnsi="Times New Roman"/>
          <w:i/>
          <w:sz w:val="22"/>
          <w:szCs w:val="22"/>
          <w:lang w:val="en-US"/>
        </w:rPr>
        <w:t>mg</w:t>
      </w:r>
    </w:p>
    <w:p w:rsidR="00252075" w:rsidRPr="00460745" w:rsidRDefault="00945C29" w:rsidP="00252075">
      <w:pPr>
        <w:rPr>
          <w:rFonts w:ascii="Times New Roman" w:hAnsi="Times New Roman"/>
          <w:sz w:val="22"/>
          <w:szCs w:val="22"/>
        </w:rPr>
      </w:pPr>
      <w:r w:rsidRPr="00460745">
        <w:rPr>
          <w:rFonts w:ascii="Times New Roman" w:hAnsi="Times New Roman"/>
          <w:sz w:val="22"/>
          <w:szCs w:val="22"/>
        </w:rPr>
        <w:t>ΥπρομελλόζηΆμυλο αραβοσίτου προζελατινοποιημένο</w:t>
      </w:r>
      <w:r w:rsidR="00252075" w:rsidRPr="00460745">
        <w:rPr>
          <w:rFonts w:ascii="Times New Roman" w:hAnsi="Times New Roman"/>
          <w:sz w:val="22"/>
          <w:szCs w:val="22"/>
        </w:rPr>
        <w:t xml:space="preserve"> </w:t>
      </w:r>
    </w:p>
    <w:p w:rsidR="00252075" w:rsidRPr="00460745" w:rsidRDefault="00945C29" w:rsidP="00252075">
      <w:pPr>
        <w:rPr>
          <w:rFonts w:ascii="Times New Roman" w:hAnsi="Times New Roman"/>
          <w:sz w:val="22"/>
          <w:szCs w:val="22"/>
        </w:rPr>
      </w:pPr>
      <w:r w:rsidRPr="00460745">
        <w:rPr>
          <w:rFonts w:ascii="Times New Roman" w:hAnsi="Times New Roman"/>
          <w:sz w:val="22"/>
          <w:szCs w:val="22"/>
        </w:rPr>
        <w:t>Κυτταρίνη μικροκρυσταλλική</w:t>
      </w:r>
    </w:p>
    <w:p w:rsidR="00252075" w:rsidRPr="00460745" w:rsidRDefault="00945C29" w:rsidP="00252075">
      <w:pPr>
        <w:rPr>
          <w:rFonts w:ascii="Times New Roman" w:hAnsi="Times New Roman"/>
          <w:sz w:val="22"/>
          <w:szCs w:val="22"/>
        </w:rPr>
      </w:pPr>
      <w:r w:rsidRPr="00460745">
        <w:rPr>
          <w:rFonts w:ascii="Times New Roman" w:hAnsi="Times New Roman"/>
          <w:sz w:val="22"/>
          <w:szCs w:val="22"/>
        </w:rPr>
        <w:t>Νάτριο στεατυλοφουμαρικό</w:t>
      </w:r>
    </w:p>
    <w:p w:rsidR="00252075" w:rsidRPr="00460745" w:rsidRDefault="00945C29" w:rsidP="00252075">
      <w:pPr>
        <w:rPr>
          <w:rFonts w:ascii="Times New Roman" w:hAnsi="Times New Roman"/>
          <w:sz w:val="22"/>
          <w:szCs w:val="22"/>
        </w:rPr>
      </w:pPr>
      <w:r w:rsidRPr="00460745">
        <w:rPr>
          <w:rFonts w:ascii="Times New Roman" w:hAnsi="Times New Roman"/>
          <w:sz w:val="22"/>
          <w:szCs w:val="22"/>
        </w:rPr>
        <w:t>Σιδήρου ΙΙΙ οξείδιο κίτρινο</w:t>
      </w:r>
      <w:r w:rsidR="00A01784" w:rsidRPr="00460745">
        <w:rPr>
          <w:rFonts w:ascii="Times New Roman" w:hAnsi="Times New Roman"/>
          <w:sz w:val="22"/>
          <w:szCs w:val="22"/>
        </w:rPr>
        <w:t xml:space="preserve"> </w:t>
      </w:r>
      <w:r w:rsidRPr="00460745">
        <w:rPr>
          <w:rFonts w:ascii="Times New Roman" w:hAnsi="Times New Roman"/>
          <w:sz w:val="22"/>
          <w:szCs w:val="22"/>
        </w:rPr>
        <w:t>(</w:t>
      </w:r>
      <w:r w:rsidR="00252075" w:rsidRPr="00460745">
        <w:rPr>
          <w:rFonts w:ascii="Times New Roman" w:hAnsi="Times New Roman"/>
          <w:sz w:val="22"/>
          <w:szCs w:val="22"/>
          <w:lang w:val="en-US"/>
        </w:rPr>
        <w:t>E</w:t>
      </w:r>
      <w:r w:rsidR="00252075" w:rsidRPr="00460745">
        <w:rPr>
          <w:rFonts w:ascii="Times New Roman" w:hAnsi="Times New Roman"/>
          <w:sz w:val="22"/>
          <w:szCs w:val="22"/>
        </w:rPr>
        <w:t xml:space="preserve"> 172</w:t>
      </w:r>
      <w:r w:rsidRPr="00460745">
        <w:rPr>
          <w:rFonts w:ascii="Times New Roman" w:hAnsi="Times New Roman"/>
          <w:sz w:val="22"/>
          <w:szCs w:val="22"/>
        </w:rPr>
        <w:t>)</w:t>
      </w:r>
    </w:p>
    <w:p w:rsidR="00252075" w:rsidRPr="00460745" w:rsidRDefault="00252075" w:rsidP="00252075">
      <w:pPr>
        <w:rPr>
          <w:rFonts w:ascii="Times New Roman" w:hAnsi="Times New Roman"/>
          <w:b/>
          <w:sz w:val="22"/>
          <w:szCs w:val="22"/>
        </w:rPr>
      </w:pPr>
    </w:p>
    <w:p w:rsidR="00252075" w:rsidRPr="00460745" w:rsidRDefault="00252075" w:rsidP="00252075">
      <w:pPr>
        <w:rPr>
          <w:rFonts w:ascii="Times New Roman" w:hAnsi="Times New Roman"/>
          <w:i/>
          <w:sz w:val="22"/>
          <w:szCs w:val="22"/>
          <w:lang w:val="en-US"/>
        </w:rPr>
      </w:pPr>
      <w:r w:rsidRPr="00460745">
        <w:rPr>
          <w:rFonts w:ascii="Times New Roman" w:hAnsi="Times New Roman"/>
          <w:i/>
          <w:sz w:val="22"/>
          <w:szCs w:val="22"/>
        </w:rPr>
        <w:t>Δισκία</w:t>
      </w:r>
      <w:r w:rsidRPr="00460745">
        <w:rPr>
          <w:rFonts w:ascii="Times New Roman" w:hAnsi="Times New Roman"/>
          <w:b/>
          <w:i/>
          <w:sz w:val="22"/>
          <w:szCs w:val="22"/>
          <w:vertAlign w:val="superscript"/>
          <w:lang w:val="en-US"/>
        </w:rPr>
        <w:t xml:space="preserve"> </w:t>
      </w:r>
      <w:r w:rsidRPr="00460745">
        <w:rPr>
          <w:rFonts w:ascii="Times New Roman" w:hAnsi="Times New Roman"/>
          <w:i/>
          <w:sz w:val="22"/>
          <w:szCs w:val="22"/>
          <w:lang w:val="en-US"/>
        </w:rPr>
        <w:t>5 mg</w:t>
      </w:r>
    </w:p>
    <w:p w:rsidR="00252075" w:rsidRPr="00460745" w:rsidRDefault="00945C29" w:rsidP="00252075">
      <w:pPr>
        <w:rPr>
          <w:rFonts w:ascii="Times New Roman" w:hAnsi="Times New Roman"/>
          <w:sz w:val="22"/>
          <w:szCs w:val="22"/>
        </w:rPr>
      </w:pPr>
      <w:r w:rsidRPr="00460745">
        <w:rPr>
          <w:rFonts w:ascii="Times New Roman" w:hAnsi="Times New Roman"/>
          <w:sz w:val="22"/>
          <w:szCs w:val="22"/>
        </w:rPr>
        <w:t>ΥπρομελλόζηΆμυλο αραβοσίτου προζελατινοποιημένο</w:t>
      </w:r>
      <w:r w:rsidR="00252075" w:rsidRPr="00460745">
        <w:rPr>
          <w:rFonts w:ascii="Times New Roman" w:hAnsi="Times New Roman"/>
          <w:sz w:val="22"/>
          <w:szCs w:val="22"/>
        </w:rPr>
        <w:t xml:space="preserve"> </w:t>
      </w:r>
    </w:p>
    <w:p w:rsidR="00252075" w:rsidRPr="00460745" w:rsidRDefault="00945C29" w:rsidP="00252075">
      <w:pPr>
        <w:rPr>
          <w:rFonts w:ascii="Times New Roman" w:hAnsi="Times New Roman"/>
          <w:sz w:val="22"/>
          <w:szCs w:val="22"/>
        </w:rPr>
      </w:pPr>
      <w:r w:rsidRPr="00460745">
        <w:rPr>
          <w:rFonts w:ascii="Times New Roman" w:hAnsi="Times New Roman"/>
          <w:sz w:val="22"/>
          <w:szCs w:val="22"/>
        </w:rPr>
        <w:t>Κυτταρίνη μικροκρυσταλλική</w:t>
      </w:r>
    </w:p>
    <w:p w:rsidR="00252075" w:rsidRPr="00460745" w:rsidRDefault="00945C29" w:rsidP="00252075">
      <w:pPr>
        <w:rPr>
          <w:rFonts w:ascii="Times New Roman" w:hAnsi="Times New Roman"/>
          <w:sz w:val="22"/>
          <w:szCs w:val="22"/>
        </w:rPr>
      </w:pPr>
      <w:r w:rsidRPr="00460745">
        <w:rPr>
          <w:rFonts w:ascii="Times New Roman" w:hAnsi="Times New Roman"/>
          <w:sz w:val="22"/>
          <w:szCs w:val="22"/>
        </w:rPr>
        <w:t>Νάτριο στεατυλοφουμαρικό</w:t>
      </w:r>
    </w:p>
    <w:p w:rsidR="00252075" w:rsidRPr="00460745" w:rsidRDefault="00945C29" w:rsidP="00252075">
      <w:pPr>
        <w:rPr>
          <w:rFonts w:ascii="Times New Roman" w:hAnsi="Times New Roman"/>
          <w:sz w:val="22"/>
          <w:szCs w:val="22"/>
        </w:rPr>
      </w:pPr>
      <w:r w:rsidRPr="00460745">
        <w:rPr>
          <w:rFonts w:ascii="Times New Roman" w:hAnsi="Times New Roman"/>
          <w:sz w:val="22"/>
          <w:szCs w:val="22"/>
        </w:rPr>
        <w:t>Σιδήρου οξείδιο ερυθρό</w:t>
      </w:r>
      <w:r w:rsidR="00A01784" w:rsidRPr="00460745">
        <w:rPr>
          <w:rFonts w:ascii="Times New Roman" w:hAnsi="Times New Roman"/>
          <w:sz w:val="22"/>
          <w:szCs w:val="22"/>
        </w:rPr>
        <w:t xml:space="preserve"> </w:t>
      </w:r>
      <w:r w:rsidRPr="00460745">
        <w:rPr>
          <w:rFonts w:ascii="Times New Roman" w:hAnsi="Times New Roman"/>
          <w:sz w:val="22"/>
          <w:szCs w:val="22"/>
        </w:rPr>
        <w:t>(</w:t>
      </w:r>
      <w:r w:rsidR="00252075" w:rsidRPr="00460745">
        <w:rPr>
          <w:rFonts w:ascii="Times New Roman" w:hAnsi="Times New Roman"/>
          <w:sz w:val="22"/>
          <w:szCs w:val="22"/>
          <w:lang w:val="en-US"/>
        </w:rPr>
        <w:t>E</w:t>
      </w:r>
      <w:r w:rsidR="00252075" w:rsidRPr="00460745">
        <w:rPr>
          <w:rFonts w:ascii="Times New Roman" w:hAnsi="Times New Roman"/>
          <w:sz w:val="22"/>
          <w:szCs w:val="22"/>
        </w:rPr>
        <w:t xml:space="preserve"> 172</w:t>
      </w:r>
      <w:r w:rsidRPr="00460745">
        <w:rPr>
          <w:rFonts w:ascii="Times New Roman" w:hAnsi="Times New Roman"/>
          <w:sz w:val="22"/>
          <w:szCs w:val="22"/>
        </w:rPr>
        <w:t>)</w:t>
      </w:r>
    </w:p>
    <w:p w:rsidR="00520CDC" w:rsidRPr="00460745" w:rsidRDefault="00520CDC" w:rsidP="00266858">
      <w:pPr>
        <w:rPr>
          <w:rFonts w:ascii="Times New Roman" w:hAnsi="Times New Roman"/>
          <w:b/>
          <w:sz w:val="22"/>
          <w:szCs w:val="22"/>
        </w:rPr>
      </w:pPr>
    </w:p>
    <w:p w:rsidR="00520CDC" w:rsidRPr="003D7212" w:rsidRDefault="00520CDC" w:rsidP="00266858">
      <w:pPr>
        <w:rPr>
          <w:rFonts w:ascii="Times New Roman" w:hAnsi="Times New Roman"/>
          <w:b/>
          <w:sz w:val="22"/>
          <w:szCs w:val="22"/>
        </w:rPr>
      </w:pPr>
      <w:r w:rsidRPr="00460745">
        <w:rPr>
          <w:rFonts w:ascii="Times New Roman" w:hAnsi="Times New Roman"/>
          <w:b/>
          <w:sz w:val="22"/>
          <w:szCs w:val="22"/>
        </w:rPr>
        <w:t xml:space="preserve">6.2 Ασυμβατότητες </w:t>
      </w:r>
    </w:p>
    <w:p w:rsidR="00252075" w:rsidRPr="00460745" w:rsidRDefault="00252075" w:rsidP="00252075">
      <w:pPr>
        <w:rPr>
          <w:rFonts w:ascii="Times New Roman" w:hAnsi="Times New Roman"/>
          <w:sz w:val="22"/>
          <w:szCs w:val="22"/>
        </w:rPr>
      </w:pPr>
      <w:r w:rsidRPr="00460745">
        <w:rPr>
          <w:rFonts w:ascii="Times New Roman" w:hAnsi="Times New Roman"/>
          <w:sz w:val="22"/>
          <w:szCs w:val="22"/>
        </w:rPr>
        <w:t>Δεν εφαρμόζεται.</w:t>
      </w:r>
    </w:p>
    <w:p w:rsidR="00C72228" w:rsidRPr="00460745" w:rsidRDefault="00C72228" w:rsidP="00266858">
      <w:pPr>
        <w:rPr>
          <w:rFonts w:ascii="Times New Roman" w:hAnsi="Times New Roman"/>
          <w:b/>
          <w:sz w:val="22"/>
          <w:szCs w:val="22"/>
        </w:rPr>
      </w:pPr>
    </w:p>
    <w:p w:rsidR="00520CDC" w:rsidRPr="003D7212" w:rsidRDefault="00520CDC" w:rsidP="00266858">
      <w:pPr>
        <w:rPr>
          <w:rFonts w:ascii="Times New Roman" w:hAnsi="Times New Roman"/>
          <w:b/>
          <w:sz w:val="22"/>
          <w:szCs w:val="22"/>
        </w:rPr>
      </w:pPr>
      <w:r w:rsidRPr="00460745">
        <w:rPr>
          <w:rFonts w:ascii="Times New Roman" w:hAnsi="Times New Roman"/>
          <w:b/>
          <w:sz w:val="22"/>
          <w:szCs w:val="22"/>
        </w:rPr>
        <w:t>6.3 Διάρκεια ζωής</w:t>
      </w:r>
    </w:p>
    <w:p w:rsidR="00252075" w:rsidRPr="00460745" w:rsidRDefault="00065095" w:rsidP="00252075">
      <w:pPr>
        <w:rPr>
          <w:rFonts w:ascii="Times New Roman" w:hAnsi="Times New Roman"/>
          <w:sz w:val="22"/>
          <w:szCs w:val="22"/>
        </w:rPr>
      </w:pPr>
      <w:r w:rsidRPr="00460745">
        <w:rPr>
          <w:rFonts w:ascii="Times New Roman" w:hAnsi="Times New Roman"/>
          <w:sz w:val="22"/>
          <w:szCs w:val="22"/>
        </w:rPr>
        <w:t xml:space="preserve">Δισκία: </w:t>
      </w:r>
      <w:r w:rsidR="00252075" w:rsidRPr="00460745">
        <w:rPr>
          <w:rFonts w:ascii="Times New Roman" w:hAnsi="Times New Roman"/>
          <w:sz w:val="22"/>
          <w:szCs w:val="22"/>
        </w:rPr>
        <w:t>5 χρόνια</w:t>
      </w:r>
    </w:p>
    <w:p w:rsidR="00C72228" w:rsidRPr="00460745" w:rsidRDefault="00C72228" w:rsidP="00266858">
      <w:pPr>
        <w:rPr>
          <w:rFonts w:ascii="Times New Roman" w:hAnsi="Times New Roman"/>
          <w:b/>
          <w:sz w:val="22"/>
          <w:szCs w:val="22"/>
        </w:rPr>
      </w:pPr>
    </w:p>
    <w:p w:rsidR="00520CDC" w:rsidRPr="003D7212" w:rsidRDefault="00520CDC" w:rsidP="00266858">
      <w:pPr>
        <w:rPr>
          <w:rFonts w:ascii="Times New Roman" w:hAnsi="Times New Roman"/>
          <w:b/>
          <w:sz w:val="22"/>
          <w:szCs w:val="22"/>
        </w:rPr>
      </w:pPr>
      <w:r w:rsidRPr="00460745">
        <w:rPr>
          <w:rFonts w:ascii="Times New Roman" w:hAnsi="Times New Roman"/>
          <w:b/>
          <w:sz w:val="22"/>
          <w:szCs w:val="22"/>
        </w:rPr>
        <w:t>6.4 Ιδιαίτερες προφυλάξεις κατά τη</w:t>
      </w:r>
      <w:r w:rsidR="00266858" w:rsidRPr="00460745">
        <w:rPr>
          <w:rFonts w:ascii="Times New Roman" w:hAnsi="Times New Roman"/>
          <w:b/>
          <w:sz w:val="22"/>
          <w:szCs w:val="22"/>
        </w:rPr>
        <w:t>ν</w:t>
      </w:r>
      <w:r w:rsidRPr="00460745">
        <w:rPr>
          <w:rFonts w:ascii="Times New Roman" w:hAnsi="Times New Roman"/>
          <w:b/>
          <w:sz w:val="22"/>
          <w:szCs w:val="22"/>
        </w:rPr>
        <w:t xml:space="preserve"> φύλαξη του προϊόντος</w:t>
      </w:r>
    </w:p>
    <w:p w:rsidR="00252075" w:rsidRPr="00460745" w:rsidRDefault="00065095" w:rsidP="00252075">
      <w:pPr>
        <w:rPr>
          <w:rFonts w:ascii="Times New Roman" w:hAnsi="Times New Roman"/>
          <w:sz w:val="22"/>
          <w:szCs w:val="22"/>
        </w:rPr>
      </w:pPr>
      <w:r w:rsidRPr="00460745">
        <w:rPr>
          <w:rFonts w:ascii="Times New Roman" w:hAnsi="Times New Roman"/>
          <w:sz w:val="22"/>
          <w:szCs w:val="22"/>
        </w:rPr>
        <w:t>Δισκία: Το φαρμακευτικό αυτό προϊόν δεν απαιτεί ιδιαίτερες συνθήκες για την φύλαξή του</w:t>
      </w:r>
      <w:r w:rsidR="00252075" w:rsidRPr="00460745">
        <w:rPr>
          <w:rFonts w:ascii="Times New Roman" w:hAnsi="Times New Roman"/>
          <w:sz w:val="22"/>
          <w:szCs w:val="22"/>
        </w:rPr>
        <w:t>.</w:t>
      </w:r>
    </w:p>
    <w:p w:rsidR="00C72228" w:rsidRPr="00460745" w:rsidRDefault="00C72228" w:rsidP="00266858">
      <w:pPr>
        <w:rPr>
          <w:rFonts w:ascii="Times New Roman" w:hAnsi="Times New Roman"/>
          <w:b/>
          <w:sz w:val="22"/>
          <w:szCs w:val="22"/>
        </w:rPr>
      </w:pPr>
    </w:p>
    <w:p w:rsidR="00520CDC" w:rsidRPr="003D7212" w:rsidRDefault="00520CDC" w:rsidP="00266858">
      <w:pPr>
        <w:rPr>
          <w:rFonts w:ascii="Times New Roman" w:hAnsi="Times New Roman"/>
          <w:b/>
          <w:sz w:val="22"/>
          <w:szCs w:val="22"/>
          <w:lang w:val="en-US"/>
        </w:rPr>
      </w:pPr>
      <w:r w:rsidRPr="00460745">
        <w:rPr>
          <w:rFonts w:ascii="Times New Roman" w:hAnsi="Times New Roman"/>
          <w:b/>
          <w:sz w:val="22"/>
          <w:szCs w:val="22"/>
        </w:rPr>
        <w:t>6.5 Φύση και συστατικά του περιέκτη</w:t>
      </w:r>
    </w:p>
    <w:p w:rsidR="00252075" w:rsidRPr="00460745" w:rsidRDefault="00252075" w:rsidP="00252075">
      <w:pPr>
        <w:rPr>
          <w:rFonts w:ascii="Times New Roman" w:hAnsi="Times New Roman"/>
          <w:sz w:val="22"/>
          <w:szCs w:val="22"/>
        </w:rPr>
      </w:pPr>
      <w:r w:rsidRPr="00460745">
        <w:rPr>
          <w:rFonts w:ascii="Times New Roman" w:hAnsi="Times New Roman"/>
          <w:sz w:val="22"/>
          <w:szCs w:val="22"/>
        </w:rPr>
        <w:t>2,5 </w:t>
      </w:r>
      <w:r w:rsidRPr="00460745">
        <w:rPr>
          <w:rFonts w:ascii="Times New Roman" w:hAnsi="Times New Roman"/>
          <w:sz w:val="22"/>
          <w:szCs w:val="22"/>
          <w:lang w:val="en-US"/>
        </w:rPr>
        <w:t>mg</w:t>
      </w:r>
      <w:r w:rsidRPr="00460745">
        <w:rPr>
          <w:rFonts w:ascii="Times New Roman" w:hAnsi="Times New Roman"/>
          <w:sz w:val="22"/>
          <w:szCs w:val="22"/>
        </w:rPr>
        <w:t xml:space="preserve">: Συσκευασίες των </w:t>
      </w:r>
      <w:r w:rsidR="00535A62" w:rsidRPr="00460745">
        <w:rPr>
          <w:rFonts w:ascii="Times New Roman" w:hAnsi="Times New Roman"/>
          <w:sz w:val="22"/>
          <w:szCs w:val="22"/>
        </w:rPr>
        <w:t xml:space="preserve">7, 10, 14, 15, 18, </w:t>
      </w:r>
      <w:r w:rsidRPr="00460745">
        <w:rPr>
          <w:rFonts w:ascii="Times New Roman" w:hAnsi="Times New Roman"/>
          <w:sz w:val="22"/>
          <w:szCs w:val="22"/>
        </w:rPr>
        <w:t>20</w:t>
      </w:r>
      <w:r w:rsidR="00535A62" w:rsidRPr="00460745">
        <w:rPr>
          <w:rFonts w:ascii="Times New Roman" w:hAnsi="Times New Roman"/>
          <w:sz w:val="22"/>
          <w:szCs w:val="22"/>
        </w:rPr>
        <w:t>, 28, 30, 45, 50, 60, 90, 98, 99, 100, 300, 500</w:t>
      </w:r>
      <w:r w:rsidRPr="00460745">
        <w:rPr>
          <w:rFonts w:ascii="Times New Roman" w:hAnsi="Times New Roman"/>
          <w:sz w:val="22"/>
          <w:szCs w:val="22"/>
        </w:rPr>
        <w:t xml:space="preserve"> δισκίων σε κυψέλες </w:t>
      </w:r>
      <w:r w:rsidR="007B647E" w:rsidRPr="00460745">
        <w:rPr>
          <w:rFonts w:ascii="Times New Roman" w:hAnsi="Times New Roman"/>
          <w:sz w:val="22"/>
          <w:szCs w:val="22"/>
        </w:rPr>
        <w:t xml:space="preserve">από </w:t>
      </w:r>
      <w:r w:rsidR="007B647E" w:rsidRPr="00460745">
        <w:rPr>
          <w:rFonts w:ascii="Times New Roman" w:hAnsi="Times New Roman"/>
          <w:sz w:val="22"/>
          <w:szCs w:val="22"/>
          <w:lang w:val="en-US"/>
        </w:rPr>
        <w:t>PVC</w:t>
      </w:r>
      <w:r w:rsidR="007B647E" w:rsidRPr="00460745">
        <w:rPr>
          <w:rFonts w:ascii="Times New Roman" w:hAnsi="Times New Roman"/>
          <w:sz w:val="22"/>
          <w:szCs w:val="22"/>
        </w:rPr>
        <w:t>/</w:t>
      </w:r>
      <w:r w:rsidR="007B647E" w:rsidRPr="00460745">
        <w:rPr>
          <w:rFonts w:ascii="Times New Roman" w:hAnsi="Times New Roman"/>
          <w:sz w:val="22"/>
          <w:szCs w:val="22"/>
          <w:lang w:val="en-US"/>
        </w:rPr>
        <w:t>Alu</w:t>
      </w:r>
    </w:p>
    <w:p w:rsidR="00252075" w:rsidRPr="00460745" w:rsidRDefault="00252075" w:rsidP="00252075">
      <w:pPr>
        <w:rPr>
          <w:rFonts w:ascii="Times New Roman" w:hAnsi="Times New Roman"/>
          <w:bCs/>
          <w:sz w:val="22"/>
          <w:szCs w:val="22"/>
        </w:rPr>
      </w:pPr>
      <w:r w:rsidRPr="00460745">
        <w:rPr>
          <w:rFonts w:ascii="Times New Roman" w:hAnsi="Times New Roman"/>
          <w:sz w:val="22"/>
          <w:szCs w:val="22"/>
        </w:rPr>
        <w:t>5</w:t>
      </w:r>
      <w:r w:rsidRPr="00460745">
        <w:rPr>
          <w:rFonts w:ascii="Times New Roman" w:hAnsi="Times New Roman"/>
          <w:sz w:val="22"/>
          <w:szCs w:val="22"/>
          <w:lang w:val="en-US"/>
        </w:rPr>
        <w:t> mg</w:t>
      </w:r>
      <w:r w:rsidRPr="00460745">
        <w:rPr>
          <w:rFonts w:ascii="Times New Roman" w:hAnsi="Times New Roman"/>
          <w:sz w:val="22"/>
          <w:szCs w:val="22"/>
        </w:rPr>
        <w:t xml:space="preserve">: Συσκευασίες των </w:t>
      </w:r>
      <w:r w:rsidR="00535A62" w:rsidRPr="00460745">
        <w:rPr>
          <w:rFonts w:ascii="Times New Roman" w:hAnsi="Times New Roman"/>
          <w:sz w:val="22"/>
          <w:szCs w:val="22"/>
        </w:rPr>
        <w:t xml:space="preserve">10, 14, 15, 18, </w:t>
      </w:r>
      <w:r w:rsidRPr="00460745">
        <w:rPr>
          <w:rFonts w:ascii="Times New Roman" w:hAnsi="Times New Roman"/>
          <w:sz w:val="22"/>
          <w:szCs w:val="22"/>
        </w:rPr>
        <w:t>20</w:t>
      </w:r>
      <w:r w:rsidR="00535A62" w:rsidRPr="00460745">
        <w:rPr>
          <w:rFonts w:ascii="Times New Roman" w:hAnsi="Times New Roman"/>
          <w:sz w:val="22"/>
          <w:szCs w:val="22"/>
        </w:rPr>
        <w:t xml:space="preserve">, 21, 28, 30, 45, 50, </w:t>
      </w:r>
      <w:r w:rsidR="0077505F" w:rsidRPr="00460745">
        <w:rPr>
          <w:rFonts w:ascii="Times New Roman" w:hAnsi="Times New Roman"/>
          <w:sz w:val="22"/>
          <w:szCs w:val="22"/>
        </w:rPr>
        <w:t>5</w:t>
      </w:r>
      <w:r w:rsidR="00535A62" w:rsidRPr="00460745">
        <w:rPr>
          <w:rFonts w:ascii="Times New Roman" w:hAnsi="Times New Roman"/>
          <w:sz w:val="22"/>
          <w:szCs w:val="22"/>
        </w:rPr>
        <w:t xml:space="preserve">6, 90, 98, 99, 100, 300, 500 </w:t>
      </w:r>
      <w:r w:rsidRPr="00460745">
        <w:rPr>
          <w:rFonts w:ascii="Times New Roman" w:hAnsi="Times New Roman"/>
          <w:sz w:val="22"/>
          <w:szCs w:val="22"/>
        </w:rPr>
        <w:t xml:space="preserve"> δισκίων σε κυψέλες </w:t>
      </w:r>
      <w:r w:rsidR="007B647E" w:rsidRPr="00460745">
        <w:rPr>
          <w:rFonts w:ascii="Times New Roman" w:hAnsi="Times New Roman"/>
          <w:sz w:val="22"/>
          <w:szCs w:val="22"/>
        </w:rPr>
        <w:t xml:space="preserve">από </w:t>
      </w:r>
      <w:r w:rsidR="007B647E" w:rsidRPr="00460745">
        <w:rPr>
          <w:rFonts w:ascii="Times New Roman" w:hAnsi="Times New Roman"/>
          <w:sz w:val="22"/>
          <w:szCs w:val="22"/>
          <w:lang w:val="en-US"/>
        </w:rPr>
        <w:t>PVC</w:t>
      </w:r>
      <w:r w:rsidR="007B647E" w:rsidRPr="00460745">
        <w:rPr>
          <w:rFonts w:ascii="Times New Roman" w:hAnsi="Times New Roman"/>
          <w:sz w:val="22"/>
          <w:szCs w:val="22"/>
        </w:rPr>
        <w:t>/</w:t>
      </w:r>
      <w:r w:rsidR="007B647E" w:rsidRPr="00460745">
        <w:rPr>
          <w:rFonts w:ascii="Times New Roman" w:hAnsi="Times New Roman"/>
          <w:sz w:val="22"/>
          <w:szCs w:val="22"/>
          <w:lang w:val="en-US"/>
        </w:rPr>
        <w:t>Alu</w:t>
      </w:r>
    </w:p>
    <w:p w:rsidR="00E432BA" w:rsidRPr="00460745" w:rsidRDefault="00E432BA" w:rsidP="00252075">
      <w:pPr>
        <w:rPr>
          <w:rFonts w:ascii="Times New Roman" w:hAnsi="Times New Roman"/>
          <w:bCs/>
          <w:sz w:val="22"/>
          <w:szCs w:val="22"/>
        </w:rPr>
      </w:pPr>
    </w:p>
    <w:p w:rsidR="00E432BA" w:rsidRPr="00460745" w:rsidRDefault="00E432BA" w:rsidP="00E432BA">
      <w:pPr>
        <w:rPr>
          <w:rFonts w:ascii="Times New Roman" w:hAnsi="Times New Roman"/>
          <w:sz w:val="22"/>
          <w:szCs w:val="22"/>
        </w:rPr>
      </w:pPr>
      <w:r w:rsidRPr="00460745">
        <w:rPr>
          <w:rFonts w:ascii="Times New Roman" w:hAnsi="Times New Roman"/>
          <w:bCs/>
          <w:sz w:val="22"/>
          <w:szCs w:val="22"/>
        </w:rPr>
        <w:t xml:space="preserve">2,5 </w:t>
      </w:r>
      <w:r w:rsidRPr="00460745">
        <w:rPr>
          <w:rFonts w:ascii="Times New Roman" w:hAnsi="Times New Roman"/>
          <w:bCs/>
          <w:sz w:val="22"/>
          <w:szCs w:val="22"/>
          <w:lang w:val="en-US"/>
        </w:rPr>
        <w:t>mg</w:t>
      </w:r>
      <w:r w:rsidRPr="00460745">
        <w:rPr>
          <w:rFonts w:ascii="Times New Roman" w:hAnsi="Times New Roman"/>
          <w:bCs/>
          <w:sz w:val="22"/>
          <w:szCs w:val="22"/>
        </w:rPr>
        <w:t>: 500 δισκία σε καφέ γυάλινες φιάλες τύπου ΙΙΙ (</w:t>
      </w:r>
      <w:r w:rsidRPr="00460745">
        <w:rPr>
          <w:rFonts w:ascii="Times New Roman" w:hAnsi="Times New Roman"/>
          <w:bCs/>
          <w:sz w:val="22"/>
          <w:szCs w:val="22"/>
          <w:lang w:val="en-US"/>
        </w:rPr>
        <w:t>Ph</w:t>
      </w:r>
      <w:r w:rsidRPr="00460745">
        <w:rPr>
          <w:rFonts w:ascii="Times New Roman" w:hAnsi="Times New Roman"/>
          <w:bCs/>
          <w:sz w:val="22"/>
          <w:szCs w:val="22"/>
        </w:rPr>
        <w:t>.</w:t>
      </w:r>
      <w:r w:rsidRPr="00460745">
        <w:rPr>
          <w:rFonts w:ascii="Times New Roman" w:hAnsi="Times New Roman"/>
          <w:bCs/>
          <w:sz w:val="22"/>
          <w:szCs w:val="22"/>
          <w:lang w:val="en-US"/>
        </w:rPr>
        <w:t>Eur</w:t>
      </w:r>
      <w:r w:rsidRPr="00460745">
        <w:rPr>
          <w:rFonts w:ascii="Times New Roman" w:hAnsi="Times New Roman"/>
          <w:bCs/>
          <w:sz w:val="22"/>
          <w:szCs w:val="22"/>
        </w:rPr>
        <w:t xml:space="preserve">) με βιδωτό πώμα από </w:t>
      </w:r>
      <w:r w:rsidRPr="00460745">
        <w:rPr>
          <w:rFonts w:ascii="Times New Roman" w:hAnsi="Times New Roman"/>
          <w:bCs/>
          <w:sz w:val="22"/>
          <w:szCs w:val="22"/>
          <w:lang w:val="en-US"/>
        </w:rPr>
        <w:t>HDPE</w:t>
      </w:r>
      <w:r w:rsidRPr="00460745">
        <w:rPr>
          <w:rFonts w:ascii="Times New Roman" w:hAnsi="Times New Roman"/>
          <w:bCs/>
          <w:sz w:val="22"/>
          <w:szCs w:val="22"/>
        </w:rPr>
        <w:t>.</w:t>
      </w:r>
    </w:p>
    <w:p w:rsidR="00E432BA" w:rsidRPr="00460745" w:rsidRDefault="00E432BA" w:rsidP="00252075">
      <w:pPr>
        <w:rPr>
          <w:rFonts w:ascii="Times New Roman" w:hAnsi="Times New Roman"/>
          <w:sz w:val="22"/>
          <w:szCs w:val="22"/>
        </w:rPr>
      </w:pPr>
      <w:r w:rsidRPr="00460745">
        <w:rPr>
          <w:rFonts w:ascii="Times New Roman" w:hAnsi="Times New Roman"/>
          <w:bCs/>
          <w:sz w:val="22"/>
          <w:szCs w:val="22"/>
        </w:rPr>
        <w:t xml:space="preserve">5 </w:t>
      </w:r>
      <w:r w:rsidRPr="00460745">
        <w:rPr>
          <w:rFonts w:ascii="Times New Roman" w:hAnsi="Times New Roman"/>
          <w:bCs/>
          <w:sz w:val="22"/>
          <w:szCs w:val="22"/>
          <w:lang w:val="en-US"/>
        </w:rPr>
        <w:t>mg</w:t>
      </w:r>
      <w:r w:rsidRPr="00460745">
        <w:rPr>
          <w:rFonts w:ascii="Times New Roman" w:hAnsi="Times New Roman"/>
          <w:bCs/>
          <w:sz w:val="22"/>
          <w:szCs w:val="22"/>
        </w:rPr>
        <w:t>: 500 δισκία σε καφέ γυάλινες φιάλες τύπου ΙΙΙ (</w:t>
      </w:r>
      <w:r w:rsidRPr="00460745">
        <w:rPr>
          <w:rFonts w:ascii="Times New Roman" w:hAnsi="Times New Roman"/>
          <w:bCs/>
          <w:sz w:val="22"/>
          <w:szCs w:val="22"/>
          <w:lang w:val="en-US"/>
        </w:rPr>
        <w:t>Ph</w:t>
      </w:r>
      <w:r w:rsidRPr="00460745">
        <w:rPr>
          <w:rFonts w:ascii="Times New Roman" w:hAnsi="Times New Roman"/>
          <w:bCs/>
          <w:sz w:val="22"/>
          <w:szCs w:val="22"/>
        </w:rPr>
        <w:t>.</w:t>
      </w:r>
      <w:r w:rsidRPr="00460745">
        <w:rPr>
          <w:rFonts w:ascii="Times New Roman" w:hAnsi="Times New Roman"/>
          <w:bCs/>
          <w:sz w:val="22"/>
          <w:szCs w:val="22"/>
          <w:lang w:val="en-US"/>
        </w:rPr>
        <w:t>Eur</w:t>
      </w:r>
      <w:r w:rsidRPr="00460745">
        <w:rPr>
          <w:rFonts w:ascii="Times New Roman" w:hAnsi="Times New Roman"/>
          <w:bCs/>
          <w:sz w:val="22"/>
          <w:szCs w:val="22"/>
        </w:rPr>
        <w:t xml:space="preserve">) με βιδωτό πώμα από </w:t>
      </w:r>
      <w:r w:rsidRPr="00460745">
        <w:rPr>
          <w:rFonts w:ascii="Times New Roman" w:hAnsi="Times New Roman"/>
          <w:bCs/>
          <w:sz w:val="22"/>
          <w:szCs w:val="22"/>
          <w:lang w:val="en-US"/>
        </w:rPr>
        <w:t>HDPE</w:t>
      </w:r>
      <w:r w:rsidRPr="00460745">
        <w:rPr>
          <w:rFonts w:ascii="Times New Roman" w:hAnsi="Times New Roman"/>
          <w:bCs/>
          <w:sz w:val="22"/>
          <w:szCs w:val="22"/>
        </w:rPr>
        <w:t>.</w:t>
      </w:r>
    </w:p>
    <w:p w:rsidR="003D7212" w:rsidRDefault="003D7212" w:rsidP="00266858">
      <w:pPr>
        <w:rPr>
          <w:rFonts w:ascii="Times New Roman" w:hAnsi="Times New Roman"/>
          <w:b/>
          <w:sz w:val="22"/>
          <w:szCs w:val="22"/>
          <w:lang w:val="en-US"/>
        </w:rPr>
      </w:pPr>
    </w:p>
    <w:p w:rsidR="00520CDC" w:rsidRPr="003D7212" w:rsidRDefault="00520CDC" w:rsidP="00266858">
      <w:pPr>
        <w:rPr>
          <w:rFonts w:ascii="Times New Roman" w:hAnsi="Times New Roman"/>
          <w:b/>
          <w:sz w:val="22"/>
          <w:szCs w:val="22"/>
          <w:lang w:val="en-US"/>
        </w:rPr>
      </w:pPr>
      <w:r w:rsidRPr="00460745">
        <w:rPr>
          <w:rFonts w:ascii="Times New Roman" w:hAnsi="Times New Roman"/>
          <w:b/>
          <w:sz w:val="22"/>
          <w:szCs w:val="22"/>
        </w:rPr>
        <w:t xml:space="preserve">6.6 </w:t>
      </w:r>
      <w:r w:rsidR="00266858" w:rsidRPr="00460745">
        <w:rPr>
          <w:rFonts w:ascii="Times New Roman" w:hAnsi="Times New Roman"/>
          <w:b/>
          <w:sz w:val="22"/>
          <w:szCs w:val="22"/>
        </w:rPr>
        <w:t>Ιδιαίτερες προφυλάξεις απόρριψης</w:t>
      </w:r>
    </w:p>
    <w:p w:rsidR="00520CDC" w:rsidRPr="00460745" w:rsidRDefault="006B4C0E" w:rsidP="00266858">
      <w:pPr>
        <w:rPr>
          <w:rFonts w:ascii="Times New Roman" w:hAnsi="Times New Roman"/>
          <w:sz w:val="22"/>
          <w:szCs w:val="22"/>
        </w:rPr>
      </w:pPr>
      <w:r w:rsidRPr="00460745">
        <w:rPr>
          <w:rFonts w:ascii="Times New Roman" w:hAnsi="Times New Roman"/>
          <w:sz w:val="22"/>
          <w:szCs w:val="22"/>
        </w:rPr>
        <w:t>Κάθε προϊόν που δεν έχει χρησιμοποιηθεί ή υπόλειμμα πρέπει να απορριφθεί σύμφωνα με τις κατά τόπους ισχύουσες σχετικές διατάξεις.</w:t>
      </w:r>
    </w:p>
    <w:p w:rsidR="00520CDC" w:rsidRPr="00460745" w:rsidRDefault="00520CDC" w:rsidP="00266858">
      <w:pPr>
        <w:rPr>
          <w:rFonts w:ascii="Times New Roman" w:hAnsi="Times New Roman"/>
          <w:b/>
          <w:sz w:val="22"/>
          <w:szCs w:val="22"/>
        </w:rPr>
      </w:pPr>
    </w:p>
    <w:p w:rsidR="00520CDC" w:rsidRPr="00460745" w:rsidRDefault="00520CDC" w:rsidP="00266858">
      <w:pPr>
        <w:rPr>
          <w:rFonts w:ascii="Times New Roman" w:hAnsi="Times New Roman"/>
          <w:b/>
          <w:sz w:val="22"/>
          <w:szCs w:val="22"/>
        </w:rPr>
      </w:pPr>
    </w:p>
    <w:p w:rsidR="00520CDC" w:rsidRPr="00460745" w:rsidRDefault="00520CDC" w:rsidP="00266858">
      <w:pPr>
        <w:rPr>
          <w:rFonts w:ascii="Times New Roman" w:hAnsi="Times New Roman"/>
          <w:b/>
          <w:sz w:val="22"/>
          <w:szCs w:val="22"/>
        </w:rPr>
      </w:pPr>
      <w:r w:rsidRPr="00460745">
        <w:rPr>
          <w:rFonts w:ascii="Times New Roman" w:hAnsi="Times New Roman"/>
          <w:b/>
          <w:sz w:val="22"/>
          <w:szCs w:val="22"/>
        </w:rPr>
        <w:t xml:space="preserve">7. </w:t>
      </w:r>
      <w:r w:rsidR="00266858" w:rsidRPr="00460745">
        <w:rPr>
          <w:rFonts w:ascii="Times New Roman" w:hAnsi="Times New Roman"/>
          <w:b/>
          <w:sz w:val="22"/>
          <w:szCs w:val="22"/>
        </w:rPr>
        <w:tab/>
        <w:t>ΚΑΤΟΧΟΣ ΤΗΣ</w:t>
      </w:r>
      <w:r w:rsidRPr="00460745">
        <w:rPr>
          <w:rFonts w:ascii="Times New Roman" w:hAnsi="Times New Roman"/>
          <w:b/>
          <w:sz w:val="22"/>
          <w:szCs w:val="22"/>
        </w:rPr>
        <w:t xml:space="preserve"> ΑΔΕΙΑΣ ΚΥΚΛΟΦΟΡΙΑΣ</w:t>
      </w:r>
    </w:p>
    <w:p w:rsidR="00BE48DA" w:rsidRPr="00460745" w:rsidRDefault="00520CDC" w:rsidP="005A54E4">
      <w:pPr>
        <w:rPr>
          <w:rFonts w:ascii="Times New Roman" w:hAnsi="Times New Roman"/>
          <w:sz w:val="22"/>
          <w:szCs w:val="22"/>
        </w:rPr>
      </w:pPr>
      <w:r w:rsidRPr="00460745">
        <w:rPr>
          <w:rFonts w:ascii="Times New Roman" w:hAnsi="Times New Roman"/>
          <w:sz w:val="22"/>
          <w:szCs w:val="22"/>
        </w:rPr>
        <w:lastRenderedPageBreak/>
        <w:t xml:space="preserve">        </w:t>
      </w:r>
    </w:p>
    <w:p w:rsidR="00252075" w:rsidRPr="00460745" w:rsidRDefault="00252075" w:rsidP="00252075">
      <w:pPr>
        <w:autoSpaceDE w:val="0"/>
        <w:autoSpaceDN w:val="0"/>
        <w:adjustRightInd w:val="0"/>
        <w:jc w:val="both"/>
        <w:rPr>
          <w:rFonts w:ascii="Times New Roman" w:eastAsia="MS Mincho" w:hAnsi="Times New Roman"/>
          <w:b/>
          <w:bCs/>
          <w:color w:val="000000"/>
          <w:sz w:val="22"/>
          <w:szCs w:val="22"/>
        </w:rPr>
      </w:pPr>
      <w:r w:rsidRPr="00460745">
        <w:rPr>
          <w:rFonts w:ascii="Times New Roman" w:eastAsia="MS Mincho" w:hAnsi="Times New Roman"/>
          <w:b/>
          <w:bCs/>
          <w:color w:val="000000"/>
          <w:sz w:val="22"/>
          <w:szCs w:val="22"/>
          <w:lang w:val="en-US"/>
        </w:rPr>
        <w:t>sanofi</w:t>
      </w:r>
      <w:r w:rsidRPr="00460745">
        <w:rPr>
          <w:rFonts w:ascii="Times New Roman" w:eastAsia="MS Mincho" w:hAnsi="Times New Roman"/>
          <w:b/>
          <w:bCs/>
          <w:color w:val="000000"/>
          <w:sz w:val="22"/>
          <w:szCs w:val="22"/>
        </w:rPr>
        <w:t>-</w:t>
      </w:r>
      <w:r w:rsidRPr="00460745">
        <w:rPr>
          <w:rFonts w:ascii="Times New Roman" w:eastAsia="MS Mincho" w:hAnsi="Times New Roman"/>
          <w:b/>
          <w:bCs/>
          <w:color w:val="000000"/>
          <w:sz w:val="22"/>
          <w:szCs w:val="22"/>
          <w:lang w:val="en-US"/>
        </w:rPr>
        <w:t>aventis</w:t>
      </w:r>
      <w:r w:rsidRPr="00460745">
        <w:rPr>
          <w:rFonts w:ascii="Times New Roman" w:eastAsia="MS Mincho" w:hAnsi="Times New Roman"/>
          <w:b/>
          <w:bCs/>
          <w:color w:val="000000"/>
          <w:sz w:val="22"/>
          <w:szCs w:val="22"/>
        </w:rPr>
        <w:t xml:space="preserve"> </w:t>
      </w:r>
      <w:r w:rsidRPr="00460745">
        <w:rPr>
          <w:rFonts w:ascii="Times New Roman" w:eastAsia="MS Mincho" w:hAnsi="Times New Roman"/>
          <w:b/>
          <w:bCs/>
          <w:color w:val="000000"/>
          <w:sz w:val="22"/>
          <w:szCs w:val="22"/>
          <w:lang w:val="en-US"/>
        </w:rPr>
        <w:t>AEBE</w:t>
      </w:r>
    </w:p>
    <w:p w:rsidR="00252075" w:rsidRPr="00460745" w:rsidRDefault="00252075" w:rsidP="00252075">
      <w:pPr>
        <w:autoSpaceDE w:val="0"/>
        <w:autoSpaceDN w:val="0"/>
        <w:adjustRightInd w:val="0"/>
        <w:ind w:firstLine="11"/>
        <w:jc w:val="both"/>
        <w:rPr>
          <w:rFonts w:ascii="Times New Roman" w:eastAsia="MS Mincho" w:hAnsi="Times New Roman"/>
          <w:color w:val="000000"/>
          <w:sz w:val="22"/>
          <w:szCs w:val="22"/>
        </w:rPr>
      </w:pPr>
      <w:r w:rsidRPr="00460745">
        <w:rPr>
          <w:rFonts w:ascii="Times New Roman" w:eastAsia="MS Mincho" w:hAnsi="Times New Roman"/>
          <w:color w:val="000000"/>
          <w:sz w:val="22"/>
          <w:szCs w:val="22"/>
        </w:rPr>
        <w:t>Λεωφ. Συγγρού 348 – Κτίριο Α</w:t>
      </w:r>
    </w:p>
    <w:p w:rsidR="00252075" w:rsidRPr="00460745" w:rsidRDefault="00252075" w:rsidP="00252075">
      <w:pPr>
        <w:autoSpaceDE w:val="0"/>
        <w:autoSpaceDN w:val="0"/>
        <w:adjustRightInd w:val="0"/>
        <w:ind w:firstLine="11"/>
        <w:jc w:val="both"/>
        <w:rPr>
          <w:rFonts w:ascii="Times New Roman" w:eastAsia="MS Mincho" w:hAnsi="Times New Roman"/>
          <w:color w:val="000000"/>
          <w:sz w:val="22"/>
          <w:szCs w:val="22"/>
        </w:rPr>
      </w:pPr>
      <w:r w:rsidRPr="00460745">
        <w:rPr>
          <w:rFonts w:ascii="Times New Roman" w:eastAsia="MS Mincho" w:hAnsi="Times New Roman"/>
          <w:color w:val="000000"/>
          <w:sz w:val="22"/>
          <w:szCs w:val="22"/>
        </w:rPr>
        <w:t xml:space="preserve">176 74 Καλλιθέα – Αθήνα </w:t>
      </w:r>
    </w:p>
    <w:p w:rsidR="00252075" w:rsidRPr="00460745" w:rsidRDefault="00252075" w:rsidP="00252075">
      <w:pPr>
        <w:autoSpaceDE w:val="0"/>
        <w:autoSpaceDN w:val="0"/>
        <w:adjustRightInd w:val="0"/>
        <w:ind w:firstLine="11"/>
        <w:rPr>
          <w:rFonts w:ascii="Times New Roman" w:eastAsia="MS Mincho" w:hAnsi="Times New Roman"/>
          <w:sz w:val="20"/>
        </w:rPr>
      </w:pPr>
      <w:r w:rsidRPr="00460745">
        <w:rPr>
          <w:rFonts w:ascii="Times New Roman" w:eastAsia="MS Mincho" w:hAnsi="Times New Roman"/>
          <w:color w:val="000000"/>
          <w:sz w:val="22"/>
          <w:szCs w:val="22"/>
        </w:rPr>
        <w:t>Τηλ.: +30 210 90 01 600</w:t>
      </w:r>
    </w:p>
    <w:p w:rsidR="00BE48DA" w:rsidRPr="00460745" w:rsidRDefault="00BE48DA" w:rsidP="00266858">
      <w:pPr>
        <w:rPr>
          <w:rFonts w:ascii="Times New Roman" w:hAnsi="Times New Roman"/>
          <w:sz w:val="22"/>
          <w:szCs w:val="22"/>
        </w:rPr>
      </w:pPr>
    </w:p>
    <w:p w:rsidR="00252075" w:rsidRPr="00460745" w:rsidRDefault="00252075" w:rsidP="00266858">
      <w:pPr>
        <w:rPr>
          <w:rFonts w:ascii="Times New Roman" w:hAnsi="Times New Roman"/>
          <w:sz w:val="22"/>
          <w:szCs w:val="22"/>
          <w:lang w:val="en-US"/>
        </w:rPr>
      </w:pPr>
    </w:p>
    <w:p w:rsidR="00520CDC" w:rsidRPr="00460745" w:rsidRDefault="00520CDC" w:rsidP="00266858">
      <w:pPr>
        <w:rPr>
          <w:rFonts w:ascii="Times New Roman" w:hAnsi="Times New Roman"/>
          <w:b/>
          <w:sz w:val="22"/>
          <w:szCs w:val="22"/>
        </w:rPr>
      </w:pPr>
      <w:r w:rsidRPr="00460745">
        <w:rPr>
          <w:rFonts w:ascii="Times New Roman" w:hAnsi="Times New Roman"/>
          <w:b/>
          <w:sz w:val="22"/>
          <w:szCs w:val="22"/>
        </w:rPr>
        <w:t>8.</w:t>
      </w:r>
      <w:r w:rsidRPr="00460745">
        <w:rPr>
          <w:rFonts w:ascii="Times New Roman" w:hAnsi="Times New Roman"/>
          <w:b/>
          <w:sz w:val="22"/>
          <w:szCs w:val="22"/>
        </w:rPr>
        <w:tab/>
        <w:t>ΑΡΙΘΜΟΣ</w:t>
      </w:r>
      <w:r w:rsidR="00266858" w:rsidRPr="00460745">
        <w:rPr>
          <w:rFonts w:ascii="Times New Roman" w:hAnsi="Times New Roman"/>
          <w:b/>
          <w:sz w:val="22"/>
          <w:szCs w:val="22"/>
        </w:rPr>
        <w:t>(ΟΙ)</w:t>
      </w:r>
      <w:r w:rsidRPr="00460745">
        <w:rPr>
          <w:rFonts w:ascii="Times New Roman" w:hAnsi="Times New Roman"/>
          <w:b/>
          <w:sz w:val="22"/>
          <w:szCs w:val="22"/>
        </w:rPr>
        <w:t xml:space="preserve"> ΑΔΕΙΑΣ ΚΥΚΛΟΦΟΡΙΑΣ</w:t>
      </w:r>
    </w:p>
    <w:p w:rsidR="00520CDC" w:rsidRPr="00460745" w:rsidRDefault="00520CDC" w:rsidP="00266858">
      <w:pPr>
        <w:rPr>
          <w:rFonts w:ascii="Times New Roman" w:hAnsi="Times New Roman"/>
          <w:b/>
          <w:sz w:val="22"/>
          <w:szCs w:val="22"/>
        </w:rPr>
      </w:pPr>
    </w:p>
    <w:p w:rsidR="00252075" w:rsidRPr="00460745" w:rsidRDefault="00252075" w:rsidP="00266858">
      <w:pPr>
        <w:rPr>
          <w:rFonts w:ascii="Times New Roman" w:hAnsi="Times New Roman"/>
          <w:sz w:val="22"/>
          <w:szCs w:val="22"/>
          <w:lang w:val="en-US"/>
        </w:rPr>
      </w:pPr>
    </w:p>
    <w:p w:rsidR="00CA19FF" w:rsidRPr="00460745" w:rsidRDefault="00CA19FF" w:rsidP="00266858">
      <w:pPr>
        <w:rPr>
          <w:rFonts w:ascii="Times New Roman" w:hAnsi="Times New Roman"/>
          <w:sz w:val="22"/>
          <w:szCs w:val="22"/>
          <w:lang w:val="en-US"/>
        </w:rPr>
      </w:pPr>
    </w:p>
    <w:p w:rsidR="00897AF6" w:rsidRPr="00460745" w:rsidRDefault="00897AF6" w:rsidP="00266858">
      <w:pPr>
        <w:rPr>
          <w:rFonts w:ascii="Times New Roman" w:hAnsi="Times New Roman"/>
          <w:sz w:val="22"/>
          <w:szCs w:val="22"/>
        </w:rPr>
      </w:pPr>
    </w:p>
    <w:p w:rsidR="00520CDC" w:rsidRPr="00460745" w:rsidRDefault="00520CDC" w:rsidP="00266858">
      <w:pPr>
        <w:rPr>
          <w:rFonts w:ascii="Times New Roman" w:hAnsi="Times New Roman"/>
          <w:b/>
          <w:sz w:val="22"/>
          <w:szCs w:val="22"/>
        </w:rPr>
      </w:pPr>
      <w:r w:rsidRPr="00460745">
        <w:rPr>
          <w:rFonts w:ascii="Times New Roman" w:hAnsi="Times New Roman"/>
          <w:b/>
          <w:sz w:val="22"/>
          <w:szCs w:val="22"/>
        </w:rPr>
        <w:t>9.</w:t>
      </w:r>
      <w:r w:rsidRPr="00460745">
        <w:rPr>
          <w:rFonts w:ascii="Times New Roman" w:hAnsi="Times New Roman"/>
          <w:b/>
          <w:sz w:val="22"/>
          <w:szCs w:val="22"/>
        </w:rPr>
        <w:tab/>
        <w:t xml:space="preserve">ΗΜΕΡΟΜΗΝΙΑ ΠΡΩΤΗΣ </w:t>
      </w:r>
      <w:r w:rsidR="00266858" w:rsidRPr="00460745">
        <w:rPr>
          <w:rFonts w:ascii="Times New Roman" w:hAnsi="Times New Roman"/>
          <w:b/>
          <w:sz w:val="22"/>
          <w:szCs w:val="22"/>
        </w:rPr>
        <w:t>ΕΓΚΡΙΣΗΣ /</w:t>
      </w:r>
      <w:r w:rsidRPr="00460745">
        <w:rPr>
          <w:rFonts w:ascii="Times New Roman" w:hAnsi="Times New Roman"/>
          <w:b/>
          <w:sz w:val="22"/>
          <w:szCs w:val="22"/>
        </w:rPr>
        <w:t xml:space="preserve"> </w:t>
      </w:r>
      <w:r w:rsidR="00266858" w:rsidRPr="00460745">
        <w:rPr>
          <w:rFonts w:ascii="Times New Roman" w:hAnsi="Times New Roman"/>
          <w:b/>
          <w:sz w:val="22"/>
          <w:szCs w:val="22"/>
        </w:rPr>
        <w:t>ΑΝΑΝΕΩΣΗΣ ΤΗΣ ΑΔΕΙΑΣ</w:t>
      </w:r>
    </w:p>
    <w:p w:rsidR="00520CDC" w:rsidRPr="00460745" w:rsidRDefault="00520CDC" w:rsidP="00266858">
      <w:pPr>
        <w:rPr>
          <w:rFonts w:ascii="Times New Roman" w:hAnsi="Times New Roman"/>
          <w:b/>
          <w:sz w:val="22"/>
          <w:szCs w:val="22"/>
        </w:rPr>
      </w:pPr>
    </w:p>
    <w:p w:rsidR="00F32A51" w:rsidRPr="00460745" w:rsidRDefault="00F32A51" w:rsidP="00266858">
      <w:pPr>
        <w:rPr>
          <w:rFonts w:ascii="Times New Roman" w:hAnsi="Times New Roman"/>
          <w:sz w:val="22"/>
          <w:szCs w:val="22"/>
        </w:rPr>
      </w:pPr>
    </w:p>
    <w:p w:rsidR="00252075" w:rsidRPr="00460745" w:rsidRDefault="00252075" w:rsidP="00266858">
      <w:pPr>
        <w:rPr>
          <w:rFonts w:ascii="Times New Roman" w:hAnsi="Times New Roman"/>
          <w:sz w:val="22"/>
          <w:szCs w:val="22"/>
        </w:rPr>
      </w:pPr>
    </w:p>
    <w:p w:rsidR="004276B7" w:rsidRPr="00460745" w:rsidRDefault="004276B7" w:rsidP="00266858">
      <w:pPr>
        <w:rPr>
          <w:rFonts w:ascii="Times New Roman" w:hAnsi="Times New Roman"/>
          <w:sz w:val="22"/>
          <w:szCs w:val="22"/>
        </w:rPr>
      </w:pPr>
    </w:p>
    <w:p w:rsidR="00491059" w:rsidRDefault="00520CDC" w:rsidP="00266858">
      <w:pPr>
        <w:rPr>
          <w:rFonts w:ascii="Times New Roman" w:hAnsi="Times New Roman"/>
          <w:b/>
          <w:sz w:val="22"/>
          <w:szCs w:val="22"/>
        </w:rPr>
      </w:pPr>
      <w:r w:rsidRPr="00460745">
        <w:rPr>
          <w:rFonts w:ascii="Times New Roman" w:hAnsi="Times New Roman"/>
          <w:b/>
          <w:sz w:val="22"/>
          <w:szCs w:val="22"/>
        </w:rPr>
        <w:t xml:space="preserve">10. </w:t>
      </w:r>
      <w:r w:rsidR="00266858" w:rsidRPr="00460745">
        <w:rPr>
          <w:rFonts w:ascii="Times New Roman" w:hAnsi="Times New Roman"/>
          <w:b/>
          <w:sz w:val="22"/>
          <w:szCs w:val="22"/>
        </w:rPr>
        <w:tab/>
      </w:r>
      <w:r w:rsidRPr="00460745">
        <w:rPr>
          <w:rFonts w:ascii="Times New Roman" w:hAnsi="Times New Roman"/>
          <w:b/>
          <w:sz w:val="22"/>
          <w:szCs w:val="22"/>
        </w:rPr>
        <w:t>ΗΜΕΡΟΜΗΝΙΑ ΑΝΑΘΕΩΡΗΣΗΣ ΤΟΥ ΚΕΙΜΕΝΟΥ</w:t>
      </w:r>
    </w:p>
    <w:p w:rsidR="00532A50" w:rsidRDefault="00532A50" w:rsidP="00BE3019">
      <w:pPr>
        <w:rPr>
          <w:lang w:val="en-US"/>
        </w:rPr>
      </w:pPr>
    </w:p>
    <w:p w:rsidR="00DF75F9" w:rsidRPr="00DF75F9" w:rsidRDefault="00DF75F9" w:rsidP="00BE3019">
      <w:pPr>
        <w:rPr>
          <w:rFonts w:ascii="Times New Roman" w:hAnsi="Times New Roman"/>
          <w:sz w:val="22"/>
          <w:szCs w:val="22"/>
          <w:lang w:val="en-US"/>
        </w:rPr>
      </w:pPr>
    </w:p>
    <w:sectPr w:rsidR="00DF75F9" w:rsidRPr="00DF75F9" w:rsidSect="009E25F5">
      <w:footerReference w:type="even" r:id="rId7"/>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7F4" w:rsidRDefault="006A77F4">
      <w:r>
        <w:separator/>
      </w:r>
    </w:p>
  </w:endnote>
  <w:endnote w:type="continuationSeparator" w:id="0">
    <w:p w:rsidR="006A77F4" w:rsidRDefault="006A7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AC1" w:rsidRDefault="0023085E" w:rsidP="009E25F5">
    <w:pPr>
      <w:pStyle w:val="aa"/>
      <w:framePr w:wrap="around" w:vAnchor="text" w:hAnchor="margin" w:xAlign="right" w:y="1"/>
      <w:rPr>
        <w:rStyle w:val="ab"/>
      </w:rPr>
    </w:pPr>
    <w:r>
      <w:rPr>
        <w:rStyle w:val="ab"/>
      </w:rPr>
      <w:fldChar w:fldCharType="begin"/>
    </w:r>
    <w:r w:rsidR="00E85AC1">
      <w:rPr>
        <w:rStyle w:val="ab"/>
      </w:rPr>
      <w:instrText xml:space="preserve">PAGE  </w:instrText>
    </w:r>
    <w:r>
      <w:rPr>
        <w:rStyle w:val="ab"/>
      </w:rPr>
      <w:fldChar w:fldCharType="end"/>
    </w:r>
  </w:p>
  <w:p w:rsidR="00E85AC1" w:rsidRDefault="00E85AC1" w:rsidP="00775605">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F5" w:rsidRPr="009E25F5" w:rsidRDefault="0023085E" w:rsidP="00616A1A">
    <w:pPr>
      <w:pStyle w:val="aa"/>
      <w:framePr w:wrap="around" w:vAnchor="text" w:hAnchor="margin" w:xAlign="right" w:y="1"/>
      <w:rPr>
        <w:rStyle w:val="ab"/>
        <w:rFonts w:cs="Arial"/>
        <w:sz w:val="16"/>
        <w:szCs w:val="16"/>
      </w:rPr>
    </w:pPr>
    <w:r w:rsidRPr="009E25F5">
      <w:rPr>
        <w:rStyle w:val="ab"/>
        <w:rFonts w:cs="Arial"/>
        <w:sz w:val="16"/>
        <w:szCs w:val="16"/>
      </w:rPr>
      <w:fldChar w:fldCharType="begin"/>
    </w:r>
    <w:r w:rsidR="009E25F5" w:rsidRPr="009E25F5">
      <w:rPr>
        <w:rStyle w:val="ab"/>
        <w:rFonts w:cs="Arial"/>
        <w:sz w:val="16"/>
        <w:szCs w:val="16"/>
      </w:rPr>
      <w:instrText xml:space="preserve">PAGE  </w:instrText>
    </w:r>
    <w:r w:rsidRPr="009E25F5">
      <w:rPr>
        <w:rStyle w:val="ab"/>
        <w:rFonts w:cs="Arial"/>
        <w:sz w:val="16"/>
        <w:szCs w:val="16"/>
      </w:rPr>
      <w:fldChar w:fldCharType="separate"/>
    </w:r>
    <w:r w:rsidR="00F351A4">
      <w:rPr>
        <w:rStyle w:val="ab"/>
        <w:rFonts w:cs="Arial"/>
        <w:noProof/>
        <w:sz w:val="16"/>
        <w:szCs w:val="16"/>
      </w:rPr>
      <w:t>17</w:t>
    </w:r>
    <w:r w:rsidRPr="009E25F5">
      <w:rPr>
        <w:rStyle w:val="ab"/>
        <w:rFonts w:cs="Arial"/>
        <w:sz w:val="16"/>
        <w:szCs w:val="16"/>
      </w:rPr>
      <w:fldChar w:fldCharType="end"/>
    </w:r>
  </w:p>
  <w:p w:rsidR="00E85AC1" w:rsidRPr="00672978" w:rsidRDefault="00E85AC1" w:rsidP="00775605">
    <w:pPr>
      <w:pStyle w:val="aa"/>
      <w:ind w:right="360"/>
      <w:rPr>
        <w:rFonts w:ascii="Times New Roman" w:hAnsi="Times New Roman"/>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7F4" w:rsidRDefault="006A77F4">
      <w:r>
        <w:separator/>
      </w:r>
    </w:p>
  </w:footnote>
  <w:footnote w:type="continuationSeparator" w:id="0">
    <w:p w:rsidR="006A77F4" w:rsidRDefault="006A77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4820AE"/>
    <w:lvl w:ilvl="0">
      <w:numFmt w:val="decimal"/>
      <w:pStyle w:val="2"/>
      <w:lvlText w:val="*"/>
      <w:lvlJc w:val="left"/>
    </w:lvl>
  </w:abstractNum>
  <w:abstractNum w:abstractNumId="1">
    <w:nsid w:val="02872867"/>
    <w:multiLevelType w:val="hybridMultilevel"/>
    <w:tmpl w:val="DA36F6DE"/>
    <w:lvl w:ilvl="0" w:tplc="60F4107A">
      <w:numFmt w:val="bullet"/>
      <w:lvlText w:val="-"/>
      <w:lvlJc w:val="left"/>
      <w:pPr>
        <w:tabs>
          <w:tab w:val="num" w:pos="360"/>
        </w:tabs>
        <w:ind w:left="360" w:hanging="360"/>
      </w:pPr>
      <w:rPr>
        <w:rFonts w:hint="default"/>
      </w:rPr>
    </w:lvl>
    <w:lvl w:ilvl="1" w:tplc="DA0EEDA4">
      <w:start w:val="1"/>
      <w:numFmt w:val="bullet"/>
      <w:lvlText w:val=""/>
      <w:lvlJc w:val="left"/>
      <w:pPr>
        <w:tabs>
          <w:tab w:val="num" w:pos="1440"/>
        </w:tabs>
        <w:ind w:left="1420" w:hanging="340"/>
      </w:pPr>
      <w:rPr>
        <w:rFonts w:ascii="Symbol" w:hAnsi="Symbol" w:hint="default"/>
        <w:color w:val="auto"/>
        <w:sz w:val="22"/>
        <w:szCs w:val="16"/>
      </w:rPr>
    </w:lvl>
    <w:lvl w:ilvl="2" w:tplc="04090005">
      <w:start w:val="1"/>
      <w:numFmt w:val="bullet"/>
      <w:lvlText w:val=""/>
      <w:lvlJc w:val="left"/>
      <w:pPr>
        <w:tabs>
          <w:tab w:val="num" w:pos="1734"/>
        </w:tabs>
        <w:ind w:left="1734" w:hanging="360"/>
      </w:pPr>
      <w:rPr>
        <w:rFonts w:ascii="Wingdings" w:hAnsi="Wingdings" w:hint="default"/>
      </w:rPr>
    </w:lvl>
    <w:lvl w:ilvl="3" w:tplc="04090001">
      <w:start w:val="1"/>
      <w:numFmt w:val="bullet"/>
      <w:lvlText w:val=""/>
      <w:lvlJc w:val="left"/>
      <w:pPr>
        <w:tabs>
          <w:tab w:val="num" w:pos="2454"/>
        </w:tabs>
        <w:ind w:left="2454" w:hanging="360"/>
      </w:pPr>
      <w:rPr>
        <w:rFonts w:ascii="Symbol" w:hAnsi="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2">
    <w:nsid w:val="05652BD4"/>
    <w:multiLevelType w:val="hybridMultilevel"/>
    <w:tmpl w:val="27705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2A2563"/>
    <w:multiLevelType w:val="hybridMultilevel"/>
    <w:tmpl w:val="F9C0BDA8"/>
    <w:lvl w:ilvl="0" w:tplc="60F4107A">
      <w:numFmt w:val="bullet"/>
      <w:lvlText w:val="-"/>
      <w:lvlJc w:val="left"/>
      <w:pPr>
        <w:tabs>
          <w:tab w:val="num" w:pos="720"/>
        </w:tabs>
        <w:ind w:left="720" w:hanging="360"/>
      </w:pPr>
      <w:rPr>
        <w:rFonts w:hint="default"/>
      </w:rPr>
    </w:lvl>
    <w:lvl w:ilvl="1" w:tplc="7F66CF0A">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A4645A"/>
    <w:multiLevelType w:val="hybridMultilevel"/>
    <w:tmpl w:val="2E3403AA"/>
    <w:lvl w:ilvl="0" w:tplc="60F4107A">
      <w:numFmt w:val="bullet"/>
      <w:lvlText w:val="-"/>
      <w:lvlJc w:val="left"/>
      <w:pPr>
        <w:tabs>
          <w:tab w:val="num" w:pos="720"/>
        </w:tabs>
        <w:ind w:left="720" w:hanging="360"/>
      </w:pPr>
      <w:rPr>
        <w:rFonts w:hint="default"/>
      </w:rPr>
    </w:lvl>
    <w:lvl w:ilvl="1" w:tplc="DA0EEDA4">
      <w:start w:val="1"/>
      <w:numFmt w:val="bullet"/>
      <w:lvlText w:val=""/>
      <w:lvlJc w:val="left"/>
      <w:pPr>
        <w:tabs>
          <w:tab w:val="num" w:pos="1440"/>
        </w:tabs>
        <w:ind w:left="1420" w:hanging="340"/>
      </w:pPr>
      <w:rPr>
        <w:rFonts w:ascii="Symbol" w:hAnsi="Symbol" w:hint="default"/>
        <w:color w:val="auto"/>
        <w:sz w:val="22"/>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6A7A3D"/>
    <w:multiLevelType w:val="hybridMultilevel"/>
    <w:tmpl w:val="7B5A8DC2"/>
    <w:lvl w:ilvl="0" w:tplc="60F4107A">
      <w:numFmt w:val="bullet"/>
      <w:lvlText w:val="-"/>
      <w:lvlJc w:val="left"/>
      <w:pPr>
        <w:tabs>
          <w:tab w:val="num" w:pos="360"/>
        </w:tabs>
        <w:ind w:left="360" w:hanging="360"/>
      </w:pPr>
      <w:rPr>
        <w:rFonts w:hint="default"/>
      </w:rPr>
    </w:lvl>
    <w:lvl w:ilvl="1" w:tplc="536E1A28">
      <w:start w:val="4"/>
      <w:numFmt w:val="bullet"/>
      <w:lvlText w:val=""/>
      <w:lvlJc w:val="left"/>
      <w:pPr>
        <w:tabs>
          <w:tab w:val="num" w:pos="1440"/>
        </w:tabs>
        <w:ind w:left="1440" w:hanging="360"/>
      </w:pPr>
      <w:rPr>
        <w:rFonts w:ascii="Wingdings" w:hAnsi="Wingdings" w:cs="Times New Roman" w:hint="default"/>
        <w:sz w:val="16"/>
      </w:rPr>
    </w:lvl>
    <w:lvl w:ilvl="2" w:tplc="04090005">
      <w:start w:val="1"/>
      <w:numFmt w:val="bullet"/>
      <w:lvlText w:val=""/>
      <w:lvlJc w:val="left"/>
      <w:pPr>
        <w:tabs>
          <w:tab w:val="num" w:pos="1734"/>
        </w:tabs>
        <w:ind w:left="1734" w:hanging="360"/>
      </w:pPr>
      <w:rPr>
        <w:rFonts w:ascii="Wingdings" w:hAnsi="Wingdings" w:hint="default"/>
      </w:rPr>
    </w:lvl>
    <w:lvl w:ilvl="3" w:tplc="04090001">
      <w:start w:val="1"/>
      <w:numFmt w:val="bullet"/>
      <w:lvlText w:val=""/>
      <w:lvlJc w:val="left"/>
      <w:pPr>
        <w:tabs>
          <w:tab w:val="num" w:pos="2454"/>
        </w:tabs>
        <w:ind w:left="2454" w:hanging="360"/>
      </w:pPr>
      <w:rPr>
        <w:rFonts w:ascii="Symbol" w:hAnsi="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6">
    <w:nsid w:val="2235069E"/>
    <w:multiLevelType w:val="hybridMultilevel"/>
    <w:tmpl w:val="2C58B88C"/>
    <w:lvl w:ilvl="0" w:tplc="60F4107A">
      <w:numFmt w:val="bullet"/>
      <w:lvlText w:val="-"/>
      <w:lvlJc w:val="left"/>
      <w:pPr>
        <w:tabs>
          <w:tab w:val="num" w:pos="720"/>
        </w:tabs>
        <w:ind w:left="720" w:hanging="360"/>
      </w:pPr>
      <w:rPr>
        <w:rFonts w:hint="default"/>
      </w:rPr>
    </w:lvl>
    <w:lvl w:ilvl="1" w:tplc="536E1A28">
      <w:start w:val="4"/>
      <w:numFmt w:val="bullet"/>
      <w:lvlText w:val=""/>
      <w:lvlJc w:val="left"/>
      <w:pPr>
        <w:tabs>
          <w:tab w:val="num" w:pos="1440"/>
        </w:tabs>
        <w:ind w:left="1440" w:hanging="360"/>
      </w:pPr>
      <w:rPr>
        <w:rFonts w:ascii="Wingdings" w:hAnsi="Wingdings" w:cs="Times New Roman"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8D0791"/>
    <w:multiLevelType w:val="hybridMultilevel"/>
    <w:tmpl w:val="09D20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277254"/>
    <w:multiLevelType w:val="hybridMultilevel"/>
    <w:tmpl w:val="6C8A501C"/>
    <w:lvl w:ilvl="0" w:tplc="A02C1E7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A925A0"/>
    <w:multiLevelType w:val="hybridMultilevel"/>
    <w:tmpl w:val="3F3AF038"/>
    <w:lvl w:ilvl="0" w:tplc="60F4107A">
      <w:numFmt w:val="bullet"/>
      <w:lvlText w:val="-"/>
      <w:lvlJc w:val="left"/>
      <w:pPr>
        <w:tabs>
          <w:tab w:val="num" w:pos="426"/>
        </w:tabs>
        <w:ind w:left="426" w:hanging="360"/>
      </w:pPr>
      <w:rPr>
        <w:rFonts w:hint="default"/>
      </w:rPr>
    </w:lvl>
    <w:lvl w:ilvl="1" w:tplc="DA0EEDA4">
      <w:start w:val="1"/>
      <w:numFmt w:val="bullet"/>
      <w:lvlText w:val=""/>
      <w:lvlJc w:val="left"/>
      <w:pPr>
        <w:tabs>
          <w:tab w:val="num" w:pos="852"/>
        </w:tabs>
        <w:ind w:left="832" w:hanging="340"/>
      </w:pPr>
      <w:rPr>
        <w:rFonts w:ascii="Symbol" w:hAnsi="Symbol" w:hint="default"/>
        <w:color w:val="auto"/>
        <w:sz w:val="22"/>
        <w:szCs w:val="16"/>
      </w:rPr>
    </w:lvl>
    <w:lvl w:ilvl="2" w:tplc="04090005">
      <w:start w:val="1"/>
      <w:numFmt w:val="bullet"/>
      <w:lvlText w:val=""/>
      <w:lvlJc w:val="left"/>
      <w:pPr>
        <w:tabs>
          <w:tab w:val="num" w:pos="1572"/>
        </w:tabs>
        <w:ind w:left="1572" w:hanging="360"/>
      </w:pPr>
      <w:rPr>
        <w:rFonts w:ascii="Wingdings" w:hAnsi="Wingdings" w:hint="default"/>
      </w:rPr>
    </w:lvl>
    <w:lvl w:ilvl="3" w:tplc="04090001" w:tentative="1">
      <w:start w:val="1"/>
      <w:numFmt w:val="bullet"/>
      <w:lvlText w:val=""/>
      <w:lvlJc w:val="left"/>
      <w:pPr>
        <w:tabs>
          <w:tab w:val="num" w:pos="2292"/>
        </w:tabs>
        <w:ind w:left="2292" w:hanging="360"/>
      </w:pPr>
      <w:rPr>
        <w:rFonts w:ascii="Symbol" w:hAnsi="Symbol" w:hint="default"/>
      </w:rPr>
    </w:lvl>
    <w:lvl w:ilvl="4" w:tplc="04090003" w:tentative="1">
      <w:start w:val="1"/>
      <w:numFmt w:val="bullet"/>
      <w:lvlText w:val="o"/>
      <w:lvlJc w:val="left"/>
      <w:pPr>
        <w:tabs>
          <w:tab w:val="num" w:pos="3012"/>
        </w:tabs>
        <w:ind w:left="3012" w:hanging="360"/>
      </w:pPr>
      <w:rPr>
        <w:rFonts w:ascii="Courier New" w:hAnsi="Courier New" w:hint="default"/>
      </w:rPr>
    </w:lvl>
    <w:lvl w:ilvl="5" w:tplc="04090005" w:tentative="1">
      <w:start w:val="1"/>
      <w:numFmt w:val="bullet"/>
      <w:lvlText w:val=""/>
      <w:lvlJc w:val="left"/>
      <w:pPr>
        <w:tabs>
          <w:tab w:val="num" w:pos="3732"/>
        </w:tabs>
        <w:ind w:left="3732" w:hanging="360"/>
      </w:pPr>
      <w:rPr>
        <w:rFonts w:ascii="Wingdings" w:hAnsi="Wingdings" w:hint="default"/>
      </w:rPr>
    </w:lvl>
    <w:lvl w:ilvl="6" w:tplc="04090001" w:tentative="1">
      <w:start w:val="1"/>
      <w:numFmt w:val="bullet"/>
      <w:lvlText w:val=""/>
      <w:lvlJc w:val="left"/>
      <w:pPr>
        <w:tabs>
          <w:tab w:val="num" w:pos="4452"/>
        </w:tabs>
        <w:ind w:left="4452" w:hanging="360"/>
      </w:pPr>
      <w:rPr>
        <w:rFonts w:ascii="Symbol" w:hAnsi="Symbol" w:hint="default"/>
      </w:rPr>
    </w:lvl>
    <w:lvl w:ilvl="7" w:tplc="04090003" w:tentative="1">
      <w:start w:val="1"/>
      <w:numFmt w:val="bullet"/>
      <w:lvlText w:val="o"/>
      <w:lvlJc w:val="left"/>
      <w:pPr>
        <w:tabs>
          <w:tab w:val="num" w:pos="5172"/>
        </w:tabs>
        <w:ind w:left="5172" w:hanging="360"/>
      </w:pPr>
      <w:rPr>
        <w:rFonts w:ascii="Courier New" w:hAnsi="Courier New" w:hint="default"/>
      </w:rPr>
    </w:lvl>
    <w:lvl w:ilvl="8" w:tplc="04090005" w:tentative="1">
      <w:start w:val="1"/>
      <w:numFmt w:val="bullet"/>
      <w:lvlText w:val=""/>
      <w:lvlJc w:val="left"/>
      <w:pPr>
        <w:tabs>
          <w:tab w:val="num" w:pos="5892"/>
        </w:tabs>
        <w:ind w:left="5892" w:hanging="360"/>
      </w:pPr>
      <w:rPr>
        <w:rFonts w:ascii="Wingdings" w:hAnsi="Wingdings" w:hint="default"/>
      </w:rPr>
    </w:lvl>
  </w:abstractNum>
  <w:abstractNum w:abstractNumId="10">
    <w:nsid w:val="45213EF9"/>
    <w:multiLevelType w:val="hybridMultilevel"/>
    <w:tmpl w:val="23200998"/>
    <w:lvl w:ilvl="0" w:tplc="60F4107A">
      <w:numFmt w:val="bullet"/>
      <w:lvlText w:val="-"/>
      <w:lvlJc w:val="left"/>
      <w:pPr>
        <w:tabs>
          <w:tab w:val="num" w:pos="426"/>
        </w:tabs>
        <w:ind w:left="426"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620745"/>
    <w:multiLevelType w:val="hybridMultilevel"/>
    <w:tmpl w:val="3E4A0738"/>
    <w:lvl w:ilvl="0" w:tplc="60F4107A">
      <w:numFmt w:val="bullet"/>
      <w:lvlText w:val="-"/>
      <w:lvlJc w:val="left"/>
      <w:pPr>
        <w:tabs>
          <w:tab w:val="num" w:pos="360"/>
        </w:tabs>
        <w:ind w:left="360" w:hanging="360"/>
      </w:pPr>
      <w:rPr>
        <w:rFonts w:hint="default"/>
      </w:rPr>
    </w:lvl>
    <w:lvl w:ilvl="1" w:tplc="536E1A28">
      <w:start w:val="4"/>
      <w:numFmt w:val="bullet"/>
      <w:lvlText w:val=""/>
      <w:lvlJc w:val="left"/>
      <w:pPr>
        <w:tabs>
          <w:tab w:val="num" w:pos="1440"/>
        </w:tabs>
        <w:ind w:left="1440" w:hanging="360"/>
      </w:pPr>
      <w:rPr>
        <w:rFonts w:ascii="Wingdings" w:hAnsi="Wingdings" w:cs="Times New Roman" w:hint="default"/>
        <w:sz w:val="16"/>
      </w:rPr>
    </w:lvl>
    <w:lvl w:ilvl="2" w:tplc="04090005">
      <w:start w:val="1"/>
      <w:numFmt w:val="bullet"/>
      <w:lvlText w:val=""/>
      <w:lvlJc w:val="left"/>
      <w:pPr>
        <w:tabs>
          <w:tab w:val="num" w:pos="1734"/>
        </w:tabs>
        <w:ind w:left="1734" w:hanging="360"/>
      </w:pPr>
      <w:rPr>
        <w:rFonts w:ascii="Wingdings" w:hAnsi="Wingdings" w:hint="default"/>
      </w:rPr>
    </w:lvl>
    <w:lvl w:ilvl="3" w:tplc="04090001">
      <w:start w:val="1"/>
      <w:numFmt w:val="bullet"/>
      <w:lvlText w:val=""/>
      <w:lvlJc w:val="left"/>
      <w:pPr>
        <w:tabs>
          <w:tab w:val="num" w:pos="2454"/>
        </w:tabs>
        <w:ind w:left="2454" w:hanging="360"/>
      </w:pPr>
      <w:rPr>
        <w:rFonts w:ascii="Symbol" w:hAnsi="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12">
    <w:nsid w:val="4CFD5E34"/>
    <w:multiLevelType w:val="hybridMultilevel"/>
    <w:tmpl w:val="BF0237E4"/>
    <w:lvl w:ilvl="0" w:tplc="04090001">
      <w:start w:val="1"/>
      <w:numFmt w:val="bullet"/>
      <w:lvlText w:val=""/>
      <w:lvlJc w:val="left"/>
      <w:pPr>
        <w:tabs>
          <w:tab w:val="num" w:pos="720"/>
        </w:tabs>
        <w:ind w:left="720" w:hanging="360"/>
      </w:pPr>
      <w:rPr>
        <w:rFonts w:ascii="Symbol" w:hAnsi="Symbol" w:hint="default"/>
      </w:rPr>
    </w:lvl>
    <w:lvl w:ilvl="1" w:tplc="7F66CF0A">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F064CA"/>
    <w:multiLevelType w:val="hybridMultilevel"/>
    <w:tmpl w:val="AF84CBD2"/>
    <w:lvl w:ilvl="0" w:tplc="1F566C36">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E524EA"/>
    <w:multiLevelType w:val="hybridMultilevel"/>
    <w:tmpl w:val="CBC25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44534B"/>
    <w:multiLevelType w:val="hybridMultilevel"/>
    <w:tmpl w:val="38A8E35C"/>
    <w:lvl w:ilvl="0" w:tplc="60F4107A">
      <w:numFmt w:val="bullet"/>
      <w:lvlText w:val="-"/>
      <w:lvlJc w:val="left"/>
      <w:pPr>
        <w:tabs>
          <w:tab w:val="num" w:pos="786"/>
        </w:tabs>
        <w:ind w:left="786"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A433F8"/>
    <w:multiLevelType w:val="hybridMultilevel"/>
    <w:tmpl w:val="2CBA20DE"/>
    <w:lvl w:ilvl="0" w:tplc="60F4107A">
      <w:numFmt w:val="bullet"/>
      <w:lvlText w:val="-"/>
      <w:lvlJc w:val="left"/>
      <w:pPr>
        <w:tabs>
          <w:tab w:val="num" w:pos="720"/>
        </w:tabs>
        <w:ind w:left="720" w:hanging="360"/>
      </w:pPr>
      <w:rPr>
        <w:rFonts w:hint="default"/>
      </w:rPr>
    </w:lvl>
    <w:lvl w:ilvl="1" w:tplc="536E1A28">
      <w:start w:val="4"/>
      <w:numFmt w:val="bullet"/>
      <w:lvlText w:val=""/>
      <w:lvlJc w:val="left"/>
      <w:pPr>
        <w:tabs>
          <w:tab w:val="num" w:pos="1440"/>
        </w:tabs>
        <w:ind w:left="1440" w:hanging="360"/>
      </w:pPr>
      <w:rPr>
        <w:rFonts w:ascii="Wingdings" w:hAnsi="Wingdings" w:cs="Times New Roman"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48300C"/>
    <w:multiLevelType w:val="hybridMultilevel"/>
    <w:tmpl w:val="BA024F20"/>
    <w:lvl w:ilvl="0" w:tplc="A056AA48">
      <w:start w:val="1"/>
      <w:numFmt w:val="bullet"/>
      <w:pStyle w:val="a"/>
      <w:lvlText w:val=""/>
      <w:lvlJc w:val="left"/>
      <w:pPr>
        <w:tabs>
          <w:tab w:val="num" w:pos="36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B246AB"/>
    <w:multiLevelType w:val="hybridMultilevel"/>
    <w:tmpl w:val="91DC5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F43352"/>
    <w:multiLevelType w:val="hybridMultilevel"/>
    <w:tmpl w:val="FEA48FF6"/>
    <w:lvl w:ilvl="0" w:tplc="60F4107A">
      <w:numFmt w:val="bullet"/>
      <w:lvlText w:val="-"/>
      <w:lvlJc w:val="left"/>
      <w:pPr>
        <w:tabs>
          <w:tab w:val="num" w:pos="360"/>
        </w:tabs>
        <w:ind w:left="360" w:hanging="360"/>
      </w:pPr>
      <w:rPr>
        <w:rFonts w:hint="default"/>
      </w:rPr>
    </w:lvl>
    <w:lvl w:ilvl="1" w:tplc="DA0EEDA4">
      <w:start w:val="1"/>
      <w:numFmt w:val="bullet"/>
      <w:lvlText w:val=""/>
      <w:lvlJc w:val="left"/>
      <w:pPr>
        <w:tabs>
          <w:tab w:val="num" w:pos="1440"/>
        </w:tabs>
        <w:ind w:left="1420" w:hanging="340"/>
      </w:pPr>
      <w:rPr>
        <w:rFonts w:ascii="Symbol" w:hAnsi="Symbol" w:hint="default"/>
        <w:color w:val="auto"/>
        <w:sz w:val="22"/>
        <w:szCs w:val="16"/>
      </w:rPr>
    </w:lvl>
    <w:lvl w:ilvl="2" w:tplc="04090005">
      <w:start w:val="1"/>
      <w:numFmt w:val="bullet"/>
      <w:lvlText w:val=""/>
      <w:lvlJc w:val="left"/>
      <w:pPr>
        <w:tabs>
          <w:tab w:val="num" w:pos="1734"/>
        </w:tabs>
        <w:ind w:left="1734" w:hanging="360"/>
      </w:pPr>
      <w:rPr>
        <w:rFonts w:ascii="Wingdings" w:hAnsi="Wingdings" w:hint="default"/>
      </w:rPr>
    </w:lvl>
    <w:lvl w:ilvl="3" w:tplc="04090001">
      <w:start w:val="1"/>
      <w:numFmt w:val="bullet"/>
      <w:lvlText w:val=""/>
      <w:lvlJc w:val="left"/>
      <w:pPr>
        <w:tabs>
          <w:tab w:val="num" w:pos="2454"/>
        </w:tabs>
        <w:ind w:left="2454" w:hanging="360"/>
      </w:pPr>
      <w:rPr>
        <w:rFonts w:ascii="Symbol" w:hAnsi="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num w:numId="1">
    <w:abstractNumId w:val="0"/>
    <w:lvlOverride w:ilvl="0">
      <w:lvl w:ilvl="0">
        <w:start w:val="1"/>
        <w:numFmt w:val="bullet"/>
        <w:pStyle w:val="2"/>
        <w:lvlText w:val=""/>
        <w:legacy w:legacy="1" w:legacySpace="0" w:legacyIndent="283"/>
        <w:lvlJc w:val="left"/>
        <w:pPr>
          <w:ind w:left="566" w:hanging="283"/>
        </w:pPr>
        <w:rPr>
          <w:rFonts w:ascii="Symbol" w:hAnsi="Symbol" w:hint="default"/>
        </w:rPr>
      </w:lvl>
    </w:lvlOverride>
  </w:num>
  <w:num w:numId="2">
    <w:abstractNumId w:val="17"/>
  </w:num>
  <w:num w:numId="3">
    <w:abstractNumId w:val="3"/>
  </w:num>
  <w:num w:numId="4">
    <w:abstractNumId w:val="4"/>
  </w:num>
  <w:num w:numId="5">
    <w:abstractNumId w:val="9"/>
  </w:num>
  <w:num w:numId="6">
    <w:abstractNumId w:val="10"/>
  </w:num>
  <w:num w:numId="7">
    <w:abstractNumId w:val="1"/>
  </w:num>
  <w:num w:numId="8">
    <w:abstractNumId w:val="19"/>
  </w:num>
  <w:num w:numId="9">
    <w:abstractNumId w:val="15"/>
  </w:num>
  <w:num w:numId="10">
    <w:abstractNumId w:val="16"/>
  </w:num>
  <w:num w:numId="11">
    <w:abstractNumId w:val="6"/>
  </w:num>
  <w:num w:numId="12">
    <w:abstractNumId w:val="5"/>
  </w:num>
  <w:num w:numId="13">
    <w:abstractNumId w:val="11"/>
  </w:num>
  <w:num w:numId="14">
    <w:abstractNumId w:val="12"/>
  </w:num>
  <w:num w:numId="15">
    <w:abstractNumId w:val="7"/>
  </w:num>
  <w:num w:numId="16">
    <w:abstractNumId w:val="2"/>
  </w:num>
  <w:num w:numId="17">
    <w:abstractNumId w:val="18"/>
  </w:num>
  <w:num w:numId="18">
    <w:abstractNumId w:val="14"/>
  </w:num>
  <w:num w:numId="19">
    <w:abstractNumId w:val="8"/>
  </w:num>
  <w:num w:numId="20">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34424"/>
    <w:rsid w:val="00001F3A"/>
    <w:rsid w:val="00004BBD"/>
    <w:rsid w:val="0000626A"/>
    <w:rsid w:val="00006F1C"/>
    <w:rsid w:val="00013F02"/>
    <w:rsid w:val="00014D05"/>
    <w:rsid w:val="000175AB"/>
    <w:rsid w:val="00020987"/>
    <w:rsid w:val="00020ACD"/>
    <w:rsid w:val="00020C2F"/>
    <w:rsid w:val="00021C94"/>
    <w:rsid w:val="00022F9E"/>
    <w:rsid w:val="000235BE"/>
    <w:rsid w:val="00023B98"/>
    <w:rsid w:val="000240D4"/>
    <w:rsid w:val="00024143"/>
    <w:rsid w:val="00025F0E"/>
    <w:rsid w:val="00026DD5"/>
    <w:rsid w:val="000309A3"/>
    <w:rsid w:val="0003140D"/>
    <w:rsid w:val="0003438F"/>
    <w:rsid w:val="0003574F"/>
    <w:rsid w:val="00035B18"/>
    <w:rsid w:val="000367A2"/>
    <w:rsid w:val="000375FB"/>
    <w:rsid w:val="00037722"/>
    <w:rsid w:val="000408FF"/>
    <w:rsid w:val="00041276"/>
    <w:rsid w:val="000432E7"/>
    <w:rsid w:val="00047E00"/>
    <w:rsid w:val="00055DD5"/>
    <w:rsid w:val="00056D7D"/>
    <w:rsid w:val="00057C26"/>
    <w:rsid w:val="00061A45"/>
    <w:rsid w:val="00063BEA"/>
    <w:rsid w:val="00065095"/>
    <w:rsid w:val="000652FE"/>
    <w:rsid w:val="00076D5E"/>
    <w:rsid w:val="000775F8"/>
    <w:rsid w:val="000857A6"/>
    <w:rsid w:val="000867AC"/>
    <w:rsid w:val="00094594"/>
    <w:rsid w:val="00094AFD"/>
    <w:rsid w:val="000957E6"/>
    <w:rsid w:val="00095879"/>
    <w:rsid w:val="000A0568"/>
    <w:rsid w:val="000A2479"/>
    <w:rsid w:val="000A2A9E"/>
    <w:rsid w:val="000A5B20"/>
    <w:rsid w:val="000B1C37"/>
    <w:rsid w:val="000B57D9"/>
    <w:rsid w:val="000B6944"/>
    <w:rsid w:val="000C03A0"/>
    <w:rsid w:val="000C55AD"/>
    <w:rsid w:val="000C5A8C"/>
    <w:rsid w:val="000C71E5"/>
    <w:rsid w:val="000C7CE6"/>
    <w:rsid w:val="000C7D13"/>
    <w:rsid w:val="000D09F5"/>
    <w:rsid w:val="000D1731"/>
    <w:rsid w:val="000D5C3A"/>
    <w:rsid w:val="000D5EB3"/>
    <w:rsid w:val="000D6240"/>
    <w:rsid w:val="000E05B0"/>
    <w:rsid w:val="000E0D13"/>
    <w:rsid w:val="000E11C5"/>
    <w:rsid w:val="000F0F28"/>
    <w:rsid w:val="000F6AD9"/>
    <w:rsid w:val="001010AC"/>
    <w:rsid w:val="00104DFC"/>
    <w:rsid w:val="001053D0"/>
    <w:rsid w:val="00105F1A"/>
    <w:rsid w:val="00111B13"/>
    <w:rsid w:val="00112DE8"/>
    <w:rsid w:val="00116EAB"/>
    <w:rsid w:val="00117544"/>
    <w:rsid w:val="00120D70"/>
    <w:rsid w:val="0012225D"/>
    <w:rsid w:val="0012283B"/>
    <w:rsid w:val="001234F1"/>
    <w:rsid w:val="00124735"/>
    <w:rsid w:val="001257E6"/>
    <w:rsid w:val="00130150"/>
    <w:rsid w:val="001320B0"/>
    <w:rsid w:val="00140D0F"/>
    <w:rsid w:val="00141F50"/>
    <w:rsid w:val="001464F9"/>
    <w:rsid w:val="0014651D"/>
    <w:rsid w:val="00147F4B"/>
    <w:rsid w:val="00152D47"/>
    <w:rsid w:val="00152D73"/>
    <w:rsid w:val="001539D4"/>
    <w:rsid w:val="001550A1"/>
    <w:rsid w:val="00165B82"/>
    <w:rsid w:val="001733DF"/>
    <w:rsid w:val="00174BC2"/>
    <w:rsid w:val="0017712E"/>
    <w:rsid w:val="00177440"/>
    <w:rsid w:val="001832FE"/>
    <w:rsid w:val="001842B4"/>
    <w:rsid w:val="00186255"/>
    <w:rsid w:val="00187579"/>
    <w:rsid w:val="001939DC"/>
    <w:rsid w:val="00196DF5"/>
    <w:rsid w:val="001A0BE9"/>
    <w:rsid w:val="001A2196"/>
    <w:rsid w:val="001A3172"/>
    <w:rsid w:val="001A4A2B"/>
    <w:rsid w:val="001A6491"/>
    <w:rsid w:val="001A7398"/>
    <w:rsid w:val="001B0F1E"/>
    <w:rsid w:val="001B1D0A"/>
    <w:rsid w:val="001B37B1"/>
    <w:rsid w:val="001B5003"/>
    <w:rsid w:val="001B61D3"/>
    <w:rsid w:val="001C3173"/>
    <w:rsid w:val="001C664B"/>
    <w:rsid w:val="001D28D9"/>
    <w:rsid w:val="001D4A60"/>
    <w:rsid w:val="001D4DEC"/>
    <w:rsid w:val="001E4C64"/>
    <w:rsid w:val="00200C14"/>
    <w:rsid w:val="00200E22"/>
    <w:rsid w:val="00200E8F"/>
    <w:rsid w:val="0020296D"/>
    <w:rsid w:val="00204444"/>
    <w:rsid w:val="002075E5"/>
    <w:rsid w:val="00210949"/>
    <w:rsid w:val="00211855"/>
    <w:rsid w:val="00211EE2"/>
    <w:rsid w:val="00216854"/>
    <w:rsid w:val="00220FE7"/>
    <w:rsid w:val="00222C0B"/>
    <w:rsid w:val="00223539"/>
    <w:rsid w:val="002248D2"/>
    <w:rsid w:val="00225402"/>
    <w:rsid w:val="0022624E"/>
    <w:rsid w:val="0023085E"/>
    <w:rsid w:val="00232282"/>
    <w:rsid w:val="002367AF"/>
    <w:rsid w:val="00251202"/>
    <w:rsid w:val="00252075"/>
    <w:rsid w:val="0025218C"/>
    <w:rsid w:val="00253076"/>
    <w:rsid w:val="0025426E"/>
    <w:rsid w:val="002607D8"/>
    <w:rsid w:val="00266858"/>
    <w:rsid w:val="002706C2"/>
    <w:rsid w:val="002707F4"/>
    <w:rsid w:val="00274A5D"/>
    <w:rsid w:val="00277EEA"/>
    <w:rsid w:val="00280C8B"/>
    <w:rsid w:val="00287A28"/>
    <w:rsid w:val="0029156C"/>
    <w:rsid w:val="002964CC"/>
    <w:rsid w:val="002A2FCE"/>
    <w:rsid w:val="002A3619"/>
    <w:rsid w:val="002A506C"/>
    <w:rsid w:val="002A7680"/>
    <w:rsid w:val="002A76FC"/>
    <w:rsid w:val="002A7E86"/>
    <w:rsid w:val="002B6489"/>
    <w:rsid w:val="002B77FB"/>
    <w:rsid w:val="002C5EC4"/>
    <w:rsid w:val="002C6B7A"/>
    <w:rsid w:val="002D3E29"/>
    <w:rsid w:val="002D6417"/>
    <w:rsid w:val="002D64A9"/>
    <w:rsid w:val="002D6D17"/>
    <w:rsid w:val="002E0C50"/>
    <w:rsid w:val="002E6A0D"/>
    <w:rsid w:val="002F01D7"/>
    <w:rsid w:val="002F03A3"/>
    <w:rsid w:val="002F2E2F"/>
    <w:rsid w:val="002F655E"/>
    <w:rsid w:val="002F6F4B"/>
    <w:rsid w:val="00301883"/>
    <w:rsid w:val="0031079A"/>
    <w:rsid w:val="00311FB4"/>
    <w:rsid w:val="0031547F"/>
    <w:rsid w:val="003161BF"/>
    <w:rsid w:val="003203D8"/>
    <w:rsid w:val="00320D12"/>
    <w:rsid w:val="003275A2"/>
    <w:rsid w:val="0033511D"/>
    <w:rsid w:val="00335779"/>
    <w:rsid w:val="00337EA4"/>
    <w:rsid w:val="00346C9F"/>
    <w:rsid w:val="00354AA8"/>
    <w:rsid w:val="00355EF9"/>
    <w:rsid w:val="00357A2F"/>
    <w:rsid w:val="00357C0B"/>
    <w:rsid w:val="00365004"/>
    <w:rsid w:val="00371DEF"/>
    <w:rsid w:val="00374143"/>
    <w:rsid w:val="0038042D"/>
    <w:rsid w:val="00381702"/>
    <w:rsid w:val="00382BF9"/>
    <w:rsid w:val="003837BC"/>
    <w:rsid w:val="00385DEA"/>
    <w:rsid w:val="00396F4D"/>
    <w:rsid w:val="003A5CAA"/>
    <w:rsid w:val="003A7A3D"/>
    <w:rsid w:val="003B293F"/>
    <w:rsid w:val="003B7AFF"/>
    <w:rsid w:val="003C0AAE"/>
    <w:rsid w:val="003C2475"/>
    <w:rsid w:val="003D1344"/>
    <w:rsid w:val="003D25E4"/>
    <w:rsid w:val="003D2F9B"/>
    <w:rsid w:val="003D30DF"/>
    <w:rsid w:val="003D412A"/>
    <w:rsid w:val="003D7212"/>
    <w:rsid w:val="003E3583"/>
    <w:rsid w:val="003E6894"/>
    <w:rsid w:val="003E78D4"/>
    <w:rsid w:val="003F35E0"/>
    <w:rsid w:val="003F5612"/>
    <w:rsid w:val="00402058"/>
    <w:rsid w:val="00404E56"/>
    <w:rsid w:val="00405411"/>
    <w:rsid w:val="0041023E"/>
    <w:rsid w:val="00410A9B"/>
    <w:rsid w:val="00421118"/>
    <w:rsid w:val="0042437D"/>
    <w:rsid w:val="004276B7"/>
    <w:rsid w:val="00430BDD"/>
    <w:rsid w:val="00431162"/>
    <w:rsid w:val="004321CF"/>
    <w:rsid w:val="00434424"/>
    <w:rsid w:val="00435E88"/>
    <w:rsid w:val="00436E16"/>
    <w:rsid w:val="004376B9"/>
    <w:rsid w:val="004406DD"/>
    <w:rsid w:val="00441F0F"/>
    <w:rsid w:val="00443F04"/>
    <w:rsid w:val="00445236"/>
    <w:rsid w:val="00446741"/>
    <w:rsid w:val="00450BA4"/>
    <w:rsid w:val="00452C03"/>
    <w:rsid w:val="00455920"/>
    <w:rsid w:val="00457560"/>
    <w:rsid w:val="004602ED"/>
    <w:rsid w:val="00460745"/>
    <w:rsid w:val="00462843"/>
    <w:rsid w:val="00463C8F"/>
    <w:rsid w:val="00474318"/>
    <w:rsid w:val="0048021A"/>
    <w:rsid w:val="00480D28"/>
    <w:rsid w:val="00481AB9"/>
    <w:rsid w:val="00483319"/>
    <w:rsid w:val="00485E0A"/>
    <w:rsid w:val="00487AC7"/>
    <w:rsid w:val="00491059"/>
    <w:rsid w:val="00492193"/>
    <w:rsid w:val="00492A7D"/>
    <w:rsid w:val="0049632C"/>
    <w:rsid w:val="004A0013"/>
    <w:rsid w:val="004A01F1"/>
    <w:rsid w:val="004A0F7C"/>
    <w:rsid w:val="004A4924"/>
    <w:rsid w:val="004A4F8B"/>
    <w:rsid w:val="004A66BB"/>
    <w:rsid w:val="004A6FC6"/>
    <w:rsid w:val="004B0521"/>
    <w:rsid w:val="004B15D8"/>
    <w:rsid w:val="004B16F8"/>
    <w:rsid w:val="004B2F1D"/>
    <w:rsid w:val="004B346F"/>
    <w:rsid w:val="004B7301"/>
    <w:rsid w:val="004C250F"/>
    <w:rsid w:val="004C31E6"/>
    <w:rsid w:val="004C682C"/>
    <w:rsid w:val="004D0422"/>
    <w:rsid w:val="004D3D93"/>
    <w:rsid w:val="004D3ED4"/>
    <w:rsid w:val="004D7834"/>
    <w:rsid w:val="004E113B"/>
    <w:rsid w:val="004E2468"/>
    <w:rsid w:val="004E29B4"/>
    <w:rsid w:val="004F2FD9"/>
    <w:rsid w:val="004F3059"/>
    <w:rsid w:val="004F44B7"/>
    <w:rsid w:val="004F5263"/>
    <w:rsid w:val="004F6C33"/>
    <w:rsid w:val="00503AE9"/>
    <w:rsid w:val="00510647"/>
    <w:rsid w:val="00510B47"/>
    <w:rsid w:val="005118EA"/>
    <w:rsid w:val="00515079"/>
    <w:rsid w:val="00515455"/>
    <w:rsid w:val="00515B60"/>
    <w:rsid w:val="0051631D"/>
    <w:rsid w:val="00520CDC"/>
    <w:rsid w:val="00520DAA"/>
    <w:rsid w:val="005213A3"/>
    <w:rsid w:val="005214C8"/>
    <w:rsid w:val="0052233F"/>
    <w:rsid w:val="00523E16"/>
    <w:rsid w:val="00523F50"/>
    <w:rsid w:val="00525514"/>
    <w:rsid w:val="00532A50"/>
    <w:rsid w:val="00535A62"/>
    <w:rsid w:val="00536C39"/>
    <w:rsid w:val="0054051E"/>
    <w:rsid w:val="00540A59"/>
    <w:rsid w:val="00543942"/>
    <w:rsid w:val="00543F05"/>
    <w:rsid w:val="005464F4"/>
    <w:rsid w:val="00561D5F"/>
    <w:rsid w:val="0057015C"/>
    <w:rsid w:val="00571E3D"/>
    <w:rsid w:val="00572387"/>
    <w:rsid w:val="0057267C"/>
    <w:rsid w:val="00572D0B"/>
    <w:rsid w:val="0057479A"/>
    <w:rsid w:val="00576859"/>
    <w:rsid w:val="00580323"/>
    <w:rsid w:val="00580F9D"/>
    <w:rsid w:val="00597808"/>
    <w:rsid w:val="00597E0F"/>
    <w:rsid w:val="005A54E4"/>
    <w:rsid w:val="005B127D"/>
    <w:rsid w:val="005B3ED6"/>
    <w:rsid w:val="005B6B87"/>
    <w:rsid w:val="005C08E2"/>
    <w:rsid w:val="005C2667"/>
    <w:rsid w:val="005C3D37"/>
    <w:rsid w:val="005C68A3"/>
    <w:rsid w:val="005D050F"/>
    <w:rsid w:val="005D05E9"/>
    <w:rsid w:val="005D256F"/>
    <w:rsid w:val="005D41EA"/>
    <w:rsid w:val="005D5FB5"/>
    <w:rsid w:val="005D7BAD"/>
    <w:rsid w:val="005E137F"/>
    <w:rsid w:val="005E424C"/>
    <w:rsid w:val="005E5F9D"/>
    <w:rsid w:val="005E7399"/>
    <w:rsid w:val="005F2467"/>
    <w:rsid w:val="005F2784"/>
    <w:rsid w:val="005F5ED6"/>
    <w:rsid w:val="005F64B1"/>
    <w:rsid w:val="005F726E"/>
    <w:rsid w:val="00601627"/>
    <w:rsid w:val="006023A1"/>
    <w:rsid w:val="00603DAB"/>
    <w:rsid w:val="00605EE1"/>
    <w:rsid w:val="0060614A"/>
    <w:rsid w:val="00607374"/>
    <w:rsid w:val="00610382"/>
    <w:rsid w:val="00610C27"/>
    <w:rsid w:val="00616A1A"/>
    <w:rsid w:val="00620DAD"/>
    <w:rsid w:val="00620F4D"/>
    <w:rsid w:val="00624693"/>
    <w:rsid w:val="00624E62"/>
    <w:rsid w:val="00624F3A"/>
    <w:rsid w:val="00631536"/>
    <w:rsid w:val="0063165D"/>
    <w:rsid w:val="006320B9"/>
    <w:rsid w:val="00633E96"/>
    <w:rsid w:val="006343D8"/>
    <w:rsid w:val="00635D26"/>
    <w:rsid w:val="006361D3"/>
    <w:rsid w:val="00637663"/>
    <w:rsid w:val="006462E0"/>
    <w:rsid w:val="00647C63"/>
    <w:rsid w:val="00650591"/>
    <w:rsid w:val="00655737"/>
    <w:rsid w:val="00662385"/>
    <w:rsid w:val="00666E49"/>
    <w:rsid w:val="006671A4"/>
    <w:rsid w:val="006710A4"/>
    <w:rsid w:val="00672978"/>
    <w:rsid w:val="0067366C"/>
    <w:rsid w:val="00675131"/>
    <w:rsid w:val="006759F9"/>
    <w:rsid w:val="00675EA7"/>
    <w:rsid w:val="00686BFB"/>
    <w:rsid w:val="00690C44"/>
    <w:rsid w:val="006910FE"/>
    <w:rsid w:val="00692373"/>
    <w:rsid w:val="00692729"/>
    <w:rsid w:val="00692B3E"/>
    <w:rsid w:val="00692FEB"/>
    <w:rsid w:val="00695AB3"/>
    <w:rsid w:val="0069604E"/>
    <w:rsid w:val="006A1B38"/>
    <w:rsid w:val="006A2F2E"/>
    <w:rsid w:val="006A3F06"/>
    <w:rsid w:val="006A4D0E"/>
    <w:rsid w:val="006A5D72"/>
    <w:rsid w:val="006A6BFA"/>
    <w:rsid w:val="006A77F4"/>
    <w:rsid w:val="006B0809"/>
    <w:rsid w:val="006B1597"/>
    <w:rsid w:val="006B4C0E"/>
    <w:rsid w:val="006B7560"/>
    <w:rsid w:val="006C6CD6"/>
    <w:rsid w:val="006C6EDB"/>
    <w:rsid w:val="006D0E88"/>
    <w:rsid w:val="006D6008"/>
    <w:rsid w:val="006D7D90"/>
    <w:rsid w:val="006E049E"/>
    <w:rsid w:val="006E0BBE"/>
    <w:rsid w:val="006E1845"/>
    <w:rsid w:val="006E3B29"/>
    <w:rsid w:val="006F17FA"/>
    <w:rsid w:val="006F1A4F"/>
    <w:rsid w:val="006F7B77"/>
    <w:rsid w:val="007010DD"/>
    <w:rsid w:val="00703095"/>
    <w:rsid w:val="007033D4"/>
    <w:rsid w:val="0070683A"/>
    <w:rsid w:val="00712A0F"/>
    <w:rsid w:val="007140BA"/>
    <w:rsid w:val="007218B4"/>
    <w:rsid w:val="00724DF7"/>
    <w:rsid w:val="0072524E"/>
    <w:rsid w:val="0072568A"/>
    <w:rsid w:val="00726239"/>
    <w:rsid w:val="007264F9"/>
    <w:rsid w:val="00726500"/>
    <w:rsid w:val="0073035D"/>
    <w:rsid w:val="00732270"/>
    <w:rsid w:val="00735040"/>
    <w:rsid w:val="007358A3"/>
    <w:rsid w:val="00736779"/>
    <w:rsid w:val="00736966"/>
    <w:rsid w:val="0074025B"/>
    <w:rsid w:val="00743153"/>
    <w:rsid w:val="007454EC"/>
    <w:rsid w:val="00751E9D"/>
    <w:rsid w:val="00752999"/>
    <w:rsid w:val="007722B4"/>
    <w:rsid w:val="00772C03"/>
    <w:rsid w:val="00772EBF"/>
    <w:rsid w:val="00772F7A"/>
    <w:rsid w:val="0077505F"/>
    <w:rsid w:val="00775605"/>
    <w:rsid w:val="00775F28"/>
    <w:rsid w:val="00776BA7"/>
    <w:rsid w:val="007829CD"/>
    <w:rsid w:val="0078486D"/>
    <w:rsid w:val="00785773"/>
    <w:rsid w:val="0079132D"/>
    <w:rsid w:val="007913FD"/>
    <w:rsid w:val="00791FF7"/>
    <w:rsid w:val="00792944"/>
    <w:rsid w:val="00794C38"/>
    <w:rsid w:val="00794F36"/>
    <w:rsid w:val="00795604"/>
    <w:rsid w:val="007A09C5"/>
    <w:rsid w:val="007B1A5A"/>
    <w:rsid w:val="007B2C94"/>
    <w:rsid w:val="007B4AD0"/>
    <w:rsid w:val="007B5F56"/>
    <w:rsid w:val="007B647E"/>
    <w:rsid w:val="007B6A11"/>
    <w:rsid w:val="007B71F8"/>
    <w:rsid w:val="007C5ABE"/>
    <w:rsid w:val="007C6CF3"/>
    <w:rsid w:val="007D09F6"/>
    <w:rsid w:val="007D3920"/>
    <w:rsid w:val="007D41F8"/>
    <w:rsid w:val="007D45F2"/>
    <w:rsid w:val="007D507C"/>
    <w:rsid w:val="007D5C1D"/>
    <w:rsid w:val="007D7431"/>
    <w:rsid w:val="007E25CF"/>
    <w:rsid w:val="007E47BC"/>
    <w:rsid w:val="007E7D90"/>
    <w:rsid w:val="007F0D82"/>
    <w:rsid w:val="007F1C63"/>
    <w:rsid w:val="007F4339"/>
    <w:rsid w:val="007F45F6"/>
    <w:rsid w:val="0080342E"/>
    <w:rsid w:val="0080389D"/>
    <w:rsid w:val="00804A7B"/>
    <w:rsid w:val="00805A23"/>
    <w:rsid w:val="00805CDD"/>
    <w:rsid w:val="00811B61"/>
    <w:rsid w:val="008161B7"/>
    <w:rsid w:val="00821060"/>
    <w:rsid w:val="0082120B"/>
    <w:rsid w:val="00825B11"/>
    <w:rsid w:val="00826A49"/>
    <w:rsid w:val="00832D99"/>
    <w:rsid w:val="00835CFA"/>
    <w:rsid w:val="00837C37"/>
    <w:rsid w:val="008416FE"/>
    <w:rsid w:val="00842839"/>
    <w:rsid w:val="00842BD9"/>
    <w:rsid w:val="00845499"/>
    <w:rsid w:val="00846E1B"/>
    <w:rsid w:val="0084753F"/>
    <w:rsid w:val="0085029D"/>
    <w:rsid w:val="008538D8"/>
    <w:rsid w:val="00862135"/>
    <w:rsid w:val="0086417D"/>
    <w:rsid w:val="00864D21"/>
    <w:rsid w:val="00866DFE"/>
    <w:rsid w:val="00867C95"/>
    <w:rsid w:val="0087181C"/>
    <w:rsid w:val="00875974"/>
    <w:rsid w:val="00881AE6"/>
    <w:rsid w:val="008840E5"/>
    <w:rsid w:val="00890210"/>
    <w:rsid w:val="00890A73"/>
    <w:rsid w:val="00895DDC"/>
    <w:rsid w:val="00897AF6"/>
    <w:rsid w:val="00897DE5"/>
    <w:rsid w:val="008A194B"/>
    <w:rsid w:val="008A43A8"/>
    <w:rsid w:val="008A5D2C"/>
    <w:rsid w:val="008A6972"/>
    <w:rsid w:val="008A7E1B"/>
    <w:rsid w:val="008B1026"/>
    <w:rsid w:val="008B3410"/>
    <w:rsid w:val="008B61FB"/>
    <w:rsid w:val="008B663B"/>
    <w:rsid w:val="008B681A"/>
    <w:rsid w:val="008B6BE7"/>
    <w:rsid w:val="008C2310"/>
    <w:rsid w:val="008C25EA"/>
    <w:rsid w:val="008C2A37"/>
    <w:rsid w:val="008C38C7"/>
    <w:rsid w:val="008C4C96"/>
    <w:rsid w:val="008C5AC5"/>
    <w:rsid w:val="008C6BAE"/>
    <w:rsid w:val="008D4DC4"/>
    <w:rsid w:val="008D4DF3"/>
    <w:rsid w:val="008E0F07"/>
    <w:rsid w:val="008E4AA9"/>
    <w:rsid w:val="008E68C5"/>
    <w:rsid w:val="008E6F13"/>
    <w:rsid w:val="008F54BA"/>
    <w:rsid w:val="008F61EE"/>
    <w:rsid w:val="00902518"/>
    <w:rsid w:val="00903039"/>
    <w:rsid w:val="00907E3F"/>
    <w:rsid w:val="009166C0"/>
    <w:rsid w:val="009235A9"/>
    <w:rsid w:val="0092411A"/>
    <w:rsid w:val="00925A29"/>
    <w:rsid w:val="00925BF8"/>
    <w:rsid w:val="00925C1B"/>
    <w:rsid w:val="009261C3"/>
    <w:rsid w:val="00927D65"/>
    <w:rsid w:val="009327B5"/>
    <w:rsid w:val="00934125"/>
    <w:rsid w:val="00936737"/>
    <w:rsid w:val="00936931"/>
    <w:rsid w:val="00937B6A"/>
    <w:rsid w:val="00945C29"/>
    <w:rsid w:val="00946441"/>
    <w:rsid w:val="00946BB3"/>
    <w:rsid w:val="00950F99"/>
    <w:rsid w:val="009535E1"/>
    <w:rsid w:val="00954736"/>
    <w:rsid w:val="00956585"/>
    <w:rsid w:val="00956F50"/>
    <w:rsid w:val="00960011"/>
    <w:rsid w:val="009611D7"/>
    <w:rsid w:val="00963521"/>
    <w:rsid w:val="009643AA"/>
    <w:rsid w:val="009674E0"/>
    <w:rsid w:val="00973033"/>
    <w:rsid w:val="00974BC6"/>
    <w:rsid w:val="00974D2B"/>
    <w:rsid w:val="00975174"/>
    <w:rsid w:val="00976E45"/>
    <w:rsid w:val="00977F45"/>
    <w:rsid w:val="0098108F"/>
    <w:rsid w:val="009813F6"/>
    <w:rsid w:val="009817B6"/>
    <w:rsid w:val="00984888"/>
    <w:rsid w:val="0099288E"/>
    <w:rsid w:val="009943F2"/>
    <w:rsid w:val="00995596"/>
    <w:rsid w:val="0099575C"/>
    <w:rsid w:val="009A01B4"/>
    <w:rsid w:val="009A0FB2"/>
    <w:rsid w:val="009A39CB"/>
    <w:rsid w:val="009A548E"/>
    <w:rsid w:val="009B0CC2"/>
    <w:rsid w:val="009B2DD9"/>
    <w:rsid w:val="009C2C89"/>
    <w:rsid w:val="009C7A5F"/>
    <w:rsid w:val="009C7A63"/>
    <w:rsid w:val="009D1E56"/>
    <w:rsid w:val="009D2C38"/>
    <w:rsid w:val="009D3840"/>
    <w:rsid w:val="009D594E"/>
    <w:rsid w:val="009D6474"/>
    <w:rsid w:val="009E25F5"/>
    <w:rsid w:val="009E3AF5"/>
    <w:rsid w:val="009E5DC6"/>
    <w:rsid w:val="009F0593"/>
    <w:rsid w:val="009F09B8"/>
    <w:rsid w:val="009F0A53"/>
    <w:rsid w:val="009F19ED"/>
    <w:rsid w:val="009F1FF4"/>
    <w:rsid w:val="009F258E"/>
    <w:rsid w:val="009F3B79"/>
    <w:rsid w:val="00A01472"/>
    <w:rsid w:val="00A01784"/>
    <w:rsid w:val="00A02E99"/>
    <w:rsid w:val="00A03265"/>
    <w:rsid w:val="00A07816"/>
    <w:rsid w:val="00A1590D"/>
    <w:rsid w:val="00A16440"/>
    <w:rsid w:val="00A16953"/>
    <w:rsid w:val="00A20AC2"/>
    <w:rsid w:val="00A227B8"/>
    <w:rsid w:val="00A238C8"/>
    <w:rsid w:val="00A25A97"/>
    <w:rsid w:val="00A31F80"/>
    <w:rsid w:val="00A33F2A"/>
    <w:rsid w:val="00A4085A"/>
    <w:rsid w:val="00A41C48"/>
    <w:rsid w:val="00A43353"/>
    <w:rsid w:val="00A43659"/>
    <w:rsid w:val="00A44757"/>
    <w:rsid w:val="00A462E5"/>
    <w:rsid w:val="00A46918"/>
    <w:rsid w:val="00A46CAE"/>
    <w:rsid w:val="00A54B28"/>
    <w:rsid w:val="00A57BF1"/>
    <w:rsid w:val="00A645A1"/>
    <w:rsid w:val="00A6573B"/>
    <w:rsid w:val="00A66532"/>
    <w:rsid w:val="00A67D5D"/>
    <w:rsid w:val="00A7131F"/>
    <w:rsid w:val="00A74F69"/>
    <w:rsid w:val="00A824C3"/>
    <w:rsid w:val="00A82D56"/>
    <w:rsid w:val="00A839FC"/>
    <w:rsid w:val="00A84E1D"/>
    <w:rsid w:val="00AA191A"/>
    <w:rsid w:val="00AA4615"/>
    <w:rsid w:val="00AA6111"/>
    <w:rsid w:val="00AA7AF6"/>
    <w:rsid w:val="00AB056E"/>
    <w:rsid w:val="00AB5AFD"/>
    <w:rsid w:val="00AC1558"/>
    <w:rsid w:val="00AC47AB"/>
    <w:rsid w:val="00AC5245"/>
    <w:rsid w:val="00AC5428"/>
    <w:rsid w:val="00AC776C"/>
    <w:rsid w:val="00AD2472"/>
    <w:rsid w:val="00AD3180"/>
    <w:rsid w:val="00AD730A"/>
    <w:rsid w:val="00AE0246"/>
    <w:rsid w:val="00AE0306"/>
    <w:rsid w:val="00AE0573"/>
    <w:rsid w:val="00AE07C5"/>
    <w:rsid w:val="00AE2662"/>
    <w:rsid w:val="00AE59BD"/>
    <w:rsid w:val="00AF1DA1"/>
    <w:rsid w:val="00AF6369"/>
    <w:rsid w:val="00B00703"/>
    <w:rsid w:val="00B01FE2"/>
    <w:rsid w:val="00B04FAB"/>
    <w:rsid w:val="00B070E0"/>
    <w:rsid w:val="00B102C9"/>
    <w:rsid w:val="00B11F1C"/>
    <w:rsid w:val="00B12EEA"/>
    <w:rsid w:val="00B13092"/>
    <w:rsid w:val="00B14104"/>
    <w:rsid w:val="00B273EE"/>
    <w:rsid w:val="00B27844"/>
    <w:rsid w:val="00B367A6"/>
    <w:rsid w:val="00B40066"/>
    <w:rsid w:val="00B40C2B"/>
    <w:rsid w:val="00B45854"/>
    <w:rsid w:val="00B47433"/>
    <w:rsid w:val="00B54107"/>
    <w:rsid w:val="00B65A5E"/>
    <w:rsid w:val="00B72290"/>
    <w:rsid w:val="00B731D0"/>
    <w:rsid w:val="00B76D4E"/>
    <w:rsid w:val="00B85FC3"/>
    <w:rsid w:val="00B879FC"/>
    <w:rsid w:val="00B92FC3"/>
    <w:rsid w:val="00B93623"/>
    <w:rsid w:val="00B974CE"/>
    <w:rsid w:val="00B97F98"/>
    <w:rsid w:val="00BA2101"/>
    <w:rsid w:val="00BA670E"/>
    <w:rsid w:val="00BB48F9"/>
    <w:rsid w:val="00BB74A0"/>
    <w:rsid w:val="00BC5BA4"/>
    <w:rsid w:val="00BC5D6D"/>
    <w:rsid w:val="00BD1CFB"/>
    <w:rsid w:val="00BE016B"/>
    <w:rsid w:val="00BE17A4"/>
    <w:rsid w:val="00BE3019"/>
    <w:rsid w:val="00BE3435"/>
    <w:rsid w:val="00BE48DA"/>
    <w:rsid w:val="00BE5D98"/>
    <w:rsid w:val="00BE6A7F"/>
    <w:rsid w:val="00BE6E44"/>
    <w:rsid w:val="00BF04D6"/>
    <w:rsid w:val="00BF2A6B"/>
    <w:rsid w:val="00BF39ED"/>
    <w:rsid w:val="00BF4B62"/>
    <w:rsid w:val="00BF54EB"/>
    <w:rsid w:val="00BF671E"/>
    <w:rsid w:val="00C01ED6"/>
    <w:rsid w:val="00C029B7"/>
    <w:rsid w:val="00C02BAE"/>
    <w:rsid w:val="00C0516A"/>
    <w:rsid w:val="00C10098"/>
    <w:rsid w:val="00C15841"/>
    <w:rsid w:val="00C200CC"/>
    <w:rsid w:val="00C2242A"/>
    <w:rsid w:val="00C22B69"/>
    <w:rsid w:val="00C25FB3"/>
    <w:rsid w:val="00C26DF5"/>
    <w:rsid w:val="00C30164"/>
    <w:rsid w:val="00C31C33"/>
    <w:rsid w:val="00C33B76"/>
    <w:rsid w:val="00C37076"/>
    <w:rsid w:val="00C375FC"/>
    <w:rsid w:val="00C41144"/>
    <w:rsid w:val="00C415A7"/>
    <w:rsid w:val="00C41A33"/>
    <w:rsid w:val="00C41B20"/>
    <w:rsid w:val="00C462EC"/>
    <w:rsid w:val="00C51229"/>
    <w:rsid w:val="00C52991"/>
    <w:rsid w:val="00C55D06"/>
    <w:rsid w:val="00C56152"/>
    <w:rsid w:val="00C60867"/>
    <w:rsid w:val="00C706D0"/>
    <w:rsid w:val="00C72228"/>
    <w:rsid w:val="00C73254"/>
    <w:rsid w:val="00C75A45"/>
    <w:rsid w:val="00C75E9D"/>
    <w:rsid w:val="00C83DDD"/>
    <w:rsid w:val="00C84258"/>
    <w:rsid w:val="00C860FA"/>
    <w:rsid w:val="00C866C7"/>
    <w:rsid w:val="00CA19E6"/>
    <w:rsid w:val="00CA19FF"/>
    <w:rsid w:val="00CA4B5B"/>
    <w:rsid w:val="00CA5230"/>
    <w:rsid w:val="00CA56C5"/>
    <w:rsid w:val="00CA5CFE"/>
    <w:rsid w:val="00CA6EEE"/>
    <w:rsid w:val="00CB0775"/>
    <w:rsid w:val="00CB0FB8"/>
    <w:rsid w:val="00CB6EBC"/>
    <w:rsid w:val="00CB76C0"/>
    <w:rsid w:val="00CC0644"/>
    <w:rsid w:val="00CC41D3"/>
    <w:rsid w:val="00CC48D7"/>
    <w:rsid w:val="00CC6C56"/>
    <w:rsid w:val="00CD4196"/>
    <w:rsid w:val="00CE3311"/>
    <w:rsid w:val="00CE43D1"/>
    <w:rsid w:val="00CE48C1"/>
    <w:rsid w:val="00CF3B4F"/>
    <w:rsid w:val="00CF48F8"/>
    <w:rsid w:val="00CF4D93"/>
    <w:rsid w:val="00CF64BF"/>
    <w:rsid w:val="00D00E2F"/>
    <w:rsid w:val="00D038C9"/>
    <w:rsid w:val="00D050D2"/>
    <w:rsid w:val="00D05EC9"/>
    <w:rsid w:val="00D06CCF"/>
    <w:rsid w:val="00D11D10"/>
    <w:rsid w:val="00D13637"/>
    <w:rsid w:val="00D169F1"/>
    <w:rsid w:val="00D25897"/>
    <w:rsid w:val="00D26A03"/>
    <w:rsid w:val="00D30324"/>
    <w:rsid w:val="00D31AF2"/>
    <w:rsid w:val="00D37F3B"/>
    <w:rsid w:val="00D37FBD"/>
    <w:rsid w:val="00D411EB"/>
    <w:rsid w:val="00D419C1"/>
    <w:rsid w:val="00D43B9C"/>
    <w:rsid w:val="00D44C17"/>
    <w:rsid w:val="00D46302"/>
    <w:rsid w:val="00D479FE"/>
    <w:rsid w:val="00D50C9C"/>
    <w:rsid w:val="00D51D3A"/>
    <w:rsid w:val="00D52330"/>
    <w:rsid w:val="00D544CA"/>
    <w:rsid w:val="00D626E9"/>
    <w:rsid w:val="00D62713"/>
    <w:rsid w:val="00D62ABB"/>
    <w:rsid w:val="00D6580C"/>
    <w:rsid w:val="00D67939"/>
    <w:rsid w:val="00D67BB9"/>
    <w:rsid w:val="00D71833"/>
    <w:rsid w:val="00D73302"/>
    <w:rsid w:val="00D741FE"/>
    <w:rsid w:val="00D753C6"/>
    <w:rsid w:val="00D77C12"/>
    <w:rsid w:val="00D80B15"/>
    <w:rsid w:val="00D84088"/>
    <w:rsid w:val="00D851EF"/>
    <w:rsid w:val="00D855E9"/>
    <w:rsid w:val="00D87782"/>
    <w:rsid w:val="00D9369D"/>
    <w:rsid w:val="00D93CBD"/>
    <w:rsid w:val="00DA4472"/>
    <w:rsid w:val="00DA4EEE"/>
    <w:rsid w:val="00DA6C13"/>
    <w:rsid w:val="00DB0488"/>
    <w:rsid w:val="00DB2264"/>
    <w:rsid w:val="00DB514A"/>
    <w:rsid w:val="00DB55BF"/>
    <w:rsid w:val="00DB617D"/>
    <w:rsid w:val="00DC2811"/>
    <w:rsid w:val="00DC47D7"/>
    <w:rsid w:val="00DC6500"/>
    <w:rsid w:val="00DC6785"/>
    <w:rsid w:val="00DD15C1"/>
    <w:rsid w:val="00DD163C"/>
    <w:rsid w:val="00DE0AED"/>
    <w:rsid w:val="00DE0D02"/>
    <w:rsid w:val="00DE22BE"/>
    <w:rsid w:val="00DE3562"/>
    <w:rsid w:val="00DF3291"/>
    <w:rsid w:val="00DF32FE"/>
    <w:rsid w:val="00DF399E"/>
    <w:rsid w:val="00DF75F9"/>
    <w:rsid w:val="00E00E20"/>
    <w:rsid w:val="00E04529"/>
    <w:rsid w:val="00E05EA2"/>
    <w:rsid w:val="00E12EB8"/>
    <w:rsid w:val="00E15591"/>
    <w:rsid w:val="00E15CA4"/>
    <w:rsid w:val="00E166E2"/>
    <w:rsid w:val="00E16FBA"/>
    <w:rsid w:val="00E2367F"/>
    <w:rsid w:val="00E26237"/>
    <w:rsid w:val="00E26420"/>
    <w:rsid w:val="00E27F2D"/>
    <w:rsid w:val="00E31EAA"/>
    <w:rsid w:val="00E34286"/>
    <w:rsid w:val="00E34982"/>
    <w:rsid w:val="00E34C08"/>
    <w:rsid w:val="00E373A7"/>
    <w:rsid w:val="00E42ADB"/>
    <w:rsid w:val="00E432BA"/>
    <w:rsid w:val="00E4336D"/>
    <w:rsid w:val="00E43C06"/>
    <w:rsid w:val="00E43D8A"/>
    <w:rsid w:val="00E453CA"/>
    <w:rsid w:val="00E4556B"/>
    <w:rsid w:val="00E54930"/>
    <w:rsid w:val="00E57D31"/>
    <w:rsid w:val="00E60720"/>
    <w:rsid w:val="00E64A02"/>
    <w:rsid w:val="00E65C63"/>
    <w:rsid w:val="00E70C89"/>
    <w:rsid w:val="00E71721"/>
    <w:rsid w:val="00E73CF7"/>
    <w:rsid w:val="00E75256"/>
    <w:rsid w:val="00E75BF9"/>
    <w:rsid w:val="00E76087"/>
    <w:rsid w:val="00E76EF6"/>
    <w:rsid w:val="00E810A5"/>
    <w:rsid w:val="00E82079"/>
    <w:rsid w:val="00E85AC1"/>
    <w:rsid w:val="00E87055"/>
    <w:rsid w:val="00E9167E"/>
    <w:rsid w:val="00E91887"/>
    <w:rsid w:val="00E923F0"/>
    <w:rsid w:val="00E93C00"/>
    <w:rsid w:val="00E96170"/>
    <w:rsid w:val="00EA1B83"/>
    <w:rsid w:val="00EA20B3"/>
    <w:rsid w:val="00EA32A6"/>
    <w:rsid w:val="00EA4710"/>
    <w:rsid w:val="00EA5457"/>
    <w:rsid w:val="00EB42EE"/>
    <w:rsid w:val="00EB4628"/>
    <w:rsid w:val="00EB5559"/>
    <w:rsid w:val="00EB7DD9"/>
    <w:rsid w:val="00EC0C47"/>
    <w:rsid w:val="00EC1A75"/>
    <w:rsid w:val="00EC5E75"/>
    <w:rsid w:val="00EC6816"/>
    <w:rsid w:val="00EC747B"/>
    <w:rsid w:val="00ED1EF7"/>
    <w:rsid w:val="00ED260B"/>
    <w:rsid w:val="00ED2CF9"/>
    <w:rsid w:val="00ED3BBB"/>
    <w:rsid w:val="00ED74E5"/>
    <w:rsid w:val="00ED7594"/>
    <w:rsid w:val="00ED7948"/>
    <w:rsid w:val="00EE138D"/>
    <w:rsid w:val="00EE3442"/>
    <w:rsid w:val="00EE7937"/>
    <w:rsid w:val="00EF0F4E"/>
    <w:rsid w:val="00EF30BD"/>
    <w:rsid w:val="00EF7D68"/>
    <w:rsid w:val="00EF7EAD"/>
    <w:rsid w:val="00F00BC1"/>
    <w:rsid w:val="00F01D5A"/>
    <w:rsid w:val="00F0555C"/>
    <w:rsid w:val="00F056C8"/>
    <w:rsid w:val="00F073E6"/>
    <w:rsid w:val="00F07F49"/>
    <w:rsid w:val="00F1136A"/>
    <w:rsid w:val="00F11663"/>
    <w:rsid w:val="00F125B0"/>
    <w:rsid w:val="00F12C69"/>
    <w:rsid w:val="00F12DCF"/>
    <w:rsid w:val="00F1316B"/>
    <w:rsid w:val="00F13896"/>
    <w:rsid w:val="00F14B3B"/>
    <w:rsid w:val="00F21A51"/>
    <w:rsid w:val="00F31CC0"/>
    <w:rsid w:val="00F32A51"/>
    <w:rsid w:val="00F351A4"/>
    <w:rsid w:val="00F364D0"/>
    <w:rsid w:val="00F3679B"/>
    <w:rsid w:val="00F37AD3"/>
    <w:rsid w:val="00F37C20"/>
    <w:rsid w:val="00F426E0"/>
    <w:rsid w:val="00F443D9"/>
    <w:rsid w:val="00F44794"/>
    <w:rsid w:val="00F45C43"/>
    <w:rsid w:val="00F47D20"/>
    <w:rsid w:val="00F47E63"/>
    <w:rsid w:val="00F52607"/>
    <w:rsid w:val="00F56978"/>
    <w:rsid w:val="00F636BC"/>
    <w:rsid w:val="00F65070"/>
    <w:rsid w:val="00F65E43"/>
    <w:rsid w:val="00F7254D"/>
    <w:rsid w:val="00F76975"/>
    <w:rsid w:val="00F76CF7"/>
    <w:rsid w:val="00F77565"/>
    <w:rsid w:val="00F8165E"/>
    <w:rsid w:val="00F8778F"/>
    <w:rsid w:val="00F87A67"/>
    <w:rsid w:val="00F87BF8"/>
    <w:rsid w:val="00F97DAB"/>
    <w:rsid w:val="00FA1C97"/>
    <w:rsid w:val="00FA1EE3"/>
    <w:rsid w:val="00FA4A88"/>
    <w:rsid w:val="00FA5B12"/>
    <w:rsid w:val="00FA742A"/>
    <w:rsid w:val="00FB015B"/>
    <w:rsid w:val="00FB2DF1"/>
    <w:rsid w:val="00FB3EB2"/>
    <w:rsid w:val="00FB5859"/>
    <w:rsid w:val="00FB5CD1"/>
    <w:rsid w:val="00FB65B4"/>
    <w:rsid w:val="00FC00A4"/>
    <w:rsid w:val="00FC0C10"/>
    <w:rsid w:val="00FC3D11"/>
    <w:rsid w:val="00FD0F6C"/>
    <w:rsid w:val="00FD12B2"/>
    <w:rsid w:val="00FE2476"/>
    <w:rsid w:val="00FE2D41"/>
    <w:rsid w:val="00FE4BEA"/>
    <w:rsid w:val="00FF0EB0"/>
    <w:rsid w:val="00FF14B0"/>
    <w:rsid w:val="00FF36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3085E"/>
    <w:rPr>
      <w:rFonts w:ascii="Arial" w:hAnsi="Arial"/>
      <w:sz w:val="24"/>
      <w:lang w:eastAsia="en-US"/>
    </w:rPr>
  </w:style>
  <w:style w:type="paragraph" w:styleId="1">
    <w:name w:val="heading 1"/>
    <w:basedOn w:val="a0"/>
    <w:next w:val="a0"/>
    <w:qFormat/>
    <w:rsid w:val="0023085E"/>
    <w:pPr>
      <w:keepNext/>
      <w:outlineLvl w:val="0"/>
    </w:pPr>
    <w:rPr>
      <w:b/>
    </w:rPr>
  </w:style>
  <w:style w:type="paragraph" w:styleId="20">
    <w:name w:val="heading 2"/>
    <w:basedOn w:val="a0"/>
    <w:next w:val="a0"/>
    <w:qFormat/>
    <w:rsid w:val="0023085E"/>
    <w:pPr>
      <w:keepNext/>
      <w:framePr w:hSpace="181" w:wrap="notBeside" w:vAnchor="text" w:hAnchor="text" w:y="1"/>
      <w:spacing w:before="240" w:after="60"/>
      <w:ind w:firstLine="284"/>
      <w:jc w:val="both"/>
      <w:outlineLvl w:val="1"/>
    </w:pPr>
    <w:rPr>
      <w:b/>
      <w:i/>
      <w:lang w:val="en-GB"/>
    </w:rPr>
  </w:style>
  <w:style w:type="paragraph" w:styleId="3">
    <w:name w:val="heading 3"/>
    <w:basedOn w:val="a0"/>
    <w:next w:val="a0"/>
    <w:qFormat/>
    <w:rsid w:val="0023085E"/>
    <w:pPr>
      <w:keepNext/>
      <w:jc w:val="center"/>
      <w:outlineLvl w:val="2"/>
    </w:pPr>
    <w:rPr>
      <w:rFonts w:ascii="Times New Roman" w:hAnsi="Times New Roman"/>
      <w:b/>
      <w:sz w:val="32"/>
    </w:rPr>
  </w:style>
  <w:style w:type="paragraph" w:styleId="4">
    <w:name w:val="heading 4"/>
    <w:basedOn w:val="a0"/>
    <w:next w:val="a0"/>
    <w:qFormat/>
    <w:rsid w:val="0023085E"/>
    <w:pPr>
      <w:keepNext/>
      <w:outlineLvl w:val="3"/>
    </w:pPr>
    <w:rPr>
      <w:rFonts w:ascii="Times New Roman" w:hAnsi="Times New Roman"/>
      <w:bCs/>
      <w:i/>
    </w:rPr>
  </w:style>
  <w:style w:type="paragraph" w:styleId="5">
    <w:name w:val="heading 5"/>
    <w:basedOn w:val="a0"/>
    <w:next w:val="a0"/>
    <w:qFormat/>
    <w:rsid w:val="0023085E"/>
    <w:pPr>
      <w:keepNext/>
      <w:outlineLvl w:val="4"/>
    </w:pPr>
    <w:rPr>
      <w:rFonts w:ascii="Times New Roman" w:hAnsi="Times New Roman"/>
      <w:b/>
      <w:bCs/>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InsideAddress">
    <w:name w:val="Inside Address"/>
    <w:basedOn w:val="a0"/>
    <w:rsid w:val="0023085E"/>
    <w:pPr>
      <w:framePr w:hSpace="181" w:wrap="notBeside" w:vAnchor="text" w:hAnchor="text" w:y="1"/>
      <w:ind w:firstLine="284"/>
      <w:jc w:val="both"/>
    </w:pPr>
    <w:rPr>
      <w:rFonts w:ascii="Garmond (W1)" w:hAnsi="Garmond (W1)"/>
      <w:lang w:val="en-GB"/>
    </w:rPr>
  </w:style>
  <w:style w:type="paragraph" w:styleId="30">
    <w:name w:val="List 3"/>
    <w:basedOn w:val="a0"/>
    <w:rsid w:val="0023085E"/>
    <w:pPr>
      <w:framePr w:hSpace="181" w:wrap="notBeside" w:vAnchor="text" w:hAnchor="text" w:y="1"/>
      <w:ind w:left="849" w:hanging="283"/>
      <w:jc w:val="both"/>
    </w:pPr>
    <w:rPr>
      <w:rFonts w:ascii="Garmond (W1)" w:hAnsi="Garmond (W1)"/>
      <w:lang w:val="en-GB"/>
    </w:rPr>
  </w:style>
  <w:style w:type="paragraph" w:styleId="a4">
    <w:name w:val="Body Text"/>
    <w:basedOn w:val="a0"/>
    <w:rsid w:val="0023085E"/>
    <w:pPr>
      <w:framePr w:hSpace="181" w:wrap="notBeside" w:vAnchor="text" w:hAnchor="text" w:y="1"/>
      <w:spacing w:after="120"/>
      <w:ind w:firstLine="284"/>
      <w:jc w:val="both"/>
    </w:pPr>
    <w:rPr>
      <w:rFonts w:ascii="Garmond (W1)" w:hAnsi="Garmond (W1)"/>
      <w:lang w:val="en-GB"/>
    </w:rPr>
  </w:style>
  <w:style w:type="paragraph" w:styleId="21">
    <w:name w:val="Body Text 2"/>
    <w:basedOn w:val="a0"/>
    <w:rsid w:val="0023085E"/>
    <w:pPr>
      <w:jc w:val="both"/>
    </w:pPr>
  </w:style>
  <w:style w:type="paragraph" w:styleId="a5">
    <w:name w:val="Subtitle"/>
    <w:basedOn w:val="a0"/>
    <w:qFormat/>
    <w:rsid w:val="0023085E"/>
    <w:pPr>
      <w:framePr w:hSpace="181" w:wrap="notBeside" w:vAnchor="text" w:hAnchor="text" w:y="1"/>
      <w:spacing w:after="60"/>
      <w:ind w:firstLine="284"/>
      <w:jc w:val="center"/>
    </w:pPr>
    <w:rPr>
      <w:lang w:val="en-GB"/>
    </w:rPr>
  </w:style>
  <w:style w:type="paragraph" w:styleId="31">
    <w:name w:val="List Bullet 3"/>
    <w:basedOn w:val="a0"/>
    <w:autoRedefine/>
    <w:rsid w:val="0023085E"/>
    <w:pPr>
      <w:jc w:val="both"/>
    </w:pPr>
    <w:rPr>
      <w:rFonts w:ascii="Times New Roman" w:hAnsi="Times New Roman"/>
    </w:rPr>
  </w:style>
  <w:style w:type="paragraph" w:styleId="32">
    <w:name w:val="List Continue 3"/>
    <w:basedOn w:val="a0"/>
    <w:rsid w:val="0023085E"/>
    <w:pPr>
      <w:framePr w:hSpace="181" w:wrap="notBeside" w:vAnchor="text" w:hAnchor="text" w:y="1"/>
      <w:spacing w:after="120"/>
      <w:ind w:left="849" w:firstLine="284"/>
      <w:jc w:val="both"/>
    </w:pPr>
    <w:rPr>
      <w:rFonts w:ascii="Garmond (W1)" w:hAnsi="Garmond (W1)"/>
      <w:lang w:val="en-GB"/>
    </w:rPr>
  </w:style>
  <w:style w:type="paragraph" w:styleId="a6">
    <w:name w:val="Body Text Indent"/>
    <w:basedOn w:val="a0"/>
    <w:rsid w:val="0023085E"/>
    <w:pPr>
      <w:framePr w:hSpace="181" w:wrap="notBeside" w:vAnchor="text" w:hAnchor="text" w:y="1"/>
      <w:spacing w:after="120"/>
      <w:ind w:left="283" w:firstLine="284"/>
      <w:jc w:val="both"/>
    </w:pPr>
    <w:rPr>
      <w:rFonts w:ascii="Garmond (W1)" w:hAnsi="Garmond (W1)"/>
      <w:lang w:val="en-GB"/>
    </w:rPr>
  </w:style>
  <w:style w:type="paragraph" w:styleId="22">
    <w:name w:val="List 2"/>
    <w:basedOn w:val="a0"/>
    <w:rsid w:val="0023085E"/>
    <w:pPr>
      <w:framePr w:hSpace="181" w:wrap="notBeside" w:vAnchor="text" w:hAnchor="text" w:y="1"/>
      <w:ind w:left="566" w:hanging="283"/>
      <w:jc w:val="both"/>
    </w:pPr>
    <w:rPr>
      <w:rFonts w:ascii="Garmond (W1)" w:hAnsi="Garmond (W1)"/>
      <w:lang w:val="en-GB"/>
    </w:rPr>
  </w:style>
  <w:style w:type="paragraph" w:styleId="23">
    <w:name w:val="List Continue 2"/>
    <w:basedOn w:val="a0"/>
    <w:rsid w:val="0023085E"/>
    <w:pPr>
      <w:framePr w:hSpace="181" w:wrap="notBeside" w:vAnchor="text" w:hAnchor="text" w:y="1"/>
      <w:spacing w:after="120"/>
      <w:ind w:left="566" w:firstLine="284"/>
      <w:jc w:val="both"/>
    </w:pPr>
    <w:rPr>
      <w:rFonts w:ascii="Garmond (W1)" w:hAnsi="Garmond (W1)"/>
      <w:lang w:val="en-GB"/>
    </w:rPr>
  </w:style>
  <w:style w:type="paragraph" w:styleId="a7">
    <w:name w:val="List"/>
    <w:basedOn w:val="a0"/>
    <w:rsid w:val="0023085E"/>
    <w:pPr>
      <w:framePr w:hSpace="181" w:wrap="notBeside" w:vAnchor="text" w:hAnchor="text" w:y="1"/>
      <w:ind w:left="283" w:hanging="283"/>
      <w:jc w:val="both"/>
    </w:pPr>
    <w:rPr>
      <w:rFonts w:ascii="Garmond (W1)" w:hAnsi="Garmond (W1)"/>
      <w:lang w:val="en-GB"/>
    </w:rPr>
  </w:style>
  <w:style w:type="paragraph" w:styleId="2">
    <w:name w:val="List Bullet 2"/>
    <w:basedOn w:val="a0"/>
    <w:autoRedefine/>
    <w:rsid w:val="0023085E"/>
    <w:pPr>
      <w:numPr>
        <w:numId w:val="1"/>
      </w:numPr>
      <w:jc w:val="both"/>
    </w:pPr>
    <w:rPr>
      <w:rFonts w:ascii="Times New Roman" w:hAnsi="Times New Roman"/>
      <w:b/>
    </w:rPr>
  </w:style>
  <w:style w:type="paragraph" w:styleId="a8">
    <w:name w:val="List Continue"/>
    <w:basedOn w:val="a0"/>
    <w:rsid w:val="0023085E"/>
    <w:pPr>
      <w:framePr w:hSpace="181" w:wrap="notBeside" w:vAnchor="text" w:hAnchor="text" w:y="1"/>
      <w:spacing w:after="120"/>
      <w:ind w:left="283" w:firstLine="284"/>
      <w:jc w:val="both"/>
    </w:pPr>
    <w:rPr>
      <w:rFonts w:ascii="Garmond (W1)" w:hAnsi="Garmond (W1)"/>
      <w:lang w:val="en-GB"/>
    </w:rPr>
  </w:style>
  <w:style w:type="paragraph" w:styleId="a9">
    <w:name w:val="Date"/>
    <w:basedOn w:val="a0"/>
    <w:rsid w:val="0023085E"/>
    <w:pPr>
      <w:framePr w:hSpace="181" w:wrap="notBeside" w:vAnchor="text" w:hAnchor="text" w:y="1"/>
      <w:ind w:firstLine="284"/>
      <w:jc w:val="both"/>
    </w:pPr>
    <w:rPr>
      <w:rFonts w:ascii="Garmond (W1)" w:hAnsi="Garmond (W1)"/>
      <w:lang w:val="en-GB"/>
    </w:rPr>
  </w:style>
  <w:style w:type="paragraph" w:styleId="aa">
    <w:name w:val="footer"/>
    <w:basedOn w:val="a0"/>
    <w:rsid w:val="0023085E"/>
    <w:pPr>
      <w:tabs>
        <w:tab w:val="center" w:pos="4153"/>
        <w:tab w:val="right" w:pos="8306"/>
      </w:tabs>
    </w:pPr>
  </w:style>
  <w:style w:type="character" w:styleId="ab">
    <w:name w:val="page number"/>
    <w:basedOn w:val="a1"/>
    <w:rsid w:val="0023085E"/>
  </w:style>
  <w:style w:type="paragraph" w:styleId="ac">
    <w:name w:val="header"/>
    <w:basedOn w:val="a0"/>
    <w:rsid w:val="0023085E"/>
    <w:pPr>
      <w:tabs>
        <w:tab w:val="center" w:pos="4320"/>
        <w:tab w:val="right" w:pos="8640"/>
      </w:tabs>
    </w:pPr>
  </w:style>
  <w:style w:type="paragraph" w:styleId="33">
    <w:name w:val="Body Text 3"/>
    <w:basedOn w:val="a0"/>
    <w:rsid w:val="0023085E"/>
    <w:rPr>
      <w:rFonts w:ascii="Times New Roman" w:hAnsi="Times New Roman"/>
      <w:b/>
      <w:i/>
      <w:iCs/>
    </w:rPr>
  </w:style>
  <w:style w:type="character" w:styleId="ad">
    <w:name w:val="annotation reference"/>
    <w:basedOn w:val="a1"/>
    <w:semiHidden/>
    <w:rsid w:val="0023085E"/>
    <w:rPr>
      <w:sz w:val="16"/>
      <w:szCs w:val="16"/>
    </w:rPr>
  </w:style>
  <w:style w:type="paragraph" w:styleId="ae">
    <w:name w:val="annotation text"/>
    <w:basedOn w:val="a0"/>
    <w:semiHidden/>
    <w:rsid w:val="0023085E"/>
    <w:rPr>
      <w:sz w:val="20"/>
    </w:rPr>
  </w:style>
  <w:style w:type="paragraph" w:styleId="af">
    <w:name w:val="Balloon Text"/>
    <w:basedOn w:val="a0"/>
    <w:semiHidden/>
    <w:rsid w:val="009D6474"/>
    <w:rPr>
      <w:rFonts w:ascii="Tahoma" w:hAnsi="Tahoma" w:cs="Tahoma"/>
      <w:sz w:val="16"/>
      <w:szCs w:val="16"/>
    </w:rPr>
  </w:style>
  <w:style w:type="paragraph" w:styleId="a">
    <w:name w:val="List Bullet"/>
    <w:basedOn w:val="a0"/>
    <w:rsid w:val="00AE07C5"/>
    <w:pPr>
      <w:numPr>
        <w:numId w:val="2"/>
      </w:numPr>
    </w:pPr>
  </w:style>
  <w:style w:type="table" w:styleId="af0">
    <w:name w:val="Table Grid"/>
    <w:basedOn w:val="a2"/>
    <w:rsid w:val="00740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EABodyText">
    <w:name w:val="EMEA Body Text"/>
    <w:basedOn w:val="a0"/>
    <w:rsid w:val="00532A50"/>
    <w:rPr>
      <w:rFonts w:ascii="Times New Roman" w:hAnsi="Times New Roman"/>
      <w:sz w:val="22"/>
      <w:lang w:val="en-GB"/>
    </w:rPr>
  </w:style>
  <w:style w:type="paragraph" w:customStyle="1" w:styleId="TblTextCenter">
    <w:name w:val="Tbl Text Center"/>
    <w:basedOn w:val="a0"/>
    <w:rsid w:val="002367AF"/>
    <w:pPr>
      <w:spacing w:before="60" w:after="60"/>
      <w:jc w:val="center"/>
    </w:pPr>
    <w:rPr>
      <w:rFonts w:ascii="Arial Narrow" w:hAnsi="Arial Narrow"/>
      <w:sz w:val="20"/>
      <w:lang w:val="en-US"/>
    </w:rPr>
  </w:style>
  <w:style w:type="character" w:styleId="af1">
    <w:name w:val="Strong"/>
    <w:basedOn w:val="a1"/>
    <w:qFormat/>
    <w:rsid w:val="00DE22BE"/>
    <w:rPr>
      <w:b/>
      <w:bCs/>
    </w:rPr>
  </w:style>
  <w:style w:type="paragraph" w:styleId="af2">
    <w:name w:val="Title"/>
    <w:basedOn w:val="a0"/>
    <w:qFormat/>
    <w:rsid w:val="004D3ED4"/>
    <w:pPr>
      <w:ind w:right="-1"/>
      <w:jc w:val="center"/>
    </w:pPr>
    <w:rPr>
      <w:rFonts w:ascii="Times New Roman" w:hAnsi="Times New Roman"/>
      <w:b/>
    </w:rPr>
  </w:style>
  <w:style w:type="paragraph" w:styleId="af3">
    <w:name w:val="Block Text"/>
    <w:basedOn w:val="a0"/>
    <w:rsid w:val="004D3ED4"/>
    <w:pPr>
      <w:ind w:left="284" w:right="-1"/>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6567</Words>
  <Characters>35465</Characters>
  <Application>Microsoft Office Word</Application>
  <DocSecurity>0</DocSecurity>
  <Lines>295</Lines>
  <Paragraphs>83</Paragraphs>
  <ScaleCrop>false</ScaleCrop>
  <HeadingPairs>
    <vt:vector size="2" baseType="variant">
      <vt:variant>
        <vt:lpstr>Τίτλος</vt:lpstr>
      </vt:variant>
      <vt:variant>
        <vt:i4>1</vt:i4>
      </vt:variant>
    </vt:vector>
  </HeadingPairs>
  <TitlesOfParts>
    <vt:vector size="1" baseType="lpstr">
      <vt:lpstr>Tritace, INN-ramipril</vt:lpstr>
    </vt:vector>
  </TitlesOfParts>
  <Company/>
  <LinksUpToDate>false</LinksUpToDate>
  <CharactersWithSpaces>41949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Tritace, INN-ramipril</dc:title>
  <dc:subject>EPAR</dc:subject>
  <dc:creator>CHMP</dc:creator>
  <cp:keywords>Tritace, INN-ramipril</cp:keywords>
  <cp:lastModifiedBy>user146</cp:lastModifiedBy>
  <cp:revision>3</cp:revision>
  <cp:lastPrinted>2013-01-22T08:58:00Z</cp:lastPrinted>
  <dcterms:created xsi:type="dcterms:W3CDTF">2013-01-22T08:59:00Z</dcterms:created>
  <dcterms:modified xsi:type="dcterms:W3CDTF">2013-02-13T12:04:00Z</dcterms:modified>
</cp:coreProperties>
</file>