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A5" w:rsidRPr="00CE233A" w:rsidRDefault="009D3AA5">
      <w:pPr>
        <w:jc w:val="center"/>
        <w:rPr>
          <w:b/>
        </w:rPr>
      </w:pPr>
    </w:p>
    <w:p w:rsidR="001F5608" w:rsidRPr="00CE233A" w:rsidRDefault="001F5608">
      <w:pPr>
        <w:jc w:val="center"/>
        <w:rPr>
          <w:b/>
          <w:lang w:val="el-GR"/>
        </w:rPr>
      </w:pPr>
      <w:r w:rsidRPr="00CE233A">
        <w:rPr>
          <w:b/>
          <w:lang w:val="el-GR"/>
        </w:rPr>
        <w:t xml:space="preserve">ΠΕΡΙΛΗΨΗ </w:t>
      </w:r>
      <w:r w:rsidR="00DC0E07" w:rsidRPr="00CE233A">
        <w:rPr>
          <w:b/>
          <w:lang w:val="el-GR"/>
        </w:rPr>
        <w:t xml:space="preserve">ΤΩΝ </w:t>
      </w:r>
      <w:r w:rsidRPr="00CE233A">
        <w:rPr>
          <w:b/>
          <w:lang w:val="el-GR"/>
        </w:rPr>
        <w:t>ΧΑΡΑΚΤΗΡΙΣΤΙΚΩΝ ΤΟΥ ΠΡΟΪΟΝΤΟΣ</w:t>
      </w:r>
    </w:p>
    <w:p w:rsidR="001F5608" w:rsidRPr="00CE233A" w:rsidRDefault="001F5608">
      <w:pPr>
        <w:jc w:val="center"/>
        <w:rPr>
          <w:b/>
          <w:lang w:val="el-GR"/>
        </w:rPr>
      </w:pPr>
    </w:p>
    <w:p w:rsidR="001F5608" w:rsidRPr="00CE233A" w:rsidRDefault="001F5608">
      <w:pPr>
        <w:jc w:val="both"/>
        <w:rPr>
          <w:lang w:val="el-GR"/>
        </w:rPr>
      </w:pPr>
    </w:p>
    <w:p w:rsidR="001F5608" w:rsidRPr="00CE233A" w:rsidRDefault="001F5608">
      <w:pPr>
        <w:jc w:val="both"/>
        <w:rPr>
          <w:lang w:val="el-GR"/>
        </w:rPr>
      </w:pPr>
    </w:p>
    <w:p w:rsidR="001F5608" w:rsidRPr="00CE233A" w:rsidRDefault="001F5608" w:rsidP="00840A76">
      <w:pPr>
        <w:ind w:left="426" w:hanging="426"/>
        <w:rPr>
          <w:caps/>
          <w:lang w:val="el-GR"/>
        </w:rPr>
      </w:pPr>
      <w:r w:rsidRPr="00CE233A">
        <w:rPr>
          <w:b/>
          <w:caps/>
          <w:lang w:val="el-GR"/>
        </w:rPr>
        <w:t>1.</w:t>
      </w:r>
      <w:r w:rsidRPr="00CE233A">
        <w:rPr>
          <w:b/>
          <w:caps/>
          <w:lang w:val="el-GR"/>
        </w:rPr>
        <w:tab/>
        <w:t>ΟνομαΣΙΑ του φαρμακευτικοΥ προΪΟντοΣ</w:t>
      </w:r>
    </w:p>
    <w:p w:rsidR="001F5608" w:rsidRPr="00CE233A" w:rsidRDefault="001F5608" w:rsidP="00840A76">
      <w:pPr>
        <w:rPr>
          <w:lang w:val="el-GR"/>
        </w:rPr>
      </w:pPr>
    </w:p>
    <w:p w:rsidR="00CE710D" w:rsidRPr="00CE233A" w:rsidRDefault="00CE710D" w:rsidP="00CE710D">
      <w:pPr>
        <w:ind w:left="426"/>
        <w:rPr>
          <w:lang w:val="el-GR"/>
        </w:rPr>
      </w:pPr>
      <w:r w:rsidRPr="00CE233A">
        <w:t>GRANOCYTE</w:t>
      </w:r>
      <w:r w:rsidRPr="00CE233A">
        <w:rPr>
          <w:lang w:val="el-GR"/>
        </w:rPr>
        <w:t xml:space="preserve"> 13 </w:t>
      </w:r>
      <w:r w:rsidR="00625B55" w:rsidRPr="00CE233A">
        <w:rPr>
          <w:lang w:val="el-GR"/>
        </w:rPr>
        <w:t xml:space="preserve">εκατομμύρια </w:t>
      </w:r>
      <w:r w:rsidRPr="00CE233A">
        <w:rPr>
          <w:lang w:val="el-GR"/>
        </w:rPr>
        <w:t>IU/</w:t>
      </w:r>
      <w:r w:rsidRPr="00CE233A">
        <w:t>ml</w:t>
      </w:r>
      <w:r w:rsidRPr="00CE233A">
        <w:rPr>
          <w:lang w:val="el-GR"/>
        </w:rPr>
        <w:t xml:space="preserve">, κόνις και διαλύτης για </w:t>
      </w:r>
      <w:r w:rsidR="00F014FB" w:rsidRPr="00CE233A">
        <w:rPr>
          <w:lang w:val="el-GR"/>
        </w:rPr>
        <w:t xml:space="preserve">παρασκευή ενεσίμου διαλύματος ή διαλύματος </w:t>
      </w:r>
      <w:r w:rsidR="00F014FB">
        <w:rPr>
          <w:lang w:val="el-GR"/>
        </w:rPr>
        <w:t>για</w:t>
      </w:r>
      <w:r w:rsidR="00F014FB" w:rsidRPr="00CE233A">
        <w:rPr>
          <w:lang w:val="el-GR"/>
        </w:rPr>
        <w:t xml:space="preserve"> έγχυση</w:t>
      </w:r>
      <w:r w:rsidR="00F014FB">
        <w:rPr>
          <w:lang w:val="el-GR"/>
        </w:rPr>
        <w:t xml:space="preserve">, </w:t>
      </w:r>
      <w:r w:rsidRPr="00CE233A">
        <w:rPr>
          <w:lang w:val="el-GR"/>
        </w:rPr>
        <w:t>σε προγεμισμένη σύριγγα</w:t>
      </w:r>
    </w:p>
    <w:p w:rsidR="001F5608" w:rsidRPr="00CE233A" w:rsidRDefault="001F5608" w:rsidP="00840A76">
      <w:pPr>
        <w:ind w:left="426"/>
        <w:rPr>
          <w:b/>
          <w:lang w:val="el-GR"/>
        </w:rPr>
      </w:pPr>
    </w:p>
    <w:p w:rsidR="001F5608" w:rsidRPr="00CE233A" w:rsidRDefault="001F5608" w:rsidP="00840A76">
      <w:pPr>
        <w:rPr>
          <w:lang w:val="el-GR"/>
        </w:rPr>
      </w:pPr>
    </w:p>
    <w:p w:rsidR="001F5608" w:rsidRPr="00CE233A" w:rsidRDefault="001F5608" w:rsidP="00840A76">
      <w:pPr>
        <w:ind w:left="426" w:hanging="426"/>
        <w:rPr>
          <w:b/>
          <w:caps/>
          <w:lang w:val="el-GR"/>
        </w:rPr>
      </w:pPr>
      <w:r w:rsidRPr="00CE233A">
        <w:rPr>
          <w:b/>
          <w:caps/>
          <w:lang w:val="el-GR"/>
        </w:rPr>
        <w:t>2.</w:t>
      </w:r>
      <w:r w:rsidRPr="00CE233A">
        <w:rPr>
          <w:b/>
          <w:caps/>
          <w:lang w:val="el-GR"/>
        </w:rPr>
        <w:tab/>
        <w:t xml:space="preserve">ΠοιοτικΗ και ποσοτικΗ σΥνθεση </w:t>
      </w:r>
    </w:p>
    <w:p w:rsidR="001F5608" w:rsidRPr="00CE233A" w:rsidRDefault="001F5608" w:rsidP="00840A76">
      <w:pPr>
        <w:rPr>
          <w:lang w:val="el-GR"/>
        </w:rPr>
      </w:pPr>
    </w:p>
    <w:p w:rsidR="001F5608" w:rsidRPr="00CE233A" w:rsidRDefault="001F5608" w:rsidP="00C35232">
      <w:pPr>
        <w:ind w:left="426" w:hanging="66"/>
        <w:rPr>
          <w:lang w:val="el-GR"/>
        </w:rPr>
      </w:pPr>
      <w:r w:rsidRPr="00CE233A">
        <w:rPr>
          <w:lang w:val="el-GR"/>
        </w:rPr>
        <w:tab/>
      </w:r>
      <w:r w:rsidR="00EA4A98" w:rsidRPr="00CE233A">
        <w:rPr>
          <w:lang w:val="el-GR"/>
        </w:rPr>
        <w:t>Λενογραστίμη</w:t>
      </w:r>
      <w:r w:rsidRPr="00CE233A">
        <w:rPr>
          <w:lang w:val="el-GR"/>
        </w:rPr>
        <w:t>* (</w:t>
      </w:r>
      <w:proofErr w:type="spellStart"/>
      <w:r w:rsidRPr="00CE233A">
        <w:t>rHuG</w:t>
      </w:r>
      <w:proofErr w:type="spellEnd"/>
      <w:r w:rsidRPr="00CE233A">
        <w:rPr>
          <w:lang w:val="el-GR"/>
        </w:rPr>
        <w:t>-</w:t>
      </w:r>
      <w:r w:rsidRPr="00CE233A">
        <w:t>CSF</w:t>
      </w:r>
      <w:r w:rsidRPr="00CE233A">
        <w:rPr>
          <w:lang w:val="el-GR"/>
        </w:rPr>
        <w:t xml:space="preserve">) 13,4 </w:t>
      </w:r>
      <w:r w:rsidR="000A7D42" w:rsidRPr="00CE233A">
        <w:rPr>
          <w:lang w:val="el-GR"/>
        </w:rPr>
        <w:t xml:space="preserve">εκατομμύρια Διεθνείς Μονάδες </w:t>
      </w:r>
      <w:r w:rsidRPr="00CE233A">
        <w:rPr>
          <w:lang w:val="el-GR"/>
        </w:rPr>
        <w:t>(αντιστοιχ</w:t>
      </w:r>
      <w:r w:rsidR="000A7D42" w:rsidRPr="00CE233A">
        <w:rPr>
          <w:lang w:val="el-GR"/>
        </w:rPr>
        <w:t>ούν</w:t>
      </w:r>
      <w:r w:rsidRPr="00CE233A">
        <w:rPr>
          <w:lang w:val="el-GR"/>
        </w:rPr>
        <w:t xml:space="preserve"> σε 105 </w:t>
      </w:r>
      <w:r w:rsidR="00613FFE">
        <w:rPr>
          <w:lang w:val="el-GR"/>
        </w:rPr>
        <w:t>μιρογραμμάρια</w:t>
      </w:r>
      <w:r w:rsidRPr="00CE233A">
        <w:rPr>
          <w:lang w:val="el-GR"/>
        </w:rPr>
        <w:t>)</w:t>
      </w:r>
      <w:r w:rsidR="00ED1B87" w:rsidRPr="00CE233A">
        <w:rPr>
          <w:lang w:val="el-GR"/>
        </w:rPr>
        <w:t xml:space="preserve"> </w:t>
      </w:r>
      <w:r w:rsidRPr="00CE233A">
        <w:rPr>
          <w:lang w:val="el-GR"/>
        </w:rPr>
        <w:t xml:space="preserve">ανά </w:t>
      </w:r>
      <w:r w:rsidRPr="00CE233A">
        <w:t>ml</w:t>
      </w:r>
      <w:r w:rsidRPr="00CE233A">
        <w:rPr>
          <w:lang w:val="el-GR"/>
        </w:rPr>
        <w:t xml:space="preserve"> μετά την ανασύσταση</w:t>
      </w:r>
    </w:p>
    <w:p w:rsidR="001F5608" w:rsidRPr="00CE233A" w:rsidRDefault="001F5608" w:rsidP="00840A76">
      <w:pPr>
        <w:ind w:left="567" w:hanging="141"/>
        <w:rPr>
          <w:strike/>
          <w:lang w:val="el-GR"/>
        </w:rPr>
      </w:pPr>
    </w:p>
    <w:p w:rsidR="001F5608" w:rsidRPr="00CE233A" w:rsidRDefault="00C965CD" w:rsidP="00C965CD">
      <w:pPr>
        <w:ind w:left="426"/>
        <w:rPr>
          <w:lang w:val="el-GR"/>
        </w:rPr>
      </w:pPr>
      <w:r w:rsidRPr="00CE233A">
        <w:rPr>
          <w:lang w:val="el-GR"/>
        </w:rPr>
        <w:t>*</w:t>
      </w:r>
      <w:r w:rsidR="000A7D42" w:rsidRPr="00CE233A">
        <w:rPr>
          <w:lang w:val="el-GR"/>
        </w:rPr>
        <w:t xml:space="preserve"> </w:t>
      </w:r>
      <w:r w:rsidR="001F5608" w:rsidRPr="00CE233A">
        <w:rPr>
          <w:lang w:val="el-GR"/>
        </w:rPr>
        <w:t xml:space="preserve">Παράγεται με την τεχνολογία του ανασυνδυασμένου </w:t>
      </w:r>
      <w:r w:rsidR="001F5608" w:rsidRPr="00CE233A">
        <w:t>DNA</w:t>
      </w:r>
      <w:r w:rsidR="001F5608" w:rsidRPr="00CE233A">
        <w:rPr>
          <w:lang w:val="el-GR"/>
        </w:rPr>
        <w:t xml:space="preserve"> σε κύτταρα ωοθηκών κινέζικου κρικητού (</w:t>
      </w:r>
      <w:r w:rsidR="001F5608" w:rsidRPr="00CE233A">
        <w:t>CHO</w:t>
      </w:r>
      <w:r w:rsidR="001F5608" w:rsidRPr="00CE233A">
        <w:rPr>
          <w:lang w:val="el-GR"/>
        </w:rPr>
        <w:t>).</w:t>
      </w:r>
    </w:p>
    <w:p w:rsidR="00C965CD" w:rsidRPr="00CE233A" w:rsidRDefault="00C965CD" w:rsidP="00C965CD">
      <w:pPr>
        <w:ind w:left="426"/>
        <w:rPr>
          <w:lang w:val="el-GR"/>
        </w:rPr>
      </w:pPr>
    </w:p>
    <w:p w:rsidR="00C965CD" w:rsidRPr="00CE233A" w:rsidRDefault="00C965CD" w:rsidP="00C965CD">
      <w:pPr>
        <w:ind w:left="426"/>
        <w:rPr>
          <w:lang w:val="el-GR"/>
        </w:rPr>
      </w:pPr>
      <w:r w:rsidRPr="00CE233A">
        <w:rPr>
          <w:lang w:val="el-GR"/>
        </w:rPr>
        <w:t>Έκδοχα για τα οποία είναι γνωστό ότι έχουν μία αναγνωρισμένη δράση ή αποτέλεσμα: φαινυλαλανίνη</w:t>
      </w:r>
    </w:p>
    <w:p w:rsidR="00C965CD" w:rsidRPr="00CE233A" w:rsidRDefault="00C965CD" w:rsidP="00C965CD">
      <w:pPr>
        <w:ind w:left="426"/>
        <w:rPr>
          <w:lang w:val="el-GR"/>
        </w:rPr>
      </w:pPr>
    </w:p>
    <w:p w:rsidR="001F5608" w:rsidRPr="00CE233A" w:rsidRDefault="001F5608" w:rsidP="00840A76">
      <w:pPr>
        <w:ind w:left="426"/>
        <w:rPr>
          <w:lang w:val="el-GR"/>
        </w:rPr>
      </w:pPr>
      <w:r w:rsidRPr="00CE233A">
        <w:rPr>
          <w:lang w:val="el-GR"/>
        </w:rPr>
        <w:t>Για</w:t>
      </w:r>
      <w:r w:rsidR="009A6E94" w:rsidRPr="00CE233A">
        <w:rPr>
          <w:lang w:val="el-GR"/>
        </w:rPr>
        <w:t xml:space="preserve"> τον πλήρη κατάλογο των εκδόχων</w:t>
      </w:r>
      <w:r w:rsidRPr="00CE233A">
        <w:rPr>
          <w:lang w:val="el-GR"/>
        </w:rPr>
        <w:t xml:space="preserve">, βλ. </w:t>
      </w:r>
      <w:r w:rsidR="00DC0E07" w:rsidRPr="00CE233A">
        <w:rPr>
          <w:lang w:val="el-GR"/>
        </w:rPr>
        <w:t xml:space="preserve">παράγραφο </w:t>
      </w:r>
      <w:r w:rsidRPr="00CE233A">
        <w:rPr>
          <w:lang w:val="el-GR"/>
        </w:rPr>
        <w:t>6.1.</w:t>
      </w:r>
    </w:p>
    <w:p w:rsidR="001F5608" w:rsidRPr="00CE233A" w:rsidRDefault="001F5608" w:rsidP="00840A76">
      <w:pPr>
        <w:ind w:left="426"/>
        <w:rPr>
          <w:lang w:val="el-GR"/>
        </w:rPr>
      </w:pPr>
    </w:p>
    <w:p w:rsidR="00DC0E07" w:rsidRPr="00CE233A" w:rsidRDefault="00DC0E07" w:rsidP="00840A76">
      <w:pPr>
        <w:ind w:left="426"/>
        <w:rPr>
          <w:lang w:val="el-GR"/>
        </w:rPr>
      </w:pPr>
    </w:p>
    <w:p w:rsidR="001F5608" w:rsidRPr="00CE233A" w:rsidRDefault="001F5608" w:rsidP="00840A76">
      <w:pPr>
        <w:ind w:left="426" w:hanging="426"/>
        <w:rPr>
          <w:caps/>
          <w:lang w:val="el-GR"/>
        </w:rPr>
      </w:pPr>
      <w:r w:rsidRPr="00CE233A">
        <w:rPr>
          <w:b/>
          <w:caps/>
          <w:lang w:val="el-GR"/>
        </w:rPr>
        <w:t>3.</w:t>
      </w:r>
      <w:r w:rsidRPr="00CE233A">
        <w:rPr>
          <w:b/>
          <w:caps/>
          <w:lang w:val="el-GR"/>
        </w:rPr>
        <w:tab/>
        <w:t>Φαρμακοτεχνικη μορφη</w:t>
      </w:r>
    </w:p>
    <w:p w:rsidR="00CE710D" w:rsidRPr="00CE233A" w:rsidRDefault="00CE710D" w:rsidP="00173728">
      <w:pPr>
        <w:rPr>
          <w:lang w:val="el-GR"/>
        </w:rPr>
      </w:pPr>
    </w:p>
    <w:p w:rsidR="001F5608" w:rsidRPr="00CE233A" w:rsidRDefault="00F014FB" w:rsidP="00CE710D">
      <w:pPr>
        <w:ind w:left="426" w:hanging="6"/>
        <w:rPr>
          <w:lang w:val="el-GR"/>
        </w:rPr>
      </w:pPr>
      <w:r w:rsidRPr="00CE233A">
        <w:rPr>
          <w:lang w:val="el-GR"/>
        </w:rPr>
        <w:t xml:space="preserve">Κόνις και διαλύτης για παρασκευή ενεσίμου διαλύματος ή διαλύματος </w:t>
      </w:r>
      <w:r w:rsidR="007D6260">
        <w:rPr>
          <w:lang w:val="el-GR"/>
        </w:rPr>
        <w:t>για</w:t>
      </w:r>
      <w:r w:rsidR="007D6260" w:rsidRPr="00CE233A">
        <w:rPr>
          <w:lang w:val="el-GR"/>
        </w:rPr>
        <w:t xml:space="preserve"> </w:t>
      </w:r>
      <w:r w:rsidR="00CE710D" w:rsidRPr="00CE233A">
        <w:rPr>
          <w:lang w:val="el-GR"/>
        </w:rPr>
        <w:t>έγχυση σε προγεμισμένη σύριγγα.</w:t>
      </w:r>
    </w:p>
    <w:p w:rsidR="001F5608" w:rsidRPr="00CE233A" w:rsidRDefault="001F5608" w:rsidP="00840A76">
      <w:pPr>
        <w:numPr>
          <w:ilvl w:val="0"/>
          <w:numId w:val="23"/>
        </w:numPr>
        <w:rPr>
          <w:lang w:val="el-GR"/>
        </w:rPr>
      </w:pPr>
      <w:r w:rsidRPr="00CE233A">
        <w:rPr>
          <w:lang w:val="el-GR"/>
        </w:rPr>
        <w:t>Λευκή κόνις</w:t>
      </w:r>
    </w:p>
    <w:p w:rsidR="001F5608" w:rsidRPr="00CE233A" w:rsidRDefault="001F5608" w:rsidP="00840A76">
      <w:pPr>
        <w:numPr>
          <w:ilvl w:val="0"/>
          <w:numId w:val="23"/>
        </w:numPr>
        <w:rPr>
          <w:lang w:val="el-GR"/>
        </w:rPr>
      </w:pPr>
      <w:r w:rsidRPr="00CE233A">
        <w:rPr>
          <w:i/>
          <w:lang w:val="el-GR"/>
        </w:rPr>
        <w:t>Διαλύτης</w:t>
      </w:r>
      <w:r w:rsidR="00C965CD" w:rsidRPr="00CE233A">
        <w:rPr>
          <w:lang w:val="el-GR"/>
        </w:rPr>
        <w:t>:</w:t>
      </w:r>
      <w:r w:rsidRPr="00CE233A">
        <w:rPr>
          <w:lang w:val="el-GR"/>
        </w:rPr>
        <w:t xml:space="preserve"> </w:t>
      </w:r>
      <w:r w:rsidR="00C965CD" w:rsidRPr="00CE233A">
        <w:rPr>
          <w:lang w:val="el-GR"/>
        </w:rPr>
        <w:t>καθαρό, άχρωμο διάλυμα</w:t>
      </w:r>
    </w:p>
    <w:p w:rsidR="001F5608" w:rsidRPr="00CE233A" w:rsidRDefault="001F5608" w:rsidP="00840A76">
      <w:pPr>
        <w:rPr>
          <w:lang w:val="el-GR"/>
        </w:rPr>
      </w:pPr>
    </w:p>
    <w:p w:rsidR="001F5608" w:rsidRPr="00CE233A" w:rsidRDefault="001F5608" w:rsidP="00840A76">
      <w:pPr>
        <w:ind w:left="426"/>
        <w:rPr>
          <w:lang w:val="el-GR"/>
        </w:rPr>
      </w:pPr>
    </w:p>
    <w:p w:rsidR="001F5608" w:rsidRPr="00CE233A" w:rsidRDefault="001F5608" w:rsidP="00840A76">
      <w:pPr>
        <w:ind w:left="426" w:hanging="426"/>
        <w:rPr>
          <w:caps/>
          <w:lang w:val="el-GR"/>
        </w:rPr>
      </w:pPr>
      <w:r w:rsidRPr="00CE233A">
        <w:rPr>
          <w:b/>
          <w:caps/>
          <w:lang w:val="el-GR"/>
        </w:rPr>
        <w:t xml:space="preserve">4. </w:t>
      </w:r>
      <w:r w:rsidRPr="00CE233A">
        <w:rPr>
          <w:b/>
          <w:caps/>
          <w:lang w:val="el-GR"/>
        </w:rPr>
        <w:tab/>
      </w:r>
      <w:r w:rsidR="00A822A1" w:rsidRPr="00CE233A">
        <w:rPr>
          <w:b/>
          <w:caps/>
          <w:lang w:val="el-GR"/>
        </w:rPr>
        <w:t>κλινικεσ πληροφοριεσ</w:t>
      </w:r>
    </w:p>
    <w:p w:rsidR="001F5608" w:rsidRPr="00CE233A" w:rsidRDefault="001F5608" w:rsidP="00840A76">
      <w:pPr>
        <w:rPr>
          <w:lang w:val="el-GR"/>
        </w:rPr>
      </w:pPr>
    </w:p>
    <w:p w:rsidR="001F5608" w:rsidRPr="00CE233A" w:rsidRDefault="001F5608" w:rsidP="00840A76">
      <w:pPr>
        <w:ind w:left="426" w:hanging="426"/>
        <w:rPr>
          <w:lang w:val="el-GR"/>
        </w:rPr>
      </w:pPr>
      <w:r w:rsidRPr="00CE233A">
        <w:rPr>
          <w:b/>
          <w:lang w:val="el-GR"/>
        </w:rPr>
        <w:t xml:space="preserve">4.1 </w:t>
      </w:r>
      <w:r w:rsidRPr="00CE233A">
        <w:rPr>
          <w:b/>
          <w:lang w:val="el-GR"/>
        </w:rPr>
        <w:tab/>
        <w:t>Θεραπευτικές ενδείξεις</w:t>
      </w:r>
    </w:p>
    <w:p w:rsidR="001F5608" w:rsidRPr="00CE233A" w:rsidRDefault="001F5608" w:rsidP="00840A76">
      <w:pPr>
        <w:rPr>
          <w:lang w:val="el-GR"/>
        </w:rPr>
      </w:pPr>
    </w:p>
    <w:p w:rsidR="009004D8" w:rsidRPr="00CE233A" w:rsidRDefault="009004D8" w:rsidP="00840A76">
      <w:pPr>
        <w:rPr>
          <w:lang w:val="el-GR"/>
        </w:rPr>
      </w:pPr>
      <w:r w:rsidRPr="00CE233A">
        <w:rPr>
          <w:lang w:val="el-GR"/>
        </w:rPr>
        <w:t xml:space="preserve">Το </w:t>
      </w:r>
      <w:proofErr w:type="spellStart"/>
      <w:r w:rsidRPr="00CE233A">
        <w:t>Granocyte</w:t>
      </w:r>
      <w:proofErr w:type="spellEnd"/>
      <w:r w:rsidRPr="00CE233A">
        <w:rPr>
          <w:lang w:val="el-GR"/>
        </w:rPr>
        <w:t xml:space="preserve"> ενδείκνυται σε ενήλικες, έφηβους και παιδιά μεγαλύτερα των 2 ετών για:</w:t>
      </w:r>
    </w:p>
    <w:p w:rsidR="001F5608" w:rsidRPr="00CE233A" w:rsidRDefault="009004D8" w:rsidP="00840A76">
      <w:pPr>
        <w:numPr>
          <w:ilvl w:val="0"/>
          <w:numId w:val="2"/>
        </w:numPr>
        <w:rPr>
          <w:lang w:val="el-GR"/>
        </w:rPr>
      </w:pPr>
      <w:r w:rsidRPr="00CE233A">
        <w:rPr>
          <w:lang w:val="el-GR"/>
        </w:rPr>
        <w:t>Τη μ</w:t>
      </w:r>
      <w:r w:rsidR="001F5608" w:rsidRPr="00CE233A">
        <w:rPr>
          <w:lang w:val="el-GR"/>
        </w:rPr>
        <w:t>είωση της διάρκειας της ουδετεροπενίας στους ασθενείς (με μη μυελ</w:t>
      </w:r>
      <w:r w:rsidR="003E1C6D" w:rsidRPr="00CE233A">
        <w:rPr>
          <w:lang w:val="el-GR"/>
        </w:rPr>
        <w:t>οειδ</w:t>
      </w:r>
      <w:r w:rsidR="001F5608" w:rsidRPr="00CE233A">
        <w:rPr>
          <w:lang w:val="el-GR"/>
        </w:rPr>
        <w:t>ή κακοήθεια) που υποβάλλονται σε μυελοτοξική θεραπεία, η οποία ακολουθείται από μεταμόσχευση μυελού των οστών (ΒΜΤ)</w:t>
      </w:r>
      <w:r w:rsidR="00900425" w:rsidRPr="00CE233A">
        <w:rPr>
          <w:lang w:val="el-GR"/>
        </w:rPr>
        <w:t>,</w:t>
      </w:r>
      <w:r w:rsidR="001F5608" w:rsidRPr="00CE233A">
        <w:rPr>
          <w:lang w:val="el-GR"/>
        </w:rPr>
        <w:t xml:space="preserve"> και οι οποίοι θεωρούνται υψηλού κινδύνου για παρατεταμένη βαριά ουδετεροπενία. </w:t>
      </w:r>
    </w:p>
    <w:p w:rsidR="001F5608" w:rsidRPr="00CE233A" w:rsidRDefault="009004D8" w:rsidP="00840A76">
      <w:pPr>
        <w:numPr>
          <w:ilvl w:val="0"/>
          <w:numId w:val="2"/>
        </w:numPr>
        <w:rPr>
          <w:lang w:val="el-GR"/>
        </w:rPr>
      </w:pPr>
      <w:r w:rsidRPr="00CE233A">
        <w:rPr>
          <w:lang w:val="el-GR"/>
        </w:rPr>
        <w:t>Τη μ</w:t>
      </w:r>
      <w:r w:rsidR="001F5608" w:rsidRPr="00CE233A">
        <w:rPr>
          <w:lang w:val="el-GR"/>
        </w:rPr>
        <w:t>είωση της διάρκειας της βαριάς ουδετεροπενίας και των συνακόλουθων επιπλοκών της σε ασθενείς που υποβάλλονται σε καθιερωμένη κυτταροτοξική χημειοθεραπεία, η οποία συνοδεύεται από σημαντική συχνότητα εμφάνισης εμπύρετης ουδετεροπενίας.</w:t>
      </w:r>
    </w:p>
    <w:p w:rsidR="001F5608" w:rsidRPr="00CE233A" w:rsidRDefault="001F5608" w:rsidP="00B90C37">
      <w:pPr>
        <w:ind w:left="709" w:hanging="284"/>
        <w:rPr>
          <w:b/>
          <w:u w:val="single"/>
          <w:lang w:val="el-GR"/>
        </w:rPr>
      </w:pPr>
      <w:r w:rsidRPr="00CE233A">
        <w:lastRenderedPageBreak/>
        <w:sym w:font="Symbol" w:char="00B7"/>
      </w:r>
      <w:r w:rsidRPr="00CE233A">
        <w:rPr>
          <w:lang w:val="el-GR"/>
        </w:rPr>
        <w:tab/>
      </w:r>
      <w:r w:rsidR="009004D8" w:rsidRPr="00CE233A">
        <w:rPr>
          <w:lang w:val="el-GR"/>
        </w:rPr>
        <w:t>Την κ</w:t>
      </w:r>
      <w:r w:rsidRPr="00CE233A">
        <w:rPr>
          <w:lang w:val="el-GR"/>
        </w:rPr>
        <w:t>ινητοποίηση των αρχέγονων αιμοποιητικών κυττάρων του περιφερικού αίματος (</w:t>
      </w:r>
      <w:r w:rsidRPr="00CE233A">
        <w:t>PBPCs</w:t>
      </w:r>
      <w:r w:rsidRPr="00CE233A">
        <w:rPr>
          <w:lang w:val="el-GR"/>
        </w:rPr>
        <w:t>)</w:t>
      </w:r>
      <w:r w:rsidR="009004D8" w:rsidRPr="00CE233A">
        <w:rPr>
          <w:lang w:val="el-GR"/>
        </w:rPr>
        <w:t xml:space="preserve">, σε ασθενείς </w:t>
      </w:r>
      <w:r w:rsidR="00C5598D" w:rsidRPr="00CE233A">
        <w:rPr>
          <w:lang w:val="el-GR"/>
        </w:rPr>
        <w:t>καθώς</w:t>
      </w:r>
      <w:r w:rsidR="009004D8" w:rsidRPr="00CE233A">
        <w:rPr>
          <w:lang w:val="el-GR"/>
        </w:rPr>
        <w:t xml:space="preserve"> και σε υγιείς δότες</w:t>
      </w:r>
      <w:r w:rsidRPr="00CE233A">
        <w:rPr>
          <w:lang w:val="el-GR"/>
        </w:rPr>
        <w:t>.</w:t>
      </w:r>
    </w:p>
    <w:p w:rsidR="001F5608" w:rsidRPr="00CE233A" w:rsidRDefault="001F5608" w:rsidP="00B90C37">
      <w:pPr>
        <w:ind w:left="425"/>
        <w:rPr>
          <w:lang w:val="el-GR"/>
        </w:rPr>
      </w:pPr>
    </w:p>
    <w:p w:rsidR="001F5608" w:rsidRPr="00CE233A" w:rsidRDefault="001F5608" w:rsidP="00840A76">
      <w:pPr>
        <w:ind w:left="426" w:hanging="426"/>
        <w:rPr>
          <w:lang w:val="el-GR"/>
        </w:rPr>
      </w:pPr>
      <w:r w:rsidRPr="00CE233A">
        <w:rPr>
          <w:b/>
          <w:lang w:val="el-GR"/>
        </w:rPr>
        <w:t>4.2</w:t>
      </w:r>
      <w:r w:rsidRPr="00CE233A">
        <w:rPr>
          <w:b/>
          <w:lang w:val="el-GR"/>
        </w:rPr>
        <w:tab/>
        <w:t>Δοσολογία και τρόπος χορήγησης</w:t>
      </w:r>
    </w:p>
    <w:p w:rsidR="001F5608" w:rsidRPr="00CE233A" w:rsidRDefault="001F5608" w:rsidP="00840A76">
      <w:pPr>
        <w:rPr>
          <w:lang w:val="el-GR"/>
        </w:rPr>
      </w:pPr>
    </w:p>
    <w:p w:rsidR="0074263D" w:rsidRPr="00CE233A" w:rsidRDefault="0074263D" w:rsidP="00840A76">
      <w:pPr>
        <w:ind w:left="720"/>
        <w:rPr>
          <w:lang w:val="el-GR"/>
        </w:rPr>
      </w:pPr>
      <w:r w:rsidRPr="00CE233A">
        <w:rPr>
          <w:lang w:val="el-GR"/>
        </w:rPr>
        <w:t xml:space="preserve">Η θεραπεία πρέπει να χορηγείται σε συνεργασία με ένα εξειδικευμένο ογκολογικό και/ή αιματολογικό κέντρο. </w:t>
      </w:r>
    </w:p>
    <w:p w:rsidR="00C965CD" w:rsidRPr="00CE233A" w:rsidRDefault="00C965CD" w:rsidP="00840A76">
      <w:pPr>
        <w:ind w:left="720"/>
        <w:rPr>
          <w:lang w:val="el-GR"/>
        </w:rPr>
      </w:pPr>
    </w:p>
    <w:p w:rsidR="00C965CD" w:rsidRPr="00CE233A" w:rsidRDefault="00C965CD" w:rsidP="00840A76">
      <w:pPr>
        <w:ind w:left="720"/>
        <w:rPr>
          <w:lang w:val="el-GR"/>
        </w:rPr>
      </w:pPr>
      <w:r w:rsidRPr="00CE233A">
        <w:rPr>
          <w:lang w:val="el-GR"/>
        </w:rPr>
        <w:t xml:space="preserve">Το </w:t>
      </w:r>
      <w:r w:rsidRPr="00CE233A">
        <w:t>GRANOCYTE</w:t>
      </w:r>
      <w:r w:rsidRPr="00CE233A">
        <w:rPr>
          <w:lang w:val="el-GR"/>
        </w:rPr>
        <w:t xml:space="preserve"> μπορεί να χορηγηθεί με υποδόρια ένεση ή με ενδοφλέβια έγχυση. </w:t>
      </w:r>
      <w:r w:rsidR="00985423" w:rsidRPr="00CE233A">
        <w:rPr>
          <w:lang w:val="el-GR"/>
        </w:rPr>
        <w:t xml:space="preserve">Ιδιαίτεροι χειρισμοί του προϊόντος </w:t>
      </w:r>
      <w:r w:rsidR="00B850B2" w:rsidRPr="00CE233A">
        <w:rPr>
          <w:lang w:val="el-GR"/>
        </w:rPr>
        <w:t xml:space="preserve">ή οδηγίες για την παρασκευή </w:t>
      </w:r>
      <w:r w:rsidR="00985423" w:rsidRPr="00CE233A">
        <w:rPr>
          <w:lang w:val="el-GR"/>
        </w:rPr>
        <w:t>δίνονται στην παράγραφο 6.6.</w:t>
      </w:r>
    </w:p>
    <w:p w:rsidR="0074263D" w:rsidRPr="00CE233A" w:rsidRDefault="0074263D" w:rsidP="00840A76">
      <w:pPr>
        <w:ind w:left="720"/>
        <w:rPr>
          <w:lang w:val="el-GR"/>
        </w:rPr>
      </w:pPr>
    </w:p>
    <w:p w:rsidR="001F5608" w:rsidRPr="00CE233A" w:rsidRDefault="001F5608" w:rsidP="00CE233A">
      <w:pPr>
        <w:numPr>
          <w:ilvl w:val="0"/>
          <w:numId w:val="24"/>
        </w:numPr>
        <w:tabs>
          <w:tab w:val="clear" w:pos="1146"/>
          <w:tab w:val="num" w:pos="720"/>
        </w:tabs>
        <w:ind w:left="720" w:hanging="153"/>
        <w:rPr>
          <w:lang w:val="el-GR"/>
        </w:rPr>
      </w:pPr>
      <w:r w:rsidRPr="00CE233A">
        <w:rPr>
          <w:lang w:val="el-GR"/>
        </w:rPr>
        <w:t xml:space="preserve">Η συνιστώμενη δόση </w:t>
      </w:r>
      <w:r w:rsidRPr="00CE233A">
        <w:t>GRANOCYTE</w:t>
      </w:r>
      <w:r w:rsidRPr="00CE233A">
        <w:rPr>
          <w:lang w:val="el-GR"/>
        </w:rPr>
        <w:t xml:space="preserve"> είναι 150</w:t>
      </w:r>
      <w:r w:rsidR="00426A5E" w:rsidRPr="00CE233A">
        <w:t> </w:t>
      </w:r>
      <w:r w:rsidRPr="00CE233A">
        <w:rPr>
          <w:lang w:val="el-GR"/>
        </w:rPr>
        <w:t>μ</w:t>
      </w:r>
      <w:r w:rsidRPr="00CE233A">
        <w:t>g</w:t>
      </w:r>
      <w:r w:rsidRPr="00CE233A">
        <w:rPr>
          <w:lang w:val="el-GR"/>
        </w:rPr>
        <w:t xml:space="preserve"> (19,2</w:t>
      </w:r>
      <w:r w:rsidR="00426A5E" w:rsidRPr="00CE233A">
        <w:t> </w:t>
      </w:r>
      <w:r w:rsidRPr="00CE233A">
        <w:t>MIU</w:t>
      </w:r>
      <w:r w:rsidRPr="00CE233A">
        <w:rPr>
          <w:lang w:val="el-GR"/>
        </w:rPr>
        <w:t xml:space="preserve">) ανά </w:t>
      </w:r>
      <w:r w:rsidRPr="00CE233A">
        <w:t>m</w:t>
      </w:r>
      <w:r w:rsidRPr="00CE233A">
        <w:rPr>
          <w:lang w:val="el-GR"/>
        </w:rPr>
        <w:t>² ημερησίως, θεραπευτικά ισοδύναμη με 5</w:t>
      </w:r>
      <w:r w:rsidR="00426A5E" w:rsidRPr="00CE233A">
        <w:t> </w:t>
      </w:r>
      <w:r w:rsidRPr="00CE233A">
        <w:rPr>
          <w:lang w:val="el-GR"/>
        </w:rPr>
        <w:t>μ</w:t>
      </w:r>
      <w:r w:rsidRPr="00CE233A">
        <w:t>g</w:t>
      </w:r>
      <w:r w:rsidRPr="00CE233A">
        <w:rPr>
          <w:lang w:val="el-GR"/>
        </w:rPr>
        <w:t xml:space="preserve"> (0,64</w:t>
      </w:r>
      <w:r w:rsidR="00426A5E" w:rsidRPr="00CE233A">
        <w:t> </w:t>
      </w:r>
      <w:r w:rsidRPr="00CE233A">
        <w:rPr>
          <w:lang w:val="el-GR"/>
        </w:rPr>
        <w:t>ΜΙ</w:t>
      </w:r>
      <w:r w:rsidRPr="00CE233A">
        <w:t>U</w:t>
      </w:r>
      <w:r w:rsidRPr="00CE233A">
        <w:rPr>
          <w:lang w:val="el-GR"/>
        </w:rPr>
        <w:t xml:space="preserve">) ανά </w:t>
      </w:r>
      <w:r w:rsidRPr="00CE233A">
        <w:t>kg</w:t>
      </w:r>
      <w:r w:rsidRPr="00CE233A">
        <w:rPr>
          <w:lang w:val="el-GR"/>
        </w:rPr>
        <w:t xml:space="preserve"> ημερησίως, για τις εξής περιπτώσεις:</w:t>
      </w:r>
    </w:p>
    <w:p w:rsidR="001F5608" w:rsidRPr="00CE233A" w:rsidRDefault="001F5608" w:rsidP="00840A76">
      <w:pPr>
        <w:ind w:left="426"/>
        <w:rPr>
          <w:lang w:val="el-GR"/>
        </w:rPr>
      </w:pPr>
    </w:p>
    <w:p w:rsidR="001F5608" w:rsidRPr="00CE233A" w:rsidRDefault="00FE597E" w:rsidP="00CE233A">
      <w:pPr>
        <w:numPr>
          <w:ilvl w:val="0"/>
          <w:numId w:val="32"/>
        </w:numPr>
        <w:rPr>
          <w:lang w:val="el-GR"/>
        </w:rPr>
      </w:pPr>
      <w:r w:rsidRPr="00CE233A">
        <w:rPr>
          <w:lang w:val="el-GR"/>
        </w:rPr>
        <w:t>Μεταμόσχευση π</w:t>
      </w:r>
      <w:r w:rsidR="00985423" w:rsidRPr="00CE233A">
        <w:rPr>
          <w:lang w:val="el-GR"/>
        </w:rPr>
        <w:t>εριφερικ</w:t>
      </w:r>
      <w:r w:rsidRPr="00CE233A">
        <w:rPr>
          <w:lang w:val="el-GR"/>
        </w:rPr>
        <w:t>ών αρχέγονων</w:t>
      </w:r>
      <w:r w:rsidR="00985423" w:rsidRPr="00CE233A">
        <w:rPr>
          <w:lang w:val="el-GR"/>
        </w:rPr>
        <w:t xml:space="preserve"> κ</w:t>
      </w:r>
      <w:r w:rsidRPr="00CE233A">
        <w:rPr>
          <w:lang w:val="el-GR"/>
        </w:rPr>
        <w:t>υττάρων</w:t>
      </w:r>
      <w:r w:rsidR="00985423" w:rsidRPr="00CE233A">
        <w:rPr>
          <w:lang w:val="el-GR"/>
        </w:rPr>
        <w:t xml:space="preserve"> ή </w:t>
      </w:r>
      <w:r w:rsidR="001F5608" w:rsidRPr="00CE233A">
        <w:rPr>
          <w:lang w:val="el-GR"/>
        </w:rPr>
        <w:t>μυελού των οστών,</w:t>
      </w:r>
    </w:p>
    <w:p w:rsidR="001F5608" w:rsidRPr="00CE233A" w:rsidRDefault="001F5608" w:rsidP="00CE233A">
      <w:pPr>
        <w:numPr>
          <w:ilvl w:val="0"/>
          <w:numId w:val="32"/>
        </w:numPr>
        <w:rPr>
          <w:lang w:val="el-GR"/>
        </w:rPr>
      </w:pPr>
      <w:r w:rsidRPr="00CE233A">
        <w:rPr>
          <w:lang w:val="el-GR"/>
        </w:rPr>
        <w:t>καθιερωμένη κυτταροτοξική χημειοθεραπεία,</w:t>
      </w:r>
    </w:p>
    <w:p w:rsidR="001F5608" w:rsidRPr="00CE233A" w:rsidRDefault="001F5608" w:rsidP="00CE233A">
      <w:pPr>
        <w:numPr>
          <w:ilvl w:val="0"/>
          <w:numId w:val="32"/>
        </w:numPr>
        <w:rPr>
          <w:lang w:val="el-GR"/>
        </w:rPr>
      </w:pPr>
      <w:r w:rsidRPr="00CE233A">
        <w:rPr>
          <w:lang w:val="el-GR"/>
        </w:rPr>
        <w:t>κινητοποίηση των αρχέγονων αιμοποιητικών κυττάρων περιφερικού αίματος (</w:t>
      </w:r>
      <w:r w:rsidRPr="00CE233A">
        <w:t>PBPC</w:t>
      </w:r>
      <w:r w:rsidRPr="00CE233A">
        <w:rPr>
          <w:lang w:val="el-GR"/>
        </w:rPr>
        <w:t>) μετά από χημειοθεραπεία</w:t>
      </w:r>
    </w:p>
    <w:p w:rsidR="001F5608" w:rsidRPr="00CE233A" w:rsidRDefault="001F5608" w:rsidP="00840A76">
      <w:pPr>
        <w:ind w:left="426"/>
        <w:rPr>
          <w:b/>
          <w:lang w:val="el-GR"/>
        </w:rPr>
      </w:pPr>
    </w:p>
    <w:p w:rsidR="001F5608" w:rsidRPr="00CE233A" w:rsidRDefault="001F5608" w:rsidP="00840A76">
      <w:pPr>
        <w:ind w:left="720"/>
        <w:rPr>
          <w:lang w:val="el-GR"/>
        </w:rPr>
      </w:pPr>
      <w:r w:rsidRPr="00CE233A">
        <w:rPr>
          <w:lang w:val="el-GR"/>
        </w:rPr>
        <w:t xml:space="preserve">Το </w:t>
      </w:r>
      <w:r w:rsidRPr="00CE233A">
        <w:t>GRANOCYTE</w:t>
      </w:r>
      <w:r w:rsidRPr="00CE233A">
        <w:rPr>
          <w:lang w:val="el-GR"/>
        </w:rPr>
        <w:t xml:space="preserve"> 13</w:t>
      </w:r>
      <w:r w:rsidR="007A3F2E" w:rsidRPr="00CE233A">
        <w:t> </w:t>
      </w:r>
      <w:r w:rsidRPr="00CE233A">
        <w:rPr>
          <w:lang w:val="el-GR"/>
        </w:rPr>
        <w:t>ΜΙ</w:t>
      </w:r>
      <w:r w:rsidRPr="00CE233A">
        <w:t>U</w:t>
      </w:r>
      <w:r w:rsidRPr="00CE233A">
        <w:rPr>
          <w:lang w:val="el-GR"/>
        </w:rPr>
        <w:t>/</w:t>
      </w:r>
      <w:r w:rsidR="003A1275" w:rsidRPr="00CE233A">
        <w:t>ml</w:t>
      </w:r>
      <w:r w:rsidR="003A1275" w:rsidRPr="00CE233A">
        <w:rPr>
          <w:lang w:val="el-GR"/>
        </w:rPr>
        <w:t xml:space="preserve"> </w:t>
      </w:r>
      <w:r w:rsidRPr="00CE233A">
        <w:rPr>
          <w:lang w:val="el-GR"/>
        </w:rPr>
        <w:t>μπορεί να χορηγηθεί σε ασθενείς με επιφάνεια σώματος έως 0,7</w:t>
      </w:r>
      <w:r w:rsidR="007A3F2E" w:rsidRPr="00CE233A">
        <w:t> </w:t>
      </w:r>
      <w:r w:rsidRPr="00CE233A">
        <w:t>m</w:t>
      </w:r>
      <w:r w:rsidRPr="00CE233A">
        <w:rPr>
          <w:lang w:val="el-GR"/>
        </w:rPr>
        <w:t>².</w:t>
      </w:r>
    </w:p>
    <w:p w:rsidR="003A1275" w:rsidRPr="00CE233A" w:rsidRDefault="003A1275" w:rsidP="00D647C9">
      <w:pPr>
        <w:rPr>
          <w:lang w:val="el-GR"/>
        </w:rPr>
      </w:pPr>
    </w:p>
    <w:p w:rsidR="001F5608" w:rsidRPr="00CE233A" w:rsidRDefault="001F5608" w:rsidP="00840A76">
      <w:pPr>
        <w:ind w:left="720"/>
        <w:rPr>
          <w:lang w:val="el-GR"/>
        </w:rPr>
      </w:pPr>
      <w:r w:rsidRPr="00CE233A">
        <w:rPr>
          <w:lang w:val="el-GR"/>
        </w:rPr>
        <w:t xml:space="preserve">Για την κινητοποίηση των </w:t>
      </w:r>
      <w:r w:rsidRPr="00CE233A">
        <w:t>PBPC</w:t>
      </w:r>
      <w:r w:rsidRPr="00CE233A">
        <w:rPr>
          <w:lang w:val="el-GR"/>
        </w:rPr>
        <w:t xml:space="preserve"> όταν χορηγείται μόνο </w:t>
      </w:r>
      <w:r w:rsidRPr="00CE233A">
        <w:t>GRANOCYTE</w:t>
      </w:r>
      <w:r w:rsidRPr="00CE233A">
        <w:rPr>
          <w:lang w:val="el-GR"/>
        </w:rPr>
        <w:t>, η προτεινόμενη δόση είναι 10</w:t>
      </w:r>
      <w:r w:rsidR="007A3F2E" w:rsidRPr="00CE233A">
        <w:t> </w:t>
      </w:r>
      <w:r w:rsidRPr="00CE233A">
        <w:rPr>
          <w:lang w:val="el-GR"/>
        </w:rPr>
        <w:t>μ</w:t>
      </w:r>
      <w:r w:rsidRPr="00CE233A">
        <w:t>g</w:t>
      </w:r>
      <w:r w:rsidRPr="00CE233A">
        <w:rPr>
          <w:lang w:val="el-GR"/>
        </w:rPr>
        <w:t xml:space="preserve"> (1,28</w:t>
      </w:r>
      <w:r w:rsidR="007A3F2E" w:rsidRPr="00CE233A">
        <w:t> </w:t>
      </w:r>
      <w:r w:rsidRPr="00CE233A">
        <w:t>MIU</w:t>
      </w:r>
      <w:r w:rsidRPr="00CE233A">
        <w:rPr>
          <w:lang w:val="el-GR"/>
        </w:rPr>
        <w:t xml:space="preserve">) ανά </w:t>
      </w:r>
      <w:r w:rsidRPr="00CE233A">
        <w:t>kg</w:t>
      </w:r>
      <w:r w:rsidRPr="00CE233A">
        <w:rPr>
          <w:lang w:val="el-GR"/>
        </w:rPr>
        <w:t xml:space="preserve"> ημερησίως.</w:t>
      </w:r>
    </w:p>
    <w:p w:rsidR="001F5608" w:rsidRPr="00CE233A" w:rsidRDefault="001F5608" w:rsidP="00840A76">
      <w:pPr>
        <w:rPr>
          <w:lang w:val="el-GR"/>
        </w:rPr>
      </w:pPr>
    </w:p>
    <w:p w:rsidR="001F5608" w:rsidRPr="00CE233A" w:rsidRDefault="001F5608" w:rsidP="00840A76">
      <w:pPr>
        <w:ind w:left="426" w:firstLine="114"/>
        <w:rPr>
          <w:iCs/>
          <w:lang w:val="el-GR"/>
        </w:rPr>
      </w:pPr>
      <w:r w:rsidRPr="00CE233A">
        <w:rPr>
          <w:iCs/>
          <w:lang w:val="el-GR"/>
        </w:rPr>
        <w:t>4.2.1 Ενήλικες</w:t>
      </w:r>
    </w:p>
    <w:p w:rsidR="001F5608" w:rsidRPr="00CE233A" w:rsidRDefault="001F5608" w:rsidP="00840A76">
      <w:pPr>
        <w:rPr>
          <w:u w:val="single"/>
          <w:lang w:val="el-GR"/>
        </w:rPr>
      </w:pPr>
    </w:p>
    <w:p w:rsidR="001F5608" w:rsidRPr="00CE233A" w:rsidRDefault="001F5608" w:rsidP="00CE233A">
      <w:pPr>
        <w:numPr>
          <w:ilvl w:val="0"/>
          <w:numId w:val="24"/>
        </w:numPr>
        <w:tabs>
          <w:tab w:val="clear" w:pos="1146"/>
          <w:tab w:val="num" w:pos="709"/>
        </w:tabs>
        <w:ind w:left="709" w:hanging="169"/>
        <w:rPr>
          <w:bCs/>
          <w:iCs/>
          <w:lang w:val="el-GR"/>
        </w:rPr>
      </w:pPr>
      <w:r w:rsidRPr="00CE233A">
        <w:rPr>
          <w:bCs/>
          <w:iCs/>
          <w:lang w:val="el-GR"/>
        </w:rPr>
        <w:t xml:space="preserve">Σε μεταμόσχευση </w:t>
      </w:r>
      <w:r w:rsidR="003A1275" w:rsidRPr="00CE233A">
        <w:rPr>
          <w:bCs/>
          <w:iCs/>
          <w:lang w:val="el-GR"/>
        </w:rPr>
        <w:t xml:space="preserve">περιφερικών αρχέγονων κυττάρων ή </w:t>
      </w:r>
      <w:r w:rsidRPr="00CE233A">
        <w:rPr>
          <w:bCs/>
          <w:iCs/>
          <w:lang w:val="el-GR"/>
        </w:rPr>
        <w:t>μυελού</w:t>
      </w:r>
      <w:r w:rsidR="003A1275" w:rsidRPr="00CE233A">
        <w:rPr>
          <w:bCs/>
          <w:iCs/>
          <w:lang w:val="el-GR"/>
        </w:rPr>
        <w:t xml:space="preserve"> των</w:t>
      </w:r>
      <w:r w:rsidRPr="00CE233A">
        <w:rPr>
          <w:bCs/>
          <w:iCs/>
          <w:lang w:val="el-GR"/>
        </w:rPr>
        <w:t xml:space="preserve"> οστών </w:t>
      </w:r>
    </w:p>
    <w:p w:rsidR="004D28A0" w:rsidRPr="00CE233A" w:rsidRDefault="004D28A0" w:rsidP="004D28A0">
      <w:pPr>
        <w:ind w:left="540"/>
        <w:rPr>
          <w:bCs/>
          <w:i/>
          <w:iCs/>
          <w:lang w:val="el-GR"/>
        </w:rPr>
      </w:pPr>
    </w:p>
    <w:p w:rsidR="001F5608" w:rsidRPr="00CE233A" w:rsidRDefault="001F5608" w:rsidP="00F15F4A">
      <w:pPr>
        <w:ind w:left="900"/>
        <w:rPr>
          <w:lang w:val="el-GR"/>
        </w:rPr>
      </w:pPr>
      <w:r w:rsidRPr="00CE233A">
        <w:rPr>
          <w:lang w:val="el-GR"/>
        </w:rPr>
        <w:t xml:space="preserve">Το </w:t>
      </w:r>
      <w:r w:rsidRPr="00CE233A">
        <w:t>GRANOCYTE</w:t>
      </w:r>
      <w:r w:rsidRPr="00CE233A">
        <w:rPr>
          <w:lang w:val="el-GR"/>
        </w:rPr>
        <w:t xml:space="preserve"> πρέπει να χορηγείται ημερησίως στη συνιστώμενη δοσολογία των 150</w:t>
      </w:r>
      <w:r w:rsidR="00315416" w:rsidRPr="00CE233A">
        <w:t> </w:t>
      </w:r>
      <w:r w:rsidRPr="00CE233A">
        <w:rPr>
          <w:lang w:val="el-GR"/>
        </w:rPr>
        <w:t>μ</w:t>
      </w:r>
      <w:r w:rsidRPr="00CE233A">
        <w:t>g</w:t>
      </w:r>
      <w:r w:rsidRPr="00CE233A">
        <w:rPr>
          <w:lang w:val="el-GR"/>
        </w:rPr>
        <w:t xml:space="preserve"> (19,2</w:t>
      </w:r>
      <w:r w:rsidR="00315416" w:rsidRPr="00CE233A">
        <w:t> </w:t>
      </w:r>
      <w:r w:rsidRPr="00CE233A">
        <w:t>MIU</w:t>
      </w:r>
      <w:r w:rsidRPr="00CE233A">
        <w:rPr>
          <w:lang w:val="el-GR"/>
        </w:rPr>
        <w:t xml:space="preserve">) ανά </w:t>
      </w:r>
      <w:r w:rsidRPr="00CE233A">
        <w:t>m</w:t>
      </w:r>
      <w:r w:rsidRPr="00CE233A">
        <w:rPr>
          <w:lang w:val="el-GR"/>
        </w:rPr>
        <w:t>² ημερησίως ως ενδοφλέβια έγχυση 30</w:t>
      </w:r>
      <w:r w:rsidR="00315416" w:rsidRPr="00CE233A">
        <w:t> </w:t>
      </w:r>
      <w:r w:rsidRPr="00CE233A">
        <w:rPr>
          <w:lang w:val="el-GR"/>
        </w:rPr>
        <w:t>λεπτών αραιωμένο σε ισότονο διάλυμα χλωριούχου νατρίου ή ως υποδόρια ένεση</w:t>
      </w:r>
      <w:r w:rsidR="005E3E52" w:rsidRPr="00CE233A">
        <w:rPr>
          <w:lang w:val="el-GR"/>
        </w:rPr>
        <w:t>. Η πρώτη δόση δεν θα πρέπει να χορηγηθεί μέσα σε 24</w:t>
      </w:r>
      <w:r w:rsidR="00315416" w:rsidRPr="00CE233A">
        <w:t> </w:t>
      </w:r>
      <w:r w:rsidR="005E3E52" w:rsidRPr="00CE233A">
        <w:rPr>
          <w:lang w:val="el-GR"/>
        </w:rPr>
        <w:t>ώρες από την έγχυση του μυελού των οστών</w:t>
      </w:r>
      <w:r w:rsidRPr="00CE233A">
        <w:rPr>
          <w:lang w:val="el-GR"/>
        </w:rPr>
        <w:t>. Η χορήγηση πρέπει να συνεχιστεί μέχρις ότου ξεπεραστεί η αναμενόμενη ελάχιστη τιμή (</w:t>
      </w:r>
      <w:r w:rsidRPr="00CE233A">
        <w:t>nadir</w:t>
      </w:r>
      <w:r w:rsidRPr="00CE233A">
        <w:rPr>
          <w:lang w:val="el-GR"/>
        </w:rPr>
        <w:t>) και ο αριθμός ουδετεροφίλων επανέλθει σε σταθερό επίπεδο συμβατό με διακοπή της αγωγής, με μέγιστο διάστημα θεραπείας 28</w:t>
      </w:r>
      <w:r w:rsidR="00315416" w:rsidRPr="00CE233A">
        <w:t> </w:t>
      </w:r>
      <w:r w:rsidRPr="00CE233A">
        <w:rPr>
          <w:lang w:val="el-GR"/>
        </w:rPr>
        <w:t>συνεχείς ημέρες, εάν χρειασθεί.</w:t>
      </w:r>
    </w:p>
    <w:p w:rsidR="001F5608" w:rsidRPr="00CE233A" w:rsidRDefault="001F5608" w:rsidP="00840A76">
      <w:pPr>
        <w:ind w:left="426"/>
        <w:rPr>
          <w:lang w:val="el-GR"/>
        </w:rPr>
      </w:pPr>
    </w:p>
    <w:p w:rsidR="001F5608" w:rsidRPr="00CE233A" w:rsidRDefault="001F5608" w:rsidP="005E3E52">
      <w:pPr>
        <w:ind w:left="900"/>
        <w:rPr>
          <w:lang w:val="el-GR"/>
        </w:rPr>
      </w:pPr>
      <w:r w:rsidRPr="00CE233A">
        <w:rPr>
          <w:lang w:val="el-GR"/>
        </w:rPr>
        <w:t>Αναμένεται ότι μέχρι τη 14η ημέρα μετά τη μεταμόσχευση μυελού των οστών, στο 50% των ασθενών θα έχει επιτευχθεί η επάνοδος των ουδετεροφίλων.</w:t>
      </w:r>
    </w:p>
    <w:p w:rsidR="001F5608" w:rsidRPr="00CE233A" w:rsidRDefault="001F5608" w:rsidP="00840A76">
      <w:pPr>
        <w:ind w:left="426"/>
        <w:rPr>
          <w:lang w:val="el-GR"/>
        </w:rPr>
      </w:pPr>
    </w:p>
    <w:p w:rsidR="001F5608" w:rsidRPr="00CE233A" w:rsidRDefault="001F5608" w:rsidP="00CE233A">
      <w:pPr>
        <w:numPr>
          <w:ilvl w:val="0"/>
          <w:numId w:val="24"/>
        </w:numPr>
        <w:tabs>
          <w:tab w:val="clear" w:pos="1146"/>
          <w:tab w:val="num" w:pos="709"/>
        </w:tabs>
        <w:ind w:hanging="606"/>
        <w:rPr>
          <w:bCs/>
          <w:iCs/>
          <w:lang w:val="el-GR"/>
        </w:rPr>
      </w:pPr>
      <w:r w:rsidRPr="00CE233A">
        <w:rPr>
          <w:bCs/>
          <w:iCs/>
          <w:lang w:val="el-GR"/>
        </w:rPr>
        <w:t>Σε καθιερωμέ</w:t>
      </w:r>
      <w:r w:rsidR="00352865" w:rsidRPr="00CE233A">
        <w:rPr>
          <w:bCs/>
          <w:iCs/>
          <w:lang w:val="el-GR"/>
        </w:rPr>
        <w:t>νη κυτταροτοξική χημειοθεραπεία</w:t>
      </w:r>
    </w:p>
    <w:p w:rsidR="004D28A0" w:rsidRPr="00CE233A" w:rsidRDefault="004D28A0" w:rsidP="004D28A0">
      <w:pPr>
        <w:ind w:left="540"/>
        <w:rPr>
          <w:bCs/>
          <w:i/>
          <w:iCs/>
          <w:lang w:val="el-GR"/>
        </w:rPr>
      </w:pPr>
    </w:p>
    <w:p w:rsidR="001F5608" w:rsidRPr="00CE233A" w:rsidRDefault="001F5608" w:rsidP="00F15F4A">
      <w:pPr>
        <w:ind w:left="900"/>
        <w:rPr>
          <w:lang w:val="el-GR"/>
        </w:rPr>
      </w:pPr>
      <w:r w:rsidRPr="00CE233A">
        <w:rPr>
          <w:lang w:val="el-GR"/>
        </w:rPr>
        <w:t xml:space="preserve">Το </w:t>
      </w:r>
      <w:r w:rsidRPr="00CE233A">
        <w:t>GRANOCYTE</w:t>
      </w:r>
      <w:r w:rsidRPr="00CE233A">
        <w:rPr>
          <w:lang w:val="el-GR"/>
        </w:rPr>
        <w:t xml:space="preserve"> πρέπει να χορηγείται καθημερινά στη συνιστώμενη δόση των 150</w:t>
      </w:r>
      <w:r w:rsidR="00197101" w:rsidRPr="00CE233A">
        <w:t> </w:t>
      </w:r>
      <w:r w:rsidRPr="00CE233A">
        <w:rPr>
          <w:lang w:val="el-GR"/>
        </w:rPr>
        <w:t>μ</w:t>
      </w:r>
      <w:r w:rsidRPr="00CE233A">
        <w:t>g</w:t>
      </w:r>
      <w:r w:rsidRPr="00CE233A">
        <w:rPr>
          <w:lang w:val="el-GR"/>
        </w:rPr>
        <w:t xml:space="preserve"> (19,2</w:t>
      </w:r>
      <w:r w:rsidR="00197101" w:rsidRPr="00CE233A">
        <w:t> </w:t>
      </w:r>
      <w:r w:rsidRPr="00CE233A">
        <w:t>MIU</w:t>
      </w:r>
      <w:r w:rsidRPr="00CE233A">
        <w:rPr>
          <w:lang w:val="el-GR"/>
        </w:rPr>
        <w:t xml:space="preserve">) ανά </w:t>
      </w:r>
      <w:r w:rsidRPr="00CE233A">
        <w:t>m</w:t>
      </w:r>
      <w:r w:rsidRPr="00CE233A">
        <w:rPr>
          <w:lang w:val="el-GR"/>
        </w:rPr>
        <w:t xml:space="preserve">² ημερησίως, ως υποδόρια ένεση. </w:t>
      </w:r>
      <w:r w:rsidR="0039458C" w:rsidRPr="00CE233A">
        <w:rPr>
          <w:lang w:val="el-GR"/>
        </w:rPr>
        <w:t xml:space="preserve">Η πρώτη δόση δεν θα </w:t>
      </w:r>
      <w:r w:rsidR="0039458C" w:rsidRPr="00CE233A">
        <w:rPr>
          <w:lang w:val="el-GR"/>
        </w:rPr>
        <w:lastRenderedPageBreak/>
        <w:t xml:space="preserve">πρέπει να χορηγείται σε λιγότερο από 24 ώρες μετά την ολοκλήρωση της κυτταροτοξικής χημειοθεραπείας (βλ. 4.4 και 4.5). </w:t>
      </w:r>
      <w:r w:rsidRPr="00CE233A">
        <w:t>H</w:t>
      </w:r>
      <w:r w:rsidRPr="00CE233A">
        <w:rPr>
          <w:lang w:val="el-GR"/>
        </w:rPr>
        <w:t xml:space="preserve"> ημερήσια χορήγηση </w:t>
      </w:r>
      <w:r w:rsidRPr="00CE233A">
        <w:t>GRANOCYTE</w:t>
      </w:r>
      <w:r w:rsidR="001061D9" w:rsidRPr="00CE233A">
        <w:rPr>
          <w:lang w:val="el-GR"/>
        </w:rPr>
        <w:t xml:space="preserve"> </w:t>
      </w:r>
      <w:r w:rsidRPr="00CE233A">
        <w:rPr>
          <w:lang w:val="el-GR"/>
        </w:rPr>
        <w:t>πρέπει να συνεχισ</w:t>
      </w:r>
      <w:r w:rsidR="00352865" w:rsidRPr="00CE233A">
        <w:rPr>
          <w:lang w:val="el-GR"/>
        </w:rPr>
        <w:t>θ</w:t>
      </w:r>
      <w:r w:rsidRPr="00CE233A">
        <w:rPr>
          <w:lang w:val="el-GR"/>
        </w:rPr>
        <w:t>εί μέχρις ότου ξεπεραστεί η αναμενόμενη ελάχιστη τιμή (</w:t>
      </w:r>
      <w:r w:rsidRPr="00CE233A">
        <w:t>nadir</w:t>
      </w:r>
      <w:r w:rsidRPr="00CE233A">
        <w:rPr>
          <w:lang w:val="el-GR"/>
        </w:rPr>
        <w:t>) και ο αριθμός των ουδετεροφίλων επανέλθει σε σταθερό επίπεδο συμβατό με διακοπή της αγωγής, με μέγιστο διάστημα θεραπείας 28</w:t>
      </w:r>
      <w:r w:rsidR="00197101" w:rsidRPr="00CE233A">
        <w:t> </w:t>
      </w:r>
      <w:r w:rsidRPr="00CE233A">
        <w:rPr>
          <w:lang w:val="el-GR"/>
        </w:rPr>
        <w:t>συνεχείς ημέρες, εάν χρειασθεί.</w:t>
      </w:r>
    </w:p>
    <w:p w:rsidR="001F5608" w:rsidRPr="00CE233A" w:rsidRDefault="001F5608" w:rsidP="00F15F4A">
      <w:pPr>
        <w:ind w:left="900"/>
        <w:rPr>
          <w:lang w:val="el-GR"/>
        </w:rPr>
      </w:pPr>
    </w:p>
    <w:p w:rsidR="001F5608" w:rsidRPr="00CE233A" w:rsidRDefault="001F5608" w:rsidP="00F15F4A">
      <w:pPr>
        <w:ind w:left="900"/>
        <w:rPr>
          <w:lang w:val="el-GR"/>
        </w:rPr>
      </w:pPr>
      <w:r w:rsidRPr="00CE233A">
        <w:rPr>
          <w:lang w:val="el-GR"/>
        </w:rPr>
        <w:t>Παροδική αύξηση του αριθμού των ουδετεροφίλων μπορεί να εμφανισθεί μέσα στις πρώτες 2</w:t>
      </w:r>
      <w:r w:rsidR="00197101" w:rsidRPr="00CE233A">
        <w:t> </w:t>
      </w:r>
      <w:r w:rsidRPr="00CE233A">
        <w:rPr>
          <w:lang w:val="el-GR"/>
        </w:rPr>
        <w:t xml:space="preserve">ημέρες της θεραπείας. Όμως το </w:t>
      </w:r>
      <w:r w:rsidRPr="00CE233A">
        <w:t>GRANOCYTE</w:t>
      </w:r>
      <w:r w:rsidRPr="00CE233A">
        <w:rPr>
          <w:lang w:val="el-GR"/>
        </w:rPr>
        <w:t xml:space="preserve"> δεν θα πρέπει να διακοπεί, εφόσον με τη συνέχιση της θεραπείας, </w:t>
      </w:r>
      <w:r w:rsidR="0086438D" w:rsidRPr="00CE233A">
        <w:rPr>
          <w:lang w:val="el-GR"/>
        </w:rPr>
        <w:t xml:space="preserve">καθώς </w:t>
      </w:r>
      <w:r w:rsidRPr="00CE233A">
        <w:rPr>
          <w:lang w:val="el-GR"/>
        </w:rPr>
        <w:t>η επόμενη ελάχιστη τιμή (</w:t>
      </w:r>
      <w:r w:rsidRPr="00CE233A">
        <w:t>nadir</w:t>
      </w:r>
      <w:r w:rsidRPr="00CE233A">
        <w:rPr>
          <w:lang w:val="el-GR"/>
        </w:rPr>
        <w:t xml:space="preserve">) εμφανίζεται </w:t>
      </w:r>
      <w:r w:rsidR="0086438D" w:rsidRPr="00CE233A">
        <w:rPr>
          <w:lang w:val="el-GR"/>
        </w:rPr>
        <w:t xml:space="preserve">συνήθως </w:t>
      </w:r>
      <w:r w:rsidRPr="00CE233A">
        <w:rPr>
          <w:lang w:val="el-GR"/>
        </w:rPr>
        <w:t>νωρίτερα και η επάνοδος επιτυγχάνεται ταχύτερα.</w:t>
      </w:r>
    </w:p>
    <w:p w:rsidR="001F5608" w:rsidRPr="00CE233A" w:rsidRDefault="001F5608" w:rsidP="00CE233A">
      <w:pPr>
        <w:numPr>
          <w:ilvl w:val="0"/>
          <w:numId w:val="24"/>
        </w:numPr>
        <w:tabs>
          <w:tab w:val="clear" w:pos="1146"/>
          <w:tab w:val="num" w:pos="709"/>
        </w:tabs>
        <w:ind w:left="900"/>
        <w:rPr>
          <w:bCs/>
          <w:iCs/>
          <w:lang w:val="el-GR"/>
        </w:rPr>
      </w:pPr>
      <w:r w:rsidRPr="00CE233A">
        <w:rPr>
          <w:bCs/>
          <w:iCs/>
          <w:lang w:val="el-GR"/>
        </w:rPr>
        <w:t>Σε κινητοποίηση των αρχέγονων αιμοποιητικών κυττάρων του περιφερικού αίματος (</w:t>
      </w:r>
      <w:r w:rsidRPr="00CE233A">
        <w:rPr>
          <w:bCs/>
          <w:iCs/>
        </w:rPr>
        <w:t>PBPCs</w:t>
      </w:r>
      <w:r w:rsidR="001F349F" w:rsidRPr="00CE233A">
        <w:rPr>
          <w:bCs/>
          <w:iCs/>
          <w:lang w:val="el-GR"/>
        </w:rPr>
        <w:t>)</w:t>
      </w:r>
    </w:p>
    <w:p w:rsidR="004D28A0" w:rsidRPr="00CE233A" w:rsidRDefault="004D28A0" w:rsidP="004D28A0">
      <w:pPr>
        <w:ind w:left="540"/>
        <w:rPr>
          <w:bCs/>
          <w:i/>
          <w:iCs/>
          <w:lang w:val="el-GR"/>
        </w:rPr>
      </w:pPr>
    </w:p>
    <w:p w:rsidR="001F5608" w:rsidRPr="00CE233A" w:rsidRDefault="001F5608" w:rsidP="00F15F4A">
      <w:pPr>
        <w:ind w:left="900"/>
        <w:rPr>
          <w:lang w:val="el-GR"/>
        </w:rPr>
      </w:pPr>
      <w:r w:rsidRPr="00CE233A">
        <w:rPr>
          <w:lang w:val="el-GR"/>
        </w:rPr>
        <w:t xml:space="preserve">Μετά από χημειοθεραπεία, το </w:t>
      </w:r>
      <w:r w:rsidRPr="00CE233A">
        <w:t>GRANOCYTE</w:t>
      </w:r>
      <w:r w:rsidRPr="00CE233A">
        <w:rPr>
          <w:lang w:val="el-GR"/>
        </w:rPr>
        <w:t xml:space="preserve"> πρέπει να χορηγείται καθημερινά, στη συνιστώμενη δοσολογία των 150</w:t>
      </w:r>
      <w:r w:rsidR="00D62F11" w:rsidRPr="00CE233A">
        <w:t> </w:t>
      </w:r>
      <w:r w:rsidRPr="00CE233A">
        <w:rPr>
          <w:lang w:val="el-GR"/>
        </w:rPr>
        <w:t>μ</w:t>
      </w:r>
      <w:r w:rsidRPr="00CE233A">
        <w:t>g</w:t>
      </w:r>
      <w:r w:rsidRPr="00CE233A">
        <w:rPr>
          <w:lang w:val="el-GR"/>
        </w:rPr>
        <w:t xml:space="preserve"> (19,2</w:t>
      </w:r>
      <w:r w:rsidR="00D62F11" w:rsidRPr="00CE233A">
        <w:t> </w:t>
      </w:r>
      <w:r w:rsidRPr="00CE233A">
        <w:t>MIU</w:t>
      </w:r>
      <w:r w:rsidRPr="00CE233A">
        <w:rPr>
          <w:lang w:val="el-GR"/>
        </w:rPr>
        <w:t xml:space="preserve">) ανά </w:t>
      </w:r>
      <w:r w:rsidRPr="00CE233A">
        <w:t>m</w:t>
      </w:r>
      <w:r w:rsidRPr="00CE233A">
        <w:rPr>
          <w:lang w:val="el-GR"/>
        </w:rPr>
        <w:t xml:space="preserve">² επιφανείας σώματος ημερησίως ως υποδόρια ένεση, αρχίζοντας </w:t>
      </w:r>
      <w:r w:rsidR="009B039D" w:rsidRPr="00CE233A">
        <w:rPr>
          <w:lang w:val="el-GR"/>
        </w:rPr>
        <w:t>μέσα σε 1 έως 5</w:t>
      </w:r>
      <w:r w:rsidR="00D62F11" w:rsidRPr="00CE233A">
        <w:t> </w:t>
      </w:r>
      <w:r w:rsidR="009B039D" w:rsidRPr="00CE233A">
        <w:rPr>
          <w:lang w:val="el-GR"/>
        </w:rPr>
        <w:t>ημέρες</w:t>
      </w:r>
      <w:r w:rsidRPr="00CE233A">
        <w:rPr>
          <w:lang w:val="el-GR"/>
        </w:rPr>
        <w:t xml:space="preserve"> </w:t>
      </w:r>
      <w:r w:rsidR="009B039D" w:rsidRPr="00CE233A">
        <w:rPr>
          <w:lang w:val="el-GR"/>
        </w:rPr>
        <w:t xml:space="preserve">μετά την </w:t>
      </w:r>
      <w:r w:rsidRPr="00CE233A">
        <w:rPr>
          <w:lang w:val="el-GR"/>
        </w:rPr>
        <w:t>ολοκλήρωση της χημειοθεραπείας</w:t>
      </w:r>
      <w:r w:rsidR="009B039D" w:rsidRPr="00CE233A">
        <w:rPr>
          <w:lang w:val="el-GR"/>
        </w:rPr>
        <w:t>, σύμφωνα με την χημειοθεραπευτική αγωγή που χορηγείται για την κινητοποίηση</w:t>
      </w:r>
      <w:r w:rsidRPr="00CE233A">
        <w:rPr>
          <w:lang w:val="el-GR"/>
        </w:rPr>
        <w:t xml:space="preserve">. </w:t>
      </w:r>
    </w:p>
    <w:p w:rsidR="001F5608" w:rsidRPr="00CE233A" w:rsidRDefault="001F5608" w:rsidP="00F15F4A">
      <w:pPr>
        <w:ind w:left="900"/>
        <w:rPr>
          <w:lang w:val="el-GR"/>
        </w:rPr>
      </w:pPr>
    </w:p>
    <w:p w:rsidR="00F45D1C" w:rsidRPr="00CE233A" w:rsidRDefault="00F45D1C" w:rsidP="00F15F4A">
      <w:pPr>
        <w:ind w:left="900"/>
        <w:rPr>
          <w:lang w:val="el-GR"/>
        </w:rPr>
      </w:pPr>
      <w:r w:rsidRPr="00CE233A">
        <w:rPr>
          <w:lang w:val="el-GR"/>
        </w:rPr>
        <w:t xml:space="preserve">Το </w:t>
      </w:r>
      <w:r w:rsidRPr="00CE233A">
        <w:t>GRANOCYTE</w:t>
      </w:r>
      <w:r w:rsidRPr="00CE233A">
        <w:rPr>
          <w:lang w:val="el-GR"/>
        </w:rPr>
        <w:t xml:space="preserve"> πρέπει να συνεχίζεται μέχρι την τελευταία λευκαφαίρεση.</w:t>
      </w:r>
    </w:p>
    <w:p w:rsidR="00F45D1C" w:rsidRPr="00CE233A" w:rsidRDefault="00F45D1C" w:rsidP="00F15F4A">
      <w:pPr>
        <w:ind w:left="900"/>
        <w:rPr>
          <w:lang w:val="el-GR"/>
        </w:rPr>
      </w:pPr>
    </w:p>
    <w:p w:rsidR="001F5608" w:rsidRPr="00CE233A" w:rsidRDefault="001F5608" w:rsidP="00F15F4A">
      <w:pPr>
        <w:ind w:left="900"/>
        <w:rPr>
          <w:lang w:val="el-GR"/>
        </w:rPr>
      </w:pPr>
      <w:r w:rsidRPr="00CE233A">
        <w:rPr>
          <w:lang w:val="el-GR"/>
        </w:rPr>
        <w:t xml:space="preserve">Η λευκαφαίρεση πρέπει να πραγματοποιείται, μετά το ναδίρ, κατά την περίοδο αύξησης του αριθμού των λευκοκυττάρων ή μετά από μέτρηση του αριθμού των κυττάρων </w:t>
      </w:r>
      <w:r w:rsidRPr="00CE233A">
        <w:t>CD</w:t>
      </w:r>
      <w:r w:rsidRPr="00CE233A">
        <w:rPr>
          <w:lang w:val="el-GR"/>
        </w:rPr>
        <w:t>34</w:t>
      </w:r>
      <w:r w:rsidRPr="00CE233A">
        <w:rPr>
          <w:vertAlign w:val="superscript"/>
          <w:lang w:val="el-GR"/>
        </w:rPr>
        <w:t>+</w:t>
      </w:r>
      <w:r w:rsidRPr="00CE233A">
        <w:rPr>
          <w:lang w:val="el-GR"/>
        </w:rPr>
        <w:t xml:space="preserve"> στο αίμα με μια αξιόπιστη μέθοδο. Για ασθενείς που δεν έχουν υποβληθεί σε </w:t>
      </w:r>
      <w:r w:rsidR="0086438D" w:rsidRPr="00CE233A">
        <w:rPr>
          <w:lang w:val="el-GR"/>
        </w:rPr>
        <w:t xml:space="preserve">εκτεταμένη </w:t>
      </w:r>
      <w:r w:rsidRPr="00CE233A">
        <w:rPr>
          <w:lang w:val="el-GR"/>
        </w:rPr>
        <w:t>χημειοθεραπεία, μια λευκαφαίρεση είναι συχνά αρκετή για τη συλλογή του ελάχιστου αποδεκτού αριθμού κυττάρων (</w:t>
      </w:r>
      <w:r w:rsidRPr="00CE233A">
        <w:sym w:font="Symbol" w:char="00B3"/>
      </w:r>
      <w:r w:rsidR="00D62F11" w:rsidRPr="00CE233A">
        <w:t> </w:t>
      </w:r>
      <w:r w:rsidRPr="00CE233A">
        <w:rPr>
          <w:lang w:val="el-GR"/>
        </w:rPr>
        <w:t>2,0</w:t>
      </w:r>
      <w:r w:rsidRPr="00CE233A">
        <w:sym w:font="Symbol" w:char="00B4"/>
      </w:r>
      <w:r w:rsidRPr="00CE233A">
        <w:rPr>
          <w:lang w:val="el-GR"/>
        </w:rPr>
        <w:t>10</w:t>
      </w:r>
      <w:r w:rsidRPr="00CE233A">
        <w:rPr>
          <w:vertAlign w:val="superscript"/>
          <w:lang w:val="el-GR"/>
        </w:rPr>
        <w:t>6</w:t>
      </w:r>
      <w:r w:rsidR="00D62F11" w:rsidRPr="00CE233A">
        <w:t> </w:t>
      </w:r>
      <w:r w:rsidRPr="00CE233A">
        <w:t>CD</w:t>
      </w:r>
      <w:r w:rsidRPr="00CE233A">
        <w:rPr>
          <w:lang w:val="el-GR"/>
        </w:rPr>
        <w:t>34</w:t>
      </w:r>
      <w:r w:rsidRPr="00CE233A">
        <w:rPr>
          <w:vertAlign w:val="superscript"/>
          <w:lang w:val="el-GR"/>
        </w:rPr>
        <w:t>+</w:t>
      </w:r>
      <w:r w:rsidRPr="00CE233A">
        <w:rPr>
          <w:lang w:val="el-GR"/>
        </w:rPr>
        <w:t xml:space="preserve"> κύτταρα ανά </w:t>
      </w:r>
      <w:r w:rsidRPr="00CE233A">
        <w:t>kg</w:t>
      </w:r>
      <w:r w:rsidRPr="00CE233A">
        <w:rPr>
          <w:lang w:val="el-GR"/>
        </w:rPr>
        <w:t>).</w:t>
      </w:r>
    </w:p>
    <w:p w:rsidR="001F5608" w:rsidRPr="00CE233A" w:rsidRDefault="001F5608" w:rsidP="00F15F4A">
      <w:pPr>
        <w:ind w:left="900"/>
        <w:rPr>
          <w:b/>
          <w:lang w:val="el-GR"/>
        </w:rPr>
      </w:pPr>
    </w:p>
    <w:p w:rsidR="001F5608" w:rsidRPr="00CE233A" w:rsidRDefault="001F5608" w:rsidP="00F15F4A">
      <w:pPr>
        <w:ind w:left="900"/>
        <w:rPr>
          <w:lang w:val="el-GR"/>
        </w:rPr>
      </w:pPr>
      <w:r w:rsidRPr="00CE233A">
        <w:rPr>
          <w:lang w:val="el-GR"/>
        </w:rPr>
        <w:t xml:space="preserve">Όταν χορηγείται μόνο </w:t>
      </w:r>
      <w:r w:rsidRPr="00CE233A">
        <w:t>GRANOCYTE</w:t>
      </w:r>
      <w:r w:rsidRPr="00CE233A">
        <w:rPr>
          <w:lang w:val="el-GR"/>
        </w:rPr>
        <w:t xml:space="preserve"> με σκοπό την κινητοποίηση των αρχέγονων αιμοποιητικών κυττάρων του περιφερικού αίματος (</w:t>
      </w:r>
      <w:r w:rsidRPr="00CE233A">
        <w:t>PBPCs</w:t>
      </w:r>
      <w:r w:rsidRPr="00CE233A">
        <w:rPr>
          <w:lang w:val="el-GR"/>
        </w:rPr>
        <w:t xml:space="preserve">), το </w:t>
      </w:r>
      <w:r w:rsidRPr="00CE233A">
        <w:t>GRANOCYTE</w:t>
      </w:r>
      <w:r w:rsidRPr="00CE233A">
        <w:rPr>
          <w:lang w:val="el-GR"/>
        </w:rPr>
        <w:t xml:space="preserve"> θα πρέπει να χορηγείται καθημερινά στη συνιστώμενη δοσολογία των 10</w:t>
      </w:r>
      <w:r w:rsidR="00D62F11" w:rsidRPr="00CE233A">
        <w:t> </w:t>
      </w:r>
      <w:r w:rsidRPr="00CE233A">
        <w:rPr>
          <w:lang w:val="el-GR"/>
        </w:rPr>
        <w:t>μ</w:t>
      </w:r>
      <w:r w:rsidRPr="00CE233A">
        <w:t>g</w:t>
      </w:r>
      <w:r w:rsidRPr="00CE233A">
        <w:rPr>
          <w:lang w:val="el-GR"/>
        </w:rPr>
        <w:t xml:space="preserve"> (1,28</w:t>
      </w:r>
      <w:r w:rsidR="00D62F11" w:rsidRPr="00CE233A">
        <w:t> </w:t>
      </w:r>
      <w:r w:rsidRPr="00CE233A">
        <w:t>MIU</w:t>
      </w:r>
      <w:r w:rsidRPr="00CE233A">
        <w:rPr>
          <w:lang w:val="el-GR"/>
        </w:rPr>
        <w:t xml:space="preserve">) ανά </w:t>
      </w:r>
      <w:r w:rsidRPr="00CE233A">
        <w:t>kg</w:t>
      </w:r>
      <w:r w:rsidRPr="00CE233A">
        <w:rPr>
          <w:lang w:val="el-GR"/>
        </w:rPr>
        <w:t xml:space="preserve"> σωματικού βάρους ημερησίως ως υποδόρια ένεση για 4-6</w:t>
      </w:r>
      <w:r w:rsidR="00D62F11" w:rsidRPr="00CE233A">
        <w:t> </w:t>
      </w:r>
      <w:r w:rsidRPr="00CE233A">
        <w:rPr>
          <w:lang w:val="el-GR"/>
        </w:rPr>
        <w:t xml:space="preserve">ημέρες. Η λευκαφαίρεση θα πρέπει να πραγματοποιείται μεταξύ της 5ης και της 7ης ημέρας. </w:t>
      </w:r>
    </w:p>
    <w:p w:rsidR="001F5608" w:rsidRPr="00CE233A" w:rsidRDefault="001F5608" w:rsidP="00F15F4A">
      <w:pPr>
        <w:ind w:left="900"/>
        <w:rPr>
          <w:lang w:val="el-GR"/>
        </w:rPr>
      </w:pPr>
    </w:p>
    <w:p w:rsidR="001F5608" w:rsidRPr="00CE233A" w:rsidRDefault="001F5608" w:rsidP="00F15F4A">
      <w:pPr>
        <w:ind w:left="900"/>
        <w:rPr>
          <w:lang w:val="el-GR"/>
        </w:rPr>
      </w:pPr>
      <w:r w:rsidRPr="00CE233A">
        <w:rPr>
          <w:lang w:val="el-GR"/>
        </w:rPr>
        <w:t xml:space="preserve">Για ασθενείς που δεν έχουν υποβληθεί σε </w:t>
      </w:r>
      <w:r w:rsidR="0086438D" w:rsidRPr="00CE233A">
        <w:rPr>
          <w:lang w:val="el-GR"/>
        </w:rPr>
        <w:t xml:space="preserve">εκετεταμένη </w:t>
      </w:r>
      <w:r w:rsidRPr="00CE233A">
        <w:rPr>
          <w:lang w:val="el-GR"/>
        </w:rPr>
        <w:t>χημειοθεραπεία, μια λευκαφαίρεση είναι συχνά αρκετή για τη συλλογή του ελάχιστ</w:t>
      </w:r>
      <w:r w:rsidR="002B49EE" w:rsidRPr="00CE233A">
        <w:rPr>
          <w:lang w:val="el-GR"/>
        </w:rPr>
        <w:t>ου αποδεκτού αριθμού κυττάρων (</w:t>
      </w:r>
      <w:r w:rsidRPr="00CE233A">
        <w:sym w:font="Symbol" w:char="00B3"/>
      </w:r>
      <w:r w:rsidR="001A0795" w:rsidRPr="00CE233A">
        <w:t> </w:t>
      </w:r>
      <w:r w:rsidRPr="00CE233A">
        <w:rPr>
          <w:lang w:val="el-GR"/>
        </w:rPr>
        <w:t>2,0</w:t>
      </w:r>
      <w:r w:rsidRPr="00CE233A">
        <w:sym w:font="Symbol" w:char="00B4"/>
      </w:r>
      <w:r w:rsidRPr="00CE233A">
        <w:rPr>
          <w:lang w:val="el-GR"/>
        </w:rPr>
        <w:t>10</w:t>
      </w:r>
      <w:r w:rsidRPr="00CE233A">
        <w:rPr>
          <w:vertAlign w:val="superscript"/>
          <w:lang w:val="el-GR"/>
        </w:rPr>
        <w:t>6</w:t>
      </w:r>
      <w:r w:rsidR="001A0795" w:rsidRPr="00CE233A">
        <w:t> </w:t>
      </w:r>
      <w:r w:rsidRPr="00CE233A">
        <w:t>CD</w:t>
      </w:r>
      <w:r w:rsidRPr="00CE233A">
        <w:rPr>
          <w:lang w:val="el-GR"/>
        </w:rPr>
        <w:t>34</w:t>
      </w:r>
      <w:r w:rsidRPr="00CE233A">
        <w:rPr>
          <w:vertAlign w:val="superscript"/>
          <w:lang w:val="el-GR"/>
        </w:rPr>
        <w:t>+</w:t>
      </w:r>
      <w:r w:rsidRPr="00CE233A">
        <w:rPr>
          <w:lang w:val="el-GR"/>
        </w:rPr>
        <w:t xml:space="preserve"> κύτταρα ανά </w:t>
      </w:r>
      <w:r w:rsidRPr="00CE233A">
        <w:t>kg</w:t>
      </w:r>
      <w:r w:rsidRPr="00CE233A">
        <w:rPr>
          <w:lang w:val="el-GR"/>
        </w:rPr>
        <w:t>).</w:t>
      </w:r>
    </w:p>
    <w:p w:rsidR="001F5608" w:rsidRPr="00CE233A" w:rsidRDefault="001F5608" w:rsidP="00F15F4A">
      <w:pPr>
        <w:ind w:left="900"/>
        <w:rPr>
          <w:lang w:val="el-GR"/>
        </w:rPr>
      </w:pPr>
    </w:p>
    <w:p w:rsidR="001F5608" w:rsidRPr="00CE233A" w:rsidRDefault="001F5608" w:rsidP="00F15F4A">
      <w:pPr>
        <w:ind w:left="900"/>
        <w:rPr>
          <w:b/>
          <w:lang w:val="el-GR"/>
        </w:rPr>
      </w:pPr>
      <w:r w:rsidRPr="00CE233A">
        <w:rPr>
          <w:lang w:val="el-GR"/>
        </w:rPr>
        <w:t>Σε υγιείς δότες, ημερήσια δόση 10</w:t>
      </w:r>
      <w:r w:rsidR="001A0795" w:rsidRPr="00CE233A">
        <w:t> </w:t>
      </w:r>
      <w:r w:rsidRPr="00CE233A">
        <w:rPr>
          <w:lang w:val="el-GR"/>
        </w:rPr>
        <w:t>μ</w:t>
      </w:r>
      <w:r w:rsidRPr="00CE233A">
        <w:t>g</w:t>
      </w:r>
      <w:r w:rsidRPr="00CE233A">
        <w:rPr>
          <w:lang w:val="el-GR"/>
        </w:rPr>
        <w:t>/</w:t>
      </w:r>
      <w:r w:rsidRPr="00CE233A">
        <w:t>kg</w:t>
      </w:r>
      <w:r w:rsidRPr="00CE233A">
        <w:rPr>
          <w:lang w:val="el-GR"/>
        </w:rPr>
        <w:t xml:space="preserve"> χορηγούμενη υποδορίως για 5-6</w:t>
      </w:r>
      <w:r w:rsidR="001A0795" w:rsidRPr="00CE233A">
        <w:t> </w:t>
      </w:r>
      <w:r w:rsidRPr="00CE233A">
        <w:rPr>
          <w:lang w:val="el-GR"/>
        </w:rPr>
        <w:t xml:space="preserve">ημέρες, επιτρέπει τη συλλογή </w:t>
      </w:r>
      <w:r w:rsidRPr="00CE233A">
        <w:sym w:font="Symbol" w:char="00B3"/>
      </w:r>
      <w:r w:rsidR="001A0795" w:rsidRPr="00CE233A">
        <w:t> </w:t>
      </w:r>
      <w:r w:rsidRPr="00CE233A">
        <w:rPr>
          <w:lang w:val="el-GR"/>
        </w:rPr>
        <w:t>3</w:t>
      </w:r>
      <w:r w:rsidR="001A0795" w:rsidRPr="00CE233A">
        <w:t> </w:t>
      </w:r>
      <w:r w:rsidRPr="00CE233A">
        <w:t>x</w:t>
      </w:r>
      <w:r w:rsidR="001A0795" w:rsidRPr="00CE233A">
        <w:t> </w:t>
      </w:r>
      <w:r w:rsidRPr="00CE233A">
        <w:rPr>
          <w:lang w:val="el-GR"/>
        </w:rPr>
        <w:t>10</w:t>
      </w:r>
      <w:r w:rsidRPr="00CE233A">
        <w:rPr>
          <w:vertAlign w:val="superscript"/>
          <w:lang w:val="el-GR"/>
        </w:rPr>
        <w:t>6</w:t>
      </w:r>
      <w:r w:rsidR="001A0795" w:rsidRPr="00CE233A">
        <w:t> </w:t>
      </w:r>
      <w:r w:rsidRPr="00CE233A">
        <w:rPr>
          <w:lang w:val="el-GR"/>
        </w:rPr>
        <w:t>/</w:t>
      </w:r>
      <w:r w:rsidRPr="00CE233A">
        <w:t>kg</w:t>
      </w:r>
      <w:r w:rsidRPr="00CE233A">
        <w:rPr>
          <w:lang w:val="el-GR"/>
        </w:rPr>
        <w:t xml:space="preserve"> σωματικού βάρους </w:t>
      </w:r>
      <w:r w:rsidRPr="00CE233A">
        <w:t>CD</w:t>
      </w:r>
      <w:r w:rsidRPr="00CE233A">
        <w:rPr>
          <w:lang w:val="el-GR"/>
        </w:rPr>
        <w:t>34</w:t>
      </w:r>
      <w:r w:rsidRPr="00CE233A">
        <w:rPr>
          <w:vertAlign w:val="superscript"/>
          <w:lang w:val="el-GR"/>
        </w:rPr>
        <w:t>+</w:t>
      </w:r>
      <w:r w:rsidRPr="00CE233A">
        <w:rPr>
          <w:lang w:val="el-GR"/>
        </w:rPr>
        <w:t xml:space="preserve"> κυττάρων, με μια μόνο λευκαφαίρεση στο 83% των δοτών, και </w:t>
      </w:r>
      <w:r w:rsidR="003D2A36" w:rsidRPr="00CE233A">
        <w:rPr>
          <w:lang w:val="el-GR"/>
        </w:rPr>
        <w:t xml:space="preserve">με δύο λευκαφαιρέσεις </w:t>
      </w:r>
      <w:r w:rsidRPr="00CE233A">
        <w:rPr>
          <w:lang w:val="el-GR"/>
        </w:rPr>
        <w:t>στο 97%.</w:t>
      </w:r>
    </w:p>
    <w:p w:rsidR="001F5608" w:rsidRPr="00CE233A" w:rsidRDefault="001F5608" w:rsidP="00F15F4A">
      <w:pPr>
        <w:ind w:left="900"/>
        <w:rPr>
          <w:lang w:val="el-GR"/>
        </w:rPr>
      </w:pPr>
    </w:p>
    <w:p w:rsidR="001F5608" w:rsidRPr="00CE233A" w:rsidRDefault="001F5608" w:rsidP="00840A76">
      <w:pPr>
        <w:ind w:left="567" w:hanging="27"/>
        <w:rPr>
          <w:lang w:val="el-GR"/>
        </w:rPr>
      </w:pPr>
      <w:r w:rsidRPr="00CE233A">
        <w:rPr>
          <w:iCs/>
          <w:lang w:val="el-GR"/>
        </w:rPr>
        <w:t>4.2.2 Ηλικιωμένοι</w:t>
      </w:r>
    </w:p>
    <w:p w:rsidR="001F5608" w:rsidRPr="00CE233A" w:rsidRDefault="001F5608" w:rsidP="00840A76">
      <w:pPr>
        <w:ind w:left="567"/>
        <w:rPr>
          <w:lang w:val="el-GR"/>
        </w:rPr>
      </w:pPr>
    </w:p>
    <w:p w:rsidR="001F5608" w:rsidRPr="00CE233A" w:rsidRDefault="001F5608" w:rsidP="00F15F4A">
      <w:pPr>
        <w:ind w:left="900"/>
        <w:rPr>
          <w:lang w:val="el-GR"/>
        </w:rPr>
      </w:pPr>
      <w:r w:rsidRPr="00CE233A">
        <w:rPr>
          <w:lang w:val="el-GR"/>
        </w:rPr>
        <w:lastRenderedPageBreak/>
        <w:t xml:space="preserve">Κλινικές δοκιμές με </w:t>
      </w:r>
      <w:r w:rsidRPr="00CE233A">
        <w:t>GRANOCYTE</w:t>
      </w:r>
      <w:r w:rsidRPr="00CE233A">
        <w:rPr>
          <w:lang w:val="el-GR"/>
        </w:rPr>
        <w:t xml:space="preserve"> συμπεριέλαβαν μικρό αριθμό ασθενών, ηλικίας έως 70</w:t>
      </w:r>
      <w:r w:rsidR="001A0795" w:rsidRPr="00CE233A">
        <w:t> </w:t>
      </w:r>
      <w:r w:rsidRPr="00CE233A">
        <w:rPr>
          <w:lang w:val="el-GR"/>
        </w:rPr>
        <w:t>ετών, αλλά δεν έχουν πραγματοποιηθεί ειδικές μελέτες στους ηλικιωμένους και συνεπώς, δεν μπορούν να γίνουν ειδικές προτάσεις για τη δοσολογία.</w:t>
      </w:r>
    </w:p>
    <w:p w:rsidR="001F5608" w:rsidRPr="00CE233A" w:rsidRDefault="001F5608" w:rsidP="00840A76">
      <w:pPr>
        <w:rPr>
          <w:lang w:val="el-GR"/>
        </w:rPr>
      </w:pPr>
    </w:p>
    <w:p w:rsidR="001F5608" w:rsidRPr="00CE233A" w:rsidRDefault="001F5608" w:rsidP="00840A76">
      <w:pPr>
        <w:ind w:firstLine="540"/>
        <w:rPr>
          <w:iCs/>
          <w:lang w:val="el-GR"/>
        </w:rPr>
      </w:pPr>
      <w:r w:rsidRPr="00CE233A">
        <w:rPr>
          <w:iCs/>
          <w:lang w:val="el-GR"/>
        </w:rPr>
        <w:t>4.2.3 Παιδιά</w:t>
      </w:r>
    </w:p>
    <w:p w:rsidR="001F5608" w:rsidRPr="00CE233A" w:rsidRDefault="001F5608" w:rsidP="00840A76">
      <w:pPr>
        <w:ind w:left="540"/>
        <w:rPr>
          <w:lang w:val="el-GR"/>
        </w:rPr>
      </w:pPr>
    </w:p>
    <w:p w:rsidR="009004D8" w:rsidRPr="00CE233A" w:rsidRDefault="009004D8" w:rsidP="009004D8">
      <w:pPr>
        <w:ind w:left="900"/>
        <w:rPr>
          <w:lang w:val="el-GR"/>
        </w:rPr>
      </w:pPr>
      <w:r w:rsidRPr="00CE233A">
        <w:rPr>
          <w:lang w:val="el-GR"/>
        </w:rPr>
        <w:t>Η δόση σε παιδιά μεγαλύτερα των 2 ετών και στους εφήβους είναι η ίδια με των ενηλίκων όταν χρησιμοποιείται για να μειώσει τη διάρκεια της ουδετεροπενίας μετά από θεραπεία αφαίρεσης μυελού που ακολουθείται από μεταμόσχευση μυελού των οστών ή μετά από κυτταροτοξική χημειοθεραπεία.</w:t>
      </w:r>
    </w:p>
    <w:p w:rsidR="009004D8" w:rsidRPr="00CE233A" w:rsidRDefault="009004D8" w:rsidP="009004D8">
      <w:pPr>
        <w:ind w:left="900"/>
        <w:rPr>
          <w:iCs/>
          <w:lang w:val="el-GR"/>
        </w:rPr>
      </w:pPr>
      <w:r w:rsidRPr="00CE233A">
        <w:rPr>
          <w:lang w:val="el-GR"/>
        </w:rPr>
        <w:t xml:space="preserve">Πολύ περιορισμένα δεδομένα είναι διαθέσιμα για την κινητοποίηση των </w:t>
      </w:r>
      <w:r w:rsidRPr="00CE233A">
        <w:rPr>
          <w:iCs/>
          <w:lang w:val="el-GR"/>
        </w:rPr>
        <w:t>αρχέγονων κυττάρων περιφερικού αίματος στη δόση των ενηλίκων.</w:t>
      </w:r>
    </w:p>
    <w:p w:rsidR="009004D8" w:rsidRPr="00CE233A" w:rsidRDefault="009004D8" w:rsidP="009004D8">
      <w:pPr>
        <w:ind w:left="900"/>
        <w:rPr>
          <w:iCs/>
          <w:lang w:val="el-GR"/>
        </w:rPr>
      </w:pPr>
      <w:r w:rsidRPr="00CE233A">
        <w:rPr>
          <w:iCs/>
          <w:lang w:val="el-GR"/>
        </w:rPr>
        <w:t xml:space="preserve">Η ασφάλεια και η αποτελεσματικότητα του </w:t>
      </w:r>
      <w:proofErr w:type="spellStart"/>
      <w:r w:rsidRPr="00CE233A">
        <w:rPr>
          <w:iCs/>
        </w:rPr>
        <w:t>Granocyte</w:t>
      </w:r>
      <w:proofErr w:type="spellEnd"/>
      <w:r w:rsidRPr="00CE233A">
        <w:rPr>
          <w:iCs/>
          <w:lang w:val="el-GR"/>
        </w:rPr>
        <w:t xml:space="preserve"> σε παιδιά μικρότερα των 2 ετών δεν έχουν τεκμηριωθεί.</w:t>
      </w:r>
    </w:p>
    <w:p w:rsidR="009004D8" w:rsidRPr="00CE233A" w:rsidRDefault="009004D8" w:rsidP="009004D8">
      <w:pPr>
        <w:ind w:left="900"/>
        <w:rPr>
          <w:iCs/>
          <w:lang w:val="el-GR"/>
        </w:rPr>
      </w:pPr>
      <w:r w:rsidRPr="00CE233A">
        <w:rPr>
          <w:iCs/>
          <w:lang w:val="el-GR"/>
        </w:rPr>
        <w:t xml:space="preserve">Το </w:t>
      </w:r>
      <w:r w:rsidRPr="00CE233A">
        <w:rPr>
          <w:iCs/>
          <w:caps/>
        </w:rPr>
        <w:t>Granocyte</w:t>
      </w:r>
      <w:r w:rsidRPr="00CE233A">
        <w:rPr>
          <w:iCs/>
          <w:lang w:val="el-GR"/>
        </w:rPr>
        <w:t xml:space="preserve"> 13 εκατομμύρια </w:t>
      </w:r>
      <w:r w:rsidRPr="00CE233A">
        <w:rPr>
          <w:iCs/>
        </w:rPr>
        <w:t>IU</w:t>
      </w:r>
      <w:r w:rsidRPr="00CE233A">
        <w:rPr>
          <w:iCs/>
          <w:lang w:val="el-GR"/>
        </w:rPr>
        <w:t>/</w:t>
      </w:r>
      <w:proofErr w:type="spellStart"/>
      <w:r w:rsidRPr="00CE233A">
        <w:rPr>
          <w:iCs/>
        </w:rPr>
        <w:t>mL</w:t>
      </w:r>
      <w:proofErr w:type="spellEnd"/>
      <w:r w:rsidRPr="00CE233A">
        <w:rPr>
          <w:iCs/>
          <w:lang w:val="el-GR"/>
        </w:rPr>
        <w:t xml:space="preserve"> πιθανώς να είναι η πιο κατάλληλη δοσολογία για χορήγηση σε παιδιά με επιφάνεια σώματος έως και 0,7 </w:t>
      </w:r>
      <w:r w:rsidRPr="00CE233A">
        <w:rPr>
          <w:iCs/>
        </w:rPr>
        <w:t>m</w:t>
      </w:r>
      <w:r w:rsidRPr="00CE233A">
        <w:rPr>
          <w:iCs/>
          <w:vertAlign w:val="superscript"/>
          <w:lang w:val="el-GR"/>
        </w:rPr>
        <w:t>2</w:t>
      </w:r>
      <w:r w:rsidRPr="00CE233A">
        <w:rPr>
          <w:iCs/>
          <w:lang w:val="el-GR"/>
        </w:rPr>
        <w:t>.</w:t>
      </w:r>
    </w:p>
    <w:p w:rsidR="001F5608" w:rsidRPr="00CE233A" w:rsidRDefault="001F5608" w:rsidP="009004D8">
      <w:pPr>
        <w:ind w:left="900"/>
        <w:rPr>
          <w:lang w:val="el-GR"/>
        </w:rPr>
      </w:pPr>
    </w:p>
    <w:p w:rsidR="001F5608" w:rsidRPr="00CE233A" w:rsidRDefault="001F5608" w:rsidP="00840A76">
      <w:pPr>
        <w:rPr>
          <w:lang w:val="el-GR"/>
        </w:rPr>
      </w:pPr>
    </w:p>
    <w:p w:rsidR="001F5608" w:rsidRPr="00CE233A" w:rsidRDefault="001F5608" w:rsidP="00840A76">
      <w:pPr>
        <w:ind w:left="426" w:hanging="426"/>
        <w:rPr>
          <w:lang w:val="el-GR"/>
        </w:rPr>
      </w:pPr>
      <w:r w:rsidRPr="00CE233A">
        <w:rPr>
          <w:b/>
          <w:lang w:val="el-GR"/>
        </w:rPr>
        <w:t>4.3</w:t>
      </w:r>
      <w:r w:rsidRPr="00CE233A">
        <w:rPr>
          <w:b/>
          <w:lang w:val="el-GR"/>
        </w:rPr>
        <w:tab/>
        <w:t>Αντενδείξεις</w:t>
      </w:r>
    </w:p>
    <w:p w:rsidR="001F5608" w:rsidRPr="00CE233A" w:rsidRDefault="001F5608" w:rsidP="00840A76">
      <w:pPr>
        <w:rPr>
          <w:lang w:val="el-GR"/>
        </w:rPr>
      </w:pPr>
    </w:p>
    <w:p w:rsidR="001F5608" w:rsidRPr="00CE233A" w:rsidRDefault="001F5608" w:rsidP="00840A76">
      <w:pPr>
        <w:ind w:left="426"/>
        <w:rPr>
          <w:lang w:val="el-GR"/>
        </w:rPr>
      </w:pPr>
      <w:r w:rsidRPr="00CE233A">
        <w:rPr>
          <w:lang w:val="el-GR"/>
        </w:rPr>
        <w:t xml:space="preserve">Το </w:t>
      </w:r>
      <w:r w:rsidRPr="00CE233A">
        <w:t>GRANOCYTE</w:t>
      </w:r>
      <w:r w:rsidRPr="00CE233A">
        <w:rPr>
          <w:lang w:val="el-GR"/>
        </w:rPr>
        <w:t xml:space="preserve"> δεν πρέπει να χορηγείται σε ασθενείς με γνωστή υπερευαισθησία </w:t>
      </w:r>
      <w:r w:rsidR="007D27B5" w:rsidRPr="00CE233A">
        <w:rPr>
          <w:lang w:val="el-GR"/>
        </w:rPr>
        <w:t xml:space="preserve">στη </w:t>
      </w:r>
      <w:r w:rsidR="00287CEE" w:rsidRPr="00CE233A">
        <w:rPr>
          <w:lang w:val="el-GR"/>
        </w:rPr>
        <w:t>λενογραστίμη</w:t>
      </w:r>
      <w:r w:rsidR="007D27B5" w:rsidRPr="00CE233A">
        <w:rPr>
          <w:lang w:val="el-GR"/>
        </w:rPr>
        <w:t xml:space="preserve"> </w:t>
      </w:r>
      <w:r w:rsidRPr="00CE233A">
        <w:rPr>
          <w:lang w:val="el-GR"/>
        </w:rPr>
        <w:t xml:space="preserve">ή </w:t>
      </w:r>
      <w:r w:rsidR="007D27B5" w:rsidRPr="00CE233A">
        <w:rPr>
          <w:lang w:val="el-GR"/>
        </w:rPr>
        <w:t>σε κάποιο από τα έκδοχα</w:t>
      </w:r>
      <w:r w:rsidRPr="00CE233A">
        <w:rPr>
          <w:lang w:val="el-GR"/>
        </w:rPr>
        <w:t>.</w:t>
      </w:r>
      <w:r w:rsidR="004068BD" w:rsidRPr="00CE233A">
        <w:rPr>
          <w:lang w:val="el-GR"/>
        </w:rPr>
        <w:t xml:space="preserve"> (βλ. παράγραφο 4.4).</w:t>
      </w:r>
    </w:p>
    <w:p w:rsidR="001F5608" w:rsidRPr="00CE233A" w:rsidRDefault="001F5608" w:rsidP="00840A76">
      <w:pPr>
        <w:ind w:left="426"/>
        <w:rPr>
          <w:lang w:val="el-GR"/>
        </w:rPr>
      </w:pPr>
    </w:p>
    <w:p w:rsidR="001F5608" w:rsidRPr="00CE233A" w:rsidRDefault="001F5608" w:rsidP="00840A76">
      <w:pPr>
        <w:ind w:left="426"/>
        <w:rPr>
          <w:lang w:val="el-GR"/>
        </w:rPr>
      </w:pPr>
      <w:proofErr w:type="gramStart"/>
      <w:r w:rsidRPr="00CE233A">
        <w:t>To</w:t>
      </w:r>
      <w:r w:rsidRPr="00CE233A">
        <w:rPr>
          <w:lang w:val="el-GR"/>
        </w:rPr>
        <w:t xml:space="preserve"> </w:t>
      </w:r>
      <w:r w:rsidRPr="00CE233A">
        <w:t>GRANOCYTE</w:t>
      </w:r>
      <w:r w:rsidRPr="00CE233A">
        <w:rPr>
          <w:lang w:val="el-GR"/>
        </w:rPr>
        <w:t xml:space="preserve"> δεν πρέπει να χρησιμοποιείται για την αύξηση της έκτασης της κυτταροτοξικής χημειοθεραπείας πέρα από την καθιερωμένη δόση και τα καθιερωμένα δοσολογικά σχήματα, εφόσον το φάρμακο μπορεί να μειώσει τη μυελοτοξικότητα αλλά όχι τη συνολική τοξικότητα των κυτταροτοξικών φαρμάκων.</w:t>
      </w:r>
      <w:proofErr w:type="gramEnd"/>
    </w:p>
    <w:p w:rsidR="001F5608" w:rsidRPr="00CE233A" w:rsidRDefault="001F5608" w:rsidP="00840A76">
      <w:pPr>
        <w:ind w:left="426"/>
        <w:rPr>
          <w:lang w:val="el-GR"/>
        </w:rPr>
      </w:pPr>
    </w:p>
    <w:p w:rsidR="001F5608" w:rsidRPr="00CE233A" w:rsidRDefault="00DF3C45" w:rsidP="00840A76">
      <w:pPr>
        <w:ind w:left="426"/>
        <w:rPr>
          <w:lang w:val="el-GR"/>
        </w:rPr>
      </w:pPr>
      <w:r w:rsidRPr="00CE233A">
        <w:rPr>
          <w:lang w:val="el-GR"/>
        </w:rPr>
        <w:t>Δ</w:t>
      </w:r>
      <w:r w:rsidR="001F5608" w:rsidRPr="00CE233A">
        <w:rPr>
          <w:lang w:val="el-GR"/>
        </w:rPr>
        <w:t>εν πρέπει να χορηγείται ταυτόχρονα με κυτταροτοξική χημειοθεραπεία.</w:t>
      </w:r>
    </w:p>
    <w:p w:rsidR="001F5608" w:rsidRPr="00CE233A" w:rsidRDefault="001F5608" w:rsidP="00840A76">
      <w:pPr>
        <w:ind w:left="426"/>
        <w:rPr>
          <w:lang w:val="el-GR"/>
        </w:rPr>
      </w:pPr>
    </w:p>
    <w:p w:rsidR="001F5608" w:rsidRPr="00CE233A" w:rsidRDefault="00DF3C45" w:rsidP="00840A76">
      <w:pPr>
        <w:ind w:left="426"/>
        <w:rPr>
          <w:lang w:val="el-GR"/>
        </w:rPr>
      </w:pPr>
      <w:r w:rsidRPr="00CE233A">
        <w:rPr>
          <w:lang w:val="el-GR"/>
        </w:rPr>
        <w:t>Δ</w:t>
      </w:r>
      <w:r w:rsidR="001F5608" w:rsidRPr="00CE233A">
        <w:rPr>
          <w:lang w:val="el-GR"/>
        </w:rPr>
        <w:t>εν πρέπει να χορηγείται σε ασθενείς με:</w:t>
      </w:r>
    </w:p>
    <w:p w:rsidR="001F5608" w:rsidRPr="00CE233A" w:rsidRDefault="00500B03" w:rsidP="00840A76">
      <w:pPr>
        <w:numPr>
          <w:ilvl w:val="0"/>
          <w:numId w:val="24"/>
        </w:numPr>
        <w:tabs>
          <w:tab w:val="clear" w:pos="1146"/>
          <w:tab w:val="num" w:pos="900"/>
        </w:tabs>
        <w:ind w:hanging="606"/>
        <w:rPr>
          <w:lang w:val="el-GR"/>
        </w:rPr>
      </w:pPr>
      <w:r w:rsidRPr="00CE233A">
        <w:rPr>
          <w:lang w:val="el-GR"/>
        </w:rPr>
        <w:t>μ</w:t>
      </w:r>
      <w:r w:rsidR="001F5608" w:rsidRPr="00CE233A">
        <w:rPr>
          <w:lang w:val="el-GR"/>
        </w:rPr>
        <w:t>υελ</w:t>
      </w:r>
      <w:r w:rsidR="00FB4591" w:rsidRPr="00CE233A">
        <w:rPr>
          <w:lang w:val="el-GR"/>
        </w:rPr>
        <w:t>οειδ</w:t>
      </w:r>
      <w:r w:rsidR="001F5608" w:rsidRPr="00CE233A">
        <w:rPr>
          <w:lang w:val="el-GR"/>
        </w:rPr>
        <w:t xml:space="preserve">ή κακοήθεια πέραν της </w:t>
      </w:r>
      <w:r w:rsidR="001F5608" w:rsidRPr="00CE233A">
        <w:rPr>
          <w:i/>
        </w:rPr>
        <w:t>de</w:t>
      </w:r>
      <w:r w:rsidR="001F5608" w:rsidRPr="00CE233A">
        <w:rPr>
          <w:i/>
          <w:lang w:val="el-GR"/>
        </w:rPr>
        <w:t xml:space="preserve"> </w:t>
      </w:r>
      <w:r w:rsidR="001F5608" w:rsidRPr="00CE233A">
        <w:rPr>
          <w:i/>
        </w:rPr>
        <w:t>novo</w:t>
      </w:r>
      <w:r w:rsidR="008B31E9" w:rsidRPr="00CE233A">
        <w:rPr>
          <w:lang w:val="el-GR"/>
        </w:rPr>
        <w:t xml:space="preserve"> οξείας </w:t>
      </w:r>
      <w:r w:rsidR="0019750C" w:rsidRPr="00CE233A">
        <w:rPr>
          <w:lang w:val="el-GR"/>
        </w:rPr>
        <w:t xml:space="preserve">μυελοειδούς </w:t>
      </w:r>
      <w:r w:rsidR="008B31E9" w:rsidRPr="00CE233A">
        <w:rPr>
          <w:lang w:val="el-GR"/>
        </w:rPr>
        <w:t>λευχαιμίας</w:t>
      </w:r>
    </w:p>
    <w:p w:rsidR="001F5608" w:rsidRPr="00CE233A" w:rsidRDefault="001F5608" w:rsidP="00840A76">
      <w:pPr>
        <w:numPr>
          <w:ilvl w:val="0"/>
          <w:numId w:val="24"/>
        </w:numPr>
        <w:tabs>
          <w:tab w:val="clear" w:pos="1146"/>
        </w:tabs>
        <w:ind w:left="900"/>
        <w:rPr>
          <w:lang w:val="el-GR"/>
        </w:rPr>
      </w:pPr>
      <w:r w:rsidRPr="00CE233A">
        <w:rPr>
          <w:i/>
          <w:lang w:val="el-GR"/>
        </w:rPr>
        <w:t xml:space="preserve">  </w:t>
      </w:r>
      <w:r w:rsidR="00CA01C2" w:rsidRPr="00CE233A">
        <w:rPr>
          <w:i/>
          <w:lang w:val="el-GR"/>
        </w:rPr>
        <w:t xml:space="preserve"> </w:t>
      </w:r>
      <w:r w:rsidR="00DF3C45" w:rsidRPr="00CE233A">
        <w:rPr>
          <w:i/>
        </w:rPr>
        <w:t>d</w:t>
      </w:r>
      <w:r w:rsidRPr="00CE233A">
        <w:rPr>
          <w:i/>
        </w:rPr>
        <w:t>e</w:t>
      </w:r>
      <w:r w:rsidRPr="00CE233A">
        <w:rPr>
          <w:i/>
          <w:lang w:val="el-GR"/>
        </w:rPr>
        <w:t xml:space="preserve"> </w:t>
      </w:r>
      <w:r w:rsidRPr="00CE233A">
        <w:rPr>
          <w:i/>
        </w:rPr>
        <w:t>novo</w:t>
      </w:r>
      <w:r w:rsidRPr="00CE233A">
        <w:rPr>
          <w:lang w:val="el-GR"/>
        </w:rPr>
        <w:t xml:space="preserve"> οξεία </w:t>
      </w:r>
      <w:r w:rsidR="005A40BA" w:rsidRPr="00CE233A">
        <w:rPr>
          <w:lang w:val="el-GR"/>
        </w:rPr>
        <w:t xml:space="preserve">μυελοειδή </w:t>
      </w:r>
      <w:r w:rsidRPr="00CE233A">
        <w:rPr>
          <w:lang w:val="el-GR"/>
        </w:rPr>
        <w:t>λευχαιμία, σε άτομα ηλικίας μικρότερης των 55 ετών και/ή</w:t>
      </w:r>
    </w:p>
    <w:p w:rsidR="001F5608" w:rsidRPr="00CE233A" w:rsidRDefault="00DF3C45" w:rsidP="00840A76">
      <w:pPr>
        <w:numPr>
          <w:ilvl w:val="0"/>
          <w:numId w:val="24"/>
        </w:numPr>
        <w:tabs>
          <w:tab w:val="clear" w:pos="1146"/>
          <w:tab w:val="num" w:pos="900"/>
        </w:tabs>
        <w:ind w:left="900"/>
        <w:rPr>
          <w:lang w:val="el-GR"/>
        </w:rPr>
      </w:pPr>
      <w:r w:rsidRPr="00CE233A">
        <w:rPr>
          <w:i/>
        </w:rPr>
        <w:t>d</w:t>
      </w:r>
      <w:r w:rsidR="001F5608" w:rsidRPr="00CE233A">
        <w:rPr>
          <w:i/>
        </w:rPr>
        <w:t>e</w:t>
      </w:r>
      <w:r w:rsidR="001F5608" w:rsidRPr="00CE233A">
        <w:rPr>
          <w:i/>
          <w:lang w:val="el-GR"/>
        </w:rPr>
        <w:t xml:space="preserve"> </w:t>
      </w:r>
      <w:r w:rsidR="001F5608" w:rsidRPr="00CE233A">
        <w:rPr>
          <w:i/>
        </w:rPr>
        <w:t>novo</w:t>
      </w:r>
      <w:r w:rsidR="001F5608" w:rsidRPr="00CE233A">
        <w:rPr>
          <w:lang w:val="el-GR"/>
        </w:rPr>
        <w:t xml:space="preserve"> οξεία </w:t>
      </w:r>
      <w:r w:rsidR="005A40BA" w:rsidRPr="00CE233A">
        <w:rPr>
          <w:lang w:val="el-GR"/>
        </w:rPr>
        <w:t xml:space="preserve">μυελοειδή </w:t>
      </w:r>
      <w:r w:rsidR="001F5608" w:rsidRPr="00CE233A">
        <w:rPr>
          <w:lang w:val="el-GR"/>
        </w:rPr>
        <w:t xml:space="preserve">λευχαιμία με καλό κυτταρογενετικό προφίλ, δηλαδή </w:t>
      </w:r>
      <w:r w:rsidR="001F5608" w:rsidRPr="00CE233A">
        <w:t>t</w:t>
      </w:r>
      <w:r w:rsidR="001F5608" w:rsidRPr="00CE233A">
        <w:rPr>
          <w:lang w:val="el-GR"/>
        </w:rPr>
        <w:t>(8</w:t>
      </w:r>
      <w:r w:rsidR="008B31E9" w:rsidRPr="00CE233A">
        <w:rPr>
          <w:lang w:val="el-GR"/>
        </w:rPr>
        <w:t xml:space="preserve"> </w:t>
      </w:r>
      <w:r w:rsidR="001F5608" w:rsidRPr="00CE233A">
        <w:rPr>
          <w:lang w:val="el-GR"/>
        </w:rPr>
        <w:t xml:space="preserve">;21), </w:t>
      </w:r>
      <w:r w:rsidR="001F5608" w:rsidRPr="00CE233A">
        <w:t>t</w:t>
      </w:r>
      <w:r w:rsidR="001F5608" w:rsidRPr="00CE233A">
        <w:rPr>
          <w:lang w:val="el-GR"/>
        </w:rPr>
        <w:t xml:space="preserve">(15 ;17) και </w:t>
      </w:r>
      <w:r w:rsidR="001F5608" w:rsidRPr="00CE233A">
        <w:t>inv</w:t>
      </w:r>
      <w:r w:rsidR="001F5608" w:rsidRPr="00CE233A">
        <w:rPr>
          <w:lang w:val="el-GR"/>
        </w:rPr>
        <w:t xml:space="preserve"> (16)</w:t>
      </w:r>
    </w:p>
    <w:p w:rsidR="001F5608" w:rsidRPr="00CE233A" w:rsidRDefault="001F5608" w:rsidP="00840A76">
      <w:pPr>
        <w:ind w:left="426"/>
        <w:rPr>
          <w:lang w:val="el-GR"/>
        </w:rPr>
      </w:pPr>
    </w:p>
    <w:p w:rsidR="001F5608" w:rsidRPr="00CE233A" w:rsidRDefault="001F5608" w:rsidP="00840A76">
      <w:pPr>
        <w:ind w:left="426" w:hanging="426"/>
        <w:rPr>
          <w:b/>
          <w:lang w:val="el-GR"/>
        </w:rPr>
      </w:pPr>
      <w:r w:rsidRPr="00CE233A">
        <w:rPr>
          <w:b/>
          <w:lang w:val="el-GR"/>
        </w:rPr>
        <w:t>4.4</w:t>
      </w:r>
      <w:r w:rsidRPr="00CE233A">
        <w:rPr>
          <w:b/>
          <w:lang w:val="el-GR"/>
        </w:rPr>
        <w:tab/>
      </w:r>
      <w:r w:rsidR="001319C7" w:rsidRPr="00CE233A">
        <w:rPr>
          <w:b/>
          <w:lang w:val="el-GR"/>
        </w:rPr>
        <w:t xml:space="preserve">Ειδικές </w:t>
      </w:r>
      <w:r w:rsidRPr="00CE233A">
        <w:rPr>
          <w:b/>
          <w:lang w:val="el-GR"/>
        </w:rPr>
        <w:t>προειδοποιήσεις και προφυλάξεις κατά τη χρήση</w:t>
      </w:r>
    </w:p>
    <w:p w:rsidR="001F5608" w:rsidRPr="00CE233A" w:rsidRDefault="001F5608" w:rsidP="00840A76">
      <w:pPr>
        <w:rPr>
          <w:lang w:val="el-GR"/>
        </w:rPr>
      </w:pPr>
    </w:p>
    <w:p w:rsidR="001F5608" w:rsidRPr="00CE233A" w:rsidRDefault="001F5608" w:rsidP="00CE233A">
      <w:pPr>
        <w:numPr>
          <w:ilvl w:val="0"/>
          <w:numId w:val="4"/>
        </w:numPr>
        <w:ind w:left="567"/>
        <w:rPr>
          <w:b/>
          <w:lang w:val="el-GR"/>
        </w:rPr>
      </w:pPr>
      <w:r w:rsidRPr="00CE233A">
        <w:rPr>
          <w:lang w:val="el-GR"/>
        </w:rPr>
        <w:t>Κακοήθης κυτταρική ανάπτυξη</w:t>
      </w:r>
    </w:p>
    <w:p w:rsidR="001F5608" w:rsidRPr="00CE233A" w:rsidRDefault="001F5608" w:rsidP="00840A76">
      <w:pPr>
        <w:ind w:left="426" w:hanging="426"/>
        <w:rPr>
          <w:lang w:val="el-GR"/>
        </w:rPr>
      </w:pPr>
    </w:p>
    <w:p w:rsidR="001F5608" w:rsidRPr="00CE233A" w:rsidRDefault="001F5608" w:rsidP="00971B3E">
      <w:pPr>
        <w:ind w:left="720" w:hanging="246"/>
        <w:rPr>
          <w:lang w:val="el-GR"/>
        </w:rPr>
      </w:pPr>
      <w:r w:rsidRPr="00CE233A">
        <w:rPr>
          <w:lang w:val="el-GR"/>
        </w:rPr>
        <w:tab/>
        <w:t xml:space="preserve">Ο παράγοντας διέγερσης αποικιών κοκκιοκυττάρων μπορεί να προάγει την ανάπτυξη των μυελικών κυττάρων </w:t>
      </w:r>
      <w:r w:rsidRPr="00CE233A">
        <w:rPr>
          <w:i/>
          <w:iCs/>
        </w:rPr>
        <w:t>in</w:t>
      </w:r>
      <w:r w:rsidRPr="00CE233A">
        <w:rPr>
          <w:i/>
          <w:iCs/>
          <w:lang w:val="el-GR"/>
        </w:rPr>
        <w:t xml:space="preserve"> </w:t>
      </w:r>
      <w:r w:rsidRPr="00CE233A">
        <w:rPr>
          <w:i/>
          <w:iCs/>
        </w:rPr>
        <w:t>vitro</w:t>
      </w:r>
      <w:r w:rsidRPr="00CE233A">
        <w:rPr>
          <w:lang w:val="el-GR"/>
        </w:rPr>
        <w:t xml:space="preserve"> και παρόμοια αποτελέσματα μπορούν να παρατηρηθούν σε ορισμένα μη</w:t>
      </w:r>
      <w:r w:rsidR="00717E26" w:rsidRPr="00CE233A">
        <w:rPr>
          <w:lang w:val="el-GR"/>
        </w:rPr>
        <w:t xml:space="preserve"> </w:t>
      </w:r>
      <w:r w:rsidRPr="00CE233A">
        <w:rPr>
          <w:lang w:val="el-GR"/>
        </w:rPr>
        <w:t xml:space="preserve">μυελικά κύτταρα </w:t>
      </w:r>
      <w:r w:rsidRPr="00CE233A">
        <w:rPr>
          <w:i/>
          <w:iCs/>
        </w:rPr>
        <w:t>in</w:t>
      </w:r>
      <w:r w:rsidRPr="00CE233A">
        <w:rPr>
          <w:i/>
          <w:iCs/>
          <w:lang w:val="el-GR"/>
        </w:rPr>
        <w:t xml:space="preserve"> </w:t>
      </w:r>
      <w:r w:rsidRPr="00CE233A">
        <w:rPr>
          <w:i/>
          <w:iCs/>
        </w:rPr>
        <w:t>vitro</w:t>
      </w:r>
      <w:r w:rsidRPr="00CE233A">
        <w:rPr>
          <w:lang w:val="el-GR"/>
        </w:rPr>
        <w:t>.</w:t>
      </w:r>
    </w:p>
    <w:p w:rsidR="001F5608" w:rsidRPr="00CE233A" w:rsidRDefault="001F5608" w:rsidP="00971B3E">
      <w:pPr>
        <w:ind w:left="720" w:hanging="246"/>
        <w:rPr>
          <w:lang w:val="el-GR"/>
        </w:rPr>
      </w:pPr>
    </w:p>
    <w:p w:rsidR="001F5608" w:rsidRPr="00CE233A" w:rsidRDefault="001F5608" w:rsidP="00971B3E">
      <w:pPr>
        <w:ind w:left="720" w:hanging="246"/>
        <w:rPr>
          <w:u w:val="single"/>
          <w:lang w:val="el-GR"/>
        </w:rPr>
      </w:pPr>
      <w:r w:rsidRPr="00CE233A">
        <w:rPr>
          <w:lang w:val="el-GR"/>
        </w:rPr>
        <w:tab/>
        <w:t xml:space="preserve">Η ασφάλεια και η αποτελεσματικότητα της χορήγησης του </w:t>
      </w:r>
      <w:r w:rsidRPr="00CE233A">
        <w:t>GRANOCYTE</w:t>
      </w:r>
      <w:r w:rsidRPr="00CE233A">
        <w:rPr>
          <w:lang w:val="el-GR"/>
        </w:rPr>
        <w:t xml:space="preserve"> σε ασθενείς με μυελοδυσπλαστικά σύνδρομα ή δευτεροπαθή οξεία </w:t>
      </w:r>
      <w:r w:rsidR="00D63903" w:rsidRPr="00CE233A">
        <w:rPr>
          <w:lang w:val="el-GR"/>
        </w:rPr>
        <w:t xml:space="preserve">μυελοειδή </w:t>
      </w:r>
      <w:r w:rsidRPr="00CE233A">
        <w:rPr>
          <w:lang w:val="el-GR"/>
        </w:rPr>
        <w:t xml:space="preserve">λευχαιμία ή χρόνια </w:t>
      </w:r>
      <w:r w:rsidRPr="00CE233A">
        <w:rPr>
          <w:lang w:val="el-GR"/>
        </w:rPr>
        <w:lastRenderedPageBreak/>
        <w:t>μυελογενή λευχαιμία δεν έχει τεκμηριωθεί. Επομένως</w:t>
      </w:r>
      <w:r w:rsidR="00287CEE" w:rsidRPr="00CE233A">
        <w:rPr>
          <w:lang w:val="el-GR"/>
        </w:rPr>
        <w:t>,</w:t>
      </w:r>
      <w:r w:rsidRPr="00CE233A">
        <w:rPr>
          <w:lang w:val="el-GR"/>
        </w:rPr>
        <w:t xml:space="preserve"> δεν θα πρέπει να χρησιμοποιείται σε αυτές τις ενδείξεις. Ιδιαίτερη προσοχή χρειάζεται ώστε να διαφοροδιαγιγνώσκεται η φάση βλαστικής μεταμόρφωσης της χρόνιας </w:t>
      </w:r>
      <w:r w:rsidR="00DC208E" w:rsidRPr="00CE233A">
        <w:rPr>
          <w:lang w:val="el-GR"/>
        </w:rPr>
        <w:t xml:space="preserve">μυελοειδούς </w:t>
      </w:r>
      <w:r w:rsidRPr="00CE233A">
        <w:rPr>
          <w:lang w:val="el-GR"/>
        </w:rPr>
        <w:t xml:space="preserve">λευχαιμίας από την οξεία </w:t>
      </w:r>
      <w:r w:rsidR="00BF0E44" w:rsidRPr="00CE233A">
        <w:rPr>
          <w:lang w:val="el-GR"/>
        </w:rPr>
        <w:t xml:space="preserve">μυελοειδή </w:t>
      </w:r>
      <w:r w:rsidRPr="00CE233A">
        <w:rPr>
          <w:lang w:val="el-GR"/>
        </w:rPr>
        <w:t>λευχαιμία.</w:t>
      </w:r>
    </w:p>
    <w:p w:rsidR="001F5608" w:rsidRPr="00CE233A" w:rsidRDefault="001F5608" w:rsidP="00971B3E">
      <w:pPr>
        <w:ind w:left="720" w:hanging="246"/>
        <w:rPr>
          <w:u w:val="single"/>
          <w:lang w:val="el-GR"/>
        </w:rPr>
      </w:pPr>
    </w:p>
    <w:p w:rsidR="001F5608" w:rsidRPr="00CE233A" w:rsidRDefault="001F5608" w:rsidP="00971B3E">
      <w:pPr>
        <w:ind w:left="720" w:hanging="246"/>
        <w:rPr>
          <w:lang w:val="el-GR"/>
        </w:rPr>
      </w:pPr>
      <w:r w:rsidRPr="00CE233A">
        <w:rPr>
          <w:lang w:val="el-GR"/>
        </w:rPr>
        <w:tab/>
        <w:t xml:space="preserve">Δεν έχει τεκμηριωθεί από κλινικές μελέτες αν το </w:t>
      </w:r>
      <w:r w:rsidRPr="00CE233A">
        <w:t>GRANOCYTE</w:t>
      </w:r>
      <w:r w:rsidRPr="00CE233A">
        <w:rPr>
          <w:lang w:val="el-GR"/>
        </w:rPr>
        <w:t xml:space="preserve"> επηρεάζει την εξέλιξη του μυελοδυσπλαστικού συνδρόμου προς οξεία </w:t>
      </w:r>
      <w:r w:rsidR="00DB3F24" w:rsidRPr="00CE233A">
        <w:rPr>
          <w:lang w:val="el-GR"/>
        </w:rPr>
        <w:t xml:space="preserve">μυελοειδή </w:t>
      </w:r>
      <w:r w:rsidRPr="00CE233A">
        <w:rPr>
          <w:lang w:val="el-GR"/>
        </w:rPr>
        <w:t>λευχαιμία. Η χρήση του σε οποιαδήποτε προ-κακοήθη κατάσταση του μυελού θα πρέπει να γίνεται με προσοχή. Επειδή ορισμένοι όγκοι με μη</w:t>
      </w:r>
      <w:r w:rsidR="00345A30" w:rsidRPr="00CE233A">
        <w:rPr>
          <w:lang w:val="el-GR"/>
        </w:rPr>
        <w:t xml:space="preserve"> </w:t>
      </w:r>
      <w:r w:rsidRPr="00CE233A">
        <w:rPr>
          <w:lang w:val="el-GR"/>
        </w:rPr>
        <w:t xml:space="preserve">ειδικά χαρακτηριστικά μπορούν σε εξαιρετικές περιπτώσεις να εκφράσουν υποδοχέα </w:t>
      </w:r>
      <w:r w:rsidRPr="00CE233A">
        <w:t>G</w:t>
      </w:r>
      <w:r w:rsidR="00993C2B" w:rsidRPr="00CE233A">
        <w:rPr>
          <w:lang w:val="el-GR"/>
        </w:rPr>
        <w:noBreakHyphen/>
      </w:r>
      <w:r w:rsidRPr="00CE233A">
        <w:t>CSF</w:t>
      </w:r>
      <w:r w:rsidRPr="00CE233A">
        <w:rPr>
          <w:lang w:val="el-GR"/>
        </w:rPr>
        <w:t xml:space="preserve">, απαιτείται προσοχή στην περίπτωση εμφάνισης μη αναμενόμενης αύξησης του όγκου που παρατηρείται ταυτόχρονα κατά τη θεραπεία με </w:t>
      </w:r>
      <w:proofErr w:type="spellStart"/>
      <w:r w:rsidRPr="00CE233A">
        <w:t>rHuG</w:t>
      </w:r>
      <w:proofErr w:type="spellEnd"/>
      <w:r w:rsidRPr="00CE233A">
        <w:rPr>
          <w:lang w:val="el-GR"/>
        </w:rPr>
        <w:t>-</w:t>
      </w:r>
      <w:r w:rsidRPr="00CE233A">
        <w:t>CSF</w:t>
      </w:r>
      <w:r w:rsidRPr="00CE233A">
        <w:rPr>
          <w:lang w:val="el-GR"/>
        </w:rPr>
        <w:t>.</w:t>
      </w:r>
    </w:p>
    <w:p w:rsidR="00F15548" w:rsidRPr="00330732" w:rsidRDefault="00F15548" w:rsidP="00F15548">
      <w:pPr>
        <w:ind w:left="720" w:hanging="246"/>
        <w:rPr>
          <w:lang w:val="el-GR"/>
        </w:rPr>
      </w:pPr>
    </w:p>
    <w:p w:rsidR="00F15548" w:rsidRPr="00CE233A" w:rsidRDefault="00F15548" w:rsidP="00CE233A">
      <w:pPr>
        <w:numPr>
          <w:ilvl w:val="0"/>
          <w:numId w:val="4"/>
        </w:numPr>
        <w:ind w:left="567" w:hanging="425"/>
        <w:rPr>
          <w:lang w:val="el-GR"/>
        </w:rPr>
      </w:pPr>
      <w:r w:rsidRPr="00CE233A">
        <w:rPr>
          <w:lang w:val="el-GR"/>
        </w:rPr>
        <w:t xml:space="preserve">Σε παιδιά με </w:t>
      </w:r>
      <w:r w:rsidR="00975C43" w:rsidRPr="00CE233A">
        <w:t>ALL</w:t>
      </w:r>
    </w:p>
    <w:p w:rsidR="00F15548" w:rsidRPr="00CE233A" w:rsidRDefault="00F15548" w:rsidP="00F15548">
      <w:pPr>
        <w:ind w:left="720"/>
        <w:rPr>
          <w:lang w:val="el-GR"/>
        </w:rPr>
      </w:pPr>
    </w:p>
    <w:p w:rsidR="00F15548" w:rsidRPr="00CE233A" w:rsidRDefault="00F15548" w:rsidP="00F15548">
      <w:pPr>
        <w:ind w:left="720"/>
        <w:rPr>
          <w:lang w:val="el-GR"/>
        </w:rPr>
      </w:pPr>
      <w:r w:rsidRPr="00CE233A">
        <w:rPr>
          <w:lang w:val="el-GR"/>
        </w:rPr>
        <w:t>Ένας αυξημένος κίνδυνος για δευτερ</w:t>
      </w:r>
      <w:r w:rsidR="006A7250" w:rsidRPr="00CE233A">
        <w:rPr>
          <w:lang w:val="el-GR"/>
        </w:rPr>
        <w:t>οπαθή</w:t>
      </w:r>
      <w:r w:rsidRPr="00CE233A">
        <w:rPr>
          <w:lang w:val="el-GR"/>
        </w:rPr>
        <w:t xml:space="preserve"> μυελοειδή λευχαιμία ή μυελοδυσπλαστικό σύνδρομο σχετιζόμενο με </w:t>
      </w:r>
      <w:r w:rsidRPr="00CE233A">
        <w:t>CSFs</w:t>
      </w:r>
      <w:r w:rsidRPr="00CE233A">
        <w:rPr>
          <w:lang w:val="el-GR"/>
        </w:rPr>
        <w:t xml:space="preserve"> έχει αναφερθεί σε παιδιά με </w:t>
      </w:r>
      <w:r w:rsidR="00975C43" w:rsidRPr="00CE233A">
        <w:t>ALL</w:t>
      </w:r>
      <w:r w:rsidRPr="00CE233A">
        <w:rPr>
          <w:lang w:val="el-GR"/>
        </w:rPr>
        <w:t>. Ένας συγκρ</w:t>
      </w:r>
      <w:r w:rsidR="000D0D37" w:rsidRPr="00CE233A">
        <w:rPr>
          <w:lang w:val="el-GR"/>
        </w:rPr>
        <w:t>ίσιμ</w:t>
      </w:r>
      <w:r w:rsidRPr="00CE233A">
        <w:rPr>
          <w:lang w:val="el-GR"/>
        </w:rPr>
        <w:t xml:space="preserve">ος κίνδυνος έχει τεκμηριωθεί από μία συστηματική ανασκόπηση 25 τυχαιοποιημένων ελεγχόμενων δοκιμών σε 12.804 ενήλικες ασθενείς με συμπαγείς όγκους ή λεμφώματα, κίνδυνος, ωστόσο, χωρίς αρνητική επίδραση στη μακροχρόνια έκβαση των ενηλίκων που ερευνήθηκαν. Επομένως, το </w:t>
      </w:r>
      <w:r w:rsidRPr="00CE233A">
        <w:t>GRANOCYTE</w:t>
      </w:r>
      <w:r w:rsidRPr="00CE233A">
        <w:rPr>
          <w:lang w:val="el-GR"/>
        </w:rPr>
        <w:t xml:space="preserve"> </w:t>
      </w:r>
      <w:r w:rsidRPr="00CE233A">
        <w:rPr>
          <w:iCs/>
          <w:lang w:val="el-GR"/>
        </w:rPr>
        <w:t xml:space="preserve">13 εκατομμύρια </w:t>
      </w:r>
      <w:r w:rsidRPr="00CE233A">
        <w:rPr>
          <w:iCs/>
        </w:rPr>
        <w:t>IU</w:t>
      </w:r>
      <w:r w:rsidRPr="00CE233A">
        <w:rPr>
          <w:iCs/>
          <w:lang w:val="el-GR"/>
        </w:rPr>
        <w:t>/</w:t>
      </w:r>
      <w:proofErr w:type="spellStart"/>
      <w:r w:rsidRPr="00CE233A">
        <w:rPr>
          <w:iCs/>
        </w:rPr>
        <w:t>mL</w:t>
      </w:r>
      <w:proofErr w:type="spellEnd"/>
      <w:r w:rsidRPr="00CE233A">
        <w:rPr>
          <w:iCs/>
          <w:lang w:val="el-GR"/>
        </w:rPr>
        <w:t xml:space="preserve"> πρέπει να χρησιμοποι</w:t>
      </w:r>
      <w:r w:rsidR="000D0D37" w:rsidRPr="00CE233A">
        <w:rPr>
          <w:iCs/>
          <w:lang w:val="el-GR"/>
        </w:rPr>
        <w:t>εί</w:t>
      </w:r>
      <w:r w:rsidRPr="00CE233A">
        <w:rPr>
          <w:iCs/>
          <w:lang w:val="el-GR"/>
        </w:rPr>
        <w:t xml:space="preserve">ται σε παιδιά, ειδικά με ευνοϊκή μακροχρόνια πρόγνωση, μόνο μετά από προσεκτική </w:t>
      </w:r>
      <w:r w:rsidR="00323A58" w:rsidRPr="00CE233A">
        <w:rPr>
          <w:iCs/>
          <w:lang w:val="el-GR"/>
        </w:rPr>
        <w:t>στάθμιση</w:t>
      </w:r>
      <w:r w:rsidR="006A7250" w:rsidRPr="00CE233A">
        <w:rPr>
          <w:iCs/>
          <w:lang w:val="el-GR"/>
        </w:rPr>
        <w:t xml:space="preserve"> </w:t>
      </w:r>
      <w:r w:rsidRPr="00CE233A">
        <w:rPr>
          <w:iCs/>
          <w:lang w:val="el-GR"/>
        </w:rPr>
        <w:t>των βραχυχρόνιων οφελών έναντι των μακροχρόνιων κινδύνων.</w:t>
      </w:r>
    </w:p>
    <w:p w:rsidR="001F5608" w:rsidRPr="00CE233A" w:rsidRDefault="001F5608" w:rsidP="00840A76">
      <w:pPr>
        <w:ind w:left="426" w:hanging="426"/>
        <w:rPr>
          <w:lang w:val="el-GR"/>
        </w:rPr>
      </w:pPr>
    </w:p>
    <w:p w:rsidR="001F5608" w:rsidRPr="00CE233A" w:rsidRDefault="001F5608" w:rsidP="00CE233A">
      <w:pPr>
        <w:numPr>
          <w:ilvl w:val="0"/>
          <w:numId w:val="4"/>
        </w:numPr>
        <w:ind w:left="567" w:hanging="425"/>
        <w:rPr>
          <w:lang w:val="el-GR"/>
        </w:rPr>
      </w:pPr>
      <w:r w:rsidRPr="00CE233A">
        <w:rPr>
          <w:lang w:val="el-GR"/>
        </w:rPr>
        <w:t>Λευκοκυττάρωση</w:t>
      </w:r>
    </w:p>
    <w:p w:rsidR="001F5608" w:rsidRPr="00CE233A" w:rsidRDefault="001F5608" w:rsidP="00840A76">
      <w:pPr>
        <w:ind w:left="426" w:hanging="426"/>
        <w:rPr>
          <w:lang w:val="el-GR"/>
        </w:rPr>
      </w:pPr>
    </w:p>
    <w:p w:rsidR="001F5608" w:rsidRPr="00CE233A" w:rsidRDefault="001F5608" w:rsidP="00971B3E">
      <w:pPr>
        <w:ind w:left="720"/>
        <w:rPr>
          <w:lang w:val="el-GR"/>
        </w:rPr>
      </w:pPr>
      <w:r w:rsidRPr="00CE233A">
        <w:rPr>
          <w:lang w:val="el-GR"/>
        </w:rPr>
        <w:t>Αριθμός λευκοκυττάρων μεγαλύτερος από 50</w:t>
      </w:r>
      <w:r w:rsidR="00993C2B" w:rsidRPr="00CE233A">
        <w:t> </w:t>
      </w:r>
      <w:r w:rsidRPr="00CE233A">
        <w:t>x</w:t>
      </w:r>
      <w:r w:rsidR="00993C2B" w:rsidRPr="00CE233A">
        <w:t> </w:t>
      </w:r>
      <w:r w:rsidRPr="00CE233A">
        <w:rPr>
          <w:lang w:val="el-GR"/>
        </w:rPr>
        <w:t>10</w:t>
      </w:r>
      <w:r w:rsidRPr="00CE233A">
        <w:rPr>
          <w:vertAlign w:val="superscript"/>
          <w:lang w:val="el-GR"/>
        </w:rPr>
        <w:t>9</w:t>
      </w:r>
      <w:r w:rsidRPr="00CE233A">
        <w:rPr>
          <w:lang w:val="el-GR"/>
        </w:rPr>
        <w:t>/</w:t>
      </w:r>
      <w:r w:rsidRPr="00CE233A">
        <w:t>l</w:t>
      </w:r>
      <w:r w:rsidRPr="00CE233A">
        <w:rPr>
          <w:lang w:val="el-GR"/>
        </w:rPr>
        <w:t xml:space="preserve"> δεν παρατηρήθηκε σε κανένα από τους 174</w:t>
      </w:r>
      <w:r w:rsidR="00993C2B" w:rsidRPr="00CE233A">
        <w:t> </w:t>
      </w:r>
      <w:r w:rsidRPr="00CE233A">
        <w:rPr>
          <w:lang w:val="el-GR"/>
        </w:rPr>
        <w:t>ασθενείς των κλινικών μελετών στους οποίους χορηγήθηκαν 5</w:t>
      </w:r>
      <w:r w:rsidR="00993C2B" w:rsidRPr="00CE233A">
        <w:t> </w:t>
      </w:r>
      <w:r w:rsidRPr="00CE233A">
        <w:rPr>
          <w:lang w:val="el-GR"/>
        </w:rPr>
        <w:t>μ</w:t>
      </w:r>
      <w:r w:rsidRPr="00CE233A">
        <w:t>g</w:t>
      </w:r>
      <w:r w:rsidRPr="00CE233A">
        <w:rPr>
          <w:lang w:val="el-GR"/>
        </w:rPr>
        <w:t>/</w:t>
      </w:r>
      <w:r w:rsidRPr="00CE233A">
        <w:t>kg</w:t>
      </w:r>
      <w:r w:rsidRPr="00CE233A">
        <w:rPr>
          <w:lang w:val="el-GR"/>
        </w:rPr>
        <w:t>/ημέρα (0,64</w:t>
      </w:r>
      <w:r w:rsidR="00993C2B" w:rsidRPr="00CE233A">
        <w:t> </w:t>
      </w:r>
      <w:r w:rsidRPr="00CE233A">
        <w:t>MIU</w:t>
      </w:r>
      <w:r w:rsidRPr="00CE233A">
        <w:rPr>
          <w:lang w:val="el-GR"/>
        </w:rPr>
        <w:t>/</w:t>
      </w:r>
      <w:r w:rsidRPr="00CE233A">
        <w:t>kg</w:t>
      </w:r>
      <w:r w:rsidRPr="00CE233A">
        <w:rPr>
          <w:lang w:val="el-GR"/>
        </w:rPr>
        <w:t>/ημέρα) μετά από μεταμόσχευση μυελού των οστών. Αριθμός λευκών αιμοσφαιρίων 70</w:t>
      </w:r>
      <w:r w:rsidR="00993C2B" w:rsidRPr="00CE233A">
        <w:t> </w:t>
      </w:r>
      <w:r w:rsidRPr="00CE233A">
        <w:t>x</w:t>
      </w:r>
      <w:r w:rsidR="00993C2B" w:rsidRPr="00CE233A">
        <w:t> </w:t>
      </w:r>
      <w:r w:rsidRPr="00CE233A">
        <w:rPr>
          <w:lang w:val="el-GR"/>
        </w:rPr>
        <w:t>10</w:t>
      </w:r>
      <w:r w:rsidRPr="00CE233A">
        <w:rPr>
          <w:vertAlign w:val="superscript"/>
          <w:lang w:val="el-GR"/>
        </w:rPr>
        <w:t>9</w:t>
      </w:r>
      <w:r w:rsidRPr="00CE233A">
        <w:rPr>
          <w:lang w:val="el-GR"/>
        </w:rPr>
        <w:t>/</w:t>
      </w:r>
      <w:r w:rsidRPr="00CE233A">
        <w:t>l</w:t>
      </w:r>
      <w:r w:rsidRPr="00CE233A">
        <w:rPr>
          <w:lang w:val="el-GR"/>
        </w:rPr>
        <w:t xml:space="preserve"> ή μεγαλύτερος παρατηρήθηκε σε λιγότερο από το 5% των ασθενών που υποβλήθηκαν σε κυτταροτοξική χημειοθ</w:t>
      </w:r>
      <w:r w:rsidR="00A6067B" w:rsidRPr="00CE233A">
        <w:rPr>
          <w:lang w:val="el-GR"/>
        </w:rPr>
        <w:t>εραπεία και τους</w:t>
      </w:r>
      <w:r w:rsidR="006A616B" w:rsidRPr="00CE233A">
        <w:rPr>
          <w:lang w:val="el-GR"/>
        </w:rPr>
        <w:t xml:space="preserve"> χορηγήθηκαν 5</w:t>
      </w:r>
      <w:r w:rsidR="00993C2B" w:rsidRPr="00CE233A">
        <w:t> </w:t>
      </w:r>
      <w:r w:rsidRPr="00CE233A">
        <w:rPr>
          <w:lang w:val="el-GR"/>
        </w:rPr>
        <w:t>μ</w:t>
      </w:r>
      <w:r w:rsidRPr="00CE233A">
        <w:t>g</w:t>
      </w:r>
      <w:r w:rsidRPr="00CE233A">
        <w:rPr>
          <w:lang w:val="el-GR"/>
        </w:rPr>
        <w:t>/</w:t>
      </w:r>
      <w:r w:rsidRPr="00CE233A">
        <w:t>kg</w:t>
      </w:r>
      <w:r w:rsidRPr="00CE233A">
        <w:rPr>
          <w:lang w:val="el-GR"/>
        </w:rPr>
        <w:t>/ημέρα (0,64</w:t>
      </w:r>
      <w:r w:rsidR="00993C2B" w:rsidRPr="00CE233A">
        <w:t> </w:t>
      </w:r>
      <w:r w:rsidRPr="00CE233A">
        <w:rPr>
          <w:lang w:val="el-GR"/>
        </w:rPr>
        <w:t>εκατ. μονάδες/</w:t>
      </w:r>
      <w:r w:rsidRPr="00CE233A">
        <w:t>kg</w:t>
      </w:r>
      <w:r w:rsidRPr="00CE233A">
        <w:rPr>
          <w:lang w:val="el-GR"/>
        </w:rPr>
        <w:t xml:space="preserve">/ημέρα) </w:t>
      </w:r>
      <w:r w:rsidRPr="00CE233A">
        <w:t>GRANOCYTE</w:t>
      </w:r>
      <w:r w:rsidRPr="00CE233A">
        <w:rPr>
          <w:lang w:val="el-GR"/>
        </w:rPr>
        <w:t xml:space="preserve">. Δεν έχουν αναφερθεί ανεπιθύμητες ενέργειες που να συνδέονται άμεσα με αυτό το βαθμό λευκοκυττάρωσης. Εν όψει των πιθανών κινδύνων που σχετίζονται με τη μεγάλη λευκοκυττάρωση, θα πρέπει να πραγματοποιείται μέτρηση του αριθμού των λευκών αιμοσφαιρίων σε τακτά χρονικά διαστήματα κατά τη διάρκεια της θεραπείας με </w:t>
      </w:r>
      <w:r w:rsidRPr="00CE233A">
        <w:t>GRANOCYTE</w:t>
      </w:r>
      <w:r w:rsidRPr="00CE233A">
        <w:rPr>
          <w:lang w:val="el-GR"/>
        </w:rPr>
        <w:t xml:space="preserve">. </w:t>
      </w:r>
    </w:p>
    <w:p w:rsidR="001F5608" w:rsidRPr="00CE233A" w:rsidRDefault="001F5608" w:rsidP="00971B3E">
      <w:pPr>
        <w:ind w:left="720"/>
        <w:rPr>
          <w:lang w:val="el-GR"/>
        </w:rPr>
      </w:pPr>
    </w:p>
    <w:p w:rsidR="001F5608" w:rsidRPr="00CE233A" w:rsidRDefault="001F5608" w:rsidP="00971B3E">
      <w:pPr>
        <w:ind w:left="720"/>
        <w:rPr>
          <w:lang w:val="el-GR"/>
        </w:rPr>
      </w:pPr>
      <w:r w:rsidRPr="00CE233A">
        <w:rPr>
          <w:lang w:val="el-GR"/>
        </w:rPr>
        <w:t xml:space="preserve">Εάν ο αριθμός των λευκοκυττάρων υπερβεί τα 50 </w:t>
      </w:r>
      <w:r w:rsidRPr="00CE233A">
        <w:t>x</w:t>
      </w:r>
      <w:r w:rsidRPr="00CE233A">
        <w:rPr>
          <w:lang w:val="el-GR"/>
        </w:rPr>
        <w:t xml:space="preserve"> 10</w:t>
      </w:r>
      <w:r w:rsidRPr="00CE233A">
        <w:rPr>
          <w:vertAlign w:val="superscript"/>
          <w:lang w:val="el-GR"/>
        </w:rPr>
        <w:t>9</w:t>
      </w:r>
      <w:r w:rsidRPr="00CE233A">
        <w:rPr>
          <w:lang w:val="el-GR"/>
        </w:rPr>
        <w:t>/</w:t>
      </w:r>
      <w:r w:rsidRPr="00CE233A">
        <w:t>l</w:t>
      </w:r>
      <w:r w:rsidRPr="00CE233A">
        <w:rPr>
          <w:lang w:val="el-GR"/>
        </w:rPr>
        <w:t xml:space="preserve"> μετά το αναμενόμενο </w:t>
      </w:r>
      <w:r w:rsidRPr="00CE233A">
        <w:t>nadir</w:t>
      </w:r>
      <w:r w:rsidRPr="00CE233A">
        <w:rPr>
          <w:lang w:val="el-GR"/>
        </w:rPr>
        <w:t xml:space="preserve">, η χορήγηση του </w:t>
      </w:r>
      <w:r w:rsidRPr="00CE233A">
        <w:t>GRANOCYTE</w:t>
      </w:r>
      <w:r w:rsidRPr="00CE233A">
        <w:rPr>
          <w:lang w:val="el-GR"/>
        </w:rPr>
        <w:t xml:space="preserve"> θα πρέπει να διακοπεί αμέσως.</w:t>
      </w:r>
    </w:p>
    <w:p w:rsidR="001F5608" w:rsidRPr="00CE233A" w:rsidRDefault="001F5608" w:rsidP="00971B3E">
      <w:pPr>
        <w:ind w:left="720" w:hanging="426"/>
        <w:rPr>
          <w:lang w:val="el-GR"/>
        </w:rPr>
      </w:pPr>
    </w:p>
    <w:p w:rsidR="001F5608" w:rsidRPr="00CE233A" w:rsidRDefault="001F5608" w:rsidP="00971B3E">
      <w:pPr>
        <w:ind w:left="720" w:hanging="1"/>
        <w:rPr>
          <w:lang w:val="el-GR"/>
        </w:rPr>
      </w:pPr>
      <w:r w:rsidRPr="00CE233A">
        <w:rPr>
          <w:lang w:val="el-GR"/>
        </w:rPr>
        <w:t>Εάν κατά την κινητοποίηση των αρχέγονων αιμοποιητικών κυττάρων του περιφερικού αίματος (</w:t>
      </w:r>
      <w:r w:rsidRPr="00CE233A">
        <w:t>PBPCs</w:t>
      </w:r>
      <w:r w:rsidRPr="00CE233A">
        <w:rPr>
          <w:lang w:val="el-GR"/>
        </w:rPr>
        <w:t xml:space="preserve">), ο αριθμός λευκοκυττάρων ανέλθει σε τιμή </w:t>
      </w:r>
      <w:r w:rsidRPr="00CE233A">
        <w:sym w:font="Symbol" w:char="003E"/>
      </w:r>
      <w:r w:rsidR="00586C74" w:rsidRPr="00CE233A">
        <w:t> </w:t>
      </w:r>
      <w:r w:rsidRPr="00CE233A">
        <w:rPr>
          <w:lang w:val="el-GR"/>
        </w:rPr>
        <w:t>70</w:t>
      </w:r>
      <w:r w:rsidRPr="00CE233A">
        <w:sym w:font="Symbol" w:char="00B4"/>
      </w:r>
      <w:r w:rsidRPr="00CE233A">
        <w:rPr>
          <w:lang w:val="el-GR"/>
        </w:rPr>
        <w:t>10</w:t>
      </w:r>
      <w:r w:rsidRPr="00CE233A">
        <w:rPr>
          <w:vertAlign w:val="superscript"/>
          <w:lang w:val="el-GR"/>
        </w:rPr>
        <w:t>9</w:t>
      </w:r>
      <w:r w:rsidRPr="00CE233A">
        <w:rPr>
          <w:lang w:val="el-GR"/>
        </w:rPr>
        <w:t>/</w:t>
      </w:r>
      <w:r w:rsidRPr="00CE233A">
        <w:t>l</w:t>
      </w:r>
      <w:r w:rsidR="00D32F86" w:rsidRPr="00CE233A">
        <w:rPr>
          <w:lang w:val="el-GR"/>
        </w:rPr>
        <w:t>,</w:t>
      </w:r>
      <w:r w:rsidRPr="00CE233A">
        <w:rPr>
          <w:lang w:val="el-GR"/>
        </w:rPr>
        <w:t xml:space="preserve"> το </w:t>
      </w:r>
      <w:r w:rsidRPr="00CE233A">
        <w:t>GRANOCYTE</w:t>
      </w:r>
      <w:r w:rsidR="006A616B" w:rsidRPr="00CE233A">
        <w:rPr>
          <w:lang w:val="el-GR"/>
        </w:rPr>
        <w:t xml:space="preserve"> </w:t>
      </w:r>
      <w:r w:rsidRPr="00CE233A">
        <w:rPr>
          <w:lang w:val="el-GR"/>
        </w:rPr>
        <w:t>θα πρέπει να διακοπεί.</w:t>
      </w:r>
    </w:p>
    <w:p w:rsidR="001F5608" w:rsidRPr="00CE233A" w:rsidRDefault="001F5608" w:rsidP="00840A76">
      <w:pPr>
        <w:ind w:left="426" w:hanging="426"/>
        <w:rPr>
          <w:lang w:val="el-GR"/>
        </w:rPr>
      </w:pPr>
    </w:p>
    <w:p w:rsidR="001F5608" w:rsidRPr="00CE233A" w:rsidRDefault="001F5608" w:rsidP="00CE233A">
      <w:pPr>
        <w:numPr>
          <w:ilvl w:val="0"/>
          <w:numId w:val="6"/>
        </w:numPr>
        <w:tabs>
          <w:tab w:val="clear" w:pos="360"/>
          <w:tab w:val="num" w:pos="567"/>
        </w:tabs>
        <w:ind w:left="851" w:hanging="709"/>
        <w:rPr>
          <w:lang w:val="el-GR"/>
        </w:rPr>
      </w:pPr>
      <w:r w:rsidRPr="00CE233A">
        <w:rPr>
          <w:lang w:val="el-GR"/>
        </w:rPr>
        <w:t>Ανεπιθύμητες ενέργειες από τους πνεύμονες</w:t>
      </w:r>
    </w:p>
    <w:p w:rsidR="001F5608" w:rsidRPr="00CE233A" w:rsidRDefault="001F5608" w:rsidP="00840A76">
      <w:pPr>
        <w:ind w:left="425"/>
      </w:pPr>
    </w:p>
    <w:p w:rsidR="00137FA7" w:rsidRPr="00CE233A" w:rsidRDefault="00137FA7" w:rsidP="00971B3E">
      <w:pPr>
        <w:ind w:left="720"/>
        <w:rPr>
          <w:lang w:val="el-GR"/>
        </w:rPr>
      </w:pPr>
      <w:r w:rsidRPr="00CE233A">
        <w:rPr>
          <w:lang w:val="el-GR"/>
        </w:rPr>
        <w:lastRenderedPageBreak/>
        <w:t>Σπάνιες (&gt;0</w:t>
      </w:r>
      <w:r w:rsidR="00F40C5C" w:rsidRPr="00CE233A">
        <w:rPr>
          <w:lang w:val="el-GR"/>
        </w:rPr>
        <w:t>,</w:t>
      </w:r>
      <w:r w:rsidRPr="00CE233A">
        <w:rPr>
          <w:lang w:val="el-GR"/>
        </w:rPr>
        <w:t>01% και &lt;0</w:t>
      </w:r>
      <w:r w:rsidR="00F40C5C" w:rsidRPr="00CE233A">
        <w:rPr>
          <w:lang w:val="el-GR"/>
        </w:rPr>
        <w:t>,</w:t>
      </w:r>
      <w:r w:rsidRPr="00CE233A">
        <w:rPr>
          <w:lang w:val="el-GR"/>
        </w:rPr>
        <w:t xml:space="preserve">1%) ανεπιθύμητες ενέργειες </w:t>
      </w:r>
      <w:r w:rsidR="00F40C5C" w:rsidRPr="00CE233A">
        <w:rPr>
          <w:lang w:val="el-GR"/>
        </w:rPr>
        <w:t xml:space="preserve">από τους πνεύμονες </w:t>
      </w:r>
      <w:r w:rsidRPr="00CE233A">
        <w:rPr>
          <w:lang w:val="el-GR"/>
        </w:rPr>
        <w:t xml:space="preserve">και ειδικότερα </w:t>
      </w:r>
      <w:r w:rsidR="00F40C5C" w:rsidRPr="00CE233A">
        <w:rPr>
          <w:lang w:val="el-GR"/>
        </w:rPr>
        <w:t>διάμεση πνευμονία</w:t>
      </w:r>
      <w:r w:rsidRPr="00CE233A">
        <w:rPr>
          <w:lang w:val="el-GR"/>
        </w:rPr>
        <w:t xml:space="preserve"> έχουν αναφερθεί </w:t>
      </w:r>
      <w:r w:rsidR="00F40C5C" w:rsidRPr="00CE233A">
        <w:rPr>
          <w:lang w:val="el-GR"/>
        </w:rPr>
        <w:t>μετά τη χορήγηση παραγόντων διέγερσης αποικιών των κοκκιοκυττάρων</w:t>
      </w:r>
      <w:r w:rsidRPr="00CE233A">
        <w:rPr>
          <w:lang w:val="el-GR"/>
        </w:rPr>
        <w:t xml:space="preserve"> </w:t>
      </w:r>
      <w:r w:rsidR="00F40C5C" w:rsidRPr="00CE233A">
        <w:rPr>
          <w:lang w:val="el-GR"/>
        </w:rPr>
        <w:t>(</w:t>
      </w:r>
      <w:r w:rsidRPr="00CE233A">
        <w:t>G</w:t>
      </w:r>
      <w:r w:rsidRPr="00CE233A">
        <w:rPr>
          <w:lang w:val="el-GR"/>
        </w:rPr>
        <w:t>-</w:t>
      </w:r>
      <w:r w:rsidRPr="00CE233A">
        <w:t>CSFs</w:t>
      </w:r>
      <w:r w:rsidR="00F40C5C" w:rsidRPr="00CE233A">
        <w:rPr>
          <w:lang w:val="el-GR"/>
        </w:rPr>
        <w:t>)</w:t>
      </w:r>
      <w:r w:rsidRPr="00CE233A">
        <w:rPr>
          <w:lang w:val="el-GR"/>
        </w:rPr>
        <w:t>.</w:t>
      </w:r>
    </w:p>
    <w:p w:rsidR="00137FA7" w:rsidRPr="00CE233A" w:rsidRDefault="00137FA7" w:rsidP="00971B3E">
      <w:pPr>
        <w:ind w:left="720"/>
        <w:rPr>
          <w:lang w:val="el-GR"/>
        </w:rPr>
      </w:pPr>
    </w:p>
    <w:p w:rsidR="00137FA7" w:rsidRPr="00CE233A" w:rsidRDefault="00137FA7" w:rsidP="00971B3E">
      <w:pPr>
        <w:ind w:left="720"/>
        <w:rPr>
          <w:lang w:val="el-GR"/>
        </w:rPr>
      </w:pPr>
      <w:r w:rsidRPr="00CE233A">
        <w:rPr>
          <w:lang w:val="el-GR"/>
        </w:rPr>
        <w:t xml:space="preserve">Ασθενείς με πρόσφατο ιστορικό </w:t>
      </w:r>
      <w:r w:rsidR="00D37EA1" w:rsidRPr="00CE233A">
        <w:rPr>
          <w:lang w:val="el-GR"/>
        </w:rPr>
        <w:t>πνευμονικ</w:t>
      </w:r>
      <w:r w:rsidR="001311EC" w:rsidRPr="00CE233A">
        <w:rPr>
          <w:lang w:val="el-GR"/>
        </w:rPr>
        <w:t>ών</w:t>
      </w:r>
      <w:r w:rsidR="00D37EA1" w:rsidRPr="00CE233A">
        <w:rPr>
          <w:lang w:val="el-GR"/>
        </w:rPr>
        <w:t xml:space="preserve"> δι</w:t>
      </w:r>
      <w:r w:rsidR="001311EC" w:rsidRPr="00CE233A">
        <w:rPr>
          <w:lang w:val="el-GR"/>
        </w:rPr>
        <w:t>ηθήσεων</w:t>
      </w:r>
      <w:r w:rsidR="00D37EA1" w:rsidRPr="00CE233A">
        <w:rPr>
          <w:lang w:val="el-GR"/>
        </w:rPr>
        <w:t xml:space="preserve"> ή πνευμονίας </w:t>
      </w:r>
      <w:r w:rsidR="001311EC" w:rsidRPr="00CE233A">
        <w:rPr>
          <w:lang w:val="el-GR"/>
        </w:rPr>
        <w:t>ενδέχεται</w:t>
      </w:r>
      <w:r w:rsidR="00D37EA1" w:rsidRPr="00CE233A">
        <w:rPr>
          <w:lang w:val="el-GR"/>
        </w:rPr>
        <w:t xml:space="preserve"> να </w:t>
      </w:r>
      <w:r w:rsidR="001311EC" w:rsidRPr="00CE233A">
        <w:rPr>
          <w:lang w:val="el-GR"/>
        </w:rPr>
        <w:t>βρίσκονται σε υψηλότερο</w:t>
      </w:r>
      <w:r w:rsidR="00D37EA1" w:rsidRPr="00CE233A">
        <w:rPr>
          <w:lang w:val="el-GR"/>
        </w:rPr>
        <w:t xml:space="preserve"> κίνδυνο.</w:t>
      </w:r>
    </w:p>
    <w:p w:rsidR="00137FA7" w:rsidRPr="00CE233A" w:rsidRDefault="00D37EA1" w:rsidP="00971B3E">
      <w:pPr>
        <w:ind w:left="720"/>
        <w:rPr>
          <w:lang w:val="el-GR"/>
        </w:rPr>
      </w:pPr>
      <w:r w:rsidRPr="00CE233A">
        <w:rPr>
          <w:lang w:val="el-GR"/>
        </w:rPr>
        <w:t xml:space="preserve"> </w:t>
      </w:r>
    </w:p>
    <w:p w:rsidR="001F5608" w:rsidRPr="00CE233A" w:rsidRDefault="001F5608" w:rsidP="00971B3E">
      <w:pPr>
        <w:ind w:left="720"/>
        <w:rPr>
          <w:lang w:val="el-GR"/>
        </w:rPr>
      </w:pPr>
      <w:r w:rsidRPr="00CE233A">
        <w:rPr>
          <w:lang w:val="el-GR"/>
        </w:rPr>
        <w:t xml:space="preserve">Η εμφάνιση συμπτωμάτων </w:t>
      </w:r>
      <w:r w:rsidR="00394416" w:rsidRPr="00CE233A">
        <w:rPr>
          <w:lang w:val="el-GR"/>
        </w:rPr>
        <w:t xml:space="preserve">ή σημείων </w:t>
      </w:r>
      <w:r w:rsidRPr="00CE233A">
        <w:rPr>
          <w:lang w:val="el-GR"/>
        </w:rPr>
        <w:t xml:space="preserve">από τους πνεύμονες όπως βήχας, πυρετός και δύσπνοια, σε συνδυασμό με ακτινολογικά </w:t>
      </w:r>
      <w:r w:rsidR="008C04AB" w:rsidRPr="00CE233A">
        <w:rPr>
          <w:lang w:val="el-GR"/>
        </w:rPr>
        <w:t>σημεία</w:t>
      </w:r>
      <w:r w:rsidRPr="00CE233A">
        <w:rPr>
          <w:lang w:val="el-GR"/>
        </w:rPr>
        <w:t xml:space="preserve"> πνευμονικών διηθήσεων και </w:t>
      </w:r>
      <w:r w:rsidR="008C04AB" w:rsidRPr="00CE233A">
        <w:rPr>
          <w:lang w:val="el-GR"/>
        </w:rPr>
        <w:t>επιδείνωση</w:t>
      </w:r>
      <w:r w:rsidRPr="00CE233A">
        <w:rPr>
          <w:lang w:val="el-GR"/>
        </w:rPr>
        <w:t xml:space="preserve"> της πνευμονικής λειτουργίας, ίσως αποτελούν πρόδρομα </w:t>
      </w:r>
      <w:r w:rsidR="006266D9" w:rsidRPr="00CE233A">
        <w:rPr>
          <w:lang w:val="el-GR"/>
        </w:rPr>
        <w:t>σημεία</w:t>
      </w:r>
      <w:r w:rsidRPr="00CE233A">
        <w:rPr>
          <w:lang w:val="el-GR"/>
        </w:rPr>
        <w:t xml:space="preserve"> συνδρόμου αναπνευστικής δυσχέρειας των ενηλίκων (</w:t>
      </w:r>
      <w:r w:rsidRPr="00CE233A">
        <w:t>ARDS</w:t>
      </w:r>
      <w:r w:rsidRPr="00CE233A">
        <w:rPr>
          <w:lang w:val="el-GR"/>
        </w:rPr>
        <w:t>).</w:t>
      </w:r>
    </w:p>
    <w:p w:rsidR="001F5608" w:rsidRPr="00CE233A" w:rsidRDefault="001F5608" w:rsidP="00971B3E">
      <w:pPr>
        <w:ind w:left="720" w:hanging="1"/>
        <w:rPr>
          <w:lang w:val="el-GR"/>
        </w:rPr>
      </w:pPr>
    </w:p>
    <w:p w:rsidR="001F5608" w:rsidRPr="00CE233A" w:rsidRDefault="001F5608" w:rsidP="00971B3E">
      <w:pPr>
        <w:ind w:left="720" w:hanging="1"/>
        <w:rPr>
          <w:lang w:val="el-GR"/>
        </w:rPr>
      </w:pPr>
      <w:r w:rsidRPr="00CE233A">
        <w:rPr>
          <w:lang w:val="el-GR"/>
        </w:rPr>
        <w:t xml:space="preserve">Η χορήγηση του </w:t>
      </w:r>
      <w:r w:rsidRPr="00CE233A">
        <w:t>GRANOCYTE</w:t>
      </w:r>
      <w:r w:rsidRPr="00CE233A">
        <w:rPr>
          <w:lang w:val="el-GR"/>
        </w:rPr>
        <w:t xml:space="preserve"> θα πρέπει να διακόπτεται </w:t>
      </w:r>
      <w:r w:rsidR="006266D9" w:rsidRPr="00CE233A">
        <w:rPr>
          <w:lang w:val="el-GR"/>
        </w:rPr>
        <w:t xml:space="preserve">αμέσως </w:t>
      </w:r>
      <w:r w:rsidRPr="00CE233A">
        <w:rPr>
          <w:lang w:val="el-GR"/>
        </w:rPr>
        <w:t>και να χορηγείται η κατάλληλη θεραπευτική αγωγή.</w:t>
      </w:r>
    </w:p>
    <w:p w:rsidR="001F5608" w:rsidRPr="00CE233A" w:rsidRDefault="001F5608" w:rsidP="00840A76">
      <w:pPr>
        <w:ind w:left="425"/>
        <w:rPr>
          <w:lang w:val="el-GR"/>
        </w:rPr>
      </w:pPr>
    </w:p>
    <w:p w:rsidR="001F5608" w:rsidRPr="00CE233A" w:rsidRDefault="001F5608" w:rsidP="00CE233A">
      <w:pPr>
        <w:numPr>
          <w:ilvl w:val="0"/>
          <w:numId w:val="8"/>
        </w:numPr>
        <w:tabs>
          <w:tab w:val="clear" w:pos="360"/>
          <w:tab w:val="num" w:pos="567"/>
        </w:tabs>
        <w:ind w:left="851" w:hanging="709"/>
        <w:rPr>
          <w:lang w:val="el-GR"/>
        </w:rPr>
      </w:pPr>
      <w:r w:rsidRPr="00CE233A">
        <w:rPr>
          <w:lang w:val="el-GR"/>
        </w:rPr>
        <w:t xml:space="preserve">Σε μεταμόσχευση </w:t>
      </w:r>
      <w:r w:rsidR="00860D5B" w:rsidRPr="00CE233A">
        <w:rPr>
          <w:lang w:val="el-GR"/>
        </w:rPr>
        <w:t xml:space="preserve">περιφερικών αρχέγονων κυττάρων ή </w:t>
      </w:r>
      <w:r w:rsidRPr="00CE233A">
        <w:rPr>
          <w:lang w:val="el-GR"/>
        </w:rPr>
        <w:t>μυελού των οστών</w:t>
      </w:r>
    </w:p>
    <w:p w:rsidR="001F5608" w:rsidRPr="00CE233A" w:rsidRDefault="001F5608" w:rsidP="00840A76">
      <w:pPr>
        <w:ind w:left="426"/>
        <w:rPr>
          <w:lang w:val="el-GR"/>
        </w:rPr>
      </w:pPr>
    </w:p>
    <w:p w:rsidR="001F5608" w:rsidRPr="00CE233A" w:rsidRDefault="001F5608" w:rsidP="00971B3E">
      <w:pPr>
        <w:ind w:left="720"/>
        <w:rPr>
          <w:lang w:val="el-GR"/>
        </w:rPr>
      </w:pPr>
      <w:r w:rsidRPr="00CE233A">
        <w:rPr>
          <w:lang w:val="el-GR"/>
        </w:rPr>
        <w:t xml:space="preserve">Ιδιαίτερη προσοχή απαιτείται αναφορικά με την επάνοδο των αιμοπεταλίων, επειδή σε διπλές-τυφλές, ελεγχόμενες με </w:t>
      </w:r>
      <w:r w:rsidRPr="00CE233A">
        <w:t>placebo</w:t>
      </w:r>
      <w:r w:rsidRPr="00CE233A">
        <w:rPr>
          <w:lang w:val="el-GR"/>
        </w:rPr>
        <w:t xml:space="preserve"> μελέτες ο μέσος αριθμός των αιμοπεταλίων σε ασθενείς στους οποίους χορηγήθηκε το </w:t>
      </w:r>
      <w:r w:rsidRPr="00CE233A">
        <w:t>GRANOCYTE</w:t>
      </w:r>
      <w:r w:rsidRPr="00CE233A">
        <w:rPr>
          <w:lang w:val="el-GR"/>
        </w:rPr>
        <w:t xml:space="preserve"> ήταν μικρότερος έναντι εκείνων που έλαβαν </w:t>
      </w:r>
      <w:r w:rsidRPr="00CE233A">
        <w:t>placebo</w:t>
      </w:r>
      <w:r w:rsidRPr="00CE233A">
        <w:rPr>
          <w:lang w:val="el-GR"/>
        </w:rPr>
        <w:t xml:space="preserve">. </w:t>
      </w:r>
    </w:p>
    <w:p w:rsidR="001F5608" w:rsidRPr="00CE233A" w:rsidRDefault="001F5608" w:rsidP="00971B3E">
      <w:pPr>
        <w:ind w:left="720"/>
        <w:rPr>
          <w:lang w:val="el-GR"/>
        </w:rPr>
      </w:pPr>
    </w:p>
    <w:p w:rsidR="001F5608" w:rsidRPr="00CE233A" w:rsidRDefault="001F5608" w:rsidP="00971B3E">
      <w:pPr>
        <w:ind w:left="720"/>
        <w:rPr>
          <w:lang w:val="el-GR"/>
        </w:rPr>
      </w:pPr>
      <w:r w:rsidRPr="00CE233A">
        <w:rPr>
          <w:lang w:val="el-GR"/>
        </w:rPr>
        <w:t xml:space="preserve">Ο ρόλος του </w:t>
      </w:r>
      <w:r w:rsidRPr="00CE233A">
        <w:t>GRANOCYTE</w:t>
      </w:r>
      <w:r w:rsidRPr="00CE233A">
        <w:rPr>
          <w:lang w:val="el-GR"/>
        </w:rPr>
        <w:t xml:space="preserve"> στη συχνότητα εμφάνισης και τη βαρύτητα της οξείας και χρόνιας νόσου μοσχεύματος έναντι ξενιστή, δεν έχει προσδιορισθεί επακριβώς.</w:t>
      </w:r>
    </w:p>
    <w:p w:rsidR="001F5608" w:rsidRPr="00CE233A" w:rsidRDefault="001F5608" w:rsidP="00840A76">
      <w:pPr>
        <w:ind w:left="426"/>
        <w:rPr>
          <w:lang w:val="el-GR"/>
        </w:rPr>
      </w:pPr>
    </w:p>
    <w:p w:rsidR="001F5608" w:rsidRPr="00CE233A" w:rsidRDefault="001F5608" w:rsidP="00CE233A">
      <w:pPr>
        <w:numPr>
          <w:ilvl w:val="0"/>
          <w:numId w:val="4"/>
        </w:numPr>
        <w:ind w:left="567" w:hanging="425"/>
        <w:rPr>
          <w:b/>
          <w:lang w:val="el-GR"/>
        </w:rPr>
      </w:pPr>
      <w:r w:rsidRPr="00CE233A">
        <w:rPr>
          <w:lang w:val="el-GR"/>
        </w:rPr>
        <w:t>Σε καθιερωμένη κυτταροτοξική χημειοθεραπεία</w:t>
      </w:r>
    </w:p>
    <w:p w:rsidR="001F5608" w:rsidRPr="00CE233A" w:rsidRDefault="001F5608" w:rsidP="00840A76">
      <w:pPr>
        <w:ind w:left="425"/>
        <w:rPr>
          <w:lang w:val="el-GR"/>
        </w:rPr>
      </w:pPr>
    </w:p>
    <w:p w:rsidR="001F5608" w:rsidRPr="00CE233A" w:rsidRDefault="001F5608" w:rsidP="00971B3E">
      <w:pPr>
        <w:ind w:left="720"/>
        <w:rPr>
          <w:lang w:val="el-GR"/>
        </w:rPr>
      </w:pPr>
      <w:r w:rsidRPr="00CE233A">
        <w:rPr>
          <w:lang w:val="el-GR"/>
        </w:rPr>
        <w:t xml:space="preserve">Η χορήγηση του </w:t>
      </w:r>
      <w:r w:rsidRPr="00CE233A">
        <w:t>GRANOCYTE</w:t>
      </w:r>
      <w:r w:rsidRPr="00CE233A">
        <w:rPr>
          <w:lang w:val="el-GR"/>
        </w:rPr>
        <w:t xml:space="preserve"> δεν συνιστάται 24 ώρες πριν έως 24 ώρες μετά από το πέρας της χημ</w:t>
      </w:r>
      <w:r w:rsidR="00E63E48" w:rsidRPr="00CE233A">
        <w:rPr>
          <w:lang w:val="el-GR"/>
        </w:rPr>
        <w:t>ε</w:t>
      </w:r>
      <w:r w:rsidRPr="00CE233A">
        <w:rPr>
          <w:lang w:val="el-GR"/>
        </w:rPr>
        <w:t xml:space="preserve">ιοθεραπείας (βλ. </w:t>
      </w:r>
      <w:r w:rsidR="005B160B" w:rsidRPr="00CE233A">
        <w:rPr>
          <w:lang w:val="el-GR"/>
        </w:rPr>
        <w:t xml:space="preserve">παράγραφο </w:t>
      </w:r>
      <w:r w:rsidRPr="00CE233A">
        <w:rPr>
          <w:lang w:val="el-GR"/>
        </w:rPr>
        <w:t>4.5).</w:t>
      </w:r>
    </w:p>
    <w:p w:rsidR="005B160B" w:rsidRPr="00CE233A" w:rsidRDefault="005B160B" w:rsidP="00971B3E">
      <w:pPr>
        <w:ind w:left="720"/>
        <w:rPr>
          <w:lang w:val="el-GR"/>
        </w:rPr>
      </w:pPr>
    </w:p>
    <w:p w:rsidR="00077A67" w:rsidRPr="00CE233A" w:rsidRDefault="005B160B" w:rsidP="00971B3E">
      <w:pPr>
        <w:ind w:left="720"/>
        <w:rPr>
          <w:lang w:val="el-GR"/>
        </w:rPr>
      </w:pPr>
      <w:r w:rsidRPr="00CE233A">
        <w:rPr>
          <w:lang w:val="el-GR"/>
        </w:rPr>
        <w:t xml:space="preserve">Η ασφάλεια χρήσης του </w:t>
      </w:r>
      <w:r w:rsidRPr="00CE233A">
        <w:t>GRANOCYTE</w:t>
      </w:r>
      <w:r w:rsidRPr="00CE233A">
        <w:rPr>
          <w:lang w:val="el-GR"/>
        </w:rPr>
        <w:t xml:space="preserve"> με αντινεοπλασματικ</w:t>
      </w:r>
      <w:r w:rsidR="00FE597E" w:rsidRPr="00CE233A">
        <w:rPr>
          <w:lang w:val="el-GR"/>
        </w:rPr>
        <w:t>ούς</w:t>
      </w:r>
      <w:r w:rsidRPr="00CE233A">
        <w:rPr>
          <w:lang w:val="el-GR"/>
        </w:rPr>
        <w:t xml:space="preserve"> </w:t>
      </w:r>
      <w:r w:rsidR="00FE597E" w:rsidRPr="00CE233A">
        <w:rPr>
          <w:lang w:val="el-GR"/>
        </w:rPr>
        <w:t>παράγοντες</w:t>
      </w:r>
      <w:r w:rsidRPr="00CE233A">
        <w:rPr>
          <w:lang w:val="el-GR"/>
        </w:rPr>
        <w:t xml:space="preserve"> που χαρακτηρίζονται από αθροιστική ή έντονη μυελοτοξικότητα έναντι της αιμοπεταλιακής σειράς (νιτροζουρία, μιτομυκίνη) δεν έχει τεκμηριωθεί. </w:t>
      </w:r>
    </w:p>
    <w:p w:rsidR="00077A67" w:rsidRPr="00CE233A" w:rsidRDefault="00077A67" w:rsidP="00971B3E">
      <w:pPr>
        <w:ind w:left="720"/>
        <w:rPr>
          <w:lang w:val="el-GR"/>
        </w:rPr>
      </w:pPr>
    </w:p>
    <w:p w:rsidR="005B160B" w:rsidRPr="00CE233A" w:rsidRDefault="005B160B" w:rsidP="00971B3E">
      <w:pPr>
        <w:ind w:left="720"/>
        <w:rPr>
          <w:lang w:val="el-GR"/>
        </w:rPr>
      </w:pPr>
      <w:r w:rsidRPr="00CE233A">
        <w:rPr>
          <w:lang w:val="el-GR"/>
        </w:rPr>
        <w:t xml:space="preserve">Η χορήγηση του </w:t>
      </w:r>
      <w:r w:rsidRPr="00CE233A">
        <w:t>GRANOCYTE</w:t>
      </w:r>
      <w:r w:rsidRPr="00CE233A">
        <w:rPr>
          <w:lang w:val="el-GR"/>
        </w:rPr>
        <w:t xml:space="preserve"> μπορεί να ενισχύσει την τοξικότητα αυτών των παραγόντων, ιδιαίτερα έναντι των αιμοπεταλίων.</w:t>
      </w:r>
    </w:p>
    <w:p w:rsidR="001F5608" w:rsidRPr="00CE233A" w:rsidRDefault="001F5608" w:rsidP="00840A76">
      <w:pPr>
        <w:ind w:left="426" w:hanging="426"/>
        <w:rPr>
          <w:color w:val="FF00FF"/>
          <w:lang w:val="el-GR"/>
        </w:rPr>
      </w:pPr>
    </w:p>
    <w:p w:rsidR="001F5608" w:rsidRPr="00CE233A" w:rsidRDefault="001F5608" w:rsidP="00CE233A">
      <w:pPr>
        <w:numPr>
          <w:ilvl w:val="0"/>
          <w:numId w:val="4"/>
        </w:numPr>
        <w:ind w:left="567" w:hanging="425"/>
        <w:rPr>
          <w:b/>
          <w:lang w:val="el-GR"/>
        </w:rPr>
      </w:pPr>
      <w:r w:rsidRPr="00CE233A">
        <w:rPr>
          <w:lang w:val="el-GR"/>
        </w:rPr>
        <w:t>Κίνδυνοι σε περιπτώσεις χορήγησης αυξημένων δόσεων χημειοθεραπείας</w:t>
      </w:r>
    </w:p>
    <w:p w:rsidR="001F5608" w:rsidRPr="00CE233A" w:rsidRDefault="001F5608" w:rsidP="00840A76">
      <w:pPr>
        <w:ind w:left="426" w:hanging="426"/>
        <w:rPr>
          <w:lang w:val="el-GR"/>
        </w:rPr>
      </w:pPr>
    </w:p>
    <w:p w:rsidR="001F5608" w:rsidRPr="00CE233A" w:rsidRDefault="001F5608" w:rsidP="00971B3E">
      <w:pPr>
        <w:ind w:left="720" w:hanging="720"/>
        <w:rPr>
          <w:lang w:val="el-GR"/>
        </w:rPr>
      </w:pPr>
      <w:r w:rsidRPr="00CE233A">
        <w:rPr>
          <w:lang w:val="el-GR"/>
        </w:rPr>
        <w:tab/>
        <w:t xml:space="preserve">Δεν έχει επιβεβαιωθεί ακόμη η ασφάλεια και η αποτελεσματικότητα του </w:t>
      </w:r>
      <w:r w:rsidRPr="00CE233A">
        <w:t>GRANOCYTE</w:t>
      </w:r>
      <w:r w:rsidR="00F23180" w:rsidRPr="00CE233A">
        <w:rPr>
          <w:lang w:val="el-GR"/>
        </w:rPr>
        <w:t xml:space="preserve"> </w:t>
      </w:r>
      <w:r w:rsidRPr="00CE233A">
        <w:rPr>
          <w:lang w:val="el-GR"/>
        </w:rPr>
        <w:t xml:space="preserve">στα πλαίσια εντατικής χημειοθεραπείας. </w:t>
      </w:r>
      <w:r w:rsidR="00B843B2" w:rsidRPr="00CE233A">
        <w:rPr>
          <w:lang w:val="el-GR"/>
        </w:rPr>
        <w:t>Δ</w:t>
      </w:r>
      <w:r w:rsidRPr="00CE233A">
        <w:rPr>
          <w:lang w:val="el-GR"/>
        </w:rPr>
        <w:t xml:space="preserve">εν θα πρέπει να χρησιμοποιείται με σκοπό τη μείωση του χρόνου μεταξύ των κύκλων της χημειοθεραπείας, πέρα από τα καθιερωμένα όρια και/ ή την αύξηση των χημειοθεραπευτικών δόσεων. Σε κλινική μελέτη φάσης ΙΙ εντατικοποίησης της χημειοθεραπείας με </w:t>
      </w:r>
      <w:r w:rsidRPr="00CE233A">
        <w:t>GRANOCYTE</w:t>
      </w:r>
      <w:r w:rsidRPr="00CE233A">
        <w:rPr>
          <w:lang w:val="el-GR"/>
        </w:rPr>
        <w:t xml:space="preserve">, διαπιστώθηκε ότι η μη </w:t>
      </w:r>
      <w:r w:rsidR="006C3A9C" w:rsidRPr="00CE233A">
        <w:rPr>
          <w:iCs/>
          <w:lang w:val="el-GR"/>
        </w:rPr>
        <w:t xml:space="preserve">μυελοειδής </w:t>
      </w:r>
      <w:r w:rsidRPr="00CE233A">
        <w:rPr>
          <w:lang w:val="el-GR"/>
        </w:rPr>
        <w:t>τοξικότητα αποτέλεσε περιοριστικό παράγοντα.</w:t>
      </w:r>
    </w:p>
    <w:p w:rsidR="001F5608" w:rsidRPr="00CE233A" w:rsidRDefault="001F5608" w:rsidP="00840A76">
      <w:pPr>
        <w:ind w:left="426" w:hanging="426"/>
        <w:rPr>
          <w:lang w:val="el-GR"/>
        </w:rPr>
      </w:pPr>
    </w:p>
    <w:p w:rsidR="001F5608" w:rsidRPr="00CE233A" w:rsidRDefault="001F5608" w:rsidP="00CE233A">
      <w:pPr>
        <w:numPr>
          <w:ilvl w:val="0"/>
          <w:numId w:val="2"/>
        </w:numPr>
        <w:ind w:left="567" w:hanging="425"/>
        <w:rPr>
          <w:lang w:val="el-GR"/>
        </w:rPr>
      </w:pPr>
      <w:r w:rsidRPr="00CE233A">
        <w:rPr>
          <w:lang w:val="el-GR"/>
        </w:rPr>
        <w:lastRenderedPageBreak/>
        <w:t>Ειδικές προφυλάξεις κατά την κινητοποίηση των αρχέγονων αιμοποιητικών κυττάρων του περιφερικού αίματος (</w:t>
      </w:r>
      <w:r w:rsidRPr="00CE233A">
        <w:t>PBPCs</w:t>
      </w:r>
      <w:r w:rsidRPr="00CE233A">
        <w:rPr>
          <w:lang w:val="el-GR"/>
        </w:rPr>
        <w:t>)</w:t>
      </w:r>
    </w:p>
    <w:p w:rsidR="001F5608" w:rsidRPr="00CE233A" w:rsidRDefault="001F5608" w:rsidP="00840A76">
      <w:pPr>
        <w:ind w:left="426" w:hanging="426"/>
        <w:rPr>
          <w:lang w:val="el-GR"/>
        </w:rPr>
      </w:pPr>
    </w:p>
    <w:p w:rsidR="001F5608" w:rsidRPr="00CE233A" w:rsidRDefault="001F5608" w:rsidP="00971B3E">
      <w:pPr>
        <w:ind w:left="720" w:hanging="426"/>
        <w:rPr>
          <w:i/>
          <w:lang w:val="el-GR"/>
        </w:rPr>
      </w:pPr>
      <w:r w:rsidRPr="00CE233A">
        <w:rPr>
          <w:i/>
          <w:lang w:val="el-GR"/>
        </w:rPr>
        <w:tab/>
        <w:t>Επιλογή της μεθόδου ενεργοποίησης</w:t>
      </w:r>
    </w:p>
    <w:p w:rsidR="00054B03" w:rsidRPr="00CE233A" w:rsidRDefault="00054B03" w:rsidP="00971B3E">
      <w:pPr>
        <w:ind w:left="720" w:hanging="426"/>
        <w:rPr>
          <w:i/>
          <w:lang w:val="el-GR"/>
        </w:rPr>
      </w:pPr>
    </w:p>
    <w:p w:rsidR="001F5608" w:rsidRPr="00CE233A" w:rsidRDefault="001F5608" w:rsidP="00971B3E">
      <w:pPr>
        <w:ind w:left="720" w:hanging="426"/>
        <w:rPr>
          <w:lang w:val="el-GR"/>
        </w:rPr>
      </w:pPr>
      <w:r w:rsidRPr="00CE233A">
        <w:rPr>
          <w:lang w:val="el-GR"/>
        </w:rPr>
        <w:tab/>
        <w:t xml:space="preserve">Κλινικές μελέτες που διεξήχθησαν με την ίδια ομάδα ασθενών έδειξαν ότι η κινητοποίηση των </w:t>
      </w:r>
      <w:r w:rsidRPr="00CE233A">
        <w:t>PBPC</w:t>
      </w:r>
      <w:r w:rsidRPr="00CE233A">
        <w:rPr>
          <w:lang w:val="el-GR"/>
        </w:rPr>
        <w:t xml:space="preserve">, όπως αυτή μετρήθηκε στο ίδιο εργαστήριο, ήταν μεγαλύτερη όταν το </w:t>
      </w:r>
      <w:r w:rsidRPr="00CE233A">
        <w:t>GRANOCYTE</w:t>
      </w:r>
      <w:r w:rsidRPr="00CE233A">
        <w:rPr>
          <w:lang w:val="el-GR"/>
        </w:rPr>
        <w:t xml:space="preserve"> χορηγήθηκε μετά από χημειοθεραπεία από ότι όταν χορηγήθηκε μόνο του.</w:t>
      </w:r>
      <w:r w:rsidRPr="00CE233A">
        <w:rPr>
          <w:b/>
          <w:lang w:val="el-GR"/>
        </w:rPr>
        <w:t xml:space="preserve"> </w:t>
      </w:r>
      <w:r w:rsidRPr="00CE233A">
        <w:rPr>
          <w:lang w:val="el-GR"/>
        </w:rPr>
        <w:t>Ωστόσο, η επιλογή μεταξύ των δύο μεθόδων κινητοποίησης πρέπει να γίνεται σε συσχέτιση με τους συνολικούς στόχους της θεραπείας για κάθε ασθενή.</w:t>
      </w:r>
    </w:p>
    <w:p w:rsidR="001F5608" w:rsidRPr="00CE233A" w:rsidRDefault="001F5608" w:rsidP="00971B3E">
      <w:pPr>
        <w:ind w:left="720" w:hanging="426"/>
        <w:rPr>
          <w:lang w:val="el-GR"/>
        </w:rPr>
      </w:pPr>
    </w:p>
    <w:p w:rsidR="001F5608" w:rsidRPr="00CE233A" w:rsidRDefault="001F5608" w:rsidP="00971B3E">
      <w:pPr>
        <w:ind w:left="720" w:hanging="426"/>
        <w:rPr>
          <w:i/>
          <w:lang w:val="el-GR"/>
        </w:rPr>
      </w:pPr>
      <w:r w:rsidRPr="00CE233A">
        <w:rPr>
          <w:i/>
          <w:lang w:val="el-GR"/>
        </w:rPr>
        <w:tab/>
        <w:t>Προηγούμενη έκθεση σε ακτινοθεραπεία και/ή κυτταροτοξικούς παράγοντες</w:t>
      </w:r>
    </w:p>
    <w:p w:rsidR="00054B03" w:rsidRPr="00CE233A" w:rsidRDefault="00054B03" w:rsidP="00971B3E">
      <w:pPr>
        <w:ind w:left="720" w:hanging="426"/>
        <w:rPr>
          <w:i/>
          <w:lang w:val="el-GR"/>
        </w:rPr>
      </w:pPr>
    </w:p>
    <w:p w:rsidR="001F5608" w:rsidRPr="00CE233A" w:rsidRDefault="001F5608" w:rsidP="00971B3E">
      <w:pPr>
        <w:ind w:left="720" w:hanging="426"/>
        <w:rPr>
          <w:lang w:val="el-GR"/>
        </w:rPr>
      </w:pPr>
      <w:r w:rsidRPr="00CE233A">
        <w:rPr>
          <w:lang w:val="el-GR"/>
        </w:rPr>
        <w:tab/>
        <w:t xml:space="preserve">Ασθενείς που έχουν υποβληθεί προηγουμένως σε έντονη </w:t>
      </w:r>
      <w:r w:rsidR="009D541D" w:rsidRPr="00CE233A">
        <w:rPr>
          <w:lang w:val="el-GR"/>
        </w:rPr>
        <w:t>μυελοκατασταλτική θεραπεία και/</w:t>
      </w:r>
      <w:r w:rsidRPr="00CE233A">
        <w:rPr>
          <w:lang w:val="el-GR"/>
        </w:rPr>
        <w:t>ή ακτινοθεραπεία, είναι πιθανόν να μην παρουσιάσουν επαρκή κινητοποίηση των αρχέγονων αιμοποιητικών κυττάρων ώστε να επιτευχθεί συλλογή του ελάχιστου αποδεκτού αριθμού κυττάρων (</w:t>
      </w:r>
      <w:r w:rsidRPr="00CE233A">
        <w:sym w:font="Symbol" w:char="00B3"/>
      </w:r>
      <w:r w:rsidR="00380678" w:rsidRPr="00CE233A">
        <w:t> </w:t>
      </w:r>
      <w:r w:rsidRPr="00CE233A">
        <w:rPr>
          <w:lang w:val="el-GR"/>
        </w:rPr>
        <w:t>2,0</w:t>
      </w:r>
      <w:r w:rsidRPr="00CE233A">
        <w:sym w:font="Symbol" w:char="00B4"/>
      </w:r>
      <w:r w:rsidRPr="00CE233A">
        <w:rPr>
          <w:lang w:val="el-GR"/>
        </w:rPr>
        <w:t>10</w:t>
      </w:r>
      <w:r w:rsidRPr="00CE233A">
        <w:rPr>
          <w:vertAlign w:val="superscript"/>
          <w:lang w:val="el-GR"/>
        </w:rPr>
        <w:t>6</w:t>
      </w:r>
      <w:r w:rsidR="00380678" w:rsidRPr="00CE233A">
        <w:t> </w:t>
      </w:r>
      <w:r w:rsidRPr="00CE233A">
        <w:t>CD</w:t>
      </w:r>
      <w:r w:rsidRPr="00CE233A">
        <w:rPr>
          <w:lang w:val="el-GR"/>
        </w:rPr>
        <w:t>34</w:t>
      </w:r>
      <w:r w:rsidRPr="00CE233A">
        <w:rPr>
          <w:vertAlign w:val="superscript"/>
          <w:lang w:val="el-GR"/>
        </w:rPr>
        <w:t>+</w:t>
      </w:r>
      <w:r w:rsidRPr="00CE233A">
        <w:rPr>
          <w:lang w:val="el-GR"/>
        </w:rPr>
        <w:t xml:space="preserve"> κύτταρα ανά </w:t>
      </w:r>
      <w:r w:rsidRPr="00CE233A">
        <w:t>kg</w:t>
      </w:r>
      <w:r w:rsidRPr="00CE233A">
        <w:rPr>
          <w:lang w:val="el-GR"/>
        </w:rPr>
        <w:t>) και επομένως επαρκής αιματολογική ανάκαμψη.</w:t>
      </w:r>
    </w:p>
    <w:p w:rsidR="001F5608" w:rsidRPr="00CE233A" w:rsidRDefault="001F5608" w:rsidP="00971B3E">
      <w:pPr>
        <w:ind w:left="720" w:hanging="426"/>
        <w:rPr>
          <w:u w:val="single"/>
          <w:lang w:val="el-GR"/>
        </w:rPr>
      </w:pPr>
    </w:p>
    <w:p w:rsidR="001F5608" w:rsidRPr="00CE233A" w:rsidRDefault="001F5608" w:rsidP="00971B3E">
      <w:pPr>
        <w:ind w:left="720" w:hanging="426"/>
        <w:rPr>
          <w:lang w:val="el-GR"/>
        </w:rPr>
      </w:pPr>
      <w:r w:rsidRPr="00CE233A">
        <w:rPr>
          <w:lang w:val="el-GR"/>
        </w:rPr>
        <w:tab/>
        <w:t xml:space="preserve">Το πρόγραμμα μεταμόσχευσης αρχέγονων αιμοποιητικών κυττάρων του περιφερικού αίματος πρέπει να καθορίζεται στην αρχή της θεραπείας του ασθενούς και πρέπει να δίνεται ιδιαίτερη προσοχή στον αριθμό των </w:t>
      </w:r>
      <w:r w:rsidRPr="00CE233A">
        <w:t>PBPC</w:t>
      </w:r>
      <w:r w:rsidRPr="00CE233A">
        <w:rPr>
          <w:lang w:val="el-GR"/>
        </w:rPr>
        <w:t xml:space="preserve"> που κινητοποιούνται πριν από τη χορήγηση </w:t>
      </w:r>
      <w:r w:rsidR="00E80ED8" w:rsidRPr="00CE233A">
        <w:rPr>
          <w:lang w:val="el-GR"/>
        </w:rPr>
        <w:t>αυξημένης δόσης χημειο</w:t>
      </w:r>
      <w:r w:rsidRPr="00CE233A">
        <w:rPr>
          <w:lang w:val="el-GR"/>
        </w:rPr>
        <w:t xml:space="preserve">θεραπείας. Εάν οι τιμές είναι χαμηλές, το πρόγραμμα μεταμόσχευσης </w:t>
      </w:r>
      <w:r w:rsidRPr="00CE233A">
        <w:t>PBPC</w:t>
      </w:r>
      <w:r w:rsidRPr="00CE233A">
        <w:rPr>
          <w:lang w:val="el-GR"/>
        </w:rPr>
        <w:t xml:space="preserve"> πρέπει να αντικατασταθεί από άλλες μορφές θεραπείας.</w:t>
      </w:r>
    </w:p>
    <w:p w:rsidR="001F5608" w:rsidRPr="00CE233A" w:rsidRDefault="001F5608" w:rsidP="00971B3E">
      <w:pPr>
        <w:ind w:left="720" w:hanging="426"/>
        <w:rPr>
          <w:lang w:val="el-GR"/>
        </w:rPr>
      </w:pPr>
    </w:p>
    <w:p w:rsidR="001F5608" w:rsidRPr="00CE233A" w:rsidRDefault="001F5608" w:rsidP="00971B3E">
      <w:pPr>
        <w:ind w:left="720" w:hanging="426"/>
        <w:rPr>
          <w:i/>
          <w:lang w:val="el-GR"/>
        </w:rPr>
      </w:pPr>
      <w:r w:rsidRPr="00CE233A">
        <w:rPr>
          <w:i/>
          <w:lang w:val="el-GR"/>
        </w:rPr>
        <w:tab/>
        <w:t>Προ</w:t>
      </w:r>
      <w:r w:rsidR="00054B03" w:rsidRPr="00CE233A">
        <w:rPr>
          <w:i/>
          <w:lang w:val="el-GR"/>
        </w:rPr>
        <w:t xml:space="preserve">σδιορισμός των τιμών αρχέγονων </w:t>
      </w:r>
      <w:r w:rsidRPr="00CE233A">
        <w:rPr>
          <w:i/>
          <w:lang w:val="el-GR"/>
        </w:rPr>
        <w:t>κυττάρων</w:t>
      </w:r>
    </w:p>
    <w:p w:rsidR="00054B03" w:rsidRPr="00CE233A" w:rsidRDefault="00054B03" w:rsidP="00971B3E">
      <w:pPr>
        <w:ind w:left="720" w:hanging="426"/>
        <w:rPr>
          <w:i/>
          <w:lang w:val="el-GR"/>
        </w:rPr>
      </w:pPr>
    </w:p>
    <w:p w:rsidR="001F5608" w:rsidRPr="00CE233A" w:rsidRDefault="001F5608" w:rsidP="00971B3E">
      <w:pPr>
        <w:ind w:left="720" w:hanging="426"/>
        <w:rPr>
          <w:lang w:val="el-GR"/>
        </w:rPr>
      </w:pPr>
      <w:r w:rsidRPr="00CE233A">
        <w:rPr>
          <w:lang w:val="el-GR"/>
        </w:rPr>
        <w:tab/>
        <w:t xml:space="preserve">Ιδιαίτερη προσοχή πρέπει να δίνεται στη μέθοδο ποσοτικού προσδιορισμού των αρχέγονων κυττάρων </w:t>
      </w:r>
      <w:r w:rsidR="00234DC3" w:rsidRPr="00CE233A">
        <w:rPr>
          <w:lang w:val="el-GR"/>
        </w:rPr>
        <w:t>καθώς</w:t>
      </w:r>
      <w:r w:rsidRPr="00CE233A">
        <w:rPr>
          <w:lang w:val="el-GR"/>
        </w:rPr>
        <w:t xml:space="preserve"> τα αποτελέσματα </w:t>
      </w:r>
      <w:r w:rsidR="00834421" w:rsidRPr="00CE233A">
        <w:rPr>
          <w:lang w:val="el-GR"/>
        </w:rPr>
        <w:t xml:space="preserve">από </w:t>
      </w:r>
      <w:r w:rsidRPr="00CE233A">
        <w:rPr>
          <w:lang w:val="el-GR"/>
        </w:rPr>
        <w:t>τη</w:t>
      </w:r>
      <w:r w:rsidR="00834421" w:rsidRPr="00CE233A">
        <w:rPr>
          <w:lang w:val="el-GR"/>
        </w:rPr>
        <w:t>ν</w:t>
      </w:r>
      <w:r w:rsidRPr="00CE233A">
        <w:rPr>
          <w:lang w:val="el-GR"/>
        </w:rPr>
        <w:t xml:space="preserve"> ανάλυση κυτταρομετρίας ροής των κυττάρων </w:t>
      </w:r>
      <w:r w:rsidRPr="00CE233A">
        <w:t>CD</w:t>
      </w:r>
      <w:r w:rsidRPr="00CE233A">
        <w:rPr>
          <w:lang w:val="el-GR"/>
        </w:rPr>
        <w:t>34</w:t>
      </w:r>
      <w:r w:rsidRPr="00CE233A">
        <w:rPr>
          <w:vertAlign w:val="superscript"/>
          <w:lang w:val="el-GR"/>
        </w:rPr>
        <w:t>+</w:t>
      </w:r>
      <w:r w:rsidRPr="00CE233A">
        <w:rPr>
          <w:lang w:val="el-GR"/>
        </w:rPr>
        <w:t xml:space="preserve"> ποικίλλουν μεταξύ εργαστηρίων.</w:t>
      </w:r>
    </w:p>
    <w:p w:rsidR="001F5608" w:rsidRPr="00CE233A" w:rsidRDefault="001F5608" w:rsidP="00971B3E">
      <w:pPr>
        <w:ind w:left="720" w:hanging="426"/>
        <w:rPr>
          <w:lang w:val="el-GR"/>
        </w:rPr>
      </w:pPr>
    </w:p>
    <w:p w:rsidR="001F5608" w:rsidRPr="00CE233A" w:rsidRDefault="001F5608" w:rsidP="00971B3E">
      <w:pPr>
        <w:ind w:left="720" w:hanging="426"/>
        <w:rPr>
          <w:lang w:val="el-GR"/>
        </w:rPr>
      </w:pPr>
      <w:r w:rsidRPr="00CE233A">
        <w:rPr>
          <w:lang w:val="el-GR"/>
        </w:rPr>
        <w:tab/>
        <w:t xml:space="preserve">Ο ελάχιστος αποδεκτός αριθμός συλλογής </w:t>
      </w:r>
      <w:r w:rsidRPr="00CE233A">
        <w:t>CD</w:t>
      </w:r>
      <w:r w:rsidRPr="00CE233A">
        <w:rPr>
          <w:lang w:val="el-GR"/>
        </w:rPr>
        <w:t>34</w:t>
      </w:r>
      <w:r w:rsidRPr="00CE233A">
        <w:rPr>
          <w:vertAlign w:val="superscript"/>
          <w:lang w:val="el-GR"/>
        </w:rPr>
        <w:t xml:space="preserve">+ </w:t>
      </w:r>
      <w:r w:rsidRPr="00CE233A">
        <w:rPr>
          <w:lang w:val="el-GR"/>
        </w:rPr>
        <w:t xml:space="preserve">κυττάρων δεν έχει σαφώς καθορισθεί. Η συνιστώμενη ως ελάχιστη τιμή </w:t>
      </w:r>
      <w:r w:rsidRPr="00CE233A">
        <w:sym w:font="Symbol" w:char="00B3"/>
      </w:r>
      <w:r w:rsidR="00380678" w:rsidRPr="00CE233A">
        <w:t> </w:t>
      </w:r>
      <w:r w:rsidRPr="00CE233A">
        <w:rPr>
          <w:lang w:val="el-GR"/>
        </w:rPr>
        <w:t>2,0</w:t>
      </w:r>
      <w:r w:rsidRPr="00CE233A">
        <w:sym w:font="Symbol" w:char="00B4"/>
      </w:r>
      <w:r w:rsidRPr="00CE233A">
        <w:rPr>
          <w:lang w:val="el-GR"/>
        </w:rPr>
        <w:t>10</w:t>
      </w:r>
      <w:r w:rsidRPr="00CE233A">
        <w:rPr>
          <w:vertAlign w:val="superscript"/>
          <w:lang w:val="el-GR"/>
        </w:rPr>
        <w:t>6</w:t>
      </w:r>
      <w:r w:rsidR="00380678" w:rsidRPr="00CE233A">
        <w:t> </w:t>
      </w:r>
      <w:r w:rsidRPr="00CE233A">
        <w:t>CD</w:t>
      </w:r>
      <w:r w:rsidRPr="00CE233A">
        <w:rPr>
          <w:lang w:val="el-GR"/>
        </w:rPr>
        <w:t>34</w:t>
      </w:r>
      <w:r w:rsidRPr="00CE233A">
        <w:rPr>
          <w:vertAlign w:val="superscript"/>
          <w:lang w:val="el-GR"/>
        </w:rPr>
        <w:t>+</w:t>
      </w:r>
      <w:r w:rsidRPr="00CE233A">
        <w:rPr>
          <w:lang w:val="el-GR"/>
        </w:rPr>
        <w:t xml:space="preserve"> κύτταρα</w:t>
      </w:r>
      <w:r w:rsidRPr="00CE233A">
        <w:rPr>
          <w:i/>
          <w:iCs/>
          <w:lang w:val="el-GR"/>
        </w:rPr>
        <w:t xml:space="preserve"> </w:t>
      </w:r>
      <w:r w:rsidRPr="00CE233A">
        <w:rPr>
          <w:lang w:val="el-GR"/>
        </w:rPr>
        <w:t xml:space="preserve">ανά </w:t>
      </w:r>
      <w:r w:rsidRPr="00CE233A">
        <w:t>kg</w:t>
      </w:r>
      <w:r w:rsidRPr="00CE233A">
        <w:rPr>
          <w:lang w:val="el-GR"/>
        </w:rPr>
        <w:t xml:space="preserve"> σωματικού βάρους, στηρίζεται στη δημοσιευμένη εμπειρία ώστε να επιτευχθεί επαρκής αιματολογική ανάκαμψη. Τιμές υψηλότερες από </w:t>
      </w:r>
      <w:r w:rsidRPr="00CE233A">
        <w:sym w:font="Symbol" w:char="00B3"/>
      </w:r>
      <w:r w:rsidR="00380678" w:rsidRPr="00CE233A">
        <w:t> </w:t>
      </w:r>
      <w:r w:rsidRPr="00CE233A">
        <w:rPr>
          <w:lang w:val="el-GR"/>
        </w:rPr>
        <w:t>2,0</w:t>
      </w:r>
      <w:r w:rsidRPr="00CE233A">
        <w:sym w:font="Symbol" w:char="00B4"/>
      </w:r>
      <w:r w:rsidRPr="00CE233A">
        <w:rPr>
          <w:lang w:val="el-GR"/>
        </w:rPr>
        <w:t>10</w:t>
      </w:r>
      <w:r w:rsidRPr="00CE233A">
        <w:rPr>
          <w:vertAlign w:val="superscript"/>
          <w:lang w:val="el-GR"/>
        </w:rPr>
        <w:t>6</w:t>
      </w:r>
      <w:r w:rsidR="00380678" w:rsidRPr="00CE233A">
        <w:t> </w:t>
      </w:r>
      <w:r w:rsidRPr="00CE233A">
        <w:rPr>
          <w:lang w:val="el-GR"/>
        </w:rPr>
        <w:t xml:space="preserve">κύτταρα </w:t>
      </w:r>
      <w:r w:rsidRPr="00CE233A">
        <w:t>CD</w:t>
      </w:r>
      <w:r w:rsidRPr="00CE233A">
        <w:rPr>
          <w:lang w:val="el-GR"/>
        </w:rPr>
        <w:t>34</w:t>
      </w:r>
      <w:r w:rsidRPr="00CE233A">
        <w:rPr>
          <w:vertAlign w:val="superscript"/>
          <w:lang w:val="el-GR"/>
        </w:rPr>
        <w:t xml:space="preserve">+ </w:t>
      </w:r>
      <w:r w:rsidRPr="00CE233A">
        <w:rPr>
          <w:lang w:val="el-GR"/>
        </w:rPr>
        <w:t xml:space="preserve">ανά </w:t>
      </w:r>
      <w:r w:rsidRPr="00CE233A">
        <w:t>kg</w:t>
      </w:r>
      <w:r w:rsidRPr="00CE233A">
        <w:rPr>
          <w:lang w:val="el-GR"/>
        </w:rPr>
        <w:t xml:space="preserve"> σωματικού βάρους συνδέονται με ταχύτερη ανάκαμψη, συμπεριλαμβανομένων των αιμοπεταλίων, ενώ χαμηλότερες τιμές οδηγούν σε βραδύτερη ανάκαμψη.</w:t>
      </w:r>
    </w:p>
    <w:p w:rsidR="001F5608" w:rsidRPr="00CE233A" w:rsidRDefault="001F5608" w:rsidP="00840A76">
      <w:pPr>
        <w:ind w:left="426" w:hanging="426"/>
        <w:rPr>
          <w:iCs/>
          <w:lang w:val="el-GR"/>
        </w:rPr>
      </w:pPr>
    </w:p>
    <w:p w:rsidR="001F5608" w:rsidRPr="00CE233A" w:rsidRDefault="001F5608" w:rsidP="00CE233A">
      <w:pPr>
        <w:pStyle w:val="2"/>
        <w:numPr>
          <w:ilvl w:val="0"/>
          <w:numId w:val="10"/>
        </w:numPr>
        <w:tabs>
          <w:tab w:val="clear" w:pos="360"/>
          <w:tab w:val="num" w:pos="567"/>
        </w:tabs>
        <w:ind w:left="709" w:hanging="567"/>
        <w:jc w:val="left"/>
        <w:rPr>
          <w:i w:val="0"/>
          <w:color w:val="000000"/>
          <w:sz w:val="24"/>
          <w:szCs w:val="24"/>
          <w:u w:val="single"/>
        </w:rPr>
      </w:pPr>
      <w:r w:rsidRPr="00CE233A">
        <w:rPr>
          <w:i w:val="0"/>
          <w:iCs/>
          <w:color w:val="000000"/>
          <w:sz w:val="24"/>
          <w:szCs w:val="24"/>
        </w:rPr>
        <w:t>Σε υγιείς δότες</w:t>
      </w:r>
    </w:p>
    <w:p w:rsidR="001F5608" w:rsidRPr="00CE233A" w:rsidRDefault="001F5608" w:rsidP="00840A76">
      <w:pPr>
        <w:ind w:left="426"/>
        <w:rPr>
          <w:color w:val="000000"/>
          <w:lang w:val="el-GR"/>
        </w:rPr>
      </w:pPr>
    </w:p>
    <w:p w:rsidR="001F5608" w:rsidRPr="00CE233A" w:rsidRDefault="001F5608" w:rsidP="00971B3E">
      <w:pPr>
        <w:pStyle w:val="a3"/>
        <w:ind w:left="720"/>
        <w:jc w:val="left"/>
        <w:rPr>
          <w:b w:val="0"/>
          <w:i w:val="0"/>
          <w:color w:val="000000"/>
          <w:sz w:val="24"/>
          <w:szCs w:val="24"/>
        </w:rPr>
      </w:pPr>
      <w:r w:rsidRPr="00CE233A">
        <w:rPr>
          <w:b w:val="0"/>
          <w:i w:val="0"/>
          <w:color w:val="000000"/>
          <w:sz w:val="24"/>
          <w:szCs w:val="24"/>
        </w:rPr>
        <w:t>Η κινητοποίηση αρχέγονων αιμοποιητικών κυττάρων του περιφερικού αίματος (PBPCs), η οποία αποτελεί μια διαδικασία χωρίς άμεση ωφέλεια για τα υγιή άτομα, πρέπει να κρίνεται με βάση τις κείμενες τοπικές διατάξεις, ως επί μεταμοσχεύσεως μυελού των οστών, εφόσον υπάρχουν.</w:t>
      </w:r>
    </w:p>
    <w:p w:rsidR="001F5608" w:rsidRPr="00CE233A" w:rsidRDefault="001F5608" w:rsidP="00971B3E">
      <w:pPr>
        <w:ind w:left="720" w:hanging="1"/>
        <w:rPr>
          <w:lang w:val="el-GR"/>
        </w:rPr>
      </w:pPr>
    </w:p>
    <w:p w:rsidR="001F5608" w:rsidRPr="00CE233A" w:rsidRDefault="001F5608" w:rsidP="00971B3E">
      <w:pPr>
        <w:ind w:left="720" w:hanging="1"/>
        <w:rPr>
          <w:lang w:val="el-GR"/>
        </w:rPr>
      </w:pPr>
      <w:r w:rsidRPr="00CE233A">
        <w:rPr>
          <w:lang w:val="el-GR"/>
        </w:rPr>
        <w:lastRenderedPageBreak/>
        <w:t xml:space="preserve">Η αποτελεσματικότητα και η ασφάλεια του </w:t>
      </w:r>
      <w:r w:rsidRPr="00CE233A">
        <w:t>GRANOCYTE</w:t>
      </w:r>
      <w:r w:rsidRPr="00CE233A">
        <w:rPr>
          <w:lang w:val="el-GR"/>
        </w:rPr>
        <w:t xml:space="preserve"> δεν έχουν αξιολογηθεί σε δότες ηλικίας άνω των 60 ετών, επομένως δεν συνιστάται η διαδικασία. Βάσει ορισμένων τοπικών κανονισμών και ελλείψει μελετών, ανήλικοι δότες δεν θα πρέπει να θεωρούνται υποψήφιοι δότες.</w:t>
      </w:r>
    </w:p>
    <w:p w:rsidR="001F5608" w:rsidRPr="00CE233A" w:rsidRDefault="001F5608" w:rsidP="00971B3E">
      <w:pPr>
        <w:pStyle w:val="20"/>
        <w:ind w:left="720"/>
        <w:jc w:val="left"/>
        <w:rPr>
          <w:sz w:val="24"/>
          <w:szCs w:val="24"/>
        </w:rPr>
      </w:pPr>
    </w:p>
    <w:p w:rsidR="001F5608" w:rsidRPr="00CE233A" w:rsidRDefault="001F5608" w:rsidP="00971B3E">
      <w:pPr>
        <w:pStyle w:val="20"/>
        <w:ind w:left="720"/>
        <w:jc w:val="left"/>
        <w:rPr>
          <w:sz w:val="24"/>
          <w:szCs w:val="24"/>
        </w:rPr>
      </w:pPr>
      <w:r w:rsidRPr="00CE233A">
        <w:rPr>
          <w:sz w:val="24"/>
          <w:szCs w:val="24"/>
        </w:rPr>
        <w:t>Η διαδικασία κινητοποίησης των αρχέγονων αιμοποιητικών κυττάρων του περιφερικού αίματος (PBPCs) θα πρέπει να εξετάζεται στις περιπτώσεις δοτών οι οποίοι πληρούν τα συνήθη κλινικά και εργαστηριακά κριτήρια επιλογής για δωρεά μυελού των οστών, ειδικά τις φυσιολογικές αιματολογικές τιμές.</w:t>
      </w:r>
    </w:p>
    <w:p w:rsidR="001F5608" w:rsidRPr="00CE233A" w:rsidRDefault="001F5608" w:rsidP="00971B3E">
      <w:pPr>
        <w:ind w:left="720" w:hanging="1"/>
        <w:rPr>
          <w:lang w:val="el-GR"/>
        </w:rPr>
      </w:pPr>
    </w:p>
    <w:p w:rsidR="001F5608" w:rsidRPr="00CE233A" w:rsidRDefault="001F5608" w:rsidP="00971B3E">
      <w:pPr>
        <w:ind w:left="720" w:hanging="1"/>
        <w:rPr>
          <w:lang w:val="el-GR"/>
        </w:rPr>
      </w:pPr>
      <w:r w:rsidRPr="00CE233A">
        <w:rPr>
          <w:lang w:val="el-GR"/>
        </w:rPr>
        <w:t xml:space="preserve">Σημαντικού βαθμού λευκοκυττάρωση (αριθμός λευκών αιμοσφαιρίων </w:t>
      </w:r>
      <w:r w:rsidRPr="00CE233A">
        <w:sym w:font="Symbol" w:char="00B3"/>
      </w:r>
      <w:r w:rsidR="00CD5C84" w:rsidRPr="00CE233A">
        <w:t> </w:t>
      </w:r>
      <w:r w:rsidRPr="00CE233A">
        <w:rPr>
          <w:lang w:val="el-GR"/>
        </w:rPr>
        <w:t>50</w:t>
      </w:r>
      <w:r w:rsidR="00CD5C84" w:rsidRPr="00CE233A">
        <w:t> </w:t>
      </w:r>
      <w:r w:rsidRPr="00CE233A">
        <w:t>x</w:t>
      </w:r>
      <w:r w:rsidR="00CD5C84" w:rsidRPr="00CE233A">
        <w:t> </w:t>
      </w:r>
      <w:r w:rsidRPr="00CE233A">
        <w:rPr>
          <w:lang w:val="el-GR"/>
        </w:rPr>
        <w:t>10</w:t>
      </w:r>
      <w:r w:rsidRPr="00CE233A">
        <w:rPr>
          <w:vertAlign w:val="superscript"/>
          <w:lang w:val="el-GR"/>
        </w:rPr>
        <w:t>9</w:t>
      </w:r>
      <w:r w:rsidRPr="00CE233A">
        <w:rPr>
          <w:lang w:val="el-GR"/>
        </w:rPr>
        <w:t>/</w:t>
      </w:r>
      <w:r w:rsidRPr="00CE233A">
        <w:t>l</w:t>
      </w:r>
      <w:r w:rsidRPr="00CE233A">
        <w:rPr>
          <w:lang w:val="el-GR"/>
        </w:rPr>
        <w:t>) παρατηρήθηκε στο 24% των ατόμων που μελετήθηκαν.</w:t>
      </w:r>
    </w:p>
    <w:p w:rsidR="001F5608" w:rsidRPr="00CE233A" w:rsidRDefault="001F5608" w:rsidP="00971B3E">
      <w:pPr>
        <w:ind w:left="720" w:hanging="1"/>
        <w:rPr>
          <w:lang w:val="el-GR"/>
        </w:rPr>
      </w:pPr>
    </w:p>
    <w:p w:rsidR="001F5608" w:rsidRPr="00CE233A" w:rsidRDefault="001F5608" w:rsidP="00971B3E">
      <w:pPr>
        <w:ind w:left="720" w:hanging="1"/>
        <w:rPr>
          <w:lang w:val="el-GR"/>
        </w:rPr>
      </w:pPr>
      <w:r w:rsidRPr="00CE233A">
        <w:rPr>
          <w:lang w:val="el-GR"/>
        </w:rPr>
        <w:t xml:space="preserve">Θρομβοπενία (αριθμός αιμοπεταλίων </w:t>
      </w:r>
      <w:r w:rsidRPr="00CE233A">
        <w:sym w:font="Symbol" w:char="003C"/>
      </w:r>
      <w:r w:rsidR="00CD5C84" w:rsidRPr="00CE233A">
        <w:t> </w:t>
      </w:r>
      <w:r w:rsidRPr="00CE233A">
        <w:rPr>
          <w:lang w:val="el-GR"/>
        </w:rPr>
        <w:t>100</w:t>
      </w:r>
      <w:r w:rsidR="00CD5C84" w:rsidRPr="00CE233A">
        <w:t> </w:t>
      </w:r>
      <w:r w:rsidRPr="00CE233A">
        <w:t>x</w:t>
      </w:r>
      <w:r w:rsidR="00CD5C84" w:rsidRPr="00CE233A">
        <w:t> </w:t>
      </w:r>
      <w:r w:rsidRPr="00CE233A">
        <w:rPr>
          <w:lang w:val="el-GR"/>
        </w:rPr>
        <w:t>10</w:t>
      </w:r>
      <w:r w:rsidRPr="00CE233A">
        <w:rPr>
          <w:vertAlign w:val="superscript"/>
          <w:lang w:val="el-GR"/>
        </w:rPr>
        <w:t>9</w:t>
      </w:r>
      <w:r w:rsidRPr="00CE233A">
        <w:rPr>
          <w:lang w:val="el-GR"/>
        </w:rPr>
        <w:t>/</w:t>
      </w:r>
      <w:r w:rsidRPr="00CE233A">
        <w:t>l</w:t>
      </w:r>
      <w:r w:rsidRPr="00CE233A">
        <w:rPr>
          <w:lang w:val="el-GR"/>
        </w:rPr>
        <w:t>) σχετιζόμενη με τη λευκαφαίρεση  παρατηρήθηκε στο 42% των δοτών που μελετήθηκαν και τιμές &lt;</w:t>
      </w:r>
      <w:r w:rsidR="00CD5C84" w:rsidRPr="00CE233A">
        <w:t> </w:t>
      </w:r>
      <w:r w:rsidRPr="00CE233A">
        <w:rPr>
          <w:lang w:val="el-GR"/>
        </w:rPr>
        <w:t>50</w:t>
      </w:r>
      <w:r w:rsidR="00CD5C84" w:rsidRPr="00CE233A">
        <w:t> </w:t>
      </w:r>
      <w:r w:rsidRPr="00CE233A">
        <w:t>x</w:t>
      </w:r>
      <w:r w:rsidR="00CD5C84" w:rsidRPr="00CE233A">
        <w:t> </w:t>
      </w:r>
      <w:r w:rsidRPr="00CE233A">
        <w:rPr>
          <w:lang w:val="el-GR"/>
        </w:rPr>
        <w:t>10</w:t>
      </w:r>
      <w:r w:rsidRPr="00CE233A">
        <w:rPr>
          <w:vertAlign w:val="superscript"/>
          <w:lang w:val="el-GR"/>
        </w:rPr>
        <w:t>9</w:t>
      </w:r>
      <w:r w:rsidRPr="00CE233A">
        <w:rPr>
          <w:lang w:val="el-GR"/>
        </w:rPr>
        <w:t>/</w:t>
      </w:r>
      <w:r w:rsidRPr="00CE233A">
        <w:t>l</w:t>
      </w:r>
      <w:r w:rsidRPr="00CE233A">
        <w:rPr>
          <w:lang w:val="el-GR"/>
        </w:rPr>
        <w:t xml:space="preserve"> παρατηρήθηκαν σποραδικά μετά τη λευκαφαίρεση χωρίς σχετικές κλινικές ανεπιθύμητες ενέργειες. Σε όλες τις περιπτώσεις οι τιμές επανήλθαν στα φυσιολογικά επίπεδα. Επομένως, λευκαφαίρεση δεν θα πρέπει να πραγματοποιείται σε δότες οι οποίοι λαμβάνουν αντιπηκτική αγωγή ή πάσχουν από διαταραχές της αιμόστασης. Εάν απαιτούνται περισσότερες της μιας λευκαφαιρέσεις, θα πρέπει να δίνεται ιδιαίτερη προσοχή στους δότες που έχουν πριν από τη λευκαφαίρεση αριθμό αιμοπεταλίων </w:t>
      </w:r>
      <w:r w:rsidRPr="00CE233A">
        <w:sym w:font="Symbol" w:char="003C"/>
      </w:r>
      <w:r w:rsidR="00CD5C84" w:rsidRPr="00CE233A">
        <w:t> </w:t>
      </w:r>
      <w:r w:rsidRPr="00CE233A">
        <w:rPr>
          <w:lang w:val="el-GR"/>
        </w:rPr>
        <w:t>100</w:t>
      </w:r>
      <w:r w:rsidR="00CD5C84" w:rsidRPr="00CE233A">
        <w:t> </w:t>
      </w:r>
      <w:r w:rsidRPr="00CE233A">
        <w:t>x</w:t>
      </w:r>
      <w:r w:rsidR="00CD5C84" w:rsidRPr="00CE233A">
        <w:t> </w:t>
      </w:r>
      <w:r w:rsidRPr="00CE233A">
        <w:rPr>
          <w:lang w:val="el-GR"/>
        </w:rPr>
        <w:t>10</w:t>
      </w:r>
      <w:r w:rsidRPr="00CE233A">
        <w:rPr>
          <w:vertAlign w:val="superscript"/>
          <w:lang w:val="el-GR"/>
        </w:rPr>
        <w:t>9</w:t>
      </w:r>
      <w:r w:rsidRPr="00CE233A">
        <w:rPr>
          <w:lang w:val="el-GR"/>
        </w:rPr>
        <w:t>/</w:t>
      </w:r>
      <w:r w:rsidRPr="00CE233A">
        <w:t>l</w:t>
      </w:r>
      <w:r w:rsidRPr="00CE233A">
        <w:rPr>
          <w:lang w:val="el-GR"/>
        </w:rPr>
        <w:t xml:space="preserve">. Γενικά, δεν θα πρέπει να πραγματοποιείται λευκαφαίρεση εάν ο αριθμός των αιμοπεταλίων είναι </w:t>
      </w:r>
      <w:r w:rsidRPr="00CE233A">
        <w:sym w:font="Symbol" w:char="003C"/>
      </w:r>
      <w:r w:rsidR="00CD5C84" w:rsidRPr="00CE233A">
        <w:t> </w:t>
      </w:r>
      <w:r w:rsidRPr="00CE233A">
        <w:rPr>
          <w:lang w:val="el-GR"/>
        </w:rPr>
        <w:t>75</w:t>
      </w:r>
      <w:r w:rsidR="00CD5C84" w:rsidRPr="00CE233A">
        <w:t> </w:t>
      </w:r>
      <w:r w:rsidRPr="00CE233A">
        <w:t>x</w:t>
      </w:r>
      <w:r w:rsidR="00CD5C84" w:rsidRPr="00CE233A">
        <w:t> </w:t>
      </w:r>
      <w:r w:rsidRPr="00CE233A">
        <w:rPr>
          <w:lang w:val="el-GR"/>
        </w:rPr>
        <w:t>10</w:t>
      </w:r>
      <w:r w:rsidRPr="00CE233A">
        <w:rPr>
          <w:vertAlign w:val="superscript"/>
          <w:lang w:val="el-GR"/>
        </w:rPr>
        <w:t>9</w:t>
      </w:r>
      <w:r w:rsidRPr="00CE233A">
        <w:rPr>
          <w:lang w:val="el-GR"/>
        </w:rPr>
        <w:t>/</w:t>
      </w:r>
      <w:r w:rsidRPr="00CE233A">
        <w:t>l</w:t>
      </w:r>
      <w:r w:rsidRPr="00CE233A">
        <w:rPr>
          <w:lang w:val="el-GR"/>
        </w:rPr>
        <w:t>.</w:t>
      </w:r>
    </w:p>
    <w:p w:rsidR="001F5608" w:rsidRPr="00CE233A" w:rsidRDefault="001F5608" w:rsidP="00971B3E">
      <w:pPr>
        <w:ind w:left="720" w:hanging="1"/>
        <w:rPr>
          <w:lang w:val="el-GR"/>
        </w:rPr>
      </w:pPr>
    </w:p>
    <w:p w:rsidR="001F5608" w:rsidRPr="00CE233A" w:rsidRDefault="001F5608" w:rsidP="00971B3E">
      <w:pPr>
        <w:ind w:left="720" w:hanging="1"/>
        <w:rPr>
          <w:lang w:val="el-GR"/>
        </w:rPr>
      </w:pPr>
      <w:r w:rsidRPr="00CE233A">
        <w:rPr>
          <w:lang w:val="el-GR"/>
        </w:rPr>
        <w:t>Καθετηριασμός κεντρικής φλέβας θα πρέπει να αποφεύγεται ει δυνατόν, ενώ θα πρέπει να δίνεται σημασία στη δυνατότητα πρόσβασης στις φλέβες κατά την επιλογή των δοτών.</w:t>
      </w:r>
    </w:p>
    <w:p w:rsidR="001F5608" w:rsidRPr="00CE233A" w:rsidRDefault="001F5608" w:rsidP="00971B3E">
      <w:pPr>
        <w:ind w:left="720" w:hanging="1"/>
        <w:rPr>
          <w:lang w:val="el-GR"/>
        </w:rPr>
      </w:pPr>
    </w:p>
    <w:p w:rsidR="002A614B" w:rsidRPr="00CE233A" w:rsidRDefault="002A614B" w:rsidP="002A614B">
      <w:pPr>
        <w:ind w:left="720"/>
        <w:rPr>
          <w:lang w:val="el-GR"/>
        </w:rPr>
      </w:pPr>
      <w:r w:rsidRPr="00CE233A">
        <w:rPr>
          <w:lang w:val="el-GR"/>
        </w:rPr>
        <w:t xml:space="preserve">Παροδικές κυτταρογενετικές μεταβολές έχουν παρατηρηθεί σε υγιείς δότες μετά τη χρήση ενός </w:t>
      </w:r>
      <w:r w:rsidRPr="00CE233A">
        <w:t>G</w:t>
      </w:r>
      <w:r w:rsidR="00DF4E90" w:rsidRPr="00CE233A">
        <w:rPr>
          <w:lang w:val="el-GR"/>
        </w:rPr>
        <w:noBreakHyphen/>
      </w:r>
      <w:r w:rsidRPr="00CE233A">
        <w:t>CSF</w:t>
      </w:r>
      <w:r w:rsidRPr="00CE233A">
        <w:rPr>
          <w:lang w:val="el-GR"/>
        </w:rPr>
        <w:t>. Η σημασία των αλλαγών αυτών είναι άγνωστη.</w:t>
      </w:r>
    </w:p>
    <w:p w:rsidR="002A614B" w:rsidRPr="00CE233A" w:rsidRDefault="002A614B" w:rsidP="002A614B">
      <w:pPr>
        <w:ind w:left="720"/>
        <w:rPr>
          <w:lang w:val="el-GR"/>
        </w:rPr>
      </w:pPr>
    </w:p>
    <w:p w:rsidR="002A614B" w:rsidRPr="00CE233A" w:rsidRDefault="002A614B" w:rsidP="002A614B">
      <w:pPr>
        <w:ind w:left="720"/>
        <w:rPr>
          <w:lang w:val="el-GR"/>
        </w:rPr>
      </w:pPr>
      <w:r w:rsidRPr="00CE233A">
        <w:rPr>
          <w:lang w:val="el-GR"/>
        </w:rPr>
        <w:t>Η μακροχρόνια παρακολούθηση της ασφάλειας των δοτών βρίσκεται σε εξέλιξη.</w:t>
      </w:r>
    </w:p>
    <w:p w:rsidR="00031B85" w:rsidRPr="00330732" w:rsidRDefault="002A614B" w:rsidP="002A614B">
      <w:pPr>
        <w:ind w:left="720" w:hanging="1"/>
        <w:rPr>
          <w:strike/>
          <w:color w:val="0000FF"/>
          <w:lang w:val="el-GR"/>
        </w:rPr>
      </w:pPr>
      <w:r w:rsidRPr="00CE233A">
        <w:rPr>
          <w:lang w:val="el-GR"/>
        </w:rPr>
        <w:t>Εντούτοις, ο κίνδυνος ανάπτυξης κακοήθους μυελικού κλώνου δεν μπορεί να αποκλειστεί. Το κέντρο αφαίρεσης συνιστάται να διατηρεί ένα συστηματικό αρχείο και να παρακολουθεί τους δότες των αρχέγονων αιμοποιητικών κυττάρων για τουλάχιστον 10 χρόνια για να διασφαλίσει την παρακολούθηση της μακροχρόνιας ασφάλειας.</w:t>
      </w:r>
    </w:p>
    <w:p w:rsidR="00113B7F" w:rsidRPr="00330732" w:rsidRDefault="00031B85" w:rsidP="00113B7F">
      <w:pPr>
        <w:ind w:left="720" w:hanging="1"/>
        <w:rPr>
          <w:lang w:val="el-GR"/>
        </w:rPr>
      </w:pPr>
      <w:r w:rsidRPr="00CE233A">
        <w:rPr>
          <w:iCs/>
          <w:lang w:val="el-GR"/>
        </w:rPr>
        <w:t xml:space="preserve"> </w:t>
      </w:r>
    </w:p>
    <w:p w:rsidR="00113B7F" w:rsidRPr="00CE233A" w:rsidRDefault="00113B7F" w:rsidP="00113B7F">
      <w:pPr>
        <w:ind w:left="720" w:hanging="1"/>
        <w:rPr>
          <w:lang w:val="el-GR"/>
        </w:rPr>
      </w:pPr>
      <w:r w:rsidRPr="00CE233A">
        <w:rPr>
          <w:lang w:val="el-GR"/>
        </w:rPr>
        <w:t xml:space="preserve">Σε </w:t>
      </w:r>
      <w:r w:rsidR="00655E8C" w:rsidRPr="00CE233A">
        <w:rPr>
          <w:lang w:val="el-GR"/>
        </w:rPr>
        <w:t>φυσιολογ</w:t>
      </w:r>
      <w:r w:rsidRPr="00CE233A">
        <w:rPr>
          <w:lang w:val="el-GR"/>
        </w:rPr>
        <w:t xml:space="preserve">ικούς δότες, από την εμπειρία μετά την κυκλοφορία του προϊόντος, έχουν αναφερθεί ανεπιθύμητες ενέργειες από το αναπνευστικό (αιμόπτυση, πνευμονική αιμορραγία, διηθήσεις πνεύμονα, δύσπνοια και υποξία). Σε περίπτωση </w:t>
      </w:r>
      <w:r w:rsidR="009567A8" w:rsidRPr="00CE233A">
        <w:rPr>
          <w:lang w:val="el-GR"/>
        </w:rPr>
        <w:t>υποψίας</w:t>
      </w:r>
      <w:r w:rsidRPr="00CE233A">
        <w:rPr>
          <w:lang w:val="el-GR"/>
        </w:rPr>
        <w:t xml:space="preserve"> ή επιβεβαιωμένων ανεπιθύμητων ενεργειών από το αναπνευστικό, θα πρέπει να εξεταστεί η διακοπή της αγωγής με το </w:t>
      </w:r>
      <w:proofErr w:type="spellStart"/>
      <w:r w:rsidRPr="00CE233A">
        <w:t>Granocyte</w:t>
      </w:r>
      <w:proofErr w:type="spellEnd"/>
      <w:r w:rsidRPr="00CE233A">
        <w:rPr>
          <w:lang w:val="el-GR"/>
        </w:rPr>
        <w:t xml:space="preserve"> και να παρασχεθεί κατάλληλη ιατρική φροντίδα.</w:t>
      </w:r>
    </w:p>
    <w:p w:rsidR="001F5608" w:rsidRPr="00CE233A" w:rsidRDefault="001F5608" w:rsidP="002A614B">
      <w:pPr>
        <w:ind w:left="720" w:hanging="1"/>
        <w:rPr>
          <w:iCs/>
          <w:lang w:val="el-GR"/>
        </w:rPr>
      </w:pPr>
    </w:p>
    <w:p w:rsidR="001F5608" w:rsidRPr="00CE233A" w:rsidRDefault="001F5608" w:rsidP="00CE233A">
      <w:pPr>
        <w:ind w:left="720"/>
        <w:rPr>
          <w:lang w:val="el-GR"/>
        </w:rPr>
      </w:pPr>
      <w:r w:rsidRPr="00CE233A">
        <w:rPr>
          <w:iCs/>
          <w:lang w:val="el-GR"/>
        </w:rPr>
        <w:t xml:space="preserve">Στους δέκτες αλλογενών αρχέγονων κυττάρων περιφερικού αίματος μετά από κινητοποίηση με </w:t>
      </w:r>
      <w:r w:rsidRPr="00CE233A">
        <w:rPr>
          <w:iCs/>
        </w:rPr>
        <w:t>GRANOCYTE</w:t>
      </w:r>
      <w:r w:rsidRPr="00CE233A">
        <w:rPr>
          <w:lang w:val="el-GR"/>
        </w:rPr>
        <w:t xml:space="preserve">Η αλλογενής μεταμόσχευση αρχέγονων κυττάρων μπορεί να συνδέεται με αύξηση του κινδύνου </w:t>
      </w:r>
      <w:r w:rsidR="00715C04" w:rsidRPr="00CE233A">
        <w:rPr>
          <w:lang w:val="el-GR"/>
        </w:rPr>
        <w:t>χρόνιας</w:t>
      </w:r>
      <w:r w:rsidRPr="00CE233A">
        <w:rPr>
          <w:lang w:val="el-GR"/>
        </w:rPr>
        <w:t xml:space="preserve"> νόσου μοσχεύματος έναντι ξενιστή </w:t>
      </w:r>
      <w:r w:rsidRPr="00CE233A">
        <w:rPr>
          <w:lang w:val="el-GR"/>
        </w:rPr>
        <w:lastRenderedPageBreak/>
        <w:t>(</w:t>
      </w:r>
      <w:r w:rsidRPr="00BA4AA5">
        <w:t>Graft</w:t>
      </w:r>
      <w:r w:rsidRPr="00CE233A">
        <w:rPr>
          <w:lang w:val="el-GR"/>
        </w:rPr>
        <w:t xml:space="preserve"> </w:t>
      </w:r>
      <w:r w:rsidRPr="00BA4AA5">
        <w:t>Versus</w:t>
      </w:r>
      <w:r w:rsidRPr="00CE233A">
        <w:rPr>
          <w:lang w:val="el-GR"/>
        </w:rPr>
        <w:t xml:space="preserve"> </w:t>
      </w:r>
      <w:r w:rsidRPr="00BA4AA5">
        <w:t>Host</w:t>
      </w:r>
      <w:r w:rsidRPr="00CE233A">
        <w:rPr>
          <w:lang w:val="el-GR"/>
        </w:rPr>
        <w:t xml:space="preserve"> </w:t>
      </w:r>
      <w:r w:rsidRPr="00BA4AA5">
        <w:t>Disease</w:t>
      </w:r>
      <w:r w:rsidRPr="00CE233A">
        <w:rPr>
          <w:lang w:val="el-GR"/>
        </w:rPr>
        <w:t>) και τα μακροχρόνια δεδομένα της εγκατάστασης και καλής λειτουργίας του μοσχεύματος είναι σποραδικά.</w:t>
      </w:r>
    </w:p>
    <w:p w:rsidR="001F5608" w:rsidRPr="00CE233A" w:rsidRDefault="001F5608" w:rsidP="00840A76">
      <w:pPr>
        <w:ind w:left="426" w:hanging="426"/>
        <w:rPr>
          <w:lang w:val="el-GR"/>
        </w:rPr>
      </w:pPr>
    </w:p>
    <w:p w:rsidR="001F5608" w:rsidRPr="00CE233A" w:rsidRDefault="001F5608" w:rsidP="00840A76">
      <w:pPr>
        <w:numPr>
          <w:ilvl w:val="0"/>
          <w:numId w:val="14"/>
        </w:numPr>
        <w:ind w:left="851"/>
        <w:rPr>
          <w:lang w:val="el-GR"/>
        </w:rPr>
      </w:pPr>
      <w:r w:rsidRPr="00CE233A">
        <w:rPr>
          <w:lang w:val="el-GR"/>
        </w:rPr>
        <w:t>Άλλες ειδικές προφυλάξεις</w:t>
      </w:r>
    </w:p>
    <w:p w:rsidR="001F5608" w:rsidRPr="00CE233A" w:rsidRDefault="001F5608" w:rsidP="00840A76">
      <w:pPr>
        <w:ind w:left="426" w:hanging="426"/>
        <w:rPr>
          <w:lang w:val="el-GR"/>
        </w:rPr>
      </w:pPr>
    </w:p>
    <w:p w:rsidR="001F5608" w:rsidRPr="00CE233A" w:rsidRDefault="001F5608" w:rsidP="00971B3E">
      <w:pPr>
        <w:ind w:left="720"/>
        <w:rPr>
          <w:lang w:val="el-GR"/>
        </w:rPr>
      </w:pPr>
      <w:r w:rsidRPr="00CE233A">
        <w:rPr>
          <w:lang w:val="el-GR"/>
        </w:rPr>
        <w:t xml:space="preserve">Στους ασθενείς με σοβαρή βλάβη της ηπατικής ή της νεφρικής λειτουργίας δεν έχει αποδειχθεί η ασφάλεια και η αποτελεσματικότητα του </w:t>
      </w:r>
      <w:r w:rsidRPr="00CE233A">
        <w:t>GRANOCYTE</w:t>
      </w:r>
      <w:r w:rsidRPr="00CE233A">
        <w:rPr>
          <w:lang w:val="el-GR"/>
        </w:rPr>
        <w:t>.</w:t>
      </w:r>
    </w:p>
    <w:p w:rsidR="001F5608" w:rsidRPr="00CE233A" w:rsidRDefault="001F5608" w:rsidP="00971B3E">
      <w:pPr>
        <w:ind w:left="720"/>
        <w:rPr>
          <w:lang w:val="el-GR"/>
        </w:rPr>
      </w:pPr>
    </w:p>
    <w:p w:rsidR="001F5608" w:rsidRPr="00CE233A" w:rsidRDefault="001F5608" w:rsidP="00971B3E">
      <w:pPr>
        <w:ind w:left="720"/>
        <w:rPr>
          <w:lang w:val="el-GR"/>
        </w:rPr>
      </w:pPr>
      <w:r w:rsidRPr="00CE233A">
        <w:rPr>
          <w:lang w:val="el-GR"/>
        </w:rPr>
        <w:t xml:space="preserve">Σε ασθενείς με σημαντικά μειωμένο αριθμό προγονικών μυελικών κυττάρων (π.χ. λόγω προηγούμενης εντατικής ακτινοθεραπείας/χημειοθεραπείας), η ανταπόκριση των ουδετεροφίλων μειώνεται ορισμένες φορές και η ασφάλεια του </w:t>
      </w:r>
      <w:r w:rsidRPr="00CE233A">
        <w:t>GRANOCYTE</w:t>
      </w:r>
      <w:r w:rsidRPr="00CE233A">
        <w:rPr>
          <w:lang w:val="el-GR"/>
        </w:rPr>
        <w:t xml:space="preserve"> δεν έχει διαπιστωθεί.</w:t>
      </w:r>
    </w:p>
    <w:p w:rsidR="001F5608" w:rsidRPr="00CE233A" w:rsidRDefault="001F5608" w:rsidP="00971B3E">
      <w:pPr>
        <w:ind w:left="720"/>
        <w:rPr>
          <w:lang w:val="el-GR"/>
        </w:rPr>
      </w:pPr>
    </w:p>
    <w:p w:rsidR="00715C04" w:rsidRPr="00CE233A" w:rsidRDefault="001F5608" w:rsidP="00971B3E">
      <w:pPr>
        <w:ind w:left="720"/>
        <w:rPr>
          <w:lang w:val="el-GR"/>
        </w:rPr>
      </w:pPr>
      <w:r w:rsidRPr="00CE233A">
        <w:rPr>
          <w:bCs/>
          <w:lang w:val="el-GR"/>
        </w:rPr>
        <w:t>Συχνά αλλά γενικά ασυμπτωματικά περιστατικά σπληνομεγαλίας και πολύ σπάνιες περιπτώσεις ρήξης σπληνός αναφέρθηκαν είτε σε υγιείς δότες, είτε σε ασθενείς μετά από τη χορήγηση παραγόντων διέγερσης αποικιών των κοκκιοκυττάρων (</w:t>
      </w:r>
      <w:r w:rsidRPr="00CE233A">
        <w:rPr>
          <w:bCs/>
        </w:rPr>
        <w:t>G</w:t>
      </w:r>
      <w:r w:rsidRPr="00CE233A">
        <w:rPr>
          <w:bCs/>
          <w:lang w:val="el-GR"/>
        </w:rPr>
        <w:t>-</w:t>
      </w:r>
      <w:r w:rsidRPr="00CE233A">
        <w:rPr>
          <w:bCs/>
        </w:rPr>
        <w:t>CSFs</w:t>
      </w:r>
      <w:r w:rsidRPr="00CE233A">
        <w:rPr>
          <w:bCs/>
          <w:lang w:val="el-GR"/>
        </w:rPr>
        <w:t>). Γι’ αυτό θα πρέπει να παρακολουθείται προσεκτικά το μέγεθος του σπληνός (π.χ. κλινική εξέταση, υπερηχογράφημα). Θα πρέπει να λαμβάνεται υπόψη η διάγνωση για ρήξη σπληνός όταν αναφέρεται άλγος στο αριστερό άνω μέρος της κοιλίας ή στην κορυφή του ώμου</w:t>
      </w:r>
      <w:r w:rsidRPr="00CE233A">
        <w:rPr>
          <w:lang w:val="el-GR"/>
        </w:rPr>
        <w:t>.</w:t>
      </w:r>
    </w:p>
    <w:p w:rsidR="00B86223" w:rsidRPr="00CE233A" w:rsidRDefault="00B86223" w:rsidP="00971B3E">
      <w:pPr>
        <w:ind w:left="720"/>
        <w:rPr>
          <w:lang w:val="el-GR"/>
        </w:rPr>
      </w:pPr>
    </w:p>
    <w:p w:rsidR="00B86223" w:rsidRPr="00CE233A" w:rsidRDefault="00B86223" w:rsidP="00971B3E">
      <w:pPr>
        <w:ind w:left="720"/>
        <w:rPr>
          <w:lang w:val="el-GR"/>
        </w:rPr>
      </w:pPr>
      <w:r w:rsidRPr="00CE233A">
        <w:rPr>
          <w:lang w:val="el-GR"/>
        </w:rPr>
        <w:t xml:space="preserve">Το </w:t>
      </w:r>
      <w:r w:rsidRPr="00CE233A">
        <w:t>GRANOCYTE</w:t>
      </w:r>
      <w:r w:rsidRPr="00CE233A">
        <w:rPr>
          <w:lang w:val="el-GR"/>
        </w:rPr>
        <w:t xml:space="preserve"> περιέχει φαινυλαλανίνη, η οποία μπορεί να είναι επιβλαβής </w:t>
      </w:r>
      <w:r w:rsidR="00715740" w:rsidRPr="00CE233A">
        <w:rPr>
          <w:lang w:val="el-GR"/>
        </w:rPr>
        <w:t>σε ασθενείς</w:t>
      </w:r>
      <w:r w:rsidRPr="00CE233A">
        <w:rPr>
          <w:lang w:val="el-GR"/>
        </w:rPr>
        <w:t xml:space="preserve"> με φαινυλκετονουρία.</w:t>
      </w:r>
    </w:p>
    <w:p w:rsidR="001F5608" w:rsidRPr="00330732" w:rsidRDefault="001F5608" w:rsidP="00840A76">
      <w:pPr>
        <w:ind w:left="426" w:hanging="426"/>
        <w:rPr>
          <w:lang w:val="el-GR"/>
        </w:rPr>
      </w:pPr>
    </w:p>
    <w:p w:rsidR="004068BD" w:rsidRPr="00CE233A" w:rsidRDefault="004068BD" w:rsidP="004068BD">
      <w:pPr>
        <w:ind w:left="720"/>
        <w:rPr>
          <w:lang w:val="el-GR"/>
        </w:rPr>
      </w:pPr>
      <w:r w:rsidRPr="00CE233A">
        <w:rPr>
          <w:lang w:val="el-GR"/>
        </w:rPr>
        <w:t>Η σύνθεση του ακραίου πώματος της προγεμισμένης σύριγγας περιέχει ελαστικό κόμμι (λάτεξ), το οποίο ενδέχεται να προκαλέσει σοβαρές αλλεργικές αντιδράσεις σε άτομα με προδιάθεση.</w:t>
      </w:r>
    </w:p>
    <w:p w:rsidR="004068BD" w:rsidRPr="00CE233A" w:rsidRDefault="004068BD" w:rsidP="00840A76">
      <w:pPr>
        <w:ind w:left="426" w:hanging="426"/>
        <w:rPr>
          <w:lang w:val="el-GR"/>
        </w:rPr>
      </w:pPr>
    </w:p>
    <w:p w:rsidR="001F5608" w:rsidRPr="00CE233A" w:rsidRDefault="001F5608" w:rsidP="00840A76">
      <w:pPr>
        <w:ind w:left="426" w:hanging="426"/>
        <w:rPr>
          <w:lang w:val="el-GR"/>
        </w:rPr>
      </w:pPr>
      <w:r w:rsidRPr="00CE233A">
        <w:rPr>
          <w:b/>
          <w:lang w:val="el-GR"/>
        </w:rPr>
        <w:t>4.5</w:t>
      </w:r>
      <w:r w:rsidRPr="00CE233A">
        <w:rPr>
          <w:b/>
          <w:lang w:val="el-GR"/>
        </w:rPr>
        <w:tab/>
        <w:t xml:space="preserve">Αλληλεπιδράσεις με άλλα </w:t>
      </w:r>
      <w:r w:rsidR="008B5CAD" w:rsidRPr="00CE233A">
        <w:rPr>
          <w:b/>
          <w:lang w:val="el-GR"/>
        </w:rPr>
        <w:t xml:space="preserve">φαρμακευτικά προϊόντα </w:t>
      </w:r>
      <w:r w:rsidRPr="00CE233A">
        <w:rPr>
          <w:b/>
          <w:lang w:val="el-GR"/>
        </w:rPr>
        <w:t>και άλλες μορφές αλληλεπίδρασης</w:t>
      </w:r>
    </w:p>
    <w:p w:rsidR="001F5608" w:rsidRPr="00CE233A" w:rsidRDefault="001F5608" w:rsidP="00840A76">
      <w:pPr>
        <w:rPr>
          <w:lang w:val="el-GR"/>
        </w:rPr>
      </w:pPr>
    </w:p>
    <w:p w:rsidR="00B83D57" w:rsidRPr="00CE233A" w:rsidRDefault="001F5608" w:rsidP="00715740">
      <w:pPr>
        <w:ind w:left="426"/>
        <w:rPr>
          <w:lang w:val="el-GR"/>
        </w:rPr>
      </w:pPr>
      <w:r w:rsidRPr="00CE233A">
        <w:rPr>
          <w:lang w:val="el-GR"/>
        </w:rPr>
        <w:t xml:space="preserve">Εξαιτίας της ευαισθησίας των ταχέως διαιρουμένων μυελικών κυττάρων έναντι της κυτταροτοξικής χημειοθεραπείας, η χορήγηση </w:t>
      </w:r>
      <w:r w:rsidRPr="00CE233A">
        <w:t>GRANOCYTE</w:t>
      </w:r>
      <w:r w:rsidRPr="00CE233A">
        <w:rPr>
          <w:lang w:val="el-GR"/>
        </w:rPr>
        <w:t xml:space="preserve"> δεν συνιστάται 24 ώρες πριν έως 24 ώρες μετά το πέρας της χημειοθεραπείας (βλ. </w:t>
      </w:r>
      <w:r w:rsidR="00D701FB" w:rsidRPr="00CE233A">
        <w:rPr>
          <w:lang w:val="el-GR"/>
        </w:rPr>
        <w:t xml:space="preserve">παράγραφο </w:t>
      </w:r>
      <w:r w:rsidRPr="00CE233A">
        <w:rPr>
          <w:lang w:val="el-GR"/>
        </w:rPr>
        <w:t xml:space="preserve">4.4). </w:t>
      </w:r>
    </w:p>
    <w:p w:rsidR="00B83D57" w:rsidRPr="00CE233A" w:rsidRDefault="00B83D57" w:rsidP="00840A76">
      <w:pPr>
        <w:ind w:left="426"/>
        <w:rPr>
          <w:lang w:val="el-GR"/>
        </w:rPr>
      </w:pPr>
    </w:p>
    <w:p w:rsidR="001F5608" w:rsidRPr="00CE233A" w:rsidRDefault="001F5608" w:rsidP="00840A76">
      <w:pPr>
        <w:ind w:left="426"/>
        <w:rPr>
          <w:lang w:val="el-GR"/>
        </w:rPr>
      </w:pPr>
      <w:r w:rsidRPr="00CE233A">
        <w:rPr>
          <w:lang w:val="el-GR"/>
        </w:rPr>
        <w:t>Πιθανές αλληλεπιδράσεις με άλλους αιμοποιητικούς αυξητικούς παράγοντες και κυτταροκίνες θα πρέπει να διερευνηθούν με περαιτέρω κλινικές μελέτες.</w:t>
      </w:r>
    </w:p>
    <w:p w:rsidR="001F5608" w:rsidRPr="00CE233A" w:rsidRDefault="001F5608" w:rsidP="00840A76">
      <w:pPr>
        <w:rPr>
          <w:lang w:val="el-GR"/>
        </w:rPr>
      </w:pPr>
    </w:p>
    <w:p w:rsidR="001F5608" w:rsidRPr="00CE233A" w:rsidRDefault="001F5608" w:rsidP="00840A76">
      <w:pPr>
        <w:ind w:left="426" w:hanging="426"/>
        <w:rPr>
          <w:b/>
          <w:lang w:val="el-GR"/>
        </w:rPr>
      </w:pPr>
      <w:r w:rsidRPr="00CE233A">
        <w:rPr>
          <w:b/>
          <w:lang w:val="el-GR"/>
        </w:rPr>
        <w:t>4.6</w:t>
      </w:r>
      <w:r w:rsidRPr="00CE233A">
        <w:rPr>
          <w:b/>
          <w:lang w:val="el-GR"/>
        </w:rPr>
        <w:tab/>
        <w:t>Κύηση και γαλουχία</w:t>
      </w:r>
    </w:p>
    <w:p w:rsidR="001F5608" w:rsidRPr="00CE233A" w:rsidRDefault="001F5608" w:rsidP="00840A76">
      <w:pPr>
        <w:ind w:left="426" w:hanging="426"/>
        <w:rPr>
          <w:lang w:val="el-GR"/>
        </w:rPr>
      </w:pPr>
    </w:p>
    <w:p w:rsidR="001F5608" w:rsidRPr="00CE233A" w:rsidRDefault="001F5608" w:rsidP="00840A76">
      <w:pPr>
        <w:numPr>
          <w:ilvl w:val="0"/>
          <w:numId w:val="25"/>
        </w:numPr>
        <w:rPr>
          <w:bCs/>
          <w:iCs/>
          <w:lang w:val="el-GR"/>
        </w:rPr>
      </w:pPr>
      <w:r w:rsidRPr="00CE233A">
        <w:rPr>
          <w:bCs/>
          <w:iCs/>
          <w:lang w:val="el-GR"/>
        </w:rPr>
        <w:t>Κύηση</w:t>
      </w:r>
    </w:p>
    <w:p w:rsidR="001F5608" w:rsidRPr="00CE233A" w:rsidRDefault="001F5608" w:rsidP="00840A76">
      <w:pPr>
        <w:rPr>
          <w:lang w:val="el-GR"/>
        </w:rPr>
      </w:pPr>
    </w:p>
    <w:p w:rsidR="001F5608" w:rsidRPr="00CE233A" w:rsidRDefault="001F5608" w:rsidP="003F077B">
      <w:pPr>
        <w:ind w:left="720"/>
        <w:rPr>
          <w:lang w:val="el-GR"/>
        </w:rPr>
      </w:pPr>
      <w:r w:rsidRPr="00CE233A">
        <w:rPr>
          <w:lang w:val="el-GR"/>
        </w:rPr>
        <w:t xml:space="preserve">Δεν υπάρχουν επαρκή στοιχεία από τη χρήση της </w:t>
      </w:r>
      <w:r w:rsidR="00EA4A98" w:rsidRPr="00CE233A">
        <w:rPr>
          <w:lang w:val="el-GR"/>
        </w:rPr>
        <w:t>λενογραστίμης</w:t>
      </w:r>
      <w:r w:rsidRPr="00CE233A">
        <w:rPr>
          <w:lang w:val="el-GR"/>
        </w:rPr>
        <w:t xml:space="preserve"> σε έγκυες γυναίκες.</w:t>
      </w:r>
    </w:p>
    <w:p w:rsidR="001F5608" w:rsidRPr="00CE233A" w:rsidRDefault="001F5608" w:rsidP="003F077B">
      <w:pPr>
        <w:ind w:left="720"/>
        <w:rPr>
          <w:lang w:val="el-GR"/>
        </w:rPr>
      </w:pPr>
      <w:r w:rsidRPr="00CE233A">
        <w:rPr>
          <w:lang w:val="el-GR"/>
        </w:rPr>
        <w:t xml:space="preserve">Μελέτες σε ζώα κατέδειξαν τοξικότητα στην αναπαραγωγική ικανότητα (βλ. </w:t>
      </w:r>
      <w:r w:rsidR="00E95BFF" w:rsidRPr="00CE233A">
        <w:rPr>
          <w:lang w:val="el-GR"/>
        </w:rPr>
        <w:t xml:space="preserve">παράγραφο </w:t>
      </w:r>
      <w:r w:rsidRPr="00CE233A">
        <w:rPr>
          <w:lang w:val="el-GR"/>
        </w:rPr>
        <w:t>5.3). Ο ενδεχόμενος κίνδυνος για τον άνθρωπο είναι άγνωστος.</w:t>
      </w:r>
    </w:p>
    <w:p w:rsidR="001F5608" w:rsidRPr="00CE233A" w:rsidRDefault="001F5608" w:rsidP="00840A76">
      <w:pPr>
        <w:ind w:left="360"/>
        <w:rPr>
          <w:lang w:val="el-GR"/>
        </w:rPr>
      </w:pPr>
    </w:p>
    <w:p w:rsidR="001F5608" w:rsidRPr="00CE233A" w:rsidRDefault="001F5608" w:rsidP="003F077B">
      <w:pPr>
        <w:ind w:left="720"/>
        <w:rPr>
          <w:lang w:val="el-GR"/>
        </w:rPr>
      </w:pPr>
      <w:r w:rsidRPr="00CE233A">
        <w:rPr>
          <w:lang w:val="el-GR"/>
        </w:rPr>
        <w:lastRenderedPageBreak/>
        <w:t xml:space="preserve">Το </w:t>
      </w:r>
      <w:r w:rsidRPr="00CE233A">
        <w:t>GRANOCYTE</w:t>
      </w:r>
      <w:r w:rsidRPr="00CE233A">
        <w:rPr>
          <w:lang w:val="el-GR"/>
        </w:rPr>
        <w:t xml:space="preserve"> δεν πρέπει να χρησιμοποιείται κατά τη διάρκεια της εγκυμοσύνης εκτός εάν είναι σαφώς απαραίτητο.</w:t>
      </w:r>
    </w:p>
    <w:p w:rsidR="001F5608" w:rsidRPr="00CE233A" w:rsidRDefault="001F5608" w:rsidP="00840A76">
      <w:pPr>
        <w:numPr>
          <w:ilvl w:val="0"/>
          <w:numId w:val="25"/>
        </w:numPr>
        <w:rPr>
          <w:bCs/>
          <w:iCs/>
          <w:lang w:val="el-GR"/>
        </w:rPr>
      </w:pPr>
      <w:r w:rsidRPr="00CE233A">
        <w:rPr>
          <w:bCs/>
          <w:iCs/>
          <w:lang w:val="el-GR"/>
        </w:rPr>
        <w:t>Γαλουχία</w:t>
      </w:r>
    </w:p>
    <w:p w:rsidR="001F5608" w:rsidRPr="00CE233A" w:rsidRDefault="001F5608" w:rsidP="00840A76">
      <w:pPr>
        <w:ind w:left="426" w:hanging="426"/>
        <w:rPr>
          <w:lang w:val="el-GR"/>
        </w:rPr>
      </w:pPr>
    </w:p>
    <w:p w:rsidR="00AE66D1" w:rsidRPr="00CE233A" w:rsidRDefault="0082337B" w:rsidP="00E95BFF">
      <w:pPr>
        <w:ind w:left="720"/>
        <w:rPr>
          <w:lang w:val="el-GR"/>
        </w:rPr>
      </w:pPr>
      <w:r w:rsidRPr="00CE233A">
        <w:rPr>
          <w:lang w:val="el-GR"/>
        </w:rPr>
        <w:t>Ε</w:t>
      </w:r>
      <w:r w:rsidR="001F5608" w:rsidRPr="00CE233A">
        <w:rPr>
          <w:lang w:val="el-GR"/>
        </w:rPr>
        <w:t xml:space="preserve">ίναι </w:t>
      </w:r>
      <w:r w:rsidR="003507EA" w:rsidRPr="00CE233A">
        <w:rPr>
          <w:lang w:val="el-GR"/>
        </w:rPr>
        <w:t>ά</w:t>
      </w:r>
      <w:r w:rsidR="001F5608" w:rsidRPr="00CE233A">
        <w:rPr>
          <w:lang w:val="el-GR"/>
        </w:rPr>
        <w:t>γνωστ</w:t>
      </w:r>
      <w:r w:rsidR="003507EA" w:rsidRPr="00CE233A">
        <w:rPr>
          <w:lang w:val="el-GR"/>
        </w:rPr>
        <w:t>ο</w:t>
      </w:r>
      <w:r w:rsidR="001F5608" w:rsidRPr="00CE233A">
        <w:rPr>
          <w:lang w:val="el-GR"/>
        </w:rPr>
        <w:t xml:space="preserve"> εάν </w:t>
      </w:r>
      <w:r w:rsidR="00A90423" w:rsidRPr="00CE233A">
        <w:rPr>
          <w:lang w:val="el-GR"/>
        </w:rPr>
        <w:t>η</w:t>
      </w:r>
      <w:r w:rsidR="001F5608" w:rsidRPr="00CE233A">
        <w:rPr>
          <w:lang w:val="el-GR"/>
        </w:rPr>
        <w:t xml:space="preserve"> </w:t>
      </w:r>
      <w:r w:rsidRPr="00CE233A">
        <w:rPr>
          <w:lang w:val="el-GR"/>
        </w:rPr>
        <w:t>λενογραστίμη</w:t>
      </w:r>
      <w:r w:rsidR="00A90423" w:rsidRPr="00CE233A">
        <w:rPr>
          <w:lang w:val="el-GR"/>
        </w:rPr>
        <w:t xml:space="preserve"> </w:t>
      </w:r>
      <w:r w:rsidR="001F5608" w:rsidRPr="00CE233A">
        <w:rPr>
          <w:lang w:val="el-GR"/>
        </w:rPr>
        <w:t xml:space="preserve">εκκρίνεται στο </w:t>
      </w:r>
      <w:r w:rsidRPr="00CE233A">
        <w:rPr>
          <w:lang w:val="el-GR"/>
        </w:rPr>
        <w:t xml:space="preserve">ανθρώπινο </w:t>
      </w:r>
      <w:r w:rsidR="001F5608" w:rsidRPr="00CE233A">
        <w:rPr>
          <w:lang w:val="el-GR"/>
        </w:rPr>
        <w:t>γάλα.</w:t>
      </w:r>
      <w:r w:rsidR="00A90423" w:rsidRPr="00CE233A">
        <w:rPr>
          <w:lang w:val="el-GR"/>
        </w:rPr>
        <w:t xml:space="preserve"> Η έκκριση της </w:t>
      </w:r>
      <w:r w:rsidRPr="00CE233A">
        <w:rPr>
          <w:lang w:val="el-GR"/>
        </w:rPr>
        <w:t>λενογραστίμης</w:t>
      </w:r>
      <w:r w:rsidR="00A90423" w:rsidRPr="00CE233A">
        <w:rPr>
          <w:lang w:val="el-GR"/>
        </w:rPr>
        <w:t xml:space="preserve"> στο γάλα δεν έχει μελετηθεί σε ζώα.</w:t>
      </w:r>
      <w:r w:rsidR="00E95BFF" w:rsidRPr="00CE233A">
        <w:rPr>
          <w:lang w:val="el-GR"/>
        </w:rPr>
        <w:t xml:space="preserve"> Η γαλουχία θα πρέπει να διακόπτεται κατά τη διάρκεια της θεραπείας με το </w:t>
      </w:r>
      <w:r w:rsidR="00E95BFF" w:rsidRPr="00CE233A">
        <w:t>GRANOCYTE</w:t>
      </w:r>
      <w:r w:rsidR="00E95BFF" w:rsidRPr="00CE233A">
        <w:rPr>
          <w:lang w:val="el-GR"/>
        </w:rPr>
        <w:t>.</w:t>
      </w:r>
    </w:p>
    <w:p w:rsidR="001F5608" w:rsidRPr="00CE233A" w:rsidRDefault="001F5608" w:rsidP="00840A76">
      <w:pPr>
        <w:rPr>
          <w:lang w:val="el-GR"/>
        </w:rPr>
      </w:pPr>
    </w:p>
    <w:p w:rsidR="001F5608" w:rsidRPr="00CE233A" w:rsidRDefault="001F5608" w:rsidP="00840A76">
      <w:pPr>
        <w:ind w:left="426" w:hanging="426"/>
        <w:rPr>
          <w:lang w:val="el-GR"/>
        </w:rPr>
      </w:pPr>
      <w:r w:rsidRPr="00CE233A">
        <w:rPr>
          <w:b/>
          <w:lang w:val="el-GR"/>
        </w:rPr>
        <w:t>4.7</w:t>
      </w:r>
      <w:r w:rsidRPr="00CE233A">
        <w:rPr>
          <w:b/>
          <w:lang w:val="el-GR"/>
        </w:rPr>
        <w:tab/>
        <w:t xml:space="preserve">Επιδράσεις στην ικανότητα οδήγησης και χειρισμού </w:t>
      </w:r>
      <w:r w:rsidR="00974098" w:rsidRPr="00CE233A">
        <w:rPr>
          <w:b/>
          <w:lang w:val="el-GR"/>
        </w:rPr>
        <w:t>μηχαν</w:t>
      </w:r>
      <w:r w:rsidR="00AF5223" w:rsidRPr="00CE233A">
        <w:rPr>
          <w:b/>
          <w:lang w:val="el-GR"/>
        </w:rPr>
        <w:t>ημάτων</w:t>
      </w:r>
    </w:p>
    <w:p w:rsidR="001F5608" w:rsidRPr="00CE233A" w:rsidRDefault="001F5608" w:rsidP="00840A76">
      <w:pPr>
        <w:rPr>
          <w:lang w:val="el-GR"/>
        </w:rPr>
      </w:pPr>
    </w:p>
    <w:p w:rsidR="001F5608" w:rsidRPr="00CE233A" w:rsidRDefault="001F5608" w:rsidP="00840A76">
      <w:pPr>
        <w:ind w:left="426" w:hanging="426"/>
        <w:rPr>
          <w:lang w:val="el-GR"/>
        </w:rPr>
      </w:pPr>
      <w:r w:rsidRPr="00CE233A">
        <w:rPr>
          <w:lang w:val="el-GR"/>
        </w:rPr>
        <w:tab/>
      </w:r>
      <w:r w:rsidR="009E763D" w:rsidRPr="00CE233A">
        <w:rPr>
          <w:lang w:val="el-GR"/>
        </w:rPr>
        <w:t>Δεν έχουν πραγματοποιηθεί μελέτες για τις επιδράσεις στην ικανότητα οδήγησης και χειρισμού μηχαν</w:t>
      </w:r>
      <w:r w:rsidR="00963DB7" w:rsidRPr="00CE233A">
        <w:rPr>
          <w:lang w:val="el-GR"/>
        </w:rPr>
        <w:t>ημάτω</w:t>
      </w:r>
      <w:r w:rsidR="009E763D" w:rsidRPr="00CE233A">
        <w:rPr>
          <w:lang w:val="el-GR"/>
        </w:rPr>
        <w:t xml:space="preserve">ν.  </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b/>
          <w:lang w:val="el-GR"/>
        </w:rPr>
        <w:t>4.8</w:t>
      </w:r>
      <w:r w:rsidRPr="00CE233A">
        <w:rPr>
          <w:b/>
          <w:lang w:val="el-GR"/>
        </w:rPr>
        <w:tab/>
        <w:t>Ανεπιθύμητες ενέργειες</w:t>
      </w:r>
    </w:p>
    <w:p w:rsidR="001F5608" w:rsidRPr="00CE233A" w:rsidRDefault="001F5608" w:rsidP="00840A76">
      <w:pPr>
        <w:ind w:left="426" w:hanging="426"/>
        <w:rPr>
          <w:lang w:val="el-GR"/>
        </w:rPr>
      </w:pPr>
    </w:p>
    <w:p w:rsidR="00324AA0" w:rsidRPr="00CE233A" w:rsidRDefault="00324AA0" w:rsidP="00840A76">
      <w:pPr>
        <w:ind w:left="426" w:hanging="426"/>
        <w:rPr>
          <w:lang w:val="el-GR"/>
        </w:rPr>
      </w:pPr>
      <w:r w:rsidRPr="00CE233A">
        <w:rPr>
          <w:lang w:val="el-GR"/>
        </w:rPr>
        <w:t>Το προφίλ ασφάλειας στα παιδιά, στους έφηβους και στους ενήλικες είναι συγκρίσιμο.</w:t>
      </w:r>
    </w:p>
    <w:p w:rsidR="001F5608" w:rsidRPr="00CE233A" w:rsidRDefault="001F5608" w:rsidP="00840A76">
      <w:pPr>
        <w:numPr>
          <w:ilvl w:val="0"/>
          <w:numId w:val="25"/>
        </w:numPr>
        <w:rPr>
          <w:bCs/>
          <w:iCs/>
          <w:lang w:val="el-GR"/>
        </w:rPr>
      </w:pPr>
      <w:r w:rsidRPr="00CE233A">
        <w:rPr>
          <w:bCs/>
          <w:iCs/>
          <w:lang w:val="el-GR"/>
        </w:rPr>
        <w:t xml:space="preserve">Στη μεταμόσχευση </w:t>
      </w:r>
      <w:r w:rsidR="00937F05" w:rsidRPr="00CE233A">
        <w:rPr>
          <w:bCs/>
          <w:iCs/>
          <w:lang w:val="el-GR"/>
        </w:rPr>
        <w:t xml:space="preserve">περιφερικών αρχέγονων κυττάρων ή </w:t>
      </w:r>
      <w:r w:rsidRPr="00CE233A">
        <w:rPr>
          <w:bCs/>
          <w:iCs/>
          <w:lang w:val="el-GR"/>
        </w:rPr>
        <w:t>μυελού των οστών</w:t>
      </w:r>
    </w:p>
    <w:p w:rsidR="00F16D73" w:rsidRPr="00CE233A" w:rsidRDefault="00F16D73" w:rsidP="00F16D73">
      <w:pPr>
        <w:ind w:left="360"/>
        <w:rPr>
          <w:bCs/>
          <w:i/>
          <w:iCs/>
          <w:lang w:val="el-GR"/>
        </w:rPr>
      </w:pPr>
    </w:p>
    <w:p w:rsidR="001F5608" w:rsidRPr="00CE233A" w:rsidRDefault="001F5608" w:rsidP="00740F53">
      <w:pPr>
        <w:ind w:left="720"/>
        <w:rPr>
          <w:lang w:val="el-GR"/>
        </w:rPr>
      </w:pPr>
      <w:r w:rsidRPr="00CE233A">
        <w:rPr>
          <w:lang w:val="el-GR"/>
        </w:rPr>
        <w:t xml:space="preserve">Σε διπλές-τυφλές, ελεγχόμενες με </w:t>
      </w:r>
      <w:r w:rsidRPr="00CE233A">
        <w:t>placebo</w:t>
      </w:r>
      <w:r w:rsidRPr="00CE233A">
        <w:rPr>
          <w:lang w:val="el-GR"/>
        </w:rPr>
        <w:t xml:space="preserve"> μελέτες ο μέσος αριθμός αιμοπεταλίων σε ασθενείς στους οποίους χορηγήθηκε το </w:t>
      </w:r>
      <w:r w:rsidRPr="00CE233A">
        <w:t>GRANOCYTE</w:t>
      </w:r>
      <w:r w:rsidRPr="00CE233A">
        <w:rPr>
          <w:lang w:val="el-GR"/>
        </w:rPr>
        <w:t xml:space="preserve"> ήταν μικρότερος έναντι εκείνων που έλαβαν </w:t>
      </w:r>
      <w:r w:rsidRPr="00CE233A">
        <w:t>placebo</w:t>
      </w:r>
      <w:r w:rsidRPr="00CE233A">
        <w:rPr>
          <w:lang w:val="el-GR"/>
        </w:rPr>
        <w:t xml:space="preserve"> χωρίς να αυξηθεί η συχνότητα εμφάνισης ανεπιθύμητων ενεργειών οι οποίες σχετίζονται με απώλεια αίματος και ο μέσος αριθμός ημερών μετά από τη μεταμόσχευση μυελού των οστών μέχρι την τελευταία μετάγγιση αιμοπεταλίων ήταν όμοιος και στις δύο ομάδες</w:t>
      </w:r>
      <w:r w:rsidR="003C2EAB" w:rsidRPr="00CE233A">
        <w:rPr>
          <w:lang w:val="el-GR"/>
        </w:rPr>
        <w:t xml:space="preserve"> (βλ. παράγραφο 4.4)</w:t>
      </w:r>
      <w:r w:rsidRPr="00CE233A">
        <w:rPr>
          <w:lang w:val="el-GR"/>
        </w:rPr>
        <w:t>.</w:t>
      </w:r>
    </w:p>
    <w:p w:rsidR="001F5608" w:rsidRPr="00CE233A" w:rsidRDefault="001F5608" w:rsidP="00840A76">
      <w:pPr>
        <w:ind w:left="426" w:hanging="426"/>
        <w:rPr>
          <w:lang w:val="el-GR"/>
        </w:rPr>
      </w:pPr>
    </w:p>
    <w:p w:rsidR="001F5608" w:rsidRPr="00CE233A" w:rsidRDefault="003C2EAB" w:rsidP="003C2EAB">
      <w:pPr>
        <w:numPr>
          <w:ilvl w:val="0"/>
          <w:numId w:val="25"/>
        </w:numPr>
        <w:rPr>
          <w:bCs/>
          <w:iCs/>
          <w:lang w:val="el-GR"/>
        </w:rPr>
      </w:pPr>
      <w:r w:rsidRPr="00CE233A">
        <w:rPr>
          <w:bCs/>
          <w:iCs/>
          <w:lang w:val="el-GR"/>
        </w:rPr>
        <w:t>Στη μεταμόσχευση περιφερικών αρχέγονων κυττάρων ή μυελού των οστών και σ</w:t>
      </w:r>
      <w:r w:rsidR="001F5608" w:rsidRPr="00CE233A">
        <w:rPr>
          <w:bCs/>
          <w:iCs/>
          <w:lang w:val="el-GR"/>
        </w:rPr>
        <w:t>ε ουδετεροπενία προκαλούμενη από χημειοθεραπεία</w:t>
      </w:r>
    </w:p>
    <w:p w:rsidR="00F16D73" w:rsidRPr="00CE233A" w:rsidRDefault="00F16D73" w:rsidP="00F16D73">
      <w:pPr>
        <w:ind w:left="360"/>
        <w:rPr>
          <w:bCs/>
          <w:i/>
          <w:iCs/>
          <w:lang w:val="el-GR"/>
        </w:rPr>
      </w:pPr>
    </w:p>
    <w:p w:rsidR="001F5608" w:rsidRPr="00CE233A" w:rsidRDefault="001F5608" w:rsidP="00C02322">
      <w:pPr>
        <w:ind w:left="720"/>
        <w:rPr>
          <w:lang w:val="el-GR"/>
        </w:rPr>
      </w:pPr>
      <w:r w:rsidRPr="00CE233A">
        <w:rPr>
          <w:lang w:val="el-GR"/>
        </w:rPr>
        <w:t>Κατά τη διεξαγωγή κλινικών μελετών</w:t>
      </w:r>
      <w:r w:rsidR="003C2EAB" w:rsidRPr="00CE233A">
        <w:rPr>
          <w:lang w:val="el-GR"/>
        </w:rPr>
        <w:t>,</w:t>
      </w:r>
      <w:r w:rsidRPr="00CE233A">
        <w:rPr>
          <w:lang w:val="el-GR"/>
        </w:rPr>
        <w:t xml:space="preserve"> οι ανεπιθύμητες ενέργειες που αναφέρθηκαν συχνότερα</w:t>
      </w:r>
      <w:r w:rsidR="003C2EAB" w:rsidRPr="00CE233A">
        <w:rPr>
          <w:lang w:val="el-GR"/>
        </w:rPr>
        <w:t xml:space="preserve"> (15%)</w:t>
      </w:r>
      <w:r w:rsidRPr="00CE233A">
        <w:rPr>
          <w:lang w:val="el-GR"/>
        </w:rPr>
        <w:t xml:space="preserve"> ήταν οι ίδιες για τους ασθενείς που έλαβαν </w:t>
      </w:r>
      <w:r w:rsidRPr="00CE233A">
        <w:t>GRANOCYTE</w:t>
      </w:r>
      <w:r w:rsidRPr="00CE233A">
        <w:rPr>
          <w:lang w:val="el-GR"/>
        </w:rPr>
        <w:t xml:space="preserve"> με τους ασθενείς που έλαβαν </w:t>
      </w:r>
      <w:r w:rsidRPr="00CE233A">
        <w:t>placebo</w:t>
      </w:r>
      <w:r w:rsidRPr="00CE233A">
        <w:rPr>
          <w:lang w:val="el-GR"/>
        </w:rPr>
        <w:t xml:space="preserve">. </w:t>
      </w:r>
      <w:r w:rsidR="00F1090B" w:rsidRPr="00CE233A">
        <w:rPr>
          <w:lang w:val="el-GR"/>
        </w:rPr>
        <w:t xml:space="preserve">Οι ανεπιθύμητες ενέργειες αυτές ήταν εκείνες οι οποίες συνήθως συναντώνται σε </w:t>
      </w:r>
      <w:r w:rsidR="00D44D90" w:rsidRPr="00CE233A">
        <w:rPr>
          <w:lang w:val="el-GR"/>
        </w:rPr>
        <w:t>θεραπείες προετοιμασίας</w:t>
      </w:r>
      <w:r w:rsidR="00F1090B" w:rsidRPr="00CE233A">
        <w:rPr>
          <w:lang w:val="el-GR"/>
        </w:rPr>
        <w:t xml:space="preserve"> και εκείνες που παρατηρούνται σε </w:t>
      </w:r>
      <w:r w:rsidR="00216134" w:rsidRPr="00CE233A">
        <w:rPr>
          <w:lang w:val="el-GR"/>
        </w:rPr>
        <w:t xml:space="preserve">ογκολογικούς </w:t>
      </w:r>
      <w:r w:rsidR="00F1090B" w:rsidRPr="00CE233A">
        <w:rPr>
          <w:lang w:val="el-GR"/>
        </w:rPr>
        <w:t xml:space="preserve">ασθενείς που </w:t>
      </w:r>
      <w:r w:rsidR="00216134" w:rsidRPr="00CE233A">
        <w:rPr>
          <w:lang w:val="el-GR"/>
        </w:rPr>
        <w:t>υποβάλλονται σ</w:t>
      </w:r>
      <w:r w:rsidR="00F1090B" w:rsidRPr="00CE233A">
        <w:rPr>
          <w:lang w:val="el-GR"/>
        </w:rPr>
        <w:t xml:space="preserve">ε χημειοθεραπεία. </w:t>
      </w:r>
      <w:r w:rsidRPr="00CE233A">
        <w:rPr>
          <w:lang w:val="el-GR"/>
        </w:rPr>
        <w:t>Οι πλέον συχνά αναφερθείσες ανεπιθύμητες ενέργειες ήταν</w:t>
      </w:r>
      <w:r w:rsidR="003C2EAB" w:rsidRPr="00CE233A">
        <w:rPr>
          <w:lang w:val="el-GR"/>
        </w:rPr>
        <w:t xml:space="preserve"> λοίμωξη/φλεγμονώδης διαταραχή της στοματικής κοιλότητας, </w:t>
      </w:r>
      <w:r w:rsidR="00211B19" w:rsidRPr="00CE233A">
        <w:rPr>
          <w:lang w:val="el-GR"/>
        </w:rPr>
        <w:t>σηψαιμία</w:t>
      </w:r>
      <w:r w:rsidR="003C2EAB" w:rsidRPr="00CE233A">
        <w:rPr>
          <w:lang w:val="el-GR"/>
        </w:rPr>
        <w:t xml:space="preserve"> και λοίμωξη, πυρετός, διάρροια, κοιλιακό άλγος,</w:t>
      </w:r>
      <w:r w:rsidRPr="00CE233A">
        <w:rPr>
          <w:lang w:val="el-GR"/>
        </w:rPr>
        <w:t xml:space="preserve"> </w:t>
      </w:r>
      <w:r w:rsidR="003C2EAB" w:rsidRPr="00CE233A">
        <w:rPr>
          <w:lang w:val="el-GR"/>
        </w:rPr>
        <w:t xml:space="preserve">έμετος, ναυτία, εξάνθημα, </w:t>
      </w:r>
      <w:r w:rsidRPr="00CE233A">
        <w:rPr>
          <w:lang w:val="el-GR"/>
        </w:rPr>
        <w:t>αλωπεκία, και κεφαλαλγία</w:t>
      </w:r>
      <w:r w:rsidR="003C2EAB" w:rsidRPr="00CE233A">
        <w:rPr>
          <w:lang w:val="el-GR"/>
        </w:rPr>
        <w:t>.</w:t>
      </w:r>
      <w:r w:rsidRPr="00CE233A">
        <w:rPr>
          <w:lang w:val="el-GR"/>
        </w:rPr>
        <w:t xml:space="preserve"> </w:t>
      </w:r>
    </w:p>
    <w:p w:rsidR="002C1E68" w:rsidRPr="00330732" w:rsidRDefault="002C1E68">
      <w:pPr>
        <w:ind w:left="720"/>
        <w:jc w:val="both"/>
        <w:rPr>
          <w:lang w:val="el-GR"/>
        </w:rPr>
      </w:pPr>
    </w:p>
    <w:p w:rsidR="00113B7F" w:rsidRPr="00CE233A" w:rsidRDefault="00113B7F" w:rsidP="00113B7F">
      <w:pPr>
        <w:numPr>
          <w:ilvl w:val="1"/>
          <w:numId w:val="30"/>
        </w:numPr>
        <w:tabs>
          <w:tab w:val="num" w:pos="720"/>
        </w:tabs>
        <w:ind w:left="720" w:hanging="360"/>
        <w:rPr>
          <w:color w:val="0000FF"/>
          <w:lang w:val="el-GR"/>
        </w:rPr>
      </w:pPr>
      <w:r w:rsidRPr="00CE233A">
        <w:rPr>
          <w:color w:val="000000"/>
          <w:lang w:val="el-GR"/>
        </w:rPr>
        <w:t>Στην κινητοποίηση αρχέγονων αιμοποιητικών κυττάρων του περιφερικού αίματος (</w:t>
      </w:r>
      <w:r w:rsidRPr="00CE233A">
        <w:rPr>
          <w:color w:val="000000"/>
        </w:rPr>
        <w:t>PBPCs</w:t>
      </w:r>
      <w:r w:rsidRPr="00CE233A">
        <w:rPr>
          <w:color w:val="000000"/>
          <w:lang w:val="el-GR"/>
        </w:rPr>
        <w:t>) σε υγιείς δότες</w:t>
      </w:r>
    </w:p>
    <w:p w:rsidR="00B95FE2" w:rsidRPr="00CE233A" w:rsidRDefault="00B95FE2" w:rsidP="00113B7F">
      <w:pPr>
        <w:tabs>
          <w:tab w:val="left" w:pos="720"/>
        </w:tabs>
        <w:autoSpaceDE w:val="0"/>
        <w:autoSpaceDN w:val="0"/>
        <w:ind w:left="720"/>
        <w:rPr>
          <w:bCs/>
          <w:lang w:val="el-GR"/>
        </w:rPr>
      </w:pPr>
    </w:p>
    <w:p w:rsidR="00113B7F" w:rsidRPr="00CE233A" w:rsidRDefault="00113B7F" w:rsidP="00113B7F">
      <w:pPr>
        <w:tabs>
          <w:tab w:val="left" w:pos="720"/>
        </w:tabs>
        <w:autoSpaceDE w:val="0"/>
        <w:autoSpaceDN w:val="0"/>
        <w:ind w:left="720"/>
        <w:rPr>
          <w:bCs/>
          <w:lang w:val="el-GR"/>
        </w:rPr>
      </w:pPr>
      <w:r w:rsidRPr="00CE233A">
        <w:rPr>
          <w:bCs/>
          <w:lang w:val="el-GR"/>
        </w:rPr>
        <w:t xml:space="preserve">Οι πιο </w:t>
      </w:r>
      <w:r w:rsidR="00B95FE2" w:rsidRPr="00CE233A">
        <w:rPr>
          <w:bCs/>
          <w:lang w:val="el-GR"/>
        </w:rPr>
        <w:t>συχνές</w:t>
      </w:r>
      <w:r w:rsidRPr="00CE233A">
        <w:rPr>
          <w:bCs/>
          <w:lang w:val="el-GR"/>
        </w:rPr>
        <w:t xml:space="preserve"> ανεπιθύμητες ενέργειες ήταν παροδικές και ήπιες ως μέτριας βαρύτητας: άλγος, οστικός πόνος, οσφυαλγία, εξασθένιση, πυρετός, κεφαλαλγία και ναυτία, αυξημένη </w:t>
      </w:r>
      <w:r w:rsidRPr="00CE233A">
        <w:rPr>
          <w:bCs/>
        </w:rPr>
        <w:t>ALAT</w:t>
      </w:r>
      <w:r w:rsidRPr="00CE233A">
        <w:rPr>
          <w:bCs/>
          <w:lang w:val="el-GR"/>
        </w:rPr>
        <w:t xml:space="preserve">, </w:t>
      </w:r>
      <w:r w:rsidRPr="00CE233A">
        <w:rPr>
          <w:bCs/>
        </w:rPr>
        <w:t>ASAT</w:t>
      </w:r>
      <w:r w:rsidRPr="00CE233A">
        <w:rPr>
          <w:bCs/>
          <w:lang w:val="el-GR"/>
        </w:rPr>
        <w:t xml:space="preserve">, αλκαλική φωσφατάση αίματος και </w:t>
      </w:r>
      <w:r w:rsidRPr="00CE233A">
        <w:rPr>
          <w:bCs/>
        </w:rPr>
        <w:t>LDH</w:t>
      </w:r>
      <w:r w:rsidRPr="00CE233A">
        <w:rPr>
          <w:bCs/>
          <w:lang w:val="el-GR"/>
        </w:rPr>
        <w:t>.</w:t>
      </w:r>
    </w:p>
    <w:p w:rsidR="00113B7F" w:rsidRPr="00CE233A" w:rsidRDefault="00113B7F" w:rsidP="00113B7F">
      <w:pPr>
        <w:tabs>
          <w:tab w:val="left" w:pos="720"/>
        </w:tabs>
        <w:autoSpaceDE w:val="0"/>
        <w:autoSpaceDN w:val="0"/>
        <w:ind w:left="720"/>
        <w:rPr>
          <w:bCs/>
          <w:lang w:val="el-GR"/>
        </w:rPr>
      </w:pPr>
      <w:r w:rsidRPr="00CE233A">
        <w:rPr>
          <w:bCs/>
          <w:lang w:val="el-GR"/>
        </w:rPr>
        <w:t>Θρομβοπενία και λευκοκυττάρωση που σχετίζονται με την αφαίρεση παρατηρήθηκαν σε ποσοστό 42% και 24% αντίστοιχα σε άτομα που συμμετείχαν σε μελέτη.</w:t>
      </w:r>
    </w:p>
    <w:p w:rsidR="00113B7F" w:rsidRPr="00CE233A" w:rsidRDefault="00113B7F" w:rsidP="00113B7F">
      <w:pPr>
        <w:tabs>
          <w:tab w:val="left" w:pos="720"/>
        </w:tabs>
        <w:autoSpaceDE w:val="0"/>
        <w:autoSpaceDN w:val="0"/>
        <w:ind w:left="720"/>
        <w:rPr>
          <w:bCs/>
          <w:lang w:val="el-GR"/>
        </w:rPr>
      </w:pPr>
      <w:r w:rsidRPr="00CE233A">
        <w:rPr>
          <w:bCs/>
          <w:lang w:val="el-GR"/>
        </w:rPr>
        <w:lastRenderedPageBreak/>
        <w:t>Έχουν αναφερθεί συχνές αλλά γενικά ασυμπτωματικές περιπτώσεις σπληνομεγαλίας και πολύ σπάνιες περιπτώσεις ρήξης του σπλήνα.</w:t>
      </w:r>
    </w:p>
    <w:p w:rsidR="00113B7F" w:rsidRPr="00CE233A" w:rsidRDefault="00113B7F" w:rsidP="00113B7F">
      <w:pPr>
        <w:tabs>
          <w:tab w:val="left" w:pos="720"/>
        </w:tabs>
        <w:ind w:left="720"/>
        <w:rPr>
          <w:bCs/>
          <w:lang w:val="el-GR"/>
        </w:rPr>
      </w:pPr>
      <w:r w:rsidRPr="00CE233A">
        <w:rPr>
          <w:bCs/>
          <w:lang w:val="el-GR"/>
        </w:rPr>
        <w:t xml:space="preserve">Σπάνιες ανεπιθύμητες ενέργειες από τους πνεύμονες έχουν αναφερθεί όπως δύσπνοια, υποξία ή αιμόπτυση, συμπεριλαμβανομένου πολύ σπάνια Συνδρόμου Οξείας Αναπνευστικής Δυσχέρειας (ΣΟΑΔ) </w:t>
      </w:r>
      <w:r w:rsidRPr="00CE233A">
        <w:rPr>
          <w:bCs/>
          <w:i/>
          <w:lang w:val="el-GR"/>
        </w:rPr>
        <w:t>(βλ. παράγραφο 4.4)</w:t>
      </w:r>
      <w:r w:rsidRPr="00CE233A">
        <w:rPr>
          <w:bCs/>
          <w:lang w:val="el-GR"/>
        </w:rPr>
        <w:t>.</w:t>
      </w:r>
    </w:p>
    <w:p w:rsidR="00113B7F" w:rsidRPr="00CE233A" w:rsidRDefault="00113B7F" w:rsidP="00113B7F">
      <w:pPr>
        <w:tabs>
          <w:tab w:val="left" w:pos="720"/>
        </w:tabs>
        <w:ind w:left="720"/>
        <w:rPr>
          <w:color w:val="0000FF"/>
          <w:lang w:val="el-GR"/>
        </w:rPr>
      </w:pPr>
      <w:r w:rsidRPr="00CE233A">
        <w:rPr>
          <w:bCs/>
          <w:lang w:val="el-GR"/>
        </w:rPr>
        <w:t>Αλλεργικές αντιδράσεις συμπεριλαμβανομένης της αναφυλαξίας έχουν αναφερθεί πολύ σπάνια μετά την πρώτη υποδόρια χορήγηση της λενογραστίμης</w:t>
      </w:r>
      <w:r w:rsidRPr="00CE233A">
        <w:rPr>
          <w:color w:val="0000FF"/>
          <w:lang w:val="el-GR"/>
        </w:rPr>
        <w:t>.</w:t>
      </w:r>
    </w:p>
    <w:p w:rsidR="00E96C48" w:rsidRPr="00CE233A" w:rsidRDefault="00E96C48">
      <w:pPr>
        <w:ind w:left="720"/>
        <w:jc w:val="both"/>
        <w:rPr>
          <w:lang w:val="el-GR"/>
        </w:rPr>
      </w:pPr>
    </w:p>
    <w:p w:rsidR="00502872" w:rsidRPr="00CE233A" w:rsidRDefault="00502872" w:rsidP="00357B87">
      <w:pPr>
        <w:ind w:left="720"/>
        <w:rPr>
          <w:lang w:val="el-GR"/>
        </w:rPr>
      </w:pPr>
      <w:r w:rsidRPr="00CE233A">
        <w:rPr>
          <w:u w:val="single"/>
          <w:lang w:val="el-GR"/>
        </w:rPr>
        <w:t>Συχνότητα ανεπιθύμητων ενεργειών που απορρέ</w:t>
      </w:r>
      <w:r w:rsidR="00FE597E" w:rsidRPr="00CE233A">
        <w:rPr>
          <w:u w:val="single"/>
          <w:lang w:val="el-GR"/>
        </w:rPr>
        <w:t>ει</w:t>
      </w:r>
      <w:r w:rsidRPr="00CE233A">
        <w:rPr>
          <w:u w:val="single"/>
          <w:lang w:val="el-GR"/>
        </w:rPr>
        <w:t xml:space="preserve"> από κλινικές μελέτες και τα δεδομένα παρατήρησης μετά την κυκλοφορία.</w:t>
      </w:r>
      <w:r w:rsidRPr="00CE233A">
        <w:rPr>
          <w:lang w:val="el-GR"/>
        </w:rPr>
        <w:t xml:space="preserve"> Πολύ συχνές (≥10%)· συχνές (≥1/100, &lt;1/10)· όχι συχνές (≥1/1.000, &lt;1/100)· σπάνιες (≥1/10.000, &lt;1/1.000)· πολύ σπάνιες (&lt;1/10.000)· μη γνωστές (δεν μπορούν να εκτιμηθούν με βάση τα διαθέσιμα δεδομένα).</w:t>
      </w:r>
    </w:p>
    <w:p w:rsidR="001F5608" w:rsidRPr="00372EE5" w:rsidRDefault="001F5608" w:rsidP="00C06734">
      <w:pPr>
        <w:jc w:val="both"/>
        <w:rPr>
          <w:b/>
          <w:sz w:val="22"/>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1798"/>
        <w:gridCol w:w="1439"/>
        <w:gridCol w:w="1315"/>
        <w:gridCol w:w="1411"/>
        <w:gridCol w:w="1532"/>
      </w:tblGrid>
      <w:tr w:rsidR="00B32579" w:rsidRPr="00B51128" w:rsidTr="00B51128">
        <w:trPr>
          <w:cantSplit/>
          <w:tblHeader/>
        </w:trPr>
        <w:tc>
          <w:tcPr>
            <w:tcW w:w="1609" w:type="dxa"/>
            <w:shd w:val="clear" w:color="auto" w:fill="auto"/>
          </w:tcPr>
          <w:p w:rsidR="00CC0C1F" w:rsidRPr="00B51128" w:rsidRDefault="00CC0C1F" w:rsidP="00CC0C1F">
            <w:pPr>
              <w:rPr>
                <w:b/>
                <w:sz w:val="22"/>
                <w:szCs w:val="22"/>
                <w:lang w:val="el-GR"/>
              </w:rPr>
            </w:pPr>
            <w:r w:rsidRPr="00B51128">
              <w:rPr>
                <w:b/>
                <w:sz w:val="22"/>
                <w:szCs w:val="22"/>
                <w:lang w:val="el-GR"/>
              </w:rPr>
              <w:t>Κατηγορία οργ</w:t>
            </w:r>
            <w:r w:rsidR="00CB2203" w:rsidRPr="00B51128">
              <w:rPr>
                <w:b/>
                <w:sz w:val="22"/>
                <w:szCs w:val="22"/>
                <w:lang w:val="el-GR"/>
              </w:rPr>
              <w:t>ανικού</w:t>
            </w:r>
            <w:r w:rsidRPr="00B51128">
              <w:rPr>
                <w:b/>
                <w:sz w:val="22"/>
                <w:szCs w:val="22"/>
                <w:lang w:val="el-GR"/>
              </w:rPr>
              <w:t xml:space="preserve"> συστήματος </w:t>
            </w:r>
            <w:r w:rsidR="00FE597E" w:rsidRPr="00B51128">
              <w:rPr>
                <w:b/>
                <w:sz w:val="22"/>
                <w:szCs w:val="22"/>
                <w:lang w:val="el-GR"/>
              </w:rPr>
              <w:t xml:space="preserve">κατά </w:t>
            </w:r>
            <w:proofErr w:type="spellStart"/>
            <w:r w:rsidRPr="00B51128">
              <w:rPr>
                <w:b/>
                <w:sz w:val="22"/>
                <w:szCs w:val="22"/>
              </w:rPr>
              <w:t>MedDRA</w:t>
            </w:r>
            <w:proofErr w:type="spellEnd"/>
          </w:p>
        </w:tc>
        <w:tc>
          <w:tcPr>
            <w:tcW w:w="1654" w:type="dxa"/>
            <w:shd w:val="clear" w:color="auto" w:fill="auto"/>
          </w:tcPr>
          <w:p w:rsidR="00CC0C1F" w:rsidRPr="00B51128" w:rsidRDefault="00CC0C1F" w:rsidP="00CC0C1F">
            <w:pPr>
              <w:rPr>
                <w:b/>
                <w:sz w:val="22"/>
                <w:szCs w:val="22"/>
                <w:lang w:val="el-GR"/>
              </w:rPr>
            </w:pPr>
            <w:r w:rsidRPr="00B51128">
              <w:rPr>
                <w:b/>
                <w:sz w:val="22"/>
                <w:szCs w:val="22"/>
                <w:lang w:val="el-GR"/>
              </w:rPr>
              <w:t>Πολύ συχνές</w:t>
            </w:r>
          </w:p>
        </w:tc>
        <w:tc>
          <w:tcPr>
            <w:tcW w:w="1424" w:type="dxa"/>
            <w:shd w:val="clear" w:color="auto" w:fill="auto"/>
          </w:tcPr>
          <w:p w:rsidR="00CC0C1F" w:rsidRPr="00B51128" w:rsidRDefault="00CC0C1F" w:rsidP="00CC0C1F">
            <w:pPr>
              <w:rPr>
                <w:b/>
                <w:sz w:val="22"/>
                <w:szCs w:val="22"/>
                <w:lang w:val="el-GR"/>
              </w:rPr>
            </w:pPr>
            <w:r w:rsidRPr="00B51128">
              <w:rPr>
                <w:b/>
                <w:sz w:val="22"/>
                <w:szCs w:val="22"/>
                <w:lang w:val="el-GR"/>
              </w:rPr>
              <w:t>Συχνές</w:t>
            </w:r>
          </w:p>
        </w:tc>
        <w:tc>
          <w:tcPr>
            <w:tcW w:w="1315" w:type="dxa"/>
            <w:shd w:val="clear" w:color="auto" w:fill="auto"/>
          </w:tcPr>
          <w:p w:rsidR="00CC0C1F" w:rsidRPr="00B51128" w:rsidRDefault="00CC0C1F" w:rsidP="00CC0C1F">
            <w:pPr>
              <w:rPr>
                <w:b/>
                <w:sz w:val="22"/>
                <w:szCs w:val="22"/>
                <w:lang w:val="el-GR"/>
              </w:rPr>
            </w:pPr>
            <w:r w:rsidRPr="00B51128">
              <w:rPr>
                <w:b/>
                <w:sz w:val="22"/>
                <w:szCs w:val="22"/>
                <w:lang w:val="el-GR"/>
              </w:rPr>
              <w:t>Όχι συχνές</w:t>
            </w:r>
          </w:p>
        </w:tc>
        <w:tc>
          <w:tcPr>
            <w:tcW w:w="1411" w:type="dxa"/>
            <w:shd w:val="clear" w:color="auto" w:fill="auto"/>
          </w:tcPr>
          <w:p w:rsidR="00CC0C1F" w:rsidRPr="00B51128" w:rsidRDefault="00CC0C1F" w:rsidP="00CC0C1F">
            <w:pPr>
              <w:rPr>
                <w:b/>
                <w:sz w:val="22"/>
                <w:szCs w:val="22"/>
                <w:lang w:val="el-GR"/>
              </w:rPr>
            </w:pPr>
            <w:r w:rsidRPr="00B51128">
              <w:rPr>
                <w:b/>
                <w:sz w:val="22"/>
                <w:szCs w:val="22"/>
                <w:lang w:val="el-GR"/>
              </w:rPr>
              <w:t>Σπάνιες</w:t>
            </w:r>
          </w:p>
        </w:tc>
        <w:tc>
          <w:tcPr>
            <w:tcW w:w="1443" w:type="dxa"/>
            <w:shd w:val="clear" w:color="auto" w:fill="auto"/>
          </w:tcPr>
          <w:p w:rsidR="00CC0C1F" w:rsidRPr="00B51128" w:rsidRDefault="00CC0C1F" w:rsidP="00CC0C1F">
            <w:pPr>
              <w:rPr>
                <w:b/>
                <w:sz w:val="22"/>
                <w:szCs w:val="22"/>
                <w:lang w:val="el-GR"/>
              </w:rPr>
            </w:pPr>
            <w:r w:rsidRPr="00B51128">
              <w:rPr>
                <w:b/>
                <w:sz w:val="22"/>
                <w:szCs w:val="22"/>
                <w:lang w:val="el-GR"/>
              </w:rPr>
              <w:t>Πολύ σπάνιες</w:t>
            </w:r>
          </w:p>
        </w:tc>
      </w:tr>
      <w:tr w:rsidR="00CC0C1F" w:rsidRPr="00B51128" w:rsidTr="00B51128">
        <w:trPr>
          <w:cantSplit/>
        </w:trPr>
        <w:tc>
          <w:tcPr>
            <w:tcW w:w="1609" w:type="dxa"/>
            <w:shd w:val="clear" w:color="auto" w:fill="auto"/>
          </w:tcPr>
          <w:p w:rsidR="00CC0C1F" w:rsidRPr="00B51128" w:rsidRDefault="00324AA0" w:rsidP="00CC0C1F">
            <w:pPr>
              <w:rPr>
                <w:b/>
                <w:sz w:val="22"/>
                <w:szCs w:val="22"/>
                <w:lang w:val="el-GR"/>
              </w:rPr>
            </w:pPr>
            <w:r w:rsidRPr="00B51128">
              <w:rPr>
                <w:b/>
                <w:sz w:val="22"/>
                <w:szCs w:val="22"/>
                <w:lang w:val="el-GR"/>
              </w:rPr>
              <w:t>Παρακλινικές εξετάσεις</w:t>
            </w:r>
          </w:p>
        </w:tc>
        <w:tc>
          <w:tcPr>
            <w:tcW w:w="1654" w:type="dxa"/>
            <w:shd w:val="clear" w:color="auto" w:fill="auto"/>
          </w:tcPr>
          <w:p w:rsidR="00CC0C1F" w:rsidRPr="00B51128" w:rsidRDefault="00CC0C1F" w:rsidP="00CC0C1F">
            <w:pPr>
              <w:rPr>
                <w:sz w:val="22"/>
                <w:szCs w:val="22"/>
              </w:rPr>
            </w:pPr>
            <w:r w:rsidRPr="00B51128">
              <w:rPr>
                <w:sz w:val="22"/>
                <w:szCs w:val="22"/>
                <w:lang w:val="el-GR"/>
              </w:rPr>
              <w:t xml:space="preserve">Αυξημένη </w:t>
            </w:r>
            <w:r w:rsidRPr="00B51128">
              <w:rPr>
                <w:sz w:val="22"/>
                <w:szCs w:val="22"/>
              </w:rPr>
              <w:t>LDH</w:t>
            </w:r>
          </w:p>
        </w:tc>
        <w:tc>
          <w:tcPr>
            <w:tcW w:w="1424" w:type="dxa"/>
            <w:shd w:val="clear" w:color="auto" w:fill="auto"/>
          </w:tcPr>
          <w:p w:rsidR="00CC0C1F" w:rsidRPr="00B51128" w:rsidRDefault="00CC0C1F" w:rsidP="00CC0C1F">
            <w:pPr>
              <w:rPr>
                <w:sz w:val="22"/>
                <w:szCs w:val="22"/>
                <w:lang w:val="el-GR"/>
              </w:rPr>
            </w:pPr>
          </w:p>
        </w:tc>
        <w:tc>
          <w:tcPr>
            <w:tcW w:w="1315" w:type="dxa"/>
            <w:shd w:val="clear" w:color="auto" w:fill="auto"/>
          </w:tcPr>
          <w:p w:rsidR="00CC0C1F" w:rsidRPr="00B51128" w:rsidRDefault="00CC0C1F" w:rsidP="00CC0C1F">
            <w:pPr>
              <w:rPr>
                <w:sz w:val="22"/>
                <w:szCs w:val="22"/>
                <w:lang w:val="el-GR"/>
              </w:rPr>
            </w:pPr>
          </w:p>
        </w:tc>
        <w:tc>
          <w:tcPr>
            <w:tcW w:w="1411" w:type="dxa"/>
            <w:shd w:val="clear" w:color="auto" w:fill="auto"/>
          </w:tcPr>
          <w:p w:rsidR="00CC0C1F" w:rsidRPr="00B51128" w:rsidRDefault="00CC0C1F" w:rsidP="00CC0C1F">
            <w:pPr>
              <w:rPr>
                <w:sz w:val="22"/>
                <w:szCs w:val="22"/>
                <w:lang w:val="el-GR"/>
              </w:rPr>
            </w:pPr>
          </w:p>
        </w:tc>
        <w:tc>
          <w:tcPr>
            <w:tcW w:w="1443" w:type="dxa"/>
            <w:shd w:val="clear" w:color="auto" w:fill="auto"/>
          </w:tcPr>
          <w:p w:rsidR="00CC0C1F" w:rsidRPr="00B51128" w:rsidRDefault="00CC0C1F" w:rsidP="00CC0C1F">
            <w:pPr>
              <w:rPr>
                <w:sz w:val="22"/>
                <w:szCs w:val="22"/>
                <w:lang w:val="el-GR"/>
              </w:rPr>
            </w:pPr>
          </w:p>
        </w:tc>
      </w:tr>
      <w:tr w:rsidR="00B32579" w:rsidRPr="00B51128" w:rsidTr="00B51128">
        <w:trPr>
          <w:cantSplit/>
        </w:trPr>
        <w:tc>
          <w:tcPr>
            <w:tcW w:w="1609" w:type="dxa"/>
            <w:shd w:val="clear" w:color="auto" w:fill="auto"/>
          </w:tcPr>
          <w:p w:rsidR="00CC0C1F" w:rsidRPr="00B51128" w:rsidRDefault="00CC0C1F" w:rsidP="00CC0C1F">
            <w:pPr>
              <w:rPr>
                <w:b/>
                <w:sz w:val="22"/>
                <w:szCs w:val="22"/>
                <w:lang w:val="el-GR"/>
              </w:rPr>
            </w:pPr>
            <w:r w:rsidRPr="00B51128">
              <w:rPr>
                <w:b/>
                <w:sz w:val="22"/>
                <w:szCs w:val="22"/>
                <w:lang w:val="el-GR"/>
              </w:rPr>
              <w:t>Διαταραχές του αιμοποιητικού και του λεμφικού συστήματος</w:t>
            </w:r>
          </w:p>
        </w:tc>
        <w:tc>
          <w:tcPr>
            <w:tcW w:w="1654" w:type="dxa"/>
            <w:shd w:val="clear" w:color="auto" w:fill="auto"/>
          </w:tcPr>
          <w:p w:rsidR="00CC0C1F" w:rsidRPr="00B51128" w:rsidRDefault="00CC0C1F" w:rsidP="00CC0C1F">
            <w:pPr>
              <w:rPr>
                <w:sz w:val="22"/>
                <w:szCs w:val="22"/>
                <w:lang w:val="el-GR"/>
              </w:rPr>
            </w:pPr>
            <w:r w:rsidRPr="00B51128">
              <w:rPr>
                <w:sz w:val="22"/>
                <w:szCs w:val="22"/>
                <w:lang w:val="el-GR"/>
              </w:rPr>
              <w:t>Λευκοκυττάρωση</w:t>
            </w:r>
          </w:p>
          <w:p w:rsidR="00CC0C1F" w:rsidRPr="00B51128" w:rsidRDefault="00CC0C1F" w:rsidP="00CC0C1F">
            <w:pPr>
              <w:rPr>
                <w:sz w:val="22"/>
                <w:szCs w:val="22"/>
                <w:lang w:val="el-GR"/>
              </w:rPr>
            </w:pPr>
            <w:r w:rsidRPr="00B51128">
              <w:rPr>
                <w:sz w:val="22"/>
                <w:szCs w:val="22"/>
                <w:lang w:val="el-GR"/>
              </w:rPr>
              <w:t>Θρομβοπενία</w:t>
            </w:r>
          </w:p>
        </w:tc>
        <w:tc>
          <w:tcPr>
            <w:tcW w:w="1424" w:type="dxa"/>
            <w:shd w:val="clear" w:color="auto" w:fill="auto"/>
          </w:tcPr>
          <w:p w:rsidR="00CC0C1F" w:rsidRPr="00B51128" w:rsidRDefault="00CC0C1F" w:rsidP="00CC0C1F">
            <w:pPr>
              <w:rPr>
                <w:sz w:val="22"/>
                <w:szCs w:val="22"/>
                <w:lang w:val="el-GR"/>
              </w:rPr>
            </w:pPr>
            <w:r w:rsidRPr="00B51128">
              <w:rPr>
                <w:sz w:val="22"/>
                <w:szCs w:val="22"/>
                <w:lang w:val="el-GR"/>
              </w:rPr>
              <w:t>Διογκωμένος σπλήνας</w:t>
            </w:r>
          </w:p>
        </w:tc>
        <w:tc>
          <w:tcPr>
            <w:tcW w:w="1315" w:type="dxa"/>
            <w:shd w:val="clear" w:color="auto" w:fill="auto"/>
          </w:tcPr>
          <w:p w:rsidR="00CC0C1F" w:rsidRPr="00B51128" w:rsidRDefault="00CC0C1F" w:rsidP="00CC0C1F">
            <w:pPr>
              <w:rPr>
                <w:sz w:val="22"/>
                <w:szCs w:val="22"/>
                <w:lang w:val="el-GR"/>
              </w:rPr>
            </w:pPr>
          </w:p>
        </w:tc>
        <w:tc>
          <w:tcPr>
            <w:tcW w:w="1411" w:type="dxa"/>
            <w:shd w:val="clear" w:color="auto" w:fill="auto"/>
          </w:tcPr>
          <w:p w:rsidR="00CC0C1F" w:rsidRPr="00B51128" w:rsidRDefault="00CC0C1F" w:rsidP="00CC0C1F">
            <w:pPr>
              <w:rPr>
                <w:sz w:val="22"/>
                <w:szCs w:val="22"/>
                <w:lang w:val="el-GR"/>
              </w:rPr>
            </w:pPr>
          </w:p>
        </w:tc>
        <w:tc>
          <w:tcPr>
            <w:tcW w:w="1443" w:type="dxa"/>
            <w:shd w:val="clear" w:color="auto" w:fill="auto"/>
          </w:tcPr>
          <w:p w:rsidR="00CC0C1F" w:rsidRPr="00B51128" w:rsidRDefault="00CC0C1F" w:rsidP="00CC0C1F">
            <w:pPr>
              <w:rPr>
                <w:sz w:val="22"/>
                <w:szCs w:val="22"/>
                <w:vertAlign w:val="superscript"/>
                <w:lang w:val="el-GR"/>
              </w:rPr>
            </w:pPr>
            <w:r w:rsidRPr="00B51128">
              <w:rPr>
                <w:sz w:val="22"/>
                <w:szCs w:val="22"/>
                <w:lang w:val="el-GR"/>
              </w:rPr>
              <w:t>Ρήξη σπλήνα (5)</w:t>
            </w:r>
          </w:p>
        </w:tc>
      </w:tr>
      <w:tr w:rsidR="00CC0C1F" w:rsidRPr="00B51128" w:rsidTr="00B51128">
        <w:trPr>
          <w:cantSplit/>
        </w:trPr>
        <w:tc>
          <w:tcPr>
            <w:tcW w:w="1609" w:type="dxa"/>
            <w:shd w:val="clear" w:color="auto" w:fill="auto"/>
          </w:tcPr>
          <w:p w:rsidR="00CC0C1F" w:rsidRPr="00B51128" w:rsidRDefault="00CC0C1F" w:rsidP="00CC0C1F">
            <w:pPr>
              <w:rPr>
                <w:b/>
                <w:sz w:val="22"/>
                <w:szCs w:val="22"/>
                <w:lang w:val="el-GR"/>
              </w:rPr>
            </w:pPr>
            <w:r w:rsidRPr="00B51128">
              <w:rPr>
                <w:b/>
                <w:sz w:val="22"/>
                <w:szCs w:val="22"/>
                <w:lang w:val="el-GR"/>
              </w:rPr>
              <w:t>Διαταραχές του νευρικού συστήματος</w:t>
            </w:r>
          </w:p>
        </w:tc>
        <w:tc>
          <w:tcPr>
            <w:tcW w:w="1654" w:type="dxa"/>
            <w:shd w:val="clear" w:color="auto" w:fill="auto"/>
          </w:tcPr>
          <w:p w:rsidR="00CC0C1F" w:rsidRPr="00B51128" w:rsidRDefault="00CC0C1F" w:rsidP="00CC0C1F">
            <w:pPr>
              <w:rPr>
                <w:sz w:val="22"/>
                <w:szCs w:val="22"/>
                <w:lang w:val="el-GR"/>
              </w:rPr>
            </w:pPr>
            <w:r w:rsidRPr="00B51128">
              <w:rPr>
                <w:sz w:val="22"/>
                <w:szCs w:val="22"/>
                <w:lang w:val="el-GR"/>
              </w:rPr>
              <w:t>Κεφαλαλγία</w:t>
            </w:r>
          </w:p>
          <w:p w:rsidR="00CC0C1F" w:rsidRPr="00B51128" w:rsidRDefault="00CC0C1F" w:rsidP="00CC0C1F">
            <w:pPr>
              <w:rPr>
                <w:sz w:val="22"/>
                <w:szCs w:val="22"/>
                <w:lang w:val="el-GR"/>
              </w:rPr>
            </w:pPr>
            <w:r w:rsidRPr="00B51128">
              <w:rPr>
                <w:sz w:val="22"/>
                <w:szCs w:val="22"/>
                <w:lang w:val="el-GR"/>
              </w:rPr>
              <w:t>Εξασθένιση</w:t>
            </w:r>
          </w:p>
        </w:tc>
        <w:tc>
          <w:tcPr>
            <w:tcW w:w="1424" w:type="dxa"/>
            <w:shd w:val="clear" w:color="auto" w:fill="auto"/>
          </w:tcPr>
          <w:p w:rsidR="00CC0C1F" w:rsidRPr="00B51128" w:rsidRDefault="00CC0C1F" w:rsidP="00CC0C1F">
            <w:pPr>
              <w:rPr>
                <w:sz w:val="22"/>
                <w:szCs w:val="22"/>
                <w:lang w:val="el-GR"/>
              </w:rPr>
            </w:pPr>
          </w:p>
        </w:tc>
        <w:tc>
          <w:tcPr>
            <w:tcW w:w="1315" w:type="dxa"/>
            <w:shd w:val="clear" w:color="auto" w:fill="auto"/>
          </w:tcPr>
          <w:p w:rsidR="00CC0C1F" w:rsidRPr="00B51128" w:rsidRDefault="00CC0C1F" w:rsidP="00CC0C1F">
            <w:pPr>
              <w:rPr>
                <w:sz w:val="22"/>
                <w:szCs w:val="22"/>
                <w:lang w:val="el-GR"/>
              </w:rPr>
            </w:pPr>
          </w:p>
        </w:tc>
        <w:tc>
          <w:tcPr>
            <w:tcW w:w="1411" w:type="dxa"/>
            <w:shd w:val="clear" w:color="auto" w:fill="auto"/>
          </w:tcPr>
          <w:p w:rsidR="00CC0C1F" w:rsidRPr="00B51128" w:rsidRDefault="00CC0C1F" w:rsidP="00CC0C1F">
            <w:pPr>
              <w:rPr>
                <w:sz w:val="22"/>
                <w:szCs w:val="22"/>
                <w:lang w:val="el-GR"/>
              </w:rPr>
            </w:pPr>
          </w:p>
        </w:tc>
        <w:tc>
          <w:tcPr>
            <w:tcW w:w="1443" w:type="dxa"/>
            <w:shd w:val="clear" w:color="auto" w:fill="auto"/>
          </w:tcPr>
          <w:p w:rsidR="00CC0C1F" w:rsidRPr="00B51128" w:rsidRDefault="00CC0C1F" w:rsidP="00CC0C1F">
            <w:pPr>
              <w:rPr>
                <w:sz w:val="22"/>
                <w:szCs w:val="22"/>
                <w:lang w:val="el-GR"/>
              </w:rPr>
            </w:pPr>
          </w:p>
        </w:tc>
      </w:tr>
      <w:tr w:rsidR="00CC0C1F" w:rsidRPr="00B51128" w:rsidTr="00B51128">
        <w:trPr>
          <w:cantSplit/>
        </w:trPr>
        <w:tc>
          <w:tcPr>
            <w:tcW w:w="1609" w:type="dxa"/>
            <w:shd w:val="clear" w:color="auto" w:fill="auto"/>
          </w:tcPr>
          <w:p w:rsidR="00CC0C1F" w:rsidRPr="00B51128" w:rsidRDefault="00CC0C1F" w:rsidP="00CC0C1F">
            <w:pPr>
              <w:rPr>
                <w:b/>
                <w:sz w:val="22"/>
                <w:szCs w:val="22"/>
                <w:lang w:val="el-GR"/>
              </w:rPr>
            </w:pPr>
            <w:r w:rsidRPr="00B51128">
              <w:rPr>
                <w:b/>
                <w:sz w:val="22"/>
                <w:szCs w:val="22"/>
                <w:lang w:val="el-GR"/>
              </w:rPr>
              <w:t>Διαταραχές του αναπνευστικού συστήματος, του θώρακα και του μεσοθωρακίου</w:t>
            </w:r>
          </w:p>
        </w:tc>
        <w:tc>
          <w:tcPr>
            <w:tcW w:w="1654" w:type="dxa"/>
            <w:shd w:val="clear" w:color="auto" w:fill="auto"/>
          </w:tcPr>
          <w:p w:rsidR="00CC0C1F" w:rsidRPr="00B51128" w:rsidRDefault="00CC0C1F" w:rsidP="00CC0C1F">
            <w:pPr>
              <w:rPr>
                <w:sz w:val="22"/>
                <w:szCs w:val="22"/>
                <w:lang w:val="el-GR"/>
              </w:rPr>
            </w:pPr>
          </w:p>
        </w:tc>
        <w:tc>
          <w:tcPr>
            <w:tcW w:w="1424" w:type="dxa"/>
            <w:shd w:val="clear" w:color="auto" w:fill="auto"/>
          </w:tcPr>
          <w:p w:rsidR="00CC0C1F" w:rsidRPr="00B51128" w:rsidRDefault="00CC0C1F" w:rsidP="00CC0C1F">
            <w:pPr>
              <w:rPr>
                <w:sz w:val="22"/>
                <w:szCs w:val="22"/>
                <w:lang w:val="el-GR"/>
              </w:rPr>
            </w:pPr>
          </w:p>
        </w:tc>
        <w:tc>
          <w:tcPr>
            <w:tcW w:w="1315" w:type="dxa"/>
            <w:shd w:val="clear" w:color="auto" w:fill="auto"/>
          </w:tcPr>
          <w:p w:rsidR="00CC0C1F" w:rsidRPr="00B51128" w:rsidRDefault="00CC0C1F" w:rsidP="00CC0C1F">
            <w:pPr>
              <w:rPr>
                <w:sz w:val="22"/>
                <w:szCs w:val="22"/>
                <w:lang w:val="el-GR"/>
              </w:rPr>
            </w:pPr>
          </w:p>
        </w:tc>
        <w:tc>
          <w:tcPr>
            <w:tcW w:w="1411" w:type="dxa"/>
            <w:shd w:val="clear" w:color="auto" w:fill="auto"/>
          </w:tcPr>
          <w:p w:rsidR="00CC0C1F" w:rsidRPr="00B51128" w:rsidRDefault="00CC0C1F" w:rsidP="00CC0C1F">
            <w:pPr>
              <w:rPr>
                <w:sz w:val="22"/>
                <w:szCs w:val="22"/>
                <w:lang w:val="el-GR"/>
              </w:rPr>
            </w:pPr>
            <w:r w:rsidRPr="00B51128">
              <w:rPr>
                <w:sz w:val="22"/>
                <w:szCs w:val="22"/>
                <w:lang w:val="el-GR"/>
              </w:rPr>
              <w:t xml:space="preserve">Πνευμονικό οίδημα </w:t>
            </w:r>
          </w:p>
          <w:p w:rsidR="00CC0C1F" w:rsidRPr="00B51128" w:rsidRDefault="00CC0C1F" w:rsidP="00CC0C1F">
            <w:pPr>
              <w:rPr>
                <w:sz w:val="22"/>
                <w:szCs w:val="22"/>
                <w:lang w:val="el-GR"/>
              </w:rPr>
            </w:pPr>
            <w:r w:rsidRPr="00B51128">
              <w:rPr>
                <w:sz w:val="22"/>
                <w:szCs w:val="22"/>
                <w:lang w:val="el-GR"/>
              </w:rPr>
              <w:t>Διάμεση πνευμονία</w:t>
            </w:r>
            <w:r w:rsidR="00EB43F8" w:rsidRPr="00B51128">
              <w:rPr>
                <w:sz w:val="22"/>
                <w:szCs w:val="22"/>
                <w:lang w:val="el-GR"/>
              </w:rPr>
              <w:t xml:space="preserve"> (3)</w:t>
            </w:r>
          </w:p>
          <w:p w:rsidR="00CC0C1F" w:rsidRPr="00B51128" w:rsidRDefault="00B32579" w:rsidP="00CC0C1F">
            <w:pPr>
              <w:rPr>
                <w:sz w:val="22"/>
                <w:szCs w:val="22"/>
                <w:lang w:val="el-GR"/>
              </w:rPr>
            </w:pPr>
            <w:r w:rsidRPr="00B51128">
              <w:rPr>
                <w:sz w:val="22"/>
                <w:szCs w:val="22"/>
                <w:lang w:val="el-GR"/>
              </w:rPr>
              <w:t>Πνευμονικές διηθήσεις</w:t>
            </w:r>
          </w:p>
          <w:p w:rsidR="00B32579" w:rsidRPr="00B51128" w:rsidRDefault="00B32579" w:rsidP="00CC0C1F">
            <w:pPr>
              <w:rPr>
                <w:sz w:val="22"/>
                <w:szCs w:val="22"/>
                <w:lang w:val="el-GR"/>
              </w:rPr>
            </w:pPr>
            <w:r w:rsidRPr="00B51128">
              <w:rPr>
                <w:sz w:val="22"/>
                <w:szCs w:val="22"/>
                <w:lang w:val="el-GR"/>
              </w:rPr>
              <w:t>Πνευμονική ίνωση</w:t>
            </w:r>
          </w:p>
        </w:tc>
        <w:tc>
          <w:tcPr>
            <w:tcW w:w="1443" w:type="dxa"/>
            <w:shd w:val="clear" w:color="auto" w:fill="auto"/>
          </w:tcPr>
          <w:p w:rsidR="00CC0C1F" w:rsidRPr="00B51128" w:rsidRDefault="00CC0C1F" w:rsidP="00CC0C1F">
            <w:pPr>
              <w:rPr>
                <w:sz w:val="22"/>
                <w:szCs w:val="22"/>
                <w:lang w:val="el-GR"/>
              </w:rPr>
            </w:pPr>
          </w:p>
        </w:tc>
      </w:tr>
      <w:tr w:rsidR="00CC0C1F" w:rsidRPr="00B51128" w:rsidTr="00B51128">
        <w:trPr>
          <w:cantSplit/>
        </w:trPr>
        <w:tc>
          <w:tcPr>
            <w:tcW w:w="1609" w:type="dxa"/>
            <w:shd w:val="clear" w:color="auto" w:fill="auto"/>
          </w:tcPr>
          <w:p w:rsidR="00CC0C1F" w:rsidRPr="00B51128" w:rsidRDefault="00CC0C1F" w:rsidP="00CC0C1F">
            <w:pPr>
              <w:rPr>
                <w:b/>
                <w:sz w:val="22"/>
                <w:szCs w:val="22"/>
                <w:lang w:val="el-GR"/>
              </w:rPr>
            </w:pPr>
            <w:r w:rsidRPr="00B51128">
              <w:rPr>
                <w:b/>
                <w:sz w:val="22"/>
                <w:szCs w:val="22"/>
                <w:lang w:val="el-GR"/>
              </w:rPr>
              <w:t>Διαταραχές του γαστρεντερικού</w:t>
            </w:r>
          </w:p>
        </w:tc>
        <w:tc>
          <w:tcPr>
            <w:tcW w:w="1654" w:type="dxa"/>
            <w:shd w:val="clear" w:color="auto" w:fill="auto"/>
          </w:tcPr>
          <w:p w:rsidR="00CC0C1F" w:rsidRPr="00B51128" w:rsidRDefault="00CC0C1F" w:rsidP="00CC0C1F">
            <w:pPr>
              <w:rPr>
                <w:sz w:val="22"/>
                <w:szCs w:val="22"/>
                <w:lang w:val="el-GR"/>
              </w:rPr>
            </w:pPr>
          </w:p>
        </w:tc>
        <w:tc>
          <w:tcPr>
            <w:tcW w:w="1424" w:type="dxa"/>
            <w:shd w:val="clear" w:color="auto" w:fill="auto"/>
          </w:tcPr>
          <w:p w:rsidR="00CC0C1F" w:rsidRPr="00B51128" w:rsidRDefault="00B32579" w:rsidP="00CC0C1F">
            <w:pPr>
              <w:rPr>
                <w:sz w:val="22"/>
                <w:szCs w:val="22"/>
                <w:lang w:val="el-GR"/>
              </w:rPr>
            </w:pPr>
            <w:r w:rsidRPr="00B51128">
              <w:rPr>
                <w:sz w:val="22"/>
                <w:szCs w:val="22"/>
                <w:lang w:val="el-GR"/>
              </w:rPr>
              <w:t>Κοιλιακό άλγος</w:t>
            </w:r>
          </w:p>
        </w:tc>
        <w:tc>
          <w:tcPr>
            <w:tcW w:w="1315" w:type="dxa"/>
            <w:shd w:val="clear" w:color="auto" w:fill="auto"/>
          </w:tcPr>
          <w:p w:rsidR="00CC0C1F" w:rsidRPr="00B51128" w:rsidRDefault="00CC0C1F" w:rsidP="00CC0C1F">
            <w:pPr>
              <w:rPr>
                <w:sz w:val="22"/>
                <w:szCs w:val="22"/>
                <w:lang w:val="el-GR"/>
              </w:rPr>
            </w:pPr>
          </w:p>
        </w:tc>
        <w:tc>
          <w:tcPr>
            <w:tcW w:w="1411" w:type="dxa"/>
            <w:shd w:val="clear" w:color="auto" w:fill="auto"/>
          </w:tcPr>
          <w:p w:rsidR="00CC0C1F" w:rsidRPr="00B51128" w:rsidRDefault="00CC0C1F" w:rsidP="00CC0C1F">
            <w:pPr>
              <w:rPr>
                <w:sz w:val="22"/>
                <w:szCs w:val="22"/>
                <w:lang w:val="el-GR"/>
              </w:rPr>
            </w:pPr>
          </w:p>
        </w:tc>
        <w:tc>
          <w:tcPr>
            <w:tcW w:w="1443" w:type="dxa"/>
            <w:shd w:val="clear" w:color="auto" w:fill="auto"/>
          </w:tcPr>
          <w:p w:rsidR="00CC0C1F" w:rsidRPr="00B51128" w:rsidRDefault="00CC0C1F" w:rsidP="00CC0C1F">
            <w:pPr>
              <w:rPr>
                <w:sz w:val="22"/>
                <w:szCs w:val="22"/>
                <w:lang w:val="el-GR"/>
              </w:rPr>
            </w:pPr>
          </w:p>
        </w:tc>
      </w:tr>
      <w:tr w:rsidR="00CC0C1F" w:rsidRPr="00B51128" w:rsidTr="00B51128">
        <w:trPr>
          <w:cantSplit/>
        </w:trPr>
        <w:tc>
          <w:tcPr>
            <w:tcW w:w="1609" w:type="dxa"/>
            <w:shd w:val="clear" w:color="auto" w:fill="auto"/>
          </w:tcPr>
          <w:p w:rsidR="00CC0C1F" w:rsidRPr="00B51128" w:rsidRDefault="00CC0C1F" w:rsidP="00CC0C1F">
            <w:pPr>
              <w:rPr>
                <w:b/>
                <w:sz w:val="22"/>
                <w:szCs w:val="22"/>
                <w:lang w:val="el-GR"/>
              </w:rPr>
            </w:pPr>
            <w:r w:rsidRPr="00B51128">
              <w:rPr>
                <w:b/>
                <w:sz w:val="22"/>
                <w:szCs w:val="22"/>
                <w:lang w:val="el-GR"/>
              </w:rPr>
              <w:t>Διαταραχές του δέρματος και του υποδόριου ιστού</w:t>
            </w:r>
          </w:p>
        </w:tc>
        <w:tc>
          <w:tcPr>
            <w:tcW w:w="1654" w:type="dxa"/>
            <w:shd w:val="clear" w:color="auto" w:fill="auto"/>
          </w:tcPr>
          <w:p w:rsidR="00CC0C1F" w:rsidRPr="00B51128" w:rsidRDefault="00CC0C1F" w:rsidP="00CC0C1F">
            <w:pPr>
              <w:rPr>
                <w:sz w:val="22"/>
                <w:szCs w:val="22"/>
                <w:lang w:val="el-GR"/>
              </w:rPr>
            </w:pPr>
          </w:p>
        </w:tc>
        <w:tc>
          <w:tcPr>
            <w:tcW w:w="1424" w:type="dxa"/>
            <w:shd w:val="clear" w:color="auto" w:fill="auto"/>
          </w:tcPr>
          <w:p w:rsidR="00CC0C1F" w:rsidRPr="00B51128" w:rsidRDefault="00CC0C1F" w:rsidP="00CC0C1F">
            <w:pPr>
              <w:rPr>
                <w:sz w:val="22"/>
                <w:szCs w:val="22"/>
                <w:lang w:val="el-GR"/>
              </w:rPr>
            </w:pPr>
          </w:p>
        </w:tc>
        <w:tc>
          <w:tcPr>
            <w:tcW w:w="1315" w:type="dxa"/>
            <w:shd w:val="clear" w:color="auto" w:fill="auto"/>
          </w:tcPr>
          <w:p w:rsidR="00CC0C1F" w:rsidRPr="00B51128" w:rsidRDefault="00CC0C1F" w:rsidP="00CC0C1F">
            <w:pPr>
              <w:rPr>
                <w:sz w:val="22"/>
                <w:szCs w:val="22"/>
                <w:lang w:val="el-GR"/>
              </w:rPr>
            </w:pPr>
          </w:p>
        </w:tc>
        <w:tc>
          <w:tcPr>
            <w:tcW w:w="1411" w:type="dxa"/>
            <w:shd w:val="clear" w:color="auto" w:fill="auto"/>
          </w:tcPr>
          <w:p w:rsidR="00CC0C1F" w:rsidRPr="00B51128" w:rsidRDefault="00CC0C1F" w:rsidP="00CC0C1F">
            <w:pPr>
              <w:rPr>
                <w:sz w:val="22"/>
                <w:szCs w:val="22"/>
                <w:lang w:val="el-GR"/>
              </w:rPr>
            </w:pPr>
          </w:p>
        </w:tc>
        <w:tc>
          <w:tcPr>
            <w:tcW w:w="1443" w:type="dxa"/>
            <w:shd w:val="clear" w:color="auto" w:fill="auto"/>
          </w:tcPr>
          <w:p w:rsidR="00CC0C1F" w:rsidRPr="00B51128" w:rsidRDefault="00B32579" w:rsidP="00CC0C1F">
            <w:pPr>
              <w:rPr>
                <w:sz w:val="22"/>
                <w:szCs w:val="22"/>
                <w:lang w:val="el-GR"/>
              </w:rPr>
            </w:pPr>
            <w:r w:rsidRPr="00B51128">
              <w:rPr>
                <w:sz w:val="22"/>
                <w:szCs w:val="22"/>
                <w:lang w:val="el-GR"/>
              </w:rPr>
              <w:t>Δερματική αγγειίτιδα</w:t>
            </w:r>
          </w:p>
          <w:p w:rsidR="00B32579" w:rsidRPr="00B51128" w:rsidRDefault="00B32579" w:rsidP="00CC0C1F">
            <w:pPr>
              <w:rPr>
                <w:sz w:val="22"/>
                <w:szCs w:val="22"/>
                <w:lang w:val="el-GR"/>
              </w:rPr>
            </w:pPr>
            <w:r w:rsidRPr="00B51128">
              <w:rPr>
                <w:sz w:val="22"/>
                <w:szCs w:val="22"/>
                <w:lang w:val="el-GR"/>
              </w:rPr>
              <w:t xml:space="preserve">Σύνδρομο </w:t>
            </w:r>
            <w:r w:rsidRPr="00B51128">
              <w:rPr>
                <w:sz w:val="22"/>
                <w:szCs w:val="22"/>
              </w:rPr>
              <w:t>Sweet</w:t>
            </w:r>
            <w:r w:rsidRPr="00B51128">
              <w:rPr>
                <w:sz w:val="22"/>
                <w:szCs w:val="22"/>
                <w:lang w:val="el-GR"/>
              </w:rPr>
              <w:t xml:space="preserve"> (4)</w:t>
            </w:r>
          </w:p>
          <w:p w:rsidR="00B32579" w:rsidRPr="00B51128" w:rsidRDefault="00B32579" w:rsidP="00B32579">
            <w:pPr>
              <w:rPr>
                <w:sz w:val="22"/>
                <w:szCs w:val="22"/>
                <w:lang w:val="el-GR"/>
              </w:rPr>
            </w:pPr>
            <w:r w:rsidRPr="00B51128">
              <w:rPr>
                <w:sz w:val="22"/>
                <w:szCs w:val="22"/>
                <w:lang w:val="el-GR"/>
              </w:rPr>
              <w:t xml:space="preserve">Οζώδες ερύθημα </w:t>
            </w:r>
          </w:p>
          <w:p w:rsidR="00B32579" w:rsidRPr="00B51128" w:rsidRDefault="00B32579" w:rsidP="00B32579">
            <w:pPr>
              <w:rPr>
                <w:sz w:val="22"/>
                <w:szCs w:val="22"/>
              </w:rPr>
            </w:pPr>
            <w:r w:rsidRPr="00B51128">
              <w:rPr>
                <w:sz w:val="22"/>
                <w:szCs w:val="22"/>
                <w:lang w:val="el-GR"/>
              </w:rPr>
              <w:t>Γαγγραινώδες πυόδερμα</w:t>
            </w:r>
          </w:p>
          <w:p w:rsidR="00B32579" w:rsidRPr="00B51128" w:rsidRDefault="00B32579" w:rsidP="00B32579">
            <w:pPr>
              <w:rPr>
                <w:sz w:val="22"/>
                <w:szCs w:val="22"/>
              </w:rPr>
            </w:pPr>
            <w:r w:rsidRPr="00B51128">
              <w:rPr>
                <w:sz w:val="22"/>
                <w:szCs w:val="22"/>
                <w:lang w:val="el-GR"/>
              </w:rPr>
              <w:t xml:space="preserve">Σύνδρομο </w:t>
            </w:r>
            <w:r w:rsidRPr="00B51128">
              <w:rPr>
                <w:sz w:val="22"/>
                <w:szCs w:val="22"/>
              </w:rPr>
              <w:t>Lyell</w:t>
            </w:r>
          </w:p>
        </w:tc>
      </w:tr>
      <w:tr w:rsidR="00CC0C1F" w:rsidRPr="00B51128" w:rsidTr="00B51128">
        <w:trPr>
          <w:cantSplit/>
        </w:trPr>
        <w:tc>
          <w:tcPr>
            <w:tcW w:w="1609" w:type="dxa"/>
            <w:shd w:val="clear" w:color="auto" w:fill="auto"/>
          </w:tcPr>
          <w:p w:rsidR="00CC0C1F" w:rsidRPr="00B51128" w:rsidRDefault="00CC0C1F" w:rsidP="00CC0C1F">
            <w:pPr>
              <w:rPr>
                <w:b/>
                <w:sz w:val="22"/>
                <w:szCs w:val="22"/>
                <w:lang w:val="el-GR"/>
              </w:rPr>
            </w:pPr>
            <w:r w:rsidRPr="00B51128">
              <w:rPr>
                <w:b/>
                <w:sz w:val="22"/>
                <w:szCs w:val="22"/>
                <w:lang w:val="el-GR"/>
              </w:rPr>
              <w:lastRenderedPageBreak/>
              <w:t>Διαταραχές του μυοσκελετικού συστήματος και του συνδετικού ιστού</w:t>
            </w:r>
          </w:p>
        </w:tc>
        <w:tc>
          <w:tcPr>
            <w:tcW w:w="1654" w:type="dxa"/>
            <w:shd w:val="clear" w:color="auto" w:fill="auto"/>
          </w:tcPr>
          <w:p w:rsidR="00CC0C1F" w:rsidRPr="00B51128" w:rsidRDefault="004960E4" w:rsidP="00CC0C1F">
            <w:pPr>
              <w:rPr>
                <w:sz w:val="22"/>
                <w:szCs w:val="22"/>
                <w:lang w:val="el-GR"/>
              </w:rPr>
            </w:pPr>
            <w:r w:rsidRPr="00B51128">
              <w:rPr>
                <w:sz w:val="22"/>
                <w:szCs w:val="22"/>
                <w:lang w:val="el-GR"/>
              </w:rPr>
              <w:t>Οστικό</w:t>
            </w:r>
            <w:r w:rsidR="00AF5223" w:rsidRPr="00B51128">
              <w:rPr>
                <w:sz w:val="22"/>
                <w:szCs w:val="22"/>
                <w:lang w:val="el-GR"/>
              </w:rPr>
              <w:t xml:space="preserve"> </w:t>
            </w:r>
            <w:r w:rsidR="00E019CB" w:rsidRPr="00B51128">
              <w:rPr>
                <w:sz w:val="22"/>
                <w:szCs w:val="22"/>
                <w:lang w:val="el-GR"/>
              </w:rPr>
              <w:t>άλγο</w:t>
            </w:r>
            <w:r w:rsidRPr="00B51128">
              <w:rPr>
                <w:sz w:val="22"/>
                <w:szCs w:val="22"/>
                <w:lang w:val="el-GR"/>
              </w:rPr>
              <w:t xml:space="preserve">ς </w:t>
            </w:r>
          </w:p>
          <w:p w:rsidR="004960E4" w:rsidRPr="00B51128" w:rsidRDefault="004960E4" w:rsidP="00CC0C1F">
            <w:pPr>
              <w:rPr>
                <w:sz w:val="22"/>
                <w:szCs w:val="22"/>
                <w:lang w:val="el-GR"/>
              </w:rPr>
            </w:pPr>
            <w:r w:rsidRPr="00B51128">
              <w:rPr>
                <w:sz w:val="22"/>
                <w:szCs w:val="22"/>
                <w:lang w:val="el-GR"/>
              </w:rPr>
              <w:t>Οσφυαλγία</w:t>
            </w:r>
          </w:p>
        </w:tc>
        <w:tc>
          <w:tcPr>
            <w:tcW w:w="1424" w:type="dxa"/>
            <w:shd w:val="clear" w:color="auto" w:fill="auto"/>
          </w:tcPr>
          <w:p w:rsidR="00CC0C1F" w:rsidRPr="00B51128" w:rsidRDefault="004960E4" w:rsidP="00CC0C1F">
            <w:pPr>
              <w:rPr>
                <w:sz w:val="22"/>
                <w:szCs w:val="22"/>
                <w:lang w:val="el-GR"/>
              </w:rPr>
            </w:pPr>
            <w:r w:rsidRPr="00B51128">
              <w:rPr>
                <w:sz w:val="22"/>
                <w:szCs w:val="22"/>
                <w:lang w:val="el-GR"/>
              </w:rPr>
              <w:t>Άλγος (1)</w:t>
            </w:r>
          </w:p>
        </w:tc>
        <w:tc>
          <w:tcPr>
            <w:tcW w:w="1315" w:type="dxa"/>
            <w:shd w:val="clear" w:color="auto" w:fill="auto"/>
          </w:tcPr>
          <w:p w:rsidR="00CC0C1F" w:rsidRPr="00B51128" w:rsidRDefault="00CC0C1F" w:rsidP="00CC0C1F">
            <w:pPr>
              <w:rPr>
                <w:sz w:val="22"/>
                <w:szCs w:val="22"/>
                <w:lang w:val="el-GR"/>
              </w:rPr>
            </w:pPr>
          </w:p>
        </w:tc>
        <w:tc>
          <w:tcPr>
            <w:tcW w:w="1411" w:type="dxa"/>
            <w:shd w:val="clear" w:color="auto" w:fill="auto"/>
          </w:tcPr>
          <w:p w:rsidR="00CC0C1F" w:rsidRPr="00B51128" w:rsidRDefault="00CC0C1F" w:rsidP="00CC0C1F">
            <w:pPr>
              <w:rPr>
                <w:sz w:val="22"/>
                <w:szCs w:val="22"/>
                <w:lang w:val="el-GR"/>
              </w:rPr>
            </w:pPr>
          </w:p>
        </w:tc>
        <w:tc>
          <w:tcPr>
            <w:tcW w:w="1443" w:type="dxa"/>
            <w:shd w:val="clear" w:color="auto" w:fill="auto"/>
          </w:tcPr>
          <w:p w:rsidR="00CC0C1F" w:rsidRPr="00B51128" w:rsidRDefault="00CC0C1F" w:rsidP="00CC0C1F">
            <w:pPr>
              <w:rPr>
                <w:sz w:val="22"/>
                <w:szCs w:val="22"/>
                <w:lang w:val="el-GR"/>
              </w:rPr>
            </w:pPr>
          </w:p>
        </w:tc>
      </w:tr>
      <w:tr w:rsidR="00CC0C1F" w:rsidRPr="00B51128" w:rsidTr="00B51128">
        <w:trPr>
          <w:cantSplit/>
        </w:trPr>
        <w:tc>
          <w:tcPr>
            <w:tcW w:w="1609" w:type="dxa"/>
            <w:tcBorders>
              <w:bottom w:val="single" w:sz="4" w:space="0" w:color="auto"/>
            </w:tcBorders>
            <w:shd w:val="clear" w:color="auto" w:fill="auto"/>
          </w:tcPr>
          <w:p w:rsidR="00CC0C1F" w:rsidRPr="00B51128" w:rsidRDefault="00CC0C1F" w:rsidP="00CC0C1F">
            <w:pPr>
              <w:rPr>
                <w:b/>
                <w:sz w:val="22"/>
                <w:szCs w:val="22"/>
                <w:lang w:val="el-GR"/>
              </w:rPr>
            </w:pPr>
            <w:r w:rsidRPr="00B51128">
              <w:rPr>
                <w:b/>
                <w:sz w:val="22"/>
                <w:szCs w:val="22"/>
                <w:lang w:val="el-GR"/>
              </w:rPr>
              <w:t>Γενικές διαταραχές και καταστάσεις της οδού χορήγησης</w:t>
            </w:r>
          </w:p>
        </w:tc>
        <w:tc>
          <w:tcPr>
            <w:tcW w:w="1654" w:type="dxa"/>
            <w:tcBorders>
              <w:bottom w:val="single" w:sz="4" w:space="0" w:color="auto"/>
            </w:tcBorders>
            <w:shd w:val="clear" w:color="auto" w:fill="auto"/>
          </w:tcPr>
          <w:p w:rsidR="00CC0C1F" w:rsidRPr="00B51128" w:rsidRDefault="00CC0C1F" w:rsidP="00CC0C1F">
            <w:pPr>
              <w:rPr>
                <w:sz w:val="22"/>
                <w:szCs w:val="22"/>
                <w:lang w:val="el-GR"/>
              </w:rPr>
            </w:pPr>
          </w:p>
        </w:tc>
        <w:tc>
          <w:tcPr>
            <w:tcW w:w="1424" w:type="dxa"/>
            <w:tcBorders>
              <w:bottom w:val="single" w:sz="4" w:space="0" w:color="auto"/>
            </w:tcBorders>
            <w:shd w:val="clear" w:color="auto" w:fill="auto"/>
          </w:tcPr>
          <w:p w:rsidR="00CC0C1F" w:rsidRPr="00B51128" w:rsidRDefault="004960E4" w:rsidP="00CC0C1F">
            <w:pPr>
              <w:rPr>
                <w:sz w:val="22"/>
                <w:szCs w:val="22"/>
                <w:lang w:val="el-GR"/>
              </w:rPr>
            </w:pPr>
            <w:r w:rsidRPr="00B51128">
              <w:rPr>
                <w:sz w:val="22"/>
                <w:szCs w:val="22"/>
                <w:lang w:val="el-GR"/>
              </w:rPr>
              <w:t>Αντίδραση της θέσης ένεσης</w:t>
            </w:r>
          </w:p>
        </w:tc>
        <w:tc>
          <w:tcPr>
            <w:tcW w:w="1315" w:type="dxa"/>
            <w:tcBorders>
              <w:bottom w:val="single" w:sz="4" w:space="0" w:color="auto"/>
            </w:tcBorders>
            <w:shd w:val="clear" w:color="auto" w:fill="auto"/>
          </w:tcPr>
          <w:p w:rsidR="00CC0C1F" w:rsidRPr="00B51128" w:rsidRDefault="00CC0C1F" w:rsidP="00CC0C1F">
            <w:pPr>
              <w:rPr>
                <w:sz w:val="22"/>
                <w:szCs w:val="22"/>
                <w:lang w:val="el-GR"/>
              </w:rPr>
            </w:pPr>
          </w:p>
        </w:tc>
        <w:tc>
          <w:tcPr>
            <w:tcW w:w="1411" w:type="dxa"/>
            <w:tcBorders>
              <w:bottom w:val="single" w:sz="4" w:space="0" w:color="auto"/>
            </w:tcBorders>
            <w:shd w:val="clear" w:color="auto" w:fill="auto"/>
          </w:tcPr>
          <w:p w:rsidR="00CC0C1F" w:rsidRPr="00B51128" w:rsidRDefault="00CC0C1F" w:rsidP="00CC0C1F">
            <w:pPr>
              <w:rPr>
                <w:sz w:val="22"/>
                <w:szCs w:val="22"/>
                <w:lang w:val="el-GR"/>
              </w:rPr>
            </w:pPr>
          </w:p>
        </w:tc>
        <w:tc>
          <w:tcPr>
            <w:tcW w:w="1443" w:type="dxa"/>
            <w:tcBorders>
              <w:bottom w:val="single" w:sz="4" w:space="0" w:color="auto"/>
            </w:tcBorders>
            <w:shd w:val="clear" w:color="auto" w:fill="auto"/>
          </w:tcPr>
          <w:p w:rsidR="00CC0C1F" w:rsidRPr="00B51128" w:rsidRDefault="00CC0C1F" w:rsidP="00CC0C1F">
            <w:pPr>
              <w:rPr>
                <w:sz w:val="22"/>
                <w:szCs w:val="22"/>
                <w:lang w:val="el-GR"/>
              </w:rPr>
            </w:pPr>
          </w:p>
        </w:tc>
      </w:tr>
      <w:tr w:rsidR="00CC0C1F" w:rsidRPr="00B51128" w:rsidTr="00B51128">
        <w:trPr>
          <w:cantSplit/>
        </w:trPr>
        <w:tc>
          <w:tcPr>
            <w:tcW w:w="1609" w:type="dxa"/>
            <w:shd w:val="clear" w:color="auto" w:fill="auto"/>
          </w:tcPr>
          <w:p w:rsidR="00CC0C1F" w:rsidRPr="00B51128" w:rsidRDefault="00CC0C1F" w:rsidP="00CC0C1F">
            <w:pPr>
              <w:rPr>
                <w:b/>
                <w:sz w:val="22"/>
                <w:szCs w:val="22"/>
                <w:lang w:val="el-GR"/>
              </w:rPr>
            </w:pPr>
            <w:r w:rsidRPr="00B51128">
              <w:rPr>
                <w:b/>
                <w:sz w:val="22"/>
                <w:szCs w:val="22"/>
                <w:lang w:val="el-GR"/>
              </w:rPr>
              <w:t>Διαταραχές του ανοσοποιητικού συστήματος</w:t>
            </w:r>
          </w:p>
        </w:tc>
        <w:tc>
          <w:tcPr>
            <w:tcW w:w="1654" w:type="dxa"/>
            <w:shd w:val="clear" w:color="auto" w:fill="auto"/>
          </w:tcPr>
          <w:p w:rsidR="00CC0C1F" w:rsidRPr="00B51128" w:rsidRDefault="00CC0C1F" w:rsidP="00CC0C1F">
            <w:pPr>
              <w:rPr>
                <w:sz w:val="22"/>
                <w:szCs w:val="22"/>
                <w:lang w:val="el-GR"/>
              </w:rPr>
            </w:pPr>
          </w:p>
        </w:tc>
        <w:tc>
          <w:tcPr>
            <w:tcW w:w="1424" w:type="dxa"/>
            <w:shd w:val="clear" w:color="auto" w:fill="auto"/>
          </w:tcPr>
          <w:p w:rsidR="00CC0C1F" w:rsidRPr="00B51128" w:rsidRDefault="00CC0C1F" w:rsidP="00CC0C1F">
            <w:pPr>
              <w:rPr>
                <w:sz w:val="22"/>
                <w:szCs w:val="22"/>
                <w:lang w:val="el-GR"/>
              </w:rPr>
            </w:pPr>
          </w:p>
        </w:tc>
        <w:tc>
          <w:tcPr>
            <w:tcW w:w="1315" w:type="dxa"/>
            <w:shd w:val="clear" w:color="auto" w:fill="auto"/>
          </w:tcPr>
          <w:p w:rsidR="00CC0C1F" w:rsidRPr="00B51128" w:rsidRDefault="00CC0C1F" w:rsidP="00CC0C1F">
            <w:pPr>
              <w:rPr>
                <w:sz w:val="22"/>
                <w:szCs w:val="22"/>
                <w:lang w:val="el-GR"/>
              </w:rPr>
            </w:pPr>
          </w:p>
        </w:tc>
        <w:tc>
          <w:tcPr>
            <w:tcW w:w="1411" w:type="dxa"/>
            <w:shd w:val="clear" w:color="auto" w:fill="auto"/>
          </w:tcPr>
          <w:p w:rsidR="00CC0C1F" w:rsidRPr="00B51128" w:rsidRDefault="00CC0C1F" w:rsidP="00CC0C1F">
            <w:pPr>
              <w:rPr>
                <w:sz w:val="22"/>
                <w:szCs w:val="22"/>
                <w:lang w:val="el-GR"/>
              </w:rPr>
            </w:pPr>
          </w:p>
        </w:tc>
        <w:tc>
          <w:tcPr>
            <w:tcW w:w="1443" w:type="dxa"/>
            <w:shd w:val="clear" w:color="auto" w:fill="auto"/>
          </w:tcPr>
          <w:p w:rsidR="00CC0C1F" w:rsidRPr="00B51128" w:rsidRDefault="004960E4" w:rsidP="00CC0C1F">
            <w:pPr>
              <w:rPr>
                <w:sz w:val="22"/>
                <w:szCs w:val="22"/>
                <w:lang w:val="el-GR"/>
              </w:rPr>
            </w:pPr>
            <w:r w:rsidRPr="00B51128">
              <w:rPr>
                <w:sz w:val="22"/>
                <w:szCs w:val="22"/>
                <w:lang w:val="el-GR"/>
              </w:rPr>
              <w:t>Αλλεργική αντίδραση</w:t>
            </w:r>
          </w:p>
          <w:p w:rsidR="004960E4" w:rsidRPr="00B51128" w:rsidRDefault="004960E4" w:rsidP="00CC0C1F">
            <w:pPr>
              <w:rPr>
                <w:sz w:val="22"/>
                <w:szCs w:val="22"/>
                <w:lang w:val="el-GR"/>
              </w:rPr>
            </w:pPr>
            <w:r w:rsidRPr="00B51128">
              <w:rPr>
                <w:sz w:val="22"/>
                <w:szCs w:val="22"/>
                <w:lang w:val="el-GR"/>
              </w:rPr>
              <w:t>Αναφυλακτική καταπληξία</w:t>
            </w:r>
          </w:p>
        </w:tc>
      </w:tr>
      <w:tr w:rsidR="00CC0C1F" w:rsidRPr="00330732" w:rsidTr="00B51128">
        <w:trPr>
          <w:cantSplit/>
        </w:trPr>
        <w:tc>
          <w:tcPr>
            <w:tcW w:w="1609" w:type="dxa"/>
            <w:shd w:val="clear" w:color="auto" w:fill="auto"/>
          </w:tcPr>
          <w:p w:rsidR="00CC0C1F" w:rsidRPr="00B51128" w:rsidRDefault="00CC0C1F" w:rsidP="00CC0C1F">
            <w:pPr>
              <w:rPr>
                <w:b/>
                <w:sz w:val="22"/>
                <w:szCs w:val="22"/>
                <w:lang w:val="el-GR"/>
              </w:rPr>
            </w:pPr>
            <w:r w:rsidRPr="00B51128">
              <w:rPr>
                <w:b/>
                <w:sz w:val="22"/>
                <w:szCs w:val="22"/>
                <w:lang w:val="el-GR"/>
              </w:rPr>
              <w:t>Διαταραχές του ήπατος και των χοληφόρων</w:t>
            </w:r>
          </w:p>
        </w:tc>
        <w:tc>
          <w:tcPr>
            <w:tcW w:w="1654" w:type="dxa"/>
            <w:shd w:val="clear" w:color="auto" w:fill="auto"/>
          </w:tcPr>
          <w:p w:rsidR="00CC0C1F" w:rsidRPr="00B51128" w:rsidRDefault="00CC0C1F" w:rsidP="00CC0C1F">
            <w:pPr>
              <w:rPr>
                <w:sz w:val="22"/>
                <w:szCs w:val="22"/>
                <w:lang w:val="el-GR"/>
              </w:rPr>
            </w:pPr>
          </w:p>
        </w:tc>
        <w:tc>
          <w:tcPr>
            <w:tcW w:w="1424" w:type="dxa"/>
            <w:shd w:val="clear" w:color="auto" w:fill="auto"/>
          </w:tcPr>
          <w:p w:rsidR="00CC0C1F" w:rsidRPr="00B51128" w:rsidRDefault="00411489" w:rsidP="00CC0C1F">
            <w:pPr>
              <w:rPr>
                <w:sz w:val="22"/>
                <w:szCs w:val="22"/>
                <w:lang w:val="el-GR"/>
              </w:rPr>
            </w:pPr>
            <w:r w:rsidRPr="00B51128">
              <w:rPr>
                <w:sz w:val="22"/>
                <w:szCs w:val="22"/>
                <w:lang w:val="el-GR"/>
              </w:rPr>
              <w:t xml:space="preserve">Αυξημένες </w:t>
            </w:r>
            <w:r w:rsidRPr="00B51128">
              <w:rPr>
                <w:sz w:val="22"/>
                <w:szCs w:val="22"/>
              </w:rPr>
              <w:t>ASAT</w:t>
            </w:r>
            <w:r w:rsidRPr="00B51128">
              <w:rPr>
                <w:sz w:val="22"/>
                <w:szCs w:val="22"/>
                <w:lang w:val="el-GR"/>
              </w:rPr>
              <w:t>/</w:t>
            </w:r>
            <w:r w:rsidRPr="00B51128">
              <w:rPr>
                <w:sz w:val="22"/>
                <w:szCs w:val="22"/>
              </w:rPr>
              <w:t>ALAT</w:t>
            </w:r>
            <w:r w:rsidRPr="00B51128">
              <w:rPr>
                <w:sz w:val="22"/>
                <w:szCs w:val="22"/>
                <w:lang w:val="el-GR"/>
              </w:rPr>
              <w:t xml:space="preserve"> (2)</w:t>
            </w:r>
          </w:p>
          <w:p w:rsidR="00411489" w:rsidRPr="00B51128" w:rsidRDefault="00411489" w:rsidP="00CC0C1F">
            <w:pPr>
              <w:rPr>
                <w:sz w:val="22"/>
                <w:szCs w:val="22"/>
                <w:lang w:val="el-GR"/>
              </w:rPr>
            </w:pPr>
            <w:r w:rsidRPr="00B51128">
              <w:rPr>
                <w:sz w:val="22"/>
                <w:szCs w:val="22"/>
                <w:lang w:val="el-GR"/>
              </w:rPr>
              <w:t>Αυξημένη Αλκαλική φωσφατάση</w:t>
            </w:r>
          </w:p>
        </w:tc>
        <w:tc>
          <w:tcPr>
            <w:tcW w:w="1315" w:type="dxa"/>
            <w:shd w:val="clear" w:color="auto" w:fill="auto"/>
          </w:tcPr>
          <w:p w:rsidR="00CC0C1F" w:rsidRPr="00B51128" w:rsidRDefault="00CC0C1F" w:rsidP="00CC0C1F">
            <w:pPr>
              <w:rPr>
                <w:sz w:val="22"/>
                <w:szCs w:val="22"/>
                <w:lang w:val="el-GR"/>
              </w:rPr>
            </w:pPr>
          </w:p>
        </w:tc>
        <w:tc>
          <w:tcPr>
            <w:tcW w:w="1411" w:type="dxa"/>
            <w:shd w:val="clear" w:color="auto" w:fill="auto"/>
          </w:tcPr>
          <w:p w:rsidR="00CC0C1F" w:rsidRPr="00B51128" w:rsidRDefault="00CC0C1F" w:rsidP="00CC0C1F">
            <w:pPr>
              <w:rPr>
                <w:sz w:val="22"/>
                <w:szCs w:val="22"/>
                <w:lang w:val="el-GR"/>
              </w:rPr>
            </w:pPr>
          </w:p>
        </w:tc>
        <w:tc>
          <w:tcPr>
            <w:tcW w:w="1443" w:type="dxa"/>
            <w:shd w:val="clear" w:color="auto" w:fill="auto"/>
          </w:tcPr>
          <w:p w:rsidR="00CC0C1F" w:rsidRPr="00B51128" w:rsidRDefault="00CC0C1F" w:rsidP="00CC0C1F">
            <w:pPr>
              <w:rPr>
                <w:sz w:val="22"/>
                <w:szCs w:val="22"/>
                <w:lang w:val="el-GR"/>
              </w:rPr>
            </w:pPr>
          </w:p>
        </w:tc>
      </w:tr>
    </w:tbl>
    <w:p w:rsidR="00A44C00" w:rsidRPr="00372EE5" w:rsidRDefault="003B2719" w:rsidP="00A83BB1">
      <w:pPr>
        <w:ind w:left="180" w:hanging="180"/>
        <w:rPr>
          <w:sz w:val="22"/>
          <w:szCs w:val="22"/>
          <w:lang w:val="el-GR"/>
        </w:rPr>
      </w:pPr>
      <w:r w:rsidRPr="00372EE5">
        <w:rPr>
          <w:sz w:val="22"/>
          <w:szCs w:val="22"/>
          <w:lang w:val="el-GR"/>
        </w:rPr>
        <w:t>1</w:t>
      </w:r>
      <w:r w:rsidR="00324AA0" w:rsidRPr="00372EE5">
        <w:rPr>
          <w:sz w:val="22"/>
          <w:szCs w:val="22"/>
          <w:lang w:val="el-GR"/>
        </w:rPr>
        <w:t>/</w:t>
      </w:r>
      <w:r w:rsidRPr="00372EE5">
        <w:rPr>
          <w:sz w:val="22"/>
          <w:szCs w:val="22"/>
          <w:lang w:val="el-GR"/>
        </w:rPr>
        <w:t xml:space="preserve"> Ο κίνδυνος εμφάνισης άλγους αυξάνεται στους ασθενείς με υψηλές τιμές λευκοκυττάρων, </w:t>
      </w:r>
      <w:r w:rsidR="007940C5" w:rsidRPr="00372EE5">
        <w:rPr>
          <w:sz w:val="22"/>
          <w:szCs w:val="22"/>
          <w:lang w:val="el-GR"/>
        </w:rPr>
        <w:t>ειδικά όταν αυτά είναι ≥</w:t>
      </w:r>
      <w:r w:rsidR="00D41ACC" w:rsidRPr="00372EE5">
        <w:rPr>
          <w:sz w:val="22"/>
          <w:szCs w:val="22"/>
          <w:lang w:val="el-GR"/>
        </w:rPr>
        <w:t>50</w:t>
      </w:r>
      <w:r w:rsidR="002979B9" w:rsidRPr="00372EE5">
        <w:rPr>
          <w:sz w:val="22"/>
          <w:szCs w:val="22"/>
          <w:lang w:val="el-GR"/>
        </w:rPr>
        <w:t> </w:t>
      </w:r>
      <w:r w:rsidR="00D41ACC" w:rsidRPr="00372EE5">
        <w:rPr>
          <w:sz w:val="22"/>
          <w:szCs w:val="22"/>
        </w:rPr>
        <w:t>x</w:t>
      </w:r>
      <w:r w:rsidR="002979B9" w:rsidRPr="00372EE5">
        <w:rPr>
          <w:sz w:val="22"/>
          <w:szCs w:val="22"/>
          <w:lang w:val="el-GR"/>
        </w:rPr>
        <w:t> </w:t>
      </w:r>
      <w:r w:rsidR="00D41ACC" w:rsidRPr="00372EE5">
        <w:rPr>
          <w:sz w:val="22"/>
          <w:szCs w:val="22"/>
          <w:lang w:val="el-GR"/>
        </w:rPr>
        <w:t>10</w:t>
      </w:r>
      <w:r w:rsidR="002979B9" w:rsidRPr="00372EE5">
        <w:rPr>
          <w:sz w:val="22"/>
          <w:szCs w:val="22"/>
          <w:lang w:val="el-GR"/>
        </w:rPr>
        <w:t> </w:t>
      </w:r>
      <w:r w:rsidR="00D41ACC" w:rsidRPr="00372EE5">
        <w:rPr>
          <w:sz w:val="22"/>
          <w:szCs w:val="22"/>
          <w:vertAlign w:val="superscript"/>
          <w:lang w:val="el-GR"/>
        </w:rPr>
        <w:t>9</w:t>
      </w:r>
      <w:r w:rsidR="00D41ACC" w:rsidRPr="00372EE5">
        <w:rPr>
          <w:sz w:val="22"/>
          <w:szCs w:val="22"/>
          <w:lang w:val="el-GR"/>
        </w:rPr>
        <w:t>/</w:t>
      </w:r>
      <w:r w:rsidR="00D41ACC" w:rsidRPr="00372EE5">
        <w:rPr>
          <w:sz w:val="22"/>
          <w:szCs w:val="22"/>
        </w:rPr>
        <w:t>l</w:t>
      </w:r>
      <w:r w:rsidR="00D41ACC" w:rsidRPr="00372EE5">
        <w:rPr>
          <w:sz w:val="22"/>
          <w:szCs w:val="22"/>
          <w:lang w:val="el-GR"/>
        </w:rPr>
        <w:t>.</w:t>
      </w:r>
    </w:p>
    <w:p w:rsidR="00D41ACC" w:rsidRPr="00372EE5" w:rsidRDefault="00D41ACC" w:rsidP="00A83BB1">
      <w:pPr>
        <w:ind w:left="180" w:hanging="180"/>
        <w:rPr>
          <w:sz w:val="22"/>
          <w:szCs w:val="22"/>
          <w:lang w:val="el-GR"/>
        </w:rPr>
      </w:pPr>
      <w:r w:rsidRPr="00372EE5">
        <w:rPr>
          <w:sz w:val="22"/>
          <w:szCs w:val="22"/>
          <w:lang w:val="el-GR"/>
        </w:rPr>
        <w:t>2</w:t>
      </w:r>
      <w:r w:rsidR="00324AA0" w:rsidRPr="00372EE5">
        <w:rPr>
          <w:sz w:val="22"/>
          <w:szCs w:val="22"/>
          <w:lang w:val="el-GR"/>
        </w:rPr>
        <w:t>/</w:t>
      </w:r>
      <w:r w:rsidRPr="00372EE5">
        <w:rPr>
          <w:sz w:val="22"/>
          <w:szCs w:val="22"/>
          <w:lang w:val="el-GR"/>
        </w:rPr>
        <w:t xml:space="preserve"> Παρατηρήθηκε παροδική αύξηση της </w:t>
      </w:r>
      <w:r w:rsidRPr="00372EE5">
        <w:rPr>
          <w:sz w:val="22"/>
          <w:szCs w:val="22"/>
        </w:rPr>
        <w:t>ASAT</w:t>
      </w:r>
      <w:r w:rsidRPr="00372EE5">
        <w:rPr>
          <w:sz w:val="22"/>
          <w:szCs w:val="22"/>
          <w:lang w:val="el-GR"/>
        </w:rPr>
        <w:t xml:space="preserve"> και/ή </w:t>
      </w:r>
      <w:r w:rsidRPr="00372EE5">
        <w:rPr>
          <w:sz w:val="22"/>
          <w:szCs w:val="22"/>
        </w:rPr>
        <w:t>ALAT</w:t>
      </w:r>
      <w:r w:rsidRPr="00372EE5">
        <w:rPr>
          <w:sz w:val="22"/>
          <w:szCs w:val="22"/>
          <w:lang w:val="el-GR"/>
        </w:rPr>
        <w:t xml:space="preserve">. Στις περισσότερες περιπτώσεις, οι διαταραχές της ηπατικής λειτουργίας υποχώρησαν μετά τη διακοπή της </w:t>
      </w:r>
      <w:r w:rsidR="001118F0" w:rsidRPr="00372EE5">
        <w:rPr>
          <w:sz w:val="22"/>
          <w:szCs w:val="22"/>
          <w:lang w:val="el-GR"/>
        </w:rPr>
        <w:t>λενογραστίμης</w:t>
      </w:r>
      <w:r w:rsidRPr="00372EE5">
        <w:rPr>
          <w:sz w:val="22"/>
          <w:szCs w:val="22"/>
          <w:lang w:val="el-GR"/>
        </w:rPr>
        <w:t>.</w:t>
      </w:r>
    </w:p>
    <w:p w:rsidR="00D41ACC" w:rsidRPr="00372EE5" w:rsidRDefault="00D41ACC" w:rsidP="00A83BB1">
      <w:pPr>
        <w:ind w:left="180" w:hanging="180"/>
        <w:rPr>
          <w:sz w:val="22"/>
          <w:szCs w:val="22"/>
          <w:lang w:val="el-GR"/>
        </w:rPr>
      </w:pPr>
      <w:r w:rsidRPr="00372EE5">
        <w:rPr>
          <w:sz w:val="22"/>
          <w:szCs w:val="22"/>
          <w:lang w:val="el-GR"/>
        </w:rPr>
        <w:t>3</w:t>
      </w:r>
      <w:r w:rsidR="00324AA0" w:rsidRPr="00372EE5">
        <w:rPr>
          <w:sz w:val="22"/>
          <w:szCs w:val="22"/>
          <w:lang w:val="el-GR"/>
        </w:rPr>
        <w:t>/</w:t>
      </w:r>
      <w:r w:rsidRPr="00372EE5">
        <w:rPr>
          <w:sz w:val="22"/>
          <w:szCs w:val="22"/>
          <w:lang w:val="el-GR"/>
        </w:rPr>
        <w:t xml:space="preserve"> Κάποιες από τις αναφερόμενες περιπτώσεις </w:t>
      </w:r>
      <w:r w:rsidR="00A83BB1" w:rsidRPr="00372EE5">
        <w:rPr>
          <w:sz w:val="22"/>
          <w:szCs w:val="22"/>
          <w:lang w:val="el-GR"/>
        </w:rPr>
        <w:t>αναπνευστικών διαταραχών έχουν καταλήξει σε αναπνευστική ανεπάρκεια ή σε σύνδρομο οξείας αναπνευστικής δυσχέρειας (</w:t>
      </w:r>
      <w:r w:rsidR="00A83BB1" w:rsidRPr="00372EE5">
        <w:rPr>
          <w:sz w:val="22"/>
          <w:szCs w:val="22"/>
        </w:rPr>
        <w:t>ADRS</w:t>
      </w:r>
      <w:r w:rsidR="00A83BB1" w:rsidRPr="00372EE5">
        <w:rPr>
          <w:sz w:val="22"/>
          <w:szCs w:val="22"/>
          <w:lang w:val="el-GR"/>
        </w:rPr>
        <w:t>)</w:t>
      </w:r>
      <w:r w:rsidR="001118F0" w:rsidRPr="00372EE5">
        <w:rPr>
          <w:sz w:val="22"/>
          <w:szCs w:val="22"/>
          <w:lang w:val="el-GR"/>
        </w:rPr>
        <w:t>, οι οποίες πιθανόν να είναι θανατηφόρες.</w:t>
      </w:r>
    </w:p>
    <w:p w:rsidR="00B522C2" w:rsidRPr="00372EE5" w:rsidRDefault="00B522C2" w:rsidP="00B522C2">
      <w:pPr>
        <w:ind w:left="180" w:hanging="180"/>
        <w:rPr>
          <w:sz w:val="22"/>
          <w:szCs w:val="22"/>
          <w:lang w:val="el-GR"/>
        </w:rPr>
      </w:pPr>
      <w:r w:rsidRPr="00372EE5">
        <w:rPr>
          <w:sz w:val="22"/>
          <w:szCs w:val="22"/>
          <w:lang w:val="el-GR"/>
        </w:rPr>
        <w:t>4</w:t>
      </w:r>
      <w:r w:rsidR="00324AA0" w:rsidRPr="00372EE5">
        <w:rPr>
          <w:sz w:val="22"/>
          <w:szCs w:val="22"/>
          <w:lang w:val="el-GR"/>
        </w:rPr>
        <w:t>/</w:t>
      </w:r>
      <w:r w:rsidRPr="00372EE5">
        <w:rPr>
          <w:sz w:val="22"/>
          <w:szCs w:val="22"/>
          <w:lang w:val="el-GR"/>
        </w:rPr>
        <w:t xml:space="preserve"> </w:t>
      </w:r>
      <w:r w:rsidR="00E34A17">
        <w:rPr>
          <w:sz w:val="22"/>
          <w:szCs w:val="22"/>
          <w:lang w:val="el-GR"/>
        </w:rPr>
        <w:t>Σ</w:t>
      </w:r>
      <w:r w:rsidRPr="00372EE5">
        <w:rPr>
          <w:sz w:val="22"/>
          <w:szCs w:val="22"/>
          <w:lang w:val="el-GR"/>
        </w:rPr>
        <w:t xml:space="preserve">ύνδρομο </w:t>
      </w:r>
      <w:r w:rsidRPr="00372EE5">
        <w:rPr>
          <w:sz w:val="22"/>
          <w:szCs w:val="22"/>
        </w:rPr>
        <w:t>Sweet</w:t>
      </w:r>
      <w:r w:rsidRPr="00372EE5">
        <w:rPr>
          <w:sz w:val="22"/>
          <w:szCs w:val="22"/>
          <w:lang w:val="el-GR"/>
        </w:rPr>
        <w:t xml:space="preserve">, οζώδες ερύθημα και γαγγραινώδες πυόδερμα περιγράφηκαν κυρίως σε ασθενείς με αιματολογικές </w:t>
      </w:r>
      <w:r w:rsidR="00BE75E1" w:rsidRPr="00372EE5">
        <w:rPr>
          <w:sz w:val="22"/>
          <w:szCs w:val="22"/>
          <w:lang w:val="el-GR"/>
        </w:rPr>
        <w:t>κακοήθειες</w:t>
      </w:r>
      <w:r w:rsidRPr="00372EE5">
        <w:rPr>
          <w:sz w:val="22"/>
          <w:szCs w:val="22"/>
          <w:lang w:val="el-GR"/>
        </w:rPr>
        <w:t>, σε μία κατάσταση γνωστή για το συσχετισμό της με την ουδετεροφιλική δερμάτωση, αλλά επίσης και σε ουδετεροπενία μη σχετιζ</w:t>
      </w:r>
      <w:r w:rsidR="000B7824" w:rsidRPr="00372EE5">
        <w:rPr>
          <w:sz w:val="22"/>
          <w:szCs w:val="22"/>
          <w:lang w:val="el-GR"/>
        </w:rPr>
        <w:t>όμενη</w:t>
      </w:r>
      <w:r w:rsidRPr="00372EE5">
        <w:rPr>
          <w:sz w:val="22"/>
          <w:szCs w:val="22"/>
          <w:lang w:val="el-GR"/>
        </w:rPr>
        <w:t xml:space="preserve"> με κακοήθεια.</w:t>
      </w:r>
    </w:p>
    <w:p w:rsidR="004F791E" w:rsidRPr="00372EE5" w:rsidRDefault="004F791E" w:rsidP="00B522C2">
      <w:pPr>
        <w:ind w:left="180" w:hanging="180"/>
        <w:rPr>
          <w:sz w:val="22"/>
          <w:szCs w:val="22"/>
          <w:lang w:val="el-GR"/>
        </w:rPr>
      </w:pPr>
      <w:r w:rsidRPr="00372EE5">
        <w:rPr>
          <w:sz w:val="22"/>
          <w:szCs w:val="22"/>
          <w:lang w:val="el-GR"/>
        </w:rPr>
        <w:t>5</w:t>
      </w:r>
      <w:r w:rsidR="00324AA0" w:rsidRPr="00372EE5">
        <w:rPr>
          <w:sz w:val="22"/>
          <w:szCs w:val="22"/>
          <w:lang w:val="el-GR"/>
        </w:rPr>
        <w:t>/</w:t>
      </w:r>
      <w:r w:rsidRPr="00372EE5">
        <w:rPr>
          <w:sz w:val="22"/>
          <w:szCs w:val="22"/>
          <w:lang w:val="el-GR"/>
        </w:rPr>
        <w:t xml:space="preserve"> Ρήξ</w:t>
      </w:r>
      <w:r w:rsidR="00D85DBD" w:rsidRPr="00372EE5">
        <w:rPr>
          <w:sz w:val="22"/>
          <w:szCs w:val="22"/>
          <w:lang w:val="el-GR"/>
        </w:rPr>
        <w:t>εις</w:t>
      </w:r>
      <w:r w:rsidRPr="00372EE5">
        <w:rPr>
          <w:sz w:val="22"/>
          <w:szCs w:val="22"/>
          <w:lang w:val="el-GR"/>
        </w:rPr>
        <w:t xml:space="preserve"> σπλήνα έχ</w:t>
      </w:r>
      <w:r w:rsidR="00D85DBD" w:rsidRPr="00372EE5">
        <w:rPr>
          <w:sz w:val="22"/>
          <w:szCs w:val="22"/>
          <w:lang w:val="el-GR"/>
        </w:rPr>
        <w:t>ουν</w:t>
      </w:r>
      <w:r w:rsidRPr="00372EE5">
        <w:rPr>
          <w:sz w:val="22"/>
          <w:szCs w:val="22"/>
          <w:lang w:val="el-GR"/>
        </w:rPr>
        <w:t xml:space="preserve"> αναφερθεί τόσο σε υγιείς </w:t>
      </w:r>
      <w:r w:rsidR="00FE597E" w:rsidRPr="00372EE5">
        <w:rPr>
          <w:sz w:val="22"/>
          <w:szCs w:val="22"/>
          <w:lang w:val="el-GR"/>
        </w:rPr>
        <w:t>δότες</w:t>
      </w:r>
      <w:r w:rsidRPr="00372EE5">
        <w:rPr>
          <w:sz w:val="22"/>
          <w:szCs w:val="22"/>
          <w:lang w:val="el-GR"/>
        </w:rPr>
        <w:t xml:space="preserve"> όσο και σε ασθενείς που λαμβάνουν </w:t>
      </w:r>
      <w:r w:rsidRPr="00372EE5">
        <w:rPr>
          <w:sz w:val="22"/>
          <w:szCs w:val="22"/>
        </w:rPr>
        <w:t>G</w:t>
      </w:r>
      <w:r w:rsidR="002979B9" w:rsidRPr="00372EE5">
        <w:rPr>
          <w:sz w:val="22"/>
          <w:szCs w:val="22"/>
          <w:lang w:val="el-GR"/>
        </w:rPr>
        <w:noBreakHyphen/>
      </w:r>
      <w:r w:rsidRPr="00372EE5">
        <w:rPr>
          <w:sz w:val="22"/>
          <w:szCs w:val="22"/>
        </w:rPr>
        <w:t>CSFs</w:t>
      </w:r>
      <w:r w:rsidRPr="00372EE5">
        <w:rPr>
          <w:sz w:val="22"/>
          <w:szCs w:val="22"/>
          <w:lang w:val="el-GR"/>
        </w:rPr>
        <w:t xml:space="preserve"> (βλ. παράγραφο 4.4)</w:t>
      </w:r>
    </w:p>
    <w:p w:rsidR="00A44C00" w:rsidRPr="00372EE5" w:rsidRDefault="00A44C00" w:rsidP="006F748B">
      <w:pPr>
        <w:jc w:val="both"/>
        <w:rPr>
          <w:b/>
          <w:sz w:val="22"/>
          <w:szCs w:val="22"/>
          <w:u w:val="single"/>
          <w:lang w:val="el-GR"/>
        </w:rPr>
      </w:pPr>
    </w:p>
    <w:p w:rsidR="001F5608" w:rsidRPr="00CE233A" w:rsidRDefault="001F5608" w:rsidP="00840A76">
      <w:pPr>
        <w:ind w:left="426" w:hanging="426"/>
        <w:rPr>
          <w:b/>
          <w:lang w:val="el-GR"/>
        </w:rPr>
      </w:pPr>
      <w:r w:rsidRPr="00CE233A">
        <w:rPr>
          <w:b/>
          <w:lang w:val="el-GR"/>
        </w:rPr>
        <w:t>4.9</w:t>
      </w:r>
      <w:r w:rsidRPr="00CE233A">
        <w:rPr>
          <w:b/>
          <w:lang w:val="el-GR"/>
        </w:rPr>
        <w:tab/>
      </w:r>
      <w:r w:rsidRPr="00CE233A">
        <w:rPr>
          <w:b/>
        </w:rPr>
        <w:t>Y</w:t>
      </w:r>
      <w:r w:rsidRPr="00CE233A">
        <w:rPr>
          <w:b/>
          <w:lang w:val="el-GR"/>
        </w:rPr>
        <w:t>περδοσολογία</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Τα αποτελέσματα της υπερδοσολογίας του </w:t>
      </w:r>
      <w:r w:rsidRPr="00CE233A">
        <w:t>GRANOCYTE</w:t>
      </w:r>
      <w:r w:rsidRPr="00CE233A">
        <w:rPr>
          <w:lang w:val="el-GR"/>
        </w:rPr>
        <w:t xml:space="preserve"> δεν έχουν ακόμη διαπιστωθεί (βλ. </w:t>
      </w:r>
      <w:r w:rsidR="00A20A1B" w:rsidRPr="00CE233A">
        <w:rPr>
          <w:lang w:val="el-GR"/>
        </w:rPr>
        <w:t xml:space="preserve">παράγραφο </w:t>
      </w:r>
      <w:r w:rsidRPr="00CE233A">
        <w:rPr>
          <w:lang w:val="el-GR"/>
        </w:rPr>
        <w:t xml:space="preserve">5.3). Η διακοπή της θεραπείας με </w:t>
      </w:r>
      <w:r w:rsidRPr="00CE233A">
        <w:t>GRANOCYTE</w:t>
      </w:r>
      <w:r w:rsidRPr="00CE233A">
        <w:rPr>
          <w:lang w:val="el-GR"/>
        </w:rPr>
        <w:t xml:space="preserve"> συνήθως οδηγεί σε ελάττωση κατά 50% των κυκλοφορούντων ουδετεροφίλων εντός 1-2</w:t>
      </w:r>
      <w:r w:rsidR="0083109E" w:rsidRPr="00CE233A">
        <w:rPr>
          <w:lang w:val="el-GR"/>
        </w:rPr>
        <w:t> </w:t>
      </w:r>
      <w:r w:rsidRPr="00CE233A">
        <w:rPr>
          <w:lang w:val="el-GR"/>
        </w:rPr>
        <w:t>ημερών, με επάνοδο στα φυσιολογικά επίπεδα μέσα σε 1-7</w:t>
      </w:r>
      <w:r w:rsidR="0083109E" w:rsidRPr="00CE233A">
        <w:rPr>
          <w:lang w:val="el-GR"/>
        </w:rPr>
        <w:t> </w:t>
      </w:r>
      <w:r w:rsidRPr="00CE233A">
        <w:rPr>
          <w:lang w:val="el-GR"/>
        </w:rPr>
        <w:t xml:space="preserve">ημέρες. </w:t>
      </w:r>
    </w:p>
    <w:p w:rsidR="001F5608" w:rsidRPr="00CE233A" w:rsidRDefault="001F5608" w:rsidP="00840A76">
      <w:pPr>
        <w:ind w:left="426"/>
        <w:rPr>
          <w:lang w:val="el-GR"/>
        </w:rPr>
      </w:pPr>
      <w:r w:rsidRPr="00CE233A">
        <w:rPr>
          <w:lang w:val="el-GR"/>
        </w:rPr>
        <w:t xml:space="preserve">Σε έναν από τους τρεις ασθενείς που έλαβαν τη μέγιστη δόση </w:t>
      </w:r>
      <w:r w:rsidRPr="00CE233A">
        <w:t>GRANOCYTE</w:t>
      </w:r>
      <w:r w:rsidRPr="00CE233A">
        <w:rPr>
          <w:vertAlign w:val="superscript"/>
          <w:lang w:val="el-GR"/>
        </w:rPr>
        <w:t xml:space="preserve"> </w:t>
      </w:r>
      <w:r w:rsidRPr="00CE233A">
        <w:rPr>
          <w:lang w:val="el-GR"/>
        </w:rPr>
        <w:t>40</w:t>
      </w:r>
      <w:r w:rsidR="0083109E" w:rsidRPr="00CE233A">
        <w:rPr>
          <w:lang w:val="el-GR"/>
        </w:rPr>
        <w:t> </w:t>
      </w:r>
      <w:r w:rsidRPr="00CE233A">
        <w:rPr>
          <w:lang w:val="el-GR"/>
        </w:rPr>
        <w:t>μ</w:t>
      </w:r>
      <w:r w:rsidRPr="00CE233A">
        <w:t>g</w:t>
      </w:r>
      <w:r w:rsidRPr="00CE233A">
        <w:rPr>
          <w:lang w:val="el-GR"/>
        </w:rPr>
        <w:t>/</w:t>
      </w:r>
      <w:r w:rsidRPr="00CE233A">
        <w:t>kg</w:t>
      </w:r>
      <w:r w:rsidRPr="00CE233A">
        <w:rPr>
          <w:lang w:val="el-GR"/>
        </w:rPr>
        <w:t>/ημέρα (5,12</w:t>
      </w:r>
      <w:r w:rsidR="0083109E" w:rsidRPr="00CE233A">
        <w:rPr>
          <w:lang w:val="el-GR"/>
        </w:rPr>
        <w:t> </w:t>
      </w:r>
      <w:r w:rsidRPr="00CE233A">
        <w:t>MIU</w:t>
      </w:r>
      <w:r w:rsidRPr="00CE233A">
        <w:rPr>
          <w:lang w:val="el-GR"/>
        </w:rPr>
        <w:t>/</w:t>
      </w:r>
      <w:r w:rsidRPr="00CE233A">
        <w:t>kg</w:t>
      </w:r>
      <w:r w:rsidRPr="00CE233A">
        <w:rPr>
          <w:lang w:val="el-GR"/>
        </w:rPr>
        <w:t>/ημέρα) παρατηρήθηκε αριθμός λευκών αιμοσφαιρίων περίπου 50</w:t>
      </w:r>
      <w:r w:rsidR="0083109E" w:rsidRPr="00CE233A">
        <w:rPr>
          <w:lang w:val="el-GR"/>
        </w:rPr>
        <w:t> </w:t>
      </w:r>
      <w:r w:rsidRPr="00CE233A">
        <w:t>x</w:t>
      </w:r>
      <w:r w:rsidR="0083109E" w:rsidRPr="00CE233A">
        <w:rPr>
          <w:lang w:val="el-GR"/>
        </w:rPr>
        <w:t> </w:t>
      </w:r>
      <w:r w:rsidRPr="00CE233A">
        <w:rPr>
          <w:lang w:val="el-GR"/>
        </w:rPr>
        <w:t>10</w:t>
      </w:r>
      <w:r w:rsidRPr="00CE233A">
        <w:rPr>
          <w:vertAlign w:val="superscript"/>
          <w:lang w:val="el-GR"/>
        </w:rPr>
        <w:t>9</w:t>
      </w:r>
      <w:r w:rsidRPr="00CE233A">
        <w:rPr>
          <w:lang w:val="el-GR"/>
        </w:rPr>
        <w:t>/</w:t>
      </w:r>
      <w:r w:rsidRPr="00CE233A">
        <w:t>l</w:t>
      </w:r>
      <w:r w:rsidRPr="00CE233A">
        <w:rPr>
          <w:lang w:val="el-GR"/>
        </w:rPr>
        <w:t xml:space="preserve"> την 5η</w:t>
      </w:r>
      <w:r w:rsidR="0083109E" w:rsidRPr="00CE233A">
        <w:rPr>
          <w:lang w:val="el-GR"/>
        </w:rPr>
        <w:t> </w:t>
      </w:r>
      <w:r w:rsidRPr="00CE233A">
        <w:rPr>
          <w:lang w:val="el-GR"/>
        </w:rPr>
        <w:t>ημέρα της θεραπείας.</w:t>
      </w:r>
    </w:p>
    <w:p w:rsidR="001F5608" w:rsidRPr="00CE233A" w:rsidRDefault="001F5608" w:rsidP="00BA4AA5">
      <w:pPr>
        <w:ind w:left="426"/>
        <w:rPr>
          <w:lang w:val="el-GR"/>
        </w:rPr>
      </w:pPr>
      <w:r w:rsidRPr="00CE233A">
        <w:rPr>
          <w:lang w:val="el-GR"/>
        </w:rPr>
        <w:tab/>
        <w:t>Στους ανθρώπους δόσεις έως 40 μ</w:t>
      </w:r>
      <w:r w:rsidRPr="00CE233A">
        <w:t>g</w:t>
      </w:r>
      <w:r w:rsidRPr="00CE233A">
        <w:rPr>
          <w:lang w:val="el-GR"/>
        </w:rPr>
        <w:t>/</w:t>
      </w:r>
      <w:r w:rsidRPr="00CE233A">
        <w:t>kg</w:t>
      </w:r>
      <w:r w:rsidRPr="00CE233A">
        <w:rPr>
          <w:lang w:val="el-GR"/>
        </w:rPr>
        <w:t xml:space="preserve">/ημέρα δεν συνδέθηκαν με τοξικές ανεπιθύμητες ενέργειες εκτός από μυοσκελετικό άλγος. </w:t>
      </w:r>
    </w:p>
    <w:p w:rsidR="00A414FB" w:rsidRPr="00CE233A" w:rsidRDefault="00A414FB" w:rsidP="00840A76">
      <w:pPr>
        <w:tabs>
          <w:tab w:val="left" w:pos="426"/>
        </w:tabs>
        <w:rPr>
          <w:lang w:val="el-GR"/>
        </w:rPr>
      </w:pPr>
    </w:p>
    <w:p w:rsidR="00A414FB" w:rsidRPr="00CE233A" w:rsidRDefault="00A414FB" w:rsidP="00840A76">
      <w:pPr>
        <w:tabs>
          <w:tab w:val="left" w:pos="426"/>
        </w:tabs>
        <w:rPr>
          <w:lang w:val="el-GR"/>
        </w:rPr>
      </w:pPr>
    </w:p>
    <w:p w:rsidR="001F5608" w:rsidRPr="00CE233A" w:rsidRDefault="001F5608" w:rsidP="00840A76">
      <w:pPr>
        <w:rPr>
          <w:b/>
          <w:caps/>
          <w:lang w:val="el-GR"/>
        </w:rPr>
      </w:pPr>
      <w:r w:rsidRPr="00CE233A">
        <w:rPr>
          <w:b/>
          <w:lang w:val="el-GR"/>
        </w:rPr>
        <w:t xml:space="preserve">5.   </w:t>
      </w:r>
      <w:r w:rsidRPr="00CE233A">
        <w:rPr>
          <w:b/>
          <w:caps/>
          <w:lang w:val="el-GR"/>
        </w:rPr>
        <w:t>ΦαρμακολογικΕΣ ιδιΟτητεΣ</w:t>
      </w:r>
    </w:p>
    <w:p w:rsidR="001F5608" w:rsidRPr="00CE233A" w:rsidRDefault="001F5608" w:rsidP="00840A76">
      <w:pPr>
        <w:rPr>
          <w:b/>
          <w:caps/>
          <w:lang w:val="el-GR"/>
        </w:rPr>
      </w:pPr>
    </w:p>
    <w:p w:rsidR="001F5608" w:rsidRPr="00CE233A" w:rsidRDefault="001F5608" w:rsidP="00840A76">
      <w:pPr>
        <w:ind w:left="426" w:hanging="426"/>
        <w:rPr>
          <w:b/>
          <w:caps/>
          <w:lang w:val="el-GR"/>
        </w:rPr>
      </w:pPr>
      <w:r w:rsidRPr="00CE233A">
        <w:rPr>
          <w:b/>
          <w:caps/>
          <w:lang w:val="el-GR"/>
        </w:rPr>
        <w:t>5.1 φ</w:t>
      </w:r>
      <w:r w:rsidRPr="00CE233A">
        <w:rPr>
          <w:b/>
          <w:lang w:val="el-GR"/>
        </w:rPr>
        <w:t>αρμακοδυναμικές ιδιότητες</w:t>
      </w:r>
    </w:p>
    <w:p w:rsidR="001F5608" w:rsidRPr="00CE233A" w:rsidRDefault="001F5608" w:rsidP="00840A76">
      <w:pPr>
        <w:ind w:left="426" w:hanging="426"/>
        <w:rPr>
          <w:lang w:val="el-GR"/>
        </w:rPr>
      </w:pPr>
    </w:p>
    <w:p w:rsidR="001F5608" w:rsidRPr="00CE233A" w:rsidRDefault="0031764F" w:rsidP="00613FFE">
      <w:pPr>
        <w:ind w:left="426"/>
        <w:rPr>
          <w:lang w:val="el-GR"/>
        </w:rPr>
      </w:pPr>
      <w:r w:rsidRPr="00CE233A">
        <w:rPr>
          <w:lang w:val="el-GR"/>
        </w:rPr>
        <w:tab/>
        <w:t>Φαρμακοθεραπευτική κατηγορία: Κυ</w:t>
      </w:r>
      <w:r w:rsidR="007F26C9" w:rsidRPr="00CE233A">
        <w:rPr>
          <w:lang w:val="el-GR"/>
        </w:rPr>
        <w:t>τταρ</w:t>
      </w:r>
      <w:r w:rsidRPr="00CE233A">
        <w:rPr>
          <w:lang w:val="el-GR"/>
        </w:rPr>
        <w:t xml:space="preserve">οκίνες </w:t>
      </w:r>
      <w:r w:rsidR="00E019CB" w:rsidRPr="00CE233A">
        <w:rPr>
          <w:lang w:val="el-GR"/>
        </w:rPr>
        <w:t xml:space="preserve">, </w:t>
      </w:r>
      <w:r w:rsidRPr="00CE233A">
        <w:rPr>
          <w:lang w:val="el-GR"/>
        </w:rPr>
        <w:t xml:space="preserve">Κωδικός </w:t>
      </w:r>
      <w:r w:rsidRPr="00CE233A">
        <w:t>ATC</w:t>
      </w:r>
      <w:r w:rsidRPr="00CE233A">
        <w:rPr>
          <w:lang w:val="el-GR"/>
        </w:rPr>
        <w:t xml:space="preserve">: </w:t>
      </w:r>
      <w:r w:rsidRPr="00CE233A">
        <w:t>L</w:t>
      </w:r>
      <w:r w:rsidRPr="00CE233A">
        <w:rPr>
          <w:lang w:val="el-GR"/>
        </w:rPr>
        <w:t>03</w:t>
      </w:r>
      <w:r w:rsidRPr="00CE233A">
        <w:t>AA</w:t>
      </w:r>
      <w:r w:rsidRPr="00CE233A">
        <w:rPr>
          <w:lang w:val="el-GR"/>
        </w:rPr>
        <w:t>10</w:t>
      </w:r>
      <w:r w:rsidR="001F5608" w:rsidRPr="00CE233A">
        <w:rPr>
          <w:lang w:val="el-GR"/>
        </w:rPr>
        <w:tab/>
      </w:r>
      <w:r w:rsidR="00D02742" w:rsidRPr="00CE233A">
        <w:rPr>
          <w:lang w:val="el-GR"/>
        </w:rPr>
        <w:t xml:space="preserve">Η </w:t>
      </w:r>
      <w:r w:rsidR="00BC5E9E" w:rsidRPr="00CE233A">
        <w:rPr>
          <w:lang w:val="el-GR"/>
        </w:rPr>
        <w:t>λενογραστίμη</w:t>
      </w:r>
      <w:r w:rsidR="001F5608" w:rsidRPr="00CE233A">
        <w:rPr>
          <w:lang w:val="el-GR"/>
        </w:rPr>
        <w:t xml:space="preserve"> (</w:t>
      </w:r>
      <w:proofErr w:type="spellStart"/>
      <w:r w:rsidR="001F5608" w:rsidRPr="00CE233A">
        <w:t>rHuG</w:t>
      </w:r>
      <w:proofErr w:type="spellEnd"/>
      <w:r w:rsidR="001F5608" w:rsidRPr="00CE233A">
        <w:rPr>
          <w:lang w:val="el-GR"/>
        </w:rPr>
        <w:t>-</w:t>
      </w:r>
      <w:r w:rsidR="001F5608" w:rsidRPr="00CE233A">
        <w:t>CSF</w:t>
      </w:r>
      <w:r w:rsidR="001F5608" w:rsidRPr="00CE233A">
        <w:rPr>
          <w:lang w:val="el-GR"/>
        </w:rPr>
        <w:t xml:space="preserve">) ανήκει στην ομάδα των </w:t>
      </w:r>
      <w:r w:rsidR="00C7329B" w:rsidRPr="00CE233A">
        <w:rPr>
          <w:lang w:val="el-GR"/>
        </w:rPr>
        <w:t>κυτταροκινών</w:t>
      </w:r>
      <w:r w:rsidR="001F5608" w:rsidRPr="00CE233A">
        <w:rPr>
          <w:lang w:val="el-GR"/>
        </w:rPr>
        <w:t>, των βιολογικώς δραστικών πρωτεϊνών που ρυθμίζουν τη διαφοροποίηση και την ανάπτυξη των κυττάρων.</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Ο </w:t>
      </w:r>
      <w:proofErr w:type="spellStart"/>
      <w:r w:rsidRPr="00CE233A">
        <w:t>rHuG</w:t>
      </w:r>
      <w:proofErr w:type="spellEnd"/>
      <w:r w:rsidRPr="00CE233A">
        <w:rPr>
          <w:lang w:val="el-GR"/>
        </w:rPr>
        <w:t>-</w:t>
      </w:r>
      <w:r w:rsidRPr="00CE233A">
        <w:t>CSF</w:t>
      </w:r>
      <w:r w:rsidRPr="00CE233A">
        <w:rPr>
          <w:lang w:val="el-GR"/>
        </w:rPr>
        <w:t xml:space="preserve"> είναι ένας παράγοντας που διεγείρει τα πρόδρομα κύτταρα ουδετεροφίλων όπως δεικνύεται από την αύξηση του αριθμού των </w:t>
      </w:r>
      <w:r w:rsidRPr="00CE233A">
        <w:t>CFU</w:t>
      </w:r>
      <w:r w:rsidRPr="00CE233A">
        <w:rPr>
          <w:lang w:val="el-GR"/>
        </w:rPr>
        <w:t>-</w:t>
      </w:r>
      <w:r w:rsidRPr="00CE233A">
        <w:t>S</w:t>
      </w:r>
      <w:r w:rsidRPr="00CE233A">
        <w:rPr>
          <w:lang w:val="el-GR"/>
        </w:rPr>
        <w:t xml:space="preserve"> και </w:t>
      </w:r>
      <w:r w:rsidRPr="00CE233A">
        <w:t>CFU</w:t>
      </w:r>
      <w:r w:rsidRPr="00CE233A">
        <w:rPr>
          <w:lang w:val="el-GR"/>
        </w:rPr>
        <w:t>-</w:t>
      </w:r>
      <w:r w:rsidRPr="00CE233A">
        <w:t>GM</w:t>
      </w:r>
      <w:r w:rsidRPr="00CE233A">
        <w:rPr>
          <w:lang w:val="el-GR"/>
        </w:rPr>
        <w:t xml:space="preserve"> στο περιφερικό αίμα.</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Το </w:t>
      </w:r>
      <w:r w:rsidRPr="00CE233A">
        <w:t>GRANOCYTE</w:t>
      </w:r>
      <w:r w:rsidRPr="00CE233A">
        <w:rPr>
          <w:vertAlign w:val="superscript"/>
          <w:lang w:val="el-GR"/>
        </w:rPr>
        <w:t xml:space="preserve"> </w:t>
      </w:r>
      <w:r w:rsidRPr="00CE233A">
        <w:rPr>
          <w:lang w:val="el-GR"/>
        </w:rPr>
        <w:t xml:space="preserve">προκαλεί σημαντική αύξηση του αριθμού των ουδετεροφίλων του περιφερικού αίματος εντός 24 ωρών από τη χορήγηση. </w:t>
      </w:r>
    </w:p>
    <w:p w:rsidR="001F5608" w:rsidRPr="00CE233A" w:rsidRDefault="001F5608" w:rsidP="00840A76">
      <w:pPr>
        <w:ind w:left="426" w:hanging="426"/>
        <w:rPr>
          <w:lang w:val="el-GR"/>
        </w:rPr>
      </w:pPr>
    </w:p>
    <w:p w:rsidR="008112BD" w:rsidRPr="00CE233A" w:rsidRDefault="001F5608" w:rsidP="00840A76">
      <w:pPr>
        <w:ind w:left="426" w:hanging="426"/>
        <w:rPr>
          <w:lang w:val="el-GR"/>
        </w:rPr>
      </w:pPr>
      <w:r w:rsidRPr="00CE233A">
        <w:rPr>
          <w:lang w:val="el-GR"/>
        </w:rPr>
        <w:tab/>
        <w:t xml:space="preserve">Η αύξηση του αριθμού των ουδετεροφίλων είναι δοσοεξαρτώμενη στην κλίμακα από </w:t>
      </w:r>
    </w:p>
    <w:p w:rsidR="001F5608" w:rsidRPr="00CE233A" w:rsidRDefault="001F5608" w:rsidP="008112BD">
      <w:pPr>
        <w:ind w:left="426"/>
        <w:rPr>
          <w:lang w:val="el-GR"/>
        </w:rPr>
      </w:pPr>
      <w:r w:rsidRPr="00CE233A">
        <w:rPr>
          <w:lang w:val="el-GR"/>
        </w:rPr>
        <w:t>1-10</w:t>
      </w:r>
      <w:r w:rsidR="00EA5AE9" w:rsidRPr="00CE233A">
        <w:rPr>
          <w:lang w:val="el-GR"/>
        </w:rPr>
        <w:t> </w:t>
      </w:r>
      <w:r w:rsidRPr="00CE233A">
        <w:rPr>
          <w:lang w:val="el-GR"/>
        </w:rPr>
        <w:t>μ</w:t>
      </w:r>
      <w:r w:rsidRPr="00CE233A">
        <w:t>g</w:t>
      </w:r>
      <w:r w:rsidRPr="00CE233A">
        <w:rPr>
          <w:lang w:val="el-GR"/>
        </w:rPr>
        <w:t>/</w:t>
      </w:r>
      <w:r w:rsidRPr="00CE233A">
        <w:t>kg</w:t>
      </w:r>
      <w:r w:rsidRPr="00CE233A">
        <w:rPr>
          <w:lang w:val="el-GR"/>
        </w:rPr>
        <w:t xml:space="preserve">/ημερησίως. Στη συνιστώμενη δοσολογία, η χορήγηση επαναλαμβανόμενων δόσεων προκαλεί ενίσχυση της απόκρισης των ουδετεροφίλων. Τα ουδετερόφιλα που παράγονται λόγω χορήγησης του </w:t>
      </w:r>
      <w:r w:rsidRPr="00CE233A">
        <w:t>GRANOCYTE</w:t>
      </w:r>
      <w:r w:rsidR="00A03B9A" w:rsidRPr="00CE233A">
        <w:rPr>
          <w:lang w:val="el-GR"/>
        </w:rPr>
        <w:t xml:space="preserve"> </w:t>
      </w:r>
      <w:r w:rsidRPr="00CE233A">
        <w:rPr>
          <w:lang w:val="el-GR"/>
        </w:rPr>
        <w:t>δείχνουν κανονική χημειοτακτική και φαγοκυτταρική λειτουργία.</w:t>
      </w:r>
    </w:p>
    <w:p w:rsidR="001F5608" w:rsidRPr="00CE233A" w:rsidRDefault="001F5608" w:rsidP="00840A76">
      <w:pPr>
        <w:ind w:left="426" w:hanging="426"/>
        <w:rPr>
          <w:lang w:val="el-GR"/>
        </w:rPr>
      </w:pPr>
    </w:p>
    <w:p w:rsidR="001F5608" w:rsidRPr="00CE233A" w:rsidRDefault="001F5608" w:rsidP="00840A76">
      <w:pPr>
        <w:pStyle w:val="30"/>
        <w:jc w:val="left"/>
        <w:rPr>
          <w:b w:val="0"/>
          <w:szCs w:val="24"/>
        </w:rPr>
      </w:pPr>
      <w:r w:rsidRPr="00CE233A">
        <w:rPr>
          <w:b w:val="0"/>
          <w:szCs w:val="24"/>
        </w:rPr>
        <w:t xml:space="preserve">Όπως συμβαίνει με τους άλλους αιμοποιητικούς αυξητικούς παράγοντες, ο G-CSF έχει παρουσιάσει την ιδιότητα να διεγείρει </w:t>
      </w:r>
      <w:r w:rsidRPr="00CE233A">
        <w:rPr>
          <w:b w:val="0"/>
          <w:i/>
          <w:szCs w:val="24"/>
        </w:rPr>
        <w:t>in vitro</w:t>
      </w:r>
      <w:r w:rsidRPr="00CE233A">
        <w:rPr>
          <w:b w:val="0"/>
          <w:szCs w:val="24"/>
        </w:rPr>
        <w:t xml:space="preserve"> τα ανθρώπινα ενδοθηλιακά κύτταρα. </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b/>
          <w:lang w:val="el-GR"/>
        </w:rPr>
        <w:tab/>
      </w:r>
      <w:r w:rsidRPr="00CE233A">
        <w:rPr>
          <w:lang w:val="el-GR"/>
        </w:rPr>
        <w:t xml:space="preserve">Η χρήση του </w:t>
      </w:r>
      <w:r w:rsidRPr="00CE233A">
        <w:t>GRANOCYTE</w:t>
      </w:r>
      <w:r w:rsidRPr="00CE233A">
        <w:rPr>
          <w:vertAlign w:val="superscript"/>
          <w:lang w:val="el-GR"/>
        </w:rPr>
        <w:t xml:space="preserve"> </w:t>
      </w:r>
      <w:r w:rsidRPr="00CE233A">
        <w:rPr>
          <w:lang w:val="el-GR"/>
        </w:rPr>
        <w:t xml:space="preserve">σε ασθενείς που υποβλήθηκαν σε μεταμόσχευση μυελού των οστών ή </w:t>
      </w:r>
      <w:r w:rsidR="008A1BAE" w:rsidRPr="00CE233A">
        <w:rPr>
          <w:lang w:val="el-GR"/>
        </w:rPr>
        <w:t>λαμβάνουν</w:t>
      </w:r>
      <w:r w:rsidRPr="00CE233A">
        <w:rPr>
          <w:lang w:val="el-GR"/>
        </w:rPr>
        <w:t xml:space="preserve"> κυτταροτοξική χημειοθεραπεία οδηγεί σε σημαντική ελάττωση της διάρκειας της ουδετεροπενίας και των </w:t>
      </w:r>
      <w:r w:rsidR="00CE5329" w:rsidRPr="00CE233A">
        <w:rPr>
          <w:lang w:val="el-GR"/>
        </w:rPr>
        <w:t>σχετιζόμενων</w:t>
      </w:r>
      <w:r w:rsidRPr="00CE233A">
        <w:rPr>
          <w:lang w:val="el-GR"/>
        </w:rPr>
        <w:t xml:space="preserve"> επιπλοκών της.</w:t>
      </w:r>
    </w:p>
    <w:p w:rsidR="001F5608" w:rsidRPr="00CE233A" w:rsidRDefault="001F5608" w:rsidP="00840A76">
      <w:pPr>
        <w:tabs>
          <w:tab w:val="left" w:pos="7920"/>
        </w:tabs>
        <w:ind w:left="426" w:hanging="426"/>
        <w:rPr>
          <w:lang w:val="el-GR"/>
        </w:rPr>
      </w:pPr>
      <w:r w:rsidRPr="00CE233A">
        <w:rPr>
          <w:lang w:val="el-GR"/>
        </w:rPr>
        <w:tab/>
      </w:r>
      <w:r w:rsidRPr="00CE233A">
        <w:rPr>
          <w:lang w:val="el-GR"/>
        </w:rPr>
        <w:tab/>
      </w:r>
    </w:p>
    <w:p w:rsidR="001F5608" w:rsidRPr="00CE233A" w:rsidRDefault="001F5608" w:rsidP="00840A76">
      <w:pPr>
        <w:ind w:left="426" w:hanging="426"/>
        <w:rPr>
          <w:lang w:val="el-GR"/>
        </w:rPr>
      </w:pPr>
      <w:r w:rsidRPr="00CE233A">
        <w:rPr>
          <w:b/>
          <w:lang w:val="el-GR"/>
        </w:rPr>
        <w:tab/>
      </w:r>
      <w:r w:rsidRPr="00CE233A">
        <w:rPr>
          <w:lang w:val="el-GR"/>
        </w:rPr>
        <w:t xml:space="preserve">Η χρήση του </w:t>
      </w:r>
      <w:r w:rsidRPr="00CE233A">
        <w:t>GRANOCYTE</w:t>
      </w:r>
      <w:r w:rsidRPr="00CE233A">
        <w:rPr>
          <w:lang w:val="el-GR"/>
        </w:rPr>
        <w:t xml:space="preserve">, είτε αυτό χορηγείται μόνο είτε μετά από χημειοθεραπεία, κινητοποιεί τα αρχέγονα αιμοποιητικά κύτταρα </w:t>
      </w:r>
      <w:r w:rsidR="00D71A24" w:rsidRPr="00CE233A">
        <w:rPr>
          <w:lang w:val="el-GR"/>
        </w:rPr>
        <w:t>στο</w:t>
      </w:r>
      <w:r w:rsidRPr="00CE233A">
        <w:rPr>
          <w:lang w:val="el-GR"/>
        </w:rPr>
        <w:t xml:space="preserve"> περιφερικ</w:t>
      </w:r>
      <w:r w:rsidR="00D71A24" w:rsidRPr="00CE233A">
        <w:rPr>
          <w:lang w:val="el-GR"/>
        </w:rPr>
        <w:t>ό</w:t>
      </w:r>
      <w:r w:rsidRPr="00CE233A">
        <w:rPr>
          <w:lang w:val="el-GR"/>
        </w:rPr>
        <w:t xml:space="preserve"> αίμα. Αυτά τα αυτόλογα αρχέγονα κύτταρα του περιφερικού αίματος (</w:t>
      </w:r>
      <w:r w:rsidRPr="00CE233A">
        <w:t>PBPCs</w:t>
      </w:r>
      <w:r w:rsidRPr="00CE233A">
        <w:rPr>
          <w:lang w:val="el-GR"/>
        </w:rPr>
        <w:t xml:space="preserve">), μπορούν να συλλεγούν και να εγχυθούν μετά από τη χορήγηση </w:t>
      </w:r>
      <w:r w:rsidR="00397CCF" w:rsidRPr="00CE233A">
        <w:rPr>
          <w:lang w:val="el-GR"/>
        </w:rPr>
        <w:t xml:space="preserve">υψηλής δόσης </w:t>
      </w:r>
      <w:r w:rsidRPr="00CE233A">
        <w:rPr>
          <w:lang w:val="el-GR"/>
        </w:rPr>
        <w:t>χημειοθεραπείας, είτε σε αντικατάσταση είτε επιπρόσθετα της μεταμόσχευσης μυελού των οστών.</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Τα </w:t>
      </w:r>
      <w:r w:rsidRPr="00CE233A">
        <w:t>PBPCs</w:t>
      </w:r>
      <w:r w:rsidRPr="00CE233A">
        <w:rPr>
          <w:lang w:val="el-GR"/>
        </w:rPr>
        <w:t xml:space="preserve"> που έχουν επανεγχυθεί, όπως ελήφθησαν μετά από κινητοποίηση με </w:t>
      </w:r>
      <w:r w:rsidRPr="00CE233A">
        <w:t>GRANOCYTE</w:t>
      </w:r>
      <w:r w:rsidRPr="00CE233A">
        <w:rPr>
          <w:lang w:val="el-GR"/>
        </w:rPr>
        <w:t>, δείχθηκε ότι αποκατέστησαν την αιμοποίηση και μείωσαν το χρόνο αποδοχής του μοσχεύματος, οδηγώντας σε σημαντική ελάττωση των ημερών έως την απεξάρτηση από μεταγγίσεις αιμοπεταλίων συγκριτικά με την αυτόλογη μεταμόσχευση μυελού των οστών.</w:t>
      </w:r>
    </w:p>
    <w:p w:rsidR="001F5608" w:rsidRPr="00CE233A" w:rsidRDefault="001F5608" w:rsidP="00840A76">
      <w:pPr>
        <w:ind w:left="426" w:hanging="426"/>
        <w:rPr>
          <w:lang w:val="el-GR"/>
        </w:rPr>
      </w:pPr>
    </w:p>
    <w:p w:rsidR="001F5608" w:rsidRPr="00CE233A" w:rsidRDefault="001F5608" w:rsidP="00840A76">
      <w:pPr>
        <w:ind w:left="426"/>
        <w:rPr>
          <w:lang w:val="el-GR"/>
        </w:rPr>
      </w:pPr>
      <w:r w:rsidRPr="00CE233A">
        <w:rPr>
          <w:lang w:val="el-GR"/>
        </w:rPr>
        <w:t xml:space="preserve">Η συνολική ανάλυση των δεδομένων από 3 διπλές-τυφλές συγκριτικές έναντι </w:t>
      </w:r>
      <w:r w:rsidRPr="00CE233A">
        <w:t>placebo</w:t>
      </w:r>
      <w:r w:rsidRPr="00CE233A">
        <w:rPr>
          <w:lang w:val="el-GR"/>
        </w:rPr>
        <w:t xml:space="preserve"> κλινικές μελέτες που διεξήχθησαν σε 861 ασθενείς (</w:t>
      </w:r>
      <w:r w:rsidRPr="00CE233A">
        <w:t>n</w:t>
      </w:r>
      <w:r w:rsidRPr="00CE233A">
        <w:rPr>
          <w:lang w:val="el-GR"/>
        </w:rPr>
        <w:t xml:space="preserve">= 411, </w:t>
      </w:r>
      <w:r w:rsidRPr="00CE233A">
        <w:sym w:font="Symbol" w:char="00B3"/>
      </w:r>
      <w:r w:rsidRPr="00CE233A">
        <w:rPr>
          <w:lang w:val="el-GR"/>
        </w:rPr>
        <w:t xml:space="preserve"> 55 ετών) έδειξε ευνοϊκή αναλογία οφέλους/κινδύνου για τη χορήγηση της </w:t>
      </w:r>
      <w:r w:rsidR="00EA4A98" w:rsidRPr="00CE233A">
        <w:rPr>
          <w:lang w:val="el-GR"/>
        </w:rPr>
        <w:t>λενογραστίμης</w:t>
      </w:r>
      <w:r w:rsidRPr="00CE233A">
        <w:rPr>
          <w:lang w:val="el-GR"/>
        </w:rPr>
        <w:t xml:space="preserve"> σε ασθενείς ηλικίας άνω των 55 ετών οι οποίοι υποβλήθηκαν σε συμβατική χημειοθεραπεία για </w:t>
      </w:r>
      <w:r w:rsidRPr="00CE233A">
        <w:rPr>
          <w:i/>
        </w:rPr>
        <w:t>de</w:t>
      </w:r>
      <w:r w:rsidRPr="00CE233A">
        <w:rPr>
          <w:i/>
          <w:lang w:val="el-GR"/>
        </w:rPr>
        <w:t xml:space="preserve"> </w:t>
      </w:r>
      <w:r w:rsidRPr="00CE233A">
        <w:rPr>
          <w:i/>
        </w:rPr>
        <w:t>novo</w:t>
      </w:r>
      <w:r w:rsidRPr="00CE233A">
        <w:rPr>
          <w:lang w:val="el-GR"/>
        </w:rPr>
        <w:t xml:space="preserve"> οξεία </w:t>
      </w:r>
      <w:r w:rsidR="000846D4" w:rsidRPr="00CE233A">
        <w:rPr>
          <w:iCs/>
          <w:lang w:val="el-GR"/>
        </w:rPr>
        <w:lastRenderedPageBreak/>
        <w:t xml:space="preserve">μυελοειδή </w:t>
      </w:r>
      <w:r w:rsidRPr="00CE233A">
        <w:rPr>
          <w:lang w:val="el-GR"/>
        </w:rPr>
        <w:t xml:space="preserve">λευχαιμία, εξαιρουμένης της </w:t>
      </w:r>
      <w:r w:rsidR="00E019CB" w:rsidRPr="00CE233A">
        <w:t>AML</w:t>
      </w:r>
      <w:r w:rsidR="00E019CB" w:rsidRPr="00CE233A">
        <w:rPr>
          <w:lang w:val="el-GR"/>
        </w:rPr>
        <w:t xml:space="preserve"> </w:t>
      </w:r>
      <w:r w:rsidRPr="00CE233A">
        <w:rPr>
          <w:lang w:val="el-GR"/>
        </w:rPr>
        <w:t xml:space="preserve">με καλό κυτταρογενετικό προφίλ, δηλαδή </w:t>
      </w:r>
      <w:r w:rsidRPr="00CE233A">
        <w:t>t</w:t>
      </w:r>
      <w:r w:rsidRPr="00CE233A">
        <w:rPr>
          <w:lang w:val="el-GR"/>
        </w:rPr>
        <w:t xml:space="preserve">(8;21), </w:t>
      </w:r>
      <w:r w:rsidRPr="00CE233A">
        <w:t>t</w:t>
      </w:r>
      <w:r w:rsidRPr="00CE233A">
        <w:rPr>
          <w:lang w:val="el-GR"/>
        </w:rPr>
        <w:t xml:space="preserve">(15;17) και </w:t>
      </w:r>
      <w:r w:rsidRPr="00CE233A">
        <w:t>inv</w:t>
      </w:r>
      <w:r w:rsidRPr="00CE233A">
        <w:rPr>
          <w:lang w:val="el-GR"/>
        </w:rPr>
        <w:t xml:space="preserve"> (16). </w:t>
      </w:r>
    </w:p>
    <w:p w:rsidR="001F5608" w:rsidRPr="00CE233A" w:rsidRDefault="001F5608" w:rsidP="00840A76">
      <w:pPr>
        <w:ind w:left="426"/>
        <w:rPr>
          <w:lang w:val="el-GR"/>
        </w:rPr>
      </w:pPr>
    </w:p>
    <w:p w:rsidR="001F5608" w:rsidRPr="00CE233A" w:rsidRDefault="001F5608" w:rsidP="00840A76">
      <w:pPr>
        <w:ind w:left="426"/>
        <w:rPr>
          <w:lang w:val="el-GR"/>
        </w:rPr>
      </w:pPr>
      <w:r w:rsidRPr="00CE233A">
        <w:rPr>
          <w:lang w:val="el-GR"/>
        </w:rPr>
        <w:t xml:space="preserve">Το όφελος στην υποομάδα των ασθενών άνω των 55 ετών παρουσιάσθηκε όσον αφορά στην επιτάχυνση της επανόδου των ουδετεροφίλων που προκάλεσε η </w:t>
      </w:r>
      <w:r w:rsidR="00F62E12" w:rsidRPr="00CE233A">
        <w:rPr>
          <w:lang w:val="el-GR"/>
        </w:rPr>
        <w:t>λενογραστίμη</w:t>
      </w:r>
      <w:r w:rsidRPr="00CE233A">
        <w:rPr>
          <w:lang w:val="el-GR"/>
        </w:rPr>
        <w:t xml:space="preserve">, στην αύξηση του ποσοστού των ασθενών χωρίς επεισόδιο λοίμωξης, στην ελάττωση της διάρκειας της λοίμωξης, στη μείωση του χρόνου νοσηλείας και στην ελάττωση της διάρκειας της </w:t>
      </w:r>
      <w:r w:rsidRPr="00CE233A">
        <w:t>I</w:t>
      </w:r>
      <w:r w:rsidRPr="00CE233A">
        <w:rPr>
          <w:lang w:val="el-GR"/>
        </w:rPr>
        <w:t>.</w:t>
      </w:r>
      <w:r w:rsidRPr="00CE233A">
        <w:t>V</w:t>
      </w:r>
      <w:r w:rsidRPr="00CE233A">
        <w:rPr>
          <w:lang w:val="el-GR"/>
        </w:rPr>
        <w:t>. χορήγησης αντιβιοτικών. Εν τούτοις, αυτά τα ευεργετικά αποτελέσματα δεν συνδέθηκαν με ελάττωση στη συχνότητα εμφάνισης των σοβαρών ή απειλητικών για τη ζωή λοιμώξεων, ούτε με μείωση της θνητότητας που συνδέεται με τις λοιμώξεις.</w:t>
      </w:r>
    </w:p>
    <w:p w:rsidR="001F5608" w:rsidRPr="00CE233A" w:rsidRDefault="001F5608" w:rsidP="00840A76">
      <w:pPr>
        <w:ind w:left="426"/>
        <w:rPr>
          <w:lang w:val="el-GR"/>
        </w:rPr>
      </w:pPr>
    </w:p>
    <w:p w:rsidR="001F5608" w:rsidRPr="00CE233A" w:rsidRDefault="001F5608" w:rsidP="00840A76">
      <w:pPr>
        <w:ind w:left="426"/>
        <w:rPr>
          <w:lang w:val="el-GR"/>
        </w:rPr>
      </w:pPr>
      <w:r w:rsidRPr="00CE233A">
        <w:rPr>
          <w:lang w:val="el-GR"/>
        </w:rPr>
        <w:t xml:space="preserve">Τα δεδομένα, από μια διπλή-τυφλή συγκριτική έναντι </w:t>
      </w:r>
      <w:r w:rsidRPr="00CE233A">
        <w:t>placebo</w:t>
      </w:r>
      <w:r w:rsidRPr="00CE233A">
        <w:rPr>
          <w:lang w:val="el-GR"/>
        </w:rPr>
        <w:t xml:space="preserve"> μελέτη που διεξήχθη σε 446 ασθενείς με </w:t>
      </w:r>
      <w:r w:rsidRPr="00CE233A">
        <w:rPr>
          <w:i/>
        </w:rPr>
        <w:t>de</w:t>
      </w:r>
      <w:r w:rsidRPr="00CE233A">
        <w:rPr>
          <w:i/>
          <w:lang w:val="el-GR"/>
        </w:rPr>
        <w:t xml:space="preserve"> </w:t>
      </w:r>
      <w:r w:rsidRPr="00CE233A">
        <w:rPr>
          <w:i/>
        </w:rPr>
        <w:t>novo</w:t>
      </w:r>
      <w:r w:rsidRPr="00CE233A">
        <w:rPr>
          <w:lang w:val="el-GR"/>
        </w:rPr>
        <w:t xml:space="preserve"> </w:t>
      </w:r>
      <w:r w:rsidR="00E019CB" w:rsidRPr="00CE233A">
        <w:t>AML</w:t>
      </w:r>
      <w:r w:rsidRPr="00CE233A">
        <w:rPr>
          <w:lang w:val="el-GR"/>
        </w:rPr>
        <w:t xml:space="preserve">, έδειξαν ότι στην υποομάδα των 99 ασθενών με καλό κυτταρογενετικό προφίλ, η ελεύθερη συμβαμάτων επιβίωση ήταν σημαντικά μικρότερη στο σκέλος της </w:t>
      </w:r>
      <w:r w:rsidR="00EA4A98" w:rsidRPr="00CE233A">
        <w:rPr>
          <w:lang w:val="el-GR"/>
        </w:rPr>
        <w:t>λενογραστίμης</w:t>
      </w:r>
      <w:r w:rsidRPr="00CE233A">
        <w:rPr>
          <w:lang w:val="el-GR"/>
        </w:rPr>
        <w:t xml:space="preserve"> από ότι σε εκείνο του </w:t>
      </w:r>
      <w:r w:rsidRPr="00CE233A">
        <w:t>placebo</w:t>
      </w:r>
      <w:r w:rsidRPr="00CE233A">
        <w:rPr>
          <w:lang w:val="el-GR"/>
        </w:rPr>
        <w:t xml:space="preserve"> και υπήρξε τάση προς χαμηλότερη συνολική επιβίωση στο σκέλος της </w:t>
      </w:r>
      <w:r w:rsidR="00EA4A98" w:rsidRPr="00CE233A">
        <w:rPr>
          <w:lang w:val="el-GR"/>
        </w:rPr>
        <w:t>λενογραστίμης</w:t>
      </w:r>
      <w:r w:rsidRPr="00CE233A">
        <w:rPr>
          <w:lang w:val="el-GR"/>
        </w:rPr>
        <w:t xml:space="preserve"> σε σύγκριση με τα δεδομένα σε υποομάδες ασθενών χωρίς καλό κυτταρογενετικό προφίλ.</w:t>
      </w:r>
    </w:p>
    <w:p w:rsidR="001F5608" w:rsidRPr="00CE233A" w:rsidRDefault="001F5608" w:rsidP="00840A76">
      <w:pPr>
        <w:ind w:left="426"/>
        <w:rPr>
          <w:lang w:val="el-GR"/>
        </w:rPr>
      </w:pPr>
    </w:p>
    <w:p w:rsidR="001F5608" w:rsidRPr="00CE233A" w:rsidRDefault="001F5608" w:rsidP="00840A76">
      <w:pPr>
        <w:ind w:left="426" w:hanging="426"/>
        <w:rPr>
          <w:lang w:val="el-GR"/>
        </w:rPr>
      </w:pPr>
      <w:r w:rsidRPr="00CE233A">
        <w:rPr>
          <w:b/>
          <w:lang w:val="el-GR"/>
        </w:rPr>
        <w:t>5.2 Φαρμακοκινητικές ιδιότητες</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Η φαρμακοκινητική του </w:t>
      </w:r>
      <w:r w:rsidRPr="00CE233A">
        <w:t>GRANOCYTE</w:t>
      </w:r>
      <w:r w:rsidRPr="00CE233A">
        <w:rPr>
          <w:vertAlign w:val="superscript"/>
          <w:lang w:val="el-GR"/>
        </w:rPr>
        <w:t xml:space="preserve"> </w:t>
      </w:r>
      <w:r w:rsidRPr="00CE233A">
        <w:rPr>
          <w:lang w:val="el-GR"/>
        </w:rPr>
        <w:t xml:space="preserve">είναι δοσο- και χρονο-εξαρτώμενη. </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Κατά την επαναλαμβανόμενη χορήγηση (ενδοφλεβίως και υποδορίως) η μέγιστη συγκέντρωση στον ορό (αμέσως μετά την ενδοφλέβια έγχυση ή την υποδόρια ένεση) είναι ανάλογη με τη χορηγούμενη δόση. Η επαναλαμβανόμενη χορήγηση </w:t>
      </w:r>
      <w:r w:rsidRPr="00CE233A">
        <w:t>GRANOCYTE</w:t>
      </w:r>
      <w:r w:rsidRPr="00CE233A">
        <w:rPr>
          <w:lang w:val="el-GR"/>
        </w:rPr>
        <w:t>, και από τις δύο οδούς, δεν έδωσε ενδείξεις αθροίσεως του φαρμάκου.</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Στη συνιστώμενη δόση, η απόλυτη βιοδιαθεσιμότητα του </w:t>
      </w:r>
      <w:r w:rsidRPr="00CE233A">
        <w:t>GRANOCYTE</w:t>
      </w:r>
      <w:r w:rsidRPr="00CE233A">
        <w:rPr>
          <w:vertAlign w:val="superscript"/>
          <w:lang w:val="el-GR"/>
        </w:rPr>
        <w:t xml:space="preserve"> </w:t>
      </w:r>
      <w:r w:rsidRPr="00CE233A">
        <w:rPr>
          <w:lang w:val="el-GR"/>
        </w:rPr>
        <w:t>είναι 30%. Ο φαινόμενος όγκος κατανομής (</w:t>
      </w:r>
      <w:proofErr w:type="spellStart"/>
      <w:r w:rsidRPr="00CE233A">
        <w:t>Vd</w:t>
      </w:r>
      <w:proofErr w:type="spellEnd"/>
      <w:r w:rsidRPr="00CE233A">
        <w:rPr>
          <w:lang w:val="el-GR"/>
        </w:rPr>
        <w:t>) είναι περίπου 1</w:t>
      </w:r>
      <w:r w:rsidR="00E019CB" w:rsidRPr="00CE233A">
        <w:t>L</w:t>
      </w:r>
      <w:r w:rsidRPr="00CE233A">
        <w:rPr>
          <w:lang w:val="el-GR"/>
        </w:rPr>
        <w:t>/</w:t>
      </w:r>
      <w:r w:rsidRPr="00CE233A">
        <w:t>kg</w:t>
      </w:r>
      <w:r w:rsidRPr="00CE233A">
        <w:rPr>
          <w:lang w:val="el-GR"/>
        </w:rPr>
        <w:t xml:space="preserve"> σωματικού βάρους και ο μέσος χρόνος παραμονής (</w:t>
      </w:r>
      <w:r w:rsidRPr="00CE233A">
        <w:t>mean</w:t>
      </w:r>
      <w:r w:rsidRPr="00CE233A">
        <w:rPr>
          <w:lang w:val="el-GR"/>
        </w:rPr>
        <w:t xml:space="preserve"> </w:t>
      </w:r>
      <w:r w:rsidRPr="00CE233A">
        <w:t>residence</w:t>
      </w:r>
      <w:r w:rsidRPr="00CE233A">
        <w:rPr>
          <w:lang w:val="el-GR"/>
        </w:rPr>
        <w:t xml:space="preserve"> </w:t>
      </w:r>
      <w:r w:rsidRPr="00CE233A">
        <w:t>time</w:t>
      </w:r>
      <w:r w:rsidRPr="00CE233A">
        <w:rPr>
          <w:lang w:val="el-GR"/>
        </w:rPr>
        <w:t>) είναι περίπου 7</w:t>
      </w:r>
      <w:r w:rsidR="001F4EB6" w:rsidRPr="00CE233A">
        <w:rPr>
          <w:lang w:val="el-GR"/>
        </w:rPr>
        <w:t> </w:t>
      </w:r>
      <w:r w:rsidRPr="00CE233A">
        <w:rPr>
          <w:lang w:val="el-GR"/>
        </w:rPr>
        <w:t>ώρες μετά την υποδόρια χορήγηση.</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Ο φαινόμενος χρόνος ημίσειας απομάκρυνσης από ορό του </w:t>
      </w:r>
      <w:r w:rsidRPr="00CE233A">
        <w:t>GRANOCYTE</w:t>
      </w:r>
      <w:r w:rsidRPr="00CE233A">
        <w:rPr>
          <w:vertAlign w:val="superscript"/>
          <w:lang w:val="el-GR"/>
        </w:rPr>
        <w:t xml:space="preserve"> </w:t>
      </w:r>
      <w:r w:rsidRPr="00CE233A">
        <w:rPr>
          <w:lang w:val="el-GR"/>
        </w:rPr>
        <w:t>(</w:t>
      </w:r>
      <w:r w:rsidRPr="00CE233A">
        <w:t>sc</w:t>
      </w:r>
      <w:r w:rsidRPr="00CE233A">
        <w:rPr>
          <w:lang w:val="el-GR"/>
        </w:rPr>
        <w:t xml:space="preserve"> οδός είναι περίπου 3</w:t>
      </w:r>
      <w:r w:rsidR="001F4EB6" w:rsidRPr="00CE233A">
        <w:rPr>
          <w:lang w:val="el-GR"/>
        </w:rPr>
        <w:noBreakHyphen/>
      </w:r>
      <w:r w:rsidRPr="00CE233A">
        <w:rPr>
          <w:lang w:val="el-GR"/>
        </w:rPr>
        <w:t>4</w:t>
      </w:r>
      <w:r w:rsidR="001F4EB6" w:rsidRPr="00CE233A">
        <w:rPr>
          <w:lang w:val="el-GR"/>
        </w:rPr>
        <w:t> </w:t>
      </w:r>
      <w:r w:rsidRPr="00CE233A">
        <w:rPr>
          <w:lang w:val="el-GR"/>
        </w:rPr>
        <w:t>ώρες, στη σταθεροποιημένη κατάσταση (επαναλαμβανόμενη χορήγηση) και είναι βραχύτερος (1</w:t>
      </w:r>
      <w:r w:rsidR="001F4EB6" w:rsidRPr="00CE233A">
        <w:rPr>
          <w:lang w:val="el-GR"/>
        </w:rPr>
        <w:noBreakHyphen/>
      </w:r>
      <w:r w:rsidRPr="00CE233A">
        <w:rPr>
          <w:lang w:val="el-GR"/>
        </w:rPr>
        <w:t xml:space="preserve">1,5 ώρες) μετά από επαναλαμβανόμενη </w:t>
      </w:r>
      <w:proofErr w:type="spellStart"/>
      <w:r w:rsidRPr="00CE233A">
        <w:t>i</w:t>
      </w:r>
      <w:proofErr w:type="spellEnd"/>
      <w:r w:rsidRPr="00CE233A">
        <w:rPr>
          <w:lang w:val="el-GR"/>
        </w:rPr>
        <w:t>.</w:t>
      </w:r>
      <w:r w:rsidRPr="00CE233A">
        <w:t>v</w:t>
      </w:r>
      <w:r w:rsidRPr="00CE233A">
        <w:rPr>
          <w:lang w:val="el-GR"/>
        </w:rPr>
        <w:t>. έγχυση.</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Η κάθαρση του </w:t>
      </w:r>
      <w:proofErr w:type="spellStart"/>
      <w:r w:rsidRPr="00CE233A">
        <w:t>rHuG</w:t>
      </w:r>
      <w:proofErr w:type="spellEnd"/>
      <w:r w:rsidRPr="00CE233A">
        <w:rPr>
          <w:lang w:val="el-GR"/>
        </w:rPr>
        <w:t>-</w:t>
      </w:r>
      <w:r w:rsidRPr="00CE233A">
        <w:t>CSF</w:t>
      </w:r>
      <w:r w:rsidR="00E610CF" w:rsidRPr="00CE233A">
        <w:rPr>
          <w:lang w:val="el-GR"/>
        </w:rPr>
        <w:t xml:space="preserve"> από</w:t>
      </w:r>
      <w:r w:rsidRPr="00CE233A">
        <w:rPr>
          <w:lang w:val="el-GR"/>
        </w:rPr>
        <w:t xml:space="preserve"> </w:t>
      </w:r>
      <w:r w:rsidR="00E610CF" w:rsidRPr="00CE233A">
        <w:rPr>
          <w:lang w:val="el-GR"/>
        </w:rPr>
        <w:t xml:space="preserve">το πλάσμα </w:t>
      </w:r>
      <w:r w:rsidRPr="00CE233A">
        <w:rPr>
          <w:lang w:val="el-GR"/>
        </w:rPr>
        <w:t>τριπλασιάζεται (από 50 σε 150</w:t>
      </w:r>
      <w:r w:rsidR="001F4EB6" w:rsidRPr="00CE233A">
        <w:rPr>
          <w:lang w:val="el-GR"/>
        </w:rPr>
        <w:t> </w:t>
      </w:r>
      <w:r w:rsidRPr="00CE233A">
        <w:t>ml</w:t>
      </w:r>
      <w:r w:rsidRPr="00CE233A">
        <w:rPr>
          <w:lang w:val="el-GR"/>
        </w:rPr>
        <w:t>/</w:t>
      </w:r>
      <w:r w:rsidRPr="00CE233A">
        <w:t>min</w:t>
      </w:r>
      <w:r w:rsidRPr="00CE233A">
        <w:rPr>
          <w:lang w:val="el-GR"/>
        </w:rPr>
        <w:t>) κατά τη διάρκεια επαναλαμβανόμενων υποδόριων χορηγήσεων. Λιγότερο από το 1% τ</w:t>
      </w:r>
      <w:r w:rsidR="00ED7497" w:rsidRPr="00CE233A">
        <w:rPr>
          <w:lang w:val="el-GR"/>
        </w:rPr>
        <w:t>ης</w:t>
      </w:r>
      <w:r w:rsidRPr="00CE233A">
        <w:rPr>
          <w:lang w:val="el-GR"/>
        </w:rPr>
        <w:t xml:space="preserve"> </w:t>
      </w:r>
      <w:r w:rsidR="006940E2" w:rsidRPr="00CE233A">
        <w:rPr>
          <w:lang w:val="el-GR"/>
        </w:rPr>
        <w:t>λενογραστίμης</w:t>
      </w:r>
      <w:r w:rsidRPr="00CE233A">
        <w:rPr>
          <w:lang w:val="el-GR"/>
        </w:rPr>
        <w:t xml:space="preserve"> απεκκρίνεται αναλλοίωτο με τα ούρα και θεωρείται ότι κυρίως αυτό μεταβολίζεται σε πεπτίδια. Κατά τη διάρκεια πολλαπλής υποδόριας χορήγησης, οι μέγιστες συγκεντρώσεις </w:t>
      </w:r>
      <w:r w:rsidR="009F269D" w:rsidRPr="00CE233A">
        <w:rPr>
          <w:lang w:val="el-GR"/>
        </w:rPr>
        <w:t>λενογραστίμης</w:t>
      </w:r>
      <w:r w:rsidRPr="00CE233A">
        <w:rPr>
          <w:lang w:val="el-GR"/>
        </w:rPr>
        <w:t xml:space="preserve"> στον ορό είναι περίπου 100</w:t>
      </w:r>
      <w:r w:rsidR="001F4EB6" w:rsidRPr="00CE233A">
        <w:rPr>
          <w:lang w:val="el-GR"/>
        </w:rPr>
        <w:t> </w:t>
      </w:r>
      <w:r w:rsidRPr="00CE233A">
        <w:t>pg</w:t>
      </w:r>
      <w:r w:rsidRPr="00CE233A">
        <w:rPr>
          <w:lang w:val="el-GR"/>
        </w:rPr>
        <w:t>/</w:t>
      </w:r>
      <w:r w:rsidRPr="00CE233A">
        <w:t>ml</w:t>
      </w:r>
      <w:r w:rsidRPr="00CE233A">
        <w:rPr>
          <w:lang w:val="el-GR"/>
        </w:rPr>
        <w:t>/</w:t>
      </w:r>
      <w:r w:rsidRPr="00CE233A">
        <w:t>kg</w:t>
      </w:r>
      <w:r w:rsidRPr="00CE233A">
        <w:rPr>
          <w:lang w:val="el-GR"/>
        </w:rPr>
        <w:t xml:space="preserve"> σωματικού βάρους για τη συνιστώμενη δοσολογία. Υπάρχει θετική συσχέτιση μεταξύ χορηγούμενης δόσης και συγκέντρωσης του </w:t>
      </w:r>
      <w:r w:rsidRPr="00CE233A">
        <w:t>GRANOCYTE</w:t>
      </w:r>
      <w:r w:rsidRPr="00CE233A">
        <w:rPr>
          <w:vertAlign w:val="superscript"/>
          <w:lang w:val="el-GR"/>
        </w:rPr>
        <w:t xml:space="preserve"> </w:t>
      </w:r>
      <w:r w:rsidRPr="00CE233A">
        <w:rPr>
          <w:lang w:val="el-GR"/>
        </w:rPr>
        <w:t xml:space="preserve">στον ορό, καθώς και μεταξύ της ανταπόκρισης των ουδετεροφίλων και της συνολικής ποσότητας </w:t>
      </w:r>
      <w:r w:rsidR="00ED7497" w:rsidRPr="00CE233A">
        <w:rPr>
          <w:lang w:val="el-GR"/>
        </w:rPr>
        <w:t>της</w:t>
      </w:r>
      <w:r w:rsidRPr="00CE233A">
        <w:rPr>
          <w:lang w:val="el-GR"/>
        </w:rPr>
        <w:t xml:space="preserve"> </w:t>
      </w:r>
      <w:r w:rsidR="00934770" w:rsidRPr="00CE233A">
        <w:rPr>
          <w:lang w:val="el-GR"/>
        </w:rPr>
        <w:t>λενογραστίμης</w:t>
      </w:r>
      <w:r w:rsidRPr="00CE233A">
        <w:rPr>
          <w:lang w:val="el-GR"/>
        </w:rPr>
        <w:t xml:space="preserve"> που ανευρίσκεται στο πλάσμα.</w:t>
      </w:r>
    </w:p>
    <w:p w:rsidR="001F5608" w:rsidRPr="00CE233A" w:rsidRDefault="001F5608" w:rsidP="00840A76">
      <w:pPr>
        <w:ind w:left="426" w:hanging="426"/>
        <w:rPr>
          <w:lang w:val="el-GR"/>
        </w:rPr>
      </w:pPr>
    </w:p>
    <w:p w:rsidR="001F5608" w:rsidRPr="00CE233A" w:rsidRDefault="001F5608" w:rsidP="00840A76">
      <w:pPr>
        <w:ind w:left="426" w:hanging="426"/>
        <w:rPr>
          <w:b/>
          <w:bCs/>
          <w:lang w:val="el-GR"/>
        </w:rPr>
      </w:pPr>
      <w:r w:rsidRPr="00CE233A">
        <w:rPr>
          <w:b/>
          <w:bCs/>
          <w:lang w:val="el-GR"/>
        </w:rPr>
        <w:lastRenderedPageBreak/>
        <w:t xml:space="preserve">5.3 Προκλινικά </w:t>
      </w:r>
      <w:r w:rsidR="00F35EC5" w:rsidRPr="00CE233A">
        <w:rPr>
          <w:b/>
          <w:bCs/>
          <w:lang w:val="el-GR"/>
        </w:rPr>
        <w:t xml:space="preserve">δεδομένα </w:t>
      </w:r>
      <w:r w:rsidRPr="00CE233A">
        <w:rPr>
          <w:b/>
          <w:bCs/>
          <w:lang w:val="el-GR"/>
        </w:rPr>
        <w:t>για την ασφάλεια</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Σε ζώα, μελέτες οξείας τοξικότητας (σε ποντίκια δόσεις μέχρι 1000</w:t>
      </w:r>
      <w:r w:rsidR="00F6255F" w:rsidRPr="00CE233A">
        <w:rPr>
          <w:lang w:val="el-GR"/>
        </w:rPr>
        <w:t> </w:t>
      </w:r>
      <w:r w:rsidRPr="00CE233A">
        <w:rPr>
          <w:lang w:val="el-GR"/>
        </w:rPr>
        <w:t>μ</w:t>
      </w:r>
      <w:r w:rsidRPr="00CE233A">
        <w:t>g</w:t>
      </w:r>
      <w:r w:rsidRPr="00CE233A">
        <w:rPr>
          <w:lang w:val="el-GR"/>
        </w:rPr>
        <w:t>/</w:t>
      </w:r>
      <w:r w:rsidRPr="00CE233A">
        <w:t>kg</w:t>
      </w:r>
      <w:r w:rsidRPr="00CE233A">
        <w:rPr>
          <w:lang w:val="el-GR"/>
        </w:rPr>
        <w:t>/ημέρα) και υποξείας τοξικότητας (σε πιθήκους δόσεις μέχρι 100</w:t>
      </w:r>
      <w:r w:rsidR="00F6255F" w:rsidRPr="00CE233A">
        <w:rPr>
          <w:lang w:val="el-GR"/>
        </w:rPr>
        <w:t> </w:t>
      </w:r>
      <w:r w:rsidRPr="00CE233A">
        <w:rPr>
          <w:lang w:val="el-GR"/>
        </w:rPr>
        <w:t>μ</w:t>
      </w:r>
      <w:r w:rsidRPr="00CE233A">
        <w:t>g</w:t>
      </w:r>
      <w:r w:rsidRPr="00CE233A">
        <w:rPr>
          <w:lang w:val="el-GR"/>
        </w:rPr>
        <w:t>/</w:t>
      </w:r>
      <w:r w:rsidRPr="00CE233A">
        <w:t>kg</w:t>
      </w:r>
      <w:r w:rsidRPr="00CE233A">
        <w:rPr>
          <w:lang w:val="el-GR"/>
        </w:rPr>
        <w:t>/ημέρα) έδειξαν ότι η επίδραση της υπερδοσολογίας περιοριζόταν σε αρκετά μεγάλη και αναστρέψιμη φαρμακολογική δράση.</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lang w:val="el-GR"/>
        </w:rPr>
        <w:tab/>
        <w:t xml:space="preserve">Από μελέτες σε αρουραίους και κουνέλια δεν υπάρχουν στοιχεία που να δείχνουν ότι το </w:t>
      </w:r>
      <w:r w:rsidRPr="00CE233A">
        <w:t>GRANOCYTE</w:t>
      </w:r>
      <w:r w:rsidRPr="00CE233A">
        <w:rPr>
          <w:vertAlign w:val="superscript"/>
          <w:lang w:val="el-GR"/>
        </w:rPr>
        <w:t xml:space="preserve"> </w:t>
      </w:r>
      <w:r w:rsidRPr="00CE233A">
        <w:rPr>
          <w:lang w:val="el-GR"/>
        </w:rPr>
        <w:t>είναι τερατογόνο. Αυξημένο ποσοστό αποβολής εμβρύων παρατηρήθηκε σε κουνέλια αλλά δεν εντοπίσθηκε δυσμορφία.</w:t>
      </w:r>
    </w:p>
    <w:p w:rsidR="001F5608" w:rsidRPr="00330732" w:rsidRDefault="001F5608" w:rsidP="00307EAE">
      <w:pPr>
        <w:rPr>
          <w:lang w:val="el-GR"/>
        </w:rPr>
      </w:pPr>
    </w:p>
    <w:p w:rsidR="00407FF4" w:rsidRPr="00330732" w:rsidRDefault="00407FF4" w:rsidP="00307EAE">
      <w:pPr>
        <w:rPr>
          <w:lang w:val="el-GR"/>
        </w:rPr>
      </w:pPr>
    </w:p>
    <w:p w:rsidR="001F5608" w:rsidRPr="00CE233A" w:rsidRDefault="001F5608" w:rsidP="00840A76">
      <w:pPr>
        <w:ind w:left="426" w:hanging="426"/>
        <w:rPr>
          <w:b/>
          <w:caps/>
          <w:lang w:val="el-GR"/>
        </w:rPr>
      </w:pPr>
      <w:r w:rsidRPr="00CE233A">
        <w:rPr>
          <w:b/>
          <w:caps/>
          <w:lang w:val="el-GR"/>
        </w:rPr>
        <w:t>6.</w:t>
      </w:r>
      <w:r w:rsidRPr="00CE233A">
        <w:rPr>
          <w:b/>
          <w:caps/>
          <w:lang w:val="el-GR"/>
        </w:rPr>
        <w:tab/>
      </w:r>
      <w:r w:rsidR="008F7A37" w:rsidRPr="00CE233A">
        <w:rPr>
          <w:b/>
          <w:caps/>
          <w:lang w:val="el-GR"/>
        </w:rPr>
        <w:t>ΦΑΡΜΑΚΕΥΤΙΚΕΣ ΠΛΗΡΟΦΟΡΙΕΣ</w:t>
      </w:r>
    </w:p>
    <w:p w:rsidR="001F5608" w:rsidRPr="00CE233A" w:rsidRDefault="001F5608" w:rsidP="00840A76">
      <w:pPr>
        <w:ind w:left="426" w:hanging="426"/>
        <w:rPr>
          <w:lang w:val="el-GR"/>
        </w:rPr>
      </w:pPr>
    </w:p>
    <w:p w:rsidR="001F5608" w:rsidRPr="00CE233A" w:rsidRDefault="001F5608" w:rsidP="00840A76">
      <w:pPr>
        <w:numPr>
          <w:ilvl w:val="1"/>
          <w:numId w:val="16"/>
        </w:numPr>
        <w:rPr>
          <w:b/>
          <w:lang w:val="el-GR"/>
        </w:rPr>
      </w:pPr>
      <w:r w:rsidRPr="00CE233A">
        <w:rPr>
          <w:b/>
          <w:lang w:val="el-GR"/>
        </w:rPr>
        <w:t>Κατάλογος εκδόχων</w:t>
      </w:r>
    </w:p>
    <w:p w:rsidR="001F5608" w:rsidRPr="00CE233A" w:rsidRDefault="001F5608" w:rsidP="00840A76">
      <w:pPr>
        <w:rPr>
          <w:lang w:val="el-GR"/>
        </w:rPr>
      </w:pPr>
    </w:p>
    <w:p w:rsidR="001F5608" w:rsidRPr="00CE233A" w:rsidRDefault="001F5608" w:rsidP="00840A76">
      <w:pPr>
        <w:ind w:left="420"/>
        <w:rPr>
          <w:bCs/>
          <w:i/>
          <w:iCs/>
          <w:lang w:val="el-GR"/>
        </w:rPr>
      </w:pPr>
      <w:r w:rsidRPr="00CE233A">
        <w:rPr>
          <w:bCs/>
          <w:i/>
          <w:iCs/>
          <w:lang w:val="el-GR"/>
        </w:rPr>
        <w:t>Κόνις</w:t>
      </w:r>
    </w:p>
    <w:p w:rsidR="001F5608" w:rsidRPr="00CE233A" w:rsidRDefault="001F5608" w:rsidP="00840A76">
      <w:pPr>
        <w:ind w:left="426" w:firstLine="24"/>
        <w:rPr>
          <w:lang w:val="el-GR"/>
        </w:rPr>
      </w:pPr>
      <w:r w:rsidRPr="00CE233A">
        <w:rPr>
          <w:lang w:val="el-GR"/>
        </w:rPr>
        <w:t>Αργινίνη</w:t>
      </w:r>
    </w:p>
    <w:p w:rsidR="001F5608" w:rsidRPr="00CE233A" w:rsidRDefault="001F5608" w:rsidP="00840A76">
      <w:pPr>
        <w:ind w:left="426" w:firstLine="24"/>
        <w:rPr>
          <w:lang w:val="el-GR"/>
        </w:rPr>
      </w:pPr>
      <w:r w:rsidRPr="00CE233A">
        <w:rPr>
          <w:lang w:val="el-GR"/>
        </w:rPr>
        <w:t>Φαινυλαλανίνη</w:t>
      </w:r>
    </w:p>
    <w:p w:rsidR="001F5608" w:rsidRPr="00CE233A" w:rsidRDefault="001F5608" w:rsidP="00840A76">
      <w:pPr>
        <w:ind w:left="426" w:firstLine="24"/>
        <w:rPr>
          <w:lang w:val="el-GR"/>
        </w:rPr>
      </w:pPr>
      <w:r w:rsidRPr="00CE233A">
        <w:rPr>
          <w:lang w:val="el-GR"/>
        </w:rPr>
        <w:t>Μεθειονίνη</w:t>
      </w:r>
    </w:p>
    <w:p w:rsidR="001F5608" w:rsidRPr="00CE233A" w:rsidRDefault="001F5608" w:rsidP="00840A76">
      <w:pPr>
        <w:ind w:left="426" w:firstLine="24"/>
        <w:rPr>
          <w:lang w:val="el-GR"/>
        </w:rPr>
      </w:pPr>
      <w:r w:rsidRPr="00CE233A">
        <w:rPr>
          <w:lang w:val="el-GR"/>
        </w:rPr>
        <w:t xml:space="preserve">Μαννιτόλη </w:t>
      </w:r>
      <w:r w:rsidR="00FA7DFD" w:rsidRPr="00CE233A">
        <w:rPr>
          <w:lang w:val="el-GR"/>
        </w:rPr>
        <w:t>(Ε421)</w:t>
      </w:r>
    </w:p>
    <w:p w:rsidR="001F5608" w:rsidRPr="00CE233A" w:rsidRDefault="001F5608" w:rsidP="00840A76">
      <w:pPr>
        <w:ind w:left="426" w:firstLine="24"/>
        <w:rPr>
          <w:lang w:val="el-GR"/>
        </w:rPr>
      </w:pPr>
      <w:r w:rsidRPr="00CE233A">
        <w:rPr>
          <w:lang w:val="el-GR"/>
        </w:rPr>
        <w:t>Πολυσορβικό 20</w:t>
      </w:r>
    </w:p>
    <w:p w:rsidR="001F5608" w:rsidRPr="00CE233A" w:rsidRDefault="001F5608" w:rsidP="00840A76">
      <w:pPr>
        <w:ind w:left="426"/>
        <w:rPr>
          <w:lang w:val="el-GR"/>
        </w:rPr>
      </w:pPr>
      <w:r w:rsidRPr="00CE233A">
        <w:rPr>
          <w:lang w:val="el-GR"/>
        </w:rPr>
        <w:t>Αραιό υδροχλωρικό οξύ</w:t>
      </w:r>
      <w:r w:rsidR="00FA7DFD" w:rsidRPr="00CE233A">
        <w:rPr>
          <w:lang w:val="el-GR"/>
        </w:rPr>
        <w:t xml:space="preserve"> (</w:t>
      </w:r>
      <w:r w:rsidR="003821B4" w:rsidRPr="00CE233A">
        <w:rPr>
          <w:lang w:val="el-GR"/>
        </w:rPr>
        <w:t>γ</w:t>
      </w:r>
      <w:r w:rsidR="00FA7DFD" w:rsidRPr="00CE233A">
        <w:rPr>
          <w:lang w:val="el-GR"/>
        </w:rPr>
        <w:t xml:space="preserve">ια </w:t>
      </w:r>
      <w:r w:rsidR="00F2663D" w:rsidRPr="00CE233A">
        <w:rPr>
          <w:lang w:val="el-GR"/>
        </w:rPr>
        <w:t xml:space="preserve">την </w:t>
      </w:r>
      <w:r w:rsidR="00FA7DFD" w:rsidRPr="00CE233A">
        <w:rPr>
          <w:lang w:val="el-GR"/>
        </w:rPr>
        <w:t xml:space="preserve">ρύθμιση του </w:t>
      </w:r>
      <w:r w:rsidR="00FA7DFD" w:rsidRPr="00CE233A">
        <w:t>pH</w:t>
      </w:r>
      <w:r w:rsidR="00FA7DFD" w:rsidRPr="00CE233A">
        <w:rPr>
          <w:lang w:val="el-GR"/>
        </w:rPr>
        <w:t>)</w:t>
      </w:r>
    </w:p>
    <w:p w:rsidR="001F5608" w:rsidRPr="00CE233A" w:rsidRDefault="001F5608" w:rsidP="00840A76">
      <w:pPr>
        <w:ind w:left="426"/>
        <w:rPr>
          <w:lang w:val="el-GR"/>
        </w:rPr>
      </w:pPr>
    </w:p>
    <w:p w:rsidR="001F5608" w:rsidRPr="00CE233A" w:rsidRDefault="001F5608" w:rsidP="00840A76">
      <w:pPr>
        <w:ind w:left="426"/>
        <w:rPr>
          <w:bCs/>
          <w:i/>
          <w:iCs/>
          <w:lang w:val="el-GR"/>
        </w:rPr>
      </w:pPr>
      <w:r w:rsidRPr="00CE233A">
        <w:rPr>
          <w:bCs/>
          <w:i/>
          <w:iCs/>
          <w:lang w:val="el-GR"/>
        </w:rPr>
        <w:t>Διαλύτης</w:t>
      </w:r>
    </w:p>
    <w:p w:rsidR="001F5608" w:rsidRPr="00CE233A" w:rsidRDefault="001F5608" w:rsidP="00840A76">
      <w:pPr>
        <w:ind w:left="426"/>
        <w:rPr>
          <w:lang w:val="el-GR"/>
        </w:rPr>
      </w:pPr>
      <w:r w:rsidRPr="00CE233A">
        <w:rPr>
          <w:lang w:val="el-GR"/>
        </w:rPr>
        <w:t>Ύδωρ για ενέσιμα</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b/>
          <w:lang w:val="el-GR"/>
        </w:rPr>
        <w:t xml:space="preserve">6.2 </w:t>
      </w:r>
      <w:r w:rsidRPr="00CE233A">
        <w:rPr>
          <w:b/>
          <w:lang w:val="el-GR"/>
        </w:rPr>
        <w:tab/>
        <w:t>Ασυμβατότητες</w:t>
      </w:r>
    </w:p>
    <w:p w:rsidR="005C0796" w:rsidRPr="00CE233A" w:rsidRDefault="001F5608" w:rsidP="003821B4">
      <w:pPr>
        <w:ind w:left="426" w:hanging="426"/>
        <w:jc w:val="both"/>
        <w:rPr>
          <w:lang w:val="el-GR"/>
        </w:rPr>
      </w:pPr>
      <w:r w:rsidRPr="00CE233A">
        <w:rPr>
          <w:lang w:val="el-GR"/>
        </w:rPr>
        <w:tab/>
      </w:r>
    </w:p>
    <w:p w:rsidR="001F5608" w:rsidRPr="00CE233A" w:rsidRDefault="005C0796" w:rsidP="00840A76">
      <w:pPr>
        <w:ind w:left="426"/>
        <w:rPr>
          <w:lang w:val="el-GR"/>
        </w:rPr>
      </w:pPr>
      <w:r w:rsidRPr="00CE233A">
        <w:rPr>
          <w:lang w:val="el-GR"/>
        </w:rPr>
        <w:t>Το φαρμακευτικό αυτό προϊόν δεν πρέπει να αναμιχθεί με άλλα φαρμακευτικά προϊόντα, εκτός από εκείνα που αναφέρονται στ</w:t>
      </w:r>
      <w:r w:rsidR="00BB2BE0" w:rsidRPr="00CE233A">
        <w:rPr>
          <w:lang w:val="el-GR"/>
        </w:rPr>
        <w:t>ην</w:t>
      </w:r>
      <w:r w:rsidRPr="00CE233A">
        <w:rPr>
          <w:lang w:val="el-GR"/>
        </w:rPr>
        <w:t xml:space="preserve"> </w:t>
      </w:r>
      <w:r w:rsidR="00BB2BE0" w:rsidRPr="00CE233A">
        <w:rPr>
          <w:lang w:val="el-GR"/>
        </w:rPr>
        <w:t>παράγραφο</w:t>
      </w:r>
      <w:r w:rsidRPr="00CE233A">
        <w:rPr>
          <w:lang w:val="el-GR"/>
        </w:rPr>
        <w:t xml:space="preserve"> 6.6.</w:t>
      </w:r>
    </w:p>
    <w:p w:rsidR="001F5608" w:rsidRPr="00CE233A" w:rsidRDefault="001F5608" w:rsidP="00840A76">
      <w:pPr>
        <w:ind w:left="426" w:hanging="426"/>
        <w:rPr>
          <w:lang w:val="el-GR"/>
        </w:rPr>
      </w:pPr>
    </w:p>
    <w:p w:rsidR="001F5608" w:rsidRPr="00CE233A" w:rsidRDefault="001F5608" w:rsidP="00840A76">
      <w:pPr>
        <w:ind w:left="426" w:hanging="426"/>
        <w:rPr>
          <w:lang w:val="el-GR"/>
        </w:rPr>
      </w:pPr>
      <w:r w:rsidRPr="00CE233A">
        <w:rPr>
          <w:b/>
          <w:lang w:val="el-GR"/>
        </w:rPr>
        <w:t xml:space="preserve">6.3 </w:t>
      </w:r>
      <w:r w:rsidRPr="00CE233A">
        <w:rPr>
          <w:b/>
          <w:lang w:val="el-GR"/>
        </w:rPr>
        <w:tab/>
        <w:t>Διάρκεια ζωής</w:t>
      </w:r>
    </w:p>
    <w:p w:rsidR="001F5608" w:rsidRPr="00CE233A" w:rsidRDefault="001F5608" w:rsidP="00840A76">
      <w:pPr>
        <w:ind w:left="426" w:hanging="426"/>
        <w:rPr>
          <w:lang w:val="el-GR"/>
        </w:rPr>
      </w:pPr>
    </w:p>
    <w:p w:rsidR="001F5608" w:rsidRPr="00CE233A" w:rsidRDefault="001F5608" w:rsidP="00840A76">
      <w:pPr>
        <w:ind w:left="426" w:hanging="426"/>
        <w:rPr>
          <w:bCs/>
          <w:lang w:val="el-GR"/>
        </w:rPr>
      </w:pPr>
      <w:r w:rsidRPr="00CE233A">
        <w:rPr>
          <w:bCs/>
          <w:lang w:val="el-GR"/>
        </w:rPr>
        <w:tab/>
        <w:t>2 χρόνια.</w:t>
      </w:r>
    </w:p>
    <w:p w:rsidR="001F5608" w:rsidRPr="00CE233A" w:rsidRDefault="001F5608" w:rsidP="00840A76">
      <w:pPr>
        <w:ind w:left="426" w:hanging="426"/>
        <w:rPr>
          <w:bCs/>
          <w:lang w:val="el-GR"/>
        </w:rPr>
      </w:pPr>
    </w:p>
    <w:p w:rsidR="001F5608" w:rsidRPr="00CE233A" w:rsidRDefault="001F5608" w:rsidP="00840A76">
      <w:pPr>
        <w:ind w:left="426" w:hanging="426"/>
        <w:rPr>
          <w:bCs/>
          <w:lang w:val="el-GR"/>
        </w:rPr>
      </w:pPr>
      <w:r w:rsidRPr="00CE233A">
        <w:rPr>
          <w:bCs/>
          <w:lang w:val="el-GR"/>
        </w:rPr>
        <w:tab/>
        <w:t>Μετά την ανασύσταση ή αραίωση συνιστάται η άμεση χρήση.</w:t>
      </w:r>
    </w:p>
    <w:p w:rsidR="00934770" w:rsidRPr="00CE233A" w:rsidRDefault="001F5608" w:rsidP="00840A76">
      <w:pPr>
        <w:ind w:left="426" w:hanging="426"/>
        <w:rPr>
          <w:bCs/>
          <w:lang w:val="el-GR"/>
        </w:rPr>
      </w:pPr>
      <w:r w:rsidRPr="00CE233A">
        <w:rPr>
          <w:bCs/>
          <w:lang w:val="el-GR"/>
        </w:rPr>
        <w:tab/>
      </w:r>
    </w:p>
    <w:p w:rsidR="001F5608" w:rsidRPr="00BA4AA5" w:rsidRDefault="001F5608" w:rsidP="00934770">
      <w:pPr>
        <w:ind w:left="426"/>
        <w:rPr>
          <w:bCs/>
          <w:lang w:val="el-GR"/>
        </w:rPr>
      </w:pPr>
      <w:r w:rsidRPr="00CE233A">
        <w:rPr>
          <w:bCs/>
          <w:lang w:val="el-GR"/>
        </w:rPr>
        <w:t xml:space="preserve">Ωστόσο, σταθερότητα κατά τη χρήση </w:t>
      </w:r>
      <w:r w:rsidR="00934770" w:rsidRPr="00CE233A">
        <w:rPr>
          <w:bCs/>
          <w:lang w:val="el-GR"/>
        </w:rPr>
        <w:t xml:space="preserve">του ανασυσταμένου/αραιωμένου φαρμακευτικού προϊόντος </w:t>
      </w:r>
      <w:r w:rsidRPr="00CE233A">
        <w:rPr>
          <w:bCs/>
          <w:lang w:val="el-GR"/>
        </w:rPr>
        <w:t xml:space="preserve">αποδείχθηκε για 24 ώρες </w:t>
      </w:r>
      <w:r w:rsidR="00934770" w:rsidRPr="00CE233A">
        <w:rPr>
          <w:bCs/>
          <w:lang w:val="el-GR"/>
        </w:rPr>
        <w:t xml:space="preserve">στους </w:t>
      </w:r>
      <w:r w:rsidRPr="00CE233A">
        <w:rPr>
          <w:lang w:val="el-GR"/>
        </w:rPr>
        <w:t xml:space="preserve">+2 </w:t>
      </w:r>
      <w:r w:rsidR="00E0012F" w:rsidRPr="00CE233A">
        <w:rPr>
          <w:lang w:val="el-GR"/>
        </w:rPr>
        <w:t>°</w:t>
      </w:r>
      <w:r w:rsidRPr="00CE233A">
        <w:t>C</w:t>
      </w:r>
      <w:r w:rsidRPr="00CE233A">
        <w:rPr>
          <w:lang w:val="el-GR"/>
        </w:rPr>
        <w:t xml:space="preserve"> </w:t>
      </w:r>
      <w:r w:rsidRPr="00CE233A">
        <w:rPr>
          <w:b/>
          <w:lang w:val="el-GR"/>
        </w:rPr>
        <w:t>-</w:t>
      </w:r>
      <w:r w:rsidRPr="00CE233A">
        <w:rPr>
          <w:lang w:val="el-GR"/>
        </w:rPr>
        <w:t xml:space="preserve"> +8</w:t>
      </w:r>
      <w:r w:rsidR="00BB2BE0" w:rsidRPr="00CE233A">
        <w:t> </w:t>
      </w:r>
      <w:r w:rsidR="00BB2BE0" w:rsidRPr="00CE233A">
        <w:rPr>
          <w:lang w:val="el-GR"/>
        </w:rPr>
        <w:t>°</w:t>
      </w:r>
      <w:r w:rsidR="00BB2BE0" w:rsidRPr="00CE233A">
        <w:t>C</w:t>
      </w:r>
      <w:r w:rsidRPr="00CE233A">
        <w:rPr>
          <w:lang w:val="el-GR"/>
        </w:rPr>
        <w:t xml:space="preserve"> (στο ψυγείο).</w:t>
      </w:r>
    </w:p>
    <w:p w:rsidR="001F5608" w:rsidRPr="00CE233A" w:rsidRDefault="001F5608" w:rsidP="003D7891">
      <w:pPr>
        <w:rPr>
          <w:b/>
          <w:lang w:val="el-GR"/>
        </w:rPr>
      </w:pPr>
    </w:p>
    <w:p w:rsidR="001F5608" w:rsidRPr="00CE233A" w:rsidRDefault="001F5608" w:rsidP="00840A76">
      <w:pPr>
        <w:ind w:left="426" w:hanging="426"/>
        <w:rPr>
          <w:b/>
          <w:lang w:val="el-GR"/>
        </w:rPr>
      </w:pPr>
      <w:r w:rsidRPr="00CE233A">
        <w:rPr>
          <w:b/>
          <w:lang w:val="el-GR"/>
        </w:rPr>
        <w:t>6.4</w:t>
      </w:r>
      <w:r w:rsidRPr="00CE233A">
        <w:rPr>
          <w:b/>
          <w:lang w:val="el-GR"/>
        </w:rPr>
        <w:tab/>
      </w:r>
      <w:r w:rsidR="005F5443" w:rsidRPr="00CE233A">
        <w:rPr>
          <w:b/>
          <w:lang w:val="el-GR"/>
        </w:rPr>
        <w:t xml:space="preserve">Ιδιαίτερες </w:t>
      </w:r>
      <w:r w:rsidRPr="00CE233A">
        <w:rPr>
          <w:b/>
          <w:lang w:val="el-GR"/>
        </w:rPr>
        <w:t>προφυλάξεις κατά τη φύλαξη του προϊόντος</w:t>
      </w:r>
    </w:p>
    <w:p w:rsidR="001F5608" w:rsidRPr="00CE233A" w:rsidRDefault="001F5608" w:rsidP="00840A76">
      <w:pPr>
        <w:ind w:left="426" w:hanging="426"/>
        <w:rPr>
          <w:lang w:val="el-GR"/>
        </w:rPr>
      </w:pPr>
      <w:r w:rsidRPr="00CE233A">
        <w:rPr>
          <w:b/>
          <w:lang w:val="el-GR"/>
        </w:rPr>
        <w:tab/>
      </w:r>
    </w:p>
    <w:p w:rsidR="001F5608" w:rsidRPr="00CE233A" w:rsidRDefault="006743D6" w:rsidP="00641E89">
      <w:pPr>
        <w:ind w:firstLine="360"/>
        <w:rPr>
          <w:lang w:val="el-GR"/>
        </w:rPr>
      </w:pPr>
      <w:r w:rsidRPr="00CE233A">
        <w:rPr>
          <w:lang w:val="el-GR"/>
        </w:rPr>
        <w:t>Να μ</w:t>
      </w:r>
      <w:r w:rsidR="00FE5603" w:rsidRPr="00CE233A">
        <w:rPr>
          <w:lang w:val="el-GR"/>
        </w:rPr>
        <w:t>η</w:t>
      </w:r>
      <w:r w:rsidR="001F5608" w:rsidRPr="00CE233A">
        <w:rPr>
          <w:lang w:val="el-GR"/>
        </w:rPr>
        <w:t xml:space="preserve"> </w:t>
      </w:r>
      <w:r w:rsidR="00FE5603" w:rsidRPr="00CE233A">
        <w:rPr>
          <w:lang w:val="el-GR"/>
        </w:rPr>
        <w:t>φυλάσσετ</w:t>
      </w:r>
      <w:r w:rsidRPr="00CE233A">
        <w:rPr>
          <w:lang w:val="el-GR"/>
        </w:rPr>
        <w:t>αι</w:t>
      </w:r>
      <w:r w:rsidR="00FE5603" w:rsidRPr="00CE233A">
        <w:rPr>
          <w:lang w:val="el-GR"/>
        </w:rPr>
        <w:t xml:space="preserve"> σε θερμοκρασία μεγαλύτερη των </w:t>
      </w:r>
      <w:r w:rsidR="001F5608" w:rsidRPr="00CE233A">
        <w:rPr>
          <w:lang w:val="el-GR"/>
        </w:rPr>
        <w:t xml:space="preserve">30 </w:t>
      </w:r>
      <w:r w:rsidR="00E0012F" w:rsidRPr="00CE233A">
        <w:rPr>
          <w:lang w:val="el-GR"/>
        </w:rPr>
        <w:t>°</w:t>
      </w:r>
      <w:r w:rsidR="001F5608" w:rsidRPr="00CE233A">
        <w:t>C</w:t>
      </w:r>
      <w:r w:rsidR="001F5608" w:rsidRPr="00CE233A">
        <w:rPr>
          <w:lang w:val="el-GR"/>
        </w:rPr>
        <w:t>.</w:t>
      </w:r>
    </w:p>
    <w:p w:rsidR="001F5608" w:rsidRPr="00CE233A" w:rsidRDefault="006743D6" w:rsidP="00641E89">
      <w:pPr>
        <w:ind w:left="360"/>
        <w:rPr>
          <w:lang w:val="el-GR"/>
        </w:rPr>
      </w:pPr>
      <w:r w:rsidRPr="00CE233A">
        <w:rPr>
          <w:lang w:val="el-GR"/>
        </w:rPr>
        <w:t>Να μ</w:t>
      </w:r>
      <w:r w:rsidR="001F5608" w:rsidRPr="00CE233A">
        <w:rPr>
          <w:lang w:val="el-GR"/>
        </w:rPr>
        <w:t xml:space="preserve">ην </w:t>
      </w:r>
      <w:r w:rsidRPr="00CE233A">
        <w:rPr>
          <w:lang w:val="el-GR"/>
        </w:rPr>
        <w:t>καταψύχεται</w:t>
      </w:r>
      <w:r w:rsidR="001F5608" w:rsidRPr="00CE233A">
        <w:rPr>
          <w:lang w:val="el-GR"/>
        </w:rPr>
        <w:t>.</w:t>
      </w:r>
    </w:p>
    <w:p w:rsidR="001F5608" w:rsidRPr="00CE233A" w:rsidRDefault="008449B2" w:rsidP="00641E89">
      <w:pPr>
        <w:ind w:left="360"/>
        <w:rPr>
          <w:lang w:val="el-GR"/>
        </w:rPr>
      </w:pPr>
      <w:r w:rsidRPr="00CE233A">
        <w:rPr>
          <w:lang w:val="el-GR"/>
        </w:rPr>
        <w:lastRenderedPageBreak/>
        <w:t xml:space="preserve">Για τις συνθήκες φύλαξης </w:t>
      </w:r>
      <w:r w:rsidR="00CB4EF5" w:rsidRPr="00CE233A">
        <w:rPr>
          <w:lang w:val="el-GR"/>
        </w:rPr>
        <w:t xml:space="preserve">του ανασυσταμένου/αραιωμένου φαρμακευτικού προϊόντος, </w:t>
      </w:r>
      <w:r w:rsidRPr="00CE233A">
        <w:rPr>
          <w:lang w:val="el-GR"/>
        </w:rPr>
        <w:t xml:space="preserve">βλ. </w:t>
      </w:r>
      <w:r w:rsidR="005F5443" w:rsidRPr="00CE233A">
        <w:rPr>
          <w:lang w:val="el-GR"/>
        </w:rPr>
        <w:t xml:space="preserve">παράγραφο </w:t>
      </w:r>
      <w:r w:rsidRPr="00CE233A">
        <w:rPr>
          <w:lang w:val="el-GR"/>
        </w:rPr>
        <w:t>6.3.</w:t>
      </w:r>
    </w:p>
    <w:p w:rsidR="001F5608" w:rsidRPr="00CE233A" w:rsidRDefault="001F5608" w:rsidP="005618FA">
      <w:pPr>
        <w:rPr>
          <w:lang w:val="el-GR"/>
        </w:rPr>
      </w:pPr>
    </w:p>
    <w:p w:rsidR="001F5608" w:rsidRPr="00CE233A" w:rsidRDefault="001F5608" w:rsidP="00840A76">
      <w:pPr>
        <w:ind w:left="426" w:hanging="426"/>
        <w:rPr>
          <w:b/>
          <w:lang w:val="el-GR"/>
        </w:rPr>
      </w:pPr>
      <w:r w:rsidRPr="00CE233A">
        <w:rPr>
          <w:b/>
          <w:lang w:val="el-GR"/>
        </w:rPr>
        <w:t>6.5</w:t>
      </w:r>
      <w:r w:rsidRPr="00CE233A">
        <w:rPr>
          <w:b/>
          <w:lang w:val="el-GR"/>
        </w:rPr>
        <w:tab/>
        <w:t>Φύση και συστατικά του περιέκτη</w:t>
      </w:r>
    </w:p>
    <w:p w:rsidR="001F5608" w:rsidRPr="00CE233A" w:rsidRDefault="001F5608" w:rsidP="00840A76">
      <w:pPr>
        <w:ind w:left="426"/>
        <w:rPr>
          <w:lang w:val="el-GR"/>
        </w:rPr>
      </w:pPr>
      <w:r w:rsidRPr="00CE233A">
        <w:rPr>
          <w:lang w:val="el-GR"/>
        </w:rPr>
        <w:tab/>
      </w:r>
    </w:p>
    <w:p w:rsidR="001F5608" w:rsidRPr="00CE233A" w:rsidRDefault="001F5608" w:rsidP="00AA10CD">
      <w:pPr>
        <w:ind w:left="360"/>
        <w:rPr>
          <w:lang w:val="el-GR"/>
        </w:rPr>
      </w:pPr>
      <w:r w:rsidRPr="00CE233A">
        <w:rPr>
          <w:lang w:val="el-GR"/>
        </w:rPr>
        <w:t>105</w:t>
      </w:r>
      <w:r w:rsidR="00337ACC" w:rsidRPr="00CE233A">
        <w:rPr>
          <w:lang w:val="el-GR"/>
        </w:rPr>
        <w:t> </w:t>
      </w:r>
      <w:r w:rsidRPr="00CE233A">
        <w:rPr>
          <w:lang w:val="el-GR"/>
        </w:rPr>
        <w:t>μ</w:t>
      </w:r>
      <w:r w:rsidRPr="00CE233A">
        <w:t>g</w:t>
      </w:r>
      <w:r w:rsidRPr="00CE233A">
        <w:rPr>
          <w:lang w:val="el-GR"/>
        </w:rPr>
        <w:t xml:space="preserve"> σκόνης σε φιαλίδιο (γυαλί τύπου Ι) με ελαστικό πώμα εισχώρησης (ελαστικό από βουτύλιο τύπου Ι)</w:t>
      </w:r>
      <w:r w:rsidR="008449B2" w:rsidRPr="00CE233A">
        <w:rPr>
          <w:lang w:val="el-GR"/>
        </w:rPr>
        <w:t xml:space="preserve"> </w:t>
      </w:r>
      <w:r w:rsidRPr="00CE233A">
        <w:rPr>
          <w:lang w:val="el-GR"/>
        </w:rPr>
        <w:t>+ 1</w:t>
      </w:r>
      <w:r w:rsidR="00337ACC" w:rsidRPr="00CE233A">
        <w:rPr>
          <w:lang w:val="el-GR"/>
        </w:rPr>
        <w:t> </w:t>
      </w:r>
      <w:r w:rsidRPr="00CE233A">
        <w:t>ml</w:t>
      </w:r>
      <w:r w:rsidRPr="00CE233A">
        <w:rPr>
          <w:lang w:val="el-GR"/>
        </w:rPr>
        <w:t xml:space="preserve"> διαλύτη σε προγεμισμένη σύριγγα (γυαλί τύπου Ι)</w:t>
      </w:r>
      <w:r w:rsidR="00183649" w:rsidRPr="00CE233A">
        <w:rPr>
          <w:lang w:val="el-GR"/>
        </w:rPr>
        <w:t xml:space="preserve"> με ακραίο πώμα</w:t>
      </w:r>
      <w:r w:rsidR="00F06479" w:rsidRPr="00CE233A">
        <w:rPr>
          <w:lang w:val="el-GR"/>
        </w:rPr>
        <w:t>[</w:t>
      </w:r>
      <w:r w:rsidR="00183649" w:rsidRPr="00CE233A">
        <w:rPr>
          <w:lang w:val="el-GR"/>
        </w:rPr>
        <w:t>που περιέχει ελαστικό κόμμι (λάτεξ)</w:t>
      </w:r>
      <w:r w:rsidR="00F06479" w:rsidRPr="00CE233A">
        <w:rPr>
          <w:lang w:val="el-GR"/>
        </w:rPr>
        <w:t>]</w:t>
      </w:r>
      <w:r w:rsidR="00876AA1" w:rsidRPr="00CE233A">
        <w:rPr>
          <w:lang w:val="el-GR"/>
        </w:rPr>
        <w:t xml:space="preserve"> </w:t>
      </w:r>
      <w:r w:rsidRPr="00CE233A">
        <w:rPr>
          <w:lang w:val="el-GR"/>
        </w:rPr>
        <w:t>+ 2 βελόνες</w:t>
      </w:r>
      <w:r w:rsidR="00656AF6" w:rsidRPr="00CE233A">
        <w:rPr>
          <w:lang w:val="el-GR"/>
        </w:rPr>
        <w:t xml:space="preserve"> (19</w:t>
      </w:r>
      <w:r w:rsidR="00656AF6" w:rsidRPr="00CE233A">
        <w:t>G</w:t>
      </w:r>
      <w:r w:rsidR="00656AF6" w:rsidRPr="00CE233A">
        <w:rPr>
          <w:lang w:val="el-GR"/>
        </w:rPr>
        <w:t xml:space="preserve"> και 26</w:t>
      </w:r>
      <w:r w:rsidR="00656AF6" w:rsidRPr="00CE233A">
        <w:t>G</w:t>
      </w:r>
      <w:r w:rsidR="00656AF6" w:rsidRPr="00CE233A">
        <w:rPr>
          <w:lang w:val="el-GR"/>
        </w:rPr>
        <w:t xml:space="preserve">)· συσκευασίες του </w:t>
      </w:r>
      <w:r w:rsidR="001300A8" w:rsidRPr="00CE233A">
        <w:rPr>
          <w:lang w:val="el-GR"/>
        </w:rPr>
        <w:t xml:space="preserve">1 </w:t>
      </w:r>
      <w:r w:rsidR="00656AF6" w:rsidRPr="00CE233A">
        <w:rPr>
          <w:lang w:val="el-GR"/>
        </w:rPr>
        <w:t>ή των 5.</w:t>
      </w:r>
    </w:p>
    <w:p w:rsidR="008449B2" w:rsidRPr="00CE233A" w:rsidRDefault="008449B2" w:rsidP="00614783">
      <w:pPr>
        <w:rPr>
          <w:lang w:val="el-GR"/>
        </w:rPr>
      </w:pPr>
    </w:p>
    <w:p w:rsidR="001F5608" w:rsidRPr="00CE233A" w:rsidRDefault="001F5608" w:rsidP="005618FA">
      <w:pPr>
        <w:ind w:left="426" w:hanging="426"/>
        <w:rPr>
          <w:lang w:val="el-GR"/>
        </w:rPr>
      </w:pPr>
      <w:r w:rsidRPr="00CE233A">
        <w:rPr>
          <w:lang w:val="el-GR"/>
        </w:rPr>
        <w:tab/>
        <w:t>Μπορεί να μην κυκλοφορούν όλες οι συσκευασίες.</w:t>
      </w:r>
    </w:p>
    <w:p w:rsidR="001F5608" w:rsidRPr="00CE233A" w:rsidRDefault="001F5608" w:rsidP="00840A76">
      <w:pPr>
        <w:ind w:left="426" w:hanging="426"/>
        <w:rPr>
          <w:lang w:val="el-GR"/>
        </w:rPr>
      </w:pPr>
    </w:p>
    <w:p w:rsidR="001F5608" w:rsidRPr="00CE233A" w:rsidRDefault="001F5608" w:rsidP="00840A76">
      <w:pPr>
        <w:ind w:left="426" w:hanging="426"/>
        <w:rPr>
          <w:b/>
          <w:lang w:val="el-GR"/>
        </w:rPr>
      </w:pPr>
      <w:r w:rsidRPr="00CE233A">
        <w:rPr>
          <w:b/>
          <w:lang w:val="el-GR"/>
        </w:rPr>
        <w:t>6.6</w:t>
      </w:r>
      <w:r w:rsidRPr="00CE233A">
        <w:rPr>
          <w:b/>
          <w:lang w:val="el-GR"/>
        </w:rPr>
        <w:tab/>
      </w:r>
      <w:r w:rsidR="00B24130" w:rsidRPr="00CE233A">
        <w:rPr>
          <w:b/>
          <w:lang w:val="el-GR"/>
        </w:rPr>
        <w:t>Ιδιαίτερες προφυλάξεις απόρριψης και άλλος χειρισμός</w:t>
      </w:r>
    </w:p>
    <w:p w:rsidR="001F5608" w:rsidRPr="00CE233A" w:rsidRDefault="001F5608" w:rsidP="00840A76">
      <w:pPr>
        <w:ind w:left="426" w:hanging="426"/>
        <w:rPr>
          <w:lang w:val="el-GR"/>
        </w:rPr>
      </w:pPr>
    </w:p>
    <w:p w:rsidR="00656AF6" w:rsidRPr="00CE233A" w:rsidRDefault="00656AF6" w:rsidP="00656AF6">
      <w:pPr>
        <w:ind w:left="360"/>
        <w:rPr>
          <w:lang w:val="el-GR"/>
        </w:rPr>
      </w:pPr>
      <w:bookmarkStart w:id="0" w:name="OLE_LINK1"/>
      <w:r w:rsidRPr="00CE233A">
        <w:rPr>
          <w:lang w:val="el-GR"/>
        </w:rPr>
        <w:t>Κάθε μη χρησιμοποιηθέν προϊόν ή υπόλειμμα πρέπει να απορριφθεί σύμφωνα με τις κατά τόπους ισχύουσες σχετικές διατάξεις.</w:t>
      </w:r>
    </w:p>
    <w:bookmarkEnd w:id="0"/>
    <w:p w:rsidR="00B02AA6" w:rsidRPr="00CE233A" w:rsidRDefault="00B02AA6" w:rsidP="00656AF6">
      <w:pPr>
        <w:ind w:left="360"/>
        <w:rPr>
          <w:lang w:val="el-GR"/>
        </w:rPr>
      </w:pPr>
    </w:p>
    <w:p w:rsidR="00656AF6" w:rsidRPr="00CE233A" w:rsidRDefault="00656AF6" w:rsidP="00656AF6">
      <w:pPr>
        <w:ind w:left="360"/>
        <w:rPr>
          <w:lang w:val="el-GR"/>
        </w:rPr>
      </w:pPr>
      <w:r w:rsidRPr="00CE233A">
        <w:rPr>
          <w:lang w:val="el-GR"/>
        </w:rPr>
        <w:t>Λόγω του πιθανού κινδύνου μικροβιακής μόλυνσης</w:t>
      </w:r>
      <w:r w:rsidR="00360924" w:rsidRPr="00CE233A">
        <w:rPr>
          <w:lang w:val="el-GR"/>
        </w:rPr>
        <w:t>, η προγεμισμένη σύριγγα με το διαλύτη είναι για μία μόνο χρήση.</w:t>
      </w:r>
    </w:p>
    <w:p w:rsidR="00B02AA6" w:rsidRPr="00CE233A" w:rsidRDefault="00B02AA6" w:rsidP="00656AF6">
      <w:pPr>
        <w:ind w:left="360"/>
        <w:rPr>
          <w:lang w:val="el-GR"/>
        </w:rPr>
      </w:pPr>
    </w:p>
    <w:p w:rsidR="003B23A1" w:rsidRPr="00CE233A" w:rsidRDefault="003B23A1" w:rsidP="00656AF6">
      <w:pPr>
        <w:ind w:left="360"/>
        <w:rPr>
          <w:b/>
          <w:lang w:val="el-GR"/>
        </w:rPr>
      </w:pPr>
      <w:r w:rsidRPr="00CE233A">
        <w:rPr>
          <w:b/>
          <w:lang w:val="el-GR"/>
        </w:rPr>
        <w:t>Οδηγίες για την παρασκευή</w:t>
      </w:r>
    </w:p>
    <w:p w:rsidR="003B23A1" w:rsidRPr="00CE233A" w:rsidRDefault="003B23A1" w:rsidP="00656AF6">
      <w:pPr>
        <w:ind w:left="360"/>
        <w:rPr>
          <w:lang w:val="el-GR"/>
        </w:rPr>
      </w:pPr>
    </w:p>
    <w:p w:rsidR="00F86B84" w:rsidRPr="00CE233A" w:rsidRDefault="001F5608" w:rsidP="00656AF6">
      <w:pPr>
        <w:ind w:left="360"/>
        <w:rPr>
          <w:lang w:val="el-GR"/>
        </w:rPr>
      </w:pPr>
      <w:r w:rsidRPr="00CE233A">
        <w:rPr>
          <w:lang w:val="el-GR"/>
        </w:rPr>
        <w:t xml:space="preserve">Τα φιαλίδια </w:t>
      </w:r>
      <w:r w:rsidRPr="00CE233A">
        <w:t>GRANOCYTE</w:t>
      </w:r>
      <w:r w:rsidR="00D275BB" w:rsidRPr="00CE233A">
        <w:rPr>
          <w:lang w:val="el-GR"/>
        </w:rPr>
        <w:t xml:space="preserve"> </w:t>
      </w:r>
      <w:r w:rsidRPr="00CE233A">
        <w:rPr>
          <w:lang w:val="el-GR"/>
        </w:rPr>
        <w:t>προορίζονται για χρήση μιας δόσης.</w:t>
      </w:r>
    </w:p>
    <w:p w:rsidR="00B02AA6" w:rsidRPr="00CE233A" w:rsidRDefault="00B02AA6" w:rsidP="000D2C53">
      <w:pPr>
        <w:ind w:left="360"/>
        <w:rPr>
          <w:lang w:val="el-GR"/>
        </w:rPr>
      </w:pPr>
    </w:p>
    <w:p w:rsidR="00563CDA" w:rsidRPr="00CE233A" w:rsidRDefault="00563CDA" w:rsidP="000D2C53">
      <w:pPr>
        <w:ind w:left="360"/>
        <w:rPr>
          <w:lang w:val="el-GR"/>
        </w:rPr>
      </w:pPr>
      <w:r w:rsidRPr="00CE233A">
        <w:rPr>
          <w:lang w:val="el-GR"/>
        </w:rPr>
        <w:t xml:space="preserve">Το </w:t>
      </w:r>
      <w:r w:rsidRPr="00CE233A">
        <w:t>GRANOCYTE</w:t>
      </w:r>
      <w:r w:rsidRPr="00CE233A">
        <w:rPr>
          <w:lang w:val="el-GR"/>
        </w:rPr>
        <w:t xml:space="preserve"> πρέπει να ανασυσταθεί πριν από την υποδόρια ή την ενδοφλέβια χορήγηση.</w:t>
      </w:r>
    </w:p>
    <w:p w:rsidR="00563CDA" w:rsidRPr="00CE233A" w:rsidRDefault="00563CDA" w:rsidP="000D2C53">
      <w:pPr>
        <w:ind w:left="360"/>
        <w:rPr>
          <w:lang w:val="el-GR"/>
        </w:rPr>
      </w:pPr>
    </w:p>
    <w:p w:rsidR="00563CDA" w:rsidRPr="00CE233A" w:rsidRDefault="00563CDA" w:rsidP="000D2C53">
      <w:pPr>
        <w:ind w:left="360"/>
        <w:rPr>
          <w:b/>
          <w:i/>
          <w:lang w:val="el-GR"/>
        </w:rPr>
      </w:pPr>
      <w:r w:rsidRPr="00CE233A">
        <w:rPr>
          <w:b/>
          <w:i/>
          <w:lang w:val="el-GR"/>
        </w:rPr>
        <w:t xml:space="preserve">Παρασκευή του ανασυσταμένου διαλύματος </w:t>
      </w:r>
      <w:r w:rsidRPr="00CE233A">
        <w:rPr>
          <w:b/>
          <w:i/>
        </w:rPr>
        <w:t>GRANOCYTE</w:t>
      </w:r>
    </w:p>
    <w:p w:rsidR="001F5608" w:rsidRPr="00CE233A" w:rsidRDefault="001F5608" w:rsidP="009D6071">
      <w:pPr>
        <w:ind w:left="360"/>
        <w:rPr>
          <w:lang w:val="el-GR"/>
        </w:rPr>
      </w:pPr>
    </w:p>
    <w:p w:rsidR="009D6071" w:rsidRPr="00CE233A" w:rsidRDefault="009D6071" w:rsidP="00EF2BF0">
      <w:pPr>
        <w:ind w:left="360"/>
        <w:rPr>
          <w:lang w:val="el-GR"/>
        </w:rPr>
      </w:pPr>
      <w:r w:rsidRPr="00CE233A">
        <w:rPr>
          <w:lang w:val="el-GR"/>
        </w:rPr>
        <w:t xml:space="preserve">Χρησιμοποιώντας </w:t>
      </w:r>
      <w:r w:rsidR="00E55368" w:rsidRPr="00CE233A">
        <w:rPr>
          <w:lang w:val="el-GR"/>
        </w:rPr>
        <w:t>τη</w:t>
      </w:r>
      <w:r w:rsidRPr="00CE233A">
        <w:rPr>
          <w:lang w:val="el-GR"/>
        </w:rPr>
        <w:t xml:space="preserve"> βελόνα 19</w:t>
      </w:r>
      <w:r w:rsidRPr="00CE233A">
        <w:t>G</w:t>
      </w:r>
      <w:r w:rsidRPr="00CE233A">
        <w:rPr>
          <w:lang w:val="el-GR"/>
        </w:rPr>
        <w:t xml:space="preserve"> που διατίθεται στη συσκευασία και </w:t>
      </w:r>
      <w:r w:rsidR="00E55368" w:rsidRPr="00CE233A">
        <w:rPr>
          <w:lang w:val="el-GR"/>
        </w:rPr>
        <w:t>την</w:t>
      </w:r>
      <w:r w:rsidRPr="00CE233A">
        <w:rPr>
          <w:lang w:val="el-GR"/>
        </w:rPr>
        <w:t xml:space="preserve"> </w:t>
      </w:r>
      <w:r w:rsidR="00EF2BF0" w:rsidRPr="00CE233A">
        <w:rPr>
          <w:lang w:val="el-GR"/>
        </w:rPr>
        <w:t xml:space="preserve">αναλώσιμη, </w:t>
      </w:r>
      <w:r w:rsidRPr="00CE233A">
        <w:rPr>
          <w:lang w:val="el-GR"/>
        </w:rPr>
        <w:t>έτοιμη για χρήση</w:t>
      </w:r>
      <w:r w:rsidR="00EF2BF0" w:rsidRPr="00CE233A">
        <w:rPr>
          <w:lang w:val="el-GR"/>
        </w:rPr>
        <w:t>,</w:t>
      </w:r>
      <w:r w:rsidRPr="00CE233A">
        <w:rPr>
          <w:lang w:val="el-GR"/>
        </w:rPr>
        <w:t xml:space="preserve"> προγεμισμένη σύριγγα με το διαλύτη για το </w:t>
      </w:r>
      <w:r w:rsidRPr="00CE233A">
        <w:t>GRANOCYTE</w:t>
      </w:r>
      <w:r w:rsidR="00EF2BF0" w:rsidRPr="00CE233A">
        <w:rPr>
          <w:lang w:val="el-GR"/>
        </w:rPr>
        <w:t>, προσθέστε με άσηπτο τρόπο</w:t>
      </w:r>
      <w:r w:rsidR="004F7F3B" w:rsidRPr="00CE233A">
        <w:rPr>
          <w:lang w:val="el-GR"/>
        </w:rPr>
        <w:t xml:space="preserve"> όλο το περιεχόμενο της προγεμισμένης σύριγγας του διαλύτη για το </w:t>
      </w:r>
      <w:r w:rsidR="004F7F3B" w:rsidRPr="00CE233A">
        <w:t>GRANOCYTE</w:t>
      </w:r>
      <w:r w:rsidR="004F7F3B" w:rsidRPr="00CE233A">
        <w:rPr>
          <w:lang w:val="el-GR"/>
        </w:rPr>
        <w:t xml:space="preserve"> στο φιαλίδιο του </w:t>
      </w:r>
      <w:r w:rsidR="004F7F3B" w:rsidRPr="00CE233A">
        <w:t>GRANOCYTE</w:t>
      </w:r>
      <w:r w:rsidR="004F7F3B" w:rsidRPr="00CE233A">
        <w:rPr>
          <w:lang w:val="el-GR"/>
        </w:rPr>
        <w:t>.</w:t>
      </w:r>
      <w:r w:rsidR="00EF2BF0" w:rsidRPr="00CE233A">
        <w:rPr>
          <w:lang w:val="el-GR"/>
        </w:rPr>
        <w:t xml:space="preserve"> </w:t>
      </w:r>
    </w:p>
    <w:p w:rsidR="001F5608" w:rsidRPr="00CE233A" w:rsidRDefault="001F5608" w:rsidP="00EB586E">
      <w:pPr>
        <w:ind w:left="360"/>
        <w:rPr>
          <w:lang w:val="el-GR"/>
        </w:rPr>
      </w:pPr>
      <w:r w:rsidRPr="00CE233A">
        <w:rPr>
          <w:lang w:val="el-GR"/>
        </w:rPr>
        <w:t>Ανακινήστε ελαφρά μέχρις ότου το προϊόν διαλυθεί πλήρως. Μην το ανακινήσετε δυνατά.</w:t>
      </w:r>
    </w:p>
    <w:p w:rsidR="006B03A1" w:rsidRPr="00CE233A" w:rsidRDefault="006B03A1" w:rsidP="00EB586E">
      <w:pPr>
        <w:ind w:left="360"/>
        <w:rPr>
          <w:lang w:val="el-GR"/>
        </w:rPr>
      </w:pPr>
    </w:p>
    <w:p w:rsidR="006B03A1" w:rsidRPr="00CE233A" w:rsidRDefault="006B03A1" w:rsidP="00EB586E">
      <w:pPr>
        <w:ind w:left="360"/>
        <w:rPr>
          <w:lang w:val="el-GR"/>
        </w:rPr>
      </w:pPr>
      <w:r w:rsidRPr="00CE233A">
        <w:rPr>
          <w:lang w:val="el-GR"/>
        </w:rPr>
        <w:t>Το ανασυσταμένο παρεντερικό διάλυμα εμφανίζεται διαυγές και ελεύθερο από σωματίδια.</w:t>
      </w:r>
    </w:p>
    <w:p w:rsidR="006B03A1" w:rsidRPr="00CE233A" w:rsidRDefault="006B03A1" w:rsidP="00EB586E">
      <w:pPr>
        <w:ind w:left="360"/>
        <w:rPr>
          <w:lang w:val="el-GR"/>
        </w:rPr>
      </w:pPr>
    </w:p>
    <w:p w:rsidR="006B03A1" w:rsidRPr="00CE233A" w:rsidRDefault="006B03A1" w:rsidP="00EB586E">
      <w:pPr>
        <w:ind w:left="360"/>
        <w:rPr>
          <w:lang w:val="el-GR"/>
        </w:rPr>
      </w:pPr>
      <w:r w:rsidRPr="00CE233A">
        <w:rPr>
          <w:lang w:val="el-GR"/>
        </w:rPr>
        <w:t>Το ανασυσταμένο διάλυμα είναι προτιμότερο να χρησιμοποιηθεί αμέσως μετά την παρασκευή. Για τις συνθ</w:t>
      </w:r>
      <w:r w:rsidR="00F84BA3" w:rsidRPr="00CE233A">
        <w:rPr>
          <w:lang w:val="el-GR"/>
        </w:rPr>
        <w:t>ήκες διατήρησης του ανασυσταμένου/διαλυθέντος φαρμακευτικού προϊόντος, βλ. παράγραφο 6.3.</w:t>
      </w:r>
    </w:p>
    <w:p w:rsidR="00ED5932" w:rsidRPr="00CE233A" w:rsidRDefault="00ED5932" w:rsidP="00EB586E">
      <w:pPr>
        <w:ind w:left="360"/>
        <w:rPr>
          <w:lang w:val="el-GR"/>
        </w:rPr>
      </w:pPr>
    </w:p>
    <w:p w:rsidR="00ED5932" w:rsidRPr="00CE233A" w:rsidRDefault="00ED5932" w:rsidP="00EB586E">
      <w:pPr>
        <w:ind w:left="360"/>
        <w:rPr>
          <w:b/>
          <w:i/>
          <w:lang w:val="el-GR"/>
        </w:rPr>
      </w:pPr>
      <w:r w:rsidRPr="00CE233A">
        <w:rPr>
          <w:b/>
          <w:i/>
          <w:lang w:val="el-GR"/>
        </w:rPr>
        <w:t>Παρασκευή για την υποδόρια χορήγηση</w:t>
      </w:r>
    </w:p>
    <w:p w:rsidR="00ED5932" w:rsidRPr="00CE233A" w:rsidRDefault="00ED5932" w:rsidP="00EB586E">
      <w:pPr>
        <w:ind w:left="360"/>
        <w:rPr>
          <w:i/>
          <w:lang w:val="el-GR"/>
        </w:rPr>
      </w:pPr>
    </w:p>
    <w:p w:rsidR="00ED5932" w:rsidRPr="00CE233A" w:rsidRDefault="00ED5932" w:rsidP="00EB586E">
      <w:pPr>
        <w:ind w:left="360"/>
        <w:rPr>
          <w:lang w:val="el-GR"/>
        </w:rPr>
      </w:pPr>
      <w:r w:rsidRPr="00CE233A">
        <w:rPr>
          <w:lang w:val="el-GR"/>
        </w:rPr>
        <w:t xml:space="preserve">Παρασκευάστε ένα ανασυσταμένο διάλυμα </w:t>
      </w:r>
      <w:r w:rsidRPr="00CE233A">
        <w:t>GRANOCYTE</w:t>
      </w:r>
      <w:r w:rsidRPr="00CE233A">
        <w:rPr>
          <w:lang w:val="el-GR"/>
        </w:rPr>
        <w:t xml:space="preserve"> όπως περιγράφηκε παραπάνω.</w:t>
      </w:r>
    </w:p>
    <w:p w:rsidR="000C1E54" w:rsidRPr="00CE233A" w:rsidRDefault="000C1E54" w:rsidP="00EB586E">
      <w:pPr>
        <w:ind w:left="360"/>
        <w:rPr>
          <w:lang w:val="el-GR"/>
        </w:rPr>
      </w:pPr>
    </w:p>
    <w:p w:rsidR="000C1E54" w:rsidRPr="00CE233A" w:rsidRDefault="000C1E54" w:rsidP="00EB586E">
      <w:pPr>
        <w:ind w:left="360"/>
        <w:rPr>
          <w:lang w:val="el-GR"/>
        </w:rPr>
      </w:pPr>
      <w:r w:rsidRPr="00CE233A">
        <w:rPr>
          <w:lang w:val="el-GR"/>
        </w:rPr>
        <w:lastRenderedPageBreak/>
        <w:t>Κρατώντας τη βελόνα 19</w:t>
      </w:r>
      <w:r w:rsidRPr="00CE233A">
        <w:t>G</w:t>
      </w:r>
      <w:r w:rsidRPr="00CE233A">
        <w:rPr>
          <w:lang w:val="el-GR"/>
        </w:rPr>
        <w:t xml:space="preserve"> και τη σύριγγα προσαρμοσμένη στο φιαλίδιο, αφαιρέστε τον απαιτούμενο όγκο του ανασυσταμένου διαλύματος από το φιαλίδιο. Αντικαταστήστε τη βελόνα που χρησιμοποιήθηκε για την ανασύσταση και προσαρμόστε </w:t>
      </w:r>
      <w:r w:rsidR="00243D00" w:rsidRPr="00CE233A">
        <w:rPr>
          <w:lang w:val="el-GR"/>
        </w:rPr>
        <w:t>στη σύριγγα τη βελόνα 26</w:t>
      </w:r>
      <w:r w:rsidR="00243D00" w:rsidRPr="00CE233A">
        <w:t>G</w:t>
      </w:r>
      <w:r w:rsidR="00243D00" w:rsidRPr="00CE233A">
        <w:rPr>
          <w:lang w:val="el-GR"/>
        </w:rPr>
        <w:t xml:space="preserve"> που παρέχεται για την υποδόρια ένεση.</w:t>
      </w:r>
    </w:p>
    <w:p w:rsidR="001F5608" w:rsidRPr="00CE233A" w:rsidRDefault="001F5608" w:rsidP="00823411">
      <w:pPr>
        <w:ind w:left="360"/>
        <w:rPr>
          <w:lang w:val="el-GR"/>
        </w:rPr>
      </w:pPr>
      <w:r w:rsidRPr="00CE233A">
        <w:rPr>
          <w:lang w:val="el-GR"/>
        </w:rPr>
        <w:t>Χορηγήστε αμέσως με υποδόρια ένεση</w:t>
      </w:r>
      <w:r w:rsidR="00725115" w:rsidRPr="00CE233A">
        <w:rPr>
          <w:lang w:val="el-GR"/>
        </w:rPr>
        <w:t xml:space="preserve"> (ανατρέξετε </w:t>
      </w:r>
      <w:bookmarkStart w:id="1" w:name="OLE_LINK2"/>
      <w:bookmarkStart w:id="2" w:name="OLE_LINK3"/>
      <w:r w:rsidR="00725115" w:rsidRPr="00CE233A">
        <w:rPr>
          <w:lang w:val="el-GR"/>
        </w:rPr>
        <w:t>στην παράγραφο 4.2 για τις απαιτήσεις της χορήγησης)</w:t>
      </w:r>
      <w:bookmarkEnd w:id="1"/>
      <w:bookmarkEnd w:id="2"/>
      <w:r w:rsidRPr="00CE233A">
        <w:rPr>
          <w:lang w:val="el-GR"/>
        </w:rPr>
        <w:t>.</w:t>
      </w:r>
    </w:p>
    <w:p w:rsidR="00C9790D" w:rsidRPr="00CE233A" w:rsidRDefault="00C9790D" w:rsidP="00C9790D">
      <w:pPr>
        <w:numPr>
          <w:ilvl w:val="12"/>
          <w:numId w:val="0"/>
        </w:numPr>
        <w:ind w:left="360"/>
        <w:rPr>
          <w:i/>
          <w:lang w:val="el-GR"/>
        </w:rPr>
      </w:pPr>
    </w:p>
    <w:p w:rsidR="001F5608" w:rsidRPr="00CE233A" w:rsidRDefault="001F5608" w:rsidP="00C9790D">
      <w:pPr>
        <w:numPr>
          <w:ilvl w:val="12"/>
          <w:numId w:val="0"/>
        </w:numPr>
        <w:ind w:left="360"/>
        <w:rPr>
          <w:b/>
          <w:i/>
          <w:lang w:val="el-GR"/>
        </w:rPr>
      </w:pPr>
      <w:r w:rsidRPr="00CE233A">
        <w:rPr>
          <w:b/>
          <w:i/>
          <w:lang w:val="el-GR"/>
        </w:rPr>
        <w:t>Παρασκευή του διαλύματος για έγχυση</w:t>
      </w:r>
      <w:r w:rsidR="00823411" w:rsidRPr="00CE233A">
        <w:rPr>
          <w:b/>
          <w:i/>
          <w:lang w:val="el-GR"/>
        </w:rPr>
        <w:t xml:space="preserve"> για την ενδοφλέβια χορήγηση</w:t>
      </w:r>
      <w:r w:rsidRPr="00CE233A">
        <w:rPr>
          <w:b/>
          <w:i/>
          <w:lang w:val="el-GR"/>
        </w:rPr>
        <w:t>:</w:t>
      </w:r>
    </w:p>
    <w:p w:rsidR="00823411" w:rsidRPr="00CE233A" w:rsidRDefault="00823411" w:rsidP="00823411">
      <w:pPr>
        <w:numPr>
          <w:ilvl w:val="12"/>
          <w:numId w:val="0"/>
        </w:numPr>
        <w:ind w:left="426" w:hanging="66"/>
        <w:rPr>
          <w:i/>
          <w:lang w:val="el-GR"/>
        </w:rPr>
      </w:pPr>
    </w:p>
    <w:p w:rsidR="00823411" w:rsidRPr="00CE233A" w:rsidRDefault="00823411" w:rsidP="00823411">
      <w:pPr>
        <w:numPr>
          <w:ilvl w:val="12"/>
          <w:numId w:val="0"/>
        </w:numPr>
        <w:ind w:left="360"/>
        <w:rPr>
          <w:lang w:val="el-GR"/>
        </w:rPr>
      </w:pPr>
      <w:r w:rsidRPr="00CE233A">
        <w:rPr>
          <w:lang w:val="el-GR"/>
        </w:rPr>
        <w:t xml:space="preserve">Στην περίπτωση ενδοφλέβιας χρήσης, το </w:t>
      </w:r>
      <w:r w:rsidRPr="00CE233A">
        <w:t>GRANOCYTE</w:t>
      </w:r>
      <w:r w:rsidRPr="00CE233A">
        <w:rPr>
          <w:lang w:val="el-GR"/>
        </w:rPr>
        <w:t xml:space="preserve"> πρέπει να αραιωθεί μετά την ανασύσταση.</w:t>
      </w:r>
    </w:p>
    <w:p w:rsidR="00251C3F" w:rsidRPr="00CE233A" w:rsidRDefault="00251C3F" w:rsidP="00823411">
      <w:pPr>
        <w:numPr>
          <w:ilvl w:val="12"/>
          <w:numId w:val="0"/>
        </w:numPr>
        <w:ind w:left="360"/>
        <w:rPr>
          <w:lang w:val="el-GR"/>
        </w:rPr>
      </w:pPr>
    </w:p>
    <w:p w:rsidR="00251C3F" w:rsidRPr="00CE233A" w:rsidRDefault="00251C3F" w:rsidP="00251C3F">
      <w:pPr>
        <w:ind w:left="360"/>
        <w:rPr>
          <w:lang w:val="el-GR"/>
        </w:rPr>
      </w:pPr>
      <w:r w:rsidRPr="00CE233A">
        <w:rPr>
          <w:lang w:val="el-GR"/>
        </w:rPr>
        <w:t xml:space="preserve">Παρασκευάστε ένα ανασυσταμένο διάλυμα </w:t>
      </w:r>
      <w:r w:rsidRPr="00CE233A">
        <w:t>GRANOCYTE</w:t>
      </w:r>
      <w:r w:rsidRPr="00CE233A">
        <w:rPr>
          <w:lang w:val="el-GR"/>
        </w:rPr>
        <w:t xml:space="preserve"> όπως περιγράφηκε παραπάνω.</w:t>
      </w:r>
    </w:p>
    <w:p w:rsidR="00251C3F" w:rsidRPr="00CE233A" w:rsidRDefault="00251C3F" w:rsidP="00823411">
      <w:pPr>
        <w:numPr>
          <w:ilvl w:val="12"/>
          <w:numId w:val="0"/>
        </w:numPr>
        <w:ind w:left="360"/>
        <w:rPr>
          <w:lang w:val="el-GR"/>
        </w:rPr>
      </w:pPr>
    </w:p>
    <w:p w:rsidR="00251C3F" w:rsidRPr="00CE233A" w:rsidRDefault="00251C3F" w:rsidP="00823411">
      <w:pPr>
        <w:numPr>
          <w:ilvl w:val="12"/>
          <w:numId w:val="0"/>
        </w:numPr>
        <w:ind w:left="360"/>
        <w:rPr>
          <w:lang w:val="el-GR"/>
        </w:rPr>
      </w:pPr>
      <w:r w:rsidRPr="00CE233A">
        <w:rPr>
          <w:lang w:val="el-GR"/>
        </w:rPr>
        <w:t xml:space="preserve">Κρατώντας τη βελόνα και τη σύριγγα </w:t>
      </w:r>
      <w:r w:rsidR="00363993" w:rsidRPr="00CE233A">
        <w:rPr>
          <w:lang w:val="el-GR"/>
        </w:rPr>
        <w:t>προσαρμοσμένη στο φιαλίδιο, αφαιρέστε τον απαιτούμενο όγκο του ανασυσταμένου διαλύματος από το φιαλίδιο.</w:t>
      </w:r>
    </w:p>
    <w:p w:rsidR="00363993" w:rsidRPr="00CE233A" w:rsidRDefault="00363993" w:rsidP="00823411">
      <w:pPr>
        <w:numPr>
          <w:ilvl w:val="12"/>
          <w:numId w:val="0"/>
        </w:numPr>
        <w:ind w:left="360"/>
        <w:rPr>
          <w:lang w:val="el-GR"/>
        </w:rPr>
      </w:pPr>
    </w:p>
    <w:p w:rsidR="00363993" w:rsidRPr="00CE233A" w:rsidRDefault="00363993" w:rsidP="00823411">
      <w:pPr>
        <w:numPr>
          <w:ilvl w:val="12"/>
          <w:numId w:val="0"/>
        </w:numPr>
        <w:ind w:left="360"/>
        <w:rPr>
          <w:lang w:val="el-GR"/>
        </w:rPr>
      </w:pPr>
      <w:r w:rsidRPr="00CE233A">
        <w:rPr>
          <w:lang w:val="el-GR"/>
        </w:rPr>
        <w:t xml:space="preserve">Αραιώστε το ανασυσταμένο διάλυμα </w:t>
      </w:r>
      <w:r w:rsidRPr="00CE233A">
        <w:t>GRANOCYTE</w:t>
      </w:r>
      <w:r w:rsidRPr="00CE233A">
        <w:rPr>
          <w:lang w:val="el-GR"/>
        </w:rPr>
        <w:t xml:space="preserve"> μέχρι την απαιτούμενη συγκέντρωση με ένεση του απαιτούμενου όγκου είτε σε 0,9% χλωριούχου νατρίου είτε σε 5% διαλύματος δεξτρόζης.</w:t>
      </w:r>
    </w:p>
    <w:p w:rsidR="00251C3F" w:rsidRPr="00CE233A" w:rsidRDefault="00251C3F" w:rsidP="00823411">
      <w:pPr>
        <w:numPr>
          <w:ilvl w:val="12"/>
          <w:numId w:val="0"/>
        </w:numPr>
        <w:ind w:left="360"/>
        <w:rPr>
          <w:lang w:val="el-GR"/>
        </w:rPr>
      </w:pPr>
    </w:p>
    <w:p w:rsidR="001F5608" w:rsidRPr="00CE233A" w:rsidRDefault="001F5608" w:rsidP="00363993">
      <w:pPr>
        <w:ind w:left="360"/>
        <w:rPr>
          <w:lang w:val="el-GR"/>
        </w:rPr>
      </w:pPr>
      <w:r w:rsidRPr="00CE233A">
        <w:rPr>
          <w:lang w:val="el-GR"/>
        </w:rPr>
        <w:t>Χορηγήστε ενδοφλεβίως</w:t>
      </w:r>
      <w:r w:rsidR="00363993" w:rsidRPr="00CE233A">
        <w:rPr>
          <w:lang w:val="el-GR"/>
        </w:rPr>
        <w:t xml:space="preserve"> (ανατρέξετε στην παράγραφο 4.2 για τις απαιτήσεις της χορήγησης)</w:t>
      </w:r>
      <w:r w:rsidRPr="00CE233A">
        <w:rPr>
          <w:lang w:val="el-GR"/>
        </w:rPr>
        <w:t>.</w:t>
      </w:r>
    </w:p>
    <w:p w:rsidR="00363993" w:rsidRPr="00CE233A" w:rsidRDefault="00363993" w:rsidP="00363993">
      <w:pPr>
        <w:ind w:left="360"/>
        <w:rPr>
          <w:lang w:val="el-GR"/>
        </w:rPr>
      </w:pPr>
    </w:p>
    <w:p w:rsidR="009D6071" w:rsidRPr="00CE233A" w:rsidRDefault="009D6071" w:rsidP="009D6071">
      <w:pPr>
        <w:ind w:left="360"/>
        <w:rPr>
          <w:lang w:val="el-GR"/>
        </w:rPr>
      </w:pPr>
      <w:r w:rsidRPr="00CE233A">
        <w:rPr>
          <w:lang w:val="el-GR"/>
        </w:rPr>
        <w:t xml:space="preserve">Το </w:t>
      </w:r>
      <w:r w:rsidRPr="00CE233A">
        <w:t>GRANOCYTE</w:t>
      </w:r>
      <w:r w:rsidRPr="00CE233A">
        <w:rPr>
          <w:lang w:val="el-GR"/>
        </w:rPr>
        <w:t xml:space="preserve"> είναι συμβατό με τα υλικά </w:t>
      </w:r>
      <w:r w:rsidR="00363993" w:rsidRPr="00CE233A">
        <w:rPr>
          <w:lang w:val="el-GR"/>
        </w:rPr>
        <w:t xml:space="preserve">χορήγησης </w:t>
      </w:r>
      <w:r w:rsidRPr="00CE233A">
        <w:rPr>
          <w:lang w:val="el-GR"/>
        </w:rPr>
        <w:t xml:space="preserve">που χρησιμοποιούνται </w:t>
      </w:r>
      <w:r w:rsidR="00363993" w:rsidRPr="00CE233A">
        <w:rPr>
          <w:lang w:val="el-GR"/>
        </w:rPr>
        <w:t xml:space="preserve">συνήθως </w:t>
      </w:r>
      <w:r w:rsidRPr="00CE233A">
        <w:rPr>
          <w:lang w:val="el-GR"/>
        </w:rPr>
        <w:t xml:space="preserve">για </w:t>
      </w:r>
      <w:r w:rsidR="00363993" w:rsidRPr="00CE233A">
        <w:rPr>
          <w:lang w:val="el-GR"/>
        </w:rPr>
        <w:t>ένεση</w:t>
      </w:r>
      <w:r w:rsidRPr="00CE233A">
        <w:rPr>
          <w:lang w:val="el-GR"/>
        </w:rPr>
        <w:t xml:space="preserve"> όταν αραιωθεί είτε σε διάλυμα χλωριούχου νατρίου 0,9% (περιέκτες από πολυβινυλχλωρίδιο και γυάλινες φιάλες), είτε σε διάλυμα δεξτρόζης 5% (γυάλινες φιάλες).</w:t>
      </w:r>
    </w:p>
    <w:p w:rsidR="001F5608" w:rsidRPr="00CE233A" w:rsidRDefault="001F5608" w:rsidP="00840A76">
      <w:pPr>
        <w:ind w:left="851"/>
        <w:rPr>
          <w:lang w:val="el-GR"/>
        </w:rPr>
      </w:pPr>
    </w:p>
    <w:p w:rsidR="001F5608" w:rsidRPr="00CE233A" w:rsidRDefault="001F5608" w:rsidP="00AC17EF">
      <w:pPr>
        <w:ind w:left="360"/>
        <w:rPr>
          <w:lang w:val="el-GR"/>
        </w:rPr>
      </w:pPr>
      <w:r w:rsidRPr="00CE233A">
        <w:rPr>
          <w:lang w:val="el-GR"/>
        </w:rPr>
        <w:t xml:space="preserve">Αραίωση του </w:t>
      </w:r>
      <w:r w:rsidRPr="00CE233A">
        <w:t>GRANOCYTE</w:t>
      </w:r>
      <w:r w:rsidRPr="00CE233A">
        <w:rPr>
          <w:vertAlign w:val="superscript"/>
          <w:lang w:val="el-GR"/>
        </w:rPr>
        <w:t xml:space="preserve"> </w:t>
      </w:r>
      <w:r w:rsidRPr="00CE233A">
        <w:rPr>
          <w:lang w:val="el-GR"/>
        </w:rPr>
        <w:t>13 ΜΙ</w:t>
      </w:r>
      <w:r w:rsidRPr="00CE233A">
        <w:t>U</w:t>
      </w:r>
      <w:r w:rsidRPr="00CE233A">
        <w:rPr>
          <w:lang w:val="el-GR"/>
        </w:rPr>
        <w:t>/</w:t>
      </w:r>
      <w:r w:rsidR="00AC17EF" w:rsidRPr="00CE233A">
        <w:t>ml</w:t>
      </w:r>
      <w:r w:rsidRPr="00CE233A">
        <w:rPr>
          <w:lang w:val="el-GR"/>
        </w:rPr>
        <w:t xml:space="preserve"> σε τελική συγκέντρωση μικρότερη από 0,26</w:t>
      </w:r>
      <w:r w:rsidR="009D37C1" w:rsidRPr="00CE233A">
        <w:rPr>
          <w:lang w:val="el-GR"/>
        </w:rPr>
        <w:t> </w:t>
      </w:r>
      <w:r w:rsidRPr="00CE233A">
        <w:t>MIU</w:t>
      </w:r>
      <w:r w:rsidRPr="00CE233A">
        <w:rPr>
          <w:lang w:val="el-GR"/>
        </w:rPr>
        <w:t>/</w:t>
      </w:r>
      <w:r w:rsidRPr="00CE233A">
        <w:t>ml</w:t>
      </w:r>
      <w:r w:rsidRPr="00CE233A">
        <w:rPr>
          <w:lang w:val="el-GR"/>
        </w:rPr>
        <w:t xml:space="preserve"> (2</w:t>
      </w:r>
      <w:r w:rsidR="009D37C1" w:rsidRPr="00CE233A">
        <w:rPr>
          <w:lang w:val="el-GR"/>
        </w:rPr>
        <w:t> </w:t>
      </w:r>
      <w:r w:rsidRPr="00CE233A">
        <w:rPr>
          <w:lang w:val="el-GR"/>
        </w:rPr>
        <w:t>μ</w:t>
      </w:r>
      <w:r w:rsidRPr="00CE233A">
        <w:t>g</w:t>
      </w:r>
      <w:r w:rsidRPr="00CE233A">
        <w:rPr>
          <w:lang w:val="el-GR"/>
        </w:rPr>
        <w:t>/</w:t>
      </w:r>
      <w:r w:rsidRPr="00CE233A">
        <w:t>ml</w:t>
      </w:r>
      <w:r w:rsidRPr="00CE233A">
        <w:rPr>
          <w:lang w:val="el-GR"/>
        </w:rPr>
        <w:t>) δεν συνιστάται.</w:t>
      </w:r>
      <w:r w:rsidR="00AC17EF" w:rsidRPr="00CE233A">
        <w:rPr>
          <w:lang w:val="el-GR"/>
        </w:rPr>
        <w:t xml:space="preserve"> </w:t>
      </w:r>
      <w:r w:rsidRPr="00CE233A">
        <w:rPr>
          <w:lang w:val="el-GR"/>
        </w:rPr>
        <w:t>1</w:t>
      </w:r>
      <w:r w:rsidR="009D37C1" w:rsidRPr="00CE233A">
        <w:rPr>
          <w:lang w:val="el-GR"/>
        </w:rPr>
        <w:t> </w:t>
      </w:r>
      <w:r w:rsidRPr="00CE233A">
        <w:rPr>
          <w:lang w:val="el-GR"/>
        </w:rPr>
        <w:t xml:space="preserve">φιαλίδιο ανασυσταμένου </w:t>
      </w:r>
      <w:r w:rsidRPr="00CE233A">
        <w:t>GRANOCYTE</w:t>
      </w:r>
      <w:r w:rsidRPr="00CE233A">
        <w:rPr>
          <w:vertAlign w:val="superscript"/>
          <w:lang w:val="el-GR"/>
        </w:rPr>
        <w:t xml:space="preserve"> </w:t>
      </w:r>
      <w:r w:rsidRPr="00CE233A">
        <w:rPr>
          <w:lang w:val="el-GR"/>
        </w:rPr>
        <w:t xml:space="preserve"> 13</w:t>
      </w:r>
      <w:r w:rsidR="009D37C1" w:rsidRPr="00CE233A">
        <w:rPr>
          <w:lang w:val="el-GR"/>
        </w:rPr>
        <w:t> </w:t>
      </w:r>
      <w:r w:rsidR="00AC17EF" w:rsidRPr="00CE233A">
        <w:t>MIU</w:t>
      </w:r>
      <w:r w:rsidR="00AC17EF" w:rsidRPr="00CE233A">
        <w:rPr>
          <w:lang w:val="el-GR"/>
        </w:rPr>
        <w:t>/</w:t>
      </w:r>
      <w:r w:rsidR="00AC17EF" w:rsidRPr="00CE233A">
        <w:t>ml</w:t>
      </w:r>
      <w:r w:rsidR="00AC17EF" w:rsidRPr="00CE233A">
        <w:rPr>
          <w:lang w:val="el-GR"/>
        </w:rPr>
        <w:t xml:space="preserve"> δεν πρέπει να αραιώνεται σε</w:t>
      </w:r>
      <w:r w:rsidRPr="00CE233A">
        <w:rPr>
          <w:lang w:val="el-GR"/>
        </w:rPr>
        <w:t xml:space="preserve"> περισσότερο από 50</w:t>
      </w:r>
      <w:r w:rsidR="009D37C1" w:rsidRPr="00CE233A">
        <w:rPr>
          <w:lang w:val="el-GR"/>
        </w:rPr>
        <w:t> </w:t>
      </w:r>
      <w:r w:rsidRPr="00CE233A">
        <w:t>ml</w:t>
      </w:r>
      <w:r w:rsidRPr="00CE233A">
        <w:rPr>
          <w:lang w:val="el-GR"/>
        </w:rPr>
        <w:t>.</w:t>
      </w:r>
    </w:p>
    <w:p w:rsidR="00AC17EF" w:rsidRPr="00CE233A" w:rsidRDefault="00AC17EF" w:rsidP="00D647C9">
      <w:pPr>
        <w:rPr>
          <w:lang w:val="el-GR"/>
        </w:rPr>
      </w:pPr>
    </w:p>
    <w:p w:rsidR="001B51AC" w:rsidRPr="00CE233A" w:rsidRDefault="001B51AC" w:rsidP="00840A76">
      <w:pPr>
        <w:ind w:left="426" w:hanging="426"/>
        <w:rPr>
          <w:lang w:val="el-GR"/>
        </w:rPr>
      </w:pPr>
    </w:p>
    <w:p w:rsidR="001F5608" w:rsidRPr="00CE233A" w:rsidRDefault="001F5608" w:rsidP="00840A76">
      <w:pPr>
        <w:ind w:left="426" w:hanging="426"/>
        <w:rPr>
          <w:b/>
          <w:lang w:val="el-GR"/>
        </w:rPr>
      </w:pPr>
      <w:r w:rsidRPr="00CE233A">
        <w:rPr>
          <w:b/>
          <w:lang w:val="el-GR"/>
        </w:rPr>
        <w:t>7.</w:t>
      </w:r>
      <w:r w:rsidRPr="00CE233A">
        <w:rPr>
          <w:b/>
          <w:lang w:val="el-GR"/>
        </w:rPr>
        <w:tab/>
        <w:t>ΚΑΤΟΧΟΣ ΤΗΣ ΑΔΕΙΑΣ ΚΥΚΛΟΦΟΡΙΑΣ</w:t>
      </w:r>
    </w:p>
    <w:p w:rsidR="001F5608" w:rsidRPr="00CE233A" w:rsidRDefault="001F5608" w:rsidP="00840A76">
      <w:pPr>
        <w:rPr>
          <w:b/>
          <w:lang w:val="el-GR"/>
        </w:rPr>
      </w:pPr>
      <w:r w:rsidRPr="00CE233A">
        <w:rPr>
          <w:b/>
          <w:lang w:val="el-GR"/>
        </w:rPr>
        <w:t xml:space="preserve">        </w:t>
      </w:r>
    </w:p>
    <w:p w:rsidR="006E55B4" w:rsidRPr="00CE233A" w:rsidRDefault="006E55B4" w:rsidP="00BD29DC">
      <w:pPr>
        <w:autoSpaceDE w:val="0"/>
        <w:autoSpaceDN w:val="0"/>
        <w:adjustRightInd w:val="0"/>
        <w:ind w:left="360"/>
        <w:rPr>
          <w:rFonts w:eastAsia="MS Mincho"/>
          <w:b/>
          <w:bCs/>
          <w:color w:val="000000"/>
          <w:lang w:val="el-GR"/>
        </w:rPr>
      </w:pPr>
      <w:proofErr w:type="spellStart"/>
      <w:proofErr w:type="gramStart"/>
      <w:r w:rsidRPr="00CE233A">
        <w:rPr>
          <w:rFonts w:eastAsia="MS Mincho"/>
          <w:b/>
          <w:bCs/>
          <w:color w:val="000000"/>
        </w:rPr>
        <w:t>sanofi</w:t>
      </w:r>
      <w:proofErr w:type="spellEnd"/>
      <w:r w:rsidRPr="00CE233A">
        <w:rPr>
          <w:rFonts w:eastAsia="MS Mincho"/>
          <w:b/>
          <w:bCs/>
          <w:color w:val="000000"/>
          <w:lang w:val="el-GR"/>
        </w:rPr>
        <w:t>-</w:t>
      </w:r>
      <w:proofErr w:type="spellStart"/>
      <w:r w:rsidRPr="00CE233A">
        <w:rPr>
          <w:rFonts w:eastAsia="MS Mincho"/>
          <w:b/>
          <w:bCs/>
          <w:color w:val="000000"/>
        </w:rPr>
        <w:t>aventis</w:t>
      </w:r>
      <w:proofErr w:type="spellEnd"/>
      <w:proofErr w:type="gramEnd"/>
      <w:r w:rsidRPr="00CE233A">
        <w:rPr>
          <w:rFonts w:eastAsia="MS Mincho"/>
          <w:b/>
          <w:bCs/>
          <w:color w:val="000000"/>
          <w:lang w:val="el-GR"/>
        </w:rPr>
        <w:t xml:space="preserve"> </w:t>
      </w:r>
      <w:r w:rsidRPr="00CE233A">
        <w:rPr>
          <w:rFonts w:eastAsia="MS Mincho"/>
          <w:b/>
          <w:bCs/>
          <w:color w:val="000000"/>
        </w:rPr>
        <w:t>AEBE</w:t>
      </w:r>
    </w:p>
    <w:p w:rsidR="006E55B4" w:rsidRPr="00CE233A" w:rsidRDefault="006E55B4" w:rsidP="00BD29DC">
      <w:pPr>
        <w:autoSpaceDE w:val="0"/>
        <w:autoSpaceDN w:val="0"/>
        <w:adjustRightInd w:val="0"/>
        <w:ind w:left="360" w:firstLine="11"/>
        <w:rPr>
          <w:rFonts w:eastAsia="MS Mincho"/>
          <w:color w:val="000000"/>
          <w:lang w:val="el-GR"/>
        </w:rPr>
      </w:pPr>
      <w:r w:rsidRPr="00CE233A">
        <w:rPr>
          <w:rFonts w:eastAsia="MS Mincho"/>
          <w:color w:val="000000"/>
          <w:lang w:val="el-GR"/>
        </w:rPr>
        <w:t>Λεωφ. Συγγρού 348 – Κτίριο Α</w:t>
      </w:r>
    </w:p>
    <w:p w:rsidR="006E55B4" w:rsidRPr="00330732" w:rsidRDefault="006E55B4" w:rsidP="00BD29DC">
      <w:pPr>
        <w:autoSpaceDE w:val="0"/>
        <w:autoSpaceDN w:val="0"/>
        <w:adjustRightInd w:val="0"/>
        <w:ind w:left="360" w:firstLine="11"/>
        <w:rPr>
          <w:rFonts w:eastAsia="MS Mincho"/>
          <w:color w:val="000000"/>
          <w:lang w:val="el-GR"/>
        </w:rPr>
      </w:pPr>
      <w:r w:rsidRPr="00CE233A">
        <w:rPr>
          <w:rFonts w:eastAsia="MS Mincho"/>
          <w:color w:val="000000"/>
          <w:lang w:val="el-GR"/>
        </w:rPr>
        <w:t xml:space="preserve">176 74 Καλλιθέα </w:t>
      </w:r>
      <w:r w:rsidR="003F4A97" w:rsidRPr="00CE233A">
        <w:rPr>
          <w:rFonts w:eastAsia="MS Mincho"/>
          <w:color w:val="000000"/>
          <w:lang w:val="el-GR"/>
        </w:rPr>
        <w:t>–</w:t>
      </w:r>
      <w:r w:rsidRPr="00CE233A">
        <w:rPr>
          <w:rFonts w:eastAsia="MS Mincho"/>
          <w:color w:val="000000"/>
          <w:lang w:val="el-GR"/>
        </w:rPr>
        <w:t xml:space="preserve"> Αθήνα</w:t>
      </w:r>
      <w:r w:rsidR="003F4A97" w:rsidRPr="00330732">
        <w:rPr>
          <w:rFonts w:eastAsia="MS Mincho"/>
          <w:color w:val="000000"/>
          <w:lang w:val="el-GR"/>
        </w:rPr>
        <w:t xml:space="preserve"> </w:t>
      </w:r>
    </w:p>
    <w:p w:rsidR="006E55B4" w:rsidRPr="00CE233A" w:rsidRDefault="006E55B4" w:rsidP="00BD29DC">
      <w:pPr>
        <w:autoSpaceDE w:val="0"/>
        <w:autoSpaceDN w:val="0"/>
        <w:adjustRightInd w:val="0"/>
        <w:ind w:left="360" w:firstLine="11"/>
        <w:rPr>
          <w:rFonts w:eastAsia="MS Mincho"/>
          <w:lang w:val="el-GR"/>
        </w:rPr>
      </w:pPr>
      <w:r w:rsidRPr="00CE233A">
        <w:rPr>
          <w:rFonts w:eastAsia="MS Mincho"/>
          <w:color w:val="000000"/>
          <w:lang w:val="el-GR"/>
        </w:rPr>
        <w:t>Τηλ.: +30 210 90 01 600</w:t>
      </w:r>
    </w:p>
    <w:p w:rsidR="001F5608" w:rsidRPr="00CE233A" w:rsidRDefault="001F5608" w:rsidP="00840A76">
      <w:pPr>
        <w:ind w:left="66"/>
        <w:rPr>
          <w:bCs/>
          <w:lang w:val="el-GR"/>
        </w:rPr>
      </w:pPr>
    </w:p>
    <w:p w:rsidR="001F5608" w:rsidRPr="00CE233A" w:rsidRDefault="001F5608" w:rsidP="00840A76">
      <w:pPr>
        <w:ind w:left="66"/>
        <w:rPr>
          <w:bCs/>
          <w:lang w:val="el-GR"/>
        </w:rPr>
      </w:pPr>
    </w:p>
    <w:p w:rsidR="001F5608" w:rsidRPr="00CE233A" w:rsidRDefault="001F5608" w:rsidP="00840A76">
      <w:pPr>
        <w:rPr>
          <w:b/>
          <w:lang w:val="el-GR"/>
        </w:rPr>
      </w:pPr>
      <w:r w:rsidRPr="00CE233A">
        <w:rPr>
          <w:b/>
          <w:lang w:val="el-GR"/>
        </w:rPr>
        <w:t>8.    ΑΡΙΘΜΟΣ</w:t>
      </w:r>
      <w:r w:rsidR="006E55B4" w:rsidRPr="00CE233A">
        <w:rPr>
          <w:b/>
          <w:lang w:val="el-GR"/>
        </w:rPr>
        <w:t>(ΟΙ)</w:t>
      </w:r>
      <w:r w:rsidRPr="00CE233A">
        <w:rPr>
          <w:b/>
          <w:lang w:val="el-GR"/>
        </w:rPr>
        <w:t xml:space="preserve"> ΑΔΕΙΑΣ ΚΥΚΛΟΦΟΡΙΑΣ</w:t>
      </w:r>
    </w:p>
    <w:p w:rsidR="001F5608" w:rsidRPr="00CE233A" w:rsidRDefault="001F5608" w:rsidP="00840A76">
      <w:pPr>
        <w:ind w:left="851" w:hanging="426"/>
        <w:rPr>
          <w:b/>
          <w:lang w:val="el-GR"/>
        </w:rPr>
      </w:pPr>
    </w:p>
    <w:p w:rsidR="00AA0F80" w:rsidRPr="00CE233A" w:rsidRDefault="00AA0F80" w:rsidP="00840A76">
      <w:pPr>
        <w:ind w:left="851" w:hanging="426"/>
        <w:rPr>
          <w:b/>
          <w:lang w:val="el-GR"/>
        </w:rPr>
      </w:pPr>
    </w:p>
    <w:p w:rsidR="004857AF" w:rsidRPr="00CE233A" w:rsidRDefault="004857AF" w:rsidP="00840A76">
      <w:pPr>
        <w:ind w:left="851" w:hanging="426"/>
        <w:rPr>
          <w:b/>
          <w:lang w:val="el-GR"/>
        </w:rPr>
      </w:pPr>
    </w:p>
    <w:p w:rsidR="006E55B4" w:rsidRPr="00CE233A" w:rsidRDefault="001F5608" w:rsidP="00BD29DC">
      <w:pPr>
        <w:spacing w:before="24" w:after="24"/>
        <w:ind w:firstLine="426"/>
        <w:rPr>
          <w:b/>
          <w:lang w:val="el-GR"/>
        </w:rPr>
      </w:pPr>
      <w:r w:rsidRPr="00CE233A">
        <w:rPr>
          <w:b/>
          <w:lang w:val="el-GR"/>
        </w:rPr>
        <w:t xml:space="preserve">  </w:t>
      </w:r>
    </w:p>
    <w:p w:rsidR="001F5608" w:rsidRPr="00CE233A" w:rsidRDefault="001F5608" w:rsidP="00840A76">
      <w:pPr>
        <w:ind w:left="426" w:hanging="426"/>
        <w:rPr>
          <w:b/>
          <w:lang w:val="el-GR"/>
        </w:rPr>
      </w:pPr>
      <w:r w:rsidRPr="00CE233A">
        <w:rPr>
          <w:b/>
          <w:lang w:val="el-GR"/>
        </w:rPr>
        <w:lastRenderedPageBreak/>
        <w:t>9.</w:t>
      </w:r>
      <w:r w:rsidRPr="00CE233A">
        <w:rPr>
          <w:b/>
          <w:lang w:val="el-GR"/>
        </w:rPr>
        <w:tab/>
        <w:t xml:space="preserve">ΗΜΕΡΟΜΗΝΙΑ ΠΡΩΤΗΣ </w:t>
      </w:r>
      <w:r w:rsidR="006E55B4" w:rsidRPr="00CE233A">
        <w:rPr>
          <w:b/>
          <w:lang w:val="el-GR"/>
        </w:rPr>
        <w:t xml:space="preserve">ΕΓΚΡΙΣΗΣ/ ΑΝΑΝΕΩΣΗΣ ΤΗΣ </w:t>
      </w:r>
      <w:r w:rsidRPr="00CE233A">
        <w:rPr>
          <w:b/>
          <w:lang w:val="el-GR"/>
        </w:rPr>
        <w:t xml:space="preserve">ΑΔΕΙΑΣ </w:t>
      </w:r>
    </w:p>
    <w:p w:rsidR="001F5608" w:rsidRPr="00CE233A" w:rsidRDefault="001F5608" w:rsidP="00840A76">
      <w:pPr>
        <w:ind w:left="426" w:hanging="426"/>
        <w:rPr>
          <w:b/>
          <w:lang w:val="el-GR"/>
        </w:rPr>
      </w:pPr>
    </w:p>
    <w:p w:rsidR="001F5608" w:rsidRPr="00CE233A" w:rsidRDefault="00CF2B6D" w:rsidP="00840A76">
      <w:pPr>
        <w:ind w:left="851" w:hanging="426"/>
        <w:rPr>
          <w:lang w:val="el-GR"/>
        </w:rPr>
      </w:pPr>
      <w:r w:rsidRPr="00CE233A">
        <w:rPr>
          <w:lang w:val="el-GR"/>
        </w:rPr>
        <w:t>Ημερομηνία πρώτης έγκρισης:</w:t>
      </w:r>
      <w:r w:rsidR="00107552" w:rsidRPr="00CE233A">
        <w:rPr>
          <w:lang w:val="el-GR"/>
        </w:rPr>
        <w:t xml:space="preserve"> 12/09/1995</w:t>
      </w:r>
      <w:r w:rsidRPr="00CE233A">
        <w:rPr>
          <w:lang w:val="el-GR"/>
        </w:rPr>
        <w:t xml:space="preserve"> </w:t>
      </w:r>
    </w:p>
    <w:p w:rsidR="00CF2B6D" w:rsidRPr="00CE233A" w:rsidRDefault="00CF2B6D" w:rsidP="00840A76">
      <w:pPr>
        <w:ind w:left="851" w:hanging="426"/>
        <w:rPr>
          <w:lang w:val="el-GR"/>
        </w:rPr>
      </w:pPr>
      <w:r w:rsidRPr="00CE233A">
        <w:rPr>
          <w:lang w:val="el-GR"/>
        </w:rPr>
        <w:t>Ημερομηνία ανανέωσης της άδειας:</w:t>
      </w:r>
      <w:r w:rsidR="00D1156C" w:rsidRPr="00CE233A">
        <w:rPr>
          <w:lang w:val="el-GR"/>
        </w:rPr>
        <w:t xml:space="preserve"> 15</w:t>
      </w:r>
      <w:r w:rsidRPr="00CE233A">
        <w:rPr>
          <w:lang w:val="el-GR"/>
        </w:rPr>
        <w:t xml:space="preserve"> </w:t>
      </w:r>
      <w:r w:rsidR="00D1156C" w:rsidRPr="00CE233A">
        <w:rPr>
          <w:lang w:val="el-GR"/>
        </w:rPr>
        <w:t>Ιουνίου</w:t>
      </w:r>
      <w:r w:rsidRPr="00CE233A">
        <w:rPr>
          <w:lang w:val="el-GR"/>
        </w:rPr>
        <w:t xml:space="preserve"> </w:t>
      </w:r>
      <w:r w:rsidR="00D1156C" w:rsidRPr="00CE233A">
        <w:rPr>
          <w:lang w:val="el-GR"/>
        </w:rPr>
        <w:t>2010</w:t>
      </w:r>
    </w:p>
    <w:p w:rsidR="006E55B4" w:rsidRPr="00CE233A" w:rsidRDefault="006E55B4" w:rsidP="00840A76">
      <w:pPr>
        <w:ind w:left="851" w:hanging="426"/>
        <w:rPr>
          <w:b/>
          <w:lang w:val="el-GR"/>
        </w:rPr>
      </w:pPr>
    </w:p>
    <w:p w:rsidR="001F5608" w:rsidRPr="00CE233A" w:rsidRDefault="001F5608" w:rsidP="00840A76">
      <w:pPr>
        <w:ind w:left="426"/>
        <w:rPr>
          <w:b/>
          <w:lang w:val="el-GR"/>
        </w:rPr>
      </w:pPr>
      <w:r w:rsidRPr="00CE233A">
        <w:rPr>
          <w:b/>
          <w:lang w:val="el-GR"/>
        </w:rPr>
        <w:t xml:space="preserve">       </w:t>
      </w:r>
    </w:p>
    <w:p w:rsidR="001F5608" w:rsidRPr="00CE233A" w:rsidRDefault="001F5608" w:rsidP="00840A76">
      <w:pPr>
        <w:ind w:left="426" w:hanging="426"/>
        <w:rPr>
          <w:b/>
          <w:lang w:val="el-GR"/>
        </w:rPr>
      </w:pPr>
      <w:r w:rsidRPr="00CE233A">
        <w:rPr>
          <w:b/>
          <w:lang w:val="el-GR"/>
        </w:rPr>
        <w:t>10.</w:t>
      </w:r>
      <w:r w:rsidRPr="00CE233A">
        <w:rPr>
          <w:b/>
          <w:lang w:val="el-GR"/>
        </w:rPr>
        <w:tab/>
        <w:t>ΗΜΕΡΟΜΗΝΙΑ ΑΝΑΘΕΩΡΗΣΗΣ ΤΟΥ ΚΕΙΜΕΝΟΥ</w:t>
      </w:r>
    </w:p>
    <w:p w:rsidR="001F5608" w:rsidRPr="00CE233A" w:rsidRDefault="001F5608" w:rsidP="00840A76">
      <w:pPr>
        <w:ind w:left="426" w:hanging="426"/>
        <w:rPr>
          <w:lang w:val="el-GR"/>
        </w:rPr>
      </w:pPr>
      <w:r w:rsidRPr="00CE233A">
        <w:rPr>
          <w:lang w:val="el-GR"/>
        </w:rPr>
        <w:tab/>
      </w:r>
    </w:p>
    <w:p w:rsidR="001F5608" w:rsidRPr="00CE233A" w:rsidRDefault="001F5608" w:rsidP="00BD29DC">
      <w:pPr>
        <w:ind w:left="426" w:hanging="426"/>
        <w:rPr>
          <w:lang w:val="el-GR"/>
        </w:rPr>
      </w:pPr>
      <w:r w:rsidRPr="00CE233A">
        <w:rPr>
          <w:lang w:val="el-GR"/>
        </w:rPr>
        <w:tab/>
      </w:r>
    </w:p>
    <w:sectPr w:rsidR="001F5608" w:rsidRPr="00CE233A" w:rsidSect="0064648E">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03" w:rsidRDefault="00ED7003">
      <w:r>
        <w:separator/>
      </w:r>
    </w:p>
  </w:endnote>
  <w:endnote w:type="continuationSeparator" w:id="0">
    <w:p w:rsidR="00ED7003" w:rsidRDefault="00ED7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49" w:rsidRDefault="00971A6C">
    <w:pPr>
      <w:pStyle w:val="a5"/>
      <w:framePr w:wrap="around" w:vAnchor="text" w:hAnchor="margin" w:xAlign="right" w:y="1"/>
      <w:rPr>
        <w:rStyle w:val="a6"/>
      </w:rPr>
    </w:pPr>
    <w:r>
      <w:rPr>
        <w:rStyle w:val="a6"/>
      </w:rPr>
      <w:fldChar w:fldCharType="begin"/>
    </w:r>
    <w:r w:rsidR="00183649">
      <w:rPr>
        <w:rStyle w:val="a6"/>
      </w:rPr>
      <w:instrText xml:space="preserve">PAGE  </w:instrText>
    </w:r>
    <w:r>
      <w:rPr>
        <w:rStyle w:val="a6"/>
      </w:rPr>
      <w:fldChar w:fldCharType="end"/>
    </w:r>
  </w:p>
  <w:p w:rsidR="00183649" w:rsidRDefault="0018364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49" w:rsidRDefault="00971A6C">
    <w:pPr>
      <w:pStyle w:val="a5"/>
      <w:framePr w:wrap="around" w:vAnchor="text" w:hAnchor="margin" w:xAlign="right" w:y="1"/>
      <w:rPr>
        <w:rStyle w:val="a6"/>
        <w:sz w:val="20"/>
      </w:rPr>
    </w:pPr>
    <w:r>
      <w:rPr>
        <w:rStyle w:val="a6"/>
        <w:sz w:val="20"/>
      </w:rPr>
      <w:fldChar w:fldCharType="begin"/>
    </w:r>
    <w:r w:rsidR="00183649">
      <w:rPr>
        <w:rStyle w:val="a6"/>
        <w:sz w:val="20"/>
      </w:rPr>
      <w:instrText xml:space="preserve">PAGE  </w:instrText>
    </w:r>
    <w:r>
      <w:rPr>
        <w:rStyle w:val="a6"/>
        <w:sz w:val="20"/>
      </w:rPr>
      <w:fldChar w:fldCharType="separate"/>
    </w:r>
    <w:r w:rsidR="00330732">
      <w:rPr>
        <w:rStyle w:val="a6"/>
        <w:noProof/>
        <w:sz w:val="20"/>
      </w:rPr>
      <w:t>18</w:t>
    </w:r>
    <w:r>
      <w:rPr>
        <w:rStyle w:val="a6"/>
        <w:sz w:val="20"/>
      </w:rPr>
      <w:fldChar w:fldCharType="end"/>
    </w:r>
  </w:p>
  <w:p w:rsidR="00183649" w:rsidRPr="005D7737" w:rsidRDefault="00183649">
    <w:pPr>
      <w:pStyle w:val="a5"/>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03" w:rsidRDefault="00ED7003">
      <w:r>
        <w:separator/>
      </w:r>
    </w:p>
  </w:footnote>
  <w:footnote w:type="continuationSeparator" w:id="0">
    <w:p w:rsidR="00ED7003" w:rsidRDefault="00ED7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5D1E27"/>
    <w:multiLevelType w:val="hybridMultilevel"/>
    <w:tmpl w:val="E79AA860"/>
    <w:lvl w:ilvl="0" w:tplc="AE7C7494">
      <w:start w:val="1"/>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nsid w:val="07074199"/>
    <w:multiLevelType w:val="hybridMultilevel"/>
    <w:tmpl w:val="41FEFF0E"/>
    <w:lvl w:ilvl="0" w:tplc="F0C427C0">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73A73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7976025"/>
    <w:multiLevelType w:val="hybridMultilevel"/>
    <w:tmpl w:val="48AA1A30"/>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nsid w:val="08A269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8A51631"/>
    <w:multiLevelType w:val="hybridMultilevel"/>
    <w:tmpl w:val="F05481B2"/>
    <w:lvl w:ilvl="0" w:tplc="04090001">
      <w:start w:val="1"/>
      <w:numFmt w:val="bullet"/>
      <w:lvlText w:val=""/>
      <w:lvlJc w:val="left"/>
      <w:pPr>
        <w:tabs>
          <w:tab w:val="num" w:pos="1506"/>
        </w:tabs>
        <w:ind w:left="1506" w:hanging="360"/>
      </w:pPr>
      <w:rPr>
        <w:rFonts w:ascii="Symbol" w:hAnsi="Symbol" w:hint="default"/>
      </w:rPr>
    </w:lvl>
    <w:lvl w:ilvl="1" w:tplc="04090003" w:tentative="1">
      <w:start w:val="1"/>
      <w:numFmt w:val="bullet"/>
      <w:lvlText w:val="o"/>
      <w:lvlJc w:val="left"/>
      <w:pPr>
        <w:tabs>
          <w:tab w:val="num" w:pos="2226"/>
        </w:tabs>
        <w:ind w:left="2226" w:hanging="360"/>
      </w:pPr>
      <w:rPr>
        <w:rFonts w:ascii="Courier New" w:hAnsi="Courier New" w:hint="default"/>
      </w:rPr>
    </w:lvl>
    <w:lvl w:ilvl="2" w:tplc="04090005" w:tentative="1">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7">
    <w:nsid w:val="1E2114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25A0897"/>
    <w:multiLevelType w:val="hybridMultilevel"/>
    <w:tmpl w:val="5D0C061C"/>
    <w:lvl w:ilvl="0" w:tplc="F0C427C0">
      <w:start w:val="3"/>
      <w:numFmt w:val="bullet"/>
      <w:lvlText w:val="-"/>
      <w:lvlJc w:val="left"/>
      <w:pPr>
        <w:tabs>
          <w:tab w:val="num" w:pos="1080"/>
        </w:tabs>
        <w:ind w:left="1060" w:hanging="340"/>
      </w:pPr>
      <w:rPr>
        <w:rFonts w:ascii="Times New Roman" w:eastAsia="Times New Roman" w:hAnsi="Times New Roman" w:cs="Times New Roman" w:hint="default"/>
        <w:color w:val="auto"/>
        <w:sz w:val="22"/>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9554A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A0839FC"/>
    <w:multiLevelType w:val="multilevel"/>
    <w:tmpl w:val="82F68264"/>
    <w:lvl w:ilvl="0">
      <w:start w:val="6"/>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C311F70"/>
    <w:multiLevelType w:val="hybridMultilevel"/>
    <w:tmpl w:val="86362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394368"/>
    <w:multiLevelType w:val="multilevel"/>
    <w:tmpl w:val="5D74B99A"/>
    <w:lvl w:ilvl="0">
      <w:start w:val="1"/>
      <w:numFmt w:val="bullet"/>
      <w:lvlText w:val=""/>
      <w:lvlJc w:val="left"/>
      <w:pPr>
        <w:tabs>
          <w:tab w:val="num" w:pos="1146"/>
        </w:tabs>
        <w:ind w:left="1146"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ED7C77"/>
    <w:multiLevelType w:val="hybridMultilevel"/>
    <w:tmpl w:val="73060D6A"/>
    <w:lvl w:ilvl="0" w:tplc="DA0EEDA4">
      <w:start w:val="1"/>
      <w:numFmt w:val="bullet"/>
      <w:lvlText w:val=""/>
      <w:lvlJc w:val="left"/>
      <w:pPr>
        <w:tabs>
          <w:tab w:val="num" w:pos="1080"/>
        </w:tabs>
        <w:ind w:left="1060" w:hanging="340"/>
      </w:pPr>
      <w:rPr>
        <w:rFonts w:ascii="Symbol" w:hAnsi="Symbol" w:hint="default"/>
        <w:color w:val="auto"/>
        <w:sz w:val="22"/>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7E0279A"/>
    <w:multiLevelType w:val="hybridMultilevel"/>
    <w:tmpl w:val="253A8AE6"/>
    <w:lvl w:ilvl="0" w:tplc="AA4A65A6">
      <w:start w:val="1"/>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4A9F0095"/>
    <w:multiLevelType w:val="hybridMultilevel"/>
    <w:tmpl w:val="869EF5E6"/>
    <w:lvl w:ilvl="0" w:tplc="34A8978E">
      <w:start w:val="1"/>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4D725FC5"/>
    <w:multiLevelType w:val="hybridMultilevel"/>
    <w:tmpl w:val="AAEED8E4"/>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F746194"/>
    <w:multiLevelType w:val="hybridMultilevel"/>
    <w:tmpl w:val="990C04A8"/>
    <w:lvl w:ilvl="0" w:tplc="CD1E71A8">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1740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DAE5CBF"/>
    <w:multiLevelType w:val="hybridMultilevel"/>
    <w:tmpl w:val="90466A80"/>
    <w:lvl w:ilvl="0" w:tplc="3C3C42CC">
      <w:start w:val="1"/>
      <w:numFmt w:val="bullet"/>
      <w:lvlText w:val="-"/>
      <w:lvlJc w:val="left"/>
      <w:pPr>
        <w:tabs>
          <w:tab w:val="num" w:pos="2160"/>
        </w:tabs>
        <w:ind w:left="2160" w:hanging="360"/>
      </w:pPr>
      <w:rPr>
        <w:rFonts w:ascii="Times New Roman" w:hAnsi="Times New Roman" w:cs="Times New Roman" w:hint="default"/>
        <w:color w:val="auto"/>
      </w:rPr>
    </w:lvl>
    <w:lvl w:ilvl="1" w:tplc="59D4889E">
      <w:start w:val="1"/>
      <w:numFmt w:val="bullet"/>
      <w:lvlText w:val=""/>
      <w:lvlJc w:val="left"/>
      <w:pPr>
        <w:tabs>
          <w:tab w:val="num" w:pos="2160"/>
        </w:tabs>
        <w:ind w:left="2140" w:hanging="340"/>
      </w:pPr>
      <w:rPr>
        <w:rFonts w:ascii="Symbol" w:hAnsi="Symbol" w:cs="Times New Roman" w:hint="default"/>
        <w:color w:val="auto"/>
        <w:sz w:val="22"/>
        <w:szCs w:val="1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0"/>
    <w:lvlOverride w:ilvl="0">
      <w:lvl w:ilvl="0">
        <w:numFmt w:val="bullet"/>
        <w:lvlText w:val=""/>
        <w:legacy w:legacy="1" w:legacySpace="0" w:legacyIndent="283"/>
        <w:lvlJc w:val="left"/>
        <w:pPr>
          <w:ind w:left="709" w:hanging="283"/>
        </w:pPr>
        <w:rPr>
          <w:rFonts w:ascii="Symbol" w:hAnsi="Symbol" w:hint="default"/>
          <w:sz w:val="22"/>
        </w:rPr>
      </w:lvl>
    </w:lvlOverride>
  </w:num>
  <w:num w:numId="4">
    <w:abstractNumId w:val="0"/>
    <w:lvlOverride w:ilvl="0">
      <w:lvl w:ilvl="0">
        <w:numFmt w:val="bullet"/>
        <w:lvlText w:val=""/>
        <w:legacy w:legacy="1" w:legacySpace="0" w:legacyIndent="426"/>
        <w:lvlJc w:val="left"/>
        <w:pPr>
          <w:ind w:left="426" w:hanging="426"/>
        </w:pPr>
        <w:rPr>
          <w:rFonts w:ascii="Symbol" w:hAnsi="Symbol" w:hint="default"/>
        </w:rPr>
      </w:lvl>
    </w:lvlOverride>
  </w:num>
  <w:num w:numId="5">
    <w:abstractNumId w:val="7"/>
  </w:num>
  <w:num w:numId="6">
    <w:abstractNumId w:val="7"/>
  </w:num>
  <w:num w:numId="7">
    <w:abstractNumId w:val="3"/>
  </w:num>
  <w:num w:numId="8">
    <w:abstractNumId w:val="3"/>
  </w:num>
  <w:num w:numId="9">
    <w:abstractNumId w:val="18"/>
  </w:num>
  <w:num w:numId="10">
    <w:abstractNumId w:val="18"/>
  </w:num>
  <w:num w:numId="11">
    <w:abstractNumId w:val="9"/>
  </w:num>
  <w:num w:numId="12">
    <w:abstractNumId w:val="9"/>
  </w:num>
  <w:num w:numId="13">
    <w:abstractNumId w:val="5"/>
  </w:num>
  <w:num w:numId="14">
    <w:abstractNumId w:val="5"/>
  </w:num>
  <w:num w:numId="15">
    <w:abstractNumId w:val="10"/>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2"/>
  </w:num>
  <w:num w:numId="24">
    <w:abstractNumId w:val="4"/>
  </w:num>
  <w:num w:numId="25">
    <w:abstractNumId w:val="11"/>
  </w:num>
  <w:num w:numId="26">
    <w:abstractNumId w:val="6"/>
  </w:num>
  <w:num w:numId="27">
    <w:abstractNumId w:val="15"/>
  </w:num>
  <w:num w:numId="28">
    <w:abstractNumId w:val="13"/>
  </w:num>
  <w:num w:numId="29">
    <w:abstractNumId w:val="17"/>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9A6E94"/>
    <w:rsid w:val="00002402"/>
    <w:rsid w:val="000058DE"/>
    <w:rsid w:val="0001209E"/>
    <w:rsid w:val="00014FB4"/>
    <w:rsid w:val="000153FC"/>
    <w:rsid w:val="0001546B"/>
    <w:rsid w:val="000165F4"/>
    <w:rsid w:val="00022C05"/>
    <w:rsid w:val="000255DD"/>
    <w:rsid w:val="00026680"/>
    <w:rsid w:val="00031B85"/>
    <w:rsid w:val="000328B6"/>
    <w:rsid w:val="000363F5"/>
    <w:rsid w:val="000441B8"/>
    <w:rsid w:val="00046777"/>
    <w:rsid w:val="000506D1"/>
    <w:rsid w:val="0005084A"/>
    <w:rsid w:val="00054B03"/>
    <w:rsid w:val="000551CE"/>
    <w:rsid w:val="00055B77"/>
    <w:rsid w:val="00060E1A"/>
    <w:rsid w:val="0006259D"/>
    <w:rsid w:val="000642E3"/>
    <w:rsid w:val="00072FAA"/>
    <w:rsid w:val="00075404"/>
    <w:rsid w:val="00077925"/>
    <w:rsid w:val="00077A67"/>
    <w:rsid w:val="00081658"/>
    <w:rsid w:val="000846D4"/>
    <w:rsid w:val="000A3858"/>
    <w:rsid w:val="000A7D42"/>
    <w:rsid w:val="000B76E5"/>
    <w:rsid w:val="000B7824"/>
    <w:rsid w:val="000C1E54"/>
    <w:rsid w:val="000C621D"/>
    <w:rsid w:val="000D0D37"/>
    <w:rsid w:val="000D2C53"/>
    <w:rsid w:val="000D3C0F"/>
    <w:rsid w:val="000D50B1"/>
    <w:rsid w:val="000D6017"/>
    <w:rsid w:val="000D65AC"/>
    <w:rsid w:val="000E79DE"/>
    <w:rsid w:val="000F0FC1"/>
    <w:rsid w:val="000F1E66"/>
    <w:rsid w:val="000F7CD9"/>
    <w:rsid w:val="00103959"/>
    <w:rsid w:val="0010452F"/>
    <w:rsid w:val="001061D9"/>
    <w:rsid w:val="00107552"/>
    <w:rsid w:val="001118F0"/>
    <w:rsid w:val="00113425"/>
    <w:rsid w:val="00113B7F"/>
    <w:rsid w:val="00113DD5"/>
    <w:rsid w:val="00116C96"/>
    <w:rsid w:val="001300A8"/>
    <w:rsid w:val="001311EC"/>
    <w:rsid w:val="001319C7"/>
    <w:rsid w:val="00137FA7"/>
    <w:rsid w:val="00142909"/>
    <w:rsid w:val="00145ACF"/>
    <w:rsid w:val="00146B43"/>
    <w:rsid w:val="00153E53"/>
    <w:rsid w:val="00173728"/>
    <w:rsid w:val="001766F8"/>
    <w:rsid w:val="0018021F"/>
    <w:rsid w:val="001811CD"/>
    <w:rsid w:val="00182155"/>
    <w:rsid w:val="00183649"/>
    <w:rsid w:val="00193881"/>
    <w:rsid w:val="00193EC1"/>
    <w:rsid w:val="00194ABA"/>
    <w:rsid w:val="00197101"/>
    <w:rsid w:val="0019750C"/>
    <w:rsid w:val="001A0795"/>
    <w:rsid w:val="001A7F1E"/>
    <w:rsid w:val="001B2D84"/>
    <w:rsid w:val="001B51AC"/>
    <w:rsid w:val="001B650A"/>
    <w:rsid w:val="001C57DA"/>
    <w:rsid w:val="001D03C3"/>
    <w:rsid w:val="001D6B75"/>
    <w:rsid w:val="001E2A43"/>
    <w:rsid w:val="001F349F"/>
    <w:rsid w:val="001F4EB6"/>
    <w:rsid w:val="001F5608"/>
    <w:rsid w:val="00211B19"/>
    <w:rsid w:val="00216134"/>
    <w:rsid w:val="00222F45"/>
    <w:rsid w:val="002347B8"/>
    <w:rsid w:val="00234DC3"/>
    <w:rsid w:val="0023685A"/>
    <w:rsid w:val="00243D00"/>
    <w:rsid w:val="00244680"/>
    <w:rsid w:val="002466D3"/>
    <w:rsid w:val="00247627"/>
    <w:rsid w:val="00251C3F"/>
    <w:rsid w:val="00252133"/>
    <w:rsid w:val="002534DD"/>
    <w:rsid w:val="00256282"/>
    <w:rsid w:val="002618A5"/>
    <w:rsid w:val="00262985"/>
    <w:rsid w:val="0027089C"/>
    <w:rsid w:val="002739DC"/>
    <w:rsid w:val="00273F28"/>
    <w:rsid w:val="00276E91"/>
    <w:rsid w:val="00287CEE"/>
    <w:rsid w:val="0029581A"/>
    <w:rsid w:val="002960A6"/>
    <w:rsid w:val="002979B9"/>
    <w:rsid w:val="00297D27"/>
    <w:rsid w:val="002A4CEB"/>
    <w:rsid w:val="002A614B"/>
    <w:rsid w:val="002B103E"/>
    <w:rsid w:val="002B49EE"/>
    <w:rsid w:val="002B7D6D"/>
    <w:rsid w:val="002B7ED7"/>
    <w:rsid w:val="002C1E68"/>
    <w:rsid w:val="002D1C64"/>
    <w:rsid w:val="002D58DD"/>
    <w:rsid w:val="002D7BBD"/>
    <w:rsid w:val="002E3420"/>
    <w:rsid w:val="003034C8"/>
    <w:rsid w:val="003048AB"/>
    <w:rsid w:val="00305962"/>
    <w:rsid w:val="00305D35"/>
    <w:rsid w:val="00307EAE"/>
    <w:rsid w:val="0031061A"/>
    <w:rsid w:val="00315416"/>
    <w:rsid w:val="0031764F"/>
    <w:rsid w:val="003235F4"/>
    <w:rsid w:val="00323A58"/>
    <w:rsid w:val="00324AA0"/>
    <w:rsid w:val="00324C90"/>
    <w:rsid w:val="0033028C"/>
    <w:rsid w:val="00330732"/>
    <w:rsid w:val="00334196"/>
    <w:rsid w:val="00337ACC"/>
    <w:rsid w:val="00342EBA"/>
    <w:rsid w:val="00345A30"/>
    <w:rsid w:val="003507EA"/>
    <w:rsid w:val="00352865"/>
    <w:rsid w:val="00356CF4"/>
    <w:rsid w:val="00357B87"/>
    <w:rsid w:val="003602EC"/>
    <w:rsid w:val="00360924"/>
    <w:rsid w:val="00363993"/>
    <w:rsid w:val="00367A91"/>
    <w:rsid w:val="00372EE5"/>
    <w:rsid w:val="00380678"/>
    <w:rsid w:val="003821B4"/>
    <w:rsid w:val="003850FB"/>
    <w:rsid w:val="00391915"/>
    <w:rsid w:val="00393518"/>
    <w:rsid w:val="00394416"/>
    <w:rsid w:val="0039458C"/>
    <w:rsid w:val="00396DA3"/>
    <w:rsid w:val="00397CCF"/>
    <w:rsid w:val="003A1275"/>
    <w:rsid w:val="003A3B7C"/>
    <w:rsid w:val="003B201A"/>
    <w:rsid w:val="003B23A1"/>
    <w:rsid w:val="003B2719"/>
    <w:rsid w:val="003B4860"/>
    <w:rsid w:val="003B5B7C"/>
    <w:rsid w:val="003C2EAB"/>
    <w:rsid w:val="003C3024"/>
    <w:rsid w:val="003D2A36"/>
    <w:rsid w:val="003D4E07"/>
    <w:rsid w:val="003D7891"/>
    <w:rsid w:val="003E1C6D"/>
    <w:rsid w:val="003E5669"/>
    <w:rsid w:val="003F077B"/>
    <w:rsid w:val="003F0BA2"/>
    <w:rsid w:val="003F4A97"/>
    <w:rsid w:val="003F6E99"/>
    <w:rsid w:val="0040270A"/>
    <w:rsid w:val="00404981"/>
    <w:rsid w:val="00405C9B"/>
    <w:rsid w:val="004068BD"/>
    <w:rsid w:val="00406945"/>
    <w:rsid w:val="00407FF4"/>
    <w:rsid w:val="00411489"/>
    <w:rsid w:val="00416058"/>
    <w:rsid w:val="00416F2B"/>
    <w:rsid w:val="00423B3E"/>
    <w:rsid w:val="004242CD"/>
    <w:rsid w:val="00426A5E"/>
    <w:rsid w:val="00427037"/>
    <w:rsid w:val="00432B86"/>
    <w:rsid w:val="00442460"/>
    <w:rsid w:val="004507FF"/>
    <w:rsid w:val="004552C3"/>
    <w:rsid w:val="00457D3C"/>
    <w:rsid w:val="0046055D"/>
    <w:rsid w:val="004712B2"/>
    <w:rsid w:val="004753F3"/>
    <w:rsid w:val="00475E9F"/>
    <w:rsid w:val="00483376"/>
    <w:rsid w:val="004857AF"/>
    <w:rsid w:val="0048598D"/>
    <w:rsid w:val="00491613"/>
    <w:rsid w:val="004960E4"/>
    <w:rsid w:val="004A391B"/>
    <w:rsid w:val="004B7695"/>
    <w:rsid w:val="004C59D7"/>
    <w:rsid w:val="004D28A0"/>
    <w:rsid w:val="004E1A1A"/>
    <w:rsid w:val="004E6CFF"/>
    <w:rsid w:val="004F76D3"/>
    <w:rsid w:val="004F791E"/>
    <w:rsid w:val="004F7F3B"/>
    <w:rsid w:val="00500B03"/>
    <w:rsid w:val="00501B79"/>
    <w:rsid w:val="00502872"/>
    <w:rsid w:val="00507565"/>
    <w:rsid w:val="00507C93"/>
    <w:rsid w:val="005114C3"/>
    <w:rsid w:val="00513E8B"/>
    <w:rsid w:val="005142DA"/>
    <w:rsid w:val="00514B45"/>
    <w:rsid w:val="00516343"/>
    <w:rsid w:val="00520078"/>
    <w:rsid w:val="00524002"/>
    <w:rsid w:val="005247F0"/>
    <w:rsid w:val="00534D65"/>
    <w:rsid w:val="00537459"/>
    <w:rsid w:val="00545793"/>
    <w:rsid w:val="00550806"/>
    <w:rsid w:val="005618FA"/>
    <w:rsid w:val="00563CDA"/>
    <w:rsid w:val="00586C74"/>
    <w:rsid w:val="00591F90"/>
    <w:rsid w:val="00595B04"/>
    <w:rsid w:val="005A30C8"/>
    <w:rsid w:val="005A40BA"/>
    <w:rsid w:val="005B0CCC"/>
    <w:rsid w:val="005B160B"/>
    <w:rsid w:val="005B1AE9"/>
    <w:rsid w:val="005B24D5"/>
    <w:rsid w:val="005B2721"/>
    <w:rsid w:val="005C0796"/>
    <w:rsid w:val="005C5FEE"/>
    <w:rsid w:val="005D7737"/>
    <w:rsid w:val="005E0494"/>
    <w:rsid w:val="005E2473"/>
    <w:rsid w:val="005E3E52"/>
    <w:rsid w:val="005E654F"/>
    <w:rsid w:val="005E6AA1"/>
    <w:rsid w:val="005F3EB0"/>
    <w:rsid w:val="005F47D9"/>
    <w:rsid w:val="005F5443"/>
    <w:rsid w:val="00600844"/>
    <w:rsid w:val="006016F0"/>
    <w:rsid w:val="0061330E"/>
    <w:rsid w:val="00613FFE"/>
    <w:rsid w:val="00614783"/>
    <w:rsid w:val="00614F83"/>
    <w:rsid w:val="00615B84"/>
    <w:rsid w:val="006207AE"/>
    <w:rsid w:val="00625B55"/>
    <w:rsid w:val="006266D9"/>
    <w:rsid w:val="00627B6B"/>
    <w:rsid w:val="0063582B"/>
    <w:rsid w:val="006373D2"/>
    <w:rsid w:val="00641E89"/>
    <w:rsid w:val="0064648E"/>
    <w:rsid w:val="00655E8C"/>
    <w:rsid w:val="00656AF6"/>
    <w:rsid w:val="00665EAB"/>
    <w:rsid w:val="006662F8"/>
    <w:rsid w:val="006743D6"/>
    <w:rsid w:val="006940E2"/>
    <w:rsid w:val="006A00AF"/>
    <w:rsid w:val="006A2D93"/>
    <w:rsid w:val="006A2EAE"/>
    <w:rsid w:val="006A308F"/>
    <w:rsid w:val="006A616B"/>
    <w:rsid w:val="006A7250"/>
    <w:rsid w:val="006B03A1"/>
    <w:rsid w:val="006B44F5"/>
    <w:rsid w:val="006B511D"/>
    <w:rsid w:val="006B6D79"/>
    <w:rsid w:val="006C0CCF"/>
    <w:rsid w:val="006C3A9C"/>
    <w:rsid w:val="006C3F77"/>
    <w:rsid w:val="006C6BAC"/>
    <w:rsid w:val="006E0F89"/>
    <w:rsid w:val="006E55B4"/>
    <w:rsid w:val="006E6511"/>
    <w:rsid w:val="006F06EF"/>
    <w:rsid w:val="006F46A9"/>
    <w:rsid w:val="006F748B"/>
    <w:rsid w:val="00705990"/>
    <w:rsid w:val="0071444C"/>
    <w:rsid w:val="00715740"/>
    <w:rsid w:val="00715C04"/>
    <w:rsid w:val="00717E26"/>
    <w:rsid w:val="00724A3D"/>
    <w:rsid w:val="00725115"/>
    <w:rsid w:val="007279B6"/>
    <w:rsid w:val="0073799E"/>
    <w:rsid w:val="00740F53"/>
    <w:rsid w:val="007416C3"/>
    <w:rsid w:val="0074172A"/>
    <w:rsid w:val="0074263D"/>
    <w:rsid w:val="00747D58"/>
    <w:rsid w:val="00750E95"/>
    <w:rsid w:val="007520B5"/>
    <w:rsid w:val="00762882"/>
    <w:rsid w:val="00763135"/>
    <w:rsid w:val="00772269"/>
    <w:rsid w:val="00772AF8"/>
    <w:rsid w:val="00775FF5"/>
    <w:rsid w:val="00783B7D"/>
    <w:rsid w:val="00786CF7"/>
    <w:rsid w:val="007926B1"/>
    <w:rsid w:val="007940C5"/>
    <w:rsid w:val="007A2872"/>
    <w:rsid w:val="007A3F2E"/>
    <w:rsid w:val="007A4CCC"/>
    <w:rsid w:val="007B05FA"/>
    <w:rsid w:val="007B6629"/>
    <w:rsid w:val="007B7CC9"/>
    <w:rsid w:val="007D27B5"/>
    <w:rsid w:val="007D6260"/>
    <w:rsid w:val="007E61EF"/>
    <w:rsid w:val="007E77C8"/>
    <w:rsid w:val="007F26C9"/>
    <w:rsid w:val="00800A58"/>
    <w:rsid w:val="008112BD"/>
    <w:rsid w:val="00814A9C"/>
    <w:rsid w:val="0082337B"/>
    <w:rsid w:val="00823411"/>
    <w:rsid w:val="0083109E"/>
    <w:rsid w:val="00834421"/>
    <w:rsid w:val="00835677"/>
    <w:rsid w:val="00840A76"/>
    <w:rsid w:val="00844350"/>
    <w:rsid w:val="008449B2"/>
    <w:rsid w:val="008454B6"/>
    <w:rsid w:val="0085071F"/>
    <w:rsid w:val="00860D5B"/>
    <w:rsid w:val="008622A8"/>
    <w:rsid w:val="00863E6A"/>
    <w:rsid w:val="0086438D"/>
    <w:rsid w:val="00864A98"/>
    <w:rsid w:val="00876AA1"/>
    <w:rsid w:val="00882BB1"/>
    <w:rsid w:val="00885EAD"/>
    <w:rsid w:val="00893C2A"/>
    <w:rsid w:val="008960FD"/>
    <w:rsid w:val="00897A48"/>
    <w:rsid w:val="008A160E"/>
    <w:rsid w:val="008A1BAE"/>
    <w:rsid w:val="008A2BD4"/>
    <w:rsid w:val="008A5A5C"/>
    <w:rsid w:val="008B0AAA"/>
    <w:rsid w:val="008B114C"/>
    <w:rsid w:val="008B31E9"/>
    <w:rsid w:val="008B508E"/>
    <w:rsid w:val="008B5CAD"/>
    <w:rsid w:val="008B6F6D"/>
    <w:rsid w:val="008C04AB"/>
    <w:rsid w:val="008D4679"/>
    <w:rsid w:val="008D6445"/>
    <w:rsid w:val="008E3A06"/>
    <w:rsid w:val="008E6E21"/>
    <w:rsid w:val="008F0E47"/>
    <w:rsid w:val="008F1731"/>
    <w:rsid w:val="008F1942"/>
    <w:rsid w:val="008F7A37"/>
    <w:rsid w:val="008F7AE3"/>
    <w:rsid w:val="00900425"/>
    <w:rsid w:val="009004D8"/>
    <w:rsid w:val="00901816"/>
    <w:rsid w:val="0091275C"/>
    <w:rsid w:val="009155CA"/>
    <w:rsid w:val="00916484"/>
    <w:rsid w:val="009232F9"/>
    <w:rsid w:val="009249A2"/>
    <w:rsid w:val="00926931"/>
    <w:rsid w:val="00933A29"/>
    <w:rsid w:val="00934770"/>
    <w:rsid w:val="009377AA"/>
    <w:rsid w:val="00937F05"/>
    <w:rsid w:val="009405FD"/>
    <w:rsid w:val="009470F2"/>
    <w:rsid w:val="009554E1"/>
    <w:rsid w:val="00955B30"/>
    <w:rsid w:val="009562B7"/>
    <w:rsid w:val="009567A8"/>
    <w:rsid w:val="00960038"/>
    <w:rsid w:val="00963DB7"/>
    <w:rsid w:val="00971A6C"/>
    <w:rsid w:val="00971B3E"/>
    <w:rsid w:val="00974098"/>
    <w:rsid w:val="00975C43"/>
    <w:rsid w:val="00982FA8"/>
    <w:rsid w:val="00985423"/>
    <w:rsid w:val="009929B0"/>
    <w:rsid w:val="00992AC7"/>
    <w:rsid w:val="00993C2B"/>
    <w:rsid w:val="00994649"/>
    <w:rsid w:val="009965B7"/>
    <w:rsid w:val="009A6E94"/>
    <w:rsid w:val="009B039D"/>
    <w:rsid w:val="009C1ACF"/>
    <w:rsid w:val="009D37C1"/>
    <w:rsid w:val="009D3AA5"/>
    <w:rsid w:val="009D541D"/>
    <w:rsid w:val="009D6071"/>
    <w:rsid w:val="009E250E"/>
    <w:rsid w:val="009E763D"/>
    <w:rsid w:val="009F1309"/>
    <w:rsid w:val="009F269D"/>
    <w:rsid w:val="00A03B9A"/>
    <w:rsid w:val="00A041ED"/>
    <w:rsid w:val="00A06D34"/>
    <w:rsid w:val="00A12CD3"/>
    <w:rsid w:val="00A20A1B"/>
    <w:rsid w:val="00A25A88"/>
    <w:rsid w:val="00A414FB"/>
    <w:rsid w:val="00A44C00"/>
    <w:rsid w:val="00A6067B"/>
    <w:rsid w:val="00A61D7A"/>
    <w:rsid w:val="00A74BFB"/>
    <w:rsid w:val="00A822A1"/>
    <w:rsid w:val="00A83BB1"/>
    <w:rsid w:val="00A844CC"/>
    <w:rsid w:val="00A90423"/>
    <w:rsid w:val="00A96CA9"/>
    <w:rsid w:val="00AA0F80"/>
    <w:rsid w:val="00AA10CD"/>
    <w:rsid w:val="00AA395E"/>
    <w:rsid w:val="00AA6E4B"/>
    <w:rsid w:val="00AB58A9"/>
    <w:rsid w:val="00AB6015"/>
    <w:rsid w:val="00AC17EF"/>
    <w:rsid w:val="00AC580D"/>
    <w:rsid w:val="00AD09CF"/>
    <w:rsid w:val="00AD2730"/>
    <w:rsid w:val="00AE42FB"/>
    <w:rsid w:val="00AE4978"/>
    <w:rsid w:val="00AE66D1"/>
    <w:rsid w:val="00AF0D0C"/>
    <w:rsid w:val="00AF5223"/>
    <w:rsid w:val="00B02AA6"/>
    <w:rsid w:val="00B032F8"/>
    <w:rsid w:val="00B0630E"/>
    <w:rsid w:val="00B06E3C"/>
    <w:rsid w:val="00B10197"/>
    <w:rsid w:val="00B111AE"/>
    <w:rsid w:val="00B114D4"/>
    <w:rsid w:val="00B15CB6"/>
    <w:rsid w:val="00B173CC"/>
    <w:rsid w:val="00B21CB2"/>
    <w:rsid w:val="00B24130"/>
    <w:rsid w:val="00B32579"/>
    <w:rsid w:val="00B36274"/>
    <w:rsid w:val="00B440E9"/>
    <w:rsid w:val="00B51128"/>
    <w:rsid w:val="00B522C2"/>
    <w:rsid w:val="00B67613"/>
    <w:rsid w:val="00B7191A"/>
    <w:rsid w:val="00B76E7F"/>
    <w:rsid w:val="00B832D8"/>
    <w:rsid w:val="00B83D57"/>
    <w:rsid w:val="00B843B2"/>
    <w:rsid w:val="00B850B2"/>
    <w:rsid w:val="00B86223"/>
    <w:rsid w:val="00B90C37"/>
    <w:rsid w:val="00B9169A"/>
    <w:rsid w:val="00B95FE2"/>
    <w:rsid w:val="00B975F6"/>
    <w:rsid w:val="00BA4AA5"/>
    <w:rsid w:val="00BA55DC"/>
    <w:rsid w:val="00BB29C4"/>
    <w:rsid w:val="00BB2BE0"/>
    <w:rsid w:val="00BC16B0"/>
    <w:rsid w:val="00BC5E9E"/>
    <w:rsid w:val="00BC610E"/>
    <w:rsid w:val="00BD29DC"/>
    <w:rsid w:val="00BE0971"/>
    <w:rsid w:val="00BE75E1"/>
    <w:rsid w:val="00BF0E44"/>
    <w:rsid w:val="00BF2760"/>
    <w:rsid w:val="00BF55DB"/>
    <w:rsid w:val="00BF5F1E"/>
    <w:rsid w:val="00C0125F"/>
    <w:rsid w:val="00C0162D"/>
    <w:rsid w:val="00C02322"/>
    <w:rsid w:val="00C06734"/>
    <w:rsid w:val="00C2623A"/>
    <w:rsid w:val="00C30ACF"/>
    <w:rsid w:val="00C34D89"/>
    <w:rsid w:val="00C35232"/>
    <w:rsid w:val="00C46F83"/>
    <w:rsid w:val="00C5598D"/>
    <w:rsid w:val="00C630DE"/>
    <w:rsid w:val="00C723EE"/>
    <w:rsid w:val="00C72B3C"/>
    <w:rsid w:val="00C7329B"/>
    <w:rsid w:val="00C84274"/>
    <w:rsid w:val="00C879C3"/>
    <w:rsid w:val="00C965CD"/>
    <w:rsid w:val="00C9790D"/>
    <w:rsid w:val="00CA01C2"/>
    <w:rsid w:val="00CA4664"/>
    <w:rsid w:val="00CB2203"/>
    <w:rsid w:val="00CB2B34"/>
    <w:rsid w:val="00CB4EF5"/>
    <w:rsid w:val="00CC0406"/>
    <w:rsid w:val="00CC0C1F"/>
    <w:rsid w:val="00CC3669"/>
    <w:rsid w:val="00CC607B"/>
    <w:rsid w:val="00CD1FF8"/>
    <w:rsid w:val="00CD2821"/>
    <w:rsid w:val="00CD5C84"/>
    <w:rsid w:val="00CE233A"/>
    <w:rsid w:val="00CE5329"/>
    <w:rsid w:val="00CE710D"/>
    <w:rsid w:val="00CE7E52"/>
    <w:rsid w:val="00CF0E00"/>
    <w:rsid w:val="00CF2B6D"/>
    <w:rsid w:val="00CF400F"/>
    <w:rsid w:val="00D02742"/>
    <w:rsid w:val="00D029FA"/>
    <w:rsid w:val="00D02D68"/>
    <w:rsid w:val="00D1156C"/>
    <w:rsid w:val="00D2311C"/>
    <w:rsid w:val="00D2430F"/>
    <w:rsid w:val="00D275BB"/>
    <w:rsid w:val="00D32F86"/>
    <w:rsid w:val="00D37EA1"/>
    <w:rsid w:val="00D41ACC"/>
    <w:rsid w:val="00D44D90"/>
    <w:rsid w:val="00D50178"/>
    <w:rsid w:val="00D61E40"/>
    <w:rsid w:val="00D62F11"/>
    <w:rsid w:val="00D63903"/>
    <w:rsid w:val="00D647C9"/>
    <w:rsid w:val="00D701FB"/>
    <w:rsid w:val="00D71A24"/>
    <w:rsid w:val="00D81DCF"/>
    <w:rsid w:val="00D82E38"/>
    <w:rsid w:val="00D85DBD"/>
    <w:rsid w:val="00D873C8"/>
    <w:rsid w:val="00DB0853"/>
    <w:rsid w:val="00DB3F24"/>
    <w:rsid w:val="00DB4D80"/>
    <w:rsid w:val="00DB55CA"/>
    <w:rsid w:val="00DB6B8B"/>
    <w:rsid w:val="00DB72FF"/>
    <w:rsid w:val="00DC0E07"/>
    <w:rsid w:val="00DC208E"/>
    <w:rsid w:val="00DC28F4"/>
    <w:rsid w:val="00DE76B0"/>
    <w:rsid w:val="00DF3C45"/>
    <w:rsid w:val="00DF4E90"/>
    <w:rsid w:val="00E0012F"/>
    <w:rsid w:val="00E019CB"/>
    <w:rsid w:val="00E03420"/>
    <w:rsid w:val="00E12742"/>
    <w:rsid w:val="00E130CB"/>
    <w:rsid w:val="00E1515F"/>
    <w:rsid w:val="00E21662"/>
    <w:rsid w:val="00E30CC0"/>
    <w:rsid w:val="00E31A0A"/>
    <w:rsid w:val="00E34A17"/>
    <w:rsid w:val="00E350A8"/>
    <w:rsid w:val="00E363E3"/>
    <w:rsid w:val="00E4030D"/>
    <w:rsid w:val="00E41203"/>
    <w:rsid w:val="00E437B1"/>
    <w:rsid w:val="00E53141"/>
    <w:rsid w:val="00E55368"/>
    <w:rsid w:val="00E55491"/>
    <w:rsid w:val="00E610CF"/>
    <w:rsid w:val="00E61B48"/>
    <w:rsid w:val="00E63E48"/>
    <w:rsid w:val="00E80698"/>
    <w:rsid w:val="00E80ED8"/>
    <w:rsid w:val="00E91558"/>
    <w:rsid w:val="00E95BFF"/>
    <w:rsid w:val="00E96C48"/>
    <w:rsid w:val="00EA4A98"/>
    <w:rsid w:val="00EA5AE9"/>
    <w:rsid w:val="00EA7DDA"/>
    <w:rsid w:val="00EB0188"/>
    <w:rsid w:val="00EB2076"/>
    <w:rsid w:val="00EB22F0"/>
    <w:rsid w:val="00EB43F8"/>
    <w:rsid w:val="00EB44F6"/>
    <w:rsid w:val="00EB4527"/>
    <w:rsid w:val="00EB4C25"/>
    <w:rsid w:val="00EB586E"/>
    <w:rsid w:val="00EB5CCF"/>
    <w:rsid w:val="00EB65DE"/>
    <w:rsid w:val="00EC238D"/>
    <w:rsid w:val="00EC76D7"/>
    <w:rsid w:val="00ED0476"/>
    <w:rsid w:val="00ED1B87"/>
    <w:rsid w:val="00ED5932"/>
    <w:rsid w:val="00ED7003"/>
    <w:rsid w:val="00ED7497"/>
    <w:rsid w:val="00EF2BF0"/>
    <w:rsid w:val="00F014FB"/>
    <w:rsid w:val="00F06479"/>
    <w:rsid w:val="00F1090B"/>
    <w:rsid w:val="00F15548"/>
    <w:rsid w:val="00F15F4A"/>
    <w:rsid w:val="00F165A6"/>
    <w:rsid w:val="00F16D73"/>
    <w:rsid w:val="00F21E86"/>
    <w:rsid w:val="00F22974"/>
    <w:rsid w:val="00F23180"/>
    <w:rsid w:val="00F2663D"/>
    <w:rsid w:val="00F26B26"/>
    <w:rsid w:val="00F30793"/>
    <w:rsid w:val="00F336E7"/>
    <w:rsid w:val="00F35EC5"/>
    <w:rsid w:val="00F3686F"/>
    <w:rsid w:val="00F40865"/>
    <w:rsid w:val="00F40C5C"/>
    <w:rsid w:val="00F42FB3"/>
    <w:rsid w:val="00F4398C"/>
    <w:rsid w:val="00F45D1C"/>
    <w:rsid w:val="00F6255F"/>
    <w:rsid w:val="00F62E12"/>
    <w:rsid w:val="00F743D5"/>
    <w:rsid w:val="00F75054"/>
    <w:rsid w:val="00F84BA3"/>
    <w:rsid w:val="00F86B84"/>
    <w:rsid w:val="00F921B6"/>
    <w:rsid w:val="00FA7DFD"/>
    <w:rsid w:val="00FB4591"/>
    <w:rsid w:val="00FD244A"/>
    <w:rsid w:val="00FE03F3"/>
    <w:rsid w:val="00FE5603"/>
    <w:rsid w:val="00FE597E"/>
    <w:rsid w:val="00FF13A3"/>
    <w:rsid w:val="00FF18F0"/>
    <w:rsid w:val="00FF21CD"/>
    <w:rsid w:val="00FF51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558"/>
    <w:rPr>
      <w:sz w:val="24"/>
      <w:szCs w:val="24"/>
      <w:lang w:val="en-US" w:eastAsia="en-US"/>
    </w:rPr>
  </w:style>
  <w:style w:type="paragraph" w:styleId="2">
    <w:name w:val="heading 2"/>
    <w:basedOn w:val="a"/>
    <w:next w:val="a"/>
    <w:qFormat/>
    <w:rsid w:val="00E91558"/>
    <w:pPr>
      <w:keepNext/>
      <w:ind w:left="426"/>
      <w:jc w:val="both"/>
      <w:outlineLvl w:val="1"/>
    </w:pPr>
    <w:rPr>
      <w:rFonts w:eastAsia="Arial Unicode MS"/>
      <w:i/>
      <w:color w:val="0000FF"/>
      <w:sz w:val="22"/>
      <w:szCs w:val="20"/>
      <w:lang w:val="el-GR"/>
    </w:rPr>
  </w:style>
  <w:style w:type="paragraph" w:styleId="3">
    <w:name w:val="heading 3"/>
    <w:basedOn w:val="a"/>
    <w:next w:val="a"/>
    <w:qFormat/>
    <w:rsid w:val="00E91558"/>
    <w:pPr>
      <w:keepNext/>
      <w:ind w:left="426"/>
      <w:jc w:val="both"/>
      <w:outlineLvl w:val="2"/>
    </w:pPr>
    <w:rPr>
      <w:rFonts w:eastAsia="Arial Unicode MS"/>
      <w:b/>
      <w:color w:val="0000FF"/>
      <w:sz w:val="22"/>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1558"/>
    <w:pPr>
      <w:ind w:left="426" w:hanging="1"/>
      <w:jc w:val="both"/>
    </w:pPr>
    <w:rPr>
      <w:b/>
      <w:i/>
      <w:sz w:val="22"/>
      <w:szCs w:val="20"/>
      <w:lang w:val="el-GR"/>
    </w:rPr>
  </w:style>
  <w:style w:type="paragraph" w:styleId="20">
    <w:name w:val="Body Text Indent 2"/>
    <w:basedOn w:val="a"/>
    <w:rsid w:val="00E91558"/>
    <w:pPr>
      <w:ind w:left="426" w:hanging="1"/>
      <w:jc w:val="both"/>
    </w:pPr>
    <w:rPr>
      <w:sz w:val="22"/>
      <w:szCs w:val="20"/>
      <w:lang w:val="el-GR"/>
    </w:rPr>
  </w:style>
  <w:style w:type="paragraph" w:styleId="30">
    <w:name w:val="Body Text Indent 3"/>
    <w:basedOn w:val="a"/>
    <w:rsid w:val="00E91558"/>
    <w:pPr>
      <w:ind w:left="426"/>
      <w:jc w:val="both"/>
    </w:pPr>
    <w:rPr>
      <w:b/>
      <w:szCs w:val="20"/>
      <w:lang w:val="el-GR"/>
    </w:rPr>
  </w:style>
  <w:style w:type="paragraph" w:styleId="a4">
    <w:name w:val="header"/>
    <w:basedOn w:val="a"/>
    <w:rsid w:val="00E91558"/>
    <w:pPr>
      <w:tabs>
        <w:tab w:val="center" w:pos="4320"/>
        <w:tab w:val="right" w:pos="8640"/>
      </w:tabs>
    </w:pPr>
  </w:style>
  <w:style w:type="paragraph" w:styleId="a5">
    <w:name w:val="footer"/>
    <w:basedOn w:val="a"/>
    <w:rsid w:val="00E91558"/>
    <w:pPr>
      <w:tabs>
        <w:tab w:val="center" w:pos="4320"/>
        <w:tab w:val="right" w:pos="8640"/>
      </w:tabs>
    </w:pPr>
  </w:style>
  <w:style w:type="character" w:styleId="a6">
    <w:name w:val="page number"/>
    <w:basedOn w:val="a0"/>
    <w:rsid w:val="00E91558"/>
  </w:style>
  <w:style w:type="character" w:styleId="a7">
    <w:name w:val="annotation reference"/>
    <w:semiHidden/>
    <w:rsid w:val="00E91558"/>
    <w:rPr>
      <w:sz w:val="16"/>
      <w:szCs w:val="16"/>
    </w:rPr>
  </w:style>
  <w:style w:type="paragraph" w:styleId="a8">
    <w:name w:val="annotation text"/>
    <w:basedOn w:val="a"/>
    <w:semiHidden/>
    <w:rsid w:val="00E91558"/>
    <w:rPr>
      <w:sz w:val="20"/>
      <w:szCs w:val="20"/>
    </w:rPr>
  </w:style>
  <w:style w:type="paragraph" w:styleId="a9">
    <w:name w:val="Balloon Text"/>
    <w:basedOn w:val="a"/>
    <w:semiHidden/>
    <w:rsid w:val="009A6E94"/>
    <w:rPr>
      <w:rFonts w:ascii="Tahoma" w:hAnsi="Tahoma" w:cs="Tahoma"/>
      <w:sz w:val="16"/>
      <w:szCs w:val="16"/>
    </w:rPr>
  </w:style>
  <w:style w:type="table" w:styleId="aa">
    <w:name w:val="Table Grid"/>
    <w:basedOn w:val="a1"/>
    <w:rsid w:val="00F9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300144">
      <w:bodyDiv w:val="1"/>
      <w:marLeft w:val="0"/>
      <w:marRight w:val="0"/>
      <w:marTop w:val="0"/>
      <w:marBottom w:val="0"/>
      <w:divBdr>
        <w:top w:val="none" w:sz="0" w:space="0" w:color="auto"/>
        <w:left w:val="none" w:sz="0" w:space="0" w:color="auto"/>
        <w:bottom w:val="none" w:sz="0" w:space="0" w:color="auto"/>
        <w:right w:val="none" w:sz="0" w:space="0" w:color="auto"/>
      </w:divBdr>
    </w:div>
    <w:div w:id="111022529">
      <w:bodyDiv w:val="1"/>
      <w:marLeft w:val="0"/>
      <w:marRight w:val="0"/>
      <w:marTop w:val="0"/>
      <w:marBottom w:val="0"/>
      <w:divBdr>
        <w:top w:val="none" w:sz="0" w:space="0" w:color="auto"/>
        <w:left w:val="none" w:sz="0" w:space="0" w:color="auto"/>
        <w:bottom w:val="none" w:sz="0" w:space="0" w:color="auto"/>
        <w:right w:val="none" w:sz="0" w:space="0" w:color="auto"/>
      </w:divBdr>
    </w:div>
    <w:div w:id="116024947">
      <w:bodyDiv w:val="1"/>
      <w:marLeft w:val="0"/>
      <w:marRight w:val="0"/>
      <w:marTop w:val="0"/>
      <w:marBottom w:val="0"/>
      <w:divBdr>
        <w:top w:val="none" w:sz="0" w:space="0" w:color="auto"/>
        <w:left w:val="none" w:sz="0" w:space="0" w:color="auto"/>
        <w:bottom w:val="none" w:sz="0" w:space="0" w:color="auto"/>
        <w:right w:val="none" w:sz="0" w:space="0" w:color="auto"/>
      </w:divBdr>
    </w:div>
    <w:div w:id="174878994">
      <w:bodyDiv w:val="1"/>
      <w:marLeft w:val="0"/>
      <w:marRight w:val="0"/>
      <w:marTop w:val="0"/>
      <w:marBottom w:val="0"/>
      <w:divBdr>
        <w:top w:val="none" w:sz="0" w:space="0" w:color="auto"/>
        <w:left w:val="none" w:sz="0" w:space="0" w:color="auto"/>
        <w:bottom w:val="none" w:sz="0" w:space="0" w:color="auto"/>
        <w:right w:val="none" w:sz="0" w:space="0" w:color="auto"/>
      </w:divBdr>
    </w:div>
    <w:div w:id="231502475">
      <w:bodyDiv w:val="1"/>
      <w:marLeft w:val="0"/>
      <w:marRight w:val="0"/>
      <w:marTop w:val="0"/>
      <w:marBottom w:val="0"/>
      <w:divBdr>
        <w:top w:val="none" w:sz="0" w:space="0" w:color="auto"/>
        <w:left w:val="none" w:sz="0" w:space="0" w:color="auto"/>
        <w:bottom w:val="none" w:sz="0" w:space="0" w:color="auto"/>
        <w:right w:val="none" w:sz="0" w:space="0" w:color="auto"/>
      </w:divBdr>
    </w:div>
    <w:div w:id="345521116">
      <w:bodyDiv w:val="1"/>
      <w:marLeft w:val="0"/>
      <w:marRight w:val="0"/>
      <w:marTop w:val="0"/>
      <w:marBottom w:val="0"/>
      <w:divBdr>
        <w:top w:val="none" w:sz="0" w:space="0" w:color="auto"/>
        <w:left w:val="none" w:sz="0" w:space="0" w:color="auto"/>
        <w:bottom w:val="none" w:sz="0" w:space="0" w:color="auto"/>
        <w:right w:val="none" w:sz="0" w:space="0" w:color="auto"/>
      </w:divBdr>
    </w:div>
    <w:div w:id="346828013">
      <w:bodyDiv w:val="1"/>
      <w:marLeft w:val="0"/>
      <w:marRight w:val="0"/>
      <w:marTop w:val="0"/>
      <w:marBottom w:val="0"/>
      <w:divBdr>
        <w:top w:val="none" w:sz="0" w:space="0" w:color="auto"/>
        <w:left w:val="none" w:sz="0" w:space="0" w:color="auto"/>
        <w:bottom w:val="none" w:sz="0" w:space="0" w:color="auto"/>
        <w:right w:val="none" w:sz="0" w:space="0" w:color="auto"/>
      </w:divBdr>
    </w:div>
    <w:div w:id="400057493">
      <w:bodyDiv w:val="1"/>
      <w:marLeft w:val="0"/>
      <w:marRight w:val="0"/>
      <w:marTop w:val="0"/>
      <w:marBottom w:val="0"/>
      <w:divBdr>
        <w:top w:val="none" w:sz="0" w:space="0" w:color="auto"/>
        <w:left w:val="none" w:sz="0" w:space="0" w:color="auto"/>
        <w:bottom w:val="none" w:sz="0" w:space="0" w:color="auto"/>
        <w:right w:val="none" w:sz="0" w:space="0" w:color="auto"/>
      </w:divBdr>
    </w:div>
    <w:div w:id="453252138">
      <w:bodyDiv w:val="1"/>
      <w:marLeft w:val="0"/>
      <w:marRight w:val="0"/>
      <w:marTop w:val="0"/>
      <w:marBottom w:val="0"/>
      <w:divBdr>
        <w:top w:val="none" w:sz="0" w:space="0" w:color="auto"/>
        <w:left w:val="none" w:sz="0" w:space="0" w:color="auto"/>
        <w:bottom w:val="none" w:sz="0" w:space="0" w:color="auto"/>
        <w:right w:val="none" w:sz="0" w:space="0" w:color="auto"/>
      </w:divBdr>
    </w:div>
    <w:div w:id="511534069">
      <w:bodyDiv w:val="1"/>
      <w:marLeft w:val="0"/>
      <w:marRight w:val="0"/>
      <w:marTop w:val="0"/>
      <w:marBottom w:val="0"/>
      <w:divBdr>
        <w:top w:val="none" w:sz="0" w:space="0" w:color="auto"/>
        <w:left w:val="none" w:sz="0" w:space="0" w:color="auto"/>
        <w:bottom w:val="none" w:sz="0" w:space="0" w:color="auto"/>
        <w:right w:val="none" w:sz="0" w:space="0" w:color="auto"/>
      </w:divBdr>
    </w:div>
    <w:div w:id="699741189">
      <w:bodyDiv w:val="1"/>
      <w:marLeft w:val="0"/>
      <w:marRight w:val="0"/>
      <w:marTop w:val="0"/>
      <w:marBottom w:val="0"/>
      <w:divBdr>
        <w:top w:val="none" w:sz="0" w:space="0" w:color="auto"/>
        <w:left w:val="none" w:sz="0" w:space="0" w:color="auto"/>
        <w:bottom w:val="none" w:sz="0" w:space="0" w:color="auto"/>
        <w:right w:val="none" w:sz="0" w:space="0" w:color="auto"/>
      </w:divBdr>
    </w:div>
    <w:div w:id="768428663">
      <w:bodyDiv w:val="1"/>
      <w:marLeft w:val="0"/>
      <w:marRight w:val="0"/>
      <w:marTop w:val="0"/>
      <w:marBottom w:val="0"/>
      <w:divBdr>
        <w:top w:val="none" w:sz="0" w:space="0" w:color="auto"/>
        <w:left w:val="none" w:sz="0" w:space="0" w:color="auto"/>
        <w:bottom w:val="none" w:sz="0" w:space="0" w:color="auto"/>
        <w:right w:val="none" w:sz="0" w:space="0" w:color="auto"/>
      </w:divBdr>
    </w:div>
    <w:div w:id="770247075">
      <w:bodyDiv w:val="1"/>
      <w:marLeft w:val="0"/>
      <w:marRight w:val="0"/>
      <w:marTop w:val="0"/>
      <w:marBottom w:val="0"/>
      <w:divBdr>
        <w:top w:val="none" w:sz="0" w:space="0" w:color="auto"/>
        <w:left w:val="none" w:sz="0" w:space="0" w:color="auto"/>
        <w:bottom w:val="none" w:sz="0" w:space="0" w:color="auto"/>
        <w:right w:val="none" w:sz="0" w:space="0" w:color="auto"/>
      </w:divBdr>
    </w:div>
    <w:div w:id="822281392">
      <w:bodyDiv w:val="1"/>
      <w:marLeft w:val="0"/>
      <w:marRight w:val="0"/>
      <w:marTop w:val="0"/>
      <w:marBottom w:val="0"/>
      <w:divBdr>
        <w:top w:val="none" w:sz="0" w:space="0" w:color="auto"/>
        <w:left w:val="none" w:sz="0" w:space="0" w:color="auto"/>
        <w:bottom w:val="none" w:sz="0" w:space="0" w:color="auto"/>
        <w:right w:val="none" w:sz="0" w:space="0" w:color="auto"/>
      </w:divBdr>
    </w:div>
    <w:div w:id="871267956">
      <w:bodyDiv w:val="1"/>
      <w:marLeft w:val="0"/>
      <w:marRight w:val="0"/>
      <w:marTop w:val="0"/>
      <w:marBottom w:val="0"/>
      <w:divBdr>
        <w:top w:val="none" w:sz="0" w:space="0" w:color="auto"/>
        <w:left w:val="none" w:sz="0" w:space="0" w:color="auto"/>
        <w:bottom w:val="none" w:sz="0" w:space="0" w:color="auto"/>
        <w:right w:val="none" w:sz="0" w:space="0" w:color="auto"/>
      </w:divBdr>
    </w:div>
    <w:div w:id="953679979">
      <w:bodyDiv w:val="1"/>
      <w:marLeft w:val="0"/>
      <w:marRight w:val="0"/>
      <w:marTop w:val="0"/>
      <w:marBottom w:val="0"/>
      <w:divBdr>
        <w:top w:val="none" w:sz="0" w:space="0" w:color="auto"/>
        <w:left w:val="none" w:sz="0" w:space="0" w:color="auto"/>
        <w:bottom w:val="none" w:sz="0" w:space="0" w:color="auto"/>
        <w:right w:val="none" w:sz="0" w:space="0" w:color="auto"/>
      </w:divBdr>
    </w:div>
    <w:div w:id="983579421">
      <w:bodyDiv w:val="1"/>
      <w:marLeft w:val="0"/>
      <w:marRight w:val="0"/>
      <w:marTop w:val="0"/>
      <w:marBottom w:val="0"/>
      <w:divBdr>
        <w:top w:val="none" w:sz="0" w:space="0" w:color="auto"/>
        <w:left w:val="none" w:sz="0" w:space="0" w:color="auto"/>
        <w:bottom w:val="none" w:sz="0" w:space="0" w:color="auto"/>
        <w:right w:val="none" w:sz="0" w:space="0" w:color="auto"/>
      </w:divBdr>
    </w:div>
    <w:div w:id="1019114816">
      <w:bodyDiv w:val="1"/>
      <w:marLeft w:val="0"/>
      <w:marRight w:val="0"/>
      <w:marTop w:val="0"/>
      <w:marBottom w:val="0"/>
      <w:divBdr>
        <w:top w:val="none" w:sz="0" w:space="0" w:color="auto"/>
        <w:left w:val="none" w:sz="0" w:space="0" w:color="auto"/>
        <w:bottom w:val="none" w:sz="0" w:space="0" w:color="auto"/>
        <w:right w:val="none" w:sz="0" w:space="0" w:color="auto"/>
      </w:divBdr>
    </w:div>
    <w:div w:id="1099255139">
      <w:bodyDiv w:val="1"/>
      <w:marLeft w:val="0"/>
      <w:marRight w:val="0"/>
      <w:marTop w:val="0"/>
      <w:marBottom w:val="0"/>
      <w:divBdr>
        <w:top w:val="none" w:sz="0" w:space="0" w:color="auto"/>
        <w:left w:val="none" w:sz="0" w:space="0" w:color="auto"/>
        <w:bottom w:val="none" w:sz="0" w:space="0" w:color="auto"/>
        <w:right w:val="none" w:sz="0" w:space="0" w:color="auto"/>
      </w:divBdr>
    </w:div>
    <w:div w:id="1259294703">
      <w:bodyDiv w:val="1"/>
      <w:marLeft w:val="0"/>
      <w:marRight w:val="0"/>
      <w:marTop w:val="0"/>
      <w:marBottom w:val="0"/>
      <w:divBdr>
        <w:top w:val="none" w:sz="0" w:space="0" w:color="auto"/>
        <w:left w:val="none" w:sz="0" w:space="0" w:color="auto"/>
        <w:bottom w:val="none" w:sz="0" w:space="0" w:color="auto"/>
        <w:right w:val="none" w:sz="0" w:space="0" w:color="auto"/>
      </w:divBdr>
    </w:div>
    <w:div w:id="1417358360">
      <w:bodyDiv w:val="1"/>
      <w:marLeft w:val="0"/>
      <w:marRight w:val="0"/>
      <w:marTop w:val="0"/>
      <w:marBottom w:val="0"/>
      <w:divBdr>
        <w:top w:val="none" w:sz="0" w:space="0" w:color="auto"/>
        <w:left w:val="none" w:sz="0" w:space="0" w:color="auto"/>
        <w:bottom w:val="none" w:sz="0" w:space="0" w:color="auto"/>
        <w:right w:val="none" w:sz="0" w:space="0" w:color="auto"/>
      </w:divBdr>
    </w:div>
    <w:div w:id="1555121156">
      <w:bodyDiv w:val="1"/>
      <w:marLeft w:val="0"/>
      <w:marRight w:val="0"/>
      <w:marTop w:val="0"/>
      <w:marBottom w:val="0"/>
      <w:divBdr>
        <w:top w:val="none" w:sz="0" w:space="0" w:color="auto"/>
        <w:left w:val="none" w:sz="0" w:space="0" w:color="auto"/>
        <w:bottom w:val="none" w:sz="0" w:space="0" w:color="auto"/>
        <w:right w:val="none" w:sz="0" w:space="0" w:color="auto"/>
      </w:divBdr>
    </w:div>
    <w:div w:id="1569344494">
      <w:bodyDiv w:val="1"/>
      <w:marLeft w:val="0"/>
      <w:marRight w:val="0"/>
      <w:marTop w:val="0"/>
      <w:marBottom w:val="0"/>
      <w:divBdr>
        <w:top w:val="none" w:sz="0" w:space="0" w:color="auto"/>
        <w:left w:val="none" w:sz="0" w:space="0" w:color="auto"/>
        <w:bottom w:val="none" w:sz="0" w:space="0" w:color="auto"/>
        <w:right w:val="none" w:sz="0" w:space="0" w:color="auto"/>
      </w:divBdr>
    </w:div>
    <w:div w:id="1629429231">
      <w:bodyDiv w:val="1"/>
      <w:marLeft w:val="0"/>
      <w:marRight w:val="0"/>
      <w:marTop w:val="0"/>
      <w:marBottom w:val="0"/>
      <w:divBdr>
        <w:top w:val="none" w:sz="0" w:space="0" w:color="auto"/>
        <w:left w:val="none" w:sz="0" w:space="0" w:color="auto"/>
        <w:bottom w:val="none" w:sz="0" w:space="0" w:color="auto"/>
        <w:right w:val="none" w:sz="0" w:space="0" w:color="auto"/>
      </w:divBdr>
    </w:div>
    <w:div w:id="1746608600">
      <w:bodyDiv w:val="1"/>
      <w:marLeft w:val="0"/>
      <w:marRight w:val="0"/>
      <w:marTop w:val="0"/>
      <w:marBottom w:val="0"/>
      <w:divBdr>
        <w:top w:val="none" w:sz="0" w:space="0" w:color="auto"/>
        <w:left w:val="none" w:sz="0" w:space="0" w:color="auto"/>
        <w:bottom w:val="none" w:sz="0" w:space="0" w:color="auto"/>
        <w:right w:val="none" w:sz="0" w:space="0" w:color="auto"/>
      </w:divBdr>
    </w:div>
    <w:div w:id="1987860135">
      <w:bodyDiv w:val="1"/>
      <w:marLeft w:val="0"/>
      <w:marRight w:val="0"/>
      <w:marTop w:val="0"/>
      <w:marBottom w:val="0"/>
      <w:divBdr>
        <w:top w:val="none" w:sz="0" w:space="0" w:color="auto"/>
        <w:left w:val="none" w:sz="0" w:space="0" w:color="auto"/>
        <w:bottom w:val="none" w:sz="0" w:space="0" w:color="auto"/>
        <w:right w:val="none" w:sz="0" w:space="0" w:color="auto"/>
      </w:divBdr>
    </w:div>
    <w:div w:id="2051833268">
      <w:bodyDiv w:val="1"/>
      <w:marLeft w:val="0"/>
      <w:marRight w:val="0"/>
      <w:marTop w:val="0"/>
      <w:marBottom w:val="0"/>
      <w:divBdr>
        <w:top w:val="none" w:sz="0" w:space="0" w:color="auto"/>
        <w:left w:val="none" w:sz="0" w:space="0" w:color="auto"/>
        <w:bottom w:val="none" w:sz="0" w:space="0" w:color="auto"/>
        <w:right w:val="none" w:sz="0" w:space="0" w:color="auto"/>
      </w:divBdr>
    </w:div>
    <w:div w:id="2070574875">
      <w:bodyDiv w:val="1"/>
      <w:marLeft w:val="0"/>
      <w:marRight w:val="0"/>
      <w:marTop w:val="0"/>
      <w:marBottom w:val="0"/>
      <w:divBdr>
        <w:top w:val="none" w:sz="0" w:space="0" w:color="auto"/>
        <w:left w:val="none" w:sz="0" w:space="0" w:color="auto"/>
        <w:bottom w:val="none" w:sz="0" w:space="0" w:color="auto"/>
        <w:right w:val="none" w:sz="0" w:space="0" w:color="auto"/>
      </w:divBdr>
    </w:div>
    <w:div w:id="21003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5507</Words>
  <Characters>29739</Characters>
  <Application>Microsoft Office Word</Application>
  <DocSecurity>0</DocSecurity>
  <Lines>247</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ΧΑΡΑΚΤΗΡΙΣΤΙΚΩΝ ΤΟΥ ΠΡΟΙΟΝΤΟΣ</vt:lpstr>
      <vt:lpstr>ΠΕΡΙΛΗΨΗ ΧΑΡΑΚΤΗΡΙΣΤΙΚΩΝ ΤΟΥ ΠΡΟΙΟΝΤΟΣ</vt:lpstr>
    </vt:vector>
  </TitlesOfParts>
  <Company>RHONE-POULENC RORER</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ΠΡΟΙΟΝΤΟΣ</dc:title>
  <dc:creator>avoulga</dc:creator>
  <cp:lastModifiedBy>user146</cp:lastModifiedBy>
  <cp:revision>4</cp:revision>
  <cp:lastPrinted>2013-11-08T09:32:00Z</cp:lastPrinted>
  <dcterms:created xsi:type="dcterms:W3CDTF">2013-11-08T09:33:00Z</dcterms:created>
  <dcterms:modified xsi:type="dcterms:W3CDTF">2014-01-07T12:18:00Z</dcterms:modified>
</cp:coreProperties>
</file>