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F652D5" w:rsidRDefault="00B35873" w:rsidP="007E08D8">
      <w:pPr>
        <w:jc w:val="center"/>
        <w:rPr>
          <w:noProof/>
          <w:sz w:val="22"/>
          <w:szCs w:val="22"/>
        </w:rPr>
      </w:pPr>
    </w:p>
    <w:p w:rsidR="00B35873" w:rsidRPr="00B005FB" w:rsidRDefault="00B005FB" w:rsidP="007E08D8">
      <w:pPr>
        <w:tabs>
          <w:tab w:val="left" w:pos="-1440"/>
          <w:tab w:val="left" w:pos="-720"/>
        </w:tabs>
        <w:jc w:val="center"/>
        <w:rPr>
          <w:b/>
          <w:noProof/>
          <w:sz w:val="22"/>
          <w:szCs w:val="22"/>
          <w:lang w:val="el-GR"/>
        </w:rPr>
      </w:pPr>
      <w:r>
        <w:rPr>
          <w:b/>
          <w:noProof/>
          <w:sz w:val="22"/>
          <w:szCs w:val="22"/>
          <w:lang w:val="el-GR"/>
        </w:rPr>
        <w:t>ΠΑΡΑΡΤΗΜΑ Ι</w:t>
      </w:r>
    </w:p>
    <w:p w:rsidR="00B35873" w:rsidRPr="005C7A5E" w:rsidRDefault="00B35873" w:rsidP="007E08D8">
      <w:pPr>
        <w:tabs>
          <w:tab w:val="left" w:pos="-1440"/>
          <w:tab w:val="left" w:pos="-720"/>
        </w:tabs>
        <w:jc w:val="center"/>
        <w:rPr>
          <w:b/>
          <w:noProof/>
          <w:sz w:val="22"/>
          <w:szCs w:val="22"/>
          <w:lang w:val="el-GR"/>
        </w:rPr>
      </w:pPr>
    </w:p>
    <w:p w:rsidR="00B35873" w:rsidRPr="005C7A5E" w:rsidRDefault="00B35873" w:rsidP="007E08D8">
      <w:pPr>
        <w:jc w:val="center"/>
        <w:rPr>
          <w:b/>
          <w:sz w:val="22"/>
          <w:szCs w:val="22"/>
          <w:lang w:val="el-GR"/>
        </w:rPr>
      </w:pPr>
    </w:p>
    <w:p w:rsidR="00B35873" w:rsidRPr="00F652D5" w:rsidRDefault="00B35873" w:rsidP="007E08D8">
      <w:pPr>
        <w:tabs>
          <w:tab w:val="left" w:pos="-1440"/>
          <w:tab w:val="left" w:pos="-720"/>
        </w:tabs>
        <w:jc w:val="center"/>
        <w:rPr>
          <w:b/>
          <w:sz w:val="22"/>
          <w:szCs w:val="22"/>
          <w:lang w:val="el-GR"/>
        </w:rPr>
      </w:pPr>
      <w:r w:rsidRPr="00F652D5">
        <w:rPr>
          <w:b/>
          <w:sz w:val="22"/>
          <w:szCs w:val="22"/>
          <w:lang w:val="el-GR"/>
        </w:rPr>
        <w:t>ΠΕΡΙΛΗΨΗ ΤΩΝ ΧΑΡΑΚΤΗΡΙΣΤΙΚΩΝ ΤΟΥ ΠΡΟΪΟΝΤΟΣ,</w:t>
      </w:r>
    </w:p>
    <w:p w:rsidR="00B35873" w:rsidRPr="00F652D5" w:rsidRDefault="00B35873" w:rsidP="007E08D8">
      <w:pPr>
        <w:widowControl w:val="0"/>
        <w:jc w:val="center"/>
        <w:rPr>
          <w:bCs/>
          <w:iCs/>
          <w:noProof/>
          <w:sz w:val="22"/>
          <w:szCs w:val="22"/>
          <w:lang w:val="el-GR"/>
        </w:rPr>
      </w:pPr>
      <w:r w:rsidRPr="00F652D5">
        <w:rPr>
          <w:bCs/>
          <w:iCs/>
          <w:noProof/>
          <w:sz w:val="22"/>
          <w:szCs w:val="22"/>
          <w:lang w:val="el-GR"/>
        </w:rPr>
        <w:br w:type="page"/>
      </w:r>
    </w:p>
    <w:p w:rsidR="00B35873" w:rsidRPr="00F652D5" w:rsidRDefault="00B35873" w:rsidP="007E08D8">
      <w:pPr>
        <w:widowControl w:val="0"/>
        <w:jc w:val="center"/>
        <w:rPr>
          <w:bCs/>
          <w:iCs/>
          <w:noProof/>
          <w:sz w:val="22"/>
          <w:szCs w:val="22"/>
          <w:lang w:val="el-GR"/>
        </w:rPr>
      </w:pPr>
    </w:p>
    <w:p w:rsidR="00B35873" w:rsidRPr="00F652D5" w:rsidRDefault="00B35873" w:rsidP="007E08D8">
      <w:pPr>
        <w:widowControl w:val="0"/>
        <w:jc w:val="center"/>
        <w:rPr>
          <w:bCs/>
          <w:iCs/>
          <w:noProof/>
          <w:sz w:val="22"/>
          <w:szCs w:val="22"/>
          <w:lang w:val="el-GR"/>
        </w:rPr>
      </w:pPr>
      <w:r w:rsidRPr="00F652D5">
        <w:rPr>
          <w:b/>
          <w:sz w:val="22"/>
          <w:szCs w:val="22"/>
          <w:lang w:val="el-GR"/>
        </w:rPr>
        <w:t>ΠΕΡΙΛΗΨΗ ΤΩΝ ΧΑΡΑΚΤΗΡΙΣΤΙΚΩΝ ΤΟΥ ΠΡΟΪΟΝΤΟΣ</w:t>
      </w:r>
    </w:p>
    <w:p w:rsidR="00B35873" w:rsidRPr="00F652D5" w:rsidRDefault="00B35873" w:rsidP="00750BC9">
      <w:pPr>
        <w:pStyle w:val="1"/>
        <w:rPr>
          <w:rFonts w:ascii="Times New Roman" w:hAnsi="Times New Roman"/>
          <w:sz w:val="22"/>
          <w:szCs w:val="22"/>
          <w:lang w:val="el-GR"/>
        </w:rPr>
      </w:pPr>
      <w:r w:rsidRPr="00F652D5">
        <w:rPr>
          <w:rFonts w:ascii="Times New Roman" w:hAnsi="Times New Roman"/>
          <w:sz w:val="22"/>
          <w:szCs w:val="22"/>
          <w:lang w:val="el-GR"/>
        </w:rPr>
        <w:t>1.</w:t>
      </w:r>
      <w:r w:rsidRPr="00F652D5">
        <w:rPr>
          <w:rFonts w:ascii="Times New Roman" w:hAnsi="Times New Roman"/>
          <w:sz w:val="22"/>
          <w:szCs w:val="22"/>
          <w:lang w:val="el-GR"/>
        </w:rPr>
        <w:tab/>
        <w:t>ΟΝΟΜΑ ΤΟΥ ΦΑΡΜΑΚΕΥΤΙΚΟΥ ΠΡΟΪΟΝΤΟΣ</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r w:rsidRPr="00F652D5">
        <w:rPr>
          <w:snapToGrid w:val="0"/>
          <w:sz w:val="22"/>
          <w:szCs w:val="22"/>
          <w:lang w:eastAsia="en-US"/>
        </w:rPr>
        <w:t>Fludara</w:t>
      </w:r>
      <w:r w:rsidRPr="00F652D5">
        <w:rPr>
          <w:snapToGrid w:val="0"/>
          <w:sz w:val="22"/>
          <w:szCs w:val="22"/>
          <w:lang w:val="el-GR" w:eastAsia="en-US"/>
        </w:rPr>
        <w:t xml:space="preserve"> 50</w:t>
      </w:r>
      <w:r w:rsidRPr="00F652D5">
        <w:rPr>
          <w:sz w:val="22"/>
          <w:szCs w:val="22"/>
        </w:rPr>
        <w:t> </w:t>
      </w:r>
      <w:r w:rsidRPr="00F652D5">
        <w:rPr>
          <w:snapToGrid w:val="0"/>
          <w:sz w:val="22"/>
          <w:szCs w:val="22"/>
          <w:lang w:eastAsia="en-US"/>
        </w:rPr>
        <w:t>mg</w:t>
      </w:r>
      <w:r w:rsidRPr="00F652D5">
        <w:rPr>
          <w:snapToGrid w:val="0"/>
          <w:sz w:val="22"/>
          <w:szCs w:val="22"/>
          <w:lang w:val="el-GR" w:eastAsia="en-US"/>
        </w:rPr>
        <w:t xml:space="preserve"> κόνις για ενέσιμο διάλυμα ή για διάλυμα προς έγχυση.</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2.</w:t>
      </w:r>
      <w:r w:rsidRPr="00F652D5">
        <w:rPr>
          <w:b/>
          <w:snapToGrid w:val="0"/>
          <w:sz w:val="22"/>
          <w:szCs w:val="22"/>
          <w:lang w:val="el-GR" w:eastAsia="en-US"/>
        </w:rPr>
        <w:tab/>
        <w:t>ΠΟΙΟΤΙΚΗ ΚΑΙ ΠΟΣΟΤΙΚΗ ΣΥΝΘΕΣΗ</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Κάθε φιαλίδιο περιέχει 50</w:t>
      </w:r>
      <w:r w:rsidR="007E08D8" w:rsidRPr="00F652D5">
        <w:rPr>
          <w:snapToGrid w:val="0"/>
          <w:sz w:val="22"/>
          <w:szCs w:val="22"/>
          <w:lang w:val="de-DE" w:eastAsia="en-US"/>
        </w:rPr>
        <w:t> </w:t>
      </w:r>
      <w:r w:rsidRPr="00F652D5">
        <w:rPr>
          <w:snapToGrid w:val="0"/>
          <w:sz w:val="22"/>
          <w:szCs w:val="22"/>
          <w:lang w:eastAsia="en-US"/>
        </w:rPr>
        <w:t>mg</w:t>
      </w:r>
      <w:r w:rsidRPr="00F652D5">
        <w:rPr>
          <w:snapToGrid w:val="0"/>
          <w:sz w:val="22"/>
          <w:szCs w:val="22"/>
          <w:lang w:val="el-GR" w:eastAsia="en-US"/>
        </w:rPr>
        <w:t xml:space="preserve"> φωσφορική φλουνταραμπίνη.</w:t>
      </w:r>
    </w:p>
    <w:p w:rsidR="00B35873" w:rsidRPr="00F652D5" w:rsidRDefault="007E08D8" w:rsidP="00750BC9">
      <w:pPr>
        <w:tabs>
          <w:tab w:val="left" w:pos="567"/>
        </w:tabs>
        <w:rPr>
          <w:snapToGrid w:val="0"/>
          <w:sz w:val="22"/>
          <w:szCs w:val="22"/>
          <w:lang w:val="el-GR" w:eastAsia="en-US"/>
        </w:rPr>
      </w:pPr>
      <w:r w:rsidRPr="00F652D5">
        <w:rPr>
          <w:snapToGrid w:val="0"/>
          <w:sz w:val="22"/>
          <w:szCs w:val="22"/>
          <w:lang w:val="el-GR" w:eastAsia="en-US"/>
        </w:rPr>
        <w:t>1</w:t>
      </w:r>
      <w:r w:rsidRPr="00F652D5">
        <w:rPr>
          <w:snapToGrid w:val="0"/>
          <w:sz w:val="22"/>
          <w:szCs w:val="22"/>
          <w:lang w:val="de-DE" w:eastAsia="en-US"/>
        </w:rPr>
        <w:t> </w:t>
      </w:r>
      <w:r w:rsidR="00B35873" w:rsidRPr="00F652D5">
        <w:rPr>
          <w:snapToGrid w:val="0"/>
          <w:sz w:val="22"/>
          <w:szCs w:val="22"/>
          <w:lang w:eastAsia="en-US"/>
        </w:rPr>
        <w:t>ml</w:t>
      </w:r>
      <w:r w:rsidR="00B35873" w:rsidRPr="00F652D5">
        <w:rPr>
          <w:snapToGrid w:val="0"/>
          <w:sz w:val="22"/>
          <w:szCs w:val="22"/>
          <w:lang w:val="el-GR" w:eastAsia="en-US"/>
        </w:rPr>
        <w:t xml:space="preserve"> ανασυσταθέντος διαλύματος περιέχει 25</w:t>
      </w:r>
      <w:r w:rsidRPr="00F652D5">
        <w:rPr>
          <w:snapToGrid w:val="0"/>
          <w:sz w:val="22"/>
          <w:szCs w:val="22"/>
          <w:lang w:val="de-DE" w:eastAsia="en-US"/>
        </w:rPr>
        <w:t> </w:t>
      </w:r>
      <w:r w:rsidR="00B35873" w:rsidRPr="00F652D5">
        <w:rPr>
          <w:snapToGrid w:val="0"/>
          <w:sz w:val="22"/>
          <w:szCs w:val="22"/>
          <w:lang w:eastAsia="en-US"/>
        </w:rPr>
        <w:t>mg</w:t>
      </w:r>
      <w:r w:rsidR="00B35873" w:rsidRPr="00F652D5">
        <w:rPr>
          <w:snapToGrid w:val="0"/>
          <w:sz w:val="22"/>
          <w:szCs w:val="22"/>
          <w:lang w:val="el-GR" w:eastAsia="en-US"/>
        </w:rPr>
        <w:t xml:space="preserve"> φωσφορική φλουνταραμπίνη.</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Για τον πλήρη κατάλογο των εκδόχων, βλ. παράγραφο 6.1.</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3.</w:t>
      </w:r>
      <w:r w:rsidRPr="00F652D5">
        <w:rPr>
          <w:b/>
          <w:snapToGrid w:val="0"/>
          <w:sz w:val="22"/>
          <w:szCs w:val="22"/>
          <w:lang w:val="el-GR" w:eastAsia="en-US"/>
        </w:rPr>
        <w:tab/>
        <w:t>ΦΑΡΜΑΚΟΤΕΧΝΙΚΗ ΜΟΡΦΗ</w:t>
      </w:r>
    </w:p>
    <w:p w:rsidR="00B35873" w:rsidRPr="00F652D5" w:rsidRDefault="00B35873" w:rsidP="007E08D8">
      <w:pPr>
        <w:pStyle w:val="2"/>
        <w:spacing w:line="240" w:lineRule="auto"/>
        <w:ind w:left="0"/>
        <w:rPr>
          <w:rFonts w:ascii="Times New Roman" w:hAnsi="Times New Roman"/>
          <w:sz w:val="22"/>
          <w:szCs w:val="22"/>
        </w:rPr>
      </w:pPr>
    </w:p>
    <w:p w:rsidR="00B35873" w:rsidRPr="00F652D5" w:rsidRDefault="00B35873" w:rsidP="00750BC9">
      <w:pPr>
        <w:pStyle w:val="2"/>
        <w:spacing w:line="240" w:lineRule="auto"/>
        <w:ind w:left="0"/>
        <w:jc w:val="left"/>
        <w:rPr>
          <w:rFonts w:ascii="Times New Roman" w:hAnsi="Times New Roman"/>
          <w:sz w:val="22"/>
          <w:szCs w:val="22"/>
        </w:rPr>
      </w:pPr>
      <w:r w:rsidRPr="00F652D5">
        <w:rPr>
          <w:rFonts w:ascii="Times New Roman" w:hAnsi="Times New Roman"/>
          <w:sz w:val="22"/>
          <w:szCs w:val="22"/>
        </w:rPr>
        <w:t>Κόνις για ενέσιμο διάλυμα ή για διάλυμα προς έγχυση</w:t>
      </w:r>
    </w:p>
    <w:p w:rsidR="007E08D8" w:rsidRPr="00F652D5" w:rsidRDefault="007E08D8" w:rsidP="00750BC9">
      <w:pPr>
        <w:rPr>
          <w:sz w:val="22"/>
          <w:szCs w:val="22"/>
          <w:lang w:val="el-GR"/>
        </w:rPr>
      </w:pPr>
    </w:p>
    <w:p w:rsidR="00B35873" w:rsidRPr="00F652D5" w:rsidRDefault="00B35873" w:rsidP="00750BC9">
      <w:pPr>
        <w:rPr>
          <w:sz w:val="22"/>
          <w:szCs w:val="22"/>
          <w:lang w:val="el-GR"/>
        </w:rPr>
      </w:pPr>
      <w:r w:rsidRPr="00F652D5">
        <w:rPr>
          <w:sz w:val="22"/>
          <w:szCs w:val="22"/>
          <w:lang w:val="el-GR"/>
        </w:rPr>
        <w:t>Λευκό λυόφιλο για ανασύσταση.</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w:t>
      </w:r>
      <w:r w:rsidRPr="00F652D5">
        <w:rPr>
          <w:b/>
          <w:snapToGrid w:val="0"/>
          <w:sz w:val="22"/>
          <w:szCs w:val="22"/>
          <w:lang w:val="el-GR" w:eastAsia="en-US"/>
        </w:rPr>
        <w:tab/>
        <w:t>ΚΛΙΝΙΚΕΣ ΠΛΗΡΟΦΟΡΙΕΣ</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4.1</w:t>
      </w:r>
      <w:r w:rsidRPr="00F652D5">
        <w:rPr>
          <w:b/>
          <w:snapToGrid w:val="0"/>
          <w:sz w:val="22"/>
          <w:szCs w:val="22"/>
          <w:lang w:val="el-GR" w:eastAsia="en-US"/>
        </w:rPr>
        <w:tab/>
        <w:t>Θεραπευτικές ενδείξεις</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Αγωγή της β-κυτταρικής χρόνιας λεμφοκυτταρικής λευχαιμίας (</w:t>
      </w:r>
      <w:smartTag w:uri="urn:schemas-microsoft-com:office:smarttags" w:element="stockticker">
        <w:r w:rsidRPr="00F652D5">
          <w:rPr>
            <w:snapToGrid w:val="0"/>
            <w:sz w:val="22"/>
            <w:szCs w:val="22"/>
            <w:lang w:eastAsia="en-US"/>
          </w:rPr>
          <w:t>CLL</w:t>
        </w:r>
      </w:smartTag>
      <w:r w:rsidRPr="00F652D5">
        <w:rPr>
          <w:snapToGrid w:val="0"/>
          <w:sz w:val="22"/>
          <w:szCs w:val="22"/>
          <w:lang w:val="el-GR" w:eastAsia="en-US"/>
        </w:rPr>
        <w:t>) σε ασθενείς με επάρκεια αποθ</w:t>
      </w:r>
      <w:r w:rsidR="002618C6">
        <w:rPr>
          <w:snapToGrid w:val="0"/>
          <w:sz w:val="22"/>
          <w:szCs w:val="22"/>
          <w:lang w:val="el-GR" w:eastAsia="en-US"/>
        </w:rPr>
        <w:t>εμά</w:t>
      </w:r>
      <w:r w:rsidRPr="00F652D5">
        <w:rPr>
          <w:snapToGrid w:val="0"/>
          <w:sz w:val="22"/>
          <w:szCs w:val="22"/>
          <w:lang w:val="el-GR" w:eastAsia="en-US"/>
        </w:rPr>
        <w:t>τ</w:t>
      </w:r>
      <w:r w:rsidR="002618C6">
        <w:rPr>
          <w:snapToGrid w:val="0"/>
          <w:sz w:val="22"/>
          <w:szCs w:val="22"/>
          <w:lang w:val="el-GR" w:eastAsia="en-US"/>
        </w:rPr>
        <w:t>ων</w:t>
      </w:r>
      <w:r w:rsidRPr="00F652D5">
        <w:rPr>
          <w:snapToGrid w:val="0"/>
          <w:sz w:val="22"/>
          <w:szCs w:val="22"/>
          <w:lang w:val="el-GR" w:eastAsia="en-US"/>
        </w:rPr>
        <w:t xml:space="preserve"> μυελού των οστών.</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Η θεραπεία πρώτης γραμμής με το </w:t>
      </w:r>
      <w:r w:rsidRPr="00F652D5">
        <w:rPr>
          <w:snapToGrid w:val="0"/>
          <w:sz w:val="22"/>
          <w:szCs w:val="22"/>
          <w:lang w:eastAsia="en-US"/>
        </w:rPr>
        <w:t>Fludara</w:t>
      </w:r>
      <w:r w:rsidRPr="00F652D5">
        <w:rPr>
          <w:snapToGrid w:val="0"/>
          <w:sz w:val="22"/>
          <w:szCs w:val="22"/>
          <w:lang w:val="el-GR" w:eastAsia="en-US"/>
        </w:rPr>
        <w:t xml:space="preserve"> πρέπει να χορηγείται μόνο σε ασθενείς με προχωρημένη νόσο, στάδια </w:t>
      </w:r>
      <w:r w:rsidRPr="00F652D5">
        <w:rPr>
          <w:snapToGrid w:val="0"/>
          <w:sz w:val="22"/>
          <w:szCs w:val="22"/>
          <w:lang w:eastAsia="en-US"/>
        </w:rPr>
        <w:t>Rai</w:t>
      </w:r>
      <w:r w:rsidRPr="00F652D5">
        <w:rPr>
          <w:snapToGrid w:val="0"/>
          <w:sz w:val="22"/>
          <w:szCs w:val="22"/>
          <w:lang w:val="el-GR" w:eastAsia="en-US"/>
        </w:rPr>
        <w:t xml:space="preserve"> ΙΙΙ/ΙV (στάδιο </w:t>
      </w:r>
      <w:r w:rsidRPr="00F652D5">
        <w:rPr>
          <w:snapToGrid w:val="0"/>
          <w:sz w:val="22"/>
          <w:szCs w:val="22"/>
          <w:lang w:eastAsia="en-US"/>
        </w:rPr>
        <w:t>C</w:t>
      </w:r>
      <w:r w:rsidRPr="00F652D5">
        <w:rPr>
          <w:snapToGrid w:val="0"/>
          <w:sz w:val="22"/>
          <w:szCs w:val="22"/>
          <w:lang w:val="el-GR" w:eastAsia="en-US"/>
        </w:rPr>
        <w:t xml:space="preserve"> κατά </w:t>
      </w:r>
      <w:r w:rsidRPr="00F652D5">
        <w:rPr>
          <w:snapToGrid w:val="0"/>
          <w:sz w:val="22"/>
          <w:szCs w:val="22"/>
          <w:lang w:eastAsia="en-US"/>
        </w:rPr>
        <w:t>Binet</w:t>
      </w:r>
      <w:r w:rsidRPr="00F652D5">
        <w:rPr>
          <w:snapToGrid w:val="0"/>
          <w:sz w:val="22"/>
          <w:szCs w:val="22"/>
          <w:lang w:val="el-GR" w:eastAsia="en-US"/>
        </w:rPr>
        <w:t xml:space="preserve">) ή στάδια </w:t>
      </w:r>
      <w:r w:rsidRPr="00F652D5">
        <w:rPr>
          <w:snapToGrid w:val="0"/>
          <w:sz w:val="22"/>
          <w:szCs w:val="22"/>
          <w:lang w:eastAsia="en-US"/>
        </w:rPr>
        <w:t>Rai</w:t>
      </w:r>
      <w:r w:rsidRPr="00F652D5">
        <w:rPr>
          <w:snapToGrid w:val="0"/>
          <w:sz w:val="22"/>
          <w:szCs w:val="22"/>
          <w:lang w:val="el-GR" w:eastAsia="en-US"/>
        </w:rPr>
        <w:t xml:space="preserve"> </w:t>
      </w:r>
      <w:r w:rsidRPr="00F652D5">
        <w:rPr>
          <w:snapToGrid w:val="0"/>
          <w:sz w:val="22"/>
          <w:szCs w:val="22"/>
          <w:lang w:eastAsia="en-US"/>
        </w:rPr>
        <w:t>I</w:t>
      </w:r>
      <w:r w:rsidRPr="00F652D5">
        <w:rPr>
          <w:snapToGrid w:val="0"/>
          <w:sz w:val="22"/>
          <w:szCs w:val="22"/>
          <w:lang w:val="el-GR" w:eastAsia="en-US"/>
        </w:rPr>
        <w:t>/</w:t>
      </w:r>
      <w:r w:rsidRPr="00F652D5">
        <w:rPr>
          <w:snapToGrid w:val="0"/>
          <w:sz w:val="22"/>
          <w:szCs w:val="22"/>
          <w:lang w:eastAsia="en-US"/>
        </w:rPr>
        <w:t>II</w:t>
      </w:r>
      <w:r w:rsidRPr="00F652D5">
        <w:rPr>
          <w:snapToGrid w:val="0"/>
          <w:sz w:val="22"/>
          <w:szCs w:val="22"/>
          <w:lang w:val="el-GR" w:eastAsia="en-US"/>
        </w:rPr>
        <w:t xml:space="preserve"> (στάδιο </w:t>
      </w:r>
      <w:r w:rsidRPr="00F652D5">
        <w:rPr>
          <w:snapToGrid w:val="0"/>
          <w:sz w:val="22"/>
          <w:szCs w:val="22"/>
          <w:lang w:eastAsia="en-US"/>
        </w:rPr>
        <w:t>A</w:t>
      </w:r>
      <w:r w:rsidRPr="00F652D5">
        <w:rPr>
          <w:snapToGrid w:val="0"/>
          <w:sz w:val="22"/>
          <w:szCs w:val="22"/>
          <w:lang w:val="el-GR" w:eastAsia="en-US"/>
        </w:rPr>
        <w:t>/</w:t>
      </w:r>
      <w:r w:rsidRPr="00F652D5">
        <w:rPr>
          <w:snapToGrid w:val="0"/>
          <w:sz w:val="22"/>
          <w:szCs w:val="22"/>
          <w:lang w:eastAsia="en-US"/>
        </w:rPr>
        <w:t>B</w:t>
      </w:r>
      <w:r w:rsidRPr="00F652D5">
        <w:rPr>
          <w:snapToGrid w:val="0"/>
          <w:sz w:val="22"/>
          <w:szCs w:val="22"/>
          <w:lang w:val="el-GR" w:eastAsia="en-US"/>
        </w:rPr>
        <w:t xml:space="preserve"> κατά </w:t>
      </w:r>
      <w:r w:rsidRPr="00F652D5">
        <w:rPr>
          <w:snapToGrid w:val="0"/>
          <w:sz w:val="22"/>
          <w:szCs w:val="22"/>
          <w:lang w:eastAsia="en-US"/>
        </w:rPr>
        <w:t>Binet</w:t>
      </w:r>
      <w:r w:rsidRPr="00F652D5">
        <w:rPr>
          <w:snapToGrid w:val="0"/>
          <w:sz w:val="22"/>
          <w:szCs w:val="22"/>
          <w:lang w:val="el-GR" w:eastAsia="en-US"/>
        </w:rPr>
        <w:t>), κατά τα οποία ο ασθενής εμφανίζει συμπτώματα, σχετιζόμενα με τη νόσο ή ενδείξεις προϊούσας νόσου.</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4.2</w:t>
      </w:r>
      <w:r w:rsidRPr="00F652D5">
        <w:rPr>
          <w:b/>
          <w:snapToGrid w:val="0"/>
          <w:sz w:val="22"/>
          <w:szCs w:val="22"/>
          <w:lang w:val="el-GR" w:eastAsia="en-US"/>
        </w:rPr>
        <w:tab/>
        <w:t>Δοσολογία και τρόπος χορήγησης</w:t>
      </w:r>
    </w:p>
    <w:p w:rsidR="00B35873" w:rsidRPr="00F652D5" w:rsidRDefault="00B35873" w:rsidP="007E08D8">
      <w:pPr>
        <w:tabs>
          <w:tab w:val="left" w:pos="567"/>
        </w:tabs>
        <w:jc w:val="both"/>
        <w:rPr>
          <w:b/>
          <w:snapToGrid w:val="0"/>
          <w:sz w:val="22"/>
          <w:szCs w:val="22"/>
          <w:lang w:val="el-GR" w:eastAsia="en-US"/>
        </w:rPr>
      </w:pPr>
    </w:p>
    <w:p w:rsidR="00F10213" w:rsidRPr="00A1386F" w:rsidRDefault="00F10213" w:rsidP="00F10213">
      <w:pPr>
        <w:tabs>
          <w:tab w:val="left" w:pos="567"/>
        </w:tabs>
        <w:jc w:val="both"/>
        <w:rPr>
          <w:snapToGrid w:val="0"/>
          <w:sz w:val="22"/>
          <w:szCs w:val="22"/>
          <w:u w:val="single"/>
          <w:lang w:val="el-GR" w:eastAsia="en-US"/>
        </w:rPr>
      </w:pPr>
      <w:r w:rsidRPr="00A1386F">
        <w:rPr>
          <w:snapToGrid w:val="0"/>
          <w:sz w:val="22"/>
          <w:szCs w:val="22"/>
          <w:u w:val="single"/>
          <w:lang w:val="el-GR" w:eastAsia="en-US"/>
        </w:rPr>
        <w:t>Δοσολογία</w:t>
      </w:r>
    </w:p>
    <w:p w:rsidR="00B35873" w:rsidRPr="00F652D5" w:rsidRDefault="00B35873" w:rsidP="007E08D8">
      <w:pPr>
        <w:tabs>
          <w:tab w:val="left" w:pos="567"/>
        </w:tabs>
        <w:jc w:val="both"/>
        <w:rPr>
          <w:snapToGrid w:val="0"/>
          <w:sz w:val="22"/>
          <w:szCs w:val="22"/>
          <w:u w:val="single"/>
          <w:lang w:val="el-GR" w:eastAsia="en-US"/>
        </w:rPr>
      </w:pPr>
    </w:p>
    <w:p w:rsidR="00B35873" w:rsidRPr="00F652D5" w:rsidRDefault="00B35873" w:rsidP="007E08D8">
      <w:pPr>
        <w:numPr>
          <w:ilvl w:val="0"/>
          <w:numId w:val="29"/>
        </w:numPr>
        <w:tabs>
          <w:tab w:val="left" w:pos="567"/>
        </w:tabs>
        <w:jc w:val="both"/>
        <w:rPr>
          <w:snapToGrid w:val="0"/>
          <w:sz w:val="22"/>
          <w:szCs w:val="22"/>
          <w:lang w:val="de-DE" w:eastAsia="en-US"/>
        </w:rPr>
      </w:pPr>
      <w:r w:rsidRPr="00F652D5">
        <w:rPr>
          <w:snapToGrid w:val="0"/>
          <w:sz w:val="22"/>
          <w:szCs w:val="22"/>
          <w:lang w:val="el-GR" w:eastAsia="en-US"/>
        </w:rPr>
        <w:t>Ενήλικες</w:t>
      </w:r>
    </w:p>
    <w:p w:rsidR="007E08D8" w:rsidRPr="00F652D5" w:rsidRDefault="007E08D8" w:rsidP="007E08D8">
      <w:pPr>
        <w:tabs>
          <w:tab w:val="left" w:pos="567"/>
        </w:tabs>
        <w:jc w:val="both"/>
        <w:rPr>
          <w:snapToGrid w:val="0"/>
          <w:sz w:val="22"/>
          <w:szCs w:val="22"/>
          <w:lang w:val="de-DE" w:eastAsia="en-US"/>
        </w:rPr>
      </w:pPr>
    </w:p>
    <w:p w:rsidR="00B35873" w:rsidRPr="00F652D5" w:rsidRDefault="00750BC9" w:rsidP="00750BC9">
      <w:pPr>
        <w:tabs>
          <w:tab w:val="left" w:pos="567"/>
        </w:tabs>
        <w:rPr>
          <w:snapToGrid w:val="0"/>
          <w:sz w:val="22"/>
          <w:szCs w:val="22"/>
          <w:lang w:val="el-GR" w:eastAsia="en-US"/>
        </w:rPr>
      </w:pPr>
      <w:r w:rsidRPr="00F652D5">
        <w:rPr>
          <w:snapToGrid w:val="0"/>
          <w:sz w:val="22"/>
          <w:szCs w:val="22"/>
          <w:lang w:val="el-GR" w:eastAsia="en-US"/>
        </w:rPr>
        <w:t>Η συνιστώμενη δόση είναι 25</w:t>
      </w:r>
      <w:r w:rsidRPr="00F652D5">
        <w:rPr>
          <w:snapToGrid w:val="0"/>
          <w:sz w:val="22"/>
          <w:szCs w:val="22"/>
          <w:lang w:val="de-DE" w:eastAsia="en-US"/>
        </w:rPr>
        <w:t> </w:t>
      </w:r>
      <w:r w:rsidR="00B35873" w:rsidRPr="00F652D5">
        <w:rPr>
          <w:snapToGrid w:val="0"/>
          <w:sz w:val="22"/>
          <w:szCs w:val="22"/>
          <w:lang w:eastAsia="en-US"/>
        </w:rPr>
        <w:t>mg</w:t>
      </w:r>
      <w:r w:rsidR="00B35873" w:rsidRPr="00F652D5">
        <w:rPr>
          <w:snapToGrid w:val="0"/>
          <w:sz w:val="22"/>
          <w:szCs w:val="22"/>
          <w:lang w:val="el-GR" w:eastAsia="en-US"/>
        </w:rPr>
        <w:t xml:space="preserve"> φωσφορικής φλουνταραμπίνης/</w:t>
      </w:r>
      <w:r w:rsidR="00B35873" w:rsidRPr="00F652D5">
        <w:rPr>
          <w:snapToGrid w:val="0"/>
          <w:sz w:val="22"/>
          <w:szCs w:val="22"/>
          <w:lang w:eastAsia="en-US"/>
        </w:rPr>
        <w:t>m</w:t>
      </w:r>
      <w:r w:rsidR="00B35873" w:rsidRPr="00F652D5">
        <w:rPr>
          <w:snapToGrid w:val="0"/>
          <w:sz w:val="22"/>
          <w:szCs w:val="22"/>
          <w:lang w:val="el-GR" w:eastAsia="en-US"/>
        </w:rPr>
        <w:t>² επιφάνειας σώματος, που χορηγείται καθημερινά για διάστημα 5</w:t>
      </w:r>
      <w:r w:rsidRPr="00F652D5">
        <w:rPr>
          <w:snapToGrid w:val="0"/>
          <w:sz w:val="22"/>
          <w:szCs w:val="22"/>
          <w:lang w:val="de-DE" w:eastAsia="en-US"/>
        </w:rPr>
        <w:t> </w:t>
      </w:r>
      <w:r w:rsidR="00B35873" w:rsidRPr="00F652D5">
        <w:rPr>
          <w:snapToGrid w:val="0"/>
          <w:sz w:val="22"/>
          <w:szCs w:val="22"/>
          <w:lang w:val="el-GR" w:eastAsia="en-US"/>
        </w:rPr>
        <w:t>διαδοχικών ημερών και κάθε 28</w:t>
      </w:r>
      <w:r w:rsidRPr="00F652D5">
        <w:rPr>
          <w:snapToGrid w:val="0"/>
          <w:sz w:val="22"/>
          <w:szCs w:val="22"/>
          <w:lang w:val="de-DE" w:eastAsia="en-US"/>
        </w:rPr>
        <w:t> </w:t>
      </w:r>
      <w:r w:rsidR="00B35873" w:rsidRPr="00F652D5">
        <w:rPr>
          <w:snapToGrid w:val="0"/>
          <w:sz w:val="22"/>
          <w:szCs w:val="22"/>
          <w:lang w:val="el-GR" w:eastAsia="en-US"/>
        </w:rPr>
        <w:t>ημέρες, ενδοφλεβίως. Το περιεχόμενο του κάθε φιαλιδίου πρέπει να ανασυσταθεί με 2</w:t>
      </w:r>
      <w:r w:rsidRPr="00F652D5">
        <w:rPr>
          <w:snapToGrid w:val="0"/>
          <w:sz w:val="22"/>
          <w:szCs w:val="22"/>
          <w:lang w:val="de-DE" w:eastAsia="en-US"/>
        </w:rPr>
        <w:t> </w:t>
      </w:r>
      <w:r w:rsidR="00B35873" w:rsidRPr="00F652D5">
        <w:rPr>
          <w:snapToGrid w:val="0"/>
          <w:sz w:val="22"/>
          <w:szCs w:val="22"/>
          <w:lang w:eastAsia="en-US"/>
        </w:rPr>
        <w:t>ml</w:t>
      </w:r>
      <w:r w:rsidR="00B35873" w:rsidRPr="00F652D5">
        <w:rPr>
          <w:snapToGrid w:val="0"/>
          <w:sz w:val="22"/>
          <w:szCs w:val="22"/>
          <w:lang w:val="el-GR" w:eastAsia="en-US"/>
        </w:rPr>
        <w:t xml:space="preserve"> ενέσιμο νερό. Το διάλυμα που προκύπτει περιέχει 25</w:t>
      </w:r>
      <w:r w:rsidRPr="00F652D5">
        <w:rPr>
          <w:snapToGrid w:val="0"/>
          <w:sz w:val="22"/>
          <w:szCs w:val="22"/>
          <w:lang w:val="de-DE" w:eastAsia="en-US"/>
        </w:rPr>
        <w:t> </w:t>
      </w:r>
      <w:r w:rsidR="00B35873" w:rsidRPr="00F652D5">
        <w:rPr>
          <w:snapToGrid w:val="0"/>
          <w:sz w:val="22"/>
          <w:szCs w:val="22"/>
          <w:lang w:eastAsia="en-US"/>
        </w:rPr>
        <w:t>mg</w:t>
      </w:r>
      <w:r w:rsidR="00B35873" w:rsidRPr="00F652D5">
        <w:rPr>
          <w:snapToGrid w:val="0"/>
          <w:sz w:val="22"/>
          <w:szCs w:val="22"/>
          <w:lang w:val="el-GR" w:eastAsia="en-US"/>
        </w:rPr>
        <w:t xml:space="preserve"> φωσφορικής φλουνταραμπίνης ανά </w:t>
      </w:r>
      <w:r w:rsidR="00B35873" w:rsidRPr="00F652D5">
        <w:rPr>
          <w:snapToGrid w:val="0"/>
          <w:sz w:val="22"/>
          <w:szCs w:val="22"/>
          <w:lang w:eastAsia="en-US"/>
        </w:rPr>
        <w:t>ml</w:t>
      </w:r>
      <w:r w:rsidR="00B35873" w:rsidRPr="00F652D5">
        <w:rPr>
          <w:snapToGrid w:val="0"/>
          <w:sz w:val="22"/>
          <w:szCs w:val="22"/>
          <w:lang w:val="el-GR" w:eastAsia="en-US"/>
        </w:rPr>
        <w:t xml:space="preserve"> (βλ. επίσης παράγραφο 6.6). </w:t>
      </w:r>
    </w:p>
    <w:p w:rsidR="00B35873" w:rsidRPr="00F652D5" w:rsidRDefault="00B35873" w:rsidP="00750BC9">
      <w:pPr>
        <w:pStyle w:val="30"/>
        <w:spacing w:line="240" w:lineRule="auto"/>
        <w:ind w:left="0"/>
        <w:jc w:val="left"/>
        <w:rPr>
          <w:rFonts w:ascii="Times New Roman" w:hAnsi="Times New Roman"/>
          <w:snapToGrid w:val="0"/>
          <w:sz w:val="22"/>
          <w:szCs w:val="22"/>
          <w:lang w:val="el-GR" w:eastAsia="en-US"/>
        </w:rPr>
      </w:pPr>
    </w:p>
    <w:p w:rsidR="00B35873" w:rsidRPr="00F652D5" w:rsidRDefault="00B35873" w:rsidP="00750BC9">
      <w:pPr>
        <w:pStyle w:val="30"/>
        <w:spacing w:line="240" w:lineRule="auto"/>
        <w:ind w:left="0"/>
        <w:jc w:val="left"/>
        <w:rPr>
          <w:rFonts w:ascii="Times New Roman" w:hAnsi="Times New Roman"/>
          <w:snapToGrid w:val="0"/>
          <w:sz w:val="22"/>
          <w:szCs w:val="22"/>
          <w:lang w:val="el-GR" w:eastAsia="en-US"/>
        </w:rPr>
      </w:pPr>
      <w:r w:rsidRPr="00F652D5">
        <w:rPr>
          <w:rFonts w:ascii="Times New Roman" w:hAnsi="Times New Roman"/>
          <w:snapToGrid w:val="0"/>
          <w:sz w:val="22"/>
          <w:szCs w:val="22"/>
          <w:lang w:val="el-GR" w:eastAsia="en-US"/>
        </w:rPr>
        <w:t>Η απαιτούμενη δόση (που υπολογίζεται με βάση την επιφάνεια του σώματος του ασθενούς) του ανασυσταθέντος διαλύματος αναρροφάται σε μια σύριγγα. Για εφάπαξ (</w:t>
      </w:r>
      <w:r w:rsidRPr="00F652D5">
        <w:rPr>
          <w:rFonts w:ascii="Times New Roman" w:hAnsi="Times New Roman"/>
          <w:snapToGrid w:val="0"/>
          <w:sz w:val="22"/>
          <w:szCs w:val="22"/>
          <w:lang w:eastAsia="en-US"/>
        </w:rPr>
        <w:t>bolus</w:t>
      </w:r>
      <w:r w:rsidRPr="00F652D5">
        <w:rPr>
          <w:rFonts w:ascii="Times New Roman" w:hAnsi="Times New Roman"/>
          <w:snapToGrid w:val="0"/>
          <w:sz w:val="22"/>
          <w:szCs w:val="22"/>
          <w:lang w:val="el-GR" w:eastAsia="en-US"/>
        </w:rPr>
        <w:t>) ενδοφλέβια ένεση, η δόση αυτή αραιώνεται περαιτέρω με 10</w:t>
      </w:r>
      <w:r w:rsidR="00750BC9" w:rsidRPr="00F652D5">
        <w:rPr>
          <w:rFonts w:ascii="Times New Roman" w:hAnsi="Times New Roman"/>
          <w:snapToGrid w:val="0"/>
          <w:sz w:val="22"/>
          <w:szCs w:val="22"/>
          <w:lang w:val="de-DE" w:eastAsia="en-US"/>
        </w:rPr>
        <w:t> </w:t>
      </w:r>
      <w:r w:rsidRPr="00F652D5">
        <w:rPr>
          <w:rFonts w:ascii="Times New Roman" w:hAnsi="Times New Roman"/>
          <w:snapToGrid w:val="0"/>
          <w:sz w:val="22"/>
          <w:szCs w:val="22"/>
          <w:lang w:eastAsia="en-US"/>
        </w:rPr>
        <w:t>ml</w:t>
      </w:r>
      <w:r w:rsidRPr="00F652D5">
        <w:rPr>
          <w:rFonts w:ascii="Times New Roman" w:hAnsi="Times New Roman"/>
          <w:snapToGrid w:val="0"/>
          <w:sz w:val="22"/>
          <w:szCs w:val="22"/>
          <w:lang w:val="el-GR" w:eastAsia="en-US"/>
        </w:rPr>
        <w:t xml:space="preserve"> διαλύματος χλωριούχου νατρίου</w:t>
      </w:r>
      <w:r w:rsidRPr="00F652D5">
        <w:rPr>
          <w:rFonts w:ascii="Times New Roman" w:hAnsi="Times New Roman"/>
          <w:sz w:val="22"/>
          <w:szCs w:val="22"/>
        </w:rPr>
        <w:t> </w:t>
      </w:r>
      <w:r w:rsidRPr="00F652D5">
        <w:rPr>
          <w:rFonts w:ascii="Times New Roman" w:hAnsi="Times New Roman"/>
          <w:sz w:val="22"/>
          <w:szCs w:val="22"/>
          <w:lang w:val="el-GR"/>
        </w:rPr>
        <w:t>9</w:t>
      </w:r>
      <w:r w:rsidRPr="00F652D5">
        <w:rPr>
          <w:rFonts w:ascii="Times New Roman" w:hAnsi="Times New Roman"/>
          <w:sz w:val="22"/>
          <w:szCs w:val="22"/>
        </w:rPr>
        <w:t> mg</w:t>
      </w:r>
      <w:r w:rsidRPr="00F652D5">
        <w:rPr>
          <w:rFonts w:ascii="Times New Roman" w:hAnsi="Times New Roman"/>
          <w:sz w:val="22"/>
          <w:szCs w:val="22"/>
          <w:lang w:val="el-GR"/>
        </w:rPr>
        <w:t>/</w:t>
      </w:r>
      <w:r w:rsidRPr="00F652D5">
        <w:rPr>
          <w:rFonts w:ascii="Times New Roman" w:hAnsi="Times New Roman"/>
          <w:sz w:val="22"/>
          <w:szCs w:val="22"/>
        </w:rPr>
        <w:t>ml</w:t>
      </w:r>
      <w:r w:rsidRPr="00F652D5">
        <w:rPr>
          <w:rFonts w:ascii="Times New Roman" w:hAnsi="Times New Roman"/>
          <w:sz w:val="22"/>
          <w:szCs w:val="22"/>
          <w:lang w:val="el-GR"/>
        </w:rPr>
        <w:t xml:space="preserve"> (0,9</w:t>
      </w:r>
      <w:r w:rsidRPr="00F652D5">
        <w:rPr>
          <w:rFonts w:ascii="Times New Roman" w:hAnsi="Times New Roman"/>
          <w:sz w:val="22"/>
          <w:szCs w:val="22"/>
        </w:rPr>
        <w:t> </w:t>
      </w:r>
      <w:r w:rsidRPr="00F652D5">
        <w:rPr>
          <w:rFonts w:ascii="Times New Roman" w:hAnsi="Times New Roman"/>
          <w:sz w:val="22"/>
          <w:szCs w:val="22"/>
          <w:lang w:val="el-GR"/>
        </w:rPr>
        <w:t>%)</w:t>
      </w:r>
      <w:r w:rsidRPr="00F652D5">
        <w:rPr>
          <w:rFonts w:ascii="Times New Roman" w:hAnsi="Times New Roman"/>
          <w:snapToGrid w:val="0"/>
          <w:sz w:val="22"/>
          <w:szCs w:val="22"/>
          <w:lang w:val="el-GR" w:eastAsia="en-US"/>
        </w:rPr>
        <w:t xml:space="preserve">. Εναλλακτικά, όταν πρόκειται να γίνει έγχυση, η </w:t>
      </w:r>
      <w:r w:rsidRPr="00F652D5">
        <w:rPr>
          <w:rFonts w:ascii="Times New Roman" w:hAnsi="Times New Roman"/>
          <w:snapToGrid w:val="0"/>
          <w:sz w:val="22"/>
          <w:szCs w:val="22"/>
          <w:lang w:val="el-GR"/>
        </w:rPr>
        <w:t xml:space="preserve">αντλούμενη σε σύριγγα </w:t>
      </w:r>
      <w:r w:rsidRPr="00F652D5">
        <w:rPr>
          <w:rFonts w:ascii="Times New Roman" w:hAnsi="Times New Roman"/>
          <w:snapToGrid w:val="0"/>
          <w:sz w:val="22"/>
          <w:szCs w:val="22"/>
          <w:lang w:val="el-GR" w:eastAsia="en-US"/>
        </w:rPr>
        <w:t>απαιτούμενη δόση μπορεί να αραιωθεί σε 100</w:t>
      </w:r>
      <w:r w:rsidR="00750BC9" w:rsidRPr="00F652D5">
        <w:rPr>
          <w:rFonts w:ascii="Times New Roman" w:hAnsi="Times New Roman"/>
          <w:snapToGrid w:val="0"/>
          <w:sz w:val="22"/>
          <w:szCs w:val="22"/>
          <w:lang w:val="de-DE" w:eastAsia="en-US"/>
        </w:rPr>
        <w:t> </w:t>
      </w:r>
      <w:r w:rsidRPr="00F652D5">
        <w:rPr>
          <w:rFonts w:ascii="Times New Roman" w:hAnsi="Times New Roman"/>
          <w:snapToGrid w:val="0"/>
          <w:sz w:val="22"/>
          <w:szCs w:val="22"/>
          <w:lang w:eastAsia="en-US"/>
        </w:rPr>
        <w:t>ml</w:t>
      </w:r>
      <w:r w:rsidRPr="00F652D5">
        <w:rPr>
          <w:rFonts w:ascii="Times New Roman" w:hAnsi="Times New Roman"/>
          <w:snapToGrid w:val="0"/>
          <w:sz w:val="22"/>
          <w:szCs w:val="22"/>
          <w:lang w:val="el-GR" w:eastAsia="en-US"/>
        </w:rPr>
        <w:t xml:space="preserve"> διαλύματος χλωριούχου νατρίου</w:t>
      </w:r>
      <w:r w:rsidRPr="00F652D5">
        <w:rPr>
          <w:rFonts w:ascii="Times New Roman" w:hAnsi="Times New Roman"/>
          <w:sz w:val="22"/>
          <w:szCs w:val="22"/>
        </w:rPr>
        <w:t> </w:t>
      </w:r>
      <w:r w:rsidRPr="00F652D5">
        <w:rPr>
          <w:rFonts w:ascii="Times New Roman" w:hAnsi="Times New Roman"/>
          <w:sz w:val="22"/>
          <w:szCs w:val="22"/>
          <w:lang w:val="el-GR"/>
        </w:rPr>
        <w:t>9</w:t>
      </w:r>
      <w:r w:rsidRPr="00F652D5">
        <w:rPr>
          <w:rFonts w:ascii="Times New Roman" w:hAnsi="Times New Roman"/>
          <w:sz w:val="22"/>
          <w:szCs w:val="22"/>
        </w:rPr>
        <w:t> mg</w:t>
      </w:r>
      <w:r w:rsidRPr="00F652D5">
        <w:rPr>
          <w:rFonts w:ascii="Times New Roman" w:hAnsi="Times New Roman"/>
          <w:sz w:val="22"/>
          <w:szCs w:val="22"/>
          <w:lang w:val="el-GR"/>
        </w:rPr>
        <w:t>/</w:t>
      </w:r>
      <w:r w:rsidRPr="00F652D5">
        <w:rPr>
          <w:rFonts w:ascii="Times New Roman" w:hAnsi="Times New Roman"/>
          <w:sz w:val="22"/>
          <w:szCs w:val="22"/>
        </w:rPr>
        <w:t>ml</w:t>
      </w:r>
      <w:r w:rsidRPr="00F652D5">
        <w:rPr>
          <w:rFonts w:ascii="Times New Roman" w:hAnsi="Times New Roman"/>
          <w:sz w:val="22"/>
          <w:szCs w:val="22"/>
          <w:lang w:val="el-GR"/>
        </w:rPr>
        <w:t xml:space="preserve"> (0,9</w:t>
      </w:r>
      <w:r w:rsidRPr="00F652D5">
        <w:rPr>
          <w:rFonts w:ascii="Times New Roman" w:hAnsi="Times New Roman"/>
          <w:sz w:val="22"/>
          <w:szCs w:val="22"/>
        </w:rPr>
        <w:t> </w:t>
      </w:r>
      <w:r w:rsidRPr="00F652D5">
        <w:rPr>
          <w:rFonts w:ascii="Times New Roman" w:hAnsi="Times New Roman"/>
          <w:sz w:val="22"/>
          <w:szCs w:val="22"/>
          <w:lang w:val="el-GR"/>
        </w:rPr>
        <w:t>%)</w:t>
      </w:r>
      <w:r w:rsidRPr="00F652D5">
        <w:rPr>
          <w:rFonts w:ascii="Times New Roman" w:hAnsi="Times New Roman"/>
          <w:snapToGrid w:val="0"/>
          <w:sz w:val="22"/>
          <w:szCs w:val="22"/>
          <w:lang w:val="el-GR" w:eastAsia="en-US"/>
        </w:rPr>
        <w:t xml:space="preserve"> και να χορηγηθεί με έγχυση σε διάστημα περίπου 30 λεπτών.</w:t>
      </w:r>
    </w:p>
    <w:p w:rsidR="00B35873" w:rsidRPr="00F652D5" w:rsidRDefault="00B35873" w:rsidP="00750BC9">
      <w:pPr>
        <w:pStyle w:val="30"/>
        <w:spacing w:line="240" w:lineRule="auto"/>
        <w:ind w:left="0"/>
        <w:jc w:val="left"/>
        <w:rPr>
          <w:rFonts w:ascii="Times New Roman" w:hAnsi="Times New Roman"/>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Η διάρκεια της θεραπείας εξαρτάται από την επιτυχία της θεραπείας και την ανεκτικότητα στο φάρμακο. </w:t>
      </w:r>
    </w:p>
    <w:p w:rsidR="007E08D8" w:rsidRPr="00F652D5" w:rsidRDefault="007E08D8"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rPr>
        <w:lastRenderedPageBreak/>
        <w:t xml:space="preserve">Σε ασθενείς με </w:t>
      </w:r>
      <w:smartTag w:uri="urn:schemas-microsoft-com:office:smarttags" w:element="stockticker">
        <w:r w:rsidRPr="00F652D5">
          <w:rPr>
            <w:sz w:val="22"/>
            <w:szCs w:val="22"/>
          </w:rPr>
          <w:t>CLL</w:t>
        </w:r>
      </w:smartTag>
      <w:r w:rsidRPr="00F652D5">
        <w:rPr>
          <w:sz w:val="22"/>
          <w:szCs w:val="22"/>
          <w:lang w:val="el-GR"/>
        </w:rPr>
        <w:t>, το</w:t>
      </w:r>
      <w:r w:rsidRPr="00F652D5">
        <w:rPr>
          <w:snapToGrid w:val="0"/>
          <w:sz w:val="22"/>
          <w:szCs w:val="22"/>
          <w:lang w:val="el-GR" w:eastAsia="en-US"/>
        </w:rPr>
        <w:t xml:space="preserve"> </w:t>
      </w:r>
      <w:r w:rsidRPr="00F652D5">
        <w:rPr>
          <w:snapToGrid w:val="0"/>
          <w:sz w:val="22"/>
          <w:szCs w:val="22"/>
          <w:lang w:eastAsia="en-US"/>
        </w:rPr>
        <w:t>Fludara</w:t>
      </w:r>
      <w:r w:rsidRPr="00F652D5">
        <w:rPr>
          <w:snapToGrid w:val="0"/>
          <w:sz w:val="22"/>
          <w:szCs w:val="22"/>
          <w:lang w:val="el-GR" w:eastAsia="en-US"/>
        </w:rPr>
        <w:t xml:space="preserve"> πρέπει να χορηγείται μέχρι την επίτευξη της </w:t>
      </w:r>
      <w:r w:rsidR="002618C6">
        <w:rPr>
          <w:snapToGrid w:val="0"/>
          <w:sz w:val="22"/>
          <w:szCs w:val="22"/>
          <w:lang w:val="el-GR" w:eastAsia="en-US"/>
        </w:rPr>
        <w:t>βέλτι</w:t>
      </w:r>
      <w:r w:rsidRPr="00F652D5">
        <w:rPr>
          <w:snapToGrid w:val="0"/>
          <w:sz w:val="22"/>
          <w:szCs w:val="22"/>
          <w:lang w:val="el-GR" w:eastAsia="en-US"/>
        </w:rPr>
        <w:t>στης ανταπόκρισης (πλήρης ή μερική ύφεση, συνήθως 6</w:t>
      </w:r>
      <w:r w:rsidRPr="00F652D5">
        <w:rPr>
          <w:sz w:val="22"/>
          <w:szCs w:val="22"/>
        </w:rPr>
        <w:t> </w:t>
      </w:r>
      <w:r w:rsidRPr="00F652D5">
        <w:rPr>
          <w:snapToGrid w:val="0"/>
          <w:sz w:val="22"/>
          <w:szCs w:val="22"/>
          <w:lang w:val="el-GR" w:eastAsia="en-US"/>
        </w:rPr>
        <w:t>κύκλοι) και στη συνέχεια η χορήγηση του φαρμάκου θα πρέπει να διακόπτεται.</w:t>
      </w:r>
    </w:p>
    <w:p w:rsidR="00F10213" w:rsidRPr="005562DE" w:rsidRDefault="00F10213" w:rsidP="007E08D8">
      <w:pPr>
        <w:pStyle w:val="7"/>
        <w:spacing w:before="0" w:line="240" w:lineRule="auto"/>
        <w:rPr>
          <w:rFonts w:ascii="Times New Roman" w:hAnsi="Times New Roman"/>
          <w:snapToGrid w:val="0"/>
          <w:szCs w:val="22"/>
        </w:rPr>
      </w:pPr>
    </w:p>
    <w:p w:rsidR="00B35873" w:rsidRPr="005562DE" w:rsidRDefault="00F10213" w:rsidP="007E08D8">
      <w:pPr>
        <w:pStyle w:val="7"/>
        <w:spacing w:before="0" w:line="240" w:lineRule="auto"/>
        <w:rPr>
          <w:rFonts w:ascii="Times New Roman" w:hAnsi="Times New Roman"/>
          <w:snapToGrid w:val="0"/>
          <w:szCs w:val="22"/>
        </w:rPr>
      </w:pPr>
      <w:r w:rsidRPr="005562DE">
        <w:rPr>
          <w:rFonts w:ascii="Times New Roman" w:hAnsi="Times New Roman"/>
          <w:snapToGrid w:val="0"/>
          <w:szCs w:val="22"/>
        </w:rPr>
        <w:t>Ειδικές ομάδες ασθενών</w:t>
      </w:r>
    </w:p>
    <w:p w:rsidR="00F10213" w:rsidRPr="005562DE" w:rsidRDefault="00F10213" w:rsidP="00F10213">
      <w:pPr>
        <w:rPr>
          <w:lang w:val="el-GR" w:eastAsia="en-US"/>
        </w:rPr>
      </w:pPr>
    </w:p>
    <w:p w:rsidR="00B35873" w:rsidRPr="00F652D5" w:rsidRDefault="00B35873" w:rsidP="006A45B9">
      <w:pPr>
        <w:pStyle w:val="7"/>
        <w:tabs>
          <w:tab w:val="clear" w:pos="567"/>
          <w:tab w:val="left" w:pos="426"/>
        </w:tabs>
        <w:spacing w:before="0" w:line="240" w:lineRule="auto"/>
        <w:rPr>
          <w:rFonts w:ascii="Times New Roman" w:hAnsi="Times New Roman"/>
          <w:szCs w:val="22"/>
          <w:u w:val="none"/>
        </w:rPr>
      </w:pPr>
      <w:r w:rsidRPr="00F652D5">
        <w:rPr>
          <w:rFonts w:ascii="Times New Roman" w:hAnsi="Times New Roman"/>
          <w:szCs w:val="22"/>
          <w:u w:val="none"/>
        </w:rPr>
        <w:sym w:font="Symbol" w:char="F0B7"/>
      </w:r>
      <w:r w:rsidRPr="00F652D5">
        <w:rPr>
          <w:rFonts w:ascii="Times New Roman" w:hAnsi="Times New Roman"/>
          <w:szCs w:val="22"/>
          <w:u w:val="none"/>
        </w:rPr>
        <w:tab/>
        <w:t>Ασθενείς με νεφρική δυσλειτουργία</w:t>
      </w:r>
    </w:p>
    <w:p w:rsidR="008940CE" w:rsidRPr="00F652D5" w:rsidRDefault="008940CE" w:rsidP="008940CE">
      <w:pPr>
        <w:rPr>
          <w:sz w:val="22"/>
          <w:szCs w:val="22"/>
          <w:lang w:val="el-GR" w:eastAsia="en-US"/>
        </w:rPr>
      </w:pPr>
    </w:p>
    <w:p w:rsidR="008940CE" w:rsidRPr="00F652D5" w:rsidRDefault="00B35873" w:rsidP="00750BC9">
      <w:pPr>
        <w:tabs>
          <w:tab w:val="left" w:pos="567"/>
        </w:tabs>
        <w:rPr>
          <w:snapToGrid w:val="0"/>
          <w:sz w:val="22"/>
          <w:szCs w:val="22"/>
          <w:lang w:val="el-GR" w:eastAsia="en-US"/>
        </w:rPr>
      </w:pPr>
      <w:r w:rsidRPr="00F652D5">
        <w:rPr>
          <w:snapToGrid w:val="0"/>
          <w:sz w:val="22"/>
          <w:szCs w:val="22"/>
          <w:lang w:val="el-GR"/>
        </w:rPr>
        <w:t xml:space="preserve">Οι δόσεις πρέπει να προσαρμόζονται για ασθενείς με μειωμένη νεφρική λειτουργία. </w:t>
      </w:r>
      <w:r w:rsidRPr="00F652D5">
        <w:rPr>
          <w:snapToGrid w:val="0"/>
          <w:sz w:val="22"/>
          <w:szCs w:val="22"/>
          <w:lang w:val="el-GR" w:eastAsia="en-US"/>
        </w:rPr>
        <w:t>Εάν η τιμή κάθαρσης της κρε</w:t>
      </w:r>
      <w:r w:rsidR="008940CE" w:rsidRPr="00F652D5">
        <w:rPr>
          <w:snapToGrid w:val="0"/>
          <w:sz w:val="22"/>
          <w:szCs w:val="22"/>
          <w:lang w:val="el-GR" w:eastAsia="en-US"/>
        </w:rPr>
        <w:t>ατινίνης είναι μεταξύ 30 και 70</w:t>
      </w:r>
      <w:r w:rsidR="008940CE" w:rsidRPr="00F652D5">
        <w:rPr>
          <w:snapToGrid w:val="0"/>
          <w:sz w:val="22"/>
          <w:szCs w:val="22"/>
          <w:lang w:val="de-DE" w:eastAsia="en-US"/>
        </w:rPr>
        <w:t> </w:t>
      </w:r>
      <w:r w:rsidRPr="00F652D5">
        <w:rPr>
          <w:snapToGrid w:val="0"/>
          <w:sz w:val="22"/>
          <w:szCs w:val="22"/>
          <w:lang w:eastAsia="en-US"/>
        </w:rPr>
        <w:t>ml</w:t>
      </w:r>
      <w:r w:rsidRPr="00F652D5">
        <w:rPr>
          <w:snapToGrid w:val="0"/>
          <w:sz w:val="22"/>
          <w:szCs w:val="22"/>
          <w:lang w:val="el-GR" w:eastAsia="en-US"/>
        </w:rPr>
        <w:t>/</w:t>
      </w:r>
      <w:r w:rsidRPr="00F652D5">
        <w:rPr>
          <w:snapToGrid w:val="0"/>
          <w:sz w:val="22"/>
          <w:szCs w:val="22"/>
          <w:lang w:eastAsia="en-US"/>
        </w:rPr>
        <w:t>min</w:t>
      </w:r>
      <w:r w:rsidRPr="00F652D5">
        <w:rPr>
          <w:snapToGrid w:val="0"/>
          <w:sz w:val="22"/>
          <w:szCs w:val="22"/>
          <w:lang w:val="el-GR" w:eastAsia="en-US"/>
        </w:rPr>
        <w:t xml:space="preserve">, η δόση πρέπει να μειώνεται έως και κατά 50% και θα πρέπει να παρακολουθείται στενά η αιματολογική εικόνα, ώστε να εκτιμηθεί η τοξικότητα </w:t>
      </w:r>
      <w:r w:rsidRPr="00F652D5">
        <w:rPr>
          <w:snapToGrid w:val="0"/>
          <w:sz w:val="22"/>
          <w:szCs w:val="22"/>
          <w:lang w:val="el-GR"/>
        </w:rPr>
        <w:t>(βλ. παράγραφο 4.4)</w:t>
      </w:r>
      <w:r w:rsidRPr="00F652D5">
        <w:rPr>
          <w:snapToGrid w:val="0"/>
          <w:sz w:val="22"/>
          <w:szCs w:val="22"/>
          <w:lang w:val="el-GR" w:eastAsia="en-US"/>
        </w:rPr>
        <w:t xml:space="preserve">. </w:t>
      </w:r>
    </w:p>
    <w:p w:rsidR="002618C6" w:rsidRDefault="002618C6"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Η χορήγηση του </w:t>
      </w:r>
      <w:r w:rsidRPr="00F652D5">
        <w:rPr>
          <w:snapToGrid w:val="0"/>
          <w:sz w:val="22"/>
          <w:szCs w:val="22"/>
          <w:lang w:eastAsia="en-US"/>
        </w:rPr>
        <w:t>Fludara</w:t>
      </w:r>
      <w:r w:rsidRPr="00F652D5">
        <w:rPr>
          <w:snapToGrid w:val="0"/>
          <w:sz w:val="22"/>
          <w:szCs w:val="22"/>
          <w:lang w:val="el-GR" w:eastAsia="en-US"/>
        </w:rPr>
        <w:t xml:space="preserve"> αντενδείκνυται όταν η τιμή κάθ</w:t>
      </w:r>
      <w:r w:rsidR="008940CE" w:rsidRPr="00F652D5">
        <w:rPr>
          <w:snapToGrid w:val="0"/>
          <w:sz w:val="22"/>
          <w:szCs w:val="22"/>
          <w:lang w:val="el-GR" w:eastAsia="en-US"/>
        </w:rPr>
        <w:t>αρσης της κρεατινίνης είναι &lt;30</w:t>
      </w:r>
      <w:r w:rsidR="008940CE" w:rsidRPr="00F652D5">
        <w:rPr>
          <w:snapToGrid w:val="0"/>
          <w:sz w:val="22"/>
          <w:szCs w:val="22"/>
          <w:lang w:val="de-DE" w:eastAsia="en-US"/>
        </w:rPr>
        <w:t> </w:t>
      </w:r>
      <w:r w:rsidRPr="00F652D5">
        <w:rPr>
          <w:snapToGrid w:val="0"/>
          <w:sz w:val="22"/>
          <w:szCs w:val="22"/>
          <w:lang w:eastAsia="en-US"/>
        </w:rPr>
        <w:t>ml</w:t>
      </w:r>
      <w:r w:rsidRPr="00F652D5">
        <w:rPr>
          <w:snapToGrid w:val="0"/>
          <w:sz w:val="22"/>
          <w:szCs w:val="22"/>
          <w:lang w:val="el-GR" w:eastAsia="en-US"/>
        </w:rPr>
        <w:t>/</w:t>
      </w:r>
      <w:r w:rsidRPr="00F652D5">
        <w:rPr>
          <w:snapToGrid w:val="0"/>
          <w:sz w:val="22"/>
          <w:szCs w:val="22"/>
          <w:lang w:eastAsia="en-US"/>
        </w:rPr>
        <w:t>min</w:t>
      </w:r>
      <w:r w:rsidRPr="00F652D5">
        <w:rPr>
          <w:snapToGrid w:val="0"/>
          <w:sz w:val="22"/>
          <w:szCs w:val="22"/>
          <w:lang w:val="el-GR" w:eastAsia="en-US"/>
        </w:rPr>
        <w:t xml:space="preserve"> </w:t>
      </w:r>
      <w:r w:rsidRPr="00F652D5">
        <w:rPr>
          <w:snapToGrid w:val="0"/>
          <w:sz w:val="22"/>
          <w:szCs w:val="22"/>
          <w:lang w:val="el-GR"/>
        </w:rPr>
        <w:t>(βλ. παράγραφο 4.3)</w:t>
      </w:r>
      <w:r w:rsidRPr="00F652D5">
        <w:rPr>
          <w:snapToGrid w:val="0"/>
          <w:sz w:val="22"/>
          <w:szCs w:val="22"/>
          <w:lang w:val="el-GR" w:eastAsia="en-US"/>
        </w:rPr>
        <w:t>.</w:t>
      </w:r>
    </w:p>
    <w:p w:rsidR="00144AB3" w:rsidRPr="00F652D5" w:rsidRDefault="00144AB3" w:rsidP="00750BC9">
      <w:pPr>
        <w:tabs>
          <w:tab w:val="left" w:pos="567"/>
        </w:tabs>
        <w:rPr>
          <w:snapToGrid w:val="0"/>
          <w:sz w:val="22"/>
          <w:szCs w:val="22"/>
          <w:lang w:val="el-GR" w:eastAsia="en-US"/>
        </w:rPr>
      </w:pPr>
    </w:p>
    <w:p w:rsidR="00144AB3" w:rsidRPr="00F652D5" w:rsidRDefault="00144AB3" w:rsidP="006A45B9">
      <w:pPr>
        <w:numPr>
          <w:ilvl w:val="0"/>
          <w:numId w:val="35"/>
        </w:numPr>
        <w:tabs>
          <w:tab w:val="left" w:pos="426"/>
        </w:tabs>
        <w:ind w:hanging="720"/>
        <w:rPr>
          <w:snapToGrid w:val="0"/>
          <w:sz w:val="22"/>
          <w:szCs w:val="22"/>
          <w:lang w:eastAsia="en-US"/>
        </w:rPr>
      </w:pPr>
      <w:r w:rsidRPr="00F652D5">
        <w:rPr>
          <w:snapToGrid w:val="0"/>
          <w:sz w:val="22"/>
          <w:szCs w:val="22"/>
          <w:lang w:val="el-GR" w:eastAsia="en-US"/>
        </w:rPr>
        <w:t xml:space="preserve">Ασθενείς με ηπατική </w:t>
      </w:r>
      <w:r w:rsidR="001F67DD" w:rsidRPr="00F652D5">
        <w:rPr>
          <w:snapToGrid w:val="0"/>
          <w:sz w:val="22"/>
          <w:szCs w:val="22"/>
          <w:lang w:val="el-GR" w:eastAsia="en-US"/>
        </w:rPr>
        <w:t>δυσλειτουργία</w:t>
      </w:r>
    </w:p>
    <w:p w:rsidR="001F0187" w:rsidRDefault="001F0187" w:rsidP="001F0187">
      <w:pPr>
        <w:tabs>
          <w:tab w:val="left" w:pos="567"/>
        </w:tabs>
        <w:rPr>
          <w:snapToGrid w:val="0"/>
          <w:sz w:val="22"/>
          <w:szCs w:val="22"/>
          <w:lang w:eastAsia="en-US"/>
        </w:rPr>
      </w:pPr>
    </w:p>
    <w:p w:rsidR="00144AB3" w:rsidRPr="00F652D5" w:rsidRDefault="00144AB3" w:rsidP="001F0187">
      <w:pPr>
        <w:tabs>
          <w:tab w:val="left" w:pos="567"/>
        </w:tabs>
        <w:rPr>
          <w:snapToGrid w:val="0"/>
          <w:sz w:val="22"/>
          <w:szCs w:val="22"/>
          <w:lang w:val="el-GR" w:eastAsia="en-US"/>
        </w:rPr>
      </w:pPr>
      <w:r w:rsidRPr="00F652D5">
        <w:rPr>
          <w:snapToGrid w:val="0"/>
          <w:sz w:val="22"/>
          <w:szCs w:val="22"/>
          <w:lang w:val="el-GR" w:eastAsia="en-US"/>
        </w:rPr>
        <w:t xml:space="preserve">Δεν υπάρχουν στοιχεία σχετικά με τη χρήση του </w:t>
      </w:r>
      <w:r w:rsidRPr="00F652D5">
        <w:rPr>
          <w:snapToGrid w:val="0"/>
          <w:sz w:val="22"/>
          <w:szCs w:val="22"/>
          <w:lang w:eastAsia="en-US"/>
        </w:rPr>
        <w:t>Fludara</w:t>
      </w:r>
      <w:r w:rsidRPr="00F652D5">
        <w:rPr>
          <w:snapToGrid w:val="0"/>
          <w:sz w:val="22"/>
          <w:szCs w:val="22"/>
          <w:lang w:val="el-GR" w:eastAsia="en-US"/>
        </w:rPr>
        <w:t xml:space="preserve"> σε ασθενείς με ηπατική δυσλειτουργία. Το </w:t>
      </w:r>
      <w:r w:rsidRPr="00F652D5">
        <w:rPr>
          <w:snapToGrid w:val="0"/>
          <w:sz w:val="22"/>
          <w:szCs w:val="22"/>
          <w:lang w:eastAsia="en-US"/>
        </w:rPr>
        <w:t>Fludara</w:t>
      </w:r>
      <w:r w:rsidRPr="00F652D5">
        <w:rPr>
          <w:snapToGrid w:val="0"/>
          <w:sz w:val="22"/>
          <w:szCs w:val="22"/>
          <w:lang w:val="el-GR" w:eastAsia="en-US"/>
        </w:rPr>
        <w:t xml:space="preserve"> πρέπει να χρησιμοποιείται με προσοχή σε </w:t>
      </w:r>
      <w:r w:rsidR="00BD163C" w:rsidRPr="00F652D5">
        <w:rPr>
          <w:snapToGrid w:val="0"/>
          <w:sz w:val="22"/>
          <w:szCs w:val="22"/>
          <w:lang w:val="el-GR" w:eastAsia="en-US"/>
        </w:rPr>
        <w:t>αυτή</w:t>
      </w:r>
      <w:r w:rsidRPr="00F652D5">
        <w:rPr>
          <w:snapToGrid w:val="0"/>
          <w:sz w:val="22"/>
          <w:szCs w:val="22"/>
          <w:lang w:val="el-GR" w:eastAsia="en-US"/>
        </w:rPr>
        <w:t xml:space="preserve"> την ομάδα ασθενών.</w:t>
      </w:r>
    </w:p>
    <w:p w:rsidR="0038152B" w:rsidRPr="00F652D5" w:rsidRDefault="0038152B" w:rsidP="007E08D8">
      <w:pPr>
        <w:tabs>
          <w:tab w:val="left" w:pos="567"/>
        </w:tabs>
        <w:jc w:val="both"/>
        <w:rPr>
          <w:snapToGrid w:val="0"/>
          <w:sz w:val="22"/>
          <w:szCs w:val="22"/>
          <w:u w:val="single"/>
          <w:lang w:val="el-GR" w:eastAsia="en-US"/>
        </w:rPr>
      </w:pPr>
    </w:p>
    <w:p w:rsidR="00F10213" w:rsidRPr="00BF1145" w:rsidRDefault="0038152B" w:rsidP="006A45B9">
      <w:pPr>
        <w:tabs>
          <w:tab w:val="left" w:pos="426"/>
        </w:tabs>
        <w:ind w:left="360" w:hanging="360"/>
        <w:jc w:val="both"/>
        <w:rPr>
          <w:snapToGrid w:val="0"/>
          <w:sz w:val="22"/>
          <w:szCs w:val="22"/>
          <w:lang w:val="el-GR" w:eastAsia="en-US"/>
        </w:rPr>
      </w:pPr>
      <w:r w:rsidRPr="00F652D5">
        <w:rPr>
          <w:szCs w:val="22"/>
        </w:rPr>
        <w:sym w:font="Symbol" w:char="F0B7"/>
      </w:r>
      <w:r w:rsidRPr="00BF1145">
        <w:rPr>
          <w:szCs w:val="22"/>
          <w:lang w:val="el-GR"/>
        </w:rPr>
        <w:tab/>
      </w:r>
      <w:r w:rsidR="00F10213" w:rsidRPr="00BF1145">
        <w:rPr>
          <w:snapToGrid w:val="0"/>
          <w:sz w:val="22"/>
          <w:szCs w:val="22"/>
          <w:lang w:val="el-GR" w:eastAsia="en-US"/>
        </w:rPr>
        <w:t>Παιδι</w:t>
      </w:r>
      <w:r w:rsidR="00F10213">
        <w:rPr>
          <w:snapToGrid w:val="0"/>
          <w:sz w:val="22"/>
          <w:szCs w:val="22"/>
          <w:lang w:val="el-GR" w:eastAsia="en-US"/>
        </w:rPr>
        <w:t>ατρικός πληθυσμός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r w:rsidRPr="00F652D5">
        <w:rPr>
          <w:snapToGrid w:val="0"/>
          <w:sz w:val="22"/>
          <w:szCs w:val="22"/>
          <w:lang w:val="el-GR" w:eastAsia="en-US"/>
        </w:rPr>
        <w:t xml:space="preserve">Η ασφάλεια και η αποτελεσματικότητα του </w:t>
      </w:r>
      <w:r w:rsidRPr="00F652D5">
        <w:rPr>
          <w:snapToGrid w:val="0"/>
          <w:sz w:val="22"/>
          <w:szCs w:val="22"/>
          <w:lang w:eastAsia="en-US"/>
        </w:rPr>
        <w:t>Fludara</w:t>
      </w:r>
      <w:r w:rsidRPr="00F652D5">
        <w:rPr>
          <w:snapToGrid w:val="0"/>
          <w:sz w:val="22"/>
          <w:szCs w:val="22"/>
          <w:lang w:val="el-GR" w:eastAsia="en-US"/>
        </w:rPr>
        <w:t xml:space="preserve"> σε παιδιά δεν έχει</w:t>
      </w:r>
      <w:r w:rsidR="00A9786D" w:rsidRPr="00F652D5">
        <w:rPr>
          <w:snapToGrid w:val="0"/>
          <w:sz w:val="22"/>
          <w:szCs w:val="22"/>
          <w:lang w:val="el-GR" w:eastAsia="en-US"/>
        </w:rPr>
        <w:t xml:space="preserve"> τεκμηριωθεί</w:t>
      </w:r>
      <w:r w:rsidRPr="00F652D5">
        <w:rPr>
          <w:snapToGrid w:val="0"/>
          <w:sz w:val="22"/>
          <w:szCs w:val="22"/>
          <w:lang w:val="el-GR" w:eastAsia="en-US"/>
        </w:rPr>
        <w:t>.</w:t>
      </w:r>
      <w:r w:rsidR="00144AB3" w:rsidRPr="00F652D5">
        <w:rPr>
          <w:snapToGrid w:val="0"/>
          <w:sz w:val="22"/>
          <w:szCs w:val="22"/>
          <w:lang w:val="el-GR" w:eastAsia="en-US"/>
        </w:rPr>
        <w:t xml:space="preserve"> </w:t>
      </w:r>
      <w:r w:rsidR="00BD163C" w:rsidRPr="00F652D5">
        <w:rPr>
          <w:snapToGrid w:val="0"/>
          <w:sz w:val="22"/>
          <w:szCs w:val="22"/>
          <w:lang w:val="el-GR" w:eastAsia="en-US"/>
        </w:rPr>
        <w:t>Συνεπώς,</w:t>
      </w:r>
      <w:r w:rsidR="00144AB3" w:rsidRPr="00F652D5">
        <w:rPr>
          <w:snapToGrid w:val="0"/>
          <w:sz w:val="22"/>
          <w:szCs w:val="22"/>
          <w:lang w:val="el-GR" w:eastAsia="en-US"/>
        </w:rPr>
        <w:t xml:space="preserve"> η χρήση του </w:t>
      </w:r>
      <w:r w:rsidR="00144AB3" w:rsidRPr="00F652D5">
        <w:rPr>
          <w:snapToGrid w:val="0"/>
          <w:sz w:val="22"/>
          <w:szCs w:val="22"/>
          <w:lang w:eastAsia="en-US"/>
        </w:rPr>
        <w:t>Fludara</w:t>
      </w:r>
      <w:r w:rsidR="00144AB3" w:rsidRPr="00F652D5">
        <w:rPr>
          <w:snapToGrid w:val="0"/>
          <w:sz w:val="22"/>
          <w:szCs w:val="22"/>
          <w:lang w:val="el-GR" w:eastAsia="en-US"/>
        </w:rPr>
        <w:t xml:space="preserve"> σε παιδιά δεν συνιστάται.  </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7E08D8">
      <w:pPr>
        <w:pStyle w:val="Para0s"/>
        <w:numPr>
          <w:ilvl w:val="0"/>
          <w:numId w:val="6"/>
        </w:numPr>
        <w:spacing w:after="0"/>
        <w:rPr>
          <w:rFonts w:ascii="Times New Roman" w:hAnsi="Times New Roman"/>
          <w:szCs w:val="22"/>
          <w:lang w:val="el-GR"/>
        </w:rPr>
      </w:pPr>
      <w:r w:rsidRPr="00F652D5">
        <w:rPr>
          <w:rFonts w:ascii="Times New Roman" w:hAnsi="Times New Roman"/>
          <w:szCs w:val="22"/>
          <w:lang w:val="el-GR"/>
        </w:rPr>
        <w:t>Ηλικιωμένοι ασθενείς</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7E08D8">
      <w:pPr>
        <w:pStyle w:val="Para0s"/>
        <w:spacing w:after="0"/>
        <w:rPr>
          <w:rFonts w:ascii="Times New Roman" w:hAnsi="Times New Roman"/>
          <w:snapToGrid w:val="0"/>
          <w:szCs w:val="22"/>
          <w:lang w:val="el-GR" w:eastAsia="en-US"/>
        </w:rPr>
      </w:pPr>
      <w:r w:rsidRPr="00F652D5">
        <w:rPr>
          <w:rFonts w:ascii="Times New Roman" w:hAnsi="Times New Roman"/>
          <w:snapToGrid w:val="0"/>
          <w:szCs w:val="22"/>
          <w:lang w:val="el-GR" w:eastAsia="en-US"/>
        </w:rPr>
        <w:t xml:space="preserve">Επειδή τα στοιχεία για τη χρήση του </w:t>
      </w:r>
      <w:r w:rsidRPr="00F652D5">
        <w:rPr>
          <w:rFonts w:ascii="Times New Roman" w:hAnsi="Times New Roman"/>
          <w:snapToGrid w:val="0"/>
          <w:szCs w:val="22"/>
          <w:lang w:val="en-GB" w:eastAsia="en-US"/>
        </w:rPr>
        <w:t>Fludara</w:t>
      </w:r>
      <w:r w:rsidRPr="00F652D5">
        <w:rPr>
          <w:rFonts w:ascii="Times New Roman" w:hAnsi="Times New Roman"/>
          <w:snapToGrid w:val="0"/>
          <w:szCs w:val="22"/>
          <w:lang w:val="el-GR" w:eastAsia="en-US"/>
        </w:rPr>
        <w:t xml:space="preserve"> σε ηλικιωμένα άτομα (&gt;</w:t>
      </w:r>
      <w:r w:rsidR="008940CE" w:rsidRPr="00F652D5">
        <w:rPr>
          <w:rFonts w:ascii="Times New Roman" w:hAnsi="Times New Roman"/>
          <w:snapToGrid w:val="0"/>
          <w:szCs w:val="22"/>
          <w:lang w:val="de-DE" w:eastAsia="en-US"/>
        </w:rPr>
        <w:t> </w:t>
      </w:r>
      <w:r w:rsidRPr="00F652D5">
        <w:rPr>
          <w:rFonts w:ascii="Times New Roman" w:hAnsi="Times New Roman"/>
          <w:snapToGrid w:val="0"/>
          <w:szCs w:val="22"/>
          <w:lang w:val="el-GR" w:eastAsia="en-US"/>
        </w:rPr>
        <w:t>75</w:t>
      </w:r>
      <w:r w:rsidR="008940CE" w:rsidRPr="00F652D5">
        <w:rPr>
          <w:rFonts w:ascii="Times New Roman" w:hAnsi="Times New Roman"/>
          <w:snapToGrid w:val="0"/>
          <w:szCs w:val="22"/>
          <w:lang w:val="de-DE" w:eastAsia="en-US"/>
        </w:rPr>
        <w:t> </w:t>
      </w:r>
      <w:r w:rsidRPr="00F652D5">
        <w:rPr>
          <w:rFonts w:ascii="Times New Roman" w:hAnsi="Times New Roman"/>
          <w:snapToGrid w:val="0"/>
          <w:szCs w:val="22"/>
          <w:lang w:val="el-GR" w:eastAsia="en-US"/>
        </w:rPr>
        <w:t xml:space="preserve">ετών) είναι περιορισμένα, η χορήγηση του </w:t>
      </w:r>
      <w:r w:rsidRPr="00F652D5">
        <w:rPr>
          <w:rFonts w:ascii="Times New Roman" w:hAnsi="Times New Roman"/>
          <w:snapToGrid w:val="0"/>
          <w:szCs w:val="22"/>
          <w:lang w:val="en-GB" w:eastAsia="en-US"/>
        </w:rPr>
        <w:t>Fludara</w:t>
      </w:r>
      <w:r w:rsidRPr="00F652D5">
        <w:rPr>
          <w:rFonts w:ascii="Times New Roman" w:hAnsi="Times New Roman"/>
          <w:snapToGrid w:val="0"/>
          <w:szCs w:val="22"/>
          <w:lang w:val="el-GR" w:eastAsia="en-US"/>
        </w:rPr>
        <w:t xml:space="preserve"> στους συγκεκριμένους ασθενείς πρέπει να γίνεται με προσοχή.</w:t>
      </w:r>
    </w:p>
    <w:p w:rsidR="002618C6" w:rsidRDefault="002618C6" w:rsidP="007E08D8">
      <w:pPr>
        <w:rPr>
          <w:snapToGrid w:val="0"/>
          <w:sz w:val="22"/>
          <w:szCs w:val="22"/>
          <w:lang w:val="el-GR"/>
        </w:rPr>
      </w:pPr>
    </w:p>
    <w:p w:rsidR="00B35873" w:rsidRPr="005562DE" w:rsidRDefault="00B35873" w:rsidP="007E08D8">
      <w:pPr>
        <w:rPr>
          <w:snapToGrid w:val="0"/>
          <w:sz w:val="22"/>
          <w:szCs w:val="22"/>
          <w:lang w:val="el-GR"/>
        </w:rPr>
      </w:pPr>
      <w:r w:rsidRPr="00F652D5">
        <w:rPr>
          <w:snapToGrid w:val="0"/>
          <w:sz w:val="22"/>
          <w:szCs w:val="22"/>
          <w:lang w:val="el-GR"/>
        </w:rPr>
        <w:t xml:space="preserve">Σε ασθενείς ηλικίας άνω των </w:t>
      </w:r>
      <w:r w:rsidR="00F10213" w:rsidRPr="00F10213">
        <w:rPr>
          <w:snapToGrid w:val="0"/>
          <w:sz w:val="22"/>
          <w:szCs w:val="22"/>
          <w:lang w:val="el-GR"/>
        </w:rPr>
        <w:t>65</w:t>
      </w:r>
      <w:r w:rsidR="008940CE" w:rsidRPr="00F652D5">
        <w:rPr>
          <w:snapToGrid w:val="0"/>
          <w:sz w:val="22"/>
          <w:szCs w:val="22"/>
          <w:lang w:val="de-DE" w:eastAsia="en-US"/>
        </w:rPr>
        <w:t> </w:t>
      </w:r>
      <w:r w:rsidRPr="00F652D5">
        <w:rPr>
          <w:snapToGrid w:val="0"/>
          <w:sz w:val="22"/>
          <w:szCs w:val="22"/>
          <w:lang w:val="el-GR"/>
        </w:rPr>
        <w:t>ετών, πρέπει να μετράται η κάθαρση κρεατινίνης, βλ. «Ασθενείς με νεφρική δυσλειτουργία» και παράγραφο 4.4.</w:t>
      </w:r>
    </w:p>
    <w:p w:rsidR="001B5DA5" w:rsidRPr="005562DE" w:rsidRDefault="001B5DA5" w:rsidP="007E08D8">
      <w:pPr>
        <w:rPr>
          <w:snapToGrid w:val="0"/>
          <w:sz w:val="22"/>
          <w:szCs w:val="22"/>
          <w:lang w:val="el-GR"/>
        </w:rPr>
      </w:pPr>
    </w:p>
    <w:p w:rsidR="001B5DA5" w:rsidRDefault="001B5DA5" w:rsidP="001B5DA5">
      <w:pPr>
        <w:tabs>
          <w:tab w:val="left" w:pos="567"/>
        </w:tabs>
        <w:jc w:val="both"/>
        <w:rPr>
          <w:snapToGrid w:val="0"/>
          <w:sz w:val="22"/>
          <w:szCs w:val="22"/>
          <w:lang w:val="el-GR" w:eastAsia="en-US"/>
        </w:rPr>
      </w:pPr>
      <w:r>
        <w:rPr>
          <w:snapToGrid w:val="0"/>
          <w:sz w:val="22"/>
          <w:szCs w:val="22"/>
          <w:lang w:val="el-GR" w:eastAsia="en-US"/>
        </w:rPr>
        <w:t>Μέθοδος χορήγησης</w:t>
      </w:r>
    </w:p>
    <w:p w:rsidR="001B5DA5" w:rsidRDefault="001B5DA5" w:rsidP="001B5DA5">
      <w:pPr>
        <w:tabs>
          <w:tab w:val="left" w:pos="567"/>
        </w:tabs>
        <w:jc w:val="both"/>
        <w:rPr>
          <w:snapToGrid w:val="0"/>
          <w:sz w:val="22"/>
          <w:szCs w:val="22"/>
          <w:lang w:val="el-GR" w:eastAsia="en-US"/>
        </w:rPr>
      </w:pPr>
    </w:p>
    <w:p w:rsidR="001B5DA5" w:rsidRDefault="001B5DA5" w:rsidP="001B5DA5">
      <w:pPr>
        <w:tabs>
          <w:tab w:val="left" w:pos="567"/>
        </w:tabs>
        <w:jc w:val="both"/>
        <w:rPr>
          <w:snapToGrid w:val="0"/>
          <w:sz w:val="22"/>
          <w:szCs w:val="22"/>
          <w:lang w:val="el-GR" w:eastAsia="en-US"/>
        </w:rPr>
      </w:pPr>
      <w:r>
        <w:rPr>
          <w:snapToGrid w:val="0"/>
          <w:sz w:val="22"/>
          <w:szCs w:val="22"/>
          <w:lang w:val="el-GR" w:eastAsia="en-US"/>
        </w:rPr>
        <w:t xml:space="preserve">Το </w:t>
      </w:r>
      <w:r>
        <w:rPr>
          <w:snapToGrid w:val="0"/>
          <w:sz w:val="22"/>
          <w:szCs w:val="22"/>
          <w:lang w:eastAsia="en-US"/>
        </w:rPr>
        <w:t>Fludara</w:t>
      </w:r>
      <w:r w:rsidRPr="001C1268">
        <w:rPr>
          <w:snapToGrid w:val="0"/>
          <w:sz w:val="22"/>
          <w:szCs w:val="22"/>
          <w:lang w:val="el-GR" w:eastAsia="en-US"/>
        </w:rPr>
        <w:t xml:space="preserve"> </w:t>
      </w:r>
      <w:r>
        <w:rPr>
          <w:snapToGrid w:val="0"/>
          <w:sz w:val="22"/>
          <w:szCs w:val="22"/>
          <w:lang w:val="el-GR" w:eastAsia="en-US"/>
        </w:rPr>
        <w:t>πρέπει να συνταγογραφείται μόνο από ιατρό που έχει τα προσόντα και την εμπειρία χορήγησης αντινεοπλασματικών θεραπειών.</w:t>
      </w:r>
    </w:p>
    <w:p w:rsidR="001B5DA5" w:rsidRDefault="001B5DA5" w:rsidP="001B5DA5">
      <w:pPr>
        <w:tabs>
          <w:tab w:val="left" w:pos="567"/>
        </w:tabs>
        <w:jc w:val="both"/>
        <w:rPr>
          <w:snapToGrid w:val="0"/>
          <w:sz w:val="22"/>
          <w:szCs w:val="22"/>
          <w:lang w:val="el-GR" w:eastAsia="en-US"/>
        </w:rPr>
      </w:pPr>
    </w:p>
    <w:p w:rsidR="001B5DA5" w:rsidRDefault="001B5DA5" w:rsidP="001B5DA5">
      <w:pPr>
        <w:tabs>
          <w:tab w:val="left" w:pos="567"/>
        </w:tabs>
        <w:jc w:val="both"/>
        <w:rPr>
          <w:snapToGrid w:val="0"/>
          <w:sz w:val="22"/>
          <w:szCs w:val="22"/>
          <w:lang w:val="el-GR" w:eastAsia="en-US"/>
        </w:rPr>
      </w:pPr>
      <w:r>
        <w:rPr>
          <w:snapToGrid w:val="0"/>
          <w:sz w:val="22"/>
          <w:szCs w:val="22"/>
          <w:lang w:val="el-GR" w:eastAsia="en-US"/>
        </w:rPr>
        <w:t xml:space="preserve">Συνιστάται εντόνως ότι το </w:t>
      </w:r>
      <w:r>
        <w:rPr>
          <w:snapToGrid w:val="0"/>
          <w:sz w:val="22"/>
          <w:szCs w:val="22"/>
          <w:lang w:eastAsia="en-US"/>
        </w:rPr>
        <w:t>Fludara</w:t>
      </w:r>
      <w:r w:rsidRPr="00A1386F">
        <w:rPr>
          <w:snapToGrid w:val="0"/>
          <w:sz w:val="22"/>
          <w:szCs w:val="22"/>
          <w:lang w:val="el-GR" w:eastAsia="en-US"/>
        </w:rPr>
        <w:t xml:space="preserve"> </w:t>
      </w:r>
      <w:r>
        <w:rPr>
          <w:snapToGrid w:val="0"/>
          <w:sz w:val="22"/>
          <w:szCs w:val="22"/>
          <w:lang w:val="el-GR" w:eastAsia="en-US"/>
        </w:rPr>
        <w:t xml:space="preserve">θα πρέπει να χορηγείται μόνο ενδοφλέβια. Δεν έχουν αναφερθεί περιπτώσεις όπου το </w:t>
      </w:r>
      <w:r>
        <w:rPr>
          <w:snapToGrid w:val="0"/>
          <w:sz w:val="22"/>
          <w:szCs w:val="22"/>
          <w:lang w:eastAsia="en-US"/>
        </w:rPr>
        <w:t>Fludara</w:t>
      </w:r>
      <w:r w:rsidR="00BF1145">
        <w:rPr>
          <w:snapToGrid w:val="0"/>
          <w:sz w:val="22"/>
          <w:szCs w:val="22"/>
          <w:lang w:val="el-GR" w:eastAsia="en-US"/>
        </w:rPr>
        <w:t xml:space="preserve"> χορηγήθηκε παραφλεβικά και</w:t>
      </w:r>
      <w:r>
        <w:rPr>
          <w:snapToGrid w:val="0"/>
          <w:sz w:val="22"/>
          <w:szCs w:val="22"/>
          <w:lang w:val="el-GR" w:eastAsia="en-US"/>
        </w:rPr>
        <w:t xml:space="preserve"> προκάλεσε σοβαρές τοπικές ανεπιθύμητες ενέργειες. Παρόλα αυτά, η άσκοπη παραφλεβική χορήγηση του </w:t>
      </w:r>
      <w:r>
        <w:rPr>
          <w:snapToGrid w:val="0"/>
          <w:sz w:val="22"/>
          <w:szCs w:val="22"/>
          <w:lang w:eastAsia="en-US"/>
        </w:rPr>
        <w:t>Fludara</w:t>
      </w:r>
      <w:r w:rsidRPr="00A1386F">
        <w:rPr>
          <w:snapToGrid w:val="0"/>
          <w:sz w:val="22"/>
          <w:szCs w:val="22"/>
          <w:lang w:val="el-GR" w:eastAsia="en-US"/>
        </w:rPr>
        <w:t xml:space="preserve"> </w:t>
      </w:r>
      <w:r>
        <w:rPr>
          <w:snapToGrid w:val="0"/>
          <w:sz w:val="22"/>
          <w:szCs w:val="22"/>
          <w:lang w:val="el-GR" w:eastAsia="en-US"/>
        </w:rPr>
        <w:t>πρέπει να αποφεύγεται.</w:t>
      </w:r>
    </w:p>
    <w:p w:rsidR="001B5DA5" w:rsidRDefault="001B5DA5" w:rsidP="001B5DA5">
      <w:pPr>
        <w:tabs>
          <w:tab w:val="left" w:pos="567"/>
        </w:tabs>
        <w:jc w:val="both"/>
        <w:rPr>
          <w:snapToGrid w:val="0"/>
          <w:sz w:val="22"/>
          <w:szCs w:val="22"/>
          <w:lang w:val="el-GR" w:eastAsia="en-US"/>
        </w:rPr>
      </w:pPr>
    </w:p>
    <w:p w:rsidR="001B5DA5" w:rsidRPr="00BF1145" w:rsidRDefault="001B5DA5" w:rsidP="006A45B9">
      <w:pPr>
        <w:tabs>
          <w:tab w:val="left" w:pos="567"/>
        </w:tabs>
        <w:jc w:val="both"/>
        <w:rPr>
          <w:sz w:val="22"/>
          <w:szCs w:val="22"/>
          <w:lang w:val="el-GR"/>
        </w:rPr>
      </w:pPr>
      <w:r>
        <w:rPr>
          <w:snapToGrid w:val="0"/>
          <w:sz w:val="22"/>
          <w:szCs w:val="22"/>
          <w:lang w:val="el-GR" w:eastAsia="en-US"/>
        </w:rPr>
        <w:t>Για οδηγίες σχετικά με την ανασύσταση του φαρμακευτικού προ</w:t>
      </w:r>
      <w:r w:rsidR="002618C6">
        <w:rPr>
          <w:snapToGrid w:val="0"/>
          <w:sz w:val="22"/>
          <w:szCs w:val="22"/>
          <w:lang w:val="el-GR" w:eastAsia="en-US"/>
        </w:rPr>
        <w:t>ϊ</w:t>
      </w:r>
      <w:r>
        <w:rPr>
          <w:snapToGrid w:val="0"/>
          <w:sz w:val="22"/>
          <w:szCs w:val="22"/>
          <w:lang w:val="el-GR" w:eastAsia="en-US"/>
        </w:rPr>
        <w:t>όντος πριν την χορήγηση βλέπε την παράγραφο 6.6.</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4.3</w:t>
      </w:r>
      <w:r w:rsidRPr="00F652D5">
        <w:rPr>
          <w:b/>
          <w:snapToGrid w:val="0"/>
          <w:sz w:val="22"/>
          <w:szCs w:val="22"/>
          <w:lang w:val="el-GR" w:eastAsia="en-US"/>
        </w:rPr>
        <w:tab/>
        <w:t>Αντενδείξεις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numPr>
          <w:ilvl w:val="0"/>
          <w:numId w:val="7"/>
        </w:numPr>
        <w:jc w:val="both"/>
        <w:rPr>
          <w:snapToGrid w:val="0"/>
          <w:sz w:val="22"/>
          <w:szCs w:val="22"/>
          <w:lang w:val="el-GR" w:eastAsia="en-US"/>
        </w:rPr>
      </w:pPr>
      <w:r w:rsidRPr="00F652D5">
        <w:rPr>
          <w:snapToGrid w:val="0"/>
          <w:sz w:val="22"/>
          <w:szCs w:val="22"/>
          <w:lang w:val="el-GR" w:eastAsia="en-US"/>
        </w:rPr>
        <w:t>Υπερευαισθησία στη δραστική ουσία ή σε κάποιο από τα έκδοχα,</w:t>
      </w:r>
    </w:p>
    <w:p w:rsidR="00B35873" w:rsidRPr="00F652D5" w:rsidRDefault="00B35873" w:rsidP="007E08D8">
      <w:pPr>
        <w:numPr>
          <w:ilvl w:val="0"/>
          <w:numId w:val="7"/>
        </w:numPr>
        <w:jc w:val="both"/>
        <w:rPr>
          <w:snapToGrid w:val="0"/>
          <w:sz w:val="22"/>
          <w:szCs w:val="22"/>
          <w:lang w:val="el-GR" w:eastAsia="en-US"/>
        </w:rPr>
      </w:pPr>
      <w:r w:rsidRPr="00F652D5">
        <w:rPr>
          <w:snapToGrid w:val="0"/>
          <w:sz w:val="22"/>
          <w:szCs w:val="22"/>
          <w:lang w:val="el-GR" w:eastAsia="en-US"/>
        </w:rPr>
        <w:t>Νεφρική δυσλειτουργία με τιμή κάθαρσης της κρεατινίνης &lt; 30 </w:t>
      </w:r>
      <w:r w:rsidRPr="00F652D5">
        <w:rPr>
          <w:snapToGrid w:val="0"/>
          <w:sz w:val="22"/>
          <w:szCs w:val="22"/>
          <w:lang w:eastAsia="en-US"/>
        </w:rPr>
        <w:t>ml</w:t>
      </w:r>
      <w:r w:rsidRPr="00F652D5">
        <w:rPr>
          <w:snapToGrid w:val="0"/>
          <w:sz w:val="22"/>
          <w:szCs w:val="22"/>
          <w:lang w:val="el-GR" w:eastAsia="en-US"/>
        </w:rPr>
        <w:t>/</w:t>
      </w:r>
      <w:r w:rsidRPr="00F652D5">
        <w:rPr>
          <w:snapToGrid w:val="0"/>
          <w:sz w:val="22"/>
          <w:szCs w:val="22"/>
          <w:lang w:eastAsia="en-US"/>
        </w:rPr>
        <w:t>min</w:t>
      </w:r>
      <w:r w:rsidRPr="00F652D5">
        <w:rPr>
          <w:snapToGrid w:val="0"/>
          <w:sz w:val="22"/>
          <w:szCs w:val="22"/>
          <w:lang w:val="el-GR" w:eastAsia="en-US"/>
        </w:rPr>
        <w:t>,</w:t>
      </w:r>
    </w:p>
    <w:p w:rsidR="00257C31" w:rsidRPr="00257C31" w:rsidRDefault="006F3423" w:rsidP="004729AE">
      <w:pPr>
        <w:numPr>
          <w:ilvl w:val="0"/>
          <w:numId w:val="7"/>
        </w:numPr>
        <w:jc w:val="both"/>
        <w:rPr>
          <w:snapToGrid w:val="0"/>
          <w:sz w:val="22"/>
          <w:szCs w:val="22"/>
          <w:lang w:val="el-GR" w:eastAsia="en-US"/>
        </w:rPr>
      </w:pPr>
      <w:r>
        <w:rPr>
          <w:snapToGrid w:val="0"/>
          <w:sz w:val="22"/>
          <w:szCs w:val="22"/>
          <w:lang w:val="el-GR" w:eastAsia="en-US"/>
        </w:rPr>
        <w:t>Μη-</w:t>
      </w:r>
      <w:r w:rsidR="00B35873" w:rsidRPr="00F652D5">
        <w:rPr>
          <w:snapToGrid w:val="0"/>
          <w:sz w:val="22"/>
          <w:szCs w:val="22"/>
          <w:lang w:val="el-GR" w:eastAsia="en-US"/>
        </w:rPr>
        <w:t>αντιρροπούμενη αιμολυτική αναιμία,</w:t>
      </w:r>
    </w:p>
    <w:p w:rsidR="00B35873" w:rsidRPr="00257C31" w:rsidRDefault="006C13D1" w:rsidP="004729AE">
      <w:pPr>
        <w:numPr>
          <w:ilvl w:val="0"/>
          <w:numId w:val="7"/>
        </w:numPr>
        <w:jc w:val="both"/>
        <w:rPr>
          <w:snapToGrid w:val="0"/>
          <w:sz w:val="22"/>
          <w:szCs w:val="22"/>
          <w:lang w:val="el-GR" w:eastAsia="en-US"/>
        </w:rPr>
      </w:pPr>
      <w:r w:rsidRPr="00257C31">
        <w:rPr>
          <w:snapToGrid w:val="0"/>
          <w:sz w:val="22"/>
          <w:szCs w:val="22"/>
          <w:lang w:val="el-GR" w:eastAsia="en-US"/>
        </w:rPr>
        <w:t>Γαλουχία</w:t>
      </w:r>
    </w:p>
    <w:p w:rsidR="00B35873" w:rsidRPr="00F652D5" w:rsidRDefault="00B35873" w:rsidP="007E08D8">
      <w:pPr>
        <w:jc w:val="both"/>
        <w:rPr>
          <w:snapToGrid w:val="0"/>
          <w:sz w:val="22"/>
          <w:szCs w:val="22"/>
          <w:lang w:val="el-GR" w:eastAsia="en-US"/>
        </w:rPr>
      </w:pPr>
    </w:p>
    <w:p w:rsidR="00B35873" w:rsidRPr="00F652D5" w:rsidRDefault="00B35873" w:rsidP="007E08D8">
      <w:pPr>
        <w:jc w:val="both"/>
        <w:rPr>
          <w:b/>
          <w:snapToGrid w:val="0"/>
          <w:sz w:val="22"/>
          <w:szCs w:val="22"/>
          <w:lang w:val="el-GR" w:eastAsia="en-US"/>
        </w:rPr>
      </w:pPr>
      <w:r w:rsidRPr="00F652D5">
        <w:rPr>
          <w:b/>
          <w:snapToGrid w:val="0"/>
          <w:sz w:val="22"/>
          <w:szCs w:val="22"/>
          <w:lang w:val="el-GR" w:eastAsia="en-US"/>
        </w:rPr>
        <w:t>4.4</w:t>
      </w:r>
      <w:r w:rsidRPr="00F652D5">
        <w:rPr>
          <w:b/>
          <w:snapToGrid w:val="0"/>
          <w:sz w:val="22"/>
          <w:szCs w:val="22"/>
          <w:lang w:val="el-GR" w:eastAsia="en-US"/>
        </w:rPr>
        <w:tab/>
        <w:t>Ειδικές προειδοποιήσεις και προφυλάξεις κατά τη χρήση</w:t>
      </w:r>
    </w:p>
    <w:p w:rsidR="00B35873" w:rsidRPr="00F652D5" w:rsidRDefault="00B35873" w:rsidP="007E08D8">
      <w:pPr>
        <w:rPr>
          <w:sz w:val="22"/>
          <w:szCs w:val="22"/>
          <w:lang w:val="el-GR"/>
        </w:rPr>
      </w:pPr>
    </w:p>
    <w:p w:rsidR="00B35873" w:rsidRPr="00F652D5" w:rsidRDefault="00B35873" w:rsidP="006A45B9">
      <w:pPr>
        <w:pStyle w:val="Bullet0dKT"/>
        <w:numPr>
          <w:ilvl w:val="0"/>
          <w:numId w:val="9"/>
        </w:numPr>
        <w:tabs>
          <w:tab w:val="clear" w:pos="720"/>
          <w:tab w:val="num" w:pos="426"/>
        </w:tabs>
        <w:spacing w:before="0" w:after="0"/>
        <w:ind w:left="426" w:hanging="426"/>
        <w:rPr>
          <w:rFonts w:ascii="Times New Roman" w:hAnsi="Times New Roman"/>
          <w:szCs w:val="22"/>
          <w:lang w:val="el-GR"/>
        </w:rPr>
      </w:pPr>
      <w:r w:rsidRPr="00F652D5">
        <w:rPr>
          <w:rFonts w:ascii="Times New Roman" w:hAnsi="Times New Roman"/>
          <w:szCs w:val="22"/>
          <w:lang w:val="el-GR"/>
        </w:rPr>
        <w:lastRenderedPageBreak/>
        <w:t>Μυελοκαταστολή</w:t>
      </w:r>
    </w:p>
    <w:p w:rsidR="00B35873" w:rsidRPr="00F652D5" w:rsidRDefault="00B35873" w:rsidP="00750BC9">
      <w:pPr>
        <w:tabs>
          <w:tab w:val="right" w:pos="9214"/>
        </w:tabs>
        <w:rPr>
          <w:snapToGrid w:val="0"/>
          <w:sz w:val="22"/>
          <w:szCs w:val="22"/>
          <w:lang w:val="el-GR"/>
        </w:rPr>
      </w:pPr>
    </w:p>
    <w:p w:rsidR="00B35873" w:rsidRPr="00F652D5" w:rsidRDefault="00B35873" w:rsidP="00750BC9">
      <w:pPr>
        <w:rPr>
          <w:snapToGrid w:val="0"/>
          <w:sz w:val="22"/>
          <w:szCs w:val="22"/>
          <w:lang w:val="el-GR"/>
        </w:rPr>
      </w:pPr>
      <w:r w:rsidRPr="00F652D5">
        <w:rPr>
          <w:snapToGrid w:val="0"/>
          <w:sz w:val="22"/>
          <w:szCs w:val="22"/>
          <w:lang w:val="el-GR"/>
        </w:rPr>
        <w:t xml:space="preserve">Σοβαρή καταστολή του μυελού των οστών, ιδίως αναιμία, θρομβοπενία και ουδετεροπενία, αναφέρθηκε σε ασθενείς που υποβλήθηκαν σε θεραπεία με </w:t>
      </w:r>
      <w:r w:rsidRPr="00F652D5">
        <w:rPr>
          <w:snapToGrid w:val="0"/>
          <w:sz w:val="22"/>
          <w:szCs w:val="22"/>
        </w:rPr>
        <w:t>Fludara</w:t>
      </w:r>
      <w:r w:rsidRPr="00F652D5">
        <w:rPr>
          <w:snapToGrid w:val="0"/>
          <w:sz w:val="22"/>
          <w:szCs w:val="22"/>
          <w:lang w:val="el-GR"/>
        </w:rPr>
        <w:t xml:space="preserve">. Σε μια ενδοφλέβια μελέτη Φάσης Ι που διεξήχθη σε ενήλικες ασθενείς με συμπαγείς όγκους, το </w:t>
      </w:r>
      <w:r w:rsidR="00314686">
        <w:rPr>
          <w:snapToGrid w:val="0"/>
          <w:sz w:val="22"/>
          <w:szCs w:val="22"/>
          <w:lang w:val="el-GR"/>
        </w:rPr>
        <w:t>διάμεσ</w:t>
      </w:r>
      <w:r w:rsidRPr="00F652D5">
        <w:rPr>
          <w:snapToGrid w:val="0"/>
          <w:sz w:val="22"/>
          <w:szCs w:val="22"/>
          <w:lang w:val="el-GR"/>
        </w:rPr>
        <w:t>ο χρονικό διάστημα για την επίτευξη των ελάχιστων τιμών ήταν 13</w:t>
      </w:r>
      <w:r w:rsidR="008940CE" w:rsidRPr="00F652D5">
        <w:rPr>
          <w:snapToGrid w:val="0"/>
          <w:sz w:val="22"/>
          <w:szCs w:val="22"/>
          <w:lang w:val="de-DE"/>
        </w:rPr>
        <w:t> </w:t>
      </w:r>
      <w:r w:rsidRPr="00F652D5">
        <w:rPr>
          <w:snapToGrid w:val="0"/>
          <w:sz w:val="22"/>
          <w:szCs w:val="22"/>
          <w:lang w:val="el-GR"/>
        </w:rPr>
        <w:t>ημέρες (από 3 μέχρι 25</w:t>
      </w:r>
      <w:r w:rsidR="008940CE" w:rsidRPr="00F652D5">
        <w:rPr>
          <w:snapToGrid w:val="0"/>
          <w:sz w:val="22"/>
          <w:szCs w:val="22"/>
          <w:lang w:val="de-DE"/>
        </w:rPr>
        <w:t> </w:t>
      </w:r>
      <w:r w:rsidRPr="00F652D5">
        <w:rPr>
          <w:snapToGrid w:val="0"/>
          <w:sz w:val="22"/>
          <w:szCs w:val="22"/>
          <w:lang w:val="el-GR"/>
        </w:rPr>
        <w:t>ημέρες) όσον αφορά τα κοκκιοκύτταρα και 16</w:t>
      </w:r>
      <w:r w:rsidR="008940CE" w:rsidRPr="00F652D5">
        <w:rPr>
          <w:snapToGrid w:val="0"/>
          <w:sz w:val="22"/>
          <w:szCs w:val="22"/>
          <w:lang w:val="de-DE"/>
        </w:rPr>
        <w:t> </w:t>
      </w:r>
      <w:r w:rsidRPr="00F652D5">
        <w:rPr>
          <w:snapToGrid w:val="0"/>
          <w:sz w:val="22"/>
          <w:szCs w:val="22"/>
          <w:lang w:val="el-GR"/>
        </w:rPr>
        <w:t>ημέρες (από 2 μέχρι 32</w:t>
      </w:r>
      <w:r w:rsidR="008940CE" w:rsidRPr="00F652D5">
        <w:rPr>
          <w:snapToGrid w:val="0"/>
          <w:sz w:val="22"/>
          <w:szCs w:val="22"/>
          <w:lang w:val="de-DE"/>
        </w:rPr>
        <w:t> </w:t>
      </w:r>
      <w:r w:rsidRPr="00F652D5">
        <w:rPr>
          <w:snapToGrid w:val="0"/>
          <w:sz w:val="22"/>
          <w:szCs w:val="22"/>
          <w:lang w:val="el-GR"/>
        </w:rPr>
        <w:t xml:space="preserve">ημέρες) όσον αφορά τα αιμοπετάλια. Οι περισσότεροι ασθενείς εμφάνιζαν αιματολογικές διαταραχές κατά την έναρξη της χορήγησης, είτε </w:t>
      </w:r>
      <w:r w:rsidR="002618C6">
        <w:rPr>
          <w:snapToGrid w:val="0"/>
          <w:sz w:val="22"/>
          <w:szCs w:val="22"/>
          <w:lang w:val="el-GR"/>
        </w:rPr>
        <w:t>ως</w:t>
      </w:r>
      <w:r w:rsidR="002618C6" w:rsidRPr="00F652D5">
        <w:rPr>
          <w:snapToGrid w:val="0"/>
          <w:sz w:val="22"/>
          <w:szCs w:val="22"/>
          <w:lang w:val="el-GR"/>
        </w:rPr>
        <w:t xml:space="preserve"> </w:t>
      </w:r>
      <w:r w:rsidRPr="00F652D5">
        <w:rPr>
          <w:snapToGrid w:val="0"/>
          <w:sz w:val="22"/>
          <w:szCs w:val="22"/>
          <w:lang w:val="el-GR"/>
        </w:rPr>
        <w:t xml:space="preserve">αποτέλεσμα της νόσου, είτε </w:t>
      </w:r>
      <w:r w:rsidR="002618C6">
        <w:rPr>
          <w:snapToGrid w:val="0"/>
          <w:sz w:val="22"/>
          <w:szCs w:val="22"/>
          <w:lang w:val="el-GR"/>
        </w:rPr>
        <w:t>ως</w:t>
      </w:r>
      <w:r w:rsidRPr="00F652D5">
        <w:rPr>
          <w:snapToGrid w:val="0"/>
          <w:sz w:val="22"/>
          <w:szCs w:val="22"/>
          <w:lang w:val="el-GR"/>
        </w:rPr>
        <w:t xml:space="preserve"> αποτέλεσμα προηγούμενης μυελοκατασταλτικής θεραπείας. </w:t>
      </w:r>
    </w:p>
    <w:p w:rsidR="00B35873" w:rsidRPr="00F652D5" w:rsidRDefault="00B35873" w:rsidP="00750BC9">
      <w:pPr>
        <w:rPr>
          <w:snapToGrid w:val="0"/>
          <w:sz w:val="22"/>
          <w:szCs w:val="22"/>
          <w:lang w:val="el-GR"/>
        </w:rPr>
      </w:pPr>
    </w:p>
    <w:p w:rsidR="00B35873" w:rsidRPr="00F652D5" w:rsidRDefault="00B35873" w:rsidP="00750BC9">
      <w:pPr>
        <w:rPr>
          <w:snapToGrid w:val="0"/>
          <w:sz w:val="22"/>
          <w:szCs w:val="22"/>
          <w:lang w:val="el-GR"/>
        </w:rPr>
      </w:pPr>
      <w:r w:rsidRPr="00F652D5">
        <w:rPr>
          <w:snapToGrid w:val="0"/>
          <w:sz w:val="22"/>
          <w:szCs w:val="22"/>
          <w:lang w:val="el-GR"/>
        </w:rPr>
        <w:t>Μπορεί να παρατηρηθεί αθροιστική μυελοκαταστολή. Παρόλο που η μυελοκαταστολή που προκαλείται από χημειοθεραπεία είναι συχνά αντιστρεπτή, η χορήγηση της φωσφορικής φλουνταραμπίνης απαιτεί προσεκτική αιματολογική παρακολούθηση.</w:t>
      </w:r>
    </w:p>
    <w:p w:rsidR="00B35873" w:rsidRPr="00F652D5" w:rsidRDefault="00B35873" w:rsidP="00750BC9">
      <w:pPr>
        <w:pStyle w:val="Para0s"/>
        <w:spacing w:after="0"/>
        <w:rPr>
          <w:rFonts w:ascii="Times New Roman" w:hAnsi="Times New Roman"/>
          <w:szCs w:val="22"/>
          <w:lang w:val="el-GR"/>
        </w:rPr>
      </w:pPr>
    </w:p>
    <w:p w:rsidR="00B35873" w:rsidRPr="00F652D5" w:rsidRDefault="00B35873" w:rsidP="00750BC9">
      <w:pPr>
        <w:rPr>
          <w:snapToGrid w:val="0"/>
          <w:sz w:val="22"/>
          <w:szCs w:val="22"/>
          <w:lang w:val="el-GR"/>
        </w:rPr>
      </w:pPr>
      <w:r w:rsidRPr="00F652D5">
        <w:rPr>
          <w:sz w:val="22"/>
          <w:szCs w:val="22"/>
          <w:lang w:val="el-GR"/>
        </w:rPr>
        <w:t xml:space="preserve">Η φωσφορική φλουνταραμπίνη </w:t>
      </w:r>
      <w:r w:rsidRPr="00F652D5">
        <w:rPr>
          <w:snapToGrid w:val="0"/>
          <w:sz w:val="22"/>
          <w:szCs w:val="22"/>
          <w:lang w:val="el-GR"/>
        </w:rPr>
        <w:t>είναι ένας ισχυρός αντινεοπλασματικός παράγοντας με ενδεχόμενες σημαντικές τοξικές παρενέργειες. Οι ασθενείς που υποβάλλονται σε θεραπεία θα πρέπει να παρακολουθούνται στενά για ενδείξεις αιματολογικής και μη</w:t>
      </w:r>
      <w:r w:rsidR="006F3423">
        <w:rPr>
          <w:snapToGrid w:val="0"/>
          <w:sz w:val="22"/>
          <w:szCs w:val="22"/>
          <w:lang w:val="el-GR"/>
        </w:rPr>
        <w:t>-</w:t>
      </w:r>
      <w:r w:rsidRPr="00F652D5">
        <w:rPr>
          <w:snapToGrid w:val="0"/>
          <w:sz w:val="22"/>
          <w:szCs w:val="22"/>
          <w:lang w:val="el-GR"/>
        </w:rPr>
        <w:t>αιματολογικής τοξικότητας. Συνιστάται η περιοδική αξιολόγηση του περιφερικού αίματος για την ανίχνευση της ανάπτυξης αναιμίας, ουδετεροπενίας και θρομβοπενίας.</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7E08D8">
      <w:pPr>
        <w:pStyle w:val="Para0s"/>
        <w:spacing w:after="0"/>
        <w:rPr>
          <w:rFonts w:ascii="Times New Roman" w:hAnsi="Times New Roman"/>
          <w:i/>
          <w:szCs w:val="22"/>
          <w:lang w:val="el-GR"/>
        </w:rPr>
      </w:pPr>
      <w:r w:rsidRPr="00F652D5">
        <w:rPr>
          <w:rFonts w:ascii="Times New Roman" w:hAnsi="Times New Roman"/>
          <w:szCs w:val="22"/>
          <w:lang w:val="el-GR"/>
        </w:rPr>
        <w:t xml:space="preserve">Σε ενήλικες ασθενείς αναφέρθηκαν αρκετές περιπτώσεις υποπλασίας </w:t>
      </w:r>
      <w:r w:rsidR="00A34FFC">
        <w:rPr>
          <w:rFonts w:ascii="Times New Roman" w:hAnsi="Times New Roman"/>
          <w:szCs w:val="22"/>
          <w:lang w:val="el-GR"/>
        </w:rPr>
        <w:t xml:space="preserve">τριών σειρών </w:t>
      </w:r>
      <w:r w:rsidRPr="00F652D5">
        <w:rPr>
          <w:rFonts w:ascii="Times New Roman" w:hAnsi="Times New Roman"/>
          <w:szCs w:val="22"/>
          <w:lang w:val="el-GR"/>
        </w:rPr>
        <w:t>ή απλασίας του μυελού των οστών με αποτέλεσμα πανκυτταροπενία, οι οποίες ορισμένες φορές ήταν μοιραίες. Η διάρκεια της κλινικά σημαντικής κυτταροπενίας στις αναφερθείσες περιπτώσεις κυμαίνεται από περίπου 2</w:t>
      </w:r>
      <w:r w:rsidR="008940CE" w:rsidRPr="00F652D5">
        <w:rPr>
          <w:rFonts w:ascii="Times New Roman" w:hAnsi="Times New Roman"/>
          <w:snapToGrid w:val="0"/>
          <w:szCs w:val="22"/>
          <w:lang w:val="de-DE"/>
        </w:rPr>
        <w:t> </w:t>
      </w:r>
      <w:r w:rsidRPr="00F652D5">
        <w:rPr>
          <w:rFonts w:ascii="Times New Roman" w:hAnsi="Times New Roman"/>
          <w:szCs w:val="22"/>
          <w:lang w:val="el-GR"/>
        </w:rPr>
        <w:t>μήνες σε περίπου 1</w:t>
      </w:r>
      <w:r w:rsidR="008940CE" w:rsidRPr="00F652D5">
        <w:rPr>
          <w:rFonts w:ascii="Times New Roman" w:hAnsi="Times New Roman"/>
          <w:snapToGrid w:val="0"/>
          <w:szCs w:val="22"/>
          <w:lang w:val="de-DE"/>
        </w:rPr>
        <w:t> </w:t>
      </w:r>
      <w:r w:rsidRPr="00F652D5">
        <w:rPr>
          <w:rFonts w:ascii="Times New Roman" w:hAnsi="Times New Roman"/>
          <w:szCs w:val="22"/>
          <w:lang w:val="el-GR"/>
        </w:rPr>
        <w:t>έτος. Αυτά τα επεισόδια παρουσιάστηκαν τόσο σε ασθενείς που είχαν προηγουμένως υποβληθεί σε θεραπεία όσο και σε ασθενείς που δεν είχαν υποβληθεί σε θεραπεία.</w:t>
      </w:r>
      <w:r w:rsidRPr="00F652D5">
        <w:rPr>
          <w:rFonts w:ascii="Times New Roman" w:hAnsi="Times New Roman"/>
          <w:i/>
          <w:szCs w:val="22"/>
          <w:lang w:val="el-GR"/>
        </w:rPr>
        <w:t xml:space="preserve"> </w:t>
      </w:r>
    </w:p>
    <w:p w:rsidR="00B35873" w:rsidRPr="00F652D5" w:rsidRDefault="00B35873" w:rsidP="007E08D8">
      <w:pPr>
        <w:jc w:val="both"/>
        <w:rPr>
          <w:snapToGrid w:val="0"/>
          <w:sz w:val="22"/>
          <w:szCs w:val="22"/>
          <w:lang w:val="el-GR"/>
        </w:rPr>
      </w:pPr>
    </w:p>
    <w:p w:rsidR="00B35873" w:rsidRPr="00F652D5" w:rsidRDefault="00B35873" w:rsidP="007E08D8">
      <w:pPr>
        <w:jc w:val="both"/>
        <w:rPr>
          <w:snapToGrid w:val="0"/>
          <w:sz w:val="22"/>
          <w:szCs w:val="22"/>
          <w:lang w:val="el-GR"/>
        </w:rPr>
      </w:pPr>
      <w:r w:rsidRPr="00F652D5">
        <w:rPr>
          <w:snapToGrid w:val="0"/>
          <w:sz w:val="22"/>
          <w:szCs w:val="22"/>
          <w:lang w:val="el-GR"/>
        </w:rPr>
        <w:t>Όπως και με άλλα κυτταροτοξικά φάρμακα, πρέπει να δίνεται προσοχή με τη φωσφορική φλουνταραμπίνη στην περίπτωση νέας συλλογής αρχέγονων αιμοποιητικών κυττάρων.</w:t>
      </w:r>
    </w:p>
    <w:p w:rsidR="00B35873" w:rsidRPr="00F652D5" w:rsidRDefault="00B35873" w:rsidP="007E08D8">
      <w:pPr>
        <w:rPr>
          <w:sz w:val="22"/>
          <w:szCs w:val="22"/>
          <w:lang w:val="el-GR"/>
        </w:rPr>
      </w:pPr>
    </w:p>
    <w:p w:rsidR="00B35873" w:rsidRPr="00F652D5" w:rsidRDefault="00B35873" w:rsidP="006A45B9">
      <w:pPr>
        <w:pStyle w:val="Para0sb"/>
        <w:numPr>
          <w:ilvl w:val="0"/>
          <w:numId w:val="9"/>
        </w:numPr>
        <w:tabs>
          <w:tab w:val="clear" w:pos="720"/>
          <w:tab w:val="num" w:pos="426"/>
        </w:tabs>
        <w:spacing w:after="0"/>
        <w:ind w:hanging="720"/>
        <w:rPr>
          <w:rFonts w:ascii="Times New Roman" w:hAnsi="Times New Roman"/>
          <w:b w:val="0"/>
          <w:bCs/>
          <w:szCs w:val="22"/>
          <w:lang w:val="el-GR"/>
        </w:rPr>
      </w:pPr>
      <w:r w:rsidRPr="00F652D5">
        <w:rPr>
          <w:rFonts w:ascii="Times New Roman" w:hAnsi="Times New Roman"/>
          <w:b w:val="0"/>
          <w:bCs/>
          <w:szCs w:val="22"/>
          <w:lang w:val="el-GR"/>
        </w:rPr>
        <w:t>Αυτοάνοσ</w:t>
      </w:r>
      <w:r w:rsidR="00CE6352">
        <w:rPr>
          <w:rFonts w:ascii="Times New Roman" w:hAnsi="Times New Roman"/>
          <w:b w:val="0"/>
          <w:bCs/>
          <w:szCs w:val="22"/>
          <w:lang w:val="el-GR"/>
        </w:rPr>
        <w:t>ες</w:t>
      </w:r>
      <w:r w:rsidRPr="00F652D5">
        <w:rPr>
          <w:rFonts w:ascii="Times New Roman" w:hAnsi="Times New Roman"/>
          <w:b w:val="0"/>
          <w:bCs/>
          <w:szCs w:val="22"/>
          <w:lang w:val="el-GR"/>
        </w:rPr>
        <w:t xml:space="preserve"> διαταραχ</w:t>
      </w:r>
      <w:r w:rsidR="00CE6352">
        <w:rPr>
          <w:rFonts w:ascii="Times New Roman" w:hAnsi="Times New Roman"/>
          <w:b w:val="0"/>
          <w:bCs/>
          <w:szCs w:val="22"/>
          <w:lang w:val="el-GR"/>
        </w:rPr>
        <w:t>ές</w:t>
      </w:r>
    </w:p>
    <w:p w:rsidR="00B35873" w:rsidRPr="00F652D5" w:rsidRDefault="00B35873" w:rsidP="00750BC9">
      <w:pPr>
        <w:pStyle w:val="Para0s"/>
        <w:spacing w:after="0"/>
        <w:rPr>
          <w:rFonts w:ascii="Times New Roman" w:hAnsi="Times New Roman"/>
          <w:szCs w:val="22"/>
          <w:lang w:val="el-GR"/>
        </w:rPr>
      </w:pPr>
    </w:p>
    <w:p w:rsidR="00B35873" w:rsidRPr="00F652D5" w:rsidRDefault="00B35873" w:rsidP="00750BC9">
      <w:pPr>
        <w:pStyle w:val="Para0s"/>
        <w:spacing w:after="0"/>
        <w:rPr>
          <w:rFonts w:ascii="Times New Roman" w:hAnsi="Times New Roman"/>
          <w:snapToGrid w:val="0"/>
          <w:szCs w:val="22"/>
          <w:lang w:val="el-GR" w:eastAsia="en-US"/>
        </w:rPr>
      </w:pPr>
      <w:r w:rsidRPr="00F652D5">
        <w:rPr>
          <w:rFonts w:ascii="Times New Roman" w:hAnsi="Times New Roman"/>
          <w:snapToGrid w:val="0"/>
          <w:szCs w:val="22"/>
          <w:lang w:val="el-GR" w:eastAsia="en-US"/>
        </w:rPr>
        <w:t xml:space="preserve">Κατά τη διάρκεια ή μετά τη θεραπευτική αγωγή με το </w:t>
      </w:r>
      <w:r w:rsidRPr="00F652D5">
        <w:rPr>
          <w:rFonts w:ascii="Times New Roman" w:hAnsi="Times New Roman"/>
          <w:snapToGrid w:val="0"/>
          <w:szCs w:val="22"/>
          <w:lang w:eastAsia="en-US"/>
        </w:rPr>
        <w:t>Fludara</w:t>
      </w:r>
      <w:r w:rsidRPr="00F652D5">
        <w:rPr>
          <w:rFonts w:ascii="Times New Roman" w:hAnsi="Times New Roman"/>
          <w:snapToGrid w:val="0"/>
          <w:szCs w:val="22"/>
          <w:lang w:val="el-GR" w:eastAsia="en-US"/>
        </w:rPr>
        <w:t xml:space="preserve"> αναφέρθηκ</w:t>
      </w:r>
      <w:r w:rsidR="001B5DA5">
        <w:rPr>
          <w:rFonts w:ascii="Times New Roman" w:hAnsi="Times New Roman"/>
          <w:snapToGrid w:val="0"/>
          <w:szCs w:val="22"/>
          <w:lang w:val="el-GR" w:eastAsia="en-US"/>
        </w:rPr>
        <w:t>αν</w:t>
      </w:r>
      <w:r w:rsidRPr="00F652D5">
        <w:rPr>
          <w:rFonts w:ascii="Times New Roman" w:hAnsi="Times New Roman"/>
          <w:snapToGrid w:val="0"/>
          <w:szCs w:val="22"/>
          <w:lang w:val="el-GR" w:eastAsia="en-US"/>
        </w:rPr>
        <w:t xml:space="preserve"> </w:t>
      </w:r>
      <w:r w:rsidR="001B5DA5">
        <w:rPr>
          <w:rFonts w:ascii="Times New Roman" w:hAnsi="Times New Roman"/>
          <w:snapToGrid w:val="0"/>
          <w:szCs w:val="22"/>
          <w:lang w:val="el-GR" w:eastAsia="en-US"/>
        </w:rPr>
        <w:t>φαινόμενα</w:t>
      </w:r>
      <w:r w:rsidRPr="00F652D5">
        <w:rPr>
          <w:rFonts w:ascii="Times New Roman" w:hAnsi="Times New Roman"/>
          <w:snapToGrid w:val="0"/>
          <w:szCs w:val="22"/>
          <w:lang w:val="el-GR" w:eastAsia="en-US"/>
        </w:rPr>
        <w:t xml:space="preserve"> αυτοανοσίας (βλ. παράγραφο 4.8), </w:t>
      </w:r>
      <w:r w:rsidR="00CE6352" w:rsidRPr="00F652D5">
        <w:rPr>
          <w:rFonts w:ascii="Times New Roman" w:hAnsi="Times New Roman"/>
          <w:snapToGrid w:val="0"/>
          <w:szCs w:val="22"/>
          <w:lang w:val="el-GR" w:eastAsia="en-US"/>
        </w:rPr>
        <w:t>απειλητικ</w:t>
      </w:r>
      <w:r w:rsidR="00CE6352">
        <w:rPr>
          <w:rFonts w:ascii="Times New Roman" w:hAnsi="Times New Roman"/>
          <w:snapToGrid w:val="0"/>
          <w:szCs w:val="22"/>
          <w:lang w:val="el-GR" w:eastAsia="en-US"/>
        </w:rPr>
        <w:t>ά</w:t>
      </w:r>
      <w:r w:rsidR="00CE6352" w:rsidRPr="00F652D5">
        <w:rPr>
          <w:rFonts w:ascii="Times New Roman" w:hAnsi="Times New Roman"/>
          <w:snapToGrid w:val="0"/>
          <w:szCs w:val="22"/>
          <w:lang w:val="el-GR" w:eastAsia="en-US"/>
        </w:rPr>
        <w:t xml:space="preserve"> </w:t>
      </w:r>
      <w:r w:rsidRPr="00F652D5">
        <w:rPr>
          <w:rFonts w:ascii="Times New Roman" w:hAnsi="Times New Roman"/>
          <w:snapToGrid w:val="0"/>
          <w:szCs w:val="22"/>
          <w:lang w:val="el-GR" w:eastAsia="en-US"/>
        </w:rPr>
        <w:t xml:space="preserve">για τη ζωή έως και θανατηφόρα, ανεξάρτητα από την ύπαρξη αυτοάνοσων διαδικασιών στο ιστορικό του ασθενούς ή από το αποτέλεσμα της δοκιμασίας </w:t>
      </w:r>
      <w:r w:rsidRPr="00F652D5">
        <w:rPr>
          <w:rFonts w:ascii="Times New Roman" w:hAnsi="Times New Roman"/>
          <w:snapToGrid w:val="0"/>
          <w:szCs w:val="22"/>
          <w:lang w:eastAsia="en-US"/>
        </w:rPr>
        <w:t>Coombs</w:t>
      </w:r>
      <w:r w:rsidRPr="00F652D5">
        <w:rPr>
          <w:rFonts w:ascii="Times New Roman" w:hAnsi="Times New Roman"/>
          <w:snapToGrid w:val="0"/>
          <w:szCs w:val="22"/>
          <w:lang w:val="el-GR" w:eastAsia="en-US"/>
        </w:rPr>
        <w:t xml:space="preserve">. Η πλειοψηφία των ασθενών που έχουν παρουσιάσει αιμολυτική αναιμία, παρουσίασαν υποτροπή της αιμόλυσης, όταν τους επαναχορηγήθηκε το </w:t>
      </w:r>
      <w:r w:rsidRPr="00F652D5">
        <w:rPr>
          <w:rFonts w:ascii="Times New Roman" w:hAnsi="Times New Roman"/>
          <w:snapToGrid w:val="0"/>
          <w:szCs w:val="22"/>
          <w:lang w:eastAsia="en-US"/>
        </w:rPr>
        <w:t>Fludara</w:t>
      </w:r>
      <w:r w:rsidRPr="00F652D5">
        <w:rPr>
          <w:rFonts w:ascii="Times New Roman" w:hAnsi="Times New Roman"/>
          <w:snapToGrid w:val="0"/>
          <w:szCs w:val="22"/>
          <w:lang w:val="el-GR" w:eastAsia="en-US"/>
        </w:rPr>
        <w:t xml:space="preserve">. Οι ασθενείς, στους οποίους χορηγείται το </w:t>
      </w:r>
      <w:r w:rsidRPr="00F652D5">
        <w:rPr>
          <w:rFonts w:ascii="Times New Roman" w:hAnsi="Times New Roman"/>
          <w:snapToGrid w:val="0"/>
          <w:szCs w:val="22"/>
          <w:lang w:eastAsia="en-US"/>
        </w:rPr>
        <w:t>Fludara</w:t>
      </w:r>
      <w:r w:rsidRPr="00F652D5">
        <w:rPr>
          <w:rFonts w:ascii="Times New Roman" w:hAnsi="Times New Roman"/>
          <w:snapToGrid w:val="0"/>
          <w:szCs w:val="22"/>
          <w:lang w:val="el-GR" w:eastAsia="en-US"/>
        </w:rPr>
        <w:t>, πρέπει να παρακολουθούνται στενά για την εμφάνιση αιμόλυσης</w:t>
      </w:r>
      <w:r w:rsidR="00CE6352">
        <w:rPr>
          <w:rFonts w:ascii="Times New Roman" w:hAnsi="Times New Roman"/>
          <w:snapToGrid w:val="0"/>
          <w:szCs w:val="22"/>
          <w:lang w:val="el-GR" w:eastAsia="en-US"/>
        </w:rPr>
        <w:t>.</w:t>
      </w:r>
    </w:p>
    <w:p w:rsidR="00B35873" w:rsidRPr="00F652D5" w:rsidRDefault="00B35873" w:rsidP="00750BC9">
      <w:pPr>
        <w:tabs>
          <w:tab w:val="right" w:pos="9214"/>
        </w:tabs>
        <w:rPr>
          <w:snapToGrid w:val="0"/>
          <w:sz w:val="22"/>
          <w:szCs w:val="22"/>
          <w:lang w:val="el-GR"/>
        </w:rPr>
      </w:pPr>
    </w:p>
    <w:p w:rsidR="00B35873" w:rsidRPr="00F652D5" w:rsidRDefault="00B35873" w:rsidP="00750BC9">
      <w:pPr>
        <w:tabs>
          <w:tab w:val="right" w:pos="9214"/>
        </w:tabs>
        <w:rPr>
          <w:snapToGrid w:val="0"/>
          <w:sz w:val="22"/>
          <w:szCs w:val="22"/>
          <w:lang w:val="el-GR"/>
        </w:rPr>
      </w:pPr>
      <w:r w:rsidRPr="00F652D5">
        <w:rPr>
          <w:snapToGrid w:val="0"/>
          <w:sz w:val="22"/>
          <w:szCs w:val="22"/>
          <w:lang w:val="el-GR"/>
        </w:rPr>
        <w:t xml:space="preserve">Σε περίπτωση αιμόλυσης συνιστάται η διακοπή της θεραπείας με το </w:t>
      </w:r>
      <w:r w:rsidRPr="00F652D5">
        <w:rPr>
          <w:snapToGrid w:val="0"/>
          <w:sz w:val="22"/>
          <w:szCs w:val="22"/>
        </w:rPr>
        <w:t>Fludara</w:t>
      </w:r>
      <w:r w:rsidRPr="00F652D5">
        <w:rPr>
          <w:snapToGrid w:val="0"/>
          <w:sz w:val="22"/>
          <w:szCs w:val="22"/>
          <w:lang w:val="el-GR"/>
        </w:rPr>
        <w:t xml:space="preserve">. Τα πιο συνηθισμένα μέτρα στην περίπτωση της αυτοάνοσης αιμολυτικής αναιμίας είναι η μετάγγιση αίματος (ακτινοβολημένου, βλέπε πιο </w:t>
      </w:r>
      <w:r w:rsidR="00A37DF5">
        <w:rPr>
          <w:snapToGrid w:val="0"/>
          <w:sz w:val="22"/>
          <w:szCs w:val="22"/>
          <w:lang w:val="el-GR"/>
        </w:rPr>
        <w:t>κάτω</w:t>
      </w:r>
      <w:r w:rsidRPr="00F652D5">
        <w:rPr>
          <w:snapToGrid w:val="0"/>
          <w:sz w:val="22"/>
          <w:szCs w:val="22"/>
          <w:lang w:val="el-GR"/>
        </w:rPr>
        <w:t>) και η χορήγηση αδρενοκορτικοειδών.</w:t>
      </w:r>
    </w:p>
    <w:p w:rsidR="00B35873" w:rsidRPr="00F652D5" w:rsidRDefault="00B35873" w:rsidP="007E08D8">
      <w:pPr>
        <w:rPr>
          <w:sz w:val="22"/>
          <w:szCs w:val="22"/>
          <w:lang w:val="el-GR"/>
        </w:rPr>
      </w:pPr>
    </w:p>
    <w:p w:rsidR="00B35873" w:rsidRPr="00F652D5" w:rsidRDefault="00B35873" w:rsidP="006A45B9">
      <w:pPr>
        <w:pStyle w:val="Bullet0dKT"/>
        <w:numPr>
          <w:ilvl w:val="0"/>
          <w:numId w:val="9"/>
        </w:numPr>
        <w:tabs>
          <w:tab w:val="clear" w:pos="720"/>
          <w:tab w:val="num" w:pos="426"/>
        </w:tabs>
        <w:spacing w:before="0" w:after="0"/>
        <w:ind w:left="567" w:hanging="567"/>
        <w:rPr>
          <w:rFonts w:ascii="Times New Roman" w:hAnsi="Times New Roman"/>
          <w:szCs w:val="22"/>
          <w:lang w:val="el-GR"/>
        </w:rPr>
      </w:pPr>
      <w:r w:rsidRPr="00F652D5">
        <w:rPr>
          <w:rFonts w:ascii="Times New Roman" w:hAnsi="Times New Roman"/>
          <w:szCs w:val="22"/>
          <w:lang w:val="el-GR"/>
        </w:rPr>
        <w:t>Νευροτοξικότητα</w:t>
      </w:r>
    </w:p>
    <w:p w:rsidR="00B35873" w:rsidRPr="00F652D5" w:rsidRDefault="00B35873" w:rsidP="00750BC9">
      <w:pPr>
        <w:tabs>
          <w:tab w:val="right" w:pos="9214"/>
        </w:tabs>
        <w:rPr>
          <w:snapToGrid w:val="0"/>
          <w:sz w:val="22"/>
          <w:szCs w:val="22"/>
          <w:lang w:val="el-GR"/>
        </w:rPr>
      </w:pPr>
    </w:p>
    <w:p w:rsidR="00B35873" w:rsidRPr="00F652D5" w:rsidRDefault="00B35873" w:rsidP="00750BC9">
      <w:pPr>
        <w:rPr>
          <w:snapToGrid w:val="0"/>
          <w:sz w:val="22"/>
          <w:szCs w:val="22"/>
          <w:lang w:val="el-GR"/>
        </w:rPr>
      </w:pPr>
      <w:r w:rsidRPr="00F652D5">
        <w:rPr>
          <w:snapToGrid w:val="0"/>
          <w:sz w:val="22"/>
          <w:szCs w:val="22"/>
          <w:lang w:val="el-GR"/>
        </w:rPr>
        <w:t xml:space="preserve">Η επίδραση της χρόνιας χορήγησης του </w:t>
      </w:r>
      <w:r w:rsidRPr="00F652D5">
        <w:rPr>
          <w:snapToGrid w:val="0"/>
          <w:sz w:val="22"/>
          <w:szCs w:val="22"/>
        </w:rPr>
        <w:t>Fludara</w:t>
      </w:r>
      <w:r w:rsidRPr="00F652D5">
        <w:rPr>
          <w:snapToGrid w:val="0"/>
          <w:sz w:val="22"/>
          <w:szCs w:val="22"/>
          <w:lang w:val="el-GR"/>
        </w:rPr>
        <w:t xml:space="preserve"> στο κεντρικό νευρικό σύστημα δεν είναι γνωστή. Ωστόσο, οι ασθενείς έχουν ανεχθεί τη συνιστώμενη δόση, στα πλαίσια ορισμένων μελετών για σχετικά μακρόχρονη θεραπεία (για μέχρι και 26</w:t>
      </w:r>
      <w:r w:rsidR="008940CE" w:rsidRPr="00F652D5">
        <w:rPr>
          <w:snapToGrid w:val="0"/>
          <w:sz w:val="22"/>
          <w:szCs w:val="22"/>
          <w:lang w:val="de-DE"/>
        </w:rPr>
        <w:t> </w:t>
      </w:r>
      <w:r w:rsidRPr="00F652D5">
        <w:rPr>
          <w:snapToGrid w:val="0"/>
          <w:sz w:val="22"/>
          <w:szCs w:val="22"/>
          <w:lang w:val="el-GR"/>
        </w:rPr>
        <w:t>κύκλους θεραπείας).</w:t>
      </w:r>
    </w:p>
    <w:p w:rsidR="00B35873" w:rsidRPr="00F652D5" w:rsidRDefault="00B35873" w:rsidP="00750BC9">
      <w:pPr>
        <w:tabs>
          <w:tab w:val="right" w:pos="9214"/>
        </w:tabs>
        <w:rPr>
          <w:snapToGrid w:val="0"/>
          <w:sz w:val="22"/>
          <w:szCs w:val="22"/>
          <w:lang w:val="el-GR"/>
        </w:rPr>
      </w:pPr>
      <w:r w:rsidRPr="00F652D5">
        <w:rPr>
          <w:snapToGrid w:val="0"/>
          <w:sz w:val="22"/>
          <w:szCs w:val="22"/>
          <w:lang w:val="el-GR"/>
        </w:rPr>
        <w:t>Οι ασθενείς θα πρέπει να παρακολουθούνται στενά για ενδείξεις νευρολογικών ενεργειών.</w:t>
      </w:r>
    </w:p>
    <w:p w:rsidR="00B35873" w:rsidRPr="00F652D5" w:rsidRDefault="00B35873" w:rsidP="00750BC9">
      <w:pPr>
        <w:tabs>
          <w:tab w:val="left" w:pos="567"/>
          <w:tab w:val="right" w:pos="9214"/>
        </w:tabs>
        <w:rPr>
          <w:snapToGrid w:val="0"/>
          <w:sz w:val="22"/>
          <w:szCs w:val="22"/>
          <w:lang w:val="el-GR" w:eastAsia="en-US"/>
        </w:rPr>
      </w:pPr>
    </w:p>
    <w:p w:rsidR="00A37DF5" w:rsidRPr="00F652D5" w:rsidRDefault="00B576D6" w:rsidP="00A37DF5">
      <w:pPr>
        <w:tabs>
          <w:tab w:val="left" w:pos="567"/>
          <w:tab w:val="right" w:pos="9214"/>
        </w:tabs>
        <w:rPr>
          <w:snapToGrid w:val="0"/>
          <w:sz w:val="22"/>
          <w:szCs w:val="22"/>
          <w:lang w:val="el-GR" w:eastAsia="en-US"/>
        </w:rPr>
      </w:pPr>
      <w:r w:rsidRPr="00F652D5">
        <w:rPr>
          <w:snapToGrid w:val="0"/>
          <w:sz w:val="22"/>
          <w:szCs w:val="22"/>
          <w:lang w:val="el-GR" w:eastAsia="en-US"/>
        </w:rPr>
        <w:t>Όταν</w:t>
      </w:r>
      <w:r w:rsidR="00B35873" w:rsidRPr="00F652D5">
        <w:rPr>
          <w:snapToGrid w:val="0"/>
          <w:sz w:val="22"/>
          <w:szCs w:val="22"/>
          <w:lang w:val="el-GR" w:eastAsia="en-US"/>
        </w:rPr>
        <w:t xml:space="preserve"> χορηγήθηκε σε υψηλές δόσεις σε μελέτες που διεξήχθησαν για την ανεύρεση της πλέον κατάλληλης δόσης σε ασθενείς με οξεία λευχαιμία, το ενδοφλέβιο </w:t>
      </w:r>
      <w:r w:rsidR="00B35873" w:rsidRPr="00F652D5">
        <w:rPr>
          <w:snapToGrid w:val="0"/>
          <w:sz w:val="22"/>
          <w:szCs w:val="22"/>
          <w:lang w:eastAsia="en-US"/>
        </w:rPr>
        <w:t>Fludara</w:t>
      </w:r>
      <w:r w:rsidR="00B35873" w:rsidRPr="00F652D5">
        <w:rPr>
          <w:snapToGrid w:val="0"/>
          <w:sz w:val="22"/>
          <w:szCs w:val="22"/>
          <w:lang w:val="el-GR" w:eastAsia="en-US"/>
        </w:rPr>
        <w:t xml:space="preserve"> σχετίσθηκε με σοβαρές νευρολογικές αντιδράσεις, που περιλαμβάνουν τύφλωση, κώμα και θάνατο. </w:t>
      </w:r>
      <w:r w:rsidR="00B35873" w:rsidRPr="00F652D5">
        <w:rPr>
          <w:sz w:val="22"/>
          <w:szCs w:val="22"/>
          <w:lang w:val="el-GR"/>
        </w:rPr>
        <w:t>Τα συμπτώματα εμφανίστηκαν από 21 έως 60</w:t>
      </w:r>
      <w:r w:rsidR="008940CE" w:rsidRPr="00F652D5">
        <w:rPr>
          <w:snapToGrid w:val="0"/>
          <w:sz w:val="22"/>
          <w:szCs w:val="22"/>
          <w:lang w:val="de-DE" w:eastAsia="en-US"/>
        </w:rPr>
        <w:t> </w:t>
      </w:r>
      <w:r w:rsidR="00B35873" w:rsidRPr="00F652D5">
        <w:rPr>
          <w:sz w:val="22"/>
          <w:szCs w:val="22"/>
          <w:lang w:val="el-GR"/>
        </w:rPr>
        <w:t xml:space="preserve">ημέρες από την τελευταία δόση. </w:t>
      </w:r>
      <w:r w:rsidR="00B35873" w:rsidRPr="00F652D5">
        <w:rPr>
          <w:snapToGrid w:val="0"/>
          <w:sz w:val="22"/>
          <w:szCs w:val="22"/>
          <w:lang w:val="el-GR" w:eastAsia="en-US"/>
        </w:rPr>
        <w:t>Αυτή η σοβαρή τοξικότητα του κεντρικού νευρικού συστήματος παρατηρήθηκε στο 36% των ασθενών που υποβλήθηκαν σε ενδοφλέβια θεραπεία με δόσεις περίπου τέσσερις φορές υψηλότερες (96</w:t>
      </w:r>
      <w:r w:rsidR="008940CE" w:rsidRPr="00F652D5">
        <w:rPr>
          <w:snapToGrid w:val="0"/>
          <w:sz w:val="22"/>
          <w:szCs w:val="22"/>
          <w:lang w:val="de-DE" w:eastAsia="en-US"/>
        </w:rPr>
        <w:t> </w:t>
      </w:r>
      <w:r w:rsidR="00B35873" w:rsidRPr="00F652D5">
        <w:rPr>
          <w:snapToGrid w:val="0"/>
          <w:sz w:val="22"/>
          <w:szCs w:val="22"/>
          <w:lang w:eastAsia="en-US"/>
        </w:rPr>
        <w:t>mg</w:t>
      </w:r>
      <w:r w:rsidR="00B35873" w:rsidRPr="00F652D5">
        <w:rPr>
          <w:snapToGrid w:val="0"/>
          <w:sz w:val="22"/>
          <w:szCs w:val="22"/>
          <w:lang w:val="el-GR" w:eastAsia="en-US"/>
        </w:rPr>
        <w:t>/</w:t>
      </w:r>
      <w:r w:rsidR="00B35873" w:rsidRPr="00F652D5">
        <w:rPr>
          <w:snapToGrid w:val="0"/>
          <w:sz w:val="22"/>
          <w:szCs w:val="22"/>
          <w:lang w:eastAsia="en-US"/>
        </w:rPr>
        <w:t>m</w:t>
      </w:r>
      <w:r w:rsidR="008940CE" w:rsidRPr="00F652D5">
        <w:rPr>
          <w:snapToGrid w:val="0"/>
          <w:sz w:val="22"/>
          <w:szCs w:val="22"/>
          <w:lang w:val="el-GR" w:eastAsia="en-US"/>
        </w:rPr>
        <w:t>² ημερησίως για διάστημα 5 – 7</w:t>
      </w:r>
      <w:r w:rsidR="008940CE" w:rsidRPr="00F652D5">
        <w:rPr>
          <w:snapToGrid w:val="0"/>
          <w:sz w:val="22"/>
          <w:szCs w:val="22"/>
          <w:lang w:val="de-DE" w:eastAsia="en-US"/>
        </w:rPr>
        <w:t> </w:t>
      </w:r>
      <w:r w:rsidR="00B35873" w:rsidRPr="00F652D5">
        <w:rPr>
          <w:snapToGrid w:val="0"/>
          <w:sz w:val="22"/>
          <w:szCs w:val="22"/>
          <w:lang w:val="el-GR" w:eastAsia="en-US"/>
        </w:rPr>
        <w:t xml:space="preserve">ημερών) από τη δόση που συνιστάται για τη θεραπεία της </w:t>
      </w:r>
      <w:smartTag w:uri="urn:schemas-microsoft-com:office:smarttags" w:element="stockticker">
        <w:r w:rsidR="00B35873" w:rsidRPr="00F652D5">
          <w:rPr>
            <w:snapToGrid w:val="0"/>
            <w:sz w:val="22"/>
            <w:szCs w:val="22"/>
            <w:lang w:eastAsia="en-US"/>
          </w:rPr>
          <w:t>CLL</w:t>
        </w:r>
      </w:smartTag>
      <w:r w:rsidR="00B35873" w:rsidRPr="00F652D5">
        <w:rPr>
          <w:snapToGrid w:val="0"/>
          <w:sz w:val="22"/>
          <w:szCs w:val="22"/>
          <w:lang w:val="el-GR" w:eastAsia="en-US"/>
        </w:rPr>
        <w:t xml:space="preserve">. Σε ασθενείς που </w:t>
      </w:r>
      <w:r w:rsidR="00B35873" w:rsidRPr="00F652D5">
        <w:rPr>
          <w:snapToGrid w:val="0"/>
          <w:sz w:val="22"/>
          <w:szCs w:val="22"/>
          <w:lang w:val="el-GR" w:eastAsia="en-US"/>
        </w:rPr>
        <w:lastRenderedPageBreak/>
        <w:t xml:space="preserve">υποβλήθηκαν σε θεραπεία με δόσεις που κυμάνθηκαν μέσα στα όρια της συνιστώμενης δοσολογίας για τη θεραπεία της </w:t>
      </w:r>
      <w:smartTag w:uri="urn:schemas-microsoft-com:office:smarttags" w:element="stockticker">
        <w:r w:rsidR="00B35873" w:rsidRPr="00F652D5">
          <w:rPr>
            <w:snapToGrid w:val="0"/>
            <w:sz w:val="22"/>
            <w:szCs w:val="22"/>
            <w:lang w:eastAsia="en-US"/>
          </w:rPr>
          <w:t>CLL</w:t>
        </w:r>
      </w:smartTag>
      <w:r w:rsidR="00B35873" w:rsidRPr="00F652D5">
        <w:rPr>
          <w:snapToGrid w:val="0"/>
          <w:sz w:val="22"/>
          <w:szCs w:val="22"/>
          <w:lang w:val="el-GR" w:eastAsia="en-US"/>
        </w:rPr>
        <w:t>, σοβαρή τοξικότητα του κεντρικού νευρικού συστήματος εμφανίστηκε σπάνια (κώμα, επιληπτικές κρίσεις και διέγερση) ή όχι συχνά (σύγχυση)</w:t>
      </w:r>
      <w:r w:rsidR="00A37DF5">
        <w:rPr>
          <w:snapToGrid w:val="0"/>
          <w:sz w:val="22"/>
          <w:szCs w:val="22"/>
          <w:lang w:val="el-GR" w:eastAsia="en-US"/>
        </w:rPr>
        <w:t xml:space="preserve"> (βλέπε παράγραφο 4.8).</w:t>
      </w:r>
    </w:p>
    <w:p w:rsidR="00B35873" w:rsidRPr="00F652D5" w:rsidRDefault="00B35873" w:rsidP="00CE6352">
      <w:pPr>
        <w:tabs>
          <w:tab w:val="left" w:pos="567"/>
          <w:tab w:val="right" w:pos="9214"/>
        </w:tabs>
        <w:rPr>
          <w:szCs w:val="22"/>
          <w:lang w:val="el-GR"/>
        </w:rPr>
      </w:pPr>
    </w:p>
    <w:p w:rsidR="00B35873" w:rsidRPr="00F652D5" w:rsidRDefault="00B35873" w:rsidP="00750BC9">
      <w:pPr>
        <w:pStyle w:val="Para0s"/>
        <w:spacing w:after="0"/>
        <w:rPr>
          <w:rFonts w:ascii="Times New Roman" w:hAnsi="Times New Roman"/>
          <w:szCs w:val="22"/>
          <w:lang w:val="el-GR"/>
        </w:rPr>
      </w:pPr>
      <w:r w:rsidRPr="00F652D5">
        <w:rPr>
          <w:rFonts w:ascii="Times New Roman" w:hAnsi="Times New Roman"/>
          <w:szCs w:val="22"/>
          <w:lang w:val="el-GR"/>
        </w:rPr>
        <w:t xml:space="preserve">Στην εμπειρία από την κυκλοφορία του φαρμάκου, η νευροτοξικότητα αναφέρθηκε ότι παρουσιάζεται νωρίτερα ή αργότερα από </w:t>
      </w:r>
      <w:r w:rsidR="00E367C8" w:rsidRPr="00F652D5">
        <w:rPr>
          <w:rFonts w:ascii="Times New Roman" w:hAnsi="Times New Roman"/>
          <w:szCs w:val="22"/>
          <w:lang w:val="el-GR"/>
        </w:rPr>
        <w:t>ότι</w:t>
      </w:r>
      <w:r w:rsidRPr="00F652D5">
        <w:rPr>
          <w:rFonts w:ascii="Times New Roman" w:hAnsi="Times New Roman"/>
          <w:szCs w:val="22"/>
          <w:lang w:val="el-GR"/>
        </w:rPr>
        <w:t xml:space="preserve"> στις κλινικές δοκιμές. </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6A45B9">
      <w:pPr>
        <w:pStyle w:val="Bullet0dKT"/>
        <w:numPr>
          <w:ilvl w:val="0"/>
          <w:numId w:val="9"/>
        </w:numPr>
        <w:tabs>
          <w:tab w:val="clear" w:pos="720"/>
          <w:tab w:val="num" w:pos="426"/>
        </w:tabs>
        <w:spacing w:before="0" w:after="0"/>
        <w:ind w:left="426" w:hanging="426"/>
        <w:rPr>
          <w:rFonts w:ascii="Times New Roman" w:hAnsi="Times New Roman"/>
          <w:szCs w:val="22"/>
          <w:lang w:val="el-GR"/>
        </w:rPr>
      </w:pPr>
      <w:r w:rsidRPr="00F652D5">
        <w:rPr>
          <w:rFonts w:ascii="Times New Roman" w:hAnsi="Times New Roman"/>
          <w:szCs w:val="22"/>
          <w:lang w:val="el-GR"/>
        </w:rPr>
        <w:t>Σύνδρομο λύσης όγκου</w:t>
      </w:r>
    </w:p>
    <w:p w:rsidR="00B35873" w:rsidRPr="00F652D5" w:rsidRDefault="00B35873" w:rsidP="00750BC9">
      <w:pPr>
        <w:pStyle w:val="Para0s"/>
        <w:spacing w:after="0"/>
        <w:rPr>
          <w:rFonts w:ascii="Times New Roman" w:hAnsi="Times New Roman"/>
          <w:szCs w:val="22"/>
          <w:lang w:val="el-GR" w:eastAsia="el-GR"/>
        </w:rPr>
      </w:pPr>
    </w:p>
    <w:p w:rsidR="00B35873" w:rsidRPr="00F652D5" w:rsidRDefault="00B35873" w:rsidP="00750BC9">
      <w:pPr>
        <w:pStyle w:val="30"/>
        <w:spacing w:line="240" w:lineRule="auto"/>
        <w:ind w:left="0"/>
        <w:jc w:val="left"/>
        <w:rPr>
          <w:rFonts w:ascii="Times New Roman" w:hAnsi="Times New Roman"/>
          <w:snapToGrid w:val="0"/>
          <w:sz w:val="22"/>
          <w:szCs w:val="22"/>
          <w:lang w:val="el-GR"/>
        </w:rPr>
      </w:pPr>
      <w:r w:rsidRPr="00F652D5">
        <w:rPr>
          <w:rFonts w:ascii="Times New Roman" w:hAnsi="Times New Roman"/>
          <w:snapToGrid w:val="0"/>
          <w:sz w:val="22"/>
          <w:szCs w:val="22"/>
          <w:lang w:val="el-GR"/>
        </w:rPr>
        <w:t xml:space="preserve">Το σύνδρομο λύσης όγκου έχει αναφερθεί σε ασθενείς με </w:t>
      </w:r>
      <w:smartTag w:uri="urn:schemas-microsoft-com:office:smarttags" w:element="stockticker">
        <w:r w:rsidRPr="00F652D5">
          <w:rPr>
            <w:rFonts w:ascii="Times New Roman" w:hAnsi="Times New Roman"/>
            <w:snapToGrid w:val="0"/>
            <w:sz w:val="22"/>
            <w:szCs w:val="22"/>
          </w:rPr>
          <w:t>CLL</w:t>
        </w:r>
      </w:smartTag>
      <w:r w:rsidRPr="00F652D5">
        <w:rPr>
          <w:rFonts w:ascii="Times New Roman" w:hAnsi="Times New Roman"/>
          <w:snapToGrid w:val="0"/>
          <w:sz w:val="22"/>
          <w:szCs w:val="22"/>
          <w:lang w:val="el-GR"/>
        </w:rPr>
        <w:t xml:space="preserve">, οι οποίοι παρουσιάζουν εκτεταμένους σε μέγεθος όγκους. Δεδομένου ότι το </w:t>
      </w:r>
      <w:r w:rsidRPr="00F652D5">
        <w:rPr>
          <w:rFonts w:ascii="Times New Roman" w:hAnsi="Times New Roman"/>
          <w:snapToGrid w:val="0"/>
          <w:sz w:val="22"/>
          <w:szCs w:val="22"/>
        </w:rPr>
        <w:t>Fludara</w:t>
      </w:r>
      <w:r w:rsidRPr="00F652D5">
        <w:rPr>
          <w:rFonts w:ascii="Times New Roman" w:hAnsi="Times New Roman"/>
          <w:snapToGrid w:val="0"/>
          <w:sz w:val="22"/>
          <w:szCs w:val="22"/>
          <w:lang w:val="el-GR"/>
        </w:rPr>
        <w:t xml:space="preserve"> μπορεί να προκαλέσει ανταπόκριση ακόμα και μέσα στην πρώτη εβδομάδα της θεραπείας, θα πρέπει να ληφθούν προληπτικά μέτρα στους ασθενείς που εμφανίζουν κίνδυνο για ανάπτυξη της επιπλοκής αυτής.</w:t>
      </w:r>
    </w:p>
    <w:p w:rsidR="00B35873" w:rsidRPr="00F652D5" w:rsidRDefault="00B35873" w:rsidP="00750BC9">
      <w:pPr>
        <w:rPr>
          <w:sz w:val="22"/>
          <w:szCs w:val="22"/>
          <w:lang w:val="el-GR"/>
        </w:rPr>
      </w:pPr>
    </w:p>
    <w:p w:rsidR="00B35873" w:rsidRPr="00F652D5" w:rsidRDefault="00B35873" w:rsidP="006A45B9">
      <w:pPr>
        <w:pStyle w:val="Para0s"/>
        <w:numPr>
          <w:ilvl w:val="0"/>
          <w:numId w:val="10"/>
        </w:numPr>
        <w:tabs>
          <w:tab w:val="clear" w:pos="720"/>
          <w:tab w:val="num" w:pos="426"/>
        </w:tabs>
        <w:spacing w:after="0"/>
        <w:ind w:left="426" w:hanging="426"/>
        <w:rPr>
          <w:rFonts w:ascii="Times New Roman" w:hAnsi="Times New Roman"/>
          <w:szCs w:val="22"/>
          <w:lang w:val="el-GR"/>
        </w:rPr>
      </w:pPr>
      <w:r w:rsidRPr="00F652D5">
        <w:rPr>
          <w:rFonts w:ascii="Times New Roman" w:hAnsi="Times New Roman"/>
          <w:snapToGrid w:val="0"/>
          <w:szCs w:val="22"/>
          <w:lang w:val="el-GR"/>
        </w:rPr>
        <w:t>Σχετιζόμενη με μετάγγιση νόσος "μοσχεύματος έναντι ξενιστή"</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Μετά από μετάγγιση </w:t>
      </w:r>
      <w:r w:rsidR="006F3423">
        <w:rPr>
          <w:snapToGrid w:val="0"/>
          <w:sz w:val="22"/>
          <w:szCs w:val="22"/>
          <w:lang w:val="el-GR" w:eastAsia="en-US"/>
        </w:rPr>
        <w:t>μη-</w:t>
      </w:r>
      <w:r w:rsidRPr="00F652D5">
        <w:rPr>
          <w:snapToGrid w:val="0"/>
          <w:sz w:val="22"/>
          <w:szCs w:val="22"/>
          <w:lang w:val="el-GR" w:eastAsia="en-US"/>
        </w:rPr>
        <w:t xml:space="preserve">ακτινοβολημένου αίματος σε ασθενείς που ελάμβαναν θεραπευτική αγωγή με </w:t>
      </w:r>
      <w:r w:rsidRPr="00F652D5">
        <w:rPr>
          <w:snapToGrid w:val="0"/>
          <w:sz w:val="22"/>
          <w:szCs w:val="22"/>
          <w:lang w:eastAsia="en-US"/>
        </w:rPr>
        <w:t>Fludara</w:t>
      </w:r>
      <w:r w:rsidRPr="00F652D5">
        <w:rPr>
          <w:snapToGrid w:val="0"/>
          <w:sz w:val="22"/>
          <w:szCs w:val="22"/>
          <w:lang w:val="el-GR" w:eastAsia="en-US"/>
        </w:rPr>
        <w:t xml:space="preserve"> παρατηρήθηκε αντίδραση τύπου "μοσχεύματος έναντι ξενιστή" (</w:t>
      </w:r>
      <w:r w:rsidRPr="00F652D5">
        <w:rPr>
          <w:snapToGrid w:val="0"/>
          <w:sz w:val="22"/>
          <w:szCs w:val="22"/>
          <w:lang w:eastAsia="en-US"/>
        </w:rPr>
        <w:t>graft</w:t>
      </w:r>
      <w:r w:rsidRPr="00F652D5">
        <w:rPr>
          <w:snapToGrid w:val="0"/>
          <w:sz w:val="22"/>
          <w:szCs w:val="22"/>
          <w:lang w:val="el-GR" w:eastAsia="en-US"/>
        </w:rPr>
        <w:t>-</w:t>
      </w:r>
      <w:r w:rsidRPr="00F652D5">
        <w:rPr>
          <w:snapToGrid w:val="0"/>
          <w:sz w:val="22"/>
          <w:szCs w:val="22"/>
          <w:lang w:eastAsia="en-US"/>
        </w:rPr>
        <w:t>versus</w:t>
      </w:r>
      <w:r w:rsidRPr="00F652D5">
        <w:rPr>
          <w:snapToGrid w:val="0"/>
          <w:sz w:val="22"/>
          <w:szCs w:val="22"/>
          <w:lang w:val="el-GR" w:eastAsia="en-US"/>
        </w:rPr>
        <w:t>-</w:t>
      </w:r>
      <w:r w:rsidRPr="00F652D5">
        <w:rPr>
          <w:snapToGrid w:val="0"/>
          <w:sz w:val="22"/>
          <w:szCs w:val="22"/>
          <w:lang w:eastAsia="en-US"/>
        </w:rPr>
        <w:t>host</w:t>
      </w:r>
      <w:r w:rsidRPr="00F652D5">
        <w:rPr>
          <w:snapToGrid w:val="0"/>
          <w:sz w:val="22"/>
          <w:szCs w:val="22"/>
          <w:lang w:val="el-GR" w:eastAsia="en-US"/>
        </w:rPr>
        <w:t xml:space="preserve">, αντίδραση από τα μεταγγισθέντα, ανοσολογικά ενεργά λεμφοκύτταρα έναντι του ξενιστή). Ως συνέπεια της αντίδρασης αυτής αναφέρθηκε με μεγάλη συχνότητα θανατηφόρος έκβαση της νόσου. Συνεπώς, </w:t>
      </w:r>
      <w:r w:rsidRPr="00F652D5">
        <w:rPr>
          <w:snapToGrid w:val="0"/>
          <w:sz w:val="22"/>
          <w:szCs w:val="22"/>
          <w:lang w:val="el-GR"/>
        </w:rPr>
        <w:t xml:space="preserve">για την ελαχιστοποίηση του κινδύνου εμφάνισης της σχετιζόμενης με μετάγγιση νόσου "μοσχεύματος έναντι ξενιστή", </w:t>
      </w:r>
      <w:r w:rsidRPr="00F652D5">
        <w:rPr>
          <w:snapToGrid w:val="0"/>
          <w:sz w:val="22"/>
          <w:szCs w:val="22"/>
          <w:lang w:val="el-GR" w:eastAsia="en-US"/>
        </w:rPr>
        <w:t xml:space="preserve">σε ασθενείς στους οποίους απαιτείται μετάγγιση κατά τη διάρκεια ή μετά τη θεραπευτική αγωγή με </w:t>
      </w:r>
      <w:r w:rsidRPr="00F652D5">
        <w:rPr>
          <w:snapToGrid w:val="0"/>
          <w:sz w:val="22"/>
          <w:szCs w:val="22"/>
          <w:lang w:eastAsia="en-US"/>
        </w:rPr>
        <w:t>Fludara</w:t>
      </w:r>
      <w:r w:rsidRPr="00F652D5">
        <w:rPr>
          <w:snapToGrid w:val="0"/>
          <w:sz w:val="22"/>
          <w:szCs w:val="22"/>
          <w:lang w:val="el-GR" w:eastAsia="en-US"/>
        </w:rPr>
        <w:t xml:space="preserve"> θα πρέπει να γίνεται χρήση μόνο ακτινοβολημένων προϊόντων αίματος.</w:t>
      </w:r>
    </w:p>
    <w:p w:rsidR="00B35873" w:rsidRPr="00F652D5" w:rsidRDefault="00B35873" w:rsidP="00750BC9">
      <w:pPr>
        <w:rPr>
          <w:sz w:val="22"/>
          <w:szCs w:val="22"/>
          <w:lang w:val="el-GR"/>
        </w:rPr>
      </w:pPr>
    </w:p>
    <w:p w:rsidR="00B35873" w:rsidRPr="00F652D5" w:rsidRDefault="00B35873" w:rsidP="006A45B9">
      <w:pPr>
        <w:pStyle w:val="Para0s"/>
        <w:numPr>
          <w:ilvl w:val="0"/>
          <w:numId w:val="10"/>
        </w:numPr>
        <w:tabs>
          <w:tab w:val="clear" w:pos="720"/>
          <w:tab w:val="num" w:pos="426"/>
        </w:tabs>
        <w:spacing w:after="0"/>
        <w:ind w:left="426" w:hanging="426"/>
        <w:rPr>
          <w:rFonts w:ascii="Times New Roman" w:hAnsi="Times New Roman"/>
          <w:szCs w:val="22"/>
          <w:lang w:val="el-GR"/>
        </w:rPr>
      </w:pPr>
      <w:r w:rsidRPr="00F652D5">
        <w:rPr>
          <w:rFonts w:ascii="Times New Roman" w:hAnsi="Times New Roman"/>
          <w:szCs w:val="22"/>
          <w:lang w:val="el-GR"/>
        </w:rPr>
        <w:t>Καρκίνος του δέρματος</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z w:val="22"/>
          <w:szCs w:val="22"/>
          <w:lang w:val="el-GR"/>
        </w:rPr>
      </w:pPr>
      <w:r w:rsidRPr="00F652D5">
        <w:rPr>
          <w:sz w:val="22"/>
          <w:szCs w:val="22"/>
          <w:lang w:val="el-GR"/>
        </w:rPr>
        <w:t xml:space="preserve">Η επιδείνωση ή έξαρση προϋπαρχουσών βλαβών καρκίνου του δέρματος, καθώς και η νέα εμφάνιση καρκίνου του δέρματος αναφέρθηκε σε ασθενείς κατά τη διάρκεια ή μετά τη θεραπεία με </w:t>
      </w:r>
      <w:r w:rsidRPr="00F652D5">
        <w:rPr>
          <w:sz w:val="22"/>
          <w:szCs w:val="22"/>
          <w:lang w:val="en-GB"/>
        </w:rPr>
        <w:t>Fludara</w:t>
      </w:r>
      <w:r w:rsidRPr="00F652D5">
        <w:rPr>
          <w:sz w:val="22"/>
          <w:szCs w:val="22"/>
          <w:lang w:val="el-GR"/>
        </w:rPr>
        <w:t>.</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6A45B9">
      <w:pPr>
        <w:pStyle w:val="Bullet0dKT"/>
        <w:numPr>
          <w:ilvl w:val="0"/>
          <w:numId w:val="9"/>
        </w:numPr>
        <w:tabs>
          <w:tab w:val="clear" w:pos="720"/>
          <w:tab w:val="num" w:pos="426"/>
        </w:tabs>
        <w:spacing w:before="0" w:after="0"/>
        <w:ind w:left="426" w:hanging="426"/>
        <w:rPr>
          <w:rFonts w:ascii="Times New Roman" w:hAnsi="Times New Roman"/>
          <w:szCs w:val="22"/>
          <w:lang w:val="el-GR"/>
        </w:rPr>
      </w:pPr>
      <w:r w:rsidRPr="00F652D5">
        <w:rPr>
          <w:rFonts w:ascii="Times New Roman" w:hAnsi="Times New Roman"/>
          <w:szCs w:val="22"/>
          <w:lang w:val="el-GR"/>
        </w:rPr>
        <w:t>Κακή κατάσταση υγείας</w:t>
      </w:r>
    </w:p>
    <w:p w:rsidR="00B35873" w:rsidRPr="00F652D5" w:rsidRDefault="00B35873" w:rsidP="00750BC9">
      <w:pPr>
        <w:rPr>
          <w:snapToGrid w:val="0"/>
          <w:sz w:val="22"/>
          <w:szCs w:val="22"/>
          <w:lang w:val="el-GR"/>
        </w:rPr>
      </w:pPr>
    </w:p>
    <w:p w:rsidR="00B35873" w:rsidRPr="00F652D5" w:rsidRDefault="00B35873" w:rsidP="00750BC9">
      <w:pPr>
        <w:rPr>
          <w:snapToGrid w:val="0"/>
          <w:sz w:val="22"/>
          <w:szCs w:val="22"/>
          <w:lang w:val="el-GR"/>
        </w:rPr>
      </w:pPr>
      <w:r w:rsidRPr="00F652D5">
        <w:rPr>
          <w:snapToGrid w:val="0"/>
          <w:sz w:val="22"/>
          <w:szCs w:val="22"/>
          <w:lang w:val="el-GR"/>
        </w:rPr>
        <w:t xml:space="preserve">Σε ασθενείς με κακή κατάσταση υγείας, το </w:t>
      </w:r>
      <w:r w:rsidRPr="00F652D5">
        <w:rPr>
          <w:snapToGrid w:val="0"/>
          <w:sz w:val="22"/>
          <w:szCs w:val="22"/>
        </w:rPr>
        <w:t>Fludara</w:t>
      </w:r>
      <w:r w:rsidRPr="00F652D5">
        <w:rPr>
          <w:snapToGrid w:val="0"/>
          <w:sz w:val="22"/>
          <w:szCs w:val="22"/>
          <w:lang w:val="el-GR"/>
        </w:rPr>
        <w:t xml:space="preserve"> πρέπει να χορηγείται με προσοχή και μετά από προσεκτική στάθμιση της σχέσης οφέλους/ κινδύνου. Αυτό ισχύει κυρίως για ασθενείς με σοβαρή βλάβη της λειτουργίας του μυελού των οστών (θρομβοπενία, αναιμία και/ή κοκκιοκυτταροπενία), με ανοσολογική ανεπάρκεια ή με ιστορικό ευκαιριακών λοιμώξεων.</w:t>
      </w:r>
    </w:p>
    <w:p w:rsidR="00B35873" w:rsidRPr="00F652D5" w:rsidRDefault="00B35873" w:rsidP="00750BC9">
      <w:pPr>
        <w:rPr>
          <w:sz w:val="22"/>
          <w:szCs w:val="22"/>
          <w:lang w:val="el-GR"/>
        </w:rPr>
      </w:pPr>
    </w:p>
    <w:p w:rsidR="00B35873" w:rsidRPr="00F652D5" w:rsidRDefault="00B35873" w:rsidP="00E81B7E">
      <w:pPr>
        <w:pStyle w:val="Para0sb"/>
        <w:numPr>
          <w:ilvl w:val="0"/>
          <w:numId w:val="9"/>
        </w:numPr>
        <w:tabs>
          <w:tab w:val="clear" w:pos="720"/>
          <w:tab w:val="num" w:pos="426"/>
        </w:tabs>
        <w:spacing w:after="0"/>
        <w:ind w:hanging="720"/>
        <w:rPr>
          <w:rFonts w:ascii="Times New Roman" w:hAnsi="Times New Roman"/>
          <w:b w:val="0"/>
          <w:bCs/>
          <w:szCs w:val="22"/>
          <w:lang w:val="el-GR"/>
        </w:rPr>
      </w:pPr>
      <w:r w:rsidRPr="00F652D5">
        <w:rPr>
          <w:rFonts w:ascii="Times New Roman" w:hAnsi="Times New Roman"/>
          <w:b w:val="0"/>
          <w:bCs/>
          <w:szCs w:val="22"/>
          <w:lang w:val="el-GR"/>
        </w:rPr>
        <w:t>Νεφρική δυσλειτουργία</w:t>
      </w:r>
    </w:p>
    <w:p w:rsidR="00B35873" w:rsidRPr="00F652D5" w:rsidRDefault="00B35873" w:rsidP="00750BC9">
      <w:pPr>
        <w:pStyle w:val="Para0s"/>
        <w:spacing w:after="0"/>
        <w:rPr>
          <w:rFonts w:ascii="Times New Roman" w:hAnsi="Times New Roman"/>
          <w:szCs w:val="22"/>
          <w:lang w:val="el-GR"/>
        </w:rPr>
      </w:pPr>
    </w:p>
    <w:p w:rsidR="00B35873" w:rsidRPr="00F652D5" w:rsidRDefault="00B35873" w:rsidP="00750BC9">
      <w:pPr>
        <w:pStyle w:val="Para0s"/>
        <w:spacing w:after="0"/>
        <w:rPr>
          <w:rFonts w:ascii="Times New Roman" w:hAnsi="Times New Roman"/>
          <w:snapToGrid w:val="0"/>
          <w:szCs w:val="22"/>
          <w:lang w:val="el-GR"/>
        </w:rPr>
      </w:pPr>
      <w:r w:rsidRPr="00F652D5">
        <w:rPr>
          <w:rFonts w:ascii="Times New Roman" w:hAnsi="Times New Roman"/>
          <w:snapToGrid w:val="0"/>
          <w:szCs w:val="22"/>
          <w:lang w:val="el-GR"/>
        </w:rPr>
        <w:t>Η συνολική κάθαρση του κύριου μεταβολίτη του πλάσματος, της 2</w:t>
      </w:r>
      <w:r w:rsidRPr="00F652D5">
        <w:rPr>
          <w:rFonts w:ascii="Times New Roman" w:hAnsi="Times New Roman"/>
          <w:snapToGrid w:val="0"/>
          <w:szCs w:val="22"/>
        </w:rPr>
        <w:t>F</w:t>
      </w:r>
      <w:r w:rsidRPr="00F652D5">
        <w:rPr>
          <w:rFonts w:ascii="Times New Roman" w:hAnsi="Times New Roman"/>
          <w:snapToGrid w:val="0"/>
          <w:szCs w:val="22"/>
          <w:lang w:val="el-GR"/>
        </w:rPr>
        <w:t>-ara-</w:t>
      </w:r>
      <w:r w:rsidRPr="00F652D5">
        <w:rPr>
          <w:rFonts w:ascii="Times New Roman" w:hAnsi="Times New Roman"/>
          <w:snapToGrid w:val="0"/>
          <w:szCs w:val="22"/>
        </w:rPr>
        <w:t>A</w:t>
      </w:r>
      <w:r w:rsidRPr="00F652D5">
        <w:rPr>
          <w:rFonts w:ascii="Times New Roman" w:hAnsi="Times New Roman"/>
          <w:snapToGrid w:val="0"/>
          <w:szCs w:val="22"/>
          <w:lang w:val="el-GR"/>
        </w:rPr>
        <w:t>, από το σώμα δείχνει συσχέτιση με την κάθαρση κρεατινίνης, υποδηλώνοντας έτσι τη σπουδαιότητα της νεφρικής οδού απέκκρισης για την απομάκρυνση της ένωσης. Ασθενείς με μειωμένη νεφρική λειτουργία επέδειξαν αυξημένη ολική έκθεση του σώματος (</w:t>
      </w:r>
      <w:r w:rsidRPr="00F652D5">
        <w:rPr>
          <w:rFonts w:ascii="Times New Roman" w:hAnsi="Times New Roman"/>
          <w:snapToGrid w:val="0"/>
          <w:szCs w:val="22"/>
        </w:rPr>
        <w:t>AUC</w:t>
      </w:r>
      <w:r w:rsidRPr="00F652D5">
        <w:rPr>
          <w:rFonts w:ascii="Times New Roman" w:hAnsi="Times New Roman"/>
          <w:snapToGrid w:val="0"/>
          <w:szCs w:val="22"/>
          <w:lang w:val="el-GR"/>
        </w:rPr>
        <w:t xml:space="preserve"> της 2</w:t>
      </w:r>
      <w:r w:rsidRPr="00F652D5">
        <w:rPr>
          <w:rFonts w:ascii="Times New Roman" w:hAnsi="Times New Roman"/>
          <w:snapToGrid w:val="0"/>
          <w:szCs w:val="22"/>
        </w:rPr>
        <w:t>F</w:t>
      </w:r>
      <w:r w:rsidRPr="00F652D5">
        <w:rPr>
          <w:rFonts w:ascii="Times New Roman" w:hAnsi="Times New Roman"/>
          <w:snapToGrid w:val="0"/>
          <w:szCs w:val="22"/>
          <w:lang w:val="el-GR"/>
        </w:rPr>
        <w:t>-</w:t>
      </w:r>
      <w:r w:rsidRPr="00F652D5">
        <w:rPr>
          <w:rFonts w:ascii="Times New Roman" w:hAnsi="Times New Roman"/>
          <w:snapToGrid w:val="0"/>
          <w:szCs w:val="22"/>
        </w:rPr>
        <w:t>ara</w:t>
      </w:r>
      <w:r w:rsidRPr="00F652D5">
        <w:rPr>
          <w:rFonts w:ascii="Times New Roman" w:hAnsi="Times New Roman"/>
          <w:snapToGrid w:val="0"/>
          <w:szCs w:val="22"/>
          <w:lang w:val="el-GR"/>
        </w:rPr>
        <w:t>-</w:t>
      </w:r>
      <w:r w:rsidRPr="00F652D5">
        <w:rPr>
          <w:rFonts w:ascii="Times New Roman" w:hAnsi="Times New Roman"/>
          <w:snapToGrid w:val="0"/>
          <w:szCs w:val="22"/>
        </w:rPr>
        <w:t>A</w:t>
      </w:r>
      <w:r w:rsidRPr="00F652D5">
        <w:rPr>
          <w:rFonts w:ascii="Times New Roman" w:hAnsi="Times New Roman"/>
          <w:snapToGrid w:val="0"/>
          <w:szCs w:val="22"/>
          <w:lang w:val="el-GR"/>
        </w:rPr>
        <w:t xml:space="preserve">). Υπάρχουν περιορισμένα κλινικά στοιχεία για ασθενείς με νεφρική ανεπάρκεια (κάθαρση κρεατινίνης </w:t>
      </w:r>
      <w:r w:rsidRPr="00F652D5">
        <w:rPr>
          <w:rFonts w:ascii="Times New Roman" w:hAnsi="Times New Roman"/>
          <w:snapToGrid w:val="0"/>
          <w:szCs w:val="22"/>
          <w:lang w:val="el-GR" w:eastAsia="en-US"/>
        </w:rPr>
        <w:t>&lt;</w:t>
      </w:r>
      <w:r w:rsidR="008940CE" w:rsidRPr="00F652D5">
        <w:rPr>
          <w:rFonts w:ascii="Times New Roman" w:hAnsi="Times New Roman"/>
          <w:snapToGrid w:val="0"/>
          <w:szCs w:val="22"/>
          <w:lang w:val="de-DE"/>
        </w:rPr>
        <w:t> </w:t>
      </w:r>
      <w:r w:rsidRPr="00F652D5">
        <w:rPr>
          <w:rFonts w:ascii="Times New Roman" w:hAnsi="Times New Roman"/>
          <w:snapToGrid w:val="0"/>
          <w:szCs w:val="22"/>
          <w:lang w:val="el-GR"/>
        </w:rPr>
        <w:t>70</w:t>
      </w:r>
      <w:r w:rsidR="008940CE" w:rsidRPr="00F652D5">
        <w:rPr>
          <w:rFonts w:ascii="Times New Roman" w:hAnsi="Times New Roman"/>
          <w:snapToGrid w:val="0"/>
          <w:szCs w:val="22"/>
          <w:lang w:val="de-DE"/>
        </w:rPr>
        <w:t> </w:t>
      </w:r>
      <w:r w:rsidRPr="00F652D5">
        <w:rPr>
          <w:rFonts w:ascii="Times New Roman" w:hAnsi="Times New Roman"/>
          <w:snapToGrid w:val="0"/>
          <w:szCs w:val="22"/>
        </w:rPr>
        <w:t>ml</w:t>
      </w:r>
      <w:r w:rsidRPr="00F652D5">
        <w:rPr>
          <w:rFonts w:ascii="Times New Roman" w:hAnsi="Times New Roman"/>
          <w:snapToGrid w:val="0"/>
          <w:szCs w:val="22"/>
          <w:lang w:val="el-GR"/>
        </w:rPr>
        <w:t>/</w:t>
      </w:r>
      <w:r w:rsidRPr="00F652D5">
        <w:rPr>
          <w:rFonts w:ascii="Times New Roman" w:hAnsi="Times New Roman"/>
          <w:snapToGrid w:val="0"/>
          <w:szCs w:val="22"/>
        </w:rPr>
        <w:t>min</w:t>
      </w:r>
      <w:r w:rsidRPr="00F652D5">
        <w:rPr>
          <w:rFonts w:ascii="Times New Roman" w:hAnsi="Times New Roman"/>
          <w:snapToGrid w:val="0"/>
          <w:szCs w:val="22"/>
          <w:lang w:val="el-GR"/>
        </w:rPr>
        <w:t xml:space="preserve">). </w:t>
      </w:r>
    </w:p>
    <w:p w:rsidR="00B35873" w:rsidRPr="00F652D5" w:rsidRDefault="00B35873" w:rsidP="00750BC9">
      <w:pPr>
        <w:pStyle w:val="Para0s"/>
        <w:spacing w:after="0"/>
        <w:rPr>
          <w:rFonts w:ascii="Times New Roman" w:hAnsi="Times New Roman"/>
          <w:szCs w:val="22"/>
          <w:lang w:val="el-GR"/>
        </w:rPr>
      </w:pPr>
      <w:r w:rsidRPr="00F652D5">
        <w:rPr>
          <w:rFonts w:ascii="Times New Roman" w:hAnsi="Times New Roman"/>
          <w:szCs w:val="22"/>
          <w:lang w:val="el-GR"/>
        </w:rPr>
        <w:t xml:space="preserve">Το </w:t>
      </w:r>
      <w:r w:rsidRPr="00F652D5">
        <w:rPr>
          <w:rFonts w:ascii="Times New Roman" w:hAnsi="Times New Roman"/>
          <w:snapToGrid w:val="0"/>
          <w:szCs w:val="22"/>
        </w:rPr>
        <w:t>Fludara</w:t>
      </w:r>
      <w:r w:rsidRPr="00F652D5">
        <w:rPr>
          <w:rFonts w:ascii="Times New Roman" w:hAnsi="Times New Roman"/>
          <w:szCs w:val="22"/>
          <w:lang w:val="el-GR"/>
        </w:rPr>
        <w:t xml:space="preserve"> πρέπει να χορηγείται με προσοχή σε ασθενείς με νεφρική ανεπάρκεια. Σε ασθενείς με ήπια έκπτωση της νεφρικής λειτουργίας (κάθαρση κρεατινίνης μεταξύ 30 και 70</w:t>
      </w:r>
      <w:r w:rsidR="008940CE" w:rsidRPr="00F652D5">
        <w:rPr>
          <w:rFonts w:ascii="Times New Roman" w:hAnsi="Times New Roman"/>
          <w:snapToGrid w:val="0"/>
          <w:szCs w:val="22"/>
          <w:lang w:val="de-DE"/>
        </w:rPr>
        <w:t> </w:t>
      </w:r>
      <w:r w:rsidRPr="00F652D5">
        <w:rPr>
          <w:rFonts w:ascii="Times New Roman" w:hAnsi="Times New Roman"/>
          <w:szCs w:val="22"/>
          <w:lang w:val="en-GB"/>
        </w:rPr>
        <w:t>ml</w:t>
      </w:r>
      <w:r w:rsidRPr="00F652D5">
        <w:rPr>
          <w:rFonts w:ascii="Times New Roman" w:hAnsi="Times New Roman"/>
          <w:szCs w:val="22"/>
          <w:lang w:val="el-GR"/>
        </w:rPr>
        <w:t>/</w:t>
      </w:r>
      <w:r w:rsidRPr="00F652D5">
        <w:rPr>
          <w:rFonts w:ascii="Times New Roman" w:hAnsi="Times New Roman"/>
          <w:szCs w:val="22"/>
          <w:lang w:val="en-GB"/>
        </w:rPr>
        <w:t>min</w:t>
      </w:r>
      <w:r w:rsidRPr="00F652D5">
        <w:rPr>
          <w:rFonts w:ascii="Times New Roman" w:hAnsi="Times New Roman"/>
          <w:szCs w:val="22"/>
          <w:lang w:val="el-GR"/>
        </w:rPr>
        <w:t>), η δόση πρέπει να μειωθεί κατά έως 50</w:t>
      </w:r>
      <w:r w:rsidR="008940CE" w:rsidRPr="00F652D5">
        <w:rPr>
          <w:rFonts w:ascii="Times New Roman" w:hAnsi="Times New Roman"/>
          <w:snapToGrid w:val="0"/>
          <w:szCs w:val="22"/>
          <w:lang w:val="de-DE"/>
        </w:rPr>
        <w:t> </w:t>
      </w:r>
      <w:r w:rsidRPr="00F652D5">
        <w:rPr>
          <w:rFonts w:ascii="Times New Roman" w:hAnsi="Times New Roman"/>
          <w:szCs w:val="22"/>
          <w:lang w:val="el-GR"/>
        </w:rPr>
        <w:t xml:space="preserve">% και ο ασθενής πρέπει να παρακολουθείται στενά </w:t>
      </w:r>
      <w:r w:rsidRPr="00F652D5">
        <w:rPr>
          <w:rFonts w:ascii="Times New Roman" w:hAnsi="Times New Roman"/>
          <w:snapToGrid w:val="0"/>
          <w:szCs w:val="22"/>
          <w:lang w:val="el-GR" w:eastAsia="en-US"/>
        </w:rPr>
        <w:t>(βλ. παράγραφο</w:t>
      </w:r>
      <w:r w:rsidR="008940CE" w:rsidRPr="00F652D5">
        <w:rPr>
          <w:rFonts w:ascii="Times New Roman" w:hAnsi="Times New Roman"/>
          <w:snapToGrid w:val="0"/>
          <w:szCs w:val="22"/>
          <w:lang w:val="de-DE"/>
        </w:rPr>
        <w:t> </w:t>
      </w:r>
      <w:r w:rsidRPr="00F652D5">
        <w:rPr>
          <w:rFonts w:ascii="Times New Roman" w:hAnsi="Times New Roman"/>
          <w:snapToGrid w:val="0"/>
          <w:szCs w:val="22"/>
          <w:lang w:val="el-GR" w:eastAsia="en-US"/>
        </w:rPr>
        <w:t xml:space="preserve">4.2). Η θεραπεία με </w:t>
      </w:r>
      <w:r w:rsidRPr="00F652D5">
        <w:rPr>
          <w:rFonts w:ascii="Times New Roman" w:hAnsi="Times New Roman"/>
          <w:snapToGrid w:val="0"/>
          <w:szCs w:val="22"/>
        </w:rPr>
        <w:t>Fludara</w:t>
      </w:r>
      <w:r w:rsidRPr="00F652D5">
        <w:rPr>
          <w:rFonts w:ascii="Times New Roman" w:hAnsi="Times New Roman"/>
          <w:szCs w:val="22"/>
          <w:lang w:val="el-GR"/>
        </w:rPr>
        <w:t xml:space="preserve"> αντενδείκνυται εάν η κάθαρση κρεατινίνης είναι &lt;</w:t>
      </w:r>
      <w:r w:rsidR="008940CE" w:rsidRPr="00F652D5">
        <w:rPr>
          <w:rFonts w:ascii="Times New Roman" w:hAnsi="Times New Roman"/>
          <w:snapToGrid w:val="0"/>
          <w:szCs w:val="22"/>
          <w:lang w:val="de-DE"/>
        </w:rPr>
        <w:t> </w:t>
      </w:r>
      <w:r w:rsidRPr="00F652D5">
        <w:rPr>
          <w:rFonts w:ascii="Times New Roman" w:hAnsi="Times New Roman"/>
          <w:szCs w:val="22"/>
          <w:lang w:val="el-GR"/>
        </w:rPr>
        <w:t>30</w:t>
      </w:r>
      <w:r w:rsidR="008940CE" w:rsidRPr="00F652D5">
        <w:rPr>
          <w:rFonts w:ascii="Times New Roman" w:hAnsi="Times New Roman"/>
          <w:snapToGrid w:val="0"/>
          <w:szCs w:val="22"/>
          <w:lang w:val="de-DE"/>
        </w:rPr>
        <w:t> </w:t>
      </w:r>
      <w:r w:rsidRPr="00F652D5">
        <w:rPr>
          <w:rFonts w:ascii="Times New Roman" w:hAnsi="Times New Roman"/>
          <w:szCs w:val="22"/>
          <w:lang w:val="en-GB"/>
        </w:rPr>
        <w:t>ml</w:t>
      </w:r>
      <w:r w:rsidRPr="00F652D5">
        <w:rPr>
          <w:rFonts w:ascii="Times New Roman" w:hAnsi="Times New Roman"/>
          <w:szCs w:val="22"/>
          <w:lang w:val="el-GR"/>
        </w:rPr>
        <w:t>/</w:t>
      </w:r>
      <w:r w:rsidRPr="00F652D5">
        <w:rPr>
          <w:rFonts w:ascii="Times New Roman" w:hAnsi="Times New Roman"/>
          <w:szCs w:val="22"/>
          <w:lang w:val="en-GB"/>
        </w:rPr>
        <w:t>min </w:t>
      </w:r>
      <w:r w:rsidRPr="00F652D5">
        <w:rPr>
          <w:rFonts w:ascii="Times New Roman" w:hAnsi="Times New Roman"/>
          <w:szCs w:val="22"/>
          <w:lang w:val="el-GR"/>
        </w:rPr>
        <w:t>(βλ. παράγραφο 4.3).</w:t>
      </w:r>
    </w:p>
    <w:p w:rsidR="00B35873" w:rsidRPr="00F652D5" w:rsidRDefault="00B35873" w:rsidP="007E08D8">
      <w:pPr>
        <w:pStyle w:val="Bullet0dKT"/>
        <w:numPr>
          <w:ilvl w:val="0"/>
          <w:numId w:val="0"/>
        </w:numPr>
        <w:spacing w:before="0" w:after="0"/>
        <w:rPr>
          <w:rFonts w:ascii="Times New Roman" w:hAnsi="Times New Roman"/>
          <w:szCs w:val="22"/>
          <w:lang w:val="el-GR"/>
        </w:rPr>
      </w:pPr>
    </w:p>
    <w:p w:rsidR="00B35873" w:rsidRPr="00F652D5" w:rsidRDefault="00B35873" w:rsidP="007E08D8">
      <w:pPr>
        <w:pStyle w:val="Bullet0dKT"/>
        <w:numPr>
          <w:ilvl w:val="0"/>
          <w:numId w:val="11"/>
        </w:numPr>
        <w:spacing w:before="0" w:after="0"/>
        <w:rPr>
          <w:rFonts w:ascii="Times New Roman" w:hAnsi="Times New Roman"/>
          <w:szCs w:val="22"/>
          <w:lang w:val="el-GR"/>
        </w:rPr>
      </w:pPr>
      <w:r w:rsidRPr="00F652D5">
        <w:rPr>
          <w:rFonts w:ascii="Times New Roman" w:hAnsi="Times New Roman"/>
          <w:szCs w:val="22"/>
          <w:lang w:val="el-GR"/>
        </w:rPr>
        <w:t>Ηλικιωμένοι</w:t>
      </w:r>
    </w:p>
    <w:p w:rsidR="00B35873" w:rsidRPr="00F652D5" w:rsidRDefault="00B35873" w:rsidP="00750BC9">
      <w:pPr>
        <w:pStyle w:val="Para0s"/>
        <w:spacing w:after="0"/>
        <w:rPr>
          <w:rFonts w:ascii="Times New Roman" w:hAnsi="Times New Roman"/>
          <w:szCs w:val="22"/>
          <w:lang w:val="el-GR"/>
        </w:rPr>
      </w:pPr>
    </w:p>
    <w:p w:rsidR="00B35873" w:rsidRPr="005562DE"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Επειδή τα υπάρχοντα στοιχεία από τη χρήση του </w:t>
      </w:r>
      <w:r w:rsidRPr="00F652D5">
        <w:rPr>
          <w:snapToGrid w:val="0"/>
          <w:sz w:val="22"/>
          <w:szCs w:val="22"/>
          <w:lang w:eastAsia="en-US"/>
        </w:rPr>
        <w:t>Fludara</w:t>
      </w:r>
      <w:r w:rsidRPr="00F652D5">
        <w:rPr>
          <w:snapToGrid w:val="0"/>
          <w:sz w:val="22"/>
          <w:szCs w:val="22"/>
          <w:lang w:val="el-GR" w:eastAsia="en-US"/>
        </w:rPr>
        <w:t xml:space="preserve"> σε ηλικιωμένους (&gt;</w:t>
      </w:r>
      <w:r w:rsidR="008940CE" w:rsidRPr="00F652D5">
        <w:rPr>
          <w:snapToGrid w:val="0"/>
          <w:sz w:val="22"/>
          <w:szCs w:val="22"/>
          <w:lang w:val="de-DE"/>
        </w:rPr>
        <w:t> </w:t>
      </w:r>
      <w:r w:rsidRPr="00F652D5">
        <w:rPr>
          <w:snapToGrid w:val="0"/>
          <w:sz w:val="22"/>
          <w:szCs w:val="22"/>
          <w:lang w:val="el-GR" w:eastAsia="en-US"/>
        </w:rPr>
        <w:t>75</w:t>
      </w:r>
      <w:r w:rsidR="008940CE" w:rsidRPr="00F652D5">
        <w:rPr>
          <w:snapToGrid w:val="0"/>
          <w:sz w:val="22"/>
          <w:szCs w:val="22"/>
          <w:lang w:val="de-DE"/>
        </w:rPr>
        <w:t> </w:t>
      </w:r>
      <w:r w:rsidRPr="00F652D5">
        <w:rPr>
          <w:snapToGrid w:val="0"/>
          <w:sz w:val="22"/>
          <w:szCs w:val="22"/>
          <w:lang w:val="el-GR" w:eastAsia="en-US"/>
        </w:rPr>
        <w:t xml:space="preserve">ετών) ασθενείς είναι περιορισμένα, θα πρέπει να δοθεί ιδιαίτερη προσοχή κατά τη χορήγηση του </w:t>
      </w:r>
      <w:r w:rsidRPr="00F652D5">
        <w:rPr>
          <w:snapToGrid w:val="0"/>
          <w:sz w:val="22"/>
          <w:szCs w:val="22"/>
          <w:lang w:eastAsia="en-US"/>
        </w:rPr>
        <w:t>Fludara</w:t>
      </w:r>
      <w:r w:rsidRPr="00F652D5">
        <w:rPr>
          <w:snapToGrid w:val="0"/>
          <w:sz w:val="22"/>
          <w:szCs w:val="22"/>
          <w:lang w:val="el-GR" w:eastAsia="en-US"/>
        </w:rPr>
        <w:t xml:space="preserve"> σε αυτούς τους ασθενείς</w:t>
      </w:r>
      <w:r w:rsidRPr="00F652D5">
        <w:rPr>
          <w:snapToGrid w:val="0"/>
          <w:sz w:val="22"/>
          <w:szCs w:val="22"/>
          <w:lang w:val="el-GR"/>
        </w:rPr>
        <w:t xml:space="preserve"> (βλ. επίσης παράγραφο 4.2)</w:t>
      </w:r>
      <w:r w:rsidR="00BA2D9E">
        <w:rPr>
          <w:snapToGrid w:val="0"/>
          <w:sz w:val="22"/>
          <w:szCs w:val="22"/>
          <w:lang w:val="el-GR" w:eastAsia="en-US"/>
        </w:rPr>
        <w:t>.</w:t>
      </w:r>
    </w:p>
    <w:p w:rsidR="00F44216" w:rsidRPr="005562DE" w:rsidRDefault="00F44216" w:rsidP="00750BC9">
      <w:pPr>
        <w:tabs>
          <w:tab w:val="left" w:pos="567"/>
        </w:tabs>
        <w:rPr>
          <w:snapToGrid w:val="0"/>
          <w:sz w:val="22"/>
          <w:szCs w:val="22"/>
          <w:lang w:val="el-GR" w:eastAsia="en-US"/>
        </w:rPr>
      </w:pPr>
    </w:p>
    <w:p w:rsidR="00F44216" w:rsidRPr="00F44216" w:rsidRDefault="00A1336F" w:rsidP="00750BC9">
      <w:pPr>
        <w:tabs>
          <w:tab w:val="left" w:pos="567"/>
        </w:tabs>
        <w:rPr>
          <w:snapToGrid w:val="0"/>
          <w:sz w:val="22"/>
          <w:szCs w:val="22"/>
          <w:lang w:eastAsia="en-US"/>
        </w:rPr>
      </w:pPr>
      <w:r>
        <w:rPr>
          <w:snapToGrid w:val="0"/>
          <w:sz w:val="22"/>
          <w:szCs w:val="22"/>
          <w:lang w:val="el-GR" w:eastAsia="en-US"/>
        </w:rPr>
        <w:t xml:space="preserve">Η κάθαρση της κρεατινίνης πρέπει να μετράται σε ασθενείς άνω των 65 ετών πριν την έναρξη της θεραπείας, βλ. «Ασθενείς με νεφρική ανεπάρκεια» και παράγραφο 4.2. </w:t>
      </w:r>
    </w:p>
    <w:p w:rsidR="00F00356" w:rsidRDefault="00F00356" w:rsidP="00750BC9">
      <w:pPr>
        <w:tabs>
          <w:tab w:val="left" w:pos="567"/>
        </w:tabs>
        <w:rPr>
          <w:snapToGrid w:val="0"/>
          <w:sz w:val="22"/>
          <w:szCs w:val="22"/>
          <w:lang w:val="el-GR" w:eastAsia="en-US"/>
        </w:rPr>
      </w:pPr>
    </w:p>
    <w:p w:rsidR="00F00356" w:rsidRPr="00F652D5" w:rsidRDefault="00F00356" w:rsidP="00F00356">
      <w:pPr>
        <w:numPr>
          <w:ilvl w:val="0"/>
          <w:numId w:val="9"/>
        </w:numPr>
        <w:tabs>
          <w:tab w:val="clear" w:pos="720"/>
          <w:tab w:val="num" w:pos="426"/>
          <w:tab w:val="left" w:pos="567"/>
        </w:tabs>
        <w:ind w:hanging="720"/>
        <w:rPr>
          <w:snapToGrid w:val="0"/>
          <w:sz w:val="22"/>
          <w:szCs w:val="22"/>
          <w:lang w:val="el-GR" w:eastAsia="en-US"/>
        </w:rPr>
      </w:pPr>
      <w:r>
        <w:rPr>
          <w:snapToGrid w:val="0"/>
          <w:sz w:val="22"/>
          <w:szCs w:val="22"/>
          <w:lang w:val="el-GR" w:eastAsia="en-US"/>
        </w:rPr>
        <w:t>Κύηση</w:t>
      </w:r>
    </w:p>
    <w:p w:rsidR="006A51CE" w:rsidRPr="00F652D5" w:rsidRDefault="006A51CE" w:rsidP="006A51CE">
      <w:pPr>
        <w:tabs>
          <w:tab w:val="left" w:pos="567"/>
        </w:tabs>
        <w:rPr>
          <w:snapToGrid w:val="0"/>
          <w:sz w:val="22"/>
          <w:szCs w:val="22"/>
          <w:lang w:val="el-GR" w:eastAsia="en-US"/>
        </w:rPr>
      </w:pPr>
    </w:p>
    <w:p w:rsidR="00A1336F" w:rsidRPr="00D205EF" w:rsidRDefault="00A1336F" w:rsidP="00A1336F">
      <w:pPr>
        <w:tabs>
          <w:tab w:val="left" w:pos="567"/>
        </w:tabs>
        <w:rPr>
          <w:snapToGrid w:val="0"/>
          <w:sz w:val="22"/>
          <w:szCs w:val="22"/>
          <w:lang w:val="el-GR" w:eastAsia="en-US"/>
        </w:rPr>
      </w:pPr>
      <w:r w:rsidRPr="00750BC9">
        <w:rPr>
          <w:snapToGrid w:val="0"/>
          <w:sz w:val="22"/>
          <w:szCs w:val="22"/>
          <w:lang w:val="el-GR" w:eastAsia="en-US"/>
        </w:rPr>
        <w:t xml:space="preserve">Το </w:t>
      </w:r>
      <w:r w:rsidRPr="00750BC9">
        <w:rPr>
          <w:snapToGrid w:val="0"/>
          <w:sz w:val="22"/>
          <w:szCs w:val="22"/>
          <w:lang w:eastAsia="en-US"/>
        </w:rPr>
        <w:t>Fludara</w:t>
      </w:r>
      <w:r w:rsidRPr="00750BC9">
        <w:rPr>
          <w:snapToGrid w:val="0"/>
          <w:sz w:val="22"/>
          <w:szCs w:val="22"/>
          <w:lang w:val="el-GR" w:eastAsia="en-US"/>
        </w:rPr>
        <w:t xml:space="preserve"> δεν πρέπει να χρησιμοποιείται κατά τη διάρκεια της κύησης </w:t>
      </w:r>
      <w:r w:rsidRPr="00F652D5">
        <w:rPr>
          <w:snapToGrid w:val="0"/>
          <w:sz w:val="22"/>
          <w:szCs w:val="22"/>
          <w:lang w:val="el-GR" w:eastAsia="en-US"/>
        </w:rPr>
        <w:t>εκτός αν είναι απολύτως απαραίτητο (π.χ. απειλητική για τη ζωή</w:t>
      </w:r>
      <w:r w:rsidR="00E71FFD" w:rsidRPr="00F652D5">
        <w:rPr>
          <w:snapToGrid w:val="0"/>
          <w:sz w:val="22"/>
          <w:szCs w:val="22"/>
          <w:lang w:val="el-GR" w:eastAsia="en-US"/>
        </w:rPr>
        <w:t xml:space="preserve"> κατάσταση</w:t>
      </w:r>
      <w:r w:rsidRPr="00F652D5">
        <w:rPr>
          <w:snapToGrid w:val="0"/>
          <w:sz w:val="22"/>
          <w:szCs w:val="22"/>
          <w:lang w:val="el-GR" w:eastAsia="en-US"/>
        </w:rPr>
        <w:t xml:space="preserve">, </w:t>
      </w:r>
      <w:r w:rsidR="00E71FFD">
        <w:rPr>
          <w:snapToGrid w:val="0"/>
          <w:sz w:val="22"/>
          <w:szCs w:val="22"/>
          <w:lang w:val="el-GR" w:eastAsia="en-US"/>
        </w:rPr>
        <w:t>μη-</w:t>
      </w:r>
      <w:r w:rsidRPr="00F652D5">
        <w:rPr>
          <w:snapToGrid w:val="0"/>
          <w:sz w:val="22"/>
          <w:szCs w:val="22"/>
          <w:lang w:val="el-GR" w:eastAsia="en-US"/>
        </w:rPr>
        <w:t xml:space="preserve">διαθέσιμη ασφαλέστερη εναλλακτική θεραπεία χωρίς </w:t>
      </w:r>
      <w:r w:rsidR="00E71FFD">
        <w:rPr>
          <w:snapToGrid w:val="0"/>
          <w:sz w:val="22"/>
          <w:szCs w:val="22"/>
          <w:lang w:val="el-GR" w:eastAsia="en-US"/>
        </w:rPr>
        <w:t>ελάττωση του</w:t>
      </w:r>
      <w:r w:rsidRPr="00F652D5">
        <w:rPr>
          <w:snapToGrid w:val="0"/>
          <w:sz w:val="22"/>
          <w:szCs w:val="22"/>
          <w:lang w:val="el-GR" w:eastAsia="en-US"/>
        </w:rPr>
        <w:t xml:space="preserve"> θεραπευτικ</w:t>
      </w:r>
      <w:r w:rsidR="00E71FFD">
        <w:rPr>
          <w:snapToGrid w:val="0"/>
          <w:sz w:val="22"/>
          <w:szCs w:val="22"/>
          <w:lang w:val="el-GR" w:eastAsia="en-US"/>
        </w:rPr>
        <w:t>ού</w:t>
      </w:r>
      <w:r w:rsidRPr="00F652D5">
        <w:rPr>
          <w:snapToGrid w:val="0"/>
          <w:sz w:val="22"/>
          <w:szCs w:val="22"/>
          <w:lang w:val="el-GR" w:eastAsia="en-US"/>
        </w:rPr>
        <w:t xml:space="preserve"> </w:t>
      </w:r>
      <w:r w:rsidR="00E71FFD">
        <w:rPr>
          <w:snapToGrid w:val="0"/>
          <w:sz w:val="22"/>
          <w:szCs w:val="22"/>
          <w:lang w:val="el-GR" w:eastAsia="en-US"/>
        </w:rPr>
        <w:t>ο</w:t>
      </w:r>
      <w:r w:rsidRPr="00F652D5">
        <w:rPr>
          <w:snapToGrid w:val="0"/>
          <w:sz w:val="22"/>
          <w:szCs w:val="22"/>
          <w:lang w:val="el-GR" w:eastAsia="en-US"/>
        </w:rPr>
        <w:t>φ</w:t>
      </w:r>
      <w:r w:rsidR="00E71FFD">
        <w:rPr>
          <w:snapToGrid w:val="0"/>
          <w:sz w:val="22"/>
          <w:szCs w:val="22"/>
          <w:lang w:val="el-GR" w:eastAsia="en-US"/>
        </w:rPr>
        <w:t>έ</w:t>
      </w:r>
      <w:r w:rsidRPr="00F652D5">
        <w:rPr>
          <w:snapToGrid w:val="0"/>
          <w:sz w:val="22"/>
          <w:szCs w:val="22"/>
          <w:lang w:val="el-GR" w:eastAsia="en-US"/>
        </w:rPr>
        <w:t>λο</w:t>
      </w:r>
      <w:r w:rsidR="00E71FFD">
        <w:rPr>
          <w:snapToGrid w:val="0"/>
          <w:sz w:val="22"/>
          <w:szCs w:val="22"/>
          <w:lang w:val="el-GR" w:eastAsia="en-US"/>
        </w:rPr>
        <w:t>υ</w:t>
      </w:r>
      <w:r w:rsidRPr="00F652D5">
        <w:rPr>
          <w:snapToGrid w:val="0"/>
          <w:sz w:val="22"/>
          <w:szCs w:val="22"/>
          <w:lang w:val="el-GR" w:eastAsia="en-US"/>
        </w:rPr>
        <w:t xml:space="preserve">ς, θεραπεία που δεν μπορεί να αποφευχθεί). Το </w:t>
      </w:r>
      <w:r w:rsidRPr="00F652D5">
        <w:rPr>
          <w:snapToGrid w:val="0"/>
          <w:sz w:val="22"/>
          <w:szCs w:val="22"/>
          <w:lang w:eastAsia="en-US"/>
        </w:rPr>
        <w:t>Fludara</w:t>
      </w:r>
      <w:r w:rsidRPr="00F652D5">
        <w:rPr>
          <w:snapToGrid w:val="0"/>
          <w:sz w:val="22"/>
          <w:szCs w:val="22"/>
          <w:lang w:val="el-GR" w:eastAsia="en-US"/>
        </w:rPr>
        <w:t xml:space="preserve"> μπορεί δυνητικά να προκαλέσει εμβρυϊκή βλάβη (δείτε παραγράφους </w:t>
      </w:r>
      <w:r w:rsidRPr="006D2674">
        <w:rPr>
          <w:snapToGrid w:val="0"/>
          <w:sz w:val="22"/>
          <w:szCs w:val="22"/>
          <w:lang w:val="el-GR" w:eastAsia="en-US"/>
        </w:rPr>
        <w:t xml:space="preserve">4.6 </w:t>
      </w:r>
      <w:r>
        <w:rPr>
          <w:snapToGrid w:val="0"/>
          <w:sz w:val="22"/>
          <w:szCs w:val="22"/>
          <w:lang w:val="el-GR" w:eastAsia="en-US"/>
        </w:rPr>
        <w:t>και 5.3</w:t>
      </w:r>
      <w:r w:rsidRPr="00F652D5">
        <w:rPr>
          <w:snapToGrid w:val="0"/>
          <w:sz w:val="22"/>
          <w:szCs w:val="22"/>
          <w:lang w:val="el-GR" w:eastAsia="en-US"/>
        </w:rPr>
        <w:t>).</w:t>
      </w:r>
      <w:r w:rsidRPr="00750761">
        <w:rPr>
          <w:snapToGrid w:val="0"/>
          <w:sz w:val="22"/>
          <w:szCs w:val="22"/>
          <w:lang w:val="el-GR" w:eastAsia="en-US"/>
        </w:rPr>
        <w:t xml:space="preserve"> </w:t>
      </w:r>
      <w:r w:rsidRPr="00F652D5">
        <w:rPr>
          <w:snapToGrid w:val="0"/>
          <w:sz w:val="22"/>
          <w:szCs w:val="22"/>
          <w:lang w:val="el-GR" w:eastAsia="en-US"/>
        </w:rPr>
        <w:t xml:space="preserve">Οι </w:t>
      </w:r>
      <w:r w:rsidR="00E82A9F">
        <w:rPr>
          <w:snapToGrid w:val="0"/>
          <w:sz w:val="22"/>
          <w:szCs w:val="22"/>
          <w:lang w:val="el-GR" w:eastAsia="en-US"/>
        </w:rPr>
        <w:t>συνταγογραφ</w:t>
      </w:r>
      <w:r w:rsidRPr="00F652D5">
        <w:rPr>
          <w:snapToGrid w:val="0"/>
          <w:sz w:val="22"/>
          <w:szCs w:val="22"/>
          <w:lang w:val="el-GR" w:eastAsia="en-US"/>
        </w:rPr>
        <w:t>ούν</w:t>
      </w:r>
      <w:r>
        <w:rPr>
          <w:snapToGrid w:val="0"/>
          <w:sz w:val="22"/>
          <w:szCs w:val="22"/>
          <w:lang w:val="el-GR" w:eastAsia="en-US"/>
        </w:rPr>
        <w:t xml:space="preserve">τες θα πρέπει να </w:t>
      </w:r>
      <w:r w:rsidR="00E82A9F">
        <w:rPr>
          <w:snapToGrid w:val="0"/>
          <w:sz w:val="22"/>
          <w:szCs w:val="22"/>
          <w:lang w:val="el-GR" w:eastAsia="en-US"/>
        </w:rPr>
        <w:t>εξετάζουν</w:t>
      </w:r>
      <w:r>
        <w:rPr>
          <w:snapToGrid w:val="0"/>
          <w:sz w:val="22"/>
          <w:szCs w:val="22"/>
          <w:lang w:val="el-GR" w:eastAsia="en-US"/>
        </w:rPr>
        <w:t xml:space="preserve"> τη χρήση του </w:t>
      </w:r>
      <w:r>
        <w:rPr>
          <w:snapToGrid w:val="0"/>
          <w:sz w:val="22"/>
          <w:szCs w:val="22"/>
          <w:lang w:eastAsia="en-US"/>
        </w:rPr>
        <w:t>Fludara</w:t>
      </w:r>
      <w:r w:rsidRPr="00380F92">
        <w:rPr>
          <w:snapToGrid w:val="0"/>
          <w:sz w:val="22"/>
          <w:szCs w:val="22"/>
          <w:lang w:val="el-GR" w:eastAsia="en-US"/>
        </w:rPr>
        <w:t>,</w:t>
      </w:r>
      <w:r w:rsidRPr="00F652D5">
        <w:rPr>
          <w:snapToGrid w:val="0"/>
          <w:sz w:val="22"/>
          <w:szCs w:val="22"/>
          <w:lang w:val="el-GR" w:eastAsia="en-US"/>
        </w:rPr>
        <w:t xml:space="preserve"> μόνο αν τα πιθανά οφέλη δικαιολογούν τους πιθανούς κινδύνους για το έμβρυο.</w:t>
      </w:r>
    </w:p>
    <w:p w:rsidR="00A1336F" w:rsidRPr="00BF1145" w:rsidRDefault="00A1336F" w:rsidP="00A1336F">
      <w:pPr>
        <w:tabs>
          <w:tab w:val="left" w:pos="567"/>
        </w:tabs>
        <w:rPr>
          <w:snapToGrid w:val="0"/>
          <w:sz w:val="22"/>
          <w:szCs w:val="22"/>
          <w:lang w:val="el-GR" w:eastAsia="en-US"/>
        </w:rPr>
      </w:pPr>
    </w:p>
    <w:p w:rsidR="00A1336F" w:rsidRDefault="00A1336F" w:rsidP="00A1336F">
      <w:pPr>
        <w:tabs>
          <w:tab w:val="left" w:pos="567"/>
        </w:tabs>
        <w:rPr>
          <w:snapToGrid w:val="0"/>
          <w:sz w:val="22"/>
          <w:szCs w:val="22"/>
          <w:lang w:val="el-GR" w:eastAsia="en-US"/>
        </w:rPr>
      </w:pPr>
      <w:r>
        <w:rPr>
          <w:snapToGrid w:val="0"/>
          <w:sz w:val="22"/>
          <w:szCs w:val="22"/>
          <w:lang w:val="el-GR" w:eastAsia="en-US"/>
        </w:rPr>
        <w:t xml:space="preserve">Οι γυναίκες θα πρέπει να αποφεύγουν να μείνουν έγκυες όσο βρίσκονται σε θεραπεία με </w:t>
      </w:r>
      <w:r>
        <w:rPr>
          <w:snapToGrid w:val="0"/>
          <w:sz w:val="22"/>
          <w:szCs w:val="22"/>
          <w:lang w:eastAsia="en-US"/>
        </w:rPr>
        <w:t>Fludara</w:t>
      </w:r>
      <w:r w:rsidRPr="006D2674">
        <w:rPr>
          <w:snapToGrid w:val="0"/>
          <w:sz w:val="22"/>
          <w:szCs w:val="22"/>
          <w:lang w:val="el-GR" w:eastAsia="en-US"/>
        </w:rPr>
        <w:t>.</w:t>
      </w:r>
    </w:p>
    <w:p w:rsidR="00A1336F" w:rsidRDefault="00A1336F" w:rsidP="00A1336F">
      <w:pPr>
        <w:tabs>
          <w:tab w:val="left" w:pos="567"/>
        </w:tabs>
        <w:rPr>
          <w:snapToGrid w:val="0"/>
          <w:sz w:val="22"/>
          <w:szCs w:val="22"/>
          <w:lang w:val="el-GR" w:eastAsia="en-US"/>
        </w:rPr>
      </w:pPr>
    </w:p>
    <w:p w:rsidR="00523C68" w:rsidRPr="00750BC9" w:rsidRDefault="00A1336F" w:rsidP="00523C68">
      <w:pPr>
        <w:tabs>
          <w:tab w:val="left" w:pos="567"/>
          <w:tab w:val="right" w:pos="9214"/>
        </w:tabs>
        <w:rPr>
          <w:snapToGrid w:val="0"/>
          <w:sz w:val="22"/>
          <w:szCs w:val="22"/>
          <w:lang w:val="el-GR" w:eastAsia="en-US"/>
        </w:rPr>
      </w:pPr>
      <w:r>
        <w:rPr>
          <w:snapToGrid w:val="0"/>
          <w:sz w:val="22"/>
          <w:szCs w:val="22"/>
          <w:lang w:val="el-GR" w:eastAsia="en-US"/>
        </w:rPr>
        <w:t>Οι γυναίκες με δυνατότητα τεκνοποίησης πρέπει να πληροφορούνται για τον πιθανό κίνδυνο για το έμβρυο</w:t>
      </w:r>
    </w:p>
    <w:p w:rsidR="006A51CE" w:rsidRPr="005C7A5E" w:rsidRDefault="006A51CE" w:rsidP="007E08D8">
      <w:pPr>
        <w:pStyle w:val="Bullet0dKT"/>
        <w:numPr>
          <w:ilvl w:val="0"/>
          <w:numId w:val="0"/>
        </w:numPr>
        <w:spacing w:before="0" w:after="0"/>
        <w:rPr>
          <w:rFonts w:ascii="Times New Roman" w:hAnsi="Times New Roman"/>
          <w:szCs w:val="22"/>
          <w:lang w:val="el-GR"/>
        </w:rPr>
      </w:pPr>
    </w:p>
    <w:p w:rsidR="00B35873" w:rsidRPr="00F652D5" w:rsidRDefault="00B35873" w:rsidP="007E08D8">
      <w:pPr>
        <w:pStyle w:val="Bullet0dKT"/>
        <w:numPr>
          <w:ilvl w:val="0"/>
          <w:numId w:val="12"/>
        </w:numPr>
        <w:spacing w:before="0" w:after="0"/>
        <w:rPr>
          <w:rFonts w:ascii="Times New Roman" w:hAnsi="Times New Roman"/>
          <w:szCs w:val="22"/>
          <w:lang w:val="el-GR"/>
        </w:rPr>
      </w:pPr>
      <w:r w:rsidRPr="00F652D5">
        <w:rPr>
          <w:rFonts w:ascii="Times New Roman" w:hAnsi="Times New Roman"/>
          <w:szCs w:val="22"/>
          <w:lang w:val="el-GR"/>
        </w:rPr>
        <w:t>Αντισύλληψη</w:t>
      </w:r>
    </w:p>
    <w:p w:rsidR="008940CE" w:rsidRPr="00F652D5" w:rsidRDefault="008940CE" w:rsidP="008940CE">
      <w:pPr>
        <w:pStyle w:val="Bullet0dKT"/>
        <w:numPr>
          <w:ilvl w:val="0"/>
          <w:numId w:val="0"/>
        </w:numPr>
        <w:spacing w:before="0" w:after="0"/>
        <w:rPr>
          <w:rFonts w:ascii="Times New Roman" w:hAnsi="Times New Roman"/>
          <w:szCs w:val="22"/>
          <w:lang w:val="el-GR"/>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Γυναίκες κατά την αναπαραγωγική ηλικία και οι γόνιμοι άρρενες ασθενείς πρέπει να λαμβάνουν </w:t>
      </w:r>
      <w:r w:rsidR="001355EA" w:rsidRPr="00F652D5">
        <w:rPr>
          <w:snapToGrid w:val="0"/>
          <w:sz w:val="22"/>
          <w:szCs w:val="22"/>
          <w:lang w:val="el-GR" w:eastAsia="en-US"/>
        </w:rPr>
        <w:t xml:space="preserve">αποτελεσματικά </w:t>
      </w:r>
      <w:r w:rsidRPr="00F652D5">
        <w:rPr>
          <w:snapToGrid w:val="0"/>
          <w:sz w:val="22"/>
          <w:szCs w:val="22"/>
          <w:lang w:val="el-GR" w:eastAsia="en-US"/>
        </w:rPr>
        <w:t>αντισυλληπτικά μέτρα κατά τη διάρκεια και τουλάχιστον 6</w:t>
      </w:r>
      <w:r w:rsidR="008940CE" w:rsidRPr="00F652D5">
        <w:rPr>
          <w:snapToGrid w:val="0"/>
          <w:sz w:val="22"/>
          <w:szCs w:val="22"/>
          <w:lang w:val="de-DE" w:eastAsia="en-US"/>
        </w:rPr>
        <w:t> </w:t>
      </w:r>
      <w:r w:rsidRPr="00F652D5">
        <w:rPr>
          <w:snapToGrid w:val="0"/>
          <w:sz w:val="22"/>
          <w:szCs w:val="22"/>
          <w:lang w:val="el-GR" w:eastAsia="en-US"/>
        </w:rPr>
        <w:t>μήνες μετά το τέλος της θεραπείας</w:t>
      </w:r>
      <w:r w:rsidR="001355EA" w:rsidRPr="00F652D5">
        <w:rPr>
          <w:snapToGrid w:val="0"/>
          <w:sz w:val="22"/>
          <w:szCs w:val="22"/>
          <w:lang w:val="el-GR" w:eastAsia="en-US"/>
        </w:rPr>
        <w:t xml:space="preserve"> (δείτε παράγραφο </w:t>
      </w:r>
      <w:r w:rsidR="001F0187" w:rsidRPr="001F0187">
        <w:rPr>
          <w:snapToGrid w:val="0"/>
          <w:sz w:val="22"/>
          <w:szCs w:val="22"/>
          <w:lang w:val="el-GR" w:eastAsia="en-US"/>
        </w:rPr>
        <w:t>4.6</w:t>
      </w:r>
      <w:r w:rsidR="001355EA" w:rsidRPr="00F652D5">
        <w:rPr>
          <w:snapToGrid w:val="0"/>
          <w:sz w:val="22"/>
          <w:szCs w:val="22"/>
          <w:lang w:val="el-GR" w:eastAsia="en-US"/>
        </w:rPr>
        <w:t>)</w:t>
      </w:r>
      <w:r w:rsidRPr="00F652D5">
        <w:rPr>
          <w:snapToGrid w:val="0"/>
          <w:sz w:val="22"/>
          <w:szCs w:val="22"/>
          <w:lang w:val="el-GR" w:eastAsia="en-US"/>
        </w:rPr>
        <w:t>.</w:t>
      </w:r>
    </w:p>
    <w:p w:rsidR="00B35873" w:rsidRPr="00F652D5" w:rsidRDefault="001355EA" w:rsidP="007E08D8">
      <w:pPr>
        <w:pStyle w:val="Bullet0dKT"/>
        <w:numPr>
          <w:ilvl w:val="0"/>
          <w:numId w:val="0"/>
        </w:numPr>
        <w:spacing w:before="0" w:after="0"/>
        <w:rPr>
          <w:rFonts w:ascii="Times New Roman" w:hAnsi="Times New Roman"/>
          <w:szCs w:val="22"/>
          <w:lang w:val="el-GR"/>
        </w:rPr>
      </w:pPr>
      <w:r w:rsidRPr="00F652D5">
        <w:rPr>
          <w:rFonts w:ascii="Times New Roman" w:hAnsi="Times New Roman"/>
          <w:szCs w:val="22"/>
          <w:lang w:val="el-GR"/>
        </w:rPr>
        <w:t xml:space="preserve"> </w:t>
      </w:r>
    </w:p>
    <w:p w:rsidR="00B35873" w:rsidRPr="00F652D5" w:rsidRDefault="00B35873" w:rsidP="00BB3BB5">
      <w:pPr>
        <w:pStyle w:val="Bullet0dKT"/>
        <w:numPr>
          <w:ilvl w:val="0"/>
          <w:numId w:val="13"/>
        </w:numPr>
        <w:tabs>
          <w:tab w:val="clear" w:pos="720"/>
          <w:tab w:val="num" w:pos="426"/>
        </w:tabs>
        <w:spacing w:before="0" w:after="0"/>
        <w:ind w:left="426" w:hanging="426"/>
        <w:rPr>
          <w:rFonts w:ascii="Times New Roman" w:hAnsi="Times New Roman"/>
          <w:szCs w:val="22"/>
          <w:lang w:val="el-GR"/>
        </w:rPr>
      </w:pPr>
      <w:r w:rsidRPr="00F652D5">
        <w:rPr>
          <w:rFonts w:ascii="Times New Roman" w:hAnsi="Times New Roman"/>
          <w:szCs w:val="22"/>
          <w:lang w:val="el-GR"/>
        </w:rPr>
        <w:t>Εμβολιασμός</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Κατά τη διάρκεια και μετά τη θεραπεία με </w:t>
      </w:r>
      <w:r w:rsidRPr="00F652D5">
        <w:rPr>
          <w:snapToGrid w:val="0"/>
          <w:sz w:val="22"/>
          <w:szCs w:val="22"/>
          <w:lang w:eastAsia="en-US"/>
        </w:rPr>
        <w:t>Fludara</w:t>
      </w:r>
      <w:r w:rsidRPr="00F652D5">
        <w:rPr>
          <w:snapToGrid w:val="0"/>
          <w:sz w:val="22"/>
          <w:szCs w:val="22"/>
          <w:lang w:val="el-GR" w:eastAsia="en-US"/>
        </w:rPr>
        <w:t>, πρέπει να αποφεύγεται εμβολιασμός με εμβόλια που περιέχουν ζωντανούς οργανισμούς.</w:t>
      </w:r>
    </w:p>
    <w:p w:rsidR="00B35873" w:rsidRPr="00F652D5" w:rsidRDefault="00B35873" w:rsidP="007E08D8">
      <w:pPr>
        <w:pStyle w:val="Bullet0dKT"/>
        <w:numPr>
          <w:ilvl w:val="0"/>
          <w:numId w:val="0"/>
        </w:numPr>
        <w:spacing w:before="0" w:after="0"/>
        <w:rPr>
          <w:rFonts w:ascii="Times New Roman" w:hAnsi="Times New Roman"/>
          <w:szCs w:val="22"/>
          <w:lang w:val="el-GR"/>
        </w:rPr>
      </w:pPr>
    </w:p>
    <w:p w:rsidR="00B35873" w:rsidRPr="00F652D5" w:rsidRDefault="00B35873" w:rsidP="00BB3BB5">
      <w:pPr>
        <w:pStyle w:val="Bullet0dKT"/>
        <w:numPr>
          <w:ilvl w:val="0"/>
          <w:numId w:val="13"/>
        </w:numPr>
        <w:tabs>
          <w:tab w:val="clear" w:pos="720"/>
          <w:tab w:val="num" w:pos="426"/>
        </w:tabs>
        <w:spacing w:before="0" w:after="0"/>
        <w:ind w:hanging="720"/>
        <w:rPr>
          <w:rFonts w:ascii="Times New Roman" w:hAnsi="Times New Roman"/>
          <w:szCs w:val="22"/>
          <w:lang w:val="el-GR"/>
        </w:rPr>
      </w:pPr>
      <w:r w:rsidRPr="00F652D5">
        <w:rPr>
          <w:rFonts w:ascii="Times New Roman" w:hAnsi="Times New Roman"/>
          <w:szCs w:val="22"/>
          <w:lang w:val="el-GR"/>
        </w:rPr>
        <w:t xml:space="preserve">Επιλογές συνέχισης θεραπείας μετά από αρχική θεραπεία με </w:t>
      </w:r>
      <w:r w:rsidRPr="00F652D5">
        <w:rPr>
          <w:rFonts w:ascii="Times New Roman" w:hAnsi="Times New Roman"/>
          <w:snapToGrid w:val="0"/>
          <w:szCs w:val="22"/>
        </w:rPr>
        <w:t>Fludara</w:t>
      </w:r>
    </w:p>
    <w:p w:rsidR="00B35873" w:rsidRPr="00F652D5" w:rsidRDefault="00B35873" w:rsidP="007E08D8">
      <w:pPr>
        <w:tabs>
          <w:tab w:val="left" w:pos="567"/>
        </w:tabs>
        <w:jc w:val="both"/>
        <w:rPr>
          <w:snapToGrid w:val="0"/>
          <w:sz w:val="22"/>
          <w:szCs w:val="22"/>
          <w:lang w:val="el-GR" w:eastAsia="en-US"/>
        </w:rPr>
      </w:pPr>
    </w:p>
    <w:p w:rsidR="00B35873"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Η </w:t>
      </w:r>
      <w:r w:rsidR="00E82A9F" w:rsidRPr="00F652D5">
        <w:rPr>
          <w:snapToGrid w:val="0"/>
          <w:sz w:val="22"/>
          <w:szCs w:val="22"/>
          <w:lang w:val="el-GR" w:eastAsia="en-US"/>
        </w:rPr>
        <w:t>μετα</w:t>
      </w:r>
      <w:r w:rsidR="00E82A9F">
        <w:rPr>
          <w:snapToGrid w:val="0"/>
          <w:sz w:val="22"/>
          <w:szCs w:val="22"/>
          <w:lang w:val="el-GR" w:eastAsia="en-US"/>
        </w:rPr>
        <w:t>πήδηση</w:t>
      </w:r>
      <w:r w:rsidR="00E82A9F" w:rsidRPr="00F652D5">
        <w:rPr>
          <w:snapToGrid w:val="0"/>
          <w:sz w:val="22"/>
          <w:szCs w:val="22"/>
          <w:lang w:val="el-GR" w:eastAsia="en-US"/>
        </w:rPr>
        <w:t xml:space="preserve"> </w:t>
      </w:r>
      <w:r w:rsidRPr="00F652D5">
        <w:rPr>
          <w:snapToGrid w:val="0"/>
          <w:sz w:val="22"/>
          <w:szCs w:val="22"/>
          <w:lang w:val="el-GR" w:eastAsia="en-US"/>
        </w:rPr>
        <w:t xml:space="preserve">των ασθενών που δεν ανταποκρίνονται στην αρχική θεραπεία με </w:t>
      </w:r>
      <w:r w:rsidRPr="00F652D5">
        <w:rPr>
          <w:snapToGrid w:val="0"/>
          <w:sz w:val="22"/>
          <w:szCs w:val="22"/>
          <w:lang w:eastAsia="en-US"/>
        </w:rPr>
        <w:t>Fludara</w:t>
      </w:r>
      <w:r w:rsidRPr="00F652D5">
        <w:rPr>
          <w:snapToGrid w:val="0"/>
          <w:sz w:val="22"/>
          <w:szCs w:val="22"/>
          <w:lang w:val="el-GR" w:eastAsia="en-US"/>
        </w:rPr>
        <w:t xml:space="preserve"> σε θεραπεία με χλωραμβουκίλη πρέπει να αποφεύγεται, διότι οι περισσότεροι ασθενείς που κατέστησαν ανθεκτικοί στο </w:t>
      </w:r>
      <w:r w:rsidRPr="00F652D5">
        <w:rPr>
          <w:snapToGrid w:val="0"/>
          <w:sz w:val="22"/>
          <w:szCs w:val="22"/>
          <w:lang w:eastAsia="en-US"/>
        </w:rPr>
        <w:t>Fludara</w:t>
      </w:r>
      <w:r w:rsidRPr="00F652D5">
        <w:rPr>
          <w:snapToGrid w:val="0"/>
          <w:sz w:val="22"/>
          <w:szCs w:val="22"/>
          <w:lang w:val="el-GR" w:eastAsia="en-US"/>
        </w:rPr>
        <w:t xml:space="preserve"> έχουν δείξει ανθεκτικότητα και στη χλωραμβουκίλη.</w:t>
      </w:r>
    </w:p>
    <w:p w:rsidR="00A1336F" w:rsidRPr="00F652D5" w:rsidRDefault="00A1336F" w:rsidP="00750BC9">
      <w:pPr>
        <w:tabs>
          <w:tab w:val="left" w:pos="567"/>
        </w:tabs>
        <w:rPr>
          <w:snapToGrid w:val="0"/>
          <w:sz w:val="22"/>
          <w:szCs w:val="22"/>
          <w:lang w:val="el-GR" w:eastAsia="en-US"/>
        </w:rPr>
      </w:pPr>
    </w:p>
    <w:p w:rsidR="00A1336F" w:rsidRDefault="00A1336F" w:rsidP="006A45B9">
      <w:pPr>
        <w:pStyle w:val="Para0s"/>
        <w:numPr>
          <w:ilvl w:val="0"/>
          <w:numId w:val="9"/>
        </w:numPr>
        <w:tabs>
          <w:tab w:val="clear" w:pos="720"/>
          <w:tab w:val="num" w:pos="426"/>
        </w:tabs>
        <w:spacing w:after="0"/>
        <w:ind w:left="567" w:hanging="567"/>
        <w:rPr>
          <w:rFonts w:ascii="Times New Roman" w:hAnsi="Times New Roman"/>
          <w:snapToGrid w:val="0"/>
          <w:szCs w:val="22"/>
          <w:lang w:val="el-GR" w:eastAsia="en-US"/>
        </w:rPr>
      </w:pPr>
      <w:r>
        <w:rPr>
          <w:rFonts w:ascii="Times New Roman" w:hAnsi="Times New Roman"/>
          <w:snapToGrid w:val="0"/>
          <w:szCs w:val="22"/>
          <w:lang w:val="el-GR" w:eastAsia="en-US"/>
        </w:rPr>
        <w:t>Έκδοχα</w:t>
      </w:r>
    </w:p>
    <w:p w:rsidR="00A1336F" w:rsidRDefault="00A1336F" w:rsidP="00A1336F">
      <w:pPr>
        <w:pStyle w:val="Para0s"/>
        <w:spacing w:after="0"/>
        <w:rPr>
          <w:rFonts w:ascii="Times New Roman" w:hAnsi="Times New Roman"/>
          <w:snapToGrid w:val="0"/>
          <w:szCs w:val="22"/>
          <w:lang w:val="el-GR" w:eastAsia="en-US"/>
        </w:rPr>
      </w:pPr>
      <w:r>
        <w:rPr>
          <w:rFonts w:ascii="Times New Roman" w:hAnsi="Times New Roman"/>
          <w:snapToGrid w:val="0"/>
          <w:szCs w:val="22"/>
          <w:lang w:val="el-GR" w:eastAsia="en-US"/>
        </w:rPr>
        <w:t xml:space="preserve"> Κάθε φιαλίδιο με </w:t>
      </w:r>
      <w:r>
        <w:rPr>
          <w:rFonts w:ascii="Times New Roman" w:hAnsi="Times New Roman"/>
          <w:snapToGrid w:val="0"/>
          <w:szCs w:val="22"/>
          <w:lang w:eastAsia="en-US"/>
        </w:rPr>
        <w:t>Fludara</w:t>
      </w:r>
      <w:r>
        <w:rPr>
          <w:rFonts w:ascii="Times New Roman" w:hAnsi="Times New Roman"/>
          <w:snapToGrid w:val="0"/>
          <w:szCs w:val="22"/>
          <w:lang w:val="el-GR" w:eastAsia="en-US"/>
        </w:rPr>
        <w:t xml:space="preserve"> 50</w:t>
      </w:r>
      <w:r w:rsidRPr="00750761">
        <w:rPr>
          <w:rFonts w:ascii="Times New Roman" w:hAnsi="Times New Roman"/>
          <w:snapToGrid w:val="0"/>
          <w:szCs w:val="22"/>
          <w:lang w:val="el-GR" w:eastAsia="en-US"/>
        </w:rPr>
        <w:t xml:space="preserve"> </w:t>
      </w:r>
      <w:r>
        <w:rPr>
          <w:rFonts w:ascii="Times New Roman" w:hAnsi="Times New Roman"/>
          <w:snapToGrid w:val="0"/>
          <w:szCs w:val="22"/>
          <w:lang w:eastAsia="en-US"/>
        </w:rPr>
        <w:t>mg</w:t>
      </w:r>
      <w:r w:rsidRPr="00750761">
        <w:rPr>
          <w:rFonts w:ascii="Times New Roman" w:hAnsi="Times New Roman"/>
          <w:snapToGrid w:val="0"/>
          <w:szCs w:val="22"/>
          <w:lang w:val="el-GR" w:eastAsia="en-US"/>
        </w:rPr>
        <w:t xml:space="preserve"> </w:t>
      </w:r>
      <w:r>
        <w:rPr>
          <w:rFonts w:ascii="Times New Roman" w:hAnsi="Times New Roman"/>
          <w:snapToGrid w:val="0"/>
          <w:szCs w:val="22"/>
          <w:lang w:val="el-GR" w:eastAsia="en-US"/>
        </w:rPr>
        <w:t xml:space="preserve">κόνις για παρασκευή διαλύματος για ένεση/έγχυση </w:t>
      </w:r>
    </w:p>
    <w:p w:rsidR="00A1336F" w:rsidRDefault="00A1336F" w:rsidP="00A1336F">
      <w:pPr>
        <w:pStyle w:val="Para0s"/>
        <w:spacing w:after="0"/>
        <w:rPr>
          <w:rFonts w:ascii="Times New Roman" w:hAnsi="Times New Roman"/>
          <w:snapToGrid w:val="0"/>
          <w:szCs w:val="22"/>
          <w:lang w:val="el-GR" w:eastAsia="en-US"/>
        </w:rPr>
      </w:pPr>
      <w:r>
        <w:rPr>
          <w:rFonts w:ascii="Times New Roman" w:hAnsi="Times New Roman"/>
          <w:snapToGrid w:val="0"/>
          <w:szCs w:val="22"/>
          <w:lang w:val="el-GR" w:eastAsia="en-US"/>
        </w:rPr>
        <w:t xml:space="preserve"> περιέχει λιγότερο από 1 </w:t>
      </w:r>
      <w:r>
        <w:rPr>
          <w:rFonts w:ascii="Times New Roman" w:hAnsi="Times New Roman"/>
          <w:snapToGrid w:val="0"/>
          <w:szCs w:val="22"/>
          <w:lang w:eastAsia="en-US"/>
        </w:rPr>
        <w:t>mmol</w:t>
      </w:r>
      <w:r w:rsidRPr="00750761">
        <w:rPr>
          <w:rFonts w:ascii="Times New Roman" w:hAnsi="Times New Roman"/>
          <w:snapToGrid w:val="0"/>
          <w:szCs w:val="22"/>
          <w:lang w:val="el-GR" w:eastAsia="en-US"/>
        </w:rPr>
        <w:t xml:space="preserve"> </w:t>
      </w:r>
      <w:r>
        <w:rPr>
          <w:rFonts w:ascii="Times New Roman" w:hAnsi="Times New Roman"/>
          <w:snapToGrid w:val="0"/>
          <w:szCs w:val="22"/>
          <w:lang w:val="el-GR" w:eastAsia="en-US"/>
        </w:rPr>
        <w:t xml:space="preserve">νατρίου (23 </w:t>
      </w:r>
      <w:r>
        <w:rPr>
          <w:rFonts w:ascii="Times New Roman" w:hAnsi="Times New Roman"/>
          <w:snapToGrid w:val="0"/>
          <w:szCs w:val="22"/>
          <w:lang w:eastAsia="en-US"/>
        </w:rPr>
        <w:t>mg</w:t>
      </w:r>
      <w:r w:rsidRPr="00750761">
        <w:rPr>
          <w:rFonts w:ascii="Times New Roman" w:hAnsi="Times New Roman"/>
          <w:snapToGrid w:val="0"/>
          <w:szCs w:val="22"/>
          <w:lang w:val="el-GR" w:eastAsia="en-US"/>
        </w:rPr>
        <w:t xml:space="preserve">), </w:t>
      </w:r>
      <w:r>
        <w:rPr>
          <w:rFonts w:ascii="Times New Roman" w:hAnsi="Times New Roman"/>
          <w:snapToGrid w:val="0"/>
          <w:szCs w:val="22"/>
          <w:lang w:val="el-GR" w:eastAsia="en-US"/>
        </w:rPr>
        <w:t xml:space="preserve">ουσιαστικά δηλαδή είναι «ελεύθερο νατρίου». </w:t>
      </w:r>
    </w:p>
    <w:p w:rsidR="005562DE" w:rsidRPr="00BF1145" w:rsidRDefault="005562DE"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4.5</w:t>
      </w:r>
      <w:r w:rsidRPr="00F652D5">
        <w:rPr>
          <w:b/>
          <w:snapToGrid w:val="0"/>
          <w:sz w:val="22"/>
          <w:szCs w:val="22"/>
          <w:lang w:val="el-GR" w:eastAsia="en-US"/>
        </w:rPr>
        <w:tab/>
        <w:t>Αλληλεπιδράσεις με άλλα φαρμακευτικά προϊόντα και άλλες μορφές αλληλεπίδρασης</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50BC9">
      <w:pPr>
        <w:pStyle w:val="30"/>
        <w:spacing w:line="240" w:lineRule="auto"/>
        <w:ind w:left="0"/>
        <w:jc w:val="left"/>
        <w:rPr>
          <w:rFonts w:ascii="Times New Roman" w:hAnsi="Times New Roman"/>
          <w:snapToGrid w:val="0"/>
          <w:sz w:val="22"/>
          <w:szCs w:val="22"/>
          <w:lang w:val="el-GR" w:eastAsia="en-US"/>
        </w:rPr>
      </w:pPr>
      <w:r w:rsidRPr="00F652D5">
        <w:rPr>
          <w:rFonts w:ascii="Times New Roman" w:hAnsi="Times New Roman"/>
          <w:snapToGrid w:val="0"/>
          <w:sz w:val="22"/>
          <w:szCs w:val="22"/>
          <w:lang w:val="el-GR" w:eastAsia="en-US"/>
        </w:rPr>
        <w:t xml:space="preserve">Σε μία κλινική μελέτη στην οποία χορηγήθηκε ενδοφλέβια </w:t>
      </w:r>
      <w:r w:rsidRPr="00F652D5">
        <w:rPr>
          <w:rFonts w:ascii="Times New Roman" w:hAnsi="Times New Roman"/>
          <w:snapToGrid w:val="0"/>
          <w:sz w:val="22"/>
          <w:szCs w:val="22"/>
          <w:lang w:eastAsia="en-US"/>
        </w:rPr>
        <w:t>Fludara</w:t>
      </w:r>
      <w:r w:rsidRPr="00F652D5">
        <w:rPr>
          <w:rFonts w:ascii="Times New Roman" w:hAnsi="Times New Roman"/>
          <w:snapToGrid w:val="0"/>
          <w:sz w:val="22"/>
          <w:szCs w:val="22"/>
          <w:lang w:val="el-GR" w:eastAsia="en-US"/>
        </w:rPr>
        <w:t xml:space="preserve"> σε συνδυασμό με πεντοστατίνη (</w:t>
      </w:r>
      <w:r w:rsidRPr="00F652D5">
        <w:rPr>
          <w:rFonts w:ascii="Times New Roman" w:hAnsi="Times New Roman"/>
          <w:snapToGrid w:val="0"/>
          <w:sz w:val="22"/>
          <w:szCs w:val="22"/>
          <w:lang w:eastAsia="en-US"/>
        </w:rPr>
        <w:t>deoxycoformycin</w:t>
      </w:r>
      <w:r w:rsidRPr="00F652D5">
        <w:rPr>
          <w:rFonts w:ascii="Times New Roman" w:hAnsi="Times New Roman"/>
          <w:snapToGrid w:val="0"/>
          <w:sz w:val="22"/>
          <w:szCs w:val="22"/>
          <w:lang w:val="el-GR" w:eastAsia="en-US"/>
        </w:rPr>
        <w:t>) για τη θεραπεία ανθεκτικής χρόνιας λεμφοκυτταρικής λευχαιμίας (</w:t>
      </w:r>
      <w:smartTag w:uri="urn:schemas-microsoft-com:office:smarttags" w:element="stockticker">
        <w:r w:rsidRPr="00F652D5">
          <w:rPr>
            <w:rFonts w:ascii="Times New Roman" w:hAnsi="Times New Roman"/>
            <w:snapToGrid w:val="0"/>
            <w:sz w:val="22"/>
            <w:szCs w:val="22"/>
            <w:lang w:eastAsia="en-US"/>
          </w:rPr>
          <w:t>CLL</w:t>
        </w:r>
      </w:smartTag>
      <w:r w:rsidRPr="00F652D5">
        <w:rPr>
          <w:rFonts w:ascii="Times New Roman" w:hAnsi="Times New Roman"/>
          <w:snapToGrid w:val="0"/>
          <w:sz w:val="22"/>
          <w:szCs w:val="22"/>
          <w:lang w:val="el-GR" w:eastAsia="en-US"/>
        </w:rPr>
        <w:t xml:space="preserve">), παρατηρήθηκε απαράδεκτα υψηλή συχνότητα εμφανίσεως θανατηφόρας πνευμονικής τοξικότητας. Κατά συνέπεια, δεν συνιστάται η χορήγηση του </w:t>
      </w:r>
      <w:r w:rsidRPr="00F652D5">
        <w:rPr>
          <w:rFonts w:ascii="Times New Roman" w:hAnsi="Times New Roman"/>
          <w:snapToGrid w:val="0"/>
          <w:sz w:val="22"/>
          <w:szCs w:val="22"/>
          <w:lang w:eastAsia="en-US"/>
        </w:rPr>
        <w:t>Fludara</w:t>
      </w:r>
      <w:r w:rsidRPr="00F652D5">
        <w:rPr>
          <w:rFonts w:ascii="Times New Roman" w:hAnsi="Times New Roman"/>
          <w:snapToGrid w:val="0"/>
          <w:sz w:val="22"/>
          <w:szCs w:val="22"/>
          <w:lang w:val="el-GR" w:eastAsia="en-US"/>
        </w:rPr>
        <w:t xml:space="preserve"> σε συνδυασμό με πεντοστατίνη.</w:t>
      </w:r>
    </w:p>
    <w:p w:rsidR="00B35873" w:rsidRPr="00F652D5" w:rsidRDefault="00B35873" w:rsidP="00750BC9">
      <w:pPr>
        <w:pStyle w:val="30"/>
        <w:spacing w:line="240" w:lineRule="auto"/>
        <w:ind w:left="0"/>
        <w:jc w:val="left"/>
        <w:rPr>
          <w:rFonts w:ascii="Times New Roman" w:hAnsi="Times New Roman"/>
          <w:snapToGrid w:val="0"/>
          <w:sz w:val="22"/>
          <w:szCs w:val="22"/>
          <w:lang w:val="el-GR" w:eastAsia="en-US"/>
        </w:rPr>
      </w:pPr>
    </w:p>
    <w:p w:rsidR="00B35873" w:rsidRDefault="00B35873" w:rsidP="00750BC9">
      <w:pPr>
        <w:pStyle w:val="a7"/>
        <w:spacing w:before="0" w:line="240" w:lineRule="auto"/>
        <w:jc w:val="left"/>
        <w:rPr>
          <w:rFonts w:ascii="Times New Roman" w:hAnsi="Times New Roman"/>
          <w:szCs w:val="22"/>
          <w:lang w:val="el-GR"/>
        </w:rPr>
      </w:pPr>
      <w:r w:rsidRPr="00F652D5">
        <w:rPr>
          <w:rFonts w:ascii="Times New Roman" w:hAnsi="Times New Roman"/>
          <w:iCs/>
          <w:szCs w:val="22"/>
          <w:lang w:val="el-GR"/>
        </w:rPr>
        <w:t xml:space="preserve">Η διπυριδαμόλη και άλλοι αναστολείς της πρόσληψης αδενοσίνης ενδέχεται να μειώσουν τη θεραπευτική αποτελεσματικότητα του </w:t>
      </w:r>
      <w:r w:rsidRPr="00F652D5">
        <w:rPr>
          <w:rFonts w:ascii="Times New Roman" w:hAnsi="Times New Roman"/>
          <w:iCs/>
          <w:szCs w:val="22"/>
        </w:rPr>
        <w:t>Fludara</w:t>
      </w:r>
      <w:r w:rsidRPr="00F652D5">
        <w:rPr>
          <w:rFonts w:ascii="Times New Roman" w:hAnsi="Times New Roman"/>
          <w:iCs/>
          <w:szCs w:val="22"/>
          <w:lang w:val="el-GR"/>
        </w:rPr>
        <w:t>.</w:t>
      </w:r>
    </w:p>
    <w:p w:rsidR="002E6100" w:rsidRPr="00F652D5" w:rsidRDefault="002E6100" w:rsidP="00750BC9">
      <w:pPr>
        <w:pStyle w:val="a7"/>
        <w:spacing w:before="0" w:line="240" w:lineRule="auto"/>
        <w:jc w:val="left"/>
        <w:rPr>
          <w:rFonts w:ascii="Times New Roman" w:hAnsi="Times New Roman"/>
          <w:szCs w:val="22"/>
          <w:lang w:val="el-GR"/>
        </w:rPr>
      </w:pPr>
    </w:p>
    <w:p w:rsidR="00B35873" w:rsidRPr="00F652D5" w:rsidRDefault="00B35873" w:rsidP="00750BC9">
      <w:pPr>
        <w:rPr>
          <w:sz w:val="22"/>
          <w:szCs w:val="22"/>
          <w:lang w:val="el-GR"/>
        </w:rPr>
      </w:pPr>
      <w:r w:rsidRPr="00F652D5">
        <w:rPr>
          <w:snapToGrid w:val="0"/>
          <w:sz w:val="22"/>
          <w:szCs w:val="22"/>
          <w:lang w:val="el-GR"/>
        </w:rPr>
        <w:t xml:space="preserve">Κλινικές μελέτες και πειράματα </w:t>
      </w:r>
      <w:r w:rsidRPr="00F652D5">
        <w:rPr>
          <w:snapToGrid w:val="0"/>
          <w:sz w:val="22"/>
          <w:szCs w:val="22"/>
        </w:rPr>
        <w:t>in</w:t>
      </w:r>
      <w:r w:rsidRPr="00F652D5">
        <w:rPr>
          <w:snapToGrid w:val="0"/>
          <w:sz w:val="22"/>
          <w:szCs w:val="22"/>
          <w:lang w:val="el-GR"/>
        </w:rPr>
        <w:t xml:space="preserve"> </w:t>
      </w:r>
      <w:r w:rsidRPr="00F652D5">
        <w:rPr>
          <w:snapToGrid w:val="0"/>
          <w:sz w:val="22"/>
          <w:szCs w:val="22"/>
        </w:rPr>
        <w:t>vitro</w:t>
      </w:r>
      <w:r w:rsidRPr="00F652D5">
        <w:rPr>
          <w:snapToGrid w:val="0"/>
          <w:sz w:val="22"/>
          <w:szCs w:val="22"/>
          <w:lang w:val="el-GR"/>
        </w:rPr>
        <w:t xml:space="preserve"> κατέδειξαν ότι, </w:t>
      </w:r>
      <w:r w:rsidRPr="00F652D5">
        <w:rPr>
          <w:i/>
          <w:iCs/>
          <w:snapToGrid w:val="0"/>
          <w:sz w:val="22"/>
          <w:szCs w:val="22"/>
          <w:lang w:val="el-GR"/>
        </w:rPr>
        <w:t>κατά τη διάρκεια</w:t>
      </w:r>
      <w:r w:rsidRPr="00F652D5">
        <w:rPr>
          <w:snapToGrid w:val="0"/>
          <w:sz w:val="22"/>
          <w:szCs w:val="22"/>
          <w:lang w:val="el-GR"/>
        </w:rPr>
        <w:t xml:space="preserve"> της χρήσης του </w:t>
      </w:r>
      <w:r w:rsidRPr="00F652D5">
        <w:rPr>
          <w:snapToGrid w:val="0"/>
          <w:sz w:val="22"/>
          <w:szCs w:val="22"/>
        </w:rPr>
        <w:t>Fludara</w:t>
      </w:r>
      <w:r w:rsidRPr="00F652D5">
        <w:rPr>
          <w:i/>
          <w:iCs/>
          <w:snapToGrid w:val="0"/>
          <w:sz w:val="22"/>
          <w:szCs w:val="22"/>
          <w:lang w:val="el-GR"/>
        </w:rPr>
        <w:t xml:space="preserve"> </w:t>
      </w:r>
      <w:r w:rsidRPr="00F652D5">
        <w:rPr>
          <w:snapToGrid w:val="0"/>
          <w:sz w:val="22"/>
          <w:szCs w:val="22"/>
          <w:lang w:val="el-GR"/>
        </w:rPr>
        <w:t xml:space="preserve">σε συνδυασμό με κυταραμπίνη, η </w:t>
      </w:r>
      <w:r w:rsidR="00ED1A06">
        <w:rPr>
          <w:snapToGrid w:val="0"/>
          <w:sz w:val="22"/>
          <w:szCs w:val="22"/>
          <w:lang w:val="el-GR"/>
        </w:rPr>
        <w:t xml:space="preserve">μέγιστη </w:t>
      </w:r>
      <w:r w:rsidRPr="00F652D5">
        <w:rPr>
          <w:snapToGrid w:val="0"/>
          <w:sz w:val="22"/>
          <w:szCs w:val="22"/>
          <w:lang w:val="el-GR"/>
        </w:rPr>
        <w:t xml:space="preserve">ενδοκυτταρική συγκέντρωση  και η ενδοκυτταρική έκθεση </w:t>
      </w:r>
      <w:r w:rsidR="00ED1A06">
        <w:rPr>
          <w:snapToGrid w:val="0"/>
          <w:sz w:val="22"/>
          <w:szCs w:val="22"/>
          <w:lang w:val="el-GR"/>
        </w:rPr>
        <w:t>σ</w:t>
      </w:r>
      <w:r w:rsidRPr="00F652D5">
        <w:rPr>
          <w:snapToGrid w:val="0"/>
          <w:sz w:val="22"/>
          <w:szCs w:val="22"/>
          <w:lang w:val="el-GR"/>
        </w:rPr>
        <w:t>τη</w:t>
      </w:r>
      <w:r w:rsidR="00ED1A06">
        <w:rPr>
          <w:snapToGrid w:val="0"/>
          <w:sz w:val="22"/>
          <w:szCs w:val="22"/>
          <w:lang w:val="el-GR"/>
        </w:rPr>
        <w:t>ν</w:t>
      </w:r>
      <w:r w:rsidRPr="00F652D5">
        <w:rPr>
          <w:snapToGrid w:val="0"/>
          <w:sz w:val="22"/>
          <w:szCs w:val="22"/>
          <w:lang w:val="el-GR"/>
        </w:rPr>
        <w:t xml:space="preserve"> </w:t>
      </w:r>
      <w:r w:rsidRPr="00F652D5">
        <w:rPr>
          <w:snapToGrid w:val="0"/>
          <w:sz w:val="22"/>
          <w:szCs w:val="22"/>
        </w:rPr>
        <w:t>Ara</w:t>
      </w:r>
      <w:r w:rsidRPr="00F652D5">
        <w:rPr>
          <w:snapToGrid w:val="0"/>
          <w:sz w:val="22"/>
          <w:szCs w:val="22"/>
          <w:lang w:val="el-GR"/>
        </w:rPr>
        <w:t>-</w:t>
      </w:r>
      <w:r w:rsidRPr="00F652D5">
        <w:rPr>
          <w:snapToGrid w:val="0"/>
          <w:sz w:val="22"/>
          <w:szCs w:val="22"/>
        </w:rPr>
        <w:t>CTP</w:t>
      </w:r>
      <w:r w:rsidRPr="00F652D5">
        <w:rPr>
          <w:snapToGrid w:val="0"/>
          <w:sz w:val="22"/>
          <w:szCs w:val="22"/>
          <w:lang w:val="el-GR"/>
        </w:rPr>
        <w:t xml:space="preserve"> (ενεργός μεταβολίτης της κυταραμπίνης) </w:t>
      </w:r>
      <w:r w:rsidRPr="00F652D5">
        <w:rPr>
          <w:i/>
          <w:iCs/>
          <w:snapToGrid w:val="0"/>
          <w:sz w:val="22"/>
          <w:szCs w:val="22"/>
          <w:lang w:val="el-GR"/>
        </w:rPr>
        <w:t>αυξήθηκε</w:t>
      </w:r>
      <w:r w:rsidRPr="00F652D5">
        <w:rPr>
          <w:snapToGrid w:val="0"/>
          <w:sz w:val="22"/>
          <w:szCs w:val="22"/>
          <w:lang w:val="el-GR"/>
        </w:rPr>
        <w:t xml:space="preserve"> σε λευχαιμικά κύτταρα. Οι συγκεντρώσεις της Α</w:t>
      </w:r>
      <w:r w:rsidRPr="00F652D5">
        <w:rPr>
          <w:snapToGrid w:val="0"/>
          <w:sz w:val="22"/>
          <w:szCs w:val="22"/>
        </w:rPr>
        <w:t>ra</w:t>
      </w:r>
      <w:r w:rsidRPr="00F652D5">
        <w:rPr>
          <w:snapToGrid w:val="0"/>
          <w:sz w:val="22"/>
          <w:szCs w:val="22"/>
          <w:lang w:val="el-GR"/>
        </w:rPr>
        <w:t>-</w:t>
      </w:r>
      <w:r w:rsidRPr="00F652D5">
        <w:rPr>
          <w:snapToGrid w:val="0"/>
          <w:sz w:val="22"/>
          <w:szCs w:val="22"/>
        </w:rPr>
        <w:t>C</w:t>
      </w:r>
      <w:r w:rsidRPr="00F652D5">
        <w:rPr>
          <w:snapToGrid w:val="0"/>
          <w:sz w:val="22"/>
          <w:szCs w:val="22"/>
          <w:lang w:val="el-GR"/>
        </w:rPr>
        <w:t xml:space="preserve"> και ο ρυθμός απέκκρισης της Α</w:t>
      </w:r>
      <w:r w:rsidRPr="00F652D5">
        <w:rPr>
          <w:snapToGrid w:val="0"/>
          <w:sz w:val="22"/>
          <w:szCs w:val="22"/>
        </w:rPr>
        <w:t>ra</w:t>
      </w:r>
      <w:r w:rsidRPr="00F652D5">
        <w:rPr>
          <w:snapToGrid w:val="0"/>
          <w:sz w:val="22"/>
          <w:szCs w:val="22"/>
          <w:lang w:val="el-GR"/>
        </w:rPr>
        <w:t>-</w:t>
      </w:r>
      <w:r w:rsidRPr="00F652D5">
        <w:rPr>
          <w:snapToGrid w:val="0"/>
          <w:sz w:val="22"/>
          <w:szCs w:val="22"/>
        </w:rPr>
        <w:t>C</w:t>
      </w:r>
      <w:r w:rsidRPr="00F652D5">
        <w:rPr>
          <w:snapToGrid w:val="0"/>
          <w:sz w:val="22"/>
          <w:szCs w:val="22"/>
          <w:lang w:val="el-GR"/>
        </w:rPr>
        <w:t>ΤΡ δεν επηρεάστηκαν.</w:t>
      </w:r>
    </w:p>
    <w:p w:rsidR="00B35873" w:rsidRPr="00F652D5" w:rsidRDefault="00B35873" w:rsidP="007E08D8">
      <w:pPr>
        <w:tabs>
          <w:tab w:val="left" w:pos="567"/>
        </w:tabs>
        <w:jc w:val="both"/>
        <w:rPr>
          <w:sz w:val="22"/>
          <w:szCs w:val="22"/>
          <w:lang w:val="el-GR"/>
        </w:rPr>
      </w:pPr>
    </w:p>
    <w:p w:rsidR="008964EA" w:rsidRPr="006D2674" w:rsidRDefault="008964EA" w:rsidP="008964EA">
      <w:pPr>
        <w:tabs>
          <w:tab w:val="left" w:pos="567"/>
        </w:tabs>
        <w:jc w:val="both"/>
        <w:rPr>
          <w:b/>
          <w:snapToGrid w:val="0"/>
          <w:sz w:val="22"/>
          <w:szCs w:val="22"/>
          <w:lang w:val="el-GR" w:eastAsia="en-US"/>
        </w:rPr>
      </w:pPr>
      <w:r w:rsidRPr="00F652D5">
        <w:rPr>
          <w:b/>
          <w:snapToGrid w:val="0"/>
          <w:sz w:val="22"/>
          <w:szCs w:val="22"/>
          <w:lang w:val="el-GR" w:eastAsia="en-US"/>
        </w:rPr>
        <w:t>4.6</w:t>
      </w:r>
      <w:r w:rsidRPr="00F652D5">
        <w:rPr>
          <w:b/>
          <w:snapToGrid w:val="0"/>
          <w:sz w:val="22"/>
          <w:szCs w:val="22"/>
          <w:lang w:val="el-GR" w:eastAsia="en-US"/>
        </w:rPr>
        <w:tab/>
      </w:r>
      <w:r w:rsidR="004A7003">
        <w:rPr>
          <w:b/>
          <w:snapToGrid w:val="0"/>
          <w:sz w:val="22"/>
          <w:szCs w:val="22"/>
          <w:lang w:val="el-GR" w:eastAsia="en-US"/>
        </w:rPr>
        <w:t>Γονιμότητα</w:t>
      </w:r>
      <w:r>
        <w:rPr>
          <w:b/>
          <w:snapToGrid w:val="0"/>
          <w:sz w:val="22"/>
          <w:szCs w:val="22"/>
          <w:lang w:val="el-GR" w:eastAsia="en-US"/>
        </w:rPr>
        <w:t>, κ</w:t>
      </w:r>
      <w:r w:rsidRPr="00F652D5">
        <w:rPr>
          <w:b/>
          <w:snapToGrid w:val="0"/>
          <w:sz w:val="22"/>
          <w:szCs w:val="22"/>
          <w:lang w:val="el-GR" w:eastAsia="en-US"/>
        </w:rPr>
        <w:t xml:space="preserve">ύηση </w:t>
      </w:r>
      <w:r>
        <w:rPr>
          <w:b/>
          <w:snapToGrid w:val="0"/>
          <w:sz w:val="22"/>
          <w:szCs w:val="22"/>
          <w:lang w:val="el-GR" w:eastAsia="en-US"/>
        </w:rPr>
        <w:t>και γαλουχία</w:t>
      </w:r>
    </w:p>
    <w:p w:rsidR="008964EA" w:rsidRDefault="008964EA" w:rsidP="008964EA">
      <w:pPr>
        <w:tabs>
          <w:tab w:val="left" w:pos="567"/>
        </w:tabs>
        <w:jc w:val="both"/>
        <w:rPr>
          <w:b/>
          <w:snapToGrid w:val="0"/>
          <w:sz w:val="22"/>
          <w:szCs w:val="22"/>
          <w:lang w:val="el-GR" w:eastAsia="en-US"/>
        </w:rPr>
      </w:pPr>
    </w:p>
    <w:p w:rsidR="008964EA" w:rsidRDefault="004A7003" w:rsidP="008964EA">
      <w:pPr>
        <w:numPr>
          <w:ilvl w:val="0"/>
          <w:numId w:val="30"/>
        </w:numPr>
        <w:tabs>
          <w:tab w:val="left" w:pos="426"/>
          <w:tab w:val="left" w:pos="567"/>
        </w:tabs>
        <w:jc w:val="both"/>
        <w:rPr>
          <w:iCs/>
          <w:snapToGrid w:val="0"/>
          <w:sz w:val="22"/>
          <w:szCs w:val="22"/>
          <w:lang w:val="el-GR" w:eastAsia="en-US"/>
        </w:rPr>
      </w:pPr>
      <w:r>
        <w:rPr>
          <w:iCs/>
          <w:snapToGrid w:val="0"/>
          <w:sz w:val="22"/>
          <w:szCs w:val="22"/>
          <w:lang w:val="el-GR" w:eastAsia="en-US"/>
        </w:rPr>
        <w:t>Γονιμότητα</w:t>
      </w:r>
    </w:p>
    <w:p w:rsidR="008964EA" w:rsidRDefault="008964EA" w:rsidP="008964EA">
      <w:pPr>
        <w:tabs>
          <w:tab w:val="left" w:pos="426"/>
          <w:tab w:val="left" w:pos="567"/>
        </w:tabs>
        <w:jc w:val="both"/>
        <w:rPr>
          <w:iCs/>
          <w:snapToGrid w:val="0"/>
          <w:sz w:val="22"/>
          <w:szCs w:val="22"/>
          <w:lang w:val="el-GR" w:eastAsia="en-US"/>
        </w:rPr>
      </w:pPr>
    </w:p>
    <w:p w:rsidR="008964EA" w:rsidRDefault="008964EA" w:rsidP="008964EA">
      <w:pPr>
        <w:tabs>
          <w:tab w:val="left" w:pos="426"/>
          <w:tab w:val="left" w:pos="567"/>
        </w:tabs>
        <w:jc w:val="both"/>
        <w:rPr>
          <w:iCs/>
          <w:snapToGrid w:val="0"/>
          <w:sz w:val="22"/>
          <w:szCs w:val="22"/>
          <w:lang w:val="el-GR" w:eastAsia="en-US"/>
        </w:rPr>
      </w:pPr>
      <w:r w:rsidRPr="0055322F">
        <w:rPr>
          <w:snapToGrid w:val="0"/>
          <w:sz w:val="22"/>
          <w:szCs w:val="22"/>
          <w:lang w:val="el-GR" w:eastAsia="en-US"/>
        </w:rPr>
        <w:t>Γυναίκες με δυνατότητα τεκνοποίησης πρέπει να πληροφορούνται για τον πιθανό κίνδυνο για το έμβρυο</w:t>
      </w:r>
      <w:r w:rsidRPr="00F652D5">
        <w:rPr>
          <w:snapToGrid w:val="0"/>
          <w:szCs w:val="22"/>
          <w:lang w:val="el-GR" w:eastAsia="en-US"/>
        </w:rPr>
        <w:t>.</w:t>
      </w:r>
    </w:p>
    <w:p w:rsidR="008964EA" w:rsidRDefault="008964EA" w:rsidP="008964EA">
      <w:pPr>
        <w:pStyle w:val="a6"/>
        <w:tabs>
          <w:tab w:val="left" w:pos="8647"/>
        </w:tabs>
        <w:spacing w:line="240" w:lineRule="auto"/>
        <w:ind w:left="0"/>
        <w:jc w:val="left"/>
        <w:rPr>
          <w:rFonts w:ascii="Times New Roman" w:hAnsi="Times New Roman"/>
          <w:snapToGrid w:val="0"/>
          <w:szCs w:val="22"/>
          <w:lang w:val="el-GR" w:eastAsia="en-US"/>
        </w:rPr>
      </w:pPr>
    </w:p>
    <w:p w:rsidR="008964EA" w:rsidRDefault="008964EA" w:rsidP="008964EA">
      <w:pPr>
        <w:pStyle w:val="a6"/>
        <w:tabs>
          <w:tab w:val="left" w:pos="8647"/>
        </w:tabs>
        <w:spacing w:line="240" w:lineRule="auto"/>
        <w:ind w:left="0"/>
        <w:jc w:val="left"/>
        <w:rPr>
          <w:rFonts w:ascii="Times New Roman" w:hAnsi="Times New Roman"/>
          <w:snapToGrid w:val="0"/>
          <w:szCs w:val="22"/>
          <w:lang w:val="el-GR" w:eastAsia="en-US"/>
        </w:rPr>
      </w:pPr>
      <w:r>
        <w:rPr>
          <w:rFonts w:ascii="Times New Roman" w:hAnsi="Times New Roman"/>
          <w:snapToGrid w:val="0"/>
          <w:szCs w:val="22"/>
          <w:lang w:val="el-GR" w:eastAsia="en-US"/>
        </w:rPr>
        <w:t xml:space="preserve">Οι σεξουαλικά ενεργοί άντρες και γυναίκες θα πρέπει να χρησιμοποιούν αποτελεσματικές μεθόδους αντισύλληψης κατά τη διάρκεια (έως και 6 μήνες μετά) τη θεραπεία (δείτε παράγραφο 4.4). </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8940CE">
      <w:pPr>
        <w:numPr>
          <w:ilvl w:val="0"/>
          <w:numId w:val="30"/>
        </w:numPr>
        <w:tabs>
          <w:tab w:val="left" w:pos="426"/>
          <w:tab w:val="left" w:pos="567"/>
        </w:tabs>
        <w:jc w:val="both"/>
        <w:rPr>
          <w:iCs/>
          <w:snapToGrid w:val="0"/>
          <w:sz w:val="22"/>
          <w:szCs w:val="22"/>
          <w:lang w:val="el-GR" w:eastAsia="en-US"/>
        </w:rPr>
      </w:pPr>
      <w:r w:rsidRPr="00F652D5">
        <w:rPr>
          <w:iCs/>
          <w:snapToGrid w:val="0"/>
          <w:sz w:val="22"/>
          <w:szCs w:val="22"/>
          <w:lang w:val="el-GR" w:eastAsia="en-US"/>
        </w:rPr>
        <w:t>Κύηση</w:t>
      </w:r>
      <w:r w:rsidR="00515D8D">
        <w:rPr>
          <w:iCs/>
          <w:snapToGrid w:val="0"/>
          <w:sz w:val="22"/>
          <w:szCs w:val="22"/>
          <w:lang w:eastAsia="en-US"/>
        </w:rPr>
        <w:t xml:space="preserve"> </w:t>
      </w:r>
    </w:p>
    <w:p w:rsidR="008940CE" w:rsidRDefault="008940CE" w:rsidP="008940CE">
      <w:pPr>
        <w:tabs>
          <w:tab w:val="left" w:pos="567"/>
        </w:tabs>
        <w:jc w:val="both"/>
        <w:rPr>
          <w:iCs/>
          <w:snapToGrid w:val="0"/>
          <w:sz w:val="22"/>
          <w:szCs w:val="22"/>
          <w:lang w:val="el-GR" w:eastAsia="en-US"/>
        </w:rPr>
      </w:pPr>
    </w:p>
    <w:p w:rsidR="00F652D5" w:rsidRPr="00F652D5" w:rsidRDefault="006D2674" w:rsidP="00F652D5">
      <w:pPr>
        <w:tabs>
          <w:tab w:val="left" w:pos="567"/>
          <w:tab w:val="right" w:pos="9214"/>
        </w:tabs>
        <w:rPr>
          <w:snapToGrid w:val="0"/>
          <w:sz w:val="22"/>
          <w:szCs w:val="22"/>
          <w:lang w:val="el-GR" w:eastAsia="en-US"/>
        </w:rPr>
      </w:pPr>
      <w:r>
        <w:rPr>
          <w:snapToGrid w:val="0"/>
          <w:sz w:val="22"/>
          <w:szCs w:val="22"/>
          <w:lang w:val="el-GR" w:eastAsia="en-US"/>
        </w:rPr>
        <w:t xml:space="preserve">Προκλινικά δεδομένα σε αρουραίους έδειξαν μεταφορά του </w:t>
      </w:r>
      <w:r>
        <w:rPr>
          <w:snapToGrid w:val="0"/>
          <w:sz w:val="22"/>
          <w:szCs w:val="22"/>
          <w:lang w:eastAsia="en-US"/>
        </w:rPr>
        <w:t>Fludara</w:t>
      </w:r>
      <w:r w:rsidRPr="006D2674">
        <w:rPr>
          <w:snapToGrid w:val="0"/>
          <w:sz w:val="22"/>
          <w:szCs w:val="22"/>
          <w:lang w:val="el-GR" w:eastAsia="en-US"/>
        </w:rPr>
        <w:t xml:space="preserve"> </w:t>
      </w:r>
      <w:r>
        <w:rPr>
          <w:snapToGrid w:val="0"/>
          <w:sz w:val="22"/>
          <w:szCs w:val="22"/>
          <w:lang w:val="el-GR" w:eastAsia="en-US"/>
        </w:rPr>
        <w:t>και/ή των μεταβολιτών του μέσω του πλακούντα.</w:t>
      </w:r>
      <w:r w:rsidR="00F652D5" w:rsidRPr="00F652D5">
        <w:rPr>
          <w:snapToGrid w:val="0"/>
          <w:sz w:val="22"/>
          <w:szCs w:val="22"/>
          <w:lang w:val="el-GR" w:eastAsia="en-US"/>
        </w:rPr>
        <w:t xml:space="preserve">Τα αποτελέσματα μελετών ενδοφλέβιας εμβρυοτοξικότητας σε αρουραίους και κουνέλια έδειξαν </w:t>
      </w:r>
      <w:r w:rsidR="006F3909">
        <w:rPr>
          <w:snapToGrid w:val="0"/>
          <w:sz w:val="22"/>
          <w:szCs w:val="22"/>
          <w:lang w:val="el-GR" w:eastAsia="en-US"/>
        </w:rPr>
        <w:t>εμβρυο</w:t>
      </w:r>
      <w:r w:rsidR="00F652D5" w:rsidRPr="00F652D5">
        <w:rPr>
          <w:snapToGrid w:val="0"/>
          <w:sz w:val="22"/>
          <w:szCs w:val="22"/>
          <w:lang w:val="el-GR" w:eastAsia="en-US"/>
        </w:rPr>
        <w:t>θανατηφόρο και τερατογόνο δυναμικό</w:t>
      </w:r>
      <w:r w:rsidR="006F3909">
        <w:rPr>
          <w:snapToGrid w:val="0"/>
          <w:sz w:val="22"/>
          <w:szCs w:val="22"/>
          <w:lang w:val="el-GR"/>
        </w:rPr>
        <w:t xml:space="preserve"> στις θεραπευτικές δόσεις</w:t>
      </w:r>
      <w:r>
        <w:rPr>
          <w:snapToGrid w:val="0"/>
          <w:sz w:val="22"/>
          <w:szCs w:val="22"/>
          <w:lang w:val="el-GR"/>
        </w:rPr>
        <w:t xml:space="preserve"> </w:t>
      </w:r>
      <w:r w:rsidRPr="00F652D5">
        <w:rPr>
          <w:snapToGrid w:val="0"/>
          <w:sz w:val="22"/>
          <w:szCs w:val="22"/>
          <w:lang w:val="el-GR" w:eastAsia="en-US"/>
        </w:rPr>
        <w:t xml:space="preserve">(δείτε παράγραφο </w:t>
      </w:r>
      <w:r>
        <w:rPr>
          <w:snapToGrid w:val="0"/>
          <w:sz w:val="22"/>
          <w:szCs w:val="22"/>
          <w:lang w:val="el-GR" w:eastAsia="en-US"/>
        </w:rPr>
        <w:t>5.3</w:t>
      </w:r>
      <w:r w:rsidRPr="00F652D5">
        <w:rPr>
          <w:snapToGrid w:val="0"/>
          <w:sz w:val="22"/>
          <w:szCs w:val="22"/>
          <w:lang w:val="el-GR" w:eastAsia="en-US"/>
        </w:rPr>
        <w:t>)</w:t>
      </w:r>
      <w:r w:rsidR="00F652D5" w:rsidRPr="00F652D5">
        <w:rPr>
          <w:snapToGrid w:val="0"/>
          <w:sz w:val="22"/>
          <w:szCs w:val="22"/>
          <w:lang w:val="el-GR" w:eastAsia="en-US"/>
        </w:rPr>
        <w:t xml:space="preserve">. </w:t>
      </w:r>
    </w:p>
    <w:p w:rsidR="00F652D5" w:rsidRDefault="00F652D5" w:rsidP="008940CE">
      <w:pPr>
        <w:tabs>
          <w:tab w:val="left" w:pos="567"/>
        </w:tabs>
        <w:jc w:val="both"/>
        <w:rPr>
          <w:iCs/>
          <w:snapToGrid w:val="0"/>
          <w:sz w:val="22"/>
          <w:szCs w:val="22"/>
          <w:lang w:val="el-GR" w:eastAsia="en-US"/>
        </w:rPr>
      </w:pPr>
    </w:p>
    <w:p w:rsidR="00F652D5" w:rsidRPr="001F0187" w:rsidRDefault="00F652D5" w:rsidP="008940CE">
      <w:pPr>
        <w:tabs>
          <w:tab w:val="left" w:pos="567"/>
        </w:tabs>
        <w:jc w:val="both"/>
        <w:rPr>
          <w:iCs/>
          <w:snapToGrid w:val="0"/>
          <w:sz w:val="22"/>
          <w:szCs w:val="22"/>
          <w:lang w:val="el-GR" w:eastAsia="en-US"/>
        </w:rPr>
      </w:pPr>
      <w:r>
        <w:rPr>
          <w:iCs/>
          <w:snapToGrid w:val="0"/>
          <w:sz w:val="22"/>
          <w:szCs w:val="22"/>
          <w:lang w:val="el-GR" w:eastAsia="en-US"/>
        </w:rPr>
        <w:t xml:space="preserve">Υπάρχουν πολύ περιορισμένα στοιχεία για τη χρήση του </w:t>
      </w:r>
      <w:r>
        <w:rPr>
          <w:iCs/>
          <w:snapToGrid w:val="0"/>
          <w:sz w:val="22"/>
          <w:szCs w:val="22"/>
          <w:lang w:eastAsia="en-US"/>
        </w:rPr>
        <w:t>Fludara</w:t>
      </w:r>
      <w:r w:rsidRPr="00A6608C">
        <w:rPr>
          <w:iCs/>
          <w:snapToGrid w:val="0"/>
          <w:sz w:val="22"/>
          <w:szCs w:val="22"/>
          <w:lang w:val="el-GR" w:eastAsia="en-US"/>
        </w:rPr>
        <w:t xml:space="preserve"> </w:t>
      </w:r>
      <w:r>
        <w:rPr>
          <w:iCs/>
          <w:snapToGrid w:val="0"/>
          <w:sz w:val="22"/>
          <w:szCs w:val="22"/>
          <w:lang w:val="el-GR" w:eastAsia="en-US"/>
        </w:rPr>
        <w:t>σε εγκύους γυναίκες κατά το πρώτο τρίμηνο</w:t>
      </w:r>
      <w:r w:rsidR="001F0187" w:rsidRPr="001F0187">
        <w:rPr>
          <w:iCs/>
          <w:snapToGrid w:val="0"/>
          <w:sz w:val="22"/>
          <w:szCs w:val="22"/>
          <w:lang w:val="el-GR" w:eastAsia="en-US"/>
        </w:rPr>
        <w:t>.</w:t>
      </w:r>
    </w:p>
    <w:p w:rsidR="00F652D5" w:rsidRDefault="00F652D5" w:rsidP="008940CE">
      <w:pPr>
        <w:tabs>
          <w:tab w:val="left" w:pos="567"/>
        </w:tabs>
        <w:jc w:val="both"/>
        <w:rPr>
          <w:iCs/>
          <w:snapToGrid w:val="0"/>
          <w:sz w:val="22"/>
          <w:szCs w:val="22"/>
          <w:lang w:val="el-GR" w:eastAsia="en-US"/>
        </w:rPr>
      </w:pPr>
    </w:p>
    <w:p w:rsidR="00007A07" w:rsidRPr="00CD78D4" w:rsidRDefault="00007A07" w:rsidP="00007A07">
      <w:pPr>
        <w:pStyle w:val="a6"/>
        <w:tabs>
          <w:tab w:val="left" w:pos="8647"/>
        </w:tabs>
        <w:spacing w:line="240" w:lineRule="auto"/>
        <w:ind w:left="0"/>
        <w:jc w:val="left"/>
        <w:rPr>
          <w:rFonts w:ascii="Times New Roman" w:hAnsi="Times New Roman"/>
          <w:snapToGrid w:val="0"/>
          <w:szCs w:val="22"/>
          <w:lang w:val="el-GR" w:eastAsia="en-US"/>
        </w:rPr>
      </w:pPr>
      <w:r w:rsidRPr="00CD78D4">
        <w:rPr>
          <w:rFonts w:ascii="Times New Roman" w:hAnsi="Times New Roman"/>
          <w:snapToGrid w:val="0"/>
          <w:szCs w:val="22"/>
          <w:lang w:val="el-GR" w:eastAsia="en-US"/>
        </w:rPr>
        <w:t xml:space="preserve">Το </w:t>
      </w:r>
      <w:r w:rsidRPr="00CD78D4">
        <w:rPr>
          <w:rFonts w:ascii="Times New Roman" w:hAnsi="Times New Roman"/>
          <w:snapToGrid w:val="0"/>
          <w:szCs w:val="22"/>
          <w:lang w:eastAsia="en-US"/>
        </w:rPr>
        <w:t>Fludara</w:t>
      </w:r>
      <w:r w:rsidRPr="00CD78D4">
        <w:rPr>
          <w:rFonts w:ascii="Times New Roman" w:hAnsi="Times New Roman"/>
          <w:snapToGrid w:val="0"/>
          <w:szCs w:val="22"/>
          <w:lang w:val="el-GR" w:eastAsia="en-US"/>
        </w:rPr>
        <w:t xml:space="preserve"> δεν πρέπει να χρησιμοποιείται κατά τη διάρκεια της κύησης εκτός αν είναι απολύτως απαραίτητο (π.χ απειλητική για τη ζωή</w:t>
      </w:r>
      <w:r w:rsidR="00E71FFD" w:rsidRPr="00CD78D4">
        <w:rPr>
          <w:rFonts w:ascii="Times New Roman" w:hAnsi="Times New Roman"/>
          <w:snapToGrid w:val="0"/>
          <w:szCs w:val="22"/>
          <w:lang w:val="el-GR" w:eastAsia="en-US"/>
        </w:rPr>
        <w:t>. κατάσταση</w:t>
      </w:r>
      <w:r w:rsidRPr="00CD78D4">
        <w:rPr>
          <w:rFonts w:ascii="Times New Roman" w:hAnsi="Times New Roman"/>
          <w:snapToGrid w:val="0"/>
          <w:szCs w:val="22"/>
          <w:lang w:val="el-GR" w:eastAsia="en-US"/>
        </w:rPr>
        <w:t xml:space="preserve">, </w:t>
      </w:r>
      <w:r w:rsidR="00E71FFD">
        <w:rPr>
          <w:rFonts w:ascii="Times New Roman" w:hAnsi="Times New Roman"/>
          <w:snapToGrid w:val="0"/>
          <w:szCs w:val="22"/>
          <w:lang w:val="el-GR" w:eastAsia="en-US"/>
        </w:rPr>
        <w:t>μη-</w:t>
      </w:r>
      <w:r w:rsidRPr="00CD78D4">
        <w:rPr>
          <w:rFonts w:ascii="Times New Roman" w:hAnsi="Times New Roman"/>
          <w:snapToGrid w:val="0"/>
          <w:szCs w:val="22"/>
          <w:lang w:val="el-GR" w:eastAsia="en-US"/>
        </w:rPr>
        <w:t xml:space="preserve">διαθέσιμη ασφαλέστερη εναλλακτική θεραπεία χωρίς </w:t>
      </w:r>
      <w:r w:rsidR="00E71FFD">
        <w:rPr>
          <w:rFonts w:ascii="Times New Roman" w:hAnsi="Times New Roman"/>
          <w:snapToGrid w:val="0"/>
          <w:szCs w:val="22"/>
          <w:lang w:val="el-GR" w:eastAsia="en-US"/>
        </w:rPr>
        <w:t>ελάττωση</w:t>
      </w:r>
      <w:r w:rsidRPr="00CD78D4">
        <w:rPr>
          <w:rFonts w:ascii="Times New Roman" w:hAnsi="Times New Roman"/>
          <w:snapToGrid w:val="0"/>
          <w:szCs w:val="22"/>
          <w:lang w:val="el-GR" w:eastAsia="en-US"/>
        </w:rPr>
        <w:t xml:space="preserve"> θεραπευτικ</w:t>
      </w:r>
      <w:r w:rsidR="00E71FFD">
        <w:rPr>
          <w:rFonts w:ascii="Times New Roman" w:hAnsi="Times New Roman"/>
          <w:snapToGrid w:val="0"/>
          <w:szCs w:val="22"/>
          <w:lang w:val="el-GR" w:eastAsia="en-US"/>
        </w:rPr>
        <w:t>ού</w:t>
      </w:r>
      <w:r w:rsidRPr="00CD78D4">
        <w:rPr>
          <w:rFonts w:ascii="Times New Roman" w:hAnsi="Times New Roman"/>
          <w:snapToGrid w:val="0"/>
          <w:szCs w:val="22"/>
          <w:lang w:val="el-GR" w:eastAsia="en-US"/>
        </w:rPr>
        <w:t xml:space="preserve"> </w:t>
      </w:r>
      <w:r w:rsidR="00E71FFD">
        <w:rPr>
          <w:rFonts w:ascii="Times New Roman" w:hAnsi="Times New Roman"/>
          <w:snapToGrid w:val="0"/>
          <w:szCs w:val="22"/>
          <w:lang w:val="el-GR" w:eastAsia="en-US"/>
        </w:rPr>
        <w:t>ο</w:t>
      </w:r>
      <w:r w:rsidRPr="00CD78D4">
        <w:rPr>
          <w:rFonts w:ascii="Times New Roman" w:hAnsi="Times New Roman"/>
          <w:snapToGrid w:val="0"/>
          <w:szCs w:val="22"/>
          <w:lang w:val="el-GR" w:eastAsia="en-US"/>
        </w:rPr>
        <w:t>φ</w:t>
      </w:r>
      <w:r w:rsidR="00E71FFD">
        <w:rPr>
          <w:rFonts w:ascii="Times New Roman" w:hAnsi="Times New Roman"/>
          <w:snapToGrid w:val="0"/>
          <w:szCs w:val="22"/>
          <w:lang w:val="el-GR" w:eastAsia="en-US"/>
        </w:rPr>
        <w:t>έ</w:t>
      </w:r>
      <w:r w:rsidRPr="00CD78D4">
        <w:rPr>
          <w:rFonts w:ascii="Times New Roman" w:hAnsi="Times New Roman"/>
          <w:snapToGrid w:val="0"/>
          <w:szCs w:val="22"/>
          <w:lang w:val="el-GR" w:eastAsia="en-US"/>
        </w:rPr>
        <w:t>λο</w:t>
      </w:r>
      <w:r w:rsidR="00E71FFD">
        <w:rPr>
          <w:rFonts w:ascii="Times New Roman" w:hAnsi="Times New Roman"/>
          <w:snapToGrid w:val="0"/>
          <w:szCs w:val="22"/>
          <w:lang w:val="el-GR" w:eastAsia="en-US"/>
        </w:rPr>
        <w:t>υ</w:t>
      </w:r>
      <w:r w:rsidRPr="00CD78D4">
        <w:rPr>
          <w:rFonts w:ascii="Times New Roman" w:hAnsi="Times New Roman"/>
          <w:snapToGrid w:val="0"/>
          <w:szCs w:val="22"/>
          <w:lang w:val="el-GR" w:eastAsia="en-US"/>
        </w:rPr>
        <w:t xml:space="preserve">ς, θεραπεία που δεν μπορεί να αποφευχθεί). Το </w:t>
      </w:r>
      <w:r w:rsidRPr="00CD78D4">
        <w:rPr>
          <w:rFonts w:ascii="Times New Roman" w:hAnsi="Times New Roman"/>
          <w:snapToGrid w:val="0"/>
          <w:szCs w:val="22"/>
          <w:lang w:eastAsia="en-US"/>
        </w:rPr>
        <w:t>Fludara</w:t>
      </w:r>
      <w:r w:rsidRPr="00CD78D4">
        <w:rPr>
          <w:rFonts w:ascii="Times New Roman" w:hAnsi="Times New Roman"/>
          <w:snapToGrid w:val="0"/>
          <w:szCs w:val="22"/>
          <w:lang w:val="el-GR" w:eastAsia="en-US"/>
        </w:rPr>
        <w:t xml:space="preserve"> μπορεί δυνητικά να προκαλέσει εμβρυϊκή βλάβη. Οι </w:t>
      </w:r>
      <w:r w:rsidR="00E71FFD">
        <w:rPr>
          <w:rFonts w:ascii="Times New Roman" w:hAnsi="Times New Roman"/>
          <w:snapToGrid w:val="0"/>
          <w:szCs w:val="22"/>
          <w:lang w:val="el-GR" w:eastAsia="en-US"/>
        </w:rPr>
        <w:t>συνταγογραφ</w:t>
      </w:r>
      <w:r w:rsidRPr="00CD78D4">
        <w:rPr>
          <w:rFonts w:ascii="Times New Roman" w:hAnsi="Times New Roman"/>
          <w:snapToGrid w:val="0"/>
          <w:szCs w:val="22"/>
          <w:lang w:val="el-GR" w:eastAsia="en-US"/>
        </w:rPr>
        <w:t xml:space="preserve">ούντες θα πρέπει να </w:t>
      </w:r>
      <w:r w:rsidR="00E71FFD">
        <w:rPr>
          <w:rFonts w:ascii="Times New Roman" w:hAnsi="Times New Roman"/>
          <w:snapToGrid w:val="0"/>
          <w:szCs w:val="22"/>
          <w:lang w:val="el-GR" w:eastAsia="en-US"/>
        </w:rPr>
        <w:t>εξετάζουν</w:t>
      </w:r>
      <w:r w:rsidRPr="00CD78D4">
        <w:rPr>
          <w:rFonts w:ascii="Times New Roman" w:hAnsi="Times New Roman"/>
          <w:snapToGrid w:val="0"/>
          <w:szCs w:val="22"/>
          <w:lang w:val="el-GR" w:eastAsia="en-US"/>
        </w:rPr>
        <w:t xml:space="preserve"> την χρήση του </w:t>
      </w:r>
      <w:r w:rsidRPr="00CD78D4">
        <w:rPr>
          <w:rFonts w:ascii="Times New Roman" w:hAnsi="Times New Roman"/>
          <w:snapToGrid w:val="0"/>
          <w:szCs w:val="22"/>
          <w:lang w:eastAsia="en-US"/>
        </w:rPr>
        <w:t>Fludara</w:t>
      </w:r>
      <w:r w:rsidRPr="00CD78D4">
        <w:rPr>
          <w:rFonts w:ascii="Times New Roman" w:hAnsi="Times New Roman"/>
          <w:snapToGrid w:val="0"/>
          <w:szCs w:val="22"/>
          <w:lang w:val="el-GR" w:eastAsia="en-US"/>
        </w:rPr>
        <w:t>, μόνο αν τα πιθανά οφέλη δικαιολογούν τους πιθανούς κινδύνους για το έμβρυο.</w:t>
      </w:r>
    </w:p>
    <w:p w:rsidR="00B35873" w:rsidRPr="00F652D5" w:rsidRDefault="00B35873" w:rsidP="007E08D8">
      <w:pPr>
        <w:tabs>
          <w:tab w:val="left" w:pos="567"/>
          <w:tab w:val="right" w:pos="9214"/>
        </w:tabs>
        <w:jc w:val="both"/>
        <w:rPr>
          <w:snapToGrid w:val="0"/>
          <w:sz w:val="22"/>
          <w:szCs w:val="22"/>
          <w:lang w:val="el-GR" w:eastAsia="en-US"/>
        </w:rPr>
      </w:pPr>
    </w:p>
    <w:p w:rsidR="00B35873" w:rsidRPr="00F652D5" w:rsidRDefault="006D2674" w:rsidP="008940CE">
      <w:pPr>
        <w:numPr>
          <w:ilvl w:val="0"/>
          <w:numId w:val="31"/>
        </w:numPr>
        <w:tabs>
          <w:tab w:val="left" w:pos="567"/>
        </w:tabs>
        <w:jc w:val="both"/>
        <w:rPr>
          <w:iCs/>
          <w:snapToGrid w:val="0"/>
          <w:sz w:val="22"/>
          <w:szCs w:val="22"/>
          <w:lang w:val="el-GR" w:eastAsia="en-US"/>
        </w:rPr>
      </w:pPr>
      <w:r>
        <w:rPr>
          <w:iCs/>
          <w:snapToGrid w:val="0"/>
          <w:sz w:val="22"/>
          <w:szCs w:val="22"/>
          <w:lang w:val="el-GR" w:eastAsia="en-US"/>
        </w:rPr>
        <w:t>Γαλουχία</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Δεν είναι γνωστό αν το </w:t>
      </w:r>
      <w:r w:rsidR="006D2674">
        <w:rPr>
          <w:snapToGrid w:val="0"/>
          <w:sz w:val="22"/>
          <w:szCs w:val="22"/>
          <w:lang w:val="el-GR" w:eastAsia="en-US"/>
        </w:rPr>
        <w:t xml:space="preserve">φάρμακο αυτό ή οι μεταβολίτες του </w:t>
      </w:r>
      <w:r w:rsidRPr="00F652D5">
        <w:rPr>
          <w:snapToGrid w:val="0"/>
          <w:sz w:val="22"/>
          <w:szCs w:val="22"/>
          <w:lang w:val="el-GR" w:eastAsia="en-US"/>
        </w:rPr>
        <w:t>απεκκρίν</w:t>
      </w:r>
      <w:r w:rsidR="00B06743">
        <w:rPr>
          <w:snapToGrid w:val="0"/>
          <w:sz w:val="22"/>
          <w:szCs w:val="22"/>
          <w:lang w:val="el-GR" w:eastAsia="en-US"/>
        </w:rPr>
        <w:t>ονται</w:t>
      </w:r>
      <w:r w:rsidRPr="00F652D5">
        <w:rPr>
          <w:snapToGrid w:val="0"/>
          <w:sz w:val="22"/>
          <w:szCs w:val="22"/>
          <w:lang w:val="el-GR" w:eastAsia="en-US"/>
        </w:rPr>
        <w:t xml:space="preserve"> στο μητρικό γάλα.</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Ωστόσο, υπάρχουν ενδείξεις από προκλινικά δεδομένα ότι η φωσφορική φλουνταραμπίνη και οι μεταβολίτες της μεταφέρονται από το μητρικό αίμα στο γάλα.</w:t>
      </w:r>
    </w:p>
    <w:p w:rsidR="00B35873" w:rsidRDefault="00B35873" w:rsidP="00750BC9">
      <w:pPr>
        <w:rPr>
          <w:snapToGrid w:val="0"/>
          <w:sz w:val="22"/>
          <w:szCs w:val="22"/>
          <w:lang w:val="el-GR"/>
        </w:rPr>
      </w:pPr>
    </w:p>
    <w:p w:rsidR="00956AAB" w:rsidRPr="00956AAB" w:rsidRDefault="00956AAB" w:rsidP="00750BC9">
      <w:pPr>
        <w:rPr>
          <w:snapToGrid w:val="0"/>
          <w:sz w:val="22"/>
          <w:szCs w:val="22"/>
          <w:lang w:val="el-GR"/>
        </w:rPr>
      </w:pPr>
      <w:r>
        <w:rPr>
          <w:snapToGrid w:val="0"/>
          <w:sz w:val="22"/>
          <w:szCs w:val="22"/>
          <w:lang w:val="el-GR"/>
        </w:rPr>
        <w:t xml:space="preserve">Λόγω της πιθανότητας εμφάνισης σοβαρών ανεπιθύμητων ενεργειών του </w:t>
      </w:r>
      <w:r>
        <w:rPr>
          <w:snapToGrid w:val="0"/>
          <w:sz w:val="22"/>
          <w:szCs w:val="22"/>
        </w:rPr>
        <w:t>Fludara</w:t>
      </w:r>
      <w:r w:rsidRPr="00956AAB">
        <w:rPr>
          <w:snapToGrid w:val="0"/>
          <w:sz w:val="22"/>
          <w:szCs w:val="22"/>
          <w:lang w:val="el-GR"/>
        </w:rPr>
        <w:t xml:space="preserve"> </w:t>
      </w:r>
      <w:r>
        <w:rPr>
          <w:snapToGrid w:val="0"/>
          <w:sz w:val="22"/>
          <w:szCs w:val="22"/>
          <w:lang w:val="el-GR"/>
        </w:rPr>
        <w:t xml:space="preserve">σε βρέφη που θηλάζουν, το </w:t>
      </w:r>
      <w:r>
        <w:rPr>
          <w:snapToGrid w:val="0"/>
          <w:sz w:val="22"/>
          <w:szCs w:val="22"/>
        </w:rPr>
        <w:t>Fludara</w:t>
      </w:r>
      <w:r w:rsidRPr="00956AAB">
        <w:rPr>
          <w:snapToGrid w:val="0"/>
          <w:sz w:val="22"/>
          <w:szCs w:val="22"/>
          <w:lang w:val="el-GR"/>
        </w:rPr>
        <w:t xml:space="preserve"> </w:t>
      </w:r>
      <w:r>
        <w:rPr>
          <w:snapToGrid w:val="0"/>
          <w:sz w:val="22"/>
          <w:szCs w:val="22"/>
          <w:lang w:val="el-GR"/>
        </w:rPr>
        <w:t>αντενδείκνυται σε θηλάζουσες μητέρες (δείτε παράγραφο 4.3).</w:t>
      </w:r>
    </w:p>
    <w:p w:rsidR="005562DE" w:rsidRPr="00BF1145" w:rsidRDefault="005562DE"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4.7</w:t>
      </w:r>
      <w:r w:rsidRPr="00F652D5">
        <w:rPr>
          <w:b/>
          <w:snapToGrid w:val="0"/>
          <w:sz w:val="22"/>
          <w:szCs w:val="22"/>
          <w:lang w:val="el-GR" w:eastAsia="en-US"/>
        </w:rPr>
        <w:tab/>
      </w:r>
      <w:r w:rsidRPr="00F652D5">
        <w:rPr>
          <w:b/>
          <w:snapToGrid w:val="0"/>
          <w:sz w:val="22"/>
          <w:szCs w:val="22"/>
          <w:lang w:eastAsia="en-US"/>
        </w:rPr>
        <w:t>E</w:t>
      </w:r>
      <w:r w:rsidRPr="00F652D5">
        <w:rPr>
          <w:b/>
          <w:snapToGrid w:val="0"/>
          <w:sz w:val="22"/>
          <w:szCs w:val="22"/>
          <w:lang w:val="el-GR" w:eastAsia="en-US"/>
        </w:rPr>
        <w:t>πίδραση στην ικανότητα οδήγησης και χειρισμού μηχανών</w:t>
      </w:r>
    </w:p>
    <w:p w:rsidR="00B35873" w:rsidRPr="00F652D5" w:rsidRDefault="00B35873" w:rsidP="00750BC9">
      <w:pPr>
        <w:pStyle w:val="a7"/>
        <w:spacing w:before="0" w:line="240" w:lineRule="auto"/>
        <w:jc w:val="left"/>
        <w:rPr>
          <w:rFonts w:ascii="Times New Roman" w:hAnsi="Times New Roman"/>
          <w:szCs w:val="22"/>
          <w:lang w:val="el-GR"/>
        </w:rPr>
      </w:pPr>
    </w:p>
    <w:p w:rsidR="00B35873" w:rsidRPr="00F652D5" w:rsidRDefault="00B35873" w:rsidP="00750BC9">
      <w:pPr>
        <w:rPr>
          <w:sz w:val="22"/>
          <w:szCs w:val="22"/>
          <w:lang w:val="el-GR"/>
        </w:rPr>
      </w:pPr>
      <w:r w:rsidRPr="00F652D5">
        <w:rPr>
          <w:sz w:val="22"/>
          <w:szCs w:val="22"/>
          <w:lang w:val="el-GR"/>
        </w:rPr>
        <w:t xml:space="preserve">Το </w:t>
      </w:r>
      <w:r w:rsidRPr="00F652D5">
        <w:rPr>
          <w:iCs/>
          <w:sz w:val="22"/>
          <w:szCs w:val="22"/>
        </w:rPr>
        <w:t>Fludara</w:t>
      </w:r>
      <w:r w:rsidRPr="00F652D5">
        <w:rPr>
          <w:iCs/>
          <w:sz w:val="22"/>
          <w:szCs w:val="22"/>
          <w:lang w:val="el-GR"/>
        </w:rPr>
        <w:t xml:space="preserve"> μπορεί να μειώσει την ικανότητα οδήγησης ή χειρισμού μηχανών, καθώς έχουν παρατηρηθεί </w:t>
      </w:r>
      <w:r w:rsidR="00F652D5">
        <w:rPr>
          <w:iCs/>
          <w:sz w:val="22"/>
          <w:szCs w:val="22"/>
          <w:lang w:val="el-GR"/>
        </w:rPr>
        <w:t xml:space="preserve">π.χ. </w:t>
      </w:r>
      <w:r w:rsidR="000219EC" w:rsidRPr="00F652D5">
        <w:rPr>
          <w:iCs/>
          <w:sz w:val="22"/>
          <w:szCs w:val="22"/>
          <w:lang w:val="el-GR"/>
        </w:rPr>
        <w:t>κόπωση, αδυναμία</w:t>
      </w:r>
      <w:r w:rsidR="000219EC" w:rsidRPr="000219EC">
        <w:rPr>
          <w:iCs/>
          <w:sz w:val="22"/>
          <w:szCs w:val="22"/>
          <w:lang w:val="el-GR"/>
        </w:rPr>
        <w:t xml:space="preserve"> </w:t>
      </w:r>
      <w:r w:rsidR="000219EC">
        <w:rPr>
          <w:iCs/>
          <w:sz w:val="22"/>
          <w:szCs w:val="22"/>
          <w:lang w:val="el-GR"/>
        </w:rPr>
        <w:t xml:space="preserve">οπτικές διαταραχές, </w:t>
      </w:r>
      <w:r w:rsidR="00515D8D">
        <w:rPr>
          <w:iCs/>
          <w:sz w:val="22"/>
          <w:szCs w:val="22"/>
          <w:lang w:val="el-GR"/>
        </w:rPr>
        <w:t>σύγχυση</w:t>
      </w:r>
      <w:r w:rsidR="000219EC">
        <w:rPr>
          <w:iCs/>
          <w:sz w:val="22"/>
          <w:szCs w:val="22"/>
          <w:lang w:val="el-GR"/>
        </w:rPr>
        <w:t>, διέγερση και επιληπτικές κρίσεις.</w:t>
      </w:r>
      <w:r w:rsidR="00F5292F" w:rsidRPr="00F652D5">
        <w:rPr>
          <w:iCs/>
          <w:sz w:val="22"/>
          <w:szCs w:val="22"/>
          <w:lang w:val="el-GR"/>
        </w:rPr>
        <w:t xml:space="preserve">, </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4.8</w:t>
      </w:r>
      <w:r w:rsidRPr="00F652D5">
        <w:rPr>
          <w:b/>
          <w:snapToGrid w:val="0"/>
          <w:sz w:val="22"/>
          <w:szCs w:val="22"/>
          <w:lang w:val="el-GR" w:eastAsia="en-US"/>
        </w:rPr>
        <w:tab/>
        <w:t>Ανεπιθύμητες ενέργειες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rPr>
        <w:t xml:space="preserve">Με βάση την εμπειρία από τη χρήση του </w:t>
      </w:r>
      <w:r w:rsidRPr="00F652D5">
        <w:rPr>
          <w:iCs/>
          <w:sz w:val="22"/>
          <w:szCs w:val="22"/>
        </w:rPr>
        <w:t>Fludara</w:t>
      </w:r>
      <w:r w:rsidRPr="00F652D5">
        <w:rPr>
          <w:iCs/>
          <w:sz w:val="22"/>
          <w:szCs w:val="22"/>
          <w:lang w:val="el-GR"/>
        </w:rPr>
        <w:t>, ο</w:t>
      </w:r>
      <w:r w:rsidRPr="00F652D5">
        <w:rPr>
          <w:snapToGrid w:val="0"/>
          <w:sz w:val="22"/>
          <w:szCs w:val="22"/>
          <w:lang w:val="el-GR" w:eastAsia="en-US"/>
        </w:rPr>
        <w:t xml:space="preserve">ι συχνότερες ανεπιθύμητες ενέργειες περιλαμβάνουν μυελοκαταστολή (ουδετεροπενία, θρομβοπενία και αναιμία), λοίμωξη συμπεριλαμβανομένης της πνευμονίας, βήχα, πυρετό, κόπωση, αδυναμία, ναυτία, έμετο και διάρροια. Άλλες ανεπιθύμητες ενέργειες που αναφέρονται συχνά περιλαμβάνουν ρίγη, οίδημα, κακουχία, περιφερική νευροπάθεια, διαταραχές της όρασης, ανορεξία, βλεννογονίτιδα, στοματίτιδα και δερματικό εξάνθημα. </w:t>
      </w:r>
      <w:r w:rsidR="00A040EF" w:rsidRPr="00F652D5">
        <w:rPr>
          <w:snapToGrid w:val="0"/>
          <w:sz w:val="22"/>
          <w:szCs w:val="22"/>
          <w:lang w:val="el-GR" w:eastAsia="en-US"/>
        </w:rPr>
        <w:t>Έχουν</w:t>
      </w:r>
      <w:r w:rsidRPr="00F652D5">
        <w:rPr>
          <w:snapToGrid w:val="0"/>
          <w:sz w:val="22"/>
          <w:szCs w:val="22"/>
          <w:lang w:val="el-GR" w:eastAsia="en-US"/>
        </w:rPr>
        <w:t xml:space="preserve"> παρατηρηθεί σοβαρές περιστασιακές λοιμώξεις σε ασθενείς που υποβάλλονται σε θεραπεία με </w:t>
      </w:r>
      <w:r w:rsidRPr="00F652D5">
        <w:rPr>
          <w:snapToGrid w:val="0"/>
          <w:sz w:val="22"/>
          <w:szCs w:val="22"/>
          <w:lang w:eastAsia="en-US"/>
        </w:rPr>
        <w:t>Fludara</w:t>
      </w:r>
      <w:r w:rsidRPr="00F652D5">
        <w:rPr>
          <w:snapToGrid w:val="0"/>
          <w:sz w:val="22"/>
          <w:szCs w:val="22"/>
          <w:lang w:val="el-GR" w:eastAsia="en-US"/>
        </w:rPr>
        <w:t>. Περιπτώσεις θανάτου σαν συνέπεια σοβαρών ανεπιθύμητων ενεργειών έχουν αναφερθεί.</w:t>
      </w:r>
    </w:p>
    <w:p w:rsidR="00B35873" w:rsidRPr="00F652D5" w:rsidRDefault="00B35873" w:rsidP="00750BC9">
      <w:pPr>
        <w:tabs>
          <w:tab w:val="left" w:pos="567"/>
        </w:tabs>
        <w:rPr>
          <w:snapToGrid w:val="0"/>
          <w:sz w:val="22"/>
          <w:szCs w:val="22"/>
          <w:lang w:val="el-GR" w:eastAsia="en-US"/>
        </w:rPr>
      </w:pPr>
    </w:p>
    <w:p w:rsidR="00B35873" w:rsidRDefault="00B35873" w:rsidP="00750BC9">
      <w:pPr>
        <w:tabs>
          <w:tab w:val="left" w:pos="567"/>
        </w:tabs>
        <w:rPr>
          <w:snapToGrid w:val="0"/>
          <w:sz w:val="22"/>
          <w:szCs w:val="22"/>
          <w:lang w:val="el-GR" w:eastAsia="en-US"/>
        </w:rPr>
      </w:pPr>
      <w:r w:rsidRPr="00F652D5">
        <w:rPr>
          <w:sz w:val="22"/>
          <w:szCs w:val="22"/>
          <w:lang w:val="el-GR"/>
        </w:rPr>
        <w:t xml:space="preserve">Ο παρακάτω πίνακας παρουσιάζει τις ανεπιθύμητες ενέργειες ανά κατηγορία οργάνου συστήματος σύμφωνα με τη βάση δεδομένων </w:t>
      </w:r>
      <w:r w:rsidRPr="00F652D5">
        <w:rPr>
          <w:sz w:val="22"/>
          <w:szCs w:val="22"/>
        </w:rPr>
        <w:t>MedDRA</w:t>
      </w:r>
      <w:r w:rsidRPr="00F652D5">
        <w:rPr>
          <w:sz w:val="22"/>
          <w:szCs w:val="22"/>
          <w:lang w:val="el-GR"/>
        </w:rPr>
        <w:t xml:space="preserve"> (</w:t>
      </w:r>
      <w:r w:rsidRPr="00F652D5">
        <w:rPr>
          <w:sz w:val="22"/>
          <w:szCs w:val="22"/>
        </w:rPr>
        <w:t>MedDRA</w:t>
      </w:r>
      <w:r w:rsidRPr="00F652D5">
        <w:rPr>
          <w:sz w:val="22"/>
          <w:szCs w:val="22"/>
          <w:lang w:val="el-GR"/>
        </w:rPr>
        <w:t xml:space="preserve"> </w:t>
      </w:r>
      <w:r w:rsidRPr="00F652D5">
        <w:rPr>
          <w:sz w:val="22"/>
          <w:szCs w:val="22"/>
        </w:rPr>
        <w:t>SOCs</w:t>
      </w:r>
      <w:r w:rsidRPr="00F652D5">
        <w:rPr>
          <w:sz w:val="22"/>
          <w:szCs w:val="22"/>
          <w:lang w:val="el-GR"/>
        </w:rPr>
        <w:t>).</w:t>
      </w:r>
      <w:r w:rsidRPr="00F652D5">
        <w:rPr>
          <w:snapToGrid w:val="0"/>
          <w:sz w:val="22"/>
          <w:szCs w:val="22"/>
          <w:lang w:val="el-GR" w:eastAsia="en-US"/>
        </w:rPr>
        <w:t xml:space="preserve"> Οι συχνότητες βασίζονται σε δεδομένα κλινικών μελετών, ανεξάρτητα από την πιθανή συσχέτισή τους με το </w:t>
      </w:r>
      <w:r w:rsidRPr="00F652D5">
        <w:rPr>
          <w:snapToGrid w:val="0"/>
          <w:sz w:val="22"/>
          <w:szCs w:val="22"/>
          <w:lang w:eastAsia="en-US"/>
        </w:rPr>
        <w:t>Fludara</w:t>
      </w:r>
      <w:r w:rsidRPr="00F652D5">
        <w:rPr>
          <w:snapToGrid w:val="0"/>
          <w:sz w:val="22"/>
          <w:szCs w:val="22"/>
          <w:lang w:val="el-GR" w:eastAsia="en-US"/>
        </w:rPr>
        <w:t>. Οι σπάνιες ανεπιθύμητες αντιδράσεις έγιναν γνωστές κυρίως από την εμπειρία μετά την κυκλοφορία του φαρμάκου.</w:t>
      </w:r>
    </w:p>
    <w:p w:rsidR="004B12C4" w:rsidRDefault="004B12C4" w:rsidP="00750BC9">
      <w:pPr>
        <w:tabs>
          <w:tab w:val="left" w:pos="567"/>
        </w:tabs>
        <w:rPr>
          <w:snapToGrid w:val="0"/>
          <w:sz w:val="22"/>
          <w:szCs w:val="22"/>
          <w:lang w:val="el-GR" w:eastAsia="en-US"/>
        </w:rPr>
      </w:pPr>
    </w:p>
    <w:p w:rsidR="004B12C4" w:rsidRPr="00F652D5" w:rsidRDefault="004B12C4" w:rsidP="00750BC9">
      <w:pPr>
        <w:tabs>
          <w:tab w:val="left" w:pos="567"/>
        </w:tabs>
        <w:rPr>
          <w:snapToGrid w:val="0"/>
          <w:sz w:val="22"/>
          <w:szCs w:val="22"/>
          <w:lang w:val="el-GR" w:eastAsia="en-US"/>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2"/>
        <w:gridCol w:w="1002"/>
        <w:gridCol w:w="1392"/>
        <w:gridCol w:w="1699"/>
        <w:gridCol w:w="1517"/>
        <w:gridCol w:w="2300"/>
      </w:tblGrid>
      <w:tr w:rsidR="00F7148F" w:rsidRPr="00F652D5" w:rsidTr="00BF1145">
        <w:trPr>
          <w:cantSplit/>
          <w:trHeight w:val="1020"/>
          <w:tblHeader/>
          <w:jc w:val="center"/>
        </w:trPr>
        <w:tc>
          <w:tcPr>
            <w:tcW w:w="3100" w:type="dxa"/>
          </w:tcPr>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b/>
                <w:color w:val="000000"/>
                <w:sz w:val="22"/>
                <w:szCs w:val="22"/>
                <w:lang w:val="el-GR"/>
              </w:rPr>
              <w:lastRenderedPageBreak/>
              <w:t>Κατηγορία οργάνου συστήματος</w:t>
            </w:r>
          </w:p>
          <w:p w:rsidR="004B12C4" w:rsidRPr="00380C56" w:rsidRDefault="004B12C4" w:rsidP="00BA0E84">
            <w:pPr>
              <w:pStyle w:val="Smalltext90"/>
              <w:rPr>
                <w:rFonts w:ascii="Times New Roman" w:hAnsi="Times New Roman"/>
                <w:b/>
                <w:color w:val="000000"/>
                <w:sz w:val="22"/>
                <w:szCs w:val="22"/>
                <w:lang w:val="el-GR" w:eastAsia="en-US"/>
              </w:rPr>
            </w:pPr>
          </w:p>
        </w:tc>
        <w:tc>
          <w:tcPr>
            <w:tcW w:w="1469" w:type="dxa"/>
          </w:tcPr>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b/>
                <w:color w:val="000000"/>
                <w:sz w:val="22"/>
                <w:szCs w:val="22"/>
                <w:lang w:val="el-GR"/>
              </w:rPr>
              <w:t>Πολύ συχνές</w:t>
            </w:r>
          </w:p>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color w:val="000000"/>
                <w:sz w:val="22"/>
                <w:szCs w:val="22"/>
                <w:lang w:val="en-GB"/>
              </w:rPr>
              <w:sym w:font="Symbol" w:char="F0B3"/>
            </w:r>
            <w:r w:rsidRPr="00380C56">
              <w:rPr>
                <w:rFonts w:ascii="Times New Roman" w:hAnsi="Times New Roman"/>
                <w:color w:val="000000"/>
                <w:sz w:val="22"/>
                <w:szCs w:val="22"/>
                <w:lang w:val="el-GR"/>
              </w:rPr>
              <w:t>1/10</w:t>
            </w:r>
          </w:p>
        </w:tc>
        <w:tc>
          <w:tcPr>
            <w:tcW w:w="2075" w:type="dxa"/>
          </w:tcPr>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b/>
                <w:color w:val="000000"/>
                <w:sz w:val="22"/>
                <w:szCs w:val="22"/>
                <w:lang w:val="el-GR"/>
              </w:rPr>
              <w:t>Συχνές</w:t>
            </w:r>
          </w:p>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color w:val="000000"/>
                <w:sz w:val="22"/>
                <w:szCs w:val="22"/>
                <w:lang w:val="el-GR"/>
              </w:rPr>
              <w:t>≥ 1/100 έως &lt;1/10</w:t>
            </w:r>
          </w:p>
        </w:tc>
        <w:tc>
          <w:tcPr>
            <w:tcW w:w="2552" w:type="dxa"/>
          </w:tcPr>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b/>
                <w:color w:val="000000"/>
                <w:sz w:val="22"/>
                <w:szCs w:val="22"/>
                <w:lang w:val="el-GR"/>
              </w:rPr>
              <w:t>Όχι συχνές</w:t>
            </w:r>
          </w:p>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color w:val="000000"/>
                <w:sz w:val="22"/>
                <w:szCs w:val="22"/>
                <w:lang w:val="el-GR"/>
              </w:rPr>
              <w:t>≥ 1/1000 έως &lt;1/100</w:t>
            </w:r>
          </w:p>
        </w:tc>
        <w:tc>
          <w:tcPr>
            <w:tcW w:w="2268" w:type="dxa"/>
          </w:tcPr>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b/>
                <w:color w:val="000000"/>
                <w:sz w:val="22"/>
                <w:szCs w:val="22"/>
                <w:lang w:val="el-GR"/>
              </w:rPr>
              <w:t>Σπάνιες</w:t>
            </w:r>
          </w:p>
          <w:p w:rsidR="004B12C4" w:rsidRPr="00380C56" w:rsidRDefault="004B12C4" w:rsidP="00BA0E84">
            <w:pPr>
              <w:pStyle w:val="Smalltext90"/>
              <w:rPr>
                <w:rFonts w:ascii="Times New Roman" w:hAnsi="Times New Roman"/>
                <w:color w:val="000000"/>
                <w:sz w:val="22"/>
                <w:szCs w:val="22"/>
                <w:lang w:val="el-GR"/>
              </w:rPr>
            </w:pPr>
            <w:r w:rsidRPr="00380C56">
              <w:rPr>
                <w:rFonts w:ascii="Times New Roman" w:hAnsi="Times New Roman"/>
                <w:color w:val="000000"/>
                <w:sz w:val="22"/>
                <w:szCs w:val="22"/>
                <w:lang w:val="en-GB"/>
              </w:rPr>
              <w:sym w:font="Symbol" w:char="F0B3"/>
            </w:r>
            <w:r w:rsidRPr="00380C56">
              <w:rPr>
                <w:rFonts w:ascii="Times New Roman" w:hAnsi="Times New Roman"/>
                <w:color w:val="000000"/>
                <w:sz w:val="22"/>
                <w:szCs w:val="22"/>
                <w:lang w:val="el-GR"/>
              </w:rPr>
              <w:t>1/10.000 έως &lt;1/1000</w:t>
            </w:r>
          </w:p>
          <w:p w:rsidR="004B12C4" w:rsidRPr="00380C56" w:rsidRDefault="004B12C4" w:rsidP="00BA0E84">
            <w:pPr>
              <w:pStyle w:val="Smalltext90"/>
              <w:rPr>
                <w:rFonts w:ascii="Times New Roman" w:hAnsi="Times New Roman"/>
                <w:b/>
                <w:color w:val="000000"/>
                <w:sz w:val="22"/>
                <w:szCs w:val="22"/>
                <w:lang w:val="el-GR" w:eastAsia="en-US"/>
              </w:rPr>
            </w:pPr>
          </w:p>
        </w:tc>
        <w:tc>
          <w:tcPr>
            <w:tcW w:w="3485" w:type="dxa"/>
          </w:tcPr>
          <w:p w:rsidR="004B12C4" w:rsidRPr="005C7A5E" w:rsidRDefault="004B12C4" w:rsidP="00BA0E84">
            <w:pPr>
              <w:pStyle w:val="Smalltext90"/>
              <w:rPr>
                <w:rFonts w:ascii="Times New Roman" w:hAnsi="Times New Roman"/>
                <w:b/>
                <w:sz w:val="22"/>
                <w:szCs w:val="22"/>
                <w:lang w:val="el-GR"/>
              </w:rPr>
            </w:pPr>
            <w:r w:rsidRPr="005C7A5E">
              <w:rPr>
                <w:rFonts w:ascii="Times New Roman" w:hAnsi="Times New Roman"/>
                <w:b/>
                <w:sz w:val="22"/>
                <w:szCs w:val="22"/>
                <w:lang w:val="el-GR"/>
              </w:rPr>
              <w:t>Όχι γνωστές</w:t>
            </w:r>
          </w:p>
        </w:tc>
      </w:tr>
      <w:tr w:rsidR="00F7148F" w:rsidRPr="00401925" w:rsidTr="00BF1145">
        <w:trPr>
          <w:cantSplit/>
          <w:trHeight w:val="1020"/>
          <w:jc w:val="center"/>
        </w:trPr>
        <w:tc>
          <w:tcPr>
            <w:tcW w:w="3100" w:type="dxa"/>
          </w:tcPr>
          <w:p w:rsidR="004B12C4" w:rsidRPr="00380C56" w:rsidRDefault="004B12C4" w:rsidP="00BA0E84">
            <w:pPr>
              <w:pStyle w:val="Smalltext90"/>
              <w:rPr>
                <w:rFonts w:ascii="Times New Roman" w:hAnsi="Times New Roman"/>
                <w:b/>
                <w:color w:val="000000"/>
                <w:sz w:val="22"/>
                <w:szCs w:val="22"/>
                <w:lang w:val="el-GR" w:eastAsia="en-US"/>
              </w:rPr>
            </w:pPr>
            <w:r w:rsidRPr="00380C56">
              <w:rPr>
                <w:rFonts w:ascii="Times New Roman" w:hAnsi="Times New Roman"/>
                <w:b/>
                <w:color w:val="000000"/>
                <w:sz w:val="22"/>
                <w:szCs w:val="22"/>
                <w:lang w:val="el-GR"/>
              </w:rPr>
              <w:t>Λοιμώξεις και παρασιτώσεις</w:t>
            </w:r>
          </w:p>
        </w:tc>
        <w:tc>
          <w:tcPr>
            <w:tcW w:w="1469" w:type="dxa"/>
          </w:tcPr>
          <w:p w:rsidR="004B12C4" w:rsidRPr="00380C56" w:rsidRDefault="004B12C4" w:rsidP="00BA0E84">
            <w:pPr>
              <w:pStyle w:val="Smalltext90"/>
              <w:rPr>
                <w:rFonts w:ascii="Times New Roman" w:hAnsi="Times New Roman"/>
                <w:color w:val="000000"/>
                <w:sz w:val="22"/>
                <w:szCs w:val="22"/>
                <w:lang w:val="el-GR"/>
              </w:rPr>
            </w:pPr>
            <w:r w:rsidRPr="00380C56">
              <w:rPr>
                <w:rFonts w:ascii="Times New Roman" w:hAnsi="Times New Roman"/>
                <w:color w:val="000000"/>
                <w:sz w:val="22"/>
                <w:szCs w:val="22"/>
                <w:lang w:val="el-GR"/>
              </w:rPr>
              <w:t>Λοιμώξεις/ Περιστασιακές λοιμώξεις (όπως επανενεργοποίηση λανθανόντων ιών,</w:t>
            </w:r>
          </w:p>
          <w:p w:rsidR="004B12C4" w:rsidRPr="00380C56" w:rsidRDefault="004B12C4" w:rsidP="00BA0E84">
            <w:pPr>
              <w:pStyle w:val="Smalltext90"/>
              <w:rPr>
                <w:rFonts w:ascii="Times New Roman" w:hAnsi="Times New Roman"/>
                <w:color w:val="000000"/>
                <w:sz w:val="22"/>
                <w:szCs w:val="22"/>
                <w:lang w:val="el-GR"/>
              </w:rPr>
            </w:pPr>
            <w:r w:rsidRPr="00380C56">
              <w:rPr>
                <w:rFonts w:ascii="Times New Roman" w:hAnsi="Times New Roman"/>
                <w:color w:val="000000"/>
                <w:sz w:val="22"/>
                <w:szCs w:val="22"/>
                <w:lang w:val="el-GR"/>
              </w:rPr>
              <w:t xml:space="preserve">π.χ. Προϊούσα πολυεστιακή λευκοεγκεφαλοπάθεια, Ιός του έρπητα ζωστήρα, Ιός </w:t>
            </w:r>
            <w:r w:rsidRPr="00380C56">
              <w:rPr>
                <w:rFonts w:ascii="Times New Roman" w:hAnsi="Times New Roman"/>
                <w:color w:val="000000"/>
                <w:sz w:val="22"/>
                <w:szCs w:val="22"/>
                <w:lang w:val="en-GB"/>
              </w:rPr>
              <w:t>Epstein</w:t>
            </w:r>
            <w:r w:rsidRPr="00380C56">
              <w:rPr>
                <w:rFonts w:ascii="Times New Roman" w:hAnsi="Times New Roman"/>
                <w:color w:val="000000"/>
                <w:sz w:val="22"/>
                <w:szCs w:val="22"/>
                <w:lang w:val="el-GR"/>
              </w:rPr>
              <w:t>-</w:t>
            </w:r>
            <w:r w:rsidRPr="00380C56">
              <w:rPr>
                <w:rFonts w:ascii="Times New Roman" w:hAnsi="Times New Roman"/>
                <w:color w:val="000000"/>
                <w:sz w:val="22"/>
                <w:szCs w:val="22"/>
                <w:lang w:val="en-GB"/>
              </w:rPr>
              <w:t>Barr</w:t>
            </w:r>
            <w:r w:rsidRPr="00380C56">
              <w:rPr>
                <w:rFonts w:ascii="Times New Roman" w:hAnsi="Times New Roman"/>
                <w:color w:val="000000"/>
                <w:sz w:val="22"/>
                <w:szCs w:val="22"/>
                <w:lang w:val="el-GR"/>
              </w:rPr>
              <w:t>),</w:t>
            </w:r>
          </w:p>
          <w:p w:rsidR="004B12C4" w:rsidRPr="00380C56" w:rsidRDefault="004B12C4" w:rsidP="00BA0E84">
            <w:pPr>
              <w:pStyle w:val="Smalltext90"/>
              <w:rPr>
                <w:rFonts w:ascii="Times New Roman" w:hAnsi="Times New Roman"/>
                <w:color w:val="000000"/>
                <w:sz w:val="22"/>
                <w:szCs w:val="22"/>
                <w:lang w:val="el-GR"/>
              </w:rPr>
            </w:pPr>
            <w:r w:rsidRPr="00380C56">
              <w:rPr>
                <w:rFonts w:ascii="Times New Roman" w:hAnsi="Times New Roman"/>
                <w:color w:val="000000"/>
                <w:sz w:val="22"/>
                <w:szCs w:val="22"/>
                <w:lang w:val="el-GR"/>
              </w:rPr>
              <w:t>Πνευμονία</w:t>
            </w:r>
          </w:p>
          <w:p w:rsidR="004B12C4" w:rsidRPr="00380C56" w:rsidRDefault="004B12C4" w:rsidP="00BA0E84">
            <w:pPr>
              <w:pStyle w:val="Smalltext90"/>
              <w:rPr>
                <w:rFonts w:ascii="Times New Roman" w:hAnsi="Times New Roman"/>
                <w:color w:val="000000"/>
                <w:sz w:val="22"/>
                <w:szCs w:val="22"/>
                <w:lang w:val="el-GR" w:eastAsia="en-US"/>
              </w:rPr>
            </w:pPr>
          </w:p>
        </w:tc>
        <w:tc>
          <w:tcPr>
            <w:tcW w:w="2075" w:type="dxa"/>
          </w:tcPr>
          <w:p w:rsidR="004B12C4" w:rsidRPr="00380C56" w:rsidRDefault="004B12C4" w:rsidP="00BA0E84">
            <w:pPr>
              <w:pStyle w:val="Smalltext90"/>
              <w:rPr>
                <w:rFonts w:ascii="Times New Roman" w:hAnsi="Times New Roman"/>
                <w:color w:val="000000"/>
                <w:sz w:val="22"/>
                <w:szCs w:val="22"/>
                <w:lang w:val="el-GR" w:eastAsia="en-US"/>
              </w:rPr>
            </w:pPr>
          </w:p>
        </w:tc>
        <w:tc>
          <w:tcPr>
            <w:tcW w:w="2552" w:type="dxa"/>
          </w:tcPr>
          <w:p w:rsidR="004B12C4" w:rsidRPr="00380C56" w:rsidRDefault="004B12C4" w:rsidP="00BA0E84">
            <w:pPr>
              <w:pStyle w:val="Smalltext90"/>
              <w:rPr>
                <w:rFonts w:ascii="Times New Roman" w:hAnsi="Times New Roman"/>
                <w:color w:val="000000"/>
                <w:sz w:val="22"/>
                <w:szCs w:val="22"/>
                <w:lang w:val="el-GR" w:eastAsia="en-US"/>
              </w:rPr>
            </w:pPr>
          </w:p>
        </w:tc>
        <w:tc>
          <w:tcPr>
            <w:tcW w:w="2268" w:type="dxa"/>
          </w:tcPr>
          <w:p w:rsidR="004B12C4" w:rsidRPr="00380C56" w:rsidRDefault="004B12C4" w:rsidP="00BA0E84">
            <w:pPr>
              <w:pStyle w:val="Smalltext90"/>
              <w:rPr>
                <w:rFonts w:ascii="Times New Roman" w:hAnsi="Times New Roman"/>
                <w:color w:val="000000"/>
                <w:sz w:val="22"/>
                <w:szCs w:val="22"/>
                <w:lang w:val="el-GR" w:eastAsia="en-US"/>
              </w:rPr>
            </w:pPr>
            <w:r w:rsidRPr="00380C56">
              <w:rPr>
                <w:rFonts w:ascii="Times New Roman" w:hAnsi="Times New Roman"/>
                <w:color w:val="000000"/>
                <w:sz w:val="22"/>
                <w:szCs w:val="22"/>
                <w:lang w:val="el-GR"/>
              </w:rPr>
              <w:t xml:space="preserve">Λεμφοϋπερπλαστική διαταραχή (σχετιζόμενη με </w:t>
            </w:r>
            <w:r w:rsidRPr="00380C56">
              <w:rPr>
                <w:rFonts w:ascii="Times New Roman" w:hAnsi="Times New Roman"/>
                <w:color w:val="000000"/>
                <w:sz w:val="22"/>
                <w:szCs w:val="22"/>
                <w:lang w:val="en-GB"/>
              </w:rPr>
              <w:t>EBV</w:t>
            </w:r>
            <w:r w:rsidRPr="00380C56">
              <w:rPr>
                <w:rFonts w:ascii="Times New Roman" w:hAnsi="Times New Roman"/>
                <w:color w:val="000000"/>
                <w:sz w:val="22"/>
                <w:szCs w:val="22"/>
                <w:lang w:val="el-GR"/>
              </w:rPr>
              <w:t>)</w:t>
            </w:r>
          </w:p>
        </w:tc>
        <w:tc>
          <w:tcPr>
            <w:tcW w:w="3485" w:type="dxa"/>
          </w:tcPr>
          <w:p w:rsidR="004B12C4" w:rsidRPr="005C7A5E" w:rsidRDefault="004B12C4" w:rsidP="00BA0E84">
            <w:pPr>
              <w:pStyle w:val="Smalltext90"/>
              <w:rPr>
                <w:rFonts w:ascii="Times New Roman" w:hAnsi="Times New Roman"/>
                <w:sz w:val="22"/>
                <w:szCs w:val="22"/>
                <w:lang w:val="el-GR"/>
              </w:rPr>
            </w:pPr>
          </w:p>
        </w:tc>
      </w:tr>
      <w:tr w:rsidR="00F7148F" w:rsidRPr="0040192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eastAsia="en-US"/>
              </w:rPr>
            </w:pPr>
            <w:r w:rsidRPr="00F652D5">
              <w:rPr>
                <w:rFonts w:ascii="Times New Roman" w:hAnsi="Times New Roman"/>
                <w:b/>
                <w:sz w:val="22"/>
                <w:szCs w:val="22"/>
                <w:lang w:val="el-GR"/>
              </w:rPr>
              <w:t>Νεοπλάσματα, καλοήθη, κακοήθη και μη</w:t>
            </w:r>
            <w:r w:rsidR="00ED1A06">
              <w:rPr>
                <w:rFonts w:ascii="Times New Roman" w:hAnsi="Times New Roman"/>
                <w:b/>
                <w:sz w:val="22"/>
                <w:szCs w:val="22"/>
                <w:lang w:val="el-GR"/>
              </w:rPr>
              <w:t>-</w:t>
            </w:r>
            <w:r w:rsidRPr="00F652D5">
              <w:rPr>
                <w:rFonts w:ascii="Times New Roman" w:hAnsi="Times New Roman"/>
                <w:b/>
                <w:sz w:val="22"/>
                <w:szCs w:val="22"/>
                <w:lang w:val="el-GR"/>
              </w:rPr>
              <w:t>καθορισμένα (περιλαμβάνονται κύστεις και πολύποδες)</w:t>
            </w: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750BC9" w:rsidRDefault="004B12C4" w:rsidP="00BA0E84">
            <w:pPr>
              <w:pStyle w:val="Smalltext90"/>
              <w:rPr>
                <w:rFonts w:ascii="Times New Roman" w:hAnsi="Times New Roman"/>
                <w:sz w:val="22"/>
                <w:szCs w:val="22"/>
                <w:lang w:val="el-GR" w:eastAsia="en-US"/>
              </w:rPr>
            </w:pPr>
            <w:r w:rsidRPr="00750BC9">
              <w:rPr>
                <w:rFonts w:ascii="Times New Roman" w:hAnsi="Times New Roman"/>
                <w:sz w:val="22"/>
                <w:szCs w:val="22"/>
                <w:lang w:val="el-GR"/>
              </w:rPr>
              <w:t>Μυελοδυσπλαστικό σύνδρομο και Οξεία μυελοειδής λευχαιμία</w:t>
            </w:r>
          </w:p>
          <w:p w:rsidR="004B12C4" w:rsidRPr="00750BC9" w:rsidRDefault="004B12C4" w:rsidP="00BA0E84">
            <w:pPr>
              <w:pStyle w:val="Smalltext90"/>
              <w:rPr>
                <w:rFonts w:ascii="Times New Roman" w:hAnsi="Times New Roman"/>
                <w:snapToGrid w:val="0"/>
                <w:sz w:val="22"/>
                <w:szCs w:val="22"/>
                <w:lang w:val="el-GR"/>
              </w:rPr>
            </w:pPr>
            <w:r w:rsidRPr="00750BC9">
              <w:rPr>
                <w:rFonts w:ascii="Times New Roman" w:hAnsi="Times New Roman"/>
                <w:sz w:val="22"/>
                <w:szCs w:val="22"/>
                <w:lang w:val="el-GR"/>
              </w:rPr>
              <w:t>(</w:t>
            </w:r>
            <w:r>
              <w:rPr>
                <w:rFonts w:ascii="Times New Roman" w:hAnsi="Times New Roman"/>
                <w:sz w:val="22"/>
                <w:szCs w:val="22"/>
                <w:lang w:val="el-GR"/>
              </w:rPr>
              <w:t>κυρίως σχετιζόμενη με προηγούμενη</w:t>
            </w:r>
            <w:r w:rsidRPr="00750BC9">
              <w:rPr>
                <w:rFonts w:ascii="Times New Roman" w:hAnsi="Times New Roman"/>
                <w:sz w:val="22"/>
                <w:szCs w:val="22"/>
                <w:lang w:val="el-GR"/>
              </w:rPr>
              <w:t>, ταυτόχρονη ή επακ</w:t>
            </w:r>
            <w:r>
              <w:rPr>
                <w:rFonts w:ascii="Times New Roman" w:hAnsi="Times New Roman"/>
                <w:sz w:val="22"/>
                <w:szCs w:val="22"/>
                <w:lang w:val="el-GR"/>
              </w:rPr>
              <w:t>όλουθη θεραπεία με αλκυλιούντες</w:t>
            </w:r>
            <w:r w:rsidRPr="00750BC9">
              <w:rPr>
                <w:rFonts w:ascii="Times New Roman" w:hAnsi="Times New Roman"/>
                <w:sz w:val="22"/>
                <w:szCs w:val="22"/>
                <w:lang w:val="el-GR"/>
              </w:rPr>
              <w:t xml:space="preserve"> παράγοντες</w:t>
            </w:r>
            <w:r>
              <w:rPr>
                <w:rFonts w:ascii="Times New Roman" w:hAnsi="Times New Roman"/>
                <w:sz w:val="22"/>
                <w:szCs w:val="22"/>
                <w:lang w:val="el-GR"/>
              </w:rPr>
              <w:t>, αναστολείς</w:t>
            </w:r>
            <w:r w:rsidRPr="00750BC9">
              <w:rPr>
                <w:rFonts w:ascii="Times New Roman" w:hAnsi="Times New Roman"/>
                <w:sz w:val="22"/>
                <w:szCs w:val="22"/>
                <w:lang w:val="el-GR"/>
              </w:rPr>
              <w:t xml:space="preserve"> </w:t>
            </w:r>
            <w:r>
              <w:rPr>
                <w:rFonts w:ascii="Times New Roman" w:hAnsi="Times New Roman"/>
                <w:sz w:val="22"/>
                <w:szCs w:val="22"/>
                <w:lang w:val="el-GR"/>
              </w:rPr>
              <w:t xml:space="preserve">τοποϊσομεράσης </w:t>
            </w:r>
            <w:r w:rsidRPr="00750BC9">
              <w:rPr>
                <w:rFonts w:ascii="Times New Roman" w:hAnsi="Times New Roman"/>
                <w:sz w:val="22"/>
                <w:szCs w:val="22"/>
                <w:lang w:val="el-GR"/>
              </w:rPr>
              <w:t>ή ακτινοβολία</w:t>
            </w:r>
            <w:r w:rsidRPr="00750BC9">
              <w:rPr>
                <w:rFonts w:ascii="Times New Roman" w:hAnsi="Times New Roman"/>
                <w:snapToGrid w:val="0"/>
                <w:sz w:val="22"/>
                <w:szCs w:val="22"/>
                <w:lang w:val="el-GR"/>
              </w:rPr>
              <w:t>)</w:t>
            </w:r>
          </w:p>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r w:rsidR="00F7148F" w:rsidRPr="00F652D5" w:rsidTr="00BF1145">
        <w:trPr>
          <w:cantSplit/>
          <w:trHeight w:val="1020"/>
          <w:jc w:val="center"/>
        </w:trPr>
        <w:tc>
          <w:tcPr>
            <w:tcW w:w="3100" w:type="dxa"/>
          </w:tcPr>
          <w:p w:rsidR="004B12C4" w:rsidRPr="00F652D5" w:rsidRDefault="004B12C4" w:rsidP="00BA0E84">
            <w:pPr>
              <w:pStyle w:val="Para0s"/>
              <w:spacing w:after="0"/>
              <w:rPr>
                <w:rFonts w:ascii="Times New Roman" w:hAnsi="Times New Roman"/>
                <w:b/>
                <w:szCs w:val="22"/>
                <w:lang w:val="el-GR"/>
              </w:rPr>
            </w:pPr>
            <w:r w:rsidRPr="00F652D5">
              <w:rPr>
                <w:rFonts w:ascii="Times New Roman" w:hAnsi="Times New Roman"/>
                <w:b/>
                <w:szCs w:val="22"/>
                <w:lang w:val="el-GR"/>
              </w:rPr>
              <w:lastRenderedPageBreak/>
              <w:t>Διαταραχές του αιμοποιητικού και του λεμφικού συστήματος</w:t>
            </w:r>
          </w:p>
          <w:p w:rsidR="004B12C4" w:rsidRPr="00F652D5" w:rsidRDefault="004B12C4" w:rsidP="00BA0E84">
            <w:pPr>
              <w:pStyle w:val="Para0s"/>
              <w:spacing w:after="0"/>
              <w:rPr>
                <w:rFonts w:ascii="Times New Roman" w:hAnsi="Times New Roman"/>
                <w:b/>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Ουδετεροπενία,</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Αναιμία,</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 xml:space="preserve">Θρομβοπενία </w:t>
            </w:r>
          </w:p>
        </w:tc>
        <w:tc>
          <w:tcPr>
            <w:tcW w:w="2075"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Μυελοκαταστολή</w:t>
            </w: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r w:rsidR="00F7148F" w:rsidRPr="00F652D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eastAsia="en-US"/>
              </w:rPr>
            </w:pPr>
            <w:r w:rsidRPr="00F652D5">
              <w:rPr>
                <w:rFonts w:ascii="Times New Roman" w:hAnsi="Times New Roman"/>
                <w:b/>
                <w:sz w:val="22"/>
                <w:szCs w:val="22"/>
                <w:lang w:val="el-GR"/>
              </w:rPr>
              <w:t>Διαταραχές του ανοσοποιητικού συστήματος</w:t>
            </w: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Αυτοάνοση διαταραχή</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(συμπεριλαμβ</w:t>
            </w:r>
            <w:r w:rsidR="00ED1A06">
              <w:rPr>
                <w:rFonts w:ascii="Times New Roman" w:hAnsi="Times New Roman"/>
                <w:sz w:val="22"/>
                <w:szCs w:val="22"/>
                <w:lang w:val="el-GR"/>
              </w:rPr>
              <w:t>α</w:t>
            </w:r>
            <w:r w:rsidRPr="00F652D5">
              <w:rPr>
                <w:rFonts w:ascii="Times New Roman" w:hAnsi="Times New Roman"/>
                <w:sz w:val="22"/>
                <w:szCs w:val="22"/>
                <w:lang w:val="el-GR"/>
              </w:rPr>
              <w:t>ν.</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Αυτοάνοση αιμολυτική αναιμία,</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 xml:space="preserve">Σύνδρομο του </w:t>
            </w:r>
            <w:r w:rsidRPr="00F652D5">
              <w:rPr>
                <w:rFonts w:ascii="Times New Roman" w:hAnsi="Times New Roman"/>
                <w:sz w:val="22"/>
                <w:szCs w:val="22"/>
                <w:lang w:val="en-GB"/>
              </w:rPr>
              <w:t>Evans</w:t>
            </w:r>
            <w:r w:rsidRPr="00F652D5">
              <w:rPr>
                <w:rFonts w:ascii="Times New Roman" w:hAnsi="Times New Roman"/>
                <w:sz w:val="22"/>
                <w:szCs w:val="22"/>
                <w:lang w:val="el-GR"/>
              </w:rPr>
              <w:t>,</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Θρομβοπενική πορφύρα,</w:t>
            </w:r>
          </w:p>
          <w:p w:rsidR="004B12C4" w:rsidRPr="00F652D5" w:rsidRDefault="004B12C4" w:rsidP="00BA0E84">
            <w:pPr>
              <w:pStyle w:val="Smalltext90"/>
              <w:rPr>
                <w:rFonts w:ascii="Times New Roman" w:hAnsi="Times New Roman"/>
                <w:i/>
                <w:sz w:val="22"/>
                <w:szCs w:val="22"/>
                <w:lang w:val="el-GR" w:eastAsia="en-US"/>
              </w:rPr>
            </w:pPr>
            <w:r w:rsidRPr="00F652D5">
              <w:rPr>
                <w:rFonts w:ascii="Times New Roman" w:hAnsi="Times New Roman"/>
                <w:sz w:val="22"/>
                <w:szCs w:val="22"/>
                <w:lang w:val="el-GR"/>
              </w:rPr>
              <w:t>Επίκτητη αιμοφιλία, Πέμφιξ)</w:t>
            </w: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r w:rsidR="00F7148F" w:rsidRPr="00F652D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eastAsia="en-US"/>
              </w:rPr>
            </w:pPr>
            <w:r w:rsidRPr="00F652D5">
              <w:rPr>
                <w:rFonts w:ascii="Times New Roman" w:hAnsi="Times New Roman"/>
                <w:b/>
                <w:sz w:val="22"/>
                <w:szCs w:val="22"/>
                <w:lang w:val="el-GR"/>
              </w:rPr>
              <w:t>Διαταραχές του μεταβολισμού και της θρέψης</w:t>
            </w: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Ανορεξία</w:t>
            </w:r>
          </w:p>
        </w:tc>
        <w:tc>
          <w:tcPr>
            <w:tcW w:w="2552"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Σύνδρομο λύσης όγκου</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(συμπεριλαμβ</w:t>
            </w:r>
            <w:r w:rsidR="00ED1A06">
              <w:rPr>
                <w:rFonts w:ascii="Times New Roman" w:hAnsi="Times New Roman"/>
                <w:sz w:val="22"/>
                <w:szCs w:val="22"/>
                <w:lang w:val="el-GR"/>
              </w:rPr>
              <w:t>α</w:t>
            </w:r>
            <w:r w:rsidRPr="00F652D5">
              <w:rPr>
                <w:rFonts w:ascii="Times New Roman" w:hAnsi="Times New Roman"/>
                <w:sz w:val="22"/>
                <w:szCs w:val="22"/>
                <w:lang w:val="el-GR"/>
              </w:rPr>
              <w:t>ν.</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Νεφρική ανεπάρκεια, Μεταβολική οξέωση, Υπερκαλιαιμία, Υποκαλιαιμία, Υπερουριχαιμία, Αιματουρία,</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 xml:space="preserve">Παρουσία κρυστάλλων ουρικών αλάτων στα ούρα, </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Υπερφωσφαταιμία)</w:t>
            </w:r>
          </w:p>
          <w:p w:rsidR="004B12C4" w:rsidRPr="00F652D5" w:rsidRDefault="004B12C4" w:rsidP="00BA0E84">
            <w:pPr>
              <w:jc w:val="center"/>
              <w:rPr>
                <w:sz w:val="22"/>
                <w:szCs w:val="22"/>
                <w:lang w:val="el-GR"/>
              </w:rPr>
            </w:pP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r w:rsidR="00F7148F" w:rsidRPr="00F652D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eastAsia="en-US"/>
              </w:rPr>
            </w:pPr>
            <w:r w:rsidRPr="00F652D5">
              <w:rPr>
                <w:rFonts w:ascii="Times New Roman" w:hAnsi="Times New Roman"/>
                <w:b/>
                <w:sz w:val="22"/>
                <w:szCs w:val="22"/>
                <w:lang w:val="el-GR"/>
              </w:rPr>
              <w:t>Διαταραχές του νευρικού</w:t>
            </w:r>
          </w:p>
          <w:p w:rsidR="004B12C4" w:rsidRPr="00F652D5" w:rsidRDefault="004B12C4" w:rsidP="00BA0E84">
            <w:pPr>
              <w:pStyle w:val="Smalltext90"/>
              <w:rPr>
                <w:rFonts w:ascii="Times New Roman" w:hAnsi="Times New Roman"/>
                <w:b/>
                <w:sz w:val="22"/>
                <w:szCs w:val="22"/>
                <w:lang w:val="el-GR" w:eastAsia="en-US"/>
              </w:rPr>
            </w:pPr>
            <w:r w:rsidRPr="00F652D5">
              <w:rPr>
                <w:rFonts w:ascii="Times New Roman" w:hAnsi="Times New Roman"/>
                <w:b/>
                <w:sz w:val="22"/>
                <w:szCs w:val="22"/>
                <w:lang w:val="el-GR"/>
              </w:rPr>
              <w:t>συστήματος</w:t>
            </w: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 xml:space="preserve">Περιφερική νευροπάθεια </w:t>
            </w:r>
          </w:p>
        </w:tc>
        <w:tc>
          <w:tcPr>
            <w:tcW w:w="2552"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Σύγχυση</w:t>
            </w:r>
          </w:p>
        </w:tc>
        <w:tc>
          <w:tcPr>
            <w:tcW w:w="2268" w:type="dxa"/>
          </w:tcPr>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Κώμα,</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Επιληπτικές κρίσεις,</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Διέγερση</w:t>
            </w:r>
          </w:p>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rPr>
            </w:pPr>
            <w:r w:rsidRPr="005C7A5E">
              <w:rPr>
                <w:rFonts w:ascii="Times New Roman" w:hAnsi="Times New Roman"/>
                <w:sz w:val="22"/>
                <w:szCs w:val="22"/>
                <w:lang w:val="el-GR"/>
              </w:rPr>
              <w:t>Εγκεφαλική αιμορραγία</w:t>
            </w:r>
          </w:p>
        </w:tc>
      </w:tr>
      <w:tr w:rsidR="00F7148F" w:rsidRPr="00F652D5" w:rsidTr="00BF1145">
        <w:trPr>
          <w:cantSplit/>
          <w:trHeight w:val="1020"/>
          <w:jc w:val="center"/>
        </w:trPr>
        <w:tc>
          <w:tcPr>
            <w:tcW w:w="3100" w:type="dxa"/>
          </w:tcPr>
          <w:p w:rsidR="004B12C4" w:rsidRPr="00F652D5" w:rsidRDefault="004B12C4" w:rsidP="00BA0E84">
            <w:pPr>
              <w:pStyle w:val="Para0s"/>
              <w:spacing w:after="0"/>
              <w:rPr>
                <w:rFonts w:ascii="Times New Roman" w:hAnsi="Times New Roman"/>
                <w:b/>
                <w:szCs w:val="22"/>
                <w:lang w:val="el-GR"/>
              </w:rPr>
            </w:pPr>
            <w:r w:rsidRPr="00F652D5">
              <w:rPr>
                <w:rFonts w:ascii="Times New Roman" w:hAnsi="Times New Roman"/>
                <w:b/>
                <w:szCs w:val="22"/>
                <w:lang w:val="el-GR"/>
              </w:rPr>
              <w:t>Οφθαλμικές διαταραχές</w:t>
            </w:r>
          </w:p>
          <w:p w:rsidR="004B12C4" w:rsidRPr="00F652D5" w:rsidRDefault="004B12C4" w:rsidP="00BA0E84">
            <w:pPr>
              <w:pStyle w:val="Para0s"/>
              <w:spacing w:after="0"/>
              <w:rPr>
                <w:rFonts w:ascii="Times New Roman" w:hAnsi="Times New Roman"/>
                <w:b/>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Διαταραχή της όρασης</w:t>
            </w:r>
          </w:p>
          <w:p w:rsidR="004B12C4" w:rsidRPr="00F652D5" w:rsidRDefault="004B12C4" w:rsidP="00BA0E84">
            <w:pPr>
              <w:rPr>
                <w:sz w:val="22"/>
                <w:szCs w:val="22"/>
                <w:lang w:val="el-GR"/>
              </w:rPr>
            </w:pPr>
          </w:p>
          <w:p w:rsidR="004B12C4" w:rsidRPr="00F652D5" w:rsidRDefault="004B12C4" w:rsidP="00BA0E84">
            <w:pPr>
              <w:jc w:val="center"/>
              <w:rPr>
                <w:sz w:val="22"/>
                <w:szCs w:val="22"/>
                <w:lang w:val="el-GR"/>
              </w:rPr>
            </w:pP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Τύφλωση,</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 xml:space="preserve">Οπτική νευρίτιδα, </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Οπτική νευροπάθεια</w:t>
            </w:r>
          </w:p>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rPr>
            </w:pPr>
          </w:p>
        </w:tc>
      </w:tr>
      <w:tr w:rsidR="00F7148F" w:rsidRPr="00F652D5" w:rsidTr="00BF1145">
        <w:trPr>
          <w:cantSplit/>
          <w:trHeight w:val="1020"/>
          <w:jc w:val="center"/>
        </w:trPr>
        <w:tc>
          <w:tcPr>
            <w:tcW w:w="3100" w:type="dxa"/>
          </w:tcPr>
          <w:p w:rsidR="004B12C4" w:rsidRPr="00F652D5" w:rsidRDefault="004B12C4" w:rsidP="00BA0E84">
            <w:pPr>
              <w:pStyle w:val="Para0s"/>
              <w:spacing w:after="0"/>
              <w:rPr>
                <w:rFonts w:ascii="Times New Roman" w:hAnsi="Times New Roman"/>
                <w:szCs w:val="22"/>
                <w:lang w:val="el-GR"/>
              </w:rPr>
            </w:pPr>
            <w:r w:rsidRPr="00F652D5">
              <w:rPr>
                <w:rFonts w:ascii="Times New Roman" w:hAnsi="Times New Roman"/>
                <w:b/>
                <w:szCs w:val="22"/>
                <w:lang w:val="el-GR"/>
              </w:rPr>
              <w:lastRenderedPageBreak/>
              <w:t>Καρδιακές διαταραχές</w:t>
            </w:r>
            <w:r w:rsidRPr="00F652D5">
              <w:rPr>
                <w:rFonts w:ascii="Times New Roman" w:hAnsi="Times New Roman"/>
                <w:szCs w:val="22"/>
                <w:lang w:val="el-GR"/>
              </w:rPr>
              <w:t xml:space="preserve"> </w:t>
            </w:r>
          </w:p>
          <w:p w:rsidR="004B12C4" w:rsidRPr="00F652D5" w:rsidRDefault="004B12C4" w:rsidP="00BA0E84">
            <w:pPr>
              <w:pStyle w:val="Para0s"/>
              <w:spacing w:after="0"/>
              <w:rPr>
                <w:rFonts w:ascii="Times New Roman" w:hAnsi="Times New Roman"/>
                <w:b/>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Καρδιακή ανεπάρκεια,</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Αρρυθμία</w:t>
            </w:r>
          </w:p>
          <w:p w:rsidR="004B12C4" w:rsidRPr="00F652D5" w:rsidRDefault="004B12C4" w:rsidP="00BA0E84">
            <w:pPr>
              <w:pStyle w:val="Smalltext90"/>
              <w:rPr>
                <w:rFonts w:ascii="Times New Roman" w:hAnsi="Times New Roman"/>
                <w:sz w:val="22"/>
                <w:szCs w:val="22"/>
                <w:lang w:val="el-GR" w:eastAsia="en-US"/>
              </w:rPr>
            </w:pPr>
          </w:p>
          <w:p w:rsidR="004B12C4" w:rsidRPr="00F652D5" w:rsidRDefault="004B12C4" w:rsidP="00BA0E84">
            <w:pPr>
              <w:rPr>
                <w:sz w:val="22"/>
                <w:szCs w:val="22"/>
                <w:lang w:val="el-GR"/>
              </w:rPr>
            </w:pPr>
          </w:p>
        </w:tc>
        <w:tc>
          <w:tcPr>
            <w:tcW w:w="3485" w:type="dxa"/>
          </w:tcPr>
          <w:p w:rsidR="004B12C4" w:rsidRPr="005C7A5E" w:rsidRDefault="004B12C4" w:rsidP="00BA0E84">
            <w:pPr>
              <w:pStyle w:val="Smalltext90"/>
              <w:rPr>
                <w:rFonts w:ascii="Times New Roman" w:hAnsi="Times New Roman"/>
                <w:sz w:val="22"/>
                <w:szCs w:val="22"/>
                <w:lang w:val="el-GR"/>
              </w:rPr>
            </w:pPr>
          </w:p>
        </w:tc>
      </w:tr>
      <w:tr w:rsidR="00F7148F" w:rsidRPr="00F652D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rPr>
            </w:pPr>
            <w:r w:rsidRPr="00F652D5">
              <w:rPr>
                <w:rFonts w:ascii="Times New Roman" w:hAnsi="Times New Roman"/>
                <w:b/>
                <w:sz w:val="22"/>
                <w:szCs w:val="22"/>
                <w:lang w:val="el-GR"/>
              </w:rPr>
              <w:t xml:space="preserve">Διαταραχές του αναπνευστικού συστήματος, του θώρακα και του μεσοθωρακίου </w:t>
            </w:r>
          </w:p>
          <w:p w:rsidR="004B12C4" w:rsidRPr="00F652D5" w:rsidRDefault="004B12C4" w:rsidP="00BA0E84">
            <w:pPr>
              <w:pStyle w:val="Smalltext90"/>
              <w:rPr>
                <w:rFonts w:ascii="Times New Roman" w:hAnsi="Times New Roman"/>
                <w:b/>
                <w:sz w:val="22"/>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Βήχας</w:t>
            </w:r>
          </w:p>
        </w:tc>
        <w:tc>
          <w:tcPr>
            <w:tcW w:w="2075" w:type="dxa"/>
          </w:tcPr>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 xml:space="preserve">Πνευμονική τοξικότητα </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eastAsia="en-US"/>
              </w:rPr>
              <w:t>(συμπεριλαμβ</w:t>
            </w:r>
            <w:r w:rsidR="00ED1A06">
              <w:rPr>
                <w:rFonts w:ascii="Times New Roman" w:hAnsi="Times New Roman"/>
                <w:sz w:val="22"/>
                <w:szCs w:val="22"/>
                <w:lang w:val="el-GR" w:eastAsia="en-US"/>
              </w:rPr>
              <w:t>α</w:t>
            </w:r>
            <w:r w:rsidRPr="00F652D5">
              <w:rPr>
                <w:rFonts w:ascii="Times New Roman" w:hAnsi="Times New Roman"/>
                <w:sz w:val="22"/>
                <w:szCs w:val="22"/>
                <w:lang w:val="el-GR" w:eastAsia="en-US"/>
              </w:rPr>
              <w:t>ν. Πνευμονική ίνωση, Πνευμονίτιδα, Δύσπνοια)</w:t>
            </w: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r w:rsidRPr="005C7A5E">
              <w:rPr>
                <w:rFonts w:ascii="Times New Roman" w:hAnsi="Times New Roman"/>
                <w:sz w:val="22"/>
                <w:szCs w:val="22"/>
                <w:lang w:val="el-GR" w:eastAsia="en-US"/>
              </w:rPr>
              <w:t>Πνευμονική αιμορραγία</w:t>
            </w:r>
          </w:p>
        </w:tc>
      </w:tr>
      <w:tr w:rsidR="00F7148F" w:rsidRPr="0040192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rPr>
            </w:pPr>
            <w:r w:rsidRPr="00F652D5">
              <w:rPr>
                <w:rFonts w:ascii="Times New Roman" w:hAnsi="Times New Roman"/>
                <w:b/>
                <w:sz w:val="22"/>
                <w:szCs w:val="22"/>
                <w:lang w:val="el-GR"/>
              </w:rPr>
              <w:t xml:space="preserve">Διαταραχές του γαστρεντερικού </w:t>
            </w:r>
          </w:p>
          <w:p w:rsidR="004B12C4" w:rsidRPr="00F652D5" w:rsidRDefault="004B12C4" w:rsidP="00BA0E84">
            <w:pPr>
              <w:pStyle w:val="Smalltext90"/>
              <w:rPr>
                <w:rFonts w:ascii="Times New Roman" w:hAnsi="Times New Roman"/>
                <w:b/>
                <w:sz w:val="22"/>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Έμετος,</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Διάρροια,</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Ναυτία</w:t>
            </w:r>
          </w:p>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eastAsia="en-US"/>
              </w:rPr>
              <w:t>Στοματίτιδα</w:t>
            </w:r>
          </w:p>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4B12C4" w:rsidP="00BA0E84">
            <w:pPr>
              <w:pStyle w:val="Para0s"/>
              <w:spacing w:after="0"/>
              <w:rPr>
                <w:rFonts w:ascii="Times New Roman" w:hAnsi="Times New Roman"/>
                <w:szCs w:val="22"/>
                <w:lang w:val="el-GR"/>
              </w:rPr>
            </w:pPr>
            <w:r w:rsidRPr="00F652D5">
              <w:rPr>
                <w:rFonts w:ascii="Times New Roman" w:hAnsi="Times New Roman"/>
                <w:szCs w:val="22"/>
                <w:lang w:val="el-GR"/>
              </w:rPr>
              <w:t>Γαστρεντερική αιμορραγία,</w:t>
            </w:r>
          </w:p>
          <w:p w:rsidR="004B12C4" w:rsidRPr="00F652D5" w:rsidRDefault="006F3423" w:rsidP="00BA0E84">
            <w:pPr>
              <w:pStyle w:val="Smalltext90"/>
              <w:rPr>
                <w:rFonts w:ascii="Times New Roman" w:hAnsi="Times New Roman"/>
                <w:sz w:val="22"/>
                <w:szCs w:val="22"/>
                <w:lang w:val="el-GR" w:eastAsia="en-US"/>
              </w:rPr>
            </w:pPr>
            <w:r>
              <w:rPr>
                <w:rFonts w:ascii="Times New Roman" w:hAnsi="Times New Roman"/>
                <w:sz w:val="22"/>
                <w:szCs w:val="22"/>
                <w:lang w:val="el-GR"/>
              </w:rPr>
              <w:t>Μη-</w:t>
            </w:r>
            <w:r w:rsidR="004B12C4" w:rsidRPr="00F652D5">
              <w:rPr>
                <w:rFonts w:ascii="Times New Roman" w:hAnsi="Times New Roman"/>
                <w:sz w:val="22"/>
                <w:szCs w:val="22"/>
                <w:lang w:val="el-GR"/>
              </w:rPr>
              <w:t>φυσιολογικά παγκρεατικά ένζυμα</w:t>
            </w: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r w:rsidR="00F7148F" w:rsidRPr="00F652D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eastAsia="en-US"/>
              </w:rPr>
            </w:pPr>
            <w:r w:rsidRPr="00F652D5">
              <w:rPr>
                <w:rFonts w:ascii="Times New Roman" w:hAnsi="Times New Roman"/>
                <w:b/>
                <w:sz w:val="22"/>
                <w:szCs w:val="22"/>
                <w:lang w:val="el-GR"/>
              </w:rPr>
              <w:t>Διαταραχές του ήπατος και των χοληφόρων</w:t>
            </w: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6F3423" w:rsidP="00BA0E84">
            <w:pPr>
              <w:pStyle w:val="Smalltext90"/>
              <w:rPr>
                <w:rFonts w:ascii="Times New Roman" w:hAnsi="Times New Roman"/>
                <w:sz w:val="22"/>
                <w:szCs w:val="22"/>
                <w:lang w:val="el-GR" w:eastAsia="en-US"/>
              </w:rPr>
            </w:pPr>
            <w:r>
              <w:rPr>
                <w:rFonts w:ascii="Times New Roman" w:hAnsi="Times New Roman"/>
                <w:sz w:val="22"/>
                <w:szCs w:val="22"/>
                <w:lang w:val="el-GR"/>
              </w:rPr>
              <w:t>Μη-</w:t>
            </w:r>
            <w:r w:rsidR="004B12C4" w:rsidRPr="00F652D5">
              <w:rPr>
                <w:rFonts w:ascii="Times New Roman" w:hAnsi="Times New Roman"/>
                <w:sz w:val="22"/>
                <w:szCs w:val="22"/>
                <w:lang w:val="el-GR"/>
              </w:rPr>
              <w:t>φυσιολογικά ηπατικά ένζυμα</w:t>
            </w: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r w:rsidR="00F7148F" w:rsidRPr="00401925" w:rsidTr="00BF1145">
        <w:trPr>
          <w:cantSplit/>
          <w:trHeight w:val="1020"/>
          <w:jc w:val="center"/>
        </w:trPr>
        <w:tc>
          <w:tcPr>
            <w:tcW w:w="3100" w:type="dxa"/>
          </w:tcPr>
          <w:p w:rsidR="004B12C4" w:rsidRPr="00F652D5" w:rsidRDefault="004B12C4" w:rsidP="00BA0E84">
            <w:pPr>
              <w:pStyle w:val="Para0s"/>
              <w:spacing w:after="0"/>
              <w:rPr>
                <w:rFonts w:ascii="Times New Roman" w:hAnsi="Times New Roman"/>
                <w:b/>
                <w:szCs w:val="22"/>
                <w:lang w:val="el-GR"/>
              </w:rPr>
            </w:pPr>
            <w:r w:rsidRPr="00F652D5">
              <w:rPr>
                <w:rFonts w:ascii="Times New Roman" w:hAnsi="Times New Roman"/>
                <w:b/>
                <w:szCs w:val="22"/>
                <w:lang w:val="el-GR"/>
              </w:rPr>
              <w:t>Διαταραχές του δέρματος και του υποδόριου ιστού</w:t>
            </w:r>
          </w:p>
          <w:p w:rsidR="004B12C4" w:rsidRPr="00F652D5" w:rsidRDefault="004B12C4" w:rsidP="00BA0E84">
            <w:pPr>
              <w:pStyle w:val="Para0s"/>
              <w:spacing w:after="0"/>
              <w:rPr>
                <w:rFonts w:ascii="Times New Roman" w:hAnsi="Times New Roman"/>
                <w:b/>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Εξάνθημα</w:t>
            </w: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ind w:right="105"/>
              <w:rPr>
                <w:rFonts w:ascii="Times New Roman" w:hAnsi="Times New Roman"/>
                <w:sz w:val="22"/>
                <w:szCs w:val="22"/>
                <w:lang w:val="el-GR"/>
              </w:rPr>
            </w:pPr>
            <w:r w:rsidRPr="00F652D5">
              <w:rPr>
                <w:rFonts w:ascii="Times New Roman" w:hAnsi="Times New Roman"/>
                <w:sz w:val="22"/>
                <w:szCs w:val="22"/>
                <w:lang w:val="el-GR"/>
              </w:rPr>
              <w:t>Καρκίνος του δέρματος,</w:t>
            </w:r>
          </w:p>
          <w:p w:rsidR="004B12C4" w:rsidRPr="00F652D5" w:rsidRDefault="004B12C4" w:rsidP="00BA0E84">
            <w:pPr>
              <w:pStyle w:val="Smalltext90"/>
              <w:ind w:right="105"/>
              <w:rPr>
                <w:rFonts w:ascii="Times New Roman" w:hAnsi="Times New Roman"/>
                <w:sz w:val="22"/>
                <w:szCs w:val="22"/>
                <w:lang w:val="el-GR" w:eastAsia="en-US"/>
              </w:rPr>
            </w:pPr>
            <w:r w:rsidRPr="00F652D5">
              <w:rPr>
                <w:rFonts w:ascii="Times New Roman" w:hAnsi="Times New Roman"/>
                <w:sz w:val="22"/>
                <w:szCs w:val="22"/>
                <w:lang w:val="el-GR"/>
              </w:rPr>
              <w:t xml:space="preserve">Τοξική επιδερμική νεκρόλυση (τύπου </w:t>
            </w:r>
            <w:r w:rsidRPr="00F652D5">
              <w:rPr>
                <w:rFonts w:ascii="Times New Roman" w:hAnsi="Times New Roman"/>
                <w:sz w:val="22"/>
                <w:szCs w:val="22"/>
                <w:lang w:val="en-GB"/>
              </w:rPr>
              <w:t>Lyell</w:t>
            </w:r>
            <w:r w:rsidRPr="00F652D5">
              <w:rPr>
                <w:rFonts w:ascii="Times New Roman" w:hAnsi="Times New Roman"/>
                <w:sz w:val="22"/>
                <w:szCs w:val="22"/>
                <w:lang w:val="el-GR"/>
              </w:rPr>
              <w:t xml:space="preserve">), Σύνδρομο </w:t>
            </w:r>
            <w:r w:rsidRPr="00F652D5">
              <w:rPr>
                <w:rFonts w:ascii="Times New Roman" w:hAnsi="Times New Roman"/>
                <w:sz w:val="22"/>
                <w:szCs w:val="22"/>
                <w:lang w:val="en-GB"/>
              </w:rPr>
              <w:t>Stevens</w:t>
            </w:r>
            <w:r w:rsidRPr="00F652D5">
              <w:rPr>
                <w:rFonts w:ascii="Times New Roman" w:hAnsi="Times New Roman"/>
                <w:sz w:val="22"/>
                <w:szCs w:val="22"/>
                <w:lang w:val="el-GR"/>
              </w:rPr>
              <w:t xml:space="preserve">- </w:t>
            </w:r>
            <w:r w:rsidRPr="00F652D5">
              <w:rPr>
                <w:rFonts w:ascii="Times New Roman" w:hAnsi="Times New Roman"/>
                <w:sz w:val="22"/>
                <w:szCs w:val="22"/>
                <w:lang w:val="en-GB"/>
              </w:rPr>
              <w:t>Johnson</w:t>
            </w:r>
          </w:p>
          <w:p w:rsidR="004B12C4" w:rsidRPr="00F652D5" w:rsidRDefault="004B12C4" w:rsidP="00BA0E84">
            <w:pPr>
              <w:pStyle w:val="Smalltext90"/>
              <w:ind w:right="105"/>
              <w:rPr>
                <w:rFonts w:ascii="Times New Roman" w:hAnsi="Times New Roman"/>
                <w:sz w:val="22"/>
                <w:szCs w:val="22"/>
                <w:lang w:val="el-GR" w:eastAsia="en-US"/>
              </w:rPr>
            </w:pPr>
          </w:p>
        </w:tc>
        <w:tc>
          <w:tcPr>
            <w:tcW w:w="3485" w:type="dxa"/>
          </w:tcPr>
          <w:p w:rsidR="004B12C4" w:rsidRPr="005C7A5E" w:rsidRDefault="004B12C4" w:rsidP="00BA0E84">
            <w:pPr>
              <w:pStyle w:val="Smalltext90"/>
              <w:ind w:right="105"/>
              <w:rPr>
                <w:rFonts w:ascii="Times New Roman" w:hAnsi="Times New Roman"/>
                <w:sz w:val="22"/>
                <w:szCs w:val="22"/>
                <w:lang w:val="el-GR"/>
              </w:rPr>
            </w:pPr>
          </w:p>
        </w:tc>
      </w:tr>
      <w:tr w:rsidR="00F7148F" w:rsidRPr="00F652D5" w:rsidTr="00BF1145">
        <w:trPr>
          <w:cantSplit/>
          <w:trHeight w:val="1020"/>
          <w:jc w:val="center"/>
        </w:trPr>
        <w:tc>
          <w:tcPr>
            <w:tcW w:w="3100" w:type="dxa"/>
          </w:tcPr>
          <w:p w:rsidR="004B12C4" w:rsidRPr="00F652D5" w:rsidRDefault="004B12C4" w:rsidP="00BA0E84">
            <w:pPr>
              <w:pStyle w:val="Para0s"/>
              <w:spacing w:after="0"/>
              <w:rPr>
                <w:rFonts w:ascii="Times New Roman" w:hAnsi="Times New Roman"/>
                <w:snapToGrid w:val="0"/>
                <w:szCs w:val="22"/>
                <w:lang w:val="el-GR" w:eastAsia="en-US"/>
              </w:rPr>
            </w:pPr>
            <w:r w:rsidRPr="00F652D5">
              <w:rPr>
                <w:rFonts w:ascii="Times New Roman" w:hAnsi="Times New Roman"/>
                <w:b/>
                <w:szCs w:val="22"/>
                <w:lang w:val="el-GR"/>
              </w:rPr>
              <w:t>Διαταραχές των νεφρών και των ουροφόρων οδών</w:t>
            </w:r>
            <w:r w:rsidRPr="00F652D5">
              <w:rPr>
                <w:rFonts w:ascii="Times New Roman" w:hAnsi="Times New Roman"/>
                <w:snapToGrid w:val="0"/>
                <w:szCs w:val="22"/>
                <w:lang w:val="el-GR" w:eastAsia="en-US"/>
              </w:rPr>
              <w:t xml:space="preserve"> </w:t>
            </w:r>
          </w:p>
          <w:p w:rsidR="004B12C4" w:rsidRPr="00F652D5" w:rsidRDefault="004B12C4" w:rsidP="00BA0E84">
            <w:pPr>
              <w:pStyle w:val="Para0s"/>
              <w:spacing w:after="0"/>
              <w:rPr>
                <w:rFonts w:ascii="Times New Roman" w:hAnsi="Times New Roman"/>
                <w:b/>
                <w:szCs w:val="22"/>
                <w:lang w:val="el-GR"/>
              </w:rPr>
            </w:pPr>
          </w:p>
        </w:tc>
        <w:tc>
          <w:tcPr>
            <w:tcW w:w="1469" w:type="dxa"/>
          </w:tcPr>
          <w:p w:rsidR="004B12C4" w:rsidRPr="00F652D5" w:rsidRDefault="004B12C4" w:rsidP="00BA0E84">
            <w:pPr>
              <w:pStyle w:val="Smalltext90"/>
              <w:rPr>
                <w:rFonts w:ascii="Times New Roman" w:hAnsi="Times New Roman"/>
                <w:sz w:val="22"/>
                <w:szCs w:val="22"/>
                <w:lang w:val="el-GR" w:eastAsia="en-US"/>
              </w:rPr>
            </w:pPr>
          </w:p>
        </w:tc>
        <w:tc>
          <w:tcPr>
            <w:tcW w:w="2075" w:type="dxa"/>
          </w:tcPr>
          <w:p w:rsidR="004B12C4" w:rsidRPr="00F652D5" w:rsidRDefault="004B12C4" w:rsidP="00BA0E84">
            <w:pPr>
              <w:pStyle w:val="Smalltext90"/>
              <w:rPr>
                <w:rFonts w:ascii="Times New Roman" w:hAnsi="Times New Roman"/>
                <w:sz w:val="22"/>
                <w:szCs w:val="22"/>
                <w:lang w:val="el-GR" w:eastAsia="en-US"/>
              </w:rPr>
            </w:pP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r w:rsidRPr="005C7A5E">
              <w:rPr>
                <w:rFonts w:ascii="Times New Roman" w:hAnsi="Times New Roman"/>
                <w:sz w:val="22"/>
                <w:szCs w:val="22"/>
                <w:lang w:val="el-GR"/>
              </w:rPr>
              <w:t>Αιμορραγική κυστίτιδα</w:t>
            </w:r>
          </w:p>
          <w:p w:rsidR="004B12C4" w:rsidRPr="005C7A5E" w:rsidRDefault="004B12C4" w:rsidP="00BA0E84">
            <w:pPr>
              <w:pStyle w:val="Smalltext90"/>
              <w:rPr>
                <w:rFonts w:ascii="Times New Roman" w:hAnsi="Times New Roman"/>
                <w:sz w:val="22"/>
                <w:szCs w:val="22"/>
                <w:lang w:val="el-GR"/>
              </w:rPr>
            </w:pPr>
          </w:p>
        </w:tc>
      </w:tr>
      <w:tr w:rsidR="00F7148F" w:rsidRPr="00F652D5" w:rsidTr="00BF1145">
        <w:trPr>
          <w:cantSplit/>
          <w:trHeight w:val="1020"/>
          <w:jc w:val="center"/>
        </w:trPr>
        <w:tc>
          <w:tcPr>
            <w:tcW w:w="3100" w:type="dxa"/>
          </w:tcPr>
          <w:p w:rsidR="004B12C4" w:rsidRPr="00F652D5" w:rsidRDefault="004B12C4" w:rsidP="00BA0E84">
            <w:pPr>
              <w:pStyle w:val="Smalltext90"/>
              <w:rPr>
                <w:rFonts w:ascii="Times New Roman" w:hAnsi="Times New Roman"/>
                <w:b/>
                <w:sz w:val="22"/>
                <w:szCs w:val="22"/>
                <w:lang w:val="el-GR"/>
              </w:rPr>
            </w:pPr>
            <w:r w:rsidRPr="00F652D5">
              <w:rPr>
                <w:rFonts w:ascii="Times New Roman" w:hAnsi="Times New Roman"/>
                <w:b/>
                <w:sz w:val="22"/>
                <w:szCs w:val="22"/>
                <w:lang w:val="el-GR"/>
              </w:rPr>
              <w:t>Γενικές διαταραχές και καταστάσεις της οδού χορήγησης</w:t>
            </w:r>
          </w:p>
          <w:p w:rsidR="004B12C4" w:rsidRPr="00F652D5" w:rsidRDefault="004B12C4" w:rsidP="00BA0E84">
            <w:pPr>
              <w:pStyle w:val="Smalltext90"/>
              <w:rPr>
                <w:rFonts w:ascii="Times New Roman" w:hAnsi="Times New Roman"/>
                <w:b/>
                <w:sz w:val="22"/>
                <w:szCs w:val="22"/>
                <w:lang w:val="el-GR" w:eastAsia="en-US"/>
              </w:rPr>
            </w:pPr>
          </w:p>
        </w:tc>
        <w:tc>
          <w:tcPr>
            <w:tcW w:w="1469" w:type="dxa"/>
          </w:tcPr>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eastAsia="en-US"/>
              </w:rPr>
              <w:t xml:space="preserve">Πυρετός, </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eastAsia="en-US"/>
              </w:rPr>
              <w:t>Κόπωση,</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eastAsia="en-US"/>
              </w:rPr>
              <w:t>Αδυναμία</w:t>
            </w:r>
          </w:p>
        </w:tc>
        <w:tc>
          <w:tcPr>
            <w:tcW w:w="2075" w:type="dxa"/>
          </w:tcPr>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Οίδημα,</w:t>
            </w:r>
          </w:p>
          <w:p w:rsidR="004B12C4" w:rsidRPr="00F652D5" w:rsidRDefault="004B12C4" w:rsidP="00BA0E84">
            <w:pPr>
              <w:pStyle w:val="Smalltext90"/>
              <w:rPr>
                <w:rFonts w:ascii="Times New Roman" w:hAnsi="Times New Roman"/>
                <w:sz w:val="22"/>
                <w:szCs w:val="22"/>
                <w:lang w:val="el-GR"/>
              </w:rPr>
            </w:pPr>
            <w:r w:rsidRPr="00F652D5">
              <w:rPr>
                <w:rFonts w:ascii="Times New Roman" w:hAnsi="Times New Roman"/>
                <w:sz w:val="22"/>
                <w:szCs w:val="22"/>
                <w:lang w:val="el-GR"/>
              </w:rPr>
              <w:t xml:space="preserve">Βλεννογονίτιδα, </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Ρίγη,</w:t>
            </w:r>
          </w:p>
          <w:p w:rsidR="004B12C4" w:rsidRPr="00F652D5" w:rsidRDefault="004B12C4" w:rsidP="00BA0E84">
            <w:pPr>
              <w:pStyle w:val="Smalltext90"/>
              <w:rPr>
                <w:rFonts w:ascii="Times New Roman" w:hAnsi="Times New Roman"/>
                <w:sz w:val="22"/>
                <w:szCs w:val="22"/>
                <w:lang w:val="el-GR" w:eastAsia="en-US"/>
              </w:rPr>
            </w:pPr>
            <w:r w:rsidRPr="00F652D5">
              <w:rPr>
                <w:rFonts w:ascii="Times New Roman" w:hAnsi="Times New Roman"/>
                <w:sz w:val="22"/>
                <w:szCs w:val="22"/>
                <w:lang w:val="el-GR"/>
              </w:rPr>
              <w:t>Κακοδιαθεσία</w:t>
            </w:r>
          </w:p>
          <w:p w:rsidR="004B12C4" w:rsidRPr="00F652D5" w:rsidRDefault="004B12C4" w:rsidP="00BA0E84">
            <w:pPr>
              <w:jc w:val="center"/>
              <w:rPr>
                <w:sz w:val="22"/>
                <w:szCs w:val="22"/>
                <w:lang w:val="el-GR"/>
              </w:rPr>
            </w:pPr>
          </w:p>
        </w:tc>
        <w:tc>
          <w:tcPr>
            <w:tcW w:w="2552" w:type="dxa"/>
          </w:tcPr>
          <w:p w:rsidR="004B12C4" w:rsidRPr="00F652D5" w:rsidRDefault="004B12C4" w:rsidP="00BA0E84">
            <w:pPr>
              <w:pStyle w:val="Smalltext90"/>
              <w:rPr>
                <w:rFonts w:ascii="Times New Roman" w:hAnsi="Times New Roman"/>
                <w:sz w:val="22"/>
                <w:szCs w:val="22"/>
                <w:lang w:val="el-GR" w:eastAsia="en-US"/>
              </w:rPr>
            </w:pPr>
          </w:p>
        </w:tc>
        <w:tc>
          <w:tcPr>
            <w:tcW w:w="2268" w:type="dxa"/>
          </w:tcPr>
          <w:p w:rsidR="004B12C4" w:rsidRPr="00F652D5" w:rsidRDefault="004B12C4" w:rsidP="00BA0E84">
            <w:pPr>
              <w:pStyle w:val="Smalltext90"/>
              <w:rPr>
                <w:rFonts w:ascii="Times New Roman" w:hAnsi="Times New Roman"/>
                <w:sz w:val="22"/>
                <w:szCs w:val="22"/>
                <w:lang w:val="el-GR" w:eastAsia="en-US"/>
              </w:rPr>
            </w:pPr>
          </w:p>
        </w:tc>
        <w:tc>
          <w:tcPr>
            <w:tcW w:w="3485" w:type="dxa"/>
          </w:tcPr>
          <w:p w:rsidR="004B12C4" w:rsidRPr="005C7A5E" w:rsidRDefault="004B12C4" w:rsidP="00BA0E84">
            <w:pPr>
              <w:pStyle w:val="Smalltext90"/>
              <w:rPr>
                <w:rFonts w:ascii="Times New Roman" w:hAnsi="Times New Roman"/>
                <w:sz w:val="22"/>
                <w:szCs w:val="22"/>
                <w:lang w:val="el-GR" w:eastAsia="en-US"/>
              </w:rPr>
            </w:pPr>
          </w:p>
        </w:tc>
      </w:tr>
    </w:tbl>
    <w:p w:rsidR="004B12C4" w:rsidRDefault="004B12C4">
      <w:pPr>
        <w:rPr>
          <w:rFonts w:ascii="Helvetica" w:hAnsi="Helvetica"/>
          <w:sz w:val="22"/>
          <w:lang w:eastAsia="de-DE"/>
        </w:rPr>
      </w:pPr>
    </w:p>
    <w:p w:rsidR="004B12C4" w:rsidRDefault="004B12C4" w:rsidP="004B12C4">
      <w:pPr>
        <w:pStyle w:val="Para0s"/>
        <w:spacing w:after="0"/>
        <w:rPr>
          <w:rFonts w:ascii="Times New Roman" w:hAnsi="Times New Roman"/>
          <w:szCs w:val="22"/>
          <w:lang w:val="el-GR"/>
        </w:rPr>
      </w:pPr>
      <w:r w:rsidRPr="00F652D5">
        <w:rPr>
          <w:rFonts w:ascii="Times New Roman" w:hAnsi="Times New Roman"/>
          <w:szCs w:val="22"/>
          <w:lang w:val="el-GR"/>
        </w:rPr>
        <w:t xml:space="preserve">Χρησιμοποιείται ο καταλληλότερο όρος </w:t>
      </w:r>
      <w:r w:rsidRPr="00F652D5">
        <w:rPr>
          <w:rFonts w:ascii="Times New Roman" w:hAnsi="Times New Roman"/>
          <w:szCs w:val="22"/>
        </w:rPr>
        <w:t>MedDRA</w:t>
      </w:r>
      <w:r w:rsidRPr="00F652D5">
        <w:rPr>
          <w:rFonts w:ascii="Times New Roman" w:hAnsi="Times New Roman"/>
          <w:szCs w:val="22"/>
          <w:lang w:val="el-GR"/>
        </w:rPr>
        <w:t xml:space="preserve"> για την περιγραφή μιας συγκεκριμένης ανεπιθύμητης ενέργειας</w:t>
      </w:r>
      <w:r>
        <w:rPr>
          <w:rFonts w:ascii="Times New Roman" w:hAnsi="Times New Roman"/>
          <w:szCs w:val="22"/>
          <w:lang w:val="el-GR"/>
        </w:rPr>
        <w:t xml:space="preserve"> που αναφέρεται</w:t>
      </w:r>
      <w:r w:rsidRPr="00F652D5">
        <w:rPr>
          <w:rFonts w:ascii="Times New Roman" w:hAnsi="Times New Roman"/>
          <w:szCs w:val="22"/>
          <w:lang w:val="el-GR"/>
        </w:rPr>
        <w:t>. Συνώνυμα ή σχετιζόμενες καταστάσεις δεν παρατίθενται, αλλά θα πρέπει να λαμβάνονται επίσης υπόψη.</w:t>
      </w:r>
      <w:r w:rsidRPr="009161D7">
        <w:rPr>
          <w:szCs w:val="22"/>
          <w:lang w:val="el-GR"/>
        </w:rPr>
        <w:t xml:space="preserve"> </w:t>
      </w:r>
      <w:r>
        <w:rPr>
          <w:rFonts w:ascii="Times New Roman" w:hAnsi="Times New Roman"/>
          <w:szCs w:val="22"/>
          <w:lang w:val="el-GR"/>
        </w:rPr>
        <w:t xml:space="preserve">Η αντιπροσώπευση των όρων των ανεπιθύμητων ενεργειών βασίζεται στο </w:t>
      </w:r>
      <w:r>
        <w:rPr>
          <w:rFonts w:ascii="Times New Roman" w:hAnsi="Times New Roman"/>
          <w:szCs w:val="22"/>
        </w:rPr>
        <w:t>MedDra</w:t>
      </w:r>
      <w:r>
        <w:rPr>
          <w:rFonts w:ascii="Times New Roman" w:hAnsi="Times New Roman"/>
          <w:szCs w:val="22"/>
          <w:lang w:val="el-GR"/>
        </w:rPr>
        <w:t xml:space="preserve"> έκδοση 12.0</w:t>
      </w:r>
      <w:r w:rsidRPr="00F652D5">
        <w:rPr>
          <w:rFonts w:ascii="Times New Roman" w:hAnsi="Times New Roman"/>
          <w:szCs w:val="22"/>
          <w:lang w:val="el-GR"/>
        </w:rPr>
        <w:t>.</w:t>
      </w:r>
    </w:p>
    <w:p w:rsidR="00B35873" w:rsidRPr="00F652D5" w:rsidRDefault="00B35873" w:rsidP="00750BC9">
      <w:pPr>
        <w:pStyle w:val="Para0s"/>
        <w:spacing w:after="0"/>
        <w:rPr>
          <w:rFonts w:ascii="Times New Roman" w:hAnsi="Times New Roman"/>
          <w:szCs w:val="22"/>
          <w:lang w:val="el-GR"/>
        </w:rPr>
      </w:pPr>
    </w:p>
    <w:p w:rsidR="00B35873" w:rsidRPr="00F652D5" w:rsidRDefault="00B35873" w:rsidP="00750BC9">
      <w:pPr>
        <w:pStyle w:val="Para0s"/>
        <w:spacing w:after="0"/>
        <w:rPr>
          <w:rFonts w:ascii="Times New Roman" w:hAnsi="Times New Roman"/>
          <w:snapToGrid w:val="0"/>
          <w:szCs w:val="22"/>
          <w:lang w:val="el-GR" w:eastAsia="en-US"/>
        </w:rPr>
      </w:pPr>
      <w:r w:rsidRPr="00F652D5">
        <w:rPr>
          <w:rFonts w:ascii="Times New Roman" w:hAnsi="Times New Roman"/>
          <w:szCs w:val="22"/>
          <w:lang w:val="el-GR"/>
        </w:rPr>
        <w:lastRenderedPageBreak/>
        <w:t>Εντός κάθε κατηγορίας συχνότητας εμφάνισης, οι ανεπιθύμητες ενέργειες παρατίθενται κατά φθίνουσα σειρά σοβαρότητας</w:t>
      </w:r>
      <w:r w:rsidRPr="00F652D5">
        <w:rPr>
          <w:rFonts w:ascii="Times New Roman" w:hAnsi="Times New Roman"/>
          <w:snapToGrid w:val="0"/>
          <w:szCs w:val="22"/>
          <w:lang w:val="el-GR" w:eastAsia="en-US"/>
        </w:rPr>
        <w:t>.</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4.9</w:t>
      </w:r>
      <w:r w:rsidRPr="00F652D5">
        <w:rPr>
          <w:b/>
          <w:snapToGrid w:val="0"/>
          <w:sz w:val="22"/>
          <w:szCs w:val="22"/>
          <w:lang w:val="el-GR" w:eastAsia="en-US"/>
        </w:rPr>
        <w:tab/>
        <w:t>Υπερδοσολογία</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Οι υψηλές δόσεις του </w:t>
      </w:r>
      <w:r w:rsidRPr="00F652D5">
        <w:rPr>
          <w:snapToGrid w:val="0"/>
          <w:sz w:val="22"/>
          <w:szCs w:val="22"/>
          <w:lang w:eastAsia="en-US"/>
        </w:rPr>
        <w:t>Fludara</w:t>
      </w:r>
      <w:r w:rsidRPr="00F652D5">
        <w:rPr>
          <w:snapToGrid w:val="0"/>
          <w:sz w:val="22"/>
          <w:szCs w:val="22"/>
          <w:lang w:val="el-GR" w:eastAsia="en-US"/>
        </w:rPr>
        <w:t xml:space="preserve"> έχουν σχετισθεί με </w:t>
      </w:r>
      <w:r w:rsidR="006F3423">
        <w:rPr>
          <w:snapToGrid w:val="0"/>
          <w:sz w:val="22"/>
          <w:szCs w:val="22"/>
          <w:lang w:val="el-GR" w:eastAsia="en-US"/>
        </w:rPr>
        <w:t>μη-</w:t>
      </w:r>
      <w:r w:rsidRPr="00F652D5">
        <w:rPr>
          <w:snapToGrid w:val="0"/>
          <w:sz w:val="22"/>
          <w:szCs w:val="22"/>
          <w:lang w:val="el-GR" w:eastAsia="en-US"/>
        </w:rPr>
        <w:t xml:space="preserve">αναστρέψιμη τοξικότητα του κεντρικού νευρικού συστήματος, που χαρακτηρίζονται από όψιμη τύφλωση, κώμα και θάνατο. Οι υψηλές δόσεις σχετίζονται επίσης και με σοβαρή θρομβοκυτοπενία και ουδετεροπενία εξαιτίας της μυελοκαταστολής. </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Δεν υπάρχει κανένα γνωστό ειδικό αντίδοτο για την υπερδοσολογία από </w:t>
      </w:r>
      <w:r w:rsidRPr="00F652D5">
        <w:rPr>
          <w:snapToGrid w:val="0"/>
          <w:sz w:val="22"/>
          <w:szCs w:val="22"/>
          <w:lang w:eastAsia="en-US"/>
        </w:rPr>
        <w:t>Fludara</w:t>
      </w:r>
      <w:r w:rsidRPr="00F652D5">
        <w:rPr>
          <w:snapToGrid w:val="0"/>
          <w:sz w:val="22"/>
          <w:szCs w:val="22"/>
          <w:lang w:val="el-GR" w:eastAsia="en-US"/>
        </w:rPr>
        <w:t>. Η θεραπευτική αγωγή περιλαμβάνει τη διακοπή της χορήγησης του φαρμάκου, καθώς και υποστηρικτική θεραπεία.</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5.</w:t>
      </w:r>
      <w:r w:rsidRPr="00F652D5">
        <w:rPr>
          <w:b/>
          <w:snapToGrid w:val="0"/>
          <w:sz w:val="22"/>
          <w:szCs w:val="22"/>
          <w:lang w:val="el-GR" w:eastAsia="en-US"/>
        </w:rPr>
        <w:tab/>
        <w:t>ΦΑΡΜΑΚΟΛΟΓΙΚΕΣ ΙΔΙΟΤΗΤΕΣ</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5.1</w:t>
      </w:r>
      <w:r w:rsidRPr="00F652D5">
        <w:rPr>
          <w:b/>
          <w:snapToGrid w:val="0"/>
          <w:sz w:val="22"/>
          <w:szCs w:val="22"/>
          <w:lang w:val="el-GR" w:eastAsia="en-US"/>
        </w:rPr>
        <w:tab/>
        <w:t>Φαρμακοδυναμικές ιδιότητες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r w:rsidRPr="00F652D5">
        <w:rPr>
          <w:snapToGrid w:val="0"/>
          <w:sz w:val="22"/>
          <w:szCs w:val="22"/>
          <w:lang w:val="el-GR" w:eastAsia="en-US"/>
        </w:rPr>
        <w:t>Φαρμακοθεραπευτική κατηγορία: Αντινεοπλασματικοί παράγοντες, ανάλογα της πουρίνης</w:t>
      </w:r>
    </w:p>
    <w:p w:rsidR="00B35873" w:rsidRPr="00F652D5" w:rsidRDefault="00B35873" w:rsidP="007E08D8">
      <w:pPr>
        <w:tabs>
          <w:tab w:val="left" w:pos="567"/>
          <w:tab w:val="right" w:pos="9214"/>
        </w:tabs>
        <w:jc w:val="both"/>
        <w:rPr>
          <w:snapToGrid w:val="0"/>
          <w:sz w:val="22"/>
          <w:szCs w:val="22"/>
          <w:lang w:val="el-GR" w:eastAsia="en-US"/>
        </w:rPr>
      </w:pPr>
    </w:p>
    <w:p w:rsidR="00B35873" w:rsidRPr="00F652D5" w:rsidRDefault="00B35873" w:rsidP="007E08D8">
      <w:pPr>
        <w:tabs>
          <w:tab w:val="left" w:pos="567"/>
          <w:tab w:val="right" w:pos="9214"/>
        </w:tabs>
        <w:jc w:val="both"/>
        <w:rPr>
          <w:snapToGrid w:val="0"/>
          <w:sz w:val="22"/>
          <w:szCs w:val="22"/>
          <w:lang w:val="el-GR" w:eastAsia="en-US"/>
        </w:rPr>
      </w:pPr>
      <w:r w:rsidRPr="00F652D5">
        <w:rPr>
          <w:snapToGrid w:val="0"/>
          <w:sz w:val="22"/>
          <w:szCs w:val="22"/>
          <w:lang w:val="el-GR" w:eastAsia="en-US"/>
        </w:rPr>
        <w:t xml:space="preserve">Κωδικός </w:t>
      </w:r>
      <w:r w:rsidRPr="00F652D5">
        <w:rPr>
          <w:snapToGrid w:val="0"/>
          <w:sz w:val="22"/>
          <w:szCs w:val="22"/>
          <w:lang w:eastAsia="en-US"/>
        </w:rPr>
        <w:t>ATC</w:t>
      </w:r>
      <w:r w:rsidRPr="00F652D5">
        <w:rPr>
          <w:snapToGrid w:val="0"/>
          <w:sz w:val="22"/>
          <w:szCs w:val="22"/>
          <w:lang w:val="el-GR" w:eastAsia="en-US"/>
        </w:rPr>
        <w:t xml:space="preserve">: </w:t>
      </w:r>
      <w:r w:rsidRPr="00F652D5">
        <w:rPr>
          <w:snapToGrid w:val="0"/>
          <w:sz w:val="22"/>
          <w:szCs w:val="22"/>
          <w:lang w:eastAsia="en-US"/>
        </w:rPr>
        <w:t>L</w:t>
      </w:r>
      <w:r w:rsidRPr="00F652D5">
        <w:rPr>
          <w:snapToGrid w:val="0"/>
          <w:sz w:val="22"/>
          <w:szCs w:val="22"/>
          <w:lang w:val="el-GR" w:eastAsia="en-US"/>
        </w:rPr>
        <w:t>01</w:t>
      </w:r>
      <w:r w:rsidRPr="00F652D5">
        <w:rPr>
          <w:snapToGrid w:val="0"/>
          <w:sz w:val="22"/>
          <w:szCs w:val="22"/>
          <w:lang w:eastAsia="en-US"/>
        </w:rPr>
        <w:t>B</w:t>
      </w:r>
      <w:r w:rsidR="00986D6B" w:rsidRPr="00F652D5">
        <w:rPr>
          <w:snapToGrid w:val="0"/>
          <w:sz w:val="22"/>
          <w:szCs w:val="22"/>
          <w:lang w:val="de-DE" w:eastAsia="en-US"/>
        </w:rPr>
        <w:t> </w:t>
      </w:r>
      <w:r w:rsidRPr="00F652D5">
        <w:rPr>
          <w:snapToGrid w:val="0"/>
          <w:sz w:val="22"/>
          <w:szCs w:val="22"/>
          <w:lang w:eastAsia="en-US"/>
        </w:rPr>
        <w:t>B</w:t>
      </w:r>
      <w:r w:rsidRPr="00F652D5">
        <w:rPr>
          <w:snapToGrid w:val="0"/>
          <w:sz w:val="22"/>
          <w:szCs w:val="22"/>
          <w:lang w:val="el-GR" w:eastAsia="en-US"/>
        </w:rPr>
        <w:t xml:space="preserve">05 </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Το </w:t>
      </w:r>
      <w:r w:rsidRPr="00F652D5">
        <w:rPr>
          <w:snapToGrid w:val="0"/>
          <w:sz w:val="22"/>
          <w:szCs w:val="22"/>
          <w:lang w:eastAsia="en-US"/>
        </w:rPr>
        <w:t>Fludara</w:t>
      </w:r>
      <w:r w:rsidRPr="00F652D5">
        <w:rPr>
          <w:snapToGrid w:val="0"/>
          <w:sz w:val="22"/>
          <w:szCs w:val="22"/>
          <w:lang w:val="el-GR" w:eastAsia="en-US"/>
        </w:rPr>
        <w:t xml:space="preserve"> περιέχει φωσφορική φλουνταραμπίνη, ένα υδατοδιαλυτό φθοριούχο ανάλογο νουκλεοτιδίου του αντιικού παράγοντα βινταραμπίνη, 9-β-</w:t>
      </w:r>
      <w:r w:rsidRPr="00F652D5">
        <w:rPr>
          <w:snapToGrid w:val="0"/>
          <w:sz w:val="22"/>
          <w:szCs w:val="22"/>
          <w:lang w:eastAsia="en-US"/>
        </w:rPr>
        <w:t>D</w:t>
      </w:r>
      <w:r w:rsidRPr="00F652D5">
        <w:rPr>
          <w:snapToGrid w:val="0"/>
          <w:sz w:val="22"/>
          <w:szCs w:val="22"/>
          <w:lang w:val="el-GR" w:eastAsia="en-US"/>
        </w:rPr>
        <w:t>-αραβινοφουρανοσυλαδενίνη (</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που είναι σχετικά ανθεκτική στην απαμίνωση από απαμινάση αδενοσίνης.</w:t>
      </w:r>
    </w:p>
    <w:p w:rsidR="00986D6B" w:rsidRPr="00F652D5" w:rsidRDefault="00986D6B"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Η φωσφορική φλουνταραμπίνη αποφωσφορυλιώνεται ταχέως σε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η οποία προσλαμβάνεται από τα κύτταρα και στη συνέχεια φωσφορυλιώνεται ενδοκυτταρικά από τη δεσοξυκυτιδινοκινάση προς το ενεργό τριφωσφορικό άλας, το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ATP</w:t>
      </w:r>
      <w:r w:rsidRPr="00F652D5">
        <w:rPr>
          <w:snapToGrid w:val="0"/>
          <w:sz w:val="22"/>
          <w:szCs w:val="22"/>
          <w:lang w:val="el-GR" w:eastAsia="en-US"/>
        </w:rPr>
        <w:t xml:space="preserve">. Ο μεταβολίτης αυτός δείχθηκε ότι αναστέλλει τη ρεδουκτάση των ριβονουκλεοτιδίων, την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πολυμεράση α/δ και ε, την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πριμάση και την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λιγάση, αναστέλλοντας έτσι τη σύνθεση του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Ακόμη λαμβάνει χώρα μερική αναστολή της </w:t>
      </w:r>
      <w:r w:rsidRPr="00F652D5">
        <w:rPr>
          <w:snapToGrid w:val="0"/>
          <w:sz w:val="22"/>
          <w:szCs w:val="22"/>
          <w:lang w:eastAsia="en-US"/>
        </w:rPr>
        <w:t>RNA</w:t>
      </w:r>
      <w:r w:rsidRPr="00F652D5">
        <w:rPr>
          <w:snapToGrid w:val="0"/>
          <w:sz w:val="22"/>
          <w:szCs w:val="22"/>
          <w:lang w:val="el-GR" w:eastAsia="en-US"/>
        </w:rPr>
        <w:t xml:space="preserve"> πολυμεράσης ΙΙ και κατά συνέπεια μείωση της πρωτεϊνικής σύνθεσης.</w:t>
      </w:r>
    </w:p>
    <w:p w:rsidR="00986D6B" w:rsidRPr="00F652D5" w:rsidRDefault="00986D6B"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Παρόλο που ορισμένα σημεία του μηχανισμού δράσης του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ATP</w:t>
      </w:r>
      <w:r w:rsidRPr="00F652D5">
        <w:rPr>
          <w:snapToGrid w:val="0"/>
          <w:sz w:val="22"/>
          <w:szCs w:val="22"/>
          <w:lang w:val="el-GR" w:eastAsia="en-US"/>
        </w:rPr>
        <w:t xml:space="preserve"> δεν έχουν ακόμη αποσαφηνιστεί, υποτίθεται ότι οι επιδράσεις στη σύνθεση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w:t>
      </w:r>
      <w:r w:rsidRPr="00F652D5">
        <w:rPr>
          <w:snapToGrid w:val="0"/>
          <w:sz w:val="22"/>
          <w:szCs w:val="22"/>
          <w:lang w:eastAsia="en-US"/>
        </w:rPr>
        <w:t>RNA</w:t>
      </w:r>
      <w:r w:rsidRPr="00F652D5">
        <w:rPr>
          <w:snapToGrid w:val="0"/>
          <w:sz w:val="22"/>
          <w:szCs w:val="22"/>
          <w:lang w:val="el-GR" w:eastAsia="en-US"/>
        </w:rPr>
        <w:t xml:space="preserve"> και πρωτεϊνών συνεισφέρουν στην αναστολή της ανάπτυξης των κυττάρων, με κυρίαρχο παράγοντα την αναστολή της σύνθεσης του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Επιπλέον, μελέτες </w:t>
      </w:r>
      <w:r w:rsidRPr="00F652D5">
        <w:rPr>
          <w:snapToGrid w:val="0"/>
          <w:sz w:val="22"/>
          <w:szCs w:val="22"/>
          <w:lang w:eastAsia="en-US"/>
        </w:rPr>
        <w:t>in</w:t>
      </w:r>
      <w:r w:rsidRPr="00F652D5">
        <w:rPr>
          <w:snapToGrid w:val="0"/>
          <w:sz w:val="22"/>
          <w:szCs w:val="22"/>
          <w:lang w:val="el-GR" w:eastAsia="en-US"/>
        </w:rPr>
        <w:t xml:space="preserve"> </w:t>
      </w:r>
      <w:r w:rsidRPr="00F652D5">
        <w:rPr>
          <w:snapToGrid w:val="0"/>
          <w:sz w:val="22"/>
          <w:szCs w:val="22"/>
          <w:lang w:eastAsia="en-US"/>
        </w:rPr>
        <w:t>vitro</w:t>
      </w:r>
      <w:r w:rsidRPr="00F652D5">
        <w:rPr>
          <w:snapToGrid w:val="0"/>
          <w:sz w:val="22"/>
          <w:szCs w:val="22"/>
          <w:lang w:val="el-GR" w:eastAsia="en-US"/>
        </w:rPr>
        <w:t xml:space="preserve"> έχουν δείξει ότι η έκθεση λεμφοκυττάρων χρόνιας λεμφοκυτταρικής αναιμίας (</w:t>
      </w:r>
      <w:smartTag w:uri="urn:schemas-microsoft-com:office:smarttags" w:element="stockticker">
        <w:r w:rsidRPr="00F652D5">
          <w:rPr>
            <w:snapToGrid w:val="0"/>
            <w:sz w:val="22"/>
            <w:szCs w:val="22"/>
            <w:lang w:eastAsia="en-US"/>
          </w:rPr>
          <w:t>CLL</w:t>
        </w:r>
      </w:smartTag>
      <w:r w:rsidRPr="00F652D5">
        <w:rPr>
          <w:snapToGrid w:val="0"/>
          <w:sz w:val="22"/>
          <w:szCs w:val="22"/>
          <w:lang w:val="el-GR" w:eastAsia="en-US"/>
        </w:rPr>
        <w:t>) σε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πυροδοτεί την εκτεταμένη κατάτμηση του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και κυτταρικό θάνατο, χαρακτηριστικό της απόπτωσης.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Σε μια κλινική μελέτη φάσης ΙΙΙ σε ασθενείς με β-κυτταρική χρόνια λεμφοκυτταρική αναιμία, οι οποίοι δεν είχαν υποβληθεί σε προηγούμενη θεραπεία, έγινε σύγκριση της θεραπείας με </w:t>
      </w:r>
      <w:r w:rsidRPr="00F652D5">
        <w:rPr>
          <w:snapToGrid w:val="0"/>
          <w:sz w:val="22"/>
          <w:szCs w:val="22"/>
          <w:lang w:eastAsia="en-US"/>
        </w:rPr>
        <w:t>Fludara</w:t>
      </w:r>
      <w:r w:rsidRPr="00F652D5">
        <w:rPr>
          <w:snapToGrid w:val="0"/>
          <w:sz w:val="22"/>
          <w:szCs w:val="22"/>
          <w:lang w:val="el-GR" w:eastAsia="en-US"/>
        </w:rPr>
        <w:t xml:space="preserve"> έναντι της χλωραμβουκίλης (40</w:t>
      </w:r>
      <w:r w:rsidR="00750BC9" w:rsidRPr="00F652D5">
        <w:rPr>
          <w:snapToGrid w:val="0"/>
          <w:sz w:val="22"/>
          <w:szCs w:val="22"/>
          <w:lang w:val="de-DE" w:eastAsia="en-US"/>
        </w:rPr>
        <w:t> </w:t>
      </w:r>
      <w:r w:rsidRPr="00F652D5">
        <w:rPr>
          <w:snapToGrid w:val="0"/>
          <w:sz w:val="22"/>
          <w:szCs w:val="22"/>
          <w:lang w:eastAsia="en-US"/>
        </w:rPr>
        <w:t>mg</w:t>
      </w:r>
      <w:r w:rsidRPr="00F652D5">
        <w:rPr>
          <w:snapToGrid w:val="0"/>
          <w:sz w:val="22"/>
          <w:szCs w:val="22"/>
          <w:lang w:val="el-GR" w:eastAsia="en-US"/>
        </w:rPr>
        <w:t>/</w:t>
      </w:r>
      <w:r w:rsidRPr="00F652D5">
        <w:rPr>
          <w:snapToGrid w:val="0"/>
          <w:sz w:val="22"/>
          <w:szCs w:val="22"/>
          <w:lang w:eastAsia="en-US"/>
        </w:rPr>
        <w:t>m</w:t>
      </w:r>
      <w:r w:rsidRPr="00F652D5">
        <w:rPr>
          <w:snapToGrid w:val="0"/>
          <w:sz w:val="22"/>
          <w:szCs w:val="22"/>
          <w:vertAlign w:val="superscript"/>
          <w:lang w:val="el-GR" w:eastAsia="en-US"/>
        </w:rPr>
        <w:t>2</w:t>
      </w:r>
      <w:r w:rsidRPr="00F652D5">
        <w:rPr>
          <w:snapToGrid w:val="0"/>
          <w:sz w:val="22"/>
          <w:szCs w:val="22"/>
          <w:lang w:val="el-GR" w:eastAsia="en-US"/>
        </w:rPr>
        <w:t xml:space="preserve"> κάθε 4 εβδομάδες) σε 195</w:t>
      </w:r>
      <w:r w:rsidR="00750BC9" w:rsidRPr="00F652D5">
        <w:rPr>
          <w:snapToGrid w:val="0"/>
          <w:sz w:val="22"/>
          <w:szCs w:val="22"/>
          <w:lang w:val="de-DE" w:eastAsia="en-US"/>
        </w:rPr>
        <w:t> </w:t>
      </w:r>
      <w:r w:rsidRPr="00F652D5">
        <w:rPr>
          <w:snapToGrid w:val="0"/>
          <w:sz w:val="22"/>
          <w:szCs w:val="22"/>
          <w:lang w:val="el-GR" w:eastAsia="en-US"/>
        </w:rPr>
        <w:t>και 199</w:t>
      </w:r>
      <w:r w:rsidR="00750BC9" w:rsidRPr="00F652D5">
        <w:rPr>
          <w:snapToGrid w:val="0"/>
          <w:sz w:val="22"/>
          <w:szCs w:val="22"/>
          <w:lang w:val="de-DE" w:eastAsia="en-US"/>
        </w:rPr>
        <w:t> </w:t>
      </w:r>
      <w:r w:rsidRPr="00F652D5">
        <w:rPr>
          <w:snapToGrid w:val="0"/>
          <w:sz w:val="22"/>
          <w:szCs w:val="22"/>
          <w:lang w:val="el-GR" w:eastAsia="en-US"/>
        </w:rPr>
        <w:t xml:space="preserve">ασθενείς αντίστοιχα και διαπιστώθηκαν τα ακόλουθα αποτελέσματα: στατιστικά σημαντικά υψηλότερα ποσοστά, συνολικής και πλήρους ανταπόκρισης μετά τη θεραπεία πρώτης γραμμής με </w:t>
      </w:r>
      <w:r w:rsidRPr="00F652D5">
        <w:rPr>
          <w:snapToGrid w:val="0"/>
          <w:sz w:val="22"/>
          <w:szCs w:val="22"/>
          <w:lang w:eastAsia="en-US"/>
        </w:rPr>
        <w:t>Fludara</w:t>
      </w:r>
      <w:r w:rsidRPr="00F652D5">
        <w:rPr>
          <w:snapToGrid w:val="0"/>
          <w:sz w:val="22"/>
          <w:szCs w:val="22"/>
          <w:lang w:val="el-GR" w:eastAsia="en-US"/>
        </w:rPr>
        <w:t xml:space="preserve"> σε σύγκριση με τη χλωραμβουκίλη (61,1% έναντι 37,6% και 14,9% έναντι 3,4% αντίσ</w:t>
      </w:r>
      <w:r w:rsidR="00A07726" w:rsidRPr="00F652D5">
        <w:rPr>
          <w:snapToGrid w:val="0"/>
          <w:sz w:val="22"/>
          <w:szCs w:val="22"/>
          <w:lang w:val="el-GR" w:eastAsia="en-US"/>
        </w:rPr>
        <w:t>τ</w:t>
      </w:r>
      <w:r w:rsidRPr="00F652D5">
        <w:rPr>
          <w:snapToGrid w:val="0"/>
          <w:sz w:val="22"/>
          <w:szCs w:val="22"/>
          <w:lang w:val="el-GR" w:eastAsia="en-US"/>
        </w:rPr>
        <w:t>οιχα). Στατιστικά σημαντικά μεγαλύτερη διάρκεια ανταπόκρισης (19 έναντι 12,2 μηνών) και χρόνου εξέ</w:t>
      </w:r>
      <w:r w:rsidR="00750BC9" w:rsidRPr="00F652D5">
        <w:rPr>
          <w:snapToGrid w:val="0"/>
          <w:sz w:val="22"/>
          <w:szCs w:val="22"/>
          <w:lang w:val="el-GR" w:eastAsia="en-US"/>
        </w:rPr>
        <w:t>λιξης της νόσου (17 έναντι 13,2</w:t>
      </w:r>
      <w:r w:rsidR="00750BC9" w:rsidRPr="00F652D5">
        <w:rPr>
          <w:snapToGrid w:val="0"/>
          <w:sz w:val="22"/>
          <w:szCs w:val="22"/>
          <w:lang w:val="de-DE" w:eastAsia="en-US"/>
        </w:rPr>
        <w:t> </w:t>
      </w:r>
      <w:r w:rsidRPr="00F652D5">
        <w:rPr>
          <w:snapToGrid w:val="0"/>
          <w:sz w:val="22"/>
          <w:szCs w:val="22"/>
          <w:lang w:val="el-GR" w:eastAsia="en-US"/>
        </w:rPr>
        <w:t xml:space="preserve">μηνών) για τους ασθενείς που έλαβαν το </w:t>
      </w:r>
      <w:r w:rsidRPr="00F652D5">
        <w:rPr>
          <w:snapToGrid w:val="0"/>
          <w:sz w:val="22"/>
          <w:szCs w:val="22"/>
          <w:lang w:eastAsia="en-US"/>
        </w:rPr>
        <w:t>Fludara</w:t>
      </w:r>
      <w:r w:rsidRPr="00F652D5">
        <w:rPr>
          <w:snapToGrid w:val="0"/>
          <w:sz w:val="22"/>
          <w:szCs w:val="22"/>
          <w:lang w:val="el-GR" w:eastAsia="en-US"/>
        </w:rPr>
        <w:t xml:space="preserve">. Ο </w:t>
      </w:r>
      <w:r w:rsidR="00314686">
        <w:rPr>
          <w:snapToGrid w:val="0"/>
          <w:sz w:val="22"/>
          <w:szCs w:val="22"/>
          <w:lang w:val="el-GR" w:eastAsia="en-US"/>
        </w:rPr>
        <w:t>διάμεσ</w:t>
      </w:r>
      <w:r w:rsidRPr="00F652D5">
        <w:rPr>
          <w:snapToGrid w:val="0"/>
          <w:sz w:val="22"/>
          <w:szCs w:val="22"/>
          <w:lang w:val="el-GR" w:eastAsia="en-US"/>
        </w:rPr>
        <w:t xml:space="preserve">ος χρόνος επιβίωσης των ασθενών των δυο ομάδων ήταν 56,1 μήνες για το </w:t>
      </w:r>
      <w:r w:rsidRPr="00F652D5">
        <w:rPr>
          <w:snapToGrid w:val="0"/>
          <w:sz w:val="22"/>
          <w:szCs w:val="22"/>
          <w:lang w:eastAsia="en-US"/>
        </w:rPr>
        <w:t>Fludara</w:t>
      </w:r>
      <w:r w:rsidRPr="00F652D5">
        <w:rPr>
          <w:snapToGrid w:val="0"/>
          <w:sz w:val="22"/>
          <w:szCs w:val="22"/>
          <w:lang w:val="el-GR" w:eastAsia="en-US"/>
        </w:rPr>
        <w:t xml:space="preserve"> και 55,1 μήνες για την χλωραμβουκίλη. </w:t>
      </w:r>
      <w:r w:rsidR="006F3423">
        <w:rPr>
          <w:snapToGrid w:val="0"/>
          <w:sz w:val="22"/>
          <w:szCs w:val="22"/>
          <w:lang w:val="el-GR" w:eastAsia="en-US"/>
        </w:rPr>
        <w:t>Μη-</w:t>
      </w:r>
      <w:r w:rsidRPr="00F652D5">
        <w:rPr>
          <w:snapToGrid w:val="0"/>
          <w:sz w:val="22"/>
          <w:szCs w:val="22"/>
          <w:lang w:val="el-GR" w:eastAsia="en-US"/>
        </w:rPr>
        <w:t xml:space="preserve">σημαντική επίσης διαφορά παρατηρήθηκε και στη λειτουργική κατάσταση. Το ποσοστό των ασθενών που ανέφερε τοξικότητα ήταν παρόμοιο μεταξύ των ασθενών που έλαβαν </w:t>
      </w:r>
      <w:r w:rsidRPr="00F652D5">
        <w:rPr>
          <w:snapToGrid w:val="0"/>
          <w:sz w:val="22"/>
          <w:szCs w:val="22"/>
          <w:lang w:eastAsia="en-US"/>
        </w:rPr>
        <w:t>Fludara</w:t>
      </w:r>
      <w:r w:rsidRPr="00F652D5">
        <w:rPr>
          <w:snapToGrid w:val="0"/>
          <w:sz w:val="22"/>
          <w:szCs w:val="22"/>
          <w:lang w:val="el-GR" w:eastAsia="en-US"/>
        </w:rPr>
        <w:t xml:space="preserve"> (89,7%) και εκείνων που έλαβαν χλωραμβουκίλη (89,9%). Ενώ η διαφορά στη συνολική επίπτωση της αιματολογικής τοξικότητας δεν υπήρξε σημαντική μεταξύ των δυο θεραπευτικών ομάδων, σημαντικά μεγαλύτερα ποσοστά στην ομάδα του </w:t>
      </w:r>
      <w:r w:rsidRPr="00F652D5">
        <w:rPr>
          <w:snapToGrid w:val="0"/>
          <w:sz w:val="22"/>
          <w:szCs w:val="22"/>
          <w:lang w:eastAsia="en-US"/>
        </w:rPr>
        <w:t>Fludara</w:t>
      </w:r>
      <w:r w:rsidRPr="00F652D5">
        <w:rPr>
          <w:snapToGrid w:val="0"/>
          <w:sz w:val="22"/>
          <w:szCs w:val="22"/>
          <w:lang w:val="el-GR" w:eastAsia="en-US"/>
        </w:rPr>
        <w:t xml:space="preserve"> εμφάνισαν τοξικότητα στα λευκά αιμοσφαίρια (</w:t>
      </w:r>
      <w:r w:rsidRPr="00F652D5">
        <w:rPr>
          <w:snapToGrid w:val="0"/>
          <w:sz w:val="22"/>
          <w:szCs w:val="22"/>
          <w:lang w:eastAsia="en-US"/>
        </w:rPr>
        <w:t>p</w:t>
      </w:r>
      <w:r w:rsidRPr="00F652D5">
        <w:rPr>
          <w:snapToGrid w:val="0"/>
          <w:sz w:val="22"/>
          <w:szCs w:val="22"/>
          <w:lang w:val="el-GR" w:eastAsia="en-US"/>
        </w:rPr>
        <w:t>=0,0054) και στα λεμφοκύτταρα (</w:t>
      </w:r>
      <w:r w:rsidRPr="00F652D5">
        <w:rPr>
          <w:snapToGrid w:val="0"/>
          <w:sz w:val="22"/>
          <w:szCs w:val="22"/>
          <w:lang w:eastAsia="en-US"/>
        </w:rPr>
        <w:t>p</w:t>
      </w:r>
      <w:r w:rsidRPr="00F652D5">
        <w:rPr>
          <w:snapToGrid w:val="0"/>
          <w:sz w:val="22"/>
          <w:szCs w:val="22"/>
          <w:lang w:val="el-GR" w:eastAsia="en-US"/>
        </w:rPr>
        <w:t xml:space="preserve">=0,0240) σε σχέση με την ομάδα της χλωραμβουκίλης. Τα ποσοστά των ασθενών που εμφάνισαν ναυτία, έμετο και διάρροια ήταν σημαντικά χαμηλότερα για το </w:t>
      </w:r>
      <w:r w:rsidRPr="00F652D5">
        <w:rPr>
          <w:snapToGrid w:val="0"/>
          <w:sz w:val="22"/>
          <w:szCs w:val="22"/>
          <w:lang w:eastAsia="en-US"/>
        </w:rPr>
        <w:t>Fludara</w:t>
      </w:r>
      <w:r w:rsidRPr="00F652D5">
        <w:rPr>
          <w:snapToGrid w:val="0"/>
          <w:sz w:val="22"/>
          <w:szCs w:val="22"/>
          <w:lang w:val="el-GR" w:eastAsia="en-US"/>
        </w:rPr>
        <w:t xml:space="preserve"> (p&lt;0,0001, p&lt;0,0001 και </w:t>
      </w:r>
      <w:r w:rsidRPr="00F652D5">
        <w:rPr>
          <w:snapToGrid w:val="0"/>
          <w:sz w:val="22"/>
          <w:szCs w:val="22"/>
          <w:lang w:eastAsia="en-US"/>
        </w:rPr>
        <w:t>p</w:t>
      </w:r>
      <w:r w:rsidRPr="00F652D5">
        <w:rPr>
          <w:snapToGrid w:val="0"/>
          <w:sz w:val="22"/>
          <w:szCs w:val="22"/>
          <w:lang w:val="el-GR" w:eastAsia="en-US"/>
        </w:rPr>
        <w:t>=0,0489</w:t>
      </w:r>
      <w:r w:rsidR="00750BC9" w:rsidRPr="00F652D5">
        <w:rPr>
          <w:snapToGrid w:val="0"/>
          <w:sz w:val="22"/>
          <w:szCs w:val="22"/>
          <w:lang w:val="de-DE" w:eastAsia="en-US"/>
        </w:rPr>
        <w:t> </w:t>
      </w:r>
      <w:r w:rsidRPr="00F652D5">
        <w:rPr>
          <w:snapToGrid w:val="0"/>
          <w:sz w:val="22"/>
          <w:szCs w:val="22"/>
          <w:lang w:val="el-GR" w:eastAsia="en-US"/>
        </w:rPr>
        <w:t xml:space="preserve">αντίστοιχα) από ότι για τη </w:t>
      </w:r>
      <w:r w:rsidRPr="00F652D5">
        <w:rPr>
          <w:snapToGrid w:val="0"/>
          <w:sz w:val="22"/>
          <w:szCs w:val="22"/>
          <w:lang w:val="el-GR" w:eastAsia="en-US"/>
        </w:rPr>
        <w:lastRenderedPageBreak/>
        <w:t>χλωραμβουκίλη. Ηπατική τοξικότητα αναφέρθηκε σε σημαντικά χαμηλότερο ποσοστό ασθενών (</w:t>
      </w:r>
      <w:r w:rsidRPr="00F652D5">
        <w:rPr>
          <w:snapToGrid w:val="0"/>
          <w:sz w:val="22"/>
          <w:szCs w:val="22"/>
          <w:lang w:eastAsia="en-US"/>
        </w:rPr>
        <w:t>p</w:t>
      </w:r>
      <w:r w:rsidRPr="00F652D5">
        <w:rPr>
          <w:snapToGrid w:val="0"/>
          <w:sz w:val="22"/>
          <w:szCs w:val="22"/>
          <w:lang w:val="el-GR" w:eastAsia="en-US"/>
        </w:rPr>
        <w:t xml:space="preserve">=0,0487) στην ομάδα του </w:t>
      </w:r>
      <w:r w:rsidRPr="00F652D5">
        <w:rPr>
          <w:snapToGrid w:val="0"/>
          <w:sz w:val="22"/>
          <w:szCs w:val="22"/>
          <w:lang w:eastAsia="en-US"/>
        </w:rPr>
        <w:t>Fludara</w:t>
      </w:r>
      <w:r w:rsidRPr="00F652D5">
        <w:rPr>
          <w:snapToGrid w:val="0"/>
          <w:sz w:val="22"/>
          <w:szCs w:val="22"/>
          <w:lang w:val="el-GR" w:eastAsia="en-US"/>
        </w:rPr>
        <w:t xml:space="preserve"> από ότι στην ομάδα της χλωραμβουκίλης.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Οι ασθενείς που </w:t>
      </w:r>
      <w:r w:rsidR="00610C81" w:rsidRPr="00F652D5">
        <w:rPr>
          <w:snapToGrid w:val="0"/>
          <w:sz w:val="22"/>
          <w:szCs w:val="22"/>
          <w:lang w:val="el-GR" w:eastAsia="en-US"/>
        </w:rPr>
        <w:t>ανταποκρίνονται</w:t>
      </w:r>
      <w:r w:rsidRPr="00F652D5">
        <w:rPr>
          <w:snapToGrid w:val="0"/>
          <w:sz w:val="22"/>
          <w:szCs w:val="22"/>
          <w:lang w:val="el-GR" w:eastAsia="en-US"/>
        </w:rPr>
        <w:t xml:space="preserve"> αρχικά στο </w:t>
      </w:r>
      <w:r w:rsidRPr="00F652D5">
        <w:rPr>
          <w:snapToGrid w:val="0"/>
          <w:sz w:val="22"/>
          <w:szCs w:val="22"/>
          <w:lang w:eastAsia="en-US"/>
        </w:rPr>
        <w:t>Fludara</w:t>
      </w:r>
      <w:r w:rsidRPr="00F652D5">
        <w:rPr>
          <w:snapToGrid w:val="0"/>
          <w:sz w:val="22"/>
          <w:szCs w:val="22"/>
          <w:lang w:val="el-GR" w:eastAsia="en-US"/>
        </w:rPr>
        <w:t xml:space="preserve"> έχουν πιθανότητα να ανταποκριθούν εκ νέου σε μονοθεραπεία με Fludara.</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Μία τυχαιοποιημένη κλινική μελέτη του </w:t>
      </w:r>
      <w:r w:rsidRPr="00F652D5">
        <w:rPr>
          <w:snapToGrid w:val="0"/>
          <w:sz w:val="22"/>
          <w:szCs w:val="22"/>
          <w:lang w:eastAsia="en-US"/>
        </w:rPr>
        <w:t>Fludara</w:t>
      </w:r>
      <w:r w:rsidRPr="00F652D5">
        <w:rPr>
          <w:snapToGrid w:val="0"/>
          <w:sz w:val="22"/>
          <w:szCs w:val="22"/>
          <w:lang w:val="el-GR" w:eastAsia="en-US"/>
        </w:rPr>
        <w:t xml:space="preserve"> έναντι του συνδυασμού </w:t>
      </w:r>
      <w:smartTag w:uri="urn:schemas-microsoft-com:office:smarttags" w:element="stockticker">
        <w:r w:rsidRPr="00F652D5">
          <w:rPr>
            <w:snapToGrid w:val="0"/>
            <w:sz w:val="22"/>
            <w:szCs w:val="22"/>
            <w:lang w:eastAsia="en-US"/>
          </w:rPr>
          <w:t>CAP</w:t>
        </w:r>
      </w:smartTag>
      <w:r w:rsidRPr="00F652D5">
        <w:rPr>
          <w:snapToGrid w:val="0"/>
          <w:sz w:val="22"/>
          <w:szCs w:val="22"/>
          <w:lang w:val="el-GR" w:eastAsia="en-US"/>
        </w:rPr>
        <w:t xml:space="preserve"> (κυκλοφωσφαμίδη, αδριαμυκίνη και πρεδνιζόνη), σε 208 ασθενείς με </w:t>
      </w:r>
      <w:smartTag w:uri="urn:schemas-microsoft-com:office:smarttags" w:element="stockticker">
        <w:r w:rsidRPr="00F652D5">
          <w:rPr>
            <w:snapToGrid w:val="0"/>
            <w:sz w:val="22"/>
            <w:szCs w:val="22"/>
            <w:lang w:eastAsia="en-US"/>
          </w:rPr>
          <w:t>CLL</w:t>
        </w:r>
      </w:smartTag>
      <w:r w:rsidRPr="00F652D5">
        <w:rPr>
          <w:snapToGrid w:val="0"/>
          <w:sz w:val="22"/>
          <w:szCs w:val="22"/>
          <w:lang w:val="el-GR" w:eastAsia="en-US"/>
        </w:rPr>
        <w:t xml:space="preserve"> σε στάδιο Β ή C κατά </w:t>
      </w:r>
      <w:r w:rsidRPr="00F652D5">
        <w:rPr>
          <w:snapToGrid w:val="0"/>
          <w:sz w:val="22"/>
          <w:szCs w:val="22"/>
          <w:lang w:eastAsia="en-US"/>
        </w:rPr>
        <w:t>Binet</w:t>
      </w:r>
      <w:r w:rsidRPr="00F652D5">
        <w:rPr>
          <w:snapToGrid w:val="0"/>
          <w:sz w:val="22"/>
          <w:szCs w:val="22"/>
          <w:lang w:val="el-GR" w:eastAsia="en-US"/>
        </w:rPr>
        <w:t xml:space="preserve">, ανέδειξε τα ακόλουθα αποτελέσματα στην υποομάδα των 103 ασθενών που είχαν λάβει προηγουμένως άλλη θεραπευτική αγωγή: το ποσοστό της ολικής ανταπόκρισης και της πλήρους ανταπόκρισης ήταν υψηλότερο για το </w:t>
      </w:r>
      <w:r w:rsidRPr="00F652D5">
        <w:rPr>
          <w:snapToGrid w:val="0"/>
          <w:sz w:val="22"/>
          <w:szCs w:val="22"/>
          <w:lang w:eastAsia="en-US"/>
        </w:rPr>
        <w:t>Fludara</w:t>
      </w:r>
      <w:r w:rsidRPr="00F652D5">
        <w:rPr>
          <w:snapToGrid w:val="0"/>
          <w:sz w:val="22"/>
          <w:szCs w:val="22"/>
          <w:lang w:val="el-GR" w:eastAsia="en-US"/>
        </w:rPr>
        <w:t xml:space="preserve"> σε σύγκριση με το συνδυασμό </w:t>
      </w:r>
      <w:smartTag w:uri="urn:schemas-microsoft-com:office:smarttags" w:element="stockticker">
        <w:r w:rsidRPr="00F652D5">
          <w:rPr>
            <w:snapToGrid w:val="0"/>
            <w:sz w:val="22"/>
            <w:szCs w:val="22"/>
            <w:lang w:eastAsia="en-US"/>
          </w:rPr>
          <w:t>CAP</w:t>
        </w:r>
      </w:smartTag>
      <w:r w:rsidRPr="00F652D5">
        <w:rPr>
          <w:snapToGrid w:val="0"/>
          <w:sz w:val="22"/>
          <w:szCs w:val="22"/>
          <w:lang w:val="el-GR" w:eastAsia="en-US"/>
        </w:rPr>
        <w:t xml:space="preserve"> (45% έναντι 26% και 13% έναντι 6% αντίστοιχα), η διάρκεια της ανταπόκρισης και το συνολικό ποσοστό επιβίωσης ήταν παρόμοια και με τις δύο φαρμακευτικές αγωγές (</w:t>
      </w:r>
      <w:r w:rsidRPr="00F652D5">
        <w:rPr>
          <w:snapToGrid w:val="0"/>
          <w:sz w:val="22"/>
          <w:szCs w:val="22"/>
          <w:lang w:eastAsia="en-US"/>
        </w:rPr>
        <w:t>Fludara</w:t>
      </w:r>
      <w:r w:rsidRPr="00F652D5">
        <w:rPr>
          <w:snapToGrid w:val="0"/>
          <w:sz w:val="22"/>
          <w:szCs w:val="22"/>
          <w:lang w:val="el-GR" w:eastAsia="en-US"/>
        </w:rPr>
        <w:t xml:space="preserve"> /</w:t>
      </w:r>
      <w:smartTag w:uri="urn:schemas-microsoft-com:office:smarttags" w:element="stockticker">
        <w:r w:rsidRPr="00F652D5">
          <w:rPr>
            <w:snapToGrid w:val="0"/>
            <w:sz w:val="22"/>
            <w:szCs w:val="22"/>
            <w:lang w:eastAsia="en-US"/>
          </w:rPr>
          <w:t>CAP</w:t>
        </w:r>
      </w:smartTag>
      <w:r w:rsidRPr="00F652D5">
        <w:rPr>
          <w:snapToGrid w:val="0"/>
          <w:sz w:val="22"/>
          <w:szCs w:val="22"/>
          <w:lang w:val="el-GR" w:eastAsia="en-US"/>
        </w:rPr>
        <w:t>). Μέσα στο συμφωνημένο χρονικό διάστημα της θεραπείας των 6 μηνών, ο αριθμός των θανάτων ήταν 9 (</w:t>
      </w:r>
      <w:r w:rsidRPr="00F652D5">
        <w:rPr>
          <w:snapToGrid w:val="0"/>
          <w:sz w:val="22"/>
          <w:szCs w:val="22"/>
          <w:lang w:eastAsia="en-US"/>
        </w:rPr>
        <w:t>Fludara</w:t>
      </w:r>
      <w:r w:rsidRPr="00F652D5">
        <w:rPr>
          <w:snapToGrid w:val="0"/>
          <w:sz w:val="22"/>
          <w:szCs w:val="22"/>
          <w:lang w:val="el-GR" w:eastAsia="en-US"/>
        </w:rPr>
        <w:t>) έναντι 4 (</w:t>
      </w:r>
      <w:smartTag w:uri="urn:schemas-microsoft-com:office:smarttags" w:element="stockticker">
        <w:r w:rsidRPr="00F652D5">
          <w:rPr>
            <w:snapToGrid w:val="0"/>
            <w:sz w:val="22"/>
            <w:szCs w:val="22"/>
            <w:lang w:eastAsia="en-US"/>
          </w:rPr>
          <w:t>CAP</w:t>
        </w:r>
      </w:smartTag>
      <w:r w:rsidRPr="00F652D5">
        <w:rPr>
          <w:snapToGrid w:val="0"/>
          <w:sz w:val="22"/>
          <w:szCs w:val="22"/>
          <w:lang w:val="el-GR" w:eastAsia="en-US"/>
        </w:rPr>
        <w:t>).</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eastAsia="en-US"/>
        </w:rPr>
        <w:t>Post</w:t>
      </w:r>
      <w:r w:rsidRPr="00F652D5">
        <w:rPr>
          <w:snapToGrid w:val="0"/>
          <w:sz w:val="22"/>
          <w:szCs w:val="22"/>
          <w:lang w:val="el-GR" w:eastAsia="en-US"/>
        </w:rPr>
        <w:t>-</w:t>
      </w:r>
      <w:r w:rsidRPr="00F652D5">
        <w:rPr>
          <w:snapToGrid w:val="0"/>
          <w:sz w:val="22"/>
          <w:szCs w:val="22"/>
          <w:lang w:eastAsia="en-US"/>
        </w:rPr>
        <w:t>hoc</w:t>
      </w:r>
      <w:r w:rsidRPr="00F652D5">
        <w:rPr>
          <w:snapToGrid w:val="0"/>
          <w:sz w:val="22"/>
          <w:szCs w:val="22"/>
          <w:lang w:val="el-GR" w:eastAsia="en-US"/>
        </w:rPr>
        <w:t xml:space="preserve"> αναλύσεις, κάνοντας χρήση μόνο των δεδομένων μέχρι και 6 μηνών μετά την έναρξη της θεραπείας, ανέδειξαν μία διαφοροποίηση στις καμπύλες επιβίωσης του </w:t>
      </w:r>
      <w:r w:rsidRPr="00F652D5">
        <w:rPr>
          <w:snapToGrid w:val="0"/>
          <w:sz w:val="22"/>
          <w:szCs w:val="22"/>
          <w:lang w:eastAsia="en-US"/>
        </w:rPr>
        <w:t>Fludara</w:t>
      </w:r>
      <w:r w:rsidRPr="00F652D5">
        <w:rPr>
          <w:snapToGrid w:val="0"/>
          <w:sz w:val="22"/>
          <w:szCs w:val="22"/>
          <w:lang w:val="el-GR" w:eastAsia="en-US"/>
        </w:rPr>
        <w:t xml:space="preserve"> και του συνδυασμού </w:t>
      </w:r>
      <w:smartTag w:uri="urn:schemas-microsoft-com:office:smarttags" w:element="stockticker">
        <w:r w:rsidRPr="00F652D5">
          <w:rPr>
            <w:snapToGrid w:val="0"/>
            <w:sz w:val="22"/>
            <w:szCs w:val="22"/>
            <w:lang w:eastAsia="en-US"/>
          </w:rPr>
          <w:t>CAP</w:t>
        </w:r>
      </w:smartTag>
      <w:r w:rsidRPr="00F652D5">
        <w:rPr>
          <w:snapToGrid w:val="0"/>
          <w:sz w:val="22"/>
          <w:szCs w:val="22"/>
          <w:lang w:val="el-GR" w:eastAsia="en-US"/>
        </w:rPr>
        <w:t xml:space="preserve">, προς όφελος του συνδυασμού </w:t>
      </w:r>
      <w:smartTag w:uri="urn:schemas-microsoft-com:office:smarttags" w:element="stockticker">
        <w:r w:rsidRPr="00F652D5">
          <w:rPr>
            <w:snapToGrid w:val="0"/>
            <w:sz w:val="22"/>
            <w:szCs w:val="22"/>
            <w:lang w:eastAsia="en-US"/>
          </w:rPr>
          <w:t>CAP</w:t>
        </w:r>
      </w:smartTag>
      <w:r w:rsidRPr="00F652D5">
        <w:rPr>
          <w:snapToGrid w:val="0"/>
          <w:sz w:val="22"/>
          <w:szCs w:val="22"/>
          <w:lang w:val="el-GR" w:eastAsia="en-US"/>
        </w:rPr>
        <w:t xml:space="preserve">, στην υποομάδα των ασθενών σε στάδιο </w:t>
      </w:r>
      <w:r w:rsidRPr="00F652D5">
        <w:rPr>
          <w:snapToGrid w:val="0"/>
          <w:sz w:val="22"/>
          <w:szCs w:val="22"/>
          <w:lang w:eastAsia="en-US"/>
        </w:rPr>
        <w:t>C</w:t>
      </w:r>
      <w:r w:rsidRPr="00F652D5">
        <w:rPr>
          <w:snapToGrid w:val="0"/>
          <w:sz w:val="22"/>
          <w:szCs w:val="22"/>
          <w:lang w:val="el-GR" w:eastAsia="en-US"/>
        </w:rPr>
        <w:t xml:space="preserve"> κατά </w:t>
      </w:r>
      <w:r w:rsidRPr="00F652D5">
        <w:rPr>
          <w:snapToGrid w:val="0"/>
          <w:sz w:val="22"/>
          <w:szCs w:val="22"/>
          <w:lang w:eastAsia="en-US"/>
        </w:rPr>
        <w:t>Binet</w:t>
      </w:r>
      <w:r w:rsidRPr="00F652D5">
        <w:rPr>
          <w:snapToGrid w:val="0"/>
          <w:sz w:val="22"/>
          <w:szCs w:val="22"/>
          <w:lang w:val="el-GR" w:eastAsia="en-US"/>
        </w:rPr>
        <w:t>, οι οποίοι είχαν λάβει προηγουμένως άλλη θεραπευτική αγωγή.</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5.2</w:t>
      </w:r>
      <w:r w:rsidRPr="00F652D5">
        <w:rPr>
          <w:b/>
          <w:snapToGrid w:val="0"/>
          <w:sz w:val="22"/>
          <w:szCs w:val="22"/>
          <w:lang w:val="el-GR" w:eastAsia="en-US"/>
        </w:rPr>
        <w:tab/>
        <w:t>Φαρμακοκινητικές ιδιότητες</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986D6B">
      <w:pPr>
        <w:tabs>
          <w:tab w:val="left" w:pos="567"/>
        </w:tabs>
        <w:jc w:val="both"/>
        <w:rPr>
          <w:i/>
          <w:snapToGrid w:val="0"/>
          <w:sz w:val="22"/>
          <w:szCs w:val="22"/>
          <w:u w:val="single"/>
          <w:lang w:val="el-GR" w:eastAsia="en-US"/>
        </w:rPr>
      </w:pPr>
      <w:r w:rsidRPr="00F652D5">
        <w:rPr>
          <w:i/>
          <w:snapToGrid w:val="0"/>
          <w:sz w:val="22"/>
          <w:szCs w:val="22"/>
          <w:u w:val="single"/>
          <w:lang w:val="el-GR" w:eastAsia="en-US"/>
        </w:rPr>
        <w:t>Φαρμακοκινητικές ιδιότητες της φλουνταραμπίνης (2</w:t>
      </w:r>
      <w:r w:rsidRPr="00F652D5">
        <w:rPr>
          <w:i/>
          <w:snapToGrid w:val="0"/>
          <w:sz w:val="22"/>
          <w:szCs w:val="22"/>
          <w:u w:val="single"/>
          <w:lang w:eastAsia="en-US"/>
        </w:rPr>
        <w:t>F</w:t>
      </w:r>
      <w:r w:rsidRPr="00F652D5">
        <w:rPr>
          <w:i/>
          <w:snapToGrid w:val="0"/>
          <w:sz w:val="22"/>
          <w:szCs w:val="22"/>
          <w:u w:val="single"/>
          <w:lang w:val="el-GR" w:eastAsia="en-US"/>
        </w:rPr>
        <w:t>-</w:t>
      </w:r>
      <w:r w:rsidRPr="00F652D5">
        <w:rPr>
          <w:i/>
          <w:snapToGrid w:val="0"/>
          <w:sz w:val="22"/>
          <w:szCs w:val="22"/>
          <w:u w:val="single"/>
          <w:lang w:eastAsia="en-US"/>
        </w:rPr>
        <w:t>ara</w:t>
      </w:r>
      <w:r w:rsidRPr="00F652D5">
        <w:rPr>
          <w:i/>
          <w:snapToGrid w:val="0"/>
          <w:sz w:val="22"/>
          <w:szCs w:val="22"/>
          <w:u w:val="single"/>
          <w:lang w:val="el-GR" w:eastAsia="en-US"/>
        </w:rPr>
        <w:t>-</w:t>
      </w:r>
      <w:r w:rsidRPr="00F652D5">
        <w:rPr>
          <w:i/>
          <w:snapToGrid w:val="0"/>
          <w:sz w:val="22"/>
          <w:szCs w:val="22"/>
          <w:u w:val="single"/>
          <w:lang w:eastAsia="en-US"/>
        </w:rPr>
        <w:t>A</w:t>
      </w:r>
      <w:r w:rsidRPr="00F652D5">
        <w:rPr>
          <w:i/>
          <w:snapToGrid w:val="0"/>
          <w:sz w:val="22"/>
          <w:szCs w:val="22"/>
          <w:u w:val="single"/>
          <w:lang w:val="el-GR" w:eastAsia="en-US"/>
        </w:rPr>
        <w:t>) στο πλάσμα και στα ούρα</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Οι φαρμακοκινητικές ιδιότητες της φλουνταραμπίνης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μελετήθηκαν μετά από ενδοφλέβια χορήγηση με ταχεία εφάπαξ (</w:t>
      </w:r>
      <w:r w:rsidRPr="00F652D5">
        <w:rPr>
          <w:snapToGrid w:val="0"/>
          <w:sz w:val="22"/>
          <w:szCs w:val="22"/>
          <w:lang w:eastAsia="en-US"/>
        </w:rPr>
        <w:t>bolus</w:t>
      </w:r>
      <w:r w:rsidRPr="00F652D5">
        <w:rPr>
          <w:snapToGrid w:val="0"/>
          <w:sz w:val="22"/>
          <w:szCs w:val="22"/>
          <w:lang w:val="el-GR" w:eastAsia="en-US"/>
        </w:rPr>
        <w:t xml:space="preserve">) ένεση και βραχεία έγχυση, καθώς και μετά από συνεχή έγχυση </w:t>
      </w:r>
      <w:r w:rsidRPr="00F652D5">
        <w:rPr>
          <w:snapToGrid w:val="0"/>
          <w:sz w:val="22"/>
          <w:szCs w:val="22"/>
          <w:lang w:val="el-GR"/>
        </w:rPr>
        <w:t xml:space="preserve">και μετά από </w:t>
      </w:r>
      <w:r w:rsidRPr="00F652D5">
        <w:rPr>
          <w:sz w:val="22"/>
          <w:szCs w:val="22"/>
          <w:lang w:val="el-GR"/>
        </w:rPr>
        <w:t xml:space="preserve">δοσολογία από του στόματος της </w:t>
      </w:r>
      <w:r w:rsidRPr="00F652D5">
        <w:rPr>
          <w:snapToGrid w:val="0"/>
          <w:sz w:val="22"/>
          <w:szCs w:val="22"/>
          <w:lang w:val="el-GR" w:eastAsia="en-US"/>
        </w:rPr>
        <w:t>φωσφορικής φλουνταραμπίνης (</w:t>
      </w:r>
      <w:r w:rsidRPr="00F652D5">
        <w:rPr>
          <w:snapToGrid w:val="0"/>
          <w:sz w:val="22"/>
          <w:szCs w:val="22"/>
          <w:lang w:eastAsia="en-US"/>
        </w:rPr>
        <w:t>Fludara</w:t>
      </w:r>
      <w:r w:rsidRPr="00F652D5">
        <w:rPr>
          <w:snapToGrid w:val="0"/>
          <w:sz w:val="22"/>
          <w:szCs w:val="22"/>
          <w:lang w:val="el-GR" w:eastAsia="en-US"/>
        </w:rPr>
        <w:t>,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AMP</w:t>
      </w:r>
      <w:r w:rsidRPr="00F652D5">
        <w:rPr>
          <w:snapToGrid w:val="0"/>
          <w:sz w:val="22"/>
          <w:szCs w:val="22"/>
          <w:lang w:val="el-GR" w:eastAsia="en-US"/>
        </w:rPr>
        <w:t xml:space="preserve">). </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0"/>
        </w:tabs>
        <w:rPr>
          <w:snapToGrid w:val="0"/>
          <w:sz w:val="22"/>
          <w:szCs w:val="22"/>
          <w:lang w:val="el-GR"/>
        </w:rPr>
      </w:pPr>
      <w:r w:rsidRPr="00F652D5">
        <w:rPr>
          <w:snapToGrid w:val="0"/>
          <w:sz w:val="22"/>
          <w:szCs w:val="22"/>
          <w:lang w:val="el-GR"/>
        </w:rPr>
        <w:t>Δεν βρέθηκε σαφής συσχέτιση μεταξύ της φαρμακοκινητικής της 2</w:t>
      </w:r>
      <w:r w:rsidRPr="00F652D5">
        <w:rPr>
          <w:snapToGrid w:val="0"/>
          <w:sz w:val="22"/>
          <w:szCs w:val="22"/>
        </w:rPr>
        <w:t>F</w:t>
      </w:r>
      <w:r w:rsidRPr="00F652D5">
        <w:rPr>
          <w:snapToGrid w:val="0"/>
          <w:sz w:val="22"/>
          <w:szCs w:val="22"/>
          <w:lang w:val="el-GR"/>
        </w:rPr>
        <w:t>-</w:t>
      </w:r>
      <w:r w:rsidRPr="00F652D5">
        <w:rPr>
          <w:snapToGrid w:val="0"/>
          <w:sz w:val="22"/>
          <w:szCs w:val="22"/>
        </w:rPr>
        <w:t>ara</w:t>
      </w:r>
      <w:r w:rsidRPr="00F652D5">
        <w:rPr>
          <w:snapToGrid w:val="0"/>
          <w:sz w:val="22"/>
          <w:szCs w:val="22"/>
          <w:lang w:val="el-GR"/>
        </w:rPr>
        <w:t>-</w:t>
      </w:r>
      <w:r w:rsidRPr="00F652D5">
        <w:rPr>
          <w:snapToGrid w:val="0"/>
          <w:sz w:val="22"/>
          <w:szCs w:val="22"/>
        </w:rPr>
        <w:t>A</w:t>
      </w:r>
      <w:r w:rsidRPr="00F652D5">
        <w:rPr>
          <w:snapToGrid w:val="0"/>
          <w:sz w:val="22"/>
          <w:szCs w:val="22"/>
          <w:lang w:val="el-GR"/>
        </w:rPr>
        <w:t xml:space="preserve"> και της αποτελεσματικότητας της θεραπευτικής αγωγής στους καρκινοπαθείς.</w:t>
      </w:r>
    </w:p>
    <w:p w:rsidR="00B35873" w:rsidRPr="00F652D5" w:rsidRDefault="00B35873" w:rsidP="00750BC9">
      <w:pPr>
        <w:tabs>
          <w:tab w:val="left" w:pos="0"/>
        </w:tabs>
        <w:rPr>
          <w:snapToGrid w:val="0"/>
          <w:sz w:val="22"/>
          <w:szCs w:val="22"/>
          <w:lang w:val="el-GR"/>
        </w:rPr>
      </w:pPr>
    </w:p>
    <w:p w:rsidR="00B35873" w:rsidRPr="005C7A5E" w:rsidRDefault="00B35873" w:rsidP="00750BC9">
      <w:pPr>
        <w:tabs>
          <w:tab w:val="left" w:pos="0"/>
        </w:tabs>
        <w:rPr>
          <w:snapToGrid w:val="0"/>
          <w:sz w:val="22"/>
          <w:szCs w:val="22"/>
          <w:lang w:val="el-GR"/>
        </w:rPr>
      </w:pPr>
      <w:r w:rsidRPr="00F652D5">
        <w:rPr>
          <w:snapToGrid w:val="0"/>
          <w:sz w:val="22"/>
          <w:szCs w:val="22"/>
          <w:lang w:val="el-GR"/>
        </w:rPr>
        <w:t>Εντούτοις, η εμφάνιση μεταβολών στην ουδετεροπενία και τον αιματοκρίτη έδειξαν ότι η κυτταροτοξικότητα της φωσφορικής φλουνταραμπίνης καταστέλλει δοσοεξαρτώμενα την αιμοποίηση.</w:t>
      </w:r>
    </w:p>
    <w:p w:rsidR="00F44216" w:rsidRPr="005C7A5E" w:rsidRDefault="00F44216" w:rsidP="00750BC9">
      <w:pPr>
        <w:tabs>
          <w:tab w:val="left" w:pos="0"/>
        </w:tabs>
        <w:rPr>
          <w:snapToGrid w:val="0"/>
          <w:sz w:val="22"/>
          <w:szCs w:val="22"/>
          <w:lang w:val="el-GR"/>
        </w:rPr>
      </w:pPr>
    </w:p>
    <w:p w:rsidR="00B35873" w:rsidRPr="00F652D5" w:rsidRDefault="00B35873" w:rsidP="007E08D8">
      <w:pPr>
        <w:tabs>
          <w:tab w:val="left" w:pos="0"/>
        </w:tabs>
        <w:rPr>
          <w:i/>
          <w:snapToGrid w:val="0"/>
          <w:sz w:val="22"/>
          <w:szCs w:val="22"/>
          <w:lang w:val="el-GR"/>
        </w:rPr>
      </w:pPr>
    </w:p>
    <w:p w:rsidR="00B35873" w:rsidRPr="00F652D5" w:rsidRDefault="00B35873" w:rsidP="007E08D8">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napToGrid w:val="0"/>
          <w:szCs w:val="22"/>
          <w:lang w:val="el-GR" w:eastAsia="en-US"/>
        </w:rPr>
        <w:t>Κατανομή και μεταβολισμός</w:t>
      </w:r>
    </w:p>
    <w:p w:rsidR="00B35873" w:rsidRPr="00F652D5" w:rsidRDefault="00B35873" w:rsidP="007E08D8">
      <w:pPr>
        <w:jc w:val="both"/>
        <w:rPr>
          <w:snapToGrid w:val="0"/>
          <w:sz w:val="22"/>
          <w:szCs w:val="22"/>
          <w:lang w:val="el-GR"/>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Η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AMP</w:t>
      </w:r>
      <w:r w:rsidRPr="00F652D5">
        <w:rPr>
          <w:snapToGrid w:val="0"/>
          <w:sz w:val="22"/>
          <w:szCs w:val="22"/>
          <w:lang w:val="el-GR" w:eastAsia="en-US"/>
        </w:rPr>
        <w:t xml:space="preserve"> είναι ένα υδατοδιαλυτό προφάρμακο της φλουνταραμπίνης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το οποίο στον ανθρώπινο οργανισμό μετατρέπεται με αποφωσφορυλίωση ταχέως και καθ’ ολοκληρία στο νουκλεοσίδιο φλουνταραμπίνη(-2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rPr>
          <w:sz w:val="22"/>
          <w:szCs w:val="22"/>
          <w:lang w:val="el-GR"/>
        </w:rPr>
      </w:pPr>
      <w:r w:rsidRPr="00F652D5">
        <w:rPr>
          <w:snapToGrid w:val="0"/>
          <w:sz w:val="22"/>
          <w:szCs w:val="22"/>
          <w:lang w:val="el-GR"/>
        </w:rPr>
        <w:t>Ένας άλλος μεταβολίτης, η 2</w:t>
      </w:r>
      <w:r w:rsidRPr="00F652D5">
        <w:rPr>
          <w:snapToGrid w:val="0"/>
          <w:sz w:val="22"/>
          <w:szCs w:val="22"/>
        </w:rPr>
        <w:t>F</w:t>
      </w:r>
      <w:r w:rsidRPr="00F652D5">
        <w:rPr>
          <w:snapToGrid w:val="0"/>
          <w:sz w:val="22"/>
          <w:szCs w:val="22"/>
          <w:lang w:val="el-GR"/>
        </w:rPr>
        <w:t>-</w:t>
      </w:r>
      <w:r w:rsidRPr="00F652D5">
        <w:rPr>
          <w:snapToGrid w:val="0"/>
          <w:sz w:val="22"/>
          <w:szCs w:val="22"/>
        </w:rPr>
        <w:t>ara</w:t>
      </w:r>
      <w:r w:rsidRPr="00F652D5">
        <w:rPr>
          <w:snapToGrid w:val="0"/>
          <w:sz w:val="22"/>
          <w:szCs w:val="22"/>
          <w:lang w:val="el-GR"/>
        </w:rPr>
        <w:t>-υποξανθίνη, η οποία αντιπροσωπεύει τον κύριο μεταβολίτη στον σκύλο, παρατηρήθηκε σε ανθρώπους μόνο σε μικρή έκταση.</w:t>
      </w:r>
    </w:p>
    <w:p w:rsidR="00B35873" w:rsidRPr="00F652D5" w:rsidRDefault="00B35873" w:rsidP="00750BC9">
      <w:pPr>
        <w:rPr>
          <w:snapToGrid w:val="0"/>
          <w:sz w:val="22"/>
          <w:szCs w:val="22"/>
          <w:lang w:val="el-GR"/>
        </w:rPr>
      </w:pPr>
    </w:p>
    <w:p w:rsidR="00B35873" w:rsidRPr="00F652D5" w:rsidRDefault="001F67DD" w:rsidP="00750BC9">
      <w:pPr>
        <w:tabs>
          <w:tab w:val="left" w:pos="567"/>
        </w:tabs>
        <w:rPr>
          <w:snapToGrid w:val="0"/>
          <w:sz w:val="22"/>
          <w:szCs w:val="22"/>
          <w:lang w:val="el-GR" w:eastAsia="en-US"/>
        </w:rPr>
      </w:pPr>
      <w:r w:rsidRPr="00F652D5">
        <w:rPr>
          <w:snapToGrid w:val="0"/>
          <w:sz w:val="22"/>
          <w:szCs w:val="22"/>
          <w:lang w:val="el-GR" w:eastAsia="en-US"/>
        </w:rPr>
        <w:t>Ύστερα</w:t>
      </w:r>
      <w:r w:rsidR="00750BC9" w:rsidRPr="00F652D5">
        <w:rPr>
          <w:snapToGrid w:val="0"/>
          <w:sz w:val="22"/>
          <w:szCs w:val="22"/>
          <w:lang w:val="el-GR" w:eastAsia="en-US"/>
        </w:rPr>
        <w:t xml:space="preserve"> από εφάπαξ έγχυση 25</w:t>
      </w:r>
      <w:r w:rsidR="00750BC9" w:rsidRPr="00F652D5">
        <w:rPr>
          <w:snapToGrid w:val="0"/>
          <w:sz w:val="22"/>
          <w:szCs w:val="22"/>
          <w:lang w:val="de-DE" w:eastAsia="en-US"/>
        </w:rPr>
        <w:t> </w:t>
      </w:r>
      <w:r w:rsidR="00B35873" w:rsidRPr="00F652D5">
        <w:rPr>
          <w:snapToGrid w:val="0"/>
          <w:sz w:val="22"/>
          <w:szCs w:val="22"/>
          <w:lang w:eastAsia="en-US"/>
        </w:rPr>
        <w:t>mg</w:t>
      </w:r>
      <w:r w:rsidR="00B35873" w:rsidRPr="00F652D5">
        <w:rPr>
          <w:snapToGrid w:val="0"/>
          <w:sz w:val="22"/>
          <w:szCs w:val="22"/>
          <w:lang w:val="el-GR" w:eastAsia="en-US"/>
        </w:rPr>
        <w:t xml:space="preserve"> 2</w:t>
      </w:r>
      <w:r w:rsidR="00B35873" w:rsidRPr="00F652D5">
        <w:rPr>
          <w:snapToGrid w:val="0"/>
          <w:sz w:val="22"/>
          <w:szCs w:val="22"/>
          <w:lang w:eastAsia="en-US"/>
        </w:rPr>
        <w:t>F</w:t>
      </w:r>
      <w:r w:rsidR="00B35873" w:rsidRPr="00F652D5">
        <w:rPr>
          <w:snapToGrid w:val="0"/>
          <w:sz w:val="22"/>
          <w:szCs w:val="22"/>
          <w:lang w:val="el-GR" w:eastAsia="en-US"/>
        </w:rPr>
        <w:t>-</w:t>
      </w:r>
      <w:r w:rsidR="00B35873" w:rsidRPr="00F652D5">
        <w:rPr>
          <w:snapToGrid w:val="0"/>
          <w:sz w:val="22"/>
          <w:szCs w:val="22"/>
          <w:lang w:eastAsia="en-US"/>
        </w:rPr>
        <w:t>ara</w:t>
      </w:r>
      <w:r w:rsidR="00B35873" w:rsidRPr="00F652D5">
        <w:rPr>
          <w:snapToGrid w:val="0"/>
          <w:sz w:val="22"/>
          <w:szCs w:val="22"/>
          <w:lang w:val="el-GR" w:eastAsia="en-US"/>
        </w:rPr>
        <w:t>-</w:t>
      </w:r>
      <w:r w:rsidR="00B35873" w:rsidRPr="00F652D5">
        <w:rPr>
          <w:snapToGrid w:val="0"/>
          <w:sz w:val="22"/>
          <w:szCs w:val="22"/>
          <w:lang w:eastAsia="en-US"/>
        </w:rPr>
        <w:t>AMP</w:t>
      </w:r>
      <w:r w:rsidR="00B35873" w:rsidRPr="00F652D5">
        <w:rPr>
          <w:snapToGrid w:val="0"/>
          <w:sz w:val="22"/>
          <w:szCs w:val="22"/>
          <w:lang w:val="el-GR" w:eastAsia="en-US"/>
        </w:rPr>
        <w:t xml:space="preserve"> ανά </w:t>
      </w:r>
      <w:r w:rsidR="00B35873" w:rsidRPr="00F652D5">
        <w:rPr>
          <w:snapToGrid w:val="0"/>
          <w:sz w:val="22"/>
          <w:szCs w:val="22"/>
          <w:lang w:eastAsia="en-US"/>
        </w:rPr>
        <w:t>m</w:t>
      </w:r>
      <w:r w:rsidR="00B35873" w:rsidRPr="00F652D5">
        <w:rPr>
          <w:snapToGrid w:val="0"/>
          <w:sz w:val="22"/>
          <w:szCs w:val="22"/>
          <w:vertAlign w:val="superscript"/>
          <w:lang w:val="el-GR" w:eastAsia="en-US"/>
        </w:rPr>
        <w:t>2</w:t>
      </w:r>
      <w:r w:rsidR="00B35873" w:rsidRPr="00F652D5">
        <w:rPr>
          <w:snapToGrid w:val="0"/>
          <w:sz w:val="22"/>
          <w:szCs w:val="22"/>
          <w:lang w:val="el-GR" w:eastAsia="en-US"/>
        </w:rPr>
        <w:t xml:space="preserve"> σε ασθενείς με </w:t>
      </w:r>
      <w:smartTag w:uri="urn:schemas-microsoft-com:office:smarttags" w:element="stockticker">
        <w:r w:rsidR="00B35873" w:rsidRPr="00F652D5">
          <w:rPr>
            <w:sz w:val="22"/>
            <w:szCs w:val="22"/>
          </w:rPr>
          <w:t>CLL</w:t>
        </w:r>
      </w:smartTag>
      <w:r w:rsidR="00B35873" w:rsidRPr="00F652D5">
        <w:rPr>
          <w:snapToGrid w:val="0"/>
          <w:sz w:val="22"/>
          <w:szCs w:val="22"/>
          <w:lang w:val="el-GR" w:eastAsia="en-US"/>
        </w:rPr>
        <w:t xml:space="preserve"> για 30</w:t>
      </w:r>
      <w:r w:rsidR="00750BC9" w:rsidRPr="00F652D5">
        <w:rPr>
          <w:snapToGrid w:val="0"/>
          <w:sz w:val="22"/>
          <w:szCs w:val="22"/>
          <w:lang w:val="de-DE" w:eastAsia="en-US"/>
        </w:rPr>
        <w:t> </w:t>
      </w:r>
      <w:r w:rsidR="00B35873" w:rsidRPr="00F652D5">
        <w:rPr>
          <w:snapToGrid w:val="0"/>
          <w:sz w:val="22"/>
          <w:szCs w:val="22"/>
          <w:lang w:val="el-GR" w:eastAsia="en-US"/>
        </w:rPr>
        <w:t>λεπτά, η συγκέντρωση της 2</w:t>
      </w:r>
      <w:r w:rsidR="00B35873" w:rsidRPr="00F652D5">
        <w:rPr>
          <w:snapToGrid w:val="0"/>
          <w:sz w:val="22"/>
          <w:szCs w:val="22"/>
          <w:lang w:eastAsia="en-US"/>
        </w:rPr>
        <w:t>F</w:t>
      </w:r>
      <w:r w:rsidR="00B35873" w:rsidRPr="00F652D5">
        <w:rPr>
          <w:snapToGrid w:val="0"/>
          <w:sz w:val="22"/>
          <w:szCs w:val="22"/>
          <w:lang w:val="el-GR" w:eastAsia="en-US"/>
        </w:rPr>
        <w:t>-</w:t>
      </w:r>
      <w:r w:rsidR="00B35873" w:rsidRPr="00F652D5">
        <w:rPr>
          <w:snapToGrid w:val="0"/>
          <w:sz w:val="22"/>
          <w:szCs w:val="22"/>
          <w:lang w:eastAsia="en-US"/>
        </w:rPr>
        <w:t>ara</w:t>
      </w:r>
      <w:r w:rsidR="00B35873" w:rsidRPr="00F652D5">
        <w:rPr>
          <w:snapToGrid w:val="0"/>
          <w:sz w:val="22"/>
          <w:szCs w:val="22"/>
          <w:lang w:val="el-GR" w:eastAsia="en-US"/>
        </w:rPr>
        <w:t>-</w:t>
      </w:r>
      <w:r w:rsidR="00B35873" w:rsidRPr="00F652D5">
        <w:rPr>
          <w:snapToGrid w:val="0"/>
          <w:sz w:val="22"/>
          <w:szCs w:val="22"/>
          <w:lang w:eastAsia="en-US"/>
        </w:rPr>
        <w:t>A</w:t>
      </w:r>
      <w:r w:rsidR="00B35873" w:rsidRPr="00F652D5">
        <w:rPr>
          <w:snapToGrid w:val="0"/>
          <w:sz w:val="22"/>
          <w:szCs w:val="22"/>
          <w:lang w:val="el-GR" w:eastAsia="en-US"/>
        </w:rPr>
        <w:t xml:space="preserve"> στο πλάσμα έφτασε σε μέσες τιμές μέγιστης συγκέντρωσης 3,5 - 3,7</w:t>
      </w:r>
      <w:r w:rsidR="00750BC9" w:rsidRPr="00F652D5">
        <w:rPr>
          <w:snapToGrid w:val="0"/>
          <w:sz w:val="22"/>
          <w:szCs w:val="22"/>
          <w:lang w:val="de-DE" w:eastAsia="en-US"/>
        </w:rPr>
        <w:t> </w:t>
      </w:r>
      <w:r w:rsidR="00B35873" w:rsidRPr="00F652D5">
        <w:rPr>
          <w:snapToGrid w:val="0"/>
          <w:sz w:val="22"/>
          <w:szCs w:val="22"/>
          <w:lang w:val="el-GR" w:eastAsia="en-US"/>
        </w:rPr>
        <w:t>μΜ στο τέλος της έγχυσης. Αντίστοιχα επίπεδα της 2</w:t>
      </w:r>
      <w:r w:rsidR="00B35873" w:rsidRPr="00F652D5">
        <w:rPr>
          <w:snapToGrid w:val="0"/>
          <w:sz w:val="22"/>
          <w:szCs w:val="22"/>
          <w:lang w:eastAsia="en-US"/>
        </w:rPr>
        <w:t>F</w:t>
      </w:r>
      <w:r w:rsidR="00B35873" w:rsidRPr="00F652D5">
        <w:rPr>
          <w:snapToGrid w:val="0"/>
          <w:sz w:val="22"/>
          <w:szCs w:val="22"/>
          <w:lang w:val="el-GR" w:eastAsia="en-US"/>
        </w:rPr>
        <w:t>-</w:t>
      </w:r>
      <w:r w:rsidR="00B35873" w:rsidRPr="00F652D5">
        <w:rPr>
          <w:snapToGrid w:val="0"/>
          <w:sz w:val="22"/>
          <w:szCs w:val="22"/>
          <w:lang w:eastAsia="en-US"/>
        </w:rPr>
        <w:t>ara</w:t>
      </w:r>
      <w:r w:rsidR="00B35873" w:rsidRPr="00F652D5">
        <w:rPr>
          <w:snapToGrid w:val="0"/>
          <w:sz w:val="22"/>
          <w:szCs w:val="22"/>
          <w:lang w:val="el-GR" w:eastAsia="en-US"/>
        </w:rPr>
        <w:t>-</w:t>
      </w:r>
      <w:r w:rsidR="00B35873" w:rsidRPr="00F652D5">
        <w:rPr>
          <w:snapToGrid w:val="0"/>
          <w:sz w:val="22"/>
          <w:szCs w:val="22"/>
          <w:lang w:eastAsia="en-US"/>
        </w:rPr>
        <w:t>A</w:t>
      </w:r>
      <w:r w:rsidR="00B35873" w:rsidRPr="00F652D5">
        <w:rPr>
          <w:snapToGrid w:val="0"/>
          <w:sz w:val="22"/>
          <w:szCs w:val="22"/>
          <w:lang w:val="el-GR" w:eastAsia="en-US"/>
        </w:rPr>
        <w:t xml:space="preserve"> μετά την πέμπτη δόση έδειξαν μία μέτρια συσσώρευση με μέση τιμή μέγιστων επιπέδων 4,4 - 4,8</w:t>
      </w:r>
      <w:r w:rsidR="00750BC9" w:rsidRPr="00F652D5">
        <w:rPr>
          <w:snapToGrid w:val="0"/>
          <w:sz w:val="22"/>
          <w:szCs w:val="22"/>
          <w:lang w:val="de-DE" w:eastAsia="en-US"/>
        </w:rPr>
        <w:t> </w:t>
      </w:r>
      <w:r w:rsidR="00B35873" w:rsidRPr="00F652D5">
        <w:rPr>
          <w:snapToGrid w:val="0"/>
          <w:sz w:val="22"/>
          <w:szCs w:val="22"/>
          <w:lang w:val="el-GR" w:eastAsia="en-US"/>
        </w:rPr>
        <w:t>μΜ στο τέλος της έγχυσης. Κατά τη διάρκεια ενός πενθήμερου θεραπευτικού σχήματος, τα ελάχιστα πριν από την επόμενη χορήγηση επίπεδα της 2</w:t>
      </w:r>
      <w:r w:rsidR="00B35873" w:rsidRPr="00F652D5">
        <w:rPr>
          <w:snapToGrid w:val="0"/>
          <w:sz w:val="22"/>
          <w:szCs w:val="22"/>
          <w:lang w:eastAsia="en-US"/>
        </w:rPr>
        <w:t>F</w:t>
      </w:r>
      <w:r w:rsidR="00B35873" w:rsidRPr="00F652D5">
        <w:rPr>
          <w:snapToGrid w:val="0"/>
          <w:sz w:val="22"/>
          <w:szCs w:val="22"/>
          <w:lang w:val="el-GR" w:eastAsia="en-US"/>
        </w:rPr>
        <w:t>-</w:t>
      </w:r>
      <w:r w:rsidR="00B35873" w:rsidRPr="00F652D5">
        <w:rPr>
          <w:snapToGrid w:val="0"/>
          <w:sz w:val="22"/>
          <w:szCs w:val="22"/>
          <w:lang w:eastAsia="en-US"/>
        </w:rPr>
        <w:t>ara</w:t>
      </w:r>
      <w:r w:rsidR="00B35873" w:rsidRPr="00F652D5">
        <w:rPr>
          <w:snapToGrid w:val="0"/>
          <w:sz w:val="22"/>
          <w:szCs w:val="22"/>
          <w:lang w:val="el-GR" w:eastAsia="en-US"/>
        </w:rPr>
        <w:t>-</w:t>
      </w:r>
      <w:r w:rsidR="00B35873" w:rsidRPr="00F652D5">
        <w:rPr>
          <w:snapToGrid w:val="0"/>
          <w:sz w:val="22"/>
          <w:szCs w:val="22"/>
          <w:lang w:eastAsia="en-US"/>
        </w:rPr>
        <w:t>A</w:t>
      </w:r>
      <w:r w:rsidR="00B35873" w:rsidRPr="00F652D5">
        <w:rPr>
          <w:snapToGrid w:val="0"/>
          <w:sz w:val="22"/>
          <w:szCs w:val="22"/>
          <w:lang w:val="el-GR" w:eastAsia="en-US"/>
        </w:rPr>
        <w:t xml:space="preserve"> στο πλάσμα αυξήθηκαν περίπου κατά 2</w:t>
      </w:r>
      <w:r w:rsidR="00750BC9" w:rsidRPr="00F652D5">
        <w:rPr>
          <w:snapToGrid w:val="0"/>
          <w:sz w:val="22"/>
          <w:szCs w:val="22"/>
          <w:lang w:val="de-DE" w:eastAsia="en-US"/>
        </w:rPr>
        <w:t> </w:t>
      </w:r>
      <w:r w:rsidR="00B35873" w:rsidRPr="00F652D5">
        <w:rPr>
          <w:snapToGrid w:val="0"/>
          <w:sz w:val="22"/>
          <w:szCs w:val="22"/>
          <w:lang w:val="el-GR" w:eastAsia="en-US"/>
        </w:rPr>
        <w:t>φορές. Δεν αναμένεται συσσώρευση της 2</w:t>
      </w:r>
      <w:r w:rsidR="00B35873" w:rsidRPr="00F652D5">
        <w:rPr>
          <w:snapToGrid w:val="0"/>
          <w:sz w:val="22"/>
          <w:szCs w:val="22"/>
          <w:lang w:eastAsia="en-US"/>
        </w:rPr>
        <w:t>F</w:t>
      </w:r>
      <w:r w:rsidR="00B35873" w:rsidRPr="00F652D5">
        <w:rPr>
          <w:snapToGrid w:val="0"/>
          <w:sz w:val="22"/>
          <w:szCs w:val="22"/>
          <w:lang w:val="el-GR" w:eastAsia="en-US"/>
        </w:rPr>
        <w:t>-</w:t>
      </w:r>
      <w:r w:rsidR="00B35873" w:rsidRPr="00F652D5">
        <w:rPr>
          <w:snapToGrid w:val="0"/>
          <w:sz w:val="22"/>
          <w:szCs w:val="22"/>
          <w:lang w:eastAsia="en-US"/>
        </w:rPr>
        <w:t>ara</w:t>
      </w:r>
      <w:r w:rsidR="00B35873" w:rsidRPr="00F652D5">
        <w:rPr>
          <w:snapToGrid w:val="0"/>
          <w:sz w:val="22"/>
          <w:szCs w:val="22"/>
          <w:lang w:val="el-GR" w:eastAsia="en-US"/>
        </w:rPr>
        <w:t>-</w:t>
      </w:r>
      <w:r w:rsidR="00B35873" w:rsidRPr="00F652D5">
        <w:rPr>
          <w:snapToGrid w:val="0"/>
          <w:sz w:val="22"/>
          <w:szCs w:val="22"/>
          <w:lang w:eastAsia="en-US"/>
        </w:rPr>
        <w:t>A</w:t>
      </w:r>
      <w:r w:rsidR="00B35873" w:rsidRPr="00F652D5">
        <w:rPr>
          <w:snapToGrid w:val="0"/>
          <w:sz w:val="22"/>
          <w:szCs w:val="22"/>
          <w:lang w:val="el-GR" w:eastAsia="en-US"/>
        </w:rPr>
        <w:t xml:space="preserve"> μετά από περισσότερους θεραπευτικούς κύκλους. Τα επίπεδα που ακολούθησαν την μέγιστη τιμή μειώθηκαν σε τρείς εκθετικές φάσεις με έναν αρχικό χρόνο ημίσειας ζωής περίπου 5</w:t>
      </w:r>
      <w:r w:rsidR="00750BC9" w:rsidRPr="00F652D5">
        <w:rPr>
          <w:snapToGrid w:val="0"/>
          <w:sz w:val="22"/>
          <w:szCs w:val="22"/>
          <w:lang w:val="de-DE" w:eastAsia="en-US"/>
        </w:rPr>
        <w:t> </w:t>
      </w:r>
      <w:r w:rsidR="00B35873" w:rsidRPr="00F652D5">
        <w:rPr>
          <w:snapToGrid w:val="0"/>
          <w:sz w:val="22"/>
          <w:szCs w:val="22"/>
          <w:lang w:val="el-GR" w:eastAsia="en-US"/>
        </w:rPr>
        <w:t>λεπτών, έναν ενδιάμεσο χρόνο ημίσειας ζωής περίπου 1-2</w:t>
      </w:r>
      <w:r w:rsidR="00750BC9" w:rsidRPr="00F652D5">
        <w:rPr>
          <w:snapToGrid w:val="0"/>
          <w:sz w:val="22"/>
          <w:szCs w:val="22"/>
          <w:lang w:val="de-DE" w:eastAsia="en-US"/>
        </w:rPr>
        <w:t> </w:t>
      </w:r>
      <w:r w:rsidR="00B35873" w:rsidRPr="00F652D5">
        <w:rPr>
          <w:snapToGrid w:val="0"/>
          <w:sz w:val="22"/>
          <w:szCs w:val="22"/>
          <w:lang w:val="el-GR" w:eastAsia="en-US"/>
        </w:rPr>
        <w:t>ωρών και έναν τελικό χρόνο ημίσειας ζωής περίπου 20</w:t>
      </w:r>
      <w:r w:rsidR="00750BC9" w:rsidRPr="00F652D5">
        <w:rPr>
          <w:snapToGrid w:val="0"/>
          <w:sz w:val="22"/>
          <w:szCs w:val="22"/>
          <w:lang w:val="de-DE" w:eastAsia="en-US"/>
        </w:rPr>
        <w:t> </w:t>
      </w:r>
      <w:r w:rsidR="00B35873" w:rsidRPr="00F652D5">
        <w:rPr>
          <w:snapToGrid w:val="0"/>
          <w:sz w:val="22"/>
          <w:szCs w:val="22"/>
          <w:lang w:val="el-GR" w:eastAsia="en-US"/>
        </w:rPr>
        <w:t>ωρών.</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lastRenderedPageBreak/>
        <w:t>Η σύγκριση της φαρμακοκινητικής της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μεταξύ διαφόρων μελετών έδειξε μία μέση συνολική κάθαρση στο πλάσμα (</w:t>
      </w:r>
      <w:r w:rsidRPr="00F652D5">
        <w:rPr>
          <w:snapToGrid w:val="0"/>
          <w:sz w:val="22"/>
          <w:szCs w:val="22"/>
          <w:lang w:eastAsia="en-US"/>
        </w:rPr>
        <w:t>CL</w:t>
      </w:r>
      <w:r w:rsidRPr="00F652D5">
        <w:rPr>
          <w:snapToGrid w:val="0"/>
          <w:sz w:val="22"/>
          <w:szCs w:val="22"/>
          <w:lang w:val="el-GR" w:eastAsia="en-US"/>
        </w:rPr>
        <w:t>) 79±40</w:t>
      </w:r>
      <w:r w:rsidR="00750BC9" w:rsidRPr="00F652D5">
        <w:rPr>
          <w:snapToGrid w:val="0"/>
          <w:sz w:val="22"/>
          <w:szCs w:val="22"/>
          <w:lang w:val="de-DE" w:eastAsia="en-US"/>
        </w:rPr>
        <w:t> </w:t>
      </w:r>
      <w:r w:rsidRPr="00F652D5">
        <w:rPr>
          <w:snapToGrid w:val="0"/>
          <w:sz w:val="22"/>
          <w:szCs w:val="22"/>
          <w:lang w:eastAsia="en-US"/>
        </w:rPr>
        <w:t>ml</w:t>
      </w:r>
      <w:r w:rsidRPr="00F652D5">
        <w:rPr>
          <w:snapToGrid w:val="0"/>
          <w:sz w:val="22"/>
          <w:szCs w:val="22"/>
          <w:lang w:val="el-GR" w:eastAsia="en-US"/>
        </w:rPr>
        <w:t>/</w:t>
      </w:r>
      <w:r w:rsidRPr="00F652D5">
        <w:rPr>
          <w:snapToGrid w:val="0"/>
          <w:sz w:val="22"/>
          <w:szCs w:val="22"/>
          <w:lang w:eastAsia="en-US"/>
        </w:rPr>
        <w:t>min</w:t>
      </w:r>
      <w:r w:rsidRPr="00F652D5">
        <w:rPr>
          <w:snapToGrid w:val="0"/>
          <w:sz w:val="22"/>
          <w:szCs w:val="22"/>
          <w:lang w:val="el-GR" w:eastAsia="en-US"/>
        </w:rPr>
        <w:t>/</w:t>
      </w:r>
      <w:r w:rsidRPr="00F652D5">
        <w:rPr>
          <w:snapToGrid w:val="0"/>
          <w:sz w:val="22"/>
          <w:szCs w:val="22"/>
          <w:lang w:eastAsia="en-US"/>
        </w:rPr>
        <w:t>m</w:t>
      </w:r>
      <w:r w:rsidRPr="00F652D5">
        <w:rPr>
          <w:snapToGrid w:val="0"/>
          <w:sz w:val="22"/>
          <w:szCs w:val="22"/>
          <w:vertAlign w:val="superscript"/>
          <w:lang w:val="el-GR" w:eastAsia="en-US"/>
        </w:rPr>
        <w:t>2</w:t>
      </w:r>
      <w:r w:rsidRPr="00F652D5">
        <w:rPr>
          <w:snapToGrid w:val="0"/>
          <w:sz w:val="22"/>
          <w:szCs w:val="22"/>
          <w:lang w:val="el-GR" w:eastAsia="en-US"/>
        </w:rPr>
        <w:t xml:space="preserve"> (2,2±1,2</w:t>
      </w:r>
      <w:r w:rsidR="00750BC9" w:rsidRPr="00F652D5">
        <w:rPr>
          <w:snapToGrid w:val="0"/>
          <w:sz w:val="22"/>
          <w:szCs w:val="22"/>
          <w:lang w:val="de-DE" w:eastAsia="en-US"/>
        </w:rPr>
        <w:t> </w:t>
      </w:r>
      <w:r w:rsidRPr="00F652D5">
        <w:rPr>
          <w:snapToGrid w:val="0"/>
          <w:sz w:val="22"/>
          <w:szCs w:val="22"/>
          <w:lang w:eastAsia="en-US"/>
        </w:rPr>
        <w:t>ml</w:t>
      </w:r>
      <w:r w:rsidRPr="00F652D5">
        <w:rPr>
          <w:snapToGrid w:val="0"/>
          <w:sz w:val="22"/>
          <w:szCs w:val="22"/>
          <w:lang w:val="el-GR" w:eastAsia="en-US"/>
        </w:rPr>
        <w:t>/</w:t>
      </w:r>
      <w:r w:rsidRPr="00F652D5">
        <w:rPr>
          <w:snapToGrid w:val="0"/>
          <w:sz w:val="22"/>
          <w:szCs w:val="22"/>
          <w:lang w:eastAsia="en-US"/>
        </w:rPr>
        <w:t>min</w:t>
      </w:r>
      <w:r w:rsidRPr="00F652D5">
        <w:rPr>
          <w:snapToGrid w:val="0"/>
          <w:sz w:val="22"/>
          <w:szCs w:val="22"/>
          <w:lang w:val="el-GR" w:eastAsia="en-US"/>
        </w:rPr>
        <w:t>/</w:t>
      </w:r>
      <w:r w:rsidRPr="00F652D5">
        <w:rPr>
          <w:snapToGrid w:val="0"/>
          <w:sz w:val="22"/>
          <w:szCs w:val="22"/>
          <w:lang w:eastAsia="en-US"/>
        </w:rPr>
        <w:t>kg</w:t>
      </w:r>
      <w:r w:rsidRPr="00F652D5">
        <w:rPr>
          <w:snapToGrid w:val="0"/>
          <w:sz w:val="22"/>
          <w:szCs w:val="22"/>
          <w:lang w:val="el-GR" w:eastAsia="en-US"/>
        </w:rPr>
        <w:t>) και μέσο όγκο κατανομής (</w:t>
      </w:r>
      <w:r w:rsidRPr="00F652D5">
        <w:rPr>
          <w:snapToGrid w:val="0"/>
          <w:sz w:val="22"/>
          <w:szCs w:val="22"/>
          <w:lang w:eastAsia="en-US"/>
        </w:rPr>
        <w:t>V</w:t>
      </w:r>
      <w:r w:rsidRPr="00F652D5">
        <w:rPr>
          <w:snapToGrid w:val="0"/>
          <w:position w:val="-4"/>
          <w:sz w:val="22"/>
          <w:szCs w:val="22"/>
          <w:lang w:eastAsia="en-US"/>
        </w:rPr>
        <w:t>ss</w:t>
      </w:r>
      <w:r w:rsidRPr="00F652D5">
        <w:rPr>
          <w:snapToGrid w:val="0"/>
          <w:sz w:val="22"/>
          <w:szCs w:val="22"/>
          <w:lang w:val="el-GR" w:eastAsia="en-US"/>
        </w:rPr>
        <w:t>) 83±55 </w:t>
      </w:r>
      <w:r w:rsidRPr="00F652D5">
        <w:rPr>
          <w:snapToGrid w:val="0"/>
          <w:sz w:val="22"/>
          <w:szCs w:val="22"/>
          <w:lang w:eastAsia="en-US"/>
        </w:rPr>
        <w:t>l</w:t>
      </w:r>
      <w:r w:rsidRPr="00F652D5">
        <w:rPr>
          <w:snapToGrid w:val="0"/>
          <w:sz w:val="22"/>
          <w:szCs w:val="22"/>
          <w:lang w:val="el-GR" w:eastAsia="en-US"/>
        </w:rPr>
        <w:t>/</w:t>
      </w:r>
      <w:r w:rsidRPr="00F652D5">
        <w:rPr>
          <w:snapToGrid w:val="0"/>
          <w:sz w:val="22"/>
          <w:szCs w:val="22"/>
          <w:lang w:eastAsia="en-US"/>
        </w:rPr>
        <w:t>m</w:t>
      </w:r>
      <w:r w:rsidRPr="00F652D5">
        <w:rPr>
          <w:snapToGrid w:val="0"/>
          <w:sz w:val="22"/>
          <w:szCs w:val="22"/>
          <w:vertAlign w:val="superscript"/>
          <w:lang w:val="el-GR" w:eastAsia="en-US"/>
        </w:rPr>
        <w:t>2</w:t>
      </w:r>
      <w:r w:rsidRPr="00F652D5">
        <w:rPr>
          <w:snapToGrid w:val="0"/>
          <w:sz w:val="22"/>
          <w:szCs w:val="22"/>
          <w:lang w:val="el-GR" w:eastAsia="en-US"/>
        </w:rPr>
        <w:t xml:space="preserve"> (2,4±1,6</w:t>
      </w:r>
      <w:r w:rsidR="00750BC9" w:rsidRPr="00F652D5">
        <w:rPr>
          <w:snapToGrid w:val="0"/>
          <w:sz w:val="22"/>
          <w:szCs w:val="22"/>
          <w:lang w:val="de-DE" w:eastAsia="en-US"/>
        </w:rPr>
        <w:t> </w:t>
      </w:r>
      <w:r w:rsidRPr="00F652D5">
        <w:rPr>
          <w:snapToGrid w:val="0"/>
          <w:sz w:val="22"/>
          <w:szCs w:val="22"/>
          <w:lang w:eastAsia="en-US"/>
        </w:rPr>
        <w:t>l</w:t>
      </w:r>
      <w:r w:rsidRPr="00F652D5">
        <w:rPr>
          <w:snapToGrid w:val="0"/>
          <w:sz w:val="22"/>
          <w:szCs w:val="22"/>
          <w:lang w:val="el-GR" w:eastAsia="en-US"/>
        </w:rPr>
        <w:t>/</w:t>
      </w:r>
      <w:r w:rsidRPr="00F652D5">
        <w:rPr>
          <w:snapToGrid w:val="0"/>
          <w:sz w:val="22"/>
          <w:szCs w:val="22"/>
          <w:lang w:eastAsia="en-US"/>
        </w:rPr>
        <w:t>kg</w:t>
      </w:r>
      <w:r w:rsidRPr="00F652D5">
        <w:rPr>
          <w:snapToGrid w:val="0"/>
          <w:sz w:val="22"/>
          <w:szCs w:val="22"/>
          <w:lang w:val="el-GR" w:eastAsia="en-US"/>
        </w:rPr>
        <w:t xml:space="preserve">). Τα δεδομένα έδειξαν υψηλή δια-ατομική μεταβλητότητα. </w:t>
      </w:r>
      <w:r w:rsidRPr="00F652D5">
        <w:rPr>
          <w:snapToGrid w:val="0"/>
          <w:sz w:val="22"/>
          <w:szCs w:val="22"/>
          <w:lang w:val="el-GR"/>
        </w:rPr>
        <w:t xml:space="preserve">Μετά από </w:t>
      </w:r>
      <w:r w:rsidRPr="00F652D5">
        <w:rPr>
          <w:sz w:val="22"/>
          <w:szCs w:val="22"/>
          <w:lang w:val="el-GR"/>
        </w:rPr>
        <w:t xml:space="preserve">ενδοφλέβια και από του στόματος χορήγηση της φωσφορικής φλουνταραμπίνης, </w:t>
      </w:r>
      <w:r w:rsidRPr="00F652D5">
        <w:rPr>
          <w:snapToGrid w:val="0"/>
          <w:sz w:val="22"/>
          <w:szCs w:val="22"/>
          <w:lang w:val="el-GR" w:eastAsia="en-US"/>
        </w:rPr>
        <w:t>τα επίπεδα του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και οι περιοχές κάτω απο τις χρονικές καμπύλες των επιπέδων στο πλάσμα αυξήθηκαν γραμμικά με τη δόση, ενώ οι χρόνοι ημίσειας ζωής, η κάθαρση στο πλάσμα και οι όγκοι κατανομής παρέμειναν σταθεροί ανεξάρτητα από τη δόση δείχνοντας γραμμική συμπεριφορά της δόσης.</w:t>
      </w:r>
    </w:p>
    <w:p w:rsidR="00B35873" w:rsidRPr="00F652D5" w:rsidRDefault="00B35873" w:rsidP="007E08D8">
      <w:pPr>
        <w:rPr>
          <w:sz w:val="22"/>
          <w:szCs w:val="22"/>
          <w:lang w:val="el-GR"/>
        </w:rPr>
      </w:pPr>
    </w:p>
    <w:p w:rsidR="00B35873" w:rsidRPr="00F652D5" w:rsidRDefault="00B35873" w:rsidP="007E08D8">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napToGrid w:val="0"/>
          <w:szCs w:val="22"/>
          <w:lang w:val="el-GR" w:eastAsia="en-US"/>
        </w:rPr>
        <w:t>Απέκκριση</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rPr>
          <w:snapToGrid w:val="0"/>
          <w:sz w:val="22"/>
          <w:szCs w:val="22"/>
          <w:lang w:val="el-GR" w:eastAsia="en-US"/>
        </w:rPr>
      </w:pPr>
      <w:r w:rsidRPr="00F652D5">
        <w:rPr>
          <w:snapToGrid w:val="0"/>
          <w:sz w:val="22"/>
          <w:szCs w:val="22"/>
          <w:lang w:eastAsia="en-US"/>
        </w:rPr>
        <w:t>H</w:t>
      </w:r>
      <w:r w:rsidRPr="00F652D5">
        <w:rPr>
          <w:snapToGrid w:val="0"/>
          <w:sz w:val="22"/>
          <w:szCs w:val="22"/>
          <w:lang w:val="el-GR" w:eastAsia="en-US"/>
        </w:rPr>
        <w:t xml:space="preserve">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αποβάλλεται κυρίως μέσω των νεφρών. Το 40 με 60% της χορηγούμενης ενδοφλέβιας δόσης αποβάλλεται με τα ούρα. Μαζικές μελέτες ισοζυγίου με </w:t>
      </w:r>
      <w:r w:rsidRPr="00F652D5">
        <w:rPr>
          <w:snapToGrid w:val="0"/>
          <w:sz w:val="22"/>
          <w:szCs w:val="22"/>
          <w:vertAlign w:val="superscript"/>
          <w:lang w:val="el-GR" w:eastAsia="en-US"/>
        </w:rPr>
        <w:t>3</w:t>
      </w:r>
      <w:r w:rsidRPr="00F652D5">
        <w:rPr>
          <w:snapToGrid w:val="0"/>
          <w:sz w:val="22"/>
          <w:szCs w:val="22"/>
          <w:lang w:eastAsia="en-US"/>
        </w:rPr>
        <w:t>H</w:t>
      </w:r>
      <w:r w:rsidRPr="00F652D5">
        <w:rPr>
          <w:snapToGrid w:val="0"/>
          <w:sz w:val="22"/>
          <w:szCs w:val="22"/>
          <w:lang w:val="el-GR" w:eastAsia="en-US"/>
        </w:rPr>
        <w:t>-2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AMP</w:t>
      </w:r>
      <w:r w:rsidRPr="00F652D5">
        <w:rPr>
          <w:snapToGrid w:val="0"/>
          <w:sz w:val="22"/>
          <w:szCs w:val="22"/>
          <w:lang w:val="el-GR" w:eastAsia="en-US"/>
        </w:rPr>
        <w:t xml:space="preserve"> σε πειραματόζωα έδειξαν ολοκληρωτική επανάκτηση των ραδιενεργά </w:t>
      </w:r>
      <w:r w:rsidR="00225D75">
        <w:rPr>
          <w:snapToGrid w:val="0"/>
          <w:sz w:val="22"/>
          <w:szCs w:val="22"/>
          <w:lang w:val="el-GR" w:eastAsia="en-US"/>
        </w:rPr>
        <w:t>επι</w:t>
      </w:r>
      <w:r w:rsidRPr="00F652D5">
        <w:rPr>
          <w:snapToGrid w:val="0"/>
          <w:sz w:val="22"/>
          <w:szCs w:val="22"/>
          <w:lang w:val="el-GR" w:eastAsia="en-US"/>
        </w:rPr>
        <w:t xml:space="preserve">σημασμένων ουσιών στα ούρα. </w:t>
      </w:r>
    </w:p>
    <w:p w:rsidR="00B35873" w:rsidRPr="00F652D5" w:rsidRDefault="00B35873" w:rsidP="007E08D8">
      <w:pPr>
        <w:jc w:val="both"/>
        <w:rPr>
          <w:snapToGrid w:val="0"/>
          <w:sz w:val="22"/>
          <w:szCs w:val="22"/>
          <w:lang w:val="el-GR"/>
        </w:rPr>
      </w:pPr>
    </w:p>
    <w:p w:rsidR="00B35873" w:rsidRPr="00F652D5" w:rsidRDefault="00B35873" w:rsidP="007E08D8">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napToGrid w:val="0"/>
          <w:szCs w:val="22"/>
          <w:lang w:val="el-GR" w:eastAsia="en-US"/>
        </w:rPr>
        <w:t>Χαρακτηριστικά ασθενών</w:t>
      </w:r>
    </w:p>
    <w:p w:rsidR="00B35873" w:rsidRPr="00F652D5" w:rsidRDefault="00B35873" w:rsidP="00750BC9">
      <w:pPr>
        <w:rPr>
          <w:sz w:val="22"/>
          <w:szCs w:val="22"/>
          <w:lang w:val="el-GR"/>
        </w:rPr>
      </w:pPr>
    </w:p>
    <w:p w:rsidR="00B35873" w:rsidRPr="00F652D5" w:rsidRDefault="00E11A87" w:rsidP="00750BC9">
      <w:pPr>
        <w:tabs>
          <w:tab w:val="left" w:pos="567"/>
        </w:tabs>
        <w:rPr>
          <w:snapToGrid w:val="0"/>
          <w:sz w:val="22"/>
          <w:szCs w:val="22"/>
          <w:lang w:val="el-GR" w:eastAsia="en-US"/>
        </w:rPr>
      </w:pPr>
      <w:r w:rsidRPr="00F652D5">
        <w:rPr>
          <w:snapToGrid w:val="0"/>
          <w:sz w:val="22"/>
          <w:szCs w:val="22"/>
          <w:lang w:val="el-GR" w:eastAsia="en-US"/>
        </w:rPr>
        <w:t>Άτομα</w:t>
      </w:r>
      <w:r w:rsidR="00B35873" w:rsidRPr="00F652D5">
        <w:rPr>
          <w:snapToGrid w:val="0"/>
          <w:sz w:val="22"/>
          <w:szCs w:val="22"/>
          <w:lang w:val="el-GR" w:eastAsia="en-US"/>
        </w:rPr>
        <w:t xml:space="preserve"> με μειωμένη νεφρική λειτουργία παρουσίασαν μειωμένη σωματική κάθαρση, γεγονός που συνιστά την ανάγκη μείωσης της δόσης. </w:t>
      </w:r>
      <w:r w:rsidRPr="00F652D5">
        <w:rPr>
          <w:snapToGrid w:val="0"/>
          <w:sz w:val="22"/>
          <w:szCs w:val="22"/>
          <w:lang w:val="el-GR" w:eastAsia="en-US"/>
        </w:rPr>
        <w:t>Έρευνες</w:t>
      </w:r>
      <w:r w:rsidR="00B35873" w:rsidRPr="00F652D5">
        <w:rPr>
          <w:snapToGrid w:val="0"/>
          <w:sz w:val="22"/>
          <w:szCs w:val="22"/>
          <w:lang w:val="el-GR" w:eastAsia="en-US"/>
        </w:rPr>
        <w:t xml:space="preserve"> </w:t>
      </w:r>
      <w:r w:rsidR="00B35873" w:rsidRPr="00F652D5">
        <w:rPr>
          <w:snapToGrid w:val="0"/>
          <w:sz w:val="22"/>
          <w:szCs w:val="22"/>
          <w:lang w:eastAsia="en-US"/>
        </w:rPr>
        <w:t>in</w:t>
      </w:r>
      <w:r w:rsidR="00B35873" w:rsidRPr="00F652D5">
        <w:rPr>
          <w:snapToGrid w:val="0"/>
          <w:sz w:val="22"/>
          <w:szCs w:val="22"/>
          <w:lang w:val="el-GR" w:eastAsia="en-US"/>
        </w:rPr>
        <w:t xml:space="preserve"> </w:t>
      </w:r>
      <w:r w:rsidR="00B35873" w:rsidRPr="00F652D5">
        <w:rPr>
          <w:snapToGrid w:val="0"/>
          <w:sz w:val="22"/>
          <w:szCs w:val="22"/>
          <w:lang w:eastAsia="en-US"/>
        </w:rPr>
        <w:t>vitro</w:t>
      </w:r>
      <w:r w:rsidR="00B35873" w:rsidRPr="00F652D5">
        <w:rPr>
          <w:snapToGrid w:val="0"/>
          <w:sz w:val="22"/>
          <w:szCs w:val="22"/>
          <w:lang w:val="el-GR" w:eastAsia="en-US"/>
        </w:rPr>
        <w:t xml:space="preserve"> με ανθρώπινες πρωτεΐνες πλάσματος δεν ανέδειξαν σαφή τάση σύνδεσης της 2</w:t>
      </w:r>
      <w:r w:rsidR="00B35873" w:rsidRPr="00F652D5">
        <w:rPr>
          <w:snapToGrid w:val="0"/>
          <w:sz w:val="22"/>
          <w:szCs w:val="22"/>
          <w:lang w:eastAsia="en-US"/>
        </w:rPr>
        <w:t>F</w:t>
      </w:r>
      <w:r w:rsidR="00B35873" w:rsidRPr="00F652D5">
        <w:rPr>
          <w:snapToGrid w:val="0"/>
          <w:sz w:val="22"/>
          <w:szCs w:val="22"/>
          <w:lang w:val="el-GR" w:eastAsia="en-US"/>
        </w:rPr>
        <w:t>-</w:t>
      </w:r>
      <w:r w:rsidR="00B35873" w:rsidRPr="00F652D5">
        <w:rPr>
          <w:snapToGrid w:val="0"/>
          <w:sz w:val="22"/>
          <w:szCs w:val="22"/>
          <w:lang w:eastAsia="en-US"/>
        </w:rPr>
        <w:t>ara</w:t>
      </w:r>
      <w:r w:rsidR="00B35873" w:rsidRPr="00F652D5">
        <w:rPr>
          <w:snapToGrid w:val="0"/>
          <w:sz w:val="22"/>
          <w:szCs w:val="22"/>
          <w:lang w:val="el-GR" w:eastAsia="en-US"/>
        </w:rPr>
        <w:t>-</w:t>
      </w:r>
      <w:r w:rsidR="00B35873" w:rsidRPr="00F652D5">
        <w:rPr>
          <w:snapToGrid w:val="0"/>
          <w:sz w:val="22"/>
          <w:szCs w:val="22"/>
          <w:lang w:eastAsia="en-US"/>
        </w:rPr>
        <w:t>A</w:t>
      </w:r>
      <w:r w:rsidR="00B35873" w:rsidRPr="00F652D5">
        <w:rPr>
          <w:snapToGrid w:val="0"/>
          <w:sz w:val="22"/>
          <w:szCs w:val="22"/>
          <w:lang w:val="el-GR" w:eastAsia="en-US"/>
        </w:rPr>
        <w:t xml:space="preserve"> με τις πρωτεΐνες.</w:t>
      </w:r>
    </w:p>
    <w:p w:rsidR="00B35873" w:rsidRDefault="00B35873" w:rsidP="007E08D8">
      <w:pPr>
        <w:tabs>
          <w:tab w:val="left" w:pos="567"/>
        </w:tabs>
        <w:jc w:val="both"/>
        <w:rPr>
          <w:snapToGrid w:val="0"/>
          <w:sz w:val="22"/>
          <w:szCs w:val="22"/>
          <w:lang w:val="el-GR" w:eastAsia="en-US"/>
        </w:rPr>
      </w:pPr>
    </w:p>
    <w:p w:rsidR="008E03AA" w:rsidRPr="00F652D5" w:rsidRDefault="008E03AA" w:rsidP="007E08D8">
      <w:pPr>
        <w:tabs>
          <w:tab w:val="left" w:pos="567"/>
        </w:tabs>
        <w:jc w:val="both"/>
        <w:rPr>
          <w:snapToGrid w:val="0"/>
          <w:sz w:val="22"/>
          <w:szCs w:val="22"/>
          <w:lang w:val="el-GR" w:eastAsia="en-US"/>
        </w:rPr>
      </w:pPr>
    </w:p>
    <w:p w:rsidR="00B35873" w:rsidRPr="00F652D5" w:rsidRDefault="00B35873" w:rsidP="00986D6B">
      <w:pPr>
        <w:jc w:val="both"/>
        <w:rPr>
          <w:i/>
          <w:snapToGrid w:val="0"/>
          <w:sz w:val="22"/>
          <w:szCs w:val="22"/>
          <w:u w:val="single"/>
          <w:lang w:val="el-GR" w:eastAsia="en-US"/>
        </w:rPr>
      </w:pPr>
      <w:r w:rsidRPr="00F652D5">
        <w:rPr>
          <w:i/>
          <w:snapToGrid w:val="0"/>
          <w:sz w:val="22"/>
          <w:szCs w:val="22"/>
          <w:u w:val="single"/>
          <w:lang w:val="el-GR" w:eastAsia="en-US"/>
        </w:rPr>
        <w:t>Φαρμακοκινητικές ιδιότητες της τριφωσφορικής φλουνταραμπίνης στο κύτταρο</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eastAsia="en-US"/>
        </w:rPr>
        <w:t>H</w:t>
      </w:r>
      <w:r w:rsidRPr="00F652D5">
        <w:rPr>
          <w:snapToGrid w:val="0"/>
          <w:sz w:val="22"/>
          <w:szCs w:val="22"/>
          <w:lang w:val="el-GR" w:eastAsia="en-US"/>
        </w:rPr>
        <w:t xml:space="preserve">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μεταφέρεται ενεργά μέσα σε λευχαιμικά κύτταρα, όπου επαναφωσφορυλιώνεται στην μονοφωσφορική μορφή και ακολούθως στην δι- και τριφωσφορική της μορφή. Η τριφωσφορική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ATP</w:t>
      </w:r>
      <w:r w:rsidRPr="00F652D5">
        <w:rPr>
          <w:snapToGrid w:val="0"/>
          <w:sz w:val="22"/>
          <w:szCs w:val="22"/>
          <w:lang w:val="el-GR" w:eastAsia="en-US"/>
        </w:rPr>
        <w:t xml:space="preserve"> είναι ο κύριος ενδοκυτταρικός μεταβολίτης καθώς και ο μόνος μεταβολίτης, για τον οποίο είναι γνωστό ότι έχει κυτταροτοξική δράση. Τα μέγιστα επίπεδα της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ATP</w:t>
      </w:r>
      <w:r w:rsidRPr="00F652D5">
        <w:rPr>
          <w:snapToGrid w:val="0"/>
          <w:sz w:val="22"/>
          <w:szCs w:val="22"/>
          <w:lang w:val="el-GR" w:eastAsia="en-US"/>
        </w:rPr>
        <w:t xml:space="preserve"> σε λευχαιμικά λεμφοκύτταρα ασθενών με </w:t>
      </w:r>
      <w:smartTag w:uri="urn:schemas-microsoft-com:office:smarttags" w:element="stockticker">
        <w:r w:rsidRPr="00F652D5">
          <w:rPr>
            <w:snapToGrid w:val="0"/>
            <w:sz w:val="22"/>
            <w:szCs w:val="22"/>
            <w:lang w:eastAsia="en-US"/>
          </w:rPr>
          <w:t>CLL</w:t>
        </w:r>
      </w:smartTag>
      <w:r w:rsidRPr="00F652D5">
        <w:rPr>
          <w:snapToGrid w:val="0"/>
          <w:sz w:val="22"/>
          <w:szCs w:val="22"/>
          <w:lang w:val="el-GR" w:eastAsia="en-US"/>
        </w:rPr>
        <w:t xml:space="preserve"> παρατηρήθηκαν σε ένα </w:t>
      </w:r>
      <w:r w:rsidR="00314686">
        <w:rPr>
          <w:snapToGrid w:val="0"/>
          <w:sz w:val="22"/>
          <w:szCs w:val="22"/>
          <w:lang w:val="el-GR" w:eastAsia="en-US"/>
        </w:rPr>
        <w:t>διάμεσ</w:t>
      </w:r>
      <w:r w:rsidRPr="00F652D5">
        <w:rPr>
          <w:snapToGrid w:val="0"/>
          <w:sz w:val="22"/>
          <w:szCs w:val="22"/>
          <w:lang w:val="el-GR" w:eastAsia="en-US"/>
        </w:rPr>
        <w:t xml:space="preserve">ο χρονικό διάστημα 4 ωρών και παρουσίασαν σημαντική διακύμανση με </w:t>
      </w:r>
      <w:r w:rsidR="00314686">
        <w:rPr>
          <w:snapToGrid w:val="0"/>
          <w:sz w:val="22"/>
          <w:szCs w:val="22"/>
          <w:lang w:val="el-GR" w:eastAsia="en-US"/>
        </w:rPr>
        <w:t>διάμεσ</w:t>
      </w:r>
      <w:r w:rsidRPr="00F652D5">
        <w:rPr>
          <w:snapToGrid w:val="0"/>
          <w:sz w:val="22"/>
          <w:szCs w:val="22"/>
          <w:lang w:val="el-GR" w:eastAsia="en-US"/>
        </w:rPr>
        <w:t>η μέγιστη συγκέντρωση περίπου 20 μΜ. Τα επίπεδα της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ATP</w:t>
      </w:r>
      <w:r w:rsidRPr="00F652D5">
        <w:rPr>
          <w:snapToGrid w:val="0"/>
          <w:sz w:val="22"/>
          <w:szCs w:val="22"/>
          <w:lang w:val="el-GR" w:eastAsia="en-US"/>
        </w:rPr>
        <w:t xml:space="preserve"> στα λευχαιμικά κύτταρα ήταν πάντοτε σημαντικά υψηλότερα από τα μέγιστα επίπεδα της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στο πλάσμα δείχνοντας μία συσσώρευση στις περιοχές στόχου. Η επώαση </w:t>
      </w:r>
      <w:r w:rsidRPr="00F652D5">
        <w:rPr>
          <w:snapToGrid w:val="0"/>
          <w:sz w:val="22"/>
          <w:szCs w:val="22"/>
          <w:lang w:eastAsia="en-US"/>
        </w:rPr>
        <w:t>in</w:t>
      </w:r>
      <w:r w:rsidRPr="00F652D5">
        <w:rPr>
          <w:snapToGrid w:val="0"/>
          <w:sz w:val="22"/>
          <w:szCs w:val="22"/>
          <w:lang w:val="el-GR" w:eastAsia="en-US"/>
        </w:rPr>
        <w:t xml:space="preserve"> </w:t>
      </w:r>
      <w:r w:rsidRPr="00F652D5">
        <w:rPr>
          <w:snapToGrid w:val="0"/>
          <w:sz w:val="22"/>
          <w:szCs w:val="22"/>
          <w:lang w:eastAsia="en-US"/>
        </w:rPr>
        <w:t>vitro</w:t>
      </w:r>
      <w:r w:rsidRPr="00F652D5">
        <w:rPr>
          <w:snapToGrid w:val="0"/>
          <w:sz w:val="22"/>
          <w:szCs w:val="22"/>
          <w:lang w:val="el-GR" w:eastAsia="en-US"/>
        </w:rPr>
        <w:t xml:space="preserve"> λευχαιμικών λεμφοκυττάρων έδειξε γραμμική σχέση μεταξύ της εξωκυττάριας έκθεσης της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(προϊόν της συγκέντρωσης της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 και της διάρκειας της επώασης) και του ενδοκυττάριου εμπλουτισμού με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ΤΡ. Η αποβολή του 2</w:t>
      </w:r>
      <w:r w:rsidRPr="00F652D5">
        <w:rPr>
          <w:snapToGrid w:val="0"/>
          <w:sz w:val="22"/>
          <w:szCs w:val="22"/>
          <w:lang w:eastAsia="en-US"/>
        </w:rPr>
        <w:t>F</w:t>
      </w:r>
      <w:r w:rsidRPr="00F652D5">
        <w:rPr>
          <w:snapToGrid w:val="0"/>
          <w:sz w:val="22"/>
          <w:szCs w:val="22"/>
          <w:lang w:val="el-GR" w:eastAsia="en-US"/>
        </w:rPr>
        <w:t>-</w:t>
      </w:r>
      <w:r w:rsidRPr="00F652D5">
        <w:rPr>
          <w:snapToGrid w:val="0"/>
          <w:sz w:val="22"/>
          <w:szCs w:val="22"/>
          <w:lang w:eastAsia="en-US"/>
        </w:rPr>
        <w:t>ara</w:t>
      </w:r>
      <w:r w:rsidRPr="00F652D5">
        <w:rPr>
          <w:snapToGrid w:val="0"/>
          <w:sz w:val="22"/>
          <w:szCs w:val="22"/>
          <w:lang w:val="el-GR" w:eastAsia="en-US"/>
        </w:rPr>
        <w:t>-</w:t>
      </w:r>
      <w:r w:rsidRPr="00F652D5">
        <w:rPr>
          <w:snapToGrid w:val="0"/>
          <w:sz w:val="22"/>
          <w:szCs w:val="22"/>
          <w:lang w:eastAsia="en-US"/>
        </w:rPr>
        <w:t>A</w:t>
      </w:r>
      <w:r w:rsidRPr="00F652D5">
        <w:rPr>
          <w:snapToGrid w:val="0"/>
          <w:sz w:val="22"/>
          <w:szCs w:val="22"/>
          <w:lang w:val="el-GR" w:eastAsia="en-US"/>
        </w:rPr>
        <w:t xml:space="preserve">ΤΡ από τα κύτταρα στόχου έδειξε </w:t>
      </w:r>
      <w:r w:rsidR="00314686">
        <w:rPr>
          <w:snapToGrid w:val="0"/>
          <w:sz w:val="22"/>
          <w:szCs w:val="22"/>
          <w:lang w:val="el-GR" w:eastAsia="en-US"/>
        </w:rPr>
        <w:t xml:space="preserve">διάμεσους </w:t>
      </w:r>
      <w:r w:rsidRPr="00F652D5">
        <w:rPr>
          <w:snapToGrid w:val="0"/>
          <w:sz w:val="22"/>
          <w:szCs w:val="22"/>
          <w:lang w:val="el-GR" w:eastAsia="en-US"/>
        </w:rPr>
        <w:t>χρόνους ημίσειας ζωής 15 και 23 ωρών.</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5.3</w:t>
      </w:r>
      <w:r w:rsidRPr="00F652D5">
        <w:rPr>
          <w:b/>
          <w:snapToGrid w:val="0"/>
          <w:sz w:val="22"/>
          <w:szCs w:val="22"/>
          <w:lang w:val="el-GR" w:eastAsia="en-US"/>
        </w:rPr>
        <w:tab/>
        <w:t>Προκλινικά δεδομένα για την ασφάλεια</w:t>
      </w:r>
    </w:p>
    <w:p w:rsidR="00B35873" w:rsidRPr="00F652D5" w:rsidRDefault="00B35873" w:rsidP="007E08D8">
      <w:pPr>
        <w:rPr>
          <w:sz w:val="22"/>
          <w:szCs w:val="22"/>
          <w:lang w:val="el-GR"/>
        </w:rPr>
      </w:pPr>
    </w:p>
    <w:p w:rsidR="00B35873" w:rsidRPr="00F652D5" w:rsidRDefault="00B35873" w:rsidP="007E08D8">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zCs w:val="22"/>
          <w:lang w:val="el-GR"/>
        </w:rPr>
        <w:t>Συστηματική τοξικότητα</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Σε μελέτες οξείας τοξικότητας, οι μεμονωμένες δόσεις της φωσφορικής φλουνταραμπίνης προκάλεσαν συμπτώματα </w:t>
      </w:r>
      <w:r w:rsidR="00ED1A06">
        <w:rPr>
          <w:snapToGrid w:val="0"/>
          <w:sz w:val="22"/>
          <w:szCs w:val="22"/>
          <w:lang w:val="el-GR" w:eastAsia="en-US"/>
        </w:rPr>
        <w:t>σοβαρή</w:t>
      </w:r>
      <w:r w:rsidRPr="00F652D5">
        <w:rPr>
          <w:snapToGrid w:val="0"/>
          <w:sz w:val="22"/>
          <w:szCs w:val="22"/>
          <w:lang w:val="el-GR" w:eastAsia="en-US"/>
        </w:rPr>
        <w:t xml:space="preserve">ς δηλητηρίασης ή θάνατο σε δόσεις </w:t>
      </w:r>
      <w:r w:rsidR="00E11A87" w:rsidRPr="00F652D5">
        <w:rPr>
          <w:snapToGrid w:val="0"/>
          <w:sz w:val="22"/>
          <w:szCs w:val="22"/>
          <w:lang w:val="el-GR" w:eastAsia="en-US"/>
        </w:rPr>
        <w:t xml:space="preserve">δύο τάξεων μεγέθους </w:t>
      </w:r>
      <w:r w:rsidRPr="00F652D5">
        <w:rPr>
          <w:snapToGrid w:val="0"/>
          <w:sz w:val="22"/>
          <w:szCs w:val="22"/>
          <w:lang w:val="el-GR" w:eastAsia="en-US"/>
        </w:rPr>
        <w:t xml:space="preserve">πάνω από τη θεραπευτική δόση. </w:t>
      </w:r>
      <w:r w:rsidR="00E11A87" w:rsidRPr="00F652D5">
        <w:rPr>
          <w:snapToGrid w:val="0"/>
          <w:sz w:val="22"/>
          <w:szCs w:val="22"/>
          <w:lang w:val="el-GR" w:eastAsia="en-US"/>
        </w:rPr>
        <w:t>Όπως</w:t>
      </w:r>
      <w:r w:rsidRPr="00F652D5">
        <w:rPr>
          <w:snapToGrid w:val="0"/>
          <w:sz w:val="22"/>
          <w:szCs w:val="22"/>
          <w:lang w:val="el-GR" w:eastAsia="en-US"/>
        </w:rPr>
        <w:t xml:space="preserve"> αναμενόταν για μία κυτταροτοξική ουσία, προσβλήθηκαν ο μυελός των οστών, τα λεμφικά όργανα, ο βλεννογόνος του γαστρεντερικού συστήματος, οι νεφροί και οι όρχεις. Σε ασθενείς, παρατηρήθηκαν ανεπιθύμητες ενέργειες </w:t>
      </w:r>
      <w:r w:rsidR="00ED1A06">
        <w:rPr>
          <w:snapToGrid w:val="0"/>
          <w:sz w:val="22"/>
          <w:szCs w:val="22"/>
          <w:lang w:val="el-GR" w:eastAsia="en-US"/>
        </w:rPr>
        <w:t>σοβαρή</w:t>
      </w:r>
      <w:r w:rsidRPr="00F652D5">
        <w:rPr>
          <w:snapToGrid w:val="0"/>
          <w:sz w:val="22"/>
          <w:szCs w:val="22"/>
          <w:lang w:val="el-GR" w:eastAsia="en-US"/>
        </w:rPr>
        <w:t xml:space="preserve">ς μορφής σε δόσεις </w:t>
      </w:r>
      <w:r w:rsidR="001F67DD" w:rsidRPr="00F652D5">
        <w:rPr>
          <w:snapToGrid w:val="0"/>
          <w:sz w:val="22"/>
          <w:szCs w:val="22"/>
          <w:lang w:val="el-GR" w:eastAsia="en-US"/>
        </w:rPr>
        <w:t>πιο</w:t>
      </w:r>
      <w:r w:rsidRPr="00F652D5">
        <w:rPr>
          <w:snapToGrid w:val="0"/>
          <w:sz w:val="22"/>
          <w:szCs w:val="22"/>
          <w:lang w:val="el-GR" w:eastAsia="en-US"/>
        </w:rPr>
        <w:t xml:space="preserve"> κοντά στην συνιστώμενη θεραπευτική δόση (παράγοντας 3 έως 4) συμπεριλαμβανομένης και της νευροτοξικότητας </w:t>
      </w:r>
      <w:r w:rsidR="00ED1A06">
        <w:rPr>
          <w:snapToGrid w:val="0"/>
          <w:sz w:val="22"/>
          <w:szCs w:val="22"/>
          <w:lang w:val="el-GR" w:eastAsia="en-US"/>
        </w:rPr>
        <w:t>σοβαρή</w:t>
      </w:r>
      <w:r w:rsidRPr="00F652D5">
        <w:rPr>
          <w:snapToGrid w:val="0"/>
          <w:sz w:val="22"/>
          <w:szCs w:val="22"/>
          <w:lang w:val="el-GR" w:eastAsia="en-US"/>
        </w:rPr>
        <w:t>ς μορφής ενίοτε με θανατηφόρο έκβαση (βλ. κεφάλαιο 4.9).</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Μελέτες συστηματικής τοξικότητας, με επαναλαμβανόμενη χορήγηση της φωσφορικής φλουνταραμπίνης, έδειξαν επίσης τις αναμενόμενες επιδράσεις σε ταχέως πολλαπλασιαζόμενους ιστούς, πάνω από μία οριακή δόση. Η σοβαρότητα των μορφολογικών εκδηλώσεων αυξάνεται με τη δόση και την χρονική διάρκεια της χορήγησης και οι αλλαγές που παρατηρήθηκαν θεωρήθηκαν γενικότερα ως αναστρέψιμες. Κατ' αρχήν, η πείρα που υπάρχει από την θεραπευτική χρήση του </w:t>
      </w:r>
      <w:r w:rsidRPr="00F652D5">
        <w:rPr>
          <w:snapToGrid w:val="0"/>
          <w:sz w:val="22"/>
          <w:szCs w:val="22"/>
          <w:lang w:eastAsia="en-US"/>
        </w:rPr>
        <w:t>Fludara</w:t>
      </w:r>
      <w:r w:rsidRPr="00F652D5">
        <w:rPr>
          <w:snapToGrid w:val="0"/>
          <w:sz w:val="22"/>
          <w:szCs w:val="22"/>
          <w:lang w:val="el-GR" w:eastAsia="en-US"/>
        </w:rPr>
        <w:t xml:space="preserve"> υποδεικνύει ένα συγκρίσιμο τοξικολογικό προφίλ στους ανθρώπους, </w:t>
      </w:r>
      <w:r w:rsidRPr="00F652D5">
        <w:rPr>
          <w:snapToGrid w:val="0"/>
          <w:sz w:val="22"/>
          <w:szCs w:val="22"/>
          <w:lang w:val="el-GR" w:eastAsia="en-US"/>
        </w:rPr>
        <w:lastRenderedPageBreak/>
        <w:t>παρόλο που παρατηρήθηκαν σε ασθενείς πρόσθετες ανεπιθύμητες ενέργειες όπως νευροτοξικότητα (βλ. κεφάλαιο 4.8).</w:t>
      </w:r>
    </w:p>
    <w:p w:rsidR="00B35873" w:rsidRPr="00F652D5" w:rsidRDefault="00B35873" w:rsidP="007E08D8">
      <w:pPr>
        <w:pStyle w:val="Para0s"/>
        <w:spacing w:after="0"/>
        <w:rPr>
          <w:rFonts w:ascii="Times New Roman" w:hAnsi="Times New Roman"/>
          <w:szCs w:val="22"/>
          <w:lang w:val="el-GR"/>
        </w:rPr>
      </w:pPr>
    </w:p>
    <w:p w:rsidR="00B35873" w:rsidRPr="00F652D5" w:rsidRDefault="00B35873" w:rsidP="00750BC9">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zCs w:val="22"/>
          <w:lang w:val="el-GR"/>
        </w:rPr>
        <w:t>Εμβρυοτοξικότητα</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Τα αποτελέσματα μελετών </w:t>
      </w:r>
      <w:r w:rsidR="0062608E">
        <w:rPr>
          <w:snapToGrid w:val="0"/>
          <w:sz w:val="22"/>
          <w:szCs w:val="22"/>
          <w:lang w:val="el-GR" w:eastAsia="en-US"/>
        </w:rPr>
        <w:t xml:space="preserve">ενδοφλέβιας </w:t>
      </w:r>
      <w:r w:rsidRPr="00F652D5">
        <w:rPr>
          <w:snapToGrid w:val="0"/>
          <w:sz w:val="22"/>
          <w:szCs w:val="22"/>
          <w:lang w:val="el-GR" w:eastAsia="en-US"/>
        </w:rPr>
        <w:t xml:space="preserve">εμβρυοτοξικότητας σε </w:t>
      </w:r>
      <w:r w:rsidR="0062608E">
        <w:rPr>
          <w:snapToGrid w:val="0"/>
          <w:sz w:val="22"/>
          <w:szCs w:val="22"/>
          <w:lang w:val="el-GR" w:eastAsia="en-US"/>
        </w:rPr>
        <w:t>αρουραίους και κουνέλια</w:t>
      </w:r>
      <w:r w:rsidRPr="00F652D5">
        <w:rPr>
          <w:snapToGrid w:val="0"/>
          <w:sz w:val="22"/>
          <w:szCs w:val="22"/>
          <w:lang w:val="el-GR" w:eastAsia="en-US"/>
        </w:rPr>
        <w:t xml:space="preserve"> έδειξαν </w:t>
      </w:r>
      <w:r w:rsidR="0062608E">
        <w:rPr>
          <w:snapToGrid w:val="0"/>
          <w:sz w:val="22"/>
          <w:szCs w:val="22"/>
          <w:lang w:val="el-GR" w:eastAsia="en-US"/>
        </w:rPr>
        <w:t xml:space="preserve">εμβρυοθανατηφόρο και </w:t>
      </w:r>
      <w:r w:rsidRPr="00F652D5">
        <w:rPr>
          <w:snapToGrid w:val="0"/>
          <w:sz w:val="22"/>
          <w:szCs w:val="22"/>
          <w:lang w:val="el-GR" w:eastAsia="en-US"/>
        </w:rPr>
        <w:t>τερατογόνο δυναμικό για τη φωσφορική φλουνταραμπίνη</w:t>
      </w:r>
      <w:r w:rsidR="0062608E">
        <w:rPr>
          <w:snapToGrid w:val="0"/>
          <w:sz w:val="22"/>
          <w:szCs w:val="22"/>
          <w:lang w:val="el-GR" w:eastAsia="en-US"/>
        </w:rPr>
        <w:t xml:space="preserve"> όπως εκδηλώθηκε σε σκελετικές δυσπλασίες, απώλεια εμβρυϊκού βάρους και αποβολή μετά την εμφύτευση</w:t>
      </w:r>
      <w:r w:rsidRPr="00F652D5">
        <w:rPr>
          <w:snapToGrid w:val="0"/>
          <w:sz w:val="22"/>
          <w:szCs w:val="22"/>
          <w:lang w:val="el-GR" w:eastAsia="en-US"/>
        </w:rPr>
        <w:t xml:space="preserve">. Λαμβανομένου υπόψη του μικρού περιθωρίου ασφαλείας μεταξύ των τερατογόνων δόσεων στα ζώα και της θεραπευτικής δόσης για τον άνθρωπο, αλλά και σε αναλογία με άλλους αντιμεταβολίτες που θεωρείται ότι παρεμβαίνουν στη διαδικασία της διαφοροποίησης, η θεραπευτική χρήση του </w:t>
      </w:r>
      <w:r w:rsidRPr="00F652D5">
        <w:rPr>
          <w:snapToGrid w:val="0"/>
          <w:sz w:val="22"/>
          <w:szCs w:val="22"/>
          <w:lang w:eastAsia="en-US"/>
        </w:rPr>
        <w:t>Fludara</w:t>
      </w:r>
      <w:r w:rsidRPr="00F652D5">
        <w:rPr>
          <w:snapToGrid w:val="0"/>
          <w:sz w:val="22"/>
          <w:szCs w:val="22"/>
          <w:lang w:val="el-GR" w:eastAsia="en-US"/>
        </w:rPr>
        <w:t xml:space="preserve"> συνδυάζεται με ένα σχετικό κίνδυνο τερατογόνου επίδρασης στον άνθρωπο (βλ. κεφάλαιο 4.6).</w:t>
      </w:r>
    </w:p>
    <w:p w:rsidR="00B35873" w:rsidRPr="00F652D5" w:rsidRDefault="00B35873" w:rsidP="00750BC9">
      <w:pPr>
        <w:pStyle w:val="Para0s"/>
        <w:spacing w:after="0"/>
        <w:rPr>
          <w:rFonts w:ascii="Times New Roman" w:hAnsi="Times New Roman"/>
          <w:szCs w:val="22"/>
          <w:lang w:val="el-GR"/>
        </w:rPr>
      </w:pPr>
    </w:p>
    <w:p w:rsidR="00B35873" w:rsidRPr="00F652D5" w:rsidRDefault="00B35873" w:rsidP="00750BC9">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zCs w:val="22"/>
          <w:lang w:val="el-GR"/>
        </w:rPr>
        <w:t>Ενδεχόμενη γονοτοξική, ογκογόνος δράση</w:t>
      </w:r>
    </w:p>
    <w:p w:rsidR="00B35873" w:rsidRPr="00F652D5" w:rsidRDefault="00B35873" w:rsidP="00750BC9">
      <w:pPr>
        <w:tabs>
          <w:tab w:val="left" w:pos="567"/>
        </w:tabs>
        <w:rPr>
          <w:snapToGrid w:val="0"/>
          <w:sz w:val="22"/>
          <w:szCs w:val="22"/>
          <w:lang w:val="el-GR" w:eastAsia="en-US"/>
        </w:rPr>
      </w:pPr>
    </w:p>
    <w:p w:rsidR="00B35873" w:rsidRPr="00F652D5" w:rsidRDefault="00972A4D" w:rsidP="00750BC9">
      <w:pPr>
        <w:tabs>
          <w:tab w:val="left" w:pos="567"/>
        </w:tabs>
        <w:rPr>
          <w:snapToGrid w:val="0"/>
          <w:sz w:val="22"/>
          <w:szCs w:val="22"/>
          <w:lang w:val="el-GR" w:eastAsia="en-US"/>
        </w:rPr>
      </w:pPr>
      <w:r w:rsidRPr="00F652D5">
        <w:rPr>
          <w:snapToGrid w:val="0"/>
          <w:sz w:val="22"/>
          <w:szCs w:val="22"/>
          <w:lang w:val="el-GR" w:eastAsia="en-US"/>
        </w:rPr>
        <w:t>Έχει</w:t>
      </w:r>
      <w:r w:rsidR="00B35873" w:rsidRPr="00F652D5">
        <w:rPr>
          <w:snapToGrid w:val="0"/>
          <w:sz w:val="22"/>
          <w:szCs w:val="22"/>
          <w:lang w:val="el-GR" w:eastAsia="en-US"/>
        </w:rPr>
        <w:t xml:space="preserve"> αποδειχτεί ότι η φωσφορική φλουνταραμπίνη </w:t>
      </w:r>
      <w:r w:rsidR="00B35873" w:rsidRPr="00F652D5">
        <w:rPr>
          <w:sz w:val="22"/>
          <w:szCs w:val="22"/>
          <w:lang w:val="el-GR"/>
        </w:rPr>
        <w:t xml:space="preserve">προκαλεί βλάβη στο </w:t>
      </w:r>
      <w:smartTag w:uri="urn:schemas-microsoft-com:office:smarttags" w:element="stockticker">
        <w:r w:rsidR="00B35873" w:rsidRPr="00F652D5">
          <w:rPr>
            <w:sz w:val="22"/>
            <w:szCs w:val="22"/>
          </w:rPr>
          <w:t>DNA</w:t>
        </w:r>
      </w:smartTag>
      <w:r w:rsidR="00B35873" w:rsidRPr="00F652D5">
        <w:rPr>
          <w:sz w:val="22"/>
          <w:szCs w:val="22"/>
          <w:lang w:val="el-GR"/>
        </w:rPr>
        <w:t xml:space="preserve"> σε δοκιμασία ανταλλαγής ομόλογων χρωματίδων, </w:t>
      </w:r>
      <w:r w:rsidR="00225D75">
        <w:rPr>
          <w:snapToGrid w:val="0"/>
          <w:sz w:val="22"/>
          <w:szCs w:val="22"/>
          <w:lang w:val="el-GR" w:eastAsia="en-US"/>
        </w:rPr>
        <w:t>προκαλεί χρωμοσωμ</w:t>
      </w:r>
      <w:r w:rsidR="00B35873" w:rsidRPr="00F652D5">
        <w:rPr>
          <w:snapToGrid w:val="0"/>
          <w:sz w:val="22"/>
          <w:szCs w:val="22"/>
          <w:lang w:val="el-GR" w:eastAsia="en-US"/>
        </w:rPr>
        <w:t xml:space="preserve">ικές ανωμαλίες σε </w:t>
      </w:r>
      <w:r w:rsidR="00B35873" w:rsidRPr="00F652D5">
        <w:rPr>
          <w:i/>
          <w:snapToGrid w:val="0"/>
          <w:sz w:val="22"/>
          <w:szCs w:val="22"/>
          <w:lang w:eastAsia="en-US"/>
        </w:rPr>
        <w:t>in</w:t>
      </w:r>
      <w:r w:rsidR="00B35873" w:rsidRPr="00F652D5">
        <w:rPr>
          <w:i/>
          <w:snapToGrid w:val="0"/>
          <w:sz w:val="22"/>
          <w:szCs w:val="22"/>
          <w:lang w:val="el-GR" w:eastAsia="en-US"/>
        </w:rPr>
        <w:t xml:space="preserve"> </w:t>
      </w:r>
      <w:r w:rsidR="00B35873" w:rsidRPr="00F652D5">
        <w:rPr>
          <w:i/>
          <w:snapToGrid w:val="0"/>
          <w:sz w:val="22"/>
          <w:szCs w:val="22"/>
          <w:lang w:eastAsia="en-US"/>
        </w:rPr>
        <w:t>vitro</w:t>
      </w:r>
      <w:r w:rsidR="00B35873" w:rsidRPr="00F652D5">
        <w:rPr>
          <w:i/>
          <w:snapToGrid w:val="0"/>
          <w:sz w:val="22"/>
          <w:szCs w:val="22"/>
          <w:lang w:val="el-GR" w:eastAsia="en-US"/>
        </w:rPr>
        <w:t xml:space="preserve"> </w:t>
      </w:r>
      <w:r w:rsidR="00B35873" w:rsidRPr="00F652D5">
        <w:rPr>
          <w:snapToGrid w:val="0"/>
          <w:sz w:val="22"/>
          <w:szCs w:val="22"/>
          <w:lang w:val="el-GR" w:eastAsia="en-US"/>
        </w:rPr>
        <w:t xml:space="preserve">κυτταρογενετική δοκιμασία και ότι αυξάνει το ποσοστό μικροπυρήνων στη δοκιμασία μικροπυρήνων ποντικών </w:t>
      </w:r>
      <w:r w:rsidR="00B35873" w:rsidRPr="00F652D5">
        <w:rPr>
          <w:snapToGrid w:val="0"/>
          <w:sz w:val="22"/>
          <w:szCs w:val="22"/>
          <w:lang w:eastAsia="en-US"/>
        </w:rPr>
        <w:t>in</w:t>
      </w:r>
      <w:r w:rsidR="00B35873" w:rsidRPr="00F652D5">
        <w:rPr>
          <w:snapToGrid w:val="0"/>
          <w:sz w:val="22"/>
          <w:szCs w:val="22"/>
          <w:lang w:val="el-GR" w:eastAsia="en-US"/>
        </w:rPr>
        <w:t xml:space="preserve"> </w:t>
      </w:r>
      <w:r w:rsidR="00B35873" w:rsidRPr="00F652D5">
        <w:rPr>
          <w:snapToGrid w:val="0"/>
          <w:sz w:val="22"/>
          <w:szCs w:val="22"/>
          <w:lang w:eastAsia="en-US"/>
        </w:rPr>
        <w:t>vivo</w:t>
      </w:r>
      <w:r w:rsidR="00B35873" w:rsidRPr="00F652D5">
        <w:rPr>
          <w:snapToGrid w:val="0"/>
          <w:sz w:val="22"/>
          <w:szCs w:val="22"/>
          <w:lang w:val="el-GR" w:eastAsia="en-US"/>
        </w:rPr>
        <w:t>, ενώ έχει αρνητικό αποτέλεσμα στη δοκιμασία μετάλλαξης γονιδίων και στη δοκιμασία προσδιορισμού της θανατηφόρου δόσης (</w:t>
      </w:r>
      <w:r w:rsidR="00B35873" w:rsidRPr="00F652D5">
        <w:rPr>
          <w:snapToGrid w:val="0"/>
          <w:sz w:val="22"/>
          <w:szCs w:val="22"/>
          <w:lang w:eastAsia="en-US"/>
        </w:rPr>
        <w:t>dominant</w:t>
      </w:r>
      <w:r w:rsidR="00B35873" w:rsidRPr="00F652D5">
        <w:rPr>
          <w:snapToGrid w:val="0"/>
          <w:sz w:val="22"/>
          <w:szCs w:val="22"/>
          <w:lang w:val="el-GR" w:eastAsia="en-US"/>
        </w:rPr>
        <w:t xml:space="preserve"> </w:t>
      </w:r>
      <w:r w:rsidR="00B35873" w:rsidRPr="00F652D5">
        <w:rPr>
          <w:snapToGrid w:val="0"/>
          <w:sz w:val="22"/>
          <w:szCs w:val="22"/>
          <w:lang w:eastAsia="en-US"/>
        </w:rPr>
        <w:t>lethal</w:t>
      </w:r>
      <w:r w:rsidR="00B35873" w:rsidRPr="00F652D5">
        <w:rPr>
          <w:snapToGrid w:val="0"/>
          <w:sz w:val="22"/>
          <w:szCs w:val="22"/>
          <w:lang w:val="el-GR" w:eastAsia="en-US"/>
        </w:rPr>
        <w:t xml:space="preserve"> </w:t>
      </w:r>
      <w:r w:rsidR="00B35873" w:rsidRPr="00F652D5">
        <w:rPr>
          <w:snapToGrid w:val="0"/>
          <w:sz w:val="22"/>
          <w:szCs w:val="22"/>
          <w:lang w:eastAsia="en-US"/>
        </w:rPr>
        <w:t>test</w:t>
      </w:r>
      <w:r w:rsidR="00B35873" w:rsidRPr="00F652D5">
        <w:rPr>
          <w:snapToGrid w:val="0"/>
          <w:sz w:val="22"/>
          <w:szCs w:val="22"/>
          <w:lang w:val="el-GR" w:eastAsia="en-US"/>
        </w:rPr>
        <w:t xml:space="preserve">) σε ποντίκια. Συνεπώς, το μεταλλαξιογόνο δυναμικό έχει δειχτεί σε σωματικά κύτταρα, αλλά δεν μπορεί να φανεί σε βλαστικά κύτταρα. </w:t>
      </w:r>
    </w:p>
    <w:p w:rsidR="00B35873" w:rsidRPr="00F652D5" w:rsidRDefault="00B35873" w:rsidP="00750BC9">
      <w:pPr>
        <w:tabs>
          <w:tab w:val="left" w:pos="567"/>
        </w:tabs>
        <w:rPr>
          <w:snapToGrid w:val="0"/>
          <w:sz w:val="22"/>
          <w:szCs w:val="22"/>
          <w:lang w:val="el-GR" w:eastAsia="en-US"/>
        </w:rPr>
      </w:pPr>
    </w:p>
    <w:p w:rsidR="00B35873"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Η γνωστή δραστηριότητα της φωσφορικής φλουνταραμπίνης στο επίπεδο του </w:t>
      </w:r>
      <w:smartTag w:uri="urn:schemas-microsoft-com:office:smarttags" w:element="stockticker">
        <w:r w:rsidRPr="00F652D5">
          <w:rPr>
            <w:snapToGrid w:val="0"/>
            <w:sz w:val="22"/>
            <w:szCs w:val="22"/>
            <w:lang w:eastAsia="en-US"/>
          </w:rPr>
          <w:t>DNA</w:t>
        </w:r>
      </w:smartTag>
      <w:r w:rsidRPr="00F652D5">
        <w:rPr>
          <w:snapToGrid w:val="0"/>
          <w:sz w:val="22"/>
          <w:szCs w:val="22"/>
          <w:lang w:val="el-GR" w:eastAsia="en-US"/>
        </w:rPr>
        <w:t xml:space="preserve"> και τα αποτελέσματα της δοκιμασίας μεταλλαξιογένεσης αποτελούν τη βάση για την υποψία καρκινογένεσης. Δεν διεξήχθησαν μελέτες που αφορούσαν άμεσα το ερώτημα της ογκογόνου δράσης γιατί η υποψία αυξημένου κινδύνου δευτέρων όγκων εξαιτίας της θεραπείας με </w:t>
      </w:r>
      <w:r w:rsidRPr="00F652D5">
        <w:rPr>
          <w:snapToGrid w:val="0"/>
          <w:sz w:val="22"/>
          <w:szCs w:val="22"/>
          <w:lang w:eastAsia="en-US"/>
        </w:rPr>
        <w:t>Fludara</w:t>
      </w:r>
      <w:r w:rsidRPr="00F652D5">
        <w:rPr>
          <w:snapToGrid w:val="0"/>
          <w:sz w:val="22"/>
          <w:szCs w:val="22"/>
          <w:lang w:val="el-GR" w:eastAsia="en-US"/>
        </w:rPr>
        <w:t xml:space="preserve"> μπορεί να εξακριβωθεί αποκλειστικά με επιδημιολογικά στοιχεία.</w:t>
      </w:r>
    </w:p>
    <w:p w:rsidR="00F44216" w:rsidRPr="005C7A5E" w:rsidRDefault="00F44216" w:rsidP="00750BC9">
      <w:pPr>
        <w:tabs>
          <w:tab w:val="left" w:pos="567"/>
        </w:tabs>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pStyle w:val="Bullet0dKT"/>
        <w:numPr>
          <w:ilvl w:val="0"/>
          <w:numId w:val="22"/>
        </w:numPr>
        <w:spacing w:before="0" w:after="0"/>
        <w:ind w:left="357" w:hanging="357"/>
        <w:rPr>
          <w:rFonts w:ascii="Times New Roman" w:hAnsi="Times New Roman"/>
          <w:szCs w:val="22"/>
          <w:lang w:val="el-GR"/>
        </w:rPr>
      </w:pPr>
      <w:r w:rsidRPr="00F652D5">
        <w:rPr>
          <w:rFonts w:ascii="Times New Roman" w:hAnsi="Times New Roman"/>
          <w:szCs w:val="22"/>
          <w:lang w:val="el-GR"/>
        </w:rPr>
        <w:t>Τοπική ανεκτικότητα</w:t>
      </w:r>
    </w:p>
    <w:p w:rsidR="00B35873" w:rsidRPr="00F652D5" w:rsidRDefault="00B35873" w:rsidP="00750BC9">
      <w:pPr>
        <w:pStyle w:val="Para0s"/>
        <w:spacing w:after="0"/>
        <w:rPr>
          <w:rFonts w:ascii="Times New Roman" w:hAnsi="Times New Roman"/>
          <w:szCs w:val="22"/>
          <w:lang w:val="el-GR"/>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Σύμφωνα με τα αποτελέσματα πειραμάτων σε ζώα με ενδοφλέβια χορήγηση φωσφορικής φλουνταραμπίνης, δεν πρέπει να αναμένεται σημαντικός τοπικός ερεθισμός στο σημείο της έγχυσης. Ακόμη και σε περίπτωση ένεσης σε λάθος σημείο, δεν παρατηρήθηκε σημαντικός τοπικός ερεθισμός μετά από χορήγηση εκτός φλέβας ή μετά από </w:t>
      </w:r>
      <w:r w:rsidR="00BF7E4A" w:rsidRPr="00F652D5">
        <w:rPr>
          <w:snapToGrid w:val="0"/>
          <w:sz w:val="22"/>
          <w:szCs w:val="22"/>
          <w:lang w:val="el-GR" w:eastAsia="en-US"/>
        </w:rPr>
        <w:t>ενδοαρτηριακή</w:t>
      </w:r>
      <w:r w:rsidRPr="00F652D5">
        <w:rPr>
          <w:snapToGrid w:val="0"/>
          <w:sz w:val="22"/>
          <w:szCs w:val="22"/>
          <w:lang w:val="el-GR" w:eastAsia="en-US"/>
        </w:rPr>
        <w:t xml:space="preserve"> και </w:t>
      </w:r>
      <w:r w:rsidR="00BF7E4A" w:rsidRPr="00F652D5">
        <w:rPr>
          <w:snapToGrid w:val="0"/>
          <w:sz w:val="22"/>
          <w:szCs w:val="22"/>
          <w:lang w:val="el-GR" w:eastAsia="en-US"/>
        </w:rPr>
        <w:t>ενδομυϊκή</w:t>
      </w:r>
      <w:r w:rsidRPr="00F652D5">
        <w:rPr>
          <w:snapToGrid w:val="0"/>
          <w:sz w:val="22"/>
          <w:szCs w:val="22"/>
          <w:lang w:val="el-GR" w:eastAsia="en-US"/>
        </w:rPr>
        <w:t xml:space="preserve"> χορήγηση υδατικού διαλύματος που περιείχε 7,5 </w:t>
      </w:r>
      <w:r w:rsidRPr="00F652D5">
        <w:rPr>
          <w:snapToGrid w:val="0"/>
          <w:sz w:val="22"/>
          <w:szCs w:val="22"/>
          <w:lang w:eastAsia="en-US"/>
        </w:rPr>
        <w:t>mg</w:t>
      </w:r>
      <w:r w:rsidRPr="00F652D5">
        <w:rPr>
          <w:snapToGrid w:val="0"/>
          <w:sz w:val="22"/>
          <w:szCs w:val="22"/>
          <w:lang w:val="el-GR" w:eastAsia="en-US"/>
        </w:rPr>
        <w:t xml:space="preserve"> φωσφορικής φλουνταραμπίνης/</w:t>
      </w:r>
      <w:r w:rsidRPr="00F652D5">
        <w:rPr>
          <w:snapToGrid w:val="0"/>
          <w:sz w:val="22"/>
          <w:szCs w:val="22"/>
          <w:lang w:eastAsia="en-US"/>
        </w:rPr>
        <w:t>ml</w:t>
      </w:r>
      <w:r w:rsidRPr="00F652D5">
        <w:rPr>
          <w:snapToGrid w:val="0"/>
          <w:sz w:val="22"/>
          <w:szCs w:val="22"/>
          <w:lang w:val="el-GR" w:eastAsia="en-US"/>
        </w:rPr>
        <w:t>.</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pStyle w:val="Para0s"/>
        <w:spacing w:after="0"/>
        <w:rPr>
          <w:rFonts w:ascii="Times New Roman" w:hAnsi="Times New Roman"/>
          <w:szCs w:val="22"/>
          <w:lang w:val="el-GR"/>
        </w:rPr>
      </w:pPr>
      <w:r w:rsidRPr="00F652D5">
        <w:rPr>
          <w:rFonts w:ascii="Times New Roman" w:hAnsi="Times New Roman"/>
          <w:szCs w:val="22"/>
          <w:lang w:val="el-GR"/>
        </w:rPr>
        <w:t>Η ομοιότητα στη φύση των παρατηρούμενων βλαβών στη γαστρεντερική οδό μετά από ενδοφλέβια ή ενδογαστρική δοσολογία σε πειράματα σε ζώα υποστηρίζει το συμπέρασμα ότι η οφειλόμενη στη φωσφορική φλουνταραμπίνη εντερίτιδα αποτελεί συστηματική δράση.</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b/>
          <w:snapToGrid w:val="0"/>
          <w:sz w:val="22"/>
          <w:szCs w:val="22"/>
          <w:lang w:val="el-GR" w:eastAsia="en-US"/>
        </w:rPr>
      </w:pPr>
      <w:r w:rsidRPr="00F652D5">
        <w:rPr>
          <w:b/>
          <w:snapToGrid w:val="0"/>
          <w:sz w:val="22"/>
          <w:szCs w:val="22"/>
          <w:lang w:val="el-GR" w:eastAsia="en-US"/>
        </w:rPr>
        <w:t>6.</w:t>
      </w:r>
      <w:r w:rsidRPr="00F652D5">
        <w:rPr>
          <w:b/>
          <w:snapToGrid w:val="0"/>
          <w:sz w:val="22"/>
          <w:szCs w:val="22"/>
          <w:lang w:val="el-GR" w:eastAsia="en-US"/>
        </w:rPr>
        <w:tab/>
        <w:t>ΦΑΡΜΑΚΕΥΤΙΚΕΣ ΠΛΗΡΟΦΟΡΙΕΣ</w:t>
      </w:r>
    </w:p>
    <w:p w:rsidR="00B35873" w:rsidRPr="00F652D5" w:rsidRDefault="00B35873" w:rsidP="00750BC9">
      <w:pPr>
        <w:tabs>
          <w:tab w:val="left" w:pos="567"/>
        </w:tabs>
        <w:rPr>
          <w:b/>
          <w:snapToGrid w:val="0"/>
          <w:sz w:val="22"/>
          <w:szCs w:val="22"/>
          <w:lang w:val="el-GR" w:eastAsia="en-US"/>
        </w:rPr>
      </w:pPr>
    </w:p>
    <w:p w:rsidR="00B35873" w:rsidRPr="00F652D5" w:rsidRDefault="00B35873" w:rsidP="00750BC9">
      <w:pPr>
        <w:tabs>
          <w:tab w:val="left" w:pos="567"/>
        </w:tabs>
        <w:rPr>
          <w:b/>
          <w:snapToGrid w:val="0"/>
          <w:sz w:val="22"/>
          <w:szCs w:val="22"/>
          <w:lang w:val="el-GR" w:eastAsia="en-US"/>
        </w:rPr>
      </w:pPr>
      <w:r w:rsidRPr="00F652D5">
        <w:rPr>
          <w:b/>
          <w:snapToGrid w:val="0"/>
          <w:sz w:val="22"/>
          <w:szCs w:val="22"/>
          <w:lang w:val="el-GR" w:eastAsia="en-US"/>
        </w:rPr>
        <w:t>6.1</w:t>
      </w:r>
      <w:r w:rsidRPr="00F652D5">
        <w:rPr>
          <w:b/>
          <w:snapToGrid w:val="0"/>
          <w:sz w:val="22"/>
          <w:szCs w:val="22"/>
          <w:lang w:val="el-GR" w:eastAsia="en-US"/>
        </w:rPr>
        <w:tab/>
        <w:t>Κατάλογος εκδόχων</w:t>
      </w:r>
    </w:p>
    <w:p w:rsidR="00B35873" w:rsidRPr="00F652D5" w:rsidRDefault="00B35873" w:rsidP="00750BC9">
      <w:pPr>
        <w:pStyle w:val="a7"/>
        <w:spacing w:before="0" w:line="240" w:lineRule="auto"/>
        <w:jc w:val="left"/>
        <w:rPr>
          <w:rFonts w:ascii="Times New Roman" w:hAnsi="Times New Roman"/>
          <w:szCs w:val="22"/>
          <w:lang w:val="el-GR"/>
        </w:rPr>
      </w:pPr>
    </w:p>
    <w:p w:rsidR="00B35873" w:rsidRPr="00F652D5" w:rsidRDefault="00B35873" w:rsidP="00750BC9">
      <w:pPr>
        <w:pStyle w:val="a7"/>
        <w:spacing w:before="0" w:line="240" w:lineRule="auto"/>
        <w:jc w:val="left"/>
        <w:rPr>
          <w:rFonts w:ascii="Times New Roman" w:hAnsi="Times New Roman"/>
          <w:szCs w:val="22"/>
          <w:lang w:val="el-GR"/>
        </w:rPr>
      </w:pPr>
      <w:r w:rsidRPr="00F652D5">
        <w:rPr>
          <w:rFonts w:ascii="Times New Roman" w:hAnsi="Times New Roman"/>
          <w:szCs w:val="22"/>
          <w:lang w:val="el-GR"/>
        </w:rPr>
        <w:t>Μαννιτόλη,</w:t>
      </w:r>
    </w:p>
    <w:p w:rsidR="00B35873" w:rsidRPr="00F652D5" w:rsidRDefault="00B35873" w:rsidP="00750BC9">
      <w:pPr>
        <w:pStyle w:val="a7"/>
        <w:spacing w:before="0" w:line="240" w:lineRule="auto"/>
        <w:jc w:val="left"/>
        <w:rPr>
          <w:rFonts w:ascii="Times New Roman" w:hAnsi="Times New Roman"/>
          <w:szCs w:val="22"/>
          <w:lang w:val="el-GR"/>
        </w:rPr>
      </w:pPr>
      <w:r w:rsidRPr="00F652D5">
        <w:rPr>
          <w:rFonts w:ascii="Times New Roman" w:hAnsi="Times New Roman"/>
          <w:szCs w:val="22"/>
          <w:lang w:val="el-GR"/>
        </w:rPr>
        <w:t xml:space="preserve">Υδροξείδιο του νατρίου (για τη ρύθμιση του </w:t>
      </w:r>
      <w:r w:rsidRPr="00F652D5">
        <w:rPr>
          <w:rFonts w:ascii="Times New Roman" w:hAnsi="Times New Roman"/>
          <w:szCs w:val="22"/>
        </w:rPr>
        <w:t>pH</w:t>
      </w:r>
      <w:r w:rsidRPr="00F652D5">
        <w:rPr>
          <w:rFonts w:ascii="Times New Roman" w:hAnsi="Times New Roman"/>
          <w:szCs w:val="22"/>
          <w:lang w:val="el-GR"/>
        </w:rPr>
        <w:t xml:space="preserve"> στο 7,7).</w:t>
      </w:r>
    </w:p>
    <w:p w:rsidR="00B35873" w:rsidRPr="00F652D5" w:rsidRDefault="00B35873" w:rsidP="00750BC9">
      <w:pPr>
        <w:tabs>
          <w:tab w:val="left" w:pos="567"/>
        </w:tabs>
        <w:rPr>
          <w:b/>
          <w:snapToGrid w:val="0"/>
          <w:sz w:val="22"/>
          <w:szCs w:val="22"/>
          <w:lang w:val="el-GR" w:eastAsia="en-US"/>
        </w:rPr>
      </w:pPr>
    </w:p>
    <w:p w:rsidR="00B35873" w:rsidRPr="00F652D5" w:rsidRDefault="00B35873" w:rsidP="00750BC9">
      <w:pPr>
        <w:tabs>
          <w:tab w:val="left" w:pos="567"/>
        </w:tabs>
        <w:rPr>
          <w:b/>
          <w:snapToGrid w:val="0"/>
          <w:sz w:val="22"/>
          <w:szCs w:val="22"/>
          <w:lang w:val="el-GR" w:eastAsia="en-US"/>
        </w:rPr>
      </w:pPr>
      <w:r w:rsidRPr="00F652D5">
        <w:rPr>
          <w:b/>
          <w:snapToGrid w:val="0"/>
          <w:sz w:val="22"/>
          <w:szCs w:val="22"/>
          <w:lang w:val="el-GR" w:eastAsia="en-US"/>
        </w:rPr>
        <w:t>6.2</w:t>
      </w:r>
      <w:r w:rsidRPr="00F652D5">
        <w:rPr>
          <w:b/>
          <w:snapToGrid w:val="0"/>
          <w:sz w:val="22"/>
          <w:szCs w:val="22"/>
          <w:lang w:val="el-GR" w:eastAsia="en-US"/>
        </w:rPr>
        <w:tab/>
        <w:t>Ασυμβατότητες</w:t>
      </w:r>
    </w:p>
    <w:p w:rsidR="00B35873" w:rsidRPr="00F652D5" w:rsidRDefault="00B35873" w:rsidP="00750BC9">
      <w:pPr>
        <w:pStyle w:val="a7"/>
        <w:spacing w:before="0" w:line="240" w:lineRule="auto"/>
        <w:jc w:val="left"/>
        <w:rPr>
          <w:rFonts w:ascii="Times New Roman" w:hAnsi="Times New Roman"/>
          <w:szCs w:val="22"/>
          <w:lang w:val="el-GR"/>
        </w:rPr>
      </w:pPr>
    </w:p>
    <w:p w:rsidR="00B35873" w:rsidRPr="00F652D5" w:rsidRDefault="00B35873" w:rsidP="00750BC9">
      <w:pPr>
        <w:pStyle w:val="a7"/>
        <w:spacing w:before="0" w:line="240" w:lineRule="auto"/>
        <w:jc w:val="left"/>
        <w:rPr>
          <w:rFonts w:ascii="Times New Roman" w:hAnsi="Times New Roman"/>
          <w:szCs w:val="22"/>
          <w:lang w:val="el-GR"/>
        </w:rPr>
      </w:pPr>
      <w:r w:rsidRPr="00F652D5">
        <w:rPr>
          <w:rFonts w:ascii="Times New Roman" w:hAnsi="Times New Roman"/>
          <w:iCs/>
          <w:szCs w:val="22"/>
          <w:lang w:val="el-GR"/>
        </w:rPr>
        <w:t>Ελλείψει μελετών σχετικά με τη συμβατότητα, το παρόν φαρμακευτικό προϊόν δ</w:t>
      </w:r>
      <w:r w:rsidRPr="00F652D5">
        <w:rPr>
          <w:rFonts w:ascii="Times New Roman" w:hAnsi="Times New Roman"/>
          <w:szCs w:val="22"/>
          <w:lang w:val="el-GR"/>
        </w:rPr>
        <w:t>εν πρέπει να χορηγείται ταυτόχρονα με άλλα φαρμακευτικά προϊόντα.</w:t>
      </w:r>
    </w:p>
    <w:p w:rsidR="00B35873" w:rsidRPr="00F652D5" w:rsidRDefault="00B35873" w:rsidP="00750BC9">
      <w:pPr>
        <w:tabs>
          <w:tab w:val="left" w:pos="567"/>
        </w:tabs>
        <w:rPr>
          <w:b/>
          <w:snapToGrid w:val="0"/>
          <w:sz w:val="22"/>
          <w:szCs w:val="22"/>
          <w:lang w:val="el-GR" w:eastAsia="en-US"/>
        </w:rPr>
      </w:pPr>
    </w:p>
    <w:p w:rsidR="00B35873" w:rsidRPr="00F652D5" w:rsidRDefault="00B35873" w:rsidP="00750BC9">
      <w:pPr>
        <w:tabs>
          <w:tab w:val="left" w:pos="567"/>
        </w:tabs>
        <w:rPr>
          <w:b/>
          <w:snapToGrid w:val="0"/>
          <w:sz w:val="22"/>
          <w:szCs w:val="22"/>
          <w:lang w:val="el-GR" w:eastAsia="en-US"/>
        </w:rPr>
      </w:pPr>
      <w:r w:rsidRPr="00F652D5">
        <w:rPr>
          <w:b/>
          <w:snapToGrid w:val="0"/>
          <w:sz w:val="22"/>
          <w:szCs w:val="22"/>
          <w:lang w:val="el-GR" w:eastAsia="en-US"/>
        </w:rPr>
        <w:lastRenderedPageBreak/>
        <w:t>6.3</w:t>
      </w:r>
      <w:r w:rsidRPr="00F652D5">
        <w:rPr>
          <w:b/>
          <w:snapToGrid w:val="0"/>
          <w:sz w:val="22"/>
          <w:szCs w:val="22"/>
          <w:lang w:val="el-GR" w:eastAsia="en-US"/>
        </w:rPr>
        <w:tab/>
        <w:t>Διάρκεια ζωής</w:t>
      </w:r>
    </w:p>
    <w:p w:rsidR="00B35873" w:rsidRPr="00F652D5" w:rsidRDefault="00B35873" w:rsidP="00750BC9">
      <w:pPr>
        <w:tabs>
          <w:tab w:val="left" w:pos="567"/>
        </w:tabs>
        <w:rPr>
          <w:snapToGrid w:val="0"/>
          <w:sz w:val="22"/>
          <w:szCs w:val="22"/>
          <w:lang w:val="el-GR" w:eastAsia="en-US"/>
        </w:rPr>
      </w:pPr>
    </w:p>
    <w:p w:rsidR="00B35873" w:rsidRPr="00F652D5" w:rsidRDefault="00972A4D" w:rsidP="00750BC9">
      <w:pPr>
        <w:tabs>
          <w:tab w:val="left" w:pos="567"/>
        </w:tabs>
        <w:rPr>
          <w:snapToGrid w:val="0"/>
          <w:sz w:val="22"/>
          <w:szCs w:val="22"/>
          <w:lang w:val="el-GR" w:eastAsia="en-US"/>
        </w:rPr>
      </w:pPr>
      <w:r w:rsidRPr="00F652D5">
        <w:rPr>
          <w:snapToGrid w:val="0"/>
          <w:sz w:val="22"/>
          <w:szCs w:val="22"/>
          <w:lang w:val="el-GR" w:eastAsia="en-US"/>
        </w:rPr>
        <w:t>Όπως</w:t>
      </w:r>
      <w:r w:rsidR="00B35873" w:rsidRPr="00F652D5">
        <w:rPr>
          <w:snapToGrid w:val="0"/>
          <w:sz w:val="22"/>
          <w:szCs w:val="22"/>
          <w:lang w:val="el-GR" w:eastAsia="en-US"/>
        </w:rPr>
        <w:t xml:space="preserve"> έχει συσκευαστεί για πώληση:</w:t>
      </w:r>
      <w:r w:rsidR="00986D6B" w:rsidRPr="00F652D5">
        <w:rPr>
          <w:snapToGrid w:val="0"/>
          <w:sz w:val="22"/>
          <w:szCs w:val="22"/>
          <w:lang w:val="el-GR" w:eastAsia="en-US"/>
        </w:rPr>
        <w:t xml:space="preserve"> 3</w:t>
      </w:r>
      <w:r w:rsidR="00986D6B" w:rsidRPr="00F652D5">
        <w:rPr>
          <w:snapToGrid w:val="0"/>
          <w:sz w:val="22"/>
          <w:szCs w:val="22"/>
          <w:lang w:val="de-DE" w:eastAsia="en-US"/>
        </w:rPr>
        <w:t> </w:t>
      </w:r>
      <w:r w:rsidR="00B35873" w:rsidRPr="00F652D5">
        <w:rPr>
          <w:snapToGrid w:val="0"/>
          <w:sz w:val="22"/>
          <w:szCs w:val="22"/>
          <w:lang w:val="el-GR" w:eastAsia="en-US"/>
        </w:rPr>
        <w:t>χρόνια.</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Έχει αποδειχτεί ότι οι χημικές και φυσικές ιδιότητες κατά τη χρήση του προϊόντος είναι σταθερές για 7 ημέρες στους 4°</w:t>
      </w:r>
      <w:r w:rsidRPr="00F652D5">
        <w:rPr>
          <w:snapToGrid w:val="0"/>
          <w:sz w:val="22"/>
          <w:szCs w:val="22"/>
          <w:lang w:eastAsia="en-US"/>
        </w:rPr>
        <w:t>C</w:t>
      </w:r>
      <w:r w:rsidRPr="00F652D5">
        <w:rPr>
          <w:snapToGrid w:val="0"/>
          <w:sz w:val="22"/>
          <w:szCs w:val="22"/>
          <w:lang w:val="el-GR" w:eastAsia="en-US"/>
        </w:rPr>
        <w:t>.</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Από μικροβιολογική άποψη το προϊόν πρέπει να χρησιμοποιείται άμεσα. Εφόσον το προϊόν δεν χρησιμοποιηθεί άμεσα, ο χρήστης φέρει την ευθύνη για το χρόνο διατήρησης κατά τη χρήση και τις συνθήκες που προηγούνται της χρήσης. Ο χρόνος διατήρησης δεν πρέπει να ξεπερνά τις 24 ώρες στους 2 - 8°</w:t>
      </w:r>
      <w:r w:rsidRPr="00F652D5">
        <w:rPr>
          <w:snapToGrid w:val="0"/>
          <w:sz w:val="22"/>
          <w:szCs w:val="22"/>
          <w:lang w:eastAsia="en-US"/>
        </w:rPr>
        <w:t>C</w:t>
      </w:r>
      <w:r w:rsidRPr="00F652D5">
        <w:rPr>
          <w:snapToGrid w:val="0"/>
          <w:sz w:val="22"/>
          <w:szCs w:val="22"/>
          <w:lang w:val="el-GR" w:eastAsia="en-US"/>
        </w:rPr>
        <w:t xml:space="preserve"> ή τις 8 ώρες σε θερμοκρασία περιβάλλοντος.</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6.4</w:t>
      </w:r>
      <w:r w:rsidRPr="00F652D5">
        <w:rPr>
          <w:b/>
          <w:snapToGrid w:val="0"/>
          <w:sz w:val="22"/>
          <w:szCs w:val="22"/>
          <w:lang w:val="el-GR" w:eastAsia="en-US"/>
        </w:rPr>
        <w:tab/>
        <w:t>Ιδιαίτερες προφυλάξεις κατά την φύλαξη του προϊόντος</w:t>
      </w:r>
    </w:p>
    <w:p w:rsidR="00B35873" w:rsidRPr="00F652D5" w:rsidRDefault="00B35873" w:rsidP="00750BC9">
      <w:pPr>
        <w:pStyle w:val="a7"/>
        <w:spacing w:before="0" w:line="240" w:lineRule="auto"/>
        <w:jc w:val="left"/>
        <w:rPr>
          <w:rFonts w:ascii="Times New Roman" w:hAnsi="Times New Roman"/>
          <w:szCs w:val="22"/>
          <w:lang w:val="el-GR"/>
        </w:rPr>
      </w:pPr>
    </w:p>
    <w:p w:rsidR="00B35873" w:rsidRPr="00F652D5" w:rsidRDefault="00986D6B" w:rsidP="00750BC9">
      <w:pPr>
        <w:pStyle w:val="a7"/>
        <w:spacing w:before="0" w:line="240" w:lineRule="auto"/>
        <w:jc w:val="left"/>
        <w:rPr>
          <w:rFonts w:ascii="Times New Roman" w:hAnsi="Times New Roman"/>
          <w:szCs w:val="22"/>
          <w:lang w:val="el-GR"/>
        </w:rPr>
      </w:pPr>
      <w:r w:rsidRPr="00F652D5">
        <w:rPr>
          <w:rFonts w:ascii="Times New Roman" w:hAnsi="Times New Roman"/>
          <w:szCs w:val="22"/>
          <w:lang w:val="el-GR"/>
        </w:rPr>
        <w:t>Δεν υπάρχουν ειδικές οδηγίες διατήρησης για το προϊόν αυτό</w:t>
      </w:r>
    </w:p>
    <w:p w:rsidR="00B35873" w:rsidRPr="00F652D5" w:rsidRDefault="00B35873" w:rsidP="00750BC9">
      <w:pPr>
        <w:pStyle w:val="a7"/>
        <w:spacing w:before="0" w:line="240" w:lineRule="auto"/>
        <w:jc w:val="left"/>
        <w:rPr>
          <w:rFonts w:ascii="Times New Roman" w:hAnsi="Times New Roman"/>
          <w:szCs w:val="22"/>
          <w:lang w:val="el-GR"/>
        </w:rPr>
      </w:pPr>
      <w:r w:rsidRPr="00F652D5">
        <w:rPr>
          <w:rFonts w:ascii="Times New Roman" w:hAnsi="Times New Roman"/>
          <w:szCs w:val="22"/>
          <w:lang w:val="el-GR"/>
        </w:rPr>
        <w:t>Για τις συνθήκες διατήρησης του ανασυσταμένου ή διαλυθέντος φαρμακευτικού προϊόντος, βλέπε παράγραφο</w:t>
      </w:r>
      <w:r w:rsidR="00986D6B" w:rsidRPr="00F652D5">
        <w:rPr>
          <w:rFonts w:ascii="Times New Roman" w:hAnsi="Times New Roman"/>
          <w:szCs w:val="22"/>
          <w:lang w:val="de-DE"/>
        </w:rPr>
        <w:t> </w:t>
      </w:r>
      <w:r w:rsidRPr="00F652D5">
        <w:rPr>
          <w:rFonts w:ascii="Times New Roman" w:hAnsi="Times New Roman"/>
          <w:szCs w:val="22"/>
          <w:lang w:val="el-GR"/>
        </w:rPr>
        <w:t>6.3.</w:t>
      </w:r>
    </w:p>
    <w:p w:rsidR="00B35873" w:rsidRPr="00F652D5" w:rsidRDefault="00B35873" w:rsidP="00750BC9">
      <w:pPr>
        <w:tabs>
          <w:tab w:val="left" w:pos="567"/>
        </w:tabs>
        <w:rPr>
          <w:b/>
          <w:snapToGrid w:val="0"/>
          <w:sz w:val="22"/>
          <w:szCs w:val="22"/>
          <w:lang w:val="el-GR" w:eastAsia="en-US"/>
        </w:rPr>
      </w:pPr>
    </w:p>
    <w:p w:rsidR="00B35873" w:rsidRPr="00F652D5" w:rsidRDefault="00B35873" w:rsidP="00750BC9">
      <w:pPr>
        <w:tabs>
          <w:tab w:val="left" w:pos="567"/>
        </w:tabs>
        <w:rPr>
          <w:b/>
          <w:snapToGrid w:val="0"/>
          <w:sz w:val="22"/>
          <w:szCs w:val="22"/>
          <w:lang w:val="el-GR" w:eastAsia="en-US"/>
        </w:rPr>
      </w:pPr>
      <w:r w:rsidRPr="00F652D5">
        <w:rPr>
          <w:b/>
          <w:snapToGrid w:val="0"/>
          <w:sz w:val="22"/>
          <w:szCs w:val="22"/>
          <w:lang w:val="el-GR" w:eastAsia="en-US"/>
        </w:rPr>
        <w:t>6.5</w:t>
      </w:r>
      <w:r w:rsidRPr="00F652D5">
        <w:rPr>
          <w:b/>
          <w:snapToGrid w:val="0"/>
          <w:sz w:val="22"/>
          <w:szCs w:val="22"/>
          <w:lang w:val="el-GR" w:eastAsia="en-US"/>
        </w:rPr>
        <w:tab/>
        <w:t>Φύση και συστατικά του περιέκτη</w:t>
      </w:r>
    </w:p>
    <w:p w:rsidR="00B35873" w:rsidRPr="00F652D5" w:rsidRDefault="00B35873" w:rsidP="00750BC9">
      <w:pPr>
        <w:tabs>
          <w:tab w:val="left" w:pos="567"/>
        </w:tabs>
        <w:rPr>
          <w:snapToGrid w:val="0"/>
          <w:sz w:val="22"/>
          <w:szCs w:val="22"/>
          <w:lang w:val="el-GR" w:eastAsia="en-US"/>
        </w:rPr>
      </w:pPr>
    </w:p>
    <w:p w:rsidR="00B35873" w:rsidRPr="00F652D5" w:rsidRDefault="001F67DD" w:rsidP="00750BC9">
      <w:pPr>
        <w:tabs>
          <w:tab w:val="left" w:pos="567"/>
        </w:tabs>
        <w:rPr>
          <w:snapToGrid w:val="0"/>
          <w:sz w:val="22"/>
          <w:szCs w:val="22"/>
          <w:lang w:val="el-GR" w:eastAsia="en-US"/>
        </w:rPr>
      </w:pPr>
      <w:r w:rsidRPr="00F652D5">
        <w:rPr>
          <w:snapToGrid w:val="0"/>
          <w:sz w:val="22"/>
          <w:szCs w:val="22"/>
          <w:lang w:val="el-GR" w:eastAsia="en-US"/>
        </w:rPr>
        <w:t>Άχρωμα</w:t>
      </w:r>
      <w:r w:rsidR="00B35873" w:rsidRPr="00F652D5">
        <w:rPr>
          <w:snapToGrid w:val="0"/>
          <w:sz w:val="22"/>
          <w:szCs w:val="22"/>
          <w:lang w:val="el-GR" w:eastAsia="en-US"/>
        </w:rPr>
        <w:t xml:space="preserve"> φιαλίδια των 10 </w:t>
      </w:r>
      <w:r w:rsidR="00B35873" w:rsidRPr="00F652D5">
        <w:rPr>
          <w:snapToGrid w:val="0"/>
          <w:sz w:val="22"/>
          <w:szCs w:val="22"/>
          <w:lang w:eastAsia="en-US"/>
        </w:rPr>
        <w:t>ml</w:t>
      </w:r>
      <w:r w:rsidR="00B35873" w:rsidRPr="00F652D5">
        <w:rPr>
          <w:snapToGrid w:val="0"/>
          <w:sz w:val="22"/>
          <w:szCs w:val="22"/>
          <w:lang w:val="el-GR" w:eastAsia="en-US"/>
        </w:rPr>
        <w:t xml:space="preserve"> από γυαλί τύπου Ι, τα οποία περιέχουν 50 </w:t>
      </w:r>
      <w:r w:rsidR="00B35873" w:rsidRPr="00F652D5">
        <w:rPr>
          <w:snapToGrid w:val="0"/>
          <w:sz w:val="22"/>
          <w:szCs w:val="22"/>
          <w:lang w:eastAsia="en-US"/>
        </w:rPr>
        <w:t>mg</w:t>
      </w:r>
      <w:r w:rsidR="00B35873" w:rsidRPr="00F652D5">
        <w:rPr>
          <w:snapToGrid w:val="0"/>
          <w:sz w:val="22"/>
          <w:szCs w:val="22"/>
          <w:lang w:val="el-GR" w:eastAsia="en-US"/>
        </w:rPr>
        <w:t xml:space="preserve"> φλουνταραμπίνης.</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Κάθε συσκευασία περιέχει 5 φιαλίδια.</w:t>
      </w:r>
    </w:p>
    <w:p w:rsidR="009105DB" w:rsidRPr="00BF1145" w:rsidRDefault="009105DB" w:rsidP="00750BC9">
      <w:pPr>
        <w:tabs>
          <w:tab w:val="left" w:pos="567"/>
        </w:tabs>
        <w:rPr>
          <w:b/>
          <w:snapToGrid w:val="0"/>
          <w:sz w:val="22"/>
          <w:szCs w:val="22"/>
          <w:lang w:val="el-GR" w:eastAsia="en-US"/>
        </w:rPr>
      </w:pPr>
    </w:p>
    <w:p w:rsidR="00B35873" w:rsidRPr="00F652D5" w:rsidRDefault="00B35873" w:rsidP="00750BC9">
      <w:pPr>
        <w:tabs>
          <w:tab w:val="left" w:pos="567"/>
        </w:tabs>
        <w:rPr>
          <w:b/>
          <w:snapToGrid w:val="0"/>
          <w:sz w:val="22"/>
          <w:szCs w:val="22"/>
          <w:lang w:val="el-GR" w:eastAsia="en-US"/>
        </w:rPr>
      </w:pPr>
      <w:r w:rsidRPr="00F652D5">
        <w:rPr>
          <w:b/>
          <w:snapToGrid w:val="0"/>
          <w:sz w:val="22"/>
          <w:szCs w:val="22"/>
          <w:lang w:val="el-GR" w:eastAsia="en-US"/>
        </w:rPr>
        <w:t>6.6</w:t>
      </w:r>
      <w:r w:rsidRPr="00F652D5">
        <w:rPr>
          <w:b/>
          <w:snapToGrid w:val="0"/>
          <w:sz w:val="22"/>
          <w:szCs w:val="22"/>
          <w:lang w:val="el-GR" w:eastAsia="en-US"/>
        </w:rPr>
        <w:tab/>
        <w:t>Ιδ</w:t>
      </w:r>
      <w:r w:rsidR="0067636A">
        <w:rPr>
          <w:b/>
          <w:snapToGrid w:val="0"/>
          <w:sz w:val="22"/>
          <w:szCs w:val="22"/>
          <w:lang w:val="el-GR" w:eastAsia="en-US"/>
        </w:rPr>
        <w:t xml:space="preserve">ιαίτερες προφυλάξεις απόρριψης </w:t>
      </w:r>
      <w:r w:rsidRPr="00F652D5">
        <w:rPr>
          <w:b/>
          <w:snapToGrid w:val="0"/>
          <w:sz w:val="22"/>
          <w:szCs w:val="22"/>
          <w:lang w:val="el-GR" w:eastAsia="en-US"/>
        </w:rPr>
        <w:t>και άλλος χειρισμός</w:t>
      </w:r>
    </w:p>
    <w:p w:rsidR="00B35873" w:rsidRPr="00F652D5" w:rsidRDefault="00B35873" w:rsidP="00750BC9">
      <w:pPr>
        <w:tabs>
          <w:tab w:val="left" w:pos="567"/>
        </w:tabs>
        <w:rPr>
          <w:b/>
          <w:snapToGrid w:val="0"/>
          <w:sz w:val="22"/>
          <w:szCs w:val="22"/>
          <w:lang w:val="el-GR" w:eastAsia="en-US"/>
        </w:rPr>
      </w:pPr>
    </w:p>
    <w:p w:rsidR="00B35873" w:rsidRPr="00F652D5" w:rsidRDefault="00B35873" w:rsidP="00750BC9">
      <w:pPr>
        <w:numPr>
          <w:ilvl w:val="0"/>
          <w:numId w:val="3"/>
        </w:numPr>
        <w:tabs>
          <w:tab w:val="clear" w:pos="360"/>
        </w:tabs>
        <w:ind w:left="0" w:firstLine="0"/>
        <w:rPr>
          <w:snapToGrid w:val="0"/>
          <w:sz w:val="22"/>
          <w:szCs w:val="22"/>
          <w:lang w:val="el-GR" w:eastAsia="en-US"/>
        </w:rPr>
      </w:pPr>
      <w:r w:rsidRPr="00F652D5">
        <w:rPr>
          <w:snapToGrid w:val="0"/>
          <w:sz w:val="22"/>
          <w:szCs w:val="22"/>
          <w:lang w:val="el-GR" w:eastAsia="en-US"/>
        </w:rPr>
        <w:t>Ανασύσταση</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Το </w:t>
      </w:r>
      <w:r w:rsidRPr="00F652D5">
        <w:rPr>
          <w:snapToGrid w:val="0"/>
          <w:sz w:val="22"/>
          <w:szCs w:val="22"/>
          <w:lang w:eastAsia="en-US"/>
        </w:rPr>
        <w:t>Fludara</w:t>
      </w:r>
      <w:r w:rsidRPr="00F652D5">
        <w:rPr>
          <w:snapToGrid w:val="0"/>
          <w:sz w:val="22"/>
          <w:szCs w:val="22"/>
          <w:lang w:val="el-GR" w:eastAsia="en-US"/>
        </w:rPr>
        <w:t xml:space="preserve"> παρασκευάζεται για παρεντερική χορήγηση με την προσθήκη, κάτω από άσηπτες συνθήκες, αποστειρωμένου ενέσιμου νερού. Μετά την ανασύσταση με 2 </w:t>
      </w:r>
      <w:r w:rsidRPr="00F652D5">
        <w:rPr>
          <w:snapToGrid w:val="0"/>
          <w:sz w:val="22"/>
          <w:szCs w:val="22"/>
          <w:lang w:eastAsia="en-US"/>
        </w:rPr>
        <w:t>ml</w:t>
      </w:r>
      <w:r w:rsidRPr="00F652D5">
        <w:rPr>
          <w:snapToGrid w:val="0"/>
          <w:sz w:val="22"/>
          <w:szCs w:val="22"/>
          <w:lang w:val="el-GR" w:eastAsia="en-US"/>
        </w:rPr>
        <w:t xml:space="preserve"> αποστειρωμένου ενέσιμου νερού, η σκόνη θα πρέπει να διαλυθεί πλήρως μέσα σε διάστημα 15 δευτερολέπτων ή λιγότερο. Κάθε </w:t>
      </w:r>
      <w:r w:rsidRPr="00F652D5">
        <w:rPr>
          <w:snapToGrid w:val="0"/>
          <w:sz w:val="22"/>
          <w:szCs w:val="22"/>
          <w:lang w:eastAsia="en-US"/>
        </w:rPr>
        <w:t>ml</w:t>
      </w:r>
      <w:r w:rsidRPr="00F652D5">
        <w:rPr>
          <w:snapToGrid w:val="0"/>
          <w:sz w:val="22"/>
          <w:szCs w:val="22"/>
          <w:lang w:val="el-GR" w:eastAsia="en-US"/>
        </w:rPr>
        <w:t xml:space="preserve"> από το διάλυμα που προκύπτει περιέχει 25 </w:t>
      </w:r>
      <w:r w:rsidRPr="00F652D5">
        <w:rPr>
          <w:snapToGrid w:val="0"/>
          <w:sz w:val="22"/>
          <w:szCs w:val="22"/>
          <w:lang w:eastAsia="en-US"/>
        </w:rPr>
        <w:t>mg</w:t>
      </w:r>
      <w:r w:rsidRPr="00F652D5">
        <w:rPr>
          <w:snapToGrid w:val="0"/>
          <w:sz w:val="22"/>
          <w:szCs w:val="22"/>
          <w:lang w:val="el-GR" w:eastAsia="en-US"/>
        </w:rPr>
        <w:t xml:space="preserve"> φωσφορική φλουνταραμπίνη, 25 </w:t>
      </w:r>
      <w:r w:rsidRPr="00F652D5">
        <w:rPr>
          <w:snapToGrid w:val="0"/>
          <w:sz w:val="22"/>
          <w:szCs w:val="22"/>
          <w:lang w:eastAsia="en-US"/>
        </w:rPr>
        <w:t>mg</w:t>
      </w:r>
      <w:r w:rsidRPr="00F652D5">
        <w:rPr>
          <w:snapToGrid w:val="0"/>
          <w:sz w:val="22"/>
          <w:szCs w:val="22"/>
          <w:lang w:val="el-GR" w:eastAsia="en-US"/>
        </w:rPr>
        <w:t xml:space="preserve"> μαννιτόλη και υδροξείδιο του νατρίου (για τη ρύθμιση του </w:t>
      </w:r>
      <w:r w:rsidRPr="00F652D5">
        <w:rPr>
          <w:snapToGrid w:val="0"/>
          <w:sz w:val="22"/>
          <w:szCs w:val="22"/>
          <w:lang w:eastAsia="en-US"/>
        </w:rPr>
        <w:t>pH</w:t>
      </w:r>
      <w:r w:rsidRPr="00F652D5">
        <w:rPr>
          <w:snapToGrid w:val="0"/>
          <w:sz w:val="22"/>
          <w:szCs w:val="22"/>
          <w:lang w:val="el-GR" w:eastAsia="en-US"/>
        </w:rPr>
        <w:t xml:space="preserve"> στο 7,7). Τα επιτρεπτά όρια του </w:t>
      </w:r>
      <w:r w:rsidRPr="00F652D5">
        <w:rPr>
          <w:snapToGrid w:val="0"/>
          <w:sz w:val="22"/>
          <w:szCs w:val="22"/>
          <w:lang w:eastAsia="en-US"/>
        </w:rPr>
        <w:t>pH</w:t>
      </w:r>
      <w:r w:rsidRPr="00F652D5">
        <w:rPr>
          <w:snapToGrid w:val="0"/>
          <w:sz w:val="22"/>
          <w:szCs w:val="22"/>
          <w:lang w:val="el-GR" w:eastAsia="en-US"/>
        </w:rPr>
        <w:t xml:space="preserve"> στο έτοιμο προϊόν είναι 7,2 - 8,2.</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numPr>
          <w:ilvl w:val="0"/>
          <w:numId w:val="3"/>
        </w:numPr>
        <w:tabs>
          <w:tab w:val="clear" w:pos="360"/>
        </w:tabs>
        <w:ind w:left="0" w:firstLine="0"/>
        <w:rPr>
          <w:snapToGrid w:val="0"/>
          <w:sz w:val="22"/>
          <w:szCs w:val="22"/>
          <w:lang w:val="el-GR" w:eastAsia="en-US"/>
        </w:rPr>
      </w:pPr>
      <w:r w:rsidRPr="00F652D5">
        <w:rPr>
          <w:snapToGrid w:val="0"/>
          <w:sz w:val="22"/>
          <w:szCs w:val="22"/>
          <w:lang w:val="el-GR" w:eastAsia="en-US"/>
        </w:rPr>
        <w:t>Αραίωση</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Η απαιτούμενη δόση (που υπολογίζεται με βάση την επιφάνεια του σώματος του ασθενούς) αναρροφάται σε μια σύριγγα. </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Για εφάπαξ (</w:t>
      </w:r>
      <w:r w:rsidRPr="00F652D5">
        <w:rPr>
          <w:snapToGrid w:val="0"/>
          <w:sz w:val="22"/>
          <w:szCs w:val="22"/>
          <w:lang w:eastAsia="en-US"/>
        </w:rPr>
        <w:t>bolus</w:t>
      </w:r>
      <w:r w:rsidRPr="00F652D5">
        <w:rPr>
          <w:snapToGrid w:val="0"/>
          <w:sz w:val="22"/>
          <w:szCs w:val="22"/>
          <w:lang w:val="el-GR" w:eastAsia="en-US"/>
        </w:rPr>
        <w:t>) ενδοφλέβια ένεση, η δόση αυτή αραιώνεται περαιτέρω με 10</w:t>
      </w:r>
      <w:r w:rsidR="00750BC9" w:rsidRPr="00F652D5">
        <w:rPr>
          <w:snapToGrid w:val="0"/>
          <w:sz w:val="22"/>
          <w:szCs w:val="22"/>
          <w:lang w:val="de-DE" w:eastAsia="en-US"/>
        </w:rPr>
        <w:t> </w:t>
      </w:r>
      <w:r w:rsidRPr="00F652D5">
        <w:rPr>
          <w:snapToGrid w:val="0"/>
          <w:sz w:val="22"/>
          <w:szCs w:val="22"/>
          <w:lang w:eastAsia="en-US"/>
        </w:rPr>
        <w:t>ml</w:t>
      </w:r>
      <w:r w:rsidRPr="00F652D5">
        <w:rPr>
          <w:snapToGrid w:val="0"/>
          <w:sz w:val="22"/>
          <w:szCs w:val="22"/>
          <w:lang w:val="el-GR" w:eastAsia="en-US"/>
        </w:rPr>
        <w:t xml:space="preserve"> διαλύματος χλωριούχου νατρίου</w:t>
      </w:r>
      <w:r w:rsidRPr="00F652D5">
        <w:rPr>
          <w:sz w:val="22"/>
          <w:szCs w:val="22"/>
        </w:rPr>
        <w:t> </w:t>
      </w:r>
      <w:r w:rsidRPr="00F652D5">
        <w:rPr>
          <w:sz w:val="22"/>
          <w:szCs w:val="22"/>
          <w:lang w:val="el-GR"/>
        </w:rPr>
        <w:t>9</w:t>
      </w:r>
      <w:r w:rsidRPr="00F652D5">
        <w:rPr>
          <w:sz w:val="22"/>
          <w:szCs w:val="22"/>
        </w:rPr>
        <w:t> mg</w:t>
      </w:r>
      <w:r w:rsidRPr="00F652D5">
        <w:rPr>
          <w:sz w:val="22"/>
          <w:szCs w:val="22"/>
          <w:lang w:val="el-GR"/>
        </w:rPr>
        <w:t>/</w:t>
      </w:r>
      <w:r w:rsidRPr="00F652D5">
        <w:rPr>
          <w:sz w:val="22"/>
          <w:szCs w:val="22"/>
        </w:rPr>
        <w:t>ml</w:t>
      </w:r>
      <w:r w:rsidRPr="00F652D5">
        <w:rPr>
          <w:sz w:val="22"/>
          <w:szCs w:val="22"/>
          <w:lang w:val="el-GR"/>
        </w:rPr>
        <w:t xml:space="preserve"> (0,9</w:t>
      </w:r>
      <w:r w:rsidRPr="00F652D5">
        <w:rPr>
          <w:sz w:val="22"/>
          <w:szCs w:val="22"/>
        </w:rPr>
        <w:t> </w:t>
      </w:r>
      <w:r w:rsidRPr="00F652D5">
        <w:rPr>
          <w:sz w:val="22"/>
          <w:szCs w:val="22"/>
          <w:lang w:val="el-GR"/>
        </w:rPr>
        <w:t>%)</w:t>
      </w:r>
      <w:r w:rsidRPr="00F652D5">
        <w:rPr>
          <w:snapToGrid w:val="0"/>
          <w:sz w:val="22"/>
          <w:szCs w:val="22"/>
          <w:lang w:val="el-GR" w:eastAsia="en-US"/>
        </w:rPr>
        <w:t xml:space="preserve">.Εναλλακτικά, όταν πρόκειται να γίνει έγχυση, η απαιτούμενη δόση μπορεί να αραιωθεί σε 100 </w:t>
      </w:r>
      <w:r w:rsidRPr="00F652D5">
        <w:rPr>
          <w:snapToGrid w:val="0"/>
          <w:sz w:val="22"/>
          <w:szCs w:val="22"/>
          <w:lang w:eastAsia="en-US"/>
        </w:rPr>
        <w:t>ml</w:t>
      </w:r>
      <w:r w:rsidRPr="00F652D5">
        <w:rPr>
          <w:snapToGrid w:val="0"/>
          <w:sz w:val="22"/>
          <w:szCs w:val="22"/>
          <w:lang w:val="el-GR" w:eastAsia="en-US"/>
        </w:rPr>
        <w:t xml:space="preserve"> διαλύματος χλωριούχου νατρίου</w:t>
      </w:r>
      <w:r w:rsidRPr="00F652D5">
        <w:rPr>
          <w:sz w:val="22"/>
          <w:szCs w:val="22"/>
        </w:rPr>
        <w:t> </w:t>
      </w:r>
      <w:r w:rsidRPr="00F652D5">
        <w:rPr>
          <w:sz w:val="22"/>
          <w:szCs w:val="22"/>
          <w:lang w:val="el-GR"/>
        </w:rPr>
        <w:t>9</w:t>
      </w:r>
      <w:r w:rsidRPr="00F652D5">
        <w:rPr>
          <w:sz w:val="22"/>
          <w:szCs w:val="22"/>
        </w:rPr>
        <w:t> mg</w:t>
      </w:r>
      <w:r w:rsidRPr="00F652D5">
        <w:rPr>
          <w:sz w:val="22"/>
          <w:szCs w:val="22"/>
          <w:lang w:val="el-GR"/>
        </w:rPr>
        <w:t>/</w:t>
      </w:r>
      <w:r w:rsidRPr="00F652D5">
        <w:rPr>
          <w:sz w:val="22"/>
          <w:szCs w:val="22"/>
        </w:rPr>
        <w:t>ml</w:t>
      </w:r>
      <w:r w:rsidRPr="00F652D5">
        <w:rPr>
          <w:sz w:val="22"/>
          <w:szCs w:val="22"/>
          <w:lang w:val="el-GR"/>
        </w:rPr>
        <w:t xml:space="preserve"> (0,9</w:t>
      </w:r>
      <w:r w:rsidRPr="00F652D5">
        <w:rPr>
          <w:sz w:val="22"/>
          <w:szCs w:val="22"/>
        </w:rPr>
        <w:t> </w:t>
      </w:r>
      <w:r w:rsidRPr="00F652D5">
        <w:rPr>
          <w:sz w:val="22"/>
          <w:szCs w:val="22"/>
          <w:lang w:val="el-GR"/>
        </w:rPr>
        <w:t>%)</w:t>
      </w:r>
      <w:r w:rsidRPr="00F652D5">
        <w:rPr>
          <w:snapToGrid w:val="0"/>
          <w:sz w:val="22"/>
          <w:szCs w:val="22"/>
          <w:lang w:val="el-GR" w:eastAsia="en-US"/>
        </w:rPr>
        <w:t xml:space="preserve"> και να χορηγηθεί μ</w:t>
      </w:r>
      <w:r w:rsidR="00750BC9" w:rsidRPr="00F652D5">
        <w:rPr>
          <w:snapToGrid w:val="0"/>
          <w:sz w:val="22"/>
          <w:szCs w:val="22"/>
          <w:lang w:val="el-GR" w:eastAsia="en-US"/>
        </w:rPr>
        <w:t>ε έγχυση σε διάστημα περίπου 30</w:t>
      </w:r>
      <w:r w:rsidR="00750BC9" w:rsidRPr="00F652D5">
        <w:rPr>
          <w:snapToGrid w:val="0"/>
          <w:sz w:val="22"/>
          <w:szCs w:val="22"/>
          <w:lang w:val="de-DE" w:eastAsia="en-US"/>
        </w:rPr>
        <w:t> </w:t>
      </w:r>
      <w:r w:rsidRPr="00F652D5">
        <w:rPr>
          <w:snapToGrid w:val="0"/>
          <w:sz w:val="22"/>
          <w:szCs w:val="22"/>
          <w:lang w:val="el-GR" w:eastAsia="en-US"/>
        </w:rPr>
        <w:t>λεπτών.</w:t>
      </w: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Σε κλινικές μελέτες, το προϊόν έχει αραιωθεί σε 100 </w:t>
      </w:r>
      <w:r w:rsidRPr="00F652D5">
        <w:rPr>
          <w:snapToGrid w:val="0"/>
          <w:sz w:val="22"/>
          <w:szCs w:val="22"/>
          <w:lang w:eastAsia="en-US"/>
        </w:rPr>
        <w:t>ml</w:t>
      </w:r>
      <w:r w:rsidRPr="00F652D5">
        <w:rPr>
          <w:snapToGrid w:val="0"/>
          <w:sz w:val="22"/>
          <w:szCs w:val="22"/>
          <w:lang w:val="el-GR" w:eastAsia="en-US"/>
        </w:rPr>
        <w:t xml:space="preserve"> ή σε 125 </w:t>
      </w:r>
      <w:r w:rsidRPr="00F652D5">
        <w:rPr>
          <w:snapToGrid w:val="0"/>
          <w:sz w:val="22"/>
          <w:szCs w:val="22"/>
          <w:lang w:eastAsia="en-US"/>
        </w:rPr>
        <w:t>ml</w:t>
      </w:r>
      <w:r w:rsidRPr="00F652D5">
        <w:rPr>
          <w:snapToGrid w:val="0"/>
          <w:sz w:val="22"/>
          <w:szCs w:val="22"/>
          <w:lang w:val="el-GR" w:eastAsia="en-US"/>
        </w:rPr>
        <w:t xml:space="preserve"> 5% ενέσιμης δεξτρόζης ή χλωριούχου νατρίου</w:t>
      </w:r>
      <w:r w:rsidRPr="00F652D5">
        <w:rPr>
          <w:sz w:val="22"/>
          <w:szCs w:val="22"/>
        </w:rPr>
        <w:t> </w:t>
      </w:r>
      <w:r w:rsidRPr="00F652D5">
        <w:rPr>
          <w:sz w:val="22"/>
          <w:szCs w:val="22"/>
          <w:lang w:val="el-GR"/>
        </w:rPr>
        <w:t>9</w:t>
      </w:r>
      <w:r w:rsidRPr="00F652D5">
        <w:rPr>
          <w:sz w:val="22"/>
          <w:szCs w:val="22"/>
        </w:rPr>
        <w:t> mg</w:t>
      </w:r>
      <w:r w:rsidRPr="00F652D5">
        <w:rPr>
          <w:sz w:val="22"/>
          <w:szCs w:val="22"/>
          <w:lang w:val="el-GR"/>
        </w:rPr>
        <w:t>/</w:t>
      </w:r>
      <w:r w:rsidRPr="00F652D5">
        <w:rPr>
          <w:sz w:val="22"/>
          <w:szCs w:val="22"/>
        </w:rPr>
        <w:t>ml</w:t>
      </w:r>
      <w:r w:rsidRPr="00F652D5">
        <w:rPr>
          <w:sz w:val="22"/>
          <w:szCs w:val="22"/>
          <w:lang w:val="el-GR"/>
        </w:rPr>
        <w:t xml:space="preserve"> (0,9</w:t>
      </w:r>
      <w:r w:rsidRPr="00F652D5">
        <w:rPr>
          <w:sz w:val="22"/>
          <w:szCs w:val="22"/>
        </w:rPr>
        <w:t> </w:t>
      </w:r>
      <w:r w:rsidRPr="00F652D5">
        <w:rPr>
          <w:sz w:val="22"/>
          <w:szCs w:val="22"/>
          <w:lang w:val="el-GR"/>
        </w:rPr>
        <w:t>%)</w:t>
      </w:r>
      <w:r w:rsidRPr="00F652D5">
        <w:rPr>
          <w:snapToGrid w:val="0"/>
          <w:sz w:val="22"/>
          <w:szCs w:val="22"/>
          <w:lang w:val="el-GR" w:eastAsia="en-US"/>
        </w:rPr>
        <w:t>.</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numPr>
          <w:ilvl w:val="0"/>
          <w:numId w:val="3"/>
        </w:numPr>
        <w:tabs>
          <w:tab w:val="clear" w:pos="360"/>
        </w:tabs>
        <w:ind w:left="0" w:firstLine="0"/>
        <w:rPr>
          <w:snapToGrid w:val="0"/>
          <w:sz w:val="22"/>
          <w:szCs w:val="22"/>
          <w:lang w:val="el-GR" w:eastAsia="en-US"/>
        </w:rPr>
      </w:pPr>
      <w:r w:rsidRPr="00F652D5">
        <w:rPr>
          <w:snapToGrid w:val="0"/>
          <w:sz w:val="22"/>
          <w:szCs w:val="22"/>
          <w:lang w:val="el-GR" w:eastAsia="en-US"/>
        </w:rPr>
        <w:t>Έλεγχος πριν από τη χρήση</w:t>
      </w:r>
    </w:p>
    <w:p w:rsidR="00B35873" w:rsidRPr="00F652D5" w:rsidRDefault="00B35873" w:rsidP="007E08D8">
      <w:pPr>
        <w:pStyle w:val="a7"/>
        <w:spacing w:before="0" w:line="240" w:lineRule="auto"/>
        <w:rPr>
          <w:rFonts w:ascii="Times New Roman" w:hAnsi="Times New Roman"/>
          <w:szCs w:val="22"/>
          <w:lang w:val="el-GR"/>
        </w:rPr>
      </w:pPr>
    </w:p>
    <w:p w:rsidR="00B35873" w:rsidRPr="00F652D5" w:rsidRDefault="00B35873" w:rsidP="00750BC9">
      <w:pPr>
        <w:pStyle w:val="a7"/>
        <w:spacing w:before="0" w:line="240" w:lineRule="auto"/>
        <w:jc w:val="left"/>
        <w:rPr>
          <w:rFonts w:ascii="Times New Roman" w:hAnsi="Times New Roman"/>
          <w:szCs w:val="22"/>
          <w:lang w:val="el-GR"/>
        </w:rPr>
      </w:pPr>
      <w:r w:rsidRPr="00F652D5">
        <w:rPr>
          <w:rFonts w:ascii="Times New Roman" w:hAnsi="Times New Roman"/>
          <w:szCs w:val="22"/>
          <w:lang w:val="el-GR"/>
        </w:rPr>
        <w:t>Το ανασυσταθέν διάλυμα είναι διαυγές και άχρωμο και πρέπει να ελέγχεται οπτικά πριν από τη χρήση.</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Πρέπει να χρησιμοποιούνται μόνο διαυγή και άχρωμα διαλύματα που δεν περιέχουν σωματίδια. Το </w:t>
      </w:r>
      <w:r w:rsidRPr="00F652D5">
        <w:rPr>
          <w:snapToGrid w:val="0"/>
          <w:sz w:val="22"/>
          <w:szCs w:val="22"/>
          <w:lang w:eastAsia="en-US"/>
        </w:rPr>
        <w:t>Fludara</w:t>
      </w:r>
      <w:r w:rsidRPr="00F652D5">
        <w:rPr>
          <w:snapToGrid w:val="0"/>
          <w:sz w:val="22"/>
          <w:szCs w:val="22"/>
          <w:lang w:val="el-GR" w:eastAsia="en-US"/>
        </w:rPr>
        <w:t xml:space="preserve"> δεν πρέπει να χρησιμοποιείται όταν ο περιέκτης είναι ελαττωματικός.</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numPr>
          <w:ilvl w:val="0"/>
          <w:numId w:val="3"/>
        </w:numPr>
        <w:tabs>
          <w:tab w:val="clear" w:pos="360"/>
        </w:tabs>
        <w:ind w:left="0" w:firstLine="0"/>
        <w:rPr>
          <w:snapToGrid w:val="0"/>
          <w:sz w:val="22"/>
          <w:szCs w:val="22"/>
          <w:lang w:val="el-GR" w:eastAsia="en-US"/>
        </w:rPr>
      </w:pPr>
      <w:r w:rsidRPr="00F652D5">
        <w:rPr>
          <w:snapToGrid w:val="0"/>
          <w:sz w:val="22"/>
          <w:szCs w:val="22"/>
          <w:lang w:val="el-GR" w:eastAsia="en-US"/>
        </w:rPr>
        <w:lastRenderedPageBreak/>
        <w:t>Χειρισμός και απόρριψη</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Ο χειρισμός του </w:t>
      </w:r>
      <w:r w:rsidRPr="00F652D5">
        <w:rPr>
          <w:snapToGrid w:val="0"/>
          <w:sz w:val="22"/>
          <w:szCs w:val="22"/>
          <w:lang w:eastAsia="en-US"/>
        </w:rPr>
        <w:t>Fludara</w:t>
      </w:r>
      <w:r w:rsidRPr="00F652D5">
        <w:rPr>
          <w:snapToGrid w:val="0"/>
          <w:sz w:val="22"/>
          <w:szCs w:val="22"/>
          <w:lang w:val="el-GR" w:eastAsia="en-US"/>
        </w:rPr>
        <w:t xml:space="preserve"> δεν πρέπει να γίνεται από εγκύους.</w:t>
      </w:r>
    </w:p>
    <w:p w:rsidR="00B35873" w:rsidRPr="00F652D5" w:rsidRDefault="00B35873" w:rsidP="00750BC9">
      <w:pPr>
        <w:tabs>
          <w:tab w:val="left" w:pos="567"/>
        </w:tabs>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Θα πρέπει να τηρούνται οι διαδικασίες για σωστό χειρισμό του προϊόντος, σύμφωνα με τις εθνικές απαιτήσεις για τα κυτταροτοξικά φάρμακα.</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 xml:space="preserve">Ο χειρισμός και η ετοιμασία του διαλύματος </w:t>
      </w:r>
      <w:r w:rsidRPr="00F652D5">
        <w:rPr>
          <w:snapToGrid w:val="0"/>
          <w:sz w:val="22"/>
          <w:szCs w:val="22"/>
          <w:lang w:eastAsia="en-US"/>
        </w:rPr>
        <w:t>Fludara</w:t>
      </w:r>
      <w:r w:rsidRPr="00F652D5">
        <w:rPr>
          <w:snapToGrid w:val="0"/>
          <w:sz w:val="22"/>
          <w:szCs w:val="22"/>
          <w:lang w:val="el-GR" w:eastAsia="en-US"/>
        </w:rPr>
        <w:t xml:space="preserve"> θα πρέπει να γίνεται με προσοχή. Συνιστάται η χρήση ελαστικών γαντιών και γυαλιών ασφαλείας για να αποφεύγεται η έκθεση στην περίπτωση που σπάσει το φιαλίδιο ή χυθεί υλικό κατά λάθος. Στην περίπτωση κατά την οποία το διάλυμα έρθει σε επαφή με το δέρμα ή με βλεννογόνο, η περιοχή θα πρέπει να πλυθεί σχολαστικά με σαπούνι και νερό. Στην περίπτωση επαφής με τα μάτια, θα πρέπει αυτά να ξεπλυθούν σχολαστικά με άφθονη ποσότητα νερού. Θα πρέπει να αποφεύγεται η έκθεση μέσω εισπνοής.</w:t>
      </w: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50BC9">
      <w:pPr>
        <w:tabs>
          <w:tab w:val="left" w:pos="567"/>
        </w:tabs>
        <w:rPr>
          <w:snapToGrid w:val="0"/>
          <w:sz w:val="22"/>
          <w:szCs w:val="22"/>
          <w:lang w:val="el-GR" w:eastAsia="en-US"/>
        </w:rPr>
      </w:pPr>
      <w:r w:rsidRPr="00F652D5">
        <w:rPr>
          <w:snapToGrid w:val="0"/>
          <w:sz w:val="22"/>
          <w:szCs w:val="22"/>
          <w:lang w:val="el-GR" w:eastAsia="en-US"/>
        </w:rPr>
        <w:t>Αυτό το προϊόν προορίζεται για εφάπαξ χορήγηση. Προϊόν που δεν χρησιμοποιείται</w:t>
      </w:r>
      <w:r w:rsidRPr="00F652D5">
        <w:rPr>
          <w:noProof/>
          <w:sz w:val="22"/>
          <w:szCs w:val="22"/>
          <w:lang w:val="el-GR"/>
        </w:rPr>
        <w:t>, που έχει χυθεί</w:t>
      </w:r>
      <w:r w:rsidRPr="00F652D5">
        <w:rPr>
          <w:snapToGrid w:val="0"/>
          <w:sz w:val="22"/>
          <w:szCs w:val="22"/>
          <w:lang w:val="el-GR" w:eastAsia="en-US"/>
        </w:rPr>
        <w:t>, καθώς και τα απόβλητα υλικά, πρέπει να απορρίπτονται σύμφωνα με τις εθνικές απαιτήσεις.</w:t>
      </w:r>
    </w:p>
    <w:p w:rsidR="00B35873" w:rsidRDefault="00B35873" w:rsidP="00750BC9">
      <w:pPr>
        <w:tabs>
          <w:tab w:val="left" w:pos="567"/>
        </w:tabs>
        <w:rPr>
          <w:snapToGrid w:val="0"/>
          <w:sz w:val="22"/>
          <w:szCs w:val="22"/>
          <w:lang w:val="el-GR" w:eastAsia="en-US"/>
        </w:rPr>
      </w:pPr>
    </w:p>
    <w:p w:rsidR="008C27B2" w:rsidRPr="00BF1145" w:rsidRDefault="008C27B2" w:rsidP="00750BC9">
      <w:pPr>
        <w:tabs>
          <w:tab w:val="left" w:pos="567"/>
        </w:tabs>
        <w:rPr>
          <w:b/>
          <w:snapToGrid w:val="0"/>
          <w:sz w:val="22"/>
          <w:szCs w:val="22"/>
          <w:lang w:val="el-GR" w:eastAsia="en-US"/>
        </w:rPr>
      </w:pPr>
    </w:p>
    <w:p w:rsidR="004B12C4" w:rsidRDefault="004B12C4" w:rsidP="004B12C4">
      <w:pPr>
        <w:tabs>
          <w:tab w:val="left" w:pos="567"/>
        </w:tabs>
        <w:jc w:val="both"/>
        <w:rPr>
          <w:b/>
          <w:snapToGrid w:val="0"/>
          <w:sz w:val="22"/>
          <w:szCs w:val="22"/>
          <w:lang w:val="el-GR" w:eastAsia="en-US"/>
        </w:rPr>
      </w:pPr>
      <w:r w:rsidRPr="00F652D5">
        <w:rPr>
          <w:b/>
          <w:snapToGrid w:val="0"/>
          <w:sz w:val="22"/>
          <w:szCs w:val="22"/>
          <w:lang w:val="el-GR" w:eastAsia="en-US"/>
        </w:rPr>
        <w:t>7.</w:t>
      </w:r>
      <w:r w:rsidRPr="00F652D5">
        <w:rPr>
          <w:b/>
          <w:snapToGrid w:val="0"/>
          <w:sz w:val="22"/>
          <w:szCs w:val="22"/>
          <w:lang w:val="el-GR" w:eastAsia="en-US"/>
        </w:rPr>
        <w:tab/>
      </w:r>
      <w:r>
        <w:rPr>
          <w:b/>
          <w:snapToGrid w:val="0"/>
          <w:sz w:val="22"/>
          <w:szCs w:val="22"/>
          <w:lang w:val="el-GR" w:eastAsia="en-US"/>
        </w:rPr>
        <w:t>ΚΑΤΟΧΟΣ ΤΗΣ ΑΔΕΙΑΣ ΚΥΚΛΟΦΟΡΙΑΣ ΣΤΗΝ ΕΛΛΑΔΑ ΚΑΙ ΣΤΗΝ ΚΥΠΡΟ</w:t>
      </w:r>
    </w:p>
    <w:p w:rsidR="004B12C4" w:rsidRPr="000B6DDC" w:rsidRDefault="004B12C4" w:rsidP="004B12C4">
      <w:pPr>
        <w:tabs>
          <w:tab w:val="left" w:pos="567"/>
        </w:tabs>
        <w:rPr>
          <w:b/>
          <w:snapToGrid w:val="0"/>
          <w:sz w:val="22"/>
          <w:szCs w:val="22"/>
          <w:lang w:val="el-GR" w:eastAsia="en-US"/>
        </w:rPr>
      </w:pPr>
    </w:p>
    <w:p w:rsidR="004B12C4" w:rsidRPr="000B6DDC" w:rsidRDefault="004B12C4" w:rsidP="004B12C4">
      <w:pPr>
        <w:tabs>
          <w:tab w:val="left" w:pos="-720"/>
          <w:tab w:val="left" w:pos="0"/>
          <w:tab w:val="left" w:pos="720"/>
        </w:tabs>
        <w:suppressAutoHyphens/>
        <w:ind w:left="1440" w:hanging="1440"/>
        <w:jc w:val="both"/>
        <w:rPr>
          <w:spacing w:val="-3"/>
          <w:sz w:val="22"/>
          <w:szCs w:val="22"/>
          <w:lang w:val="nl-NL"/>
        </w:rPr>
      </w:pPr>
      <w:r w:rsidRPr="002F137A">
        <w:rPr>
          <w:spacing w:val="-3"/>
          <w:sz w:val="22"/>
          <w:szCs w:val="22"/>
          <w:lang w:val="nl-NL"/>
        </w:rPr>
        <w:t>GENZYME</w:t>
      </w:r>
      <w:r w:rsidRPr="000B6DDC">
        <w:rPr>
          <w:spacing w:val="-3"/>
          <w:sz w:val="22"/>
          <w:szCs w:val="22"/>
          <w:lang w:val="nl-NL"/>
        </w:rPr>
        <w:t xml:space="preserve"> </w:t>
      </w:r>
      <w:r w:rsidRPr="002F137A">
        <w:rPr>
          <w:spacing w:val="-3"/>
          <w:sz w:val="22"/>
          <w:szCs w:val="22"/>
          <w:lang w:val="nl-NL"/>
        </w:rPr>
        <w:t>EUROPE</w:t>
      </w:r>
      <w:r w:rsidRPr="000B6DDC">
        <w:rPr>
          <w:spacing w:val="-3"/>
          <w:sz w:val="22"/>
          <w:szCs w:val="22"/>
          <w:lang w:val="nl-NL"/>
        </w:rPr>
        <w:t xml:space="preserve"> </w:t>
      </w:r>
      <w:r w:rsidRPr="002F137A">
        <w:rPr>
          <w:spacing w:val="-3"/>
          <w:sz w:val="22"/>
          <w:szCs w:val="22"/>
          <w:lang w:val="nl-NL"/>
        </w:rPr>
        <w:t>B</w:t>
      </w:r>
      <w:r w:rsidRPr="000B6DDC">
        <w:rPr>
          <w:spacing w:val="-3"/>
          <w:sz w:val="22"/>
          <w:szCs w:val="22"/>
          <w:lang w:val="nl-NL"/>
        </w:rPr>
        <w:t>.</w:t>
      </w:r>
      <w:r w:rsidRPr="002F137A">
        <w:rPr>
          <w:spacing w:val="-3"/>
          <w:sz w:val="22"/>
          <w:szCs w:val="22"/>
          <w:lang w:val="nl-NL"/>
        </w:rPr>
        <w:t>V</w:t>
      </w:r>
      <w:r w:rsidRPr="000B6DDC">
        <w:rPr>
          <w:spacing w:val="-3"/>
          <w:sz w:val="22"/>
          <w:szCs w:val="22"/>
          <w:lang w:val="nl-NL"/>
        </w:rPr>
        <w:t>.</w:t>
      </w:r>
    </w:p>
    <w:p w:rsidR="004B12C4" w:rsidRPr="000B6DDC" w:rsidRDefault="004B12C4" w:rsidP="004B12C4">
      <w:pPr>
        <w:tabs>
          <w:tab w:val="left" w:pos="-720"/>
        </w:tabs>
        <w:suppressAutoHyphens/>
        <w:jc w:val="both"/>
        <w:rPr>
          <w:spacing w:val="-3"/>
          <w:sz w:val="22"/>
          <w:szCs w:val="22"/>
          <w:lang w:val="nl-NL"/>
        </w:rPr>
      </w:pPr>
      <w:r w:rsidRPr="002F137A">
        <w:rPr>
          <w:spacing w:val="-3"/>
          <w:sz w:val="22"/>
          <w:szCs w:val="22"/>
          <w:lang w:val="nl-NL"/>
        </w:rPr>
        <w:t>Gooimeer</w:t>
      </w:r>
      <w:r w:rsidRPr="000B6DDC">
        <w:rPr>
          <w:spacing w:val="-3"/>
          <w:sz w:val="22"/>
          <w:szCs w:val="22"/>
          <w:lang w:val="nl-NL"/>
        </w:rPr>
        <w:t xml:space="preserve"> 10</w:t>
      </w:r>
    </w:p>
    <w:p w:rsidR="004B12C4" w:rsidRPr="00BF1145" w:rsidRDefault="004B12C4" w:rsidP="004B12C4">
      <w:pPr>
        <w:tabs>
          <w:tab w:val="left" w:pos="-720"/>
        </w:tabs>
        <w:suppressAutoHyphens/>
        <w:jc w:val="both"/>
        <w:rPr>
          <w:spacing w:val="-3"/>
          <w:sz w:val="22"/>
          <w:szCs w:val="22"/>
          <w:lang w:val="el-GR"/>
        </w:rPr>
      </w:pPr>
      <w:r w:rsidRPr="00BF1145">
        <w:rPr>
          <w:spacing w:val="-3"/>
          <w:sz w:val="22"/>
          <w:szCs w:val="22"/>
          <w:lang w:val="el-GR"/>
        </w:rPr>
        <w:t xml:space="preserve">1411 </w:t>
      </w:r>
      <w:r w:rsidRPr="002F137A">
        <w:rPr>
          <w:spacing w:val="-3"/>
          <w:sz w:val="22"/>
          <w:szCs w:val="22"/>
          <w:lang w:val="nl-NL"/>
        </w:rPr>
        <w:t>DD</w:t>
      </w:r>
      <w:r w:rsidRPr="00BF1145">
        <w:rPr>
          <w:spacing w:val="-3"/>
          <w:sz w:val="22"/>
          <w:szCs w:val="22"/>
          <w:lang w:val="el-GR"/>
        </w:rPr>
        <w:t xml:space="preserve"> </w:t>
      </w:r>
      <w:r w:rsidRPr="002F137A">
        <w:rPr>
          <w:spacing w:val="-3"/>
          <w:sz w:val="22"/>
          <w:szCs w:val="22"/>
          <w:lang w:val="nl-NL"/>
        </w:rPr>
        <w:t>Naarden</w:t>
      </w:r>
      <w:r w:rsidRPr="00BF1145">
        <w:rPr>
          <w:spacing w:val="-3"/>
          <w:sz w:val="22"/>
          <w:szCs w:val="22"/>
          <w:lang w:val="el-GR"/>
        </w:rPr>
        <w:t xml:space="preserve">, </w:t>
      </w:r>
    </w:p>
    <w:p w:rsidR="004B12C4" w:rsidRPr="002F137A" w:rsidRDefault="004B12C4" w:rsidP="004B12C4">
      <w:pPr>
        <w:tabs>
          <w:tab w:val="left" w:pos="-720"/>
        </w:tabs>
        <w:suppressAutoHyphens/>
        <w:jc w:val="both"/>
        <w:rPr>
          <w:spacing w:val="-3"/>
          <w:sz w:val="22"/>
          <w:szCs w:val="22"/>
          <w:lang w:val="el-GR"/>
        </w:rPr>
      </w:pPr>
      <w:r w:rsidRPr="002F137A">
        <w:rPr>
          <w:spacing w:val="-3"/>
          <w:sz w:val="22"/>
          <w:szCs w:val="22"/>
          <w:lang w:val="el-GR"/>
        </w:rPr>
        <w:t>Ολλανδία</w:t>
      </w:r>
    </w:p>
    <w:p w:rsidR="004B12C4" w:rsidRPr="00BF1145" w:rsidRDefault="004B12C4" w:rsidP="004B12C4">
      <w:pPr>
        <w:tabs>
          <w:tab w:val="left" w:pos="-720"/>
        </w:tabs>
        <w:suppressAutoHyphens/>
        <w:jc w:val="both"/>
        <w:rPr>
          <w:spacing w:val="-3"/>
          <w:sz w:val="22"/>
          <w:szCs w:val="22"/>
          <w:lang w:val="el-GR"/>
        </w:rPr>
      </w:pPr>
      <w:r w:rsidRPr="004B12C4">
        <w:rPr>
          <w:spacing w:val="-3"/>
          <w:sz w:val="22"/>
          <w:szCs w:val="22"/>
          <w:lang w:val="el-GR"/>
        </w:rPr>
        <w:t>Τηλ. 003135 699 1200</w:t>
      </w:r>
    </w:p>
    <w:p w:rsidR="00B54707" w:rsidRPr="00BF1145" w:rsidRDefault="00B54707" w:rsidP="004B12C4">
      <w:pPr>
        <w:tabs>
          <w:tab w:val="left" w:pos="-720"/>
        </w:tabs>
        <w:suppressAutoHyphens/>
        <w:jc w:val="both"/>
        <w:rPr>
          <w:spacing w:val="-3"/>
          <w:sz w:val="22"/>
          <w:szCs w:val="22"/>
          <w:lang w:val="el-GR"/>
        </w:rPr>
      </w:pPr>
    </w:p>
    <w:p w:rsidR="00B54707" w:rsidRPr="00BF1145" w:rsidRDefault="00B54707" w:rsidP="004B12C4">
      <w:pPr>
        <w:tabs>
          <w:tab w:val="left" w:pos="-720"/>
        </w:tabs>
        <w:suppressAutoHyphens/>
        <w:jc w:val="both"/>
        <w:rPr>
          <w:spacing w:val="-3"/>
          <w:sz w:val="22"/>
          <w:szCs w:val="22"/>
          <w:lang w:val="el-GR"/>
        </w:rPr>
      </w:pPr>
    </w:p>
    <w:p w:rsidR="004B12C4" w:rsidRPr="00F652D5" w:rsidRDefault="004B12C4" w:rsidP="004B12C4">
      <w:pPr>
        <w:tabs>
          <w:tab w:val="left" w:pos="567"/>
        </w:tabs>
        <w:rPr>
          <w:snapToGrid w:val="0"/>
          <w:sz w:val="22"/>
          <w:szCs w:val="22"/>
          <w:lang w:val="el-GR" w:eastAsia="en-US"/>
        </w:rPr>
      </w:pPr>
      <w:r w:rsidRPr="00F652D5">
        <w:rPr>
          <w:b/>
          <w:snapToGrid w:val="0"/>
          <w:sz w:val="22"/>
          <w:szCs w:val="22"/>
          <w:lang w:val="el-GR" w:eastAsia="en-US"/>
        </w:rPr>
        <w:t>8.</w:t>
      </w:r>
      <w:r w:rsidRPr="00F652D5">
        <w:rPr>
          <w:b/>
          <w:snapToGrid w:val="0"/>
          <w:sz w:val="22"/>
          <w:szCs w:val="22"/>
          <w:lang w:val="el-GR" w:eastAsia="en-US"/>
        </w:rPr>
        <w:tab/>
        <w:t>ΑΡΙΘΜΟΣ(ΟΙ) ΑΔΕΙΑΣ ΚΥΚΛΟΦΟΡΙΑΣ</w:t>
      </w:r>
      <w:r w:rsidRPr="00F652D5">
        <w:rPr>
          <w:snapToGrid w:val="0"/>
          <w:sz w:val="22"/>
          <w:szCs w:val="22"/>
          <w:lang w:val="el-GR" w:eastAsia="en-US"/>
        </w:rPr>
        <w:t xml:space="preserve"> </w:t>
      </w:r>
    </w:p>
    <w:p w:rsidR="004B12C4" w:rsidRPr="00F652D5" w:rsidRDefault="004B12C4" w:rsidP="004B12C4">
      <w:pPr>
        <w:tabs>
          <w:tab w:val="left" w:pos="567"/>
        </w:tabs>
        <w:rPr>
          <w:snapToGrid w:val="0"/>
          <w:sz w:val="22"/>
          <w:szCs w:val="22"/>
          <w:lang w:val="el-GR" w:eastAsia="en-US"/>
        </w:rPr>
      </w:pPr>
    </w:p>
    <w:p w:rsidR="004B12C4" w:rsidRPr="005C7A5E" w:rsidRDefault="004B12C4" w:rsidP="004B12C4">
      <w:pPr>
        <w:tabs>
          <w:tab w:val="left" w:pos="567"/>
        </w:tabs>
        <w:jc w:val="both"/>
        <w:rPr>
          <w:snapToGrid w:val="0"/>
          <w:sz w:val="22"/>
          <w:szCs w:val="22"/>
          <w:lang w:val="el-GR" w:eastAsia="en-US"/>
        </w:rPr>
      </w:pPr>
      <w:r w:rsidRPr="007C7351">
        <w:rPr>
          <w:b/>
          <w:snapToGrid w:val="0"/>
          <w:sz w:val="22"/>
          <w:szCs w:val="22"/>
          <w:lang w:val="el-GR" w:eastAsia="en-US"/>
        </w:rPr>
        <w:t>ΕΛΛΑΔΑ:</w:t>
      </w:r>
      <w:r>
        <w:rPr>
          <w:snapToGrid w:val="0"/>
          <w:sz w:val="22"/>
          <w:szCs w:val="22"/>
          <w:lang w:val="el-GR" w:eastAsia="en-US"/>
        </w:rPr>
        <w:t xml:space="preserve"> </w:t>
      </w:r>
      <w:r w:rsidRPr="005C7A5E">
        <w:rPr>
          <w:snapToGrid w:val="0"/>
          <w:sz w:val="22"/>
          <w:szCs w:val="22"/>
          <w:lang w:val="el-GR" w:eastAsia="en-US"/>
        </w:rPr>
        <w:t>42722/6-10-09</w:t>
      </w:r>
    </w:p>
    <w:p w:rsidR="004B12C4" w:rsidRDefault="004B12C4" w:rsidP="004B12C4">
      <w:pPr>
        <w:tabs>
          <w:tab w:val="left" w:pos="567"/>
        </w:tabs>
        <w:jc w:val="both"/>
        <w:rPr>
          <w:snapToGrid w:val="0"/>
          <w:sz w:val="22"/>
          <w:szCs w:val="22"/>
          <w:lang w:val="el-GR" w:eastAsia="en-US"/>
        </w:rPr>
      </w:pPr>
    </w:p>
    <w:p w:rsidR="004B12C4" w:rsidRPr="005C7A5E" w:rsidRDefault="004B12C4" w:rsidP="004B12C4">
      <w:pPr>
        <w:tabs>
          <w:tab w:val="left" w:pos="567"/>
        </w:tabs>
        <w:jc w:val="both"/>
        <w:rPr>
          <w:snapToGrid w:val="0"/>
          <w:sz w:val="22"/>
          <w:szCs w:val="22"/>
          <w:lang w:val="el-GR" w:eastAsia="en-US"/>
        </w:rPr>
      </w:pPr>
      <w:r w:rsidRPr="007C7351">
        <w:rPr>
          <w:b/>
          <w:snapToGrid w:val="0"/>
          <w:sz w:val="22"/>
          <w:szCs w:val="22"/>
          <w:lang w:val="el-GR" w:eastAsia="en-US"/>
        </w:rPr>
        <w:t xml:space="preserve">ΚΥΠΡΟΣ: </w:t>
      </w:r>
      <w:r w:rsidRPr="005C7A5E">
        <w:rPr>
          <w:snapToGrid w:val="0"/>
          <w:sz w:val="22"/>
          <w:szCs w:val="22"/>
          <w:lang w:val="el-GR" w:eastAsia="en-US"/>
        </w:rPr>
        <w:t>18733</w:t>
      </w:r>
    </w:p>
    <w:p w:rsidR="00B35873" w:rsidRPr="00BF1145" w:rsidRDefault="00B35873" w:rsidP="00514FC2">
      <w:pPr>
        <w:tabs>
          <w:tab w:val="left" w:pos="567"/>
        </w:tabs>
        <w:rPr>
          <w:snapToGrid w:val="0"/>
          <w:sz w:val="22"/>
          <w:szCs w:val="22"/>
          <w:lang w:val="el-GR" w:eastAsia="en-US"/>
        </w:rPr>
      </w:pPr>
    </w:p>
    <w:p w:rsidR="00B35873" w:rsidRPr="00F652D5" w:rsidRDefault="00B35873" w:rsidP="007E08D8">
      <w:pPr>
        <w:tabs>
          <w:tab w:val="left" w:pos="567"/>
        </w:tabs>
        <w:jc w:val="both"/>
        <w:rPr>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9.</w:t>
      </w:r>
      <w:r w:rsidRPr="00F652D5">
        <w:rPr>
          <w:b/>
          <w:snapToGrid w:val="0"/>
          <w:sz w:val="22"/>
          <w:szCs w:val="22"/>
          <w:lang w:val="el-GR" w:eastAsia="en-US"/>
        </w:rPr>
        <w:tab/>
        <w:t>ΗΜΕΡΟΜΗΝΙΑ ΠΡΩΤΗΣ ΕΓΚΡΙΣΗΣ / ΑΝΑΝΕΩΣΗΣ ΤΗΣ ΑΔΕΙΑΣ</w:t>
      </w:r>
    </w:p>
    <w:p w:rsidR="00B35873" w:rsidRPr="00F652D5" w:rsidRDefault="00B35873" w:rsidP="007E08D8">
      <w:pPr>
        <w:tabs>
          <w:tab w:val="left" w:pos="567"/>
        </w:tabs>
        <w:jc w:val="both"/>
        <w:rPr>
          <w:b/>
          <w:snapToGrid w:val="0"/>
          <w:sz w:val="22"/>
          <w:szCs w:val="22"/>
          <w:lang w:val="el-GR" w:eastAsia="en-US"/>
        </w:rPr>
      </w:pPr>
    </w:p>
    <w:p w:rsidR="00514FC2" w:rsidRDefault="00514FC2" w:rsidP="00514FC2">
      <w:pPr>
        <w:tabs>
          <w:tab w:val="left" w:pos="567"/>
        </w:tabs>
        <w:jc w:val="both"/>
        <w:rPr>
          <w:snapToGrid w:val="0"/>
          <w:sz w:val="22"/>
          <w:szCs w:val="22"/>
          <w:lang w:val="el-GR" w:eastAsia="en-US"/>
        </w:rPr>
      </w:pPr>
      <w:r>
        <w:rPr>
          <w:snapToGrid w:val="0"/>
          <w:sz w:val="22"/>
          <w:szCs w:val="22"/>
          <w:lang w:val="el-GR" w:eastAsia="en-US"/>
        </w:rPr>
        <w:t>Ημερομηνία πρώτης έγκρισης: 09</w:t>
      </w:r>
      <w:r w:rsidR="00B54707" w:rsidRPr="00BF1145">
        <w:rPr>
          <w:snapToGrid w:val="0"/>
          <w:sz w:val="22"/>
          <w:szCs w:val="22"/>
          <w:lang w:val="el-GR" w:eastAsia="en-US"/>
        </w:rPr>
        <w:t>-</w:t>
      </w:r>
      <w:r>
        <w:rPr>
          <w:snapToGrid w:val="0"/>
          <w:sz w:val="22"/>
          <w:szCs w:val="22"/>
          <w:lang w:val="el-GR" w:eastAsia="en-US"/>
        </w:rPr>
        <w:t>03</w:t>
      </w:r>
      <w:r w:rsidR="00B54707" w:rsidRPr="00BF1145">
        <w:rPr>
          <w:snapToGrid w:val="0"/>
          <w:sz w:val="22"/>
          <w:szCs w:val="22"/>
          <w:lang w:val="el-GR" w:eastAsia="en-US"/>
        </w:rPr>
        <w:t>-</w:t>
      </w:r>
      <w:r>
        <w:rPr>
          <w:snapToGrid w:val="0"/>
          <w:sz w:val="22"/>
          <w:szCs w:val="22"/>
          <w:lang w:val="el-GR" w:eastAsia="en-US"/>
        </w:rPr>
        <w:t>2000</w:t>
      </w:r>
    </w:p>
    <w:p w:rsidR="00514FC2" w:rsidRDefault="00514FC2" w:rsidP="00514FC2">
      <w:pPr>
        <w:tabs>
          <w:tab w:val="left" w:pos="567"/>
        </w:tabs>
        <w:jc w:val="both"/>
        <w:rPr>
          <w:snapToGrid w:val="0"/>
          <w:sz w:val="22"/>
          <w:szCs w:val="22"/>
          <w:lang w:val="el-GR" w:eastAsia="en-US"/>
        </w:rPr>
      </w:pPr>
      <w:r>
        <w:rPr>
          <w:snapToGrid w:val="0"/>
          <w:sz w:val="22"/>
          <w:szCs w:val="22"/>
          <w:lang w:val="el-GR" w:eastAsia="en-US"/>
        </w:rPr>
        <w:t>Ημερομηνία τελευταίας ανανέωσης: 20</w:t>
      </w:r>
      <w:r w:rsidR="00B54707" w:rsidRPr="00BF1145">
        <w:rPr>
          <w:snapToGrid w:val="0"/>
          <w:sz w:val="22"/>
          <w:szCs w:val="22"/>
          <w:lang w:val="el-GR" w:eastAsia="en-US"/>
        </w:rPr>
        <w:t>-</w:t>
      </w:r>
      <w:r>
        <w:rPr>
          <w:snapToGrid w:val="0"/>
          <w:sz w:val="22"/>
          <w:szCs w:val="22"/>
          <w:lang w:val="el-GR" w:eastAsia="en-US"/>
        </w:rPr>
        <w:t>12</w:t>
      </w:r>
      <w:r w:rsidR="00B54707" w:rsidRPr="00BF1145">
        <w:rPr>
          <w:snapToGrid w:val="0"/>
          <w:sz w:val="22"/>
          <w:szCs w:val="22"/>
          <w:lang w:val="el-GR" w:eastAsia="en-US"/>
        </w:rPr>
        <w:t>-</w:t>
      </w:r>
      <w:r>
        <w:rPr>
          <w:snapToGrid w:val="0"/>
          <w:sz w:val="22"/>
          <w:szCs w:val="22"/>
          <w:lang w:val="el-GR" w:eastAsia="en-US"/>
        </w:rPr>
        <w:t>2005</w:t>
      </w: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p>
    <w:p w:rsidR="00B35873" w:rsidRPr="00F652D5" w:rsidRDefault="00B35873" w:rsidP="007E08D8">
      <w:pPr>
        <w:tabs>
          <w:tab w:val="left" w:pos="567"/>
        </w:tabs>
        <w:jc w:val="both"/>
        <w:rPr>
          <w:b/>
          <w:snapToGrid w:val="0"/>
          <w:sz w:val="22"/>
          <w:szCs w:val="22"/>
          <w:lang w:val="el-GR" w:eastAsia="en-US"/>
        </w:rPr>
      </w:pPr>
      <w:r w:rsidRPr="00F652D5">
        <w:rPr>
          <w:b/>
          <w:snapToGrid w:val="0"/>
          <w:sz w:val="22"/>
          <w:szCs w:val="22"/>
          <w:lang w:val="el-GR" w:eastAsia="en-US"/>
        </w:rPr>
        <w:t>10.</w:t>
      </w:r>
      <w:r w:rsidRPr="00F652D5">
        <w:rPr>
          <w:b/>
          <w:snapToGrid w:val="0"/>
          <w:sz w:val="22"/>
          <w:szCs w:val="22"/>
          <w:lang w:val="el-GR" w:eastAsia="en-US"/>
        </w:rPr>
        <w:tab/>
        <w:t>ΗΜΕΡΟΜΗΝΙΑ ΑΝΑΘΕΩΡΗΣΗΣ ΤΟΥ ΚΕΙΜΕΝΟΥ</w:t>
      </w:r>
    </w:p>
    <w:p w:rsidR="00B35873" w:rsidRPr="00BF1145" w:rsidRDefault="00B35873" w:rsidP="007E08D8">
      <w:pPr>
        <w:rPr>
          <w:sz w:val="22"/>
          <w:szCs w:val="22"/>
          <w:lang w:val="el-GR"/>
        </w:rPr>
      </w:pPr>
    </w:p>
    <w:p w:rsidR="00B54707" w:rsidRPr="00BF1145" w:rsidRDefault="00B54707" w:rsidP="007E08D8">
      <w:pPr>
        <w:rPr>
          <w:sz w:val="22"/>
          <w:szCs w:val="22"/>
          <w:lang w:val="el-GR"/>
        </w:rPr>
      </w:pPr>
    </w:p>
    <w:p w:rsidR="00141C1C" w:rsidRPr="00401925" w:rsidRDefault="00141C1C" w:rsidP="00141C1C">
      <w:pPr>
        <w:rPr>
          <w:noProof/>
          <w:sz w:val="22"/>
          <w:szCs w:val="22"/>
        </w:rPr>
      </w:pPr>
    </w:p>
    <w:p w:rsidR="00141C1C" w:rsidRPr="00F652D5" w:rsidRDefault="00141C1C" w:rsidP="00141C1C">
      <w:pPr>
        <w:rPr>
          <w:noProof/>
          <w:sz w:val="22"/>
          <w:szCs w:val="22"/>
          <w:lang w:val="el-GR"/>
        </w:rPr>
      </w:pPr>
    </w:p>
    <w:p w:rsidR="00141C1C" w:rsidRPr="00F652D5" w:rsidRDefault="00141C1C" w:rsidP="00141C1C">
      <w:pPr>
        <w:rPr>
          <w:noProof/>
          <w:sz w:val="22"/>
          <w:szCs w:val="22"/>
          <w:lang w:val="el-GR"/>
        </w:rPr>
      </w:pPr>
    </w:p>
    <w:p w:rsidR="00141C1C" w:rsidRPr="00F652D5" w:rsidRDefault="00141C1C" w:rsidP="00141C1C">
      <w:pPr>
        <w:rPr>
          <w:noProof/>
          <w:sz w:val="22"/>
          <w:szCs w:val="22"/>
          <w:lang w:val="el-GR"/>
        </w:rPr>
      </w:pPr>
    </w:p>
    <w:p w:rsidR="00141C1C" w:rsidRPr="00F652D5" w:rsidRDefault="00141C1C" w:rsidP="00141C1C">
      <w:pPr>
        <w:rPr>
          <w:noProof/>
          <w:sz w:val="22"/>
          <w:szCs w:val="22"/>
          <w:lang w:val="el-GR"/>
        </w:rPr>
      </w:pPr>
    </w:p>
    <w:p w:rsidR="00141C1C" w:rsidRPr="00F652D5" w:rsidRDefault="00141C1C" w:rsidP="00141C1C">
      <w:pPr>
        <w:rPr>
          <w:noProof/>
          <w:sz w:val="22"/>
          <w:szCs w:val="22"/>
          <w:lang w:val="el-GR"/>
        </w:rPr>
      </w:pPr>
    </w:p>
    <w:p w:rsidR="00141C1C" w:rsidRPr="00F652D5" w:rsidRDefault="00141C1C" w:rsidP="00141C1C">
      <w:pPr>
        <w:rPr>
          <w:noProof/>
          <w:sz w:val="22"/>
          <w:szCs w:val="22"/>
          <w:lang w:val="el-GR"/>
        </w:rPr>
      </w:pPr>
    </w:p>
    <w:p w:rsidR="00141C1C" w:rsidRPr="00401925" w:rsidRDefault="00141C1C" w:rsidP="00141C1C">
      <w:pPr>
        <w:rPr>
          <w:noProof/>
          <w:sz w:val="22"/>
          <w:szCs w:val="22"/>
        </w:rPr>
      </w:pPr>
    </w:p>
    <w:p w:rsidR="00B54707" w:rsidRPr="00F652D5" w:rsidRDefault="00B54707" w:rsidP="00141C1C">
      <w:pPr>
        <w:rPr>
          <w:noProof/>
          <w:sz w:val="22"/>
          <w:szCs w:val="22"/>
          <w:lang w:val="el-GR"/>
        </w:rPr>
      </w:pPr>
    </w:p>
    <w:p w:rsidR="00141C1C" w:rsidRPr="00BF1145" w:rsidRDefault="00141C1C" w:rsidP="00141C1C">
      <w:pPr>
        <w:rPr>
          <w:noProof/>
          <w:sz w:val="22"/>
          <w:szCs w:val="22"/>
          <w:lang w:val="el-GR"/>
        </w:rPr>
      </w:pPr>
    </w:p>
    <w:p w:rsidR="00B54707" w:rsidRPr="00BF1145" w:rsidRDefault="00B54707" w:rsidP="00141C1C">
      <w:pPr>
        <w:rPr>
          <w:noProof/>
          <w:sz w:val="22"/>
          <w:szCs w:val="22"/>
          <w:lang w:val="el-GR"/>
        </w:rPr>
      </w:pPr>
    </w:p>
    <w:p w:rsidR="00B54707" w:rsidRPr="00BF1145" w:rsidRDefault="00B54707" w:rsidP="00141C1C">
      <w:pPr>
        <w:rPr>
          <w:noProof/>
          <w:sz w:val="22"/>
          <w:szCs w:val="22"/>
          <w:lang w:val="el-GR"/>
        </w:rPr>
      </w:pPr>
    </w:p>
    <w:p w:rsidR="00B54707" w:rsidRPr="00BF1145" w:rsidRDefault="00B54707" w:rsidP="00141C1C">
      <w:pPr>
        <w:rPr>
          <w:noProof/>
          <w:sz w:val="22"/>
          <w:szCs w:val="22"/>
          <w:lang w:val="el-GR"/>
        </w:rPr>
      </w:pPr>
    </w:p>
    <w:p w:rsidR="00B54707" w:rsidRPr="00BF1145" w:rsidRDefault="00B54707" w:rsidP="00141C1C">
      <w:pPr>
        <w:rPr>
          <w:noProof/>
          <w:sz w:val="22"/>
          <w:szCs w:val="22"/>
          <w:lang w:val="el-GR"/>
        </w:rPr>
      </w:pPr>
    </w:p>
    <w:p w:rsidR="00B54707" w:rsidRPr="00BF1145" w:rsidRDefault="00B54707" w:rsidP="00141C1C">
      <w:pPr>
        <w:rPr>
          <w:noProof/>
          <w:sz w:val="22"/>
          <w:szCs w:val="22"/>
          <w:lang w:val="el-GR"/>
        </w:rPr>
      </w:pPr>
    </w:p>
    <w:sectPr w:rsidR="00B54707" w:rsidRPr="00BF1145" w:rsidSect="00A040EF">
      <w:headerReference w:type="even" r:id="rId7"/>
      <w:headerReference w:type="default" r:id="rId8"/>
      <w:footerReference w:type="default" r:id="rId9"/>
      <w:type w:val="continuous"/>
      <w:pgSz w:w="12242" w:h="15842" w:code="1"/>
      <w:pgMar w:top="1134" w:right="1043" w:bottom="1134" w:left="1134" w:header="737" w:footer="737"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B8" w:rsidRDefault="00833CB8">
      <w:r>
        <w:separator/>
      </w:r>
    </w:p>
  </w:endnote>
  <w:endnote w:type="continuationSeparator" w:id="0">
    <w:p w:rsidR="00833CB8" w:rsidRDefault="00833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Souv">
    <w:altName w:val="Courier New"/>
    <w:charset w:val="00"/>
    <w:family w:val="roman"/>
    <w:pitch w:val="variable"/>
    <w:sig w:usb0="00000003" w:usb1="00000000" w:usb2="00000000" w:usb3="00000000" w:csb0="00000001" w:csb1="00000000"/>
  </w:font>
  <w:font w:name="PA-SansSerif">
    <w:altName w:val="Arial"/>
    <w:charset w:val="00"/>
    <w:family w:val="swiss"/>
    <w:pitch w:val="variable"/>
    <w:sig w:usb0="00000083" w:usb1="00000000" w:usb2="00000000" w:usb3="00000000" w:csb0="00000009" w:csb1="00000000"/>
  </w:font>
  <w:font w:name="Helvetica">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1" w:rsidRPr="00FA165A" w:rsidRDefault="00DB55CF" w:rsidP="00FA165A">
    <w:pPr>
      <w:pStyle w:val="a5"/>
      <w:jc w:val="center"/>
      <w:rPr>
        <w:sz w:val="22"/>
        <w:szCs w:val="22"/>
      </w:rPr>
    </w:pPr>
    <w:r w:rsidRPr="00FA165A">
      <w:rPr>
        <w:rStyle w:val="a4"/>
        <w:sz w:val="22"/>
        <w:szCs w:val="22"/>
      </w:rPr>
      <w:fldChar w:fldCharType="begin"/>
    </w:r>
    <w:r w:rsidR="004333D1" w:rsidRPr="00FA165A">
      <w:rPr>
        <w:rStyle w:val="a4"/>
        <w:sz w:val="22"/>
        <w:szCs w:val="22"/>
      </w:rPr>
      <w:instrText xml:space="preserve"> PAGE </w:instrText>
    </w:r>
    <w:r w:rsidRPr="00FA165A">
      <w:rPr>
        <w:rStyle w:val="a4"/>
        <w:sz w:val="22"/>
        <w:szCs w:val="22"/>
      </w:rPr>
      <w:fldChar w:fldCharType="separate"/>
    </w:r>
    <w:r w:rsidR="002F2329">
      <w:rPr>
        <w:rStyle w:val="a4"/>
        <w:noProof/>
        <w:sz w:val="22"/>
        <w:szCs w:val="22"/>
      </w:rPr>
      <w:t>17</w:t>
    </w:r>
    <w:r w:rsidRPr="00FA165A">
      <w:rPr>
        <w:rStyle w:val="a4"/>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B8" w:rsidRDefault="00833CB8">
      <w:r>
        <w:separator/>
      </w:r>
    </w:p>
  </w:footnote>
  <w:footnote w:type="continuationSeparator" w:id="0">
    <w:p w:rsidR="00833CB8" w:rsidRDefault="00833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1" w:rsidRDefault="00DB55CF" w:rsidP="002C0DA7">
    <w:pPr>
      <w:pStyle w:val="a3"/>
      <w:framePr w:wrap="around" w:vAnchor="text" w:hAnchor="margin" w:xAlign="right" w:y="1"/>
      <w:rPr>
        <w:rStyle w:val="a4"/>
      </w:rPr>
    </w:pPr>
    <w:r>
      <w:rPr>
        <w:rStyle w:val="a4"/>
      </w:rPr>
      <w:fldChar w:fldCharType="begin"/>
    </w:r>
    <w:r w:rsidR="004333D1">
      <w:rPr>
        <w:rStyle w:val="a4"/>
      </w:rPr>
      <w:instrText xml:space="preserve">PAGE  </w:instrText>
    </w:r>
    <w:r>
      <w:rPr>
        <w:rStyle w:val="a4"/>
      </w:rPr>
      <w:fldChar w:fldCharType="separate"/>
    </w:r>
    <w:r w:rsidR="002F2329">
      <w:rPr>
        <w:rStyle w:val="a4"/>
        <w:noProof/>
      </w:rPr>
      <w:t>16</w:t>
    </w:r>
    <w:r>
      <w:rPr>
        <w:rStyle w:val="a4"/>
      </w:rPr>
      <w:fldChar w:fldCharType="end"/>
    </w:r>
  </w:p>
  <w:p w:rsidR="004333D1" w:rsidRPr="00F27D14" w:rsidRDefault="004333D1" w:rsidP="00627CA0">
    <w:pPr>
      <w:pStyle w:val="a3"/>
      <w:ind w:right="360" w:firstLine="360"/>
    </w:pPr>
  </w:p>
  <w:p w:rsidR="004333D1" w:rsidRPr="004E3323" w:rsidRDefault="004333D1">
    <w:pPr>
      <w:pStyle w:val="a3"/>
      <w:ind w:right="360"/>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1" w:rsidRDefault="00DB55CF" w:rsidP="002C0DA7">
    <w:pPr>
      <w:pStyle w:val="a3"/>
      <w:framePr w:wrap="around" w:vAnchor="text" w:hAnchor="margin" w:xAlign="right" w:y="1"/>
      <w:rPr>
        <w:rStyle w:val="a4"/>
      </w:rPr>
    </w:pPr>
    <w:r>
      <w:rPr>
        <w:rStyle w:val="a4"/>
      </w:rPr>
      <w:fldChar w:fldCharType="begin"/>
    </w:r>
    <w:r w:rsidR="004333D1">
      <w:rPr>
        <w:rStyle w:val="a4"/>
      </w:rPr>
      <w:instrText xml:space="preserve">PAGE  </w:instrText>
    </w:r>
    <w:r>
      <w:rPr>
        <w:rStyle w:val="a4"/>
      </w:rPr>
      <w:fldChar w:fldCharType="separate"/>
    </w:r>
    <w:r w:rsidR="002F2329">
      <w:rPr>
        <w:rStyle w:val="a4"/>
        <w:noProof/>
      </w:rPr>
      <w:t>17</w:t>
    </w:r>
    <w:r>
      <w:rPr>
        <w:rStyle w:val="a4"/>
      </w:rPr>
      <w:fldChar w:fldCharType="end"/>
    </w:r>
  </w:p>
  <w:p w:rsidR="004333D1" w:rsidRPr="00336858" w:rsidRDefault="004333D1" w:rsidP="00627CA0">
    <w:pPr>
      <w:pStyle w:val="a3"/>
      <w:ind w:right="360" w:firstLine="360"/>
      <w:rPr>
        <w:lang w:val="el-GR"/>
      </w:rPr>
    </w:pPr>
  </w:p>
  <w:p w:rsidR="004333D1" w:rsidRPr="004E3323" w:rsidRDefault="004333D1">
    <w:pPr>
      <w:pStyle w:val="a3"/>
      <w:ind w:right="360"/>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1036B9"/>
    <w:multiLevelType w:val="hybridMultilevel"/>
    <w:tmpl w:val="253A84A0"/>
    <w:lvl w:ilvl="0" w:tplc="FD987BBE">
      <w:start w:val="1"/>
      <w:numFmt w:val="bullet"/>
      <w:lvlText w:val="-"/>
      <w:lvlJc w:val="left"/>
      <w:pPr>
        <w:tabs>
          <w:tab w:val="num" w:pos="360"/>
        </w:tabs>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C2A06"/>
    <w:multiLevelType w:val="hybridMultilevel"/>
    <w:tmpl w:val="E8B27AF4"/>
    <w:lvl w:ilvl="0" w:tplc="7116F06C">
      <w:numFmt w:val="bullet"/>
      <w:lvlText w:val=""/>
      <w:lvlJc w:val="left"/>
      <w:pPr>
        <w:tabs>
          <w:tab w:val="num" w:pos="357"/>
        </w:tabs>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2976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6921D9A"/>
    <w:multiLevelType w:val="hybridMultilevel"/>
    <w:tmpl w:val="7D964BC8"/>
    <w:lvl w:ilvl="0" w:tplc="9570805A">
      <w:start w:val="1"/>
      <w:numFmt w:val="bullet"/>
      <w:lvlText w:val=""/>
      <w:lvlJc w:val="left"/>
      <w:pPr>
        <w:tabs>
          <w:tab w:val="num" w:pos="927"/>
        </w:tabs>
        <w:ind w:left="927" w:hanging="360"/>
      </w:pPr>
      <w:rPr>
        <w:rFonts w:ascii="Symbol" w:hAnsi="Symbol" w:hint="default"/>
        <w:color w:val="auto"/>
        <w:sz w:val="22"/>
      </w:rPr>
    </w:lvl>
    <w:lvl w:ilvl="1" w:tplc="04070003">
      <w:start w:val="1"/>
      <w:numFmt w:val="bullet"/>
      <w:lvlText w:val="o"/>
      <w:lvlJc w:val="left"/>
      <w:pPr>
        <w:tabs>
          <w:tab w:val="num" w:pos="2007"/>
        </w:tabs>
        <w:ind w:left="2007"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nsid w:val="1B0F3F03"/>
    <w:multiLevelType w:val="hybridMultilevel"/>
    <w:tmpl w:val="4E0A2916"/>
    <w:lvl w:ilvl="0" w:tplc="936E60E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0"/>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7">
    <w:nsid w:val="20464F90"/>
    <w:multiLevelType w:val="hybridMultilevel"/>
    <w:tmpl w:val="CB286B0E"/>
    <w:lvl w:ilvl="0" w:tplc="7116F06C">
      <w:numFmt w:val="bullet"/>
      <w:lvlText w:val=""/>
      <w:lvlJc w:val="left"/>
      <w:pPr>
        <w:tabs>
          <w:tab w:val="num" w:pos="357"/>
        </w:tabs>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63005C"/>
    <w:multiLevelType w:val="hybridMultilevel"/>
    <w:tmpl w:val="1382C17C"/>
    <w:lvl w:ilvl="0" w:tplc="A678F622">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1A14F50"/>
    <w:multiLevelType w:val="hybridMultilevel"/>
    <w:tmpl w:val="C7CC52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1F40A0"/>
    <w:multiLevelType w:val="singleLevel"/>
    <w:tmpl w:val="331E7056"/>
    <w:lvl w:ilvl="0">
      <w:numFmt w:val="bullet"/>
      <w:lvlText w:val=""/>
      <w:lvlJc w:val="left"/>
      <w:pPr>
        <w:tabs>
          <w:tab w:val="num" w:pos="360"/>
        </w:tabs>
        <w:ind w:left="340" w:hanging="340"/>
      </w:pPr>
      <w:rPr>
        <w:rFonts w:ascii="Symbol" w:hAnsi="Symbol" w:hint="default"/>
      </w:rPr>
    </w:lvl>
  </w:abstractNum>
  <w:abstractNum w:abstractNumId="11">
    <w:nsid w:val="28F5739F"/>
    <w:multiLevelType w:val="singleLevel"/>
    <w:tmpl w:val="8F40052A"/>
    <w:lvl w:ilvl="0">
      <w:start w:val="1"/>
      <w:numFmt w:val="bullet"/>
      <w:pStyle w:val="Bullet0dKT"/>
      <w:lvlText w:val=""/>
      <w:lvlJc w:val="left"/>
      <w:pPr>
        <w:tabs>
          <w:tab w:val="num" w:pos="360"/>
        </w:tabs>
        <w:ind w:left="340" w:hanging="340"/>
      </w:pPr>
      <w:rPr>
        <w:rFonts w:ascii="Symbol" w:hAnsi="Symbol" w:hint="default"/>
      </w:rPr>
    </w:lvl>
  </w:abstractNum>
  <w:abstractNum w:abstractNumId="12">
    <w:nsid w:val="293E6A75"/>
    <w:multiLevelType w:val="hybridMultilevel"/>
    <w:tmpl w:val="45728F66"/>
    <w:lvl w:ilvl="0" w:tplc="0408000F">
      <w:start w:val="6"/>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94164BE"/>
    <w:multiLevelType w:val="singleLevel"/>
    <w:tmpl w:val="331E7056"/>
    <w:lvl w:ilvl="0">
      <w:numFmt w:val="bullet"/>
      <w:lvlText w:val=""/>
      <w:lvlJc w:val="left"/>
      <w:pPr>
        <w:tabs>
          <w:tab w:val="num" w:pos="360"/>
        </w:tabs>
        <w:ind w:left="340" w:hanging="340"/>
      </w:pPr>
      <w:rPr>
        <w:rFonts w:ascii="Symbol" w:hAnsi="Symbol" w:hint="default"/>
      </w:rPr>
    </w:lvl>
  </w:abstractNum>
  <w:abstractNum w:abstractNumId="14">
    <w:nsid w:val="30561D03"/>
    <w:multiLevelType w:val="singleLevel"/>
    <w:tmpl w:val="331E7056"/>
    <w:lvl w:ilvl="0">
      <w:numFmt w:val="bullet"/>
      <w:lvlText w:val=""/>
      <w:lvlJc w:val="left"/>
      <w:pPr>
        <w:tabs>
          <w:tab w:val="num" w:pos="360"/>
        </w:tabs>
        <w:ind w:left="340" w:hanging="340"/>
      </w:pPr>
      <w:rPr>
        <w:rFonts w:ascii="Symbol" w:hAnsi="Symbol" w:hint="default"/>
      </w:rPr>
    </w:lvl>
  </w:abstractNum>
  <w:abstractNum w:abstractNumId="15">
    <w:nsid w:val="33371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6965332"/>
    <w:multiLevelType w:val="hybridMultilevel"/>
    <w:tmpl w:val="964A1B94"/>
    <w:lvl w:ilvl="0" w:tplc="9570805A">
      <w:start w:val="1"/>
      <w:numFmt w:val="bullet"/>
      <w:lvlText w:val=""/>
      <w:lvlJc w:val="left"/>
      <w:pPr>
        <w:tabs>
          <w:tab w:val="num" w:pos="927"/>
        </w:tabs>
        <w:ind w:left="927" w:hanging="360"/>
      </w:pPr>
      <w:rPr>
        <w:rFonts w:ascii="Symbol" w:hAnsi="Symbol" w:hint="default"/>
        <w:color w:val="auto"/>
        <w:sz w:val="22"/>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nsid w:val="3DFD4844"/>
    <w:multiLevelType w:val="singleLevel"/>
    <w:tmpl w:val="E5BE3306"/>
    <w:lvl w:ilvl="0">
      <w:start w:val="1"/>
      <w:numFmt w:val="bullet"/>
      <w:lvlText w:val=""/>
      <w:lvlJc w:val="left"/>
      <w:pPr>
        <w:tabs>
          <w:tab w:val="num" w:pos="360"/>
        </w:tabs>
        <w:ind w:left="360" w:hanging="360"/>
      </w:pPr>
      <w:rPr>
        <w:rFonts w:ascii="Symbol" w:hAnsi="Symbol" w:hint="default"/>
      </w:rPr>
    </w:lvl>
  </w:abstractNum>
  <w:abstractNum w:abstractNumId="18">
    <w:nsid w:val="412A340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9">
    <w:nsid w:val="42B27BE8"/>
    <w:multiLevelType w:val="hybridMultilevel"/>
    <w:tmpl w:val="ABECF298"/>
    <w:lvl w:ilvl="0" w:tplc="0809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38759CA"/>
    <w:multiLevelType w:val="hybridMultilevel"/>
    <w:tmpl w:val="C096D7DA"/>
    <w:lvl w:ilvl="0" w:tplc="9570805A">
      <w:start w:val="1"/>
      <w:numFmt w:val="bullet"/>
      <w:lvlText w:val=""/>
      <w:lvlJc w:val="left"/>
      <w:pPr>
        <w:tabs>
          <w:tab w:val="num" w:pos="360"/>
        </w:tabs>
        <w:ind w:left="360" w:hanging="360"/>
      </w:pPr>
      <w:rPr>
        <w:rFonts w:ascii="Symbol" w:hAnsi="Symbol"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3A258F5"/>
    <w:multiLevelType w:val="hybridMultilevel"/>
    <w:tmpl w:val="A68A91EC"/>
    <w:lvl w:ilvl="0" w:tplc="FFFFFFFF">
      <w:start w:val="1"/>
      <w:numFmt w:val="bullet"/>
      <w:lvlText w:val="-"/>
      <w:legacy w:legacy="1" w:legacySpace="0" w:legacyIndent="360"/>
      <w:lvlJc w:val="left"/>
      <w:pPr>
        <w:ind w:left="502"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5C40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4A042E51"/>
    <w:multiLevelType w:val="hybridMultilevel"/>
    <w:tmpl w:val="3BB894A8"/>
    <w:lvl w:ilvl="0" w:tplc="936E60E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A2951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1A02FA4"/>
    <w:multiLevelType w:val="multilevel"/>
    <w:tmpl w:val="C7CC521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B947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98F06AD"/>
    <w:multiLevelType w:val="hybridMultilevel"/>
    <w:tmpl w:val="944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DD4438"/>
    <w:multiLevelType w:val="hybridMultilevel"/>
    <w:tmpl w:val="B6767DD4"/>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0">
    <w:nsid w:val="5D986B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5E496B7E"/>
    <w:multiLevelType w:val="hybridMultilevel"/>
    <w:tmpl w:val="E5FA2450"/>
    <w:lvl w:ilvl="0" w:tplc="9570805A">
      <w:start w:val="1"/>
      <w:numFmt w:val="bullet"/>
      <w:lvlText w:val=""/>
      <w:lvlJc w:val="left"/>
      <w:pPr>
        <w:tabs>
          <w:tab w:val="num" w:pos="927"/>
        </w:tabs>
        <w:ind w:left="927" w:hanging="360"/>
      </w:pPr>
      <w:rPr>
        <w:rFonts w:ascii="Symbol" w:hAnsi="Symbol" w:hint="default"/>
        <w:color w:val="auto"/>
        <w:sz w:val="22"/>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2">
    <w:nsid w:val="62C6244F"/>
    <w:multiLevelType w:val="hybridMultilevel"/>
    <w:tmpl w:val="2586F702"/>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nsid w:val="62EA05D3"/>
    <w:multiLevelType w:val="hybridMultilevel"/>
    <w:tmpl w:val="0D90A464"/>
    <w:lvl w:ilvl="0" w:tplc="0409000B">
      <w:start w:val="1"/>
      <w:numFmt w:val="bullet"/>
      <w:lvlText w:val=""/>
      <w:lvlJc w:val="left"/>
      <w:pPr>
        <w:tabs>
          <w:tab w:val="num" w:pos="502"/>
        </w:tabs>
        <w:ind w:left="502" w:hanging="360"/>
      </w:pPr>
      <w:rPr>
        <w:rFonts w:ascii="Wingdings" w:hAnsi="Wingdings" w:hint="default"/>
      </w:rPr>
    </w:lvl>
    <w:lvl w:ilvl="1" w:tplc="FFFFFFFF">
      <w:start w:val="1"/>
      <w:numFmt w:val="bullet"/>
      <w:lvlText w:val="-"/>
      <w:legacy w:legacy="1" w:legacySpace="360" w:legacyIndent="360"/>
      <w:lvlJc w:val="left"/>
      <w:pPr>
        <w:ind w:left="1222" w:hanging="360"/>
      </w:pPr>
      <w:rPr>
        <w:rFont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4">
    <w:nsid w:val="65121F0F"/>
    <w:multiLevelType w:val="hybridMultilevel"/>
    <w:tmpl w:val="54D006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6">
    <w:nsid w:val="689E3404"/>
    <w:multiLevelType w:val="hybridMultilevel"/>
    <w:tmpl w:val="E49CF61E"/>
    <w:lvl w:ilvl="0" w:tplc="27CE7764">
      <w:start w:val="1"/>
      <w:numFmt w:val="bullet"/>
      <w:lvlText w:val="►"/>
      <w:lvlJc w:val="left"/>
      <w:pPr>
        <w:tabs>
          <w:tab w:val="num" w:pos="960"/>
        </w:tabs>
        <w:ind w:left="960" w:hanging="360"/>
      </w:pPr>
      <w:rPr>
        <w:rFonts w:ascii="Times New Roman" w:hAnsi="Times New Roman"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E926A7"/>
    <w:multiLevelType w:val="hybridMultilevel"/>
    <w:tmpl w:val="208841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4FC3EBC"/>
    <w:multiLevelType w:val="hybridMultilevel"/>
    <w:tmpl w:val="C0CE1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A318D"/>
    <w:multiLevelType w:val="singleLevel"/>
    <w:tmpl w:val="331E7056"/>
    <w:lvl w:ilvl="0">
      <w:numFmt w:val="bullet"/>
      <w:lvlText w:val=""/>
      <w:lvlJc w:val="left"/>
      <w:pPr>
        <w:tabs>
          <w:tab w:val="num" w:pos="360"/>
        </w:tabs>
        <w:ind w:left="340" w:hanging="340"/>
      </w:pPr>
      <w:rPr>
        <w:rFonts w:ascii="Symbol" w:hAnsi="Symbol" w:hint="default"/>
      </w:rPr>
    </w:lvl>
  </w:abstractNum>
  <w:abstractNum w:abstractNumId="40">
    <w:nsid w:val="787147EB"/>
    <w:multiLevelType w:val="multilevel"/>
    <w:tmpl w:val="CB286B0E"/>
    <w:lvl w:ilvl="0">
      <w:numFmt w:val="bullet"/>
      <w:lvlText w:val=""/>
      <w:lvlJc w:val="left"/>
      <w:pPr>
        <w:tabs>
          <w:tab w:val="num" w:pos="357"/>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8C560F5"/>
    <w:multiLevelType w:val="hybridMultilevel"/>
    <w:tmpl w:val="CEE6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6C2E08"/>
    <w:multiLevelType w:val="hybridMultilevel"/>
    <w:tmpl w:val="3628E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14"/>
  </w:num>
  <w:num w:numId="3">
    <w:abstractNumId w:val="13"/>
  </w:num>
  <w:num w:numId="4">
    <w:abstractNumId w:val="10"/>
  </w:num>
  <w:num w:numId="5">
    <w:abstractNumId w:val="39"/>
  </w:num>
  <w:num w:numId="6">
    <w:abstractNumId w:val="22"/>
  </w:num>
  <w:num w:numId="7">
    <w:abstractNumId w:val="1"/>
  </w:num>
  <w:num w:numId="8">
    <w:abstractNumId w:val="11"/>
  </w:num>
  <w:num w:numId="9">
    <w:abstractNumId w:val="26"/>
  </w:num>
  <w:num w:numId="10">
    <w:abstractNumId w:val="18"/>
  </w:num>
  <w:num w:numId="11">
    <w:abstractNumId w:val="30"/>
  </w:num>
  <w:num w:numId="12">
    <w:abstractNumId w:val="3"/>
  </w:num>
  <w:num w:numId="13">
    <w:abstractNumId w:val="26"/>
  </w:num>
  <w:num w:numId="14">
    <w:abstractNumId w:val="0"/>
    <w:lvlOverride w:ilvl="0">
      <w:lvl w:ilvl="0">
        <w:start w:val="1"/>
        <w:numFmt w:val="bullet"/>
        <w:lvlText w:val="-"/>
        <w:legacy w:legacy="1" w:legacySpace="0" w:legacyIndent="360"/>
        <w:lvlJc w:val="left"/>
        <w:pPr>
          <w:ind w:left="502" w:hanging="360"/>
        </w:pPr>
      </w:lvl>
    </w:lvlOverride>
  </w:num>
  <w:num w:numId="15">
    <w:abstractNumId w:val="6"/>
  </w:num>
  <w:num w:numId="16">
    <w:abstractNumId w:val="15"/>
  </w:num>
  <w:num w:numId="17">
    <w:abstractNumId w:val="24"/>
  </w:num>
  <w:num w:numId="18">
    <w:abstractNumId w:val="0"/>
    <w:lvlOverride w:ilvl="0">
      <w:lvl w:ilvl="0">
        <w:start w:val="1"/>
        <w:numFmt w:val="bullet"/>
        <w:lvlText w:val="-"/>
        <w:legacy w:legacy="1" w:legacySpace="0" w:legacyIndent="360"/>
        <w:lvlJc w:val="left"/>
        <w:pPr>
          <w:ind w:left="502" w:hanging="360"/>
        </w:pPr>
      </w:lvl>
    </w:lvlOverride>
  </w:num>
  <w:num w:numId="19">
    <w:abstractNumId w:val="35"/>
  </w:num>
  <w:num w:numId="20">
    <w:abstractNumId w:val="27"/>
  </w:num>
  <w:num w:numId="21">
    <w:abstractNumId w:val="20"/>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6"/>
  </w:num>
  <w:num w:numId="24">
    <w:abstractNumId w:val="12"/>
  </w:num>
  <w:num w:numId="25">
    <w:abstractNumId w:val="19"/>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8"/>
  </w:num>
  <w:num w:numId="30">
    <w:abstractNumId w:val="2"/>
  </w:num>
  <w:num w:numId="31">
    <w:abstractNumId w:val="7"/>
  </w:num>
  <w:num w:numId="32">
    <w:abstractNumId w:val="40"/>
  </w:num>
  <w:num w:numId="33">
    <w:abstractNumId w:val="23"/>
  </w:num>
  <w:num w:numId="34">
    <w:abstractNumId w:val="5"/>
  </w:num>
  <w:num w:numId="35">
    <w:abstractNumId w:val="28"/>
  </w:num>
  <w:num w:numId="36">
    <w:abstractNumId w:val="42"/>
  </w:num>
  <w:num w:numId="37">
    <w:abstractNumId w:val="32"/>
  </w:num>
  <w:num w:numId="38">
    <w:abstractNumId w:val="29"/>
  </w:num>
  <w:num w:numId="39">
    <w:abstractNumId w:val="33"/>
  </w:num>
  <w:num w:numId="40">
    <w:abstractNumId w:val="37"/>
  </w:num>
  <w:num w:numId="41">
    <w:abstractNumId w:val="21"/>
  </w:num>
  <w:num w:numId="42">
    <w:abstractNumId w:val="34"/>
  </w:num>
  <w:num w:numId="43">
    <w:abstractNumId w:val="9"/>
  </w:num>
  <w:num w:numId="44">
    <w:abstractNumId w:val="25"/>
  </w:num>
  <w:num w:numId="45">
    <w:abstractNumId w:val="38"/>
  </w:num>
  <w:num w:numId="46">
    <w:abstractNumId w:val="17"/>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3C1B65"/>
    <w:rsid w:val="00007A07"/>
    <w:rsid w:val="00016D9A"/>
    <w:rsid w:val="000219EC"/>
    <w:rsid w:val="000366F1"/>
    <w:rsid w:val="00090A02"/>
    <w:rsid w:val="000C7218"/>
    <w:rsid w:val="000E3D03"/>
    <w:rsid w:val="000F6DC4"/>
    <w:rsid w:val="00114B0E"/>
    <w:rsid w:val="001355EA"/>
    <w:rsid w:val="00141C1C"/>
    <w:rsid w:val="00144AB3"/>
    <w:rsid w:val="00145F6F"/>
    <w:rsid w:val="00146A33"/>
    <w:rsid w:val="0015524A"/>
    <w:rsid w:val="001576CD"/>
    <w:rsid w:val="00160AFA"/>
    <w:rsid w:val="00162D82"/>
    <w:rsid w:val="00165DFA"/>
    <w:rsid w:val="001710B9"/>
    <w:rsid w:val="00176A68"/>
    <w:rsid w:val="00181962"/>
    <w:rsid w:val="001863E0"/>
    <w:rsid w:val="001B34BB"/>
    <w:rsid w:val="001B5DA5"/>
    <w:rsid w:val="001F0187"/>
    <w:rsid w:val="001F3019"/>
    <w:rsid w:val="001F67DD"/>
    <w:rsid w:val="00212862"/>
    <w:rsid w:val="00225D75"/>
    <w:rsid w:val="0023070D"/>
    <w:rsid w:val="00240A5B"/>
    <w:rsid w:val="00243263"/>
    <w:rsid w:val="00257C31"/>
    <w:rsid w:val="002618C6"/>
    <w:rsid w:val="00271BCD"/>
    <w:rsid w:val="002779DD"/>
    <w:rsid w:val="002874B6"/>
    <w:rsid w:val="002A0C18"/>
    <w:rsid w:val="002A15C4"/>
    <w:rsid w:val="002A6A31"/>
    <w:rsid w:val="002B0021"/>
    <w:rsid w:val="002C0DA7"/>
    <w:rsid w:val="002C2ADB"/>
    <w:rsid w:val="002E6100"/>
    <w:rsid w:val="002F2329"/>
    <w:rsid w:val="00314686"/>
    <w:rsid w:val="00336858"/>
    <w:rsid w:val="00380C56"/>
    <w:rsid w:val="0038152B"/>
    <w:rsid w:val="003905F8"/>
    <w:rsid w:val="003A5F74"/>
    <w:rsid w:val="003C1B65"/>
    <w:rsid w:val="003D5F7A"/>
    <w:rsid w:val="003E0292"/>
    <w:rsid w:val="003F4F04"/>
    <w:rsid w:val="003F5852"/>
    <w:rsid w:val="003F7D7A"/>
    <w:rsid w:val="00401925"/>
    <w:rsid w:val="00401EE1"/>
    <w:rsid w:val="00416C81"/>
    <w:rsid w:val="004333D1"/>
    <w:rsid w:val="004510F9"/>
    <w:rsid w:val="004729AE"/>
    <w:rsid w:val="00497A94"/>
    <w:rsid w:val="004A5B33"/>
    <w:rsid w:val="004A7003"/>
    <w:rsid w:val="004B12C4"/>
    <w:rsid w:val="004B3D6D"/>
    <w:rsid w:val="004B6455"/>
    <w:rsid w:val="004E3323"/>
    <w:rsid w:val="004F402D"/>
    <w:rsid w:val="00503370"/>
    <w:rsid w:val="00506EC0"/>
    <w:rsid w:val="00514FC2"/>
    <w:rsid w:val="00515D8D"/>
    <w:rsid w:val="00523C68"/>
    <w:rsid w:val="005562DE"/>
    <w:rsid w:val="005B2EBD"/>
    <w:rsid w:val="005C7A5E"/>
    <w:rsid w:val="006011F8"/>
    <w:rsid w:val="00610C81"/>
    <w:rsid w:val="00612138"/>
    <w:rsid w:val="0062608E"/>
    <w:rsid w:val="00627CA0"/>
    <w:rsid w:val="00634EB5"/>
    <w:rsid w:val="00640F04"/>
    <w:rsid w:val="00653168"/>
    <w:rsid w:val="0067446A"/>
    <w:rsid w:val="0067636A"/>
    <w:rsid w:val="006850A3"/>
    <w:rsid w:val="006A45B9"/>
    <w:rsid w:val="006A51CE"/>
    <w:rsid w:val="006A6FCD"/>
    <w:rsid w:val="006C13D1"/>
    <w:rsid w:val="006C3D59"/>
    <w:rsid w:val="006D2674"/>
    <w:rsid w:val="006E1DC3"/>
    <w:rsid w:val="006F3423"/>
    <w:rsid w:val="006F3909"/>
    <w:rsid w:val="006F44B4"/>
    <w:rsid w:val="00711A37"/>
    <w:rsid w:val="007125CD"/>
    <w:rsid w:val="0072518A"/>
    <w:rsid w:val="007317A5"/>
    <w:rsid w:val="00744391"/>
    <w:rsid w:val="00750A08"/>
    <w:rsid w:val="00750BC9"/>
    <w:rsid w:val="0076276B"/>
    <w:rsid w:val="00790A8C"/>
    <w:rsid w:val="0079236C"/>
    <w:rsid w:val="007A5610"/>
    <w:rsid w:val="007A7C1B"/>
    <w:rsid w:val="007C1BD3"/>
    <w:rsid w:val="007D41AD"/>
    <w:rsid w:val="007E08D8"/>
    <w:rsid w:val="00832202"/>
    <w:rsid w:val="00833CB8"/>
    <w:rsid w:val="00876A47"/>
    <w:rsid w:val="00882EB8"/>
    <w:rsid w:val="008940CE"/>
    <w:rsid w:val="008964EA"/>
    <w:rsid w:val="008C137A"/>
    <w:rsid w:val="008C1620"/>
    <w:rsid w:val="008C27B2"/>
    <w:rsid w:val="008E03AA"/>
    <w:rsid w:val="00902D65"/>
    <w:rsid w:val="009105DB"/>
    <w:rsid w:val="0091103B"/>
    <w:rsid w:val="00947269"/>
    <w:rsid w:val="00950A7D"/>
    <w:rsid w:val="00956AAB"/>
    <w:rsid w:val="00972A4D"/>
    <w:rsid w:val="00986D6B"/>
    <w:rsid w:val="00997C09"/>
    <w:rsid w:val="009E5CA6"/>
    <w:rsid w:val="00A0045F"/>
    <w:rsid w:val="00A040EF"/>
    <w:rsid w:val="00A06F80"/>
    <w:rsid w:val="00A07726"/>
    <w:rsid w:val="00A1336F"/>
    <w:rsid w:val="00A14F5B"/>
    <w:rsid w:val="00A15013"/>
    <w:rsid w:val="00A22A1E"/>
    <w:rsid w:val="00A3124C"/>
    <w:rsid w:val="00A34FFC"/>
    <w:rsid w:val="00A37DF5"/>
    <w:rsid w:val="00A47640"/>
    <w:rsid w:val="00A5596E"/>
    <w:rsid w:val="00A55F48"/>
    <w:rsid w:val="00A76814"/>
    <w:rsid w:val="00A9786D"/>
    <w:rsid w:val="00B005FB"/>
    <w:rsid w:val="00B06743"/>
    <w:rsid w:val="00B13971"/>
    <w:rsid w:val="00B156AE"/>
    <w:rsid w:val="00B1578A"/>
    <w:rsid w:val="00B2239E"/>
    <w:rsid w:val="00B31655"/>
    <w:rsid w:val="00B34E35"/>
    <w:rsid w:val="00B35873"/>
    <w:rsid w:val="00B3730D"/>
    <w:rsid w:val="00B54707"/>
    <w:rsid w:val="00B576D6"/>
    <w:rsid w:val="00BA0E84"/>
    <w:rsid w:val="00BA2D9E"/>
    <w:rsid w:val="00BA7EE0"/>
    <w:rsid w:val="00BB3BB5"/>
    <w:rsid w:val="00BB4A70"/>
    <w:rsid w:val="00BD163C"/>
    <w:rsid w:val="00BF1145"/>
    <w:rsid w:val="00BF116F"/>
    <w:rsid w:val="00BF6290"/>
    <w:rsid w:val="00BF7E4A"/>
    <w:rsid w:val="00C15DFA"/>
    <w:rsid w:val="00C215F0"/>
    <w:rsid w:val="00C240E6"/>
    <w:rsid w:val="00C30E18"/>
    <w:rsid w:val="00C61D05"/>
    <w:rsid w:val="00CA2917"/>
    <w:rsid w:val="00CC0661"/>
    <w:rsid w:val="00CC0D29"/>
    <w:rsid w:val="00CE10B5"/>
    <w:rsid w:val="00CE6352"/>
    <w:rsid w:val="00D03BA6"/>
    <w:rsid w:val="00D14C50"/>
    <w:rsid w:val="00D21AF5"/>
    <w:rsid w:val="00D26AD4"/>
    <w:rsid w:val="00D33A07"/>
    <w:rsid w:val="00D606BF"/>
    <w:rsid w:val="00D621BB"/>
    <w:rsid w:val="00D67207"/>
    <w:rsid w:val="00D85843"/>
    <w:rsid w:val="00D9238E"/>
    <w:rsid w:val="00DA5A0A"/>
    <w:rsid w:val="00DB55CF"/>
    <w:rsid w:val="00DC03BE"/>
    <w:rsid w:val="00DD4E9C"/>
    <w:rsid w:val="00DF35EE"/>
    <w:rsid w:val="00DF5A8D"/>
    <w:rsid w:val="00E11A87"/>
    <w:rsid w:val="00E2741F"/>
    <w:rsid w:val="00E31881"/>
    <w:rsid w:val="00E367C8"/>
    <w:rsid w:val="00E569F1"/>
    <w:rsid w:val="00E71FFD"/>
    <w:rsid w:val="00E81B7E"/>
    <w:rsid w:val="00E82A9F"/>
    <w:rsid w:val="00ED1A06"/>
    <w:rsid w:val="00EF047D"/>
    <w:rsid w:val="00EF6D7C"/>
    <w:rsid w:val="00F00356"/>
    <w:rsid w:val="00F10213"/>
    <w:rsid w:val="00F2562C"/>
    <w:rsid w:val="00F27D14"/>
    <w:rsid w:val="00F44216"/>
    <w:rsid w:val="00F470DA"/>
    <w:rsid w:val="00F51357"/>
    <w:rsid w:val="00F5292F"/>
    <w:rsid w:val="00F52AC0"/>
    <w:rsid w:val="00F621EE"/>
    <w:rsid w:val="00F652D5"/>
    <w:rsid w:val="00F7148F"/>
    <w:rsid w:val="00F76D04"/>
    <w:rsid w:val="00F92113"/>
    <w:rsid w:val="00FA0F61"/>
    <w:rsid w:val="00FA165A"/>
    <w:rsid w:val="00FA5B1F"/>
    <w:rsid w:val="00FE12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FCD"/>
    <w:rPr>
      <w:lang w:val="en-US"/>
    </w:rPr>
  </w:style>
  <w:style w:type="paragraph" w:styleId="1">
    <w:name w:val="heading 1"/>
    <w:basedOn w:val="a"/>
    <w:next w:val="a"/>
    <w:qFormat/>
    <w:rsid w:val="006A6FCD"/>
    <w:pPr>
      <w:keepNext/>
      <w:tabs>
        <w:tab w:val="left" w:pos="567"/>
      </w:tabs>
      <w:spacing w:line="360" w:lineRule="atLeast"/>
      <w:jc w:val="both"/>
      <w:outlineLvl w:val="0"/>
    </w:pPr>
    <w:rPr>
      <w:rFonts w:ascii="Arial" w:hAnsi="Arial"/>
      <w:b/>
      <w:lang w:eastAsia="en-US"/>
    </w:rPr>
  </w:style>
  <w:style w:type="paragraph" w:styleId="2">
    <w:name w:val="heading 2"/>
    <w:basedOn w:val="a"/>
    <w:next w:val="a"/>
    <w:qFormat/>
    <w:rsid w:val="006A6FCD"/>
    <w:pPr>
      <w:keepNext/>
      <w:tabs>
        <w:tab w:val="left" w:pos="567"/>
      </w:tabs>
      <w:spacing w:line="360" w:lineRule="atLeast"/>
      <w:ind w:left="567"/>
      <w:jc w:val="both"/>
      <w:outlineLvl w:val="1"/>
    </w:pPr>
    <w:rPr>
      <w:rFonts w:ascii="Arial" w:hAnsi="Arial"/>
      <w:lang w:val="el-GR" w:eastAsia="en-US"/>
    </w:rPr>
  </w:style>
  <w:style w:type="paragraph" w:styleId="3">
    <w:name w:val="heading 3"/>
    <w:basedOn w:val="a"/>
    <w:next w:val="a"/>
    <w:qFormat/>
    <w:rsid w:val="006A6FCD"/>
    <w:pPr>
      <w:keepNext/>
      <w:tabs>
        <w:tab w:val="left" w:pos="567"/>
      </w:tabs>
      <w:spacing w:line="360" w:lineRule="atLeast"/>
      <w:ind w:left="567"/>
      <w:jc w:val="both"/>
      <w:outlineLvl w:val="2"/>
    </w:pPr>
    <w:rPr>
      <w:rFonts w:ascii="Arial" w:hAnsi="Arial"/>
      <w:u w:val="single"/>
      <w:lang w:val="el-GR" w:eastAsia="en-US"/>
    </w:rPr>
  </w:style>
  <w:style w:type="paragraph" w:styleId="4">
    <w:name w:val="heading 4"/>
    <w:basedOn w:val="a"/>
    <w:next w:val="a"/>
    <w:qFormat/>
    <w:rsid w:val="006A6FCD"/>
    <w:pPr>
      <w:keepNext/>
      <w:tabs>
        <w:tab w:val="left" w:pos="567"/>
      </w:tabs>
      <w:spacing w:before="120" w:line="300" w:lineRule="atLeast"/>
      <w:ind w:left="567"/>
      <w:jc w:val="both"/>
      <w:outlineLvl w:val="3"/>
    </w:pPr>
    <w:rPr>
      <w:rFonts w:ascii="Arial" w:hAnsi="Arial"/>
      <w:sz w:val="22"/>
      <w:u w:val="single"/>
      <w:lang w:eastAsia="en-US"/>
    </w:rPr>
  </w:style>
  <w:style w:type="paragraph" w:styleId="5">
    <w:name w:val="heading 5"/>
    <w:basedOn w:val="a"/>
    <w:next w:val="a"/>
    <w:qFormat/>
    <w:rsid w:val="006A6FCD"/>
    <w:pPr>
      <w:keepNext/>
      <w:tabs>
        <w:tab w:val="left" w:pos="567"/>
      </w:tabs>
      <w:spacing w:before="120" w:line="300" w:lineRule="atLeast"/>
      <w:ind w:left="567"/>
      <w:jc w:val="both"/>
      <w:outlineLvl w:val="4"/>
    </w:pPr>
    <w:rPr>
      <w:rFonts w:ascii="Arial" w:hAnsi="Arial"/>
      <w:sz w:val="22"/>
      <w:lang w:val="el-GR" w:eastAsia="en-US"/>
    </w:rPr>
  </w:style>
  <w:style w:type="paragraph" w:styleId="6">
    <w:name w:val="heading 6"/>
    <w:basedOn w:val="a"/>
    <w:next w:val="a"/>
    <w:qFormat/>
    <w:rsid w:val="006A6FCD"/>
    <w:pPr>
      <w:keepNext/>
      <w:tabs>
        <w:tab w:val="left" w:pos="567"/>
      </w:tabs>
      <w:spacing w:before="120" w:line="300" w:lineRule="atLeast"/>
      <w:jc w:val="both"/>
      <w:outlineLvl w:val="5"/>
    </w:pPr>
    <w:rPr>
      <w:rFonts w:ascii="Arial" w:hAnsi="Arial"/>
      <w:sz w:val="22"/>
      <w:lang w:val="el-GR" w:eastAsia="en-US"/>
    </w:rPr>
  </w:style>
  <w:style w:type="paragraph" w:styleId="7">
    <w:name w:val="heading 7"/>
    <w:basedOn w:val="a"/>
    <w:next w:val="a"/>
    <w:qFormat/>
    <w:rsid w:val="006A6FCD"/>
    <w:pPr>
      <w:keepNext/>
      <w:tabs>
        <w:tab w:val="left" w:pos="567"/>
      </w:tabs>
      <w:spacing w:before="120" w:line="300" w:lineRule="atLeast"/>
      <w:jc w:val="both"/>
      <w:outlineLvl w:val="6"/>
    </w:pPr>
    <w:rPr>
      <w:rFonts w:ascii="Arial" w:hAnsi="Arial"/>
      <w:sz w:val="22"/>
      <w:u w:val="single"/>
      <w:lang w:val="el-GR" w:eastAsia="en-US"/>
    </w:rPr>
  </w:style>
  <w:style w:type="paragraph" w:styleId="8">
    <w:name w:val="heading 8"/>
    <w:basedOn w:val="a"/>
    <w:next w:val="a"/>
    <w:qFormat/>
    <w:rsid w:val="006A6FCD"/>
    <w:pPr>
      <w:keepNext/>
      <w:widowControl w:val="0"/>
      <w:jc w:val="center"/>
      <w:outlineLvl w:val="7"/>
    </w:pPr>
    <w:rPr>
      <w:b/>
      <w:iCs/>
      <w:noProof/>
      <w:sz w:val="22"/>
      <w:lang w:val="el-GR"/>
    </w:rPr>
  </w:style>
  <w:style w:type="paragraph" w:styleId="9">
    <w:name w:val="heading 9"/>
    <w:basedOn w:val="a"/>
    <w:next w:val="a"/>
    <w:qFormat/>
    <w:rsid w:val="006A6FCD"/>
    <w:pPr>
      <w:keepNext/>
      <w:tabs>
        <w:tab w:val="left" w:pos="567"/>
      </w:tabs>
      <w:spacing w:line="260" w:lineRule="exact"/>
      <w:jc w:val="both"/>
      <w:outlineLvl w:val="8"/>
    </w:pPr>
    <w:rPr>
      <w:b/>
      <w:i/>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6FCD"/>
    <w:pPr>
      <w:tabs>
        <w:tab w:val="center" w:pos="4153"/>
        <w:tab w:val="right" w:pos="8306"/>
      </w:tabs>
    </w:pPr>
  </w:style>
  <w:style w:type="character" w:styleId="a4">
    <w:name w:val="page number"/>
    <w:rsid w:val="006A6FCD"/>
    <w:rPr>
      <w:rFonts w:cs="Times New Roman"/>
    </w:rPr>
  </w:style>
  <w:style w:type="paragraph" w:styleId="a5">
    <w:name w:val="footer"/>
    <w:basedOn w:val="a"/>
    <w:rsid w:val="006A6FCD"/>
    <w:pPr>
      <w:tabs>
        <w:tab w:val="center" w:pos="4153"/>
        <w:tab w:val="right" w:pos="8306"/>
      </w:tabs>
    </w:pPr>
  </w:style>
  <w:style w:type="paragraph" w:styleId="a6">
    <w:name w:val="Body Text Indent"/>
    <w:basedOn w:val="a"/>
    <w:rsid w:val="006A6FCD"/>
    <w:pPr>
      <w:tabs>
        <w:tab w:val="left" w:pos="567"/>
      </w:tabs>
      <w:spacing w:line="300" w:lineRule="exact"/>
      <w:ind w:left="567"/>
      <w:jc w:val="both"/>
    </w:pPr>
    <w:rPr>
      <w:rFonts w:ascii="HellasSouv" w:hAnsi="HellasSouv"/>
      <w:sz w:val="22"/>
    </w:rPr>
  </w:style>
  <w:style w:type="paragraph" w:styleId="20">
    <w:name w:val="Body Text Indent 2"/>
    <w:basedOn w:val="a"/>
    <w:rsid w:val="006A6FCD"/>
    <w:pPr>
      <w:tabs>
        <w:tab w:val="left" w:pos="567"/>
      </w:tabs>
      <w:spacing w:line="300" w:lineRule="exact"/>
      <w:ind w:left="567" w:hanging="567"/>
      <w:jc w:val="both"/>
    </w:pPr>
    <w:rPr>
      <w:rFonts w:ascii="PA-SansSerif" w:hAnsi="PA-SansSerif"/>
    </w:rPr>
  </w:style>
  <w:style w:type="paragraph" w:styleId="30">
    <w:name w:val="Body Text Indent 3"/>
    <w:basedOn w:val="a"/>
    <w:rsid w:val="006A6FCD"/>
    <w:pPr>
      <w:tabs>
        <w:tab w:val="left" w:pos="567"/>
      </w:tabs>
      <w:spacing w:line="300" w:lineRule="exact"/>
      <w:ind w:left="567"/>
      <w:jc w:val="both"/>
    </w:pPr>
    <w:rPr>
      <w:rFonts w:ascii="PA-SansSerif" w:hAnsi="PA-SansSerif"/>
    </w:rPr>
  </w:style>
  <w:style w:type="paragraph" w:styleId="a7">
    <w:name w:val="Body Text"/>
    <w:basedOn w:val="a"/>
    <w:rsid w:val="006A6FCD"/>
    <w:pPr>
      <w:tabs>
        <w:tab w:val="left" w:pos="567"/>
      </w:tabs>
      <w:spacing w:before="120" w:line="300" w:lineRule="atLeast"/>
      <w:jc w:val="both"/>
    </w:pPr>
    <w:rPr>
      <w:rFonts w:ascii="Arial" w:hAnsi="Arial"/>
      <w:sz w:val="22"/>
      <w:lang w:eastAsia="en-US"/>
    </w:rPr>
  </w:style>
  <w:style w:type="paragraph" w:customStyle="1" w:styleId="Para0s">
    <w:name w:val="Para:0:s"/>
    <w:basedOn w:val="a"/>
    <w:rsid w:val="006A6FCD"/>
    <w:pPr>
      <w:spacing w:after="220"/>
    </w:pPr>
    <w:rPr>
      <w:rFonts w:ascii="Helvetica" w:hAnsi="Helvetica"/>
      <w:sz w:val="22"/>
      <w:lang w:eastAsia="de-DE"/>
    </w:rPr>
  </w:style>
  <w:style w:type="paragraph" w:customStyle="1" w:styleId="Para0sb">
    <w:name w:val="Para:0:sb"/>
    <w:basedOn w:val="Para0s"/>
    <w:rsid w:val="006A6FCD"/>
    <w:rPr>
      <w:b/>
    </w:rPr>
  </w:style>
  <w:style w:type="paragraph" w:customStyle="1" w:styleId="Bullet0dKT">
    <w:name w:val="Bullet:0:d:KT"/>
    <w:basedOn w:val="a"/>
    <w:rsid w:val="006A6FCD"/>
    <w:pPr>
      <w:keepNext/>
      <w:keepLines/>
      <w:numPr>
        <w:numId w:val="8"/>
      </w:numPr>
      <w:spacing w:before="40" w:after="220"/>
    </w:pPr>
    <w:rPr>
      <w:rFonts w:ascii="Helvetica" w:hAnsi="Helvetica"/>
      <w:sz w:val="22"/>
      <w:lang w:eastAsia="de-DE"/>
    </w:rPr>
  </w:style>
  <w:style w:type="paragraph" w:customStyle="1" w:styleId="AHeader1">
    <w:name w:val="AHeader 1"/>
    <w:basedOn w:val="a"/>
    <w:rsid w:val="006A6FCD"/>
    <w:pPr>
      <w:tabs>
        <w:tab w:val="num" w:pos="720"/>
      </w:tabs>
      <w:spacing w:after="120"/>
      <w:ind w:left="284" w:hanging="284"/>
    </w:pPr>
    <w:rPr>
      <w:rFonts w:ascii="Arial" w:hAnsi="Arial" w:cs="Arial"/>
      <w:b/>
      <w:bCs/>
      <w:sz w:val="24"/>
      <w:lang w:val="en-GB" w:eastAsia="en-US"/>
    </w:rPr>
  </w:style>
  <w:style w:type="paragraph" w:customStyle="1" w:styleId="AHeader2">
    <w:name w:val="AHeader 2"/>
    <w:basedOn w:val="AHeader1"/>
    <w:rsid w:val="006A6FCD"/>
    <w:pPr>
      <w:tabs>
        <w:tab w:val="clear" w:pos="720"/>
        <w:tab w:val="num" w:pos="709"/>
      </w:tabs>
      <w:ind w:left="340" w:hanging="340"/>
    </w:pPr>
    <w:rPr>
      <w:sz w:val="22"/>
    </w:rPr>
  </w:style>
  <w:style w:type="paragraph" w:customStyle="1" w:styleId="AHeader3">
    <w:name w:val="AHeader 3"/>
    <w:basedOn w:val="AHeader2"/>
    <w:rsid w:val="006A6FCD"/>
    <w:pPr>
      <w:tabs>
        <w:tab w:val="clear" w:pos="709"/>
        <w:tab w:val="num" w:pos="1276"/>
      </w:tabs>
      <w:ind w:left="1276" w:hanging="567"/>
    </w:pPr>
  </w:style>
  <w:style w:type="paragraph" w:customStyle="1" w:styleId="AHeader2abc">
    <w:name w:val="AHeader 2 abc"/>
    <w:basedOn w:val="AHeader3"/>
    <w:rsid w:val="006A6FCD"/>
    <w:pPr>
      <w:jc w:val="both"/>
    </w:pPr>
    <w:rPr>
      <w:b w:val="0"/>
      <w:bCs w:val="0"/>
    </w:rPr>
  </w:style>
  <w:style w:type="paragraph" w:customStyle="1" w:styleId="AHeader3abc">
    <w:name w:val="AHeader 3 abc"/>
    <w:basedOn w:val="AHeader2abc"/>
    <w:rsid w:val="006A6FCD"/>
    <w:pPr>
      <w:tabs>
        <w:tab w:val="clear" w:pos="1276"/>
        <w:tab w:val="num" w:pos="1701"/>
      </w:tabs>
      <w:ind w:left="1701" w:hanging="425"/>
    </w:pPr>
  </w:style>
  <w:style w:type="paragraph" w:customStyle="1" w:styleId="Smalltext90">
    <w:name w:val="Smalltext9:0"/>
    <w:basedOn w:val="Para0s"/>
    <w:rsid w:val="006A6FCD"/>
    <w:pPr>
      <w:spacing w:after="0"/>
    </w:pPr>
    <w:rPr>
      <w:sz w:val="18"/>
    </w:rPr>
  </w:style>
  <w:style w:type="paragraph" w:customStyle="1" w:styleId="EMEAEnBodyText">
    <w:name w:val="EMEA En Body Text"/>
    <w:basedOn w:val="a"/>
    <w:rsid w:val="006A6FCD"/>
    <w:pPr>
      <w:spacing w:before="120" w:after="120"/>
      <w:jc w:val="both"/>
    </w:pPr>
    <w:rPr>
      <w:sz w:val="22"/>
      <w:lang w:eastAsia="en-US"/>
    </w:rPr>
  </w:style>
  <w:style w:type="paragraph" w:customStyle="1" w:styleId="Default">
    <w:name w:val="Default"/>
    <w:rsid w:val="006A6FCD"/>
    <w:pPr>
      <w:autoSpaceDE w:val="0"/>
      <w:autoSpaceDN w:val="0"/>
      <w:adjustRightInd w:val="0"/>
    </w:pPr>
    <w:rPr>
      <w:lang w:val="en-US" w:eastAsia="en-US"/>
    </w:rPr>
  </w:style>
  <w:style w:type="character" w:customStyle="1" w:styleId="featurebody1">
    <w:name w:val="feature_body1"/>
    <w:rsid w:val="006A6FCD"/>
    <w:rPr>
      <w:rFonts w:ascii="Verdana" w:hAnsi="Verdana" w:cs="Times New Roman"/>
      <w:color w:val="336699"/>
      <w:sz w:val="18"/>
      <w:szCs w:val="18"/>
    </w:rPr>
  </w:style>
  <w:style w:type="paragraph" w:customStyle="1" w:styleId="berschrift10">
    <w:name w:val="Überschrift 10"/>
    <w:basedOn w:val="9"/>
    <w:rsid w:val="006A6FCD"/>
    <w:pPr>
      <w:tabs>
        <w:tab w:val="clear" w:pos="567"/>
      </w:tabs>
      <w:spacing w:before="20" w:after="120" w:line="240" w:lineRule="auto"/>
      <w:jc w:val="left"/>
      <w:outlineLvl w:val="9"/>
    </w:pPr>
    <w:rPr>
      <w:rFonts w:ascii="Helvetica" w:hAnsi="Helvetica"/>
      <w:b w:val="0"/>
      <w:i w:val="0"/>
      <w:u w:val="single"/>
      <w:lang w:val="en-US" w:eastAsia="de-DE"/>
    </w:rPr>
  </w:style>
  <w:style w:type="paragraph" w:styleId="a8">
    <w:name w:val="Balloon Text"/>
    <w:basedOn w:val="a"/>
    <w:semiHidden/>
    <w:rsid w:val="006A6FCD"/>
    <w:pPr>
      <w:tabs>
        <w:tab w:val="left" w:pos="567"/>
      </w:tabs>
      <w:spacing w:line="260" w:lineRule="exact"/>
    </w:pPr>
    <w:rPr>
      <w:rFonts w:ascii="Tahoma" w:hAnsi="Tahoma" w:cs="Tahoma"/>
      <w:sz w:val="16"/>
      <w:szCs w:val="16"/>
      <w:lang w:val="en-GB" w:eastAsia="en-US"/>
    </w:rPr>
  </w:style>
  <w:style w:type="paragraph" w:customStyle="1" w:styleId="Bullet">
    <w:name w:val="Bullet"/>
    <w:basedOn w:val="a"/>
    <w:rsid w:val="006A6FCD"/>
    <w:pPr>
      <w:tabs>
        <w:tab w:val="num" w:pos="570"/>
      </w:tabs>
      <w:spacing w:after="220"/>
      <w:ind w:left="570" w:hanging="570"/>
    </w:pPr>
    <w:rPr>
      <w:sz w:val="22"/>
      <w:lang w:eastAsia="de-DE"/>
    </w:rPr>
  </w:style>
  <w:style w:type="paragraph" w:customStyle="1" w:styleId="Bullet2">
    <w:name w:val="Bullet2"/>
    <w:basedOn w:val="a"/>
    <w:rsid w:val="006A6FCD"/>
    <w:pPr>
      <w:tabs>
        <w:tab w:val="left" w:pos="567"/>
        <w:tab w:val="num" w:pos="927"/>
      </w:tabs>
      <w:spacing w:line="260" w:lineRule="exact"/>
      <w:ind w:left="927" w:hanging="360"/>
    </w:pPr>
    <w:rPr>
      <w:sz w:val="22"/>
      <w:lang w:val="en-GB" w:eastAsia="en-US"/>
    </w:rPr>
  </w:style>
  <w:style w:type="paragraph" w:customStyle="1" w:styleId="Smalltext120">
    <w:name w:val="Smalltext12:0"/>
    <w:basedOn w:val="a"/>
    <w:rsid w:val="006A6FCD"/>
    <w:rPr>
      <w:sz w:val="24"/>
      <w:lang w:eastAsia="de-DE"/>
    </w:rPr>
  </w:style>
  <w:style w:type="character" w:styleId="a9">
    <w:name w:val="annotation reference"/>
    <w:semiHidden/>
    <w:rsid w:val="003D5F7A"/>
    <w:rPr>
      <w:rFonts w:cs="Times New Roman"/>
      <w:sz w:val="16"/>
      <w:szCs w:val="16"/>
    </w:rPr>
  </w:style>
  <w:style w:type="paragraph" w:styleId="aa">
    <w:name w:val="annotation text"/>
    <w:basedOn w:val="a"/>
    <w:semiHidden/>
    <w:rsid w:val="003D5F7A"/>
  </w:style>
  <w:style w:type="paragraph" w:styleId="ab">
    <w:name w:val="annotation subject"/>
    <w:basedOn w:val="aa"/>
    <w:next w:val="aa"/>
    <w:semiHidden/>
    <w:rsid w:val="003D5F7A"/>
    <w:rPr>
      <w:b/>
      <w:bCs/>
    </w:rPr>
  </w:style>
  <w:style w:type="paragraph" w:customStyle="1" w:styleId="leafNormal">
    <w:name w:val="leafNormal"/>
    <w:rsid w:val="00972A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8" w:lineRule="auto"/>
      <w:ind w:left="708"/>
      <w:jc w:val="both"/>
    </w:pPr>
    <w:rPr>
      <w:rFonts w:ascii="Helvetica" w:hAnsi="Helvetica"/>
      <w:sz w:val="24"/>
      <w:lang w:val="en-US"/>
    </w:rPr>
  </w:style>
  <w:style w:type="paragraph" w:styleId="ac">
    <w:name w:val="Revision"/>
    <w:hidden/>
    <w:uiPriority w:val="99"/>
    <w:semiHidden/>
    <w:rsid w:val="004A7003"/>
    <w:rPr>
      <w:lang w:val="en-US"/>
    </w:rPr>
  </w:style>
</w:styles>
</file>

<file path=word/webSettings.xml><?xml version="1.0" encoding="utf-8"?>
<w:webSettings xmlns:r="http://schemas.openxmlformats.org/officeDocument/2006/relationships" xmlns:w="http://schemas.openxmlformats.org/wordprocessingml/2006/main">
  <w:divs>
    <w:div w:id="633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5596</Words>
  <Characters>30222</Characters>
  <Application>Microsoft Office Word</Application>
  <DocSecurity>0</DocSecurity>
  <Lines>251</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mt-g</Company>
  <LinksUpToDate>false</LinksUpToDate>
  <CharactersWithSpaces>35747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mt-g</dc:creator>
  <cp:lastModifiedBy>user146</cp:lastModifiedBy>
  <cp:revision>5</cp:revision>
  <cp:lastPrinted>2012-09-17T10:58:00Z</cp:lastPrinted>
  <dcterms:created xsi:type="dcterms:W3CDTF">2013-04-04T10:49:00Z</dcterms:created>
  <dcterms:modified xsi:type="dcterms:W3CDTF">2013-05-16T12:13:00Z</dcterms:modified>
</cp:coreProperties>
</file>