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0A3" w:rsidRPr="00C9363A" w:rsidRDefault="00895EF1" w:rsidP="006979DD">
      <w:pPr>
        <w:pStyle w:val="a3"/>
        <w:rPr>
          <w:rFonts w:ascii="Times New Roman" w:hAnsi="Times New Roman"/>
          <w:sz w:val="22"/>
          <w:szCs w:val="22"/>
        </w:rPr>
      </w:pPr>
      <w:r w:rsidRPr="00C9363A">
        <w:rPr>
          <w:rFonts w:ascii="Times New Roman" w:hAnsi="Times New Roman"/>
          <w:sz w:val="22"/>
          <w:szCs w:val="22"/>
        </w:rPr>
        <w:t xml:space="preserve"> </w:t>
      </w:r>
      <w:r w:rsidR="009250A3" w:rsidRPr="00C9363A">
        <w:rPr>
          <w:rFonts w:ascii="Times New Roman" w:hAnsi="Times New Roman"/>
          <w:sz w:val="22"/>
          <w:szCs w:val="22"/>
        </w:rPr>
        <w:t>ΠΕΡΙΛΗΨΗ ΧΑΡΑΚΤΗΡΙΣΤΙΚΩΝ ΤΟΥ ΠΡΟΪΟΝΤΟΣ</w:t>
      </w:r>
    </w:p>
    <w:p w:rsidR="009250A3" w:rsidRPr="00C9363A" w:rsidRDefault="009250A3" w:rsidP="006979DD">
      <w:pPr>
        <w:jc w:val="center"/>
        <w:rPr>
          <w:b/>
          <w:bCs/>
          <w:sz w:val="22"/>
          <w:szCs w:val="22"/>
        </w:rPr>
      </w:pPr>
    </w:p>
    <w:p w:rsidR="006979DD" w:rsidRPr="00C9363A" w:rsidRDefault="006979DD" w:rsidP="006979DD">
      <w:pPr>
        <w:jc w:val="center"/>
        <w:rPr>
          <w:b/>
          <w:bCs/>
          <w:sz w:val="22"/>
          <w:szCs w:val="22"/>
        </w:rPr>
      </w:pPr>
    </w:p>
    <w:p w:rsidR="009250A3" w:rsidRPr="006320B9" w:rsidRDefault="009250A3" w:rsidP="006320B9">
      <w:pPr>
        <w:rPr>
          <w:b/>
          <w:bCs/>
          <w:sz w:val="22"/>
          <w:szCs w:val="22"/>
          <w:lang w:val="en-US"/>
        </w:rPr>
      </w:pPr>
      <w:r w:rsidRPr="00C9363A">
        <w:rPr>
          <w:b/>
          <w:bCs/>
          <w:sz w:val="22"/>
          <w:szCs w:val="22"/>
        </w:rPr>
        <w:t xml:space="preserve">1.   </w:t>
      </w:r>
      <w:r w:rsidR="00E21AD8" w:rsidRPr="00055C43">
        <w:rPr>
          <w:b/>
          <w:bCs/>
          <w:sz w:val="22"/>
          <w:szCs w:val="22"/>
        </w:rPr>
        <w:tab/>
      </w:r>
      <w:r w:rsidRPr="00C9363A">
        <w:rPr>
          <w:b/>
          <w:bCs/>
          <w:sz w:val="22"/>
          <w:szCs w:val="22"/>
        </w:rPr>
        <w:t>ΟΝΟΜΑΣΙΑ ΤΟΥ ΦΑΡΜΑΚΕΥΤΙΚΟΥ ΠΡΟΪΟΝΤΟΣ</w:t>
      </w:r>
    </w:p>
    <w:p w:rsidR="009250A3" w:rsidRPr="006320B9" w:rsidRDefault="009250A3" w:rsidP="006979DD">
      <w:pPr>
        <w:rPr>
          <w:sz w:val="22"/>
          <w:szCs w:val="22"/>
          <w:lang w:val="en-US"/>
        </w:rPr>
      </w:pPr>
      <w:proofErr w:type="gramStart"/>
      <w:r w:rsidRPr="004C2CD3">
        <w:rPr>
          <w:sz w:val="22"/>
          <w:szCs w:val="22"/>
          <w:lang w:val="en-US"/>
        </w:rPr>
        <w:t>XENETIX</w:t>
      </w:r>
      <w:r w:rsidRPr="006320B9">
        <w:rPr>
          <w:sz w:val="22"/>
          <w:szCs w:val="22"/>
          <w:vertAlign w:val="superscript"/>
          <w:lang w:val="en-US"/>
        </w:rPr>
        <w:t xml:space="preserve"> </w:t>
      </w:r>
      <w:r w:rsidRPr="006320B9">
        <w:rPr>
          <w:sz w:val="22"/>
          <w:szCs w:val="22"/>
          <w:lang w:val="en-US"/>
        </w:rPr>
        <w:t xml:space="preserve"> 300</w:t>
      </w:r>
      <w:proofErr w:type="gramEnd"/>
      <w:r w:rsidRPr="006320B9">
        <w:rPr>
          <w:sz w:val="22"/>
          <w:szCs w:val="22"/>
          <w:lang w:val="en-US"/>
        </w:rPr>
        <w:t xml:space="preserve"> (300 </w:t>
      </w:r>
      <w:r w:rsidRPr="004C2CD3">
        <w:rPr>
          <w:sz w:val="22"/>
          <w:szCs w:val="22"/>
          <w:lang w:val="en-US"/>
        </w:rPr>
        <w:t>mg</w:t>
      </w:r>
      <w:r w:rsidRPr="006320B9">
        <w:rPr>
          <w:sz w:val="22"/>
          <w:szCs w:val="22"/>
          <w:lang w:val="en-US"/>
        </w:rPr>
        <w:t xml:space="preserve"> </w:t>
      </w:r>
      <w:r w:rsidRPr="00B25D25">
        <w:rPr>
          <w:sz w:val="22"/>
          <w:szCs w:val="22"/>
          <w:lang w:val="en-US"/>
        </w:rPr>
        <w:t>I</w:t>
      </w:r>
      <w:r w:rsidRPr="006320B9">
        <w:rPr>
          <w:sz w:val="22"/>
          <w:szCs w:val="22"/>
          <w:lang w:val="en-US"/>
        </w:rPr>
        <w:t>/</w:t>
      </w:r>
      <w:r w:rsidRPr="007701A8">
        <w:rPr>
          <w:sz w:val="22"/>
          <w:szCs w:val="22"/>
          <w:lang w:val="en-US"/>
        </w:rPr>
        <w:t>ml</w:t>
      </w:r>
      <w:r w:rsidRPr="006320B9">
        <w:rPr>
          <w:sz w:val="22"/>
          <w:szCs w:val="22"/>
          <w:lang w:val="en-US"/>
        </w:rPr>
        <w:t>)</w:t>
      </w:r>
      <w:r w:rsidR="006979DD" w:rsidRPr="006320B9">
        <w:rPr>
          <w:sz w:val="22"/>
          <w:szCs w:val="22"/>
          <w:lang w:val="en-US"/>
        </w:rPr>
        <w:t xml:space="preserve">, </w:t>
      </w:r>
      <w:r w:rsidRPr="00F2281C">
        <w:rPr>
          <w:sz w:val="22"/>
          <w:szCs w:val="22"/>
        </w:rPr>
        <w:t>Ενέσιμο</w:t>
      </w:r>
      <w:r w:rsidRPr="006320B9">
        <w:rPr>
          <w:sz w:val="22"/>
          <w:szCs w:val="22"/>
          <w:lang w:val="en-US"/>
        </w:rPr>
        <w:t xml:space="preserve"> </w:t>
      </w:r>
      <w:r w:rsidRPr="00F2281C">
        <w:rPr>
          <w:sz w:val="22"/>
          <w:szCs w:val="22"/>
        </w:rPr>
        <w:t>διάλυμα</w:t>
      </w:r>
    </w:p>
    <w:p w:rsidR="009250A3" w:rsidRPr="006320B9" w:rsidRDefault="009250A3" w:rsidP="006979DD">
      <w:pPr>
        <w:rPr>
          <w:sz w:val="22"/>
          <w:szCs w:val="22"/>
          <w:lang w:val="en-US"/>
        </w:rPr>
      </w:pPr>
    </w:p>
    <w:p w:rsidR="00E21AD8" w:rsidRPr="006320B9" w:rsidRDefault="00E21AD8" w:rsidP="006979DD">
      <w:pPr>
        <w:rPr>
          <w:sz w:val="22"/>
          <w:szCs w:val="22"/>
          <w:lang w:val="en-US"/>
        </w:rPr>
      </w:pPr>
    </w:p>
    <w:p w:rsidR="009250A3" w:rsidRPr="006320B9" w:rsidRDefault="009250A3" w:rsidP="006320B9">
      <w:pPr>
        <w:pStyle w:val="1"/>
        <w:rPr>
          <w:rFonts w:ascii="Times New Roman" w:hAnsi="Times New Roman" w:cs="Times New Roman"/>
          <w:sz w:val="22"/>
          <w:szCs w:val="22"/>
          <w:lang w:val="en-US"/>
        </w:rPr>
      </w:pPr>
      <w:r w:rsidRPr="00055C43">
        <w:rPr>
          <w:rFonts w:ascii="Times New Roman" w:hAnsi="Times New Roman" w:cs="Times New Roman"/>
          <w:sz w:val="22"/>
          <w:szCs w:val="22"/>
        </w:rPr>
        <w:t xml:space="preserve">2.   </w:t>
      </w:r>
      <w:r w:rsidR="00E21AD8" w:rsidRPr="00055C43">
        <w:rPr>
          <w:rFonts w:ascii="Times New Roman" w:hAnsi="Times New Roman" w:cs="Times New Roman"/>
          <w:sz w:val="22"/>
          <w:szCs w:val="22"/>
        </w:rPr>
        <w:tab/>
      </w:r>
      <w:r w:rsidRPr="00C9363A">
        <w:rPr>
          <w:rFonts w:ascii="Times New Roman" w:hAnsi="Times New Roman" w:cs="Times New Roman"/>
          <w:sz w:val="22"/>
          <w:szCs w:val="22"/>
        </w:rPr>
        <w:t>ΠΟΙΟΤΙΚΗ ΚΑΙ ΠΟΣΟΤΙΚΗ ΣΥΝΘΕΣΗ</w:t>
      </w:r>
    </w:p>
    <w:p w:rsidR="009250A3" w:rsidRPr="00055C43" w:rsidRDefault="009250A3" w:rsidP="006979DD">
      <w:pPr>
        <w:rPr>
          <w:sz w:val="22"/>
          <w:szCs w:val="22"/>
        </w:rPr>
      </w:pPr>
      <w:r w:rsidRPr="004C2CD3">
        <w:rPr>
          <w:sz w:val="22"/>
          <w:szCs w:val="22"/>
        </w:rPr>
        <w:t xml:space="preserve">Κάθε </w:t>
      </w:r>
      <w:r w:rsidRPr="004C2CD3">
        <w:rPr>
          <w:sz w:val="22"/>
          <w:szCs w:val="22"/>
          <w:lang w:val="fr-FR"/>
        </w:rPr>
        <w:t>ml</w:t>
      </w:r>
      <w:r w:rsidRPr="004C2CD3">
        <w:rPr>
          <w:sz w:val="22"/>
          <w:szCs w:val="22"/>
        </w:rPr>
        <w:t xml:space="preserve"> διαλύματος περιέχει 658,1</w:t>
      </w:r>
      <w:r w:rsidR="006979DD" w:rsidRPr="004C2CD3">
        <w:rPr>
          <w:sz w:val="22"/>
          <w:szCs w:val="22"/>
        </w:rPr>
        <w:t xml:space="preserve"> </w:t>
      </w:r>
      <w:r w:rsidRPr="0096489F">
        <w:rPr>
          <w:sz w:val="22"/>
          <w:szCs w:val="22"/>
          <w:lang w:val="fr-FR"/>
        </w:rPr>
        <w:t>mg</w:t>
      </w:r>
      <w:r w:rsidRPr="00B25D25">
        <w:rPr>
          <w:sz w:val="22"/>
          <w:szCs w:val="22"/>
        </w:rPr>
        <w:t xml:space="preserve"> </w:t>
      </w:r>
      <w:r w:rsidR="006979DD" w:rsidRPr="003165BA">
        <w:rPr>
          <w:sz w:val="22"/>
          <w:szCs w:val="22"/>
        </w:rPr>
        <w:t>ιοβιτριδόλης</w:t>
      </w:r>
      <w:r w:rsidRPr="007701A8">
        <w:rPr>
          <w:sz w:val="22"/>
          <w:szCs w:val="22"/>
        </w:rPr>
        <w:t>, που αντιστοιχ</w:t>
      </w:r>
      <w:r w:rsidR="004036B8" w:rsidRPr="00F2281C">
        <w:rPr>
          <w:sz w:val="22"/>
          <w:szCs w:val="22"/>
        </w:rPr>
        <w:t>ούν</w:t>
      </w:r>
      <w:r w:rsidRPr="00F2281C">
        <w:rPr>
          <w:sz w:val="22"/>
          <w:szCs w:val="22"/>
        </w:rPr>
        <w:t xml:space="preserve"> σε 300</w:t>
      </w:r>
      <w:r w:rsidR="006979DD" w:rsidRPr="00F2281C">
        <w:rPr>
          <w:sz w:val="22"/>
          <w:szCs w:val="22"/>
        </w:rPr>
        <w:t xml:space="preserve"> </w:t>
      </w:r>
      <w:r w:rsidRPr="00BC6D25">
        <w:rPr>
          <w:sz w:val="22"/>
          <w:szCs w:val="22"/>
          <w:lang w:val="fr-FR"/>
        </w:rPr>
        <w:t>mg</w:t>
      </w:r>
      <w:r w:rsidRPr="0068100B">
        <w:rPr>
          <w:sz w:val="22"/>
          <w:szCs w:val="22"/>
        </w:rPr>
        <w:t xml:space="preserve"> </w:t>
      </w:r>
      <w:r w:rsidR="00895EF1" w:rsidRPr="00055C43">
        <w:rPr>
          <w:sz w:val="22"/>
          <w:szCs w:val="22"/>
        </w:rPr>
        <w:t>ι</w:t>
      </w:r>
      <w:r w:rsidRPr="00055C43">
        <w:rPr>
          <w:sz w:val="22"/>
          <w:szCs w:val="22"/>
        </w:rPr>
        <w:t>ωδίου</w:t>
      </w:r>
    </w:p>
    <w:p w:rsidR="009250A3" w:rsidRPr="00055C43" w:rsidRDefault="009250A3" w:rsidP="006979DD">
      <w:pPr>
        <w:rPr>
          <w:sz w:val="22"/>
          <w:szCs w:val="22"/>
        </w:rPr>
      </w:pPr>
    </w:p>
    <w:tbl>
      <w:tblPr>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68"/>
        <w:gridCol w:w="863"/>
        <w:gridCol w:w="878"/>
        <w:gridCol w:w="870"/>
        <w:gridCol w:w="870"/>
        <w:gridCol w:w="870"/>
        <w:gridCol w:w="991"/>
        <w:gridCol w:w="810"/>
      </w:tblGrid>
      <w:tr w:rsidR="009250A3" w:rsidRPr="00055C43" w:rsidTr="00895EF1">
        <w:tblPrEx>
          <w:tblCellMar>
            <w:top w:w="0" w:type="dxa"/>
            <w:bottom w:w="0" w:type="dxa"/>
          </w:tblCellMar>
        </w:tblPrEx>
        <w:tc>
          <w:tcPr>
            <w:tcW w:w="2468" w:type="dxa"/>
          </w:tcPr>
          <w:p w:rsidR="009250A3" w:rsidRPr="00055C43" w:rsidRDefault="009250A3" w:rsidP="006979DD">
            <w:pPr>
              <w:rPr>
                <w:b/>
                <w:bCs/>
                <w:sz w:val="22"/>
                <w:szCs w:val="22"/>
                <w:lang w:val="en-US"/>
              </w:rPr>
            </w:pPr>
            <w:r w:rsidRPr="00055C43">
              <w:rPr>
                <w:b/>
                <w:bCs/>
                <w:sz w:val="22"/>
                <w:szCs w:val="22"/>
              </w:rPr>
              <w:t>Μέγεθος φιάλης</w:t>
            </w:r>
          </w:p>
        </w:tc>
        <w:tc>
          <w:tcPr>
            <w:tcW w:w="863" w:type="dxa"/>
          </w:tcPr>
          <w:p w:rsidR="009250A3" w:rsidRPr="00055C43" w:rsidRDefault="009250A3" w:rsidP="006979DD">
            <w:pPr>
              <w:jc w:val="center"/>
              <w:rPr>
                <w:b/>
                <w:bCs/>
                <w:sz w:val="22"/>
                <w:szCs w:val="22"/>
                <w:lang w:val="en-US"/>
              </w:rPr>
            </w:pPr>
            <w:r w:rsidRPr="00055C43">
              <w:rPr>
                <w:b/>
                <w:bCs/>
                <w:sz w:val="22"/>
                <w:szCs w:val="22"/>
                <w:lang w:val="en-US"/>
              </w:rPr>
              <w:t>20 ml</w:t>
            </w:r>
          </w:p>
        </w:tc>
        <w:tc>
          <w:tcPr>
            <w:tcW w:w="878" w:type="dxa"/>
          </w:tcPr>
          <w:p w:rsidR="009250A3" w:rsidRPr="00055C43" w:rsidRDefault="009250A3" w:rsidP="006979DD">
            <w:pPr>
              <w:jc w:val="center"/>
              <w:rPr>
                <w:b/>
                <w:bCs/>
                <w:sz w:val="22"/>
                <w:szCs w:val="22"/>
                <w:lang w:val="en-US"/>
              </w:rPr>
            </w:pPr>
            <w:r w:rsidRPr="00055C43">
              <w:rPr>
                <w:b/>
                <w:bCs/>
                <w:sz w:val="22"/>
                <w:szCs w:val="22"/>
                <w:lang w:val="en-US"/>
              </w:rPr>
              <w:t>50 ml</w:t>
            </w:r>
          </w:p>
        </w:tc>
        <w:tc>
          <w:tcPr>
            <w:tcW w:w="870" w:type="dxa"/>
          </w:tcPr>
          <w:p w:rsidR="009250A3" w:rsidRPr="00055C43" w:rsidRDefault="009250A3" w:rsidP="006979DD">
            <w:pPr>
              <w:jc w:val="center"/>
              <w:rPr>
                <w:b/>
                <w:bCs/>
                <w:sz w:val="22"/>
                <w:szCs w:val="22"/>
                <w:lang w:val="en-US"/>
              </w:rPr>
            </w:pPr>
            <w:r w:rsidRPr="00055C43">
              <w:rPr>
                <w:b/>
                <w:bCs/>
                <w:sz w:val="22"/>
                <w:szCs w:val="22"/>
                <w:lang w:val="en-US"/>
              </w:rPr>
              <w:t>60 ml</w:t>
            </w:r>
          </w:p>
        </w:tc>
        <w:tc>
          <w:tcPr>
            <w:tcW w:w="870" w:type="dxa"/>
          </w:tcPr>
          <w:p w:rsidR="009250A3" w:rsidRPr="00055C43" w:rsidRDefault="009250A3" w:rsidP="006979DD">
            <w:pPr>
              <w:jc w:val="center"/>
              <w:rPr>
                <w:b/>
                <w:bCs/>
                <w:sz w:val="22"/>
                <w:szCs w:val="22"/>
                <w:lang w:val="en-US"/>
              </w:rPr>
            </w:pPr>
            <w:r w:rsidRPr="00055C43">
              <w:rPr>
                <w:b/>
                <w:bCs/>
                <w:sz w:val="22"/>
                <w:szCs w:val="22"/>
                <w:lang w:val="en-US"/>
              </w:rPr>
              <w:t>100 ml</w:t>
            </w:r>
          </w:p>
        </w:tc>
        <w:tc>
          <w:tcPr>
            <w:tcW w:w="870" w:type="dxa"/>
          </w:tcPr>
          <w:p w:rsidR="009250A3" w:rsidRPr="00055C43" w:rsidRDefault="009250A3" w:rsidP="006979DD">
            <w:pPr>
              <w:jc w:val="center"/>
              <w:rPr>
                <w:b/>
                <w:bCs/>
                <w:sz w:val="22"/>
                <w:szCs w:val="22"/>
                <w:lang w:val="en-US"/>
              </w:rPr>
            </w:pPr>
            <w:r w:rsidRPr="00055C43">
              <w:rPr>
                <w:b/>
                <w:bCs/>
                <w:sz w:val="22"/>
                <w:szCs w:val="22"/>
                <w:lang w:val="en-US"/>
              </w:rPr>
              <w:t>150 ml</w:t>
            </w:r>
          </w:p>
        </w:tc>
        <w:tc>
          <w:tcPr>
            <w:tcW w:w="991" w:type="dxa"/>
          </w:tcPr>
          <w:p w:rsidR="009250A3" w:rsidRPr="00055C43" w:rsidRDefault="009250A3" w:rsidP="006979DD">
            <w:pPr>
              <w:jc w:val="center"/>
              <w:rPr>
                <w:b/>
                <w:bCs/>
                <w:sz w:val="22"/>
                <w:szCs w:val="22"/>
                <w:lang w:val="en-US"/>
              </w:rPr>
            </w:pPr>
            <w:r w:rsidRPr="00055C43">
              <w:rPr>
                <w:b/>
                <w:bCs/>
                <w:sz w:val="22"/>
                <w:szCs w:val="22"/>
                <w:lang w:val="en-US"/>
              </w:rPr>
              <w:t>200 ml</w:t>
            </w:r>
          </w:p>
        </w:tc>
        <w:tc>
          <w:tcPr>
            <w:tcW w:w="810" w:type="dxa"/>
          </w:tcPr>
          <w:p w:rsidR="009250A3" w:rsidRPr="00055C43" w:rsidRDefault="009250A3" w:rsidP="006979DD">
            <w:pPr>
              <w:jc w:val="center"/>
              <w:rPr>
                <w:b/>
                <w:bCs/>
                <w:sz w:val="22"/>
                <w:szCs w:val="22"/>
                <w:lang w:val="en-US"/>
              </w:rPr>
            </w:pPr>
            <w:r w:rsidRPr="00055C43">
              <w:rPr>
                <w:b/>
                <w:bCs/>
                <w:sz w:val="22"/>
                <w:szCs w:val="22"/>
                <w:lang w:val="en-US"/>
              </w:rPr>
              <w:t>500 ml</w:t>
            </w:r>
          </w:p>
        </w:tc>
      </w:tr>
      <w:tr w:rsidR="009250A3" w:rsidRPr="00055C43" w:rsidTr="00895EF1">
        <w:tblPrEx>
          <w:tblCellMar>
            <w:top w:w="0" w:type="dxa"/>
            <w:bottom w:w="0" w:type="dxa"/>
          </w:tblCellMar>
        </w:tblPrEx>
        <w:trPr>
          <w:trHeight w:val="770"/>
        </w:trPr>
        <w:tc>
          <w:tcPr>
            <w:tcW w:w="2468" w:type="dxa"/>
          </w:tcPr>
          <w:p w:rsidR="009250A3" w:rsidRPr="00055C43" w:rsidRDefault="009250A3" w:rsidP="006979DD">
            <w:pPr>
              <w:rPr>
                <w:bCs/>
                <w:sz w:val="22"/>
                <w:szCs w:val="22"/>
                <w:u w:val="single"/>
              </w:rPr>
            </w:pPr>
            <w:r w:rsidRPr="00055C43">
              <w:rPr>
                <w:bCs/>
                <w:sz w:val="22"/>
                <w:szCs w:val="22"/>
                <w:u w:val="single"/>
              </w:rPr>
              <w:t>Δραστικό συστατικό :</w:t>
            </w:r>
          </w:p>
          <w:p w:rsidR="009250A3" w:rsidRPr="00055C43" w:rsidRDefault="009250A3" w:rsidP="006979DD">
            <w:pPr>
              <w:rPr>
                <w:sz w:val="22"/>
                <w:szCs w:val="22"/>
              </w:rPr>
            </w:pPr>
          </w:p>
          <w:p w:rsidR="009250A3" w:rsidRPr="00055C43" w:rsidRDefault="006979DD" w:rsidP="006979DD">
            <w:pPr>
              <w:rPr>
                <w:sz w:val="22"/>
                <w:szCs w:val="22"/>
              </w:rPr>
            </w:pPr>
            <w:r w:rsidRPr="00055C43">
              <w:rPr>
                <w:sz w:val="22"/>
                <w:szCs w:val="22"/>
                <w:lang w:val="en-US"/>
              </w:rPr>
              <w:t>I</w:t>
            </w:r>
            <w:r w:rsidRPr="00055C43">
              <w:rPr>
                <w:sz w:val="22"/>
                <w:szCs w:val="22"/>
              </w:rPr>
              <w:t>οβιτριδόλη</w:t>
            </w:r>
            <w:r w:rsidR="009250A3" w:rsidRPr="00055C43">
              <w:rPr>
                <w:sz w:val="22"/>
                <w:szCs w:val="22"/>
              </w:rPr>
              <w:t xml:space="preserve"> (</w:t>
            </w:r>
            <w:r w:rsidR="009250A3" w:rsidRPr="00055C43">
              <w:rPr>
                <w:sz w:val="22"/>
                <w:szCs w:val="22"/>
                <w:lang w:val="en-US"/>
              </w:rPr>
              <w:t>INN</w:t>
            </w:r>
            <w:r w:rsidR="009250A3" w:rsidRPr="00055C43">
              <w:rPr>
                <w:sz w:val="22"/>
                <w:szCs w:val="22"/>
              </w:rPr>
              <w:t>)</w:t>
            </w:r>
          </w:p>
          <w:p w:rsidR="006979DD" w:rsidRPr="00055C43" w:rsidRDefault="006979DD" w:rsidP="006979DD">
            <w:pPr>
              <w:jc w:val="both"/>
              <w:rPr>
                <w:sz w:val="22"/>
                <w:szCs w:val="22"/>
              </w:rPr>
            </w:pPr>
            <w:r w:rsidRPr="00055C43">
              <w:rPr>
                <w:sz w:val="22"/>
                <w:szCs w:val="22"/>
              </w:rPr>
              <w:t>αντιστοιχ</w:t>
            </w:r>
            <w:r w:rsidR="007D4370" w:rsidRPr="00055C43">
              <w:rPr>
                <w:sz w:val="22"/>
                <w:szCs w:val="22"/>
              </w:rPr>
              <w:t>ούν</w:t>
            </w:r>
            <w:r w:rsidRPr="00055C43">
              <w:rPr>
                <w:sz w:val="22"/>
                <w:szCs w:val="22"/>
              </w:rPr>
              <w:t xml:space="preserve"> σε ιώδιο</w:t>
            </w:r>
          </w:p>
          <w:p w:rsidR="009250A3" w:rsidRPr="00055C43" w:rsidRDefault="009250A3" w:rsidP="006979DD">
            <w:pPr>
              <w:rPr>
                <w:sz w:val="22"/>
                <w:szCs w:val="22"/>
              </w:rPr>
            </w:pPr>
          </w:p>
        </w:tc>
        <w:tc>
          <w:tcPr>
            <w:tcW w:w="863" w:type="dxa"/>
          </w:tcPr>
          <w:p w:rsidR="009250A3" w:rsidRPr="00055C43" w:rsidRDefault="009250A3" w:rsidP="006979DD">
            <w:pPr>
              <w:jc w:val="center"/>
              <w:rPr>
                <w:sz w:val="22"/>
                <w:szCs w:val="22"/>
              </w:rPr>
            </w:pPr>
          </w:p>
          <w:p w:rsidR="009250A3" w:rsidRPr="00055C43" w:rsidRDefault="009250A3" w:rsidP="006979DD">
            <w:pPr>
              <w:jc w:val="center"/>
              <w:rPr>
                <w:sz w:val="22"/>
                <w:szCs w:val="22"/>
              </w:rPr>
            </w:pPr>
          </w:p>
          <w:p w:rsidR="009250A3" w:rsidRPr="00055C43" w:rsidRDefault="009250A3" w:rsidP="006979DD">
            <w:pPr>
              <w:jc w:val="center"/>
              <w:rPr>
                <w:sz w:val="22"/>
                <w:szCs w:val="22"/>
                <w:lang w:val="en-US"/>
              </w:rPr>
            </w:pPr>
            <w:r w:rsidRPr="00055C43">
              <w:rPr>
                <w:sz w:val="22"/>
                <w:szCs w:val="22"/>
                <w:lang w:val="en-US"/>
              </w:rPr>
              <w:t>13</w:t>
            </w:r>
            <w:r w:rsidR="006979DD" w:rsidRPr="00055C43">
              <w:rPr>
                <w:sz w:val="22"/>
                <w:szCs w:val="22"/>
              </w:rPr>
              <w:t>,</w:t>
            </w:r>
            <w:r w:rsidRPr="00055C43">
              <w:rPr>
                <w:sz w:val="22"/>
                <w:szCs w:val="22"/>
                <w:lang w:val="en-US"/>
              </w:rPr>
              <w:t>16 g</w:t>
            </w:r>
          </w:p>
          <w:p w:rsidR="009250A3" w:rsidRPr="00055C43" w:rsidRDefault="009250A3" w:rsidP="006979DD">
            <w:pPr>
              <w:jc w:val="center"/>
              <w:rPr>
                <w:sz w:val="22"/>
                <w:szCs w:val="22"/>
                <w:lang w:val="en-US"/>
              </w:rPr>
            </w:pPr>
            <w:r w:rsidRPr="00055C43">
              <w:rPr>
                <w:sz w:val="22"/>
                <w:szCs w:val="22"/>
                <w:lang w:val="en-US"/>
              </w:rPr>
              <w:t>6 g</w:t>
            </w:r>
          </w:p>
        </w:tc>
        <w:tc>
          <w:tcPr>
            <w:tcW w:w="878" w:type="dxa"/>
          </w:tcPr>
          <w:p w:rsidR="009250A3" w:rsidRPr="00055C43" w:rsidRDefault="009250A3" w:rsidP="006979DD">
            <w:pPr>
              <w:jc w:val="center"/>
              <w:rPr>
                <w:sz w:val="22"/>
                <w:szCs w:val="22"/>
                <w:lang w:val="en-US"/>
              </w:rPr>
            </w:pPr>
          </w:p>
          <w:p w:rsidR="009250A3" w:rsidRPr="00055C43" w:rsidRDefault="009250A3" w:rsidP="006979DD">
            <w:pPr>
              <w:jc w:val="center"/>
              <w:rPr>
                <w:sz w:val="22"/>
                <w:szCs w:val="22"/>
                <w:lang w:val="en-US"/>
              </w:rPr>
            </w:pPr>
          </w:p>
          <w:p w:rsidR="009250A3" w:rsidRPr="00055C43" w:rsidRDefault="009250A3" w:rsidP="006979DD">
            <w:pPr>
              <w:jc w:val="center"/>
              <w:rPr>
                <w:sz w:val="22"/>
                <w:szCs w:val="22"/>
                <w:lang w:val="en-US"/>
              </w:rPr>
            </w:pPr>
            <w:r w:rsidRPr="00055C43">
              <w:rPr>
                <w:sz w:val="22"/>
                <w:szCs w:val="22"/>
                <w:lang w:val="en-US"/>
              </w:rPr>
              <w:t>32</w:t>
            </w:r>
            <w:r w:rsidR="006979DD" w:rsidRPr="00055C43">
              <w:rPr>
                <w:sz w:val="22"/>
                <w:szCs w:val="22"/>
              </w:rPr>
              <w:t>,</w:t>
            </w:r>
            <w:r w:rsidRPr="00055C43">
              <w:rPr>
                <w:sz w:val="22"/>
                <w:szCs w:val="22"/>
                <w:lang w:val="en-US"/>
              </w:rPr>
              <w:t>90 g</w:t>
            </w:r>
          </w:p>
          <w:p w:rsidR="009250A3" w:rsidRPr="00055C43" w:rsidRDefault="009250A3" w:rsidP="006979DD">
            <w:pPr>
              <w:jc w:val="center"/>
              <w:rPr>
                <w:sz w:val="22"/>
                <w:szCs w:val="22"/>
                <w:lang w:val="en-US"/>
              </w:rPr>
            </w:pPr>
            <w:r w:rsidRPr="00055C43">
              <w:rPr>
                <w:sz w:val="22"/>
                <w:szCs w:val="22"/>
                <w:lang w:val="en-US"/>
              </w:rPr>
              <w:t>15 g</w:t>
            </w:r>
          </w:p>
        </w:tc>
        <w:tc>
          <w:tcPr>
            <w:tcW w:w="870" w:type="dxa"/>
          </w:tcPr>
          <w:p w:rsidR="009250A3" w:rsidRPr="00055C43" w:rsidRDefault="009250A3" w:rsidP="006979DD">
            <w:pPr>
              <w:jc w:val="center"/>
              <w:rPr>
                <w:sz w:val="22"/>
                <w:szCs w:val="22"/>
                <w:lang w:val="en-US"/>
              </w:rPr>
            </w:pPr>
          </w:p>
          <w:p w:rsidR="009250A3" w:rsidRPr="00055C43" w:rsidRDefault="009250A3" w:rsidP="006979DD">
            <w:pPr>
              <w:jc w:val="center"/>
              <w:rPr>
                <w:sz w:val="22"/>
                <w:szCs w:val="22"/>
                <w:lang w:val="en-US"/>
              </w:rPr>
            </w:pPr>
          </w:p>
          <w:p w:rsidR="009250A3" w:rsidRPr="00055C43" w:rsidRDefault="009250A3" w:rsidP="006979DD">
            <w:pPr>
              <w:jc w:val="center"/>
              <w:rPr>
                <w:sz w:val="22"/>
                <w:szCs w:val="22"/>
                <w:lang w:val="en-US"/>
              </w:rPr>
            </w:pPr>
            <w:r w:rsidRPr="00055C43">
              <w:rPr>
                <w:sz w:val="22"/>
                <w:szCs w:val="22"/>
                <w:lang w:val="en-US"/>
              </w:rPr>
              <w:t>39</w:t>
            </w:r>
            <w:r w:rsidR="006979DD" w:rsidRPr="00055C43">
              <w:rPr>
                <w:sz w:val="22"/>
                <w:szCs w:val="22"/>
              </w:rPr>
              <w:t>,</w:t>
            </w:r>
            <w:r w:rsidRPr="00055C43">
              <w:rPr>
                <w:sz w:val="22"/>
                <w:szCs w:val="22"/>
                <w:lang w:val="en-US"/>
              </w:rPr>
              <w:t>49 g</w:t>
            </w:r>
          </w:p>
          <w:p w:rsidR="009250A3" w:rsidRPr="00055C43" w:rsidRDefault="009250A3" w:rsidP="006979DD">
            <w:pPr>
              <w:jc w:val="center"/>
              <w:rPr>
                <w:sz w:val="22"/>
                <w:szCs w:val="22"/>
                <w:lang w:val="en-US"/>
              </w:rPr>
            </w:pPr>
            <w:r w:rsidRPr="00055C43">
              <w:rPr>
                <w:sz w:val="22"/>
                <w:szCs w:val="22"/>
                <w:lang w:val="en-US"/>
              </w:rPr>
              <w:t>18 g</w:t>
            </w:r>
          </w:p>
        </w:tc>
        <w:tc>
          <w:tcPr>
            <w:tcW w:w="870" w:type="dxa"/>
          </w:tcPr>
          <w:p w:rsidR="009250A3" w:rsidRPr="00055C43" w:rsidRDefault="009250A3" w:rsidP="006979DD">
            <w:pPr>
              <w:jc w:val="center"/>
              <w:rPr>
                <w:sz w:val="22"/>
                <w:szCs w:val="22"/>
                <w:lang w:val="en-US"/>
              </w:rPr>
            </w:pPr>
          </w:p>
          <w:p w:rsidR="009250A3" w:rsidRPr="00055C43" w:rsidRDefault="009250A3" w:rsidP="006979DD">
            <w:pPr>
              <w:jc w:val="center"/>
              <w:rPr>
                <w:sz w:val="22"/>
                <w:szCs w:val="22"/>
                <w:lang w:val="en-US"/>
              </w:rPr>
            </w:pPr>
          </w:p>
          <w:p w:rsidR="009250A3" w:rsidRPr="00055C43" w:rsidRDefault="009250A3" w:rsidP="006979DD">
            <w:pPr>
              <w:jc w:val="center"/>
              <w:rPr>
                <w:sz w:val="22"/>
                <w:szCs w:val="22"/>
                <w:lang w:val="en-US"/>
              </w:rPr>
            </w:pPr>
            <w:r w:rsidRPr="00055C43">
              <w:rPr>
                <w:sz w:val="22"/>
                <w:szCs w:val="22"/>
                <w:lang w:val="en-US"/>
              </w:rPr>
              <w:t>65</w:t>
            </w:r>
            <w:r w:rsidR="006979DD" w:rsidRPr="00055C43">
              <w:rPr>
                <w:sz w:val="22"/>
                <w:szCs w:val="22"/>
              </w:rPr>
              <w:t>,</w:t>
            </w:r>
            <w:r w:rsidRPr="00055C43">
              <w:rPr>
                <w:sz w:val="22"/>
                <w:szCs w:val="22"/>
                <w:lang w:val="en-US"/>
              </w:rPr>
              <w:t>81 g</w:t>
            </w:r>
          </w:p>
          <w:p w:rsidR="009250A3" w:rsidRPr="00055C43" w:rsidRDefault="009250A3" w:rsidP="006979DD">
            <w:pPr>
              <w:jc w:val="center"/>
              <w:rPr>
                <w:sz w:val="22"/>
                <w:szCs w:val="22"/>
                <w:lang w:val="en-US"/>
              </w:rPr>
            </w:pPr>
            <w:r w:rsidRPr="00055C43">
              <w:rPr>
                <w:sz w:val="22"/>
                <w:szCs w:val="22"/>
                <w:lang w:val="en-US"/>
              </w:rPr>
              <w:t>30 g</w:t>
            </w:r>
          </w:p>
        </w:tc>
        <w:tc>
          <w:tcPr>
            <w:tcW w:w="870" w:type="dxa"/>
          </w:tcPr>
          <w:p w:rsidR="009250A3" w:rsidRPr="00055C43" w:rsidRDefault="009250A3" w:rsidP="006979DD">
            <w:pPr>
              <w:jc w:val="center"/>
              <w:rPr>
                <w:sz w:val="22"/>
                <w:szCs w:val="22"/>
                <w:lang w:val="en-US"/>
              </w:rPr>
            </w:pPr>
          </w:p>
          <w:p w:rsidR="009250A3" w:rsidRPr="00055C43" w:rsidRDefault="009250A3" w:rsidP="006979DD">
            <w:pPr>
              <w:jc w:val="center"/>
              <w:rPr>
                <w:sz w:val="22"/>
                <w:szCs w:val="22"/>
                <w:lang w:val="en-US"/>
              </w:rPr>
            </w:pPr>
          </w:p>
          <w:p w:rsidR="009250A3" w:rsidRPr="00055C43" w:rsidRDefault="009250A3" w:rsidP="006979DD">
            <w:pPr>
              <w:jc w:val="center"/>
              <w:rPr>
                <w:sz w:val="22"/>
                <w:szCs w:val="22"/>
                <w:lang w:val="en-US"/>
              </w:rPr>
            </w:pPr>
            <w:r w:rsidRPr="00055C43">
              <w:rPr>
                <w:sz w:val="22"/>
                <w:szCs w:val="22"/>
                <w:lang w:val="en-US"/>
              </w:rPr>
              <w:t>98</w:t>
            </w:r>
            <w:r w:rsidR="006979DD" w:rsidRPr="00055C43">
              <w:rPr>
                <w:sz w:val="22"/>
                <w:szCs w:val="22"/>
              </w:rPr>
              <w:t>,</w:t>
            </w:r>
            <w:r w:rsidRPr="00055C43">
              <w:rPr>
                <w:sz w:val="22"/>
                <w:szCs w:val="22"/>
                <w:lang w:val="en-US"/>
              </w:rPr>
              <w:t>71 g</w:t>
            </w:r>
          </w:p>
          <w:p w:rsidR="009250A3" w:rsidRPr="00055C43" w:rsidRDefault="009250A3" w:rsidP="006979DD">
            <w:pPr>
              <w:jc w:val="center"/>
              <w:rPr>
                <w:sz w:val="22"/>
                <w:szCs w:val="22"/>
                <w:lang w:val="en-US"/>
              </w:rPr>
            </w:pPr>
            <w:r w:rsidRPr="00055C43">
              <w:rPr>
                <w:sz w:val="22"/>
                <w:szCs w:val="22"/>
                <w:lang w:val="en-US"/>
              </w:rPr>
              <w:t>45 g</w:t>
            </w:r>
          </w:p>
        </w:tc>
        <w:tc>
          <w:tcPr>
            <w:tcW w:w="991" w:type="dxa"/>
          </w:tcPr>
          <w:p w:rsidR="009250A3" w:rsidRPr="00055C43" w:rsidRDefault="009250A3" w:rsidP="006979DD">
            <w:pPr>
              <w:jc w:val="center"/>
              <w:rPr>
                <w:sz w:val="22"/>
                <w:szCs w:val="22"/>
                <w:lang w:val="en-US"/>
              </w:rPr>
            </w:pPr>
          </w:p>
          <w:p w:rsidR="009250A3" w:rsidRPr="00055C43" w:rsidRDefault="009250A3" w:rsidP="006979DD">
            <w:pPr>
              <w:jc w:val="center"/>
              <w:rPr>
                <w:sz w:val="22"/>
                <w:szCs w:val="22"/>
                <w:lang w:val="en-US"/>
              </w:rPr>
            </w:pPr>
          </w:p>
          <w:p w:rsidR="009250A3" w:rsidRPr="00055C43" w:rsidRDefault="009250A3" w:rsidP="006979DD">
            <w:pPr>
              <w:jc w:val="center"/>
              <w:rPr>
                <w:sz w:val="22"/>
                <w:szCs w:val="22"/>
                <w:lang w:val="en-US"/>
              </w:rPr>
            </w:pPr>
            <w:r w:rsidRPr="00055C43">
              <w:rPr>
                <w:sz w:val="22"/>
                <w:szCs w:val="22"/>
                <w:lang w:val="en-US"/>
              </w:rPr>
              <w:t>131</w:t>
            </w:r>
            <w:r w:rsidR="006979DD" w:rsidRPr="00055C43">
              <w:rPr>
                <w:sz w:val="22"/>
                <w:szCs w:val="22"/>
              </w:rPr>
              <w:t>,</w:t>
            </w:r>
            <w:r w:rsidRPr="00055C43">
              <w:rPr>
                <w:sz w:val="22"/>
                <w:szCs w:val="22"/>
                <w:lang w:val="en-US"/>
              </w:rPr>
              <w:t>66</w:t>
            </w:r>
            <w:r w:rsidR="00895EF1" w:rsidRPr="00055C43">
              <w:rPr>
                <w:sz w:val="22"/>
                <w:szCs w:val="22"/>
              </w:rPr>
              <w:t xml:space="preserve"> </w:t>
            </w:r>
            <w:r w:rsidRPr="00055C43">
              <w:rPr>
                <w:sz w:val="22"/>
                <w:szCs w:val="22"/>
                <w:lang w:val="en-US"/>
              </w:rPr>
              <w:t>g</w:t>
            </w:r>
          </w:p>
          <w:p w:rsidR="009250A3" w:rsidRPr="00055C43" w:rsidRDefault="009250A3" w:rsidP="006979DD">
            <w:pPr>
              <w:jc w:val="center"/>
              <w:rPr>
                <w:sz w:val="22"/>
                <w:szCs w:val="22"/>
                <w:lang w:val="en-US"/>
              </w:rPr>
            </w:pPr>
            <w:r w:rsidRPr="00055C43">
              <w:rPr>
                <w:sz w:val="22"/>
                <w:szCs w:val="22"/>
                <w:lang w:val="en-US"/>
              </w:rPr>
              <w:t>50 g</w:t>
            </w:r>
          </w:p>
        </w:tc>
        <w:tc>
          <w:tcPr>
            <w:tcW w:w="810" w:type="dxa"/>
          </w:tcPr>
          <w:p w:rsidR="009250A3" w:rsidRPr="00055C43" w:rsidRDefault="009250A3" w:rsidP="006979DD">
            <w:pPr>
              <w:jc w:val="center"/>
              <w:rPr>
                <w:sz w:val="22"/>
                <w:szCs w:val="22"/>
                <w:lang w:val="en-US"/>
              </w:rPr>
            </w:pPr>
          </w:p>
          <w:p w:rsidR="009250A3" w:rsidRPr="00055C43" w:rsidRDefault="009250A3" w:rsidP="006979DD">
            <w:pPr>
              <w:jc w:val="center"/>
              <w:rPr>
                <w:sz w:val="22"/>
                <w:szCs w:val="22"/>
                <w:lang w:val="en-US"/>
              </w:rPr>
            </w:pPr>
          </w:p>
          <w:p w:rsidR="009250A3" w:rsidRPr="00055C43" w:rsidRDefault="009250A3" w:rsidP="006979DD">
            <w:pPr>
              <w:jc w:val="center"/>
              <w:rPr>
                <w:sz w:val="22"/>
                <w:szCs w:val="22"/>
                <w:lang w:val="en-US"/>
              </w:rPr>
            </w:pPr>
            <w:r w:rsidRPr="00055C43">
              <w:rPr>
                <w:sz w:val="22"/>
                <w:szCs w:val="22"/>
                <w:lang w:val="en-US"/>
              </w:rPr>
              <w:t>329 g</w:t>
            </w:r>
          </w:p>
          <w:p w:rsidR="009250A3" w:rsidRPr="00055C43" w:rsidRDefault="009250A3" w:rsidP="006979DD">
            <w:pPr>
              <w:jc w:val="center"/>
              <w:rPr>
                <w:sz w:val="22"/>
                <w:szCs w:val="22"/>
                <w:lang w:val="en-US"/>
              </w:rPr>
            </w:pPr>
            <w:r w:rsidRPr="00055C43">
              <w:rPr>
                <w:sz w:val="22"/>
                <w:szCs w:val="22"/>
                <w:lang w:val="en-US"/>
              </w:rPr>
              <w:t>150 g</w:t>
            </w:r>
          </w:p>
        </w:tc>
      </w:tr>
    </w:tbl>
    <w:p w:rsidR="009250A3" w:rsidRPr="00055C43" w:rsidRDefault="009250A3" w:rsidP="006979DD">
      <w:pPr>
        <w:rPr>
          <w:sz w:val="22"/>
          <w:szCs w:val="22"/>
          <w:lang w:val="fr-FR"/>
        </w:rPr>
      </w:pPr>
    </w:p>
    <w:p w:rsidR="009250A3" w:rsidRPr="00055C43" w:rsidRDefault="009250A3" w:rsidP="006979DD">
      <w:pPr>
        <w:rPr>
          <w:sz w:val="22"/>
          <w:szCs w:val="22"/>
          <w:lang w:val="fr-FR"/>
        </w:rPr>
      </w:pPr>
      <w:r w:rsidRPr="00055C43">
        <w:rPr>
          <w:sz w:val="22"/>
          <w:szCs w:val="22"/>
        </w:rPr>
        <w:t>Έκδοχο</w:t>
      </w:r>
      <w:r w:rsidRPr="00055C43">
        <w:rPr>
          <w:sz w:val="22"/>
          <w:szCs w:val="22"/>
          <w:lang w:val="fr-FR"/>
        </w:rPr>
        <w:t xml:space="preserve"> </w:t>
      </w:r>
      <w:r w:rsidRPr="00055C43">
        <w:rPr>
          <w:sz w:val="22"/>
          <w:szCs w:val="22"/>
        </w:rPr>
        <w:t>με</w:t>
      </w:r>
      <w:r w:rsidRPr="00055C43">
        <w:rPr>
          <w:sz w:val="22"/>
          <w:szCs w:val="22"/>
          <w:lang w:val="fr-FR"/>
        </w:rPr>
        <w:t xml:space="preserve"> </w:t>
      </w:r>
      <w:r w:rsidRPr="00055C43">
        <w:rPr>
          <w:sz w:val="22"/>
          <w:szCs w:val="22"/>
        </w:rPr>
        <w:t>γνωστή</w:t>
      </w:r>
      <w:r w:rsidRPr="00055C43">
        <w:rPr>
          <w:sz w:val="22"/>
          <w:szCs w:val="22"/>
          <w:lang w:val="fr-FR"/>
        </w:rPr>
        <w:t xml:space="preserve"> </w:t>
      </w:r>
      <w:r w:rsidRPr="00055C43">
        <w:rPr>
          <w:sz w:val="22"/>
          <w:szCs w:val="22"/>
        </w:rPr>
        <w:t>δράση</w:t>
      </w:r>
      <w:r w:rsidRPr="00055C43">
        <w:rPr>
          <w:sz w:val="22"/>
          <w:szCs w:val="22"/>
          <w:lang w:val="fr-FR"/>
        </w:rPr>
        <w:t xml:space="preserve">: </w:t>
      </w:r>
      <w:r w:rsidRPr="00055C43">
        <w:rPr>
          <w:sz w:val="22"/>
          <w:szCs w:val="22"/>
        </w:rPr>
        <w:t>Νάτριο</w:t>
      </w:r>
      <w:r w:rsidRPr="00055C43">
        <w:rPr>
          <w:sz w:val="22"/>
          <w:szCs w:val="22"/>
          <w:lang w:val="fr-FR"/>
        </w:rPr>
        <w:t xml:space="preserve"> (</w:t>
      </w:r>
      <w:r w:rsidRPr="00055C43">
        <w:rPr>
          <w:sz w:val="22"/>
          <w:szCs w:val="22"/>
        </w:rPr>
        <w:t>έως</w:t>
      </w:r>
      <w:r w:rsidRPr="00055C43">
        <w:rPr>
          <w:sz w:val="22"/>
          <w:szCs w:val="22"/>
          <w:lang w:val="fr-FR"/>
        </w:rPr>
        <w:t xml:space="preserve"> 3,5 mg </w:t>
      </w:r>
      <w:r w:rsidRPr="00055C43">
        <w:rPr>
          <w:sz w:val="22"/>
          <w:szCs w:val="22"/>
        </w:rPr>
        <w:t>ανά</w:t>
      </w:r>
      <w:r w:rsidRPr="00055C43">
        <w:rPr>
          <w:sz w:val="22"/>
          <w:szCs w:val="22"/>
          <w:lang w:val="fr-FR"/>
        </w:rPr>
        <w:t xml:space="preserve"> 100 m</w:t>
      </w:r>
      <w:r w:rsidR="006979DD" w:rsidRPr="00055C43">
        <w:rPr>
          <w:sz w:val="22"/>
          <w:szCs w:val="22"/>
          <w:lang w:val="en-US"/>
        </w:rPr>
        <w:t>L</w:t>
      </w:r>
      <w:r w:rsidRPr="00055C43">
        <w:rPr>
          <w:sz w:val="22"/>
          <w:szCs w:val="22"/>
          <w:lang w:val="fr-FR"/>
        </w:rPr>
        <w:t>)</w:t>
      </w:r>
    </w:p>
    <w:p w:rsidR="009250A3" w:rsidRPr="00055C43" w:rsidRDefault="009250A3" w:rsidP="006979DD">
      <w:pPr>
        <w:rPr>
          <w:sz w:val="22"/>
          <w:szCs w:val="22"/>
          <w:lang w:val="fr-FR"/>
        </w:rPr>
      </w:pPr>
      <w:r w:rsidRPr="00055C43">
        <w:rPr>
          <w:sz w:val="22"/>
          <w:szCs w:val="22"/>
        </w:rPr>
        <w:t>Για τον πλήρη κατάλογο των εκδόχων, βλ. παράγραφο 6.1.</w:t>
      </w:r>
    </w:p>
    <w:p w:rsidR="006979DD" w:rsidRPr="006320B9" w:rsidRDefault="006979DD" w:rsidP="006979DD">
      <w:pPr>
        <w:rPr>
          <w:sz w:val="22"/>
          <w:szCs w:val="22"/>
          <w:lang w:val="en-US"/>
        </w:rPr>
      </w:pPr>
    </w:p>
    <w:p w:rsidR="009250A3" w:rsidRPr="006320B9" w:rsidRDefault="009250A3" w:rsidP="006320B9">
      <w:pPr>
        <w:pStyle w:val="1"/>
        <w:tabs>
          <w:tab w:val="left" w:pos="360"/>
        </w:tabs>
        <w:rPr>
          <w:rFonts w:ascii="Times New Roman" w:hAnsi="Times New Roman" w:cs="Times New Roman"/>
          <w:sz w:val="22"/>
          <w:szCs w:val="22"/>
          <w:lang w:val="en-US"/>
        </w:rPr>
      </w:pPr>
      <w:r w:rsidRPr="00C9363A">
        <w:rPr>
          <w:rFonts w:ascii="Times New Roman" w:hAnsi="Times New Roman" w:cs="Times New Roman"/>
          <w:sz w:val="22"/>
          <w:szCs w:val="22"/>
        </w:rPr>
        <w:t>3</w:t>
      </w:r>
      <w:r w:rsidR="006979DD" w:rsidRPr="00C9363A">
        <w:rPr>
          <w:rFonts w:ascii="Times New Roman" w:hAnsi="Times New Roman" w:cs="Times New Roman"/>
          <w:sz w:val="22"/>
          <w:szCs w:val="22"/>
        </w:rPr>
        <w:t>.</w:t>
      </w:r>
      <w:r w:rsidRPr="00C9363A">
        <w:rPr>
          <w:rFonts w:ascii="Times New Roman" w:hAnsi="Times New Roman" w:cs="Times New Roman"/>
          <w:sz w:val="22"/>
          <w:szCs w:val="22"/>
          <w:lang w:val="fr-FR"/>
        </w:rPr>
        <w:t xml:space="preserve">    </w:t>
      </w:r>
      <w:r w:rsidR="00E21AD8" w:rsidRPr="004C2CD3">
        <w:rPr>
          <w:rFonts w:ascii="Times New Roman" w:hAnsi="Times New Roman" w:cs="Times New Roman"/>
          <w:sz w:val="22"/>
          <w:szCs w:val="22"/>
          <w:lang w:val="fr-FR"/>
        </w:rPr>
        <w:tab/>
      </w:r>
      <w:r w:rsidRPr="004C2CD3">
        <w:rPr>
          <w:rFonts w:ascii="Times New Roman" w:hAnsi="Times New Roman" w:cs="Times New Roman"/>
          <w:sz w:val="22"/>
          <w:szCs w:val="22"/>
        </w:rPr>
        <w:t>ΦΑΡΜΑΚΟΤΕΧΝΙΚΗ ΜΟΡΦΗ</w:t>
      </w:r>
    </w:p>
    <w:p w:rsidR="009250A3" w:rsidRPr="0096489F" w:rsidRDefault="009250A3" w:rsidP="006979DD">
      <w:pPr>
        <w:rPr>
          <w:sz w:val="22"/>
          <w:szCs w:val="22"/>
        </w:rPr>
      </w:pPr>
      <w:r w:rsidRPr="0096489F">
        <w:rPr>
          <w:sz w:val="22"/>
          <w:szCs w:val="22"/>
        </w:rPr>
        <w:t xml:space="preserve">Ενέσιμο διάλυμα </w:t>
      </w:r>
    </w:p>
    <w:p w:rsidR="009250A3" w:rsidRPr="00B25D25" w:rsidRDefault="009250A3" w:rsidP="006979DD">
      <w:pPr>
        <w:rPr>
          <w:sz w:val="22"/>
          <w:szCs w:val="22"/>
        </w:rPr>
      </w:pPr>
    </w:p>
    <w:p w:rsidR="006979DD" w:rsidRPr="006320B9" w:rsidRDefault="009250A3" w:rsidP="006979DD">
      <w:pPr>
        <w:numPr>
          <w:ilvl w:val="0"/>
          <w:numId w:val="1"/>
        </w:numPr>
        <w:tabs>
          <w:tab w:val="clear" w:pos="1140"/>
        </w:tabs>
        <w:ind w:left="0" w:firstLine="0"/>
        <w:rPr>
          <w:b/>
          <w:bCs/>
          <w:sz w:val="22"/>
          <w:szCs w:val="22"/>
        </w:rPr>
      </w:pPr>
      <w:r w:rsidRPr="003165BA">
        <w:rPr>
          <w:b/>
          <w:sz w:val="22"/>
          <w:szCs w:val="22"/>
        </w:rPr>
        <w:t>ΚΛΙΝΙΚΕΣ ΠΛΗΡΟΦΟΡΙΕΣ</w:t>
      </w:r>
    </w:p>
    <w:p w:rsidR="009250A3" w:rsidRPr="006320B9" w:rsidRDefault="009250A3" w:rsidP="006320B9">
      <w:pPr>
        <w:rPr>
          <w:sz w:val="22"/>
          <w:szCs w:val="22"/>
          <w:lang w:val="en-US"/>
        </w:rPr>
      </w:pPr>
      <w:r w:rsidRPr="00F2281C">
        <w:rPr>
          <w:b/>
          <w:bCs/>
          <w:sz w:val="22"/>
          <w:szCs w:val="22"/>
        </w:rPr>
        <w:t xml:space="preserve">4.1  </w:t>
      </w:r>
      <w:r w:rsidR="00E21AD8" w:rsidRPr="00F2281C">
        <w:rPr>
          <w:b/>
          <w:bCs/>
          <w:sz w:val="22"/>
          <w:szCs w:val="22"/>
        </w:rPr>
        <w:tab/>
      </w:r>
      <w:r w:rsidR="00895EF1" w:rsidRPr="00BC6D25">
        <w:rPr>
          <w:b/>
          <w:bCs/>
          <w:sz w:val="22"/>
          <w:szCs w:val="22"/>
        </w:rPr>
        <w:t>Θ</w:t>
      </w:r>
      <w:r w:rsidRPr="0068100B">
        <w:rPr>
          <w:b/>
          <w:bCs/>
          <w:sz w:val="22"/>
          <w:szCs w:val="22"/>
        </w:rPr>
        <w:t>εραπευτικές ενδείξεις</w:t>
      </w:r>
      <w:r w:rsidRPr="00055C43">
        <w:rPr>
          <w:sz w:val="22"/>
          <w:szCs w:val="22"/>
        </w:rPr>
        <w:t xml:space="preserve"> </w:t>
      </w:r>
    </w:p>
    <w:p w:rsidR="009250A3" w:rsidRPr="006320B9" w:rsidRDefault="009250A3" w:rsidP="006979DD">
      <w:pPr>
        <w:pStyle w:val="a4"/>
        <w:rPr>
          <w:sz w:val="22"/>
          <w:szCs w:val="22"/>
        </w:rPr>
      </w:pPr>
      <w:r w:rsidRPr="00055C43">
        <w:rPr>
          <w:sz w:val="22"/>
          <w:szCs w:val="22"/>
        </w:rPr>
        <w:t>Αυτό το φαρμακευτικό προϊόν χρησιμοποιείται μόνο για διαγνωστικούς σκοπούς.</w:t>
      </w:r>
    </w:p>
    <w:p w:rsidR="009250A3" w:rsidRPr="00055C43" w:rsidRDefault="009250A3" w:rsidP="006979DD">
      <w:pPr>
        <w:rPr>
          <w:sz w:val="22"/>
          <w:szCs w:val="22"/>
        </w:rPr>
      </w:pPr>
      <w:r w:rsidRPr="00055C43">
        <w:rPr>
          <w:sz w:val="22"/>
          <w:szCs w:val="22"/>
        </w:rPr>
        <w:t>Για ενήλικες και παιδιά που πρόκειται να υποβληθούν σε:</w:t>
      </w:r>
    </w:p>
    <w:p w:rsidR="009250A3" w:rsidRPr="00055C43" w:rsidRDefault="006979DD" w:rsidP="006979DD">
      <w:pPr>
        <w:numPr>
          <w:ilvl w:val="0"/>
          <w:numId w:val="2"/>
        </w:numPr>
        <w:ind w:left="0" w:firstLine="0"/>
        <w:rPr>
          <w:sz w:val="22"/>
          <w:szCs w:val="22"/>
        </w:rPr>
      </w:pPr>
      <w:r w:rsidRPr="00055C43">
        <w:rPr>
          <w:sz w:val="22"/>
          <w:szCs w:val="22"/>
        </w:rPr>
        <w:t xml:space="preserve">ενδοφλέβια </w:t>
      </w:r>
      <w:r w:rsidR="009250A3" w:rsidRPr="00055C43">
        <w:rPr>
          <w:sz w:val="22"/>
          <w:szCs w:val="22"/>
        </w:rPr>
        <w:t>ουρογραφία</w:t>
      </w:r>
    </w:p>
    <w:p w:rsidR="009250A3" w:rsidRPr="00055C43" w:rsidRDefault="009250A3" w:rsidP="00895EF1">
      <w:pPr>
        <w:numPr>
          <w:ilvl w:val="0"/>
          <w:numId w:val="2"/>
        </w:numPr>
        <w:tabs>
          <w:tab w:val="clear" w:pos="720"/>
        </w:tabs>
        <w:ind w:left="810" w:hanging="810"/>
        <w:rPr>
          <w:sz w:val="22"/>
          <w:szCs w:val="22"/>
        </w:rPr>
      </w:pPr>
      <w:r w:rsidRPr="00055C43">
        <w:rPr>
          <w:sz w:val="22"/>
          <w:szCs w:val="22"/>
        </w:rPr>
        <w:t xml:space="preserve">ολόσωμη αξονική τομογραφία </w:t>
      </w:r>
      <w:r w:rsidRPr="00055C43">
        <w:rPr>
          <w:sz w:val="22"/>
          <w:szCs w:val="22"/>
          <w:lang w:val="en-US"/>
        </w:rPr>
        <w:t>CT</w:t>
      </w:r>
      <w:r w:rsidRPr="00055C43">
        <w:rPr>
          <w:sz w:val="22"/>
          <w:szCs w:val="22"/>
        </w:rPr>
        <w:t xml:space="preserve"> συμπεριλαμβανομένης και </w:t>
      </w:r>
      <w:r w:rsidR="00895EF1" w:rsidRPr="00055C43">
        <w:rPr>
          <w:sz w:val="22"/>
          <w:szCs w:val="22"/>
        </w:rPr>
        <w:t xml:space="preserve">αξονικής τομογραφίας </w:t>
      </w:r>
      <w:r w:rsidRPr="00055C43">
        <w:rPr>
          <w:sz w:val="22"/>
          <w:szCs w:val="22"/>
        </w:rPr>
        <w:t>εγκεφάλου</w:t>
      </w:r>
    </w:p>
    <w:p w:rsidR="009250A3" w:rsidRPr="00055C43" w:rsidRDefault="009250A3" w:rsidP="006979DD">
      <w:pPr>
        <w:numPr>
          <w:ilvl w:val="0"/>
          <w:numId w:val="2"/>
        </w:numPr>
        <w:ind w:left="0" w:firstLine="0"/>
        <w:rPr>
          <w:sz w:val="22"/>
          <w:szCs w:val="22"/>
        </w:rPr>
      </w:pPr>
      <w:r w:rsidRPr="00055C43">
        <w:rPr>
          <w:sz w:val="22"/>
          <w:szCs w:val="22"/>
        </w:rPr>
        <w:t>ενδοαρτηριακή ψηφιακή αφαιρετική αγγειογραφία</w:t>
      </w:r>
    </w:p>
    <w:p w:rsidR="009250A3" w:rsidRPr="00055C43" w:rsidRDefault="009250A3" w:rsidP="006979DD">
      <w:pPr>
        <w:numPr>
          <w:ilvl w:val="0"/>
          <w:numId w:val="2"/>
        </w:numPr>
        <w:ind w:left="0" w:firstLine="0"/>
        <w:rPr>
          <w:sz w:val="22"/>
          <w:szCs w:val="22"/>
        </w:rPr>
      </w:pPr>
      <w:r w:rsidRPr="00055C43">
        <w:rPr>
          <w:sz w:val="22"/>
          <w:szCs w:val="22"/>
        </w:rPr>
        <w:t>αρτηριογραφία</w:t>
      </w:r>
    </w:p>
    <w:p w:rsidR="009250A3" w:rsidRPr="00055C43" w:rsidRDefault="009250A3" w:rsidP="006979DD">
      <w:pPr>
        <w:numPr>
          <w:ilvl w:val="0"/>
          <w:numId w:val="2"/>
        </w:numPr>
        <w:ind w:left="0" w:firstLine="0"/>
        <w:rPr>
          <w:sz w:val="22"/>
          <w:szCs w:val="22"/>
        </w:rPr>
      </w:pPr>
      <w:r w:rsidRPr="00055C43">
        <w:rPr>
          <w:sz w:val="22"/>
          <w:szCs w:val="22"/>
        </w:rPr>
        <w:t>αγγειοκαρδιογραφία</w:t>
      </w:r>
    </w:p>
    <w:p w:rsidR="009250A3" w:rsidRPr="00055C43" w:rsidRDefault="009250A3" w:rsidP="006979DD">
      <w:pPr>
        <w:numPr>
          <w:ilvl w:val="0"/>
          <w:numId w:val="2"/>
        </w:numPr>
        <w:ind w:left="0" w:firstLine="0"/>
        <w:rPr>
          <w:sz w:val="22"/>
          <w:szCs w:val="22"/>
        </w:rPr>
      </w:pPr>
      <w:r w:rsidRPr="00055C43">
        <w:rPr>
          <w:sz w:val="22"/>
          <w:szCs w:val="22"/>
        </w:rPr>
        <w:t>αρθρογρ</w:t>
      </w:r>
      <w:r w:rsidR="00895EF1" w:rsidRPr="00055C43">
        <w:rPr>
          <w:sz w:val="22"/>
          <w:szCs w:val="22"/>
        </w:rPr>
        <w:t>αφία</w:t>
      </w:r>
    </w:p>
    <w:p w:rsidR="009250A3" w:rsidRPr="00055C43" w:rsidRDefault="006979DD" w:rsidP="006979DD">
      <w:pPr>
        <w:numPr>
          <w:ilvl w:val="0"/>
          <w:numId w:val="2"/>
        </w:numPr>
        <w:ind w:left="0" w:firstLine="0"/>
        <w:rPr>
          <w:sz w:val="22"/>
          <w:szCs w:val="22"/>
        </w:rPr>
      </w:pPr>
      <w:r w:rsidRPr="00055C43">
        <w:rPr>
          <w:sz w:val="22"/>
          <w:szCs w:val="22"/>
        </w:rPr>
        <w:t>υ</w:t>
      </w:r>
      <w:r w:rsidR="009250A3" w:rsidRPr="00055C43">
        <w:rPr>
          <w:sz w:val="22"/>
          <w:szCs w:val="22"/>
        </w:rPr>
        <w:t>στεροσαλπιγγογραφία</w:t>
      </w:r>
    </w:p>
    <w:p w:rsidR="00152D5D" w:rsidRPr="006320B9" w:rsidRDefault="00152D5D" w:rsidP="006979DD">
      <w:pPr>
        <w:rPr>
          <w:b/>
          <w:bCs/>
          <w:sz w:val="22"/>
          <w:szCs w:val="22"/>
          <w:lang w:val="en-US"/>
        </w:rPr>
      </w:pPr>
    </w:p>
    <w:p w:rsidR="009250A3" w:rsidRPr="006320B9" w:rsidRDefault="009250A3" w:rsidP="006979DD">
      <w:pPr>
        <w:rPr>
          <w:b/>
          <w:bCs/>
          <w:sz w:val="22"/>
          <w:szCs w:val="22"/>
          <w:lang w:val="en-US"/>
        </w:rPr>
      </w:pPr>
      <w:r w:rsidRPr="00055C43">
        <w:rPr>
          <w:b/>
          <w:bCs/>
          <w:sz w:val="22"/>
          <w:szCs w:val="22"/>
        </w:rPr>
        <w:t>4.2</w:t>
      </w:r>
      <w:r w:rsidR="006979DD" w:rsidRPr="00055C43">
        <w:rPr>
          <w:b/>
          <w:bCs/>
          <w:sz w:val="22"/>
          <w:szCs w:val="22"/>
        </w:rPr>
        <w:tab/>
      </w:r>
      <w:r w:rsidRPr="00055C43">
        <w:rPr>
          <w:b/>
          <w:bCs/>
          <w:sz w:val="22"/>
          <w:szCs w:val="22"/>
        </w:rPr>
        <w:t>Δοσολογία και τρόπος χορήγησης</w:t>
      </w:r>
    </w:p>
    <w:p w:rsidR="009250A3" w:rsidRPr="006320B9" w:rsidRDefault="009250A3" w:rsidP="006979DD">
      <w:pPr>
        <w:rPr>
          <w:sz w:val="22"/>
          <w:szCs w:val="22"/>
        </w:rPr>
      </w:pPr>
      <w:r w:rsidRPr="00055C43">
        <w:rPr>
          <w:sz w:val="22"/>
          <w:szCs w:val="22"/>
        </w:rPr>
        <w:t xml:space="preserve">Οι δόσεις πρέπει να καθορίζονται ανάλογα με την εξέταση και την περιοχή που ερευνάται, καθώς επίσης και ανάλογα με το σωματικό βάρος και τη νεφρική λειτουργία του </w:t>
      </w:r>
      <w:r w:rsidR="006979DD" w:rsidRPr="00055C43">
        <w:rPr>
          <w:sz w:val="22"/>
          <w:szCs w:val="22"/>
        </w:rPr>
        <w:t xml:space="preserve">κάθε </w:t>
      </w:r>
      <w:r w:rsidRPr="00055C43">
        <w:rPr>
          <w:sz w:val="22"/>
          <w:szCs w:val="22"/>
        </w:rPr>
        <w:t>ατόμου,</w:t>
      </w:r>
      <w:r w:rsidRPr="00055C43">
        <w:rPr>
          <w:sz w:val="22"/>
          <w:szCs w:val="22"/>
          <w:lang w:val="fr-FR"/>
        </w:rPr>
        <w:t xml:space="preserve"> </w:t>
      </w:r>
      <w:r w:rsidRPr="00055C43">
        <w:rPr>
          <w:sz w:val="22"/>
          <w:szCs w:val="22"/>
        </w:rPr>
        <w:t>ιδιαίτερα στα παιδιά.</w:t>
      </w:r>
    </w:p>
    <w:p w:rsidR="009250A3" w:rsidRPr="00055C43" w:rsidRDefault="009250A3" w:rsidP="006979DD">
      <w:pPr>
        <w:rPr>
          <w:sz w:val="22"/>
          <w:szCs w:val="22"/>
        </w:rPr>
      </w:pPr>
      <w:r w:rsidRPr="00055C43">
        <w:rPr>
          <w:sz w:val="22"/>
          <w:szCs w:val="22"/>
        </w:rPr>
        <w:t>Οι παρακάτω δόσεις συνιστώνται:</w:t>
      </w:r>
    </w:p>
    <w:p w:rsidR="009250A3" w:rsidRPr="00055C43" w:rsidRDefault="009250A3" w:rsidP="006979DD">
      <w:pPr>
        <w:rPr>
          <w:sz w:val="22"/>
          <w:szCs w:val="22"/>
          <w:lang w:val="fr-FR"/>
        </w:rPr>
      </w:pPr>
    </w:p>
    <w:tbl>
      <w:tblPr>
        <w:tblW w:w="0" w:type="auto"/>
        <w:tblInd w:w="629" w:type="dxa"/>
        <w:tblLayout w:type="fixed"/>
        <w:tblLook w:val="04A0"/>
      </w:tblPr>
      <w:tblGrid>
        <w:gridCol w:w="3439"/>
        <w:gridCol w:w="1852"/>
        <w:gridCol w:w="1843"/>
      </w:tblGrid>
      <w:tr w:rsidR="009250A3" w:rsidRPr="00055C43">
        <w:tc>
          <w:tcPr>
            <w:tcW w:w="3439" w:type="dxa"/>
            <w:tcBorders>
              <w:top w:val="single" w:sz="4" w:space="0" w:color="auto"/>
              <w:left w:val="single" w:sz="4" w:space="0" w:color="auto"/>
              <w:bottom w:val="single" w:sz="4" w:space="0" w:color="auto"/>
              <w:right w:val="single" w:sz="4" w:space="0" w:color="auto"/>
            </w:tcBorders>
          </w:tcPr>
          <w:p w:rsidR="009250A3" w:rsidRPr="00055C43" w:rsidRDefault="009250A3" w:rsidP="006979DD">
            <w:pPr>
              <w:rPr>
                <w:b/>
                <w:sz w:val="22"/>
                <w:szCs w:val="22"/>
                <w:lang w:val="fr-FR"/>
              </w:rPr>
            </w:pPr>
            <w:r w:rsidRPr="00055C43">
              <w:rPr>
                <w:b/>
                <w:bCs/>
                <w:sz w:val="22"/>
                <w:szCs w:val="22"/>
              </w:rPr>
              <w:t>Ενδείξεις</w:t>
            </w:r>
          </w:p>
        </w:tc>
        <w:tc>
          <w:tcPr>
            <w:tcW w:w="1852" w:type="dxa"/>
            <w:tcBorders>
              <w:top w:val="single" w:sz="4" w:space="0" w:color="auto"/>
              <w:left w:val="single" w:sz="4" w:space="0" w:color="auto"/>
              <w:bottom w:val="single" w:sz="4" w:space="0" w:color="auto"/>
              <w:right w:val="single" w:sz="4" w:space="0" w:color="auto"/>
            </w:tcBorders>
          </w:tcPr>
          <w:p w:rsidR="009250A3" w:rsidRPr="00055C43" w:rsidRDefault="009250A3" w:rsidP="006979DD">
            <w:pPr>
              <w:jc w:val="center"/>
              <w:rPr>
                <w:b/>
                <w:sz w:val="22"/>
                <w:szCs w:val="22"/>
              </w:rPr>
            </w:pPr>
            <w:r w:rsidRPr="00055C43">
              <w:rPr>
                <w:b/>
                <w:bCs/>
                <w:sz w:val="22"/>
                <w:szCs w:val="22"/>
              </w:rPr>
              <w:t xml:space="preserve">Μέση δόση </w:t>
            </w:r>
            <w:r w:rsidR="006979DD" w:rsidRPr="00055C43">
              <w:rPr>
                <w:b/>
                <w:bCs/>
                <w:sz w:val="22"/>
                <w:szCs w:val="22"/>
              </w:rPr>
              <w:t>(</w:t>
            </w:r>
            <w:r w:rsidRPr="00055C43">
              <w:rPr>
                <w:b/>
                <w:bCs/>
                <w:sz w:val="22"/>
                <w:szCs w:val="22"/>
                <w:lang w:val="fr-FR"/>
              </w:rPr>
              <w:t>ml</w:t>
            </w:r>
            <w:r w:rsidRPr="00055C43">
              <w:rPr>
                <w:b/>
                <w:bCs/>
                <w:sz w:val="22"/>
                <w:szCs w:val="22"/>
              </w:rPr>
              <w:t>/</w:t>
            </w:r>
            <w:r w:rsidRPr="00055C43">
              <w:rPr>
                <w:b/>
                <w:bCs/>
                <w:sz w:val="22"/>
                <w:szCs w:val="22"/>
                <w:lang w:val="fr-FR"/>
              </w:rPr>
              <w:t>kg</w:t>
            </w:r>
            <w:r w:rsidR="006979DD" w:rsidRPr="00055C43">
              <w:rPr>
                <w:b/>
                <w:bCs/>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9250A3" w:rsidRPr="00055C43" w:rsidRDefault="009250A3" w:rsidP="006979DD">
            <w:pPr>
              <w:jc w:val="center"/>
              <w:rPr>
                <w:b/>
                <w:sz w:val="22"/>
                <w:szCs w:val="22"/>
              </w:rPr>
            </w:pPr>
            <w:r w:rsidRPr="00055C43">
              <w:rPr>
                <w:b/>
                <w:bCs/>
                <w:sz w:val="22"/>
                <w:szCs w:val="22"/>
              </w:rPr>
              <w:t>Ολικός όγκος</w:t>
            </w:r>
          </w:p>
          <w:p w:rsidR="009250A3" w:rsidRPr="00055C43" w:rsidRDefault="009250A3" w:rsidP="006979DD">
            <w:pPr>
              <w:jc w:val="center"/>
              <w:rPr>
                <w:b/>
                <w:sz w:val="22"/>
                <w:szCs w:val="22"/>
              </w:rPr>
            </w:pPr>
            <w:r w:rsidRPr="00055C43">
              <w:rPr>
                <w:b/>
                <w:sz w:val="22"/>
                <w:szCs w:val="22"/>
              </w:rPr>
              <w:t>(</w:t>
            </w:r>
            <w:r w:rsidRPr="00C9363A">
              <w:rPr>
                <w:b/>
                <w:sz w:val="22"/>
                <w:szCs w:val="22"/>
                <w:lang w:val="en-US"/>
              </w:rPr>
              <w:t>min</w:t>
            </w:r>
            <w:r w:rsidRPr="00055C43">
              <w:rPr>
                <w:b/>
                <w:sz w:val="22"/>
                <w:szCs w:val="22"/>
              </w:rPr>
              <w:t>/</w:t>
            </w:r>
            <w:r w:rsidRPr="00C9363A">
              <w:rPr>
                <w:b/>
                <w:sz w:val="22"/>
                <w:szCs w:val="22"/>
                <w:lang w:val="en-US"/>
              </w:rPr>
              <w:t>max</w:t>
            </w:r>
            <w:r w:rsidRPr="00055C43">
              <w:rPr>
                <w:b/>
                <w:sz w:val="22"/>
                <w:szCs w:val="22"/>
              </w:rPr>
              <w:t xml:space="preserve">) </w:t>
            </w:r>
            <w:r w:rsidRPr="00C9363A">
              <w:rPr>
                <w:b/>
                <w:sz w:val="22"/>
                <w:szCs w:val="22"/>
                <w:lang w:val="en-US"/>
              </w:rPr>
              <w:t>ml</w:t>
            </w:r>
          </w:p>
        </w:tc>
      </w:tr>
      <w:tr w:rsidR="009250A3" w:rsidRPr="00055C43">
        <w:tc>
          <w:tcPr>
            <w:tcW w:w="3439" w:type="dxa"/>
            <w:tcBorders>
              <w:top w:val="single" w:sz="4" w:space="0" w:color="auto"/>
              <w:left w:val="single" w:sz="4" w:space="0" w:color="auto"/>
              <w:right w:val="single" w:sz="4" w:space="0" w:color="auto"/>
            </w:tcBorders>
          </w:tcPr>
          <w:p w:rsidR="009250A3" w:rsidRPr="00C9363A" w:rsidRDefault="009250A3" w:rsidP="006979DD">
            <w:pPr>
              <w:rPr>
                <w:sz w:val="22"/>
                <w:szCs w:val="22"/>
                <w:lang w:val="en-US"/>
              </w:rPr>
            </w:pPr>
            <w:r w:rsidRPr="00C9363A">
              <w:rPr>
                <w:sz w:val="22"/>
                <w:szCs w:val="22"/>
              </w:rPr>
              <w:t>Ουρογραφία</w:t>
            </w:r>
          </w:p>
        </w:tc>
        <w:tc>
          <w:tcPr>
            <w:tcW w:w="1852" w:type="dxa"/>
            <w:tcBorders>
              <w:top w:val="single" w:sz="4" w:space="0" w:color="auto"/>
              <w:left w:val="single" w:sz="4" w:space="0" w:color="auto"/>
              <w:right w:val="single" w:sz="4" w:space="0" w:color="auto"/>
            </w:tcBorders>
          </w:tcPr>
          <w:p w:rsidR="009250A3" w:rsidRPr="004C2CD3" w:rsidRDefault="009250A3" w:rsidP="006979DD">
            <w:pPr>
              <w:jc w:val="center"/>
              <w:rPr>
                <w:sz w:val="22"/>
                <w:szCs w:val="22"/>
                <w:lang w:val="en-US"/>
              </w:rPr>
            </w:pPr>
          </w:p>
        </w:tc>
        <w:tc>
          <w:tcPr>
            <w:tcW w:w="1843" w:type="dxa"/>
            <w:tcBorders>
              <w:top w:val="single" w:sz="4" w:space="0" w:color="auto"/>
              <w:left w:val="single" w:sz="4" w:space="0" w:color="auto"/>
              <w:right w:val="single" w:sz="4" w:space="0" w:color="auto"/>
            </w:tcBorders>
          </w:tcPr>
          <w:p w:rsidR="009250A3" w:rsidRPr="004C2CD3" w:rsidRDefault="009250A3" w:rsidP="006979DD">
            <w:pPr>
              <w:jc w:val="center"/>
              <w:rPr>
                <w:sz w:val="22"/>
                <w:szCs w:val="22"/>
                <w:lang w:val="en-US"/>
              </w:rPr>
            </w:pPr>
          </w:p>
        </w:tc>
      </w:tr>
      <w:tr w:rsidR="009250A3" w:rsidRPr="00055C43">
        <w:tc>
          <w:tcPr>
            <w:tcW w:w="3439" w:type="dxa"/>
            <w:tcBorders>
              <w:left w:val="single" w:sz="4" w:space="0" w:color="auto"/>
              <w:right w:val="single" w:sz="4" w:space="0" w:color="auto"/>
            </w:tcBorders>
          </w:tcPr>
          <w:p w:rsidR="009250A3" w:rsidRPr="00055C43" w:rsidRDefault="009250A3" w:rsidP="006979DD">
            <w:pPr>
              <w:rPr>
                <w:sz w:val="22"/>
                <w:szCs w:val="22"/>
                <w:lang w:val="en-US"/>
              </w:rPr>
            </w:pPr>
            <w:r w:rsidRPr="00055C43">
              <w:rPr>
                <w:sz w:val="22"/>
                <w:szCs w:val="22"/>
              </w:rPr>
              <w:t>με ταχεία IV έγχυση</w:t>
            </w:r>
          </w:p>
        </w:tc>
        <w:tc>
          <w:tcPr>
            <w:tcW w:w="1852" w:type="dxa"/>
            <w:tcBorders>
              <w:left w:val="single" w:sz="4" w:space="0" w:color="auto"/>
              <w:right w:val="single" w:sz="4" w:space="0" w:color="auto"/>
            </w:tcBorders>
          </w:tcPr>
          <w:p w:rsidR="009250A3" w:rsidRPr="00055C43" w:rsidRDefault="009250A3" w:rsidP="006979DD">
            <w:pPr>
              <w:jc w:val="center"/>
              <w:rPr>
                <w:sz w:val="22"/>
                <w:szCs w:val="22"/>
                <w:lang w:val="en-US"/>
              </w:rPr>
            </w:pPr>
            <w:r w:rsidRPr="00055C43">
              <w:rPr>
                <w:sz w:val="22"/>
                <w:szCs w:val="22"/>
                <w:lang w:val="en-US"/>
              </w:rPr>
              <w:t>1</w:t>
            </w:r>
            <w:r w:rsidR="006979DD" w:rsidRPr="00055C43">
              <w:rPr>
                <w:sz w:val="22"/>
                <w:szCs w:val="22"/>
              </w:rPr>
              <w:t>,</w:t>
            </w:r>
            <w:r w:rsidRPr="00055C43">
              <w:rPr>
                <w:sz w:val="22"/>
                <w:szCs w:val="22"/>
                <w:lang w:val="en-US"/>
              </w:rPr>
              <w:t>2</w:t>
            </w:r>
          </w:p>
        </w:tc>
        <w:tc>
          <w:tcPr>
            <w:tcW w:w="1843" w:type="dxa"/>
            <w:tcBorders>
              <w:left w:val="single" w:sz="4" w:space="0" w:color="auto"/>
              <w:right w:val="single" w:sz="4" w:space="0" w:color="auto"/>
            </w:tcBorders>
          </w:tcPr>
          <w:p w:rsidR="009250A3" w:rsidRPr="00055C43" w:rsidRDefault="009250A3" w:rsidP="006979DD">
            <w:pPr>
              <w:jc w:val="center"/>
              <w:rPr>
                <w:sz w:val="22"/>
                <w:szCs w:val="22"/>
                <w:lang w:val="en-US"/>
              </w:rPr>
            </w:pPr>
            <w:r w:rsidRPr="00055C43">
              <w:rPr>
                <w:sz w:val="22"/>
                <w:szCs w:val="22"/>
                <w:lang w:val="en-US"/>
              </w:rPr>
              <w:t>50-100</w:t>
            </w:r>
          </w:p>
        </w:tc>
      </w:tr>
      <w:tr w:rsidR="009250A3" w:rsidRPr="00055C43">
        <w:tc>
          <w:tcPr>
            <w:tcW w:w="3439" w:type="dxa"/>
            <w:tcBorders>
              <w:left w:val="single" w:sz="4" w:space="0" w:color="auto"/>
              <w:right w:val="single" w:sz="4" w:space="0" w:color="auto"/>
            </w:tcBorders>
          </w:tcPr>
          <w:p w:rsidR="009250A3" w:rsidRPr="00055C43" w:rsidRDefault="009250A3" w:rsidP="006979DD">
            <w:pPr>
              <w:rPr>
                <w:sz w:val="22"/>
                <w:szCs w:val="22"/>
                <w:lang w:val="en-US"/>
              </w:rPr>
            </w:pPr>
            <w:r w:rsidRPr="00055C43">
              <w:rPr>
                <w:sz w:val="22"/>
                <w:szCs w:val="22"/>
              </w:rPr>
              <w:t xml:space="preserve">με αργή </w:t>
            </w:r>
            <w:r w:rsidRPr="00055C43">
              <w:rPr>
                <w:sz w:val="22"/>
                <w:szCs w:val="22"/>
                <w:lang w:val="en-US"/>
              </w:rPr>
              <w:t>IV</w:t>
            </w:r>
            <w:r w:rsidRPr="00055C43">
              <w:rPr>
                <w:sz w:val="22"/>
                <w:szCs w:val="22"/>
              </w:rPr>
              <w:t xml:space="preserve"> έγχυση</w:t>
            </w:r>
          </w:p>
        </w:tc>
        <w:tc>
          <w:tcPr>
            <w:tcW w:w="1852" w:type="dxa"/>
            <w:tcBorders>
              <w:left w:val="single" w:sz="4" w:space="0" w:color="auto"/>
              <w:right w:val="single" w:sz="4" w:space="0" w:color="auto"/>
            </w:tcBorders>
          </w:tcPr>
          <w:p w:rsidR="009250A3" w:rsidRPr="00055C43" w:rsidRDefault="009250A3" w:rsidP="006979DD">
            <w:pPr>
              <w:jc w:val="center"/>
              <w:rPr>
                <w:sz w:val="22"/>
                <w:szCs w:val="22"/>
                <w:lang w:val="en-US"/>
              </w:rPr>
            </w:pPr>
            <w:r w:rsidRPr="00055C43">
              <w:rPr>
                <w:sz w:val="22"/>
                <w:szCs w:val="22"/>
                <w:lang w:val="en-US"/>
              </w:rPr>
              <w:t>1</w:t>
            </w:r>
            <w:r w:rsidR="006979DD" w:rsidRPr="00055C43">
              <w:rPr>
                <w:sz w:val="22"/>
                <w:szCs w:val="22"/>
              </w:rPr>
              <w:t>,</w:t>
            </w:r>
            <w:r w:rsidRPr="00055C43">
              <w:rPr>
                <w:sz w:val="22"/>
                <w:szCs w:val="22"/>
                <w:lang w:val="en-US"/>
              </w:rPr>
              <w:t>6</w:t>
            </w:r>
          </w:p>
        </w:tc>
        <w:tc>
          <w:tcPr>
            <w:tcW w:w="1843" w:type="dxa"/>
            <w:tcBorders>
              <w:left w:val="single" w:sz="4" w:space="0" w:color="auto"/>
              <w:right w:val="single" w:sz="4" w:space="0" w:color="auto"/>
            </w:tcBorders>
          </w:tcPr>
          <w:p w:rsidR="009250A3" w:rsidRPr="00055C43" w:rsidRDefault="009250A3" w:rsidP="006979DD">
            <w:pPr>
              <w:jc w:val="center"/>
              <w:rPr>
                <w:sz w:val="22"/>
                <w:szCs w:val="22"/>
                <w:lang w:val="en-US"/>
              </w:rPr>
            </w:pPr>
            <w:r w:rsidRPr="00055C43">
              <w:rPr>
                <w:sz w:val="22"/>
                <w:szCs w:val="22"/>
                <w:lang w:val="en-US"/>
              </w:rPr>
              <w:t>100</w:t>
            </w:r>
          </w:p>
        </w:tc>
      </w:tr>
      <w:tr w:rsidR="009250A3" w:rsidRPr="00055C43">
        <w:tc>
          <w:tcPr>
            <w:tcW w:w="3439" w:type="dxa"/>
            <w:tcBorders>
              <w:left w:val="single" w:sz="4" w:space="0" w:color="auto"/>
              <w:bottom w:val="single" w:sz="4" w:space="0" w:color="auto"/>
              <w:right w:val="single" w:sz="4" w:space="0" w:color="auto"/>
            </w:tcBorders>
          </w:tcPr>
          <w:p w:rsidR="009250A3" w:rsidRPr="00055C43" w:rsidRDefault="009250A3" w:rsidP="006979DD">
            <w:pPr>
              <w:rPr>
                <w:sz w:val="22"/>
                <w:szCs w:val="22"/>
                <w:lang w:val="en-US"/>
              </w:rPr>
            </w:pPr>
          </w:p>
        </w:tc>
        <w:tc>
          <w:tcPr>
            <w:tcW w:w="1852" w:type="dxa"/>
            <w:tcBorders>
              <w:left w:val="single" w:sz="4" w:space="0" w:color="auto"/>
              <w:bottom w:val="single" w:sz="4" w:space="0" w:color="auto"/>
              <w:right w:val="single" w:sz="4" w:space="0" w:color="auto"/>
            </w:tcBorders>
          </w:tcPr>
          <w:p w:rsidR="009250A3" w:rsidRPr="00055C43" w:rsidRDefault="009250A3" w:rsidP="006979DD">
            <w:pPr>
              <w:jc w:val="center"/>
              <w:rPr>
                <w:sz w:val="22"/>
                <w:szCs w:val="22"/>
                <w:lang w:val="en-US"/>
              </w:rPr>
            </w:pPr>
          </w:p>
        </w:tc>
        <w:tc>
          <w:tcPr>
            <w:tcW w:w="1843" w:type="dxa"/>
            <w:tcBorders>
              <w:left w:val="single" w:sz="4" w:space="0" w:color="auto"/>
              <w:bottom w:val="single" w:sz="4" w:space="0" w:color="auto"/>
              <w:right w:val="single" w:sz="4" w:space="0" w:color="auto"/>
            </w:tcBorders>
          </w:tcPr>
          <w:p w:rsidR="009250A3" w:rsidRPr="00055C43" w:rsidRDefault="009250A3" w:rsidP="006979DD">
            <w:pPr>
              <w:jc w:val="center"/>
              <w:rPr>
                <w:sz w:val="22"/>
                <w:szCs w:val="22"/>
                <w:lang w:val="en-US"/>
              </w:rPr>
            </w:pPr>
          </w:p>
        </w:tc>
      </w:tr>
      <w:tr w:rsidR="009250A3" w:rsidRPr="00055C43">
        <w:tc>
          <w:tcPr>
            <w:tcW w:w="3439" w:type="dxa"/>
            <w:tcBorders>
              <w:top w:val="single" w:sz="4" w:space="0" w:color="auto"/>
              <w:left w:val="single" w:sz="4" w:space="0" w:color="auto"/>
              <w:right w:val="single" w:sz="4" w:space="0" w:color="auto"/>
            </w:tcBorders>
          </w:tcPr>
          <w:p w:rsidR="009250A3" w:rsidRPr="00055C43" w:rsidRDefault="009250A3" w:rsidP="006979DD">
            <w:pPr>
              <w:rPr>
                <w:sz w:val="22"/>
                <w:szCs w:val="22"/>
                <w:lang w:val="en-US"/>
              </w:rPr>
            </w:pPr>
            <w:r w:rsidRPr="00055C43">
              <w:rPr>
                <w:sz w:val="22"/>
                <w:szCs w:val="22"/>
              </w:rPr>
              <w:t>Αξονική τομογραφία εγκεφάλου</w:t>
            </w:r>
          </w:p>
        </w:tc>
        <w:tc>
          <w:tcPr>
            <w:tcW w:w="1852" w:type="dxa"/>
            <w:tcBorders>
              <w:top w:val="single" w:sz="4" w:space="0" w:color="auto"/>
              <w:left w:val="single" w:sz="4" w:space="0" w:color="auto"/>
              <w:right w:val="single" w:sz="4" w:space="0" w:color="auto"/>
            </w:tcBorders>
          </w:tcPr>
          <w:p w:rsidR="009250A3" w:rsidRPr="00055C43" w:rsidRDefault="009250A3" w:rsidP="006979DD">
            <w:pPr>
              <w:jc w:val="center"/>
              <w:rPr>
                <w:sz w:val="22"/>
                <w:szCs w:val="22"/>
                <w:lang w:val="en-US"/>
              </w:rPr>
            </w:pPr>
            <w:r w:rsidRPr="00055C43">
              <w:rPr>
                <w:sz w:val="22"/>
                <w:szCs w:val="22"/>
                <w:lang w:val="en-US"/>
              </w:rPr>
              <w:t>1</w:t>
            </w:r>
            <w:r w:rsidR="006979DD" w:rsidRPr="00055C43">
              <w:rPr>
                <w:sz w:val="22"/>
                <w:szCs w:val="22"/>
              </w:rPr>
              <w:t>,</w:t>
            </w:r>
            <w:r w:rsidRPr="00055C43">
              <w:rPr>
                <w:sz w:val="22"/>
                <w:szCs w:val="22"/>
                <w:lang w:val="en-US"/>
              </w:rPr>
              <w:t>4</w:t>
            </w:r>
          </w:p>
        </w:tc>
        <w:tc>
          <w:tcPr>
            <w:tcW w:w="1843" w:type="dxa"/>
            <w:tcBorders>
              <w:top w:val="single" w:sz="4" w:space="0" w:color="auto"/>
              <w:left w:val="single" w:sz="4" w:space="0" w:color="auto"/>
              <w:right w:val="single" w:sz="4" w:space="0" w:color="auto"/>
            </w:tcBorders>
          </w:tcPr>
          <w:p w:rsidR="009250A3" w:rsidRPr="00055C43" w:rsidRDefault="009250A3" w:rsidP="006979DD">
            <w:pPr>
              <w:jc w:val="center"/>
              <w:rPr>
                <w:sz w:val="22"/>
                <w:szCs w:val="22"/>
                <w:lang w:val="en-US"/>
              </w:rPr>
            </w:pPr>
            <w:r w:rsidRPr="00055C43">
              <w:rPr>
                <w:sz w:val="22"/>
                <w:szCs w:val="22"/>
                <w:lang w:val="en-US"/>
              </w:rPr>
              <w:t>20-100</w:t>
            </w:r>
          </w:p>
        </w:tc>
      </w:tr>
      <w:tr w:rsidR="009250A3" w:rsidRPr="00055C43">
        <w:tc>
          <w:tcPr>
            <w:tcW w:w="3439" w:type="dxa"/>
            <w:tcBorders>
              <w:left w:val="single" w:sz="4" w:space="0" w:color="auto"/>
              <w:right w:val="single" w:sz="4" w:space="0" w:color="auto"/>
            </w:tcBorders>
          </w:tcPr>
          <w:p w:rsidR="009250A3" w:rsidRPr="00055C43" w:rsidRDefault="009250A3" w:rsidP="006979DD">
            <w:pPr>
              <w:rPr>
                <w:sz w:val="22"/>
                <w:szCs w:val="22"/>
                <w:lang w:val="en-US"/>
              </w:rPr>
            </w:pPr>
            <w:r w:rsidRPr="00055C43">
              <w:rPr>
                <w:sz w:val="22"/>
                <w:szCs w:val="22"/>
              </w:rPr>
              <w:t>Ολόσωμη αξονική τομογραφία</w:t>
            </w:r>
          </w:p>
        </w:tc>
        <w:tc>
          <w:tcPr>
            <w:tcW w:w="1852" w:type="dxa"/>
            <w:tcBorders>
              <w:left w:val="single" w:sz="4" w:space="0" w:color="auto"/>
              <w:right w:val="single" w:sz="4" w:space="0" w:color="auto"/>
            </w:tcBorders>
          </w:tcPr>
          <w:p w:rsidR="009250A3" w:rsidRPr="00055C43" w:rsidRDefault="009250A3" w:rsidP="006979DD">
            <w:pPr>
              <w:jc w:val="center"/>
              <w:rPr>
                <w:sz w:val="22"/>
                <w:szCs w:val="22"/>
                <w:lang w:val="en-US"/>
              </w:rPr>
            </w:pPr>
            <w:r w:rsidRPr="00055C43">
              <w:rPr>
                <w:sz w:val="22"/>
                <w:szCs w:val="22"/>
                <w:lang w:val="en-US"/>
              </w:rPr>
              <w:t>1</w:t>
            </w:r>
            <w:r w:rsidR="006979DD" w:rsidRPr="00055C43">
              <w:rPr>
                <w:sz w:val="22"/>
                <w:szCs w:val="22"/>
              </w:rPr>
              <w:t>,</w:t>
            </w:r>
            <w:r w:rsidRPr="00055C43">
              <w:rPr>
                <w:sz w:val="22"/>
                <w:szCs w:val="22"/>
                <w:lang w:val="en-US"/>
              </w:rPr>
              <w:t>9</w:t>
            </w:r>
          </w:p>
        </w:tc>
        <w:tc>
          <w:tcPr>
            <w:tcW w:w="1843" w:type="dxa"/>
            <w:tcBorders>
              <w:left w:val="single" w:sz="4" w:space="0" w:color="auto"/>
              <w:right w:val="single" w:sz="4" w:space="0" w:color="auto"/>
            </w:tcBorders>
          </w:tcPr>
          <w:p w:rsidR="009250A3" w:rsidRPr="00055C43" w:rsidRDefault="009250A3" w:rsidP="006979DD">
            <w:pPr>
              <w:jc w:val="center"/>
              <w:rPr>
                <w:sz w:val="22"/>
                <w:szCs w:val="22"/>
                <w:lang w:val="en-US"/>
              </w:rPr>
            </w:pPr>
            <w:r w:rsidRPr="00055C43">
              <w:rPr>
                <w:sz w:val="22"/>
                <w:szCs w:val="22"/>
                <w:lang w:val="en-US"/>
              </w:rPr>
              <w:t>20-150</w:t>
            </w:r>
          </w:p>
        </w:tc>
      </w:tr>
      <w:tr w:rsidR="009250A3" w:rsidRPr="00055C43">
        <w:tc>
          <w:tcPr>
            <w:tcW w:w="3439" w:type="dxa"/>
            <w:tcBorders>
              <w:left w:val="single" w:sz="4" w:space="0" w:color="auto"/>
              <w:bottom w:val="single" w:sz="4" w:space="0" w:color="auto"/>
              <w:right w:val="single" w:sz="4" w:space="0" w:color="auto"/>
            </w:tcBorders>
          </w:tcPr>
          <w:p w:rsidR="009250A3" w:rsidRPr="00055C43" w:rsidRDefault="009250A3" w:rsidP="006979DD">
            <w:pPr>
              <w:rPr>
                <w:sz w:val="22"/>
                <w:szCs w:val="22"/>
                <w:lang w:val="en-US"/>
              </w:rPr>
            </w:pPr>
          </w:p>
        </w:tc>
        <w:tc>
          <w:tcPr>
            <w:tcW w:w="1852" w:type="dxa"/>
            <w:tcBorders>
              <w:left w:val="single" w:sz="4" w:space="0" w:color="auto"/>
              <w:bottom w:val="single" w:sz="4" w:space="0" w:color="auto"/>
              <w:right w:val="single" w:sz="4" w:space="0" w:color="auto"/>
            </w:tcBorders>
          </w:tcPr>
          <w:p w:rsidR="009250A3" w:rsidRPr="00055C43" w:rsidRDefault="009250A3" w:rsidP="006979DD">
            <w:pPr>
              <w:jc w:val="center"/>
              <w:rPr>
                <w:sz w:val="22"/>
                <w:szCs w:val="22"/>
                <w:lang w:val="en-US"/>
              </w:rPr>
            </w:pPr>
          </w:p>
        </w:tc>
        <w:tc>
          <w:tcPr>
            <w:tcW w:w="1843" w:type="dxa"/>
            <w:tcBorders>
              <w:left w:val="single" w:sz="4" w:space="0" w:color="auto"/>
              <w:bottom w:val="single" w:sz="4" w:space="0" w:color="auto"/>
              <w:right w:val="single" w:sz="4" w:space="0" w:color="auto"/>
            </w:tcBorders>
          </w:tcPr>
          <w:p w:rsidR="009250A3" w:rsidRPr="00055C43" w:rsidRDefault="009250A3" w:rsidP="006979DD">
            <w:pPr>
              <w:jc w:val="center"/>
              <w:rPr>
                <w:sz w:val="22"/>
                <w:szCs w:val="22"/>
                <w:lang w:val="en-US"/>
              </w:rPr>
            </w:pPr>
          </w:p>
        </w:tc>
      </w:tr>
      <w:tr w:rsidR="009250A3" w:rsidRPr="00055C43">
        <w:tc>
          <w:tcPr>
            <w:tcW w:w="3439" w:type="dxa"/>
            <w:tcBorders>
              <w:top w:val="single" w:sz="4" w:space="0" w:color="auto"/>
              <w:left w:val="single" w:sz="4" w:space="0" w:color="auto"/>
              <w:right w:val="single" w:sz="4" w:space="0" w:color="auto"/>
            </w:tcBorders>
          </w:tcPr>
          <w:p w:rsidR="009250A3" w:rsidRPr="00055C43" w:rsidRDefault="009250A3" w:rsidP="006979DD">
            <w:pPr>
              <w:rPr>
                <w:sz w:val="22"/>
                <w:szCs w:val="22"/>
              </w:rPr>
            </w:pPr>
            <w:r w:rsidRPr="00055C43">
              <w:rPr>
                <w:sz w:val="22"/>
                <w:szCs w:val="22"/>
              </w:rPr>
              <w:t xml:space="preserve">Ενδοαρτηριακή ψηφιακή </w:t>
            </w:r>
            <w:r w:rsidRPr="00C9363A">
              <w:rPr>
                <w:sz w:val="22"/>
                <w:szCs w:val="22"/>
              </w:rPr>
              <w:t>αφαιρετική αγγειογραφία (</w:t>
            </w:r>
            <w:r w:rsidRPr="00C9363A">
              <w:rPr>
                <w:sz w:val="22"/>
                <w:szCs w:val="22"/>
                <w:lang w:val="en-US"/>
              </w:rPr>
              <w:t>DSA</w:t>
            </w:r>
            <w:r w:rsidRPr="00C9363A">
              <w:rPr>
                <w:sz w:val="22"/>
                <w:szCs w:val="22"/>
              </w:rPr>
              <w:t>)</w:t>
            </w:r>
          </w:p>
        </w:tc>
        <w:tc>
          <w:tcPr>
            <w:tcW w:w="1852" w:type="dxa"/>
            <w:tcBorders>
              <w:top w:val="single" w:sz="4" w:space="0" w:color="auto"/>
              <w:left w:val="single" w:sz="4" w:space="0" w:color="auto"/>
              <w:right w:val="single" w:sz="4" w:space="0" w:color="auto"/>
            </w:tcBorders>
          </w:tcPr>
          <w:p w:rsidR="009250A3" w:rsidRPr="00C9363A" w:rsidRDefault="009250A3" w:rsidP="006979DD">
            <w:pPr>
              <w:jc w:val="center"/>
              <w:rPr>
                <w:sz w:val="22"/>
                <w:szCs w:val="22"/>
                <w:lang w:val="en-US"/>
              </w:rPr>
            </w:pPr>
            <w:r w:rsidRPr="00C9363A">
              <w:rPr>
                <w:sz w:val="22"/>
                <w:szCs w:val="22"/>
                <w:lang w:val="en-US"/>
              </w:rPr>
              <w:t>1</w:t>
            </w:r>
            <w:r w:rsidR="006979DD" w:rsidRPr="00C9363A">
              <w:rPr>
                <w:sz w:val="22"/>
                <w:szCs w:val="22"/>
              </w:rPr>
              <w:t>,</w:t>
            </w:r>
            <w:r w:rsidRPr="00C9363A">
              <w:rPr>
                <w:sz w:val="22"/>
                <w:szCs w:val="22"/>
                <w:lang w:val="en-US"/>
              </w:rPr>
              <w:t>7</w:t>
            </w:r>
          </w:p>
        </w:tc>
        <w:tc>
          <w:tcPr>
            <w:tcW w:w="1843" w:type="dxa"/>
            <w:tcBorders>
              <w:top w:val="single" w:sz="4" w:space="0" w:color="auto"/>
              <w:left w:val="single" w:sz="4" w:space="0" w:color="auto"/>
              <w:right w:val="single" w:sz="4" w:space="0" w:color="auto"/>
            </w:tcBorders>
          </w:tcPr>
          <w:p w:rsidR="009250A3" w:rsidRPr="00C9363A" w:rsidRDefault="009250A3" w:rsidP="006979DD">
            <w:pPr>
              <w:jc w:val="center"/>
              <w:rPr>
                <w:sz w:val="22"/>
                <w:szCs w:val="22"/>
                <w:lang w:val="en-US"/>
              </w:rPr>
            </w:pPr>
            <w:r w:rsidRPr="00C9363A">
              <w:rPr>
                <w:sz w:val="22"/>
                <w:szCs w:val="22"/>
                <w:lang w:val="en-US"/>
              </w:rPr>
              <w:t>40-270</w:t>
            </w:r>
          </w:p>
        </w:tc>
      </w:tr>
      <w:tr w:rsidR="009250A3" w:rsidRPr="00055C43">
        <w:tc>
          <w:tcPr>
            <w:tcW w:w="3439" w:type="dxa"/>
            <w:tcBorders>
              <w:left w:val="single" w:sz="4" w:space="0" w:color="auto"/>
              <w:bottom w:val="single" w:sz="4" w:space="0" w:color="auto"/>
              <w:right w:val="single" w:sz="4" w:space="0" w:color="auto"/>
            </w:tcBorders>
          </w:tcPr>
          <w:p w:rsidR="009250A3" w:rsidRPr="00055C43" w:rsidRDefault="009250A3" w:rsidP="006979DD">
            <w:pPr>
              <w:rPr>
                <w:sz w:val="22"/>
                <w:szCs w:val="22"/>
                <w:lang w:val="en-US"/>
              </w:rPr>
            </w:pPr>
          </w:p>
        </w:tc>
        <w:tc>
          <w:tcPr>
            <w:tcW w:w="1852" w:type="dxa"/>
            <w:tcBorders>
              <w:left w:val="single" w:sz="4" w:space="0" w:color="auto"/>
              <w:bottom w:val="single" w:sz="4" w:space="0" w:color="auto"/>
              <w:right w:val="single" w:sz="4" w:space="0" w:color="auto"/>
            </w:tcBorders>
          </w:tcPr>
          <w:p w:rsidR="009250A3" w:rsidRPr="00055C43" w:rsidRDefault="009250A3" w:rsidP="006979DD">
            <w:pPr>
              <w:jc w:val="center"/>
              <w:rPr>
                <w:sz w:val="22"/>
                <w:szCs w:val="22"/>
                <w:lang w:val="en-US"/>
              </w:rPr>
            </w:pPr>
          </w:p>
        </w:tc>
        <w:tc>
          <w:tcPr>
            <w:tcW w:w="1843" w:type="dxa"/>
            <w:tcBorders>
              <w:left w:val="single" w:sz="4" w:space="0" w:color="auto"/>
              <w:bottom w:val="single" w:sz="4" w:space="0" w:color="auto"/>
              <w:right w:val="single" w:sz="4" w:space="0" w:color="auto"/>
            </w:tcBorders>
          </w:tcPr>
          <w:p w:rsidR="009250A3" w:rsidRPr="00055C43" w:rsidRDefault="009250A3" w:rsidP="006979DD">
            <w:pPr>
              <w:jc w:val="center"/>
              <w:rPr>
                <w:sz w:val="22"/>
                <w:szCs w:val="22"/>
                <w:lang w:val="en-US"/>
              </w:rPr>
            </w:pPr>
          </w:p>
        </w:tc>
      </w:tr>
      <w:tr w:rsidR="009250A3" w:rsidRPr="00055C43">
        <w:tc>
          <w:tcPr>
            <w:tcW w:w="3439" w:type="dxa"/>
            <w:tcBorders>
              <w:top w:val="single" w:sz="4" w:space="0" w:color="auto"/>
              <w:left w:val="single" w:sz="4" w:space="0" w:color="auto"/>
              <w:right w:val="single" w:sz="4" w:space="0" w:color="auto"/>
            </w:tcBorders>
          </w:tcPr>
          <w:p w:rsidR="009250A3" w:rsidRPr="00055C43" w:rsidRDefault="009250A3" w:rsidP="006979DD">
            <w:pPr>
              <w:rPr>
                <w:sz w:val="22"/>
                <w:szCs w:val="22"/>
                <w:lang w:val="en-US"/>
              </w:rPr>
            </w:pPr>
            <w:r w:rsidRPr="00055C43">
              <w:rPr>
                <w:sz w:val="22"/>
                <w:szCs w:val="22"/>
              </w:rPr>
              <w:lastRenderedPageBreak/>
              <w:t>Αρτηριογραφία</w:t>
            </w:r>
          </w:p>
        </w:tc>
        <w:tc>
          <w:tcPr>
            <w:tcW w:w="1852" w:type="dxa"/>
            <w:tcBorders>
              <w:top w:val="single" w:sz="4" w:space="0" w:color="auto"/>
              <w:left w:val="single" w:sz="4" w:space="0" w:color="auto"/>
              <w:right w:val="single" w:sz="4" w:space="0" w:color="auto"/>
            </w:tcBorders>
          </w:tcPr>
          <w:p w:rsidR="009250A3" w:rsidRPr="00055C43" w:rsidRDefault="009250A3" w:rsidP="006979DD">
            <w:pPr>
              <w:jc w:val="center"/>
              <w:rPr>
                <w:sz w:val="22"/>
                <w:szCs w:val="22"/>
                <w:lang w:val="en-US"/>
              </w:rPr>
            </w:pPr>
          </w:p>
        </w:tc>
        <w:tc>
          <w:tcPr>
            <w:tcW w:w="1843" w:type="dxa"/>
            <w:tcBorders>
              <w:top w:val="single" w:sz="4" w:space="0" w:color="auto"/>
              <w:left w:val="single" w:sz="4" w:space="0" w:color="auto"/>
              <w:right w:val="single" w:sz="4" w:space="0" w:color="auto"/>
            </w:tcBorders>
          </w:tcPr>
          <w:p w:rsidR="009250A3" w:rsidRPr="00055C43" w:rsidRDefault="009250A3" w:rsidP="006979DD">
            <w:pPr>
              <w:jc w:val="center"/>
              <w:rPr>
                <w:sz w:val="22"/>
                <w:szCs w:val="22"/>
                <w:lang w:val="en-US"/>
              </w:rPr>
            </w:pPr>
          </w:p>
        </w:tc>
      </w:tr>
      <w:tr w:rsidR="009250A3" w:rsidRPr="00055C43">
        <w:tc>
          <w:tcPr>
            <w:tcW w:w="3439" w:type="dxa"/>
            <w:tcBorders>
              <w:left w:val="single" w:sz="4" w:space="0" w:color="auto"/>
              <w:right w:val="single" w:sz="4" w:space="0" w:color="auto"/>
            </w:tcBorders>
          </w:tcPr>
          <w:p w:rsidR="009250A3" w:rsidRPr="00055C43" w:rsidRDefault="009250A3" w:rsidP="006979DD">
            <w:pPr>
              <w:rPr>
                <w:sz w:val="22"/>
                <w:szCs w:val="22"/>
                <w:lang w:val="en-US"/>
              </w:rPr>
            </w:pPr>
            <w:r w:rsidRPr="00055C43">
              <w:rPr>
                <w:sz w:val="22"/>
                <w:szCs w:val="22"/>
              </w:rPr>
              <w:t>Εγκεφαλική αρτηριογραφία</w:t>
            </w:r>
          </w:p>
        </w:tc>
        <w:tc>
          <w:tcPr>
            <w:tcW w:w="1852" w:type="dxa"/>
            <w:tcBorders>
              <w:left w:val="single" w:sz="4" w:space="0" w:color="auto"/>
              <w:right w:val="single" w:sz="4" w:space="0" w:color="auto"/>
            </w:tcBorders>
          </w:tcPr>
          <w:p w:rsidR="009250A3" w:rsidRPr="00055C43" w:rsidRDefault="009250A3" w:rsidP="006979DD">
            <w:pPr>
              <w:jc w:val="center"/>
              <w:rPr>
                <w:sz w:val="22"/>
                <w:szCs w:val="22"/>
                <w:lang w:val="en-US"/>
              </w:rPr>
            </w:pPr>
            <w:r w:rsidRPr="00055C43">
              <w:rPr>
                <w:sz w:val="22"/>
                <w:szCs w:val="22"/>
                <w:lang w:val="en-US"/>
              </w:rPr>
              <w:t>1</w:t>
            </w:r>
            <w:r w:rsidR="006979DD" w:rsidRPr="00055C43">
              <w:rPr>
                <w:sz w:val="22"/>
                <w:szCs w:val="22"/>
              </w:rPr>
              <w:t>,</w:t>
            </w:r>
            <w:r w:rsidRPr="00055C43">
              <w:rPr>
                <w:sz w:val="22"/>
                <w:szCs w:val="22"/>
                <w:lang w:val="en-US"/>
              </w:rPr>
              <w:t>8</w:t>
            </w:r>
          </w:p>
        </w:tc>
        <w:tc>
          <w:tcPr>
            <w:tcW w:w="1843" w:type="dxa"/>
            <w:tcBorders>
              <w:left w:val="single" w:sz="4" w:space="0" w:color="auto"/>
              <w:right w:val="single" w:sz="4" w:space="0" w:color="auto"/>
            </w:tcBorders>
          </w:tcPr>
          <w:p w:rsidR="009250A3" w:rsidRPr="00055C43" w:rsidRDefault="009250A3" w:rsidP="006979DD">
            <w:pPr>
              <w:jc w:val="center"/>
              <w:rPr>
                <w:sz w:val="22"/>
                <w:szCs w:val="22"/>
                <w:lang w:val="en-US"/>
              </w:rPr>
            </w:pPr>
            <w:r w:rsidRPr="00055C43">
              <w:rPr>
                <w:sz w:val="22"/>
                <w:szCs w:val="22"/>
                <w:lang w:val="en-US"/>
              </w:rPr>
              <w:t>45-210</w:t>
            </w:r>
          </w:p>
        </w:tc>
      </w:tr>
      <w:tr w:rsidR="009250A3" w:rsidRPr="00055C43">
        <w:tc>
          <w:tcPr>
            <w:tcW w:w="3439" w:type="dxa"/>
            <w:tcBorders>
              <w:left w:val="single" w:sz="4" w:space="0" w:color="auto"/>
              <w:right w:val="single" w:sz="4" w:space="0" w:color="auto"/>
            </w:tcBorders>
          </w:tcPr>
          <w:p w:rsidR="009250A3" w:rsidRPr="00055C43" w:rsidRDefault="009250A3" w:rsidP="006979DD">
            <w:pPr>
              <w:rPr>
                <w:sz w:val="22"/>
                <w:szCs w:val="22"/>
                <w:lang w:val="en-US"/>
              </w:rPr>
            </w:pPr>
            <w:r w:rsidRPr="00055C43">
              <w:rPr>
                <w:sz w:val="22"/>
                <w:szCs w:val="22"/>
              </w:rPr>
              <w:t>Αρτηριογραφία κάτω σκέλους</w:t>
            </w:r>
          </w:p>
        </w:tc>
        <w:tc>
          <w:tcPr>
            <w:tcW w:w="1852" w:type="dxa"/>
            <w:tcBorders>
              <w:left w:val="single" w:sz="4" w:space="0" w:color="auto"/>
              <w:right w:val="single" w:sz="4" w:space="0" w:color="auto"/>
            </w:tcBorders>
          </w:tcPr>
          <w:p w:rsidR="009250A3" w:rsidRPr="00055C43" w:rsidRDefault="009250A3" w:rsidP="006979DD">
            <w:pPr>
              <w:jc w:val="center"/>
              <w:rPr>
                <w:sz w:val="22"/>
                <w:szCs w:val="22"/>
                <w:lang w:val="en-US"/>
              </w:rPr>
            </w:pPr>
            <w:r w:rsidRPr="00055C43">
              <w:rPr>
                <w:sz w:val="22"/>
                <w:szCs w:val="22"/>
                <w:lang w:val="en-US"/>
              </w:rPr>
              <w:t>2</w:t>
            </w:r>
            <w:r w:rsidR="006979DD" w:rsidRPr="00055C43">
              <w:rPr>
                <w:sz w:val="22"/>
                <w:szCs w:val="22"/>
              </w:rPr>
              <w:t>,</w:t>
            </w:r>
            <w:r w:rsidRPr="00055C43">
              <w:rPr>
                <w:sz w:val="22"/>
                <w:szCs w:val="22"/>
                <w:lang w:val="en-US"/>
              </w:rPr>
              <w:t>8</w:t>
            </w:r>
          </w:p>
        </w:tc>
        <w:tc>
          <w:tcPr>
            <w:tcW w:w="1843" w:type="dxa"/>
            <w:tcBorders>
              <w:left w:val="single" w:sz="4" w:space="0" w:color="auto"/>
              <w:right w:val="single" w:sz="4" w:space="0" w:color="auto"/>
            </w:tcBorders>
          </w:tcPr>
          <w:p w:rsidR="009250A3" w:rsidRPr="00055C43" w:rsidRDefault="009250A3" w:rsidP="006979DD">
            <w:pPr>
              <w:jc w:val="center"/>
              <w:rPr>
                <w:sz w:val="22"/>
                <w:szCs w:val="22"/>
                <w:lang w:val="en-US"/>
              </w:rPr>
            </w:pPr>
            <w:r w:rsidRPr="00055C43">
              <w:rPr>
                <w:sz w:val="22"/>
                <w:szCs w:val="22"/>
                <w:lang w:val="en-US"/>
              </w:rPr>
              <w:t>85-300</w:t>
            </w:r>
          </w:p>
        </w:tc>
      </w:tr>
      <w:tr w:rsidR="009250A3" w:rsidRPr="00055C43">
        <w:tc>
          <w:tcPr>
            <w:tcW w:w="3439" w:type="dxa"/>
            <w:tcBorders>
              <w:left w:val="single" w:sz="4" w:space="0" w:color="auto"/>
              <w:bottom w:val="single" w:sz="4" w:space="0" w:color="auto"/>
              <w:right w:val="single" w:sz="4" w:space="0" w:color="auto"/>
            </w:tcBorders>
          </w:tcPr>
          <w:p w:rsidR="009250A3" w:rsidRPr="00055C43" w:rsidRDefault="009250A3" w:rsidP="006979DD">
            <w:pPr>
              <w:rPr>
                <w:sz w:val="22"/>
                <w:szCs w:val="22"/>
                <w:lang w:val="en-US"/>
              </w:rPr>
            </w:pPr>
          </w:p>
        </w:tc>
        <w:tc>
          <w:tcPr>
            <w:tcW w:w="1852" w:type="dxa"/>
            <w:tcBorders>
              <w:left w:val="single" w:sz="4" w:space="0" w:color="auto"/>
              <w:bottom w:val="single" w:sz="4" w:space="0" w:color="auto"/>
              <w:right w:val="single" w:sz="4" w:space="0" w:color="auto"/>
            </w:tcBorders>
          </w:tcPr>
          <w:p w:rsidR="009250A3" w:rsidRPr="00055C43" w:rsidRDefault="009250A3" w:rsidP="006979DD">
            <w:pPr>
              <w:jc w:val="center"/>
              <w:rPr>
                <w:sz w:val="22"/>
                <w:szCs w:val="22"/>
                <w:lang w:val="en-US"/>
              </w:rPr>
            </w:pPr>
          </w:p>
        </w:tc>
        <w:tc>
          <w:tcPr>
            <w:tcW w:w="1843" w:type="dxa"/>
            <w:tcBorders>
              <w:left w:val="single" w:sz="4" w:space="0" w:color="auto"/>
              <w:bottom w:val="single" w:sz="4" w:space="0" w:color="auto"/>
              <w:right w:val="single" w:sz="4" w:space="0" w:color="auto"/>
            </w:tcBorders>
          </w:tcPr>
          <w:p w:rsidR="009250A3" w:rsidRPr="00055C43" w:rsidRDefault="009250A3" w:rsidP="006979DD">
            <w:pPr>
              <w:jc w:val="center"/>
              <w:rPr>
                <w:sz w:val="22"/>
                <w:szCs w:val="22"/>
                <w:lang w:val="en-US"/>
              </w:rPr>
            </w:pPr>
          </w:p>
        </w:tc>
      </w:tr>
      <w:tr w:rsidR="009250A3" w:rsidRPr="00055C43">
        <w:tc>
          <w:tcPr>
            <w:tcW w:w="3439" w:type="dxa"/>
            <w:tcBorders>
              <w:top w:val="single" w:sz="4" w:space="0" w:color="auto"/>
              <w:left w:val="single" w:sz="4" w:space="0" w:color="auto"/>
              <w:bottom w:val="single" w:sz="4" w:space="0" w:color="auto"/>
              <w:right w:val="single" w:sz="4" w:space="0" w:color="auto"/>
            </w:tcBorders>
          </w:tcPr>
          <w:p w:rsidR="009250A3" w:rsidRPr="00055C43" w:rsidRDefault="009250A3" w:rsidP="006979DD">
            <w:pPr>
              <w:rPr>
                <w:sz w:val="22"/>
                <w:szCs w:val="22"/>
                <w:lang w:val="en-US"/>
              </w:rPr>
            </w:pPr>
            <w:r w:rsidRPr="00055C43">
              <w:rPr>
                <w:sz w:val="22"/>
                <w:szCs w:val="22"/>
              </w:rPr>
              <w:t>Αγγειοκαρδιογραφία</w:t>
            </w:r>
          </w:p>
          <w:p w:rsidR="009250A3" w:rsidRPr="00055C43" w:rsidRDefault="009250A3" w:rsidP="006979DD">
            <w:pPr>
              <w:rPr>
                <w:sz w:val="22"/>
                <w:szCs w:val="22"/>
                <w:lang w:val="en-US"/>
              </w:rPr>
            </w:pPr>
          </w:p>
        </w:tc>
        <w:tc>
          <w:tcPr>
            <w:tcW w:w="1852" w:type="dxa"/>
            <w:tcBorders>
              <w:top w:val="single" w:sz="4" w:space="0" w:color="auto"/>
              <w:left w:val="single" w:sz="4" w:space="0" w:color="auto"/>
              <w:bottom w:val="single" w:sz="4" w:space="0" w:color="auto"/>
              <w:right w:val="single" w:sz="4" w:space="0" w:color="auto"/>
            </w:tcBorders>
          </w:tcPr>
          <w:p w:rsidR="009250A3" w:rsidRPr="00055C43" w:rsidRDefault="009250A3" w:rsidP="006979DD">
            <w:pPr>
              <w:jc w:val="center"/>
              <w:rPr>
                <w:sz w:val="22"/>
                <w:szCs w:val="22"/>
                <w:lang w:val="en-US"/>
              </w:rPr>
            </w:pPr>
            <w:r w:rsidRPr="00055C43">
              <w:rPr>
                <w:sz w:val="22"/>
                <w:szCs w:val="22"/>
                <w:lang w:val="en-US"/>
              </w:rPr>
              <w:t>1</w:t>
            </w:r>
            <w:r w:rsidR="006979DD" w:rsidRPr="00055C43">
              <w:rPr>
                <w:sz w:val="22"/>
                <w:szCs w:val="22"/>
              </w:rPr>
              <w:t>,</w:t>
            </w:r>
            <w:r w:rsidRPr="00055C43">
              <w:rPr>
                <w:sz w:val="22"/>
                <w:szCs w:val="22"/>
                <w:lang w:val="en-US"/>
              </w:rPr>
              <w:t>1</w:t>
            </w:r>
          </w:p>
        </w:tc>
        <w:tc>
          <w:tcPr>
            <w:tcW w:w="1843" w:type="dxa"/>
            <w:tcBorders>
              <w:top w:val="single" w:sz="4" w:space="0" w:color="auto"/>
              <w:left w:val="single" w:sz="4" w:space="0" w:color="auto"/>
              <w:bottom w:val="single" w:sz="4" w:space="0" w:color="auto"/>
              <w:right w:val="single" w:sz="4" w:space="0" w:color="auto"/>
            </w:tcBorders>
          </w:tcPr>
          <w:p w:rsidR="009250A3" w:rsidRPr="00055C43" w:rsidRDefault="009250A3" w:rsidP="006979DD">
            <w:pPr>
              <w:jc w:val="center"/>
              <w:rPr>
                <w:sz w:val="22"/>
                <w:szCs w:val="22"/>
                <w:lang w:val="en-US"/>
              </w:rPr>
            </w:pPr>
            <w:r w:rsidRPr="00055C43">
              <w:rPr>
                <w:sz w:val="22"/>
                <w:szCs w:val="22"/>
                <w:lang w:val="en-US"/>
              </w:rPr>
              <w:t>70-125</w:t>
            </w:r>
          </w:p>
        </w:tc>
      </w:tr>
    </w:tbl>
    <w:p w:rsidR="009250A3" w:rsidRPr="00055C43" w:rsidRDefault="009250A3" w:rsidP="006979DD">
      <w:pPr>
        <w:rPr>
          <w:sz w:val="22"/>
          <w:szCs w:val="22"/>
          <w:lang w:val="en-US"/>
        </w:rPr>
      </w:pPr>
    </w:p>
    <w:p w:rsidR="009250A3" w:rsidRPr="00055C43" w:rsidRDefault="009250A3" w:rsidP="006979DD">
      <w:pPr>
        <w:rPr>
          <w:bCs/>
          <w:sz w:val="22"/>
          <w:szCs w:val="22"/>
        </w:rPr>
      </w:pPr>
      <w:r w:rsidRPr="00055C43">
        <w:rPr>
          <w:bCs/>
          <w:sz w:val="22"/>
          <w:szCs w:val="22"/>
        </w:rPr>
        <w:t>Προτεινόμενη δοσολογία για ενδοκοιλοτική χρήση:</w:t>
      </w:r>
    </w:p>
    <w:p w:rsidR="009250A3" w:rsidRPr="00055C43" w:rsidRDefault="009250A3" w:rsidP="006979DD">
      <w:pPr>
        <w:rPr>
          <w:sz w:val="22"/>
          <w:szCs w:val="22"/>
        </w:rPr>
      </w:pPr>
    </w:p>
    <w:tbl>
      <w:tblPr>
        <w:tblW w:w="0" w:type="auto"/>
        <w:tblInd w:w="629" w:type="dxa"/>
        <w:tblLayout w:type="fixed"/>
        <w:tblLook w:val="04A0"/>
      </w:tblPr>
      <w:tblGrid>
        <w:gridCol w:w="2479"/>
        <w:gridCol w:w="1560"/>
        <w:gridCol w:w="3095"/>
      </w:tblGrid>
      <w:tr w:rsidR="009250A3" w:rsidRPr="00055C43">
        <w:trPr>
          <w:trHeight w:val="470"/>
        </w:trPr>
        <w:tc>
          <w:tcPr>
            <w:tcW w:w="2479" w:type="dxa"/>
            <w:tcBorders>
              <w:top w:val="single" w:sz="4" w:space="0" w:color="auto"/>
              <w:left w:val="single" w:sz="4" w:space="0" w:color="auto"/>
              <w:bottom w:val="single" w:sz="4" w:space="0" w:color="auto"/>
              <w:right w:val="single" w:sz="4" w:space="0" w:color="auto"/>
            </w:tcBorders>
          </w:tcPr>
          <w:p w:rsidR="009250A3" w:rsidRPr="00C9363A" w:rsidRDefault="009250A3" w:rsidP="006979DD">
            <w:pPr>
              <w:rPr>
                <w:b/>
                <w:sz w:val="22"/>
                <w:szCs w:val="22"/>
                <w:lang w:val="en-US"/>
              </w:rPr>
            </w:pPr>
            <w:r w:rsidRPr="00C9363A">
              <w:rPr>
                <w:b/>
                <w:bCs/>
                <w:sz w:val="22"/>
                <w:szCs w:val="22"/>
              </w:rPr>
              <w:t>Ενδείξεις</w:t>
            </w:r>
          </w:p>
        </w:tc>
        <w:tc>
          <w:tcPr>
            <w:tcW w:w="1560" w:type="dxa"/>
            <w:tcBorders>
              <w:top w:val="single" w:sz="4" w:space="0" w:color="auto"/>
              <w:left w:val="single" w:sz="4" w:space="0" w:color="auto"/>
              <w:bottom w:val="single" w:sz="4" w:space="0" w:color="auto"/>
              <w:right w:val="single" w:sz="4" w:space="0" w:color="auto"/>
            </w:tcBorders>
          </w:tcPr>
          <w:p w:rsidR="009250A3" w:rsidRPr="004C2CD3" w:rsidRDefault="009250A3" w:rsidP="006979DD">
            <w:pPr>
              <w:jc w:val="center"/>
              <w:rPr>
                <w:b/>
                <w:sz w:val="22"/>
                <w:szCs w:val="22"/>
                <w:lang w:val="en-US"/>
              </w:rPr>
            </w:pPr>
            <w:r w:rsidRPr="00C9363A">
              <w:rPr>
                <w:b/>
                <w:sz w:val="22"/>
                <w:szCs w:val="22"/>
              </w:rPr>
              <w:t>Μέση δόση (</w:t>
            </w:r>
            <w:r w:rsidRPr="004C2CD3">
              <w:rPr>
                <w:b/>
                <w:sz w:val="22"/>
                <w:szCs w:val="22"/>
                <w:lang w:val="en-US"/>
              </w:rPr>
              <w:t>ml</w:t>
            </w:r>
            <w:r w:rsidRPr="004C2CD3">
              <w:rPr>
                <w:b/>
                <w:sz w:val="22"/>
                <w:szCs w:val="22"/>
              </w:rPr>
              <w:t>)</w:t>
            </w:r>
          </w:p>
        </w:tc>
        <w:tc>
          <w:tcPr>
            <w:tcW w:w="3095" w:type="dxa"/>
            <w:tcBorders>
              <w:top w:val="single" w:sz="4" w:space="0" w:color="auto"/>
              <w:left w:val="single" w:sz="4" w:space="0" w:color="auto"/>
              <w:bottom w:val="single" w:sz="4" w:space="0" w:color="auto"/>
              <w:right w:val="single" w:sz="4" w:space="0" w:color="auto"/>
            </w:tcBorders>
          </w:tcPr>
          <w:p w:rsidR="009250A3" w:rsidRPr="0096489F" w:rsidRDefault="009250A3" w:rsidP="006979DD">
            <w:pPr>
              <w:pStyle w:val="7"/>
              <w:rPr>
                <w:sz w:val="22"/>
                <w:szCs w:val="22"/>
                <w:lang w:val="en-US"/>
              </w:rPr>
            </w:pPr>
            <w:r w:rsidRPr="0096489F">
              <w:rPr>
                <w:sz w:val="22"/>
                <w:szCs w:val="22"/>
              </w:rPr>
              <w:t>Παρατηρήσεις</w:t>
            </w:r>
          </w:p>
        </w:tc>
      </w:tr>
      <w:tr w:rsidR="009250A3" w:rsidRPr="00055C43">
        <w:tc>
          <w:tcPr>
            <w:tcW w:w="2479" w:type="dxa"/>
            <w:tcBorders>
              <w:top w:val="single" w:sz="4" w:space="0" w:color="auto"/>
              <w:left w:val="single" w:sz="4" w:space="0" w:color="auto"/>
              <w:right w:val="single" w:sz="4" w:space="0" w:color="auto"/>
            </w:tcBorders>
          </w:tcPr>
          <w:p w:rsidR="009250A3" w:rsidRPr="00055C43" w:rsidRDefault="009250A3" w:rsidP="006979DD">
            <w:pPr>
              <w:rPr>
                <w:sz w:val="22"/>
                <w:szCs w:val="22"/>
                <w:lang w:val="en-US"/>
              </w:rPr>
            </w:pPr>
          </w:p>
        </w:tc>
        <w:tc>
          <w:tcPr>
            <w:tcW w:w="1560" w:type="dxa"/>
            <w:tcBorders>
              <w:top w:val="single" w:sz="4" w:space="0" w:color="auto"/>
              <w:left w:val="single" w:sz="4" w:space="0" w:color="auto"/>
              <w:right w:val="single" w:sz="4" w:space="0" w:color="auto"/>
            </w:tcBorders>
          </w:tcPr>
          <w:p w:rsidR="009250A3" w:rsidRPr="00055C43" w:rsidRDefault="009250A3" w:rsidP="006979DD">
            <w:pPr>
              <w:jc w:val="center"/>
              <w:rPr>
                <w:sz w:val="22"/>
                <w:szCs w:val="22"/>
                <w:lang w:val="en-US"/>
              </w:rPr>
            </w:pPr>
          </w:p>
        </w:tc>
        <w:tc>
          <w:tcPr>
            <w:tcW w:w="3095" w:type="dxa"/>
            <w:tcBorders>
              <w:top w:val="single" w:sz="4" w:space="0" w:color="auto"/>
              <w:left w:val="single" w:sz="4" w:space="0" w:color="auto"/>
              <w:right w:val="single" w:sz="4" w:space="0" w:color="auto"/>
            </w:tcBorders>
          </w:tcPr>
          <w:p w:rsidR="009250A3" w:rsidRPr="00055C43" w:rsidRDefault="009250A3" w:rsidP="006979DD">
            <w:pPr>
              <w:jc w:val="center"/>
              <w:rPr>
                <w:sz w:val="22"/>
                <w:szCs w:val="22"/>
                <w:lang w:val="en-US"/>
              </w:rPr>
            </w:pPr>
          </w:p>
        </w:tc>
      </w:tr>
      <w:tr w:rsidR="009250A3" w:rsidRPr="00055C43">
        <w:tc>
          <w:tcPr>
            <w:tcW w:w="2479" w:type="dxa"/>
            <w:tcBorders>
              <w:left w:val="single" w:sz="4" w:space="0" w:color="auto"/>
              <w:right w:val="single" w:sz="4" w:space="0" w:color="auto"/>
            </w:tcBorders>
          </w:tcPr>
          <w:p w:rsidR="009250A3" w:rsidRPr="00055C43" w:rsidRDefault="006979DD" w:rsidP="006979DD">
            <w:pPr>
              <w:pStyle w:val="a4"/>
              <w:rPr>
                <w:sz w:val="22"/>
                <w:szCs w:val="22"/>
                <w:lang w:val="en-US"/>
              </w:rPr>
            </w:pPr>
            <w:r w:rsidRPr="00055C43">
              <w:rPr>
                <w:sz w:val="22"/>
                <w:szCs w:val="22"/>
              </w:rPr>
              <w:t>Αρθρογραφία</w:t>
            </w:r>
          </w:p>
        </w:tc>
        <w:tc>
          <w:tcPr>
            <w:tcW w:w="1560" w:type="dxa"/>
            <w:tcBorders>
              <w:left w:val="single" w:sz="4" w:space="0" w:color="auto"/>
              <w:right w:val="single" w:sz="4" w:space="0" w:color="auto"/>
            </w:tcBorders>
          </w:tcPr>
          <w:p w:rsidR="009250A3" w:rsidRPr="00055C43" w:rsidRDefault="009250A3" w:rsidP="006979DD">
            <w:pPr>
              <w:jc w:val="center"/>
              <w:rPr>
                <w:sz w:val="22"/>
                <w:szCs w:val="22"/>
                <w:lang w:val="en-US"/>
              </w:rPr>
            </w:pPr>
            <w:r w:rsidRPr="00055C43">
              <w:rPr>
                <w:sz w:val="22"/>
                <w:szCs w:val="22"/>
                <w:lang w:val="en-US"/>
              </w:rPr>
              <w:t>5-20</w:t>
            </w:r>
          </w:p>
        </w:tc>
        <w:tc>
          <w:tcPr>
            <w:tcW w:w="3095" w:type="dxa"/>
            <w:tcBorders>
              <w:left w:val="single" w:sz="4" w:space="0" w:color="auto"/>
              <w:right w:val="single" w:sz="4" w:space="0" w:color="auto"/>
            </w:tcBorders>
          </w:tcPr>
          <w:p w:rsidR="009250A3" w:rsidRPr="00055C43" w:rsidRDefault="009250A3" w:rsidP="006979DD">
            <w:pPr>
              <w:jc w:val="center"/>
              <w:rPr>
                <w:sz w:val="22"/>
                <w:szCs w:val="22"/>
                <w:lang w:val="en-US"/>
              </w:rPr>
            </w:pPr>
            <w:r w:rsidRPr="00055C43">
              <w:rPr>
                <w:sz w:val="22"/>
                <w:szCs w:val="22"/>
              </w:rPr>
              <w:t>όγκος προσαρμοσμένος στην</w:t>
            </w:r>
            <w:r w:rsidR="006979DD" w:rsidRPr="00055C43">
              <w:rPr>
                <w:sz w:val="22"/>
                <w:szCs w:val="22"/>
              </w:rPr>
              <w:t xml:space="preserve"> άρθρωση</w:t>
            </w:r>
          </w:p>
        </w:tc>
      </w:tr>
      <w:tr w:rsidR="009250A3" w:rsidRPr="00055C43">
        <w:tc>
          <w:tcPr>
            <w:tcW w:w="2479" w:type="dxa"/>
            <w:tcBorders>
              <w:left w:val="single" w:sz="4" w:space="0" w:color="auto"/>
              <w:bottom w:val="single" w:sz="4" w:space="0" w:color="auto"/>
              <w:right w:val="single" w:sz="4" w:space="0" w:color="auto"/>
            </w:tcBorders>
          </w:tcPr>
          <w:p w:rsidR="009250A3" w:rsidRPr="00055C43" w:rsidRDefault="009250A3" w:rsidP="006979DD">
            <w:pPr>
              <w:rPr>
                <w:sz w:val="22"/>
                <w:szCs w:val="22"/>
                <w:lang w:val="en-US"/>
              </w:rPr>
            </w:pPr>
          </w:p>
        </w:tc>
        <w:tc>
          <w:tcPr>
            <w:tcW w:w="1560" w:type="dxa"/>
            <w:tcBorders>
              <w:left w:val="single" w:sz="4" w:space="0" w:color="auto"/>
              <w:bottom w:val="single" w:sz="4" w:space="0" w:color="auto"/>
              <w:right w:val="single" w:sz="4" w:space="0" w:color="auto"/>
            </w:tcBorders>
          </w:tcPr>
          <w:p w:rsidR="009250A3" w:rsidRPr="00055C43" w:rsidRDefault="009250A3" w:rsidP="006979DD">
            <w:pPr>
              <w:jc w:val="center"/>
              <w:rPr>
                <w:sz w:val="22"/>
                <w:szCs w:val="22"/>
                <w:lang w:val="en-US"/>
              </w:rPr>
            </w:pPr>
          </w:p>
        </w:tc>
        <w:tc>
          <w:tcPr>
            <w:tcW w:w="3095" w:type="dxa"/>
            <w:tcBorders>
              <w:left w:val="single" w:sz="4" w:space="0" w:color="auto"/>
              <w:bottom w:val="single" w:sz="4" w:space="0" w:color="auto"/>
              <w:right w:val="single" w:sz="4" w:space="0" w:color="auto"/>
            </w:tcBorders>
          </w:tcPr>
          <w:p w:rsidR="009250A3" w:rsidRPr="00055C43" w:rsidRDefault="009250A3" w:rsidP="006979DD">
            <w:pPr>
              <w:jc w:val="center"/>
              <w:rPr>
                <w:sz w:val="22"/>
                <w:szCs w:val="22"/>
                <w:lang w:val="en-US"/>
              </w:rPr>
            </w:pPr>
          </w:p>
        </w:tc>
      </w:tr>
      <w:tr w:rsidR="009250A3" w:rsidRPr="00055C43">
        <w:tc>
          <w:tcPr>
            <w:tcW w:w="2479" w:type="dxa"/>
            <w:tcBorders>
              <w:top w:val="single" w:sz="4" w:space="0" w:color="auto"/>
              <w:left w:val="single" w:sz="4" w:space="0" w:color="auto"/>
              <w:right w:val="single" w:sz="4" w:space="0" w:color="auto"/>
            </w:tcBorders>
          </w:tcPr>
          <w:p w:rsidR="009250A3" w:rsidRPr="00055C43" w:rsidRDefault="009250A3" w:rsidP="006979DD">
            <w:pPr>
              <w:rPr>
                <w:sz w:val="22"/>
                <w:szCs w:val="22"/>
                <w:lang w:val="en-US"/>
              </w:rPr>
            </w:pPr>
          </w:p>
        </w:tc>
        <w:tc>
          <w:tcPr>
            <w:tcW w:w="1560" w:type="dxa"/>
            <w:tcBorders>
              <w:top w:val="single" w:sz="4" w:space="0" w:color="auto"/>
              <w:left w:val="single" w:sz="4" w:space="0" w:color="auto"/>
              <w:right w:val="single" w:sz="4" w:space="0" w:color="auto"/>
            </w:tcBorders>
          </w:tcPr>
          <w:p w:rsidR="009250A3" w:rsidRPr="00055C43" w:rsidRDefault="009250A3" w:rsidP="006979DD">
            <w:pPr>
              <w:jc w:val="center"/>
              <w:rPr>
                <w:sz w:val="22"/>
                <w:szCs w:val="22"/>
                <w:lang w:val="en-US"/>
              </w:rPr>
            </w:pPr>
          </w:p>
        </w:tc>
        <w:tc>
          <w:tcPr>
            <w:tcW w:w="3095" w:type="dxa"/>
            <w:tcBorders>
              <w:top w:val="single" w:sz="4" w:space="0" w:color="auto"/>
              <w:left w:val="single" w:sz="4" w:space="0" w:color="auto"/>
              <w:right w:val="single" w:sz="4" w:space="0" w:color="auto"/>
            </w:tcBorders>
          </w:tcPr>
          <w:p w:rsidR="009250A3" w:rsidRPr="00055C43" w:rsidRDefault="009250A3" w:rsidP="006979DD">
            <w:pPr>
              <w:jc w:val="center"/>
              <w:rPr>
                <w:sz w:val="22"/>
                <w:szCs w:val="22"/>
                <w:lang w:val="en-US"/>
              </w:rPr>
            </w:pPr>
          </w:p>
        </w:tc>
      </w:tr>
      <w:tr w:rsidR="009250A3" w:rsidRPr="00055C43">
        <w:tc>
          <w:tcPr>
            <w:tcW w:w="2479" w:type="dxa"/>
            <w:tcBorders>
              <w:left w:val="single" w:sz="4" w:space="0" w:color="auto"/>
              <w:right w:val="single" w:sz="4" w:space="0" w:color="auto"/>
            </w:tcBorders>
          </w:tcPr>
          <w:p w:rsidR="009250A3" w:rsidRPr="00055C43" w:rsidRDefault="009250A3" w:rsidP="006979DD">
            <w:pPr>
              <w:pStyle w:val="a4"/>
              <w:rPr>
                <w:sz w:val="22"/>
                <w:szCs w:val="22"/>
                <w:lang w:val="en-US"/>
              </w:rPr>
            </w:pPr>
            <w:r w:rsidRPr="00055C43">
              <w:rPr>
                <w:sz w:val="22"/>
                <w:szCs w:val="22"/>
              </w:rPr>
              <w:t>Υστεροσαλπιγγογραφία</w:t>
            </w:r>
          </w:p>
        </w:tc>
        <w:tc>
          <w:tcPr>
            <w:tcW w:w="1560" w:type="dxa"/>
            <w:tcBorders>
              <w:left w:val="single" w:sz="4" w:space="0" w:color="auto"/>
              <w:right w:val="single" w:sz="4" w:space="0" w:color="auto"/>
            </w:tcBorders>
          </w:tcPr>
          <w:p w:rsidR="009250A3" w:rsidRPr="00055C43" w:rsidRDefault="009250A3" w:rsidP="006979DD">
            <w:pPr>
              <w:jc w:val="center"/>
              <w:rPr>
                <w:sz w:val="22"/>
                <w:szCs w:val="22"/>
                <w:lang w:val="en-US"/>
              </w:rPr>
            </w:pPr>
            <w:r w:rsidRPr="00055C43">
              <w:rPr>
                <w:sz w:val="22"/>
                <w:szCs w:val="22"/>
                <w:lang w:val="en-US"/>
              </w:rPr>
              <w:t>5-20</w:t>
            </w:r>
          </w:p>
        </w:tc>
        <w:tc>
          <w:tcPr>
            <w:tcW w:w="3095" w:type="dxa"/>
            <w:tcBorders>
              <w:left w:val="single" w:sz="4" w:space="0" w:color="auto"/>
              <w:right w:val="single" w:sz="4" w:space="0" w:color="auto"/>
            </w:tcBorders>
          </w:tcPr>
          <w:p w:rsidR="009250A3" w:rsidRPr="00055C43" w:rsidRDefault="009250A3" w:rsidP="006979DD">
            <w:pPr>
              <w:jc w:val="center"/>
              <w:rPr>
                <w:sz w:val="22"/>
                <w:szCs w:val="22"/>
              </w:rPr>
            </w:pPr>
            <w:r w:rsidRPr="00055C43">
              <w:rPr>
                <w:sz w:val="22"/>
                <w:szCs w:val="22"/>
              </w:rPr>
              <w:t xml:space="preserve">προσαρμογή στον όγκο της </w:t>
            </w:r>
            <w:r w:rsidRPr="00C9363A">
              <w:rPr>
                <w:sz w:val="22"/>
                <w:szCs w:val="22"/>
              </w:rPr>
              <w:t>μήτρας</w:t>
            </w:r>
          </w:p>
        </w:tc>
      </w:tr>
      <w:tr w:rsidR="009250A3" w:rsidRPr="00055C43">
        <w:tc>
          <w:tcPr>
            <w:tcW w:w="2479" w:type="dxa"/>
            <w:tcBorders>
              <w:left w:val="single" w:sz="4" w:space="0" w:color="auto"/>
              <w:bottom w:val="single" w:sz="4" w:space="0" w:color="auto"/>
              <w:right w:val="single" w:sz="4" w:space="0" w:color="auto"/>
            </w:tcBorders>
          </w:tcPr>
          <w:p w:rsidR="009250A3" w:rsidRPr="00055C43" w:rsidRDefault="009250A3" w:rsidP="006979DD">
            <w:pPr>
              <w:rPr>
                <w:sz w:val="22"/>
                <w:szCs w:val="22"/>
              </w:rPr>
            </w:pPr>
          </w:p>
        </w:tc>
        <w:tc>
          <w:tcPr>
            <w:tcW w:w="1560" w:type="dxa"/>
            <w:tcBorders>
              <w:left w:val="single" w:sz="4" w:space="0" w:color="auto"/>
              <w:bottom w:val="single" w:sz="4" w:space="0" w:color="auto"/>
              <w:right w:val="single" w:sz="4" w:space="0" w:color="auto"/>
            </w:tcBorders>
          </w:tcPr>
          <w:p w:rsidR="009250A3" w:rsidRPr="00055C43" w:rsidRDefault="009250A3" w:rsidP="006979DD">
            <w:pPr>
              <w:jc w:val="center"/>
              <w:rPr>
                <w:sz w:val="22"/>
                <w:szCs w:val="22"/>
              </w:rPr>
            </w:pPr>
          </w:p>
        </w:tc>
        <w:tc>
          <w:tcPr>
            <w:tcW w:w="3095" w:type="dxa"/>
            <w:tcBorders>
              <w:left w:val="single" w:sz="4" w:space="0" w:color="auto"/>
              <w:bottom w:val="single" w:sz="4" w:space="0" w:color="auto"/>
              <w:right w:val="single" w:sz="4" w:space="0" w:color="auto"/>
            </w:tcBorders>
          </w:tcPr>
          <w:p w:rsidR="009250A3" w:rsidRPr="00055C43" w:rsidRDefault="009250A3" w:rsidP="006979DD">
            <w:pPr>
              <w:jc w:val="center"/>
              <w:rPr>
                <w:sz w:val="22"/>
                <w:szCs w:val="22"/>
              </w:rPr>
            </w:pPr>
          </w:p>
        </w:tc>
      </w:tr>
    </w:tbl>
    <w:p w:rsidR="009250A3" w:rsidRPr="006320B9" w:rsidRDefault="009250A3" w:rsidP="006979DD">
      <w:pPr>
        <w:rPr>
          <w:sz w:val="22"/>
          <w:szCs w:val="22"/>
          <w:lang w:val="en-US"/>
        </w:rPr>
      </w:pPr>
    </w:p>
    <w:p w:rsidR="009250A3" w:rsidRPr="006320B9" w:rsidRDefault="009250A3" w:rsidP="006979DD">
      <w:pPr>
        <w:rPr>
          <w:b/>
          <w:bCs/>
          <w:sz w:val="22"/>
          <w:szCs w:val="22"/>
          <w:lang w:val="en-US"/>
        </w:rPr>
      </w:pPr>
      <w:r w:rsidRPr="00C9363A">
        <w:rPr>
          <w:b/>
          <w:bCs/>
          <w:sz w:val="22"/>
          <w:szCs w:val="22"/>
        </w:rPr>
        <w:t>4.3</w:t>
      </w:r>
      <w:r w:rsidR="006979DD" w:rsidRPr="00C9363A">
        <w:rPr>
          <w:b/>
          <w:bCs/>
          <w:sz w:val="22"/>
          <w:szCs w:val="22"/>
        </w:rPr>
        <w:tab/>
      </w:r>
      <w:r w:rsidRPr="00C9363A">
        <w:rPr>
          <w:b/>
          <w:bCs/>
          <w:sz w:val="22"/>
          <w:szCs w:val="22"/>
        </w:rPr>
        <w:t>Αντενδείξεις</w:t>
      </w:r>
    </w:p>
    <w:p w:rsidR="009250A3" w:rsidRPr="00055C43" w:rsidRDefault="009250A3" w:rsidP="006979DD">
      <w:pPr>
        <w:pStyle w:val="31"/>
        <w:rPr>
          <w:rFonts w:ascii="Times New Roman" w:hAnsi="Times New Roman" w:cs="Times New Roman"/>
          <w:color w:val="auto"/>
          <w:sz w:val="22"/>
          <w:lang w:val="el-GR"/>
        </w:rPr>
      </w:pPr>
      <w:r w:rsidRPr="00055C43">
        <w:rPr>
          <w:rFonts w:ascii="Times New Roman" w:hAnsi="Times New Roman" w:cs="Times New Roman"/>
          <w:color w:val="auto"/>
          <w:sz w:val="22"/>
          <w:lang w:val="el-GR"/>
        </w:rPr>
        <w:t>Υπερευαισθησία στην ιο</w:t>
      </w:r>
      <w:r w:rsidR="006979DD" w:rsidRPr="00055C43">
        <w:rPr>
          <w:rFonts w:ascii="Times New Roman" w:hAnsi="Times New Roman" w:cs="Times New Roman"/>
          <w:color w:val="auto"/>
          <w:sz w:val="22"/>
          <w:lang w:val="el-GR"/>
        </w:rPr>
        <w:t>β</w:t>
      </w:r>
      <w:r w:rsidRPr="00055C43">
        <w:rPr>
          <w:rFonts w:ascii="Times New Roman" w:hAnsi="Times New Roman" w:cs="Times New Roman"/>
          <w:color w:val="auto"/>
          <w:sz w:val="22"/>
          <w:lang w:val="el-GR"/>
        </w:rPr>
        <w:t>ιτριδόλη ή σε κάποιο από τα έκδοχα</w:t>
      </w:r>
    </w:p>
    <w:p w:rsidR="009250A3" w:rsidRPr="00055C43" w:rsidRDefault="009250A3" w:rsidP="006979DD">
      <w:pPr>
        <w:pStyle w:val="31"/>
        <w:rPr>
          <w:rFonts w:ascii="Times New Roman" w:hAnsi="Times New Roman" w:cs="Times New Roman"/>
          <w:color w:val="auto"/>
          <w:sz w:val="22"/>
          <w:lang w:val="el-GR"/>
        </w:rPr>
      </w:pPr>
      <w:r w:rsidRPr="00055C43">
        <w:rPr>
          <w:rFonts w:ascii="Times New Roman" w:hAnsi="Times New Roman" w:cs="Times New Roman"/>
          <w:color w:val="auto"/>
          <w:sz w:val="22"/>
          <w:lang w:val="el-GR"/>
        </w:rPr>
        <w:t xml:space="preserve">Ιστορικό </w:t>
      </w:r>
      <w:r w:rsidR="00895EF1" w:rsidRPr="00055C43">
        <w:rPr>
          <w:rFonts w:ascii="Times New Roman" w:hAnsi="Times New Roman" w:cs="Times New Roman"/>
          <w:color w:val="auto"/>
          <w:sz w:val="22"/>
          <w:lang w:val="el-GR"/>
        </w:rPr>
        <w:t xml:space="preserve">άμεσων </w:t>
      </w:r>
      <w:r w:rsidR="006979DD" w:rsidRPr="00055C43">
        <w:rPr>
          <w:rFonts w:ascii="Times New Roman" w:hAnsi="Times New Roman" w:cs="Times New Roman"/>
          <w:color w:val="auto"/>
          <w:sz w:val="22"/>
          <w:lang w:val="el-GR"/>
        </w:rPr>
        <w:t>σοβαρών αντιδράσεων</w:t>
      </w:r>
      <w:r w:rsidRPr="00055C43">
        <w:rPr>
          <w:rFonts w:ascii="Times New Roman" w:hAnsi="Times New Roman" w:cs="Times New Roman"/>
          <w:color w:val="auto"/>
          <w:sz w:val="22"/>
          <w:lang w:val="el-GR"/>
        </w:rPr>
        <w:t xml:space="preserve"> ή καθυστερημένων δερματικών αντιδράσεων (</w:t>
      </w:r>
      <w:r w:rsidR="006979DD" w:rsidRPr="00055C43">
        <w:rPr>
          <w:rFonts w:ascii="Times New Roman" w:hAnsi="Times New Roman" w:cs="Times New Roman"/>
          <w:color w:val="auto"/>
          <w:sz w:val="22"/>
          <w:lang w:val="el-GR"/>
        </w:rPr>
        <w:t>β</w:t>
      </w:r>
      <w:r w:rsidRPr="00055C43">
        <w:rPr>
          <w:rFonts w:ascii="Times New Roman" w:hAnsi="Times New Roman" w:cs="Times New Roman"/>
          <w:color w:val="auto"/>
          <w:sz w:val="22"/>
          <w:lang w:val="el-GR"/>
        </w:rPr>
        <w:t>λ. παράγραφο 4.8) κατά την έ</w:t>
      </w:r>
      <w:r w:rsidR="006979DD" w:rsidRPr="00055C43">
        <w:rPr>
          <w:rFonts w:ascii="Times New Roman" w:hAnsi="Times New Roman" w:cs="Times New Roman"/>
          <w:color w:val="auto"/>
          <w:sz w:val="22"/>
          <w:lang w:val="el-GR"/>
        </w:rPr>
        <w:t>νεση</w:t>
      </w:r>
      <w:r w:rsidRPr="00055C43">
        <w:rPr>
          <w:rFonts w:ascii="Times New Roman" w:hAnsi="Times New Roman" w:cs="Times New Roman"/>
          <w:color w:val="auto"/>
          <w:sz w:val="22"/>
          <w:lang w:val="el-GR"/>
        </w:rPr>
        <w:t xml:space="preserve"> Xenetix</w:t>
      </w:r>
    </w:p>
    <w:p w:rsidR="009250A3" w:rsidRPr="00C9363A" w:rsidRDefault="009250A3" w:rsidP="006979DD">
      <w:pPr>
        <w:rPr>
          <w:sz w:val="22"/>
          <w:szCs w:val="22"/>
        </w:rPr>
      </w:pPr>
      <w:r w:rsidRPr="00C9363A">
        <w:rPr>
          <w:sz w:val="22"/>
          <w:szCs w:val="22"/>
        </w:rPr>
        <w:t>Έκδηλη θυρεοτοξίκωση</w:t>
      </w:r>
    </w:p>
    <w:p w:rsidR="009250A3" w:rsidRPr="00C9363A" w:rsidRDefault="009250A3" w:rsidP="006979DD">
      <w:pPr>
        <w:rPr>
          <w:sz w:val="22"/>
          <w:szCs w:val="22"/>
        </w:rPr>
      </w:pPr>
      <w:r w:rsidRPr="00055C43">
        <w:rPr>
          <w:sz w:val="22"/>
          <w:szCs w:val="22"/>
        </w:rPr>
        <w:t>Υστεροσαλπιγγογραφία κατά τη διάρκεια της κύησης</w:t>
      </w:r>
    </w:p>
    <w:p w:rsidR="00E21AD8" w:rsidRPr="00C9363A" w:rsidRDefault="00E21AD8" w:rsidP="00E21AD8">
      <w:pPr>
        <w:rPr>
          <w:b/>
          <w:bCs/>
          <w:sz w:val="22"/>
          <w:szCs w:val="22"/>
        </w:rPr>
      </w:pPr>
    </w:p>
    <w:p w:rsidR="009250A3" w:rsidRPr="006320B9" w:rsidRDefault="009250A3" w:rsidP="006979DD">
      <w:pPr>
        <w:numPr>
          <w:ilvl w:val="1"/>
          <w:numId w:val="13"/>
        </w:numPr>
        <w:ind w:left="0" w:firstLine="0"/>
        <w:rPr>
          <w:b/>
          <w:bCs/>
          <w:sz w:val="22"/>
          <w:szCs w:val="22"/>
        </w:rPr>
      </w:pPr>
      <w:r w:rsidRPr="004C2CD3">
        <w:rPr>
          <w:b/>
          <w:bCs/>
          <w:sz w:val="22"/>
          <w:szCs w:val="22"/>
        </w:rPr>
        <w:t>Ειδικές προφυλάξεις και προειδοποιήσεις κατά την χρήση</w:t>
      </w:r>
    </w:p>
    <w:p w:rsidR="009250A3" w:rsidRPr="0096489F" w:rsidRDefault="009250A3" w:rsidP="006979DD">
      <w:pPr>
        <w:pStyle w:val="a7"/>
        <w:tabs>
          <w:tab w:val="clear" w:pos="0"/>
          <w:tab w:val="left" w:pos="284"/>
        </w:tabs>
        <w:spacing w:before="0"/>
        <w:rPr>
          <w:rFonts w:ascii="Times New Roman" w:hAnsi="Times New Roman" w:cs="Times New Roman"/>
          <w:sz w:val="22"/>
          <w:szCs w:val="22"/>
          <w:lang w:val="el-GR"/>
        </w:rPr>
      </w:pPr>
      <w:r w:rsidRPr="0096489F">
        <w:rPr>
          <w:rFonts w:ascii="Times New Roman" w:hAnsi="Times New Roman" w:cs="Times New Roman"/>
          <w:sz w:val="22"/>
          <w:szCs w:val="22"/>
          <w:lang w:val="el-GR"/>
        </w:rPr>
        <w:t>Υπάρχει κίνδυνος αλλεργικών αντιδράσεων ανεξάρτητα από την οδό χορήγησης ή τη δόση.</w:t>
      </w:r>
    </w:p>
    <w:p w:rsidR="009250A3" w:rsidRPr="0096489F" w:rsidRDefault="009250A3" w:rsidP="006979DD">
      <w:pPr>
        <w:shd w:val="clear" w:color="auto" w:fill="FFFFFF"/>
        <w:tabs>
          <w:tab w:val="left" w:pos="284"/>
        </w:tabs>
        <w:jc w:val="both"/>
        <w:rPr>
          <w:sz w:val="22"/>
          <w:szCs w:val="22"/>
        </w:rPr>
      </w:pPr>
      <w:r w:rsidRPr="00B25D25">
        <w:rPr>
          <w:sz w:val="22"/>
          <w:szCs w:val="22"/>
        </w:rPr>
        <w:t>Ο κίνδυνος αλλεργικών αντιδράσεων που σχετίζ</w:t>
      </w:r>
      <w:r w:rsidR="006979DD" w:rsidRPr="00B25D25">
        <w:rPr>
          <w:sz w:val="22"/>
          <w:szCs w:val="22"/>
        </w:rPr>
        <w:t>εται</w:t>
      </w:r>
      <w:r w:rsidRPr="00B25D25">
        <w:rPr>
          <w:sz w:val="22"/>
          <w:szCs w:val="22"/>
        </w:rPr>
        <w:t xml:space="preserve"> με προϊόντα που χορηγούνται τοπικά για την </w:t>
      </w:r>
      <w:r w:rsidR="004C2CD3">
        <w:rPr>
          <w:sz w:val="22"/>
          <w:szCs w:val="22"/>
        </w:rPr>
        <w:t>ακτινοσκιερή απεικόνιση</w:t>
      </w:r>
      <w:r w:rsidRPr="0096489F">
        <w:rPr>
          <w:sz w:val="22"/>
          <w:szCs w:val="22"/>
        </w:rPr>
        <w:t xml:space="preserve"> των σωματικών κοιλοτήτων δεν είναι σαφής:</w:t>
      </w:r>
    </w:p>
    <w:p w:rsidR="00895EF1" w:rsidRPr="00B25D25" w:rsidRDefault="00895EF1" w:rsidP="006979DD">
      <w:pPr>
        <w:shd w:val="clear" w:color="auto" w:fill="FFFFFF"/>
        <w:tabs>
          <w:tab w:val="left" w:pos="284"/>
        </w:tabs>
        <w:jc w:val="both"/>
        <w:rPr>
          <w:sz w:val="22"/>
          <w:szCs w:val="22"/>
        </w:rPr>
      </w:pPr>
    </w:p>
    <w:p w:rsidR="009250A3" w:rsidRPr="0068100B" w:rsidRDefault="009250A3" w:rsidP="006979DD">
      <w:pPr>
        <w:shd w:val="clear" w:color="auto" w:fill="FFFFFF"/>
        <w:tabs>
          <w:tab w:val="left" w:pos="284"/>
        </w:tabs>
        <w:jc w:val="both"/>
        <w:rPr>
          <w:sz w:val="22"/>
          <w:szCs w:val="22"/>
        </w:rPr>
      </w:pPr>
      <w:r w:rsidRPr="003165BA">
        <w:rPr>
          <w:sz w:val="22"/>
          <w:szCs w:val="22"/>
        </w:rPr>
        <w:t>α)</w:t>
      </w:r>
      <w:r w:rsidRPr="003165BA">
        <w:rPr>
          <w:sz w:val="22"/>
          <w:szCs w:val="22"/>
        </w:rPr>
        <w:tab/>
        <w:t xml:space="preserve">Η χορήγηση μέσω </w:t>
      </w:r>
      <w:r w:rsidR="006979DD" w:rsidRPr="003165BA">
        <w:rPr>
          <w:sz w:val="22"/>
          <w:szCs w:val="22"/>
        </w:rPr>
        <w:t xml:space="preserve">ορισμένων </w:t>
      </w:r>
      <w:r w:rsidRPr="007701A8">
        <w:rPr>
          <w:sz w:val="22"/>
          <w:szCs w:val="22"/>
        </w:rPr>
        <w:t>συγκεκριμένων οδών (αρθ</w:t>
      </w:r>
      <w:r w:rsidRPr="00F2281C">
        <w:rPr>
          <w:sz w:val="22"/>
          <w:szCs w:val="22"/>
        </w:rPr>
        <w:t>ρικής, χοληφόρου, ενδομήτριας οδού, κ</w:t>
      </w:r>
      <w:r w:rsidR="006979DD" w:rsidRPr="00F2281C">
        <w:rPr>
          <w:sz w:val="22"/>
          <w:szCs w:val="22"/>
        </w:rPr>
        <w:t>.</w:t>
      </w:r>
      <w:r w:rsidRPr="00F2281C">
        <w:rPr>
          <w:sz w:val="22"/>
          <w:szCs w:val="22"/>
        </w:rPr>
        <w:t xml:space="preserve">λπ.) οδηγεί σε ποικίλους βαθμούς συστημικής </w:t>
      </w:r>
      <w:r w:rsidR="006979DD" w:rsidRPr="00BC6D25">
        <w:rPr>
          <w:sz w:val="22"/>
          <w:szCs w:val="22"/>
        </w:rPr>
        <w:t>διάχυσης</w:t>
      </w:r>
      <w:r w:rsidRPr="0068100B">
        <w:rPr>
          <w:sz w:val="22"/>
          <w:szCs w:val="22"/>
        </w:rPr>
        <w:t>, δηλ. ενδέχεται να παρατηρηθούν συστημικές επιδράσεις.</w:t>
      </w:r>
    </w:p>
    <w:p w:rsidR="00895EF1" w:rsidRPr="00055C43" w:rsidRDefault="00895EF1" w:rsidP="006979DD">
      <w:pPr>
        <w:shd w:val="clear" w:color="auto" w:fill="FFFFFF"/>
        <w:tabs>
          <w:tab w:val="left" w:pos="284"/>
        </w:tabs>
        <w:jc w:val="both"/>
        <w:rPr>
          <w:sz w:val="22"/>
          <w:szCs w:val="22"/>
        </w:rPr>
      </w:pPr>
    </w:p>
    <w:p w:rsidR="009250A3" w:rsidRPr="00B25D25" w:rsidRDefault="009250A3" w:rsidP="006979DD">
      <w:pPr>
        <w:shd w:val="clear" w:color="auto" w:fill="FFFFFF"/>
        <w:tabs>
          <w:tab w:val="left" w:pos="284"/>
        </w:tabs>
        <w:jc w:val="both"/>
        <w:rPr>
          <w:sz w:val="22"/>
          <w:szCs w:val="22"/>
        </w:rPr>
      </w:pPr>
      <w:r w:rsidRPr="00055C43">
        <w:rPr>
          <w:sz w:val="22"/>
          <w:szCs w:val="22"/>
        </w:rPr>
        <w:t>β)</w:t>
      </w:r>
      <w:r w:rsidRPr="00055C43">
        <w:rPr>
          <w:sz w:val="22"/>
          <w:szCs w:val="22"/>
        </w:rPr>
        <w:tab/>
        <w:t xml:space="preserve">Η από του στόματος ή </w:t>
      </w:r>
      <w:r w:rsidR="0096489F">
        <w:rPr>
          <w:sz w:val="22"/>
          <w:szCs w:val="22"/>
        </w:rPr>
        <w:t>το ορθό</w:t>
      </w:r>
      <w:r w:rsidRPr="0096489F">
        <w:rPr>
          <w:sz w:val="22"/>
          <w:szCs w:val="22"/>
        </w:rPr>
        <w:t xml:space="preserve"> χορήγηση οδηγεί συνήθως σε πολύ περιορισμένη συστημική διάχυση. Εάν ο εντερικός βλεννογόνος είναι φυσιολογικός, ποσότητα</w:t>
      </w:r>
      <w:r w:rsidR="006979DD" w:rsidRPr="0096489F">
        <w:rPr>
          <w:sz w:val="22"/>
          <w:szCs w:val="22"/>
        </w:rPr>
        <w:t xml:space="preserve"> όχι μεγαλύτερη του</w:t>
      </w:r>
      <w:r w:rsidRPr="00B25D25">
        <w:rPr>
          <w:sz w:val="22"/>
          <w:szCs w:val="22"/>
        </w:rPr>
        <w:t xml:space="preserve"> 5% της χορηγηθείσας δόσης εντοπίζεται στα ούρα και η υπόλοιπη αποβάλλεται στα κόπρανα. Αντίθετα, η απορρόφηση αυξάνεται εάν ο βλεννογόνος έχει υποστεί βλάβη. Σε περίπτωση διάτρησης, η απορρόφηση είναι ταχεία και συνολική, μ</w:t>
      </w:r>
      <w:r w:rsidR="00B25D25">
        <w:rPr>
          <w:sz w:val="22"/>
          <w:szCs w:val="22"/>
        </w:rPr>
        <w:t>έσω</w:t>
      </w:r>
      <w:r w:rsidRPr="00B25D25">
        <w:rPr>
          <w:sz w:val="22"/>
          <w:szCs w:val="22"/>
        </w:rPr>
        <w:t xml:space="preserve"> διάχυση</w:t>
      </w:r>
      <w:r w:rsidR="00B25D25">
        <w:rPr>
          <w:sz w:val="22"/>
          <w:szCs w:val="22"/>
        </w:rPr>
        <w:t>ς</w:t>
      </w:r>
      <w:r w:rsidRPr="00B25D25">
        <w:rPr>
          <w:sz w:val="22"/>
          <w:szCs w:val="22"/>
        </w:rPr>
        <w:t xml:space="preserve"> στην περιτοναϊκή κοιλότητα και το προϊόν αποβάλλεται στα ούρα. Συνεπώς, η εμφάνιση δοσοεξαρτώμενων συστημικών επιδράσεων εξαρτάται από την κατάσταση του εντερικού βλεννογόνου. </w:t>
      </w:r>
    </w:p>
    <w:p w:rsidR="006979DD" w:rsidRPr="003165BA" w:rsidRDefault="006979DD" w:rsidP="006979DD">
      <w:pPr>
        <w:shd w:val="clear" w:color="auto" w:fill="FFFFFF"/>
        <w:tabs>
          <w:tab w:val="left" w:pos="284"/>
        </w:tabs>
        <w:jc w:val="both"/>
        <w:rPr>
          <w:sz w:val="22"/>
          <w:szCs w:val="22"/>
        </w:rPr>
      </w:pPr>
    </w:p>
    <w:p w:rsidR="009250A3" w:rsidRPr="006320B9" w:rsidRDefault="009250A3" w:rsidP="006979DD">
      <w:pPr>
        <w:shd w:val="clear" w:color="auto" w:fill="FFFFFF"/>
        <w:tabs>
          <w:tab w:val="left" w:pos="284"/>
        </w:tabs>
        <w:jc w:val="both"/>
        <w:rPr>
          <w:sz w:val="22"/>
          <w:szCs w:val="22"/>
        </w:rPr>
      </w:pPr>
      <w:r w:rsidRPr="007701A8">
        <w:rPr>
          <w:sz w:val="22"/>
          <w:szCs w:val="22"/>
        </w:rPr>
        <w:t>γ)</w:t>
      </w:r>
      <w:r w:rsidRPr="007701A8">
        <w:rPr>
          <w:sz w:val="22"/>
          <w:szCs w:val="22"/>
        </w:rPr>
        <w:tab/>
        <w:t>Ωστόσο, ο ανοσοαλλεργικός μηχανισμός</w:t>
      </w:r>
      <w:r w:rsidRPr="00F2281C">
        <w:rPr>
          <w:sz w:val="22"/>
          <w:szCs w:val="22"/>
        </w:rPr>
        <w:t xml:space="preserve"> δεν είναι δοσοεξαρτώμενος και ανοσοαλλεργικές αντιδράσεις μπορεί να προκύψουν ανά πάσα στιγμή, ανεξάρτητα από την οδό χορήγησης.</w:t>
      </w:r>
    </w:p>
    <w:p w:rsidR="009250A3" w:rsidRPr="0068100B" w:rsidRDefault="009250A3" w:rsidP="006979DD">
      <w:pPr>
        <w:shd w:val="clear" w:color="auto" w:fill="FFFFFF"/>
        <w:jc w:val="both"/>
        <w:rPr>
          <w:sz w:val="22"/>
          <w:szCs w:val="22"/>
        </w:rPr>
      </w:pPr>
      <w:r w:rsidRPr="00F2281C">
        <w:rPr>
          <w:sz w:val="22"/>
          <w:szCs w:val="22"/>
        </w:rPr>
        <w:t xml:space="preserve">Συνεπώς, όσον αφορά τη συχνότητα και την ένταση των ανεπιθύμητων </w:t>
      </w:r>
      <w:r w:rsidR="006979DD" w:rsidRPr="00BC6D25">
        <w:rPr>
          <w:sz w:val="22"/>
          <w:szCs w:val="22"/>
        </w:rPr>
        <w:t>αντι</w:t>
      </w:r>
      <w:r w:rsidRPr="0068100B">
        <w:rPr>
          <w:sz w:val="22"/>
          <w:szCs w:val="22"/>
        </w:rPr>
        <w:t>δράσεων, υπάρχει διαφορά μεταξύ:</w:t>
      </w:r>
    </w:p>
    <w:p w:rsidR="009250A3" w:rsidRPr="00055C43" w:rsidRDefault="009250A3" w:rsidP="006979DD">
      <w:pPr>
        <w:shd w:val="clear" w:color="auto" w:fill="FFFFFF"/>
        <w:tabs>
          <w:tab w:val="left" w:pos="284"/>
        </w:tabs>
        <w:jc w:val="both"/>
        <w:rPr>
          <w:sz w:val="22"/>
          <w:szCs w:val="22"/>
        </w:rPr>
      </w:pPr>
      <w:r w:rsidRPr="00055C43">
        <w:rPr>
          <w:sz w:val="22"/>
          <w:szCs w:val="22"/>
        </w:rPr>
        <w:t>•</w:t>
      </w:r>
      <w:r w:rsidRPr="00055C43">
        <w:rPr>
          <w:sz w:val="22"/>
          <w:szCs w:val="22"/>
        </w:rPr>
        <w:tab/>
        <w:t xml:space="preserve">προϊόντων που χορηγούνται μέσω αγγειακών οδών και </w:t>
      </w:r>
      <w:r w:rsidR="00895EF1" w:rsidRPr="00055C43">
        <w:rPr>
          <w:sz w:val="22"/>
          <w:szCs w:val="22"/>
        </w:rPr>
        <w:t>ορισμένων</w:t>
      </w:r>
      <w:r w:rsidRPr="00055C43">
        <w:rPr>
          <w:sz w:val="22"/>
          <w:szCs w:val="22"/>
        </w:rPr>
        <w:t xml:space="preserve"> τοπικών οδών και</w:t>
      </w:r>
    </w:p>
    <w:p w:rsidR="009250A3" w:rsidRPr="00055C43" w:rsidRDefault="009250A3" w:rsidP="006979DD">
      <w:pPr>
        <w:shd w:val="clear" w:color="auto" w:fill="FFFFFF"/>
        <w:tabs>
          <w:tab w:val="left" w:pos="284"/>
        </w:tabs>
        <w:jc w:val="both"/>
        <w:rPr>
          <w:sz w:val="22"/>
          <w:szCs w:val="22"/>
        </w:rPr>
      </w:pPr>
      <w:r w:rsidRPr="00055C43">
        <w:rPr>
          <w:sz w:val="22"/>
          <w:szCs w:val="22"/>
        </w:rPr>
        <w:t>•</w:t>
      </w:r>
      <w:r w:rsidRPr="00055C43">
        <w:rPr>
          <w:sz w:val="22"/>
          <w:szCs w:val="22"/>
        </w:rPr>
        <w:tab/>
        <w:t>προϊόντων που χορηγούνται μέσω της γαστρεντερικής οδού, τα οποία απορροφώνται ελάχιστα μόνο υπό φυσιολογικές συνθήκες.</w:t>
      </w:r>
    </w:p>
    <w:p w:rsidR="009250A3" w:rsidRPr="00055C43" w:rsidRDefault="009250A3" w:rsidP="006979DD">
      <w:pPr>
        <w:shd w:val="clear" w:color="auto" w:fill="FFFFFF"/>
        <w:jc w:val="both"/>
        <w:rPr>
          <w:b/>
          <w:sz w:val="22"/>
          <w:szCs w:val="22"/>
          <w:u w:val="single"/>
        </w:rPr>
      </w:pPr>
    </w:p>
    <w:p w:rsidR="009250A3" w:rsidRPr="006320B9" w:rsidRDefault="009250A3" w:rsidP="006320B9">
      <w:pPr>
        <w:rPr>
          <w:b/>
          <w:sz w:val="22"/>
          <w:szCs w:val="22"/>
        </w:rPr>
      </w:pPr>
      <w:r w:rsidRPr="00055C43">
        <w:rPr>
          <w:b/>
          <w:sz w:val="22"/>
          <w:szCs w:val="22"/>
        </w:rPr>
        <w:t>4.4.1.</w:t>
      </w:r>
      <w:r w:rsidR="006979DD" w:rsidRPr="00055C43">
        <w:rPr>
          <w:b/>
          <w:sz w:val="22"/>
          <w:szCs w:val="22"/>
        </w:rPr>
        <w:tab/>
      </w:r>
      <w:r w:rsidRPr="00055C43">
        <w:rPr>
          <w:b/>
          <w:sz w:val="22"/>
          <w:szCs w:val="22"/>
        </w:rPr>
        <w:t>Γενικές παρατηρήσεις για όλα τα ιωδιούχα σκιαγραφικά</w:t>
      </w:r>
    </w:p>
    <w:p w:rsidR="009250A3" w:rsidRPr="00055C43" w:rsidRDefault="009250A3" w:rsidP="006979DD">
      <w:pPr>
        <w:shd w:val="clear" w:color="auto" w:fill="FFFFFF"/>
        <w:jc w:val="both"/>
        <w:rPr>
          <w:b/>
          <w:sz w:val="22"/>
          <w:szCs w:val="22"/>
        </w:rPr>
      </w:pPr>
      <w:r w:rsidRPr="00055C43">
        <w:rPr>
          <w:b/>
          <w:sz w:val="22"/>
          <w:szCs w:val="22"/>
          <w:u w:val="single"/>
        </w:rPr>
        <w:t xml:space="preserve">4.4.1.1 </w:t>
      </w:r>
      <w:r w:rsidR="006979DD" w:rsidRPr="00055C43">
        <w:rPr>
          <w:b/>
          <w:sz w:val="22"/>
          <w:szCs w:val="22"/>
          <w:u w:val="single"/>
        </w:rPr>
        <w:tab/>
      </w:r>
      <w:r w:rsidRPr="00055C43">
        <w:rPr>
          <w:b/>
          <w:sz w:val="22"/>
          <w:szCs w:val="22"/>
          <w:u w:val="single"/>
        </w:rPr>
        <w:t>Προειδοποιήσεις</w:t>
      </w:r>
    </w:p>
    <w:p w:rsidR="009250A3" w:rsidRPr="00C9363A" w:rsidRDefault="009250A3" w:rsidP="006979DD">
      <w:pPr>
        <w:shd w:val="clear" w:color="auto" w:fill="FFFFFF"/>
        <w:jc w:val="both"/>
        <w:rPr>
          <w:sz w:val="22"/>
          <w:szCs w:val="22"/>
        </w:rPr>
      </w:pPr>
    </w:p>
    <w:p w:rsidR="009250A3" w:rsidRPr="006320B9" w:rsidRDefault="009250A3" w:rsidP="006979DD">
      <w:pPr>
        <w:shd w:val="clear" w:color="auto" w:fill="FFFFFF"/>
        <w:jc w:val="both"/>
        <w:rPr>
          <w:sz w:val="22"/>
          <w:szCs w:val="22"/>
        </w:rPr>
      </w:pPr>
      <w:r w:rsidRPr="00C9363A">
        <w:rPr>
          <w:sz w:val="22"/>
          <w:szCs w:val="22"/>
        </w:rPr>
        <w:t xml:space="preserve">Ελλείψει ειδικών μελετών, η μυελογραφία δεν αποτελεί ένδειξη για το Xenetix. </w:t>
      </w:r>
    </w:p>
    <w:p w:rsidR="006979DD" w:rsidRPr="006320B9" w:rsidRDefault="009250A3" w:rsidP="006979DD">
      <w:pPr>
        <w:shd w:val="clear" w:color="auto" w:fill="FFFFFF"/>
        <w:jc w:val="both"/>
        <w:rPr>
          <w:sz w:val="22"/>
          <w:szCs w:val="22"/>
        </w:rPr>
      </w:pPr>
      <w:r w:rsidRPr="0096489F">
        <w:rPr>
          <w:sz w:val="22"/>
          <w:szCs w:val="22"/>
        </w:rPr>
        <w:t xml:space="preserve">Όλα τα ιωδιούχα σκιαγραφικά ενδέχεται να προκαλέσουν ελάσσονες ή μείζονες αντιδράσεις που μπορεί να είναι απειλητικές για τη ζωή. Μπορεί να εμφανιστούν άμεσα (εντός 60 </w:t>
      </w:r>
      <w:r w:rsidRPr="00B25D25">
        <w:rPr>
          <w:sz w:val="22"/>
          <w:szCs w:val="22"/>
        </w:rPr>
        <w:t>λεπτών) ή με καθυστέρηση (έως 7 ημ</w:t>
      </w:r>
      <w:r w:rsidR="006979DD" w:rsidRPr="00B25D25">
        <w:rPr>
          <w:sz w:val="22"/>
          <w:szCs w:val="22"/>
        </w:rPr>
        <w:t>έρες</w:t>
      </w:r>
      <w:r w:rsidRPr="003165BA">
        <w:rPr>
          <w:sz w:val="22"/>
          <w:szCs w:val="22"/>
        </w:rPr>
        <w:t>). Συχνά είναι απρόβλεπτες.</w:t>
      </w:r>
    </w:p>
    <w:p w:rsidR="006979DD" w:rsidRPr="006320B9" w:rsidRDefault="009250A3" w:rsidP="006979DD">
      <w:pPr>
        <w:shd w:val="clear" w:color="auto" w:fill="FFFFFF"/>
        <w:jc w:val="both"/>
        <w:rPr>
          <w:sz w:val="22"/>
          <w:szCs w:val="22"/>
        </w:rPr>
      </w:pPr>
      <w:r w:rsidRPr="00F2281C">
        <w:rPr>
          <w:sz w:val="22"/>
          <w:szCs w:val="22"/>
        </w:rPr>
        <w:t>Λόγω του κινδύνου μείζονων αντιδράσεων, πρέπει να υπάρχει διαθέσιμος εξοπλισμός ανάνηψης έκτακτης ανάγκης για άμεση χρήση.</w:t>
      </w:r>
    </w:p>
    <w:p w:rsidR="009250A3" w:rsidRPr="00055C43" w:rsidRDefault="009250A3" w:rsidP="006979DD">
      <w:pPr>
        <w:shd w:val="clear" w:color="auto" w:fill="FFFFFF"/>
        <w:jc w:val="both"/>
        <w:rPr>
          <w:sz w:val="22"/>
          <w:szCs w:val="22"/>
        </w:rPr>
      </w:pPr>
      <w:r w:rsidRPr="00F2281C">
        <w:rPr>
          <w:sz w:val="22"/>
          <w:szCs w:val="22"/>
        </w:rPr>
        <w:t xml:space="preserve">Έχουν αναπτυχθεί διάφοροι μηχανισμοί για την επεξήγηση της </w:t>
      </w:r>
      <w:r w:rsidR="006979DD" w:rsidRPr="00BC6D25">
        <w:rPr>
          <w:sz w:val="22"/>
          <w:szCs w:val="22"/>
        </w:rPr>
        <w:t>εμφάνι</w:t>
      </w:r>
      <w:r w:rsidR="006979DD" w:rsidRPr="0068100B">
        <w:rPr>
          <w:sz w:val="22"/>
          <w:szCs w:val="22"/>
        </w:rPr>
        <w:t>σης</w:t>
      </w:r>
      <w:r w:rsidRPr="00055C43">
        <w:rPr>
          <w:sz w:val="22"/>
          <w:szCs w:val="22"/>
        </w:rPr>
        <w:t xml:space="preserve"> αυτών των αντιδράσεων:</w:t>
      </w:r>
    </w:p>
    <w:p w:rsidR="009250A3" w:rsidRPr="00055C43" w:rsidRDefault="009250A3" w:rsidP="006979DD">
      <w:pPr>
        <w:pStyle w:val="a7"/>
        <w:tabs>
          <w:tab w:val="clear" w:pos="0"/>
          <w:tab w:val="left" w:pos="284"/>
        </w:tabs>
        <w:spacing w:before="0"/>
        <w:rPr>
          <w:rFonts w:ascii="Times New Roman" w:hAnsi="Times New Roman" w:cs="Times New Roman"/>
          <w:snapToGrid/>
          <w:sz w:val="22"/>
          <w:szCs w:val="22"/>
          <w:lang w:val="el-GR"/>
        </w:rPr>
      </w:pPr>
      <w:r w:rsidRPr="00055C43">
        <w:rPr>
          <w:rFonts w:ascii="Times New Roman" w:hAnsi="Times New Roman" w:cs="Times New Roman"/>
          <w:sz w:val="22"/>
          <w:szCs w:val="22"/>
          <w:lang w:val="el-GR"/>
        </w:rPr>
        <w:t>•</w:t>
      </w:r>
      <w:r w:rsidRPr="00055C43">
        <w:rPr>
          <w:rFonts w:ascii="Times New Roman" w:hAnsi="Times New Roman" w:cs="Times New Roman"/>
          <w:sz w:val="22"/>
          <w:szCs w:val="22"/>
          <w:lang w:val="el-GR"/>
        </w:rPr>
        <w:tab/>
        <w:t>Άμεση τοξικότητα που επηρεάζει το αγγειακό ενδοθήλιο και τις ιστικές πρωτεΐνες.</w:t>
      </w:r>
    </w:p>
    <w:p w:rsidR="009250A3" w:rsidRPr="003165BA" w:rsidRDefault="009250A3" w:rsidP="006979DD">
      <w:pPr>
        <w:shd w:val="clear" w:color="auto" w:fill="FFFFFF"/>
        <w:tabs>
          <w:tab w:val="left" w:pos="284"/>
        </w:tabs>
        <w:jc w:val="both"/>
        <w:rPr>
          <w:sz w:val="22"/>
          <w:szCs w:val="22"/>
        </w:rPr>
      </w:pPr>
      <w:r w:rsidRPr="00055C43">
        <w:rPr>
          <w:sz w:val="22"/>
          <w:szCs w:val="22"/>
        </w:rPr>
        <w:t>•</w:t>
      </w:r>
      <w:r w:rsidRPr="00055C43">
        <w:rPr>
          <w:sz w:val="22"/>
          <w:szCs w:val="22"/>
        </w:rPr>
        <w:tab/>
        <w:t>Φαρμακολογική δράση που τροποποιεί τη συγκέντρωση συγκεκριμένων ενδογενών παραγόντων (ισταμίνη, παράγοντες</w:t>
      </w:r>
      <w:r w:rsidR="003165BA">
        <w:rPr>
          <w:sz w:val="22"/>
          <w:szCs w:val="22"/>
        </w:rPr>
        <w:t xml:space="preserve"> συμπληρώματος</w:t>
      </w:r>
      <w:r w:rsidRPr="003165BA">
        <w:rPr>
          <w:sz w:val="22"/>
          <w:szCs w:val="22"/>
        </w:rPr>
        <w:t>, μεσολαβητές φλεγμονής) και παρατηρείται πιο συχνά με υπερωσμωτικά σκιαγραφικά.</w:t>
      </w:r>
    </w:p>
    <w:p w:rsidR="009250A3" w:rsidRPr="007701A8" w:rsidRDefault="009250A3" w:rsidP="006979DD">
      <w:pPr>
        <w:shd w:val="clear" w:color="auto" w:fill="FFFFFF"/>
        <w:tabs>
          <w:tab w:val="left" w:pos="284"/>
        </w:tabs>
        <w:jc w:val="both"/>
        <w:rPr>
          <w:sz w:val="22"/>
          <w:szCs w:val="22"/>
        </w:rPr>
      </w:pPr>
      <w:r w:rsidRPr="007701A8">
        <w:rPr>
          <w:sz w:val="22"/>
          <w:szCs w:val="22"/>
        </w:rPr>
        <w:t>•</w:t>
      </w:r>
      <w:r w:rsidRPr="007701A8">
        <w:rPr>
          <w:sz w:val="22"/>
          <w:szCs w:val="22"/>
        </w:rPr>
        <w:tab/>
        <w:t>Άμεσες IgE-μεσολαβούμενες αλλεργικές αντιδράσεις στο σκιαγραφικό Xenetix (αναφυλαξία)</w:t>
      </w:r>
    </w:p>
    <w:p w:rsidR="009250A3" w:rsidRPr="003165BA" w:rsidRDefault="009250A3" w:rsidP="006979DD">
      <w:pPr>
        <w:shd w:val="clear" w:color="auto" w:fill="FFFFFF"/>
        <w:tabs>
          <w:tab w:val="left" w:pos="284"/>
        </w:tabs>
        <w:jc w:val="both"/>
        <w:rPr>
          <w:sz w:val="22"/>
          <w:szCs w:val="22"/>
        </w:rPr>
      </w:pPr>
      <w:r w:rsidRPr="00F2281C">
        <w:rPr>
          <w:sz w:val="22"/>
          <w:szCs w:val="22"/>
        </w:rPr>
        <w:t>•</w:t>
      </w:r>
      <w:r w:rsidRPr="00F2281C">
        <w:rPr>
          <w:sz w:val="22"/>
          <w:szCs w:val="22"/>
        </w:rPr>
        <w:tab/>
        <w:t xml:space="preserve">Αλλεργικές αντιδράσεις </w:t>
      </w:r>
      <w:r w:rsidR="003165BA">
        <w:rPr>
          <w:sz w:val="22"/>
          <w:szCs w:val="22"/>
        </w:rPr>
        <w:t xml:space="preserve">με </w:t>
      </w:r>
      <w:r w:rsidRPr="003165BA">
        <w:rPr>
          <w:sz w:val="22"/>
          <w:szCs w:val="22"/>
        </w:rPr>
        <w:t>μηχανισμ</w:t>
      </w:r>
      <w:r w:rsidR="003165BA">
        <w:rPr>
          <w:sz w:val="22"/>
          <w:szCs w:val="22"/>
        </w:rPr>
        <w:t>ό</w:t>
      </w:r>
      <w:r w:rsidRPr="003165BA">
        <w:rPr>
          <w:sz w:val="22"/>
          <w:szCs w:val="22"/>
        </w:rPr>
        <w:t xml:space="preserve"> κυτταρικού τύπου (καθυστερημένες δερματικές αντιδράσεις)</w:t>
      </w:r>
    </w:p>
    <w:p w:rsidR="009250A3" w:rsidRPr="00F2281C" w:rsidRDefault="009250A3" w:rsidP="006979DD">
      <w:pPr>
        <w:pStyle w:val="a7"/>
        <w:tabs>
          <w:tab w:val="clear" w:pos="0"/>
        </w:tabs>
        <w:spacing w:before="0"/>
        <w:rPr>
          <w:rFonts w:ascii="Times New Roman" w:hAnsi="Times New Roman" w:cs="Times New Roman"/>
          <w:snapToGrid/>
          <w:sz w:val="22"/>
          <w:szCs w:val="22"/>
          <w:lang w:val="el-GR"/>
        </w:rPr>
      </w:pPr>
      <w:r w:rsidRPr="007701A8">
        <w:rPr>
          <w:rFonts w:ascii="Times New Roman" w:hAnsi="Times New Roman" w:cs="Times New Roman"/>
          <w:sz w:val="22"/>
          <w:szCs w:val="22"/>
          <w:lang w:val="el-GR"/>
        </w:rPr>
        <w:t xml:space="preserve">Οι ασθενείς </w:t>
      </w:r>
      <w:r w:rsidRPr="00F2281C">
        <w:rPr>
          <w:rFonts w:ascii="Times New Roman" w:hAnsi="Times New Roman" w:cs="Times New Roman"/>
          <w:sz w:val="22"/>
          <w:szCs w:val="22"/>
          <w:lang w:val="el-GR"/>
        </w:rPr>
        <w:t>στους οποίους έχει ήδη εμφανιστεί μια αντίδραση κατά τη χορήγηση του ιωδιούχου σκιαγραφικού διατρέχουν μεγαλύτερο κίνδυνο εμφάνισης μιας άλλης αντίδρασης μετά τη χορήγηση του ίδιου ή πιθανώς διαφορετικού ιωδιούχου σκιαγραφικού και επομένως θεωρούνται ασθενείς που διατρέχουν κίνδυνο.</w:t>
      </w:r>
    </w:p>
    <w:p w:rsidR="009250A3" w:rsidRPr="00BC6D25" w:rsidRDefault="009250A3" w:rsidP="006979DD">
      <w:pPr>
        <w:shd w:val="clear" w:color="auto" w:fill="FFFFFF"/>
        <w:rPr>
          <w:sz w:val="22"/>
          <w:szCs w:val="22"/>
        </w:rPr>
      </w:pPr>
    </w:p>
    <w:p w:rsidR="00895EF1" w:rsidRPr="006320B9" w:rsidRDefault="009250A3" w:rsidP="006979DD">
      <w:pPr>
        <w:autoSpaceDE w:val="0"/>
        <w:autoSpaceDN w:val="0"/>
        <w:adjustRightInd w:val="0"/>
        <w:jc w:val="both"/>
        <w:rPr>
          <w:b/>
          <w:sz w:val="22"/>
          <w:szCs w:val="22"/>
          <w:u w:val="single"/>
        </w:rPr>
      </w:pPr>
      <w:r w:rsidRPr="00055C43">
        <w:rPr>
          <w:b/>
          <w:sz w:val="22"/>
          <w:szCs w:val="22"/>
          <w:u w:val="single"/>
        </w:rPr>
        <w:t>Ιωδιούχα σκιαγραφικά και θυρεοειδής (βλ. επίσης παράγραφο 4.4.1.2 Δυσλειτουργία θυρεοειδούς)</w:t>
      </w:r>
    </w:p>
    <w:p w:rsidR="006979DD" w:rsidRPr="006320B9" w:rsidRDefault="009250A3" w:rsidP="006979DD">
      <w:pPr>
        <w:shd w:val="clear" w:color="auto" w:fill="FFFFFF"/>
        <w:jc w:val="both"/>
        <w:rPr>
          <w:sz w:val="22"/>
          <w:szCs w:val="22"/>
        </w:rPr>
      </w:pPr>
      <w:r w:rsidRPr="00C9363A">
        <w:rPr>
          <w:sz w:val="22"/>
          <w:szCs w:val="22"/>
        </w:rPr>
        <w:t>Πριν από τη χορήγηση ιωδιούχου σκιαγραφικού, πρέπει να βεβαιωθείτε ότι ο ασθενής δεν έχει προγραμματιστεί για σπινθηρογραφική εξέταση</w:t>
      </w:r>
      <w:r w:rsidRPr="004C2CD3">
        <w:rPr>
          <w:sz w:val="22"/>
          <w:szCs w:val="22"/>
        </w:rPr>
        <w:t xml:space="preserve"> ή για εργαστηριακές εξετάσεις που σχετίζονται με το θυρεοειδή ή για λήψη ραδιενεργού ιωδίου για θεραπευτικούς σκοπούς.</w:t>
      </w:r>
    </w:p>
    <w:p w:rsidR="009250A3" w:rsidRPr="003165BA" w:rsidRDefault="009250A3" w:rsidP="006979DD">
      <w:pPr>
        <w:shd w:val="clear" w:color="auto" w:fill="FFFFFF"/>
        <w:jc w:val="both"/>
        <w:rPr>
          <w:sz w:val="22"/>
          <w:szCs w:val="22"/>
        </w:rPr>
      </w:pPr>
      <w:r w:rsidRPr="00B25D25">
        <w:rPr>
          <w:sz w:val="22"/>
          <w:szCs w:val="22"/>
        </w:rPr>
        <w:t>Η χορήγηση σκιαγραφικών μέσω οποιασδήποτε οδού δια</w:t>
      </w:r>
      <w:r w:rsidR="006979DD" w:rsidRPr="00B25D25">
        <w:rPr>
          <w:sz w:val="22"/>
          <w:szCs w:val="22"/>
        </w:rPr>
        <w:t>ταράσσει</w:t>
      </w:r>
      <w:r w:rsidRPr="003165BA">
        <w:rPr>
          <w:sz w:val="22"/>
          <w:szCs w:val="22"/>
        </w:rPr>
        <w:t xml:space="preserve"> τις συγκεντρώσεις </w:t>
      </w:r>
      <w:r w:rsidR="003165BA">
        <w:rPr>
          <w:sz w:val="22"/>
          <w:szCs w:val="22"/>
        </w:rPr>
        <w:t xml:space="preserve">των θυρεοειδικών </w:t>
      </w:r>
      <w:r w:rsidRPr="003165BA">
        <w:rPr>
          <w:sz w:val="22"/>
          <w:szCs w:val="22"/>
        </w:rPr>
        <w:t>ορμονών και την πρόσληψη ιωδίου από το θυρεοειδή ή από</w:t>
      </w:r>
      <w:r w:rsidR="003165BA">
        <w:rPr>
          <w:sz w:val="22"/>
          <w:szCs w:val="22"/>
        </w:rPr>
        <w:t xml:space="preserve"> τις</w:t>
      </w:r>
      <w:r w:rsidRPr="003165BA">
        <w:rPr>
          <w:sz w:val="22"/>
          <w:szCs w:val="22"/>
        </w:rPr>
        <w:t xml:space="preserve"> μεταστάσεις του καρκίνου του θυρεοειδούς, έως ότου τα επίπεδα του ιωδίου στα ούρα να επανέλθουν σε φυσιολογικά επίπεδα.</w:t>
      </w:r>
    </w:p>
    <w:p w:rsidR="009250A3" w:rsidRPr="007701A8" w:rsidRDefault="009250A3" w:rsidP="006979DD">
      <w:pPr>
        <w:shd w:val="clear" w:color="auto" w:fill="FFFFFF"/>
        <w:jc w:val="both"/>
        <w:rPr>
          <w:sz w:val="22"/>
          <w:szCs w:val="22"/>
        </w:rPr>
      </w:pPr>
    </w:p>
    <w:p w:rsidR="009250A3" w:rsidRPr="006320B9" w:rsidRDefault="009250A3" w:rsidP="006979DD">
      <w:pPr>
        <w:autoSpaceDE w:val="0"/>
        <w:autoSpaceDN w:val="0"/>
        <w:adjustRightInd w:val="0"/>
        <w:jc w:val="both"/>
        <w:rPr>
          <w:b/>
          <w:sz w:val="22"/>
          <w:szCs w:val="22"/>
          <w:u w:val="single"/>
          <w:lang w:val="en-US"/>
        </w:rPr>
      </w:pPr>
      <w:r w:rsidRPr="00055C43">
        <w:rPr>
          <w:b/>
          <w:sz w:val="22"/>
          <w:szCs w:val="22"/>
          <w:u w:val="single"/>
        </w:rPr>
        <w:t>Άλλες προειδοποιήσεις</w:t>
      </w:r>
    </w:p>
    <w:p w:rsidR="009250A3" w:rsidRPr="00BC6D25" w:rsidRDefault="009250A3" w:rsidP="006979DD">
      <w:pPr>
        <w:autoSpaceDE w:val="0"/>
        <w:autoSpaceDN w:val="0"/>
        <w:adjustRightInd w:val="0"/>
        <w:jc w:val="both"/>
        <w:rPr>
          <w:sz w:val="22"/>
          <w:szCs w:val="22"/>
        </w:rPr>
      </w:pPr>
      <w:r w:rsidRPr="00C9363A">
        <w:rPr>
          <w:sz w:val="22"/>
          <w:szCs w:val="22"/>
        </w:rPr>
        <w:t>Η εξαγγείωση είναι μια συνήθης επιπλοκή (0,04% έως 0,9%) της ενδοφλέβιας έ</w:t>
      </w:r>
      <w:r w:rsidR="006979DD" w:rsidRPr="004C2CD3">
        <w:rPr>
          <w:sz w:val="22"/>
          <w:szCs w:val="22"/>
        </w:rPr>
        <w:t>νεσης</w:t>
      </w:r>
      <w:r w:rsidRPr="0096489F">
        <w:rPr>
          <w:sz w:val="22"/>
          <w:szCs w:val="22"/>
        </w:rPr>
        <w:t xml:space="preserve"> σκιαγραφικών. </w:t>
      </w:r>
      <w:r w:rsidR="006979DD" w:rsidRPr="00B25D25">
        <w:rPr>
          <w:sz w:val="22"/>
          <w:szCs w:val="22"/>
        </w:rPr>
        <w:t>Είναι συχνότερη</w:t>
      </w:r>
      <w:r w:rsidRPr="003165BA">
        <w:rPr>
          <w:sz w:val="22"/>
          <w:szCs w:val="22"/>
        </w:rPr>
        <w:t xml:space="preserve"> με προϊόντα υψηλής ωσμωτικότητας</w:t>
      </w:r>
      <w:r w:rsidR="007701A8">
        <w:rPr>
          <w:sz w:val="22"/>
          <w:szCs w:val="22"/>
        </w:rPr>
        <w:t>. Ο</w:t>
      </w:r>
      <w:r w:rsidRPr="003165BA">
        <w:rPr>
          <w:sz w:val="22"/>
          <w:szCs w:val="22"/>
        </w:rPr>
        <w:t>ι περισσότερ</w:t>
      </w:r>
      <w:r w:rsidR="007701A8">
        <w:rPr>
          <w:sz w:val="22"/>
          <w:szCs w:val="22"/>
        </w:rPr>
        <w:t>ες</w:t>
      </w:r>
      <w:r w:rsidRPr="003165BA">
        <w:rPr>
          <w:sz w:val="22"/>
          <w:szCs w:val="22"/>
        </w:rPr>
        <w:t xml:space="preserve"> </w:t>
      </w:r>
      <w:r w:rsidR="007701A8">
        <w:rPr>
          <w:sz w:val="22"/>
          <w:szCs w:val="22"/>
        </w:rPr>
        <w:t>βλάβες</w:t>
      </w:r>
      <w:r w:rsidRPr="003165BA">
        <w:rPr>
          <w:sz w:val="22"/>
          <w:szCs w:val="22"/>
        </w:rPr>
        <w:t xml:space="preserve"> είναι </w:t>
      </w:r>
      <w:r w:rsidR="006979DD" w:rsidRPr="007701A8">
        <w:rPr>
          <w:sz w:val="22"/>
          <w:szCs w:val="22"/>
        </w:rPr>
        <w:t>ήσσονος σημασίας</w:t>
      </w:r>
      <w:r w:rsidRPr="007701A8">
        <w:rPr>
          <w:sz w:val="22"/>
          <w:szCs w:val="22"/>
        </w:rPr>
        <w:t xml:space="preserve">, ωστόσο ενδέχεται να προκληθούν σοβαροί τραυματισμοί, όπως </w:t>
      </w:r>
      <w:r w:rsidR="007701A8">
        <w:rPr>
          <w:sz w:val="22"/>
          <w:szCs w:val="22"/>
        </w:rPr>
        <w:t>εξ</w:t>
      </w:r>
      <w:r w:rsidRPr="007701A8">
        <w:rPr>
          <w:sz w:val="22"/>
          <w:szCs w:val="22"/>
        </w:rPr>
        <w:t>έλκωση του δέρματος, νέκρωση ιστού και σύνδρομο διαμερίσματος, με οποιοδήποτε ιωδιούχο σκιαγραφικό. Ο κίνδυνος ή/και οι παράγοντες σοβαρότητας εξαρτώνται από τον ασθενή (</w:t>
      </w:r>
      <w:r w:rsidR="006979DD" w:rsidRPr="00F2281C">
        <w:rPr>
          <w:sz w:val="22"/>
          <w:szCs w:val="22"/>
        </w:rPr>
        <w:t xml:space="preserve">καταστάσεις </w:t>
      </w:r>
      <w:r w:rsidRPr="00F2281C">
        <w:rPr>
          <w:sz w:val="22"/>
          <w:szCs w:val="22"/>
        </w:rPr>
        <w:t>ανεπαρκ</w:t>
      </w:r>
      <w:r w:rsidR="006979DD" w:rsidRPr="00F2281C">
        <w:rPr>
          <w:sz w:val="22"/>
          <w:szCs w:val="22"/>
        </w:rPr>
        <w:t>ών</w:t>
      </w:r>
      <w:r w:rsidRPr="00F2281C">
        <w:rPr>
          <w:sz w:val="22"/>
          <w:szCs w:val="22"/>
        </w:rPr>
        <w:t xml:space="preserve"> ή εύθραυστων αγγείων) και την τεχνική </w:t>
      </w:r>
      <w:r w:rsidR="007701A8">
        <w:rPr>
          <w:sz w:val="22"/>
          <w:szCs w:val="22"/>
        </w:rPr>
        <w:t>χορήγησης</w:t>
      </w:r>
      <w:r w:rsidR="007701A8" w:rsidRPr="007701A8">
        <w:rPr>
          <w:sz w:val="22"/>
          <w:szCs w:val="22"/>
        </w:rPr>
        <w:t xml:space="preserve"> </w:t>
      </w:r>
      <w:r w:rsidRPr="00F2281C">
        <w:rPr>
          <w:sz w:val="22"/>
          <w:szCs w:val="22"/>
        </w:rPr>
        <w:t xml:space="preserve">(χρήση αυτόματου εγχυτή, μεγάλος όγκος). </w:t>
      </w:r>
      <w:r w:rsidR="00F2281C" w:rsidRPr="00737DCD">
        <w:rPr>
          <w:sz w:val="22"/>
          <w:szCs w:val="22"/>
        </w:rPr>
        <w:t>Είναι σημαντικό</w:t>
      </w:r>
      <w:r w:rsidR="00F2281C">
        <w:rPr>
          <w:sz w:val="22"/>
          <w:szCs w:val="22"/>
        </w:rPr>
        <w:t xml:space="preserve"> να</w:t>
      </w:r>
      <w:r w:rsidR="00F2281C" w:rsidRPr="00737DCD">
        <w:rPr>
          <w:sz w:val="22"/>
          <w:szCs w:val="22"/>
        </w:rPr>
        <w:t xml:space="preserve"> </w:t>
      </w:r>
      <w:r w:rsidR="00F2281C">
        <w:rPr>
          <w:sz w:val="22"/>
          <w:szCs w:val="22"/>
        </w:rPr>
        <w:t xml:space="preserve">αναγνωρισθούν </w:t>
      </w:r>
      <w:r w:rsidR="00F2281C" w:rsidRPr="00737DCD">
        <w:rPr>
          <w:sz w:val="22"/>
          <w:szCs w:val="22"/>
        </w:rPr>
        <w:t>αυτ</w:t>
      </w:r>
      <w:r w:rsidR="00F2281C">
        <w:rPr>
          <w:sz w:val="22"/>
          <w:szCs w:val="22"/>
        </w:rPr>
        <w:t>οί</w:t>
      </w:r>
      <w:r w:rsidR="00F2281C" w:rsidRPr="00737DCD">
        <w:rPr>
          <w:sz w:val="22"/>
          <w:szCs w:val="22"/>
        </w:rPr>
        <w:t xml:space="preserve"> </w:t>
      </w:r>
      <w:r w:rsidR="00F2281C">
        <w:rPr>
          <w:sz w:val="22"/>
          <w:szCs w:val="22"/>
        </w:rPr>
        <w:t xml:space="preserve">οι </w:t>
      </w:r>
      <w:r w:rsidR="00F2281C" w:rsidRPr="00737DCD">
        <w:rPr>
          <w:sz w:val="22"/>
          <w:szCs w:val="22"/>
        </w:rPr>
        <w:t>παρ</w:t>
      </w:r>
      <w:r w:rsidR="00F2281C">
        <w:rPr>
          <w:sz w:val="22"/>
          <w:szCs w:val="22"/>
        </w:rPr>
        <w:t>άγοντες</w:t>
      </w:r>
      <w:r w:rsidR="00F2281C" w:rsidRPr="00737DCD">
        <w:rPr>
          <w:sz w:val="22"/>
          <w:szCs w:val="22"/>
        </w:rPr>
        <w:t xml:space="preserve">, </w:t>
      </w:r>
      <w:r w:rsidR="00F2281C">
        <w:rPr>
          <w:sz w:val="22"/>
          <w:szCs w:val="22"/>
        </w:rPr>
        <w:t xml:space="preserve">και να </w:t>
      </w:r>
      <w:r w:rsidR="00F2281C" w:rsidRPr="00737DCD">
        <w:rPr>
          <w:sz w:val="22"/>
          <w:szCs w:val="22"/>
        </w:rPr>
        <w:t>βελτιστοπο</w:t>
      </w:r>
      <w:r w:rsidR="00F2281C">
        <w:rPr>
          <w:sz w:val="22"/>
          <w:szCs w:val="22"/>
        </w:rPr>
        <w:t xml:space="preserve">ιηθεί </w:t>
      </w:r>
      <w:r w:rsidR="00F2281C" w:rsidRPr="00737DCD">
        <w:rPr>
          <w:sz w:val="22"/>
          <w:szCs w:val="22"/>
        </w:rPr>
        <w:t>το σημείο έ</w:t>
      </w:r>
      <w:r w:rsidR="00F2281C">
        <w:rPr>
          <w:sz w:val="22"/>
          <w:szCs w:val="22"/>
        </w:rPr>
        <w:t>νεσης</w:t>
      </w:r>
      <w:r w:rsidRPr="00F2281C">
        <w:rPr>
          <w:sz w:val="22"/>
          <w:szCs w:val="22"/>
        </w:rPr>
        <w:t xml:space="preserve"> και </w:t>
      </w:r>
      <w:r w:rsidR="00F2281C">
        <w:rPr>
          <w:sz w:val="22"/>
          <w:szCs w:val="22"/>
        </w:rPr>
        <w:t>η</w:t>
      </w:r>
      <w:r w:rsidRPr="00F2281C">
        <w:rPr>
          <w:sz w:val="22"/>
          <w:szCs w:val="22"/>
        </w:rPr>
        <w:t xml:space="preserve"> τεχνική αντίστοιχα καθώς και η παρακολούθηση της έ</w:t>
      </w:r>
      <w:r w:rsidR="006979DD" w:rsidRPr="00F2281C">
        <w:rPr>
          <w:sz w:val="22"/>
          <w:szCs w:val="22"/>
        </w:rPr>
        <w:t>νεσης</w:t>
      </w:r>
      <w:r w:rsidRPr="00F2281C">
        <w:rPr>
          <w:sz w:val="22"/>
          <w:szCs w:val="22"/>
        </w:rPr>
        <w:t xml:space="preserve"> πριν από, κατά τη διάρκεια και μετά την έ</w:t>
      </w:r>
      <w:r w:rsidR="006979DD" w:rsidRPr="00BC6D25">
        <w:rPr>
          <w:sz w:val="22"/>
          <w:szCs w:val="22"/>
        </w:rPr>
        <w:t>νεση</w:t>
      </w:r>
      <w:r w:rsidRPr="00BC6D25">
        <w:rPr>
          <w:sz w:val="22"/>
          <w:szCs w:val="22"/>
        </w:rPr>
        <w:t xml:space="preserve"> του Xenetix.</w:t>
      </w:r>
    </w:p>
    <w:p w:rsidR="009250A3" w:rsidRPr="006320B9" w:rsidRDefault="009250A3" w:rsidP="006979DD">
      <w:pPr>
        <w:tabs>
          <w:tab w:val="left" w:pos="1248"/>
          <w:tab w:val="left" w:pos="1728"/>
        </w:tabs>
        <w:jc w:val="both"/>
        <w:rPr>
          <w:sz w:val="22"/>
          <w:szCs w:val="22"/>
          <w:lang w:val="en-US"/>
        </w:rPr>
      </w:pPr>
    </w:p>
    <w:p w:rsidR="009250A3" w:rsidRPr="00055C43" w:rsidRDefault="009250A3" w:rsidP="006979DD">
      <w:pPr>
        <w:shd w:val="clear" w:color="auto" w:fill="FFFFFF"/>
        <w:jc w:val="both"/>
        <w:rPr>
          <w:b/>
          <w:sz w:val="22"/>
          <w:szCs w:val="22"/>
          <w:u w:val="single"/>
        </w:rPr>
      </w:pPr>
      <w:r w:rsidRPr="00055C43">
        <w:rPr>
          <w:b/>
          <w:sz w:val="22"/>
          <w:szCs w:val="22"/>
          <w:u w:val="single"/>
        </w:rPr>
        <w:t>4.4.1.2</w:t>
      </w:r>
      <w:r w:rsidR="006979DD" w:rsidRPr="00055C43">
        <w:rPr>
          <w:b/>
          <w:sz w:val="22"/>
          <w:szCs w:val="22"/>
          <w:u w:val="single"/>
        </w:rPr>
        <w:tab/>
      </w:r>
      <w:r w:rsidRPr="00055C43">
        <w:rPr>
          <w:b/>
          <w:sz w:val="22"/>
          <w:szCs w:val="22"/>
          <w:u w:val="single"/>
        </w:rPr>
        <w:t>Προφυλάξεις κατά τη χρήση</w:t>
      </w:r>
    </w:p>
    <w:p w:rsidR="006979DD" w:rsidRPr="00055C43" w:rsidRDefault="006979DD" w:rsidP="006979DD">
      <w:pPr>
        <w:shd w:val="clear" w:color="auto" w:fill="FFFFFF"/>
        <w:jc w:val="both"/>
        <w:rPr>
          <w:b/>
          <w:sz w:val="22"/>
          <w:szCs w:val="22"/>
          <w:u w:val="single"/>
        </w:rPr>
      </w:pPr>
    </w:p>
    <w:p w:rsidR="006979DD" w:rsidRPr="006320B9" w:rsidRDefault="009250A3" w:rsidP="006979DD">
      <w:pPr>
        <w:shd w:val="clear" w:color="auto" w:fill="FFFFFF"/>
        <w:jc w:val="both"/>
        <w:rPr>
          <w:b/>
          <w:sz w:val="22"/>
          <w:szCs w:val="22"/>
          <w:u w:val="single"/>
        </w:rPr>
      </w:pPr>
      <w:r w:rsidRPr="00055C43">
        <w:rPr>
          <w:b/>
          <w:sz w:val="22"/>
          <w:szCs w:val="22"/>
          <w:u w:val="single"/>
        </w:rPr>
        <w:t xml:space="preserve">Δυσανεξία σε ιωδιούχα σκιαγραφικά: </w:t>
      </w:r>
    </w:p>
    <w:p w:rsidR="009250A3" w:rsidRPr="00C9363A" w:rsidRDefault="009250A3" w:rsidP="006979DD">
      <w:pPr>
        <w:shd w:val="clear" w:color="auto" w:fill="FFFFFF"/>
        <w:jc w:val="both"/>
        <w:rPr>
          <w:sz w:val="22"/>
          <w:szCs w:val="22"/>
        </w:rPr>
      </w:pPr>
      <w:r w:rsidRPr="00C9363A">
        <w:rPr>
          <w:sz w:val="22"/>
          <w:szCs w:val="22"/>
        </w:rPr>
        <w:t>Πριν από την εξέταση:</w:t>
      </w:r>
    </w:p>
    <w:p w:rsidR="009250A3" w:rsidRPr="003165BA" w:rsidRDefault="009250A3" w:rsidP="00895EF1">
      <w:pPr>
        <w:shd w:val="clear" w:color="auto" w:fill="FFFFFF"/>
        <w:tabs>
          <w:tab w:val="left" w:pos="284"/>
        </w:tabs>
        <w:ind w:left="284" w:hanging="284"/>
        <w:jc w:val="both"/>
        <w:rPr>
          <w:sz w:val="22"/>
          <w:szCs w:val="22"/>
        </w:rPr>
      </w:pPr>
      <w:r w:rsidRPr="004C2CD3">
        <w:rPr>
          <w:sz w:val="22"/>
          <w:szCs w:val="22"/>
        </w:rPr>
        <w:t>•</w:t>
      </w:r>
      <w:r w:rsidR="00895EF1" w:rsidRPr="0096489F">
        <w:rPr>
          <w:sz w:val="22"/>
          <w:szCs w:val="22"/>
        </w:rPr>
        <w:tab/>
      </w:r>
      <w:r w:rsidRPr="00B25D25">
        <w:rPr>
          <w:sz w:val="22"/>
          <w:szCs w:val="22"/>
        </w:rPr>
        <w:t>Προσδιορίστε τους ασθενείς που διατρέχουν κί</w:t>
      </w:r>
      <w:r w:rsidRPr="003165BA">
        <w:rPr>
          <w:sz w:val="22"/>
          <w:szCs w:val="22"/>
        </w:rPr>
        <w:t>νδυνο με την ακριβή εξέταση του ιστορικού τους.</w:t>
      </w:r>
    </w:p>
    <w:p w:rsidR="006979DD" w:rsidRPr="007701A8" w:rsidRDefault="006979DD" w:rsidP="006979DD">
      <w:pPr>
        <w:shd w:val="clear" w:color="auto" w:fill="FFFFFF"/>
        <w:tabs>
          <w:tab w:val="left" w:pos="284"/>
        </w:tabs>
        <w:jc w:val="both"/>
        <w:rPr>
          <w:sz w:val="22"/>
          <w:szCs w:val="22"/>
        </w:rPr>
      </w:pPr>
    </w:p>
    <w:p w:rsidR="006979DD" w:rsidRPr="00055C43" w:rsidRDefault="009250A3" w:rsidP="006979DD">
      <w:pPr>
        <w:shd w:val="clear" w:color="auto" w:fill="FFFFFF"/>
        <w:tabs>
          <w:tab w:val="left" w:pos="284"/>
        </w:tabs>
        <w:jc w:val="both"/>
        <w:rPr>
          <w:sz w:val="22"/>
          <w:szCs w:val="22"/>
        </w:rPr>
      </w:pPr>
      <w:r w:rsidRPr="00F2281C">
        <w:rPr>
          <w:sz w:val="22"/>
          <w:szCs w:val="22"/>
        </w:rPr>
        <w:t xml:space="preserve">Συνιστάται η χρήση κορτικοστεροειδών και αντισταμινικών τύπου H1 ως προληπτική φαρμακευτική αγωγή σε ασθενείς που διατρέχουν υψηλότερο κίνδυνο </w:t>
      </w:r>
      <w:r w:rsidR="006979DD" w:rsidRPr="00F2281C">
        <w:rPr>
          <w:sz w:val="22"/>
          <w:szCs w:val="22"/>
        </w:rPr>
        <w:t xml:space="preserve">για </w:t>
      </w:r>
      <w:r w:rsidRPr="00F2281C">
        <w:rPr>
          <w:sz w:val="22"/>
          <w:szCs w:val="22"/>
        </w:rPr>
        <w:t>αντιδράσε</w:t>
      </w:r>
      <w:r w:rsidR="006979DD" w:rsidRPr="00F2281C">
        <w:rPr>
          <w:sz w:val="22"/>
          <w:szCs w:val="22"/>
        </w:rPr>
        <w:t>ις</w:t>
      </w:r>
      <w:r w:rsidRPr="00F2281C">
        <w:rPr>
          <w:sz w:val="22"/>
          <w:szCs w:val="22"/>
        </w:rPr>
        <w:t xml:space="preserve"> δυσανεξίας (ιστορικό δυσανεξίας σε ιωδιούχ</w:t>
      </w:r>
      <w:r w:rsidR="006979DD" w:rsidRPr="00BC6D25">
        <w:rPr>
          <w:sz w:val="22"/>
          <w:szCs w:val="22"/>
        </w:rPr>
        <w:t>ο</w:t>
      </w:r>
      <w:r w:rsidRPr="00BC6D25">
        <w:rPr>
          <w:sz w:val="22"/>
          <w:szCs w:val="22"/>
        </w:rPr>
        <w:t xml:space="preserve"> σκιαγραφικ</w:t>
      </w:r>
      <w:r w:rsidR="006979DD" w:rsidRPr="0068100B">
        <w:rPr>
          <w:sz w:val="22"/>
          <w:szCs w:val="22"/>
        </w:rPr>
        <w:t>ό</w:t>
      </w:r>
      <w:r w:rsidRPr="00055C43">
        <w:rPr>
          <w:sz w:val="22"/>
          <w:szCs w:val="22"/>
        </w:rPr>
        <w:t xml:space="preserve">). Ωστόσο, </w:t>
      </w:r>
      <w:r w:rsidR="006979DD" w:rsidRPr="00055C43">
        <w:rPr>
          <w:sz w:val="22"/>
          <w:szCs w:val="22"/>
        </w:rPr>
        <w:t xml:space="preserve">αυτά </w:t>
      </w:r>
      <w:r w:rsidRPr="00055C43">
        <w:rPr>
          <w:sz w:val="22"/>
          <w:szCs w:val="22"/>
        </w:rPr>
        <w:t>δεν αποτρέπουν την εμφάνιση σοβαρού ή μοιραίου αναφυλακτικού σοκ.</w:t>
      </w:r>
    </w:p>
    <w:p w:rsidR="009250A3" w:rsidRPr="00055C43" w:rsidRDefault="009250A3" w:rsidP="006979DD">
      <w:pPr>
        <w:shd w:val="clear" w:color="auto" w:fill="FFFFFF"/>
        <w:tabs>
          <w:tab w:val="left" w:pos="284"/>
        </w:tabs>
        <w:jc w:val="both"/>
        <w:rPr>
          <w:sz w:val="22"/>
          <w:szCs w:val="22"/>
        </w:rPr>
      </w:pPr>
      <w:r w:rsidRPr="00055C43">
        <w:rPr>
          <w:sz w:val="22"/>
          <w:szCs w:val="22"/>
        </w:rPr>
        <w:t xml:space="preserve"> </w:t>
      </w:r>
    </w:p>
    <w:p w:rsidR="009250A3" w:rsidRPr="00055C43" w:rsidRDefault="009250A3" w:rsidP="006979DD">
      <w:pPr>
        <w:shd w:val="clear" w:color="auto" w:fill="FFFFFF"/>
        <w:tabs>
          <w:tab w:val="left" w:pos="284"/>
        </w:tabs>
        <w:jc w:val="both"/>
        <w:rPr>
          <w:sz w:val="22"/>
          <w:szCs w:val="22"/>
        </w:rPr>
      </w:pPr>
      <w:r w:rsidRPr="00055C43">
        <w:rPr>
          <w:sz w:val="22"/>
          <w:szCs w:val="22"/>
        </w:rPr>
        <w:t>Κατά τη διάρκεια της διαδικασίας, πρέπει να τηρούνται τα παρακάτω μέτρα:</w:t>
      </w:r>
    </w:p>
    <w:p w:rsidR="009250A3" w:rsidRPr="00055C43" w:rsidRDefault="009250A3" w:rsidP="006979DD">
      <w:pPr>
        <w:shd w:val="clear" w:color="auto" w:fill="FFFFFF"/>
        <w:tabs>
          <w:tab w:val="left" w:pos="284"/>
        </w:tabs>
        <w:jc w:val="both"/>
        <w:rPr>
          <w:sz w:val="22"/>
          <w:szCs w:val="22"/>
        </w:rPr>
      </w:pPr>
      <w:r w:rsidRPr="00055C43">
        <w:rPr>
          <w:sz w:val="22"/>
          <w:szCs w:val="22"/>
        </w:rPr>
        <w:t>•</w:t>
      </w:r>
      <w:r w:rsidRPr="00055C43">
        <w:rPr>
          <w:sz w:val="22"/>
          <w:szCs w:val="22"/>
        </w:rPr>
        <w:tab/>
        <w:t>Ιατρική παρακολούθηση</w:t>
      </w:r>
    </w:p>
    <w:p w:rsidR="009250A3" w:rsidRPr="00055C43" w:rsidRDefault="009250A3" w:rsidP="006979DD">
      <w:pPr>
        <w:shd w:val="clear" w:color="auto" w:fill="FFFFFF"/>
        <w:tabs>
          <w:tab w:val="left" w:pos="284"/>
        </w:tabs>
        <w:jc w:val="both"/>
        <w:rPr>
          <w:sz w:val="22"/>
          <w:szCs w:val="22"/>
        </w:rPr>
      </w:pPr>
      <w:r w:rsidRPr="00055C43">
        <w:rPr>
          <w:sz w:val="22"/>
          <w:szCs w:val="22"/>
        </w:rPr>
        <w:lastRenderedPageBreak/>
        <w:t xml:space="preserve">• </w:t>
      </w:r>
      <w:r w:rsidRPr="00055C43">
        <w:rPr>
          <w:sz w:val="22"/>
          <w:szCs w:val="22"/>
        </w:rPr>
        <w:tab/>
        <w:t xml:space="preserve">Μόνιμη φλεβική προσπέλαση </w:t>
      </w:r>
    </w:p>
    <w:p w:rsidR="006979DD" w:rsidRPr="00055C43" w:rsidRDefault="006979DD" w:rsidP="006979DD">
      <w:pPr>
        <w:shd w:val="clear" w:color="auto" w:fill="FFFFFF"/>
        <w:tabs>
          <w:tab w:val="left" w:pos="284"/>
        </w:tabs>
        <w:jc w:val="both"/>
        <w:rPr>
          <w:sz w:val="22"/>
          <w:szCs w:val="22"/>
        </w:rPr>
      </w:pPr>
    </w:p>
    <w:p w:rsidR="006979DD" w:rsidRPr="006320B9" w:rsidRDefault="009250A3" w:rsidP="006979DD">
      <w:pPr>
        <w:shd w:val="clear" w:color="auto" w:fill="FFFFFF"/>
        <w:tabs>
          <w:tab w:val="left" w:pos="284"/>
        </w:tabs>
        <w:jc w:val="both"/>
        <w:rPr>
          <w:sz w:val="22"/>
          <w:szCs w:val="22"/>
          <w:lang w:val="en-US"/>
        </w:rPr>
      </w:pPr>
      <w:r w:rsidRPr="00055C43">
        <w:rPr>
          <w:sz w:val="22"/>
          <w:szCs w:val="22"/>
        </w:rPr>
        <w:t>Μετά την εξέταση:</w:t>
      </w:r>
    </w:p>
    <w:p w:rsidR="009250A3" w:rsidRPr="00055C43" w:rsidRDefault="009250A3" w:rsidP="006979DD">
      <w:pPr>
        <w:shd w:val="clear" w:color="auto" w:fill="FFFFFF"/>
        <w:tabs>
          <w:tab w:val="left" w:pos="284"/>
        </w:tabs>
        <w:ind w:left="284" w:hanging="284"/>
        <w:jc w:val="both"/>
        <w:rPr>
          <w:sz w:val="22"/>
          <w:szCs w:val="22"/>
        </w:rPr>
      </w:pPr>
      <w:r w:rsidRPr="00055C43">
        <w:rPr>
          <w:sz w:val="22"/>
          <w:szCs w:val="22"/>
        </w:rPr>
        <w:t>•</w:t>
      </w:r>
      <w:r w:rsidR="00895EF1" w:rsidRPr="00055C43">
        <w:rPr>
          <w:sz w:val="22"/>
          <w:szCs w:val="22"/>
        </w:rPr>
        <w:tab/>
      </w:r>
      <w:r w:rsidRPr="00055C43">
        <w:rPr>
          <w:sz w:val="22"/>
          <w:szCs w:val="22"/>
        </w:rPr>
        <w:t>Μετά τη χορήγηση του σκιαγραφικού, ο ασθενής πρέπει να παρακολουθείται για τουλάχιστον 30 λεπτά, καθώς οι πιο σοβαρές ανεπιθύμητες ενέργειες παρατηρούνται εντός αυτού του χρονικού διαστήματος.</w:t>
      </w:r>
    </w:p>
    <w:p w:rsidR="009250A3" w:rsidRPr="00055C43" w:rsidRDefault="009250A3" w:rsidP="006979DD">
      <w:pPr>
        <w:shd w:val="clear" w:color="auto" w:fill="FFFFFF"/>
        <w:tabs>
          <w:tab w:val="left" w:pos="284"/>
        </w:tabs>
        <w:ind w:left="284" w:hanging="284"/>
        <w:jc w:val="both"/>
        <w:rPr>
          <w:sz w:val="22"/>
          <w:szCs w:val="22"/>
        </w:rPr>
      </w:pPr>
      <w:r w:rsidRPr="00055C43">
        <w:rPr>
          <w:sz w:val="22"/>
          <w:szCs w:val="22"/>
        </w:rPr>
        <w:t>•</w:t>
      </w:r>
      <w:r w:rsidR="00895EF1" w:rsidRPr="00055C43">
        <w:rPr>
          <w:sz w:val="22"/>
          <w:szCs w:val="22"/>
        </w:rPr>
        <w:tab/>
      </w:r>
      <w:r w:rsidRPr="00055C43">
        <w:rPr>
          <w:sz w:val="22"/>
          <w:szCs w:val="22"/>
        </w:rPr>
        <w:t>Ο ασθενής πρέπει να ενημερωθεί για την πιθανότητα καθυστερημένων αντιδράσεων (για διάστημα έως επτά ημερών) (βλ. παράγραφο 4.8. Ανεπιθύμητες ενέργειες)</w:t>
      </w:r>
      <w:r w:rsidR="00895EF1" w:rsidRPr="00055C43">
        <w:rPr>
          <w:sz w:val="22"/>
          <w:szCs w:val="22"/>
        </w:rPr>
        <w:t>.</w:t>
      </w:r>
    </w:p>
    <w:p w:rsidR="006979DD" w:rsidRPr="00055C43" w:rsidRDefault="006979DD" w:rsidP="006979DD">
      <w:pPr>
        <w:shd w:val="clear" w:color="auto" w:fill="FFFFFF"/>
        <w:jc w:val="both"/>
        <w:rPr>
          <w:b/>
          <w:sz w:val="22"/>
          <w:szCs w:val="22"/>
          <w:u w:val="single"/>
        </w:rPr>
      </w:pPr>
    </w:p>
    <w:p w:rsidR="006979DD" w:rsidRPr="006320B9" w:rsidRDefault="009250A3" w:rsidP="006979DD">
      <w:pPr>
        <w:shd w:val="clear" w:color="auto" w:fill="FFFFFF"/>
        <w:jc w:val="both"/>
        <w:rPr>
          <w:b/>
          <w:sz w:val="22"/>
          <w:szCs w:val="22"/>
          <w:u w:val="single"/>
          <w:lang w:val="en-US"/>
        </w:rPr>
      </w:pPr>
      <w:r w:rsidRPr="00055C43">
        <w:rPr>
          <w:b/>
          <w:sz w:val="22"/>
          <w:szCs w:val="22"/>
          <w:u w:val="single"/>
        </w:rPr>
        <w:t>Νεφρική ανεπάρκεια</w:t>
      </w:r>
    </w:p>
    <w:p w:rsidR="009250A3" w:rsidRPr="00C9363A" w:rsidRDefault="009250A3" w:rsidP="006979DD">
      <w:pPr>
        <w:shd w:val="clear" w:color="auto" w:fill="FFFFFF"/>
        <w:tabs>
          <w:tab w:val="left" w:pos="284"/>
        </w:tabs>
        <w:jc w:val="both"/>
        <w:rPr>
          <w:sz w:val="22"/>
          <w:szCs w:val="22"/>
        </w:rPr>
      </w:pPr>
      <w:r w:rsidRPr="00C9363A">
        <w:rPr>
          <w:sz w:val="22"/>
          <w:szCs w:val="22"/>
        </w:rPr>
        <w:t>Τα ιωδιούχα σκιαγραφικά μπορεί να προκαλέσουν παροδική μεταβολή της νεφρικής λειτουργίας ή να επιδεινώσουν προϋπάρχουσα νεφρική ανεπάρκεια. Στα προληπτικά μέτρα περιλαμβάνονται τα εξής:</w:t>
      </w:r>
    </w:p>
    <w:p w:rsidR="009250A3" w:rsidRPr="00F2281C" w:rsidRDefault="009250A3" w:rsidP="006979DD">
      <w:pPr>
        <w:shd w:val="clear" w:color="auto" w:fill="FFFFFF"/>
        <w:tabs>
          <w:tab w:val="left" w:pos="284"/>
        </w:tabs>
        <w:ind w:left="284" w:hanging="284"/>
        <w:jc w:val="both"/>
        <w:rPr>
          <w:sz w:val="22"/>
          <w:szCs w:val="22"/>
        </w:rPr>
      </w:pPr>
      <w:r w:rsidRPr="00C9363A">
        <w:rPr>
          <w:sz w:val="22"/>
          <w:szCs w:val="22"/>
        </w:rPr>
        <w:t>•</w:t>
      </w:r>
      <w:r w:rsidR="00895EF1" w:rsidRPr="004C2CD3">
        <w:rPr>
          <w:sz w:val="22"/>
          <w:szCs w:val="22"/>
        </w:rPr>
        <w:tab/>
      </w:r>
      <w:r w:rsidR="00BC6D25">
        <w:rPr>
          <w:sz w:val="22"/>
          <w:szCs w:val="22"/>
        </w:rPr>
        <w:t>Αναγνωρίστε</w:t>
      </w:r>
      <w:r w:rsidRPr="0096489F">
        <w:rPr>
          <w:sz w:val="22"/>
          <w:szCs w:val="22"/>
        </w:rPr>
        <w:t xml:space="preserve"> τους ασθενείς που διατρέχουν κίνδυνο, δηλ. </w:t>
      </w:r>
      <w:r w:rsidR="006979DD" w:rsidRPr="00B25D25">
        <w:rPr>
          <w:sz w:val="22"/>
          <w:szCs w:val="22"/>
        </w:rPr>
        <w:t xml:space="preserve">τους </w:t>
      </w:r>
      <w:r w:rsidRPr="003165BA">
        <w:rPr>
          <w:sz w:val="22"/>
          <w:szCs w:val="22"/>
        </w:rPr>
        <w:t>ασθενείς που είναι αφυδατωμένοι ή που πάσχουν από νεφρική ανεπάρκεια, διαβήτη, σοβαρή καρδιακή ανεπάρκεια, μονοκλωνική γαμμαπάθεια (πολλαπλό μυέλωμα, μακροσφαιριναιμί</w:t>
      </w:r>
      <w:r w:rsidRPr="007701A8">
        <w:rPr>
          <w:sz w:val="22"/>
          <w:szCs w:val="22"/>
        </w:rPr>
        <w:t xml:space="preserve">α Waldenstrom), </w:t>
      </w:r>
      <w:r w:rsidR="006979DD" w:rsidRPr="00F2281C">
        <w:rPr>
          <w:sz w:val="22"/>
          <w:szCs w:val="22"/>
        </w:rPr>
        <w:t xml:space="preserve">με </w:t>
      </w:r>
      <w:r w:rsidRPr="00F2281C">
        <w:rPr>
          <w:sz w:val="22"/>
          <w:szCs w:val="22"/>
        </w:rPr>
        <w:t xml:space="preserve">ιστορικό νεφρικής ανεπάρκειας μετά τη χορήγηση ιωδιούχων σκιαγραφικών, παιδιά κάτω του ενός έτους και ηλικιωμένους ασθενείς με </w:t>
      </w:r>
      <w:r w:rsidR="00BC6D25" w:rsidRPr="00737DCD">
        <w:rPr>
          <w:sz w:val="22"/>
          <w:szCs w:val="22"/>
        </w:rPr>
        <w:t>αθ</w:t>
      </w:r>
      <w:r w:rsidR="00BC6D25">
        <w:rPr>
          <w:sz w:val="22"/>
          <w:szCs w:val="22"/>
        </w:rPr>
        <w:t>ηρωματική νόσο</w:t>
      </w:r>
      <w:r w:rsidRPr="00F2281C">
        <w:rPr>
          <w:sz w:val="22"/>
          <w:szCs w:val="22"/>
        </w:rPr>
        <w:t>.</w:t>
      </w:r>
    </w:p>
    <w:p w:rsidR="009250A3" w:rsidRPr="00BC6D25" w:rsidRDefault="009250A3" w:rsidP="006979DD">
      <w:pPr>
        <w:shd w:val="clear" w:color="auto" w:fill="FFFFFF"/>
        <w:tabs>
          <w:tab w:val="left" w:pos="284"/>
        </w:tabs>
        <w:ind w:left="284" w:hanging="284"/>
        <w:jc w:val="both"/>
        <w:rPr>
          <w:sz w:val="22"/>
          <w:szCs w:val="22"/>
        </w:rPr>
      </w:pPr>
      <w:r w:rsidRPr="00BC6D25">
        <w:rPr>
          <w:sz w:val="22"/>
          <w:szCs w:val="22"/>
        </w:rPr>
        <w:t>•</w:t>
      </w:r>
      <w:r w:rsidR="00895EF1" w:rsidRPr="00BC6D25">
        <w:rPr>
          <w:sz w:val="22"/>
          <w:szCs w:val="22"/>
        </w:rPr>
        <w:tab/>
      </w:r>
      <w:r w:rsidRPr="00BC6D25">
        <w:rPr>
          <w:sz w:val="22"/>
          <w:szCs w:val="22"/>
        </w:rPr>
        <w:t>Διασφαλίστε επαρκή ενυδάτωση όταν είναι απαραίτητο με διάλυμα φυσιολογικού ορού.</w:t>
      </w:r>
    </w:p>
    <w:p w:rsidR="009250A3" w:rsidRPr="00055C43" w:rsidRDefault="009250A3" w:rsidP="006979DD">
      <w:pPr>
        <w:shd w:val="clear" w:color="auto" w:fill="FFFFFF"/>
        <w:tabs>
          <w:tab w:val="left" w:pos="284"/>
        </w:tabs>
        <w:ind w:left="284" w:hanging="284"/>
        <w:jc w:val="both"/>
        <w:rPr>
          <w:sz w:val="22"/>
          <w:szCs w:val="22"/>
        </w:rPr>
      </w:pPr>
      <w:r w:rsidRPr="0068100B">
        <w:rPr>
          <w:sz w:val="22"/>
          <w:szCs w:val="22"/>
        </w:rPr>
        <w:t xml:space="preserve">• </w:t>
      </w:r>
      <w:r w:rsidR="00895EF1" w:rsidRPr="00055C43">
        <w:rPr>
          <w:sz w:val="22"/>
          <w:szCs w:val="22"/>
        </w:rPr>
        <w:tab/>
      </w:r>
      <w:r w:rsidRPr="00055C43">
        <w:rPr>
          <w:sz w:val="22"/>
          <w:szCs w:val="22"/>
        </w:rPr>
        <w:t>Αποφεύγετε συνδυασμούς νεφροτοξικών φαρμάκων. Εάν δεν είναι δυνατό να αποφευχθεί αυτός ο συνδυασμός, πρέπει να εντατικοποιηθεί η εργαστηριακή παρακολούθηση της νεφρικής λειτουργίας. Στα φάρμακα αυτά συμπεριλαμβάνονται οι αμινογλυκοσίδες, τα σύμπλοκα οργανοπλατ</w:t>
      </w:r>
      <w:r w:rsidR="006979DD" w:rsidRPr="00055C43">
        <w:rPr>
          <w:sz w:val="22"/>
          <w:szCs w:val="22"/>
        </w:rPr>
        <w:t>ινών</w:t>
      </w:r>
      <w:r w:rsidRPr="00055C43">
        <w:rPr>
          <w:sz w:val="22"/>
          <w:szCs w:val="22"/>
        </w:rPr>
        <w:t>, οι υψηλές δόσεις μεθοτρεξάτης, η πενταμιδίνη, η φοσκαρνέτη και ορισμένα αντιικά φάρμακα [ακυκλοβίρη, γανκυκλοβίρη, βαλακυκλοβίρη, αδεφοβίρη, κιδοφοβίρη, τενοφοβίρη], η βανκομυκίνη, η αμφοτερικίνη B, τα ανοσοκατασταλτικά, όπως κυκλοσπορίνες ή τακρόλιμους, ιφοσφαμίδη).</w:t>
      </w:r>
    </w:p>
    <w:p w:rsidR="009250A3" w:rsidRPr="00055C43" w:rsidRDefault="009250A3" w:rsidP="006979DD">
      <w:pPr>
        <w:shd w:val="clear" w:color="auto" w:fill="FFFFFF"/>
        <w:tabs>
          <w:tab w:val="left" w:pos="284"/>
        </w:tabs>
        <w:ind w:left="284" w:hanging="284"/>
        <w:jc w:val="both"/>
        <w:rPr>
          <w:sz w:val="22"/>
          <w:szCs w:val="22"/>
        </w:rPr>
      </w:pPr>
      <w:r w:rsidRPr="00055C43">
        <w:rPr>
          <w:sz w:val="22"/>
          <w:szCs w:val="22"/>
        </w:rPr>
        <w:t>•</w:t>
      </w:r>
      <w:r w:rsidR="006979DD" w:rsidRPr="00055C43">
        <w:rPr>
          <w:sz w:val="22"/>
          <w:szCs w:val="22"/>
        </w:rPr>
        <w:t>Αφήστε</w:t>
      </w:r>
      <w:r w:rsidRPr="00055C43">
        <w:rPr>
          <w:sz w:val="22"/>
          <w:szCs w:val="22"/>
        </w:rPr>
        <w:t xml:space="preserve"> τουλάχιστον 48 ώρες μεταξύ </w:t>
      </w:r>
      <w:r w:rsidR="006979DD" w:rsidRPr="00055C43">
        <w:rPr>
          <w:sz w:val="22"/>
          <w:szCs w:val="22"/>
        </w:rPr>
        <w:t xml:space="preserve">δύο </w:t>
      </w:r>
      <w:r w:rsidRPr="00055C43">
        <w:rPr>
          <w:sz w:val="22"/>
          <w:szCs w:val="22"/>
        </w:rPr>
        <w:t>ακτινογραφικών εξετάσεων με εγχύσεις σκιαγραφικών ή αναβάλετε τυχόν νέα εξέταση μέχρι η νεφρική λειτουργία να επανέλθει στις αρχικές τιμές.</w:t>
      </w:r>
    </w:p>
    <w:p w:rsidR="00895EF1" w:rsidRPr="006320B9" w:rsidRDefault="009250A3" w:rsidP="006320B9">
      <w:pPr>
        <w:shd w:val="clear" w:color="auto" w:fill="FFFFFF"/>
        <w:tabs>
          <w:tab w:val="left" w:pos="284"/>
        </w:tabs>
        <w:ind w:left="284" w:hanging="284"/>
        <w:jc w:val="both"/>
        <w:rPr>
          <w:sz w:val="22"/>
          <w:szCs w:val="22"/>
        </w:rPr>
      </w:pPr>
      <w:r w:rsidRPr="00055C43">
        <w:rPr>
          <w:sz w:val="22"/>
          <w:szCs w:val="22"/>
        </w:rPr>
        <w:t>•Αποτρέψτε τη γαλακτική οξέωση σε διαβητικούς που λαμβάνουν θεραπεία με μετφορμίνη παρακολουθώντας τα επίπεδα της κρεατινίνης του ορού. Φυσιολογική νεφρική λειτουργία: η θεραπεία με μετφορμίνη πρέπει να ανασταλεί πριν από την έγχυση σκιαγραφικού και για τουλάχιστον 48 ώρες μετά ή μέχρι την αποκατάσταση της φυσιολογικής νεφρικής λειτουργίας. Μη φυσιολογική νεφρική λειτουργία: δεν ενδείκνυται η χορήγηση μετφορμίνης. Σε περίπτωση έκτακτης ανάγκης: εάν η εξέταση είναι υποχρεωτική, πρέπει να λαμβάνονται προφυλάξεις, δηλ. διακοπή της χορήγησης μετφορμίνης, ενυδάτωση του ασθεν</w:t>
      </w:r>
      <w:r w:rsidR="006979DD" w:rsidRPr="00055C43">
        <w:rPr>
          <w:sz w:val="22"/>
          <w:szCs w:val="22"/>
        </w:rPr>
        <w:t>ή</w:t>
      </w:r>
      <w:r w:rsidRPr="00055C43">
        <w:rPr>
          <w:sz w:val="22"/>
          <w:szCs w:val="22"/>
        </w:rPr>
        <w:t xml:space="preserve">, παρακολούθηση της νεφρικής λειτουργίας και έλεγχος για </w:t>
      </w:r>
      <w:r w:rsidR="006979DD" w:rsidRPr="00055C43">
        <w:rPr>
          <w:sz w:val="22"/>
          <w:szCs w:val="22"/>
        </w:rPr>
        <w:t>σημεία</w:t>
      </w:r>
      <w:r w:rsidRPr="00055C43">
        <w:rPr>
          <w:sz w:val="22"/>
          <w:szCs w:val="22"/>
        </w:rPr>
        <w:t xml:space="preserve"> γαλακτικής οξέωσης.</w:t>
      </w:r>
    </w:p>
    <w:p w:rsidR="009250A3" w:rsidRPr="00055C43" w:rsidRDefault="006979DD" w:rsidP="006979DD">
      <w:pPr>
        <w:shd w:val="clear" w:color="auto" w:fill="FFFFFF"/>
        <w:jc w:val="both"/>
        <w:rPr>
          <w:sz w:val="22"/>
          <w:szCs w:val="22"/>
        </w:rPr>
      </w:pPr>
      <w:r w:rsidRPr="00055C43">
        <w:rPr>
          <w:sz w:val="22"/>
          <w:szCs w:val="22"/>
        </w:rPr>
        <w:t>Τα ι</w:t>
      </w:r>
      <w:r w:rsidR="009250A3" w:rsidRPr="00055C43">
        <w:rPr>
          <w:sz w:val="22"/>
          <w:szCs w:val="22"/>
        </w:rPr>
        <w:t>ωδιούχα σκιαγραφικά μπορούν να χρησιμοποιηθούν σε αιμοκαθαιρόμενους ασθενείς, καθώς τα σκιαγραφικά αποβάλλονται μέσω της αιμοκάθαρσης. Απαιτείται προηγούμενη έγκριση από το τμήμα αιμοκάθαρσης.</w:t>
      </w:r>
    </w:p>
    <w:p w:rsidR="006979DD" w:rsidRPr="00055C43" w:rsidRDefault="006979DD" w:rsidP="006979DD">
      <w:pPr>
        <w:shd w:val="clear" w:color="auto" w:fill="FFFFFF"/>
        <w:jc w:val="both"/>
        <w:rPr>
          <w:sz w:val="22"/>
          <w:szCs w:val="22"/>
        </w:rPr>
      </w:pPr>
    </w:p>
    <w:p w:rsidR="006979DD" w:rsidRPr="006320B9" w:rsidRDefault="009250A3" w:rsidP="006979DD">
      <w:pPr>
        <w:shd w:val="clear" w:color="auto" w:fill="FFFFFF"/>
        <w:jc w:val="both"/>
        <w:rPr>
          <w:b/>
          <w:sz w:val="22"/>
          <w:szCs w:val="22"/>
          <w:u w:val="single"/>
        </w:rPr>
      </w:pPr>
      <w:r w:rsidRPr="00055C43">
        <w:rPr>
          <w:b/>
          <w:sz w:val="22"/>
          <w:szCs w:val="22"/>
          <w:u w:val="single"/>
        </w:rPr>
        <w:t>Ηπατική ανεπάρκεια</w:t>
      </w:r>
    </w:p>
    <w:p w:rsidR="009250A3" w:rsidRPr="00C9363A" w:rsidRDefault="009250A3" w:rsidP="006979DD">
      <w:pPr>
        <w:shd w:val="clear" w:color="auto" w:fill="FFFFFF"/>
        <w:jc w:val="both"/>
        <w:rPr>
          <w:sz w:val="22"/>
          <w:szCs w:val="22"/>
        </w:rPr>
      </w:pPr>
      <w:r w:rsidRPr="00C9363A">
        <w:rPr>
          <w:sz w:val="22"/>
          <w:szCs w:val="22"/>
        </w:rPr>
        <w:t>Απαιτείται ιδιαίτερη προσοχή σε ασθενείς που πάσχουν από νεφρική ή ηπατική ανεπάρκεια, διαβήτη ή δρεπανοκυτταρική αναιμία.</w:t>
      </w:r>
    </w:p>
    <w:p w:rsidR="009250A3" w:rsidRPr="004C2CD3" w:rsidRDefault="009250A3" w:rsidP="006979DD">
      <w:pPr>
        <w:jc w:val="both"/>
        <w:rPr>
          <w:sz w:val="22"/>
          <w:szCs w:val="22"/>
        </w:rPr>
      </w:pPr>
      <w:r w:rsidRPr="00C9363A">
        <w:rPr>
          <w:sz w:val="22"/>
          <w:szCs w:val="22"/>
        </w:rPr>
        <w:t xml:space="preserve">Πρέπει να διασφαλίζεται επαρκής ενυδάτωση σε όλους τους ασθενείς πριν και μετά τη χορήγηση </w:t>
      </w:r>
      <w:r w:rsidRPr="004C2CD3">
        <w:rPr>
          <w:sz w:val="22"/>
          <w:szCs w:val="22"/>
        </w:rPr>
        <w:t>σκιαγραφικού και ιδιαίτερα σε ασθενείς που πάσχουν από νεφρική ανεπάρκεια ή διαβήτη, στους οποίους είναι σημαντική η διατήρηση της ενυδάτωσης για την ελαχιστοποίηση της επιδείνωσης της νεφρικής λειτουργίας.</w:t>
      </w:r>
    </w:p>
    <w:p w:rsidR="006979DD" w:rsidRPr="0096489F" w:rsidRDefault="006979DD" w:rsidP="006979DD">
      <w:pPr>
        <w:jc w:val="both"/>
        <w:rPr>
          <w:sz w:val="22"/>
          <w:szCs w:val="22"/>
        </w:rPr>
      </w:pPr>
    </w:p>
    <w:p w:rsidR="006979DD" w:rsidRPr="006320B9" w:rsidRDefault="009250A3" w:rsidP="006979DD">
      <w:pPr>
        <w:shd w:val="clear" w:color="auto" w:fill="FFFFFF"/>
        <w:jc w:val="both"/>
        <w:rPr>
          <w:b/>
          <w:sz w:val="22"/>
          <w:szCs w:val="22"/>
          <w:u w:val="single"/>
          <w:lang w:val="en-US"/>
        </w:rPr>
      </w:pPr>
      <w:r w:rsidRPr="00055C43">
        <w:rPr>
          <w:b/>
          <w:sz w:val="22"/>
          <w:szCs w:val="22"/>
          <w:u w:val="single"/>
        </w:rPr>
        <w:t>Άσθμα</w:t>
      </w:r>
    </w:p>
    <w:p w:rsidR="009250A3" w:rsidRPr="00C9363A" w:rsidRDefault="009250A3" w:rsidP="006979DD">
      <w:pPr>
        <w:shd w:val="clear" w:color="auto" w:fill="FFFFFF"/>
        <w:jc w:val="both"/>
        <w:rPr>
          <w:sz w:val="22"/>
          <w:szCs w:val="22"/>
        </w:rPr>
      </w:pPr>
      <w:r w:rsidRPr="00C9363A">
        <w:rPr>
          <w:sz w:val="22"/>
          <w:szCs w:val="22"/>
        </w:rPr>
        <w:t>Συνιστάται η σταθεροποίηση του άσθματος πριν από την έ</w:t>
      </w:r>
      <w:r w:rsidR="006979DD" w:rsidRPr="00C9363A">
        <w:rPr>
          <w:sz w:val="22"/>
          <w:szCs w:val="22"/>
        </w:rPr>
        <w:t>νεση</w:t>
      </w:r>
      <w:r w:rsidRPr="00C9363A">
        <w:rPr>
          <w:sz w:val="22"/>
          <w:szCs w:val="22"/>
        </w:rPr>
        <w:t xml:space="preserve"> ιωδιούχου σκιαγραφικού. </w:t>
      </w:r>
    </w:p>
    <w:p w:rsidR="009250A3" w:rsidRPr="00C9363A" w:rsidRDefault="009250A3" w:rsidP="006979DD">
      <w:pPr>
        <w:shd w:val="clear" w:color="auto" w:fill="FFFFFF"/>
        <w:jc w:val="both"/>
        <w:rPr>
          <w:sz w:val="22"/>
          <w:szCs w:val="22"/>
        </w:rPr>
      </w:pPr>
      <w:r w:rsidRPr="00C9363A">
        <w:rPr>
          <w:sz w:val="22"/>
          <w:szCs w:val="22"/>
        </w:rPr>
        <w:t>Λόγω του αυξημένου κινδύνου βρογχόσπασμου, απαιτείται ιδιαίτερη προσοχή σε ασθενείς που πάσχουν από ασθματικές κρίσεις εντός οκτώ ημερών πριν από την εξέταση.</w:t>
      </w:r>
    </w:p>
    <w:p w:rsidR="006979DD" w:rsidRPr="00055C43" w:rsidRDefault="006979DD" w:rsidP="006979DD">
      <w:pPr>
        <w:shd w:val="clear" w:color="auto" w:fill="FFFFFF"/>
        <w:jc w:val="both"/>
        <w:rPr>
          <w:b/>
          <w:sz w:val="22"/>
          <w:szCs w:val="22"/>
          <w:u w:val="single"/>
        </w:rPr>
      </w:pPr>
    </w:p>
    <w:p w:rsidR="009250A3" w:rsidRPr="00055C43" w:rsidRDefault="009250A3" w:rsidP="006979DD">
      <w:pPr>
        <w:shd w:val="clear" w:color="auto" w:fill="FFFFFF"/>
        <w:jc w:val="both"/>
        <w:rPr>
          <w:b/>
          <w:sz w:val="22"/>
          <w:szCs w:val="22"/>
          <w:u w:val="single"/>
        </w:rPr>
      </w:pPr>
      <w:r w:rsidRPr="00055C43">
        <w:rPr>
          <w:b/>
          <w:sz w:val="22"/>
          <w:szCs w:val="22"/>
          <w:u w:val="single"/>
        </w:rPr>
        <w:t>Δυσλειτουργία θυρεοειδούς</w:t>
      </w:r>
    </w:p>
    <w:p w:rsidR="006979DD" w:rsidRPr="00055C43" w:rsidRDefault="006979DD" w:rsidP="006979DD">
      <w:pPr>
        <w:shd w:val="clear" w:color="auto" w:fill="FFFFFF"/>
        <w:jc w:val="both"/>
        <w:rPr>
          <w:b/>
          <w:sz w:val="22"/>
          <w:szCs w:val="22"/>
          <w:u w:val="single"/>
        </w:rPr>
      </w:pPr>
    </w:p>
    <w:p w:rsidR="009250A3" w:rsidRPr="004C2CD3" w:rsidRDefault="009250A3" w:rsidP="006979DD">
      <w:pPr>
        <w:shd w:val="clear" w:color="auto" w:fill="FFFFFF"/>
        <w:jc w:val="both"/>
        <w:rPr>
          <w:sz w:val="22"/>
          <w:szCs w:val="22"/>
        </w:rPr>
      </w:pPr>
      <w:r w:rsidRPr="00C9363A">
        <w:rPr>
          <w:sz w:val="22"/>
          <w:szCs w:val="22"/>
        </w:rPr>
        <w:lastRenderedPageBreak/>
        <w:t>Μετά την έ</w:t>
      </w:r>
      <w:r w:rsidR="006979DD" w:rsidRPr="00C9363A">
        <w:rPr>
          <w:sz w:val="22"/>
          <w:szCs w:val="22"/>
        </w:rPr>
        <w:t>νεση</w:t>
      </w:r>
      <w:r w:rsidRPr="00C9363A">
        <w:rPr>
          <w:sz w:val="22"/>
          <w:szCs w:val="22"/>
        </w:rPr>
        <w:t xml:space="preserve"> ιωδιούχου σκιαγραφικού, ιδιαίτερα σε ασθενείς με βρογχοκήλη ή ιστορικό </w:t>
      </w:r>
      <w:r w:rsidR="00BC6D25">
        <w:rPr>
          <w:sz w:val="22"/>
          <w:szCs w:val="22"/>
        </w:rPr>
        <w:t>θυρεοειδικής</w:t>
      </w:r>
      <w:r w:rsidR="00BC6D25" w:rsidRPr="00C9363A">
        <w:rPr>
          <w:sz w:val="22"/>
          <w:szCs w:val="22"/>
        </w:rPr>
        <w:t xml:space="preserve"> </w:t>
      </w:r>
      <w:r w:rsidRPr="00C9363A">
        <w:rPr>
          <w:sz w:val="22"/>
          <w:szCs w:val="22"/>
        </w:rPr>
        <w:t>δυσλειτουργίας, υπάρχει κίνδυνος είτε έξαρσης υπερθυρεοειδισμού, είτε ανάπτυξης υποθυρεοειδισμού. Επίσης, υπάρχει κίνδυνος υποθυρεοειδισμού σε νεογνά που έχουν λάβει ή που η μητέρα του</w:t>
      </w:r>
      <w:r w:rsidRPr="004C2CD3">
        <w:rPr>
          <w:sz w:val="22"/>
          <w:szCs w:val="22"/>
        </w:rPr>
        <w:t xml:space="preserve">ς έχει λάβει ιωδιούχο σκιαγραφικό. </w:t>
      </w:r>
    </w:p>
    <w:p w:rsidR="006979DD" w:rsidRPr="0096489F" w:rsidRDefault="006979DD" w:rsidP="006979DD">
      <w:pPr>
        <w:shd w:val="clear" w:color="auto" w:fill="FFFFFF"/>
        <w:jc w:val="both"/>
        <w:rPr>
          <w:sz w:val="22"/>
          <w:szCs w:val="22"/>
        </w:rPr>
      </w:pPr>
    </w:p>
    <w:p w:rsidR="006979DD" w:rsidRPr="006320B9" w:rsidRDefault="009250A3" w:rsidP="006979DD">
      <w:pPr>
        <w:shd w:val="clear" w:color="auto" w:fill="FFFFFF"/>
        <w:jc w:val="both"/>
        <w:rPr>
          <w:b/>
          <w:sz w:val="22"/>
          <w:szCs w:val="22"/>
          <w:u w:val="single"/>
          <w:lang w:val="en-US"/>
        </w:rPr>
      </w:pPr>
      <w:r w:rsidRPr="00055C43">
        <w:rPr>
          <w:b/>
          <w:sz w:val="22"/>
          <w:szCs w:val="22"/>
          <w:u w:val="single"/>
        </w:rPr>
        <w:t>Σοβαρές καρδιαγγειακές νόσοι</w:t>
      </w:r>
    </w:p>
    <w:p w:rsidR="006979DD" w:rsidRPr="006320B9" w:rsidRDefault="009250A3" w:rsidP="006979DD">
      <w:pPr>
        <w:shd w:val="clear" w:color="auto" w:fill="FFFFFF"/>
        <w:jc w:val="both"/>
        <w:rPr>
          <w:sz w:val="22"/>
          <w:szCs w:val="22"/>
        </w:rPr>
      </w:pPr>
      <w:r w:rsidRPr="00C9363A">
        <w:rPr>
          <w:sz w:val="22"/>
          <w:szCs w:val="22"/>
        </w:rPr>
        <w:t xml:space="preserve">Σε ασθενείς με </w:t>
      </w:r>
      <w:r w:rsidR="0068100B">
        <w:rPr>
          <w:sz w:val="22"/>
          <w:szCs w:val="22"/>
        </w:rPr>
        <w:t>ήπια</w:t>
      </w:r>
      <w:r w:rsidRPr="00C9363A">
        <w:rPr>
          <w:sz w:val="22"/>
          <w:szCs w:val="22"/>
        </w:rPr>
        <w:t xml:space="preserve"> ή εμφανή καρδιακή ανεπάρκεια, </w:t>
      </w:r>
      <w:r w:rsidR="0068100B">
        <w:rPr>
          <w:sz w:val="22"/>
          <w:szCs w:val="22"/>
        </w:rPr>
        <w:t>στεφανιαία νόσο</w:t>
      </w:r>
      <w:r w:rsidRPr="00C9363A">
        <w:rPr>
          <w:sz w:val="22"/>
          <w:szCs w:val="22"/>
        </w:rPr>
        <w:t>, πνευμονική υπέρταση</w:t>
      </w:r>
      <w:r w:rsidR="001E3FC8" w:rsidRPr="00C9363A">
        <w:rPr>
          <w:sz w:val="22"/>
          <w:szCs w:val="22"/>
        </w:rPr>
        <w:t xml:space="preserve">, </w:t>
      </w:r>
      <w:r w:rsidRPr="004C2CD3">
        <w:rPr>
          <w:sz w:val="22"/>
          <w:szCs w:val="22"/>
        </w:rPr>
        <w:t>βαλβιδοπάθεια</w:t>
      </w:r>
      <w:r w:rsidR="00055C43">
        <w:rPr>
          <w:sz w:val="22"/>
          <w:szCs w:val="22"/>
        </w:rPr>
        <w:t xml:space="preserve"> και</w:t>
      </w:r>
      <w:r w:rsidRPr="004C2CD3">
        <w:rPr>
          <w:sz w:val="22"/>
          <w:szCs w:val="22"/>
        </w:rPr>
        <w:t xml:space="preserve"> σοβαρές καρδιακές αρρυθμίες, ο κίνδυνος καρδιαγγειακών αντιδράσεων είναι αυξημένος μετ</w:t>
      </w:r>
      <w:r w:rsidRPr="0096489F">
        <w:rPr>
          <w:sz w:val="22"/>
          <w:szCs w:val="22"/>
        </w:rPr>
        <w:t xml:space="preserve">ά τη χορήγηση </w:t>
      </w:r>
      <w:r w:rsidR="001E3FC8" w:rsidRPr="00B25D25">
        <w:rPr>
          <w:sz w:val="22"/>
          <w:szCs w:val="22"/>
        </w:rPr>
        <w:t xml:space="preserve">ενός </w:t>
      </w:r>
      <w:r w:rsidRPr="003165BA">
        <w:rPr>
          <w:sz w:val="22"/>
          <w:szCs w:val="22"/>
        </w:rPr>
        <w:t>ιωδιούχου σκιαγραφικού</w:t>
      </w:r>
      <w:r w:rsidR="001E3FC8" w:rsidRPr="007701A8">
        <w:rPr>
          <w:sz w:val="22"/>
          <w:szCs w:val="22"/>
        </w:rPr>
        <w:t xml:space="preserve"> παράγοντα</w:t>
      </w:r>
      <w:r w:rsidRPr="00F2281C">
        <w:rPr>
          <w:sz w:val="22"/>
          <w:szCs w:val="22"/>
        </w:rPr>
        <w:t>. Η ενδ</w:t>
      </w:r>
      <w:r w:rsidR="001E3FC8" w:rsidRPr="00F2281C">
        <w:rPr>
          <w:sz w:val="22"/>
          <w:szCs w:val="22"/>
        </w:rPr>
        <w:t>ο</w:t>
      </w:r>
      <w:r w:rsidRPr="00F2281C">
        <w:rPr>
          <w:sz w:val="22"/>
          <w:szCs w:val="22"/>
        </w:rPr>
        <w:t>αγγειακή έ</w:t>
      </w:r>
      <w:r w:rsidR="006979DD" w:rsidRPr="00BC6D25">
        <w:rPr>
          <w:sz w:val="22"/>
          <w:szCs w:val="22"/>
        </w:rPr>
        <w:t>νεση</w:t>
      </w:r>
      <w:r w:rsidRPr="00BC6D25">
        <w:rPr>
          <w:sz w:val="22"/>
          <w:szCs w:val="22"/>
        </w:rPr>
        <w:t xml:space="preserve"> </w:t>
      </w:r>
      <w:r w:rsidR="001E3FC8" w:rsidRPr="00BC6D25">
        <w:rPr>
          <w:sz w:val="22"/>
          <w:szCs w:val="22"/>
        </w:rPr>
        <w:t xml:space="preserve">του </w:t>
      </w:r>
      <w:r w:rsidRPr="00BC6D25">
        <w:rPr>
          <w:sz w:val="22"/>
          <w:szCs w:val="22"/>
        </w:rPr>
        <w:t xml:space="preserve">σκιαγραφικού </w:t>
      </w:r>
      <w:r w:rsidR="001E3FC8" w:rsidRPr="00BC6D25">
        <w:rPr>
          <w:sz w:val="22"/>
          <w:szCs w:val="22"/>
        </w:rPr>
        <w:t xml:space="preserve">μέσου </w:t>
      </w:r>
      <w:r w:rsidRPr="0068100B">
        <w:rPr>
          <w:sz w:val="22"/>
          <w:szCs w:val="22"/>
        </w:rPr>
        <w:t xml:space="preserve">ενδέχεται να προκαλέσει πνευμονικό οίδημα σε ασθενείς με έκδηλη ή αρχόμενη καρδιακή ανεπάρκεια, ενώ η χορήγηση σε περιπτώσεις πνευμονικής υπέρτασης και διαταραχών της καρδιακής βαλβίδας ενδέχεται να οδηγήσει σε σημαντικές αλλαγές στην αιμοδυναμική. </w:t>
      </w:r>
      <w:r w:rsidR="001E3FC8" w:rsidRPr="00055C43">
        <w:rPr>
          <w:sz w:val="22"/>
          <w:szCs w:val="22"/>
        </w:rPr>
        <w:t xml:space="preserve">Η συχνότητα και ο βαθμός σοβαρότητας φαίνεται να σχετίζονται με τη σοβαρότητα των καρδιακών διαταραχών. Σε περίπτωση σοβαρής και χρόνιας υπέρτασης, ο κίνδυνος νεφρικής βλάβης που οφείλεται στη χορήγηση του σκιαγραφικού μέσου καθώς και στον ίδιο τον καθετηριασμό μπορεί να είναι αυξημένος. </w:t>
      </w:r>
      <w:r w:rsidRPr="00055C43">
        <w:rPr>
          <w:sz w:val="22"/>
          <w:szCs w:val="22"/>
        </w:rPr>
        <w:t xml:space="preserve">Ισχαιμικές αλλαγές στο ΗΚΓ και σοβαρές διαταραχές του καρδιακού ρυθμού παρατηρούνται πιο συχνά σε ηλικιωμένους και σε ασθενείς που πάσχουν από καρδιακή νόσο. </w:t>
      </w:r>
      <w:r w:rsidR="001E3FC8" w:rsidRPr="00055C43">
        <w:rPr>
          <w:sz w:val="22"/>
          <w:szCs w:val="22"/>
        </w:rPr>
        <w:t xml:space="preserve">Πολύ σπάνια περιστατικά κολπικής μαρμαρυγής που παρουσιάστηκαν αμέσως μετά τη χορήγηση του σκιαγραφικού μέσου έχουν αναφερθεί εκτός του πλαισίου των αντιδράσεων υπερευαισθησίας. </w:t>
      </w:r>
    </w:p>
    <w:p w:rsidR="001E3FC8" w:rsidRPr="006320B9" w:rsidRDefault="001E3FC8" w:rsidP="006979DD">
      <w:pPr>
        <w:shd w:val="clear" w:color="auto" w:fill="FFFFFF"/>
        <w:jc w:val="both"/>
        <w:rPr>
          <w:sz w:val="22"/>
          <w:szCs w:val="22"/>
          <w:lang w:val="en-US"/>
        </w:rPr>
      </w:pPr>
      <w:r w:rsidRPr="00055C43">
        <w:rPr>
          <w:sz w:val="22"/>
          <w:szCs w:val="22"/>
        </w:rPr>
        <w:t>(Βλέπε παράγραφο 4.8 Ανεπιθύμητες ενέργειες)</w:t>
      </w:r>
    </w:p>
    <w:p w:rsidR="009250A3" w:rsidRPr="00055C43" w:rsidRDefault="009250A3" w:rsidP="006979DD">
      <w:pPr>
        <w:shd w:val="clear" w:color="auto" w:fill="FFFFFF"/>
        <w:jc w:val="both"/>
        <w:rPr>
          <w:sz w:val="22"/>
          <w:szCs w:val="22"/>
        </w:rPr>
      </w:pPr>
      <w:r w:rsidRPr="00055C43">
        <w:rPr>
          <w:sz w:val="22"/>
          <w:szCs w:val="22"/>
        </w:rPr>
        <w:t xml:space="preserve">Για τους ασθενείς αυτούς είναι σημαντική η προσεκτική </w:t>
      </w:r>
      <w:r w:rsidR="006979DD" w:rsidRPr="00055C43">
        <w:rPr>
          <w:sz w:val="22"/>
          <w:szCs w:val="22"/>
        </w:rPr>
        <w:t>εκτίμηση</w:t>
      </w:r>
      <w:r w:rsidRPr="00055C43">
        <w:rPr>
          <w:sz w:val="22"/>
          <w:szCs w:val="22"/>
        </w:rPr>
        <w:t xml:space="preserve"> της σχέσης κινδύνου-οφέλους. </w:t>
      </w:r>
    </w:p>
    <w:p w:rsidR="006979DD" w:rsidRPr="00055C43" w:rsidRDefault="006979DD" w:rsidP="006979DD">
      <w:pPr>
        <w:shd w:val="clear" w:color="auto" w:fill="FFFFFF"/>
        <w:jc w:val="both"/>
        <w:rPr>
          <w:sz w:val="22"/>
          <w:szCs w:val="22"/>
        </w:rPr>
      </w:pPr>
    </w:p>
    <w:p w:rsidR="006979DD" w:rsidRPr="006320B9" w:rsidRDefault="009250A3" w:rsidP="006979DD">
      <w:pPr>
        <w:shd w:val="clear" w:color="auto" w:fill="FFFFFF"/>
        <w:jc w:val="both"/>
        <w:rPr>
          <w:b/>
          <w:sz w:val="22"/>
          <w:szCs w:val="22"/>
          <w:u w:val="single"/>
          <w:lang w:val="en-US"/>
        </w:rPr>
      </w:pPr>
      <w:r w:rsidRPr="00055C43">
        <w:rPr>
          <w:b/>
          <w:sz w:val="22"/>
          <w:szCs w:val="22"/>
          <w:u w:val="single"/>
        </w:rPr>
        <w:t>Διαταραχές κεντρικού νευρικού συστήματος</w:t>
      </w:r>
    </w:p>
    <w:p w:rsidR="009250A3" w:rsidRPr="00C9363A" w:rsidRDefault="009250A3" w:rsidP="006979DD">
      <w:pPr>
        <w:shd w:val="clear" w:color="auto" w:fill="FFFFFF"/>
        <w:jc w:val="both"/>
        <w:rPr>
          <w:sz w:val="22"/>
          <w:szCs w:val="22"/>
        </w:rPr>
      </w:pPr>
      <w:r w:rsidRPr="00C9363A">
        <w:rPr>
          <w:sz w:val="22"/>
          <w:szCs w:val="22"/>
        </w:rPr>
        <w:t>Η σχέση οφέλους-κινδύνου πρέπει να αξιολογείται σε κάθε περίπτωση:</w:t>
      </w:r>
    </w:p>
    <w:p w:rsidR="006979DD" w:rsidRPr="00C9363A" w:rsidRDefault="006979DD" w:rsidP="006979DD">
      <w:pPr>
        <w:shd w:val="clear" w:color="auto" w:fill="FFFFFF"/>
        <w:tabs>
          <w:tab w:val="left" w:pos="284"/>
        </w:tabs>
        <w:jc w:val="both"/>
        <w:rPr>
          <w:sz w:val="22"/>
          <w:szCs w:val="22"/>
        </w:rPr>
      </w:pPr>
    </w:p>
    <w:p w:rsidR="009250A3" w:rsidRPr="003165BA" w:rsidRDefault="009250A3" w:rsidP="006979DD">
      <w:pPr>
        <w:shd w:val="clear" w:color="auto" w:fill="FFFFFF"/>
        <w:tabs>
          <w:tab w:val="left" w:pos="284"/>
        </w:tabs>
        <w:ind w:left="284" w:hanging="284"/>
        <w:jc w:val="both"/>
        <w:rPr>
          <w:sz w:val="22"/>
          <w:szCs w:val="22"/>
        </w:rPr>
      </w:pPr>
      <w:r w:rsidRPr="004C2CD3">
        <w:rPr>
          <w:sz w:val="22"/>
          <w:szCs w:val="22"/>
        </w:rPr>
        <w:t>•</w:t>
      </w:r>
      <w:r w:rsidR="00895EF1" w:rsidRPr="0096489F">
        <w:rPr>
          <w:sz w:val="22"/>
          <w:szCs w:val="22"/>
        </w:rPr>
        <w:tab/>
      </w:r>
      <w:r w:rsidRPr="00B25D25">
        <w:rPr>
          <w:sz w:val="22"/>
          <w:szCs w:val="22"/>
        </w:rPr>
        <w:t>λόγω του κινδύνου επιδείνωσης των νευρολογικών συμπτωμά</w:t>
      </w:r>
      <w:r w:rsidRPr="003165BA">
        <w:rPr>
          <w:sz w:val="22"/>
          <w:szCs w:val="22"/>
        </w:rPr>
        <w:t>των σε ασθενείς με παροδικό ισχαιμικό επεισόδιο, οξύ εγκεφαλικό έμφρακτο, πρόσφατη ενδοκρανιακή αιμορραγία, εγκεφαλικό οίδημα ή ιδιοπαθή ή δευτεροπαθή επιληψία (καρκινικός όγκος, ουλώδης ιστός).</w:t>
      </w:r>
    </w:p>
    <w:p w:rsidR="006979DD" w:rsidRPr="007701A8" w:rsidRDefault="006979DD" w:rsidP="006979DD">
      <w:pPr>
        <w:shd w:val="clear" w:color="auto" w:fill="FFFFFF"/>
        <w:tabs>
          <w:tab w:val="left" w:pos="284"/>
        </w:tabs>
        <w:ind w:left="284" w:hanging="284"/>
        <w:jc w:val="both"/>
        <w:rPr>
          <w:sz w:val="22"/>
          <w:szCs w:val="22"/>
        </w:rPr>
      </w:pPr>
    </w:p>
    <w:p w:rsidR="009250A3" w:rsidRPr="00BC6D25" w:rsidRDefault="009250A3" w:rsidP="006979DD">
      <w:pPr>
        <w:shd w:val="clear" w:color="auto" w:fill="FFFFFF"/>
        <w:tabs>
          <w:tab w:val="left" w:pos="284"/>
        </w:tabs>
        <w:ind w:left="284" w:hanging="284"/>
        <w:jc w:val="both"/>
        <w:rPr>
          <w:sz w:val="22"/>
          <w:szCs w:val="22"/>
        </w:rPr>
      </w:pPr>
      <w:r w:rsidRPr="00F2281C">
        <w:rPr>
          <w:sz w:val="22"/>
          <w:szCs w:val="22"/>
        </w:rPr>
        <w:t>•</w:t>
      </w:r>
      <w:r w:rsidR="00895EF1" w:rsidRPr="00F2281C">
        <w:rPr>
          <w:sz w:val="22"/>
          <w:szCs w:val="22"/>
        </w:rPr>
        <w:tab/>
      </w:r>
      <w:r w:rsidRPr="00F2281C">
        <w:rPr>
          <w:sz w:val="22"/>
          <w:szCs w:val="22"/>
        </w:rPr>
        <w:t>εάν χρησιμοποιείται ενδαρτηριακή χορήγηση σε αλκοολικούς α</w:t>
      </w:r>
      <w:r w:rsidRPr="00BC6D25">
        <w:rPr>
          <w:sz w:val="22"/>
          <w:szCs w:val="22"/>
        </w:rPr>
        <w:t>σθενείς (οξύς ή χρόνιος αλκοολισμός) και σε ασθενείς εθισμένους σε ναρκωτικές ουσίες.</w:t>
      </w:r>
    </w:p>
    <w:p w:rsidR="006979DD" w:rsidRPr="00055C43" w:rsidRDefault="006979DD" w:rsidP="006979DD">
      <w:pPr>
        <w:shd w:val="clear" w:color="auto" w:fill="FFFFFF"/>
        <w:jc w:val="both"/>
        <w:rPr>
          <w:b/>
          <w:sz w:val="22"/>
          <w:szCs w:val="22"/>
          <w:u w:val="single"/>
        </w:rPr>
      </w:pPr>
    </w:p>
    <w:p w:rsidR="009250A3" w:rsidRPr="00055C43" w:rsidRDefault="009250A3" w:rsidP="006979DD">
      <w:pPr>
        <w:shd w:val="clear" w:color="auto" w:fill="FFFFFF"/>
        <w:jc w:val="both"/>
        <w:rPr>
          <w:b/>
          <w:sz w:val="22"/>
          <w:szCs w:val="22"/>
          <w:u w:val="single"/>
        </w:rPr>
      </w:pPr>
      <w:r w:rsidRPr="00055C43">
        <w:rPr>
          <w:b/>
          <w:sz w:val="22"/>
          <w:szCs w:val="22"/>
          <w:u w:val="single"/>
        </w:rPr>
        <w:t>Φαιοχρωμοκύττωμα</w:t>
      </w:r>
    </w:p>
    <w:p w:rsidR="006979DD" w:rsidRPr="00C9363A" w:rsidRDefault="006979DD" w:rsidP="006979DD">
      <w:pPr>
        <w:shd w:val="clear" w:color="auto" w:fill="FFFFFF"/>
        <w:jc w:val="both"/>
        <w:rPr>
          <w:sz w:val="22"/>
          <w:szCs w:val="22"/>
        </w:rPr>
      </w:pPr>
    </w:p>
    <w:p w:rsidR="009250A3" w:rsidRPr="004C2CD3" w:rsidRDefault="009250A3" w:rsidP="006979DD">
      <w:pPr>
        <w:shd w:val="clear" w:color="auto" w:fill="FFFFFF"/>
        <w:jc w:val="both"/>
        <w:rPr>
          <w:sz w:val="22"/>
          <w:szCs w:val="22"/>
        </w:rPr>
      </w:pPr>
      <w:r w:rsidRPr="00C9363A">
        <w:rPr>
          <w:sz w:val="22"/>
          <w:szCs w:val="22"/>
        </w:rPr>
        <w:t xml:space="preserve">Οι ασθενείς με φαιοχρωμοκύττωμα μπορεί να </w:t>
      </w:r>
      <w:r w:rsidR="00BF0EF5">
        <w:rPr>
          <w:sz w:val="22"/>
          <w:szCs w:val="22"/>
        </w:rPr>
        <w:t>παρουσιάσουν</w:t>
      </w:r>
      <w:r w:rsidRPr="00C9363A">
        <w:rPr>
          <w:sz w:val="22"/>
          <w:szCs w:val="22"/>
        </w:rPr>
        <w:t xml:space="preserve"> υπερτασική κρίση μετά από ενδαγγειακή χορήγηση σκιαγραφικού και πρέπει να παρακολουθούνται πριν απ</w:t>
      </w:r>
      <w:r w:rsidRPr="004C2CD3">
        <w:rPr>
          <w:sz w:val="22"/>
          <w:szCs w:val="22"/>
        </w:rPr>
        <w:t>ό την εξέταση.</w:t>
      </w:r>
    </w:p>
    <w:p w:rsidR="006979DD" w:rsidRPr="0096489F" w:rsidRDefault="006979DD" w:rsidP="006979DD">
      <w:pPr>
        <w:shd w:val="clear" w:color="auto" w:fill="FFFFFF"/>
        <w:jc w:val="both"/>
        <w:rPr>
          <w:sz w:val="22"/>
          <w:szCs w:val="22"/>
        </w:rPr>
      </w:pPr>
    </w:p>
    <w:p w:rsidR="006979DD" w:rsidRPr="006320B9" w:rsidRDefault="009250A3" w:rsidP="006979DD">
      <w:pPr>
        <w:shd w:val="clear" w:color="auto" w:fill="FFFFFF"/>
        <w:jc w:val="both"/>
        <w:rPr>
          <w:b/>
          <w:sz w:val="22"/>
          <w:szCs w:val="22"/>
          <w:u w:val="single"/>
          <w:lang w:val="en-US"/>
        </w:rPr>
      </w:pPr>
      <w:r w:rsidRPr="00055C43">
        <w:rPr>
          <w:b/>
          <w:sz w:val="22"/>
          <w:szCs w:val="22"/>
          <w:u w:val="single"/>
        </w:rPr>
        <w:t>Μυασθένεια</w:t>
      </w:r>
    </w:p>
    <w:p w:rsidR="009250A3" w:rsidRPr="00055C43" w:rsidRDefault="009250A3" w:rsidP="006979DD">
      <w:pPr>
        <w:shd w:val="clear" w:color="auto" w:fill="FFFFFF"/>
        <w:jc w:val="both"/>
        <w:rPr>
          <w:sz w:val="22"/>
          <w:szCs w:val="22"/>
        </w:rPr>
      </w:pPr>
      <w:r w:rsidRPr="00C9363A">
        <w:rPr>
          <w:sz w:val="22"/>
          <w:szCs w:val="22"/>
        </w:rPr>
        <w:t xml:space="preserve">Τα συμπτώματα </w:t>
      </w:r>
      <w:r w:rsidR="00BF0EF5">
        <w:rPr>
          <w:sz w:val="22"/>
          <w:szCs w:val="22"/>
        </w:rPr>
        <w:t xml:space="preserve">της </w:t>
      </w:r>
      <w:r w:rsidRPr="0096489F">
        <w:rPr>
          <w:sz w:val="22"/>
          <w:szCs w:val="22"/>
        </w:rPr>
        <w:t xml:space="preserve">μυασθένειας </w:t>
      </w:r>
      <w:r w:rsidR="006979DD" w:rsidRPr="003165BA">
        <w:rPr>
          <w:sz w:val="22"/>
          <w:szCs w:val="22"/>
          <w:lang w:val="en-US"/>
        </w:rPr>
        <w:t>Gravis</w:t>
      </w:r>
      <w:r w:rsidR="006979DD" w:rsidRPr="007701A8">
        <w:rPr>
          <w:sz w:val="22"/>
          <w:szCs w:val="22"/>
        </w:rPr>
        <w:t xml:space="preserve"> </w:t>
      </w:r>
      <w:r w:rsidRPr="00F2281C">
        <w:rPr>
          <w:sz w:val="22"/>
          <w:szCs w:val="22"/>
        </w:rPr>
        <w:t>ενδέχεται να επιδεινωθούν με τη χορήγηση σκιαγραφικού.</w:t>
      </w:r>
    </w:p>
    <w:p w:rsidR="006979DD" w:rsidRPr="00055C43" w:rsidRDefault="006979DD" w:rsidP="006979DD">
      <w:pPr>
        <w:shd w:val="clear" w:color="auto" w:fill="FFFFFF"/>
        <w:jc w:val="both"/>
        <w:rPr>
          <w:sz w:val="22"/>
          <w:szCs w:val="22"/>
        </w:rPr>
      </w:pPr>
    </w:p>
    <w:p w:rsidR="006979DD" w:rsidRPr="006320B9" w:rsidRDefault="009250A3" w:rsidP="006979DD">
      <w:pPr>
        <w:shd w:val="clear" w:color="auto" w:fill="FFFFFF"/>
        <w:jc w:val="both"/>
        <w:rPr>
          <w:b/>
          <w:sz w:val="22"/>
          <w:szCs w:val="22"/>
          <w:u w:val="single"/>
          <w:lang w:val="en-US"/>
        </w:rPr>
      </w:pPr>
      <w:r w:rsidRPr="00055C43">
        <w:rPr>
          <w:b/>
          <w:sz w:val="22"/>
          <w:szCs w:val="22"/>
          <w:u w:val="single"/>
        </w:rPr>
        <w:t>Επίταση ανεπιθύμητων ενεργειών</w:t>
      </w:r>
    </w:p>
    <w:p w:rsidR="009250A3" w:rsidRPr="00055C43" w:rsidRDefault="009250A3" w:rsidP="006979DD">
      <w:pPr>
        <w:jc w:val="both"/>
        <w:rPr>
          <w:sz w:val="22"/>
          <w:szCs w:val="22"/>
        </w:rPr>
      </w:pPr>
      <w:r w:rsidRPr="00C9363A">
        <w:rPr>
          <w:sz w:val="22"/>
          <w:szCs w:val="22"/>
        </w:rPr>
        <w:t>Οι ανεπιθύμητες ενέργειες που σχετίζονται με τη χορήγηση ιωδιούχων σκιαγραφικών μπορεί να επιδεινωθούν σε ασθενείς με έκδηλη ανησυχία, άγχος και άλγος. Ενδέχεται να απαιτείται κατάλληλη διαχείριση, όπως νάρκωση.</w:t>
      </w:r>
    </w:p>
    <w:p w:rsidR="009250A3" w:rsidRPr="00055C43" w:rsidRDefault="009250A3" w:rsidP="006979DD">
      <w:pPr>
        <w:rPr>
          <w:bCs/>
          <w:sz w:val="22"/>
          <w:szCs w:val="22"/>
        </w:rPr>
      </w:pPr>
    </w:p>
    <w:p w:rsidR="009250A3" w:rsidRPr="00055C43" w:rsidRDefault="009250A3" w:rsidP="006979DD">
      <w:pPr>
        <w:rPr>
          <w:b/>
          <w:sz w:val="22"/>
          <w:szCs w:val="22"/>
        </w:rPr>
      </w:pPr>
      <w:r w:rsidRPr="00055C43">
        <w:rPr>
          <w:b/>
          <w:sz w:val="22"/>
          <w:szCs w:val="22"/>
        </w:rPr>
        <w:t>4.4.2. Προειδοποιήσεις και προφυλάξεις κατά τη χρήση για συγκεκριμένες οδούς χορήγησης με σημαντική συστημική διάχυση</w:t>
      </w:r>
    </w:p>
    <w:p w:rsidR="006979DD" w:rsidRPr="00055C43" w:rsidRDefault="006979DD" w:rsidP="006979DD">
      <w:pPr>
        <w:rPr>
          <w:b/>
          <w:sz w:val="22"/>
          <w:szCs w:val="22"/>
        </w:rPr>
      </w:pPr>
    </w:p>
    <w:p w:rsidR="006979DD" w:rsidRPr="006320B9" w:rsidRDefault="009250A3" w:rsidP="006979DD">
      <w:pPr>
        <w:autoSpaceDE w:val="0"/>
        <w:autoSpaceDN w:val="0"/>
        <w:adjustRightInd w:val="0"/>
        <w:rPr>
          <w:b/>
          <w:sz w:val="22"/>
          <w:szCs w:val="22"/>
          <w:u w:val="single"/>
        </w:rPr>
      </w:pPr>
      <w:r w:rsidRPr="00055C43">
        <w:rPr>
          <w:b/>
          <w:sz w:val="22"/>
          <w:szCs w:val="22"/>
          <w:u w:val="single"/>
        </w:rPr>
        <w:t>4.4.2.1. Προϊόντα που χορηγούνται μέσω ενδομήτριας οδού</w:t>
      </w:r>
    </w:p>
    <w:p w:rsidR="006979DD" w:rsidRPr="006320B9" w:rsidRDefault="009250A3" w:rsidP="006979DD">
      <w:pPr>
        <w:autoSpaceDE w:val="0"/>
        <w:autoSpaceDN w:val="0"/>
        <w:adjustRightInd w:val="0"/>
        <w:rPr>
          <w:sz w:val="22"/>
          <w:szCs w:val="22"/>
          <w:u w:val="single"/>
          <w:lang w:val="en-US"/>
        </w:rPr>
      </w:pPr>
      <w:r w:rsidRPr="00055C43">
        <w:rPr>
          <w:sz w:val="22"/>
          <w:szCs w:val="22"/>
          <w:u w:val="single"/>
        </w:rPr>
        <w:t>Αντενδείξεις</w:t>
      </w:r>
    </w:p>
    <w:p w:rsidR="009250A3" w:rsidRPr="00055C43" w:rsidRDefault="009250A3" w:rsidP="006979DD">
      <w:pPr>
        <w:autoSpaceDE w:val="0"/>
        <w:autoSpaceDN w:val="0"/>
        <w:adjustRightInd w:val="0"/>
        <w:rPr>
          <w:sz w:val="22"/>
          <w:szCs w:val="22"/>
        </w:rPr>
      </w:pPr>
      <w:r w:rsidRPr="00055C43">
        <w:rPr>
          <w:sz w:val="22"/>
          <w:szCs w:val="22"/>
        </w:rPr>
        <w:t>Κύηση για υστεροσαλπιγγογραφία.</w:t>
      </w:r>
    </w:p>
    <w:p w:rsidR="009250A3" w:rsidRPr="00055C43" w:rsidRDefault="009250A3" w:rsidP="006979DD">
      <w:pPr>
        <w:autoSpaceDE w:val="0"/>
        <w:autoSpaceDN w:val="0"/>
        <w:adjustRightInd w:val="0"/>
        <w:jc w:val="both"/>
        <w:rPr>
          <w:sz w:val="22"/>
          <w:szCs w:val="22"/>
        </w:rPr>
      </w:pPr>
    </w:p>
    <w:p w:rsidR="009250A3" w:rsidRPr="00055C43" w:rsidRDefault="009250A3" w:rsidP="006979DD">
      <w:pPr>
        <w:autoSpaceDE w:val="0"/>
        <w:autoSpaceDN w:val="0"/>
        <w:adjustRightInd w:val="0"/>
        <w:jc w:val="both"/>
        <w:rPr>
          <w:sz w:val="22"/>
          <w:szCs w:val="22"/>
          <w:u w:val="single"/>
        </w:rPr>
      </w:pPr>
      <w:r w:rsidRPr="00055C43">
        <w:rPr>
          <w:sz w:val="22"/>
          <w:szCs w:val="22"/>
          <w:u w:val="single"/>
        </w:rPr>
        <w:t>Ιδιαίτερες προφυλάξεις κατά τη χρήση του προϊόντος</w:t>
      </w:r>
    </w:p>
    <w:p w:rsidR="006979DD" w:rsidRPr="00055C43" w:rsidRDefault="006979DD" w:rsidP="006979DD">
      <w:pPr>
        <w:autoSpaceDE w:val="0"/>
        <w:autoSpaceDN w:val="0"/>
        <w:adjustRightInd w:val="0"/>
        <w:jc w:val="both"/>
        <w:rPr>
          <w:sz w:val="22"/>
          <w:szCs w:val="22"/>
        </w:rPr>
      </w:pPr>
    </w:p>
    <w:p w:rsidR="009250A3" w:rsidRPr="00055C43" w:rsidRDefault="009250A3" w:rsidP="006979DD">
      <w:pPr>
        <w:autoSpaceDE w:val="0"/>
        <w:autoSpaceDN w:val="0"/>
        <w:adjustRightInd w:val="0"/>
        <w:jc w:val="both"/>
        <w:rPr>
          <w:sz w:val="22"/>
          <w:szCs w:val="22"/>
        </w:rPr>
      </w:pPr>
      <w:r w:rsidRPr="00055C43">
        <w:rPr>
          <w:sz w:val="22"/>
          <w:szCs w:val="22"/>
        </w:rPr>
        <w:lastRenderedPageBreak/>
        <w:t>Κατά τη λήψη του ιστορικού και με κατάλληλες εξετάσεις, ελέγχετε συστηματικά εάν υπάρχει πιθανότητα εγκυμοσύνης σε γυναίκες σε αναπαραγωγική ηλικία. Εάν απαιτείται έκθεση του γυναικείου γεννητικού συστήματος σε ακτίνες Χ, πρέπει να αξιολογείται προσεκτικά η σχέση οφέλους-κινδύνου.</w:t>
      </w:r>
    </w:p>
    <w:p w:rsidR="009250A3" w:rsidRPr="00055C43" w:rsidRDefault="009250A3" w:rsidP="006979DD">
      <w:pPr>
        <w:jc w:val="both"/>
        <w:rPr>
          <w:sz w:val="22"/>
          <w:szCs w:val="22"/>
        </w:rPr>
      </w:pPr>
      <w:r w:rsidRPr="00055C43">
        <w:rPr>
          <w:sz w:val="22"/>
          <w:szCs w:val="22"/>
        </w:rPr>
        <w:t>Σε περίπτωση φλεγμονής ή οξείας πυελικής λοίμωξης, η υστεροσαλπιγγογραφία μπορεί να πραγματοποιηθεί μόνο μετά από προσεκτική αξιολόγηση της σχέσης οφέλους-κινδύνου.</w:t>
      </w:r>
    </w:p>
    <w:p w:rsidR="009250A3" w:rsidRPr="00C9363A" w:rsidRDefault="009250A3" w:rsidP="006979DD">
      <w:pPr>
        <w:rPr>
          <w:sz w:val="22"/>
          <w:szCs w:val="22"/>
        </w:rPr>
      </w:pPr>
    </w:p>
    <w:p w:rsidR="009250A3" w:rsidRPr="0096489F" w:rsidRDefault="00E21AD8" w:rsidP="00E21AD8">
      <w:pPr>
        <w:ind w:left="720" w:hanging="675"/>
        <w:rPr>
          <w:b/>
          <w:bCs/>
          <w:sz w:val="22"/>
          <w:szCs w:val="22"/>
        </w:rPr>
      </w:pPr>
      <w:r w:rsidRPr="00C9363A">
        <w:rPr>
          <w:b/>
          <w:sz w:val="22"/>
          <w:szCs w:val="22"/>
        </w:rPr>
        <w:t>4.5</w:t>
      </w:r>
      <w:r w:rsidRPr="00C9363A">
        <w:rPr>
          <w:b/>
          <w:sz w:val="22"/>
          <w:szCs w:val="22"/>
        </w:rPr>
        <w:tab/>
      </w:r>
      <w:r w:rsidR="009250A3" w:rsidRPr="004C2CD3">
        <w:rPr>
          <w:b/>
          <w:sz w:val="22"/>
          <w:szCs w:val="22"/>
        </w:rPr>
        <w:t>Αλληλεπιδράσεις με άλλα φαρμακευτικά προϊόντα και άλλες μορφές αλληλεπίδρασης</w:t>
      </w:r>
    </w:p>
    <w:p w:rsidR="006979DD" w:rsidRPr="00B25D25" w:rsidRDefault="006979DD" w:rsidP="006979DD">
      <w:pPr>
        <w:shd w:val="clear" w:color="auto" w:fill="FFFFFF"/>
        <w:jc w:val="both"/>
        <w:rPr>
          <w:b/>
          <w:iCs/>
          <w:sz w:val="22"/>
          <w:szCs w:val="22"/>
          <w:u w:val="single"/>
        </w:rPr>
      </w:pPr>
    </w:p>
    <w:p w:rsidR="009250A3" w:rsidRPr="00055C43" w:rsidRDefault="009250A3" w:rsidP="006979DD">
      <w:pPr>
        <w:shd w:val="clear" w:color="auto" w:fill="FFFFFF"/>
        <w:jc w:val="both"/>
        <w:rPr>
          <w:b/>
          <w:iCs/>
          <w:sz w:val="22"/>
          <w:szCs w:val="22"/>
        </w:rPr>
      </w:pPr>
      <w:r w:rsidRPr="003165BA">
        <w:rPr>
          <w:b/>
          <w:iCs/>
          <w:sz w:val="22"/>
          <w:szCs w:val="22"/>
        </w:rPr>
        <w:t>4.5.1</w:t>
      </w:r>
      <w:r w:rsidR="006979DD" w:rsidRPr="00055C43">
        <w:rPr>
          <w:b/>
          <w:iCs/>
          <w:sz w:val="22"/>
          <w:szCs w:val="22"/>
        </w:rPr>
        <w:tab/>
      </w:r>
      <w:r w:rsidRPr="00C9363A">
        <w:rPr>
          <w:b/>
          <w:iCs/>
          <w:sz w:val="22"/>
          <w:szCs w:val="22"/>
        </w:rPr>
        <w:t>Φαρμακευτικά προϊόντα</w:t>
      </w:r>
    </w:p>
    <w:p w:rsidR="006979DD" w:rsidRPr="00055C43" w:rsidRDefault="006979DD" w:rsidP="006979DD">
      <w:pPr>
        <w:shd w:val="clear" w:color="auto" w:fill="FFFFFF"/>
        <w:jc w:val="both"/>
        <w:rPr>
          <w:iCs/>
          <w:sz w:val="22"/>
          <w:szCs w:val="22"/>
        </w:rPr>
      </w:pPr>
    </w:p>
    <w:p w:rsidR="009250A3" w:rsidRPr="00055C43" w:rsidRDefault="009250A3" w:rsidP="006979DD">
      <w:pPr>
        <w:shd w:val="clear" w:color="auto" w:fill="FFFFFF"/>
        <w:jc w:val="both"/>
        <w:rPr>
          <w:sz w:val="22"/>
          <w:szCs w:val="22"/>
        </w:rPr>
      </w:pPr>
      <w:r w:rsidRPr="00C9363A">
        <w:rPr>
          <w:b/>
          <w:sz w:val="22"/>
          <w:szCs w:val="22"/>
        </w:rPr>
        <w:t xml:space="preserve">+ Μετφορμίνη σε διαβητικούς </w:t>
      </w:r>
      <w:r w:rsidRPr="00C9363A">
        <w:rPr>
          <w:sz w:val="22"/>
          <w:szCs w:val="22"/>
        </w:rPr>
        <w:t>(βλ. παράγραφο 4.4 Προφυλάξεις κατά τη χρήση — νεφρική ανεπάρκεια).</w:t>
      </w:r>
    </w:p>
    <w:p w:rsidR="006979DD" w:rsidRPr="00055C43" w:rsidRDefault="006979DD" w:rsidP="006979DD">
      <w:pPr>
        <w:shd w:val="clear" w:color="auto" w:fill="FFFFFF"/>
        <w:jc w:val="both"/>
        <w:rPr>
          <w:sz w:val="22"/>
          <w:szCs w:val="22"/>
        </w:rPr>
      </w:pPr>
    </w:p>
    <w:p w:rsidR="009250A3" w:rsidRPr="00055C43" w:rsidRDefault="009250A3" w:rsidP="006979DD">
      <w:pPr>
        <w:shd w:val="clear" w:color="auto" w:fill="FFFFFF"/>
        <w:jc w:val="both"/>
        <w:rPr>
          <w:sz w:val="22"/>
          <w:szCs w:val="22"/>
        </w:rPr>
      </w:pPr>
      <w:r w:rsidRPr="00C9363A">
        <w:rPr>
          <w:b/>
          <w:sz w:val="22"/>
          <w:szCs w:val="22"/>
        </w:rPr>
        <w:t xml:space="preserve">+ Ραδιοφάρμακα </w:t>
      </w:r>
      <w:r w:rsidRPr="00C9363A">
        <w:rPr>
          <w:sz w:val="22"/>
          <w:szCs w:val="22"/>
        </w:rPr>
        <w:t>(βλ. παράγραφο 4.4 Προειδοποιήσεις)</w:t>
      </w:r>
    </w:p>
    <w:p w:rsidR="006979DD" w:rsidRPr="00055C43" w:rsidRDefault="006979DD" w:rsidP="006979DD">
      <w:pPr>
        <w:shd w:val="clear" w:color="auto" w:fill="FFFFFF"/>
        <w:jc w:val="both"/>
        <w:rPr>
          <w:sz w:val="22"/>
          <w:szCs w:val="22"/>
        </w:rPr>
      </w:pPr>
    </w:p>
    <w:p w:rsidR="009250A3" w:rsidRPr="00F2281C" w:rsidRDefault="009250A3" w:rsidP="006979DD">
      <w:pPr>
        <w:shd w:val="clear" w:color="auto" w:fill="FFFFFF"/>
        <w:jc w:val="both"/>
        <w:rPr>
          <w:sz w:val="22"/>
          <w:szCs w:val="22"/>
        </w:rPr>
      </w:pPr>
      <w:r w:rsidRPr="00C9363A">
        <w:rPr>
          <w:sz w:val="22"/>
          <w:szCs w:val="22"/>
        </w:rPr>
        <w:t xml:space="preserve">Τα ιωδιούχα σκιαγραφικά τροποποιούν τη πρόσληψη ραδιενεργού ιωδίου από το θυρεοειδή για </w:t>
      </w:r>
      <w:r w:rsidR="006979DD" w:rsidRPr="00C9363A">
        <w:rPr>
          <w:sz w:val="22"/>
          <w:szCs w:val="22"/>
        </w:rPr>
        <w:t>αρκετές</w:t>
      </w:r>
      <w:r w:rsidRPr="004C2CD3">
        <w:rPr>
          <w:sz w:val="22"/>
          <w:szCs w:val="22"/>
        </w:rPr>
        <w:t xml:space="preserve"> εβδομάδες, γεγονός που μπορεί να οδηγήσει αφε</w:t>
      </w:r>
      <w:r w:rsidRPr="0096489F">
        <w:rPr>
          <w:sz w:val="22"/>
          <w:szCs w:val="22"/>
        </w:rPr>
        <w:t>νός σε μειωμένη πρόσληψη στο σπινθηρογράφημα του θυρεοειδούς και αφετέρου σε μείωση της αποτελεσματικότητας της θεραπείας με ιώδιο 131. Σε ασθενείς στους οποίους έχει προγραμματιστεί να υποβληθούν σε σπινθηρογράφημα νεφρών με έ</w:t>
      </w:r>
      <w:r w:rsidR="006979DD" w:rsidRPr="00B25D25">
        <w:rPr>
          <w:sz w:val="22"/>
          <w:szCs w:val="22"/>
        </w:rPr>
        <w:t>νεση</w:t>
      </w:r>
      <w:r w:rsidRPr="003165BA">
        <w:rPr>
          <w:sz w:val="22"/>
          <w:szCs w:val="22"/>
        </w:rPr>
        <w:t xml:space="preserve"> ραδιοφαρμάκου που απεκκρ</w:t>
      </w:r>
      <w:r w:rsidRPr="007701A8">
        <w:rPr>
          <w:sz w:val="22"/>
          <w:szCs w:val="22"/>
        </w:rPr>
        <w:t>ίνεται από τα νεφρικά σωληνάρια, η εξέταση συνιστάται να πραγματοποιείται πριν από την έ</w:t>
      </w:r>
      <w:r w:rsidR="006979DD" w:rsidRPr="00F2281C">
        <w:rPr>
          <w:sz w:val="22"/>
          <w:szCs w:val="22"/>
        </w:rPr>
        <w:t>νεση</w:t>
      </w:r>
      <w:r w:rsidRPr="00F2281C">
        <w:rPr>
          <w:sz w:val="22"/>
          <w:szCs w:val="22"/>
        </w:rPr>
        <w:t xml:space="preserve"> του ιωδιούχου σκιαγραφικού.</w:t>
      </w:r>
    </w:p>
    <w:p w:rsidR="006979DD" w:rsidRPr="00F2281C" w:rsidRDefault="006979DD" w:rsidP="006979DD">
      <w:pPr>
        <w:shd w:val="clear" w:color="auto" w:fill="FFFFFF"/>
        <w:jc w:val="both"/>
        <w:rPr>
          <w:sz w:val="22"/>
          <w:szCs w:val="22"/>
        </w:rPr>
      </w:pPr>
    </w:p>
    <w:p w:rsidR="009250A3" w:rsidRPr="00BC6D25" w:rsidRDefault="009250A3" w:rsidP="006979DD">
      <w:pPr>
        <w:shd w:val="clear" w:color="auto" w:fill="FFFFFF"/>
        <w:jc w:val="both"/>
        <w:rPr>
          <w:sz w:val="22"/>
          <w:szCs w:val="22"/>
        </w:rPr>
      </w:pPr>
      <w:r w:rsidRPr="00BC6D25">
        <w:rPr>
          <w:b/>
          <w:sz w:val="22"/>
          <w:szCs w:val="22"/>
        </w:rPr>
        <w:t xml:space="preserve">+ Β-αναστολείς, </w:t>
      </w:r>
      <w:r w:rsidRPr="00BC6D25">
        <w:rPr>
          <w:sz w:val="22"/>
          <w:szCs w:val="22"/>
        </w:rPr>
        <w:t>αγγειοδραστικές ουσίες, αναστολείς μετατρεπτικού ενζύμου αγγειοτενσίνης, ανταγωνιστές υποδοχέων αγγειοτενσίνης.</w:t>
      </w:r>
    </w:p>
    <w:p w:rsidR="006979DD" w:rsidRPr="0068100B" w:rsidRDefault="006979DD" w:rsidP="006979DD">
      <w:pPr>
        <w:shd w:val="clear" w:color="auto" w:fill="FFFFFF"/>
        <w:jc w:val="both"/>
        <w:rPr>
          <w:sz w:val="22"/>
          <w:szCs w:val="22"/>
        </w:rPr>
      </w:pPr>
    </w:p>
    <w:p w:rsidR="009250A3" w:rsidRPr="00055C43" w:rsidRDefault="009250A3" w:rsidP="006979DD">
      <w:pPr>
        <w:shd w:val="clear" w:color="auto" w:fill="FFFFFF"/>
        <w:jc w:val="both"/>
        <w:rPr>
          <w:sz w:val="22"/>
          <w:szCs w:val="22"/>
        </w:rPr>
      </w:pPr>
      <w:r w:rsidRPr="00055C43">
        <w:rPr>
          <w:sz w:val="22"/>
          <w:szCs w:val="22"/>
        </w:rPr>
        <w:t xml:space="preserve">Αυτά τα φαρμακευτικά προϊόντα μειώνουν την αποτελεσματικότητα των μηχανισμών καρδιαγγειακής αντιρρόπησης που παρατηρούνται σε </w:t>
      </w:r>
      <w:r w:rsidR="006979DD" w:rsidRPr="00055C43">
        <w:rPr>
          <w:sz w:val="22"/>
          <w:szCs w:val="22"/>
        </w:rPr>
        <w:t xml:space="preserve">αιμοδυναμικές </w:t>
      </w:r>
      <w:r w:rsidRPr="00055C43">
        <w:rPr>
          <w:sz w:val="22"/>
          <w:szCs w:val="22"/>
        </w:rPr>
        <w:t>διαταραχές. Ο ιατρός πρέπει να λαμβάνει υπόψη του το γεγονός αυτό πριν από την έ</w:t>
      </w:r>
      <w:r w:rsidR="006979DD" w:rsidRPr="00055C43">
        <w:rPr>
          <w:sz w:val="22"/>
          <w:szCs w:val="22"/>
        </w:rPr>
        <w:t>νεση</w:t>
      </w:r>
      <w:r w:rsidRPr="00055C43">
        <w:rPr>
          <w:sz w:val="22"/>
          <w:szCs w:val="22"/>
        </w:rPr>
        <w:t xml:space="preserve"> του ιωδιούχου σκιαγραφικού και πρέπει να διατίθεται κατάλληλος εξοπλισμός εντατικής θεραπείας.</w:t>
      </w:r>
    </w:p>
    <w:p w:rsidR="006979DD" w:rsidRPr="00055C43" w:rsidRDefault="006979DD" w:rsidP="006979DD">
      <w:pPr>
        <w:shd w:val="clear" w:color="auto" w:fill="FFFFFF"/>
        <w:jc w:val="both"/>
        <w:rPr>
          <w:b/>
          <w:sz w:val="22"/>
          <w:szCs w:val="22"/>
        </w:rPr>
      </w:pPr>
    </w:p>
    <w:p w:rsidR="009250A3" w:rsidRPr="00055C43" w:rsidRDefault="009250A3" w:rsidP="006979DD">
      <w:pPr>
        <w:shd w:val="clear" w:color="auto" w:fill="FFFFFF"/>
        <w:jc w:val="both"/>
        <w:rPr>
          <w:sz w:val="22"/>
          <w:szCs w:val="22"/>
        </w:rPr>
      </w:pPr>
      <w:r w:rsidRPr="00055C43">
        <w:rPr>
          <w:b/>
          <w:sz w:val="22"/>
          <w:szCs w:val="22"/>
        </w:rPr>
        <w:t>+ Διουρητικά</w:t>
      </w:r>
    </w:p>
    <w:p w:rsidR="006979DD" w:rsidRPr="00055C43" w:rsidRDefault="006979DD" w:rsidP="006979DD">
      <w:pPr>
        <w:shd w:val="clear" w:color="auto" w:fill="FFFFFF"/>
        <w:jc w:val="both"/>
        <w:rPr>
          <w:sz w:val="22"/>
          <w:szCs w:val="22"/>
        </w:rPr>
      </w:pPr>
    </w:p>
    <w:p w:rsidR="009250A3" w:rsidRPr="00055C43" w:rsidRDefault="009250A3" w:rsidP="006979DD">
      <w:pPr>
        <w:shd w:val="clear" w:color="auto" w:fill="FFFFFF"/>
        <w:jc w:val="both"/>
        <w:rPr>
          <w:sz w:val="22"/>
          <w:szCs w:val="22"/>
        </w:rPr>
      </w:pPr>
      <w:r w:rsidRPr="00055C43">
        <w:rPr>
          <w:sz w:val="22"/>
          <w:szCs w:val="22"/>
        </w:rPr>
        <w:t>Λόγω του κινδύνου αφυδάτωσης που προκαλείται από τα διουρητικά, πρέπει να πραγματοποιείται επανυδάτωση με νερό και ηλεκτρολύτες πριν από την εξέταση, ώστε να περιοριστεί ο κίνδυνος οξείας νεφρικής ανεπάρκειας.</w:t>
      </w:r>
    </w:p>
    <w:p w:rsidR="006979DD" w:rsidRPr="00055C43" w:rsidRDefault="006979DD" w:rsidP="006979DD">
      <w:pPr>
        <w:shd w:val="clear" w:color="auto" w:fill="FFFFFF"/>
        <w:jc w:val="both"/>
        <w:rPr>
          <w:b/>
          <w:sz w:val="22"/>
          <w:szCs w:val="22"/>
        </w:rPr>
      </w:pPr>
    </w:p>
    <w:p w:rsidR="009250A3" w:rsidRPr="00055C43" w:rsidRDefault="009250A3" w:rsidP="006979DD">
      <w:pPr>
        <w:shd w:val="clear" w:color="auto" w:fill="FFFFFF"/>
        <w:jc w:val="both"/>
        <w:rPr>
          <w:sz w:val="22"/>
          <w:szCs w:val="22"/>
        </w:rPr>
      </w:pPr>
      <w:r w:rsidRPr="00055C43">
        <w:rPr>
          <w:b/>
          <w:sz w:val="22"/>
          <w:szCs w:val="22"/>
        </w:rPr>
        <w:t>+ Ιντερλευκίνη 2</w:t>
      </w:r>
    </w:p>
    <w:p w:rsidR="006979DD" w:rsidRPr="00055C43" w:rsidRDefault="006979DD" w:rsidP="006979DD">
      <w:pPr>
        <w:shd w:val="clear" w:color="auto" w:fill="FFFFFF"/>
        <w:jc w:val="both"/>
        <w:rPr>
          <w:sz w:val="22"/>
          <w:szCs w:val="22"/>
        </w:rPr>
      </w:pPr>
    </w:p>
    <w:p w:rsidR="009250A3" w:rsidRPr="00055C43" w:rsidRDefault="009250A3" w:rsidP="006979DD">
      <w:pPr>
        <w:shd w:val="clear" w:color="auto" w:fill="FFFFFF"/>
        <w:jc w:val="both"/>
        <w:rPr>
          <w:sz w:val="22"/>
          <w:szCs w:val="22"/>
        </w:rPr>
      </w:pPr>
      <w:r w:rsidRPr="00055C43">
        <w:rPr>
          <w:sz w:val="22"/>
          <w:szCs w:val="22"/>
        </w:rPr>
        <w:t xml:space="preserve">Ο κίνδυνος εμφάνισης αντιδράσεων σε σκιαγραφικά μπορεί να αυξηθεί εάν ο ασθενής έχει υποβληθεί πρόσφατα σε θεραπεία με ιντερλευκίνη 2 (ενδοφλέβια οδός), δηλ. </w:t>
      </w:r>
      <w:r w:rsidR="006979DD" w:rsidRPr="00055C43">
        <w:rPr>
          <w:sz w:val="22"/>
          <w:szCs w:val="22"/>
        </w:rPr>
        <w:t>εξάνθημα</w:t>
      </w:r>
      <w:r w:rsidRPr="00055C43">
        <w:rPr>
          <w:sz w:val="22"/>
          <w:szCs w:val="22"/>
        </w:rPr>
        <w:t xml:space="preserve"> ή πιο σπάνια, υπόταση, ολιγουρία ή ακόμη και νεφρική ανεπάρκεια.</w:t>
      </w:r>
    </w:p>
    <w:p w:rsidR="009250A3" w:rsidRPr="00055C43" w:rsidRDefault="009250A3" w:rsidP="006979DD">
      <w:pPr>
        <w:jc w:val="both"/>
        <w:rPr>
          <w:sz w:val="22"/>
          <w:szCs w:val="22"/>
        </w:rPr>
      </w:pPr>
    </w:p>
    <w:p w:rsidR="009250A3" w:rsidRPr="00055C43" w:rsidRDefault="009250A3" w:rsidP="006979DD">
      <w:pPr>
        <w:shd w:val="clear" w:color="auto" w:fill="FFFFFF"/>
        <w:jc w:val="both"/>
        <w:rPr>
          <w:b/>
          <w:iCs/>
          <w:sz w:val="22"/>
          <w:szCs w:val="22"/>
        </w:rPr>
      </w:pPr>
      <w:r w:rsidRPr="00055C43">
        <w:rPr>
          <w:b/>
          <w:iCs/>
          <w:sz w:val="22"/>
          <w:szCs w:val="22"/>
        </w:rPr>
        <w:t>4.5.2. Άλλες μορφές αλληλεπίδρασης</w:t>
      </w:r>
    </w:p>
    <w:p w:rsidR="006979DD" w:rsidRPr="00055C43" w:rsidRDefault="006979DD" w:rsidP="006979DD">
      <w:pPr>
        <w:shd w:val="clear" w:color="auto" w:fill="FFFFFF"/>
        <w:jc w:val="both"/>
        <w:rPr>
          <w:iCs/>
          <w:sz w:val="22"/>
          <w:szCs w:val="22"/>
        </w:rPr>
      </w:pPr>
    </w:p>
    <w:p w:rsidR="009250A3" w:rsidRPr="00055C43" w:rsidRDefault="009250A3" w:rsidP="006979DD">
      <w:pPr>
        <w:shd w:val="clear" w:color="auto" w:fill="FFFFFF"/>
        <w:jc w:val="both"/>
        <w:rPr>
          <w:sz w:val="22"/>
          <w:szCs w:val="22"/>
        </w:rPr>
      </w:pPr>
      <w:r w:rsidRPr="00055C43">
        <w:rPr>
          <w:sz w:val="22"/>
          <w:szCs w:val="22"/>
        </w:rPr>
        <w:t xml:space="preserve">Οι υψηλές συγκεντρώσεις ιωδιούχων σκιαγραφικών στο πλάσμα και στα ούρα ενδέχεται να επηρεάσουν τον </w:t>
      </w:r>
      <w:r w:rsidRPr="00055C43">
        <w:rPr>
          <w:i/>
          <w:iCs/>
          <w:sz w:val="22"/>
          <w:szCs w:val="22"/>
        </w:rPr>
        <w:t>in vitro</w:t>
      </w:r>
      <w:r w:rsidRPr="00055C43">
        <w:rPr>
          <w:sz w:val="22"/>
          <w:szCs w:val="22"/>
        </w:rPr>
        <w:t xml:space="preserve"> προσδιορισμό χολερυθρίνης, πρωτεϊνών και ανόργανων ουσιών (σίδηρος, χαλκός, ασβέστιο και φωσφορικό άλας). Συνιστάται οι προσδιορισμοί αυτοί να μη διεξάγονται εντός 24 ωρών μετά την εξέταση.</w:t>
      </w:r>
    </w:p>
    <w:p w:rsidR="009250A3" w:rsidRPr="00055C43" w:rsidRDefault="009250A3" w:rsidP="006979DD">
      <w:pPr>
        <w:pStyle w:val="a4"/>
        <w:rPr>
          <w:sz w:val="22"/>
          <w:szCs w:val="22"/>
        </w:rPr>
      </w:pPr>
    </w:p>
    <w:p w:rsidR="009250A3" w:rsidRPr="006320B9" w:rsidRDefault="00E21AD8" w:rsidP="006320B9">
      <w:pPr>
        <w:rPr>
          <w:b/>
          <w:bCs/>
          <w:sz w:val="22"/>
          <w:szCs w:val="22"/>
          <w:lang w:val="en-US"/>
        </w:rPr>
      </w:pPr>
      <w:r w:rsidRPr="00055C43">
        <w:rPr>
          <w:b/>
          <w:sz w:val="22"/>
          <w:szCs w:val="22"/>
        </w:rPr>
        <w:t xml:space="preserve">4.6 </w:t>
      </w:r>
      <w:r w:rsidRPr="00055C43">
        <w:rPr>
          <w:b/>
          <w:sz w:val="22"/>
          <w:szCs w:val="22"/>
        </w:rPr>
        <w:tab/>
      </w:r>
      <w:r w:rsidR="009250A3" w:rsidRPr="00055C43">
        <w:rPr>
          <w:b/>
          <w:noProof/>
          <w:sz w:val="22"/>
          <w:szCs w:val="22"/>
        </w:rPr>
        <w:t xml:space="preserve">Γονιμότητα, </w:t>
      </w:r>
      <w:r w:rsidR="009250A3" w:rsidRPr="00055C43">
        <w:rPr>
          <w:b/>
          <w:bCs/>
          <w:sz w:val="22"/>
          <w:szCs w:val="22"/>
        </w:rPr>
        <w:t>κύηση και γαλουχία</w:t>
      </w:r>
    </w:p>
    <w:p w:rsidR="009250A3" w:rsidRPr="00055C43" w:rsidRDefault="009250A3" w:rsidP="006979DD">
      <w:pPr>
        <w:shd w:val="clear" w:color="auto" w:fill="FFFFFF"/>
        <w:tabs>
          <w:tab w:val="left" w:pos="567"/>
        </w:tabs>
        <w:jc w:val="both"/>
        <w:rPr>
          <w:sz w:val="22"/>
          <w:szCs w:val="22"/>
        </w:rPr>
      </w:pPr>
      <w:r w:rsidRPr="00055C43">
        <w:rPr>
          <w:b/>
          <w:i/>
          <w:sz w:val="22"/>
          <w:szCs w:val="22"/>
          <w:u w:val="single"/>
        </w:rPr>
        <w:t>Εμβρυοτοξικότητα</w:t>
      </w:r>
    </w:p>
    <w:p w:rsidR="009250A3" w:rsidRPr="00055C43" w:rsidRDefault="009250A3" w:rsidP="006979DD">
      <w:pPr>
        <w:shd w:val="clear" w:color="auto" w:fill="FFFFFF"/>
        <w:jc w:val="both"/>
        <w:rPr>
          <w:sz w:val="22"/>
          <w:szCs w:val="22"/>
        </w:rPr>
      </w:pPr>
      <w:r w:rsidRPr="00055C43">
        <w:rPr>
          <w:sz w:val="22"/>
          <w:szCs w:val="22"/>
        </w:rPr>
        <w:t>Μελέτες σε ζώα δεν έχουν καταδείξει τερατογόνες επιδράσεις.</w:t>
      </w:r>
    </w:p>
    <w:p w:rsidR="009250A3" w:rsidRPr="00BF0EF5" w:rsidRDefault="006979DD" w:rsidP="006979DD">
      <w:pPr>
        <w:shd w:val="clear" w:color="auto" w:fill="FFFFFF"/>
        <w:jc w:val="both"/>
        <w:rPr>
          <w:sz w:val="22"/>
          <w:szCs w:val="22"/>
        </w:rPr>
      </w:pPr>
      <w:r w:rsidRPr="00055C43">
        <w:rPr>
          <w:sz w:val="22"/>
          <w:szCs w:val="22"/>
        </w:rPr>
        <w:t>Ελλείψει οποιωνδήποτε</w:t>
      </w:r>
      <w:r w:rsidR="009250A3" w:rsidRPr="00055C43">
        <w:rPr>
          <w:sz w:val="22"/>
          <w:szCs w:val="22"/>
        </w:rPr>
        <w:t xml:space="preserve"> τερατογόν</w:t>
      </w:r>
      <w:r w:rsidRPr="00055C43">
        <w:rPr>
          <w:sz w:val="22"/>
          <w:szCs w:val="22"/>
        </w:rPr>
        <w:t>ων</w:t>
      </w:r>
      <w:r w:rsidR="009250A3" w:rsidRPr="00055C43">
        <w:rPr>
          <w:sz w:val="22"/>
          <w:szCs w:val="22"/>
        </w:rPr>
        <w:t xml:space="preserve"> επιδράσε</w:t>
      </w:r>
      <w:r w:rsidRPr="00055C43">
        <w:rPr>
          <w:sz w:val="22"/>
          <w:szCs w:val="22"/>
        </w:rPr>
        <w:t>ων</w:t>
      </w:r>
      <w:r w:rsidR="009250A3" w:rsidRPr="00055C43">
        <w:rPr>
          <w:sz w:val="22"/>
          <w:szCs w:val="22"/>
        </w:rPr>
        <w:t xml:space="preserve"> σε είδη ζώων, δεν αναμένεται </w:t>
      </w:r>
      <w:r w:rsidR="00BF0EF5">
        <w:rPr>
          <w:sz w:val="22"/>
          <w:szCs w:val="22"/>
        </w:rPr>
        <w:t xml:space="preserve">τερατογόνος </w:t>
      </w:r>
      <w:r w:rsidR="009250A3" w:rsidRPr="00BF0EF5">
        <w:rPr>
          <w:sz w:val="22"/>
          <w:szCs w:val="22"/>
        </w:rPr>
        <w:t xml:space="preserve">επίδραση σε ανθρώπους. Μέχρι σήμερα, οι ουσίες που προκαλούν δυσμορφίες σε ανθρώπους </w:t>
      </w:r>
      <w:r w:rsidR="009250A3" w:rsidRPr="00BF0EF5">
        <w:rPr>
          <w:sz w:val="22"/>
          <w:szCs w:val="22"/>
        </w:rPr>
        <w:lastRenderedPageBreak/>
        <w:t>αποδεικνύονται πάντα τερατογόνες σε ζώα κατά τη διάρκεια μελετών που έχουν διεξαχθεί σε δύο είδη.</w:t>
      </w:r>
    </w:p>
    <w:p w:rsidR="009250A3" w:rsidRPr="00055C43" w:rsidRDefault="009250A3" w:rsidP="006979DD">
      <w:pPr>
        <w:shd w:val="clear" w:color="auto" w:fill="FFFFFF"/>
        <w:jc w:val="both"/>
        <w:rPr>
          <w:sz w:val="22"/>
          <w:szCs w:val="22"/>
        </w:rPr>
      </w:pPr>
    </w:p>
    <w:p w:rsidR="009250A3" w:rsidRPr="00055C43" w:rsidRDefault="009250A3" w:rsidP="006979DD">
      <w:pPr>
        <w:shd w:val="clear" w:color="auto" w:fill="FFFFFF"/>
        <w:jc w:val="both"/>
        <w:rPr>
          <w:sz w:val="22"/>
          <w:szCs w:val="22"/>
        </w:rPr>
      </w:pPr>
      <w:r w:rsidRPr="00055C43">
        <w:rPr>
          <w:b/>
          <w:i/>
          <w:sz w:val="22"/>
          <w:szCs w:val="22"/>
          <w:u w:val="single"/>
        </w:rPr>
        <w:t>Εμβρυοτοξικότητα (για το κύημα)</w:t>
      </w:r>
    </w:p>
    <w:p w:rsidR="009250A3" w:rsidRPr="00055C43" w:rsidRDefault="009250A3" w:rsidP="006979DD">
      <w:pPr>
        <w:shd w:val="clear" w:color="auto" w:fill="FFFFFF"/>
        <w:jc w:val="both"/>
        <w:rPr>
          <w:sz w:val="22"/>
          <w:szCs w:val="22"/>
          <w:lang w:val="fr-FR"/>
        </w:rPr>
      </w:pPr>
      <w:r w:rsidRPr="00055C43">
        <w:rPr>
          <w:sz w:val="22"/>
          <w:szCs w:val="22"/>
        </w:rPr>
        <w:t xml:space="preserve">Η παροδική υπερφόρτωση </w:t>
      </w:r>
      <w:r w:rsidR="006979DD" w:rsidRPr="00055C43">
        <w:rPr>
          <w:sz w:val="22"/>
          <w:szCs w:val="22"/>
        </w:rPr>
        <w:t>με ιώδιο</w:t>
      </w:r>
      <w:r w:rsidRPr="00055C43">
        <w:rPr>
          <w:sz w:val="22"/>
          <w:szCs w:val="22"/>
        </w:rPr>
        <w:t xml:space="preserve"> μετά τη χορήγηση στη μητέρα μπορεί να οδηγήσει σε δυσλειτουργία του θυρεοειδούς του εμβρύου, εάν η εξέταση πραγματοποιηθεί </w:t>
      </w:r>
      <w:r w:rsidR="006979DD" w:rsidRPr="00055C43">
        <w:rPr>
          <w:sz w:val="22"/>
          <w:szCs w:val="22"/>
        </w:rPr>
        <w:t>αργότερα</w:t>
      </w:r>
      <w:r w:rsidRPr="00055C43">
        <w:rPr>
          <w:sz w:val="22"/>
          <w:szCs w:val="22"/>
        </w:rPr>
        <w:t xml:space="preserve"> από 14 εβδομάδες αμηνόρροιας. Ωστόσο, εν όψει της αναστρεψιμότητας της επίδρασης και του αναμενόμενου οφέλους για τη μητέρα, η μεμονωμένη χορήγηση ιωδιούχου σκιαγραφικού </w:t>
      </w:r>
      <w:r w:rsidR="00BF0EF5">
        <w:rPr>
          <w:sz w:val="22"/>
          <w:szCs w:val="22"/>
        </w:rPr>
        <w:t>δικαιο</w:t>
      </w:r>
      <w:r w:rsidRPr="00BF0EF5">
        <w:rPr>
          <w:sz w:val="22"/>
          <w:szCs w:val="22"/>
        </w:rPr>
        <w:t xml:space="preserve">λογείται εάν η ένδειξη για την ακτινολογική εξέταση σε έγκυο γυναίκα έχει αξιολογηθεί προσεκτικά. Ωστόσο, η έκθεση σε ακτίνες Χ θα πρέπει να αποφεύγεται κατά τη </w:t>
      </w:r>
      <w:r w:rsidRPr="00055C43">
        <w:rPr>
          <w:sz w:val="22"/>
          <w:szCs w:val="22"/>
        </w:rPr>
        <w:t>διάρκεια της εγκυμοσύνης οποτεδήποτε αυτό είναι δυνατόν.</w:t>
      </w:r>
    </w:p>
    <w:p w:rsidR="009250A3" w:rsidRPr="00055C43" w:rsidRDefault="009250A3" w:rsidP="006979DD">
      <w:pPr>
        <w:shd w:val="clear" w:color="auto" w:fill="FFFFFF"/>
        <w:jc w:val="both"/>
        <w:rPr>
          <w:sz w:val="22"/>
          <w:szCs w:val="22"/>
          <w:lang w:val="fr-FR"/>
        </w:rPr>
      </w:pPr>
      <w:r w:rsidRPr="00055C43">
        <w:rPr>
          <w:sz w:val="22"/>
          <w:szCs w:val="22"/>
        </w:rPr>
        <w:t xml:space="preserve">Το </w:t>
      </w:r>
      <w:proofErr w:type="spellStart"/>
      <w:r w:rsidRPr="00055C43">
        <w:rPr>
          <w:sz w:val="22"/>
          <w:szCs w:val="22"/>
          <w:lang w:val="fr-FR"/>
        </w:rPr>
        <w:t>Xenetix</w:t>
      </w:r>
      <w:proofErr w:type="spellEnd"/>
      <w:r w:rsidRPr="00055C43">
        <w:rPr>
          <w:sz w:val="22"/>
          <w:szCs w:val="22"/>
        </w:rPr>
        <w:t xml:space="preserve"> 300 δε θα πρέπει να χρησιμοποιείται στην υστεροσαλπιγγογραφία σε επιβεβαιωμένη ή με υποψία εγκυμοσύνη (βλ. παράγραφο 4.3 και 4.4.2).</w:t>
      </w:r>
    </w:p>
    <w:p w:rsidR="009250A3" w:rsidRPr="00055C43" w:rsidRDefault="009250A3" w:rsidP="006979DD">
      <w:pPr>
        <w:shd w:val="clear" w:color="auto" w:fill="FFFFFF"/>
        <w:jc w:val="both"/>
        <w:rPr>
          <w:sz w:val="22"/>
          <w:szCs w:val="22"/>
        </w:rPr>
      </w:pPr>
    </w:p>
    <w:p w:rsidR="009250A3" w:rsidRPr="00055C43" w:rsidRDefault="009250A3" w:rsidP="006979DD">
      <w:pPr>
        <w:shd w:val="clear" w:color="auto" w:fill="FFFFFF"/>
        <w:jc w:val="both"/>
        <w:rPr>
          <w:sz w:val="22"/>
          <w:szCs w:val="22"/>
        </w:rPr>
      </w:pPr>
      <w:r w:rsidRPr="00055C43">
        <w:rPr>
          <w:b/>
          <w:i/>
          <w:sz w:val="22"/>
          <w:szCs w:val="22"/>
          <w:u w:val="single"/>
        </w:rPr>
        <w:t>Μεταλλαξιογ</w:t>
      </w:r>
      <w:r w:rsidR="00895EF1" w:rsidRPr="00055C43">
        <w:rPr>
          <w:b/>
          <w:i/>
          <w:sz w:val="22"/>
          <w:szCs w:val="22"/>
          <w:u w:val="single"/>
        </w:rPr>
        <w:t>όνος δράση</w:t>
      </w:r>
      <w:r w:rsidRPr="00055C43">
        <w:rPr>
          <w:b/>
          <w:i/>
          <w:sz w:val="22"/>
          <w:szCs w:val="22"/>
          <w:u w:val="single"/>
        </w:rPr>
        <w:t xml:space="preserve"> και γονιμότητα</w:t>
      </w:r>
    </w:p>
    <w:p w:rsidR="009250A3" w:rsidRPr="00055C43" w:rsidRDefault="009250A3" w:rsidP="006979DD">
      <w:pPr>
        <w:shd w:val="clear" w:color="auto" w:fill="FFFFFF"/>
        <w:jc w:val="both"/>
        <w:rPr>
          <w:sz w:val="22"/>
          <w:szCs w:val="22"/>
        </w:rPr>
      </w:pPr>
      <w:r w:rsidRPr="00055C43">
        <w:rPr>
          <w:sz w:val="22"/>
          <w:szCs w:val="22"/>
        </w:rPr>
        <w:t xml:space="preserve">Το προϊόν δεν βρέθηκε </w:t>
      </w:r>
      <w:r w:rsidR="006979DD" w:rsidRPr="00055C43">
        <w:rPr>
          <w:sz w:val="22"/>
          <w:szCs w:val="22"/>
        </w:rPr>
        <w:t xml:space="preserve">να είναι </w:t>
      </w:r>
      <w:r w:rsidRPr="00055C43">
        <w:rPr>
          <w:sz w:val="22"/>
          <w:szCs w:val="22"/>
        </w:rPr>
        <w:t xml:space="preserve">μεταλλαξιογόνο </w:t>
      </w:r>
      <w:r w:rsidR="00895EF1" w:rsidRPr="00055C43">
        <w:rPr>
          <w:sz w:val="22"/>
          <w:szCs w:val="22"/>
        </w:rPr>
        <w:t>στις δοκιμαστικές συνθήκες στις οποίες</w:t>
      </w:r>
      <w:r w:rsidRPr="00055C43">
        <w:rPr>
          <w:sz w:val="22"/>
          <w:szCs w:val="22"/>
        </w:rPr>
        <w:t xml:space="preserve"> χρησιμοποιήθηκ</w:t>
      </w:r>
      <w:r w:rsidR="00895EF1" w:rsidRPr="00055C43">
        <w:rPr>
          <w:sz w:val="22"/>
          <w:szCs w:val="22"/>
        </w:rPr>
        <w:t>ε</w:t>
      </w:r>
      <w:r w:rsidRPr="00055C43">
        <w:rPr>
          <w:sz w:val="22"/>
          <w:szCs w:val="22"/>
        </w:rPr>
        <w:t xml:space="preserve">. </w:t>
      </w:r>
    </w:p>
    <w:p w:rsidR="009250A3" w:rsidRPr="00055C43" w:rsidRDefault="009250A3" w:rsidP="006979DD">
      <w:pPr>
        <w:shd w:val="clear" w:color="auto" w:fill="FFFFFF"/>
        <w:jc w:val="both"/>
        <w:rPr>
          <w:sz w:val="22"/>
          <w:szCs w:val="22"/>
        </w:rPr>
      </w:pPr>
      <w:r w:rsidRPr="00055C43">
        <w:rPr>
          <w:sz w:val="22"/>
          <w:szCs w:val="22"/>
        </w:rPr>
        <w:t>Δεν διατίθενται δεδομένα</w:t>
      </w:r>
      <w:r w:rsidR="006979DD" w:rsidRPr="00055C43">
        <w:rPr>
          <w:sz w:val="22"/>
          <w:szCs w:val="22"/>
        </w:rPr>
        <w:t xml:space="preserve"> για την</w:t>
      </w:r>
      <w:r w:rsidRPr="00055C43">
        <w:rPr>
          <w:sz w:val="22"/>
          <w:szCs w:val="22"/>
        </w:rPr>
        <w:t xml:space="preserve"> αναπαραγωγική λειτουργία.</w:t>
      </w:r>
    </w:p>
    <w:p w:rsidR="009250A3" w:rsidRPr="00055C43" w:rsidRDefault="009250A3" w:rsidP="006979DD">
      <w:pPr>
        <w:shd w:val="clear" w:color="auto" w:fill="FFFFFF"/>
        <w:rPr>
          <w:sz w:val="22"/>
          <w:szCs w:val="22"/>
        </w:rPr>
      </w:pPr>
    </w:p>
    <w:p w:rsidR="009250A3" w:rsidRPr="00055C43" w:rsidRDefault="009250A3" w:rsidP="006979DD">
      <w:pPr>
        <w:shd w:val="clear" w:color="auto" w:fill="FFFFFF"/>
        <w:rPr>
          <w:sz w:val="22"/>
          <w:szCs w:val="22"/>
        </w:rPr>
      </w:pPr>
      <w:r w:rsidRPr="00055C43">
        <w:rPr>
          <w:b/>
          <w:i/>
          <w:sz w:val="22"/>
          <w:szCs w:val="22"/>
          <w:u w:val="single"/>
        </w:rPr>
        <w:t>Γαλουχία</w:t>
      </w:r>
      <w:r w:rsidRPr="00055C43">
        <w:rPr>
          <w:sz w:val="22"/>
          <w:szCs w:val="22"/>
        </w:rPr>
        <w:t xml:space="preserve"> </w:t>
      </w:r>
    </w:p>
    <w:p w:rsidR="009250A3" w:rsidRPr="00055C43" w:rsidRDefault="009250A3" w:rsidP="006979DD">
      <w:pPr>
        <w:shd w:val="clear" w:color="auto" w:fill="FFFFFF"/>
        <w:jc w:val="both"/>
        <w:rPr>
          <w:sz w:val="22"/>
          <w:szCs w:val="22"/>
        </w:rPr>
      </w:pPr>
      <w:r w:rsidRPr="00055C43">
        <w:rPr>
          <w:sz w:val="22"/>
          <w:szCs w:val="22"/>
        </w:rPr>
        <w:t xml:space="preserve">Τα ιωδιούχα σκιαγραφικά απεκκρίνονται στο μητρικό γάλα </w:t>
      </w:r>
      <w:r w:rsidR="006979DD" w:rsidRPr="00055C43">
        <w:rPr>
          <w:sz w:val="22"/>
          <w:szCs w:val="22"/>
        </w:rPr>
        <w:t xml:space="preserve">μόνο </w:t>
      </w:r>
      <w:r w:rsidRPr="00055C43">
        <w:rPr>
          <w:sz w:val="22"/>
          <w:szCs w:val="22"/>
        </w:rPr>
        <w:t>σε πολύ μικρές ποσότητες. Επομένως, η μεμονωμένη χορήγηση στη μητέρα ενέχει μικρό κίνδυνο εμφάνισης ανεπιθύμητων αντιδράσεων στο βρέφος. Συνιστάται η διακοπή του θηλασμού για 24 ώρες μετά τη χορήγηση του ιωδιούχου σκιαγραφικού.</w:t>
      </w:r>
    </w:p>
    <w:p w:rsidR="009250A3" w:rsidRPr="006320B9" w:rsidRDefault="009250A3" w:rsidP="006979DD">
      <w:pPr>
        <w:rPr>
          <w:sz w:val="22"/>
          <w:szCs w:val="22"/>
          <w:lang w:val="en-US"/>
        </w:rPr>
      </w:pPr>
    </w:p>
    <w:p w:rsidR="009250A3" w:rsidRPr="006320B9" w:rsidRDefault="009250A3" w:rsidP="006979DD">
      <w:pPr>
        <w:numPr>
          <w:ilvl w:val="1"/>
          <w:numId w:val="14"/>
        </w:numPr>
        <w:ind w:left="0" w:firstLine="0"/>
        <w:rPr>
          <w:b/>
          <w:bCs/>
          <w:sz w:val="22"/>
          <w:szCs w:val="22"/>
        </w:rPr>
      </w:pPr>
      <w:r w:rsidRPr="00055C43">
        <w:rPr>
          <w:b/>
          <w:bCs/>
          <w:sz w:val="22"/>
          <w:szCs w:val="22"/>
        </w:rPr>
        <w:t xml:space="preserve">Επίδραση στην ικανότητα οδήγησης και χειρισμού </w:t>
      </w:r>
      <w:r w:rsidRPr="00055C43">
        <w:rPr>
          <w:b/>
          <w:sz w:val="22"/>
          <w:szCs w:val="22"/>
        </w:rPr>
        <w:t>μηχανών</w:t>
      </w:r>
    </w:p>
    <w:p w:rsidR="009250A3" w:rsidRPr="00055C43" w:rsidRDefault="009250A3" w:rsidP="006979DD">
      <w:pPr>
        <w:rPr>
          <w:sz w:val="22"/>
          <w:szCs w:val="22"/>
        </w:rPr>
      </w:pPr>
      <w:r w:rsidRPr="00055C43">
        <w:rPr>
          <w:bCs/>
          <w:sz w:val="22"/>
          <w:szCs w:val="22"/>
        </w:rPr>
        <w:t xml:space="preserve"> Δεν υπάρχουν.</w:t>
      </w:r>
    </w:p>
    <w:p w:rsidR="009250A3" w:rsidRPr="00055C43" w:rsidRDefault="009250A3" w:rsidP="006979DD">
      <w:pPr>
        <w:pStyle w:val="a4"/>
        <w:rPr>
          <w:sz w:val="22"/>
          <w:szCs w:val="22"/>
        </w:rPr>
      </w:pPr>
    </w:p>
    <w:p w:rsidR="009250A3" w:rsidRPr="006320B9" w:rsidRDefault="009250A3" w:rsidP="006979DD">
      <w:pPr>
        <w:numPr>
          <w:ilvl w:val="1"/>
          <w:numId w:val="14"/>
        </w:numPr>
        <w:ind w:left="0" w:firstLine="0"/>
        <w:rPr>
          <w:b/>
          <w:bCs/>
          <w:sz w:val="22"/>
          <w:szCs w:val="22"/>
        </w:rPr>
      </w:pPr>
      <w:r w:rsidRPr="00055C43">
        <w:rPr>
          <w:b/>
          <w:bCs/>
          <w:sz w:val="22"/>
          <w:szCs w:val="22"/>
        </w:rPr>
        <w:t xml:space="preserve">Ανεπιθύμητες ενέργειες </w:t>
      </w:r>
    </w:p>
    <w:p w:rsidR="006979DD" w:rsidRPr="006320B9" w:rsidRDefault="009250A3" w:rsidP="006979DD">
      <w:pPr>
        <w:pStyle w:val="AmmCorpsTexte"/>
        <w:spacing w:after="0"/>
        <w:rPr>
          <w:rFonts w:ascii="Times New Roman" w:hAnsi="Times New Roman" w:cs="Times New Roman"/>
          <w:sz w:val="22"/>
          <w:szCs w:val="22"/>
          <w:lang w:val="el-GR"/>
        </w:rPr>
      </w:pPr>
      <w:r w:rsidRPr="00055C43">
        <w:rPr>
          <w:rFonts w:ascii="Times New Roman" w:hAnsi="Times New Roman" w:cs="Times New Roman"/>
          <w:sz w:val="22"/>
          <w:szCs w:val="22"/>
          <w:lang w:val="el-GR"/>
        </w:rPr>
        <w:t xml:space="preserve">Κατά τη διάρκεια κλινικών μελετών σε 905 ασθενείς, το 11% των ασθενών εμφάνισαν ανεπιθύμητη ενέργεια που σχετιζόταν με τη χορήγηση Xenetix (εκτός του αισθήματος θερμότητας), με πιο συνηθισμένη την εμφάνιση άλγους στο σημείο </w:t>
      </w:r>
      <w:r w:rsidR="00895EF1" w:rsidRPr="00055C43">
        <w:rPr>
          <w:rFonts w:ascii="Times New Roman" w:hAnsi="Times New Roman" w:cs="Times New Roman"/>
          <w:sz w:val="22"/>
          <w:szCs w:val="22"/>
          <w:lang w:val="el-GR"/>
        </w:rPr>
        <w:t xml:space="preserve">της </w:t>
      </w:r>
      <w:r w:rsidRPr="00055C43">
        <w:rPr>
          <w:rFonts w:ascii="Times New Roman" w:hAnsi="Times New Roman" w:cs="Times New Roman"/>
          <w:sz w:val="22"/>
          <w:szCs w:val="22"/>
          <w:lang w:val="el-GR"/>
        </w:rPr>
        <w:t>έγχυσης, άσχημη</w:t>
      </w:r>
      <w:r w:rsidR="006979DD" w:rsidRPr="00055C43">
        <w:rPr>
          <w:rFonts w:ascii="Times New Roman" w:hAnsi="Times New Roman" w:cs="Times New Roman"/>
          <w:sz w:val="22"/>
          <w:szCs w:val="22"/>
          <w:lang w:val="el-GR"/>
        </w:rPr>
        <w:t>ς</w:t>
      </w:r>
      <w:r w:rsidRPr="00055C43">
        <w:rPr>
          <w:rFonts w:ascii="Times New Roman" w:hAnsi="Times New Roman" w:cs="Times New Roman"/>
          <w:sz w:val="22"/>
          <w:szCs w:val="22"/>
          <w:lang w:val="el-GR"/>
        </w:rPr>
        <w:t xml:space="preserve"> γεύση</w:t>
      </w:r>
      <w:r w:rsidR="006979DD" w:rsidRPr="00055C43">
        <w:rPr>
          <w:rFonts w:ascii="Times New Roman" w:hAnsi="Times New Roman" w:cs="Times New Roman"/>
          <w:sz w:val="22"/>
          <w:szCs w:val="22"/>
          <w:lang w:val="el-GR"/>
        </w:rPr>
        <w:t>ς</w:t>
      </w:r>
      <w:r w:rsidRPr="00055C43">
        <w:rPr>
          <w:rFonts w:ascii="Times New Roman" w:hAnsi="Times New Roman" w:cs="Times New Roman"/>
          <w:sz w:val="22"/>
          <w:szCs w:val="22"/>
          <w:lang w:val="el-GR"/>
        </w:rPr>
        <w:t xml:space="preserve"> και ναυτία</w:t>
      </w:r>
      <w:r w:rsidR="006979DD" w:rsidRPr="00055C43">
        <w:rPr>
          <w:rFonts w:ascii="Times New Roman" w:hAnsi="Times New Roman" w:cs="Times New Roman"/>
          <w:sz w:val="22"/>
          <w:szCs w:val="22"/>
          <w:lang w:val="el-GR"/>
        </w:rPr>
        <w:t>ς</w:t>
      </w:r>
      <w:r w:rsidRPr="00055C43">
        <w:rPr>
          <w:rFonts w:ascii="Times New Roman" w:hAnsi="Times New Roman" w:cs="Times New Roman"/>
          <w:sz w:val="22"/>
          <w:szCs w:val="22"/>
          <w:lang w:val="el-GR"/>
        </w:rPr>
        <w:t>.</w:t>
      </w:r>
    </w:p>
    <w:p w:rsidR="006979DD" w:rsidRPr="006320B9" w:rsidRDefault="009250A3" w:rsidP="006979DD">
      <w:pPr>
        <w:pStyle w:val="AmmCorpsTexte"/>
        <w:spacing w:after="0"/>
        <w:rPr>
          <w:rFonts w:ascii="Times New Roman" w:hAnsi="Times New Roman" w:cs="Times New Roman"/>
          <w:sz w:val="22"/>
          <w:szCs w:val="22"/>
          <w:lang w:val="el-GR"/>
        </w:rPr>
      </w:pPr>
      <w:r w:rsidRPr="00055C43">
        <w:rPr>
          <w:rFonts w:ascii="Times New Roman" w:hAnsi="Times New Roman" w:cs="Times New Roman"/>
          <w:sz w:val="22"/>
          <w:szCs w:val="22"/>
          <w:lang w:val="el-GR"/>
        </w:rPr>
        <w:t>Οι ανεπιθύμητες ενέργειες που σχετίζονται με τη χρήση του Xenetix είναι σε γενικές γραμμές ήπιες έως μέτριες</w:t>
      </w:r>
      <w:r w:rsidR="006979DD" w:rsidRPr="00055C43">
        <w:rPr>
          <w:rFonts w:ascii="Times New Roman" w:hAnsi="Times New Roman" w:cs="Times New Roman"/>
          <w:sz w:val="22"/>
          <w:szCs w:val="22"/>
          <w:lang w:val="el-GR"/>
        </w:rPr>
        <w:t>,</w:t>
      </w:r>
      <w:r w:rsidRPr="00055C43">
        <w:rPr>
          <w:rFonts w:ascii="Times New Roman" w:hAnsi="Times New Roman" w:cs="Times New Roman"/>
          <w:sz w:val="22"/>
          <w:szCs w:val="22"/>
          <w:lang w:val="el-GR"/>
        </w:rPr>
        <w:t xml:space="preserve"> και παροδικές</w:t>
      </w:r>
      <w:r w:rsidR="006979DD" w:rsidRPr="00055C43">
        <w:rPr>
          <w:rFonts w:ascii="Times New Roman" w:hAnsi="Times New Roman" w:cs="Times New Roman"/>
          <w:sz w:val="22"/>
          <w:szCs w:val="22"/>
          <w:lang w:val="el-GR"/>
        </w:rPr>
        <w:t>.</w:t>
      </w:r>
    </w:p>
    <w:p w:rsidR="006979DD" w:rsidRPr="006320B9" w:rsidRDefault="009250A3" w:rsidP="006979DD">
      <w:pPr>
        <w:pStyle w:val="AmmCorpsTexte"/>
        <w:spacing w:after="0"/>
        <w:rPr>
          <w:rFonts w:ascii="Times New Roman" w:hAnsi="Times New Roman" w:cs="Times New Roman"/>
          <w:sz w:val="22"/>
          <w:szCs w:val="22"/>
          <w:lang w:val="el-GR"/>
        </w:rPr>
      </w:pPr>
      <w:r w:rsidRPr="00055C43">
        <w:rPr>
          <w:rFonts w:ascii="Times New Roman" w:hAnsi="Times New Roman" w:cs="Times New Roman"/>
          <w:sz w:val="22"/>
          <w:szCs w:val="22"/>
          <w:lang w:val="el-GR"/>
        </w:rPr>
        <w:t>Οι ανεπιθύμητες ενέργειες που αναφέρονται πιο συχνά κατά τη χορήγηση του Xenetix από την κυκλοφορία του στην αγορά είναι η αίσθηση θερμότητας και άλγους και η εμφάνιση οιδήματος στο σημείο της έγχυσης.</w:t>
      </w:r>
    </w:p>
    <w:p w:rsidR="006979DD" w:rsidRPr="006320B9" w:rsidRDefault="006979DD" w:rsidP="006979DD">
      <w:pPr>
        <w:pStyle w:val="AmmCorpsTexte"/>
        <w:spacing w:after="0"/>
        <w:rPr>
          <w:rFonts w:ascii="Times New Roman" w:hAnsi="Times New Roman" w:cs="Times New Roman"/>
          <w:sz w:val="22"/>
          <w:szCs w:val="22"/>
          <w:lang w:val="el-GR"/>
        </w:rPr>
      </w:pPr>
      <w:r w:rsidRPr="00055C43">
        <w:rPr>
          <w:rFonts w:ascii="Times New Roman" w:hAnsi="Times New Roman" w:cs="Times New Roman"/>
          <w:sz w:val="22"/>
          <w:szCs w:val="22"/>
          <w:lang w:val="el-GR"/>
        </w:rPr>
        <w:t>Ο</w:t>
      </w:r>
      <w:r w:rsidR="009250A3" w:rsidRPr="00055C43">
        <w:rPr>
          <w:rFonts w:ascii="Times New Roman" w:hAnsi="Times New Roman" w:cs="Times New Roman"/>
          <w:sz w:val="22"/>
          <w:szCs w:val="22"/>
          <w:lang w:val="el-GR"/>
        </w:rPr>
        <w:t>ι αντιδράσεις υπερευαισθησίας παρουσιάζονται συνήθως αμέσως (κατά την έ</w:t>
      </w:r>
      <w:r w:rsidRPr="00055C43">
        <w:rPr>
          <w:rFonts w:ascii="Times New Roman" w:hAnsi="Times New Roman" w:cs="Times New Roman"/>
          <w:sz w:val="22"/>
          <w:szCs w:val="22"/>
          <w:lang w:val="el-GR"/>
        </w:rPr>
        <w:t>νεση</w:t>
      </w:r>
      <w:r w:rsidR="009250A3" w:rsidRPr="00055C43">
        <w:rPr>
          <w:rFonts w:ascii="Times New Roman" w:hAnsi="Times New Roman" w:cs="Times New Roman"/>
          <w:sz w:val="22"/>
          <w:szCs w:val="22"/>
          <w:lang w:val="el-GR"/>
        </w:rPr>
        <w:t xml:space="preserve"> ή εντός μίας ώρας μετά την έναρξη της έ</w:t>
      </w:r>
      <w:r w:rsidRPr="00055C43">
        <w:rPr>
          <w:rFonts w:ascii="Times New Roman" w:hAnsi="Times New Roman" w:cs="Times New Roman"/>
          <w:sz w:val="22"/>
          <w:szCs w:val="22"/>
          <w:lang w:val="el-GR"/>
        </w:rPr>
        <w:t>νεσης</w:t>
      </w:r>
      <w:r w:rsidR="009250A3" w:rsidRPr="00055C43">
        <w:rPr>
          <w:rFonts w:ascii="Times New Roman" w:hAnsi="Times New Roman" w:cs="Times New Roman"/>
          <w:sz w:val="22"/>
          <w:szCs w:val="22"/>
          <w:lang w:val="el-GR"/>
        </w:rPr>
        <w:t xml:space="preserve">) ή ορισμένες φορές με καθυστέρηση (μίας ώρας έως πολλών ημερών μετά την έγχυση) και στην περίπτωση αυτή εμφανίζονται με τη μορφή δερματικών ανεπιθύμητων αντιδράσεων. </w:t>
      </w:r>
    </w:p>
    <w:p w:rsidR="006979DD" w:rsidRPr="006320B9" w:rsidRDefault="009250A3" w:rsidP="006979DD">
      <w:pPr>
        <w:pStyle w:val="AmmCorpsTexte"/>
        <w:spacing w:after="0"/>
        <w:rPr>
          <w:rFonts w:ascii="Times New Roman" w:hAnsi="Times New Roman" w:cs="Times New Roman"/>
          <w:sz w:val="22"/>
          <w:szCs w:val="22"/>
          <w:lang w:val="el-GR"/>
        </w:rPr>
      </w:pPr>
      <w:r w:rsidRPr="00055C43">
        <w:rPr>
          <w:rFonts w:ascii="Times New Roman" w:hAnsi="Times New Roman" w:cs="Times New Roman"/>
          <w:sz w:val="22"/>
          <w:szCs w:val="22"/>
          <w:lang w:val="el-GR"/>
        </w:rPr>
        <w:t>Οι άμεσες αντιδράσεις περιλαμβάνουν μία ή περισσότερες, διαδοχικές ή ταυτόχρονες επιδράσεις, συμπεριλαμβανομένων συνήθως δερματικών αντιδράσεων, αναπνευστικών ή/και καρδιαγγειακών διαταραχών, που αποτελούν τις πρώτες ενδείξεις καταπληξίας και σπάνια μπορεί να είναι μοιραίες.</w:t>
      </w:r>
    </w:p>
    <w:p w:rsidR="006979DD" w:rsidRPr="006320B9" w:rsidRDefault="009250A3" w:rsidP="006979DD">
      <w:pPr>
        <w:pStyle w:val="AmmCorpsTexte"/>
        <w:autoSpaceDE w:val="0"/>
        <w:autoSpaceDN w:val="0"/>
        <w:adjustRightInd w:val="0"/>
        <w:spacing w:after="0"/>
        <w:rPr>
          <w:rFonts w:ascii="Times New Roman" w:hAnsi="Times New Roman" w:cs="Times New Roman"/>
          <w:sz w:val="22"/>
          <w:szCs w:val="22"/>
          <w:lang w:val="el-GR"/>
        </w:rPr>
      </w:pPr>
      <w:r w:rsidRPr="00055C43">
        <w:rPr>
          <w:rFonts w:ascii="Times New Roman" w:hAnsi="Times New Roman" w:cs="Times New Roman"/>
          <w:sz w:val="22"/>
          <w:szCs w:val="22"/>
          <w:lang w:val="el-GR"/>
        </w:rPr>
        <w:t xml:space="preserve">Πολύ σπάνια έχουν αναφερθεί σοβαρές διαταραχές </w:t>
      </w:r>
      <w:r w:rsidR="006979DD" w:rsidRPr="00055C43">
        <w:rPr>
          <w:rFonts w:ascii="Times New Roman" w:hAnsi="Times New Roman" w:cs="Times New Roman"/>
          <w:sz w:val="22"/>
          <w:szCs w:val="22"/>
          <w:lang w:val="el-GR"/>
        </w:rPr>
        <w:t xml:space="preserve">του </w:t>
      </w:r>
      <w:r w:rsidRPr="00055C43">
        <w:rPr>
          <w:rFonts w:ascii="Times New Roman" w:hAnsi="Times New Roman" w:cs="Times New Roman"/>
          <w:sz w:val="22"/>
          <w:szCs w:val="22"/>
          <w:lang w:val="el-GR"/>
        </w:rPr>
        <w:t xml:space="preserve">καρδιακού ρυθμού </w:t>
      </w:r>
      <w:r w:rsidR="009A24B9" w:rsidRPr="00055C43">
        <w:rPr>
          <w:rFonts w:ascii="Times New Roman" w:hAnsi="Times New Roman" w:cs="Times New Roman"/>
          <w:sz w:val="22"/>
          <w:szCs w:val="22"/>
          <w:lang w:val="el-GR"/>
        </w:rPr>
        <w:t xml:space="preserve">συμπεριλαμβανομένης της κολπικής μαρμαρυγής </w:t>
      </w:r>
      <w:r w:rsidRPr="00055C43">
        <w:rPr>
          <w:rFonts w:ascii="Times New Roman" w:hAnsi="Times New Roman" w:cs="Times New Roman"/>
          <w:sz w:val="22"/>
          <w:szCs w:val="22"/>
          <w:lang w:val="el-GR"/>
        </w:rPr>
        <w:t>σε ασθενείς που έπασχαν από καρδιακές νόσους</w:t>
      </w:r>
      <w:r w:rsidR="009A24B9" w:rsidRPr="00055C43">
        <w:rPr>
          <w:rFonts w:ascii="Times New Roman" w:hAnsi="Times New Roman" w:cs="Times New Roman"/>
          <w:sz w:val="22"/>
          <w:szCs w:val="22"/>
          <w:lang w:val="el-GR"/>
        </w:rPr>
        <w:t>, στο πλαίσιο καθώς και εκτός του πλαισίου αντίδρασης υπερευαισθησίας</w:t>
      </w:r>
      <w:r w:rsidRPr="00055C43">
        <w:rPr>
          <w:rFonts w:ascii="Times New Roman" w:hAnsi="Times New Roman" w:cs="Times New Roman"/>
          <w:sz w:val="22"/>
          <w:szCs w:val="22"/>
          <w:lang w:val="el-GR"/>
        </w:rPr>
        <w:t xml:space="preserve"> (βλ. παράγραφο 4.4 Προφυλάξεις κατά τη χρήση).  </w:t>
      </w:r>
    </w:p>
    <w:p w:rsidR="009250A3" w:rsidRPr="00055C43" w:rsidRDefault="009250A3" w:rsidP="006979DD">
      <w:pPr>
        <w:pStyle w:val="AmmCorpsTexte"/>
        <w:autoSpaceDE w:val="0"/>
        <w:autoSpaceDN w:val="0"/>
        <w:adjustRightInd w:val="0"/>
        <w:spacing w:after="0"/>
        <w:rPr>
          <w:rFonts w:ascii="Times New Roman" w:hAnsi="Times New Roman" w:cs="Times New Roman"/>
          <w:sz w:val="22"/>
          <w:szCs w:val="22"/>
          <w:lang w:val="el-GR"/>
        </w:rPr>
      </w:pPr>
      <w:r w:rsidRPr="00055C43">
        <w:rPr>
          <w:rFonts w:ascii="Times New Roman" w:hAnsi="Times New Roman" w:cs="Times New Roman"/>
          <w:bCs/>
          <w:sz w:val="22"/>
          <w:szCs w:val="22"/>
          <w:lang w:val="el-GR"/>
        </w:rPr>
        <w:t xml:space="preserve">Οι ανεπιθύμητες ενέργειες </w:t>
      </w:r>
      <w:r w:rsidR="006979DD" w:rsidRPr="00055C43">
        <w:rPr>
          <w:rFonts w:ascii="Times New Roman" w:hAnsi="Times New Roman" w:cs="Times New Roman"/>
          <w:bCs/>
          <w:sz w:val="22"/>
          <w:szCs w:val="22"/>
          <w:lang w:val="el-GR"/>
        </w:rPr>
        <w:t>καταγράφονται</w:t>
      </w:r>
      <w:r w:rsidRPr="00055C43">
        <w:rPr>
          <w:rFonts w:ascii="Times New Roman" w:hAnsi="Times New Roman" w:cs="Times New Roman"/>
          <w:bCs/>
          <w:sz w:val="22"/>
          <w:szCs w:val="22"/>
          <w:lang w:val="el-GR"/>
        </w:rPr>
        <w:t xml:space="preserve"> στον παρακάτω πίνακα ανά κατηγορία οργάνου συστήματος και συχνότητα με τις παρακάτω κατευθυντήριες οδηγίες: πολύ συχνές (</w:t>
      </w:r>
      <w:r w:rsidRPr="00C9363A">
        <w:rPr>
          <w:rFonts w:ascii="Times New Roman" w:hAnsi="Times New Roman" w:cs="Times New Roman"/>
          <w:sz w:val="22"/>
          <w:szCs w:val="22"/>
          <w:lang w:val="el-GR"/>
        </w:rPr>
        <w:sym w:font="Symbol" w:char="F0B3"/>
      </w:r>
      <w:r w:rsidRPr="00C9363A">
        <w:rPr>
          <w:rFonts w:ascii="Times New Roman" w:hAnsi="Times New Roman" w:cs="Times New Roman"/>
          <w:bCs/>
          <w:sz w:val="22"/>
          <w:szCs w:val="22"/>
          <w:lang w:val="el-GR"/>
        </w:rPr>
        <w:t>1/10), συχνές (</w:t>
      </w:r>
      <w:r w:rsidRPr="00C9363A">
        <w:rPr>
          <w:rFonts w:ascii="Times New Roman" w:hAnsi="Times New Roman" w:cs="Times New Roman"/>
          <w:sz w:val="22"/>
          <w:szCs w:val="22"/>
          <w:lang w:val="el-GR"/>
        </w:rPr>
        <w:sym w:font="Symbol" w:char="F0B3"/>
      </w:r>
      <w:r w:rsidRPr="00C9363A">
        <w:rPr>
          <w:rFonts w:ascii="Times New Roman" w:hAnsi="Times New Roman" w:cs="Times New Roman"/>
          <w:bCs/>
          <w:sz w:val="22"/>
          <w:szCs w:val="22"/>
          <w:lang w:val="el-GR"/>
        </w:rPr>
        <w:t>1/100 έως 1&lt;1/10), όχι συχνές (</w:t>
      </w:r>
      <w:r w:rsidRPr="00C9363A">
        <w:rPr>
          <w:rFonts w:ascii="Times New Roman" w:hAnsi="Times New Roman" w:cs="Times New Roman"/>
          <w:sz w:val="22"/>
          <w:szCs w:val="22"/>
          <w:lang w:val="el-GR"/>
        </w:rPr>
        <w:sym w:font="Symbol" w:char="F0B3"/>
      </w:r>
      <w:r w:rsidRPr="00C9363A">
        <w:rPr>
          <w:rFonts w:ascii="Times New Roman" w:hAnsi="Times New Roman" w:cs="Times New Roman"/>
          <w:bCs/>
          <w:sz w:val="22"/>
          <w:szCs w:val="22"/>
          <w:lang w:val="el-GR"/>
        </w:rPr>
        <w:t>1/1.000 έως 1&lt;1/100), σπάνιες (</w:t>
      </w:r>
      <w:r w:rsidRPr="00C9363A">
        <w:rPr>
          <w:rFonts w:ascii="Times New Roman" w:hAnsi="Times New Roman" w:cs="Times New Roman"/>
          <w:sz w:val="22"/>
          <w:szCs w:val="22"/>
          <w:lang w:val="el-GR"/>
        </w:rPr>
        <w:sym w:font="Symbol" w:char="F0B3"/>
      </w:r>
      <w:r w:rsidRPr="00C9363A">
        <w:rPr>
          <w:rFonts w:ascii="Times New Roman" w:hAnsi="Times New Roman" w:cs="Times New Roman"/>
          <w:bCs/>
          <w:sz w:val="22"/>
          <w:szCs w:val="22"/>
          <w:lang w:val="el-GR"/>
        </w:rPr>
        <w:t>1/10.000 έως &lt;1/1.000), πολύ σπάνιες (&lt;1/10.000), μη γνωστές (δεν μπορούν να εκτιμηθούν με βάση τα διαθέσιμα δεδομένα).</w:t>
      </w:r>
      <w:r w:rsidRPr="00C9363A">
        <w:rPr>
          <w:rFonts w:ascii="Times New Roman" w:hAnsi="Times New Roman" w:cs="Times New Roman"/>
          <w:sz w:val="22"/>
          <w:szCs w:val="22"/>
          <w:lang w:val="el-GR"/>
        </w:rPr>
        <w:t xml:space="preserve"> Οι συχνότητες που παρουσιάζονται προκύπτουν από δεδομένα μιας μελέτης παρακολούθησης που διεξήχθη σε </w:t>
      </w:r>
      <w:r w:rsidRPr="004C2CD3">
        <w:rPr>
          <w:rFonts w:ascii="Times New Roman" w:hAnsi="Times New Roman" w:cs="Times New Roman"/>
          <w:bCs/>
          <w:sz w:val="22"/>
          <w:szCs w:val="22"/>
          <w:lang w:val="el-GR"/>
        </w:rPr>
        <w:t xml:space="preserve">352.255 </w:t>
      </w:r>
      <w:r w:rsidRPr="0096489F">
        <w:rPr>
          <w:rFonts w:ascii="Times New Roman" w:hAnsi="Times New Roman" w:cs="Times New Roman"/>
          <w:sz w:val="22"/>
          <w:szCs w:val="22"/>
          <w:lang w:val="el-GR"/>
        </w:rPr>
        <w:t>ασθενείς</w:t>
      </w:r>
      <w:r w:rsidRPr="00055C43">
        <w:rPr>
          <w:rFonts w:ascii="Times New Roman" w:hAnsi="Times New Roman" w:cs="Times New Roman"/>
          <w:sz w:val="22"/>
          <w:szCs w:val="22"/>
          <w:lang w:val="el-GR"/>
        </w:rPr>
        <w:t>.</w:t>
      </w:r>
    </w:p>
    <w:p w:rsidR="009250A3" w:rsidRPr="00055C43" w:rsidRDefault="009250A3" w:rsidP="006979DD">
      <w:pPr>
        <w:pStyle w:val="AmmCorpsTexte"/>
        <w:autoSpaceDE w:val="0"/>
        <w:autoSpaceDN w:val="0"/>
        <w:adjustRightInd w:val="0"/>
        <w:spacing w:after="0"/>
        <w:rPr>
          <w:rFonts w:ascii="Times New Roman" w:hAnsi="Times New Roman" w:cs="Times New Roman"/>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3"/>
        <w:gridCol w:w="4895"/>
      </w:tblGrid>
      <w:tr w:rsidR="009250A3" w:rsidRPr="00055C43">
        <w:tc>
          <w:tcPr>
            <w:tcW w:w="4606" w:type="dxa"/>
          </w:tcPr>
          <w:p w:rsidR="009250A3" w:rsidRPr="00C9363A" w:rsidRDefault="009250A3" w:rsidP="006979DD">
            <w:pPr>
              <w:pStyle w:val="AmmTableauTitre1"/>
              <w:spacing w:before="0" w:after="0"/>
              <w:jc w:val="left"/>
              <w:rPr>
                <w:rFonts w:ascii="Times New Roman" w:hAnsi="Times New Roman" w:cs="Times New Roman"/>
                <w:sz w:val="22"/>
                <w:szCs w:val="22"/>
                <w:lang w:val="el-GR"/>
              </w:rPr>
            </w:pPr>
            <w:r w:rsidRPr="00C9363A">
              <w:rPr>
                <w:rFonts w:ascii="Times New Roman" w:hAnsi="Times New Roman" w:cs="Times New Roman"/>
                <w:sz w:val="22"/>
                <w:szCs w:val="22"/>
                <w:lang w:val="el-GR"/>
              </w:rPr>
              <w:lastRenderedPageBreak/>
              <w:t>Κατηγορία οργάνου συστήματος</w:t>
            </w:r>
          </w:p>
        </w:tc>
        <w:tc>
          <w:tcPr>
            <w:tcW w:w="5425" w:type="dxa"/>
          </w:tcPr>
          <w:p w:rsidR="009250A3" w:rsidRPr="00C9363A" w:rsidRDefault="009250A3" w:rsidP="006979DD">
            <w:pPr>
              <w:pStyle w:val="AmmTableauTitre1"/>
              <w:spacing w:before="0" w:after="0"/>
              <w:rPr>
                <w:rFonts w:ascii="Times New Roman" w:hAnsi="Times New Roman" w:cs="Times New Roman"/>
                <w:sz w:val="22"/>
                <w:szCs w:val="22"/>
                <w:lang w:val="el-GR"/>
              </w:rPr>
            </w:pPr>
            <w:r w:rsidRPr="00C9363A">
              <w:rPr>
                <w:rFonts w:ascii="Times New Roman" w:hAnsi="Times New Roman" w:cs="Times New Roman"/>
                <w:sz w:val="22"/>
                <w:szCs w:val="22"/>
                <w:lang w:val="el-GR"/>
              </w:rPr>
              <w:t>Συχνότητα: ανεπιθύμητη ενέργεια</w:t>
            </w:r>
          </w:p>
        </w:tc>
      </w:tr>
      <w:tr w:rsidR="009250A3" w:rsidRPr="00055C43">
        <w:tc>
          <w:tcPr>
            <w:tcW w:w="4606" w:type="dxa"/>
          </w:tcPr>
          <w:p w:rsidR="009250A3" w:rsidRPr="00055C43" w:rsidRDefault="009250A3" w:rsidP="006979DD">
            <w:pPr>
              <w:pStyle w:val="AmmCorpsTexte"/>
              <w:spacing w:after="0"/>
              <w:jc w:val="left"/>
              <w:rPr>
                <w:rFonts w:ascii="Times New Roman" w:hAnsi="Times New Roman" w:cs="Times New Roman"/>
                <w:sz w:val="22"/>
                <w:szCs w:val="22"/>
                <w:lang w:val="el-GR"/>
              </w:rPr>
            </w:pPr>
            <w:r w:rsidRPr="00055C43">
              <w:rPr>
                <w:rFonts w:ascii="Times New Roman" w:hAnsi="Times New Roman" w:cs="Times New Roman"/>
                <w:sz w:val="22"/>
                <w:szCs w:val="22"/>
                <w:lang w:val="el-GR"/>
              </w:rPr>
              <w:t>Διαταραχές ανοσοποιητικού συστήματος</w:t>
            </w:r>
          </w:p>
          <w:p w:rsidR="009250A3" w:rsidRPr="00055C43" w:rsidRDefault="009250A3" w:rsidP="006979DD">
            <w:pPr>
              <w:pStyle w:val="AmmCorpsTexte"/>
              <w:spacing w:after="0"/>
              <w:jc w:val="left"/>
              <w:rPr>
                <w:rFonts w:ascii="Times New Roman" w:hAnsi="Times New Roman" w:cs="Times New Roman"/>
                <w:sz w:val="22"/>
                <w:szCs w:val="22"/>
                <w:lang w:val="el-GR"/>
              </w:rPr>
            </w:pPr>
          </w:p>
        </w:tc>
        <w:tc>
          <w:tcPr>
            <w:tcW w:w="5425" w:type="dxa"/>
          </w:tcPr>
          <w:p w:rsidR="009250A3" w:rsidRPr="00055C43" w:rsidRDefault="009250A3" w:rsidP="006979DD">
            <w:pPr>
              <w:pStyle w:val="AmmCorpsTexte"/>
              <w:spacing w:after="0"/>
              <w:jc w:val="left"/>
              <w:rPr>
                <w:rFonts w:ascii="Times New Roman" w:hAnsi="Times New Roman" w:cs="Times New Roman"/>
                <w:sz w:val="22"/>
                <w:szCs w:val="22"/>
                <w:lang w:val="el-GR"/>
              </w:rPr>
            </w:pPr>
            <w:r w:rsidRPr="00055C43">
              <w:rPr>
                <w:rFonts w:ascii="Times New Roman" w:hAnsi="Times New Roman" w:cs="Times New Roman"/>
                <w:sz w:val="22"/>
                <w:szCs w:val="22"/>
                <w:lang w:val="el-GR"/>
              </w:rPr>
              <w:t>Σπάνι</w:t>
            </w:r>
            <w:r w:rsidR="00895EF1" w:rsidRPr="00055C43">
              <w:rPr>
                <w:rFonts w:ascii="Times New Roman" w:hAnsi="Times New Roman" w:cs="Times New Roman"/>
                <w:sz w:val="22"/>
                <w:szCs w:val="22"/>
                <w:lang w:val="el-GR"/>
              </w:rPr>
              <w:t>ες</w:t>
            </w:r>
            <w:r w:rsidRPr="00055C43">
              <w:rPr>
                <w:rFonts w:ascii="Times New Roman" w:hAnsi="Times New Roman" w:cs="Times New Roman"/>
                <w:sz w:val="22"/>
                <w:szCs w:val="22"/>
                <w:lang w:val="el-GR"/>
              </w:rPr>
              <w:t xml:space="preserve">: υπερευαισθησία </w:t>
            </w:r>
          </w:p>
          <w:p w:rsidR="00F53B69" w:rsidRPr="00055C43" w:rsidRDefault="00F53B69" w:rsidP="00895EF1">
            <w:pPr>
              <w:pStyle w:val="AmmCorpsTexte"/>
              <w:spacing w:after="0"/>
              <w:jc w:val="left"/>
              <w:rPr>
                <w:rFonts w:ascii="Times New Roman" w:hAnsi="Times New Roman" w:cs="Times New Roman"/>
                <w:sz w:val="22"/>
                <w:szCs w:val="22"/>
                <w:lang w:val="el-GR"/>
              </w:rPr>
            </w:pPr>
          </w:p>
          <w:p w:rsidR="009250A3" w:rsidRPr="00055C43" w:rsidRDefault="009250A3" w:rsidP="00895EF1">
            <w:pPr>
              <w:pStyle w:val="AmmCorpsTexte"/>
              <w:spacing w:after="0"/>
              <w:jc w:val="left"/>
              <w:rPr>
                <w:rFonts w:ascii="Times New Roman" w:hAnsi="Times New Roman" w:cs="Times New Roman"/>
                <w:sz w:val="22"/>
                <w:szCs w:val="22"/>
                <w:lang w:val="el-GR"/>
              </w:rPr>
            </w:pPr>
            <w:r w:rsidRPr="00055C43">
              <w:rPr>
                <w:rFonts w:ascii="Times New Roman" w:hAnsi="Times New Roman" w:cs="Times New Roman"/>
                <w:sz w:val="22"/>
                <w:szCs w:val="22"/>
                <w:lang w:val="el-GR"/>
              </w:rPr>
              <w:t>Πολύ σπάνι</w:t>
            </w:r>
            <w:r w:rsidR="00895EF1" w:rsidRPr="00055C43">
              <w:rPr>
                <w:rFonts w:ascii="Times New Roman" w:hAnsi="Times New Roman" w:cs="Times New Roman"/>
                <w:sz w:val="22"/>
                <w:szCs w:val="22"/>
                <w:lang w:val="el-GR"/>
              </w:rPr>
              <w:t>ες</w:t>
            </w:r>
            <w:r w:rsidRPr="00055C43">
              <w:rPr>
                <w:rFonts w:ascii="Times New Roman" w:hAnsi="Times New Roman" w:cs="Times New Roman"/>
                <w:sz w:val="22"/>
                <w:szCs w:val="22"/>
                <w:lang w:val="el-GR"/>
              </w:rPr>
              <w:t>: αναφυλακτική αντίδραση, αναφυλακτοειδής αντίδραση</w:t>
            </w:r>
          </w:p>
        </w:tc>
      </w:tr>
      <w:tr w:rsidR="009250A3" w:rsidRPr="00055C43">
        <w:tc>
          <w:tcPr>
            <w:tcW w:w="4606" w:type="dxa"/>
          </w:tcPr>
          <w:p w:rsidR="009250A3" w:rsidRPr="00055C43" w:rsidRDefault="009250A3" w:rsidP="006979DD">
            <w:pPr>
              <w:pStyle w:val="AmmCorpsTexte"/>
              <w:spacing w:after="0"/>
              <w:jc w:val="left"/>
              <w:rPr>
                <w:rFonts w:ascii="Times New Roman" w:hAnsi="Times New Roman" w:cs="Times New Roman"/>
                <w:sz w:val="22"/>
                <w:szCs w:val="22"/>
                <w:lang w:val="el-GR"/>
              </w:rPr>
            </w:pPr>
            <w:r w:rsidRPr="00055C43">
              <w:rPr>
                <w:rFonts w:ascii="Times New Roman" w:hAnsi="Times New Roman" w:cs="Times New Roman"/>
                <w:sz w:val="22"/>
                <w:szCs w:val="22"/>
                <w:lang w:val="el-GR"/>
              </w:rPr>
              <w:t>Διαταραχές ενδοκρινικού συστήματος</w:t>
            </w:r>
          </w:p>
          <w:p w:rsidR="009250A3" w:rsidRPr="00055C43" w:rsidRDefault="009250A3" w:rsidP="006979DD">
            <w:pPr>
              <w:pStyle w:val="AmmCorpsTexte"/>
              <w:spacing w:after="0"/>
              <w:jc w:val="left"/>
              <w:rPr>
                <w:rFonts w:ascii="Times New Roman" w:hAnsi="Times New Roman" w:cs="Times New Roman"/>
                <w:sz w:val="22"/>
                <w:szCs w:val="22"/>
                <w:lang w:val="el-GR"/>
              </w:rPr>
            </w:pPr>
          </w:p>
        </w:tc>
        <w:tc>
          <w:tcPr>
            <w:tcW w:w="5425" w:type="dxa"/>
          </w:tcPr>
          <w:p w:rsidR="009250A3" w:rsidRPr="00055C43" w:rsidRDefault="009250A3" w:rsidP="00895EF1">
            <w:pPr>
              <w:pStyle w:val="AmmCorpsTexte"/>
              <w:spacing w:after="0"/>
              <w:jc w:val="left"/>
              <w:rPr>
                <w:rFonts w:ascii="Times New Roman" w:hAnsi="Times New Roman" w:cs="Times New Roman"/>
                <w:sz w:val="22"/>
                <w:szCs w:val="22"/>
                <w:lang w:val="el-GR"/>
              </w:rPr>
            </w:pPr>
            <w:r w:rsidRPr="00055C43">
              <w:rPr>
                <w:rFonts w:ascii="Times New Roman" w:hAnsi="Times New Roman" w:cs="Times New Roman"/>
                <w:sz w:val="22"/>
                <w:szCs w:val="22"/>
                <w:lang w:val="el-GR"/>
              </w:rPr>
              <w:t>Πολύ σπάνι</w:t>
            </w:r>
            <w:r w:rsidR="00895EF1" w:rsidRPr="00055C43">
              <w:rPr>
                <w:rFonts w:ascii="Times New Roman" w:hAnsi="Times New Roman" w:cs="Times New Roman"/>
                <w:sz w:val="22"/>
                <w:szCs w:val="22"/>
                <w:lang w:val="el-GR"/>
              </w:rPr>
              <w:t>ες</w:t>
            </w:r>
            <w:r w:rsidRPr="00055C43">
              <w:rPr>
                <w:rFonts w:ascii="Times New Roman" w:hAnsi="Times New Roman" w:cs="Times New Roman"/>
                <w:sz w:val="22"/>
                <w:szCs w:val="22"/>
                <w:lang w:val="el-GR"/>
              </w:rPr>
              <w:t>: διαταραχή θυρεοειδούς</w:t>
            </w:r>
          </w:p>
        </w:tc>
      </w:tr>
      <w:tr w:rsidR="009250A3" w:rsidRPr="00055C43">
        <w:tc>
          <w:tcPr>
            <w:tcW w:w="4606" w:type="dxa"/>
          </w:tcPr>
          <w:p w:rsidR="009250A3" w:rsidRPr="00055C43" w:rsidRDefault="009250A3" w:rsidP="006979DD">
            <w:pPr>
              <w:pStyle w:val="AmmCorpsTexte"/>
              <w:spacing w:after="0"/>
              <w:jc w:val="left"/>
              <w:rPr>
                <w:rFonts w:ascii="Times New Roman" w:hAnsi="Times New Roman" w:cs="Times New Roman"/>
                <w:sz w:val="22"/>
                <w:szCs w:val="22"/>
                <w:lang w:val="el-GR"/>
              </w:rPr>
            </w:pPr>
            <w:r w:rsidRPr="00055C43">
              <w:rPr>
                <w:rFonts w:ascii="Times New Roman" w:hAnsi="Times New Roman" w:cs="Times New Roman"/>
                <w:sz w:val="22"/>
                <w:szCs w:val="22"/>
                <w:lang w:val="el-GR"/>
              </w:rPr>
              <w:t>Διαταραχές νευρικού συστήματος</w:t>
            </w:r>
          </w:p>
        </w:tc>
        <w:tc>
          <w:tcPr>
            <w:tcW w:w="5425" w:type="dxa"/>
          </w:tcPr>
          <w:p w:rsidR="009250A3" w:rsidRPr="00055C43" w:rsidRDefault="009250A3" w:rsidP="006979DD">
            <w:pPr>
              <w:shd w:val="clear" w:color="auto" w:fill="FFFFFF"/>
              <w:tabs>
                <w:tab w:val="left" w:pos="284"/>
              </w:tabs>
              <w:jc w:val="both"/>
              <w:rPr>
                <w:sz w:val="22"/>
                <w:szCs w:val="22"/>
              </w:rPr>
            </w:pPr>
            <w:r w:rsidRPr="00055C43">
              <w:rPr>
                <w:sz w:val="22"/>
                <w:szCs w:val="22"/>
              </w:rPr>
              <w:t>Σπάνι</w:t>
            </w:r>
            <w:r w:rsidR="00895EF1" w:rsidRPr="00055C43">
              <w:rPr>
                <w:sz w:val="22"/>
                <w:szCs w:val="22"/>
              </w:rPr>
              <w:t>ες</w:t>
            </w:r>
            <w:r w:rsidRPr="00055C43">
              <w:rPr>
                <w:sz w:val="22"/>
                <w:szCs w:val="22"/>
              </w:rPr>
              <w:t xml:space="preserve">: </w:t>
            </w:r>
            <w:r w:rsidR="00BF0EF5">
              <w:rPr>
                <w:sz w:val="22"/>
                <w:szCs w:val="22"/>
              </w:rPr>
              <w:t>προλιποθυμικό επεισόδιο</w:t>
            </w:r>
            <w:r w:rsidRPr="00055C43">
              <w:rPr>
                <w:sz w:val="22"/>
                <w:szCs w:val="22"/>
              </w:rPr>
              <w:t xml:space="preserve"> (πνευμονογαστρικά συμπτώματα αδιαθεσίας), τρόμος*, παραισθησία*</w:t>
            </w:r>
          </w:p>
          <w:p w:rsidR="00F53B69" w:rsidRPr="00055C43" w:rsidRDefault="00F53B69" w:rsidP="006979DD">
            <w:pPr>
              <w:shd w:val="clear" w:color="auto" w:fill="FFFFFF"/>
              <w:tabs>
                <w:tab w:val="left" w:pos="284"/>
              </w:tabs>
              <w:jc w:val="both"/>
              <w:rPr>
                <w:sz w:val="22"/>
                <w:szCs w:val="22"/>
              </w:rPr>
            </w:pPr>
          </w:p>
          <w:p w:rsidR="009250A3" w:rsidRPr="00055C43" w:rsidRDefault="009250A3" w:rsidP="006979DD">
            <w:pPr>
              <w:shd w:val="clear" w:color="auto" w:fill="FFFFFF"/>
              <w:tabs>
                <w:tab w:val="left" w:pos="284"/>
              </w:tabs>
              <w:jc w:val="both"/>
              <w:rPr>
                <w:sz w:val="22"/>
                <w:szCs w:val="22"/>
              </w:rPr>
            </w:pPr>
            <w:r w:rsidRPr="00055C43">
              <w:rPr>
                <w:sz w:val="22"/>
                <w:szCs w:val="22"/>
              </w:rPr>
              <w:t>Πολύ σπάνι</w:t>
            </w:r>
            <w:r w:rsidR="00895EF1" w:rsidRPr="00055C43">
              <w:rPr>
                <w:sz w:val="22"/>
                <w:szCs w:val="22"/>
              </w:rPr>
              <w:t>ες</w:t>
            </w:r>
            <w:r w:rsidRPr="00055C43">
              <w:rPr>
                <w:sz w:val="22"/>
                <w:szCs w:val="22"/>
              </w:rPr>
              <w:t>: κώμα* , σπασμοί*, σύγχυση*, διαταραχές όρασης*, αμνησία*, φωτοφοβία*, παροδική τύφλωση*, νυσταγμός*, ανησυχία*, κεφαλαλγία</w:t>
            </w:r>
          </w:p>
          <w:p w:rsidR="009250A3" w:rsidRPr="00055C43" w:rsidRDefault="009250A3" w:rsidP="006979DD">
            <w:pPr>
              <w:pStyle w:val="AmmCorpsTexte"/>
              <w:spacing w:after="0"/>
              <w:jc w:val="left"/>
              <w:rPr>
                <w:rFonts w:ascii="Times New Roman" w:hAnsi="Times New Roman" w:cs="Times New Roman"/>
                <w:sz w:val="22"/>
                <w:szCs w:val="22"/>
                <w:lang w:val="el-GR"/>
              </w:rPr>
            </w:pPr>
          </w:p>
        </w:tc>
      </w:tr>
      <w:tr w:rsidR="009250A3" w:rsidRPr="00055C43">
        <w:tc>
          <w:tcPr>
            <w:tcW w:w="4606" w:type="dxa"/>
          </w:tcPr>
          <w:p w:rsidR="009250A3" w:rsidRPr="00055C43" w:rsidRDefault="009250A3" w:rsidP="006979DD">
            <w:pPr>
              <w:autoSpaceDE w:val="0"/>
              <w:autoSpaceDN w:val="0"/>
              <w:adjustRightInd w:val="0"/>
              <w:rPr>
                <w:sz w:val="22"/>
                <w:szCs w:val="22"/>
              </w:rPr>
            </w:pPr>
          </w:p>
          <w:p w:rsidR="009250A3" w:rsidRPr="00055C43" w:rsidRDefault="009250A3" w:rsidP="006979DD">
            <w:pPr>
              <w:autoSpaceDE w:val="0"/>
              <w:autoSpaceDN w:val="0"/>
              <w:adjustRightInd w:val="0"/>
              <w:rPr>
                <w:sz w:val="22"/>
                <w:szCs w:val="22"/>
              </w:rPr>
            </w:pPr>
            <w:r w:rsidRPr="00055C43">
              <w:rPr>
                <w:sz w:val="22"/>
                <w:szCs w:val="22"/>
              </w:rPr>
              <w:t>Διαταραχές του ωτός και του λαβυρίνθου</w:t>
            </w:r>
          </w:p>
          <w:p w:rsidR="009250A3" w:rsidRPr="00055C43" w:rsidRDefault="009250A3" w:rsidP="006979DD">
            <w:pPr>
              <w:pStyle w:val="AmmCorpsTexte"/>
              <w:spacing w:after="0"/>
              <w:jc w:val="left"/>
              <w:rPr>
                <w:rFonts w:ascii="Times New Roman" w:hAnsi="Times New Roman" w:cs="Times New Roman"/>
                <w:sz w:val="22"/>
                <w:szCs w:val="22"/>
                <w:lang w:val="el-GR"/>
              </w:rPr>
            </w:pPr>
          </w:p>
        </w:tc>
        <w:tc>
          <w:tcPr>
            <w:tcW w:w="5425" w:type="dxa"/>
          </w:tcPr>
          <w:p w:rsidR="009250A3" w:rsidRPr="00055C43" w:rsidRDefault="009250A3" w:rsidP="006979DD">
            <w:pPr>
              <w:shd w:val="clear" w:color="auto" w:fill="FFFFFF"/>
              <w:jc w:val="both"/>
              <w:rPr>
                <w:sz w:val="22"/>
                <w:szCs w:val="22"/>
              </w:rPr>
            </w:pPr>
            <w:r w:rsidRPr="00055C43">
              <w:rPr>
                <w:sz w:val="22"/>
                <w:szCs w:val="22"/>
              </w:rPr>
              <w:t>Σπάνι</w:t>
            </w:r>
            <w:r w:rsidR="00895EF1" w:rsidRPr="00055C43">
              <w:rPr>
                <w:sz w:val="22"/>
                <w:szCs w:val="22"/>
              </w:rPr>
              <w:t>ες</w:t>
            </w:r>
            <w:r w:rsidRPr="00055C43">
              <w:rPr>
                <w:sz w:val="22"/>
                <w:szCs w:val="22"/>
              </w:rPr>
              <w:t>: ίλιγγος</w:t>
            </w:r>
          </w:p>
          <w:p w:rsidR="00F53B69" w:rsidRPr="00055C43" w:rsidRDefault="00F53B69" w:rsidP="00895EF1">
            <w:pPr>
              <w:shd w:val="clear" w:color="auto" w:fill="FFFFFF"/>
              <w:jc w:val="both"/>
              <w:rPr>
                <w:sz w:val="22"/>
                <w:szCs w:val="22"/>
              </w:rPr>
            </w:pPr>
          </w:p>
          <w:p w:rsidR="009250A3" w:rsidRPr="00055C43" w:rsidRDefault="009250A3" w:rsidP="00895EF1">
            <w:pPr>
              <w:shd w:val="clear" w:color="auto" w:fill="FFFFFF"/>
              <w:jc w:val="both"/>
              <w:rPr>
                <w:sz w:val="22"/>
                <w:szCs w:val="22"/>
              </w:rPr>
            </w:pPr>
            <w:r w:rsidRPr="00055C43">
              <w:rPr>
                <w:sz w:val="22"/>
                <w:szCs w:val="22"/>
              </w:rPr>
              <w:t>Πολύ σπάνι</w:t>
            </w:r>
            <w:r w:rsidR="00895EF1" w:rsidRPr="00055C43">
              <w:rPr>
                <w:sz w:val="22"/>
                <w:szCs w:val="22"/>
              </w:rPr>
              <w:t>ες</w:t>
            </w:r>
            <w:r w:rsidRPr="00055C43">
              <w:rPr>
                <w:sz w:val="22"/>
                <w:szCs w:val="22"/>
              </w:rPr>
              <w:t>: διαταραχές ακοής</w:t>
            </w:r>
          </w:p>
        </w:tc>
      </w:tr>
      <w:tr w:rsidR="009250A3" w:rsidRPr="00055C43">
        <w:tc>
          <w:tcPr>
            <w:tcW w:w="4606" w:type="dxa"/>
          </w:tcPr>
          <w:p w:rsidR="009250A3" w:rsidRPr="00055C43" w:rsidRDefault="009250A3" w:rsidP="006979DD">
            <w:pPr>
              <w:pStyle w:val="AmmCorpsTexte"/>
              <w:spacing w:after="0"/>
              <w:jc w:val="left"/>
              <w:rPr>
                <w:rFonts w:ascii="Times New Roman" w:hAnsi="Times New Roman" w:cs="Times New Roman"/>
                <w:sz w:val="22"/>
                <w:szCs w:val="22"/>
                <w:lang w:val="el-GR"/>
              </w:rPr>
            </w:pPr>
          </w:p>
          <w:p w:rsidR="009250A3" w:rsidRPr="00055C43" w:rsidRDefault="009250A3" w:rsidP="006979DD">
            <w:pPr>
              <w:pStyle w:val="AmmCorpsTexte"/>
              <w:spacing w:after="0"/>
              <w:jc w:val="left"/>
              <w:rPr>
                <w:rFonts w:ascii="Times New Roman" w:hAnsi="Times New Roman" w:cs="Times New Roman"/>
                <w:sz w:val="22"/>
                <w:szCs w:val="22"/>
                <w:lang w:val="el-GR"/>
              </w:rPr>
            </w:pPr>
            <w:r w:rsidRPr="00055C43">
              <w:rPr>
                <w:rFonts w:ascii="Times New Roman" w:hAnsi="Times New Roman" w:cs="Times New Roman"/>
                <w:sz w:val="22"/>
                <w:szCs w:val="22"/>
                <w:lang w:val="el-GR"/>
              </w:rPr>
              <w:t>Καρδιακές διαταραχές</w:t>
            </w:r>
          </w:p>
        </w:tc>
        <w:tc>
          <w:tcPr>
            <w:tcW w:w="5425" w:type="dxa"/>
          </w:tcPr>
          <w:p w:rsidR="009250A3" w:rsidRPr="00055C43" w:rsidRDefault="009250A3" w:rsidP="006979DD">
            <w:pPr>
              <w:pStyle w:val="a6"/>
              <w:ind w:left="0" w:firstLine="0"/>
              <w:rPr>
                <w:iCs/>
                <w:sz w:val="22"/>
                <w:szCs w:val="22"/>
                <w:lang w:val="el-GR"/>
              </w:rPr>
            </w:pPr>
            <w:r w:rsidRPr="00055C43">
              <w:rPr>
                <w:iCs/>
                <w:sz w:val="22"/>
                <w:szCs w:val="22"/>
                <w:lang w:val="el-GR"/>
              </w:rPr>
              <w:t>Σπάνι</w:t>
            </w:r>
            <w:r w:rsidR="00895EF1" w:rsidRPr="00055C43">
              <w:rPr>
                <w:iCs/>
                <w:sz w:val="22"/>
                <w:szCs w:val="22"/>
                <w:lang w:val="el-GR"/>
              </w:rPr>
              <w:t>ες</w:t>
            </w:r>
            <w:r w:rsidRPr="00055C43">
              <w:rPr>
                <w:iCs/>
                <w:sz w:val="22"/>
                <w:szCs w:val="22"/>
                <w:lang w:val="el-GR"/>
              </w:rPr>
              <w:t>: ταχυκαρδία</w:t>
            </w:r>
          </w:p>
          <w:p w:rsidR="00F53B69" w:rsidRPr="00055C43" w:rsidRDefault="00F53B69" w:rsidP="006979DD">
            <w:pPr>
              <w:pStyle w:val="a6"/>
              <w:ind w:left="0" w:firstLine="0"/>
              <w:rPr>
                <w:iCs/>
                <w:sz w:val="22"/>
                <w:szCs w:val="22"/>
                <w:lang w:val="el-GR"/>
              </w:rPr>
            </w:pPr>
          </w:p>
          <w:p w:rsidR="009250A3" w:rsidRPr="00055C43" w:rsidRDefault="009250A3" w:rsidP="006979DD">
            <w:pPr>
              <w:pStyle w:val="a6"/>
              <w:ind w:left="0" w:firstLine="0"/>
              <w:rPr>
                <w:iCs/>
                <w:sz w:val="22"/>
                <w:szCs w:val="22"/>
                <w:lang w:val="el-GR"/>
              </w:rPr>
            </w:pPr>
            <w:r w:rsidRPr="00055C43">
              <w:rPr>
                <w:iCs/>
                <w:sz w:val="22"/>
                <w:szCs w:val="22"/>
                <w:lang w:val="el-GR"/>
              </w:rPr>
              <w:t>Πολύ σπάνι</w:t>
            </w:r>
            <w:r w:rsidR="00895EF1" w:rsidRPr="00055C43">
              <w:rPr>
                <w:iCs/>
                <w:sz w:val="22"/>
                <w:szCs w:val="22"/>
                <w:lang w:val="el-GR"/>
              </w:rPr>
              <w:t>ες</w:t>
            </w:r>
            <w:r w:rsidRPr="00055C43">
              <w:rPr>
                <w:iCs/>
                <w:sz w:val="22"/>
                <w:szCs w:val="22"/>
                <w:lang w:val="el-GR"/>
              </w:rPr>
              <w:t xml:space="preserve">: καρδιακή ανακοπή, έμφραγμα του μυοκαρδίου (πιο συχνά μετά από ενδοστεφανιαία έγχυση), αρρυθμία, </w:t>
            </w:r>
            <w:r w:rsidR="009A24B9" w:rsidRPr="00055C43">
              <w:rPr>
                <w:iCs/>
                <w:sz w:val="22"/>
                <w:szCs w:val="22"/>
                <w:lang w:val="el-GR"/>
              </w:rPr>
              <w:t xml:space="preserve">κολπική μαρμαρυγή, </w:t>
            </w:r>
            <w:r w:rsidRPr="00055C43">
              <w:rPr>
                <w:iCs/>
                <w:sz w:val="22"/>
                <w:szCs w:val="22"/>
                <w:lang w:val="el-GR"/>
              </w:rPr>
              <w:t>στηθάγχη</w:t>
            </w:r>
          </w:p>
          <w:p w:rsidR="009250A3" w:rsidRPr="00055C43" w:rsidRDefault="009250A3" w:rsidP="006979DD">
            <w:pPr>
              <w:pStyle w:val="AmmCorpsTexte"/>
              <w:spacing w:after="0"/>
              <w:jc w:val="left"/>
              <w:rPr>
                <w:rFonts w:ascii="Times New Roman" w:hAnsi="Times New Roman" w:cs="Times New Roman"/>
                <w:sz w:val="22"/>
                <w:szCs w:val="22"/>
                <w:lang w:val="el-GR"/>
              </w:rPr>
            </w:pPr>
          </w:p>
        </w:tc>
      </w:tr>
      <w:tr w:rsidR="009250A3" w:rsidRPr="00055C43">
        <w:tc>
          <w:tcPr>
            <w:tcW w:w="4606" w:type="dxa"/>
          </w:tcPr>
          <w:p w:rsidR="009250A3" w:rsidRPr="00055C43" w:rsidRDefault="009250A3" w:rsidP="006979DD">
            <w:pPr>
              <w:pStyle w:val="AmmCorpsTexte"/>
              <w:spacing w:after="0"/>
              <w:jc w:val="left"/>
              <w:rPr>
                <w:rFonts w:ascii="Times New Roman" w:hAnsi="Times New Roman" w:cs="Times New Roman"/>
                <w:sz w:val="22"/>
                <w:szCs w:val="22"/>
                <w:lang w:val="el-GR"/>
              </w:rPr>
            </w:pPr>
            <w:r w:rsidRPr="00055C43">
              <w:rPr>
                <w:rFonts w:ascii="Times New Roman" w:hAnsi="Times New Roman" w:cs="Times New Roman"/>
                <w:sz w:val="22"/>
                <w:szCs w:val="22"/>
                <w:lang w:val="el-GR"/>
              </w:rPr>
              <w:t>Αγγειακές διαταραχές</w:t>
            </w:r>
          </w:p>
          <w:p w:rsidR="009250A3" w:rsidRPr="00055C43" w:rsidRDefault="009250A3" w:rsidP="006979DD">
            <w:pPr>
              <w:pStyle w:val="AmmCorpsTexte"/>
              <w:spacing w:after="0"/>
              <w:jc w:val="left"/>
              <w:rPr>
                <w:rFonts w:ascii="Times New Roman" w:hAnsi="Times New Roman" w:cs="Times New Roman"/>
                <w:sz w:val="22"/>
                <w:szCs w:val="22"/>
                <w:lang w:val="el-GR"/>
              </w:rPr>
            </w:pPr>
          </w:p>
        </w:tc>
        <w:tc>
          <w:tcPr>
            <w:tcW w:w="5425" w:type="dxa"/>
          </w:tcPr>
          <w:p w:rsidR="009250A3" w:rsidRPr="00055C43" w:rsidRDefault="009250A3" w:rsidP="006979DD">
            <w:pPr>
              <w:pStyle w:val="AmmCorpsTexte"/>
              <w:spacing w:after="0"/>
              <w:jc w:val="left"/>
              <w:rPr>
                <w:rFonts w:ascii="Times New Roman" w:hAnsi="Times New Roman" w:cs="Times New Roman"/>
                <w:sz w:val="22"/>
                <w:szCs w:val="22"/>
                <w:lang w:val="el-GR"/>
              </w:rPr>
            </w:pPr>
            <w:r w:rsidRPr="00055C43">
              <w:rPr>
                <w:rFonts w:ascii="Times New Roman" w:hAnsi="Times New Roman" w:cs="Times New Roman"/>
                <w:sz w:val="22"/>
                <w:szCs w:val="22"/>
                <w:lang w:val="el-GR"/>
              </w:rPr>
              <w:t>Σπάνι</w:t>
            </w:r>
            <w:r w:rsidR="00895EF1" w:rsidRPr="00055C43">
              <w:rPr>
                <w:rFonts w:ascii="Times New Roman" w:hAnsi="Times New Roman" w:cs="Times New Roman"/>
                <w:sz w:val="22"/>
                <w:szCs w:val="22"/>
                <w:lang w:val="el-GR"/>
              </w:rPr>
              <w:t>ες</w:t>
            </w:r>
            <w:r w:rsidRPr="00055C43">
              <w:rPr>
                <w:rFonts w:ascii="Times New Roman" w:hAnsi="Times New Roman" w:cs="Times New Roman"/>
                <w:sz w:val="22"/>
                <w:szCs w:val="22"/>
                <w:lang w:val="el-GR"/>
              </w:rPr>
              <w:t xml:space="preserve">: υπόταση </w:t>
            </w:r>
          </w:p>
          <w:p w:rsidR="00F53B69" w:rsidRPr="00055C43" w:rsidRDefault="00F53B69" w:rsidP="00895EF1">
            <w:pPr>
              <w:pStyle w:val="AmmCorpsTexte"/>
              <w:spacing w:after="0"/>
              <w:jc w:val="left"/>
              <w:rPr>
                <w:rFonts w:ascii="Times New Roman" w:hAnsi="Times New Roman" w:cs="Times New Roman"/>
                <w:sz w:val="22"/>
                <w:szCs w:val="22"/>
                <w:lang w:val="el-GR"/>
              </w:rPr>
            </w:pPr>
          </w:p>
          <w:p w:rsidR="009250A3" w:rsidRPr="00055C43" w:rsidRDefault="009250A3" w:rsidP="00055C43">
            <w:pPr>
              <w:pStyle w:val="AmmCorpsTexte"/>
              <w:spacing w:after="0"/>
              <w:jc w:val="left"/>
              <w:rPr>
                <w:rFonts w:ascii="Times New Roman" w:hAnsi="Times New Roman" w:cs="Times New Roman"/>
                <w:sz w:val="22"/>
                <w:szCs w:val="22"/>
                <w:lang w:val="el-GR"/>
              </w:rPr>
            </w:pPr>
            <w:r w:rsidRPr="00055C43">
              <w:rPr>
                <w:rFonts w:ascii="Times New Roman" w:hAnsi="Times New Roman" w:cs="Times New Roman"/>
                <w:sz w:val="22"/>
                <w:szCs w:val="22"/>
                <w:lang w:val="el-GR"/>
              </w:rPr>
              <w:t>Πολύ σπάνι</w:t>
            </w:r>
            <w:r w:rsidR="00895EF1" w:rsidRPr="00055C43">
              <w:rPr>
                <w:rFonts w:ascii="Times New Roman" w:hAnsi="Times New Roman" w:cs="Times New Roman"/>
                <w:sz w:val="22"/>
                <w:szCs w:val="22"/>
                <w:lang w:val="el-GR"/>
              </w:rPr>
              <w:t>ες</w:t>
            </w:r>
            <w:r w:rsidRPr="00055C43">
              <w:rPr>
                <w:rFonts w:ascii="Times New Roman" w:hAnsi="Times New Roman" w:cs="Times New Roman"/>
                <w:sz w:val="22"/>
                <w:szCs w:val="22"/>
                <w:lang w:val="el-GR"/>
              </w:rPr>
              <w:t>: κυκλοφορική κατ</w:t>
            </w:r>
            <w:r w:rsidR="00055C43">
              <w:rPr>
                <w:rFonts w:ascii="Times New Roman" w:hAnsi="Times New Roman" w:cs="Times New Roman"/>
                <w:sz w:val="22"/>
                <w:szCs w:val="22"/>
                <w:lang w:val="el-GR"/>
              </w:rPr>
              <w:t>ά</w:t>
            </w:r>
            <w:r w:rsidRPr="00055C43">
              <w:rPr>
                <w:rFonts w:ascii="Times New Roman" w:hAnsi="Times New Roman" w:cs="Times New Roman"/>
                <w:sz w:val="22"/>
                <w:szCs w:val="22"/>
                <w:lang w:val="el-GR"/>
              </w:rPr>
              <w:t>ρρειψη</w:t>
            </w:r>
          </w:p>
        </w:tc>
      </w:tr>
      <w:tr w:rsidR="009250A3" w:rsidRPr="00055C43">
        <w:tc>
          <w:tcPr>
            <w:tcW w:w="4606" w:type="dxa"/>
          </w:tcPr>
          <w:p w:rsidR="009250A3" w:rsidRPr="00055C43" w:rsidRDefault="009250A3" w:rsidP="006979DD">
            <w:pPr>
              <w:pStyle w:val="AmmCorpsTexte"/>
              <w:spacing w:after="0"/>
              <w:jc w:val="left"/>
              <w:rPr>
                <w:rFonts w:ascii="Times New Roman" w:hAnsi="Times New Roman" w:cs="Times New Roman"/>
                <w:sz w:val="22"/>
                <w:szCs w:val="22"/>
                <w:lang w:val="el-GR"/>
              </w:rPr>
            </w:pPr>
          </w:p>
          <w:p w:rsidR="009250A3" w:rsidRPr="00055C43" w:rsidRDefault="009250A3" w:rsidP="006979DD">
            <w:pPr>
              <w:pStyle w:val="AmmCorpsTexte"/>
              <w:spacing w:after="0"/>
              <w:jc w:val="left"/>
              <w:rPr>
                <w:rFonts w:ascii="Times New Roman" w:hAnsi="Times New Roman" w:cs="Times New Roman"/>
                <w:sz w:val="22"/>
                <w:szCs w:val="22"/>
                <w:lang w:val="el-GR"/>
              </w:rPr>
            </w:pPr>
            <w:r w:rsidRPr="00055C43">
              <w:rPr>
                <w:rFonts w:ascii="Times New Roman" w:hAnsi="Times New Roman" w:cs="Times New Roman"/>
                <w:sz w:val="22"/>
                <w:szCs w:val="22"/>
                <w:lang w:val="el-GR"/>
              </w:rPr>
              <w:t>Διαταραχές του αναπνευστικού συστήματος, του θώρακα και του μεσοθωράκιου</w:t>
            </w:r>
          </w:p>
        </w:tc>
        <w:tc>
          <w:tcPr>
            <w:tcW w:w="5425" w:type="dxa"/>
          </w:tcPr>
          <w:p w:rsidR="009250A3" w:rsidRPr="00055C43" w:rsidRDefault="009250A3" w:rsidP="006979DD">
            <w:pPr>
              <w:pStyle w:val="AmmCorpsTexte"/>
              <w:spacing w:after="0"/>
              <w:jc w:val="left"/>
              <w:rPr>
                <w:rFonts w:ascii="Times New Roman" w:hAnsi="Times New Roman" w:cs="Times New Roman"/>
                <w:sz w:val="22"/>
                <w:szCs w:val="22"/>
                <w:lang w:val="el-GR"/>
              </w:rPr>
            </w:pPr>
            <w:r w:rsidRPr="00055C43">
              <w:rPr>
                <w:rFonts w:ascii="Times New Roman" w:hAnsi="Times New Roman" w:cs="Times New Roman"/>
                <w:sz w:val="22"/>
                <w:szCs w:val="22"/>
                <w:lang w:val="el-GR"/>
              </w:rPr>
              <w:t>Σπάνι</w:t>
            </w:r>
            <w:r w:rsidR="00895EF1" w:rsidRPr="00055C43">
              <w:rPr>
                <w:rFonts w:ascii="Times New Roman" w:hAnsi="Times New Roman" w:cs="Times New Roman"/>
                <w:sz w:val="22"/>
                <w:szCs w:val="22"/>
                <w:lang w:val="el-GR"/>
              </w:rPr>
              <w:t>ες</w:t>
            </w:r>
            <w:r w:rsidRPr="00055C43">
              <w:rPr>
                <w:rFonts w:ascii="Times New Roman" w:hAnsi="Times New Roman" w:cs="Times New Roman"/>
                <w:sz w:val="22"/>
                <w:szCs w:val="22"/>
                <w:lang w:val="el-GR"/>
              </w:rPr>
              <w:t>: δύσπνοια, βήχας, σφίξιμο στο φάρυγγα, φτέρνισμα</w:t>
            </w:r>
          </w:p>
          <w:p w:rsidR="00F53B69" w:rsidRPr="00055C43" w:rsidRDefault="00F53B69" w:rsidP="00895EF1">
            <w:pPr>
              <w:pStyle w:val="AmmCorpsTexte"/>
              <w:spacing w:after="0"/>
              <w:jc w:val="left"/>
              <w:rPr>
                <w:rFonts w:ascii="Times New Roman" w:hAnsi="Times New Roman" w:cs="Times New Roman"/>
                <w:sz w:val="22"/>
                <w:szCs w:val="22"/>
                <w:lang w:val="el-GR"/>
              </w:rPr>
            </w:pPr>
          </w:p>
          <w:p w:rsidR="009250A3" w:rsidRPr="00055C43" w:rsidRDefault="009250A3" w:rsidP="00895EF1">
            <w:pPr>
              <w:pStyle w:val="AmmCorpsTexte"/>
              <w:spacing w:after="0"/>
              <w:jc w:val="left"/>
              <w:rPr>
                <w:rFonts w:ascii="Times New Roman" w:hAnsi="Times New Roman" w:cs="Times New Roman"/>
                <w:sz w:val="22"/>
                <w:szCs w:val="22"/>
                <w:lang w:val="el-GR"/>
              </w:rPr>
            </w:pPr>
            <w:r w:rsidRPr="00055C43">
              <w:rPr>
                <w:rFonts w:ascii="Times New Roman" w:hAnsi="Times New Roman" w:cs="Times New Roman"/>
                <w:sz w:val="22"/>
                <w:szCs w:val="22"/>
                <w:lang w:val="el-GR"/>
              </w:rPr>
              <w:t>Πολύ σπάνι</w:t>
            </w:r>
            <w:r w:rsidR="00895EF1" w:rsidRPr="00055C43">
              <w:rPr>
                <w:rFonts w:ascii="Times New Roman" w:hAnsi="Times New Roman" w:cs="Times New Roman"/>
                <w:sz w:val="22"/>
                <w:szCs w:val="22"/>
                <w:lang w:val="el-GR"/>
              </w:rPr>
              <w:t>ες</w:t>
            </w:r>
            <w:r w:rsidRPr="00055C43">
              <w:rPr>
                <w:rFonts w:ascii="Times New Roman" w:hAnsi="Times New Roman" w:cs="Times New Roman"/>
                <w:sz w:val="22"/>
                <w:szCs w:val="22"/>
                <w:lang w:val="el-GR"/>
              </w:rPr>
              <w:t>:  αναπνευστική ανακοπή, πνευμονικό οίδημα, βρογχόσπα</w:t>
            </w:r>
            <w:r w:rsidR="00895EF1" w:rsidRPr="00055C43">
              <w:rPr>
                <w:rFonts w:ascii="Times New Roman" w:hAnsi="Times New Roman" w:cs="Times New Roman"/>
                <w:sz w:val="22"/>
                <w:szCs w:val="22"/>
                <w:lang w:val="el-GR"/>
              </w:rPr>
              <w:t>σ</w:t>
            </w:r>
            <w:r w:rsidRPr="00055C43">
              <w:rPr>
                <w:rFonts w:ascii="Times New Roman" w:hAnsi="Times New Roman" w:cs="Times New Roman"/>
                <w:sz w:val="22"/>
                <w:szCs w:val="22"/>
                <w:lang w:val="el-GR"/>
              </w:rPr>
              <w:t xml:space="preserve">μος, λαρυγγόσπασμος, λαρυγγικό οίδημα </w:t>
            </w:r>
          </w:p>
        </w:tc>
      </w:tr>
      <w:tr w:rsidR="009250A3" w:rsidRPr="00055C43">
        <w:tc>
          <w:tcPr>
            <w:tcW w:w="4606" w:type="dxa"/>
          </w:tcPr>
          <w:p w:rsidR="009250A3" w:rsidRPr="00055C43" w:rsidRDefault="009250A3" w:rsidP="006979DD">
            <w:pPr>
              <w:pStyle w:val="AmmCorpsTexte"/>
              <w:spacing w:after="0"/>
              <w:jc w:val="left"/>
              <w:rPr>
                <w:rFonts w:ascii="Times New Roman" w:hAnsi="Times New Roman" w:cs="Times New Roman"/>
                <w:sz w:val="22"/>
                <w:szCs w:val="22"/>
                <w:lang w:val="el-GR"/>
              </w:rPr>
            </w:pPr>
          </w:p>
          <w:p w:rsidR="009250A3" w:rsidRPr="00055C43" w:rsidRDefault="009250A3" w:rsidP="006979DD">
            <w:pPr>
              <w:pStyle w:val="AmmCorpsTexte"/>
              <w:spacing w:after="0"/>
              <w:jc w:val="left"/>
              <w:rPr>
                <w:rFonts w:ascii="Times New Roman" w:hAnsi="Times New Roman" w:cs="Times New Roman"/>
                <w:sz w:val="22"/>
                <w:szCs w:val="22"/>
                <w:lang w:val="el-GR"/>
              </w:rPr>
            </w:pPr>
            <w:r w:rsidRPr="00055C43">
              <w:rPr>
                <w:rFonts w:ascii="Times New Roman" w:hAnsi="Times New Roman" w:cs="Times New Roman"/>
                <w:sz w:val="22"/>
                <w:szCs w:val="22"/>
                <w:lang w:val="el-GR"/>
              </w:rPr>
              <w:t>Διαταραχές του γαστρεντερικού συστήματος</w:t>
            </w:r>
          </w:p>
        </w:tc>
        <w:tc>
          <w:tcPr>
            <w:tcW w:w="5425" w:type="dxa"/>
          </w:tcPr>
          <w:p w:rsidR="009250A3" w:rsidRPr="00055C43" w:rsidRDefault="009250A3" w:rsidP="006979DD">
            <w:pPr>
              <w:shd w:val="clear" w:color="auto" w:fill="FFFFFF"/>
              <w:jc w:val="both"/>
              <w:rPr>
                <w:sz w:val="22"/>
                <w:szCs w:val="22"/>
              </w:rPr>
            </w:pPr>
            <w:r w:rsidRPr="00055C43">
              <w:rPr>
                <w:sz w:val="22"/>
                <w:szCs w:val="22"/>
              </w:rPr>
              <w:t>Όχι συχν</w:t>
            </w:r>
            <w:r w:rsidR="00895EF1" w:rsidRPr="00055C43">
              <w:rPr>
                <w:sz w:val="22"/>
                <w:szCs w:val="22"/>
              </w:rPr>
              <w:t>ές</w:t>
            </w:r>
            <w:r w:rsidRPr="00055C43">
              <w:rPr>
                <w:sz w:val="22"/>
                <w:szCs w:val="22"/>
              </w:rPr>
              <w:t>: ναυτία</w:t>
            </w:r>
          </w:p>
          <w:p w:rsidR="00F53B69" w:rsidRPr="00055C43" w:rsidRDefault="00F53B69" w:rsidP="006979DD">
            <w:pPr>
              <w:shd w:val="clear" w:color="auto" w:fill="FFFFFF"/>
              <w:jc w:val="both"/>
              <w:rPr>
                <w:sz w:val="22"/>
                <w:szCs w:val="22"/>
              </w:rPr>
            </w:pPr>
          </w:p>
          <w:p w:rsidR="009250A3" w:rsidRPr="00055C43" w:rsidRDefault="009250A3" w:rsidP="006979DD">
            <w:pPr>
              <w:shd w:val="clear" w:color="auto" w:fill="FFFFFF"/>
              <w:jc w:val="both"/>
              <w:rPr>
                <w:sz w:val="22"/>
                <w:szCs w:val="22"/>
              </w:rPr>
            </w:pPr>
            <w:r w:rsidRPr="00055C43">
              <w:rPr>
                <w:sz w:val="22"/>
                <w:szCs w:val="22"/>
              </w:rPr>
              <w:t>Σπάνι</w:t>
            </w:r>
            <w:r w:rsidR="00895EF1" w:rsidRPr="00055C43">
              <w:rPr>
                <w:sz w:val="22"/>
                <w:szCs w:val="22"/>
              </w:rPr>
              <w:t>ες</w:t>
            </w:r>
            <w:r w:rsidRPr="00055C43">
              <w:rPr>
                <w:sz w:val="22"/>
                <w:szCs w:val="22"/>
              </w:rPr>
              <w:t>: έμετος</w:t>
            </w:r>
          </w:p>
          <w:p w:rsidR="00F53B69" w:rsidRPr="00055C43" w:rsidRDefault="00F53B69" w:rsidP="006979DD">
            <w:pPr>
              <w:shd w:val="clear" w:color="auto" w:fill="FFFFFF"/>
              <w:jc w:val="both"/>
              <w:rPr>
                <w:sz w:val="22"/>
                <w:szCs w:val="22"/>
              </w:rPr>
            </w:pPr>
          </w:p>
          <w:p w:rsidR="009250A3" w:rsidRPr="00055C43" w:rsidRDefault="009250A3" w:rsidP="006979DD">
            <w:pPr>
              <w:shd w:val="clear" w:color="auto" w:fill="FFFFFF"/>
              <w:jc w:val="both"/>
              <w:rPr>
                <w:sz w:val="22"/>
                <w:szCs w:val="22"/>
              </w:rPr>
            </w:pPr>
            <w:r w:rsidRPr="00055C43">
              <w:rPr>
                <w:sz w:val="22"/>
                <w:szCs w:val="22"/>
              </w:rPr>
              <w:t>Πολύ σπάνι</w:t>
            </w:r>
            <w:r w:rsidR="00895EF1" w:rsidRPr="00055C43">
              <w:rPr>
                <w:sz w:val="22"/>
                <w:szCs w:val="22"/>
              </w:rPr>
              <w:t>ες</w:t>
            </w:r>
            <w:r w:rsidRPr="00055C43">
              <w:rPr>
                <w:sz w:val="22"/>
                <w:szCs w:val="22"/>
              </w:rPr>
              <w:t>: κοιλιακό άλγος</w:t>
            </w:r>
          </w:p>
          <w:p w:rsidR="009250A3" w:rsidRPr="00055C43" w:rsidRDefault="009250A3" w:rsidP="006979DD">
            <w:pPr>
              <w:pStyle w:val="AmmCorpsTexte"/>
              <w:spacing w:after="0"/>
              <w:jc w:val="left"/>
              <w:rPr>
                <w:rFonts w:ascii="Times New Roman" w:hAnsi="Times New Roman" w:cs="Times New Roman"/>
                <w:sz w:val="22"/>
                <w:szCs w:val="22"/>
                <w:lang w:val="el-GR"/>
              </w:rPr>
            </w:pPr>
          </w:p>
        </w:tc>
      </w:tr>
      <w:tr w:rsidR="009250A3" w:rsidRPr="00055C43">
        <w:tc>
          <w:tcPr>
            <w:tcW w:w="4606" w:type="dxa"/>
          </w:tcPr>
          <w:p w:rsidR="009250A3" w:rsidRPr="00055C43" w:rsidRDefault="009250A3" w:rsidP="006979DD">
            <w:pPr>
              <w:pStyle w:val="AmmCorpsTexte"/>
              <w:spacing w:after="0"/>
              <w:jc w:val="left"/>
              <w:rPr>
                <w:rFonts w:ascii="Times New Roman" w:hAnsi="Times New Roman" w:cs="Times New Roman"/>
                <w:sz w:val="22"/>
                <w:szCs w:val="22"/>
                <w:lang w:val="el-GR"/>
              </w:rPr>
            </w:pPr>
          </w:p>
          <w:p w:rsidR="009250A3" w:rsidRPr="00055C43" w:rsidRDefault="009250A3" w:rsidP="006979DD">
            <w:pPr>
              <w:pStyle w:val="AmmCorpsTexte"/>
              <w:spacing w:after="0"/>
              <w:jc w:val="left"/>
              <w:rPr>
                <w:rFonts w:ascii="Times New Roman" w:hAnsi="Times New Roman" w:cs="Times New Roman"/>
                <w:sz w:val="22"/>
                <w:szCs w:val="22"/>
                <w:lang w:val="el-GR"/>
              </w:rPr>
            </w:pPr>
            <w:r w:rsidRPr="00055C43">
              <w:rPr>
                <w:rFonts w:ascii="Times New Roman" w:hAnsi="Times New Roman" w:cs="Times New Roman"/>
                <w:sz w:val="22"/>
                <w:szCs w:val="22"/>
                <w:lang w:val="el-GR"/>
              </w:rPr>
              <w:t>Διαταραχές του δέρματος και του υποδόριου ιστού</w:t>
            </w:r>
          </w:p>
        </w:tc>
        <w:tc>
          <w:tcPr>
            <w:tcW w:w="5425" w:type="dxa"/>
          </w:tcPr>
          <w:p w:rsidR="009250A3" w:rsidRPr="00055C43" w:rsidRDefault="009250A3" w:rsidP="006979DD">
            <w:pPr>
              <w:pStyle w:val="AmmCorpsTexte"/>
              <w:spacing w:after="0"/>
              <w:jc w:val="left"/>
              <w:rPr>
                <w:rFonts w:ascii="Times New Roman" w:hAnsi="Times New Roman" w:cs="Times New Roman"/>
                <w:sz w:val="22"/>
                <w:szCs w:val="22"/>
                <w:lang w:val="el-GR"/>
              </w:rPr>
            </w:pPr>
            <w:r w:rsidRPr="00055C43">
              <w:rPr>
                <w:rFonts w:ascii="Times New Roman" w:hAnsi="Times New Roman" w:cs="Times New Roman"/>
                <w:sz w:val="22"/>
                <w:szCs w:val="22"/>
                <w:lang w:val="el-GR"/>
              </w:rPr>
              <w:t>Σπάνι</w:t>
            </w:r>
            <w:r w:rsidR="00895EF1" w:rsidRPr="00055C43">
              <w:rPr>
                <w:rFonts w:ascii="Times New Roman" w:hAnsi="Times New Roman" w:cs="Times New Roman"/>
                <w:sz w:val="22"/>
                <w:szCs w:val="22"/>
                <w:lang w:val="el-GR"/>
              </w:rPr>
              <w:t>ες</w:t>
            </w:r>
            <w:r w:rsidRPr="00055C43">
              <w:rPr>
                <w:rFonts w:ascii="Times New Roman" w:hAnsi="Times New Roman" w:cs="Times New Roman"/>
                <w:sz w:val="22"/>
                <w:szCs w:val="22"/>
                <w:lang w:val="el-GR"/>
              </w:rPr>
              <w:t>: αγγειοοίδημα, κνίδωση (τοπική ή εκτεταμένη), ερύθημα, κνησμός</w:t>
            </w:r>
          </w:p>
          <w:p w:rsidR="00F53B69" w:rsidRPr="00055C43" w:rsidRDefault="00F53B69" w:rsidP="006979DD">
            <w:pPr>
              <w:pStyle w:val="AmmCorpsTexte"/>
              <w:spacing w:after="0"/>
              <w:jc w:val="left"/>
              <w:rPr>
                <w:rFonts w:ascii="Times New Roman" w:hAnsi="Times New Roman" w:cs="Times New Roman"/>
                <w:sz w:val="22"/>
                <w:szCs w:val="22"/>
                <w:lang w:val="el-GR"/>
              </w:rPr>
            </w:pPr>
          </w:p>
          <w:p w:rsidR="009250A3" w:rsidRPr="00055C43" w:rsidRDefault="009250A3" w:rsidP="006979DD">
            <w:pPr>
              <w:pStyle w:val="AmmCorpsTexte"/>
              <w:spacing w:after="0"/>
              <w:jc w:val="left"/>
              <w:rPr>
                <w:rFonts w:ascii="Times New Roman" w:hAnsi="Times New Roman" w:cs="Times New Roman"/>
                <w:sz w:val="22"/>
                <w:szCs w:val="22"/>
                <w:lang w:val="el-GR"/>
              </w:rPr>
            </w:pPr>
            <w:r w:rsidRPr="00055C43">
              <w:rPr>
                <w:rFonts w:ascii="Times New Roman" w:hAnsi="Times New Roman" w:cs="Times New Roman"/>
                <w:sz w:val="22"/>
                <w:szCs w:val="22"/>
                <w:lang w:val="el-GR"/>
              </w:rPr>
              <w:t>Πολύ σπάνι</w:t>
            </w:r>
            <w:r w:rsidR="00895EF1" w:rsidRPr="00055C43">
              <w:rPr>
                <w:rFonts w:ascii="Times New Roman" w:hAnsi="Times New Roman" w:cs="Times New Roman"/>
                <w:sz w:val="22"/>
                <w:szCs w:val="22"/>
                <w:lang w:val="el-GR"/>
              </w:rPr>
              <w:t>ες</w:t>
            </w:r>
            <w:r w:rsidRPr="00055C43">
              <w:rPr>
                <w:rFonts w:ascii="Times New Roman" w:hAnsi="Times New Roman" w:cs="Times New Roman"/>
                <w:sz w:val="22"/>
                <w:szCs w:val="22"/>
                <w:lang w:val="el-GR"/>
              </w:rPr>
              <w:t>: Οξεία Γενικευμένη Εξανθηματική Φλυκταίνωση, σύνδρομο Stevens-Johnson, σύνδρομο Lyell, έκζεμα, κηλιδοβλατιδώδες εξάνθημα (όλες ως καθυστερημένες αντιδράσεις υπερευαισθησίας)</w:t>
            </w:r>
          </w:p>
          <w:p w:rsidR="009250A3" w:rsidRPr="00055C43" w:rsidRDefault="009250A3" w:rsidP="006979DD">
            <w:pPr>
              <w:pStyle w:val="AmmCorpsTexte"/>
              <w:spacing w:after="0"/>
              <w:jc w:val="left"/>
              <w:rPr>
                <w:rFonts w:ascii="Times New Roman" w:hAnsi="Times New Roman" w:cs="Times New Roman"/>
                <w:sz w:val="22"/>
                <w:szCs w:val="22"/>
                <w:lang w:val="el-GR"/>
              </w:rPr>
            </w:pPr>
          </w:p>
        </w:tc>
      </w:tr>
      <w:tr w:rsidR="009250A3" w:rsidRPr="00055C43">
        <w:tc>
          <w:tcPr>
            <w:tcW w:w="4606" w:type="dxa"/>
          </w:tcPr>
          <w:p w:rsidR="009250A3" w:rsidRPr="00055C43" w:rsidRDefault="009250A3" w:rsidP="006979DD">
            <w:pPr>
              <w:pStyle w:val="AmmCorpsTexte"/>
              <w:spacing w:after="0"/>
              <w:jc w:val="left"/>
              <w:rPr>
                <w:rFonts w:ascii="Times New Roman" w:hAnsi="Times New Roman" w:cs="Times New Roman"/>
                <w:sz w:val="22"/>
                <w:szCs w:val="22"/>
                <w:lang w:val="el-GR"/>
              </w:rPr>
            </w:pPr>
            <w:r w:rsidRPr="00055C43">
              <w:rPr>
                <w:rFonts w:ascii="Times New Roman" w:hAnsi="Times New Roman" w:cs="Times New Roman"/>
                <w:sz w:val="22"/>
                <w:szCs w:val="22"/>
                <w:lang w:val="el-GR"/>
              </w:rPr>
              <w:t>Διαταραχές των νεφρών και των ουροφόρων οδών</w:t>
            </w:r>
          </w:p>
        </w:tc>
        <w:tc>
          <w:tcPr>
            <w:tcW w:w="5425" w:type="dxa"/>
          </w:tcPr>
          <w:p w:rsidR="009250A3" w:rsidRPr="00055C43" w:rsidRDefault="009250A3" w:rsidP="006979DD">
            <w:pPr>
              <w:shd w:val="clear" w:color="auto" w:fill="FFFFFF"/>
              <w:tabs>
                <w:tab w:val="left" w:pos="284"/>
              </w:tabs>
              <w:jc w:val="both"/>
              <w:rPr>
                <w:sz w:val="22"/>
                <w:szCs w:val="22"/>
              </w:rPr>
            </w:pPr>
            <w:r w:rsidRPr="00055C43">
              <w:rPr>
                <w:sz w:val="22"/>
                <w:szCs w:val="22"/>
              </w:rPr>
              <w:t>Πολύ σπάνι</w:t>
            </w:r>
            <w:r w:rsidR="00895EF1" w:rsidRPr="00055C43">
              <w:rPr>
                <w:sz w:val="22"/>
                <w:szCs w:val="22"/>
              </w:rPr>
              <w:t>ες</w:t>
            </w:r>
            <w:r w:rsidRPr="00055C43">
              <w:rPr>
                <w:sz w:val="22"/>
                <w:szCs w:val="22"/>
              </w:rPr>
              <w:t>: οξεία νεφρική ανεπάρκεια, ανουρία</w:t>
            </w:r>
          </w:p>
          <w:p w:rsidR="009250A3" w:rsidRPr="00055C43" w:rsidRDefault="009250A3" w:rsidP="006979DD">
            <w:pPr>
              <w:pStyle w:val="AmmCorpsTexte"/>
              <w:spacing w:after="0"/>
              <w:jc w:val="left"/>
              <w:rPr>
                <w:rFonts w:ascii="Times New Roman" w:hAnsi="Times New Roman" w:cs="Times New Roman"/>
                <w:sz w:val="22"/>
                <w:szCs w:val="22"/>
                <w:lang w:val="el-GR"/>
              </w:rPr>
            </w:pPr>
          </w:p>
        </w:tc>
      </w:tr>
      <w:tr w:rsidR="009250A3" w:rsidRPr="00055C43">
        <w:tc>
          <w:tcPr>
            <w:tcW w:w="4606" w:type="dxa"/>
          </w:tcPr>
          <w:p w:rsidR="009250A3" w:rsidRPr="00055C43" w:rsidRDefault="009250A3" w:rsidP="006979DD">
            <w:pPr>
              <w:pStyle w:val="AmmCorpsTexte"/>
              <w:spacing w:after="0"/>
              <w:jc w:val="left"/>
              <w:rPr>
                <w:rFonts w:ascii="Times New Roman" w:hAnsi="Times New Roman" w:cs="Times New Roman"/>
                <w:sz w:val="22"/>
                <w:szCs w:val="22"/>
                <w:lang w:val="el-GR"/>
              </w:rPr>
            </w:pPr>
            <w:r w:rsidRPr="00055C43">
              <w:rPr>
                <w:rFonts w:ascii="Times New Roman" w:hAnsi="Times New Roman" w:cs="Times New Roman"/>
                <w:sz w:val="22"/>
                <w:szCs w:val="22"/>
                <w:lang w:val="el-GR"/>
              </w:rPr>
              <w:t>Γενικές διαταραχές και καταστάσεις της οδού χορήγησης</w:t>
            </w:r>
          </w:p>
          <w:p w:rsidR="009250A3" w:rsidRPr="00055C43" w:rsidRDefault="009250A3" w:rsidP="006979DD">
            <w:pPr>
              <w:pStyle w:val="AmmCorpsTexte"/>
              <w:spacing w:after="0"/>
              <w:jc w:val="left"/>
              <w:rPr>
                <w:rFonts w:ascii="Times New Roman" w:hAnsi="Times New Roman" w:cs="Times New Roman"/>
                <w:sz w:val="22"/>
                <w:szCs w:val="22"/>
                <w:lang w:val="el-GR"/>
              </w:rPr>
            </w:pPr>
          </w:p>
        </w:tc>
        <w:tc>
          <w:tcPr>
            <w:tcW w:w="5425" w:type="dxa"/>
          </w:tcPr>
          <w:p w:rsidR="009250A3" w:rsidRPr="00055C43" w:rsidRDefault="009250A3" w:rsidP="006979DD">
            <w:pPr>
              <w:pStyle w:val="AmmCorpsTexte"/>
              <w:spacing w:after="0"/>
              <w:jc w:val="left"/>
              <w:rPr>
                <w:rFonts w:ascii="Times New Roman" w:hAnsi="Times New Roman" w:cs="Times New Roman"/>
                <w:sz w:val="22"/>
                <w:szCs w:val="22"/>
                <w:lang w:val="el-GR"/>
              </w:rPr>
            </w:pPr>
            <w:r w:rsidRPr="00055C43">
              <w:rPr>
                <w:rFonts w:ascii="Times New Roman" w:hAnsi="Times New Roman" w:cs="Times New Roman"/>
                <w:sz w:val="22"/>
                <w:szCs w:val="22"/>
                <w:lang w:val="el-GR"/>
              </w:rPr>
              <w:t>Όχι συχν</w:t>
            </w:r>
            <w:r w:rsidR="00895EF1" w:rsidRPr="00055C43">
              <w:rPr>
                <w:rFonts w:ascii="Times New Roman" w:hAnsi="Times New Roman" w:cs="Times New Roman"/>
                <w:sz w:val="22"/>
                <w:szCs w:val="22"/>
                <w:lang w:val="el-GR"/>
              </w:rPr>
              <w:t>ές</w:t>
            </w:r>
            <w:r w:rsidRPr="00055C43">
              <w:rPr>
                <w:rFonts w:ascii="Times New Roman" w:hAnsi="Times New Roman" w:cs="Times New Roman"/>
                <w:sz w:val="22"/>
                <w:szCs w:val="22"/>
                <w:lang w:val="el-GR"/>
              </w:rPr>
              <w:t>: αίσθημα καύσου</w:t>
            </w:r>
          </w:p>
          <w:p w:rsidR="00F53B69" w:rsidRPr="00055C43" w:rsidRDefault="00F53B69" w:rsidP="006979DD">
            <w:pPr>
              <w:pStyle w:val="AmmCorpsTexte"/>
              <w:spacing w:after="0"/>
              <w:jc w:val="left"/>
              <w:rPr>
                <w:rFonts w:ascii="Times New Roman" w:hAnsi="Times New Roman" w:cs="Times New Roman"/>
                <w:sz w:val="22"/>
                <w:szCs w:val="22"/>
                <w:lang w:val="el-GR"/>
              </w:rPr>
            </w:pPr>
          </w:p>
          <w:p w:rsidR="009250A3" w:rsidRPr="00055C43" w:rsidRDefault="009250A3" w:rsidP="006979DD">
            <w:pPr>
              <w:pStyle w:val="AmmCorpsTexte"/>
              <w:spacing w:after="0"/>
              <w:jc w:val="left"/>
              <w:rPr>
                <w:rFonts w:ascii="Times New Roman" w:hAnsi="Times New Roman" w:cs="Times New Roman"/>
                <w:sz w:val="22"/>
                <w:szCs w:val="22"/>
                <w:lang w:val="el-GR"/>
              </w:rPr>
            </w:pPr>
            <w:r w:rsidRPr="00055C43">
              <w:rPr>
                <w:rFonts w:ascii="Times New Roman" w:hAnsi="Times New Roman" w:cs="Times New Roman"/>
                <w:sz w:val="22"/>
                <w:szCs w:val="22"/>
                <w:lang w:val="el-GR"/>
              </w:rPr>
              <w:t>Σπάνι</w:t>
            </w:r>
            <w:r w:rsidR="00895EF1" w:rsidRPr="00055C43">
              <w:rPr>
                <w:rFonts w:ascii="Times New Roman" w:hAnsi="Times New Roman" w:cs="Times New Roman"/>
                <w:sz w:val="22"/>
                <w:szCs w:val="22"/>
                <w:lang w:val="el-GR"/>
              </w:rPr>
              <w:t>ες</w:t>
            </w:r>
            <w:r w:rsidRPr="00055C43">
              <w:rPr>
                <w:rFonts w:ascii="Times New Roman" w:hAnsi="Times New Roman" w:cs="Times New Roman"/>
                <w:sz w:val="22"/>
                <w:szCs w:val="22"/>
                <w:lang w:val="el-GR"/>
              </w:rPr>
              <w:t xml:space="preserve">: οίδημα προσώπου, αδιαθεσία, ρίγος, άλγος </w:t>
            </w:r>
            <w:r w:rsidRPr="00055C43">
              <w:rPr>
                <w:rFonts w:ascii="Times New Roman" w:hAnsi="Times New Roman" w:cs="Times New Roman"/>
                <w:sz w:val="22"/>
                <w:szCs w:val="22"/>
                <w:lang w:val="el-GR"/>
              </w:rPr>
              <w:lastRenderedPageBreak/>
              <w:t>στο σημείο της έγχυσης</w:t>
            </w:r>
          </w:p>
          <w:p w:rsidR="00F53B69" w:rsidRPr="00055C43" w:rsidRDefault="00F53B69" w:rsidP="006979DD">
            <w:pPr>
              <w:pStyle w:val="AmmCorpsTexte"/>
              <w:spacing w:after="0"/>
              <w:jc w:val="left"/>
              <w:rPr>
                <w:rFonts w:ascii="Times New Roman" w:hAnsi="Times New Roman" w:cs="Times New Roman"/>
                <w:sz w:val="22"/>
                <w:szCs w:val="22"/>
                <w:lang w:val="el-GR"/>
              </w:rPr>
            </w:pPr>
          </w:p>
          <w:p w:rsidR="009250A3" w:rsidRPr="00055C43" w:rsidRDefault="009250A3" w:rsidP="006979DD">
            <w:pPr>
              <w:pStyle w:val="AmmCorpsTexte"/>
              <w:spacing w:after="0"/>
              <w:jc w:val="left"/>
              <w:rPr>
                <w:rFonts w:ascii="Times New Roman" w:hAnsi="Times New Roman" w:cs="Times New Roman"/>
                <w:sz w:val="22"/>
                <w:szCs w:val="22"/>
                <w:lang w:val="el-GR"/>
              </w:rPr>
            </w:pPr>
            <w:r w:rsidRPr="00055C43">
              <w:rPr>
                <w:rFonts w:ascii="Times New Roman" w:hAnsi="Times New Roman" w:cs="Times New Roman"/>
                <w:sz w:val="22"/>
                <w:szCs w:val="22"/>
                <w:lang w:val="el-GR"/>
              </w:rPr>
              <w:t>Πολύ σπάνι</w:t>
            </w:r>
            <w:r w:rsidR="00895EF1" w:rsidRPr="00055C43">
              <w:rPr>
                <w:rFonts w:ascii="Times New Roman" w:hAnsi="Times New Roman" w:cs="Times New Roman"/>
                <w:sz w:val="22"/>
                <w:szCs w:val="22"/>
                <w:lang w:val="el-GR"/>
              </w:rPr>
              <w:t>ες</w:t>
            </w:r>
            <w:r w:rsidRPr="00055C43">
              <w:rPr>
                <w:rFonts w:ascii="Times New Roman" w:hAnsi="Times New Roman" w:cs="Times New Roman"/>
                <w:sz w:val="22"/>
                <w:szCs w:val="22"/>
                <w:lang w:val="el-GR"/>
              </w:rPr>
              <w:t>: νέκρωση στο σημείο της έγχυσης με επακόλουθη εξαγγείωση, φλεγμονή στο σημείο της έγχυσης με επακόλουθη εξαγγείωση, οίδημα στο σημείο της έγχυσης</w:t>
            </w:r>
          </w:p>
          <w:p w:rsidR="009250A3" w:rsidRPr="00055C43" w:rsidRDefault="009250A3" w:rsidP="006979DD">
            <w:pPr>
              <w:pStyle w:val="AmmCorpsTexte"/>
              <w:spacing w:after="0"/>
              <w:jc w:val="left"/>
              <w:rPr>
                <w:rFonts w:ascii="Times New Roman" w:hAnsi="Times New Roman" w:cs="Times New Roman"/>
                <w:sz w:val="22"/>
                <w:szCs w:val="22"/>
                <w:lang w:val="el-GR"/>
              </w:rPr>
            </w:pPr>
          </w:p>
        </w:tc>
      </w:tr>
      <w:tr w:rsidR="009250A3" w:rsidRPr="00055C43">
        <w:tc>
          <w:tcPr>
            <w:tcW w:w="4606" w:type="dxa"/>
          </w:tcPr>
          <w:p w:rsidR="009250A3" w:rsidRPr="00055C43" w:rsidRDefault="006979DD" w:rsidP="006979DD">
            <w:pPr>
              <w:pStyle w:val="AmmCorpsTexte"/>
              <w:spacing w:after="0"/>
              <w:jc w:val="left"/>
              <w:rPr>
                <w:rFonts w:ascii="Times New Roman" w:hAnsi="Times New Roman" w:cs="Times New Roman"/>
                <w:sz w:val="22"/>
                <w:szCs w:val="22"/>
                <w:lang w:val="el-GR"/>
              </w:rPr>
            </w:pPr>
            <w:r w:rsidRPr="00055C43">
              <w:rPr>
                <w:rFonts w:ascii="Times New Roman" w:hAnsi="Times New Roman" w:cs="Times New Roman"/>
                <w:sz w:val="22"/>
                <w:szCs w:val="22"/>
                <w:lang w:val="el-GR"/>
              </w:rPr>
              <w:lastRenderedPageBreak/>
              <w:t>Έρευνες</w:t>
            </w:r>
          </w:p>
          <w:p w:rsidR="009250A3" w:rsidRPr="00055C43" w:rsidRDefault="009250A3" w:rsidP="006979DD">
            <w:pPr>
              <w:pStyle w:val="AmmCorpsTexte"/>
              <w:spacing w:after="0"/>
              <w:jc w:val="left"/>
              <w:rPr>
                <w:rFonts w:ascii="Times New Roman" w:hAnsi="Times New Roman" w:cs="Times New Roman"/>
                <w:sz w:val="22"/>
                <w:szCs w:val="22"/>
                <w:lang w:val="el-GR"/>
              </w:rPr>
            </w:pPr>
          </w:p>
        </w:tc>
        <w:tc>
          <w:tcPr>
            <w:tcW w:w="5425" w:type="dxa"/>
          </w:tcPr>
          <w:p w:rsidR="009250A3" w:rsidRPr="00055C43" w:rsidRDefault="009250A3" w:rsidP="00895EF1">
            <w:pPr>
              <w:pStyle w:val="AmmCorpsTexte"/>
              <w:spacing w:after="0"/>
              <w:jc w:val="left"/>
              <w:rPr>
                <w:rFonts w:ascii="Times New Roman" w:hAnsi="Times New Roman" w:cs="Times New Roman"/>
                <w:sz w:val="22"/>
                <w:szCs w:val="22"/>
                <w:lang w:val="el-GR"/>
              </w:rPr>
            </w:pPr>
            <w:r w:rsidRPr="00055C43">
              <w:rPr>
                <w:rFonts w:ascii="Times New Roman" w:hAnsi="Times New Roman" w:cs="Times New Roman"/>
                <w:sz w:val="22"/>
                <w:szCs w:val="22"/>
                <w:lang w:val="el-GR"/>
              </w:rPr>
              <w:t>Πολύ σπάνι</w:t>
            </w:r>
            <w:r w:rsidR="00895EF1" w:rsidRPr="00055C43">
              <w:rPr>
                <w:rFonts w:ascii="Times New Roman" w:hAnsi="Times New Roman" w:cs="Times New Roman"/>
                <w:sz w:val="22"/>
                <w:szCs w:val="22"/>
                <w:lang w:val="el-GR"/>
              </w:rPr>
              <w:t>ες</w:t>
            </w:r>
            <w:r w:rsidRPr="00055C43">
              <w:rPr>
                <w:rFonts w:ascii="Times New Roman" w:hAnsi="Times New Roman" w:cs="Times New Roman"/>
                <w:sz w:val="22"/>
                <w:szCs w:val="22"/>
                <w:lang w:val="el-GR"/>
              </w:rPr>
              <w:t>: αύξηση κρεατινίνης στο αίμα</w:t>
            </w:r>
          </w:p>
        </w:tc>
      </w:tr>
    </w:tbl>
    <w:p w:rsidR="009250A3" w:rsidRPr="00C9363A" w:rsidRDefault="009250A3" w:rsidP="006979DD">
      <w:pPr>
        <w:pStyle w:val="AmmCorpsTexte"/>
        <w:autoSpaceDE w:val="0"/>
        <w:autoSpaceDN w:val="0"/>
        <w:adjustRightInd w:val="0"/>
        <w:spacing w:after="0"/>
        <w:rPr>
          <w:rFonts w:ascii="Times New Roman" w:hAnsi="Times New Roman" w:cs="Times New Roman"/>
          <w:sz w:val="22"/>
          <w:szCs w:val="22"/>
          <w:lang w:val="el-GR"/>
        </w:rPr>
      </w:pPr>
      <w:r w:rsidRPr="00C9363A">
        <w:rPr>
          <w:rFonts w:ascii="Times New Roman" w:hAnsi="Times New Roman" w:cs="Times New Roman"/>
          <w:sz w:val="22"/>
          <w:szCs w:val="22"/>
          <w:lang w:val="el-GR"/>
        </w:rPr>
        <w:t>*Εξετάσεις κατά τη διάρκεια των οποίων υπάρχει υψηλή συγκέντρωση ιωδιούχου σκιαγραφικού στο αρτηριακό αίμα του εγκεφάλου</w:t>
      </w:r>
    </w:p>
    <w:p w:rsidR="009250A3" w:rsidRPr="00C9363A" w:rsidRDefault="009250A3" w:rsidP="006979DD">
      <w:pPr>
        <w:pStyle w:val="AmmCorpsTexte"/>
        <w:autoSpaceDE w:val="0"/>
        <w:autoSpaceDN w:val="0"/>
        <w:adjustRightInd w:val="0"/>
        <w:spacing w:after="0"/>
        <w:rPr>
          <w:rFonts w:ascii="Times New Roman" w:hAnsi="Times New Roman" w:cs="Times New Roman"/>
          <w:sz w:val="22"/>
          <w:szCs w:val="22"/>
          <w:lang w:val="el-GR"/>
        </w:rPr>
      </w:pPr>
    </w:p>
    <w:p w:rsidR="009250A3" w:rsidRPr="006320B9" w:rsidRDefault="009250A3" w:rsidP="006979DD">
      <w:pPr>
        <w:pStyle w:val="AmmCorpsTexte"/>
        <w:spacing w:after="0"/>
        <w:rPr>
          <w:rFonts w:ascii="Times New Roman" w:hAnsi="Times New Roman" w:cs="Times New Roman"/>
          <w:sz w:val="22"/>
          <w:szCs w:val="22"/>
          <w:lang w:val="el-GR"/>
        </w:rPr>
      </w:pPr>
      <w:r w:rsidRPr="004C2CD3">
        <w:rPr>
          <w:rFonts w:ascii="Times New Roman" w:hAnsi="Times New Roman" w:cs="Times New Roman"/>
          <w:sz w:val="22"/>
          <w:szCs w:val="22"/>
          <w:lang w:val="el-GR"/>
        </w:rPr>
        <w:t>Οι παρακάτω ανεπιθύμ</w:t>
      </w:r>
      <w:r w:rsidRPr="0096489F">
        <w:rPr>
          <w:rFonts w:ascii="Times New Roman" w:hAnsi="Times New Roman" w:cs="Times New Roman"/>
          <w:sz w:val="22"/>
          <w:szCs w:val="22"/>
          <w:lang w:val="el-GR"/>
        </w:rPr>
        <w:t>ητες ενέργειες αναφέρθηκαν για άλλα υδατοδιαλυτά ιωδιούχα σκιαγραφικά.</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040"/>
      </w:tblGrid>
      <w:tr w:rsidR="009250A3" w:rsidRPr="00055C43">
        <w:tc>
          <w:tcPr>
            <w:tcW w:w="4248" w:type="dxa"/>
          </w:tcPr>
          <w:p w:rsidR="009250A3" w:rsidRPr="00C9363A" w:rsidRDefault="009250A3" w:rsidP="006979DD">
            <w:pPr>
              <w:pStyle w:val="AmmTableauTitre1"/>
              <w:spacing w:before="0" w:after="0"/>
              <w:jc w:val="left"/>
              <w:rPr>
                <w:rFonts w:ascii="Times New Roman" w:hAnsi="Times New Roman" w:cs="Times New Roman"/>
                <w:sz w:val="22"/>
                <w:szCs w:val="22"/>
                <w:lang w:val="el-GR"/>
              </w:rPr>
            </w:pPr>
            <w:r w:rsidRPr="00C9363A">
              <w:rPr>
                <w:rFonts w:ascii="Times New Roman" w:hAnsi="Times New Roman" w:cs="Times New Roman"/>
                <w:sz w:val="22"/>
                <w:szCs w:val="22"/>
                <w:lang w:val="el-GR"/>
              </w:rPr>
              <w:t>Κατηγορία οργάνου συστήματος</w:t>
            </w:r>
          </w:p>
        </w:tc>
        <w:tc>
          <w:tcPr>
            <w:tcW w:w="5040" w:type="dxa"/>
          </w:tcPr>
          <w:p w:rsidR="009250A3" w:rsidRPr="00C9363A" w:rsidRDefault="009250A3" w:rsidP="006979DD">
            <w:pPr>
              <w:pStyle w:val="AmmTableauTitre1"/>
              <w:spacing w:before="0" w:after="0"/>
              <w:rPr>
                <w:rFonts w:ascii="Times New Roman" w:hAnsi="Times New Roman" w:cs="Times New Roman"/>
                <w:sz w:val="22"/>
                <w:szCs w:val="22"/>
                <w:lang w:val="el-GR"/>
              </w:rPr>
            </w:pPr>
            <w:r w:rsidRPr="00C9363A">
              <w:rPr>
                <w:rFonts w:ascii="Times New Roman" w:hAnsi="Times New Roman" w:cs="Times New Roman"/>
                <w:sz w:val="22"/>
                <w:szCs w:val="22"/>
                <w:lang w:val="el-GR"/>
              </w:rPr>
              <w:t>Συχνότητα: ανεπιθύμητη ενέργεια</w:t>
            </w:r>
          </w:p>
        </w:tc>
      </w:tr>
      <w:tr w:rsidR="009250A3" w:rsidRPr="00055C43">
        <w:tc>
          <w:tcPr>
            <w:tcW w:w="4248" w:type="dxa"/>
          </w:tcPr>
          <w:p w:rsidR="009250A3" w:rsidRPr="00055C43" w:rsidRDefault="009250A3" w:rsidP="006979DD">
            <w:pPr>
              <w:pStyle w:val="AmmCorpsTexte"/>
              <w:spacing w:after="0"/>
              <w:jc w:val="left"/>
              <w:rPr>
                <w:rFonts w:ascii="Times New Roman" w:hAnsi="Times New Roman" w:cs="Times New Roman"/>
                <w:sz w:val="22"/>
                <w:szCs w:val="22"/>
                <w:lang w:val="el-GR"/>
              </w:rPr>
            </w:pPr>
            <w:r w:rsidRPr="00055C43">
              <w:rPr>
                <w:rFonts w:ascii="Times New Roman" w:hAnsi="Times New Roman" w:cs="Times New Roman"/>
                <w:sz w:val="22"/>
                <w:szCs w:val="22"/>
                <w:lang w:val="el-GR"/>
              </w:rPr>
              <w:t>Αγγειακές διαταραχές</w:t>
            </w:r>
          </w:p>
          <w:p w:rsidR="009250A3" w:rsidRPr="00055C43" w:rsidRDefault="009250A3" w:rsidP="006979DD">
            <w:pPr>
              <w:pStyle w:val="AmmCorpsTexte"/>
              <w:spacing w:after="0"/>
              <w:jc w:val="left"/>
              <w:rPr>
                <w:rFonts w:ascii="Times New Roman" w:hAnsi="Times New Roman" w:cs="Times New Roman"/>
                <w:sz w:val="22"/>
                <w:szCs w:val="22"/>
                <w:lang w:val="el-GR"/>
              </w:rPr>
            </w:pPr>
          </w:p>
        </w:tc>
        <w:tc>
          <w:tcPr>
            <w:tcW w:w="5040" w:type="dxa"/>
          </w:tcPr>
          <w:p w:rsidR="009250A3" w:rsidRPr="00055C43" w:rsidRDefault="009250A3" w:rsidP="006979DD">
            <w:pPr>
              <w:shd w:val="clear" w:color="auto" w:fill="FFFFFF"/>
              <w:tabs>
                <w:tab w:val="left" w:pos="284"/>
              </w:tabs>
              <w:jc w:val="both"/>
              <w:rPr>
                <w:sz w:val="22"/>
                <w:szCs w:val="22"/>
              </w:rPr>
            </w:pPr>
            <w:r w:rsidRPr="00055C43">
              <w:rPr>
                <w:sz w:val="22"/>
                <w:szCs w:val="22"/>
              </w:rPr>
              <w:t xml:space="preserve">Παράλυση, πάρεση, παραισθήσεις, διαταραχές </w:t>
            </w:r>
            <w:r w:rsidR="00895EF1" w:rsidRPr="00055C43">
              <w:rPr>
                <w:sz w:val="22"/>
                <w:szCs w:val="22"/>
              </w:rPr>
              <w:t>λόγου</w:t>
            </w:r>
          </w:p>
          <w:p w:rsidR="009250A3" w:rsidRPr="00055C43" w:rsidRDefault="009250A3" w:rsidP="006979DD">
            <w:pPr>
              <w:pStyle w:val="AmmCorpsTexte"/>
              <w:spacing w:after="0"/>
              <w:jc w:val="left"/>
              <w:rPr>
                <w:rFonts w:ascii="Times New Roman" w:hAnsi="Times New Roman" w:cs="Times New Roman"/>
                <w:sz w:val="22"/>
                <w:szCs w:val="22"/>
                <w:lang w:val="el-GR"/>
              </w:rPr>
            </w:pPr>
          </w:p>
        </w:tc>
      </w:tr>
      <w:tr w:rsidR="009250A3" w:rsidRPr="00055C43">
        <w:tc>
          <w:tcPr>
            <w:tcW w:w="4248" w:type="dxa"/>
          </w:tcPr>
          <w:p w:rsidR="009250A3" w:rsidRPr="00055C43" w:rsidRDefault="009250A3" w:rsidP="006979DD">
            <w:pPr>
              <w:pStyle w:val="AmmCorpsTexte"/>
              <w:spacing w:after="0"/>
              <w:jc w:val="left"/>
              <w:rPr>
                <w:rFonts w:ascii="Times New Roman" w:hAnsi="Times New Roman" w:cs="Times New Roman"/>
                <w:sz w:val="22"/>
                <w:szCs w:val="22"/>
                <w:lang w:val="el-GR"/>
              </w:rPr>
            </w:pPr>
            <w:r w:rsidRPr="00055C43">
              <w:rPr>
                <w:rFonts w:ascii="Times New Roman" w:hAnsi="Times New Roman" w:cs="Times New Roman"/>
                <w:sz w:val="22"/>
                <w:szCs w:val="22"/>
                <w:lang w:val="el-GR"/>
              </w:rPr>
              <w:t>Διαταραχές του γαστρεντερικού συστήματος</w:t>
            </w:r>
          </w:p>
        </w:tc>
        <w:tc>
          <w:tcPr>
            <w:tcW w:w="5040" w:type="dxa"/>
          </w:tcPr>
          <w:p w:rsidR="009250A3" w:rsidRPr="00055C43" w:rsidRDefault="009250A3" w:rsidP="006979DD">
            <w:pPr>
              <w:shd w:val="clear" w:color="auto" w:fill="FFFFFF"/>
              <w:tabs>
                <w:tab w:val="left" w:pos="284"/>
              </w:tabs>
              <w:jc w:val="both"/>
              <w:rPr>
                <w:sz w:val="22"/>
                <w:szCs w:val="22"/>
              </w:rPr>
            </w:pPr>
            <w:r w:rsidRPr="00055C43">
              <w:rPr>
                <w:sz w:val="22"/>
                <w:szCs w:val="22"/>
              </w:rPr>
              <w:t xml:space="preserve">Οξεία παγκρεατίτιδα (μετά από </w:t>
            </w:r>
            <w:r w:rsidR="006979DD" w:rsidRPr="00055C43">
              <w:rPr>
                <w:sz w:val="22"/>
                <w:szCs w:val="22"/>
              </w:rPr>
              <w:t xml:space="preserve">Ενδοσκοπική Παλίνδρομο Χολάγγειο-Παγκρεατογραφία, </w:t>
            </w:r>
            <w:r w:rsidRPr="00055C43">
              <w:rPr>
                <w:sz w:val="22"/>
                <w:szCs w:val="22"/>
              </w:rPr>
              <w:t xml:space="preserve">ERCP), κοιλιακό άλγος, διάρροια, διόγκωση παρωτίδων, υπερέκκριση σιέλου, δυσγευσία </w:t>
            </w:r>
          </w:p>
        </w:tc>
      </w:tr>
      <w:tr w:rsidR="009250A3" w:rsidRPr="00055C43">
        <w:tc>
          <w:tcPr>
            <w:tcW w:w="4248" w:type="dxa"/>
          </w:tcPr>
          <w:p w:rsidR="009250A3" w:rsidRPr="00055C43" w:rsidRDefault="009250A3" w:rsidP="006979DD">
            <w:pPr>
              <w:pStyle w:val="AmmCorpsTexte"/>
              <w:spacing w:after="0"/>
              <w:jc w:val="left"/>
              <w:rPr>
                <w:rFonts w:ascii="Times New Roman" w:hAnsi="Times New Roman" w:cs="Times New Roman"/>
                <w:sz w:val="22"/>
                <w:szCs w:val="22"/>
                <w:lang w:val="el-GR"/>
              </w:rPr>
            </w:pPr>
            <w:r w:rsidRPr="00055C43">
              <w:rPr>
                <w:rFonts w:ascii="Times New Roman" w:hAnsi="Times New Roman" w:cs="Times New Roman"/>
                <w:sz w:val="22"/>
                <w:szCs w:val="22"/>
                <w:lang w:val="el-GR"/>
              </w:rPr>
              <w:t>Διαταραχές του δέρματος και του υποδόριου ιστού</w:t>
            </w:r>
          </w:p>
        </w:tc>
        <w:tc>
          <w:tcPr>
            <w:tcW w:w="5040" w:type="dxa"/>
          </w:tcPr>
          <w:p w:rsidR="009250A3" w:rsidRPr="00055C43" w:rsidRDefault="009250A3" w:rsidP="006979DD">
            <w:pPr>
              <w:pStyle w:val="AmmCorpsTexte"/>
              <w:spacing w:after="0"/>
              <w:jc w:val="left"/>
              <w:rPr>
                <w:rFonts w:ascii="Times New Roman" w:hAnsi="Times New Roman" w:cs="Times New Roman"/>
                <w:sz w:val="22"/>
                <w:szCs w:val="22"/>
                <w:lang w:val="el-GR"/>
              </w:rPr>
            </w:pPr>
            <w:r w:rsidRPr="00055C43">
              <w:rPr>
                <w:rFonts w:ascii="Times New Roman" w:hAnsi="Times New Roman" w:cs="Times New Roman"/>
                <w:sz w:val="22"/>
                <w:szCs w:val="22"/>
                <w:lang w:val="el-GR"/>
              </w:rPr>
              <w:t>Πολύμορφο ερύθημα</w:t>
            </w:r>
          </w:p>
          <w:p w:rsidR="009250A3" w:rsidRPr="00055C43" w:rsidRDefault="009250A3" w:rsidP="006979DD">
            <w:pPr>
              <w:pStyle w:val="AmmCorpsTexte"/>
              <w:spacing w:after="0"/>
              <w:jc w:val="left"/>
              <w:rPr>
                <w:rFonts w:ascii="Times New Roman" w:hAnsi="Times New Roman" w:cs="Times New Roman"/>
                <w:sz w:val="22"/>
                <w:szCs w:val="22"/>
                <w:lang w:val="el-GR"/>
              </w:rPr>
            </w:pPr>
          </w:p>
        </w:tc>
      </w:tr>
      <w:tr w:rsidR="009250A3" w:rsidRPr="00055C43">
        <w:tc>
          <w:tcPr>
            <w:tcW w:w="4248" w:type="dxa"/>
          </w:tcPr>
          <w:p w:rsidR="009250A3" w:rsidRPr="00055C43" w:rsidRDefault="009250A3" w:rsidP="006979DD">
            <w:pPr>
              <w:pStyle w:val="AmmCorpsTexte"/>
              <w:spacing w:after="0"/>
              <w:jc w:val="left"/>
              <w:rPr>
                <w:rFonts w:ascii="Times New Roman" w:hAnsi="Times New Roman" w:cs="Times New Roman"/>
                <w:sz w:val="22"/>
                <w:szCs w:val="22"/>
                <w:lang w:val="el-GR"/>
              </w:rPr>
            </w:pPr>
            <w:r w:rsidRPr="00055C43">
              <w:rPr>
                <w:rFonts w:ascii="Times New Roman" w:hAnsi="Times New Roman" w:cs="Times New Roman"/>
                <w:sz w:val="22"/>
                <w:szCs w:val="22"/>
                <w:lang w:val="el-GR"/>
              </w:rPr>
              <w:t>Γενικές διαταραχές και καταστάσεις της οδού χορήγησης</w:t>
            </w:r>
          </w:p>
          <w:p w:rsidR="009250A3" w:rsidRPr="00055C43" w:rsidRDefault="009250A3" w:rsidP="006979DD">
            <w:pPr>
              <w:pStyle w:val="AmmCorpsTexte"/>
              <w:spacing w:after="0"/>
              <w:jc w:val="left"/>
              <w:rPr>
                <w:rFonts w:ascii="Times New Roman" w:hAnsi="Times New Roman" w:cs="Times New Roman"/>
                <w:sz w:val="22"/>
                <w:szCs w:val="22"/>
                <w:lang w:val="el-GR"/>
              </w:rPr>
            </w:pPr>
          </w:p>
        </w:tc>
        <w:tc>
          <w:tcPr>
            <w:tcW w:w="5040" w:type="dxa"/>
          </w:tcPr>
          <w:p w:rsidR="009250A3" w:rsidRPr="00055C43" w:rsidRDefault="009250A3" w:rsidP="006979DD">
            <w:pPr>
              <w:pStyle w:val="AmmCorpsTexte"/>
              <w:spacing w:after="0"/>
              <w:jc w:val="left"/>
              <w:rPr>
                <w:rFonts w:ascii="Times New Roman" w:hAnsi="Times New Roman" w:cs="Times New Roman"/>
                <w:sz w:val="22"/>
                <w:szCs w:val="22"/>
                <w:lang w:val="el-GR"/>
              </w:rPr>
            </w:pPr>
            <w:r w:rsidRPr="00055C43">
              <w:rPr>
                <w:rFonts w:ascii="Times New Roman" w:hAnsi="Times New Roman" w:cs="Times New Roman"/>
                <w:sz w:val="22"/>
                <w:szCs w:val="22"/>
                <w:lang w:val="el-GR"/>
              </w:rPr>
              <w:t>Θρομβοφλεβίτιδα</w:t>
            </w:r>
          </w:p>
        </w:tc>
      </w:tr>
      <w:tr w:rsidR="009250A3" w:rsidRPr="00055C43">
        <w:tc>
          <w:tcPr>
            <w:tcW w:w="4248" w:type="dxa"/>
          </w:tcPr>
          <w:p w:rsidR="009250A3" w:rsidRPr="00055C43" w:rsidRDefault="006979DD" w:rsidP="006979DD">
            <w:pPr>
              <w:pStyle w:val="AmmCorpsTexte"/>
              <w:spacing w:after="0"/>
              <w:jc w:val="left"/>
              <w:rPr>
                <w:rFonts w:ascii="Times New Roman" w:hAnsi="Times New Roman" w:cs="Times New Roman"/>
                <w:sz w:val="22"/>
                <w:szCs w:val="22"/>
                <w:lang w:val="el-GR"/>
              </w:rPr>
            </w:pPr>
            <w:r w:rsidRPr="00055C43">
              <w:rPr>
                <w:rFonts w:ascii="Times New Roman" w:hAnsi="Times New Roman" w:cs="Times New Roman"/>
                <w:sz w:val="22"/>
                <w:szCs w:val="22"/>
                <w:lang w:val="el-GR"/>
              </w:rPr>
              <w:t>Έρευνες</w:t>
            </w:r>
          </w:p>
        </w:tc>
        <w:tc>
          <w:tcPr>
            <w:tcW w:w="5040" w:type="dxa"/>
          </w:tcPr>
          <w:p w:rsidR="009250A3" w:rsidRPr="00055C43" w:rsidRDefault="009250A3" w:rsidP="006979DD">
            <w:pPr>
              <w:pStyle w:val="AmmCorpsTexte"/>
              <w:spacing w:after="0"/>
              <w:jc w:val="left"/>
              <w:rPr>
                <w:rFonts w:ascii="Times New Roman" w:hAnsi="Times New Roman" w:cs="Times New Roman"/>
                <w:sz w:val="22"/>
                <w:szCs w:val="22"/>
                <w:lang w:val="el-GR"/>
              </w:rPr>
            </w:pPr>
            <w:r w:rsidRPr="00055C43">
              <w:rPr>
                <w:rFonts w:ascii="Times New Roman" w:hAnsi="Times New Roman" w:cs="Times New Roman"/>
                <w:sz w:val="22"/>
                <w:szCs w:val="22"/>
                <w:lang w:val="el-GR"/>
              </w:rPr>
              <w:t>Μη φυσιολογικό ηλεκτροεγκεφαλογράφημα, αυξημένο επίπεδο αμυλάσης στο αίμα</w:t>
            </w:r>
          </w:p>
        </w:tc>
      </w:tr>
    </w:tbl>
    <w:p w:rsidR="009250A3" w:rsidRPr="00C9363A" w:rsidRDefault="009250A3" w:rsidP="006979DD">
      <w:pPr>
        <w:pStyle w:val="a7"/>
        <w:spacing w:before="0"/>
        <w:rPr>
          <w:rFonts w:ascii="Times New Roman" w:hAnsi="Times New Roman" w:cs="Times New Roman"/>
          <w:sz w:val="22"/>
          <w:szCs w:val="22"/>
          <w:lang w:val="el-GR"/>
        </w:rPr>
      </w:pPr>
    </w:p>
    <w:p w:rsidR="006979DD" w:rsidRPr="006320B9" w:rsidRDefault="009250A3" w:rsidP="006979DD">
      <w:pPr>
        <w:pStyle w:val="a7"/>
        <w:spacing w:before="0"/>
        <w:rPr>
          <w:rFonts w:ascii="Times New Roman" w:hAnsi="Times New Roman" w:cs="Times New Roman"/>
          <w:sz w:val="22"/>
          <w:szCs w:val="22"/>
          <w:lang w:val="el-GR"/>
        </w:rPr>
      </w:pPr>
      <w:r w:rsidRPr="00C9363A">
        <w:rPr>
          <w:rFonts w:ascii="Times New Roman" w:hAnsi="Times New Roman" w:cs="Times New Roman"/>
          <w:sz w:val="22"/>
          <w:szCs w:val="22"/>
          <w:lang w:val="el-GR"/>
        </w:rPr>
        <w:t>Καρδιαγγειακή κατ</w:t>
      </w:r>
      <w:r w:rsidR="00055C43">
        <w:rPr>
          <w:rFonts w:ascii="Times New Roman" w:hAnsi="Times New Roman" w:cs="Times New Roman"/>
          <w:sz w:val="22"/>
          <w:szCs w:val="22"/>
          <w:lang w:val="el-GR"/>
        </w:rPr>
        <w:t>ά</w:t>
      </w:r>
      <w:r w:rsidRPr="00C9363A">
        <w:rPr>
          <w:rFonts w:ascii="Times New Roman" w:hAnsi="Times New Roman" w:cs="Times New Roman"/>
          <w:sz w:val="22"/>
          <w:szCs w:val="22"/>
          <w:lang w:val="el-GR"/>
        </w:rPr>
        <w:t>ρρειψη ποικίλης σοβαρότητας ενδέχεται να παρατηρηθεί αμέσως χωρίς προειδοποιητικ</w:t>
      </w:r>
      <w:r w:rsidR="00895EF1" w:rsidRPr="004C2CD3">
        <w:rPr>
          <w:rFonts w:ascii="Times New Roman" w:hAnsi="Times New Roman" w:cs="Times New Roman"/>
          <w:sz w:val="22"/>
          <w:szCs w:val="22"/>
          <w:lang w:val="el-GR"/>
        </w:rPr>
        <w:t>ά σημεία</w:t>
      </w:r>
      <w:r w:rsidRPr="0096489F">
        <w:rPr>
          <w:rFonts w:ascii="Times New Roman" w:hAnsi="Times New Roman" w:cs="Times New Roman"/>
          <w:sz w:val="22"/>
          <w:szCs w:val="22"/>
          <w:lang w:val="el-GR"/>
        </w:rPr>
        <w:t xml:space="preserve"> ή μπορεί να περιπλέξει τ</w:t>
      </w:r>
      <w:r w:rsidRPr="00B25D25">
        <w:rPr>
          <w:rFonts w:ascii="Times New Roman" w:hAnsi="Times New Roman" w:cs="Times New Roman"/>
          <w:sz w:val="22"/>
          <w:szCs w:val="22"/>
          <w:lang w:val="el-GR"/>
        </w:rPr>
        <w:t xml:space="preserve">ις καρδιαγγειακές </w:t>
      </w:r>
      <w:r w:rsidR="006979DD" w:rsidRPr="003165BA">
        <w:rPr>
          <w:rFonts w:ascii="Times New Roman" w:hAnsi="Times New Roman" w:cs="Times New Roman"/>
          <w:sz w:val="22"/>
          <w:szCs w:val="22"/>
          <w:lang w:val="el-GR"/>
        </w:rPr>
        <w:t>εκδηλώσεις</w:t>
      </w:r>
      <w:r w:rsidRPr="007701A8">
        <w:rPr>
          <w:rFonts w:ascii="Times New Roman" w:hAnsi="Times New Roman" w:cs="Times New Roman"/>
          <w:sz w:val="22"/>
          <w:szCs w:val="22"/>
          <w:lang w:val="el-GR"/>
        </w:rPr>
        <w:t xml:space="preserve"> που αναφέρθηκαν στον παραπάνω πίνακα.</w:t>
      </w:r>
    </w:p>
    <w:p w:rsidR="006979DD" w:rsidRPr="006320B9" w:rsidRDefault="009250A3" w:rsidP="006979DD">
      <w:pPr>
        <w:shd w:val="clear" w:color="auto" w:fill="FFFFFF"/>
        <w:tabs>
          <w:tab w:val="left" w:pos="284"/>
        </w:tabs>
        <w:jc w:val="both"/>
        <w:rPr>
          <w:sz w:val="22"/>
          <w:szCs w:val="22"/>
          <w:u w:val="single"/>
        </w:rPr>
      </w:pPr>
      <w:r w:rsidRPr="00F2281C">
        <w:rPr>
          <w:sz w:val="22"/>
          <w:szCs w:val="22"/>
        </w:rPr>
        <w:t>Το κοιλιακό άλγος και η διάρροια, τα οποία δεν έχουν αναφερθεί για το Xenetix, συνδέονται κυρίως με τη χορήγηση μέσω της στοματικής ή της ορθικής οδού.</w:t>
      </w:r>
      <w:r w:rsidRPr="00F2281C">
        <w:rPr>
          <w:sz w:val="22"/>
          <w:szCs w:val="22"/>
          <w:u w:val="single"/>
        </w:rPr>
        <w:t xml:space="preserve"> </w:t>
      </w:r>
    </w:p>
    <w:p w:rsidR="006979DD" w:rsidRPr="006320B9" w:rsidRDefault="009250A3" w:rsidP="006979DD">
      <w:pPr>
        <w:shd w:val="clear" w:color="auto" w:fill="FFFFFF"/>
        <w:tabs>
          <w:tab w:val="left" w:pos="284"/>
        </w:tabs>
        <w:jc w:val="both"/>
        <w:rPr>
          <w:sz w:val="22"/>
          <w:szCs w:val="22"/>
          <w:lang w:val="en-US"/>
        </w:rPr>
      </w:pPr>
      <w:r w:rsidRPr="0068100B">
        <w:rPr>
          <w:sz w:val="22"/>
          <w:szCs w:val="22"/>
        </w:rPr>
        <w:t>Ενδέχεται να παρατηρηθεί τοπικό άλ</w:t>
      </w:r>
      <w:r w:rsidRPr="00BF0EF5">
        <w:rPr>
          <w:sz w:val="22"/>
          <w:szCs w:val="22"/>
        </w:rPr>
        <w:t xml:space="preserve">γος και οίδημα στο σημείο </w:t>
      </w:r>
      <w:r w:rsidR="006979DD" w:rsidRPr="00055C43">
        <w:rPr>
          <w:sz w:val="22"/>
          <w:szCs w:val="22"/>
        </w:rPr>
        <w:t>της ένεσης</w:t>
      </w:r>
      <w:r w:rsidRPr="00055C43">
        <w:rPr>
          <w:sz w:val="22"/>
          <w:szCs w:val="22"/>
        </w:rPr>
        <w:t xml:space="preserve"> του εγχυόμενου προϊόντος χωρίς εξαγγείωση και είναι καλοήθη και παροδικά.</w:t>
      </w:r>
    </w:p>
    <w:p w:rsidR="009250A3" w:rsidRPr="00055C43" w:rsidRDefault="009250A3" w:rsidP="006979DD">
      <w:pPr>
        <w:shd w:val="clear" w:color="auto" w:fill="FFFFFF"/>
        <w:tabs>
          <w:tab w:val="left" w:pos="284"/>
        </w:tabs>
        <w:jc w:val="both"/>
        <w:rPr>
          <w:sz w:val="22"/>
          <w:szCs w:val="22"/>
        </w:rPr>
      </w:pPr>
      <w:r w:rsidRPr="00055C43">
        <w:rPr>
          <w:sz w:val="22"/>
          <w:szCs w:val="22"/>
        </w:rPr>
        <w:t>Κατά τη διάρκεια της ενδαρτηριακής χορήγησης, η αίσθηση του άλγους στο σημείο της έ</w:t>
      </w:r>
      <w:r w:rsidR="006979DD" w:rsidRPr="00055C43">
        <w:rPr>
          <w:sz w:val="22"/>
          <w:szCs w:val="22"/>
        </w:rPr>
        <w:t>νεσης</w:t>
      </w:r>
      <w:r w:rsidRPr="00055C43">
        <w:rPr>
          <w:sz w:val="22"/>
          <w:szCs w:val="22"/>
        </w:rPr>
        <w:t xml:space="preserve"> εξαρτάται από την ωσμωτικότητα του εγχυόμενου προϊόντος.</w:t>
      </w:r>
    </w:p>
    <w:p w:rsidR="009250A3" w:rsidRPr="00055C43" w:rsidRDefault="009250A3" w:rsidP="006979DD">
      <w:pPr>
        <w:shd w:val="clear" w:color="auto" w:fill="FFFFFF"/>
        <w:tabs>
          <w:tab w:val="left" w:pos="284"/>
        </w:tabs>
        <w:jc w:val="both"/>
        <w:rPr>
          <w:sz w:val="22"/>
          <w:szCs w:val="22"/>
          <w:lang w:val="fr-FR"/>
        </w:rPr>
      </w:pPr>
    </w:p>
    <w:p w:rsidR="006979DD" w:rsidRPr="006320B9" w:rsidRDefault="00E21AD8" w:rsidP="006979DD">
      <w:pPr>
        <w:jc w:val="both"/>
        <w:rPr>
          <w:sz w:val="22"/>
          <w:szCs w:val="22"/>
        </w:rPr>
      </w:pPr>
      <w:r w:rsidRPr="00055C43">
        <w:rPr>
          <w:sz w:val="22"/>
          <w:szCs w:val="22"/>
          <w:u w:val="single"/>
        </w:rPr>
        <w:t>Ανεπιθύμητες ενέργειες</w:t>
      </w:r>
      <w:r w:rsidR="009250A3" w:rsidRPr="00055C43">
        <w:rPr>
          <w:sz w:val="22"/>
          <w:szCs w:val="22"/>
        </w:rPr>
        <w:t xml:space="preserve"> που σχετίζονται με συγκεκριμένες εξετάσεις:</w:t>
      </w:r>
    </w:p>
    <w:p w:rsidR="009250A3" w:rsidRPr="00055C43" w:rsidRDefault="009250A3" w:rsidP="006979DD">
      <w:pPr>
        <w:jc w:val="both"/>
        <w:rPr>
          <w:sz w:val="22"/>
          <w:szCs w:val="22"/>
        </w:rPr>
      </w:pPr>
      <w:r w:rsidRPr="00055C43">
        <w:rPr>
          <w:sz w:val="22"/>
          <w:szCs w:val="22"/>
        </w:rPr>
        <w:t>- Αρθρογρ</w:t>
      </w:r>
      <w:r w:rsidR="006979DD" w:rsidRPr="00055C43">
        <w:rPr>
          <w:sz w:val="22"/>
          <w:szCs w:val="22"/>
        </w:rPr>
        <w:t>αφία</w:t>
      </w:r>
      <w:r w:rsidRPr="00055C43">
        <w:rPr>
          <w:sz w:val="22"/>
          <w:szCs w:val="22"/>
        </w:rPr>
        <w:t>: Η αρθραλγία ήταν συχνά παρατηρούμενη κατά τη διάρκεια των κλινικών δοκιμών (4%).</w:t>
      </w:r>
    </w:p>
    <w:p w:rsidR="009250A3" w:rsidRPr="00055C43" w:rsidRDefault="009250A3" w:rsidP="006979DD">
      <w:pPr>
        <w:shd w:val="clear" w:color="auto" w:fill="FFFFFF"/>
        <w:tabs>
          <w:tab w:val="left" w:pos="284"/>
        </w:tabs>
        <w:jc w:val="both"/>
        <w:rPr>
          <w:sz w:val="22"/>
          <w:szCs w:val="22"/>
        </w:rPr>
      </w:pPr>
      <w:r w:rsidRPr="00055C43">
        <w:rPr>
          <w:sz w:val="22"/>
          <w:szCs w:val="22"/>
        </w:rPr>
        <w:t xml:space="preserve">- Υστεροσαλπιγγογραφία: </w:t>
      </w:r>
      <w:r w:rsidR="006979DD" w:rsidRPr="00055C43">
        <w:rPr>
          <w:sz w:val="22"/>
          <w:szCs w:val="22"/>
        </w:rPr>
        <w:t>Ο π</w:t>
      </w:r>
      <w:r w:rsidRPr="00055C43">
        <w:rPr>
          <w:sz w:val="22"/>
          <w:szCs w:val="22"/>
        </w:rPr>
        <w:t>υελικός πόνος ήταν συχνά παρατηρούμενος κατά τη διάρκεια των κλινικών δοκιμών (3%).</w:t>
      </w:r>
    </w:p>
    <w:p w:rsidR="009250A3" w:rsidRPr="00055C43" w:rsidRDefault="009250A3" w:rsidP="006979DD">
      <w:pPr>
        <w:shd w:val="clear" w:color="auto" w:fill="FFFFFF"/>
        <w:tabs>
          <w:tab w:val="left" w:pos="284"/>
        </w:tabs>
        <w:jc w:val="both"/>
        <w:rPr>
          <w:sz w:val="22"/>
          <w:szCs w:val="22"/>
        </w:rPr>
      </w:pPr>
    </w:p>
    <w:p w:rsidR="00895EF1" w:rsidRPr="006320B9" w:rsidRDefault="009250A3" w:rsidP="006979DD">
      <w:pPr>
        <w:pStyle w:val="AmmCorpsTexte"/>
        <w:spacing w:after="0"/>
        <w:rPr>
          <w:rFonts w:ascii="Times New Roman" w:hAnsi="Times New Roman" w:cs="Times New Roman"/>
          <w:sz w:val="22"/>
          <w:szCs w:val="22"/>
          <w:u w:val="single"/>
          <w:lang w:val="en-US"/>
        </w:rPr>
      </w:pPr>
      <w:r w:rsidRPr="00055C43">
        <w:rPr>
          <w:rFonts w:ascii="Times New Roman" w:hAnsi="Times New Roman" w:cs="Times New Roman"/>
          <w:sz w:val="22"/>
          <w:szCs w:val="22"/>
          <w:u w:val="single"/>
          <w:lang w:val="el-GR"/>
        </w:rPr>
        <w:t>Ανεπιθύμητες ενέργειες σε παιδιά</w:t>
      </w:r>
    </w:p>
    <w:p w:rsidR="009250A3" w:rsidRPr="00055C43" w:rsidRDefault="009250A3" w:rsidP="006979DD">
      <w:pPr>
        <w:pStyle w:val="AmmCorpsTexte"/>
        <w:spacing w:after="0"/>
        <w:rPr>
          <w:rFonts w:ascii="Times New Roman" w:hAnsi="Times New Roman" w:cs="Times New Roman"/>
          <w:sz w:val="22"/>
          <w:szCs w:val="22"/>
          <w:lang w:val="el-GR"/>
        </w:rPr>
      </w:pPr>
      <w:r w:rsidRPr="00055C43">
        <w:rPr>
          <w:rFonts w:ascii="Times New Roman" w:hAnsi="Times New Roman" w:cs="Times New Roman"/>
          <w:sz w:val="22"/>
          <w:szCs w:val="22"/>
          <w:lang w:val="el-GR"/>
        </w:rPr>
        <w:t>Η αναμενόμενη φύση των ανεπιθύμητων ενεργειών που συνδέονται με το Xenetix είναι ίδια με εκείνη των ανεπιθύμητων ενεργειών που αναφέρονται σε ενήλικες. Η συχνότητά τους δεν μπορεί να υπολογιστεί βάσει των διαθέσιμων στοιχείων.</w:t>
      </w:r>
    </w:p>
    <w:p w:rsidR="009250A3" w:rsidRPr="00055C43" w:rsidRDefault="009250A3" w:rsidP="006979DD">
      <w:pPr>
        <w:rPr>
          <w:sz w:val="22"/>
          <w:szCs w:val="22"/>
        </w:rPr>
      </w:pPr>
    </w:p>
    <w:p w:rsidR="009250A3" w:rsidRPr="006320B9" w:rsidRDefault="006979DD" w:rsidP="006979DD">
      <w:pPr>
        <w:rPr>
          <w:b/>
          <w:bCs/>
          <w:sz w:val="22"/>
          <w:szCs w:val="22"/>
          <w:lang w:val="en-US"/>
        </w:rPr>
      </w:pPr>
      <w:r w:rsidRPr="00055C43">
        <w:rPr>
          <w:b/>
          <w:bCs/>
          <w:sz w:val="22"/>
          <w:szCs w:val="22"/>
        </w:rPr>
        <w:t>4.9</w:t>
      </w:r>
      <w:r w:rsidRPr="00055C43">
        <w:rPr>
          <w:b/>
          <w:bCs/>
          <w:sz w:val="22"/>
          <w:szCs w:val="22"/>
        </w:rPr>
        <w:tab/>
      </w:r>
      <w:r w:rsidR="009250A3" w:rsidRPr="00055C43">
        <w:rPr>
          <w:b/>
          <w:bCs/>
          <w:sz w:val="22"/>
          <w:szCs w:val="22"/>
        </w:rPr>
        <w:t>Υπερδοσολογία</w:t>
      </w:r>
    </w:p>
    <w:p w:rsidR="009250A3" w:rsidRPr="00055C43" w:rsidRDefault="009250A3" w:rsidP="006979DD">
      <w:pPr>
        <w:rPr>
          <w:sz w:val="22"/>
          <w:szCs w:val="22"/>
        </w:rPr>
      </w:pPr>
      <w:r w:rsidRPr="00055C43">
        <w:rPr>
          <w:sz w:val="22"/>
          <w:szCs w:val="22"/>
        </w:rPr>
        <w:t xml:space="preserve"> Σε περίπτωση χορήγησης πολύ υψηλής δόσης σκιαγραφικού, η απώλεια νερού και ηλεκτρολυτών</w:t>
      </w:r>
      <w:r w:rsidR="006979DD" w:rsidRPr="00055C43">
        <w:rPr>
          <w:sz w:val="22"/>
          <w:szCs w:val="22"/>
        </w:rPr>
        <w:t xml:space="preserve"> πρέπει</w:t>
      </w:r>
      <w:r w:rsidRPr="00055C43">
        <w:rPr>
          <w:sz w:val="22"/>
          <w:szCs w:val="22"/>
        </w:rPr>
        <w:t xml:space="preserve"> να αντισταθμιστεί με κατάλληλη επανυδάτωση. Η νεφρική λειτουργία πρέπει να παρακολουθείται για τουλάχιστον τρεις ημέρες. Μπορεί να πραγματοποιηθεί αιμοκάθαρση, εάν απαιτείται.</w:t>
      </w:r>
    </w:p>
    <w:p w:rsidR="009250A3" w:rsidRPr="006320B9" w:rsidRDefault="009250A3" w:rsidP="006979DD">
      <w:pPr>
        <w:pStyle w:val="a4"/>
        <w:rPr>
          <w:sz w:val="22"/>
          <w:szCs w:val="22"/>
          <w:lang w:val="en-US"/>
        </w:rPr>
      </w:pPr>
    </w:p>
    <w:p w:rsidR="006979DD" w:rsidRPr="006320B9" w:rsidRDefault="009250A3" w:rsidP="006979DD">
      <w:pPr>
        <w:rPr>
          <w:b/>
          <w:bCs/>
          <w:sz w:val="22"/>
          <w:szCs w:val="22"/>
          <w:lang w:val="en-US"/>
        </w:rPr>
      </w:pPr>
      <w:r w:rsidRPr="00055C43">
        <w:rPr>
          <w:b/>
          <w:bCs/>
          <w:sz w:val="22"/>
          <w:szCs w:val="22"/>
        </w:rPr>
        <w:t>5.</w:t>
      </w:r>
      <w:r w:rsidRPr="00055C43">
        <w:rPr>
          <w:b/>
          <w:bCs/>
          <w:sz w:val="22"/>
          <w:szCs w:val="22"/>
          <w:lang w:val="fr-FR"/>
        </w:rPr>
        <w:t xml:space="preserve">      </w:t>
      </w:r>
      <w:r w:rsidR="00E21AD8" w:rsidRPr="00055C43">
        <w:rPr>
          <w:b/>
          <w:bCs/>
          <w:sz w:val="22"/>
          <w:szCs w:val="22"/>
          <w:lang w:val="fr-FR"/>
        </w:rPr>
        <w:tab/>
      </w:r>
      <w:r w:rsidRPr="00055C43">
        <w:rPr>
          <w:b/>
          <w:bCs/>
          <w:sz w:val="22"/>
          <w:szCs w:val="22"/>
        </w:rPr>
        <w:t>ΦΑΡΜΑΚΟΛΟΓΙΚΕΣ ΙΔΙΟΤΗΤΕΣ</w:t>
      </w:r>
    </w:p>
    <w:p w:rsidR="009250A3" w:rsidRPr="006320B9" w:rsidRDefault="009250A3" w:rsidP="006979DD">
      <w:pPr>
        <w:numPr>
          <w:ilvl w:val="1"/>
          <w:numId w:val="11"/>
        </w:numPr>
        <w:ind w:left="0" w:firstLine="0"/>
        <w:rPr>
          <w:b/>
          <w:bCs/>
          <w:sz w:val="22"/>
          <w:szCs w:val="22"/>
        </w:rPr>
      </w:pPr>
      <w:r w:rsidRPr="00055C43">
        <w:rPr>
          <w:b/>
          <w:bCs/>
          <w:sz w:val="22"/>
          <w:szCs w:val="22"/>
        </w:rPr>
        <w:t>Φαρμακοδυναμικές ιδιότητες</w:t>
      </w:r>
    </w:p>
    <w:p w:rsidR="009250A3" w:rsidRPr="006320B9" w:rsidRDefault="009250A3" w:rsidP="006979DD">
      <w:pPr>
        <w:rPr>
          <w:sz w:val="22"/>
          <w:szCs w:val="22"/>
        </w:rPr>
      </w:pPr>
      <w:r w:rsidRPr="00055C43">
        <w:rPr>
          <w:sz w:val="22"/>
          <w:szCs w:val="22"/>
        </w:rPr>
        <w:t xml:space="preserve">Το </w:t>
      </w:r>
      <w:proofErr w:type="spellStart"/>
      <w:r w:rsidRPr="00055C43">
        <w:rPr>
          <w:sz w:val="22"/>
          <w:szCs w:val="22"/>
          <w:lang w:val="fr-FR"/>
        </w:rPr>
        <w:t>Xenetix</w:t>
      </w:r>
      <w:proofErr w:type="spellEnd"/>
      <w:r w:rsidRPr="00055C43">
        <w:rPr>
          <w:sz w:val="22"/>
          <w:szCs w:val="22"/>
        </w:rPr>
        <w:t xml:space="preserve"> 300 είναι μη ιονικό, υδατοδιαλυτό, τρι-ιωδιούχο χαμηλής οσμωτικότητας σκιαγραφικό μέσο για ουρο-αγγειακές εξετάσεις. Το μόριο </w:t>
      </w:r>
      <w:r w:rsidR="006979DD" w:rsidRPr="00055C43">
        <w:rPr>
          <w:sz w:val="22"/>
          <w:szCs w:val="22"/>
        </w:rPr>
        <w:t>της ιοβιτριδόλης</w:t>
      </w:r>
      <w:r w:rsidRPr="00055C43">
        <w:rPr>
          <w:sz w:val="22"/>
          <w:szCs w:val="22"/>
        </w:rPr>
        <w:t xml:space="preserve"> χαρακτηρίζεται από την εξισορροπημένη και τη σταθερή υδροφιλία του.</w:t>
      </w:r>
    </w:p>
    <w:p w:rsidR="009250A3" w:rsidRPr="00055C43" w:rsidRDefault="009250A3" w:rsidP="006979DD">
      <w:pPr>
        <w:rPr>
          <w:sz w:val="22"/>
          <w:szCs w:val="22"/>
        </w:rPr>
      </w:pPr>
      <w:r w:rsidRPr="00055C43">
        <w:rPr>
          <w:sz w:val="22"/>
          <w:szCs w:val="22"/>
        </w:rPr>
        <w:t xml:space="preserve">Η </w:t>
      </w:r>
      <w:r w:rsidR="00895EF1" w:rsidRPr="00055C43">
        <w:rPr>
          <w:sz w:val="22"/>
          <w:szCs w:val="22"/>
        </w:rPr>
        <w:t>μελέτη για τη</w:t>
      </w:r>
      <w:r w:rsidRPr="00055C43">
        <w:rPr>
          <w:sz w:val="22"/>
          <w:szCs w:val="22"/>
        </w:rPr>
        <w:t xml:space="preserve"> </w:t>
      </w:r>
      <w:r w:rsidR="006979DD" w:rsidRPr="00055C43">
        <w:rPr>
          <w:sz w:val="22"/>
          <w:szCs w:val="22"/>
        </w:rPr>
        <w:t>συν</w:t>
      </w:r>
      <w:r w:rsidRPr="00055C43">
        <w:rPr>
          <w:sz w:val="22"/>
          <w:szCs w:val="22"/>
        </w:rPr>
        <w:t xml:space="preserve">ολική ασφάλεια όσον αφορά στις αιμοδυναμικές, καρδιαγγειακές, βρογχοπνευμονικές, νεφρικές, νευρολογικές και αιμορρεολογικές παραμέτρους, έδειξε ότι το προφίλ </w:t>
      </w:r>
      <w:r w:rsidR="006979DD" w:rsidRPr="00055C43">
        <w:rPr>
          <w:sz w:val="22"/>
          <w:szCs w:val="22"/>
        </w:rPr>
        <w:t xml:space="preserve">της </w:t>
      </w:r>
      <w:r w:rsidR="006979DD" w:rsidRPr="00055C43">
        <w:rPr>
          <w:bCs/>
          <w:sz w:val="22"/>
          <w:szCs w:val="22"/>
        </w:rPr>
        <w:t>ιοβιτριδόλης</w:t>
      </w:r>
      <w:r w:rsidR="006979DD" w:rsidRPr="00055C43">
        <w:rPr>
          <w:sz w:val="22"/>
          <w:szCs w:val="22"/>
        </w:rPr>
        <w:t xml:space="preserve"> </w:t>
      </w:r>
      <w:r w:rsidRPr="00055C43">
        <w:rPr>
          <w:sz w:val="22"/>
          <w:szCs w:val="22"/>
        </w:rPr>
        <w:t xml:space="preserve"> είναι ίδιο ή ανώτερο αυτού των μη ιονικών υδατοδιαλυτών τρι-ιωδιούχων χαμηλής οσμωτικότητας σκιαγραφικών μέσων, κυρίως </w:t>
      </w:r>
      <w:r w:rsidR="006979DD" w:rsidRPr="00055C43">
        <w:rPr>
          <w:sz w:val="22"/>
          <w:szCs w:val="22"/>
        </w:rPr>
        <w:t>ως προς τις</w:t>
      </w:r>
      <w:r w:rsidRPr="00055C43">
        <w:rPr>
          <w:sz w:val="22"/>
          <w:szCs w:val="22"/>
        </w:rPr>
        <w:t xml:space="preserve"> καρδιαγγειακές και νευρολογικές παραμέτρους ή συγκρίσιμο με εκείνο ενός διαλύματος αναφοράς (νεφρική ασφάλεια).</w:t>
      </w:r>
    </w:p>
    <w:p w:rsidR="009250A3" w:rsidRPr="00055C43" w:rsidRDefault="009250A3" w:rsidP="006979DD">
      <w:pPr>
        <w:rPr>
          <w:sz w:val="22"/>
          <w:szCs w:val="22"/>
          <w:lang w:val="fr-FR"/>
        </w:rPr>
      </w:pPr>
    </w:p>
    <w:p w:rsidR="009250A3" w:rsidRPr="006320B9" w:rsidRDefault="009250A3" w:rsidP="006979DD">
      <w:pPr>
        <w:numPr>
          <w:ilvl w:val="1"/>
          <w:numId w:val="11"/>
        </w:numPr>
        <w:ind w:left="0" w:firstLine="0"/>
        <w:rPr>
          <w:b/>
          <w:sz w:val="22"/>
          <w:szCs w:val="22"/>
        </w:rPr>
      </w:pPr>
      <w:r w:rsidRPr="00055C43">
        <w:rPr>
          <w:b/>
          <w:bCs/>
          <w:sz w:val="22"/>
          <w:szCs w:val="22"/>
        </w:rPr>
        <w:t xml:space="preserve">Φαρμακοκινητικές ιδιότητες </w:t>
      </w:r>
    </w:p>
    <w:p w:rsidR="009250A3" w:rsidRPr="00055C43" w:rsidRDefault="009250A3" w:rsidP="006979DD">
      <w:pPr>
        <w:rPr>
          <w:sz w:val="22"/>
          <w:szCs w:val="22"/>
        </w:rPr>
      </w:pPr>
      <w:r w:rsidRPr="00055C43">
        <w:rPr>
          <w:sz w:val="22"/>
          <w:szCs w:val="22"/>
        </w:rPr>
        <w:t xml:space="preserve">Όταν ενίεται </w:t>
      </w:r>
      <w:r w:rsidR="006979DD" w:rsidRPr="00055C43">
        <w:rPr>
          <w:sz w:val="22"/>
          <w:szCs w:val="22"/>
        </w:rPr>
        <w:t>ενδοφλεβίως</w:t>
      </w:r>
      <w:r w:rsidRPr="00055C43">
        <w:rPr>
          <w:sz w:val="22"/>
          <w:szCs w:val="22"/>
        </w:rPr>
        <w:t xml:space="preserve">, </w:t>
      </w:r>
      <w:r w:rsidR="006979DD" w:rsidRPr="00055C43">
        <w:rPr>
          <w:sz w:val="22"/>
          <w:szCs w:val="22"/>
        </w:rPr>
        <w:t xml:space="preserve">η </w:t>
      </w:r>
      <w:r w:rsidR="006979DD" w:rsidRPr="00055C43">
        <w:rPr>
          <w:bCs/>
          <w:sz w:val="22"/>
          <w:szCs w:val="22"/>
        </w:rPr>
        <w:t>ιοβιτριδόλη</w:t>
      </w:r>
      <w:r w:rsidR="006979DD" w:rsidRPr="00055C43">
        <w:rPr>
          <w:sz w:val="22"/>
          <w:szCs w:val="22"/>
        </w:rPr>
        <w:t xml:space="preserve"> </w:t>
      </w:r>
      <w:r w:rsidRPr="00055C43">
        <w:rPr>
          <w:sz w:val="22"/>
          <w:szCs w:val="22"/>
        </w:rPr>
        <w:t xml:space="preserve"> κατανέμεται στο αγγειακό σύστημα και το διάμεσο χώρο. Αποβάλλεται ταχύτατα στην αμετάβλητο μορφή του, δια μέσου της ουρικής απέκκρισης (σπειραματική διήθηση χωρίς σωληναριακή επαναρρόφηση ή έκκριση). Σε περίπτωση νεφρικής ανεπάρκειας, συμβαίνει απέκκριση δια άλλης οδού, δια μέσου της χολικής οδού. </w:t>
      </w:r>
      <w:r w:rsidR="006979DD" w:rsidRPr="00055C43">
        <w:rPr>
          <w:sz w:val="22"/>
          <w:szCs w:val="22"/>
        </w:rPr>
        <w:t xml:space="preserve">Η </w:t>
      </w:r>
      <w:r w:rsidR="006979DD" w:rsidRPr="00055C43">
        <w:rPr>
          <w:bCs/>
          <w:sz w:val="22"/>
          <w:szCs w:val="22"/>
        </w:rPr>
        <w:t>ιοβιτριδόλη</w:t>
      </w:r>
      <w:r w:rsidRPr="00055C43">
        <w:rPr>
          <w:sz w:val="22"/>
          <w:szCs w:val="22"/>
        </w:rPr>
        <w:t xml:space="preserve"> μπορεί να απομακρυνθεί με αιμο</w:t>
      </w:r>
      <w:r w:rsidR="006979DD" w:rsidRPr="00055C43">
        <w:rPr>
          <w:sz w:val="22"/>
          <w:szCs w:val="22"/>
        </w:rPr>
        <w:t>κάθαρση</w:t>
      </w:r>
      <w:r w:rsidRPr="00055C43">
        <w:rPr>
          <w:sz w:val="22"/>
          <w:szCs w:val="22"/>
        </w:rPr>
        <w:t>.</w:t>
      </w:r>
    </w:p>
    <w:p w:rsidR="009250A3" w:rsidRPr="00055C43" w:rsidRDefault="009250A3" w:rsidP="006979DD">
      <w:pPr>
        <w:rPr>
          <w:sz w:val="22"/>
          <w:szCs w:val="22"/>
          <w:lang w:val="fr-FR"/>
        </w:rPr>
      </w:pPr>
    </w:p>
    <w:p w:rsidR="009250A3" w:rsidRPr="006320B9" w:rsidRDefault="009250A3" w:rsidP="006979DD">
      <w:pPr>
        <w:numPr>
          <w:ilvl w:val="1"/>
          <w:numId w:val="11"/>
        </w:numPr>
        <w:ind w:left="0" w:firstLine="0"/>
        <w:rPr>
          <w:b/>
          <w:bCs/>
          <w:sz w:val="22"/>
          <w:szCs w:val="22"/>
        </w:rPr>
      </w:pPr>
      <w:r w:rsidRPr="00055C43">
        <w:rPr>
          <w:b/>
          <w:sz w:val="22"/>
          <w:szCs w:val="22"/>
        </w:rPr>
        <w:t>Προκλινικά δεδομένα για την ασφάλεια</w:t>
      </w:r>
    </w:p>
    <w:p w:rsidR="009250A3" w:rsidRPr="006320B9" w:rsidRDefault="009250A3" w:rsidP="006979DD">
      <w:pPr>
        <w:rPr>
          <w:sz w:val="22"/>
          <w:szCs w:val="22"/>
        </w:rPr>
      </w:pPr>
      <w:r w:rsidRPr="00055C43">
        <w:rPr>
          <w:sz w:val="22"/>
          <w:szCs w:val="22"/>
        </w:rPr>
        <w:t xml:space="preserve">Τοξικολογικές μελέτες μέσω της ενδοφλέβιας οδού, δεν απεκάλυψαν καμία δράση εκτός </w:t>
      </w:r>
      <w:r w:rsidR="006979DD" w:rsidRPr="00055C43">
        <w:rPr>
          <w:sz w:val="22"/>
          <w:szCs w:val="22"/>
        </w:rPr>
        <w:t>από όταν η ουσία</w:t>
      </w:r>
      <w:r w:rsidRPr="00055C43">
        <w:rPr>
          <w:sz w:val="22"/>
          <w:szCs w:val="22"/>
        </w:rPr>
        <w:t>, χορηγήθηκε υπό συνθήκες που αξιοσημείωτα διέφεραν εκείνων των κλινικών (δόσεις, επανάληψη).</w:t>
      </w:r>
      <w:r w:rsidR="006979DD" w:rsidRPr="00055C43">
        <w:rPr>
          <w:sz w:val="22"/>
          <w:szCs w:val="22"/>
        </w:rPr>
        <w:t xml:space="preserve"> </w:t>
      </w:r>
      <w:r w:rsidRPr="00055C43">
        <w:rPr>
          <w:sz w:val="22"/>
          <w:szCs w:val="22"/>
        </w:rPr>
        <w:t xml:space="preserve">Στην περίπτωση </w:t>
      </w:r>
      <w:r w:rsidR="006979DD" w:rsidRPr="00055C43">
        <w:rPr>
          <w:sz w:val="22"/>
          <w:szCs w:val="22"/>
        </w:rPr>
        <w:t>της ιοβιτριδόλης</w:t>
      </w:r>
      <w:r w:rsidRPr="00055C43">
        <w:rPr>
          <w:sz w:val="22"/>
          <w:szCs w:val="22"/>
        </w:rPr>
        <w:t xml:space="preserve">, όπως και με όλους τους υδατοδιαλυτούς μη ιονικούς τρι-ιωδιούχους σκιαγραφικούς παράγοντες που χορηγούνται σε μεγάλες ποσότητες (25 έως 50 </w:t>
      </w:r>
      <w:r w:rsidRPr="00055C43">
        <w:rPr>
          <w:sz w:val="22"/>
          <w:szCs w:val="22"/>
          <w:lang w:val="en-US"/>
        </w:rPr>
        <w:t>ml</w:t>
      </w:r>
      <w:r w:rsidRPr="00055C43">
        <w:rPr>
          <w:sz w:val="22"/>
          <w:szCs w:val="22"/>
        </w:rPr>
        <w:t>/</w:t>
      </w:r>
      <w:r w:rsidRPr="00055C43">
        <w:rPr>
          <w:sz w:val="22"/>
          <w:szCs w:val="22"/>
          <w:lang w:val="en-US"/>
        </w:rPr>
        <w:t>kg</w:t>
      </w:r>
      <w:r w:rsidRPr="00055C43">
        <w:rPr>
          <w:sz w:val="22"/>
          <w:szCs w:val="22"/>
        </w:rPr>
        <w:t xml:space="preserve">) </w:t>
      </w:r>
      <w:r w:rsidR="006979DD" w:rsidRPr="00055C43">
        <w:rPr>
          <w:sz w:val="22"/>
          <w:szCs w:val="22"/>
        </w:rPr>
        <w:t xml:space="preserve">σε </w:t>
      </w:r>
      <w:r w:rsidRPr="00055C43">
        <w:rPr>
          <w:sz w:val="22"/>
          <w:szCs w:val="22"/>
        </w:rPr>
        <w:t>εφάπαξ δόσεις, αυτές οι δράσεις εμφανίζονται ως παροδικά σημεία  υποθερμίας, αναπνευστικής καταστολής ή δοσοεξαρτώμενα ιστολογικά ευρύματα στα όργανα στόχους (ήπαρ, νεφρ</w:t>
      </w:r>
      <w:r w:rsidR="00895EF1" w:rsidRPr="00055C43">
        <w:rPr>
          <w:sz w:val="22"/>
          <w:szCs w:val="22"/>
        </w:rPr>
        <w:t>ούς</w:t>
      </w:r>
      <w:r w:rsidRPr="00055C43">
        <w:rPr>
          <w:sz w:val="22"/>
          <w:szCs w:val="22"/>
        </w:rPr>
        <w:t xml:space="preserve">), όπως σχηματισμός ηπατοκυτταρικών κενοτοπίων και σωληναριακή εκτασία. Επαναλαμβανόμενη χορήγηση </w:t>
      </w:r>
      <w:r w:rsidR="006979DD" w:rsidRPr="00055C43">
        <w:rPr>
          <w:sz w:val="22"/>
          <w:szCs w:val="22"/>
        </w:rPr>
        <w:t xml:space="preserve">μεγάλων δόσεων (8 </w:t>
      </w:r>
      <w:r w:rsidR="006979DD" w:rsidRPr="00055C43">
        <w:rPr>
          <w:sz w:val="22"/>
          <w:szCs w:val="22"/>
          <w:lang w:val="en-US"/>
        </w:rPr>
        <w:t>ml</w:t>
      </w:r>
      <w:r w:rsidR="006979DD" w:rsidRPr="00055C43">
        <w:rPr>
          <w:sz w:val="22"/>
          <w:szCs w:val="22"/>
        </w:rPr>
        <w:t>/</w:t>
      </w:r>
      <w:r w:rsidR="006979DD" w:rsidRPr="00055C43">
        <w:rPr>
          <w:sz w:val="22"/>
          <w:szCs w:val="22"/>
          <w:lang w:val="en-US"/>
        </w:rPr>
        <w:t>kg</w:t>
      </w:r>
      <w:r w:rsidR="006979DD" w:rsidRPr="00055C43">
        <w:rPr>
          <w:sz w:val="22"/>
          <w:szCs w:val="22"/>
        </w:rPr>
        <w:t xml:space="preserve">) </w:t>
      </w:r>
      <w:r w:rsidRPr="00055C43">
        <w:rPr>
          <w:sz w:val="22"/>
          <w:szCs w:val="22"/>
        </w:rPr>
        <w:t>σε σκύλους για 28 ημέρες, είχε ως αποτέλεσμα κοκκιώδη κενοτοπιώδη σωληναριακή εκφύλιση, η οποία ήταν αναστρέψιμη μετά τη διακοπή της θεραπείας.</w:t>
      </w:r>
    </w:p>
    <w:p w:rsidR="009250A3" w:rsidRPr="00055C43" w:rsidRDefault="009250A3" w:rsidP="006979DD">
      <w:pPr>
        <w:rPr>
          <w:sz w:val="22"/>
          <w:szCs w:val="22"/>
        </w:rPr>
      </w:pPr>
      <w:r w:rsidRPr="00055C43">
        <w:rPr>
          <w:sz w:val="22"/>
          <w:szCs w:val="22"/>
        </w:rPr>
        <w:t xml:space="preserve">Τοπικός ερεθισμός μπορεί να παρατηρηθεί σε περιπτώσεις περιαγγειακής διήθησης. Η ουσία  δεν </w:t>
      </w:r>
      <w:r w:rsidR="006979DD" w:rsidRPr="00055C43">
        <w:rPr>
          <w:sz w:val="22"/>
          <w:szCs w:val="22"/>
        </w:rPr>
        <w:t>βρέθηκε να</w:t>
      </w:r>
      <w:r w:rsidRPr="00055C43">
        <w:rPr>
          <w:sz w:val="22"/>
          <w:szCs w:val="22"/>
        </w:rPr>
        <w:t xml:space="preserve"> είναι μεταλλαξιογόνος στις συνθήκες που δοκιμάστηκε. Μελέτες σε πειραματόζωα δεν έδειξαν τερατογόνο δράση.</w:t>
      </w:r>
    </w:p>
    <w:p w:rsidR="009250A3" w:rsidRPr="006320B9" w:rsidRDefault="009250A3" w:rsidP="006979DD">
      <w:pPr>
        <w:rPr>
          <w:sz w:val="22"/>
          <w:szCs w:val="22"/>
          <w:lang w:val="en-US"/>
        </w:rPr>
      </w:pPr>
    </w:p>
    <w:p w:rsidR="006979DD" w:rsidRPr="006320B9" w:rsidRDefault="009250A3" w:rsidP="006979DD">
      <w:pPr>
        <w:rPr>
          <w:b/>
          <w:bCs/>
          <w:sz w:val="22"/>
          <w:szCs w:val="22"/>
          <w:lang w:val="en-US"/>
        </w:rPr>
      </w:pPr>
      <w:r w:rsidRPr="00055C43">
        <w:rPr>
          <w:b/>
          <w:bCs/>
          <w:sz w:val="22"/>
          <w:szCs w:val="22"/>
        </w:rPr>
        <w:t xml:space="preserve">6.   </w:t>
      </w:r>
      <w:r w:rsidR="00E21AD8" w:rsidRPr="00055C43">
        <w:rPr>
          <w:b/>
          <w:bCs/>
          <w:sz w:val="22"/>
          <w:szCs w:val="22"/>
        </w:rPr>
        <w:tab/>
      </w:r>
      <w:r w:rsidRPr="00055C43">
        <w:rPr>
          <w:b/>
          <w:sz w:val="22"/>
          <w:szCs w:val="22"/>
        </w:rPr>
        <w:t>ΦΑΡΜΑΚΕΥΤΙΚΕΣ ΠΛΗΡΟΦΟΡΙΕΣ</w:t>
      </w:r>
    </w:p>
    <w:p w:rsidR="009250A3" w:rsidRPr="006320B9" w:rsidRDefault="009250A3" w:rsidP="006979DD">
      <w:pPr>
        <w:rPr>
          <w:b/>
          <w:bCs/>
          <w:sz w:val="22"/>
          <w:szCs w:val="22"/>
          <w:lang w:val="en-US"/>
        </w:rPr>
      </w:pPr>
      <w:r w:rsidRPr="00055C43">
        <w:rPr>
          <w:b/>
          <w:bCs/>
          <w:sz w:val="22"/>
          <w:szCs w:val="22"/>
        </w:rPr>
        <w:t>6.1</w:t>
      </w:r>
      <w:r w:rsidR="006979DD" w:rsidRPr="00055C43">
        <w:rPr>
          <w:b/>
          <w:bCs/>
          <w:sz w:val="22"/>
          <w:szCs w:val="22"/>
        </w:rPr>
        <w:tab/>
      </w:r>
      <w:r w:rsidRPr="00055C43">
        <w:rPr>
          <w:b/>
          <w:bCs/>
          <w:sz w:val="22"/>
          <w:szCs w:val="22"/>
        </w:rPr>
        <w:t>Κατάλογος εκδοχών</w:t>
      </w:r>
    </w:p>
    <w:p w:rsidR="009250A3" w:rsidRPr="00055C43" w:rsidRDefault="009250A3" w:rsidP="006979DD">
      <w:pPr>
        <w:rPr>
          <w:sz w:val="22"/>
          <w:szCs w:val="22"/>
          <w:lang w:val="en-US"/>
        </w:rPr>
      </w:pPr>
      <w:r w:rsidRPr="00055C43">
        <w:rPr>
          <w:sz w:val="22"/>
          <w:szCs w:val="22"/>
          <w:lang w:val="en-US"/>
        </w:rPr>
        <w:t xml:space="preserve">Disodium </w:t>
      </w:r>
      <w:r w:rsidRPr="00C9363A">
        <w:rPr>
          <w:sz w:val="22"/>
          <w:szCs w:val="22"/>
          <w:lang w:val="en-US"/>
        </w:rPr>
        <w:t>calcium</w:t>
      </w:r>
      <w:r w:rsidRPr="00055C43">
        <w:rPr>
          <w:sz w:val="22"/>
          <w:szCs w:val="22"/>
          <w:lang w:val="en-US"/>
        </w:rPr>
        <w:t xml:space="preserve"> </w:t>
      </w:r>
      <w:proofErr w:type="spellStart"/>
      <w:r w:rsidRPr="00C9363A">
        <w:rPr>
          <w:sz w:val="22"/>
          <w:szCs w:val="22"/>
          <w:lang w:val="en-US"/>
        </w:rPr>
        <w:t>edetate</w:t>
      </w:r>
      <w:proofErr w:type="spellEnd"/>
    </w:p>
    <w:p w:rsidR="009250A3" w:rsidRPr="00055C43" w:rsidRDefault="009250A3" w:rsidP="006979DD">
      <w:pPr>
        <w:rPr>
          <w:sz w:val="22"/>
          <w:szCs w:val="22"/>
          <w:lang w:val="en-US"/>
        </w:rPr>
      </w:pPr>
      <w:proofErr w:type="spellStart"/>
      <w:r w:rsidRPr="00C9363A">
        <w:rPr>
          <w:sz w:val="22"/>
          <w:szCs w:val="22"/>
          <w:lang w:val="en-US"/>
        </w:rPr>
        <w:t>Trometamol</w:t>
      </w:r>
      <w:proofErr w:type="spellEnd"/>
      <w:r w:rsidRPr="00055C43">
        <w:rPr>
          <w:sz w:val="22"/>
          <w:szCs w:val="22"/>
          <w:lang w:val="en-US"/>
        </w:rPr>
        <w:t xml:space="preserve"> </w:t>
      </w:r>
      <w:r w:rsidRPr="00C9363A">
        <w:rPr>
          <w:sz w:val="22"/>
          <w:szCs w:val="22"/>
          <w:lang w:val="en-US"/>
        </w:rPr>
        <w:t>hydrochloride</w:t>
      </w:r>
    </w:p>
    <w:p w:rsidR="009250A3" w:rsidRPr="00055C43" w:rsidRDefault="009250A3" w:rsidP="006979DD">
      <w:pPr>
        <w:rPr>
          <w:sz w:val="22"/>
          <w:szCs w:val="22"/>
          <w:lang w:val="en-US"/>
        </w:rPr>
      </w:pPr>
      <w:proofErr w:type="spellStart"/>
      <w:r w:rsidRPr="00C9363A">
        <w:rPr>
          <w:sz w:val="22"/>
          <w:szCs w:val="22"/>
          <w:lang w:val="en-US"/>
        </w:rPr>
        <w:t>Trometamol</w:t>
      </w:r>
      <w:proofErr w:type="spellEnd"/>
    </w:p>
    <w:p w:rsidR="009250A3" w:rsidRPr="003165BA" w:rsidRDefault="009250A3" w:rsidP="006979DD">
      <w:pPr>
        <w:rPr>
          <w:sz w:val="22"/>
          <w:szCs w:val="22"/>
        </w:rPr>
      </w:pPr>
      <w:r w:rsidRPr="00C9363A">
        <w:rPr>
          <w:sz w:val="22"/>
          <w:szCs w:val="22"/>
          <w:lang w:val="en-US"/>
        </w:rPr>
        <w:t>HCL</w:t>
      </w:r>
      <w:r w:rsidRPr="00C9363A">
        <w:rPr>
          <w:sz w:val="22"/>
          <w:szCs w:val="22"/>
        </w:rPr>
        <w:t xml:space="preserve"> / </w:t>
      </w:r>
      <w:proofErr w:type="spellStart"/>
      <w:r w:rsidRPr="00C9363A">
        <w:rPr>
          <w:sz w:val="22"/>
          <w:szCs w:val="22"/>
          <w:lang w:val="en-US"/>
        </w:rPr>
        <w:t>NaOH</w:t>
      </w:r>
      <w:proofErr w:type="spellEnd"/>
      <w:r w:rsidRPr="00C9363A">
        <w:rPr>
          <w:sz w:val="22"/>
          <w:szCs w:val="22"/>
        </w:rPr>
        <w:t xml:space="preserve"> (</w:t>
      </w:r>
      <w:r w:rsidR="006979DD" w:rsidRPr="004C2CD3">
        <w:rPr>
          <w:sz w:val="22"/>
          <w:szCs w:val="22"/>
        </w:rPr>
        <w:t>γ</w:t>
      </w:r>
      <w:r w:rsidRPr="0096489F">
        <w:rPr>
          <w:sz w:val="22"/>
          <w:szCs w:val="22"/>
        </w:rPr>
        <w:t xml:space="preserve">ια τη ρύθμιση του </w:t>
      </w:r>
      <w:r w:rsidRPr="00B25D25">
        <w:rPr>
          <w:sz w:val="22"/>
          <w:szCs w:val="22"/>
          <w:lang w:val="en-US"/>
        </w:rPr>
        <w:t>pH</w:t>
      </w:r>
      <w:r w:rsidRPr="003165BA">
        <w:rPr>
          <w:sz w:val="22"/>
          <w:szCs w:val="22"/>
        </w:rPr>
        <w:t>)</w:t>
      </w:r>
    </w:p>
    <w:p w:rsidR="009250A3" w:rsidRPr="00F2281C" w:rsidRDefault="006979DD" w:rsidP="006979DD">
      <w:pPr>
        <w:rPr>
          <w:sz w:val="22"/>
          <w:szCs w:val="22"/>
        </w:rPr>
      </w:pPr>
      <w:r w:rsidRPr="007701A8">
        <w:rPr>
          <w:sz w:val="22"/>
          <w:szCs w:val="22"/>
        </w:rPr>
        <w:t>Ύδωρ για ενέσιμα</w:t>
      </w:r>
    </w:p>
    <w:p w:rsidR="009250A3" w:rsidRPr="00F2281C" w:rsidRDefault="009250A3" w:rsidP="006979DD">
      <w:pPr>
        <w:rPr>
          <w:sz w:val="22"/>
          <w:szCs w:val="22"/>
        </w:rPr>
      </w:pPr>
    </w:p>
    <w:p w:rsidR="009250A3" w:rsidRPr="006320B9" w:rsidRDefault="009250A3" w:rsidP="006979DD">
      <w:pPr>
        <w:rPr>
          <w:b/>
          <w:bCs/>
          <w:sz w:val="22"/>
          <w:szCs w:val="22"/>
          <w:lang w:val="en-US"/>
        </w:rPr>
      </w:pPr>
      <w:r w:rsidRPr="00F2281C">
        <w:rPr>
          <w:b/>
          <w:bCs/>
          <w:sz w:val="22"/>
          <w:szCs w:val="22"/>
        </w:rPr>
        <w:t>6.2</w:t>
      </w:r>
      <w:r w:rsidR="006979DD" w:rsidRPr="00BC6D25">
        <w:rPr>
          <w:b/>
          <w:bCs/>
          <w:sz w:val="22"/>
          <w:szCs w:val="22"/>
        </w:rPr>
        <w:tab/>
      </w:r>
      <w:r w:rsidRPr="00BC6D25">
        <w:rPr>
          <w:b/>
          <w:bCs/>
          <w:sz w:val="22"/>
          <w:szCs w:val="22"/>
        </w:rPr>
        <w:t>Ασυμβατότητες</w:t>
      </w:r>
    </w:p>
    <w:p w:rsidR="009250A3" w:rsidRPr="00055C43" w:rsidRDefault="009250A3" w:rsidP="006979DD">
      <w:pPr>
        <w:rPr>
          <w:sz w:val="22"/>
          <w:szCs w:val="22"/>
        </w:rPr>
      </w:pPr>
      <w:r w:rsidRPr="00055C43">
        <w:rPr>
          <w:sz w:val="22"/>
          <w:szCs w:val="22"/>
        </w:rPr>
        <w:t>Για την αποφυγή οιουδήποτε κινδύνου ασυμβατότητας, δεν πρέπει να ενίεται κανένα άλλο φάρμακο με την ίδια σύριγγα.</w:t>
      </w:r>
    </w:p>
    <w:p w:rsidR="009250A3" w:rsidRPr="00055C43" w:rsidRDefault="009250A3" w:rsidP="006979DD">
      <w:pPr>
        <w:rPr>
          <w:sz w:val="22"/>
          <w:szCs w:val="22"/>
          <w:lang w:val="fr-FR"/>
        </w:rPr>
      </w:pPr>
    </w:p>
    <w:p w:rsidR="009250A3" w:rsidRPr="006320B9" w:rsidRDefault="009250A3" w:rsidP="006320B9">
      <w:pPr>
        <w:rPr>
          <w:b/>
          <w:bCs/>
          <w:sz w:val="22"/>
          <w:szCs w:val="22"/>
          <w:lang w:val="en-US"/>
        </w:rPr>
      </w:pPr>
      <w:r w:rsidRPr="00055C43">
        <w:rPr>
          <w:b/>
          <w:bCs/>
          <w:sz w:val="22"/>
          <w:szCs w:val="22"/>
        </w:rPr>
        <w:t>6.3</w:t>
      </w:r>
      <w:r w:rsidR="006979DD" w:rsidRPr="00055C43">
        <w:rPr>
          <w:b/>
          <w:bCs/>
          <w:sz w:val="22"/>
          <w:szCs w:val="22"/>
        </w:rPr>
        <w:tab/>
      </w:r>
      <w:r w:rsidRPr="00055C43">
        <w:rPr>
          <w:b/>
          <w:sz w:val="22"/>
          <w:szCs w:val="22"/>
        </w:rPr>
        <w:t>Διάρκεια ζωής</w:t>
      </w:r>
    </w:p>
    <w:p w:rsidR="009250A3" w:rsidRPr="00055C43" w:rsidRDefault="009250A3" w:rsidP="006979DD">
      <w:pPr>
        <w:pStyle w:val="20"/>
        <w:ind w:left="0"/>
        <w:rPr>
          <w:rFonts w:ascii="Times New Roman" w:hAnsi="Times New Roman" w:cs="Times New Roman"/>
          <w:sz w:val="22"/>
          <w:szCs w:val="22"/>
          <w:lang w:val="fr-FR"/>
        </w:rPr>
      </w:pPr>
      <w:r w:rsidRPr="00055C43">
        <w:rPr>
          <w:rFonts w:ascii="Times New Roman" w:hAnsi="Times New Roman" w:cs="Times New Roman"/>
          <w:sz w:val="22"/>
          <w:szCs w:val="22"/>
        </w:rPr>
        <w:t>3 χρόνια</w:t>
      </w:r>
      <w:r w:rsidRPr="00055C43">
        <w:rPr>
          <w:rFonts w:ascii="Times New Roman" w:hAnsi="Times New Roman" w:cs="Times New Roman"/>
          <w:sz w:val="22"/>
          <w:szCs w:val="22"/>
        </w:rPr>
        <w:br/>
      </w:r>
    </w:p>
    <w:p w:rsidR="009250A3" w:rsidRPr="006320B9" w:rsidRDefault="009250A3" w:rsidP="006979DD">
      <w:pPr>
        <w:rPr>
          <w:b/>
          <w:bCs/>
          <w:sz w:val="22"/>
          <w:szCs w:val="22"/>
        </w:rPr>
      </w:pPr>
      <w:r w:rsidRPr="00055C43">
        <w:rPr>
          <w:b/>
          <w:bCs/>
          <w:sz w:val="22"/>
          <w:szCs w:val="22"/>
        </w:rPr>
        <w:t>6.4</w:t>
      </w:r>
      <w:r w:rsidR="006979DD" w:rsidRPr="00055C43">
        <w:rPr>
          <w:b/>
          <w:bCs/>
          <w:sz w:val="22"/>
          <w:szCs w:val="22"/>
        </w:rPr>
        <w:tab/>
      </w:r>
      <w:r w:rsidRPr="00055C43">
        <w:rPr>
          <w:b/>
          <w:bCs/>
          <w:sz w:val="22"/>
          <w:szCs w:val="22"/>
        </w:rPr>
        <w:t xml:space="preserve">Ιδιαίτερες προφυλάξεις κατά την φύλαξη του προϊόντος </w:t>
      </w:r>
    </w:p>
    <w:p w:rsidR="009250A3" w:rsidRPr="00055C43" w:rsidRDefault="009250A3" w:rsidP="006979DD">
      <w:pPr>
        <w:rPr>
          <w:sz w:val="22"/>
          <w:szCs w:val="22"/>
        </w:rPr>
      </w:pPr>
      <w:r w:rsidRPr="00055C43">
        <w:rPr>
          <w:sz w:val="22"/>
          <w:szCs w:val="22"/>
        </w:rPr>
        <w:t>Φυλάσσεται σε θερμοκρασία μικρότερη των 30</w:t>
      </w:r>
      <w:r w:rsidRPr="00055C43">
        <w:rPr>
          <w:sz w:val="22"/>
          <w:szCs w:val="22"/>
          <w:vertAlign w:val="superscript"/>
        </w:rPr>
        <w:t>ο</w:t>
      </w:r>
      <w:r w:rsidRPr="00055C43">
        <w:rPr>
          <w:sz w:val="22"/>
          <w:szCs w:val="22"/>
        </w:rPr>
        <w:t xml:space="preserve"> </w:t>
      </w:r>
      <w:r w:rsidRPr="00055C43">
        <w:rPr>
          <w:sz w:val="22"/>
          <w:szCs w:val="22"/>
          <w:lang w:val="fr-FR"/>
        </w:rPr>
        <w:t>C</w:t>
      </w:r>
      <w:r w:rsidRPr="00055C43">
        <w:rPr>
          <w:sz w:val="22"/>
          <w:szCs w:val="22"/>
        </w:rPr>
        <w:t xml:space="preserve"> με προστασία από το φως.</w:t>
      </w:r>
    </w:p>
    <w:p w:rsidR="009250A3" w:rsidRPr="00055C43" w:rsidRDefault="009250A3" w:rsidP="006979DD">
      <w:pPr>
        <w:pStyle w:val="a4"/>
        <w:rPr>
          <w:sz w:val="22"/>
          <w:szCs w:val="22"/>
        </w:rPr>
      </w:pPr>
    </w:p>
    <w:p w:rsidR="009250A3" w:rsidRPr="00055C43" w:rsidRDefault="009250A3" w:rsidP="006979DD">
      <w:pPr>
        <w:rPr>
          <w:b/>
          <w:bCs/>
          <w:sz w:val="22"/>
          <w:szCs w:val="22"/>
        </w:rPr>
      </w:pPr>
      <w:r w:rsidRPr="00055C43">
        <w:rPr>
          <w:b/>
          <w:bCs/>
          <w:sz w:val="22"/>
          <w:szCs w:val="22"/>
        </w:rPr>
        <w:t>6.5</w:t>
      </w:r>
      <w:r w:rsidR="006979DD" w:rsidRPr="00055C43">
        <w:rPr>
          <w:b/>
          <w:bCs/>
          <w:sz w:val="22"/>
          <w:szCs w:val="22"/>
        </w:rPr>
        <w:tab/>
      </w:r>
      <w:r w:rsidRPr="00055C43">
        <w:rPr>
          <w:b/>
          <w:bCs/>
          <w:sz w:val="22"/>
          <w:szCs w:val="22"/>
        </w:rPr>
        <w:t>Φύση και συστατικά του περιέκτη</w:t>
      </w:r>
    </w:p>
    <w:p w:rsidR="009250A3" w:rsidRPr="00055C43" w:rsidRDefault="009250A3" w:rsidP="006979DD">
      <w:pPr>
        <w:pStyle w:val="30"/>
        <w:ind w:left="0"/>
        <w:rPr>
          <w:rFonts w:ascii="Times New Roman" w:hAnsi="Times New Roman" w:cs="Times New Roman"/>
          <w:sz w:val="22"/>
          <w:szCs w:val="22"/>
        </w:rPr>
      </w:pPr>
    </w:p>
    <w:p w:rsidR="009250A3" w:rsidRPr="00055C43" w:rsidRDefault="009250A3" w:rsidP="006979DD">
      <w:pPr>
        <w:pStyle w:val="30"/>
        <w:ind w:left="720" w:hanging="720"/>
        <w:rPr>
          <w:rFonts w:ascii="Times New Roman" w:hAnsi="Times New Roman" w:cs="Times New Roman"/>
          <w:sz w:val="22"/>
          <w:szCs w:val="22"/>
        </w:rPr>
      </w:pPr>
      <w:r w:rsidRPr="00055C43">
        <w:rPr>
          <w:rFonts w:ascii="Times New Roman" w:hAnsi="Times New Roman" w:cs="Times New Roman"/>
          <w:sz w:val="22"/>
          <w:szCs w:val="22"/>
        </w:rPr>
        <w:lastRenderedPageBreak/>
        <w:t xml:space="preserve">- </w:t>
      </w:r>
      <w:r w:rsidR="006979DD" w:rsidRPr="00055C43">
        <w:rPr>
          <w:rFonts w:ascii="Times New Roman" w:hAnsi="Times New Roman" w:cs="Times New Roman"/>
          <w:sz w:val="22"/>
          <w:szCs w:val="22"/>
        </w:rPr>
        <w:tab/>
      </w:r>
      <w:r w:rsidRPr="00055C43">
        <w:rPr>
          <w:rFonts w:ascii="Times New Roman" w:hAnsi="Times New Roman" w:cs="Times New Roman"/>
          <w:sz w:val="22"/>
          <w:szCs w:val="22"/>
        </w:rPr>
        <w:t>Γυάλινα φιαλίδια από γυαλί τύπου ΙΙ (20</w:t>
      </w:r>
      <w:r w:rsidR="00895EF1" w:rsidRPr="00055C43">
        <w:rPr>
          <w:rFonts w:ascii="Times New Roman" w:hAnsi="Times New Roman" w:cs="Times New Roman"/>
          <w:sz w:val="22"/>
          <w:szCs w:val="22"/>
        </w:rPr>
        <w:t xml:space="preserve"> </w:t>
      </w:r>
      <w:r w:rsidRPr="00055C43">
        <w:rPr>
          <w:rFonts w:ascii="Times New Roman" w:hAnsi="Times New Roman" w:cs="Times New Roman"/>
          <w:sz w:val="22"/>
          <w:szCs w:val="22"/>
          <w:lang w:val="en-US"/>
        </w:rPr>
        <w:t>ml</w:t>
      </w:r>
      <w:r w:rsidRPr="00055C43">
        <w:rPr>
          <w:rFonts w:ascii="Times New Roman" w:hAnsi="Times New Roman" w:cs="Times New Roman"/>
          <w:sz w:val="22"/>
          <w:szCs w:val="22"/>
        </w:rPr>
        <w:t xml:space="preserve">, 50 </w:t>
      </w:r>
      <w:r w:rsidRPr="00055C43">
        <w:rPr>
          <w:rFonts w:ascii="Times New Roman" w:hAnsi="Times New Roman" w:cs="Times New Roman"/>
          <w:sz w:val="22"/>
          <w:szCs w:val="22"/>
          <w:lang w:val="en-US"/>
        </w:rPr>
        <w:t>ml</w:t>
      </w:r>
      <w:r w:rsidRPr="00055C43">
        <w:rPr>
          <w:rFonts w:ascii="Times New Roman" w:hAnsi="Times New Roman" w:cs="Times New Roman"/>
          <w:sz w:val="22"/>
          <w:szCs w:val="22"/>
        </w:rPr>
        <w:t>, 60</w:t>
      </w:r>
      <w:r w:rsidR="00895EF1" w:rsidRPr="00055C43">
        <w:rPr>
          <w:rFonts w:ascii="Times New Roman" w:hAnsi="Times New Roman" w:cs="Times New Roman"/>
          <w:sz w:val="22"/>
          <w:szCs w:val="22"/>
        </w:rPr>
        <w:t xml:space="preserve"> </w:t>
      </w:r>
      <w:r w:rsidRPr="00055C43">
        <w:rPr>
          <w:rFonts w:ascii="Times New Roman" w:hAnsi="Times New Roman" w:cs="Times New Roman"/>
          <w:sz w:val="22"/>
          <w:szCs w:val="22"/>
          <w:lang w:val="en-US"/>
        </w:rPr>
        <w:t>ml</w:t>
      </w:r>
      <w:r w:rsidRPr="00055C43">
        <w:rPr>
          <w:rFonts w:ascii="Times New Roman" w:hAnsi="Times New Roman" w:cs="Times New Roman"/>
          <w:sz w:val="22"/>
          <w:szCs w:val="22"/>
        </w:rPr>
        <w:t xml:space="preserve">, 100 </w:t>
      </w:r>
      <w:r w:rsidRPr="00055C43">
        <w:rPr>
          <w:rFonts w:ascii="Times New Roman" w:hAnsi="Times New Roman" w:cs="Times New Roman"/>
          <w:sz w:val="22"/>
          <w:szCs w:val="22"/>
          <w:lang w:val="en-US"/>
        </w:rPr>
        <w:t>ml</w:t>
      </w:r>
      <w:r w:rsidRPr="00055C43">
        <w:rPr>
          <w:rFonts w:ascii="Times New Roman" w:hAnsi="Times New Roman" w:cs="Times New Roman"/>
          <w:sz w:val="22"/>
          <w:szCs w:val="22"/>
        </w:rPr>
        <w:t>, 150</w:t>
      </w:r>
      <w:r w:rsidR="00895EF1" w:rsidRPr="00055C43">
        <w:rPr>
          <w:rFonts w:ascii="Times New Roman" w:hAnsi="Times New Roman" w:cs="Times New Roman"/>
          <w:sz w:val="22"/>
          <w:szCs w:val="22"/>
        </w:rPr>
        <w:t xml:space="preserve"> </w:t>
      </w:r>
      <w:r w:rsidRPr="00055C43">
        <w:rPr>
          <w:rFonts w:ascii="Times New Roman" w:hAnsi="Times New Roman" w:cs="Times New Roman"/>
          <w:sz w:val="22"/>
          <w:szCs w:val="22"/>
          <w:lang w:val="en-US"/>
        </w:rPr>
        <w:t>ml</w:t>
      </w:r>
      <w:r w:rsidRPr="00055C43">
        <w:rPr>
          <w:rFonts w:ascii="Times New Roman" w:hAnsi="Times New Roman" w:cs="Times New Roman"/>
          <w:sz w:val="22"/>
          <w:szCs w:val="22"/>
        </w:rPr>
        <w:t xml:space="preserve">, 200 </w:t>
      </w:r>
      <w:r w:rsidRPr="00055C43">
        <w:rPr>
          <w:rFonts w:ascii="Times New Roman" w:hAnsi="Times New Roman" w:cs="Times New Roman"/>
          <w:sz w:val="22"/>
          <w:szCs w:val="22"/>
          <w:lang w:val="en-US"/>
        </w:rPr>
        <w:t>ml</w:t>
      </w:r>
      <w:r w:rsidRPr="00055C43">
        <w:rPr>
          <w:rFonts w:ascii="Times New Roman" w:hAnsi="Times New Roman" w:cs="Times New Roman"/>
          <w:sz w:val="22"/>
          <w:szCs w:val="22"/>
        </w:rPr>
        <w:t xml:space="preserve">, 500 </w:t>
      </w:r>
      <w:r w:rsidRPr="00055C43">
        <w:rPr>
          <w:rFonts w:ascii="Times New Roman" w:hAnsi="Times New Roman" w:cs="Times New Roman"/>
          <w:sz w:val="22"/>
          <w:szCs w:val="22"/>
          <w:lang w:val="en-US"/>
        </w:rPr>
        <w:t>ml</w:t>
      </w:r>
      <w:r w:rsidRPr="00055C43">
        <w:rPr>
          <w:rFonts w:ascii="Times New Roman" w:hAnsi="Times New Roman" w:cs="Times New Roman"/>
          <w:sz w:val="22"/>
          <w:szCs w:val="22"/>
        </w:rPr>
        <w:t xml:space="preserve">) με πώματα από </w:t>
      </w:r>
      <w:r w:rsidR="006979DD" w:rsidRPr="00055C43">
        <w:rPr>
          <w:rFonts w:ascii="Times New Roman" w:hAnsi="Times New Roman"/>
          <w:sz w:val="22"/>
          <w:szCs w:val="22"/>
        </w:rPr>
        <w:t>ελαστικό χλωροβουτύλιο</w:t>
      </w:r>
      <w:r w:rsidRPr="00055C43">
        <w:rPr>
          <w:rFonts w:ascii="Times New Roman" w:hAnsi="Times New Roman" w:cs="Times New Roman"/>
          <w:sz w:val="22"/>
          <w:szCs w:val="22"/>
        </w:rPr>
        <w:t>.</w:t>
      </w:r>
    </w:p>
    <w:p w:rsidR="009250A3" w:rsidRPr="00055C43" w:rsidRDefault="009250A3" w:rsidP="006979DD">
      <w:pPr>
        <w:pStyle w:val="30"/>
        <w:ind w:left="0"/>
        <w:rPr>
          <w:rFonts w:ascii="Times New Roman" w:hAnsi="Times New Roman" w:cs="Times New Roman"/>
          <w:sz w:val="22"/>
          <w:szCs w:val="22"/>
        </w:rPr>
      </w:pPr>
      <w:r w:rsidRPr="00055C43">
        <w:rPr>
          <w:rFonts w:ascii="Times New Roman" w:hAnsi="Times New Roman" w:cs="Times New Roman"/>
          <w:sz w:val="22"/>
          <w:szCs w:val="22"/>
        </w:rPr>
        <w:t xml:space="preserve">- </w:t>
      </w:r>
      <w:r w:rsidR="006979DD" w:rsidRPr="00055C43">
        <w:rPr>
          <w:rFonts w:ascii="Times New Roman" w:hAnsi="Times New Roman" w:cs="Times New Roman"/>
          <w:sz w:val="22"/>
          <w:szCs w:val="22"/>
        </w:rPr>
        <w:tab/>
      </w:r>
      <w:r w:rsidRPr="00055C43">
        <w:rPr>
          <w:rFonts w:ascii="Times New Roman" w:hAnsi="Times New Roman" w:cs="Times New Roman"/>
          <w:sz w:val="22"/>
          <w:szCs w:val="22"/>
        </w:rPr>
        <w:t xml:space="preserve">Πλαστική σύριγγα (από </w:t>
      </w:r>
      <w:r w:rsidR="006979DD" w:rsidRPr="00055C43">
        <w:rPr>
          <w:rFonts w:ascii="Times New Roman" w:hAnsi="Times New Roman"/>
          <w:sz w:val="22"/>
          <w:szCs w:val="22"/>
        </w:rPr>
        <w:t>πολυπροπυλένιο</w:t>
      </w:r>
      <w:r w:rsidRPr="00055C43">
        <w:rPr>
          <w:rFonts w:ascii="Times New Roman" w:hAnsi="Times New Roman" w:cs="Times New Roman"/>
          <w:sz w:val="22"/>
          <w:szCs w:val="22"/>
        </w:rPr>
        <w:t>).</w:t>
      </w:r>
    </w:p>
    <w:p w:rsidR="009250A3" w:rsidRPr="00055C43" w:rsidRDefault="009250A3" w:rsidP="006979DD">
      <w:pPr>
        <w:pStyle w:val="30"/>
        <w:ind w:left="720" w:hanging="720"/>
        <w:rPr>
          <w:rFonts w:ascii="Times New Roman" w:hAnsi="Times New Roman" w:cs="Times New Roman"/>
          <w:sz w:val="22"/>
          <w:szCs w:val="22"/>
        </w:rPr>
      </w:pPr>
      <w:r w:rsidRPr="00055C43">
        <w:rPr>
          <w:rFonts w:ascii="Times New Roman" w:hAnsi="Times New Roman" w:cs="Times New Roman"/>
          <w:sz w:val="22"/>
          <w:szCs w:val="22"/>
        </w:rPr>
        <w:t xml:space="preserve">- </w:t>
      </w:r>
      <w:r w:rsidR="006979DD" w:rsidRPr="00055C43">
        <w:rPr>
          <w:rFonts w:ascii="Times New Roman" w:hAnsi="Times New Roman" w:cs="Times New Roman"/>
          <w:sz w:val="22"/>
          <w:szCs w:val="22"/>
        </w:rPr>
        <w:tab/>
      </w:r>
      <w:r w:rsidRPr="00055C43">
        <w:rPr>
          <w:rFonts w:ascii="Times New Roman" w:hAnsi="Times New Roman" w:cs="Times New Roman"/>
          <w:sz w:val="22"/>
          <w:szCs w:val="22"/>
        </w:rPr>
        <w:t>Πλαστική (</w:t>
      </w:r>
      <w:r w:rsidR="006979DD" w:rsidRPr="00055C43">
        <w:rPr>
          <w:rFonts w:ascii="Times New Roman" w:hAnsi="Times New Roman"/>
          <w:sz w:val="22"/>
          <w:szCs w:val="22"/>
        </w:rPr>
        <w:t>από πολυβινυλοχλωρίδιο</w:t>
      </w:r>
      <w:r w:rsidRPr="00055C43">
        <w:rPr>
          <w:rFonts w:ascii="Times New Roman" w:hAnsi="Times New Roman" w:cs="Times New Roman"/>
          <w:sz w:val="22"/>
          <w:szCs w:val="22"/>
        </w:rPr>
        <w:t xml:space="preserve"> συσκευή έγχυσης καθετήρας και σετ επέκτασης.</w:t>
      </w:r>
    </w:p>
    <w:p w:rsidR="009250A3" w:rsidRPr="00055C43" w:rsidRDefault="009250A3" w:rsidP="006979DD">
      <w:pPr>
        <w:rPr>
          <w:sz w:val="22"/>
          <w:szCs w:val="22"/>
        </w:rPr>
      </w:pPr>
    </w:p>
    <w:p w:rsidR="009250A3" w:rsidRPr="006320B9" w:rsidRDefault="009250A3" w:rsidP="006320B9">
      <w:pPr>
        <w:rPr>
          <w:b/>
          <w:bCs/>
          <w:sz w:val="22"/>
          <w:szCs w:val="22"/>
        </w:rPr>
      </w:pPr>
      <w:r w:rsidRPr="00055C43">
        <w:rPr>
          <w:b/>
          <w:bCs/>
          <w:sz w:val="22"/>
          <w:szCs w:val="22"/>
        </w:rPr>
        <w:t>6.6</w:t>
      </w:r>
      <w:r w:rsidR="006979DD" w:rsidRPr="00055C43">
        <w:rPr>
          <w:b/>
          <w:bCs/>
          <w:sz w:val="22"/>
          <w:szCs w:val="22"/>
        </w:rPr>
        <w:tab/>
      </w:r>
      <w:r w:rsidRPr="00055C43">
        <w:rPr>
          <w:b/>
          <w:noProof/>
          <w:sz w:val="22"/>
          <w:szCs w:val="22"/>
        </w:rPr>
        <w:t>Ιδιαίτερες προφυλάξεις απόρριψης και άλλος χειρισμός</w:t>
      </w:r>
    </w:p>
    <w:p w:rsidR="009250A3" w:rsidRPr="00055C43" w:rsidRDefault="009250A3" w:rsidP="006979DD">
      <w:pPr>
        <w:pStyle w:val="a7"/>
        <w:autoSpaceDE w:val="0"/>
        <w:autoSpaceDN w:val="0"/>
        <w:adjustRightInd w:val="0"/>
        <w:spacing w:before="0"/>
        <w:rPr>
          <w:rFonts w:ascii="Times New Roman" w:hAnsi="Times New Roman" w:cs="Times New Roman"/>
          <w:sz w:val="22"/>
          <w:szCs w:val="22"/>
          <w:lang w:val="fr-FR"/>
        </w:rPr>
      </w:pPr>
      <w:r w:rsidRPr="00055C43">
        <w:rPr>
          <w:rFonts w:ascii="Times New Roman" w:hAnsi="Times New Roman" w:cs="Times New Roman"/>
          <w:sz w:val="22"/>
          <w:szCs w:val="22"/>
          <w:lang w:val="el-GR"/>
        </w:rPr>
        <w:t>Ειδικές</w:t>
      </w:r>
      <w:r w:rsidRPr="00055C43">
        <w:rPr>
          <w:rFonts w:ascii="Times New Roman" w:hAnsi="Times New Roman" w:cs="Times New Roman"/>
          <w:sz w:val="22"/>
          <w:szCs w:val="22"/>
          <w:lang w:val="fr-FR"/>
        </w:rPr>
        <w:t xml:space="preserve"> </w:t>
      </w:r>
      <w:r w:rsidRPr="00055C43">
        <w:rPr>
          <w:rFonts w:ascii="Times New Roman" w:hAnsi="Times New Roman" w:cs="Times New Roman"/>
          <w:sz w:val="22"/>
          <w:szCs w:val="22"/>
          <w:lang w:val="el-GR"/>
        </w:rPr>
        <w:t>προφυλάξεις</w:t>
      </w:r>
      <w:r w:rsidRPr="00055C43">
        <w:rPr>
          <w:rFonts w:ascii="Times New Roman" w:hAnsi="Times New Roman" w:cs="Times New Roman"/>
          <w:sz w:val="22"/>
          <w:szCs w:val="22"/>
          <w:lang w:val="fr-FR"/>
        </w:rPr>
        <w:t xml:space="preserve"> </w:t>
      </w:r>
      <w:r w:rsidRPr="00055C43">
        <w:rPr>
          <w:rFonts w:ascii="Times New Roman" w:hAnsi="Times New Roman" w:cs="Times New Roman"/>
          <w:sz w:val="22"/>
          <w:szCs w:val="22"/>
          <w:lang w:val="el-GR"/>
        </w:rPr>
        <w:t>για</w:t>
      </w:r>
      <w:r w:rsidRPr="00055C43">
        <w:rPr>
          <w:rFonts w:ascii="Times New Roman" w:hAnsi="Times New Roman" w:cs="Times New Roman"/>
          <w:sz w:val="22"/>
          <w:szCs w:val="22"/>
          <w:lang w:val="fr-FR"/>
        </w:rPr>
        <w:t xml:space="preserve"> </w:t>
      </w:r>
      <w:r w:rsidRPr="00055C43">
        <w:rPr>
          <w:rFonts w:ascii="Times New Roman" w:hAnsi="Times New Roman" w:cs="Times New Roman"/>
          <w:sz w:val="22"/>
          <w:szCs w:val="22"/>
          <w:lang w:val="el-GR"/>
        </w:rPr>
        <w:t>τη</w:t>
      </w:r>
      <w:r w:rsidRPr="00055C43">
        <w:rPr>
          <w:rFonts w:ascii="Times New Roman" w:hAnsi="Times New Roman" w:cs="Times New Roman"/>
          <w:sz w:val="22"/>
          <w:szCs w:val="22"/>
          <w:lang w:val="fr-FR"/>
        </w:rPr>
        <w:t xml:space="preserve"> </w:t>
      </w:r>
      <w:r w:rsidRPr="00055C43">
        <w:rPr>
          <w:rFonts w:ascii="Times New Roman" w:hAnsi="Times New Roman" w:cs="Times New Roman"/>
          <w:sz w:val="22"/>
          <w:szCs w:val="22"/>
          <w:lang w:val="el-GR"/>
        </w:rPr>
        <w:t>χρήση</w:t>
      </w:r>
      <w:r w:rsidRPr="00055C43">
        <w:rPr>
          <w:rFonts w:ascii="Times New Roman" w:hAnsi="Times New Roman" w:cs="Times New Roman"/>
          <w:sz w:val="22"/>
          <w:szCs w:val="22"/>
          <w:lang w:val="fr-FR"/>
        </w:rPr>
        <w:t xml:space="preserve"> </w:t>
      </w:r>
      <w:r w:rsidR="006979DD" w:rsidRPr="00055C43">
        <w:rPr>
          <w:rFonts w:ascii="Times New Roman" w:hAnsi="Times New Roman" w:cs="Times New Roman"/>
          <w:sz w:val="22"/>
          <w:szCs w:val="22"/>
          <w:lang w:val="el-GR"/>
        </w:rPr>
        <w:t xml:space="preserve">του </w:t>
      </w:r>
      <w:r w:rsidRPr="00055C43">
        <w:rPr>
          <w:rFonts w:ascii="Times New Roman" w:hAnsi="Times New Roman" w:cs="Times New Roman"/>
          <w:sz w:val="22"/>
          <w:szCs w:val="22"/>
          <w:lang w:val="el-GR"/>
        </w:rPr>
        <w:t>περιέκτη</w:t>
      </w:r>
      <w:r w:rsidRPr="00055C43">
        <w:rPr>
          <w:rFonts w:ascii="Times New Roman" w:hAnsi="Times New Roman" w:cs="Times New Roman"/>
          <w:sz w:val="22"/>
          <w:szCs w:val="22"/>
          <w:lang w:val="fr-FR"/>
        </w:rPr>
        <w:t xml:space="preserve"> </w:t>
      </w:r>
      <w:r w:rsidR="006979DD" w:rsidRPr="00055C43">
        <w:rPr>
          <w:rFonts w:ascii="Times New Roman" w:hAnsi="Times New Roman" w:cs="Times New Roman"/>
          <w:sz w:val="22"/>
          <w:szCs w:val="22"/>
          <w:lang w:val="el-GR"/>
        </w:rPr>
        <w:t xml:space="preserve">των </w:t>
      </w:r>
      <w:r w:rsidRPr="00055C43">
        <w:rPr>
          <w:rFonts w:ascii="Times New Roman" w:hAnsi="Times New Roman" w:cs="Times New Roman"/>
          <w:sz w:val="22"/>
          <w:szCs w:val="22"/>
          <w:lang w:val="fr-FR"/>
        </w:rPr>
        <w:t xml:space="preserve">500 </w:t>
      </w:r>
      <w:proofErr w:type="spellStart"/>
      <w:r w:rsidRPr="00055C43">
        <w:rPr>
          <w:rFonts w:ascii="Times New Roman" w:hAnsi="Times New Roman" w:cs="Times New Roman"/>
          <w:sz w:val="22"/>
          <w:szCs w:val="22"/>
          <w:lang w:val="fr-FR"/>
        </w:rPr>
        <w:t>mL</w:t>
      </w:r>
      <w:proofErr w:type="spellEnd"/>
      <w:r w:rsidRPr="00055C43">
        <w:rPr>
          <w:rFonts w:ascii="Times New Roman" w:hAnsi="Times New Roman" w:cs="Times New Roman"/>
          <w:sz w:val="22"/>
          <w:szCs w:val="22"/>
          <w:lang w:val="fr-FR"/>
        </w:rPr>
        <w:t xml:space="preserve">: </w:t>
      </w:r>
    </w:p>
    <w:p w:rsidR="009250A3" w:rsidRPr="00055C43" w:rsidRDefault="009250A3" w:rsidP="006979DD">
      <w:pPr>
        <w:jc w:val="both"/>
        <w:rPr>
          <w:sz w:val="22"/>
          <w:szCs w:val="22"/>
          <w:lang w:val="fr-FR"/>
        </w:rPr>
      </w:pPr>
      <w:r w:rsidRPr="00055C43">
        <w:rPr>
          <w:sz w:val="22"/>
          <w:szCs w:val="22"/>
        </w:rPr>
        <w:t xml:space="preserve">Συνιστάται η εξαγωγή του σκιαγραφικού μετά την πρώτη διάτρηση του πώματος με </w:t>
      </w:r>
      <w:r w:rsidR="006979DD" w:rsidRPr="00055C43">
        <w:rPr>
          <w:sz w:val="22"/>
          <w:szCs w:val="22"/>
        </w:rPr>
        <w:t xml:space="preserve">την </w:t>
      </w:r>
      <w:r w:rsidRPr="00055C43">
        <w:rPr>
          <w:sz w:val="22"/>
          <w:szCs w:val="22"/>
        </w:rPr>
        <w:t xml:space="preserve">κατάλληλη συσκευή. Πρέπει να τηρούνται με ακρίβεια οι </w:t>
      </w:r>
      <w:r w:rsidR="00895EF1" w:rsidRPr="00055C43">
        <w:rPr>
          <w:sz w:val="22"/>
          <w:szCs w:val="22"/>
        </w:rPr>
        <w:t>Ο</w:t>
      </w:r>
      <w:r w:rsidRPr="00055C43">
        <w:rPr>
          <w:sz w:val="22"/>
          <w:szCs w:val="22"/>
        </w:rPr>
        <w:t>δηγίες</w:t>
      </w:r>
      <w:r w:rsidR="00895EF1" w:rsidRPr="00055C43">
        <w:rPr>
          <w:sz w:val="22"/>
          <w:szCs w:val="22"/>
        </w:rPr>
        <w:t xml:space="preserve"> για τη Χρήση</w:t>
      </w:r>
      <w:r w:rsidRPr="00055C43">
        <w:rPr>
          <w:sz w:val="22"/>
          <w:szCs w:val="22"/>
        </w:rPr>
        <w:t xml:space="preserve"> που παρέχονται από τον κατασκευαστή όλων των αναλώσιμων υλικών που χρησιμοποιούνται. Στο τέλος της ημέρας, </w:t>
      </w:r>
      <w:r w:rsidR="006979DD" w:rsidRPr="00055C43">
        <w:rPr>
          <w:sz w:val="22"/>
          <w:szCs w:val="22"/>
        </w:rPr>
        <w:t xml:space="preserve">κάθε </w:t>
      </w:r>
      <w:r w:rsidR="006979DD" w:rsidRPr="00055C43">
        <w:rPr>
          <w:noProof/>
          <w:sz w:val="22"/>
          <w:szCs w:val="22"/>
        </w:rPr>
        <w:t>αχρησιμοποίητο προϊόν</w:t>
      </w:r>
      <w:r w:rsidRPr="00055C43">
        <w:rPr>
          <w:sz w:val="22"/>
          <w:szCs w:val="22"/>
        </w:rPr>
        <w:t xml:space="preserve"> πρέπει να απορριφθεί.</w:t>
      </w:r>
    </w:p>
    <w:p w:rsidR="009250A3" w:rsidRPr="00055C43" w:rsidRDefault="009250A3" w:rsidP="006979DD">
      <w:pPr>
        <w:jc w:val="both"/>
        <w:rPr>
          <w:sz w:val="22"/>
          <w:szCs w:val="22"/>
          <w:lang w:val="fr-FR"/>
        </w:rPr>
      </w:pPr>
    </w:p>
    <w:p w:rsidR="009250A3" w:rsidRPr="00055C43" w:rsidRDefault="009250A3" w:rsidP="006979DD">
      <w:pPr>
        <w:rPr>
          <w:sz w:val="22"/>
          <w:szCs w:val="22"/>
        </w:rPr>
      </w:pPr>
    </w:p>
    <w:p w:rsidR="009250A3" w:rsidRPr="006320B9" w:rsidRDefault="009250A3" w:rsidP="006979DD">
      <w:pPr>
        <w:rPr>
          <w:b/>
          <w:bCs/>
          <w:sz w:val="22"/>
          <w:szCs w:val="22"/>
          <w:lang w:val="en-US"/>
        </w:rPr>
      </w:pPr>
      <w:r w:rsidRPr="00055C43">
        <w:rPr>
          <w:b/>
          <w:bCs/>
          <w:sz w:val="22"/>
          <w:szCs w:val="22"/>
        </w:rPr>
        <w:t xml:space="preserve">7.   </w:t>
      </w:r>
      <w:r w:rsidR="00E21AD8" w:rsidRPr="00055C43">
        <w:rPr>
          <w:b/>
          <w:bCs/>
          <w:sz w:val="22"/>
          <w:szCs w:val="22"/>
        </w:rPr>
        <w:tab/>
      </w:r>
      <w:r w:rsidRPr="00C9363A">
        <w:rPr>
          <w:b/>
          <w:bCs/>
          <w:sz w:val="22"/>
          <w:szCs w:val="22"/>
        </w:rPr>
        <w:t xml:space="preserve">ΚΑΤΟΧΟΣ </w:t>
      </w:r>
      <w:r w:rsidRPr="00C9363A">
        <w:rPr>
          <w:b/>
          <w:sz w:val="22"/>
          <w:szCs w:val="22"/>
        </w:rPr>
        <w:t xml:space="preserve">ΤΗΣ </w:t>
      </w:r>
      <w:r w:rsidRPr="00C9363A">
        <w:rPr>
          <w:b/>
          <w:bCs/>
          <w:sz w:val="22"/>
          <w:szCs w:val="22"/>
        </w:rPr>
        <w:t>ΑΔΕΙΑΣ ΚΥΚΛΟΦΟΡΙΑΣ</w:t>
      </w:r>
    </w:p>
    <w:p w:rsidR="009250A3" w:rsidRPr="00BC6D25" w:rsidRDefault="009250A3" w:rsidP="006979DD">
      <w:pPr>
        <w:rPr>
          <w:sz w:val="22"/>
          <w:szCs w:val="22"/>
          <w:lang w:val="fr-FR"/>
        </w:rPr>
      </w:pPr>
      <w:proofErr w:type="gramStart"/>
      <w:r w:rsidRPr="004C2CD3">
        <w:rPr>
          <w:b/>
          <w:bCs/>
          <w:sz w:val="22"/>
          <w:szCs w:val="22"/>
          <w:lang w:val="en-US"/>
        </w:rPr>
        <w:t>HOSPITAL</w:t>
      </w:r>
      <w:r w:rsidRPr="0096489F">
        <w:rPr>
          <w:b/>
          <w:bCs/>
          <w:sz w:val="22"/>
          <w:szCs w:val="22"/>
        </w:rPr>
        <w:t xml:space="preserve"> </w:t>
      </w:r>
      <w:r w:rsidRPr="00B25D25">
        <w:rPr>
          <w:b/>
          <w:bCs/>
          <w:sz w:val="22"/>
          <w:szCs w:val="22"/>
          <w:lang w:val="en-US"/>
        </w:rPr>
        <w:t>LINE</w:t>
      </w:r>
      <w:r w:rsidRPr="003165BA">
        <w:rPr>
          <w:b/>
          <w:bCs/>
          <w:sz w:val="22"/>
          <w:szCs w:val="22"/>
        </w:rPr>
        <w:t xml:space="preserve"> </w:t>
      </w:r>
      <w:r w:rsidRPr="007701A8">
        <w:rPr>
          <w:b/>
          <w:bCs/>
          <w:sz w:val="22"/>
          <w:szCs w:val="22"/>
          <w:lang w:val="en-US"/>
        </w:rPr>
        <w:t>A</w:t>
      </w:r>
      <w:r w:rsidRPr="00F2281C">
        <w:rPr>
          <w:b/>
          <w:bCs/>
          <w:sz w:val="22"/>
          <w:szCs w:val="22"/>
        </w:rPr>
        <w:t>.</w:t>
      </w:r>
      <w:r w:rsidRPr="00F2281C">
        <w:rPr>
          <w:b/>
          <w:bCs/>
          <w:sz w:val="22"/>
          <w:szCs w:val="22"/>
          <w:lang w:val="en-US"/>
        </w:rPr>
        <w:t>E</w:t>
      </w:r>
      <w:r w:rsidRPr="00F2281C">
        <w:rPr>
          <w:sz w:val="22"/>
          <w:szCs w:val="22"/>
        </w:rPr>
        <w:t>.</w:t>
      </w:r>
      <w:proofErr w:type="gramEnd"/>
    </w:p>
    <w:p w:rsidR="009250A3" w:rsidRPr="00055C43" w:rsidRDefault="009250A3" w:rsidP="006979DD">
      <w:pPr>
        <w:tabs>
          <w:tab w:val="left" w:pos="0"/>
        </w:tabs>
        <w:rPr>
          <w:sz w:val="22"/>
          <w:szCs w:val="22"/>
        </w:rPr>
      </w:pPr>
      <w:r w:rsidRPr="0068100B">
        <w:rPr>
          <w:sz w:val="22"/>
          <w:szCs w:val="22"/>
          <w:lang w:val="fr-FR"/>
        </w:rPr>
        <w:t>K</w:t>
      </w:r>
      <w:r w:rsidRPr="00055C43">
        <w:rPr>
          <w:sz w:val="22"/>
          <w:szCs w:val="22"/>
        </w:rPr>
        <w:t>. Παλαμά 36, 14343 Ν. Χαλκηδόνα</w:t>
      </w:r>
    </w:p>
    <w:p w:rsidR="009250A3" w:rsidRPr="00055C43" w:rsidRDefault="009250A3" w:rsidP="006979DD">
      <w:pPr>
        <w:rPr>
          <w:sz w:val="22"/>
          <w:szCs w:val="22"/>
          <w:lang w:val="fr-FR"/>
        </w:rPr>
      </w:pPr>
      <w:r w:rsidRPr="00055C43">
        <w:rPr>
          <w:sz w:val="22"/>
          <w:szCs w:val="22"/>
        </w:rPr>
        <w:t>Τηλ.: 210-2502021</w:t>
      </w:r>
    </w:p>
    <w:p w:rsidR="009250A3" w:rsidRPr="00C9363A" w:rsidRDefault="009250A3" w:rsidP="006979DD">
      <w:pPr>
        <w:rPr>
          <w:sz w:val="22"/>
          <w:szCs w:val="22"/>
          <w:lang w:val="de-DE"/>
        </w:rPr>
      </w:pPr>
      <w:r w:rsidRPr="00055C43">
        <w:rPr>
          <w:sz w:val="22"/>
          <w:szCs w:val="22"/>
          <w:lang w:val="de-DE"/>
        </w:rPr>
        <w:t>E-</w:t>
      </w:r>
      <w:proofErr w:type="spellStart"/>
      <w:r w:rsidRPr="00055C43">
        <w:rPr>
          <w:sz w:val="22"/>
          <w:szCs w:val="22"/>
          <w:lang w:val="de-DE"/>
        </w:rPr>
        <w:t>mail</w:t>
      </w:r>
      <w:proofErr w:type="spellEnd"/>
      <w:r w:rsidRPr="00055C43">
        <w:rPr>
          <w:sz w:val="22"/>
          <w:szCs w:val="22"/>
          <w:lang w:val="de-DE"/>
        </w:rPr>
        <w:t xml:space="preserve">: </w:t>
      </w:r>
      <w:hyperlink r:id="rId6" w:history="1">
        <w:r w:rsidRPr="00055C43">
          <w:rPr>
            <w:rStyle w:val="-"/>
            <w:color w:val="auto"/>
            <w:sz w:val="22"/>
            <w:szCs w:val="22"/>
            <w:lang w:val="de-DE"/>
          </w:rPr>
          <w:t>info@hospital-line.gr</w:t>
        </w:r>
      </w:hyperlink>
    </w:p>
    <w:p w:rsidR="009250A3" w:rsidRPr="00055C43" w:rsidRDefault="009250A3" w:rsidP="006979DD">
      <w:pPr>
        <w:rPr>
          <w:i/>
          <w:iCs/>
          <w:sz w:val="22"/>
          <w:szCs w:val="22"/>
          <w:lang w:val="en-US"/>
        </w:rPr>
      </w:pPr>
    </w:p>
    <w:p w:rsidR="006979DD" w:rsidRPr="00055C43" w:rsidRDefault="006979DD" w:rsidP="006979DD">
      <w:pPr>
        <w:rPr>
          <w:i/>
          <w:iCs/>
          <w:sz w:val="22"/>
          <w:szCs w:val="22"/>
          <w:lang w:val="en-US"/>
        </w:rPr>
      </w:pPr>
    </w:p>
    <w:p w:rsidR="009250A3" w:rsidRPr="006320B9" w:rsidRDefault="009250A3" w:rsidP="006979DD">
      <w:pPr>
        <w:rPr>
          <w:b/>
          <w:bCs/>
          <w:sz w:val="22"/>
          <w:szCs w:val="22"/>
          <w:lang w:val="en-US"/>
        </w:rPr>
      </w:pPr>
      <w:r w:rsidRPr="00C9363A">
        <w:rPr>
          <w:b/>
          <w:bCs/>
          <w:sz w:val="22"/>
          <w:szCs w:val="22"/>
        </w:rPr>
        <w:t xml:space="preserve">8.  </w:t>
      </w:r>
      <w:r w:rsidR="00E21AD8" w:rsidRPr="00055C43">
        <w:rPr>
          <w:b/>
          <w:bCs/>
          <w:sz w:val="22"/>
          <w:szCs w:val="22"/>
        </w:rPr>
        <w:tab/>
      </w:r>
      <w:r w:rsidRPr="00C9363A">
        <w:rPr>
          <w:b/>
          <w:bCs/>
          <w:sz w:val="22"/>
          <w:szCs w:val="22"/>
        </w:rPr>
        <w:t>ΑΡΙΘΜΟΣ ΑΔΕΙΑΣ ΚΥΚΛΟΦΟΡΙΑΣ</w:t>
      </w:r>
    </w:p>
    <w:p w:rsidR="00F53B69" w:rsidRPr="00055C43" w:rsidRDefault="00F53B69" w:rsidP="00F53B69">
      <w:pPr>
        <w:rPr>
          <w:sz w:val="22"/>
          <w:szCs w:val="22"/>
        </w:rPr>
      </w:pPr>
      <w:r w:rsidRPr="00055C43">
        <w:rPr>
          <w:sz w:val="22"/>
          <w:szCs w:val="22"/>
        </w:rPr>
        <w:t>32979/95/07-03-96, (Αρχική χορήγηση)</w:t>
      </w:r>
    </w:p>
    <w:p w:rsidR="00F53B69" w:rsidRPr="00055C43" w:rsidRDefault="00F53B69" w:rsidP="00F53B69">
      <w:pPr>
        <w:rPr>
          <w:sz w:val="22"/>
          <w:szCs w:val="22"/>
        </w:rPr>
      </w:pPr>
      <w:r w:rsidRPr="00055C43">
        <w:rPr>
          <w:sz w:val="22"/>
          <w:szCs w:val="22"/>
        </w:rPr>
        <w:t>8531/6.2.2007, (Ομαδική επ’αόριστον ανανέωση)</w:t>
      </w:r>
    </w:p>
    <w:p w:rsidR="009250A3" w:rsidRPr="00C9363A" w:rsidRDefault="009250A3" w:rsidP="006979DD">
      <w:pPr>
        <w:rPr>
          <w:sz w:val="22"/>
          <w:szCs w:val="22"/>
        </w:rPr>
      </w:pPr>
    </w:p>
    <w:p w:rsidR="009250A3" w:rsidRPr="00C9363A" w:rsidRDefault="009250A3" w:rsidP="006979DD">
      <w:pPr>
        <w:rPr>
          <w:sz w:val="22"/>
          <w:szCs w:val="22"/>
        </w:rPr>
      </w:pPr>
    </w:p>
    <w:p w:rsidR="009250A3" w:rsidRPr="00B25D25" w:rsidRDefault="009250A3" w:rsidP="006979DD">
      <w:pPr>
        <w:rPr>
          <w:b/>
          <w:bCs/>
          <w:sz w:val="22"/>
          <w:szCs w:val="22"/>
        </w:rPr>
      </w:pPr>
      <w:r w:rsidRPr="004C2CD3">
        <w:rPr>
          <w:b/>
          <w:bCs/>
          <w:sz w:val="22"/>
          <w:szCs w:val="22"/>
        </w:rPr>
        <w:t xml:space="preserve">9.  </w:t>
      </w:r>
      <w:r w:rsidR="00E21AD8" w:rsidRPr="0096489F">
        <w:rPr>
          <w:b/>
          <w:bCs/>
          <w:sz w:val="22"/>
          <w:szCs w:val="22"/>
        </w:rPr>
        <w:tab/>
      </w:r>
      <w:r w:rsidRPr="00B25D25">
        <w:rPr>
          <w:b/>
          <w:bCs/>
          <w:sz w:val="22"/>
          <w:szCs w:val="22"/>
        </w:rPr>
        <w:t>ΗΜΕΡΟΜΗΝΙΑ ΠΡΩΤΗΣ ΕΓΚΡΙΣΗΣ / ΑΝΑΝΕΩΣΗΣ ΤΗΣ ΕΓΚΡΙΣΗΣ</w:t>
      </w:r>
    </w:p>
    <w:p w:rsidR="009250A3" w:rsidRPr="003165BA" w:rsidRDefault="009250A3" w:rsidP="006979DD">
      <w:pPr>
        <w:rPr>
          <w:sz w:val="22"/>
          <w:szCs w:val="22"/>
        </w:rPr>
      </w:pPr>
    </w:p>
    <w:p w:rsidR="00F53B69" w:rsidRPr="00F2281C" w:rsidRDefault="00F53B69" w:rsidP="00F53B69">
      <w:pPr>
        <w:rPr>
          <w:sz w:val="22"/>
          <w:szCs w:val="22"/>
        </w:rPr>
      </w:pPr>
      <w:r w:rsidRPr="007701A8">
        <w:rPr>
          <w:sz w:val="22"/>
          <w:szCs w:val="22"/>
        </w:rPr>
        <w:t>07/03/96 / 6/2/</w:t>
      </w:r>
      <w:r w:rsidRPr="00F2281C">
        <w:rPr>
          <w:sz w:val="22"/>
          <w:szCs w:val="22"/>
        </w:rPr>
        <w:t>2007</w:t>
      </w:r>
    </w:p>
    <w:p w:rsidR="009250A3" w:rsidRPr="00F2281C" w:rsidRDefault="009250A3" w:rsidP="006979DD">
      <w:pPr>
        <w:tabs>
          <w:tab w:val="left" w:pos="4185"/>
        </w:tabs>
        <w:rPr>
          <w:sz w:val="22"/>
          <w:szCs w:val="22"/>
        </w:rPr>
      </w:pPr>
    </w:p>
    <w:p w:rsidR="009250A3" w:rsidRPr="00F2281C" w:rsidRDefault="009250A3" w:rsidP="006979DD">
      <w:pPr>
        <w:rPr>
          <w:sz w:val="22"/>
          <w:szCs w:val="22"/>
        </w:rPr>
      </w:pPr>
    </w:p>
    <w:p w:rsidR="009250A3" w:rsidRPr="0068100B" w:rsidRDefault="009250A3" w:rsidP="006979DD">
      <w:pPr>
        <w:rPr>
          <w:b/>
          <w:bCs/>
          <w:sz w:val="22"/>
          <w:szCs w:val="22"/>
        </w:rPr>
      </w:pPr>
      <w:r w:rsidRPr="00BC6D25">
        <w:rPr>
          <w:b/>
          <w:bCs/>
          <w:sz w:val="22"/>
          <w:szCs w:val="22"/>
        </w:rPr>
        <w:t xml:space="preserve">10.  </w:t>
      </w:r>
      <w:r w:rsidR="00E21AD8" w:rsidRPr="00BC6D25">
        <w:rPr>
          <w:b/>
          <w:bCs/>
          <w:sz w:val="22"/>
          <w:szCs w:val="22"/>
          <w:lang w:val="en-US"/>
        </w:rPr>
        <w:tab/>
      </w:r>
      <w:r w:rsidRPr="0068100B">
        <w:rPr>
          <w:b/>
          <w:bCs/>
          <w:sz w:val="22"/>
          <w:szCs w:val="22"/>
        </w:rPr>
        <w:t>ΗΜΕΡΟΜΗΝΙΑ ΑΝΑΘΕΩΡΗΣΗΣ ΤΟΥ ΚΕΙΜΕΝΟΥ</w:t>
      </w:r>
    </w:p>
    <w:p w:rsidR="009250A3" w:rsidRPr="00055C43" w:rsidRDefault="009250A3" w:rsidP="006979DD">
      <w:pPr>
        <w:rPr>
          <w:sz w:val="22"/>
          <w:szCs w:val="22"/>
          <w:lang w:val="en-GB"/>
        </w:rPr>
      </w:pPr>
    </w:p>
    <w:p w:rsidR="009250A3" w:rsidRPr="00055C43" w:rsidRDefault="009250A3" w:rsidP="006979DD">
      <w:pPr>
        <w:rPr>
          <w:sz w:val="22"/>
          <w:szCs w:val="22"/>
          <w:lang w:val="en-GB"/>
        </w:rPr>
      </w:pPr>
    </w:p>
    <w:sectPr w:rsidR="009250A3" w:rsidRPr="00055C43" w:rsidSect="006320B9">
      <w:pgSz w:w="11906" w:h="16838"/>
      <w:pgMar w:top="1440" w:right="1274" w:bottom="1440" w:left="18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126D"/>
    <w:multiLevelType w:val="multilevel"/>
    <w:tmpl w:val="494A025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AAA42F0"/>
    <w:multiLevelType w:val="multilevel"/>
    <w:tmpl w:val="68A858AC"/>
    <w:lvl w:ilvl="0">
      <w:start w:val="5"/>
      <w:numFmt w:val="decimal"/>
      <w:lvlText w:val="%1."/>
      <w:lvlJc w:val="left"/>
      <w:pPr>
        <w:tabs>
          <w:tab w:val="num" w:pos="735"/>
        </w:tabs>
        <w:ind w:left="735" w:hanging="735"/>
      </w:pPr>
      <w:rPr>
        <w:b/>
      </w:rPr>
    </w:lvl>
    <w:lvl w:ilvl="1">
      <w:start w:val="2"/>
      <w:numFmt w:val="decimal"/>
      <w:lvlText w:val="%1.%2."/>
      <w:lvlJc w:val="left"/>
      <w:pPr>
        <w:tabs>
          <w:tab w:val="num" w:pos="975"/>
        </w:tabs>
        <w:ind w:left="975" w:hanging="735"/>
      </w:pPr>
      <w:rPr>
        <w:b/>
      </w:rPr>
    </w:lvl>
    <w:lvl w:ilvl="2">
      <w:start w:val="1"/>
      <w:numFmt w:val="decimal"/>
      <w:lvlText w:val="%1.%2.%3."/>
      <w:lvlJc w:val="left"/>
      <w:pPr>
        <w:tabs>
          <w:tab w:val="num" w:pos="1215"/>
        </w:tabs>
        <w:ind w:left="1215" w:hanging="735"/>
      </w:pPr>
      <w:rPr>
        <w:b/>
      </w:rPr>
    </w:lvl>
    <w:lvl w:ilvl="3">
      <w:start w:val="1"/>
      <w:numFmt w:val="decimal"/>
      <w:lvlText w:val="%1.%2.%3.%4."/>
      <w:lvlJc w:val="left"/>
      <w:pPr>
        <w:tabs>
          <w:tab w:val="num" w:pos="1800"/>
        </w:tabs>
        <w:ind w:left="1800" w:hanging="1080"/>
      </w:pPr>
      <w:rPr>
        <w:b/>
      </w:rPr>
    </w:lvl>
    <w:lvl w:ilvl="4">
      <w:start w:val="1"/>
      <w:numFmt w:val="decimal"/>
      <w:lvlText w:val="%1.%2.%3.%4.%5."/>
      <w:lvlJc w:val="left"/>
      <w:pPr>
        <w:tabs>
          <w:tab w:val="num" w:pos="2040"/>
        </w:tabs>
        <w:ind w:left="2040" w:hanging="1080"/>
      </w:pPr>
      <w:rPr>
        <w:b/>
      </w:rPr>
    </w:lvl>
    <w:lvl w:ilvl="5">
      <w:start w:val="1"/>
      <w:numFmt w:val="decimal"/>
      <w:lvlText w:val="%1.%2.%3.%4.%5.%6."/>
      <w:lvlJc w:val="left"/>
      <w:pPr>
        <w:tabs>
          <w:tab w:val="num" w:pos="2640"/>
        </w:tabs>
        <w:ind w:left="2640" w:hanging="1440"/>
      </w:pPr>
      <w:rPr>
        <w:b/>
      </w:rPr>
    </w:lvl>
    <w:lvl w:ilvl="6">
      <w:start w:val="1"/>
      <w:numFmt w:val="decimal"/>
      <w:lvlText w:val="%1.%2.%3.%4.%5.%6.%7."/>
      <w:lvlJc w:val="left"/>
      <w:pPr>
        <w:tabs>
          <w:tab w:val="num" w:pos="2880"/>
        </w:tabs>
        <w:ind w:left="2880" w:hanging="1440"/>
      </w:pPr>
      <w:rPr>
        <w:b/>
      </w:rPr>
    </w:lvl>
    <w:lvl w:ilvl="7">
      <w:start w:val="1"/>
      <w:numFmt w:val="decimal"/>
      <w:lvlText w:val="%1.%2.%3.%4.%5.%6.%7.%8."/>
      <w:lvlJc w:val="left"/>
      <w:pPr>
        <w:tabs>
          <w:tab w:val="num" w:pos="3480"/>
        </w:tabs>
        <w:ind w:left="3480" w:hanging="1800"/>
      </w:pPr>
      <w:rPr>
        <w:b/>
      </w:rPr>
    </w:lvl>
    <w:lvl w:ilvl="8">
      <w:start w:val="1"/>
      <w:numFmt w:val="decimal"/>
      <w:lvlText w:val="%1.%2.%3.%4.%5.%6.%7.%8.%9."/>
      <w:lvlJc w:val="left"/>
      <w:pPr>
        <w:tabs>
          <w:tab w:val="num" w:pos="4080"/>
        </w:tabs>
        <w:ind w:left="4080" w:hanging="2160"/>
      </w:pPr>
      <w:rPr>
        <w:b/>
      </w:rPr>
    </w:lvl>
  </w:abstractNum>
  <w:abstractNum w:abstractNumId="2">
    <w:nsid w:val="196B6309"/>
    <w:multiLevelType w:val="multilevel"/>
    <w:tmpl w:val="1DA6F0B6"/>
    <w:lvl w:ilvl="0">
      <w:start w:val="5"/>
      <w:numFmt w:val="decimal"/>
      <w:lvlText w:val="%1."/>
      <w:lvlJc w:val="left"/>
      <w:pPr>
        <w:tabs>
          <w:tab w:val="num" w:pos="660"/>
        </w:tabs>
        <w:ind w:left="660" w:hanging="660"/>
      </w:pPr>
    </w:lvl>
    <w:lvl w:ilvl="1">
      <w:start w:val="1"/>
      <w:numFmt w:val="decimal"/>
      <w:lvlText w:val="%1.%2."/>
      <w:lvlJc w:val="left"/>
      <w:pPr>
        <w:tabs>
          <w:tab w:val="num" w:pos="780"/>
        </w:tabs>
        <w:ind w:left="780" w:hanging="660"/>
      </w:pPr>
    </w:lvl>
    <w:lvl w:ilvl="2">
      <w:start w:val="1"/>
      <w:numFmt w:val="decimal"/>
      <w:lvlText w:val="%1.%2.%3."/>
      <w:lvlJc w:val="left"/>
      <w:pPr>
        <w:tabs>
          <w:tab w:val="num" w:pos="960"/>
        </w:tabs>
        <w:ind w:left="96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3">
    <w:nsid w:val="20F87973"/>
    <w:multiLevelType w:val="multilevel"/>
    <w:tmpl w:val="065E98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16A0673"/>
    <w:multiLevelType w:val="multilevel"/>
    <w:tmpl w:val="38242DAA"/>
    <w:lvl w:ilvl="0">
      <w:start w:val="4"/>
      <w:numFmt w:val="decimal"/>
      <w:lvlText w:val="%1."/>
      <w:lvlJc w:val="left"/>
      <w:pPr>
        <w:tabs>
          <w:tab w:val="num" w:pos="480"/>
        </w:tabs>
        <w:ind w:left="480" w:hanging="480"/>
      </w:pPr>
    </w:lvl>
    <w:lvl w:ilvl="1">
      <w:start w:val="4"/>
      <w:numFmt w:val="decimal"/>
      <w:lvlText w:val="%1.%2."/>
      <w:lvlJc w:val="left"/>
      <w:pPr>
        <w:tabs>
          <w:tab w:val="num" w:pos="540"/>
        </w:tabs>
        <w:ind w:left="540" w:hanging="48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5">
    <w:nsid w:val="25FE4977"/>
    <w:multiLevelType w:val="hybridMultilevel"/>
    <w:tmpl w:val="2A401E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C815893"/>
    <w:multiLevelType w:val="multilevel"/>
    <w:tmpl w:val="F1AAA80A"/>
    <w:lvl w:ilvl="0">
      <w:start w:val="4"/>
      <w:numFmt w:val="decimal"/>
      <w:lvlText w:val="%1."/>
      <w:lvlJc w:val="left"/>
      <w:pPr>
        <w:tabs>
          <w:tab w:val="num" w:pos="420"/>
        </w:tabs>
        <w:ind w:left="420" w:hanging="360"/>
      </w:pPr>
    </w:lvl>
    <w:lvl w:ilvl="1">
      <w:start w:val="5"/>
      <w:numFmt w:val="decimal"/>
      <w:isLgl/>
      <w:lvlText w:val="%1.%2."/>
      <w:lvlJc w:val="left"/>
      <w:pPr>
        <w:tabs>
          <w:tab w:val="num" w:pos="780"/>
        </w:tabs>
        <w:ind w:left="780" w:hanging="720"/>
      </w:pPr>
    </w:lvl>
    <w:lvl w:ilvl="2">
      <w:start w:val="1"/>
      <w:numFmt w:val="decimal"/>
      <w:isLgl/>
      <w:lvlText w:val="%1.%2.%3."/>
      <w:lvlJc w:val="left"/>
      <w:pPr>
        <w:tabs>
          <w:tab w:val="num" w:pos="780"/>
        </w:tabs>
        <w:ind w:left="780" w:hanging="720"/>
      </w:pPr>
    </w:lvl>
    <w:lvl w:ilvl="3">
      <w:start w:val="1"/>
      <w:numFmt w:val="decimal"/>
      <w:isLgl/>
      <w:lvlText w:val="%1.%2.%3.%4."/>
      <w:lvlJc w:val="left"/>
      <w:pPr>
        <w:tabs>
          <w:tab w:val="num" w:pos="1140"/>
        </w:tabs>
        <w:ind w:left="1140" w:hanging="1080"/>
      </w:pPr>
    </w:lvl>
    <w:lvl w:ilvl="4">
      <w:start w:val="1"/>
      <w:numFmt w:val="decimal"/>
      <w:isLgl/>
      <w:lvlText w:val="%1.%2.%3.%4.%5."/>
      <w:lvlJc w:val="left"/>
      <w:pPr>
        <w:tabs>
          <w:tab w:val="num" w:pos="1140"/>
        </w:tabs>
        <w:ind w:left="1140" w:hanging="1080"/>
      </w:pPr>
    </w:lvl>
    <w:lvl w:ilvl="5">
      <w:start w:val="1"/>
      <w:numFmt w:val="decimal"/>
      <w:isLgl/>
      <w:lvlText w:val="%1.%2.%3.%4.%5.%6."/>
      <w:lvlJc w:val="left"/>
      <w:pPr>
        <w:tabs>
          <w:tab w:val="num" w:pos="1500"/>
        </w:tabs>
        <w:ind w:left="1500" w:hanging="1440"/>
      </w:pPr>
    </w:lvl>
    <w:lvl w:ilvl="6">
      <w:start w:val="1"/>
      <w:numFmt w:val="decimal"/>
      <w:isLgl/>
      <w:lvlText w:val="%1.%2.%3.%4.%5.%6.%7."/>
      <w:lvlJc w:val="left"/>
      <w:pPr>
        <w:tabs>
          <w:tab w:val="num" w:pos="1500"/>
        </w:tabs>
        <w:ind w:left="1500" w:hanging="1440"/>
      </w:pPr>
    </w:lvl>
    <w:lvl w:ilvl="7">
      <w:start w:val="1"/>
      <w:numFmt w:val="decimal"/>
      <w:isLgl/>
      <w:lvlText w:val="%1.%2.%3.%4.%5.%6.%7.%8."/>
      <w:lvlJc w:val="left"/>
      <w:pPr>
        <w:tabs>
          <w:tab w:val="num" w:pos="1860"/>
        </w:tabs>
        <w:ind w:left="1860" w:hanging="1800"/>
      </w:pPr>
    </w:lvl>
    <w:lvl w:ilvl="8">
      <w:start w:val="1"/>
      <w:numFmt w:val="decimal"/>
      <w:isLgl/>
      <w:lvlText w:val="%1.%2.%3.%4.%5.%6.%7.%8.%9."/>
      <w:lvlJc w:val="left"/>
      <w:pPr>
        <w:tabs>
          <w:tab w:val="num" w:pos="2220"/>
        </w:tabs>
        <w:ind w:left="2220" w:hanging="2160"/>
      </w:pPr>
    </w:lvl>
  </w:abstractNum>
  <w:abstractNum w:abstractNumId="7">
    <w:nsid w:val="40F83272"/>
    <w:multiLevelType w:val="hybridMultilevel"/>
    <w:tmpl w:val="FF4825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ACA5D23"/>
    <w:multiLevelType w:val="hybridMultilevel"/>
    <w:tmpl w:val="0A5CD642"/>
    <w:lvl w:ilvl="0" w:tplc="A846F4A6">
      <w:start w:val="4"/>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AF97764"/>
    <w:multiLevelType w:val="multilevel"/>
    <w:tmpl w:val="FD6011A0"/>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84170BB"/>
    <w:multiLevelType w:val="multilevel"/>
    <w:tmpl w:val="2FB24A7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9FA751C"/>
    <w:multiLevelType w:val="multilevel"/>
    <w:tmpl w:val="FBC66BF0"/>
    <w:lvl w:ilvl="0">
      <w:start w:val="4"/>
      <w:numFmt w:val="decimal"/>
      <w:lvlText w:val="%1"/>
      <w:lvlJc w:val="left"/>
      <w:pPr>
        <w:ind w:left="360" w:hanging="360"/>
      </w:pPr>
      <w:rPr>
        <w:rFonts w:hint="default"/>
      </w:rPr>
    </w:lvl>
    <w:lvl w:ilvl="1">
      <w:start w:val="4"/>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12">
    <w:nsid w:val="72306A2A"/>
    <w:multiLevelType w:val="multilevel"/>
    <w:tmpl w:val="F1AAA80A"/>
    <w:lvl w:ilvl="0">
      <w:start w:val="4"/>
      <w:numFmt w:val="decimal"/>
      <w:lvlText w:val="%1."/>
      <w:lvlJc w:val="left"/>
      <w:pPr>
        <w:tabs>
          <w:tab w:val="num" w:pos="1140"/>
        </w:tabs>
        <w:ind w:left="1140" w:hanging="360"/>
      </w:pPr>
    </w:lvl>
    <w:lvl w:ilvl="1">
      <w:start w:val="5"/>
      <w:numFmt w:val="decimal"/>
      <w:isLgl/>
      <w:lvlText w:val="%1.%2."/>
      <w:lvlJc w:val="left"/>
      <w:pPr>
        <w:tabs>
          <w:tab w:val="num" w:pos="1500"/>
        </w:tabs>
        <w:ind w:left="1500" w:hanging="720"/>
      </w:pPr>
    </w:lvl>
    <w:lvl w:ilvl="2">
      <w:start w:val="1"/>
      <w:numFmt w:val="decimal"/>
      <w:isLgl/>
      <w:lvlText w:val="%1.%2.%3."/>
      <w:lvlJc w:val="left"/>
      <w:pPr>
        <w:tabs>
          <w:tab w:val="num" w:pos="1500"/>
        </w:tabs>
        <w:ind w:left="1500" w:hanging="720"/>
      </w:pPr>
    </w:lvl>
    <w:lvl w:ilvl="3">
      <w:start w:val="1"/>
      <w:numFmt w:val="decimal"/>
      <w:isLgl/>
      <w:lvlText w:val="%1.%2.%3.%4."/>
      <w:lvlJc w:val="left"/>
      <w:pPr>
        <w:tabs>
          <w:tab w:val="num" w:pos="1860"/>
        </w:tabs>
        <w:ind w:left="1860" w:hanging="1080"/>
      </w:pPr>
    </w:lvl>
    <w:lvl w:ilvl="4">
      <w:start w:val="1"/>
      <w:numFmt w:val="decimal"/>
      <w:isLgl/>
      <w:lvlText w:val="%1.%2.%3.%4.%5."/>
      <w:lvlJc w:val="left"/>
      <w:pPr>
        <w:tabs>
          <w:tab w:val="num" w:pos="1860"/>
        </w:tabs>
        <w:ind w:left="1860" w:hanging="1080"/>
      </w:pPr>
    </w:lvl>
    <w:lvl w:ilvl="5">
      <w:start w:val="1"/>
      <w:numFmt w:val="decimal"/>
      <w:isLgl/>
      <w:lvlText w:val="%1.%2.%3.%4.%5.%6."/>
      <w:lvlJc w:val="left"/>
      <w:pPr>
        <w:tabs>
          <w:tab w:val="num" w:pos="2220"/>
        </w:tabs>
        <w:ind w:left="2220" w:hanging="1440"/>
      </w:pPr>
    </w:lvl>
    <w:lvl w:ilvl="6">
      <w:start w:val="1"/>
      <w:numFmt w:val="decimal"/>
      <w:isLgl/>
      <w:lvlText w:val="%1.%2.%3.%4.%5.%6.%7."/>
      <w:lvlJc w:val="left"/>
      <w:pPr>
        <w:tabs>
          <w:tab w:val="num" w:pos="2220"/>
        </w:tabs>
        <w:ind w:left="2220" w:hanging="1440"/>
      </w:pPr>
    </w:lvl>
    <w:lvl w:ilvl="7">
      <w:start w:val="1"/>
      <w:numFmt w:val="decimal"/>
      <w:isLgl/>
      <w:lvlText w:val="%1.%2.%3.%4.%5.%6.%7.%8."/>
      <w:lvlJc w:val="left"/>
      <w:pPr>
        <w:tabs>
          <w:tab w:val="num" w:pos="2580"/>
        </w:tabs>
        <w:ind w:left="2580" w:hanging="1800"/>
      </w:pPr>
    </w:lvl>
    <w:lvl w:ilvl="8">
      <w:start w:val="1"/>
      <w:numFmt w:val="decimal"/>
      <w:isLgl/>
      <w:lvlText w:val="%1.%2.%3.%4.%5.%6.%7.%8.%9."/>
      <w:lvlJc w:val="left"/>
      <w:pPr>
        <w:tabs>
          <w:tab w:val="num" w:pos="2940"/>
        </w:tabs>
        <w:ind w:left="2940" w:hanging="2160"/>
      </w:pPr>
    </w:lvl>
  </w:abstractNum>
  <w:num w:numId="1">
    <w:abstractNumId w:val="1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11"/>
  </w:num>
  <w:num w:numId="11">
    <w:abstractNumId w:val="3"/>
  </w:num>
  <w:num w:numId="12">
    <w:abstractNumId w:val="10"/>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6979DD"/>
    <w:rsid w:val="00052100"/>
    <w:rsid w:val="00055C43"/>
    <w:rsid w:val="00101EFB"/>
    <w:rsid w:val="001463DF"/>
    <w:rsid w:val="00152D5D"/>
    <w:rsid w:val="001E3FC8"/>
    <w:rsid w:val="003165BA"/>
    <w:rsid w:val="00320229"/>
    <w:rsid w:val="003D7C5C"/>
    <w:rsid w:val="004036B8"/>
    <w:rsid w:val="004B20BA"/>
    <w:rsid w:val="004C2CD3"/>
    <w:rsid w:val="006320B9"/>
    <w:rsid w:val="0068100B"/>
    <w:rsid w:val="006979DD"/>
    <w:rsid w:val="007701A8"/>
    <w:rsid w:val="007C2282"/>
    <w:rsid w:val="007D4370"/>
    <w:rsid w:val="00895EF1"/>
    <w:rsid w:val="009250A3"/>
    <w:rsid w:val="0096489F"/>
    <w:rsid w:val="009A24B9"/>
    <w:rsid w:val="00B25D25"/>
    <w:rsid w:val="00BC6D25"/>
    <w:rsid w:val="00BF0EF5"/>
    <w:rsid w:val="00C9363A"/>
    <w:rsid w:val="00D62C29"/>
    <w:rsid w:val="00E21AD8"/>
    <w:rsid w:val="00F2281C"/>
    <w:rsid w:val="00F53B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qFormat/>
    <w:pPr>
      <w:keepNext/>
      <w:outlineLvl w:val="0"/>
    </w:pPr>
    <w:rPr>
      <w:rFonts w:ascii="Arial" w:hAnsi="Arial" w:cs="Arial"/>
      <w:b/>
      <w:bCs/>
      <w:kern w:val="36"/>
    </w:rPr>
  </w:style>
  <w:style w:type="paragraph" w:styleId="2">
    <w:name w:val="heading 2"/>
    <w:basedOn w:val="a"/>
    <w:qFormat/>
    <w:pPr>
      <w:keepNext/>
      <w:outlineLvl w:val="1"/>
    </w:pPr>
    <w:rPr>
      <w:b/>
      <w:bCs/>
      <w:u w:val="single"/>
    </w:rPr>
  </w:style>
  <w:style w:type="paragraph" w:styleId="3">
    <w:name w:val="heading 3"/>
    <w:basedOn w:val="a"/>
    <w:qFormat/>
    <w:pPr>
      <w:keepNext/>
      <w:ind w:left="780"/>
      <w:outlineLvl w:val="2"/>
    </w:pPr>
    <w:rPr>
      <w:u w:val="single"/>
    </w:rPr>
  </w:style>
  <w:style w:type="paragraph" w:styleId="4">
    <w:name w:val="heading 4"/>
    <w:basedOn w:val="a"/>
    <w:next w:val="a"/>
    <w:qFormat/>
    <w:pPr>
      <w:keepNext/>
      <w:ind w:left="720" w:hanging="720"/>
      <w:jc w:val="both"/>
      <w:outlineLvl w:val="3"/>
    </w:pPr>
    <w:rPr>
      <w:b/>
      <w:bCs/>
    </w:rPr>
  </w:style>
  <w:style w:type="paragraph" w:styleId="5">
    <w:name w:val="heading 5"/>
    <w:basedOn w:val="a"/>
    <w:next w:val="a"/>
    <w:qFormat/>
    <w:pPr>
      <w:keepNext/>
      <w:ind w:left="720" w:hanging="720"/>
      <w:jc w:val="both"/>
      <w:outlineLvl w:val="4"/>
    </w:pPr>
    <w:rPr>
      <w:b/>
      <w:bCs/>
      <w:u w:val="single"/>
    </w:rPr>
  </w:style>
  <w:style w:type="paragraph" w:styleId="6">
    <w:name w:val="heading 6"/>
    <w:basedOn w:val="a"/>
    <w:next w:val="a"/>
    <w:qFormat/>
    <w:pPr>
      <w:keepNext/>
      <w:ind w:left="720" w:hanging="720"/>
      <w:jc w:val="both"/>
      <w:outlineLvl w:val="5"/>
    </w:pPr>
    <w:rPr>
      <w:b/>
      <w:bCs/>
      <w:sz w:val="22"/>
      <w:u w:val="single"/>
    </w:rPr>
  </w:style>
  <w:style w:type="paragraph" w:styleId="7">
    <w:name w:val="heading 7"/>
    <w:basedOn w:val="a"/>
    <w:next w:val="a"/>
    <w:qFormat/>
    <w:pPr>
      <w:keepNext/>
      <w:jc w:val="center"/>
      <w:outlineLvl w:val="6"/>
    </w:pPr>
    <w:rPr>
      <w:b/>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rFonts w:ascii="Arial" w:hAnsi="Arial"/>
      <w:b/>
      <w:bCs/>
      <w:lang w:eastAsia="en-US"/>
    </w:rPr>
  </w:style>
  <w:style w:type="paragraph" w:styleId="a4">
    <w:name w:val="footer"/>
    <w:basedOn w:val="a"/>
    <w:semiHidden/>
  </w:style>
  <w:style w:type="paragraph" w:styleId="20">
    <w:name w:val="Body Text Indent 2"/>
    <w:basedOn w:val="a"/>
    <w:semiHidden/>
    <w:pPr>
      <w:ind w:left="1245"/>
    </w:pPr>
    <w:rPr>
      <w:rFonts w:ascii="Arial" w:hAnsi="Arial" w:cs="Arial"/>
    </w:rPr>
  </w:style>
  <w:style w:type="paragraph" w:styleId="30">
    <w:name w:val="Body Text Indent 3"/>
    <w:basedOn w:val="a"/>
    <w:semiHidden/>
    <w:pPr>
      <w:ind w:left="975"/>
    </w:pPr>
    <w:rPr>
      <w:rFonts w:ascii="Arial" w:hAnsi="Arial" w:cs="Arial"/>
    </w:rPr>
  </w:style>
  <w:style w:type="paragraph" w:styleId="a5">
    <w:name w:val="Balloon Text"/>
    <w:basedOn w:val="a"/>
    <w:semiHidden/>
    <w:unhideWhenUsed/>
    <w:rPr>
      <w:rFonts w:ascii="Tahoma" w:hAnsi="Tahoma" w:cs="Tahoma"/>
      <w:sz w:val="16"/>
      <w:szCs w:val="16"/>
    </w:rPr>
  </w:style>
  <w:style w:type="character" w:customStyle="1" w:styleId="CharChar">
    <w:name w:val=" Char Char"/>
    <w:semiHidden/>
    <w:rPr>
      <w:rFonts w:ascii="Tahoma" w:hAnsi="Tahoma" w:cs="Tahoma"/>
      <w:sz w:val="16"/>
      <w:szCs w:val="16"/>
    </w:rPr>
  </w:style>
  <w:style w:type="paragraph" w:styleId="a6">
    <w:name w:val="Body Text Indent"/>
    <w:basedOn w:val="a"/>
    <w:semiHidden/>
    <w:pPr>
      <w:ind w:left="720" w:hanging="720"/>
    </w:pPr>
    <w:rPr>
      <w:lang w:val="en-US"/>
    </w:rPr>
  </w:style>
  <w:style w:type="paragraph" w:styleId="21">
    <w:name w:val="Body Text 2"/>
    <w:basedOn w:val="a"/>
    <w:semiHidden/>
    <w:pPr>
      <w:tabs>
        <w:tab w:val="left" w:pos="0"/>
        <w:tab w:val="left" w:pos="1296"/>
        <w:tab w:val="left" w:pos="2592"/>
        <w:tab w:val="left" w:pos="3888"/>
        <w:tab w:val="left" w:pos="5184"/>
        <w:tab w:val="left" w:pos="6480"/>
        <w:tab w:val="left" w:pos="7776"/>
        <w:tab w:val="left" w:pos="9072"/>
      </w:tabs>
      <w:suppressAutoHyphens/>
    </w:pPr>
    <w:rPr>
      <w:szCs w:val="22"/>
      <w:lang w:val="en-GB" w:eastAsia="en-US"/>
    </w:rPr>
  </w:style>
  <w:style w:type="character" w:styleId="-">
    <w:name w:val="Hyperlink"/>
    <w:semiHidden/>
    <w:rPr>
      <w:color w:val="0000FF"/>
      <w:u w:val="single"/>
    </w:rPr>
  </w:style>
  <w:style w:type="paragraph" w:styleId="31">
    <w:name w:val="Body Text 3"/>
    <w:basedOn w:val="a"/>
    <w:semiHidden/>
    <w:pPr>
      <w:numPr>
        <w:ilvl w:val="12"/>
      </w:numPr>
      <w:tabs>
        <w:tab w:val="left" w:pos="720"/>
      </w:tabs>
      <w:ind w:right="-2"/>
      <w:jc w:val="both"/>
    </w:pPr>
    <w:rPr>
      <w:rFonts w:ascii="Arial" w:hAnsi="Arial" w:cs="Arial"/>
      <w:bCs/>
      <w:iCs/>
      <w:color w:val="000000"/>
      <w:sz w:val="20"/>
      <w:szCs w:val="22"/>
      <w:lang w:val="en-US" w:eastAsia="fr-FR"/>
    </w:rPr>
  </w:style>
  <w:style w:type="paragraph" w:styleId="a7">
    <w:name w:val="Body Text"/>
    <w:basedOn w:val="a"/>
    <w:semiHidden/>
    <w:pPr>
      <w:shd w:val="clear" w:color="auto" w:fill="FFFFFF"/>
      <w:tabs>
        <w:tab w:val="left" w:pos="0"/>
      </w:tabs>
      <w:spacing w:before="120"/>
      <w:jc w:val="both"/>
    </w:pPr>
    <w:rPr>
      <w:rFonts w:ascii="Arial" w:hAnsi="Arial" w:cs="Arial"/>
      <w:snapToGrid w:val="0"/>
      <w:sz w:val="20"/>
      <w:lang w:val="en-GB" w:eastAsia="en-US"/>
    </w:rPr>
  </w:style>
  <w:style w:type="character" w:customStyle="1" w:styleId="hps">
    <w:name w:val="hps"/>
    <w:basedOn w:val="a0"/>
  </w:style>
  <w:style w:type="paragraph" w:customStyle="1" w:styleId="AmmCorpsTexte">
    <w:name w:val="AmmCorpsTexte"/>
    <w:basedOn w:val="a"/>
    <w:pPr>
      <w:spacing w:after="120"/>
      <w:jc w:val="both"/>
    </w:pPr>
    <w:rPr>
      <w:rFonts w:ascii="Arial" w:hAnsi="Arial" w:cs="Arial"/>
      <w:snapToGrid w:val="0"/>
      <w:sz w:val="20"/>
      <w:szCs w:val="20"/>
      <w:lang w:val="fr-FR" w:eastAsia="en-US"/>
    </w:rPr>
  </w:style>
  <w:style w:type="paragraph" w:customStyle="1" w:styleId="AmmTableauTitre1">
    <w:name w:val="AmmTableauTitre1"/>
    <w:basedOn w:val="AmmCorpsTexte"/>
    <w:pPr>
      <w:spacing w:before="120"/>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hospital-line.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48493-A038-4358-A15E-FA658548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4317</Words>
  <Characters>23317</Characters>
  <Application>Microsoft Office Word</Application>
  <DocSecurity>0</DocSecurity>
  <Lines>194</Lines>
  <Paragraphs>55</Paragraphs>
  <ScaleCrop>false</ScaleCrop>
  <HeadingPairs>
    <vt:vector size="6" baseType="variant">
      <vt:variant>
        <vt:lpstr>Τίτλος</vt:lpstr>
      </vt:variant>
      <vt:variant>
        <vt:i4>1</vt:i4>
      </vt:variant>
      <vt:variant>
        <vt:lpstr>Title</vt:lpstr>
      </vt:variant>
      <vt:variant>
        <vt:i4>1</vt:i4>
      </vt:variant>
      <vt:variant>
        <vt:lpstr>Titre</vt:lpstr>
      </vt:variant>
      <vt:variant>
        <vt:i4>1</vt:i4>
      </vt:variant>
    </vt:vector>
  </HeadingPairs>
  <TitlesOfParts>
    <vt:vector size="3" baseType="lpstr">
      <vt:lpstr>ΠΕΡΙΛΗΨΗ ΧΑΡΑΚΤΗΡΙΣΤΙΚΩΝ ΤΟΥ ΠΡΟΪΟΝΤΟΣ</vt:lpstr>
      <vt:lpstr>ΠΕΡΙΛΗΨΗ ΧΑΡΑΚΤΗΡΙΣΤΙΚΩΝ ΤΟΥ ΠΡΟΪΟΝΤΟΣ</vt:lpstr>
      <vt:lpstr>ΠΕΡΙΛΗΨΗ ΧΑΡΑΚΤΗΡΙΣΤΙΚΩΝ ΤΟΥ ΠΡΟΪΟΝΤΟΣ</vt:lpstr>
    </vt:vector>
  </TitlesOfParts>
  <Company>Apivita</Company>
  <LinksUpToDate>false</LinksUpToDate>
  <CharactersWithSpaces>27579</CharactersWithSpaces>
  <SharedDoc>false</SharedDoc>
  <HLinks>
    <vt:vector size="6" baseType="variant">
      <vt:variant>
        <vt:i4>7602206</vt:i4>
      </vt:variant>
      <vt:variant>
        <vt:i4>0</vt:i4>
      </vt:variant>
      <vt:variant>
        <vt:i4>0</vt:i4>
      </vt:variant>
      <vt:variant>
        <vt:i4>5</vt:i4>
      </vt:variant>
      <vt:variant>
        <vt:lpwstr>mailto:info@hospital-line.gr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ΧΑΡΑΚΤΗΡΙΣΤΙΚΩΝ ΤΟΥ ΠΡΟΪΟΝΤΟΣ</dc:title>
  <dc:creator>tserpe-e</dc:creator>
  <cp:lastModifiedBy>user146</cp:lastModifiedBy>
  <cp:revision>4</cp:revision>
  <dcterms:created xsi:type="dcterms:W3CDTF">2013-06-21T08:37:00Z</dcterms:created>
  <dcterms:modified xsi:type="dcterms:W3CDTF">2013-06-21T08:42:00Z</dcterms:modified>
</cp:coreProperties>
</file>