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9FB" w:rsidRPr="00A1659E" w:rsidRDefault="000309FB" w:rsidP="00240ED3">
      <w:pPr>
        <w:pStyle w:val="Bullet1"/>
        <w:ind w:left="0"/>
        <w:rPr>
          <w:rFonts w:ascii="Times New Roman" w:hAnsi="Times New Roman"/>
          <w:b/>
          <w:sz w:val="22"/>
          <w:szCs w:val="22"/>
          <w:lang w:val="el-GR"/>
        </w:rPr>
      </w:pPr>
      <w:r w:rsidRPr="00A1659E">
        <w:rPr>
          <w:rFonts w:ascii="Times New Roman" w:hAnsi="Times New Roman"/>
          <w:b/>
          <w:sz w:val="22"/>
          <w:szCs w:val="22"/>
          <w:lang w:val="el-GR"/>
        </w:rPr>
        <w:t xml:space="preserve">1. ΟΝΟΜΑΣΙΑ ΤΟΥ ΦΑΡΜΑΚΕΥΤΙΚΟΥ ΠΡΟΙΟΝΤΟΣ </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sz w:val="22"/>
          <w:szCs w:val="22"/>
          <w:lang w:val="el-GR"/>
        </w:rPr>
      </w:pPr>
      <w:r w:rsidRPr="00A1659E">
        <w:rPr>
          <w:rFonts w:ascii="Times New Roman" w:hAnsi="Times New Roman"/>
          <w:b/>
          <w:bCs/>
          <w:sz w:val="22"/>
          <w:szCs w:val="22"/>
        </w:rPr>
        <w:t>SEVORANE</w:t>
      </w:r>
      <w:r w:rsidRPr="00A1659E">
        <w:rPr>
          <w:rFonts w:ascii="Times New Roman" w:hAnsi="Times New Roman"/>
          <w:b/>
          <w:bCs/>
          <w:sz w:val="22"/>
          <w:szCs w:val="22"/>
          <w:vertAlign w:val="superscript"/>
          <w:lang w:val="el-GR"/>
        </w:rPr>
        <w:t>®</w:t>
      </w:r>
      <w:r w:rsidRPr="00A1659E">
        <w:rPr>
          <w:rFonts w:ascii="Times New Roman" w:hAnsi="Times New Roman"/>
          <w:sz w:val="22"/>
          <w:szCs w:val="22"/>
          <w:lang w:val="el-GR"/>
        </w:rPr>
        <w:t xml:space="preserve"> </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a3"/>
        <w:rPr>
          <w:rFonts w:ascii="Times New Roman" w:hAnsi="Times New Roman"/>
          <w:sz w:val="22"/>
          <w:szCs w:val="22"/>
          <w:lang w:val="el-GR"/>
        </w:rPr>
      </w:pPr>
      <w:r w:rsidRPr="00A1659E">
        <w:rPr>
          <w:rFonts w:ascii="Times New Roman" w:hAnsi="Times New Roman"/>
          <w:b/>
          <w:bCs/>
          <w:sz w:val="22"/>
          <w:szCs w:val="22"/>
          <w:lang w:val="el-GR"/>
        </w:rPr>
        <w:t xml:space="preserve">2. ΠΟΙΟΤΙΚΗ ΚΑΙ ΠΟΣΟΤΙΚΗ ΣΥΝΘΕΣΗ ΣΕ ΔΡΑΣΤΙΚΑ ΣΥΣΤΑΤΙΚΑ </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sz w:val="22"/>
          <w:szCs w:val="22"/>
          <w:lang w:val="el-GR"/>
        </w:rPr>
      </w:pPr>
      <w:proofErr w:type="spellStart"/>
      <w:r w:rsidRPr="00A1659E">
        <w:rPr>
          <w:rFonts w:ascii="Times New Roman" w:hAnsi="Times New Roman"/>
          <w:sz w:val="22"/>
          <w:szCs w:val="22"/>
        </w:rPr>
        <w:t>Sevoflurane</w:t>
      </w:r>
      <w:proofErr w:type="spellEnd"/>
      <w:r w:rsidRPr="00A1659E">
        <w:rPr>
          <w:rFonts w:ascii="Times New Roman" w:hAnsi="Times New Roman"/>
          <w:sz w:val="22"/>
          <w:szCs w:val="22"/>
          <w:lang w:val="el-GR"/>
        </w:rPr>
        <w:t xml:space="preserve"> 100 % </w:t>
      </w:r>
      <w:r w:rsidRPr="00A1659E">
        <w:rPr>
          <w:rFonts w:ascii="Times New Roman" w:hAnsi="Times New Roman"/>
          <w:sz w:val="22"/>
          <w:szCs w:val="22"/>
        </w:rPr>
        <w:t>W</w:t>
      </w:r>
      <w:r w:rsidRPr="00A1659E">
        <w:rPr>
          <w:rFonts w:ascii="Times New Roman" w:hAnsi="Times New Roman"/>
          <w:sz w:val="22"/>
          <w:szCs w:val="22"/>
          <w:lang w:val="el-GR"/>
        </w:rPr>
        <w:t>/</w:t>
      </w:r>
      <w:r w:rsidRPr="00A1659E">
        <w:rPr>
          <w:rFonts w:ascii="Times New Roman" w:hAnsi="Times New Roman"/>
          <w:sz w:val="22"/>
          <w:szCs w:val="22"/>
        </w:rPr>
        <w:t>W</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a3"/>
        <w:rPr>
          <w:rFonts w:ascii="Times New Roman" w:hAnsi="Times New Roman"/>
          <w:sz w:val="22"/>
          <w:szCs w:val="22"/>
          <w:lang w:val="el-GR"/>
        </w:rPr>
      </w:pPr>
      <w:r w:rsidRPr="00A1659E">
        <w:rPr>
          <w:rFonts w:ascii="Times New Roman" w:hAnsi="Times New Roman"/>
          <w:b/>
          <w:bCs/>
          <w:sz w:val="22"/>
          <w:szCs w:val="22"/>
          <w:lang w:val="el-GR"/>
        </w:rPr>
        <w:t>3.</w:t>
      </w:r>
      <w:r w:rsidRPr="00A1659E">
        <w:rPr>
          <w:rFonts w:ascii="Times New Roman" w:hAnsi="Times New Roman"/>
          <w:sz w:val="22"/>
          <w:szCs w:val="22"/>
          <w:lang w:val="el-GR"/>
        </w:rPr>
        <w:t xml:space="preserve"> </w:t>
      </w:r>
      <w:r w:rsidRPr="00A1659E">
        <w:rPr>
          <w:rFonts w:ascii="Times New Roman" w:hAnsi="Times New Roman"/>
          <w:b/>
          <w:bCs/>
          <w:sz w:val="22"/>
          <w:szCs w:val="22"/>
          <w:lang w:val="el-GR"/>
        </w:rPr>
        <w:t xml:space="preserve">ΦΑΡΜΑΚΟΤΕΧΝΙΚΗ ΜΟΡΦΗ </w:t>
      </w:r>
    </w:p>
    <w:p w:rsidR="000309FB" w:rsidRPr="00A1659E" w:rsidRDefault="000309FB">
      <w:pPr>
        <w:pStyle w:val="a3"/>
        <w:rPr>
          <w:rFonts w:ascii="Times New Roman" w:hAnsi="Times New Roman"/>
          <w:sz w:val="22"/>
          <w:szCs w:val="22"/>
          <w:lang w:val="el-GR"/>
        </w:rPr>
      </w:pPr>
      <w:r w:rsidRPr="00A1659E">
        <w:rPr>
          <w:rFonts w:ascii="Times New Roman" w:hAnsi="Times New Roman"/>
          <w:sz w:val="22"/>
          <w:szCs w:val="22"/>
          <w:lang w:val="el-GR"/>
        </w:rPr>
        <w:t xml:space="preserve"> </w:t>
      </w:r>
    </w:p>
    <w:p w:rsidR="000309FB" w:rsidRPr="00A1659E" w:rsidRDefault="000309FB">
      <w:pPr>
        <w:pStyle w:val="Bullet1"/>
        <w:ind w:left="0"/>
        <w:rPr>
          <w:rFonts w:ascii="Times New Roman" w:hAnsi="Times New Roman"/>
          <w:sz w:val="22"/>
          <w:szCs w:val="22"/>
          <w:lang w:val="el-GR"/>
        </w:rPr>
      </w:pPr>
      <w:r w:rsidRPr="00A1659E">
        <w:rPr>
          <w:rFonts w:ascii="Times New Roman" w:hAnsi="Times New Roman"/>
          <w:sz w:val="22"/>
          <w:szCs w:val="22"/>
          <w:lang w:val="el-GR"/>
        </w:rPr>
        <w:t>Υγρό πτητικό για γενική αναισθησία</w:t>
      </w:r>
      <w:r w:rsidR="006838B4" w:rsidRPr="00A1659E">
        <w:rPr>
          <w:rFonts w:ascii="Times New Roman" w:hAnsi="Times New Roman"/>
          <w:sz w:val="22"/>
          <w:szCs w:val="22"/>
          <w:lang w:val="el-GR"/>
        </w:rPr>
        <w:t>.</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a3"/>
        <w:rPr>
          <w:rFonts w:ascii="Times New Roman" w:hAnsi="Times New Roman"/>
          <w:sz w:val="22"/>
          <w:szCs w:val="22"/>
          <w:lang w:val="el-GR"/>
        </w:rPr>
      </w:pPr>
      <w:r w:rsidRPr="00A1659E">
        <w:rPr>
          <w:rFonts w:ascii="Times New Roman" w:hAnsi="Times New Roman"/>
          <w:b/>
          <w:bCs/>
          <w:sz w:val="22"/>
          <w:szCs w:val="22"/>
          <w:lang w:val="el-GR"/>
        </w:rPr>
        <w:t>4.</w:t>
      </w:r>
      <w:r w:rsidRPr="00A1659E">
        <w:rPr>
          <w:rFonts w:ascii="Times New Roman" w:hAnsi="Times New Roman"/>
          <w:sz w:val="22"/>
          <w:szCs w:val="22"/>
          <w:lang w:val="el-GR"/>
        </w:rPr>
        <w:t xml:space="preserve"> </w:t>
      </w:r>
      <w:r w:rsidRPr="00A1659E">
        <w:rPr>
          <w:rFonts w:ascii="Times New Roman" w:hAnsi="Times New Roman"/>
          <w:b/>
          <w:bCs/>
          <w:sz w:val="22"/>
          <w:szCs w:val="22"/>
          <w:lang w:val="el-GR"/>
        </w:rPr>
        <w:t>ΚΛΙΝΙΚΕΣ ΠΛΗΡΟΦΟΡΙΕΣ</w:t>
      </w:r>
    </w:p>
    <w:p w:rsidR="000309FB" w:rsidRPr="00A1659E" w:rsidRDefault="000309FB">
      <w:pPr>
        <w:pStyle w:val="a3"/>
        <w:rPr>
          <w:rFonts w:ascii="Times New Roman" w:hAnsi="Times New Roman"/>
          <w:sz w:val="22"/>
          <w:szCs w:val="22"/>
          <w:lang w:val="el-GR"/>
        </w:rPr>
      </w:pPr>
    </w:p>
    <w:p w:rsidR="000309FB" w:rsidRPr="00A1659E" w:rsidRDefault="000309FB">
      <w:pPr>
        <w:pStyle w:val="a3"/>
        <w:rPr>
          <w:rFonts w:ascii="Times New Roman" w:hAnsi="Times New Roman"/>
          <w:sz w:val="22"/>
          <w:szCs w:val="22"/>
          <w:lang w:val="el-GR"/>
        </w:rPr>
      </w:pPr>
      <w:r w:rsidRPr="00A1659E">
        <w:rPr>
          <w:rFonts w:ascii="Times New Roman" w:hAnsi="Times New Roman"/>
          <w:b/>
          <w:bCs/>
          <w:sz w:val="22"/>
          <w:szCs w:val="22"/>
          <w:lang w:val="el-GR"/>
        </w:rPr>
        <w:t xml:space="preserve">4.1 Θεραπευτικές ενδείξεις </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sz w:val="22"/>
          <w:szCs w:val="22"/>
          <w:lang w:val="el-GR"/>
        </w:rPr>
      </w:pPr>
      <w:r w:rsidRPr="00A1659E">
        <w:rPr>
          <w:rFonts w:ascii="Times New Roman" w:hAnsi="Times New Roman"/>
          <w:sz w:val="22"/>
          <w:szCs w:val="22"/>
          <w:lang w:val="el-GR"/>
        </w:rPr>
        <w:t>Το σεβοφλουράνιο ενδείκνυται για την εισαγωγή και διατήρηση γενικής αναισθησίας σε χειρουργικές επεμβάσεις ενηλίκων και παιδιών είτε σε ενδονοσοκομειακούς ασθενείς είτε στα εξωτερικά ιατρεία.</w:t>
      </w:r>
    </w:p>
    <w:p w:rsidR="000309FB" w:rsidRPr="00A1659E" w:rsidRDefault="000309FB">
      <w:pPr>
        <w:pStyle w:val="Bullet1"/>
        <w:ind w:left="0"/>
        <w:rPr>
          <w:rFonts w:ascii="Times New Roman" w:hAnsi="Times New Roman"/>
          <w:sz w:val="22"/>
          <w:szCs w:val="22"/>
          <w:lang w:val="el-GR"/>
        </w:rPr>
      </w:pPr>
      <w:r w:rsidRPr="00A1659E">
        <w:rPr>
          <w:rFonts w:ascii="Times New Roman" w:hAnsi="Times New Roman"/>
          <w:sz w:val="22"/>
          <w:szCs w:val="22"/>
          <w:lang w:val="el-GR"/>
        </w:rPr>
        <w:t xml:space="preserve"> </w:t>
      </w:r>
    </w:p>
    <w:p w:rsidR="000309FB" w:rsidRPr="00A1659E" w:rsidRDefault="000309FB">
      <w:pPr>
        <w:pStyle w:val="a3"/>
        <w:rPr>
          <w:rFonts w:ascii="Times New Roman" w:hAnsi="Times New Roman"/>
          <w:sz w:val="22"/>
          <w:szCs w:val="22"/>
          <w:lang w:val="el-GR"/>
        </w:rPr>
      </w:pPr>
      <w:r w:rsidRPr="00A1659E">
        <w:rPr>
          <w:rFonts w:ascii="Times New Roman" w:hAnsi="Times New Roman"/>
          <w:b/>
          <w:bCs/>
          <w:sz w:val="22"/>
          <w:szCs w:val="22"/>
          <w:lang w:val="el-GR"/>
        </w:rPr>
        <w:t>4.2</w:t>
      </w:r>
      <w:r w:rsidRPr="00A1659E">
        <w:rPr>
          <w:rFonts w:ascii="Times New Roman" w:hAnsi="Times New Roman"/>
          <w:sz w:val="22"/>
          <w:szCs w:val="22"/>
          <w:lang w:val="el-GR"/>
        </w:rPr>
        <w:t xml:space="preserve"> </w:t>
      </w:r>
      <w:r w:rsidRPr="00A1659E">
        <w:rPr>
          <w:rFonts w:ascii="Times New Roman" w:hAnsi="Times New Roman"/>
          <w:b/>
          <w:bCs/>
          <w:sz w:val="22"/>
          <w:szCs w:val="22"/>
          <w:lang w:val="el-GR"/>
        </w:rPr>
        <w:t>Δοσολογία και τ</w:t>
      </w:r>
      <w:r w:rsidR="005E267A" w:rsidRPr="00A1659E">
        <w:rPr>
          <w:rFonts w:ascii="Times New Roman" w:hAnsi="Times New Roman"/>
          <w:b/>
          <w:bCs/>
          <w:sz w:val="22"/>
          <w:szCs w:val="22"/>
          <w:lang w:val="el-GR"/>
        </w:rPr>
        <w:t>ρόπος χορήγησης</w:t>
      </w:r>
      <w:r w:rsidRPr="00A1659E">
        <w:rPr>
          <w:rFonts w:ascii="Times New Roman" w:hAnsi="Times New Roman"/>
          <w:b/>
          <w:bCs/>
          <w:sz w:val="22"/>
          <w:szCs w:val="22"/>
          <w:lang w:val="el-GR"/>
        </w:rPr>
        <w:t xml:space="preserve"> </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sz w:val="22"/>
          <w:szCs w:val="22"/>
          <w:lang w:val="el-GR"/>
        </w:rPr>
      </w:pPr>
      <w:r w:rsidRPr="00A1659E">
        <w:rPr>
          <w:rFonts w:ascii="Times New Roman" w:hAnsi="Times New Roman"/>
          <w:b/>
          <w:bCs/>
          <w:sz w:val="22"/>
          <w:szCs w:val="22"/>
          <w:lang w:val="el-GR"/>
        </w:rPr>
        <w:t>Προνάρκωση:</w:t>
      </w:r>
      <w:r w:rsidR="00FB305D" w:rsidRPr="00A1659E">
        <w:rPr>
          <w:rFonts w:ascii="Times New Roman" w:hAnsi="Times New Roman"/>
          <w:b/>
          <w:bCs/>
          <w:sz w:val="22"/>
          <w:szCs w:val="22"/>
          <w:lang w:val="el-GR"/>
        </w:rPr>
        <w:t xml:space="preserve"> </w:t>
      </w:r>
      <w:r w:rsidRPr="00A1659E">
        <w:rPr>
          <w:rFonts w:ascii="Times New Roman" w:hAnsi="Times New Roman"/>
          <w:sz w:val="22"/>
          <w:szCs w:val="22"/>
          <w:lang w:val="el-GR"/>
        </w:rPr>
        <w:t>η προνάρκωση επιλέγεται ανάλογα με τις ανάγκες του ασθενούς και κατά την κρίση του αναισθησιολόγου.</w:t>
      </w:r>
    </w:p>
    <w:p w:rsidR="000309FB" w:rsidRPr="00A1659E" w:rsidRDefault="000309FB">
      <w:pPr>
        <w:pStyle w:val="Bullet1"/>
        <w:ind w:left="0"/>
        <w:rPr>
          <w:rFonts w:ascii="Times New Roman" w:hAnsi="Times New Roman"/>
          <w:sz w:val="22"/>
          <w:szCs w:val="22"/>
          <w:lang w:val="el-GR"/>
        </w:rPr>
      </w:pPr>
    </w:p>
    <w:p w:rsidR="000309FB" w:rsidRPr="00A1659E" w:rsidRDefault="000309FB">
      <w:pPr>
        <w:pStyle w:val="Bullet1"/>
        <w:ind w:left="0"/>
        <w:rPr>
          <w:rFonts w:ascii="Times New Roman" w:hAnsi="Times New Roman"/>
          <w:b/>
          <w:bCs/>
          <w:sz w:val="22"/>
          <w:szCs w:val="22"/>
          <w:lang w:val="el-GR"/>
        </w:rPr>
      </w:pPr>
      <w:r w:rsidRPr="00A1659E">
        <w:rPr>
          <w:rFonts w:ascii="Times New Roman" w:hAnsi="Times New Roman"/>
          <w:b/>
          <w:bCs/>
          <w:sz w:val="22"/>
          <w:szCs w:val="22"/>
          <w:lang w:val="el-GR"/>
        </w:rPr>
        <w:t>Χειρουργική Αναισθησία</w:t>
      </w:r>
    </w:p>
    <w:p w:rsidR="000309FB" w:rsidRPr="00A1659E" w:rsidRDefault="000309FB">
      <w:pPr>
        <w:pStyle w:val="Bullet1"/>
        <w:ind w:left="0"/>
        <w:rPr>
          <w:rFonts w:ascii="Times New Roman" w:hAnsi="Times New Roman"/>
          <w:sz w:val="22"/>
          <w:szCs w:val="22"/>
          <w:lang w:val="el-GR"/>
        </w:rPr>
      </w:pPr>
      <w:r w:rsidRPr="00A1659E">
        <w:rPr>
          <w:rFonts w:ascii="Times New Roman" w:hAnsi="Times New Roman"/>
          <w:sz w:val="22"/>
          <w:szCs w:val="22"/>
          <w:lang w:val="el-GR"/>
        </w:rPr>
        <w:t>Πρέπει να ελέγχονται οι συγκεντρώσεις του σεβοφλουρανίου που χορηγούνται. Για αυτό το λόγο, το σεβοφλουράνιο πρέπει να χορηγείται με εξαερωτήρα ειδικά διαβαθμισμένο και σχεδιασμένο για τη χρήση του, που να επιτρέπει τον ακριβή έλεγχο των χορηγουμένων πυκνοτήτων.</w:t>
      </w:r>
    </w:p>
    <w:p w:rsidR="000309FB" w:rsidRPr="00A1659E" w:rsidRDefault="000309FB">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b/>
          <w:bCs/>
          <w:i/>
          <w:sz w:val="22"/>
          <w:szCs w:val="22"/>
          <w:lang w:val="el-GR"/>
        </w:rPr>
      </w:pPr>
      <w:r w:rsidRPr="00A1659E">
        <w:rPr>
          <w:rFonts w:ascii="Times New Roman" w:hAnsi="Times New Roman"/>
          <w:b/>
          <w:i/>
          <w:iCs/>
          <w:sz w:val="22"/>
          <w:szCs w:val="22"/>
          <w:lang w:val="el-GR"/>
        </w:rPr>
        <w:t>Εισαγωγή</w:t>
      </w:r>
    </w:p>
    <w:p w:rsidR="000309FB"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Η δόση εξατομικεύεται και καθορίζεται σύμφωνα με την ηλικία και την κλινική κατάσταση του ασθενούς. Η εισαγωγή μπορεί να γίνει με βαρβιτουρικό βραχείας δράσης ή με άλλο ενδοφλέβιο αναισθητικό και να επακολουθήσει η εισπνοή σεβοφλουρανίου. Η εισαγωγή με σεβοφλουράνιο γίνεται με τη χορήγησή του σε οξυγόνο ή με μείγματα οξυγόνου και υποξειδίου του αζώτου. </w:t>
      </w:r>
      <w:proofErr w:type="gramStart"/>
      <w:r w:rsidRPr="003423AC">
        <w:rPr>
          <w:rFonts w:ascii="Times New Roman" w:hAnsi="Times New Roman"/>
          <w:sz w:val="22"/>
          <w:szCs w:val="22"/>
        </w:rPr>
        <w:t>E</w:t>
      </w:r>
      <w:r w:rsidRPr="003423AC">
        <w:rPr>
          <w:rFonts w:ascii="Times New Roman" w:hAnsi="Times New Roman"/>
          <w:sz w:val="22"/>
          <w:szCs w:val="22"/>
          <w:lang w:val="el-GR"/>
        </w:rPr>
        <w:t>ισπνεόμενες συγκεντρώσεις σεβοφλουρανίου μέχρι και 8 % συνήθως προκαλούν χειρουργική αναισθησία σε λιγότερο από 2 λεπτά τόσο στους ενήλικες όσο και στα παιδιά.</w:t>
      </w:r>
      <w:proofErr w:type="gramEnd"/>
      <w:r w:rsidRPr="003423AC">
        <w:rPr>
          <w:rFonts w:ascii="Times New Roman" w:hAnsi="Times New Roman"/>
          <w:sz w:val="22"/>
          <w:szCs w:val="22"/>
          <w:lang w:val="el-GR"/>
        </w:rPr>
        <w:t xml:space="preserve"> </w:t>
      </w:r>
    </w:p>
    <w:p w:rsidR="000309FB" w:rsidRPr="003423AC" w:rsidRDefault="000309FB">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i/>
          <w:sz w:val="22"/>
          <w:szCs w:val="22"/>
          <w:lang w:val="el-GR"/>
        </w:rPr>
      </w:pPr>
      <w:r w:rsidRPr="003423AC">
        <w:rPr>
          <w:rFonts w:ascii="Times New Roman" w:hAnsi="Times New Roman"/>
          <w:b/>
          <w:i/>
          <w:iCs/>
          <w:sz w:val="22"/>
          <w:szCs w:val="22"/>
          <w:lang w:val="el-GR"/>
        </w:rPr>
        <w:t>Διατήρηση</w:t>
      </w:r>
    </w:p>
    <w:p w:rsidR="000309FB"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Επιθυμητά επίπεδα χειρουργικής αναισθησίας διατηρούνται με πυκνότητες σεβοφλουρανίου 0,5 - 3% με ή χωρίς ταυτόχρονη χορήγηση υποξειδίου του Αζώτου</w:t>
      </w:r>
      <w:r w:rsidR="00B63B73" w:rsidRPr="003423AC">
        <w:rPr>
          <w:rFonts w:ascii="Times New Roman" w:hAnsi="Times New Roman"/>
          <w:sz w:val="22"/>
          <w:szCs w:val="22"/>
          <w:lang w:val="el-GR"/>
        </w:rPr>
        <w:t xml:space="preserve"> (βλέπε παράγραφο 4.5 </w:t>
      </w:r>
      <w:r w:rsidR="00B63B73" w:rsidRPr="003423AC">
        <w:rPr>
          <w:rFonts w:ascii="Times New Roman" w:hAnsi="Times New Roman"/>
          <w:i/>
          <w:sz w:val="22"/>
          <w:szCs w:val="22"/>
          <w:lang w:val="el-GR"/>
        </w:rPr>
        <w:t>Υποξειδίου του Αζώτου</w:t>
      </w:r>
      <w:r w:rsidR="00B63B73" w:rsidRPr="003423AC">
        <w:rPr>
          <w:rFonts w:ascii="Times New Roman" w:hAnsi="Times New Roman"/>
          <w:sz w:val="22"/>
          <w:szCs w:val="22"/>
          <w:lang w:val="el-GR"/>
        </w:rPr>
        <w:t>)</w:t>
      </w:r>
      <w:r w:rsidRPr="003423AC">
        <w:rPr>
          <w:rFonts w:ascii="Times New Roman" w:hAnsi="Times New Roman"/>
          <w:sz w:val="22"/>
          <w:szCs w:val="22"/>
          <w:lang w:val="el-GR"/>
        </w:rPr>
        <w:t xml:space="preserve">. </w:t>
      </w:r>
    </w:p>
    <w:p w:rsidR="000309FB" w:rsidRPr="003423AC" w:rsidRDefault="000309FB">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i/>
          <w:sz w:val="22"/>
          <w:szCs w:val="22"/>
          <w:lang w:val="el-GR"/>
        </w:rPr>
      </w:pPr>
      <w:r w:rsidRPr="003423AC">
        <w:rPr>
          <w:rFonts w:ascii="Times New Roman" w:hAnsi="Times New Roman"/>
          <w:b/>
          <w:i/>
          <w:iCs/>
          <w:sz w:val="22"/>
          <w:szCs w:val="22"/>
          <w:lang w:val="el-GR"/>
        </w:rPr>
        <w:t>Ηλικιωμένοι</w:t>
      </w:r>
    </w:p>
    <w:p w:rsidR="000309FB"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Όπως και με άλλα εισπνεόμενα αναισθητικά, απαιτούνται συνήθως χαμηλότερες πυκνότητες σεβοφλουρανίου για τη διατήρηση χειρουργικής αναισθησίας. Οι τιμές </w:t>
      </w:r>
      <w:r w:rsidRPr="003423AC">
        <w:rPr>
          <w:rFonts w:ascii="Times New Roman" w:hAnsi="Times New Roman"/>
          <w:sz w:val="22"/>
          <w:szCs w:val="22"/>
        </w:rPr>
        <w:t>MAC</w:t>
      </w:r>
      <w:r w:rsidRPr="003423AC">
        <w:rPr>
          <w:rFonts w:ascii="Times New Roman" w:hAnsi="Times New Roman"/>
          <w:sz w:val="22"/>
          <w:szCs w:val="22"/>
          <w:lang w:val="el-GR"/>
        </w:rPr>
        <w:t xml:space="preserve"> ελαττώνονται σε μεγαλύτερες ηλικίες. Οι μέσες συγκεντρώσεις του σεβοφλουρανίου που απαιτούνται για την διατήρηση της αναισθησίας είναι της τάξης του 50 % των συγκεντρώσεων που απαιτούνται σε άτομα ηλικίας 20 ετών.</w:t>
      </w:r>
    </w:p>
    <w:p w:rsidR="000309FB" w:rsidRPr="003423AC" w:rsidRDefault="000309FB">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b/>
          <w:bCs/>
          <w:i/>
          <w:sz w:val="22"/>
          <w:szCs w:val="22"/>
          <w:lang w:val="el-GR"/>
        </w:rPr>
      </w:pPr>
      <w:r w:rsidRPr="003423AC">
        <w:rPr>
          <w:rFonts w:ascii="Times New Roman" w:hAnsi="Times New Roman"/>
          <w:b/>
          <w:i/>
          <w:iCs/>
          <w:sz w:val="22"/>
          <w:szCs w:val="22"/>
          <w:lang w:val="el-GR"/>
        </w:rPr>
        <w:t>Ανάνηψη</w:t>
      </w:r>
    </w:p>
    <w:p w:rsidR="000309FB"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Μετά από αναισθησία με σεβοφλουράνιο, ο χρόνος ανάνηψης είναι γενικά σύντομος. Για το λόγο αυτό, μπορεί να χρειαστεί νωρίτερα μετεγχειρητική αναλγησία.</w:t>
      </w:r>
    </w:p>
    <w:p w:rsidR="000309FB" w:rsidRPr="003423AC" w:rsidRDefault="000309FB">
      <w:pPr>
        <w:pStyle w:val="Bullet1"/>
        <w:ind w:left="0"/>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 xml:space="preserve">4.3 Αντενδείξεις </w:t>
      </w:r>
    </w:p>
    <w:p w:rsidR="000309FB" w:rsidRPr="003423AC" w:rsidRDefault="000309FB">
      <w:pPr>
        <w:pStyle w:val="Bullet1"/>
        <w:ind w:left="0"/>
        <w:rPr>
          <w:rFonts w:ascii="Times New Roman" w:hAnsi="Times New Roman"/>
          <w:sz w:val="22"/>
          <w:szCs w:val="22"/>
          <w:lang w:val="el-GR"/>
        </w:rPr>
      </w:pPr>
    </w:p>
    <w:p w:rsidR="000309FB" w:rsidRPr="003423AC" w:rsidRDefault="000309FB" w:rsidP="003B7871">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Το σεβοφλουράνιο αντενδείκνυται σε ασθενείς με γνωστή </w:t>
      </w:r>
      <w:bookmarkStart w:id="0" w:name="OLE_LINK1"/>
      <w:bookmarkStart w:id="1" w:name="OLE_LINK2"/>
      <w:r w:rsidRPr="003423AC">
        <w:rPr>
          <w:rFonts w:ascii="Times New Roman" w:hAnsi="Times New Roman"/>
          <w:sz w:val="22"/>
          <w:szCs w:val="22"/>
          <w:lang w:val="el-GR"/>
        </w:rPr>
        <w:t>ή υποψία</w:t>
      </w:r>
      <w:bookmarkEnd w:id="0"/>
      <w:bookmarkEnd w:id="1"/>
      <w:r w:rsidRPr="003423AC">
        <w:rPr>
          <w:rFonts w:ascii="Times New Roman" w:hAnsi="Times New Roman"/>
          <w:sz w:val="22"/>
          <w:szCs w:val="22"/>
          <w:lang w:val="el-GR"/>
        </w:rPr>
        <w:t xml:space="preserve"> κληρονομικής προδιάθεσης σε κακοήθη υπερπυρεξία.</w:t>
      </w:r>
    </w:p>
    <w:p w:rsidR="00FC16F9" w:rsidRPr="003423AC" w:rsidRDefault="00FC16F9" w:rsidP="003B7871">
      <w:pPr>
        <w:pStyle w:val="Bullet1"/>
        <w:ind w:left="0"/>
        <w:rPr>
          <w:rFonts w:ascii="Times New Roman" w:hAnsi="Times New Roman"/>
          <w:sz w:val="22"/>
          <w:szCs w:val="22"/>
          <w:lang w:val="el-GR"/>
        </w:rPr>
      </w:pPr>
    </w:p>
    <w:p w:rsidR="00FC16F9" w:rsidRPr="003423AC" w:rsidRDefault="00FC16F9" w:rsidP="003B7871">
      <w:pPr>
        <w:pStyle w:val="Bullet1"/>
        <w:ind w:left="0"/>
        <w:rPr>
          <w:rFonts w:ascii="Times New Roman" w:hAnsi="Times New Roman"/>
          <w:sz w:val="22"/>
          <w:szCs w:val="22"/>
          <w:lang w:val="el-GR"/>
        </w:rPr>
      </w:pPr>
      <w:r w:rsidRPr="003423AC">
        <w:rPr>
          <w:rFonts w:ascii="Times New Roman" w:hAnsi="Times New Roman"/>
          <w:sz w:val="22"/>
          <w:szCs w:val="22"/>
          <w:lang w:val="el-GR"/>
        </w:rPr>
        <w:t>Το σεβοφλουράνιο αντενδείκνυται σε ασθενείς με γνωστή ή υποψία ευαισθησίας στο σεβοφλουράνιο ή σε άλλ</w:t>
      </w:r>
      <w:r w:rsidR="00E02182" w:rsidRPr="003423AC">
        <w:rPr>
          <w:rFonts w:ascii="Times New Roman" w:hAnsi="Times New Roman"/>
          <w:sz w:val="22"/>
          <w:szCs w:val="22"/>
          <w:lang w:val="el-GR"/>
        </w:rPr>
        <w:t>α</w:t>
      </w:r>
      <w:r w:rsidRPr="003423AC">
        <w:rPr>
          <w:rFonts w:ascii="Times New Roman" w:hAnsi="Times New Roman"/>
          <w:sz w:val="22"/>
          <w:szCs w:val="22"/>
          <w:lang w:val="el-GR"/>
        </w:rPr>
        <w:t xml:space="preserve"> αλογονωμέν</w:t>
      </w:r>
      <w:r w:rsidR="00E02182" w:rsidRPr="003423AC">
        <w:rPr>
          <w:rFonts w:ascii="Times New Roman" w:hAnsi="Times New Roman"/>
          <w:sz w:val="22"/>
          <w:szCs w:val="22"/>
          <w:lang w:val="el-GR"/>
        </w:rPr>
        <w:t>α</w:t>
      </w:r>
      <w:r w:rsidRPr="003423AC">
        <w:rPr>
          <w:rFonts w:ascii="Times New Roman" w:hAnsi="Times New Roman"/>
          <w:sz w:val="22"/>
          <w:szCs w:val="22"/>
          <w:lang w:val="el-GR"/>
        </w:rPr>
        <w:t xml:space="preserve"> </w:t>
      </w:r>
      <w:r w:rsidR="00E02182" w:rsidRPr="003423AC">
        <w:rPr>
          <w:rFonts w:ascii="Times New Roman" w:hAnsi="Times New Roman"/>
          <w:sz w:val="22"/>
          <w:szCs w:val="22"/>
          <w:lang w:val="el-GR"/>
        </w:rPr>
        <w:t>εισπνεόμενα αναισθητικά</w:t>
      </w:r>
      <w:r w:rsidR="00B62AFC" w:rsidRPr="003423AC">
        <w:rPr>
          <w:rFonts w:ascii="Times New Roman" w:hAnsi="Times New Roman"/>
          <w:sz w:val="22"/>
          <w:szCs w:val="22"/>
          <w:lang w:val="el-GR"/>
        </w:rPr>
        <w:t xml:space="preserve"> (ιστορικό ηπατοτοξικότητας, συνήθως συμπεριλαμβανομένων </w:t>
      </w:r>
      <w:r w:rsidR="00BB470E" w:rsidRPr="003423AC">
        <w:rPr>
          <w:rFonts w:ascii="Times New Roman" w:hAnsi="Times New Roman"/>
          <w:sz w:val="22"/>
          <w:szCs w:val="22"/>
          <w:lang w:val="el-GR"/>
        </w:rPr>
        <w:t xml:space="preserve">των </w:t>
      </w:r>
      <w:r w:rsidR="00B62AFC" w:rsidRPr="003423AC">
        <w:rPr>
          <w:rFonts w:ascii="Times New Roman" w:hAnsi="Times New Roman"/>
          <w:sz w:val="22"/>
          <w:szCs w:val="22"/>
          <w:lang w:val="el-GR"/>
        </w:rPr>
        <w:t>αυξημένων ηπατικών ενζύμων, πυρετ</w:t>
      </w:r>
      <w:r w:rsidR="00B62A9E" w:rsidRPr="003423AC">
        <w:rPr>
          <w:rFonts w:ascii="Times New Roman" w:hAnsi="Times New Roman"/>
          <w:sz w:val="22"/>
          <w:szCs w:val="22"/>
          <w:lang w:val="el-GR"/>
        </w:rPr>
        <w:t>ού</w:t>
      </w:r>
      <w:r w:rsidR="00B62AFC" w:rsidRPr="003423AC">
        <w:rPr>
          <w:rFonts w:ascii="Times New Roman" w:hAnsi="Times New Roman"/>
          <w:sz w:val="22"/>
          <w:szCs w:val="22"/>
          <w:lang w:val="el-GR"/>
        </w:rPr>
        <w:t>, λευκοκυττάρωση</w:t>
      </w:r>
      <w:r w:rsidR="00B62A9E" w:rsidRPr="003423AC">
        <w:rPr>
          <w:rFonts w:ascii="Times New Roman" w:hAnsi="Times New Roman"/>
          <w:sz w:val="22"/>
          <w:szCs w:val="22"/>
          <w:lang w:val="el-GR"/>
        </w:rPr>
        <w:t>ς</w:t>
      </w:r>
      <w:r w:rsidR="00B62AFC" w:rsidRPr="003423AC">
        <w:rPr>
          <w:rFonts w:ascii="Times New Roman" w:hAnsi="Times New Roman"/>
          <w:sz w:val="22"/>
          <w:szCs w:val="22"/>
          <w:lang w:val="el-GR"/>
        </w:rPr>
        <w:t xml:space="preserve"> και/ή ηωσινοφιλία</w:t>
      </w:r>
      <w:r w:rsidR="00B62A9E" w:rsidRPr="003423AC">
        <w:rPr>
          <w:rFonts w:ascii="Times New Roman" w:hAnsi="Times New Roman"/>
          <w:sz w:val="22"/>
          <w:szCs w:val="22"/>
          <w:lang w:val="el-GR"/>
        </w:rPr>
        <w:t>ς</w:t>
      </w:r>
      <w:r w:rsidR="003B7871" w:rsidRPr="003423AC">
        <w:rPr>
          <w:rFonts w:ascii="Times New Roman" w:hAnsi="Times New Roman"/>
          <w:sz w:val="22"/>
          <w:szCs w:val="22"/>
          <w:lang w:val="el-GR"/>
        </w:rPr>
        <w:t xml:space="preserve"> προσωρινά σχετιζόμενη</w:t>
      </w:r>
      <w:r w:rsidR="00B62A9E" w:rsidRPr="003423AC">
        <w:rPr>
          <w:rFonts w:ascii="Times New Roman" w:hAnsi="Times New Roman"/>
          <w:sz w:val="22"/>
          <w:szCs w:val="22"/>
          <w:lang w:val="el-GR"/>
        </w:rPr>
        <w:t>ς</w:t>
      </w:r>
      <w:r w:rsidR="003B7871" w:rsidRPr="003423AC">
        <w:rPr>
          <w:rFonts w:ascii="Times New Roman" w:hAnsi="Times New Roman"/>
          <w:sz w:val="22"/>
          <w:szCs w:val="22"/>
          <w:lang w:val="el-GR"/>
        </w:rPr>
        <w:t xml:space="preserve"> με την αναισθησία με έναν από αυτούς τους παράγοντες)</w:t>
      </w:r>
      <w:r w:rsidRPr="003423AC">
        <w:rPr>
          <w:rFonts w:ascii="Times New Roman" w:hAnsi="Times New Roman"/>
          <w:sz w:val="22"/>
          <w:szCs w:val="22"/>
          <w:lang w:val="el-GR"/>
        </w:rPr>
        <w:t xml:space="preserve">. </w:t>
      </w:r>
    </w:p>
    <w:p w:rsidR="000309FB" w:rsidRPr="003423AC" w:rsidRDefault="000309FB">
      <w:pPr>
        <w:pStyle w:val="Bullet1"/>
        <w:ind w:left="0"/>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4.4</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 xml:space="preserve">Ειδικές προειδοποιήσεις και προφυλάξεις κατά τη χρήση </w:t>
      </w:r>
    </w:p>
    <w:p w:rsidR="000309FB" w:rsidRPr="003423AC" w:rsidRDefault="000309FB">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Το σεβοφλουράνιο θα πρέπει να χορηγείται μόνο από άτομα τα οποία είναι ειδικά εκπαιδευμένα στη χορήγηση γενικής αναισθησίας. Θα πρέπει να διατίθενται τα απαραίτητα μέσα για την διατήρηση ελεύθερων αεροφόρων οδών, εφαρμογή τεχνητής αναπνοής, χορήγηση οξυγόνου και καρδιαγγειακή ανάνηψη. </w:t>
      </w:r>
    </w:p>
    <w:p w:rsidR="000309FB" w:rsidRPr="003423AC" w:rsidRDefault="000309FB">
      <w:pPr>
        <w:pStyle w:val="Bullet1"/>
        <w:ind w:left="0"/>
        <w:rPr>
          <w:rFonts w:ascii="Times New Roman" w:hAnsi="Times New Roman"/>
          <w:sz w:val="22"/>
          <w:szCs w:val="22"/>
          <w:lang w:val="el-GR"/>
        </w:rPr>
      </w:pPr>
    </w:p>
    <w:p w:rsidR="005E267A" w:rsidRPr="003423AC" w:rsidRDefault="00380D85">
      <w:pPr>
        <w:pStyle w:val="Bullet1"/>
        <w:ind w:left="0"/>
        <w:rPr>
          <w:rFonts w:ascii="Times New Roman" w:hAnsi="Times New Roman"/>
          <w:sz w:val="22"/>
          <w:szCs w:val="22"/>
          <w:lang w:val="el-GR"/>
        </w:rPr>
      </w:pPr>
      <w:r w:rsidRPr="003423AC">
        <w:rPr>
          <w:rFonts w:ascii="Times New Roman" w:hAnsi="Times New Roman"/>
          <w:sz w:val="22"/>
          <w:szCs w:val="22"/>
          <w:lang w:val="el-GR"/>
        </w:rPr>
        <w:t>Η συγκέντρωση του σεβοφλουρανίου που χορηγείται από ένα εξαερωτήρα πρέπει να είναι γνωστή με ακρίβεια. Επειδή τα πτητικά αναισθητικά διαφέρουν ως προς τις φυσικές τους ιδιότητες, μόνο εξαερωτήρες ειδικά βαθμονομημένοι για το σεβοφλουράνιο πρέπει να χρησιμοποιούνται</w:t>
      </w:r>
      <w:r w:rsidR="005367CD" w:rsidRPr="003423AC">
        <w:rPr>
          <w:rFonts w:ascii="Times New Roman" w:hAnsi="Times New Roman"/>
          <w:sz w:val="22"/>
          <w:szCs w:val="22"/>
          <w:lang w:val="el-GR"/>
        </w:rPr>
        <w:t xml:space="preserve">. </w:t>
      </w:r>
      <w:r w:rsidRPr="003423AC">
        <w:rPr>
          <w:rFonts w:ascii="Times New Roman" w:hAnsi="Times New Roman"/>
          <w:sz w:val="22"/>
          <w:szCs w:val="22"/>
          <w:lang w:val="el-GR"/>
        </w:rPr>
        <w:t>Η χορήγηση της γενικής αναισθησίας πρέπει να εξατομικεύεται με βάση την ανταπόκριση του ασθενούς</w:t>
      </w:r>
      <w:r w:rsidR="000309FB" w:rsidRPr="003423AC">
        <w:rPr>
          <w:rFonts w:ascii="Times New Roman" w:hAnsi="Times New Roman"/>
          <w:sz w:val="22"/>
          <w:szCs w:val="22"/>
          <w:lang w:val="el-GR"/>
        </w:rPr>
        <w:t xml:space="preserve">. </w:t>
      </w:r>
      <w:r w:rsidR="005E267A" w:rsidRPr="003423AC">
        <w:rPr>
          <w:rFonts w:ascii="Times New Roman" w:hAnsi="Times New Roman"/>
          <w:sz w:val="22"/>
          <w:szCs w:val="22"/>
          <w:lang w:val="el-GR"/>
        </w:rPr>
        <w:t>Καθώς το επίπεδο της αναισθησίας βαθαίνει η υπόταση και η αναπνευστική καταστολή αυξάνουν.</w:t>
      </w:r>
    </w:p>
    <w:p w:rsidR="005E267A" w:rsidRPr="003423AC" w:rsidRDefault="005E267A">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sz w:val="22"/>
          <w:szCs w:val="22"/>
          <w:lang w:val="el-GR"/>
        </w:rPr>
      </w:pPr>
    </w:p>
    <w:p w:rsidR="005C2307" w:rsidRPr="003423AC" w:rsidRDefault="001D63F9">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Έχουν αναφερθεί μεμονωμένες περιπτώσεις παράτασης του διαστήματος </w:t>
      </w:r>
      <w:r w:rsidRPr="003423AC">
        <w:rPr>
          <w:rFonts w:ascii="Times New Roman" w:hAnsi="Times New Roman"/>
          <w:sz w:val="22"/>
          <w:szCs w:val="22"/>
        </w:rPr>
        <w:t>QT</w:t>
      </w:r>
      <w:r w:rsidRPr="003423AC">
        <w:rPr>
          <w:rFonts w:ascii="Times New Roman" w:hAnsi="Times New Roman"/>
          <w:sz w:val="22"/>
          <w:szCs w:val="22"/>
          <w:lang w:val="el-GR"/>
        </w:rPr>
        <w:t xml:space="preserve">, οι οποίες πολύ σπάνια σχετίζονται με </w:t>
      </w:r>
      <w:r w:rsidRPr="003423AC">
        <w:rPr>
          <w:rFonts w:ascii="Times New Roman" w:hAnsi="Times New Roman"/>
          <w:sz w:val="22"/>
          <w:szCs w:val="22"/>
        </w:rPr>
        <w:t>torsade</w:t>
      </w:r>
      <w:r w:rsidRPr="003423AC">
        <w:rPr>
          <w:rFonts w:ascii="Times New Roman" w:hAnsi="Times New Roman"/>
          <w:sz w:val="22"/>
          <w:szCs w:val="22"/>
          <w:lang w:val="el-GR"/>
        </w:rPr>
        <w:t xml:space="preserve"> </w:t>
      </w:r>
      <w:r w:rsidRPr="003423AC">
        <w:rPr>
          <w:rFonts w:ascii="Times New Roman" w:hAnsi="Times New Roman"/>
          <w:sz w:val="22"/>
          <w:szCs w:val="22"/>
        </w:rPr>
        <w:t>de</w:t>
      </w:r>
      <w:r w:rsidRPr="003423AC">
        <w:rPr>
          <w:rFonts w:ascii="Times New Roman" w:hAnsi="Times New Roman"/>
          <w:sz w:val="22"/>
          <w:szCs w:val="22"/>
          <w:lang w:val="el-GR"/>
        </w:rPr>
        <w:t xml:space="preserve"> </w:t>
      </w:r>
      <w:r w:rsidRPr="003423AC">
        <w:rPr>
          <w:rFonts w:ascii="Times New Roman" w:hAnsi="Times New Roman"/>
          <w:sz w:val="22"/>
          <w:szCs w:val="22"/>
        </w:rPr>
        <w:t>pointes</w:t>
      </w:r>
      <w:r w:rsidRPr="003423AC">
        <w:rPr>
          <w:rFonts w:ascii="Times New Roman" w:hAnsi="Times New Roman"/>
          <w:sz w:val="22"/>
          <w:szCs w:val="22"/>
          <w:lang w:val="el-GR"/>
        </w:rPr>
        <w:t xml:space="preserve"> (</w:t>
      </w:r>
      <w:r w:rsidR="005C2307" w:rsidRPr="003423AC">
        <w:rPr>
          <w:rFonts w:ascii="Times New Roman" w:hAnsi="Times New Roman"/>
          <w:sz w:val="22"/>
          <w:szCs w:val="22"/>
          <w:lang w:val="el-GR"/>
        </w:rPr>
        <w:t xml:space="preserve">σε εξαιρετικές περιπτώσεις </w:t>
      </w:r>
      <w:r w:rsidR="00715C4E" w:rsidRPr="003423AC">
        <w:rPr>
          <w:rFonts w:ascii="Times New Roman" w:hAnsi="Times New Roman"/>
          <w:sz w:val="22"/>
          <w:szCs w:val="22"/>
          <w:lang w:val="el-GR"/>
        </w:rPr>
        <w:t>μοιραίες</w:t>
      </w:r>
      <w:r w:rsidR="005C2307" w:rsidRPr="003423AC">
        <w:rPr>
          <w:rFonts w:ascii="Times New Roman" w:hAnsi="Times New Roman"/>
          <w:sz w:val="22"/>
          <w:szCs w:val="22"/>
          <w:lang w:val="el-GR"/>
        </w:rPr>
        <w:t xml:space="preserve">). </w:t>
      </w:r>
      <w:r w:rsidR="00A3527C" w:rsidRPr="003423AC">
        <w:rPr>
          <w:rFonts w:ascii="Times New Roman" w:hAnsi="Times New Roman"/>
          <w:sz w:val="22"/>
          <w:szCs w:val="22"/>
          <w:lang w:val="el-GR"/>
        </w:rPr>
        <w:t>Π</w:t>
      </w:r>
      <w:r w:rsidR="005C2307" w:rsidRPr="003423AC">
        <w:rPr>
          <w:rFonts w:ascii="Times New Roman" w:hAnsi="Times New Roman"/>
          <w:sz w:val="22"/>
          <w:szCs w:val="22"/>
          <w:lang w:val="el-GR"/>
        </w:rPr>
        <w:t>ρέπει να δίνεται προσοχή όταν το σεβοφλουράνιο χορηγείται σε ευπαθείς ασθενείς.</w:t>
      </w:r>
    </w:p>
    <w:p w:rsidR="00601297" w:rsidRPr="003423AC" w:rsidRDefault="00601297" w:rsidP="00601297">
      <w:pPr>
        <w:autoSpaceDE w:val="0"/>
        <w:autoSpaceDN w:val="0"/>
        <w:adjustRightInd w:val="0"/>
        <w:rPr>
          <w:color w:val="0000FF"/>
          <w:sz w:val="22"/>
          <w:szCs w:val="22"/>
          <w:lang w:val="el-GR" w:eastAsia="el-GR"/>
        </w:rPr>
      </w:pPr>
    </w:p>
    <w:p w:rsidR="00601297" w:rsidRPr="003423AC" w:rsidRDefault="00601297" w:rsidP="00601297">
      <w:pPr>
        <w:autoSpaceDE w:val="0"/>
        <w:autoSpaceDN w:val="0"/>
        <w:adjustRightInd w:val="0"/>
        <w:rPr>
          <w:color w:val="000000"/>
          <w:sz w:val="22"/>
          <w:szCs w:val="22"/>
          <w:lang w:val="el-GR" w:eastAsia="el-GR"/>
        </w:rPr>
      </w:pPr>
      <w:r w:rsidRPr="003423AC">
        <w:rPr>
          <w:color w:val="000000"/>
          <w:sz w:val="22"/>
          <w:szCs w:val="22"/>
          <w:lang w:val="el-GR"/>
        </w:rPr>
        <w:t xml:space="preserve">Μεμονωμένες περιπτώσεις κοιλιακής αρρυθμίας αναφέρθηκαν σε παιδιατρικούς </w:t>
      </w:r>
      <w:r w:rsidR="00715C4E" w:rsidRPr="003423AC">
        <w:rPr>
          <w:color w:val="000000"/>
          <w:sz w:val="22"/>
          <w:szCs w:val="22"/>
          <w:lang w:val="el-GR"/>
        </w:rPr>
        <w:t>ασθενείς</w:t>
      </w:r>
      <w:r w:rsidRPr="003423AC">
        <w:rPr>
          <w:color w:val="000000"/>
          <w:sz w:val="22"/>
          <w:szCs w:val="22"/>
          <w:lang w:val="el-GR"/>
        </w:rPr>
        <w:t xml:space="preserve"> με νόσο του </w:t>
      </w:r>
      <w:proofErr w:type="spellStart"/>
      <w:r w:rsidRPr="003423AC">
        <w:rPr>
          <w:color w:val="000000"/>
          <w:sz w:val="22"/>
          <w:szCs w:val="22"/>
          <w:lang w:val="en-US"/>
        </w:rPr>
        <w:t>Pompe</w:t>
      </w:r>
      <w:proofErr w:type="spellEnd"/>
      <w:r w:rsidR="003B7871" w:rsidRPr="003423AC">
        <w:rPr>
          <w:color w:val="000000"/>
          <w:sz w:val="22"/>
          <w:szCs w:val="22"/>
          <w:lang w:val="el-GR"/>
        </w:rPr>
        <w:t>.</w:t>
      </w:r>
      <w:r w:rsidRPr="003423AC">
        <w:rPr>
          <w:color w:val="000000"/>
          <w:sz w:val="22"/>
          <w:szCs w:val="22"/>
          <w:lang w:val="el-GR"/>
        </w:rPr>
        <w:br/>
      </w:r>
    </w:p>
    <w:p w:rsidR="00601297" w:rsidRPr="003423AC" w:rsidRDefault="00A3527C">
      <w:pPr>
        <w:pStyle w:val="Bullet1"/>
        <w:ind w:left="0"/>
        <w:rPr>
          <w:rFonts w:ascii="Times New Roman" w:hAnsi="Times New Roman"/>
          <w:sz w:val="22"/>
          <w:szCs w:val="22"/>
          <w:lang w:val="el-GR"/>
        </w:rPr>
      </w:pPr>
      <w:r w:rsidRPr="003423AC">
        <w:rPr>
          <w:rFonts w:ascii="Times New Roman" w:hAnsi="Times New Roman"/>
          <w:sz w:val="22"/>
          <w:szCs w:val="22"/>
          <w:lang w:val="el-GR"/>
        </w:rPr>
        <w:t>Π</w:t>
      </w:r>
      <w:r w:rsidR="00BD0983" w:rsidRPr="003423AC">
        <w:rPr>
          <w:rFonts w:ascii="Times New Roman" w:hAnsi="Times New Roman"/>
          <w:sz w:val="22"/>
          <w:szCs w:val="22"/>
          <w:lang w:val="el-GR"/>
        </w:rPr>
        <w:t>ρέπει να δίνεται προσοχή κατά</w:t>
      </w:r>
      <w:r w:rsidR="00601297" w:rsidRPr="003423AC">
        <w:rPr>
          <w:rFonts w:ascii="Times New Roman" w:hAnsi="Times New Roman"/>
          <w:sz w:val="22"/>
          <w:szCs w:val="22"/>
          <w:lang w:val="el-GR"/>
        </w:rPr>
        <w:t xml:space="preserve"> τη χορήγηση γενικής αναισθησίας συμπεριλαμβανομένου του σεβοφλουρανίου σε </w:t>
      </w:r>
      <w:r w:rsidR="00715C4E" w:rsidRPr="003423AC">
        <w:rPr>
          <w:rFonts w:ascii="Times New Roman" w:hAnsi="Times New Roman"/>
          <w:sz w:val="22"/>
          <w:szCs w:val="22"/>
          <w:lang w:val="el-GR"/>
        </w:rPr>
        <w:t xml:space="preserve">ασθενείς </w:t>
      </w:r>
      <w:r w:rsidR="00601297" w:rsidRPr="003423AC">
        <w:rPr>
          <w:rFonts w:ascii="Times New Roman" w:hAnsi="Times New Roman"/>
          <w:sz w:val="22"/>
          <w:szCs w:val="22"/>
          <w:lang w:val="el-GR"/>
        </w:rPr>
        <w:t>με μιτοχονδριακές διαταραχές.</w:t>
      </w:r>
      <w:r w:rsidR="00601297" w:rsidRPr="003423AC">
        <w:rPr>
          <w:rFonts w:ascii="Times New Roman" w:hAnsi="Times New Roman"/>
          <w:sz w:val="22"/>
          <w:szCs w:val="22"/>
          <w:lang w:val="el-GR"/>
        </w:rPr>
        <w:br/>
      </w:r>
    </w:p>
    <w:p w:rsidR="000309FB" w:rsidRPr="003423AC" w:rsidRDefault="000309FB">
      <w:pPr>
        <w:pStyle w:val="Bullet1"/>
        <w:ind w:left="0"/>
        <w:rPr>
          <w:rFonts w:ascii="Times New Roman" w:hAnsi="Times New Roman"/>
          <w:b/>
          <w:bCs/>
          <w:i/>
          <w:iCs/>
          <w:sz w:val="22"/>
          <w:szCs w:val="22"/>
          <w:lang w:val="el-GR"/>
        </w:rPr>
      </w:pPr>
      <w:r w:rsidRPr="003423AC">
        <w:rPr>
          <w:rFonts w:ascii="Times New Roman" w:hAnsi="Times New Roman"/>
          <w:b/>
          <w:bCs/>
          <w:i/>
          <w:iCs/>
          <w:sz w:val="22"/>
          <w:szCs w:val="22"/>
          <w:lang w:val="el-GR"/>
        </w:rPr>
        <w:t>Γενικές</w:t>
      </w:r>
    </w:p>
    <w:p w:rsidR="000309FB"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Κατά τη διατήρηση της αναισθησίας η αύξηση των συγκεντρώσεων του σεβοφλουρανίου επιφέρει δοσοεξαρτώμενη μείωση της αρτηριακής πίεσης. Υπερβολική μείωση της αρτηριακής πίεσης μπορεί να σχετίζεται με το βάθος της αναισθησίας και σε τέτοιες περιπτώσεις διορθώνεται μειώνοντας τις εισπνεόμενες πυκνότητες του σεβοφλουρανίου. </w:t>
      </w:r>
    </w:p>
    <w:p w:rsidR="000309FB" w:rsidRPr="003423AC" w:rsidRDefault="000309FB">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Όπως και με όλα τα αναισθητικά η διατήρηση της αιμοδυναμικής σταθερότητας είναι σημαντική για την αποφυγή ισχαιμίας μυοκαρδίου σε ασθενείς με στεφανιαία νόσο. </w:t>
      </w:r>
    </w:p>
    <w:p w:rsidR="000309FB" w:rsidRPr="003423AC" w:rsidRDefault="000309FB">
      <w:pPr>
        <w:pStyle w:val="Bullet1"/>
        <w:ind w:left="0"/>
        <w:rPr>
          <w:rFonts w:ascii="Times New Roman" w:hAnsi="Times New Roman"/>
          <w:sz w:val="22"/>
          <w:szCs w:val="22"/>
          <w:lang w:val="el-GR"/>
        </w:rPr>
      </w:pPr>
    </w:p>
    <w:p w:rsidR="00D81FF5" w:rsidRPr="003423AC" w:rsidRDefault="000309FB">
      <w:pPr>
        <w:pStyle w:val="Bullet1"/>
        <w:ind w:left="0"/>
        <w:rPr>
          <w:rFonts w:ascii="Times New Roman" w:hAnsi="Times New Roman"/>
          <w:sz w:val="22"/>
          <w:szCs w:val="22"/>
          <w:lang w:val="el-GR"/>
        </w:rPr>
      </w:pPr>
      <w:r w:rsidRPr="003423AC">
        <w:rPr>
          <w:rFonts w:ascii="Times New Roman" w:hAnsi="Times New Roman"/>
          <w:sz w:val="22"/>
          <w:szCs w:val="22"/>
          <w:lang w:val="el-GR"/>
        </w:rPr>
        <w:t>Η ανάνηψη από τη γενική αναισθησία πρέπει να εκτιμηθεί με προσοχή πριν οι ασθενείς εγκαταλείψουν την αίθουσα ανάνηψης.</w:t>
      </w:r>
    </w:p>
    <w:p w:rsidR="00D81FF5" w:rsidRPr="003423AC" w:rsidRDefault="00D81FF5">
      <w:pPr>
        <w:pStyle w:val="Bullet1"/>
        <w:ind w:left="0"/>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Αν και η ανάνηψη μετά από χορήγηση του σεβοφλουρανίου συμβαίνει εντός λίγων λεπτών, η επίδραση στη νοητική λειτουργία για δυο ή τρεις ημέρες μετά την αναισθησία δεν έχει μελετηθεί.</w:t>
      </w:r>
      <w:r w:rsidR="00D81FF5" w:rsidRPr="003423AC">
        <w:rPr>
          <w:rFonts w:ascii="Times New Roman" w:hAnsi="Times New Roman"/>
          <w:sz w:val="22"/>
          <w:szCs w:val="22"/>
          <w:lang w:val="el-GR"/>
        </w:rPr>
        <w:t xml:space="preserve"> </w:t>
      </w:r>
      <w:r w:rsidRPr="003423AC">
        <w:rPr>
          <w:rFonts w:ascii="Times New Roman" w:hAnsi="Times New Roman"/>
          <w:sz w:val="22"/>
          <w:szCs w:val="22"/>
          <w:lang w:val="el-GR"/>
        </w:rPr>
        <w:t>Όπως συμβαίνει και με άλλα αναισθητικά, μικρές αλλαγές στη διάθεση ενδέχεται να επιμένουν για αρκετές ημέρες μετά τη χορήγηση</w:t>
      </w:r>
      <w:r w:rsidR="00D81FF5" w:rsidRPr="003423AC">
        <w:rPr>
          <w:rFonts w:ascii="Times New Roman" w:hAnsi="Times New Roman"/>
          <w:sz w:val="22"/>
          <w:szCs w:val="22"/>
          <w:lang w:val="el-GR"/>
        </w:rPr>
        <w:t xml:space="preserve"> (βλέπε παράγραφο </w:t>
      </w:r>
      <w:r w:rsidR="00D81FF5" w:rsidRPr="003423AC">
        <w:rPr>
          <w:rFonts w:ascii="Times New Roman" w:hAnsi="Times New Roman"/>
          <w:bCs/>
          <w:sz w:val="22"/>
          <w:szCs w:val="22"/>
          <w:lang w:val="el-GR"/>
        </w:rPr>
        <w:t>4.7 Επιδράσεις στην ικανότητα οδήγησης και χειρισμού μηχανών</w:t>
      </w:r>
      <w:r w:rsidR="00D103D2" w:rsidRPr="003423AC">
        <w:rPr>
          <w:rFonts w:ascii="Times New Roman" w:hAnsi="Times New Roman"/>
          <w:sz w:val="22"/>
          <w:szCs w:val="22"/>
          <w:lang w:val="el-GR"/>
        </w:rPr>
        <w:t>).</w:t>
      </w:r>
    </w:p>
    <w:p w:rsidR="002F2E86" w:rsidRPr="003423AC" w:rsidRDefault="002F2E86" w:rsidP="00A1659E">
      <w:pPr>
        <w:pStyle w:val="Bullet1"/>
        <w:ind w:left="0"/>
        <w:rPr>
          <w:rFonts w:ascii="Times New Roman" w:hAnsi="Times New Roman"/>
          <w:sz w:val="22"/>
          <w:szCs w:val="22"/>
          <w:lang w:val="el-GR"/>
        </w:rPr>
      </w:pPr>
    </w:p>
    <w:p w:rsidR="002F2E86" w:rsidRPr="003423AC" w:rsidRDefault="002F2E86" w:rsidP="00A1659E">
      <w:pPr>
        <w:pStyle w:val="Bullet1"/>
        <w:ind w:left="0"/>
        <w:rPr>
          <w:rFonts w:ascii="Times New Roman" w:hAnsi="Times New Roman"/>
          <w:b/>
          <w:i/>
          <w:sz w:val="22"/>
          <w:szCs w:val="22"/>
          <w:lang w:val="el-GR"/>
        </w:rPr>
      </w:pPr>
      <w:r w:rsidRPr="003423AC">
        <w:rPr>
          <w:rFonts w:ascii="Times New Roman" w:hAnsi="Times New Roman"/>
          <w:b/>
          <w:i/>
          <w:sz w:val="22"/>
          <w:szCs w:val="22"/>
          <w:lang w:val="el-GR"/>
        </w:rPr>
        <w:t>Ηπατικ</w:t>
      </w:r>
      <w:r w:rsidR="00036FCB" w:rsidRPr="003423AC">
        <w:rPr>
          <w:rFonts w:ascii="Times New Roman" w:hAnsi="Times New Roman"/>
          <w:b/>
          <w:i/>
          <w:sz w:val="22"/>
          <w:szCs w:val="22"/>
          <w:lang w:val="el-GR"/>
        </w:rPr>
        <w:t>ή λειτουργία</w:t>
      </w:r>
    </w:p>
    <w:p w:rsidR="002F2E86" w:rsidRPr="003423AC" w:rsidRDefault="002F2E86" w:rsidP="00A1659E">
      <w:pPr>
        <w:pStyle w:val="Bullet1"/>
        <w:ind w:left="0"/>
        <w:rPr>
          <w:rFonts w:ascii="Times New Roman" w:hAnsi="Times New Roman"/>
          <w:sz w:val="22"/>
          <w:szCs w:val="22"/>
          <w:lang w:val="el-GR"/>
        </w:rPr>
      </w:pPr>
      <w:r w:rsidRPr="003423AC">
        <w:rPr>
          <w:rFonts w:ascii="Times New Roman" w:hAnsi="Times New Roman"/>
          <w:sz w:val="22"/>
          <w:szCs w:val="22"/>
          <w:lang w:val="el-GR"/>
        </w:rPr>
        <w:t>Πολύ σπάνιες περιπτώσεις ήπιας, μέτριας και σοβαρής μετεγχειρητική</w:t>
      </w:r>
      <w:r w:rsidR="005A66F9" w:rsidRPr="003423AC">
        <w:rPr>
          <w:rFonts w:ascii="Times New Roman" w:hAnsi="Times New Roman"/>
          <w:sz w:val="22"/>
          <w:szCs w:val="22"/>
          <w:lang w:val="el-GR"/>
        </w:rPr>
        <w:t>ς</w:t>
      </w:r>
      <w:r w:rsidRPr="003423AC">
        <w:rPr>
          <w:rFonts w:ascii="Times New Roman" w:hAnsi="Times New Roman"/>
          <w:sz w:val="22"/>
          <w:szCs w:val="22"/>
          <w:lang w:val="el-GR"/>
        </w:rPr>
        <w:t xml:space="preserve"> ηπατικής δυσλειτουργίας ή ηπατίτιδας με ή χωρίς ίκτερο έχουν αναφερθεί από την εμπειρία μετά την κυκλοφορία.</w:t>
      </w:r>
    </w:p>
    <w:p w:rsidR="005A66F9" w:rsidRPr="003423AC" w:rsidRDefault="005A66F9" w:rsidP="00A1659E">
      <w:pPr>
        <w:pStyle w:val="Bullet1"/>
        <w:ind w:left="0"/>
        <w:rPr>
          <w:rFonts w:ascii="Times New Roman" w:hAnsi="Times New Roman"/>
          <w:sz w:val="22"/>
          <w:szCs w:val="22"/>
          <w:lang w:val="el-GR"/>
        </w:rPr>
      </w:pPr>
    </w:p>
    <w:p w:rsidR="000309FB" w:rsidRPr="003423AC" w:rsidRDefault="002F2E86" w:rsidP="00A1659E">
      <w:pPr>
        <w:pStyle w:val="Bullet1"/>
        <w:ind w:left="0"/>
        <w:rPr>
          <w:rFonts w:ascii="Times New Roman" w:hAnsi="Times New Roman"/>
          <w:sz w:val="22"/>
          <w:szCs w:val="22"/>
          <w:lang w:val="el-GR"/>
        </w:rPr>
      </w:pPr>
      <w:r w:rsidRPr="003423AC">
        <w:rPr>
          <w:rFonts w:ascii="Times New Roman" w:hAnsi="Times New Roman"/>
          <w:sz w:val="22"/>
          <w:szCs w:val="22"/>
          <w:lang w:val="el-GR"/>
        </w:rPr>
        <w:t xml:space="preserve">Η κλινική </w:t>
      </w:r>
      <w:r w:rsidR="005A66F9" w:rsidRPr="003423AC">
        <w:rPr>
          <w:rFonts w:ascii="Times New Roman" w:hAnsi="Times New Roman"/>
          <w:sz w:val="22"/>
          <w:szCs w:val="22"/>
          <w:lang w:val="el-GR"/>
        </w:rPr>
        <w:t>αξιολόγηση είναι απαραίτητη</w:t>
      </w:r>
      <w:r w:rsidRPr="003423AC">
        <w:rPr>
          <w:rFonts w:ascii="Times New Roman" w:hAnsi="Times New Roman"/>
          <w:sz w:val="22"/>
          <w:szCs w:val="22"/>
          <w:lang w:val="el-GR"/>
        </w:rPr>
        <w:t xml:space="preserve"> όταν το σεβοφλουράνιο χρησιμοποιείται σε ασθενείς με υποκείμενες </w:t>
      </w:r>
      <w:r w:rsidR="005A66F9" w:rsidRPr="003423AC">
        <w:rPr>
          <w:rFonts w:ascii="Times New Roman" w:hAnsi="Times New Roman"/>
          <w:sz w:val="22"/>
          <w:szCs w:val="22"/>
          <w:lang w:val="el-GR"/>
        </w:rPr>
        <w:t>ηπατικές καταστάσεις</w:t>
      </w:r>
      <w:r w:rsidRPr="003423AC">
        <w:rPr>
          <w:rFonts w:ascii="Times New Roman" w:hAnsi="Times New Roman"/>
          <w:sz w:val="22"/>
          <w:szCs w:val="22"/>
          <w:lang w:val="el-GR"/>
        </w:rPr>
        <w:t xml:space="preserve"> ή υπό</w:t>
      </w:r>
      <w:r w:rsidR="005A66F9" w:rsidRPr="003423AC">
        <w:rPr>
          <w:rFonts w:ascii="Times New Roman" w:hAnsi="Times New Roman"/>
          <w:sz w:val="22"/>
          <w:szCs w:val="22"/>
          <w:lang w:val="el-GR"/>
        </w:rPr>
        <w:t xml:space="preserve"> </w:t>
      </w:r>
      <w:r w:rsidRPr="003423AC">
        <w:rPr>
          <w:rFonts w:ascii="Times New Roman" w:hAnsi="Times New Roman"/>
          <w:sz w:val="22"/>
          <w:szCs w:val="22"/>
          <w:lang w:val="el-GR"/>
        </w:rPr>
        <w:t xml:space="preserve">θεραπεία με φάρμακα που είναι γνωστό ότι προκαλούν </w:t>
      </w:r>
      <w:r w:rsidRPr="003423AC">
        <w:rPr>
          <w:rFonts w:ascii="Times New Roman" w:hAnsi="Times New Roman"/>
          <w:sz w:val="22"/>
          <w:szCs w:val="22"/>
          <w:lang w:val="el-GR"/>
        </w:rPr>
        <w:lastRenderedPageBreak/>
        <w:t>ηπατική δυσλειτουργία (βλέπε</w:t>
      </w:r>
      <w:r w:rsidR="005A66F9" w:rsidRPr="003423AC">
        <w:rPr>
          <w:rFonts w:ascii="Times New Roman" w:hAnsi="Times New Roman"/>
          <w:sz w:val="22"/>
          <w:szCs w:val="22"/>
          <w:lang w:val="el-GR"/>
        </w:rPr>
        <w:t xml:space="preserve"> παράγραφο 4.8 </w:t>
      </w:r>
      <w:r w:rsidRPr="003423AC">
        <w:rPr>
          <w:rFonts w:ascii="Times New Roman" w:hAnsi="Times New Roman"/>
          <w:sz w:val="22"/>
          <w:szCs w:val="22"/>
          <w:lang w:val="el-GR"/>
        </w:rPr>
        <w:t>Ανεπιθύμητες ενέργειες).</w:t>
      </w:r>
    </w:p>
    <w:p w:rsidR="005A66F9" w:rsidRPr="003423AC" w:rsidRDefault="005A66F9" w:rsidP="00A1659E">
      <w:pPr>
        <w:pStyle w:val="Bullet1"/>
        <w:ind w:left="0"/>
        <w:rPr>
          <w:rFonts w:ascii="Times New Roman" w:hAnsi="Times New Roman"/>
          <w:sz w:val="22"/>
          <w:szCs w:val="22"/>
          <w:lang w:val="el-GR"/>
        </w:rPr>
      </w:pPr>
    </w:p>
    <w:p w:rsidR="005A66F9" w:rsidRPr="003423AC" w:rsidRDefault="005A66F9" w:rsidP="00A1659E">
      <w:pPr>
        <w:pStyle w:val="Bullet1"/>
        <w:ind w:left="0"/>
        <w:rPr>
          <w:rFonts w:ascii="Times New Roman" w:hAnsi="Times New Roman"/>
          <w:sz w:val="22"/>
          <w:szCs w:val="22"/>
          <w:lang w:val="el-GR"/>
        </w:rPr>
      </w:pPr>
      <w:r w:rsidRPr="003423AC">
        <w:rPr>
          <w:rFonts w:ascii="Times New Roman" w:hAnsi="Times New Roman"/>
          <w:sz w:val="22"/>
          <w:szCs w:val="22"/>
          <w:lang w:val="el-GR"/>
        </w:rPr>
        <w:t>Έχει αναφερθεί ότι προηγούμενη έκθεση σε αλογονωμένα αναισθητικά υδρογονανθράκων, ειδικά εάν το χρονικό διάστημα είναι μικρότερο από 3 μήνες, μπορεί να αυξήσει το ενδεχόμενο ηπατικής βλάβης.</w:t>
      </w:r>
    </w:p>
    <w:p w:rsidR="005A66F9" w:rsidRPr="003423AC" w:rsidRDefault="005A66F9" w:rsidP="00A1659E">
      <w:pPr>
        <w:pStyle w:val="Bullet1"/>
        <w:ind w:left="0"/>
        <w:rPr>
          <w:rFonts w:ascii="Times New Roman" w:hAnsi="Times New Roman"/>
          <w:sz w:val="22"/>
          <w:szCs w:val="22"/>
          <w:lang w:val="el-GR"/>
        </w:rPr>
      </w:pPr>
    </w:p>
    <w:p w:rsidR="000309FB" w:rsidRPr="003423AC" w:rsidRDefault="000309FB">
      <w:pPr>
        <w:pStyle w:val="Bullet1"/>
        <w:ind w:left="0"/>
        <w:rPr>
          <w:rFonts w:ascii="Times New Roman" w:hAnsi="Times New Roman"/>
          <w:b/>
          <w:bCs/>
          <w:i/>
          <w:iCs/>
          <w:sz w:val="22"/>
          <w:szCs w:val="22"/>
          <w:lang w:val="el-GR"/>
        </w:rPr>
      </w:pPr>
      <w:r w:rsidRPr="003423AC">
        <w:rPr>
          <w:rFonts w:ascii="Times New Roman" w:hAnsi="Times New Roman"/>
          <w:b/>
          <w:bCs/>
          <w:i/>
          <w:iCs/>
          <w:sz w:val="22"/>
          <w:szCs w:val="22"/>
          <w:lang w:val="el-GR"/>
        </w:rPr>
        <w:t>Κακοήθης Υπερπυρεξία</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Σε γενετικά ευαίσθητα χοιρίδια, το σεβοφλουράνιο προκάλεσε κακοήθη υπερπυρεξία. Το σύνδρομο αυτό εκδηλώνεται με υπερκαπνία και ενίοτε με μυϊκή δυσκαμψία, ταχυκαρδία, ταχύπνοια, κυάνωση, αρρυθμίες και /ή διακυμάνσεις στην αρτηριακή πίεση. Μερικά από αυτά τα μη ειδικά συμπτώματα μπορεί να εμφανισθούν κατά την ελαφρά αναισθησία, την οξεία υποξία, την υπερκαπνία και την υπο</w:t>
      </w:r>
      <w:r w:rsidRPr="003423AC">
        <w:rPr>
          <w:rFonts w:ascii="Times New Roman" w:hAnsi="Times New Roman"/>
          <w:sz w:val="22"/>
          <w:szCs w:val="22"/>
        </w:rPr>
        <w:t>o</w:t>
      </w:r>
      <w:r w:rsidRPr="003423AC">
        <w:rPr>
          <w:rFonts w:ascii="Times New Roman" w:hAnsi="Times New Roman"/>
          <w:sz w:val="22"/>
          <w:szCs w:val="22"/>
          <w:lang w:val="el-GR"/>
        </w:rPr>
        <w:t>γκαιμία.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Στις κλινικές μελέτες αναφέρθηκε μόνο μία περίπτωση κακοήθους υπερθερμίας.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Σε ευαίσθητους ασθενείς, η χορήγηση ισχυρών </w:t>
      </w:r>
      <w:r w:rsidR="001D76C9" w:rsidRPr="003423AC">
        <w:rPr>
          <w:rFonts w:ascii="Times New Roman" w:hAnsi="Times New Roman"/>
          <w:sz w:val="22"/>
          <w:szCs w:val="22"/>
          <w:lang w:val="el-GR"/>
        </w:rPr>
        <w:t>εισπνεόμενων</w:t>
      </w:r>
      <w:r w:rsidRPr="003423AC">
        <w:rPr>
          <w:rFonts w:ascii="Times New Roman" w:hAnsi="Times New Roman"/>
          <w:sz w:val="22"/>
          <w:szCs w:val="22"/>
          <w:lang w:val="el-GR"/>
        </w:rPr>
        <w:t xml:space="preserve"> αναισθητικών συμπεριλαμβανομένου και του σεβοφλουρανίου μπορεί να προκαλέσει μια υπέρμετρη αύξηση του μεταβολισμού των σκελετικών μυών, υψηλή απαίτηση σε οξυγόνο που καταλήγει στο κλινικό σύνδρομο που είναι γνωστό ως κακοήθης υπερπυρεξία (βλ. επίσης ανεπιθύμητες ενέργειες).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Για την αντιμετώπισή του απαιτείται διακοπή των εκλυτικών παραγόντων, ενδοφλέβια χορήγηση νατριούχου δαντρολένιου και υποστηρικτική θεραπεία (Για περισσότερες πληροφορίες βλέπε οδηγίες χορήγησης του ενδοφλεβίου δαντρολένιου). Αργότερα μπορεί να εκδηλωθεί νεφρική ανεπάρκεια και για αυτό η διούρηση θα πρέπει να παρακολουθείται και αν είναι δυνατό να διατηρείται σε σταθερά επίπεδα.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Η χορήγηση εισπνεόμενων αναισθητικών παραγόντων έχει συνδεθεί με σπάνιες περιπτώσεις αύξησης του καλίου στον ορό οι οποίες είχαν ως αποτέλεσμα καρδιακές αρρυθμίες και θάνατο σε παιδιατρικούς ασθενείς κατά τη μετεγχειρητική περίοδο. Ασθενείς με λανθάνουσα ή εκδηλωθείσα νευρομυϊκή νόσο και ιδιαίτερα με μυϊκή δυστροφία </w:t>
      </w:r>
      <w:proofErr w:type="spellStart"/>
      <w:r w:rsidRPr="003423AC">
        <w:rPr>
          <w:rFonts w:ascii="Times New Roman" w:hAnsi="Times New Roman"/>
          <w:sz w:val="22"/>
          <w:szCs w:val="22"/>
        </w:rPr>
        <w:t>Duchenne</w:t>
      </w:r>
      <w:proofErr w:type="spellEnd"/>
      <w:r w:rsidRPr="003423AC">
        <w:rPr>
          <w:rFonts w:ascii="Times New Roman" w:hAnsi="Times New Roman"/>
          <w:sz w:val="22"/>
          <w:szCs w:val="22"/>
          <w:lang w:val="el-GR"/>
        </w:rPr>
        <w:t>, φαίνεται να είναι περισσότερο ευάλωτοι. Η ταυτόχρονη χορήγηση σουκινιλοχολίνης (ηλεκτρυλοχολίνης) έχει συνδεθεί με τις περισσότερες, αλλά όχι με όλες τις περιπτώσεις αυτές. Οι ασθενείς αυτοί εμφάνισαν επίσης σημαντικές αυξήσεις της κρεατινοκινάσης ορού και, σε κάποιες περιπτώσεις μεταβολές των ούρων συμβατές με μυοσφαιρινουρία. Παρά την ομοιότητα κατά την εμφάνιση με τη κακοήθη υπερπυρεξία, κανένας ασθενής δεν εμφάνισε σημεία ή συμπτώματα μυϊκής δυσκαμψίας ή υπέρμετρη αύξηση του μεταβολισμού. Συνιστάται έγκαιρη και επιθετική παρέμβαση για την αντιμετώπιση της υπερκαλιαιμίας και της ανθεκτικής αρρυθμίας και επίσης επακόλουθη αξιολόγηση για λανθάνουσα νευρομυϊκή νόσο.</w:t>
      </w:r>
    </w:p>
    <w:p w:rsidR="000309FB" w:rsidRPr="003423AC" w:rsidRDefault="000309FB">
      <w:pPr>
        <w:pStyle w:val="a3"/>
        <w:rPr>
          <w:rFonts w:ascii="Times New Roman" w:hAnsi="Times New Roman"/>
          <w:sz w:val="22"/>
          <w:szCs w:val="22"/>
          <w:lang w:val="el-GR"/>
        </w:rPr>
      </w:pPr>
    </w:p>
    <w:p w:rsidR="000309FB" w:rsidRPr="003423AC" w:rsidRDefault="00030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Cs w:val="22"/>
          <w:lang w:val="el-GR"/>
        </w:rPr>
      </w:pPr>
      <w:r w:rsidRPr="003423AC">
        <w:rPr>
          <w:rFonts w:ascii="Times New Roman" w:hAnsi="Times New Roman"/>
          <w:iCs/>
          <w:szCs w:val="22"/>
          <w:lang w:val="el-GR"/>
        </w:rPr>
        <w:t xml:space="preserve">Έχουν αναφερθεί μεμονωμένες περιπτώσεις κοιλιακής αρρυθμίας σε παιδιατρικούς ασθενείς με νόσο </w:t>
      </w:r>
      <w:proofErr w:type="spellStart"/>
      <w:r w:rsidRPr="003423AC">
        <w:rPr>
          <w:rFonts w:ascii="Times New Roman" w:hAnsi="Times New Roman"/>
          <w:iCs/>
          <w:szCs w:val="22"/>
        </w:rPr>
        <w:t>Pompe</w:t>
      </w:r>
      <w:proofErr w:type="spellEnd"/>
      <w:r w:rsidRPr="003423AC">
        <w:rPr>
          <w:rFonts w:ascii="Times New Roman" w:hAnsi="Times New Roman"/>
          <w:iCs/>
          <w:szCs w:val="22"/>
          <w:lang w:val="el-GR"/>
        </w:rPr>
        <w:t xml:space="preserve">.  </w:t>
      </w:r>
    </w:p>
    <w:p w:rsidR="000309FB" w:rsidRPr="003423AC" w:rsidRDefault="00030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Cs w:val="22"/>
          <w:lang w:val="el-GR"/>
        </w:rPr>
      </w:pPr>
    </w:p>
    <w:p w:rsidR="000309FB" w:rsidRPr="003423AC" w:rsidRDefault="00030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color w:val="0000FF"/>
          <w:szCs w:val="22"/>
          <w:lang w:val="el-GR"/>
        </w:rPr>
      </w:pPr>
      <w:r w:rsidRPr="003423AC">
        <w:rPr>
          <w:rFonts w:ascii="Times New Roman" w:hAnsi="Times New Roman"/>
          <w:iCs/>
          <w:szCs w:val="22"/>
          <w:lang w:val="el-GR"/>
        </w:rPr>
        <w:t>Οι ασθενείς με επαναλαμβανόμενη έκθεση μέσα σε σχετικά μικρό χρονικό διάστημα σε αλογονωμένους υδρογονάνθρακες, συμπεριλαμβανομένου του σεβοφλουρανίου, μπορεί να έχουν αυξημένο κίνδυνο για ηπατική βλάβη.</w:t>
      </w:r>
    </w:p>
    <w:p w:rsidR="000309FB" w:rsidRPr="003423AC" w:rsidRDefault="000309FB">
      <w:pPr>
        <w:pStyle w:val="a3"/>
        <w:rPr>
          <w:rFonts w:ascii="Times New Roman" w:hAnsi="Times New Roman"/>
          <w:b/>
          <w:bCs/>
          <w:sz w:val="22"/>
          <w:szCs w:val="22"/>
          <w:lang w:val="el-GR"/>
        </w:rPr>
      </w:pPr>
    </w:p>
    <w:p w:rsidR="000309FB" w:rsidRPr="003423AC" w:rsidRDefault="000309FB">
      <w:pPr>
        <w:pStyle w:val="a3"/>
        <w:rPr>
          <w:rFonts w:ascii="Times New Roman" w:hAnsi="Times New Roman"/>
          <w:b/>
          <w:bCs/>
          <w:i/>
          <w:iCs/>
          <w:sz w:val="22"/>
          <w:szCs w:val="22"/>
          <w:lang w:val="el-GR"/>
        </w:rPr>
      </w:pPr>
      <w:r w:rsidRPr="003423AC">
        <w:rPr>
          <w:rFonts w:ascii="Times New Roman" w:hAnsi="Times New Roman"/>
          <w:b/>
          <w:bCs/>
          <w:i/>
          <w:iCs/>
          <w:sz w:val="22"/>
          <w:szCs w:val="22"/>
          <w:lang w:val="el-GR"/>
        </w:rPr>
        <w:t xml:space="preserve">Αντικατάσταση των απορροφητών του </w:t>
      </w:r>
      <w:r w:rsidRPr="003423AC">
        <w:rPr>
          <w:rFonts w:ascii="Times New Roman" w:hAnsi="Times New Roman"/>
          <w:b/>
          <w:bCs/>
          <w:i/>
          <w:iCs/>
          <w:sz w:val="22"/>
          <w:szCs w:val="22"/>
        </w:rPr>
        <w:t>CO</w:t>
      </w:r>
      <w:r w:rsidRPr="003423AC">
        <w:rPr>
          <w:rFonts w:ascii="Times New Roman" w:hAnsi="Times New Roman"/>
          <w:b/>
          <w:bCs/>
          <w:i/>
          <w:iCs/>
          <w:sz w:val="22"/>
          <w:szCs w:val="22"/>
          <w:vertAlign w:val="subscript"/>
          <w:lang w:val="el-GR"/>
        </w:rPr>
        <w:t xml:space="preserve">2 </w:t>
      </w:r>
      <w:r w:rsidRPr="003423AC">
        <w:rPr>
          <w:rFonts w:ascii="Times New Roman" w:hAnsi="Times New Roman"/>
          <w:b/>
          <w:bCs/>
          <w:i/>
          <w:iCs/>
          <w:sz w:val="22"/>
          <w:szCs w:val="22"/>
          <w:lang w:val="el-GR"/>
        </w:rPr>
        <w:t>που έχουν υποστεί ξήρανση</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Έχουν αναφερθεί σπάνιες περιπτώσεις υπερθέρμανσης, καπνού και/ή ανάφλεξης σε μηχανήματα αναισθησίας κατά τη διάρκεια χρήσης του </w:t>
      </w:r>
      <w:r w:rsidRPr="003423AC">
        <w:rPr>
          <w:rFonts w:ascii="Times New Roman" w:hAnsi="Times New Roman"/>
          <w:sz w:val="22"/>
          <w:szCs w:val="22"/>
        </w:rPr>
        <w:t>SEVORANE</w:t>
      </w:r>
      <w:r w:rsidRPr="003423AC">
        <w:rPr>
          <w:rFonts w:ascii="Times New Roman" w:hAnsi="Times New Roman"/>
          <w:sz w:val="22"/>
          <w:szCs w:val="22"/>
          <w:lang w:val="el-GR"/>
        </w:rPr>
        <w:t xml:space="preserve"> σε συνδυασμό με απορροφητές του </w:t>
      </w:r>
      <w:r w:rsidRPr="003423AC">
        <w:rPr>
          <w:rFonts w:ascii="Times New Roman" w:hAnsi="Times New Roman"/>
          <w:sz w:val="22"/>
          <w:szCs w:val="22"/>
        </w:rPr>
        <w:t>CO</w:t>
      </w:r>
      <w:r w:rsidRPr="003423AC">
        <w:rPr>
          <w:rFonts w:ascii="Times New Roman" w:hAnsi="Times New Roman"/>
          <w:sz w:val="22"/>
          <w:szCs w:val="22"/>
          <w:vertAlign w:val="subscript"/>
          <w:lang w:val="el-GR"/>
        </w:rPr>
        <w:t xml:space="preserve">2 </w:t>
      </w:r>
      <w:r w:rsidRPr="003423AC">
        <w:rPr>
          <w:rFonts w:ascii="Times New Roman" w:hAnsi="Times New Roman"/>
          <w:sz w:val="22"/>
          <w:szCs w:val="22"/>
          <w:lang w:val="el-GR"/>
        </w:rPr>
        <w:t xml:space="preserve">που είχαν υποστεί ξήρανση, ειδικά αυτούς που περιέχουν υδροξείδιο του καλίου. Μία ασυνήθης καθυστέρηση στην αύξηση ή μία μη αναμενόμενη ελάττωση της συγκέντρωσης του εισπνεόμενου σεβοφλουρανίου σε σχέση με την ένδειξη του εξαερωτήρα ίσως συνδέεται με υπερθέρμανση του κανίστρου του απορροφητή </w:t>
      </w:r>
      <w:r w:rsidRPr="003423AC">
        <w:rPr>
          <w:rFonts w:ascii="Times New Roman" w:hAnsi="Times New Roman"/>
          <w:sz w:val="22"/>
          <w:szCs w:val="22"/>
        </w:rPr>
        <w:t>CO</w:t>
      </w:r>
      <w:r w:rsidRPr="003423AC">
        <w:rPr>
          <w:rFonts w:ascii="Times New Roman" w:hAnsi="Times New Roman"/>
          <w:sz w:val="22"/>
          <w:szCs w:val="22"/>
          <w:vertAlign w:val="subscript"/>
          <w:lang w:val="el-GR"/>
        </w:rPr>
        <w:t xml:space="preserve">2. </w:t>
      </w:r>
      <w:r w:rsidRPr="003423AC">
        <w:rPr>
          <w:rFonts w:ascii="Times New Roman" w:hAnsi="Times New Roman"/>
          <w:sz w:val="22"/>
          <w:szCs w:val="22"/>
          <w:lang w:val="el-GR"/>
        </w:rPr>
        <w:t xml:space="preserve"> </w:t>
      </w:r>
    </w:p>
    <w:p w:rsidR="000309FB" w:rsidRPr="003423AC" w:rsidRDefault="000309FB">
      <w:pPr>
        <w:rPr>
          <w:sz w:val="22"/>
          <w:szCs w:val="22"/>
          <w:lang w:val="el-GR"/>
        </w:rPr>
      </w:pPr>
    </w:p>
    <w:p w:rsidR="000309FB" w:rsidRPr="003423AC" w:rsidRDefault="00A3527C">
      <w:pPr>
        <w:pStyle w:val="a3"/>
        <w:rPr>
          <w:rFonts w:ascii="Times New Roman" w:hAnsi="Times New Roman"/>
          <w:sz w:val="22"/>
          <w:szCs w:val="22"/>
          <w:lang w:val="el-GR"/>
        </w:rPr>
      </w:pPr>
      <w:r w:rsidRPr="003423AC">
        <w:rPr>
          <w:rFonts w:ascii="Times New Roman" w:hAnsi="Times New Roman"/>
          <w:sz w:val="22"/>
          <w:szCs w:val="22"/>
          <w:lang w:val="el-GR"/>
        </w:rPr>
        <w:t>Ε</w:t>
      </w:r>
      <w:r w:rsidR="000309FB" w:rsidRPr="003423AC">
        <w:rPr>
          <w:rFonts w:ascii="Times New Roman" w:hAnsi="Times New Roman"/>
          <w:sz w:val="22"/>
          <w:szCs w:val="22"/>
          <w:lang w:val="el-GR"/>
        </w:rPr>
        <w:t xml:space="preserve">ξωθερμική αντίδραση, αυξημένη αποδόμηση του σεβοφλουρανίου και παραγωγή προϊόντων αποδόμησης (βλέπε λήμμα 5.2 Φαρμακοκινητικές ιδιότητες) μπορεί να προκύψουν όταν ο απορροφητής ξηραίνεται, όπως μετά από μία εκτεταμένη περίοδο ροής ξηρού αερίου διαμέσου του </w:t>
      </w:r>
      <w:r w:rsidR="000309FB" w:rsidRPr="003423AC">
        <w:rPr>
          <w:rFonts w:ascii="Times New Roman" w:hAnsi="Times New Roman"/>
          <w:sz w:val="22"/>
          <w:szCs w:val="22"/>
          <w:lang w:val="el-GR"/>
        </w:rPr>
        <w:lastRenderedPageBreak/>
        <w:t xml:space="preserve">κανίστρου του απορροφητή </w:t>
      </w:r>
      <w:r w:rsidR="000309FB" w:rsidRPr="003423AC">
        <w:rPr>
          <w:rFonts w:ascii="Times New Roman" w:hAnsi="Times New Roman"/>
          <w:sz w:val="22"/>
          <w:szCs w:val="22"/>
        </w:rPr>
        <w:t>CO</w:t>
      </w:r>
      <w:r w:rsidR="000309FB" w:rsidRPr="003423AC">
        <w:rPr>
          <w:rFonts w:ascii="Times New Roman" w:hAnsi="Times New Roman"/>
          <w:sz w:val="22"/>
          <w:szCs w:val="22"/>
          <w:vertAlign w:val="subscript"/>
          <w:lang w:val="el-GR"/>
        </w:rPr>
        <w:t>2</w:t>
      </w:r>
      <w:r w:rsidR="000309FB" w:rsidRPr="003423AC">
        <w:rPr>
          <w:rFonts w:ascii="Times New Roman" w:hAnsi="Times New Roman"/>
          <w:sz w:val="22"/>
          <w:szCs w:val="22"/>
          <w:lang w:val="el-GR"/>
        </w:rPr>
        <w:t xml:space="preserve">. Προϊόντα αποδόμησης του σεβοφλουρανίου (μεθανόλη, φορμαλδεϋδη, μονοξείδιο του άνθρακα και Παράγωγα Α, Β, </w:t>
      </w:r>
      <w:r w:rsidR="000309FB" w:rsidRPr="003423AC">
        <w:rPr>
          <w:rFonts w:ascii="Times New Roman" w:hAnsi="Times New Roman"/>
          <w:sz w:val="22"/>
          <w:szCs w:val="22"/>
        </w:rPr>
        <w:t>C</w:t>
      </w:r>
      <w:r w:rsidR="000309FB" w:rsidRPr="003423AC">
        <w:rPr>
          <w:rFonts w:ascii="Times New Roman" w:hAnsi="Times New Roman"/>
          <w:sz w:val="22"/>
          <w:szCs w:val="22"/>
          <w:lang w:val="el-GR"/>
        </w:rPr>
        <w:t xml:space="preserve">, </w:t>
      </w:r>
      <w:r w:rsidR="000309FB" w:rsidRPr="003423AC">
        <w:rPr>
          <w:rFonts w:ascii="Times New Roman" w:hAnsi="Times New Roman"/>
          <w:sz w:val="22"/>
          <w:szCs w:val="22"/>
        </w:rPr>
        <w:t>D</w:t>
      </w:r>
      <w:r w:rsidR="000309FB" w:rsidRPr="003423AC">
        <w:rPr>
          <w:rFonts w:ascii="Times New Roman" w:hAnsi="Times New Roman"/>
          <w:sz w:val="22"/>
          <w:szCs w:val="22"/>
          <w:lang w:val="el-GR"/>
        </w:rPr>
        <w:t xml:space="preserve"> και Ε) παρατηρήθηκαν στην αναπνευστική γραμμή ενός πειραματικού μηχανήματος αναισθησίας με χρήση απορροφητών </w:t>
      </w:r>
      <w:r w:rsidR="000309FB" w:rsidRPr="003423AC">
        <w:rPr>
          <w:rFonts w:ascii="Times New Roman" w:hAnsi="Times New Roman"/>
          <w:sz w:val="22"/>
          <w:szCs w:val="22"/>
        </w:rPr>
        <w:t>CO</w:t>
      </w:r>
      <w:r w:rsidR="000309FB" w:rsidRPr="003423AC">
        <w:rPr>
          <w:rFonts w:ascii="Times New Roman" w:hAnsi="Times New Roman"/>
          <w:sz w:val="22"/>
          <w:szCs w:val="22"/>
          <w:vertAlign w:val="subscript"/>
          <w:lang w:val="el-GR"/>
        </w:rPr>
        <w:t xml:space="preserve">2  </w:t>
      </w:r>
      <w:r w:rsidR="000309FB" w:rsidRPr="003423AC">
        <w:rPr>
          <w:rFonts w:ascii="Times New Roman" w:hAnsi="Times New Roman"/>
          <w:sz w:val="22"/>
          <w:szCs w:val="22"/>
          <w:lang w:val="el-GR"/>
        </w:rPr>
        <w:t>που είχαν υποστεί ξήρανση και με ανώτατες συγκεντρώσεις σεβοφλουρανίου (8%) για παρατεταμένα χρονικά διαστήματα (</w:t>
      </w:r>
      <w:r w:rsidR="000309FB" w:rsidRPr="003423AC">
        <w:rPr>
          <w:rFonts w:ascii="Times New Roman" w:hAnsi="Times New Roman"/>
          <w:sz w:val="22"/>
          <w:szCs w:val="22"/>
        </w:rPr>
        <w:sym w:font="Symbol" w:char="F0B3"/>
      </w:r>
      <w:r w:rsidR="000309FB" w:rsidRPr="003423AC">
        <w:rPr>
          <w:rFonts w:ascii="Times New Roman" w:hAnsi="Times New Roman"/>
          <w:sz w:val="22"/>
          <w:szCs w:val="22"/>
          <w:lang w:val="el-GR"/>
        </w:rPr>
        <w:t xml:space="preserve">2 ώρες). Οι συγκεντρώσεις φορμαλδεϋδης που παρατηρήθηκαν στην αναπνευστική γραμμή αναισθησίας (με χρήση απορροφητών που περιέχουν υδροξείδιο του νατρίου) ήταν σύμφωνες με τα επίπεδα που είναι γνωστό ότι προκαλούν ήπιο αναπνευστικό ερεθισμό. Η κλινική σημασία των προϊόντων αποδόμησης που παρατηρήθηκαν σε αυτό το πειραματικό μοντέλο είναι άγνωστη.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Εάν υπάρχουν ενδείξεις ότι έχει επέλθει ξήρανση του απορροφητή </w:t>
      </w:r>
      <w:r w:rsidRPr="003423AC">
        <w:rPr>
          <w:rFonts w:ascii="Times New Roman" w:hAnsi="Times New Roman"/>
          <w:sz w:val="22"/>
          <w:szCs w:val="22"/>
        </w:rPr>
        <w:t>CO</w:t>
      </w:r>
      <w:r w:rsidRPr="003423AC">
        <w:rPr>
          <w:rFonts w:ascii="Times New Roman" w:hAnsi="Times New Roman"/>
          <w:sz w:val="22"/>
          <w:szCs w:val="22"/>
          <w:vertAlign w:val="subscript"/>
          <w:lang w:val="el-GR"/>
        </w:rPr>
        <w:t xml:space="preserve">2  </w:t>
      </w:r>
      <w:r w:rsidRPr="003423AC">
        <w:rPr>
          <w:rFonts w:ascii="Times New Roman" w:hAnsi="Times New Roman"/>
          <w:sz w:val="22"/>
          <w:szCs w:val="22"/>
          <w:lang w:val="el-GR"/>
        </w:rPr>
        <w:t xml:space="preserve">, θα πρέπει να αντικατασταθεί πριν από τη χορήγηση του σεβοφλουρανίου. Ο χρωματικός δείκτης των περισσοτέρων απορροφητών </w:t>
      </w:r>
      <w:r w:rsidRPr="003423AC">
        <w:rPr>
          <w:rFonts w:ascii="Times New Roman" w:hAnsi="Times New Roman"/>
          <w:sz w:val="22"/>
          <w:szCs w:val="22"/>
        </w:rPr>
        <w:t>CO</w:t>
      </w:r>
      <w:r w:rsidRPr="003423AC">
        <w:rPr>
          <w:rFonts w:ascii="Times New Roman" w:hAnsi="Times New Roman"/>
          <w:sz w:val="22"/>
          <w:szCs w:val="22"/>
          <w:vertAlign w:val="subscript"/>
          <w:lang w:val="el-GR"/>
        </w:rPr>
        <w:t xml:space="preserve">2 </w:t>
      </w:r>
      <w:r w:rsidRPr="003423AC">
        <w:rPr>
          <w:rFonts w:ascii="Times New Roman" w:hAnsi="Times New Roman"/>
          <w:sz w:val="22"/>
          <w:szCs w:val="22"/>
          <w:lang w:val="el-GR"/>
        </w:rPr>
        <w:t xml:space="preserve">δεν αλλάζει απαραίτητα ως αποτέλεσμα της ξήρανσης. Ως εκ τούτου, η απουσία σημαντικής χρωματικής αλλαγής δεν πρέπει να λαμβάνεται ως διαβεβαίωση επαρκούς ενυδάτωσης. Οι απορροφητές </w:t>
      </w:r>
      <w:r w:rsidRPr="003423AC">
        <w:rPr>
          <w:rFonts w:ascii="Times New Roman" w:hAnsi="Times New Roman"/>
          <w:sz w:val="22"/>
          <w:szCs w:val="22"/>
        </w:rPr>
        <w:t>CO</w:t>
      </w:r>
      <w:r w:rsidRPr="003423AC">
        <w:rPr>
          <w:rFonts w:ascii="Times New Roman" w:hAnsi="Times New Roman"/>
          <w:sz w:val="22"/>
          <w:szCs w:val="22"/>
          <w:vertAlign w:val="subscript"/>
          <w:lang w:val="el-GR"/>
        </w:rPr>
        <w:t xml:space="preserve">2 </w:t>
      </w:r>
      <w:r w:rsidRPr="003423AC">
        <w:rPr>
          <w:rFonts w:ascii="Times New Roman" w:hAnsi="Times New Roman"/>
          <w:sz w:val="22"/>
          <w:szCs w:val="22"/>
          <w:lang w:val="el-GR"/>
        </w:rPr>
        <w:t xml:space="preserve">θα πρέπει να αντικαθίστανται συστηματικά ασχέτως </w:t>
      </w:r>
      <w:r w:rsidR="00A3527C" w:rsidRPr="003423AC">
        <w:rPr>
          <w:rFonts w:ascii="Times New Roman" w:hAnsi="Times New Roman"/>
          <w:sz w:val="22"/>
          <w:szCs w:val="22"/>
          <w:lang w:val="el-GR"/>
        </w:rPr>
        <w:t xml:space="preserve">του χρώματος </w:t>
      </w:r>
      <w:r w:rsidRPr="003423AC">
        <w:rPr>
          <w:rFonts w:ascii="Times New Roman" w:hAnsi="Times New Roman"/>
          <w:sz w:val="22"/>
          <w:szCs w:val="22"/>
          <w:lang w:val="el-GR"/>
        </w:rPr>
        <w:t>του χρωματικού δείκτη τους.</w:t>
      </w:r>
    </w:p>
    <w:p w:rsidR="000309FB" w:rsidRPr="003423AC" w:rsidRDefault="000309FB">
      <w:pPr>
        <w:rPr>
          <w:sz w:val="22"/>
          <w:szCs w:val="22"/>
          <w:lang w:val="el-GR"/>
        </w:rPr>
      </w:pPr>
    </w:p>
    <w:p w:rsidR="000309FB" w:rsidRPr="003423AC" w:rsidRDefault="000309FB">
      <w:pPr>
        <w:pStyle w:val="a3"/>
        <w:rPr>
          <w:rFonts w:ascii="Times New Roman" w:hAnsi="Times New Roman"/>
          <w:b/>
          <w:bCs/>
          <w:i/>
          <w:iCs/>
          <w:sz w:val="22"/>
          <w:szCs w:val="22"/>
          <w:lang w:val="el-GR"/>
        </w:rPr>
      </w:pPr>
      <w:r w:rsidRPr="003423AC">
        <w:rPr>
          <w:rFonts w:ascii="Times New Roman" w:hAnsi="Times New Roman"/>
          <w:b/>
          <w:bCs/>
          <w:i/>
          <w:iCs/>
          <w:sz w:val="22"/>
          <w:szCs w:val="22"/>
          <w:lang w:val="el-GR"/>
        </w:rPr>
        <w:t>Νεφρική ανεπάρκεια</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Λόγω του μικρού αριθμού ασθενών με νεφρική ανεπάρκεια που έχει μελετηθεί (κρεατινίνη ορού μεγαλύτερη από 1,5 </w:t>
      </w:r>
      <w:r w:rsidRPr="003423AC">
        <w:rPr>
          <w:rFonts w:ascii="Times New Roman" w:hAnsi="Times New Roman"/>
          <w:sz w:val="22"/>
          <w:szCs w:val="22"/>
        </w:rPr>
        <w:t>mg</w:t>
      </w:r>
      <w:r w:rsidRPr="003423AC">
        <w:rPr>
          <w:rFonts w:ascii="Times New Roman" w:hAnsi="Times New Roman"/>
          <w:sz w:val="22"/>
          <w:szCs w:val="22"/>
          <w:lang w:val="el-GR"/>
        </w:rPr>
        <w:t>/</w:t>
      </w:r>
      <w:proofErr w:type="spellStart"/>
      <w:r w:rsidRPr="003423AC">
        <w:rPr>
          <w:rFonts w:ascii="Times New Roman" w:hAnsi="Times New Roman"/>
          <w:sz w:val="22"/>
          <w:szCs w:val="22"/>
        </w:rPr>
        <w:t>dL</w:t>
      </w:r>
      <w:proofErr w:type="spellEnd"/>
      <w:r w:rsidRPr="003423AC">
        <w:rPr>
          <w:rFonts w:ascii="Times New Roman" w:hAnsi="Times New Roman"/>
          <w:sz w:val="22"/>
          <w:szCs w:val="22"/>
          <w:lang w:val="el-GR"/>
        </w:rPr>
        <w:t>) η ασφάλεια της χρήσης του σεβοφλουρανίου σ΄αυτή την κατηγορία των ασθενών δεν έχει πλήρως τεκμηριωθεί. Γι΄</w:t>
      </w:r>
      <w:r w:rsidR="00FD05CD" w:rsidRPr="003423AC">
        <w:rPr>
          <w:rFonts w:ascii="Times New Roman" w:hAnsi="Times New Roman"/>
          <w:sz w:val="22"/>
          <w:szCs w:val="22"/>
          <w:lang w:val="el-GR"/>
        </w:rPr>
        <w:t xml:space="preserve"> </w:t>
      </w:r>
      <w:r w:rsidRPr="003423AC">
        <w:rPr>
          <w:rFonts w:ascii="Times New Roman" w:hAnsi="Times New Roman"/>
          <w:sz w:val="22"/>
          <w:szCs w:val="22"/>
          <w:lang w:val="el-GR"/>
        </w:rPr>
        <w:t>αυτό το σεβοφλουράνιο πρέπει να χορηγείται με προσοχή στους ασθενείς με νεφρική ανεπάρκεια.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i/>
          <w:iCs/>
          <w:sz w:val="22"/>
          <w:szCs w:val="22"/>
          <w:lang w:val="el-GR"/>
        </w:rPr>
        <w:t>Νευροχειρουργική</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Σε ασθενείς που μπορεί να παρουσιάσουν αύξηση της ενδοκρανιακής πίεσης (</w:t>
      </w:r>
      <w:r w:rsidRPr="003423AC">
        <w:rPr>
          <w:rFonts w:ascii="Times New Roman" w:hAnsi="Times New Roman"/>
          <w:sz w:val="22"/>
          <w:szCs w:val="22"/>
        </w:rPr>
        <w:t>ICP</w:t>
      </w:r>
      <w:r w:rsidRPr="003423AC">
        <w:rPr>
          <w:rFonts w:ascii="Times New Roman" w:hAnsi="Times New Roman"/>
          <w:sz w:val="22"/>
          <w:szCs w:val="22"/>
          <w:lang w:val="el-GR"/>
        </w:rPr>
        <w:t>), η χορήγηση του σεβοφλουράνιου θα πρέπει να γίνει με προσοχή όταν συνδυάζεται με τεχνικές μείωσης της ενδοκρανιακής πίεσης (</w:t>
      </w:r>
      <w:r w:rsidRPr="003423AC">
        <w:rPr>
          <w:rFonts w:ascii="Times New Roman" w:hAnsi="Times New Roman"/>
          <w:sz w:val="22"/>
          <w:szCs w:val="22"/>
        </w:rPr>
        <w:t>ICP</w:t>
      </w:r>
      <w:r w:rsidRPr="003423AC">
        <w:rPr>
          <w:rFonts w:ascii="Times New Roman" w:hAnsi="Times New Roman"/>
          <w:sz w:val="22"/>
          <w:szCs w:val="22"/>
          <w:lang w:val="el-GR"/>
        </w:rPr>
        <w:t>), όπως ο υπεραερισμός.</w:t>
      </w:r>
    </w:p>
    <w:p w:rsidR="00701333" w:rsidRPr="003423AC" w:rsidRDefault="00701333" w:rsidP="00701333">
      <w:pPr>
        <w:pStyle w:val="a3"/>
        <w:rPr>
          <w:rFonts w:ascii="Times New Roman" w:hAnsi="Times New Roman"/>
          <w:sz w:val="22"/>
          <w:szCs w:val="22"/>
          <w:lang w:val="el-GR"/>
        </w:rPr>
      </w:pPr>
    </w:p>
    <w:p w:rsidR="00701333" w:rsidRPr="003423AC" w:rsidRDefault="00701333" w:rsidP="00701333">
      <w:pPr>
        <w:pStyle w:val="a3"/>
        <w:rPr>
          <w:rFonts w:ascii="Times New Roman" w:hAnsi="Times New Roman"/>
          <w:b/>
          <w:i/>
          <w:sz w:val="22"/>
          <w:szCs w:val="22"/>
          <w:lang w:val="el-GR"/>
        </w:rPr>
      </w:pPr>
      <w:r w:rsidRPr="003423AC">
        <w:rPr>
          <w:rFonts w:ascii="Times New Roman" w:hAnsi="Times New Roman"/>
          <w:b/>
          <w:i/>
          <w:sz w:val="22"/>
          <w:szCs w:val="22"/>
          <w:lang w:val="el-GR"/>
        </w:rPr>
        <w:t>Επιληπτικές κρίσεις</w:t>
      </w:r>
    </w:p>
    <w:p w:rsidR="00701333" w:rsidRPr="003423AC" w:rsidRDefault="00701333" w:rsidP="00701333">
      <w:pPr>
        <w:pStyle w:val="a3"/>
        <w:rPr>
          <w:rFonts w:ascii="Times New Roman" w:hAnsi="Times New Roman"/>
          <w:sz w:val="22"/>
          <w:szCs w:val="22"/>
          <w:lang w:val="el-GR"/>
        </w:rPr>
      </w:pPr>
      <w:r w:rsidRPr="003423AC">
        <w:rPr>
          <w:rFonts w:ascii="Times New Roman" w:hAnsi="Times New Roman"/>
          <w:sz w:val="22"/>
          <w:szCs w:val="22"/>
          <w:lang w:val="el-GR"/>
        </w:rPr>
        <w:t xml:space="preserve">Σπάνιες περιπτώσεις επιληπτικών κρίσεων έχουν αναφερθεί κατά τη χρήση με το σεβοφλουράνιο (βλέπε παράγραφο </w:t>
      </w:r>
      <w:r w:rsidRPr="003423AC">
        <w:rPr>
          <w:rFonts w:ascii="Times New Roman" w:hAnsi="Times New Roman"/>
          <w:bCs/>
          <w:sz w:val="22"/>
          <w:szCs w:val="22"/>
          <w:lang w:val="el-GR"/>
        </w:rPr>
        <w:t>4.4</w:t>
      </w:r>
      <w:r w:rsidRPr="003423AC">
        <w:rPr>
          <w:rFonts w:ascii="Times New Roman" w:hAnsi="Times New Roman"/>
          <w:sz w:val="22"/>
          <w:szCs w:val="22"/>
          <w:lang w:val="el-GR"/>
        </w:rPr>
        <w:t xml:space="preserve"> </w:t>
      </w:r>
      <w:r w:rsidRPr="003423AC">
        <w:rPr>
          <w:rFonts w:ascii="Times New Roman" w:hAnsi="Times New Roman"/>
          <w:bCs/>
          <w:sz w:val="22"/>
          <w:szCs w:val="22"/>
          <w:lang w:val="el-GR"/>
        </w:rPr>
        <w:t>Ειδικές προειδοποιήσεις και προφυλάξεις κατά τη χρήση</w:t>
      </w:r>
      <w:r w:rsidRPr="003423AC">
        <w:rPr>
          <w:rFonts w:ascii="Times New Roman" w:hAnsi="Times New Roman"/>
          <w:sz w:val="22"/>
          <w:szCs w:val="22"/>
          <w:lang w:val="el-GR"/>
        </w:rPr>
        <w:t xml:space="preserve"> - Παιδιατρική χρήση και παράγραφο </w:t>
      </w:r>
      <w:r w:rsidRPr="003423AC">
        <w:rPr>
          <w:rFonts w:ascii="Times New Roman" w:hAnsi="Times New Roman"/>
          <w:bCs/>
          <w:sz w:val="22"/>
          <w:szCs w:val="22"/>
          <w:lang w:val="el-GR"/>
        </w:rPr>
        <w:t>4.8 Ανεπιθύμητες Ενέργειες</w:t>
      </w:r>
      <w:r w:rsidRPr="003423AC">
        <w:rPr>
          <w:rFonts w:ascii="Times New Roman" w:hAnsi="Times New Roman"/>
          <w:sz w:val="22"/>
          <w:szCs w:val="22"/>
          <w:lang w:val="el-GR"/>
        </w:rPr>
        <w:t>).</w:t>
      </w:r>
    </w:p>
    <w:p w:rsidR="00701333" w:rsidRPr="003423AC" w:rsidRDefault="00701333" w:rsidP="00701333">
      <w:pPr>
        <w:pStyle w:val="a3"/>
        <w:rPr>
          <w:rFonts w:ascii="Times New Roman" w:hAnsi="Times New Roman"/>
          <w:sz w:val="22"/>
          <w:szCs w:val="22"/>
          <w:lang w:val="el-GR"/>
        </w:rPr>
      </w:pPr>
    </w:p>
    <w:p w:rsidR="00701333" w:rsidRPr="003423AC" w:rsidRDefault="00701333" w:rsidP="00701333">
      <w:pPr>
        <w:pStyle w:val="a3"/>
        <w:rPr>
          <w:rFonts w:ascii="Times New Roman" w:hAnsi="Times New Roman"/>
          <w:b/>
          <w:i/>
          <w:sz w:val="22"/>
          <w:szCs w:val="22"/>
          <w:lang w:val="el-GR"/>
        </w:rPr>
      </w:pPr>
      <w:r w:rsidRPr="003423AC">
        <w:rPr>
          <w:rFonts w:ascii="Times New Roman" w:hAnsi="Times New Roman"/>
          <w:b/>
          <w:i/>
          <w:sz w:val="22"/>
          <w:szCs w:val="22"/>
          <w:lang w:val="el-GR"/>
        </w:rPr>
        <w:t>Παιδιατρική χρήση</w:t>
      </w:r>
    </w:p>
    <w:p w:rsidR="000309FB" w:rsidRPr="003423AC" w:rsidRDefault="00701333" w:rsidP="00701333">
      <w:pPr>
        <w:pStyle w:val="a3"/>
        <w:rPr>
          <w:rFonts w:ascii="Times New Roman" w:hAnsi="Times New Roman"/>
          <w:sz w:val="22"/>
          <w:szCs w:val="22"/>
          <w:lang w:val="el-GR"/>
        </w:rPr>
      </w:pPr>
      <w:r w:rsidRPr="003423AC">
        <w:rPr>
          <w:rFonts w:ascii="Times New Roman" w:hAnsi="Times New Roman"/>
          <w:sz w:val="22"/>
          <w:szCs w:val="22"/>
          <w:lang w:val="el-GR"/>
        </w:rPr>
        <w:t>Η χρήση του σεβοφλουρανίου έχει συσ</w:t>
      </w:r>
      <w:r w:rsidR="00685BB0" w:rsidRPr="003423AC">
        <w:rPr>
          <w:rFonts w:ascii="Times New Roman" w:hAnsi="Times New Roman"/>
          <w:sz w:val="22"/>
          <w:szCs w:val="22"/>
          <w:lang w:val="el-GR"/>
        </w:rPr>
        <w:t xml:space="preserve">χετιστεί με επιληπτικές κρίσεις, </w:t>
      </w:r>
      <w:r w:rsidR="00E358F5" w:rsidRPr="003423AC">
        <w:rPr>
          <w:rFonts w:ascii="Times New Roman" w:hAnsi="Times New Roman"/>
          <w:sz w:val="22"/>
          <w:szCs w:val="22"/>
          <w:lang w:val="el-GR"/>
        </w:rPr>
        <w:t>π</w:t>
      </w:r>
      <w:r w:rsidRPr="003423AC">
        <w:rPr>
          <w:rFonts w:ascii="Times New Roman" w:hAnsi="Times New Roman"/>
          <w:sz w:val="22"/>
          <w:szCs w:val="22"/>
          <w:lang w:val="el-GR"/>
        </w:rPr>
        <w:t xml:space="preserve">ολλές από </w:t>
      </w:r>
      <w:r w:rsidR="00685BB0" w:rsidRPr="003423AC">
        <w:rPr>
          <w:rFonts w:ascii="Times New Roman" w:hAnsi="Times New Roman"/>
          <w:sz w:val="22"/>
          <w:szCs w:val="22"/>
          <w:lang w:val="el-GR"/>
        </w:rPr>
        <w:t>τις οποίες</w:t>
      </w:r>
      <w:r w:rsidRPr="003423AC">
        <w:rPr>
          <w:rFonts w:ascii="Times New Roman" w:hAnsi="Times New Roman"/>
          <w:sz w:val="22"/>
          <w:szCs w:val="22"/>
          <w:lang w:val="el-GR"/>
        </w:rPr>
        <w:t xml:space="preserve"> έχουν συμβεί σε παιδιά</w:t>
      </w:r>
      <w:r w:rsidR="00685BB0" w:rsidRPr="003423AC">
        <w:rPr>
          <w:rFonts w:ascii="Times New Roman" w:hAnsi="Times New Roman"/>
          <w:sz w:val="22"/>
          <w:szCs w:val="22"/>
          <w:lang w:val="el-GR"/>
        </w:rPr>
        <w:t>,</w:t>
      </w:r>
      <w:r w:rsidRPr="003423AC">
        <w:rPr>
          <w:rFonts w:ascii="Times New Roman" w:hAnsi="Times New Roman"/>
          <w:sz w:val="22"/>
          <w:szCs w:val="22"/>
          <w:lang w:val="el-GR"/>
        </w:rPr>
        <w:t xml:space="preserve"> από την ηλικία των 2 μηνών</w:t>
      </w:r>
      <w:r w:rsidR="00685BB0" w:rsidRPr="003423AC">
        <w:rPr>
          <w:rFonts w:ascii="Times New Roman" w:hAnsi="Times New Roman"/>
          <w:sz w:val="22"/>
          <w:szCs w:val="22"/>
          <w:lang w:val="el-GR"/>
        </w:rPr>
        <w:t>,</w:t>
      </w:r>
      <w:r w:rsidRPr="003423AC">
        <w:rPr>
          <w:rFonts w:ascii="Times New Roman" w:hAnsi="Times New Roman"/>
          <w:sz w:val="22"/>
          <w:szCs w:val="22"/>
          <w:lang w:val="el-GR"/>
        </w:rPr>
        <w:t xml:space="preserve"> και σε νεαρά άτομα, τα περισσότερα από τα οποία δεν είχαν κανένα προδιαθεσικό παράγοντα κινδύνου. Η κλινική </w:t>
      </w:r>
      <w:r w:rsidR="00376528" w:rsidRPr="003423AC">
        <w:rPr>
          <w:rFonts w:ascii="Times New Roman" w:hAnsi="Times New Roman"/>
          <w:sz w:val="22"/>
          <w:szCs w:val="22"/>
          <w:lang w:val="el-GR"/>
        </w:rPr>
        <w:t xml:space="preserve">αξιολόγηση είναι απαραίτητη </w:t>
      </w:r>
      <w:r w:rsidRPr="003423AC">
        <w:rPr>
          <w:rFonts w:ascii="Times New Roman" w:hAnsi="Times New Roman"/>
          <w:sz w:val="22"/>
          <w:szCs w:val="22"/>
          <w:lang w:val="el-GR"/>
        </w:rPr>
        <w:t>κατά τη χρήση του σεβοφλουρανίου σε ασθενείς που ενδέχεται να διατρέχουν</w:t>
      </w:r>
      <w:r w:rsidR="00BD4658" w:rsidRPr="003423AC">
        <w:rPr>
          <w:rFonts w:ascii="Times New Roman" w:hAnsi="Times New Roman"/>
          <w:sz w:val="22"/>
          <w:szCs w:val="22"/>
          <w:lang w:val="el-GR"/>
        </w:rPr>
        <w:t xml:space="preserve"> κίνδυνο</w:t>
      </w:r>
      <w:r w:rsidR="00685BB0" w:rsidRPr="003423AC">
        <w:rPr>
          <w:rFonts w:ascii="Times New Roman" w:hAnsi="Times New Roman"/>
          <w:sz w:val="22"/>
          <w:szCs w:val="22"/>
          <w:lang w:val="el-GR"/>
        </w:rPr>
        <w:t xml:space="preserve"> για επιληπτικές κρίσε</w:t>
      </w:r>
      <w:r w:rsidR="00BD4658" w:rsidRPr="003423AC">
        <w:rPr>
          <w:rFonts w:ascii="Times New Roman" w:hAnsi="Times New Roman"/>
          <w:sz w:val="22"/>
          <w:szCs w:val="22"/>
          <w:lang w:val="el-GR"/>
        </w:rPr>
        <w:t>ις. (βλέπε παράγραφο 4.8</w:t>
      </w:r>
      <w:r w:rsidR="00685BB0" w:rsidRPr="003423AC">
        <w:rPr>
          <w:rFonts w:ascii="Times New Roman" w:hAnsi="Times New Roman"/>
          <w:sz w:val="22"/>
          <w:szCs w:val="22"/>
          <w:lang w:val="el-GR"/>
        </w:rPr>
        <w:t xml:space="preserve"> </w:t>
      </w:r>
      <w:r w:rsidR="00BD4658" w:rsidRPr="003423AC">
        <w:rPr>
          <w:rFonts w:ascii="Times New Roman" w:hAnsi="Times New Roman"/>
          <w:sz w:val="22"/>
          <w:szCs w:val="22"/>
          <w:lang w:val="el-GR"/>
        </w:rPr>
        <w:t>Α</w:t>
      </w:r>
      <w:r w:rsidRPr="003423AC">
        <w:rPr>
          <w:rFonts w:ascii="Times New Roman" w:hAnsi="Times New Roman"/>
          <w:sz w:val="22"/>
          <w:szCs w:val="22"/>
          <w:lang w:val="el-GR"/>
        </w:rPr>
        <w:t>νεπιθύμητες ενέργειες).</w:t>
      </w:r>
    </w:p>
    <w:p w:rsidR="00701333" w:rsidRPr="003423AC" w:rsidRDefault="00701333" w:rsidP="00701333">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4.5</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Αλληλεπιδράσεις με άλλα φαρμακευτικά προϊόντα και άλλες μορφές αλληλεπίδρασης</w:t>
      </w:r>
      <w:r w:rsidRPr="003423AC">
        <w:rPr>
          <w:rFonts w:ascii="Times New Roman" w:hAnsi="Times New Roman"/>
          <w:sz w:val="22"/>
          <w:szCs w:val="22"/>
          <w:lang w:val="el-GR"/>
        </w:rPr>
        <w:t xml:space="preserve">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color w:val="auto"/>
          <w:sz w:val="22"/>
          <w:szCs w:val="22"/>
          <w:lang w:val="el-GR"/>
        </w:rPr>
      </w:pPr>
      <w:r w:rsidRPr="003423AC">
        <w:rPr>
          <w:rFonts w:ascii="Times New Roman" w:hAnsi="Times New Roman"/>
          <w:sz w:val="22"/>
          <w:szCs w:val="22"/>
          <w:lang w:val="el-GR"/>
        </w:rPr>
        <w:t>Έχει βρεθεί ότι το σεβοφλουράνιο είναι ασφαλές και αποτελεσματικό όταν χορηγείται συγχρόνως με παράγοντες που χρησιμοποιούνται ευρέως σε χειρουργικές επεμβάσεις όπως φαρμακευτικά προϊόντα</w:t>
      </w:r>
      <w:r w:rsidR="00B6155F" w:rsidRPr="003423AC">
        <w:rPr>
          <w:rFonts w:ascii="Times New Roman" w:hAnsi="Times New Roman"/>
          <w:sz w:val="22"/>
          <w:szCs w:val="22"/>
          <w:lang w:val="el-GR"/>
        </w:rPr>
        <w:t>που επιδρούν στο κεντρικό νευρικό σύστημα, στο αυτόνομο νευρικό σύστημα</w:t>
      </w:r>
      <w:r w:rsidR="00EF03CF" w:rsidRPr="003423AC">
        <w:rPr>
          <w:rFonts w:ascii="Times New Roman" w:hAnsi="Times New Roman"/>
          <w:sz w:val="22"/>
          <w:szCs w:val="22"/>
          <w:lang w:val="el-GR"/>
        </w:rPr>
        <w:t xml:space="preserve">, </w:t>
      </w:r>
      <w:r w:rsidR="0076625C" w:rsidRPr="003423AC">
        <w:rPr>
          <w:rFonts w:ascii="Times New Roman" w:hAnsi="Times New Roman"/>
          <w:sz w:val="22"/>
          <w:szCs w:val="22"/>
          <w:lang w:val="el-GR"/>
        </w:rPr>
        <w:t>τα μυοχαλαρωτικά</w:t>
      </w:r>
      <w:r w:rsidR="00784058" w:rsidRPr="003423AC">
        <w:rPr>
          <w:rFonts w:ascii="Times New Roman" w:hAnsi="Times New Roman"/>
          <w:sz w:val="22"/>
          <w:szCs w:val="22"/>
          <w:lang w:val="el-GR"/>
        </w:rPr>
        <w:t xml:space="preserve">, </w:t>
      </w:r>
      <w:r w:rsidRPr="003423AC">
        <w:rPr>
          <w:rFonts w:ascii="Times New Roman" w:hAnsi="Times New Roman"/>
          <w:sz w:val="22"/>
          <w:szCs w:val="22"/>
          <w:lang w:val="el-GR"/>
        </w:rPr>
        <w:t xml:space="preserve"> καθώς επίσης και με αντιμικροβιακά φάρμακα περιλαμβανομένων των αμινογλυκοσιδών, ορμόνες και συνθετικά υποκατάστατα, προϊόντα αίματος και καρδιαγγειακά </w:t>
      </w:r>
      <w:r w:rsidRPr="003423AC">
        <w:rPr>
          <w:rFonts w:ascii="Times New Roman" w:hAnsi="Times New Roman"/>
          <w:color w:val="auto"/>
          <w:sz w:val="22"/>
          <w:szCs w:val="22"/>
          <w:lang w:val="el-GR"/>
        </w:rPr>
        <w:t>φάρμακα, συμπεριλαμβανόμενης και της επινεφρίνης.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b/>
          <w:sz w:val="22"/>
          <w:szCs w:val="22"/>
          <w:lang w:val="el-GR"/>
        </w:rPr>
      </w:pPr>
      <w:r w:rsidRPr="003423AC">
        <w:rPr>
          <w:rFonts w:ascii="Times New Roman" w:hAnsi="Times New Roman"/>
          <w:b/>
          <w:i/>
          <w:iCs/>
          <w:sz w:val="22"/>
          <w:szCs w:val="22"/>
          <w:lang w:val="el-GR"/>
        </w:rPr>
        <w:t>Βαρβιτουρικά</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Η χορήγηση του σεβοφλουρανίου είναι συμβατή με βαρβιτουρικά που χρησιμοποιούνται συνήθως στην χειρουργική.</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b/>
          <w:sz w:val="22"/>
          <w:szCs w:val="22"/>
          <w:lang w:val="el-GR"/>
        </w:rPr>
      </w:pPr>
      <w:r w:rsidRPr="003423AC">
        <w:rPr>
          <w:rFonts w:ascii="Times New Roman" w:hAnsi="Times New Roman"/>
          <w:b/>
          <w:i/>
          <w:iCs/>
          <w:sz w:val="22"/>
          <w:szCs w:val="22"/>
          <w:lang w:val="el-GR"/>
        </w:rPr>
        <w:t>Βενζοδιαζεπίνες και Οπιούχα</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Οι Βενζοδιαζεπίνες και τα Οπιούχα αναμένεται να μειώσουν την </w:t>
      </w:r>
      <w:r w:rsidRPr="003423AC">
        <w:rPr>
          <w:rFonts w:ascii="Times New Roman" w:hAnsi="Times New Roman"/>
          <w:sz w:val="22"/>
          <w:szCs w:val="22"/>
        </w:rPr>
        <w:t>MAC</w:t>
      </w:r>
      <w:r w:rsidRPr="003423AC">
        <w:rPr>
          <w:rFonts w:ascii="Times New Roman" w:hAnsi="Times New Roman"/>
          <w:sz w:val="22"/>
          <w:szCs w:val="22"/>
          <w:lang w:val="el-GR"/>
        </w:rPr>
        <w:t xml:space="preserve"> του σεβοφλουρανίου κατά τον ίδιο τρόπο με την μείωση που παρατηρείται με άλλα εισπνεόμενα αναισθητικά. Η χορήγηση του σεβοφλουρανίου είναι συμβατή με τις βενζοδιαζεπίνες και τα οπιούχα που χρησιμοποιούνται συνήθως </w:t>
      </w:r>
      <w:r w:rsidRPr="003423AC">
        <w:rPr>
          <w:rFonts w:ascii="Times New Roman" w:hAnsi="Times New Roman"/>
          <w:sz w:val="22"/>
          <w:szCs w:val="22"/>
          <w:lang w:val="el-GR"/>
        </w:rPr>
        <w:lastRenderedPageBreak/>
        <w:t>στη χειρουργική.</w:t>
      </w:r>
    </w:p>
    <w:p w:rsidR="000309FB" w:rsidRPr="003423AC" w:rsidRDefault="000309FB">
      <w:pPr>
        <w:pStyle w:val="a3"/>
        <w:rPr>
          <w:rFonts w:ascii="Times New Roman" w:hAnsi="Times New Roman"/>
          <w:sz w:val="22"/>
          <w:szCs w:val="22"/>
          <w:lang w:val="el-GR"/>
        </w:rPr>
      </w:pPr>
    </w:p>
    <w:p w:rsidR="000309FB" w:rsidRPr="003423AC" w:rsidRDefault="00030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2"/>
          <w:lang w:val="el-GR"/>
        </w:rPr>
      </w:pPr>
      <w:r w:rsidRPr="003423AC">
        <w:rPr>
          <w:rFonts w:ascii="Times New Roman" w:hAnsi="Times New Roman"/>
          <w:szCs w:val="22"/>
          <w:lang w:val="el-GR"/>
        </w:rPr>
        <w:t xml:space="preserve">Τα οπιούχα, όπως </w:t>
      </w:r>
      <w:proofErr w:type="spellStart"/>
      <w:r w:rsidRPr="003423AC">
        <w:rPr>
          <w:rFonts w:ascii="Times New Roman" w:hAnsi="Times New Roman"/>
          <w:color w:val="000000"/>
          <w:szCs w:val="22"/>
          <w:lang w:val="en-US"/>
        </w:rPr>
        <w:t>alfentanil</w:t>
      </w:r>
      <w:proofErr w:type="spellEnd"/>
      <w:r w:rsidRPr="003423AC">
        <w:rPr>
          <w:rFonts w:ascii="Times New Roman" w:hAnsi="Times New Roman"/>
          <w:color w:val="000000"/>
          <w:szCs w:val="22"/>
          <w:lang w:val="el-GR"/>
        </w:rPr>
        <w:t xml:space="preserve"> και </w:t>
      </w:r>
      <w:proofErr w:type="spellStart"/>
      <w:r w:rsidRPr="003423AC">
        <w:rPr>
          <w:rFonts w:ascii="Times New Roman" w:hAnsi="Times New Roman"/>
          <w:szCs w:val="22"/>
          <w:lang w:val="en-US"/>
        </w:rPr>
        <w:t>sulfentanil</w:t>
      </w:r>
      <w:proofErr w:type="spellEnd"/>
      <w:r w:rsidRPr="003423AC">
        <w:rPr>
          <w:rFonts w:ascii="Times New Roman" w:hAnsi="Times New Roman"/>
          <w:szCs w:val="22"/>
          <w:lang w:val="el-GR"/>
        </w:rPr>
        <w:t>, όταν συνδυάζονται με σεβοφλουράνιο, μπορεί να οδηγήσουν σε συνεργική μείωση</w:t>
      </w:r>
      <w:r w:rsidRPr="003423AC">
        <w:rPr>
          <w:rFonts w:ascii="Times New Roman" w:hAnsi="Times New Roman"/>
          <w:color w:val="000000"/>
          <w:szCs w:val="22"/>
          <w:lang w:val="el-GR"/>
        </w:rPr>
        <w:t xml:space="preserve"> του καρδιακού ρυθμού, της αρτηριακής πίεσης και του αναπνευστικού ρυθμού.</w:t>
      </w:r>
    </w:p>
    <w:p w:rsidR="00FB0C39" w:rsidRPr="003423AC" w:rsidRDefault="00FB0C39" w:rsidP="00FB0C39">
      <w:pPr>
        <w:pStyle w:val="a3"/>
        <w:rPr>
          <w:rFonts w:ascii="Times New Roman" w:hAnsi="Times New Roman"/>
          <w:i/>
          <w:iCs/>
          <w:sz w:val="22"/>
          <w:szCs w:val="22"/>
          <w:lang w:val="el-GR"/>
        </w:rPr>
      </w:pPr>
    </w:p>
    <w:p w:rsidR="00FB0C39" w:rsidRPr="003423AC" w:rsidRDefault="00FB0C39" w:rsidP="00FB0C39">
      <w:pPr>
        <w:pStyle w:val="a3"/>
        <w:rPr>
          <w:rFonts w:ascii="Times New Roman" w:hAnsi="Times New Roman"/>
          <w:b/>
          <w:i/>
          <w:iCs/>
          <w:sz w:val="22"/>
          <w:szCs w:val="22"/>
          <w:lang w:val="el-GR"/>
        </w:rPr>
      </w:pPr>
      <w:r w:rsidRPr="003423AC">
        <w:rPr>
          <w:rFonts w:ascii="Times New Roman" w:hAnsi="Times New Roman"/>
          <w:b/>
          <w:i/>
          <w:iCs/>
          <w:sz w:val="22"/>
          <w:szCs w:val="22"/>
          <w:lang w:val="el-GR"/>
        </w:rPr>
        <w:t>Επαγωγείς του CYP2E1</w:t>
      </w:r>
    </w:p>
    <w:p w:rsidR="000309FB" w:rsidRPr="003423AC" w:rsidRDefault="00FB0C39" w:rsidP="00FB0C39">
      <w:pPr>
        <w:pStyle w:val="a3"/>
        <w:rPr>
          <w:rFonts w:ascii="Times New Roman" w:hAnsi="Times New Roman"/>
          <w:iCs/>
          <w:sz w:val="22"/>
          <w:szCs w:val="22"/>
          <w:lang w:val="el-GR"/>
        </w:rPr>
      </w:pPr>
      <w:r w:rsidRPr="003423AC">
        <w:rPr>
          <w:rFonts w:ascii="Times New Roman" w:hAnsi="Times New Roman"/>
          <w:iCs/>
          <w:sz w:val="22"/>
          <w:szCs w:val="22"/>
          <w:lang w:val="el-GR"/>
        </w:rPr>
        <w:t xml:space="preserve">Φαρμακευτικά προϊόντα και </w:t>
      </w:r>
      <w:r w:rsidR="00845832" w:rsidRPr="003423AC">
        <w:rPr>
          <w:rFonts w:ascii="Times New Roman" w:hAnsi="Times New Roman"/>
          <w:iCs/>
          <w:sz w:val="22"/>
          <w:szCs w:val="22"/>
          <w:lang w:val="el-GR"/>
        </w:rPr>
        <w:t>ενώσεις</w:t>
      </w:r>
      <w:r w:rsidRPr="003423AC">
        <w:rPr>
          <w:rFonts w:ascii="Times New Roman" w:hAnsi="Times New Roman"/>
          <w:iCs/>
          <w:sz w:val="22"/>
          <w:szCs w:val="22"/>
          <w:lang w:val="el-GR"/>
        </w:rPr>
        <w:t xml:space="preserve"> που αυξάνουν τη </w:t>
      </w:r>
      <w:r w:rsidR="00845832" w:rsidRPr="003423AC">
        <w:rPr>
          <w:rFonts w:ascii="Times New Roman" w:hAnsi="Times New Roman"/>
          <w:iCs/>
          <w:sz w:val="22"/>
          <w:szCs w:val="22"/>
          <w:lang w:val="el-GR"/>
        </w:rPr>
        <w:t>δραστηριότητα</w:t>
      </w:r>
      <w:r w:rsidRPr="003423AC">
        <w:rPr>
          <w:rFonts w:ascii="Times New Roman" w:hAnsi="Times New Roman"/>
          <w:iCs/>
          <w:sz w:val="22"/>
          <w:szCs w:val="22"/>
          <w:lang w:val="el-GR"/>
        </w:rPr>
        <w:t xml:space="preserve"> του κυτοχρώματος P450 </w:t>
      </w:r>
      <w:r w:rsidR="00845832" w:rsidRPr="003423AC">
        <w:rPr>
          <w:rFonts w:ascii="Times New Roman" w:hAnsi="Times New Roman"/>
          <w:iCs/>
          <w:sz w:val="22"/>
          <w:szCs w:val="22"/>
          <w:lang w:val="el-GR"/>
        </w:rPr>
        <w:t xml:space="preserve">ισοένζυμο </w:t>
      </w:r>
      <w:r w:rsidRPr="003423AC">
        <w:rPr>
          <w:rFonts w:ascii="Times New Roman" w:hAnsi="Times New Roman"/>
          <w:iCs/>
          <w:sz w:val="22"/>
          <w:szCs w:val="22"/>
          <w:lang w:val="el-GR"/>
        </w:rPr>
        <w:t xml:space="preserve">CYP2E1, </w:t>
      </w:r>
      <w:r w:rsidR="00845832" w:rsidRPr="003423AC">
        <w:rPr>
          <w:rFonts w:ascii="Times New Roman" w:hAnsi="Times New Roman"/>
          <w:iCs/>
          <w:sz w:val="22"/>
          <w:szCs w:val="22"/>
          <w:lang w:val="el-GR"/>
        </w:rPr>
        <w:t xml:space="preserve">όπως η </w:t>
      </w:r>
      <w:r w:rsidRPr="003423AC">
        <w:rPr>
          <w:rFonts w:ascii="Times New Roman" w:hAnsi="Times New Roman"/>
          <w:iCs/>
          <w:sz w:val="22"/>
          <w:szCs w:val="22"/>
          <w:lang w:val="el-GR"/>
        </w:rPr>
        <w:t xml:space="preserve">ισονιαζίδη </w:t>
      </w:r>
      <w:r w:rsidR="00845832" w:rsidRPr="003423AC">
        <w:rPr>
          <w:rFonts w:ascii="Times New Roman" w:hAnsi="Times New Roman"/>
          <w:iCs/>
          <w:sz w:val="22"/>
          <w:szCs w:val="22"/>
          <w:lang w:val="el-GR"/>
        </w:rPr>
        <w:t xml:space="preserve">και το αλκοόλ, μπορεί να αυξήσουν το </w:t>
      </w:r>
      <w:r w:rsidRPr="003423AC">
        <w:rPr>
          <w:rFonts w:ascii="Times New Roman" w:hAnsi="Times New Roman"/>
          <w:iCs/>
          <w:sz w:val="22"/>
          <w:szCs w:val="22"/>
          <w:lang w:val="el-GR"/>
        </w:rPr>
        <w:t>μεταβολισμό του σε</w:t>
      </w:r>
      <w:r w:rsidR="00845832" w:rsidRPr="003423AC">
        <w:rPr>
          <w:rFonts w:ascii="Times New Roman" w:hAnsi="Times New Roman"/>
          <w:iCs/>
          <w:sz w:val="22"/>
          <w:szCs w:val="22"/>
          <w:lang w:val="el-GR"/>
        </w:rPr>
        <w:t>βοφλουρανίου και να οδηγήσουν</w:t>
      </w:r>
      <w:r w:rsidRPr="003423AC">
        <w:rPr>
          <w:rFonts w:ascii="Times New Roman" w:hAnsi="Times New Roman"/>
          <w:iCs/>
          <w:sz w:val="22"/>
          <w:szCs w:val="22"/>
          <w:lang w:val="el-GR"/>
        </w:rPr>
        <w:t xml:space="preserve"> σε σημαντικ</w:t>
      </w:r>
      <w:r w:rsidR="00845832" w:rsidRPr="003423AC">
        <w:rPr>
          <w:rFonts w:ascii="Times New Roman" w:hAnsi="Times New Roman"/>
          <w:iCs/>
          <w:sz w:val="22"/>
          <w:szCs w:val="22"/>
          <w:lang w:val="el-GR"/>
        </w:rPr>
        <w:t>ές αυξήσεις των συγκεντρώσεων</w:t>
      </w:r>
      <w:r w:rsidRPr="003423AC">
        <w:rPr>
          <w:rFonts w:ascii="Times New Roman" w:hAnsi="Times New Roman"/>
          <w:iCs/>
          <w:sz w:val="22"/>
          <w:szCs w:val="22"/>
          <w:lang w:val="el-GR"/>
        </w:rPr>
        <w:t xml:space="preserve"> φθορίου στο πλάσμα</w:t>
      </w:r>
      <w:r w:rsidR="00845832" w:rsidRPr="003423AC">
        <w:rPr>
          <w:rFonts w:ascii="Times New Roman" w:hAnsi="Times New Roman"/>
          <w:iCs/>
          <w:sz w:val="22"/>
          <w:szCs w:val="22"/>
          <w:lang w:val="el-GR"/>
        </w:rPr>
        <w:t xml:space="preserve"> (βλέπε </w:t>
      </w:r>
      <w:r w:rsidR="00C8464F" w:rsidRPr="003423AC">
        <w:rPr>
          <w:rFonts w:ascii="Times New Roman" w:hAnsi="Times New Roman"/>
          <w:iCs/>
          <w:sz w:val="22"/>
          <w:szCs w:val="22"/>
          <w:lang w:val="el-GR"/>
        </w:rPr>
        <w:t xml:space="preserve">παράγραφο </w:t>
      </w:r>
      <w:r w:rsidR="00C8464F" w:rsidRPr="003423AC">
        <w:rPr>
          <w:rFonts w:ascii="Times New Roman" w:hAnsi="Times New Roman"/>
          <w:bCs/>
          <w:sz w:val="22"/>
          <w:szCs w:val="22"/>
          <w:lang w:val="el-GR"/>
        </w:rPr>
        <w:t>5</w:t>
      </w:r>
      <w:r w:rsidR="00C8464F" w:rsidRPr="003423AC">
        <w:rPr>
          <w:rFonts w:ascii="Times New Roman" w:hAnsi="Times New Roman"/>
          <w:sz w:val="22"/>
          <w:szCs w:val="22"/>
          <w:lang w:val="el-GR"/>
        </w:rPr>
        <w:t xml:space="preserve">. </w:t>
      </w:r>
      <w:r w:rsidR="00C8464F" w:rsidRPr="003423AC">
        <w:rPr>
          <w:rFonts w:ascii="Times New Roman" w:hAnsi="Times New Roman"/>
          <w:bCs/>
          <w:sz w:val="22"/>
          <w:szCs w:val="22"/>
          <w:lang w:val="el-GR"/>
        </w:rPr>
        <w:t>ΦΑΡΜΑΚΟΛΟΓΙΚΕΣ ΙΔΙΟΤΗΤΕΣ, Φαρμακοκινητική, Μεταβολισμός και Ιόντα Φθορίου).</w:t>
      </w:r>
    </w:p>
    <w:p w:rsidR="00FB0C39" w:rsidRPr="003423AC" w:rsidRDefault="00FB0C39">
      <w:pPr>
        <w:pStyle w:val="a3"/>
        <w:rPr>
          <w:rFonts w:ascii="Times New Roman" w:hAnsi="Times New Roman"/>
          <w:b/>
          <w:i/>
          <w:iCs/>
          <w:sz w:val="22"/>
          <w:szCs w:val="22"/>
          <w:lang w:val="el-GR"/>
        </w:rPr>
      </w:pPr>
    </w:p>
    <w:p w:rsidR="000309FB" w:rsidRPr="003423AC" w:rsidRDefault="000309FB">
      <w:pPr>
        <w:pStyle w:val="a3"/>
        <w:rPr>
          <w:rFonts w:ascii="Times New Roman" w:hAnsi="Times New Roman"/>
          <w:b/>
          <w:sz w:val="22"/>
          <w:szCs w:val="22"/>
          <w:lang w:val="el-GR"/>
        </w:rPr>
      </w:pPr>
      <w:r w:rsidRPr="003423AC">
        <w:rPr>
          <w:rFonts w:ascii="Times New Roman" w:hAnsi="Times New Roman"/>
          <w:b/>
          <w:i/>
          <w:iCs/>
          <w:sz w:val="22"/>
          <w:szCs w:val="22"/>
          <w:lang w:val="el-GR"/>
        </w:rPr>
        <w:t>Υποξείδιο Αζώτου</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Η </w:t>
      </w:r>
      <w:r w:rsidRPr="003423AC">
        <w:rPr>
          <w:rFonts w:ascii="Times New Roman" w:hAnsi="Times New Roman"/>
          <w:sz w:val="22"/>
          <w:szCs w:val="22"/>
        </w:rPr>
        <w:t>MAC</w:t>
      </w:r>
      <w:r w:rsidRPr="003423AC">
        <w:rPr>
          <w:rFonts w:ascii="Times New Roman" w:hAnsi="Times New Roman"/>
          <w:sz w:val="22"/>
          <w:szCs w:val="22"/>
          <w:lang w:val="el-GR"/>
        </w:rPr>
        <w:t xml:space="preserve"> του σεβοφλουρανίου, όπως και με τα άλλα αλογονωμένα πτητικά αναισθητικά, μειώνεται όταν χορηγείται σε συνδυασμό με το υποξείδιο αζώτου. Οι τιμές </w:t>
      </w:r>
      <w:r w:rsidRPr="003423AC">
        <w:rPr>
          <w:rFonts w:ascii="Times New Roman" w:hAnsi="Times New Roman"/>
          <w:sz w:val="22"/>
          <w:szCs w:val="22"/>
        </w:rPr>
        <w:t>MAC</w:t>
      </w:r>
      <w:r w:rsidRPr="003423AC">
        <w:rPr>
          <w:rFonts w:ascii="Times New Roman" w:hAnsi="Times New Roman"/>
          <w:sz w:val="22"/>
          <w:szCs w:val="22"/>
          <w:lang w:val="el-GR"/>
        </w:rPr>
        <w:t xml:space="preserve"> μειώνονται περίπου κατά 50% στους ενήλικες και κατά 25% στα παιδιά</w:t>
      </w:r>
      <w:r w:rsidR="00DE1737" w:rsidRPr="003423AC">
        <w:rPr>
          <w:rFonts w:ascii="Times New Roman" w:hAnsi="Times New Roman"/>
          <w:sz w:val="22"/>
          <w:szCs w:val="22"/>
          <w:lang w:val="el-GR"/>
        </w:rPr>
        <w:t xml:space="preserve"> (βλέπε παράγραφο 4.2 </w:t>
      </w:r>
      <w:r w:rsidR="00C8464F" w:rsidRPr="003423AC">
        <w:rPr>
          <w:rFonts w:ascii="Times New Roman" w:hAnsi="Times New Roman"/>
          <w:bCs/>
          <w:sz w:val="22"/>
          <w:szCs w:val="22"/>
          <w:lang w:val="el-GR"/>
        </w:rPr>
        <w:t>Δοσολογία και τρόπος χορήγησης</w:t>
      </w:r>
      <w:r w:rsidR="00C8464F" w:rsidRPr="003423AC">
        <w:rPr>
          <w:rFonts w:ascii="Times New Roman" w:hAnsi="Times New Roman"/>
          <w:i/>
          <w:sz w:val="22"/>
          <w:szCs w:val="22"/>
          <w:lang w:val="el-GR"/>
        </w:rPr>
        <w:t xml:space="preserve"> - </w:t>
      </w:r>
      <w:r w:rsidR="00DE1737" w:rsidRPr="003423AC">
        <w:rPr>
          <w:rFonts w:ascii="Times New Roman" w:hAnsi="Times New Roman"/>
          <w:i/>
          <w:sz w:val="22"/>
          <w:szCs w:val="22"/>
          <w:lang w:val="el-GR"/>
        </w:rPr>
        <w:t>Διατήρηση</w:t>
      </w:r>
      <w:r w:rsidR="00DE1737" w:rsidRPr="003423AC">
        <w:rPr>
          <w:rFonts w:ascii="Times New Roman" w:hAnsi="Times New Roman"/>
          <w:sz w:val="22"/>
          <w:szCs w:val="22"/>
          <w:lang w:val="el-GR"/>
        </w:rPr>
        <w:t>)</w:t>
      </w:r>
      <w:r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b/>
          <w:sz w:val="22"/>
          <w:szCs w:val="22"/>
          <w:lang w:val="el-GR"/>
        </w:rPr>
      </w:pPr>
      <w:r w:rsidRPr="003423AC">
        <w:rPr>
          <w:rFonts w:ascii="Times New Roman" w:hAnsi="Times New Roman"/>
          <w:b/>
          <w:i/>
          <w:iCs/>
          <w:sz w:val="22"/>
          <w:szCs w:val="22"/>
          <w:lang w:val="el-GR"/>
        </w:rPr>
        <w:t>Φάρμακα νευρομυ</w:t>
      </w:r>
      <w:r w:rsidR="008C223B" w:rsidRPr="003423AC">
        <w:rPr>
          <w:rFonts w:ascii="Times New Roman" w:hAnsi="Times New Roman"/>
          <w:b/>
          <w:i/>
          <w:iCs/>
          <w:sz w:val="22"/>
          <w:szCs w:val="22"/>
          <w:lang w:val="el-GR"/>
        </w:rPr>
        <w:t>ϊ</w:t>
      </w:r>
      <w:r w:rsidRPr="003423AC">
        <w:rPr>
          <w:rFonts w:ascii="Times New Roman" w:hAnsi="Times New Roman"/>
          <w:b/>
          <w:i/>
          <w:iCs/>
          <w:sz w:val="22"/>
          <w:szCs w:val="22"/>
          <w:lang w:val="el-GR"/>
        </w:rPr>
        <w:t>κού αποκλεισμού</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Όπως και με άλλα εισπνεόμενα αναισθητικά, το σεβοφλουράνιο ενισχύει την ένταση και τη διάρκεια του νευρομυικού αποκλεισμού που προκαλείται από τους μη αποπολωτικούς νευρομυικούς αποκλειστές</w:t>
      </w:r>
      <w:r w:rsidRPr="003423AC">
        <w:rPr>
          <w:rFonts w:ascii="Times New Roman" w:hAnsi="Times New Roman"/>
          <w:color w:val="0000FF"/>
          <w:sz w:val="22"/>
          <w:szCs w:val="22"/>
          <w:lang w:val="el-GR"/>
        </w:rPr>
        <w:t xml:space="preserve">. </w:t>
      </w:r>
      <w:r w:rsidRPr="003423AC">
        <w:rPr>
          <w:rFonts w:ascii="Times New Roman" w:hAnsi="Times New Roman"/>
          <w:color w:val="auto"/>
          <w:sz w:val="22"/>
          <w:szCs w:val="22"/>
          <w:lang w:val="el-GR"/>
        </w:rPr>
        <w:t xml:space="preserve">Όταν χρησιμοποιείται ως συμπλήρωμα της αναισθησίας με </w:t>
      </w:r>
      <w:proofErr w:type="spellStart"/>
      <w:r w:rsidRPr="003423AC">
        <w:rPr>
          <w:rFonts w:ascii="Times New Roman" w:hAnsi="Times New Roman"/>
          <w:color w:val="auto"/>
          <w:sz w:val="22"/>
          <w:szCs w:val="22"/>
        </w:rPr>
        <w:t>alfentanil</w:t>
      </w:r>
      <w:proofErr w:type="spellEnd"/>
      <w:r w:rsidRPr="003423AC">
        <w:rPr>
          <w:rFonts w:ascii="Times New Roman" w:hAnsi="Times New Roman"/>
          <w:color w:val="auto"/>
          <w:sz w:val="22"/>
          <w:szCs w:val="22"/>
          <w:lang w:val="el-GR"/>
        </w:rPr>
        <w:t xml:space="preserve"> και υποξείδιο του αζώτου το σεβοφλουράνιο ενισχύει το νευρομυικό αποκλεισμό που προκαλείται με </w:t>
      </w:r>
      <w:proofErr w:type="spellStart"/>
      <w:r w:rsidRPr="003423AC">
        <w:rPr>
          <w:rFonts w:ascii="Times New Roman" w:hAnsi="Times New Roman"/>
          <w:color w:val="auto"/>
          <w:sz w:val="22"/>
          <w:szCs w:val="22"/>
        </w:rPr>
        <w:t>pancuronium</w:t>
      </w:r>
      <w:proofErr w:type="spellEnd"/>
      <w:r w:rsidRPr="003423AC">
        <w:rPr>
          <w:rFonts w:ascii="Times New Roman" w:hAnsi="Times New Roman"/>
          <w:color w:val="auto"/>
          <w:sz w:val="22"/>
          <w:szCs w:val="22"/>
          <w:lang w:val="el-GR"/>
        </w:rPr>
        <w:t xml:space="preserve">, </w:t>
      </w:r>
      <w:proofErr w:type="spellStart"/>
      <w:r w:rsidRPr="003423AC">
        <w:rPr>
          <w:rFonts w:ascii="Times New Roman" w:hAnsi="Times New Roman"/>
          <w:color w:val="auto"/>
          <w:sz w:val="22"/>
          <w:szCs w:val="22"/>
        </w:rPr>
        <w:t>vecuronium</w:t>
      </w:r>
      <w:proofErr w:type="spellEnd"/>
      <w:r w:rsidRPr="003423AC">
        <w:rPr>
          <w:rFonts w:ascii="Times New Roman" w:hAnsi="Times New Roman"/>
          <w:color w:val="auto"/>
          <w:sz w:val="22"/>
          <w:szCs w:val="22"/>
          <w:lang w:val="el-GR"/>
        </w:rPr>
        <w:t xml:space="preserve"> ή </w:t>
      </w:r>
      <w:proofErr w:type="spellStart"/>
      <w:r w:rsidRPr="003423AC">
        <w:rPr>
          <w:rFonts w:ascii="Times New Roman" w:hAnsi="Times New Roman"/>
          <w:color w:val="auto"/>
          <w:sz w:val="22"/>
          <w:szCs w:val="22"/>
        </w:rPr>
        <w:t>atracurium</w:t>
      </w:r>
      <w:proofErr w:type="spellEnd"/>
      <w:r w:rsidRPr="003423AC">
        <w:rPr>
          <w:rFonts w:ascii="Times New Roman" w:hAnsi="Times New Roman"/>
          <w:sz w:val="22"/>
          <w:szCs w:val="22"/>
          <w:lang w:val="el-GR"/>
        </w:rPr>
        <w:t>.</w:t>
      </w:r>
      <w:r w:rsidR="00946852" w:rsidRPr="003423AC">
        <w:rPr>
          <w:rFonts w:ascii="Times New Roman" w:hAnsi="Times New Roman"/>
          <w:sz w:val="22"/>
          <w:szCs w:val="22"/>
          <w:lang w:val="el-GR"/>
        </w:rPr>
        <w:t xml:space="preserve"> </w:t>
      </w:r>
      <w:r w:rsidRPr="003423AC">
        <w:rPr>
          <w:rFonts w:ascii="Times New Roman" w:hAnsi="Times New Roman"/>
          <w:sz w:val="22"/>
          <w:szCs w:val="22"/>
          <w:lang w:val="el-GR"/>
        </w:rPr>
        <w:t>Η αναπροσαρμογή των δόσεων για αυτούς τους μη αποπολωτικούς νευρομυικούς αποκλειστές όταν χορηγούνται με σεβοφλουράνιο είναι παρόμοια με αυτήν που απαιτείται κατά τη χρήση του ισοφλουρανίου.</w:t>
      </w:r>
      <w:r w:rsidR="00A306A6" w:rsidRPr="003423AC">
        <w:rPr>
          <w:rFonts w:ascii="Times New Roman" w:hAnsi="Times New Roman"/>
          <w:sz w:val="22"/>
          <w:szCs w:val="22"/>
          <w:lang w:val="el-GR"/>
        </w:rPr>
        <w:t xml:space="preserve"> </w:t>
      </w:r>
      <w:r w:rsidRPr="003423AC">
        <w:rPr>
          <w:rFonts w:ascii="Times New Roman" w:hAnsi="Times New Roman"/>
          <w:sz w:val="22"/>
          <w:szCs w:val="22"/>
          <w:lang w:val="el-GR"/>
        </w:rPr>
        <w:t xml:space="preserve">Η επίδραση του σεβοφλουρανίου στη </w:t>
      </w:r>
      <w:r w:rsidRPr="003423AC">
        <w:rPr>
          <w:rFonts w:ascii="Times New Roman" w:hAnsi="Times New Roman"/>
          <w:sz w:val="22"/>
          <w:szCs w:val="22"/>
        </w:rPr>
        <w:t>succinylcholine</w:t>
      </w:r>
      <w:r w:rsidRPr="003423AC">
        <w:rPr>
          <w:rFonts w:ascii="Times New Roman" w:hAnsi="Times New Roman"/>
          <w:sz w:val="22"/>
          <w:szCs w:val="22"/>
          <w:lang w:val="el-GR"/>
        </w:rPr>
        <w:t xml:space="preserve"> και η διάρκεια του αποπολωτικού νευρομυικού αποκλεισμού δεν </w:t>
      </w:r>
      <w:r w:rsidR="00B6155F" w:rsidRPr="003423AC">
        <w:rPr>
          <w:rFonts w:ascii="Times New Roman" w:hAnsi="Times New Roman"/>
          <w:sz w:val="22"/>
          <w:szCs w:val="22"/>
          <w:lang w:val="el-GR"/>
        </w:rPr>
        <w:t xml:space="preserve">έχει </w:t>
      </w:r>
      <w:r w:rsidRPr="003423AC">
        <w:rPr>
          <w:rFonts w:ascii="Times New Roman" w:hAnsi="Times New Roman"/>
          <w:sz w:val="22"/>
          <w:szCs w:val="22"/>
          <w:lang w:val="el-GR"/>
        </w:rPr>
        <w:t>μελετηθεί.</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Η μείωση της δοσολογίας των μη αποπολωτικών νευρομυικών αποκλειστών στην εισαγωγή της αναισθησίας με σεβοφλουράνιο μπορεί να έχει ως αποτέλεσμα την καθυστέρηση καταλλήλων συνθηκών για ενδοτραχειακή διασωλήνωση ή ανεπαρκή μυοχάλαση, διότι η ενίσχυση της δράσης των νευρομυικών αποκλειστών παρατηρείται λίγα λεπτά μετά από την έναρξη της χορήγησης του σεβοφλουρανίου. </w:t>
      </w:r>
    </w:p>
    <w:p w:rsidR="000309FB" w:rsidRPr="003423AC" w:rsidRDefault="000309FB">
      <w:pPr>
        <w:pStyle w:val="a3"/>
        <w:rPr>
          <w:rFonts w:ascii="Times New Roman" w:hAnsi="Times New Roman"/>
          <w:sz w:val="22"/>
          <w:szCs w:val="22"/>
          <w:lang w:val="el-GR"/>
        </w:rPr>
      </w:pPr>
    </w:p>
    <w:p w:rsidR="00CA7670" w:rsidRPr="003423AC" w:rsidRDefault="000309FB">
      <w:pPr>
        <w:pStyle w:val="a3"/>
        <w:rPr>
          <w:rFonts w:ascii="Times New Roman" w:hAnsi="Times New Roman"/>
          <w:sz w:val="22"/>
          <w:szCs w:val="22"/>
        </w:rPr>
      </w:pPr>
      <w:r w:rsidRPr="003423AC">
        <w:rPr>
          <w:rFonts w:ascii="Times New Roman" w:hAnsi="Times New Roman"/>
          <w:sz w:val="22"/>
          <w:szCs w:val="22"/>
          <w:lang w:val="el-GR"/>
        </w:rPr>
        <w:t xml:space="preserve">Μεταξύ των μη αποπολωτικών νευρομυικών αποκλειστών έχουν μελετηθεί οι αλληλεπιδράσεις με </w:t>
      </w:r>
      <w:proofErr w:type="spellStart"/>
      <w:r w:rsidRPr="003423AC">
        <w:rPr>
          <w:rFonts w:ascii="Times New Roman" w:hAnsi="Times New Roman"/>
          <w:sz w:val="22"/>
          <w:szCs w:val="22"/>
        </w:rPr>
        <w:t>vecuronium</w:t>
      </w:r>
      <w:proofErr w:type="spellEnd"/>
      <w:r w:rsidRPr="003423AC">
        <w:rPr>
          <w:rFonts w:ascii="Times New Roman" w:hAnsi="Times New Roman"/>
          <w:sz w:val="22"/>
          <w:szCs w:val="22"/>
          <w:lang w:val="el-GR"/>
        </w:rPr>
        <w:t xml:space="preserve">, </w:t>
      </w:r>
      <w:proofErr w:type="spellStart"/>
      <w:r w:rsidRPr="003423AC">
        <w:rPr>
          <w:rFonts w:ascii="Times New Roman" w:hAnsi="Times New Roman"/>
          <w:sz w:val="22"/>
          <w:szCs w:val="22"/>
        </w:rPr>
        <w:t>pancurorium</w:t>
      </w:r>
      <w:proofErr w:type="spellEnd"/>
      <w:r w:rsidRPr="003423AC">
        <w:rPr>
          <w:rFonts w:ascii="Times New Roman" w:hAnsi="Times New Roman"/>
          <w:sz w:val="22"/>
          <w:szCs w:val="22"/>
          <w:lang w:val="el-GR"/>
        </w:rPr>
        <w:t xml:space="preserve"> και </w:t>
      </w:r>
      <w:proofErr w:type="spellStart"/>
      <w:r w:rsidRPr="003423AC">
        <w:rPr>
          <w:rFonts w:ascii="Times New Roman" w:hAnsi="Times New Roman"/>
          <w:sz w:val="22"/>
          <w:szCs w:val="22"/>
        </w:rPr>
        <w:t>atracurium</w:t>
      </w:r>
      <w:proofErr w:type="spellEnd"/>
      <w:r w:rsidRPr="003423AC">
        <w:rPr>
          <w:rFonts w:ascii="Times New Roman" w:hAnsi="Times New Roman"/>
          <w:sz w:val="22"/>
          <w:szCs w:val="22"/>
          <w:lang w:val="el-GR"/>
        </w:rPr>
        <w:t>. Όταν δεν υπάρχουν άλλες οδηγίες συνιστάται:</w:t>
      </w:r>
    </w:p>
    <w:p w:rsidR="000309FB" w:rsidRPr="003423AC" w:rsidRDefault="000309FB">
      <w:pPr>
        <w:pStyle w:val="a3"/>
        <w:numPr>
          <w:ilvl w:val="0"/>
          <w:numId w:val="5"/>
        </w:numPr>
        <w:rPr>
          <w:rFonts w:ascii="Times New Roman" w:hAnsi="Times New Roman"/>
          <w:sz w:val="22"/>
          <w:szCs w:val="22"/>
          <w:lang w:val="el-GR"/>
        </w:rPr>
      </w:pPr>
      <w:r w:rsidRPr="003423AC">
        <w:rPr>
          <w:rFonts w:ascii="Times New Roman" w:hAnsi="Times New Roman"/>
          <w:sz w:val="22"/>
          <w:szCs w:val="22"/>
          <w:lang w:val="el-GR"/>
        </w:rPr>
        <w:t xml:space="preserve">Να μη μειώνεται η δοσολογία των μη αποπολωτικών νευρομυικών αποκλειστών για ενδοτραχειακή διασωλήνωση και </w:t>
      </w:r>
    </w:p>
    <w:p w:rsidR="000309FB" w:rsidRPr="003423AC" w:rsidRDefault="000309FB" w:rsidP="000141A7">
      <w:pPr>
        <w:pStyle w:val="a3"/>
        <w:numPr>
          <w:ilvl w:val="0"/>
          <w:numId w:val="5"/>
        </w:numPr>
        <w:rPr>
          <w:rFonts w:ascii="Times New Roman" w:hAnsi="Times New Roman"/>
          <w:sz w:val="22"/>
          <w:szCs w:val="22"/>
          <w:lang w:val="el-GR"/>
        </w:rPr>
      </w:pPr>
      <w:r w:rsidRPr="003423AC">
        <w:rPr>
          <w:rFonts w:ascii="Times New Roman" w:hAnsi="Times New Roman"/>
          <w:sz w:val="22"/>
          <w:szCs w:val="22"/>
          <w:lang w:val="el-GR"/>
        </w:rPr>
        <w:t xml:space="preserve">Κατά τη διατήρηση της αναισθησίας η δοσολογία των μη αποπολωτικών νευρομυικών αποκλειστών πιθανόν να μειωθεί σε σχέση με αυτήν της αναισθησίας με </w:t>
      </w:r>
      <w:r w:rsidRPr="003423AC">
        <w:rPr>
          <w:rFonts w:ascii="Times New Roman" w:hAnsi="Times New Roman"/>
          <w:sz w:val="22"/>
          <w:szCs w:val="22"/>
        </w:rPr>
        <w:t>N</w:t>
      </w:r>
      <w:r w:rsidRPr="003423AC">
        <w:rPr>
          <w:rFonts w:ascii="Times New Roman" w:hAnsi="Times New Roman"/>
          <w:b/>
          <w:i/>
          <w:sz w:val="22"/>
          <w:szCs w:val="22"/>
          <w:vertAlign w:val="subscript"/>
          <w:lang w:val="el-GR"/>
        </w:rPr>
        <w:t>2</w:t>
      </w:r>
      <w:r w:rsidRPr="003423AC">
        <w:rPr>
          <w:rFonts w:ascii="Times New Roman" w:hAnsi="Times New Roman"/>
          <w:sz w:val="22"/>
          <w:szCs w:val="22"/>
        </w:rPr>
        <w:t>O</w:t>
      </w:r>
      <w:r w:rsidRPr="003423AC">
        <w:rPr>
          <w:rFonts w:ascii="Times New Roman" w:hAnsi="Times New Roman"/>
          <w:sz w:val="22"/>
          <w:szCs w:val="22"/>
          <w:lang w:val="el-GR"/>
        </w:rPr>
        <w:t>/οπιούχα.</w:t>
      </w:r>
      <w:r w:rsidR="00CA7670" w:rsidRPr="003423AC">
        <w:rPr>
          <w:rFonts w:ascii="Times New Roman" w:hAnsi="Times New Roman"/>
          <w:sz w:val="22"/>
          <w:szCs w:val="22"/>
          <w:lang w:val="el-GR"/>
        </w:rPr>
        <w:t xml:space="preserve"> </w:t>
      </w:r>
      <w:r w:rsidRPr="003423AC">
        <w:rPr>
          <w:rFonts w:ascii="Times New Roman" w:hAnsi="Times New Roman"/>
          <w:sz w:val="22"/>
          <w:szCs w:val="22"/>
          <w:lang w:val="el-GR"/>
        </w:rPr>
        <w:t>Η χορήγηση συμπληρωματικών δόσεων νευρομυικών αποκλειστών πρέπει να γίνεται με βάση την απόκριση στο νευρικό ερεθισμό.</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4.6 Κύηση και γαλουχία</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  </w:t>
      </w:r>
    </w:p>
    <w:p w:rsidR="000309FB" w:rsidRPr="003423AC" w:rsidRDefault="000309FB">
      <w:pPr>
        <w:pStyle w:val="a3"/>
        <w:rPr>
          <w:rFonts w:ascii="Times New Roman" w:hAnsi="Times New Roman"/>
          <w:i/>
          <w:sz w:val="22"/>
          <w:szCs w:val="22"/>
          <w:lang w:val="el-GR"/>
        </w:rPr>
      </w:pPr>
      <w:r w:rsidRPr="003423AC">
        <w:rPr>
          <w:rFonts w:ascii="Times New Roman" w:hAnsi="Times New Roman"/>
          <w:b/>
          <w:bCs/>
          <w:i/>
          <w:sz w:val="22"/>
          <w:szCs w:val="22"/>
          <w:lang w:val="el-GR"/>
        </w:rPr>
        <w:t>Κύηση</w:t>
      </w:r>
      <w:r w:rsidR="00340F3A" w:rsidRPr="003423AC">
        <w:rPr>
          <w:rFonts w:ascii="Times New Roman" w:hAnsi="Times New Roman"/>
          <w:b/>
          <w:bCs/>
          <w:i/>
          <w:sz w:val="22"/>
          <w:szCs w:val="22"/>
          <w:lang w:val="el-GR"/>
        </w:rPr>
        <w:t xml:space="preserve"> (Κατηγορία Β)</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Οι μελέτες αναπαραγωγής που πραγματοποιήθηκαν σε αρουραίους και κουνέλια στα οποία χορηγήθηκαν δόσεις μέχρι 1.0 </w:t>
      </w:r>
      <w:r w:rsidRPr="003423AC">
        <w:rPr>
          <w:rFonts w:ascii="Times New Roman" w:hAnsi="Times New Roman"/>
          <w:sz w:val="22"/>
          <w:szCs w:val="22"/>
        </w:rPr>
        <w:t>MAC</w:t>
      </w:r>
      <w:r w:rsidRPr="003423AC">
        <w:rPr>
          <w:rFonts w:ascii="Times New Roman" w:hAnsi="Times New Roman"/>
          <w:sz w:val="22"/>
          <w:szCs w:val="22"/>
          <w:lang w:val="el-GR"/>
        </w:rPr>
        <w:t xml:space="preserve"> δεν έδειξαν διαταραχή της γονιμότητας ή βλάβη στο έμβρυο εξαιτίας της χορήγησης του σεβοφλουρανίου. </w:t>
      </w:r>
    </w:p>
    <w:p w:rsidR="000309FB" w:rsidRPr="003423AC" w:rsidRDefault="000309FB">
      <w:pPr>
        <w:pStyle w:val="a3"/>
        <w:rPr>
          <w:rFonts w:ascii="Times New Roman" w:hAnsi="Times New Roman"/>
          <w:sz w:val="22"/>
          <w:szCs w:val="22"/>
          <w:lang w:val="el-GR"/>
        </w:rPr>
      </w:pPr>
    </w:p>
    <w:p w:rsidR="00340F3A" w:rsidRPr="003423AC" w:rsidRDefault="00340F3A">
      <w:pPr>
        <w:pStyle w:val="a3"/>
        <w:rPr>
          <w:rFonts w:ascii="Times New Roman" w:hAnsi="Times New Roman"/>
          <w:b/>
          <w:i/>
          <w:sz w:val="22"/>
          <w:szCs w:val="22"/>
          <w:lang w:val="el-GR"/>
        </w:rPr>
      </w:pPr>
      <w:r w:rsidRPr="003423AC">
        <w:rPr>
          <w:rFonts w:ascii="Times New Roman" w:hAnsi="Times New Roman"/>
          <w:b/>
          <w:i/>
          <w:sz w:val="22"/>
          <w:szCs w:val="22"/>
          <w:lang w:val="el-GR"/>
        </w:rPr>
        <w:t xml:space="preserve">Τοκετός </w:t>
      </w:r>
    </w:p>
    <w:p w:rsidR="00312A8D" w:rsidRPr="003423AC" w:rsidRDefault="00340F3A" w:rsidP="00312A8D">
      <w:pPr>
        <w:pStyle w:val="a3"/>
        <w:rPr>
          <w:rFonts w:ascii="Times New Roman" w:hAnsi="Times New Roman"/>
          <w:sz w:val="22"/>
          <w:szCs w:val="22"/>
          <w:lang w:val="el-GR"/>
        </w:rPr>
      </w:pPr>
      <w:r w:rsidRPr="003423AC">
        <w:rPr>
          <w:rFonts w:ascii="Times New Roman" w:hAnsi="Times New Roman"/>
          <w:sz w:val="22"/>
          <w:szCs w:val="22"/>
          <w:lang w:val="el-GR"/>
        </w:rPr>
        <w:t xml:space="preserve">Σε μία κλινική μελέτη, η ασφάλεια του σεβοφλουρανίου αποδείχθηκε για τις μητέρες και τα βρέφη, όταν χρησιμοποιήθηκε για την αναισθησία κατά τη διάρκεια της καισαρικής. Η ασφάλεια του σεβοφλουρανίου </w:t>
      </w:r>
      <w:r w:rsidR="00D72C99" w:rsidRPr="003423AC">
        <w:rPr>
          <w:rFonts w:ascii="Times New Roman" w:hAnsi="Times New Roman"/>
          <w:sz w:val="22"/>
          <w:szCs w:val="22"/>
          <w:lang w:val="el-GR"/>
        </w:rPr>
        <w:t>στη κύηση και το</w:t>
      </w:r>
      <w:r w:rsidRPr="003423AC">
        <w:rPr>
          <w:rFonts w:ascii="Times New Roman" w:hAnsi="Times New Roman"/>
          <w:sz w:val="22"/>
          <w:szCs w:val="22"/>
          <w:lang w:val="el-GR"/>
        </w:rPr>
        <w:t xml:space="preserve"> τοκετό δεν έχει αποδειχθεί.</w:t>
      </w:r>
      <w:r w:rsidRPr="003423AC">
        <w:rPr>
          <w:rFonts w:ascii="Times New Roman" w:hAnsi="Times New Roman"/>
          <w:sz w:val="22"/>
          <w:szCs w:val="22"/>
          <w:lang w:val="el-GR"/>
        </w:rPr>
        <w:br/>
      </w:r>
    </w:p>
    <w:p w:rsidR="00340F3A" w:rsidRPr="003423AC" w:rsidRDefault="00312A8D" w:rsidP="00312A8D">
      <w:pPr>
        <w:pStyle w:val="a3"/>
        <w:rPr>
          <w:rFonts w:ascii="Times New Roman" w:hAnsi="Times New Roman"/>
          <w:sz w:val="22"/>
          <w:szCs w:val="22"/>
          <w:lang w:val="el-GR"/>
        </w:rPr>
      </w:pPr>
      <w:r w:rsidRPr="003423AC">
        <w:rPr>
          <w:rFonts w:ascii="Times New Roman" w:hAnsi="Times New Roman"/>
          <w:sz w:val="22"/>
          <w:szCs w:val="22"/>
          <w:lang w:val="el-GR"/>
        </w:rPr>
        <w:t xml:space="preserve">Το σεβοφλουράνιο, όπως και άλλα εισπνεόμενα αναισθητικά, έχει μυοχαλαρωτικές επιδράσεις στη </w:t>
      </w:r>
      <w:r w:rsidRPr="003423AC">
        <w:rPr>
          <w:rFonts w:ascii="Times New Roman" w:hAnsi="Times New Roman"/>
          <w:sz w:val="22"/>
          <w:szCs w:val="22"/>
          <w:lang w:val="el-GR"/>
        </w:rPr>
        <w:lastRenderedPageBreak/>
        <w:t>μήτρα με πιθανό τον κίνδυνο μ</w:t>
      </w:r>
      <w:r w:rsidR="00925320" w:rsidRPr="003423AC">
        <w:rPr>
          <w:rFonts w:ascii="Times New Roman" w:hAnsi="Times New Roman"/>
          <w:sz w:val="22"/>
          <w:szCs w:val="22"/>
          <w:lang w:val="el-GR"/>
        </w:rPr>
        <w:t>η</w:t>
      </w:r>
      <w:r w:rsidRPr="003423AC">
        <w:rPr>
          <w:rFonts w:ascii="Times New Roman" w:hAnsi="Times New Roman"/>
          <w:sz w:val="22"/>
          <w:szCs w:val="22"/>
          <w:lang w:val="el-GR"/>
        </w:rPr>
        <w:t>τρ</w:t>
      </w:r>
      <w:r w:rsidR="00925320" w:rsidRPr="003423AC">
        <w:rPr>
          <w:rFonts w:ascii="Times New Roman" w:hAnsi="Times New Roman"/>
          <w:sz w:val="22"/>
          <w:szCs w:val="22"/>
          <w:lang w:val="el-GR"/>
        </w:rPr>
        <w:t>ορραγίας</w:t>
      </w:r>
      <w:r w:rsidRPr="003423AC">
        <w:rPr>
          <w:rFonts w:ascii="Times New Roman" w:hAnsi="Times New Roman"/>
          <w:sz w:val="22"/>
          <w:szCs w:val="22"/>
          <w:lang w:val="el-GR"/>
        </w:rPr>
        <w:t>. Η κλινική αξιολόγηση είναι απαραίτητη όταν χρησιμοποιείται το σεβοφλουράνιο κατά τη διάρκεια αναισθησίας στη μαιευτική.</w:t>
      </w:r>
    </w:p>
    <w:p w:rsidR="00312A8D" w:rsidRPr="003423AC" w:rsidRDefault="00312A8D" w:rsidP="00312A8D">
      <w:pPr>
        <w:pStyle w:val="a3"/>
        <w:rPr>
          <w:rFonts w:ascii="Times New Roman" w:hAnsi="Times New Roman"/>
          <w:sz w:val="22"/>
          <w:szCs w:val="22"/>
          <w:lang w:val="el-GR"/>
        </w:rPr>
      </w:pPr>
    </w:p>
    <w:p w:rsidR="00340F3A" w:rsidRPr="003423AC" w:rsidRDefault="00340F3A" w:rsidP="00340F3A">
      <w:pPr>
        <w:textAlignment w:val="top"/>
        <w:rPr>
          <w:rFonts w:ascii="Arial" w:hAnsi="Arial" w:cs="Arial"/>
          <w:vanish/>
          <w:color w:val="1111CC"/>
          <w:sz w:val="22"/>
          <w:szCs w:val="22"/>
        </w:rPr>
      </w:pPr>
      <w:r w:rsidRPr="003423AC">
        <w:rPr>
          <w:rStyle w:val="gt-icon-text1"/>
          <w:rFonts w:ascii="Arial" w:hAnsi="Arial" w:cs="Arial"/>
          <w:vanish/>
          <w:color w:val="1111CC"/>
          <w:sz w:val="22"/>
          <w:szCs w:val="22"/>
        </w:rPr>
        <w:t>Ακρόαση</w:t>
      </w:r>
    </w:p>
    <w:p w:rsidR="00340F3A" w:rsidRPr="003423AC" w:rsidRDefault="0091256B">
      <w:pPr>
        <w:pStyle w:val="a3"/>
        <w:rPr>
          <w:rFonts w:ascii="Times New Roman" w:hAnsi="Times New Roman"/>
          <w:b/>
          <w:bCs/>
          <w:sz w:val="22"/>
          <w:szCs w:val="22"/>
          <w:lang w:val="el-GR"/>
        </w:rPr>
      </w:pPr>
      <w:r w:rsidRPr="003423AC">
        <w:rPr>
          <w:rFonts w:ascii="Times New Roman" w:hAnsi="Times New Roman"/>
          <w:b/>
          <w:i/>
          <w:sz w:val="22"/>
          <w:szCs w:val="22"/>
          <w:lang w:val="el-GR"/>
        </w:rPr>
        <w:t>Θηλάζουσες μητέρες</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Δεν ε</w:t>
      </w:r>
      <w:r w:rsidR="00340F3A" w:rsidRPr="003423AC">
        <w:rPr>
          <w:rFonts w:ascii="Times New Roman" w:hAnsi="Times New Roman"/>
          <w:sz w:val="22"/>
          <w:szCs w:val="22"/>
          <w:lang w:val="el-GR"/>
        </w:rPr>
        <w:t xml:space="preserve">ίναι γνωστό αν το σεβοφλουράνιο ή οι μεταβολίτες του </w:t>
      </w:r>
      <w:r w:rsidRPr="003423AC">
        <w:rPr>
          <w:rFonts w:ascii="Times New Roman" w:hAnsi="Times New Roman"/>
          <w:sz w:val="22"/>
          <w:szCs w:val="22"/>
          <w:lang w:val="el-GR"/>
        </w:rPr>
        <w:t>εκκρίν</w:t>
      </w:r>
      <w:r w:rsidR="00340F3A" w:rsidRPr="003423AC">
        <w:rPr>
          <w:rFonts w:ascii="Times New Roman" w:hAnsi="Times New Roman"/>
          <w:sz w:val="22"/>
          <w:szCs w:val="22"/>
          <w:lang w:val="el-GR"/>
        </w:rPr>
        <w:t>ον</w:t>
      </w:r>
      <w:r w:rsidRPr="003423AC">
        <w:rPr>
          <w:rFonts w:ascii="Times New Roman" w:hAnsi="Times New Roman"/>
          <w:sz w:val="22"/>
          <w:szCs w:val="22"/>
          <w:lang w:val="el-GR"/>
        </w:rPr>
        <w:t>ται στο ανθρώπινο γάλα</w:t>
      </w:r>
      <w:r w:rsidR="003E4DAB" w:rsidRPr="003423AC">
        <w:rPr>
          <w:rFonts w:ascii="Times New Roman" w:hAnsi="Times New Roman"/>
          <w:sz w:val="22"/>
          <w:szCs w:val="22"/>
          <w:lang w:val="el-GR"/>
        </w:rPr>
        <w:t>. Λόγω απουσίας τεκμηριωμένης εμπειρίας</w:t>
      </w:r>
      <w:r w:rsidRPr="003423AC">
        <w:rPr>
          <w:rFonts w:ascii="Times New Roman" w:hAnsi="Times New Roman"/>
          <w:sz w:val="22"/>
          <w:szCs w:val="22"/>
          <w:lang w:val="el-GR"/>
        </w:rPr>
        <w:t>,</w:t>
      </w:r>
      <w:r w:rsidR="003E4DAB" w:rsidRPr="003423AC">
        <w:rPr>
          <w:rFonts w:ascii="Times New Roman" w:hAnsi="Times New Roman"/>
          <w:sz w:val="22"/>
          <w:szCs w:val="22"/>
          <w:lang w:val="el-GR"/>
        </w:rPr>
        <w:t xml:space="preserve"> οι γυναίκες θα πρέπει να συμβουλεύονται να αποφεύγουν τη γαλουχία για 48 ώρες μετά τη χορήγηση του σεβοφλουρανίου και να απορρίπτουν το γάλα που παρήγαγαν κατά τη περίοδο αυτή</w:t>
      </w:r>
      <w:r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4.7 Επιδράσεις στην ικανότητα οδήγησης και χειρισμού μηχανών</w:t>
      </w:r>
      <w:r w:rsidRPr="003423AC">
        <w:rPr>
          <w:rFonts w:ascii="Times New Roman" w:hAnsi="Times New Roman"/>
          <w:sz w:val="22"/>
          <w:szCs w:val="22"/>
          <w:lang w:val="el-GR"/>
        </w:rPr>
        <w:t xml:space="preserve">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Όπως και με άλλα αναισθητικά, οι ασθενείς θα πρέπει να ενημερώνονται ότι η ικανότητα άσκησης δραστηριοτήτων που απαιτούν εγρήγορση, όπως η οδήγηση ενός μηχανοκίνητου οχήματος ή ο χειρισμός ενός επικίνδυνου μηχανήματος μπορεί να επηρεαστεί δυσμενώς για κάποιο διάστημα μετά από μια γενική αναισθησία</w:t>
      </w:r>
      <w:r w:rsidR="00926E9D" w:rsidRPr="003423AC">
        <w:rPr>
          <w:rFonts w:ascii="Times New Roman" w:hAnsi="Times New Roman"/>
          <w:sz w:val="22"/>
          <w:szCs w:val="22"/>
          <w:lang w:val="el-GR"/>
        </w:rPr>
        <w:t xml:space="preserve"> (βλέπε παράγραφο </w:t>
      </w:r>
      <w:r w:rsidR="00926E9D" w:rsidRPr="003423AC">
        <w:rPr>
          <w:rFonts w:ascii="Times New Roman" w:hAnsi="Times New Roman"/>
          <w:bCs/>
          <w:sz w:val="22"/>
          <w:szCs w:val="22"/>
          <w:lang w:val="el-GR"/>
        </w:rPr>
        <w:t>4.4</w:t>
      </w:r>
      <w:r w:rsidR="00926E9D" w:rsidRPr="003423AC">
        <w:rPr>
          <w:rFonts w:ascii="Times New Roman" w:hAnsi="Times New Roman"/>
          <w:sz w:val="22"/>
          <w:szCs w:val="22"/>
          <w:lang w:val="el-GR"/>
        </w:rPr>
        <w:t xml:space="preserve"> </w:t>
      </w:r>
      <w:r w:rsidR="00926E9D" w:rsidRPr="003423AC">
        <w:rPr>
          <w:rFonts w:ascii="Times New Roman" w:hAnsi="Times New Roman"/>
          <w:bCs/>
          <w:sz w:val="22"/>
          <w:szCs w:val="22"/>
          <w:lang w:val="el-GR"/>
        </w:rPr>
        <w:t>Ειδικές προειδοποιήσεις και προφυλάξεις κατά τη χρήση)</w:t>
      </w:r>
      <w:r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 xml:space="preserve">4.8 Ανεπιθύμητες Ενέργειες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'Όπως και με όλα τα ισχυρά εισπνεόμενα αναισθητικά, το σεβοφλουράνιο μπορεί να προκαλέσει δοσοεξαρτώμενη καρδιοαναπνευστική καταστολή. Οι περισσότερες ανεπιθύμητες ενέργειες είναι συνήθως ήπιας έως μέτριας έντασης και παροδικές. Σαν συνηθισμένες συνέπειες χειρουργικής επέμβασης και γενικής αναισθησίας έχουν παρατηρηθεί κατά την μετεγχειρητική περίοδο ναυτία και έμετος που μπορεί να οφείλονται τόσο στο εισπνεόμενο αναισθητικό όσο και στα άλλα φάρμακα που χορηγούνται διεγχειρητικά και μετεγχειρητικά ή στην αντίδραση του ασθενή στην χειρουργική επέμβαση.</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Οι πιο συχνές ανεπιθύμητες ενέργειες ήταν: </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Στους ενήλικες ασθενείς: υπόταση, ναυτία και έμετος </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Στους ηλικιωμένους ασθενείς: βραδυκαρδία, υπόταση και ναυτία  Στους παιδιατρικούς ασθενείς: διέγερση, βήχας, </w:t>
      </w:r>
      <w:r w:rsidR="000960B5" w:rsidRPr="003423AC">
        <w:rPr>
          <w:rFonts w:ascii="Times New Roman" w:hAnsi="Times New Roman"/>
          <w:sz w:val="22"/>
          <w:szCs w:val="22"/>
          <w:lang w:val="el-GR"/>
        </w:rPr>
        <w:t>έμετος</w:t>
      </w:r>
      <w:r w:rsidRPr="003423AC">
        <w:rPr>
          <w:rFonts w:ascii="Times New Roman" w:hAnsi="Times New Roman"/>
          <w:sz w:val="22"/>
          <w:szCs w:val="22"/>
          <w:lang w:val="el-GR"/>
        </w:rPr>
        <w:t xml:space="preserve"> και ναυτία.</w:t>
      </w:r>
    </w:p>
    <w:p w:rsidR="000309FB" w:rsidRPr="003423AC" w:rsidRDefault="000309FB">
      <w:pPr>
        <w:pStyle w:val="DefaultText"/>
        <w:rPr>
          <w:rFonts w:ascii="Times New Roman" w:hAnsi="Times New Roman"/>
          <w:szCs w:val="22"/>
          <w:lang w:val="el-GR"/>
        </w:rPr>
      </w:pPr>
    </w:p>
    <w:p w:rsidR="000309FB" w:rsidRPr="003423AC" w:rsidRDefault="000309FB">
      <w:pPr>
        <w:pStyle w:val="DefaultText"/>
        <w:rPr>
          <w:rFonts w:ascii="Times New Roman" w:hAnsi="Times New Roman"/>
          <w:szCs w:val="22"/>
          <w:lang w:val="el-GR"/>
        </w:rPr>
      </w:pPr>
      <w:r w:rsidRPr="003423AC">
        <w:rPr>
          <w:rFonts w:ascii="Times New Roman" w:hAnsi="Times New Roman"/>
          <w:szCs w:val="22"/>
          <w:lang w:val="el-GR"/>
        </w:rPr>
        <w:t xml:space="preserve">Όλες οι ανεπιθύμητες ενέργειες, οι οποίες βάσει των κλινικών μελετών πιθανόν σχετίζονται με το σεβοφλουράνιο, παρουσιάζονται στον ακόλουθο πίνακα ανά κατηγορία οργάνου συστήματος, προτεινόμενου όρου και συχνότητας εμφάνισης βάσει του </w:t>
      </w:r>
      <w:proofErr w:type="spellStart"/>
      <w:r w:rsidRPr="003423AC">
        <w:rPr>
          <w:rFonts w:ascii="Times New Roman" w:hAnsi="Times New Roman"/>
          <w:szCs w:val="22"/>
          <w:lang w:val="en-US"/>
        </w:rPr>
        <w:t>MedDRA</w:t>
      </w:r>
      <w:proofErr w:type="spellEnd"/>
      <w:r w:rsidRPr="003423AC">
        <w:rPr>
          <w:rFonts w:ascii="Times New Roman" w:hAnsi="Times New Roman"/>
          <w:szCs w:val="22"/>
          <w:lang w:val="el-GR"/>
        </w:rPr>
        <w:t>. Η ακόλουθη ορολογία χρησιμοποιείται ανά κατηγορία συχνότητας εμφάνισης: πολύ συχνές (</w:t>
      </w:r>
      <w:r w:rsidRPr="003423AC">
        <w:rPr>
          <w:rFonts w:ascii="Times New Roman" w:hAnsi="Times New Roman"/>
          <w:szCs w:val="22"/>
          <w:lang w:val="en-US"/>
        </w:rPr>
        <w:sym w:font="Symbol" w:char="F0B3"/>
      </w:r>
      <w:r w:rsidRPr="003423AC">
        <w:rPr>
          <w:rFonts w:ascii="Times New Roman" w:hAnsi="Times New Roman"/>
          <w:szCs w:val="22"/>
          <w:lang w:val="el-GR"/>
        </w:rPr>
        <w:t>1/10), συχνές (</w:t>
      </w:r>
      <w:r w:rsidRPr="003423AC">
        <w:rPr>
          <w:rFonts w:ascii="Times New Roman" w:hAnsi="Times New Roman"/>
          <w:szCs w:val="22"/>
          <w:lang w:val="en-US"/>
        </w:rPr>
        <w:sym w:font="Symbol" w:char="F0B3"/>
      </w:r>
      <w:r w:rsidRPr="003423AC">
        <w:rPr>
          <w:rFonts w:ascii="Times New Roman" w:hAnsi="Times New Roman"/>
          <w:szCs w:val="22"/>
          <w:lang w:val="el-GR"/>
        </w:rPr>
        <w:t>1/100 και &lt;1/10), όχι συχνές (</w:t>
      </w:r>
      <w:r w:rsidRPr="003423AC">
        <w:rPr>
          <w:rFonts w:ascii="Times New Roman" w:hAnsi="Times New Roman"/>
          <w:szCs w:val="22"/>
          <w:lang w:val="en-US"/>
        </w:rPr>
        <w:sym w:font="Symbol" w:char="F0B3"/>
      </w:r>
      <w:r w:rsidRPr="003423AC">
        <w:rPr>
          <w:rFonts w:ascii="Times New Roman" w:hAnsi="Times New Roman"/>
          <w:szCs w:val="22"/>
          <w:lang w:val="el-GR"/>
        </w:rPr>
        <w:t>1/1.000 και &lt;1/100), σπάνιες (</w:t>
      </w:r>
      <w:r w:rsidRPr="003423AC">
        <w:rPr>
          <w:rFonts w:ascii="Times New Roman" w:hAnsi="Times New Roman"/>
          <w:szCs w:val="22"/>
          <w:lang w:val="en-US"/>
        </w:rPr>
        <w:sym w:font="Symbol" w:char="F0B3"/>
      </w:r>
      <w:r w:rsidRPr="003423AC">
        <w:rPr>
          <w:rFonts w:ascii="Times New Roman" w:hAnsi="Times New Roman"/>
          <w:szCs w:val="22"/>
          <w:lang w:val="el-GR"/>
        </w:rPr>
        <w:t>1/10.000 και &lt;1/1.000), πολύ σπάνιες (&lt;1/10.000), συμπεριλαμβανομένων μεμονωμένων αναφορών. Ο τύπος, η ένταση και η συχνότητα των ανεπιθύμητων ενεργειών στις ομάδες ασθενών που έλαβαν σεβοφλουράνιο ήταν συγκρίσιμες με εκείνες που παρατηρήθηκαν στους ασθενείς που έλαβαν τα αναισθητικά αναφοράς.</w:t>
      </w:r>
    </w:p>
    <w:p w:rsidR="000309FB" w:rsidRPr="003423AC" w:rsidRDefault="00030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2"/>
          <w:lang w:val="el-GR"/>
        </w:rPr>
      </w:pPr>
    </w:p>
    <w:p w:rsidR="000309FB" w:rsidRPr="003423AC" w:rsidRDefault="000309FB" w:rsidP="00A1659E">
      <w:pPr>
        <w:pStyle w:val="3"/>
        <w:jc w:val="center"/>
        <w:rPr>
          <w:rFonts w:ascii="Times New Roman" w:hAnsi="Times New Roman" w:cs="Times New Roman"/>
          <w:szCs w:val="22"/>
          <w:lang w:val="el-GR"/>
        </w:rPr>
      </w:pPr>
      <w:r w:rsidRPr="003423AC">
        <w:rPr>
          <w:rFonts w:ascii="Times New Roman" w:hAnsi="Times New Roman" w:cs="Times New Roman"/>
          <w:szCs w:val="22"/>
          <w:lang w:val="el-GR"/>
        </w:rPr>
        <w:t>Ανεπιθύμητες Ενέργειες που προέρχονται από Κλινικές Μελέτες</w:t>
      </w:r>
    </w:p>
    <w:p w:rsidR="000309FB" w:rsidRPr="003423AC" w:rsidRDefault="000309FB">
      <w:pPr>
        <w:rPr>
          <w:sz w:val="22"/>
          <w:szCs w:val="22"/>
          <w:lang w:val="el-G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0"/>
        <w:gridCol w:w="1680"/>
        <w:gridCol w:w="4272"/>
      </w:tblGrid>
      <w:tr w:rsidR="000309FB" w:rsidRPr="00EE05BC" w:rsidTr="00927A37">
        <w:trPr>
          <w:cantSplit/>
        </w:trPr>
        <w:tc>
          <w:tcPr>
            <w:tcW w:w="8892" w:type="dxa"/>
            <w:gridSpan w:val="3"/>
          </w:tcPr>
          <w:p w:rsidR="000309FB" w:rsidRPr="003423AC" w:rsidRDefault="000309FB">
            <w:pPr>
              <w:pStyle w:val="1"/>
              <w:rPr>
                <w:sz w:val="22"/>
                <w:szCs w:val="22"/>
                <w:lang w:val="el-GR"/>
              </w:rPr>
            </w:pPr>
            <w:r w:rsidRPr="003423AC">
              <w:rPr>
                <w:sz w:val="22"/>
                <w:szCs w:val="22"/>
                <w:lang w:val="el-GR"/>
              </w:rPr>
              <w:lastRenderedPageBreak/>
              <w:t>Περίληψη των πιο συχνών Ανεπιθύμητων Ενεργειών με το Σεβοφλουράνιο σε Κλινικές Μελέτες</w:t>
            </w:r>
          </w:p>
        </w:tc>
      </w:tr>
      <w:tr w:rsidR="000309FB" w:rsidRPr="003423AC" w:rsidTr="00927A37">
        <w:trPr>
          <w:cantSplit/>
        </w:trPr>
        <w:tc>
          <w:tcPr>
            <w:tcW w:w="2940" w:type="dxa"/>
          </w:tcPr>
          <w:p w:rsidR="000309FB" w:rsidRPr="003423AC" w:rsidRDefault="000309FB">
            <w:pPr>
              <w:pStyle w:val="2"/>
              <w:rPr>
                <w:sz w:val="22"/>
                <w:szCs w:val="22"/>
                <w:lang w:val="el-GR"/>
              </w:rPr>
            </w:pPr>
            <w:r w:rsidRPr="003423AC">
              <w:rPr>
                <w:sz w:val="22"/>
                <w:szCs w:val="22"/>
                <w:lang w:val="el-GR"/>
              </w:rPr>
              <w:t>Κ</w:t>
            </w:r>
            <w:r w:rsidR="00DC552F" w:rsidRPr="003423AC">
              <w:rPr>
                <w:sz w:val="22"/>
                <w:szCs w:val="22"/>
                <w:lang w:val="el-GR"/>
              </w:rPr>
              <w:t>ατηγορία</w:t>
            </w:r>
            <w:r w:rsidRPr="003423AC">
              <w:rPr>
                <w:sz w:val="22"/>
                <w:szCs w:val="22"/>
                <w:lang w:val="el-GR"/>
              </w:rPr>
              <w:t xml:space="preserve"> Ο</w:t>
            </w:r>
            <w:r w:rsidR="00DC552F" w:rsidRPr="003423AC">
              <w:rPr>
                <w:sz w:val="22"/>
                <w:szCs w:val="22"/>
                <w:lang w:val="el-GR"/>
              </w:rPr>
              <w:t>ργάνου</w:t>
            </w:r>
            <w:r w:rsidRPr="003423AC">
              <w:rPr>
                <w:sz w:val="22"/>
                <w:szCs w:val="22"/>
                <w:lang w:val="el-GR"/>
              </w:rPr>
              <w:t xml:space="preserve"> Σ</w:t>
            </w:r>
            <w:r w:rsidR="00DC552F" w:rsidRPr="003423AC">
              <w:rPr>
                <w:sz w:val="22"/>
                <w:szCs w:val="22"/>
                <w:lang w:val="el-GR"/>
              </w:rPr>
              <w:t>υστήματος</w:t>
            </w:r>
          </w:p>
        </w:tc>
        <w:tc>
          <w:tcPr>
            <w:tcW w:w="1680" w:type="dxa"/>
          </w:tcPr>
          <w:p w:rsidR="000309FB" w:rsidRPr="003423AC" w:rsidRDefault="000309FB">
            <w:pPr>
              <w:pStyle w:val="2"/>
              <w:rPr>
                <w:sz w:val="22"/>
                <w:szCs w:val="22"/>
                <w:lang w:val="el-GR"/>
              </w:rPr>
            </w:pPr>
            <w:r w:rsidRPr="003423AC">
              <w:rPr>
                <w:sz w:val="22"/>
                <w:szCs w:val="22"/>
                <w:lang w:val="el-GR"/>
              </w:rPr>
              <w:t>Σ</w:t>
            </w:r>
            <w:r w:rsidR="00DC552F" w:rsidRPr="003423AC">
              <w:rPr>
                <w:sz w:val="22"/>
                <w:szCs w:val="22"/>
                <w:lang w:val="el-GR"/>
              </w:rPr>
              <w:t>υχνότητα</w:t>
            </w:r>
          </w:p>
        </w:tc>
        <w:tc>
          <w:tcPr>
            <w:tcW w:w="4272" w:type="dxa"/>
          </w:tcPr>
          <w:p w:rsidR="000309FB" w:rsidRPr="003423AC" w:rsidRDefault="000309FB">
            <w:pPr>
              <w:pStyle w:val="2"/>
              <w:rPr>
                <w:sz w:val="22"/>
                <w:szCs w:val="22"/>
              </w:rPr>
            </w:pPr>
            <w:r w:rsidRPr="003423AC">
              <w:rPr>
                <w:sz w:val="22"/>
                <w:szCs w:val="22"/>
                <w:lang w:val="el-GR"/>
              </w:rPr>
              <w:t>Α</w:t>
            </w:r>
            <w:r w:rsidR="00DC552F" w:rsidRPr="003423AC">
              <w:rPr>
                <w:sz w:val="22"/>
                <w:szCs w:val="22"/>
                <w:lang w:val="el-GR"/>
              </w:rPr>
              <w:t>νεπιθύμητη</w:t>
            </w:r>
            <w:r w:rsidRPr="003423AC">
              <w:rPr>
                <w:sz w:val="22"/>
                <w:szCs w:val="22"/>
                <w:lang w:val="el-GR"/>
              </w:rPr>
              <w:t xml:space="preserve"> Ε</w:t>
            </w:r>
            <w:r w:rsidR="00DC552F" w:rsidRPr="003423AC">
              <w:rPr>
                <w:sz w:val="22"/>
                <w:szCs w:val="22"/>
                <w:lang w:val="el-GR"/>
              </w:rPr>
              <w:t>νέργεια</w:t>
            </w:r>
          </w:p>
        </w:tc>
      </w:tr>
      <w:tr w:rsidR="000309FB" w:rsidRPr="003423AC" w:rsidTr="00927A37">
        <w:trPr>
          <w:cantSplit/>
        </w:trPr>
        <w:tc>
          <w:tcPr>
            <w:tcW w:w="2940" w:type="dxa"/>
          </w:tcPr>
          <w:p w:rsidR="000309FB" w:rsidRPr="003423AC" w:rsidRDefault="000309FB">
            <w:pPr>
              <w:pStyle w:val="2"/>
              <w:rPr>
                <w:b w:val="0"/>
                <w:bCs w:val="0"/>
                <w:sz w:val="22"/>
                <w:szCs w:val="22"/>
              </w:rPr>
            </w:pPr>
            <w:r w:rsidRPr="003423AC">
              <w:rPr>
                <w:b w:val="0"/>
                <w:bCs w:val="0"/>
                <w:sz w:val="22"/>
                <w:szCs w:val="22"/>
                <w:lang w:val="el-GR"/>
              </w:rPr>
              <w:t>Ψυχιατρικές διαταραχές</w:t>
            </w:r>
          </w:p>
        </w:tc>
        <w:tc>
          <w:tcPr>
            <w:tcW w:w="1680" w:type="dxa"/>
          </w:tcPr>
          <w:p w:rsidR="000309FB" w:rsidRPr="003423AC" w:rsidRDefault="000309FB">
            <w:pPr>
              <w:pStyle w:val="2"/>
              <w:rPr>
                <w:b w:val="0"/>
                <w:bCs w:val="0"/>
                <w:sz w:val="22"/>
                <w:szCs w:val="22"/>
                <w:lang w:val="el-GR"/>
              </w:rPr>
            </w:pPr>
            <w:r w:rsidRPr="003423AC">
              <w:rPr>
                <w:b w:val="0"/>
                <w:bCs w:val="0"/>
                <w:sz w:val="22"/>
                <w:szCs w:val="22"/>
                <w:lang w:val="el-GR"/>
              </w:rPr>
              <w:t>Πολύ συχνές</w:t>
            </w:r>
          </w:p>
        </w:tc>
        <w:tc>
          <w:tcPr>
            <w:tcW w:w="4272" w:type="dxa"/>
          </w:tcPr>
          <w:p w:rsidR="000309FB" w:rsidRPr="003423AC" w:rsidRDefault="000309FB" w:rsidP="00A1659E">
            <w:pPr>
              <w:pStyle w:val="2"/>
            </w:pPr>
            <w:r w:rsidRPr="003423AC">
              <w:rPr>
                <w:b w:val="0"/>
                <w:bCs w:val="0"/>
                <w:sz w:val="22"/>
                <w:szCs w:val="22"/>
                <w:lang w:val="el-GR"/>
              </w:rPr>
              <w:t>Διέγερση</w:t>
            </w:r>
          </w:p>
        </w:tc>
      </w:tr>
      <w:tr w:rsidR="000309FB" w:rsidRPr="003423AC" w:rsidTr="00927A37">
        <w:trPr>
          <w:cantSplit/>
        </w:trPr>
        <w:tc>
          <w:tcPr>
            <w:tcW w:w="2940" w:type="dxa"/>
          </w:tcPr>
          <w:p w:rsidR="000309FB" w:rsidRPr="003423AC" w:rsidRDefault="000309FB">
            <w:pPr>
              <w:pStyle w:val="2"/>
              <w:rPr>
                <w:b w:val="0"/>
                <w:bCs w:val="0"/>
                <w:sz w:val="22"/>
                <w:szCs w:val="22"/>
              </w:rPr>
            </w:pPr>
            <w:r w:rsidRPr="003423AC">
              <w:rPr>
                <w:b w:val="0"/>
                <w:bCs w:val="0"/>
                <w:sz w:val="22"/>
                <w:szCs w:val="22"/>
                <w:lang w:val="el-GR"/>
              </w:rPr>
              <w:t>Διαταραχές του νευρικού συστήματος</w:t>
            </w:r>
          </w:p>
        </w:tc>
        <w:tc>
          <w:tcPr>
            <w:tcW w:w="1680" w:type="dxa"/>
          </w:tcPr>
          <w:p w:rsidR="000309FB" w:rsidRPr="003423AC" w:rsidRDefault="000309FB">
            <w:pPr>
              <w:pStyle w:val="2"/>
              <w:rPr>
                <w:b w:val="0"/>
                <w:bCs w:val="0"/>
                <w:sz w:val="22"/>
                <w:szCs w:val="22"/>
                <w:lang w:val="el-GR"/>
              </w:rPr>
            </w:pPr>
            <w:r w:rsidRPr="003423AC">
              <w:rPr>
                <w:b w:val="0"/>
                <w:bCs w:val="0"/>
                <w:sz w:val="22"/>
                <w:szCs w:val="22"/>
                <w:lang w:val="el-GR"/>
              </w:rPr>
              <w:t>Συχνές</w:t>
            </w:r>
          </w:p>
          <w:p w:rsidR="000309FB" w:rsidRPr="003423AC" w:rsidRDefault="000309FB">
            <w:pPr>
              <w:rPr>
                <w:sz w:val="22"/>
                <w:szCs w:val="22"/>
              </w:rPr>
            </w:pPr>
          </w:p>
          <w:p w:rsidR="000309FB" w:rsidRPr="003423AC" w:rsidRDefault="000309FB">
            <w:pPr>
              <w:rPr>
                <w:sz w:val="22"/>
                <w:szCs w:val="22"/>
                <w:lang w:val="el-GR"/>
              </w:rPr>
            </w:pPr>
          </w:p>
        </w:tc>
        <w:tc>
          <w:tcPr>
            <w:tcW w:w="4272" w:type="dxa"/>
          </w:tcPr>
          <w:p w:rsidR="000309FB" w:rsidRPr="003423AC" w:rsidRDefault="000309FB">
            <w:pPr>
              <w:pStyle w:val="2"/>
              <w:rPr>
                <w:b w:val="0"/>
                <w:bCs w:val="0"/>
                <w:sz w:val="22"/>
                <w:szCs w:val="22"/>
                <w:lang w:val="el-GR"/>
              </w:rPr>
            </w:pPr>
            <w:r w:rsidRPr="003423AC">
              <w:rPr>
                <w:b w:val="0"/>
                <w:bCs w:val="0"/>
                <w:sz w:val="22"/>
                <w:szCs w:val="22"/>
                <w:lang w:val="el-GR"/>
              </w:rPr>
              <w:t>Υπνηλία</w:t>
            </w:r>
          </w:p>
          <w:p w:rsidR="000309FB" w:rsidRPr="003423AC" w:rsidRDefault="000309FB">
            <w:pPr>
              <w:rPr>
                <w:sz w:val="22"/>
                <w:szCs w:val="22"/>
                <w:lang w:val="el-GR"/>
              </w:rPr>
            </w:pPr>
            <w:r w:rsidRPr="003423AC">
              <w:rPr>
                <w:sz w:val="22"/>
                <w:szCs w:val="22"/>
                <w:lang w:val="el-GR"/>
              </w:rPr>
              <w:t>Ζάλη</w:t>
            </w:r>
          </w:p>
          <w:p w:rsidR="000309FB" w:rsidRPr="003423AC" w:rsidRDefault="00665EA8">
            <w:pPr>
              <w:rPr>
                <w:sz w:val="22"/>
                <w:szCs w:val="22"/>
                <w:lang w:val="el-GR"/>
              </w:rPr>
            </w:pPr>
            <w:r w:rsidRPr="003423AC">
              <w:rPr>
                <w:sz w:val="22"/>
                <w:szCs w:val="22"/>
                <w:lang w:val="el-GR"/>
              </w:rPr>
              <w:t>Κεφαλαλγία</w:t>
            </w:r>
          </w:p>
        </w:tc>
      </w:tr>
      <w:tr w:rsidR="000309FB" w:rsidRPr="00EE05BC" w:rsidTr="00927A37">
        <w:trPr>
          <w:cantSplit/>
        </w:trPr>
        <w:tc>
          <w:tcPr>
            <w:tcW w:w="2940" w:type="dxa"/>
          </w:tcPr>
          <w:p w:rsidR="000309FB" w:rsidRPr="003423AC" w:rsidRDefault="000309FB">
            <w:pPr>
              <w:pStyle w:val="2"/>
              <w:rPr>
                <w:b w:val="0"/>
                <w:bCs w:val="0"/>
                <w:sz w:val="22"/>
                <w:szCs w:val="22"/>
              </w:rPr>
            </w:pPr>
            <w:r w:rsidRPr="003423AC">
              <w:rPr>
                <w:b w:val="0"/>
                <w:bCs w:val="0"/>
                <w:sz w:val="22"/>
                <w:szCs w:val="22"/>
                <w:lang w:val="el-GR"/>
              </w:rPr>
              <w:t>Καρδιακές διαταραχές</w:t>
            </w:r>
          </w:p>
        </w:tc>
        <w:tc>
          <w:tcPr>
            <w:tcW w:w="1680" w:type="dxa"/>
          </w:tcPr>
          <w:p w:rsidR="000309FB" w:rsidRPr="003423AC" w:rsidRDefault="000309FB">
            <w:pPr>
              <w:pStyle w:val="2"/>
              <w:rPr>
                <w:b w:val="0"/>
                <w:bCs w:val="0"/>
                <w:sz w:val="22"/>
                <w:szCs w:val="22"/>
                <w:lang w:val="el-GR"/>
              </w:rPr>
            </w:pPr>
            <w:r w:rsidRPr="003423AC">
              <w:rPr>
                <w:b w:val="0"/>
                <w:bCs w:val="0"/>
                <w:sz w:val="22"/>
                <w:szCs w:val="22"/>
                <w:lang w:val="el-GR"/>
              </w:rPr>
              <w:t>Πολύ συχνές</w:t>
            </w:r>
          </w:p>
          <w:p w:rsidR="000309FB" w:rsidRPr="003423AC" w:rsidRDefault="000309FB">
            <w:pPr>
              <w:rPr>
                <w:sz w:val="22"/>
                <w:szCs w:val="22"/>
                <w:lang w:val="el-GR"/>
              </w:rPr>
            </w:pPr>
          </w:p>
          <w:p w:rsidR="000309FB" w:rsidRPr="003423AC" w:rsidRDefault="000309FB">
            <w:pPr>
              <w:pStyle w:val="2"/>
              <w:rPr>
                <w:b w:val="0"/>
                <w:bCs w:val="0"/>
                <w:sz w:val="22"/>
                <w:szCs w:val="22"/>
                <w:lang w:val="el-GR"/>
              </w:rPr>
            </w:pPr>
            <w:r w:rsidRPr="003423AC">
              <w:rPr>
                <w:b w:val="0"/>
                <w:bCs w:val="0"/>
                <w:sz w:val="22"/>
                <w:szCs w:val="22"/>
                <w:lang w:val="el-GR"/>
              </w:rPr>
              <w:t>Συχνές</w:t>
            </w:r>
          </w:p>
          <w:p w:rsidR="00665EA8" w:rsidRPr="003423AC" w:rsidRDefault="00665EA8" w:rsidP="00A1659E">
            <w:pPr>
              <w:rPr>
                <w:sz w:val="22"/>
                <w:szCs w:val="22"/>
                <w:lang w:val="el-GR"/>
              </w:rPr>
            </w:pPr>
          </w:p>
          <w:p w:rsidR="00665EA8" w:rsidRPr="003423AC" w:rsidRDefault="00665EA8" w:rsidP="00A1659E">
            <w:pPr>
              <w:rPr>
                <w:sz w:val="22"/>
                <w:szCs w:val="22"/>
                <w:lang w:val="el-GR"/>
              </w:rPr>
            </w:pPr>
            <w:r w:rsidRPr="003423AC">
              <w:rPr>
                <w:sz w:val="22"/>
                <w:szCs w:val="22"/>
                <w:lang w:val="el-GR"/>
              </w:rPr>
              <w:t>Όχι συχνές</w:t>
            </w:r>
          </w:p>
        </w:tc>
        <w:tc>
          <w:tcPr>
            <w:tcW w:w="4272" w:type="dxa"/>
          </w:tcPr>
          <w:p w:rsidR="000309FB" w:rsidRPr="003423AC" w:rsidRDefault="000309FB">
            <w:pPr>
              <w:pStyle w:val="2"/>
              <w:rPr>
                <w:b w:val="0"/>
                <w:bCs w:val="0"/>
                <w:sz w:val="22"/>
                <w:szCs w:val="22"/>
                <w:lang w:val="el-GR"/>
              </w:rPr>
            </w:pPr>
            <w:r w:rsidRPr="003423AC">
              <w:rPr>
                <w:b w:val="0"/>
                <w:bCs w:val="0"/>
                <w:sz w:val="22"/>
                <w:szCs w:val="22"/>
                <w:lang w:val="el-GR"/>
              </w:rPr>
              <w:t>Βραδυκαρδία</w:t>
            </w:r>
          </w:p>
          <w:p w:rsidR="000309FB" w:rsidRPr="003423AC" w:rsidRDefault="000309FB">
            <w:pPr>
              <w:rPr>
                <w:sz w:val="22"/>
                <w:szCs w:val="22"/>
                <w:lang w:val="el-GR"/>
              </w:rPr>
            </w:pPr>
          </w:p>
          <w:p w:rsidR="000309FB" w:rsidRPr="003423AC" w:rsidRDefault="000309FB">
            <w:pPr>
              <w:rPr>
                <w:sz w:val="22"/>
                <w:szCs w:val="22"/>
                <w:lang w:val="el-GR"/>
              </w:rPr>
            </w:pPr>
            <w:r w:rsidRPr="003423AC">
              <w:rPr>
                <w:sz w:val="22"/>
                <w:szCs w:val="22"/>
                <w:lang w:val="el-GR"/>
              </w:rPr>
              <w:t xml:space="preserve">Ταχυκαρδία </w:t>
            </w:r>
          </w:p>
          <w:p w:rsidR="000309FB" w:rsidRPr="003423AC" w:rsidRDefault="000309FB">
            <w:pPr>
              <w:rPr>
                <w:sz w:val="22"/>
                <w:szCs w:val="22"/>
                <w:lang w:val="el-GR"/>
              </w:rPr>
            </w:pPr>
          </w:p>
          <w:p w:rsidR="00665EA8" w:rsidRPr="003423AC" w:rsidRDefault="00665EA8">
            <w:pPr>
              <w:rPr>
                <w:sz w:val="22"/>
                <w:szCs w:val="22"/>
                <w:lang w:val="el-GR"/>
              </w:rPr>
            </w:pPr>
            <w:r w:rsidRPr="003423AC">
              <w:rPr>
                <w:sz w:val="22"/>
                <w:szCs w:val="22"/>
                <w:lang w:val="el-GR"/>
              </w:rPr>
              <w:t>Κολποκοιλιακός αποκλεισμός πλήρης</w:t>
            </w:r>
          </w:p>
        </w:tc>
      </w:tr>
      <w:tr w:rsidR="000309FB" w:rsidRPr="003423AC" w:rsidTr="00927A37">
        <w:trPr>
          <w:cantSplit/>
          <w:trHeight w:val="350"/>
        </w:trPr>
        <w:tc>
          <w:tcPr>
            <w:tcW w:w="2940" w:type="dxa"/>
          </w:tcPr>
          <w:p w:rsidR="000309FB" w:rsidRPr="003423AC" w:rsidRDefault="000309FB">
            <w:pPr>
              <w:rPr>
                <w:sz w:val="22"/>
                <w:szCs w:val="22"/>
                <w:lang w:val="el-GR"/>
              </w:rPr>
            </w:pPr>
            <w:r w:rsidRPr="003423AC">
              <w:rPr>
                <w:sz w:val="22"/>
                <w:szCs w:val="22"/>
                <w:lang w:val="el-GR"/>
              </w:rPr>
              <w:t>Αγγειακές διαταραχές</w:t>
            </w:r>
          </w:p>
        </w:tc>
        <w:tc>
          <w:tcPr>
            <w:tcW w:w="1680" w:type="dxa"/>
          </w:tcPr>
          <w:p w:rsidR="000309FB" w:rsidRPr="003423AC" w:rsidRDefault="000309FB">
            <w:pPr>
              <w:rPr>
                <w:sz w:val="22"/>
                <w:szCs w:val="22"/>
              </w:rPr>
            </w:pPr>
            <w:r w:rsidRPr="003423AC">
              <w:rPr>
                <w:sz w:val="22"/>
                <w:szCs w:val="22"/>
                <w:lang w:val="el-GR"/>
              </w:rPr>
              <w:t>Πολύ συχνές</w:t>
            </w:r>
            <w:r w:rsidRPr="003423AC">
              <w:rPr>
                <w:sz w:val="22"/>
                <w:szCs w:val="22"/>
              </w:rPr>
              <w:t xml:space="preserve"> </w:t>
            </w:r>
          </w:p>
          <w:p w:rsidR="000309FB" w:rsidRPr="003423AC" w:rsidRDefault="000309FB">
            <w:pPr>
              <w:rPr>
                <w:sz w:val="22"/>
                <w:szCs w:val="22"/>
              </w:rPr>
            </w:pPr>
          </w:p>
          <w:p w:rsidR="000309FB" w:rsidRPr="003423AC" w:rsidRDefault="000309FB">
            <w:pPr>
              <w:pStyle w:val="2"/>
              <w:rPr>
                <w:b w:val="0"/>
                <w:bCs w:val="0"/>
                <w:sz w:val="22"/>
                <w:szCs w:val="22"/>
                <w:lang w:val="el-GR"/>
              </w:rPr>
            </w:pPr>
            <w:r w:rsidRPr="003423AC">
              <w:rPr>
                <w:b w:val="0"/>
                <w:bCs w:val="0"/>
                <w:sz w:val="22"/>
                <w:szCs w:val="22"/>
                <w:lang w:val="el-GR"/>
              </w:rPr>
              <w:t>Συχνές</w:t>
            </w:r>
          </w:p>
          <w:p w:rsidR="000309FB" w:rsidRPr="003423AC" w:rsidRDefault="000309FB">
            <w:pPr>
              <w:rPr>
                <w:sz w:val="22"/>
                <w:szCs w:val="22"/>
              </w:rPr>
            </w:pPr>
          </w:p>
        </w:tc>
        <w:tc>
          <w:tcPr>
            <w:tcW w:w="4272" w:type="dxa"/>
          </w:tcPr>
          <w:p w:rsidR="000309FB" w:rsidRPr="003423AC" w:rsidRDefault="000309FB">
            <w:pPr>
              <w:rPr>
                <w:sz w:val="22"/>
                <w:szCs w:val="22"/>
                <w:lang w:val="el-GR"/>
              </w:rPr>
            </w:pPr>
            <w:r w:rsidRPr="003423AC">
              <w:rPr>
                <w:sz w:val="22"/>
                <w:szCs w:val="22"/>
                <w:lang w:val="el-GR"/>
              </w:rPr>
              <w:t xml:space="preserve">Υπόταση </w:t>
            </w:r>
          </w:p>
          <w:p w:rsidR="000309FB" w:rsidRPr="003423AC" w:rsidRDefault="000309FB">
            <w:pPr>
              <w:rPr>
                <w:sz w:val="22"/>
                <w:szCs w:val="22"/>
                <w:lang w:val="el-GR"/>
              </w:rPr>
            </w:pPr>
          </w:p>
          <w:p w:rsidR="000309FB" w:rsidRPr="003423AC" w:rsidRDefault="000309FB">
            <w:pPr>
              <w:rPr>
                <w:sz w:val="22"/>
                <w:szCs w:val="22"/>
                <w:lang w:val="el-GR"/>
              </w:rPr>
            </w:pPr>
            <w:r w:rsidRPr="003423AC">
              <w:rPr>
                <w:sz w:val="22"/>
                <w:szCs w:val="22"/>
                <w:lang w:val="el-GR"/>
              </w:rPr>
              <w:t>Υπέρταση</w:t>
            </w:r>
          </w:p>
        </w:tc>
      </w:tr>
      <w:tr w:rsidR="000309FB" w:rsidRPr="00EE05BC" w:rsidTr="00927A37">
        <w:trPr>
          <w:cantSplit/>
          <w:trHeight w:val="350"/>
        </w:trPr>
        <w:tc>
          <w:tcPr>
            <w:tcW w:w="2940" w:type="dxa"/>
          </w:tcPr>
          <w:p w:rsidR="000309FB" w:rsidRPr="003423AC" w:rsidRDefault="000309FB">
            <w:pPr>
              <w:rPr>
                <w:sz w:val="22"/>
                <w:szCs w:val="22"/>
                <w:lang w:val="el-GR"/>
              </w:rPr>
            </w:pPr>
            <w:r w:rsidRPr="003423AC">
              <w:rPr>
                <w:sz w:val="22"/>
                <w:szCs w:val="22"/>
                <w:lang w:val="el-GR"/>
              </w:rPr>
              <w:t>Διαταραχές του αναπνευστικού συστήματος, του θώρακα και του μεσοθωρακίου</w:t>
            </w:r>
          </w:p>
        </w:tc>
        <w:tc>
          <w:tcPr>
            <w:tcW w:w="1680" w:type="dxa"/>
          </w:tcPr>
          <w:p w:rsidR="000309FB" w:rsidRPr="003423AC" w:rsidRDefault="000309FB">
            <w:pPr>
              <w:pStyle w:val="DefaultText"/>
              <w:overflowPunct/>
              <w:autoSpaceDE/>
              <w:autoSpaceDN/>
              <w:adjustRightInd/>
              <w:textAlignment w:val="auto"/>
              <w:rPr>
                <w:rFonts w:ascii="Times New Roman" w:hAnsi="Times New Roman"/>
                <w:szCs w:val="22"/>
                <w:lang w:val="el-GR"/>
              </w:rPr>
            </w:pPr>
            <w:r w:rsidRPr="003423AC">
              <w:rPr>
                <w:rFonts w:ascii="Times New Roman" w:hAnsi="Times New Roman"/>
                <w:szCs w:val="22"/>
                <w:lang w:val="el-GR"/>
              </w:rPr>
              <w:t>Πολύ συχνές</w:t>
            </w:r>
          </w:p>
          <w:p w:rsidR="000309FB" w:rsidRPr="003423AC" w:rsidRDefault="000309FB">
            <w:pPr>
              <w:rPr>
                <w:sz w:val="22"/>
                <w:szCs w:val="22"/>
                <w:lang w:val="el-GR"/>
              </w:rPr>
            </w:pPr>
          </w:p>
          <w:p w:rsidR="000309FB" w:rsidRPr="003423AC" w:rsidRDefault="000309FB">
            <w:pPr>
              <w:pStyle w:val="2"/>
              <w:rPr>
                <w:b w:val="0"/>
                <w:bCs w:val="0"/>
                <w:sz w:val="22"/>
                <w:szCs w:val="22"/>
                <w:lang w:val="el-GR"/>
              </w:rPr>
            </w:pPr>
            <w:r w:rsidRPr="003423AC">
              <w:rPr>
                <w:b w:val="0"/>
                <w:bCs w:val="0"/>
                <w:sz w:val="22"/>
                <w:szCs w:val="22"/>
                <w:lang w:val="el-GR"/>
              </w:rPr>
              <w:t>Συχνές</w:t>
            </w:r>
          </w:p>
        </w:tc>
        <w:tc>
          <w:tcPr>
            <w:tcW w:w="4272" w:type="dxa"/>
          </w:tcPr>
          <w:p w:rsidR="000309FB" w:rsidRPr="003423AC" w:rsidRDefault="000309FB">
            <w:pPr>
              <w:rPr>
                <w:sz w:val="22"/>
                <w:szCs w:val="22"/>
                <w:lang w:val="el-GR"/>
              </w:rPr>
            </w:pPr>
            <w:r w:rsidRPr="003423AC">
              <w:rPr>
                <w:sz w:val="22"/>
                <w:szCs w:val="22"/>
                <w:lang w:val="el-GR"/>
              </w:rPr>
              <w:t>Βήχας</w:t>
            </w:r>
          </w:p>
          <w:p w:rsidR="000309FB" w:rsidRPr="003423AC" w:rsidRDefault="000309FB">
            <w:pPr>
              <w:rPr>
                <w:sz w:val="22"/>
                <w:szCs w:val="22"/>
                <w:lang w:val="el-GR"/>
              </w:rPr>
            </w:pPr>
          </w:p>
          <w:p w:rsidR="000309FB" w:rsidRPr="003423AC" w:rsidRDefault="000309FB">
            <w:pPr>
              <w:rPr>
                <w:sz w:val="22"/>
                <w:szCs w:val="22"/>
                <w:lang w:val="el-GR"/>
              </w:rPr>
            </w:pPr>
            <w:r w:rsidRPr="003423AC">
              <w:rPr>
                <w:sz w:val="22"/>
                <w:szCs w:val="22"/>
                <w:lang w:val="el-GR"/>
              </w:rPr>
              <w:t>Διαταραχή του αναπνευστικού συστήματος</w:t>
            </w:r>
          </w:p>
          <w:p w:rsidR="000309FB" w:rsidRPr="003423AC" w:rsidRDefault="000309FB">
            <w:pPr>
              <w:rPr>
                <w:sz w:val="22"/>
                <w:szCs w:val="22"/>
                <w:lang w:val="el-GR"/>
              </w:rPr>
            </w:pPr>
            <w:r w:rsidRPr="003423AC">
              <w:rPr>
                <w:sz w:val="22"/>
                <w:szCs w:val="22"/>
                <w:lang w:val="el-GR"/>
              </w:rPr>
              <w:t>Λαρυγγόσπασμος</w:t>
            </w:r>
          </w:p>
        </w:tc>
      </w:tr>
      <w:tr w:rsidR="000309FB" w:rsidRPr="003423AC" w:rsidTr="00927A37">
        <w:trPr>
          <w:cantSplit/>
          <w:trHeight w:val="350"/>
        </w:trPr>
        <w:tc>
          <w:tcPr>
            <w:tcW w:w="2940" w:type="dxa"/>
          </w:tcPr>
          <w:p w:rsidR="000309FB" w:rsidRPr="003423AC" w:rsidRDefault="000309FB">
            <w:pPr>
              <w:rPr>
                <w:sz w:val="22"/>
                <w:szCs w:val="22"/>
                <w:lang w:val="el-GR"/>
              </w:rPr>
            </w:pPr>
            <w:r w:rsidRPr="003423AC">
              <w:rPr>
                <w:sz w:val="22"/>
                <w:szCs w:val="22"/>
                <w:lang w:val="el-GR"/>
              </w:rPr>
              <w:t>Διαταραχές του γαστρεντερικού συστήματος</w:t>
            </w:r>
          </w:p>
        </w:tc>
        <w:tc>
          <w:tcPr>
            <w:tcW w:w="1680" w:type="dxa"/>
          </w:tcPr>
          <w:p w:rsidR="000309FB" w:rsidRPr="003423AC" w:rsidRDefault="000309FB">
            <w:pPr>
              <w:pStyle w:val="DefaultText"/>
              <w:overflowPunct/>
              <w:autoSpaceDE/>
              <w:autoSpaceDN/>
              <w:adjustRightInd/>
              <w:textAlignment w:val="auto"/>
              <w:rPr>
                <w:rFonts w:ascii="Times New Roman" w:hAnsi="Times New Roman"/>
                <w:szCs w:val="22"/>
                <w:lang w:val="el-GR"/>
              </w:rPr>
            </w:pPr>
            <w:r w:rsidRPr="003423AC">
              <w:rPr>
                <w:rFonts w:ascii="Times New Roman" w:hAnsi="Times New Roman"/>
                <w:szCs w:val="22"/>
                <w:lang w:val="el-GR"/>
              </w:rPr>
              <w:t>Πολύ συχνές</w:t>
            </w:r>
          </w:p>
          <w:p w:rsidR="000309FB" w:rsidRPr="003423AC" w:rsidRDefault="000309FB">
            <w:pPr>
              <w:rPr>
                <w:sz w:val="22"/>
                <w:szCs w:val="22"/>
              </w:rPr>
            </w:pPr>
          </w:p>
          <w:p w:rsidR="000309FB" w:rsidRPr="003423AC" w:rsidRDefault="000309FB">
            <w:pPr>
              <w:rPr>
                <w:sz w:val="22"/>
                <w:szCs w:val="22"/>
              </w:rPr>
            </w:pPr>
          </w:p>
          <w:p w:rsidR="000309FB" w:rsidRPr="003423AC" w:rsidRDefault="000309FB">
            <w:pPr>
              <w:pStyle w:val="2"/>
              <w:rPr>
                <w:b w:val="0"/>
                <w:bCs w:val="0"/>
                <w:sz w:val="22"/>
                <w:szCs w:val="22"/>
                <w:lang w:val="el-GR"/>
              </w:rPr>
            </w:pPr>
            <w:r w:rsidRPr="003423AC">
              <w:rPr>
                <w:b w:val="0"/>
                <w:bCs w:val="0"/>
                <w:sz w:val="22"/>
                <w:szCs w:val="22"/>
                <w:lang w:val="el-GR"/>
              </w:rPr>
              <w:t>Συχνές</w:t>
            </w:r>
          </w:p>
        </w:tc>
        <w:tc>
          <w:tcPr>
            <w:tcW w:w="4272" w:type="dxa"/>
          </w:tcPr>
          <w:p w:rsidR="000309FB" w:rsidRPr="003423AC" w:rsidRDefault="000309FB">
            <w:pPr>
              <w:rPr>
                <w:sz w:val="22"/>
                <w:szCs w:val="22"/>
                <w:lang w:val="el-GR"/>
              </w:rPr>
            </w:pPr>
            <w:r w:rsidRPr="003423AC">
              <w:rPr>
                <w:sz w:val="22"/>
                <w:szCs w:val="22"/>
                <w:lang w:val="el-GR"/>
              </w:rPr>
              <w:t>Ναυτία</w:t>
            </w:r>
          </w:p>
          <w:p w:rsidR="000309FB" w:rsidRPr="003423AC" w:rsidRDefault="000309FB">
            <w:pPr>
              <w:rPr>
                <w:sz w:val="22"/>
                <w:szCs w:val="22"/>
              </w:rPr>
            </w:pPr>
            <w:r w:rsidRPr="003423AC">
              <w:rPr>
                <w:sz w:val="22"/>
                <w:szCs w:val="22"/>
                <w:lang w:val="el-GR"/>
              </w:rPr>
              <w:t>Έμετος</w:t>
            </w:r>
          </w:p>
          <w:p w:rsidR="000309FB" w:rsidRPr="003423AC" w:rsidRDefault="000309FB">
            <w:pPr>
              <w:rPr>
                <w:sz w:val="22"/>
                <w:szCs w:val="22"/>
              </w:rPr>
            </w:pPr>
          </w:p>
          <w:p w:rsidR="000309FB" w:rsidRPr="003423AC" w:rsidRDefault="000309FB">
            <w:pPr>
              <w:rPr>
                <w:sz w:val="22"/>
                <w:szCs w:val="22"/>
                <w:lang w:val="el-GR"/>
              </w:rPr>
            </w:pPr>
            <w:proofErr w:type="spellStart"/>
            <w:r w:rsidRPr="003423AC">
              <w:rPr>
                <w:sz w:val="22"/>
                <w:szCs w:val="22"/>
              </w:rPr>
              <w:t>Υπερέκκριση</w:t>
            </w:r>
            <w:proofErr w:type="spellEnd"/>
            <w:r w:rsidRPr="003423AC">
              <w:rPr>
                <w:sz w:val="22"/>
                <w:szCs w:val="22"/>
              </w:rPr>
              <w:t xml:space="preserve"> </w:t>
            </w:r>
            <w:proofErr w:type="spellStart"/>
            <w:r w:rsidRPr="003423AC">
              <w:rPr>
                <w:sz w:val="22"/>
                <w:szCs w:val="22"/>
              </w:rPr>
              <w:t>σιέλου</w:t>
            </w:r>
            <w:proofErr w:type="spellEnd"/>
          </w:p>
        </w:tc>
      </w:tr>
      <w:tr w:rsidR="000309FB" w:rsidRPr="003423AC" w:rsidTr="00927A37">
        <w:trPr>
          <w:cantSplit/>
          <w:trHeight w:val="350"/>
        </w:trPr>
        <w:tc>
          <w:tcPr>
            <w:tcW w:w="2940" w:type="dxa"/>
          </w:tcPr>
          <w:p w:rsidR="000309FB" w:rsidRPr="003423AC" w:rsidRDefault="000309FB">
            <w:pPr>
              <w:rPr>
                <w:sz w:val="22"/>
                <w:szCs w:val="22"/>
                <w:lang w:val="el-GR"/>
              </w:rPr>
            </w:pPr>
            <w:r w:rsidRPr="003423AC">
              <w:rPr>
                <w:sz w:val="22"/>
                <w:szCs w:val="22"/>
                <w:lang w:val="el-GR"/>
              </w:rPr>
              <w:t>Γενικές διαταραχές και καταστάσεις της οδού χορήγησης</w:t>
            </w:r>
          </w:p>
        </w:tc>
        <w:tc>
          <w:tcPr>
            <w:tcW w:w="1680" w:type="dxa"/>
          </w:tcPr>
          <w:p w:rsidR="000309FB" w:rsidRPr="003423AC" w:rsidRDefault="000309FB">
            <w:pPr>
              <w:pStyle w:val="2"/>
              <w:rPr>
                <w:b w:val="0"/>
                <w:bCs w:val="0"/>
                <w:sz w:val="22"/>
                <w:szCs w:val="22"/>
                <w:lang w:val="el-GR"/>
              </w:rPr>
            </w:pPr>
            <w:r w:rsidRPr="003423AC">
              <w:rPr>
                <w:b w:val="0"/>
                <w:bCs w:val="0"/>
                <w:sz w:val="22"/>
                <w:szCs w:val="22"/>
                <w:lang w:val="el-GR"/>
              </w:rPr>
              <w:t>Συχνές</w:t>
            </w:r>
          </w:p>
          <w:p w:rsidR="000309FB" w:rsidRPr="003423AC" w:rsidRDefault="000309FB">
            <w:pPr>
              <w:rPr>
                <w:sz w:val="22"/>
                <w:szCs w:val="22"/>
              </w:rPr>
            </w:pPr>
          </w:p>
          <w:p w:rsidR="000309FB" w:rsidRPr="003423AC" w:rsidRDefault="000309FB">
            <w:pPr>
              <w:rPr>
                <w:sz w:val="22"/>
                <w:szCs w:val="22"/>
              </w:rPr>
            </w:pPr>
          </w:p>
          <w:p w:rsidR="000309FB" w:rsidRPr="003423AC" w:rsidRDefault="000309FB">
            <w:pPr>
              <w:rPr>
                <w:sz w:val="22"/>
                <w:szCs w:val="22"/>
              </w:rPr>
            </w:pPr>
          </w:p>
        </w:tc>
        <w:tc>
          <w:tcPr>
            <w:tcW w:w="4272" w:type="dxa"/>
          </w:tcPr>
          <w:p w:rsidR="000309FB" w:rsidRPr="003423AC" w:rsidRDefault="000309FB">
            <w:pPr>
              <w:rPr>
                <w:sz w:val="22"/>
                <w:szCs w:val="22"/>
                <w:lang w:val="el-GR"/>
              </w:rPr>
            </w:pPr>
            <w:r w:rsidRPr="003423AC">
              <w:rPr>
                <w:sz w:val="22"/>
                <w:szCs w:val="22"/>
                <w:lang w:val="el-GR"/>
              </w:rPr>
              <w:t>Ρίγη</w:t>
            </w:r>
          </w:p>
          <w:p w:rsidR="000309FB" w:rsidRPr="003423AC" w:rsidRDefault="000309FB">
            <w:pPr>
              <w:rPr>
                <w:sz w:val="22"/>
                <w:szCs w:val="22"/>
                <w:lang w:val="el-GR"/>
              </w:rPr>
            </w:pPr>
            <w:r w:rsidRPr="003423AC">
              <w:rPr>
                <w:sz w:val="22"/>
                <w:szCs w:val="22"/>
                <w:lang w:val="el-GR"/>
              </w:rPr>
              <w:t>Πυρεξία</w:t>
            </w:r>
          </w:p>
          <w:p w:rsidR="000309FB" w:rsidRPr="003423AC" w:rsidRDefault="000309FB">
            <w:pPr>
              <w:rPr>
                <w:sz w:val="22"/>
                <w:szCs w:val="22"/>
              </w:rPr>
            </w:pPr>
          </w:p>
        </w:tc>
      </w:tr>
      <w:tr w:rsidR="000309FB" w:rsidRPr="00EE05BC" w:rsidTr="00927A37">
        <w:trPr>
          <w:cantSplit/>
          <w:trHeight w:val="350"/>
        </w:trPr>
        <w:tc>
          <w:tcPr>
            <w:tcW w:w="2940" w:type="dxa"/>
          </w:tcPr>
          <w:p w:rsidR="000309FB" w:rsidRPr="003423AC" w:rsidRDefault="000309FB">
            <w:pPr>
              <w:rPr>
                <w:sz w:val="22"/>
                <w:szCs w:val="22"/>
              </w:rPr>
            </w:pPr>
            <w:r w:rsidRPr="003423AC">
              <w:rPr>
                <w:sz w:val="22"/>
                <w:szCs w:val="22"/>
                <w:lang w:val="el-GR"/>
              </w:rPr>
              <w:t>Παρακλινικές εξετάσεις</w:t>
            </w:r>
          </w:p>
        </w:tc>
        <w:tc>
          <w:tcPr>
            <w:tcW w:w="1680" w:type="dxa"/>
          </w:tcPr>
          <w:p w:rsidR="000309FB" w:rsidRPr="003423AC" w:rsidRDefault="000309FB">
            <w:pPr>
              <w:pStyle w:val="2"/>
              <w:rPr>
                <w:b w:val="0"/>
                <w:bCs w:val="0"/>
                <w:sz w:val="22"/>
                <w:szCs w:val="22"/>
                <w:lang w:val="el-GR"/>
              </w:rPr>
            </w:pPr>
            <w:r w:rsidRPr="003423AC">
              <w:rPr>
                <w:b w:val="0"/>
                <w:bCs w:val="0"/>
                <w:sz w:val="22"/>
                <w:szCs w:val="22"/>
                <w:lang w:val="el-GR"/>
              </w:rPr>
              <w:t>Συχνές</w:t>
            </w:r>
          </w:p>
          <w:p w:rsidR="000309FB" w:rsidRPr="003423AC" w:rsidRDefault="000309FB">
            <w:pPr>
              <w:rPr>
                <w:sz w:val="22"/>
                <w:szCs w:val="22"/>
              </w:rPr>
            </w:pPr>
          </w:p>
          <w:p w:rsidR="000309FB" w:rsidRPr="003423AC" w:rsidRDefault="000309FB">
            <w:pPr>
              <w:rPr>
                <w:sz w:val="22"/>
                <w:szCs w:val="22"/>
              </w:rPr>
            </w:pPr>
          </w:p>
          <w:p w:rsidR="000309FB" w:rsidRPr="003423AC" w:rsidRDefault="000309FB">
            <w:pPr>
              <w:rPr>
                <w:sz w:val="22"/>
                <w:szCs w:val="22"/>
              </w:rPr>
            </w:pPr>
          </w:p>
        </w:tc>
        <w:tc>
          <w:tcPr>
            <w:tcW w:w="4272" w:type="dxa"/>
          </w:tcPr>
          <w:p w:rsidR="000309FB" w:rsidRPr="003423AC" w:rsidRDefault="000309FB">
            <w:pPr>
              <w:rPr>
                <w:sz w:val="22"/>
                <w:szCs w:val="22"/>
                <w:lang w:val="el-GR"/>
              </w:rPr>
            </w:pPr>
            <w:r w:rsidRPr="003423AC">
              <w:rPr>
                <w:sz w:val="22"/>
                <w:szCs w:val="22"/>
                <w:lang w:val="el-GR"/>
              </w:rPr>
              <w:t>Γλυκόζη αίματος μη φυσιολογική</w:t>
            </w:r>
          </w:p>
          <w:p w:rsidR="000309FB" w:rsidRPr="003423AC" w:rsidRDefault="000309FB">
            <w:pPr>
              <w:rPr>
                <w:sz w:val="22"/>
                <w:szCs w:val="22"/>
                <w:lang w:val="el-GR"/>
              </w:rPr>
            </w:pPr>
            <w:r w:rsidRPr="003423AC">
              <w:rPr>
                <w:sz w:val="22"/>
                <w:szCs w:val="22"/>
                <w:lang w:val="el-GR"/>
              </w:rPr>
              <w:t>Δοκιμασίες ηπατικής λειτουργίας μη φυσιολογικές *</w:t>
            </w:r>
          </w:p>
          <w:p w:rsidR="000309FB" w:rsidRPr="003423AC" w:rsidRDefault="000309FB">
            <w:pPr>
              <w:rPr>
                <w:sz w:val="22"/>
                <w:szCs w:val="22"/>
                <w:lang w:val="el-GR"/>
              </w:rPr>
            </w:pPr>
            <w:r w:rsidRPr="003423AC">
              <w:rPr>
                <w:sz w:val="22"/>
                <w:szCs w:val="22"/>
                <w:lang w:val="el-GR"/>
              </w:rPr>
              <w:t>Αριθμός λευκοκυττάρων μη φυσιολογικός</w:t>
            </w:r>
          </w:p>
          <w:p w:rsidR="000309FB" w:rsidRPr="003423AC" w:rsidRDefault="009040CE">
            <w:pPr>
              <w:rPr>
                <w:sz w:val="22"/>
                <w:szCs w:val="22"/>
                <w:lang w:val="el-GR"/>
              </w:rPr>
            </w:pPr>
            <w:r w:rsidRPr="003423AC">
              <w:rPr>
                <w:sz w:val="22"/>
                <w:szCs w:val="22"/>
                <w:lang w:val="el-GR"/>
              </w:rPr>
              <w:t>Φθόριο</w:t>
            </w:r>
            <w:r w:rsidR="000309FB" w:rsidRPr="003423AC">
              <w:rPr>
                <w:sz w:val="22"/>
                <w:szCs w:val="22"/>
                <w:lang w:val="el-GR"/>
              </w:rPr>
              <w:t xml:space="preserve"> αυξημένο **</w:t>
            </w:r>
          </w:p>
          <w:p w:rsidR="00322EEA" w:rsidRPr="003423AC" w:rsidRDefault="00322EEA">
            <w:pPr>
              <w:rPr>
                <w:sz w:val="22"/>
                <w:szCs w:val="22"/>
                <w:lang w:val="el-GR"/>
              </w:rPr>
            </w:pPr>
          </w:p>
        </w:tc>
      </w:tr>
      <w:tr w:rsidR="00665EA8" w:rsidRPr="003423AC" w:rsidTr="00927A37">
        <w:trPr>
          <w:cantSplit/>
          <w:trHeight w:val="350"/>
        </w:trPr>
        <w:tc>
          <w:tcPr>
            <w:tcW w:w="2940" w:type="dxa"/>
          </w:tcPr>
          <w:p w:rsidR="00665EA8" w:rsidRPr="003423AC" w:rsidRDefault="00665EA8">
            <w:pPr>
              <w:rPr>
                <w:sz w:val="22"/>
                <w:szCs w:val="22"/>
                <w:lang w:val="el-GR"/>
              </w:rPr>
            </w:pPr>
            <w:r w:rsidRPr="003423AC">
              <w:rPr>
                <w:sz w:val="22"/>
                <w:szCs w:val="22"/>
                <w:lang w:val="el-GR"/>
              </w:rPr>
              <w:t>Κακώσεις, δηλητηριάσεις και επιπλοκές θεραπευτικών χειρισμών</w:t>
            </w:r>
          </w:p>
        </w:tc>
        <w:tc>
          <w:tcPr>
            <w:tcW w:w="1680" w:type="dxa"/>
          </w:tcPr>
          <w:p w:rsidR="00665EA8" w:rsidRPr="003423AC" w:rsidRDefault="00665EA8" w:rsidP="00665EA8">
            <w:pPr>
              <w:pStyle w:val="2"/>
              <w:rPr>
                <w:b w:val="0"/>
                <w:bCs w:val="0"/>
                <w:sz w:val="22"/>
                <w:szCs w:val="22"/>
                <w:lang w:val="el-GR"/>
              </w:rPr>
            </w:pPr>
            <w:r w:rsidRPr="003423AC">
              <w:rPr>
                <w:b w:val="0"/>
                <w:bCs w:val="0"/>
                <w:sz w:val="22"/>
                <w:szCs w:val="22"/>
                <w:lang w:val="el-GR"/>
              </w:rPr>
              <w:t>Συχνές</w:t>
            </w:r>
          </w:p>
          <w:p w:rsidR="00665EA8" w:rsidRPr="003423AC" w:rsidRDefault="00665EA8">
            <w:pPr>
              <w:pStyle w:val="2"/>
              <w:rPr>
                <w:b w:val="0"/>
                <w:bCs w:val="0"/>
                <w:sz w:val="22"/>
                <w:szCs w:val="22"/>
                <w:lang w:val="el-GR"/>
              </w:rPr>
            </w:pPr>
          </w:p>
        </w:tc>
        <w:tc>
          <w:tcPr>
            <w:tcW w:w="4272" w:type="dxa"/>
          </w:tcPr>
          <w:p w:rsidR="00665EA8" w:rsidRPr="003423AC" w:rsidRDefault="00665EA8">
            <w:pPr>
              <w:rPr>
                <w:sz w:val="22"/>
                <w:szCs w:val="22"/>
                <w:lang w:val="el-GR"/>
              </w:rPr>
            </w:pPr>
            <w:r w:rsidRPr="003423AC">
              <w:rPr>
                <w:sz w:val="22"/>
                <w:szCs w:val="22"/>
                <w:lang w:val="el-GR"/>
              </w:rPr>
              <w:t>Υποθερμία</w:t>
            </w:r>
          </w:p>
        </w:tc>
      </w:tr>
    </w:tbl>
    <w:p w:rsidR="000309FB" w:rsidRPr="003423AC" w:rsidRDefault="00030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2"/>
          <w:lang w:val="el-GR"/>
        </w:rPr>
      </w:pPr>
      <w:r w:rsidRPr="003423AC">
        <w:rPr>
          <w:rFonts w:ascii="Times New Roman" w:hAnsi="Times New Roman"/>
          <w:szCs w:val="22"/>
          <w:lang w:val="el-GR"/>
        </w:rPr>
        <w:t>* Έχουν αναφερθεί μεμονωμένες περιπτώσεις παροδικών μεταβολών των δοκιμασιών ηπατικής λειτουργίας με σεβοφλουράνιο και αναισθητικά αναφοράς.</w:t>
      </w:r>
    </w:p>
    <w:p w:rsidR="000309FB" w:rsidRPr="003423AC" w:rsidRDefault="000309FB">
      <w:pPr>
        <w:rPr>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Cs/>
          <w:sz w:val="22"/>
          <w:szCs w:val="22"/>
          <w:lang w:val="el-GR"/>
        </w:rPr>
        <w:t>**</w:t>
      </w:r>
      <w:r w:rsidRPr="003423AC">
        <w:rPr>
          <w:rFonts w:ascii="Times New Roman" w:hAnsi="Times New Roman"/>
          <w:sz w:val="22"/>
          <w:szCs w:val="22"/>
          <w:lang w:val="el-GR"/>
        </w:rPr>
        <w:t xml:space="preserve"> Κατά τη διάρκεια και μετά τη χορήγηση σεβοφλουρανίου μπορεί να παρατηρηθεί παροδική αύξηση των επιπέδων ανόργανου φθορίου. Οι συγκεντρώσεις ανόργανου φθορίου είναι συνήθως μέγιστες στις 2 ώρες μετά τη διακοπή του σεβοφλουρανίου και επανέρχονται σε προεγχειρητικά επίπεδα μέσα σε 48 ώρες. Στις κλινικές μελέτες, τα αυξημένα επίπεδα φθορίου δεν έχουν συσχετισθεί με την διαταραχή της νεφρικής λειτουργίας.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Εμπειρία μετά την κυκλοφορία</w:t>
      </w:r>
    </w:p>
    <w:p w:rsidR="000309FB" w:rsidRPr="003423AC" w:rsidRDefault="000309FB">
      <w:pPr>
        <w:pStyle w:val="a3"/>
        <w:rPr>
          <w:rFonts w:ascii="Times New Roman" w:hAnsi="Times New Roman"/>
          <w:sz w:val="22"/>
          <w:szCs w:val="22"/>
          <w:lang w:val="el-GR"/>
        </w:rPr>
      </w:pPr>
    </w:p>
    <w:p w:rsidR="000309FB" w:rsidRPr="003423AC" w:rsidRDefault="000309FB">
      <w:pPr>
        <w:pStyle w:val="DefaultText"/>
        <w:overflowPunct/>
        <w:autoSpaceDE/>
        <w:autoSpaceDN/>
        <w:adjustRightInd/>
        <w:textAlignment w:val="auto"/>
        <w:rPr>
          <w:rFonts w:ascii="Times New Roman" w:hAnsi="Times New Roman"/>
          <w:szCs w:val="22"/>
          <w:lang w:val="el-GR"/>
        </w:rPr>
      </w:pPr>
      <w:r w:rsidRPr="003423AC">
        <w:rPr>
          <w:rFonts w:ascii="Times New Roman" w:hAnsi="Times New Roman"/>
          <w:szCs w:val="22"/>
          <w:lang w:val="el-GR"/>
        </w:rPr>
        <w:t>Μετά την κυκλοφορία του σεβοφλουρανίου έχουν αναφερθεί αυθόρμητα ανεπιθύμητες ενέργειες, χωρίς ωστόσο να είναι γνωστός ο βαθμός έκθεσης αυτών των ασθενών στο σεβοφλουράνιο. Για το λόγο αυτό δεν είναι εφικτό να εκτιμηθεί η συχνότητα αυτών των ανεπιθύμητων ενεργειών και η συσχέτισή τους με την έκθεση των ασθενών στο σεβοφλουράνιο.</w:t>
      </w:r>
    </w:p>
    <w:p w:rsidR="000309FB" w:rsidRPr="003423AC" w:rsidRDefault="000309FB">
      <w:pPr>
        <w:rPr>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2"/>
        <w:gridCol w:w="4643"/>
      </w:tblGrid>
      <w:tr w:rsidR="000309FB" w:rsidRPr="00EE05BC">
        <w:trPr>
          <w:cantSplit/>
        </w:trPr>
        <w:tc>
          <w:tcPr>
            <w:tcW w:w="9285" w:type="dxa"/>
            <w:gridSpan w:val="2"/>
          </w:tcPr>
          <w:p w:rsidR="000309FB" w:rsidRPr="003423AC" w:rsidRDefault="000309FB">
            <w:pPr>
              <w:pStyle w:val="1"/>
              <w:rPr>
                <w:sz w:val="22"/>
                <w:szCs w:val="22"/>
                <w:lang w:val="el-GR"/>
              </w:rPr>
            </w:pPr>
            <w:r w:rsidRPr="003423AC">
              <w:rPr>
                <w:sz w:val="22"/>
                <w:szCs w:val="22"/>
                <w:lang w:val="el-GR"/>
              </w:rPr>
              <w:lastRenderedPageBreak/>
              <w:t>Περίληψη των Ανεπιθύμητων Ενεργειών μετά την κυκλοφορία</w:t>
            </w:r>
          </w:p>
        </w:tc>
      </w:tr>
      <w:tr w:rsidR="000309FB" w:rsidRPr="003423AC">
        <w:tc>
          <w:tcPr>
            <w:tcW w:w="4642" w:type="dxa"/>
          </w:tcPr>
          <w:p w:rsidR="000309FB" w:rsidRPr="003423AC" w:rsidRDefault="00DC552F">
            <w:pPr>
              <w:pStyle w:val="2"/>
              <w:rPr>
                <w:sz w:val="22"/>
                <w:szCs w:val="22"/>
              </w:rPr>
            </w:pPr>
            <w:r w:rsidRPr="003423AC">
              <w:rPr>
                <w:sz w:val="22"/>
                <w:szCs w:val="22"/>
                <w:lang w:val="el-GR"/>
              </w:rPr>
              <w:t>Κατηγορία Οργάνου Συστήματος</w:t>
            </w:r>
          </w:p>
        </w:tc>
        <w:tc>
          <w:tcPr>
            <w:tcW w:w="4643" w:type="dxa"/>
          </w:tcPr>
          <w:p w:rsidR="000309FB" w:rsidRPr="003423AC" w:rsidRDefault="00DC552F">
            <w:pPr>
              <w:pStyle w:val="2"/>
              <w:rPr>
                <w:sz w:val="22"/>
                <w:szCs w:val="22"/>
              </w:rPr>
            </w:pPr>
            <w:r w:rsidRPr="003423AC">
              <w:rPr>
                <w:sz w:val="22"/>
                <w:szCs w:val="22"/>
                <w:lang w:val="el-GR"/>
              </w:rPr>
              <w:t>Ανεπιθύμητη Ενέργεια</w:t>
            </w:r>
          </w:p>
        </w:tc>
      </w:tr>
      <w:tr w:rsidR="000309FB" w:rsidRPr="003423AC">
        <w:tc>
          <w:tcPr>
            <w:tcW w:w="4642" w:type="dxa"/>
          </w:tcPr>
          <w:p w:rsidR="000309FB" w:rsidRPr="003423AC" w:rsidRDefault="000309FB">
            <w:pPr>
              <w:rPr>
                <w:sz w:val="22"/>
                <w:szCs w:val="22"/>
                <w:lang w:val="el-GR"/>
              </w:rPr>
            </w:pPr>
            <w:r w:rsidRPr="003423AC">
              <w:rPr>
                <w:sz w:val="22"/>
                <w:szCs w:val="22"/>
                <w:lang w:val="el-GR"/>
              </w:rPr>
              <w:t>Διαταραχές του ανοσοποιητικού συστήματος</w:t>
            </w:r>
          </w:p>
        </w:tc>
        <w:tc>
          <w:tcPr>
            <w:tcW w:w="4643" w:type="dxa"/>
          </w:tcPr>
          <w:p w:rsidR="000309FB" w:rsidRPr="003423AC" w:rsidRDefault="000309FB">
            <w:pPr>
              <w:rPr>
                <w:sz w:val="22"/>
                <w:szCs w:val="22"/>
              </w:rPr>
            </w:pPr>
            <w:proofErr w:type="spellStart"/>
            <w:r w:rsidRPr="003423AC">
              <w:rPr>
                <w:sz w:val="22"/>
                <w:szCs w:val="22"/>
              </w:rPr>
              <w:t>Αναφυλακτική</w:t>
            </w:r>
            <w:proofErr w:type="spellEnd"/>
            <w:r w:rsidRPr="003423AC">
              <w:rPr>
                <w:sz w:val="22"/>
                <w:szCs w:val="22"/>
              </w:rPr>
              <w:t xml:space="preserve"> </w:t>
            </w:r>
            <w:proofErr w:type="spellStart"/>
            <w:r w:rsidRPr="003423AC">
              <w:rPr>
                <w:sz w:val="22"/>
                <w:szCs w:val="22"/>
              </w:rPr>
              <w:t>αντίδραση</w:t>
            </w:r>
            <w:proofErr w:type="spellEnd"/>
          </w:p>
          <w:p w:rsidR="000309FB" w:rsidRPr="003423AC" w:rsidRDefault="000309FB">
            <w:pPr>
              <w:rPr>
                <w:sz w:val="22"/>
                <w:szCs w:val="22"/>
              </w:rPr>
            </w:pPr>
            <w:proofErr w:type="spellStart"/>
            <w:r w:rsidRPr="003423AC">
              <w:rPr>
                <w:sz w:val="22"/>
                <w:szCs w:val="22"/>
              </w:rPr>
              <w:t>Αναφυλακτοειδής</w:t>
            </w:r>
            <w:proofErr w:type="spellEnd"/>
            <w:r w:rsidRPr="003423AC">
              <w:rPr>
                <w:sz w:val="22"/>
                <w:szCs w:val="22"/>
              </w:rPr>
              <w:t xml:space="preserve"> </w:t>
            </w:r>
            <w:proofErr w:type="spellStart"/>
            <w:r w:rsidRPr="003423AC">
              <w:rPr>
                <w:sz w:val="22"/>
                <w:szCs w:val="22"/>
              </w:rPr>
              <w:t>αντίδραση</w:t>
            </w:r>
            <w:proofErr w:type="spellEnd"/>
          </w:p>
          <w:p w:rsidR="000309FB" w:rsidRPr="003423AC" w:rsidRDefault="000309FB">
            <w:pPr>
              <w:rPr>
                <w:sz w:val="22"/>
                <w:szCs w:val="22"/>
                <w:lang w:val="el-GR"/>
              </w:rPr>
            </w:pPr>
          </w:p>
        </w:tc>
      </w:tr>
      <w:tr w:rsidR="000309FB" w:rsidRPr="003423AC">
        <w:tc>
          <w:tcPr>
            <w:tcW w:w="4642" w:type="dxa"/>
          </w:tcPr>
          <w:p w:rsidR="000309FB" w:rsidRPr="003423AC" w:rsidRDefault="000309FB">
            <w:pPr>
              <w:rPr>
                <w:sz w:val="22"/>
                <w:szCs w:val="22"/>
                <w:lang w:val="el-GR"/>
              </w:rPr>
            </w:pPr>
            <w:r w:rsidRPr="003423AC">
              <w:rPr>
                <w:sz w:val="22"/>
                <w:szCs w:val="22"/>
                <w:lang w:val="el-GR"/>
              </w:rPr>
              <w:t>Διαταραχές του νευρικού συστήματος</w:t>
            </w:r>
          </w:p>
        </w:tc>
        <w:tc>
          <w:tcPr>
            <w:tcW w:w="4643" w:type="dxa"/>
          </w:tcPr>
          <w:p w:rsidR="000309FB" w:rsidRPr="003423AC" w:rsidRDefault="000309FB">
            <w:pPr>
              <w:rPr>
                <w:sz w:val="22"/>
                <w:szCs w:val="22"/>
                <w:lang w:val="el-GR"/>
              </w:rPr>
            </w:pPr>
            <w:r w:rsidRPr="003423AC">
              <w:rPr>
                <w:sz w:val="22"/>
                <w:szCs w:val="22"/>
                <w:lang w:val="el-GR"/>
              </w:rPr>
              <w:t>Σπασμός</w:t>
            </w:r>
          </w:p>
          <w:p w:rsidR="000309FB" w:rsidRPr="003423AC" w:rsidRDefault="000309FB">
            <w:pPr>
              <w:rPr>
                <w:sz w:val="22"/>
                <w:szCs w:val="22"/>
                <w:lang w:val="el-GR"/>
              </w:rPr>
            </w:pPr>
            <w:r w:rsidRPr="003423AC">
              <w:rPr>
                <w:sz w:val="22"/>
                <w:szCs w:val="22"/>
                <w:lang w:val="el-GR"/>
              </w:rPr>
              <w:t>Δυστονία</w:t>
            </w:r>
          </w:p>
          <w:p w:rsidR="000309FB" w:rsidRPr="003423AC" w:rsidRDefault="000309FB">
            <w:pPr>
              <w:rPr>
                <w:sz w:val="22"/>
                <w:szCs w:val="22"/>
                <w:lang w:val="el-GR"/>
              </w:rPr>
            </w:pPr>
          </w:p>
        </w:tc>
      </w:tr>
      <w:tr w:rsidR="00DC552F" w:rsidRPr="003423AC">
        <w:tc>
          <w:tcPr>
            <w:tcW w:w="4642" w:type="dxa"/>
          </w:tcPr>
          <w:p w:rsidR="00DC552F" w:rsidRPr="003423AC" w:rsidRDefault="00DC552F">
            <w:pPr>
              <w:rPr>
                <w:bCs/>
                <w:sz w:val="22"/>
                <w:szCs w:val="22"/>
                <w:lang w:val="el-GR"/>
              </w:rPr>
            </w:pPr>
            <w:r w:rsidRPr="003423AC">
              <w:rPr>
                <w:bCs/>
                <w:sz w:val="22"/>
                <w:szCs w:val="22"/>
                <w:lang w:val="el-GR"/>
              </w:rPr>
              <w:t>Καρδιακές διαταραχές</w:t>
            </w:r>
          </w:p>
          <w:p w:rsidR="00DC552F" w:rsidRPr="003423AC" w:rsidRDefault="00DC552F">
            <w:pPr>
              <w:rPr>
                <w:sz w:val="22"/>
                <w:szCs w:val="22"/>
                <w:lang w:val="el-GR"/>
              </w:rPr>
            </w:pPr>
          </w:p>
        </w:tc>
        <w:tc>
          <w:tcPr>
            <w:tcW w:w="4643" w:type="dxa"/>
          </w:tcPr>
          <w:p w:rsidR="00DC552F" w:rsidRPr="003423AC" w:rsidRDefault="000E7AE9">
            <w:pPr>
              <w:rPr>
                <w:sz w:val="22"/>
                <w:szCs w:val="22"/>
                <w:lang w:val="el-GR"/>
              </w:rPr>
            </w:pPr>
            <w:r w:rsidRPr="003423AC">
              <w:rPr>
                <w:sz w:val="22"/>
                <w:szCs w:val="22"/>
                <w:lang w:val="el-GR"/>
              </w:rPr>
              <w:t>Καρδιακή ανακοπή</w:t>
            </w:r>
            <w:r w:rsidR="009B3A03" w:rsidRPr="003423AC">
              <w:rPr>
                <w:sz w:val="22"/>
                <w:szCs w:val="22"/>
                <w:lang w:val="el-GR"/>
              </w:rPr>
              <w:t>#</w:t>
            </w:r>
          </w:p>
        </w:tc>
      </w:tr>
      <w:tr w:rsidR="000309FB" w:rsidRPr="003423AC">
        <w:tc>
          <w:tcPr>
            <w:tcW w:w="4642" w:type="dxa"/>
          </w:tcPr>
          <w:p w:rsidR="000309FB" w:rsidRPr="003423AC" w:rsidRDefault="000309FB">
            <w:pPr>
              <w:rPr>
                <w:sz w:val="22"/>
                <w:szCs w:val="22"/>
                <w:lang w:val="el-GR"/>
              </w:rPr>
            </w:pPr>
            <w:r w:rsidRPr="003423AC">
              <w:rPr>
                <w:sz w:val="22"/>
                <w:szCs w:val="22"/>
                <w:lang w:val="el-GR"/>
              </w:rPr>
              <w:t>Διαταραχές του αναπνευστικού συστήματος, του θώρακα και του μεσοθωρακίου</w:t>
            </w:r>
          </w:p>
          <w:p w:rsidR="009B3A03" w:rsidRPr="003423AC" w:rsidRDefault="009B3A03">
            <w:pPr>
              <w:rPr>
                <w:sz w:val="22"/>
                <w:szCs w:val="22"/>
                <w:lang w:val="el-GR"/>
              </w:rPr>
            </w:pPr>
          </w:p>
        </w:tc>
        <w:tc>
          <w:tcPr>
            <w:tcW w:w="4643" w:type="dxa"/>
          </w:tcPr>
          <w:p w:rsidR="000309FB" w:rsidRPr="003423AC" w:rsidRDefault="000309FB">
            <w:pPr>
              <w:rPr>
                <w:sz w:val="22"/>
                <w:szCs w:val="22"/>
                <w:lang w:val="el-GR"/>
              </w:rPr>
            </w:pPr>
            <w:r w:rsidRPr="003423AC">
              <w:rPr>
                <w:sz w:val="22"/>
                <w:szCs w:val="22"/>
                <w:lang w:val="el-GR"/>
              </w:rPr>
              <w:t>Βρογχόσπασμος</w:t>
            </w:r>
          </w:p>
          <w:p w:rsidR="000309FB" w:rsidRPr="003423AC" w:rsidRDefault="009B3A03">
            <w:pPr>
              <w:rPr>
                <w:sz w:val="22"/>
                <w:szCs w:val="22"/>
                <w:lang w:val="el-GR"/>
              </w:rPr>
            </w:pPr>
            <w:r w:rsidRPr="003423AC">
              <w:rPr>
                <w:sz w:val="22"/>
                <w:szCs w:val="22"/>
                <w:lang w:val="el-GR"/>
              </w:rPr>
              <w:t>Δύσπνοια</w:t>
            </w:r>
            <w:r w:rsidRPr="003423AC">
              <w:rPr>
                <w:bCs/>
                <w:sz w:val="22"/>
                <w:szCs w:val="22"/>
                <w:lang w:val="el-GR"/>
              </w:rPr>
              <w:t>***</w:t>
            </w:r>
          </w:p>
          <w:p w:rsidR="009B3A03" w:rsidRPr="003423AC" w:rsidRDefault="009B3A03">
            <w:pPr>
              <w:rPr>
                <w:sz w:val="22"/>
                <w:szCs w:val="22"/>
                <w:lang w:val="el-GR"/>
              </w:rPr>
            </w:pPr>
            <w:r w:rsidRPr="003423AC">
              <w:rPr>
                <w:sz w:val="22"/>
                <w:szCs w:val="22"/>
                <w:lang w:val="el-GR"/>
              </w:rPr>
              <w:t>Συριγμός</w:t>
            </w:r>
            <w:r w:rsidRPr="003423AC">
              <w:rPr>
                <w:bCs/>
                <w:sz w:val="22"/>
                <w:szCs w:val="22"/>
                <w:lang w:val="el-GR"/>
              </w:rPr>
              <w:t>***</w:t>
            </w:r>
          </w:p>
          <w:p w:rsidR="009B3A03" w:rsidRPr="003423AC" w:rsidRDefault="009B3A03">
            <w:pPr>
              <w:rPr>
                <w:sz w:val="22"/>
                <w:szCs w:val="22"/>
                <w:lang w:val="el-GR"/>
              </w:rPr>
            </w:pPr>
          </w:p>
        </w:tc>
      </w:tr>
      <w:tr w:rsidR="000309FB" w:rsidRPr="003423AC">
        <w:tc>
          <w:tcPr>
            <w:tcW w:w="4642" w:type="dxa"/>
          </w:tcPr>
          <w:p w:rsidR="000309FB" w:rsidRPr="003423AC" w:rsidRDefault="000309FB">
            <w:pPr>
              <w:rPr>
                <w:sz w:val="22"/>
                <w:szCs w:val="22"/>
                <w:lang w:val="el-GR"/>
              </w:rPr>
            </w:pPr>
            <w:r w:rsidRPr="003423AC">
              <w:rPr>
                <w:sz w:val="22"/>
                <w:szCs w:val="22"/>
                <w:lang w:val="el-GR"/>
              </w:rPr>
              <w:t>Διαταραχές του ήπατος και των χοληφόρων</w:t>
            </w:r>
          </w:p>
        </w:tc>
        <w:tc>
          <w:tcPr>
            <w:tcW w:w="4643" w:type="dxa"/>
          </w:tcPr>
          <w:p w:rsidR="000309FB" w:rsidRPr="003423AC" w:rsidRDefault="000309FB">
            <w:pPr>
              <w:pStyle w:val="DefaultText"/>
              <w:overflowPunct/>
              <w:autoSpaceDE/>
              <w:autoSpaceDN/>
              <w:adjustRightInd/>
              <w:textAlignment w:val="auto"/>
              <w:rPr>
                <w:rFonts w:ascii="Times New Roman" w:hAnsi="Times New Roman"/>
                <w:szCs w:val="22"/>
                <w:lang w:val="el-GR"/>
              </w:rPr>
            </w:pPr>
            <w:r w:rsidRPr="003423AC">
              <w:rPr>
                <w:rFonts w:ascii="Times New Roman" w:hAnsi="Times New Roman"/>
                <w:szCs w:val="22"/>
                <w:lang w:val="el-GR"/>
              </w:rPr>
              <w:t>Ηπατίτιδα</w:t>
            </w:r>
          </w:p>
          <w:p w:rsidR="000309FB" w:rsidRPr="003423AC" w:rsidRDefault="000309FB">
            <w:pPr>
              <w:rPr>
                <w:sz w:val="22"/>
                <w:szCs w:val="22"/>
              </w:rPr>
            </w:pPr>
            <w:proofErr w:type="spellStart"/>
            <w:r w:rsidRPr="003423AC">
              <w:rPr>
                <w:sz w:val="22"/>
                <w:szCs w:val="22"/>
              </w:rPr>
              <w:t>Ηπατική</w:t>
            </w:r>
            <w:proofErr w:type="spellEnd"/>
            <w:r w:rsidRPr="003423AC">
              <w:rPr>
                <w:sz w:val="22"/>
                <w:szCs w:val="22"/>
              </w:rPr>
              <w:t xml:space="preserve"> </w:t>
            </w:r>
            <w:proofErr w:type="spellStart"/>
            <w:r w:rsidRPr="003423AC">
              <w:rPr>
                <w:sz w:val="22"/>
                <w:szCs w:val="22"/>
              </w:rPr>
              <w:t>ανεπάρκεια</w:t>
            </w:r>
            <w:proofErr w:type="spellEnd"/>
          </w:p>
          <w:p w:rsidR="000309FB" w:rsidRPr="003423AC" w:rsidRDefault="000309FB">
            <w:pPr>
              <w:rPr>
                <w:sz w:val="22"/>
                <w:szCs w:val="22"/>
                <w:lang w:val="el-GR"/>
              </w:rPr>
            </w:pPr>
            <w:proofErr w:type="spellStart"/>
            <w:r w:rsidRPr="003423AC">
              <w:rPr>
                <w:sz w:val="22"/>
                <w:szCs w:val="22"/>
              </w:rPr>
              <w:t>Ηπατική</w:t>
            </w:r>
            <w:proofErr w:type="spellEnd"/>
            <w:r w:rsidRPr="003423AC">
              <w:rPr>
                <w:sz w:val="22"/>
                <w:szCs w:val="22"/>
              </w:rPr>
              <w:t xml:space="preserve"> ν</w:t>
            </w:r>
            <w:r w:rsidRPr="003423AC">
              <w:rPr>
                <w:sz w:val="22"/>
                <w:szCs w:val="22"/>
                <w:lang w:val="el-GR"/>
              </w:rPr>
              <w:t>έκρωση</w:t>
            </w:r>
          </w:p>
          <w:p w:rsidR="000309FB" w:rsidRPr="003423AC" w:rsidRDefault="000309FB">
            <w:pPr>
              <w:rPr>
                <w:sz w:val="22"/>
                <w:szCs w:val="22"/>
                <w:lang w:val="el-GR"/>
              </w:rPr>
            </w:pPr>
          </w:p>
        </w:tc>
      </w:tr>
      <w:tr w:rsidR="000309FB" w:rsidRPr="003423AC">
        <w:tc>
          <w:tcPr>
            <w:tcW w:w="4642" w:type="dxa"/>
          </w:tcPr>
          <w:p w:rsidR="000309FB" w:rsidRPr="003423AC" w:rsidRDefault="000309FB">
            <w:pPr>
              <w:rPr>
                <w:sz w:val="22"/>
                <w:szCs w:val="22"/>
                <w:lang w:val="el-GR"/>
              </w:rPr>
            </w:pPr>
            <w:r w:rsidRPr="003423AC">
              <w:rPr>
                <w:sz w:val="22"/>
                <w:szCs w:val="22"/>
                <w:lang w:val="el-GR"/>
              </w:rPr>
              <w:t>Διαταραχές του δέρματος και του υποδόριου ιστού</w:t>
            </w:r>
          </w:p>
        </w:tc>
        <w:tc>
          <w:tcPr>
            <w:tcW w:w="4643" w:type="dxa"/>
          </w:tcPr>
          <w:p w:rsidR="009B3A03" w:rsidRPr="003423AC" w:rsidRDefault="009B3A03" w:rsidP="009B3A03">
            <w:pPr>
              <w:rPr>
                <w:sz w:val="22"/>
                <w:szCs w:val="22"/>
                <w:lang w:val="el-GR"/>
              </w:rPr>
            </w:pPr>
            <w:r w:rsidRPr="003423AC">
              <w:rPr>
                <w:sz w:val="22"/>
                <w:szCs w:val="22"/>
                <w:lang w:val="el-GR"/>
              </w:rPr>
              <w:t>Εξάνθημα</w:t>
            </w:r>
          </w:p>
          <w:p w:rsidR="009B3A03" w:rsidRPr="003423AC" w:rsidRDefault="009B3A03" w:rsidP="009B3A03">
            <w:pPr>
              <w:rPr>
                <w:sz w:val="22"/>
                <w:szCs w:val="22"/>
                <w:lang w:val="el-GR"/>
              </w:rPr>
            </w:pPr>
            <w:r w:rsidRPr="003423AC">
              <w:rPr>
                <w:sz w:val="22"/>
                <w:szCs w:val="22"/>
                <w:lang w:val="el-GR"/>
              </w:rPr>
              <w:t>Κνίδωση</w:t>
            </w:r>
          </w:p>
          <w:p w:rsidR="000309FB" w:rsidRPr="003423AC" w:rsidRDefault="000309FB">
            <w:pPr>
              <w:rPr>
                <w:sz w:val="22"/>
                <w:szCs w:val="22"/>
                <w:lang w:val="el-GR"/>
              </w:rPr>
            </w:pPr>
            <w:r w:rsidRPr="003423AC">
              <w:rPr>
                <w:sz w:val="22"/>
                <w:szCs w:val="22"/>
                <w:lang w:val="el-GR"/>
              </w:rPr>
              <w:t>Κνησμός</w:t>
            </w:r>
          </w:p>
          <w:p w:rsidR="009B3A03" w:rsidRPr="003423AC" w:rsidRDefault="009B3A03">
            <w:pPr>
              <w:rPr>
                <w:sz w:val="22"/>
                <w:szCs w:val="22"/>
                <w:lang w:val="el-GR"/>
              </w:rPr>
            </w:pPr>
            <w:r w:rsidRPr="003423AC">
              <w:rPr>
                <w:sz w:val="22"/>
                <w:szCs w:val="22"/>
                <w:lang w:val="el-GR"/>
              </w:rPr>
              <w:t>Δερματίτιδα από επαφή</w:t>
            </w:r>
            <w:r w:rsidRPr="003423AC">
              <w:rPr>
                <w:bCs/>
                <w:sz w:val="22"/>
                <w:szCs w:val="22"/>
                <w:lang w:val="el-GR"/>
              </w:rPr>
              <w:t>***</w:t>
            </w:r>
          </w:p>
          <w:p w:rsidR="009B3A03" w:rsidRPr="003423AC" w:rsidRDefault="009B3A03">
            <w:pPr>
              <w:rPr>
                <w:sz w:val="22"/>
                <w:szCs w:val="22"/>
                <w:lang w:val="el-GR"/>
              </w:rPr>
            </w:pPr>
            <w:r w:rsidRPr="003423AC">
              <w:rPr>
                <w:sz w:val="22"/>
                <w:szCs w:val="22"/>
                <w:lang w:val="el-GR"/>
              </w:rPr>
              <w:t>Οίδημα προσώπου</w:t>
            </w:r>
            <w:r w:rsidRPr="003423AC">
              <w:rPr>
                <w:bCs/>
                <w:sz w:val="22"/>
                <w:szCs w:val="22"/>
                <w:lang w:val="el-GR"/>
              </w:rPr>
              <w:t>***</w:t>
            </w:r>
          </w:p>
          <w:p w:rsidR="000309FB" w:rsidRPr="003423AC" w:rsidRDefault="000309FB" w:rsidP="009B3A03">
            <w:pPr>
              <w:rPr>
                <w:sz w:val="22"/>
                <w:szCs w:val="22"/>
                <w:lang w:val="el-GR"/>
              </w:rPr>
            </w:pPr>
          </w:p>
        </w:tc>
      </w:tr>
      <w:tr w:rsidR="000309FB" w:rsidRPr="003423AC">
        <w:tc>
          <w:tcPr>
            <w:tcW w:w="4642" w:type="dxa"/>
          </w:tcPr>
          <w:p w:rsidR="000309FB" w:rsidRPr="003423AC" w:rsidRDefault="000309FB">
            <w:pPr>
              <w:rPr>
                <w:sz w:val="22"/>
                <w:szCs w:val="22"/>
                <w:lang w:val="el-GR"/>
              </w:rPr>
            </w:pPr>
            <w:r w:rsidRPr="003423AC">
              <w:rPr>
                <w:sz w:val="22"/>
                <w:szCs w:val="22"/>
                <w:lang w:val="el-GR"/>
              </w:rPr>
              <w:t>Γενικές διαταραχές και καταστάσεις της οδού χορήγησης</w:t>
            </w:r>
          </w:p>
          <w:p w:rsidR="009B3A03" w:rsidRPr="003423AC" w:rsidRDefault="009B3A03">
            <w:pPr>
              <w:rPr>
                <w:sz w:val="22"/>
                <w:szCs w:val="22"/>
                <w:lang w:val="el-GR"/>
              </w:rPr>
            </w:pPr>
          </w:p>
        </w:tc>
        <w:tc>
          <w:tcPr>
            <w:tcW w:w="4643" w:type="dxa"/>
          </w:tcPr>
          <w:p w:rsidR="000309FB" w:rsidRPr="003423AC" w:rsidRDefault="000309FB">
            <w:pPr>
              <w:rPr>
                <w:sz w:val="22"/>
                <w:szCs w:val="22"/>
                <w:lang w:val="el-GR"/>
              </w:rPr>
            </w:pPr>
            <w:r w:rsidRPr="003423AC">
              <w:rPr>
                <w:sz w:val="22"/>
                <w:szCs w:val="22"/>
                <w:lang w:val="el-GR"/>
              </w:rPr>
              <w:t>Κακοήθης υπερπυρεξία</w:t>
            </w:r>
          </w:p>
          <w:p w:rsidR="009B3A03" w:rsidRPr="003423AC" w:rsidRDefault="009B3A03">
            <w:pPr>
              <w:rPr>
                <w:sz w:val="22"/>
                <w:szCs w:val="22"/>
                <w:lang w:val="el-GR"/>
              </w:rPr>
            </w:pPr>
            <w:r w:rsidRPr="003423AC">
              <w:rPr>
                <w:sz w:val="22"/>
                <w:szCs w:val="22"/>
                <w:lang w:val="el-GR"/>
              </w:rPr>
              <w:t>Θωρακική δυσφορία</w:t>
            </w:r>
          </w:p>
          <w:p w:rsidR="000309FB" w:rsidRPr="003423AC" w:rsidRDefault="000309FB">
            <w:pPr>
              <w:rPr>
                <w:sz w:val="22"/>
                <w:szCs w:val="22"/>
                <w:lang w:val="el-GR"/>
              </w:rPr>
            </w:pPr>
          </w:p>
        </w:tc>
      </w:tr>
    </w:tbl>
    <w:p w:rsidR="000309FB" w:rsidRPr="003423AC" w:rsidRDefault="009B3A03">
      <w:pPr>
        <w:rPr>
          <w:bCs/>
          <w:sz w:val="22"/>
          <w:szCs w:val="22"/>
          <w:lang w:val="el-GR"/>
        </w:rPr>
      </w:pPr>
      <w:r w:rsidRPr="003423AC">
        <w:rPr>
          <w:bCs/>
          <w:sz w:val="22"/>
          <w:szCs w:val="22"/>
          <w:lang w:val="el-GR"/>
        </w:rPr>
        <w:t xml:space="preserve">***Μπορεί να σχετίζονται με αντιδράσεις υπερευαισθησίας, ιδιαίτερα σχετιζόμενες </w:t>
      </w:r>
      <w:r w:rsidR="00D72E9A" w:rsidRPr="003423AC">
        <w:rPr>
          <w:bCs/>
          <w:sz w:val="22"/>
          <w:szCs w:val="22"/>
          <w:lang w:val="el-GR"/>
        </w:rPr>
        <w:t xml:space="preserve">με μακροχρόνια </w:t>
      </w:r>
      <w:r w:rsidR="00615E44" w:rsidRPr="003423AC">
        <w:rPr>
          <w:bCs/>
          <w:sz w:val="22"/>
          <w:szCs w:val="22"/>
          <w:lang w:val="el-GR"/>
        </w:rPr>
        <w:t xml:space="preserve">επαγγελματική </w:t>
      </w:r>
      <w:r w:rsidR="00D72E9A" w:rsidRPr="003423AC">
        <w:rPr>
          <w:bCs/>
          <w:sz w:val="22"/>
          <w:szCs w:val="22"/>
          <w:lang w:val="el-GR"/>
        </w:rPr>
        <w:t>έκθεση σε εισπνεόμενα αναισθητικά.</w:t>
      </w:r>
    </w:p>
    <w:p w:rsidR="00D72E9A" w:rsidRPr="003423AC" w:rsidRDefault="00D72E9A">
      <w:pPr>
        <w:rPr>
          <w:sz w:val="22"/>
          <w:szCs w:val="22"/>
          <w:lang w:val="el-GR"/>
        </w:rPr>
      </w:pPr>
      <w:r w:rsidRPr="003423AC">
        <w:rPr>
          <w:sz w:val="22"/>
          <w:szCs w:val="22"/>
          <w:lang w:val="el-GR"/>
        </w:rPr>
        <w:t>#Υπάρχουν πολύ σπάνιες αναφορές μετά την κυκλοφορία καρδιακής ανακοπής με τη χρήση σεβοφλουρανίου.</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 xml:space="preserve">Κατάχρηση και εθισμός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Δεν αναφέρονται.</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4.9 Υπερδοσολογία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Στην περίπτωση χορήγησης υπερβολικής δόσης θα πρέπει να γίνουν τα ακόλουθα: Να διακοπεί η χορήγηση του φαρμάκου, να εξασφαλισθεί η </w:t>
      </w:r>
      <w:r w:rsidR="006078A1" w:rsidRPr="003423AC">
        <w:rPr>
          <w:rFonts w:ascii="Times New Roman" w:hAnsi="Times New Roman"/>
          <w:sz w:val="22"/>
          <w:szCs w:val="22"/>
          <w:lang w:val="el-GR"/>
        </w:rPr>
        <w:t xml:space="preserve">διαβατότητα </w:t>
      </w:r>
      <w:r w:rsidRPr="003423AC">
        <w:rPr>
          <w:rFonts w:ascii="Times New Roman" w:hAnsi="Times New Roman"/>
          <w:sz w:val="22"/>
          <w:szCs w:val="22"/>
          <w:lang w:val="el-GR"/>
        </w:rPr>
        <w:t xml:space="preserve">των αναπνευστικών οδών και να εγκατασταθεί τεχνητή ή ελεγχόμενη αναπνοή με χορήγηση οξυγόνου και να διατηρείται σταθερή </w:t>
      </w:r>
      <w:r w:rsidR="006078A1" w:rsidRPr="003423AC">
        <w:rPr>
          <w:rFonts w:ascii="Times New Roman" w:hAnsi="Times New Roman"/>
          <w:sz w:val="22"/>
          <w:szCs w:val="22"/>
          <w:lang w:val="el-GR"/>
        </w:rPr>
        <w:t xml:space="preserve">η </w:t>
      </w:r>
      <w:r w:rsidRPr="003423AC">
        <w:rPr>
          <w:rFonts w:ascii="Times New Roman" w:hAnsi="Times New Roman"/>
          <w:sz w:val="22"/>
          <w:szCs w:val="22"/>
          <w:lang w:val="el-GR"/>
        </w:rPr>
        <w:t>καρδιαγγειακή λειτουργία.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b/>
          <w:bCs/>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5</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ΦΑΡΜΑΚΟΛΟΓΙΚΕΣ ΙΔΙΟΤΗΤΕΣ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Κωδικός ΑΤ</w:t>
      </w:r>
      <w:r w:rsidRPr="003423AC">
        <w:rPr>
          <w:rFonts w:ascii="Times New Roman" w:hAnsi="Times New Roman"/>
          <w:sz w:val="22"/>
          <w:szCs w:val="22"/>
        </w:rPr>
        <w:t>C</w:t>
      </w:r>
      <w:r w:rsidRPr="003423AC">
        <w:rPr>
          <w:rFonts w:ascii="Times New Roman" w:hAnsi="Times New Roman"/>
          <w:sz w:val="22"/>
          <w:szCs w:val="22"/>
          <w:lang w:val="el-GR"/>
        </w:rPr>
        <w:t>: Ν01ΑΒ08</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5.1</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 xml:space="preserve">Φαρμακοδυναμικές Ιδιότητες </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 </w:t>
      </w:r>
    </w:p>
    <w:p w:rsidR="007A5F62"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Μελέτες σε πειραματόζωα και τον άνθρωπο έχουν δείξει ότι το σεβοφλουράνιο προκαλεί ταχεία και</w:t>
      </w:r>
      <w:r w:rsidR="00AD2AD6" w:rsidRPr="003423AC">
        <w:rPr>
          <w:rFonts w:ascii="Times New Roman" w:hAnsi="Times New Roman"/>
          <w:sz w:val="22"/>
          <w:szCs w:val="22"/>
          <w:lang w:val="el-GR"/>
        </w:rPr>
        <w:t xml:space="preserve"> ομαλή εισαγωγή στην αναισθησία, χωρίς ερεθισμό</w:t>
      </w:r>
      <w:r w:rsidRPr="003423AC">
        <w:rPr>
          <w:rFonts w:ascii="Times New Roman" w:hAnsi="Times New Roman"/>
          <w:sz w:val="22"/>
          <w:szCs w:val="22"/>
          <w:lang w:val="el-GR"/>
        </w:rPr>
        <w:t xml:space="preserve">. </w:t>
      </w:r>
      <w:bookmarkStart w:id="2" w:name="OLE_LINK3"/>
      <w:bookmarkStart w:id="3" w:name="OLE_LINK4"/>
      <w:r w:rsidRPr="003423AC">
        <w:rPr>
          <w:rFonts w:ascii="Times New Roman" w:hAnsi="Times New Roman"/>
          <w:sz w:val="22"/>
          <w:szCs w:val="22"/>
          <w:lang w:val="el-GR"/>
        </w:rPr>
        <w:t xml:space="preserve">Κατά την εισαγωγή στην αναισθησία παρατηρείται </w:t>
      </w:r>
      <w:r w:rsidR="007F2918" w:rsidRPr="003423AC">
        <w:rPr>
          <w:rFonts w:ascii="Times New Roman" w:hAnsi="Times New Roman"/>
          <w:sz w:val="22"/>
          <w:szCs w:val="22"/>
          <w:lang w:val="el-GR"/>
        </w:rPr>
        <w:t>ομαλή και ταχεία απώλεια συνείδησης και ταχεία ανάνηψη κατά τη διακοπή της αναισθησίας</w:t>
      </w:r>
      <w:r w:rsidR="007A5F62" w:rsidRPr="003423AC">
        <w:rPr>
          <w:rFonts w:ascii="Times New Roman" w:hAnsi="Times New Roman"/>
          <w:sz w:val="22"/>
          <w:szCs w:val="22"/>
          <w:lang w:val="el-GR"/>
        </w:rPr>
        <w:t>.</w:t>
      </w:r>
    </w:p>
    <w:bookmarkEnd w:id="2"/>
    <w:bookmarkEnd w:id="3"/>
    <w:p w:rsidR="007A5F62" w:rsidRPr="003423AC" w:rsidRDefault="007A5F62">
      <w:pPr>
        <w:pStyle w:val="a3"/>
        <w:rPr>
          <w:rFonts w:ascii="Times New Roman" w:hAnsi="Times New Roman"/>
          <w:sz w:val="22"/>
          <w:szCs w:val="22"/>
          <w:lang w:val="el-GR"/>
        </w:rPr>
      </w:pPr>
    </w:p>
    <w:p w:rsidR="000309FB" w:rsidRPr="003423AC" w:rsidRDefault="007A5F62">
      <w:pPr>
        <w:pStyle w:val="a3"/>
        <w:rPr>
          <w:rFonts w:ascii="Times New Roman" w:hAnsi="Times New Roman"/>
          <w:sz w:val="22"/>
          <w:szCs w:val="22"/>
          <w:lang w:val="el-GR"/>
        </w:rPr>
      </w:pPr>
      <w:r w:rsidRPr="003423AC">
        <w:rPr>
          <w:rFonts w:ascii="Times New Roman" w:hAnsi="Times New Roman"/>
          <w:sz w:val="22"/>
          <w:szCs w:val="22"/>
          <w:lang w:val="el-GR"/>
        </w:rPr>
        <w:t xml:space="preserve">Η εισαγωγή επιτυγχάνεται με </w:t>
      </w:r>
      <w:r w:rsidR="000309FB" w:rsidRPr="003423AC">
        <w:rPr>
          <w:rFonts w:ascii="Times New Roman" w:hAnsi="Times New Roman"/>
          <w:sz w:val="22"/>
          <w:szCs w:val="22"/>
          <w:lang w:val="el-GR"/>
        </w:rPr>
        <w:t xml:space="preserve">μικρού βαθμού </w:t>
      </w:r>
      <w:r w:rsidRPr="003423AC">
        <w:rPr>
          <w:rFonts w:ascii="Times New Roman" w:hAnsi="Times New Roman"/>
          <w:sz w:val="22"/>
          <w:szCs w:val="22"/>
          <w:lang w:val="el-GR"/>
        </w:rPr>
        <w:t xml:space="preserve">διέγερση ή </w:t>
      </w:r>
      <w:r w:rsidR="000309FB" w:rsidRPr="003423AC">
        <w:rPr>
          <w:rFonts w:ascii="Times New Roman" w:hAnsi="Times New Roman"/>
          <w:sz w:val="22"/>
          <w:szCs w:val="22"/>
          <w:lang w:val="el-GR"/>
        </w:rPr>
        <w:t xml:space="preserve">ερεθισμό των </w:t>
      </w:r>
      <w:r w:rsidRPr="003423AC">
        <w:rPr>
          <w:rFonts w:ascii="Times New Roman" w:hAnsi="Times New Roman"/>
          <w:sz w:val="22"/>
          <w:szCs w:val="22"/>
          <w:lang w:val="el-GR"/>
        </w:rPr>
        <w:t>ανώτερων</w:t>
      </w:r>
      <w:r w:rsidR="000309FB" w:rsidRPr="003423AC">
        <w:rPr>
          <w:rFonts w:ascii="Times New Roman" w:hAnsi="Times New Roman"/>
          <w:sz w:val="22"/>
          <w:szCs w:val="22"/>
          <w:lang w:val="el-GR"/>
        </w:rPr>
        <w:t xml:space="preserve"> αναπνευστικών οδών</w:t>
      </w:r>
      <w:r w:rsidRPr="003423AC">
        <w:rPr>
          <w:rFonts w:ascii="Times New Roman" w:hAnsi="Times New Roman"/>
          <w:sz w:val="22"/>
          <w:szCs w:val="22"/>
          <w:lang w:val="el-GR"/>
        </w:rPr>
        <w:t>. Δεν υπάρχουν στοιχεία υπερβολικών εκκρίσεων εντός του τραχειοβρογχικού δέντρου και</w:t>
      </w:r>
      <w:r w:rsidR="000309FB" w:rsidRPr="003423AC">
        <w:rPr>
          <w:rFonts w:ascii="Times New Roman" w:hAnsi="Times New Roman"/>
          <w:sz w:val="22"/>
          <w:szCs w:val="22"/>
          <w:lang w:val="el-GR"/>
        </w:rPr>
        <w:t xml:space="preserve"> </w:t>
      </w:r>
      <w:r w:rsidR="000309FB" w:rsidRPr="003423AC">
        <w:rPr>
          <w:rFonts w:ascii="Times New Roman" w:hAnsi="Times New Roman"/>
          <w:sz w:val="22"/>
          <w:szCs w:val="22"/>
          <w:lang w:val="el-GR"/>
        </w:rPr>
        <w:lastRenderedPageBreak/>
        <w:t>διέγερση</w:t>
      </w:r>
      <w:r w:rsidRPr="003423AC">
        <w:rPr>
          <w:rFonts w:ascii="Times New Roman" w:hAnsi="Times New Roman"/>
          <w:sz w:val="22"/>
          <w:szCs w:val="22"/>
          <w:lang w:val="el-GR"/>
        </w:rPr>
        <w:t>ς</w:t>
      </w:r>
      <w:r w:rsidR="000309FB" w:rsidRPr="003423AC">
        <w:rPr>
          <w:rFonts w:ascii="Times New Roman" w:hAnsi="Times New Roman"/>
          <w:sz w:val="22"/>
          <w:szCs w:val="22"/>
          <w:lang w:val="el-GR"/>
        </w:rPr>
        <w:t xml:space="preserve"> από το ΚΝΣ.</w:t>
      </w:r>
      <w:r w:rsidR="00AC7FDC" w:rsidRPr="003423AC">
        <w:rPr>
          <w:rFonts w:ascii="Times New Roman" w:hAnsi="Times New Roman"/>
          <w:sz w:val="22"/>
          <w:szCs w:val="22"/>
          <w:lang w:val="el-GR"/>
        </w:rPr>
        <w:t xml:space="preserve"> </w:t>
      </w:r>
      <w:r w:rsidR="000309FB" w:rsidRPr="003423AC">
        <w:rPr>
          <w:rFonts w:ascii="Times New Roman" w:hAnsi="Times New Roman"/>
          <w:sz w:val="22"/>
          <w:szCs w:val="22"/>
          <w:lang w:val="el-GR"/>
        </w:rPr>
        <w:t>Συγκριτικές μελέτες με παιδιατρικούς ασθενείς, όπου η εισαγωγή στην αναισθησία έγινε με μάσκα, έδειξαν ότι η συχνότητα του βήχα ήταν μικρότερη με το σεβοφλουράνιο σε σύγκριση με το αλοθάνιο.</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Το σεβοφλουράνιο προκαλεί δοσοεξαρτωμένη καταστολή του καρδιαγγειακού και αναπνευστικού συστήματος.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Σε σκύλους και ανθρώπους </w:t>
      </w:r>
      <w:r w:rsidR="003A3BE1" w:rsidRPr="003423AC">
        <w:rPr>
          <w:rFonts w:ascii="Times New Roman" w:hAnsi="Times New Roman"/>
          <w:sz w:val="22"/>
          <w:szCs w:val="22"/>
          <w:lang w:val="el-GR"/>
        </w:rPr>
        <w:t xml:space="preserve">ο </w:t>
      </w:r>
      <w:r w:rsidRPr="003423AC">
        <w:rPr>
          <w:rFonts w:ascii="Times New Roman" w:hAnsi="Times New Roman"/>
          <w:sz w:val="22"/>
          <w:szCs w:val="22"/>
          <w:lang w:val="el-GR"/>
        </w:rPr>
        <w:t>τεχνητ</w:t>
      </w:r>
      <w:r w:rsidR="003A3BE1" w:rsidRPr="003423AC">
        <w:rPr>
          <w:rFonts w:ascii="Times New Roman" w:hAnsi="Times New Roman"/>
          <w:sz w:val="22"/>
          <w:szCs w:val="22"/>
          <w:lang w:val="el-GR"/>
        </w:rPr>
        <w:t>ός</w:t>
      </w:r>
      <w:r w:rsidRPr="003423AC">
        <w:rPr>
          <w:rFonts w:ascii="Times New Roman" w:hAnsi="Times New Roman"/>
          <w:sz w:val="22"/>
          <w:szCs w:val="22"/>
          <w:lang w:val="el-GR"/>
        </w:rPr>
        <w:t xml:space="preserve"> αρρυθμογόνος ουδός με επινεφρίνη ήταν συγκρίσιμ</w:t>
      </w:r>
      <w:r w:rsidR="003A3BE1" w:rsidRPr="003423AC">
        <w:rPr>
          <w:rFonts w:ascii="Times New Roman" w:hAnsi="Times New Roman"/>
          <w:sz w:val="22"/>
          <w:szCs w:val="22"/>
          <w:lang w:val="el-GR"/>
        </w:rPr>
        <w:t>ος</w:t>
      </w:r>
      <w:r w:rsidRPr="003423AC">
        <w:rPr>
          <w:rFonts w:ascii="Times New Roman" w:hAnsi="Times New Roman"/>
          <w:sz w:val="22"/>
          <w:szCs w:val="22"/>
          <w:lang w:val="el-GR"/>
        </w:rPr>
        <w:t xml:space="preserve"> μεταξύ σεβοφλουρανίου και ισοφλουρανίου και μικρότερ</w:t>
      </w:r>
      <w:r w:rsidR="003A3BE1" w:rsidRPr="003423AC">
        <w:rPr>
          <w:rFonts w:ascii="Times New Roman" w:hAnsi="Times New Roman"/>
          <w:sz w:val="22"/>
          <w:szCs w:val="22"/>
          <w:lang w:val="el-GR"/>
        </w:rPr>
        <w:t>ος</w:t>
      </w:r>
      <w:r w:rsidRPr="003423AC">
        <w:rPr>
          <w:rFonts w:ascii="Times New Roman" w:hAnsi="Times New Roman"/>
          <w:sz w:val="22"/>
          <w:szCs w:val="22"/>
          <w:lang w:val="el-GR"/>
        </w:rPr>
        <w:t xml:space="preserve"> για το αλοθάνιο.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Οι μελέτες στους σκύλους έχουν δείξει ότι το σεβοφλουράνιο δεν ελαττώνει την παράπλευρο αιμάτωση του μυοκαρδίου. Στις κλινικές μελέτες, η επίπτωση της ισχαιμίας μυοκαρδίου και εμφράγματος σε επιρρεπείς ασθενείς ήταν συγκρίσιμη μεταξύ σεβοφλουρανίου και ισοφλουρανίου.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Οι μελέτες στα πειραματόζωα έδειξαν ότι διατηρείται φυσιολογική με το σεβοφλουράνιο η αιμάτωση των οργάνων (ήπαρ, νεφροί, εγκέφαλος). Σε προκλινικές μελέτες στους σκύλους και στα κουνέλια καθώς και σε κλινικές μελέτες οι τροποποιήσεις της αιμοδυναμικής του Νευρικού Συστήματος (ενδοκρανιακή πίεση, εγκεφαλική αιμάτωση /ταχύτητα ροής, εγκεφαλικός μεταβολισμός οξυγόνου και εγκεφαλική πίεση ροής) ήταν συγκρίσιμες μεταξύ σεβοφλουρανίου και ισοφλουρανίου. Το σεβοφλουράνιο έχει ελάχιστη επίδραση στην Ενδοκρανιακή Πίεση (</w:t>
      </w:r>
      <w:r w:rsidRPr="003423AC">
        <w:rPr>
          <w:rFonts w:ascii="Times New Roman" w:hAnsi="Times New Roman"/>
          <w:sz w:val="22"/>
          <w:szCs w:val="22"/>
        </w:rPr>
        <w:t>ICP</w:t>
      </w:r>
      <w:r w:rsidRPr="003423AC">
        <w:rPr>
          <w:rFonts w:ascii="Times New Roman" w:hAnsi="Times New Roman"/>
          <w:sz w:val="22"/>
          <w:szCs w:val="22"/>
          <w:lang w:val="el-GR"/>
        </w:rPr>
        <w:t xml:space="preserve">) και στην ικανότητα ανταπόκρισης στο </w:t>
      </w:r>
      <w:r w:rsidRPr="003423AC">
        <w:rPr>
          <w:rFonts w:ascii="Times New Roman" w:hAnsi="Times New Roman"/>
          <w:sz w:val="22"/>
          <w:szCs w:val="22"/>
        </w:rPr>
        <w:t>C</w:t>
      </w:r>
      <w:r w:rsidRPr="003423AC">
        <w:rPr>
          <w:rFonts w:ascii="Times New Roman" w:hAnsi="Times New Roman"/>
          <w:sz w:val="22"/>
          <w:szCs w:val="22"/>
          <w:lang w:val="el-GR"/>
        </w:rPr>
        <w:t>Ο</w:t>
      </w:r>
      <w:r w:rsidRPr="003423AC">
        <w:rPr>
          <w:rFonts w:ascii="Times New Roman" w:hAnsi="Times New Roman"/>
          <w:position w:val="-6"/>
          <w:sz w:val="22"/>
          <w:szCs w:val="22"/>
          <w:lang w:val="el-GR"/>
        </w:rPr>
        <w:t>2</w:t>
      </w:r>
      <w:r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proofErr w:type="gramStart"/>
      <w:r w:rsidRPr="003423AC">
        <w:rPr>
          <w:rFonts w:ascii="Times New Roman" w:hAnsi="Times New Roman"/>
          <w:sz w:val="22"/>
          <w:szCs w:val="22"/>
        </w:rPr>
        <w:t>To</w:t>
      </w:r>
      <w:r w:rsidRPr="003423AC">
        <w:rPr>
          <w:rFonts w:ascii="Times New Roman" w:hAnsi="Times New Roman"/>
          <w:sz w:val="22"/>
          <w:szCs w:val="22"/>
          <w:lang w:val="el-GR"/>
        </w:rPr>
        <w:t xml:space="preserve"> σεβοφλουράνιο δεν επιδρά στην συμπυκνωτική ικανότητα των νεφρών, ακόμα και μετά από μακρά έκθεση στην αναισθησία, μέχρι και 9 ώρες.</w:t>
      </w:r>
      <w:proofErr w:type="gramEnd"/>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rPr>
        <w:t>MAC</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Η ελάχιστη κυψελιδική συγκέντρωση (</w:t>
      </w:r>
      <w:r w:rsidRPr="003423AC">
        <w:rPr>
          <w:rFonts w:ascii="Times New Roman" w:hAnsi="Times New Roman"/>
          <w:sz w:val="22"/>
          <w:szCs w:val="22"/>
        </w:rPr>
        <w:t>MAC</w:t>
      </w:r>
      <w:r w:rsidRPr="003423AC">
        <w:rPr>
          <w:rFonts w:ascii="Times New Roman" w:hAnsi="Times New Roman"/>
          <w:sz w:val="22"/>
          <w:szCs w:val="22"/>
          <w:lang w:val="el-GR"/>
        </w:rPr>
        <w:t xml:space="preserve">) είναι η συγκέντρωση κατά την οποία το 50% των ασθενών παρουσιάζουν κατάργηση της απάντησης σε δερματική τομή. Οι τιμές </w:t>
      </w:r>
      <w:r w:rsidRPr="003423AC">
        <w:rPr>
          <w:rFonts w:ascii="Times New Roman" w:hAnsi="Times New Roman"/>
          <w:sz w:val="22"/>
          <w:szCs w:val="22"/>
        </w:rPr>
        <w:t>MAC</w:t>
      </w:r>
      <w:r w:rsidRPr="003423AC">
        <w:rPr>
          <w:rFonts w:ascii="Times New Roman" w:hAnsi="Times New Roman"/>
          <w:sz w:val="22"/>
          <w:szCs w:val="22"/>
          <w:lang w:val="el-GR"/>
        </w:rPr>
        <w:t xml:space="preserve"> που αντιστοιχούν στις διάφορες </w:t>
      </w:r>
      <w:r w:rsidR="003A3BE1" w:rsidRPr="003423AC">
        <w:rPr>
          <w:rFonts w:ascii="Times New Roman" w:hAnsi="Times New Roman"/>
          <w:sz w:val="22"/>
          <w:szCs w:val="22"/>
          <w:lang w:val="el-GR"/>
        </w:rPr>
        <w:t xml:space="preserve">ηλικιακές </w:t>
      </w:r>
      <w:r w:rsidRPr="003423AC">
        <w:rPr>
          <w:rFonts w:ascii="Times New Roman" w:hAnsi="Times New Roman"/>
          <w:sz w:val="22"/>
          <w:szCs w:val="22"/>
          <w:lang w:val="el-GR"/>
        </w:rPr>
        <w:t>ομάδες συνοψίζονται στο παρακάτω πίνακα:</w:t>
      </w:r>
    </w:p>
    <w:p w:rsidR="000309FB" w:rsidRPr="003423AC" w:rsidRDefault="000309FB">
      <w:pPr>
        <w:pStyle w:val="a3"/>
        <w:rPr>
          <w:rFonts w:ascii="Times New Roman" w:hAnsi="Times New Roman"/>
          <w:sz w:val="22"/>
          <w:szCs w:val="22"/>
          <w:lang w:val="el-GR"/>
        </w:rPr>
      </w:pPr>
    </w:p>
    <w:tbl>
      <w:tblPr>
        <w:tblW w:w="0" w:type="auto"/>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3513"/>
        <w:gridCol w:w="2614"/>
        <w:gridCol w:w="2827"/>
      </w:tblGrid>
      <w:tr w:rsidR="000309FB" w:rsidRPr="00EE05BC">
        <w:trPr>
          <w:cantSplit/>
          <w:jc w:val="center"/>
        </w:trPr>
        <w:tc>
          <w:tcPr>
            <w:tcW w:w="8954" w:type="dxa"/>
            <w:gridSpan w:val="3"/>
          </w:tcPr>
          <w:p w:rsidR="000309FB" w:rsidRPr="003423AC" w:rsidRDefault="000309FB">
            <w:pPr>
              <w:pStyle w:val="a3"/>
              <w:jc w:val="center"/>
              <w:rPr>
                <w:rFonts w:ascii="Times New Roman" w:hAnsi="Times New Roman"/>
                <w:b/>
                <w:bCs/>
                <w:color w:val="auto"/>
                <w:sz w:val="22"/>
                <w:szCs w:val="22"/>
                <w:lang w:val="el-GR"/>
              </w:rPr>
            </w:pPr>
          </w:p>
          <w:p w:rsidR="000309FB" w:rsidRPr="003423AC" w:rsidRDefault="000309FB">
            <w:pPr>
              <w:pStyle w:val="a3"/>
              <w:jc w:val="center"/>
              <w:rPr>
                <w:rFonts w:ascii="Times New Roman" w:hAnsi="Times New Roman"/>
                <w:b/>
                <w:bCs/>
                <w:color w:val="auto"/>
                <w:sz w:val="22"/>
                <w:szCs w:val="22"/>
                <w:lang w:val="el-GR"/>
              </w:rPr>
            </w:pPr>
            <w:r w:rsidRPr="003423AC">
              <w:rPr>
                <w:rFonts w:ascii="Times New Roman" w:hAnsi="Times New Roman"/>
                <w:b/>
                <w:bCs/>
                <w:color w:val="auto"/>
                <w:sz w:val="22"/>
                <w:szCs w:val="22"/>
                <w:lang w:val="el-GR"/>
              </w:rPr>
              <w:t xml:space="preserve">Τιμές </w:t>
            </w:r>
            <w:r w:rsidRPr="003423AC">
              <w:rPr>
                <w:rFonts w:ascii="Times New Roman" w:hAnsi="Times New Roman"/>
                <w:b/>
                <w:bCs/>
                <w:color w:val="auto"/>
                <w:sz w:val="22"/>
                <w:szCs w:val="22"/>
              </w:rPr>
              <w:t>MAC</w:t>
            </w:r>
            <w:r w:rsidRPr="003423AC">
              <w:rPr>
                <w:rFonts w:ascii="Times New Roman" w:hAnsi="Times New Roman"/>
                <w:b/>
                <w:bCs/>
                <w:color w:val="auto"/>
                <w:sz w:val="22"/>
                <w:szCs w:val="22"/>
                <w:lang w:val="el-GR"/>
              </w:rPr>
              <w:t xml:space="preserve"> για Ενήλικες και Παιδιατρικούς Ασθενείς Σύμφωνα με την Ηλικία</w:t>
            </w:r>
          </w:p>
          <w:p w:rsidR="000309FB" w:rsidRPr="003423AC" w:rsidRDefault="000309FB">
            <w:pPr>
              <w:pStyle w:val="a3"/>
              <w:jc w:val="center"/>
              <w:rPr>
                <w:rFonts w:ascii="Times New Roman" w:hAnsi="Times New Roman"/>
                <w:color w:val="auto"/>
                <w:sz w:val="22"/>
                <w:szCs w:val="22"/>
                <w:lang w:val="el-GR"/>
              </w:rPr>
            </w:pPr>
          </w:p>
        </w:tc>
      </w:tr>
      <w:tr w:rsidR="000309FB" w:rsidRPr="003423AC">
        <w:trPr>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Ηλικία Ασθενούς</w:t>
            </w:r>
          </w:p>
          <w:p w:rsidR="000309FB" w:rsidRPr="003423AC" w:rsidRDefault="000309FB">
            <w:pPr>
              <w:pStyle w:val="TableText"/>
              <w:jc w:val="center"/>
              <w:rPr>
                <w:rFonts w:ascii="Times New Roman" w:hAnsi="Times New Roman"/>
                <w:color w:val="auto"/>
                <w:sz w:val="22"/>
                <w:szCs w:val="22"/>
                <w:lang w:val="el-GR"/>
              </w:rPr>
            </w:pP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Σεβοφλουράνιο</w:t>
            </w:r>
          </w:p>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σε 100% Ο</w:t>
            </w:r>
            <w:r w:rsidRPr="003423AC">
              <w:rPr>
                <w:rFonts w:ascii="Times New Roman" w:hAnsi="Times New Roman"/>
                <w:color w:val="auto"/>
                <w:sz w:val="22"/>
                <w:szCs w:val="22"/>
                <w:vertAlign w:val="subscript"/>
                <w:lang w:val="el-GR"/>
              </w:rPr>
              <w:t>2</w:t>
            </w:r>
          </w:p>
        </w:tc>
        <w:tc>
          <w:tcPr>
            <w:tcW w:w="2827"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Σεβοφλουράνιο σε</w:t>
            </w:r>
          </w:p>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 xml:space="preserve">65% </w:t>
            </w:r>
            <w:r w:rsidRPr="003423AC">
              <w:rPr>
                <w:rFonts w:ascii="Times New Roman" w:hAnsi="Times New Roman"/>
                <w:color w:val="auto"/>
                <w:sz w:val="22"/>
                <w:szCs w:val="22"/>
              </w:rPr>
              <w:t>N</w:t>
            </w:r>
            <w:r w:rsidRPr="003423AC">
              <w:rPr>
                <w:rFonts w:ascii="Times New Roman" w:hAnsi="Times New Roman"/>
                <w:color w:val="auto"/>
                <w:position w:val="-6"/>
                <w:sz w:val="22"/>
                <w:szCs w:val="22"/>
                <w:lang w:val="el-GR"/>
              </w:rPr>
              <w:t>2</w:t>
            </w:r>
            <w:r w:rsidRPr="003423AC">
              <w:rPr>
                <w:rFonts w:ascii="Times New Roman" w:hAnsi="Times New Roman"/>
                <w:color w:val="auto"/>
                <w:sz w:val="22"/>
                <w:szCs w:val="22"/>
              </w:rPr>
              <w:t>O</w:t>
            </w:r>
            <w:r w:rsidRPr="003423AC">
              <w:rPr>
                <w:rFonts w:ascii="Times New Roman" w:hAnsi="Times New Roman"/>
                <w:color w:val="auto"/>
                <w:sz w:val="22"/>
                <w:szCs w:val="22"/>
                <w:lang w:val="el-GR"/>
              </w:rPr>
              <w:t>/35%</w:t>
            </w:r>
            <w:r w:rsidRPr="003423AC">
              <w:rPr>
                <w:rFonts w:ascii="Times New Roman" w:hAnsi="Times New Roman"/>
                <w:color w:val="auto"/>
                <w:sz w:val="22"/>
                <w:szCs w:val="22"/>
              </w:rPr>
              <w:t>O</w:t>
            </w:r>
            <w:r w:rsidRPr="003423AC">
              <w:rPr>
                <w:rFonts w:ascii="Times New Roman" w:hAnsi="Times New Roman"/>
                <w:color w:val="auto"/>
                <w:position w:val="-6"/>
                <w:sz w:val="22"/>
                <w:szCs w:val="22"/>
                <w:lang w:val="el-GR"/>
              </w:rPr>
              <w:t>2</w:t>
            </w:r>
          </w:p>
        </w:tc>
      </w:tr>
      <w:tr w:rsidR="000309FB" w:rsidRPr="003423AC">
        <w:trPr>
          <w:cantSplit/>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0-1 μήνας*</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3,3 %</w:t>
            </w:r>
          </w:p>
        </w:tc>
        <w:tc>
          <w:tcPr>
            <w:tcW w:w="2827" w:type="dxa"/>
            <w:vMerge w:val="restart"/>
          </w:tcPr>
          <w:p w:rsidR="000309FB" w:rsidRPr="003423AC" w:rsidRDefault="000309FB">
            <w:pPr>
              <w:pStyle w:val="TableText"/>
              <w:jc w:val="center"/>
              <w:rPr>
                <w:rFonts w:ascii="Times New Roman" w:hAnsi="Times New Roman"/>
                <w:color w:val="auto"/>
                <w:sz w:val="22"/>
                <w:szCs w:val="22"/>
                <w:lang w:val="el-GR"/>
              </w:rPr>
            </w:pPr>
          </w:p>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2 %**</w:t>
            </w:r>
          </w:p>
        </w:tc>
      </w:tr>
      <w:tr w:rsidR="000309FB" w:rsidRPr="003423AC">
        <w:trPr>
          <w:cantSplit/>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1 - &lt; 6 μήνες</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3,0 %</w:t>
            </w:r>
          </w:p>
        </w:tc>
        <w:tc>
          <w:tcPr>
            <w:tcW w:w="2827" w:type="dxa"/>
            <w:vMerge/>
          </w:tcPr>
          <w:p w:rsidR="000309FB" w:rsidRPr="003423AC" w:rsidRDefault="000309FB">
            <w:pPr>
              <w:pStyle w:val="TableText"/>
              <w:jc w:val="center"/>
              <w:rPr>
                <w:rFonts w:ascii="Times New Roman" w:hAnsi="Times New Roman"/>
                <w:color w:val="auto"/>
                <w:sz w:val="22"/>
                <w:szCs w:val="22"/>
                <w:lang w:val="el-GR"/>
              </w:rPr>
            </w:pPr>
          </w:p>
        </w:tc>
      </w:tr>
      <w:tr w:rsidR="000309FB" w:rsidRPr="003423AC">
        <w:trPr>
          <w:cantSplit/>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6 μήνες - &lt; 3 έτη</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2,8 %</w:t>
            </w:r>
          </w:p>
        </w:tc>
        <w:tc>
          <w:tcPr>
            <w:tcW w:w="2827" w:type="dxa"/>
            <w:vMerge/>
          </w:tcPr>
          <w:p w:rsidR="000309FB" w:rsidRPr="003423AC" w:rsidRDefault="000309FB">
            <w:pPr>
              <w:pStyle w:val="TableText"/>
              <w:jc w:val="center"/>
              <w:rPr>
                <w:rFonts w:ascii="Times New Roman" w:hAnsi="Times New Roman"/>
                <w:color w:val="auto"/>
                <w:sz w:val="22"/>
                <w:szCs w:val="22"/>
                <w:lang w:val="el-GR"/>
              </w:rPr>
            </w:pPr>
          </w:p>
        </w:tc>
      </w:tr>
      <w:tr w:rsidR="000309FB" w:rsidRPr="003423AC">
        <w:trPr>
          <w:cantSplit/>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3 - 12 έτη</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2,5 %</w:t>
            </w:r>
          </w:p>
        </w:tc>
        <w:tc>
          <w:tcPr>
            <w:tcW w:w="2827" w:type="dxa"/>
            <w:vMerge/>
          </w:tcPr>
          <w:p w:rsidR="000309FB" w:rsidRPr="003423AC" w:rsidRDefault="000309FB">
            <w:pPr>
              <w:pStyle w:val="TableText"/>
              <w:jc w:val="center"/>
              <w:rPr>
                <w:rFonts w:ascii="Times New Roman" w:hAnsi="Times New Roman"/>
                <w:color w:val="auto"/>
                <w:sz w:val="22"/>
                <w:szCs w:val="22"/>
                <w:lang w:val="el-GR"/>
              </w:rPr>
            </w:pPr>
          </w:p>
        </w:tc>
      </w:tr>
      <w:tr w:rsidR="000309FB" w:rsidRPr="003423AC">
        <w:trPr>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25 έτη</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2,6 %</w:t>
            </w:r>
          </w:p>
        </w:tc>
        <w:tc>
          <w:tcPr>
            <w:tcW w:w="2827"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1,4 %</w:t>
            </w:r>
          </w:p>
        </w:tc>
      </w:tr>
      <w:tr w:rsidR="000309FB" w:rsidRPr="003423AC">
        <w:trPr>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40 έτη</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2,05 %</w:t>
            </w:r>
          </w:p>
        </w:tc>
        <w:tc>
          <w:tcPr>
            <w:tcW w:w="2827"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1,1 %</w:t>
            </w:r>
          </w:p>
        </w:tc>
      </w:tr>
      <w:tr w:rsidR="000309FB" w:rsidRPr="003423AC">
        <w:trPr>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60 έτη</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1,7 %</w:t>
            </w:r>
          </w:p>
        </w:tc>
        <w:tc>
          <w:tcPr>
            <w:tcW w:w="2827"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0,9 %</w:t>
            </w:r>
          </w:p>
        </w:tc>
      </w:tr>
      <w:tr w:rsidR="000309FB" w:rsidRPr="003423AC">
        <w:trPr>
          <w:jc w:val="center"/>
        </w:trPr>
        <w:tc>
          <w:tcPr>
            <w:tcW w:w="3513"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80 έτη</w:t>
            </w:r>
          </w:p>
        </w:tc>
        <w:tc>
          <w:tcPr>
            <w:tcW w:w="2614"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1,4 %</w:t>
            </w:r>
          </w:p>
        </w:tc>
        <w:tc>
          <w:tcPr>
            <w:tcW w:w="2827" w:type="dxa"/>
          </w:tcPr>
          <w:p w:rsidR="000309FB" w:rsidRPr="003423AC" w:rsidRDefault="000309FB">
            <w:pPr>
              <w:pStyle w:val="TableText"/>
              <w:jc w:val="center"/>
              <w:rPr>
                <w:rFonts w:ascii="Times New Roman" w:hAnsi="Times New Roman"/>
                <w:color w:val="auto"/>
                <w:sz w:val="22"/>
                <w:szCs w:val="22"/>
                <w:lang w:val="el-GR"/>
              </w:rPr>
            </w:pPr>
            <w:r w:rsidRPr="003423AC">
              <w:rPr>
                <w:rFonts w:ascii="Times New Roman" w:hAnsi="Times New Roman"/>
                <w:color w:val="auto"/>
                <w:sz w:val="22"/>
                <w:szCs w:val="22"/>
                <w:lang w:val="el-GR"/>
              </w:rPr>
              <w:t>0,7 %</w:t>
            </w:r>
          </w:p>
        </w:tc>
      </w:tr>
      <w:tr w:rsidR="000309FB" w:rsidRPr="00EE05BC">
        <w:trPr>
          <w:cantSplit/>
          <w:jc w:val="center"/>
        </w:trPr>
        <w:tc>
          <w:tcPr>
            <w:tcW w:w="8954" w:type="dxa"/>
            <w:gridSpan w:val="3"/>
          </w:tcPr>
          <w:p w:rsidR="000309FB" w:rsidRPr="003423AC" w:rsidRDefault="000309FB">
            <w:pPr>
              <w:pStyle w:val="TableText"/>
              <w:rPr>
                <w:rFonts w:ascii="Times New Roman" w:hAnsi="Times New Roman"/>
                <w:color w:val="auto"/>
                <w:sz w:val="22"/>
                <w:szCs w:val="22"/>
                <w:lang w:val="el-GR"/>
              </w:rPr>
            </w:pPr>
          </w:p>
          <w:p w:rsidR="000309FB" w:rsidRPr="003423AC" w:rsidRDefault="000309FB">
            <w:pPr>
              <w:pStyle w:val="TableText"/>
              <w:rPr>
                <w:rFonts w:ascii="Times New Roman" w:hAnsi="Times New Roman"/>
                <w:color w:val="auto"/>
                <w:sz w:val="22"/>
                <w:szCs w:val="22"/>
                <w:lang w:val="el-GR"/>
              </w:rPr>
            </w:pPr>
            <w:r w:rsidRPr="003423AC">
              <w:rPr>
                <w:rFonts w:ascii="Times New Roman" w:hAnsi="Times New Roman"/>
                <w:color w:val="auto"/>
                <w:sz w:val="22"/>
                <w:szCs w:val="22"/>
                <w:lang w:val="el-GR"/>
              </w:rPr>
              <w:t xml:space="preserve">* Τα νεογνά είναι τελειόμηνα. Οι τιμές </w:t>
            </w:r>
            <w:r w:rsidRPr="003423AC">
              <w:rPr>
                <w:rFonts w:ascii="Times New Roman" w:hAnsi="Times New Roman"/>
                <w:color w:val="auto"/>
                <w:sz w:val="22"/>
                <w:szCs w:val="22"/>
              </w:rPr>
              <w:t>MAC</w:t>
            </w:r>
            <w:r w:rsidRPr="003423AC">
              <w:rPr>
                <w:rFonts w:ascii="Times New Roman" w:hAnsi="Times New Roman"/>
                <w:color w:val="auto"/>
                <w:sz w:val="22"/>
                <w:szCs w:val="22"/>
                <w:lang w:val="el-GR"/>
              </w:rPr>
              <w:t xml:space="preserve"> σε πρόωρα βρέφη δεν έχουν προσδιορισθεί.</w:t>
            </w:r>
          </w:p>
          <w:p w:rsidR="000309FB" w:rsidRPr="003423AC" w:rsidRDefault="000309FB">
            <w:pPr>
              <w:pStyle w:val="a3"/>
              <w:rPr>
                <w:rFonts w:ascii="Times New Roman" w:hAnsi="Times New Roman"/>
                <w:color w:val="auto"/>
                <w:sz w:val="22"/>
                <w:szCs w:val="22"/>
                <w:lang w:val="el-GR"/>
              </w:rPr>
            </w:pPr>
            <w:r w:rsidRPr="003423AC">
              <w:rPr>
                <w:rFonts w:ascii="Times New Roman" w:hAnsi="Times New Roman"/>
                <w:color w:val="auto"/>
                <w:sz w:val="22"/>
                <w:szCs w:val="22"/>
                <w:lang w:val="el-GR"/>
              </w:rPr>
              <w:t xml:space="preserve">** Σε παιδιατρικούς ασθενείς 1 - &lt; 3 μηνών χορηγήθηκε μίγμα 60% </w:t>
            </w:r>
            <w:r w:rsidRPr="003423AC">
              <w:rPr>
                <w:rFonts w:ascii="Times New Roman" w:hAnsi="Times New Roman"/>
                <w:color w:val="auto"/>
                <w:sz w:val="22"/>
                <w:szCs w:val="22"/>
              </w:rPr>
              <w:t>N</w:t>
            </w:r>
            <w:r w:rsidRPr="003423AC">
              <w:rPr>
                <w:rFonts w:ascii="Times New Roman" w:hAnsi="Times New Roman"/>
                <w:color w:val="auto"/>
                <w:position w:val="-6"/>
                <w:sz w:val="22"/>
                <w:szCs w:val="22"/>
                <w:lang w:val="el-GR"/>
              </w:rPr>
              <w:t>2</w:t>
            </w:r>
            <w:r w:rsidRPr="003423AC">
              <w:rPr>
                <w:rFonts w:ascii="Times New Roman" w:hAnsi="Times New Roman"/>
                <w:color w:val="auto"/>
                <w:sz w:val="22"/>
                <w:szCs w:val="22"/>
              </w:rPr>
              <w:t>O</w:t>
            </w:r>
            <w:r w:rsidRPr="003423AC">
              <w:rPr>
                <w:rFonts w:ascii="Times New Roman" w:hAnsi="Times New Roman"/>
                <w:color w:val="auto"/>
                <w:sz w:val="22"/>
                <w:szCs w:val="22"/>
                <w:lang w:val="el-GR"/>
              </w:rPr>
              <w:t xml:space="preserve"> / 40 %</w:t>
            </w:r>
            <w:r w:rsidRPr="003423AC">
              <w:rPr>
                <w:rFonts w:ascii="Times New Roman" w:hAnsi="Times New Roman"/>
                <w:color w:val="auto"/>
                <w:sz w:val="22"/>
                <w:szCs w:val="22"/>
              </w:rPr>
              <w:t>O</w:t>
            </w:r>
            <w:r w:rsidRPr="003423AC">
              <w:rPr>
                <w:rFonts w:ascii="Times New Roman" w:hAnsi="Times New Roman"/>
                <w:color w:val="auto"/>
                <w:position w:val="-6"/>
                <w:sz w:val="22"/>
                <w:szCs w:val="22"/>
                <w:lang w:val="el-GR"/>
              </w:rPr>
              <w:t>2</w:t>
            </w:r>
          </w:p>
        </w:tc>
      </w:tr>
    </w:tbl>
    <w:p w:rsidR="000309FB" w:rsidRPr="003423AC" w:rsidRDefault="000309FB">
      <w:pPr>
        <w:pStyle w:val="a3"/>
        <w:rPr>
          <w:rFonts w:ascii="Times New Roman" w:hAnsi="Times New Roman"/>
          <w:sz w:val="22"/>
          <w:szCs w:val="22"/>
          <w:lang w:val="el-GR"/>
        </w:rPr>
      </w:pPr>
    </w:p>
    <w:p w:rsidR="00676A51"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Το </w:t>
      </w:r>
      <w:r w:rsidRPr="003423AC">
        <w:rPr>
          <w:rFonts w:ascii="Times New Roman" w:hAnsi="Times New Roman"/>
          <w:sz w:val="22"/>
          <w:szCs w:val="22"/>
        </w:rPr>
        <w:t>MAC</w:t>
      </w:r>
      <w:r w:rsidRPr="003423AC">
        <w:rPr>
          <w:rFonts w:ascii="Times New Roman" w:hAnsi="Times New Roman"/>
          <w:sz w:val="22"/>
          <w:szCs w:val="22"/>
          <w:lang w:val="el-GR"/>
        </w:rPr>
        <w:t xml:space="preserve"> του σεβοφλουρανίου σε μείγμα οξυγόνου προσδιορίζεται στο 2</w:t>
      </w:r>
      <w:r w:rsidR="00AC63C4" w:rsidRPr="003423AC">
        <w:rPr>
          <w:rFonts w:ascii="Times New Roman" w:hAnsi="Times New Roman"/>
          <w:sz w:val="22"/>
          <w:szCs w:val="22"/>
          <w:lang w:val="el-GR"/>
        </w:rPr>
        <w:t>,</w:t>
      </w:r>
      <w:r w:rsidRPr="003423AC">
        <w:rPr>
          <w:rFonts w:ascii="Times New Roman" w:hAnsi="Times New Roman"/>
          <w:sz w:val="22"/>
          <w:szCs w:val="22"/>
          <w:lang w:val="el-GR"/>
        </w:rPr>
        <w:t xml:space="preserve">05% για τους ενήλικες 40 ετών. Όπως και για τα άλλα αλογονωμένα παράγωγα, οι </w:t>
      </w:r>
      <w:r w:rsidRPr="003423AC">
        <w:rPr>
          <w:rFonts w:ascii="Times New Roman" w:hAnsi="Times New Roman"/>
          <w:sz w:val="22"/>
          <w:szCs w:val="22"/>
        </w:rPr>
        <w:t>MAC</w:t>
      </w:r>
      <w:r w:rsidRPr="003423AC">
        <w:rPr>
          <w:rFonts w:ascii="Times New Roman" w:hAnsi="Times New Roman"/>
          <w:sz w:val="22"/>
          <w:szCs w:val="22"/>
          <w:lang w:val="el-GR"/>
        </w:rPr>
        <w:t xml:space="preserve"> του σεβοφλουρανίου μειώνονται σε μεγαλύτερες ηλικίες και όταν </w:t>
      </w:r>
      <w:r w:rsidR="003A3BE1" w:rsidRPr="003423AC">
        <w:rPr>
          <w:rFonts w:ascii="Times New Roman" w:hAnsi="Times New Roman"/>
          <w:sz w:val="22"/>
          <w:szCs w:val="22"/>
          <w:lang w:val="el-GR"/>
        </w:rPr>
        <w:t xml:space="preserve">αυτό </w:t>
      </w:r>
      <w:r w:rsidRPr="003423AC">
        <w:rPr>
          <w:rFonts w:ascii="Times New Roman" w:hAnsi="Times New Roman"/>
          <w:sz w:val="22"/>
          <w:szCs w:val="22"/>
          <w:lang w:val="el-GR"/>
        </w:rPr>
        <w:t>χορηγείται σε μείγμα υποξειδίου του αζώτου.</w:t>
      </w:r>
    </w:p>
    <w:p w:rsidR="00676A51" w:rsidRPr="003423AC" w:rsidRDefault="00676A51">
      <w:pPr>
        <w:pStyle w:val="a3"/>
        <w:rPr>
          <w:rFonts w:ascii="Times New Roman" w:hAnsi="Times New Roman"/>
          <w:sz w:val="22"/>
          <w:szCs w:val="22"/>
          <w:lang w:val="el-GR"/>
        </w:rPr>
      </w:pPr>
    </w:p>
    <w:p w:rsidR="00676A51" w:rsidRPr="003423AC" w:rsidRDefault="00676A51">
      <w:pPr>
        <w:pStyle w:val="a3"/>
        <w:rPr>
          <w:rFonts w:ascii="Times New Roman" w:hAnsi="Times New Roman"/>
          <w:b/>
          <w:sz w:val="22"/>
          <w:szCs w:val="22"/>
          <w:lang w:val="el-GR"/>
        </w:rPr>
      </w:pPr>
      <w:r w:rsidRPr="003423AC">
        <w:rPr>
          <w:rFonts w:ascii="Times New Roman" w:hAnsi="Times New Roman"/>
          <w:b/>
          <w:sz w:val="22"/>
          <w:szCs w:val="22"/>
          <w:lang w:val="el-GR"/>
        </w:rPr>
        <w:t>Κλινικές μελέτες</w:t>
      </w:r>
    </w:p>
    <w:p w:rsidR="005079FF" w:rsidRPr="003423AC" w:rsidRDefault="005079FF">
      <w:pPr>
        <w:pStyle w:val="a3"/>
        <w:rPr>
          <w:rFonts w:ascii="Times New Roman" w:hAnsi="Times New Roman"/>
          <w:sz w:val="22"/>
          <w:szCs w:val="22"/>
          <w:lang w:val="el-GR"/>
        </w:rPr>
      </w:pPr>
    </w:p>
    <w:p w:rsidR="005079FF" w:rsidRPr="003423AC" w:rsidRDefault="005079FF">
      <w:pPr>
        <w:pStyle w:val="a3"/>
        <w:rPr>
          <w:rFonts w:ascii="Times New Roman" w:hAnsi="Times New Roman"/>
          <w:b/>
          <w:sz w:val="22"/>
          <w:szCs w:val="22"/>
          <w:lang w:val="el-GR"/>
        </w:rPr>
      </w:pPr>
      <w:r w:rsidRPr="003423AC">
        <w:rPr>
          <w:rFonts w:ascii="Times New Roman" w:hAnsi="Times New Roman"/>
          <w:b/>
          <w:sz w:val="22"/>
          <w:szCs w:val="22"/>
          <w:lang w:val="el-GR"/>
        </w:rPr>
        <w:t>Αποτελεσματικότητα</w:t>
      </w:r>
    </w:p>
    <w:p w:rsidR="005079FF" w:rsidRPr="003423AC" w:rsidRDefault="005079FF">
      <w:pPr>
        <w:pStyle w:val="a3"/>
        <w:rPr>
          <w:rFonts w:ascii="Times New Roman" w:hAnsi="Times New Roman"/>
          <w:sz w:val="22"/>
          <w:szCs w:val="22"/>
          <w:lang w:val="el-GR"/>
        </w:rPr>
      </w:pPr>
    </w:p>
    <w:p w:rsidR="005079FF" w:rsidRPr="003423AC" w:rsidRDefault="005079FF" w:rsidP="005079FF">
      <w:pPr>
        <w:pStyle w:val="a3"/>
        <w:rPr>
          <w:rFonts w:ascii="Times New Roman" w:hAnsi="Times New Roman"/>
          <w:sz w:val="22"/>
          <w:szCs w:val="22"/>
          <w:lang w:val="el-GR"/>
        </w:rPr>
      </w:pPr>
      <w:r w:rsidRPr="003423AC">
        <w:rPr>
          <w:rFonts w:ascii="Times New Roman" w:hAnsi="Times New Roman"/>
          <w:sz w:val="22"/>
          <w:szCs w:val="22"/>
          <w:lang w:val="el-GR"/>
        </w:rPr>
        <w:lastRenderedPageBreak/>
        <w:t>Πολλές κλινικές μελέτες έχουν διεξαχθεί με το σεβοφλουράνιο ως αναισθητικό παράγοντα για παιδιατρικούς και ενήλικες ασθενείς. Τα αποτελέσματα έχουν δείξει ότι το σεβοφλουράνιο προκαλεί ομαλή, ταχεία εισαγωγή καθώς και ταχεία ανάνηψη από την αναισθησία.</w:t>
      </w:r>
    </w:p>
    <w:p w:rsidR="005079FF" w:rsidRPr="003423AC" w:rsidRDefault="005079FF" w:rsidP="005079FF">
      <w:pPr>
        <w:pStyle w:val="a3"/>
        <w:rPr>
          <w:rFonts w:ascii="Times New Roman" w:hAnsi="Times New Roman"/>
          <w:sz w:val="22"/>
          <w:szCs w:val="22"/>
          <w:lang w:val="el-GR"/>
        </w:rPr>
      </w:pPr>
    </w:p>
    <w:p w:rsidR="000309FB" w:rsidRPr="003423AC" w:rsidRDefault="005079FF" w:rsidP="005079FF">
      <w:pPr>
        <w:pStyle w:val="a3"/>
        <w:rPr>
          <w:rFonts w:ascii="Times New Roman" w:hAnsi="Times New Roman"/>
          <w:sz w:val="22"/>
          <w:szCs w:val="22"/>
          <w:lang w:val="el-GR"/>
        </w:rPr>
      </w:pPr>
      <w:r w:rsidRPr="003423AC">
        <w:rPr>
          <w:rFonts w:ascii="Times New Roman" w:hAnsi="Times New Roman"/>
          <w:sz w:val="22"/>
          <w:szCs w:val="22"/>
          <w:lang w:val="el-GR"/>
        </w:rPr>
        <w:t xml:space="preserve">Η χρήση του σεβοφλουρανίου σχετίζεται με ταχύτερους χρόνους εισαγωγής στην αναισθησία καθώς και </w:t>
      </w:r>
      <w:r w:rsidR="0044238E" w:rsidRPr="003423AC">
        <w:rPr>
          <w:rFonts w:ascii="Times New Roman" w:hAnsi="Times New Roman"/>
          <w:sz w:val="22"/>
          <w:szCs w:val="22"/>
          <w:lang w:val="el-GR"/>
        </w:rPr>
        <w:t xml:space="preserve">σε καταστάσεις ανάνηψης </w:t>
      </w:r>
      <w:r w:rsidR="00EF42C3" w:rsidRPr="003423AC">
        <w:rPr>
          <w:rFonts w:ascii="Times New Roman" w:hAnsi="Times New Roman"/>
          <w:sz w:val="22"/>
          <w:szCs w:val="22"/>
          <w:lang w:val="el-GR"/>
        </w:rPr>
        <w:t xml:space="preserve">όπως </w:t>
      </w:r>
      <w:r w:rsidR="0044238E" w:rsidRPr="003423AC">
        <w:rPr>
          <w:rFonts w:ascii="Times New Roman" w:hAnsi="Times New Roman"/>
          <w:sz w:val="22"/>
          <w:szCs w:val="22"/>
          <w:lang w:val="el-GR"/>
        </w:rPr>
        <w:t>ανάδυση (</w:t>
      </w:r>
      <w:r w:rsidR="0044238E" w:rsidRPr="003423AC">
        <w:rPr>
          <w:rFonts w:ascii="Times New Roman" w:hAnsi="Times New Roman"/>
          <w:sz w:val="22"/>
          <w:szCs w:val="22"/>
        </w:rPr>
        <w:t>emergence</w:t>
      </w:r>
      <w:r w:rsidR="0044238E" w:rsidRPr="003423AC">
        <w:rPr>
          <w:rFonts w:ascii="Times New Roman" w:hAnsi="Times New Roman"/>
          <w:sz w:val="22"/>
          <w:szCs w:val="22"/>
          <w:lang w:val="el-GR"/>
        </w:rPr>
        <w:t>)</w:t>
      </w:r>
      <w:r w:rsidR="00EF42C3" w:rsidRPr="003423AC">
        <w:rPr>
          <w:rFonts w:ascii="Times New Roman" w:hAnsi="Times New Roman"/>
          <w:sz w:val="22"/>
          <w:szCs w:val="22"/>
          <w:lang w:val="el-GR"/>
        </w:rPr>
        <w:t>, απόκριση σε εντολές</w:t>
      </w:r>
      <w:r w:rsidRPr="003423AC">
        <w:rPr>
          <w:rFonts w:ascii="Times New Roman" w:hAnsi="Times New Roman"/>
          <w:sz w:val="22"/>
          <w:szCs w:val="22"/>
          <w:lang w:val="el-GR"/>
        </w:rPr>
        <w:t xml:space="preserve"> και προσανατολισμό</w:t>
      </w:r>
      <w:r w:rsidR="00EF42C3" w:rsidRPr="003423AC">
        <w:rPr>
          <w:rFonts w:ascii="Times New Roman" w:hAnsi="Times New Roman"/>
          <w:sz w:val="22"/>
          <w:szCs w:val="22"/>
          <w:lang w:val="el-GR"/>
        </w:rPr>
        <w:t>ς</w:t>
      </w:r>
      <w:r w:rsidRPr="003423AC">
        <w:rPr>
          <w:rFonts w:ascii="Times New Roman" w:hAnsi="Times New Roman"/>
          <w:sz w:val="22"/>
          <w:szCs w:val="22"/>
          <w:lang w:val="el-GR"/>
        </w:rPr>
        <w:t xml:space="preserve"> σε σ</w:t>
      </w:r>
      <w:r w:rsidR="00EF42C3" w:rsidRPr="003423AC">
        <w:rPr>
          <w:rFonts w:ascii="Times New Roman" w:hAnsi="Times New Roman"/>
          <w:sz w:val="22"/>
          <w:szCs w:val="22"/>
          <w:lang w:val="el-GR"/>
        </w:rPr>
        <w:t>ύγκριση</w:t>
      </w:r>
      <w:r w:rsidRPr="003423AC">
        <w:rPr>
          <w:rFonts w:ascii="Times New Roman" w:hAnsi="Times New Roman"/>
          <w:sz w:val="22"/>
          <w:szCs w:val="22"/>
          <w:lang w:val="el-GR"/>
        </w:rPr>
        <w:t xml:space="preserve"> με τα φάρμακα αναφοράς.</w:t>
      </w:r>
    </w:p>
    <w:p w:rsidR="005A531F" w:rsidRPr="003423AC" w:rsidRDefault="005A531F" w:rsidP="005079FF">
      <w:pPr>
        <w:pStyle w:val="a3"/>
        <w:rPr>
          <w:rFonts w:ascii="Times New Roman" w:hAnsi="Times New Roman"/>
          <w:sz w:val="22"/>
          <w:szCs w:val="22"/>
          <w:lang w:val="el-GR"/>
        </w:rPr>
      </w:pPr>
    </w:p>
    <w:p w:rsidR="005A531F" w:rsidRPr="003423AC" w:rsidRDefault="005A531F" w:rsidP="005079FF">
      <w:pPr>
        <w:pStyle w:val="a3"/>
        <w:rPr>
          <w:rFonts w:ascii="Times New Roman" w:hAnsi="Times New Roman"/>
          <w:b/>
          <w:sz w:val="22"/>
          <w:szCs w:val="22"/>
          <w:lang w:val="el-GR"/>
        </w:rPr>
      </w:pPr>
      <w:r w:rsidRPr="003423AC">
        <w:rPr>
          <w:rFonts w:ascii="Times New Roman" w:hAnsi="Times New Roman"/>
          <w:b/>
          <w:sz w:val="22"/>
          <w:szCs w:val="22"/>
          <w:lang w:val="el-GR"/>
        </w:rPr>
        <w:t>Αναισθησία σε ενήλικες</w:t>
      </w:r>
    </w:p>
    <w:p w:rsidR="005A531F" w:rsidRPr="003423AC" w:rsidRDefault="005A531F" w:rsidP="005079FF">
      <w:pPr>
        <w:pStyle w:val="a3"/>
        <w:rPr>
          <w:rFonts w:ascii="Times New Roman" w:hAnsi="Times New Roman"/>
          <w:sz w:val="22"/>
          <w:szCs w:val="22"/>
          <w:lang w:val="el-GR"/>
        </w:rPr>
      </w:pPr>
    </w:p>
    <w:p w:rsidR="005A531F" w:rsidRPr="003423AC" w:rsidRDefault="005A531F" w:rsidP="005079FF">
      <w:pPr>
        <w:pStyle w:val="a3"/>
        <w:rPr>
          <w:rFonts w:ascii="Times New Roman" w:hAnsi="Times New Roman"/>
          <w:b/>
          <w:sz w:val="22"/>
          <w:szCs w:val="22"/>
          <w:lang w:val="el-GR"/>
        </w:rPr>
      </w:pPr>
      <w:r w:rsidRPr="003423AC">
        <w:rPr>
          <w:rFonts w:ascii="Times New Roman" w:hAnsi="Times New Roman"/>
          <w:b/>
          <w:sz w:val="22"/>
          <w:szCs w:val="22"/>
          <w:lang w:val="el-GR"/>
        </w:rPr>
        <w:t>Εισαγωγή με μάσκα</w:t>
      </w:r>
    </w:p>
    <w:p w:rsidR="005A531F" w:rsidRPr="003423AC" w:rsidRDefault="005A531F" w:rsidP="005079FF">
      <w:pPr>
        <w:pStyle w:val="a3"/>
        <w:rPr>
          <w:rFonts w:ascii="Times New Roman" w:hAnsi="Times New Roman"/>
          <w:sz w:val="22"/>
          <w:szCs w:val="22"/>
          <w:lang w:val="el-GR"/>
        </w:rPr>
      </w:pPr>
    </w:p>
    <w:p w:rsidR="005A531F" w:rsidRPr="003423AC" w:rsidRDefault="005A531F" w:rsidP="005079FF">
      <w:pPr>
        <w:pStyle w:val="a3"/>
        <w:rPr>
          <w:rFonts w:ascii="Times New Roman" w:hAnsi="Times New Roman"/>
          <w:sz w:val="22"/>
          <w:szCs w:val="22"/>
          <w:lang w:val="el-GR"/>
        </w:rPr>
      </w:pPr>
      <w:r w:rsidRPr="003423AC">
        <w:rPr>
          <w:rFonts w:ascii="Times New Roman" w:hAnsi="Times New Roman"/>
          <w:sz w:val="22"/>
          <w:szCs w:val="22"/>
          <w:lang w:val="el-GR"/>
        </w:rPr>
        <w:t>Σε μελέτες με ενήλικες ασθενείς στις οποίες έγινε εισαγωγή στην αναισθησία με μάσκα, το σεβοφλουράνιο προκάλεσε ομαλή και ταχεία εισαγωγή στην αναισθησία.</w:t>
      </w:r>
    </w:p>
    <w:p w:rsidR="005A531F" w:rsidRPr="003423AC" w:rsidRDefault="005A531F" w:rsidP="005079FF">
      <w:pPr>
        <w:pStyle w:val="a3"/>
        <w:rPr>
          <w:rFonts w:ascii="Times New Roman" w:hAnsi="Times New Roman"/>
          <w:sz w:val="22"/>
          <w:szCs w:val="22"/>
          <w:lang w:val="el-GR"/>
        </w:rPr>
      </w:pPr>
    </w:p>
    <w:p w:rsidR="005A531F" w:rsidRPr="003423AC" w:rsidRDefault="005A531F" w:rsidP="005079FF">
      <w:pPr>
        <w:pStyle w:val="a3"/>
        <w:rPr>
          <w:rFonts w:ascii="Times New Roman" w:hAnsi="Times New Roman"/>
          <w:b/>
          <w:sz w:val="22"/>
          <w:szCs w:val="22"/>
          <w:lang w:val="el-GR"/>
        </w:rPr>
      </w:pPr>
      <w:r w:rsidRPr="003423AC">
        <w:rPr>
          <w:rFonts w:ascii="Times New Roman" w:hAnsi="Times New Roman"/>
          <w:b/>
          <w:sz w:val="22"/>
          <w:szCs w:val="22"/>
          <w:lang w:val="el-GR"/>
        </w:rPr>
        <w:t>Διατήρηση</w:t>
      </w:r>
    </w:p>
    <w:p w:rsidR="005A531F" w:rsidRPr="003423AC" w:rsidRDefault="005A531F" w:rsidP="005079FF">
      <w:pPr>
        <w:pStyle w:val="a3"/>
        <w:rPr>
          <w:rFonts w:ascii="Times New Roman" w:hAnsi="Times New Roman"/>
          <w:sz w:val="22"/>
          <w:szCs w:val="22"/>
          <w:lang w:val="el-GR"/>
        </w:rPr>
      </w:pPr>
    </w:p>
    <w:p w:rsidR="0047534E" w:rsidRPr="003423AC" w:rsidRDefault="005A531F" w:rsidP="0047534E">
      <w:pPr>
        <w:pStyle w:val="a3"/>
        <w:rPr>
          <w:rFonts w:ascii="Times New Roman" w:hAnsi="Times New Roman"/>
          <w:sz w:val="22"/>
          <w:szCs w:val="22"/>
          <w:lang w:val="el-GR"/>
        </w:rPr>
      </w:pPr>
      <w:r w:rsidRPr="003423AC">
        <w:rPr>
          <w:rFonts w:ascii="Times New Roman" w:hAnsi="Times New Roman"/>
          <w:sz w:val="22"/>
          <w:szCs w:val="22"/>
          <w:lang w:val="el-GR"/>
        </w:rPr>
        <w:t xml:space="preserve">Σε 3 μελέτες που διεξήχθησαν σε ασθενείς </w:t>
      </w:r>
      <w:r w:rsidR="00031550" w:rsidRPr="003423AC">
        <w:rPr>
          <w:rFonts w:ascii="Times New Roman" w:hAnsi="Times New Roman"/>
          <w:sz w:val="22"/>
          <w:szCs w:val="22"/>
          <w:lang w:val="el-GR"/>
        </w:rPr>
        <w:t>των εξωτερικών ιατρείων</w:t>
      </w:r>
      <w:r w:rsidRPr="003423AC">
        <w:rPr>
          <w:rFonts w:ascii="Times New Roman" w:hAnsi="Times New Roman"/>
          <w:sz w:val="22"/>
          <w:szCs w:val="22"/>
          <w:lang w:val="el-GR"/>
        </w:rPr>
        <w:t xml:space="preserve"> και σε </w:t>
      </w:r>
      <w:r w:rsidR="0047534E" w:rsidRPr="003423AC">
        <w:rPr>
          <w:rFonts w:ascii="Times New Roman" w:hAnsi="Times New Roman"/>
          <w:sz w:val="22"/>
          <w:szCs w:val="22"/>
          <w:lang w:val="el-GR"/>
        </w:rPr>
        <w:t>25 μελέτες με ενδονοσοκομειακούς ασθενείς, όπου συμπεριλήφθηκαν 3.591 ενήλικες ασθενείς (2.022 με σεβοφλουράνιο, 1.196 με ισοφλουράνιο, 111 με ενφλουράνιο, 262 με προποφόλη), το σεβοφλουράνιο αποδείχθηκε ότι είναι ένας αποτελεσματικός παράγοντας για τη διατήρηση της αναισθησίας.</w:t>
      </w:r>
    </w:p>
    <w:p w:rsidR="0047534E" w:rsidRPr="003423AC" w:rsidRDefault="0047534E" w:rsidP="0047534E">
      <w:pPr>
        <w:pStyle w:val="a3"/>
        <w:rPr>
          <w:rFonts w:ascii="Times New Roman" w:hAnsi="Times New Roman"/>
          <w:sz w:val="22"/>
          <w:szCs w:val="22"/>
          <w:lang w:val="el-GR"/>
        </w:rPr>
      </w:pPr>
    </w:p>
    <w:p w:rsidR="005A531F" w:rsidRPr="003423AC" w:rsidRDefault="0047534E" w:rsidP="0047534E">
      <w:pPr>
        <w:pStyle w:val="a3"/>
        <w:rPr>
          <w:rFonts w:ascii="Times New Roman" w:hAnsi="Times New Roman"/>
          <w:sz w:val="22"/>
          <w:szCs w:val="22"/>
          <w:lang w:val="el-GR"/>
        </w:rPr>
      </w:pPr>
      <w:r w:rsidRPr="003423AC">
        <w:rPr>
          <w:rFonts w:ascii="Times New Roman" w:hAnsi="Times New Roman"/>
          <w:sz w:val="22"/>
          <w:szCs w:val="22"/>
          <w:lang w:val="el-GR"/>
        </w:rPr>
        <w:t>Το σεβοφλουράνιο έχει αποδειχθεί ότι είναι ένας κατάλληλος αναισθητικός παράγοντας στη νευροχειρουργική, στην καισαρική τομή, σε ασθενείς που υποβάλλονται σε επέμβαση αορτοστεφανιαίας παράκαμψης με μόσχευμα (CABG) και σε μη καρδιαγγειακούς ασθενείς σε κίνδυνο για ισχαιμία του μυοκαρδίου.</w:t>
      </w:r>
    </w:p>
    <w:p w:rsidR="00125884" w:rsidRPr="003423AC" w:rsidRDefault="00125884" w:rsidP="0047534E">
      <w:pPr>
        <w:pStyle w:val="a3"/>
        <w:rPr>
          <w:rFonts w:ascii="Times New Roman" w:hAnsi="Times New Roman"/>
          <w:sz w:val="22"/>
          <w:szCs w:val="22"/>
          <w:lang w:val="el-GR"/>
        </w:rPr>
      </w:pPr>
    </w:p>
    <w:p w:rsidR="00125884" w:rsidRPr="003423AC" w:rsidRDefault="00125884" w:rsidP="0047534E">
      <w:pPr>
        <w:pStyle w:val="a3"/>
        <w:rPr>
          <w:rFonts w:ascii="Times New Roman" w:hAnsi="Times New Roman"/>
          <w:b/>
          <w:sz w:val="22"/>
          <w:szCs w:val="22"/>
          <w:lang w:val="el-GR"/>
        </w:rPr>
      </w:pPr>
      <w:r w:rsidRPr="003423AC">
        <w:rPr>
          <w:rFonts w:ascii="Times New Roman" w:hAnsi="Times New Roman"/>
          <w:b/>
          <w:sz w:val="22"/>
          <w:szCs w:val="22"/>
          <w:lang w:val="el-GR"/>
        </w:rPr>
        <w:t>Παιδιατρική αναισθησία</w:t>
      </w:r>
    </w:p>
    <w:p w:rsidR="00125884" w:rsidRPr="003423AC" w:rsidRDefault="00125884" w:rsidP="0047534E">
      <w:pPr>
        <w:pStyle w:val="a3"/>
        <w:rPr>
          <w:rFonts w:ascii="Times New Roman" w:hAnsi="Times New Roman"/>
          <w:b/>
          <w:sz w:val="22"/>
          <w:szCs w:val="22"/>
          <w:lang w:val="el-GR"/>
        </w:rPr>
      </w:pPr>
    </w:p>
    <w:p w:rsidR="00125884" w:rsidRPr="003423AC" w:rsidRDefault="00125884" w:rsidP="00125884">
      <w:pPr>
        <w:pStyle w:val="a3"/>
        <w:rPr>
          <w:rFonts w:ascii="Times New Roman" w:hAnsi="Times New Roman"/>
          <w:sz w:val="22"/>
          <w:szCs w:val="22"/>
          <w:lang w:val="el-GR"/>
        </w:rPr>
      </w:pPr>
      <w:r w:rsidRPr="003423AC">
        <w:rPr>
          <w:rFonts w:ascii="Times New Roman" w:hAnsi="Times New Roman"/>
          <w:sz w:val="22"/>
          <w:szCs w:val="22"/>
          <w:lang w:val="el-GR"/>
        </w:rPr>
        <w:t xml:space="preserve">Σε 2 μελέτες </w:t>
      </w:r>
      <w:r w:rsidR="00031550" w:rsidRPr="003423AC">
        <w:rPr>
          <w:rFonts w:ascii="Times New Roman" w:hAnsi="Times New Roman"/>
          <w:sz w:val="22"/>
          <w:szCs w:val="22"/>
          <w:lang w:val="el-GR"/>
        </w:rPr>
        <w:t xml:space="preserve">σε ασθενείς </w:t>
      </w:r>
      <w:r w:rsidRPr="003423AC">
        <w:rPr>
          <w:rFonts w:ascii="Times New Roman" w:hAnsi="Times New Roman"/>
          <w:sz w:val="22"/>
          <w:szCs w:val="22"/>
          <w:lang w:val="el-GR"/>
        </w:rPr>
        <w:t>στα εξωτερικά ιατρεία και σε 3 μελέτες με ενδονοσοκομειακούς ασθενείς</w:t>
      </w:r>
      <w:r w:rsidR="0017366E" w:rsidRPr="003423AC">
        <w:rPr>
          <w:rFonts w:ascii="Times New Roman" w:hAnsi="Times New Roman"/>
          <w:sz w:val="22"/>
          <w:szCs w:val="22"/>
          <w:lang w:val="el-GR"/>
        </w:rPr>
        <w:t xml:space="preserve"> όπου συμπεριλήφθηκαν 1498 παιδιατρικοί</w:t>
      </w:r>
      <w:r w:rsidRPr="003423AC">
        <w:rPr>
          <w:rFonts w:ascii="Times New Roman" w:hAnsi="Times New Roman"/>
          <w:sz w:val="22"/>
          <w:szCs w:val="22"/>
          <w:lang w:val="el-GR"/>
        </w:rPr>
        <w:t xml:space="preserve"> ασθενείς (837 </w:t>
      </w:r>
      <w:r w:rsidR="0017366E" w:rsidRPr="003423AC">
        <w:rPr>
          <w:rFonts w:ascii="Times New Roman" w:hAnsi="Times New Roman"/>
          <w:sz w:val="22"/>
          <w:szCs w:val="22"/>
          <w:lang w:val="el-GR"/>
        </w:rPr>
        <w:t xml:space="preserve">με </w:t>
      </w:r>
      <w:r w:rsidRPr="003423AC">
        <w:rPr>
          <w:rFonts w:ascii="Times New Roman" w:hAnsi="Times New Roman"/>
          <w:sz w:val="22"/>
          <w:szCs w:val="22"/>
          <w:lang w:val="el-GR"/>
        </w:rPr>
        <w:t>σεβοφλουράνιο, 661</w:t>
      </w:r>
      <w:r w:rsidR="0017366E" w:rsidRPr="003423AC">
        <w:rPr>
          <w:rFonts w:ascii="Times New Roman" w:hAnsi="Times New Roman"/>
          <w:sz w:val="22"/>
          <w:szCs w:val="22"/>
          <w:lang w:val="el-GR"/>
        </w:rPr>
        <w:t xml:space="preserve"> με αλοθάνιο</w:t>
      </w:r>
      <w:r w:rsidRPr="003423AC">
        <w:rPr>
          <w:rFonts w:ascii="Times New Roman" w:hAnsi="Times New Roman"/>
          <w:sz w:val="22"/>
          <w:szCs w:val="22"/>
          <w:lang w:val="el-GR"/>
        </w:rPr>
        <w:t xml:space="preserve">), </w:t>
      </w:r>
      <w:r w:rsidR="0017366E" w:rsidRPr="003423AC">
        <w:rPr>
          <w:rFonts w:ascii="Times New Roman" w:hAnsi="Times New Roman"/>
          <w:sz w:val="22"/>
          <w:szCs w:val="22"/>
          <w:lang w:val="el-GR"/>
        </w:rPr>
        <w:t xml:space="preserve">το </w:t>
      </w:r>
      <w:r w:rsidRPr="003423AC">
        <w:rPr>
          <w:rFonts w:ascii="Times New Roman" w:hAnsi="Times New Roman"/>
          <w:sz w:val="22"/>
          <w:szCs w:val="22"/>
          <w:lang w:val="el-GR"/>
        </w:rPr>
        <w:t xml:space="preserve">σεβοφλουράνιο </w:t>
      </w:r>
      <w:r w:rsidR="0017366E" w:rsidRPr="003423AC">
        <w:rPr>
          <w:rFonts w:ascii="Times New Roman" w:hAnsi="Times New Roman"/>
          <w:sz w:val="22"/>
          <w:szCs w:val="22"/>
          <w:lang w:val="el-GR"/>
        </w:rPr>
        <w:t>αποδείχθηκε</w:t>
      </w:r>
      <w:r w:rsidRPr="003423AC">
        <w:rPr>
          <w:rFonts w:ascii="Times New Roman" w:hAnsi="Times New Roman"/>
          <w:sz w:val="22"/>
          <w:szCs w:val="22"/>
          <w:lang w:val="el-GR"/>
        </w:rPr>
        <w:t xml:space="preserve"> ότι είναι ένας αποτελεσματικός παράγοντας για την εισαγωγή και διατήρηση της αναισθησία</w:t>
      </w:r>
      <w:r w:rsidR="0017366E" w:rsidRPr="003423AC">
        <w:rPr>
          <w:rFonts w:ascii="Times New Roman" w:hAnsi="Times New Roman"/>
          <w:sz w:val="22"/>
          <w:szCs w:val="22"/>
          <w:lang w:val="el-GR"/>
        </w:rPr>
        <w:t>ς</w:t>
      </w:r>
      <w:r w:rsidRPr="003423AC">
        <w:rPr>
          <w:rFonts w:ascii="Times New Roman" w:hAnsi="Times New Roman"/>
          <w:sz w:val="22"/>
          <w:szCs w:val="22"/>
          <w:lang w:val="el-GR"/>
        </w:rPr>
        <w:t>.</w:t>
      </w:r>
    </w:p>
    <w:p w:rsidR="00125884" w:rsidRPr="003423AC" w:rsidRDefault="00125884" w:rsidP="0047534E">
      <w:pPr>
        <w:pStyle w:val="a3"/>
        <w:rPr>
          <w:rFonts w:ascii="Times New Roman" w:hAnsi="Times New Roman"/>
          <w:sz w:val="22"/>
          <w:szCs w:val="22"/>
          <w:lang w:val="el-GR"/>
        </w:rPr>
      </w:pPr>
    </w:p>
    <w:p w:rsidR="00125884" w:rsidRPr="003423AC" w:rsidRDefault="0017366E" w:rsidP="0047534E">
      <w:pPr>
        <w:pStyle w:val="a3"/>
        <w:rPr>
          <w:rFonts w:ascii="Times New Roman" w:hAnsi="Times New Roman"/>
          <w:b/>
          <w:sz w:val="22"/>
          <w:szCs w:val="22"/>
          <w:lang w:val="el-GR"/>
        </w:rPr>
      </w:pPr>
      <w:r w:rsidRPr="003423AC">
        <w:rPr>
          <w:rFonts w:ascii="Times New Roman" w:hAnsi="Times New Roman"/>
          <w:b/>
          <w:sz w:val="22"/>
          <w:szCs w:val="22"/>
          <w:lang w:val="el-GR"/>
        </w:rPr>
        <w:t>Εισαγωγή με μάσκα</w:t>
      </w:r>
    </w:p>
    <w:p w:rsidR="0017366E" w:rsidRPr="003423AC" w:rsidRDefault="0017366E" w:rsidP="0047534E">
      <w:pPr>
        <w:pStyle w:val="a3"/>
        <w:rPr>
          <w:rFonts w:ascii="Times New Roman" w:hAnsi="Times New Roman"/>
          <w:sz w:val="22"/>
          <w:szCs w:val="22"/>
          <w:lang w:val="el-GR"/>
        </w:rPr>
      </w:pPr>
    </w:p>
    <w:p w:rsidR="0017366E" w:rsidRPr="003423AC" w:rsidRDefault="0017366E" w:rsidP="0017366E">
      <w:pPr>
        <w:pStyle w:val="a3"/>
        <w:rPr>
          <w:rFonts w:ascii="Times New Roman" w:hAnsi="Times New Roman"/>
          <w:sz w:val="22"/>
          <w:szCs w:val="22"/>
          <w:lang w:val="el-GR"/>
        </w:rPr>
      </w:pPr>
      <w:r w:rsidRPr="003423AC">
        <w:rPr>
          <w:rFonts w:ascii="Times New Roman" w:hAnsi="Times New Roman"/>
          <w:sz w:val="22"/>
          <w:szCs w:val="22"/>
          <w:lang w:val="el-GR"/>
        </w:rPr>
        <w:t>Σε μελέτες με παιδιατρικούς ασθενείς στις οποίες έγινε εισαγωγή με μάσκα, ο χρόνος εισαγωγής ήταν στατιστικώς σημαντικά μικρότερος καθώς και η συχνότητα εμφάνισης βήχα ήταν στατιστικώς σημαντικά χαμηλότερη με το σεβοφλουράνιο συγκριτικά με το αλοθάνιο.</w:t>
      </w:r>
    </w:p>
    <w:p w:rsidR="005A531F" w:rsidRPr="003423AC" w:rsidRDefault="005A531F" w:rsidP="005079FF">
      <w:pPr>
        <w:pStyle w:val="a3"/>
        <w:rPr>
          <w:rFonts w:ascii="Times New Roman" w:hAnsi="Times New Roman"/>
          <w:sz w:val="22"/>
          <w:szCs w:val="22"/>
          <w:lang w:val="el-GR"/>
        </w:rPr>
      </w:pPr>
    </w:p>
    <w:p w:rsidR="00224ABC" w:rsidRPr="003423AC" w:rsidRDefault="00224ABC" w:rsidP="005079FF">
      <w:pPr>
        <w:pStyle w:val="a3"/>
        <w:rPr>
          <w:rFonts w:ascii="Times New Roman" w:hAnsi="Times New Roman"/>
          <w:b/>
          <w:sz w:val="22"/>
          <w:szCs w:val="22"/>
          <w:lang w:val="el-GR"/>
        </w:rPr>
      </w:pPr>
      <w:r w:rsidRPr="003423AC">
        <w:rPr>
          <w:rFonts w:ascii="Times New Roman" w:hAnsi="Times New Roman"/>
          <w:b/>
          <w:sz w:val="22"/>
          <w:szCs w:val="22"/>
          <w:lang w:val="el-GR"/>
        </w:rPr>
        <w:t>Ασφάλεια</w:t>
      </w:r>
    </w:p>
    <w:p w:rsidR="00224ABC" w:rsidRPr="003423AC" w:rsidRDefault="00224ABC" w:rsidP="005079FF">
      <w:pPr>
        <w:pStyle w:val="a3"/>
        <w:rPr>
          <w:rFonts w:ascii="Times New Roman" w:hAnsi="Times New Roman"/>
          <w:sz w:val="22"/>
          <w:szCs w:val="22"/>
          <w:lang w:val="el-GR"/>
        </w:rPr>
      </w:pPr>
    </w:p>
    <w:p w:rsidR="00224ABC" w:rsidRPr="003423AC" w:rsidRDefault="00BD1AAD" w:rsidP="00224ABC">
      <w:pPr>
        <w:pStyle w:val="a3"/>
        <w:rPr>
          <w:rFonts w:ascii="Times New Roman" w:hAnsi="Times New Roman"/>
          <w:sz w:val="22"/>
          <w:szCs w:val="22"/>
          <w:lang w:val="el-GR"/>
        </w:rPr>
      </w:pPr>
      <w:r w:rsidRPr="003423AC">
        <w:rPr>
          <w:rFonts w:ascii="Times New Roman" w:hAnsi="Times New Roman"/>
          <w:sz w:val="22"/>
          <w:szCs w:val="22"/>
          <w:lang w:val="el-GR"/>
        </w:rPr>
        <w:t>Σε κ</w:t>
      </w:r>
      <w:r w:rsidR="00224ABC" w:rsidRPr="003423AC">
        <w:rPr>
          <w:rFonts w:ascii="Times New Roman" w:hAnsi="Times New Roman"/>
          <w:sz w:val="22"/>
          <w:szCs w:val="22"/>
          <w:lang w:val="el-GR"/>
        </w:rPr>
        <w:t>λινικές μελέτες που διεξήχθησαν σε ένα πληθυσμιακό εύρος ασθενών (παιδιά, ενήλικες, ηλικιωμένοι, με νεφρική ανεπάρκεια, με ηπατική ανεπάρκεια, παχύσαρκο</w:t>
      </w:r>
      <w:r w:rsidRPr="003423AC">
        <w:rPr>
          <w:rFonts w:ascii="Times New Roman" w:hAnsi="Times New Roman"/>
          <w:sz w:val="22"/>
          <w:szCs w:val="22"/>
          <w:lang w:val="el-GR"/>
        </w:rPr>
        <w:t>ι</w:t>
      </w:r>
      <w:r w:rsidR="00224ABC" w:rsidRPr="003423AC">
        <w:rPr>
          <w:rFonts w:ascii="Times New Roman" w:hAnsi="Times New Roman"/>
          <w:sz w:val="22"/>
          <w:szCs w:val="22"/>
          <w:lang w:val="el-GR"/>
        </w:rPr>
        <w:t>, ασθενείς που υποβάλλονται σε χειρουργική επέμβαση</w:t>
      </w:r>
      <w:r w:rsidRPr="003423AC">
        <w:rPr>
          <w:rFonts w:ascii="Times New Roman" w:hAnsi="Times New Roman"/>
          <w:sz w:val="22"/>
          <w:szCs w:val="22"/>
          <w:lang w:val="el-GR"/>
        </w:rPr>
        <w:t xml:space="preserve"> καρδιακού by-pass, </w:t>
      </w:r>
      <w:r w:rsidR="00224ABC" w:rsidRPr="003423AC">
        <w:rPr>
          <w:rFonts w:ascii="Times New Roman" w:hAnsi="Times New Roman"/>
          <w:sz w:val="22"/>
          <w:szCs w:val="22"/>
          <w:lang w:val="el-GR"/>
        </w:rPr>
        <w:t xml:space="preserve">ασθενείς που </w:t>
      </w:r>
      <w:r w:rsidR="00031550" w:rsidRPr="003423AC">
        <w:rPr>
          <w:rFonts w:ascii="Times New Roman" w:hAnsi="Times New Roman"/>
          <w:sz w:val="22"/>
          <w:szCs w:val="22"/>
          <w:lang w:val="el-GR"/>
        </w:rPr>
        <w:t>ε</w:t>
      </w:r>
      <w:r w:rsidR="00224ABC" w:rsidRPr="003423AC">
        <w:rPr>
          <w:rFonts w:ascii="Times New Roman" w:hAnsi="Times New Roman"/>
          <w:sz w:val="22"/>
          <w:szCs w:val="22"/>
          <w:lang w:val="el-GR"/>
        </w:rPr>
        <w:t>λ</w:t>
      </w:r>
      <w:r w:rsidR="00031550" w:rsidRPr="003423AC">
        <w:rPr>
          <w:rFonts w:ascii="Times New Roman" w:hAnsi="Times New Roman"/>
          <w:sz w:val="22"/>
          <w:szCs w:val="22"/>
          <w:lang w:val="el-GR"/>
        </w:rPr>
        <w:t>άμ</w:t>
      </w:r>
      <w:r w:rsidR="00224ABC" w:rsidRPr="003423AC">
        <w:rPr>
          <w:rFonts w:ascii="Times New Roman" w:hAnsi="Times New Roman"/>
          <w:sz w:val="22"/>
          <w:szCs w:val="22"/>
          <w:lang w:val="el-GR"/>
        </w:rPr>
        <w:t>βαν</w:t>
      </w:r>
      <w:r w:rsidR="00031550" w:rsidRPr="003423AC">
        <w:rPr>
          <w:rFonts w:ascii="Times New Roman" w:hAnsi="Times New Roman"/>
          <w:sz w:val="22"/>
          <w:szCs w:val="22"/>
          <w:lang w:val="el-GR"/>
        </w:rPr>
        <w:t>αν</w:t>
      </w:r>
      <w:r w:rsidR="00224ABC" w:rsidRPr="003423AC">
        <w:rPr>
          <w:rFonts w:ascii="Times New Roman" w:hAnsi="Times New Roman"/>
          <w:sz w:val="22"/>
          <w:szCs w:val="22"/>
          <w:lang w:val="el-GR"/>
        </w:rPr>
        <w:t xml:space="preserve"> θεραπεία με αμινογλυκοσίδες ή επαγωγείς</w:t>
      </w:r>
      <w:r w:rsidRPr="003423AC">
        <w:rPr>
          <w:rFonts w:ascii="Times New Roman" w:hAnsi="Times New Roman"/>
          <w:sz w:val="22"/>
          <w:szCs w:val="22"/>
          <w:lang w:val="el-GR"/>
        </w:rPr>
        <w:t xml:space="preserve"> </w:t>
      </w:r>
      <w:r w:rsidR="00224ABC" w:rsidRPr="003423AC">
        <w:rPr>
          <w:rFonts w:ascii="Times New Roman" w:hAnsi="Times New Roman"/>
          <w:sz w:val="22"/>
          <w:szCs w:val="22"/>
          <w:lang w:val="el-GR"/>
        </w:rPr>
        <w:t>μεταβολι</w:t>
      </w:r>
      <w:r w:rsidR="00031550" w:rsidRPr="003423AC">
        <w:rPr>
          <w:rFonts w:ascii="Times New Roman" w:hAnsi="Times New Roman"/>
          <w:sz w:val="22"/>
          <w:szCs w:val="22"/>
          <w:lang w:val="el-GR"/>
        </w:rPr>
        <w:t>κών ενζύμων</w:t>
      </w:r>
      <w:r w:rsidR="00224ABC" w:rsidRPr="003423AC">
        <w:rPr>
          <w:rFonts w:ascii="Times New Roman" w:hAnsi="Times New Roman"/>
          <w:sz w:val="22"/>
          <w:szCs w:val="22"/>
          <w:lang w:val="el-GR"/>
        </w:rPr>
        <w:t xml:space="preserve">, ασθενείς που </w:t>
      </w:r>
      <w:r w:rsidRPr="003423AC">
        <w:rPr>
          <w:rFonts w:ascii="Times New Roman" w:hAnsi="Times New Roman"/>
          <w:sz w:val="22"/>
          <w:szCs w:val="22"/>
          <w:lang w:val="el-GR"/>
        </w:rPr>
        <w:t xml:space="preserve">υποβάλλονται σε επαναληπτικές </w:t>
      </w:r>
      <w:r w:rsidR="00224ABC" w:rsidRPr="003423AC">
        <w:rPr>
          <w:rFonts w:ascii="Times New Roman" w:hAnsi="Times New Roman"/>
          <w:sz w:val="22"/>
          <w:szCs w:val="22"/>
          <w:lang w:val="el-GR"/>
        </w:rPr>
        <w:t>χειρουργικέ</w:t>
      </w:r>
      <w:r w:rsidRPr="003423AC">
        <w:rPr>
          <w:rFonts w:ascii="Times New Roman" w:hAnsi="Times New Roman"/>
          <w:sz w:val="22"/>
          <w:szCs w:val="22"/>
          <w:lang w:val="el-GR"/>
        </w:rPr>
        <w:t xml:space="preserve">ς επεμβάσεις, </w:t>
      </w:r>
      <w:r w:rsidR="00224ABC" w:rsidRPr="003423AC">
        <w:rPr>
          <w:rFonts w:ascii="Times New Roman" w:hAnsi="Times New Roman"/>
          <w:sz w:val="22"/>
          <w:szCs w:val="22"/>
          <w:lang w:val="el-GR"/>
        </w:rPr>
        <w:t xml:space="preserve">ασθενείς που υποβάλλονται σε χειρουργικές επεμβάσεις </w:t>
      </w:r>
      <w:r w:rsidRPr="003423AC">
        <w:rPr>
          <w:rFonts w:ascii="Times New Roman" w:hAnsi="Times New Roman"/>
          <w:sz w:val="22"/>
          <w:szCs w:val="22"/>
          <w:lang w:val="el-GR"/>
        </w:rPr>
        <w:t>διάρκειας ≥ 6 ω</w:t>
      </w:r>
      <w:r w:rsidR="00224ABC" w:rsidRPr="003423AC">
        <w:rPr>
          <w:rFonts w:ascii="Times New Roman" w:hAnsi="Times New Roman"/>
          <w:sz w:val="22"/>
          <w:szCs w:val="22"/>
          <w:lang w:val="el-GR"/>
        </w:rPr>
        <w:t>ρ</w:t>
      </w:r>
      <w:r w:rsidRPr="003423AC">
        <w:rPr>
          <w:rFonts w:ascii="Times New Roman" w:hAnsi="Times New Roman"/>
          <w:sz w:val="22"/>
          <w:szCs w:val="22"/>
          <w:lang w:val="el-GR"/>
        </w:rPr>
        <w:t>ών</w:t>
      </w:r>
      <w:r w:rsidR="00224ABC" w:rsidRPr="003423AC">
        <w:rPr>
          <w:rFonts w:ascii="Times New Roman" w:hAnsi="Times New Roman"/>
          <w:sz w:val="22"/>
          <w:szCs w:val="22"/>
          <w:lang w:val="el-GR"/>
        </w:rPr>
        <w:t xml:space="preserve">), </w:t>
      </w:r>
      <w:r w:rsidRPr="003423AC">
        <w:rPr>
          <w:rFonts w:ascii="Times New Roman" w:hAnsi="Times New Roman"/>
          <w:sz w:val="22"/>
          <w:szCs w:val="22"/>
          <w:lang w:val="el-GR"/>
        </w:rPr>
        <w:t>τα αποτελέσματα αξιολόγησης</w:t>
      </w:r>
      <w:r w:rsidR="00224ABC" w:rsidRPr="003423AC">
        <w:rPr>
          <w:rFonts w:ascii="Times New Roman" w:hAnsi="Times New Roman"/>
          <w:sz w:val="22"/>
          <w:szCs w:val="22"/>
          <w:lang w:val="el-GR"/>
        </w:rPr>
        <w:t xml:space="preserve"> των</w:t>
      </w:r>
      <w:r w:rsidRPr="003423AC">
        <w:rPr>
          <w:rFonts w:ascii="Times New Roman" w:hAnsi="Times New Roman"/>
          <w:sz w:val="22"/>
          <w:szCs w:val="22"/>
          <w:lang w:val="el-GR"/>
        </w:rPr>
        <w:t xml:space="preserve"> εργαστηριακών παραμέτρων (π.χ.</w:t>
      </w:r>
      <w:r w:rsidR="00224ABC" w:rsidRPr="003423AC">
        <w:rPr>
          <w:rFonts w:ascii="Times New Roman" w:hAnsi="Times New Roman"/>
          <w:sz w:val="22"/>
          <w:szCs w:val="22"/>
          <w:lang w:val="el-GR"/>
        </w:rPr>
        <w:t xml:space="preserve"> SGPT, SGOT,</w:t>
      </w:r>
      <w:r w:rsidRPr="003423AC">
        <w:rPr>
          <w:rFonts w:ascii="Times New Roman" w:hAnsi="Times New Roman"/>
          <w:sz w:val="22"/>
          <w:szCs w:val="22"/>
          <w:lang w:val="el-GR"/>
        </w:rPr>
        <w:t xml:space="preserve"> </w:t>
      </w:r>
      <w:r w:rsidR="00224ABC" w:rsidRPr="003423AC">
        <w:rPr>
          <w:rFonts w:ascii="Times New Roman" w:hAnsi="Times New Roman"/>
          <w:sz w:val="22"/>
          <w:szCs w:val="22"/>
          <w:lang w:val="el-GR"/>
        </w:rPr>
        <w:t xml:space="preserve">αλκαλική φωσφατάση, ολική χολερυθρίνη, κρεατινίνη ορού, BUN), καθώς και </w:t>
      </w:r>
      <w:r w:rsidR="000818A4" w:rsidRPr="003423AC">
        <w:rPr>
          <w:rFonts w:ascii="Times New Roman" w:hAnsi="Times New Roman"/>
          <w:sz w:val="22"/>
          <w:szCs w:val="22"/>
          <w:lang w:val="el-GR"/>
        </w:rPr>
        <w:t xml:space="preserve">η </w:t>
      </w:r>
      <w:r w:rsidR="00224ABC" w:rsidRPr="003423AC">
        <w:rPr>
          <w:rFonts w:ascii="Times New Roman" w:hAnsi="Times New Roman"/>
          <w:sz w:val="22"/>
          <w:szCs w:val="22"/>
          <w:lang w:val="el-GR"/>
        </w:rPr>
        <w:t>συχνότητα</w:t>
      </w:r>
      <w:r w:rsidR="00957993" w:rsidRPr="003423AC">
        <w:rPr>
          <w:rFonts w:ascii="Times New Roman" w:hAnsi="Times New Roman"/>
          <w:sz w:val="22"/>
          <w:szCs w:val="22"/>
          <w:lang w:val="el-GR"/>
        </w:rPr>
        <w:t xml:space="preserve"> των ανεπιθύμητων ενεργειών που αναφέρθηκαν</w:t>
      </w:r>
      <w:r w:rsidR="000818A4" w:rsidRPr="003423AC">
        <w:rPr>
          <w:rFonts w:ascii="Times New Roman" w:hAnsi="Times New Roman"/>
          <w:sz w:val="22"/>
          <w:szCs w:val="22"/>
          <w:lang w:val="el-GR"/>
        </w:rPr>
        <w:t xml:space="preserve"> από τους ερευνητές και </w:t>
      </w:r>
      <w:r w:rsidR="00957993" w:rsidRPr="003423AC">
        <w:rPr>
          <w:rFonts w:ascii="Times New Roman" w:hAnsi="Times New Roman"/>
          <w:sz w:val="22"/>
          <w:szCs w:val="22"/>
          <w:lang w:val="el-GR"/>
        </w:rPr>
        <w:t>σχετίζονταν</w:t>
      </w:r>
      <w:r w:rsidR="00224ABC" w:rsidRPr="003423AC">
        <w:rPr>
          <w:rFonts w:ascii="Times New Roman" w:hAnsi="Times New Roman"/>
          <w:sz w:val="22"/>
          <w:szCs w:val="22"/>
          <w:lang w:val="el-GR"/>
        </w:rPr>
        <w:t xml:space="preserve"> με </w:t>
      </w:r>
      <w:r w:rsidR="000818A4" w:rsidRPr="003423AC">
        <w:rPr>
          <w:rFonts w:ascii="Times New Roman" w:hAnsi="Times New Roman"/>
          <w:sz w:val="22"/>
          <w:szCs w:val="22"/>
          <w:lang w:val="el-GR"/>
        </w:rPr>
        <w:t xml:space="preserve">την </w:t>
      </w:r>
      <w:r w:rsidR="00224ABC" w:rsidRPr="003423AC">
        <w:rPr>
          <w:rFonts w:ascii="Times New Roman" w:hAnsi="Times New Roman"/>
          <w:sz w:val="22"/>
          <w:szCs w:val="22"/>
          <w:lang w:val="el-GR"/>
        </w:rPr>
        <w:t>ηπατική και νεφρική λειτουργία,</w:t>
      </w:r>
      <w:r w:rsidR="000818A4" w:rsidRPr="003423AC">
        <w:rPr>
          <w:rFonts w:ascii="Times New Roman" w:hAnsi="Times New Roman"/>
          <w:sz w:val="22"/>
          <w:szCs w:val="22"/>
          <w:lang w:val="el-GR"/>
        </w:rPr>
        <w:t xml:space="preserve"> απέ</w:t>
      </w:r>
      <w:r w:rsidR="00224ABC" w:rsidRPr="003423AC">
        <w:rPr>
          <w:rFonts w:ascii="Times New Roman" w:hAnsi="Times New Roman"/>
          <w:sz w:val="22"/>
          <w:szCs w:val="22"/>
          <w:lang w:val="el-GR"/>
        </w:rPr>
        <w:t>δει</w:t>
      </w:r>
      <w:r w:rsidR="000818A4" w:rsidRPr="003423AC">
        <w:rPr>
          <w:rFonts w:ascii="Times New Roman" w:hAnsi="Times New Roman"/>
          <w:sz w:val="22"/>
          <w:szCs w:val="22"/>
          <w:lang w:val="el-GR"/>
        </w:rPr>
        <w:t>ξαν ότι το</w:t>
      </w:r>
      <w:r w:rsidR="00224ABC" w:rsidRPr="003423AC">
        <w:rPr>
          <w:rFonts w:ascii="Times New Roman" w:hAnsi="Times New Roman"/>
          <w:sz w:val="22"/>
          <w:szCs w:val="22"/>
          <w:lang w:val="el-GR"/>
        </w:rPr>
        <w:t xml:space="preserve"> σεβοφλουράνιο δεν είχε κλινικά σημαντική επίδραση στην ηπατική ή</w:t>
      </w:r>
      <w:r w:rsidR="000818A4" w:rsidRPr="003423AC">
        <w:rPr>
          <w:rFonts w:ascii="Times New Roman" w:hAnsi="Times New Roman"/>
          <w:sz w:val="22"/>
          <w:szCs w:val="22"/>
          <w:lang w:val="el-GR"/>
        </w:rPr>
        <w:t xml:space="preserve"> </w:t>
      </w:r>
      <w:r w:rsidR="00224ABC" w:rsidRPr="003423AC">
        <w:rPr>
          <w:rFonts w:ascii="Times New Roman" w:hAnsi="Times New Roman"/>
          <w:sz w:val="22"/>
          <w:szCs w:val="22"/>
          <w:lang w:val="el-GR"/>
        </w:rPr>
        <w:t xml:space="preserve">νεφρική λειτουργία, ούτε </w:t>
      </w:r>
      <w:r w:rsidR="000818A4" w:rsidRPr="003423AC">
        <w:rPr>
          <w:rFonts w:ascii="Times New Roman" w:hAnsi="Times New Roman"/>
          <w:sz w:val="22"/>
          <w:szCs w:val="22"/>
          <w:lang w:val="el-GR"/>
        </w:rPr>
        <w:t>επιδείνωσε</w:t>
      </w:r>
      <w:r w:rsidR="00224ABC" w:rsidRPr="003423AC">
        <w:rPr>
          <w:rFonts w:ascii="Times New Roman" w:hAnsi="Times New Roman"/>
          <w:sz w:val="22"/>
          <w:szCs w:val="22"/>
          <w:lang w:val="el-GR"/>
        </w:rPr>
        <w:t xml:space="preserve"> προϋπάρχουσα νεφρική ή ηπατική δυσλειτουργία</w:t>
      </w:r>
      <w:r w:rsidR="000818A4" w:rsidRPr="003423AC">
        <w:rPr>
          <w:rFonts w:ascii="Times New Roman" w:hAnsi="Times New Roman"/>
          <w:sz w:val="22"/>
          <w:szCs w:val="22"/>
          <w:lang w:val="el-GR"/>
        </w:rPr>
        <w:t xml:space="preserve"> </w:t>
      </w:r>
      <w:r w:rsidR="00224ABC" w:rsidRPr="003423AC">
        <w:rPr>
          <w:rFonts w:ascii="Times New Roman" w:hAnsi="Times New Roman"/>
          <w:sz w:val="22"/>
          <w:szCs w:val="22"/>
          <w:lang w:val="el-GR"/>
        </w:rPr>
        <w:t xml:space="preserve">(βλ. </w:t>
      </w:r>
      <w:r w:rsidR="000818A4" w:rsidRPr="003423AC">
        <w:rPr>
          <w:rFonts w:ascii="Times New Roman" w:hAnsi="Times New Roman"/>
          <w:sz w:val="22"/>
          <w:szCs w:val="22"/>
          <w:lang w:val="el-GR"/>
        </w:rPr>
        <w:t>παράγραφο 4.4</w:t>
      </w:r>
      <w:r w:rsidR="00D52522" w:rsidRPr="003423AC">
        <w:rPr>
          <w:rFonts w:ascii="Times New Roman" w:hAnsi="Times New Roman"/>
          <w:sz w:val="22"/>
          <w:szCs w:val="22"/>
          <w:lang w:val="el-GR"/>
        </w:rPr>
        <w:t xml:space="preserve"> και 4.8</w:t>
      </w:r>
      <w:r w:rsidR="00224ABC" w:rsidRPr="003423AC">
        <w:rPr>
          <w:rFonts w:ascii="Times New Roman" w:hAnsi="Times New Roman"/>
          <w:sz w:val="22"/>
          <w:szCs w:val="22"/>
          <w:lang w:val="el-GR"/>
        </w:rPr>
        <w:t xml:space="preserve">). Οι μελέτες αυτές έδειξαν επίσης </w:t>
      </w:r>
      <w:r w:rsidR="00957993" w:rsidRPr="003423AC">
        <w:rPr>
          <w:rFonts w:ascii="Times New Roman" w:hAnsi="Times New Roman"/>
          <w:sz w:val="22"/>
          <w:szCs w:val="22"/>
          <w:lang w:val="el-GR"/>
        </w:rPr>
        <w:t xml:space="preserve">ότι </w:t>
      </w:r>
      <w:r w:rsidR="00224ABC" w:rsidRPr="003423AC">
        <w:rPr>
          <w:rFonts w:ascii="Times New Roman" w:hAnsi="Times New Roman"/>
          <w:sz w:val="22"/>
          <w:szCs w:val="22"/>
          <w:lang w:val="el-GR"/>
        </w:rPr>
        <w:t xml:space="preserve">δεν υπήρχαν στατιστικά σημαντικές διαφορές μεταξύ του σεβοφλουρανίου και </w:t>
      </w:r>
      <w:r w:rsidR="00957993" w:rsidRPr="003423AC">
        <w:rPr>
          <w:rFonts w:ascii="Times New Roman" w:hAnsi="Times New Roman"/>
          <w:sz w:val="22"/>
          <w:szCs w:val="22"/>
          <w:lang w:val="el-GR"/>
        </w:rPr>
        <w:t xml:space="preserve">των αναισθητικών παραγόντων </w:t>
      </w:r>
      <w:r w:rsidR="00224ABC" w:rsidRPr="003423AC">
        <w:rPr>
          <w:rFonts w:ascii="Times New Roman" w:hAnsi="Times New Roman"/>
          <w:sz w:val="22"/>
          <w:szCs w:val="22"/>
          <w:lang w:val="el-GR"/>
        </w:rPr>
        <w:t>αναφορά</w:t>
      </w:r>
      <w:r w:rsidR="00957993" w:rsidRPr="003423AC">
        <w:rPr>
          <w:rFonts w:ascii="Times New Roman" w:hAnsi="Times New Roman"/>
          <w:sz w:val="22"/>
          <w:szCs w:val="22"/>
          <w:lang w:val="el-GR"/>
        </w:rPr>
        <w:t>ς</w:t>
      </w:r>
      <w:r w:rsidR="00224ABC" w:rsidRPr="003423AC">
        <w:rPr>
          <w:rFonts w:ascii="Times New Roman" w:hAnsi="Times New Roman"/>
          <w:sz w:val="22"/>
          <w:szCs w:val="22"/>
          <w:lang w:val="el-GR"/>
        </w:rPr>
        <w:t xml:space="preserve"> </w:t>
      </w:r>
      <w:r w:rsidR="00957993" w:rsidRPr="003423AC">
        <w:rPr>
          <w:rFonts w:ascii="Times New Roman" w:hAnsi="Times New Roman"/>
          <w:sz w:val="22"/>
          <w:szCs w:val="22"/>
          <w:lang w:val="el-GR"/>
        </w:rPr>
        <w:t>σε ασθενείς</w:t>
      </w:r>
      <w:r w:rsidR="00224ABC" w:rsidRPr="003423AC">
        <w:rPr>
          <w:rFonts w:ascii="Times New Roman" w:hAnsi="Times New Roman"/>
          <w:sz w:val="22"/>
          <w:szCs w:val="22"/>
          <w:lang w:val="el-GR"/>
        </w:rPr>
        <w:t xml:space="preserve"> που </w:t>
      </w:r>
      <w:r w:rsidR="00CA0A3F" w:rsidRPr="003423AC">
        <w:rPr>
          <w:rFonts w:ascii="Times New Roman" w:hAnsi="Times New Roman"/>
          <w:sz w:val="22"/>
          <w:szCs w:val="22"/>
          <w:lang w:val="el-GR"/>
        </w:rPr>
        <w:t>εμφανίζουν</w:t>
      </w:r>
      <w:r w:rsidR="00224ABC" w:rsidRPr="003423AC">
        <w:rPr>
          <w:rFonts w:ascii="Times New Roman" w:hAnsi="Times New Roman"/>
          <w:sz w:val="22"/>
          <w:szCs w:val="22"/>
          <w:lang w:val="el-GR"/>
        </w:rPr>
        <w:t xml:space="preserve"> μεταβολές σε κάθε κλινική </w:t>
      </w:r>
      <w:r w:rsidR="00CA0A3F" w:rsidRPr="003423AC">
        <w:rPr>
          <w:rFonts w:ascii="Times New Roman" w:hAnsi="Times New Roman"/>
          <w:sz w:val="22"/>
          <w:szCs w:val="22"/>
          <w:lang w:val="el-GR"/>
        </w:rPr>
        <w:t xml:space="preserve">χημική </w:t>
      </w:r>
      <w:r w:rsidR="00224ABC" w:rsidRPr="003423AC">
        <w:rPr>
          <w:rFonts w:ascii="Times New Roman" w:hAnsi="Times New Roman"/>
          <w:sz w:val="22"/>
          <w:szCs w:val="22"/>
          <w:lang w:val="el-GR"/>
        </w:rPr>
        <w:t>παράμετρο.</w:t>
      </w:r>
    </w:p>
    <w:p w:rsidR="008242D8" w:rsidRPr="003423AC" w:rsidRDefault="008242D8" w:rsidP="00224ABC">
      <w:pPr>
        <w:pStyle w:val="a3"/>
        <w:rPr>
          <w:rFonts w:ascii="Times New Roman" w:hAnsi="Times New Roman"/>
          <w:sz w:val="22"/>
          <w:szCs w:val="22"/>
          <w:lang w:val="el-GR"/>
        </w:rPr>
      </w:pPr>
    </w:p>
    <w:p w:rsidR="008242D8" w:rsidRPr="003423AC" w:rsidRDefault="008242D8" w:rsidP="008242D8">
      <w:pPr>
        <w:pStyle w:val="a3"/>
        <w:rPr>
          <w:rFonts w:ascii="Times New Roman" w:hAnsi="Times New Roman"/>
          <w:sz w:val="22"/>
          <w:szCs w:val="22"/>
          <w:lang w:val="el-GR"/>
        </w:rPr>
      </w:pPr>
      <w:r w:rsidRPr="003423AC">
        <w:rPr>
          <w:rFonts w:ascii="Times New Roman" w:hAnsi="Times New Roman"/>
          <w:sz w:val="22"/>
          <w:szCs w:val="22"/>
          <w:lang w:val="el-GR"/>
        </w:rPr>
        <w:t xml:space="preserve">Η επίδραση στη νεφρική λειτουργία ήταν συγκρίσιμη μεταξύ του σεβοφλουρανίου και των </w:t>
      </w:r>
      <w:r w:rsidRPr="003423AC">
        <w:rPr>
          <w:rFonts w:ascii="Times New Roman" w:hAnsi="Times New Roman"/>
          <w:sz w:val="22"/>
          <w:szCs w:val="22"/>
          <w:lang w:val="el-GR"/>
        </w:rPr>
        <w:lastRenderedPageBreak/>
        <w:t>αναισθητικών αναφοράς</w:t>
      </w:r>
      <w:r w:rsidR="00B25939" w:rsidRPr="003423AC">
        <w:rPr>
          <w:rFonts w:ascii="Times New Roman" w:hAnsi="Times New Roman"/>
          <w:sz w:val="22"/>
          <w:szCs w:val="22"/>
          <w:lang w:val="el-GR"/>
        </w:rPr>
        <w:t>,</w:t>
      </w:r>
      <w:r w:rsidRPr="003423AC">
        <w:rPr>
          <w:rFonts w:ascii="Times New Roman" w:hAnsi="Times New Roman"/>
          <w:sz w:val="22"/>
          <w:szCs w:val="22"/>
          <w:lang w:val="el-GR"/>
        </w:rPr>
        <w:t xml:space="preserve"> μεταξύ των τύπων των κυκλωμάτων αναισθησίας, </w:t>
      </w:r>
      <w:r w:rsidR="00B25939" w:rsidRPr="003423AC">
        <w:rPr>
          <w:rFonts w:ascii="Times New Roman" w:hAnsi="Times New Roman"/>
          <w:sz w:val="22"/>
          <w:szCs w:val="22"/>
          <w:lang w:val="el-GR"/>
        </w:rPr>
        <w:t>των ποσοστών ροής</w:t>
      </w:r>
      <w:r w:rsidRPr="003423AC">
        <w:rPr>
          <w:rFonts w:ascii="Times New Roman" w:hAnsi="Times New Roman"/>
          <w:sz w:val="22"/>
          <w:szCs w:val="22"/>
          <w:lang w:val="el-GR"/>
        </w:rPr>
        <w:t xml:space="preserve"> και μεταξύ των ασθενών</w:t>
      </w:r>
      <w:r w:rsidR="00B25939" w:rsidRPr="003423AC">
        <w:rPr>
          <w:rFonts w:ascii="Times New Roman" w:hAnsi="Times New Roman"/>
          <w:sz w:val="22"/>
          <w:szCs w:val="22"/>
          <w:lang w:val="el-GR"/>
        </w:rPr>
        <w:t xml:space="preserve"> με ή χωρίς </w:t>
      </w:r>
      <w:r w:rsidRPr="003423AC">
        <w:rPr>
          <w:rFonts w:ascii="Times New Roman" w:hAnsi="Times New Roman"/>
          <w:sz w:val="22"/>
          <w:szCs w:val="22"/>
          <w:lang w:val="el-GR"/>
        </w:rPr>
        <w:t xml:space="preserve">συγκεντρώσεις </w:t>
      </w:r>
      <w:r w:rsidR="00031550" w:rsidRPr="003423AC">
        <w:rPr>
          <w:rFonts w:ascii="Times New Roman" w:hAnsi="Times New Roman"/>
          <w:sz w:val="22"/>
          <w:szCs w:val="22"/>
          <w:lang w:val="el-GR"/>
        </w:rPr>
        <w:t xml:space="preserve">ανόργανου </w:t>
      </w:r>
      <w:r w:rsidRPr="003423AC">
        <w:rPr>
          <w:rFonts w:ascii="Times New Roman" w:hAnsi="Times New Roman"/>
          <w:sz w:val="22"/>
          <w:szCs w:val="22"/>
          <w:lang w:val="el-GR"/>
        </w:rPr>
        <w:t>φθορίου ≥ 50 μm.</w:t>
      </w:r>
    </w:p>
    <w:p w:rsidR="00B25939" w:rsidRPr="003423AC" w:rsidRDefault="00B25939" w:rsidP="008242D8">
      <w:pPr>
        <w:pStyle w:val="a3"/>
        <w:rPr>
          <w:rFonts w:ascii="Times New Roman" w:hAnsi="Times New Roman"/>
          <w:sz w:val="22"/>
          <w:szCs w:val="22"/>
          <w:lang w:val="el-GR"/>
        </w:rPr>
      </w:pPr>
    </w:p>
    <w:p w:rsidR="008242D8" w:rsidRPr="003423AC" w:rsidRDefault="000717D6" w:rsidP="008242D8">
      <w:pPr>
        <w:pStyle w:val="a3"/>
        <w:rPr>
          <w:rFonts w:ascii="Times New Roman" w:hAnsi="Times New Roman"/>
          <w:sz w:val="22"/>
          <w:szCs w:val="22"/>
          <w:lang w:val="el-GR"/>
        </w:rPr>
      </w:pPr>
      <w:r w:rsidRPr="003423AC">
        <w:rPr>
          <w:rFonts w:ascii="Times New Roman" w:hAnsi="Times New Roman"/>
          <w:sz w:val="22"/>
          <w:szCs w:val="22"/>
          <w:lang w:val="el-GR"/>
        </w:rPr>
        <w:t xml:space="preserve">Σε συγκριτικές μελέτες η </w:t>
      </w:r>
      <w:r w:rsidR="008242D8" w:rsidRPr="003423AC">
        <w:rPr>
          <w:rFonts w:ascii="Times New Roman" w:hAnsi="Times New Roman"/>
          <w:sz w:val="22"/>
          <w:szCs w:val="22"/>
          <w:lang w:val="el-GR"/>
        </w:rPr>
        <w:t>επίπτωση της νεφρικής δυσλειτουργίας ήταν &lt;1%</w:t>
      </w:r>
      <w:r w:rsidRPr="003423AC">
        <w:rPr>
          <w:rFonts w:ascii="Times New Roman" w:hAnsi="Times New Roman"/>
          <w:sz w:val="22"/>
          <w:szCs w:val="22"/>
          <w:lang w:val="el-GR"/>
        </w:rPr>
        <w:t>,</w:t>
      </w:r>
      <w:r w:rsidR="008242D8" w:rsidRPr="003423AC">
        <w:rPr>
          <w:rFonts w:ascii="Times New Roman" w:hAnsi="Times New Roman"/>
          <w:sz w:val="22"/>
          <w:szCs w:val="22"/>
          <w:lang w:val="el-GR"/>
        </w:rPr>
        <w:t xml:space="preserve"> </w:t>
      </w:r>
      <w:r w:rsidR="00B25939" w:rsidRPr="003423AC">
        <w:rPr>
          <w:rFonts w:ascii="Times New Roman" w:hAnsi="Times New Roman"/>
          <w:sz w:val="22"/>
          <w:szCs w:val="22"/>
          <w:lang w:val="el-GR"/>
        </w:rPr>
        <w:t>ίδια</w:t>
      </w:r>
      <w:r w:rsidR="008242D8" w:rsidRPr="003423AC">
        <w:rPr>
          <w:rFonts w:ascii="Times New Roman" w:hAnsi="Times New Roman"/>
          <w:sz w:val="22"/>
          <w:szCs w:val="22"/>
          <w:lang w:val="el-GR"/>
        </w:rPr>
        <w:t xml:space="preserve"> για τ</w:t>
      </w:r>
      <w:r w:rsidR="00B25939" w:rsidRPr="003423AC">
        <w:rPr>
          <w:rFonts w:ascii="Times New Roman" w:hAnsi="Times New Roman"/>
          <w:sz w:val="22"/>
          <w:szCs w:val="22"/>
          <w:lang w:val="el-GR"/>
        </w:rPr>
        <w:t xml:space="preserve">ο </w:t>
      </w:r>
      <w:r w:rsidRPr="003423AC">
        <w:rPr>
          <w:rFonts w:ascii="Times New Roman" w:hAnsi="Times New Roman"/>
          <w:sz w:val="22"/>
          <w:szCs w:val="22"/>
          <w:lang w:val="el-GR"/>
        </w:rPr>
        <w:t>σ</w:t>
      </w:r>
      <w:r w:rsidR="00B25939" w:rsidRPr="003423AC">
        <w:rPr>
          <w:rFonts w:ascii="Times New Roman" w:hAnsi="Times New Roman"/>
          <w:sz w:val="22"/>
          <w:szCs w:val="22"/>
          <w:lang w:val="el-GR"/>
        </w:rPr>
        <w:t>εβοφλουράνιο</w:t>
      </w:r>
      <w:r w:rsidR="008242D8" w:rsidRPr="003423AC">
        <w:rPr>
          <w:rFonts w:ascii="Times New Roman" w:hAnsi="Times New Roman"/>
          <w:sz w:val="22"/>
          <w:szCs w:val="22"/>
          <w:lang w:val="el-GR"/>
        </w:rPr>
        <w:t xml:space="preserve"> (0,17%) και</w:t>
      </w:r>
      <w:r w:rsidR="00B25939" w:rsidRPr="003423AC">
        <w:rPr>
          <w:rFonts w:ascii="Times New Roman" w:hAnsi="Times New Roman"/>
          <w:sz w:val="22"/>
          <w:szCs w:val="22"/>
          <w:lang w:val="el-GR"/>
        </w:rPr>
        <w:t xml:space="preserve"> για τα </w:t>
      </w:r>
      <w:r w:rsidRPr="003423AC">
        <w:rPr>
          <w:rFonts w:ascii="Times New Roman" w:hAnsi="Times New Roman"/>
          <w:sz w:val="22"/>
          <w:szCs w:val="22"/>
          <w:lang w:val="el-GR"/>
        </w:rPr>
        <w:t xml:space="preserve"> φάρμακα αναφοράς (0,22% για ισοφλουράνιο, αλοθάνιο</w:t>
      </w:r>
      <w:r w:rsidR="008242D8" w:rsidRPr="003423AC">
        <w:rPr>
          <w:rFonts w:ascii="Times New Roman" w:hAnsi="Times New Roman"/>
          <w:sz w:val="22"/>
          <w:szCs w:val="22"/>
          <w:lang w:val="el-GR"/>
        </w:rPr>
        <w:t xml:space="preserve">, ενφλουράνιο, προποφόλη). Αυτή η συνολική επίπτωση είναι σύμφωνη με εκείνη </w:t>
      </w:r>
      <w:r w:rsidRPr="003423AC">
        <w:rPr>
          <w:rFonts w:ascii="Times New Roman" w:hAnsi="Times New Roman"/>
          <w:sz w:val="22"/>
          <w:szCs w:val="22"/>
          <w:lang w:val="el-GR"/>
        </w:rPr>
        <w:t xml:space="preserve">του πληθυσμού </w:t>
      </w:r>
      <w:r w:rsidR="008242D8" w:rsidRPr="003423AC">
        <w:rPr>
          <w:rFonts w:ascii="Times New Roman" w:hAnsi="Times New Roman"/>
          <w:sz w:val="22"/>
          <w:szCs w:val="22"/>
          <w:lang w:val="el-GR"/>
        </w:rPr>
        <w:t xml:space="preserve">γενικής χειρουργικής.Σε όλες τις περιπτώσεις, </w:t>
      </w:r>
      <w:r w:rsidRPr="003423AC">
        <w:rPr>
          <w:rFonts w:ascii="Times New Roman" w:hAnsi="Times New Roman"/>
          <w:sz w:val="22"/>
          <w:szCs w:val="22"/>
          <w:lang w:val="el-GR"/>
        </w:rPr>
        <w:t xml:space="preserve">υπήρχε </w:t>
      </w:r>
      <w:r w:rsidR="008242D8" w:rsidRPr="003423AC">
        <w:rPr>
          <w:rFonts w:ascii="Times New Roman" w:hAnsi="Times New Roman"/>
          <w:sz w:val="22"/>
          <w:szCs w:val="22"/>
          <w:lang w:val="el-GR"/>
        </w:rPr>
        <w:t>μια εναλλακτική αιτία ή</w:t>
      </w:r>
      <w:r w:rsidRPr="003423AC">
        <w:rPr>
          <w:rFonts w:ascii="Times New Roman" w:hAnsi="Times New Roman"/>
          <w:sz w:val="22"/>
          <w:szCs w:val="22"/>
          <w:lang w:val="el-GR"/>
        </w:rPr>
        <w:t xml:space="preserve"> λογική εξήγηση που δικαιολογούσε</w:t>
      </w:r>
      <w:r w:rsidR="008242D8" w:rsidRPr="003423AC">
        <w:rPr>
          <w:rFonts w:ascii="Times New Roman" w:hAnsi="Times New Roman"/>
          <w:sz w:val="22"/>
          <w:szCs w:val="22"/>
          <w:lang w:val="el-GR"/>
        </w:rPr>
        <w:t xml:space="preserve"> την νεφρική δυσλειτουργία.</w:t>
      </w:r>
    </w:p>
    <w:p w:rsidR="009B0EB3" w:rsidRPr="003423AC" w:rsidRDefault="009B0EB3" w:rsidP="009B0EB3">
      <w:pPr>
        <w:pStyle w:val="a3"/>
        <w:rPr>
          <w:rFonts w:ascii="Times New Roman" w:hAnsi="Times New Roman"/>
          <w:sz w:val="22"/>
          <w:szCs w:val="22"/>
          <w:lang w:val="el-GR"/>
        </w:rPr>
      </w:pPr>
    </w:p>
    <w:p w:rsidR="00DD0F2A" w:rsidRPr="003423AC" w:rsidRDefault="00DD0F2A" w:rsidP="009B0EB3">
      <w:pPr>
        <w:pStyle w:val="a3"/>
        <w:rPr>
          <w:rFonts w:ascii="Times New Roman" w:hAnsi="Times New Roman"/>
          <w:b/>
          <w:sz w:val="22"/>
          <w:szCs w:val="22"/>
          <w:lang w:val="el-GR"/>
        </w:rPr>
      </w:pPr>
      <w:r w:rsidRPr="003423AC">
        <w:rPr>
          <w:rFonts w:ascii="Times New Roman" w:hAnsi="Times New Roman"/>
          <w:b/>
          <w:sz w:val="22"/>
          <w:szCs w:val="22"/>
          <w:lang w:val="el-GR"/>
        </w:rPr>
        <w:t>Ηπατική ανεπάρκεια</w:t>
      </w:r>
    </w:p>
    <w:p w:rsidR="00DD0F2A" w:rsidRPr="003423AC" w:rsidRDefault="00DD0F2A" w:rsidP="009B0EB3">
      <w:pPr>
        <w:pStyle w:val="a3"/>
        <w:rPr>
          <w:rFonts w:ascii="Times New Roman" w:hAnsi="Times New Roman"/>
          <w:sz w:val="22"/>
          <w:szCs w:val="22"/>
          <w:lang w:val="el-GR"/>
        </w:rPr>
      </w:pPr>
    </w:p>
    <w:p w:rsidR="009B0EB3" w:rsidRPr="003423AC" w:rsidRDefault="009B0EB3" w:rsidP="009B0EB3">
      <w:pPr>
        <w:pStyle w:val="a3"/>
        <w:rPr>
          <w:rFonts w:ascii="Times New Roman" w:hAnsi="Times New Roman"/>
          <w:sz w:val="22"/>
          <w:szCs w:val="22"/>
          <w:lang w:val="el-GR"/>
        </w:rPr>
      </w:pPr>
      <w:r w:rsidRPr="003423AC">
        <w:rPr>
          <w:rFonts w:ascii="Times New Roman" w:hAnsi="Times New Roman"/>
          <w:sz w:val="22"/>
          <w:szCs w:val="22"/>
          <w:lang w:val="el-GR"/>
        </w:rPr>
        <w:t>Κατά τη διάρκεια της κλινικής ανάπτυξης, το σεβοφλουράνιο ήταν αποτελεσματικό και καλά ανεκτό, όταν</w:t>
      </w:r>
      <w:r w:rsidR="005667F7" w:rsidRPr="003423AC">
        <w:rPr>
          <w:rFonts w:ascii="Times New Roman" w:hAnsi="Times New Roman"/>
          <w:sz w:val="22"/>
          <w:szCs w:val="22"/>
          <w:lang w:val="el-GR"/>
        </w:rPr>
        <w:t xml:space="preserve"> χρησιμοποιήθηκε </w:t>
      </w:r>
      <w:r w:rsidRPr="003423AC">
        <w:rPr>
          <w:rFonts w:ascii="Times New Roman" w:hAnsi="Times New Roman"/>
          <w:sz w:val="22"/>
          <w:szCs w:val="22"/>
          <w:lang w:val="el-GR"/>
        </w:rPr>
        <w:t>ως κύριο</w:t>
      </w:r>
      <w:r w:rsidR="005667F7" w:rsidRPr="003423AC">
        <w:rPr>
          <w:rFonts w:ascii="Times New Roman" w:hAnsi="Times New Roman"/>
          <w:sz w:val="22"/>
          <w:szCs w:val="22"/>
          <w:lang w:val="el-GR"/>
        </w:rPr>
        <w:t>ς</w:t>
      </w:r>
      <w:r w:rsidRPr="003423AC">
        <w:rPr>
          <w:rFonts w:ascii="Times New Roman" w:hAnsi="Times New Roman"/>
          <w:sz w:val="22"/>
          <w:szCs w:val="22"/>
          <w:lang w:val="el-GR"/>
        </w:rPr>
        <w:t xml:space="preserve"> </w:t>
      </w:r>
      <w:r w:rsidR="005667F7" w:rsidRPr="003423AC">
        <w:rPr>
          <w:rFonts w:ascii="Times New Roman" w:hAnsi="Times New Roman"/>
          <w:sz w:val="22"/>
          <w:szCs w:val="22"/>
          <w:lang w:val="el-GR"/>
        </w:rPr>
        <w:t>παράγοντας</w:t>
      </w:r>
      <w:r w:rsidRPr="003423AC">
        <w:rPr>
          <w:rFonts w:ascii="Times New Roman" w:hAnsi="Times New Roman"/>
          <w:sz w:val="22"/>
          <w:szCs w:val="22"/>
          <w:lang w:val="el-GR"/>
        </w:rPr>
        <w:t xml:space="preserve"> για τη διατήρηση της αναισθησίας σε ασθενείς με </w:t>
      </w:r>
      <w:r w:rsidR="005667F7" w:rsidRPr="003423AC">
        <w:rPr>
          <w:rFonts w:ascii="Times New Roman" w:hAnsi="Times New Roman"/>
          <w:sz w:val="22"/>
          <w:szCs w:val="22"/>
          <w:lang w:val="el-GR"/>
        </w:rPr>
        <w:t>διαταραγμένη</w:t>
      </w:r>
      <w:r w:rsidRPr="003423AC">
        <w:rPr>
          <w:rFonts w:ascii="Times New Roman" w:hAnsi="Times New Roman"/>
          <w:sz w:val="22"/>
          <w:szCs w:val="22"/>
          <w:lang w:val="el-GR"/>
        </w:rPr>
        <w:t xml:space="preserve"> ηπατική λειτουργία, Child-Pugh Κατηγορ</w:t>
      </w:r>
      <w:r w:rsidR="005667F7" w:rsidRPr="003423AC">
        <w:rPr>
          <w:rFonts w:ascii="Times New Roman" w:hAnsi="Times New Roman"/>
          <w:sz w:val="22"/>
          <w:szCs w:val="22"/>
          <w:lang w:val="el-GR"/>
        </w:rPr>
        <w:t xml:space="preserve">ία Α και Β, και </w:t>
      </w:r>
      <w:r w:rsidRPr="003423AC">
        <w:rPr>
          <w:rFonts w:ascii="Times New Roman" w:hAnsi="Times New Roman"/>
          <w:sz w:val="22"/>
          <w:szCs w:val="22"/>
          <w:lang w:val="el-GR"/>
        </w:rPr>
        <w:t>δεν επιδείνωσε</w:t>
      </w:r>
      <w:r w:rsidR="005667F7" w:rsidRPr="003423AC">
        <w:rPr>
          <w:rFonts w:ascii="Times New Roman" w:hAnsi="Times New Roman"/>
          <w:sz w:val="22"/>
          <w:szCs w:val="22"/>
          <w:lang w:val="el-GR"/>
        </w:rPr>
        <w:t xml:space="preserve"> </w:t>
      </w:r>
      <w:r w:rsidRPr="003423AC">
        <w:rPr>
          <w:rFonts w:ascii="Times New Roman" w:hAnsi="Times New Roman"/>
          <w:sz w:val="22"/>
          <w:szCs w:val="22"/>
          <w:lang w:val="el-GR"/>
        </w:rPr>
        <w:t>προϋπάρχουσα ηπατική δυσλειτουργία.</w:t>
      </w:r>
    </w:p>
    <w:p w:rsidR="000309FB" w:rsidRPr="003423AC" w:rsidRDefault="009B0EB3" w:rsidP="009B0EB3">
      <w:pPr>
        <w:pStyle w:val="a3"/>
        <w:rPr>
          <w:rFonts w:ascii="Times New Roman" w:hAnsi="Times New Roman"/>
          <w:sz w:val="22"/>
          <w:szCs w:val="22"/>
          <w:lang w:val="el-GR"/>
        </w:rPr>
      </w:pPr>
      <w:r w:rsidRPr="003423AC">
        <w:rPr>
          <w:rFonts w:ascii="Times New Roman" w:hAnsi="Times New Roman"/>
          <w:sz w:val="22"/>
          <w:szCs w:val="22"/>
          <w:lang w:val="el-GR"/>
        </w:rPr>
        <w:t xml:space="preserve">Για ανεπιθύμητες ενέργειες </w:t>
      </w:r>
      <w:r w:rsidR="005667F7" w:rsidRPr="003423AC">
        <w:rPr>
          <w:rFonts w:ascii="Times New Roman" w:hAnsi="Times New Roman"/>
          <w:sz w:val="22"/>
          <w:szCs w:val="22"/>
          <w:lang w:val="el-GR"/>
        </w:rPr>
        <w:t xml:space="preserve">του ήπατος </w:t>
      </w:r>
      <w:r w:rsidRPr="003423AC">
        <w:rPr>
          <w:rFonts w:ascii="Times New Roman" w:hAnsi="Times New Roman"/>
          <w:sz w:val="22"/>
          <w:szCs w:val="22"/>
          <w:lang w:val="el-GR"/>
        </w:rPr>
        <w:t xml:space="preserve">που παρατηρήθηκαν από την εμπειρία μετά την κυκλοφορία, βλ. </w:t>
      </w:r>
      <w:r w:rsidR="005667F7" w:rsidRPr="003423AC">
        <w:rPr>
          <w:rFonts w:ascii="Times New Roman" w:hAnsi="Times New Roman"/>
          <w:sz w:val="22"/>
          <w:szCs w:val="22"/>
          <w:lang w:val="el-GR"/>
        </w:rPr>
        <w:t>παράγραφο 4.4 και 4.8</w:t>
      </w:r>
      <w:r w:rsidRPr="003423AC">
        <w:rPr>
          <w:rFonts w:ascii="Times New Roman" w:hAnsi="Times New Roman"/>
          <w:sz w:val="22"/>
          <w:szCs w:val="22"/>
          <w:lang w:val="el-GR"/>
        </w:rPr>
        <w:t>).</w:t>
      </w:r>
    </w:p>
    <w:p w:rsidR="00DD0F2A" w:rsidRPr="003423AC" w:rsidRDefault="00DD0F2A" w:rsidP="00DD0F2A">
      <w:pPr>
        <w:pStyle w:val="a3"/>
        <w:rPr>
          <w:rFonts w:ascii="Times New Roman" w:hAnsi="Times New Roman"/>
          <w:sz w:val="22"/>
          <w:szCs w:val="22"/>
          <w:lang w:val="el-GR"/>
        </w:rPr>
      </w:pPr>
    </w:p>
    <w:p w:rsidR="00DD0F2A" w:rsidRPr="003423AC" w:rsidRDefault="00DD0F2A" w:rsidP="00DD0F2A">
      <w:pPr>
        <w:pStyle w:val="a3"/>
        <w:rPr>
          <w:rFonts w:ascii="Times New Roman" w:hAnsi="Times New Roman"/>
          <w:b/>
          <w:sz w:val="22"/>
          <w:szCs w:val="22"/>
          <w:lang w:val="el-GR"/>
        </w:rPr>
      </w:pPr>
      <w:r w:rsidRPr="003423AC">
        <w:rPr>
          <w:rFonts w:ascii="Times New Roman" w:hAnsi="Times New Roman"/>
          <w:b/>
          <w:sz w:val="22"/>
          <w:szCs w:val="22"/>
          <w:lang w:val="el-GR"/>
        </w:rPr>
        <w:t>Νεφρική ανεπάρκεια</w:t>
      </w:r>
    </w:p>
    <w:p w:rsidR="00DD0F2A" w:rsidRPr="003423AC" w:rsidRDefault="00DD0F2A" w:rsidP="00DD0F2A">
      <w:pPr>
        <w:pStyle w:val="a3"/>
        <w:rPr>
          <w:rFonts w:ascii="Times New Roman" w:hAnsi="Times New Roman"/>
          <w:b/>
          <w:sz w:val="22"/>
          <w:szCs w:val="22"/>
          <w:lang w:val="el-GR"/>
        </w:rPr>
      </w:pPr>
    </w:p>
    <w:p w:rsidR="005667F7" w:rsidRPr="003423AC" w:rsidRDefault="00DD0F2A" w:rsidP="00DD0F2A">
      <w:pPr>
        <w:pStyle w:val="a3"/>
        <w:rPr>
          <w:rFonts w:ascii="Times New Roman" w:hAnsi="Times New Roman"/>
          <w:sz w:val="22"/>
          <w:szCs w:val="22"/>
          <w:lang w:val="el-GR"/>
        </w:rPr>
      </w:pPr>
      <w:r w:rsidRPr="003423AC">
        <w:rPr>
          <w:rFonts w:ascii="Times New Roman" w:hAnsi="Times New Roman"/>
          <w:sz w:val="22"/>
          <w:szCs w:val="22"/>
          <w:lang w:val="el-GR"/>
        </w:rPr>
        <w:t xml:space="preserve"> Το σεβοφλουράνιο </w:t>
      </w:r>
      <w:r w:rsidR="00EE6CB3" w:rsidRPr="003423AC">
        <w:rPr>
          <w:rFonts w:ascii="Times New Roman" w:hAnsi="Times New Roman"/>
          <w:sz w:val="22"/>
          <w:szCs w:val="22"/>
          <w:lang w:val="el-GR"/>
        </w:rPr>
        <w:t>μελετήθηκε</w:t>
      </w:r>
      <w:r w:rsidRPr="003423AC">
        <w:rPr>
          <w:rFonts w:ascii="Times New Roman" w:hAnsi="Times New Roman"/>
          <w:sz w:val="22"/>
          <w:szCs w:val="22"/>
          <w:lang w:val="el-GR"/>
        </w:rPr>
        <w:t xml:space="preserve"> σε ασθενείς με νεφρική ανεπάρκεια με τιμή αναφοράς κρεατινίνης ορού ≥ 1,5 mg/dL (130 μmole/L). Με βάση τη συχνότητα και το μέγεθος των αλλαγών στις συγκεντρώσεις της κρεατινίνης ορού, το σεβοφλουράνιο δεν επιδείνωσε περαιτέρω τη νεφρική λειτουργία.</w:t>
      </w:r>
    </w:p>
    <w:p w:rsidR="00DD0F2A" w:rsidRPr="003423AC" w:rsidRDefault="00DD0F2A" w:rsidP="00DD0F2A">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5.2 Φαρμακοκινητικές ιδιότητες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i/>
          <w:iCs/>
          <w:color w:val="auto"/>
          <w:sz w:val="22"/>
          <w:szCs w:val="22"/>
          <w:lang w:val="el-GR"/>
        </w:rPr>
      </w:pPr>
      <w:r w:rsidRPr="003423AC">
        <w:rPr>
          <w:rFonts w:ascii="Times New Roman" w:hAnsi="Times New Roman"/>
          <w:i/>
          <w:iCs/>
          <w:color w:val="auto"/>
          <w:sz w:val="22"/>
          <w:szCs w:val="22"/>
          <w:lang w:val="el-GR"/>
        </w:rPr>
        <w:t xml:space="preserve">Περιγραφή </w:t>
      </w:r>
    </w:p>
    <w:p w:rsidR="000309FB" w:rsidRPr="003423AC" w:rsidRDefault="000309F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imes New Roman" w:hAnsi="Times New Roman"/>
          <w:szCs w:val="22"/>
          <w:lang w:val="el-GR"/>
        </w:rPr>
      </w:pPr>
      <w:r w:rsidRPr="003423AC">
        <w:rPr>
          <w:rFonts w:ascii="Times New Roman" w:hAnsi="Times New Roman"/>
          <w:szCs w:val="22"/>
          <w:lang w:val="el-GR"/>
        </w:rPr>
        <w:t xml:space="preserve">Το σεβοφλουράνιο είναι ένας μη εύφλεκτος υγρός αναισθητικός παράγοντας χορηγούμενος με εξαερωτή. Είναι ένα φθοριωμένο παράγωγο του </w:t>
      </w:r>
      <w:r w:rsidRPr="003423AC">
        <w:rPr>
          <w:rFonts w:ascii="Times New Roman" w:hAnsi="Times New Roman"/>
          <w:szCs w:val="22"/>
        </w:rPr>
        <w:t>methyl</w:t>
      </w:r>
      <w:r w:rsidRPr="003423AC">
        <w:rPr>
          <w:rFonts w:ascii="Times New Roman" w:hAnsi="Times New Roman"/>
          <w:szCs w:val="22"/>
          <w:lang w:val="el-GR"/>
        </w:rPr>
        <w:t xml:space="preserve"> </w:t>
      </w:r>
      <w:r w:rsidRPr="003423AC">
        <w:rPr>
          <w:rFonts w:ascii="Times New Roman" w:hAnsi="Times New Roman"/>
          <w:szCs w:val="22"/>
        </w:rPr>
        <w:t>isopropyl</w:t>
      </w:r>
      <w:r w:rsidRPr="003423AC">
        <w:rPr>
          <w:rFonts w:ascii="Times New Roman" w:hAnsi="Times New Roman"/>
          <w:szCs w:val="22"/>
          <w:lang w:val="el-GR"/>
        </w:rPr>
        <w:t xml:space="preserve"> </w:t>
      </w:r>
      <w:r w:rsidRPr="003423AC">
        <w:rPr>
          <w:rFonts w:ascii="Times New Roman" w:hAnsi="Times New Roman"/>
          <w:szCs w:val="22"/>
        </w:rPr>
        <w:t>ether</w:t>
      </w:r>
      <w:r w:rsidRPr="003423AC">
        <w:rPr>
          <w:rFonts w:ascii="Times New Roman" w:hAnsi="Times New Roman"/>
          <w:szCs w:val="22"/>
          <w:lang w:val="el-GR"/>
        </w:rPr>
        <w:t xml:space="preserve">. Το σεβοφλουράνιο ταυτοποιείται χημικά ως </w:t>
      </w:r>
      <w:r w:rsidRPr="003423AC">
        <w:rPr>
          <w:rFonts w:ascii="Times New Roman" w:hAnsi="Times New Roman"/>
          <w:szCs w:val="22"/>
        </w:rPr>
        <w:t>fluoromethyl</w:t>
      </w:r>
      <w:r w:rsidRPr="003423AC">
        <w:rPr>
          <w:rFonts w:ascii="Times New Roman" w:hAnsi="Times New Roman"/>
          <w:szCs w:val="22"/>
          <w:lang w:val="el-GR"/>
        </w:rPr>
        <w:t xml:space="preserve"> 2, 2, 2-</w:t>
      </w:r>
      <w:r w:rsidRPr="003423AC">
        <w:rPr>
          <w:rFonts w:ascii="Times New Roman" w:hAnsi="Times New Roman"/>
          <w:szCs w:val="22"/>
        </w:rPr>
        <w:t>trifluoro</w:t>
      </w:r>
      <w:r w:rsidRPr="003423AC">
        <w:rPr>
          <w:rFonts w:ascii="Times New Roman" w:hAnsi="Times New Roman"/>
          <w:szCs w:val="22"/>
          <w:lang w:val="el-GR"/>
        </w:rPr>
        <w:t>-1-(</w:t>
      </w:r>
      <w:r w:rsidRPr="003423AC">
        <w:rPr>
          <w:rFonts w:ascii="Times New Roman" w:hAnsi="Times New Roman"/>
          <w:szCs w:val="22"/>
        </w:rPr>
        <w:t>trifluoromethyl</w:t>
      </w:r>
      <w:r w:rsidRPr="003423AC">
        <w:rPr>
          <w:rFonts w:ascii="Times New Roman" w:hAnsi="Times New Roman"/>
          <w:szCs w:val="22"/>
          <w:lang w:val="el-GR"/>
        </w:rPr>
        <w:t xml:space="preserve">) </w:t>
      </w:r>
      <w:r w:rsidRPr="003423AC">
        <w:rPr>
          <w:rFonts w:ascii="Times New Roman" w:hAnsi="Times New Roman"/>
          <w:szCs w:val="22"/>
        </w:rPr>
        <w:t>ethyl</w:t>
      </w:r>
      <w:r w:rsidRPr="003423AC">
        <w:rPr>
          <w:rFonts w:ascii="Times New Roman" w:hAnsi="Times New Roman"/>
          <w:szCs w:val="22"/>
          <w:lang w:val="el-GR"/>
        </w:rPr>
        <w:t xml:space="preserve"> </w:t>
      </w:r>
      <w:r w:rsidRPr="003423AC">
        <w:rPr>
          <w:rFonts w:ascii="Times New Roman" w:hAnsi="Times New Roman"/>
          <w:szCs w:val="22"/>
        </w:rPr>
        <w:t>ether</w:t>
      </w:r>
      <w:r w:rsidRPr="003423AC">
        <w:rPr>
          <w:rFonts w:ascii="Times New Roman" w:hAnsi="Times New Roman"/>
          <w:szCs w:val="22"/>
          <w:lang w:val="el-GR"/>
        </w:rPr>
        <w:t xml:space="preserve"> και έχει μοριακό βάρος 200,05. </w:t>
      </w:r>
    </w:p>
    <w:p w:rsidR="000309FB" w:rsidRPr="003423AC" w:rsidRDefault="000309FB">
      <w:pPr>
        <w:pStyle w:val="a3"/>
        <w:rPr>
          <w:rFonts w:ascii="Times New Roman" w:hAnsi="Times New Roman"/>
          <w:color w:val="auto"/>
          <w:sz w:val="22"/>
          <w:szCs w:val="22"/>
          <w:lang w:val="el-GR"/>
        </w:rPr>
      </w:pPr>
      <w:r w:rsidRPr="003423AC">
        <w:rPr>
          <w:rFonts w:ascii="Times New Roman" w:hAnsi="Times New Roman"/>
          <w:sz w:val="22"/>
          <w:szCs w:val="22"/>
          <w:lang w:val="el-GR"/>
        </w:rPr>
        <w:t xml:space="preserve">Το σεβοφλουράνιο είναι μη εύφλεκτο και μη εκρηκτικό ως ορίζεται βάσει των απαιτήσεων της </w:t>
      </w:r>
      <w:r w:rsidRPr="003423AC">
        <w:rPr>
          <w:rFonts w:ascii="Times New Roman" w:hAnsi="Times New Roman"/>
          <w:sz w:val="22"/>
          <w:szCs w:val="22"/>
        </w:rPr>
        <w:t>International</w:t>
      </w:r>
      <w:r w:rsidRPr="003423AC">
        <w:rPr>
          <w:rFonts w:ascii="Times New Roman" w:hAnsi="Times New Roman"/>
          <w:sz w:val="22"/>
          <w:szCs w:val="22"/>
          <w:lang w:val="el-GR"/>
        </w:rPr>
        <w:t xml:space="preserve"> </w:t>
      </w:r>
      <w:proofErr w:type="spellStart"/>
      <w:r w:rsidRPr="003423AC">
        <w:rPr>
          <w:rFonts w:ascii="Times New Roman" w:hAnsi="Times New Roman"/>
          <w:sz w:val="22"/>
          <w:szCs w:val="22"/>
        </w:rPr>
        <w:t>Electrotechnical</w:t>
      </w:r>
      <w:proofErr w:type="spellEnd"/>
      <w:r w:rsidRPr="003423AC">
        <w:rPr>
          <w:rFonts w:ascii="Times New Roman" w:hAnsi="Times New Roman"/>
          <w:sz w:val="22"/>
          <w:szCs w:val="22"/>
          <w:lang w:val="el-GR"/>
        </w:rPr>
        <w:t xml:space="preserve"> </w:t>
      </w:r>
      <w:r w:rsidRPr="003423AC">
        <w:rPr>
          <w:rFonts w:ascii="Times New Roman" w:hAnsi="Times New Roman"/>
          <w:sz w:val="22"/>
          <w:szCs w:val="22"/>
        </w:rPr>
        <w:t>Commission</w:t>
      </w:r>
      <w:r w:rsidRPr="003423AC">
        <w:rPr>
          <w:rFonts w:ascii="Times New Roman" w:hAnsi="Times New Roman"/>
          <w:sz w:val="22"/>
          <w:szCs w:val="22"/>
          <w:lang w:val="el-GR"/>
        </w:rPr>
        <w:t xml:space="preserve"> 601-2-13. </w:t>
      </w:r>
      <w:r w:rsidRPr="003423AC">
        <w:rPr>
          <w:rFonts w:ascii="Times New Roman" w:hAnsi="Times New Roman"/>
          <w:color w:val="auto"/>
          <w:sz w:val="22"/>
          <w:szCs w:val="22"/>
          <w:lang w:val="el-GR"/>
        </w:rPr>
        <w:t xml:space="preserve">Το σεβοφλουράνιο είναι ένα διαυγές άχρωμο υγρό. </w:t>
      </w:r>
      <w:r w:rsidRPr="003423AC">
        <w:rPr>
          <w:rFonts w:ascii="Times New Roman" w:hAnsi="Times New Roman"/>
          <w:sz w:val="22"/>
          <w:szCs w:val="22"/>
          <w:lang w:val="el-GR"/>
        </w:rPr>
        <w:t xml:space="preserve">Το σεβοφλουράνιο είναι μη ερεθιστικό. Μπορεί να αναμιχθεί με αιθανόλη, αιθέρα, χλωροφόρμιο, </w:t>
      </w:r>
      <w:r w:rsidRPr="003423AC">
        <w:rPr>
          <w:rFonts w:ascii="Times New Roman" w:hAnsi="Times New Roman"/>
          <w:sz w:val="22"/>
          <w:szCs w:val="22"/>
        </w:rPr>
        <w:t>petroleum</w:t>
      </w:r>
      <w:r w:rsidRPr="003423AC">
        <w:rPr>
          <w:rFonts w:ascii="Times New Roman" w:hAnsi="Times New Roman"/>
          <w:sz w:val="22"/>
          <w:szCs w:val="22"/>
          <w:lang w:val="el-GR"/>
        </w:rPr>
        <w:t xml:space="preserve"> </w:t>
      </w:r>
      <w:r w:rsidRPr="003423AC">
        <w:rPr>
          <w:rFonts w:ascii="Times New Roman" w:hAnsi="Times New Roman"/>
          <w:sz w:val="22"/>
          <w:szCs w:val="22"/>
        </w:rPr>
        <w:t>benzene</w:t>
      </w:r>
      <w:r w:rsidRPr="003423AC">
        <w:rPr>
          <w:rFonts w:ascii="Times New Roman" w:hAnsi="Times New Roman"/>
          <w:sz w:val="22"/>
          <w:szCs w:val="22"/>
          <w:lang w:val="el-GR"/>
        </w:rPr>
        <w:t xml:space="preserve"> και είναι ελαφρώς διαλυτό στο νερό.</w:t>
      </w:r>
    </w:p>
    <w:p w:rsidR="000309FB" w:rsidRPr="003423AC" w:rsidRDefault="000309FB">
      <w:pPr>
        <w:pStyle w:val="a3"/>
        <w:rPr>
          <w:rFonts w:ascii="Times New Roman" w:hAnsi="Times New Roman"/>
          <w:color w:val="auto"/>
          <w:sz w:val="22"/>
          <w:szCs w:val="22"/>
          <w:lang w:val="el-GR"/>
        </w:rPr>
      </w:pPr>
    </w:p>
    <w:p w:rsidR="000309FB" w:rsidRPr="003423AC" w:rsidRDefault="000309FB">
      <w:pPr>
        <w:pStyle w:val="a3"/>
        <w:rPr>
          <w:rFonts w:ascii="Times New Roman" w:hAnsi="Times New Roman"/>
          <w:i/>
          <w:iCs/>
          <w:sz w:val="22"/>
          <w:szCs w:val="22"/>
          <w:lang w:val="el-GR"/>
        </w:rPr>
      </w:pPr>
      <w:r w:rsidRPr="003423AC">
        <w:rPr>
          <w:rFonts w:ascii="Times New Roman" w:hAnsi="Times New Roman"/>
          <w:i/>
          <w:iCs/>
          <w:sz w:val="22"/>
          <w:szCs w:val="22"/>
          <w:lang w:val="el-GR"/>
        </w:rPr>
        <w:t xml:space="preserve">Αποδόμηση Οξέων </w:t>
      </w:r>
      <w:r w:rsidRPr="003423AC">
        <w:rPr>
          <w:rFonts w:ascii="Times New Roman" w:hAnsi="Times New Roman"/>
          <w:i/>
          <w:iCs/>
          <w:sz w:val="22"/>
          <w:szCs w:val="22"/>
        </w:rPr>
        <w:t>Lewis</w:t>
      </w:r>
    </w:p>
    <w:p w:rsidR="000309FB" w:rsidRPr="003423AC" w:rsidRDefault="000309FB">
      <w:pPr>
        <w:pStyle w:val="a3"/>
        <w:rPr>
          <w:rFonts w:ascii="Times New Roman" w:hAnsi="Times New Roman"/>
          <w:sz w:val="22"/>
          <w:szCs w:val="22"/>
          <w:lang w:val="el-GR"/>
        </w:rPr>
      </w:pPr>
      <w:r w:rsidRPr="003423AC">
        <w:rPr>
          <w:rFonts w:ascii="Times New Roman" w:hAnsi="Times New Roman"/>
          <w:color w:val="auto"/>
          <w:sz w:val="22"/>
          <w:szCs w:val="22"/>
          <w:lang w:val="el-GR"/>
        </w:rPr>
        <w:t>Περιέχει τουλάχιστον</w:t>
      </w:r>
      <w:r w:rsidRPr="003423AC">
        <w:rPr>
          <w:rFonts w:ascii="Times New Roman" w:hAnsi="Times New Roman"/>
          <w:sz w:val="22"/>
          <w:szCs w:val="22"/>
          <w:lang w:val="el-GR"/>
        </w:rPr>
        <w:t xml:space="preserve"> 300 </w:t>
      </w:r>
      <w:r w:rsidRPr="003423AC">
        <w:rPr>
          <w:rFonts w:ascii="Times New Roman" w:hAnsi="Times New Roman"/>
          <w:sz w:val="22"/>
          <w:szCs w:val="22"/>
        </w:rPr>
        <w:t>ppm</w:t>
      </w:r>
      <w:r w:rsidRPr="003423AC">
        <w:rPr>
          <w:rFonts w:ascii="Times New Roman" w:hAnsi="Times New Roman"/>
          <w:sz w:val="22"/>
          <w:szCs w:val="22"/>
          <w:lang w:val="el-GR"/>
        </w:rPr>
        <w:t xml:space="preserve"> νερού ως αναστολέα των οξέων </w:t>
      </w:r>
      <w:r w:rsidRPr="003423AC">
        <w:rPr>
          <w:rFonts w:ascii="Times New Roman" w:hAnsi="Times New Roman"/>
          <w:sz w:val="22"/>
          <w:szCs w:val="22"/>
        </w:rPr>
        <w:t>Lewis</w:t>
      </w:r>
      <w:r w:rsidRPr="003423AC">
        <w:rPr>
          <w:rFonts w:ascii="Times New Roman" w:hAnsi="Times New Roman"/>
          <w:sz w:val="22"/>
          <w:szCs w:val="22"/>
          <w:lang w:val="el-GR"/>
        </w:rPr>
        <w:t xml:space="preserve">. Δεν χρησιμοποιούνται άλλα πρόσθετα ή χημικοί σταθεροποιητές.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i/>
          <w:iCs/>
          <w:sz w:val="22"/>
          <w:szCs w:val="22"/>
          <w:lang w:val="el-GR"/>
        </w:rPr>
      </w:pPr>
      <w:r w:rsidRPr="003423AC">
        <w:rPr>
          <w:rFonts w:ascii="Times New Roman" w:hAnsi="Times New Roman"/>
          <w:i/>
          <w:iCs/>
          <w:sz w:val="22"/>
          <w:szCs w:val="22"/>
          <w:lang w:val="el-GR"/>
        </w:rPr>
        <w:t>Αποδόμηση Σεβοφλουρανίου</w:t>
      </w:r>
    </w:p>
    <w:p w:rsidR="000309FB" w:rsidRPr="003423AC" w:rsidRDefault="000309FB">
      <w:pPr>
        <w:pStyle w:val="a3"/>
        <w:rPr>
          <w:rFonts w:ascii="Times New Roman" w:hAnsi="Times New Roman"/>
          <w:color w:val="auto"/>
          <w:sz w:val="22"/>
          <w:szCs w:val="22"/>
          <w:lang w:val="el-GR"/>
        </w:rPr>
      </w:pPr>
      <w:r w:rsidRPr="003423AC">
        <w:rPr>
          <w:rFonts w:ascii="Times New Roman" w:hAnsi="Times New Roman"/>
          <w:color w:val="auto"/>
          <w:sz w:val="22"/>
          <w:szCs w:val="22"/>
          <w:lang w:val="el-GR"/>
        </w:rPr>
        <w:t xml:space="preserve">Το σεβοφλουράνιο είναι σταθερό όταν φυλάσσεται υπό κανονικές συνθήκες </w:t>
      </w:r>
      <w:r w:rsidRPr="003423AC">
        <w:rPr>
          <w:rFonts w:ascii="Times New Roman" w:hAnsi="Times New Roman"/>
          <w:sz w:val="22"/>
          <w:szCs w:val="22"/>
          <w:lang w:val="el-GR"/>
        </w:rPr>
        <w:t>δωματίου και φωτισμού</w:t>
      </w:r>
      <w:r w:rsidRPr="003423AC">
        <w:rPr>
          <w:rFonts w:ascii="Times New Roman" w:hAnsi="Times New Roman"/>
          <w:color w:val="auto"/>
          <w:sz w:val="22"/>
          <w:szCs w:val="22"/>
          <w:lang w:val="el-GR"/>
        </w:rPr>
        <w:t xml:space="preserve">. Επί παρουσίας ισχυρών οξέων και θερμότητας δεν </w:t>
      </w:r>
      <w:r w:rsidRPr="003423AC">
        <w:rPr>
          <w:rFonts w:ascii="Times New Roman" w:hAnsi="Times New Roman"/>
          <w:sz w:val="22"/>
          <w:szCs w:val="22"/>
          <w:lang w:val="el-GR"/>
        </w:rPr>
        <w:t xml:space="preserve">υπάρχει ορατή αντίδραση αποδόμησης σεβοφλουρανίου. Το </w:t>
      </w:r>
      <w:r w:rsidRPr="003423AC">
        <w:rPr>
          <w:rFonts w:ascii="Times New Roman" w:hAnsi="Times New Roman"/>
          <w:color w:val="auto"/>
          <w:sz w:val="22"/>
          <w:szCs w:val="22"/>
          <w:lang w:val="el-GR"/>
        </w:rPr>
        <w:t xml:space="preserve">σεβουφλουράνιο </w:t>
      </w:r>
      <w:r w:rsidRPr="003423AC">
        <w:rPr>
          <w:rFonts w:ascii="Times New Roman" w:hAnsi="Times New Roman"/>
          <w:sz w:val="22"/>
          <w:szCs w:val="22"/>
          <w:lang w:val="el-GR"/>
        </w:rPr>
        <w:t xml:space="preserve">δεν ασκεί διαβρωτική δράση </w:t>
      </w:r>
      <w:r w:rsidRPr="003423AC">
        <w:rPr>
          <w:rFonts w:ascii="Times New Roman" w:hAnsi="Times New Roman"/>
          <w:color w:val="auto"/>
          <w:sz w:val="22"/>
          <w:szCs w:val="22"/>
          <w:lang w:val="el-GR"/>
        </w:rPr>
        <w:t>στα: ανοξείδωτο ατσάλι, μπρούντζο, αλουμίνιο, επινικελωμένο μπρούντζο, επιχρωμιωμένο μπρούντζο, κράμα χαλκού-βηρυλλίου.</w:t>
      </w:r>
    </w:p>
    <w:p w:rsidR="000309FB" w:rsidRPr="003423AC" w:rsidRDefault="000309FB">
      <w:pPr>
        <w:pStyle w:val="a3"/>
        <w:rPr>
          <w:rFonts w:ascii="Times New Roman" w:hAnsi="Times New Roman"/>
          <w:color w:val="auto"/>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color w:val="auto"/>
          <w:sz w:val="22"/>
          <w:szCs w:val="22"/>
          <w:lang w:val="el-GR"/>
        </w:rPr>
        <w:t xml:space="preserve">Χημική αποδόμηση μπορεί να προκύψει κατόπιν έκθεσης των εισπνεόμενων αναισθητικών σε απορροφητές </w:t>
      </w:r>
      <w:r w:rsidRPr="003423AC">
        <w:rPr>
          <w:rFonts w:ascii="Times New Roman" w:hAnsi="Times New Roman"/>
          <w:sz w:val="22"/>
          <w:szCs w:val="22"/>
        </w:rPr>
        <w:t>C</w:t>
      </w:r>
      <w:r w:rsidRPr="003423AC">
        <w:rPr>
          <w:rFonts w:ascii="Times New Roman" w:hAnsi="Times New Roman"/>
          <w:sz w:val="22"/>
          <w:szCs w:val="22"/>
          <w:lang w:val="el-GR"/>
        </w:rPr>
        <w:t>Ο</w:t>
      </w:r>
      <w:r w:rsidRPr="003423AC">
        <w:rPr>
          <w:rFonts w:ascii="Times New Roman" w:hAnsi="Times New Roman"/>
          <w:position w:val="-6"/>
          <w:sz w:val="22"/>
          <w:szCs w:val="22"/>
          <w:lang w:val="el-GR"/>
        </w:rPr>
        <w:t>2</w:t>
      </w:r>
      <w:r w:rsidRPr="003423AC">
        <w:rPr>
          <w:rFonts w:ascii="Times New Roman" w:hAnsi="Times New Roman"/>
          <w:sz w:val="22"/>
          <w:szCs w:val="22"/>
          <w:lang w:val="el-GR"/>
        </w:rPr>
        <w:t xml:space="preserve"> εντός του μηχανήματος αναισθησίας. Όταν χρησιμοποιείται με νέους</w:t>
      </w:r>
      <w:r w:rsidRPr="003423AC">
        <w:rPr>
          <w:rFonts w:ascii="Times New Roman" w:hAnsi="Times New Roman"/>
          <w:color w:val="auto"/>
          <w:sz w:val="22"/>
          <w:szCs w:val="22"/>
          <w:lang w:val="el-GR"/>
        </w:rPr>
        <w:t xml:space="preserve"> απορροφητές </w:t>
      </w:r>
      <w:r w:rsidRPr="003423AC">
        <w:rPr>
          <w:rFonts w:ascii="Times New Roman" w:hAnsi="Times New Roman"/>
          <w:sz w:val="22"/>
          <w:szCs w:val="22"/>
          <w:lang w:val="el-GR"/>
        </w:rPr>
        <w:t>όπως ενδείκνυται, η αποδόμηση του σεβοφλουρανίου είναι ελάχιστη και τα προϊόντα  αποδόμησης είναι μη προσδιορίσιμα και μη τοξικά. Η αποδόμηση του σεβοφλουρανίου και ο επακόλουθος σχηματισμός προϊόντων αποδόμησης ενισχύονται από:</w:t>
      </w:r>
    </w:p>
    <w:p w:rsidR="000309FB" w:rsidRPr="003423AC" w:rsidRDefault="000309FB">
      <w:pPr>
        <w:pStyle w:val="a3"/>
        <w:rPr>
          <w:rFonts w:ascii="Times New Roman" w:hAnsi="Times New Roman"/>
          <w:sz w:val="22"/>
          <w:szCs w:val="22"/>
          <w:lang w:val="el-GR"/>
        </w:rPr>
      </w:pPr>
    </w:p>
    <w:p w:rsidR="000309FB" w:rsidRPr="003423AC" w:rsidRDefault="000309FB">
      <w:pPr>
        <w:pStyle w:val="a3"/>
        <w:numPr>
          <w:ilvl w:val="0"/>
          <w:numId w:val="7"/>
        </w:numPr>
        <w:rPr>
          <w:rFonts w:ascii="Times New Roman" w:hAnsi="Times New Roman"/>
          <w:sz w:val="22"/>
          <w:szCs w:val="22"/>
          <w:lang w:val="el-GR"/>
        </w:rPr>
      </w:pPr>
      <w:r w:rsidRPr="003423AC">
        <w:rPr>
          <w:rFonts w:ascii="Times New Roman" w:hAnsi="Times New Roman"/>
          <w:sz w:val="22"/>
          <w:szCs w:val="22"/>
          <w:lang w:val="el-GR"/>
        </w:rPr>
        <w:t xml:space="preserve">αύξηση της  θερμοκρασίας του απορροφητή </w:t>
      </w:r>
    </w:p>
    <w:p w:rsidR="000309FB" w:rsidRPr="003423AC" w:rsidRDefault="000309FB">
      <w:pPr>
        <w:pStyle w:val="a3"/>
        <w:numPr>
          <w:ilvl w:val="0"/>
          <w:numId w:val="7"/>
        </w:numPr>
        <w:rPr>
          <w:rFonts w:ascii="Times New Roman" w:hAnsi="Times New Roman"/>
          <w:sz w:val="22"/>
          <w:szCs w:val="22"/>
          <w:lang w:val="el-GR"/>
        </w:rPr>
      </w:pPr>
      <w:r w:rsidRPr="003423AC">
        <w:rPr>
          <w:rFonts w:ascii="Times New Roman" w:hAnsi="Times New Roman"/>
          <w:sz w:val="22"/>
          <w:szCs w:val="22"/>
          <w:lang w:val="el-GR"/>
        </w:rPr>
        <w:lastRenderedPageBreak/>
        <w:t xml:space="preserve">απορροφητές </w:t>
      </w:r>
      <w:r w:rsidRPr="003423AC">
        <w:rPr>
          <w:rFonts w:ascii="Times New Roman" w:hAnsi="Times New Roman"/>
          <w:sz w:val="22"/>
          <w:szCs w:val="22"/>
        </w:rPr>
        <w:t>C</w:t>
      </w:r>
      <w:r w:rsidRPr="003423AC">
        <w:rPr>
          <w:rFonts w:ascii="Times New Roman" w:hAnsi="Times New Roman"/>
          <w:sz w:val="22"/>
          <w:szCs w:val="22"/>
          <w:lang w:val="el-GR"/>
        </w:rPr>
        <w:t>Ο</w:t>
      </w:r>
      <w:r w:rsidRPr="003423AC">
        <w:rPr>
          <w:rFonts w:ascii="Times New Roman" w:hAnsi="Times New Roman"/>
          <w:position w:val="-6"/>
          <w:sz w:val="22"/>
          <w:szCs w:val="22"/>
          <w:lang w:val="el-GR"/>
        </w:rPr>
        <w:t xml:space="preserve">2  </w:t>
      </w:r>
      <w:r w:rsidRPr="003423AC">
        <w:rPr>
          <w:rFonts w:ascii="Times New Roman" w:hAnsi="Times New Roman"/>
          <w:sz w:val="22"/>
          <w:szCs w:val="22"/>
          <w:lang w:val="el-GR"/>
        </w:rPr>
        <w:t>που έχουν υποστεί ξήρανση (ειδικά αυτούς που περιέχουν υδροξείδιο του καλίου)</w:t>
      </w:r>
    </w:p>
    <w:p w:rsidR="000309FB" w:rsidRPr="003423AC" w:rsidRDefault="000309FB">
      <w:pPr>
        <w:pStyle w:val="a3"/>
        <w:numPr>
          <w:ilvl w:val="0"/>
          <w:numId w:val="7"/>
        </w:numPr>
        <w:rPr>
          <w:rFonts w:ascii="Times New Roman" w:hAnsi="Times New Roman"/>
          <w:sz w:val="22"/>
          <w:szCs w:val="22"/>
          <w:lang w:val="el-GR"/>
        </w:rPr>
      </w:pPr>
      <w:r w:rsidRPr="003423AC">
        <w:rPr>
          <w:rFonts w:ascii="Times New Roman" w:hAnsi="Times New Roman"/>
          <w:sz w:val="22"/>
          <w:szCs w:val="22"/>
          <w:lang w:val="el-GR"/>
        </w:rPr>
        <w:t xml:space="preserve">αυξημένη συγκέντρωση σεβοφλουρανίου και </w:t>
      </w:r>
    </w:p>
    <w:p w:rsidR="000309FB" w:rsidRPr="003423AC" w:rsidRDefault="000309FB">
      <w:pPr>
        <w:pStyle w:val="a3"/>
        <w:numPr>
          <w:ilvl w:val="0"/>
          <w:numId w:val="7"/>
        </w:numPr>
        <w:rPr>
          <w:rFonts w:ascii="Times New Roman" w:hAnsi="Times New Roman"/>
          <w:sz w:val="22"/>
          <w:szCs w:val="22"/>
          <w:lang w:val="el-GR"/>
        </w:rPr>
      </w:pPr>
      <w:r w:rsidRPr="003423AC">
        <w:rPr>
          <w:rFonts w:ascii="Times New Roman" w:hAnsi="Times New Roman"/>
          <w:sz w:val="22"/>
          <w:szCs w:val="22"/>
          <w:lang w:val="el-GR"/>
        </w:rPr>
        <w:t>μειωμένη ροή φρέσκου αέρα.</w:t>
      </w:r>
    </w:p>
    <w:p w:rsidR="000309FB" w:rsidRPr="003423AC" w:rsidRDefault="000309FB">
      <w:pPr>
        <w:pStyle w:val="a3"/>
        <w:rPr>
          <w:rFonts w:ascii="Times New Roman" w:hAnsi="Times New Roman"/>
          <w:sz w:val="22"/>
          <w:szCs w:val="22"/>
          <w:lang w:val="el-GR"/>
        </w:rPr>
      </w:pPr>
    </w:p>
    <w:p w:rsidR="00240ED3" w:rsidRPr="003423AC" w:rsidRDefault="000309FB">
      <w:pPr>
        <w:pStyle w:val="a3"/>
        <w:rPr>
          <w:rFonts w:ascii="Times New Roman" w:hAnsi="Times New Roman"/>
          <w:sz w:val="22"/>
          <w:szCs w:val="22"/>
          <w:lang w:val="el-GR"/>
        </w:rPr>
      </w:pPr>
      <w:proofErr w:type="gramStart"/>
      <w:r w:rsidRPr="003423AC">
        <w:rPr>
          <w:rFonts w:ascii="Times New Roman" w:hAnsi="Times New Roman"/>
          <w:sz w:val="22"/>
          <w:szCs w:val="22"/>
        </w:rPr>
        <w:t>To</w:t>
      </w:r>
      <w:r w:rsidRPr="003423AC">
        <w:rPr>
          <w:rFonts w:ascii="Times New Roman" w:hAnsi="Times New Roman"/>
          <w:sz w:val="22"/>
          <w:szCs w:val="22"/>
          <w:lang w:val="el-GR"/>
        </w:rPr>
        <w:t xml:space="preserve"> σεβοφλουράνιο μπορεί να υποστεί αλκαλική αποδόμηση με δύο τρόπους.</w:t>
      </w:r>
      <w:proofErr w:type="gramEnd"/>
      <w:r w:rsidRPr="003423AC">
        <w:rPr>
          <w:rFonts w:ascii="Times New Roman" w:hAnsi="Times New Roman"/>
          <w:sz w:val="22"/>
          <w:szCs w:val="22"/>
          <w:lang w:val="el-GR"/>
        </w:rPr>
        <w:t xml:space="preserve"> Ο πρώτος είναι απόρροια της έλλειψης υδρογονωμένου φθορίου και σχηματισμού του </w:t>
      </w:r>
      <w:proofErr w:type="spellStart"/>
      <w:r w:rsidRPr="003423AC">
        <w:rPr>
          <w:rFonts w:ascii="Times New Roman" w:hAnsi="Times New Roman"/>
          <w:sz w:val="22"/>
          <w:szCs w:val="22"/>
        </w:rPr>
        <w:t>pentafluoroisopropanyl</w:t>
      </w:r>
      <w:proofErr w:type="spellEnd"/>
      <w:r w:rsidRPr="003423AC">
        <w:rPr>
          <w:rFonts w:ascii="Times New Roman" w:hAnsi="Times New Roman"/>
          <w:sz w:val="22"/>
          <w:szCs w:val="22"/>
          <w:lang w:val="el-GR"/>
        </w:rPr>
        <w:t xml:space="preserve"> </w:t>
      </w:r>
      <w:proofErr w:type="spellStart"/>
      <w:r w:rsidRPr="003423AC">
        <w:rPr>
          <w:rFonts w:ascii="Times New Roman" w:hAnsi="Times New Roman"/>
          <w:sz w:val="22"/>
          <w:szCs w:val="22"/>
        </w:rPr>
        <w:t>fluoromethyl</w:t>
      </w:r>
      <w:proofErr w:type="spellEnd"/>
      <w:r w:rsidRPr="003423AC">
        <w:rPr>
          <w:rFonts w:ascii="Times New Roman" w:hAnsi="Times New Roman"/>
          <w:sz w:val="22"/>
          <w:szCs w:val="22"/>
          <w:lang w:val="el-GR"/>
        </w:rPr>
        <w:t xml:space="preserve"> </w:t>
      </w:r>
      <w:r w:rsidRPr="003423AC">
        <w:rPr>
          <w:rFonts w:ascii="Times New Roman" w:hAnsi="Times New Roman"/>
          <w:sz w:val="22"/>
          <w:szCs w:val="22"/>
        </w:rPr>
        <w:t>ether</w:t>
      </w:r>
      <w:r w:rsidRPr="003423AC">
        <w:rPr>
          <w:rFonts w:ascii="Times New Roman" w:hAnsi="Times New Roman"/>
          <w:sz w:val="22"/>
          <w:szCs w:val="22"/>
          <w:lang w:val="el-GR"/>
        </w:rPr>
        <w:t xml:space="preserve"> (</w:t>
      </w:r>
      <w:r w:rsidRPr="003423AC">
        <w:rPr>
          <w:rFonts w:ascii="Times New Roman" w:hAnsi="Times New Roman"/>
          <w:sz w:val="22"/>
          <w:szCs w:val="22"/>
        </w:rPr>
        <w:t>PIFE</w:t>
      </w:r>
      <w:r w:rsidRPr="003423AC">
        <w:rPr>
          <w:rFonts w:ascii="Times New Roman" w:hAnsi="Times New Roman"/>
          <w:sz w:val="22"/>
          <w:szCs w:val="22"/>
          <w:lang w:val="el-GR"/>
        </w:rPr>
        <w:t xml:space="preserve"> ή αλλιώς γνωστό ως Παράγωγο Α). Ο δεύτερος τρόπος αποδόμησης του σεβοφλουρανίου προκύπτει μόνο επί </w:t>
      </w:r>
      <w:r w:rsidRPr="003423AC">
        <w:rPr>
          <w:rFonts w:ascii="Times New Roman" w:hAnsi="Times New Roman"/>
          <w:color w:val="auto"/>
          <w:sz w:val="22"/>
          <w:szCs w:val="22"/>
          <w:lang w:val="el-GR"/>
        </w:rPr>
        <w:t xml:space="preserve">παρουσίας απορροφητών </w:t>
      </w:r>
      <w:r w:rsidRPr="003423AC">
        <w:rPr>
          <w:rFonts w:ascii="Times New Roman" w:hAnsi="Times New Roman"/>
          <w:color w:val="auto"/>
          <w:sz w:val="22"/>
          <w:szCs w:val="22"/>
        </w:rPr>
        <w:t>C</w:t>
      </w:r>
      <w:r w:rsidRPr="003423AC">
        <w:rPr>
          <w:rFonts w:ascii="Times New Roman" w:hAnsi="Times New Roman"/>
          <w:color w:val="auto"/>
          <w:sz w:val="22"/>
          <w:szCs w:val="22"/>
          <w:lang w:val="el-GR"/>
        </w:rPr>
        <w:t>Ο</w:t>
      </w:r>
      <w:r w:rsidRPr="003423AC">
        <w:rPr>
          <w:rFonts w:ascii="Times New Roman" w:hAnsi="Times New Roman"/>
          <w:color w:val="auto"/>
          <w:position w:val="-6"/>
          <w:sz w:val="22"/>
          <w:szCs w:val="22"/>
          <w:lang w:val="el-GR"/>
        </w:rPr>
        <w:t>2</w:t>
      </w:r>
      <w:r w:rsidRPr="003423AC">
        <w:rPr>
          <w:rFonts w:ascii="Times New Roman" w:hAnsi="Times New Roman"/>
          <w:color w:val="auto"/>
          <w:sz w:val="22"/>
          <w:szCs w:val="22"/>
          <w:lang w:val="el-GR"/>
        </w:rPr>
        <w:t xml:space="preserve"> που έχουν υποστεί ξήρανση και οδηγεί σε διάσπαση του σεβοφλουρανίου σε </w:t>
      </w:r>
      <w:proofErr w:type="spellStart"/>
      <w:r w:rsidRPr="003423AC">
        <w:rPr>
          <w:rFonts w:ascii="Times New Roman" w:hAnsi="Times New Roman"/>
          <w:color w:val="auto"/>
          <w:sz w:val="22"/>
          <w:szCs w:val="22"/>
        </w:rPr>
        <w:t>hexafluoroisopropanol</w:t>
      </w:r>
      <w:proofErr w:type="spellEnd"/>
      <w:r w:rsidRPr="003423AC">
        <w:rPr>
          <w:rFonts w:ascii="Times New Roman" w:hAnsi="Times New Roman"/>
          <w:color w:val="auto"/>
          <w:sz w:val="22"/>
          <w:szCs w:val="22"/>
          <w:lang w:val="el-GR"/>
        </w:rPr>
        <w:t xml:space="preserve"> (</w:t>
      </w:r>
      <w:r w:rsidRPr="003423AC">
        <w:rPr>
          <w:rFonts w:ascii="Times New Roman" w:hAnsi="Times New Roman"/>
          <w:color w:val="auto"/>
          <w:sz w:val="22"/>
          <w:szCs w:val="22"/>
        </w:rPr>
        <w:t>HFIP</w:t>
      </w:r>
      <w:r w:rsidRPr="003423AC">
        <w:rPr>
          <w:rFonts w:ascii="Times New Roman" w:hAnsi="Times New Roman"/>
          <w:color w:val="auto"/>
          <w:sz w:val="22"/>
          <w:szCs w:val="22"/>
          <w:lang w:val="el-GR"/>
        </w:rPr>
        <w:t xml:space="preserve">) και φορμαλδεΰδη. Το </w:t>
      </w:r>
      <w:r w:rsidRPr="003423AC">
        <w:rPr>
          <w:rFonts w:ascii="Times New Roman" w:hAnsi="Times New Roman"/>
          <w:color w:val="auto"/>
          <w:sz w:val="22"/>
          <w:szCs w:val="22"/>
        </w:rPr>
        <w:t>HFIP</w:t>
      </w:r>
      <w:r w:rsidRPr="003423AC">
        <w:rPr>
          <w:rFonts w:ascii="Times New Roman" w:hAnsi="Times New Roman"/>
          <w:color w:val="auto"/>
          <w:sz w:val="22"/>
          <w:szCs w:val="22"/>
          <w:lang w:val="el-GR"/>
        </w:rPr>
        <w:t xml:space="preserve"> είναι ανενεργό, μη γενοτοξικό, υφίσταται ταχεία σύζευξη με γλυκουρονικό οξύ και εμφανίζει συγκρίσιμη τοξικότητα με το σεβοφλουράνιο.</w:t>
      </w:r>
      <w:r w:rsidRPr="003423AC">
        <w:rPr>
          <w:rFonts w:ascii="Times New Roman" w:hAnsi="Times New Roman"/>
          <w:sz w:val="22"/>
          <w:szCs w:val="22"/>
          <w:lang w:val="el-GR"/>
        </w:rPr>
        <w:t xml:space="preserve"> Η φορμαλδεϋδη είναι παρούσα υπό κανονικές διαδικασίες μεταβολισμού. Η φορμαλδεΰδη μπορεί να υποστεί περαιτέρω αποδόμηση σε μεθανόλη &amp; παράγωγο κατόπιν έκθεσης σε υπερβολικά αποξηραμένο απορροφητή. Παρουσία υψηλής θερμοκρασίας τ</w:t>
      </w:r>
      <w:r w:rsidRPr="003423AC">
        <w:rPr>
          <w:rFonts w:ascii="Times New Roman" w:hAnsi="Times New Roman"/>
          <w:sz w:val="22"/>
          <w:szCs w:val="22"/>
        </w:rPr>
        <w:t>o</w:t>
      </w:r>
      <w:r w:rsidRPr="003423AC">
        <w:rPr>
          <w:rFonts w:ascii="Times New Roman" w:hAnsi="Times New Roman"/>
          <w:sz w:val="22"/>
          <w:szCs w:val="22"/>
          <w:lang w:val="el-GR"/>
        </w:rPr>
        <w:t xml:space="preserve"> παράγωγο μπορεί να συνεισφέρει στο σχηματισμό μονοξειδίου του άνθρακα. Η μεθανόλη μπορεί να αντιδράσει με το Παράγωγο Α και να σχηματίσει το νέο </w:t>
      </w:r>
      <w:proofErr w:type="spellStart"/>
      <w:r w:rsidRPr="003423AC">
        <w:rPr>
          <w:rFonts w:ascii="Times New Roman" w:hAnsi="Times New Roman"/>
          <w:sz w:val="22"/>
          <w:szCs w:val="22"/>
        </w:rPr>
        <w:t>methoxy</w:t>
      </w:r>
      <w:proofErr w:type="spellEnd"/>
      <w:r w:rsidRPr="003423AC">
        <w:rPr>
          <w:rFonts w:ascii="Times New Roman" w:hAnsi="Times New Roman"/>
          <w:sz w:val="22"/>
          <w:szCs w:val="22"/>
          <w:lang w:val="el-GR"/>
        </w:rPr>
        <w:t>-προϊόν, παράγωγο Β. Το Παράγωγο Β μπορεί να υποστεί περαιτέρω Η</w:t>
      </w:r>
      <w:r w:rsidRPr="003423AC">
        <w:rPr>
          <w:rFonts w:ascii="Times New Roman" w:hAnsi="Times New Roman"/>
          <w:sz w:val="22"/>
          <w:szCs w:val="22"/>
        </w:rPr>
        <w:t>F</w:t>
      </w:r>
      <w:r w:rsidRPr="003423AC">
        <w:rPr>
          <w:rFonts w:ascii="Times New Roman" w:hAnsi="Times New Roman"/>
          <w:sz w:val="22"/>
          <w:szCs w:val="22"/>
          <w:lang w:val="el-GR"/>
        </w:rPr>
        <w:t xml:space="preserve"> διάσπαση και να σχηματίσει τα παράγωγα </w:t>
      </w:r>
      <w:r w:rsidRPr="003423AC">
        <w:rPr>
          <w:rFonts w:ascii="Times New Roman" w:hAnsi="Times New Roman"/>
          <w:sz w:val="22"/>
          <w:szCs w:val="22"/>
        </w:rPr>
        <w:t>C</w:t>
      </w:r>
      <w:r w:rsidRPr="003423AC">
        <w:rPr>
          <w:rFonts w:ascii="Times New Roman" w:hAnsi="Times New Roman"/>
          <w:sz w:val="22"/>
          <w:szCs w:val="22"/>
          <w:lang w:val="el-GR"/>
        </w:rPr>
        <w:t xml:space="preserve">, </w:t>
      </w:r>
      <w:r w:rsidRPr="003423AC">
        <w:rPr>
          <w:rFonts w:ascii="Times New Roman" w:hAnsi="Times New Roman"/>
          <w:sz w:val="22"/>
          <w:szCs w:val="22"/>
        </w:rPr>
        <w:t>D</w:t>
      </w:r>
      <w:r w:rsidRPr="003423AC">
        <w:rPr>
          <w:rFonts w:ascii="Times New Roman" w:hAnsi="Times New Roman"/>
          <w:sz w:val="22"/>
          <w:szCs w:val="22"/>
          <w:lang w:val="el-GR"/>
        </w:rPr>
        <w:t xml:space="preserve"> και Ε. </w:t>
      </w:r>
    </w:p>
    <w:p w:rsidR="000309FB" w:rsidRPr="003423AC" w:rsidRDefault="000309FB">
      <w:pPr>
        <w:pStyle w:val="a3"/>
        <w:rPr>
          <w:rFonts w:ascii="Times New Roman" w:hAnsi="Times New Roman"/>
          <w:i/>
          <w:iCs/>
          <w:sz w:val="22"/>
          <w:szCs w:val="22"/>
          <w:lang w:val="el-GR"/>
        </w:rPr>
      </w:pPr>
      <w:r w:rsidRPr="003423AC">
        <w:rPr>
          <w:rFonts w:ascii="Times New Roman" w:hAnsi="Times New Roman"/>
          <w:sz w:val="22"/>
          <w:szCs w:val="22"/>
          <w:lang w:val="el-GR"/>
        </w:rPr>
        <w:t xml:space="preserve">Με απορροφητές που έχουν υποστεί υπερβολική ξήρανση, ειδικά αυτούς που περιέχουν υδροξείδιο του καλίου , ενδέχεται να προκύψει σχηματισμός  φορμαλδεΰδης, μεθανόλης, μονοξειδίου του άνθρακα, Παραγώγου Α (και ενδεχομένως κάποιων προϊόντων αποδόμησής του), Παραγώγων </w:t>
      </w:r>
      <w:r w:rsidRPr="003423AC">
        <w:rPr>
          <w:rFonts w:ascii="Times New Roman" w:hAnsi="Times New Roman"/>
          <w:sz w:val="22"/>
          <w:szCs w:val="22"/>
        </w:rPr>
        <w:t>C</w:t>
      </w:r>
      <w:r w:rsidRPr="003423AC">
        <w:rPr>
          <w:rFonts w:ascii="Times New Roman" w:hAnsi="Times New Roman"/>
          <w:sz w:val="22"/>
          <w:szCs w:val="22"/>
          <w:lang w:val="el-GR"/>
        </w:rPr>
        <w:t xml:space="preserve">, </w:t>
      </w:r>
      <w:r w:rsidRPr="003423AC">
        <w:rPr>
          <w:rFonts w:ascii="Times New Roman" w:hAnsi="Times New Roman"/>
          <w:sz w:val="22"/>
          <w:szCs w:val="22"/>
        </w:rPr>
        <w:t>D</w:t>
      </w:r>
      <w:r w:rsidRPr="003423AC">
        <w:rPr>
          <w:rFonts w:ascii="Times New Roman" w:hAnsi="Times New Roman"/>
          <w:sz w:val="22"/>
          <w:szCs w:val="22"/>
          <w:lang w:val="el-GR"/>
        </w:rPr>
        <w:t xml:space="preserve"> και Ε.</w:t>
      </w:r>
    </w:p>
    <w:p w:rsidR="000309FB" w:rsidRPr="003423AC" w:rsidRDefault="000309FB">
      <w:pPr>
        <w:pStyle w:val="a3"/>
        <w:rPr>
          <w:rFonts w:ascii="Times New Roman" w:hAnsi="Times New Roman"/>
          <w:i/>
          <w:iCs/>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i/>
          <w:iCs/>
          <w:sz w:val="22"/>
          <w:szCs w:val="22"/>
          <w:lang w:val="el-GR"/>
        </w:rPr>
        <w:t>Διαλυτότης</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Η χαμηλή διαλυτότητά του στο αίμα υποδεικνύει ότι οι κυψελιδικές συγκεντρώσεις του σεβοφλουρανίου θα πρέπει να αυξάνονται ταχέως κατά την εισαγωγή στην αναισθησία και να μειώνονται επίσης ταχέως μετά την διακοπή του. Το φαινόμενο αυτό επιβεβαιώθηκε σε μια κλινική μελέτη στην οποία μετρήθηκαν οι εισπνεόμενες και τελοεκπνεόμενες συγκεντρώσεις (</w:t>
      </w:r>
      <w:r w:rsidRPr="003423AC">
        <w:rPr>
          <w:rFonts w:ascii="Times New Roman" w:hAnsi="Times New Roman"/>
          <w:sz w:val="22"/>
          <w:szCs w:val="22"/>
        </w:rPr>
        <w:t>F</w:t>
      </w:r>
      <w:r w:rsidRPr="003423AC">
        <w:rPr>
          <w:rFonts w:ascii="Times New Roman" w:hAnsi="Times New Roman"/>
          <w:sz w:val="22"/>
          <w:szCs w:val="22"/>
          <w:lang w:val="el-GR"/>
        </w:rPr>
        <w:t>Ι/</w:t>
      </w:r>
      <w:r w:rsidRPr="003423AC">
        <w:rPr>
          <w:rFonts w:ascii="Times New Roman" w:hAnsi="Times New Roman"/>
          <w:sz w:val="22"/>
          <w:szCs w:val="22"/>
        </w:rPr>
        <w:t>F</w:t>
      </w:r>
      <w:r w:rsidRPr="003423AC">
        <w:rPr>
          <w:rFonts w:ascii="Times New Roman" w:hAnsi="Times New Roman"/>
          <w:sz w:val="22"/>
          <w:szCs w:val="22"/>
          <w:lang w:val="el-GR"/>
        </w:rPr>
        <w:t xml:space="preserve">Α). Στα 30 λεπτά η τιμή </w:t>
      </w:r>
      <w:r w:rsidRPr="003423AC">
        <w:rPr>
          <w:rFonts w:ascii="Times New Roman" w:hAnsi="Times New Roman"/>
          <w:sz w:val="22"/>
          <w:szCs w:val="22"/>
        </w:rPr>
        <w:t>FA</w:t>
      </w:r>
      <w:r w:rsidRPr="003423AC">
        <w:rPr>
          <w:rFonts w:ascii="Times New Roman" w:hAnsi="Times New Roman"/>
          <w:sz w:val="22"/>
          <w:szCs w:val="22"/>
          <w:lang w:val="el-GR"/>
        </w:rPr>
        <w:t>/</w:t>
      </w:r>
      <w:r w:rsidRPr="003423AC">
        <w:rPr>
          <w:rFonts w:ascii="Times New Roman" w:hAnsi="Times New Roman"/>
          <w:sz w:val="22"/>
          <w:szCs w:val="22"/>
        </w:rPr>
        <w:t>F</w:t>
      </w:r>
      <w:r w:rsidRPr="003423AC">
        <w:rPr>
          <w:rFonts w:ascii="Times New Roman" w:hAnsi="Times New Roman"/>
          <w:sz w:val="22"/>
          <w:szCs w:val="22"/>
          <w:lang w:val="el-GR"/>
        </w:rPr>
        <w:t>1 (</w:t>
      </w:r>
      <w:proofErr w:type="spellStart"/>
      <w:r w:rsidRPr="003423AC">
        <w:rPr>
          <w:rFonts w:ascii="Times New Roman" w:hAnsi="Times New Roman"/>
          <w:sz w:val="22"/>
          <w:szCs w:val="22"/>
        </w:rPr>
        <w:t>washin</w:t>
      </w:r>
      <w:proofErr w:type="spellEnd"/>
      <w:r w:rsidRPr="003423AC">
        <w:rPr>
          <w:rFonts w:ascii="Times New Roman" w:hAnsi="Times New Roman"/>
          <w:sz w:val="22"/>
          <w:szCs w:val="22"/>
          <w:lang w:val="el-GR"/>
        </w:rPr>
        <w:t xml:space="preserve">) για το σεβοφλουράνιο ήταν 0.85 και η τιμή αποβολής </w:t>
      </w:r>
      <w:r w:rsidRPr="003423AC">
        <w:rPr>
          <w:rFonts w:ascii="Times New Roman" w:hAnsi="Times New Roman"/>
          <w:sz w:val="22"/>
          <w:szCs w:val="22"/>
        </w:rPr>
        <w:t>FA</w:t>
      </w:r>
      <w:r w:rsidRPr="003423AC">
        <w:rPr>
          <w:rFonts w:ascii="Times New Roman" w:hAnsi="Times New Roman"/>
          <w:sz w:val="22"/>
          <w:szCs w:val="22"/>
          <w:lang w:val="el-GR"/>
        </w:rPr>
        <w:t>/</w:t>
      </w:r>
      <w:r w:rsidRPr="003423AC">
        <w:rPr>
          <w:rFonts w:ascii="Times New Roman" w:hAnsi="Times New Roman"/>
          <w:sz w:val="22"/>
          <w:szCs w:val="22"/>
        </w:rPr>
        <w:t>FAO</w:t>
      </w:r>
      <w:r w:rsidRPr="003423AC">
        <w:rPr>
          <w:rFonts w:ascii="Times New Roman" w:hAnsi="Times New Roman"/>
          <w:sz w:val="22"/>
          <w:szCs w:val="22"/>
          <w:lang w:val="el-GR"/>
        </w:rPr>
        <w:t xml:space="preserve"> (</w:t>
      </w:r>
      <w:r w:rsidRPr="003423AC">
        <w:rPr>
          <w:rFonts w:ascii="Times New Roman" w:hAnsi="Times New Roman"/>
          <w:sz w:val="22"/>
          <w:szCs w:val="22"/>
        </w:rPr>
        <w:t>washout</w:t>
      </w:r>
      <w:r w:rsidRPr="003423AC">
        <w:rPr>
          <w:rFonts w:ascii="Times New Roman" w:hAnsi="Times New Roman"/>
          <w:sz w:val="22"/>
          <w:szCs w:val="22"/>
          <w:lang w:val="el-GR"/>
        </w:rPr>
        <w:t>) στα 5 λεπτά μετά τη διακοπή του ήταν 0,15.</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i/>
          <w:iCs/>
          <w:sz w:val="22"/>
          <w:szCs w:val="22"/>
          <w:lang w:val="el-GR"/>
        </w:rPr>
        <w:t>Κατανομή</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Τα αποτελέσματα του σεβοφλουρανίου στην εκτόπιση φαρμάκων από τις πρωτεΐνες ορού και ιστών δεν έχουν μελετηθεί. ΄Αλλα φθοριούχα πτητικά αναισθητικά έχουν δείξει </w:t>
      </w:r>
      <w:r w:rsidRPr="003423AC">
        <w:rPr>
          <w:rFonts w:ascii="Times New Roman" w:hAnsi="Times New Roman"/>
          <w:sz w:val="22"/>
          <w:szCs w:val="22"/>
        </w:rPr>
        <w:t>in</w:t>
      </w:r>
      <w:r w:rsidRPr="003423AC">
        <w:rPr>
          <w:rFonts w:ascii="Times New Roman" w:hAnsi="Times New Roman"/>
          <w:sz w:val="22"/>
          <w:szCs w:val="22"/>
          <w:lang w:val="el-GR"/>
        </w:rPr>
        <w:t xml:space="preserve"> </w:t>
      </w:r>
      <w:r w:rsidRPr="003423AC">
        <w:rPr>
          <w:rFonts w:ascii="Times New Roman" w:hAnsi="Times New Roman"/>
          <w:sz w:val="22"/>
          <w:szCs w:val="22"/>
        </w:rPr>
        <w:t>vitro</w:t>
      </w:r>
      <w:r w:rsidRPr="003423AC">
        <w:rPr>
          <w:rFonts w:ascii="Times New Roman" w:hAnsi="Times New Roman"/>
          <w:sz w:val="22"/>
          <w:szCs w:val="22"/>
          <w:lang w:val="el-GR"/>
        </w:rPr>
        <w:t xml:space="preserve"> ότι εκτοπίζουν τα φάρμακα από τις πρωτεΐνες ορού και ιστών. Η κλινική σημασία του φαινομένου αυτού δεν είναι γνωστή. Οι κλινικές μελέτες δεν έχουν δείξει ανεπιθύμητα αποτελέσματα όταν το σεβοφλουράνιο χορηγήθηκε σε ασθενείς που ελάμβαναν φάρμακα τα οποία δεσμεύονται σε υψηλό ποσοστό και έχουν μικρό όγκο κατανομής (όπως π.χ.φαινυτοΐνη).</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i/>
          <w:iCs/>
          <w:sz w:val="22"/>
          <w:szCs w:val="22"/>
          <w:lang w:val="el-GR"/>
        </w:rPr>
        <w:t>Μεταβολισμός</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Η ταχεία αποβολή του σεβοφλουρανίου από τους πνεύμονες ελαχιστοποιεί την διαθέσιμη ποσότητα του αναισθητικού για μεταβολισμό. Στον άνθρωπο, ποσότητα μικρότερη από 5% του απορροφημένου σεβοφλουρανίου μεταβολίζεται μέσω κυτο</w:t>
      </w:r>
      <w:r w:rsidR="00E53AAA" w:rsidRPr="003423AC">
        <w:rPr>
          <w:rFonts w:ascii="Times New Roman" w:hAnsi="Times New Roman"/>
          <w:sz w:val="22"/>
          <w:szCs w:val="22"/>
          <w:lang w:val="el-GR"/>
        </w:rPr>
        <w:t>χρώματος Ρ</w:t>
      </w:r>
      <w:r w:rsidRPr="003423AC">
        <w:rPr>
          <w:rFonts w:ascii="Times New Roman" w:hAnsi="Times New Roman"/>
          <w:sz w:val="22"/>
          <w:szCs w:val="22"/>
          <w:lang w:val="el-GR"/>
        </w:rPr>
        <w:t>450 2Ε1στο ήπαρ σε εξαφθοροϊσοπροπανόλη (</w:t>
      </w:r>
      <w:r w:rsidRPr="003423AC">
        <w:rPr>
          <w:rFonts w:ascii="Times New Roman" w:hAnsi="Times New Roman"/>
          <w:sz w:val="22"/>
          <w:szCs w:val="22"/>
        </w:rPr>
        <w:t>HFIP</w:t>
      </w:r>
      <w:r w:rsidRPr="003423AC">
        <w:rPr>
          <w:rFonts w:ascii="Times New Roman" w:hAnsi="Times New Roman"/>
          <w:sz w:val="22"/>
          <w:szCs w:val="22"/>
          <w:lang w:val="el-GR"/>
        </w:rPr>
        <w:t xml:space="preserve">) απελευθερώνοντας ανόργανο φθόριο και διοξείδιο του άνθρακα (ή ένα μονοανθρακικό τμήμα). Αμέσως μετά από το σχηματισμό του, το </w:t>
      </w:r>
      <w:r w:rsidRPr="003423AC">
        <w:rPr>
          <w:rFonts w:ascii="Times New Roman" w:hAnsi="Times New Roman"/>
          <w:sz w:val="22"/>
          <w:szCs w:val="22"/>
        </w:rPr>
        <w:t>HFIP</w:t>
      </w:r>
      <w:r w:rsidRPr="003423AC">
        <w:rPr>
          <w:rFonts w:ascii="Times New Roman" w:hAnsi="Times New Roman"/>
          <w:sz w:val="22"/>
          <w:szCs w:val="22"/>
          <w:lang w:val="el-GR"/>
        </w:rPr>
        <w:t xml:space="preserve"> υφίσταται ταχεία σύζευξη με γλυκουρονικό οξύ και απέκκριση στα ούρα. Δεν έχουν ταυτοποιηθεί άλλες οδοί βιομετασχηματισμού του σεβοφλουρανίου. Είναι το μόνο φθοριούχο πτητικό αναισθητικό το οποίο δεν μεταβολίζεται σε τριφθορο-οξεικό οξύ.</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i/>
          <w:iCs/>
          <w:sz w:val="22"/>
          <w:szCs w:val="22"/>
          <w:lang w:val="el-GR"/>
        </w:rPr>
        <w:t>Ιόντα φθορίου</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Οι συγκεντρώσεις των ιόντων φθορίου επηρεάζονται από την διάρκεια της αναισθησίας, την χορηγούμενη συγκέντρωση του σεβοφλουρανίου και την σύνθεση του μείγματος των αναισθητικών.</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Ο μεταβολισμός του σεβοφλουρανίου δεν διεγείρεται από τα βαρβιτουρικά.</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b/>
          <w:i/>
          <w:iCs/>
          <w:sz w:val="22"/>
          <w:szCs w:val="22"/>
          <w:lang w:val="el-GR"/>
        </w:rPr>
      </w:pPr>
      <w:r w:rsidRPr="003423AC">
        <w:rPr>
          <w:rFonts w:ascii="Times New Roman" w:hAnsi="Times New Roman"/>
          <w:sz w:val="22"/>
          <w:szCs w:val="22"/>
          <w:lang w:val="el-GR"/>
        </w:rPr>
        <w:t xml:space="preserve">Στο Κλινικό Πρόγραμμα της ΑΒΒΟΤΤ, ποσοστό περίπου 7% των ενηλίκων που είχαν μελετηθεί για </w:t>
      </w:r>
      <w:r w:rsidRPr="003423AC">
        <w:rPr>
          <w:rFonts w:ascii="Times New Roman" w:hAnsi="Times New Roman"/>
          <w:sz w:val="22"/>
          <w:szCs w:val="22"/>
          <w:lang w:val="el-GR"/>
        </w:rPr>
        <w:lastRenderedPageBreak/>
        <w:t>συγκεντρώσεις ανόργανου φθορίου, παρουσίασαν συγκεντρώσεις μεγαλύτερες των 50μΜ. Στους ασθενείς αυτούς δεν παρατηρήθηκε σημαντική κλινική επίδραση στη νεφρική λειτουργία</w:t>
      </w:r>
      <w:r w:rsidR="00671B9B" w:rsidRPr="003423AC">
        <w:rPr>
          <w:rFonts w:ascii="Times New Roman" w:hAnsi="Times New Roman"/>
          <w:sz w:val="22"/>
          <w:szCs w:val="22"/>
          <w:lang w:val="el-GR"/>
        </w:rPr>
        <w:t xml:space="preserve"> (βλέπε παράγραφο 4.5 </w:t>
      </w:r>
      <w:r w:rsidR="00671B9B" w:rsidRPr="003423AC">
        <w:rPr>
          <w:rFonts w:ascii="Times New Roman" w:hAnsi="Times New Roman"/>
          <w:iCs/>
          <w:sz w:val="22"/>
          <w:szCs w:val="22"/>
          <w:lang w:val="el-GR"/>
        </w:rPr>
        <w:t>Επαγωγείς του CYP2E1</w:t>
      </w:r>
      <w:r w:rsidR="00671B9B" w:rsidRPr="003423AC">
        <w:rPr>
          <w:rFonts w:ascii="Times New Roman" w:hAnsi="Times New Roman"/>
          <w:b/>
          <w:i/>
          <w:iCs/>
          <w:sz w:val="22"/>
          <w:szCs w:val="22"/>
          <w:lang w:val="el-GR"/>
        </w:rPr>
        <w:t>)</w:t>
      </w:r>
      <w:r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5.3</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Προκλινικά δεδομένα για την ασφάλεια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Το σεβοφλουράνιο έχει χαμηλή οξεία τοξικότητα σε αρουραίους, ποντικούς κουνέλια, σκύλους και πιθήκους. Η εισαγωγή στην αναισθησία ήταν ομαλή και ταχεία, χωρίς σημεία πάλης ή δύσπνοιας ή άλλες ανεπιθύμητες ενέργειες.</w:t>
      </w:r>
      <w:r w:rsidR="00E53AAA" w:rsidRPr="003423AC">
        <w:rPr>
          <w:rFonts w:ascii="Times New Roman" w:hAnsi="Times New Roman"/>
          <w:sz w:val="22"/>
          <w:szCs w:val="22"/>
          <w:lang w:val="el-GR"/>
        </w:rPr>
        <w:t xml:space="preserve"> </w:t>
      </w:r>
      <w:r w:rsidRPr="003423AC">
        <w:rPr>
          <w:rFonts w:ascii="Times New Roman" w:hAnsi="Times New Roman"/>
          <w:sz w:val="22"/>
          <w:szCs w:val="22"/>
          <w:lang w:val="el-GR"/>
        </w:rPr>
        <w:t>Οι θάνατοι από έκθεση σε θανατηφόρες συγκεντρώσεις οφείλονται σε αναπνευστική ανακοπή. Η έκθεση δεν οδήγησε σε ειδική τοξική επίδραση στα όργανα ή στην ανάπτυξη των πειραματόζωων.</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Οι αρουραίοι τύπου </w:t>
      </w:r>
      <w:r w:rsidRPr="003423AC">
        <w:rPr>
          <w:rFonts w:ascii="Times New Roman" w:hAnsi="Times New Roman"/>
          <w:sz w:val="22"/>
          <w:szCs w:val="22"/>
        </w:rPr>
        <w:t>Fischer</w:t>
      </w:r>
      <w:r w:rsidRPr="003423AC">
        <w:rPr>
          <w:rFonts w:ascii="Times New Roman" w:hAnsi="Times New Roman"/>
          <w:sz w:val="22"/>
          <w:szCs w:val="22"/>
          <w:lang w:val="el-GR"/>
        </w:rPr>
        <w:t xml:space="preserve"> 344 αναισθητοποιήθηκαν 2-3 λεπτά μετά την έναρξη της έκθεσής τους στο σεβοφλουράνιο (1,4 %) και για μια διάρκεια μέχρι και 10 ωρών. Μετά την χορήγηση του σεβοφλουρανίου δεν παρατηρήθηκαν μορφολογικές ή λειτουργικές ανωμαλίες.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Σε μία μελέτη αναπαραγωγής Τμήματος Ι, το σεβοφλουράνιο δεν έδειξε να έχει σημαντική επίδραση στην αναπαραγωγική ικανότητα αρσενικών ή θηλυκών σε συγκεντρώσεις μέχρι και 1</w:t>
      </w:r>
      <w:r w:rsidR="00AC63C4" w:rsidRPr="003423AC">
        <w:rPr>
          <w:rFonts w:ascii="Times New Roman" w:hAnsi="Times New Roman"/>
          <w:sz w:val="22"/>
          <w:szCs w:val="22"/>
          <w:lang w:val="el-GR"/>
        </w:rPr>
        <w:t>,</w:t>
      </w:r>
      <w:r w:rsidRPr="003423AC">
        <w:rPr>
          <w:rFonts w:ascii="Times New Roman" w:hAnsi="Times New Roman"/>
          <w:sz w:val="22"/>
          <w:szCs w:val="22"/>
          <w:lang w:val="el-GR"/>
        </w:rPr>
        <w:t xml:space="preserve">0 </w:t>
      </w:r>
      <w:r w:rsidRPr="003423AC">
        <w:rPr>
          <w:rFonts w:ascii="Times New Roman" w:hAnsi="Times New Roman"/>
          <w:sz w:val="22"/>
          <w:szCs w:val="22"/>
        </w:rPr>
        <w:t>MAC</w:t>
      </w:r>
      <w:r w:rsidRPr="003423AC">
        <w:rPr>
          <w:rFonts w:ascii="Times New Roman" w:hAnsi="Times New Roman"/>
          <w:sz w:val="22"/>
          <w:szCs w:val="22"/>
          <w:lang w:val="el-GR"/>
        </w:rPr>
        <w:t xml:space="preserve"> (2,2 %). Οι μελέτες Τμήματος ΙΙ και ΙΙΙ σε αρουραίους δείχνουν ότι το σεβοφλουράνιο δεν έχει επιλεκτική τοξική επίδραση στην ανάπτυξη.</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Παράγωγο Α</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Στους αρουραίους </w:t>
      </w:r>
      <w:proofErr w:type="spellStart"/>
      <w:r w:rsidRPr="003423AC">
        <w:rPr>
          <w:rFonts w:ascii="Times New Roman" w:hAnsi="Times New Roman"/>
          <w:sz w:val="22"/>
          <w:szCs w:val="22"/>
        </w:rPr>
        <w:t>Wistar</w:t>
      </w:r>
      <w:proofErr w:type="spellEnd"/>
      <w:r w:rsidRPr="003423AC">
        <w:rPr>
          <w:rFonts w:ascii="Times New Roman" w:hAnsi="Times New Roman"/>
          <w:sz w:val="22"/>
          <w:szCs w:val="22"/>
          <w:lang w:val="el-GR"/>
        </w:rPr>
        <w:t xml:space="preserve"> η </w:t>
      </w:r>
      <w:r w:rsidRPr="003423AC">
        <w:rPr>
          <w:rFonts w:ascii="Times New Roman" w:hAnsi="Times New Roman"/>
          <w:sz w:val="22"/>
          <w:szCs w:val="22"/>
        </w:rPr>
        <w:t>LC</w:t>
      </w:r>
      <w:r w:rsidRPr="003423AC">
        <w:rPr>
          <w:rFonts w:ascii="Times New Roman" w:hAnsi="Times New Roman"/>
          <w:position w:val="-6"/>
          <w:sz w:val="22"/>
          <w:szCs w:val="22"/>
          <w:lang w:val="el-GR"/>
        </w:rPr>
        <w:t>50</w:t>
      </w:r>
      <w:r w:rsidRPr="003423AC">
        <w:rPr>
          <w:rFonts w:ascii="Times New Roman" w:hAnsi="Times New Roman"/>
          <w:sz w:val="22"/>
          <w:szCs w:val="22"/>
          <w:lang w:val="el-GR"/>
        </w:rPr>
        <w:t xml:space="preserve"> ήταν 1050-1090 </w:t>
      </w:r>
      <w:proofErr w:type="spellStart"/>
      <w:r w:rsidRPr="003423AC">
        <w:rPr>
          <w:rFonts w:ascii="Times New Roman" w:hAnsi="Times New Roman"/>
          <w:sz w:val="22"/>
          <w:szCs w:val="22"/>
        </w:rPr>
        <w:t>ppm</w:t>
      </w:r>
      <w:proofErr w:type="spellEnd"/>
      <w:r w:rsidRPr="003423AC">
        <w:rPr>
          <w:rFonts w:ascii="Times New Roman" w:hAnsi="Times New Roman"/>
          <w:sz w:val="22"/>
          <w:szCs w:val="22"/>
          <w:lang w:val="el-GR"/>
        </w:rPr>
        <w:t xml:space="preserve"> για το παράγωγο Α σε ζώα που είχαν εκτεθεί μία ώρα και 400-420 </w:t>
      </w:r>
      <w:proofErr w:type="spellStart"/>
      <w:r w:rsidRPr="003423AC">
        <w:rPr>
          <w:rFonts w:ascii="Times New Roman" w:hAnsi="Times New Roman"/>
          <w:sz w:val="22"/>
          <w:szCs w:val="22"/>
        </w:rPr>
        <w:t>ppm</w:t>
      </w:r>
      <w:proofErr w:type="spellEnd"/>
      <w:r w:rsidRPr="003423AC">
        <w:rPr>
          <w:rFonts w:ascii="Times New Roman" w:hAnsi="Times New Roman"/>
          <w:sz w:val="22"/>
          <w:szCs w:val="22"/>
          <w:lang w:val="el-GR"/>
        </w:rPr>
        <w:t xml:space="preserve"> σε ζώα που είχαν εκτεθεί 3 ώρες. (Η μέση θανατηφόρα συγκέντρωση ήταν της τάξης των 1070 και 330-490 </w:t>
      </w:r>
      <w:r w:rsidRPr="003423AC">
        <w:rPr>
          <w:rFonts w:ascii="Times New Roman" w:hAnsi="Times New Roman"/>
          <w:sz w:val="22"/>
          <w:szCs w:val="22"/>
        </w:rPr>
        <w:t>ppm</w:t>
      </w:r>
      <w:r w:rsidRPr="003423AC">
        <w:rPr>
          <w:rFonts w:ascii="Times New Roman" w:hAnsi="Times New Roman"/>
          <w:sz w:val="22"/>
          <w:szCs w:val="22"/>
          <w:lang w:val="el-GR"/>
        </w:rPr>
        <w:t xml:space="preserve"> αντίστοιχα). Σε αρουραίους που είχαν εκτεθεί στο παράγωγο Α σε 30, 60 ή 120 </w:t>
      </w:r>
      <w:r w:rsidRPr="003423AC">
        <w:rPr>
          <w:rFonts w:ascii="Times New Roman" w:hAnsi="Times New Roman"/>
          <w:sz w:val="22"/>
          <w:szCs w:val="22"/>
        </w:rPr>
        <w:t>ppm</w:t>
      </w:r>
      <w:r w:rsidRPr="003423AC">
        <w:rPr>
          <w:rFonts w:ascii="Times New Roman" w:hAnsi="Times New Roman"/>
          <w:sz w:val="22"/>
          <w:szCs w:val="22"/>
          <w:lang w:val="el-GR"/>
        </w:rPr>
        <w:t xml:space="preserve"> σε μια μελέτη χρόνιας τοξικότητας διάρκειας 8 εβδομάδων (24 εκθέσεις, 3 ώρες / έκθεση), δεν παρατηρήθηκαν σημεία τοξικότητας εκτός από απώλεια βάρους στα θηλυκά ζώα κατά την τελευταία ημέρα της μελέτης.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Χορηγήθηκε το παράγωγο Α σε αρουραίους τύπου </w:t>
      </w:r>
      <w:r w:rsidRPr="003423AC">
        <w:rPr>
          <w:rFonts w:ascii="Times New Roman" w:hAnsi="Times New Roman"/>
          <w:sz w:val="22"/>
          <w:szCs w:val="22"/>
        </w:rPr>
        <w:t>Sprague</w:t>
      </w:r>
      <w:r w:rsidRPr="003423AC">
        <w:rPr>
          <w:rFonts w:ascii="Times New Roman" w:hAnsi="Times New Roman"/>
          <w:sz w:val="22"/>
          <w:szCs w:val="22"/>
          <w:lang w:val="el-GR"/>
        </w:rPr>
        <w:t>-</w:t>
      </w:r>
      <w:proofErr w:type="spellStart"/>
      <w:r w:rsidRPr="003423AC">
        <w:rPr>
          <w:rFonts w:ascii="Times New Roman" w:hAnsi="Times New Roman"/>
          <w:sz w:val="22"/>
          <w:szCs w:val="22"/>
        </w:rPr>
        <w:t>Dawley</w:t>
      </w:r>
      <w:proofErr w:type="spellEnd"/>
      <w:r w:rsidRPr="003423AC">
        <w:rPr>
          <w:rFonts w:ascii="Times New Roman" w:hAnsi="Times New Roman"/>
          <w:sz w:val="22"/>
          <w:szCs w:val="22"/>
          <w:lang w:val="el-GR"/>
        </w:rPr>
        <w:t xml:space="preserve"> με αποκλειστική ρινική εισπνοή σε ανοιχτό σύστημα (25, 50, 100, ή 200 </w:t>
      </w:r>
      <w:proofErr w:type="spellStart"/>
      <w:r w:rsidRPr="003423AC">
        <w:rPr>
          <w:rFonts w:ascii="Times New Roman" w:hAnsi="Times New Roman"/>
          <w:sz w:val="22"/>
          <w:szCs w:val="22"/>
        </w:rPr>
        <w:t>ppm</w:t>
      </w:r>
      <w:proofErr w:type="spellEnd"/>
      <w:r w:rsidRPr="003423AC">
        <w:rPr>
          <w:rFonts w:ascii="Times New Roman" w:hAnsi="Times New Roman"/>
          <w:sz w:val="22"/>
          <w:szCs w:val="22"/>
          <w:lang w:val="el-GR"/>
        </w:rPr>
        <w:t xml:space="preserve"> [ 0</w:t>
      </w:r>
      <w:r w:rsidR="00AC63C4" w:rsidRPr="003423AC">
        <w:rPr>
          <w:rFonts w:ascii="Times New Roman" w:hAnsi="Times New Roman"/>
          <w:sz w:val="22"/>
          <w:szCs w:val="22"/>
          <w:lang w:val="el-GR"/>
        </w:rPr>
        <w:t>,</w:t>
      </w:r>
      <w:r w:rsidRPr="003423AC">
        <w:rPr>
          <w:rFonts w:ascii="Times New Roman" w:hAnsi="Times New Roman"/>
          <w:sz w:val="22"/>
          <w:szCs w:val="22"/>
          <w:lang w:val="el-GR"/>
        </w:rPr>
        <w:t>0025-0</w:t>
      </w:r>
      <w:r w:rsidR="00AC63C4" w:rsidRPr="003423AC">
        <w:rPr>
          <w:rFonts w:ascii="Times New Roman" w:hAnsi="Times New Roman"/>
          <w:sz w:val="22"/>
          <w:szCs w:val="22"/>
          <w:lang w:val="el-GR"/>
        </w:rPr>
        <w:t>,</w:t>
      </w:r>
      <w:r w:rsidRPr="003423AC">
        <w:rPr>
          <w:rFonts w:ascii="Times New Roman" w:hAnsi="Times New Roman"/>
          <w:sz w:val="22"/>
          <w:szCs w:val="22"/>
          <w:lang w:val="el-GR"/>
        </w:rPr>
        <w:t>02%] ). Οι ομάδες ελέγχου έλαβαν αέρα. Το όριο κατά το οποίο παρατηρήθηκαν αναστρέψιμες νεφρικές διαταραχές (δοσο-εξαρτώμενη αύξηση της</w:t>
      </w:r>
      <w:r w:rsidR="00B03166" w:rsidRPr="003423AC">
        <w:rPr>
          <w:rFonts w:ascii="Times New Roman" w:hAnsi="Times New Roman"/>
          <w:sz w:val="22"/>
          <w:szCs w:val="22"/>
          <w:lang w:val="el-GR"/>
        </w:rPr>
        <w:t xml:space="preserve">ουρίας </w:t>
      </w:r>
      <w:r w:rsidRPr="003423AC">
        <w:rPr>
          <w:rFonts w:ascii="Times New Roman" w:hAnsi="Times New Roman"/>
          <w:sz w:val="22"/>
          <w:szCs w:val="22"/>
          <w:lang w:val="el-GR"/>
        </w:rPr>
        <w:t xml:space="preserve">, κρεατινίνης, γλυκόζης, σχέσης πρωτεΐνης /κρεατινίνης, και Ν-ακετυλο-γλυκοσαμιδάσης/κρεατινίνης), ήταν για το παράγωγο Α 114 </w:t>
      </w:r>
      <w:r w:rsidRPr="003423AC">
        <w:rPr>
          <w:rFonts w:ascii="Times New Roman" w:hAnsi="Times New Roman"/>
          <w:sz w:val="22"/>
          <w:szCs w:val="22"/>
        </w:rPr>
        <w:t>ppm</w:t>
      </w:r>
      <w:r w:rsidRPr="003423AC">
        <w:rPr>
          <w:rFonts w:ascii="Times New Roman" w:hAnsi="Times New Roman"/>
          <w:sz w:val="22"/>
          <w:szCs w:val="22"/>
          <w:lang w:val="el-GR"/>
        </w:rPr>
        <w:t>. Οι ιστολογικές αλλοιώσεις ήταν όλες αναστρέψιμες.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Επειδή τα μικρά τρωκτικά προσλαμβάνουν μεγαλύτερες ποσότητες εισπνεομένων παραγόντων από τους ανθρώπους, αναμένεται να είναι μεγαλύτερα τα επίπεδα του παραγώγου Α (Προϊόν διάσπασης του σεβοφλουρανίου) ή του 2 </w:t>
      </w:r>
      <w:proofErr w:type="spellStart"/>
      <w:r w:rsidRPr="003423AC">
        <w:rPr>
          <w:rFonts w:ascii="Times New Roman" w:hAnsi="Times New Roman"/>
          <w:sz w:val="22"/>
          <w:szCs w:val="22"/>
        </w:rPr>
        <w:t>Bromo</w:t>
      </w:r>
      <w:proofErr w:type="spellEnd"/>
      <w:r w:rsidRPr="003423AC">
        <w:rPr>
          <w:rFonts w:ascii="Times New Roman" w:hAnsi="Times New Roman"/>
          <w:sz w:val="22"/>
          <w:szCs w:val="22"/>
          <w:lang w:val="el-GR"/>
        </w:rPr>
        <w:t xml:space="preserve"> -2 </w:t>
      </w:r>
      <w:proofErr w:type="spellStart"/>
      <w:r w:rsidRPr="003423AC">
        <w:rPr>
          <w:rFonts w:ascii="Times New Roman" w:hAnsi="Times New Roman"/>
          <w:sz w:val="22"/>
          <w:szCs w:val="22"/>
        </w:rPr>
        <w:t>Chloro</w:t>
      </w:r>
      <w:proofErr w:type="spellEnd"/>
      <w:r w:rsidRPr="003423AC">
        <w:rPr>
          <w:rFonts w:ascii="Times New Roman" w:hAnsi="Times New Roman"/>
          <w:sz w:val="22"/>
          <w:szCs w:val="22"/>
          <w:lang w:val="el-GR"/>
        </w:rPr>
        <w:t xml:space="preserve"> -1, 1 </w:t>
      </w:r>
      <w:proofErr w:type="spellStart"/>
      <w:r w:rsidRPr="003423AC">
        <w:rPr>
          <w:rFonts w:ascii="Times New Roman" w:hAnsi="Times New Roman"/>
          <w:sz w:val="22"/>
          <w:szCs w:val="22"/>
        </w:rPr>
        <w:t>difluoro</w:t>
      </w:r>
      <w:proofErr w:type="spellEnd"/>
      <w:r w:rsidRPr="003423AC">
        <w:rPr>
          <w:rFonts w:ascii="Times New Roman" w:hAnsi="Times New Roman"/>
          <w:sz w:val="22"/>
          <w:szCs w:val="22"/>
          <w:lang w:val="el-GR"/>
        </w:rPr>
        <w:t xml:space="preserve"> </w:t>
      </w:r>
      <w:r w:rsidRPr="003423AC">
        <w:rPr>
          <w:rFonts w:ascii="Times New Roman" w:hAnsi="Times New Roman"/>
          <w:sz w:val="22"/>
          <w:szCs w:val="22"/>
        </w:rPr>
        <w:t>ethylene</w:t>
      </w:r>
      <w:r w:rsidRPr="003423AC">
        <w:rPr>
          <w:rFonts w:ascii="Times New Roman" w:hAnsi="Times New Roman"/>
          <w:sz w:val="22"/>
          <w:szCs w:val="22"/>
          <w:lang w:val="el-GR"/>
        </w:rPr>
        <w:t xml:space="preserve"> (</w:t>
      </w:r>
      <w:r w:rsidRPr="003423AC">
        <w:rPr>
          <w:rFonts w:ascii="Times New Roman" w:hAnsi="Times New Roman"/>
          <w:sz w:val="22"/>
          <w:szCs w:val="22"/>
        </w:rPr>
        <w:t>BCDFE</w:t>
      </w:r>
      <w:r w:rsidRPr="003423AC">
        <w:rPr>
          <w:rFonts w:ascii="Times New Roman" w:hAnsi="Times New Roman"/>
          <w:sz w:val="22"/>
          <w:szCs w:val="22"/>
          <w:lang w:val="el-GR"/>
        </w:rPr>
        <w:t>) (προϊόν διάσπασης του αλοθανίου) σ'αυτά τα ζώα. Επίσης η δραστηριότητα του βασικού ενζύμου (β-λυάση) που επεισέρχεται στην νεφροτοξικότητα του αλοαλκένιου είναι στον αρουραίο κατά 10 φορές μεγαλύτερη από ότι στον άνθρωπο.</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Αναφέρεται ότι οι συγκεντρώσεις του παραγώγου Α αυξάνουν με την αύξηση της θερμοκρασίας του απορροφητικού, την αύξηση των συγκεντρώσεων του σεβοφλουρανίου και με την ελάττωση της ροής των αερίων. Έχει αναφερθεί ότι η συγκέντρωση του παραγώγου Α αυξάνει σημαντικά, με παρατεταμένη αφυδάτωση του </w:t>
      </w:r>
      <w:proofErr w:type="spellStart"/>
      <w:r w:rsidRPr="003423AC">
        <w:rPr>
          <w:rFonts w:ascii="Times New Roman" w:hAnsi="Times New Roman"/>
          <w:sz w:val="22"/>
          <w:szCs w:val="22"/>
        </w:rPr>
        <w:t>Baralyme</w:t>
      </w:r>
      <w:proofErr w:type="spellEnd"/>
      <w:r w:rsidRPr="003423AC">
        <w:rPr>
          <w:rFonts w:ascii="Times New Roman" w:hAnsi="Times New Roman"/>
          <w:sz w:val="22"/>
          <w:szCs w:val="22"/>
          <w:lang w:val="el-GR"/>
        </w:rPr>
        <w:t xml:space="preserve">. Στην κλινική πράξη, η μεγαλύτερη συγκέντρωση του παραγώγου Α σε σύστημα με </w:t>
      </w:r>
      <w:r w:rsidRPr="003423AC">
        <w:rPr>
          <w:rFonts w:ascii="Times New Roman" w:hAnsi="Times New Roman"/>
          <w:sz w:val="22"/>
          <w:szCs w:val="22"/>
        </w:rPr>
        <w:t>soda</w:t>
      </w:r>
      <w:r w:rsidRPr="003423AC">
        <w:rPr>
          <w:rFonts w:ascii="Times New Roman" w:hAnsi="Times New Roman"/>
          <w:sz w:val="22"/>
          <w:szCs w:val="22"/>
          <w:lang w:val="el-GR"/>
        </w:rPr>
        <w:t xml:space="preserve"> </w:t>
      </w:r>
      <w:r w:rsidRPr="003423AC">
        <w:rPr>
          <w:rFonts w:ascii="Times New Roman" w:hAnsi="Times New Roman"/>
          <w:sz w:val="22"/>
          <w:szCs w:val="22"/>
        </w:rPr>
        <w:t>lime</w:t>
      </w:r>
      <w:r w:rsidRPr="003423AC">
        <w:rPr>
          <w:rFonts w:ascii="Times New Roman" w:hAnsi="Times New Roman"/>
          <w:sz w:val="22"/>
          <w:szCs w:val="22"/>
          <w:lang w:val="el-GR"/>
        </w:rPr>
        <w:t xml:space="preserve"> ως απορροφητικό του </w:t>
      </w:r>
      <w:r w:rsidRPr="003423AC">
        <w:rPr>
          <w:rFonts w:ascii="Times New Roman" w:hAnsi="Times New Roman"/>
          <w:sz w:val="22"/>
          <w:szCs w:val="22"/>
        </w:rPr>
        <w:t>CO</w:t>
      </w:r>
      <w:r w:rsidRPr="003423AC">
        <w:rPr>
          <w:rFonts w:ascii="Times New Roman" w:hAnsi="Times New Roman"/>
          <w:position w:val="-6"/>
          <w:sz w:val="22"/>
          <w:szCs w:val="22"/>
          <w:lang w:val="el-GR"/>
        </w:rPr>
        <w:t xml:space="preserve">2 </w:t>
      </w:r>
      <w:r w:rsidRPr="003423AC">
        <w:rPr>
          <w:rFonts w:ascii="Times New Roman" w:hAnsi="Times New Roman"/>
          <w:sz w:val="22"/>
          <w:szCs w:val="22"/>
          <w:lang w:val="el-GR"/>
        </w:rPr>
        <w:t xml:space="preserve">ήταν 15 </w:t>
      </w:r>
      <w:r w:rsidRPr="003423AC">
        <w:rPr>
          <w:rFonts w:ascii="Times New Roman" w:hAnsi="Times New Roman"/>
          <w:sz w:val="22"/>
          <w:szCs w:val="22"/>
        </w:rPr>
        <w:t>ppm</w:t>
      </w:r>
      <w:r w:rsidRPr="003423AC">
        <w:rPr>
          <w:rFonts w:ascii="Times New Roman" w:hAnsi="Times New Roman"/>
          <w:sz w:val="22"/>
          <w:szCs w:val="22"/>
          <w:lang w:val="el-GR"/>
        </w:rPr>
        <w:t xml:space="preserve"> σε παιδιά και 32 </w:t>
      </w:r>
      <w:r w:rsidRPr="003423AC">
        <w:rPr>
          <w:rFonts w:ascii="Times New Roman" w:hAnsi="Times New Roman"/>
          <w:sz w:val="22"/>
          <w:szCs w:val="22"/>
        </w:rPr>
        <w:t>ppm</w:t>
      </w:r>
      <w:r w:rsidRPr="003423AC">
        <w:rPr>
          <w:rFonts w:ascii="Times New Roman" w:hAnsi="Times New Roman"/>
          <w:sz w:val="22"/>
          <w:szCs w:val="22"/>
          <w:lang w:val="el-GR"/>
        </w:rPr>
        <w:t xml:space="preserve"> σε ενήλικες. Έχουν όμως παρατηρηθεί συγκεντρώσεις των 61 </w:t>
      </w:r>
      <w:proofErr w:type="spellStart"/>
      <w:r w:rsidRPr="003423AC">
        <w:rPr>
          <w:rFonts w:ascii="Times New Roman" w:hAnsi="Times New Roman"/>
          <w:sz w:val="22"/>
          <w:szCs w:val="22"/>
        </w:rPr>
        <w:t>ppm</w:t>
      </w:r>
      <w:proofErr w:type="spellEnd"/>
      <w:r w:rsidRPr="003423AC">
        <w:rPr>
          <w:rFonts w:ascii="Times New Roman" w:hAnsi="Times New Roman"/>
          <w:sz w:val="22"/>
          <w:szCs w:val="22"/>
          <w:lang w:val="el-GR"/>
        </w:rPr>
        <w:t xml:space="preserve"> σε ασθενείς συνδεδεμένους με συστήματα που περιείχαν </w:t>
      </w:r>
      <w:proofErr w:type="spellStart"/>
      <w:r w:rsidRPr="003423AC">
        <w:rPr>
          <w:rFonts w:ascii="Times New Roman" w:hAnsi="Times New Roman"/>
          <w:sz w:val="22"/>
          <w:szCs w:val="22"/>
        </w:rPr>
        <w:t>Baralyme</w:t>
      </w:r>
      <w:proofErr w:type="spellEnd"/>
      <w:r w:rsidRPr="003423AC">
        <w:rPr>
          <w:rFonts w:ascii="Times New Roman" w:hAnsi="Times New Roman"/>
          <w:b/>
          <w:bCs/>
          <w:sz w:val="22"/>
          <w:szCs w:val="22"/>
          <w:lang w:val="el-GR"/>
        </w:rPr>
        <w:t xml:space="preserve"> </w:t>
      </w:r>
      <w:r w:rsidRPr="003423AC">
        <w:rPr>
          <w:rFonts w:ascii="Times New Roman" w:hAnsi="Times New Roman"/>
          <w:sz w:val="22"/>
          <w:szCs w:val="22"/>
          <w:lang w:val="el-GR"/>
        </w:rPr>
        <w:t xml:space="preserve">ως απορροφητικό του </w:t>
      </w:r>
      <w:r w:rsidRPr="003423AC">
        <w:rPr>
          <w:rFonts w:ascii="Times New Roman" w:hAnsi="Times New Roman"/>
          <w:sz w:val="22"/>
          <w:szCs w:val="22"/>
        </w:rPr>
        <w:t>CO</w:t>
      </w:r>
      <w:r w:rsidRPr="003423AC">
        <w:rPr>
          <w:rFonts w:ascii="Times New Roman" w:hAnsi="Times New Roman"/>
          <w:position w:val="-6"/>
          <w:sz w:val="22"/>
          <w:szCs w:val="22"/>
          <w:lang w:val="el-GR"/>
        </w:rPr>
        <w:t>2</w:t>
      </w:r>
      <w:r w:rsidR="00E53AAA" w:rsidRPr="003423AC">
        <w:rPr>
          <w:rFonts w:ascii="Times New Roman" w:hAnsi="Times New Roman"/>
          <w:sz w:val="22"/>
          <w:szCs w:val="22"/>
          <w:lang w:val="el-GR"/>
        </w:rPr>
        <w:t xml:space="preserve">. </w:t>
      </w:r>
      <w:r w:rsidRPr="003423AC">
        <w:rPr>
          <w:rFonts w:ascii="Times New Roman" w:hAnsi="Times New Roman"/>
          <w:sz w:val="22"/>
          <w:szCs w:val="22"/>
          <w:lang w:val="el-GR"/>
        </w:rPr>
        <w:t>Το επίπεδο του παραγώγου Α στο οποίο εμφανίζεται τοξικότητα στους ανθρώπους είναι άγνωστο.</w:t>
      </w:r>
      <w:r w:rsidR="00E53AAA" w:rsidRPr="003423AC">
        <w:rPr>
          <w:rFonts w:ascii="Times New Roman" w:hAnsi="Times New Roman"/>
          <w:sz w:val="22"/>
          <w:szCs w:val="22"/>
          <w:lang w:val="el-GR"/>
        </w:rPr>
        <w:t xml:space="preserve"> </w:t>
      </w:r>
      <w:r w:rsidRPr="003423AC">
        <w:rPr>
          <w:rFonts w:ascii="Times New Roman" w:hAnsi="Times New Roman"/>
          <w:sz w:val="22"/>
          <w:szCs w:val="22"/>
          <w:lang w:val="el-GR"/>
        </w:rPr>
        <w:t>Παρόλο που η εμπειρία χορήγησης του σεβοφλουρανίου με χρήση συστημάτων χαμηλής ροής είναι περιορισμένη, δεν έχουν παρατηρηθεί νεφρικές διαταραχές που να αποδίδονται στο παράγωγο 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Παράγωγο Β</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Στην κλινική πράξη, η συγκέντρωση του παραγώγου Β στο σύστημα δεν ξεπέρασε το όριο των 1</w:t>
      </w:r>
      <w:r w:rsidR="00AC63C4" w:rsidRPr="003423AC">
        <w:rPr>
          <w:rFonts w:ascii="Times New Roman" w:hAnsi="Times New Roman"/>
          <w:sz w:val="22"/>
          <w:szCs w:val="22"/>
          <w:lang w:val="el-GR"/>
        </w:rPr>
        <w:t>,</w:t>
      </w:r>
      <w:r w:rsidRPr="003423AC">
        <w:rPr>
          <w:rFonts w:ascii="Times New Roman" w:hAnsi="Times New Roman"/>
          <w:sz w:val="22"/>
          <w:szCs w:val="22"/>
          <w:lang w:val="el-GR"/>
        </w:rPr>
        <w:t xml:space="preserve">5 </w:t>
      </w:r>
      <w:r w:rsidRPr="003423AC">
        <w:rPr>
          <w:rFonts w:ascii="Times New Roman" w:hAnsi="Times New Roman"/>
          <w:sz w:val="22"/>
          <w:szCs w:val="22"/>
        </w:rPr>
        <w:lastRenderedPageBreak/>
        <w:t>ppm</w:t>
      </w:r>
      <w:r w:rsidRPr="003423AC">
        <w:rPr>
          <w:rFonts w:ascii="Times New Roman" w:hAnsi="Times New Roman"/>
          <w:sz w:val="22"/>
          <w:szCs w:val="22"/>
          <w:lang w:val="el-GR"/>
        </w:rPr>
        <w:t xml:space="preserve">. Η έκθεση δι' εισπνοής στο παράγωγο Β σε συγκεντρώσεις έως και 2400 </w:t>
      </w:r>
      <w:proofErr w:type="spellStart"/>
      <w:r w:rsidRPr="003423AC">
        <w:rPr>
          <w:rFonts w:ascii="Times New Roman" w:hAnsi="Times New Roman"/>
          <w:sz w:val="22"/>
          <w:szCs w:val="22"/>
        </w:rPr>
        <w:t>ppm</w:t>
      </w:r>
      <w:proofErr w:type="spellEnd"/>
      <w:r w:rsidRPr="003423AC">
        <w:rPr>
          <w:rFonts w:ascii="Times New Roman" w:hAnsi="Times New Roman"/>
          <w:sz w:val="22"/>
          <w:szCs w:val="22"/>
          <w:lang w:val="el-GR"/>
        </w:rPr>
        <w:t xml:space="preserve"> (0,24 %) για 3 ώρες δεν οδήγησε σε ανεπιθύμητη επίδραση στις νεφρικές παραμέτρους ή στις ιστολογικές δομές του αρουραίου τύπου </w:t>
      </w:r>
      <w:proofErr w:type="spellStart"/>
      <w:r w:rsidRPr="003423AC">
        <w:rPr>
          <w:rFonts w:ascii="Times New Roman" w:hAnsi="Times New Roman"/>
          <w:sz w:val="22"/>
          <w:szCs w:val="22"/>
        </w:rPr>
        <w:t>Wistar</w:t>
      </w:r>
      <w:proofErr w:type="spellEnd"/>
      <w:r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Καρκινογένεση</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Δεν έχουν πραγματοποιηθεί μελέτες καρκινογένεσης. Δεν παρατηρήθηκε μεταλλαξιογενετική επίδραση κατά τις δοκιμασίες </w:t>
      </w:r>
      <w:r w:rsidRPr="003423AC">
        <w:rPr>
          <w:rFonts w:ascii="Times New Roman" w:hAnsi="Times New Roman"/>
          <w:sz w:val="22"/>
          <w:szCs w:val="22"/>
        </w:rPr>
        <w:t>Ames</w:t>
      </w:r>
      <w:r w:rsidRPr="003423AC">
        <w:rPr>
          <w:rFonts w:ascii="Times New Roman" w:hAnsi="Times New Roman"/>
          <w:sz w:val="22"/>
          <w:szCs w:val="22"/>
          <w:lang w:val="el-GR"/>
        </w:rPr>
        <w:t xml:space="preserve"> ή χρωμοσωμικές αλλοιώσεις στις καλλιέργειες κυττάρων θηλαστικών.</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6.</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ΦΑΡΜΑΚΕΥΤΙΚΕΣ ΠΛΗΡΟΦΟΡΙΕΣ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 xml:space="preserve">6.1 Κατάλογος εκδόχων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Δεν υπάρχουν έκδοχα.</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6.2</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 xml:space="preserve">Ασυμβατότητες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Βλέπε λήμμα 5.2 Φαρμακοκινητικές ιδιότητες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6.3</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Διάρκεια ζωής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36 μήνες.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6.4</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Ιδιαίτερες προφυλάξεις κατά τη φύλαξη του προϊόντος</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Φυλάσσεται σε θερμοκρασία </w:t>
      </w:r>
      <w:r w:rsidRPr="003423AC">
        <w:rPr>
          <w:rFonts w:ascii="Times New Roman" w:hAnsi="Times New Roman"/>
          <w:sz w:val="22"/>
          <w:szCs w:val="22"/>
          <w:u w:val="single"/>
          <w:lang w:val="el-GR"/>
        </w:rPr>
        <w:t>&lt;</w:t>
      </w:r>
      <w:r w:rsidR="001E3A46" w:rsidRPr="003423AC">
        <w:rPr>
          <w:rFonts w:ascii="Times New Roman" w:hAnsi="Times New Roman"/>
          <w:sz w:val="22"/>
          <w:szCs w:val="22"/>
          <w:u w:val="single"/>
          <w:lang w:val="el-GR"/>
        </w:rPr>
        <w:t xml:space="preserve"> </w:t>
      </w:r>
      <w:r w:rsidRPr="003423AC">
        <w:rPr>
          <w:rFonts w:ascii="Times New Roman" w:hAnsi="Times New Roman"/>
          <w:sz w:val="22"/>
          <w:szCs w:val="22"/>
          <w:lang w:val="el-GR"/>
        </w:rPr>
        <w:t>25</w:t>
      </w:r>
      <w:r w:rsidRPr="003423AC">
        <w:rPr>
          <w:rFonts w:ascii="Times New Roman" w:hAnsi="Times New Roman"/>
          <w:position w:val="6"/>
          <w:sz w:val="22"/>
          <w:szCs w:val="22"/>
        </w:rPr>
        <w:t>o</w:t>
      </w:r>
      <w:r w:rsidRPr="003423AC">
        <w:rPr>
          <w:rFonts w:ascii="Times New Roman" w:hAnsi="Times New Roman"/>
          <w:sz w:val="22"/>
          <w:szCs w:val="22"/>
        </w:rPr>
        <w:t>C</w:t>
      </w:r>
      <w:r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 xml:space="preserve">6.5 Φύση και συστατικά του περιέκτη </w:t>
      </w:r>
    </w:p>
    <w:p w:rsidR="000309FB" w:rsidRPr="003423AC" w:rsidRDefault="000309FB">
      <w:pPr>
        <w:pStyle w:val="a3"/>
        <w:rPr>
          <w:rFonts w:ascii="Times New Roman" w:hAnsi="Times New Roman"/>
          <w:sz w:val="22"/>
          <w:szCs w:val="22"/>
          <w:lang w:val="el-GR"/>
        </w:rPr>
      </w:pPr>
    </w:p>
    <w:p w:rsidR="000309FB" w:rsidRPr="00A05E2F" w:rsidRDefault="000309FB">
      <w:pPr>
        <w:pStyle w:val="a3"/>
        <w:rPr>
          <w:rFonts w:ascii="Times New Roman" w:hAnsi="Times New Roman"/>
          <w:sz w:val="22"/>
          <w:szCs w:val="22"/>
          <w:lang w:val="el-GR"/>
        </w:rPr>
      </w:pPr>
      <w:r w:rsidRPr="003423AC">
        <w:rPr>
          <w:rFonts w:ascii="Times New Roman" w:hAnsi="Times New Roman"/>
          <w:sz w:val="22"/>
          <w:szCs w:val="22"/>
          <w:lang w:val="el-GR"/>
        </w:rPr>
        <w:t>Πλαστική φιάλη (</w:t>
      </w:r>
      <w:r w:rsidRPr="003423AC">
        <w:rPr>
          <w:rFonts w:ascii="Times New Roman" w:hAnsi="Times New Roman"/>
          <w:sz w:val="22"/>
          <w:szCs w:val="22"/>
        </w:rPr>
        <w:t>PEN</w:t>
      </w:r>
      <w:r w:rsidRPr="003423AC">
        <w:rPr>
          <w:rFonts w:ascii="Times New Roman" w:hAnsi="Times New Roman"/>
          <w:sz w:val="22"/>
          <w:szCs w:val="22"/>
          <w:lang w:val="el-GR"/>
        </w:rPr>
        <w:t xml:space="preserve">) χρώματος καραμελέ 100 </w:t>
      </w:r>
      <w:r w:rsidRPr="003423AC">
        <w:rPr>
          <w:rFonts w:ascii="Times New Roman" w:hAnsi="Times New Roman"/>
          <w:sz w:val="22"/>
          <w:szCs w:val="22"/>
        </w:rPr>
        <w:t>ml</w:t>
      </w:r>
      <w:r w:rsidRPr="003423AC">
        <w:rPr>
          <w:rFonts w:ascii="Times New Roman" w:hAnsi="Times New Roman"/>
          <w:sz w:val="22"/>
          <w:szCs w:val="22"/>
          <w:lang w:val="el-GR"/>
        </w:rPr>
        <w:t xml:space="preserve"> &amp; 250 </w:t>
      </w:r>
      <w:r w:rsidRPr="003423AC">
        <w:rPr>
          <w:rFonts w:ascii="Times New Roman" w:hAnsi="Times New Roman"/>
          <w:sz w:val="22"/>
          <w:szCs w:val="22"/>
        </w:rPr>
        <w:t>ml</w:t>
      </w:r>
      <w:r w:rsidR="00C91E82"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Μπορεί να μη κυκλοφορούν όλες οι συσκευασίες</w:t>
      </w:r>
      <w:r w:rsidR="00C91E82" w:rsidRPr="003423AC">
        <w:rPr>
          <w:rFonts w:ascii="Times New Roman" w:hAnsi="Times New Roman"/>
          <w:sz w:val="22"/>
          <w:szCs w:val="22"/>
          <w:lang w:val="el-GR"/>
        </w:rPr>
        <w:t>.</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6.6</w:t>
      </w:r>
      <w:r w:rsidRPr="003423AC">
        <w:rPr>
          <w:rFonts w:ascii="Times New Roman" w:hAnsi="Times New Roman"/>
          <w:sz w:val="22"/>
          <w:szCs w:val="22"/>
          <w:lang w:val="el-GR"/>
        </w:rPr>
        <w:t xml:space="preserve"> </w:t>
      </w:r>
      <w:r w:rsidRPr="003423AC">
        <w:rPr>
          <w:rFonts w:ascii="Times New Roman" w:hAnsi="Times New Roman"/>
          <w:b/>
          <w:bCs/>
          <w:sz w:val="22"/>
          <w:szCs w:val="22"/>
          <w:lang w:val="el-GR"/>
        </w:rPr>
        <w:t xml:space="preserve">Οδηγίες για τη χρήση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proofErr w:type="gramStart"/>
      <w:r w:rsidRPr="003423AC">
        <w:rPr>
          <w:rFonts w:ascii="Times New Roman" w:hAnsi="Times New Roman"/>
          <w:sz w:val="22"/>
          <w:szCs w:val="22"/>
        </w:rPr>
        <w:t>To</w:t>
      </w:r>
      <w:r w:rsidRPr="003423AC">
        <w:rPr>
          <w:rFonts w:ascii="Times New Roman" w:hAnsi="Times New Roman"/>
          <w:sz w:val="22"/>
          <w:szCs w:val="22"/>
          <w:lang w:val="el-GR"/>
        </w:rPr>
        <w:t xml:space="preserve"> σεβοφλουράνιο πρέπει να χορηγείται μέσω εξαερωτήρα ειδικά σχεδιασμένο και διαβαθμισμένο για την χορήγησή του.</w:t>
      </w:r>
      <w:proofErr w:type="gramEnd"/>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b/>
          <w:bCs/>
          <w:sz w:val="22"/>
          <w:szCs w:val="22"/>
          <w:lang w:val="el-GR"/>
        </w:rPr>
        <w:t>7</w:t>
      </w:r>
      <w:r w:rsidR="00322EEA" w:rsidRPr="003423AC">
        <w:rPr>
          <w:rFonts w:ascii="Times New Roman" w:hAnsi="Times New Roman"/>
          <w:b/>
          <w:bCs/>
          <w:sz w:val="22"/>
          <w:szCs w:val="22"/>
          <w:lang w:val="el-GR"/>
        </w:rPr>
        <w:t>.</w:t>
      </w:r>
      <w:r w:rsidRPr="003423AC">
        <w:rPr>
          <w:rFonts w:ascii="Times New Roman" w:hAnsi="Times New Roman"/>
          <w:b/>
          <w:bCs/>
          <w:sz w:val="22"/>
          <w:szCs w:val="22"/>
          <w:lang w:val="el-GR"/>
        </w:rPr>
        <w:t xml:space="preserve"> ΚΑΤΟΧΟΣ ΤΗΣ ΑΔΕΙΑΣ ΚΥΚΛΟΦΟΡΙΑΣ </w:t>
      </w:r>
    </w:p>
    <w:p w:rsidR="000309FB" w:rsidRPr="003423AC" w:rsidRDefault="000309FB">
      <w:pPr>
        <w:pStyle w:val="a3"/>
        <w:rPr>
          <w:rFonts w:ascii="Times New Roman" w:hAnsi="Times New Roman"/>
          <w:sz w:val="22"/>
          <w:szCs w:val="22"/>
          <w:lang w:val="el-GR"/>
        </w:rPr>
      </w:pPr>
    </w:p>
    <w:p w:rsidR="00EE05BC" w:rsidRPr="00EE05BC" w:rsidRDefault="00EE05BC">
      <w:pPr>
        <w:pStyle w:val="a3"/>
        <w:rPr>
          <w:rFonts w:ascii="Times New Roman" w:hAnsi="Times New Roman"/>
          <w:sz w:val="22"/>
          <w:szCs w:val="22"/>
          <w:lang w:val="el-GR"/>
        </w:rPr>
      </w:pPr>
      <w:proofErr w:type="gramStart"/>
      <w:r w:rsidRPr="00EE05BC">
        <w:rPr>
          <w:rFonts w:ascii="Times New Roman" w:hAnsi="Times New Roman"/>
          <w:sz w:val="22"/>
          <w:szCs w:val="22"/>
        </w:rPr>
        <w:t>ABBVIE</w:t>
      </w:r>
      <w:r w:rsidRPr="00EE05BC">
        <w:rPr>
          <w:rFonts w:ascii="Times New Roman" w:hAnsi="Times New Roman"/>
          <w:sz w:val="22"/>
          <w:szCs w:val="22"/>
          <w:lang w:val="el-GR"/>
        </w:rPr>
        <w:t xml:space="preserve">  </w:t>
      </w:r>
      <w:r>
        <w:rPr>
          <w:rFonts w:ascii="Times New Roman" w:hAnsi="Times New Roman"/>
          <w:sz w:val="22"/>
          <w:szCs w:val="22"/>
          <w:lang w:val="el-GR"/>
        </w:rPr>
        <w:t>ΦΑΡΜΑΚΕΥΤΙΚΗ</w:t>
      </w:r>
      <w:proofErr w:type="gramEnd"/>
      <w:r>
        <w:rPr>
          <w:rFonts w:ascii="Times New Roman" w:hAnsi="Times New Roman"/>
          <w:sz w:val="22"/>
          <w:szCs w:val="22"/>
          <w:lang w:val="el-GR"/>
        </w:rPr>
        <w:t xml:space="preserve"> ΑΝΩΝΥΜΗ ΕΤΑΙΡΕΙΑ Δ.Τ. </w:t>
      </w:r>
      <w:r>
        <w:rPr>
          <w:rFonts w:ascii="Times New Roman" w:hAnsi="Times New Roman"/>
          <w:sz w:val="22"/>
          <w:szCs w:val="22"/>
        </w:rPr>
        <w:t>ABBVIE</w:t>
      </w:r>
      <w:r w:rsidRPr="00EE05BC">
        <w:rPr>
          <w:rFonts w:ascii="Times New Roman" w:hAnsi="Times New Roman"/>
          <w:sz w:val="22"/>
          <w:szCs w:val="22"/>
          <w:lang w:val="el-GR"/>
        </w:rPr>
        <w:t xml:space="preserve"> </w:t>
      </w:r>
      <w:r>
        <w:rPr>
          <w:rFonts w:ascii="Times New Roman" w:hAnsi="Times New Roman"/>
          <w:sz w:val="22"/>
          <w:szCs w:val="22"/>
        </w:rPr>
        <w:t>A</w:t>
      </w:r>
      <w:r w:rsidRPr="00EE05BC">
        <w:rPr>
          <w:rFonts w:ascii="Times New Roman" w:hAnsi="Times New Roman"/>
          <w:sz w:val="22"/>
          <w:szCs w:val="22"/>
          <w:lang w:val="el-GR"/>
        </w:rPr>
        <w:t>.</w:t>
      </w:r>
      <w:r>
        <w:rPr>
          <w:rFonts w:ascii="Times New Roman" w:hAnsi="Times New Roman"/>
          <w:sz w:val="22"/>
          <w:szCs w:val="22"/>
        </w:rPr>
        <w:t>E</w:t>
      </w:r>
      <w:r w:rsidRPr="00EE05BC">
        <w:rPr>
          <w:rFonts w:ascii="Times New Roman" w:hAnsi="Times New Roman"/>
          <w:sz w:val="22"/>
          <w:szCs w:val="22"/>
          <w:lang w:val="el-GR"/>
        </w:rPr>
        <w:t xml:space="preserve">. </w:t>
      </w:r>
    </w:p>
    <w:p w:rsidR="000309FB" w:rsidRPr="003423AC" w:rsidRDefault="00292389">
      <w:pPr>
        <w:pStyle w:val="a3"/>
        <w:rPr>
          <w:rFonts w:ascii="Times New Roman" w:hAnsi="Times New Roman"/>
          <w:sz w:val="22"/>
          <w:szCs w:val="22"/>
          <w:lang w:val="el-GR"/>
        </w:rPr>
      </w:pPr>
      <w:r w:rsidRPr="003423AC">
        <w:rPr>
          <w:rFonts w:ascii="Times New Roman" w:hAnsi="Times New Roman"/>
          <w:sz w:val="22"/>
          <w:szCs w:val="22"/>
          <w:lang w:val="el-GR"/>
        </w:rPr>
        <w:t>Λ</w:t>
      </w:r>
      <w:r w:rsidR="000309FB" w:rsidRPr="003423AC">
        <w:rPr>
          <w:rFonts w:ascii="Times New Roman" w:hAnsi="Times New Roman"/>
          <w:sz w:val="22"/>
          <w:szCs w:val="22"/>
          <w:lang w:val="el-GR"/>
        </w:rPr>
        <w:t>. Β</w:t>
      </w:r>
      <w:r w:rsidRPr="003423AC">
        <w:rPr>
          <w:rFonts w:ascii="Times New Roman" w:hAnsi="Times New Roman"/>
          <w:sz w:val="22"/>
          <w:szCs w:val="22"/>
          <w:lang w:val="el-GR"/>
        </w:rPr>
        <w:t>ουλιαγμένης</w:t>
      </w:r>
      <w:r w:rsidR="000309FB" w:rsidRPr="003423AC">
        <w:rPr>
          <w:rFonts w:ascii="Times New Roman" w:hAnsi="Times New Roman"/>
          <w:sz w:val="22"/>
          <w:szCs w:val="22"/>
          <w:lang w:val="el-GR"/>
        </w:rPr>
        <w:t xml:space="preserve"> 512 </w:t>
      </w:r>
    </w:p>
    <w:p w:rsidR="000309FB" w:rsidRPr="003423AC" w:rsidRDefault="00292389">
      <w:pPr>
        <w:pStyle w:val="a3"/>
        <w:rPr>
          <w:rFonts w:ascii="Times New Roman" w:hAnsi="Times New Roman"/>
          <w:sz w:val="22"/>
          <w:szCs w:val="22"/>
          <w:lang w:val="el-GR"/>
        </w:rPr>
      </w:pPr>
      <w:r w:rsidRPr="003423AC">
        <w:rPr>
          <w:rFonts w:ascii="Times New Roman" w:hAnsi="Times New Roman"/>
          <w:sz w:val="22"/>
          <w:szCs w:val="22"/>
          <w:lang w:val="el-GR"/>
        </w:rPr>
        <w:t>174 56 Άλιμος</w:t>
      </w:r>
      <w:r w:rsidR="000309FB" w:rsidRPr="003423AC">
        <w:rPr>
          <w:rFonts w:ascii="Times New Roman" w:hAnsi="Times New Roman"/>
          <w:sz w:val="22"/>
          <w:szCs w:val="22"/>
          <w:lang w:val="el-GR"/>
        </w:rPr>
        <w:t>, Α</w:t>
      </w:r>
      <w:r w:rsidRPr="003423AC">
        <w:rPr>
          <w:rFonts w:ascii="Times New Roman" w:hAnsi="Times New Roman"/>
          <w:sz w:val="22"/>
          <w:szCs w:val="22"/>
          <w:lang w:val="el-GR"/>
        </w:rPr>
        <w:t>θήνα</w:t>
      </w:r>
      <w:r w:rsidR="000309FB" w:rsidRPr="003423AC">
        <w:rPr>
          <w:rFonts w:ascii="Times New Roman" w:hAnsi="Times New Roman"/>
          <w:sz w:val="22"/>
          <w:szCs w:val="22"/>
          <w:lang w:val="el-GR"/>
        </w:rPr>
        <w:t xml:space="preserve"> </w:t>
      </w:r>
    </w:p>
    <w:p w:rsidR="000309FB" w:rsidRPr="003423AC" w:rsidRDefault="000309FB">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p>
    <w:p w:rsidR="000309FB" w:rsidRPr="003423AC" w:rsidRDefault="00F50EA1">
      <w:pPr>
        <w:pStyle w:val="a3"/>
        <w:rPr>
          <w:rFonts w:ascii="Times New Roman" w:hAnsi="Times New Roman"/>
          <w:sz w:val="22"/>
          <w:szCs w:val="22"/>
          <w:lang w:val="el-GR"/>
        </w:rPr>
      </w:pPr>
      <w:r w:rsidRPr="003423AC">
        <w:rPr>
          <w:rFonts w:ascii="Times New Roman" w:hAnsi="Times New Roman"/>
          <w:b/>
          <w:bCs/>
          <w:sz w:val="22"/>
          <w:szCs w:val="22"/>
          <w:lang w:val="el-GR"/>
        </w:rPr>
        <w:t>8</w:t>
      </w:r>
      <w:r w:rsidR="000309FB" w:rsidRPr="003423AC">
        <w:rPr>
          <w:rFonts w:ascii="Times New Roman" w:hAnsi="Times New Roman"/>
          <w:sz w:val="22"/>
          <w:szCs w:val="22"/>
          <w:lang w:val="el-GR"/>
        </w:rPr>
        <w:t xml:space="preserve">. </w:t>
      </w:r>
      <w:r w:rsidR="000309FB" w:rsidRPr="003423AC">
        <w:rPr>
          <w:rFonts w:ascii="Times New Roman" w:hAnsi="Times New Roman"/>
          <w:b/>
          <w:bCs/>
          <w:sz w:val="22"/>
          <w:szCs w:val="22"/>
          <w:lang w:val="el-GR"/>
        </w:rPr>
        <w:t>ΑΡΙΘΜΟΣ ΑΔΕΙΑΣ ΚΥΚΛΟΦΟΡΙΑΣ</w:t>
      </w:r>
    </w:p>
    <w:p w:rsidR="00F50EA1" w:rsidRPr="003423AC" w:rsidRDefault="00F50EA1">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8481</w:t>
      </w:r>
    </w:p>
    <w:p w:rsidR="000309FB" w:rsidRPr="003423AC" w:rsidRDefault="000309FB">
      <w:pPr>
        <w:pStyle w:val="a3"/>
        <w:rPr>
          <w:rFonts w:ascii="Times New Roman" w:hAnsi="Times New Roman"/>
          <w:b/>
          <w:bCs/>
          <w:sz w:val="22"/>
          <w:szCs w:val="22"/>
          <w:lang w:val="el-GR"/>
        </w:rPr>
      </w:pPr>
    </w:p>
    <w:p w:rsidR="000309FB" w:rsidRPr="003423AC" w:rsidRDefault="000309FB">
      <w:pPr>
        <w:pStyle w:val="a3"/>
        <w:rPr>
          <w:rFonts w:ascii="Times New Roman" w:hAnsi="Times New Roman"/>
          <w:b/>
          <w:bCs/>
          <w:sz w:val="22"/>
          <w:szCs w:val="22"/>
          <w:lang w:val="el-GR"/>
        </w:rPr>
      </w:pPr>
    </w:p>
    <w:p w:rsidR="000309FB" w:rsidRPr="003423AC" w:rsidRDefault="00F50EA1">
      <w:pPr>
        <w:pStyle w:val="a3"/>
        <w:rPr>
          <w:rFonts w:ascii="Times New Roman" w:hAnsi="Times New Roman"/>
          <w:sz w:val="22"/>
          <w:szCs w:val="22"/>
          <w:lang w:val="el-GR"/>
        </w:rPr>
      </w:pPr>
      <w:r w:rsidRPr="003423AC">
        <w:rPr>
          <w:rFonts w:ascii="Times New Roman" w:hAnsi="Times New Roman"/>
          <w:b/>
          <w:bCs/>
          <w:sz w:val="22"/>
          <w:szCs w:val="22"/>
          <w:lang w:val="el-GR"/>
        </w:rPr>
        <w:t>9</w:t>
      </w:r>
      <w:r w:rsidR="000309FB" w:rsidRPr="003423AC">
        <w:rPr>
          <w:rFonts w:ascii="Times New Roman" w:hAnsi="Times New Roman"/>
          <w:b/>
          <w:bCs/>
          <w:sz w:val="22"/>
          <w:szCs w:val="22"/>
          <w:lang w:val="el-GR"/>
        </w:rPr>
        <w:t>.</w:t>
      </w:r>
      <w:r w:rsidR="000309FB" w:rsidRPr="003423AC">
        <w:rPr>
          <w:rFonts w:ascii="Times New Roman" w:hAnsi="Times New Roman"/>
          <w:sz w:val="22"/>
          <w:szCs w:val="22"/>
          <w:lang w:val="el-GR"/>
        </w:rPr>
        <w:t xml:space="preserve"> </w:t>
      </w:r>
      <w:r w:rsidR="000309FB" w:rsidRPr="003423AC">
        <w:rPr>
          <w:rFonts w:ascii="Times New Roman" w:hAnsi="Times New Roman"/>
          <w:b/>
          <w:bCs/>
          <w:sz w:val="22"/>
          <w:szCs w:val="22"/>
          <w:lang w:val="el-GR"/>
        </w:rPr>
        <w:t>ΗΜΕΡΟΜΗΝΙΑ ΠΡΩΤΗΣ ΕΓΚΡΙΣΗΣ/ΑΝΑΝΕΩΣΗΣ ΤΗΣ ΑΔΕΙΑΣ</w:t>
      </w:r>
      <w:r w:rsidR="000309FB" w:rsidRPr="003423AC">
        <w:rPr>
          <w:rFonts w:ascii="Times New Roman" w:hAnsi="Times New Roman"/>
          <w:sz w:val="22"/>
          <w:szCs w:val="22"/>
          <w:lang w:val="el-GR"/>
        </w:rPr>
        <w:t xml:space="preserve"> </w:t>
      </w:r>
    </w:p>
    <w:p w:rsidR="00F50EA1" w:rsidRPr="003423AC" w:rsidRDefault="00F50EA1">
      <w:pPr>
        <w:pStyle w:val="a3"/>
        <w:rPr>
          <w:rFonts w:ascii="Times New Roman" w:hAnsi="Times New Roman"/>
          <w:sz w:val="22"/>
          <w:szCs w:val="22"/>
          <w:lang w:val="el-GR"/>
        </w:rPr>
      </w:pPr>
    </w:p>
    <w:p w:rsidR="000309FB"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09-01-1996/06-02-2007</w:t>
      </w:r>
    </w:p>
    <w:p w:rsidR="000309FB" w:rsidRPr="00975FE7" w:rsidRDefault="000309FB">
      <w:pPr>
        <w:pStyle w:val="a3"/>
        <w:rPr>
          <w:rFonts w:ascii="Times New Roman" w:hAnsi="Times New Roman"/>
          <w:sz w:val="22"/>
          <w:szCs w:val="22"/>
          <w:lang w:val="el-GR"/>
        </w:rPr>
      </w:pPr>
    </w:p>
    <w:p w:rsidR="000309FB" w:rsidRPr="003423AC" w:rsidRDefault="00F50EA1">
      <w:pPr>
        <w:pStyle w:val="a3"/>
        <w:rPr>
          <w:rFonts w:ascii="Times New Roman" w:hAnsi="Times New Roman"/>
          <w:sz w:val="22"/>
          <w:szCs w:val="22"/>
          <w:lang w:val="el-GR"/>
        </w:rPr>
      </w:pPr>
      <w:r w:rsidRPr="003423AC">
        <w:rPr>
          <w:rFonts w:ascii="Times New Roman" w:hAnsi="Times New Roman"/>
          <w:b/>
          <w:bCs/>
          <w:sz w:val="22"/>
          <w:szCs w:val="22"/>
          <w:lang w:val="el-GR"/>
        </w:rPr>
        <w:t>10</w:t>
      </w:r>
      <w:r w:rsidR="000309FB" w:rsidRPr="003423AC">
        <w:rPr>
          <w:rFonts w:ascii="Times New Roman" w:hAnsi="Times New Roman"/>
          <w:b/>
          <w:bCs/>
          <w:sz w:val="22"/>
          <w:szCs w:val="22"/>
          <w:lang w:val="el-GR"/>
        </w:rPr>
        <w:t>.</w:t>
      </w:r>
      <w:r w:rsidR="000309FB" w:rsidRPr="003423AC">
        <w:rPr>
          <w:rFonts w:ascii="Times New Roman" w:hAnsi="Times New Roman"/>
          <w:sz w:val="22"/>
          <w:szCs w:val="22"/>
          <w:lang w:val="el-GR"/>
        </w:rPr>
        <w:t xml:space="preserve"> </w:t>
      </w:r>
      <w:r w:rsidR="000309FB" w:rsidRPr="003423AC">
        <w:rPr>
          <w:rFonts w:ascii="Times New Roman" w:hAnsi="Times New Roman"/>
          <w:b/>
          <w:bCs/>
          <w:sz w:val="22"/>
          <w:szCs w:val="22"/>
          <w:lang w:val="el-GR"/>
        </w:rPr>
        <w:t>ΗΜΕΡΟΜΗΝΙΑ ΑΝΑΘΕΩΡΗΣΗΣ ΤΟΥ ΚΕΙΜΕΝΟΥ</w:t>
      </w:r>
    </w:p>
    <w:p w:rsidR="004A6F7A" w:rsidRPr="003423AC" w:rsidRDefault="000309FB">
      <w:pPr>
        <w:pStyle w:val="a3"/>
        <w:rPr>
          <w:rFonts w:ascii="Times New Roman" w:hAnsi="Times New Roman"/>
          <w:sz w:val="22"/>
          <w:szCs w:val="22"/>
          <w:lang w:val="el-GR"/>
        </w:rPr>
      </w:pPr>
      <w:r w:rsidRPr="003423AC">
        <w:rPr>
          <w:rFonts w:ascii="Times New Roman" w:hAnsi="Times New Roman"/>
          <w:sz w:val="22"/>
          <w:szCs w:val="22"/>
          <w:lang w:val="el-GR"/>
        </w:rPr>
        <w:t xml:space="preserve"> </w:t>
      </w:r>
    </w:p>
    <w:p w:rsidR="000309FB" w:rsidRPr="00975FE7" w:rsidRDefault="000309FB" w:rsidP="00975FE7">
      <w:pPr>
        <w:pStyle w:val="a3"/>
        <w:rPr>
          <w:rFonts w:ascii="Times New Roman" w:hAnsi="Times New Roman"/>
          <w:sz w:val="22"/>
          <w:szCs w:val="22"/>
          <w:lang w:val="el-GR"/>
        </w:rPr>
      </w:pPr>
      <w:r w:rsidRPr="003423AC">
        <w:rPr>
          <w:rFonts w:ascii="Times New Roman" w:hAnsi="Times New Roman"/>
          <w:sz w:val="22"/>
          <w:szCs w:val="22"/>
          <w:lang w:val="el-GR"/>
        </w:rPr>
        <w:t>Θα συμπληρωθεί μετά από την έκδοση της σχετικής Άδειας Κυκλοφορίας.</w:t>
      </w:r>
    </w:p>
    <w:sectPr w:rsidR="000309FB" w:rsidRPr="00975FE7" w:rsidSect="000A23D8">
      <w:headerReference w:type="default" r:id="rId7"/>
      <w:footerReference w:type="default" r:id="rId8"/>
      <w:pgSz w:w="11905" w:h="16838"/>
      <w:pgMar w:top="1134" w:right="1418" w:bottom="1134" w:left="1418" w:header="737" w:footer="73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5B" w:rsidRDefault="00923B5B">
      <w:r>
        <w:separator/>
      </w:r>
    </w:p>
  </w:endnote>
  <w:endnote w:type="continuationSeparator" w:id="0">
    <w:p w:rsidR="00923B5B" w:rsidRDefault="00923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gHelvetica">
    <w:panose1 w:val="00000000000000000000"/>
    <w:charset w:val="A1"/>
    <w:family w:val="swiss"/>
    <w:notTrueType/>
    <w:pitch w:val="default"/>
    <w:sig w:usb0="00000081" w:usb1="00000000" w:usb2="00000000" w:usb3="00000000" w:csb0="00000008"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74" w:rsidRDefault="00366674" w:rsidP="00A1659E">
    <w:pPr>
      <w:pStyle w:val="Bullet1"/>
      <w:ind w:left="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5B" w:rsidRDefault="00923B5B">
      <w:r>
        <w:separator/>
      </w:r>
    </w:p>
  </w:footnote>
  <w:footnote w:type="continuationSeparator" w:id="0">
    <w:p w:rsidR="00923B5B" w:rsidRDefault="00923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74" w:rsidRDefault="00016D3C">
    <w:pPr>
      <w:pStyle w:val="a3"/>
      <w:jc w:val="center"/>
      <w:rPr>
        <w:sz w:val="16"/>
      </w:rPr>
    </w:pPr>
    <w:r>
      <w:rPr>
        <w:rStyle w:val="a7"/>
        <w:rFonts w:ascii="Times New Roman" w:hAnsi="Times New Roman"/>
        <w:sz w:val="16"/>
      </w:rPr>
      <w:fldChar w:fldCharType="begin"/>
    </w:r>
    <w:r w:rsidR="00366674">
      <w:rPr>
        <w:rStyle w:val="a7"/>
        <w:rFonts w:ascii="Times New Roman" w:hAnsi="Times New Roman"/>
        <w:sz w:val="16"/>
      </w:rPr>
      <w:instrText xml:space="preserve"> PAGE </w:instrText>
    </w:r>
    <w:r>
      <w:rPr>
        <w:rStyle w:val="a7"/>
        <w:rFonts w:ascii="Times New Roman" w:hAnsi="Times New Roman"/>
        <w:sz w:val="16"/>
      </w:rPr>
      <w:fldChar w:fldCharType="separate"/>
    </w:r>
    <w:r w:rsidR="002A294E">
      <w:rPr>
        <w:rStyle w:val="a7"/>
        <w:rFonts w:ascii="Times New Roman" w:hAnsi="Times New Roman"/>
        <w:noProof/>
        <w:sz w:val="16"/>
      </w:rPr>
      <w:t>14</w:t>
    </w:r>
    <w:r>
      <w:rPr>
        <w:rStyle w:val="a7"/>
        <w:rFonts w:ascii="Times New Roman" w:hAnsi="Times New Roman"/>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22B"/>
    <w:multiLevelType w:val="hybridMultilevel"/>
    <w:tmpl w:val="C944B4B0"/>
    <w:lvl w:ilvl="0" w:tplc="2826AFA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44904"/>
    <w:multiLevelType w:val="hybridMultilevel"/>
    <w:tmpl w:val="C6961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A0192E"/>
    <w:multiLevelType w:val="hybridMultilevel"/>
    <w:tmpl w:val="38B49A2C"/>
    <w:lvl w:ilvl="0" w:tplc="38BE52C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854ED8"/>
    <w:multiLevelType w:val="hybridMultilevel"/>
    <w:tmpl w:val="DE1A07E0"/>
    <w:lvl w:ilvl="0" w:tplc="3AF06240">
      <w:start w:val="2"/>
      <w:numFmt w:val="bullet"/>
      <w:pStyle w:val="EMEABullet"/>
      <w:lvlText w:val="-"/>
      <w:lvlJc w:val="left"/>
      <w:pPr>
        <w:tabs>
          <w:tab w:val="num" w:pos="720"/>
        </w:tabs>
        <w:ind w:left="720" w:hanging="360"/>
      </w:pPr>
      <w:rPr>
        <w:rFonts w:ascii="Times New Roman" w:eastAsia="Times New Roman" w:hAnsi="Times New Roman" w:cs="Times New Roman"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7B84BDC"/>
    <w:multiLevelType w:val="hybridMultilevel"/>
    <w:tmpl w:val="E7B0DD76"/>
    <w:lvl w:ilvl="0" w:tplc="2826AFA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64015A"/>
    <w:multiLevelType w:val="hybridMultilevel"/>
    <w:tmpl w:val="1792BFF0"/>
    <w:lvl w:ilvl="0" w:tplc="7AD6F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B119DB"/>
    <w:multiLevelType w:val="hybridMultilevel"/>
    <w:tmpl w:val="38905D24"/>
    <w:lvl w:ilvl="0" w:tplc="4BDEE4B6">
      <w:numFmt w:val="bullet"/>
      <w:lvlText w:val=""/>
      <w:lvlJc w:val="left"/>
      <w:pPr>
        <w:tabs>
          <w:tab w:val="num" w:pos="1117"/>
        </w:tabs>
        <w:ind w:left="1117" w:hanging="397"/>
      </w:pPr>
      <w:rPr>
        <w:rFonts w:ascii="Symbol" w:eastAsia="Times New Roman" w:hAnsi="Symbol" w:cs="Times New Roman" w:hint="default"/>
      </w:rPr>
    </w:lvl>
    <w:lvl w:ilvl="1" w:tplc="04090003" w:tentative="1">
      <w:start w:val="1"/>
      <w:numFmt w:val="bullet"/>
      <w:lvlText w:val="o"/>
      <w:lvlJc w:val="left"/>
      <w:pPr>
        <w:tabs>
          <w:tab w:val="num" w:pos="1196"/>
        </w:tabs>
        <w:ind w:left="1196" w:hanging="360"/>
      </w:pPr>
      <w:rPr>
        <w:rFonts w:ascii="Courier New" w:hAnsi="Courier New" w:hint="default"/>
      </w:rPr>
    </w:lvl>
    <w:lvl w:ilvl="2" w:tplc="04090005" w:tentative="1">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8">
    <w:nsid w:val="75602356"/>
    <w:multiLevelType w:val="hybridMultilevel"/>
    <w:tmpl w:val="CBECBF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F9966EC"/>
    <w:multiLevelType w:val="hybridMultilevel"/>
    <w:tmpl w:val="5B926592"/>
    <w:lvl w:ilvl="0" w:tplc="38BE52C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6"/>
  </w:num>
  <w:num w:numId="6">
    <w:abstractNumId w:val="1"/>
  </w:num>
  <w:num w:numId="7">
    <w:abstractNumId w:val="7"/>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F1A69"/>
    <w:rsid w:val="00013DBA"/>
    <w:rsid w:val="000141A7"/>
    <w:rsid w:val="00016D3C"/>
    <w:rsid w:val="000309FB"/>
    <w:rsid w:val="00031550"/>
    <w:rsid w:val="00036FCB"/>
    <w:rsid w:val="000470B2"/>
    <w:rsid w:val="000636A2"/>
    <w:rsid w:val="000717D6"/>
    <w:rsid w:val="00080616"/>
    <w:rsid w:val="000818A4"/>
    <w:rsid w:val="000946BF"/>
    <w:rsid w:val="000960B5"/>
    <w:rsid w:val="000A23D8"/>
    <w:rsid w:val="000B0016"/>
    <w:rsid w:val="000C3E29"/>
    <w:rsid w:val="000D0D6C"/>
    <w:rsid w:val="000D51C4"/>
    <w:rsid w:val="000E1BDA"/>
    <w:rsid w:val="000E7AE9"/>
    <w:rsid w:val="001046D7"/>
    <w:rsid w:val="001058F8"/>
    <w:rsid w:val="0011674E"/>
    <w:rsid w:val="0012093B"/>
    <w:rsid w:val="00123525"/>
    <w:rsid w:val="00125884"/>
    <w:rsid w:val="001265CD"/>
    <w:rsid w:val="00126A76"/>
    <w:rsid w:val="001568C5"/>
    <w:rsid w:val="0017366E"/>
    <w:rsid w:val="001975CE"/>
    <w:rsid w:val="001D33EA"/>
    <w:rsid w:val="001D63F9"/>
    <w:rsid w:val="001D76C9"/>
    <w:rsid w:val="001E3A46"/>
    <w:rsid w:val="001E5BAF"/>
    <w:rsid w:val="00224ABC"/>
    <w:rsid w:val="002319FB"/>
    <w:rsid w:val="00240ED3"/>
    <w:rsid w:val="00242C95"/>
    <w:rsid w:val="00247F07"/>
    <w:rsid w:val="00287C02"/>
    <w:rsid w:val="002900FC"/>
    <w:rsid w:val="0029093E"/>
    <w:rsid w:val="00292389"/>
    <w:rsid w:val="002A294E"/>
    <w:rsid w:val="002A71B3"/>
    <w:rsid w:val="002F1A69"/>
    <w:rsid w:val="002F2E86"/>
    <w:rsid w:val="00301889"/>
    <w:rsid w:val="00312A8D"/>
    <w:rsid w:val="00317708"/>
    <w:rsid w:val="00322EEA"/>
    <w:rsid w:val="00340F3A"/>
    <w:rsid w:val="003423AC"/>
    <w:rsid w:val="00365100"/>
    <w:rsid w:val="00366674"/>
    <w:rsid w:val="003726BB"/>
    <w:rsid w:val="00376528"/>
    <w:rsid w:val="00377A6C"/>
    <w:rsid w:val="00380D85"/>
    <w:rsid w:val="00383F82"/>
    <w:rsid w:val="00386C9B"/>
    <w:rsid w:val="003A3BE1"/>
    <w:rsid w:val="003B4CE7"/>
    <w:rsid w:val="003B7871"/>
    <w:rsid w:val="003C0B17"/>
    <w:rsid w:val="003E4DAB"/>
    <w:rsid w:val="00436914"/>
    <w:rsid w:val="0044238E"/>
    <w:rsid w:val="00452C6F"/>
    <w:rsid w:val="00454E16"/>
    <w:rsid w:val="0047534E"/>
    <w:rsid w:val="00485B58"/>
    <w:rsid w:val="00493D83"/>
    <w:rsid w:val="00494A63"/>
    <w:rsid w:val="004A4906"/>
    <w:rsid w:val="004A6F7A"/>
    <w:rsid w:val="004B1742"/>
    <w:rsid w:val="004B58F7"/>
    <w:rsid w:val="004F2DF0"/>
    <w:rsid w:val="005079FF"/>
    <w:rsid w:val="005165DD"/>
    <w:rsid w:val="00521E3B"/>
    <w:rsid w:val="00534FEA"/>
    <w:rsid w:val="005367CD"/>
    <w:rsid w:val="005370A3"/>
    <w:rsid w:val="00547299"/>
    <w:rsid w:val="005667F7"/>
    <w:rsid w:val="00566BD2"/>
    <w:rsid w:val="00597EDE"/>
    <w:rsid w:val="005A531F"/>
    <w:rsid w:val="005A66F9"/>
    <w:rsid w:val="005C0D8C"/>
    <w:rsid w:val="005C2307"/>
    <w:rsid w:val="005D15C8"/>
    <w:rsid w:val="005E267A"/>
    <w:rsid w:val="00601297"/>
    <w:rsid w:val="006078A1"/>
    <w:rsid w:val="00610721"/>
    <w:rsid w:val="00615E44"/>
    <w:rsid w:val="006602D1"/>
    <w:rsid w:val="00664E37"/>
    <w:rsid w:val="00665EA8"/>
    <w:rsid w:val="0067046C"/>
    <w:rsid w:val="00671B9B"/>
    <w:rsid w:val="006729E3"/>
    <w:rsid w:val="00676A51"/>
    <w:rsid w:val="006811A4"/>
    <w:rsid w:val="006838B4"/>
    <w:rsid w:val="00683E75"/>
    <w:rsid w:val="00685BB0"/>
    <w:rsid w:val="00691E1C"/>
    <w:rsid w:val="006942ED"/>
    <w:rsid w:val="006A5E3A"/>
    <w:rsid w:val="006A78BB"/>
    <w:rsid w:val="006B784E"/>
    <w:rsid w:val="006F0F03"/>
    <w:rsid w:val="00701333"/>
    <w:rsid w:val="00711334"/>
    <w:rsid w:val="00715C4E"/>
    <w:rsid w:val="00721E3F"/>
    <w:rsid w:val="007252AF"/>
    <w:rsid w:val="00726FD7"/>
    <w:rsid w:val="007303F1"/>
    <w:rsid w:val="00742FA3"/>
    <w:rsid w:val="00756B8B"/>
    <w:rsid w:val="007637DB"/>
    <w:rsid w:val="0076625C"/>
    <w:rsid w:val="00774E5F"/>
    <w:rsid w:val="00784058"/>
    <w:rsid w:val="007A36F9"/>
    <w:rsid w:val="007A51FF"/>
    <w:rsid w:val="007A5F62"/>
    <w:rsid w:val="007C5581"/>
    <w:rsid w:val="007C6E83"/>
    <w:rsid w:val="007D18B2"/>
    <w:rsid w:val="007E2497"/>
    <w:rsid w:val="007F2918"/>
    <w:rsid w:val="00806A14"/>
    <w:rsid w:val="008242D8"/>
    <w:rsid w:val="008275D4"/>
    <w:rsid w:val="00834D1D"/>
    <w:rsid w:val="00845832"/>
    <w:rsid w:val="00852196"/>
    <w:rsid w:val="00857FD3"/>
    <w:rsid w:val="00864AF5"/>
    <w:rsid w:val="008666AD"/>
    <w:rsid w:val="00871917"/>
    <w:rsid w:val="008719DB"/>
    <w:rsid w:val="0087558B"/>
    <w:rsid w:val="0087654E"/>
    <w:rsid w:val="00884BED"/>
    <w:rsid w:val="008A30EB"/>
    <w:rsid w:val="008A58FC"/>
    <w:rsid w:val="008C223B"/>
    <w:rsid w:val="008D541C"/>
    <w:rsid w:val="009040CE"/>
    <w:rsid w:val="0091256B"/>
    <w:rsid w:val="0091700A"/>
    <w:rsid w:val="00922D2D"/>
    <w:rsid w:val="009234F7"/>
    <w:rsid w:val="00923B5B"/>
    <w:rsid w:val="00925320"/>
    <w:rsid w:val="00926E9D"/>
    <w:rsid w:val="00927A37"/>
    <w:rsid w:val="00946852"/>
    <w:rsid w:val="00953E2B"/>
    <w:rsid w:val="00957993"/>
    <w:rsid w:val="00970DEC"/>
    <w:rsid w:val="00971536"/>
    <w:rsid w:val="00975FE7"/>
    <w:rsid w:val="009854CC"/>
    <w:rsid w:val="009B0EB3"/>
    <w:rsid w:val="009B3A03"/>
    <w:rsid w:val="009B705F"/>
    <w:rsid w:val="00A02206"/>
    <w:rsid w:val="00A05E2F"/>
    <w:rsid w:val="00A07BD6"/>
    <w:rsid w:val="00A1659E"/>
    <w:rsid w:val="00A26E56"/>
    <w:rsid w:val="00A306A6"/>
    <w:rsid w:val="00A30C79"/>
    <w:rsid w:val="00A3527C"/>
    <w:rsid w:val="00A35D04"/>
    <w:rsid w:val="00A466E4"/>
    <w:rsid w:val="00A52F9D"/>
    <w:rsid w:val="00A53CDA"/>
    <w:rsid w:val="00A718C5"/>
    <w:rsid w:val="00A97368"/>
    <w:rsid w:val="00AC63C4"/>
    <w:rsid w:val="00AC7FDC"/>
    <w:rsid w:val="00AD2AD6"/>
    <w:rsid w:val="00AF2F8E"/>
    <w:rsid w:val="00B03166"/>
    <w:rsid w:val="00B10544"/>
    <w:rsid w:val="00B15BBC"/>
    <w:rsid w:val="00B25939"/>
    <w:rsid w:val="00B6155F"/>
    <w:rsid w:val="00B615C5"/>
    <w:rsid w:val="00B62A9E"/>
    <w:rsid w:val="00B62AFC"/>
    <w:rsid w:val="00B62B1C"/>
    <w:rsid w:val="00B63B73"/>
    <w:rsid w:val="00B76118"/>
    <w:rsid w:val="00BA4C89"/>
    <w:rsid w:val="00BB470E"/>
    <w:rsid w:val="00BD0983"/>
    <w:rsid w:val="00BD1AAD"/>
    <w:rsid w:val="00BD1E93"/>
    <w:rsid w:val="00BD4658"/>
    <w:rsid w:val="00BD59C0"/>
    <w:rsid w:val="00BD5A85"/>
    <w:rsid w:val="00BD766D"/>
    <w:rsid w:val="00BE7D76"/>
    <w:rsid w:val="00C22819"/>
    <w:rsid w:val="00C478B2"/>
    <w:rsid w:val="00C8464F"/>
    <w:rsid w:val="00C91E82"/>
    <w:rsid w:val="00C9292B"/>
    <w:rsid w:val="00CA0A3F"/>
    <w:rsid w:val="00CA7670"/>
    <w:rsid w:val="00CB108E"/>
    <w:rsid w:val="00CF098C"/>
    <w:rsid w:val="00CF244C"/>
    <w:rsid w:val="00D03F1F"/>
    <w:rsid w:val="00D103D2"/>
    <w:rsid w:val="00D31DCC"/>
    <w:rsid w:val="00D349AC"/>
    <w:rsid w:val="00D52522"/>
    <w:rsid w:val="00D72C99"/>
    <w:rsid w:val="00D72E9A"/>
    <w:rsid w:val="00D81FF5"/>
    <w:rsid w:val="00D87B31"/>
    <w:rsid w:val="00D942BA"/>
    <w:rsid w:val="00DB0D31"/>
    <w:rsid w:val="00DB50AD"/>
    <w:rsid w:val="00DC37F8"/>
    <w:rsid w:val="00DC552F"/>
    <w:rsid w:val="00DD0F2A"/>
    <w:rsid w:val="00DE1737"/>
    <w:rsid w:val="00DE2935"/>
    <w:rsid w:val="00DE37BD"/>
    <w:rsid w:val="00DE4A75"/>
    <w:rsid w:val="00E02182"/>
    <w:rsid w:val="00E12C27"/>
    <w:rsid w:val="00E3496F"/>
    <w:rsid w:val="00E358F5"/>
    <w:rsid w:val="00E40610"/>
    <w:rsid w:val="00E5295B"/>
    <w:rsid w:val="00E53AAA"/>
    <w:rsid w:val="00E90079"/>
    <w:rsid w:val="00E9087A"/>
    <w:rsid w:val="00E97F0C"/>
    <w:rsid w:val="00EA0583"/>
    <w:rsid w:val="00EB1419"/>
    <w:rsid w:val="00EE05BC"/>
    <w:rsid w:val="00EE6B8C"/>
    <w:rsid w:val="00EE6CB3"/>
    <w:rsid w:val="00EF03CF"/>
    <w:rsid w:val="00EF3809"/>
    <w:rsid w:val="00EF42C3"/>
    <w:rsid w:val="00EF77C1"/>
    <w:rsid w:val="00F04D6A"/>
    <w:rsid w:val="00F10E2F"/>
    <w:rsid w:val="00F12FA9"/>
    <w:rsid w:val="00F2090E"/>
    <w:rsid w:val="00F20D27"/>
    <w:rsid w:val="00F37C82"/>
    <w:rsid w:val="00F50EA1"/>
    <w:rsid w:val="00FA2AC7"/>
    <w:rsid w:val="00FB0C39"/>
    <w:rsid w:val="00FB305D"/>
    <w:rsid w:val="00FC16F9"/>
    <w:rsid w:val="00FD05CD"/>
    <w:rsid w:val="00FF79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3D8"/>
    <w:rPr>
      <w:sz w:val="24"/>
      <w:szCs w:val="24"/>
      <w:lang w:val="en-GB" w:eastAsia="en-US"/>
    </w:rPr>
  </w:style>
  <w:style w:type="paragraph" w:styleId="1">
    <w:name w:val="heading 1"/>
    <w:basedOn w:val="a"/>
    <w:next w:val="a"/>
    <w:qFormat/>
    <w:rsid w:val="000A23D8"/>
    <w:pPr>
      <w:keepNext/>
      <w:jc w:val="center"/>
      <w:outlineLvl w:val="0"/>
    </w:pPr>
    <w:rPr>
      <w:b/>
      <w:bCs/>
      <w:lang w:val="en-US"/>
    </w:rPr>
  </w:style>
  <w:style w:type="paragraph" w:styleId="2">
    <w:name w:val="heading 2"/>
    <w:basedOn w:val="a"/>
    <w:next w:val="a"/>
    <w:qFormat/>
    <w:rsid w:val="000A23D8"/>
    <w:pPr>
      <w:keepNext/>
      <w:outlineLvl w:val="1"/>
    </w:pPr>
    <w:rPr>
      <w:b/>
      <w:bCs/>
      <w:lang w:val="en-US"/>
    </w:rPr>
  </w:style>
  <w:style w:type="paragraph" w:styleId="3">
    <w:name w:val="heading 3"/>
    <w:basedOn w:val="a"/>
    <w:next w:val="a"/>
    <w:qFormat/>
    <w:rsid w:val="000A23D8"/>
    <w:pPr>
      <w:keepNext/>
      <w:outlineLvl w:val="2"/>
    </w:pPr>
    <w:rPr>
      <w:rFonts w:ascii="Arial" w:hAnsi="Arial" w:cs="Arial"/>
      <w:b/>
      <w:bCs/>
      <w:sz w:val="22"/>
      <w:lang w:val="en-US"/>
    </w:rPr>
  </w:style>
  <w:style w:type="paragraph" w:styleId="5">
    <w:name w:val="heading 5"/>
    <w:basedOn w:val="a"/>
    <w:next w:val="a"/>
    <w:qFormat/>
    <w:rsid w:val="00BD1E9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23D8"/>
    <w:pPr>
      <w:widowControl w:val="0"/>
      <w:autoSpaceDE w:val="0"/>
      <w:autoSpaceDN w:val="0"/>
      <w:adjustRightInd w:val="0"/>
    </w:pPr>
    <w:rPr>
      <w:rFonts w:ascii="MgHelvetica" w:hAnsi="MgHelvetica"/>
      <w:color w:val="000000"/>
      <w:sz w:val="20"/>
      <w:lang w:val="en-US"/>
    </w:rPr>
  </w:style>
  <w:style w:type="paragraph" w:customStyle="1" w:styleId="BodySingle">
    <w:name w:val="Body Single"/>
    <w:rsid w:val="000A23D8"/>
    <w:pPr>
      <w:widowControl w:val="0"/>
      <w:autoSpaceDE w:val="0"/>
      <w:autoSpaceDN w:val="0"/>
      <w:adjustRightInd w:val="0"/>
    </w:pPr>
    <w:rPr>
      <w:rFonts w:ascii="HellasArial" w:hAnsi="HellasArial"/>
      <w:color w:val="000000"/>
      <w:szCs w:val="24"/>
      <w:lang w:val="en-US" w:eastAsia="en-US"/>
    </w:rPr>
  </w:style>
  <w:style w:type="paragraph" w:customStyle="1" w:styleId="Bullet">
    <w:name w:val="Bullet"/>
    <w:rsid w:val="000A23D8"/>
    <w:pPr>
      <w:widowControl w:val="0"/>
      <w:autoSpaceDE w:val="0"/>
      <w:autoSpaceDN w:val="0"/>
      <w:adjustRightInd w:val="0"/>
      <w:ind w:left="288"/>
    </w:pPr>
    <w:rPr>
      <w:color w:val="000000"/>
      <w:szCs w:val="24"/>
      <w:lang w:val="en-US" w:eastAsia="en-US"/>
    </w:rPr>
  </w:style>
  <w:style w:type="paragraph" w:customStyle="1" w:styleId="Bullet1">
    <w:name w:val="Bullet 1"/>
    <w:rsid w:val="000A23D8"/>
    <w:pPr>
      <w:widowControl w:val="0"/>
      <w:autoSpaceDE w:val="0"/>
      <w:autoSpaceDN w:val="0"/>
      <w:adjustRightInd w:val="0"/>
      <w:ind w:left="288"/>
    </w:pPr>
    <w:rPr>
      <w:rFonts w:ascii="HellasArial" w:hAnsi="HellasArial"/>
      <w:color w:val="000000"/>
      <w:szCs w:val="24"/>
      <w:lang w:val="en-US" w:eastAsia="en-US"/>
    </w:rPr>
  </w:style>
  <w:style w:type="paragraph" w:customStyle="1" w:styleId="NumberList">
    <w:name w:val="Number List"/>
    <w:rsid w:val="000A23D8"/>
    <w:pPr>
      <w:widowControl w:val="0"/>
      <w:autoSpaceDE w:val="0"/>
      <w:autoSpaceDN w:val="0"/>
      <w:adjustRightInd w:val="0"/>
      <w:ind w:left="720"/>
    </w:pPr>
    <w:rPr>
      <w:color w:val="000000"/>
      <w:szCs w:val="24"/>
      <w:lang w:val="en-US" w:eastAsia="en-US"/>
    </w:rPr>
  </w:style>
  <w:style w:type="paragraph" w:customStyle="1" w:styleId="Subhead">
    <w:name w:val="Subhead"/>
    <w:rsid w:val="000A23D8"/>
    <w:pPr>
      <w:widowControl w:val="0"/>
      <w:autoSpaceDE w:val="0"/>
      <w:autoSpaceDN w:val="0"/>
      <w:adjustRightInd w:val="0"/>
      <w:spacing w:before="72" w:after="72"/>
    </w:pPr>
    <w:rPr>
      <w:color w:val="000000"/>
      <w:lang w:val="en-US" w:eastAsia="en-US"/>
    </w:rPr>
  </w:style>
  <w:style w:type="paragraph" w:styleId="a4">
    <w:name w:val="Title"/>
    <w:basedOn w:val="a"/>
    <w:qFormat/>
    <w:rsid w:val="000A23D8"/>
    <w:pPr>
      <w:keepNext/>
      <w:keepLines/>
      <w:widowControl w:val="0"/>
      <w:autoSpaceDE w:val="0"/>
      <w:autoSpaceDN w:val="0"/>
      <w:adjustRightInd w:val="0"/>
      <w:spacing w:before="144" w:after="72"/>
    </w:pPr>
    <w:rPr>
      <w:rFonts w:ascii="Arial" w:hAnsi="Arial" w:cs="Arial"/>
      <w:b/>
      <w:bCs/>
      <w:color w:val="000000"/>
      <w:sz w:val="36"/>
      <w:szCs w:val="36"/>
      <w:lang w:val="en-US"/>
    </w:rPr>
  </w:style>
  <w:style w:type="paragraph" w:styleId="a5">
    <w:name w:val="header"/>
    <w:basedOn w:val="a"/>
    <w:rsid w:val="000A23D8"/>
    <w:pPr>
      <w:widowControl w:val="0"/>
      <w:autoSpaceDE w:val="0"/>
      <w:autoSpaceDN w:val="0"/>
      <w:adjustRightInd w:val="0"/>
    </w:pPr>
    <w:rPr>
      <w:color w:val="000000"/>
      <w:sz w:val="20"/>
      <w:lang w:val="en-US"/>
    </w:rPr>
  </w:style>
  <w:style w:type="paragraph" w:styleId="a6">
    <w:name w:val="footer"/>
    <w:basedOn w:val="a"/>
    <w:rsid w:val="000A23D8"/>
    <w:pPr>
      <w:widowControl w:val="0"/>
      <w:autoSpaceDE w:val="0"/>
      <w:autoSpaceDN w:val="0"/>
      <w:adjustRightInd w:val="0"/>
    </w:pPr>
    <w:rPr>
      <w:color w:val="000000"/>
      <w:sz w:val="20"/>
      <w:lang w:val="en-US"/>
    </w:rPr>
  </w:style>
  <w:style w:type="paragraph" w:customStyle="1" w:styleId="TableText">
    <w:name w:val="Table Text"/>
    <w:rsid w:val="000A23D8"/>
    <w:pPr>
      <w:widowControl w:val="0"/>
      <w:autoSpaceDE w:val="0"/>
      <w:autoSpaceDN w:val="0"/>
      <w:adjustRightInd w:val="0"/>
    </w:pPr>
    <w:rPr>
      <w:rFonts w:ascii="MgHelvetica" w:hAnsi="MgHelvetica"/>
      <w:color w:val="000000"/>
      <w:szCs w:val="24"/>
      <w:lang w:val="en-US" w:eastAsia="en-US"/>
    </w:rPr>
  </w:style>
  <w:style w:type="character" w:styleId="a7">
    <w:name w:val="page number"/>
    <w:basedOn w:val="a0"/>
    <w:rsid w:val="000A23D8"/>
  </w:style>
  <w:style w:type="paragraph" w:customStyle="1" w:styleId="DefaultText">
    <w:name w:val="Default Text"/>
    <w:basedOn w:val="a"/>
    <w:rsid w:val="000A23D8"/>
    <w:pPr>
      <w:overflowPunct w:val="0"/>
      <w:autoSpaceDE w:val="0"/>
      <w:autoSpaceDN w:val="0"/>
      <w:adjustRightInd w:val="0"/>
      <w:textAlignment w:val="baseline"/>
    </w:pPr>
    <w:rPr>
      <w:rFonts w:ascii="Arial" w:hAnsi="Arial"/>
      <w:sz w:val="22"/>
      <w:szCs w:val="20"/>
    </w:rPr>
  </w:style>
  <w:style w:type="paragraph" w:customStyle="1" w:styleId="TableText2">
    <w:name w:val="Table Text 2"/>
    <w:basedOn w:val="a"/>
    <w:rsid w:val="000A23D8"/>
    <w:pPr>
      <w:overflowPunct w:val="0"/>
      <w:autoSpaceDE w:val="0"/>
      <w:autoSpaceDN w:val="0"/>
      <w:adjustRightInd w:val="0"/>
      <w:textAlignment w:val="baseline"/>
    </w:pPr>
    <w:rPr>
      <w:rFonts w:ascii="Arial" w:hAnsi="Arial"/>
      <w:sz w:val="18"/>
      <w:szCs w:val="20"/>
    </w:rPr>
  </w:style>
  <w:style w:type="paragraph" w:customStyle="1" w:styleId="Subhead2">
    <w:name w:val="Subhead 2"/>
    <w:basedOn w:val="a"/>
    <w:rsid w:val="000A23D8"/>
    <w:pPr>
      <w:keepNext/>
      <w:keepLines/>
      <w:overflowPunct w:val="0"/>
      <w:autoSpaceDE w:val="0"/>
      <w:autoSpaceDN w:val="0"/>
      <w:adjustRightInd w:val="0"/>
      <w:spacing w:before="144" w:after="72"/>
      <w:textAlignment w:val="baseline"/>
    </w:pPr>
    <w:rPr>
      <w:rFonts w:ascii="Arial" w:hAnsi="Arial"/>
      <w:i/>
      <w:sz w:val="22"/>
      <w:szCs w:val="20"/>
    </w:rPr>
  </w:style>
  <w:style w:type="paragraph" w:customStyle="1" w:styleId="EMEANormal">
    <w:name w:val="EMEA Normal"/>
    <w:rsid w:val="000A23D8"/>
    <w:pPr>
      <w:tabs>
        <w:tab w:val="left" w:pos="562"/>
      </w:tabs>
      <w:suppressAutoHyphens/>
    </w:pPr>
    <w:rPr>
      <w:sz w:val="22"/>
      <w:lang w:val="en-US" w:eastAsia="en-US"/>
    </w:rPr>
  </w:style>
  <w:style w:type="paragraph" w:styleId="a8">
    <w:name w:val="Date"/>
    <w:basedOn w:val="a"/>
    <w:next w:val="a"/>
    <w:rsid w:val="004A6F7A"/>
  </w:style>
  <w:style w:type="character" w:customStyle="1" w:styleId="gt-icon-text1">
    <w:name w:val="gt-icon-text1"/>
    <w:basedOn w:val="a0"/>
    <w:rsid w:val="00340F3A"/>
  </w:style>
  <w:style w:type="paragraph" w:customStyle="1" w:styleId="EMEABullet">
    <w:name w:val="EMEA Bullet"/>
    <w:rsid w:val="00BD1E93"/>
    <w:pPr>
      <w:numPr>
        <w:numId w:val="9"/>
      </w:numPr>
      <w:suppressAutoHyphens/>
    </w:pPr>
    <w:rPr>
      <w:sz w:val="22"/>
      <w:lang w:val="en-US" w:eastAsia="en-US"/>
    </w:rPr>
  </w:style>
  <w:style w:type="paragraph" w:styleId="a9">
    <w:name w:val="Balloon Text"/>
    <w:basedOn w:val="a"/>
    <w:link w:val="Char"/>
    <w:rsid w:val="00A3527C"/>
    <w:rPr>
      <w:rFonts w:ascii="Tahoma" w:hAnsi="Tahoma" w:cs="Tahoma"/>
      <w:sz w:val="16"/>
      <w:szCs w:val="16"/>
    </w:rPr>
  </w:style>
  <w:style w:type="character" w:customStyle="1" w:styleId="Char">
    <w:name w:val="Κείμενο πλαισίου Char"/>
    <w:link w:val="a9"/>
    <w:rsid w:val="00A3527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927888684">
      <w:bodyDiv w:val="1"/>
      <w:marLeft w:val="0"/>
      <w:marRight w:val="0"/>
      <w:marTop w:val="0"/>
      <w:marBottom w:val="0"/>
      <w:divBdr>
        <w:top w:val="none" w:sz="0" w:space="0" w:color="auto"/>
        <w:left w:val="none" w:sz="0" w:space="0" w:color="auto"/>
        <w:bottom w:val="none" w:sz="0" w:space="0" w:color="auto"/>
        <w:right w:val="none" w:sz="0" w:space="0" w:color="auto"/>
      </w:divBdr>
      <w:divsChild>
        <w:div w:id="1791319221">
          <w:marLeft w:val="0"/>
          <w:marRight w:val="0"/>
          <w:marTop w:val="0"/>
          <w:marBottom w:val="0"/>
          <w:divBdr>
            <w:top w:val="none" w:sz="0" w:space="0" w:color="auto"/>
            <w:left w:val="none" w:sz="0" w:space="0" w:color="auto"/>
            <w:bottom w:val="none" w:sz="0" w:space="0" w:color="auto"/>
            <w:right w:val="none" w:sz="0" w:space="0" w:color="auto"/>
          </w:divBdr>
          <w:divsChild>
            <w:div w:id="1871843705">
              <w:marLeft w:val="0"/>
              <w:marRight w:val="0"/>
              <w:marTop w:val="0"/>
              <w:marBottom w:val="0"/>
              <w:divBdr>
                <w:top w:val="none" w:sz="0" w:space="0" w:color="auto"/>
                <w:left w:val="none" w:sz="0" w:space="0" w:color="auto"/>
                <w:bottom w:val="none" w:sz="0" w:space="0" w:color="auto"/>
                <w:right w:val="none" w:sz="0" w:space="0" w:color="auto"/>
              </w:divBdr>
              <w:divsChild>
                <w:div w:id="1705522796">
                  <w:marLeft w:val="0"/>
                  <w:marRight w:val="0"/>
                  <w:marTop w:val="0"/>
                  <w:marBottom w:val="0"/>
                  <w:divBdr>
                    <w:top w:val="none" w:sz="0" w:space="0" w:color="auto"/>
                    <w:left w:val="none" w:sz="0" w:space="0" w:color="auto"/>
                    <w:bottom w:val="none" w:sz="0" w:space="0" w:color="auto"/>
                    <w:right w:val="none" w:sz="0" w:space="0" w:color="auto"/>
                  </w:divBdr>
                  <w:divsChild>
                    <w:div w:id="671181500">
                      <w:marLeft w:val="0"/>
                      <w:marRight w:val="0"/>
                      <w:marTop w:val="0"/>
                      <w:marBottom w:val="0"/>
                      <w:divBdr>
                        <w:top w:val="none" w:sz="0" w:space="0" w:color="auto"/>
                        <w:left w:val="none" w:sz="0" w:space="0" w:color="auto"/>
                        <w:bottom w:val="none" w:sz="0" w:space="0" w:color="auto"/>
                        <w:right w:val="none" w:sz="0" w:space="0" w:color="auto"/>
                      </w:divBdr>
                      <w:divsChild>
                        <w:div w:id="634720538">
                          <w:marLeft w:val="0"/>
                          <w:marRight w:val="0"/>
                          <w:marTop w:val="0"/>
                          <w:marBottom w:val="0"/>
                          <w:divBdr>
                            <w:top w:val="none" w:sz="0" w:space="0" w:color="auto"/>
                            <w:left w:val="none" w:sz="0" w:space="0" w:color="auto"/>
                            <w:bottom w:val="none" w:sz="0" w:space="0" w:color="auto"/>
                            <w:right w:val="none" w:sz="0" w:space="0" w:color="auto"/>
                          </w:divBdr>
                          <w:divsChild>
                            <w:div w:id="177430075">
                              <w:marLeft w:val="0"/>
                              <w:marRight w:val="0"/>
                              <w:marTop w:val="80"/>
                              <w:marBottom w:val="0"/>
                              <w:divBdr>
                                <w:top w:val="none" w:sz="0" w:space="0" w:color="auto"/>
                                <w:left w:val="none" w:sz="0" w:space="0" w:color="auto"/>
                                <w:bottom w:val="none" w:sz="0" w:space="0" w:color="auto"/>
                                <w:right w:val="none" w:sz="0" w:space="0" w:color="auto"/>
                              </w:divBdr>
                              <w:divsChild>
                                <w:div w:id="236018741">
                                  <w:marLeft w:val="0"/>
                                  <w:marRight w:val="240"/>
                                  <w:marTop w:val="0"/>
                                  <w:marBottom w:val="0"/>
                                  <w:divBdr>
                                    <w:top w:val="none" w:sz="0" w:space="0" w:color="auto"/>
                                    <w:left w:val="none" w:sz="0" w:space="0" w:color="auto"/>
                                    <w:bottom w:val="none" w:sz="0" w:space="0" w:color="auto"/>
                                    <w:right w:val="none" w:sz="0" w:space="0" w:color="auto"/>
                                  </w:divBdr>
                                </w:div>
                              </w:divsChild>
                            </w:div>
                            <w:div w:id="1840542758">
                              <w:marLeft w:val="0"/>
                              <w:marRight w:val="0"/>
                              <w:marTop w:val="0"/>
                              <w:marBottom w:val="0"/>
                              <w:divBdr>
                                <w:top w:val="none" w:sz="0" w:space="0" w:color="auto"/>
                                <w:left w:val="none" w:sz="0" w:space="0" w:color="auto"/>
                                <w:bottom w:val="none" w:sz="0" w:space="0" w:color="auto"/>
                                <w:right w:val="none" w:sz="0" w:space="0" w:color="auto"/>
                              </w:divBdr>
                              <w:divsChild>
                                <w:div w:id="3940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6088</Words>
  <Characters>32879</Characters>
  <Application>Microsoft Office Word</Application>
  <DocSecurity>0</DocSecurity>
  <Lines>273</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ΠΕΡΙΛΗΨΗ ΤΩΝ ΧΑΡΑΚΤΗΡΙΣΤΙΚΩΝ ΤΟΥ ΠΡΟΙΟΝΤΟΣ</vt:lpstr>
      <vt:lpstr>     ΠΕΡΙΛΗΨΗ ΤΩΝ ΧΑΡΑΚΤΗΡΙΣΤΙΚΩΝ ΤΟΥ ΠΡΟΙΟΝΤΟΣ</vt:lpstr>
    </vt:vector>
  </TitlesOfParts>
  <Company>Abbott</Company>
  <LinksUpToDate>false</LinksUpToDate>
  <CharactersWithSpaces>38890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ΠΡΟΙΟΝΤΟΣ</dc:title>
  <dc:creator>Abbott</dc:creator>
  <cp:lastModifiedBy>user146</cp:lastModifiedBy>
  <cp:revision>11</cp:revision>
  <cp:lastPrinted>2012-02-23T13:10:00Z</cp:lastPrinted>
  <dcterms:created xsi:type="dcterms:W3CDTF">2013-06-20T11:43:00Z</dcterms:created>
  <dcterms:modified xsi:type="dcterms:W3CDTF">2013-07-19T06:10:00Z</dcterms:modified>
</cp:coreProperties>
</file>